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2E5B19">
      <w:pPr>
        <w:pStyle w:val="2"/>
        <w:spacing w:before="42" w:line="278" w:lineRule="auto"/>
        <w:ind w:left="50" w:right="7312" w:hanging="2"/>
        <w:rPr>
          <w:rFonts w:hint="eastAsia" w:eastAsia="宋体"/>
          <w:spacing w:val="-6"/>
          <w:sz w:val="21"/>
          <w:szCs w:val="21"/>
          <w:lang w:val="en-US" w:eastAsia="zh-CN"/>
        </w:rPr>
      </w:pPr>
      <w:r>
        <w:rPr>
          <w:rFonts w:ascii="Times New Roman" w:hAnsi="Times New Roman" w:eastAsia="Times New Roman" w:cs="Times New Roman"/>
          <w:spacing w:val="-6"/>
          <w:position w:val="1"/>
          <w:sz w:val="21"/>
          <w:szCs w:val="21"/>
        </w:rPr>
        <w:t>ICS</w:t>
      </w:r>
      <w:r>
        <w:rPr>
          <w:rFonts w:ascii="Times New Roman" w:hAnsi="Times New Roman" w:eastAsia="Times New Roman" w:cs="Times New Roman"/>
          <w:spacing w:val="13"/>
          <w:position w:val="1"/>
          <w:sz w:val="21"/>
          <w:szCs w:val="21"/>
        </w:rPr>
        <w:t xml:space="preserve">   </w:t>
      </w:r>
      <w:r>
        <w:rPr>
          <w:rFonts w:hint="eastAsia" w:eastAsia="宋体"/>
          <w:spacing w:val="-6"/>
          <w:sz w:val="21"/>
          <w:szCs w:val="21"/>
          <w:lang w:val="en-US" w:eastAsia="zh-CN"/>
        </w:rPr>
        <w:t>83.08.20</w:t>
      </w:r>
    </w:p>
    <w:p w14:paraId="114C9DB9">
      <w:pPr>
        <w:pStyle w:val="2"/>
        <w:spacing w:before="42" w:line="278" w:lineRule="auto"/>
        <w:ind w:left="50" w:right="7312" w:hanging="2"/>
        <w:rPr>
          <w:rFonts w:hint="default" w:eastAsia="宋体"/>
          <w:sz w:val="21"/>
          <w:szCs w:val="21"/>
          <w:lang w:val="en-US" w:eastAsia="zh-CN"/>
        </w:rPr>
      </w:pPr>
      <w:r>
        <w:rPr>
          <w:rFonts w:ascii="Times New Roman" w:hAnsi="Times New Roman" w:eastAsia="Times New Roman" w:cs="Times New Roman"/>
          <w:spacing w:val="-2"/>
          <w:position w:val="1"/>
          <w:sz w:val="21"/>
          <w:szCs w:val="21"/>
        </w:rPr>
        <w:t xml:space="preserve">CCS  </w:t>
      </w:r>
      <w:r>
        <w:rPr>
          <w:rFonts w:hint="eastAsia" w:eastAsia="宋体"/>
          <w:spacing w:val="-2"/>
          <w:sz w:val="21"/>
          <w:szCs w:val="21"/>
          <w:lang w:val="en-US" w:eastAsia="zh-CN"/>
        </w:rPr>
        <w:t>G31</w:t>
      </w:r>
    </w:p>
    <w:p w14:paraId="404093F8">
      <w:pPr>
        <w:spacing w:before="156" w:line="688" w:lineRule="exact"/>
        <w:ind w:firstLine="4871"/>
      </w:pPr>
      <w:r>
        <w:rPr>
          <w:position w:val="-13"/>
        </w:rPr>
        <w:drawing>
          <wp:inline distT="0" distB="0" distL="0" distR="0">
            <wp:extent cx="589280" cy="436880"/>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8"/>
                    <a:stretch>
                      <a:fillRect/>
                    </a:stretch>
                  </pic:blipFill>
                  <pic:spPr>
                    <a:xfrm>
                      <a:off x="0" y="0"/>
                      <a:ext cx="589788" cy="437388"/>
                    </a:xfrm>
                    <a:prstGeom prst="rect">
                      <a:avLst/>
                    </a:prstGeom>
                  </pic:spPr>
                </pic:pic>
              </a:graphicData>
            </a:graphic>
          </wp:inline>
        </w:drawing>
      </w:r>
    </w:p>
    <w:p w14:paraId="622A7044">
      <w:pPr>
        <w:pStyle w:val="2"/>
        <w:spacing w:before="265" w:line="218" w:lineRule="auto"/>
        <w:rPr>
          <w:sz w:val="48"/>
          <w:szCs w:val="48"/>
        </w:rPr>
      </w:pPr>
      <w:r>
        <w:rPr>
          <w:spacing w:val="-8"/>
          <w:sz w:val="48"/>
          <w:szCs w:val="48"/>
        </w:rPr>
        <w:t>浙</w:t>
      </w:r>
      <w:r>
        <w:rPr>
          <w:spacing w:val="-118"/>
          <w:sz w:val="48"/>
          <w:szCs w:val="48"/>
        </w:rPr>
        <w:t xml:space="preserve"> </w:t>
      </w:r>
      <w:r>
        <w:rPr>
          <w:spacing w:val="-8"/>
          <w:sz w:val="48"/>
          <w:szCs w:val="48"/>
        </w:rPr>
        <w:t>江</w:t>
      </w:r>
      <w:r>
        <w:rPr>
          <w:spacing w:val="-125"/>
          <w:sz w:val="48"/>
          <w:szCs w:val="48"/>
        </w:rPr>
        <w:t xml:space="preserve"> </w:t>
      </w:r>
      <w:r>
        <w:rPr>
          <w:spacing w:val="-8"/>
          <w:sz w:val="48"/>
          <w:szCs w:val="48"/>
        </w:rPr>
        <w:t>省</w:t>
      </w:r>
      <w:r>
        <w:rPr>
          <w:spacing w:val="-132"/>
          <w:sz w:val="48"/>
          <w:szCs w:val="48"/>
        </w:rPr>
        <w:t xml:space="preserve"> </w:t>
      </w:r>
      <w:r>
        <w:rPr>
          <w:spacing w:val="-8"/>
          <w:sz w:val="48"/>
          <w:szCs w:val="48"/>
        </w:rPr>
        <w:t>汽</w:t>
      </w:r>
      <w:r>
        <w:rPr>
          <w:spacing w:val="-123"/>
          <w:sz w:val="48"/>
          <w:szCs w:val="48"/>
        </w:rPr>
        <w:t xml:space="preserve"> </w:t>
      </w:r>
      <w:r>
        <w:rPr>
          <w:spacing w:val="-8"/>
          <w:sz w:val="48"/>
          <w:szCs w:val="48"/>
        </w:rPr>
        <w:t>车</w:t>
      </w:r>
      <w:r>
        <w:rPr>
          <w:spacing w:val="-126"/>
          <w:sz w:val="48"/>
          <w:szCs w:val="48"/>
        </w:rPr>
        <w:t xml:space="preserve"> </w:t>
      </w:r>
      <w:r>
        <w:rPr>
          <w:spacing w:val="-8"/>
          <w:sz w:val="48"/>
          <w:szCs w:val="48"/>
        </w:rPr>
        <w:t>工</w:t>
      </w:r>
      <w:r>
        <w:rPr>
          <w:spacing w:val="-123"/>
          <w:sz w:val="48"/>
          <w:szCs w:val="48"/>
        </w:rPr>
        <w:t xml:space="preserve"> </w:t>
      </w:r>
      <w:r>
        <w:rPr>
          <w:spacing w:val="-8"/>
          <w:sz w:val="48"/>
          <w:szCs w:val="48"/>
        </w:rPr>
        <w:t>业</w:t>
      </w:r>
      <w:r>
        <w:rPr>
          <w:spacing w:val="-130"/>
          <w:sz w:val="48"/>
          <w:szCs w:val="48"/>
        </w:rPr>
        <w:t xml:space="preserve"> </w:t>
      </w:r>
      <w:r>
        <w:rPr>
          <w:spacing w:val="-8"/>
          <w:sz w:val="48"/>
          <w:szCs w:val="48"/>
        </w:rPr>
        <w:t>技</w:t>
      </w:r>
      <w:r>
        <w:rPr>
          <w:spacing w:val="-133"/>
          <w:sz w:val="48"/>
          <w:szCs w:val="48"/>
        </w:rPr>
        <w:t xml:space="preserve"> </w:t>
      </w:r>
      <w:r>
        <w:rPr>
          <w:spacing w:val="-8"/>
          <w:sz w:val="48"/>
          <w:szCs w:val="48"/>
        </w:rPr>
        <w:t>术</w:t>
      </w:r>
      <w:r>
        <w:rPr>
          <w:spacing w:val="-132"/>
          <w:sz w:val="48"/>
          <w:szCs w:val="48"/>
        </w:rPr>
        <w:t xml:space="preserve"> </w:t>
      </w:r>
      <w:r>
        <w:rPr>
          <w:spacing w:val="-8"/>
          <w:sz w:val="48"/>
          <w:szCs w:val="48"/>
        </w:rPr>
        <w:t>创</w:t>
      </w:r>
      <w:r>
        <w:rPr>
          <w:spacing w:val="-130"/>
          <w:sz w:val="48"/>
          <w:szCs w:val="48"/>
        </w:rPr>
        <w:t xml:space="preserve"> </w:t>
      </w:r>
      <w:r>
        <w:rPr>
          <w:spacing w:val="-8"/>
          <w:sz w:val="48"/>
          <w:szCs w:val="48"/>
        </w:rPr>
        <w:t>新</w:t>
      </w:r>
      <w:r>
        <w:rPr>
          <w:spacing w:val="-132"/>
          <w:sz w:val="48"/>
          <w:szCs w:val="48"/>
        </w:rPr>
        <w:t xml:space="preserve"> </w:t>
      </w:r>
      <w:r>
        <w:rPr>
          <w:spacing w:val="-8"/>
          <w:sz w:val="48"/>
          <w:szCs w:val="48"/>
        </w:rPr>
        <w:t>协</w:t>
      </w:r>
      <w:r>
        <w:rPr>
          <w:spacing w:val="-135"/>
          <w:sz w:val="48"/>
          <w:szCs w:val="48"/>
        </w:rPr>
        <w:t xml:space="preserve"> </w:t>
      </w:r>
      <w:r>
        <w:rPr>
          <w:spacing w:val="-8"/>
          <w:sz w:val="48"/>
          <w:szCs w:val="48"/>
        </w:rPr>
        <w:t>会</w:t>
      </w:r>
      <w:r>
        <w:rPr>
          <w:spacing w:val="-92"/>
          <w:sz w:val="48"/>
          <w:szCs w:val="48"/>
        </w:rPr>
        <w:t xml:space="preserve"> </w:t>
      </w:r>
      <w:r>
        <w:rPr>
          <w:spacing w:val="-8"/>
          <w:sz w:val="48"/>
          <w:szCs w:val="48"/>
        </w:rPr>
        <w:t>团体</w:t>
      </w:r>
      <w:r>
        <w:rPr>
          <w:spacing w:val="-139"/>
          <w:sz w:val="48"/>
          <w:szCs w:val="48"/>
        </w:rPr>
        <w:t xml:space="preserve"> </w:t>
      </w:r>
      <w:r>
        <w:rPr>
          <w:spacing w:val="-8"/>
          <w:sz w:val="48"/>
          <w:szCs w:val="48"/>
        </w:rPr>
        <w:t>标准</w:t>
      </w:r>
    </w:p>
    <w:p w14:paraId="1B7FF84E">
      <w:pPr>
        <w:spacing w:line="267" w:lineRule="auto"/>
        <w:rPr>
          <w:rFonts w:ascii="Arial"/>
          <w:sz w:val="21"/>
        </w:rPr>
      </w:pPr>
    </w:p>
    <w:p w14:paraId="3841A937">
      <w:pPr>
        <w:pStyle w:val="2"/>
        <w:spacing w:before="91" w:line="234" w:lineRule="auto"/>
        <w:ind w:left="7219"/>
        <w:rPr>
          <w:rFonts w:hint="default" w:eastAsia="黑体"/>
          <w:highlight w:val="none"/>
          <w:lang w:val="en-US" w:eastAsia="zh-CN"/>
        </w:rPr>
      </w:pPr>
      <w:r>
        <w:rPr>
          <w:spacing w:val="-1"/>
          <w:highlight w:val="none"/>
        </w:rPr>
        <w:t>T/</w:t>
      </w:r>
      <w:r>
        <w:rPr>
          <w:rFonts w:hint="eastAsia"/>
          <w:spacing w:val="-1"/>
          <w:highlight w:val="none"/>
          <w:lang w:val="en-US" w:eastAsia="zh-CN"/>
        </w:rPr>
        <w:t>ZZB</w:t>
      </w:r>
      <w:r>
        <w:rPr>
          <w:spacing w:val="-1"/>
          <w:highlight w:val="none"/>
        </w:rPr>
        <w:t xml:space="preserve"> XXXX—</w:t>
      </w:r>
      <w:r>
        <w:rPr>
          <w:rFonts w:hint="eastAsia"/>
          <w:spacing w:val="-1"/>
          <w:highlight w:val="none"/>
          <w:lang w:val="en-US" w:eastAsia="zh-CN"/>
        </w:rPr>
        <w:t>2026</w:t>
      </w:r>
    </w:p>
    <w:p w14:paraId="1364C045">
      <w:pPr>
        <w:spacing w:line="246" w:lineRule="auto"/>
        <w:rPr>
          <w:rFonts w:ascii="Arial"/>
          <w:sz w:val="21"/>
        </w:rPr>
      </w:pPr>
    </w:p>
    <w:p w14:paraId="02029ADB">
      <w:pPr>
        <w:spacing w:line="246" w:lineRule="auto"/>
        <w:rPr>
          <w:rFonts w:ascii="Arial"/>
          <w:sz w:val="21"/>
        </w:rPr>
      </w:pPr>
    </w:p>
    <w:p w14:paraId="6B510D8C">
      <w:pPr>
        <w:spacing w:line="247" w:lineRule="auto"/>
        <w:rPr>
          <w:rFonts w:ascii="Arial"/>
          <w:sz w:val="21"/>
        </w:rPr>
      </w:pPr>
      <w:r>
        <w:pict>
          <v:shape id="_x0000_s1026" o:spid="_x0000_s1026" style="position:absolute;left:0pt;margin-left:4.85pt;margin-top:6.85pt;height:0.75pt;width:481.9pt;z-index:251660288;mso-width-relative:page;mso-height-relative:page;" filled="f" stroked="t" coordsize="9637,15" path="m0,7l9637,7e">
            <v:fill on="f" focussize="0,0"/>
            <v:stroke weight="0.72pt" color="#000000" miterlimit="10"/>
            <v:imagedata o:title=""/>
            <o:lock v:ext="edit"/>
          </v:shape>
        </w:pict>
      </w:r>
    </w:p>
    <w:p w14:paraId="49DBB7C6">
      <w:pPr>
        <w:spacing w:line="247" w:lineRule="auto"/>
        <w:rPr>
          <w:rFonts w:ascii="Arial"/>
          <w:sz w:val="21"/>
        </w:rPr>
      </w:pPr>
    </w:p>
    <w:p w14:paraId="081AA8FF">
      <w:pPr>
        <w:spacing w:line="247" w:lineRule="auto"/>
        <w:rPr>
          <w:rFonts w:ascii="Arial"/>
          <w:sz w:val="21"/>
        </w:rPr>
      </w:pPr>
    </w:p>
    <w:p w14:paraId="31DD54F8">
      <w:pPr>
        <w:spacing w:line="247" w:lineRule="auto"/>
        <w:rPr>
          <w:rFonts w:ascii="Arial"/>
          <w:sz w:val="21"/>
        </w:rPr>
      </w:pPr>
    </w:p>
    <w:p w14:paraId="11372E81">
      <w:pPr>
        <w:spacing w:line="247" w:lineRule="auto"/>
        <w:rPr>
          <w:rFonts w:ascii="Arial"/>
          <w:sz w:val="21"/>
        </w:rPr>
      </w:pPr>
    </w:p>
    <w:p w14:paraId="3813333C">
      <w:pPr>
        <w:spacing w:line="247" w:lineRule="auto"/>
        <w:rPr>
          <w:rFonts w:ascii="Arial"/>
          <w:sz w:val="21"/>
        </w:rPr>
      </w:pPr>
    </w:p>
    <w:p w14:paraId="20B478C8">
      <w:pPr>
        <w:spacing w:line="247" w:lineRule="auto"/>
        <w:rPr>
          <w:rFonts w:ascii="Arial"/>
          <w:sz w:val="21"/>
        </w:rPr>
      </w:pPr>
    </w:p>
    <w:p w14:paraId="19366D01">
      <w:pPr>
        <w:spacing w:line="247" w:lineRule="auto"/>
        <w:rPr>
          <w:rFonts w:ascii="Arial"/>
          <w:sz w:val="21"/>
        </w:rPr>
      </w:pPr>
    </w:p>
    <w:p w14:paraId="4B222F18">
      <w:pPr>
        <w:spacing w:line="247" w:lineRule="auto"/>
        <w:rPr>
          <w:rFonts w:ascii="Arial"/>
          <w:sz w:val="21"/>
        </w:rPr>
      </w:pPr>
    </w:p>
    <w:p w14:paraId="7A92EC58">
      <w:pPr>
        <w:pStyle w:val="2"/>
        <w:spacing w:before="82" w:line="218" w:lineRule="auto"/>
        <w:jc w:val="center"/>
        <w:outlineLvl w:val="0"/>
        <w:rPr>
          <w:rFonts w:hint="eastAsia"/>
          <w:spacing w:val="-2"/>
          <w:sz w:val="52"/>
          <w:szCs w:val="52"/>
        </w:rPr>
      </w:pPr>
      <w:r>
        <w:rPr>
          <w:rFonts w:hint="eastAsia"/>
          <w:spacing w:val="-2"/>
          <w:sz w:val="52"/>
          <w:szCs w:val="52"/>
        </w:rPr>
        <w:t>新能源汽车大型复杂薄壁车身结构件的</w:t>
      </w:r>
    </w:p>
    <w:p w14:paraId="4449E3F0">
      <w:pPr>
        <w:pStyle w:val="2"/>
        <w:spacing w:before="82" w:line="218" w:lineRule="auto"/>
        <w:jc w:val="center"/>
        <w:outlineLvl w:val="0"/>
        <w:rPr>
          <w:sz w:val="52"/>
          <w:szCs w:val="52"/>
        </w:rPr>
      </w:pPr>
      <w:r>
        <w:rPr>
          <w:rFonts w:hint="eastAsia"/>
          <w:spacing w:val="-2"/>
          <w:sz w:val="52"/>
          <w:szCs w:val="52"/>
        </w:rPr>
        <w:t>技术要求</w:t>
      </w:r>
    </w:p>
    <w:p w14:paraId="5A77EA38">
      <w:pPr>
        <w:rPr>
          <w:rFonts w:ascii="Arial"/>
          <w:sz w:val="21"/>
        </w:rPr>
      </w:pPr>
    </w:p>
    <w:p w14:paraId="283ECEE4">
      <w:pPr>
        <w:rPr>
          <w:rFonts w:ascii="Arial"/>
          <w:sz w:val="21"/>
        </w:rPr>
      </w:pPr>
    </w:p>
    <w:p w14:paraId="0B26C264">
      <w:pPr>
        <w:rPr>
          <w:rFonts w:ascii="Arial"/>
          <w:sz w:val="21"/>
        </w:rPr>
      </w:pPr>
    </w:p>
    <w:p w14:paraId="13DFE4C0">
      <w:pPr>
        <w:rPr>
          <w:rFonts w:ascii="Arial"/>
          <w:sz w:val="21"/>
        </w:rPr>
      </w:pPr>
    </w:p>
    <w:p w14:paraId="15DC4AD4">
      <w:pPr>
        <w:spacing w:line="241" w:lineRule="auto"/>
        <w:rPr>
          <w:rFonts w:ascii="Arial"/>
          <w:sz w:val="21"/>
        </w:rPr>
      </w:pPr>
    </w:p>
    <w:p w14:paraId="3E1BA99E">
      <w:pPr>
        <w:spacing w:line="241" w:lineRule="auto"/>
        <w:rPr>
          <w:rFonts w:ascii="Arial"/>
          <w:sz w:val="21"/>
        </w:rPr>
      </w:pPr>
    </w:p>
    <w:p w14:paraId="7F424F77">
      <w:pPr>
        <w:spacing w:line="241" w:lineRule="auto"/>
        <w:rPr>
          <w:rFonts w:ascii="Arial"/>
          <w:sz w:val="21"/>
        </w:rPr>
      </w:pPr>
    </w:p>
    <w:p w14:paraId="1BCFB8B2">
      <w:pPr>
        <w:spacing w:line="241" w:lineRule="auto"/>
        <w:rPr>
          <w:rFonts w:ascii="Arial"/>
          <w:sz w:val="21"/>
        </w:rPr>
      </w:pPr>
    </w:p>
    <w:p w14:paraId="6B56D12A">
      <w:pPr>
        <w:spacing w:before="78" w:line="220" w:lineRule="auto"/>
        <w:ind w:left="4201"/>
        <w:outlineLvl w:val="0"/>
        <w:rPr>
          <w:rFonts w:ascii="宋体" w:hAnsi="宋体" w:eastAsia="宋体" w:cs="宋体"/>
          <w:sz w:val="24"/>
          <w:szCs w:val="24"/>
        </w:rPr>
      </w:pPr>
      <w:r>
        <w:rPr>
          <w:rFonts w:ascii="宋体" w:hAnsi="宋体" w:eastAsia="宋体" w:cs="宋体"/>
          <w:spacing w:val="-2"/>
          <w:sz w:val="24"/>
          <w:szCs w:val="24"/>
        </w:rPr>
        <w:t>草案版次选择</w:t>
      </w:r>
    </w:p>
    <w:p w14:paraId="230FEC25">
      <w:pPr>
        <w:spacing w:line="273" w:lineRule="auto"/>
        <w:rPr>
          <w:rFonts w:ascii="Arial"/>
          <w:sz w:val="21"/>
        </w:rPr>
      </w:pPr>
    </w:p>
    <w:p w14:paraId="08663029">
      <w:pPr>
        <w:spacing w:line="273" w:lineRule="auto"/>
        <w:rPr>
          <w:rFonts w:ascii="Arial"/>
          <w:sz w:val="21"/>
        </w:rPr>
      </w:pPr>
    </w:p>
    <w:p w14:paraId="76A95808">
      <w:pPr>
        <w:spacing w:line="273" w:lineRule="auto"/>
        <w:rPr>
          <w:rFonts w:ascii="Arial"/>
          <w:sz w:val="21"/>
        </w:rPr>
      </w:pPr>
    </w:p>
    <w:p w14:paraId="73252478">
      <w:pPr>
        <w:spacing w:line="273" w:lineRule="auto"/>
        <w:rPr>
          <w:rFonts w:ascii="Arial"/>
          <w:sz w:val="21"/>
        </w:rPr>
      </w:pPr>
    </w:p>
    <w:p w14:paraId="6F8A4722">
      <w:pPr>
        <w:spacing w:before="68" w:line="220" w:lineRule="auto"/>
        <w:ind w:left="1648"/>
        <w:rPr>
          <w:rFonts w:ascii="宋体" w:hAnsi="宋体" w:eastAsia="宋体" w:cs="宋体"/>
          <w:sz w:val="21"/>
          <w:szCs w:val="21"/>
        </w:rPr>
      </w:pPr>
      <w:r>
        <w:rPr>
          <w:rFonts w:ascii="宋体" w:hAnsi="宋体" w:eastAsia="宋体" w:cs="宋体"/>
          <w:b/>
          <w:bCs/>
          <w:sz w:val="21"/>
          <w:szCs w:val="21"/>
        </w:rPr>
        <w:t>在提交反馈意见时，请将您知道的相关专利连同支持性文件一并附上。</w:t>
      </w:r>
    </w:p>
    <w:p w14:paraId="5AB32E49">
      <w:pPr>
        <w:spacing w:line="255" w:lineRule="auto"/>
        <w:rPr>
          <w:rFonts w:ascii="Arial"/>
          <w:sz w:val="21"/>
        </w:rPr>
      </w:pPr>
    </w:p>
    <w:p w14:paraId="0A2283B5">
      <w:pPr>
        <w:spacing w:line="256" w:lineRule="auto"/>
        <w:rPr>
          <w:rFonts w:ascii="Arial"/>
          <w:sz w:val="21"/>
        </w:rPr>
      </w:pPr>
    </w:p>
    <w:p w14:paraId="09F52D0A">
      <w:pPr>
        <w:spacing w:line="256" w:lineRule="auto"/>
        <w:rPr>
          <w:rFonts w:ascii="Arial"/>
          <w:sz w:val="21"/>
        </w:rPr>
      </w:pPr>
    </w:p>
    <w:p w14:paraId="050693B2">
      <w:pPr>
        <w:spacing w:line="256" w:lineRule="auto"/>
        <w:rPr>
          <w:rFonts w:ascii="Arial"/>
          <w:sz w:val="21"/>
        </w:rPr>
      </w:pPr>
    </w:p>
    <w:p w14:paraId="13AE9DAA">
      <w:pPr>
        <w:spacing w:line="256" w:lineRule="auto"/>
        <w:rPr>
          <w:rFonts w:ascii="Arial"/>
          <w:sz w:val="21"/>
        </w:rPr>
      </w:pPr>
    </w:p>
    <w:p w14:paraId="68697068">
      <w:pPr>
        <w:spacing w:line="256" w:lineRule="auto"/>
        <w:rPr>
          <w:rFonts w:ascii="Arial"/>
          <w:sz w:val="21"/>
        </w:rPr>
      </w:pPr>
    </w:p>
    <w:p w14:paraId="4B5B5481">
      <w:pPr>
        <w:spacing w:line="256" w:lineRule="auto"/>
        <w:rPr>
          <w:rFonts w:ascii="Arial"/>
          <w:sz w:val="21"/>
        </w:rPr>
      </w:pPr>
    </w:p>
    <w:p w14:paraId="4561B2F1">
      <w:pPr>
        <w:spacing w:line="256" w:lineRule="auto"/>
        <w:rPr>
          <w:rFonts w:ascii="Arial"/>
          <w:sz w:val="21"/>
        </w:rPr>
      </w:pPr>
    </w:p>
    <w:p w14:paraId="3211793E">
      <w:pPr>
        <w:spacing w:line="256" w:lineRule="auto"/>
        <w:rPr>
          <w:rFonts w:ascii="Arial"/>
          <w:sz w:val="21"/>
        </w:rPr>
      </w:pPr>
    </w:p>
    <w:p w14:paraId="628D5532">
      <w:pPr>
        <w:spacing w:line="256" w:lineRule="auto"/>
        <w:rPr>
          <w:rFonts w:ascii="Arial"/>
          <w:sz w:val="21"/>
          <w:highlight w:val="none"/>
        </w:rPr>
      </w:pPr>
      <w:bookmarkStart w:id="0" w:name="_GoBack"/>
    </w:p>
    <w:p w14:paraId="6DE5B322">
      <w:pPr>
        <w:pStyle w:val="2"/>
        <w:spacing w:before="91" w:line="219" w:lineRule="auto"/>
        <w:jc w:val="right"/>
        <w:rPr>
          <w:highlight w:val="none"/>
        </w:rPr>
      </w:pPr>
      <w:r>
        <w:rPr>
          <w:spacing w:val="-3"/>
          <w:highlight w:val="none"/>
        </w:rPr>
        <w:t>XXXX</w:t>
      </w:r>
      <w:r>
        <w:rPr>
          <w:spacing w:val="-64"/>
          <w:highlight w:val="none"/>
        </w:rPr>
        <w:t xml:space="preserve"> </w:t>
      </w:r>
      <w:r>
        <w:rPr>
          <w:spacing w:val="-3"/>
          <w:highlight w:val="none"/>
        </w:rPr>
        <w:t>-</w:t>
      </w:r>
      <w:r>
        <w:rPr>
          <w:spacing w:val="-67"/>
          <w:highlight w:val="none"/>
        </w:rPr>
        <w:t xml:space="preserve"> </w:t>
      </w:r>
      <w:r>
        <w:rPr>
          <w:spacing w:val="-3"/>
          <w:highlight w:val="none"/>
        </w:rPr>
        <w:t>XX</w:t>
      </w:r>
      <w:r>
        <w:rPr>
          <w:spacing w:val="-66"/>
          <w:highlight w:val="none"/>
        </w:rPr>
        <w:t xml:space="preserve"> </w:t>
      </w:r>
      <w:r>
        <w:rPr>
          <w:spacing w:val="-3"/>
          <w:highlight w:val="none"/>
        </w:rPr>
        <w:t>-</w:t>
      </w:r>
      <w:r>
        <w:rPr>
          <w:spacing w:val="-65"/>
          <w:highlight w:val="none"/>
        </w:rPr>
        <w:t xml:space="preserve"> </w:t>
      </w:r>
      <w:r>
        <w:rPr>
          <w:spacing w:val="-3"/>
          <w:highlight w:val="none"/>
        </w:rPr>
        <w:t>XX</w:t>
      </w:r>
      <w:r>
        <w:rPr>
          <w:spacing w:val="-58"/>
          <w:highlight w:val="none"/>
        </w:rPr>
        <w:t xml:space="preserve"> </w:t>
      </w:r>
      <w:r>
        <w:rPr>
          <w:spacing w:val="-3"/>
          <w:highlight w:val="none"/>
        </w:rPr>
        <w:t>发布</w:t>
      </w:r>
      <w:r>
        <w:rPr>
          <w:highlight w:val="none"/>
        </w:rPr>
        <w:t xml:space="preserve">                                    </w:t>
      </w:r>
      <w:r>
        <w:rPr>
          <w:spacing w:val="-3"/>
          <w:highlight w:val="none"/>
        </w:rPr>
        <w:t>XXXX</w:t>
      </w:r>
      <w:r>
        <w:rPr>
          <w:spacing w:val="-55"/>
          <w:highlight w:val="none"/>
        </w:rPr>
        <w:t xml:space="preserve"> </w:t>
      </w:r>
      <w:r>
        <w:rPr>
          <w:spacing w:val="-3"/>
          <w:highlight w:val="none"/>
        </w:rPr>
        <w:t>-</w:t>
      </w:r>
      <w:r>
        <w:rPr>
          <w:spacing w:val="-67"/>
          <w:highlight w:val="none"/>
        </w:rPr>
        <w:t xml:space="preserve"> </w:t>
      </w:r>
      <w:r>
        <w:rPr>
          <w:spacing w:val="-3"/>
          <w:highlight w:val="none"/>
        </w:rPr>
        <w:t>XX</w:t>
      </w:r>
      <w:r>
        <w:rPr>
          <w:spacing w:val="-66"/>
          <w:highlight w:val="none"/>
        </w:rPr>
        <w:t xml:space="preserve"> </w:t>
      </w:r>
      <w:r>
        <w:rPr>
          <w:spacing w:val="-3"/>
          <w:highlight w:val="none"/>
        </w:rPr>
        <w:t>-</w:t>
      </w:r>
      <w:r>
        <w:rPr>
          <w:spacing w:val="-65"/>
          <w:highlight w:val="none"/>
        </w:rPr>
        <w:t xml:space="preserve"> </w:t>
      </w:r>
      <w:r>
        <w:rPr>
          <w:spacing w:val="-3"/>
          <w:highlight w:val="none"/>
        </w:rPr>
        <w:t>XX</w:t>
      </w:r>
      <w:r>
        <w:rPr>
          <w:spacing w:val="-53"/>
          <w:highlight w:val="none"/>
        </w:rPr>
        <w:t xml:space="preserve"> </w:t>
      </w:r>
      <w:r>
        <w:rPr>
          <w:spacing w:val="-4"/>
          <w:highlight w:val="none"/>
        </w:rPr>
        <w:t>实施</w:t>
      </w:r>
    </w:p>
    <w:bookmarkEnd w:id="0"/>
    <w:p w14:paraId="54C46BAC">
      <w:pPr>
        <w:spacing w:line="255" w:lineRule="auto"/>
        <w:rPr>
          <w:rFonts w:ascii="Arial"/>
          <w:sz w:val="21"/>
        </w:rPr>
      </w:pPr>
      <w:r>
        <w:pict>
          <v:shape id="_x0000_s1027" o:spid="_x0000_s1027" style="position:absolute;left:0pt;margin-left:4.75pt;margin-top:1.1pt;height:0.75pt;width:481.85pt;z-index:251659264;mso-width-relative:page;mso-height-relative:page;" filled="f" stroked="t" coordsize="9637,15" path="m0,7l9636,7e">
            <v:fill on="f" focussize="0,0"/>
            <v:stroke weight="0.72pt" color="#000000" miterlimit="10"/>
            <v:imagedata o:title=""/>
            <o:lock v:ext="edit"/>
          </v:shape>
        </w:pict>
      </w:r>
    </w:p>
    <w:p w14:paraId="465A8DED">
      <w:pPr>
        <w:spacing w:line="256" w:lineRule="auto"/>
        <w:rPr>
          <w:rFonts w:ascii="Arial"/>
          <w:sz w:val="21"/>
        </w:rPr>
      </w:pPr>
    </w:p>
    <w:p w14:paraId="6108DDB1">
      <w:pPr>
        <w:spacing w:line="256" w:lineRule="auto"/>
        <w:rPr>
          <w:rFonts w:ascii="Arial"/>
          <w:sz w:val="21"/>
        </w:rPr>
      </w:pPr>
    </w:p>
    <w:p w14:paraId="44877EA8">
      <w:pPr>
        <w:pStyle w:val="2"/>
        <w:spacing w:before="92" w:line="219" w:lineRule="auto"/>
        <w:ind w:left="2315"/>
        <w:sectPr>
          <w:pgSz w:w="11907" w:h="16839"/>
          <w:pgMar w:top="553" w:right="821" w:bottom="0" w:left="1328" w:header="0" w:footer="0" w:gutter="0"/>
          <w:cols w:space="720" w:num="1"/>
        </w:sectPr>
      </w:pPr>
      <w:r>
        <w:rPr>
          <w:spacing w:val="-1"/>
        </w:rPr>
        <w:t>浙江省汽车工业技术创新协会    发</w:t>
      </w:r>
      <w:r>
        <w:rPr>
          <w:spacing w:val="42"/>
        </w:rPr>
        <w:t xml:space="preserve"> </w:t>
      </w:r>
      <w:r>
        <w:rPr>
          <w:spacing w:val="-1"/>
        </w:rPr>
        <w:t>布</w:t>
      </w:r>
    </w:p>
    <w:p w14:paraId="40B367C2">
      <w:pPr>
        <w:spacing w:line="317" w:lineRule="auto"/>
        <w:rPr>
          <w:rFonts w:ascii="Arial"/>
          <w:sz w:val="21"/>
        </w:rPr>
      </w:pPr>
    </w:p>
    <w:p w14:paraId="462DAFF2">
      <w:pPr>
        <w:pStyle w:val="2"/>
        <w:spacing w:before="100" w:line="225" w:lineRule="auto"/>
        <w:ind w:left="4040"/>
        <w:outlineLvl w:val="0"/>
        <w:rPr>
          <w:sz w:val="31"/>
          <w:szCs w:val="31"/>
        </w:rPr>
      </w:pPr>
      <w:r>
        <w:rPr>
          <w:spacing w:val="-2"/>
          <w:sz w:val="31"/>
          <w:szCs w:val="31"/>
        </w:rPr>
        <w:t>前</w:t>
      </w:r>
      <w:r>
        <w:rPr>
          <w:spacing w:val="11"/>
          <w:sz w:val="31"/>
          <w:szCs w:val="31"/>
        </w:rPr>
        <w:t xml:space="preserve">    </w:t>
      </w:r>
      <w:r>
        <w:rPr>
          <w:spacing w:val="-2"/>
          <w:sz w:val="31"/>
          <w:szCs w:val="31"/>
        </w:rPr>
        <w:t>言</w:t>
      </w:r>
    </w:p>
    <w:p w14:paraId="6CC24D1D">
      <w:pPr>
        <w:spacing w:line="313" w:lineRule="auto"/>
        <w:rPr>
          <w:rFonts w:ascii="Arial"/>
          <w:sz w:val="21"/>
        </w:rPr>
      </w:pPr>
    </w:p>
    <w:p w14:paraId="747B2FCC">
      <w:pPr>
        <w:spacing w:line="338" w:lineRule="auto"/>
        <w:rPr>
          <w:rFonts w:hint="eastAsia" w:ascii="宋体" w:hAnsi="宋体" w:eastAsia="宋体" w:cs="宋体"/>
          <w:sz w:val="21"/>
          <w:szCs w:val="21"/>
        </w:rPr>
      </w:pPr>
    </w:p>
    <w:p w14:paraId="55EE500D">
      <w:pPr>
        <w:spacing w:before="68" w:line="239" w:lineRule="auto"/>
        <w:ind w:firstLine="420"/>
        <w:rPr>
          <w:rFonts w:hint="eastAsia" w:ascii="宋体" w:hAnsi="宋体" w:eastAsia="宋体" w:cs="宋体"/>
          <w:sz w:val="21"/>
          <w:szCs w:val="21"/>
        </w:rPr>
      </w:pPr>
      <w:r>
        <w:rPr>
          <w:rFonts w:hint="eastAsia" w:ascii="宋体" w:hAnsi="宋体" w:eastAsia="宋体" w:cs="宋体"/>
          <w:sz w:val="21"/>
          <w:szCs w:val="21"/>
        </w:rPr>
        <w:t>本文件按照 GB/T 1.1—2020《标准化工作导则 第1部分：标准化文件的结构和起草规则》的规定起草。</w:t>
      </w:r>
    </w:p>
    <w:p w14:paraId="66160F9F">
      <w:pPr>
        <w:spacing w:before="68" w:line="239" w:lineRule="auto"/>
        <w:ind w:firstLine="420"/>
        <w:rPr>
          <w:rFonts w:hint="eastAsia" w:ascii="宋体" w:hAnsi="宋体" w:eastAsia="宋体" w:cs="宋体"/>
          <w:sz w:val="21"/>
          <w:szCs w:val="21"/>
        </w:rPr>
      </w:pPr>
      <w:r>
        <w:rPr>
          <w:rFonts w:hint="eastAsia" w:ascii="宋体" w:hAnsi="宋体" w:eastAsia="宋体" w:cs="宋体"/>
          <w:sz w:val="21"/>
          <w:szCs w:val="21"/>
        </w:rPr>
        <w:t>请注意本文件的某些内容可能涉及专利。本文件的发布机构不承担识别专利的责任。</w:t>
      </w:r>
    </w:p>
    <w:p w14:paraId="531633EC">
      <w:pPr>
        <w:spacing w:before="68" w:line="239" w:lineRule="auto"/>
        <w:ind w:firstLine="420"/>
        <w:rPr>
          <w:rFonts w:hint="eastAsia" w:ascii="宋体" w:hAnsi="宋体" w:eastAsia="宋体" w:cs="宋体"/>
          <w:sz w:val="21"/>
          <w:szCs w:val="21"/>
        </w:rPr>
      </w:pPr>
      <w:r>
        <w:rPr>
          <w:rFonts w:hint="eastAsia" w:ascii="宋体" w:hAnsi="宋体" w:eastAsia="宋体" w:cs="宋体"/>
          <w:sz w:val="21"/>
          <w:szCs w:val="21"/>
        </w:rPr>
        <w:t>本文件由浙江省汽车工业技术创新协会提出并归口。</w:t>
      </w:r>
    </w:p>
    <w:p w14:paraId="7C0C6620">
      <w:pPr>
        <w:spacing w:before="68" w:line="239" w:lineRule="auto"/>
        <w:ind w:firstLine="420"/>
        <w:rPr>
          <w:rFonts w:hint="eastAsia" w:ascii="宋体" w:hAnsi="宋体" w:eastAsia="宋体" w:cs="宋体"/>
          <w:sz w:val="21"/>
          <w:szCs w:val="21"/>
        </w:rPr>
      </w:pPr>
      <w:r>
        <w:rPr>
          <w:rFonts w:hint="eastAsia" w:ascii="宋体" w:hAnsi="宋体" w:eastAsia="宋体" w:cs="宋体"/>
          <w:sz w:val="21"/>
          <w:szCs w:val="21"/>
        </w:rPr>
        <w:t>本文件起草单位：宁波海威汽车零件股份有限公司、</w:t>
      </w:r>
      <w:r>
        <w:rPr>
          <w:rFonts w:hint="eastAsia" w:ascii="宋体" w:hAnsi="宋体" w:eastAsia="宋体" w:cs="宋体"/>
          <w:sz w:val="21"/>
          <w:szCs w:val="21"/>
          <w:lang w:eastAsia="zh-CN"/>
        </w:rPr>
        <w:t>宁波鑫精华轴业有限公司、浙江瑞强汽车部件有限公司、浙江省</w:t>
      </w:r>
      <w:r>
        <w:rPr>
          <w:rFonts w:hint="eastAsia" w:ascii="宋体" w:hAnsi="宋体" w:eastAsia="宋体" w:cs="宋体"/>
          <w:sz w:val="21"/>
          <w:szCs w:val="21"/>
          <w:lang w:val="en-US" w:eastAsia="zh-CN"/>
        </w:rPr>
        <w:t>智能网联汽车创新中心、中铝（浙江）汽车轻量化科技有限公司</w:t>
      </w:r>
      <w:r>
        <w:rPr>
          <w:rFonts w:hint="eastAsia" w:ascii="宋体" w:hAnsi="宋体" w:eastAsia="宋体" w:cs="宋体"/>
          <w:sz w:val="21"/>
          <w:szCs w:val="21"/>
        </w:rPr>
        <w:t>等。</w:t>
      </w:r>
    </w:p>
    <w:p w14:paraId="12C7911F">
      <w:pPr>
        <w:spacing w:before="68" w:line="239" w:lineRule="auto"/>
        <w:ind w:firstLine="420"/>
        <w:rPr>
          <w:rFonts w:hint="eastAsia" w:ascii="宋体" w:hAnsi="宋体" w:eastAsia="宋体" w:cs="宋体"/>
          <w:sz w:val="21"/>
          <w:szCs w:val="21"/>
        </w:rPr>
      </w:pPr>
      <w:r>
        <w:rPr>
          <w:rFonts w:hint="eastAsia" w:ascii="宋体" w:hAnsi="宋体" w:eastAsia="宋体" w:cs="宋体"/>
          <w:sz w:val="21"/>
          <w:szCs w:val="21"/>
        </w:rPr>
        <w:t>本文件主要起草人：</w:t>
      </w:r>
      <w:r>
        <w:rPr>
          <w:rFonts w:hint="eastAsia" w:ascii="宋体" w:hAnsi="宋体" w:eastAsia="宋体" w:cs="宋体"/>
          <w:sz w:val="21"/>
          <w:szCs w:val="21"/>
          <w:lang w:eastAsia="zh-CN"/>
        </w:rPr>
        <w:t>俞璟、盛亚、周剑辉、姜裕堤、李乡武、赵平新</w:t>
      </w:r>
      <w:r>
        <w:rPr>
          <w:rFonts w:hint="eastAsia" w:ascii="宋体" w:hAnsi="宋体" w:eastAsia="宋体" w:cs="宋体"/>
          <w:sz w:val="21"/>
          <w:szCs w:val="21"/>
        </w:rPr>
        <w:t>等。</w:t>
      </w:r>
    </w:p>
    <w:p w14:paraId="267147FC">
      <w:pPr>
        <w:spacing w:line="338" w:lineRule="auto"/>
        <w:rPr>
          <w:rFonts w:hint="eastAsia" w:ascii="宋体" w:hAnsi="宋体" w:eastAsia="宋体" w:cs="宋体"/>
          <w:sz w:val="21"/>
          <w:szCs w:val="21"/>
        </w:rPr>
      </w:pPr>
    </w:p>
    <w:p w14:paraId="47DD4005">
      <w:pPr>
        <w:spacing w:line="338" w:lineRule="auto"/>
        <w:rPr>
          <w:rFonts w:hint="eastAsia" w:ascii="宋体" w:hAnsi="宋体" w:eastAsia="宋体" w:cs="宋体"/>
          <w:sz w:val="21"/>
          <w:szCs w:val="21"/>
        </w:rPr>
      </w:pPr>
    </w:p>
    <w:p w14:paraId="5C939262">
      <w:pPr>
        <w:spacing w:line="338" w:lineRule="auto"/>
        <w:rPr>
          <w:rFonts w:hint="eastAsia" w:ascii="宋体" w:hAnsi="宋体" w:eastAsia="宋体" w:cs="宋体"/>
          <w:sz w:val="21"/>
          <w:szCs w:val="21"/>
        </w:rPr>
      </w:pPr>
    </w:p>
    <w:p w14:paraId="77B01DB8">
      <w:pPr>
        <w:spacing w:line="338" w:lineRule="auto"/>
        <w:rPr>
          <w:rFonts w:hint="eastAsia" w:ascii="宋体" w:hAnsi="宋体" w:eastAsia="宋体" w:cs="宋体"/>
          <w:sz w:val="21"/>
          <w:szCs w:val="21"/>
        </w:rPr>
      </w:pPr>
    </w:p>
    <w:p w14:paraId="7B24A929">
      <w:pPr>
        <w:spacing w:line="338" w:lineRule="auto"/>
        <w:rPr>
          <w:rFonts w:hint="eastAsia" w:ascii="宋体" w:hAnsi="宋体" w:eastAsia="宋体" w:cs="宋体"/>
          <w:sz w:val="21"/>
          <w:szCs w:val="21"/>
        </w:rPr>
      </w:pPr>
    </w:p>
    <w:p w14:paraId="3DD3A557">
      <w:pPr>
        <w:spacing w:line="338" w:lineRule="auto"/>
        <w:rPr>
          <w:rFonts w:hint="eastAsia" w:ascii="宋体" w:hAnsi="宋体" w:eastAsia="宋体" w:cs="宋体"/>
          <w:sz w:val="21"/>
          <w:szCs w:val="21"/>
        </w:rPr>
      </w:pPr>
    </w:p>
    <w:p w14:paraId="593D7D70">
      <w:pPr>
        <w:spacing w:line="338" w:lineRule="auto"/>
        <w:rPr>
          <w:rFonts w:hint="eastAsia" w:ascii="宋体" w:hAnsi="宋体" w:eastAsia="宋体" w:cs="宋体"/>
          <w:sz w:val="21"/>
          <w:szCs w:val="21"/>
        </w:rPr>
      </w:pPr>
    </w:p>
    <w:p w14:paraId="42C7DAFB">
      <w:pPr>
        <w:spacing w:line="338" w:lineRule="auto"/>
        <w:rPr>
          <w:rFonts w:hint="eastAsia" w:ascii="宋体" w:hAnsi="宋体" w:eastAsia="宋体" w:cs="宋体"/>
          <w:sz w:val="21"/>
          <w:szCs w:val="21"/>
        </w:rPr>
      </w:pPr>
    </w:p>
    <w:p w14:paraId="44DB9335">
      <w:pPr>
        <w:spacing w:line="338" w:lineRule="auto"/>
        <w:rPr>
          <w:rFonts w:hint="eastAsia" w:ascii="宋体" w:hAnsi="宋体" w:eastAsia="宋体" w:cs="宋体"/>
          <w:sz w:val="21"/>
          <w:szCs w:val="21"/>
        </w:rPr>
      </w:pPr>
    </w:p>
    <w:p w14:paraId="1721D38C">
      <w:pPr>
        <w:spacing w:line="338" w:lineRule="auto"/>
        <w:rPr>
          <w:rFonts w:hint="eastAsia" w:ascii="宋体" w:hAnsi="宋体" w:eastAsia="宋体" w:cs="宋体"/>
          <w:sz w:val="21"/>
          <w:szCs w:val="21"/>
        </w:rPr>
      </w:pPr>
    </w:p>
    <w:p w14:paraId="77439E83">
      <w:pPr>
        <w:spacing w:line="338" w:lineRule="auto"/>
        <w:rPr>
          <w:rFonts w:hint="eastAsia" w:ascii="宋体" w:hAnsi="宋体" w:eastAsia="宋体" w:cs="宋体"/>
          <w:sz w:val="21"/>
          <w:szCs w:val="21"/>
        </w:rPr>
      </w:pPr>
    </w:p>
    <w:p w14:paraId="5B0F9357">
      <w:pPr>
        <w:spacing w:line="338" w:lineRule="auto"/>
        <w:rPr>
          <w:rFonts w:hint="eastAsia" w:ascii="宋体" w:hAnsi="宋体" w:eastAsia="宋体" w:cs="宋体"/>
          <w:sz w:val="21"/>
          <w:szCs w:val="21"/>
        </w:rPr>
      </w:pPr>
    </w:p>
    <w:p w14:paraId="3BBF25D8">
      <w:pPr>
        <w:spacing w:line="338" w:lineRule="auto"/>
        <w:rPr>
          <w:rFonts w:hint="eastAsia" w:ascii="宋体" w:hAnsi="宋体" w:eastAsia="宋体" w:cs="宋体"/>
          <w:sz w:val="21"/>
          <w:szCs w:val="21"/>
        </w:rPr>
      </w:pPr>
    </w:p>
    <w:p w14:paraId="715DC98E">
      <w:pPr>
        <w:spacing w:line="338" w:lineRule="auto"/>
        <w:rPr>
          <w:rFonts w:hint="eastAsia" w:ascii="宋体" w:hAnsi="宋体" w:eastAsia="宋体" w:cs="宋体"/>
          <w:sz w:val="21"/>
          <w:szCs w:val="21"/>
        </w:rPr>
      </w:pPr>
    </w:p>
    <w:p w14:paraId="39B9EA49">
      <w:pPr>
        <w:spacing w:line="338" w:lineRule="auto"/>
        <w:rPr>
          <w:rFonts w:hint="eastAsia" w:ascii="宋体" w:hAnsi="宋体" w:eastAsia="宋体" w:cs="宋体"/>
          <w:sz w:val="21"/>
          <w:szCs w:val="21"/>
        </w:rPr>
      </w:pPr>
    </w:p>
    <w:p w14:paraId="2A88668B">
      <w:pPr>
        <w:spacing w:line="338" w:lineRule="auto"/>
        <w:rPr>
          <w:rFonts w:hint="eastAsia" w:ascii="宋体" w:hAnsi="宋体" w:eastAsia="宋体" w:cs="宋体"/>
          <w:sz w:val="21"/>
          <w:szCs w:val="21"/>
        </w:rPr>
      </w:pPr>
    </w:p>
    <w:p w14:paraId="13EACAEC">
      <w:pPr>
        <w:spacing w:line="338" w:lineRule="auto"/>
        <w:rPr>
          <w:rFonts w:hint="eastAsia" w:ascii="宋体" w:hAnsi="宋体" w:eastAsia="宋体" w:cs="宋体"/>
          <w:sz w:val="21"/>
          <w:szCs w:val="21"/>
        </w:rPr>
      </w:pPr>
    </w:p>
    <w:p w14:paraId="39F979B0">
      <w:pPr>
        <w:spacing w:line="338" w:lineRule="auto"/>
        <w:rPr>
          <w:rFonts w:hint="eastAsia" w:ascii="宋体" w:hAnsi="宋体" w:eastAsia="宋体" w:cs="宋体"/>
          <w:sz w:val="21"/>
          <w:szCs w:val="21"/>
        </w:rPr>
      </w:pPr>
    </w:p>
    <w:p w14:paraId="7C9853E8">
      <w:pPr>
        <w:spacing w:line="338" w:lineRule="auto"/>
        <w:rPr>
          <w:rFonts w:ascii="Arial"/>
          <w:sz w:val="21"/>
        </w:rPr>
      </w:pPr>
    </w:p>
    <w:p w14:paraId="4FE50E9D">
      <w:pPr>
        <w:spacing w:line="338" w:lineRule="auto"/>
        <w:rPr>
          <w:rFonts w:ascii="Arial"/>
          <w:sz w:val="21"/>
        </w:rPr>
      </w:pPr>
    </w:p>
    <w:p w14:paraId="1E0D97FB">
      <w:pPr>
        <w:spacing w:line="338" w:lineRule="auto"/>
        <w:rPr>
          <w:rFonts w:ascii="Arial"/>
          <w:sz w:val="21"/>
        </w:rPr>
      </w:pPr>
    </w:p>
    <w:p w14:paraId="53E2BB61">
      <w:pPr>
        <w:spacing w:line="338" w:lineRule="auto"/>
        <w:rPr>
          <w:rFonts w:ascii="Arial"/>
          <w:sz w:val="21"/>
        </w:rPr>
      </w:pPr>
    </w:p>
    <w:p w14:paraId="6C8A52F5">
      <w:pPr>
        <w:spacing w:line="465" w:lineRule="auto"/>
        <w:jc w:val="center"/>
        <w:rPr>
          <w:b/>
          <w:bCs/>
          <w:spacing w:val="8"/>
          <w:sz w:val="31"/>
          <w:szCs w:val="31"/>
        </w:rPr>
      </w:pPr>
    </w:p>
    <w:p w14:paraId="36E98B53">
      <w:pPr>
        <w:spacing w:line="465" w:lineRule="auto"/>
        <w:jc w:val="center"/>
        <w:rPr>
          <w:b/>
          <w:bCs/>
          <w:spacing w:val="8"/>
          <w:sz w:val="31"/>
          <w:szCs w:val="31"/>
        </w:rPr>
      </w:pPr>
    </w:p>
    <w:p w14:paraId="3A223900">
      <w:pPr>
        <w:spacing w:before="380" w:after="140" w:line="288" w:lineRule="auto"/>
        <w:ind w:left="0"/>
        <w:jc w:val="center"/>
        <w:outlineLvl w:val="0"/>
        <w:rPr>
          <w:rFonts w:hint="eastAsia" w:ascii="黑体" w:hAnsi="黑体" w:eastAsia="黑体" w:cs="黑体"/>
          <w:snapToGrid w:val="0"/>
          <w:color w:val="000000"/>
          <w:spacing w:val="8"/>
          <w:kern w:val="0"/>
          <w:sz w:val="31"/>
          <w:szCs w:val="31"/>
          <w:lang w:val="en-US" w:eastAsia="en-US" w:bidi="ar-SA"/>
        </w:rPr>
      </w:pPr>
      <w:r>
        <w:rPr>
          <w:rFonts w:hint="eastAsia" w:ascii="黑体" w:hAnsi="黑体" w:eastAsia="黑体" w:cs="黑体"/>
          <w:snapToGrid w:val="0"/>
          <w:color w:val="000000"/>
          <w:spacing w:val="8"/>
          <w:kern w:val="0"/>
          <w:sz w:val="31"/>
          <w:szCs w:val="31"/>
          <w:lang w:val="en-US" w:eastAsia="en-US" w:bidi="ar-SA"/>
        </w:rPr>
        <w:t>新能源汽车大型复杂薄壁车身结构件的技术要求</w:t>
      </w:r>
    </w:p>
    <w:p w14:paraId="73C4F69A">
      <w:pPr>
        <w:pStyle w:val="2"/>
        <w:spacing w:before="68" w:line="221" w:lineRule="auto"/>
        <w:jc w:val="both"/>
        <w:outlineLvl w:val="1"/>
        <w:rPr>
          <w:rFonts w:hint="eastAsia"/>
          <w:b/>
          <w:bCs/>
          <w:spacing w:val="8"/>
          <w:sz w:val="31"/>
          <w:szCs w:val="31"/>
        </w:rPr>
      </w:pPr>
    </w:p>
    <w:p w14:paraId="5C5DBE4C">
      <w:pPr>
        <w:pStyle w:val="2"/>
        <w:keepNext w:val="0"/>
        <w:keepLines w:val="0"/>
        <w:pageBreakBefore w:val="0"/>
        <w:widowControl/>
        <w:kinsoku w:val="0"/>
        <w:wordWrap/>
        <w:overflowPunct/>
        <w:topLinePunct w:val="0"/>
        <w:autoSpaceDE w:val="0"/>
        <w:autoSpaceDN w:val="0"/>
        <w:bidi w:val="0"/>
        <w:adjustRightInd w:val="0"/>
        <w:snapToGrid w:val="0"/>
        <w:spacing w:before="308" w:line="221" w:lineRule="auto"/>
        <w:ind w:left="11"/>
        <w:textAlignment w:val="baseline"/>
        <w:outlineLvl w:val="1"/>
        <w:rPr>
          <w:rFonts w:hint="eastAsia"/>
          <w:spacing w:val="-8"/>
          <w:sz w:val="24"/>
          <w:szCs w:val="24"/>
        </w:rPr>
      </w:pPr>
      <w:r>
        <w:rPr>
          <w:rFonts w:hint="eastAsia"/>
          <w:spacing w:val="-8"/>
          <w:sz w:val="24"/>
          <w:szCs w:val="24"/>
        </w:rPr>
        <w:t xml:space="preserve">1 </w:t>
      </w:r>
      <w:r>
        <w:rPr>
          <w:rFonts w:hint="eastAsia"/>
          <w:spacing w:val="-8"/>
          <w:sz w:val="24"/>
          <w:szCs w:val="24"/>
          <w:lang w:val="en-US" w:eastAsia="zh-CN"/>
        </w:rPr>
        <w:t xml:space="preserve"> </w:t>
      </w:r>
      <w:r>
        <w:rPr>
          <w:rFonts w:hint="eastAsia"/>
          <w:spacing w:val="-8"/>
          <w:sz w:val="24"/>
          <w:szCs w:val="24"/>
        </w:rPr>
        <w:t>范围</w:t>
      </w:r>
    </w:p>
    <w:p w14:paraId="1791B234">
      <w:pPr>
        <w:pStyle w:val="2"/>
        <w:keepNext w:val="0"/>
        <w:keepLines w:val="0"/>
        <w:pageBreakBefore w:val="0"/>
        <w:widowControl/>
        <w:kinsoku w:val="0"/>
        <w:wordWrap/>
        <w:overflowPunct/>
        <w:topLinePunct w:val="0"/>
        <w:autoSpaceDE w:val="0"/>
        <w:autoSpaceDN w:val="0"/>
        <w:bidi w:val="0"/>
        <w:adjustRightInd w:val="0"/>
        <w:snapToGrid w:val="0"/>
        <w:spacing w:before="263" w:line="221" w:lineRule="auto"/>
        <w:ind w:left="0" w:firstLine="420" w:firstLineChars="200"/>
        <w:textAlignment w:val="baseline"/>
        <w:outlineLvl w:val="1"/>
        <w:rPr>
          <w:rFonts w:hint="eastAsia" w:ascii="宋体" w:hAnsi="宋体" w:eastAsia="宋体" w:cs="宋体"/>
          <w:sz w:val="21"/>
          <w:szCs w:val="21"/>
        </w:rPr>
      </w:pPr>
      <w:r>
        <w:rPr>
          <w:rFonts w:hint="eastAsia" w:ascii="宋体" w:hAnsi="宋体" w:eastAsia="宋体" w:cs="宋体"/>
          <w:sz w:val="21"/>
          <w:szCs w:val="21"/>
        </w:rPr>
        <w:t>本文件规定了新能源汽车大型复杂薄壁车身结构件的术语和定义、分类、技术要求、试验方法、检验规则、标志、包装、运输和贮存以及连接与装配要求。</w:t>
      </w:r>
    </w:p>
    <w:p w14:paraId="73CB1A52">
      <w:pPr>
        <w:pStyle w:val="2"/>
        <w:keepNext w:val="0"/>
        <w:keepLines w:val="0"/>
        <w:pageBreakBefore w:val="0"/>
        <w:widowControl/>
        <w:kinsoku w:val="0"/>
        <w:wordWrap/>
        <w:overflowPunct/>
        <w:topLinePunct w:val="0"/>
        <w:autoSpaceDE w:val="0"/>
        <w:autoSpaceDN w:val="0"/>
        <w:bidi w:val="0"/>
        <w:adjustRightInd w:val="0"/>
        <w:snapToGrid w:val="0"/>
        <w:spacing w:before="263" w:line="221" w:lineRule="auto"/>
        <w:ind w:left="0" w:firstLine="420" w:firstLineChars="200"/>
        <w:textAlignment w:val="baseline"/>
        <w:outlineLvl w:val="1"/>
        <w:rPr>
          <w:rFonts w:hint="eastAsia" w:ascii="宋体" w:hAnsi="宋体" w:eastAsia="宋体" w:cs="宋体"/>
          <w:sz w:val="21"/>
          <w:szCs w:val="21"/>
        </w:rPr>
      </w:pPr>
      <w:r>
        <w:rPr>
          <w:rFonts w:hint="eastAsia" w:ascii="宋体" w:hAnsi="宋体" w:eastAsia="宋体" w:cs="宋体"/>
          <w:sz w:val="21"/>
          <w:szCs w:val="21"/>
        </w:rPr>
        <w:t>本文件适用于采用高压压铸工艺生产的新能源汽车车身用大型复杂薄壁结构件（以下简称“结构件”），包括但不限于前机舱、后地板、纵梁、横梁等承力结构件。采用其他压铸工艺生产的新能源汽车铝合金结构件可参照执行。</w:t>
      </w:r>
    </w:p>
    <w:p w14:paraId="7839289F">
      <w:pPr>
        <w:rPr>
          <w:rFonts w:hint="eastAsia"/>
          <w:spacing w:val="-8"/>
          <w:sz w:val="24"/>
          <w:szCs w:val="24"/>
        </w:rPr>
      </w:pPr>
    </w:p>
    <w:p w14:paraId="7EFFE0F1">
      <w:pPr>
        <w:pStyle w:val="2"/>
        <w:keepNext w:val="0"/>
        <w:keepLines w:val="0"/>
        <w:pageBreakBefore w:val="0"/>
        <w:widowControl/>
        <w:kinsoku w:val="0"/>
        <w:wordWrap/>
        <w:overflowPunct/>
        <w:topLinePunct w:val="0"/>
        <w:autoSpaceDE w:val="0"/>
        <w:autoSpaceDN w:val="0"/>
        <w:bidi w:val="0"/>
        <w:adjustRightInd w:val="0"/>
        <w:snapToGrid w:val="0"/>
        <w:spacing w:before="308" w:line="221" w:lineRule="auto"/>
        <w:ind w:left="11"/>
        <w:textAlignment w:val="baseline"/>
        <w:outlineLvl w:val="1"/>
        <w:rPr>
          <w:rFonts w:hint="eastAsia"/>
          <w:spacing w:val="-8"/>
          <w:sz w:val="24"/>
          <w:szCs w:val="24"/>
        </w:rPr>
      </w:pPr>
      <w:r>
        <w:rPr>
          <w:rFonts w:hint="eastAsia"/>
          <w:spacing w:val="-8"/>
          <w:sz w:val="24"/>
          <w:szCs w:val="24"/>
        </w:rPr>
        <w:t xml:space="preserve">2 </w:t>
      </w:r>
      <w:r>
        <w:rPr>
          <w:rFonts w:hint="eastAsia"/>
          <w:spacing w:val="-8"/>
          <w:sz w:val="24"/>
          <w:szCs w:val="24"/>
          <w:lang w:val="en-US" w:eastAsia="zh-CN"/>
        </w:rPr>
        <w:t xml:space="preserve"> </w:t>
      </w:r>
      <w:r>
        <w:rPr>
          <w:rFonts w:hint="eastAsia"/>
          <w:spacing w:val="-8"/>
          <w:sz w:val="24"/>
          <w:szCs w:val="24"/>
        </w:rPr>
        <w:t>规范性引用文件</w:t>
      </w:r>
    </w:p>
    <w:p w14:paraId="568E7013">
      <w:pPr>
        <w:rPr>
          <w:rFonts w:hint="eastAsia"/>
          <w:spacing w:val="-8"/>
          <w:sz w:val="24"/>
          <w:szCs w:val="24"/>
        </w:rPr>
      </w:pPr>
    </w:p>
    <w:p w14:paraId="69FCAA3F">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下列文件对于本文件的应用是必不可少的。凡是注日期的引用文件，仅注日期的版本适用于本文件。凡是不注日期的引用文件，其最新版本（包括所有的修改单）适用于本文件。</w:t>
      </w:r>
    </w:p>
    <w:p w14:paraId="165C0571">
      <w:pPr>
        <w:rPr>
          <w:rFonts w:hint="eastAsia" w:ascii="宋体" w:hAnsi="宋体" w:eastAsia="宋体" w:cs="宋体"/>
          <w:snapToGrid w:val="0"/>
          <w:color w:val="000000"/>
          <w:kern w:val="0"/>
          <w:sz w:val="21"/>
          <w:szCs w:val="21"/>
          <w:lang w:val="en-US" w:eastAsia="en-US" w:bidi="ar-SA"/>
        </w:rPr>
      </w:pPr>
    </w:p>
    <w:p w14:paraId="0186D054">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GB/T 228.1 金属材料 拉伸试验 第1部分：室温试验方法</w:t>
      </w:r>
    </w:p>
    <w:p w14:paraId="4ACEECDC">
      <w:pPr>
        <w:rPr>
          <w:rFonts w:hint="eastAsia" w:ascii="宋体" w:hAnsi="宋体" w:eastAsia="宋体" w:cs="宋体"/>
          <w:snapToGrid w:val="0"/>
          <w:color w:val="000000"/>
          <w:kern w:val="0"/>
          <w:sz w:val="21"/>
          <w:szCs w:val="21"/>
          <w:lang w:val="en-US" w:eastAsia="en-US" w:bidi="ar-SA"/>
        </w:rPr>
      </w:pPr>
    </w:p>
    <w:p w14:paraId="63CE06B6">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GB/T 1182 产品几何技术规范（GPS）几何公差 形状、方向、位置和跳动公差标注</w:t>
      </w:r>
    </w:p>
    <w:p w14:paraId="0176868D">
      <w:pPr>
        <w:rPr>
          <w:rFonts w:hint="eastAsia" w:ascii="宋体" w:hAnsi="宋体" w:eastAsia="宋体" w:cs="宋体"/>
          <w:snapToGrid w:val="0"/>
          <w:color w:val="000000"/>
          <w:kern w:val="0"/>
          <w:sz w:val="21"/>
          <w:szCs w:val="21"/>
          <w:lang w:val="en-US" w:eastAsia="en-US" w:bidi="ar-SA"/>
        </w:rPr>
      </w:pPr>
    </w:p>
    <w:p w14:paraId="579EDF52">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GB/T 15114 铝合金压铸件</w:t>
      </w:r>
    </w:p>
    <w:p w14:paraId="2CF22961">
      <w:pPr>
        <w:rPr>
          <w:rFonts w:hint="eastAsia" w:ascii="宋体" w:hAnsi="宋体" w:eastAsia="宋体" w:cs="宋体"/>
          <w:snapToGrid w:val="0"/>
          <w:color w:val="000000"/>
          <w:kern w:val="0"/>
          <w:sz w:val="21"/>
          <w:szCs w:val="21"/>
          <w:lang w:val="en-US" w:eastAsia="en-US" w:bidi="ar-SA"/>
        </w:rPr>
      </w:pPr>
    </w:p>
    <w:p w14:paraId="2523EFCD">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GB/T 15115 压铸铝合金</w:t>
      </w:r>
    </w:p>
    <w:p w14:paraId="03204F15">
      <w:pPr>
        <w:rPr>
          <w:rFonts w:hint="eastAsia" w:ascii="宋体" w:hAnsi="宋体" w:eastAsia="宋体" w:cs="宋体"/>
          <w:snapToGrid w:val="0"/>
          <w:color w:val="000000"/>
          <w:kern w:val="0"/>
          <w:sz w:val="21"/>
          <w:szCs w:val="21"/>
          <w:lang w:val="en-US" w:eastAsia="en-US" w:bidi="ar-SA"/>
        </w:rPr>
      </w:pPr>
    </w:p>
    <w:p w14:paraId="1846B8C9">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GB/T 25745 铸造铝合金热处理</w:t>
      </w:r>
    </w:p>
    <w:p w14:paraId="554D1923">
      <w:pPr>
        <w:rPr>
          <w:rFonts w:hint="eastAsia" w:ascii="宋体" w:hAnsi="宋体" w:eastAsia="宋体" w:cs="宋体"/>
          <w:snapToGrid w:val="0"/>
          <w:color w:val="000000"/>
          <w:kern w:val="0"/>
          <w:sz w:val="21"/>
          <w:szCs w:val="21"/>
          <w:lang w:val="en-US" w:eastAsia="en-US" w:bidi="ar-SA"/>
        </w:rPr>
      </w:pPr>
    </w:p>
    <w:p w14:paraId="54462D29">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GB/T 7999 铝及铝合金光电直读发射光谱分析方法</w:t>
      </w:r>
    </w:p>
    <w:p w14:paraId="60C928E4">
      <w:pPr>
        <w:rPr>
          <w:rFonts w:hint="eastAsia" w:ascii="宋体" w:hAnsi="宋体" w:eastAsia="宋体" w:cs="宋体"/>
          <w:snapToGrid w:val="0"/>
          <w:color w:val="000000"/>
          <w:kern w:val="0"/>
          <w:sz w:val="21"/>
          <w:szCs w:val="21"/>
          <w:lang w:val="en-US" w:eastAsia="en-US" w:bidi="ar-SA"/>
        </w:rPr>
      </w:pPr>
    </w:p>
    <w:p w14:paraId="2A761C4F">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GB/T 20975 铝及铝合金化学分析方法</w:t>
      </w:r>
    </w:p>
    <w:p w14:paraId="7B7C785E">
      <w:pPr>
        <w:rPr>
          <w:rFonts w:hint="eastAsia" w:ascii="宋体" w:hAnsi="宋体" w:eastAsia="宋体" w:cs="宋体"/>
          <w:snapToGrid w:val="0"/>
          <w:color w:val="000000"/>
          <w:kern w:val="0"/>
          <w:sz w:val="21"/>
          <w:szCs w:val="21"/>
          <w:lang w:val="en-US" w:eastAsia="en-US" w:bidi="ar-SA"/>
        </w:rPr>
      </w:pPr>
    </w:p>
    <w:p w14:paraId="201689D3">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GB/T 3177 产品几何技术规范（GPS）光滑工件尺寸的检验</w:t>
      </w:r>
    </w:p>
    <w:p w14:paraId="1AEBED8C">
      <w:pPr>
        <w:rPr>
          <w:rFonts w:hint="eastAsia" w:ascii="宋体" w:hAnsi="宋体" w:eastAsia="宋体" w:cs="宋体"/>
          <w:snapToGrid w:val="0"/>
          <w:color w:val="000000"/>
          <w:kern w:val="0"/>
          <w:sz w:val="21"/>
          <w:szCs w:val="21"/>
          <w:lang w:val="en-US" w:eastAsia="en-US" w:bidi="ar-SA"/>
        </w:rPr>
      </w:pPr>
    </w:p>
    <w:p w14:paraId="58D65357">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GB/T 6414 铸件 尺寸公差与几何公差</w:t>
      </w:r>
    </w:p>
    <w:p w14:paraId="76D37648">
      <w:pPr>
        <w:rPr>
          <w:rFonts w:hint="eastAsia" w:ascii="宋体" w:hAnsi="宋体" w:eastAsia="宋体" w:cs="宋体"/>
          <w:snapToGrid w:val="0"/>
          <w:color w:val="000000"/>
          <w:kern w:val="0"/>
          <w:sz w:val="21"/>
          <w:szCs w:val="21"/>
          <w:lang w:val="en-US" w:eastAsia="en-US" w:bidi="ar-SA"/>
        </w:rPr>
      </w:pPr>
    </w:p>
    <w:p w14:paraId="260EFC4C">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GB/T 10125 人造气氛腐蚀试验 盐雾试验</w:t>
      </w:r>
    </w:p>
    <w:p w14:paraId="6CBB7945">
      <w:pPr>
        <w:rPr>
          <w:rFonts w:hint="eastAsia" w:ascii="宋体" w:hAnsi="宋体" w:eastAsia="宋体" w:cs="宋体"/>
          <w:snapToGrid w:val="0"/>
          <w:color w:val="000000"/>
          <w:kern w:val="0"/>
          <w:sz w:val="21"/>
          <w:szCs w:val="21"/>
          <w:lang w:val="en-US" w:eastAsia="en-US" w:bidi="ar-SA"/>
        </w:rPr>
      </w:pPr>
    </w:p>
    <w:p w14:paraId="5C60748F">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GB/T 11373 产品几何技术规范（GPS）表面结构 轮廓法 表面粗糙度参数及其数值</w:t>
      </w:r>
    </w:p>
    <w:p w14:paraId="647E7672">
      <w:pPr>
        <w:rPr>
          <w:rFonts w:hint="eastAsia" w:ascii="宋体" w:hAnsi="宋体" w:eastAsia="宋体" w:cs="宋体"/>
          <w:snapToGrid w:val="0"/>
          <w:color w:val="000000"/>
          <w:kern w:val="0"/>
          <w:sz w:val="21"/>
          <w:szCs w:val="21"/>
          <w:lang w:val="en-US" w:eastAsia="en-US" w:bidi="ar-SA"/>
        </w:rPr>
      </w:pPr>
    </w:p>
    <w:p w14:paraId="7D7A2367">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GB/T 25747 铝合金压铸件 X射线照相检测</w:t>
      </w:r>
    </w:p>
    <w:p w14:paraId="1ACFB109">
      <w:pPr>
        <w:rPr>
          <w:rFonts w:hint="eastAsia" w:ascii="宋体" w:hAnsi="宋体" w:eastAsia="宋体" w:cs="宋体"/>
          <w:snapToGrid w:val="0"/>
          <w:color w:val="000000"/>
          <w:kern w:val="0"/>
          <w:sz w:val="21"/>
          <w:szCs w:val="21"/>
          <w:lang w:val="en-US" w:eastAsia="en-US" w:bidi="ar-SA"/>
        </w:rPr>
      </w:pPr>
    </w:p>
    <w:p w14:paraId="15A19E39">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QC/T 273 汽车用铝合金压铸件技术条件</w:t>
      </w:r>
    </w:p>
    <w:p w14:paraId="64340413">
      <w:pPr>
        <w:rPr>
          <w:rFonts w:hint="eastAsia" w:ascii="宋体" w:hAnsi="宋体" w:eastAsia="宋体" w:cs="宋体"/>
          <w:snapToGrid w:val="0"/>
          <w:color w:val="000000"/>
          <w:kern w:val="0"/>
          <w:sz w:val="21"/>
          <w:szCs w:val="21"/>
          <w:lang w:val="en-US" w:eastAsia="en-US" w:bidi="ar-SA"/>
        </w:rPr>
      </w:pPr>
    </w:p>
    <w:p w14:paraId="417D373C">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T/CSAE 198 汽车用高强韧类高真空压铸铝合金材料技术条件</w:t>
      </w:r>
    </w:p>
    <w:p w14:paraId="21236234">
      <w:pPr>
        <w:rPr>
          <w:rFonts w:hint="eastAsia"/>
          <w:spacing w:val="-8"/>
          <w:sz w:val="24"/>
          <w:szCs w:val="24"/>
        </w:rPr>
      </w:pPr>
    </w:p>
    <w:p w14:paraId="23873667">
      <w:pPr>
        <w:pStyle w:val="2"/>
        <w:keepNext w:val="0"/>
        <w:keepLines w:val="0"/>
        <w:pageBreakBefore w:val="0"/>
        <w:widowControl/>
        <w:kinsoku w:val="0"/>
        <w:wordWrap/>
        <w:overflowPunct/>
        <w:topLinePunct w:val="0"/>
        <w:autoSpaceDE w:val="0"/>
        <w:autoSpaceDN w:val="0"/>
        <w:bidi w:val="0"/>
        <w:adjustRightInd w:val="0"/>
        <w:snapToGrid w:val="0"/>
        <w:spacing w:before="308" w:line="221" w:lineRule="auto"/>
        <w:ind w:left="11"/>
        <w:textAlignment w:val="baseline"/>
        <w:outlineLvl w:val="1"/>
        <w:rPr>
          <w:rFonts w:hint="eastAsia"/>
          <w:spacing w:val="-8"/>
          <w:sz w:val="24"/>
          <w:szCs w:val="24"/>
        </w:rPr>
      </w:pPr>
      <w:r>
        <w:rPr>
          <w:rFonts w:hint="eastAsia"/>
          <w:spacing w:val="-8"/>
          <w:sz w:val="24"/>
          <w:szCs w:val="24"/>
        </w:rPr>
        <w:t xml:space="preserve">3 </w:t>
      </w:r>
      <w:r>
        <w:rPr>
          <w:rFonts w:hint="eastAsia"/>
          <w:spacing w:val="-8"/>
          <w:sz w:val="24"/>
          <w:szCs w:val="24"/>
          <w:lang w:val="en-US" w:eastAsia="zh-CN"/>
        </w:rPr>
        <w:t xml:space="preserve"> </w:t>
      </w:r>
      <w:r>
        <w:rPr>
          <w:rFonts w:hint="eastAsia"/>
          <w:spacing w:val="-8"/>
          <w:sz w:val="24"/>
          <w:szCs w:val="24"/>
        </w:rPr>
        <w:t>术语和定义</w:t>
      </w:r>
    </w:p>
    <w:p w14:paraId="22A28D48">
      <w:pPr>
        <w:rPr>
          <w:rFonts w:hint="eastAsia"/>
          <w:spacing w:val="-8"/>
          <w:sz w:val="24"/>
          <w:szCs w:val="24"/>
        </w:rPr>
      </w:pPr>
    </w:p>
    <w:p w14:paraId="58CAD503">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下列术语和定义适用于本文件。</w:t>
      </w:r>
    </w:p>
    <w:p w14:paraId="45E391BD">
      <w:pPr>
        <w:rPr>
          <w:rFonts w:hint="eastAsia" w:ascii="宋体" w:hAnsi="宋体" w:eastAsia="宋体" w:cs="宋体"/>
          <w:snapToGrid w:val="0"/>
          <w:color w:val="000000"/>
          <w:kern w:val="0"/>
          <w:sz w:val="21"/>
          <w:szCs w:val="21"/>
          <w:lang w:val="en-US" w:eastAsia="en-US" w:bidi="ar-SA"/>
        </w:rPr>
      </w:pPr>
    </w:p>
    <w:p w14:paraId="2DEAAA98">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 xml:space="preserve">3.1 大型结构件 </w:t>
      </w:r>
    </w:p>
    <w:p w14:paraId="351141E8">
      <w:pPr>
        <w:rPr>
          <w:rFonts w:hint="eastAsia" w:ascii="宋体" w:hAnsi="宋体" w:eastAsia="宋体" w:cs="宋体"/>
          <w:snapToGrid w:val="0"/>
          <w:color w:val="000000"/>
          <w:kern w:val="0"/>
          <w:sz w:val="21"/>
          <w:szCs w:val="21"/>
          <w:lang w:val="en-US" w:eastAsia="zh-CN" w:bidi="ar-SA"/>
        </w:rPr>
      </w:pPr>
      <w:r>
        <w:rPr>
          <w:rFonts w:hint="eastAsia" w:ascii="宋体" w:hAnsi="宋体" w:eastAsia="宋体" w:cs="宋体"/>
          <w:snapToGrid w:val="0"/>
          <w:color w:val="000000"/>
          <w:kern w:val="0"/>
          <w:sz w:val="21"/>
          <w:szCs w:val="21"/>
          <w:lang w:val="en-US" w:eastAsia="en-US" w:bidi="ar-SA"/>
        </w:rPr>
        <w:t>结构件的最大外形尺寸（长度或宽度）不小于800 mm，或投影面积不小于0.5 m²的车身铝合金压铸结构件</w:t>
      </w:r>
      <w:r>
        <w:rPr>
          <w:rFonts w:hint="eastAsia" w:ascii="宋体" w:hAnsi="宋体" w:eastAsia="宋体" w:cs="宋体"/>
          <w:snapToGrid w:val="0"/>
          <w:color w:val="000000"/>
          <w:kern w:val="0"/>
          <w:sz w:val="21"/>
          <w:szCs w:val="21"/>
          <w:lang w:val="en-US" w:eastAsia="zh-CN" w:bidi="ar-SA"/>
        </w:rPr>
        <w:t>。</w:t>
      </w:r>
    </w:p>
    <w:p w14:paraId="43BF1F1C">
      <w:pPr>
        <w:rPr>
          <w:rFonts w:hint="eastAsia" w:ascii="宋体" w:hAnsi="宋体" w:eastAsia="宋体" w:cs="宋体"/>
          <w:snapToGrid w:val="0"/>
          <w:color w:val="000000"/>
          <w:kern w:val="0"/>
          <w:sz w:val="21"/>
          <w:szCs w:val="21"/>
          <w:lang w:val="en-US" w:eastAsia="en-US" w:bidi="ar-SA"/>
        </w:rPr>
      </w:pPr>
    </w:p>
    <w:p w14:paraId="3FB68600">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 xml:space="preserve">3.2 复杂结构件 </w:t>
      </w:r>
    </w:p>
    <w:p w14:paraId="67197C30">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结构件的几何形状包含多个平面及曲面、具有多处加强筋和凸台、截面变化频繁或包含对插拔模等特殊结构，以传统冲压焊接方式难以一体成型的车身铝合金结构件。</w:t>
      </w:r>
    </w:p>
    <w:p w14:paraId="3BFC1A40">
      <w:pPr>
        <w:rPr>
          <w:rFonts w:hint="eastAsia" w:ascii="宋体" w:hAnsi="宋体" w:eastAsia="宋体" w:cs="宋体"/>
          <w:snapToGrid w:val="0"/>
          <w:color w:val="000000"/>
          <w:kern w:val="0"/>
          <w:sz w:val="21"/>
          <w:szCs w:val="21"/>
          <w:lang w:val="en-US" w:eastAsia="en-US" w:bidi="ar-SA"/>
        </w:rPr>
      </w:pPr>
    </w:p>
    <w:p w14:paraId="6B60BA45">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3.3 薄壁结构件 thin-walled structural part</w:t>
      </w:r>
    </w:p>
    <w:p w14:paraId="6A74FC44">
      <w:pPr>
        <w:rPr>
          <w:rFonts w:hint="eastAsia" w:ascii="宋体" w:hAnsi="宋体" w:eastAsia="宋体" w:cs="宋体"/>
          <w:snapToGrid w:val="0"/>
          <w:color w:val="000000"/>
          <w:kern w:val="0"/>
          <w:sz w:val="21"/>
          <w:szCs w:val="21"/>
          <w:lang w:val="en-US" w:eastAsia="en-US" w:bidi="ar-SA"/>
        </w:rPr>
      </w:pPr>
    </w:p>
    <w:p w14:paraId="588F4529">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结构件的主体壁厚不大于3.5 mm，局部最薄壁厚不大于2.5 mm的车身铝合金压铸结构件。</w:t>
      </w:r>
    </w:p>
    <w:p w14:paraId="286073D4">
      <w:pPr>
        <w:rPr>
          <w:rFonts w:hint="eastAsia" w:ascii="宋体" w:hAnsi="宋体" w:eastAsia="宋体" w:cs="宋体"/>
          <w:snapToGrid w:val="0"/>
          <w:color w:val="000000"/>
          <w:kern w:val="0"/>
          <w:sz w:val="21"/>
          <w:szCs w:val="21"/>
          <w:lang w:val="en-US" w:eastAsia="en-US" w:bidi="ar-SA"/>
        </w:rPr>
      </w:pPr>
    </w:p>
    <w:p w14:paraId="77855BB3">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3.4 高真空压铸 high vacuum die casting</w:t>
      </w:r>
    </w:p>
    <w:p w14:paraId="23ED6FB9">
      <w:pPr>
        <w:rPr>
          <w:rFonts w:hint="eastAsia" w:ascii="宋体" w:hAnsi="宋体" w:eastAsia="宋体" w:cs="宋体"/>
          <w:snapToGrid w:val="0"/>
          <w:color w:val="000000"/>
          <w:kern w:val="0"/>
          <w:sz w:val="21"/>
          <w:szCs w:val="21"/>
          <w:lang w:val="en-US" w:eastAsia="en-US" w:bidi="ar-SA"/>
        </w:rPr>
      </w:pPr>
    </w:p>
    <w:p w14:paraId="6C6C5611">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在压射前，通过抽真空装置将模具型腔内的气体快速抽出，使模具型腔中的真空度不超过50 mbar，确保液态金属在高压作用下以较高的速度充填模具型腔，并在一定压力作用下冷却凝固而得到铸件的成形工艺。</w:t>
      </w:r>
    </w:p>
    <w:p w14:paraId="39397116">
      <w:pPr>
        <w:rPr>
          <w:rFonts w:hint="eastAsia" w:ascii="宋体" w:hAnsi="宋体" w:eastAsia="宋体" w:cs="宋体"/>
          <w:snapToGrid w:val="0"/>
          <w:color w:val="000000"/>
          <w:kern w:val="0"/>
          <w:sz w:val="21"/>
          <w:szCs w:val="21"/>
          <w:lang w:val="en-US" w:eastAsia="en-US" w:bidi="ar-SA"/>
        </w:rPr>
      </w:pPr>
    </w:p>
    <w:p w14:paraId="4DBAAB12">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3.5 免热处理铝合金 heat-treatment-free aluminum alloy</w:t>
      </w:r>
    </w:p>
    <w:p w14:paraId="6EAF46FC">
      <w:pPr>
        <w:rPr>
          <w:rFonts w:hint="eastAsia" w:ascii="宋体" w:hAnsi="宋体" w:eastAsia="宋体" w:cs="宋体"/>
          <w:snapToGrid w:val="0"/>
          <w:color w:val="000000"/>
          <w:kern w:val="0"/>
          <w:sz w:val="21"/>
          <w:szCs w:val="21"/>
          <w:lang w:val="en-US" w:eastAsia="en-US" w:bidi="ar-SA"/>
        </w:rPr>
      </w:pPr>
    </w:p>
    <w:p w14:paraId="5C7E5983">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在压铸成形后不经热处理工艺即可满足力学性能要求的压铸铝合金材料，适用于大型复杂薄壁结构件的一体化成形。</w:t>
      </w:r>
    </w:p>
    <w:p w14:paraId="2606F036">
      <w:pPr>
        <w:rPr>
          <w:rFonts w:hint="eastAsia" w:ascii="宋体" w:hAnsi="宋体" w:eastAsia="宋体" w:cs="宋体"/>
          <w:snapToGrid w:val="0"/>
          <w:color w:val="000000"/>
          <w:kern w:val="0"/>
          <w:sz w:val="21"/>
          <w:szCs w:val="21"/>
          <w:lang w:val="en-US" w:eastAsia="en-US" w:bidi="ar-SA"/>
        </w:rPr>
      </w:pPr>
    </w:p>
    <w:p w14:paraId="4F89FF3A">
      <w:pPr>
        <w:pStyle w:val="2"/>
        <w:keepNext w:val="0"/>
        <w:keepLines w:val="0"/>
        <w:pageBreakBefore w:val="0"/>
        <w:widowControl/>
        <w:kinsoku w:val="0"/>
        <w:wordWrap/>
        <w:overflowPunct/>
        <w:topLinePunct w:val="0"/>
        <w:autoSpaceDE w:val="0"/>
        <w:autoSpaceDN w:val="0"/>
        <w:bidi w:val="0"/>
        <w:adjustRightInd w:val="0"/>
        <w:snapToGrid w:val="0"/>
        <w:spacing w:before="308" w:line="221" w:lineRule="auto"/>
        <w:ind w:left="11"/>
        <w:textAlignment w:val="baseline"/>
        <w:outlineLvl w:val="1"/>
        <w:rPr>
          <w:rFonts w:hint="eastAsia"/>
          <w:spacing w:val="-8"/>
          <w:sz w:val="24"/>
          <w:szCs w:val="24"/>
          <w:lang w:val="en-US" w:eastAsia="en-US"/>
        </w:rPr>
      </w:pPr>
      <w:r>
        <w:rPr>
          <w:rFonts w:hint="eastAsia"/>
          <w:spacing w:val="-8"/>
          <w:sz w:val="24"/>
          <w:szCs w:val="24"/>
          <w:lang w:val="en-US" w:eastAsia="en-US"/>
        </w:rPr>
        <w:t>4 分类</w:t>
      </w:r>
    </w:p>
    <w:p w14:paraId="03E013FF">
      <w:pPr>
        <w:rPr>
          <w:rFonts w:hint="eastAsia" w:ascii="宋体" w:hAnsi="宋体" w:eastAsia="宋体" w:cs="宋体"/>
          <w:snapToGrid w:val="0"/>
          <w:color w:val="000000"/>
          <w:kern w:val="0"/>
          <w:sz w:val="21"/>
          <w:szCs w:val="21"/>
          <w:lang w:val="en-US" w:eastAsia="en-US" w:bidi="ar-SA"/>
        </w:rPr>
      </w:pPr>
    </w:p>
    <w:p w14:paraId="7A7DAABC">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结构件按功能部位和受力工况分为以下两类：</w:t>
      </w:r>
    </w:p>
    <w:p w14:paraId="17864D5E">
      <w:pPr>
        <w:rPr>
          <w:rFonts w:hint="eastAsia" w:ascii="宋体" w:hAnsi="宋体" w:eastAsia="宋体" w:cs="宋体"/>
          <w:snapToGrid w:val="0"/>
          <w:color w:val="000000"/>
          <w:kern w:val="0"/>
          <w:sz w:val="21"/>
          <w:szCs w:val="21"/>
          <w:lang w:val="en-US" w:eastAsia="en-US" w:bidi="ar-SA"/>
        </w:rPr>
      </w:pPr>
    </w:p>
    <w:p w14:paraId="5FCB6388">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——A类结构件：应用于车身承载关键部位（如前机舱、后地板骨架、纵梁、门槛梁等），承受主要载荷和安全碰撞载荷。A类结构件应采用高真空压铸工艺生产。</w:t>
      </w:r>
    </w:p>
    <w:p w14:paraId="68BA9E95">
      <w:pPr>
        <w:rPr>
          <w:rFonts w:hint="eastAsia" w:ascii="宋体" w:hAnsi="宋体" w:eastAsia="宋体" w:cs="宋体"/>
          <w:snapToGrid w:val="0"/>
          <w:color w:val="000000"/>
          <w:kern w:val="0"/>
          <w:sz w:val="21"/>
          <w:szCs w:val="21"/>
          <w:lang w:val="en-US" w:eastAsia="en-US" w:bidi="ar-SA"/>
        </w:rPr>
      </w:pPr>
    </w:p>
    <w:p w14:paraId="636FD9F3">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——B类结构件：应用于车身非关键承载部位（如横梁、支架、加强板等），承受次要载荷。B类结构件可采用常规高压压铸工艺生产。</w:t>
      </w:r>
    </w:p>
    <w:p w14:paraId="76185E16">
      <w:pPr>
        <w:rPr>
          <w:rFonts w:hint="eastAsia" w:ascii="宋体" w:hAnsi="宋体" w:eastAsia="宋体" w:cs="宋体"/>
          <w:snapToGrid w:val="0"/>
          <w:color w:val="000000"/>
          <w:kern w:val="0"/>
          <w:sz w:val="21"/>
          <w:szCs w:val="21"/>
          <w:lang w:val="en-US" w:eastAsia="en-US" w:bidi="ar-SA"/>
        </w:rPr>
      </w:pPr>
    </w:p>
    <w:p w14:paraId="5D8F6056">
      <w:pPr>
        <w:pStyle w:val="2"/>
        <w:keepNext w:val="0"/>
        <w:keepLines w:val="0"/>
        <w:pageBreakBefore w:val="0"/>
        <w:widowControl/>
        <w:kinsoku w:val="0"/>
        <w:wordWrap/>
        <w:overflowPunct/>
        <w:topLinePunct w:val="0"/>
        <w:autoSpaceDE w:val="0"/>
        <w:autoSpaceDN w:val="0"/>
        <w:bidi w:val="0"/>
        <w:adjustRightInd w:val="0"/>
        <w:snapToGrid w:val="0"/>
        <w:spacing w:before="308" w:line="221" w:lineRule="auto"/>
        <w:ind w:left="11"/>
        <w:textAlignment w:val="baseline"/>
        <w:outlineLvl w:val="1"/>
        <w:rPr>
          <w:rFonts w:hint="eastAsia"/>
          <w:spacing w:val="-8"/>
          <w:sz w:val="24"/>
          <w:szCs w:val="24"/>
          <w:lang w:val="en-US" w:eastAsia="en-US"/>
        </w:rPr>
      </w:pPr>
      <w:r>
        <w:rPr>
          <w:rFonts w:hint="eastAsia"/>
          <w:spacing w:val="-8"/>
          <w:sz w:val="24"/>
          <w:szCs w:val="24"/>
          <w:lang w:val="en-US" w:eastAsia="en-US"/>
        </w:rPr>
        <w:t>5 技术要求</w:t>
      </w:r>
    </w:p>
    <w:p w14:paraId="549F7A2C">
      <w:pPr>
        <w:rPr>
          <w:rFonts w:hint="eastAsia" w:ascii="宋体" w:hAnsi="宋体" w:eastAsia="宋体" w:cs="宋体"/>
          <w:snapToGrid w:val="0"/>
          <w:color w:val="000000"/>
          <w:kern w:val="0"/>
          <w:sz w:val="21"/>
          <w:szCs w:val="21"/>
          <w:lang w:val="en-US" w:eastAsia="en-US" w:bidi="ar-SA"/>
        </w:rPr>
      </w:pPr>
    </w:p>
    <w:p w14:paraId="3EE19C66">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5.1 一般要求</w:t>
      </w:r>
    </w:p>
    <w:p w14:paraId="46752FCA">
      <w:pPr>
        <w:rPr>
          <w:rFonts w:hint="eastAsia" w:ascii="宋体" w:hAnsi="宋体" w:eastAsia="宋体" w:cs="宋体"/>
          <w:snapToGrid w:val="0"/>
          <w:color w:val="000000"/>
          <w:kern w:val="0"/>
          <w:sz w:val="21"/>
          <w:szCs w:val="21"/>
          <w:lang w:val="en-US" w:eastAsia="en-US" w:bidi="ar-SA"/>
        </w:rPr>
      </w:pPr>
    </w:p>
    <w:p w14:paraId="1ED638B6">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5.1.1 结构件的设计应符合车身结构安全性要求和整车装配工艺要求。大型复杂薄壁结构件的设计宜采用集成化设计理念，尽可能将多个零部件集成为一个压铸件，以降低零部件数量和连接工序。</w:t>
      </w:r>
    </w:p>
    <w:p w14:paraId="13D7CBD1">
      <w:pPr>
        <w:rPr>
          <w:rFonts w:hint="eastAsia" w:ascii="宋体" w:hAnsi="宋体" w:eastAsia="宋体" w:cs="宋体"/>
          <w:snapToGrid w:val="0"/>
          <w:color w:val="000000"/>
          <w:kern w:val="0"/>
          <w:sz w:val="21"/>
          <w:szCs w:val="21"/>
          <w:lang w:val="en-US" w:eastAsia="en-US" w:bidi="ar-SA"/>
        </w:rPr>
      </w:pPr>
    </w:p>
    <w:p w14:paraId="653939CE">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5.1.2 结构件的生产应采用高压压铸工艺，A类结构件宜采用高真空压铸工艺，以确保充型完整性和内部质量。</w:t>
      </w:r>
    </w:p>
    <w:p w14:paraId="24EECB48">
      <w:pPr>
        <w:rPr>
          <w:rFonts w:hint="eastAsia" w:ascii="宋体" w:hAnsi="宋体" w:eastAsia="宋体" w:cs="宋体"/>
          <w:snapToGrid w:val="0"/>
          <w:color w:val="000000"/>
          <w:kern w:val="0"/>
          <w:sz w:val="21"/>
          <w:szCs w:val="21"/>
          <w:lang w:val="en-US" w:eastAsia="en-US" w:bidi="ar-SA"/>
        </w:rPr>
      </w:pPr>
    </w:p>
    <w:p w14:paraId="1EF24EC7">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5.1.3 涉及碰撞安全的A类结构件应通过整车级或系统级碰撞仿真分析，满足整车碰撞安全法规要求。</w:t>
      </w:r>
    </w:p>
    <w:p w14:paraId="28540DB7">
      <w:pPr>
        <w:rPr>
          <w:rFonts w:hint="eastAsia" w:ascii="宋体" w:hAnsi="宋体" w:eastAsia="宋体" w:cs="宋体"/>
          <w:snapToGrid w:val="0"/>
          <w:color w:val="000000"/>
          <w:kern w:val="0"/>
          <w:sz w:val="21"/>
          <w:szCs w:val="21"/>
          <w:lang w:val="en-US" w:eastAsia="en-US" w:bidi="ar-SA"/>
        </w:rPr>
      </w:pPr>
    </w:p>
    <w:p w14:paraId="2B2DFB86">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5.1.4 结构件的供应商应具备完善的质理管理体系，压铸工艺参数（包括压射速度、铸造压力、模具温度、浇注温度等）应予以记录和可追溯。</w:t>
      </w:r>
    </w:p>
    <w:p w14:paraId="158C6007">
      <w:pPr>
        <w:rPr>
          <w:rFonts w:hint="eastAsia" w:ascii="宋体" w:hAnsi="宋体" w:eastAsia="宋体" w:cs="宋体"/>
          <w:snapToGrid w:val="0"/>
          <w:color w:val="000000"/>
          <w:kern w:val="0"/>
          <w:sz w:val="21"/>
          <w:szCs w:val="21"/>
          <w:lang w:val="en-US" w:eastAsia="en-US" w:bidi="ar-SA"/>
        </w:rPr>
      </w:pPr>
    </w:p>
    <w:p w14:paraId="6BF56002">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5.2 材料要求</w:t>
      </w:r>
    </w:p>
    <w:p w14:paraId="4AC7622F">
      <w:pPr>
        <w:rPr>
          <w:rFonts w:hint="eastAsia" w:ascii="宋体" w:hAnsi="宋体" w:eastAsia="宋体" w:cs="宋体"/>
          <w:snapToGrid w:val="0"/>
          <w:color w:val="000000"/>
          <w:kern w:val="0"/>
          <w:sz w:val="21"/>
          <w:szCs w:val="21"/>
          <w:lang w:val="en-US" w:eastAsia="en-US" w:bidi="ar-SA"/>
        </w:rPr>
      </w:pPr>
    </w:p>
    <w:p w14:paraId="7E8157CA">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5.2.1 结构件应采用铝合金压铸材料，材料的化学成分应符合 GB/T 15115 或供需双方约定的技术协议要求。</w:t>
      </w:r>
    </w:p>
    <w:p w14:paraId="1BC7EADD">
      <w:pPr>
        <w:rPr>
          <w:rFonts w:hint="eastAsia" w:ascii="宋体" w:hAnsi="宋体" w:eastAsia="宋体" w:cs="宋体"/>
          <w:snapToGrid w:val="0"/>
          <w:color w:val="000000"/>
          <w:kern w:val="0"/>
          <w:sz w:val="21"/>
          <w:szCs w:val="21"/>
          <w:lang w:val="en-US" w:eastAsia="en-US" w:bidi="ar-SA"/>
        </w:rPr>
      </w:pPr>
    </w:p>
    <w:p w14:paraId="47B19CC4">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5.2.2 A类结构件推荐选用高强韧类高真空压铸铝合金材料。材料在高真空压铸条件下的力学性能应满足本文件 5.6 的要求。材料的化学成分、含氢量、夹渣量等应符合 T/CSAE 198 的规定。</w:t>
      </w:r>
    </w:p>
    <w:p w14:paraId="2F65FDE7">
      <w:pPr>
        <w:rPr>
          <w:rFonts w:hint="eastAsia" w:ascii="宋体" w:hAnsi="宋体" w:eastAsia="宋体" w:cs="宋体"/>
          <w:snapToGrid w:val="0"/>
          <w:color w:val="000000"/>
          <w:kern w:val="0"/>
          <w:sz w:val="21"/>
          <w:szCs w:val="21"/>
          <w:lang w:val="en-US" w:eastAsia="en-US" w:bidi="ar-SA"/>
        </w:rPr>
      </w:pPr>
    </w:p>
    <w:p w14:paraId="25E34663">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5.2.3 对于免热处理铝合金材料，材料供应商应提供免热处理的力学性能验证数据，经供需双方确认后方可使用。</w:t>
      </w:r>
    </w:p>
    <w:p w14:paraId="12B34EFD">
      <w:pPr>
        <w:rPr>
          <w:rFonts w:hint="eastAsia" w:ascii="宋体" w:hAnsi="宋体" w:eastAsia="宋体" w:cs="宋体"/>
          <w:snapToGrid w:val="0"/>
          <w:color w:val="000000"/>
          <w:kern w:val="0"/>
          <w:sz w:val="21"/>
          <w:szCs w:val="21"/>
          <w:lang w:val="en-US" w:eastAsia="en-US" w:bidi="ar-SA"/>
        </w:rPr>
      </w:pPr>
    </w:p>
    <w:p w14:paraId="70028075">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5.2.4 材料的化学成分推荐值可参考附录 A。</w:t>
      </w:r>
    </w:p>
    <w:p w14:paraId="02A58F0E">
      <w:pPr>
        <w:rPr>
          <w:rFonts w:hint="eastAsia" w:ascii="宋体" w:hAnsi="宋体" w:eastAsia="宋体" w:cs="宋体"/>
          <w:snapToGrid w:val="0"/>
          <w:color w:val="000000"/>
          <w:kern w:val="0"/>
          <w:sz w:val="21"/>
          <w:szCs w:val="21"/>
          <w:lang w:val="en-US" w:eastAsia="en-US" w:bidi="ar-SA"/>
        </w:rPr>
      </w:pPr>
    </w:p>
    <w:p w14:paraId="57CEA706">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5.3 尺寸及公差要求</w:t>
      </w:r>
    </w:p>
    <w:p w14:paraId="4C92724D">
      <w:pPr>
        <w:rPr>
          <w:rFonts w:hint="eastAsia" w:ascii="宋体" w:hAnsi="宋体" w:eastAsia="宋体" w:cs="宋体"/>
          <w:snapToGrid w:val="0"/>
          <w:color w:val="000000"/>
          <w:kern w:val="0"/>
          <w:sz w:val="21"/>
          <w:szCs w:val="21"/>
          <w:lang w:val="en-US" w:eastAsia="en-US" w:bidi="ar-SA"/>
        </w:rPr>
      </w:pPr>
    </w:p>
    <w:p w14:paraId="61EAD391">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5.3.1 结构件的尺寸公差等级应符合 GB/T 6414 或供需双方约定的技术要求。大型结构件线性尺寸公差宜不低于 CT10 级，关键安装定位面尺寸公差宜不低于 CT8 级。</w:t>
      </w:r>
    </w:p>
    <w:p w14:paraId="4E74E2FD">
      <w:pPr>
        <w:rPr>
          <w:rFonts w:hint="eastAsia" w:ascii="宋体" w:hAnsi="宋体" w:eastAsia="宋体" w:cs="宋体"/>
          <w:snapToGrid w:val="0"/>
          <w:color w:val="000000"/>
          <w:kern w:val="0"/>
          <w:sz w:val="21"/>
          <w:szCs w:val="21"/>
          <w:lang w:val="en-US" w:eastAsia="en-US" w:bidi="ar-SA"/>
        </w:rPr>
      </w:pPr>
    </w:p>
    <w:p w14:paraId="136B2B31">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5.3.2 结构件的形位公差（包括平面度、平行度、垂直度、同轴度等）应符合 GB/T 1182 的规定。大型结构件的平面度公差应按产品图样要求执行，典型公差宜不大于 1.0 mm/m。</w:t>
      </w:r>
    </w:p>
    <w:p w14:paraId="67EC45CD">
      <w:pPr>
        <w:rPr>
          <w:rFonts w:hint="eastAsia" w:ascii="宋体" w:hAnsi="宋体" w:eastAsia="宋体" w:cs="宋体"/>
          <w:snapToGrid w:val="0"/>
          <w:color w:val="000000"/>
          <w:kern w:val="0"/>
          <w:sz w:val="21"/>
          <w:szCs w:val="21"/>
          <w:lang w:val="en-US" w:eastAsia="en-US" w:bidi="ar-SA"/>
        </w:rPr>
      </w:pPr>
    </w:p>
    <w:p w14:paraId="1ADA9996">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5.3.3 结构件的壁厚应符合产品图样要求，主体壁厚宜控制在 3.5 mm 以内，复杂部位的局部最小壁厚应满足压铸工艺可行性要求，不宜小于 1.5 mm。</w:t>
      </w:r>
    </w:p>
    <w:p w14:paraId="0D138154">
      <w:pPr>
        <w:rPr>
          <w:rFonts w:hint="eastAsia" w:ascii="宋体" w:hAnsi="宋体" w:eastAsia="宋体" w:cs="宋体"/>
          <w:snapToGrid w:val="0"/>
          <w:color w:val="000000"/>
          <w:kern w:val="0"/>
          <w:sz w:val="21"/>
          <w:szCs w:val="21"/>
          <w:lang w:val="en-US" w:eastAsia="en-US" w:bidi="ar-SA"/>
        </w:rPr>
      </w:pPr>
    </w:p>
    <w:p w14:paraId="7CAEDEDC">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5.3.4 模具磨损引起尺寸变化的零部件，需增加模具检测与修复频次，保证尺寸公差的稳定可控。整形前后的平面度和直线度公差应在供需双方约定的范围内。</w:t>
      </w:r>
    </w:p>
    <w:p w14:paraId="4EE928F4">
      <w:pPr>
        <w:rPr>
          <w:rFonts w:hint="eastAsia" w:ascii="宋体" w:hAnsi="宋体" w:eastAsia="宋体" w:cs="宋体"/>
          <w:snapToGrid w:val="0"/>
          <w:color w:val="000000"/>
          <w:kern w:val="0"/>
          <w:sz w:val="21"/>
          <w:szCs w:val="21"/>
          <w:lang w:val="en-US" w:eastAsia="en-US" w:bidi="ar-SA"/>
        </w:rPr>
      </w:pPr>
    </w:p>
    <w:p w14:paraId="6BB0A8E8">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5.4 外观质量要求</w:t>
      </w:r>
    </w:p>
    <w:p w14:paraId="1FE6CDE7">
      <w:pPr>
        <w:rPr>
          <w:rFonts w:hint="eastAsia" w:ascii="宋体" w:hAnsi="宋体" w:eastAsia="宋体" w:cs="宋体"/>
          <w:snapToGrid w:val="0"/>
          <w:color w:val="000000"/>
          <w:kern w:val="0"/>
          <w:sz w:val="21"/>
          <w:szCs w:val="21"/>
          <w:lang w:val="en-US" w:eastAsia="en-US" w:bidi="ar-SA"/>
        </w:rPr>
      </w:pPr>
    </w:p>
    <w:p w14:paraId="1FAF6CD8">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5.4.1 结构件的表面应清洁，不得有裂纹、穿透性缺陷及其他影响使用的有害缺陷。</w:t>
      </w:r>
    </w:p>
    <w:p w14:paraId="2EB59E56">
      <w:pPr>
        <w:rPr>
          <w:rFonts w:hint="eastAsia" w:ascii="宋体" w:hAnsi="宋体" w:eastAsia="宋体" w:cs="宋体"/>
          <w:snapToGrid w:val="0"/>
          <w:color w:val="000000"/>
          <w:kern w:val="0"/>
          <w:sz w:val="21"/>
          <w:szCs w:val="21"/>
          <w:lang w:val="en-US" w:eastAsia="en-US" w:bidi="ar-SA"/>
        </w:rPr>
      </w:pPr>
    </w:p>
    <w:p w14:paraId="19B5ACD0">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5.4.2 结构件表面的冷隔、流痕等轻微缺陷不得超过供需双方商定的限度样件，且不得出现在关键密封面或连接区域。</w:t>
      </w:r>
    </w:p>
    <w:p w14:paraId="4A8D4118">
      <w:pPr>
        <w:rPr>
          <w:rFonts w:hint="eastAsia" w:ascii="宋体" w:hAnsi="宋体" w:eastAsia="宋体" w:cs="宋体"/>
          <w:snapToGrid w:val="0"/>
          <w:color w:val="000000"/>
          <w:kern w:val="0"/>
          <w:sz w:val="21"/>
          <w:szCs w:val="21"/>
          <w:lang w:val="en-US" w:eastAsia="en-US" w:bidi="ar-SA"/>
        </w:rPr>
      </w:pPr>
    </w:p>
    <w:p w14:paraId="00B53F6A">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5.4.3 结构件的浇口、溢流槽、排气槽及飞边等应按产品图样或工艺文件要求清除，清除后表面应平整，不得损伤本体。</w:t>
      </w:r>
    </w:p>
    <w:p w14:paraId="2B82879E">
      <w:pPr>
        <w:rPr>
          <w:rFonts w:hint="eastAsia" w:ascii="宋体" w:hAnsi="宋体" w:eastAsia="宋体" w:cs="宋体"/>
          <w:snapToGrid w:val="0"/>
          <w:color w:val="000000"/>
          <w:kern w:val="0"/>
          <w:sz w:val="21"/>
          <w:szCs w:val="21"/>
          <w:lang w:val="en-US" w:eastAsia="en-US" w:bidi="ar-SA"/>
        </w:rPr>
      </w:pPr>
    </w:p>
    <w:p w14:paraId="4E7FEDF1">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5.4.4 结构件的表面粗糙度应符合 GB/T 11373 的规定或产品图样要求，一般非装配表面粗糙度宜不大于 Ra 12.5 μm，关键配合表面粗糙度宜不大于 Ra 3.2 μm。</w:t>
      </w:r>
    </w:p>
    <w:p w14:paraId="5DCDF114">
      <w:pPr>
        <w:rPr>
          <w:rFonts w:hint="eastAsia" w:ascii="宋体" w:hAnsi="宋体" w:eastAsia="宋体" w:cs="宋体"/>
          <w:snapToGrid w:val="0"/>
          <w:color w:val="000000"/>
          <w:kern w:val="0"/>
          <w:sz w:val="21"/>
          <w:szCs w:val="21"/>
          <w:lang w:val="en-US" w:eastAsia="en-US" w:bidi="ar-SA"/>
        </w:rPr>
      </w:pPr>
    </w:p>
    <w:p w14:paraId="0DC49104">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5.4.5 结构件不应有影响连接和装配的磕碰、划伤。</w:t>
      </w:r>
    </w:p>
    <w:p w14:paraId="1F6D11D4">
      <w:pPr>
        <w:rPr>
          <w:rFonts w:hint="eastAsia" w:ascii="宋体" w:hAnsi="宋体" w:eastAsia="宋体" w:cs="宋体"/>
          <w:snapToGrid w:val="0"/>
          <w:color w:val="000000"/>
          <w:kern w:val="0"/>
          <w:sz w:val="21"/>
          <w:szCs w:val="21"/>
          <w:lang w:val="en-US" w:eastAsia="en-US" w:bidi="ar-SA"/>
        </w:rPr>
      </w:pPr>
    </w:p>
    <w:p w14:paraId="22ED6F37">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5.5 内部质量要求</w:t>
      </w:r>
    </w:p>
    <w:p w14:paraId="30B6C767">
      <w:pPr>
        <w:rPr>
          <w:rFonts w:hint="eastAsia" w:ascii="宋体" w:hAnsi="宋体" w:eastAsia="宋体" w:cs="宋体"/>
          <w:snapToGrid w:val="0"/>
          <w:color w:val="000000"/>
          <w:kern w:val="0"/>
          <w:sz w:val="21"/>
          <w:szCs w:val="21"/>
          <w:lang w:val="en-US" w:eastAsia="en-US" w:bidi="ar-SA"/>
        </w:rPr>
      </w:pPr>
    </w:p>
    <w:p w14:paraId="4EC69A36">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5.5.1 结构件内部不得有裂纹、穿透性缩孔等严重影响力学性能的缺陷。</w:t>
      </w:r>
    </w:p>
    <w:p w14:paraId="5881EFCD">
      <w:pPr>
        <w:rPr>
          <w:rFonts w:hint="eastAsia" w:ascii="宋体" w:hAnsi="宋体" w:eastAsia="宋体" w:cs="宋体"/>
          <w:snapToGrid w:val="0"/>
          <w:color w:val="000000"/>
          <w:kern w:val="0"/>
          <w:sz w:val="21"/>
          <w:szCs w:val="21"/>
          <w:lang w:val="en-US" w:eastAsia="en-US" w:bidi="ar-SA"/>
        </w:rPr>
      </w:pPr>
    </w:p>
    <w:p w14:paraId="783D6D72">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5.5.2 A类结构件应进行 X 射线照相检测，内部质量等级应按 GB/T 25747 的规定执行或满足供需双方约定的等级要求。A类结构件关键受力区域的气孔和缩松等级不宜低于 ASTM E505 等级 2，关键安全部位不宜低于等级 1。</w:t>
      </w:r>
    </w:p>
    <w:p w14:paraId="55EFCB15">
      <w:pPr>
        <w:rPr>
          <w:rFonts w:hint="eastAsia" w:ascii="宋体" w:hAnsi="宋体" w:eastAsia="宋体" w:cs="宋体"/>
          <w:snapToGrid w:val="0"/>
          <w:color w:val="000000"/>
          <w:kern w:val="0"/>
          <w:sz w:val="21"/>
          <w:szCs w:val="21"/>
          <w:lang w:val="en-US" w:eastAsia="en-US" w:bidi="ar-SA"/>
        </w:rPr>
      </w:pPr>
    </w:p>
    <w:p w14:paraId="76053484">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5.5.3 结构件的内部孔隙率应控制在允许范围内，A类结构件关键部位气孔率宜不大于 1.5%，B类结构件气孔率宜不大于 3.0%。</w:t>
      </w:r>
    </w:p>
    <w:p w14:paraId="7EB42501">
      <w:pPr>
        <w:rPr>
          <w:rFonts w:hint="eastAsia" w:ascii="宋体" w:hAnsi="宋体" w:eastAsia="宋体" w:cs="宋体"/>
          <w:snapToGrid w:val="0"/>
          <w:color w:val="000000"/>
          <w:kern w:val="0"/>
          <w:sz w:val="21"/>
          <w:szCs w:val="21"/>
          <w:lang w:val="en-US" w:eastAsia="en-US" w:bidi="ar-SA"/>
        </w:rPr>
      </w:pPr>
    </w:p>
    <w:p w14:paraId="75A86F26">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5.5.4 A类结构件应采用高真空压铸工艺生产，真空度应满足型腔内真空度不大于 50 mbar，气体卷入量应尽可能降低，以减小铸件内部气孔。对于含氢量有特殊要求的结构件，压铸用铝合金液含氢量宜不超过 0.2 ml/100g Al。</w:t>
      </w:r>
    </w:p>
    <w:p w14:paraId="3DD2DA53">
      <w:pPr>
        <w:rPr>
          <w:rFonts w:hint="eastAsia" w:ascii="宋体" w:hAnsi="宋体" w:eastAsia="宋体" w:cs="宋体"/>
          <w:snapToGrid w:val="0"/>
          <w:color w:val="000000"/>
          <w:kern w:val="0"/>
          <w:sz w:val="21"/>
          <w:szCs w:val="21"/>
          <w:lang w:val="en-US" w:eastAsia="en-US" w:bidi="ar-SA"/>
        </w:rPr>
      </w:pPr>
    </w:p>
    <w:p w14:paraId="675EC524">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5.6 力学性能要求</w:t>
      </w:r>
    </w:p>
    <w:p w14:paraId="370A60D3">
      <w:pPr>
        <w:rPr>
          <w:rFonts w:hint="eastAsia" w:ascii="宋体" w:hAnsi="宋体" w:eastAsia="宋体" w:cs="宋体"/>
          <w:snapToGrid w:val="0"/>
          <w:color w:val="000000"/>
          <w:kern w:val="0"/>
          <w:sz w:val="21"/>
          <w:szCs w:val="21"/>
          <w:lang w:val="en-US" w:eastAsia="en-US" w:bidi="ar-SA"/>
        </w:rPr>
      </w:pPr>
    </w:p>
    <w:p w14:paraId="03893A5B">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5.6.1 结构件的力学性能应以同炉铝液浇注的标准压铸试棒（与压铸件采用相同的压铸方式和相同的热处理工艺）进行检测，也可按供需双方商定的本体取样方法进行检测。</w:t>
      </w:r>
    </w:p>
    <w:p w14:paraId="5ABB7F31">
      <w:pPr>
        <w:rPr>
          <w:rFonts w:hint="eastAsia" w:ascii="宋体" w:hAnsi="宋体" w:eastAsia="宋体" w:cs="宋体"/>
          <w:snapToGrid w:val="0"/>
          <w:color w:val="000000"/>
          <w:kern w:val="0"/>
          <w:sz w:val="21"/>
          <w:szCs w:val="21"/>
          <w:lang w:val="en-US" w:eastAsia="en-US" w:bidi="ar-SA"/>
        </w:rPr>
      </w:pPr>
    </w:p>
    <w:p w14:paraId="58B95FB6">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5.6.2 A类结构件的力学性能应满足以下要求：</w:t>
      </w:r>
    </w:p>
    <w:p w14:paraId="4C8D830E">
      <w:pPr>
        <w:rPr>
          <w:rFonts w:hint="eastAsia" w:ascii="宋体" w:hAnsi="宋体" w:eastAsia="宋体" w:cs="宋体"/>
          <w:snapToGrid w:val="0"/>
          <w:color w:val="000000"/>
          <w:kern w:val="0"/>
          <w:sz w:val="21"/>
          <w:szCs w:val="21"/>
          <w:lang w:val="en-US" w:eastAsia="en-US" w:bidi="ar-SA"/>
        </w:rPr>
      </w:pPr>
    </w:p>
    <w:p w14:paraId="38CB40C9">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——抗拉强度 Rm ≥ 180 MPa；</w:t>
      </w:r>
    </w:p>
    <w:p w14:paraId="395624AD">
      <w:pPr>
        <w:rPr>
          <w:rFonts w:hint="eastAsia" w:ascii="宋体" w:hAnsi="宋体" w:eastAsia="宋体" w:cs="宋体"/>
          <w:snapToGrid w:val="0"/>
          <w:color w:val="000000"/>
          <w:kern w:val="0"/>
          <w:sz w:val="21"/>
          <w:szCs w:val="21"/>
          <w:lang w:val="en-US" w:eastAsia="en-US" w:bidi="ar-SA"/>
        </w:rPr>
      </w:pPr>
    </w:p>
    <w:p w14:paraId="24832A4A">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——屈服强度 Rp0.2 ≥ 120 MPa；</w:t>
      </w:r>
    </w:p>
    <w:p w14:paraId="1E04A178">
      <w:pPr>
        <w:rPr>
          <w:rFonts w:hint="eastAsia" w:ascii="宋体" w:hAnsi="宋体" w:eastAsia="宋体" w:cs="宋体"/>
          <w:snapToGrid w:val="0"/>
          <w:color w:val="000000"/>
          <w:kern w:val="0"/>
          <w:sz w:val="21"/>
          <w:szCs w:val="21"/>
          <w:lang w:val="en-US" w:eastAsia="en-US" w:bidi="ar-SA"/>
        </w:rPr>
      </w:pPr>
    </w:p>
    <w:p w14:paraId="012D83A0">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——伸长率 A ≥ 8% (对高强韧材料) 或 ≥ 5% (对常规材料)。</w:t>
      </w:r>
    </w:p>
    <w:p w14:paraId="6E6F5881">
      <w:pPr>
        <w:rPr>
          <w:rFonts w:hint="eastAsia" w:ascii="宋体" w:hAnsi="宋体" w:eastAsia="宋体" w:cs="宋体"/>
          <w:snapToGrid w:val="0"/>
          <w:color w:val="000000"/>
          <w:kern w:val="0"/>
          <w:sz w:val="21"/>
          <w:szCs w:val="21"/>
          <w:lang w:val="en-US" w:eastAsia="en-US" w:bidi="ar-SA"/>
        </w:rPr>
      </w:pPr>
    </w:p>
    <w:p w14:paraId="09304074">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5.6.3 B类结构件的力学性能可按供需双方商定的要求执行，一般宜满足：</w:t>
      </w:r>
    </w:p>
    <w:p w14:paraId="6BD21166">
      <w:pPr>
        <w:rPr>
          <w:rFonts w:hint="eastAsia" w:ascii="宋体" w:hAnsi="宋体" w:eastAsia="宋体" w:cs="宋体"/>
          <w:snapToGrid w:val="0"/>
          <w:color w:val="000000"/>
          <w:kern w:val="0"/>
          <w:sz w:val="21"/>
          <w:szCs w:val="21"/>
          <w:lang w:val="en-US" w:eastAsia="en-US" w:bidi="ar-SA"/>
        </w:rPr>
      </w:pPr>
    </w:p>
    <w:p w14:paraId="7C0A8C70">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——抗拉强度 Rm ≥ 150 MPa；</w:t>
      </w:r>
    </w:p>
    <w:p w14:paraId="4A9E9C1B">
      <w:pPr>
        <w:rPr>
          <w:rFonts w:hint="eastAsia" w:ascii="宋体" w:hAnsi="宋体" w:eastAsia="宋体" w:cs="宋体"/>
          <w:snapToGrid w:val="0"/>
          <w:color w:val="000000"/>
          <w:kern w:val="0"/>
          <w:sz w:val="21"/>
          <w:szCs w:val="21"/>
          <w:lang w:val="en-US" w:eastAsia="en-US" w:bidi="ar-SA"/>
        </w:rPr>
      </w:pPr>
    </w:p>
    <w:p w14:paraId="0C6A538D">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——屈服强度 Rp0.2 ≥ 100 MPa；</w:t>
      </w:r>
    </w:p>
    <w:p w14:paraId="4334D5BE">
      <w:pPr>
        <w:rPr>
          <w:rFonts w:hint="eastAsia" w:ascii="宋体" w:hAnsi="宋体" w:eastAsia="宋体" w:cs="宋体"/>
          <w:snapToGrid w:val="0"/>
          <w:color w:val="000000"/>
          <w:kern w:val="0"/>
          <w:sz w:val="21"/>
          <w:szCs w:val="21"/>
          <w:lang w:val="en-US" w:eastAsia="en-US" w:bidi="ar-SA"/>
        </w:rPr>
      </w:pPr>
    </w:p>
    <w:p w14:paraId="34EB1D89">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——伸长率 A ≥ 3%。</w:t>
      </w:r>
    </w:p>
    <w:p w14:paraId="5429141F">
      <w:pPr>
        <w:rPr>
          <w:rFonts w:hint="eastAsia" w:ascii="宋体" w:hAnsi="宋体" w:eastAsia="宋体" w:cs="宋体"/>
          <w:snapToGrid w:val="0"/>
          <w:color w:val="000000"/>
          <w:kern w:val="0"/>
          <w:sz w:val="21"/>
          <w:szCs w:val="21"/>
          <w:lang w:val="en-US" w:eastAsia="en-US" w:bidi="ar-SA"/>
        </w:rPr>
      </w:pPr>
    </w:p>
    <w:p w14:paraId="561600C6">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5.6.4 采用免热处理铝合金材料的结构件，其铸态力学性能应不低于本标准 5.6.2 和 5.6.3 的规定。供应商应提供足以证明免热处理材料在铸态下满足要求的测试数据。</w:t>
      </w:r>
    </w:p>
    <w:p w14:paraId="6DFAEBB6">
      <w:pPr>
        <w:rPr>
          <w:rFonts w:hint="eastAsia" w:ascii="宋体" w:hAnsi="宋体" w:eastAsia="宋体" w:cs="宋体"/>
          <w:snapToGrid w:val="0"/>
          <w:color w:val="000000"/>
          <w:kern w:val="0"/>
          <w:sz w:val="21"/>
          <w:szCs w:val="21"/>
          <w:lang w:val="en-US" w:eastAsia="en-US" w:bidi="ar-SA"/>
        </w:rPr>
      </w:pPr>
    </w:p>
    <w:p w14:paraId="790BA58B">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5.7 热处理与表面处理要求</w:t>
      </w:r>
    </w:p>
    <w:p w14:paraId="0DDE8C6F">
      <w:pPr>
        <w:rPr>
          <w:rFonts w:hint="eastAsia" w:ascii="宋体" w:hAnsi="宋体" w:eastAsia="宋体" w:cs="宋体"/>
          <w:snapToGrid w:val="0"/>
          <w:color w:val="000000"/>
          <w:kern w:val="0"/>
          <w:sz w:val="21"/>
          <w:szCs w:val="21"/>
          <w:lang w:val="en-US" w:eastAsia="en-US" w:bidi="ar-SA"/>
        </w:rPr>
      </w:pPr>
    </w:p>
    <w:p w14:paraId="131B4D40">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5.7.1 需要进行热处理的A类结构件，应按 GB/T 25745 或供需双方商定的热处理工艺规范执行。热处理工艺包括但不限于 T5（人工时效）、T6（固溶+时效）、T7（过时效）等，具体工艺应根据结构件材料性能和功能需求确定。高真空压铸件因含气量较低，对热处理工艺应予以精确控制，避免产生气泡或变形。</w:t>
      </w:r>
    </w:p>
    <w:p w14:paraId="4CC7F3CF">
      <w:pPr>
        <w:rPr>
          <w:rFonts w:hint="eastAsia" w:ascii="宋体" w:hAnsi="宋体" w:eastAsia="宋体" w:cs="宋体"/>
          <w:snapToGrid w:val="0"/>
          <w:color w:val="000000"/>
          <w:kern w:val="0"/>
          <w:sz w:val="21"/>
          <w:szCs w:val="21"/>
          <w:lang w:val="en-US" w:eastAsia="en-US" w:bidi="ar-SA"/>
        </w:rPr>
      </w:pPr>
    </w:p>
    <w:p w14:paraId="64D4E5D0">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5.7.2 采用免热处理铝合金材料的结构件，可不进行热处理。但供应商应提供材料在免热处理状态下的力学性能及长期稳定性验证报告。</w:t>
      </w:r>
    </w:p>
    <w:p w14:paraId="3C258749">
      <w:pPr>
        <w:rPr>
          <w:rFonts w:hint="eastAsia" w:ascii="宋体" w:hAnsi="宋体" w:eastAsia="宋体" w:cs="宋体"/>
          <w:snapToGrid w:val="0"/>
          <w:color w:val="000000"/>
          <w:kern w:val="0"/>
          <w:sz w:val="21"/>
          <w:szCs w:val="21"/>
          <w:lang w:val="en-US" w:eastAsia="en-US" w:bidi="ar-SA"/>
        </w:rPr>
      </w:pPr>
    </w:p>
    <w:p w14:paraId="12AF69FA">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5.7.3 对于有耐腐蚀要求的结构件，应按产品图样或技术协议要求进行表面处理（如钝化处理、阳极氧化、喷涂等），表面处理的工艺与质量应符合相关标准或供需双方的技术协议要求。电驱壳体等高集成部件在压铸完成后，表面处理（如钝化）过程中应注意防止转运磕碰，以免影响装配精度和尺寸公差。</w:t>
      </w:r>
    </w:p>
    <w:p w14:paraId="780CEBE0">
      <w:pPr>
        <w:rPr>
          <w:rFonts w:hint="eastAsia" w:ascii="宋体" w:hAnsi="宋体" w:eastAsia="宋体" w:cs="宋体"/>
          <w:snapToGrid w:val="0"/>
          <w:color w:val="000000"/>
          <w:kern w:val="0"/>
          <w:sz w:val="21"/>
          <w:szCs w:val="21"/>
          <w:lang w:val="en-US" w:eastAsia="en-US" w:bidi="ar-SA"/>
        </w:rPr>
      </w:pPr>
    </w:p>
    <w:p w14:paraId="28E40800">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5.7.4 表面处理后不应出现涂层脱落、起泡、腐蚀等缺陷。涂装体系宜包含前处理、底漆和面漆，以满足整车生命周期内的防护要求。</w:t>
      </w:r>
    </w:p>
    <w:p w14:paraId="3B7827D9">
      <w:pPr>
        <w:rPr>
          <w:rFonts w:hint="eastAsia" w:ascii="宋体" w:hAnsi="宋体" w:eastAsia="宋体" w:cs="宋体"/>
          <w:snapToGrid w:val="0"/>
          <w:color w:val="000000"/>
          <w:kern w:val="0"/>
          <w:sz w:val="21"/>
          <w:szCs w:val="21"/>
          <w:lang w:val="en-US" w:eastAsia="en-US" w:bidi="ar-SA"/>
        </w:rPr>
      </w:pPr>
    </w:p>
    <w:p w14:paraId="2ABBF7CB">
      <w:pPr>
        <w:pStyle w:val="2"/>
        <w:keepNext w:val="0"/>
        <w:keepLines w:val="0"/>
        <w:pageBreakBefore w:val="0"/>
        <w:widowControl/>
        <w:kinsoku w:val="0"/>
        <w:wordWrap/>
        <w:overflowPunct/>
        <w:topLinePunct w:val="0"/>
        <w:autoSpaceDE w:val="0"/>
        <w:autoSpaceDN w:val="0"/>
        <w:bidi w:val="0"/>
        <w:adjustRightInd w:val="0"/>
        <w:snapToGrid w:val="0"/>
        <w:spacing w:before="308" w:line="221" w:lineRule="auto"/>
        <w:ind w:left="11"/>
        <w:textAlignment w:val="baseline"/>
        <w:outlineLvl w:val="1"/>
        <w:rPr>
          <w:rFonts w:hint="eastAsia"/>
          <w:spacing w:val="-8"/>
          <w:sz w:val="24"/>
          <w:szCs w:val="24"/>
          <w:lang w:val="en-US" w:eastAsia="en-US"/>
        </w:rPr>
      </w:pPr>
      <w:r>
        <w:rPr>
          <w:rFonts w:hint="eastAsia"/>
          <w:spacing w:val="-8"/>
          <w:sz w:val="24"/>
          <w:szCs w:val="24"/>
          <w:lang w:val="en-US" w:eastAsia="en-US"/>
        </w:rPr>
        <w:t>6 试验方法</w:t>
      </w:r>
    </w:p>
    <w:p w14:paraId="4F5F66E5">
      <w:pPr>
        <w:rPr>
          <w:rFonts w:hint="eastAsia" w:ascii="宋体" w:hAnsi="宋体" w:eastAsia="宋体" w:cs="宋体"/>
          <w:snapToGrid w:val="0"/>
          <w:color w:val="000000"/>
          <w:kern w:val="0"/>
          <w:sz w:val="21"/>
          <w:szCs w:val="21"/>
          <w:lang w:val="en-US" w:eastAsia="en-US" w:bidi="ar-SA"/>
        </w:rPr>
      </w:pPr>
    </w:p>
    <w:p w14:paraId="2762D70D">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6.1 化学成分分析</w:t>
      </w:r>
    </w:p>
    <w:p w14:paraId="708C6B43">
      <w:pPr>
        <w:rPr>
          <w:rFonts w:hint="eastAsia" w:ascii="宋体" w:hAnsi="宋体" w:eastAsia="宋体" w:cs="宋体"/>
          <w:snapToGrid w:val="0"/>
          <w:color w:val="000000"/>
          <w:kern w:val="0"/>
          <w:sz w:val="21"/>
          <w:szCs w:val="21"/>
          <w:lang w:val="en-US" w:eastAsia="en-US" w:bidi="ar-SA"/>
        </w:rPr>
      </w:pPr>
    </w:p>
    <w:p w14:paraId="22389E5A">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结构件用铝合金材料的化学成分分析应按 GB/T 7999 或 GB/T 20975 的规定执行，也可采用供需双方约定的其他等效分析方法。</w:t>
      </w:r>
    </w:p>
    <w:p w14:paraId="165A68FD">
      <w:pPr>
        <w:rPr>
          <w:rFonts w:hint="eastAsia" w:ascii="宋体" w:hAnsi="宋体" w:eastAsia="宋体" w:cs="宋体"/>
          <w:snapToGrid w:val="0"/>
          <w:color w:val="000000"/>
          <w:kern w:val="0"/>
          <w:sz w:val="21"/>
          <w:szCs w:val="21"/>
          <w:lang w:val="en-US" w:eastAsia="en-US" w:bidi="ar-SA"/>
        </w:rPr>
      </w:pPr>
    </w:p>
    <w:p w14:paraId="23B0737D">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6.2 尺寸检测</w:t>
      </w:r>
    </w:p>
    <w:p w14:paraId="37BFF47B">
      <w:pPr>
        <w:rPr>
          <w:rFonts w:hint="eastAsia" w:ascii="宋体" w:hAnsi="宋体" w:eastAsia="宋体" w:cs="宋体"/>
          <w:snapToGrid w:val="0"/>
          <w:color w:val="000000"/>
          <w:kern w:val="0"/>
          <w:sz w:val="21"/>
          <w:szCs w:val="21"/>
          <w:lang w:val="en-US" w:eastAsia="en-US" w:bidi="ar-SA"/>
        </w:rPr>
      </w:pPr>
    </w:p>
    <w:p w14:paraId="0CDBFBDA">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结构件的尺寸应按 GB/T 3177 或 GB/T 6414 的规定执行。检测器具的选择应满足测量精度要求。对于大型结构件，可采用三坐标测量机进行全尺寸检测。</w:t>
      </w:r>
    </w:p>
    <w:p w14:paraId="74C0EAA4">
      <w:pPr>
        <w:rPr>
          <w:rFonts w:hint="eastAsia" w:ascii="宋体" w:hAnsi="宋体" w:eastAsia="宋体" w:cs="宋体"/>
          <w:snapToGrid w:val="0"/>
          <w:color w:val="000000"/>
          <w:kern w:val="0"/>
          <w:sz w:val="21"/>
          <w:szCs w:val="21"/>
          <w:lang w:val="en-US" w:eastAsia="en-US" w:bidi="ar-SA"/>
        </w:rPr>
      </w:pPr>
    </w:p>
    <w:p w14:paraId="29BACD5E">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6.3 外观检查</w:t>
      </w:r>
    </w:p>
    <w:p w14:paraId="335097A0">
      <w:pPr>
        <w:rPr>
          <w:rFonts w:hint="eastAsia" w:ascii="宋体" w:hAnsi="宋体" w:eastAsia="宋体" w:cs="宋体"/>
          <w:snapToGrid w:val="0"/>
          <w:color w:val="000000"/>
          <w:kern w:val="0"/>
          <w:sz w:val="21"/>
          <w:szCs w:val="21"/>
          <w:lang w:val="en-US" w:eastAsia="en-US" w:bidi="ar-SA"/>
        </w:rPr>
      </w:pPr>
    </w:p>
    <w:p w14:paraId="3DD1694E">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结构件的外观质量应以目视检查为主，必要时辅以放大镜或其他检测工具，与供需双方认可的标准样件或限度样件进行比对判定。</w:t>
      </w:r>
    </w:p>
    <w:p w14:paraId="480D9A83">
      <w:pPr>
        <w:rPr>
          <w:rFonts w:hint="eastAsia" w:ascii="宋体" w:hAnsi="宋体" w:eastAsia="宋体" w:cs="宋体"/>
          <w:snapToGrid w:val="0"/>
          <w:color w:val="000000"/>
          <w:kern w:val="0"/>
          <w:sz w:val="21"/>
          <w:szCs w:val="21"/>
          <w:lang w:val="en-US" w:eastAsia="en-US" w:bidi="ar-SA"/>
        </w:rPr>
      </w:pPr>
    </w:p>
    <w:p w14:paraId="13F1C2A2">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6.4 无损检测</w:t>
      </w:r>
    </w:p>
    <w:p w14:paraId="51279679">
      <w:pPr>
        <w:rPr>
          <w:rFonts w:hint="eastAsia" w:ascii="宋体" w:hAnsi="宋体" w:eastAsia="宋体" w:cs="宋体"/>
          <w:snapToGrid w:val="0"/>
          <w:color w:val="000000"/>
          <w:kern w:val="0"/>
          <w:sz w:val="21"/>
          <w:szCs w:val="21"/>
          <w:lang w:val="en-US" w:eastAsia="en-US" w:bidi="ar-SA"/>
        </w:rPr>
      </w:pPr>
    </w:p>
    <w:p w14:paraId="1258C1C1">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6.4.1 结构件的 X 射线照相检测应按 GB/T 25747 的规定执行，检测范围应覆盖结构件关键受力部位和连接区域。</w:t>
      </w:r>
    </w:p>
    <w:p w14:paraId="04BD90ED">
      <w:pPr>
        <w:rPr>
          <w:rFonts w:hint="eastAsia" w:ascii="宋体" w:hAnsi="宋体" w:eastAsia="宋体" w:cs="宋体"/>
          <w:snapToGrid w:val="0"/>
          <w:color w:val="000000"/>
          <w:kern w:val="0"/>
          <w:sz w:val="21"/>
          <w:szCs w:val="21"/>
          <w:lang w:val="en-US" w:eastAsia="en-US" w:bidi="ar-SA"/>
        </w:rPr>
      </w:pPr>
    </w:p>
    <w:p w14:paraId="2E32F043">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6.4.2 对于有特殊内部质量要求的结构件，可采用工业 CT 或超声检测方法，具体检测要求和判定标准由供需双方约定。</w:t>
      </w:r>
    </w:p>
    <w:p w14:paraId="05F2604E">
      <w:pPr>
        <w:rPr>
          <w:rFonts w:hint="eastAsia" w:ascii="宋体" w:hAnsi="宋体" w:eastAsia="宋体" w:cs="宋体"/>
          <w:snapToGrid w:val="0"/>
          <w:color w:val="000000"/>
          <w:kern w:val="0"/>
          <w:sz w:val="21"/>
          <w:szCs w:val="21"/>
          <w:lang w:val="en-US" w:eastAsia="en-US" w:bidi="ar-SA"/>
        </w:rPr>
      </w:pPr>
    </w:p>
    <w:p w14:paraId="2D7F2D42">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6.4.3 内部气孔率和缩松等级的评价，可参照 ASTM E505 或适用的压铸件孔隙率评价标准执行。</w:t>
      </w:r>
    </w:p>
    <w:p w14:paraId="2FE0A3FA">
      <w:pPr>
        <w:rPr>
          <w:rFonts w:hint="eastAsia" w:ascii="宋体" w:hAnsi="宋体" w:eastAsia="宋体" w:cs="宋体"/>
          <w:snapToGrid w:val="0"/>
          <w:color w:val="000000"/>
          <w:kern w:val="0"/>
          <w:sz w:val="21"/>
          <w:szCs w:val="21"/>
          <w:lang w:val="en-US" w:eastAsia="en-US" w:bidi="ar-SA"/>
        </w:rPr>
      </w:pPr>
    </w:p>
    <w:p w14:paraId="674A3E7D">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6.5 力学性能试验</w:t>
      </w:r>
    </w:p>
    <w:p w14:paraId="70B67AE3">
      <w:pPr>
        <w:rPr>
          <w:rFonts w:hint="eastAsia" w:ascii="宋体" w:hAnsi="宋体" w:eastAsia="宋体" w:cs="宋体"/>
          <w:snapToGrid w:val="0"/>
          <w:color w:val="000000"/>
          <w:kern w:val="0"/>
          <w:sz w:val="21"/>
          <w:szCs w:val="21"/>
          <w:lang w:val="en-US" w:eastAsia="en-US" w:bidi="ar-SA"/>
        </w:rPr>
      </w:pPr>
    </w:p>
    <w:p w14:paraId="62264F91">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6.5.1 结构件的拉伸力学性能试验应按 GB/T 228.1 的规定执行。试棒应采用与压铸件同炉铝液、在相同压铸工艺条件下制备的标准压铸试样，或从本体上取样。</w:t>
      </w:r>
    </w:p>
    <w:p w14:paraId="10692004">
      <w:pPr>
        <w:rPr>
          <w:rFonts w:hint="eastAsia" w:ascii="宋体" w:hAnsi="宋体" w:eastAsia="宋体" w:cs="宋体"/>
          <w:snapToGrid w:val="0"/>
          <w:color w:val="000000"/>
          <w:kern w:val="0"/>
          <w:sz w:val="21"/>
          <w:szCs w:val="21"/>
          <w:lang w:val="en-US" w:eastAsia="en-US" w:bidi="ar-SA"/>
        </w:rPr>
      </w:pPr>
    </w:p>
    <w:p w14:paraId="311DBBDE">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6.5.2 结构件的硬度试验可按 GB/T 231.1 或供需双方约定的硬度检测标准执行，检测位置应为结构件的指定部位。</w:t>
      </w:r>
    </w:p>
    <w:p w14:paraId="0456C9C1">
      <w:pPr>
        <w:rPr>
          <w:rFonts w:hint="eastAsia" w:ascii="宋体" w:hAnsi="宋体" w:eastAsia="宋体" w:cs="宋体"/>
          <w:snapToGrid w:val="0"/>
          <w:color w:val="000000"/>
          <w:kern w:val="0"/>
          <w:sz w:val="21"/>
          <w:szCs w:val="21"/>
          <w:lang w:val="en-US" w:eastAsia="en-US" w:bidi="ar-SA"/>
        </w:rPr>
      </w:pPr>
    </w:p>
    <w:p w14:paraId="41DF360C">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6.6 耐腐蚀试验</w:t>
      </w:r>
    </w:p>
    <w:p w14:paraId="0975B0C5">
      <w:pPr>
        <w:rPr>
          <w:rFonts w:hint="eastAsia" w:ascii="宋体" w:hAnsi="宋体" w:eastAsia="宋体" w:cs="宋体"/>
          <w:snapToGrid w:val="0"/>
          <w:color w:val="000000"/>
          <w:kern w:val="0"/>
          <w:sz w:val="21"/>
          <w:szCs w:val="21"/>
          <w:lang w:val="en-US" w:eastAsia="en-US" w:bidi="ar-SA"/>
        </w:rPr>
      </w:pPr>
    </w:p>
    <w:p w14:paraId="1AC268A7">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对有表面处理要求的结构件，应按 GB/T 10125 进行中性盐雾试验（NSS），试验时间由供需双方约定，一般宜不低于 240 小时，试验后涂层应无起泡、脱落或明显腐蚀。</w:t>
      </w:r>
    </w:p>
    <w:p w14:paraId="2505A4AC">
      <w:pPr>
        <w:rPr>
          <w:rFonts w:hint="eastAsia" w:ascii="宋体" w:hAnsi="宋体" w:eastAsia="宋体" w:cs="宋体"/>
          <w:snapToGrid w:val="0"/>
          <w:color w:val="000000"/>
          <w:kern w:val="0"/>
          <w:sz w:val="21"/>
          <w:szCs w:val="21"/>
          <w:lang w:val="en-US" w:eastAsia="en-US" w:bidi="ar-SA"/>
        </w:rPr>
      </w:pPr>
    </w:p>
    <w:p w14:paraId="57FA30EC">
      <w:pPr>
        <w:pStyle w:val="2"/>
        <w:keepNext w:val="0"/>
        <w:keepLines w:val="0"/>
        <w:pageBreakBefore w:val="0"/>
        <w:widowControl/>
        <w:kinsoku w:val="0"/>
        <w:wordWrap/>
        <w:overflowPunct/>
        <w:topLinePunct w:val="0"/>
        <w:autoSpaceDE w:val="0"/>
        <w:autoSpaceDN w:val="0"/>
        <w:bidi w:val="0"/>
        <w:adjustRightInd w:val="0"/>
        <w:snapToGrid w:val="0"/>
        <w:spacing w:before="308" w:line="221" w:lineRule="auto"/>
        <w:ind w:left="11"/>
        <w:textAlignment w:val="baseline"/>
        <w:outlineLvl w:val="1"/>
        <w:rPr>
          <w:rFonts w:hint="eastAsia"/>
          <w:spacing w:val="-8"/>
          <w:sz w:val="24"/>
          <w:szCs w:val="24"/>
          <w:lang w:val="en-US" w:eastAsia="en-US"/>
        </w:rPr>
      </w:pPr>
      <w:r>
        <w:rPr>
          <w:rFonts w:hint="eastAsia"/>
          <w:spacing w:val="-8"/>
          <w:sz w:val="24"/>
          <w:szCs w:val="24"/>
          <w:lang w:val="en-US" w:eastAsia="en-US"/>
        </w:rPr>
        <w:t>7 检验规则</w:t>
      </w:r>
    </w:p>
    <w:p w14:paraId="53B24145">
      <w:pPr>
        <w:rPr>
          <w:rFonts w:hint="eastAsia" w:ascii="宋体" w:hAnsi="宋体" w:eastAsia="宋体" w:cs="宋体"/>
          <w:snapToGrid w:val="0"/>
          <w:color w:val="000000"/>
          <w:kern w:val="0"/>
          <w:sz w:val="21"/>
          <w:szCs w:val="21"/>
          <w:lang w:val="en-US" w:eastAsia="en-US" w:bidi="ar-SA"/>
        </w:rPr>
      </w:pPr>
    </w:p>
    <w:p w14:paraId="35B40B9C">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7.1 检验分类</w:t>
      </w:r>
    </w:p>
    <w:p w14:paraId="7ED52299">
      <w:pPr>
        <w:rPr>
          <w:rFonts w:hint="eastAsia" w:ascii="宋体" w:hAnsi="宋体" w:eastAsia="宋体" w:cs="宋体"/>
          <w:snapToGrid w:val="0"/>
          <w:color w:val="000000"/>
          <w:kern w:val="0"/>
          <w:sz w:val="21"/>
          <w:szCs w:val="21"/>
          <w:lang w:val="en-US" w:eastAsia="en-US" w:bidi="ar-SA"/>
        </w:rPr>
      </w:pPr>
    </w:p>
    <w:p w14:paraId="40A0AA17">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结构件的检验分为出厂检验和型式检验。</w:t>
      </w:r>
    </w:p>
    <w:p w14:paraId="641D1A0A">
      <w:pPr>
        <w:rPr>
          <w:rFonts w:hint="eastAsia" w:ascii="宋体" w:hAnsi="宋体" w:eastAsia="宋体" w:cs="宋体"/>
          <w:snapToGrid w:val="0"/>
          <w:color w:val="000000"/>
          <w:kern w:val="0"/>
          <w:sz w:val="21"/>
          <w:szCs w:val="21"/>
          <w:lang w:val="en-US" w:eastAsia="en-US" w:bidi="ar-SA"/>
        </w:rPr>
      </w:pPr>
    </w:p>
    <w:p w14:paraId="09DA6845">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7.2 出厂检验</w:t>
      </w:r>
    </w:p>
    <w:p w14:paraId="79C513B5">
      <w:pPr>
        <w:rPr>
          <w:rFonts w:hint="eastAsia" w:ascii="宋体" w:hAnsi="宋体" w:eastAsia="宋体" w:cs="宋体"/>
          <w:snapToGrid w:val="0"/>
          <w:color w:val="000000"/>
          <w:kern w:val="0"/>
          <w:sz w:val="21"/>
          <w:szCs w:val="21"/>
          <w:lang w:val="en-US" w:eastAsia="en-US" w:bidi="ar-SA"/>
        </w:rPr>
      </w:pPr>
    </w:p>
    <w:p w14:paraId="6118344F">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7.2.1 结构件出厂前应由供方质量检验部门逐件进行检验，检验合格并附产品合格证后方可出厂。</w:t>
      </w:r>
    </w:p>
    <w:p w14:paraId="4889EBA6">
      <w:pPr>
        <w:rPr>
          <w:rFonts w:hint="eastAsia" w:ascii="宋体" w:hAnsi="宋体" w:eastAsia="宋体" w:cs="宋体"/>
          <w:snapToGrid w:val="0"/>
          <w:color w:val="000000"/>
          <w:kern w:val="0"/>
          <w:sz w:val="21"/>
          <w:szCs w:val="21"/>
          <w:lang w:val="en-US" w:eastAsia="en-US" w:bidi="ar-SA"/>
        </w:rPr>
      </w:pPr>
    </w:p>
    <w:p w14:paraId="18E9ED25">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7.2.2 出厂检验项目包括：外观质量（按 5.4）、关键尺寸（按供需双方约定的关键尺寸清单）。</w:t>
      </w:r>
    </w:p>
    <w:p w14:paraId="0F4B5E79">
      <w:pPr>
        <w:rPr>
          <w:rFonts w:hint="eastAsia" w:ascii="宋体" w:hAnsi="宋体" w:eastAsia="宋体" w:cs="宋体"/>
          <w:snapToGrid w:val="0"/>
          <w:color w:val="000000"/>
          <w:kern w:val="0"/>
          <w:sz w:val="21"/>
          <w:szCs w:val="21"/>
          <w:lang w:val="en-US" w:eastAsia="en-US" w:bidi="ar-SA"/>
        </w:rPr>
      </w:pPr>
    </w:p>
    <w:p w14:paraId="7AC021C5">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7.3 型式检验</w:t>
      </w:r>
    </w:p>
    <w:p w14:paraId="2A4C4299">
      <w:pPr>
        <w:rPr>
          <w:rFonts w:hint="eastAsia" w:ascii="宋体" w:hAnsi="宋体" w:eastAsia="宋体" w:cs="宋体"/>
          <w:snapToGrid w:val="0"/>
          <w:color w:val="000000"/>
          <w:kern w:val="0"/>
          <w:sz w:val="21"/>
          <w:szCs w:val="21"/>
          <w:lang w:val="en-US" w:eastAsia="en-US" w:bidi="ar-SA"/>
        </w:rPr>
      </w:pPr>
    </w:p>
    <w:p w14:paraId="7C9773AC">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7.3.1 凡属下列情况之一者，应进行型式检验：</w:t>
      </w:r>
    </w:p>
    <w:p w14:paraId="0BD59180">
      <w:pPr>
        <w:rPr>
          <w:rFonts w:hint="eastAsia" w:ascii="宋体" w:hAnsi="宋体" w:eastAsia="宋体" w:cs="宋体"/>
          <w:snapToGrid w:val="0"/>
          <w:color w:val="000000"/>
          <w:kern w:val="0"/>
          <w:sz w:val="21"/>
          <w:szCs w:val="21"/>
          <w:lang w:val="en-US" w:eastAsia="en-US" w:bidi="ar-SA"/>
        </w:rPr>
      </w:pPr>
    </w:p>
    <w:p w14:paraId="7225F7FB">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a) 新产品或老产品转厂生产的试制定型鉴定时；</w:t>
      </w:r>
    </w:p>
    <w:p w14:paraId="62EDEC57">
      <w:pPr>
        <w:rPr>
          <w:rFonts w:hint="eastAsia" w:ascii="宋体" w:hAnsi="宋体" w:eastAsia="宋体" w:cs="宋体"/>
          <w:snapToGrid w:val="0"/>
          <w:color w:val="000000"/>
          <w:kern w:val="0"/>
          <w:sz w:val="21"/>
          <w:szCs w:val="21"/>
          <w:lang w:val="en-US" w:eastAsia="en-US" w:bidi="ar-SA"/>
        </w:rPr>
      </w:pPr>
    </w:p>
    <w:p w14:paraId="77FF4C1C">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b) 正式生产后，如结构、材料、工艺有较大改变，可能影响产品性能时；</w:t>
      </w:r>
    </w:p>
    <w:p w14:paraId="6BE1B42D">
      <w:pPr>
        <w:rPr>
          <w:rFonts w:hint="eastAsia" w:ascii="宋体" w:hAnsi="宋体" w:eastAsia="宋体" w:cs="宋体"/>
          <w:snapToGrid w:val="0"/>
          <w:color w:val="000000"/>
          <w:kern w:val="0"/>
          <w:sz w:val="21"/>
          <w:szCs w:val="21"/>
          <w:lang w:val="en-US" w:eastAsia="en-US" w:bidi="ar-SA"/>
        </w:rPr>
      </w:pPr>
    </w:p>
    <w:p w14:paraId="1F6C256B">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c) 正常生产每一年应进行一次；</w:t>
      </w:r>
    </w:p>
    <w:p w14:paraId="29CD76C8">
      <w:pPr>
        <w:rPr>
          <w:rFonts w:hint="eastAsia" w:ascii="宋体" w:hAnsi="宋体" w:eastAsia="宋体" w:cs="宋体"/>
          <w:snapToGrid w:val="0"/>
          <w:color w:val="000000"/>
          <w:kern w:val="0"/>
          <w:sz w:val="21"/>
          <w:szCs w:val="21"/>
          <w:lang w:val="en-US" w:eastAsia="en-US" w:bidi="ar-SA"/>
        </w:rPr>
      </w:pPr>
    </w:p>
    <w:p w14:paraId="3B8A496F">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d) 停产一年以上恢复生产时；</w:t>
      </w:r>
    </w:p>
    <w:p w14:paraId="17D755EB">
      <w:pPr>
        <w:rPr>
          <w:rFonts w:hint="eastAsia" w:ascii="宋体" w:hAnsi="宋体" w:eastAsia="宋体" w:cs="宋体"/>
          <w:snapToGrid w:val="0"/>
          <w:color w:val="000000"/>
          <w:kern w:val="0"/>
          <w:sz w:val="21"/>
          <w:szCs w:val="21"/>
          <w:lang w:val="en-US" w:eastAsia="en-US" w:bidi="ar-SA"/>
        </w:rPr>
      </w:pPr>
    </w:p>
    <w:p w14:paraId="11B1B328">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e) 出厂检验结果与上次型式检验有较大差异时；</w:t>
      </w:r>
    </w:p>
    <w:p w14:paraId="010E726C">
      <w:pPr>
        <w:rPr>
          <w:rFonts w:hint="eastAsia" w:ascii="宋体" w:hAnsi="宋体" w:eastAsia="宋体" w:cs="宋体"/>
          <w:snapToGrid w:val="0"/>
          <w:color w:val="000000"/>
          <w:kern w:val="0"/>
          <w:sz w:val="21"/>
          <w:szCs w:val="21"/>
          <w:lang w:val="en-US" w:eastAsia="en-US" w:bidi="ar-SA"/>
        </w:rPr>
      </w:pPr>
    </w:p>
    <w:p w14:paraId="469F77F2">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f) 国家质量监督机构提出型式检验要求时。</w:t>
      </w:r>
    </w:p>
    <w:p w14:paraId="3981D051">
      <w:pPr>
        <w:rPr>
          <w:rFonts w:hint="eastAsia" w:ascii="宋体" w:hAnsi="宋体" w:eastAsia="宋体" w:cs="宋体"/>
          <w:snapToGrid w:val="0"/>
          <w:color w:val="000000"/>
          <w:kern w:val="0"/>
          <w:sz w:val="21"/>
          <w:szCs w:val="21"/>
          <w:lang w:val="en-US" w:eastAsia="en-US" w:bidi="ar-SA"/>
        </w:rPr>
      </w:pPr>
    </w:p>
    <w:p w14:paraId="4BE2846E">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7.3.2 型式检验项目应包括本文件 5.2、5.3、5.4、5.5、5.6、5.7 的全部技术要求和相应试验方法。</w:t>
      </w:r>
    </w:p>
    <w:p w14:paraId="67F2C055">
      <w:pPr>
        <w:rPr>
          <w:rFonts w:hint="eastAsia" w:ascii="宋体" w:hAnsi="宋体" w:eastAsia="宋体" w:cs="宋体"/>
          <w:snapToGrid w:val="0"/>
          <w:color w:val="000000"/>
          <w:kern w:val="0"/>
          <w:sz w:val="21"/>
          <w:szCs w:val="21"/>
          <w:lang w:val="en-US" w:eastAsia="en-US" w:bidi="ar-SA"/>
        </w:rPr>
      </w:pPr>
    </w:p>
    <w:p w14:paraId="7AF2B37F">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7.3.3 型式检验的样品应从出厂检验合格的产品中随机抽取，抽样数量由供需双方约定。</w:t>
      </w:r>
    </w:p>
    <w:p w14:paraId="0815CE96">
      <w:pPr>
        <w:rPr>
          <w:rFonts w:hint="eastAsia" w:ascii="宋体" w:hAnsi="宋体" w:eastAsia="宋体" w:cs="宋体"/>
          <w:snapToGrid w:val="0"/>
          <w:color w:val="000000"/>
          <w:kern w:val="0"/>
          <w:sz w:val="21"/>
          <w:szCs w:val="21"/>
          <w:lang w:val="en-US" w:eastAsia="en-US" w:bidi="ar-SA"/>
        </w:rPr>
      </w:pPr>
    </w:p>
    <w:p w14:paraId="6A51BE5D">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7.4 判定规则</w:t>
      </w:r>
    </w:p>
    <w:p w14:paraId="6337296D">
      <w:pPr>
        <w:rPr>
          <w:rFonts w:hint="eastAsia" w:ascii="宋体" w:hAnsi="宋体" w:eastAsia="宋体" w:cs="宋体"/>
          <w:snapToGrid w:val="0"/>
          <w:color w:val="000000"/>
          <w:kern w:val="0"/>
          <w:sz w:val="21"/>
          <w:szCs w:val="21"/>
          <w:lang w:val="en-US" w:eastAsia="en-US" w:bidi="ar-SA"/>
        </w:rPr>
      </w:pPr>
    </w:p>
    <w:p w14:paraId="4D76B1D8">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检验结果全部符合本文件技术要求时，判为合格品。若检验项目中有一项不合格，应加倍取样对不合格项目进行复检，复检结果仍不合格时，判定该批产品为不合格品。</w:t>
      </w:r>
    </w:p>
    <w:p w14:paraId="1386BDF0">
      <w:pPr>
        <w:rPr>
          <w:rFonts w:hint="eastAsia" w:ascii="宋体" w:hAnsi="宋体" w:eastAsia="宋体" w:cs="宋体"/>
          <w:snapToGrid w:val="0"/>
          <w:color w:val="000000"/>
          <w:kern w:val="0"/>
          <w:sz w:val="21"/>
          <w:szCs w:val="21"/>
          <w:lang w:val="en-US" w:eastAsia="en-US" w:bidi="ar-SA"/>
        </w:rPr>
      </w:pPr>
    </w:p>
    <w:p w14:paraId="0A89E026">
      <w:pPr>
        <w:pStyle w:val="2"/>
        <w:keepNext w:val="0"/>
        <w:keepLines w:val="0"/>
        <w:pageBreakBefore w:val="0"/>
        <w:widowControl/>
        <w:kinsoku w:val="0"/>
        <w:wordWrap/>
        <w:overflowPunct/>
        <w:topLinePunct w:val="0"/>
        <w:autoSpaceDE w:val="0"/>
        <w:autoSpaceDN w:val="0"/>
        <w:bidi w:val="0"/>
        <w:adjustRightInd w:val="0"/>
        <w:snapToGrid w:val="0"/>
        <w:spacing w:before="308" w:line="221" w:lineRule="auto"/>
        <w:ind w:left="11"/>
        <w:textAlignment w:val="baseline"/>
        <w:outlineLvl w:val="1"/>
        <w:rPr>
          <w:rFonts w:hint="eastAsia"/>
          <w:spacing w:val="-8"/>
          <w:sz w:val="24"/>
          <w:szCs w:val="24"/>
          <w:lang w:val="en-US" w:eastAsia="en-US"/>
        </w:rPr>
      </w:pPr>
      <w:r>
        <w:rPr>
          <w:rFonts w:hint="eastAsia"/>
          <w:spacing w:val="-8"/>
          <w:sz w:val="24"/>
          <w:szCs w:val="24"/>
          <w:lang w:val="en-US" w:eastAsia="en-US"/>
        </w:rPr>
        <w:t>8 标志、包装、运输和贮存</w:t>
      </w:r>
    </w:p>
    <w:p w14:paraId="5C9B6ABD">
      <w:pPr>
        <w:rPr>
          <w:rFonts w:hint="eastAsia" w:ascii="宋体" w:hAnsi="宋体" w:eastAsia="宋体" w:cs="宋体"/>
          <w:snapToGrid w:val="0"/>
          <w:color w:val="000000"/>
          <w:kern w:val="0"/>
          <w:sz w:val="21"/>
          <w:szCs w:val="21"/>
          <w:lang w:val="en-US" w:eastAsia="en-US" w:bidi="ar-SA"/>
        </w:rPr>
      </w:pPr>
    </w:p>
    <w:p w14:paraId="375C754C">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8.1 结构件的标志宜包括：供方名称或商标、产品型号/零件号、生产批次、生产日期等信息，可通过压印、激光打标或标签粘贴等方式标记。</w:t>
      </w:r>
    </w:p>
    <w:p w14:paraId="3D25B3F5">
      <w:pPr>
        <w:rPr>
          <w:rFonts w:hint="eastAsia" w:ascii="宋体" w:hAnsi="宋体" w:eastAsia="宋体" w:cs="宋体"/>
          <w:snapToGrid w:val="0"/>
          <w:color w:val="000000"/>
          <w:kern w:val="0"/>
          <w:sz w:val="21"/>
          <w:szCs w:val="21"/>
          <w:lang w:val="en-US" w:eastAsia="en-US" w:bidi="ar-SA"/>
        </w:rPr>
      </w:pPr>
    </w:p>
    <w:p w14:paraId="6D0B9081">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8.2 结构件在包装和运输过程中应采取必要的防护措施（如隔垫防护），防止相互碰撞造成磕碰、划伤和变形。</w:t>
      </w:r>
    </w:p>
    <w:p w14:paraId="0DE3A152">
      <w:pPr>
        <w:rPr>
          <w:rFonts w:hint="eastAsia" w:ascii="宋体" w:hAnsi="宋体" w:eastAsia="宋体" w:cs="宋体"/>
          <w:snapToGrid w:val="0"/>
          <w:color w:val="000000"/>
          <w:kern w:val="0"/>
          <w:sz w:val="21"/>
          <w:szCs w:val="21"/>
          <w:lang w:val="en-US" w:eastAsia="en-US" w:bidi="ar-SA"/>
        </w:rPr>
      </w:pPr>
    </w:p>
    <w:p w14:paraId="6EB85290">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8.3 结构件的包装宜符合清洁和防锈要求，包装箱内应有产品合格证及质量证明文件。</w:t>
      </w:r>
    </w:p>
    <w:p w14:paraId="696A1813">
      <w:pPr>
        <w:rPr>
          <w:rFonts w:hint="eastAsia" w:ascii="宋体" w:hAnsi="宋体" w:eastAsia="宋体" w:cs="宋体"/>
          <w:snapToGrid w:val="0"/>
          <w:color w:val="000000"/>
          <w:kern w:val="0"/>
          <w:sz w:val="21"/>
          <w:szCs w:val="21"/>
          <w:lang w:val="en-US" w:eastAsia="en-US" w:bidi="ar-SA"/>
        </w:rPr>
      </w:pPr>
    </w:p>
    <w:p w14:paraId="167F5BAB">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8.4 结构件应贮存在干燥、通风、无腐蚀性介质的仓库中，避免长期露天堆放。</w:t>
      </w:r>
    </w:p>
    <w:p w14:paraId="6580D6F0">
      <w:pPr>
        <w:rPr>
          <w:rFonts w:hint="eastAsia" w:ascii="宋体" w:hAnsi="宋体" w:eastAsia="宋体" w:cs="宋体"/>
          <w:snapToGrid w:val="0"/>
          <w:color w:val="000000"/>
          <w:kern w:val="0"/>
          <w:sz w:val="21"/>
          <w:szCs w:val="21"/>
          <w:lang w:val="en-US" w:eastAsia="en-US" w:bidi="ar-SA"/>
        </w:rPr>
      </w:pPr>
    </w:p>
    <w:p w14:paraId="7CFC3B53">
      <w:pPr>
        <w:pStyle w:val="2"/>
        <w:keepNext w:val="0"/>
        <w:keepLines w:val="0"/>
        <w:pageBreakBefore w:val="0"/>
        <w:widowControl/>
        <w:kinsoku w:val="0"/>
        <w:wordWrap/>
        <w:overflowPunct/>
        <w:topLinePunct w:val="0"/>
        <w:autoSpaceDE w:val="0"/>
        <w:autoSpaceDN w:val="0"/>
        <w:bidi w:val="0"/>
        <w:adjustRightInd w:val="0"/>
        <w:snapToGrid w:val="0"/>
        <w:spacing w:before="308" w:line="221" w:lineRule="auto"/>
        <w:ind w:left="11"/>
        <w:textAlignment w:val="baseline"/>
        <w:outlineLvl w:val="1"/>
        <w:rPr>
          <w:rFonts w:hint="eastAsia"/>
          <w:spacing w:val="-8"/>
          <w:sz w:val="24"/>
          <w:szCs w:val="24"/>
          <w:lang w:val="en-US" w:eastAsia="en-US"/>
        </w:rPr>
      </w:pPr>
      <w:r>
        <w:rPr>
          <w:rFonts w:hint="eastAsia"/>
          <w:spacing w:val="-8"/>
          <w:sz w:val="24"/>
          <w:szCs w:val="24"/>
          <w:lang w:val="en-US" w:eastAsia="en-US"/>
        </w:rPr>
        <w:t>9 连接与装配要求</w:t>
      </w:r>
    </w:p>
    <w:p w14:paraId="196171FE">
      <w:pPr>
        <w:rPr>
          <w:rFonts w:hint="eastAsia" w:ascii="宋体" w:hAnsi="宋体" w:eastAsia="宋体" w:cs="宋体"/>
          <w:snapToGrid w:val="0"/>
          <w:color w:val="000000"/>
          <w:kern w:val="0"/>
          <w:sz w:val="21"/>
          <w:szCs w:val="21"/>
          <w:lang w:val="en-US" w:eastAsia="en-US" w:bidi="ar-SA"/>
        </w:rPr>
      </w:pPr>
    </w:p>
    <w:p w14:paraId="7C81640B">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9.1 结构件与其他零部件的连接方式（如自冲铆接 SPR、流钻螺接 FDS、螺栓连接、焊接等）应满足产品图样及装配工艺要求。</w:t>
      </w:r>
    </w:p>
    <w:p w14:paraId="3B2E4F5D">
      <w:pPr>
        <w:rPr>
          <w:rFonts w:hint="eastAsia" w:ascii="宋体" w:hAnsi="宋体" w:eastAsia="宋体" w:cs="宋体"/>
          <w:snapToGrid w:val="0"/>
          <w:color w:val="000000"/>
          <w:kern w:val="0"/>
          <w:sz w:val="21"/>
          <w:szCs w:val="21"/>
          <w:lang w:val="en-US" w:eastAsia="en-US" w:bidi="ar-SA"/>
        </w:rPr>
      </w:pPr>
    </w:p>
    <w:p w14:paraId="73793AE8">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9.2 A类结构件的铆接连接点应进行抽检检测，包括铆接外观、铆接高度、底切量等，检测结果应符合设计规范。</w:t>
      </w:r>
    </w:p>
    <w:p w14:paraId="3F83F156">
      <w:pPr>
        <w:rPr>
          <w:rFonts w:hint="eastAsia" w:ascii="宋体" w:hAnsi="宋体" w:eastAsia="宋体" w:cs="宋体"/>
          <w:snapToGrid w:val="0"/>
          <w:color w:val="000000"/>
          <w:kern w:val="0"/>
          <w:sz w:val="21"/>
          <w:szCs w:val="21"/>
          <w:lang w:val="en-US" w:eastAsia="en-US" w:bidi="ar-SA"/>
        </w:rPr>
      </w:pPr>
    </w:p>
    <w:p w14:paraId="070F8DA1">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9.3 对于采用自冲铆接的结构件，铆接前应确认铸件壁厚及连接区域质量满足铆接工艺要求，避免因铆接导致结构件开裂或连接失效。</w:t>
      </w:r>
    </w:p>
    <w:p w14:paraId="1FCF2369">
      <w:pPr>
        <w:rPr>
          <w:rFonts w:hint="eastAsia" w:ascii="宋体" w:hAnsi="宋体" w:eastAsia="宋体" w:cs="宋体"/>
          <w:snapToGrid w:val="0"/>
          <w:color w:val="000000"/>
          <w:kern w:val="0"/>
          <w:sz w:val="21"/>
          <w:szCs w:val="21"/>
          <w:lang w:val="en-US" w:eastAsia="en-US" w:bidi="ar-SA"/>
        </w:rPr>
      </w:pPr>
    </w:p>
    <w:p w14:paraId="6A5B90C5">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9.4 连接完成后，应按装配工艺要求进行连接质量的检测与记录。</w:t>
      </w:r>
    </w:p>
    <w:p w14:paraId="251C418F">
      <w:pPr>
        <w:rPr>
          <w:rFonts w:hint="eastAsia" w:ascii="宋体" w:hAnsi="宋体" w:eastAsia="宋体" w:cs="宋体"/>
          <w:snapToGrid w:val="0"/>
          <w:color w:val="000000"/>
          <w:kern w:val="0"/>
          <w:sz w:val="21"/>
          <w:szCs w:val="21"/>
          <w:lang w:val="en-US" w:eastAsia="en-US" w:bidi="ar-SA"/>
        </w:rPr>
      </w:pPr>
    </w:p>
    <w:p w14:paraId="25F82DF2">
      <w:pPr>
        <w:rPr>
          <w:rFonts w:hint="eastAsia"/>
          <w:spacing w:val="-8"/>
          <w:sz w:val="24"/>
          <w:szCs w:val="24"/>
        </w:rPr>
      </w:pPr>
    </w:p>
    <w:p w14:paraId="45B5DD04">
      <w:pPr>
        <w:rPr>
          <w:rFonts w:hint="eastAsia"/>
          <w:spacing w:val="-8"/>
          <w:sz w:val="24"/>
          <w:szCs w:val="24"/>
        </w:rPr>
      </w:pPr>
    </w:p>
    <w:p w14:paraId="6E8B2172">
      <w:pPr>
        <w:rPr>
          <w:rFonts w:hint="eastAsia"/>
          <w:spacing w:val="-8"/>
          <w:sz w:val="24"/>
          <w:szCs w:val="24"/>
        </w:rPr>
      </w:pPr>
    </w:p>
    <w:p w14:paraId="6D0E9489">
      <w:pPr>
        <w:rPr>
          <w:rFonts w:hint="eastAsia"/>
          <w:spacing w:val="-8"/>
          <w:sz w:val="24"/>
          <w:szCs w:val="24"/>
        </w:rPr>
      </w:pPr>
    </w:p>
    <w:p w14:paraId="6DB0507E">
      <w:pPr>
        <w:rPr>
          <w:rFonts w:hint="eastAsia"/>
          <w:spacing w:val="-8"/>
          <w:sz w:val="24"/>
          <w:szCs w:val="24"/>
        </w:rPr>
      </w:pPr>
    </w:p>
    <w:p w14:paraId="032FE89D">
      <w:pPr>
        <w:rPr>
          <w:rFonts w:hint="eastAsia"/>
          <w:spacing w:val="-8"/>
          <w:sz w:val="24"/>
          <w:szCs w:val="24"/>
        </w:rPr>
      </w:pPr>
    </w:p>
    <w:p w14:paraId="15FCF21E">
      <w:pPr>
        <w:rPr>
          <w:rFonts w:hint="eastAsia"/>
          <w:spacing w:val="-8"/>
          <w:sz w:val="24"/>
          <w:szCs w:val="24"/>
        </w:rPr>
      </w:pPr>
    </w:p>
    <w:p w14:paraId="62BC7294">
      <w:pPr>
        <w:rPr>
          <w:rFonts w:hint="eastAsia"/>
          <w:spacing w:val="-8"/>
          <w:sz w:val="24"/>
          <w:szCs w:val="24"/>
        </w:rPr>
      </w:pPr>
    </w:p>
    <w:p w14:paraId="2E8C921D">
      <w:pPr>
        <w:rPr>
          <w:rFonts w:hint="eastAsia"/>
          <w:spacing w:val="-8"/>
          <w:sz w:val="24"/>
          <w:szCs w:val="24"/>
        </w:rPr>
      </w:pPr>
    </w:p>
    <w:p w14:paraId="1BF42B93">
      <w:pPr>
        <w:rPr>
          <w:rFonts w:hint="eastAsia"/>
          <w:spacing w:val="-8"/>
          <w:sz w:val="24"/>
          <w:szCs w:val="24"/>
        </w:rPr>
      </w:pPr>
    </w:p>
    <w:p w14:paraId="3429CAB0">
      <w:pPr>
        <w:rPr>
          <w:rFonts w:hint="eastAsia"/>
          <w:spacing w:val="-8"/>
          <w:sz w:val="24"/>
          <w:szCs w:val="24"/>
        </w:rPr>
      </w:pPr>
    </w:p>
    <w:p w14:paraId="1C713207">
      <w:pPr>
        <w:rPr>
          <w:rFonts w:hint="eastAsia"/>
          <w:spacing w:val="-8"/>
          <w:sz w:val="24"/>
          <w:szCs w:val="24"/>
        </w:rPr>
      </w:pPr>
    </w:p>
    <w:p w14:paraId="1761CA57">
      <w:pPr>
        <w:rPr>
          <w:rFonts w:hint="eastAsia"/>
          <w:spacing w:val="-8"/>
          <w:sz w:val="24"/>
          <w:szCs w:val="24"/>
        </w:rPr>
      </w:pPr>
    </w:p>
    <w:p w14:paraId="140011FA">
      <w:pPr>
        <w:rPr>
          <w:rFonts w:hint="eastAsia"/>
          <w:spacing w:val="-8"/>
          <w:sz w:val="24"/>
          <w:szCs w:val="24"/>
        </w:rPr>
      </w:pPr>
    </w:p>
    <w:p w14:paraId="11DA2C88">
      <w:pPr>
        <w:rPr>
          <w:rFonts w:hint="eastAsia"/>
          <w:spacing w:val="-8"/>
          <w:sz w:val="24"/>
          <w:szCs w:val="24"/>
        </w:rPr>
      </w:pPr>
    </w:p>
    <w:p w14:paraId="78B838A9">
      <w:pPr>
        <w:rPr>
          <w:rFonts w:hint="eastAsia"/>
          <w:spacing w:val="-8"/>
          <w:sz w:val="24"/>
          <w:szCs w:val="24"/>
        </w:rPr>
      </w:pPr>
    </w:p>
    <w:p w14:paraId="63FEE463">
      <w:pPr>
        <w:rPr>
          <w:rFonts w:hint="eastAsia"/>
          <w:spacing w:val="-8"/>
          <w:sz w:val="24"/>
          <w:szCs w:val="24"/>
        </w:rPr>
      </w:pPr>
    </w:p>
    <w:p w14:paraId="4996900E">
      <w:pPr>
        <w:rPr>
          <w:rFonts w:hint="eastAsia"/>
          <w:spacing w:val="-8"/>
          <w:sz w:val="24"/>
          <w:szCs w:val="24"/>
        </w:rPr>
      </w:pPr>
    </w:p>
    <w:p w14:paraId="32D69B87">
      <w:pPr>
        <w:rPr>
          <w:rFonts w:hint="eastAsia"/>
          <w:spacing w:val="-8"/>
          <w:sz w:val="24"/>
          <w:szCs w:val="24"/>
        </w:rPr>
      </w:pPr>
    </w:p>
    <w:p w14:paraId="426FCBFC">
      <w:pPr>
        <w:rPr>
          <w:rFonts w:hint="eastAsia"/>
          <w:spacing w:val="-8"/>
          <w:sz w:val="24"/>
          <w:szCs w:val="24"/>
        </w:rPr>
      </w:pPr>
    </w:p>
    <w:p w14:paraId="383FE025">
      <w:pPr>
        <w:rPr>
          <w:rFonts w:hint="eastAsia"/>
          <w:spacing w:val="-8"/>
          <w:sz w:val="24"/>
          <w:szCs w:val="24"/>
        </w:rPr>
      </w:pPr>
    </w:p>
    <w:p w14:paraId="60D3D277">
      <w:pPr>
        <w:rPr>
          <w:rFonts w:hint="eastAsia"/>
          <w:spacing w:val="-8"/>
          <w:sz w:val="24"/>
          <w:szCs w:val="24"/>
        </w:rPr>
      </w:pPr>
    </w:p>
    <w:p w14:paraId="087301BB">
      <w:pPr>
        <w:rPr>
          <w:rFonts w:hint="eastAsia"/>
          <w:spacing w:val="-8"/>
          <w:sz w:val="24"/>
          <w:szCs w:val="24"/>
        </w:rPr>
      </w:pPr>
    </w:p>
    <w:p w14:paraId="564CD3B6">
      <w:pPr>
        <w:rPr>
          <w:rFonts w:hint="eastAsia"/>
          <w:spacing w:val="-8"/>
          <w:sz w:val="24"/>
          <w:szCs w:val="24"/>
        </w:rPr>
      </w:pPr>
    </w:p>
    <w:p w14:paraId="28A5B51B">
      <w:pPr>
        <w:rPr>
          <w:rFonts w:hint="eastAsia"/>
          <w:spacing w:val="-8"/>
          <w:sz w:val="24"/>
          <w:szCs w:val="24"/>
        </w:rPr>
      </w:pPr>
    </w:p>
    <w:p w14:paraId="18503E2A">
      <w:pPr>
        <w:rPr>
          <w:rFonts w:hint="eastAsia"/>
          <w:spacing w:val="-8"/>
          <w:sz w:val="24"/>
          <w:szCs w:val="24"/>
        </w:rPr>
      </w:pPr>
    </w:p>
    <w:p w14:paraId="45147611">
      <w:pPr>
        <w:rPr>
          <w:rFonts w:hint="eastAsia"/>
          <w:spacing w:val="-8"/>
          <w:sz w:val="24"/>
          <w:szCs w:val="24"/>
        </w:rPr>
      </w:pPr>
    </w:p>
    <w:p w14:paraId="73968150">
      <w:pPr>
        <w:rPr>
          <w:rFonts w:hint="eastAsia"/>
          <w:spacing w:val="-8"/>
          <w:sz w:val="24"/>
          <w:szCs w:val="24"/>
        </w:rPr>
      </w:pPr>
    </w:p>
    <w:p w14:paraId="2E706016">
      <w:pPr>
        <w:rPr>
          <w:rFonts w:hint="eastAsia"/>
          <w:spacing w:val="-8"/>
          <w:sz w:val="24"/>
          <w:szCs w:val="24"/>
        </w:rPr>
      </w:pPr>
    </w:p>
    <w:p w14:paraId="47B5EA4B">
      <w:pPr>
        <w:rPr>
          <w:rFonts w:hint="eastAsia"/>
          <w:spacing w:val="-8"/>
          <w:sz w:val="24"/>
          <w:szCs w:val="24"/>
        </w:rPr>
      </w:pPr>
    </w:p>
    <w:p w14:paraId="180426CB">
      <w:pPr>
        <w:rPr>
          <w:rFonts w:hint="eastAsia"/>
          <w:spacing w:val="-8"/>
          <w:sz w:val="24"/>
          <w:szCs w:val="24"/>
        </w:rPr>
      </w:pPr>
    </w:p>
    <w:p w14:paraId="631D9761">
      <w:pPr>
        <w:rPr>
          <w:rFonts w:hint="eastAsia"/>
          <w:spacing w:val="-8"/>
          <w:sz w:val="24"/>
          <w:szCs w:val="24"/>
        </w:rPr>
      </w:pPr>
    </w:p>
    <w:p w14:paraId="77056E77">
      <w:pPr>
        <w:rPr>
          <w:rFonts w:hint="eastAsia"/>
          <w:spacing w:val="-8"/>
          <w:sz w:val="24"/>
          <w:szCs w:val="24"/>
        </w:rPr>
      </w:pPr>
    </w:p>
    <w:p w14:paraId="19366DC7">
      <w:pPr>
        <w:rPr>
          <w:rFonts w:hint="eastAsia"/>
          <w:spacing w:val="-8"/>
          <w:sz w:val="24"/>
          <w:szCs w:val="24"/>
        </w:rPr>
      </w:pPr>
    </w:p>
    <w:p w14:paraId="6FCBFE7C">
      <w:pPr>
        <w:rPr>
          <w:rFonts w:hint="eastAsia"/>
          <w:spacing w:val="-8"/>
          <w:sz w:val="24"/>
          <w:szCs w:val="24"/>
        </w:rPr>
      </w:pPr>
    </w:p>
    <w:p w14:paraId="439DD41D">
      <w:pPr>
        <w:rPr>
          <w:rFonts w:hint="eastAsia"/>
          <w:spacing w:val="-8"/>
          <w:sz w:val="24"/>
          <w:szCs w:val="24"/>
        </w:rPr>
      </w:pPr>
    </w:p>
    <w:p w14:paraId="3063C79A">
      <w:pPr>
        <w:rPr>
          <w:rFonts w:hint="eastAsia"/>
          <w:spacing w:val="-8"/>
          <w:sz w:val="24"/>
          <w:szCs w:val="24"/>
        </w:rPr>
      </w:pPr>
    </w:p>
    <w:p w14:paraId="1997FFCF">
      <w:pPr>
        <w:rPr>
          <w:rFonts w:hint="eastAsia"/>
          <w:spacing w:val="-8"/>
          <w:sz w:val="24"/>
          <w:szCs w:val="24"/>
        </w:rPr>
      </w:pPr>
    </w:p>
    <w:p w14:paraId="62EF8B17">
      <w:pPr>
        <w:rPr>
          <w:rFonts w:hint="eastAsia"/>
          <w:spacing w:val="-8"/>
          <w:sz w:val="24"/>
          <w:szCs w:val="24"/>
        </w:rPr>
      </w:pPr>
    </w:p>
    <w:p w14:paraId="43639983">
      <w:pPr>
        <w:rPr>
          <w:rFonts w:hint="eastAsia"/>
          <w:spacing w:val="-8"/>
          <w:sz w:val="24"/>
          <w:szCs w:val="24"/>
        </w:rPr>
      </w:pPr>
    </w:p>
    <w:p w14:paraId="3FAFE36D">
      <w:pPr>
        <w:rPr>
          <w:rFonts w:hint="eastAsia"/>
          <w:spacing w:val="-8"/>
          <w:sz w:val="24"/>
          <w:szCs w:val="24"/>
        </w:rPr>
      </w:pPr>
    </w:p>
    <w:p w14:paraId="303A8D79">
      <w:pPr>
        <w:rPr>
          <w:rFonts w:hint="eastAsia" w:ascii="宋体" w:hAnsi="宋体" w:eastAsia="宋体" w:cs="宋体"/>
          <w:snapToGrid w:val="0"/>
          <w:color w:val="000000"/>
          <w:kern w:val="0"/>
          <w:sz w:val="21"/>
          <w:szCs w:val="21"/>
          <w:lang w:val="en-US" w:eastAsia="en-US" w:bidi="ar-SA"/>
        </w:rPr>
      </w:pPr>
    </w:p>
    <w:p w14:paraId="4C6BC5CC">
      <w:pPr>
        <w:jc w:val="center"/>
        <w:rPr>
          <w:rFonts w:hint="eastAsia" w:ascii="宋体" w:hAnsi="宋体" w:eastAsia="宋体" w:cs="宋体"/>
          <w:b/>
          <w:bCs/>
          <w:snapToGrid w:val="0"/>
          <w:color w:val="000000"/>
          <w:kern w:val="0"/>
          <w:sz w:val="28"/>
          <w:szCs w:val="28"/>
          <w:lang w:val="en-US" w:eastAsia="en-US" w:bidi="ar-SA"/>
        </w:rPr>
      </w:pPr>
      <w:r>
        <w:rPr>
          <w:rFonts w:hint="eastAsia" w:ascii="宋体" w:hAnsi="宋体" w:eastAsia="宋体" w:cs="宋体"/>
          <w:b/>
          <w:bCs/>
          <w:snapToGrid w:val="0"/>
          <w:color w:val="000000"/>
          <w:kern w:val="0"/>
          <w:sz w:val="28"/>
          <w:szCs w:val="28"/>
          <w:lang w:val="en-US" w:eastAsia="en-US" w:bidi="ar-SA"/>
        </w:rPr>
        <w:t>附录 A</w:t>
      </w:r>
    </w:p>
    <w:p w14:paraId="3FB9FBCB">
      <w:pPr>
        <w:jc w:val="center"/>
        <w:rPr>
          <w:rFonts w:hint="eastAsia" w:ascii="宋体" w:hAnsi="宋体" w:eastAsia="宋体" w:cs="宋体"/>
          <w:b/>
          <w:bCs/>
          <w:snapToGrid w:val="0"/>
          <w:color w:val="000000"/>
          <w:kern w:val="0"/>
          <w:sz w:val="28"/>
          <w:szCs w:val="28"/>
          <w:lang w:val="en-US" w:eastAsia="en-US" w:bidi="ar-SA"/>
        </w:rPr>
      </w:pPr>
      <w:r>
        <w:rPr>
          <w:rFonts w:hint="eastAsia" w:ascii="宋体" w:hAnsi="宋体" w:eastAsia="宋体" w:cs="宋体"/>
          <w:b/>
          <w:bCs/>
          <w:snapToGrid w:val="0"/>
          <w:color w:val="000000"/>
          <w:kern w:val="0"/>
          <w:sz w:val="28"/>
          <w:szCs w:val="28"/>
          <w:lang w:val="en-US" w:eastAsia="en-US" w:bidi="ar-SA"/>
        </w:rPr>
        <w:t>（资料性）</w:t>
      </w:r>
    </w:p>
    <w:p w14:paraId="3963B0FE">
      <w:pPr>
        <w:jc w:val="center"/>
        <w:rPr>
          <w:rFonts w:hint="eastAsia" w:ascii="宋体" w:hAnsi="宋体" w:eastAsia="宋体" w:cs="宋体"/>
          <w:b/>
          <w:bCs/>
          <w:snapToGrid w:val="0"/>
          <w:color w:val="000000"/>
          <w:kern w:val="0"/>
          <w:sz w:val="28"/>
          <w:szCs w:val="28"/>
          <w:lang w:val="en-US" w:eastAsia="en-US" w:bidi="ar-SA"/>
        </w:rPr>
      </w:pPr>
    </w:p>
    <w:p w14:paraId="78A5EBBB">
      <w:pPr>
        <w:jc w:val="center"/>
        <w:rPr>
          <w:rFonts w:hint="eastAsia" w:ascii="宋体" w:hAnsi="宋体" w:eastAsia="宋体" w:cs="宋体"/>
          <w:b/>
          <w:bCs/>
          <w:snapToGrid w:val="0"/>
          <w:color w:val="000000"/>
          <w:kern w:val="0"/>
          <w:sz w:val="28"/>
          <w:szCs w:val="28"/>
          <w:lang w:val="en-US" w:eastAsia="en-US" w:bidi="ar-SA"/>
        </w:rPr>
      </w:pPr>
    </w:p>
    <w:p w14:paraId="3B0400D1">
      <w:pPr>
        <w:jc w:val="left"/>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推荐铝合金材料化学成分</w:t>
      </w:r>
    </w:p>
    <w:p w14:paraId="74E15935">
      <w:pPr>
        <w:jc w:val="left"/>
        <w:rPr>
          <w:rFonts w:hint="eastAsia" w:ascii="宋体" w:hAnsi="宋体" w:eastAsia="宋体" w:cs="宋体"/>
          <w:snapToGrid w:val="0"/>
          <w:color w:val="000000"/>
          <w:kern w:val="0"/>
          <w:sz w:val="21"/>
          <w:szCs w:val="21"/>
          <w:lang w:val="en-US" w:eastAsia="en-US" w:bidi="ar-SA"/>
        </w:rPr>
      </w:pPr>
    </w:p>
    <w:p w14:paraId="64C399A2">
      <w:pPr>
        <w:jc w:val="left"/>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合金牌号 合金代号 Si Fe Mn Mg Ti Cu Zn Al 备注</w:t>
      </w:r>
    </w:p>
    <w:p w14:paraId="683C865D">
      <w:pPr>
        <w:jc w:val="left"/>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高强韧压铸铝合金 AlSi10MnMg 9.0~11.0 ≤0.15 0.4~0.8 0.2~0.6 ≤0.15 ≤0.10 ≤0.10 余量 A类结构件推荐</w:t>
      </w:r>
    </w:p>
    <w:p w14:paraId="0058B070">
      <w:pPr>
        <w:jc w:val="left"/>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免热处理高韧性铝合金 AlSi8系合金 7.0~9.0 ≤0.20 0.5~0.8 0.3~0.6 ≤0.15 ≤0.15 ≤0.10 余量 免热处理工艺</w:t>
      </w:r>
    </w:p>
    <w:p w14:paraId="24AA390E">
      <w:pPr>
        <w:jc w:val="left"/>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普通压铸铝合金 AlSi9Cu3 8.5~10.5 ≤1.0 0.2~0.6 0.1~0.5 ≤0.15 2.0~3.5 ≤1.2 余量 B类结构件推荐</w:t>
      </w:r>
    </w:p>
    <w:p w14:paraId="42B661F6">
      <w:pPr>
        <w:rPr>
          <w:rFonts w:hint="eastAsia" w:ascii="宋体" w:hAnsi="宋体" w:eastAsia="宋体" w:cs="宋体"/>
          <w:snapToGrid w:val="0"/>
          <w:color w:val="000000"/>
          <w:kern w:val="0"/>
          <w:sz w:val="21"/>
          <w:szCs w:val="21"/>
          <w:lang w:val="en-US" w:eastAsia="en-US" w:bidi="ar-SA"/>
        </w:rPr>
      </w:pPr>
    </w:p>
    <w:p w14:paraId="49A204C3">
      <w:pPr>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注：具体合金成分及公差范围以供需双方签订的技术协议为准。</w:t>
      </w:r>
    </w:p>
    <w:p w14:paraId="239B036F">
      <w:pPr>
        <w:rPr>
          <w:rFonts w:hint="eastAsia"/>
          <w:spacing w:val="-8"/>
          <w:sz w:val="24"/>
          <w:szCs w:val="24"/>
        </w:rPr>
      </w:pPr>
    </w:p>
    <w:p w14:paraId="778ADB2E">
      <w:pPr>
        <w:rPr>
          <w:rFonts w:hint="eastAsia"/>
          <w:spacing w:val="-8"/>
          <w:sz w:val="24"/>
          <w:szCs w:val="24"/>
        </w:rPr>
      </w:pPr>
    </w:p>
    <w:p w14:paraId="3853B9E5">
      <w:pPr>
        <w:rPr>
          <w:rFonts w:hint="eastAsia"/>
          <w:spacing w:val="-8"/>
          <w:sz w:val="24"/>
          <w:szCs w:val="24"/>
        </w:rPr>
      </w:pPr>
    </w:p>
    <w:p w14:paraId="2FEFAAA8">
      <w:pPr>
        <w:rPr>
          <w:rFonts w:hint="eastAsia"/>
          <w:spacing w:val="-8"/>
          <w:sz w:val="24"/>
          <w:szCs w:val="24"/>
        </w:rPr>
      </w:pPr>
    </w:p>
    <w:p w14:paraId="5DCFF316">
      <w:pPr>
        <w:rPr>
          <w:rFonts w:hint="eastAsia"/>
          <w:spacing w:val="-8"/>
          <w:sz w:val="24"/>
          <w:szCs w:val="24"/>
        </w:rPr>
      </w:pPr>
    </w:p>
    <w:p w14:paraId="12AE9993">
      <w:pPr>
        <w:rPr>
          <w:rFonts w:hint="eastAsia"/>
          <w:spacing w:val="-8"/>
          <w:sz w:val="24"/>
          <w:szCs w:val="24"/>
        </w:rPr>
      </w:pPr>
    </w:p>
    <w:p w14:paraId="5A6185A9">
      <w:pPr>
        <w:rPr>
          <w:rFonts w:hint="eastAsia"/>
          <w:spacing w:val="-8"/>
          <w:sz w:val="24"/>
          <w:szCs w:val="24"/>
        </w:rPr>
      </w:pPr>
    </w:p>
    <w:p w14:paraId="1F05C52C">
      <w:pPr>
        <w:rPr>
          <w:rFonts w:hint="eastAsia"/>
          <w:spacing w:val="-8"/>
          <w:sz w:val="24"/>
          <w:szCs w:val="24"/>
        </w:rPr>
      </w:pPr>
    </w:p>
    <w:p w14:paraId="4ABE27EC">
      <w:pPr>
        <w:rPr>
          <w:rFonts w:hint="eastAsia"/>
          <w:spacing w:val="-8"/>
          <w:sz w:val="24"/>
          <w:szCs w:val="24"/>
        </w:rPr>
      </w:pPr>
    </w:p>
    <w:p w14:paraId="7EA602F5">
      <w:pPr>
        <w:rPr>
          <w:rFonts w:hint="eastAsia"/>
          <w:spacing w:val="-8"/>
          <w:sz w:val="24"/>
          <w:szCs w:val="24"/>
        </w:rPr>
      </w:pPr>
    </w:p>
    <w:p w14:paraId="1512B21B">
      <w:pPr>
        <w:rPr>
          <w:rFonts w:hint="eastAsia"/>
          <w:spacing w:val="-8"/>
          <w:sz w:val="24"/>
          <w:szCs w:val="24"/>
        </w:rPr>
      </w:pPr>
    </w:p>
    <w:p w14:paraId="1B0622B9">
      <w:pPr>
        <w:rPr>
          <w:rFonts w:hint="eastAsia"/>
          <w:spacing w:val="-8"/>
          <w:sz w:val="24"/>
          <w:szCs w:val="24"/>
        </w:rPr>
      </w:pPr>
    </w:p>
    <w:p w14:paraId="45035571">
      <w:pPr>
        <w:rPr>
          <w:rFonts w:hint="eastAsia"/>
          <w:spacing w:val="-8"/>
          <w:sz w:val="24"/>
          <w:szCs w:val="24"/>
        </w:rPr>
      </w:pPr>
    </w:p>
    <w:p w14:paraId="3AE359F3">
      <w:pPr>
        <w:rPr>
          <w:rFonts w:hint="eastAsia"/>
          <w:spacing w:val="-8"/>
          <w:sz w:val="24"/>
          <w:szCs w:val="24"/>
        </w:rPr>
      </w:pPr>
    </w:p>
    <w:p w14:paraId="44BAEAAA">
      <w:pPr>
        <w:rPr>
          <w:rFonts w:hint="eastAsia"/>
          <w:spacing w:val="-8"/>
          <w:sz w:val="24"/>
          <w:szCs w:val="24"/>
        </w:rPr>
      </w:pPr>
    </w:p>
    <w:p w14:paraId="29823060">
      <w:pPr>
        <w:rPr>
          <w:rFonts w:hint="eastAsia"/>
          <w:spacing w:val="-8"/>
          <w:sz w:val="24"/>
          <w:szCs w:val="24"/>
        </w:rPr>
      </w:pPr>
    </w:p>
    <w:p w14:paraId="38FAB939">
      <w:pPr>
        <w:rPr>
          <w:rFonts w:hint="eastAsia"/>
          <w:spacing w:val="-8"/>
          <w:sz w:val="24"/>
          <w:szCs w:val="24"/>
        </w:rPr>
      </w:pPr>
    </w:p>
    <w:p w14:paraId="0688CBC5">
      <w:pPr>
        <w:rPr>
          <w:rFonts w:hint="eastAsia"/>
          <w:spacing w:val="-8"/>
          <w:sz w:val="24"/>
          <w:szCs w:val="24"/>
        </w:rPr>
      </w:pPr>
    </w:p>
    <w:p w14:paraId="6F487711">
      <w:pPr>
        <w:rPr>
          <w:rFonts w:hint="eastAsia"/>
          <w:spacing w:val="-8"/>
          <w:sz w:val="24"/>
          <w:szCs w:val="24"/>
        </w:rPr>
      </w:pPr>
    </w:p>
    <w:p w14:paraId="6F566AA1">
      <w:pPr>
        <w:rPr>
          <w:rFonts w:hint="eastAsia"/>
          <w:spacing w:val="-8"/>
          <w:sz w:val="24"/>
          <w:szCs w:val="24"/>
        </w:rPr>
      </w:pPr>
    </w:p>
    <w:p w14:paraId="6B8A6DBA">
      <w:pPr>
        <w:rPr>
          <w:rFonts w:hint="eastAsia"/>
          <w:spacing w:val="-8"/>
          <w:sz w:val="24"/>
          <w:szCs w:val="24"/>
        </w:rPr>
      </w:pPr>
    </w:p>
    <w:p w14:paraId="1EBFFFEA">
      <w:pPr>
        <w:rPr>
          <w:rFonts w:hint="eastAsia"/>
          <w:spacing w:val="-8"/>
          <w:sz w:val="24"/>
          <w:szCs w:val="24"/>
        </w:rPr>
      </w:pPr>
    </w:p>
    <w:p w14:paraId="70B97616">
      <w:pPr>
        <w:rPr>
          <w:rFonts w:hint="eastAsia"/>
          <w:spacing w:val="-8"/>
          <w:sz w:val="24"/>
          <w:szCs w:val="24"/>
        </w:rPr>
      </w:pPr>
    </w:p>
    <w:p w14:paraId="260BA9F8">
      <w:pPr>
        <w:rPr>
          <w:rFonts w:hint="eastAsia"/>
          <w:spacing w:val="-8"/>
          <w:sz w:val="24"/>
          <w:szCs w:val="24"/>
        </w:rPr>
      </w:pPr>
    </w:p>
    <w:p w14:paraId="04AEF8FB">
      <w:pPr>
        <w:rPr>
          <w:rFonts w:hint="eastAsia"/>
          <w:spacing w:val="-8"/>
          <w:sz w:val="24"/>
          <w:szCs w:val="24"/>
        </w:rPr>
      </w:pPr>
    </w:p>
    <w:p w14:paraId="12C41627">
      <w:pPr>
        <w:rPr>
          <w:rFonts w:hint="eastAsia"/>
          <w:spacing w:val="-8"/>
          <w:sz w:val="24"/>
          <w:szCs w:val="24"/>
        </w:rPr>
      </w:pPr>
    </w:p>
    <w:p w14:paraId="29F136F2">
      <w:pPr>
        <w:rPr>
          <w:rFonts w:hint="eastAsia"/>
          <w:spacing w:val="-8"/>
          <w:sz w:val="24"/>
          <w:szCs w:val="24"/>
        </w:rPr>
      </w:pPr>
    </w:p>
    <w:p w14:paraId="7D62669B">
      <w:pPr>
        <w:rPr>
          <w:rFonts w:hint="eastAsia"/>
          <w:spacing w:val="-8"/>
          <w:sz w:val="24"/>
          <w:szCs w:val="24"/>
        </w:rPr>
      </w:pPr>
    </w:p>
    <w:p w14:paraId="687FEDE3">
      <w:pPr>
        <w:rPr>
          <w:rFonts w:hint="eastAsia"/>
          <w:spacing w:val="-8"/>
          <w:sz w:val="24"/>
          <w:szCs w:val="24"/>
        </w:rPr>
      </w:pPr>
    </w:p>
    <w:p w14:paraId="54DE3045">
      <w:pPr>
        <w:rPr>
          <w:rFonts w:hint="eastAsia"/>
          <w:spacing w:val="-8"/>
          <w:sz w:val="24"/>
          <w:szCs w:val="24"/>
        </w:rPr>
      </w:pPr>
    </w:p>
    <w:p w14:paraId="6B34DE32">
      <w:pPr>
        <w:rPr>
          <w:rFonts w:hint="eastAsia"/>
          <w:spacing w:val="-8"/>
          <w:sz w:val="24"/>
          <w:szCs w:val="24"/>
        </w:rPr>
      </w:pPr>
    </w:p>
    <w:p w14:paraId="0C59D622">
      <w:pPr>
        <w:rPr>
          <w:rFonts w:hint="eastAsia"/>
          <w:spacing w:val="-8"/>
          <w:sz w:val="24"/>
          <w:szCs w:val="24"/>
        </w:rPr>
      </w:pPr>
    </w:p>
    <w:p w14:paraId="53E5BBA2">
      <w:pPr>
        <w:rPr>
          <w:rFonts w:hint="eastAsia"/>
          <w:spacing w:val="-8"/>
          <w:sz w:val="24"/>
          <w:szCs w:val="24"/>
        </w:rPr>
      </w:pPr>
    </w:p>
    <w:p w14:paraId="711F9802">
      <w:pPr>
        <w:jc w:val="center"/>
        <w:rPr>
          <w:rFonts w:hint="eastAsia" w:ascii="宋体" w:hAnsi="宋体" w:eastAsia="宋体" w:cs="宋体"/>
          <w:b/>
          <w:bCs/>
          <w:snapToGrid w:val="0"/>
          <w:color w:val="000000"/>
          <w:kern w:val="0"/>
          <w:sz w:val="28"/>
          <w:szCs w:val="28"/>
          <w:lang w:val="en-US" w:eastAsia="en-US" w:bidi="ar-SA"/>
        </w:rPr>
      </w:pPr>
      <w:r>
        <w:rPr>
          <w:rFonts w:hint="eastAsia" w:ascii="宋体" w:hAnsi="宋体" w:eastAsia="宋体" w:cs="宋体"/>
          <w:b/>
          <w:bCs/>
          <w:snapToGrid w:val="0"/>
          <w:color w:val="000000"/>
          <w:kern w:val="0"/>
          <w:sz w:val="28"/>
          <w:szCs w:val="28"/>
          <w:lang w:val="en-US" w:eastAsia="en-US" w:bidi="ar-SA"/>
        </w:rPr>
        <w:t>附 则</w:t>
      </w:r>
    </w:p>
    <w:p w14:paraId="4658D0BF">
      <w:pPr>
        <w:rPr>
          <w:rFonts w:hint="eastAsia"/>
          <w:spacing w:val="-8"/>
          <w:sz w:val="24"/>
          <w:szCs w:val="24"/>
        </w:rPr>
      </w:pPr>
    </w:p>
    <w:p w14:paraId="28AE9C42">
      <w:pPr>
        <w:jc w:val="left"/>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本标准草案由浙江省汽车工业技术创新协会提出并归口管理。</w:t>
      </w:r>
    </w:p>
    <w:p w14:paraId="63DA6CDB">
      <w:pPr>
        <w:jc w:val="left"/>
        <w:rPr>
          <w:rFonts w:hint="eastAsia" w:ascii="宋体" w:hAnsi="宋体" w:eastAsia="宋体" w:cs="宋体"/>
          <w:snapToGrid w:val="0"/>
          <w:color w:val="000000"/>
          <w:kern w:val="0"/>
          <w:sz w:val="21"/>
          <w:szCs w:val="21"/>
          <w:lang w:val="en-US" w:eastAsia="en-US" w:bidi="ar-SA"/>
        </w:rPr>
      </w:pPr>
    </w:p>
    <w:p w14:paraId="4F4FB8AB">
      <w:pPr>
        <w:jc w:val="left"/>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本标准自发布之日起实施，解释权归浙江省汽车工业技术创新协会标准化技术委员会所有。</w:t>
      </w:r>
    </w:p>
    <w:p w14:paraId="4D128CFF">
      <w:pPr>
        <w:jc w:val="left"/>
        <w:rPr>
          <w:rFonts w:hint="eastAsia" w:ascii="宋体" w:hAnsi="宋体" w:eastAsia="宋体" w:cs="宋体"/>
          <w:snapToGrid w:val="0"/>
          <w:color w:val="000000"/>
          <w:kern w:val="0"/>
          <w:sz w:val="21"/>
          <w:szCs w:val="21"/>
          <w:lang w:val="en-US" w:eastAsia="en-US" w:bidi="ar-SA"/>
        </w:rPr>
      </w:pPr>
    </w:p>
    <w:p w14:paraId="40D398A0">
      <w:pPr>
        <w:jc w:val="left"/>
        <w:rPr>
          <w:rFonts w:hint="eastAsia" w:ascii="宋体" w:hAnsi="宋体" w:eastAsia="宋体" w:cs="宋体"/>
          <w:snapToGrid w:val="0"/>
          <w:color w:val="000000"/>
          <w:kern w:val="0"/>
          <w:sz w:val="21"/>
          <w:szCs w:val="21"/>
          <w:lang w:val="en-US" w:eastAsia="en-US" w:bidi="ar-SA"/>
        </w:rPr>
      </w:pPr>
      <w:r>
        <w:rPr>
          <w:rFonts w:hint="eastAsia" w:ascii="宋体" w:hAnsi="宋体" w:eastAsia="宋体" w:cs="宋体"/>
          <w:snapToGrid w:val="0"/>
          <w:color w:val="000000"/>
          <w:kern w:val="0"/>
          <w:sz w:val="21"/>
          <w:szCs w:val="21"/>
          <w:lang w:val="en-US" w:eastAsia="en-US" w:bidi="ar-SA"/>
        </w:rPr>
        <w:t>如有单位或个人对标准草案内容存在异议，请及时与浙江省汽车工业技术创新协会联系。</w:t>
      </w:r>
    </w:p>
    <w:sectPr>
      <w:headerReference r:id="rId5" w:type="default"/>
      <w:footerReference r:id="rId6" w:type="default"/>
      <w:pgSz w:w="11907" w:h="16839"/>
      <w:pgMar w:top="1716" w:right="981" w:bottom="1340" w:left="1265" w:header="1391" w:footer="1106"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书宋-简"/>
    <w:panose1 w:val="00000000000000000000"/>
    <w:charset w:val="86"/>
    <w:family w:val="auto"/>
    <w:pitch w:val="default"/>
    <w:sig w:usb0="00000000" w:usb1="00000000" w:usb2="00000000" w:usb3="00000000" w:csb0="00000000" w:csb1="00000000"/>
  </w:font>
  <w:font w:name="Wingdings">
    <w:altName w:val="FTToken"/>
    <w:panose1 w:val="05000000000000000000"/>
    <w:charset w:val="02"/>
    <w:family w:val="auto"/>
    <w:pitch w:val="default"/>
    <w:sig w:usb0="00000000" w:usb1="00000000" w:usb2="00000000" w:usb3="00000000" w:csb0="80000000" w:csb1="00000000"/>
  </w:font>
  <w:font w:name="Arial">
    <w:altName w:val="FT Thymes"/>
    <w:panose1 w:val="020B0604020202020204"/>
    <w:charset w:val="01"/>
    <w:family w:val="swiss"/>
    <w:pitch w:val="default"/>
    <w:sig w:usb0="E0002AFF" w:usb1="C0007843" w:usb2="00000009" w:usb3="00000000" w:csb0="400001FF" w:csb1="FFFF0000"/>
  </w:font>
  <w:font w:name="黑体">
    <w:altName w:val="黑体-简"/>
    <w:panose1 w:val="02010609060101010101"/>
    <w:charset w:val="86"/>
    <w:family w:val="auto"/>
    <w:pitch w:val="default"/>
    <w:sig w:usb0="800002BF" w:usb1="38CF7CFA" w:usb2="00000016" w:usb3="00000000" w:csb0="00040001" w:csb1="00000000"/>
  </w:font>
  <w:font w:name="Courier New">
    <w:altName w:val="HarmonyOS Sans"/>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FT Thymes">
    <w:panose1 w:val="02020603050405020304"/>
    <w:charset w:val="00"/>
    <w:family w:val="auto"/>
    <w:pitch w:val="default"/>
    <w:sig w:usb0="E0002EFF" w:usb1="C000785B" w:usb2="00000009" w:usb3="00000000" w:csb0="00000001" w:csb1="00000000"/>
  </w:font>
  <w:font w:name="Calibri">
    <w:altName w:val="FT Thymes"/>
    <w:panose1 w:val="020F0502020204030204"/>
    <w:charset w:val="00"/>
    <w:family w:val="swiss"/>
    <w:pitch w:val="default"/>
    <w:sig w:usb0="00000000" w:usb1="00000000" w:usb2="00000001" w:usb3="00000000" w:csb0="0000019F" w:csb1="00000000"/>
  </w:font>
  <w:font w:name="书宋-简">
    <w:panose1 w:val="02010600030101010101"/>
    <w:charset w:val="86"/>
    <w:family w:val="auto"/>
    <w:pitch w:val="default"/>
    <w:sig w:usb0="A00002BF" w:usb1="3ACF7CFA" w:usb2="00000016" w:usb3="00000000" w:csb0="00040001" w:csb1="00000000"/>
  </w:font>
  <w:font w:name="SimSun">
    <w:altName w:val="书宋-简"/>
    <w:panose1 w:val="00000000000000000000"/>
    <w:charset w:val="00"/>
    <w:family w:val="auto"/>
    <w:pitch w:val="default"/>
    <w:sig w:usb0="00000000" w:usb1="00000000" w:usb2="00000000" w:usb3="00000000" w:csb0="00000000" w:csb1="00000000"/>
  </w:font>
  <w:font w:name="黑体-简">
    <w:panose1 w:val="02010609060101010101"/>
    <w:charset w:val="86"/>
    <w:family w:val="auto"/>
    <w:pitch w:val="default"/>
    <w:sig w:usb0="A00002BF" w:usb1="3A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148682">
    <w:pPr>
      <w:spacing w:line="229" w:lineRule="auto"/>
      <w:ind w:left="9198"/>
      <w:rPr>
        <w:rFonts w:ascii="宋体" w:hAnsi="宋体" w:eastAsia="宋体" w:cs="宋体"/>
        <w:sz w:val="18"/>
        <w:szCs w:val="18"/>
      </w:rPr>
    </w:pPr>
    <w:r>
      <w:rPr>
        <w:rFonts w:ascii="宋体" w:hAnsi="宋体" w:eastAsia="宋体" w:cs="宋体"/>
        <w:sz w:val="18"/>
        <w:szCs w:val="18"/>
      </w:rPr>
      <w:t>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63B6C5">
    <w:pPr>
      <w:pStyle w:val="2"/>
      <w:spacing w:before="56" w:line="227" w:lineRule="auto"/>
      <w:ind w:left="7829"/>
      <w:rPr>
        <w:rFonts w:hint="default" w:eastAsia="宋体"/>
        <w:sz w:val="21"/>
        <w:szCs w:val="21"/>
        <w:lang w:val="en-US" w:eastAsia="zh-CN"/>
      </w:rPr>
    </w:pPr>
    <w:r>
      <w:rPr>
        <w:sz w:val="21"/>
        <w:szCs w:val="21"/>
      </w:rPr>
      <w:t>T/</w:t>
    </w:r>
    <w:r>
      <w:rPr>
        <w:rFonts w:hint="eastAsia"/>
        <w:sz w:val="21"/>
        <w:szCs w:val="21"/>
        <w:lang w:val="en-US" w:eastAsia="zh-CN"/>
      </w:rPr>
      <w:t>ZZB</w:t>
    </w:r>
    <w:r>
      <w:rPr>
        <w:sz w:val="21"/>
        <w:szCs w:val="21"/>
      </w:rPr>
      <w:t xml:space="preserve"> XXXX</w:t>
    </w:r>
    <w:r>
      <w:rPr>
        <w:rFonts w:ascii="宋体" w:hAnsi="宋体" w:eastAsia="宋体" w:cs="宋体"/>
        <w:sz w:val="21"/>
        <w:szCs w:val="21"/>
      </w:rPr>
      <w:t>—</w:t>
    </w:r>
    <w:r>
      <w:rPr>
        <w:rFonts w:hint="eastAsia" w:eastAsia="宋体"/>
        <w:sz w:val="21"/>
        <w:szCs w:val="21"/>
        <w:lang w:val="en-US" w:eastAsia="zh-CN"/>
      </w:rPr>
      <w:t>2026</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C1856E4"/>
    <w:rsid w:val="251326C8"/>
    <w:rsid w:val="28DC43AF"/>
    <w:rsid w:val="31374878"/>
    <w:rsid w:val="37F741E2"/>
    <w:rsid w:val="3CB925E5"/>
    <w:rsid w:val="55E62F17"/>
    <w:rsid w:val="5C6F7EB5"/>
    <w:rsid w:val="67F69403"/>
    <w:rsid w:val="DD8F9AD8"/>
    <w:rsid w:val="E6E5FFCF"/>
    <w:rsid w:val="F36B130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黑体" w:hAnsi="黑体" w:eastAsia="黑体" w:cs="黑体"/>
      <w:sz w:val="28"/>
      <w:szCs w:val="28"/>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宋体" w:hAnsi="宋体" w:eastAsia="宋体" w:cs="宋体"/>
      <w:sz w:val="18"/>
      <w:szCs w:val="18"/>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11</Pages>
  <Words>6866</Words>
  <Characters>7318</Characters>
  <TotalTime>10</TotalTime>
  <ScaleCrop>false</ScaleCrop>
  <LinksUpToDate>false</LinksUpToDate>
  <CharactersWithSpaces>7547</CharactersWithSpaces>
  <Application>WPS Office_12.1.3.26881_F1E327BC-269C-435d-A152-05C5408002CA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2026-04-04T21:19:00Z</dcterms:created>
  <dc:creator>焦明顺</dc:creator>
  <cp:lastModifiedBy>Rita</cp:lastModifiedBy>
  <dcterms:modified xsi:type="dcterms:W3CDTF">2026-06-17T08:49:40Z</dcterms:modified>
  <dc:title>团体标准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wqlLaW5nc29mdCBQREYgdG8gV1BTIDEyMA</vt:lpwstr>
  </property>
  <property fmtid="{D5CDD505-2E9C-101B-9397-08002B2CF9AE}" pid="3" name="Created">
    <vt:filetime>2026-06-01T17:46:43Z</vt:filetime>
  </property>
  <property fmtid="{D5CDD505-2E9C-101B-9397-08002B2CF9AE}" pid="4" name="KSOProductBuildVer">
    <vt:lpwstr>2052-12.1.3.26881</vt:lpwstr>
  </property>
  <property fmtid="{D5CDD505-2E9C-101B-9397-08002B2CF9AE}" pid="5" name="ICV">
    <vt:lpwstr>4EED35F7FC20822E54BF306A1B8924FC_43</vt:lpwstr>
  </property>
  <property fmtid="{D5CDD505-2E9C-101B-9397-08002B2CF9AE}" pid="6" name="KSOTemplateDocerSaveRecord">
    <vt:lpwstr>eyJoZGlkIjoiYjk5ODM0YmMxOWJiYWQyNDU4MGIzYWRmYTA0ZmI5NDciLCJ1c2VySWQiOiIxMjkwOTU1MTU0In0=</vt:lpwstr>
  </property>
</Properties>
</file>