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2063BD">
      <w:pPr>
        <w:pStyle w:val="54"/>
        <w:framePr w:w="9639" w:h="624" w:hRule="exact" w:hSpace="181" w:vSpace="181" w:wrap="around" w:hAnchor="page" w:x="1305" w:y="2269"/>
        <w:rPr>
          <w:rFonts w:ascii="Times New Roman" w:eastAsia="黑体"/>
          <w:b w:val="0"/>
          <w:bCs w:val="0"/>
          <w:w w:val="100"/>
          <w:sz w:val="48"/>
          <w:szCs w:val="48"/>
        </w:rPr>
      </w:pPr>
      <w:bookmarkStart w:id="0" w:name="_Hlk26473981"/>
      <w:r>
        <w:rPr>
          <w:rFonts w:ascii="Times New Roman" w:eastAsia="黑体"/>
          <w:b w:val="0"/>
          <w:w w:val="100"/>
          <w:sz w:val="48"/>
        </w:rPr>
        <w:t>团体</w:t>
      </w:r>
      <w:r>
        <w:rPr>
          <w:rFonts w:ascii="Times New Roman" w:eastAsia="黑体"/>
          <w:b w:val="0"/>
          <w:bCs w:val="0"/>
          <w:w w:val="100"/>
          <w:sz w:val="48"/>
          <w:szCs w:val="48"/>
        </w:rPr>
        <w:t>标准</w:t>
      </w:r>
    </w:p>
    <w:bookmarkEnd w:id="0"/>
    <w:p w14:paraId="729F0C7E">
      <w:pPr>
        <w:pStyle w:val="199"/>
        <w:framePr w:wrap="around"/>
        <w:rPr>
          <w:rFonts w:hint="default" w:ascii="Times New Roman" w:eastAsia="黑体"/>
          <w:highlight w:val="none"/>
          <w:lang w:val="en-US" w:eastAsia="zh-CN"/>
        </w:rPr>
      </w:pPr>
      <w:r>
        <w:rPr>
          <w:rFonts w:ascii="Times New Roman"/>
          <w:highlight w:val="none"/>
        </w:rPr>
        <w:t xml:space="preserve">T/PPZL </w:t>
      </w:r>
      <w:r>
        <w:rPr>
          <w:rFonts w:hint="eastAsia" w:ascii="Times New Roman"/>
          <w:highlight w:val="none"/>
          <w:lang w:val="en-US" w:eastAsia="zh-CN"/>
        </w:rPr>
        <w:t>XXX</w:t>
      </w:r>
      <w:r>
        <w:rPr>
          <w:rFonts w:ascii="Times New Roman"/>
          <w:highlight w:val="none"/>
        </w:rPr>
        <w:t>--</w:t>
      </w:r>
      <w:r>
        <w:rPr>
          <w:rFonts w:hint="eastAsia" w:ascii="Times New Roman"/>
          <w:highlight w:val="none"/>
          <w:lang w:val="en-US" w:eastAsia="zh-CN"/>
        </w:rPr>
        <w:t>XXX</w:t>
      </w:r>
    </w:p>
    <w:p w14:paraId="5AAF3EE0">
      <w:pPr>
        <w:pStyle w:val="200"/>
        <w:framePr w:wrap="around"/>
        <w:rPr>
          <w:rFonts w:ascii="Times New Roman"/>
        </w:rPr>
      </w:pPr>
      <w:r>
        <w:rPr>
          <w:rFonts w:ascii="Times New Roman"/>
        </w:rPr>
        <w:fldChar w:fldCharType="begin">
          <w:ffData>
            <w:name w:val="OSTD_CODE"/>
            <w:enabled/>
            <w:calcOnExit w:val="0"/>
            <w:textInput/>
          </w:ffData>
        </w:fldChar>
      </w:r>
      <w:bookmarkStart w:id="1" w:name="OSTD_CODE"/>
      <w:r>
        <w:rPr>
          <w:rFonts w:ascii="Times New Roman"/>
        </w:rPr>
        <w:instrText xml:space="preserve"> FORMTEXT </w:instrText>
      </w:r>
      <w:r>
        <w:rPr>
          <w:rFonts w:ascii="Times New Roman"/>
        </w:rPr>
        <w:fldChar w:fldCharType="separate"/>
      </w:r>
      <w:r>
        <w:rPr>
          <w:rFonts w:ascii="Times New Roman"/>
        </w:rPr>
        <w:t>     </w:t>
      </w:r>
      <w:r>
        <w:rPr>
          <w:rFonts w:ascii="Times New Roman"/>
        </w:rPr>
        <w:fldChar w:fldCharType="end"/>
      </w:r>
      <w:bookmarkEnd w:id="1"/>
    </w:p>
    <w:p w14:paraId="66D03B00">
      <w:pPr>
        <w:pStyle w:val="201"/>
        <w:framePr w:wrap="around" w:x="1391" w:y="6381"/>
        <w:rPr>
          <w:rFonts w:ascii="Times New Roman" w:hAnsi="Times New Roman"/>
        </w:rPr>
      </w:pPr>
      <w:r>
        <w:rPr>
          <w:rFonts w:ascii="Times New Roman" w:hAnsi="Times New Roman"/>
        </w:rPr>
        <w:t>黄河流域内蒙古段湿地碳汇核算方法技术规程</w:t>
      </w:r>
    </w:p>
    <w:p w14:paraId="100BF005">
      <w:pPr>
        <w:rPr>
          <w:rFonts w:ascii="Times New Roman" w:hAnsi="Times New Roman"/>
        </w:rPr>
      </w:pPr>
    </w:p>
    <w:p w14:paraId="35039EB9">
      <w:pPr>
        <w:pStyle w:val="54"/>
        <w:framePr w:w="9639" w:h="6976" w:hRule="exact" w:hSpace="0" w:vSpace="0" w:wrap="around" w:hAnchor="page" w:y="6408"/>
        <w:jc w:val="center"/>
        <w:rPr>
          <w:rFonts w:ascii="Times New Roman" w:eastAsia="黑体"/>
          <w:b w:val="0"/>
          <w:bCs w:val="0"/>
          <w:w w:val="100"/>
        </w:rPr>
      </w:pPr>
    </w:p>
    <w:p w14:paraId="2A6BE66F">
      <w:pPr>
        <w:rPr>
          <w:rFonts w:ascii="Times New Roman" w:hAnsi="Times New Roman"/>
        </w:rPr>
      </w:pPr>
    </w:p>
    <w:p w14:paraId="618C7A6B">
      <w:pPr>
        <w:pStyle w:val="129"/>
        <w:framePr w:w="9639" w:h="6337" w:hRule="exact" w:wrap="around" w:vAnchor="page" w:hAnchor="page" w:x="1467" w:y="7841" w:anchorLock="1"/>
        <w:textAlignment w:val="bottom"/>
        <w:rPr>
          <w:rFonts w:eastAsia="黑体"/>
          <w:szCs w:val="28"/>
        </w:rPr>
      </w:pPr>
      <w:r>
        <w:rPr>
          <w:rFonts w:eastAsia="黑体"/>
          <w:szCs w:val="28"/>
        </w:rPr>
        <w:t>Technical Specifications for Wetland Carbon Sink Accounting Methods in the Inner Mongolia Section of the Yellow River Basin</w:t>
      </w:r>
    </w:p>
    <w:p w14:paraId="65414425">
      <w:pPr>
        <w:rPr>
          <w:rFonts w:ascii="Times New Roman" w:hAnsi="Times New Roman"/>
        </w:rPr>
      </w:pPr>
    </w:p>
    <w:p w14:paraId="5DF2DF4C">
      <w:pPr>
        <w:pStyle w:val="197"/>
        <w:framePr w:wrap="around" w:y="14176"/>
      </w:pPr>
      <w:r>
        <w:rPr>
          <w:color w:val="FF0000"/>
        </w:rPr>
        <w:t>2025 - 01 - 14</w:t>
      </w:r>
      <w:r>
        <w:t>发布</w:t>
      </w:r>
    </w:p>
    <w:p w14:paraId="496D4039">
      <w:pPr>
        <w:pStyle w:val="198"/>
        <w:framePr w:wrap="around" w:y="14176"/>
      </w:pPr>
      <w:r>
        <w:rPr>
          <w:color w:val="FF0000"/>
        </w:rPr>
        <w:t>2025 - 01 - 15</w:t>
      </w:r>
      <w:r>
        <w:t>实施</w:t>
      </w:r>
    </w:p>
    <w:p w14:paraId="7F45ADD5">
      <w:pPr>
        <w:pStyle w:val="155"/>
        <w:framePr w:h="584" w:hRule="exact" w:hSpace="181" w:vSpace="181" w:wrap="around" w:y="14800"/>
        <w:rPr>
          <w:rFonts w:ascii="Times New Roman"/>
        </w:rPr>
      </w:pPr>
      <w:r>
        <w:rPr>
          <w:rFonts w:ascii="Times New Roman"/>
          <w:w w:val="100"/>
          <w:sz w:val="28"/>
        </w:rPr>
        <w:t>内蒙古品牌战略促进会 </w:t>
      </w:r>
      <w:r>
        <w:rPr>
          <w:rStyle w:val="233"/>
          <w:rFonts w:ascii="Times New Roman"/>
          <w:position w:val="0"/>
        </w:rPr>
        <w:t>发</w:t>
      </w:r>
      <w:r>
        <w:rPr>
          <w:rStyle w:val="233"/>
          <w:rFonts w:ascii="Times New Roman"/>
          <w:spacing w:val="0"/>
          <w:position w:val="0"/>
        </w:rPr>
        <w:t>布</w:t>
      </w:r>
    </w:p>
    <w:p w14:paraId="2F2AD07F">
      <w:pPr>
        <w:rPr>
          <w:rFonts w:ascii="Times New Roman" w:hAnsi="Times New Roman"/>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ascii="Times New Roman" w:hAnsi="Times New Roman"/>
        </w:rPr>
        <mc:AlternateContent>
          <mc:Choice Requires="wps">
            <w:drawing>
              <wp:anchor distT="0" distB="0" distL="114300" distR="114300" simplePos="0" relativeHeight="251659264"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59264;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88D6564">
      <w:pPr>
        <w:pStyle w:val="93"/>
        <w:spacing w:after="360"/>
        <w:rPr>
          <w:rFonts w:ascii="Times New Roman"/>
        </w:rPr>
      </w:pPr>
      <w:bookmarkStart w:id="2" w:name="BookMark2"/>
      <w:r>
        <w:rPr>
          <w:rFonts w:ascii="Times New Roman"/>
          <w:spacing w:val="320"/>
        </w:rPr>
        <w:t>前</w:t>
      </w:r>
      <w:r>
        <w:rPr>
          <w:rFonts w:ascii="Times New Roman"/>
        </w:rPr>
        <w:t>言</w:t>
      </w:r>
    </w:p>
    <w:p w14:paraId="03776B39">
      <w:pPr>
        <w:pStyle w:val="60"/>
      </w:pPr>
      <w:r>
        <w:t>本文件按照GB/T 1.1—2020《标准化工作导则  第1部分：标准化文件的结构和起草规则》的规定起草。</w:t>
      </w:r>
    </w:p>
    <w:p w14:paraId="17591E89">
      <w:pPr>
        <w:pStyle w:val="60"/>
      </w:pPr>
      <w:r>
        <w:t>本文件由内蒙古大学提出。</w:t>
      </w:r>
    </w:p>
    <w:p w14:paraId="50F5236B">
      <w:pPr>
        <w:pStyle w:val="60"/>
      </w:pPr>
      <w:r>
        <w:t>本文件由内蒙古自治区品牌标准化技术委员会归口。</w:t>
      </w:r>
    </w:p>
    <w:p w14:paraId="675C9BCE">
      <w:pPr>
        <w:pStyle w:val="60"/>
      </w:pPr>
      <w:r>
        <w:t>本文件起草单位：内蒙古大学、内蒙古自治区林业科学研究院、包头市湿地保护中心、内蒙古自治区凉城县岱海自然保护区服务中心。</w:t>
      </w:r>
      <w:bookmarkStart w:id="26" w:name="_GoBack"/>
      <w:bookmarkEnd w:id="26"/>
    </w:p>
    <w:p w14:paraId="546C672E">
      <w:pPr>
        <w:pStyle w:val="60"/>
      </w:pPr>
      <w:r>
        <w:t>本文件主要起草人：曹维佳、王伟峰、白惠婷、张朝涵、云宇洁、刘华民、王立新、温璐、刘建军、李奋勇、菅美桃、苏亮、张亮、岳秀贤、胡永宁、刘源。</w:t>
      </w:r>
    </w:p>
    <w:p w14:paraId="66D2292A">
      <w:pPr>
        <w:pStyle w:val="60"/>
      </w:pPr>
    </w:p>
    <w:p w14:paraId="27822FB6">
      <w:pPr>
        <w:pStyle w:val="60"/>
      </w:pPr>
    </w:p>
    <w:p w14:paraId="486D31D5">
      <w:pPr>
        <w:pStyle w:val="60"/>
      </w:pPr>
    </w:p>
    <w:p w14:paraId="201D949E">
      <w:pPr>
        <w:pStyle w:val="60"/>
        <w:sectPr>
          <w:headerReference r:id="rId11" w:type="default"/>
          <w:footerReference r:id="rId13" w:type="default"/>
          <w:headerReference r:id="rId12" w:type="even"/>
          <w:footerReference r:id="rId14" w:type="even"/>
          <w:pgSz w:w="11906" w:h="16838"/>
          <w:pgMar w:top="2410" w:right="1134" w:bottom="1134" w:left="1134" w:header="1418" w:footer="1134" w:gutter="284"/>
          <w:pgNumType w:fmt="upperRoman" w:start="1"/>
          <w:cols w:space="425" w:num="1"/>
          <w:formProt w:val="0"/>
          <w:docGrid w:linePitch="312" w:charSpace="0"/>
        </w:sectPr>
      </w:pPr>
    </w:p>
    <w:bookmarkEnd w:id="2"/>
    <w:p w14:paraId="29DB3BE1">
      <w:pPr>
        <w:rPr>
          <w:rFonts w:ascii="Times New Roman" w:hAnsi="Times New Roman"/>
        </w:rPr>
      </w:pPr>
      <w:bookmarkStart w:id="3" w:name="BookMark4"/>
    </w:p>
    <w:p w14:paraId="5A94EF58">
      <w:pPr>
        <w:rPr>
          <w:rFonts w:ascii="Times New Roman" w:hAnsi="Times New Roman"/>
        </w:rPr>
      </w:pPr>
    </w:p>
    <w:p w14:paraId="1EAEDD2F">
      <w:pPr>
        <w:pStyle w:val="181"/>
        <w:spacing w:after="528" w:afterLines="220"/>
        <w:rPr>
          <w:rFonts w:ascii="Times New Roman" w:hAnsi="Times New Roman"/>
        </w:rPr>
      </w:pPr>
      <w:sdt>
        <w:sdtPr>
          <w:rPr>
            <w:rFonts w:ascii="Times New Roman" w:hAnsi="Times New Roman"/>
          </w:rPr>
          <w:tag w:val="NEW_STAND_NAME"/>
          <w:id w:val="1625656824"/>
          <w:lock w:val="sdtLocked"/>
          <w:placeholder>
            <w:docPart w:val="18742AC29F024A95852915A576344328"/>
          </w:placeholder>
        </w:sdtPr>
        <w:sdtEndPr>
          <w:rPr>
            <w:rFonts w:ascii="Times New Roman" w:hAnsi="Times New Roman"/>
          </w:rPr>
        </w:sdtEndPr>
        <w:sdtContent>
          <w:sdt>
            <w:sdtPr>
              <w:rPr>
                <w:rFonts w:ascii="Times New Roman" w:hAnsi="Times New Roman"/>
              </w:rPr>
              <w:tag w:val="NEW_STAND_NAME"/>
              <w:id w:val="595910757"/>
              <w:lock w:val="sdtLocked"/>
              <w:placeholder>
                <w:docPart w:val="{a075e97d-6de1-43f2-97b9-1deabd5fc068}"/>
              </w:placeholder>
            </w:sdtPr>
            <w:sdtEndPr>
              <w:rPr>
                <w:rFonts w:ascii="Times New Roman" w:hAnsi="Times New Roman"/>
              </w:rPr>
            </w:sdtEndPr>
            <w:sdtContent>
              <w:bookmarkStart w:id="4" w:name="NEW_STAND_NAME"/>
              <w:r>
                <w:rPr>
                  <w:rFonts w:ascii="Times New Roman" w:hAnsi="Times New Roman"/>
                </w:rPr>
                <w:t>黄河流域内蒙古段湿地碳汇核算方法技术规程</w:t>
              </w:r>
            </w:sdtContent>
          </w:sdt>
        </w:sdtContent>
      </w:sdt>
    </w:p>
    <w:bookmarkEnd w:id="4"/>
    <w:p w14:paraId="3568223A">
      <w:pPr>
        <w:pStyle w:val="108"/>
        <w:spacing w:before="240" w:after="240" w:line="360" w:lineRule="auto"/>
        <w:rPr>
          <w:rFonts w:ascii="Times New Roman"/>
        </w:rPr>
      </w:pPr>
      <w:bookmarkStart w:id="5" w:name="_Toc26986771"/>
      <w:bookmarkStart w:id="6" w:name="_Toc17233333"/>
      <w:bookmarkStart w:id="7" w:name="_Toc26648465"/>
      <w:bookmarkStart w:id="8" w:name="_Toc24884218"/>
      <w:bookmarkStart w:id="9" w:name="_Toc17233325"/>
      <w:bookmarkStart w:id="10" w:name="_Toc26718930"/>
      <w:bookmarkStart w:id="11" w:name="_Toc26986530"/>
      <w:bookmarkStart w:id="12" w:name="_Toc24884211"/>
      <w:r>
        <w:rPr>
          <w:rFonts w:ascii="Times New Roman"/>
        </w:rPr>
        <w:t>范围</w:t>
      </w:r>
      <w:bookmarkEnd w:id="5"/>
      <w:bookmarkEnd w:id="6"/>
      <w:bookmarkEnd w:id="7"/>
      <w:bookmarkEnd w:id="8"/>
      <w:bookmarkEnd w:id="9"/>
      <w:bookmarkEnd w:id="10"/>
      <w:bookmarkEnd w:id="11"/>
      <w:bookmarkEnd w:id="12"/>
    </w:p>
    <w:p w14:paraId="76F5CFDA">
      <w:pPr>
        <w:pStyle w:val="60"/>
      </w:pPr>
      <w:bookmarkStart w:id="13" w:name="_Toc17233326"/>
      <w:bookmarkStart w:id="14" w:name="_Toc24884212"/>
      <w:bookmarkStart w:id="15" w:name="_Toc24884219"/>
      <w:bookmarkStart w:id="16" w:name="_Toc17233334"/>
      <w:bookmarkStart w:id="17" w:name="_Toc26648466"/>
      <w:r>
        <w:rPr>
          <w:highlight w:val="yellow"/>
        </w:rPr>
        <w:t>本文件规定了湿地碳汇调查与监测的的对象、内容、方法、周期和核算方法等内容。</w:t>
      </w:r>
    </w:p>
    <w:p w14:paraId="4F33D4A8">
      <w:pPr>
        <w:pStyle w:val="60"/>
      </w:pPr>
      <w:r>
        <w:t>本文件适用于黄河流域湿地碳汇调查与监测工作。</w:t>
      </w:r>
    </w:p>
    <w:p w14:paraId="1272119E">
      <w:pPr>
        <w:pStyle w:val="108"/>
        <w:spacing w:before="240" w:after="240" w:line="360" w:lineRule="auto"/>
        <w:rPr>
          <w:rFonts w:ascii="Times New Roman"/>
        </w:rPr>
      </w:pPr>
      <w:bookmarkStart w:id="18" w:name="_Toc26986772"/>
      <w:bookmarkStart w:id="19" w:name="_Toc26986531"/>
      <w:bookmarkStart w:id="20" w:name="_Toc26718931"/>
      <w:r>
        <w:rPr>
          <w:rFonts w:ascii="Times New Roman"/>
        </w:rPr>
        <w:t>规范性引用文件</w:t>
      </w:r>
      <w:bookmarkEnd w:id="13"/>
      <w:bookmarkEnd w:id="14"/>
      <w:bookmarkEnd w:id="15"/>
      <w:bookmarkEnd w:id="16"/>
      <w:bookmarkEnd w:id="17"/>
      <w:bookmarkEnd w:id="18"/>
      <w:bookmarkEnd w:id="19"/>
      <w:bookmarkEnd w:id="20"/>
    </w:p>
    <w:sdt>
      <w:sdtPr>
        <w:id w:val="715848253"/>
        <w:placeholder>
          <w:docPart w:val="247B10A345F04B5FBC7F171428A13A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3D1A930B">
          <w:pPr>
            <w:pStyle w:val="60"/>
          </w:pPr>
          <w: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3F87F320">
      <w:pPr>
        <w:pStyle w:val="60"/>
      </w:pPr>
      <w:r>
        <w:t>GB/T 21010-2017 土地利用现状分类</w:t>
      </w:r>
    </w:p>
    <w:p w14:paraId="5D86DC34">
      <w:pPr>
        <w:pStyle w:val="60"/>
      </w:pPr>
      <w:r>
        <w:t>GB/T 24708-2009 湿地分类</w:t>
      </w:r>
    </w:p>
    <w:p w14:paraId="00527F22">
      <w:pPr>
        <w:pStyle w:val="60"/>
      </w:pPr>
      <w:r>
        <w:t>GB/T 27648 重要湿地监测指标体系</w:t>
      </w:r>
    </w:p>
    <w:p w14:paraId="3A898F57">
      <w:pPr>
        <w:pStyle w:val="60"/>
      </w:pPr>
      <w:r>
        <w:t>GB/T11446.8</w:t>
      </w:r>
      <w:r>
        <w:rPr>
          <w:rFonts w:hint="eastAsia"/>
        </w:rPr>
        <w:t>-</w:t>
      </w:r>
      <w:r>
        <w:t>2013</w:t>
      </w:r>
      <w:r>
        <w:rPr>
          <w:rFonts w:hint="eastAsia"/>
        </w:rPr>
        <w:t xml:space="preserve"> </w:t>
      </w:r>
      <w:r>
        <w:t>电子级水中总有机碳的测试方法</w:t>
      </w:r>
    </w:p>
    <w:p w14:paraId="19BA9EF8">
      <w:pPr>
        <w:pStyle w:val="60"/>
      </w:pPr>
      <w:r>
        <w:t>HJ 1169-2021 全国生态状况调查评估技术规范——湿地生态系统野外观测</w:t>
      </w:r>
    </w:p>
    <w:p w14:paraId="60B6CD6B">
      <w:pPr>
        <w:pStyle w:val="60"/>
      </w:pPr>
      <w:r>
        <w:rPr>
          <w:rFonts w:hint="eastAsia"/>
        </w:rPr>
        <w:t>HJ 695-2014 土壤 有机碳的测定 燃烧氧化—非分散红外法</w:t>
      </w:r>
    </w:p>
    <w:p w14:paraId="38DD4110">
      <w:pPr>
        <w:pStyle w:val="60"/>
      </w:pPr>
      <w:r>
        <w:rPr>
          <w:rFonts w:hint="eastAsia"/>
        </w:rPr>
        <w:t xml:space="preserve">HJ 501-2009 </w:t>
      </w:r>
      <w:r>
        <w:t>水质 总有机碳的测定 燃烧氧化</w:t>
      </w:r>
      <w:r>
        <w:rPr>
          <w:rFonts w:hint="eastAsia"/>
        </w:rPr>
        <w:t>—</w:t>
      </w:r>
      <w:r>
        <w:t>非分散红外吸收法</w:t>
      </w:r>
    </w:p>
    <w:p w14:paraId="56AFE205">
      <w:pPr>
        <w:pStyle w:val="60"/>
      </w:pPr>
      <w:r>
        <w:t>DB 54/T 0498.3-2025 生态系统碳汇计量与监测体系建设技术规范 第3部分：湿地碳汇计量与监测方法</w:t>
      </w:r>
    </w:p>
    <w:p w14:paraId="52CFC79D">
      <w:pPr>
        <w:pStyle w:val="60"/>
      </w:pPr>
      <w:r>
        <w:t>DB11/T 2469-2025 湿地碳汇计量监测技术规范</w:t>
      </w:r>
    </w:p>
    <w:p w14:paraId="01E4C6C6">
      <w:pPr>
        <w:pStyle w:val="60"/>
      </w:pPr>
      <w:r>
        <w:t>DB 1502/T 024-2024 湿地植被碳汇调查与监测技术规程</w:t>
      </w:r>
    </w:p>
    <w:p w14:paraId="17AB3E16">
      <w:pPr>
        <w:pStyle w:val="60"/>
      </w:pPr>
      <w:r>
        <w:t>TD/T 1109 湿地资源调查技术规程</w:t>
      </w:r>
    </w:p>
    <w:p w14:paraId="11453AC8">
      <w:pPr>
        <w:pStyle w:val="60"/>
      </w:pPr>
      <w:r>
        <w:rPr>
          <w:rFonts w:hint="eastAsia"/>
        </w:rPr>
        <w:t>NY/T 1121.4-2006 土壤检测 第4部分：土壤容重的测定</w:t>
      </w:r>
    </w:p>
    <w:p w14:paraId="4F1C5C15">
      <w:pPr>
        <w:pStyle w:val="60"/>
      </w:pPr>
      <w:r>
        <w:rPr>
          <w:rFonts w:hint="eastAsia"/>
        </w:rPr>
        <w:t>LY/T 2259-2014 立木生物量建模样本采集技术规程</w:t>
      </w:r>
    </w:p>
    <w:p w14:paraId="2C0B9DF4">
      <w:pPr>
        <w:pStyle w:val="60"/>
      </w:pPr>
      <w:r>
        <w:rPr>
          <w:highlight w:val="yellow"/>
        </w:rPr>
        <w:t>SL 219 水环境监测规范</w:t>
      </w:r>
    </w:p>
    <w:p w14:paraId="18A8ADC8">
      <w:pPr>
        <w:pStyle w:val="108"/>
        <w:spacing w:before="240" w:after="240" w:line="360" w:lineRule="auto"/>
        <w:rPr>
          <w:rFonts w:ascii="Times New Roman"/>
        </w:rPr>
      </w:pPr>
      <w:r>
        <w:rPr>
          <w:rFonts w:ascii="Times New Roman"/>
          <w:szCs w:val="21"/>
        </w:rPr>
        <w:t>术语和定义</w:t>
      </w:r>
    </w:p>
    <w:p w14:paraId="1A1F8C7A">
      <w:pPr>
        <w:pStyle w:val="60"/>
      </w:pPr>
      <w:sdt>
        <w:sdtPr>
          <w:id w:val="-1909835108"/>
          <w:placeholder>
            <w:docPart w:val="9B29E05B00CD44E0977E34133DEA9380"/>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bookmarkStart w:id="21" w:name="_Toc26986532"/>
          <w:bookmarkEnd w:id="21"/>
          <w:r>
            <w:t>下列术语和定义适用于本文件。</w:t>
          </w:r>
        </w:sdtContent>
      </w:sdt>
    </w:p>
    <w:p w14:paraId="475CEE59">
      <w:pPr>
        <w:pStyle w:val="60"/>
        <w:rPr>
          <w:rFonts w:hint="eastAsia" w:ascii="黑体" w:hAnsi="黑体" w:eastAsia="黑体"/>
        </w:rPr>
      </w:pPr>
      <w:r>
        <w:rPr>
          <w:rFonts w:ascii="黑体" w:hAnsi="黑体" w:eastAsia="黑体"/>
        </w:rPr>
        <w:t>3.1</w:t>
      </w:r>
    </w:p>
    <w:p w14:paraId="37D19335">
      <w:pPr>
        <w:rPr>
          <w:rFonts w:hint="eastAsia" w:ascii="黑体" w:hAnsi="黑体" w:eastAsia="黑体"/>
        </w:rPr>
      </w:pPr>
      <w:r>
        <w:rPr>
          <w:rFonts w:ascii="黑体" w:hAnsi="黑体" w:eastAsia="黑体"/>
        </w:rPr>
        <w:t>湿地生态系统 wetland ecosystem</w:t>
      </w:r>
    </w:p>
    <w:p w14:paraId="0F0A1923">
      <w:pPr>
        <w:rPr>
          <w:rFonts w:ascii="Times New Roman" w:hAnsi="Times New Roman"/>
        </w:rPr>
      </w:pPr>
      <w:r>
        <w:rPr>
          <w:rFonts w:ascii="Times New Roman" w:hAnsi="Times New Roman"/>
        </w:rPr>
        <w:t>长期或周期性积水或过湿，生长有水生、沼生或湿生植被的生态系统。</w:t>
      </w:r>
    </w:p>
    <w:p w14:paraId="11731F9F">
      <w:pPr>
        <w:rPr>
          <w:rFonts w:hint="eastAsia" w:ascii="黑体" w:hAnsi="黑体" w:eastAsia="黑体"/>
        </w:rPr>
      </w:pPr>
      <w:r>
        <w:rPr>
          <w:rFonts w:ascii="黑体" w:hAnsi="黑体" w:eastAsia="黑体"/>
        </w:rPr>
        <w:t>3.2</w:t>
      </w:r>
    </w:p>
    <w:p w14:paraId="6A3F0ACF">
      <w:pPr>
        <w:rPr>
          <w:rFonts w:hint="eastAsia" w:ascii="黑体" w:hAnsi="黑体" w:eastAsia="黑体"/>
        </w:rPr>
      </w:pPr>
      <w:r>
        <w:rPr>
          <w:rFonts w:ascii="黑体" w:hAnsi="黑体" w:eastAsia="黑体"/>
        </w:rPr>
        <w:t>湿地碳库 wetland carbon pool</w:t>
      </w:r>
    </w:p>
    <w:p w14:paraId="0F8E8457">
      <w:pPr>
        <w:rPr>
          <w:rFonts w:ascii="Times New Roman" w:hAnsi="Times New Roman"/>
        </w:rPr>
      </w:pPr>
      <w:r>
        <w:rPr>
          <w:rFonts w:ascii="Times New Roman" w:hAnsi="Times New Roman"/>
        </w:rPr>
        <w:t>湿地生态系统存储碳的各组成部分，主要包括湿地植被碳库、水体碳库和土壤碳库。</w:t>
      </w:r>
    </w:p>
    <w:p w14:paraId="779BC9A8">
      <w:pPr>
        <w:rPr>
          <w:rFonts w:hint="eastAsia" w:ascii="黑体" w:hAnsi="黑体" w:eastAsia="黑体"/>
        </w:rPr>
      </w:pPr>
      <w:r>
        <w:rPr>
          <w:rFonts w:ascii="黑体" w:hAnsi="黑体" w:eastAsia="黑体"/>
        </w:rPr>
        <w:t>3.3</w:t>
      </w:r>
    </w:p>
    <w:p w14:paraId="4E42790D">
      <w:pPr>
        <w:rPr>
          <w:rFonts w:hint="eastAsia" w:ascii="黑体" w:hAnsi="黑体" w:eastAsia="黑体"/>
        </w:rPr>
      </w:pPr>
      <w:r>
        <w:rPr>
          <w:rFonts w:ascii="黑体" w:hAnsi="黑体" w:eastAsia="黑体"/>
        </w:rPr>
        <w:t>湿地碳储量 wetland carbon storage</w:t>
      </w:r>
    </w:p>
    <w:p w14:paraId="672AD890">
      <w:pPr>
        <w:rPr>
          <w:rFonts w:ascii="Times New Roman" w:hAnsi="Times New Roman"/>
        </w:rPr>
      </w:pPr>
      <w:r>
        <w:rPr>
          <w:rFonts w:ascii="Times New Roman" w:hAnsi="Times New Roman"/>
        </w:rPr>
        <w:t>某一时刻监测区湿地有机碳的累积量。</w:t>
      </w:r>
    </w:p>
    <w:p w14:paraId="71C2FB47">
      <w:pPr>
        <w:rPr>
          <w:rFonts w:ascii="Times New Roman" w:hAnsi="Times New Roman"/>
        </w:rPr>
      </w:pPr>
      <w:r>
        <w:rPr>
          <w:rFonts w:ascii="Times New Roman" w:hAnsi="Times New Roman" w:eastAsia="黑体"/>
        </w:rPr>
        <w:t>注：</w:t>
      </w:r>
      <w:r>
        <w:rPr>
          <w:rFonts w:ascii="Times New Roman" w:hAnsi="Times New Roman"/>
        </w:rPr>
        <w:t>主要包括植被、土壤和水体中的碳。</w:t>
      </w:r>
    </w:p>
    <w:p w14:paraId="5ACB1E41">
      <w:pPr>
        <w:rPr>
          <w:rFonts w:hint="eastAsia" w:ascii="黑体" w:hAnsi="黑体" w:eastAsia="黑体"/>
        </w:rPr>
      </w:pPr>
      <w:r>
        <w:rPr>
          <w:rFonts w:ascii="黑体" w:hAnsi="黑体" w:eastAsia="黑体"/>
        </w:rPr>
        <w:t>3.4</w:t>
      </w:r>
    </w:p>
    <w:p w14:paraId="3DFD99ED">
      <w:pPr>
        <w:rPr>
          <w:rFonts w:hint="eastAsia" w:ascii="黑体" w:hAnsi="黑体" w:eastAsia="黑体"/>
        </w:rPr>
      </w:pPr>
      <w:r>
        <w:rPr>
          <w:rFonts w:ascii="黑体" w:hAnsi="黑体" w:eastAsia="黑体"/>
        </w:rPr>
        <w:t>湿地碳汇 wetland carbon sequestration</w:t>
      </w:r>
    </w:p>
    <w:p w14:paraId="4506EF6A">
      <w:pPr>
        <w:rPr>
          <w:rFonts w:ascii="Times New Roman" w:hAnsi="Times New Roman"/>
        </w:rPr>
      </w:pPr>
      <w:r>
        <w:rPr>
          <w:rFonts w:ascii="Times New Roman" w:hAnsi="Times New Roman"/>
        </w:rPr>
        <w:t>一定时间段内监测区湿地碳储量的变化量。</w:t>
      </w:r>
    </w:p>
    <w:p w14:paraId="4CF029F4">
      <w:pPr>
        <w:rPr>
          <w:rFonts w:hint="eastAsia" w:ascii="黑体" w:hAnsi="黑体" w:eastAsia="黑体"/>
        </w:rPr>
      </w:pPr>
      <w:r>
        <w:rPr>
          <w:rFonts w:ascii="黑体" w:hAnsi="黑体" w:eastAsia="黑体"/>
        </w:rPr>
        <w:t>3.5</w:t>
      </w:r>
    </w:p>
    <w:p w14:paraId="34865BEB">
      <w:pPr>
        <w:rPr>
          <w:rFonts w:hint="eastAsia" w:ascii="黑体" w:hAnsi="黑体" w:eastAsia="黑体"/>
        </w:rPr>
      </w:pPr>
      <w:r>
        <w:rPr>
          <w:rFonts w:ascii="黑体" w:hAnsi="黑体" w:eastAsia="黑体"/>
        </w:rPr>
        <w:t>湿地植被碳库 wetland vegetation carbon pool</w:t>
      </w:r>
    </w:p>
    <w:p w14:paraId="21811DE4">
      <w:pPr>
        <w:rPr>
          <w:rFonts w:ascii="Times New Roman" w:hAnsi="Times New Roman"/>
        </w:rPr>
      </w:pPr>
      <w:r>
        <w:rPr>
          <w:rFonts w:ascii="Times New Roman" w:hAnsi="Times New Roman"/>
        </w:rPr>
        <w:t>指生长在水陆交汇处，土壤潮湿或者有浅层积水环境中的植物，由乔木、灌木、草本、水生植物等各类植被及其凋落物组成。</w:t>
      </w:r>
    </w:p>
    <w:p w14:paraId="71646D4C">
      <w:pPr>
        <w:rPr>
          <w:rFonts w:hint="eastAsia" w:ascii="黑体" w:hAnsi="黑体" w:eastAsia="黑体"/>
        </w:rPr>
      </w:pPr>
      <w:r>
        <w:rPr>
          <w:rFonts w:ascii="黑体" w:hAnsi="黑体" w:eastAsia="黑体"/>
        </w:rPr>
        <w:t>3.6</w:t>
      </w:r>
    </w:p>
    <w:p w14:paraId="34C1E2AA">
      <w:pPr>
        <w:rPr>
          <w:rFonts w:hint="eastAsia" w:ascii="黑体" w:hAnsi="黑体" w:eastAsia="黑体"/>
        </w:rPr>
      </w:pPr>
      <w:r>
        <w:rPr>
          <w:rFonts w:ascii="黑体" w:hAnsi="黑体" w:eastAsia="黑体"/>
        </w:rPr>
        <w:t>湿地水体碳库 wetland water carbon pool</w:t>
      </w:r>
    </w:p>
    <w:p w14:paraId="0D215686">
      <w:pPr>
        <w:rPr>
          <w:rFonts w:ascii="Times New Roman" w:hAnsi="Times New Roman"/>
        </w:rPr>
      </w:pPr>
      <w:r>
        <w:rPr>
          <w:rFonts w:ascii="Times New Roman" w:hAnsi="Times New Roman"/>
        </w:rPr>
        <w:t>在湿地水域内，由水体和浮游生物组成的有机碳储存载体。</w:t>
      </w:r>
    </w:p>
    <w:p w14:paraId="53010016">
      <w:pPr>
        <w:rPr>
          <w:rFonts w:hint="eastAsia" w:ascii="黑体" w:hAnsi="黑体" w:eastAsia="黑体"/>
        </w:rPr>
      </w:pPr>
      <w:r>
        <w:rPr>
          <w:rFonts w:ascii="黑体" w:hAnsi="黑体" w:eastAsia="黑体"/>
        </w:rPr>
        <w:t>3.7</w:t>
      </w:r>
    </w:p>
    <w:p w14:paraId="686D28AD">
      <w:pPr>
        <w:rPr>
          <w:rFonts w:hint="eastAsia" w:ascii="黑体" w:hAnsi="黑体" w:eastAsia="黑体"/>
        </w:rPr>
      </w:pPr>
      <w:r>
        <w:rPr>
          <w:rFonts w:ascii="黑体" w:hAnsi="黑体" w:eastAsia="黑体"/>
        </w:rPr>
        <w:t>湿地土壤碳库 wetland soil carbon pool</w:t>
      </w:r>
    </w:p>
    <w:p w14:paraId="3EBE6923">
      <w:pPr>
        <w:rPr>
          <w:rFonts w:ascii="Times New Roman" w:hAnsi="Times New Roman"/>
        </w:rPr>
      </w:pPr>
      <w:r>
        <w:rPr>
          <w:rFonts w:ascii="Times New Roman" w:hAnsi="Times New Roman"/>
        </w:rPr>
        <w:t>位于湿地地表以下陆域的关键碳储存载体。它主要由明显的土壤发生层的土壤构成。</w:t>
      </w:r>
    </w:p>
    <w:p w14:paraId="29D439F6">
      <w:pPr>
        <w:rPr>
          <w:rFonts w:hint="eastAsia" w:ascii="黑体" w:hAnsi="黑体" w:eastAsia="黑体"/>
        </w:rPr>
      </w:pPr>
      <w:r>
        <w:rPr>
          <w:rFonts w:ascii="黑体" w:hAnsi="黑体" w:eastAsia="黑体"/>
        </w:rPr>
        <w:t>3.8</w:t>
      </w:r>
    </w:p>
    <w:p w14:paraId="4DC04877">
      <w:pPr>
        <w:rPr>
          <w:rFonts w:hint="eastAsia" w:ascii="黑体" w:hAnsi="黑体" w:eastAsia="黑体"/>
        </w:rPr>
      </w:pPr>
      <w:r>
        <w:rPr>
          <w:rFonts w:ascii="黑体" w:hAnsi="黑体" w:eastAsia="黑体"/>
        </w:rPr>
        <w:t xml:space="preserve">水生植物 </w:t>
      </w:r>
    </w:p>
    <w:p w14:paraId="2C7EAF55">
      <w:pPr>
        <w:rPr>
          <w:rFonts w:ascii="Times New Roman" w:hAnsi="Times New Roman"/>
        </w:rPr>
      </w:pPr>
      <w:r>
        <w:rPr>
          <w:rFonts w:ascii="Times New Roman" w:hAnsi="Times New Roman"/>
        </w:rPr>
        <w:t>指在水中生长的植物，包括挺水植物和沉水植物。</w:t>
      </w:r>
    </w:p>
    <w:p w14:paraId="45D141AF">
      <w:pPr>
        <w:rPr>
          <w:rFonts w:hint="eastAsia" w:ascii="黑体" w:hAnsi="黑体" w:eastAsia="黑体"/>
        </w:rPr>
      </w:pPr>
      <w:r>
        <w:rPr>
          <w:rFonts w:ascii="黑体" w:hAnsi="黑体" w:eastAsia="黑体"/>
        </w:rPr>
        <w:t>3.9</w:t>
      </w:r>
    </w:p>
    <w:p w14:paraId="223C54F6">
      <w:pPr>
        <w:rPr>
          <w:rFonts w:hint="eastAsia" w:ascii="黑体" w:hAnsi="黑体" w:eastAsia="黑体"/>
        </w:rPr>
      </w:pPr>
      <w:r>
        <w:rPr>
          <w:rFonts w:ascii="黑体" w:hAnsi="黑体" w:eastAsia="黑体"/>
        </w:rPr>
        <w:t>枯落物 dead organic matter for litter</w:t>
      </w:r>
    </w:p>
    <w:p w14:paraId="12E36CAA">
      <w:pPr>
        <w:rPr>
          <w:rFonts w:ascii="Times New Roman" w:hAnsi="Times New Roman"/>
        </w:rPr>
      </w:pPr>
      <w:r>
        <w:rPr>
          <w:rFonts w:ascii="Times New Roman" w:hAnsi="Times New Roman"/>
        </w:rPr>
        <w:t>指湿地内地表及水体中未分解或半分解的凋落物、死亡植株碎屑及其他植物残体组成的。</w:t>
      </w:r>
    </w:p>
    <w:p w14:paraId="539E3FCD">
      <w:pPr>
        <w:rPr>
          <w:rFonts w:ascii="Times New Roman" w:hAnsi="Times New Roman"/>
        </w:rPr>
      </w:pPr>
      <w:r>
        <w:rPr>
          <w:rFonts w:ascii="Times New Roman" w:hAnsi="Times New Roman" w:eastAsia="黑体"/>
        </w:rPr>
        <w:t>注：</w:t>
      </w:r>
      <w:r>
        <w:rPr>
          <w:rFonts w:ascii="Times New Roman" w:hAnsi="Times New Roman"/>
        </w:rPr>
        <w:t>包括凋落物、腐殖质以及死根。</w:t>
      </w:r>
    </w:p>
    <w:p w14:paraId="0AFEAE9C">
      <w:pPr>
        <w:rPr>
          <w:rFonts w:hint="eastAsia" w:ascii="黑体" w:hAnsi="黑体" w:eastAsia="黑体"/>
        </w:rPr>
      </w:pPr>
      <w:r>
        <w:rPr>
          <w:rFonts w:ascii="黑体" w:hAnsi="黑体" w:eastAsia="黑体"/>
        </w:rPr>
        <w:t xml:space="preserve">3.10 </w:t>
      </w:r>
    </w:p>
    <w:p w14:paraId="19D54CA5">
      <w:pPr>
        <w:rPr>
          <w:rFonts w:hint="eastAsia" w:ascii="黑体" w:hAnsi="黑体" w:eastAsia="黑体"/>
        </w:rPr>
      </w:pPr>
      <w:r>
        <w:rPr>
          <w:rFonts w:ascii="黑体" w:hAnsi="黑体" w:eastAsia="黑体"/>
        </w:rPr>
        <w:t>地上生物量 above</w:t>
      </w:r>
      <w:r>
        <w:rPr>
          <w:rFonts w:hint="eastAsia" w:ascii="黑体" w:hAnsi="黑体" w:eastAsia="黑体"/>
        </w:rPr>
        <w:t>-</w:t>
      </w:r>
      <w:r>
        <w:rPr>
          <w:rFonts w:ascii="黑体" w:hAnsi="黑体" w:eastAsia="黑体"/>
        </w:rPr>
        <w:t>ground biomass</w:t>
      </w:r>
    </w:p>
    <w:p w14:paraId="2684D348">
      <w:pPr>
        <w:rPr>
          <w:rFonts w:ascii="Times New Roman" w:hAnsi="Times New Roman"/>
        </w:rPr>
      </w:pPr>
      <w:r>
        <w:rPr>
          <w:rFonts w:ascii="Times New Roman" w:hAnsi="Times New Roman"/>
        </w:rPr>
        <w:t>地表以上以干重表示的所有活体植物的重量。</w:t>
      </w:r>
    </w:p>
    <w:p w14:paraId="0E204F35">
      <w:pPr>
        <w:rPr>
          <w:rFonts w:hint="eastAsia" w:ascii="黑体" w:hAnsi="黑体" w:eastAsia="黑体"/>
        </w:rPr>
      </w:pPr>
      <w:r>
        <w:rPr>
          <w:rFonts w:ascii="黑体" w:hAnsi="黑体" w:eastAsia="黑体"/>
        </w:rPr>
        <w:t>3.11</w:t>
      </w:r>
    </w:p>
    <w:p w14:paraId="78E59587">
      <w:pPr>
        <w:rPr>
          <w:rFonts w:hint="eastAsia" w:ascii="黑体" w:hAnsi="黑体" w:eastAsia="黑体"/>
        </w:rPr>
      </w:pPr>
      <w:r>
        <w:rPr>
          <w:rFonts w:ascii="黑体" w:hAnsi="黑体" w:eastAsia="黑体"/>
        </w:rPr>
        <w:t>地下生物量 below-ground biomass</w:t>
      </w:r>
    </w:p>
    <w:p w14:paraId="5AAA6375">
      <w:pPr>
        <w:rPr>
          <w:rFonts w:ascii="Times New Roman" w:hAnsi="Times New Roman"/>
        </w:rPr>
      </w:pPr>
      <w:r>
        <w:rPr>
          <w:rFonts w:ascii="Times New Roman" w:hAnsi="Times New Roman"/>
        </w:rPr>
        <w:t>地表以下以干重表示的所有活体植物的重量。</w:t>
      </w:r>
    </w:p>
    <w:p w14:paraId="61024F3E">
      <w:pPr>
        <w:pStyle w:val="108"/>
        <w:spacing w:before="240" w:after="240" w:line="360" w:lineRule="auto"/>
        <w:rPr>
          <w:rFonts w:ascii="Times New Roman"/>
        </w:rPr>
      </w:pPr>
      <w:r>
        <w:rPr>
          <w:rFonts w:ascii="Times New Roman"/>
        </w:rPr>
        <w:t>基本规定</w:t>
      </w:r>
    </w:p>
    <w:p w14:paraId="13191D48">
      <w:pPr>
        <w:pStyle w:val="109"/>
        <w:rPr>
          <w:rFonts w:ascii="Times New Roman"/>
        </w:rPr>
      </w:pPr>
      <w:r>
        <w:rPr>
          <w:rFonts w:ascii="Times New Roman"/>
        </w:rPr>
        <w:t>监测对象</w:t>
      </w:r>
    </w:p>
    <w:p w14:paraId="4730D4D1">
      <w:pPr>
        <w:pStyle w:val="60"/>
      </w:pPr>
      <w:r>
        <w:t>按照GB/T 24708给出的湿地分类，湿地监测对象包括河流湿地、湖泊湿地和沼泽湿地等，</w:t>
      </w:r>
    </w:p>
    <w:p w14:paraId="6E67C7B1">
      <w:pPr>
        <w:pStyle w:val="109"/>
        <w:rPr>
          <w:rFonts w:ascii="Times New Roman"/>
        </w:rPr>
      </w:pPr>
      <w:r>
        <w:rPr>
          <w:rFonts w:ascii="Times New Roman"/>
        </w:rPr>
        <w:t>碳库选择</w:t>
      </w:r>
    </w:p>
    <w:p w14:paraId="5F513767">
      <w:pPr>
        <w:pStyle w:val="60"/>
      </w:pPr>
      <w:r>
        <w:t>本文件中碳库包括湿地植被碳库、水体碳库和土壤碳库。</w:t>
      </w:r>
    </w:p>
    <w:p w14:paraId="215C9E5D">
      <w:pPr>
        <w:pStyle w:val="109"/>
        <w:rPr>
          <w:rFonts w:ascii="Times New Roman"/>
        </w:rPr>
      </w:pPr>
      <w:r>
        <w:rPr>
          <w:rFonts w:ascii="Times New Roman"/>
        </w:rPr>
        <w:t>调查准备</w:t>
      </w:r>
    </w:p>
    <w:p w14:paraId="5E13728D">
      <w:pPr>
        <w:pStyle w:val="69"/>
        <w:ind w:firstLine="420" w:firstLineChars="200"/>
        <w:rPr>
          <w:rFonts w:ascii="Times New Roman"/>
        </w:rPr>
      </w:pPr>
      <w:r>
        <w:rPr>
          <w:rFonts w:ascii="Times New Roman"/>
        </w:rPr>
        <w:t>遥感数据</w:t>
      </w:r>
    </w:p>
    <w:p w14:paraId="3CEC324D">
      <w:pPr>
        <w:pStyle w:val="60"/>
      </w:pPr>
      <w:r>
        <w:t>采用高分辨率遥感影像数据，可根据实际情况采用无人机、雷达和高光谱等数据作为补充。</w:t>
      </w:r>
      <w:r>
        <w:rPr>
          <w:rFonts w:hint="eastAsia"/>
        </w:rPr>
        <w:t>应与地面监测时间一致，避免云覆盖。</w:t>
      </w:r>
    </w:p>
    <w:p w14:paraId="1BAEFF1B">
      <w:pPr>
        <w:pStyle w:val="69"/>
        <w:ind w:firstLine="420" w:firstLineChars="200"/>
        <w:rPr>
          <w:rFonts w:ascii="Times New Roman"/>
        </w:rPr>
      </w:pPr>
      <w:r>
        <w:rPr>
          <w:rFonts w:ascii="Times New Roman"/>
        </w:rPr>
        <w:t>资料</w:t>
      </w:r>
    </w:p>
    <w:p w14:paraId="4CDBF537">
      <w:pPr>
        <w:pStyle w:val="60"/>
      </w:pPr>
      <w:r>
        <w:t>收集与湿地相关的调查、监测、科研、文献等相关资料。</w:t>
      </w:r>
    </w:p>
    <w:p w14:paraId="2BA486B7">
      <w:pPr>
        <w:pStyle w:val="69"/>
        <w:ind w:firstLine="420" w:firstLineChars="200"/>
        <w:rPr>
          <w:rFonts w:ascii="Times New Roman"/>
        </w:rPr>
      </w:pPr>
      <w:r>
        <w:rPr>
          <w:rFonts w:ascii="Times New Roman"/>
        </w:rPr>
        <w:t>工具准备</w:t>
      </w:r>
    </w:p>
    <w:p w14:paraId="52CBAC87">
      <w:pPr>
        <w:pStyle w:val="60"/>
      </w:pPr>
      <w:r>
        <w:t>卷尺、盒尺、样方表、样方框、样品袋（植物、土壤）、微生物管、剪刀、土钻、环刀、</w:t>
      </w:r>
      <w:r>
        <w:rPr>
          <w:rFonts w:hint="eastAsia"/>
        </w:rPr>
        <w:t>铁锹、</w:t>
      </w:r>
      <w:r>
        <w:t>铝盒、纱网袋、电子秤等。</w:t>
      </w:r>
    </w:p>
    <w:p w14:paraId="26D70B4F">
      <w:pPr>
        <w:pStyle w:val="60"/>
      </w:pPr>
    </w:p>
    <w:p w14:paraId="3D6ECA89">
      <w:pPr>
        <w:pStyle w:val="108"/>
        <w:spacing w:before="240" w:after="240" w:line="360" w:lineRule="auto"/>
        <w:rPr>
          <w:rFonts w:ascii="Times New Roman"/>
        </w:rPr>
      </w:pPr>
      <w:r>
        <w:rPr>
          <w:rFonts w:ascii="Times New Roman"/>
        </w:rPr>
        <w:t>监测方法</w:t>
      </w:r>
    </w:p>
    <w:p w14:paraId="5E5CBEA9">
      <w:pPr>
        <w:pStyle w:val="109"/>
        <w:rPr>
          <w:rFonts w:ascii="Times New Roman"/>
        </w:rPr>
      </w:pPr>
      <w:r>
        <w:rPr>
          <w:rFonts w:ascii="Times New Roman"/>
        </w:rPr>
        <w:t>监测时间和频次</w:t>
      </w:r>
    </w:p>
    <w:p w14:paraId="2523861F">
      <w:pPr>
        <w:pStyle w:val="69"/>
        <w:ind w:firstLine="420" w:firstLineChars="200"/>
        <w:rPr>
          <w:rFonts w:ascii="Times New Roman"/>
        </w:rPr>
      </w:pPr>
      <w:r>
        <w:rPr>
          <w:rFonts w:ascii="Times New Roman"/>
        </w:rPr>
        <w:t>监测时间</w:t>
      </w:r>
    </w:p>
    <w:p w14:paraId="270B51E2">
      <w:pPr>
        <w:pStyle w:val="60"/>
      </w:pPr>
      <w:r>
        <w:t>选择生长季（7-8月）进行监测。</w:t>
      </w:r>
    </w:p>
    <w:p w14:paraId="5C34491B">
      <w:pPr>
        <w:pStyle w:val="69"/>
        <w:ind w:firstLine="420" w:firstLineChars="200"/>
        <w:rPr>
          <w:rFonts w:ascii="Times New Roman"/>
        </w:rPr>
      </w:pPr>
      <w:r>
        <w:rPr>
          <w:rFonts w:ascii="Times New Roman"/>
        </w:rPr>
        <w:t>监测频次</w:t>
      </w:r>
    </w:p>
    <w:p w14:paraId="635C7B66">
      <w:pPr>
        <w:pStyle w:val="60"/>
      </w:pPr>
      <w:r>
        <w:t>一年一次</w:t>
      </w:r>
    </w:p>
    <w:p w14:paraId="23638014">
      <w:pPr>
        <w:pStyle w:val="109"/>
        <w:rPr>
          <w:rFonts w:ascii="Times New Roman"/>
        </w:rPr>
      </w:pPr>
      <w:r>
        <w:rPr>
          <w:rFonts w:ascii="Times New Roman"/>
        </w:rPr>
        <w:t>样地选择</w:t>
      </w:r>
    </w:p>
    <w:p w14:paraId="45723815">
      <w:pPr>
        <w:pStyle w:val="60"/>
      </w:pPr>
      <w:r>
        <w:t>样地选择需具有代表性和典型性，一般依托已有固定样地，并根据各区域实际情况进行选择。具体位置根据植被生物量和群系分布特征确定，选择地表覆盖相对均一的位置设定植物样方，每条样线的布设不少于3个样方。</w:t>
      </w:r>
    </w:p>
    <w:p w14:paraId="7EC0E61F">
      <w:pPr>
        <w:pStyle w:val="109"/>
        <w:rPr>
          <w:rFonts w:ascii="Times New Roman"/>
        </w:rPr>
      </w:pPr>
      <w:r>
        <w:rPr>
          <w:rFonts w:ascii="Times New Roman"/>
        </w:rPr>
        <w:t>样方布设</w:t>
      </w:r>
    </w:p>
    <w:p w14:paraId="42691366">
      <w:pPr>
        <w:pStyle w:val="69"/>
        <w:ind w:firstLine="420" w:firstLineChars="200"/>
        <w:rPr>
          <w:rFonts w:ascii="Times New Roman"/>
        </w:rPr>
      </w:pPr>
      <w:r>
        <w:rPr>
          <w:rFonts w:ascii="Times New Roman"/>
        </w:rPr>
        <w:t>植物</w:t>
      </w:r>
    </w:p>
    <w:p w14:paraId="74898427">
      <w:pPr>
        <w:pStyle w:val="60"/>
      </w:pPr>
      <w:r>
        <w:t>（1）乔木样方：设置20 m×20 m的方形样方。</w:t>
      </w:r>
    </w:p>
    <w:p w14:paraId="6ADD78B8">
      <w:pPr>
        <w:pStyle w:val="60"/>
      </w:pPr>
      <w:r>
        <w:t>（2）灌木样方：设置5 m×5 m的方形样方。</w:t>
      </w:r>
    </w:p>
    <w:p w14:paraId="669A156E">
      <w:pPr>
        <w:pStyle w:val="60"/>
      </w:pPr>
      <w:r>
        <w:t>（3）草本样方：设置0.5 m×0.5 m的方形样方。</w:t>
      </w:r>
    </w:p>
    <w:p w14:paraId="5E5CA28E">
      <w:pPr>
        <w:pStyle w:val="60"/>
      </w:pPr>
      <w:r>
        <w:t>（4）水生植物样方：设置0.5 m×0.5 m的方形样方。</w:t>
      </w:r>
    </w:p>
    <w:p w14:paraId="218999AB">
      <w:pPr>
        <w:pStyle w:val="60"/>
      </w:pPr>
      <w:r>
        <w:t>（5）枯落物样方：乔木、灌木、草本样方内存在的枯落物。</w:t>
      </w:r>
    </w:p>
    <w:p w14:paraId="62250DBD">
      <w:pPr>
        <w:pStyle w:val="60"/>
      </w:pPr>
      <w:r>
        <w:rPr>
          <w:rFonts w:hint="eastAsia"/>
        </w:rPr>
        <w:t>每个样地不少于3个重复样方，</w:t>
      </w:r>
      <w:r>
        <w:t>均一地采用简单随机抽样，非均一地采用分层抽样（层内局部均匀）。</w:t>
      </w:r>
    </w:p>
    <w:p w14:paraId="4EAA9DC4">
      <w:pPr>
        <w:pStyle w:val="69"/>
        <w:ind w:firstLine="420" w:firstLineChars="200"/>
        <w:rPr>
          <w:rFonts w:ascii="Times New Roman"/>
        </w:rPr>
      </w:pPr>
      <w:r>
        <w:rPr>
          <w:rFonts w:ascii="Times New Roman"/>
        </w:rPr>
        <w:t>水体</w:t>
      </w:r>
    </w:p>
    <w:p w14:paraId="7A608598">
      <w:pPr>
        <w:pStyle w:val="60"/>
      </w:pPr>
      <w:r>
        <w:rPr>
          <w:rFonts w:hint="eastAsia"/>
        </w:rPr>
        <w:t>湖泊/沼泽湿地：按水深梯度设置样点（浅水区、中水区、深水区），每类不少于3个重复样点</w:t>
      </w:r>
    </w:p>
    <w:p w14:paraId="26E29E25">
      <w:pPr>
        <w:pStyle w:val="60"/>
      </w:pPr>
      <w:r>
        <w:rPr>
          <w:rFonts w:hint="eastAsia"/>
        </w:rPr>
        <w:t>河流湿地：按断面布设样点（上、中、下游） 每断面至少设置3个采样点（左岸、中线、右岸）</w:t>
      </w:r>
    </w:p>
    <w:p w14:paraId="7E14A8AC">
      <w:pPr>
        <w:pStyle w:val="60"/>
      </w:pPr>
      <w:r>
        <w:rPr>
          <w:rFonts w:hint="eastAsia"/>
        </w:rPr>
        <w:t>样点定位：使用GPS记录经纬度</w:t>
      </w:r>
    </w:p>
    <w:p w14:paraId="6A37748F">
      <w:pPr>
        <w:pStyle w:val="60"/>
      </w:pPr>
      <w:r>
        <w:rPr>
          <w:rFonts w:hint="eastAsia"/>
        </w:rPr>
        <w:t>采样深度：表层（0-50 cm）必要时分层采样</w:t>
      </w:r>
    </w:p>
    <w:p w14:paraId="0D9020AE">
      <w:pPr>
        <w:pStyle w:val="69"/>
        <w:ind w:firstLine="420" w:firstLineChars="200"/>
        <w:rPr>
          <w:rFonts w:ascii="Times New Roman"/>
        </w:rPr>
      </w:pPr>
      <w:r>
        <w:rPr>
          <w:rFonts w:ascii="Times New Roman"/>
        </w:rPr>
        <w:t>土壤</w:t>
      </w:r>
    </w:p>
    <w:p w14:paraId="6ACADCC9">
      <w:pPr>
        <w:pStyle w:val="60"/>
      </w:pPr>
      <w:r>
        <w:rPr>
          <w:rFonts w:hint="eastAsia"/>
        </w:rPr>
        <w:t>土壤样方设置在标准的植被样方内，将草本植物样品齐地面剪除后进行土壤样品的</w:t>
      </w:r>
      <w:r>
        <w:t>，</w:t>
      </w:r>
      <w:r>
        <w:rPr>
          <w:rFonts w:hint="eastAsia"/>
        </w:rPr>
        <w:t>采集</w:t>
      </w:r>
      <w:r>
        <w:t>采用土钻法按0-30 cm</w:t>
      </w:r>
      <w:r>
        <w:rPr>
          <w:rFonts w:hint="eastAsia"/>
        </w:rPr>
        <w:t>、30-50 cm和50-100 cm对土壤样品</w:t>
      </w:r>
      <w:r>
        <w:t>分层取样</w:t>
      </w:r>
      <w:r>
        <w:rPr>
          <w:rFonts w:hint="eastAsia"/>
        </w:rPr>
        <w:t>。</w:t>
      </w:r>
    </w:p>
    <w:p w14:paraId="35173581">
      <w:pPr>
        <w:pStyle w:val="109"/>
        <w:rPr>
          <w:rFonts w:ascii="Times New Roman"/>
        </w:rPr>
      </w:pPr>
      <w:r>
        <w:rPr>
          <w:rFonts w:ascii="Times New Roman"/>
        </w:rPr>
        <w:t>碳库调查</w:t>
      </w:r>
    </w:p>
    <w:p w14:paraId="3B678546">
      <w:pPr>
        <w:pStyle w:val="69"/>
        <w:ind w:firstLine="420" w:firstLineChars="200"/>
        <w:rPr>
          <w:rFonts w:ascii="Times New Roman"/>
        </w:rPr>
      </w:pPr>
      <w:r>
        <w:rPr>
          <w:rFonts w:ascii="Times New Roman"/>
        </w:rPr>
        <w:t>乔木调查</w:t>
      </w:r>
    </w:p>
    <w:p w14:paraId="55F07A05">
      <w:pPr>
        <w:pStyle w:val="60"/>
      </w:pPr>
      <w:r>
        <w:t>在样方范围内，对所有活力木进行每木检尺，测量记录树种、株数、胸径、树高、冠幅等数据，将测定的数值带入相应树种的模型，计算单位面积地上生物量、地下生物量和碳密度。数据记录在附录A的表A.1。</w:t>
      </w:r>
    </w:p>
    <w:p w14:paraId="385B7EB4">
      <w:pPr>
        <w:pStyle w:val="69"/>
        <w:ind w:firstLine="420" w:firstLineChars="200"/>
        <w:rPr>
          <w:rFonts w:ascii="Times New Roman"/>
        </w:rPr>
      </w:pPr>
      <w:r>
        <w:rPr>
          <w:rFonts w:ascii="Times New Roman"/>
        </w:rPr>
        <w:t>灌木调查</w:t>
      </w:r>
    </w:p>
    <w:p w14:paraId="0BEC9560">
      <w:pPr>
        <w:pStyle w:val="60"/>
      </w:pPr>
      <w:r>
        <w:t>调查样方内灌木种类、</w:t>
      </w:r>
      <w:r>
        <w:rPr>
          <w:rFonts w:hint="eastAsia"/>
        </w:rPr>
        <w:t>基</w:t>
      </w:r>
      <w:r>
        <w:t>径、丛/株数、株高、冠幅等。选择样方中3株平均大小的标准木，采用全株收获法分别测定其地上干、枝、叶和地下根系的鲜重，</w:t>
      </w:r>
      <w:r>
        <w:rPr>
          <w:rFonts w:hint="eastAsia"/>
        </w:rPr>
        <w:t>放入85℃烘箱内烘干样品至恒重后</w:t>
      </w:r>
      <w:r>
        <w:t>测定其干重。样品统一编号、贴标签，标明样品采集的样地号、样方号和采集日期，记录信息见附录A的表A.1。</w:t>
      </w:r>
    </w:p>
    <w:p w14:paraId="569A139C">
      <w:pPr>
        <w:pStyle w:val="69"/>
        <w:ind w:firstLine="420" w:firstLineChars="200"/>
        <w:rPr>
          <w:rFonts w:ascii="Times New Roman"/>
        </w:rPr>
      </w:pPr>
      <w:r>
        <w:rPr>
          <w:rFonts w:ascii="Times New Roman"/>
        </w:rPr>
        <w:t>草本调查</w:t>
      </w:r>
    </w:p>
    <w:p w14:paraId="05F6521F">
      <w:pPr>
        <w:pStyle w:val="60"/>
      </w:pPr>
      <w:r>
        <w:t>调查样方内草本植物种类、丛数量、高度、盖度，收集样方内全部植被地上和地下部分，测定鲜重，将植被样品放入烘箱中， 65℃烘干至恒重后测其干重。样品统一编号签，标明样品采集的样地号、样方号和采集日期，记录信息见附录A的表A.2。</w:t>
      </w:r>
    </w:p>
    <w:p w14:paraId="2F3B8605">
      <w:pPr>
        <w:pStyle w:val="69"/>
        <w:ind w:firstLine="420" w:firstLineChars="200"/>
        <w:rPr>
          <w:rFonts w:ascii="Times New Roman"/>
        </w:rPr>
      </w:pPr>
      <w:r>
        <w:rPr>
          <w:rFonts w:ascii="Times New Roman"/>
        </w:rPr>
        <w:t>枯落物调查</w:t>
      </w:r>
    </w:p>
    <w:p w14:paraId="7F04AB37">
      <w:pPr>
        <w:pStyle w:val="60"/>
      </w:pPr>
      <w:r>
        <w:t>收集样方内全部枯落物称其鲜重，并通过65℃烘干至恒重后测其干重。样品统一编号，标明样品采集样地号、样方号和采集日期，记录信息见附录A的表A.3。</w:t>
      </w:r>
    </w:p>
    <w:p w14:paraId="2F3A1CA0">
      <w:pPr>
        <w:pStyle w:val="69"/>
        <w:ind w:firstLine="420" w:firstLineChars="200"/>
        <w:rPr>
          <w:rFonts w:ascii="Times New Roman"/>
        </w:rPr>
      </w:pPr>
      <w:r>
        <w:rPr>
          <w:rFonts w:ascii="Times New Roman"/>
        </w:rPr>
        <w:t>水生植物调查</w:t>
      </w:r>
    </w:p>
    <w:p w14:paraId="2344C46A">
      <w:pPr>
        <w:pStyle w:val="60"/>
      </w:pPr>
      <w:r>
        <w:t>水生植物包括挺水植物、沉水植物和浮游植物，在样方范围内，获取所有植物的种类组成、高度、盖度、频数等数据。挺水植物采用收获法，收割植被地上和地下部分；浮游植物和沉水植物采用水草定量夹采集，收集全部植物进行鲜重称重。数据记录在附录A的</w:t>
      </w:r>
      <w:r>
        <w:rPr>
          <w:highlight w:val="yellow"/>
        </w:rPr>
        <w:t>表</w:t>
      </w:r>
      <w:r>
        <w:t>。</w:t>
      </w:r>
    </w:p>
    <w:p w14:paraId="5FB9B59A">
      <w:pPr>
        <w:pStyle w:val="69"/>
        <w:ind w:firstLine="420" w:firstLineChars="200"/>
        <w:rPr>
          <w:rFonts w:ascii="Times New Roman"/>
        </w:rPr>
      </w:pPr>
      <w:r>
        <w:rPr>
          <w:rFonts w:ascii="Times New Roman"/>
        </w:rPr>
        <w:t>土壤调查</w:t>
      </w:r>
    </w:p>
    <w:p w14:paraId="4EF36A57">
      <w:pPr>
        <w:pStyle w:val="60"/>
      </w:pPr>
      <w:r>
        <w:t>土壤碳库监测包括土壤类型、土层厚度、土壤质地、土壤容重、土壤有机碳含量等指标的测定，具体执行LY/T 2898。</w:t>
      </w:r>
    </w:p>
    <w:p w14:paraId="6CC7B6D9">
      <w:pPr>
        <w:pStyle w:val="69"/>
        <w:ind w:firstLine="420" w:firstLineChars="200"/>
        <w:rPr>
          <w:rFonts w:ascii="Times New Roman"/>
        </w:rPr>
      </w:pPr>
      <w:r>
        <w:rPr>
          <w:rFonts w:ascii="Times New Roman"/>
        </w:rPr>
        <w:t>水体</w:t>
      </w:r>
      <w:r>
        <w:rPr>
          <w:rFonts w:hint="eastAsia" w:ascii="Times New Roman"/>
        </w:rPr>
        <w:t>调查</w:t>
      </w:r>
    </w:p>
    <w:p w14:paraId="20157A98">
      <w:pPr>
        <w:pStyle w:val="60"/>
      </w:pPr>
      <w:r>
        <w:t>调查不同水文期湿地的水体情况，水体总有机碳含量的测定按照 GB/T11446.8</w:t>
      </w:r>
      <w:r>
        <w:rPr>
          <w:rFonts w:hint="eastAsia"/>
        </w:rPr>
        <w:t>或</w:t>
      </w:r>
      <w:r>
        <w:t>HJ 501执行。</w:t>
      </w:r>
    </w:p>
    <w:p w14:paraId="3FF50018">
      <w:pPr>
        <w:pStyle w:val="109"/>
        <w:ind w:left="283"/>
        <w:rPr>
          <w:rFonts w:ascii="Times New Roman"/>
        </w:rPr>
      </w:pPr>
      <w:r>
        <w:rPr>
          <w:rFonts w:hint="eastAsia" w:ascii="Times New Roman"/>
        </w:rPr>
        <w:t>含碳率测定</w:t>
      </w:r>
    </w:p>
    <w:p w14:paraId="0AC9BE56">
      <w:pPr>
        <w:pStyle w:val="60"/>
      </w:pPr>
      <w:r>
        <w:rPr>
          <w:rFonts w:hint="eastAsia"/>
        </w:rPr>
        <w:t>（1）植物碳库优先依据已发布标准选择含碳率值，见附录；若缺乏适用的标准，则应依据LY/T 2259进行测定。通过以上方法，获得乔木、灌木、草本植物和水生植物的含碳率。</w:t>
      </w:r>
    </w:p>
    <w:p w14:paraId="16328ECD">
      <w:pPr>
        <w:pStyle w:val="60"/>
      </w:pPr>
      <w:r>
        <w:rPr>
          <w:rFonts w:hint="eastAsia"/>
        </w:rPr>
        <w:t>（2）土壤碳库优先选用重铬酸钾氧化—分光光度法；若对测定结果有更高精度要求，采用燃烧氧化—滴定法进行验证，具体执行HJ695。通过以上方法，获得土壤的含碳率。</w:t>
      </w:r>
    </w:p>
    <w:p w14:paraId="54192618">
      <w:pPr>
        <w:pStyle w:val="108"/>
        <w:spacing w:before="240" w:after="240" w:line="360" w:lineRule="auto"/>
        <w:rPr>
          <w:rFonts w:ascii="Times New Roman"/>
        </w:rPr>
      </w:pPr>
      <w:r>
        <w:rPr>
          <w:rFonts w:ascii="Times New Roman"/>
        </w:rPr>
        <w:t>计量方法</w:t>
      </w:r>
    </w:p>
    <w:p w14:paraId="02BE56B4">
      <w:pPr>
        <w:pStyle w:val="109"/>
        <w:rPr>
          <w:rFonts w:ascii="Times New Roman"/>
        </w:rPr>
      </w:pPr>
      <w:r>
        <w:rPr>
          <w:rFonts w:ascii="Times New Roman"/>
        </w:rPr>
        <w:t>湿地碳储量和湿地碳汇量</w:t>
      </w:r>
    </w:p>
    <w:p w14:paraId="6C039F4D">
      <w:pPr>
        <w:pStyle w:val="69"/>
        <w:ind w:firstLine="420" w:firstLineChars="200"/>
        <w:rPr>
          <w:rFonts w:ascii="Times New Roman"/>
        </w:rPr>
      </w:pPr>
      <w:r>
        <w:rPr>
          <w:rFonts w:ascii="Times New Roman"/>
        </w:rPr>
        <w:t>湿地碳储量</w:t>
      </w:r>
    </w:p>
    <w:p w14:paraId="203E75E1">
      <w:pPr>
        <w:rPr>
          <w:rFonts w:ascii="Times New Roman" w:hAnsi="Times New Roman"/>
        </w:rPr>
      </w:pPr>
      <w:r>
        <w:rPr>
          <w:rFonts w:ascii="Times New Roman" w:hAnsi="Times New Roman"/>
        </w:rPr>
        <w:t>将植被碳库、土壤碳库和水体碳库的碳储量相加后，得到湿地生态系统的总碳储量，采用以下公式计算：</w:t>
      </w:r>
    </w:p>
    <w:p w14:paraId="5806C944">
      <w:pPr>
        <w:rPr>
          <w:rFonts w:ascii="Times New Roman" w:hAnsi="Times New Roman"/>
        </w:rPr>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总</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P</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S</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W</m:t>
              </m:r>
              <m:ctrlPr>
                <w:rPr>
                  <w:rFonts w:ascii="Cambria Math" w:hAnsi="Cambria Math"/>
                  <w:i/>
                </w:rPr>
              </m:ctrlPr>
            </m:sub>
          </m:sSub>
        </m:oMath>
      </m:oMathPara>
    </w:p>
    <w:p w14:paraId="1356ED4C">
      <w:pPr>
        <w:rPr>
          <w:rFonts w:ascii="Times New Roman" w:hAnsi="Times New Roman"/>
        </w:rPr>
      </w:pPr>
      <w:r>
        <w:rPr>
          <w:rFonts w:ascii="Times New Roman" w:hAnsi="Times New Roman"/>
        </w:rPr>
        <w:t>式中：</w:t>
      </w:r>
    </w:p>
    <w:p w14:paraId="3872150E">
      <w:pPr>
        <w:rPr>
          <w:rFonts w:ascii="Times New Roman" w:hAnsi="Times New Roman"/>
        </w:rPr>
      </w:pPr>
      <w:r>
        <w:rPr>
          <w:rFonts w:ascii="Times New Roman" w:hAnsi="Times New Roman"/>
          <w:i/>
          <w:iCs/>
        </w:rPr>
        <w:t>C</w:t>
      </w:r>
      <w:r>
        <w:rPr>
          <w:rFonts w:ascii="Times New Roman" w:hAnsi="Times New Roman"/>
          <w:i/>
          <w:iCs/>
          <w:vertAlign w:val="subscript"/>
        </w:rPr>
        <w:t>总</w:t>
      </w:r>
      <w:r>
        <w:rPr>
          <w:rFonts w:ascii="Times New Roman" w:hAnsi="Times New Roman"/>
        </w:rPr>
        <w:t>——湿地总碳储量，单位为吨碳（tC）；</w:t>
      </w:r>
    </w:p>
    <w:p w14:paraId="40ED37AE">
      <w:pPr>
        <w:rPr>
          <w:rFonts w:ascii="Times New Roman" w:hAnsi="Times New Roman"/>
        </w:rPr>
      </w:pPr>
      <w:r>
        <w:rPr>
          <w:rFonts w:ascii="Times New Roman" w:hAnsi="Times New Roman"/>
          <w:i/>
          <w:iCs/>
        </w:rPr>
        <w:t>C</w:t>
      </w:r>
      <w:r>
        <w:rPr>
          <w:rFonts w:hint="eastAsia" w:ascii="Times New Roman" w:hAnsi="Times New Roman"/>
          <w:i/>
          <w:iCs/>
          <w:vertAlign w:val="subscript"/>
        </w:rPr>
        <w:t>P</w:t>
      </w:r>
      <w:r>
        <w:rPr>
          <w:rFonts w:ascii="Times New Roman" w:hAnsi="Times New Roman"/>
        </w:rPr>
        <w:t>——湿地植物碳储量，单位为吨碳（tC）；</w:t>
      </w:r>
    </w:p>
    <w:p w14:paraId="3DB800AC">
      <w:pPr>
        <w:rPr>
          <w:rFonts w:ascii="Times New Roman" w:hAnsi="Times New Roman"/>
        </w:rPr>
      </w:pPr>
      <w:r>
        <w:rPr>
          <w:rFonts w:ascii="Times New Roman" w:hAnsi="Times New Roman"/>
          <w:i/>
          <w:iCs/>
        </w:rPr>
        <w:t>C</w:t>
      </w:r>
      <w:r>
        <w:rPr>
          <w:rFonts w:hint="eastAsia" w:ascii="Times New Roman" w:hAnsi="Times New Roman"/>
          <w:i/>
          <w:iCs/>
          <w:vertAlign w:val="subscript"/>
        </w:rPr>
        <w:t>O</w:t>
      </w:r>
      <w:r>
        <w:rPr>
          <w:rFonts w:ascii="Times New Roman" w:hAnsi="Times New Roman"/>
        </w:rPr>
        <w:t>——湿地土壤碳储量，单位为吨碳（tC）；</w:t>
      </w:r>
    </w:p>
    <w:p w14:paraId="42CE342E">
      <w:pPr>
        <w:rPr>
          <w:rFonts w:ascii="Times New Roman" w:hAnsi="Times New Roman"/>
        </w:rPr>
      </w:pPr>
      <w:r>
        <w:rPr>
          <w:rFonts w:ascii="Times New Roman" w:hAnsi="Times New Roman"/>
          <w:i/>
          <w:iCs/>
        </w:rPr>
        <w:t>C</w:t>
      </w:r>
      <w:r>
        <w:rPr>
          <w:rFonts w:hint="eastAsia" w:ascii="Times New Roman" w:hAnsi="Times New Roman"/>
          <w:i/>
          <w:iCs/>
          <w:vertAlign w:val="subscript"/>
        </w:rPr>
        <w:t>W</w:t>
      </w:r>
      <w:r>
        <w:rPr>
          <w:rFonts w:ascii="Times New Roman" w:hAnsi="Times New Roman"/>
        </w:rPr>
        <w:t>——湿地水体碳储量，单位为吨碳（tC）。</w:t>
      </w:r>
    </w:p>
    <w:p w14:paraId="0D72D6BE">
      <w:pPr>
        <w:pStyle w:val="69"/>
        <w:ind w:firstLine="420" w:firstLineChars="200"/>
        <w:rPr>
          <w:rFonts w:ascii="Times New Roman"/>
        </w:rPr>
      </w:pPr>
      <w:r>
        <w:rPr>
          <w:rFonts w:ascii="Times New Roman"/>
        </w:rPr>
        <w:t>湿地碳汇量</w:t>
      </w:r>
    </w:p>
    <w:p w14:paraId="5A79001A">
      <w:pPr>
        <w:rPr>
          <w:rFonts w:ascii="Times New Roman" w:hAnsi="Times New Roman"/>
        </w:rPr>
      </w:pPr>
      <w:r>
        <w:rPr>
          <w:rFonts w:ascii="Times New Roman" w:hAnsi="Times New Roman"/>
        </w:rPr>
        <w:t>湿地碳汇量为统一地理范围内湿地自评估基准时间以来至开始监测时间内的湿地碳汇量，采用以下公式计算：</w:t>
      </w:r>
    </w:p>
    <w:p w14:paraId="0A007EF0">
      <w:pPr>
        <w:rPr>
          <w:rFonts w:ascii="Times New Roman" w:hAnsi="Times New Roman"/>
        </w:rPr>
      </w:pPr>
      <m:oMathPara>
        <m:oMath>
          <m:r>
            <m:rPr/>
            <w:rPr>
              <w:rFonts w:ascii="Cambria Math" w:hAnsi="Cambria Math"/>
            </w:rPr>
            <m:t>∆C=</m:t>
          </m:r>
          <m:f>
            <m:fPr>
              <m:ctrlPr>
                <w:rPr>
                  <w:rFonts w:ascii="Cambria Math" w:hAnsi="Cambria Math"/>
                  <w:i/>
                </w:rPr>
              </m:ctrlPr>
            </m:fPr>
            <m:num>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t2</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t1</m:t>
                  </m:r>
                  <m:ctrlPr>
                    <w:rPr>
                      <w:rFonts w:ascii="Cambria Math" w:hAnsi="Cambria Math"/>
                      <w:i/>
                    </w:rPr>
                  </m:ctrlPr>
                </m:sub>
              </m:sSub>
              <m:ctrlPr>
                <w:rPr>
                  <w:rFonts w:ascii="Cambria Math" w:hAnsi="Cambria Math"/>
                  <w:i/>
                </w:rPr>
              </m:ctrlPr>
            </m:num>
            <m:den>
              <m:sSub>
                <m:sSubPr>
                  <m:ctrlPr>
                    <w:rPr>
                      <w:rFonts w:ascii="Cambria Math" w:hAnsi="Cambria Math"/>
                      <w:i/>
                    </w:rPr>
                  </m:ctrlPr>
                </m:sSubPr>
                <m:e>
                  <m:r>
                    <m:rPr/>
                    <w:rPr>
                      <w:rFonts w:ascii="Cambria Math" w:hAnsi="Cambria Math"/>
                    </w:rPr>
                    <m:t>t</m:t>
                  </m:r>
                  <m:ctrlPr>
                    <w:rPr>
                      <w:rFonts w:ascii="Cambria Math" w:hAnsi="Cambria Math"/>
                      <w:i/>
                    </w:rPr>
                  </m:ctrlPr>
                </m:e>
                <m:sub>
                  <m:r>
                    <m:rPr/>
                    <w:rPr>
                      <w:rFonts w:ascii="Cambria Math" w:hAnsi="Cambria Math"/>
                    </w:rPr>
                    <m:t>2</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t</m:t>
                  </m:r>
                  <m:ctrlPr>
                    <w:rPr>
                      <w:rFonts w:ascii="Cambria Math" w:hAnsi="Cambria Math"/>
                      <w:i/>
                    </w:rPr>
                  </m:ctrlPr>
                </m:e>
                <m:sub>
                  <m:r>
                    <m:rPr/>
                    <w:rPr>
                      <w:rFonts w:ascii="Cambria Math" w:hAnsi="Cambria Math"/>
                    </w:rPr>
                    <m:t>1</m:t>
                  </m:r>
                  <m:ctrlPr>
                    <w:rPr>
                      <w:rFonts w:ascii="Cambria Math" w:hAnsi="Cambria Math"/>
                      <w:i/>
                    </w:rPr>
                  </m:ctrlPr>
                </m:sub>
              </m:sSub>
              <m:ctrlPr>
                <w:rPr>
                  <w:rFonts w:ascii="Cambria Math" w:hAnsi="Cambria Math"/>
                  <w:i/>
                </w:rPr>
              </m:ctrlPr>
            </m:den>
          </m:f>
        </m:oMath>
      </m:oMathPara>
    </w:p>
    <w:p w14:paraId="36049BE0">
      <w:pPr>
        <w:rPr>
          <w:rFonts w:ascii="Times New Roman" w:hAnsi="Times New Roman"/>
        </w:rPr>
      </w:pPr>
      <w:r>
        <w:rPr>
          <w:rFonts w:ascii="Times New Roman" w:hAnsi="Times New Roman"/>
        </w:rPr>
        <w:t>式中：</w:t>
      </w:r>
      <w:r>
        <w:rPr>
          <w:rFonts w:ascii="Times New Roman" w:hAnsi="Times New Roman"/>
          <w:i/>
          <w:iCs/>
        </w:rPr>
        <w:t>ΔC</w:t>
      </w:r>
      <w:r>
        <w:rPr>
          <w:rFonts w:ascii="Times New Roman" w:hAnsi="Times New Roman"/>
        </w:rPr>
        <w:t>——为t</w:t>
      </w:r>
      <w:r>
        <w:rPr>
          <w:rFonts w:ascii="Times New Roman" w:hAnsi="Times New Roman"/>
          <w:vertAlign w:val="subscript"/>
        </w:rPr>
        <w:t>2</w:t>
      </w:r>
      <w:r>
        <w:rPr>
          <w:rFonts w:ascii="Times New Roman" w:hAnsi="Times New Roman"/>
        </w:rPr>
        <w:t>和t</w:t>
      </w:r>
      <w:r>
        <w:rPr>
          <w:rFonts w:ascii="Times New Roman" w:hAnsi="Times New Roman"/>
          <w:vertAlign w:val="subscript"/>
        </w:rPr>
        <w:t>1</w:t>
      </w:r>
      <w:r>
        <w:rPr>
          <w:rFonts w:ascii="Times New Roman" w:hAnsi="Times New Roman"/>
        </w:rPr>
        <w:t>两个时间点年平均碳汇，单位为吨每公顷每年（t/ a）；</w:t>
      </w:r>
    </w:p>
    <w:p w14:paraId="07B7248D">
      <w:pPr>
        <w:ind w:firstLine="1050" w:firstLineChars="500"/>
        <w:rPr>
          <w:rFonts w:ascii="Times New Roman" w:hAnsi="Times New Roman"/>
        </w:rPr>
      </w:pPr>
      <w:r>
        <w:rPr>
          <w:rFonts w:ascii="Times New Roman" w:hAnsi="Times New Roman"/>
          <w:i/>
          <w:iCs/>
        </w:rPr>
        <w:t>C</w:t>
      </w:r>
      <w:r>
        <w:rPr>
          <w:rFonts w:ascii="Times New Roman" w:hAnsi="Times New Roman"/>
          <w:i/>
          <w:iCs/>
          <w:vertAlign w:val="subscript"/>
        </w:rPr>
        <w:t>t2</w:t>
      </w:r>
      <w:r>
        <w:rPr>
          <w:rFonts w:ascii="Times New Roman" w:hAnsi="Times New Roman"/>
        </w:rPr>
        <w:t>——为面积为S的湿地在当年调查样地的碳储量，单位为吨（t）；</w:t>
      </w:r>
    </w:p>
    <w:p w14:paraId="763F6340">
      <w:pPr>
        <w:ind w:firstLine="1050" w:firstLineChars="500"/>
        <w:rPr>
          <w:rFonts w:ascii="Times New Roman" w:hAnsi="Times New Roman"/>
        </w:rPr>
      </w:pPr>
      <w:r>
        <w:rPr>
          <w:rFonts w:ascii="Times New Roman" w:hAnsi="Times New Roman"/>
          <w:i/>
          <w:iCs/>
        </w:rPr>
        <w:t>C</w:t>
      </w:r>
      <w:r>
        <w:rPr>
          <w:rFonts w:ascii="Times New Roman" w:hAnsi="Times New Roman"/>
          <w:i/>
          <w:iCs/>
          <w:vertAlign w:val="subscript"/>
        </w:rPr>
        <w:t>t1</w:t>
      </w:r>
      <w:r>
        <w:rPr>
          <w:rFonts w:ascii="Times New Roman" w:hAnsi="Times New Roman"/>
        </w:rPr>
        <w:t>——为面积为S的湿地在基年调查样地的碳储量，单位为吨（t）；</w:t>
      </w:r>
    </w:p>
    <w:p w14:paraId="4236D481">
      <w:pPr>
        <w:ind w:firstLine="1050" w:firstLineChars="500"/>
        <w:rPr>
          <w:rFonts w:ascii="Times New Roman" w:hAnsi="Times New Roman"/>
        </w:rPr>
      </w:pPr>
      <w:r>
        <w:rPr>
          <w:rFonts w:ascii="Times New Roman" w:hAnsi="Times New Roman"/>
          <w:i/>
          <w:iCs/>
        </w:rPr>
        <w:t>t</w:t>
      </w:r>
      <w:r>
        <w:rPr>
          <w:rFonts w:ascii="Times New Roman" w:hAnsi="Times New Roman"/>
          <w:i/>
          <w:iCs/>
          <w:vertAlign w:val="subscript"/>
        </w:rPr>
        <w:t>2</w:t>
      </w:r>
      <w:r>
        <w:rPr>
          <w:rFonts w:ascii="Times New Roman" w:hAnsi="Times New Roman"/>
          <w:i/>
          <w:iCs/>
          <w:vertAlign w:val="subscript"/>
        </w:rPr>
        <w:tab/>
      </w:r>
      <w:r>
        <w:rPr>
          <w:rFonts w:ascii="Times New Roman" w:hAnsi="Times New Roman"/>
        </w:rPr>
        <w:t>——为当年调查的年份，单位为年（a）；</w:t>
      </w:r>
    </w:p>
    <w:p w14:paraId="7210C30E">
      <w:pPr>
        <w:ind w:firstLine="1050" w:firstLineChars="500"/>
        <w:rPr>
          <w:rFonts w:ascii="Times New Roman" w:hAnsi="Times New Roman"/>
        </w:rPr>
      </w:pPr>
      <w:r>
        <w:rPr>
          <w:rFonts w:ascii="Times New Roman" w:hAnsi="Times New Roman"/>
          <w:i/>
          <w:iCs/>
        </w:rPr>
        <w:t>t</w:t>
      </w:r>
      <w:r>
        <w:rPr>
          <w:rFonts w:ascii="Times New Roman" w:hAnsi="Times New Roman"/>
          <w:i/>
          <w:iCs/>
          <w:vertAlign w:val="subscript"/>
        </w:rPr>
        <w:t>1</w:t>
      </w:r>
      <w:r>
        <w:rPr>
          <w:rFonts w:ascii="Times New Roman" w:hAnsi="Times New Roman"/>
          <w:i/>
          <w:iCs/>
          <w:vertAlign w:val="subscript"/>
        </w:rPr>
        <w:tab/>
      </w:r>
      <w:r>
        <w:rPr>
          <w:rFonts w:ascii="Times New Roman" w:hAnsi="Times New Roman"/>
        </w:rPr>
        <w:t>——为基年调查的年份，单位为年（a）。</w:t>
      </w:r>
    </w:p>
    <w:p w14:paraId="6F05C6C6">
      <w:pPr>
        <w:pStyle w:val="109"/>
        <w:rPr>
          <w:rFonts w:ascii="Times New Roman"/>
        </w:rPr>
      </w:pPr>
      <w:r>
        <w:rPr>
          <w:rFonts w:ascii="Times New Roman"/>
        </w:rPr>
        <w:t>植被碳储量</w:t>
      </w:r>
    </w:p>
    <w:p w14:paraId="2388B91D">
      <w:pPr>
        <w:pStyle w:val="60"/>
      </w:pPr>
      <w:r>
        <w:t>植被碳库总碳储量是各植被类型碳库的碳储量之和，采用以下公式计算：</w:t>
      </w:r>
    </w:p>
    <w:p w14:paraId="658DF794">
      <w:pPr>
        <w:pStyle w:val="60"/>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P</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T</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H</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A</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L</m:t>
              </m:r>
              <m:ctrlPr>
                <w:rPr>
                  <w:rFonts w:ascii="Cambria Math" w:hAnsi="Cambria Math"/>
                  <w:i/>
                </w:rPr>
              </m:ctrlPr>
            </m:sub>
          </m:sSub>
        </m:oMath>
      </m:oMathPara>
    </w:p>
    <w:p w14:paraId="6FFF21C7">
      <w:pPr>
        <w:pStyle w:val="60"/>
      </w:pPr>
      <w:r>
        <w:t>式中，</w:t>
      </w:r>
      <w:r>
        <w:rPr>
          <w:i/>
          <w:iCs/>
        </w:rPr>
        <w:t>C</w:t>
      </w:r>
      <w:r>
        <w:rPr>
          <w:rFonts w:hint="eastAsia"/>
          <w:i/>
          <w:iCs/>
          <w:vertAlign w:val="subscript"/>
        </w:rPr>
        <w:t>P</w:t>
      </w:r>
      <w:r>
        <w:t>——为湿地植物总碳储量，单位为吨碳（t C）；</w:t>
      </w:r>
    </w:p>
    <w:p w14:paraId="45198A93">
      <w:pPr>
        <w:pStyle w:val="60"/>
        <w:ind w:firstLine="1050" w:firstLineChars="500"/>
      </w:pPr>
      <w:r>
        <w:rPr>
          <w:i/>
          <w:iCs/>
        </w:rPr>
        <w:t>C</w:t>
      </w:r>
      <w:r>
        <w:rPr>
          <w:i/>
          <w:iCs/>
          <w:vertAlign w:val="subscript"/>
        </w:rPr>
        <w:t>T</w:t>
      </w:r>
      <w:r>
        <w:t>——为湿地乔木层碳储量，单位为吨碳（t C）；</w:t>
      </w:r>
    </w:p>
    <w:p w14:paraId="62698962">
      <w:pPr>
        <w:pStyle w:val="60"/>
        <w:ind w:firstLine="1050" w:firstLineChars="500"/>
      </w:pPr>
      <w:r>
        <w:rPr>
          <w:i/>
          <w:iCs/>
        </w:rPr>
        <w:t>C</w:t>
      </w:r>
      <w:r>
        <w:rPr>
          <w:i/>
          <w:iCs/>
          <w:vertAlign w:val="subscript"/>
        </w:rPr>
        <w:t>B</w:t>
      </w:r>
      <w:r>
        <w:t>——为湿地灌木丛碳储量，单位为吨碳（t C）；</w:t>
      </w:r>
    </w:p>
    <w:p w14:paraId="73008826">
      <w:pPr>
        <w:pStyle w:val="60"/>
        <w:ind w:firstLine="1050" w:firstLineChars="500"/>
      </w:pPr>
      <w:r>
        <w:rPr>
          <w:i/>
          <w:iCs/>
        </w:rPr>
        <w:t>C</w:t>
      </w:r>
      <w:r>
        <w:rPr>
          <w:i/>
          <w:iCs/>
          <w:vertAlign w:val="subscript"/>
        </w:rPr>
        <w:t>H</w:t>
      </w:r>
      <w:r>
        <w:t>——为湿地草本层碳储量，单位为吨碳（t C）；</w:t>
      </w:r>
    </w:p>
    <w:p w14:paraId="0AB6CE95">
      <w:pPr>
        <w:pStyle w:val="60"/>
        <w:ind w:firstLine="1050" w:firstLineChars="500"/>
      </w:pPr>
      <w:r>
        <w:rPr>
          <w:i/>
          <w:iCs/>
        </w:rPr>
        <w:t>C</w:t>
      </w:r>
      <w:r>
        <w:rPr>
          <w:i/>
          <w:iCs/>
          <w:vertAlign w:val="subscript"/>
        </w:rPr>
        <w:t>A</w:t>
      </w:r>
      <w:r>
        <w:t>——为湿地水生植物碳储量，单位为吨碳（t C）；</w:t>
      </w:r>
    </w:p>
    <w:p w14:paraId="7A3A7E34">
      <w:pPr>
        <w:pStyle w:val="60"/>
        <w:ind w:firstLine="1050" w:firstLineChars="500"/>
      </w:pPr>
      <w:r>
        <w:rPr>
          <w:i/>
          <w:iCs/>
        </w:rPr>
        <w:t>C</w:t>
      </w:r>
      <w:r>
        <w:rPr>
          <w:i/>
          <w:iCs/>
          <w:vertAlign w:val="subscript"/>
        </w:rPr>
        <w:t>L</w:t>
      </w:r>
      <w:r>
        <w:t>——为湿地枯落物碳储量，单位为吨碳（t C）。</w:t>
      </w:r>
    </w:p>
    <w:p w14:paraId="4BA79842">
      <w:pPr>
        <w:pStyle w:val="69"/>
        <w:ind w:firstLine="420" w:firstLineChars="200"/>
        <w:rPr>
          <w:rFonts w:ascii="Times New Roman"/>
        </w:rPr>
      </w:pPr>
      <w:r>
        <w:rPr>
          <w:rFonts w:ascii="Times New Roman"/>
        </w:rPr>
        <w:t>乔木层</w:t>
      </w:r>
    </w:p>
    <w:p w14:paraId="2A6EB486">
      <w:pPr>
        <w:pStyle w:val="60"/>
      </w:pPr>
      <w:r>
        <w:t>（1）地上生物量</w:t>
      </w:r>
    </w:p>
    <w:p w14:paraId="16EF86AD">
      <w:pPr>
        <w:pStyle w:val="60"/>
      </w:pPr>
      <w:r>
        <w:t>湿地乔木层碳储量应根据调查获得不同树种的胸径、树高数据之后，参见</w:t>
      </w:r>
      <w:r>
        <w:rPr>
          <w:highlight w:val="yellow"/>
        </w:rPr>
        <w:t>附录B</w:t>
      </w:r>
      <w:r>
        <w:t>中所列的乔木树种生物量异速生长方程计算生物量，采用以下公式计算：</w:t>
      </w:r>
    </w:p>
    <w:p w14:paraId="7B1EE03C">
      <w:pPr>
        <w:pStyle w:val="60"/>
      </w:pPr>
      <m:oMathPara>
        <m:oMath>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T</m:t>
              </m:r>
              <m:ctrlPr>
                <w:rPr>
                  <w:rFonts w:ascii="Cambria Math" w:hAnsi="Cambria Math"/>
                  <w:i/>
                </w:rPr>
              </m:ctrlPr>
            </m:sub>
          </m:sSub>
          <m:r>
            <m:rPr/>
            <w:rPr>
              <w:rFonts w:ascii="Cambria Math" w:hAnsi="Cambria Math"/>
            </w:rPr>
            <m:t>=a</m:t>
          </m:r>
          <m:sSup>
            <m:sSupPr>
              <m:ctrlPr>
                <w:rPr>
                  <w:rFonts w:ascii="Cambria Math" w:hAnsi="Cambria Math"/>
                  <w:i/>
                </w:rPr>
              </m:ctrlPr>
            </m:sSupPr>
            <m:e>
              <m:r>
                <m:rPr/>
                <w:rPr>
                  <w:rFonts w:ascii="Cambria Math" w:hAnsi="Cambria Math"/>
                </w:rPr>
                <m:t>D</m:t>
              </m:r>
              <m:ctrlPr>
                <w:rPr>
                  <w:rFonts w:ascii="Cambria Math" w:hAnsi="Cambria Math"/>
                  <w:i/>
                </w:rPr>
              </m:ctrlPr>
            </m:e>
            <m:sup>
              <m:r>
                <m:rPr/>
                <w:rPr>
                  <w:rFonts w:ascii="Cambria Math" w:hAnsi="Cambria Math"/>
                </w:rPr>
                <m:t>b</m:t>
              </m:r>
              <m:ctrlPr>
                <w:rPr>
                  <w:rFonts w:ascii="Cambria Math" w:hAnsi="Cambria Math"/>
                  <w:i/>
                </w:rPr>
              </m:ctrlPr>
            </m:sup>
          </m:sSup>
        </m:oMath>
      </m:oMathPara>
    </w:p>
    <w:p w14:paraId="59ED8581">
      <w:pPr>
        <w:pStyle w:val="60"/>
      </w:pPr>
      <w:r>
        <w:t>或</w:t>
      </w:r>
    </w:p>
    <w:p w14:paraId="2E342271">
      <w:pPr>
        <w:pStyle w:val="60"/>
      </w:pPr>
      <m:oMathPara>
        <m:oMath>
          <m:r>
            <m:rPr/>
            <w:rPr>
              <w:rFonts w:ascii="Cambria Math" w:hAnsi="Cambria Math"/>
            </w:rPr>
            <m:t>AG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T</m:t>
              </m:r>
              <m:ctrlPr>
                <w:rPr>
                  <w:rFonts w:ascii="Cambria Math" w:hAnsi="Cambria Math"/>
                  <w:i/>
                </w:rPr>
              </m:ctrlPr>
            </m:sub>
          </m:sSub>
          <m:r>
            <m:rPr/>
            <w:rPr>
              <w:rFonts w:ascii="Cambria Math" w:hAnsi="Cambria Math"/>
            </w:rPr>
            <m:t>=a</m:t>
          </m:r>
          <m:sSup>
            <m:sSupPr>
              <m:ctrlPr>
                <w:rPr>
                  <w:rFonts w:ascii="Cambria Math" w:hAnsi="Cambria Math"/>
                  <w:i/>
                </w:rPr>
              </m:ctrlPr>
            </m:sSupPr>
            <m:e>
              <m:d>
                <m:dPr>
                  <m:ctrlPr>
                    <w:rPr>
                      <w:rFonts w:ascii="Cambria Math" w:hAnsi="Cambria Math"/>
                      <w:i/>
                    </w:rPr>
                  </m:ctrlPr>
                </m:dPr>
                <m:e>
                  <m:sSup>
                    <m:sSupPr>
                      <m:ctrlPr>
                        <w:rPr>
                          <w:rFonts w:ascii="Cambria Math" w:hAnsi="Cambria Math"/>
                          <w:i/>
                        </w:rPr>
                      </m:ctrlPr>
                    </m:sSupPr>
                    <m:e>
                      <m:r>
                        <m:rPr/>
                        <w:rPr>
                          <w:rFonts w:ascii="Cambria Math" w:hAnsi="Cambria Math"/>
                        </w:rPr>
                        <m:t>D</m:t>
                      </m:r>
                      <m:ctrlPr>
                        <w:rPr>
                          <w:rFonts w:ascii="Cambria Math" w:hAnsi="Cambria Math"/>
                          <w:i/>
                        </w:rPr>
                      </m:ctrlPr>
                    </m:e>
                    <m:sup>
                      <m:r>
                        <m:rPr/>
                        <w:rPr>
                          <w:rFonts w:ascii="Cambria Math" w:hAnsi="Cambria Math"/>
                        </w:rPr>
                        <m:t>2</m:t>
                      </m:r>
                      <m:ctrlPr>
                        <w:rPr>
                          <w:rFonts w:ascii="Cambria Math" w:hAnsi="Cambria Math"/>
                          <w:i/>
                        </w:rPr>
                      </m:ctrlPr>
                    </m:sup>
                  </m:sSup>
                  <m:r>
                    <m:rPr/>
                    <w:rPr>
                      <w:rFonts w:ascii="Cambria Math" w:hAnsi="Cambria Math"/>
                    </w:rPr>
                    <m:t>H</m:t>
                  </m:r>
                  <m:ctrlPr>
                    <w:rPr>
                      <w:rFonts w:ascii="Cambria Math" w:hAnsi="Cambria Math"/>
                      <w:i/>
                    </w:rPr>
                  </m:ctrlPr>
                </m:e>
              </m:d>
              <m:ctrlPr>
                <w:rPr>
                  <w:rFonts w:ascii="Cambria Math" w:hAnsi="Cambria Math"/>
                  <w:i/>
                </w:rPr>
              </m:ctrlPr>
            </m:e>
            <m:sup>
              <m:r>
                <m:rPr/>
                <w:rPr>
                  <w:rFonts w:ascii="Cambria Math" w:hAnsi="Cambria Math"/>
                </w:rPr>
                <m:t>b</m:t>
              </m:r>
              <m:ctrlPr>
                <w:rPr>
                  <w:rFonts w:ascii="Cambria Math" w:hAnsi="Cambria Math"/>
                  <w:i/>
                </w:rPr>
              </m:ctrlPr>
            </m:sup>
          </m:sSup>
        </m:oMath>
      </m:oMathPara>
    </w:p>
    <w:p w14:paraId="2D6A6A6F">
      <w:pPr>
        <w:pStyle w:val="60"/>
      </w:pPr>
      <w:r>
        <w:t>式中，</w:t>
      </w:r>
      <w:r>
        <w:rPr>
          <w:rFonts w:hint="eastAsia"/>
          <w:i/>
          <w:iCs/>
        </w:rPr>
        <w:t>AGB</w:t>
      </w:r>
      <w:r>
        <w:rPr>
          <w:rFonts w:hint="eastAsia"/>
          <w:i/>
          <w:iCs/>
          <w:vertAlign w:val="subscript"/>
        </w:rPr>
        <w:t>T</w:t>
      </w:r>
      <w:r>
        <w:t>——乔木层地上生物量，单位为吨（t）；</w:t>
      </w:r>
    </w:p>
    <w:p w14:paraId="480D6222">
      <w:pPr>
        <w:pStyle w:val="60"/>
        <w:ind w:firstLine="1050" w:firstLineChars="500"/>
      </w:pPr>
      <w:r>
        <w:rPr>
          <w:i/>
          <w:iCs/>
        </w:rPr>
        <w:t>D</w:t>
      </w:r>
      <w:r>
        <w:t>——胸径，单位为厘米（cm）；</w:t>
      </w:r>
    </w:p>
    <w:p w14:paraId="0235812F">
      <w:pPr>
        <w:pStyle w:val="60"/>
        <w:ind w:firstLine="1050" w:firstLineChars="500"/>
      </w:pPr>
      <w:r>
        <w:rPr>
          <w:i/>
          <w:iCs/>
        </w:rPr>
        <w:t>H</w:t>
      </w:r>
      <w:r>
        <w:t>——树高，单位为米（m）；</w:t>
      </w:r>
    </w:p>
    <w:p w14:paraId="5ABFA60A">
      <w:pPr>
        <w:pStyle w:val="60"/>
        <w:ind w:firstLine="1050" w:firstLineChars="500"/>
      </w:pPr>
      <w:r>
        <w:rPr>
          <w:i/>
          <w:iCs/>
        </w:rPr>
        <w:t>a、b</w:t>
      </w:r>
      <w:r>
        <w:t>——</w:t>
      </w:r>
      <w:r>
        <w:rPr>
          <w:rFonts w:hint="eastAsia"/>
        </w:rPr>
        <w:t>为拟合</w:t>
      </w:r>
      <w:r>
        <w:t>常数，见</w:t>
      </w:r>
      <w:r>
        <w:rPr>
          <w:highlight w:val="yellow"/>
        </w:rPr>
        <w:t>表B.1</w:t>
      </w:r>
      <w:r>
        <w:t>。</w:t>
      </w:r>
    </w:p>
    <w:p w14:paraId="2E195F8D">
      <w:pPr>
        <w:pStyle w:val="60"/>
      </w:pPr>
      <w:r>
        <w:t>（2）地下生物量</w:t>
      </w:r>
    </w:p>
    <w:p w14:paraId="711F810A">
      <w:pPr>
        <w:pStyle w:val="60"/>
      </w:pPr>
      <w:r>
        <w:t>乔木层地下生物量计量通常采用</w:t>
      </w:r>
      <w:r>
        <w:rPr>
          <w:highlight w:val="yellow"/>
        </w:rPr>
        <w:t>附录C</w:t>
      </w:r>
      <w:r>
        <w:t>中所列的地下部分和地上部分生物量换算关系（根茎比）作近似计算。</w:t>
      </w:r>
      <w:r>
        <w:rPr>
          <w:rFonts w:hint="eastAsia"/>
        </w:rPr>
        <w:t>具体</w:t>
      </w:r>
      <w:r>
        <w:t>计算公式如下：</w:t>
      </w:r>
    </w:p>
    <w:p w14:paraId="730B9F02">
      <w:pPr>
        <w:pStyle w:val="60"/>
      </w:pPr>
      <m:oMathPara>
        <m:oMath>
          <m:sSub>
            <m:sSubPr>
              <m:ctrlPr>
                <w:rPr>
                  <w:rFonts w:ascii="Cambria Math" w:hAnsi="Cambria Math"/>
                  <w:i/>
                </w:rPr>
              </m:ctrlPr>
            </m:sSubPr>
            <m:e>
              <m:r>
                <m:rPr/>
                <w:rPr>
                  <w:rFonts w:ascii="Cambria Math" w:hAnsi="Cambria Math"/>
                </w:rPr>
                <m:t>BGB</m:t>
              </m:r>
              <m:ctrlPr>
                <w:rPr>
                  <w:rFonts w:ascii="Cambria Math" w:hAnsi="Cambria Math"/>
                  <w:i/>
                </w:rPr>
              </m:ctrlPr>
            </m:e>
            <m:sub>
              <m:r>
                <m:rPr/>
                <w:rPr>
                  <w:rFonts w:ascii="Cambria Math" w:hAnsi="Cambria Math"/>
                </w:rPr>
                <m:t>T</m:t>
              </m:r>
              <m:ctrlPr>
                <w:rPr>
                  <w:rFonts w:ascii="Cambria Math" w:hAnsi="Cambria Math"/>
                  <w:i/>
                </w:rPr>
              </m:ctrlPr>
            </m:sub>
          </m:sSub>
          <m:r>
            <m:rPr/>
            <w:rPr>
              <w:rFonts w:ascii="Cambria Math" w:hAnsi="Cambria Math"/>
            </w:rPr>
            <m:t>=AG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T</m:t>
              </m:r>
              <m:ctrlPr>
                <w:rPr>
                  <w:rFonts w:ascii="Cambria Math" w:hAnsi="Cambria Math"/>
                  <w:i/>
                </w:rPr>
              </m:ctrlPr>
            </m:sub>
          </m:sSub>
          <m:r>
            <m:rPr/>
            <w:rPr>
              <w:rFonts w:ascii="Cambria Math" w:hAnsi="Cambria Math"/>
            </w:rPr>
            <m:t>∙</m:t>
          </m:r>
          <m:f>
            <m:fPr>
              <m:ctrlPr>
                <w:rPr>
                  <w:rFonts w:ascii="Cambria Math" w:hAnsi="Cambria Math"/>
                  <w:i/>
                </w:rPr>
              </m:ctrlPr>
            </m:fPr>
            <m:num>
              <m:r>
                <m:rPr/>
                <w:rPr>
                  <w:rFonts w:ascii="Cambria Math" w:hAnsi="Cambria Math"/>
                </w:rPr>
                <m:t>R</m:t>
              </m:r>
              <m:ctrlPr>
                <w:rPr>
                  <w:rFonts w:ascii="Cambria Math" w:hAnsi="Cambria Math"/>
                  <w:i/>
                </w:rPr>
              </m:ctrlPr>
            </m:num>
            <m:den>
              <m:r>
                <m:rPr/>
                <w:rPr>
                  <w:rFonts w:ascii="Cambria Math" w:hAnsi="Cambria Math"/>
                </w:rPr>
                <m:t>S</m:t>
              </m:r>
              <m:ctrlPr>
                <w:rPr>
                  <w:rFonts w:ascii="Cambria Math" w:hAnsi="Cambria Math"/>
                  <w:i/>
                </w:rPr>
              </m:ctrlPr>
            </m:den>
          </m:f>
        </m:oMath>
      </m:oMathPara>
    </w:p>
    <w:p w14:paraId="7C6C9F8D">
      <w:pPr>
        <w:pStyle w:val="60"/>
      </w:pPr>
      <w:r>
        <w:t>式中，</w:t>
      </w:r>
      <w:r>
        <w:rPr>
          <w:rFonts w:hint="eastAsia"/>
          <w:i/>
          <w:iCs/>
        </w:rPr>
        <w:t>BGB</w:t>
      </w:r>
      <w:r>
        <w:rPr>
          <w:i/>
          <w:iCs/>
          <w:vertAlign w:val="subscript"/>
        </w:rPr>
        <w:t>T</w:t>
      </w:r>
      <w:r>
        <w:t>——</w:t>
      </w:r>
      <w:r>
        <w:rPr>
          <w:rFonts w:hint="eastAsia"/>
        </w:rPr>
        <w:t>乔木层</w:t>
      </w:r>
      <w:r>
        <w:t>地下生物量，单位为吨（t）；</w:t>
      </w:r>
    </w:p>
    <w:p w14:paraId="00CC87E9">
      <w:pPr>
        <w:pStyle w:val="60"/>
        <w:ind w:firstLine="1050" w:firstLineChars="500"/>
      </w:pPr>
      <w:r>
        <w:rPr>
          <w:rFonts w:hint="eastAsia"/>
          <w:i/>
          <w:iCs/>
        </w:rPr>
        <w:t>R/S</w:t>
      </w:r>
      <w:r>
        <w:t>——</w:t>
      </w:r>
      <w:r>
        <w:rPr>
          <w:rFonts w:hint="eastAsia"/>
        </w:rPr>
        <w:t>乔木层的</w:t>
      </w:r>
      <w:r>
        <w:t>树木根茎比。</w:t>
      </w:r>
    </w:p>
    <w:p w14:paraId="09D1170A">
      <w:pPr>
        <w:pStyle w:val="60"/>
      </w:pPr>
      <w:r>
        <w:rPr>
          <w:rFonts w:hint="eastAsia"/>
        </w:rPr>
        <w:t>因此，乔木层总生物量的具体计算公式如下：</w:t>
      </w:r>
    </w:p>
    <w:p w14:paraId="62ED5606">
      <w:pPr>
        <w:pStyle w:val="60"/>
      </w:pPr>
      <m:oMathPara>
        <m:oMath>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T</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T</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BGB</m:t>
              </m:r>
              <m:ctrlPr>
                <w:rPr>
                  <w:rFonts w:ascii="Cambria Math" w:hAnsi="Cambria Math"/>
                  <w:i/>
                </w:rPr>
              </m:ctrlPr>
            </m:e>
            <m:sub>
              <m:r>
                <m:rPr/>
                <w:rPr>
                  <w:rFonts w:ascii="Cambria Math" w:hAnsi="Cambria Math"/>
                </w:rPr>
                <m:t>T</m:t>
              </m:r>
              <m:ctrlPr>
                <w:rPr>
                  <w:rFonts w:ascii="Cambria Math" w:hAnsi="Cambria Math"/>
                  <w:i/>
                </w:rPr>
              </m:ctrlPr>
            </m:sub>
          </m:sSub>
        </m:oMath>
      </m:oMathPara>
    </w:p>
    <w:p w14:paraId="49AD7923">
      <w:pPr>
        <w:pStyle w:val="60"/>
      </w:pPr>
      <w:r>
        <w:rPr>
          <w:rFonts w:hint="eastAsia"/>
        </w:rPr>
        <w:t>式中，</w:t>
      </w:r>
      <w:r>
        <w:rPr>
          <w:rFonts w:hint="eastAsia"/>
          <w:i/>
          <w:iCs/>
        </w:rPr>
        <w:t>B</w:t>
      </w:r>
      <w:r>
        <w:rPr>
          <w:i/>
          <w:iCs/>
          <w:vertAlign w:val="subscript"/>
        </w:rPr>
        <w:t>T</w:t>
      </w:r>
      <w:r>
        <w:t>——</w:t>
      </w:r>
      <w:r>
        <w:rPr>
          <w:rFonts w:hint="eastAsia"/>
        </w:rPr>
        <w:t>为乔木层总生物量，单位为吨（t）。</w:t>
      </w:r>
    </w:p>
    <w:p w14:paraId="504858A4">
      <w:pPr>
        <w:pStyle w:val="60"/>
      </w:pPr>
      <w:r>
        <w:t>（3）碳储量</w:t>
      </w:r>
    </w:p>
    <w:p w14:paraId="46EF6F65">
      <w:pPr>
        <w:pStyle w:val="60"/>
      </w:pPr>
      <w:r>
        <w:t>乔木层的碳储量为乔木层各树种地上生物量与地下生物量之和与其含碳率的乘积，计算公式如下：</w:t>
      </w:r>
    </w:p>
    <w:p w14:paraId="3A824FE0">
      <w:pPr>
        <w:pStyle w:val="60"/>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T</m:t>
              </m:r>
              <m:ctrlPr>
                <w:rPr>
                  <w:rFonts w:ascii="Cambria Math" w:hAnsi="Cambria Math"/>
                  <w:i/>
                </w:rPr>
              </m:ctrlPr>
            </m:sub>
          </m:sSub>
          <m:r>
            <m:rPr/>
            <w:rPr>
              <w:rFonts w:ascii="Cambria Math" w:hAnsi="Cambria Math"/>
            </w:rPr>
            <m:t>=</m:t>
          </m:r>
          <m:nary>
            <m:naryPr>
              <m:chr m:val="∑"/>
              <m:limLoc m:val="undOvr"/>
              <m:ctrlPr>
                <w:rPr>
                  <w:rFonts w:ascii="Cambria Math" w:hAnsi="Cambria Math"/>
                  <w:i/>
                </w:rPr>
              </m:ctrlPr>
            </m:naryPr>
            <m:sub>
              <m:r>
                <m:rPr/>
                <w:rPr>
                  <w:rFonts w:hint="eastAsia" w:ascii="Cambria Math" w:hAnsi="Cambria Math"/>
                </w:rPr>
                <m:t>i</m:t>
              </m:r>
              <m:r>
                <m:rPr/>
                <w:rPr>
                  <w:rFonts w:ascii="Cambria Math" w:hAnsi="Cambria Math"/>
                </w:rPr>
                <m:t>=1</m:t>
              </m:r>
              <m:ctrlPr>
                <w:rPr>
                  <w:rFonts w:ascii="Cambria Math" w:hAnsi="Cambria Math"/>
                  <w:i/>
                </w:rPr>
              </m:ctrlPr>
            </m:sub>
            <m:sup>
              <m:r>
                <m:rPr/>
                <w:rPr>
                  <w:rFonts w:hint="eastAsia" w:ascii="Cambria Math" w:hAnsi="Cambria Math"/>
                </w:rPr>
                <m:t>n</m:t>
              </m:r>
              <m:ctrlPr>
                <w:rPr>
                  <w:rFonts w:ascii="Cambria Math" w:hAnsi="Cambria Math"/>
                  <w:i/>
                </w:rPr>
              </m:ctrlPr>
            </m:sup>
            <m:e>
              <m:sSub>
                <m:sSubPr>
                  <m:ctrlPr>
                    <w:rPr>
                      <w:rFonts w:ascii="Cambria Math" w:hAnsi="Cambria Math"/>
                      <w:i/>
                    </w:rPr>
                  </m:ctrlPr>
                </m:sSubPr>
                <m:e>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Ti</m:t>
                      </m:r>
                      <m:ctrlPr>
                        <w:rPr>
                          <w:rFonts w:ascii="Cambria Math" w:hAnsi="Cambria Math"/>
                          <w:i/>
                        </w:rPr>
                      </m:ctrlPr>
                    </m:sub>
                  </m:sSub>
                  <m:r>
                    <m:rPr/>
                    <w:rPr>
                      <w:rFonts w:ascii="Cambria Math" w:hAnsi="Cambria Math"/>
                    </w:rPr>
                    <m:t>×B</m:t>
                  </m:r>
                  <m:ctrlPr>
                    <w:rPr>
                      <w:rFonts w:ascii="Cambria Math" w:hAnsi="Cambria Math"/>
                      <w:i/>
                    </w:rPr>
                  </m:ctrlPr>
                </m:e>
                <m:sub>
                  <m:r>
                    <m:rPr/>
                    <w:rPr>
                      <w:rFonts w:ascii="Cambria Math" w:hAnsi="Cambria Math"/>
                    </w:rPr>
                    <m:t>Ti</m:t>
                  </m:r>
                  <m:ctrlPr>
                    <w:rPr>
                      <w:rFonts w:ascii="Cambria Math" w:hAnsi="Cambria Math"/>
                      <w:i/>
                    </w:rPr>
                  </m:ctrlPr>
                </m:sub>
              </m:sSub>
              <m:r>
                <m:rPr/>
                <w:rPr>
                  <w:rFonts w:ascii="Cambria Math" w:hAnsi="Cambria Math"/>
                </w:rPr>
                <m:t>×C</m:t>
              </m:r>
              <m:sSub>
                <m:sSubPr>
                  <m:ctrlPr>
                    <w:rPr>
                      <w:rFonts w:ascii="Cambria Math" w:hAnsi="Cambria Math"/>
                      <w:i/>
                    </w:rPr>
                  </m:ctrlPr>
                </m:sSubPr>
                <m:e>
                  <m:r>
                    <m:rPr/>
                    <w:rPr>
                      <w:rFonts w:ascii="Cambria Math" w:hAnsi="Cambria Math"/>
                    </w:rPr>
                    <m:t>F</m:t>
                  </m:r>
                  <m:ctrlPr>
                    <w:rPr>
                      <w:rFonts w:ascii="Cambria Math" w:hAnsi="Cambria Math"/>
                      <w:i/>
                    </w:rPr>
                  </m:ctrlPr>
                </m:e>
                <m:sub>
                  <m:r>
                    <m:rPr/>
                    <w:rPr>
                      <w:rFonts w:ascii="Cambria Math" w:hAnsi="Cambria Math"/>
                    </w:rPr>
                    <m:t>Ti</m:t>
                  </m:r>
                  <m:ctrlPr>
                    <w:rPr>
                      <w:rFonts w:ascii="Cambria Math" w:hAnsi="Cambria Math"/>
                      <w:i/>
                    </w:rPr>
                  </m:ctrlPr>
                </m:sub>
              </m:sSub>
              <m:ctrlPr>
                <w:rPr>
                  <w:rFonts w:ascii="Cambria Math" w:hAnsi="Cambria Math"/>
                  <w:i/>
                </w:rPr>
              </m:ctrlPr>
            </m:e>
          </m:nary>
        </m:oMath>
      </m:oMathPara>
    </w:p>
    <w:p w14:paraId="72C9630E">
      <w:pPr>
        <w:pStyle w:val="60"/>
      </w:pPr>
      <w:r>
        <w:t>式中，</w:t>
      </w:r>
      <w:r>
        <w:rPr>
          <w:i/>
          <w:iCs/>
        </w:rPr>
        <w:t>CF</w:t>
      </w:r>
      <w:r>
        <w:rPr>
          <w:rFonts w:hint="eastAsia"/>
          <w:i/>
          <w:iCs/>
          <w:vertAlign w:val="subscript"/>
        </w:rPr>
        <w:t>Ti</w:t>
      </w:r>
      <w:r>
        <w:t>——</w:t>
      </w:r>
      <w:r>
        <w:rPr>
          <w:i/>
          <w:iCs/>
        </w:rPr>
        <w:t>j</w:t>
      </w:r>
      <w:r>
        <w:t xml:space="preserve"> 树种的含碳率</w:t>
      </w:r>
      <w:r>
        <w:rPr>
          <w:rFonts w:hint="eastAsia"/>
        </w:rPr>
        <w:t>，质量分数（%）</w:t>
      </w:r>
      <w:r>
        <w:t>。常见树种（组）含碳率可参见</w:t>
      </w:r>
      <w:r>
        <w:rPr>
          <w:highlight w:val="yellow"/>
        </w:rPr>
        <w:t>附录</w:t>
      </w:r>
      <w:r>
        <w:t>。</w:t>
      </w:r>
    </w:p>
    <w:p w14:paraId="1D2BFC8C">
      <w:pPr>
        <w:pStyle w:val="60"/>
        <w:tabs>
          <w:tab w:val="left" w:pos="210"/>
        </w:tabs>
      </w:pPr>
      <w:r>
        <w:t>式中，</w:t>
      </w:r>
      <w:r>
        <w:rPr>
          <w:i/>
          <w:iCs/>
        </w:rPr>
        <w:t>C</w:t>
      </w:r>
      <w:r>
        <w:rPr>
          <w:rFonts w:hint="eastAsia"/>
          <w:i/>
          <w:iCs/>
          <w:vertAlign w:val="subscript"/>
        </w:rPr>
        <w:t>T</w:t>
      </w:r>
      <w:r>
        <w:t>——为湿地</w:t>
      </w:r>
      <w:r>
        <w:rPr>
          <w:rFonts w:hint="eastAsia"/>
        </w:rPr>
        <w:t>灌木</w:t>
      </w:r>
      <w:r>
        <w:t>层碳储量，单位为吨碳（t C）；</w:t>
      </w:r>
    </w:p>
    <w:p w14:paraId="3B845709">
      <w:pPr>
        <w:pStyle w:val="60"/>
        <w:ind w:firstLine="1050" w:firstLineChars="500"/>
      </w:pPr>
      <w:r>
        <w:rPr>
          <w:i/>
          <w:iCs/>
        </w:rPr>
        <w:t>n</w:t>
      </w:r>
      <w:r>
        <w:t>——为水生植物物种数量；</w:t>
      </w:r>
    </w:p>
    <w:p w14:paraId="5F0BB561">
      <w:pPr>
        <w:pStyle w:val="60"/>
        <w:ind w:firstLine="1050" w:firstLineChars="500"/>
      </w:pPr>
      <w:r>
        <w:rPr>
          <w:i/>
          <w:iCs/>
        </w:rPr>
        <w:t>i</w:t>
      </w:r>
      <w:r>
        <w:t xml:space="preserve">——为第 </w:t>
      </w:r>
      <w:r>
        <w:rPr>
          <w:i/>
          <w:iCs/>
        </w:rPr>
        <w:t>i</w:t>
      </w:r>
      <w:r>
        <w:t xml:space="preserve"> 种</w:t>
      </w:r>
      <w:r>
        <w:rPr>
          <w:rFonts w:hint="eastAsia"/>
        </w:rPr>
        <w:t>灌木</w:t>
      </w:r>
      <w:r>
        <w:t>植物；</w:t>
      </w:r>
    </w:p>
    <w:p w14:paraId="5F3A4485">
      <w:pPr>
        <w:pStyle w:val="60"/>
        <w:ind w:firstLine="1050" w:firstLineChars="500"/>
        <w:rPr>
          <w:i/>
          <w:iCs/>
        </w:rPr>
      </w:pPr>
      <w:r>
        <w:rPr>
          <w:i/>
          <w:iCs/>
        </w:rPr>
        <w:t>A</w:t>
      </w:r>
      <w:r>
        <w:rPr>
          <w:rFonts w:hint="eastAsia"/>
          <w:i/>
          <w:iCs/>
          <w:vertAlign w:val="subscript"/>
        </w:rPr>
        <w:t>Ti</w:t>
      </w:r>
      <w:r>
        <w:t xml:space="preserve">——为第 </w:t>
      </w:r>
      <w:r>
        <w:rPr>
          <w:i/>
          <w:iCs/>
        </w:rPr>
        <w:t>i</w:t>
      </w:r>
      <w:r>
        <w:t xml:space="preserve"> 种湿地</w:t>
      </w:r>
      <w:r>
        <w:rPr>
          <w:rFonts w:hint="eastAsia"/>
        </w:rPr>
        <w:t>灌木植物</w:t>
      </w:r>
      <w:r>
        <w:t>面积，单位为平方米（m</w:t>
      </w:r>
      <w:r>
        <w:rPr>
          <w:vertAlign w:val="superscript"/>
        </w:rPr>
        <w:t>2</w:t>
      </w:r>
      <w:r>
        <w:t>）；</w:t>
      </w:r>
    </w:p>
    <w:p w14:paraId="59638CF0">
      <w:pPr>
        <w:pStyle w:val="60"/>
        <w:ind w:firstLine="1050" w:firstLineChars="500"/>
      </w:pPr>
      <w:r>
        <w:rPr>
          <w:i/>
          <w:iCs/>
        </w:rPr>
        <w:t>B</w:t>
      </w:r>
      <w:r>
        <w:rPr>
          <w:rFonts w:hint="eastAsia"/>
          <w:i/>
          <w:iCs/>
          <w:vertAlign w:val="subscript"/>
        </w:rPr>
        <w:t>Ti</w:t>
      </w:r>
      <w:r>
        <w:t xml:space="preserve">——为第 </w:t>
      </w:r>
      <w:r>
        <w:rPr>
          <w:i/>
          <w:iCs/>
        </w:rPr>
        <w:t>i</w:t>
      </w:r>
      <w:r>
        <w:t xml:space="preserve"> 种湿地</w:t>
      </w:r>
      <w:r>
        <w:rPr>
          <w:rFonts w:hint="eastAsia"/>
        </w:rPr>
        <w:t>灌木植物单位面积</w:t>
      </w:r>
      <w:r>
        <w:t>生物量，单位为吨碳每平方米（t C/m</w:t>
      </w:r>
      <w:r>
        <w:rPr>
          <w:vertAlign w:val="superscript"/>
        </w:rPr>
        <w:t>2</w:t>
      </w:r>
      <w:r>
        <w:t>）；</w:t>
      </w:r>
    </w:p>
    <w:p w14:paraId="5B22BF3C">
      <w:pPr>
        <w:pStyle w:val="60"/>
        <w:ind w:firstLine="1050" w:firstLineChars="500"/>
      </w:pPr>
      <w:r>
        <w:rPr>
          <w:i/>
          <w:iCs/>
        </w:rPr>
        <w:t>CF</w:t>
      </w:r>
      <w:r>
        <w:rPr>
          <w:rFonts w:hint="eastAsia"/>
          <w:i/>
          <w:iCs/>
          <w:vertAlign w:val="subscript"/>
        </w:rPr>
        <w:t>Ti</w:t>
      </w:r>
      <w:r>
        <w:t xml:space="preserve">——为第 </w:t>
      </w:r>
      <w:r>
        <w:rPr>
          <w:i/>
          <w:iCs/>
        </w:rPr>
        <w:t>i</w:t>
      </w:r>
      <w:r>
        <w:t xml:space="preserve"> 种</w:t>
      </w:r>
      <w:r>
        <w:rPr>
          <w:rFonts w:hint="eastAsia"/>
        </w:rPr>
        <w:t>灌木植物</w:t>
      </w:r>
      <w:r>
        <w:t>含碳率</w:t>
      </w:r>
      <w:r>
        <w:rPr>
          <w:rFonts w:hint="eastAsia"/>
        </w:rPr>
        <w:t>，质量分数（%）</w:t>
      </w:r>
      <w:r>
        <w:t>。</w:t>
      </w:r>
    </w:p>
    <w:p w14:paraId="0ED77B4F">
      <w:pPr>
        <w:pStyle w:val="69"/>
        <w:ind w:firstLine="420" w:firstLineChars="200"/>
        <w:rPr>
          <w:rFonts w:ascii="Times New Roman"/>
        </w:rPr>
      </w:pPr>
      <w:r>
        <w:rPr>
          <w:rFonts w:ascii="Times New Roman"/>
        </w:rPr>
        <w:t>灌木层</w:t>
      </w:r>
    </w:p>
    <w:p w14:paraId="330871C8">
      <w:pPr>
        <w:pStyle w:val="60"/>
      </w:pPr>
      <w:r>
        <w:rPr>
          <w:rFonts w:hint="eastAsia"/>
        </w:rPr>
        <w:t>（1）</w:t>
      </w:r>
      <w:r>
        <w:t>异速生长方程</w:t>
      </w:r>
    </w:p>
    <w:p w14:paraId="395B49E0">
      <w:pPr>
        <w:pStyle w:val="60"/>
        <w:ind w:firstLineChars="0"/>
      </w:pPr>
      <w:r>
        <w:rPr>
          <w:rFonts w:hint="eastAsia"/>
        </w:rPr>
        <w:t>灌木地上生物量通过选择平均冠幅直径（</w:t>
      </w:r>
      <w:r>
        <w:rPr>
          <w:rFonts w:hint="eastAsia"/>
          <w:i/>
          <w:iCs/>
        </w:rPr>
        <w:t>D</w:t>
      </w:r>
      <w:r>
        <w:rPr>
          <w:rFonts w:hint="eastAsia"/>
        </w:rPr>
        <w:t>）、冠幅投影面积（</w:t>
      </w:r>
      <w:r>
        <w:rPr>
          <w:rFonts w:hint="eastAsia"/>
          <w:i/>
          <w:iCs/>
        </w:rPr>
        <w:t>A</w:t>
      </w:r>
      <w:r>
        <w:rPr>
          <w:rFonts w:hint="eastAsia"/>
        </w:rPr>
        <w:t>）或冠幅投影体积（</w:t>
      </w:r>
      <w:r>
        <w:rPr>
          <w:rFonts w:hint="eastAsia"/>
          <w:i/>
          <w:iCs/>
        </w:rPr>
        <w:t>V</w:t>
      </w:r>
      <w:r>
        <w:rPr>
          <w:rFonts w:hint="eastAsia"/>
        </w:rPr>
        <w:t>）作为自变量（</w:t>
      </w:r>
      <w:r>
        <w:rPr>
          <w:rFonts w:hint="eastAsia"/>
          <w:i/>
          <w:iCs/>
        </w:rPr>
        <w:t>x</w:t>
      </w:r>
      <w:r>
        <w:rPr>
          <w:rFonts w:hint="eastAsia"/>
        </w:rPr>
        <w:t>），估算每个物种的地上生物量。</w:t>
      </w:r>
    </w:p>
    <w:p w14:paraId="7EC4950F">
      <w:pPr>
        <w:pStyle w:val="60"/>
        <w:ind w:firstLineChars="0"/>
      </w:pPr>
      <m:oMathPara>
        <m:oMath>
          <m:r>
            <m:rPr/>
            <w:rPr>
              <w:rFonts w:ascii="Cambria Math" w:hAnsi="Cambria Math"/>
            </w:rPr>
            <m:t>D=</m:t>
          </m:r>
          <m:f>
            <m:fPr>
              <m:ctrlPr>
                <w:rPr>
                  <w:rFonts w:ascii="Cambria Math" w:hAnsi="Cambria Math"/>
                  <w:i/>
                </w:rPr>
              </m:ctrlPr>
            </m:fPr>
            <m:num>
              <m:sSub>
                <m:sSubPr>
                  <m:ctrlPr>
                    <w:rPr>
                      <w:rFonts w:ascii="Cambria Math" w:hAnsi="Cambria Math"/>
                      <w:i/>
                    </w:rPr>
                  </m:ctrlPr>
                </m:sSubPr>
                <m:e>
                  <m:r>
                    <m:rPr/>
                    <w:rPr>
                      <w:rFonts w:ascii="Cambria Math" w:hAnsi="Cambria Math"/>
                    </w:rPr>
                    <m:t>L</m:t>
                  </m:r>
                  <m:ctrlPr>
                    <w:rPr>
                      <w:rFonts w:ascii="Cambria Math" w:hAnsi="Cambria Math"/>
                      <w:i/>
                    </w:rPr>
                  </m:ctrlPr>
                </m:e>
                <m:sub>
                  <m:r>
                    <m:rPr/>
                    <w:rPr>
                      <w:rFonts w:ascii="Cambria Math" w:hAnsi="Cambria Math"/>
                    </w:rPr>
                    <m:t>1</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L</m:t>
                  </m:r>
                  <m:ctrlPr>
                    <w:rPr>
                      <w:rFonts w:ascii="Cambria Math" w:hAnsi="Cambria Math"/>
                      <w:i/>
                    </w:rPr>
                  </m:ctrlPr>
                </m:e>
                <m:sub>
                  <m:r>
                    <m:rPr/>
                    <w:rPr>
                      <w:rFonts w:ascii="Cambria Math" w:hAnsi="Cambria Math"/>
                    </w:rPr>
                    <m:t>2</m:t>
                  </m:r>
                  <m:ctrlPr>
                    <w:rPr>
                      <w:rFonts w:ascii="Cambria Math" w:hAnsi="Cambria Math"/>
                      <w:i/>
                    </w:rPr>
                  </m:ctrlPr>
                </m:sub>
              </m:sSub>
              <m:ctrlPr>
                <w:rPr>
                  <w:rFonts w:ascii="Cambria Math" w:hAnsi="Cambria Math"/>
                  <w:i/>
                </w:rPr>
              </m:ctrlPr>
            </m:num>
            <m:den>
              <m:r>
                <m:rPr/>
                <w:rPr>
                  <w:rFonts w:ascii="Cambria Math" w:hAnsi="Cambria Math"/>
                </w:rPr>
                <m:t>2</m:t>
              </m:r>
              <m:ctrlPr>
                <w:rPr>
                  <w:rFonts w:ascii="Cambria Math" w:hAnsi="Cambria Math"/>
                  <w:i/>
                </w:rPr>
              </m:ctrlPr>
            </m:den>
          </m:f>
        </m:oMath>
      </m:oMathPara>
    </w:p>
    <w:p w14:paraId="0D060516">
      <w:pPr>
        <w:pStyle w:val="60"/>
        <w:ind w:firstLineChars="0"/>
      </w:pPr>
      <m:oMathPara>
        <m:oMath>
          <m:r>
            <m:rPr/>
            <w:rPr>
              <w:rFonts w:ascii="Cambria Math" w:hAnsi="Cambria Math"/>
            </w:rPr>
            <m:t>A=</m:t>
          </m:r>
          <m:f>
            <m:fPr>
              <m:ctrlPr>
                <w:rPr>
                  <w:rFonts w:ascii="Cambria Math" w:hAnsi="Cambria Math"/>
                  <w:i/>
                </w:rPr>
              </m:ctrlPr>
            </m:fPr>
            <m:num>
              <m:r>
                <m:rPr/>
                <w:rPr>
                  <w:rFonts w:ascii="Cambria Math" w:hAnsi="Cambria Math"/>
                </w:rPr>
                <m:t>π∙</m:t>
              </m:r>
              <m:d>
                <m:dPr>
                  <m:ctrlPr>
                    <w:rPr>
                      <w:rFonts w:ascii="Cambria Math" w:hAnsi="Cambria Math"/>
                      <w:i/>
                    </w:rPr>
                  </m:ctrlPr>
                </m:dPr>
                <m:e>
                  <m:sSub>
                    <m:sSubPr>
                      <m:ctrlPr>
                        <w:rPr>
                          <w:rFonts w:ascii="Cambria Math" w:hAnsi="Cambria Math"/>
                          <w:i/>
                        </w:rPr>
                      </m:ctrlPr>
                    </m:sSubPr>
                    <m:e>
                      <m:r>
                        <m:rPr/>
                        <w:rPr>
                          <w:rFonts w:ascii="Cambria Math" w:hAnsi="Cambria Math"/>
                        </w:rPr>
                        <m:t>L</m:t>
                      </m:r>
                      <m:ctrlPr>
                        <w:rPr>
                          <w:rFonts w:ascii="Cambria Math" w:hAnsi="Cambria Math"/>
                          <w:i/>
                        </w:rPr>
                      </m:ctrlPr>
                    </m:e>
                    <m:sub>
                      <m:r>
                        <m:rPr/>
                        <w:rPr>
                          <w:rFonts w:ascii="Cambria Math" w:hAnsi="Cambria Math"/>
                        </w:rPr>
                        <m:t>1</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L</m:t>
                      </m:r>
                      <m:ctrlPr>
                        <w:rPr>
                          <w:rFonts w:ascii="Cambria Math" w:hAnsi="Cambria Math"/>
                          <w:i/>
                        </w:rPr>
                      </m:ctrlPr>
                    </m:e>
                    <m:sub>
                      <m:r>
                        <m:rPr/>
                        <w:rPr>
                          <w:rFonts w:ascii="Cambria Math" w:hAnsi="Cambria Math"/>
                        </w:rPr>
                        <m:t>2</m:t>
                      </m:r>
                      <m:ctrlPr>
                        <w:rPr>
                          <w:rFonts w:ascii="Cambria Math" w:hAnsi="Cambria Math"/>
                          <w:i/>
                        </w:rPr>
                      </m:ctrlPr>
                    </m:sub>
                  </m:sSub>
                  <m:ctrlPr>
                    <w:rPr>
                      <w:rFonts w:ascii="Cambria Math" w:hAnsi="Cambria Math"/>
                      <w:i/>
                    </w:rPr>
                  </m:ctrlPr>
                </m:e>
              </m:d>
              <m:ctrlPr>
                <w:rPr>
                  <w:rFonts w:ascii="Cambria Math" w:hAnsi="Cambria Math"/>
                  <w:i/>
                </w:rPr>
              </m:ctrlPr>
            </m:num>
            <m:den>
              <m:r>
                <m:rPr/>
                <w:rPr>
                  <w:rFonts w:ascii="Cambria Math" w:hAnsi="Cambria Math"/>
                </w:rPr>
                <m:t>2</m:t>
              </m:r>
              <m:ctrlPr>
                <w:rPr>
                  <w:rFonts w:ascii="Cambria Math" w:hAnsi="Cambria Math"/>
                  <w:i/>
                </w:rPr>
              </m:ctrlPr>
            </m:den>
          </m:f>
        </m:oMath>
      </m:oMathPara>
    </w:p>
    <w:p w14:paraId="79032DB0">
      <w:pPr>
        <w:pStyle w:val="60"/>
        <w:ind w:firstLineChars="0"/>
      </w:pPr>
      <m:oMathPara>
        <m:oMath>
          <m:r>
            <m:rPr/>
            <w:rPr>
              <w:rFonts w:ascii="Cambria Math" w:hAnsi="Cambria Math"/>
            </w:rPr>
            <m:t>V=A×H</m:t>
          </m:r>
        </m:oMath>
      </m:oMathPara>
    </w:p>
    <w:p w14:paraId="4C3C41B2">
      <w:pPr>
        <w:pStyle w:val="60"/>
        <w:ind w:firstLineChars="0"/>
      </w:pPr>
      <m:oMathPara>
        <m:oMath>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=a∙</m:t>
          </m:r>
          <m:sSup>
            <m:sSupPr>
              <m:ctrlPr>
                <w:rPr>
                  <w:rFonts w:ascii="Cambria Math" w:hAnsi="Cambria Math"/>
                  <w:i/>
                </w:rPr>
              </m:ctrlPr>
            </m:sSupPr>
            <m:e>
              <m:r>
                <m:rPr/>
                <w:rPr>
                  <w:rFonts w:ascii="Cambria Math" w:hAnsi="Cambria Math"/>
                </w:rPr>
                <m:t>x</m:t>
              </m:r>
              <m:ctrlPr>
                <w:rPr>
                  <w:rFonts w:ascii="Cambria Math" w:hAnsi="Cambria Math"/>
                  <w:i/>
                </w:rPr>
              </m:ctrlPr>
            </m:e>
            <m:sup>
              <m:r>
                <m:rPr/>
                <w:rPr>
                  <w:rFonts w:ascii="Cambria Math" w:hAnsi="Cambria Math"/>
                </w:rPr>
                <m:t>b</m:t>
              </m:r>
              <m:ctrlPr>
                <w:rPr>
                  <w:rFonts w:ascii="Cambria Math" w:hAnsi="Cambria Math"/>
                  <w:i/>
                </w:rPr>
              </m:ctrlPr>
            </m:sup>
          </m:sSup>
        </m:oMath>
      </m:oMathPara>
    </w:p>
    <w:p w14:paraId="5B316411">
      <w:pPr>
        <w:pStyle w:val="60"/>
        <w:ind w:firstLineChars="0"/>
      </w:pPr>
      <w:r>
        <w:rPr>
          <w:rFonts w:hint="eastAsia"/>
        </w:rPr>
        <w:t>或</w:t>
      </w:r>
    </w:p>
    <w:p w14:paraId="4491B430">
      <w:pPr>
        <w:pStyle w:val="60"/>
        <w:ind w:firstLineChars="0"/>
      </w:pPr>
      <m:oMathPara>
        <m:oMath>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=a</m:t>
          </m:r>
          <m:r>
            <m:rPr/>
            <w:rPr>
              <w:rFonts w:hint="eastAsia" w:ascii="Cambria Math" w:hAnsi="Cambria Math"/>
            </w:rPr>
            <m:t>x</m:t>
          </m:r>
          <m:r>
            <m:rPr/>
            <w:rPr>
              <w:rFonts w:ascii="Cambria Math" w:hAnsi="Cambria Math"/>
            </w:rPr>
            <m:t>+</m:t>
          </m:r>
          <m:r>
            <m:rPr/>
            <w:rPr>
              <w:rFonts w:hint="eastAsia" w:ascii="Cambria Math" w:hAnsi="Cambria Math"/>
            </w:rPr>
            <m:t>b</m:t>
          </m:r>
        </m:oMath>
      </m:oMathPara>
    </w:p>
    <w:p w14:paraId="1571C9DE">
      <w:pPr>
        <w:pStyle w:val="60"/>
        <w:ind w:firstLineChars="0"/>
      </w:pPr>
      <w:r>
        <w:rPr>
          <w:rFonts w:hint="eastAsia"/>
        </w:rPr>
        <w:t>式中，AGB</w:t>
      </w:r>
      <w:r>
        <w:rPr>
          <w:rFonts w:hint="eastAsia"/>
          <w:vertAlign w:val="subscript"/>
        </w:rPr>
        <w:t>B</w:t>
      </w:r>
      <w:r>
        <w:rPr>
          <w:rFonts w:hint="eastAsia"/>
        </w:rPr>
        <w:t>——为</w:t>
      </w:r>
    </w:p>
    <w:p w14:paraId="4A6445F9">
      <w:pPr>
        <w:pStyle w:val="60"/>
        <w:ind w:firstLine="1050" w:firstLineChars="500"/>
      </w:pPr>
      <w:r>
        <w:rPr>
          <w:i/>
          <w:iCs/>
        </w:rPr>
        <w:t>L</w:t>
      </w:r>
      <w:r>
        <w:rPr>
          <w:i/>
          <w:iCs/>
          <w:vertAlign w:val="subscript"/>
        </w:rPr>
        <w:t>1</w:t>
      </w:r>
      <w:r>
        <w:t>——为每个植物的长轴冠幅直径；</w:t>
      </w:r>
    </w:p>
    <w:p w14:paraId="41890401">
      <w:pPr>
        <w:pStyle w:val="60"/>
        <w:ind w:firstLine="1050" w:firstLineChars="500"/>
      </w:pPr>
      <w:r>
        <w:rPr>
          <w:i/>
          <w:iCs/>
        </w:rPr>
        <w:t>L</w:t>
      </w:r>
      <w:r>
        <w:rPr>
          <w:i/>
          <w:iCs/>
          <w:vertAlign w:val="subscript"/>
        </w:rPr>
        <w:t>2</w:t>
      </w:r>
      <w:r>
        <w:t>——为每个植物的短轴冠幅直径；</w:t>
      </w:r>
    </w:p>
    <w:p w14:paraId="6408FF38">
      <w:pPr>
        <w:pStyle w:val="60"/>
        <w:ind w:firstLine="1050" w:firstLineChars="500"/>
      </w:pPr>
      <w:r>
        <w:rPr>
          <w:i/>
          <w:iCs/>
        </w:rPr>
        <w:t>H</w:t>
      </w:r>
      <w:r>
        <w:t>——为每个植物的高度；</w:t>
      </w:r>
    </w:p>
    <w:p w14:paraId="7793D71B">
      <w:pPr>
        <w:pStyle w:val="60"/>
        <w:ind w:firstLine="1050" w:firstLineChars="500"/>
      </w:pPr>
      <w:r>
        <w:rPr>
          <w:i/>
          <w:iCs/>
        </w:rPr>
        <w:t>a</w:t>
      </w:r>
      <w:r>
        <w:t>、</w:t>
      </w:r>
      <w:r>
        <w:rPr>
          <w:i/>
          <w:iCs/>
        </w:rPr>
        <w:t>b</w:t>
      </w:r>
      <w:r>
        <w:t>——为拟合的参数。</w:t>
      </w:r>
    </w:p>
    <w:p w14:paraId="26F2CBF5">
      <w:pPr>
        <w:pStyle w:val="60"/>
      </w:pPr>
      <w:r>
        <w:rPr>
          <w:rFonts w:hint="eastAsia"/>
        </w:rPr>
        <w:t>地下生物量采用以下公式计算：</w:t>
      </w:r>
    </w:p>
    <w:p w14:paraId="21663906">
      <w:pPr>
        <w:pStyle w:val="60"/>
        <w:ind w:left="420" w:firstLine="0" w:firstLineChars="0"/>
      </w:pPr>
      <m:oMathPara>
        <m:oMath>
          <m:r>
            <m:rPr/>
            <w:rPr>
              <w:rFonts w:ascii="Cambria Math" w:hAnsi="Cambria Math"/>
            </w:rPr>
            <m:t>BG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m:t>
          </m:r>
          <m:f>
            <m:fPr>
              <m:ctrlPr>
                <w:rPr>
                  <w:rFonts w:ascii="Cambria Math" w:hAnsi="Cambria Math"/>
                  <w:i/>
                </w:rPr>
              </m:ctrlPr>
            </m:fPr>
            <m:num>
              <m:r>
                <m:rPr/>
                <w:rPr>
                  <w:rFonts w:ascii="Cambria Math" w:hAnsi="Cambria Math"/>
                </w:rPr>
                <m:t>R</m:t>
              </m:r>
              <m:ctrlPr>
                <w:rPr>
                  <w:rFonts w:ascii="Cambria Math" w:hAnsi="Cambria Math"/>
                  <w:i/>
                </w:rPr>
              </m:ctrlPr>
            </m:num>
            <m:den>
              <m:r>
                <m:rPr/>
                <w:rPr>
                  <w:rFonts w:ascii="Cambria Math" w:hAnsi="Cambria Math"/>
                </w:rPr>
                <m:t>S</m:t>
              </m:r>
              <m:ctrlPr>
                <w:rPr>
                  <w:rFonts w:ascii="Cambria Math" w:hAnsi="Cambria Math"/>
                  <w:i/>
                </w:rPr>
              </m:ctrlPr>
            </m:den>
          </m:f>
        </m:oMath>
      </m:oMathPara>
    </w:p>
    <w:p w14:paraId="50E5DC7A">
      <w:pPr>
        <w:pStyle w:val="60"/>
      </w:pPr>
      <w:r>
        <w:rPr>
          <w:rFonts w:hint="eastAsia"/>
        </w:rPr>
        <w:t>式中，</w:t>
      </w:r>
      <w:r>
        <w:rPr>
          <w:i/>
          <w:iCs/>
        </w:rPr>
        <w:t>R/S</w:t>
      </w:r>
      <w:r>
        <w:t>——</w:t>
      </w:r>
      <w:r>
        <w:rPr>
          <w:rFonts w:hint="eastAsia"/>
        </w:rPr>
        <w:t>为每个植物的根茎比。</w:t>
      </w:r>
    </w:p>
    <w:p w14:paraId="13505A2A">
      <w:pPr>
        <w:pStyle w:val="60"/>
      </w:pPr>
      <w:r>
        <w:rPr>
          <w:rFonts w:hint="eastAsia"/>
        </w:rPr>
        <w:t>因此，灌木生物量具体计算公式为：</w:t>
      </w:r>
    </w:p>
    <w:p w14:paraId="0C9FC2F2">
      <w:pPr>
        <w:pStyle w:val="60"/>
      </w:pPr>
      <m:oMathPara>
        <m:oMath>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+BG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B</m:t>
              </m:r>
              <m:ctrlPr>
                <w:rPr>
                  <w:rFonts w:ascii="Cambria Math" w:hAnsi="Cambria Math"/>
                  <w:i/>
                </w:rPr>
              </m:ctrlPr>
            </m:sub>
          </m:sSub>
        </m:oMath>
      </m:oMathPara>
    </w:p>
    <w:p w14:paraId="68066E8A">
      <w:pPr>
        <w:pStyle w:val="60"/>
      </w:pPr>
      <w:r>
        <w:rPr>
          <w:rFonts w:hint="eastAsia"/>
        </w:rPr>
        <w:t>式中，</w:t>
      </w:r>
      <w:r>
        <w:rPr>
          <w:rFonts w:hint="eastAsia"/>
          <w:i/>
          <w:iCs/>
        </w:rPr>
        <w:t>B</w:t>
      </w:r>
      <w:r>
        <w:rPr>
          <w:rFonts w:hint="eastAsia"/>
          <w:i/>
          <w:iCs/>
          <w:vertAlign w:val="subscript"/>
        </w:rPr>
        <w:t>B</w:t>
      </w:r>
      <w:r>
        <w:t>——</w:t>
      </w:r>
      <w:r>
        <w:rPr>
          <w:rFonts w:hint="eastAsia"/>
        </w:rPr>
        <w:t>为乔木层总生物量，单位为吨（t）。</w:t>
      </w:r>
    </w:p>
    <w:p w14:paraId="73595C8A">
      <w:pPr>
        <w:pStyle w:val="60"/>
      </w:pPr>
      <w:r>
        <w:rPr>
          <w:rFonts w:hint="eastAsia"/>
        </w:rPr>
        <w:t>（2）收获法</w:t>
      </w:r>
    </w:p>
    <w:p w14:paraId="21BCA94E">
      <w:pPr>
        <w:pStyle w:val="60"/>
      </w:pPr>
      <w:r>
        <w:rPr>
          <w:rFonts w:hint="eastAsia"/>
        </w:rPr>
        <w:t>每个样方选择3株</w:t>
      </w:r>
      <w:r>
        <w:t>平均大小的标准木</w:t>
      </w:r>
      <w:r>
        <w:rPr>
          <w:rFonts w:hint="eastAsia"/>
        </w:rPr>
        <w:t>，采用全株收获法测定3株植物的鲜重，然后将其放入85℃烘箱中烘干至恒重，称重并计算灌木干重生物量，根据调查样方灌木株数/丛数、标准灌木鲜重数据，采用以下公式计算样地的灌木总干重：</w:t>
      </w:r>
    </w:p>
    <w:p w14:paraId="25D8EB9A">
      <w:pPr>
        <w:pStyle w:val="60"/>
      </w:pPr>
      <m:oMathPara>
        <m:oMath>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m</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P</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m:t>
          </m:r>
          <m:f>
            <m:fPr>
              <m:ctrlPr>
                <w:rPr>
                  <w:rFonts w:ascii="Cambria Math" w:hAnsi="Cambria Math"/>
                  <w:i/>
                </w:rPr>
              </m:ctrlPr>
            </m:fPr>
            <m:num>
              <m:nary>
                <m:naryPr>
                  <m:chr m:val="∑"/>
                  <m:limLoc m:val="undOvr"/>
                  <m:subHide m:val="1"/>
                  <m:supHide m:val="1"/>
                  <m:ctrlPr>
                    <w:rPr>
                      <w:rFonts w:ascii="Cambria Math" w:hAnsi="Cambria Math"/>
                      <w:i/>
                    </w:rPr>
                  </m:ctrlPr>
                </m:naryPr>
                <m:sub>
                  <m:ctrlPr>
                    <w:rPr>
                      <w:rFonts w:ascii="Cambria Math" w:hAnsi="Cambria Math"/>
                      <w:i/>
                    </w:rPr>
                  </m:ctrlPr>
                </m:sub>
                <m:sup>
                  <m:ctrlPr>
                    <w:rPr>
                      <w:rFonts w:ascii="Cambria Math" w:hAnsi="Cambria Math"/>
                      <w:i/>
                    </w:rPr>
                  </m:ctrlPr>
                </m:sup>
                <m:e>
                  <m:sSub>
                    <m:sSubPr>
                      <m:ctrlPr>
                        <w:rPr>
                          <w:rFonts w:ascii="Cambria Math" w:hAnsi="Cambria Math"/>
                          <w:i/>
                        </w:rPr>
                      </m:ctrlPr>
                    </m:sSubPr>
                    <m:e>
                      <m:r>
                        <m:rPr/>
                        <w:rPr>
                          <w:rFonts w:ascii="Cambria Math" w:hAnsi="Cambria Math"/>
                        </w:rPr>
                        <m:t>M</m:t>
                      </m:r>
                      <m:ctrlPr>
                        <w:rPr>
                          <w:rFonts w:ascii="Cambria Math" w:hAnsi="Cambria Math"/>
                          <w:i/>
                        </w:rPr>
                      </m:ctrlPr>
                    </m:e>
                    <m:sub>
                      <m:r>
                        <m:rPr/>
                        <w:rPr>
                          <w:rFonts w:ascii="Cambria Math" w:hAnsi="Cambria Math"/>
                        </w:rPr>
                        <m:t>B</m:t>
                      </m:r>
                      <m:ctrlPr>
                        <w:rPr>
                          <w:rFonts w:ascii="Cambria Math" w:hAnsi="Cambria Math"/>
                          <w:i/>
                        </w:rPr>
                      </m:ctrlPr>
                    </m:sub>
                  </m:sSub>
                  <m:ctrlPr>
                    <w:rPr>
                      <w:rFonts w:ascii="Cambria Math" w:hAnsi="Cambria Math"/>
                      <w:i/>
                    </w:rPr>
                  </m:ctrlPr>
                </m:e>
              </m:nary>
              <m:ctrlPr>
                <w:rPr>
                  <w:rFonts w:ascii="Cambria Math" w:hAnsi="Cambria Math"/>
                  <w:i/>
                </w:rPr>
              </m:ctrlPr>
            </m:num>
            <m:den>
              <m:sSub>
                <m:sSubPr>
                  <m:ctrlPr>
                    <w:rPr>
                      <w:rFonts w:ascii="Cambria Math" w:hAnsi="Cambria Math"/>
                      <w:i/>
                    </w:rPr>
                  </m:ctrlPr>
                </m:sSubPr>
                <m:e>
                  <m:r>
                    <m:rPr/>
                    <w:rPr>
                      <w:rFonts w:ascii="Cambria Math" w:hAnsi="Cambria Math"/>
                    </w:rPr>
                    <m:t>N</m:t>
                  </m:r>
                  <m:ctrlPr>
                    <w:rPr>
                      <w:rFonts w:ascii="Cambria Math" w:hAnsi="Cambria Math"/>
                      <w:i/>
                    </w:rPr>
                  </m:ctrlPr>
                </m:e>
                <m:sub>
                  <m:r>
                    <m:rPr/>
                    <w:rPr>
                      <w:rFonts w:ascii="Cambria Math" w:hAnsi="Cambria Math"/>
                    </w:rPr>
                    <m:t>1</m:t>
                  </m:r>
                  <m:ctrlPr>
                    <w:rPr>
                      <w:rFonts w:ascii="Cambria Math" w:hAnsi="Cambria Math"/>
                      <w:i/>
                    </w:rPr>
                  </m:ctrlPr>
                </m:sub>
              </m:sSub>
              <m:ctrlPr>
                <w:rPr>
                  <w:rFonts w:ascii="Cambria Math" w:hAnsi="Cambria Math"/>
                  <w:i/>
                </w:rPr>
              </m:ctrlPr>
            </m:den>
          </m:f>
        </m:oMath>
      </m:oMathPara>
    </w:p>
    <w:p w14:paraId="35AB8CBF">
      <w:pPr>
        <w:pStyle w:val="60"/>
      </w:pPr>
      <w:r>
        <w:t>式中，</w:t>
      </w:r>
      <w:r>
        <w:rPr>
          <w:i/>
          <w:iCs/>
        </w:rPr>
        <w:t>B</w:t>
      </w:r>
      <w:r>
        <w:rPr>
          <w:i/>
          <w:iCs/>
          <w:vertAlign w:val="subscript"/>
        </w:rPr>
        <w:t>m</w:t>
      </w:r>
      <w:r>
        <w:t>——为平均标准灌木单株（丛）生物量，单位为克（g）；</w:t>
      </w:r>
    </w:p>
    <w:p w14:paraId="3AB1F7CA">
      <w:pPr>
        <w:pStyle w:val="60"/>
        <w:ind w:firstLine="1050" w:firstLineChars="500"/>
      </w:pPr>
      <w:r>
        <w:rPr>
          <w:i/>
          <w:iCs/>
        </w:rPr>
        <w:t>P</w:t>
      </w:r>
      <w:r>
        <w:rPr>
          <w:i/>
          <w:iCs/>
          <w:vertAlign w:val="subscript"/>
        </w:rPr>
        <w:t>B</w:t>
      </w:r>
      <w:r>
        <w:t>——灌木干湿比；</w:t>
      </w:r>
    </w:p>
    <w:p w14:paraId="168999BD">
      <w:pPr>
        <w:pStyle w:val="60"/>
        <w:ind w:firstLine="1050" w:firstLineChars="500"/>
      </w:pPr>
      <w:r>
        <w:rPr>
          <w:i/>
          <w:iCs/>
        </w:rPr>
        <w:t>M</w:t>
      </w:r>
      <w:r>
        <w:rPr>
          <w:i/>
          <w:iCs/>
          <w:vertAlign w:val="subscript"/>
        </w:rPr>
        <w:t>B</w:t>
      </w:r>
      <w:r>
        <w:t>——每株平均标准灌木鲜重，单位为克（g）；</w:t>
      </w:r>
    </w:p>
    <w:p w14:paraId="5F4B1319">
      <w:pPr>
        <w:pStyle w:val="60"/>
        <w:ind w:firstLine="1050" w:firstLineChars="500"/>
      </w:pPr>
      <w:r>
        <w:rPr>
          <w:i/>
          <w:iCs/>
        </w:rPr>
        <w:t>N</w:t>
      </w:r>
      <w:r>
        <w:rPr>
          <w:i/>
          <w:iCs/>
          <w:vertAlign w:val="subscript"/>
        </w:rPr>
        <w:t>1</w:t>
      </w:r>
      <w:r>
        <w:t>——标准灌木株数（丛数）；</w:t>
      </w:r>
    </w:p>
    <w:p w14:paraId="7665267B">
      <w:pPr>
        <w:pStyle w:val="60"/>
      </w:pPr>
      <m:oMathPara>
        <m:oMath>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m:t>
          </m:r>
          <m:f>
            <m:fPr>
              <m:ctrlPr>
                <w:rPr>
                  <w:rFonts w:ascii="Cambria Math" w:hAnsi="Cambria Math"/>
                  <w:i/>
                </w:rPr>
              </m:ctrlPr>
            </m:fPr>
            <m:num>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m</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N</m:t>
                  </m:r>
                  <m:ctrlPr>
                    <w:rPr>
                      <w:rFonts w:ascii="Cambria Math" w:hAnsi="Cambria Math"/>
                      <w:i/>
                    </w:rPr>
                  </m:ctrlPr>
                </m:e>
                <m:sub>
                  <m:r>
                    <m:rPr/>
                    <w:rPr>
                      <w:rFonts w:ascii="Cambria Math" w:hAnsi="Cambria Math"/>
                    </w:rPr>
                    <m:t>2</m:t>
                  </m:r>
                  <m:ctrlPr>
                    <w:rPr>
                      <w:rFonts w:ascii="Cambria Math" w:hAnsi="Cambria Math"/>
                      <w:i/>
                    </w:rPr>
                  </m:ctrlPr>
                </m:sub>
              </m:sSub>
              <m:ctrlPr>
                <w:rPr>
                  <w:rFonts w:ascii="Cambria Math" w:hAnsi="Cambria Math"/>
                  <w:i/>
                </w:rPr>
              </m:ctrlPr>
            </m:num>
            <m:den>
              <m:r>
                <m:rPr/>
                <w:rPr>
                  <w:rFonts w:ascii="Cambria Math" w:hAnsi="Cambria Math"/>
                </w:rPr>
                <m:t>N∙</m:t>
              </m:r>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B</m:t>
                  </m:r>
                  <m:ctrlPr>
                    <w:rPr>
                      <w:rFonts w:ascii="Cambria Math" w:hAnsi="Cambria Math"/>
                      <w:i/>
                    </w:rPr>
                  </m:ctrlPr>
                </m:sub>
              </m:sSub>
              <m:ctrlPr>
                <w:rPr>
                  <w:rFonts w:ascii="Cambria Math" w:hAnsi="Cambria Math"/>
                  <w:i/>
                </w:rPr>
              </m:ctrlPr>
            </m:den>
          </m:f>
        </m:oMath>
      </m:oMathPara>
    </w:p>
    <w:p w14:paraId="2116513A">
      <w:pPr>
        <w:pStyle w:val="60"/>
      </w:pPr>
      <w:r>
        <w:t>式中，</w:t>
      </w:r>
      <w:r>
        <w:rPr>
          <w:i/>
          <w:iCs/>
        </w:rPr>
        <w:t>B</w:t>
      </w:r>
      <w:r>
        <w:rPr>
          <w:i/>
          <w:iCs/>
          <w:vertAlign w:val="subscript"/>
        </w:rPr>
        <w:t>B</w:t>
      </w:r>
      <w:r>
        <w:t>——为单位面积灌木生物量，单位为克每平方米（g/m</w:t>
      </w:r>
      <w:r>
        <w:rPr>
          <w:vertAlign w:val="superscript"/>
        </w:rPr>
        <w:t>2</w:t>
      </w:r>
      <w:r>
        <w:t>）；</w:t>
      </w:r>
    </w:p>
    <w:p w14:paraId="15A75593">
      <w:pPr>
        <w:pStyle w:val="60"/>
        <w:ind w:firstLine="1050" w:firstLineChars="500"/>
      </w:pPr>
      <w:r>
        <w:rPr>
          <w:i/>
          <w:iCs/>
        </w:rPr>
        <w:t>N</w:t>
      </w:r>
      <w:r>
        <w:rPr>
          <w:i/>
          <w:iCs/>
          <w:vertAlign w:val="subscript"/>
        </w:rPr>
        <w:t>2</w:t>
      </w:r>
      <w:r>
        <w:t>——为调查样方灌木株数（丛数）；</w:t>
      </w:r>
    </w:p>
    <w:p w14:paraId="504A432F">
      <w:pPr>
        <w:pStyle w:val="60"/>
        <w:ind w:firstLine="1050" w:firstLineChars="500"/>
      </w:pPr>
      <w:r>
        <w:rPr>
          <w:i/>
          <w:iCs/>
        </w:rPr>
        <w:t>N</w:t>
      </w:r>
      <w:r>
        <w:t>——为样方数；</w:t>
      </w:r>
    </w:p>
    <w:p w14:paraId="63021034">
      <w:pPr>
        <w:pStyle w:val="60"/>
        <w:ind w:firstLine="1050" w:firstLineChars="500"/>
      </w:pPr>
      <w:r>
        <w:rPr>
          <w:i/>
          <w:iCs/>
        </w:rPr>
        <w:t>A</w:t>
      </w:r>
      <w:r>
        <w:rPr>
          <w:i/>
          <w:iCs/>
          <w:vertAlign w:val="subscript"/>
        </w:rPr>
        <w:t>B</w:t>
      </w:r>
      <w:r>
        <w:t>——为样方面积，单位为平方米（m</w:t>
      </w:r>
      <w:r>
        <w:rPr>
          <w:vertAlign w:val="superscript"/>
        </w:rPr>
        <w:t>2</w:t>
      </w:r>
      <w:r>
        <w:t>）。</w:t>
      </w:r>
    </w:p>
    <w:p w14:paraId="0D4183E4">
      <w:pPr>
        <w:pStyle w:val="60"/>
      </w:pPr>
      <w:r>
        <w:rPr>
          <w:rFonts w:hint="eastAsia"/>
        </w:rPr>
        <w:t>（3）碳储量</w:t>
      </w:r>
    </w:p>
    <w:p w14:paraId="2A15E870">
      <w:pPr>
        <w:pStyle w:val="60"/>
      </w:pPr>
      <w:r>
        <w:rPr>
          <w:rFonts w:hint="eastAsia"/>
        </w:rPr>
        <w:t>灌木</w:t>
      </w:r>
      <w:r>
        <w:t>层碳储量采用生物量法通过实验得到植物生物量、含碳率及</w:t>
      </w:r>
      <w:r>
        <w:rPr>
          <w:rFonts w:hint="eastAsia"/>
        </w:rPr>
        <w:t>灌木</w:t>
      </w:r>
      <w:r>
        <w:t>层面积，采用以下公式计算：</w:t>
      </w:r>
    </w:p>
    <w:p w14:paraId="2582DAFB">
      <w:pPr>
        <w:pStyle w:val="60"/>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B</m:t>
              </m:r>
              <m:ctrlPr>
                <w:rPr>
                  <w:rFonts w:ascii="Cambria Math" w:hAnsi="Cambria Math"/>
                  <w:i/>
                </w:rPr>
              </m:ctrlPr>
            </m:sub>
          </m:sSub>
          <m:r>
            <m:rPr/>
            <w:rPr>
              <w:rFonts w:ascii="Cambria Math" w:hAnsi="Cambria Math"/>
            </w:rPr>
            <m:t>=</m:t>
          </m:r>
          <m:nary>
            <m:naryPr>
              <m:chr m:val="∑"/>
              <m:limLoc m:val="undOvr"/>
              <m:ctrlPr>
                <w:rPr>
                  <w:rFonts w:ascii="Cambria Math" w:hAnsi="Cambria Math"/>
                  <w:i/>
                </w:rPr>
              </m:ctrlPr>
            </m:naryPr>
            <m:sub>
              <m:r>
                <m:rPr/>
                <w:rPr>
                  <w:rFonts w:hint="eastAsia" w:ascii="Cambria Math" w:hAnsi="Cambria Math"/>
                </w:rPr>
                <m:t>i</m:t>
              </m:r>
              <m:r>
                <m:rPr/>
                <w:rPr>
                  <w:rFonts w:ascii="Cambria Math" w:hAnsi="Cambria Math"/>
                </w:rPr>
                <m:t>=1</m:t>
              </m:r>
              <m:ctrlPr>
                <w:rPr>
                  <w:rFonts w:ascii="Cambria Math" w:hAnsi="Cambria Math"/>
                  <w:i/>
                </w:rPr>
              </m:ctrlPr>
            </m:sub>
            <m:sup>
              <m:r>
                <m:rPr/>
                <w:rPr>
                  <w:rFonts w:hint="eastAsia" w:ascii="Cambria Math" w:hAnsi="Cambria Math"/>
                </w:rPr>
                <m:t>n</m:t>
              </m:r>
              <m:ctrlPr>
                <w:rPr>
                  <w:rFonts w:ascii="Cambria Math" w:hAnsi="Cambria Math"/>
                  <w:i/>
                </w:rPr>
              </m:ctrlPr>
            </m:sup>
            <m:e>
              <m:sSub>
                <m:sSubPr>
                  <m:ctrlPr>
                    <w:rPr>
                      <w:rFonts w:ascii="Cambria Math" w:hAnsi="Cambria Math"/>
                      <w:i/>
                    </w:rPr>
                  </m:ctrlPr>
                </m:sSubPr>
                <m:e>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B</m:t>
                      </m:r>
                      <m:r>
                        <m:rPr/>
                        <w:rPr>
                          <w:rFonts w:hint="eastAsia" w:ascii="Cambria Math" w:hAnsi="Cambria Math"/>
                        </w:rPr>
                        <m:t>i</m:t>
                      </m:r>
                      <m:ctrlPr>
                        <w:rPr>
                          <w:rFonts w:ascii="Cambria Math" w:hAnsi="Cambria Math"/>
                          <w:i/>
                        </w:rPr>
                      </m:ctrlPr>
                    </m:sub>
                  </m:sSub>
                  <m:r>
                    <m:rPr/>
                    <w:rPr>
                      <w:rFonts w:ascii="Cambria Math" w:hAnsi="Cambria Math"/>
                    </w:rPr>
                    <m:t>×B</m:t>
                  </m:r>
                  <m:ctrlPr>
                    <w:rPr>
                      <w:rFonts w:ascii="Cambria Math" w:hAnsi="Cambria Math"/>
                      <w:i/>
                    </w:rPr>
                  </m:ctrlPr>
                </m:e>
                <m:sub>
                  <m:r>
                    <m:rPr/>
                    <w:rPr>
                      <w:rFonts w:ascii="Cambria Math" w:hAnsi="Cambria Math"/>
                    </w:rPr>
                    <m:t>Bi</m:t>
                  </m:r>
                  <m:ctrlPr>
                    <w:rPr>
                      <w:rFonts w:ascii="Cambria Math" w:hAnsi="Cambria Math"/>
                      <w:i/>
                    </w:rPr>
                  </m:ctrlPr>
                </m:sub>
              </m:sSub>
              <m:r>
                <m:rPr/>
                <w:rPr>
                  <w:rFonts w:ascii="Cambria Math" w:hAnsi="Cambria Math"/>
                </w:rPr>
                <m:t>×C</m:t>
              </m:r>
              <m:sSub>
                <m:sSubPr>
                  <m:ctrlPr>
                    <w:rPr>
                      <w:rFonts w:ascii="Cambria Math" w:hAnsi="Cambria Math"/>
                      <w:i/>
                    </w:rPr>
                  </m:ctrlPr>
                </m:sSubPr>
                <m:e>
                  <m:r>
                    <m:rPr/>
                    <w:rPr>
                      <w:rFonts w:ascii="Cambria Math" w:hAnsi="Cambria Math"/>
                    </w:rPr>
                    <m:t>F</m:t>
                  </m:r>
                  <m:ctrlPr>
                    <w:rPr>
                      <w:rFonts w:ascii="Cambria Math" w:hAnsi="Cambria Math"/>
                      <w:i/>
                    </w:rPr>
                  </m:ctrlPr>
                </m:e>
                <m:sub>
                  <m:r>
                    <m:rPr/>
                    <w:rPr>
                      <w:rFonts w:ascii="Cambria Math" w:hAnsi="Cambria Math"/>
                    </w:rPr>
                    <m:t>Bi</m:t>
                  </m:r>
                  <m:ctrlPr>
                    <w:rPr>
                      <w:rFonts w:ascii="Cambria Math" w:hAnsi="Cambria Math"/>
                      <w:i/>
                    </w:rPr>
                  </m:ctrlPr>
                </m:sub>
              </m:sSub>
              <m:ctrlPr>
                <w:rPr>
                  <w:rFonts w:ascii="Cambria Math" w:hAnsi="Cambria Math"/>
                  <w:i/>
                </w:rPr>
              </m:ctrlPr>
            </m:e>
          </m:nary>
        </m:oMath>
      </m:oMathPara>
    </w:p>
    <w:p w14:paraId="2817998D">
      <w:pPr>
        <w:pStyle w:val="60"/>
        <w:tabs>
          <w:tab w:val="left" w:pos="210"/>
        </w:tabs>
      </w:pPr>
      <w:r>
        <w:t>式中，</w:t>
      </w:r>
      <w:r>
        <w:rPr>
          <w:i/>
          <w:iCs/>
        </w:rPr>
        <w:t>C</w:t>
      </w:r>
      <w:r>
        <w:rPr>
          <w:rFonts w:hint="eastAsia"/>
          <w:i/>
          <w:iCs/>
          <w:vertAlign w:val="subscript"/>
        </w:rPr>
        <w:t>B</w:t>
      </w:r>
      <w:r>
        <w:t>——为湿地</w:t>
      </w:r>
      <w:r>
        <w:rPr>
          <w:rFonts w:hint="eastAsia"/>
        </w:rPr>
        <w:t>灌木</w:t>
      </w:r>
      <w:r>
        <w:t>层碳储量，单位为吨碳（t C）；</w:t>
      </w:r>
    </w:p>
    <w:p w14:paraId="2C6A878F">
      <w:pPr>
        <w:pStyle w:val="60"/>
        <w:ind w:firstLine="1050" w:firstLineChars="500"/>
      </w:pPr>
      <w:r>
        <w:rPr>
          <w:i/>
          <w:iCs/>
        </w:rPr>
        <w:t>n</w:t>
      </w:r>
      <w:r>
        <w:t>——为水生植物物种数量；</w:t>
      </w:r>
    </w:p>
    <w:p w14:paraId="0DDF462B">
      <w:pPr>
        <w:pStyle w:val="60"/>
        <w:ind w:firstLine="1050" w:firstLineChars="500"/>
      </w:pPr>
      <w:r>
        <w:rPr>
          <w:i/>
          <w:iCs/>
        </w:rPr>
        <w:t>i</w:t>
      </w:r>
      <w:r>
        <w:t xml:space="preserve">——为第 </w:t>
      </w:r>
      <w:r>
        <w:rPr>
          <w:i/>
          <w:iCs/>
        </w:rPr>
        <w:t>i</w:t>
      </w:r>
      <w:r>
        <w:t xml:space="preserve"> 种</w:t>
      </w:r>
      <w:r>
        <w:rPr>
          <w:rFonts w:hint="eastAsia"/>
        </w:rPr>
        <w:t>灌木</w:t>
      </w:r>
      <w:r>
        <w:t>植物；</w:t>
      </w:r>
    </w:p>
    <w:p w14:paraId="499386D9">
      <w:pPr>
        <w:pStyle w:val="60"/>
        <w:ind w:firstLine="1050" w:firstLineChars="500"/>
        <w:rPr>
          <w:i/>
          <w:iCs/>
        </w:rPr>
      </w:pPr>
      <w:r>
        <w:rPr>
          <w:i/>
          <w:iCs/>
        </w:rPr>
        <w:t>A</w:t>
      </w:r>
      <w:r>
        <w:rPr>
          <w:rFonts w:hint="eastAsia"/>
          <w:i/>
          <w:iCs/>
          <w:vertAlign w:val="subscript"/>
        </w:rPr>
        <w:t>Bi</w:t>
      </w:r>
      <w:r>
        <w:t xml:space="preserve">——为第 </w:t>
      </w:r>
      <w:r>
        <w:rPr>
          <w:i/>
          <w:iCs/>
        </w:rPr>
        <w:t>i</w:t>
      </w:r>
      <w:r>
        <w:t xml:space="preserve"> 种湿地</w:t>
      </w:r>
      <w:r>
        <w:rPr>
          <w:rFonts w:hint="eastAsia"/>
        </w:rPr>
        <w:t>灌木植物</w:t>
      </w:r>
      <w:r>
        <w:t>面积，单位为平方米（m</w:t>
      </w:r>
      <w:r>
        <w:rPr>
          <w:vertAlign w:val="superscript"/>
        </w:rPr>
        <w:t>2</w:t>
      </w:r>
      <w:r>
        <w:t>）；</w:t>
      </w:r>
    </w:p>
    <w:p w14:paraId="3BA8FCE6">
      <w:pPr>
        <w:pStyle w:val="60"/>
        <w:ind w:firstLine="1050" w:firstLineChars="500"/>
      </w:pPr>
      <w:r>
        <w:rPr>
          <w:i/>
          <w:iCs/>
        </w:rPr>
        <w:t>B</w:t>
      </w:r>
      <w:r>
        <w:rPr>
          <w:rFonts w:hint="eastAsia"/>
          <w:i/>
          <w:iCs/>
          <w:vertAlign w:val="subscript"/>
        </w:rPr>
        <w:t>Bi</w:t>
      </w:r>
      <w:r>
        <w:t xml:space="preserve">——为第 </w:t>
      </w:r>
      <w:r>
        <w:rPr>
          <w:i/>
          <w:iCs/>
        </w:rPr>
        <w:t>i</w:t>
      </w:r>
      <w:r>
        <w:t xml:space="preserve"> 种湿地</w:t>
      </w:r>
      <w:r>
        <w:rPr>
          <w:rFonts w:hint="eastAsia"/>
        </w:rPr>
        <w:t>灌木植物单位面积</w:t>
      </w:r>
      <w:r>
        <w:t>生物量，单位为吨碳每平方米（t C/m</w:t>
      </w:r>
      <w:r>
        <w:rPr>
          <w:vertAlign w:val="superscript"/>
        </w:rPr>
        <w:t>2</w:t>
      </w:r>
      <w:r>
        <w:t>）；</w:t>
      </w:r>
    </w:p>
    <w:p w14:paraId="5CFADF6A">
      <w:pPr>
        <w:pStyle w:val="60"/>
        <w:ind w:firstLine="1050" w:firstLineChars="500"/>
      </w:pPr>
      <w:r>
        <w:rPr>
          <w:i/>
          <w:iCs/>
        </w:rPr>
        <w:t>CF</w:t>
      </w:r>
      <w:r>
        <w:rPr>
          <w:rFonts w:hint="eastAsia"/>
          <w:i/>
          <w:iCs/>
          <w:vertAlign w:val="subscript"/>
        </w:rPr>
        <w:t>Bi</w:t>
      </w:r>
      <w:r>
        <w:t xml:space="preserve">——为第 </w:t>
      </w:r>
      <w:r>
        <w:rPr>
          <w:i/>
          <w:iCs/>
        </w:rPr>
        <w:t>i</w:t>
      </w:r>
      <w:r>
        <w:t xml:space="preserve"> 种</w:t>
      </w:r>
      <w:r>
        <w:rPr>
          <w:rFonts w:hint="eastAsia"/>
        </w:rPr>
        <w:t>灌木植物</w:t>
      </w:r>
      <w:r>
        <w:t>含碳率</w:t>
      </w:r>
      <w:r>
        <w:rPr>
          <w:rFonts w:hint="eastAsia"/>
        </w:rPr>
        <w:t>，质量分数（%）</w:t>
      </w:r>
      <w:r>
        <w:t>。</w:t>
      </w:r>
    </w:p>
    <w:p w14:paraId="1F1BC19C">
      <w:pPr>
        <w:pStyle w:val="69"/>
        <w:ind w:firstLine="420" w:firstLineChars="200"/>
        <w:rPr>
          <w:rFonts w:ascii="Times New Roman"/>
        </w:rPr>
      </w:pPr>
      <w:r>
        <w:rPr>
          <w:rFonts w:ascii="Times New Roman"/>
        </w:rPr>
        <w:t>草本层</w:t>
      </w:r>
    </w:p>
    <w:p w14:paraId="2B9C5219">
      <w:pPr>
        <w:pStyle w:val="60"/>
      </w:pPr>
      <w:r>
        <w:rPr>
          <w:rFonts w:hint="eastAsia"/>
        </w:rPr>
        <w:t>（1）</w:t>
      </w:r>
      <w:r>
        <w:t>生物量</w:t>
      </w:r>
    </w:p>
    <w:p w14:paraId="5B0146F3">
      <w:pPr>
        <w:pStyle w:val="60"/>
      </w:pPr>
      <w:r>
        <w:rPr>
          <w:rFonts w:hint="eastAsia"/>
        </w:rPr>
        <w:t>草本植物</w:t>
      </w:r>
      <w:r>
        <w:t>生物量采用样本收获法进行测定，推算获取单位面积</w:t>
      </w:r>
      <w:r>
        <w:rPr>
          <w:rFonts w:hint="eastAsia"/>
        </w:rPr>
        <w:t>草本</w:t>
      </w:r>
      <w:r>
        <w:t>植物生物量数据。</w:t>
      </w:r>
    </w:p>
    <w:p w14:paraId="3287DD93">
      <w:pPr>
        <w:pStyle w:val="60"/>
      </w:pPr>
      <w:r>
        <w:rPr>
          <w:rFonts w:hint="eastAsia"/>
        </w:rPr>
        <w:t>地上生物量具体计算公式如下：</w:t>
      </w:r>
    </w:p>
    <w:p w14:paraId="214C0FDE">
      <w:pPr>
        <w:pStyle w:val="60"/>
      </w:pPr>
      <m:oMathPara>
        <m:oMath>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H</m:t>
              </m:r>
              <m:ctrlPr>
                <w:rPr>
                  <w:rFonts w:ascii="Cambria Math" w:hAnsi="Cambria Math"/>
                  <w:i/>
                </w:rPr>
              </m:ctrlPr>
            </m:sub>
          </m:sSub>
          <m:r>
            <m:rPr/>
            <w:rPr>
              <w:rFonts w:ascii="Cambria Math" w:hAnsi="Cambria Math"/>
            </w:rPr>
            <m:t>=</m:t>
          </m:r>
          <m:f>
            <m:fPr>
              <m:ctrlPr>
                <w:rPr>
                  <w:rFonts w:ascii="Cambria Math" w:hAnsi="Cambria Math"/>
                  <w:i/>
                </w:rPr>
              </m:ctrlPr>
            </m:fPr>
            <m:num>
              <m:sSub>
                <m:sSubPr>
                  <m:ctrlPr>
                    <w:rPr>
                      <w:rFonts w:ascii="Cambria Math" w:hAnsi="Cambria Math"/>
                      <w:i/>
                    </w:rPr>
                  </m:ctrlPr>
                </m:sSubPr>
                <m:e>
                  <m:r>
                    <m:rPr/>
                    <w:rPr>
                      <w:rFonts w:ascii="Cambria Math" w:hAnsi="Cambria Math"/>
                    </w:rPr>
                    <m:t>D</m:t>
                  </m:r>
                  <m:ctrlPr>
                    <w:rPr>
                      <w:rFonts w:ascii="Cambria Math" w:hAnsi="Cambria Math"/>
                      <w:i/>
                    </w:rPr>
                  </m:ctrlPr>
                </m:e>
                <m:sub>
                  <m:r>
                    <m:rPr/>
                    <w:rPr>
                      <w:rFonts w:ascii="Cambria Math" w:hAnsi="Cambria Math"/>
                    </w:rPr>
                    <m:t>H</m:t>
                  </m:r>
                  <m:r>
                    <m:rPr/>
                    <w:rPr>
                      <w:rFonts w:hint="eastAsia" w:ascii="Cambria Math" w:hAnsi="Cambria Math"/>
                    </w:rPr>
                    <m:t>a</m:t>
                  </m:r>
                  <m:ctrlPr>
                    <w:rPr>
                      <w:rFonts w:ascii="Cambria Math" w:hAnsi="Cambria Math"/>
                      <w:i/>
                    </w:rPr>
                  </m:ctrlPr>
                </m:sub>
              </m:sSub>
              <m:ctrlPr>
                <w:rPr>
                  <w:rFonts w:ascii="Cambria Math" w:hAnsi="Cambria Math"/>
                  <w:i/>
                </w:rPr>
              </m:ctrlPr>
            </m:num>
            <m:den>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H</m:t>
                  </m:r>
                  <m:ctrlPr>
                    <w:rPr>
                      <w:rFonts w:ascii="Cambria Math" w:hAnsi="Cambria Math"/>
                      <w:i/>
                    </w:rPr>
                  </m:ctrlPr>
                </m:sub>
              </m:sSub>
              <m:ctrlPr>
                <w:rPr>
                  <w:rFonts w:ascii="Cambria Math" w:hAnsi="Cambria Math"/>
                  <w:i/>
                </w:rPr>
              </m:ctrlPr>
            </m:den>
          </m:f>
        </m:oMath>
      </m:oMathPara>
    </w:p>
    <w:p w14:paraId="7E098BB7">
      <w:pPr>
        <w:pStyle w:val="60"/>
      </w:pPr>
      <w:r>
        <w:rPr>
          <w:rFonts w:hint="eastAsia"/>
        </w:rPr>
        <w:t>式中，</w:t>
      </w:r>
      <w:r>
        <w:rPr>
          <w:rFonts w:hint="eastAsia"/>
          <w:i/>
          <w:iCs/>
        </w:rPr>
        <w:t>AG</w:t>
      </w:r>
      <w:r>
        <w:rPr>
          <w:i/>
          <w:iCs/>
        </w:rPr>
        <w:t>B</w:t>
      </w:r>
      <w:r>
        <w:rPr>
          <w:rFonts w:hint="eastAsia"/>
          <w:i/>
          <w:iCs/>
          <w:vertAlign w:val="subscript"/>
        </w:rPr>
        <w:t>H</w:t>
      </w:r>
      <w:r>
        <w:t>——为</w:t>
      </w:r>
      <w:bookmarkStart w:id="22" w:name="OLE_LINK1"/>
      <w:r>
        <w:rPr>
          <w:rFonts w:hint="eastAsia"/>
        </w:rPr>
        <w:t>草本</w:t>
      </w:r>
      <w:bookmarkEnd w:id="22"/>
      <w:r>
        <w:t>植物</w:t>
      </w:r>
      <w:r>
        <w:rPr>
          <w:rFonts w:hint="eastAsia"/>
        </w:rPr>
        <w:t>单位面积地上</w:t>
      </w:r>
      <w:r>
        <w:t>生物量</w:t>
      </w:r>
      <w:r>
        <w:rPr>
          <w:rFonts w:hint="eastAsia"/>
        </w:rPr>
        <w:t>，单位为克每平方米（g/m</w:t>
      </w:r>
      <w:r>
        <w:rPr>
          <w:rFonts w:hint="eastAsia"/>
          <w:vertAlign w:val="superscript"/>
        </w:rPr>
        <w:t>2</w:t>
      </w:r>
      <w:r>
        <w:rPr>
          <w:rFonts w:hint="eastAsia"/>
        </w:rPr>
        <w:t>）</w:t>
      </w:r>
      <w:r>
        <w:t>；</w:t>
      </w:r>
    </w:p>
    <w:p w14:paraId="4F41E40A">
      <w:pPr>
        <w:pStyle w:val="60"/>
        <w:ind w:firstLine="1050" w:firstLineChars="500"/>
      </w:pPr>
      <w:r>
        <w:rPr>
          <w:i/>
          <w:iCs/>
        </w:rPr>
        <w:t>D</w:t>
      </w:r>
      <w:r>
        <w:rPr>
          <w:rFonts w:hint="eastAsia"/>
          <w:i/>
          <w:iCs/>
          <w:vertAlign w:val="subscript"/>
        </w:rPr>
        <w:t>Ha</w:t>
      </w:r>
      <w:r>
        <w:t>——为</w:t>
      </w:r>
      <w:r>
        <w:rPr>
          <w:rFonts w:hint="eastAsia"/>
        </w:rPr>
        <w:t>草本</w:t>
      </w:r>
      <w:r>
        <w:t>植物</w:t>
      </w:r>
      <w:r>
        <w:rPr>
          <w:rFonts w:hint="eastAsia"/>
        </w:rPr>
        <w:t>地上部分</w:t>
      </w:r>
      <w:r>
        <w:t>的干重</w:t>
      </w:r>
      <w:r>
        <w:rPr>
          <w:rFonts w:hint="eastAsia"/>
        </w:rPr>
        <w:t>，单位为克（g）</w:t>
      </w:r>
      <w:r>
        <w:t>；</w:t>
      </w:r>
    </w:p>
    <w:p w14:paraId="2DD63783">
      <w:pPr>
        <w:pStyle w:val="60"/>
        <w:ind w:firstLine="1050" w:firstLineChars="500"/>
      </w:pPr>
      <w:r>
        <w:rPr>
          <w:i/>
          <w:iCs/>
        </w:rPr>
        <w:t>A</w:t>
      </w:r>
      <w:r>
        <w:rPr>
          <w:rFonts w:hint="eastAsia"/>
          <w:i/>
          <w:iCs/>
          <w:vertAlign w:val="subscript"/>
        </w:rPr>
        <w:t>H</w:t>
      </w:r>
      <w:r>
        <w:t>——为</w:t>
      </w:r>
      <w:r>
        <w:rPr>
          <w:rFonts w:hint="eastAsia"/>
        </w:rPr>
        <w:t>草本</w:t>
      </w:r>
      <w:r>
        <w:t>样方面积</w:t>
      </w:r>
      <w:r>
        <w:rPr>
          <w:rFonts w:hint="eastAsia"/>
        </w:rPr>
        <w:t>，单位为平方米（m</w:t>
      </w:r>
      <w:r>
        <w:rPr>
          <w:rFonts w:hint="eastAsia"/>
          <w:vertAlign w:val="superscript"/>
        </w:rPr>
        <w:t>2</w:t>
      </w:r>
      <w:r>
        <w:rPr>
          <w:rFonts w:hint="eastAsia"/>
        </w:rPr>
        <w:t>）</w:t>
      </w:r>
      <w:r>
        <w:t>。</w:t>
      </w:r>
    </w:p>
    <w:p w14:paraId="0E1C7B4D">
      <w:pPr>
        <w:pStyle w:val="60"/>
      </w:pPr>
      <w:r>
        <w:rPr>
          <w:rFonts w:hint="eastAsia"/>
        </w:rPr>
        <w:t>地下生物量具体计算公式如下：</w:t>
      </w:r>
    </w:p>
    <w:p w14:paraId="75B30339">
      <w:pPr>
        <w:pStyle w:val="60"/>
      </w:pPr>
      <m:oMathPara>
        <m:oMath>
          <m:r>
            <m:rPr/>
            <w:rPr>
              <w:rFonts w:ascii="Cambria Math" w:hAnsi="Cambria Math"/>
            </w:rPr>
            <m:t>BG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H</m:t>
              </m:r>
              <m:ctrlPr>
                <w:rPr>
                  <w:rFonts w:ascii="Cambria Math" w:hAnsi="Cambria Math"/>
                  <w:i/>
                </w:rPr>
              </m:ctrlPr>
            </m:sub>
          </m:sSub>
          <m:r>
            <m:rPr/>
            <w:rPr>
              <w:rFonts w:ascii="Cambria Math" w:hAnsi="Cambria Math"/>
            </w:rPr>
            <m:t>=</m:t>
          </m:r>
          <m:f>
            <m:fPr>
              <m:ctrlPr>
                <w:rPr>
                  <w:rFonts w:ascii="Cambria Math" w:hAnsi="Cambria Math"/>
                  <w:i/>
                </w:rPr>
              </m:ctrlPr>
            </m:fPr>
            <m:num>
              <m:sSub>
                <m:sSubPr>
                  <m:ctrlPr>
                    <w:rPr>
                      <w:rFonts w:ascii="Cambria Math" w:hAnsi="Cambria Math"/>
                      <w:i/>
                    </w:rPr>
                  </m:ctrlPr>
                </m:sSubPr>
                <m:e>
                  <m:r>
                    <m:rPr/>
                    <w:rPr>
                      <w:rFonts w:ascii="Cambria Math" w:hAnsi="Cambria Math"/>
                    </w:rPr>
                    <m:t>D</m:t>
                  </m:r>
                  <m:ctrlPr>
                    <w:rPr>
                      <w:rFonts w:ascii="Cambria Math" w:hAnsi="Cambria Math"/>
                      <w:i/>
                    </w:rPr>
                  </m:ctrlPr>
                </m:e>
                <m:sub>
                  <m:r>
                    <m:rPr/>
                    <w:rPr>
                      <w:rFonts w:ascii="Cambria Math" w:hAnsi="Cambria Math"/>
                    </w:rPr>
                    <m:t>H</m:t>
                  </m:r>
                  <m:r>
                    <m:rPr/>
                    <w:rPr>
                      <w:rFonts w:hint="eastAsia" w:ascii="Cambria Math" w:hAnsi="Cambria Math"/>
                    </w:rPr>
                    <m:t>b</m:t>
                  </m:r>
                  <m:ctrlPr>
                    <w:rPr>
                      <w:rFonts w:ascii="Cambria Math" w:hAnsi="Cambria Math"/>
                      <w:i/>
                    </w:rPr>
                  </m:ctrlPr>
                </m:sub>
              </m:sSub>
              <m:ctrlPr>
                <w:rPr>
                  <w:rFonts w:ascii="Cambria Math" w:hAnsi="Cambria Math"/>
                  <w:i/>
                </w:rPr>
              </m:ctrlPr>
            </m:num>
            <m:den>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H</m:t>
                  </m:r>
                  <m:ctrlPr>
                    <w:rPr>
                      <w:rFonts w:ascii="Cambria Math" w:hAnsi="Cambria Math"/>
                      <w:i/>
                    </w:rPr>
                  </m:ctrlPr>
                </m:sub>
              </m:sSub>
              <m:ctrlPr>
                <w:rPr>
                  <w:rFonts w:ascii="Cambria Math" w:hAnsi="Cambria Math"/>
                  <w:i/>
                </w:rPr>
              </m:ctrlPr>
            </m:den>
          </m:f>
        </m:oMath>
      </m:oMathPara>
    </w:p>
    <w:p w14:paraId="6F8FA222">
      <w:pPr>
        <w:pStyle w:val="60"/>
      </w:pPr>
      <w:r>
        <w:rPr>
          <w:rFonts w:hint="eastAsia"/>
        </w:rPr>
        <w:t>式中，</w:t>
      </w:r>
      <w:r>
        <w:rPr>
          <w:rFonts w:hint="eastAsia"/>
          <w:i/>
          <w:iCs/>
        </w:rPr>
        <w:t>BG</w:t>
      </w:r>
      <w:r>
        <w:rPr>
          <w:i/>
          <w:iCs/>
        </w:rPr>
        <w:t>B</w:t>
      </w:r>
      <w:r>
        <w:rPr>
          <w:rFonts w:hint="eastAsia"/>
          <w:i/>
          <w:iCs/>
          <w:vertAlign w:val="subscript"/>
        </w:rPr>
        <w:t>H</w:t>
      </w:r>
      <w:r>
        <w:t>——为</w:t>
      </w:r>
      <w:r>
        <w:rPr>
          <w:rFonts w:hint="eastAsia"/>
        </w:rPr>
        <w:t>草本</w:t>
      </w:r>
      <w:r>
        <w:t>植物</w:t>
      </w:r>
      <w:r>
        <w:rPr>
          <w:rFonts w:hint="eastAsia"/>
        </w:rPr>
        <w:t>单位面积地下</w:t>
      </w:r>
      <w:r>
        <w:t>生物量</w:t>
      </w:r>
      <w:r>
        <w:rPr>
          <w:rFonts w:hint="eastAsia"/>
        </w:rPr>
        <w:t>，单位为克每平方米（g/m</w:t>
      </w:r>
      <w:r>
        <w:rPr>
          <w:rFonts w:hint="eastAsia"/>
          <w:vertAlign w:val="superscript"/>
        </w:rPr>
        <w:t>2</w:t>
      </w:r>
      <w:r>
        <w:rPr>
          <w:rFonts w:hint="eastAsia"/>
        </w:rPr>
        <w:t>）</w:t>
      </w:r>
      <w:r>
        <w:t>；</w:t>
      </w:r>
    </w:p>
    <w:p w14:paraId="744BD913">
      <w:pPr>
        <w:pStyle w:val="60"/>
        <w:ind w:firstLine="1050" w:firstLineChars="500"/>
      </w:pPr>
      <w:r>
        <w:rPr>
          <w:i/>
          <w:iCs/>
        </w:rPr>
        <w:t>D</w:t>
      </w:r>
      <w:r>
        <w:rPr>
          <w:rFonts w:hint="eastAsia"/>
          <w:i/>
          <w:iCs/>
          <w:vertAlign w:val="subscript"/>
        </w:rPr>
        <w:t>Hb</w:t>
      </w:r>
      <w:r>
        <w:t>——为</w:t>
      </w:r>
      <w:r>
        <w:rPr>
          <w:rFonts w:hint="eastAsia"/>
        </w:rPr>
        <w:t>草本</w:t>
      </w:r>
      <w:r>
        <w:t>植物</w:t>
      </w:r>
      <w:r>
        <w:rPr>
          <w:rFonts w:hint="eastAsia"/>
        </w:rPr>
        <w:t>地下部分</w:t>
      </w:r>
      <w:r>
        <w:t>的干重</w:t>
      </w:r>
      <w:r>
        <w:rPr>
          <w:rFonts w:hint="eastAsia"/>
        </w:rPr>
        <w:t>，单位为克（g）</w:t>
      </w:r>
      <w:r>
        <w:t>；</w:t>
      </w:r>
    </w:p>
    <w:p w14:paraId="1CD3AF4E">
      <w:pPr>
        <w:pStyle w:val="60"/>
        <w:ind w:firstLine="1050" w:firstLineChars="500"/>
      </w:pPr>
      <w:r>
        <w:rPr>
          <w:i/>
          <w:iCs/>
        </w:rPr>
        <w:t>A</w:t>
      </w:r>
      <w:r>
        <w:rPr>
          <w:rFonts w:hint="eastAsia"/>
          <w:i/>
          <w:iCs/>
          <w:vertAlign w:val="subscript"/>
        </w:rPr>
        <w:t>H</w:t>
      </w:r>
      <w:r>
        <w:t>——为</w:t>
      </w:r>
      <w:r>
        <w:rPr>
          <w:rFonts w:hint="eastAsia"/>
        </w:rPr>
        <w:t>草本</w:t>
      </w:r>
      <w:r>
        <w:t>样方面积</w:t>
      </w:r>
      <w:r>
        <w:rPr>
          <w:rFonts w:hint="eastAsia"/>
        </w:rPr>
        <w:t>，单位为平方米（m</w:t>
      </w:r>
      <w:r>
        <w:rPr>
          <w:rFonts w:hint="eastAsia"/>
          <w:vertAlign w:val="superscript"/>
        </w:rPr>
        <w:t>2</w:t>
      </w:r>
      <w:r>
        <w:rPr>
          <w:rFonts w:hint="eastAsia"/>
        </w:rPr>
        <w:t>）</w:t>
      </w:r>
      <w:r>
        <w:t>。</w:t>
      </w:r>
    </w:p>
    <w:p w14:paraId="40CFAE23">
      <w:pPr>
        <w:pStyle w:val="60"/>
      </w:pPr>
      <w:r>
        <w:rPr>
          <w:rFonts w:hint="eastAsia"/>
        </w:rPr>
        <w:t>因此，草本植物的生物量总量为：</w:t>
      </w:r>
    </w:p>
    <w:p w14:paraId="7A584A94">
      <w:pPr>
        <w:pStyle w:val="60"/>
      </w:pPr>
      <m:oMathPara>
        <m:oMath>
          <m:sSub>
            <m:sSubPr>
              <m:ctrlPr>
                <w:rPr>
                  <w:rFonts w:ascii="Cambria Math" w:hAnsi="Cambria Math"/>
                  <w:i/>
                </w:rPr>
              </m:ctrlPr>
            </m:sSubPr>
            <m:e>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H</m:t>
                  </m:r>
                  <m:ctrlPr>
                    <w:rPr>
                      <w:rFonts w:ascii="Cambria Math" w:hAnsi="Cambria Math"/>
                      <w:i/>
                    </w:rPr>
                  </m:ctrlPr>
                </m:sub>
              </m:sSub>
              <m:r>
                <m:rPr/>
                <w:rPr>
                  <w:rFonts w:ascii="Cambria Math" w:hAnsi="Cambria Math"/>
                </w:rPr>
                <m:t>=AGB</m:t>
              </m:r>
              <m:ctrlPr>
                <w:rPr>
                  <w:rFonts w:ascii="Cambria Math" w:hAnsi="Cambria Math"/>
                  <w:i/>
                </w:rPr>
              </m:ctrlPr>
            </m:e>
            <m:sub>
              <m:r>
                <m:rPr/>
                <w:rPr>
                  <w:rFonts w:ascii="Cambria Math" w:hAnsi="Cambria Math"/>
                </w:rPr>
                <m:t>H</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BGB</m:t>
              </m:r>
              <m:ctrlPr>
                <w:rPr>
                  <w:rFonts w:ascii="Cambria Math" w:hAnsi="Cambria Math"/>
                  <w:i/>
                </w:rPr>
              </m:ctrlPr>
            </m:e>
            <m:sub>
              <m:r>
                <m:rPr/>
                <w:rPr>
                  <w:rFonts w:ascii="Cambria Math" w:hAnsi="Cambria Math"/>
                </w:rPr>
                <m:t>H</m:t>
              </m:r>
              <m:ctrlPr>
                <w:rPr>
                  <w:rFonts w:ascii="Cambria Math" w:hAnsi="Cambria Math"/>
                  <w:i/>
                </w:rPr>
              </m:ctrlPr>
            </m:sub>
          </m:sSub>
        </m:oMath>
      </m:oMathPara>
    </w:p>
    <w:p w14:paraId="786A69BC">
      <w:pPr>
        <w:pStyle w:val="60"/>
      </w:pPr>
      <w:r>
        <w:rPr>
          <w:rFonts w:hint="eastAsia"/>
        </w:rPr>
        <w:t>式中，</w:t>
      </w:r>
      <w:r>
        <w:rPr>
          <w:rFonts w:hint="eastAsia"/>
          <w:i/>
          <w:iCs/>
        </w:rPr>
        <w:t>B</w:t>
      </w:r>
      <w:r>
        <w:rPr>
          <w:rFonts w:hint="eastAsia"/>
          <w:i/>
          <w:iCs/>
          <w:vertAlign w:val="subscript"/>
        </w:rPr>
        <w:t>H</w:t>
      </w:r>
      <w:r>
        <w:rPr>
          <w:rFonts w:hint="eastAsia"/>
        </w:rPr>
        <w:t>——为草本植物单位面积生物量，单位为克每平方米（g/m</w:t>
      </w:r>
      <w:r>
        <w:rPr>
          <w:rFonts w:hint="eastAsia"/>
          <w:vertAlign w:val="superscript"/>
        </w:rPr>
        <w:t>2</w:t>
      </w:r>
      <w:r>
        <w:rPr>
          <w:rFonts w:hint="eastAsia"/>
        </w:rPr>
        <w:t>）。</w:t>
      </w:r>
    </w:p>
    <w:p w14:paraId="56DC762E">
      <w:pPr>
        <w:pStyle w:val="60"/>
      </w:pPr>
      <w:r>
        <w:rPr>
          <w:rFonts w:hint="eastAsia"/>
        </w:rPr>
        <w:t>（2）</w:t>
      </w:r>
      <w:r>
        <w:t>碳储量</w:t>
      </w:r>
    </w:p>
    <w:p w14:paraId="2417B34D">
      <w:pPr>
        <w:pStyle w:val="60"/>
      </w:pPr>
      <w:r>
        <w:t>草本层碳储量采用生物量法通过实验得到植物生物量、含碳率及草本层面积，采用以下公式计算：</w:t>
      </w:r>
    </w:p>
    <w:p w14:paraId="026FBBC3">
      <w:pPr>
        <w:pStyle w:val="60"/>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H</m:t>
              </m:r>
              <m:ctrlPr>
                <w:rPr>
                  <w:rFonts w:ascii="Cambria Math" w:hAnsi="Cambria Math"/>
                  <w:i/>
                </w:rPr>
              </m:ctrlPr>
            </m:sub>
          </m:sSub>
          <m:r>
            <m:rPr/>
            <w:rPr>
              <w:rFonts w:ascii="Cambria Math" w:hAnsi="Cambria Math"/>
            </w:rPr>
            <m:t>=</m:t>
          </m:r>
          <m:nary>
            <m:naryPr>
              <m:chr m:val="∑"/>
              <m:limLoc m:val="undOvr"/>
              <m:ctrlPr>
                <w:rPr>
                  <w:rFonts w:ascii="Cambria Math" w:hAnsi="Cambria Math"/>
                  <w:i/>
                </w:rPr>
              </m:ctrlPr>
            </m:naryPr>
            <m:sub>
              <m:r>
                <m:rPr/>
                <w:rPr>
                  <w:rFonts w:hint="eastAsia" w:ascii="Cambria Math" w:hAnsi="Cambria Math"/>
                </w:rPr>
                <m:t>i</m:t>
              </m:r>
              <m:r>
                <m:rPr/>
                <w:rPr>
                  <w:rFonts w:ascii="Cambria Math" w:hAnsi="Cambria Math"/>
                </w:rPr>
                <m:t>=1</m:t>
              </m:r>
              <m:ctrlPr>
                <w:rPr>
                  <w:rFonts w:ascii="Cambria Math" w:hAnsi="Cambria Math"/>
                  <w:i/>
                </w:rPr>
              </m:ctrlPr>
            </m:sub>
            <m:sup>
              <m:r>
                <m:rPr/>
                <w:rPr>
                  <w:rFonts w:hint="eastAsia" w:ascii="Cambria Math" w:hAnsi="Cambria Math"/>
                </w:rPr>
                <m:t>n</m:t>
              </m:r>
              <m:ctrlPr>
                <w:rPr>
                  <w:rFonts w:ascii="Cambria Math" w:hAnsi="Cambria Math"/>
                  <w:i/>
                </w:rPr>
              </m:ctrlPr>
            </m:sup>
            <m:e>
              <m:sSub>
                <m:sSubPr>
                  <m:ctrlPr>
                    <w:rPr>
                      <w:rFonts w:ascii="Cambria Math" w:hAnsi="Cambria Math"/>
                      <w:i/>
                    </w:rPr>
                  </m:ctrlPr>
                </m:sSubPr>
                <m:e>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H</m:t>
                      </m:r>
                      <m:ctrlPr>
                        <w:rPr>
                          <w:rFonts w:ascii="Cambria Math" w:hAnsi="Cambria Math"/>
                          <w:i/>
                        </w:rPr>
                      </m:ctrlPr>
                    </m:sub>
                  </m:sSub>
                  <m:r>
                    <m:rPr/>
                    <w:rPr>
                      <w:rFonts w:ascii="Cambria Math" w:hAnsi="Cambria Math"/>
                    </w:rPr>
                    <m:t>×B</m:t>
                  </m:r>
                  <m:ctrlPr>
                    <w:rPr>
                      <w:rFonts w:ascii="Cambria Math" w:hAnsi="Cambria Math"/>
                      <w:i/>
                    </w:rPr>
                  </m:ctrlPr>
                </m:e>
                <m:sub>
                  <m:r>
                    <m:rPr/>
                    <w:rPr>
                      <w:rFonts w:ascii="Cambria Math" w:hAnsi="Cambria Math"/>
                    </w:rPr>
                    <m:t>H</m:t>
                  </m:r>
                  <m:ctrlPr>
                    <w:rPr>
                      <w:rFonts w:ascii="Cambria Math" w:hAnsi="Cambria Math"/>
                      <w:i/>
                    </w:rPr>
                  </m:ctrlPr>
                </m:sub>
              </m:sSub>
              <m:r>
                <m:rPr/>
                <w:rPr>
                  <w:rFonts w:ascii="Cambria Math" w:hAnsi="Cambria Math"/>
                </w:rPr>
                <m:t>×C</m:t>
              </m:r>
              <m:sSub>
                <m:sSubPr>
                  <m:ctrlPr>
                    <w:rPr>
                      <w:rFonts w:ascii="Cambria Math" w:hAnsi="Cambria Math"/>
                      <w:i/>
                    </w:rPr>
                  </m:ctrlPr>
                </m:sSubPr>
                <m:e>
                  <m:r>
                    <m:rPr/>
                    <w:rPr>
                      <w:rFonts w:ascii="Cambria Math" w:hAnsi="Cambria Math"/>
                    </w:rPr>
                    <m:t>F</m:t>
                  </m:r>
                  <m:ctrlPr>
                    <w:rPr>
                      <w:rFonts w:ascii="Cambria Math" w:hAnsi="Cambria Math"/>
                      <w:i/>
                    </w:rPr>
                  </m:ctrlPr>
                </m:e>
                <m:sub>
                  <m:r>
                    <m:rPr/>
                    <w:rPr>
                      <w:rFonts w:ascii="Cambria Math" w:hAnsi="Cambria Math"/>
                    </w:rPr>
                    <m:t>H</m:t>
                  </m:r>
                  <m:ctrlPr>
                    <w:rPr>
                      <w:rFonts w:ascii="Cambria Math" w:hAnsi="Cambria Math"/>
                      <w:i/>
                    </w:rPr>
                  </m:ctrlPr>
                </m:sub>
              </m:sSub>
              <m:ctrlPr>
                <w:rPr>
                  <w:rFonts w:ascii="Cambria Math" w:hAnsi="Cambria Math"/>
                  <w:i/>
                </w:rPr>
              </m:ctrlPr>
            </m:e>
          </m:nary>
        </m:oMath>
      </m:oMathPara>
    </w:p>
    <w:p w14:paraId="3EDEA2D6">
      <w:pPr>
        <w:pStyle w:val="60"/>
        <w:tabs>
          <w:tab w:val="left" w:pos="210"/>
        </w:tabs>
      </w:pPr>
      <w:r>
        <w:t>式中，</w:t>
      </w:r>
      <w:r>
        <w:rPr>
          <w:i/>
          <w:iCs/>
        </w:rPr>
        <w:t>C</w:t>
      </w:r>
      <w:r>
        <w:rPr>
          <w:i/>
          <w:iCs/>
          <w:vertAlign w:val="subscript"/>
        </w:rPr>
        <w:t>H</w:t>
      </w:r>
      <w:r>
        <w:t>——为湿地草本层碳储量，单位为吨碳（t C）；</w:t>
      </w:r>
    </w:p>
    <w:p w14:paraId="12BE416A">
      <w:pPr>
        <w:pStyle w:val="60"/>
        <w:ind w:firstLine="1050" w:firstLineChars="500"/>
      </w:pPr>
      <w:r>
        <w:rPr>
          <w:i/>
          <w:iCs/>
        </w:rPr>
        <w:t>n</w:t>
      </w:r>
      <w:r>
        <w:t>——为</w:t>
      </w:r>
      <w:r>
        <w:rPr>
          <w:rFonts w:hint="eastAsia"/>
        </w:rPr>
        <w:t>草本</w:t>
      </w:r>
      <w:r>
        <w:t>植物物种数量；</w:t>
      </w:r>
    </w:p>
    <w:p w14:paraId="48D22C4D">
      <w:pPr>
        <w:pStyle w:val="60"/>
        <w:ind w:firstLine="1050" w:firstLineChars="500"/>
      </w:pPr>
      <w:r>
        <w:rPr>
          <w:i/>
          <w:iCs/>
        </w:rPr>
        <w:t>i</w:t>
      </w:r>
      <w:r>
        <w:t>——为</w:t>
      </w:r>
      <w:bookmarkStart w:id="23" w:name="OLE_LINK2"/>
      <w:r>
        <w:t xml:space="preserve">第 </w:t>
      </w:r>
      <w:r>
        <w:rPr>
          <w:i/>
          <w:iCs/>
        </w:rPr>
        <w:t>i</w:t>
      </w:r>
      <w:r>
        <w:t xml:space="preserve"> 种</w:t>
      </w:r>
      <w:bookmarkEnd w:id="23"/>
      <w:r>
        <w:rPr>
          <w:rFonts w:hint="eastAsia"/>
        </w:rPr>
        <w:t>草本</w:t>
      </w:r>
      <w:r>
        <w:t>植物；</w:t>
      </w:r>
    </w:p>
    <w:p w14:paraId="6AEACB33">
      <w:pPr>
        <w:pStyle w:val="60"/>
        <w:ind w:firstLine="1050" w:firstLineChars="500"/>
        <w:rPr>
          <w:i/>
          <w:iCs/>
        </w:rPr>
      </w:pPr>
      <w:r>
        <w:rPr>
          <w:i/>
          <w:iCs/>
        </w:rPr>
        <w:t>A</w:t>
      </w:r>
      <w:r>
        <w:rPr>
          <w:i/>
          <w:iCs/>
          <w:vertAlign w:val="subscript"/>
        </w:rPr>
        <w:t>H</w:t>
      </w:r>
      <w:r>
        <w:t xml:space="preserve">——为第 </w:t>
      </w:r>
      <w:r>
        <w:rPr>
          <w:i/>
          <w:iCs/>
        </w:rPr>
        <w:t>i</w:t>
      </w:r>
      <w:r>
        <w:t xml:space="preserve"> 种湿地草本</w:t>
      </w:r>
      <w:r>
        <w:rPr>
          <w:rFonts w:hint="eastAsia"/>
        </w:rPr>
        <w:t>植物</w:t>
      </w:r>
      <w:r>
        <w:t>面积，单位为平方米（m</w:t>
      </w:r>
      <w:r>
        <w:rPr>
          <w:vertAlign w:val="superscript"/>
        </w:rPr>
        <w:t>2</w:t>
      </w:r>
      <w:r>
        <w:t>）；</w:t>
      </w:r>
    </w:p>
    <w:p w14:paraId="13369EB0">
      <w:pPr>
        <w:pStyle w:val="60"/>
        <w:ind w:firstLine="1050" w:firstLineChars="500"/>
      </w:pPr>
      <w:r>
        <w:rPr>
          <w:i/>
          <w:iCs/>
        </w:rPr>
        <w:t>B</w:t>
      </w:r>
      <w:r>
        <w:rPr>
          <w:i/>
          <w:iCs/>
          <w:vertAlign w:val="subscript"/>
        </w:rPr>
        <w:t>H</w:t>
      </w:r>
      <w:r>
        <w:t xml:space="preserve">——为第 </w:t>
      </w:r>
      <w:r>
        <w:rPr>
          <w:i/>
          <w:iCs/>
        </w:rPr>
        <w:t>i</w:t>
      </w:r>
      <w:r>
        <w:t xml:space="preserve"> 种湿地草本</w:t>
      </w:r>
      <w:r>
        <w:rPr>
          <w:rFonts w:hint="eastAsia"/>
        </w:rPr>
        <w:t>植物单位面积</w:t>
      </w:r>
      <w:r>
        <w:t>生物量，单位为吨碳每平方米（t C/m</w:t>
      </w:r>
      <w:r>
        <w:rPr>
          <w:vertAlign w:val="superscript"/>
        </w:rPr>
        <w:t>2</w:t>
      </w:r>
      <w:r>
        <w:t>）；</w:t>
      </w:r>
    </w:p>
    <w:p w14:paraId="4FB222AF">
      <w:pPr>
        <w:pStyle w:val="60"/>
        <w:ind w:firstLine="1050" w:firstLineChars="500"/>
      </w:pPr>
      <w:r>
        <w:rPr>
          <w:i/>
          <w:iCs/>
        </w:rPr>
        <w:t>CF</w:t>
      </w:r>
      <w:r>
        <w:rPr>
          <w:i/>
          <w:iCs/>
          <w:vertAlign w:val="subscript"/>
        </w:rPr>
        <w:t>H</w:t>
      </w:r>
      <w:r>
        <w:t xml:space="preserve">——为第 </w:t>
      </w:r>
      <w:r>
        <w:rPr>
          <w:i/>
          <w:iCs/>
        </w:rPr>
        <w:t>i</w:t>
      </w:r>
      <w:r>
        <w:t xml:space="preserve"> 种草本</w:t>
      </w:r>
      <w:r>
        <w:rPr>
          <w:rFonts w:hint="eastAsia"/>
        </w:rPr>
        <w:t>植物</w:t>
      </w:r>
      <w:r>
        <w:t>含碳率</w:t>
      </w:r>
      <w:r>
        <w:rPr>
          <w:rFonts w:hint="eastAsia"/>
        </w:rPr>
        <w:t>，质量分数（%）</w:t>
      </w:r>
      <w:r>
        <w:t>。</w:t>
      </w:r>
    </w:p>
    <w:p w14:paraId="6D56D406">
      <w:pPr>
        <w:pStyle w:val="69"/>
        <w:ind w:firstLine="420" w:firstLineChars="200"/>
        <w:rPr>
          <w:rFonts w:ascii="Times New Roman"/>
        </w:rPr>
      </w:pPr>
      <w:r>
        <w:rPr>
          <w:rFonts w:ascii="Times New Roman"/>
        </w:rPr>
        <w:t>水生植物</w:t>
      </w:r>
    </w:p>
    <w:p w14:paraId="43B9A88D">
      <w:pPr>
        <w:pStyle w:val="98"/>
      </w:pPr>
      <w:r>
        <w:rPr>
          <w:rFonts w:hint="eastAsia"/>
        </w:rPr>
        <w:t>挺水植物</w:t>
      </w:r>
    </w:p>
    <w:p w14:paraId="338F6EDA">
      <w:pPr>
        <w:pStyle w:val="60"/>
        <w:ind w:firstLineChars="0"/>
      </w:pPr>
      <w:r>
        <w:rPr>
          <w:rFonts w:hint="eastAsia"/>
        </w:rPr>
        <w:t>（1）生物量</w:t>
      </w:r>
    </w:p>
    <w:p w14:paraId="63A4C354">
      <w:pPr>
        <w:pStyle w:val="60"/>
      </w:pPr>
      <w:r>
        <w:rPr>
          <w:rFonts w:hint="eastAsia"/>
        </w:rPr>
        <w:t>①收获法</w:t>
      </w:r>
    </w:p>
    <w:p w14:paraId="0144793C">
      <w:pPr>
        <w:pStyle w:val="60"/>
      </w:pPr>
      <w:r>
        <w:rPr>
          <w:rFonts w:hint="eastAsia"/>
        </w:rPr>
        <w:t>挺水</w:t>
      </w:r>
      <w:r>
        <w:t>植物生物量采用样本收获法进行测定，推算获取单位面积水生植物生物量数据。</w:t>
      </w:r>
      <w:r>
        <w:rPr>
          <w:rFonts w:hint="eastAsia"/>
        </w:rPr>
        <w:t>水生植物生物量分地上生物量和地下生物量计算。</w:t>
      </w:r>
    </w:p>
    <w:p w14:paraId="6E1FD9CC">
      <w:pPr>
        <w:pStyle w:val="60"/>
      </w:pPr>
      <w:r>
        <w:rPr>
          <w:rFonts w:hint="eastAsia"/>
        </w:rPr>
        <w:t>地上生物量具体计算公式如下：</w:t>
      </w:r>
    </w:p>
    <w:p w14:paraId="4B66DCC2">
      <w:pPr>
        <w:pStyle w:val="60"/>
      </w:pPr>
      <m:oMathPara>
        <m:oMath>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m:t>
          </m:r>
          <m:f>
            <m:fPr>
              <m:ctrlPr>
                <w:rPr>
                  <w:rFonts w:ascii="Cambria Math" w:hAnsi="Cambria Math"/>
                  <w:i/>
                </w:rPr>
              </m:ctrlPr>
            </m:fPr>
            <m:num>
              <m:sSub>
                <m:sSubPr>
                  <m:ctrlPr>
                    <w:rPr>
                      <w:rFonts w:ascii="Cambria Math" w:hAnsi="Cambria Math"/>
                      <w:i/>
                    </w:rPr>
                  </m:ctrlPr>
                </m:sSubPr>
                <m:e>
                  <m:r>
                    <m:rPr/>
                    <w:rPr>
                      <w:rFonts w:ascii="Cambria Math" w:hAnsi="Cambria Math"/>
                    </w:rPr>
                    <m:t>D</m:t>
                  </m:r>
                  <m:ctrlPr>
                    <w:rPr>
                      <w:rFonts w:ascii="Cambria Math" w:hAnsi="Cambria Math"/>
                      <w:i/>
                    </w:rPr>
                  </m:ctrlPr>
                </m:e>
                <m:sub>
                  <m:r>
                    <m:rPr/>
                    <w:rPr>
                      <w:rFonts w:ascii="Cambria Math" w:hAnsi="Cambria Math"/>
                    </w:rPr>
                    <m:t>E</m:t>
                  </m:r>
                  <m:r>
                    <m:rPr/>
                    <w:rPr>
                      <w:rFonts w:hint="eastAsia" w:ascii="Cambria Math" w:hAnsi="Cambria Math"/>
                    </w:rPr>
                    <m:t>a</m:t>
                  </m:r>
                  <m:ctrlPr>
                    <w:rPr>
                      <w:rFonts w:ascii="Cambria Math" w:hAnsi="Cambria Math"/>
                      <w:i/>
                    </w:rPr>
                  </m:ctrlPr>
                </m:sub>
              </m:sSub>
              <m:ctrlPr>
                <w:rPr>
                  <w:rFonts w:ascii="Cambria Math" w:hAnsi="Cambria Math"/>
                  <w:i/>
                </w:rPr>
              </m:ctrlPr>
            </m:num>
            <m:den>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E</m:t>
                  </m:r>
                  <m:ctrlPr>
                    <w:rPr>
                      <w:rFonts w:ascii="Cambria Math" w:hAnsi="Cambria Math"/>
                      <w:i/>
                    </w:rPr>
                  </m:ctrlPr>
                </m:sub>
              </m:sSub>
              <m:ctrlPr>
                <w:rPr>
                  <w:rFonts w:ascii="Cambria Math" w:hAnsi="Cambria Math"/>
                  <w:i/>
                </w:rPr>
              </m:ctrlPr>
            </m:den>
          </m:f>
        </m:oMath>
      </m:oMathPara>
    </w:p>
    <w:p w14:paraId="1C64F76D">
      <w:pPr>
        <w:pStyle w:val="60"/>
      </w:pPr>
      <w:r>
        <w:rPr>
          <w:rFonts w:hint="eastAsia"/>
        </w:rPr>
        <w:t>式中，</w:t>
      </w:r>
      <w:r>
        <w:rPr>
          <w:rFonts w:hint="eastAsia"/>
          <w:i/>
          <w:iCs/>
        </w:rPr>
        <w:t>AG</w:t>
      </w:r>
      <w:r>
        <w:rPr>
          <w:i/>
          <w:iCs/>
        </w:rPr>
        <w:t>B</w:t>
      </w:r>
      <w:r>
        <w:rPr>
          <w:i/>
          <w:iCs/>
          <w:vertAlign w:val="subscript"/>
        </w:rPr>
        <w:t>E</w:t>
      </w:r>
      <w:r>
        <w:t>——为挺水植物</w:t>
      </w:r>
      <w:r>
        <w:rPr>
          <w:rFonts w:hint="eastAsia"/>
        </w:rPr>
        <w:t>单位面积地上</w:t>
      </w:r>
      <w:r>
        <w:t>生物量</w:t>
      </w:r>
      <w:r>
        <w:rPr>
          <w:rFonts w:hint="eastAsia"/>
        </w:rPr>
        <w:t>，单位为克每平方米（g</w:t>
      </w:r>
      <w:r>
        <w:t>·</w:t>
      </w:r>
      <w:r>
        <w:rPr>
          <w:rFonts w:hint="eastAsia"/>
        </w:rPr>
        <w:t>m</w:t>
      </w:r>
      <w:r>
        <w:rPr>
          <w:rFonts w:hint="eastAsia"/>
          <w:vertAlign w:val="superscript"/>
        </w:rPr>
        <w:t>-2</w:t>
      </w:r>
      <w:r>
        <w:rPr>
          <w:rFonts w:hint="eastAsia"/>
        </w:rPr>
        <w:t>）</w:t>
      </w:r>
      <w:r>
        <w:t>；</w:t>
      </w:r>
    </w:p>
    <w:p w14:paraId="29E64C6B">
      <w:pPr>
        <w:pStyle w:val="60"/>
        <w:ind w:firstLine="1050" w:firstLineChars="500"/>
      </w:pPr>
      <w:r>
        <w:rPr>
          <w:i/>
          <w:iCs/>
        </w:rPr>
        <w:t>D</w:t>
      </w:r>
      <w:r>
        <w:rPr>
          <w:rFonts w:hint="eastAsia"/>
          <w:i/>
          <w:iCs/>
          <w:vertAlign w:val="subscript"/>
        </w:rPr>
        <w:t>Ea</w:t>
      </w:r>
      <w:r>
        <w:t>——为挺水植物</w:t>
      </w:r>
      <w:r>
        <w:rPr>
          <w:rFonts w:hint="eastAsia"/>
        </w:rPr>
        <w:t>地上部分</w:t>
      </w:r>
      <w:r>
        <w:t>的干重</w:t>
      </w:r>
      <w:r>
        <w:rPr>
          <w:rFonts w:hint="eastAsia"/>
        </w:rPr>
        <w:t>，单位为克（g）</w:t>
      </w:r>
      <w:r>
        <w:t>；</w:t>
      </w:r>
    </w:p>
    <w:p w14:paraId="36E353B8">
      <w:pPr>
        <w:pStyle w:val="60"/>
        <w:ind w:firstLine="1050" w:firstLineChars="500"/>
      </w:pPr>
      <w:r>
        <w:rPr>
          <w:i/>
          <w:iCs/>
        </w:rPr>
        <w:t>A</w:t>
      </w:r>
      <w:r>
        <w:rPr>
          <w:i/>
          <w:iCs/>
          <w:vertAlign w:val="subscript"/>
        </w:rPr>
        <w:t>E</w:t>
      </w:r>
      <w:r>
        <w:t>——为样方面积</w:t>
      </w:r>
      <w:r>
        <w:rPr>
          <w:rFonts w:hint="eastAsia"/>
        </w:rPr>
        <w:t>，单位为平方米（m</w:t>
      </w:r>
      <w:r>
        <w:rPr>
          <w:rFonts w:hint="eastAsia"/>
          <w:vertAlign w:val="superscript"/>
        </w:rPr>
        <w:t>2</w:t>
      </w:r>
      <w:r>
        <w:rPr>
          <w:rFonts w:hint="eastAsia"/>
        </w:rPr>
        <w:t>）</w:t>
      </w:r>
      <w:r>
        <w:t>。</w:t>
      </w:r>
    </w:p>
    <w:p w14:paraId="61A97A8A">
      <w:pPr>
        <w:pStyle w:val="60"/>
      </w:pPr>
      <w:r>
        <w:rPr>
          <w:rFonts w:hint="eastAsia"/>
        </w:rPr>
        <w:t>地下生物量具体计算公式如下：</w:t>
      </w:r>
    </w:p>
    <w:p w14:paraId="2C2A1393">
      <w:pPr>
        <w:pStyle w:val="60"/>
      </w:pPr>
      <m:oMathPara>
        <m:oMath>
          <m:r>
            <m:rPr/>
            <w:rPr>
              <w:rFonts w:ascii="Cambria Math" w:hAnsi="Cambria Math"/>
            </w:rPr>
            <m:t>BG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m:t>
          </m:r>
          <m:f>
            <m:fPr>
              <m:ctrlPr>
                <w:rPr>
                  <w:rFonts w:ascii="Cambria Math" w:hAnsi="Cambria Math"/>
                  <w:i/>
                </w:rPr>
              </m:ctrlPr>
            </m:fPr>
            <m:num>
              <m:sSub>
                <m:sSubPr>
                  <m:ctrlPr>
                    <w:rPr>
                      <w:rFonts w:ascii="Cambria Math" w:hAnsi="Cambria Math"/>
                      <w:i/>
                    </w:rPr>
                  </m:ctrlPr>
                </m:sSubPr>
                <m:e>
                  <m:r>
                    <m:rPr/>
                    <w:rPr>
                      <w:rFonts w:ascii="Cambria Math" w:hAnsi="Cambria Math"/>
                    </w:rPr>
                    <m:t>D</m:t>
                  </m:r>
                  <m:ctrlPr>
                    <w:rPr>
                      <w:rFonts w:ascii="Cambria Math" w:hAnsi="Cambria Math"/>
                      <w:i/>
                    </w:rPr>
                  </m:ctrlPr>
                </m:e>
                <m:sub>
                  <m:r>
                    <m:rPr/>
                    <w:rPr>
                      <w:rFonts w:ascii="Cambria Math" w:hAnsi="Cambria Math"/>
                    </w:rPr>
                    <m:t>E</m:t>
                  </m:r>
                  <m:r>
                    <m:rPr/>
                    <w:rPr>
                      <w:rFonts w:hint="eastAsia" w:ascii="Cambria Math" w:hAnsi="Cambria Math"/>
                    </w:rPr>
                    <m:t>b</m:t>
                  </m:r>
                  <m:ctrlPr>
                    <w:rPr>
                      <w:rFonts w:ascii="Cambria Math" w:hAnsi="Cambria Math"/>
                      <w:i/>
                    </w:rPr>
                  </m:ctrlPr>
                </m:sub>
              </m:sSub>
              <m:ctrlPr>
                <w:rPr>
                  <w:rFonts w:ascii="Cambria Math" w:hAnsi="Cambria Math"/>
                  <w:i/>
                </w:rPr>
              </m:ctrlPr>
            </m:num>
            <m:den>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E</m:t>
                  </m:r>
                  <m:ctrlPr>
                    <w:rPr>
                      <w:rFonts w:ascii="Cambria Math" w:hAnsi="Cambria Math"/>
                      <w:i/>
                    </w:rPr>
                  </m:ctrlPr>
                </m:sub>
              </m:sSub>
              <m:ctrlPr>
                <w:rPr>
                  <w:rFonts w:ascii="Cambria Math" w:hAnsi="Cambria Math"/>
                  <w:i/>
                </w:rPr>
              </m:ctrlPr>
            </m:den>
          </m:f>
        </m:oMath>
      </m:oMathPara>
    </w:p>
    <w:p w14:paraId="37D03EF4">
      <w:pPr>
        <w:pStyle w:val="60"/>
      </w:pPr>
      <w:r>
        <w:rPr>
          <w:rFonts w:hint="eastAsia"/>
        </w:rPr>
        <w:t>式中，</w:t>
      </w:r>
      <w:r>
        <w:rPr>
          <w:rFonts w:hint="eastAsia"/>
          <w:i/>
          <w:iCs/>
        </w:rPr>
        <w:t>BG</w:t>
      </w:r>
      <w:r>
        <w:rPr>
          <w:i/>
          <w:iCs/>
        </w:rPr>
        <w:t>B</w:t>
      </w:r>
      <w:r>
        <w:rPr>
          <w:i/>
          <w:iCs/>
          <w:vertAlign w:val="subscript"/>
        </w:rPr>
        <w:t>E</w:t>
      </w:r>
      <w:r>
        <w:t>——为挺水植物</w:t>
      </w:r>
      <w:r>
        <w:rPr>
          <w:rFonts w:hint="eastAsia"/>
        </w:rPr>
        <w:t>单位面积地下</w:t>
      </w:r>
      <w:r>
        <w:t>生物量</w:t>
      </w:r>
      <w:r>
        <w:rPr>
          <w:rFonts w:hint="eastAsia"/>
        </w:rPr>
        <w:t>，单位为克每平方米（g</w:t>
      </w:r>
      <w:r>
        <w:t>·</w:t>
      </w:r>
      <w:r>
        <w:rPr>
          <w:rFonts w:hint="eastAsia"/>
        </w:rPr>
        <w:t>m</w:t>
      </w:r>
      <w:r>
        <w:rPr>
          <w:rFonts w:hint="eastAsia"/>
          <w:vertAlign w:val="superscript"/>
        </w:rPr>
        <w:t>-2</w:t>
      </w:r>
      <w:r>
        <w:rPr>
          <w:rFonts w:hint="eastAsia"/>
        </w:rPr>
        <w:t>）</w:t>
      </w:r>
      <w:r>
        <w:t>；</w:t>
      </w:r>
    </w:p>
    <w:p w14:paraId="4B0BF01B">
      <w:pPr>
        <w:pStyle w:val="60"/>
        <w:ind w:firstLine="1050" w:firstLineChars="500"/>
      </w:pPr>
      <w:r>
        <w:rPr>
          <w:i/>
          <w:iCs/>
        </w:rPr>
        <w:t>D</w:t>
      </w:r>
      <w:r>
        <w:rPr>
          <w:rFonts w:hint="eastAsia"/>
          <w:i/>
          <w:iCs/>
          <w:vertAlign w:val="subscript"/>
        </w:rPr>
        <w:t>Eb</w:t>
      </w:r>
      <w:r>
        <w:t>——为挺水植物</w:t>
      </w:r>
      <w:r>
        <w:rPr>
          <w:rFonts w:hint="eastAsia"/>
        </w:rPr>
        <w:t>地下部分</w:t>
      </w:r>
      <w:r>
        <w:t>的干重</w:t>
      </w:r>
      <w:r>
        <w:rPr>
          <w:rFonts w:hint="eastAsia"/>
        </w:rPr>
        <w:t>，单位为克（g）。</w:t>
      </w:r>
    </w:p>
    <w:p w14:paraId="18D1102A">
      <w:pPr>
        <w:pStyle w:val="60"/>
      </w:pPr>
      <w:r>
        <w:rPr>
          <w:rFonts w:hint="eastAsia"/>
        </w:rPr>
        <w:t>②异速生长方程</w:t>
      </w:r>
    </w:p>
    <w:p w14:paraId="016EAAD2">
      <w:pPr>
        <w:pStyle w:val="60"/>
      </w:pPr>
      <w:r>
        <w:rPr>
          <w:rFonts w:hint="eastAsia"/>
        </w:rPr>
        <w:t>地上生物量可通过移速生长方程计算，利用植物株高和基径等变量，简历与生物量幂函数或对数函数回归关系，无破坏性地估算地上生物量。</w:t>
      </w:r>
    </w:p>
    <w:p w14:paraId="4E27B852">
      <w:pPr>
        <w:pStyle w:val="60"/>
        <w:numPr>
          <w:ilvl w:val="0"/>
          <w:numId w:val="33"/>
        </w:numPr>
        <w:ind w:firstLineChars="0"/>
      </w:pPr>
      <w:r>
        <w:rPr>
          <w:rFonts w:hint="eastAsia"/>
        </w:rPr>
        <w:t>幂函数模型，以高度为唯一预测变量，具体计算公式如下：</w:t>
      </w:r>
    </w:p>
    <w:p w14:paraId="49C6D055">
      <w:pPr>
        <w:pStyle w:val="60"/>
      </w:pPr>
      <m:oMathPara>
        <m:oMath>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m:t>
          </m:r>
          <m:r>
            <m:rPr/>
            <w:rPr>
              <w:rFonts w:hint="eastAsia" w:ascii="Cambria Math" w:hAnsi="Cambria Math"/>
            </w:rPr>
            <m:t>a</m:t>
          </m:r>
          <m:r>
            <m:rPr/>
            <w:rPr>
              <w:rFonts w:ascii="Cambria Math" w:hAnsi="Cambria Math"/>
            </w:rPr>
            <m:t>∙</m:t>
          </m:r>
          <m:sSup>
            <m:sSupPr>
              <m:ctrlPr>
                <w:rPr>
                  <w:rFonts w:ascii="Cambria Math" w:hAnsi="Cambria Math"/>
                  <w:i/>
                </w:rPr>
              </m:ctrlPr>
            </m:sSupPr>
            <m:e>
              <m:r>
                <m:rPr/>
                <w:rPr>
                  <w:rFonts w:ascii="Cambria Math" w:hAnsi="Cambria Math"/>
                </w:rPr>
                <m:t>H</m:t>
              </m:r>
              <m:ctrlPr>
                <w:rPr>
                  <w:rFonts w:ascii="Cambria Math" w:hAnsi="Cambria Math"/>
                  <w:i/>
                </w:rPr>
              </m:ctrlPr>
            </m:e>
            <m:sup>
              <m:r>
                <m:rPr/>
                <w:rPr>
                  <w:rFonts w:hint="eastAsia" w:ascii="Cambria Math" w:hAnsi="Cambria Math"/>
                </w:rPr>
                <m:t>b</m:t>
              </m:r>
              <m:ctrlPr>
                <w:rPr>
                  <w:rFonts w:ascii="Cambria Math" w:hAnsi="Cambria Math"/>
                  <w:i/>
                </w:rPr>
              </m:ctrlPr>
            </m:sup>
          </m:sSup>
        </m:oMath>
      </m:oMathPara>
    </w:p>
    <w:p w14:paraId="2B9E174F">
      <w:pPr>
        <w:pStyle w:val="60"/>
      </w:pPr>
      <w:r>
        <w:rPr>
          <w:rFonts w:hint="eastAsia"/>
        </w:rPr>
        <w:t>式中，</w:t>
      </w:r>
      <w:r>
        <w:rPr>
          <w:rFonts w:hint="eastAsia"/>
          <w:i/>
          <w:iCs/>
        </w:rPr>
        <w:t>a、b</w:t>
      </w:r>
      <w:r>
        <w:t>——</w:t>
      </w:r>
      <w:r>
        <w:rPr>
          <w:rFonts w:hint="eastAsia"/>
        </w:rPr>
        <w:t>为回归系数，具体参见</w:t>
      </w:r>
      <w:r>
        <w:rPr>
          <w:rFonts w:hint="eastAsia"/>
          <w:highlight w:val="yellow"/>
        </w:rPr>
        <w:t>附表</w:t>
      </w:r>
      <w:r>
        <w:rPr>
          <w:rFonts w:hint="eastAsia"/>
        </w:rPr>
        <w:t>；</w:t>
      </w:r>
    </w:p>
    <w:p w14:paraId="1F7035AA">
      <w:pPr>
        <w:pStyle w:val="60"/>
        <w:numPr>
          <w:ilvl w:val="0"/>
          <w:numId w:val="33"/>
        </w:numPr>
        <w:ind w:firstLineChars="0"/>
      </w:pPr>
      <w:r>
        <w:rPr>
          <w:rFonts w:hint="eastAsia"/>
        </w:rPr>
        <w:t>通用对数线性模型，通过高度和基径估算，具体计算公式如下：</w:t>
      </w:r>
    </w:p>
    <w:p w14:paraId="28AC2FC5">
      <w:pPr>
        <w:pStyle w:val="60"/>
      </w:pPr>
      <m:oMathPara>
        <m:oMath>
          <m:func>
            <m:funcPr>
              <m:ctrlPr>
                <w:rPr>
                  <w:rFonts w:ascii="Cambria Math" w:hAnsi="Cambria Math"/>
                  <w:i/>
                </w:rPr>
              </m:ctrlPr>
            </m:funcPr>
            <m:fName>
              <m:r>
                <m:rPr>
                  <m:sty m:val="p"/>
                </m:rPr>
                <w:rPr>
                  <w:rFonts w:ascii="Cambria Math" w:hAnsi="Cambria Math"/>
                </w:rPr>
                <m:t>ln</m:t>
              </m:r>
              <m:ctrlPr>
                <w:rPr>
                  <w:rFonts w:ascii="Cambria Math" w:hAnsi="Cambria Math"/>
                  <w:i/>
                </w:rPr>
              </m:ctrlPr>
            </m:fName>
            <m:e>
              <m:d>
                <m:dPr>
                  <m:ctrlPr>
                    <w:rPr>
                      <w:rFonts w:ascii="Cambria Math" w:hAnsi="Cambria Math"/>
                      <w:i/>
                    </w:rPr>
                  </m:ctrlPr>
                </m:dPr>
                <m:e>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E</m:t>
                      </m:r>
                      <m:ctrlPr>
                        <w:rPr>
                          <w:rFonts w:ascii="Cambria Math" w:hAnsi="Cambria Math"/>
                          <w:i/>
                        </w:rPr>
                      </m:ctrlPr>
                    </m:sub>
                  </m:sSub>
                  <m:ctrlPr>
                    <w:rPr>
                      <w:rFonts w:ascii="Cambria Math" w:hAnsi="Cambria Math"/>
                      <w:i/>
                    </w:rPr>
                  </m:ctrlPr>
                </m:e>
              </m:d>
              <m:ctrlPr>
                <w:rPr>
                  <w:rFonts w:ascii="Cambria Math" w:hAnsi="Cambria Math"/>
                  <w:i/>
                </w:rPr>
              </m:ctrlPr>
            </m:e>
          </m:func>
          <m:r>
            <m:rPr/>
            <w:rPr>
              <w:rFonts w:ascii="Cambria Math" w:hAnsi="Cambria Math"/>
            </w:rPr>
            <m:t>=</m:t>
          </m:r>
          <m:sSub>
            <m:sSubPr>
              <m:ctrlPr>
                <w:rPr>
                  <w:rFonts w:ascii="Cambria Math" w:hAnsi="Cambria Math"/>
                  <w:i/>
                </w:rPr>
              </m:ctrlPr>
            </m:sSubPr>
            <m:e>
              <m:r>
                <m:rPr/>
                <w:rPr>
                  <w:rFonts w:ascii="Cambria Math" w:hAnsi="Cambria Math"/>
                </w:rPr>
                <m:t>β</m:t>
              </m:r>
              <m:ctrlPr>
                <w:rPr>
                  <w:rFonts w:ascii="Cambria Math" w:hAnsi="Cambria Math"/>
                  <w:i/>
                </w:rPr>
              </m:ctrlPr>
            </m:e>
            <m:sub>
              <m:r>
                <m:rPr/>
                <w:rPr>
                  <w:rFonts w:ascii="Cambria Math" w:hAnsi="Cambria Math"/>
                </w:rPr>
                <m:t>0</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β</m:t>
              </m:r>
              <m:ctrlPr>
                <w:rPr>
                  <w:rFonts w:ascii="Cambria Math" w:hAnsi="Cambria Math"/>
                  <w:i/>
                </w:rPr>
              </m:ctrlPr>
            </m:e>
            <m:sub>
              <m:r>
                <m:rPr/>
                <w:rPr>
                  <w:rFonts w:ascii="Cambria Math" w:hAnsi="Cambria Math"/>
                </w:rPr>
                <m:t>1</m:t>
              </m:r>
              <m:ctrlPr>
                <w:rPr>
                  <w:rFonts w:ascii="Cambria Math" w:hAnsi="Cambria Math"/>
                  <w:i/>
                </w:rPr>
              </m:ctrlPr>
            </m:sub>
          </m:sSub>
          <m:func>
            <m:funcPr>
              <m:ctrlPr>
                <w:rPr>
                  <w:rFonts w:ascii="Cambria Math" w:hAnsi="Cambria Math"/>
                  <w:i/>
                </w:rPr>
              </m:ctrlPr>
            </m:funcPr>
            <m:fName>
              <m:r>
                <m:rPr>
                  <m:sty m:val="p"/>
                </m:rPr>
                <w:rPr>
                  <w:rFonts w:ascii="Cambria Math" w:hAnsi="Cambria Math"/>
                </w:rPr>
                <m:t>ln</m:t>
              </m:r>
              <m:ctrlPr>
                <w:rPr>
                  <w:rFonts w:ascii="Cambria Math" w:hAnsi="Cambria Math"/>
                  <w:i/>
                </w:rPr>
              </m:ctrlPr>
            </m:fName>
            <m:e>
              <m:d>
                <m:dPr>
                  <m:ctrlPr>
                    <w:rPr>
                      <w:rFonts w:ascii="Cambria Math" w:hAnsi="Cambria Math"/>
                      <w:i/>
                    </w:rPr>
                  </m:ctrlPr>
                </m:dPr>
                <m:e>
                  <m:sSup>
                    <m:sSupPr>
                      <m:ctrlPr>
                        <w:rPr>
                          <w:rFonts w:ascii="Cambria Math" w:hAnsi="Cambria Math"/>
                          <w:i/>
                        </w:rPr>
                      </m:ctrlPr>
                    </m:sSupPr>
                    <m:e>
                      <m:r>
                        <m:rPr/>
                        <w:rPr>
                          <w:rFonts w:ascii="Cambria Math" w:hAnsi="Cambria Math"/>
                        </w:rPr>
                        <m:t>D</m:t>
                      </m:r>
                      <m:ctrlPr>
                        <w:rPr>
                          <w:rFonts w:ascii="Cambria Math" w:hAnsi="Cambria Math"/>
                          <w:i/>
                        </w:rPr>
                      </m:ctrlPr>
                    </m:e>
                    <m:sup>
                      <m:r>
                        <m:rPr/>
                        <w:rPr>
                          <w:rFonts w:ascii="Cambria Math" w:hAnsi="Cambria Math"/>
                        </w:rPr>
                        <m:t>2</m:t>
                      </m:r>
                      <m:ctrlPr>
                        <w:rPr>
                          <w:rFonts w:ascii="Cambria Math" w:hAnsi="Cambria Math"/>
                          <w:i/>
                        </w:rPr>
                      </m:ctrlPr>
                    </m:sup>
                  </m:sSup>
                  <m:r>
                    <m:rPr/>
                    <w:rPr>
                      <w:rFonts w:ascii="Cambria Math" w:hAnsi="Cambria Math"/>
                    </w:rPr>
                    <m:t>∙H</m:t>
                  </m:r>
                  <m:ctrlPr>
                    <w:rPr>
                      <w:rFonts w:ascii="Cambria Math" w:hAnsi="Cambria Math"/>
                      <w:i/>
                    </w:rPr>
                  </m:ctrlPr>
                </m:e>
              </m:d>
              <m:r>
                <m:rPr/>
                <w:rPr>
                  <w:rFonts w:ascii="Cambria Math" w:hAnsi="Cambria Math"/>
                </w:rPr>
                <m:t>+ϵ</m:t>
              </m:r>
              <m:ctrlPr>
                <w:rPr>
                  <w:rFonts w:ascii="Cambria Math" w:hAnsi="Cambria Math"/>
                  <w:i/>
                </w:rPr>
              </m:ctrlPr>
            </m:e>
          </m:func>
        </m:oMath>
      </m:oMathPara>
    </w:p>
    <w:p w14:paraId="1065BF80">
      <w:pPr>
        <w:pStyle w:val="60"/>
      </w:pPr>
      <w:r>
        <w:rPr>
          <w:rFonts w:hint="eastAsia"/>
        </w:rPr>
        <w:t>或</w:t>
      </w:r>
    </w:p>
    <w:p w14:paraId="7616C770">
      <w:pPr>
        <w:pStyle w:val="60"/>
      </w:pPr>
      <m:oMathPara>
        <m:oMath>
          <m:r>
            <m:rPr/>
            <w:rPr>
              <w:rFonts w:ascii="Cambria Math" w:hAnsi="Cambria Math"/>
            </w:rPr>
            <m:t>AG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m:t>
          </m:r>
          <m:r>
            <m:rPr/>
            <w:rPr>
              <w:rFonts w:hint="eastAsia" w:ascii="Cambria Math" w:hAnsi="Cambria Math"/>
            </w:rPr>
            <m:t>a</m:t>
          </m:r>
          <m:r>
            <m:rPr/>
            <w:rPr>
              <w:rFonts w:ascii="Cambria Math" w:hAnsi="Cambria Math"/>
            </w:rPr>
            <m:t>∙</m:t>
          </m:r>
          <m:sSup>
            <m:sSupPr>
              <m:ctrlPr>
                <w:rPr>
                  <w:rFonts w:ascii="Cambria Math" w:hAnsi="Cambria Math"/>
                  <w:i/>
                </w:rPr>
              </m:ctrlPr>
            </m:sSupPr>
            <m:e>
              <m:d>
                <m:dPr>
                  <m:ctrlPr>
                    <w:rPr>
                      <w:rFonts w:ascii="Cambria Math" w:hAnsi="Cambria Math"/>
                      <w:i/>
                    </w:rPr>
                  </m:ctrlPr>
                </m:dPr>
                <m:e>
                  <m:sSup>
                    <m:sSupPr>
                      <m:ctrlPr>
                        <w:rPr>
                          <w:rFonts w:ascii="Cambria Math" w:hAnsi="Cambria Math"/>
                          <w:i/>
                        </w:rPr>
                      </m:ctrlPr>
                    </m:sSupPr>
                    <m:e>
                      <m:r>
                        <m:rPr/>
                        <w:rPr>
                          <w:rFonts w:ascii="Cambria Math" w:hAnsi="Cambria Math"/>
                        </w:rPr>
                        <m:t>D</m:t>
                      </m:r>
                      <m:ctrlPr>
                        <w:rPr>
                          <w:rFonts w:ascii="Cambria Math" w:hAnsi="Cambria Math"/>
                          <w:i/>
                        </w:rPr>
                      </m:ctrlPr>
                    </m:e>
                    <m:sup>
                      <m:r>
                        <m:rPr/>
                        <w:rPr>
                          <w:rFonts w:ascii="Cambria Math" w:hAnsi="Cambria Math"/>
                        </w:rPr>
                        <m:t>2</m:t>
                      </m:r>
                      <m:ctrlPr>
                        <w:rPr>
                          <w:rFonts w:ascii="Cambria Math" w:hAnsi="Cambria Math"/>
                          <w:i/>
                        </w:rPr>
                      </m:ctrlPr>
                    </m:sup>
                  </m:sSup>
                  <m:r>
                    <m:rPr/>
                    <w:rPr>
                      <w:rFonts w:ascii="Cambria Math" w:hAnsi="Cambria Math"/>
                    </w:rPr>
                    <m:t>∙H</m:t>
                  </m:r>
                  <m:ctrlPr>
                    <w:rPr>
                      <w:rFonts w:ascii="Cambria Math" w:hAnsi="Cambria Math"/>
                      <w:i/>
                    </w:rPr>
                  </m:ctrlPr>
                </m:e>
              </m:d>
              <m:ctrlPr>
                <w:rPr>
                  <w:rFonts w:ascii="Cambria Math" w:hAnsi="Cambria Math"/>
                  <w:i/>
                </w:rPr>
              </m:ctrlPr>
            </m:e>
            <m:sup>
              <m:r>
                <m:rPr/>
                <w:rPr>
                  <w:rFonts w:hint="eastAsia" w:ascii="Cambria Math" w:hAnsi="Cambria Math"/>
                </w:rPr>
                <m:t>b</m:t>
              </m:r>
              <m:ctrlPr>
                <w:rPr>
                  <w:rFonts w:ascii="Cambria Math" w:hAnsi="Cambria Math"/>
                  <w:i/>
                </w:rPr>
              </m:ctrlPr>
            </m:sup>
          </m:sSup>
        </m:oMath>
      </m:oMathPara>
    </w:p>
    <w:p w14:paraId="638B8120">
      <w:pPr>
        <w:pStyle w:val="60"/>
      </w:pPr>
      <w:r>
        <w:t>式中，</w:t>
      </w:r>
      <w:r>
        <w:rPr>
          <w:i/>
          <w:iCs/>
        </w:rPr>
        <w:t>D</w:t>
      </w:r>
      <w:r>
        <w:t>——为</w:t>
      </w:r>
      <w:r>
        <w:rPr>
          <w:rFonts w:hint="eastAsia"/>
        </w:rPr>
        <w:t>每个植物的</w:t>
      </w:r>
      <w:r>
        <w:t>基径，单位为厘米（cm）；</w:t>
      </w:r>
    </w:p>
    <w:p w14:paraId="6FCF509B">
      <w:pPr>
        <w:pStyle w:val="60"/>
        <w:ind w:firstLine="1050" w:firstLineChars="500"/>
      </w:pPr>
      <w:r>
        <w:rPr>
          <w:i/>
          <w:iCs/>
        </w:rPr>
        <w:t>H</w:t>
      </w:r>
      <w:r>
        <w:t>——为</w:t>
      </w:r>
      <w:r>
        <w:rPr>
          <w:rFonts w:hint="eastAsia"/>
        </w:rPr>
        <w:t>每个植物的</w:t>
      </w:r>
      <w:r>
        <w:t>高度，单位为米（m）；</w:t>
      </w:r>
    </w:p>
    <w:p w14:paraId="660E6B8A">
      <w:pPr>
        <w:pStyle w:val="60"/>
        <w:ind w:firstLine="1050" w:firstLineChars="500"/>
      </w:pPr>
      <w:r>
        <w:rPr>
          <w:i/>
          <w:iCs/>
        </w:rPr>
        <w:t>β</w:t>
      </w:r>
      <w:r>
        <w:rPr>
          <w:i/>
          <w:iCs/>
          <w:vertAlign w:val="subscript"/>
        </w:rPr>
        <w:t>0</w:t>
      </w:r>
      <w:r>
        <w:rPr>
          <w:i/>
          <w:iCs/>
        </w:rPr>
        <w:t>、β</w:t>
      </w:r>
      <w:r>
        <w:rPr>
          <w:i/>
          <w:iCs/>
          <w:vertAlign w:val="subscript"/>
        </w:rPr>
        <w:t>1</w:t>
      </w:r>
      <w:r>
        <w:rPr>
          <w:i/>
          <w:iCs/>
        </w:rPr>
        <w:t>、a、b、ε</w:t>
      </w:r>
      <w:r>
        <w:t>——</w:t>
      </w:r>
      <w:r>
        <w:rPr>
          <w:rFonts w:hint="eastAsia"/>
        </w:rPr>
        <w:t>为</w:t>
      </w:r>
      <w:r>
        <w:t>拟合的参数。</w:t>
      </w:r>
    </w:p>
    <w:p w14:paraId="75628627">
      <w:pPr>
        <w:pStyle w:val="60"/>
      </w:pPr>
      <w:r>
        <w:rPr>
          <w:rFonts w:hint="eastAsia"/>
        </w:rPr>
        <w:t>地下生物量根据地上生物量估算获得，采用以下公式计算：</w:t>
      </w:r>
    </w:p>
    <w:p w14:paraId="1E5A8D8D">
      <w:pPr>
        <w:pStyle w:val="60"/>
        <w:ind w:left="420" w:firstLine="0" w:firstLineChars="0"/>
      </w:pPr>
      <m:oMathPara>
        <m:oMath>
          <m:r>
            <m:rPr/>
            <w:rPr>
              <w:rFonts w:ascii="Cambria Math" w:hAnsi="Cambria Math"/>
            </w:rPr>
            <m:t>BG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m:t>
          </m:r>
          <m:f>
            <m:fPr>
              <m:ctrlPr>
                <w:rPr>
                  <w:rFonts w:ascii="Cambria Math" w:hAnsi="Cambria Math"/>
                  <w:i/>
                </w:rPr>
              </m:ctrlPr>
            </m:fPr>
            <m:num>
              <m:r>
                <m:rPr/>
                <w:rPr>
                  <w:rFonts w:ascii="Cambria Math" w:hAnsi="Cambria Math"/>
                </w:rPr>
                <m:t>R</m:t>
              </m:r>
              <m:ctrlPr>
                <w:rPr>
                  <w:rFonts w:ascii="Cambria Math" w:hAnsi="Cambria Math"/>
                  <w:i/>
                </w:rPr>
              </m:ctrlPr>
            </m:num>
            <m:den>
              <m:r>
                <m:rPr/>
                <w:rPr>
                  <w:rFonts w:ascii="Cambria Math" w:hAnsi="Cambria Math"/>
                </w:rPr>
                <m:t>S</m:t>
              </m:r>
              <m:ctrlPr>
                <w:rPr>
                  <w:rFonts w:ascii="Cambria Math" w:hAnsi="Cambria Math"/>
                  <w:i/>
                </w:rPr>
              </m:ctrlPr>
            </m:den>
          </m:f>
        </m:oMath>
      </m:oMathPara>
    </w:p>
    <w:p w14:paraId="4BB10885">
      <w:pPr>
        <w:pStyle w:val="60"/>
        <w:ind w:left="420" w:firstLine="0" w:firstLineChars="0"/>
      </w:pPr>
      <w:r>
        <w:rPr>
          <w:rFonts w:hint="eastAsia"/>
        </w:rPr>
        <w:t>式中，</w:t>
      </w:r>
      <w:r>
        <w:rPr>
          <w:i/>
          <w:iCs/>
        </w:rPr>
        <w:t>R/S</w:t>
      </w:r>
      <w:r>
        <w:t>——</w:t>
      </w:r>
      <w:r>
        <w:rPr>
          <w:rFonts w:hint="eastAsia"/>
        </w:rPr>
        <w:t>为每个植物的根冠比，通常在0.3~1.0之间。</w:t>
      </w:r>
    </w:p>
    <w:p w14:paraId="5416B6B5">
      <w:pPr>
        <w:pStyle w:val="60"/>
      </w:pPr>
      <w:r>
        <w:rPr>
          <w:rFonts w:hint="eastAsia"/>
        </w:rPr>
        <w:t>③遥感/无人机法</w:t>
      </w:r>
    </w:p>
    <w:p w14:paraId="2B16E11B">
      <w:pPr>
        <w:pStyle w:val="60"/>
      </w:pPr>
      <w:r>
        <w:rPr>
          <w:rFonts w:hint="eastAsia"/>
        </w:rPr>
        <w:t>利用无人机SfM（Structure from Motion）点云或卫星/无人机多光谱影像计算植被指数（NDVI等），与少量地面实测生物量建立回归模型，反演地上生物量。通常适用于对挺水植物的大面积监测。</w:t>
      </w:r>
    </w:p>
    <w:p w14:paraId="0946E9CA">
      <w:pPr>
        <w:pStyle w:val="60"/>
      </w:pPr>
      <w:r>
        <w:rPr>
          <w:rFonts w:hint="eastAsia"/>
        </w:rPr>
        <w:t>使用NDVI指数建立植被指数—生物量回归模型计算地上生物量，采用以下公式计算：</w:t>
      </w:r>
    </w:p>
    <w:p w14:paraId="2602F67E">
      <w:pPr>
        <w:pStyle w:val="60"/>
      </w:pPr>
      <m:oMathPara>
        <m:oMath>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=α+β∙NDVI+γ∙φ</m:t>
          </m:r>
        </m:oMath>
      </m:oMathPara>
    </w:p>
    <w:p w14:paraId="58923AB1">
      <w:pPr>
        <w:pStyle w:val="60"/>
      </w:pPr>
      <w:r>
        <w:rPr>
          <w:rFonts w:hint="eastAsia"/>
        </w:rPr>
        <w:t>或</w:t>
      </w:r>
    </w:p>
    <w:p w14:paraId="7C92AE3A">
      <w:pPr>
        <w:pStyle w:val="60"/>
      </w:pPr>
      <m:oMathPara>
        <m:oMath>
          <m:sSub>
            <m:sSubPr>
              <m:ctrlPr>
                <w:rPr>
                  <w:rFonts w:ascii="Cambria Math" w:hAnsi="Cambria Math"/>
                  <w:i/>
                </w:rPr>
              </m:ctrlPr>
            </m:sSubPr>
            <m:e>
              <m:r>
                <m:rPr/>
                <w:rPr>
                  <w:rFonts w:ascii="Cambria Math" w:hAnsi="Cambria Math"/>
                </w:rPr>
                <m:t>AGB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m:t>
          </m:r>
          <m:r>
            <m:rPr/>
            <w:rPr>
              <w:rFonts w:hint="eastAsia" w:ascii="Cambria Math" w:hAnsi="Cambria Math"/>
            </w:rPr>
            <m:t>a</m:t>
          </m:r>
          <m:r>
            <m:rPr/>
            <w:rPr>
              <w:rFonts w:ascii="Cambria Math" w:hAnsi="Cambria Math"/>
            </w:rPr>
            <m:t>∙</m:t>
          </m:r>
          <m:sSup>
            <m:sSupPr>
              <m:ctrlPr>
                <w:rPr>
                  <w:rFonts w:ascii="Cambria Math" w:hAnsi="Cambria Math"/>
                  <w:i/>
                </w:rPr>
              </m:ctrlPr>
            </m:sSupPr>
            <m:e>
              <m:r>
                <m:rPr/>
                <w:rPr>
                  <w:rFonts w:ascii="Cambria Math" w:hAnsi="Cambria Math"/>
                </w:rPr>
                <m:t>NDVI</m:t>
              </m:r>
              <m:ctrlPr>
                <w:rPr>
                  <w:rFonts w:ascii="Cambria Math" w:hAnsi="Cambria Math"/>
                  <w:i/>
                </w:rPr>
              </m:ctrlPr>
            </m:e>
            <m:sup>
              <m:r>
                <m:rPr/>
                <w:rPr>
                  <w:rFonts w:hint="eastAsia" w:ascii="Cambria Math" w:hAnsi="Cambria Math"/>
                </w:rPr>
                <m:t>b</m:t>
              </m:r>
              <m:ctrlPr>
                <w:rPr>
                  <w:rFonts w:ascii="Cambria Math" w:hAnsi="Cambria Math"/>
                  <w:i/>
                </w:rPr>
              </m:ctrlPr>
            </m:sup>
          </m:sSup>
        </m:oMath>
      </m:oMathPara>
    </w:p>
    <w:p w14:paraId="5BB5D13A">
      <w:pPr>
        <w:pStyle w:val="60"/>
      </w:pPr>
      <w:r>
        <w:rPr>
          <w:rFonts w:hint="eastAsia"/>
        </w:rPr>
        <w:t>地下生物量计算方法见②中，采用地上生物量及根冠比进行估算。</w:t>
      </w:r>
    </w:p>
    <w:p w14:paraId="6D311BB3">
      <w:pPr>
        <w:pStyle w:val="60"/>
      </w:pPr>
      <w:r>
        <w:rPr>
          <w:rFonts w:hint="eastAsia"/>
        </w:rPr>
        <w:t>因此，挺水植物的生物量总量为：</w:t>
      </w:r>
    </w:p>
    <w:p w14:paraId="10008636">
      <w:pPr>
        <w:pStyle w:val="60"/>
      </w:pPr>
      <m:oMathPara>
        <m:oMath>
          <m:sSub>
            <m:sSubPr>
              <m:ctrlPr>
                <w:rPr>
                  <w:rFonts w:ascii="Cambria Math" w:hAnsi="Cambria Math"/>
                  <w:i/>
                </w:rPr>
              </m:ctrlPr>
            </m:sSubPr>
            <m:e>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=AGB</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BGB</m:t>
              </m:r>
              <m:ctrlPr>
                <w:rPr>
                  <w:rFonts w:ascii="Cambria Math" w:hAnsi="Cambria Math"/>
                  <w:i/>
                </w:rPr>
              </m:ctrlPr>
            </m:e>
            <m:sub>
              <m:r>
                <m:rPr/>
                <w:rPr>
                  <w:rFonts w:ascii="Cambria Math" w:hAnsi="Cambria Math"/>
                </w:rPr>
                <m:t>E</m:t>
              </m:r>
              <m:ctrlPr>
                <w:rPr>
                  <w:rFonts w:ascii="Cambria Math" w:hAnsi="Cambria Math"/>
                  <w:i/>
                </w:rPr>
              </m:ctrlPr>
            </m:sub>
          </m:sSub>
        </m:oMath>
      </m:oMathPara>
    </w:p>
    <w:p w14:paraId="7F29738B">
      <w:pPr>
        <w:pStyle w:val="60"/>
      </w:pPr>
      <w:r>
        <w:rPr>
          <w:rFonts w:hint="eastAsia"/>
        </w:rPr>
        <w:t>式中，</w:t>
      </w:r>
      <w:r>
        <w:rPr>
          <w:rFonts w:hint="eastAsia"/>
          <w:i/>
          <w:iCs/>
        </w:rPr>
        <w:t>B</w:t>
      </w:r>
      <w:r>
        <w:rPr>
          <w:rFonts w:hint="eastAsia"/>
          <w:i/>
          <w:iCs/>
          <w:vertAlign w:val="subscript"/>
        </w:rPr>
        <w:t>E</w:t>
      </w:r>
      <w:r>
        <w:t>——</w:t>
      </w:r>
      <w:r>
        <w:rPr>
          <w:rFonts w:hint="eastAsia"/>
        </w:rPr>
        <w:t>为挺水植物单位面积生物量，单位为克每平方米（g</w:t>
      </w:r>
      <w:r>
        <w:t>·</w:t>
      </w:r>
      <w:r>
        <w:rPr>
          <w:rFonts w:hint="eastAsia"/>
        </w:rPr>
        <w:t>m</w:t>
      </w:r>
      <w:r>
        <w:rPr>
          <w:rFonts w:hint="eastAsia"/>
          <w:vertAlign w:val="superscript"/>
        </w:rPr>
        <w:t>-2</w:t>
      </w:r>
      <w:r>
        <w:rPr>
          <w:rFonts w:hint="eastAsia"/>
        </w:rPr>
        <w:t>）。</w:t>
      </w:r>
    </w:p>
    <w:p w14:paraId="13CF30A8">
      <w:pPr>
        <w:pStyle w:val="60"/>
      </w:pPr>
      <w:r>
        <w:rPr>
          <w:rFonts w:hint="eastAsia"/>
        </w:rPr>
        <w:t>（2）碳储量</w:t>
      </w:r>
    </w:p>
    <w:p w14:paraId="58C4D4A9">
      <w:pPr>
        <w:pStyle w:val="60"/>
      </w:pPr>
      <w:r>
        <w:rPr>
          <w:rFonts w:hint="eastAsia"/>
        </w:rPr>
        <w:t>挺水</w:t>
      </w:r>
      <w:r>
        <w:t>植物碳储量</w:t>
      </w:r>
      <w:r>
        <w:rPr>
          <w:rFonts w:hint="eastAsia"/>
        </w:rPr>
        <w:t>依据生物量、含碳率及面积，采用以下公式计算：</w:t>
      </w:r>
    </w:p>
    <w:p w14:paraId="121F3C67">
      <w:pPr>
        <w:pStyle w:val="60"/>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E</m:t>
              </m:r>
              <m:ctrlPr>
                <w:rPr>
                  <w:rFonts w:ascii="Cambria Math" w:hAnsi="Cambria Math"/>
                  <w:i/>
                </w:rPr>
              </m:ctrlPr>
            </m:sub>
          </m:sSub>
          <m:r>
            <m:rPr/>
            <w:rPr>
              <w:rFonts w:ascii="Cambria Math" w:hAnsi="Cambria Math"/>
            </w:rPr>
            <m:t>=</m:t>
          </m:r>
          <m:nary>
            <m:naryPr>
              <m:chr m:val="∑"/>
              <m:limLoc m:val="undOvr"/>
              <m:ctrlPr>
                <w:rPr>
                  <w:rFonts w:ascii="Cambria Math" w:hAnsi="Cambria Math"/>
                  <w:i/>
                </w:rPr>
              </m:ctrlPr>
            </m:naryPr>
            <m:sub>
              <m:r>
                <m:rPr/>
                <w:rPr>
                  <w:rFonts w:hint="eastAsia" w:ascii="Cambria Math" w:hAnsi="Cambria Math"/>
                </w:rPr>
                <m:t>i</m:t>
              </m:r>
              <m:ctrlPr>
                <w:rPr>
                  <w:rFonts w:ascii="Cambria Math" w:hAnsi="Cambria Math"/>
                  <w:i/>
                </w:rPr>
              </m:ctrlPr>
            </m:sub>
            <m:sup>
              <m:r>
                <m:rPr/>
                <w:rPr>
                  <w:rFonts w:hint="eastAsia" w:ascii="Cambria Math" w:hAnsi="Cambria Math"/>
                </w:rPr>
                <m:t>n</m:t>
              </m:r>
              <m:ctrlPr>
                <w:rPr>
                  <w:rFonts w:ascii="Cambria Math" w:hAnsi="Cambria Math"/>
                  <w:i/>
                </w:rPr>
              </m:ctrlPr>
            </m:sup>
            <m:e>
              <m:sSub>
                <m:sSubPr>
                  <m:ctrlPr>
                    <w:rPr>
                      <w:rFonts w:ascii="Cambria Math" w:hAnsi="Cambria Math"/>
                      <w:i/>
                    </w:rPr>
                  </m:ctrlPr>
                </m:sSubPr>
                <m:e>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E</m:t>
                      </m:r>
                      <m:r>
                        <m:rPr/>
                        <w:rPr>
                          <w:rFonts w:hint="eastAsia" w:ascii="Cambria Math" w:hAnsi="Cambria Math"/>
                        </w:rPr>
                        <m:t>i</m:t>
                      </m:r>
                      <m:ctrlPr>
                        <w:rPr>
                          <w:rFonts w:ascii="Cambria Math" w:hAnsi="Cambria Math"/>
                          <w:i/>
                        </w:rPr>
                      </m:ctrlPr>
                    </m:sub>
                  </m:sSub>
                  <m:r>
                    <m:rPr/>
                    <w:rPr>
                      <w:rFonts w:ascii="Cambria Math" w:hAnsi="Cambria Math"/>
                    </w:rPr>
                    <m:t>×B</m:t>
                  </m:r>
                  <m:ctrlPr>
                    <w:rPr>
                      <w:rFonts w:ascii="Cambria Math" w:hAnsi="Cambria Math"/>
                      <w:i/>
                    </w:rPr>
                  </m:ctrlPr>
                </m:e>
                <m:sub>
                  <m:r>
                    <m:rPr/>
                    <w:rPr>
                      <w:rFonts w:ascii="Cambria Math" w:hAnsi="Cambria Math"/>
                    </w:rPr>
                    <m:t>E</m:t>
                  </m:r>
                  <m:r>
                    <m:rPr/>
                    <w:rPr>
                      <w:rFonts w:hint="eastAsia" w:ascii="Cambria Math" w:hAnsi="Cambria Math"/>
                    </w:rPr>
                    <m:t>i</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CF</m:t>
                  </m:r>
                  <m:ctrlPr>
                    <w:rPr>
                      <w:rFonts w:ascii="Cambria Math" w:hAnsi="Cambria Math"/>
                      <w:i/>
                    </w:rPr>
                  </m:ctrlPr>
                </m:e>
                <m:sub>
                  <m:r>
                    <m:rPr/>
                    <w:rPr>
                      <w:rFonts w:ascii="Cambria Math" w:hAnsi="Cambria Math"/>
                    </w:rPr>
                    <m:t>E</m:t>
                  </m:r>
                  <m:r>
                    <m:rPr/>
                    <w:rPr>
                      <w:rFonts w:hint="eastAsia" w:ascii="Cambria Math" w:hAnsi="Cambria Math"/>
                    </w:rPr>
                    <m:t>i</m:t>
                  </m:r>
                  <m:ctrlPr>
                    <w:rPr>
                      <w:rFonts w:ascii="Cambria Math" w:hAnsi="Cambria Math"/>
                      <w:i/>
                    </w:rPr>
                  </m:ctrlPr>
                </m:sub>
              </m:sSub>
              <m:ctrlPr>
                <w:rPr>
                  <w:rFonts w:ascii="Cambria Math" w:hAnsi="Cambria Math"/>
                  <w:i/>
                </w:rPr>
              </m:ctrlPr>
            </m:e>
          </m:nary>
        </m:oMath>
      </m:oMathPara>
    </w:p>
    <w:p w14:paraId="535CE933">
      <w:pPr>
        <w:pStyle w:val="60"/>
      </w:pPr>
      <w:r>
        <w:t>式中，</w:t>
      </w:r>
      <w:r>
        <w:rPr>
          <w:i/>
          <w:iCs/>
        </w:rPr>
        <w:t>C</w:t>
      </w:r>
      <w:r>
        <w:rPr>
          <w:rFonts w:hint="eastAsia"/>
          <w:i/>
          <w:iCs/>
          <w:vertAlign w:val="subscript"/>
        </w:rPr>
        <w:t>E</w:t>
      </w:r>
      <w:r>
        <w:t>——为</w:t>
      </w:r>
      <w:r>
        <w:rPr>
          <w:rFonts w:hint="eastAsia"/>
        </w:rPr>
        <w:t>挺水</w:t>
      </w:r>
      <w:r>
        <w:t>植物总碳储量，单位为吨碳（t C）；</w:t>
      </w:r>
    </w:p>
    <w:p w14:paraId="6A901E07">
      <w:pPr>
        <w:pStyle w:val="60"/>
        <w:ind w:firstLine="1050" w:firstLineChars="500"/>
      </w:pPr>
      <w:r>
        <w:rPr>
          <w:i/>
          <w:iCs/>
        </w:rPr>
        <w:t>n</w:t>
      </w:r>
      <w:r>
        <w:t>——为挺水植物物种数量；</w:t>
      </w:r>
    </w:p>
    <w:p w14:paraId="1D323C52">
      <w:pPr>
        <w:pStyle w:val="60"/>
        <w:ind w:firstLine="1050" w:firstLineChars="500"/>
      </w:pPr>
      <w:r>
        <w:rPr>
          <w:i/>
          <w:iCs/>
        </w:rPr>
        <w:t>i</w:t>
      </w:r>
      <w:r>
        <w:t xml:space="preserve">——为第 </w:t>
      </w:r>
      <w:r>
        <w:rPr>
          <w:i/>
          <w:iCs/>
        </w:rPr>
        <w:t>i</w:t>
      </w:r>
      <w:r>
        <w:t xml:space="preserve"> 种</w:t>
      </w:r>
      <w:r>
        <w:rPr>
          <w:rFonts w:hint="eastAsia"/>
        </w:rPr>
        <w:t>挺水</w:t>
      </w:r>
      <w:r>
        <w:t>植物；</w:t>
      </w:r>
    </w:p>
    <w:p w14:paraId="27089B58">
      <w:pPr>
        <w:pStyle w:val="60"/>
        <w:ind w:firstLine="1050" w:firstLineChars="500"/>
        <w:rPr>
          <w:i/>
          <w:iCs/>
        </w:rPr>
      </w:pPr>
      <w:r>
        <w:rPr>
          <w:i/>
          <w:iCs/>
        </w:rPr>
        <w:t>A</w:t>
      </w:r>
      <w:r>
        <w:rPr>
          <w:i/>
          <w:iCs/>
          <w:vertAlign w:val="subscript"/>
        </w:rPr>
        <w:t>E</w:t>
      </w:r>
      <w:r>
        <w:rPr>
          <w:rFonts w:hint="eastAsia"/>
          <w:i/>
          <w:iCs/>
          <w:vertAlign w:val="subscript"/>
        </w:rPr>
        <w:t>i</w:t>
      </w:r>
      <w:r>
        <w:t xml:space="preserve">——为第 </w:t>
      </w:r>
      <w:r>
        <w:rPr>
          <w:i/>
          <w:iCs/>
        </w:rPr>
        <w:t>i</w:t>
      </w:r>
      <w:r>
        <w:t xml:space="preserve"> 种</w:t>
      </w:r>
      <w:r>
        <w:rPr>
          <w:rFonts w:hint="eastAsia"/>
        </w:rPr>
        <w:t>挺水植物样方面积，单位为平方米（m</w:t>
      </w:r>
      <w:r>
        <w:rPr>
          <w:rFonts w:hint="eastAsia"/>
          <w:vertAlign w:val="superscript"/>
        </w:rPr>
        <w:t>2</w:t>
      </w:r>
      <w:r>
        <w:rPr>
          <w:rFonts w:hint="eastAsia"/>
        </w:rPr>
        <w:t>）；</w:t>
      </w:r>
    </w:p>
    <w:p w14:paraId="501F6E1E">
      <w:pPr>
        <w:pStyle w:val="60"/>
        <w:ind w:firstLine="1050" w:firstLineChars="500"/>
      </w:pPr>
      <w:r>
        <w:rPr>
          <w:i/>
          <w:iCs/>
        </w:rPr>
        <w:t>C</w:t>
      </w:r>
      <w:r>
        <w:rPr>
          <w:rFonts w:hint="eastAsia"/>
          <w:i/>
          <w:iCs/>
        </w:rPr>
        <w:t>F</w:t>
      </w:r>
      <w:r>
        <w:rPr>
          <w:rFonts w:hint="eastAsia"/>
          <w:i/>
          <w:iCs/>
          <w:vertAlign w:val="subscript"/>
        </w:rPr>
        <w:t>Ei</w:t>
      </w:r>
      <w:r>
        <w:t>——为</w:t>
      </w:r>
      <w:r>
        <w:rPr>
          <w:rFonts w:hint="eastAsia"/>
        </w:rPr>
        <w:t xml:space="preserve">第 </w:t>
      </w:r>
      <w:r>
        <w:rPr>
          <w:rFonts w:hint="eastAsia"/>
          <w:i/>
          <w:iCs/>
        </w:rPr>
        <w:t>i</w:t>
      </w:r>
      <w:r>
        <w:rPr>
          <w:rFonts w:hint="eastAsia"/>
        </w:rPr>
        <w:t xml:space="preserve"> 种挺水</w:t>
      </w:r>
      <w:r>
        <w:t>植物含碳率，质量分数（%）。</w:t>
      </w:r>
    </w:p>
    <w:p w14:paraId="33BE874A">
      <w:pPr>
        <w:pStyle w:val="98"/>
      </w:pPr>
      <w:r>
        <w:rPr>
          <w:rFonts w:hint="eastAsia"/>
        </w:rPr>
        <w:t>沉水植物</w:t>
      </w:r>
    </w:p>
    <w:p w14:paraId="07AF5174">
      <w:pPr>
        <w:pStyle w:val="60"/>
        <w:ind w:firstLineChars="0"/>
      </w:pPr>
      <w:r>
        <w:rPr>
          <w:rFonts w:hint="eastAsia"/>
        </w:rPr>
        <w:t>（1）生物量</w:t>
      </w:r>
    </w:p>
    <w:p w14:paraId="6BD47B6C">
      <w:pPr>
        <w:pStyle w:val="60"/>
      </w:pPr>
      <w:r>
        <w:rPr>
          <w:rFonts w:hint="eastAsia"/>
        </w:rPr>
        <w:t>①收获法</w:t>
      </w:r>
    </w:p>
    <w:p w14:paraId="0B7E1154">
      <w:pPr>
        <w:pStyle w:val="60"/>
      </w:pPr>
      <w:r>
        <w:t>浅水用水草采样夹/铁耙；深水需人工下潜扶正植株、框定边界</w:t>
      </w:r>
      <w:r>
        <w:rPr>
          <w:rFonts w:hint="eastAsia"/>
        </w:rPr>
        <w:t>，</w:t>
      </w:r>
      <w:r>
        <w:t>去除漂浮物后连根拔起全株。</w:t>
      </w:r>
      <w:r>
        <w:rPr>
          <w:rFonts w:hint="eastAsia"/>
        </w:rPr>
        <w:t>具体计算公式同挺水植物地上/地下生物量的计算。</w:t>
      </w:r>
    </w:p>
    <w:p w14:paraId="111CA62A">
      <w:pPr>
        <w:pStyle w:val="60"/>
      </w:pPr>
      <w:r>
        <w:rPr>
          <w:rFonts w:hint="eastAsia"/>
        </w:rPr>
        <w:t>②</w:t>
      </w:r>
      <w:r>
        <w:t>覆盖度-生物量回归模型</w:t>
      </w:r>
    </w:p>
    <w:p w14:paraId="1976E5A6">
      <w:pPr>
        <w:pStyle w:val="60"/>
      </w:pPr>
      <m:oMathPara>
        <m:oMath>
          <m:r>
            <m:rPr/>
            <w:rPr>
              <w:rFonts w:ascii="Cambria Math" w:hAnsi="Cambria Math"/>
            </w:rPr>
            <m:t>AG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S</m:t>
              </m:r>
              <m:ctrlPr>
                <w:rPr>
                  <w:rFonts w:ascii="Cambria Math" w:hAnsi="Cambria Math"/>
                  <w:i/>
                </w:rPr>
              </m:ctrlPr>
            </m:sub>
          </m:sSub>
          <m:r>
            <m:rPr/>
            <w:rPr>
              <w:rFonts w:ascii="Cambria Math" w:hAnsi="Cambria Math"/>
            </w:rPr>
            <m:t>=</m:t>
          </m:r>
          <m:r>
            <m:rPr/>
            <w:rPr>
              <w:rFonts w:hint="eastAsia" w:ascii="Cambria Math" w:hAnsi="Cambria Math"/>
            </w:rPr>
            <m:t>a</m:t>
          </m:r>
          <m:r>
            <m:rPr/>
            <w:rPr>
              <w:rFonts w:ascii="Cambria Math" w:hAnsi="Cambria Math"/>
            </w:rPr>
            <m:t>∙</m:t>
          </m:r>
          <m:sSup>
            <m:sSupPr>
              <m:ctrlPr>
                <w:rPr>
                  <w:rFonts w:ascii="Cambria Math" w:hAnsi="Cambria Math"/>
                  <w:i/>
                </w:rPr>
              </m:ctrlPr>
            </m:sSupPr>
            <m:e>
              <m:r>
                <m:rPr/>
                <w:rPr>
                  <w:rFonts w:ascii="Cambria Math" w:hAnsi="Cambria Math"/>
                </w:rPr>
                <m:t>C</m:t>
              </m:r>
              <m:ctrlPr>
                <w:rPr>
                  <w:rFonts w:ascii="Cambria Math" w:hAnsi="Cambria Math"/>
                  <w:i/>
                </w:rPr>
              </m:ctrlPr>
            </m:e>
            <m:sup>
              <m:r>
                <m:rPr/>
                <w:rPr>
                  <w:rFonts w:hint="eastAsia" w:ascii="Cambria Math" w:hAnsi="Cambria Math"/>
                </w:rPr>
                <m:t>b</m:t>
              </m:r>
              <m:ctrlPr>
                <w:rPr>
                  <w:rFonts w:ascii="Cambria Math" w:hAnsi="Cambria Math"/>
                  <w:i/>
                </w:rPr>
              </m:ctrlPr>
            </m:sup>
          </m:sSup>
        </m:oMath>
      </m:oMathPara>
    </w:p>
    <w:p w14:paraId="50D35AC7">
      <w:pPr>
        <w:pStyle w:val="60"/>
      </w:pPr>
      <w:r>
        <w:rPr>
          <w:rFonts w:hint="eastAsia"/>
        </w:rPr>
        <w:t>或</w:t>
      </w:r>
    </w:p>
    <w:p w14:paraId="2CD6EA53">
      <w:pPr>
        <w:pStyle w:val="60"/>
      </w:pPr>
      <m:oMathPara>
        <m:oMath>
          <m:r>
            <m:rPr/>
            <w:rPr>
              <w:rFonts w:ascii="Cambria Math" w:hAnsi="Cambria Math"/>
            </w:rPr>
            <m:t>AG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S</m:t>
              </m:r>
              <m:ctrlPr>
                <w:rPr>
                  <w:rFonts w:ascii="Cambria Math" w:hAnsi="Cambria Math"/>
                  <w:i/>
                </w:rPr>
              </m:ctrlPr>
            </m:sub>
          </m:sSub>
          <m:r>
            <m:rPr/>
            <w:rPr>
              <w:rFonts w:ascii="Cambria Math" w:hAnsi="Cambria Math"/>
            </w:rPr>
            <m:t>=α+β∙C</m:t>
          </m:r>
        </m:oMath>
      </m:oMathPara>
    </w:p>
    <w:p w14:paraId="62009135">
      <w:pPr>
        <w:pStyle w:val="60"/>
      </w:pPr>
      <w:r>
        <w:t>式中，</w:t>
      </w:r>
      <w:bookmarkStart w:id="24" w:name="OLE_LINK3"/>
      <w:r>
        <w:rPr>
          <w:i/>
          <w:iCs/>
        </w:rPr>
        <w:t>AGB</w:t>
      </w:r>
      <w:r>
        <w:rPr>
          <w:i/>
          <w:iCs/>
          <w:vertAlign w:val="subscript"/>
        </w:rPr>
        <w:t>S</w:t>
      </w:r>
      <w:r>
        <w:t>——为沉水植物单位面积地上生物量，单位为克每平方米（g·m</w:t>
      </w:r>
      <w:r>
        <w:rPr>
          <w:vertAlign w:val="superscript"/>
        </w:rPr>
        <w:t>-2</w:t>
      </w:r>
      <w:r>
        <w:t>）；</w:t>
      </w:r>
      <w:bookmarkEnd w:id="24"/>
    </w:p>
    <w:p w14:paraId="3160B386">
      <w:pPr>
        <w:pStyle w:val="60"/>
        <w:ind w:firstLine="1050" w:firstLineChars="500"/>
      </w:pPr>
      <w:r>
        <w:rPr>
          <w:i/>
          <w:iCs/>
        </w:rPr>
        <w:t>C</w:t>
      </w:r>
      <w:r>
        <w:t>——为覆盖度（%）；</w:t>
      </w:r>
    </w:p>
    <w:p w14:paraId="217323C3">
      <w:pPr>
        <w:pStyle w:val="60"/>
        <w:ind w:firstLine="1050" w:firstLineChars="500"/>
      </w:pPr>
      <w:r>
        <w:rPr>
          <w:i/>
          <w:iCs/>
        </w:rPr>
        <w:t>a</w:t>
      </w:r>
      <w:r>
        <w:t>、</w:t>
      </w:r>
      <w:r>
        <w:rPr>
          <w:i/>
          <w:iCs/>
        </w:rPr>
        <w:t>b</w:t>
      </w:r>
      <w:r>
        <w:t>、</w:t>
      </w:r>
      <w:r>
        <w:rPr>
          <w:i/>
          <w:iCs/>
        </w:rPr>
        <w:t>α</w:t>
      </w:r>
      <w:r>
        <w:t>、</w:t>
      </w:r>
      <w:r>
        <w:rPr>
          <w:i/>
          <w:iCs/>
        </w:rPr>
        <w:t>β</w:t>
      </w:r>
      <w:r>
        <w:t>——拟合回归系数。</w:t>
      </w:r>
    </w:p>
    <w:p w14:paraId="4F7520C4">
      <w:pPr>
        <w:pStyle w:val="60"/>
      </w:pPr>
      <w:r>
        <w:t>地下生物量采用以下公式计算：</w:t>
      </w:r>
    </w:p>
    <w:p w14:paraId="1F64791B">
      <w:pPr>
        <w:pStyle w:val="60"/>
      </w:pPr>
      <m:oMathPara>
        <m:oMath>
          <m:r>
            <m:rPr/>
            <w:rPr>
              <w:rFonts w:ascii="Cambria Math" w:hAnsi="Cambria Math"/>
            </w:rPr>
            <m:t>BG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S</m:t>
              </m:r>
              <m:ctrlPr>
                <w:rPr>
                  <w:rFonts w:ascii="Cambria Math" w:hAnsi="Cambria Math"/>
                  <w:i/>
                </w:rPr>
              </m:ctrlPr>
            </m:sub>
          </m:sSub>
          <m:r>
            <m:rPr/>
            <w:rPr>
              <w:rFonts w:ascii="Cambria Math" w:hAnsi="Cambria Math"/>
            </w:rPr>
            <m:t>=AG</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S</m:t>
              </m:r>
              <m:ctrlPr>
                <w:rPr>
                  <w:rFonts w:ascii="Cambria Math" w:hAnsi="Cambria Math"/>
                  <w:i/>
                </w:rPr>
              </m:ctrlPr>
            </m:sub>
          </m:sSub>
          <m:r>
            <m:rPr/>
            <w:rPr>
              <w:rFonts w:ascii="Cambria Math" w:hAnsi="Cambria Math"/>
            </w:rPr>
            <m:t>∙</m:t>
          </m:r>
          <m:f>
            <m:fPr>
              <m:ctrlPr>
                <w:rPr>
                  <w:rFonts w:ascii="Cambria Math" w:hAnsi="Cambria Math"/>
                  <w:i/>
                </w:rPr>
              </m:ctrlPr>
            </m:fPr>
            <m:num>
              <m:r>
                <m:rPr/>
                <w:rPr>
                  <w:rFonts w:ascii="Cambria Math" w:hAnsi="Cambria Math"/>
                </w:rPr>
                <m:t>R</m:t>
              </m:r>
              <m:ctrlPr>
                <w:rPr>
                  <w:rFonts w:ascii="Cambria Math" w:hAnsi="Cambria Math"/>
                  <w:i/>
                </w:rPr>
              </m:ctrlPr>
            </m:num>
            <m:den>
              <m:r>
                <m:rPr/>
                <w:rPr>
                  <w:rFonts w:ascii="Cambria Math" w:hAnsi="Cambria Math"/>
                </w:rPr>
                <m:t>S</m:t>
              </m:r>
              <m:ctrlPr>
                <w:rPr>
                  <w:rFonts w:ascii="Cambria Math" w:hAnsi="Cambria Math"/>
                  <w:i/>
                </w:rPr>
              </m:ctrlPr>
            </m:den>
          </m:f>
        </m:oMath>
      </m:oMathPara>
    </w:p>
    <w:p w14:paraId="653A7274">
      <w:pPr>
        <w:pStyle w:val="60"/>
      </w:pPr>
      <w:r>
        <w:t>式中，</w:t>
      </w:r>
      <w:r>
        <w:rPr>
          <w:i/>
          <w:iCs/>
        </w:rPr>
        <w:t>BGB</w:t>
      </w:r>
      <w:r>
        <w:rPr>
          <w:i/>
          <w:iCs/>
          <w:vertAlign w:val="subscript"/>
        </w:rPr>
        <w:t>S</w:t>
      </w:r>
      <w:r>
        <w:t>——为沉水植物单位面积地下生物量，单位为克每平方米（g·m</w:t>
      </w:r>
      <w:r>
        <w:rPr>
          <w:vertAlign w:val="superscript"/>
        </w:rPr>
        <w:t>-2</w:t>
      </w:r>
      <w:r>
        <w:t>）；</w:t>
      </w:r>
    </w:p>
    <w:p w14:paraId="20483DEB">
      <w:pPr>
        <w:pStyle w:val="60"/>
        <w:ind w:firstLine="1050" w:firstLineChars="500"/>
      </w:pPr>
      <w:r>
        <w:rPr>
          <w:i/>
          <w:iCs/>
        </w:rPr>
        <w:t>R/S</w:t>
      </w:r>
      <w:r>
        <w:t>——为沉水植物根冠比，通常在0.3~1.0之间。</w:t>
      </w:r>
    </w:p>
    <w:p w14:paraId="099FAB4D">
      <w:pPr>
        <w:pStyle w:val="60"/>
      </w:pPr>
      <w:r>
        <w:t>因此，沉水植物的生物量总量为：</w:t>
      </w:r>
    </w:p>
    <w:p w14:paraId="4D7B69DC">
      <w:pPr>
        <w:pStyle w:val="60"/>
      </w:pPr>
      <m:oMathPara>
        <m:oMath>
          <m:sSub>
            <m:sSubPr>
              <m:ctrlPr>
                <w:rPr>
                  <w:rFonts w:ascii="Cambria Math" w:hAnsi="Cambria Math"/>
                  <w:i/>
                </w:rPr>
              </m:ctrlPr>
            </m:sSubPr>
            <m:e>
              <m:sSub>
                <m:sSubPr>
                  <m:ctrlPr>
                    <w:rPr>
                      <w:rFonts w:ascii="Cambria Math" w:hAnsi="Cambria Math"/>
                      <w:i/>
                    </w:rPr>
                  </m:ctrlPr>
                </m:sSubPr>
                <m:e>
                  <m:r>
                    <m:rPr/>
                    <w:rPr>
                      <w:rFonts w:ascii="Cambria Math" w:hAnsi="Cambria Math"/>
                    </w:rPr>
                    <m:t>B</m:t>
                  </m:r>
                  <m:ctrlPr>
                    <w:rPr>
                      <w:rFonts w:ascii="Cambria Math" w:hAnsi="Cambria Math"/>
                      <w:i/>
                    </w:rPr>
                  </m:ctrlPr>
                </m:e>
                <m:sub>
                  <m:r>
                    <m:rPr/>
                    <w:rPr>
                      <w:rFonts w:ascii="Cambria Math" w:hAnsi="Cambria Math"/>
                    </w:rPr>
                    <m:t>S</m:t>
                  </m:r>
                  <m:ctrlPr>
                    <w:rPr>
                      <w:rFonts w:ascii="Cambria Math" w:hAnsi="Cambria Math"/>
                      <w:i/>
                    </w:rPr>
                  </m:ctrlPr>
                </m:sub>
              </m:sSub>
              <m:r>
                <m:rPr/>
                <w:rPr>
                  <w:rFonts w:ascii="Cambria Math" w:hAnsi="Cambria Math"/>
                </w:rPr>
                <m:t>=AGB</m:t>
              </m:r>
              <m:ctrlPr>
                <w:rPr>
                  <w:rFonts w:ascii="Cambria Math" w:hAnsi="Cambria Math"/>
                  <w:i/>
                </w:rPr>
              </m:ctrlPr>
            </m:e>
            <m:sub>
              <m:r>
                <m:rPr/>
                <w:rPr>
                  <w:rFonts w:ascii="Cambria Math" w:hAnsi="Cambria Math"/>
                </w:rPr>
                <m:t>S</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BGB</m:t>
              </m:r>
              <m:ctrlPr>
                <w:rPr>
                  <w:rFonts w:ascii="Cambria Math" w:hAnsi="Cambria Math"/>
                  <w:i/>
                </w:rPr>
              </m:ctrlPr>
            </m:e>
            <m:sub>
              <m:r>
                <m:rPr/>
                <w:rPr>
                  <w:rFonts w:ascii="Cambria Math" w:hAnsi="Cambria Math"/>
                </w:rPr>
                <m:t>S</m:t>
              </m:r>
              <m:ctrlPr>
                <w:rPr>
                  <w:rFonts w:ascii="Cambria Math" w:hAnsi="Cambria Math"/>
                  <w:i/>
                </w:rPr>
              </m:ctrlPr>
            </m:sub>
          </m:sSub>
        </m:oMath>
      </m:oMathPara>
    </w:p>
    <w:p w14:paraId="596A1B45">
      <w:pPr>
        <w:pStyle w:val="60"/>
      </w:pPr>
      <w:r>
        <w:t>式中，</w:t>
      </w:r>
      <w:r>
        <w:rPr>
          <w:i/>
          <w:iCs/>
        </w:rPr>
        <w:t>B</w:t>
      </w:r>
      <w:r>
        <w:rPr>
          <w:i/>
          <w:iCs/>
          <w:vertAlign w:val="subscript"/>
        </w:rPr>
        <w:t>S</w:t>
      </w:r>
      <w:r>
        <w:t>——为沉水植物单位面积生物量，单位为克每平方米（g·m</w:t>
      </w:r>
      <w:r>
        <w:rPr>
          <w:vertAlign w:val="superscript"/>
        </w:rPr>
        <w:t>-2</w:t>
      </w:r>
      <w:r>
        <w:t>）。</w:t>
      </w:r>
    </w:p>
    <w:p w14:paraId="0E43C127">
      <w:pPr>
        <w:pStyle w:val="60"/>
      </w:pPr>
      <w:r>
        <w:rPr>
          <w:rFonts w:hint="eastAsia"/>
        </w:rPr>
        <w:t>（2）碳储量</w:t>
      </w:r>
    </w:p>
    <w:p w14:paraId="04375BB8">
      <w:pPr>
        <w:pStyle w:val="60"/>
      </w:pPr>
      <w:r>
        <w:rPr>
          <w:rFonts w:hint="eastAsia"/>
        </w:rPr>
        <w:t>挺水</w:t>
      </w:r>
      <w:r>
        <w:t>植物碳储量</w:t>
      </w:r>
      <w:r>
        <w:rPr>
          <w:rFonts w:hint="eastAsia"/>
        </w:rPr>
        <w:t>依据生物量、含碳率及面积，采用以下公式计算：</w:t>
      </w:r>
    </w:p>
    <w:p w14:paraId="5AC64549">
      <w:pPr>
        <w:pStyle w:val="60"/>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S</m:t>
              </m:r>
              <m:ctrlPr>
                <w:rPr>
                  <w:rFonts w:ascii="Cambria Math" w:hAnsi="Cambria Math"/>
                  <w:i/>
                </w:rPr>
              </m:ctrlPr>
            </m:sub>
          </m:sSub>
          <m:r>
            <m:rPr/>
            <w:rPr>
              <w:rFonts w:ascii="Cambria Math" w:hAnsi="Cambria Math"/>
            </w:rPr>
            <m:t>=</m:t>
          </m:r>
          <m:nary>
            <m:naryPr>
              <m:chr m:val="∑"/>
              <m:limLoc m:val="undOvr"/>
              <m:ctrlPr>
                <w:rPr>
                  <w:rFonts w:ascii="Cambria Math" w:hAnsi="Cambria Math"/>
                  <w:i/>
                </w:rPr>
              </m:ctrlPr>
            </m:naryPr>
            <m:sub>
              <m:r>
                <m:rPr/>
                <w:rPr>
                  <w:rFonts w:hint="eastAsia" w:ascii="Cambria Math" w:hAnsi="Cambria Math"/>
                </w:rPr>
                <m:t>i</m:t>
              </m:r>
              <m:ctrlPr>
                <w:rPr>
                  <w:rFonts w:ascii="Cambria Math" w:hAnsi="Cambria Math"/>
                  <w:i/>
                </w:rPr>
              </m:ctrlPr>
            </m:sub>
            <m:sup>
              <m:r>
                <m:rPr/>
                <w:rPr>
                  <w:rFonts w:hint="eastAsia" w:ascii="Cambria Math" w:hAnsi="Cambria Math"/>
                </w:rPr>
                <m:t>n</m:t>
              </m:r>
              <m:ctrlPr>
                <w:rPr>
                  <w:rFonts w:ascii="Cambria Math" w:hAnsi="Cambria Math"/>
                  <w:i/>
                </w:rPr>
              </m:ctrlPr>
            </m:sup>
            <m:e>
              <m:sSub>
                <m:sSubPr>
                  <m:ctrlPr>
                    <w:rPr>
                      <w:rFonts w:ascii="Cambria Math" w:hAnsi="Cambria Math"/>
                      <w:i/>
                    </w:rPr>
                  </m:ctrlPr>
                </m:sSubPr>
                <m:e>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S</m:t>
                      </m:r>
                      <m:r>
                        <m:rPr/>
                        <w:rPr>
                          <w:rFonts w:hint="eastAsia" w:ascii="Cambria Math" w:hAnsi="Cambria Math"/>
                        </w:rPr>
                        <m:t>i</m:t>
                      </m:r>
                      <m:ctrlPr>
                        <w:rPr>
                          <w:rFonts w:ascii="Cambria Math" w:hAnsi="Cambria Math"/>
                          <w:i/>
                        </w:rPr>
                      </m:ctrlPr>
                    </m:sub>
                  </m:sSub>
                  <m:r>
                    <m:rPr/>
                    <w:rPr>
                      <w:rFonts w:ascii="Cambria Math" w:hAnsi="Cambria Math"/>
                    </w:rPr>
                    <m:t>×B</m:t>
                  </m:r>
                  <m:ctrlPr>
                    <w:rPr>
                      <w:rFonts w:ascii="Cambria Math" w:hAnsi="Cambria Math"/>
                      <w:i/>
                    </w:rPr>
                  </m:ctrlPr>
                </m:e>
                <m:sub>
                  <m:r>
                    <m:rPr/>
                    <w:rPr>
                      <w:rFonts w:ascii="Cambria Math" w:hAnsi="Cambria Math"/>
                    </w:rPr>
                    <m:t>S</m:t>
                  </m:r>
                  <m:r>
                    <m:rPr/>
                    <w:rPr>
                      <w:rFonts w:hint="eastAsia" w:ascii="Cambria Math" w:hAnsi="Cambria Math"/>
                    </w:rPr>
                    <m:t>i</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CF</m:t>
                  </m:r>
                  <m:ctrlPr>
                    <w:rPr>
                      <w:rFonts w:ascii="Cambria Math" w:hAnsi="Cambria Math"/>
                      <w:i/>
                    </w:rPr>
                  </m:ctrlPr>
                </m:e>
                <m:sub>
                  <m:r>
                    <m:rPr/>
                    <w:rPr>
                      <w:rFonts w:ascii="Cambria Math" w:hAnsi="Cambria Math"/>
                    </w:rPr>
                    <m:t>S</m:t>
                  </m:r>
                  <m:r>
                    <m:rPr/>
                    <w:rPr>
                      <w:rFonts w:hint="eastAsia" w:ascii="Cambria Math" w:hAnsi="Cambria Math"/>
                    </w:rPr>
                    <m:t>i</m:t>
                  </m:r>
                  <m:ctrlPr>
                    <w:rPr>
                      <w:rFonts w:ascii="Cambria Math" w:hAnsi="Cambria Math"/>
                      <w:i/>
                    </w:rPr>
                  </m:ctrlPr>
                </m:sub>
              </m:sSub>
              <m:ctrlPr>
                <w:rPr>
                  <w:rFonts w:ascii="Cambria Math" w:hAnsi="Cambria Math"/>
                  <w:i/>
                </w:rPr>
              </m:ctrlPr>
            </m:e>
          </m:nary>
        </m:oMath>
      </m:oMathPara>
    </w:p>
    <w:p w14:paraId="035CD824">
      <w:pPr>
        <w:pStyle w:val="60"/>
      </w:pPr>
      <w:r>
        <w:t>式中，</w:t>
      </w:r>
      <w:r>
        <w:rPr>
          <w:i/>
          <w:iCs/>
        </w:rPr>
        <w:t>C</w:t>
      </w:r>
      <w:r>
        <w:rPr>
          <w:rFonts w:hint="eastAsia"/>
          <w:i/>
          <w:iCs/>
          <w:vertAlign w:val="subscript"/>
        </w:rPr>
        <w:t>S</w:t>
      </w:r>
      <w:r>
        <w:t>——为</w:t>
      </w:r>
      <w:r>
        <w:rPr>
          <w:rFonts w:hint="eastAsia"/>
        </w:rPr>
        <w:t>沉水</w:t>
      </w:r>
      <w:r>
        <w:t>植物总碳储量，单位为吨碳（t C）；</w:t>
      </w:r>
    </w:p>
    <w:p w14:paraId="1BDC8FA8">
      <w:pPr>
        <w:pStyle w:val="60"/>
        <w:ind w:firstLine="1050" w:firstLineChars="500"/>
      </w:pPr>
      <w:r>
        <w:rPr>
          <w:i/>
          <w:iCs/>
        </w:rPr>
        <w:t>n</w:t>
      </w:r>
      <w:r>
        <w:t>——为</w:t>
      </w:r>
      <w:r>
        <w:rPr>
          <w:rFonts w:hint="eastAsia"/>
        </w:rPr>
        <w:t>沉水</w:t>
      </w:r>
      <w:r>
        <w:t>植物物种数量；</w:t>
      </w:r>
    </w:p>
    <w:p w14:paraId="777FEACE">
      <w:pPr>
        <w:pStyle w:val="60"/>
        <w:ind w:firstLine="1050" w:firstLineChars="500"/>
      </w:pPr>
      <w:r>
        <w:rPr>
          <w:i/>
          <w:iCs/>
        </w:rPr>
        <w:t>i</w:t>
      </w:r>
      <w:r>
        <w:t xml:space="preserve">——为第 </w:t>
      </w:r>
      <w:r>
        <w:rPr>
          <w:i/>
          <w:iCs/>
        </w:rPr>
        <w:t>i</w:t>
      </w:r>
      <w:r>
        <w:t xml:space="preserve"> 种</w:t>
      </w:r>
      <w:r>
        <w:rPr>
          <w:rFonts w:hint="eastAsia"/>
        </w:rPr>
        <w:t>沉水</w:t>
      </w:r>
      <w:r>
        <w:t>植物；</w:t>
      </w:r>
    </w:p>
    <w:p w14:paraId="437DE08D">
      <w:pPr>
        <w:pStyle w:val="60"/>
        <w:ind w:firstLine="1050" w:firstLineChars="500"/>
        <w:rPr>
          <w:i/>
          <w:iCs/>
        </w:rPr>
      </w:pPr>
      <w:r>
        <w:rPr>
          <w:i/>
          <w:iCs/>
        </w:rPr>
        <w:t>A</w:t>
      </w:r>
      <w:r>
        <w:rPr>
          <w:rFonts w:hint="eastAsia"/>
          <w:i/>
          <w:iCs/>
          <w:vertAlign w:val="subscript"/>
        </w:rPr>
        <w:t>Si</w:t>
      </w:r>
      <w:r>
        <w:t xml:space="preserve">——为第 </w:t>
      </w:r>
      <w:r>
        <w:rPr>
          <w:i/>
          <w:iCs/>
        </w:rPr>
        <w:t>i</w:t>
      </w:r>
      <w:r>
        <w:t xml:space="preserve"> 种</w:t>
      </w:r>
      <w:r>
        <w:rPr>
          <w:rFonts w:hint="eastAsia"/>
        </w:rPr>
        <w:t>沉水植物样方面积，单位为平方米（m</w:t>
      </w:r>
      <w:r>
        <w:rPr>
          <w:rFonts w:hint="eastAsia"/>
          <w:vertAlign w:val="superscript"/>
        </w:rPr>
        <w:t>2</w:t>
      </w:r>
      <w:r>
        <w:rPr>
          <w:rFonts w:hint="eastAsia"/>
        </w:rPr>
        <w:t>）；</w:t>
      </w:r>
    </w:p>
    <w:p w14:paraId="015FEBAF">
      <w:pPr>
        <w:pStyle w:val="60"/>
        <w:ind w:firstLine="1050" w:firstLineChars="500"/>
      </w:pPr>
      <w:r>
        <w:rPr>
          <w:i/>
          <w:iCs/>
        </w:rPr>
        <w:t>C</w:t>
      </w:r>
      <w:r>
        <w:rPr>
          <w:rFonts w:hint="eastAsia"/>
          <w:i/>
          <w:iCs/>
        </w:rPr>
        <w:t>F</w:t>
      </w:r>
      <w:r>
        <w:rPr>
          <w:rFonts w:hint="eastAsia"/>
          <w:i/>
          <w:iCs/>
          <w:vertAlign w:val="subscript"/>
        </w:rPr>
        <w:t>Si</w:t>
      </w:r>
      <w:r>
        <w:t>——为</w:t>
      </w:r>
      <w:r>
        <w:rPr>
          <w:rFonts w:hint="eastAsia"/>
        </w:rPr>
        <w:t xml:space="preserve">第 </w:t>
      </w:r>
      <w:r>
        <w:rPr>
          <w:rFonts w:hint="eastAsia"/>
          <w:i/>
          <w:iCs/>
        </w:rPr>
        <w:t>i</w:t>
      </w:r>
      <w:r>
        <w:rPr>
          <w:rFonts w:hint="eastAsia"/>
        </w:rPr>
        <w:t xml:space="preserve"> 种沉水</w:t>
      </w:r>
      <w:r>
        <w:t>植物含碳率，质量分数（%）。</w:t>
      </w:r>
    </w:p>
    <w:p w14:paraId="135869E4">
      <w:pPr>
        <w:pStyle w:val="69"/>
        <w:ind w:firstLine="420" w:firstLineChars="200"/>
        <w:rPr>
          <w:rFonts w:ascii="Times New Roman"/>
        </w:rPr>
      </w:pPr>
      <w:r>
        <w:rPr>
          <w:rFonts w:ascii="Times New Roman"/>
        </w:rPr>
        <w:t>枯落物层</w:t>
      </w:r>
    </w:p>
    <w:p w14:paraId="440F905A">
      <w:pPr>
        <w:pStyle w:val="60"/>
      </w:pPr>
      <w:r>
        <w:t>枯落物层碳储量采用生物量法测定枯落物样品的生物量，推算枯落物层的生物量数据。枯落物碳储量计算采用以下公式：</w:t>
      </w:r>
    </w:p>
    <w:p w14:paraId="1EA4C334">
      <w:pPr>
        <w:pStyle w:val="60"/>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L</m:t>
              </m:r>
              <m:ctrlPr>
                <w:rPr>
                  <w:rFonts w:ascii="Cambria Math" w:hAnsi="Cambria Math"/>
                  <w:i/>
                </w:rPr>
              </m:ctrlPr>
            </m:sub>
          </m:sSub>
          <m:r>
            <m:rPr/>
            <w:rPr>
              <w:rFonts w:ascii="Cambria Math" w:hAnsi="Cambria Math"/>
            </w:rPr>
            <m:t>=</m:t>
          </m:r>
          <m:sSub>
            <m:sSubPr>
              <m:ctrlPr>
                <w:rPr>
                  <w:rFonts w:ascii="Cambria Math" w:hAnsi="Cambria Math"/>
                  <w:i/>
                </w:rPr>
              </m:ctrlPr>
            </m:sSubPr>
            <m:e>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L</m:t>
                  </m:r>
                  <m:ctrlPr>
                    <w:rPr>
                      <w:rFonts w:ascii="Cambria Math" w:hAnsi="Cambria Math"/>
                      <w:i/>
                    </w:rPr>
                  </m:ctrlPr>
                </m:sub>
              </m:sSub>
              <m:r>
                <m:rPr/>
                <w:rPr>
                  <w:rFonts w:ascii="Cambria Math" w:hAnsi="Cambria Math"/>
                </w:rPr>
                <m:t>×B</m:t>
              </m:r>
              <m:ctrlPr>
                <w:rPr>
                  <w:rFonts w:ascii="Cambria Math" w:hAnsi="Cambria Math"/>
                  <w:i/>
                </w:rPr>
              </m:ctrlPr>
            </m:e>
            <m:sub>
              <m:r>
                <m:rPr/>
                <w:rPr>
                  <w:rFonts w:ascii="Cambria Math" w:hAnsi="Cambria Math"/>
                </w:rPr>
                <m:t>L</m:t>
              </m:r>
              <m:ctrlPr>
                <w:rPr>
                  <w:rFonts w:ascii="Cambria Math" w:hAnsi="Cambria Math"/>
                  <w:i/>
                </w:rPr>
              </m:ctrlPr>
            </m:sub>
          </m:sSub>
          <m:r>
            <m:rPr/>
            <w:rPr>
              <w:rFonts w:ascii="Cambria Math" w:hAnsi="Cambria Math"/>
            </w:rPr>
            <m:t>×C</m:t>
          </m:r>
          <m:sSub>
            <m:sSubPr>
              <m:ctrlPr>
                <w:rPr>
                  <w:rFonts w:ascii="Cambria Math" w:hAnsi="Cambria Math"/>
                  <w:i/>
                </w:rPr>
              </m:ctrlPr>
            </m:sSubPr>
            <m:e>
              <m:r>
                <m:rPr/>
                <w:rPr>
                  <w:rFonts w:ascii="Cambria Math" w:hAnsi="Cambria Math"/>
                </w:rPr>
                <m:t>F</m:t>
              </m:r>
              <m:ctrlPr>
                <w:rPr>
                  <w:rFonts w:ascii="Cambria Math" w:hAnsi="Cambria Math"/>
                  <w:i/>
                </w:rPr>
              </m:ctrlPr>
            </m:e>
            <m:sub>
              <m:r>
                <m:rPr/>
                <w:rPr>
                  <w:rFonts w:ascii="Cambria Math" w:hAnsi="Cambria Math"/>
                </w:rPr>
                <m:t>L</m:t>
              </m:r>
              <m:ctrlPr>
                <w:rPr>
                  <w:rFonts w:ascii="Cambria Math" w:hAnsi="Cambria Math"/>
                  <w:i/>
                </w:rPr>
              </m:ctrlPr>
            </m:sub>
          </m:sSub>
        </m:oMath>
      </m:oMathPara>
    </w:p>
    <w:p w14:paraId="6F8A8D07">
      <w:pPr>
        <w:pStyle w:val="60"/>
        <w:tabs>
          <w:tab w:val="left" w:pos="210"/>
        </w:tabs>
      </w:pPr>
      <w:r>
        <w:t>式中，</w:t>
      </w:r>
      <w:r>
        <w:rPr>
          <w:i/>
          <w:iCs/>
        </w:rPr>
        <w:t>C</w:t>
      </w:r>
      <w:r>
        <w:rPr>
          <w:i/>
          <w:iCs/>
          <w:vertAlign w:val="subscript"/>
        </w:rPr>
        <w:t>L</w:t>
      </w:r>
      <w:r>
        <w:t>——为湿地枯落物层碳储量，单位为吨碳（t C）；</w:t>
      </w:r>
    </w:p>
    <w:p w14:paraId="315136B0">
      <w:pPr>
        <w:pStyle w:val="60"/>
        <w:ind w:firstLine="1050" w:firstLineChars="500"/>
        <w:rPr>
          <w:i/>
          <w:iCs/>
        </w:rPr>
      </w:pPr>
      <w:r>
        <w:rPr>
          <w:i/>
          <w:iCs/>
        </w:rPr>
        <w:t>A</w:t>
      </w:r>
      <w:r>
        <w:rPr>
          <w:i/>
          <w:iCs/>
          <w:vertAlign w:val="subscript"/>
        </w:rPr>
        <w:t>L</w:t>
      </w:r>
      <w:r>
        <w:t>——为湿地枯落物层面积，单位为平方米（m</w:t>
      </w:r>
      <w:r>
        <w:rPr>
          <w:vertAlign w:val="superscript"/>
        </w:rPr>
        <w:t>2</w:t>
      </w:r>
      <w:r>
        <w:t>）；</w:t>
      </w:r>
    </w:p>
    <w:p w14:paraId="13ABBC35">
      <w:pPr>
        <w:pStyle w:val="60"/>
        <w:ind w:firstLine="1050" w:firstLineChars="500"/>
      </w:pPr>
      <w:r>
        <w:rPr>
          <w:i/>
          <w:iCs/>
        </w:rPr>
        <w:t>B</w:t>
      </w:r>
      <w:r>
        <w:rPr>
          <w:i/>
          <w:iCs/>
          <w:vertAlign w:val="subscript"/>
        </w:rPr>
        <w:t>L</w:t>
      </w:r>
      <w:r>
        <w:t>——为湿地枯落物层生物量，单位为吨碳每平方米（t C/m</w:t>
      </w:r>
      <w:r>
        <w:rPr>
          <w:vertAlign w:val="superscript"/>
        </w:rPr>
        <w:t>2</w:t>
      </w:r>
      <w:r>
        <w:t>）；</w:t>
      </w:r>
    </w:p>
    <w:p w14:paraId="3E5FEE8F">
      <w:pPr>
        <w:pStyle w:val="60"/>
        <w:ind w:firstLine="1050" w:firstLineChars="500"/>
      </w:pPr>
      <w:r>
        <w:rPr>
          <w:i/>
          <w:iCs/>
        </w:rPr>
        <w:t>CF</w:t>
      </w:r>
      <w:r>
        <w:rPr>
          <w:i/>
          <w:iCs/>
          <w:vertAlign w:val="subscript"/>
        </w:rPr>
        <w:t>L</w:t>
      </w:r>
      <w:r>
        <w:t>——为枯落物层含碳率</w:t>
      </w:r>
      <w:r>
        <w:rPr>
          <w:rFonts w:hint="eastAsia"/>
        </w:rPr>
        <w:t>，质量分数（%）</w:t>
      </w:r>
      <w:r>
        <w:t>。</w:t>
      </w:r>
    </w:p>
    <w:p w14:paraId="04199D75">
      <w:pPr>
        <w:pStyle w:val="109"/>
        <w:rPr>
          <w:rFonts w:ascii="Times New Roman"/>
        </w:rPr>
      </w:pPr>
      <w:r>
        <w:rPr>
          <w:rFonts w:ascii="Times New Roman"/>
        </w:rPr>
        <w:t>土壤碳储量</w:t>
      </w:r>
    </w:p>
    <w:p w14:paraId="10C8A41E">
      <w:pPr>
        <w:rPr>
          <w:rFonts w:ascii="Times New Roman" w:hAnsi="Times New Roman"/>
        </w:rPr>
      </w:pPr>
      <w:r>
        <w:rPr>
          <w:rFonts w:ascii="Times New Roman" w:hAnsi="Times New Roman"/>
        </w:rPr>
        <w:t>土壤容重的测定按照NY/T 1121.4的规定执行。土壤有机质的测定按照HJ 695的规定执行。土壤有机碳密度计算公式如下：</w:t>
      </w:r>
    </w:p>
    <w:p w14:paraId="6500BEFC">
      <w:pPr>
        <w:rPr>
          <w:rFonts w:ascii="Times New Roman" w:hAnsi="Times New Roman"/>
        </w:rPr>
      </w:pPr>
      <m:oMathPara>
        <m:oMath>
          <m:r>
            <m:rPr/>
            <w:rPr>
              <w:rFonts w:ascii="Cambria Math" w:hAnsi="Cambria Math"/>
            </w:rPr>
            <m:t>SOC=0.58×C×D×E×</m:t>
          </m:r>
          <m:f>
            <m:fPr>
              <m:ctrlPr>
                <w:rPr>
                  <w:rFonts w:ascii="Cambria Math" w:hAnsi="Cambria Math"/>
                  <w:i/>
                </w:rPr>
              </m:ctrlPr>
            </m:fPr>
            <m:num>
              <m:d>
                <m:dPr>
                  <m:ctrlPr>
                    <w:rPr>
                      <w:rFonts w:ascii="Cambria Math" w:hAnsi="Cambria Math"/>
                      <w:i/>
                    </w:rPr>
                  </m:ctrlPr>
                </m:dPr>
                <m:e>
                  <m:r>
                    <m:rPr/>
                    <w:rPr>
                      <w:rFonts w:ascii="Cambria Math" w:hAnsi="Cambria Math"/>
                    </w:rPr>
                    <m:t>1−G</m:t>
                  </m:r>
                  <m:ctrlPr>
                    <w:rPr>
                      <w:rFonts w:ascii="Cambria Math" w:hAnsi="Cambria Math"/>
                      <w:i/>
                    </w:rPr>
                  </m:ctrlPr>
                </m:e>
              </m:d>
              <m:ctrlPr>
                <w:rPr>
                  <w:rFonts w:ascii="Cambria Math" w:hAnsi="Cambria Math"/>
                  <w:i/>
                </w:rPr>
              </m:ctrlPr>
            </m:num>
            <m:den>
              <m:r>
                <m:rPr/>
                <w:rPr>
                  <w:rFonts w:ascii="Cambria Math" w:hAnsi="Cambria Math"/>
                </w:rPr>
                <m:t>100</m:t>
              </m:r>
              <m:ctrlPr>
                <w:rPr>
                  <w:rFonts w:ascii="Cambria Math" w:hAnsi="Cambria Math"/>
                  <w:i/>
                </w:rPr>
              </m:ctrlPr>
            </m:den>
          </m:f>
        </m:oMath>
      </m:oMathPara>
    </w:p>
    <w:p w14:paraId="65BA4055">
      <w:pPr>
        <w:rPr>
          <w:rFonts w:ascii="Times New Roman" w:hAnsi="Times New Roman"/>
        </w:rPr>
      </w:pPr>
      <w:r>
        <w:rPr>
          <w:rFonts w:ascii="Times New Roman" w:hAnsi="Times New Roman"/>
        </w:rPr>
        <w:t>式中，</w:t>
      </w:r>
      <w:r>
        <w:rPr>
          <w:rFonts w:ascii="Times New Roman" w:hAnsi="Times New Roman"/>
          <w:i/>
          <w:iCs/>
        </w:rPr>
        <w:t>SOC</w:t>
      </w:r>
      <w:r>
        <w:rPr>
          <w:rFonts w:ascii="Times New Roman" w:hAnsi="Times New Roman"/>
        </w:rPr>
        <w:t>——土壤有机碳密度，单位为千克碳每平方米（kg C/m</w:t>
      </w:r>
      <w:r>
        <w:rPr>
          <w:rFonts w:ascii="Times New Roman" w:hAnsi="Times New Roman"/>
          <w:vertAlign w:val="superscript"/>
        </w:rPr>
        <w:t>2</w:t>
      </w:r>
      <w:r>
        <w:rPr>
          <w:rFonts w:ascii="Times New Roman" w:hAnsi="Times New Roman"/>
        </w:rPr>
        <w:t>）；</w:t>
      </w:r>
    </w:p>
    <w:p w14:paraId="129B861D">
      <w:pPr>
        <w:ind w:firstLine="1050" w:firstLineChars="500"/>
        <w:rPr>
          <w:rFonts w:ascii="Times New Roman" w:hAnsi="Times New Roman"/>
        </w:rPr>
      </w:pPr>
      <w:r>
        <w:rPr>
          <w:rFonts w:ascii="Times New Roman" w:hAnsi="Times New Roman"/>
          <w:i/>
          <w:iCs/>
        </w:rPr>
        <w:t>C</w:t>
      </w:r>
      <w:r>
        <w:rPr>
          <w:rFonts w:ascii="Times New Roman" w:hAnsi="Times New Roman"/>
        </w:rPr>
        <w:t>——土壤有机质含量，单位为克每千克（g/kg）；</w:t>
      </w:r>
    </w:p>
    <w:p w14:paraId="3A264994">
      <w:pPr>
        <w:ind w:firstLine="1050" w:firstLineChars="500"/>
        <w:rPr>
          <w:rFonts w:ascii="Times New Roman" w:hAnsi="Times New Roman"/>
        </w:rPr>
      </w:pPr>
      <w:r>
        <w:rPr>
          <w:rFonts w:ascii="Times New Roman" w:hAnsi="Times New Roman"/>
          <w:i/>
          <w:iCs/>
        </w:rPr>
        <w:t>D</w:t>
      </w:r>
      <w:r>
        <w:rPr>
          <w:rFonts w:ascii="Times New Roman" w:hAnsi="Times New Roman"/>
        </w:rPr>
        <w:t>——土壤容重，单位为吨每立方米（t/m</w:t>
      </w:r>
      <w:r>
        <w:rPr>
          <w:rFonts w:ascii="Times New Roman" w:hAnsi="Times New Roman"/>
          <w:vertAlign w:val="superscript"/>
        </w:rPr>
        <w:t>3</w:t>
      </w:r>
      <w:r>
        <w:rPr>
          <w:rFonts w:ascii="Times New Roman" w:hAnsi="Times New Roman"/>
        </w:rPr>
        <w:t>）；</w:t>
      </w:r>
    </w:p>
    <w:p w14:paraId="6823F844">
      <w:pPr>
        <w:ind w:firstLine="1050" w:firstLineChars="500"/>
        <w:rPr>
          <w:rFonts w:ascii="Times New Roman" w:hAnsi="Times New Roman"/>
        </w:rPr>
      </w:pPr>
      <w:r>
        <w:rPr>
          <w:rFonts w:ascii="Times New Roman" w:hAnsi="Times New Roman"/>
          <w:i/>
          <w:iCs/>
        </w:rPr>
        <w:t>E</w:t>
      </w:r>
      <w:r>
        <w:rPr>
          <w:rFonts w:ascii="Times New Roman" w:hAnsi="Times New Roman"/>
        </w:rPr>
        <w:t>——土壤厚度，单位为厘米（cm）；</w:t>
      </w:r>
    </w:p>
    <w:p w14:paraId="3FEF05B6">
      <w:pPr>
        <w:ind w:firstLine="1050" w:firstLineChars="500"/>
        <w:rPr>
          <w:rFonts w:ascii="Times New Roman" w:hAnsi="Times New Roman"/>
        </w:rPr>
      </w:pPr>
      <w:r>
        <w:rPr>
          <w:rFonts w:ascii="Times New Roman" w:hAnsi="Times New Roman"/>
          <w:i/>
          <w:iCs/>
        </w:rPr>
        <w:t>G</w:t>
      </w:r>
      <w:r>
        <w:rPr>
          <w:rFonts w:ascii="Times New Roman" w:hAnsi="Times New Roman"/>
        </w:rPr>
        <w:t>——直径≥2 mm的石砾所占体积百分比（%）。</w:t>
      </w:r>
    </w:p>
    <w:p w14:paraId="605E428F">
      <w:pPr>
        <w:rPr>
          <w:rFonts w:ascii="Times New Roman" w:hAnsi="Times New Roman"/>
        </w:rPr>
      </w:pPr>
      <w:r>
        <w:rPr>
          <w:rFonts w:ascii="Times New Roman" w:hAnsi="Times New Roman"/>
        </w:rPr>
        <w:t>区域土壤的有机碳储量，计算公式如下：</w:t>
      </w:r>
    </w:p>
    <w:p w14:paraId="66A09769">
      <w:pPr>
        <w:pStyle w:val="60"/>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S</m:t>
              </m:r>
              <m:ctrlPr>
                <w:rPr>
                  <w:rFonts w:ascii="Cambria Math" w:hAnsi="Cambria Math"/>
                  <w:i/>
                </w:rPr>
              </m:ctrlPr>
            </m:sub>
          </m:sSub>
          <m:r>
            <m:rPr/>
            <w:rPr>
              <w:rFonts w:ascii="Cambria Math" w:hAnsi="Cambria Math"/>
            </w:rPr>
            <m:t>=</m:t>
          </m:r>
          <m:nary>
            <m:naryPr>
              <m:chr m:val="∑"/>
              <m:limLoc m:val="undOvr"/>
              <m:ctrlPr>
                <w:rPr>
                  <w:rFonts w:ascii="Cambria Math" w:hAnsi="Cambria Math"/>
                  <w:i/>
                </w:rPr>
              </m:ctrlPr>
            </m:naryPr>
            <m:sub>
              <m:r>
                <m:rPr/>
                <w:rPr>
                  <w:rFonts w:ascii="Cambria Math" w:hAnsi="Cambria Math"/>
                </w:rPr>
                <m:t>i=1</m:t>
              </m:r>
              <m:ctrlPr>
                <w:rPr>
                  <w:rFonts w:ascii="Cambria Math" w:hAnsi="Cambria Math"/>
                  <w:i/>
                </w:rPr>
              </m:ctrlPr>
            </m:sub>
            <m:sup>
              <m:r>
                <m:rPr/>
                <w:rPr>
                  <w:rFonts w:ascii="Cambria Math" w:hAnsi="Cambria Math"/>
                </w:rPr>
                <m:t>n</m:t>
              </m:r>
              <m:ctrlPr>
                <w:rPr>
                  <w:rFonts w:ascii="Cambria Math" w:hAnsi="Cambria Math"/>
                  <w:i/>
                </w:rPr>
              </m:ctrlPr>
            </m:sup>
            <m:e>
              <m:d>
                <m:dPr>
                  <m:ctrlPr>
                    <w:rPr>
                      <w:rFonts w:ascii="Cambria Math" w:hAnsi="Cambria Math"/>
                      <w:i/>
                    </w:rPr>
                  </m:ctrlPr>
                </m:dPr>
                <m:e>
                  <m:sSub>
                    <m:sSubPr>
                      <m:ctrlPr>
                        <w:rPr>
                          <w:rFonts w:ascii="Cambria Math" w:hAnsi="Cambria Math"/>
                          <w:i/>
                        </w:rPr>
                      </m:ctrlPr>
                    </m:sSubPr>
                    <m:e>
                      <m:r>
                        <m:rPr/>
                        <w:rPr>
                          <w:rFonts w:ascii="Cambria Math" w:hAnsi="Cambria Math"/>
                        </w:rPr>
                        <m:t>A</m:t>
                      </m:r>
                      <m:ctrlPr>
                        <w:rPr>
                          <w:rFonts w:ascii="Cambria Math" w:hAnsi="Cambria Math"/>
                          <w:i/>
                        </w:rPr>
                      </m:ctrlPr>
                    </m:e>
                    <m:sub>
                      <m:r>
                        <m:rPr/>
                        <w:rPr>
                          <w:rFonts w:ascii="Cambria Math" w:hAnsi="Cambria Math"/>
                        </w:rPr>
                        <m:t>i</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SOC</m:t>
                      </m:r>
                      <m:ctrlPr>
                        <w:rPr>
                          <w:rFonts w:ascii="Cambria Math" w:hAnsi="Cambria Math"/>
                          <w:i/>
                        </w:rPr>
                      </m:ctrlPr>
                    </m:e>
                    <m:sub>
                      <m:r>
                        <m:rPr/>
                        <w:rPr>
                          <w:rFonts w:ascii="Cambria Math" w:hAnsi="Cambria Math"/>
                        </w:rPr>
                        <m:t>i</m:t>
                      </m:r>
                      <m:ctrlPr>
                        <w:rPr>
                          <w:rFonts w:ascii="Cambria Math" w:hAnsi="Cambria Math"/>
                          <w:i/>
                        </w:rPr>
                      </m:ctrlPr>
                    </m:sub>
                  </m:sSub>
                  <m:ctrlPr>
                    <w:rPr>
                      <w:rFonts w:ascii="Cambria Math" w:hAnsi="Cambria Math"/>
                      <w:i/>
                    </w:rPr>
                  </m:ctrlPr>
                </m:e>
              </m:d>
              <m:ctrlPr>
                <w:rPr>
                  <w:rFonts w:ascii="Cambria Math" w:hAnsi="Cambria Math"/>
                  <w:i/>
                </w:rPr>
              </m:ctrlPr>
            </m:e>
          </m:nary>
        </m:oMath>
      </m:oMathPara>
    </w:p>
    <w:p w14:paraId="10C76C6B">
      <w:pPr>
        <w:pStyle w:val="60"/>
      </w:pPr>
      <w:r>
        <w:t>式中，</w:t>
      </w:r>
      <w:r>
        <w:rPr>
          <w:i/>
          <w:iCs/>
        </w:rPr>
        <w:t>C</w:t>
      </w:r>
      <w:r>
        <w:rPr>
          <w:rFonts w:hint="eastAsia"/>
          <w:i/>
          <w:iCs/>
          <w:vertAlign w:val="subscript"/>
        </w:rPr>
        <w:t>S</w:t>
      </w:r>
      <w:r>
        <w:t>——土壤有机碳储量，单位为吨碳（t C）；</w:t>
      </w:r>
    </w:p>
    <w:p w14:paraId="42E228CB">
      <w:pPr>
        <w:pStyle w:val="60"/>
        <w:ind w:firstLine="1050" w:firstLineChars="500"/>
      </w:pPr>
      <w:r>
        <w:rPr>
          <w:i/>
          <w:iCs/>
        </w:rPr>
        <w:t>i</w:t>
      </w:r>
      <w:r>
        <w:t>——土类代号；</w:t>
      </w:r>
    </w:p>
    <w:p w14:paraId="47402DB6">
      <w:pPr>
        <w:pStyle w:val="60"/>
        <w:ind w:firstLine="1050" w:firstLineChars="500"/>
      </w:pPr>
      <w:r>
        <w:rPr>
          <w:i/>
          <w:iCs/>
        </w:rPr>
        <w:t>n</w:t>
      </w:r>
      <w:r>
        <w:t>——土类数目；</w:t>
      </w:r>
    </w:p>
    <w:p w14:paraId="7931D216">
      <w:pPr>
        <w:pStyle w:val="60"/>
        <w:ind w:firstLine="1050" w:firstLineChars="500"/>
      </w:pPr>
      <w:r>
        <w:rPr>
          <w:i/>
          <w:iCs/>
        </w:rPr>
        <w:t>A</w:t>
      </w:r>
      <w:r>
        <w:rPr>
          <w:i/>
          <w:iCs/>
          <w:vertAlign w:val="subscript"/>
        </w:rPr>
        <w:t>i</w:t>
      </w:r>
      <w:r>
        <w:t xml:space="preserve">——第 </w:t>
      </w:r>
      <w:r>
        <w:rPr>
          <w:i/>
          <w:iCs/>
        </w:rPr>
        <w:t>i</w:t>
      </w:r>
      <w:r>
        <w:t xml:space="preserve"> 类土壤面积，单位为平方米（m</w:t>
      </w:r>
      <w:r>
        <w:rPr>
          <w:vertAlign w:val="superscript"/>
        </w:rPr>
        <w:t>2</w:t>
      </w:r>
      <w:r>
        <w:t>）；</w:t>
      </w:r>
    </w:p>
    <w:p w14:paraId="49DED313">
      <w:pPr>
        <w:pStyle w:val="60"/>
        <w:ind w:firstLine="1050" w:firstLineChars="500"/>
      </w:pPr>
      <w:r>
        <w:rPr>
          <w:i/>
          <w:iCs/>
        </w:rPr>
        <w:t>SOC</w:t>
      </w:r>
      <w:r>
        <w:rPr>
          <w:i/>
          <w:iCs/>
          <w:vertAlign w:val="subscript"/>
        </w:rPr>
        <w:t>i</w:t>
      </w:r>
      <w:r>
        <w:t xml:space="preserve">——第 </w:t>
      </w:r>
      <w:r>
        <w:rPr>
          <w:i/>
          <w:iCs/>
        </w:rPr>
        <w:t>i</w:t>
      </w:r>
      <w:r>
        <w:t xml:space="preserve"> 类土壤的碳密度，单位为千克碳每平方米（kg C/m</w:t>
      </w:r>
      <w:r>
        <w:rPr>
          <w:vertAlign w:val="superscript"/>
        </w:rPr>
        <w:t>2</w:t>
      </w:r>
      <w:r>
        <w:t>）。</w:t>
      </w:r>
    </w:p>
    <w:p w14:paraId="612A33C4">
      <w:pPr>
        <w:pStyle w:val="109"/>
        <w:ind w:left="0" w:firstLine="210" w:firstLineChars="100"/>
        <w:rPr>
          <w:rFonts w:ascii="Times New Roman"/>
        </w:rPr>
      </w:pPr>
      <w:r>
        <w:rPr>
          <w:rFonts w:ascii="Times New Roman"/>
        </w:rPr>
        <w:t>水体碳储量</w:t>
      </w:r>
    </w:p>
    <w:p w14:paraId="29AEC80D">
      <w:pPr>
        <w:rPr>
          <w:rFonts w:ascii="Times New Roman" w:hAnsi="Times New Roman"/>
        </w:rPr>
      </w:pPr>
      <w:r>
        <w:rPr>
          <w:rFonts w:hint="eastAsia" w:ascii="Times New Roman" w:hAnsi="Times New Roman"/>
        </w:rPr>
        <w:t>（1）水体碳储量</w:t>
      </w:r>
    </w:p>
    <w:p w14:paraId="3542EAE0">
      <w:pPr>
        <w:rPr>
          <w:rFonts w:ascii="Times New Roman" w:hAnsi="Times New Roman"/>
        </w:rPr>
      </w:pPr>
      <w:r>
        <w:rPr>
          <w:rFonts w:hint="eastAsia" w:ascii="Times New Roman" w:hAnsi="Times New Roman"/>
        </w:rPr>
        <w:t>水体总有机碳的具体测算方法参见标准</w:t>
      </w:r>
      <w:r>
        <w:rPr>
          <w:rFonts w:ascii="Times New Roman" w:hAnsi="Times New Roman"/>
        </w:rPr>
        <w:t>B/T</w:t>
      </w:r>
      <w:r>
        <w:rPr>
          <w:rFonts w:hint="eastAsia" w:ascii="Times New Roman" w:hAnsi="Times New Roman"/>
        </w:rPr>
        <w:t xml:space="preserve"> </w:t>
      </w:r>
      <w:r>
        <w:rPr>
          <w:rFonts w:ascii="Times New Roman" w:hAnsi="Times New Roman"/>
        </w:rPr>
        <w:t>11446.8</w:t>
      </w:r>
      <w:r>
        <w:rPr>
          <w:rFonts w:hint="eastAsia" w:ascii="Times New Roman" w:hAnsi="Times New Roman"/>
        </w:rPr>
        <w:t>-</w:t>
      </w:r>
      <w:r>
        <w:rPr>
          <w:rFonts w:ascii="Times New Roman" w:hAnsi="Times New Roman"/>
        </w:rPr>
        <w:t>2013</w:t>
      </w:r>
      <w:r>
        <w:rPr>
          <w:rFonts w:hint="eastAsia" w:ascii="Times New Roman" w:hAnsi="Times New Roman"/>
        </w:rPr>
        <w:t>和</w:t>
      </w:r>
      <w:r>
        <w:rPr>
          <w:rFonts w:ascii="Times New Roman" w:hAnsi="Times New Roman"/>
        </w:rPr>
        <w:t>HJ 501</w:t>
      </w:r>
      <w:r>
        <w:rPr>
          <w:rFonts w:hint="eastAsia" w:ascii="Times New Roman" w:hAnsi="Times New Roman"/>
        </w:rPr>
        <w:t>-</w:t>
      </w:r>
      <w:r>
        <w:rPr>
          <w:rFonts w:ascii="Times New Roman" w:hAnsi="Times New Roman"/>
        </w:rPr>
        <w:t>2009</w:t>
      </w:r>
      <w:r>
        <w:rPr>
          <w:rFonts w:hint="eastAsia" w:ascii="Times New Roman" w:hAnsi="Times New Roman"/>
        </w:rPr>
        <w:t>。</w:t>
      </w:r>
      <w:r>
        <w:rPr>
          <w:rFonts w:ascii="Times New Roman" w:hAnsi="Times New Roman"/>
        </w:rPr>
        <w:t>湿地</w:t>
      </w:r>
      <w:r>
        <w:rPr>
          <w:rFonts w:hint="eastAsia" w:ascii="Times New Roman" w:hAnsi="Times New Roman"/>
        </w:rPr>
        <w:t>水体</w:t>
      </w:r>
      <w:r>
        <w:rPr>
          <w:rFonts w:ascii="Times New Roman" w:hAnsi="Times New Roman"/>
        </w:rPr>
        <w:t>碳储量具体计算公式如下：</w:t>
      </w:r>
    </w:p>
    <w:p w14:paraId="1F30E18F">
      <w:pPr>
        <w:rPr>
          <w:rFonts w:ascii="Times New Roman" w:hAnsi="Times New Roman"/>
        </w:rPr>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hint="eastAsia" w:ascii="Cambria Math" w:hAnsi="Cambria Math"/>
                </w:rPr>
                <m:t>wt</m:t>
              </m:r>
              <m:ctrlPr>
                <w:rPr>
                  <w:rFonts w:ascii="Cambria Math" w:hAnsi="Cambria Math"/>
                  <w:i/>
                </w:rPr>
              </m:ctrlPr>
            </m:sub>
          </m:sSub>
          <m:r>
            <m:rPr/>
            <w:rPr>
              <w:rFonts w:ascii="Cambria Math" w:hAnsi="Cambria Math"/>
            </w:rPr>
            <m:t>=TOC×</m:t>
          </m:r>
          <m:sSub>
            <m:sSubPr>
              <m:ctrlPr>
                <w:rPr>
                  <w:rFonts w:ascii="Cambria Math" w:hAnsi="Cambria Math"/>
                  <w:i/>
                </w:rPr>
              </m:ctrlPr>
            </m:sSubPr>
            <m:e>
              <m:r>
                <m:rPr/>
                <w:rPr>
                  <w:rFonts w:ascii="Cambria Math" w:hAnsi="Cambria Math"/>
                </w:rPr>
                <m:t>V</m:t>
              </m:r>
              <m:ctrlPr>
                <w:rPr>
                  <w:rFonts w:ascii="Cambria Math" w:hAnsi="Cambria Math"/>
                  <w:i/>
                </w:rPr>
              </m:ctrlPr>
            </m:e>
            <m:sub>
              <m:r>
                <m:rPr/>
                <w:rPr>
                  <w:rFonts w:hint="eastAsia" w:ascii="Cambria Math" w:hAnsi="Cambria Math"/>
                </w:rPr>
                <m:t>wt</m:t>
              </m:r>
              <m:ctrlPr>
                <w:rPr>
                  <w:rFonts w:ascii="Cambria Math" w:hAnsi="Cambria Math"/>
                  <w:i/>
                </w:rPr>
              </m:ctrlPr>
            </m:sub>
          </m:sSub>
          <m:r>
            <m:rPr/>
            <w:rPr>
              <w:rFonts w:ascii="Cambria Math" w:hAnsi="Cambria Math"/>
            </w:rPr>
            <m:t>×</m:t>
          </m:r>
          <m:sSup>
            <m:sSupPr>
              <m:ctrlPr>
                <w:rPr>
                  <w:rFonts w:ascii="Cambria Math" w:hAnsi="Cambria Math"/>
                  <w:i/>
                </w:rPr>
              </m:ctrlPr>
            </m:sSupPr>
            <m:e>
              <m:r>
                <m:rPr/>
                <w:rPr>
                  <w:rFonts w:ascii="Cambria Math" w:hAnsi="Cambria Math"/>
                </w:rPr>
                <m:t>10</m:t>
              </m:r>
              <m:ctrlPr>
                <w:rPr>
                  <w:rFonts w:ascii="Cambria Math" w:hAnsi="Cambria Math"/>
                  <w:i/>
                </w:rPr>
              </m:ctrlPr>
            </m:e>
            <m:sup>
              <m:r>
                <m:rPr/>
                <w:rPr>
                  <w:rFonts w:ascii="Cambria Math" w:hAnsi="Cambria Math"/>
                </w:rPr>
                <m:t>−9</m:t>
              </m:r>
              <m:ctrlPr>
                <w:rPr>
                  <w:rFonts w:ascii="Cambria Math" w:hAnsi="Cambria Math"/>
                  <w:i/>
                </w:rPr>
              </m:ctrlPr>
            </m:sup>
          </m:sSup>
        </m:oMath>
      </m:oMathPara>
    </w:p>
    <w:p w14:paraId="4CDA4E5E">
      <w:pPr>
        <w:rPr>
          <w:rFonts w:ascii="Times New Roman" w:hAnsi="Times New Roman"/>
        </w:rPr>
      </w:pPr>
      <w:r>
        <w:rPr>
          <w:rFonts w:ascii="Times New Roman" w:hAnsi="Times New Roman"/>
        </w:rPr>
        <w:t>式中，</w:t>
      </w:r>
      <w:r>
        <w:rPr>
          <w:rFonts w:ascii="Times New Roman" w:hAnsi="Times New Roman"/>
          <w:i/>
          <w:iCs/>
        </w:rPr>
        <w:t>C</w:t>
      </w:r>
      <w:r>
        <w:rPr>
          <w:rFonts w:hint="eastAsia" w:ascii="Times New Roman" w:hAnsi="Times New Roman"/>
          <w:i/>
          <w:iCs/>
          <w:vertAlign w:val="subscript"/>
        </w:rPr>
        <w:t>wt</w:t>
      </w:r>
      <w:r>
        <w:rPr>
          <w:rFonts w:ascii="Times New Roman" w:hAnsi="Times New Roman"/>
        </w:rPr>
        <w:t>——水体的碳储量（t C）；</w:t>
      </w:r>
    </w:p>
    <w:p w14:paraId="0446D570">
      <w:pPr>
        <w:ind w:firstLine="1050" w:firstLineChars="500"/>
        <w:rPr>
          <w:rFonts w:ascii="Times New Roman" w:hAnsi="Times New Roman"/>
        </w:rPr>
      </w:pPr>
      <w:r>
        <w:rPr>
          <w:rFonts w:ascii="Times New Roman" w:hAnsi="Times New Roman"/>
          <w:i/>
          <w:iCs/>
        </w:rPr>
        <w:t>TOC</w:t>
      </w:r>
      <w:r>
        <w:rPr>
          <w:rFonts w:ascii="Times New Roman" w:hAnsi="Times New Roman"/>
        </w:rPr>
        <w:t>——水体总有机碳（mg·L</w:t>
      </w:r>
      <w:r>
        <w:rPr>
          <w:rFonts w:ascii="Times New Roman" w:hAnsi="Times New Roman"/>
          <w:vertAlign w:val="superscript"/>
        </w:rPr>
        <w:t>-1</w:t>
      </w:r>
      <w:r>
        <w:rPr>
          <w:rFonts w:ascii="Times New Roman" w:hAnsi="Times New Roman"/>
        </w:rPr>
        <w:t>）；</w:t>
      </w:r>
    </w:p>
    <w:p w14:paraId="752B28B6">
      <w:pPr>
        <w:ind w:firstLine="1050" w:firstLineChars="500"/>
        <w:rPr>
          <w:rFonts w:ascii="Times New Roman" w:hAnsi="Times New Roman"/>
        </w:rPr>
      </w:pPr>
      <w:r>
        <w:rPr>
          <w:rFonts w:ascii="Times New Roman" w:hAnsi="Times New Roman"/>
          <w:i/>
          <w:iCs/>
        </w:rPr>
        <w:t>V</w:t>
      </w:r>
      <w:r>
        <w:rPr>
          <w:rFonts w:hint="eastAsia" w:ascii="Times New Roman" w:hAnsi="Times New Roman"/>
          <w:i/>
          <w:iCs/>
          <w:vertAlign w:val="subscript"/>
        </w:rPr>
        <w:t>wt</w:t>
      </w:r>
      <w:r>
        <w:rPr>
          <w:rFonts w:ascii="Times New Roman" w:hAnsi="Times New Roman"/>
        </w:rPr>
        <w:t>——水体体积（L）。</w:t>
      </w:r>
    </w:p>
    <w:p w14:paraId="6827690D">
      <w:pPr>
        <w:rPr>
          <w:rFonts w:ascii="Times New Roman" w:hAnsi="Times New Roman"/>
        </w:rPr>
      </w:pPr>
      <w:r>
        <w:rPr>
          <w:rFonts w:hint="eastAsia" w:ascii="Times New Roman" w:hAnsi="Times New Roman"/>
        </w:rPr>
        <w:t>（2）浮游生物</w:t>
      </w:r>
    </w:p>
    <w:p w14:paraId="0655F5E4">
      <w:pPr>
        <w:rPr>
          <w:rFonts w:ascii="Times New Roman" w:hAnsi="Times New Roman"/>
        </w:rPr>
      </w:pPr>
      <w:r>
        <w:rPr>
          <w:rFonts w:hint="eastAsia" w:ascii="Times New Roman" w:hAnsi="Times New Roman"/>
        </w:rPr>
        <w:t>①浮游植物</w:t>
      </w:r>
    </w:p>
    <w:p w14:paraId="10A1F026">
      <w:pPr>
        <w:rPr>
          <w:rFonts w:ascii="Times New Roman" w:hAnsi="Times New Roman"/>
        </w:rPr>
      </w:pPr>
      <m:oMathPara>
        <m:oMath>
          <m:sSub>
            <m:sSubPr>
              <m:ctrlPr>
                <w:rPr>
                  <w:rFonts w:ascii="Cambria Math" w:hAnsi="Cambria Math"/>
                  <w:i/>
                </w:rPr>
              </m:ctrlPr>
            </m:sSubPr>
            <m:e>
              <m:r>
                <m:rPr/>
                <w:rPr>
                  <w:rFonts w:ascii="Cambria Math" w:hAnsi="Cambria Math"/>
                </w:rPr>
                <m:t>B</m:t>
              </m:r>
              <m:ctrlPr>
                <w:rPr>
                  <w:rFonts w:ascii="Cambria Math" w:hAnsi="Cambria Math"/>
                  <w:i/>
                </w:rPr>
              </m:ctrlPr>
            </m:e>
            <m:sub>
              <m:r>
                <m:rPr/>
                <w:rPr>
                  <w:rFonts w:hint="eastAsia" w:ascii="Cambria Math" w:hAnsi="Cambria Math"/>
                </w:rPr>
                <m:t>p</m:t>
              </m:r>
              <m:r>
                <m:rPr/>
                <w:rPr>
                  <w:rFonts w:ascii="Cambria Math" w:hAnsi="Cambria Math" w:cs="Cambria Math"/>
                </w:rPr>
                <m:t>h</m:t>
              </m:r>
              <m:r>
                <m:rPr/>
                <w:rPr>
                  <w:rFonts w:hint="eastAsia" w:ascii="Cambria Math" w:hAnsi="Cambria Math"/>
                </w:rPr>
                <m:t>yto</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r>
                <m:rPr/>
                <w:rPr>
                  <w:rFonts w:ascii="Cambria Math" w:hAnsi="Cambria Math" w:cs="Cambria Math"/>
                </w:rPr>
                <m:t>h</m:t>
              </m:r>
              <m:r>
                <m:rPr/>
                <w:rPr>
                  <w:rFonts w:hint="eastAsia" w:ascii="Cambria Math" w:hAnsi="Cambria Math"/>
                </w:rPr>
                <m:t>l</m:t>
              </m:r>
              <m:ctrlPr>
                <w:rPr>
                  <w:rFonts w:ascii="Cambria Math" w:hAnsi="Cambria Math"/>
                  <w:i/>
                </w:rPr>
              </m:ctrlPr>
            </m:e>
            <m:sub>
              <m:r>
                <m:rPr/>
                <w:rPr>
                  <w:rFonts w:hint="eastAsia" w:ascii="Cambria Math" w:hAnsi="Cambria Math"/>
                </w:rPr>
                <m:t>a</m:t>
              </m:r>
              <m:ctrlPr>
                <w:rPr>
                  <w:rFonts w:ascii="Cambria Math" w:hAnsi="Cambria Math"/>
                  <w:i/>
                </w:rPr>
              </m:ctrlPr>
            </m:sub>
          </m:sSub>
          <m:r>
            <m:rPr/>
            <w:rPr>
              <w:rFonts w:ascii="Cambria Math" w:hAnsi="Cambria Math"/>
            </w:rPr>
            <m:t>×α</m:t>
          </m:r>
        </m:oMath>
      </m:oMathPara>
    </w:p>
    <w:p w14:paraId="74784970">
      <w:pPr>
        <w:rPr>
          <w:rFonts w:ascii="Times New Roman" w:hAnsi="Times New Roman"/>
        </w:rPr>
      </w:pPr>
      <w:r>
        <w:rPr>
          <w:rFonts w:ascii="Times New Roman" w:hAnsi="Times New Roman"/>
        </w:rPr>
        <w:t>式中，</w:t>
      </w:r>
      <w:r>
        <w:rPr>
          <w:rFonts w:ascii="Times New Roman" w:hAnsi="Times New Roman"/>
          <w:i/>
          <w:iCs/>
        </w:rPr>
        <w:t>B</w:t>
      </w:r>
      <w:r>
        <w:rPr>
          <w:rFonts w:ascii="Times New Roman" w:hAnsi="Times New Roman"/>
          <w:i/>
          <w:iCs/>
          <w:vertAlign w:val="subscript"/>
        </w:rPr>
        <w:t>phyto</w:t>
      </w:r>
      <w:r>
        <w:rPr>
          <w:rFonts w:ascii="Times New Roman" w:hAnsi="Times New Roman"/>
        </w:rPr>
        <w:t>——浮游植物生物量，单位为毫克每升（mg·L</w:t>
      </w:r>
      <w:r>
        <w:rPr>
          <w:rFonts w:ascii="Times New Roman" w:hAnsi="Times New Roman"/>
          <w:vertAlign w:val="superscript"/>
        </w:rPr>
        <w:t>-1</w:t>
      </w:r>
      <w:r>
        <w:rPr>
          <w:rFonts w:ascii="Times New Roman" w:hAnsi="Times New Roman"/>
        </w:rPr>
        <w:t>）；</w:t>
      </w:r>
    </w:p>
    <w:p w14:paraId="2CE70E4A">
      <w:pPr>
        <w:ind w:firstLine="1050" w:firstLineChars="500"/>
        <w:rPr>
          <w:rFonts w:ascii="Times New Roman" w:hAnsi="Times New Roman"/>
        </w:rPr>
      </w:pPr>
      <w:r>
        <w:rPr>
          <w:rFonts w:ascii="Times New Roman" w:hAnsi="Times New Roman"/>
          <w:i/>
          <w:iCs/>
        </w:rPr>
        <w:t>Chl</w:t>
      </w:r>
      <w:r>
        <w:rPr>
          <w:rFonts w:ascii="Times New Roman" w:hAnsi="Times New Roman"/>
          <w:i/>
          <w:iCs/>
          <w:vertAlign w:val="subscript"/>
        </w:rPr>
        <w:t>a</w:t>
      </w:r>
      <w:r>
        <w:rPr>
          <w:rFonts w:ascii="Times New Roman" w:hAnsi="Times New Roman"/>
        </w:rPr>
        <w:t>——水体中叶绿素a浓度，单位为毫克每升（mg·L</w:t>
      </w:r>
      <w:r>
        <w:rPr>
          <w:rFonts w:ascii="Times New Roman" w:hAnsi="Times New Roman"/>
          <w:vertAlign w:val="superscript"/>
        </w:rPr>
        <w:t>-1</w:t>
      </w:r>
      <w:r>
        <w:rPr>
          <w:rFonts w:ascii="Times New Roman" w:hAnsi="Times New Roman"/>
        </w:rPr>
        <w:t>）；</w:t>
      </w:r>
    </w:p>
    <w:p w14:paraId="5CF67319">
      <w:pPr>
        <w:ind w:firstLine="1050" w:firstLineChars="500"/>
        <w:rPr>
          <w:rFonts w:ascii="Times New Roman" w:hAnsi="Times New Roman"/>
        </w:rPr>
      </w:pPr>
      <w:r>
        <w:rPr>
          <w:rFonts w:ascii="Times New Roman" w:hAnsi="Times New Roman"/>
          <w:i/>
          <w:iCs/>
        </w:rPr>
        <w:t>α</w:t>
      </w:r>
      <w:r>
        <w:rPr>
          <w:rFonts w:ascii="Times New Roman" w:hAnsi="Times New Roman"/>
        </w:rPr>
        <w:t>——叶绿素a与浮游植物生物量之间的转换系数（无量纲）。</w:t>
      </w:r>
    </w:p>
    <w:p w14:paraId="0B94ABF0">
      <w:pPr>
        <w:rPr>
          <w:rFonts w:ascii="Times New Roman" w:hAnsi="Times New Roman"/>
        </w:rPr>
      </w:pPr>
      <w:r>
        <w:rPr>
          <w:rFonts w:hint="eastAsia" w:ascii="Times New Roman" w:hAnsi="Times New Roman"/>
        </w:rPr>
        <w:t>因此，浮游植物的碳储量采用如下公式计算：</w:t>
      </w:r>
    </w:p>
    <w:p w14:paraId="01793BA6">
      <w:pPr>
        <w:rPr>
          <w:rFonts w:ascii="Times New Roman" w:hAnsi="Times New Roman"/>
        </w:rPr>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hint="eastAsia" w:ascii="Cambria Math" w:hAnsi="Cambria Math"/>
                </w:rPr>
                <m:t>p</m:t>
              </m:r>
              <m:r>
                <m:rPr/>
                <w:rPr>
                  <w:rFonts w:ascii="Cambria Math" w:hAnsi="Cambria Math" w:cs="Cambria Math"/>
                </w:rPr>
                <m:t>h</m:t>
              </m:r>
              <m:r>
                <m:rPr/>
                <w:rPr>
                  <w:rFonts w:hint="eastAsia" w:ascii="Cambria Math" w:hAnsi="Cambria Math"/>
                </w:rPr>
                <m:t>yto</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B</m:t>
              </m:r>
              <m:ctrlPr>
                <w:rPr>
                  <w:rFonts w:ascii="Cambria Math" w:hAnsi="Cambria Math"/>
                  <w:i/>
                </w:rPr>
              </m:ctrlPr>
            </m:e>
            <m:sub>
              <m:r>
                <m:rPr/>
                <w:rPr>
                  <w:rFonts w:hint="eastAsia" w:ascii="Cambria Math" w:hAnsi="Cambria Math"/>
                </w:rPr>
                <m:t>p</m:t>
              </m:r>
              <m:r>
                <m:rPr/>
                <w:rPr>
                  <w:rFonts w:ascii="Cambria Math" w:hAnsi="Cambria Math" w:cs="Cambria Math"/>
                </w:rPr>
                <m:t>h</m:t>
              </m:r>
              <m:r>
                <m:rPr/>
                <w:rPr>
                  <w:rFonts w:hint="eastAsia" w:ascii="Cambria Math" w:hAnsi="Cambria Math"/>
                </w:rPr>
                <m:t>yto</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CF</m:t>
              </m:r>
              <m:ctrlPr>
                <w:rPr>
                  <w:rFonts w:ascii="Cambria Math" w:hAnsi="Cambria Math"/>
                  <w:i/>
                </w:rPr>
              </m:ctrlPr>
            </m:e>
            <m:sub>
              <m:r>
                <m:rPr/>
                <w:rPr>
                  <w:rFonts w:hint="eastAsia" w:ascii="Cambria Math" w:hAnsi="Cambria Math"/>
                </w:rPr>
                <m:t>p</m:t>
              </m:r>
              <m:r>
                <m:rPr/>
                <w:rPr>
                  <w:rFonts w:ascii="Cambria Math" w:hAnsi="Cambria Math" w:cs="Cambria Math"/>
                </w:rPr>
                <m:t>h</m:t>
              </m:r>
              <m:r>
                <m:rPr/>
                <w:rPr>
                  <w:rFonts w:hint="eastAsia" w:ascii="Cambria Math" w:hAnsi="Cambria Math"/>
                </w:rPr>
                <m:t>yto</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V</m:t>
              </m:r>
              <m:ctrlPr>
                <w:rPr>
                  <w:rFonts w:ascii="Cambria Math" w:hAnsi="Cambria Math"/>
                  <w:i/>
                </w:rPr>
              </m:ctrlPr>
            </m:e>
            <m:sub>
              <m:r>
                <m:rPr/>
                <w:rPr>
                  <w:rFonts w:hint="eastAsia" w:ascii="Cambria Math" w:hAnsi="Cambria Math"/>
                </w:rPr>
                <m:t>p</m:t>
              </m:r>
              <m:r>
                <m:rPr/>
                <w:rPr>
                  <w:rFonts w:ascii="Cambria Math" w:hAnsi="Cambria Math" w:cs="Cambria Math"/>
                </w:rPr>
                <m:t>h</m:t>
              </m:r>
              <m:r>
                <m:rPr/>
                <w:rPr>
                  <w:rFonts w:hint="eastAsia" w:ascii="Cambria Math" w:hAnsi="Cambria Math"/>
                </w:rPr>
                <m:t>yto</m:t>
              </m:r>
              <m:ctrlPr>
                <w:rPr>
                  <w:rFonts w:ascii="Cambria Math" w:hAnsi="Cambria Math"/>
                  <w:i/>
                </w:rPr>
              </m:ctrlPr>
            </m:sub>
          </m:sSub>
          <m:r>
            <m:rPr/>
            <w:rPr>
              <w:rFonts w:ascii="Cambria Math" w:hAnsi="Cambria Math"/>
            </w:rPr>
            <m:t>×</m:t>
          </m:r>
          <m:sSup>
            <m:sSupPr>
              <m:ctrlPr>
                <w:rPr>
                  <w:rFonts w:ascii="Cambria Math" w:hAnsi="Cambria Math"/>
                  <w:i/>
                </w:rPr>
              </m:ctrlPr>
            </m:sSupPr>
            <m:e>
              <m:r>
                <m:rPr/>
                <w:rPr>
                  <w:rFonts w:ascii="Cambria Math" w:hAnsi="Cambria Math"/>
                </w:rPr>
                <m:t>10</m:t>
              </m:r>
              <m:ctrlPr>
                <w:rPr>
                  <w:rFonts w:ascii="Cambria Math" w:hAnsi="Cambria Math"/>
                  <w:i/>
                </w:rPr>
              </m:ctrlPr>
            </m:e>
            <m:sup>
              <m:r>
                <m:rPr/>
                <w:rPr>
                  <w:rFonts w:ascii="Cambria Math" w:hAnsi="Cambria Math"/>
                </w:rPr>
                <m:t>−6</m:t>
              </m:r>
              <m:ctrlPr>
                <w:rPr>
                  <w:rFonts w:ascii="Cambria Math" w:hAnsi="Cambria Math"/>
                  <w:i/>
                </w:rPr>
              </m:ctrlPr>
            </m:sup>
          </m:sSup>
        </m:oMath>
      </m:oMathPara>
    </w:p>
    <w:p w14:paraId="07B421B8">
      <w:pPr>
        <w:rPr>
          <w:rFonts w:ascii="Times New Roman" w:hAnsi="Times New Roman"/>
        </w:rPr>
      </w:pPr>
      <w:r>
        <w:rPr>
          <w:rFonts w:ascii="Times New Roman" w:hAnsi="Times New Roman"/>
        </w:rPr>
        <w:t>式中，</w:t>
      </w:r>
      <w:r>
        <w:rPr>
          <w:rFonts w:ascii="Times New Roman" w:hAnsi="Times New Roman"/>
          <w:i/>
          <w:iCs/>
        </w:rPr>
        <w:t>C</w:t>
      </w:r>
      <w:r>
        <w:rPr>
          <w:rFonts w:hint="eastAsia" w:ascii="Times New Roman" w:hAnsi="Times New Roman"/>
          <w:i/>
          <w:iCs/>
          <w:vertAlign w:val="subscript"/>
        </w:rPr>
        <w:t>phyto</w:t>
      </w:r>
      <w:r>
        <w:rPr>
          <w:rFonts w:ascii="Times New Roman" w:hAnsi="Times New Roman"/>
        </w:rPr>
        <w:t>——</w:t>
      </w:r>
      <w:r>
        <w:rPr>
          <w:rFonts w:hint="eastAsia" w:ascii="Times New Roman" w:hAnsi="Times New Roman"/>
        </w:rPr>
        <w:t>为浮游植物</w:t>
      </w:r>
      <w:r>
        <w:rPr>
          <w:rFonts w:ascii="Times New Roman" w:hAnsi="Times New Roman"/>
        </w:rPr>
        <w:t>的碳储量（t C）；</w:t>
      </w:r>
    </w:p>
    <w:p w14:paraId="6C591D48">
      <w:pPr>
        <w:ind w:firstLine="1050" w:firstLineChars="500"/>
        <w:rPr>
          <w:rFonts w:ascii="Times New Roman" w:hAnsi="Times New Roman"/>
          <w:i/>
          <w:iCs/>
        </w:rPr>
      </w:pPr>
      <w:r>
        <w:rPr>
          <w:rFonts w:ascii="Times New Roman" w:hAnsi="Times New Roman"/>
          <w:i/>
          <w:iCs/>
        </w:rPr>
        <w:t>V</w:t>
      </w:r>
      <w:r>
        <w:rPr>
          <w:rFonts w:hint="eastAsia" w:ascii="Times New Roman" w:hAnsi="Times New Roman"/>
          <w:i/>
          <w:iCs/>
          <w:vertAlign w:val="subscript"/>
        </w:rPr>
        <w:t>phyto</w:t>
      </w:r>
      <w:r>
        <w:rPr>
          <w:rFonts w:ascii="Times New Roman" w:hAnsi="Times New Roman"/>
        </w:rPr>
        <w:t>——为水体体积，单位为立方米（m</w:t>
      </w:r>
      <w:r>
        <w:rPr>
          <w:rFonts w:hint="eastAsia" w:ascii="Times New Roman" w:hAnsi="Times New Roman"/>
          <w:vertAlign w:val="superscript"/>
        </w:rPr>
        <w:t>3</w:t>
      </w:r>
      <w:r>
        <w:rPr>
          <w:rFonts w:ascii="Times New Roman" w:hAnsi="Times New Roman"/>
        </w:rPr>
        <w:t>）</w:t>
      </w:r>
      <w:r>
        <w:rPr>
          <w:rFonts w:hint="eastAsia" w:ascii="Times New Roman" w:hAnsi="Times New Roman"/>
        </w:rPr>
        <w:t>；</w:t>
      </w:r>
    </w:p>
    <w:p w14:paraId="4D07D5E9">
      <w:pPr>
        <w:ind w:firstLine="1050" w:firstLineChars="500"/>
        <w:rPr>
          <w:rFonts w:ascii="Times New Roman" w:hAnsi="Times New Roman"/>
        </w:rPr>
      </w:pPr>
      <w:r>
        <w:rPr>
          <w:rFonts w:ascii="Times New Roman" w:hAnsi="Times New Roman"/>
          <w:i/>
          <w:iCs/>
        </w:rPr>
        <w:t>CF</w:t>
      </w:r>
      <w:r>
        <w:rPr>
          <w:rFonts w:ascii="Times New Roman" w:hAnsi="Times New Roman"/>
          <w:i/>
          <w:iCs/>
          <w:vertAlign w:val="subscript"/>
        </w:rPr>
        <w:t>phyto</w:t>
      </w:r>
      <w:r>
        <w:rPr>
          <w:rFonts w:ascii="Times New Roman" w:hAnsi="Times New Roman"/>
        </w:rPr>
        <w:t>——</w:t>
      </w:r>
      <w:r>
        <w:rPr>
          <w:rFonts w:hint="eastAsia" w:ascii="Times New Roman" w:hAnsi="Times New Roman"/>
        </w:rPr>
        <w:t>为</w:t>
      </w:r>
      <w:r>
        <w:rPr>
          <w:rFonts w:ascii="Times New Roman" w:hAnsi="Times New Roman"/>
        </w:rPr>
        <w:t>浮游植物的含碳率，质量分数（%）。</w:t>
      </w:r>
    </w:p>
    <w:p w14:paraId="0B6C34AB">
      <w:pPr>
        <w:rPr>
          <w:rFonts w:ascii="Times New Roman" w:hAnsi="Times New Roman"/>
        </w:rPr>
      </w:pPr>
      <w:r>
        <w:rPr>
          <w:rFonts w:hint="eastAsia" w:ascii="Times New Roman" w:hAnsi="Times New Roman"/>
        </w:rPr>
        <w:t>②浮游动物</w:t>
      </w:r>
    </w:p>
    <w:p w14:paraId="791BC3CC">
      <w:pPr>
        <w:rPr>
          <w:rFonts w:ascii="Times New Roman" w:hAnsi="Times New Roman"/>
        </w:rPr>
      </w:pPr>
      <w:r>
        <w:rPr>
          <w:rFonts w:hint="eastAsia" w:ascii="Times New Roman" w:hAnsi="Times New Roman"/>
        </w:rPr>
        <w:t>浮游动物碳储量的计算方法通常采用干重换算法，具体采用以下公式：</w:t>
      </w:r>
    </w:p>
    <w:p w14:paraId="2C69F57F">
      <w:pPr>
        <w:rPr>
          <w:rFonts w:ascii="Times New Roman" w:hAnsi="Times New Roman"/>
        </w:rPr>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hint="eastAsia" w:ascii="Cambria Math" w:hAnsi="Cambria Math"/>
                </w:rPr>
                <m:t>pa</m:t>
              </m:r>
              <m:ctrlPr>
                <w:rPr>
                  <w:rFonts w:ascii="Cambria Math" w:hAnsi="Cambria Math"/>
                  <w:i/>
                </w:rPr>
              </m:ctrlPr>
            </m:sub>
          </m:sSub>
          <m:r>
            <m:rPr/>
            <w:rPr>
              <w:rFonts w:ascii="Cambria Math" w:hAnsi="Cambria Math"/>
            </w:rPr>
            <m:t>=DW×</m:t>
          </m:r>
          <m:sSub>
            <m:sSubPr>
              <m:ctrlPr>
                <w:rPr>
                  <w:rFonts w:ascii="Cambria Math" w:hAnsi="Cambria Math"/>
                  <w:i/>
                </w:rPr>
              </m:ctrlPr>
            </m:sSubPr>
            <m:e>
              <m:r>
                <m:rPr/>
                <w:rPr>
                  <w:rFonts w:ascii="Cambria Math" w:hAnsi="Cambria Math"/>
                </w:rPr>
                <m:t>CF</m:t>
              </m:r>
              <m:ctrlPr>
                <w:rPr>
                  <w:rFonts w:ascii="Cambria Math" w:hAnsi="Cambria Math"/>
                  <w:i/>
                </w:rPr>
              </m:ctrlPr>
            </m:e>
            <m:sub>
              <m:r>
                <m:rPr/>
                <w:rPr>
                  <w:rFonts w:hint="eastAsia" w:ascii="Cambria Math" w:hAnsi="Cambria Math"/>
                </w:rPr>
                <m:t>pa</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V</m:t>
              </m:r>
              <m:ctrlPr>
                <w:rPr>
                  <w:rFonts w:ascii="Cambria Math" w:hAnsi="Cambria Math"/>
                  <w:i/>
                </w:rPr>
              </m:ctrlPr>
            </m:e>
            <m:sub>
              <m:r>
                <m:rPr/>
                <w:rPr>
                  <w:rFonts w:hint="eastAsia" w:ascii="Cambria Math" w:hAnsi="Cambria Math"/>
                </w:rPr>
                <m:t>pa</m:t>
              </m:r>
              <m:ctrlPr>
                <w:rPr>
                  <w:rFonts w:ascii="Cambria Math" w:hAnsi="Cambria Math"/>
                  <w:i/>
                </w:rPr>
              </m:ctrlPr>
            </m:sub>
          </m:sSub>
          <m:r>
            <m:rPr/>
            <w:rPr>
              <w:rFonts w:ascii="Cambria Math" w:hAnsi="Cambria Math"/>
            </w:rPr>
            <m:t>×</m:t>
          </m:r>
          <m:sSup>
            <m:sSupPr>
              <m:ctrlPr>
                <w:rPr>
                  <w:rFonts w:ascii="Cambria Math" w:hAnsi="Cambria Math"/>
                  <w:i/>
                </w:rPr>
              </m:ctrlPr>
            </m:sSupPr>
            <m:e>
              <m:r>
                <m:rPr/>
                <w:rPr>
                  <w:rFonts w:ascii="Cambria Math" w:hAnsi="Cambria Math"/>
                </w:rPr>
                <m:t>10</m:t>
              </m:r>
              <m:ctrlPr>
                <w:rPr>
                  <w:rFonts w:ascii="Cambria Math" w:hAnsi="Cambria Math"/>
                  <w:i/>
                </w:rPr>
              </m:ctrlPr>
            </m:e>
            <m:sup>
              <m:r>
                <m:rPr/>
                <w:rPr>
                  <w:rFonts w:ascii="Cambria Math" w:hAnsi="Cambria Math"/>
                </w:rPr>
                <m:t>−9</m:t>
              </m:r>
              <m:ctrlPr>
                <w:rPr>
                  <w:rFonts w:ascii="Cambria Math" w:hAnsi="Cambria Math"/>
                  <w:i/>
                </w:rPr>
              </m:ctrlPr>
            </m:sup>
          </m:sSup>
        </m:oMath>
      </m:oMathPara>
    </w:p>
    <w:p w14:paraId="640F7F7B">
      <w:pPr>
        <w:rPr>
          <w:rFonts w:ascii="Times New Roman" w:hAnsi="Times New Roman"/>
        </w:rPr>
      </w:pPr>
      <w:r>
        <w:rPr>
          <w:rFonts w:hint="eastAsia" w:ascii="Times New Roman" w:hAnsi="Times New Roman"/>
        </w:rPr>
        <w:t>式中，</w:t>
      </w:r>
      <w:r>
        <w:rPr>
          <w:rFonts w:ascii="Times New Roman" w:hAnsi="Times New Roman"/>
          <w:i/>
          <w:iCs/>
        </w:rPr>
        <w:t>C</w:t>
      </w:r>
      <w:r>
        <w:rPr>
          <w:rFonts w:ascii="Times New Roman" w:hAnsi="Times New Roman"/>
          <w:i/>
          <w:iCs/>
          <w:vertAlign w:val="subscript"/>
        </w:rPr>
        <w:t>pa</w:t>
      </w:r>
      <w:r>
        <w:rPr>
          <w:rFonts w:ascii="Times New Roman" w:hAnsi="Times New Roman"/>
        </w:rPr>
        <w:t>——为浮游动物碳储量，单位为吨碳（t</w:t>
      </w:r>
      <w:r>
        <w:rPr>
          <w:rFonts w:hint="eastAsia" w:ascii="Times New Roman" w:hAnsi="Times New Roman"/>
        </w:rPr>
        <w:t xml:space="preserve"> </w:t>
      </w:r>
      <w:r>
        <w:rPr>
          <w:rFonts w:ascii="Times New Roman" w:hAnsi="Times New Roman"/>
        </w:rPr>
        <w:t>C）；</w:t>
      </w:r>
    </w:p>
    <w:p w14:paraId="7A0DE363">
      <w:pPr>
        <w:ind w:firstLine="1050" w:firstLineChars="500"/>
        <w:rPr>
          <w:rFonts w:ascii="Times New Roman" w:hAnsi="Times New Roman"/>
        </w:rPr>
      </w:pPr>
      <w:r>
        <w:rPr>
          <w:rFonts w:ascii="Times New Roman" w:hAnsi="Times New Roman"/>
          <w:i/>
          <w:iCs/>
        </w:rPr>
        <w:t>DW</w:t>
      </w:r>
      <w:r>
        <w:rPr>
          <w:rFonts w:ascii="Times New Roman" w:hAnsi="Times New Roman"/>
          <w:i/>
          <w:iCs/>
          <w:vertAlign w:val="subscript"/>
        </w:rPr>
        <w:t>pa</w:t>
      </w:r>
      <w:r>
        <w:rPr>
          <w:rFonts w:ascii="Times New Roman" w:hAnsi="Times New Roman"/>
        </w:rPr>
        <w:t>——为浮游动物干重浓度，单位为毫克每立方米（mg·m</w:t>
      </w:r>
      <w:r>
        <w:rPr>
          <w:rFonts w:ascii="Times New Roman" w:hAnsi="Times New Roman"/>
          <w:vertAlign w:val="superscript"/>
        </w:rPr>
        <w:t>-3</w:t>
      </w:r>
      <w:r>
        <w:rPr>
          <w:rFonts w:ascii="Times New Roman" w:hAnsi="Times New Roman"/>
        </w:rPr>
        <w:t>）；</w:t>
      </w:r>
    </w:p>
    <w:p w14:paraId="7099643C">
      <w:pPr>
        <w:ind w:firstLine="1050" w:firstLineChars="500"/>
        <w:rPr>
          <w:rFonts w:ascii="Times New Roman" w:hAnsi="Times New Roman"/>
        </w:rPr>
      </w:pPr>
      <w:r>
        <w:rPr>
          <w:rFonts w:ascii="Times New Roman" w:hAnsi="Times New Roman"/>
          <w:i/>
          <w:iCs/>
        </w:rPr>
        <w:t>CF</w:t>
      </w:r>
      <w:r>
        <w:rPr>
          <w:rFonts w:ascii="Times New Roman" w:hAnsi="Times New Roman"/>
          <w:i/>
          <w:iCs/>
          <w:vertAlign w:val="subscript"/>
        </w:rPr>
        <w:t>pa</w:t>
      </w:r>
      <w:r>
        <w:rPr>
          <w:rFonts w:ascii="Times New Roman" w:hAnsi="Times New Roman"/>
        </w:rPr>
        <w:t>——为浮游动物含碳率，质量分数（%）；</w:t>
      </w:r>
    </w:p>
    <w:p w14:paraId="4714CA29">
      <w:pPr>
        <w:ind w:firstLine="1050" w:firstLineChars="500"/>
        <w:rPr>
          <w:rFonts w:ascii="Times New Roman" w:hAnsi="Times New Roman"/>
        </w:rPr>
      </w:pPr>
      <w:r>
        <w:rPr>
          <w:rFonts w:ascii="Times New Roman" w:hAnsi="Times New Roman"/>
          <w:i/>
          <w:iCs/>
        </w:rPr>
        <w:t>V</w:t>
      </w:r>
      <w:r>
        <w:rPr>
          <w:rFonts w:ascii="Times New Roman" w:hAnsi="Times New Roman"/>
          <w:i/>
          <w:iCs/>
          <w:vertAlign w:val="subscript"/>
        </w:rPr>
        <w:t>pa</w:t>
      </w:r>
      <w:r>
        <w:rPr>
          <w:rFonts w:ascii="Times New Roman" w:hAnsi="Times New Roman"/>
        </w:rPr>
        <w:t>——为水体体积，单位为立方米（m</w:t>
      </w:r>
      <w:r>
        <w:rPr>
          <w:rFonts w:ascii="Times New Roman" w:hAnsi="Times New Roman"/>
          <w:vertAlign w:val="superscript"/>
        </w:rPr>
        <w:t>3</w:t>
      </w:r>
      <w:r>
        <w:rPr>
          <w:rFonts w:ascii="Times New Roman" w:hAnsi="Times New Roman"/>
        </w:rPr>
        <w:t>）。</w:t>
      </w:r>
    </w:p>
    <w:p w14:paraId="50903D89">
      <w:pPr>
        <w:rPr>
          <w:rFonts w:ascii="Times New Roman" w:hAnsi="Times New Roman"/>
        </w:rPr>
      </w:pPr>
      <w:r>
        <w:rPr>
          <w:rFonts w:hint="eastAsia" w:ascii="Times New Roman" w:hAnsi="Times New Roman"/>
        </w:rPr>
        <w:t>因此，浮游生物总碳储量的具体计算公式如下：</w:t>
      </w:r>
    </w:p>
    <w:p w14:paraId="392239C1">
      <w:pPr>
        <w:rPr>
          <w:rFonts w:ascii="Times New Roman" w:hAnsi="Times New Roman"/>
        </w:rPr>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P</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hint="eastAsia" w:ascii="Cambria Math" w:hAnsi="Cambria Math"/>
                </w:rPr>
                <m:t>p</m:t>
              </m:r>
              <m:r>
                <m:rPr/>
                <w:rPr>
                  <w:rFonts w:ascii="Cambria Math" w:hAnsi="Cambria Math" w:cs="Cambria Math"/>
                </w:rPr>
                <m:t>h</m:t>
              </m:r>
              <m:r>
                <m:rPr/>
                <w:rPr>
                  <w:rFonts w:hint="eastAsia" w:ascii="Cambria Math" w:hAnsi="Cambria Math"/>
                </w:rPr>
                <m:t>yto</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hint="eastAsia" w:ascii="Cambria Math" w:hAnsi="Cambria Math"/>
                </w:rPr>
                <m:t>pa</m:t>
              </m:r>
              <m:ctrlPr>
                <w:rPr>
                  <w:rFonts w:ascii="Cambria Math" w:hAnsi="Cambria Math"/>
                  <w:i/>
                </w:rPr>
              </m:ctrlPr>
            </m:sub>
          </m:sSub>
        </m:oMath>
      </m:oMathPara>
    </w:p>
    <w:p w14:paraId="11C3EF56">
      <w:pPr>
        <w:rPr>
          <w:rFonts w:ascii="Times New Roman" w:hAnsi="Times New Roman"/>
        </w:rPr>
      </w:pPr>
      <w:r>
        <w:rPr>
          <w:rFonts w:ascii="Times New Roman" w:hAnsi="Times New Roman"/>
        </w:rPr>
        <w:t>式中，</w:t>
      </w:r>
      <w:r>
        <w:rPr>
          <w:rFonts w:ascii="Times New Roman" w:hAnsi="Times New Roman"/>
          <w:i/>
          <w:iCs/>
        </w:rPr>
        <w:t>C</w:t>
      </w:r>
      <w:r>
        <w:rPr>
          <w:rFonts w:ascii="Times New Roman" w:hAnsi="Times New Roman"/>
          <w:i/>
          <w:iCs/>
          <w:vertAlign w:val="subscript"/>
        </w:rPr>
        <w:t>P</w:t>
      </w:r>
      <w:r>
        <w:rPr>
          <w:rFonts w:ascii="Times New Roman" w:hAnsi="Times New Roman"/>
        </w:rPr>
        <w:t>——为浮游生物碳储量，单位为吨碳（t C）。</w:t>
      </w:r>
    </w:p>
    <w:p w14:paraId="3BF2AD3B">
      <w:pPr>
        <w:rPr>
          <w:rFonts w:ascii="Times New Roman" w:hAnsi="Times New Roman"/>
        </w:rPr>
      </w:pPr>
      <w:r>
        <w:rPr>
          <w:rFonts w:hint="eastAsia" w:ascii="Times New Roman" w:hAnsi="Times New Roman"/>
        </w:rPr>
        <w:t>因此，水体总碳储量的具体计算公式如下：</w:t>
      </w:r>
    </w:p>
    <w:p w14:paraId="341339F4">
      <w:pPr>
        <w:rPr>
          <w:rFonts w:ascii="Times New Roman" w:hAnsi="Times New Roman"/>
        </w:rPr>
      </w:pPr>
      <m:oMathPara>
        <m:oMath>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W</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hint="eastAsia" w:ascii="Cambria Math" w:hAnsi="Cambria Math"/>
                </w:rPr>
                <m:t>wt</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ascii="Cambria Math" w:hAnsi="Cambria Math"/>
                </w:rPr>
                <m:t>C</m:t>
              </m:r>
              <m:ctrlPr>
                <w:rPr>
                  <w:rFonts w:ascii="Cambria Math" w:hAnsi="Cambria Math"/>
                  <w:i/>
                </w:rPr>
              </m:ctrlPr>
            </m:e>
            <m:sub>
              <m:r>
                <m:rPr/>
                <w:rPr>
                  <w:rFonts w:ascii="Cambria Math" w:hAnsi="Cambria Math"/>
                </w:rPr>
                <m:t>P</m:t>
              </m:r>
              <m:ctrlPr>
                <w:rPr>
                  <w:rFonts w:ascii="Cambria Math" w:hAnsi="Cambria Math"/>
                  <w:i/>
                </w:rPr>
              </m:ctrlPr>
            </m:sub>
          </m:sSub>
        </m:oMath>
      </m:oMathPara>
    </w:p>
    <w:p w14:paraId="3E86A5D0">
      <w:pPr>
        <w:rPr>
          <w:rFonts w:ascii="Times New Roman" w:hAnsi="Times New Roman"/>
        </w:rPr>
      </w:pPr>
      <w:r>
        <w:rPr>
          <w:rFonts w:hint="eastAsia" w:ascii="Times New Roman" w:hAnsi="Times New Roman"/>
        </w:rPr>
        <w:t>式中，</w:t>
      </w:r>
      <w:r>
        <w:rPr>
          <w:rFonts w:ascii="Times New Roman" w:hAnsi="Times New Roman"/>
          <w:i/>
          <w:iCs/>
        </w:rPr>
        <w:t>C</w:t>
      </w:r>
      <w:r>
        <w:rPr>
          <w:rFonts w:ascii="Times New Roman" w:hAnsi="Times New Roman"/>
          <w:i/>
          <w:iCs/>
          <w:vertAlign w:val="subscript"/>
        </w:rPr>
        <w:t>W</w:t>
      </w:r>
      <w:r>
        <w:rPr>
          <w:rFonts w:ascii="Times New Roman" w:hAnsi="Times New Roman"/>
        </w:rPr>
        <w:t>——</w:t>
      </w:r>
      <w:r>
        <w:rPr>
          <w:rFonts w:hint="eastAsia" w:ascii="Times New Roman" w:hAnsi="Times New Roman"/>
        </w:rPr>
        <w:t>为水体总碳储量，</w:t>
      </w:r>
      <w:r>
        <w:rPr>
          <w:rFonts w:ascii="Times New Roman" w:hAnsi="Times New Roman"/>
        </w:rPr>
        <w:t>单位为吨碳（t C）。</w:t>
      </w:r>
    </w:p>
    <w:bookmarkEnd w:id="3"/>
    <w:p w14:paraId="63395FBA">
      <w:pPr>
        <w:pStyle w:val="60"/>
      </w:pPr>
      <w:bookmarkStart w:id="25" w:name="BookMark8"/>
      <w:r>
        <w:drawing>
          <wp:inline distT="0" distB="0" distL="0" distR="0">
            <wp:extent cx="1485900" cy="317500"/>
            <wp:effectExtent l="0" t="0" r="0" b="6350"/>
            <wp:docPr id="1172833144" name="图片 1"/>
            <wp:cNvGraphicFramePr/>
            <a:graphic xmlns:a="http://schemas.openxmlformats.org/drawingml/2006/main">
              <a:graphicData uri="http://schemas.openxmlformats.org/drawingml/2006/picture">
                <pic:pic xmlns:pic="http://schemas.openxmlformats.org/drawingml/2006/picture">
                  <pic:nvPicPr>
                    <pic:cNvPr id="1172833144" name="图片 1"/>
                    <pic:cNvPicPr/>
                  </pic:nvPicPr>
                  <pic:blipFill>
                    <a:blip r:embed="rId20">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25"/>
      <w:r>
        <w:br w:type="page"/>
      </w:r>
    </w:p>
    <w:p w14:paraId="2A59396D">
      <w:pPr>
        <w:pStyle w:val="60"/>
        <w:ind w:firstLine="482"/>
        <w:jc w:val="center"/>
        <w:rPr>
          <w:rFonts w:eastAsia="黑体"/>
          <w:b/>
          <w:bCs/>
          <w:sz w:val="24"/>
          <w:szCs w:val="24"/>
        </w:rPr>
      </w:pPr>
      <w:r>
        <w:rPr>
          <w:rFonts w:eastAsia="黑体"/>
          <w:b/>
          <w:bCs/>
          <w:sz w:val="24"/>
          <w:szCs w:val="24"/>
        </w:rPr>
        <w:t>附 录 A</w:t>
      </w:r>
    </w:p>
    <w:p w14:paraId="52EBBB5A">
      <w:pPr>
        <w:pStyle w:val="60"/>
        <w:ind w:firstLine="482"/>
        <w:jc w:val="center"/>
        <w:rPr>
          <w:rFonts w:eastAsia="黑体"/>
          <w:b/>
          <w:bCs/>
          <w:sz w:val="24"/>
          <w:szCs w:val="24"/>
        </w:rPr>
      </w:pPr>
      <w:r>
        <w:rPr>
          <w:rFonts w:eastAsia="黑体"/>
          <w:b/>
          <w:bCs/>
          <w:sz w:val="24"/>
          <w:szCs w:val="24"/>
        </w:rPr>
        <w:t>（资料性）</w:t>
      </w:r>
    </w:p>
    <w:p w14:paraId="23C5703E">
      <w:pPr>
        <w:pStyle w:val="60"/>
        <w:ind w:firstLine="482"/>
        <w:jc w:val="center"/>
        <w:rPr>
          <w:rFonts w:eastAsia="黑体"/>
          <w:b/>
          <w:bCs/>
          <w:sz w:val="24"/>
          <w:szCs w:val="24"/>
        </w:rPr>
      </w:pPr>
      <w:r>
        <w:rPr>
          <w:rFonts w:eastAsia="黑体"/>
          <w:b/>
          <w:bCs/>
          <w:sz w:val="24"/>
          <w:szCs w:val="24"/>
        </w:rPr>
        <w:t>数据采集记录表</w:t>
      </w:r>
    </w:p>
    <w:p w14:paraId="19E52797">
      <w:pPr>
        <w:pStyle w:val="60"/>
        <w:ind w:firstLine="482"/>
        <w:jc w:val="center"/>
        <w:rPr>
          <w:rFonts w:eastAsia="黑体"/>
          <w:b/>
          <w:bCs/>
          <w:sz w:val="24"/>
          <w:szCs w:val="24"/>
        </w:rPr>
      </w:pPr>
    </w:p>
    <w:p w14:paraId="665130B8">
      <w:pPr>
        <w:pStyle w:val="60"/>
        <w:ind w:firstLine="482"/>
        <w:jc w:val="center"/>
        <w:rPr>
          <w:rFonts w:eastAsia="黑体"/>
          <w:b/>
          <w:bCs/>
          <w:sz w:val="24"/>
          <w:szCs w:val="24"/>
        </w:rPr>
      </w:pPr>
      <w:r>
        <w:rPr>
          <w:rFonts w:eastAsia="黑体"/>
          <w:b/>
          <w:bCs/>
          <w:sz w:val="24"/>
          <w:szCs w:val="24"/>
        </w:rPr>
        <w:t>表A.1 灌木/乔木样方调查表</w:t>
      </w:r>
    </w:p>
    <w:tbl>
      <w:tblPr>
        <w:tblStyle w:val="29"/>
        <w:tblW w:w="9967" w:type="dxa"/>
        <w:jc w:val="center"/>
        <w:tblLayout w:type="fixed"/>
        <w:tblCellMar>
          <w:top w:w="0" w:type="dxa"/>
          <w:left w:w="108" w:type="dxa"/>
          <w:bottom w:w="0" w:type="dxa"/>
          <w:right w:w="108" w:type="dxa"/>
        </w:tblCellMar>
      </w:tblPr>
      <w:tblGrid>
        <w:gridCol w:w="846"/>
        <w:gridCol w:w="423"/>
        <w:gridCol w:w="425"/>
        <w:gridCol w:w="423"/>
        <w:gridCol w:w="313"/>
        <w:gridCol w:w="540"/>
        <w:gridCol w:w="711"/>
        <w:gridCol w:w="992"/>
        <w:gridCol w:w="142"/>
        <w:gridCol w:w="992"/>
        <w:gridCol w:w="567"/>
        <w:gridCol w:w="709"/>
        <w:gridCol w:w="211"/>
        <w:gridCol w:w="639"/>
        <w:gridCol w:w="757"/>
        <w:gridCol w:w="1041"/>
        <w:gridCol w:w="236"/>
      </w:tblGrid>
      <w:tr w14:paraId="447E73DC">
        <w:tblPrEx>
          <w:tblCellMar>
            <w:top w:w="0" w:type="dxa"/>
            <w:left w:w="108" w:type="dxa"/>
            <w:bottom w:w="0" w:type="dxa"/>
            <w:right w:w="108" w:type="dxa"/>
          </w:tblCellMar>
        </w:tblPrEx>
        <w:trPr>
          <w:gridAfter w:val="1"/>
          <w:wAfter w:w="236" w:type="dxa"/>
          <w:trHeight w:val="340" w:hRule="atLeast"/>
          <w:jc w:val="center"/>
        </w:trPr>
        <w:tc>
          <w:tcPr>
            <w:tcW w:w="9731" w:type="dxa"/>
            <w:gridSpan w:val="16"/>
            <w:vMerge w:val="restart"/>
            <w:tcBorders>
              <w:top w:val="single" w:color="auto" w:sz="4" w:space="0"/>
              <w:left w:val="single" w:color="auto" w:sz="4" w:space="0"/>
              <w:bottom w:val="single" w:color="auto" w:sz="4" w:space="0"/>
              <w:right w:val="single" w:color="auto" w:sz="4" w:space="0"/>
            </w:tcBorders>
            <w:vAlign w:val="center"/>
          </w:tcPr>
          <w:p w14:paraId="0E96A682">
            <w:pPr>
              <w:widowControl/>
              <w:spacing w:line="240" w:lineRule="auto"/>
              <w:ind w:firstLine="0" w:firstLineChars="0"/>
              <w:jc w:val="center"/>
              <w:rPr>
                <w:rFonts w:ascii="Times New Roman" w:hAnsi="Times New Roman"/>
                <w:b/>
                <w:bCs/>
                <w:color w:val="000000"/>
                <w:kern w:val="0"/>
                <w:sz w:val="24"/>
                <w:szCs w:val="24"/>
              </w:rPr>
            </w:pPr>
            <w:r>
              <w:rPr>
                <w:rFonts w:ascii="Times New Roman" w:hAnsi="Times New Roman"/>
                <w:b/>
                <w:bCs/>
                <w:color w:val="000000"/>
                <w:kern w:val="0"/>
                <w:sz w:val="24"/>
                <w:szCs w:val="24"/>
              </w:rPr>
              <w:t>灌木/乔木样方调查表</w:t>
            </w:r>
          </w:p>
        </w:tc>
      </w:tr>
      <w:tr w14:paraId="31415331">
        <w:tblPrEx>
          <w:tblCellMar>
            <w:top w:w="0" w:type="dxa"/>
            <w:left w:w="108" w:type="dxa"/>
            <w:bottom w:w="0" w:type="dxa"/>
            <w:right w:w="108" w:type="dxa"/>
          </w:tblCellMar>
        </w:tblPrEx>
        <w:trPr>
          <w:trHeight w:val="340" w:hRule="atLeast"/>
          <w:jc w:val="center"/>
        </w:trPr>
        <w:tc>
          <w:tcPr>
            <w:tcW w:w="9731" w:type="dxa"/>
            <w:gridSpan w:val="16"/>
            <w:vMerge w:val="continue"/>
            <w:tcBorders>
              <w:top w:val="single" w:color="auto" w:sz="4" w:space="0"/>
              <w:left w:val="single" w:color="auto" w:sz="4" w:space="0"/>
              <w:bottom w:val="single" w:color="auto" w:sz="4" w:space="0"/>
              <w:right w:val="single" w:color="auto" w:sz="4" w:space="0"/>
            </w:tcBorders>
            <w:vAlign w:val="center"/>
          </w:tcPr>
          <w:p w14:paraId="422FA653">
            <w:pPr>
              <w:widowControl/>
              <w:spacing w:line="240" w:lineRule="auto"/>
              <w:ind w:firstLine="0" w:firstLineChars="0"/>
              <w:jc w:val="left"/>
              <w:rPr>
                <w:rFonts w:ascii="Times New Roman" w:hAnsi="Times New Roman"/>
                <w:b/>
                <w:bCs/>
                <w:color w:val="000000"/>
                <w:kern w:val="0"/>
                <w:sz w:val="24"/>
                <w:szCs w:val="24"/>
              </w:rPr>
            </w:pPr>
          </w:p>
        </w:tc>
        <w:tc>
          <w:tcPr>
            <w:tcW w:w="236" w:type="dxa"/>
            <w:tcBorders>
              <w:top w:val="nil"/>
              <w:left w:val="nil"/>
              <w:bottom w:val="nil"/>
              <w:right w:val="nil"/>
            </w:tcBorders>
            <w:noWrap/>
            <w:vAlign w:val="center"/>
          </w:tcPr>
          <w:p w14:paraId="390C8B1B">
            <w:pPr>
              <w:widowControl/>
              <w:spacing w:line="240" w:lineRule="auto"/>
              <w:ind w:firstLine="0" w:firstLineChars="0"/>
              <w:jc w:val="center"/>
              <w:rPr>
                <w:rFonts w:ascii="Times New Roman" w:hAnsi="Times New Roman"/>
                <w:b/>
                <w:bCs/>
                <w:color w:val="000000"/>
                <w:kern w:val="0"/>
                <w:sz w:val="24"/>
                <w:szCs w:val="24"/>
              </w:rPr>
            </w:pPr>
          </w:p>
        </w:tc>
      </w:tr>
      <w:tr w14:paraId="003FF9EF">
        <w:tblPrEx>
          <w:tblCellMar>
            <w:top w:w="0" w:type="dxa"/>
            <w:left w:w="108" w:type="dxa"/>
            <w:bottom w:w="0" w:type="dxa"/>
            <w:right w:w="108" w:type="dxa"/>
          </w:tblCellMar>
        </w:tblPrEx>
        <w:trPr>
          <w:trHeight w:val="454" w:hRule="atLeast"/>
          <w:jc w:val="center"/>
        </w:trPr>
        <w:tc>
          <w:tcPr>
            <w:tcW w:w="846" w:type="dxa"/>
            <w:tcBorders>
              <w:top w:val="nil"/>
              <w:left w:val="single" w:color="auto" w:sz="4" w:space="0"/>
              <w:bottom w:val="single" w:color="auto" w:sz="4" w:space="0"/>
              <w:right w:val="single" w:color="auto" w:sz="4" w:space="0"/>
            </w:tcBorders>
            <w:vAlign w:val="center"/>
          </w:tcPr>
          <w:p w14:paraId="3221441C">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地点</w:t>
            </w:r>
          </w:p>
        </w:tc>
        <w:tc>
          <w:tcPr>
            <w:tcW w:w="2835" w:type="dxa"/>
            <w:gridSpan w:val="6"/>
            <w:tcBorders>
              <w:top w:val="single" w:color="auto" w:sz="4" w:space="0"/>
              <w:left w:val="nil"/>
              <w:bottom w:val="single" w:color="auto" w:sz="4" w:space="0"/>
              <w:right w:val="single" w:color="000000" w:sz="4" w:space="0"/>
            </w:tcBorders>
            <w:vAlign w:val="center"/>
          </w:tcPr>
          <w:p w14:paraId="413EC0AF">
            <w:pPr>
              <w:widowControl/>
              <w:spacing w:line="240" w:lineRule="auto"/>
              <w:ind w:firstLine="0" w:firstLineChars="0"/>
              <w:jc w:val="left"/>
              <w:rPr>
                <w:rFonts w:ascii="Times New Roman" w:hAnsi="Times New Roman"/>
                <w:color w:val="000000"/>
                <w:kern w:val="0"/>
                <w:sz w:val="24"/>
                <w:szCs w:val="24"/>
              </w:rPr>
            </w:pPr>
          </w:p>
        </w:tc>
        <w:tc>
          <w:tcPr>
            <w:tcW w:w="992" w:type="dxa"/>
            <w:tcBorders>
              <w:top w:val="nil"/>
              <w:left w:val="nil"/>
              <w:bottom w:val="single" w:color="auto" w:sz="4" w:space="0"/>
              <w:right w:val="single" w:color="auto" w:sz="4" w:space="0"/>
            </w:tcBorders>
            <w:vAlign w:val="center"/>
          </w:tcPr>
          <w:p w14:paraId="1F72E39A">
            <w:pPr>
              <w:widowControl/>
              <w:spacing w:line="240" w:lineRule="auto"/>
              <w:ind w:firstLine="0" w:firstLineChars="0"/>
              <w:jc w:val="left"/>
              <w:rPr>
                <w:rFonts w:ascii="Times New Roman" w:hAnsi="Times New Roman"/>
                <w:color w:val="000000"/>
                <w:kern w:val="0"/>
                <w:sz w:val="24"/>
                <w:szCs w:val="24"/>
              </w:rPr>
            </w:pPr>
            <w:r>
              <w:rPr>
                <w:rFonts w:hint="eastAsia" w:ascii="Times New Roman" w:hAnsi="Times New Roman"/>
                <w:color w:val="000000"/>
                <w:kern w:val="0"/>
                <w:sz w:val="24"/>
                <w:szCs w:val="24"/>
              </w:rPr>
              <w:t>样方号</w:t>
            </w:r>
          </w:p>
        </w:tc>
        <w:tc>
          <w:tcPr>
            <w:tcW w:w="1701" w:type="dxa"/>
            <w:gridSpan w:val="3"/>
            <w:tcBorders>
              <w:top w:val="nil"/>
              <w:left w:val="nil"/>
              <w:bottom w:val="single" w:color="auto" w:sz="4" w:space="0"/>
              <w:right w:val="single" w:color="auto" w:sz="4" w:space="0"/>
            </w:tcBorders>
            <w:vAlign w:val="center"/>
          </w:tcPr>
          <w:p w14:paraId="71CAB485">
            <w:pPr>
              <w:widowControl/>
              <w:spacing w:line="240" w:lineRule="auto"/>
              <w:ind w:firstLine="0" w:firstLineChars="0"/>
              <w:jc w:val="left"/>
              <w:rPr>
                <w:rFonts w:ascii="Times New Roman" w:hAnsi="Times New Roman"/>
                <w:color w:val="000000"/>
                <w:kern w:val="0"/>
                <w:sz w:val="24"/>
                <w:szCs w:val="24"/>
              </w:rPr>
            </w:pPr>
          </w:p>
        </w:tc>
        <w:tc>
          <w:tcPr>
            <w:tcW w:w="709" w:type="dxa"/>
            <w:tcBorders>
              <w:top w:val="nil"/>
              <w:left w:val="nil"/>
              <w:bottom w:val="single" w:color="auto" w:sz="4" w:space="0"/>
              <w:right w:val="single" w:color="auto" w:sz="4" w:space="0"/>
            </w:tcBorders>
            <w:vAlign w:val="center"/>
          </w:tcPr>
          <w:p w14:paraId="087C421D">
            <w:pPr>
              <w:widowControl/>
              <w:spacing w:line="240" w:lineRule="auto"/>
              <w:ind w:firstLine="0" w:firstLineChars="0"/>
              <w:jc w:val="left"/>
              <w:rPr>
                <w:rFonts w:ascii="Times New Roman" w:hAnsi="Times New Roman"/>
                <w:color w:val="000000"/>
                <w:kern w:val="0"/>
                <w:sz w:val="24"/>
                <w:szCs w:val="24"/>
              </w:rPr>
            </w:pPr>
            <w:r>
              <w:rPr>
                <w:rFonts w:hint="eastAsia" w:ascii="Times New Roman" w:hAnsi="Times New Roman"/>
                <w:color w:val="000000"/>
                <w:kern w:val="0"/>
                <w:sz w:val="24"/>
                <w:szCs w:val="24"/>
              </w:rPr>
              <w:t>面积</w:t>
            </w:r>
          </w:p>
        </w:tc>
        <w:tc>
          <w:tcPr>
            <w:tcW w:w="850" w:type="dxa"/>
            <w:gridSpan w:val="2"/>
            <w:tcBorders>
              <w:top w:val="nil"/>
              <w:left w:val="nil"/>
              <w:bottom w:val="single" w:color="auto" w:sz="4" w:space="0"/>
              <w:right w:val="single" w:color="auto" w:sz="4" w:space="0"/>
            </w:tcBorders>
            <w:vAlign w:val="center"/>
          </w:tcPr>
          <w:p w14:paraId="15923F40">
            <w:pPr>
              <w:widowControl/>
              <w:spacing w:line="240" w:lineRule="auto"/>
              <w:ind w:firstLine="0" w:firstLineChars="0"/>
              <w:jc w:val="left"/>
              <w:rPr>
                <w:rFonts w:ascii="Times New Roman" w:hAnsi="Times New Roman"/>
                <w:color w:val="000000"/>
                <w:kern w:val="0"/>
                <w:sz w:val="24"/>
                <w:szCs w:val="24"/>
              </w:rPr>
            </w:pPr>
          </w:p>
        </w:tc>
        <w:tc>
          <w:tcPr>
            <w:tcW w:w="757" w:type="dxa"/>
            <w:tcBorders>
              <w:top w:val="nil"/>
              <w:left w:val="nil"/>
              <w:bottom w:val="single" w:color="auto" w:sz="4" w:space="0"/>
              <w:right w:val="single" w:color="auto" w:sz="4" w:space="0"/>
            </w:tcBorders>
            <w:vAlign w:val="center"/>
          </w:tcPr>
          <w:p w14:paraId="2691257C">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日期</w:t>
            </w:r>
          </w:p>
        </w:tc>
        <w:tc>
          <w:tcPr>
            <w:tcW w:w="1041" w:type="dxa"/>
            <w:tcBorders>
              <w:top w:val="nil"/>
              <w:left w:val="nil"/>
              <w:bottom w:val="single" w:color="auto" w:sz="4" w:space="0"/>
              <w:right w:val="single" w:color="auto" w:sz="4" w:space="0"/>
            </w:tcBorders>
            <w:noWrap/>
            <w:vAlign w:val="center"/>
          </w:tcPr>
          <w:p w14:paraId="2957D878">
            <w:pPr>
              <w:widowControl/>
              <w:spacing w:line="240" w:lineRule="auto"/>
              <w:ind w:firstLine="0" w:firstLineChars="0"/>
              <w:jc w:val="left"/>
              <w:rPr>
                <w:rFonts w:ascii="Times New Roman" w:hAnsi="Times New Roman"/>
                <w:color w:val="000000"/>
                <w:kern w:val="0"/>
                <w:sz w:val="24"/>
                <w:szCs w:val="24"/>
              </w:rPr>
            </w:pPr>
          </w:p>
        </w:tc>
        <w:tc>
          <w:tcPr>
            <w:tcW w:w="236" w:type="dxa"/>
            <w:vAlign w:val="center"/>
          </w:tcPr>
          <w:p w14:paraId="2A1845F1">
            <w:pPr>
              <w:widowControl/>
              <w:spacing w:line="240" w:lineRule="auto"/>
              <w:ind w:firstLine="0" w:firstLineChars="0"/>
              <w:jc w:val="left"/>
              <w:rPr>
                <w:rFonts w:ascii="Times New Roman" w:hAnsi="Times New Roman" w:eastAsia="Times New Roman"/>
                <w:kern w:val="0"/>
                <w:sz w:val="24"/>
                <w:szCs w:val="24"/>
              </w:rPr>
            </w:pPr>
          </w:p>
        </w:tc>
      </w:tr>
      <w:tr w14:paraId="1969FADB">
        <w:tblPrEx>
          <w:tblCellMar>
            <w:top w:w="0" w:type="dxa"/>
            <w:left w:w="108" w:type="dxa"/>
            <w:bottom w:w="0" w:type="dxa"/>
            <w:right w:w="108" w:type="dxa"/>
          </w:tblCellMar>
        </w:tblPrEx>
        <w:trPr>
          <w:trHeight w:val="454" w:hRule="atLeast"/>
          <w:jc w:val="center"/>
        </w:trPr>
        <w:tc>
          <w:tcPr>
            <w:tcW w:w="846" w:type="dxa"/>
            <w:tcBorders>
              <w:top w:val="nil"/>
              <w:left w:val="single" w:color="auto" w:sz="4" w:space="0"/>
              <w:bottom w:val="single" w:color="auto" w:sz="4" w:space="0"/>
              <w:right w:val="single" w:color="auto" w:sz="4" w:space="0"/>
            </w:tcBorders>
            <w:vAlign w:val="center"/>
          </w:tcPr>
          <w:p w14:paraId="3163EEF6">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经度</w:t>
            </w:r>
          </w:p>
        </w:tc>
        <w:tc>
          <w:tcPr>
            <w:tcW w:w="1271" w:type="dxa"/>
            <w:gridSpan w:val="3"/>
            <w:tcBorders>
              <w:top w:val="nil"/>
              <w:left w:val="nil"/>
              <w:bottom w:val="nil"/>
              <w:right w:val="nil"/>
            </w:tcBorders>
            <w:noWrap/>
            <w:vAlign w:val="center"/>
          </w:tcPr>
          <w:p w14:paraId="61D3227E">
            <w:pPr>
              <w:widowControl/>
              <w:spacing w:line="240" w:lineRule="auto"/>
              <w:ind w:firstLine="0" w:firstLineChars="0"/>
              <w:jc w:val="left"/>
              <w:rPr>
                <w:rFonts w:ascii="Times New Roman" w:hAnsi="Times New Roman"/>
                <w:color w:val="000000"/>
                <w:kern w:val="0"/>
                <w:sz w:val="24"/>
                <w:szCs w:val="24"/>
              </w:rPr>
            </w:pPr>
          </w:p>
        </w:tc>
        <w:tc>
          <w:tcPr>
            <w:tcW w:w="853" w:type="dxa"/>
            <w:gridSpan w:val="2"/>
            <w:tcBorders>
              <w:top w:val="nil"/>
              <w:left w:val="nil"/>
              <w:bottom w:val="single" w:color="auto" w:sz="4" w:space="0"/>
              <w:right w:val="single" w:color="auto" w:sz="4" w:space="0"/>
            </w:tcBorders>
            <w:vAlign w:val="center"/>
          </w:tcPr>
          <w:p w14:paraId="5528A0B9">
            <w:pPr>
              <w:widowControl/>
              <w:spacing w:line="240" w:lineRule="auto"/>
              <w:ind w:firstLine="0" w:firstLineChars="0"/>
              <w:jc w:val="center"/>
              <w:rPr>
                <w:rFonts w:ascii="Times New Roman" w:hAnsi="Times New Roman"/>
                <w:color w:val="000000"/>
                <w:kern w:val="0"/>
                <w:sz w:val="24"/>
                <w:szCs w:val="24"/>
              </w:rPr>
            </w:pPr>
          </w:p>
        </w:tc>
        <w:tc>
          <w:tcPr>
            <w:tcW w:w="711" w:type="dxa"/>
            <w:tcBorders>
              <w:top w:val="nil"/>
              <w:left w:val="nil"/>
              <w:bottom w:val="single" w:color="auto" w:sz="4" w:space="0"/>
              <w:right w:val="single" w:color="auto" w:sz="4" w:space="0"/>
            </w:tcBorders>
            <w:vAlign w:val="center"/>
          </w:tcPr>
          <w:p w14:paraId="7BDF1CCD">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纬度</w:t>
            </w:r>
          </w:p>
        </w:tc>
        <w:tc>
          <w:tcPr>
            <w:tcW w:w="2126" w:type="dxa"/>
            <w:gridSpan w:val="3"/>
            <w:tcBorders>
              <w:top w:val="single" w:color="auto" w:sz="4" w:space="0"/>
              <w:left w:val="nil"/>
              <w:bottom w:val="single" w:color="auto" w:sz="4" w:space="0"/>
              <w:right w:val="single" w:color="auto" w:sz="4" w:space="0"/>
            </w:tcBorders>
            <w:vAlign w:val="center"/>
          </w:tcPr>
          <w:p w14:paraId="3960ED4B">
            <w:pPr>
              <w:widowControl/>
              <w:spacing w:line="240" w:lineRule="auto"/>
              <w:ind w:firstLine="0" w:firstLineChars="0"/>
              <w:jc w:val="left"/>
              <w:rPr>
                <w:rFonts w:ascii="Times New Roman" w:hAnsi="Times New Roman"/>
                <w:color w:val="000000"/>
                <w:kern w:val="0"/>
                <w:sz w:val="24"/>
                <w:szCs w:val="24"/>
              </w:rPr>
            </w:pPr>
          </w:p>
        </w:tc>
        <w:tc>
          <w:tcPr>
            <w:tcW w:w="1276" w:type="dxa"/>
            <w:gridSpan w:val="2"/>
            <w:tcBorders>
              <w:top w:val="single" w:color="auto" w:sz="4" w:space="0"/>
              <w:left w:val="nil"/>
              <w:bottom w:val="single" w:color="auto" w:sz="4" w:space="0"/>
              <w:right w:val="single" w:color="auto" w:sz="4" w:space="0"/>
            </w:tcBorders>
            <w:vAlign w:val="center"/>
          </w:tcPr>
          <w:p w14:paraId="567C23CC">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海拔高度</w:t>
            </w:r>
          </w:p>
        </w:tc>
        <w:tc>
          <w:tcPr>
            <w:tcW w:w="2648" w:type="dxa"/>
            <w:gridSpan w:val="4"/>
            <w:tcBorders>
              <w:top w:val="nil"/>
              <w:left w:val="nil"/>
              <w:bottom w:val="single" w:color="auto" w:sz="4" w:space="0"/>
              <w:right w:val="single" w:color="auto" w:sz="4" w:space="0"/>
            </w:tcBorders>
            <w:vAlign w:val="center"/>
          </w:tcPr>
          <w:p w14:paraId="737622DF">
            <w:pPr>
              <w:widowControl/>
              <w:spacing w:line="240" w:lineRule="auto"/>
              <w:ind w:firstLine="0" w:firstLineChars="0"/>
              <w:jc w:val="left"/>
              <w:rPr>
                <w:rFonts w:ascii="Times New Roman" w:hAnsi="Times New Roman"/>
                <w:color w:val="000000"/>
                <w:kern w:val="0"/>
                <w:sz w:val="24"/>
                <w:szCs w:val="24"/>
              </w:rPr>
            </w:pPr>
          </w:p>
        </w:tc>
        <w:tc>
          <w:tcPr>
            <w:tcW w:w="236" w:type="dxa"/>
            <w:vAlign w:val="center"/>
          </w:tcPr>
          <w:p w14:paraId="1624B615">
            <w:pPr>
              <w:widowControl/>
              <w:spacing w:line="240" w:lineRule="auto"/>
              <w:ind w:firstLine="0" w:firstLineChars="0"/>
              <w:jc w:val="left"/>
              <w:rPr>
                <w:rFonts w:ascii="Times New Roman" w:hAnsi="Times New Roman" w:eastAsia="Times New Roman"/>
                <w:kern w:val="0"/>
                <w:sz w:val="24"/>
                <w:szCs w:val="24"/>
              </w:rPr>
            </w:pPr>
          </w:p>
        </w:tc>
      </w:tr>
      <w:tr w14:paraId="0B937564">
        <w:tblPrEx>
          <w:tblCellMar>
            <w:top w:w="0" w:type="dxa"/>
            <w:left w:w="108" w:type="dxa"/>
            <w:bottom w:w="0" w:type="dxa"/>
            <w:right w:w="108" w:type="dxa"/>
          </w:tblCellMar>
        </w:tblPrEx>
        <w:trPr>
          <w:trHeight w:val="454" w:hRule="atLeast"/>
          <w:jc w:val="center"/>
        </w:trPr>
        <w:tc>
          <w:tcPr>
            <w:tcW w:w="1269" w:type="dxa"/>
            <w:gridSpan w:val="2"/>
            <w:tcBorders>
              <w:top w:val="single" w:color="auto" w:sz="4" w:space="0"/>
              <w:left w:val="single" w:color="auto" w:sz="4" w:space="0"/>
              <w:bottom w:val="single" w:color="auto" w:sz="4" w:space="0"/>
              <w:right w:val="single" w:color="auto" w:sz="4" w:space="0"/>
            </w:tcBorders>
            <w:vAlign w:val="center"/>
          </w:tcPr>
          <w:p w14:paraId="11C95204">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群落类型</w:t>
            </w:r>
          </w:p>
        </w:tc>
        <w:tc>
          <w:tcPr>
            <w:tcW w:w="4538" w:type="dxa"/>
            <w:gridSpan w:val="8"/>
            <w:tcBorders>
              <w:top w:val="single" w:color="auto" w:sz="4" w:space="0"/>
              <w:left w:val="nil"/>
              <w:bottom w:val="single" w:color="auto" w:sz="4" w:space="0"/>
              <w:right w:val="single" w:color="auto" w:sz="4" w:space="0"/>
            </w:tcBorders>
            <w:vAlign w:val="center"/>
          </w:tcPr>
          <w:p w14:paraId="735C2E9A">
            <w:pPr>
              <w:widowControl/>
              <w:spacing w:line="240" w:lineRule="auto"/>
              <w:ind w:firstLine="0" w:firstLineChars="0"/>
              <w:jc w:val="left"/>
              <w:rPr>
                <w:rFonts w:ascii="Times New Roman" w:hAnsi="Times New Roman"/>
                <w:color w:val="000000"/>
                <w:kern w:val="0"/>
                <w:sz w:val="24"/>
                <w:szCs w:val="24"/>
              </w:rPr>
            </w:pPr>
          </w:p>
        </w:tc>
        <w:tc>
          <w:tcPr>
            <w:tcW w:w="1276" w:type="dxa"/>
            <w:gridSpan w:val="2"/>
            <w:tcBorders>
              <w:top w:val="single" w:color="auto" w:sz="4" w:space="0"/>
              <w:left w:val="nil"/>
              <w:bottom w:val="single" w:color="auto" w:sz="4" w:space="0"/>
              <w:right w:val="single" w:color="auto" w:sz="4" w:space="0"/>
            </w:tcBorders>
            <w:vAlign w:val="center"/>
          </w:tcPr>
          <w:p w14:paraId="3274D144">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群落盖度</w:t>
            </w:r>
          </w:p>
        </w:tc>
        <w:tc>
          <w:tcPr>
            <w:tcW w:w="2648" w:type="dxa"/>
            <w:gridSpan w:val="4"/>
            <w:tcBorders>
              <w:top w:val="nil"/>
              <w:left w:val="nil"/>
              <w:bottom w:val="single" w:color="auto" w:sz="4" w:space="0"/>
              <w:right w:val="single" w:color="auto" w:sz="4" w:space="0"/>
            </w:tcBorders>
            <w:vAlign w:val="center"/>
          </w:tcPr>
          <w:p w14:paraId="468CF957">
            <w:pPr>
              <w:widowControl/>
              <w:spacing w:line="240" w:lineRule="auto"/>
              <w:ind w:firstLine="0" w:firstLineChars="0"/>
              <w:jc w:val="left"/>
              <w:rPr>
                <w:rFonts w:ascii="Times New Roman" w:hAnsi="Times New Roman"/>
                <w:color w:val="000000"/>
                <w:kern w:val="0"/>
                <w:sz w:val="24"/>
                <w:szCs w:val="24"/>
              </w:rPr>
            </w:pPr>
          </w:p>
        </w:tc>
        <w:tc>
          <w:tcPr>
            <w:tcW w:w="236" w:type="dxa"/>
            <w:vAlign w:val="center"/>
          </w:tcPr>
          <w:p w14:paraId="29465E11">
            <w:pPr>
              <w:widowControl/>
              <w:spacing w:line="240" w:lineRule="auto"/>
              <w:ind w:firstLine="0" w:firstLineChars="0"/>
              <w:jc w:val="left"/>
              <w:rPr>
                <w:rFonts w:ascii="Times New Roman" w:hAnsi="Times New Roman" w:eastAsia="Times New Roman"/>
                <w:kern w:val="0"/>
                <w:sz w:val="24"/>
                <w:szCs w:val="24"/>
              </w:rPr>
            </w:pPr>
          </w:p>
        </w:tc>
      </w:tr>
      <w:tr w14:paraId="6EC1FDF5">
        <w:tblPrEx>
          <w:tblCellMar>
            <w:top w:w="0" w:type="dxa"/>
            <w:left w:w="108" w:type="dxa"/>
            <w:bottom w:w="0" w:type="dxa"/>
            <w:right w:w="108" w:type="dxa"/>
          </w:tblCellMar>
        </w:tblPrEx>
        <w:trPr>
          <w:trHeight w:val="454" w:hRule="atLeast"/>
          <w:jc w:val="center"/>
        </w:trPr>
        <w:tc>
          <w:tcPr>
            <w:tcW w:w="846" w:type="dxa"/>
            <w:tcBorders>
              <w:top w:val="nil"/>
              <w:left w:val="single" w:color="auto" w:sz="4" w:space="0"/>
              <w:bottom w:val="single" w:color="auto" w:sz="4" w:space="0"/>
              <w:right w:val="single" w:color="auto" w:sz="4" w:space="0"/>
            </w:tcBorders>
            <w:vAlign w:val="center"/>
          </w:tcPr>
          <w:p w14:paraId="330B2E2F">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坡向</w:t>
            </w:r>
          </w:p>
        </w:tc>
        <w:tc>
          <w:tcPr>
            <w:tcW w:w="2124" w:type="dxa"/>
            <w:gridSpan w:val="5"/>
            <w:tcBorders>
              <w:top w:val="single" w:color="auto" w:sz="4" w:space="0"/>
              <w:left w:val="nil"/>
              <w:bottom w:val="single" w:color="auto" w:sz="4" w:space="0"/>
              <w:right w:val="single" w:color="auto" w:sz="4" w:space="0"/>
            </w:tcBorders>
            <w:vAlign w:val="center"/>
          </w:tcPr>
          <w:p w14:paraId="08B77A72">
            <w:pPr>
              <w:widowControl/>
              <w:spacing w:line="240" w:lineRule="auto"/>
              <w:ind w:firstLine="0" w:firstLineChars="0"/>
              <w:rPr>
                <w:rFonts w:ascii="Times New Roman" w:hAnsi="Times New Roman"/>
                <w:color w:val="000000"/>
                <w:kern w:val="0"/>
                <w:sz w:val="24"/>
                <w:szCs w:val="24"/>
              </w:rPr>
            </w:pPr>
          </w:p>
        </w:tc>
        <w:tc>
          <w:tcPr>
            <w:tcW w:w="711" w:type="dxa"/>
            <w:tcBorders>
              <w:top w:val="nil"/>
              <w:left w:val="nil"/>
              <w:bottom w:val="single" w:color="auto" w:sz="4" w:space="0"/>
              <w:right w:val="single" w:color="auto" w:sz="4" w:space="0"/>
            </w:tcBorders>
            <w:vAlign w:val="center"/>
          </w:tcPr>
          <w:p w14:paraId="01E12888">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坡位</w:t>
            </w:r>
          </w:p>
        </w:tc>
        <w:tc>
          <w:tcPr>
            <w:tcW w:w="1134" w:type="dxa"/>
            <w:gridSpan w:val="2"/>
            <w:tcBorders>
              <w:top w:val="single" w:color="auto" w:sz="4" w:space="0"/>
              <w:left w:val="nil"/>
              <w:bottom w:val="single" w:color="auto" w:sz="4" w:space="0"/>
              <w:right w:val="single" w:color="auto" w:sz="4" w:space="0"/>
            </w:tcBorders>
            <w:vAlign w:val="center"/>
          </w:tcPr>
          <w:p w14:paraId="302FADDA">
            <w:pPr>
              <w:widowControl/>
              <w:spacing w:line="240" w:lineRule="auto"/>
              <w:ind w:firstLine="0" w:firstLineChars="0"/>
              <w:rPr>
                <w:rFonts w:ascii="Times New Roman" w:hAnsi="Times New Roman"/>
                <w:color w:val="000000"/>
                <w:kern w:val="0"/>
                <w:sz w:val="24"/>
                <w:szCs w:val="24"/>
              </w:rPr>
            </w:pPr>
          </w:p>
        </w:tc>
        <w:tc>
          <w:tcPr>
            <w:tcW w:w="4916" w:type="dxa"/>
            <w:gridSpan w:val="7"/>
            <w:tcBorders>
              <w:top w:val="single" w:color="auto" w:sz="4" w:space="0"/>
              <w:left w:val="nil"/>
              <w:bottom w:val="single" w:color="auto" w:sz="4" w:space="0"/>
              <w:right w:val="single" w:color="auto" w:sz="4" w:space="0"/>
            </w:tcBorders>
            <w:vAlign w:val="center"/>
          </w:tcPr>
          <w:p w14:paraId="35DC96F7">
            <w:pPr>
              <w:widowControl/>
              <w:spacing w:line="240" w:lineRule="auto"/>
              <w:ind w:firstLine="0" w:firstLineChars="0"/>
              <w:jc w:val="center"/>
              <w:rPr>
                <w:rFonts w:ascii="Times New Roman" w:hAnsi="Times New Roman"/>
                <w:color w:val="000000"/>
                <w:kern w:val="0"/>
                <w:sz w:val="24"/>
                <w:szCs w:val="24"/>
              </w:rPr>
            </w:pPr>
          </w:p>
        </w:tc>
        <w:tc>
          <w:tcPr>
            <w:tcW w:w="236" w:type="dxa"/>
            <w:vAlign w:val="center"/>
          </w:tcPr>
          <w:p w14:paraId="6A9845FD">
            <w:pPr>
              <w:widowControl/>
              <w:spacing w:line="240" w:lineRule="auto"/>
              <w:ind w:firstLine="0" w:firstLineChars="0"/>
              <w:jc w:val="left"/>
              <w:rPr>
                <w:rFonts w:ascii="Times New Roman" w:hAnsi="Times New Roman" w:eastAsia="Times New Roman"/>
                <w:kern w:val="0"/>
                <w:sz w:val="24"/>
                <w:szCs w:val="24"/>
              </w:rPr>
            </w:pPr>
          </w:p>
        </w:tc>
      </w:tr>
      <w:tr w14:paraId="3EBAF465">
        <w:tblPrEx>
          <w:tblCellMar>
            <w:top w:w="0" w:type="dxa"/>
            <w:left w:w="108" w:type="dxa"/>
            <w:bottom w:w="0" w:type="dxa"/>
            <w:right w:w="108" w:type="dxa"/>
          </w:tblCellMar>
        </w:tblPrEx>
        <w:trPr>
          <w:trHeight w:val="454" w:hRule="atLeast"/>
          <w:jc w:val="center"/>
        </w:trPr>
        <w:tc>
          <w:tcPr>
            <w:tcW w:w="1694" w:type="dxa"/>
            <w:gridSpan w:val="3"/>
            <w:tcBorders>
              <w:top w:val="single" w:color="auto" w:sz="4" w:space="0"/>
              <w:left w:val="single" w:color="auto" w:sz="4" w:space="0"/>
              <w:bottom w:val="single" w:color="auto" w:sz="4" w:space="0"/>
              <w:right w:val="single" w:color="auto" w:sz="4" w:space="0"/>
            </w:tcBorders>
            <w:vAlign w:val="center"/>
          </w:tcPr>
          <w:p w14:paraId="02724BB8">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群落周围条件</w:t>
            </w:r>
          </w:p>
        </w:tc>
        <w:tc>
          <w:tcPr>
            <w:tcW w:w="8037" w:type="dxa"/>
            <w:gridSpan w:val="13"/>
            <w:tcBorders>
              <w:top w:val="single" w:color="auto" w:sz="4" w:space="0"/>
              <w:left w:val="single" w:color="auto" w:sz="4" w:space="0"/>
              <w:bottom w:val="single" w:color="auto" w:sz="4" w:space="0"/>
              <w:right w:val="single" w:color="auto" w:sz="4" w:space="0"/>
            </w:tcBorders>
            <w:vAlign w:val="center"/>
          </w:tcPr>
          <w:p w14:paraId="4C9DD77D">
            <w:pPr>
              <w:widowControl/>
              <w:spacing w:line="240" w:lineRule="auto"/>
              <w:ind w:firstLine="0" w:firstLineChars="0"/>
              <w:jc w:val="center"/>
              <w:rPr>
                <w:rFonts w:ascii="Times New Roman" w:hAnsi="Times New Roman"/>
                <w:color w:val="000000"/>
                <w:kern w:val="0"/>
                <w:sz w:val="24"/>
                <w:szCs w:val="24"/>
              </w:rPr>
            </w:pPr>
          </w:p>
        </w:tc>
        <w:tc>
          <w:tcPr>
            <w:tcW w:w="236" w:type="dxa"/>
            <w:vAlign w:val="center"/>
          </w:tcPr>
          <w:p w14:paraId="5E60B2DF">
            <w:pPr>
              <w:widowControl/>
              <w:spacing w:line="240" w:lineRule="auto"/>
              <w:ind w:firstLine="0" w:firstLineChars="0"/>
              <w:jc w:val="left"/>
              <w:rPr>
                <w:rFonts w:ascii="Times New Roman" w:hAnsi="Times New Roman" w:eastAsia="Times New Roman"/>
                <w:kern w:val="0"/>
                <w:sz w:val="24"/>
                <w:szCs w:val="24"/>
              </w:rPr>
            </w:pPr>
          </w:p>
        </w:tc>
      </w:tr>
      <w:tr w14:paraId="2FC94622">
        <w:tblPrEx>
          <w:tblCellMar>
            <w:top w:w="0" w:type="dxa"/>
            <w:left w:w="108" w:type="dxa"/>
            <w:bottom w:w="0" w:type="dxa"/>
            <w:right w:w="108" w:type="dxa"/>
          </w:tblCellMar>
        </w:tblPrEx>
        <w:trPr>
          <w:trHeight w:val="454" w:hRule="atLeast"/>
          <w:jc w:val="center"/>
        </w:trPr>
        <w:tc>
          <w:tcPr>
            <w:tcW w:w="846" w:type="dxa"/>
            <w:tcBorders>
              <w:top w:val="nil"/>
              <w:left w:val="single" w:color="auto" w:sz="4" w:space="0"/>
              <w:bottom w:val="single" w:color="auto" w:sz="4" w:space="0"/>
              <w:right w:val="single" w:color="auto" w:sz="4" w:space="0"/>
            </w:tcBorders>
            <w:vAlign w:val="center"/>
          </w:tcPr>
          <w:p w14:paraId="253EA94D">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生境</w:t>
            </w:r>
          </w:p>
        </w:tc>
        <w:tc>
          <w:tcPr>
            <w:tcW w:w="8885" w:type="dxa"/>
            <w:gridSpan w:val="15"/>
            <w:tcBorders>
              <w:top w:val="single" w:color="auto" w:sz="4" w:space="0"/>
              <w:left w:val="nil"/>
              <w:bottom w:val="single" w:color="auto" w:sz="4" w:space="0"/>
              <w:right w:val="single" w:color="auto" w:sz="4" w:space="0"/>
            </w:tcBorders>
            <w:vAlign w:val="center"/>
          </w:tcPr>
          <w:p w14:paraId="6FF1A3F2">
            <w:pPr>
              <w:widowControl/>
              <w:spacing w:line="240" w:lineRule="auto"/>
              <w:ind w:firstLine="0" w:firstLineChars="0"/>
              <w:jc w:val="center"/>
              <w:rPr>
                <w:rFonts w:ascii="Times New Roman" w:hAnsi="Times New Roman"/>
                <w:color w:val="000000"/>
                <w:kern w:val="0"/>
                <w:sz w:val="24"/>
                <w:szCs w:val="24"/>
              </w:rPr>
            </w:pPr>
          </w:p>
        </w:tc>
        <w:tc>
          <w:tcPr>
            <w:tcW w:w="236" w:type="dxa"/>
            <w:vAlign w:val="center"/>
          </w:tcPr>
          <w:p w14:paraId="242B64DD">
            <w:pPr>
              <w:widowControl/>
              <w:spacing w:line="240" w:lineRule="auto"/>
              <w:ind w:firstLine="0" w:firstLineChars="0"/>
              <w:jc w:val="left"/>
              <w:rPr>
                <w:rFonts w:ascii="Times New Roman" w:hAnsi="Times New Roman" w:eastAsia="Times New Roman"/>
                <w:kern w:val="0"/>
                <w:sz w:val="24"/>
                <w:szCs w:val="24"/>
              </w:rPr>
            </w:pPr>
          </w:p>
        </w:tc>
      </w:tr>
      <w:tr w14:paraId="7A796B03">
        <w:tblPrEx>
          <w:tblCellMar>
            <w:top w:w="0" w:type="dxa"/>
            <w:left w:w="108" w:type="dxa"/>
            <w:bottom w:w="0" w:type="dxa"/>
            <w:right w:w="108" w:type="dxa"/>
          </w:tblCellMar>
        </w:tblPrEx>
        <w:trPr>
          <w:trHeight w:val="454" w:hRule="atLeast"/>
          <w:jc w:val="center"/>
        </w:trPr>
        <w:tc>
          <w:tcPr>
            <w:tcW w:w="1269" w:type="dxa"/>
            <w:gridSpan w:val="2"/>
            <w:tcBorders>
              <w:top w:val="nil"/>
              <w:left w:val="single" w:color="auto" w:sz="4" w:space="0"/>
              <w:bottom w:val="single" w:color="auto" w:sz="4" w:space="0"/>
              <w:right w:val="single" w:color="auto" w:sz="4" w:space="0"/>
            </w:tcBorders>
            <w:vAlign w:val="center"/>
          </w:tcPr>
          <w:p w14:paraId="61B3C2AF">
            <w:pPr>
              <w:widowControl/>
              <w:spacing w:line="240" w:lineRule="auto"/>
              <w:ind w:firstLine="0" w:firstLineChars="0"/>
              <w:jc w:val="left"/>
              <w:rPr>
                <w:rFonts w:ascii="Times New Roman" w:hAnsi="Times New Roman"/>
                <w:color w:val="000000"/>
                <w:kern w:val="0"/>
                <w:sz w:val="24"/>
                <w:szCs w:val="24"/>
              </w:rPr>
            </w:pPr>
            <w:r>
              <w:rPr>
                <w:rFonts w:ascii="Times New Roman" w:hAnsi="Times New Roman"/>
                <w:color w:val="000000"/>
                <w:kern w:val="0"/>
                <w:sz w:val="24"/>
                <w:szCs w:val="24"/>
              </w:rPr>
              <w:t>土壤类型</w:t>
            </w:r>
          </w:p>
        </w:tc>
        <w:tc>
          <w:tcPr>
            <w:tcW w:w="8462" w:type="dxa"/>
            <w:gridSpan w:val="14"/>
            <w:tcBorders>
              <w:top w:val="nil"/>
              <w:left w:val="single" w:color="auto" w:sz="4" w:space="0"/>
              <w:bottom w:val="single" w:color="auto" w:sz="4" w:space="0"/>
              <w:right w:val="single" w:color="auto" w:sz="4" w:space="0"/>
            </w:tcBorders>
            <w:vAlign w:val="center"/>
          </w:tcPr>
          <w:p w14:paraId="2309074E">
            <w:pPr>
              <w:widowControl/>
              <w:spacing w:line="240" w:lineRule="auto"/>
              <w:ind w:firstLine="0" w:firstLineChars="0"/>
              <w:jc w:val="center"/>
              <w:rPr>
                <w:rFonts w:ascii="Times New Roman" w:hAnsi="Times New Roman"/>
                <w:color w:val="000000"/>
                <w:kern w:val="0"/>
                <w:sz w:val="24"/>
                <w:szCs w:val="24"/>
              </w:rPr>
            </w:pPr>
          </w:p>
        </w:tc>
        <w:tc>
          <w:tcPr>
            <w:tcW w:w="236" w:type="dxa"/>
            <w:vAlign w:val="center"/>
          </w:tcPr>
          <w:p w14:paraId="2C6A061E">
            <w:pPr>
              <w:widowControl/>
              <w:spacing w:line="240" w:lineRule="auto"/>
              <w:ind w:firstLine="0" w:firstLineChars="0"/>
              <w:jc w:val="left"/>
              <w:rPr>
                <w:rFonts w:ascii="Times New Roman" w:hAnsi="Times New Roman" w:eastAsia="Times New Roman"/>
                <w:kern w:val="0"/>
                <w:sz w:val="24"/>
                <w:szCs w:val="24"/>
              </w:rPr>
            </w:pPr>
          </w:p>
        </w:tc>
      </w:tr>
      <w:tr w14:paraId="69AEA149">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vAlign w:val="center"/>
          </w:tcPr>
          <w:p w14:paraId="0DF6D4BA">
            <w:pPr>
              <w:widowControl/>
              <w:spacing w:line="240" w:lineRule="auto"/>
              <w:ind w:firstLine="0" w:firstLineChars="0"/>
              <w:jc w:val="center"/>
              <w:rPr>
                <w:rFonts w:ascii="Times New Roman" w:hAnsi="Times New Roman"/>
                <w:color w:val="000000"/>
                <w:kern w:val="0"/>
                <w:sz w:val="24"/>
                <w:szCs w:val="24"/>
              </w:rPr>
            </w:pPr>
            <w:r>
              <w:rPr>
                <w:rFonts w:ascii="Times New Roman" w:hAnsi="Times New Roman"/>
                <w:color w:val="000000"/>
                <w:kern w:val="0"/>
                <w:sz w:val="24"/>
                <w:szCs w:val="24"/>
              </w:rPr>
              <w:t>植物种名</w:t>
            </w:r>
          </w:p>
        </w:tc>
        <w:tc>
          <w:tcPr>
            <w:tcW w:w="2385" w:type="dxa"/>
            <w:gridSpan w:val="4"/>
            <w:tcBorders>
              <w:top w:val="nil"/>
              <w:left w:val="nil"/>
              <w:bottom w:val="single" w:color="auto" w:sz="4" w:space="0"/>
              <w:right w:val="single" w:color="auto" w:sz="4" w:space="0"/>
            </w:tcBorders>
            <w:noWrap/>
            <w:vAlign w:val="center"/>
          </w:tcPr>
          <w:p w14:paraId="5C6A1378">
            <w:pPr>
              <w:widowControl/>
              <w:spacing w:line="240" w:lineRule="auto"/>
              <w:ind w:firstLine="0" w:firstLineChars="0"/>
              <w:jc w:val="center"/>
              <w:rPr>
                <w:rFonts w:ascii="Times New Roman" w:hAnsi="Times New Roman"/>
                <w:color w:val="000000"/>
                <w:kern w:val="0"/>
                <w:sz w:val="24"/>
                <w:szCs w:val="24"/>
              </w:rPr>
            </w:pPr>
            <w:r>
              <w:rPr>
                <w:rFonts w:ascii="Times New Roman" w:hAnsi="Times New Roman"/>
                <w:color w:val="000000"/>
                <w:kern w:val="0"/>
                <w:sz w:val="24"/>
                <w:szCs w:val="24"/>
              </w:rPr>
              <w:t>高度（m）</w:t>
            </w:r>
          </w:p>
        </w:tc>
        <w:tc>
          <w:tcPr>
            <w:tcW w:w="2479" w:type="dxa"/>
            <w:gridSpan w:val="4"/>
            <w:tcBorders>
              <w:top w:val="nil"/>
              <w:left w:val="nil"/>
              <w:bottom w:val="single" w:color="auto" w:sz="4" w:space="0"/>
              <w:right w:val="single" w:color="auto" w:sz="4" w:space="0"/>
            </w:tcBorders>
            <w:vAlign w:val="center"/>
          </w:tcPr>
          <w:p w14:paraId="175E078E">
            <w:pPr>
              <w:widowControl/>
              <w:spacing w:line="240" w:lineRule="auto"/>
              <w:ind w:firstLine="0" w:firstLineChars="0"/>
              <w:jc w:val="center"/>
              <w:rPr>
                <w:rFonts w:ascii="Times New Roman" w:hAnsi="Times New Roman"/>
                <w:color w:val="000000"/>
                <w:kern w:val="0"/>
                <w:sz w:val="24"/>
                <w:szCs w:val="24"/>
              </w:rPr>
            </w:pPr>
            <w:r>
              <w:rPr>
                <w:rFonts w:ascii="Times New Roman" w:hAnsi="Times New Roman"/>
                <w:color w:val="000000"/>
                <w:kern w:val="0"/>
                <w:sz w:val="24"/>
                <w:szCs w:val="24"/>
              </w:rPr>
              <w:t>灌幅（cm*cm）</w:t>
            </w:r>
          </w:p>
        </w:tc>
        <w:tc>
          <w:tcPr>
            <w:tcW w:w="2437" w:type="dxa"/>
            <w:gridSpan w:val="3"/>
            <w:tcBorders>
              <w:top w:val="nil"/>
              <w:left w:val="nil"/>
              <w:bottom w:val="single" w:color="auto" w:sz="4" w:space="0"/>
              <w:right w:val="single" w:color="auto" w:sz="4" w:space="0"/>
            </w:tcBorders>
            <w:noWrap/>
            <w:vAlign w:val="center"/>
          </w:tcPr>
          <w:p w14:paraId="029BB7F7">
            <w:pPr>
              <w:widowControl/>
              <w:spacing w:line="240" w:lineRule="auto"/>
              <w:ind w:firstLine="0" w:firstLineChars="0"/>
              <w:jc w:val="center"/>
              <w:rPr>
                <w:rFonts w:ascii="Times New Roman" w:hAnsi="Times New Roman"/>
                <w:color w:val="000000"/>
                <w:kern w:val="0"/>
                <w:sz w:val="24"/>
                <w:szCs w:val="24"/>
              </w:rPr>
            </w:pPr>
            <w:r>
              <w:rPr>
                <w:rFonts w:ascii="Times New Roman" w:hAnsi="Times New Roman"/>
                <w:color w:val="000000"/>
                <w:kern w:val="0"/>
                <w:sz w:val="24"/>
                <w:szCs w:val="24"/>
              </w:rPr>
              <w:t>胸茎（m）</w:t>
            </w:r>
          </w:p>
        </w:tc>
        <w:tc>
          <w:tcPr>
            <w:tcW w:w="236" w:type="dxa"/>
            <w:vAlign w:val="center"/>
          </w:tcPr>
          <w:p w14:paraId="2AED38F4">
            <w:pPr>
              <w:widowControl/>
              <w:spacing w:line="240" w:lineRule="auto"/>
              <w:ind w:firstLine="0" w:firstLineChars="0"/>
              <w:jc w:val="left"/>
              <w:rPr>
                <w:rFonts w:ascii="Times New Roman" w:hAnsi="Times New Roman" w:eastAsia="Times New Roman"/>
                <w:kern w:val="0"/>
                <w:sz w:val="24"/>
                <w:szCs w:val="24"/>
              </w:rPr>
            </w:pPr>
          </w:p>
        </w:tc>
      </w:tr>
      <w:tr w14:paraId="73BEAD83">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05FE492F">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4952EFC5">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62D4FE50">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7E3ED5A3">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4B96D037">
            <w:pPr>
              <w:widowControl/>
              <w:spacing w:line="240" w:lineRule="auto"/>
              <w:ind w:firstLine="0" w:firstLineChars="0"/>
              <w:jc w:val="left"/>
              <w:rPr>
                <w:rFonts w:ascii="Times New Roman" w:hAnsi="Times New Roman" w:eastAsia="Times New Roman"/>
                <w:kern w:val="0"/>
                <w:sz w:val="24"/>
                <w:szCs w:val="24"/>
              </w:rPr>
            </w:pPr>
          </w:p>
        </w:tc>
      </w:tr>
      <w:tr w14:paraId="30DA5AF5">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0501CA9A">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3C1072D7">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049D1670">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56B17B58">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71D5C458">
            <w:pPr>
              <w:widowControl/>
              <w:spacing w:line="240" w:lineRule="auto"/>
              <w:ind w:firstLine="0" w:firstLineChars="0"/>
              <w:jc w:val="left"/>
              <w:rPr>
                <w:rFonts w:ascii="Times New Roman" w:hAnsi="Times New Roman" w:eastAsia="Times New Roman"/>
                <w:kern w:val="0"/>
                <w:sz w:val="24"/>
                <w:szCs w:val="24"/>
              </w:rPr>
            </w:pPr>
          </w:p>
        </w:tc>
      </w:tr>
      <w:tr w14:paraId="55AD88B3">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0A40CEDF">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6D26503B">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5A6E3D9E">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4CDBC4B9">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2616D9C8">
            <w:pPr>
              <w:widowControl/>
              <w:spacing w:line="240" w:lineRule="auto"/>
              <w:ind w:firstLine="0" w:firstLineChars="0"/>
              <w:jc w:val="left"/>
              <w:rPr>
                <w:rFonts w:ascii="Times New Roman" w:hAnsi="Times New Roman" w:eastAsia="Times New Roman"/>
                <w:kern w:val="0"/>
                <w:sz w:val="24"/>
                <w:szCs w:val="24"/>
              </w:rPr>
            </w:pPr>
          </w:p>
        </w:tc>
      </w:tr>
      <w:tr w14:paraId="39F1FF40">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378AD187">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64AA2177">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4722B492">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6562DA33">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1C59BE9B">
            <w:pPr>
              <w:widowControl/>
              <w:spacing w:line="240" w:lineRule="auto"/>
              <w:ind w:firstLine="0" w:firstLineChars="0"/>
              <w:jc w:val="left"/>
              <w:rPr>
                <w:rFonts w:ascii="Times New Roman" w:hAnsi="Times New Roman" w:eastAsia="Times New Roman"/>
                <w:kern w:val="0"/>
                <w:sz w:val="24"/>
                <w:szCs w:val="24"/>
              </w:rPr>
            </w:pPr>
          </w:p>
        </w:tc>
      </w:tr>
      <w:tr w14:paraId="2DF11C97">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2DD4A3F7">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73B2EC40">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4D5AFE95">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1A936ECC">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250E3AC3">
            <w:pPr>
              <w:widowControl/>
              <w:spacing w:line="240" w:lineRule="auto"/>
              <w:ind w:firstLine="0" w:firstLineChars="0"/>
              <w:jc w:val="left"/>
              <w:rPr>
                <w:rFonts w:ascii="Times New Roman" w:hAnsi="Times New Roman" w:eastAsia="Times New Roman"/>
                <w:kern w:val="0"/>
                <w:sz w:val="24"/>
                <w:szCs w:val="24"/>
              </w:rPr>
            </w:pPr>
          </w:p>
        </w:tc>
      </w:tr>
      <w:tr w14:paraId="3A02F38B">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2E5C234D">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18DA66E7">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5FD1EC8E">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54F2B3B0">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7DE44A4A">
            <w:pPr>
              <w:widowControl/>
              <w:spacing w:line="240" w:lineRule="auto"/>
              <w:ind w:firstLine="0" w:firstLineChars="0"/>
              <w:jc w:val="left"/>
              <w:rPr>
                <w:rFonts w:ascii="Times New Roman" w:hAnsi="Times New Roman" w:eastAsia="Times New Roman"/>
                <w:kern w:val="0"/>
                <w:sz w:val="24"/>
                <w:szCs w:val="24"/>
              </w:rPr>
            </w:pPr>
          </w:p>
        </w:tc>
      </w:tr>
      <w:tr w14:paraId="6374292F">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7921A11B">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058792A2">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539A5CC3">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75901283">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332311F1">
            <w:pPr>
              <w:widowControl/>
              <w:spacing w:line="240" w:lineRule="auto"/>
              <w:ind w:firstLine="0" w:firstLineChars="0"/>
              <w:jc w:val="left"/>
              <w:rPr>
                <w:rFonts w:ascii="Times New Roman" w:hAnsi="Times New Roman" w:eastAsia="Times New Roman"/>
                <w:kern w:val="0"/>
                <w:sz w:val="24"/>
                <w:szCs w:val="24"/>
              </w:rPr>
            </w:pPr>
          </w:p>
        </w:tc>
      </w:tr>
      <w:tr w14:paraId="1517112C">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57196C64">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5382F7D3">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202C301A">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1B2DBD49">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44C35816">
            <w:pPr>
              <w:widowControl/>
              <w:spacing w:line="240" w:lineRule="auto"/>
              <w:ind w:firstLine="0" w:firstLineChars="0"/>
              <w:jc w:val="left"/>
              <w:rPr>
                <w:rFonts w:ascii="Times New Roman" w:hAnsi="Times New Roman" w:eastAsia="Times New Roman"/>
                <w:kern w:val="0"/>
                <w:sz w:val="24"/>
                <w:szCs w:val="24"/>
              </w:rPr>
            </w:pPr>
          </w:p>
        </w:tc>
      </w:tr>
      <w:tr w14:paraId="747EC02A">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255F708D">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5A1B321A">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10B9A571">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263C96F3">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7D77B59A">
            <w:pPr>
              <w:widowControl/>
              <w:spacing w:line="240" w:lineRule="auto"/>
              <w:ind w:firstLine="0" w:firstLineChars="0"/>
              <w:jc w:val="left"/>
              <w:rPr>
                <w:rFonts w:ascii="Times New Roman" w:hAnsi="Times New Roman" w:eastAsia="Times New Roman"/>
                <w:kern w:val="0"/>
                <w:sz w:val="24"/>
                <w:szCs w:val="24"/>
              </w:rPr>
            </w:pPr>
          </w:p>
        </w:tc>
      </w:tr>
      <w:tr w14:paraId="5FE09857">
        <w:tblPrEx>
          <w:tblCellMar>
            <w:top w:w="0" w:type="dxa"/>
            <w:left w:w="108" w:type="dxa"/>
            <w:bottom w:w="0" w:type="dxa"/>
            <w:right w:w="108" w:type="dxa"/>
          </w:tblCellMar>
        </w:tblPrEx>
        <w:trPr>
          <w:trHeight w:val="454" w:hRule="atLeast"/>
          <w:jc w:val="center"/>
        </w:trPr>
        <w:tc>
          <w:tcPr>
            <w:tcW w:w="2430" w:type="dxa"/>
            <w:gridSpan w:val="5"/>
            <w:tcBorders>
              <w:top w:val="nil"/>
              <w:left w:val="single" w:color="auto" w:sz="4" w:space="0"/>
              <w:bottom w:val="single" w:color="auto" w:sz="4" w:space="0"/>
              <w:right w:val="single" w:color="auto" w:sz="4" w:space="0"/>
            </w:tcBorders>
            <w:noWrap/>
            <w:vAlign w:val="center"/>
          </w:tcPr>
          <w:p w14:paraId="01F2A42A">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85" w:type="dxa"/>
            <w:gridSpan w:val="4"/>
            <w:tcBorders>
              <w:top w:val="nil"/>
              <w:left w:val="nil"/>
              <w:bottom w:val="single" w:color="auto" w:sz="4" w:space="0"/>
              <w:right w:val="single" w:color="auto" w:sz="4" w:space="0"/>
            </w:tcBorders>
            <w:noWrap/>
            <w:vAlign w:val="center"/>
          </w:tcPr>
          <w:p w14:paraId="4B373281">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79" w:type="dxa"/>
            <w:gridSpan w:val="4"/>
            <w:tcBorders>
              <w:top w:val="nil"/>
              <w:left w:val="nil"/>
              <w:bottom w:val="single" w:color="auto" w:sz="4" w:space="0"/>
              <w:right w:val="single" w:color="auto" w:sz="4" w:space="0"/>
            </w:tcBorders>
            <w:noWrap/>
            <w:vAlign w:val="center"/>
          </w:tcPr>
          <w:p w14:paraId="5785733A">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437" w:type="dxa"/>
            <w:gridSpan w:val="3"/>
            <w:tcBorders>
              <w:top w:val="nil"/>
              <w:left w:val="nil"/>
              <w:bottom w:val="single" w:color="auto" w:sz="4" w:space="0"/>
              <w:right w:val="single" w:color="auto" w:sz="4" w:space="0"/>
            </w:tcBorders>
            <w:noWrap/>
            <w:vAlign w:val="center"/>
          </w:tcPr>
          <w:p w14:paraId="31916DC5">
            <w:pPr>
              <w:widowControl/>
              <w:spacing w:line="240" w:lineRule="auto"/>
              <w:ind w:firstLine="0" w:firstLineChars="0"/>
              <w:jc w:val="left"/>
              <w:rPr>
                <w:rFonts w:ascii="Times New Roman" w:hAnsi="Times New Roman" w:eastAsia="等线"/>
                <w:color w:val="000000"/>
                <w:kern w:val="0"/>
                <w:sz w:val="24"/>
                <w:szCs w:val="24"/>
              </w:rPr>
            </w:pPr>
            <w:r>
              <w:rPr>
                <w:rFonts w:ascii="Times New Roman" w:hAnsi="Times New Roman" w:eastAsia="等线"/>
                <w:color w:val="000000"/>
                <w:kern w:val="0"/>
                <w:sz w:val="24"/>
                <w:szCs w:val="24"/>
              </w:rPr>
              <w:t>　</w:t>
            </w:r>
          </w:p>
        </w:tc>
        <w:tc>
          <w:tcPr>
            <w:tcW w:w="236" w:type="dxa"/>
            <w:vAlign w:val="center"/>
          </w:tcPr>
          <w:p w14:paraId="332CFC87">
            <w:pPr>
              <w:widowControl/>
              <w:spacing w:line="240" w:lineRule="auto"/>
              <w:ind w:firstLine="0" w:firstLineChars="0"/>
              <w:jc w:val="left"/>
              <w:rPr>
                <w:rFonts w:ascii="Times New Roman" w:hAnsi="Times New Roman" w:eastAsia="Times New Roman"/>
                <w:kern w:val="0"/>
                <w:sz w:val="24"/>
                <w:szCs w:val="24"/>
              </w:rPr>
            </w:pPr>
          </w:p>
        </w:tc>
      </w:tr>
    </w:tbl>
    <w:p w14:paraId="1F740970">
      <w:pPr>
        <w:pStyle w:val="60"/>
        <w:jc w:val="center"/>
        <w:rPr>
          <w:b/>
          <w:bCs/>
          <w:sz w:val="24"/>
          <w:szCs w:val="24"/>
        </w:rPr>
      </w:pPr>
      <w:r>
        <w:br w:type="page"/>
      </w:r>
      <w:r>
        <w:rPr>
          <w:b/>
          <w:bCs/>
          <w:sz w:val="24"/>
          <w:szCs w:val="24"/>
        </w:rPr>
        <w:t>表A.2 草本群落样方调查表</w:t>
      </w:r>
    </w:p>
    <w:tbl>
      <w:tblPr>
        <w:tblStyle w:val="29"/>
        <w:tblW w:w="9721" w:type="dxa"/>
        <w:tblInd w:w="0" w:type="dxa"/>
        <w:tblLayout w:type="autofit"/>
        <w:tblCellMar>
          <w:top w:w="0" w:type="dxa"/>
          <w:left w:w="108" w:type="dxa"/>
          <w:bottom w:w="0" w:type="dxa"/>
          <w:right w:w="108" w:type="dxa"/>
        </w:tblCellMar>
      </w:tblPr>
      <w:tblGrid>
        <w:gridCol w:w="846"/>
        <w:gridCol w:w="383"/>
        <w:gridCol w:w="1034"/>
        <w:gridCol w:w="709"/>
        <w:gridCol w:w="284"/>
        <w:gridCol w:w="708"/>
        <w:gridCol w:w="426"/>
        <w:gridCol w:w="300"/>
        <w:gridCol w:w="1117"/>
        <w:gridCol w:w="284"/>
        <w:gridCol w:w="425"/>
        <w:gridCol w:w="416"/>
        <w:gridCol w:w="434"/>
        <w:gridCol w:w="983"/>
        <w:gridCol w:w="293"/>
        <w:gridCol w:w="1079"/>
      </w:tblGrid>
      <w:tr w14:paraId="01CAC451">
        <w:tblPrEx>
          <w:tblCellMar>
            <w:top w:w="0" w:type="dxa"/>
            <w:left w:w="108" w:type="dxa"/>
            <w:bottom w:w="0" w:type="dxa"/>
            <w:right w:w="108" w:type="dxa"/>
          </w:tblCellMar>
        </w:tblPrEx>
        <w:trPr>
          <w:trHeight w:val="454" w:hRule="atLeast"/>
        </w:trPr>
        <w:tc>
          <w:tcPr>
            <w:tcW w:w="9721" w:type="dxa"/>
            <w:gridSpan w:val="16"/>
            <w:tcBorders>
              <w:top w:val="single" w:color="auto" w:sz="4" w:space="0"/>
              <w:left w:val="single" w:color="auto" w:sz="4" w:space="0"/>
              <w:bottom w:val="single" w:color="auto" w:sz="4" w:space="0"/>
              <w:right w:val="single" w:color="auto" w:sz="4" w:space="0"/>
            </w:tcBorders>
            <w:noWrap/>
            <w:vAlign w:val="center"/>
          </w:tcPr>
          <w:p w14:paraId="5E05062D">
            <w:pPr>
              <w:widowControl/>
              <w:spacing w:line="240" w:lineRule="auto"/>
              <w:ind w:firstLine="0" w:firstLineChars="0"/>
              <w:jc w:val="center"/>
              <w:rPr>
                <w:rFonts w:ascii="Times New Roman" w:hAnsi="Times New Roman"/>
                <w:b/>
                <w:bCs/>
                <w:kern w:val="0"/>
                <w:sz w:val="24"/>
                <w:szCs w:val="24"/>
              </w:rPr>
            </w:pPr>
            <w:r>
              <w:rPr>
                <w:rFonts w:ascii="Times New Roman" w:hAnsi="Times New Roman"/>
                <w:b/>
                <w:bCs/>
                <w:color w:val="000000"/>
                <w:kern w:val="0"/>
                <w:sz w:val="24"/>
                <w:szCs w:val="24"/>
              </w:rPr>
              <w:t>草本群落样方调查表</w:t>
            </w:r>
          </w:p>
        </w:tc>
      </w:tr>
      <w:tr w14:paraId="00BAE2F6">
        <w:tblPrEx>
          <w:tblCellMar>
            <w:top w:w="0" w:type="dxa"/>
            <w:left w:w="108" w:type="dxa"/>
            <w:bottom w:w="0" w:type="dxa"/>
            <w:right w:w="108" w:type="dxa"/>
          </w:tblCellMar>
        </w:tblPrEx>
        <w:trPr>
          <w:trHeight w:val="454" w:hRule="atLeast"/>
        </w:trPr>
        <w:tc>
          <w:tcPr>
            <w:tcW w:w="846" w:type="dxa"/>
            <w:tcBorders>
              <w:top w:val="single" w:color="auto" w:sz="4" w:space="0"/>
              <w:left w:val="single" w:color="auto" w:sz="4" w:space="0"/>
              <w:bottom w:val="single" w:color="auto" w:sz="4" w:space="0"/>
              <w:right w:val="single" w:color="auto" w:sz="4" w:space="0"/>
            </w:tcBorders>
            <w:noWrap/>
            <w:vAlign w:val="center"/>
          </w:tcPr>
          <w:p w14:paraId="6083E7E3">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地点</w:t>
            </w:r>
          </w:p>
        </w:tc>
        <w:tc>
          <w:tcPr>
            <w:tcW w:w="2126" w:type="dxa"/>
            <w:gridSpan w:val="3"/>
            <w:tcBorders>
              <w:top w:val="single" w:color="auto" w:sz="4" w:space="0"/>
              <w:left w:val="single" w:color="auto" w:sz="4" w:space="0"/>
              <w:bottom w:val="single" w:color="auto" w:sz="4" w:space="0"/>
              <w:right w:val="single" w:color="auto" w:sz="4" w:space="0"/>
            </w:tcBorders>
            <w:vAlign w:val="center"/>
          </w:tcPr>
          <w:p w14:paraId="5ADA1457">
            <w:pPr>
              <w:widowControl/>
              <w:spacing w:line="240" w:lineRule="auto"/>
              <w:ind w:firstLine="0" w:firstLineChars="0"/>
              <w:jc w:val="left"/>
              <w:rPr>
                <w:rFonts w:ascii="Times New Roman" w:hAnsi="Times New Roman"/>
                <w:kern w:val="0"/>
                <w:sz w:val="24"/>
                <w:szCs w:val="24"/>
              </w:rPr>
            </w:pPr>
          </w:p>
        </w:tc>
        <w:tc>
          <w:tcPr>
            <w:tcW w:w="992" w:type="dxa"/>
            <w:gridSpan w:val="2"/>
            <w:tcBorders>
              <w:top w:val="single" w:color="auto" w:sz="4" w:space="0"/>
              <w:left w:val="nil"/>
              <w:bottom w:val="single" w:color="auto" w:sz="4" w:space="0"/>
              <w:right w:val="single" w:color="auto" w:sz="4" w:space="0"/>
            </w:tcBorders>
            <w:noWrap/>
            <w:vAlign w:val="center"/>
          </w:tcPr>
          <w:p w14:paraId="58C28A76">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样方号</w:t>
            </w:r>
          </w:p>
        </w:tc>
        <w:tc>
          <w:tcPr>
            <w:tcW w:w="1843" w:type="dxa"/>
            <w:gridSpan w:val="3"/>
            <w:tcBorders>
              <w:top w:val="single" w:color="auto" w:sz="4" w:space="0"/>
              <w:left w:val="nil"/>
              <w:bottom w:val="single" w:color="auto" w:sz="4" w:space="0"/>
              <w:right w:val="single" w:color="auto" w:sz="4" w:space="0"/>
            </w:tcBorders>
            <w:vAlign w:val="center"/>
          </w:tcPr>
          <w:p w14:paraId="7B4B414B">
            <w:pPr>
              <w:widowControl/>
              <w:spacing w:line="240" w:lineRule="auto"/>
              <w:ind w:firstLine="0" w:firstLineChars="0"/>
              <w:jc w:val="left"/>
              <w:rPr>
                <w:rFonts w:ascii="Times New Roman" w:hAnsi="Times New Roman"/>
                <w:kern w:val="0"/>
                <w:sz w:val="24"/>
                <w:szCs w:val="24"/>
              </w:rPr>
            </w:pPr>
          </w:p>
        </w:tc>
        <w:tc>
          <w:tcPr>
            <w:tcW w:w="709" w:type="dxa"/>
            <w:gridSpan w:val="2"/>
            <w:tcBorders>
              <w:top w:val="nil"/>
              <w:left w:val="nil"/>
              <w:bottom w:val="single" w:color="auto" w:sz="4" w:space="0"/>
              <w:right w:val="single" w:color="auto" w:sz="4" w:space="0"/>
            </w:tcBorders>
            <w:noWrap/>
            <w:vAlign w:val="center"/>
          </w:tcPr>
          <w:p w14:paraId="2D1BAB60">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面积</w:t>
            </w:r>
          </w:p>
        </w:tc>
        <w:tc>
          <w:tcPr>
            <w:tcW w:w="850" w:type="dxa"/>
            <w:gridSpan w:val="2"/>
            <w:tcBorders>
              <w:top w:val="nil"/>
              <w:left w:val="nil"/>
              <w:bottom w:val="single" w:color="auto" w:sz="4" w:space="0"/>
              <w:right w:val="single" w:color="auto" w:sz="4" w:space="0"/>
            </w:tcBorders>
            <w:vAlign w:val="center"/>
          </w:tcPr>
          <w:p w14:paraId="1114DC7A">
            <w:pPr>
              <w:widowControl/>
              <w:spacing w:line="240" w:lineRule="auto"/>
              <w:ind w:firstLine="0" w:firstLineChars="0"/>
              <w:jc w:val="left"/>
              <w:rPr>
                <w:rFonts w:ascii="Times New Roman" w:hAnsi="Times New Roman"/>
                <w:kern w:val="0"/>
                <w:sz w:val="24"/>
                <w:szCs w:val="24"/>
              </w:rPr>
            </w:pPr>
          </w:p>
        </w:tc>
        <w:tc>
          <w:tcPr>
            <w:tcW w:w="1276" w:type="dxa"/>
            <w:gridSpan w:val="2"/>
            <w:tcBorders>
              <w:top w:val="single" w:color="auto" w:sz="4" w:space="0"/>
              <w:left w:val="nil"/>
              <w:bottom w:val="single" w:color="auto" w:sz="4" w:space="0"/>
              <w:right w:val="single" w:color="auto" w:sz="4" w:space="0"/>
            </w:tcBorders>
            <w:noWrap/>
            <w:vAlign w:val="center"/>
          </w:tcPr>
          <w:p w14:paraId="7A665250">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日期</w:t>
            </w:r>
          </w:p>
        </w:tc>
        <w:tc>
          <w:tcPr>
            <w:tcW w:w="1079" w:type="dxa"/>
            <w:tcBorders>
              <w:top w:val="single" w:color="auto" w:sz="4" w:space="0"/>
              <w:left w:val="nil"/>
              <w:bottom w:val="single" w:color="auto" w:sz="4" w:space="0"/>
              <w:right w:val="single" w:color="auto" w:sz="4" w:space="0"/>
            </w:tcBorders>
            <w:vAlign w:val="center"/>
          </w:tcPr>
          <w:p w14:paraId="685ADC1B">
            <w:pPr>
              <w:widowControl/>
              <w:spacing w:line="240" w:lineRule="auto"/>
              <w:ind w:firstLine="0" w:firstLineChars="0"/>
              <w:jc w:val="left"/>
              <w:rPr>
                <w:rFonts w:ascii="Times New Roman" w:hAnsi="Times New Roman"/>
                <w:kern w:val="0"/>
                <w:sz w:val="24"/>
                <w:szCs w:val="24"/>
              </w:rPr>
            </w:pPr>
          </w:p>
        </w:tc>
      </w:tr>
      <w:tr w14:paraId="77CED3B8">
        <w:tblPrEx>
          <w:tblCellMar>
            <w:top w:w="0" w:type="dxa"/>
            <w:left w:w="108" w:type="dxa"/>
            <w:bottom w:w="0" w:type="dxa"/>
            <w:right w:w="108" w:type="dxa"/>
          </w:tblCellMar>
        </w:tblPrEx>
        <w:trPr>
          <w:trHeight w:val="454" w:hRule="atLeast"/>
        </w:trPr>
        <w:tc>
          <w:tcPr>
            <w:tcW w:w="846" w:type="dxa"/>
            <w:tcBorders>
              <w:top w:val="single" w:color="auto" w:sz="4" w:space="0"/>
              <w:left w:val="single" w:color="auto" w:sz="4" w:space="0"/>
              <w:bottom w:val="single" w:color="auto" w:sz="4" w:space="0"/>
              <w:right w:val="single" w:color="auto" w:sz="4" w:space="0"/>
            </w:tcBorders>
            <w:noWrap/>
            <w:vAlign w:val="center"/>
          </w:tcPr>
          <w:p w14:paraId="70B6403F">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经度</w:t>
            </w:r>
          </w:p>
        </w:tc>
        <w:tc>
          <w:tcPr>
            <w:tcW w:w="2126" w:type="dxa"/>
            <w:gridSpan w:val="3"/>
            <w:tcBorders>
              <w:top w:val="single" w:color="auto" w:sz="4" w:space="0"/>
              <w:left w:val="single" w:color="auto" w:sz="4" w:space="0"/>
              <w:bottom w:val="single" w:color="auto" w:sz="4" w:space="0"/>
              <w:right w:val="single" w:color="auto" w:sz="4" w:space="0"/>
            </w:tcBorders>
            <w:vAlign w:val="center"/>
          </w:tcPr>
          <w:p w14:paraId="1CA1A11B">
            <w:pPr>
              <w:widowControl/>
              <w:spacing w:line="240" w:lineRule="auto"/>
              <w:ind w:firstLine="0" w:firstLineChars="0"/>
              <w:jc w:val="left"/>
              <w:rPr>
                <w:rFonts w:ascii="Times New Roman" w:hAnsi="Times New Roman"/>
                <w:kern w:val="0"/>
                <w:sz w:val="24"/>
                <w:szCs w:val="24"/>
              </w:rPr>
            </w:pPr>
          </w:p>
        </w:tc>
        <w:tc>
          <w:tcPr>
            <w:tcW w:w="992" w:type="dxa"/>
            <w:gridSpan w:val="2"/>
            <w:tcBorders>
              <w:top w:val="single" w:color="auto" w:sz="4" w:space="0"/>
              <w:left w:val="nil"/>
              <w:bottom w:val="single" w:color="auto" w:sz="4" w:space="0"/>
              <w:right w:val="single" w:color="auto" w:sz="4" w:space="0"/>
            </w:tcBorders>
            <w:noWrap/>
            <w:vAlign w:val="center"/>
          </w:tcPr>
          <w:p w14:paraId="67D6E45D">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纬度</w:t>
            </w:r>
          </w:p>
        </w:tc>
        <w:tc>
          <w:tcPr>
            <w:tcW w:w="3402" w:type="dxa"/>
            <w:gridSpan w:val="7"/>
            <w:tcBorders>
              <w:top w:val="single" w:color="auto" w:sz="4" w:space="0"/>
              <w:left w:val="nil"/>
              <w:bottom w:val="single" w:color="auto" w:sz="4" w:space="0"/>
              <w:right w:val="single" w:color="auto" w:sz="4" w:space="0"/>
            </w:tcBorders>
            <w:vAlign w:val="center"/>
          </w:tcPr>
          <w:p w14:paraId="7FAE42F3">
            <w:pPr>
              <w:widowControl/>
              <w:spacing w:line="240" w:lineRule="auto"/>
              <w:ind w:firstLine="0" w:firstLineChars="0"/>
              <w:jc w:val="left"/>
              <w:rPr>
                <w:rFonts w:ascii="Times New Roman" w:hAnsi="Times New Roman"/>
                <w:kern w:val="0"/>
                <w:sz w:val="24"/>
                <w:szCs w:val="24"/>
              </w:rPr>
            </w:pPr>
          </w:p>
        </w:tc>
        <w:tc>
          <w:tcPr>
            <w:tcW w:w="1276" w:type="dxa"/>
            <w:gridSpan w:val="2"/>
            <w:tcBorders>
              <w:top w:val="single" w:color="auto" w:sz="4" w:space="0"/>
              <w:left w:val="nil"/>
              <w:bottom w:val="single" w:color="auto" w:sz="4" w:space="0"/>
              <w:right w:val="single" w:color="auto" w:sz="4" w:space="0"/>
            </w:tcBorders>
            <w:noWrap/>
            <w:vAlign w:val="center"/>
          </w:tcPr>
          <w:p w14:paraId="4227A394">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海拔高度</w:t>
            </w:r>
          </w:p>
        </w:tc>
        <w:tc>
          <w:tcPr>
            <w:tcW w:w="1079" w:type="dxa"/>
            <w:tcBorders>
              <w:top w:val="single" w:color="auto" w:sz="4" w:space="0"/>
              <w:left w:val="nil"/>
              <w:bottom w:val="single" w:color="auto" w:sz="4" w:space="0"/>
              <w:right w:val="single" w:color="auto" w:sz="4" w:space="0"/>
            </w:tcBorders>
            <w:vAlign w:val="center"/>
          </w:tcPr>
          <w:p w14:paraId="5B4B6E2E">
            <w:pPr>
              <w:widowControl/>
              <w:spacing w:line="240" w:lineRule="auto"/>
              <w:ind w:firstLine="0" w:firstLineChars="0"/>
              <w:jc w:val="left"/>
              <w:rPr>
                <w:rFonts w:ascii="Times New Roman" w:hAnsi="Times New Roman"/>
                <w:kern w:val="0"/>
                <w:sz w:val="24"/>
                <w:szCs w:val="24"/>
              </w:rPr>
            </w:pPr>
          </w:p>
        </w:tc>
      </w:tr>
      <w:tr w14:paraId="7283FE72">
        <w:tblPrEx>
          <w:tblCellMar>
            <w:top w:w="0" w:type="dxa"/>
            <w:left w:w="108" w:type="dxa"/>
            <w:bottom w:w="0" w:type="dxa"/>
            <w:right w:w="108" w:type="dxa"/>
          </w:tblCellMar>
        </w:tblPrEx>
        <w:trPr>
          <w:trHeight w:val="454" w:hRule="atLeast"/>
        </w:trPr>
        <w:tc>
          <w:tcPr>
            <w:tcW w:w="7366" w:type="dxa"/>
            <w:gridSpan w:val="13"/>
            <w:tcBorders>
              <w:top w:val="single" w:color="auto" w:sz="4" w:space="0"/>
              <w:left w:val="single" w:color="auto" w:sz="4" w:space="0"/>
              <w:bottom w:val="single" w:color="auto" w:sz="4" w:space="0"/>
              <w:right w:val="single" w:color="auto" w:sz="4" w:space="0"/>
            </w:tcBorders>
            <w:noWrap/>
            <w:vAlign w:val="center"/>
          </w:tcPr>
          <w:p w14:paraId="549D2118">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群落类型：</w:t>
            </w:r>
          </w:p>
        </w:tc>
        <w:tc>
          <w:tcPr>
            <w:tcW w:w="1276" w:type="dxa"/>
            <w:gridSpan w:val="2"/>
            <w:tcBorders>
              <w:top w:val="single" w:color="auto" w:sz="4" w:space="0"/>
              <w:left w:val="nil"/>
              <w:bottom w:val="single" w:color="auto" w:sz="4" w:space="0"/>
              <w:right w:val="single" w:color="auto" w:sz="4" w:space="0"/>
            </w:tcBorders>
            <w:noWrap/>
            <w:vAlign w:val="center"/>
          </w:tcPr>
          <w:p w14:paraId="7A4AFEF9">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郁闭度</w:t>
            </w:r>
          </w:p>
        </w:tc>
        <w:tc>
          <w:tcPr>
            <w:tcW w:w="1079" w:type="dxa"/>
            <w:tcBorders>
              <w:top w:val="single" w:color="auto" w:sz="4" w:space="0"/>
              <w:left w:val="nil"/>
              <w:bottom w:val="single" w:color="auto" w:sz="4" w:space="0"/>
              <w:right w:val="single" w:color="auto" w:sz="4" w:space="0"/>
            </w:tcBorders>
            <w:vAlign w:val="center"/>
          </w:tcPr>
          <w:p w14:paraId="2B0B7B40">
            <w:pPr>
              <w:widowControl/>
              <w:spacing w:line="240" w:lineRule="auto"/>
              <w:ind w:firstLine="0" w:firstLineChars="0"/>
              <w:jc w:val="left"/>
              <w:rPr>
                <w:rFonts w:ascii="Times New Roman" w:hAnsi="Times New Roman"/>
                <w:kern w:val="0"/>
                <w:sz w:val="24"/>
                <w:szCs w:val="24"/>
              </w:rPr>
            </w:pPr>
          </w:p>
        </w:tc>
      </w:tr>
      <w:tr w14:paraId="4BA86FB0">
        <w:tblPrEx>
          <w:tblCellMar>
            <w:top w:w="0" w:type="dxa"/>
            <w:left w:w="108" w:type="dxa"/>
            <w:bottom w:w="0" w:type="dxa"/>
            <w:right w:w="108" w:type="dxa"/>
          </w:tblCellMar>
        </w:tblPrEx>
        <w:trPr>
          <w:trHeight w:val="454" w:hRule="atLeast"/>
        </w:trPr>
        <w:tc>
          <w:tcPr>
            <w:tcW w:w="846" w:type="dxa"/>
            <w:tcBorders>
              <w:top w:val="single" w:color="auto" w:sz="4" w:space="0"/>
              <w:left w:val="single" w:color="auto" w:sz="4" w:space="0"/>
              <w:bottom w:val="single" w:color="auto" w:sz="4" w:space="0"/>
              <w:right w:val="single" w:color="auto" w:sz="4" w:space="0"/>
            </w:tcBorders>
            <w:noWrap/>
            <w:vAlign w:val="center"/>
          </w:tcPr>
          <w:p w14:paraId="56587B6B">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坡向</w:t>
            </w:r>
          </w:p>
        </w:tc>
        <w:tc>
          <w:tcPr>
            <w:tcW w:w="3844" w:type="dxa"/>
            <w:gridSpan w:val="7"/>
            <w:tcBorders>
              <w:top w:val="single" w:color="auto" w:sz="4" w:space="0"/>
              <w:left w:val="single" w:color="auto" w:sz="4" w:space="0"/>
              <w:bottom w:val="single" w:color="auto" w:sz="4" w:space="0"/>
              <w:right w:val="single" w:color="auto" w:sz="4" w:space="0"/>
            </w:tcBorders>
            <w:vAlign w:val="center"/>
          </w:tcPr>
          <w:p w14:paraId="5D36DB81">
            <w:pPr>
              <w:widowControl/>
              <w:spacing w:line="240" w:lineRule="auto"/>
              <w:ind w:firstLine="0" w:firstLineChars="0"/>
              <w:jc w:val="left"/>
              <w:rPr>
                <w:rFonts w:ascii="Times New Roman" w:hAnsi="Times New Roman"/>
                <w:kern w:val="0"/>
                <w:sz w:val="24"/>
                <w:szCs w:val="24"/>
              </w:rPr>
            </w:pP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3FE844FB">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坡度</w:t>
            </w:r>
          </w:p>
        </w:tc>
        <w:tc>
          <w:tcPr>
            <w:tcW w:w="3630" w:type="dxa"/>
            <w:gridSpan w:val="6"/>
            <w:tcBorders>
              <w:top w:val="single" w:color="auto" w:sz="4" w:space="0"/>
              <w:left w:val="single" w:color="auto" w:sz="4" w:space="0"/>
              <w:bottom w:val="single" w:color="auto" w:sz="4" w:space="0"/>
              <w:right w:val="single" w:color="auto" w:sz="4" w:space="0"/>
            </w:tcBorders>
            <w:vAlign w:val="center"/>
          </w:tcPr>
          <w:p w14:paraId="09F308E2">
            <w:pPr>
              <w:widowControl/>
              <w:spacing w:line="240" w:lineRule="auto"/>
              <w:ind w:firstLine="0" w:firstLineChars="0"/>
              <w:jc w:val="left"/>
              <w:rPr>
                <w:rFonts w:ascii="Times New Roman" w:hAnsi="Times New Roman"/>
                <w:kern w:val="0"/>
                <w:sz w:val="24"/>
                <w:szCs w:val="24"/>
              </w:rPr>
            </w:pPr>
          </w:p>
        </w:tc>
      </w:tr>
      <w:tr w14:paraId="5BFBAC82">
        <w:tblPrEx>
          <w:tblCellMar>
            <w:top w:w="0" w:type="dxa"/>
            <w:left w:w="108" w:type="dxa"/>
            <w:bottom w:w="0" w:type="dxa"/>
            <w:right w:w="108" w:type="dxa"/>
          </w:tblCellMar>
        </w:tblPrEx>
        <w:trPr>
          <w:trHeight w:val="454" w:hRule="atLeast"/>
        </w:trPr>
        <w:tc>
          <w:tcPr>
            <w:tcW w:w="9721" w:type="dxa"/>
            <w:gridSpan w:val="16"/>
            <w:tcBorders>
              <w:top w:val="single" w:color="auto" w:sz="4" w:space="0"/>
              <w:left w:val="single" w:color="auto" w:sz="4" w:space="0"/>
              <w:bottom w:val="single" w:color="auto" w:sz="4" w:space="0"/>
              <w:right w:val="single" w:color="auto" w:sz="4" w:space="0"/>
            </w:tcBorders>
            <w:noWrap/>
            <w:vAlign w:val="center"/>
          </w:tcPr>
          <w:p w14:paraId="17D18583">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群落周围条件：</w:t>
            </w:r>
          </w:p>
        </w:tc>
      </w:tr>
      <w:tr w14:paraId="1F5B0FD2">
        <w:tblPrEx>
          <w:tblCellMar>
            <w:top w:w="0" w:type="dxa"/>
            <w:left w:w="108" w:type="dxa"/>
            <w:bottom w:w="0" w:type="dxa"/>
            <w:right w:w="108" w:type="dxa"/>
          </w:tblCellMar>
        </w:tblPrEx>
        <w:trPr>
          <w:trHeight w:val="454" w:hRule="atLeast"/>
        </w:trPr>
        <w:tc>
          <w:tcPr>
            <w:tcW w:w="846" w:type="dxa"/>
            <w:tcBorders>
              <w:top w:val="single" w:color="auto" w:sz="4" w:space="0"/>
              <w:left w:val="single" w:color="auto" w:sz="4" w:space="0"/>
              <w:bottom w:val="single" w:color="auto" w:sz="4" w:space="0"/>
              <w:right w:val="single" w:color="auto" w:sz="4" w:space="0"/>
            </w:tcBorders>
            <w:noWrap/>
            <w:vAlign w:val="center"/>
          </w:tcPr>
          <w:p w14:paraId="095BBB91">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生境</w:t>
            </w:r>
          </w:p>
        </w:tc>
        <w:tc>
          <w:tcPr>
            <w:tcW w:w="8875" w:type="dxa"/>
            <w:gridSpan w:val="15"/>
            <w:tcBorders>
              <w:top w:val="single" w:color="auto" w:sz="4" w:space="0"/>
              <w:left w:val="single" w:color="auto" w:sz="4" w:space="0"/>
              <w:bottom w:val="single" w:color="auto" w:sz="4" w:space="0"/>
              <w:right w:val="single" w:color="auto" w:sz="4" w:space="0"/>
            </w:tcBorders>
            <w:vAlign w:val="center"/>
          </w:tcPr>
          <w:p w14:paraId="6115E0B9">
            <w:pPr>
              <w:widowControl/>
              <w:spacing w:line="240" w:lineRule="auto"/>
              <w:ind w:firstLine="0" w:firstLineChars="0"/>
              <w:jc w:val="left"/>
              <w:rPr>
                <w:rFonts w:ascii="Times New Roman" w:hAnsi="Times New Roman"/>
                <w:kern w:val="0"/>
                <w:sz w:val="24"/>
                <w:szCs w:val="24"/>
              </w:rPr>
            </w:pPr>
          </w:p>
        </w:tc>
      </w:tr>
      <w:tr w14:paraId="5631A8B2">
        <w:tblPrEx>
          <w:tblCellMar>
            <w:top w:w="0" w:type="dxa"/>
            <w:left w:w="108" w:type="dxa"/>
            <w:bottom w:w="0" w:type="dxa"/>
            <w:right w:w="108" w:type="dxa"/>
          </w:tblCellMar>
        </w:tblPrEx>
        <w:trPr>
          <w:trHeight w:val="454" w:hRule="atLeast"/>
        </w:trPr>
        <w:tc>
          <w:tcPr>
            <w:tcW w:w="1229" w:type="dxa"/>
            <w:gridSpan w:val="2"/>
            <w:tcBorders>
              <w:top w:val="single" w:color="auto" w:sz="4" w:space="0"/>
              <w:left w:val="single" w:color="auto" w:sz="4" w:space="0"/>
              <w:bottom w:val="single" w:color="auto" w:sz="4" w:space="0"/>
              <w:right w:val="single" w:color="auto" w:sz="4" w:space="0"/>
            </w:tcBorders>
            <w:noWrap/>
            <w:vAlign w:val="center"/>
          </w:tcPr>
          <w:p w14:paraId="26A65D57">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土壤类型</w:t>
            </w:r>
          </w:p>
        </w:tc>
        <w:tc>
          <w:tcPr>
            <w:tcW w:w="3161" w:type="dxa"/>
            <w:gridSpan w:val="5"/>
            <w:tcBorders>
              <w:top w:val="single" w:color="auto" w:sz="4" w:space="0"/>
              <w:left w:val="single" w:color="auto" w:sz="4" w:space="0"/>
              <w:bottom w:val="single" w:color="auto" w:sz="4" w:space="0"/>
              <w:right w:val="single" w:color="auto" w:sz="4" w:space="0"/>
            </w:tcBorders>
            <w:vAlign w:val="center"/>
          </w:tcPr>
          <w:p w14:paraId="037AB360">
            <w:pPr>
              <w:widowControl/>
              <w:spacing w:line="240" w:lineRule="auto"/>
              <w:ind w:firstLine="0" w:firstLineChars="0"/>
              <w:jc w:val="left"/>
              <w:rPr>
                <w:rFonts w:ascii="Times New Roman" w:hAnsi="Times New Roman"/>
                <w:kern w:val="0"/>
                <w:sz w:val="24"/>
                <w:szCs w:val="24"/>
              </w:rPr>
            </w:pPr>
          </w:p>
        </w:tc>
        <w:tc>
          <w:tcPr>
            <w:tcW w:w="1701" w:type="dxa"/>
            <w:gridSpan w:val="3"/>
            <w:tcBorders>
              <w:top w:val="single" w:color="auto" w:sz="4" w:space="0"/>
              <w:left w:val="nil"/>
              <w:bottom w:val="single" w:color="auto" w:sz="4" w:space="0"/>
              <w:right w:val="single" w:color="auto" w:sz="4" w:space="0"/>
            </w:tcBorders>
            <w:noWrap/>
            <w:vAlign w:val="center"/>
          </w:tcPr>
          <w:p w14:paraId="499D3310">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土壤表面特征</w:t>
            </w:r>
          </w:p>
        </w:tc>
        <w:tc>
          <w:tcPr>
            <w:tcW w:w="3630" w:type="dxa"/>
            <w:gridSpan w:val="6"/>
            <w:tcBorders>
              <w:top w:val="single" w:color="auto" w:sz="4" w:space="0"/>
              <w:left w:val="nil"/>
              <w:bottom w:val="single" w:color="auto" w:sz="4" w:space="0"/>
              <w:right w:val="single" w:color="auto" w:sz="4" w:space="0"/>
            </w:tcBorders>
            <w:vAlign w:val="center"/>
          </w:tcPr>
          <w:p w14:paraId="15401350">
            <w:pPr>
              <w:widowControl/>
              <w:spacing w:line="240" w:lineRule="auto"/>
              <w:ind w:firstLine="0" w:firstLineChars="0"/>
              <w:jc w:val="left"/>
              <w:rPr>
                <w:rFonts w:ascii="Times New Roman" w:hAnsi="Times New Roman"/>
                <w:kern w:val="0"/>
                <w:sz w:val="24"/>
                <w:szCs w:val="24"/>
              </w:rPr>
            </w:pPr>
          </w:p>
        </w:tc>
      </w:tr>
      <w:tr w14:paraId="2B2B11EB">
        <w:tblPrEx>
          <w:tblCellMar>
            <w:top w:w="0" w:type="dxa"/>
            <w:left w:w="108" w:type="dxa"/>
            <w:bottom w:w="0" w:type="dxa"/>
            <w:right w:w="108" w:type="dxa"/>
          </w:tblCellMar>
        </w:tblPrEx>
        <w:trPr>
          <w:trHeight w:val="454" w:hRule="atLeast"/>
        </w:trPr>
        <w:tc>
          <w:tcPr>
            <w:tcW w:w="1229" w:type="dxa"/>
            <w:gridSpan w:val="2"/>
            <w:vMerge w:val="restart"/>
            <w:tcBorders>
              <w:top w:val="nil"/>
              <w:left w:val="single" w:color="auto" w:sz="4" w:space="0"/>
              <w:bottom w:val="single" w:color="auto" w:sz="4" w:space="0"/>
              <w:right w:val="single" w:color="auto" w:sz="4" w:space="0"/>
            </w:tcBorders>
            <w:noWrap/>
            <w:vAlign w:val="center"/>
          </w:tcPr>
          <w:p w14:paraId="4A219D30">
            <w:pPr>
              <w:widowControl/>
              <w:spacing w:line="240" w:lineRule="auto"/>
              <w:ind w:firstLine="0" w:firstLineChars="0"/>
              <w:jc w:val="center"/>
              <w:rPr>
                <w:rFonts w:ascii="Times New Roman" w:hAnsi="Times New Roman"/>
                <w:kern w:val="0"/>
                <w:sz w:val="24"/>
                <w:szCs w:val="24"/>
              </w:rPr>
            </w:pPr>
            <w:r>
              <w:rPr>
                <w:rFonts w:ascii="Times New Roman" w:hAnsi="Times New Roman"/>
                <w:kern w:val="0"/>
                <w:sz w:val="24"/>
                <w:szCs w:val="24"/>
              </w:rPr>
              <w:t>植物种名</w:t>
            </w:r>
          </w:p>
        </w:tc>
        <w:tc>
          <w:tcPr>
            <w:tcW w:w="2027" w:type="dxa"/>
            <w:gridSpan w:val="3"/>
            <w:tcBorders>
              <w:top w:val="single" w:color="auto" w:sz="4" w:space="0"/>
              <w:left w:val="nil"/>
              <w:bottom w:val="single" w:color="auto" w:sz="4" w:space="0"/>
              <w:right w:val="single" w:color="auto" w:sz="4" w:space="0"/>
            </w:tcBorders>
            <w:noWrap/>
            <w:vAlign w:val="center"/>
          </w:tcPr>
          <w:p w14:paraId="06982331">
            <w:pPr>
              <w:widowControl/>
              <w:spacing w:line="240" w:lineRule="auto"/>
              <w:ind w:firstLine="0" w:firstLineChars="0"/>
              <w:jc w:val="left"/>
              <w:rPr>
                <w:rFonts w:ascii="Times New Roman" w:hAnsi="Times New Roman"/>
                <w:kern w:val="0"/>
                <w:sz w:val="24"/>
                <w:szCs w:val="24"/>
              </w:rPr>
            </w:pPr>
            <w:r>
              <w:rPr>
                <w:rFonts w:ascii="Times New Roman" w:hAnsi="Times New Roman"/>
                <w:kern w:val="0"/>
                <w:sz w:val="24"/>
                <w:szCs w:val="24"/>
              </w:rPr>
              <w:t>平均高度（cm）</w:t>
            </w:r>
          </w:p>
        </w:tc>
        <w:tc>
          <w:tcPr>
            <w:tcW w:w="1134" w:type="dxa"/>
            <w:gridSpan w:val="2"/>
            <w:vMerge w:val="restart"/>
            <w:tcBorders>
              <w:top w:val="nil"/>
              <w:left w:val="single" w:color="auto" w:sz="4" w:space="0"/>
              <w:bottom w:val="single" w:color="auto" w:sz="4" w:space="0"/>
              <w:right w:val="single" w:color="auto" w:sz="4" w:space="0"/>
            </w:tcBorders>
            <w:noWrap/>
            <w:vAlign w:val="center"/>
          </w:tcPr>
          <w:p w14:paraId="158ABFBB">
            <w:pPr>
              <w:widowControl/>
              <w:spacing w:line="240" w:lineRule="auto"/>
              <w:ind w:firstLine="0" w:firstLineChars="0"/>
              <w:jc w:val="center"/>
              <w:rPr>
                <w:rFonts w:ascii="Times New Roman" w:hAnsi="Times New Roman"/>
                <w:kern w:val="0"/>
                <w:sz w:val="24"/>
                <w:szCs w:val="24"/>
              </w:rPr>
            </w:pPr>
            <w:r>
              <w:rPr>
                <w:rFonts w:ascii="Times New Roman" w:hAnsi="Times New Roman"/>
                <w:kern w:val="0"/>
                <w:sz w:val="24"/>
                <w:szCs w:val="24"/>
              </w:rPr>
              <w:t>株/丛数</w:t>
            </w:r>
          </w:p>
        </w:tc>
        <w:tc>
          <w:tcPr>
            <w:tcW w:w="1701" w:type="dxa"/>
            <w:gridSpan w:val="3"/>
            <w:vMerge w:val="restart"/>
            <w:tcBorders>
              <w:top w:val="nil"/>
              <w:left w:val="single" w:color="auto" w:sz="4" w:space="0"/>
              <w:bottom w:val="single" w:color="auto" w:sz="4" w:space="0"/>
              <w:right w:val="single" w:color="auto" w:sz="4" w:space="0"/>
            </w:tcBorders>
            <w:noWrap/>
            <w:vAlign w:val="center"/>
          </w:tcPr>
          <w:p w14:paraId="06EA33DE">
            <w:pPr>
              <w:widowControl/>
              <w:spacing w:line="240" w:lineRule="auto"/>
              <w:ind w:firstLine="0" w:firstLineChars="0"/>
              <w:jc w:val="center"/>
              <w:rPr>
                <w:rFonts w:ascii="Times New Roman" w:hAnsi="Times New Roman"/>
                <w:kern w:val="0"/>
                <w:sz w:val="24"/>
                <w:szCs w:val="24"/>
              </w:rPr>
            </w:pPr>
            <w:r>
              <w:rPr>
                <w:rFonts w:ascii="Times New Roman" w:hAnsi="Times New Roman"/>
                <w:kern w:val="0"/>
                <w:sz w:val="24"/>
                <w:szCs w:val="24"/>
              </w:rPr>
              <w:t>生殖枝数</w:t>
            </w:r>
          </w:p>
        </w:tc>
        <w:tc>
          <w:tcPr>
            <w:tcW w:w="841" w:type="dxa"/>
            <w:gridSpan w:val="2"/>
            <w:vMerge w:val="restart"/>
            <w:tcBorders>
              <w:top w:val="nil"/>
              <w:left w:val="single" w:color="auto" w:sz="4" w:space="0"/>
              <w:bottom w:val="single" w:color="auto" w:sz="4" w:space="0"/>
              <w:right w:val="single" w:color="auto" w:sz="4" w:space="0"/>
            </w:tcBorders>
            <w:noWrap/>
            <w:vAlign w:val="center"/>
          </w:tcPr>
          <w:p w14:paraId="61D47156">
            <w:pPr>
              <w:widowControl/>
              <w:spacing w:line="240" w:lineRule="auto"/>
              <w:ind w:firstLine="0" w:firstLineChars="0"/>
              <w:jc w:val="center"/>
              <w:rPr>
                <w:rFonts w:ascii="Times New Roman" w:hAnsi="Times New Roman"/>
                <w:kern w:val="0"/>
                <w:sz w:val="24"/>
                <w:szCs w:val="24"/>
              </w:rPr>
            </w:pPr>
            <w:r>
              <w:rPr>
                <w:rFonts w:ascii="Times New Roman" w:hAnsi="Times New Roman"/>
                <w:kern w:val="0"/>
                <w:sz w:val="24"/>
                <w:szCs w:val="24"/>
              </w:rPr>
              <w:t>丛幅</w:t>
            </w:r>
          </w:p>
        </w:tc>
        <w:tc>
          <w:tcPr>
            <w:tcW w:w="1417" w:type="dxa"/>
            <w:gridSpan w:val="2"/>
            <w:vMerge w:val="restart"/>
            <w:tcBorders>
              <w:top w:val="nil"/>
              <w:left w:val="single" w:color="auto" w:sz="4" w:space="0"/>
              <w:bottom w:val="single" w:color="auto" w:sz="4" w:space="0"/>
              <w:right w:val="single" w:color="auto" w:sz="4" w:space="0"/>
            </w:tcBorders>
            <w:noWrap/>
            <w:vAlign w:val="center"/>
          </w:tcPr>
          <w:p w14:paraId="2E0CD818">
            <w:pPr>
              <w:widowControl/>
              <w:spacing w:line="240" w:lineRule="auto"/>
              <w:ind w:firstLine="0" w:firstLineChars="0"/>
              <w:jc w:val="center"/>
              <w:rPr>
                <w:rFonts w:ascii="Times New Roman" w:hAnsi="Times New Roman"/>
                <w:kern w:val="0"/>
                <w:sz w:val="24"/>
                <w:szCs w:val="24"/>
              </w:rPr>
            </w:pPr>
            <w:r>
              <w:rPr>
                <w:rFonts w:ascii="Times New Roman" w:hAnsi="Times New Roman"/>
                <w:kern w:val="0"/>
                <w:sz w:val="24"/>
                <w:szCs w:val="24"/>
              </w:rPr>
              <w:t>鲜重（g）</w:t>
            </w:r>
          </w:p>
        </w:tc>
        <w:tc>
          <w:tcPr>
            <w:tcW w:w="1372" w:type="dxa"/>
            <w:gridSpan w:val="2"/>
            <w:vMerge w:val="restart"/>
            <w:tcBorders>
              <w:top w:val="nil"/>
              <w:left w:val="single" w:color="auto" w:sz="4" w:space="0"/>
              <w:bottom w:val="single" w:color="auto" w:sz="4" w:space="0"/>
              <w:right w:val="single" w:color="auto" w:sz="4" w:space="0"/>
            </w:tcBorders>
            <w:noWrap/>
            <w:vAlign w:val="center"/>
          </w:tcPr>
          <w:p w14:paraId="3DCAE11E">
            <w:pPr>
              <w:widowControl/>
              <w:spacing w:line="240" w:lineRule="auto"/>
              <w:ind w:firstLine="0" w:firstLineChars="0"/>
              <w:jc w:val="center"/>
              <w:rPr>
                <w:rFonts w:ascii="Times New Roman" w:hAnsi="Times New Roman"/>
                <w:kern w:val="0"/>
                <w:sz w:val="24"/>
                <w:szCs w:val="24"/>
              </w:rPr>
            </w:pPr>
            <w:r>
              <w:rPr>
                <w:rFonts w:ascii="Times New Roman" w:hAnsi="Times New Roman"/>
                <w:kern w:val="0"/>
                <w:sz w:val="24"/>
                <w:szCs w:val="24"/>
              </w:rPr>
              <w:t>干重（g）</w:t>
            </w:r>
          </w:p>
        </w:tc>
      </w:tr>
      <w:tr w14:paraId="532C87FD">
        <w:tblPrEx>
          <w:tblCellMar>
            <w:top w:w="0" w:type="dxa"/>
            <w:left w:w="108" w:type="dxa"/>
            <w:bottom w:w="0" w:type="dxa"/>
            <w:right w:w="108" w:type="dxa"/>
          </w:tblCellMar>
        </w:tblPrEx>
        <w:trPr>
          <w:trHeight w:val="454" w:hRule="atLeast"/>
        </w:trPr>
        <w:tc>
          <w:tcPr>
            <w:tcW w:w="1229" w:type="dxa"/>
            <w:gridSpan w:val="2"/>
            <w:vMerge w:val="continue"/>
            <w:tcBorders>
              <w:top w:val="nil"/>
              <w:left w:val="single" w:color="auto" w:sz="4" w:space="0"/>
              <w:bottom w:val="single" w:color="auto" w:sz="4" w:space="0"/>
              <w:right w:val="single" w:color="auto" w:sz="4" w:space="0"/>
            </w:tcBorders>
            <w:vAlign w:val="center"/>
          </w:tcPr>
          <w:p w14:paraId="2E5B2BEE">
            <w:pPr>
              <w:widowControl/>
              <w:spacing w:line="240" w:lineRule="auto"/>
              <w:ind w:firstLine="0" w:firstLineChars="0"/>
              <w:jc w:val="left"/>
              <w:rPr>
                <w:rFonts w:ascii="Times New Roman" w:hAnsi="Times New Roman"/>
                <w:kern w:val="0"/>
              </w:rPr>
            </w:pPr>
          </w:p>
        </w:tc>
        <w:tc>
          <w:tcPr>
            <w:tcW w:w="1034" w:type="dxa"/>
            <w:tcBorders>
              <w:top w:val="nil"/>
              <w:left w:val="nil"/>
              <w:bottom w:val="single" w:color="auto" w:sz="4" w:space="0"/>
              <w:right w:val="single" w:color="auto" w:sz="4" w:space="0"/>
            </w:tcBorders>
            <w:noWrap/>
            <w:vAlign w:val="center"/>
          </w:tcPr>
          <w:p w14:paraId="7AB10ED7">
            <w:pPr>
              <w:widowControl/>
              <w:spacing w:line="240" w:lineRule="auto"/>
              <w:ind w:firstLine="0" w:firstLineChars="0"/>
              <w:jc w:val="center"/>
              <w:rPr>
                <w:rFonts w:ascii="Times New Roman" w:hAnsi="Times New Roman"/>
                <w:kern w:val="0"/>
                <w:sz w:val="24"/>
                <w:szCs w:val="24"/>
              </w:rPr>
            </w:pPr>
            <w:r>
              <w:rPr>
                <w:rFonts w:ascii="Times New Roman" w:hAnsi="Times New Roman"/>
                <w:kern w:val="0"/>
                <w:sz w:val="24"/>
                <w:szCs w:val="24"/>
              </w:rPr>
              <w:t>营养苗</w:t>
            </w:r>
          </w:p>
        </w:tc>
        <w:tc>
          <w:tcPr>
            <w:tcW w:w="993" w:type="dxa"/>
            <w:gridSpan w:val="2"/>
            <w:tcBorders>
              <w:top w:val="nil"/>
              <w:left w:val="nil"/>
              <w:bottom w:val="single" w:color="auto" w:sz="4" w:space="0"/>
              <w:right w:val="single" w:color="auto" w:sz="4" w:space="0"/>
            </w:tcBorders>
            <w:noWrap/>
            <w:vAlign w:val="center"/>
          </w:tcPr>
          <w:p w14:paraId="759355F3">
            <w:pPr>
              <w:widowControl/>
              <w:spacing w:line="240" w:lineRule="auto"/>
              <w:ind w:firstLine="0" w:firstLineChars="0"/>
              <w:jc w:val="center"/>
              <w:rPr>
                <w:rFonts w:ascii="Times New Roman" w:hAnsi="Times New Roman"/>
                <w:kern w:val="0"/>
                <w:sz w:val="24"/>
                <w:szCs w:val="24"/>
              </w:rPr>
            </w:pPr>
            <w:r>
              <w:rPr>
                <w:rFonts w:ascii="Times New Roman" w:hAnsi="Times New Roman"/>
                <w:kern w:val="0"/>
                <w:sz w:val="24"/>
                <w:szCs w:val="24"/>
              </w:rPr>
              <w:t>生殖苗</w:t>
            </w:r>
          </w:p>
        </w:tc>
        <w:tc>
          <w:tcPr>
            <w:tcW w:w="1134" w:type="dxa"/>
            <w:gridSpan w:val="2"/>
            <w:vMerge w:val="continue"/>
            <w:tcBorders>
              <w:top w:val="nil"/>
              <w:left w:val="single" w:color="auto" w:sz="4" w:space="0"/>
              <w:bottom w:val="single" w:color="auto" w:sz="4" w:space="0"/>
              <w:right w:val="single" w:color="auto" w:sz="4" w:space="0"/>
            </w:tcBorders>
            <w:vAlign w:val="center"/>
          </w:tcPr>
          <w:p w14:paraId="30553142">
            <w:pPr>
              <w:widowControl/>
              <w:spacing w:line="240" w:lineRule="auto"/>
              <w:ind w:firstLine="0" w:firstLineChars="0"/>
              <w:jc w:val="left"/>
              <w:rPr>
                <w:rFonts w:ascii="Times New Roman" w:hAnsi="Times New Roman"/>
                <w:kern w:val="0"/>
              </w:rPr>
            </w:pPr>
          </w:p>
        </w:tc>
        <w:tc>
          <w:tcPr>
            <w:tcW w:w="1701" w:type="dxa"/>
            <w:gridSpan w:val="3"/>
            <w:vMerge w:val="continue"/>
            <w:tcBorders>
              <w:top w:val="nil"/>
              <w:left w:val="single" w:color="auto" w:sz="4" w:space="0"/>
              <w:bottom w:val="single" w:color="auto" w:sz="4" w:space="0"/>
              <w:right w:val="single" w:color="auto" w:sz="4" w:space="0"/>
            </w:tcBorders>
            <w:vAlign w:val="center"/>
          </w:tcPr>
          <w:p w14:paraId="4F4F6CB2">
            <w:pPr>
              <w:widowControl/>
              <w:spacing w:line="240" w:lineRule="auto"/>
              <w:ind w:firstLine="0" w:firstLineChars="0"/>
              <w:jc w:val="left"/>
              <w:rPr>
                <w:rFonts w:ascii="Times New Roman" w:hAnsi="Times New Roman"/>
                <w:kern w:val="0"/>
              </w:rPr>
            </w:pPr>
          </w:p>
        </w:tc>
        <w:tc>
          <w:tcPr>
            <w:tcW w:w="841" w:type="dxa"/>
            <w:gridSpan w:val="2"/>
            <w:vMerge w:val="continue"/>
            <w:tcBorders>
              <w:top w:val="nil"/>
              <w:left w:val="single" w:color="auto" w:sz="4" w:space="0"/>
              <w:bottom w:val="single" w:color="auto" w:sz="4" w:space="0"/>
              <w:right w:val="single" w:color="auto" w:sz="4" w:space="0"/>
            </w:tcBorders>
            <w:vAlign w:val="center"/>
          </w:tcPr>
          <w:p w14:paraId="3509B996">
            <w:pPr>
              <w:widowControl/>
              <w:spacing w:line="240" w:lineRule="auto"/>
              <w:ind w:firstLine="0" w:firstLineChars="0"/>
              <w:jc w:val="left"/>
              <w:rPr>
                <w:rFonts w:ascii="Times New Roman" w:hAnsi="Times New Roman"/>
                <w:kern w:val="0"/>
              </w:rPr>
            </w:pPr>
          </w:p>
        </w:tc>
        <w:tc>
          <w:tcPr>
            <w:tcW w:w="1417" w:type="dxa"/>
            <w:gridSpan w:val="2"/>
            <w:vMerge w:val="continue"/>
            <w:tcBorders>
              <w:top w:val="nil"/>
              <w:left w:val="single" w:color="auto" w:sz="4" w:space="0"/>
              <w:bottom w:val="single" w:color="auto" w:sz="4" w:space="0"/>
              <w:right w:val="single" w:color="auto" w:sz="4" w:space="0"/>
            </w:tcBorders>
            <w:vAlign w:val="center"/>
          </w:tcPr>
          <w:p w14:paraId="51218FED">
            <w:pPr>
              <w:widowControl/>
              <w:spacing w:line="240" w:lineRule="auto"/>
              <w:ind w:firstLine="0" w:firstLineChars="0"/>
              <w:jc w:val="left"/>
              <w:rPr>
                <w:rFonts w:ascii="Times New Roman" w:hAnsi="Times New Roman"/>
                <w:kern w:val="0"/>
              </w:rPr>
            </w:pPr>
          </w:p>
        </w:tc>
        <w:tc>
          <w:tcPr>
            <w:tcW w:w="1372" w:type="dxa"/>
            <w:gridSpan w:val="2"/>
            <w:vMerge w:val="continue"/>
            <w:tcBorders>
              <w:top w:val="nil"/>
              <w:left w:val="single" w:color="auto" w:sz="4" w:space="0"/>
              <w:bottom w:val="single" w:color="auto" w:sz="4" w:space="0"/>
              <w:right w:val="single" w:color="auto" w:sz="4" w:space="0"/>
            </w:tcBorders>
            <w:vAlign w:val="center"/>
          </w:tcPr>
          <w:p w14:paraId="0F9B482C">
            <w:pPr>
              <w:widowControl/>
              <w:spacing w:line="240" w:lineRule="auto"/>
              <w:ind w:firstLine="0" w:firstLineChars="0"/>
              <w:jc w:val="left"/>
              <w:rPr>
                <w:rFonts w:ascii="Times New Roman" w:hAnsi="Times New Roman"/>
                <w:kern w:val="0"/>
              </w:rPr>
            </w:pPr>
          </w:p>
        </w:tc>
      </w:tr>
      <w:tr w14:paraId="28AEA29E">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6E69E41A">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6F60A890">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6A2F8489">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3BFC6F16">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5E3E675F">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1B109330">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65EB4C96">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0EE60085">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44DEA607">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4EA158FF">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1EE0010F">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12956ECC">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09C8537E">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6537B1E8">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24B106C5">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365D8637">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3CF2ACDE">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62E1FCEC">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2C942B2B">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4B48D52E">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44272745">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2D1A4893">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645F0651">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2C82463E">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1CCD72D2">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10BAA1E8">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2C321739">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12B0DA0E">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25AA0947">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0732B97F">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4002E24D">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49B08168">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13616008">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19ADBFF1">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39A93A65">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3D647B6E">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1CFD8D34">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461EC7B3">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25E006A1">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1E6B17D8">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0D7E8CA4">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4AE63AE1">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7D6DB8A1">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7550F218">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11F9AB14">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52DFF66A">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74FD16F9">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2C673FD3">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100854C0">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2AA80E16">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0C312EA6">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55D742D0">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3E2AFB5B">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1F9AC4FF">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3224C9A6">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4858C5AA">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10A3D4DD">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7829EE69">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7BAC20F6">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15797016">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6ECDB310">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645B5A0E">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7268E82B">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0F84326C">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5D8F0D29">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53F8B303">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06F8611F">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01B28C60">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39BFF580">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1439F2F1">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0E29BDF4">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3C8C7EB6">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3D9FB21B">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328092A5">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09869FCF">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0CAD6FD7">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74A841F3">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75F705FA">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20AD4E05">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3396D595">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723CBF57">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74E5CDD4">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2F162352">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7F55CA71">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19444019">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6A5BBA0C">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5BFD5CB0">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21D9AF38">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3723C4AC">
            <w:pPr>
              <w:widowControl/>
              <w:spacing w:line="240" w:lineRule="auto"/>
              <w:ind w:firstLine="0" w:firstLineChars="0"/>
              <w:jc w:val="left"/>
              <w:rPr>
                <w:rFonts w:ascii="Times New Roman" w:hAnsi="Times New Roman"/>
                <w:kern w:val="0"/>
              </w:rPr>
            </w:pPr>
            <w:r>
              <w:rPr>
                <w:rFonts w:ascii="Times New Roman" w:hAnsi="Times New Roman"/>
                <w:kern w:val="0"/>
              </w:rPr>
              <w:t>　</w:t>
            </w:r>
          </w:p>
        </w:tc>
      </w:tr>
      <w:tr w14:paraId="4A6BFDEF">
        <w:tblPrEx>
          <w:tblCellMar>
            <w:top w:w="0" w:type="dxa"/>
            <w:left w:w="108" w:type="dxa"/>
            <w:bottom w:w="0" w:type="dxa"/>
            <w:right w:w="108" w:type="dxa"/>
          </w:tblCellMar>
        </w:tblPrEx>
        <w:trPr>
          <w:trHeight w:val="454" w:hRule="atLeast"/>
        </w:trPr>
        <w:tc>
          <w:tcPr>
            <w:tcW w:w="1229" w:type="dxa"/>
            <w:gridSpan w:val="2"/>
            <w:tcBorders>
              <w:top w:val="nil"/>
              <w:left w:val="single" w:color="auto" w:sz="4" w:space="0"/>
              <w:bottom w:val="single" w:color="auto" w:sz="4" w:space="0"/>
              <w:right w:val="single" w:color="auto" w:sz="4" w:space="0"/>
            </w:tcBorders>
            <w:noWrap/>
            <w:vAlign w:val="center"/>
          </w:tcPr>
          <w:p w14:paraId="1F856A0A">
            <w:pPr>
              <w:widowControl/>
              <w:spacing w:line="240" w:lineRule="auto"/>
              <w:ind w:firstLine="0" w:firstLineChars="0"/>
              <w:jc w:val="center"/>
              <w:rPr>
                <w:rFonts w:ascii="Times New Roman" w:hAnsi="Times New Roman"/>
                <w:kern w:val="0"/>
              </w:rPr>
            </w:pPr>
            <w:r>
              <w:rPr>
                <w:rFonts w:ascii="Times New Roman" w:hAnsi="Times New Roman"/>
                <w:kern w:val="0"/>
              </w:rPr>
              <w:t>　</w:t>
            </w:r>
          </w:p>
        </w:tc>
        <w:tc>
          <w:tcPr>
            <w:tcW w:w="1034" w:type="dxa"/>
            <w:tcBorders>
              <w:top w:val="nil"/>
              <w:left w:val="nil"/>
              <w:bottom w:val="single" w:color="auto" w:sz="4" w:space="0"/>
              <w:right w:val="single" w:color="auto" w:sz="4" w:space="0"/>
            </w:tcBorders>
            <w:noWrap/>
            <w:vAlign w:val="bottom"/>
          </w:tcPr>
          <w:p w14:paraId="5C41B7CE">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993" w:type="dxa"/>
            <w:gridSpan w:val="2"/>
            <w:tcBorders>
              <w:top w:val="nil"/>
              <w:left w:val="nil"/>
              <w:bottom w:val="single" w:color="auto" w:sz="4" w:space="0"/>
              <w:right w:val="single" w:color="auto" w:sz="4" w:space="0"/>
            </w:tcBorders>
            <w:noWrap/>
            <w:vAlign w:val="bottom"/>
          </w:tcPr>
          <w:p w14:paraId="60354030">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134" w:type="dxa"/>
            <w:gridSpan w:val="2"/>
            <w:tcBorders>
              <w:top w:val="nil"/>
              <w:left w:val="nil"/>
              <w:bottom w:val="single" w:color="auto" w:sz="4" w:space="0"/>
              <w:right w:val="single" w:color="auto" w:sz="4" w:space="0"/>
            </w:tcBorders>
            <w:noWrap/>
            <w:vAlign w:val="bottom"/>
          </w:tcPr>
          <w:p w14:paraId="75EC4FEB">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701" w:type="dxa"/>
            <w:gridSpan w:val="3"/>
            <w:tcBorders>
              <w:top w:val="nil"/>
              <w:left w:val="nil"/>
              <w:bottom w:val="single" w:color="auto" w:sz="4" w:space="0"/>
              <w:right w:val="single" w:color="auto" w:sz="4" w:space="0"/>
            </w:tcBorders>
            <w:noWrap/>
            <w:vAlign w:val="bottom"/>
          </w:tcPr>
          <w:p w14:paraId="05C2EC73">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841" w:type="dxa"/>
            <w:gridSpan w:val="2"/>
            <w:tcBorders>
              <w:top w:val="nil"/>
              <w:left w:val="nil"/>
              <w:bottom w:val="single" w:color="auto" w:sz="4" w:space="0"/>
              <w:right w:val="single" w:color="auto" w:sz="4" w:space="0"/>
            </w:tcBorders>
            <w:noWrap/>
            <w:vAlign w:val="bottom"/>
          </w:tcPr>
          <w:p w14:paraId="21F5B7D8">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417" w:type="dxa"/>
            <w:gridSpan w:val="2"/>
            <w:tcBorders>
              <w:top w:val="nil"/>
              <w:left w:val="nil"/>
              <w:bottom w:val="single" w:color="auto" w:sz="4" w:space="0"/>
              <w:right w:val="single" w:color="auto" w:sz="4" w:space="0"/>
            </w:tcBorders>
            <w:noWrap/>
            <w:vAlign w:val="bottom"/>
          </w:tcPr>
          <w:p w14:paraId="6A9A988E">
            <w:pPr>
              <w:widowControl/>
              <w:spacing w:line="240" w:lineRule="auto"/>
              <w:ind w:firstLine="0" w:firstLineChars="0"/>
              <w:jc w:val="left"/>
              <w:rPr>
                <w:rFonts w:ascii="Times New Roman" w:hAnsi="Times New Roman"/>
                <w:kern w:val="0"/>
              </w:rPr>
            </w:pPr>
            <w:r>
              <w:rPr>
                <w:rFonts w:ascii="Times New Roman" w:hAnsi="Times New Roman"/>
                <w:kern w:val="0"/>
              </w:rPr>
              <w:t>　</w:t>
            </w:r>
          </w:p>
        </w:tc>
        <w:tc>
          <w:tcPr>
            <w:tcW w:w="1372" w:type="dxa"/>
            <w:gridSpan w:val="2"/>
            <w:tcBorders>
              <w:top w:val="nil"/>
              <w:left w:val="nil"/>
              <w:bottom w:val="single" w:color="auto" w:sz="4" w:space="0"/>
              <w:right w:val="single" w:color="auto" w:sz="4" w:space="0"/>
            </w:tcBorders>
            <w:noWrap/>
            <w:vAlign w:val="bottom"/>
          </w:tcPr>
          <w:p w14:paraId="47DB7D8A">
            <w:pPr>
              <w:widowControl/>
              <w:spacing w:line="240" w:lineRule="auto"/>
              <w:ind w:firstLine="0" w:firstLineChars="0"/>
              <w:jc w:val="left"/>
              <w:rPr>
                <w:rFonts w:ascii="Times New Roman" w:hAnsi="Times New Roman"/>
                <w:kern w:val="0"/>
              </w:rPr>
            </w:pPr>
            <w:r>
              <w:rPr>
                <w:rFonts w:ascii="Times New Roman" w:hAnsi="Times New Roman"/>
                <w:kern w:val="0"/>
              </w:rPr>
              <w:t>　</w:t>
            </w:r>
          </w:p>
        </w:tc>
      </w:tr>
    </w:tbl>
    <w:p w14:paraId="13FF3664">
      <w:pPr>
        <w:widowControl/>
        <w:spacing w:line="240" w:lineRule="auto"/>
        <w:ind w:firstLine="0" w:firstLineChars="0"/>
        <w:jc w:val="left"/>
        <w:rPr>
          <w:rFonts w:ascii="Times New Roman" w:hAnsi="Times New Roman"/>
        </w:rPr>
      </w:pPr>
    </w:p>
    <w:p w14:paraId="23F18FB4">
      <w:pPr>
        <w:widowControl/>
        <w:spacing w:line="240" w:lineRule="auto"/>
        <w:ind w:firstLine="0" w:firstLineChars="0"/>
        <w:jc w:val="left"/>
        <w:rPr>
          <w:rFonts w:ascii="Times New Roman" w:hAnsi="Times New Roman"/>
        </w:rPr>
      </w:pPr>
      <w:r>
        <w:rPr>
          <w:rFonts w:ascii="Times New Roman" w:hAnsi="Times New Roman"/>
        </w:rPr>
        <w:br w:type="page"/>
      </w:r>
    </w:p>
    <w:sectPr>
      <w:headerReference r:id="rId15" w:type="default"/>
      <w:footerReference r:id="rId17" w:type="default"/>
      <w:headerReference r:id="rId16" w:type="even"/>
      <w:footerReference r:id="rId18" w:type="even"/>
      <w:pgSz w:w="11906" w:h="16838"/>
      <w:pgMar w:top="2410"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423CDB">
    <w:pPr>
      <w:pStyle w:val="1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13E33">
    <w:pPr>
      <w:pStyle w:val="19"/>
      <w:ind w:firstLine="360"/>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275309">
    <w:pPr>
      <w:pStyle w:val="1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A4A6">
    <w:pPr>
      <w:pStyle w:val="56"/>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4ED081">
    <w:pPr>
      <w:pStyle w:val="55"/>
    </w:pPr>
    <w:r>
      <w:fldChar w:fldCharType="begin"/>
    </w:r>
    <w:r>
      <w:instrText xml:space="preserve"> PAGE   \* MERGEFORMAT \* MERGEFORMAT </w:instrText>
    </w:r>
    <w:r>
      <w:fldChar w:fldCharType="separate"/>
    </w:r>
    <w: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6FBE7">
    <w:pPr>
      <w:pStyle w:val="56"/>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337BE0">
    <w:pPr>
      <w:pStyle w:val="55"/>
    </w:pPr>
    <w:r>
      <w:fldChar w:fldCharType="begin"/>
    </w:r>
    <w:r>
      <w:instrText xml:space="preserve"> PAGE   \* MERGEFORMAT \* MERGEFORMAT </w:instrText>
    </w:r>
    <w:r>
      <w:fldChar w:fldCharType="separate"/>
    </w:r>
    <w: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3199AA">
    <w:pPr>
      <w:pStyle w:val="20"/>
      <w:ind w:firstLine="360"/>
    </w:pPr>
    <w:r>
      <w:t>Q/LB.</w:t>
    </w:r>
    <w:r>
      <w:rPr>
        <w:rFonts w:hint="eastAsia"/>
      </w:rPr>
      <w:t>□</w:t>
    </w:r>
    <w: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50AEF">
    <w:pPr>
      <w:pStyle w:val="2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16240">
    <w:pPr>
      <w:pStyle w:val="20"/>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205A5">
    <w:pPr>
      <w:pStyle w:val="65"/>
      <w:rPr>
        <w:rFonts w:hint="eastAsia"/>
      </w:rPr>
    </w:pPr>
    <w:r>
      <w:fldChar w:fldCharType="begin"/>
    </w:r>
    <w:r>
      <w:instrText xml:space="preserve"> STYLEREF  标准文件_文件编号  \* MERGEFORMAT </w:instrText>
    </w:r>
    <w:r>
      <w:fldChar w:fldCharType="separate"/>
    </w:r>
    <w:r>
      <w:t>T/PPZL 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966309">
    <w:pPr>
      <w:pStyle w:val="66"/>
      <w:rPr>
        <w:rFonts w:hint="eastAsia"/>
      </w:rPr>
    </w:pPr>
    <w:r>
      <w:fldChar w:fldCharType="begin"/>
    </w:r>
    <w:r>
      <w:instrText xml:space="preserve"> STYLEREF  标准文件_文件编号 \* MERGEFORMAT </w:instrText>
    </w:r>
    <w:r>
      <w:fldChar w:fldCharType="separate"/>
    </w:r>
    <w:r>
      <w:t>T/PPZL XXX--XXX</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8870D5">
    <w:pPr>
      <w:pStyle w:val="65"/>
      <w:rPr>
        <w:rFonts w:hint="eastAsia"/>
      </w:rPr>
    </w:pPr>
    <w:r>
      <w:fldChar w:fldCharType="begin"/>
    </w:r>
    <w:r>
      <w:instrText xml:space="preserve"> STYLEREF  标准文件_文件编号  \* MERGEFORMAT </w:instrText>
    </w:r>
    <w:r>
      <w:fldChar w:fldCharType="separate"/>
    </w:r>
    <w:r>
      <w:t>T/PPZL XXX--XXX</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0C4C3">
    <w:pPr>
      <w:pStyle w:val="66"/>
      <w:rPr>
        <w:rFonts w:hint="eastAsia"/>
      </w:rPr>
    </w:pPr>
    <w:r>
      <w:fldChar w:fldCharType="begin"/>
    </w:r>
    <w:r>
      <w:instrText xml:space="preserve"> STYLEREF  标准文件_文件编号 \* MERGEFORMAT </w:instrText>
    </w:r>
    <w:r>
      <w:fldChar w:fldCharType="separate"/>
    </w:r>
    <w:r>
      <w:t>T/PPZL 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9ADD46"/>
    <w:multiLevelType w:val="multilevel"/>
    <w:tmpl w:val="809ADD46"/>
    <w:lvl w:ilvl="0" w:tentative="0">
      <w:start w:val="1"/>
      <w:numFmt w:val="decimal"/>
      <w:pStyle w:val="236"/>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234"/>
      <w:suff w:val="nothing"/>
      <w:lvlText w:val="%1.%2　"/>
      <w:lvlJc w:val="left"/>
      <w:pPr>
        <w:ind w:left="0" w:firstLine="0"/>
      </w:pPr>
      <w:rPr>
        <w:rFonts w:hint="eastAsia" w:ascii="黑体" w:hAnsi="Times New Roman" w:eastAsia="黑体" w:cs="Times New Roman"/>
        <w:b w:val="0"/>
        <w:bCs w:val="0"/>
        <w:i w:val="0"/>
        <w:iCs w:val="0"/>
        <w:caps w:val="0"/>
        <w:strike w:val="0"/>
        <w:dstrike w:val="0"/>
        <w:vanish w:val="0"/>
        <w:spacing w:val="0"/>
        <w:kern w:val="0"/>
        <w:position w:val="0"/>
        <w:sz w:val="21"/>
        <w:szCs w:val="21"/>
        <w:u w:val="none"/>
        <w:vertAlign w:val="baseline"/>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
    <w:nsid w:val="02837933"/>
    <w:multiLevelType w:val="multilevel"/>
    <w:tmpl w:val="02837933"/>
    <w:lvl w:ilvl="0" w:tentative="0">
      <w:start w:val="1"/>
      <w:numFmt w:val="decimal"/>
      <w:pStyle w:val="68"/>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3"/>
      <w:suff w:val="nothing"/>
      <w:lvlText w:val="%1%2.%3　"/>
      <w:lvlJc w:val="left"/>
      <w:pPr>
        <w:ind w:left="0" w:firstLine="0"/>
      </w:pPr>
    </w:lvl>
    <w:lvl w:ilvl="3" w:tentative="0">
      <w:start w:val="1"/>
      <w:numFmt w:val="decimal"/>
      <w:pStyle w:val="122"/>
      <w:suff w:val="nothing"/>
      <w:lvlText w:val="%1%2.%3.%4　"/>
      <w:lvlJc w:val="left"/>
      <w:pPr>
        <w:ind w:left="0" w:firstLine="0"/>
      </w:pPr>
    </w:lvl>
    <w:lvl w:ilvl="4" w:tentative="0">
      <w:start w:val="1"/>
      <w:numFmt w:val="decimal"/>
      <w:pStyle w:val="157"/>
      <w:suff w:val="nothing"/>
      <w:lvlText w:val="%1%2.%3.%4.%5　"/>
      <w:lvlJc w:val="left"/>
      <w:pPr>
        <w:ind w:left="0" w:firstLine="0"/>
      </w:pPr>
    </w:lvl>
    <w:lvl w:ilvl="5" w:tentative="0">
      <w:start w:val="1"/>
      <w:numFmt w:val="decimal"/>
      <w:pStyle w:val="159"/>
      <w:suff w:val="nothing"/>
      <w:lvlText w:val="%1%2.%3.%4.%5.%6　"/>
      <w:lvlJc w:val="left"/>
      <w:pPr>
        <w:ind w:left="0" w:firstLine="0"/>
      </w:pPr>
    </w:lvl>
    <w:lvl w:ilvl="6" w:tentative="0">
      <w:start w:val="1"/>
      <w:numFmt w:val="decimal"/>
      <w:pStyle w:val="162"/>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4"/>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93"/>
      <w:lvlText w:val="%1"/>
      <w:lvlJc w:val="left"/>
      <w:pPr>
        <w:ind w:left="425" w:hanging="425"/>
      </w:pPr>
      <w:rPr>
        <w:rFonts w:hint="eastAsia"/>
      </w:rPr>
    </w:lvl>
    <w:lvl w:ilvl="1" w:tentative="0">
      <w:start w:val="1"/>
      <w:numFmt w:val="decimal"/>
      <w:pStyle w:val="204"/>
      <w:suff w:val="nothing"/>
      <w:lvlText w:val="%10.%2 "/>
      <w:lvlJc w:val="left"/>
      <w:pPr>
        <w:ind w:left="0" w:firstLine="0"/>
      </w:pPr>
      <w:rPr>
        <w:rFonts w:hint="eastAsia" w:ascii="黑体" w:eastAsia="黑体" w:hAnsiTheme="minorHAnsi"/>
        <w:b w:val="0"/>
        <w:i w:val="0"/>
        <w:sz w:val="21"/>
      </w:rPr>
    </w:lvl>
    <w:lvl w:ilvl="2" w:tentative="0">
      <w:start w:val="1"/>
      <w:numFmt w:val="decimal"/>
      <w:pStyle w:val="205"/>
      <w:suff w:val="nothing"/>
      <w:lvlText w:val="%10.%2.%3 "/>
      <w:lvlJc w:val="left"/>
      <w:pPr>
        <w:ind w:left="0" w:firstLine="0"/>
      </w:pPr>
      <w:rPr>
        <w:rFonts w:hint="eastAsia" w:ascii="黑体" w:eastAsia="黑体" w:hAnsiTheme="minorHAnsi"/>
        <w:b w:val="0"/>
        <w:i w:val="0"/>
        <w:sz w:val="21"/>
      </w:rPr>
    </w:lvl>
    <w:lvl w:ilvl="3" w:tentative="0">
      <w:start w:val="1"/>
      <w:numFmt w:val="decimal"/>
      <w:pStyle w:val="206"/>
      <w:suff w:val="nothing"/>
      <w:lvlText w:val="%10.%2.%3.%4 "/>
      <w:lvlJc w:val="left"/>
      <w:pPr>
        <w:ind w:left="0" w:firstLine="0"/>
      </w:pPr>
      <w:rPr>
        <w:rFonts w:hint="eastAsia" w:ascii="黑体" w:eastAsia="黑体" w:hAnsiTheme="minorHAnsi"/>
        <w:b w:val="0"/>
        <w:i w:val="0"/>
        <w:sz w:val="21"/>
      </w:rPr>
    </w:lvl>
    <w:lvl w:ilvl="4" w:tentative="0">
      <w:start w:val="1"/>
      <w:numFmt w:val="decimal"/>
      <w:pStyle w:val="207"/>
      <w:suff w:val="nothing"/>
      <w:lvlText w:val="%10.%2.%3.%4.%5 "/>
      <w:lvlJc w:val="left"/>
      <w:pPr>
        <w:ind w:left="0" w:firstLine="0"/>
      </w:pPr>
      <w:rPr>
        <w:rFonts w:hint="eastAsia" w:ascii="黑体" w:eastAsia="黑体" w:hAnsiTheme="minorHAnsi"/>
        <w:b w:val="0"/>
        <w:i w:val="0"/>
        <w:sz w:val="21"/>
      </w:rPr>
    </w:lvl>
    <w:lvl w:ilvl="5" w:tentative="0">
      <w:start w:val="1"/>
      <w:numFmt w:val="decimal"/>
      <w:pStyle w:val="208"/>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5"/>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71"/>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73"/>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4"/>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9"/>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6"/>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6"/>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1"/>
      <w:lvlText w:val=""/>
      <w:lvlJc w:val="left"/>
      <w:pPr>
        <w:ind w:left="851" w:hanging="431"/>
      </w:pPr>
      <w:rPr>
        <w:rFonts w:hint="default" w:ascii="Symbol" w:hAnsi="Symbol"/>
        <w:sz w:val="21"/>
      </w:rPr>
    </w:lvl>
    <w:lvl w:ilvl="2" w:tentative="0">
      <w:start w:val="1"/>
      <w:numFmt w:val="bullet"/>
      <w:pStyle w:val="176"/>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5"/>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8"/>
      <w:lvlText w:val="%1)"/>
      <w:lvlJc w:val="left"/>
      <w:pPr>
        <w:tabs>
          <w:tab w:val="left" w:pos="851"/>
        </w:tabs>
        <w:ind w:left="851" w:hanging="426"/>
      </w:pPr>
      <w:rPr>
        <w:rFonts w:hint="eastAsia" w:ascii="宋体" w:hAnsi="Times New Roman" w:eastAsia="宋体"/>
        <w:sz w:val="21"/>
      </w:rPr>
    </w:lvl>
    <w:lvl w:ilvl="1" w:tentative="0">
      <w:start w:val="1"/>
      <w:numFmt w:val="decimal"/>
      <w:pStyle w:val="113"/>
      <w:lvlText w:val="%2)"/>
      <w:lvlJc w:val="left"/>
      <w:pPr>
        <w:tabs>
          <w:tab w:val="left" w:pos="1276"/>
        </w:tabs>
        <w:ind w:left="1276" w:hanging="425"/>
      </w:pPr>
      <w:rPr>
        <w:rFonts w:hint="eastAsia" w:ascii="宋体" w:hAnsi="Times New Roman" w:eastAsia="宋体"/>
        <w:sz w:val="21"/>
      </w:rPr>
    </w:lvl>
    <w:lvl w:ilvl="2" w:tentative="0">
      <w:start w:val="1"/>
      <w:numFmt w:val="decimal"/>
      <w:pStyle w:val="121"/>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5087FB3"/>
    <w:multiLevelType w:val="multilevel"/>
    <w:tmpl w:val="45087FB3"/>
    <w:lvl w:ilvl="0" w:tentative="0">
      <w:start w:val="1"/>
      <w:numFmt w:val="bullet"/>
      <w:lvlText w:val=""/>
      <w:lvlJc w:val="left"/>
      <w:pPr>
        <w:ind w:left="860" w:hanging="440"/>
      </w:pPr>
      <w:rPr>
        <w:rFonts w:hint="default" w:ascii="Wingdings" w:hAnsi="Wingdings"/>
      </w:rPr>
    </w:lvl>
    <w:lvl w:ilvl="1" w:tentative="0">
      <w:start w:val="1"/>
      <w:numFmt w:val="bullet"/>
      <w:lvlText w:val=""/>
      <w:lvlJc w:val="left"/>
      <w:pPr>
        <w:ind w:left="1300" w:hanging="440"/>
      </w:pPr>
      <w:rPr>
        <w:rFonts w:hint="default" w:ascii="Wingdings" w:hAnsi="Wingdings"/>
      </w:rPr>
    </w:lvl>
    <w:lvl w:ilvl="2" w:tentative="0">
      <w:start w:val="1"/>
      <w:numFmt w:val="bullet"/>
      <w:lvlText w:val=""/>
      <w:lvlJc w:val="left"/>
      <w:pPr>
        <w:ind w:left="1740" w:hanging="440"/>
      </w:pPr>
      <w:rPr>
        <w:rFonts w:hint="default" w:ascii="Wingdings" w:hAnsi="Wingdings"/>
      </w:rPr>
    </w:lvl>
    <w:lvl w:ilvl="3" w:tentative="0">
      <w:start w:val="1"/>
      <w:numFmt w:val="bullet"/>
      <w:lvlText w:val=""/>
      <w:lvlJc w:val="left"/>
      <w:pPr>
        <w:ind w:left="2180" w:hanging="440"/>
      </w:pPr>
      <w:rPr>
        <w:rFonts w:hint="default" w:ascii="Wingdings" w:hAnsi="Wingdings"/>
      </w:rPr>
    </w:lvl>
    <w:lvl w:ilvl="4" w:tentative="0">
      <w:start w:val="1"/>
      <w:numFmt w:val="bullet"/>
      <w:lvlText w:val=""/>
      <w:lvlJc w:val="left"/>
      <w:pPr>
        <w:ind w:left="2620" w:hanging="440"/>
      </w:pPr>
      <w:rPr>
        <w:rFonts w:hint="default" w:ascii="Wingdings" w:hAnsi="Wingdings"/>
      </w:rPr>
    </w:lvl>
    <w:lvl w:ilvl="5" w:tentative="0">
      <w:start w:val="1"/>
      <w:numFmt w:val="bullet"/>
      <w:lvlText w:val=""/>
      <w:lvlJc w:val="left"/>
      <w:pPr>
        <w:ind w:left="3060" w:hanging="440"/>
      </w:pPr>
      <w:rPr>
        <w:rFonts w:hint="default" w:ascii="Wingdings" w:hAnsi="Wingdings"/>
      </w:rPr>
    </w:lvl>
    <w:lvl w:ilvl="6" w:tentative="0">
      <w:start w:val="1"/>
      <w:numFmt w:val="bullet"/>
      <w:lvlText w:val=""/>
      <w:lvlJc w:val="left"/>
      <w:pPr>
        <w:ind w:left="3500" w:hanging="440"/>
      </w:pPr>
      <w:rPr>
        <w:rFonts w:hint="default" w:ascii="Wingdings" w:hAnsi="Wingdings"/>
      </w:rPr>
    </w:lvl>
    <w:lvl w:ilvl="7" w:tentative="0">
      <w:start w:val="1"/>
      <w:numFmt w:val="bullet"/>
      <w:lvlText w:val=""/>
      <w:lvlJc w:val="left"/>
      <w:pPr>
        <w:ind w:left="3940" w:hanging="440"/>
      </w:pPr>
      <w:rPr>
        <w:rFonts w:hint="default" w:ascii="Wingdings" w:hAnsi="Wingdings"/>
      </w:rPr>
    </w:lvl>
    <w:lvl w:ilvl="8" w:tentative="0">
      <w:start w:val="1"/>
      <w:numFmt w:val="bullet"/>
      <w:lvlText w:val=""/>
      <w:lvlJc w:val="left"/>
      <w:pPr>
        <w:ind w:left="4380" w:hanging="440"/>
      </w:pPr>
      <w:rPr>
        <w:rFonts w:hint="default" w:ascii="Wingdings" w:hAnsi="Wingdings"/>
      </w:rPr>
    </w:lvl>
  </w:abstractNum>
  <w:abstractNum w:abstractNumId="15">
    <w:nsid w:val="48802D1C"/>
    <w:multiLevelType w:val="multilevel"/>
    <w:tmpl w:val="48802D1C"/>
    <w:lvl w:ilvl="0" w:tentative="0">
      <w:start w:val="1"/>
      <w:numFmt w:val="upperLetter"/>
      <w:pStyle w:val="202"/>
      <w:lvlText w:val="%1"/>
      <w:lvlJc w:val="left"/>
      <w:pPr>
        <w:ind w:left="420" w:hanging="420"/>
      </w:pPr>
      <w:rPr>
        <w:rFonts w:hint="eastAsia"/>
      </w:rPr>
    </w:lvl>
    <w:lvl w:ilvl="1" w:tentative="0">
      <w:start w:val="1"/>
      <w:numFmt w:val="decimal"/>
      <w:pStyle w:val="87"/>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4B733A5F"/>
    <w:multiLevelType w:val="multilevel"/>
    <w:tmpl w:val="4B733A5F"/>
    <w:lvl w:ilvl="0" w:tentative="0">
      <w:start w:val="1"/>
      <w:numFmt w:val="decimal"/>
      <w:pStyle w:val="187"/>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7">
    <w:nsid w:val="4E5D0534"/>
    <w:multiLevelType w:val="multilevel"/>
    <w:tmpl w:val="4E5D0534"/>
    <w:lvl w:ilvl="0" w:tentative="0">
      <w:start w:val="1"/>
      <w:numFmt w:val="decimal"/>
      <w:pStyle w:val="120"/>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4632751"/>
    <w:multiLevelType w:val="multilevel"/>
    <w:tmpl w:val="54632751"/>
    <w:lvl w:ilvl="0" w:tentative="0">
      <w:start w:val="1"/>
      <w:numFmt w:val="none"/>
      <w:pStyle w:val="97"/>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9">
    <w:nsid w:val="557C2AF5"/>
    <w:multiLevelType w:val="multilevel"/>
    <w:tmpl w:val="557C2AF5"/>
    <w:lvl w:ilvl="0" w:tentative="0">
      <w:start w:val="1"/>
      <w:numFmt w:val="decimal"/>
      <w:pStyle w:val="118"/>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0">
    <w:nsid w:val="5603797C"/>
    <w:multiLevelType w:val="multilevel"/>
    <w:tmpl w:val="5603797C"/>
    <w:lvl w:ilvl="0" w:tentative="0">
      <w:start w:val="1"/>
      <w:numFmt w:val="upperLetter"/>
      <w:pStyle w:val="203"/>
      <w:suff w:val="space"/>
      <w:lvlText w:val="%1"/>
      <w:lvlJc w:val="left"/>
      <w:pPr>
        <w:ind w:left="425" w:hanging="425"/>
      </w:pPr>
      <w:rPr>
        <w:rFonts w:hint="eastAsia"/>
      </w:rPr>
    </w:lvl>
    <w:lvl w:ilvl="1" w:tentative="0">
      <w:start w:val="1"/>
      <w:numFmt w:val="decimal"/>
      <w:pStyle w:val="81"/>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1">
    <w:nsid w:val="564D2089"/>
    <w:multiLevelType w:val="multilevel"/>
    <w:tmpl w:val="564D2089"/>
    <w:lvl w:ilvl="0" w:tentative="0">
      <w:start w:val="1"/>
      <w:numFmt w:val="none"/>
      <w:pStyle w:val="115"/>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644622F9"/>
    <w:multiLevelType w:val="multilevel"/>
    <w:tmpl w:val="644622F9"/>
    <w:lvl w:ilvl="0" w:tentative="0">
      <w:start w:val="1"/>
      <w:numFmt w:val="upp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3">
    <w:nsid w:val="646260FA"/>
    <w:multiLevelType w:val="multilevel"/>
    <w:tmpl w:val="646260FA"/>
    <w:lvl w:ilvl="0" w:tentative="0">
      <w:start w:val="1"/>
      <w:numFmt w:val="decimal"/>
      <w:pStyle w:val="116"/>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4">
    <w:nsid w:val="654A26C9"/>
    <w:multiLevelType w:val="multilevel"/>
    <w:tmpl w:val="654A26C9"/>
    <w:lvl w:ilvl="0" w:tentative="0">
      <w:start w:val="1"/>
      <w:numFmt w:val="none"/>
      <w:pStyle w:val="193"/>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5">
    <w:nsid w:val="657D3FBC"/>
    <w:multiLevelType w:val="multilevel"/>
    <w:tmpl w:val="657D3FBC"/>
    <w:lvl w:ilvl="0" w:tentative="0">
      <w:start w:val="1"/>
      <w:numFmt w:val="upperLetter"/>
      <w:pStyle w:val="80"/>
      <w:suff w:val="nothing"/>
      <w:lvlText w:val="附录%1"/>
      <w:lvlJc w:val="left"/>
      <w:pPr>
        <w:ind w:left="0" w:firstLine="0"/>
      </w:pPr>
      <w:rPr>
        <w:rFonts w:hint="eastAsia"/>
        <w:spacing w:val="100"/>
      </w:rPr>
    </w:lvl>
    <w:lvl w:ilvl="1" w:tentative="0">
      <w:start w:val="1"/>
      <w:numFmt w:val="decimal"/>
      <w:pStyle w:val="82"/>
      <w:suff w:val="nothing"/>
      <w:lvlText w:val="%1.%2　"/>
      <w:lvlJc w:val="left"/>
      <w:pPr>
        <w:ind w:left="0" w:firstLine="0"/>
      </w:pPr>
      <w:rPr>
        <w:rFonts w:hint="eastAsia" w:ascii="黑体" w:eastAsia="黑体"/>
        <w:b w:val="0"/>
        <w:i w:val="0"/>
        <w:sz w:val="21"/>
      </w:rPr>
    </w:lvl>
    <w:lvl w:ilvl="2" w:tentative="0">
      <w:start w:val="1"/>
      <w:numFmt w:val="decimal"/>
      <w:pStyle w:val="83"/>
      <w:suff w:val="nothing"/>
      <w:lvlText w:val="%1.%2.%3　"/>
      <w:lvlJc w:val="left"/>
      <w:pPr>
        <w:ind w:left="0" w:firstLine="0"/>
      </w:pPr>
      <w:rPr>
        <w:rFonts w:hint="eastAsia" w:ascii="黑体" w:eastAsia="黑体"/>
        <w:b w:val="0"/>
        <w:i w:val="0"/>
        <w:sz w:val="21"/>
      </w:rPr>
    </w:lvl>
    <w:lvl w:ilvl="3" w:tentative="0">
      <w:start w:val="1"/>
      <w:numFmt w:val="decimal"/>
      <w:pStyle w:val="85"/>
      <w:suff w:val="nothing"/>
      <w:lvlText w:val="%1.%2.%3.%4　"/>
      <w:lvlJc w:val="left"/>
      <w:pPr>
        <w:ind w:left="0" w:firstLine="0"/>
      </w:pPr>
      <w:rPr>
        <w:rFonts w:hint="eastAsia" w:ascii="黑体" w:eastAsia="黑体"/>
        <w:b w:val="0"/>
        <w:i w:val="0"/>
        <w:sz w:val="21"/>
      </w:rPr>
    </w:lvl>
    <w:lvl w:ilvl="4" w:tentative="0">
      <w:start w:val="1"/>
      <w:numFmt w:val="decimal"/>
      <w:pStyle w:val="86"/>
      <w:suff w:val="nothing"/>
      <w:lvlText w:val="%1.%2.%3.%4.%5　"/>
      <w:lvlJc w:val="left"/>
      <w:pPr>
        <w:ind w:left="0" w:firstLine="0"/>
      </w:pPr>
      <w:rPr>
        <w:rFonts w:hint="eastAsia" w:ascii="黑体" w:eastAsia="黑体"/>
        <w:b w:val="0"/>
        <w:i w:val="0"/>
        <w:sz w:val="21"/>
      </w:rPr>
    </w:lvl>
    <w:lvl w:ilvl="5" w:tentative="0">
      <w:start w:val="1"/>
      <w:numFmt w:val="decimal"/>
      <w:pStyle w:val="88"/>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6">
    <w:nsid w:val="69506ABF"/>
    <w:multiLevelType w:val="multilevel"/>
    <w:tmpl w:val="69506ABF"/>
    <w:lvl w:ilvl="0" w:tentative="0">
      <w:start w:val="1"/>
      <w:numFmt w:val="bullet"/>
      <w:pStyle w:val="192"/>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7">
    <w:nsid w:val="6CA41985"/>
    <w:multiLevelType w:val="multilevel"/>
    <w:tmpl w:val="6CA41985"/>
    <w:lvl w:ilvl="0" w:tentative="0">
      <w:start w:val="1"/>
      <w:numFmt w:val="decimal"/>
      <w:pStyle w:val="101"/>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6CE42AC1"/>
    <w:multiLevelType w:val="multilevel"/>
    <w:tmpl w:val="6CE42AC1"/>
    <w:lvl w:ilvl="0" w:tentative="0">
      <w:start w:val="1"/>
      <w:numFmt w:val="lowerLetter"/>
      <w:pStyle w:val="177"/>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9">
    <w:nsid w:val="6CEA2025"/>
    <w:multiLevelType w:val="multilevel"/>
    <w:tmpl w:val="6CEA2025"/>
    <w:lvl w:ilvl="0" w:tentative="0">
      <w:start w:val="1"/>
      <w:numFmt w:val="none"/>
      <w:pStyle w:val="156"/>
      <w:suff w:val="nothing"/>
      <w:lvlText w:val="%1"/>
      <w:lvlJc w:val="left"/>
      <w:pPr>
        <w:ind w:left="0" w:firstLine="0"/>
      </w:pPr>
      <w:rPr>
        <w:rFonts w:hint="eastAsia"/>
      </w:rPr>
    </w:lvl>
    <w:lvl w:ilvl="1" w:tentative="0">
      <w:start w:val="1"/>
      <w:numFmt w:val="decimal"/>
      <w:pStyle w:val="108"/>
      <w:suff w:val="nothing"/>
      <w:lvlText w:val="%1%2　"/>
      <w:lvlJc w:val="left"/>
      <w:pPr>
        <w:ind w:left="0" w:firstLine="0"/>
      </w:pPr>
      <w:rPr>
        <w:rFonts w:hint="eastAsia" w:ascii="黑体" w:eastAsia="黑体"/>
        <w:b w:val="0"/>
        <w:i w:val="0"/>
        <w:sz w:val="21"/>
      </w:rPr>
    </w:lvl>
    <w:lvl w:ilvl="2" w:tentative="0">
      <w:start w:val="1"/>
      <w:numFmt w:val="decimal"/>
      <w:pStyle w:val="109"/>
      <w:suff w:val="nothing"/>
      <w:lvlText w:val="%1%2.%3　"/>
      <w:lvlJc w:val="left"/>
      <w:pPr>
        <w:ind w:left="567"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9"/>
      <w:suff w:val="nothing"/>
      <w:lvlText w:val="%1%2.%3.%4　"/>
      <w:lvlJc w:val="left"/>
      <w:pPr>
        <w:ind w:left="0" w:firstLine="0"/>
      </w:pPr>
      <w:rPr>
        <w:rFonts w:hint="eastAsia" w:ascii="黑体" w:eastAsia="黑体"/>
        <w:b w:val="0"/>
        <w:i w:val="0"/>
        <w:sz w:val="21"/>
      </w:rPr>
    </w:lvl>
    <w:lvl w:ilvl="4" w:tentative="0">
      <w:start w:val="1"/>
      <w:numFmt w:val="decimal"/>
      <w:pStyle w:val="98"/>
      <w:suff w:val="nothing"/>
      <w:lvlText w:val="%1%2.%3.%4.%5　"/>
      <w:lvlJc w:val="left"/>
      <w:pPr>
        <w:ind w:left="0" w:firstLine="0"/>
      </w:pPr>
      <w:rPr>
        <w:rFonts w:hint="eastAsia" w:ascii="黑体" w:eastAsia="黑体"/>
        <w:b w:val="0"/>
        <w:i w:val="0"/>
        <w:sz w:val="21"/>
      </w:rPr>
    </w:lvl>
    <w:lvl w:ilvl="5" w:tentative="0">
      <w:start w:val="1"/>
      <w:numFmt w:val="decimal"/>
      <w:pStyle w:val="102"/>
      <w:suff w:val="nothing"/>
      <w:lvlText w:val="%1%2.%3.%4.%5.%6　"/>
      <w:lvlJc w:val="left"/>
      <w:pPr>
        <w:ind w:left="0" w:firstLine="0"/>
      </w:pPr>
      <w:rPr>
        <w:rFonts w:hint="eastAsia" w:ascii="黑体" w:eastAsia="黑体"/>
        <w:b w:val="0"/>
        <w:i w:val="0"/>
        <w:sz w:val="21"/>
      </w:rPr>
    </w:lvl>
    <w:lvl w:ilvl="6" w:tentative="0">
      <w:start w:val="1"/>
      <w:numFmt w:val="decimal"/>
      <w:pStyle w:val="107"/>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0">
    <w:nsid w:val="6DBF04F4"/>
    <w:multiLevelType w:val="multilevel"/>
    <w:tmpl w:val="6DBF04F4"/>
    <w:lvl w:ilvl="0" w:tentative="0">
      <w:start w:val="1"/>
      <w:numFmt w:val="none"/>
      <w:pStyle w:val="183"/>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1">
    <w:nsid w:val="6DF35F19"/>
    <w:multiLevelType w:val="multilevel"/>
    <w:tmpl w:val="6DF35F19"/>
    <w:lvl w:ilvl="0" w:tentative="0">
      <w:start w:val="1"/>
      <w:numFmt w:val="decimal"/>
      <w:pStyle w:val="119"/>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2">
    <w:nsid w:val="76933334"/>
    <w:multiLevelType w:val="multilevel"/>
    <w:tmpl w:val="76933334"/>
    <w:lvl w:ilvl="0" w:tentative="0">
      <w:start w:val="1"/>
      <w:numFmt w:val="none"/>
      <w:pStyle w:val="143"/>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9"/>
  </w:num>
  <w:num w:numId="3">
    <w:abstractNumId w:val="6"/>
  </w:num>
  <w:num w:numId="4">
    <w:abstractNumId w:val="25"/>
  </w:num>
  <w:num w:numId="5">
    <w:abstractNumId w:val="20"/>
  </w:num>
  <w:num w:numId="6">
    <w:abstractNumId w:val="15"/>
  </w:num>
  <w:num w:numId="7">
    <w:abstractNumId w:val="9"/>
  </w:num>
  <w:num w:numId="8">
    <w:abstractNumId w:val="4"/>
  </w:num>
  <w:num w:numId="9">
    <w:abstractNumId w:val="10"/>
  </w:num>
  <w:num w:numId="10">
    <w:abstractNumId w:val="18"/>
  </w:num>
  <w:num w:numId="11">
    <w:abstractNumId w:val="27"/>
  </w:num>
  <w:num w:numId="12">
    <w:abstractNumId w:val="12"/>
  </w:num>
  <w:num w:numId="13">
    <w:abstractNumId w:val="13"/>
  </w:num>
  <w:num w:numId="14">
    <w:abstractNumId w:val="8"/>
  </w:num>
  <w:num w:numId="15">
    <w:abstractNumId w:val="21"/>
  </w:num>
  <w:num w:numId="16">
    <w:abstractNumId w:val="23"/>
  </w:num>
  <w:num w:numId="17">
    <w:abstractNumId w:val="19"/>
  </w:num>
  <w:num w:numId="18">
    <w:abstractNumId w:val="31"/>
  </w:num>
  <w:num w:numId="19">
    <w:abstractNumId w:val="17"/>
  </w:num>
  <w:num w:numId="20">
    <w:abstractNumId w:val="2"/>
  </w:num>
  <w:num w:numId="21">
    <w:abstractNumId w:val="11"/>
  </w:num>
  <w:num w:numId="22">
    <w:abstractNumId w:val="32"/>
  </w:num>
  <w:num w:numId="23">
    <w:abstractNumId w:val="22"/>
  </w:num>
  <w:num w:numId="24">
    <w:abstractNumId w:val="7"/>
  </w:num>
  <w:num w:numId="25">
    <w:abstractNumId w:val="28"/>
  </w:num>
  <w:num w:numId="26">
    <w:abstractNumId w:val="30"/>
  </w:num>
  <w:num w:numId="27">
    <w:abstractNumId w:val="3"/>
  </w:num>
  <w:num w:numId="28">
    <w:abstractNumId w:val="5"/>
  </w:num>
  <w:num w:numId="29">
    <w:abstractNumId w:val="16"/>
  </w:num>
  <w:num w:numId="30">
    <w:abstractNumId w:val="26"/>
  </w:num>
  <w:num w:numId="31">
    <w:abstractNumId w:val="24"/>
  </w:num>
  <w:num w:numId="32">
    <w:abstractNumId w:val="0"/>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attachedTemplate r:id="rId1"/>
  <w:documentProtection w:edit="forms" w:enforcement="0"/>
  <w:defaultTabStop w:val="420"/>
  <w:evenAndOddHeaders w:val="1"/>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U3ZDBjNDMxODY3NzUyNzkwNDM5Y2Y4MDg0MjBhZGQifQ=="/>
  </w:docVars>
  <w:rsids>
    <w:rsidRoot w:val="00616F7B"/>
    <w:rsid w:val="0000040A"/>
    <w:rsid w:val="00000A94"/>
    <w:rsid w:val="00001972"/>
    <w:rsid w:val="00001D9A"/>
    <w:rsid w:val="00001E37"/>
    <w:rsid w:val="00007B3A"/>
    <w:rsid w:val="000107E0"/>
    <w:rsid w:val="00011FDE"/>
    <w:rsid w:val="00012FFD"/>
    <w:rsid w:val="00014162"/>
    <w:rsid w:val="00014340"/>
    <w:rsid w:val="00016A9C"/>
    <w:rsid w:val="00017D5C"/>
    <w:rsid w:val="00022184"/>
    <w:rsid w:val="00022762"/>
    <w:rsid w:val="000238E0"/>
    <w:rsid w:val="000249DB"/>
    <w:rsid w:val="0002595E"/>
    <w:rsid w:val="000303C3"/>
    <w:rsid w:val="00031345"/>
    <w:rsid w:val="000331D3"/>
    <w:rsid w:val="000346A5"/>
    <w:rsid w:val="000359C3"/>
    <w:rsid w:val="00035A7D"/>
    <w:rsid w:val="00035BFE"/>
    <w:rsid w:val="000365ED"/>
    <w:rsid w:val="000412B4"/>
    <w:rsid w:val="0004249A"/>
    <w:rsid w:val="00043282"/>
    <w:rsid w:val="00044286"/>
    <w:rsid w:val="00047F28"/>
    <w:rsid w:val="000503AA"/>
    <w:rsid w:val="000506A1"/>
    <w:rsid w:val="000515DD"/>
    <w:rsid w:val="0005265A"/>
    <w:rsid w:val="000539DD"/>
    <w:rsid w:val="00053BD3"/>
    <w:rsid w:val="00053DF2"/>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59ED"/>
    <w:rsid w:val="00086AA1"/>
    <w:rsid w:val="00087A77"/>
    <w:rsid w:val="00090CA6"/>
    <w:rsid w:val="00092B8A"/>
    <w:rsid w:val="00092F5A"/>
    <w:rsid w:val="00092FB0"/>
    <w:rsid w:val="000934C5"/>
    <w:rsid w:val="00093D25"/>
    <w:rsid w:val="00093DAB"/>
    <w:rsid w:val="00094D73"/>
    <w:rsid w:val="00096D63"/>
    <w:rsid w:val="000A0B60"/>
    <w:rsid w:val="000A0EB8"/>
    <w:rsid w:val="000A19FC"/>
    <w:rsid w:val="000A2016"/>
    <w:rsid w:val="000A222A"/>
    <w:rsid w:val="000A296B"/>
    <w:rsid w:val="000A41B1"/>
    <w:rsid w:val="000A7311"/>
    <w:rsid w:val="000B060F"/>
    <w:rsid w:val="000B1592"/>
    <w:rsid w:val="000B1FF2"/>
    <w:rsid w:val="000B2EFF"/>
    <w:rsid w:val="000B3CDA"/>
    <w:rsid w:val="000B6A0B"/>
    <w:rsid w:val="000C0F6C"/>
    <w:rsid w:val="000C11DB"/>
    <w:rsid w:val="000C1492"/>
    <w:rsid w:val="000C21B5"/>
    <w:rsid w:val="000C2FBD"/>
    <w:rsid w:val="000C4B41"/>
    <w:rsid w:val="000C57D6"/>
    <w:rsid w:val="000C6362"/>
    <w:rsid w:val="000C694D"/>
    <w:rsid w:val="000C7666"/>
    <w:rsid w:val="000C7756"/>
    <w:rsid w:val="000D05D4"/>
    <w:rsid w:val="000D0A9C"/>
    <w:rsid w:val="000D1795"/>
    <w:rsid w:val="000D216F"/>
    <w:rsid w:val="000D329A"/>
    <w:rsid w:val="000D472F"/>
    <w:rsid w:val="000D4B9C"/>
    <w:rsid w:val="000D4EB6"/>
    <w:rsid w:val="000D753B"/>
    <w:rsid w:val="000E1CC9"/>
    <w:rsid w:val="000E4C9E"/>
    <w:rsid w:val="000E6FD7"/>
    <w:rsid w:val="000F06E1"/>
    <w:rsid w:val="000F0E3C"/>
    <w:rsid w:val="000F19D5"/>
    <w:rsid w:val="000F4050"/>
    <w:rsid w:val="000F4AEA"/>
    <w:rsid w:val="000F5888"/>
    <w:rsid w:val="000F67E9"/>
    <w:rsid w:val="001041E2"/>
    <w:rsid w:val="00104926"/>
    <w:rsid w:val="0010585E"/>
    <w:rsid w:val="00110C02"/>
    <w:rsid w:val="0011280D"/>
    <w:rsid w:val="00113B1E"/>
    <w:rsid w:val="0011711C"/>
    <w:rsid w:val="00123DEA"/>
    <w:rsid w:val="00124E4F"/>
    <w:rsid w:val="001260B7"/>
    <w:rsid w:val="001265CB"/>
    <w:rsid w:val="001321C6"/>
    <w:rsid w:val="001325C4"/>
    <w:rsid w:val="00133010"/>
    <w:rsid w:val="001338EE"/>
    <w:rsid w:val="00133AAE"/>
    <w:rsid w:val="00135323"/>
    <w:rsid w:val="001356C4"/>
    <w:rsid w:val="001362F5"/>
    <w:rsid w:val="00136BD6"/>
    <w:rsid w:val="00137565"/>
    <w:rsid w:val="00141114"/>
    <w:rsid w:val="00141163"/>
    <w:rsid w:val="00142969"/>
    <w:rsid w:val="001446C2"/>
    <w:rsid w:val="001457E7"/>
    <w:rsid w:val="00145D9D"/>
    <w:rsid w:val="00146388"/>
    <w:rsid w:val="001479FC"/>
    <w:rsid w:val="001529E5"/>
    <w:rsid w:val="00152FB3"/>
    <w:rsid w:val="00153C7E"/>
    <w:rsid w:val="0015429C"/>
    <w:rsid w:val="00156B25"/>
    <w:rsid w:val="00156E1A"/>
    <w:rsid w:val="00157894"/>
    <w:rsid w:val="00157B55"/>
    <w:rsid w:val="001642FA"/>
    <w:rsid w:val="001649EB"/>
    <w:rsid w:val="00164BAF"/>
    <w:rsid w:val="00164FA8"/>
    <w:rsid w:val="00165065"/>
    <w:rsid w:val="00165434"/>
    <w:rsid w:val="0016580B"/>
    <w:rsid w:val="00165F49"/>
    <w:rsid w:val="001668DD"/>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97B63"/>
    <w:rsid w:val="001A1A53"/>
    <w:rsid w:val="001A234A"/>
    <w:rsid w:val="001A2711"/>
    <w:rsid w:val="001A292C"/>
    <w:rsid w:val="001A2ECE"/>
    <w:rsid w:val="001A4CF3"/>
    <w:rsid w:val="001A6696"/>
    <w:rsid w:val="001B06E8"/>
    <w:rsid w:val="001B0AFA"/>
    <w:rsid w:val="001B13FB"/>
    <w:rsid w:val="001B71D0"/>
    <w:rsid w:val="001B71EE"/>
    <w:rsid w:val="001C04A8"/>
    <w:rsid w:val="001C2C03"/>
    <w:rsid w:val="001C42F7"/>
    <w:rsid w:val="001C49E5"/>
    <w:rsid w:val="001C680C"/>
    <w:rsid w:val="001C7DEA"/>
    <w:rsid w:val="001C7FEA"/>
    <w:rsid w:val="001D0499"/>
    <w:rsid w:val="001D0BBE"/>
    <w:rsid w:val="001D0ED4"/>
    <w:rsid w:val="001D212F"/>
    <w:rsid w:val="001D29D7"/>
    <w:rsid w:val="001D2DE7"/>
    <w:rsid w:val="001D411C"/>
    <w:rsid w:val="001E1B6A"/>
    <w:rsid w:val="001E2484"/>
    <w:rsid w:val="001E3CC4"/>
    <w:rsid w:val="001E4882"/>
    <w:rsid w:val="001E6D3B"/>
    <w:rsid w:val="001E73AB"/>
    <w:rsid w:val="001F092D"/>
    <w:rsid w:val="001F143A"/>
    <w:rsid w:val="001F1605"/>
    <w:rsid w:val="001F2508"/>
    <w:rsid w:val="001F4456"/>
    <w:rsid w:val="001F4816"/>
    <w:rsid w:val="001F69B4"/>
    <w:rsid w:val="001F77C7"/>
    <w:rsid w:val="00200183"/>
    <w:rsid w:val="00200333"/>
    <w:rsid w:val="0020107D"/>
    <w:rsid w:val="00201413"/>
    <w:rsid w:val="00202AA4"/>
    <w:rsid w:val="002031F7"/>
    <w:rsid w:val="002040E6"/>
    <w:rsid w:val="0020527B"/>
    <w:rsid w:val="00205292"/>
    <w:rsid w:val="00205F2C"/>
    <w:rsid w:val="00207AC9"/>
    <w:rsid w:val="00210B15"/>
    <w:rsid w:val="002136DA"/>
    <w:rsid w:val="002142EA"/>
    <w:rsid w:val="002150A7"/>
    <w:rsid w:val="00215ADD"/>
    <w:rsid w:val="002204BB"/>
    <w:rsid w:val="002213B9"/>
    <w:rsid w:val="00221B79"/>
    <w:rsid w:val="00221C6B"/>
    <w:rsid w:val="00224BEA"/>
    <w:rsid w:val="002253A1"/>
    <w:rsid w:val="00225CF8"/>
    <w:rsid w:val="002270A1"/>
    <w:rsid w:val="0022794E"/>
    <w:rsid w:val="00233D64"/>
    <w:rsid w:val="00234305"/>
    <w:rsid w:val="0023482A"/>
    <w:rsid w:val="002359CB"/>
    <w:rsid w:val="00243540"/>
    <w:rsid w:val="0024497B"/>
    <w:rsid w:val="0024515B"/>
    <w:rsid w:val="00245AEA"/>
    <w:rsid w:val="00246021"/>
    <w:rsid w:val="002462B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751BD"/>
    <w:rsid w:val="00276CB1"/>
    <w:rsid w:val="00277E26"/>
    <w:rsid w:val="00281BB8"/>
    <w:rsid w:val="00281E9E"/>
    <w:rsid w:val="00282405"/>
    <w:rsid w:val="00285170"/>
    <w:rsid w:val="00285361"/>
    <w:rsid w:val="00292D60"/>
    <w:rsid w:val="00293B30"/>
    <w:rsid w:val="00294D34"/>
    <w:rsid w:val="00294E3B"/>
    <w:rsid w:val="00296193"/>
    <w:rsid w:val="00296C66"/>
    <w:rsid w:val="00296EBE"/>
    <w:rsid w:val="002974E3"/>
    <w:rsid w:val="00297B2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4609"/>
    <w:rsid w:val="002B5779"/>
    <w:rsid w:val="002B5A41"/>
    <w:rsid w:val="002B6521"/>
    <w:rsid w:val="002B7332"/>
    <w:rsid w:val="002B7F51"/>
    <w:rsid w:val="002C09E7"/>
    <w:rsid w:val="002C1DC6"/>
    <w:rsid w:val="002C1E06"/>
    <w:rsid w:val="002C3F07"/>
    <w:rsid w:val="002C5278"/>
    <w:rsid w:val="002C7EBB"/>
    <w:rsid w:val="002D06C1"/>
    <w:rsid w:val="002D2BD1"/>
    <w:rsid w:val="002D2C5A"/>
    <w:rsid w:val="002D42B5"/>
    <w:rsid w:val="002D4F1A"/>
    <w:rsid w:val="002D6EC6"/>
    <w:rsid w:val="002D79AC"/>
    <w:rsid w:val="002E039D"/>
    <w:rsid w:val="002E3972"/>
    <w:rsid w:val="002E4D5A"/>
    <w:rsid w:val="002E6326"/>
    <w:rsid w:val="002F30E0"/>
    <w:rsid w:val="002F35E4"/>
    <w:rsid w:val="002F3730"/>
    <w:rsid w:val="002F38E1"/>
    <w:rsid w:val="002F67B4"/>
    <w:rsid w:val="002F792C"/>
    <w:rsid w:val="002F7AF6"/>
    <w:rsid w:val="00300E63"/>
    <w:rsid w:val="00302F5F"/>
    <w:rsid w:val="0030441D"/>
    <w:rsid w:val="00306063"/>
    <w:rsid w:val="00312529"/>
    <w:rsid w:val="00313B85"/>
    <w:rsid w:val="0031428B"/>
    <w:rsid w:val="00317988"/>
    <w:rsid w:val="00320EA4"/>
    <w:rsid w:val="003221B4"/>
    <w:rsid w:val="0032258D"/>
    <w:rsid w:val="00322E62"/>
    <w:rsid w:val="00324D13"/>
    <w:rsid w:val="00324EDD"/>
    <w:rsid w:val="00324F26"/>
    <w:rsid w:val="003331E4"/>
    <w:rsid w:val="00336C64"/>
    <w:rsid w:val="00337162"/>
    <w:rsid w:val="00337794"/>
    <w:rsid w:val="0034194F"/>
    <w:rsid w:val="00344605"/>
    <w:rsid w:val="00346077"/>
    <w:rsid w:val="003474AA"/>
    <w:rsid w:val="00350D1D"/>
    <w:rsid w:val="00352C83"/>
    <w:rsid w:val="00352F1A"/>
    <w:rsid w:val="00352FE6"/>
    <w:rsid w:val="0035553C"/>
    <w:rsid w:val="0036107C"/>
    <w:rsid w:val="003615D2"/>
    <w:rsid w:val="0036429C"/>
    <w:rsid w:val="00364A53"/>
    <w:rsid w:val="003654CB"/>
    <w:rsid w:val="00365AA9"/>
    <w:rsid w:val="00365F86"/>
    <w:rsid w:val="00365F87"/>
    <w:rsid w:val="00366E89"/>
    <w:rsid w:val="003705F4"/>
    <w:rsid w:val="00370D58"/>
    <w:rsid w:val="00371316"/>
    <w:rsid w:val="00371553"/>
    <w:rsid w:val="00372B2C"/>
    <w:rsid w:val="003764A9"/>
    <w:rsid w:val="0037660E"/>
    <w:rsid w:val="00376713"/>
    <w:rsid w:val="00381815"/>
    <w:rsid w:val="003819AF"/>
    <w:rsid w:val="003820E9"/>
    <w:rsid w:val="00382DE7"/>
    <w:rsid w:val="00382E85"/>
    <w:rsid w:val="00384FFC"/>
    <w:rsid w:val="003872FC"/>
    <w:rsid w:val="00387ADC"/>
    <w:rsid w:val="00390020"/>
    <w:rsid w:val="003903D6"/>
    <w:rsid w:val="00390EE6"/>
    <w:rsid w:val="0039118F"/>
    <w:rsid w:val="00392AD7"/>
    <w:rsid w:val="003938D9"/>
    <w:rsid w:val="00394376"/>
    <w:rsid w:val="003943FF"/>
    <w:rsid w:val="003974EB"/>
    <w:rsid w:val="00397CC5"/>
    <w:rsid w:val="003A1582"/>
    <w:rsid w:val="003A3D9C"/>
    <w:rsid w:val="003A4077"/>
    <w:rsid w:val="003A4AA7"/>
    <w:rsid w:val="003A600E"/>
    <w:rsid w:val="003B09AD"/>
    <w:rsid w:val="003B1D86"/>
    <w:rsid w:val="003B1F18"/>
    <w:rsid w:val="003B5BF0"/>
    <w:rsid w:val="003B60BF"/>
    <w:rsid w:val="003B6BE3"/>
    <w:rsid w:val="003B73FC"/>
    <w:rsid w:val="003C010C"/>
    <w:rsid w:val="003C0A6C"/>
    <w:rsid w:val="003C14F8"/>
    <w:rsid w:val="003C2446"/>
    <w:rsid w:val="003C36DA"/>
    <w:rsid w:val="003C4F12"/>
    <w:rsid w:val="003C5A43"/>
    <w:rsid w:val="003C73A5"/>
    <w:rsid w:val="003D0519"/>
    <w:rsid w:val="003D0FF6"/>
    <w:rsid w:val="003D262C"/>
    <w:rsid w:val="003D6D61"/>
    <w:rsid w:val="003E091D"/>
    <w:rsid w:val="003E0B1F"/>
    <w:rsid w:val="003E1C53"/>
    <w:rsid w:val="003E2A69"/>
    <w:rsid w:val="003E2D49"/>
    <w:rsid w:val="003E2FD4"/>
    <w:rsid w:val="003E49F6"/>
    <w:rsid w:val="003E660F"/>
    <w:rsid w:val="003F0841"/>
    <w:rsid w:val="003F23D3"/>
    <w:rsid w:val="003F3F08"/>
    <w:rsid w:val="003F49F1"/>
    <w:rsid w:val="003F6272"/>
    <w:rsid w:val="003F66D4"/>
    <w:rsid w:val="00400E72"/>
    <w:rsid w:val="00401400"/>
    <w:rsid w:val="00403CBA"/>
    <w:rsid w:val="00404869"/>
    <w:rsid w:val="00405884"/>
    <w:rsid w:val="004074E7"/>
    <w:rsid w:val="00407D39"/>
    <w:rsid w:val="0041477A"/>
    <w:rsid w:val="00415BD0"/>
    <w:rsid w:val="004167A3"/>
    <w:rsid w:val="00430B40"/>
    <w:rsid w:val="00432DAA"/>
    <w:rsid w:val="00434305"/>
    <w:rsid w:val="00435DF7"/>
    <w:rsid w:val="0044083F"/>
    <w:rsid w:val="00441AE7"/>
    <w:rsid w:val="004430A4"/>
    <w:rsid w:val="0044527D"/>
    <w:rsid w:val="00445574"/>
    <w:rsid w:val="004467FB"/>
    <w:rsid w:val="00450AFA"/>
    <w:rsid w:val="00452D6B"/>
    <w:rsid w:val="00454484"/>
    <w:rsid w:val="0045517B"/>
    <w:rsid w:val="00455F5D"/>
    <w:rsid w:val="00463B77"/>
    <w:rsid w:val="00463C7B"/>
    <w:rsid w:val="004644A6"/>
    <w:rsid w:val="004659BD"/>
    <w:rsid w:val="004702E7"/>
    <w:rsid w:val="00470775"/>
    <w:rsid w:val="00472E62"/>
    <w:rsid w:val="00473378"/>
    <w:rsid w:val="00474297"/>
    <w:rsid w:val="004746B1"/>
    <w:rsid w:val="0047583F"/>
    <w:rsid w:val="00475DE8"/>
    <w:rsid w:val="00481556"/>
    <w:rsid w:val="00481C44"/>
    <w:rsid w:val="00483DFE"/>
    <w:rsid w:val="00484936"/>
    <w:rsid w:val="00485C89"/>
    <w:rsid w:val="00485FE4"/>
    <w:rsid w:val="00486BE3"/>
    <w:rsid w:val="004904C6"/>
    <w:rsid w:val="004905E4"/>
    <w:rsid w:val="00490A89"/>
    <w:rsid w:val="00490AB4"/>
    <w:rsid w:val="00491DE1"/>
    <w:rsid w:val="00492F02"/>
    <w:rsid w:val="004939AE"/>
    <w:rsid w:val="004A01DF"/>
    <w:rsid w:val="004A0DC2"/>
    <w:rsid w:val="004A12DF"/>
    <w:rsid w:val="004A1BA8"/>
    <w:rsid w:val="004A2692"/>
    <w:rsid w:val="004A4B57"/>
    <w:rsid w:val="004A63FA"/>
    <w:rsid w:val="004A6A3D"/>
    <w:rsid w:val="004A76A2"/>
    <w:rsid w:val="004B0272"/>
    <w:rsid w:val="004B1D61"/>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3466"/>
    <w:rsid w:val="004D4406"/>
    <w:rsid w:val="004D7C42"/>
    <w:rsid w:val="004E0465"/>
    <w:rsid w:val="004E127B"/>
    <w:rsid w:val="004E1C0A"/>
    <w:rsid w:val="004E2381"/>
    <w:rsid w:val="004E30C5"/>
    <w:rsid w:val="004E4AA5"/>
    <w:rsid w:val="004E4AEE"/>
    <w:rsid w:val="004E4CB9"/>
    <w:rsid w:val="004E509B"/>
    <w:rsid w:val="004E59E3"/>
    <w:rsid w:val="004E67C0"/>
    <w:rsid w:val="004F391A"/>
    <w:rsid w:val="004F3CFB"/>
    <w:rsid w:val="004F6456"/>
    <w:rsid w:val="004F696E"/>
    <w:rsid w:val="004F6C71"/>
    <w:rsid w:val="00501139"/>
    <w:rsid w:val="0050363E"/>
    <w:rsid w:val="005039BC"/>
    <w:rsid w:val="005043BB"/>
    <w:rsid w:val="00504A3D"/>
    <w:rsid w:val="00505358"/>
    <w:rsid w:val="00505767"/>
    <w:rsid w:val="005069DF"/>
    <w:rsid w:val="005073F0"/>
    <w:rsid w:val="00510A7B"/>
    <w:rsid w:val="00512F6E"/>
    <w:rsid w:val="00513038"/>
    <w:rsid w:val="00514174"/>
    <w:rsid w:val="00516088"/>
    <w:rsid w:val="00516B0B"/>
    <w:rsid w:val="005220EC"/>
    <w:rsid w:val="00523485"/>
    <w:rsid w:val="00523F95"/>
    <w:rsid w:val="00524D65"/>
    <w:rsid w:val="0052554F"/>
    <w:rsid w:val="00525B16"/>
    <w:rsid w:val="00533D04"/>
    <w:rsid w:val="00534804"/>
    <w:rsid w:val="00534BDF"/>
    <w:rsid w:val="005354EA"/>
    <w:rsid w:val="0053585F"/>
    <w:rsid w:val="00535EC4"/>
    <w:rsid w:val="00535ED9"/>
    <w:rsid w:val="0053692B"/>
    <w:rsid w:val="005374B1"/>
    <w:rsid w:val="00541853"/>
    <w:rsid w:val="00543BDA"/>
    <w:rsid w:val="005441CC"/>
    <w:rsid w:val="005479DA"/>
    <w:rsid w:val="00547BCC"/>
    <w:rsid w:val="0055013B"/>
    <w:rsid w:val="00551F6F"/>
    <w:rsid w:val="00554294"/>
    <w:rsid w:val="00555044"/>
    <w:rsid w:val="00561475"/>
    <w:rsid w:val="00562308"/>
    <w:rsid w:val="0056487B"/>
    <w:rsid w:val="00564FB9"/>
    <w:rsid w:val="00573D9E"/>
    <w:rsid w:val="005801E3"/>
    <w:rsid w:val="00581802"/>
    <w:rsid w:val="005827A9"/>
    <w:rsid w:val="005836A8"/>
    <w:rsid w:val="0058409C"/>
    <w:rsid w:val="00584262"/>
    <w:rsid w:val="00586630"/>
    <w:rsid w:val="005876DB"/>
    <w:rsid w:val="00587ADD"/>
    <w:rsid w:val="00590EF4"/>
    <w:rsid w:val="00593A49"/>
    <w:rsid w:val="00596160"/>
    <w:rsid w:val="005966E2"/>
    <w:rsid w:val="00597007"/>
    <w:rsid w:val="005A0966"/>
    <w:rsid w:val="005A11B7"/>
    <w:rsid w:val="005A24CA"/>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4333"/>
    <w:rsid w:val="005D6A95"/>
    <w:rsid w:val="005D6B2C"/>
    <w:rsid w:val="005D6D9C"/>
    <w:rsid w:val="005E2335"/>
    <w:rsid w:val="005E34CA"/>
    <w:rsid w:val="005E3C18"/>
    <w:rsid w:val="005E4250"/>
    <w:rsid w:val="005E6812"/>
    <w:rsid w:val="005E698E"/>
    <w:rsid w:val="005E7881"/>
    <w:rsid w:val="005E78E0"/>
    <w:rsid w:val="005F0D9C"/>
    <w:rsid w:val="005F284E"/>
    <w:rsid w:val="005F530B"/>
    <w:rsid w:val="006015CE"/>
    <w:rsid w:val="00604784"/>
    <w:rsid w:val="00606419"/>
    <w:rsid w:val="00607D29"/>
    <w:rsid w:val="00612952"/>
    <w:rsid w:val="00614CC1"/>
    <w:rsid w:val="00615A9D"/>
    <w:rsid w:val="00616F7B"/>
    <w:rsid w:val="00617387"/>
    <w:rsid w:val="006205D6"/>
    <w:rsid w:val="006252D8"/>
    <w:rsid w:val="006259BC"/>
    <w:rsid w:val="0062636B"/>
    <w:rsid w:val="00627554"/>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03D"/>
    <w:rsid w:val="00656D29"/>
    <w:rsid w:val="006575AF"/>
    <w:rsid w:val="006640E5"/>
    <w:rsid w:val="006646F1"/>
    <w:rsid w:val="00664929"/>
    <w:rsid w:val="00664F62"/>
    <w:rsid w:val="006655E1"/>
    <w:rsid w:val="00672060"/>
    <w:rsid w:val="00672BFD"/>
    <w:rsid w:val="0067609D"/>
    <w:rsid w:val="006770F4"/>
    <w:rsid w:val="00677A84"/>
    <w:rsid w:val="0068026D"/>
    <w:rsid w:val="00680A27"/>
    <w:rsid w:val="006816A4"/>
    <w:rsid w:val="006819B8"/>
    <w:rsid w:val="00682639"/>
    <w:rsid w:val="006840A6"/>
    <w:rsid w:val="006850CD"/>
    <w:rsid w:val="00685AAB"/>
    <w:rsid w:val="00697F3B"/>
    <w:rsid w:val="006A07AA"/>
    <w:rsid w:val="006A25E5"/>
    <w:rsid w:val="006A2B46"/>
    <w:rsid w:val="006A336D"/>
    <w:rsid w:val="006A37B9"/>
    <w:rsid w:val="006B032F"/>
    <w:rsid w:val="006B2672"/>
    <w:rsid w:val="006B54BF"/>
    <w:rsid w:val="006B5F44"/>
    <w:rsid w:val="006B5F90"/>
    <w:rsid w:val="006B62E4"/>
    <w:rsid w:val="006C1BBA"/>
    <w:rsid w:val="006C2079"/>
    <w:rsid w:val="006C4EE0"/>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6505"/>
    <w:rsid w:val="00707669"/>
    <w:rsid w:val="00711CBA"/>
    <w:rsid w:val="00711FB5"/>
    <w:rsid w:val="00712A01"/>
    <w:rsid w:val="007144D8"/>
    <w:rsid w:val="00714F58"/>
    <w:rsid w:val="00722FBF"/>
    <w:rsid w:val="00722FC2"/>
    <w:rsid w:val="007249D6"/>
    <w:rsid w:val="00724E1B"/>
    <w:rsid w:val="00725949"/>
    <w:rsid w:val="00727FA2"/>
    <w:rsid w:val="007322D9"/>
    <w:rsid w:val="00732BC0"/>
    <w:rsid w:val="0073720F"/>
    <w:rsid w:val="00737796"/>
    <w:rsid w:val="0074165C"/>
    <w:rsid w:val="00742C35"/>
    <w:rsid w:val="007432CA"/>
    <w:rsid w:val="007439EB"/>
    <w:rsid w:val="00743CB4"/>
    <w:rsid w:val="00743EBE"/>
    <w:rsid w:val="00743F0A"/>
    <w:rsid w:val="007444E8"/>
    <w:rsid w:val="0074548E"/>
    <w:rsid w:val="00745773"/>
    <w:rsid w:val="00746800"/>
    <w:rsid w:val="007501A8"/>
    <w:rsid w:val="00750D61"/>
    <w:rsid w:val="00750EE1"/>
    <w:rsid w:val="00752B4D"/>
    <w:rsid w:val="00755402"/>
    <w:rsid w:val="00756B26"/>
    <w:rsid w:val="00756D5A"/>
    <w:rsid w:val="00756EDF"/>
    <w:rsid w:val="007600E3"/>
    <w:rsid w:val="00765C43"/>
    <w:rsid w:val="00765EFB"/>
    <w:rsid w:val="007671CA"/>
    <w:rsid w:val="00767C61"/>
    <w:rsid w:val="00767E46"/>
    <w:rsid w:val="0077008A"/>
    <w:rsid w:val="00773502"/>
    <w:rsid w:val="00773C1F"/>
    <w:rsid w:val="007744BF"/>
    <w:rsid w:val="00774DA4"/>
    <w:rsid w:val="00776599"/>
    <w:rsid w:val="0078114B"/>
    <w:rsid w:val="00781DD2"/>
    <w:rsid w:val="00783ECF"/>
    <w:rsid w:val="0078413A"/>
    <w:rsid w:val="00784BE6"/>
    <w:rsid w:val="00787737"/>
    <w:rsid w:val="007959E8"/>
    <w:rsid w:val="00795E9C"/>
    <w:rsid w:val="007A0521"/>
    <w:rsid w:val="007A24B3"/>
    <w:rsid w:val="007A2AA8"/>
    <w:rsid w:val="007A2E12"/>
    <w:rsid w:val="007A3475"/>
    <w:rsid w:val="007A41C8"/>
    <w:rsid w:val="007A54CE"/>
    <w:rsid w:val="007A6FD9"/>
    <w:rsid w:val="007A7FFA"/>
    <w:rsid w:val="007B04EB"/>
    <w:rsid w:val="007B0D4F"/>
    <w:rsid w:val="007B348E"/>
    <w:rsid w:val="007B5A3D"/>
    <w:rsid w:val="007B5B95"/>
    <w:rsid w:val="007B5DC5"/>
    <w:rsid w:val="007B6032"/>
    <w:rsid w:val="007B68EA"/>
    <w:rsid w:val="007B7453"/>
    <w:rsid w:val="007C2D89"/>
    <w:rsid w:val="007C4593"/>
    <w:rsid w:val="007C490A"/>
    <w:rsid w:val="007C5309"/>
    <w:rsid w:val="007C538C"/>
    <w:rsid w:val="007C6069"/>
    <w:rsid w:val="007D06C4"/>
    <w:rsid w:val="007D1352"/>
    <w:rsid w:val="007D1905"/>
    <w:rsid w:val="007D2508"/>
    <w:rsid w:val="007D346A"/>
    <w:rsid w:val="007D41AB"/>
    <w:rsid w:val="007D6518"/>
    <w:rsid w:val="007D6F03"/>
    <w:rsid w:val="007D76BD"/>
    <w:rsid w:val="007D7EA4"/>
    <w:rsid w:val="007E0BF1"/>
    <w:rsid w:val="007E1F00"/>
    <w:rsid w:val="007E2EB7"/>
    <w:rsid w:val="007F0ED8"/>
    <w:rsid w:val="007F0F63"/>
    <w:rsid w:val="007F75CE"/>
    <w:rsid w:val="007F7720"/>
    <w:rsid w:val="007F7D38"/>
    <w:rsid w:val="008013A4"/>
    <w:rsid w:val="00801426"/>
    <w:rsid w:val="008027CE"/>
    <w:rsid w:val="00802F42"/>
    <w:rsid w:val="00803093"/>
    <w:rsid w:val="00804383"/>
    <w:rsid w:val="00804BB7"/>
    <w:rsid w:val="00804D41"/>
    <w:rsid w:val="00810257"/>
    <w:rsid w:val="008104F5"/>
    <w:rsid w:val="00811072"/>
    <w:rsid w:val="00811369"/>
    <w:rsid w:val="00815419"/>
    <w:rsid w:val="008163C8"/>
    <w:rsid w:val="008164A1"/>
    <w:rsid w:val="00817325"/>
    <w:rsid w:val="008209E6"/>
    <w:rsid w:val="00823303"/>
    <w:rsid w:val="008233B2"/>
    <w:rsid w:val="00823A9F"/>
    <w:rsid w:val="00823C85"/>
    <w:rsid w:val="00825138"/>
    <w:rsid w:val="008269DD"/>
    <w:rsid w:val="00830621"/>
    <w:rsid w:val="0083348C"/>
    <w:rsid w:val="008373D3"/>
    <w:rsid w:val="00840617"/>
    <w:rsid w:val="00840F84"/>
    <w:rsid w:val="00842A47"/>
    <w:rsid w:val="00843C13"/>
    <w:rsid w:val="008454F8"/>
    <w:rsid w:val="00846476"/>
    <w:rsid w:val="0085173A"/>
    <w:rsid w:val="008603CE"/>
    <w:rsid w:val="008620FC"/>
    <w:rsid w:val="008627A5"/>
    <w:rsid w:val="00863E05"/>
    <w:rsid w:val="00865ACA"/>
    <w:rsid w:val="00865D28"/>
    <w:rsid w:val="00865F85"/>
    <w:rsid w:val="00867C10"/>
    <w:rsid w:val="00870439"/>
    <w:rsid w:val="00870DA1"/>
    <w:rsid w:val="0087148B"/>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4269"/>
    <w:rsid w:val="008A57E6"/>
    <w:rsid w:val="008A5CFC"/>
    <w:rsid w:val="008A6F81"/>
    <w:rsid w:val="008A769A"/>
    <w:rsid w:val="008B0C9C"/>
    <w:rsid w:val="008B166D"/>
    <w:rsid w:val="008B17F4"/>
    <w:rsid w:val="008B3615"/>
    <w:rsid w:val="008B4A64"/>
    <w:rsid w:val="008B4AC4"/>
    <w:rsid w:val="008B50C8"/>
    <w:rsid w:val="008B5281"/>
    <w:rsid w:val="008B7135"/>
    <w:rsid w:val="008B7E05"/>
    <w:rsid w:val="008C1797"/>
    <w:rsid w:val="008C219C"/>
    <w:rsid w:val="008C475E"/>
    <w:rsid w:val="008C619A"/>
    <w:rsid w:val="008C6575"/>
    <w:rsid w:val="008D0CE8"/>
    <w:rsid w:val="008D2D1D"/>
    <w:rsid w:val="008D453D"/>
    <w:rsid w:val="008D4D5C"/>
    <w:rsid w:val="008D53AD"/>
    <w:rsid w:val="008D562B"/>
    <w:rsid w:val="008D5733"/>
    <w:rsid w:val="008D622B"/>
    <w:rsid w:val="008D666C"/>
    <w:rsid w:val="008D7B54"/>
    <w:rsid w:val="008E0C9D"/>
    <w:rsid w:val="008E1648"/>
    <w:rsid w:val="008E1B3E"/>
    <w:rsid w:val="008E2319"/>
    <w:rsid w:val="008E4BB6"/>
    <w:rsid w:val="008E54B1"/>
    <w:rsid w:val="008E5518"/>
    <w:rsid w:val="008E6A84"/>
    <w:rsid w:val="008F0CDC"/>
    <w:rsid w:val="008F17A3"/>
    <w:rsid w:val="008F1ED3"/>
    <w:rsid w:val="008F4C29"/>
    <w:rsid w:val="008F70BD"/>
    <w:rsid w:val="008F788F"/>
    <w:rsid w:val="008F7EA2"/>
    <w:rsid w:val="0090084C"/>
    <w:rsid w:val="00902722"/>
    <w:rsid w:val="009027BC"/>
    <w:rsid w:val="009032A3"/>
    <w:rsid w:val="009062E6"/>
    <w:rsid w:val="00911BE5"/>
    <w:rsid w:val="00913CA9"/>
    <w:rsid w:val="009145AE"/>
    <w:rsid w:val="009146CE"/>
    <w:rsid w:val="00914CA7"/>
    <w:rsid w:val="00915C3E"/>
    <w:rsid w:val="009161A8"/>
    <w:rsid w:val="00916F7D"/>
    <w:rsid w:val="009245AE"/>
    <w:rsid w:val="009245F5"/>
    <w:rsid w:val="009249EC"/>
    <w:rsid w:val="009273B3"/>
    <w:rsid w:val="009305B5"/>
    <w:rsid w:val="009378DD"/>
    <w:rsid w:val="009429D5"/>
    <w:rsid w:val="00942BF1"/>
    <w:rsid w:val="00945180"/>
    <w:rsid w:val="00945428"/>
    <w:rsid w:val="0094607B"/>
    <w:rsid w:val="00953604"/>
    <w:rsid w:val="00953803"/>
    <w:rsid w:val="0095496B"/>
    <w:rsid w:val="00955EDA"/>
    <w:rsid w:val="00960F1E"/>
    <w:rsid w:val="009610DC"/>
    <w:rsid w:val="00961490"/>
    <w:rsid w:val="0096381A"/>
    <w:rsid w:val="009640AB"/>
    <w:rsid w:val="00965E04"/>
    <w:rsid w:val="009674AD"/>
    <w:rsid w:val="00970CDC"/>
    <w:rsid w:val="00975727"/>
    <w:rsid w:val="00977010"/>
    <w:rsid w:val="00977D02"/>
    <w:rsid w:val="00977FF9"/>
    <w:rsid w:val="009809BB"/>
    <w:rsid w:val="00982015"/>
    <w:rsid w:val="0098364B"/>
    <w:rsid w:val="009908A3"/>
    <w:rsid w:val="009911AF"/>
    <w:rsid w:val="00991875"/>
    <w:rsid w:val="00991F92"/>
    <w:rsid w:val="00992985"/>
    <w:rsid w:val="00992B6A"/>
    <w:rsid w:val="00993889"/>
    <w:rsid w:val="0099551B"/>
    <w:rsid w:val="00996BD2"/>
    <w:rsid w:val="00997BF1"/>
    <w:rsid w:val="009A089C"/>
    <w:rsid w:val="009A118E"/>
    <w:rsid w:val="009A21CD"/>
    <w:rsid w:val="009A278C"/>
    <w:rsid w:val="009A2BC2"/>
    <w:rsid w:val="009A3CA1"/>
    <w:rsid w:val="009A40E1"/>
    <w:rsid w:val="009A42C1"/>
    <w:rsid w:val="009A5429"/>
    <w:rsid w:val="009A72AD"/>
    <w:rsid w:val="009B09E0"/>
    <w:rsid w:val="009B0BC5"/>
    <w:rsid w:val="009B1247"/>
    <w:rsid w:val="009B3DB7"/>
    <w:rsid w:val="009B6029"/>
    <w:rsid w:val="009B6971"/>
    <w:rsid w:val="009B769D"/>
    <w:rsid w:val="009C27F1"/>
    <w:rsid w:val="009C3152"/>
    <w:rsid w:val="009C3257"/>
    <w:rsid w:val="009C4CFA"/>
    <w:rsid w:val="009C5070"/>
    <w:rsid w:val="009D112C"/>
    <w:rsid w:val="009D1385"/>
    <w:rsid w:val="009D47FA"/>
    <w:rsid w:val="009D4C5B"/>
    <w:rsid w:val="009D50D2"/>
    <w:rsid w:val="009D6BCA"/>
    <w:rsid w:val="009D6D3F"/>
    <w:rsid w:val="009D7C23"/>
    <w:rsid w:val="009E0F62"/>
    <w:rsid w:val="009E2B83"/>
    <w:rsid w:val="009E3D69"/>
    <w:rsid w:val="009E4A58"/>
    <w:rsid w:val="009E5A2D"/>
    <w:rsid w:val="009E5AB2"/>
    <w:rsid w:val="009E6219"/>
    <w:rsid w:val="009F03B3"/>
    <w:rsid w:val="009F23F8"/>
    <w:rsid w:val="00A005DA"/>
    <w:rsid w:val="00A0096C"/>
    <w:rsid w:val="00A01757"/>
    <w:rsid w:val="00A028C0"/>
    <w:rsid w:val="00A02BAE"/>
    <w:rsid w:val="00A030DC"/>
    <w:rsid w:val="00A031ED"/>
    <w:rsid w:val="00A03CFC"/>
    <w:rsid w:val="00A06A6B"/>
    <w:rsid w:val="00A07E47"/>
    <w:rsid w:val="00A129D0"/>
    <w:rsid w:val="00A12C33"/>
    <w:rsid w:val="00A138BA"/>
    <w:rsid w:val="00A14C8E"/>
    <w:rsid w:val="00A153D9"/>
    <w:rsid w:val="00A15F09"/>
    <w:rsid w:val="00A169B6"/>
    <w:rsid w:val="00A2271D"/>
    <w:rsid w:val="00A237D5"/>
    <w:rsid w:val="00A23B75"/>
    <w:rsid w:val="00A245F9"/>
    <w:rsid w:val="00A301A6"/>
    <w:rsid w:val="00A30EFC"/>
    <w:rsid w:val="00A31984"/>
    <w:rsid w:val="00A32D73"/>
    <w:rsid w:val="00A3367B"/>
    <w:rsid w:val="00A35650"/>
    <w:rsid w:val="00A3597D"/>
    <w:rsid w:val="00A36DD1"/>
    <w:rsid w:val="00A4006C"/>
    <w:rsid w:val="00A40091"/>
    <w:rsid w:val="00A4030F"/>
    <w:rsid w:val="00A41C79"/>
    <w:rsid w:val="00A41CB5"/>
    <w:rsid w:val="00A4291F"/>
    <w:rsid w:val="00A42CDF"/>
    <w:rsid w:val="00A4452E"/>
    <w:rsid w:val="00A4472C"/>
    <w:rsid w:val="00A44E69"/>
    <w:rsid w:val="00A4661E"/>
    <w:rsid w:val="00A475FA"/>
    <w:rsid w:val="00A55BD6"/>
    <w:rsid w:val="00A55CBD"/>
    <w:rsid w:val="00A55D50"/>
    <w:rsid w:val="00A57142"/>
    <w:rsid w:val="00A648CD"/>
    <w:rsid w:val="00A6537A"/>
    <w:rsid w:val="00A67866"/>
    <w:rsid w:val="00A70B07"/>
    <w:rsid w:val="00A723F8"/>
    <w:rsid w:val="00A77CCB"/>
    <w:rsid w:val="00A83D8D"/>
    <w:rsid w:val="00A8446B"/>
    <w:rsid w:val="00A8473F"/>
    <w:rsid w:val="00A847C3"/>
    <w:rsid w:val="00A862D6"/>
    <w:rsid w:val="00A8715E"/>
    <w:rsid w:val="00A9295B"/>
    <w:rsid w:val="00A93B09"/>
    <w:rsid w:val="00A94F50"/>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546"/>
    <w:rsid w:val="00AE37E5"/>
    <w:rsid w:val="00AE3BE8"/>
    <w:rsid w:val="00AE5EB4"/>
    <w:rsid w:val="00AF0C18"/>
    <w:rsid w:val="00AF42EA"/>
    <w:rsid w:val="00AF47C5"/>
    <w:rsid w:val="00AF5398"/>
    <w:rsid w:val="00B049AF"/>
    <w:rsid w:val="00B07242"/>
    <w:rsid w:val="00B10534"/>
    <w:rsid w:val="00B113DB"/>
    <w:rsid w:val="00B11D8A"/>
    <w:rsid w:val="00B12981"/>
    <w:rsid w:val="00B147DD"/>
    <w:rsid w:val="00B156FD"/>
    <w:rsid w:val="00B165C6"/>
    <w:rsid w:val="00B167D8"/>
    <w:rsid w:val="00B21F61"/>
    <w:rsid w:val="00B261F1"/>
    <w:rsid w:val="00B265BC"/>
    <w:rsid w:val="00B27D0D"/>
    <w:rsid w:val="00B31FB1"/>
    <w:rsid w:val="00B33952"/>
    <w:rsid w:val="00B33C5E"/>
    <w:rsid w:val="00B342F4"/>
    <w:rsid w:val="00B34369"/>
    <w:rsid w:val="00B34DC2"/>
    <w:rsid w:val="00B37526"/>
    <w:rsid w:val="00B378E5"/>
    <w:rsid w:val="00B4346D"/>
    <w:rsid w:val="00B440F4"/>
    <w:rsid w:val="00B447A5"/>
    <w:rsid w:val="00B4654C"/>
    <w:rsid w:val="00B47293"/>
    <w:rsid w:val="00B50E50"/>
    <w:rsid w:val="00B51D84"/>
    <w:rsid w:val="00B52120"/>
    <w:rsid w:val="00B54ABC"/>
    <w:rsid w:val="00B55C3B"/>
    <w:rsid w:val="00B56FBE"/>
    <w:rsid w:val="00B60ACF"/>
    <w:rsid w:val="00B62B58"/>
    <w:rsid w:val="00B65149"/>
    <w:rsid w:val="00B66567"/>
    <w:rsid w:val="00B66F52"/>
    <w:rsid w:val="00B66FE5"/>
    <w:rsid w:val="00B67BEE"/>
    <w:rsid w:val="00B72880"/>
    <w:rsid w:val="00B758BF"/>
    <w:rsid w:val="00B77EC8"/>
    <w:rsid w:val="00B827A6"/>
    <w:rsid w:val="00B831CE"/>
    <w:rsid w:val="00B86677"/>
    <w:rsid w:val="00B86BB8"/>
    <w:rsid w:val="00B87131"/>
    <w:rsid w:val="00B87BB6"/>
    <w:rsid w:val="00B939B1"/>
    <w:rsid w:val="00B96D40"/>
    <w:rsid w:val="00B97386"/>
    <w:rsid w:val="00BA263B"/>
    <w:rsid w:val="00BA42B2"/>
    <w:rsid w:val="00BA49E5"/>
    <w:rsid w:val="00BA58D4"/>
    <w:rsid w:val="00BA5B9E"/>
    <w:rsid w:val="00BA7C9A"/>
    <w:rsid w:val="00BB5F8F"/>
    <w:rsid w:val="00BB657A"/>
    <w:rsid w:val="00BC1A4E"/>
    <w:rsid w:val="00BC5DC7"/>
    <w:rsid w:val="00BC6B8B"/>
    <w:rsid w:val="00BC73D8"/>
    <w:rsid w:val="00BD1DEB"/>
    <w:rsid w:val="00BD45ED"/>
    <w:rsid w:val="00BD52D7"/>
    <w:rsid w:val="00BD5AD2"/>
    <w:rsid w:val="00BD73F9"/>
    <w:rsid w:val="00BE22F3"/>
    <w:rsid w:val="00BE5B52"/>
    <w:rsid w:val="00BE7B8D"/>
    <w:rsid w:val="00BF0993"/>
    <w:rsid w:val="00BF10A9"/>
    <w:rsid w:val="00BF1703"/>
    <w:rsid w:val="00BF231C"/>
    <w:rsid w:val="00BF4468"/>
    <w:rsid w:val="00BF51E5"/>
    <w:rsid w:val="00BF74A6"/>
    <w:rsid w:val="00C013AD"/>
    <w:rsid w:val="00C04904"/>
    <w:rsid w:val="00C056B3"/>
    <w:rsid w:val="00C103E5"/>
    <w:rsid w:val="00C13319"/>
    <w:rsid w:val="00C13EE9"/>
    <w:rsid w:val="00C17272"/>
    <w:rsid w:val="00C208BC"/>
    <w:rsid w:val="00C21540"/>
    <w:rsid w:val="00C21906"/>
    <w:rsid w:val="00C21BFA"/>
    <w:rsid w:val="00C24C8D"/>
    <w:rsid w:val="00C25FE2"/>
    <w:rsid w:val="00C26B53"/>
    <w:rsid w:val="00C279B2"/>
    <w:rsid w:val="00C31D3D"/>
    <w:rsid w:val="00C33AE5"/>
    <w:rsid w:val="00C33E50"/>
    <w:rsid w:val="00C34C20"/>
    <w:rsid w:val="00C35793"/>
    <w:rsid w:val="00C35A3E"/>
    <w:rsid w:val="00C42130"/>
    <w:rsid w:val="00C423A4"/>
    <w:rsid w:val="00C423E3"/>
    <w:rsid w:val="00C44BF5"/>
    <w:rsid w:val="00C51943"/>
    <w:rsid w:val="00C521D6"/>
    <w:rsid w:val="00C55232"/>
    <w:rsid w:val="00C553A4"/>
    <w:rsid w:val="00C55A06"/>
    <w:rsid w:val="00C55D03"/>
    <w:rsid w:val="00C56506"/>
    <w:rsid w:val="00C601BC"/>
    <w:rsid w:val="00C62569"/>
    <w:rsid w:val="00C6329F"/>
    <w:rsid w:val="00C63340"/>
    <w:rsid w:val="00C643F9"/>
    <w:rsid w:val="00C6481E"/>
    <w:rsid w:val="00C64E95"/>
    <w:rsid w:val="00C6760E"/>
    <w:rsid w:val="00C71372"/>
    <w:rsid w:val="00C71EB3"/>
    <w:rsid w:val="00C72410"/>
    <w:rsid w:val="00C7287F"/>
    <w:rsid w:val="00C74E43"/>
    <w:rsid w:val="00C80851"/>
    <w:rsid w:val="00C80CB8"/>
    <w:rsid w:val="00C819F8"/>
    <w:rsid w:val="00C8248C"/>
    <w:rsid w:val="00C84E33"/>
    <w:rsid w:val="00C86D6F"/>
    <w:rsid w:val="00C87CDC"/>
    <w:rsid w:val="00C905FC"/>
    <w:rsid w:val="00C92D03"/>
    <w:rsid w:val="00C9319C"/>
    <w:rsid w:val="00C9435D"/>
    <w:rsid w:val="00C94DF2"/>
    <w:rsid w:val="00C95C60"/>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0FB0"/>
    <w:rsid w:val="00CD2410"/>
    <w:rsid w:val="00CD2808"/>
    <w:rsid w:val="00CD28BF"/>
    <w:rsid w:val="00CD4092"/>
    <w:rsid w:val="00CD4A20"/>
    <w:rsid w:val="00CD50A1"/>
    <w:rsid w:val="00CD519E"/>
    <w:rsid w:val="00CD787A"/>
    <w:rsid w:val="00CE0C4F"/>
    <w:rsid w:val="00CE30EA"/>
    <w:rsid w:val="00CE349A"/>
    <w:rsid w:val="00CE6EB7"/>
    <w:rsid w:val="00CF048A"/>
    <w:rsid w:val="00CF155A"/>
    <w:rsid w:val="00CF2947"/>
    <w:rsid w:val="00CF4D3B"/>
    <w:rsid w:val="00CF686F"/>
    <w:rsid w:val="00CF6E60"/>
    <w:rsid w:val="00CF7BCA"/>
    <w:rsid w:val="00D008FD"/>
    <w:rsid w:val="00D017E7"/>
    <w:rsid w:val="00D01CE8"/>
    <w:rsid w:val="00D0321C"/>
    <w:rsid w:val="00D035EC"/>
    <w:rsid w:val="00D06AB1"/>
    <w:rsid w:val="00D06FC1"/>
    <w:rsid w:val="00D072ED"/>
    <w:rsid w:val="00D07A16"/>
    <w:rsid w:val="00D1067E"/>
    <w:rsid w:val="00D10F50"/>
    <w:rsid w:val="00D11272"/>
    <w:rsid w:val="00D126F5"/>
    <w:rsid w:val="00D1489E"/>
    <w:rsid w:val="00D20737"/>
    <w:rsid w:val="00D20BB9"/>
    <w:rsid w:val="00D20C5F"/>
    <w:rsid w:val="00D21E81"/>
    <w:rsid w:val="00D223DE"/>
    <w:rsid w:val="00D25E37"/>
    <w:rsid w:val="00D2661A"/>
    <w:rsid w:val="00D27582"/>
    <w:rsid w:val="00D27EC4"/>
    <w:rsid w:val="00D32719"/>
    <w:rsid w:val="00D33333"/>
    <w:rsid w:val="00D352A2"/>
    <w:rsid w:val="00D4162B"/>
    <w:rsid w:val="00D439F1"/>
    <w:rsid w:val="00D4514F"/>
    <w:rsid w:val="00D451E2"/>
    <w:rsid w:val="00D45E89"/>
    <w:rsid w:val="00D45E8D"/>
    <w:rsid w:val="00D466AE"/>
    <w:rsid w:val="00D4734F"/>
    <w:rsid w:val="00D51BF3"/>
    <w:rsid w:val="00D66846"/>
    <w:rsid w:val="00D675FB"/>
    <w:rsid w:val="00D71F25"/>
    <w:rsid w:val="00D72A9C"/>
    <w:rsid w:val="00D744FA"/>
    <w:rsid w:val="00D77031"/>
    <w:rsid w:val="00D84941"/>
    <w:rsid w:val="00D84FA1"/>
    <w:rsid w:val="00D851F0"/>
    <w:rsid w:val="00D86DB7"/>
    <w:rsid w:val="00D87BF5"/>
    <w:rsid w:val="00D90721"/>
    <w:rsid w:val="00D926D0"/>
    <w:rsid w:val="00D93030"/>
    <w:rsid w:val="00D9362D"/>
    <w:rsid w:val="00D950E1"/>
    <w:rsid w:val="00D952A6"/>
    <w:rsid w:val="00D97F99"/>
    <w:rsid w:val="00DA1E08"/>
    <w:rsid w:val="00DA24F8"/>
    <w:rsid w:val="00DA28E8"/>
    <w:rsid w:val="00DA2F85"/>
    <w:rsid w:val="00DA38D3"/>
    <w:rsid w:val="00DA3932"/>
    <w:rsid w:val="00DA3AFC"/>
    <w:rsid w:val="00DA3CDD"/>
    <w:rsid w:val="00DA5299"/>
    <w:rsid w:val="00DA6272"/>
    <w:rsid w:val="00DA64F8"/>
    <w:rsid w:val="00DA6C15"/>
    <w:rsid w:val="00DA75EE"/>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5E60"/>
    <w:rsid w:val="00DD6BCC"/>
    <w:rsid w:val="00DD726F"/>
    <w:rsid w:val="00DE0A4B"/>
    <w:rsid w:val="00DE2410"/>
    <w:rsid w:val="00DE2939"/>
    <w:rsid w:val="00DE308C"/>
    <w:rsid w:val="00DE6E81"/>
    <w:rsid w:val="00DE703F"/>
    <w:rsid w:val="00DE7595"/>
    <w:rsid w:val="00DE78AD"/>
    <w:rsid w:val="00DF1961"/>
    <w:rsid w:val="00DF29F3"/>
    <w:rsid w:val="00DF44DE"/>
    <w:rsid w:val="00DF75E5"/>
    <w:rsid w:val="00E01138"/>
    <w:rsid w:val="00E02DFB"/>
    <w:rsid w:val="00E030F9"/>
    <w:rsid w:val="00E0311A"/>
    <w:rsid w:val="00E03138"/>
    <w:rsid w:val="00E053F0"/>
    <w:rsid w:val="00E056FC"/>
    <w:rsid w:val="00E06404"/>
    <w:rsid w:val="00E06988"/>
    <w:rsid w:val="00E105C7"/>
    <w:rsid w:val="00E11A85"/>
    <w:rsid w:val="00E12495"/>
    <w:rsid w:val="00E15CCD"/>
    <w:rsid w:val="00E15E72"/>
    <w:rsid w:val="00E202EF"/>
    <w:rsid w:val="00E210B5"/>
    <w:rsid w:val="00E2270A"/>
    <w:rsid w:val="00E244E1"/>
    <w:rsid w:val="00E2552F"/>
    <w:rsid w:val="00E3137A"/>
    <w:rsid w:val="00E32CCF"/>
    <w:rsid w:val="00E34A98"/>
    <w:rsid w:val="00E351B9"/>
    <w:rsid w:val="00E35D1E"/>
    <w:rsid w:val="00E364F9"/>
    <w:rsid w:val="00E365FA"/>
    <w:rsid w:val="00E36789"/>
    <w:rsid w:val="00E44A83"/>
    <w:rsid w:val="00E502C1"/>
    <w:rsid w:val="00E502DD"/>
    <w:rsid w:val="00E50D3A"/>
    <w:rsid w:val="00E51387"/>
    <w:rsid w:val="00E51E68"/>
    <w:rsid w:val="00E52EFD"/>
    <w:rsid w:val="00E5408A"/>
    <w:rsid w:val="00E56800"/>
    <w:rsid w:val="00E570E3"/>
    <w:rsid w:val="00E60C63"/>
    <w:rsid w:val="00E62FF9"/>
    <w:rsid w:val="00E635D6"/>
    <w:rsid w:val="00E639BC"/>
    <w:rsid w:val="00E664CC"/>
    <w:rsid w:val="00E66686"/>
    <w:rsid w:val="00E70388"/>
    <w:rsid w:val="00E70F92"/>
    <w:rsid w:val="00E7173E"/>
    <w:rsid w:val="00E74313"/>
    <w:rsid w:val="00E74C54"/>
    <w:rsid w:val="00E77A03"/>
    <w:rsid w:val="00E80F2C"/>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358C"/>
    <w:rsid w:val="00EA3D38"/>
    <w:rsid w:val="00EA58D1"/>
    <w:rsid w:val="00EA61BC"/>
    <w:rsid w:val="00EA681A"/>
    <w:rsid w:val="00EA735B"/>
    <w:rsid w:val="00EA7500"/>
    <w:rsid w:val="00EB1E69"/>
    <w:rsid w:val="00EB2086"/>
    <w:rsid w:val="00EB31ED"/>
    <w:rsid w:val="00EB4993"/>
    <w:rsid w:val="00EB5DD0"/>
    <w:rsid w:val="00EB5EDF"/>
    <w:rsid w:val="00EB60FE"/>
    <w:rsid w:val="00EB74DB"/>
    <w:rsid w:val="00EC0BF8"/>
    <w:rsid w:val="00EC337E"/>
    <w:rsid w:val="00EC5201"/>
    <w:rsid w:val="00EC5359"/>
    <w:rsid w:val="00EC562A"/>
    <w:rsid w:val="00EC7CEC"/>
    <w:rsid w:val="00ED067A"/>
    <w:rsid w:val="00ED2B50"/>
    <w:rsid w:val="00EE0350"/>
    <w:rsid w:val="00EE0719"/>
    <w:rsid w:val="00EE0E80"/>
    <w:rsid w:val="00EE0EC1"/>
    <w:rsid w:val="00EE1434"/>
    <w:rsid w:val="00EE4FD1"/>
    <w:rsid w:val="00EE613F"/>
    <w:rsid w:val="00EE7295"/>
    <w:rsid w:val="00EE7869"/>
    <w:rsid w:val="00EF054A"/>
    <w:rsid w:val="00EF3235"/>
    <w:rsid w:val="00EF761D"/>
    <w:rsid w:val="00EF7E72"/>
    <w:rsid w:val="00F02852"/>
    <w:rsid w:val="00F06D37"/>
    <w:rsid w:val="00F07B9D"/>
    <w:rsid w:val="00F11586"/>
    <w:rsid w:val="00F1183B"/>
    <w:rsid w:val="00F11C9F"/>
    <w:rsid w:val="00F12263"/>
    <w:rsid w:val="00F1409D"/>
    <w:rsid w:val="00F14214"/>
    <w:rsid w:val="00F157A9"/>
    <w:rsid w:val="00F16F00"/>
    <w:rsid w:val="00F17F67"/>
    <w:rsid w:val="00F25BB6"/>
    <w:rsid w:val="00F26B7E"/>
    <w:rsid w:val="00F27A3B"/>
    <w:rsid w:val="00F27B74"/>
    <w:rsid w:val="00F32DB5"/>
    <w:rsid w:val="00F33817"/>
    <w:rsid w:val="00F420D5"/>
    <w:rsid w:val="00F451EA"/>
    <w:rsid w:val="00F45447"/>
    <w:rsid w:val="00F456C6"/>
    <w:rsid w:val="00F4577B"/>
    <w:rsid w:val="00F46496"/>
    <w:rsid w:val="00F474D0"/>
    <w:rsid w:val="00F476C0"/>
    <w:rsid w:val="00F50179"/>
    <w:rsid w:val="00F515EE"/>
    <w:rsid w:val="00F56511"/>
    <w:rsid w:val="00F6194E"/>
    <w:rsid w:val="00F623AC"/>
    <w:rsid w:val="00F624D1"/>
    <w:rsid w:val="00F6412A"/>
    <w:rsid w:val="00F64AC0"/>
    <w:rsid w:val="00F65893"/>
    <w:rsid w:val="00F66A4A"/>
    <w:rsid w:val="00F71E22"/>
    <w:rsid w:val="00F72142"/>
    <w:rsid w:val="00F72AE7"/>
    <w:rsid w:val="00F72F48"/>
    <w:rsid w:val="00F833BA"/>
    <w:rsid w:val="00F83D35"/>
    <w:rsid w:val="00F84FD0"/>
    <w:rsid w:val="00F859A8"/>
    <w:rsid w:val="00F86D87"/>
    <w:rsid w:val="00F9108B"/>
    <w:rsid w:val="00F91349"/>
    <w:rsid w:val="00F93A8A"/>
    <w:rsid w:val="00F95248"/>
    <w:rsid w:val="00F956A9"/>
    <w:rsid w:val="00F963ED"/>
    <w:rsid w:val="00F966CF"/>
    <w:rsid w:val="00F96CAE"/>
    <w:rsid w:val="00F97C99"/>
    <w:rsid w:val="00FA313E"/>
    <w:rsid w:val="00FA4805"/>
    <w:rsid w:val="00FA659D"/>
    <w:rsid w:val="00FA662D"/>
    <w:rsid w:val="00FA73B1"/>
    <w:rsid w:val="00FB0CB9"/>
    <w:rsid w:val="00FB188A"/>
    <w:rsid w:val="00FB231D"/>
    <w:rsid w:val="00FB45F1"/>
    <w:rsid w:val="00FB4A72"/>
    <w:rsid w:val="00FB54E8"/>
    <w:rsid w:val="00FB7054"/>
    <w:rsid w:val="00FC17B7"/>
    <w:rsid w:val="00FC29FB"/>
    <w:rsid w:val="00FC2CB7"/>
    <w:rsid w:val="00FC4090"/>
    <w:rsid w:val="00FC55B4"/>
    <w:rsid w:val="00FC6F0E"/>
    <w:rsid w:val="00FC7CDF"/>
    <w:rsid w:val="00FC7E67"/>
    <w:rsid w:val="00FD00E6"/>
    <w:rsid w:val="00FD09A1"/>
    <w:rsid w:val="00FD2A7C"/>
    <w:rsid w:val="00FD59EB"/>
    <w:rsid w:val="00FD7299"/>
    <w:rsid w:val="00FE08E3"/>
    <w:rsid w:val="00FE1FBE"/>
    <w:rsid w:val="00FE3901"/>
    <w:rsid w:val="00FE39D3"/>
    <w:rsid w:val="00FE497E"/>
    <w:rsid w:val="00FE4BCE"/>
    <w:rsid w:val="00FE54AE"/>
    <w:rsid w:val="00FE576A"/>
    <w:rsid w:val="00FE7E79"/>
    <w:rsid w:val="00FF1334"/>
    <w:rsid w:val="00FF2972"/>
    <w:rsid w:val="00FF2BD1"/>
    <w:rsid w:val="00FF3E7D"/>
    <w:rsid w:val="00FF5B99"/>
    <w:rsid w:val="00FF730C"/>
    <w:rsid w:val="00FF73F4"/>
    <w:rsid w:val="00FF7CE4"/>
    <w:rsid w:val="00FF7E39"/>
    <w:rsid w:val="01B04C8B"/>
    <w:rsid w:val="01B15FDD"/>
    <w:rsid w:val="034A0620"/>
    <w:rsid w:val="035C5045"/>
    <w:rsid w:val="059B038E"/>
    <w:rsid w:val="063127B9"/>
    <w:rsid w:val="07666493"/>
    <w:rsid w:val="07C86003"/>
    <w:rsid w:val="08347D04"/>
    <w:rsid w:val="085A163D"/>
    <w:rsid w:val="08A10848"/>
    <w:rsid w:val="091F73DA"/>
    <w:rsid w:val="0948751A"/>
    <w:rsid w:val="0A8A493B"/>
    <w:rsid w:val="0B0F2A4F"/>
    <w:rsid w:val="0C2B574A"/>
    <w:rsid w:val="0CE560AB"/>
    <w:rsid w:val="0E3F31B6"/>
    <w:rsid w:val="0E82202C"/>
    <w:rsid w:val="0FF24307"/>
    <w:rsid w:val="10262C63"/>
    <w:rsid w:val="11966404"/>
    <w:rsid w:val="11A62C53"/>
    <w:rsid w:val="11E757AA"/>
    <w:rsid w:val="130235EA"/>
    <w:rsid w:val="139A199E"/>
    <w:rsid w:val="1456488F"/>
    <w:rsid w:val="147C72F5"/>
    <w:rsid w:val="149B5DFD"/>
    <w:rsid w:val="156B0294"/>
    <w:rsid w:val="157E2F34"/>
    <w:rsid w:val="15847BD2"/>
    <w:rsid w:val="16026BD5"/>
    <w:rsid w:val="17D17958"/>
    <w:rsid w:val="19D84FCE"/>
    <w:rsid w:val="1A9C2F15"/>
    <w:rsid w:val="1B4B2A73"/>
    <w:rsid w:val="1BB079EA"/>
    <w:rsid w:val="1CD13F56"/>
    <w:rsid w:val="1CF30371"/>
    <w:rsid w:val="1DA72E09"/>
    <w:rsid w:val="203A2F36"/>
    <w:rsid w:val="20C97833"/>
    <w:rsid w:val="237A7B8F"/>
    <w:rsid w:val="242463F5"/>
    <w:rsid w:val="24510223"/>
    <w:rsid w:val="24A2499E"/>
    <w:rsid w:val="25277DE6"/>
    <w:rsid w:val="273D42E3"/>
    <w:rsid w:val="284A3DC9"/>
    <w:rsid w:val="297D7D58"/>
    <w:rsid w:val="29BE406C"/>
    <w:rsid w:val="29C72969"/>
    <w:rsid w:val="2AB94924"/>
    <w:rsid w:val="2AC704AA"/>
    <w:rsid w:val="2B391645"/>
    <w:rsid w:val="2DE62261"/>
    <w:rsid w:val="2FD410BB"/>
    <w:rsid w:val="300C5315"/>
    <w:rsid w:val="30134B5A"/>
    <w:rsid w:val="308800D6"/>
    <w:rsid w:val="309E518D"/>
    <w:rsid w:val="314B20D2"/>
    <w:rsid w:val="339A1E7F"/>
    <w:rsid w:val="34883439"/>
    <w:rsid w:val="363B779A"/>
    <w:rsid w:val="39B37846"/>
    <w:rsid w:val="3A9F3509"/>
    <w:rsid w:val="3B1672AC"/>
    <w:rsid w:val="3C364590"/>
    <w:rsid w:val="3C6A38F8"/>
    <w:rsid w:val="3D4F4CF8"/>
    <w:rsid w:val="3E352AE6"/>
    <w:rsid w:val="3EF82A0C"/>
    <w:rsid w:val="3F26280E"/>
    <w:rsid w:val="40835A04"/>
    <w:rsid w:val="41511FB2"/>
    <w:rsid w:val="440548DC"/>
    <w:rsid w:val="44221169"/>
    <w:rsid w:val="445E4103"/>
    <w:rsid w:val="44922282"/>
    <w:rsid w:val="45250DA1"/>
    <w:rsid w:val="455C3888"/>
    <w:rsid w:val="458B0E76"/>
    <w:rsid w:val="45C344D5"/>
    <w:rsid w:val="46D41847"/>
    <w:rsid w:val="475E5238"/>
    <w:rsid w:val="47613FA5"/>
    <w:rsid w:val="476F5CF2"/>
    <w:rsid w:val="47FF42C2"/>
    <w:rsid w:val="48040566"/>
    <w:rsid w:val="4A143654"/>
    <w:rsid w:val="4A161077"/>
    <w:rsid w:val="4A2D561C"/>
    <w:rsid w:val="4B7E39FD"/>
    <w:rsid w:val="4CFA6A2E"/>
    <w:rsid w:val="4DE774A8"/>
    <w:rsid w:val="4DE818F3"/>
    <w:rsid w:val="4E8A3DE2"/>
    <w:rsid w:val="4F604075"/>
    <w:rsid w:val="4F713D48"/>
    <w:rsid w:val="4FFE5905"/>
    <w:rsid w:val="5080092E"/>
    <w:rsid w:val="510C60BA"/>
    <w:rsid w:val="51423BDB"/>
    <w:rsid w:val="520143BB"/>
    <w:rsid w:val="523F09E9"/>
    <w:rsid w:val="53B67427"/>
    <w:rsid w:val="53DA71B3"/>
    <w:rsid w:val="5829466B"/>
    <w:rsid w:val="5A1924BD"/>
    <w:rsid w:val="5C5B4A38"/>
    <w:rsid w:val="5DB20C5F"/>
    <w:rsid w:val="5E305EA4"/>
    <w:rsid w:val="5E5059A3"/>
    <w:rsid w:val="5E8A0FCE"/>
    <w:rsid w:val="5FDC0215"/>
    <w:rsid w:val="6044305A"/>
    <w:rsid w:val="6074637C"/>
    <w:rsid w:val="64F46975"/>
    <w:rsid w:val="653509CE"/>
    <w:rsid w:val="66707909"/>
    <w:rsid w:val="66777C4D"/>
    <w:rsid w:val="66EA1AA2"/>
    <w:rsid w:val="6AB44268"/>
    <w:rsid w:val="6E413281"/>
    <w:rsid w:val="6FDB1034"/>
    <w:rsid w:val="705D5C52"/>
    <w:rsid w:val="70971E04"/>
    <w:rsid w:val="70BB2D2B"/>
    <w:rsid w:val="712B1C7E"/>
    <w:rsid w:val="71C93552"/>
    <w:rsid w:val="72487E2D"/>
    <w:rsid w:val="734B0D21"/>
    <w:rsid w:val="7399224D"/>
    <w:rsid w:val="73B03EE0"/>
    <w:rsid w:val="74F57957"/>
    <w:rsid w:val="76112595"/>
    <w:rsid w:val="76D30FE3"/>
    <w:rsid w:val="786F7A21"/>
    <w:rsid w:val="78F63C9E"/>
    <w:rsid w:val="79B871A5"/>
    <w:rsid w:val="79CE4DAC"/>
    <w:rsid w:val="7A0E4D2E"/>
    <w:rsid w:val="7B59789F"/>
    <w:rsid w:val="7BAA68EB"/>
    <w:rsid w:val="7BCD6588"/>
    <w:rsid w:val="7C3A2808"/>
    <w:rsid w:val="7D9B3050"/>
    <w:rsid w:val="7E413C0D"/>
    <w:rsid w:val="7EB268B9"/>
    <w:rsid w:val="7FD648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420" w:firstLineChars="200"/>
      <w:jc w:val="both"/>
    </w:pPr>
    <w:rPr>
      <w:rFonts w:ascii="Calibri" w:hAnsi="Calibri" w:eastAsia="宋体" w:cs="Times New Roman"/>
      <w:kern w:val="2"/>
      <w:sz w:val="21"/>
      <w:szCs w:val="21"/>
      <w:lang w:val="en-US" w:eastAsia="zh-CN" w:bidi="ar-SA"/>
    </w:rPr>
  </w:style>
  <w:style w:type="paragraph" w:styleId="2">
    <w:name w:val="heading 1"/>
    <w:basedOn w:val="1"/>
    <w:next w:val="1"/>
    <w:link w:val="38"/>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9"/>
    <w:autoRedefine/>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40"/>
    <w:autoRedefine/>
    <w:qFormat/>
    <w:uiPriority w:val="0"/>
    <w:pPr>
      <w:keepNext/>
      <w:keepLines/>
      <w:spacing w:before="260" w:after="260" w:line="416" w:lineRule="auto"/>
      <w:outlineLvl w:val="2"/>
    </w:pPr>
    <w:rPr>
      <w:b/>
      <w:bCs/>
      <w:sz w:val="32"/>
      <w:szCs w:val="32"/>
    </w:rPr>
  </w:style>
  <w:style w:type="paragraph" w:styleId="5">
    <w:name w:val="heading 4"/>
    <w:basedOn w:val="1"/>
    <w:next w:val="1"/>
    <w:link w:val="41"/>
    <w:autoRedefine/>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2"/>
    <w:autoRedefine/>
    <w:qFormat/>
    <w:uiPriority w:val="0"/>
    <w:pPr>
      <w:keepNext/>
      <w:keepLines/>
      <w:spacing w:before="280" w:after="290" w:line="376" w:lineRule="auto"/>
      <w:outlineLvl w:val="4"/>
    </w:pPr>
    <w:rPr>
      <w:b/>
      <w:bCs/>
      <w:sz w:val="28"/>
      <w:szCs w:val="28"/>
    </w:rPr>
  </w:style>
  <w:style w:type="paragraph" w:styleId="7">
    <w:name w:val="heading 6"/>
    <w:basedOn w:val="1"/>
    <w:next w:val="1"/>
    <w:link w:val="43"/>
    <w:autoRedefine/>
    <w:qFormat/>
    <w:uiPriority w:val="0"/>
    <w:pPr>
      <w:keepNext/>
      <w:keepLines/>
      <w:spacing w:before="240" w:after="64" w:line="320" w:lineRule="auto"/>
      <w:outlineLvl w:val="5"/>
    </w:pPr>
    <w:rPr>
      <w:rFonts w:ascii="Arial" w:hAnsi="Arial" w:eastAsia="黑体"/>
      <w:b/>
      <w:bCs/>
      <w:sz w:val="24"/>
      <w:szCs w:val="24"/>
    </w:rPr>
  </w:style>
  <w:style w:type="paragraph" w:styleId="8">
    <w:name w:val="heading 7"/>
    <w:basedOn w:val="1"/>
    <w:next w:val="1"/>
    <w:link w:val="44"/>
    <w:autoRedefine/>
    <w:qFormat/>
    <w:uiPriority w:val="0"/>
    <w:pPr>
      <w:keepNext/>
      <w:keepLines/>
      <w:spacing w:before="240" w:after="64" w:line="320" w:lineRule="auto"/>
      <w:outlineLvl w:val="6"/>
    </w:pPr>
    <w:rPr>
      <w:b/>
      <w:bCs/>
      <w:sz w:val="24"/>
      <w:szCs w:val="24"/>
    </w:rPr>
  </w:style>
  <w:style w:type="paragraph" w:styleId="9">
    <w:name w:val="heading 8"/>
    <w:basedOn w:val="1"/>
    <w:next w:val="1"/>
    <w:link w:val="45"/>
    <w:autoRedefine/>
    <w:qFormat/>
    <w:uiPriority w:val="0"/>
    <w:pPr>
      <w:keepNext/>
      <w:keepLines/>
      <w:spacing w:before="240" w:after="64" w:line="320" w:lineRule="auto"/>
      <w:outlineLvl w:val="7"/>
    </w:pPr>
    <w:rPr>
      <w:rFonts w:ascii="Arial" w:hAnsi="Arial" w:eastAsia="黑体"/>
      <w:sz w:val="24"/>
      <w:szCs w:val="24"/>
    </w:rPr>
  </w:style>
  <w:style w:type="paragraph" w:styleId="10">
    <w:name w:val="heading 9"/>
    <w:basedOn w:val="1"/>
    <w:next w:val="1"/>
    <w:link w:val="46"/>
    <w:autoRedefine/>
    <w:qFormat/>
    <w:uiPriority w:val="0"/>
    <w:pPr>
      <w:keepNext/>
      <w:keepLines/>
      <w:spacing w:before="240" w:after="64" w:line="320" w:lineRule="auto"/>
      <w:outlineLvl w:val="8"/>
    </w:pPr>
    <w:rPr>
      <w:rFonts w:ascii="Arial" w:hAnsi="Arial" w:eastAsia="黑体"/>
    </w:rPr>
  </w:style>
  <w:style w:type="character" w:default="1" w:styleId="31">
    <w:name w:val="Default Paragraph Font"/>
    <w:semiHidden/>
    <w:unhideWhenUsed/>
    <w:uiPriority w:val="1"/>
  </w:style>
  <w:style w:type="table" w:default="1" w:styleId="29">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autoRedefine/>
    <w:qFormat/>
    <w:uiPriority w:val="0"/>
  </w:style>
  <w:style w:type="paragraph" w:styleId="13">
    <w:name w:val="annotation text"/>
    <w:basedOn w:val="1"/>
    <w:autoRedefine/>
    <w:semiHidden/>
    <w:unhideWhenUsed/>
    <w:qFormat/>
    <w:uiPriority w:val="99"/>
    <w:pPr>
      <w:jc w:val="left"/>
    </w:pPr>
  </w:style>
  <w:style w:type="paragraph" w:styleId="14">
    <w:name w:val="Body Text"/>
    <w:basedOn w:val="1"/>
    <w:link w:val="90"/>
    <w:autoRedefine/>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Date"/>
    <w:basedOn w:val="1"/>
    <w:next w:val="1"/>
    <w:link w:val="237"/>
    <w:semiHidden/>
    <w:unhideWhenUsed/>
    <w:qFormat/>
    <w:uiPriority w:val="99"/>
    <w:pPr>
      <w:ind w:left="100" w:leftChars="2500"/>
    </w:pPr>
  </w:style>
  <w:style w:type="paragraph" w:styleId="18">
    <w:name w:val="Balloon Text"/>
    <w:basedOn w:val="1"/>
    <w:link w:val="49"/>
    <w:autoRedefine/>
    <w:semiHidden/>
    <w:unhideWhenUsed/>
    <w:qFormat/>
    <w:uiPriority w:val="99"/>
    <w:rPr>
      <w:sz w:val="18"/>
      <w:szCs w:val="18"/>
    </w:rPr>
  </w:style>
  <w:style w:type="paragraph" w:styleId="19">
    <w:name w:val="footer"/>
    <w:basedOn w:val="1"/>
    <w:link w:val="48"/>
    <w:autoRedefine/>
    <w:qFormat/>
    <w:uiPriority w:val="99"/>
    <w:pPr>
      <w:tabs>
        <w:tab w:val="center" w:pos="4153"/>
        <w:tab w:val="right" w:pos="8306"/>
      </w:tabs>
      <w:snapToGrid w:val="0"/>
      <w:spacing w:line="240" w:lineRule="auto"/>
      <w:jc w:val="right"/>
    </w:pPr>
    <w:rPr>
      <w:rFonts w:ascii="宋体"/>
      <w:sz w:val="18"/>
      <w:szCs w:val="18"/>
    </w:rPr>
  </w:style>
  <w:style w:type="paragraph" w:styleId="20">
    <w:name w:val="header"/>
    <w:basedOn w:val="1"/>
    <w:link w:val="47"/>
    <w:autoRedefine/>
    <w:qFormat/>
    <w:uiPriority w:val="99"/>
    <w:pPr>
      <w:tabs>
        <w:tab w:val="center" w:pos="4153"/>
        <w:tab w:val="right" w:pos="8306"/>
      </w:tabs>
      <w:snapToGrid w:val="0"/>
      <w:jc w:val="center"/>
    </w:pPr>
    <w:rPr>
      <w:sz w:val="18"/>
      <w:szCs w:val="18"/>
    </w:rPr>
  </w:style>
  <w:style w:type="paragraph" w:styleId="21">
    <w:name w:val="toc 1"/>
    <w:basedOn w:val="1"/>
    <w:next w:val="1"/>
    <w:autoRedefine/>
    <w:unhideWhenUsed/>
    <w:qFormat/>
    <w:uiPriority w:val="39"/>
    <w:rPr>
      <w:rFonts w:ascii="宋体"/>
    </w:rPr>
  </w:style>
  <w:style w:type="paragraph" w:styleId="22">
    <w:name w:val="toc 4"/>
    <w:basedOn w:val="1"/>
    <w:next w:val="1"/>
    <w:autoRedefine/>
    <w:unhideWhenUsed/>
    <w:qFormat/>
    <w:uiPriority w:val="39"/>
    <w:pPr>
      <w:tabs>
        <w:tab w:val="right" w:leader="dot" w:pos="9344"/>
      </w:tabs>
      <w:spacing w:line="300" w:lineRule="exact"/>
      <w:ind w:left="629"/>
    </w:pPr>
    <w:rPr>
      <w:rFonts w:ascii="宋体"/>
    </w:rPr>
  </w:style>
  <w:style w:type="paragraph" w:styleId="23">
    <w:name w:val="footnote text"/>
    <w:basedOn w:val="1"/>
    <w:next w:val="1"/>
    <w:link w:val="103"/>
    <w:autoRedefine/>
    <w:semiHidden/>
    <w:qFormat/>
    <w:uiPriority w:val="0"/>
    <w:pPr>
      <w:snapToGrid w:val="0"/>
      <w:spacing w:line="300" w:lineRule="exact"/>
      <w:ind w:left="400" w:leftChars="200" w:hanging="200" w:hangingChars="200"/>
      <w:jc w:val="left"/>
    </w:pPr>
    <w:rPr>
      <w:rFonts w:ascii="宋体"/>
      <w:sz w:val="18"/>
      <w:szCs w:val="18"/>
    </w:rPr>
  </w:style>
  <w:style w:type="paragraph" w:styleId="24">
    <w:name w:val="toc 6"/>
    <w:basedOn w:val="1"/>
    <w:next w:val="1"/>
    <w:autoRedefine/>
    <w:unhideWhenUsed/>
    <w:qFormat/>
    <w:uiPriority w:val="39"/>
    <w:pPr>
      <w:spacing w:line="300" w:lineRule="exact"/>
      <w:ind w:left="1049"/>
    </w:pPr>
    <w:rPr>
      <w:rFonts w:ascii="宋体"/>
    </w:rPr>
  </w:style>
  <w:style w:type="paragraph" w:styleId="25">
    <w:name w:val="table of figures"/>
    <w:basedOn w:val="1"/>
    <w:next w:val="1"/>
    <w:autoRedefine/>
    <w:semiHidden/>
    <w:qFormat/>
    <w:uiPriority w:val="0"/>
    <w:pPr>
      <w:spacing w:line="240" w:lineRule="auto"/>
      <w:jc w:val="left"/>
    </w:pPr>
    <w:rPr>
      <w:szCs w:val="24"/>
    </w:rPr>
  </w:style>
  <w:style w:type="paragraph" w:styleId="26">
    <w:name w:val="toc 2"/>
    <w:basedOn w:val="1"/>
    <w:next w:val="1"/>
    <w:autoRedefine/>
    <w:unhideWhenUsed/>
    <w:qFormat/>
    <w:uiPriority w:val="39"/>
    <w:pPr>
      <w:tabs>
        <w:tab w:val="right" w:leader="dot" w:pos="9344"/>
      </w:tabs>
      <w:spacing w:line="300" w:lineRule="exact"/>
      <w:ind w:left="210"/>
    </w:pPr>
    <w:rPr>
      <w:rFonts w:ascii="宋体"/>
    </w:rPr>
  </w:style>
  <w:style w:type="paragraph" w:styleId="27">
    <w:name w:val="Normal (Web)"/>
    <w:basedOn w:val="1"/>
    <w:semiHidden/>
    <w:unhideWhenUsed/>
    <w:qFormat/>
    <w:uiPriority w:val="99"/>
    <w:rPr>
      <w:rFonts w:ascii="Times New Roman" w:hAnsi="Times New Roman"/>
      <w:sz w:val="24"/>
      <w:szCs w:val="24"/>
    </w:rPr>
  </w:style>
  <w:style w:type="paragraph" w:styleId="28">
    <w:name w:val="Title"/>
    <w:basedOn w:val="1"/>
    <w:link w:val="52"/>
    <w:autoRedefine/>
    <w:qFormat/>
    <w:uiPriority w:val="0"/>
    <w:pPr>
      <w:spacing w:before="240" w:after="60"/>
      <w:jc w:val="center"/>
      <w:outlineLvl w:val="0"/>
    </w:pPr>
    <w:rPr>
      <w:rFonts w:ascii="Arial" w:hAnsi="Arial" w:cs="Arial"/>
      <w:b/>
      <w:bCs/>
      <w:sz w:val="32"/>
      <w:szCs w:val="32"/>
    </w:rPr>
  </w:style>
  <w:style w:type="table" w:styleId="30">
    <w:name w:val="Table Grid"/>
    <w:basedOn w:val="29"/>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Strong"/>
    <w:autoRedefine/>
    <w:qFormat/>
    <w:uiPriority w:val="22"/>
    <w:rPr>
      <w:b/>
      <w:bCs/>
    </w:rPr>
  </w:style>
  <w:style w:type="character" w:styleId="33">
    <w:name w:val="page number"/>
    <w:autoRedefine/>
    <w:qFormat/>
    <w:uiPriority w:val="0"/>
    <w:rPr>
      <w:rFonts w:ascii="宋体" w:hAnsi="Times New Roman" w:eastAsia="宋体"/>
      <w:sz w:val="18"/>
    </w:rPr>
  </w:style>
  <w:style w:type="character" w:styleId="34">
    <w:name w:val="Emphasis"/>
    <w:autoRedefine/>
    <w:qFormat/>
    <w:uiPriority w:val="20"/>
    <w:rPr>
      <w:i/>
      <w:iCs/>
    </w:rPr>
  </w:style>
  <w:style w:type="character" w:styleId="35">
    <w:name w:val="Hyperlink"/>
    <w:autoRedefine/>
    <w:qFormat/>
    <w:uiPriority w:val="99"/>
    <w:rPr>
      <w:rFonts w:ascii="宋体" w:hAnsi="Times New Roman" w:eastAsia="宋体"/>
      <w:color w:val="auto"/>
      <w:spacing w:val="0"/>
      <w:w w:val="100"/>
      <w:position w:val="0"/>
      <w:sz w:val="21"/>
      <w:u w:val="none"/>
      <w:vertAlign w:val="baseline"/>
    </w:rPr>
  </w:style>
  <w:style w:type="character" w:styleId="36">
    <w:name w:val="annotation reference"/>
    <w:basedOn w:val="31"/>
    <w:autoRedefine/>
    <w:semiHidden/>
    <w:unhideWhenUsed/>
    <w:qFormat/>
    <w:uiPriority w:val="99"/>
    <w:rPr>
      <w:sz w:val="21"/>
      <w:szCs w:val="21"/>
    </w:rPr>
  </w:style>
  <w:style w:type="character" w:styleId="37">
    <w:name w:val="footnote reference"/>
    <w:autoRedefine/>
    <w:semiHidden/>
    <w:qFormat/>
    <w:uiPriority w:val="0"/>
    <w:rPr>
      <w:rFonts w:ascii="宋体" w:hAnsi="宋体" w:eastAsia="宋体" w:cs="Times New Roman"/>
      <w:spacing w:val="0"/>
      <w:sz w:val="18"/>
      <w:vertAlign w:val="superscript"/>
    </w:rPr>
  </w:style>
  <w:style w:type="character" w:customStyle="1" w:styleId="38">
    <w:name w:val="标题 1 字符"/>
    <w:link w:val="2"/>
    <w:autoRedefine/>
    <w:qFormat/>
    <w:uiPriority w:val="0"/>
    <w:rPr>
      <w:rFonts w:ascii="Times New Roman" w:hAnsi="Times New Roman" w:eastAsia="宋体" w:cs="Times New Roman"/>
      <w:b/>
      <w:bCs/>
      <w:kern w:val="44"/>
      <w:sz w:val="44"/>
      <w:szCs w:val="44"/>
    </w:rPr>
  </w:style>
  <w:style w:type="character" w:customStyle="1" w:styleId="39">
    <w:name w:val="标题 2 字符"/>
    <w:link w:val="3"/>
    <w:autoRedefine/>
    <w:qFormat/>
    <w:uiPriority w:val="0"/>
    <w:rPr>
      <w:rFonts w:ascii="Arial" w:hAnsi="Arial" w:eastAsia="黑体" w:cs="Times New Roman"/>
      <w:b/>
      <w:bCs/>
      <w:sz w:val="32"/>
      <w:szCs w:val="32"/>
    </w:rPr>
  </w:style>
  <w:style w:type="character" w:customStyle="1" w:styleId="40">
    <w:name w:val="标题 3 字符"/>
    <w:link w:val="4"/>
    <w:autoRedefine/>
    <w:qFormat/>
    <w:uiPriority w:val="0"/>
    <w:rPr>
      <w:rFonts w:ascii="Times New Roman" w:hAnsi="Times New Roman" w:eastAsia="宋体" w:cs="Times New Roman"/>
      <w:b/>
      <w:bCs/>
      <w:sz w:val="32"/>
      <w:szCs w:val="32"/>
    </w:rPr>
  </w:style>
  <w:style w:type="character" w:customStyle="1" w:styleId="41">
    <w:name w:val="标题 4 字符"/>
    <w:link w:val="5"/>
    <w:autoRedefine/>
    <w:qFormat/>
    <w:uiPriority w:val="0"/>
    <w:rPr>
      <w:rFonts w:ascii="Arial" w:hAnsi="Arial" w:eastAsia="黑体" w:cs="Times New Roman"/>
      <w:b/>
      <w:bCs/>
      <w:sz w:val="28"/>
      <w:szCs w:val="28"/>
    </w:rPr>
  </w:style>
  <w:style w:type="character" w:customStyle="1" w:styleId="42">
    <w:name w:val="标题 5 字符"/>
    <w:link w:val="6"/>
    <w:autoRedefine/>
    <w:qFormat/>
    <w:uiPriority w:val="0"/>
    <w:rPr>
      <w:rFonts w:ascii="Times New Roman" w:hAnsi="Times New Roman" w:eastAsia="宋体" w:cs="Times New Roman"/>
      <w:b/>
      <w:bCs/>
      <w:sz w:val="28"/>
      <w:szCs w:val="28"/>
    </w:rPr>
  </w:style>
  <w:style w:type="character" w:customStyle="1" w:styleId="43">
    <w:name w:val="标题 6 字符"/>
    <w:link w:val="7"/>
    <w:autoRedefine/>
    <w:qFormat/>
    <w:uiPriority w:val="0"/>
    <w:rPr>
      <w:rFonts w:ascii="Arial" w:hAnsi="Arial" w:eastAsia="黑体" w:cs="Times New Roman"/>
      <w:b/>
      <w:bCs/>
      <w:sz w:val="24"/>
      <w:szCs w:val="24"/>
    </w:rPr>
  </w:style>
  <w:style w:type="character" w:customStyle="1" w:styleId="44">
    <w:name w:val="标题 7 字符"/>
    <w:link w:val="8"/>
    <w:autoRedefine/>
    <w:qFormat/>
    <w:uiPriority w:val="0"/>
    <w:rPr>
      <w:rFonts w:ascii="Times New Roman" w:hAnsi="Times New Roman" w:eastAsia="宋体" w:cs="Times New Roman"/>
      <w:b/>
      <w:bCs/>
      <w:sz w:val="24"/>
      <w:szCs w:val="24"/>
    </w:rPr>
  </w:style>
  <w:style w:type="character" w:customStyle="1" w:styleId="45">
    <w:name w:val="标题 8 字符"/>
    <w:link w:val="9"/>
    <w:autoRedefine/>
    <w:qFormat/>
    <w:uiPriority w:val="0"/>
    <w:rPr>
      <w:rFonts w:ascii="Arial" w:hAnsi="Arial" w:eastAsia="黑体" w:cs="Times New Roman"/>
      <w:sz w:val="24"/>
      <w:szCs w:val="24"/>
    </w:rPr>
  </w:style>
  <w:style w:type="character" w:customStyle="1" w:styleId="46">
    <w:name w:val="标题 9 字符"/>
    <w:link w:val="10"/>
    <w:autoRedefine/>
    <w:qFormat/>
    <w:uiPriority w:val="0"/>
    <w:rPr>
      <w:rFonts w:ascii="Arial" w:hAnsi="Arial" w:eastAsia="黑体" w:cs="Times New Roman"/>
      <w:szCs w:val="21"/>
    </w:rPr>
  </w:style>
  <w:style w:type="character" w:customStyle="1" w:styleId="47">
    <w:name w:val="页眉 字符"/>
    <w:link w:val="20"/>
    <w:autoRedefine/>
    <w:qFormat/>
    <w:uiPriority w:val="99"/>
    <w:rPr>
      <w:rFonts w:ascii="Times New Roman" w:hAnsi="Times New Roman" w:eastAsia="宋体" w:cs="Times New Roman"/>
      <w:sz w:val="18"/>
      <w:szCs w:val="18"/>
    </w:rPr>
  </w:style>
  <w:style w:type="character" w:customStyle="1" w:styleId="48">
    <w:name w:val="页脚 字符"/>
    <w:link w:val="19"/>
    <w:autoRedefine/>
    <w:qFormat/>
    <w:uiPriority w:val="99"/>
    <w:rPr>
      <w:rFonts w:ascii="宋体" w:hAnsi="Times New Roman" w:eastAsia="宋体" w:cs="Times New Roman"/>
      <w:sz w:val="18"/>
      <w:szCs w:val="18"/>
    </w:rPr>
  </w:style>
  <w:style w:type="character" w:customStyle="1" w:styleId="49">
    <w:name w:val="批注框文本 字符"/>
    <w:link w:val="18"/>
    <w:autoRedefine/>
    <w:semiHidden/>
    <w:qFormat/>
    <w:uiPriority w:val="99"/>
    <w:rPr>
      <w:sz w:val="18"/>
      <w:szCs w:val="18"/>
    </w:rPr>
  </w:style>
  <w:style w:type="paragraph" w:styleId="50">
    <w:name w:val="Quote"/>
    <w:basedOn w:val="1"/>
    <w:next w:val="1"/>
    <w:link w:val="51"/>
    <w:autoRedefine/>
    <w:qFormat/>
    <w:uiPriority w:val="29"/>
    <w:rPr>
      <w:i/>
      <w:iCs/>
      <w:color w:val="000000"/>
    </w:rPr>
  </w:style>
  <w:style w:type="character" w:customStyle="1" w:styleId="51">
    <w:name w:val="引用 字符"/>
    <w:link w:val="50"/>
    <w:autoRedefine/>
    <w:qFormat/>
    <w:uiPriority w:val="29"/>
    <w:rPr>
      <w:i/>
      <w:iCs/>
      <w:color w:val="000000"/>
    </w:rPr>
  </w:style>
  <w:style w:type="character" w:customStyle="1" w:styleId="52">
    <w:name w:val="标题 字符"/>
    <w:link w:val="28"/>
    <w:autoRedefine/>
    <w:qFormat/>
    <w:uiPriority w:val="0"/>
    <w:rPr>
      <w:rFonts w:ascii="Arial" w:hAnsi="Arial" w:eastAsia="宋体" w:cs="Arial"/>
      <w:b/>
      <w:bCs/>
      <w:sz w:val="32"/>
      <w:szCs w:val="32"/>
    </w:rPr>
  </w:style>
  <w:style w:type="paragraph" w:customStyle="1" w:styleId="53">
    <w:name w:val="标准标志"/>
    <w:next w:val="1"/>
    <w:autoRedefine/>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4">
    <w:name w:val="标准称谓"/>
    <w:next w:val="1"/>
    <w:autoRedefine/>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5">
    <w:name w:val="标准文件_页脚偶数页"/>
    <w:autoRedefine/>
    <w:qFormat/>
    <w:uiPriority w:val="0"/>
    <w:pPr>
      <w:ind w:left="198"/>
    </w:pPr>
    <w:rPr>
      <w:rFonts w:ascii="宋体" w:hAnsi="Times New Roman" w:eastAsia="宋体" w:cs="Times New Roman"/>
      <w:sz w:val="18"/>
      <w:lang w:val="en-US" w:eastAsia="zh-CN" w:bidi="ar-SA"/>
    </w:rPr>
  </w:style>
  <w:style w:type="paragraph" w:customStyle="1" w:styleId="56">
    <w:name w:val="标准文件_页脚奇数页"/>
    <w:autoRedefine/>
    <w:qFormat/>
    <w:uiPriority w:val="0"/>
    <w:pPr>
      <w:ind w:right="227"/>
      <w:jc w:val="right"/>
    </w:pPr>
    <w:rPr>
      <w:rFonts w:ascii="宋体" w:hAnsi="Times New Roman" w:eastAsia="宋体" w:cs="Times New Roman"/>
      <w:sz w:val="18"/>
      <w:lang w:val="en-US" w:eastAsia="zh-CN" w:bidi="ar-SA"/>
    </w:rPr>
  </w:style>
  <w:style w:type="paragraph" w:customStyle="1" w:styleId="57">
    <w:name w:val="标准书眉一"/>
    <w:autoRedefine/>
    <w:qFormat/>
    <w:uiPriority w:val="0"/>
    <w:pPr>
      <w:jc w:val="both"/>
    </w:pPr>
    <w:rPr>
      <w:rFonts w:ascii="Times New Roman" w:hAnsi="Times New Roman" w:eastAsia="宋体" w:cs="Times New Roman"/>
      <w:lang w:val="en-US" w:eastAsia="zh-CN" w:bidi="ar-SA"/>
    </w:rPr>
  </w:style>
  <w:style w:type="paragraph" w:customStyle="1" w:styleId="58">
    <w:name w:val="标准文件_ICS"/>
    <w:basedOn w:val="1"/>
    <w:autoRedefine/>
    <w:qFormat/>
    <w:uiPriority w:val="0"/>
    <w:pPr>
      <w:spacing w:line="0" w:lineRule="atLeast"/>
    </w:pPr>
    <w:rPr>
      <w:rFonts w:ascii="黑体" w:hAnsi="宋体" w:eastAsia="黑体"/>
    </w:rPr>
  </w:style>
  <w:style w:type="paragraph" w:customStyle="1" w:styleId="59">
    <w:name w:val="标准文件_标准正文"/>
    <w:basedOn w:val="1"/>
    <w:next w:val="60"/>
    <w:autoRedefine/>
    <w:qFormat/>
    <w:uiPriority w:val="0"/>
    <w:pPr>
      <w:snapToGrid w:val="0"/>
      <w:ind w:firstLine="200"/>
    </w:pPr>
    <w:rPr>
      <w:kern w:val="0"/>
    </w:rPr>
  </w:style>
  <w:style w:type="paragraph" w:customStyle="1" w:styleId="60">
    <w:name w:val="标准文件_段"/>
    <w:link w:val="188"/>
    <w:qFormat/>
    <w:uiPriority w:val="0"/>
    <w:pPr>
      <w:autoSpaceDE w:val="0"/>
      <w:autoSpaceDN w:val="0"/>
      <w:spacing w:line="360" w:lineRule="auto"/>
      <w:ind w:firstLine="420" w:firstLineChars="200"/>
      <w:jc w:val="both"/>
    </w:pPr>
    <w:rPr>
      <w:rFonts w:ascii="Times New Roman" w:hAnsi="Times New Roman" w:eastAsia="宋体" w:cs="Times New Roman"/>
      <w:sz w:val="21"/>
      <w:szCs w:val="21"/>
      <w:lang w:val="en-US" w:eastAsia="zh-CN" w:bidi="ar-SA"/>
    </w:rPr>
  </w:style>
  <w:style w:type="paragraph" w:customStyle="1" w:styleId="61">
    <w:name w:val="标准文件_版本"/>
    <w:basedOn w:val="59"/>
    <w:autoRedefine/>
    <w:qFormat/>
    <w:uiPriority w:val="0"/>
    <w:pPr>
      <w:snapToGrid/>
      <w:ind w:firstLine="0" w:firstLineChars="0"/>
    </w:pPr>
    <w:rPr>
      <w:rFonts w:ascii="宋体" w:hAnsi="宋体"/>
      <w:kern w:val="2"/>
    </w:rPr>
  </w:style>
  <w:style w:type="paragraph" w:customStyle="1" w:styleId="62">
    <w:name w:val="标准文件_标准部门"/>
    <w:basedOn w:val="1"/>
    <w:autoRedefine/>
    <w:qFormat/>
    <w:uiPriority w:val="0"/>
    <w:pPr>
      <w:jc w:val="center"/>
    </w:pPr>
    <w:rPr>
      <w:rFonts w:ascii="黑体" w:eastAsia="黑体"/>
      <w:kern w:val="0"/>
      <w:sz w:val="44"/>
    </w:rPr>
  </w:style>
  <w:style w:type="paragraph" w:customStyle="1" w:styleId="63">
    <w:name w:val="标准文件_标准代替"/>
    <w:basedOn w:val="1"/>
    <w:next w:val="1"/>
    <w:autoRedefine/>
    <w:qFormat/>
    <w:uiPriority w:val="0"/>
    <w:pPr>
      <w:spacing w:line="310" w:lineRule="exact"/>
      <w:jc w:val="right"/>
    </w:pPr>
    <w:rPr>
      <w:rFonts w:ascii="宋体" w:hAnsi="宋体"/>
      <w:kern w:val="0"/>
    </w:rPr>
  </w:style>
  <w:style w:type="paragraph" w:customStyle="1" w:styleId="64">
    <w:name w:val="标准文件_标准名称标题"/>
    <w:basedOn w:val="1"/>
    <w:next w:val="1"/>
    <w:autoRedefine/>
    <w:qFormat/>
    <w:uiPriority w:val="0"/>
    <w:pPr>
      <w:widowControl/>
      <w:shd w:val="clear" w:color="FFFFFF" w:fill="FFFFFF"/>
      <w:spacing w:before="640" w:after="100"/>
      <w:jc w:val="center"/>
    </w:pPr>
    <w:rPr>
      <w:rFonts w:ascii="黑体" w:eastAsia="黑体"/>
      <w:kern w:val="0"/>
      <w:sz w:val="32"/>
    </w:rPr>
  </w:style>
  <w:style w:type="paragraph" w:customStyle="1" w:styleId="65">
    <w:name w:val="标准文件_页眉奇数页"/>
    <w:next w:val="1"/>
    <w:autoRedefine/>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6">
    <w:name w:val="标准文件_页眉偶数页"/>
    <w:basedOn w:val="65"/>
    <w:next w:val="1"/>
    <w:autoRedefine/>
    <w:qFormat/>
    <w:uiPriority w:val="0"/>
    <w:pPr>
      <w:jc w:val="left"/>
    </w:pPr>
  </w:style>
  <w:style w:type="paragraph" w:customStyle="1" w:styleId="67">
    <w:name w:val="标准文件_参考文献标题"/>
    <w:basedOn w:val="1"/>
    <w:next w:val="1"/>
    <w:autoRedefine/>
    <w:qFormat/>
    <w:uiPriority w:val="0"/>
    <w:pPr>
      <w:widowControl/>
      <w:shd w:val="clear" w:color="FFFFFF" w:fill="FFFFFF"/>
      <w:spacing w:before="40" w:beforeLines="40" w:after="50" w:afterLines="50" w:line="240" w:lineRule="auto"/>
      <w:jc w:val="center"/>
      <w:outlineLvl w:val="0"/>
    </w:pPr>
    <w:rPr>
      <w:rFonts w:ascii="黑体" w:eastAsia="黑体"/>
      <w:kern w:val="0"/>
    </w:rPr>
  </w:style>
  <w:style w:type="paragraph" w:customStyle="1" w:styleId="68">
    <w:name w:val="标准文件_参考文献条目"/>
    <w:autoRedefine/>
    <w:qFormat/>
    <w:uiPriority w:val="0"/>
    <w:pPr>
      <w:numPr>
        <w:ilvl w:val="0"/>
        <w:numId w:val="1"/>
      </w:numPr>
    </w:pPr>
    <w:rPr>
      <w:rFonts w:ascii="宋体" w:hAnsi="Times New Roman" w:eastAsia="宋体" w:cs="Times New Roman"/>
      <w:lang w:val="en-US" w:eastAsia="zh-CN" w:bidi="ar-SA"/>
    </w:rPr>
  </w:style>
  <w:style w:type="paragraph" w:customStyle="1" w:styleId="69">
    <w:name w:val="标准文件_二级条标题"/>
    <w:next w:val="60"/>
    <w:autoRedefine/>
    <w:qFormat/>
    <w:uiPriority w:val="0"/>
    <w:pPr>
      <w:widowControl w:val="0"/>
      <w:numPr>
        <w:ilvl w:val="3"/>
        <w:numId w:val="2"/>
      </w:numPr>
      <w:spacing w:before="120" w:beforeLines="50" w:after="120" w:afterLines="50" w:line="360" w:lineRule="auto"/>
      <w:jc w:val="both"/>
      <w:outlineLvl w:val="2"/>
    </w:pPr>
    <w:rPr>
      <w:rFonts w:ascii="黑体" w:hAnsi="Times New Roman" w:eastAsia="黑体" w:cs="Times New Roman"/>
      <w:sz w:val="21"/>
      <w:lang w:val="en-US" w:eastAsia="zh-CN" w:bidi="ar-SA"/>
    </w:rPr>
  </w:style>
  <w:style w:type="character" w:customStyle="1" w:styleId="70">
    <w:name w:val="标准文件_发布"/>
    <w:autoRedefine/>
    <w:qFormat/>
    <w:uiPriority w:val="0"/>
    <w:rPr>
      <w:rFonts w:ascii="黑体" w:eastAsia="黑体"/>
      <w:spacing w:val="0"/>
      <w:w w:val="100"/>
      <w:position w:val="3"/>
      <w:sz w:val="28"/>
    </w:rPr>
  </w:style>
  <w:style w:type="paragraph" w:customStyle="1" w:styleId="71">
    <w:name w:val="标准文件_方框数字列项"/>
    <w:basedOn w:val="60"/>
    <w:autoRedefine/>
    <w:qFormat/>
    <w:uiPriority w:val="0"/>
    <w:pPr>
      <w:numPr>
        <w:ilvl w:val="0"/>
        <w:numId w:val="3"/>
      </w:numPr>
      <w:ind w:firstLine="0" w:firstLineChars="0"/>
    </w:pPr>
  </w:style>
  <w:style w:type="paragraph" w:customStyle="1" w:styleId="72">
    <w:name w:val="标准文件_封面标准编号"/>
    <w:basedOn w:val="1"/>
    <w:next w:val="63"/>
    <w:autoRedefine/>
    <w:qFormat/>
    <w:uiPriority w:val="0"/>
    <w:pPr>
      <w:spacing w:line="310" w:lineRule="exact"/>
      <w:jc w:val="right"/>
    </w:pPr>
    <w:rPr>
      <w:rFonts w:ascii="黑体" w:eastAsia="黑体"/>
      <w:kern w:val="0"/>
      <w:sz w:val="28"/>
    </w:rPr>
  </w:style>
  <w:style w:type="paragraph" w:customStyle="1" w:styleId="73">
    <w:name w:val="标准文件_封面标准分类号"/>
    <w:basedOn w:val="1"/>
    <w:autoRedefine/>
    <w:qFormat/>
    <w:uiPriority w:val="0"/>
    <w:rPr>
      <w:rFonts w:ascii="黑体" w:eastAsia="黑体"/>
      <w:b/>
      <w:kern w:val="0"/>
      <w:sz w:val="28"/>
    </w:rPr>
  </w:style>
  <w:style w:type="paragraph" w:customStyle="1" w:styleId="74">
    <w:name w:val="标准文件_封面标准名称"/>
    <w:basedOn w:val="1"/>
    <w:autoRedefine/>
    <w:qFormat/>
    <w:uiPriority w:val="0"/>
    <w:pPr>
      <w:spacing w:line="240" w:lineRule="auto"/>
      <w:jc w:val="center"/>
    </w:pPr>
    <w:rPr>
      <w:rFonts w:ascii="黑体" w:eastAsia="黑体"/>
      <w:kern w:val="0"/>
      <w:sz w:val="52"/>
    </w:rPr>
  </w:style>
  <w:style w:type="paragraph" w:customStyle="1" w:styleId="75">
    <w:name w:val="标准文件_封面标准英文名称"/>
    <w:basedOn w:val="1"/>
    <w:autoRedefine/>
    <w:qFormat/>
    <w:uiPriority w:val="0"/>
    <w:pPr>
      <w:spacing w:line="240" w:lineRule="auto"/>
      <w:jc w:val="center"/>
    </w:pPr>
    <w:rPr>
      <w:rFonts w:ascii="黑体" w:eastAsia="黑体"/>
      <w:b/>
      <w:sz w:val="28"/>
    </w:rPr>
  </w:style>
  <w:style w:type="paragraph" w:customStyle="1" w:styleId="76">
    <w:name w:val="标准文件_封面发布日期"/>
    <w:basedOn w:val="1"/>
    <w:autoRedefine/>
    <w:qFormat/>
    <w:uiPriority w:val="0"/>
    <w:pPr>
      <w:spacing w:line="310" w:lineRule="exact"/>
    </w:pPr>
    <w:rPr>
      <w:rFonts w:ascii="黑体" w:eastAsia="黑体"/>
      <w:kern w:val="0"/>
      <w:sz w:val="28"/>
    </w:rPr>
  </w:style>
  <w:style w:type="paragraph" w:customStyle="1" w:styleId="77">
    <w:name w:val="标准文件_封面密级"/>
    <w:basedOn w:val="1"/>
    <w:autoRedefine/>
    <w:qFormat/>
    <w:uiPriority w:val="0"/>
    <w:rPr>
      <w:rFonts w:eastAsia="黑体"/>
      <w:sz w:val="32"/>
    </w:rPr>
  </w:style>
  <w:style w:type="paragraph" w:customStyle="1" w:styleId="78">
    <w:name w:val="标准文件_封面实施日期"/>
    <w:basedOn w:val="1"/>
    <w:autoRedefine/>
    <w:qFormat/>
    <w:uiPriority w:val="0"/>
    <w:pPr>
      <w:spacing w:line="310" w:lineRule="exact"/>
      <w:jc w:val="right"/>
    </w:pPr>
    <w:rPr>
      <w:rFonts w:ascii="黑体" w:eastAsia="黑体"/>
      <w:sz w:val="28"/>
    </w:rPr>
  </w:style>
  <w:style w:type="paragraph" w:customStyle="1" w:styleId="79">
    <w:name w:val="标准文件_封面抬头"/>
    <w:basedOn w:val="60"/>
    <w:autoRedefine/>
    <w:qFormat/>
    <w:uiPriority w:val="0"/>
    <w:pPr>
      <w:adjustRightInd w:val="0"/>
      <w:spacing w:line="800" w:lineRule="exact"/>
      <w:ind w:firstLine="0" w:firstLineChars="0"/>
      <w:jc w:val="distribute"/>
    </w:pPr>
    <w:rPr>
      <w:rFonts w:ascii="黑体" w:eastAsia="黑体"/>
      <w:b/>
      <w:sz w:val="64"/>
    </w:rPr>
  </w:style>
  <w:style w:type="paragraph" w:customStyle="1" w:styleId="80">
    <w:name w:val="标准文件_附录标识"/>
    <w:next w:val="60"/>
    <w:autoRedefine/>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81">
    <w:name w:val="标准文件_附录表标题"/>
    <w:next w:val="60"/>
    <w:autoRedefine/>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82">
    <w:name w:val="标准文件_附录一级条标题"/>
    <w:next w:val="60"/>
    <w:autoRedefine/>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3">
    <w:name w:val="标准文件_附录二级条标题"/>
    <w:basedOn w:val="82"/>
    <w:next w:val="60"/>
    <w:autoRedefine/>
    <w:qFormat/>
    <w:uiPriority w:val="0"/>
    <w:pPr>
      <w:widowControl/>
      <w:numPr>
        <w:ilvl w:val="2"/>
      </w:numPr>
      <w:wordWrap w:val="0"/>
      <w:overflowPunct w:val="0"/>
      <w:autoSpaceDE w:val="0"/>
      <w:autoSpaceDN w:val="0"/>
      <w:textAlignment w:val="baseline"/>
      <w:outlineLvl w:val="3"/>
    </w:pPr>
  </w:style>
  <w:style w:type="paragraph" w:customStyle="1" w:styleId="84">
    <w:name w:val="标准文件_附录公式"/>
    <w:basedOn w:val="59"/>
    <w:next w:val="59"/>
    <w:autoRedefine/>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5">
    <w:name w:val="标准文件_附录三级条标题"/>
    <w:next w:val="60"/>
    <w:autoRedefine/>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6">
    <w:name w:val="标准文件_附录四级条标题"/>
    <w:next w:val="60"/>
    <w:autoRedefine/>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7">
    <w:name w:val="标准文件_附录图标题"/>
    <w:next w:val="60"/>
    <w:autoRedefine/>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8">
    <w:name w:val="标准文件_附录五级条标题"/>
    <w:next w:val="60"/>
    <w:autoRedefine/>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9">
    <w:name w:val="标准文件_附录英文标识"/>
    <w:next w:val="14"/>
    <w:autoRedefine/>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90">
    <w:name w:val="正文文本 字符"/>
    <w:link w:val="14"/>
    <w:autoRedefine/>
    <w:qFormat/>
    <w:uiPriority w:val="0"/>
    <w:rPr>
      <w:rFonts w:ascii="Times New Roman" w:hAnsi="Times New Roman" w:eastAsia="宋体" w:cs="Times New Roman"/>
      <w:szCs w:val="20"/>
    </w:rPr>
  </w:style>
  <w:style w:type="paragraph" w:customStyle="1" w:styleId="91">
    <w:name w:val="标准文件_附录章标题"/>
    <w:next w:val="60"/>
    <w:autoRedefine/>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2">
    <w:name w:val="标准文件_公式后的破折号"/>
    <w:basedOn w:val="60"/>
    <w:next w:val="60"/>
    <w:autoRedefine/>
    <w:qFormat/>
    <w:uiPriority w:val="0"/>
    <w:pPr>
      <w:ind w:left="488" w:leftChars="200" w:hanging="289" w:hangingChars="290"/>
    </w:pPr>
  </w:style>
  <w:style w:type="paragraph" w:customStyle="1" w:styleId="93">
    <w:name w:val="标准文件_前言、引言标题"/>
    <w:next w:val="1"/>
    <w:autoRedefine/>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4">
    <w:name w:val="标准文件_目次、标准名称标题"/>
    <w:basedOn w:val="93"/>
    <w:next w:val="60"/>
    <w:autoRedefine/>
    <w:qFormat/>
    <w:uiPriority w:val="0"/>
    <w:pPr>
      <w:spacing w:line="460" w:lineRule="exact"/>
    </w:pPr>
  </w:style>
  <w:style w:type="paragraph" w:customStyle="1" w:styleId="95">
    <w:name w:val="标准文件_目录标题"/>
    <w:basedOn w:val="1"/>
    <w:autoRedefine/>
    <w:qFormat/>
    <w:uiPriority w:val="0"/>
    <w:pPr>
      <w:spacing w:after="150" w:afterLines="150" w:line="240" w:lineRule="auto"/>
      <w:jc w:val="center"/>
    </w:pPr>
    <w:rPr>
      <w:rFonts w:ascii="黑体" w:eastAsia="黑体"/>
      <w:sz w:val="32"/>
    </w:rPr>
  </w:style>
  <w:style w:type="paragraph" w:customStyle="1" w:styleId="96">
    <w:name w:val="标准文件_破折号列项"/>
    <w:autoRedefine/>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7">
    <w:name w:val="标准文件_破折号列项（二级）"/>
    <w:basedOn w:val="96"/>
    <w:autoRedefine/>
    <w:qFormat/>
    <w:uiPriority w:val="0"/>
    <w:pPr>
      <w:numPr>
        <w:numId w:val="10"/>
      </w:numPr>
      <w:ind w:left="0" w:firstLineChars="0"/>
    </w:pPr>
  </w:style>
  <w:style w:type="paragraph" w:customStyle="1" w:styleId="98">
    <w:name w:val="标准文件_三级条标题"/>
    <w:basedOn w:val="69"/>
    <w:next w:val="60"/>
    <w:autoRedefine/>
    <w:qFormat/>
    <w:uiPriority w:val="0"/>
    <w:pPr>
      <w:widowControl/>
      <w:numPr>
        <w:ilvl w:val="4"/>
      </w:numPr>
      <w:ind w:firstLine="420" w:firstLineChars="200"/>
      <w:outlineLvl w:val="3"/>
    </w:pPr>
  </w:style>
  <w:style w:type="character" w:customStyle="1" w:styleId="99">
    <w:name w:val="不明显参考1"/>
    <w:autoRedefine/>
    <w:qFormat/>
    <w:uiPriority w:val="31"/>
    <w:rPr>
      <w:smallCaps/>
      <w:color w:val="C0504D"/>
      <w:u w:val="single"/>
    </w:rPr>
  </w:style>
  <w:style w:type="paragraph" w:customStyle="1" w:styleId="100">
    <w:name w:val="标准文件_示例后续"/>
    <w:basedOn w:val="1"/>
    <w:autoRedefine/>
    <w:qFormat/>
    <w:uiPriority w:val="0"/>
    <w:pPr>
      <w:spacing w:line="240" w:lineRule="auto"/>
      <w:ind w:firstLine="200"/>
    </w:pPr>
    <w:rPr>
      <w:sz w:val="18"/>
      <w:szCs w:val="24"/>
    </w:rPr>
  </w:style>
  <w:style w:type="paragraph" w:customStyle="1" w:styleId="101">
    <w:name w:val="标准文件_数字编号列项"/>
    <w:autoRedefine/>
    <w:qFormat/>
    <w:uiPriority w:val="0"/>
    <w:pPr>
      <w:numPr>
        <w:ilvl w:val="0"/>
        <w:numId w:val="11"/>
      </w:numPr>
      <w:jc w:val="both"/>
    </w:pPr>
    <w:rPr>
      <w:rFonts w:ascii="宋体" w:hAnsi="宋体" w:eastAsia="宋体" w:cs="Times New Roman"/>
      <w:sz w:val="21"/>
      <w:lang w:val="en-US" w:eastAsia="zh-CN" w:bidi="ar-SA"/>
    </w:rPr>
  </w:style>
  <w:style w:type="paragraph" w:customStyle="1" w:styleId="102">
    <w:name w:val="标准文件_四级条标题"/>
    <w:next w:val="60"/>
    <w:autoRedefine/>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3">
    <w:name w:val="脚注文本 字符"/>
    <w:link w:val="23"/>
    <w:autoRedefine/>
    <w:semiHidden/>
    <w:qFormat/>
    <w:uiPriority w:val="0"/>
    <w:rPr>
      <w:rFonts w:ascii="宋体" w:hAnsi="Times New Roman" w:eastAsia="宋体" w:cs="Times New Roman"/>
      <w:sz w:val="18"/>
      <w:szCs w:val="18"/>
    </w:rPr>
  </w:style>
  <w:style w:type="paragraph" w:customStyle="1" w:styleId="104">
    <w:name w:val="标准文件_条文脚注"/>
    <w:basedOn w:val="23"/>
    <w:autoRedefine/>
    <w:qFormat/>
    <w:uiPriority w:val="0"/>
    <w:pPr>
      <w:adjustRightInd w:val="0"/>
      <w:spacing w:line="240" w:lineRule="auto"/>
      <w:ind w:left="0" w:leftChars="0" w:firstLine="200" w:firstLineChars="200"/>
      <w:jc w:val="both"/>
    </w:pPr>
    <w:rPr>
      <w:rFonts w:hAnsi="宋体"/>
    </w:rPr>
  </w:style>
  <w:style w:type="paragraph" w:customStyle="1" w:styleId="105">
    <w:name w:val="标准文件_图表脚注"/>
    <w:basedOn w:val="1"/>
    <w:next w:val="60"/>
    <w:autoRedefine/>
    <w:qFormat/>
    <w:uiPriority w:val="0"/>
    <w:pPr>
      <w:numPr>
        <w:ilvl w:val="0"/>
        <w:numId w:val="12"/>
      </w:numPr>
      <w:spacing w:line="240" w:lineRule="auto"/>
      <w:jc w:val="left"/>
    </w:pPr>
    <w:rPr>
      <w:rFonts w:ascii="宋体" w:hAnsi="宋体"/>
      <w:sz w:val="18"/>
    </w:rPr>
  </w:style>
  <w:style w:type="character" w:customStyle="1" w:styleId="106">
    <w:name w:val="标准文件_图表脚注内容"/>
    <w:autoRedefine/>
    <w:qFormat/>
    <w:uiPriority w:val="0"/>
    <w:rPr>
      <w:rFonts w:ascii="宋体" w:hAnsi="宋体" w:eastAsia="宋体" w:cs="Times New Roman"/>
      <w:spacing w:val="0"/>
      <w:sz w:val="18"/>
      <w:vertAlign w:val="superscript"/>
    </w:rPr>
  </w:style>
  <w:style w:type="paragraph" w:customStyle="1" w:styleId="107">
    <w:name w:val="标准文件_五级条标题"/>
    <w:next w:val="60"/>
    <w:autoRedefine/>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8">
    <w:name w:val="标准文件_章标题"/>
    <w:next w:val="60"/>
    <w:autoRedefine/>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9">
    <w:name w:val="标准文件_一级条标题"/>
    <w:basedOn w:val="108"/>
    <w:next w:val="60"/>
    <w:autoRedefine/>
    <w:qFormat/>
    <w:uiPriority w:val="0"/>
    <w:pPr>
      <w:numPr>
        <w:ilvl w:val="2"/>
      </w:numPr>
      <w:spacing w:before="120" w:beforeLines="50" w:after="120" w:afterLines="50" w:line="360" w:lineRule="auto"/>
      <w:outlineLvl w:val="1"/>
    </w:pPr>
  </w:style>
  <w:style w:type="paragraph" w:customStyle="1" w:styleId="110">
    <w:name w:val="标准文件_一致程度"/>
    <w:basedOn w:val="1"/>
    <w:autoRedefine/>
    <w:qFormat/>
    <w:uiPriority w:val="0"/>
    <w:pPr>
      <w:spacing w:line="440" w:lineRule="exact"/>
      <w:jc w:val="center"/>
    </w:pPr>
    <w:rPr>
      <w:sz w:val="28"/>
    </w:rPr>
  </w:style>
  <w:style w:type="paragraph" w:customStyle="1" w:styleId="111">
    <w:name w:val="标准文件_引言标题"/>
    <w:next w:val="1"/>
    <w:autoRedefine/>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2">
    <w:name w:val="标准文件_英文图表脚注"/>
    <w:basedOn w:val="59"/>
    <w:autoRedefine/>
    <w:qFormat/>
    <w:uiPriority w:val="0"/>
    <w:pPr>
      <w:widowControl/>
      <w:snapToGrid/>
      <w:spacing w:line="240" w:lineRule="auto"/>
      <w:ind w:left="79" w:hanging="79" w:hangingChars="80"/>
    </w:pPr>
    <w:rPr>
      <w:rFonts w:ascii="宋体" w:hAnsi="宋体"/>
    </w:rPr>
  </w:style>
  <w:style w:type="paragraph" w:customStyle="1" w:styleId="113">
    <w:name w:val="标准文件_数字编号列项（二级）"/>
    <w:autoRedefine/>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4">
    <w:name w:val="标准文件_英文注："/>
    <w:basedOn w:val="1"/>
    <w:next w:val="60"/>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5">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6">
    <w:name w:val="标准文件_正文表标题"/>
    <w:next w:val="60"/>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公式"/>
    <w:basedOn w:val="1"/>
    <w:next w:val="59"/>
    <w:autoRedefine/>
    <w:qFormat/>
    <w:uiPriority w:val="0"/>
    <w:pPr>
      <w:tabs>
        <w:tab w:val="center" w:pos="4678"/>
        <w:tab w:val="right" w:leader="middleDot" w:pos="9356"/>
      </w:tabs>
      <w:spacing w:line="240" w:lineRule="auto"/>
    </w:pPr>
    <w:rPr>
      <w:rFonts w:ascii="宋体" w:hAnsi="宋体"/>
    </w:rPr>
  </w:style>
  <w:style w:type="paragraph" w:customStyle="1" w:styleId="118">
    <w:name w:val="标准文件_正文图标题"/>
    <w:next w:val="60"/>
    <w:autoRedefine/>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9">
    <w:name w:val="标准文件_正文英文表标题"/>
    <w:next w:val="60"/>
    <w:autoRedefine/>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20">
    <w:name w:val="标准文件_正文英文图标题"/>
    <w:next w:val="60"/>
    <w:autoRedefine/>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1">
    <w:name w:val="标准文件_编号列项（三级）"/>
    <w:autoRedefine/>
    <w:qFormat/>
    <w:uiPriority w:val="0"/>
    <w:pPr>
      <w:numPr>
        <w:ilvl w:val="2"/>
        <w:numId w:val="13"/>
      </w:numPr>
    </w:pPr>
    <w:rPr>
      <w:rFonts w:ascii="宋体" w:hAnsi="Times New Roman" w:eastAsia="宋体" w:cs="Times New Roman"/>
      <w:sz w:val="21"/>
      <w:lang w:val="en-US" w:eastAsia="zh-CN" w:bidi="ar-SA"/>
    </w:rPr>
  </w:style>
  <w:style w:type="paragraph" w:customStyle="1" w:styleId="122">
    <w:name w:val="二级无标题条"/>
    <w:basedOn w:val="1"/>
    <w:qFormat/>
    <w:uiPriority w:val="0"/>
    <w:pPr>
      <w:numPr>
        <w:ilvl w:val="3"/>
        <w:numId w:val="20"/>
      </w:numPr>
      <w:spacing w:line="240" w:lineRule="auto"/>
    </w:pPr>
    <w:rPr>
      <w:rFonts w:ascii="宋体" w:hAnsi="宋体"/>
      <w:szCs w:val="24"/>
    </w:rPr>
  </w:style>
  <w:style w:type="paragraph" w:customStyle="1" w:styleId="123">
    <w:name w:val="发布部门"/>
    <w:next w:val="60"/>
    <w:autoRedefine/>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4">
    <w:name w:val="发布日期"/>
    <w:autoRedefine/>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5">
    <w:name w:val="封面标准代替信息"/>
    <w:basedOn w:val="1"/>
    <w:autoRedefine/>
    <w:qFormat/>
    <w:uiPriority w:val="0"/>
    <w:pPr>
      <w:framePr w:w="9138" w:h="1244" w:hRule="exact" w:wrap="around"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6">
    <w:name w:val="封面标准名称"/>
    <w:autoRedefine/>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7">
    <w:name w:val="封面标准文稿编辑信息"/>
    <w:autoRedefine/>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8">
    <w:name w:val="封面标准文稿类别"/>
    <w:autoRedefine/>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9">
    <w:name w:val="封面标准英文名称"/>
    <w:autoRedefine/>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30">
    <w:name w:val="封面一致性程度标识"/>
    <w:autoRedefine/>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1">
    <w:name w:val="封面正文"/>
    <w:autoRedefine/>
    <w:qFormat/>
    <w:uiPriority w:val="0"/>
    <w:pPr>
      <w:jc w:val="both"/>
    </w:pPr>
    <w:rPr>
      <w:rFonts w:ascii="Times New Roman" w:hAnsi="Times New Roman" w:eastAsia="宋体" w:cs="Times New Roman"/>
      <w:lang w:val="en-US" w:eastAsia="zh-CN" w:bidi="ar-SA"/>
    </w:rPr>
  </w:style>
  <w:style w:type="paragraph" w:customStyle="1" w:styleId="132">
    <w:name w:val="附录二级无标题条"/>
    <w:basedOn w:val="1"/>
    <w:next w:val="60"/>
    <w:autoRedefine/>
    <w:qFormat/>
    <w:uiPriority w:val="0"/>
    <w:pPr>
      <w:widowControl/>
      <w:wordWrap w:val="0"/>
      <w:overflowPunct w:val="0"/>
      <w:autoSpaceDE w:val="0"/>
      <w:autoSpaceDN w:val="0"/>
      <w:spacing w:line="240" w:lineRule="auto"/>
      <w:textAlignment w:val="baseline"/>
      <w:outlineLvl w:val="3"/>
    </w:pPr>
    <w:rPr>
      <w:rFonts w:ascii="宋体" w:hAnsi="宋体"/>
      <w:kern w:val="21"/>
    </w:rPr>
  </w:style>
  <w:style w:type="paragraph" w:customStyle="1" w:styleId="133">
    <w:name w:val="附录三级无标题条"/>
    <w:basedOn w:val="132"/>
    <w:next w:val="60"/>
    <w:autoRedefine/>
    <w:qFormat/>
    <w:uiPriority w:val="0"/>
    <w:pPr>
      <w:outlineLvl w:val="4"/>
    </w:pPr>
  </w:style>
  <w:style w:type="paragraph" w:customStyle="1" w:styleId="134">
    <w:name w:val="附录四级无标题条"/>
    <w:basedOn w:val="133"/>
    <w:next w:val="60"/>
    <w:qFormat/>
    <w:uiPriority w:val="0"/>
    <w:pPr>
      <w:outlineLvl w:val="5"/>
    </w:pPr>
  </w:style>
  <w:style w:type="paragraph" w:customStyle="1" w:styleId="135">
    <w:name w:val="附录图"/>
    <w:next w:val="60"/>
    <w:autoRedefine/>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6">
    <w:name w:val="标准文件_一级项"/>
    <w:autoRedefine/>
    <w:qFormat/>
    <w:uiPriority w:val="0"/>
    <w:pPr>
      <w:numPr>
        <w:ilvl w:val="0"/>
        <w:numId w:val="21"/>
      </w:numPr>
    </w:pPr>
    <w:rPr>
      <w:rFonts w:ascii="宋体" w:hAnsi="Times New Roman" w:eastAsia="宋体" w:cs="Times New Roman"/>
      <w:sz w:val="21"/>
      <w:lang w:val="en-US" w:eastAsia="zh-CN" w:bidi="ar-SA"/>
    </w:rPr>
  </w:style>
  <w:style w:type="paragraph" w:customStyle="1" w:styleId="137">
    <w:name w:val="附录五级无标题条"/>
    <w:basedOn w:val="134"/>
    <w:next w:val="60"/>
    <w:qFormat/>
    <w:uiPriority w:val="0"/>
    <w:pPr>
      <w:outlineLvl w:val="6"/>
    </w:pPr>
  </w:style>
  <w:style w:type="paragraph" w:customStyle="1" w:styleId="138">
    <w:name w:val="附录性质"/>
    <w:basedOn w:val="1"/>
    <w:qFormat/>
    <w:uiPriority w:val="0"/>
    <w:pPr>
      <w:widowControl/>
      <w:jc w:val="center"/>
    </w:pPr>
    <w:rPr>
      <w:rFonts w:ascii="黑体" w:eastAsia="黑体"/>
    </w:rPr>
  </w:style>
  <w:style w:type="paragraph" w:customStyle="1" w:styleId="139">
    <w:name w:val="附录一级无标题条"/>
    <w:basedOn w:val="91"/>
    <w:next w:val="60"/>
    <w:autoRedefine/>
    <w:qFormat/>
    <w:uiPriority w:val="0"/>
    <w:pPr>
      <w:autoSpaceDN w:val="0"/>
      <w:outlineLvl w:val="2"/>
    </w:pPr>
    <w:rPr>
      <w:rFonts w:ascii="宋体" w:hAnsi="宋体" w:eastAsia="宋体"/>
    </w:rPr>
  </w:style>
  <w:style w:type="character" w:customStyle="1" w:styleId="140">
    <w:name w:val="个人答复风格"/>
    <w:autoRedefine/>
    <w:qFormat/>
    <w:uiPriority w:val="0"/>
    <w:rPr>
      <w:rFonts w:ascii="Arial" w:hAnsi="Arial" w:eastAsia="宋体" w:cs="Arial"/>
      <w:color w:val="auto"/>
      <w:spacing w:val="0"/>
      <w:sz w:val="20"/>
    </w:rPr>
  </w:style>
  <w:style w:type="character" w:customStyle="1" w:styleId="141">
    <w:name w:val="个人撰写风格"/>
    <w:autoRedefine/>
    <w:qFormat/>
    <w:uiPriority w:val="0"/>
    <w:rPr>
      <w:rFonts w:ascii="Arial" w:hAnsi="Arial" w:eastAsia="宋体" w:cs="Arial"/>
      <w:color w:val="auto"/>
      <w:spacing w:val="0"/>
      <w:sz w:val="20"/>
    </w:rPr>
  </w:style>
  <w:style w:type="paragraph" w:customStyle="1" w:styleId="142">
    <w:name w:val="脚注后续"/>
    <w:autoRedefine/>
    <w:qFormat/>
    <w:uiPriority w:val="0"/>
    <w:pPr>
      <w:ind w:left="350" w:leftChars="350"/>
      <w:jc w:val="both"/>
    </w:pPr>
    <w:rPr>
      <w:rFonts w:ascii="宋体" w:hAnsi="Times New Roman" w:eastAsia="宋体" w:cs="Times New Roman"/>
      <w:sz w:val="18"/>
      <w:lang w:val="en-US" w:eastAsia="zh-CN" w:bidi="ar-SA"/>
    </w:rPr>
  </w:style>
  <w:style w:type="paragraph" w:customStyle="1" w:styleId="143">
    <w:name w:val="列项——"/>
    <w:autoRedefine/>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4">
    <w:name w:val="列项·"/>
    <w:basedOn w:val="60"/>
    <w:autoRedefine/>
    <w:qFormat/>
    <w:uiPriority w:val="0"/>
    <w:pPr>
      <w:tabs>
        <w:tab w:val="left" w:pos="840"/>
      </w:tabs>
    </w:pPr>
  </w:style>
  <w:style w:type="paragraph" w:customStyle="1" w:styleId="145">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6">
    <w:name w:val="目录 21"/>
    <w:basedOn w:val="1"/>
    <w:next w:val="1"/>
    <w:semiHidden/>
    <w:qFormat/>
    <w:uiPriority w:val="0"/>
    <w:pPr>
      <w:spacing w:line="240" w:lineRule="auto"/>
      <w:jc w:val="left"/>
    </w:pPr>
    <w:rPr>
      <w:bCs/>
      <w:iCs/>
    </w:rPr>
  </w:style>
  <w:style w:type="paragraph" w:customStyle="1" w:styleId="147">
    <w:name w:val="目录 31"/>
    <w:basedOn w:val="1"/>
    <w:next w:val="1"/>
    <w:autoRedefine/>
    <w:semiHidden/>
    <w:qFormat/>
    <w:uiPriority w:val="0"/>
    <w:pPr>
      <w:spacing w:line="240" w:lineRule="auto"/>
    </w:pPr>
    <w:rPr>
      <w:rFonts w:ascii="宋体" w:hAnsi="宋体"/>
      <w:iCs/>
    </w:rPr>
  </w:style>
  <w:style w:type="paragraph" w:customStyle="1" w:styleId="148">
    <w:name w:val="目录 41"/>
    <w:basedOn w:val="1"/>
    <w:next w:val="1"/>
    <w:semiHidden/>
    <w:qFormat/>
    <w:uiPriority w:val="0"/>
    <w:pPr>
      <w:spacing w:line="240" w:lineRule="auto"/>
      <w:jc w:val="left"/>
    </w:pPr>
  </w:style>
  <w:style w:type="paragraph" w:customStyle="1" w:styleId="149">
    <w:name w:val="目录 51"/>
    <w:basedOn w:val="1"/>
    <w:next w:val="1"/>
    <w:semiHidden/>
    <w:qFormat/>
    <w:uiPriority w:val="0"/>
    <w:pPr>
      <w:spacing w:line="240" w:lineRule="auto"/>
    </w:pPr>
    <w:rPr>
      <w:rFonts w:ascii="宋体" w:hAnsi="宋体"/>
    </w:rPr>
  </w:style>
  <w:style w:type="paragraph" w:customStyle="1" w:styleId="150">
    <w:name w:val="目录 61"/>
    <w:basedOn w:val="1"/>
    <w:next w:val="1"/>
    <w:semiHidden/>
    <w:qFormat/>
    <w:uiPriority w:val="0"/>
    <w:pPr>
      <w:spacing w:line="240" w:lineRule="auto"/>
      <w:jc w:val="left"/>
    </w:pPr>
  </w:style>
  <w:style w:type="paragraph" w:customStyle="1" w:styleId="151">
    <w:name w:val="目录 71"/>
    <w:basedOn w:val="150"/>
    <w:autoRedefine/>
    <w:semiHidden/>
    <w:qFormat/>
    <w:uiPriority w:val="0"/>
    <w:pPr>
      <w:ind w:left="1260"/>
    </w:pPr>
  </w:style>
  <w:style w:type="paragraph" w:customStyle="1" w:styleId="152">
    <w:name w:val="目录 81"/>
    <w:basedOn w:val="151"/>
    <w:autoRedefine/>
    <w:semiHidden/>
    <w:qFormat/>
    <w:uiPriority w:val="0"/>
    <w:pPr>
      <w:ind w:left="1470"/>
    </w:pPr>
  </w:style>
  <w:style w:type="paragraph" w:customStyle="1" w:styleId="153">
    <w:name w:val="目录 91"/>
    <w:basedOn w:val="152"/>
    <w:autoRedefine/>
    <w:semiHidden/>
    <w:qFormat/>
    <w:uiPriority w:val="0"/>
    <w:pPr>
      <w:ind w:left="1680"/>
    </w:pPr>
  </w:style>
  <w:style w:type="paragraph" w:customStyle="1" w:styleId="154">
    <w:name w:val="其他标准称谓"/>
    <w:autoRedefine/>
    <w:qFormat/>
    <w:uiPriority w:val="0"/>
    <w:pPr>
      <w:spacing w:line="0" w:lineRule="atLeast"/>
      <w:jc w:val="distribute"/>
    </w:pPr>
    <w:rPr>
      <w:rFonts w:ascii="黑体" w:hAnsi="宋体" w:eastAsia="黑体" w:cs="Times New Roman"/>
      <w:sz w:val="52"/>
      <w:lang w:val="en-US" w:eastAsia="zh-CN" w:bidi="ar-SA"/>
    </w:rPr>
  </w:style>
  <w:style w:type="paragraph" w:customStyle="1" w:styleId="155">
    <w:name w:val="其他发布部门"/>
    <w:basedOn w:val="123"/>
    <w:autoRedefine/>
    <w:qFormat/>
    <w:uiPriority w:val="0"/>
    <w:pPr>
      <w:framePr w:wrap="around"/>
      <w:spacing w:line="0" w:lineRule="atLeast"/>
    </w:pPr>
    <w:rPr>
      <w:rFonts w:ascii="黑体" w:eastAsia="黑体"/>
      <w:b w:val="0"/>
    </w:rPr>
  </w:style>
  <w:style w:type="paragraph" w:customStyle="1" w:styleId="156">
    <w:name w:val="前言标题"/>
    <w:next w:val="1"/>
    <w:autoRedefine/>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7">
    <w:name w:val="三级无标题条"/>
    <w:basedOn w:val="1"/>
    <w:qFormat/>
    <w:uiPriority w:val="0"/>
    <w:pPr>
      <w:numPr>
        <w:ilvl w:val="4"/>
        <w:numId w:val="20"/>
      </w:numPr>
      <w:spacing w:line="240" w:lineRule="auto"/>
    </w:pPr>
    <w:rPr>
      <w:rFonts w:ascii="宋体" w:hAnsi="宋体"/>
      <w:szCs w:val="24"/>
    </w:rPr>
  </w:style>
  <w:style w:type="paragraph" w:customStyle="1" w:styleId="158">
    <w:name w:val="实施日期"/>
    <w:basedOn w:val="124"/>
    <w:autoRedefine/>
    <w:qFormat/>
    <w:uiPriority w:val="0"/>
    <w:pPr>
      <w:framePr w:hSpace="0" w:wrap="around" w:xAlign="right"/>
      <w:jc w:val="right"/>
    </w:pPr>
  </w:style>
  <w:style w:type="paragraph" w:customStyle="1" w:styleId="159">
    <w:name w:val="四级无标题条"/>
    <w:basedOn w:val="1"/>
    <w:autoRedefine/>
    <w:qFormat/>
    <w:uiPriority w:val="0"/>
    <w:pPr>
      <w:numPr>
        <w:ilvl w:val="5"/>
        <w:numId w:val="20"/>
      </w:numPr>
      <w:spacing w:line="240" w:lineRule="auto"/>
    </w:pPr>
    <w:rPr>
      <w:rFonts w:ascii="宋体" w:hAnsi="宋体"/>
      <w:szCs w:val="24"/>
    </w:rPr>
  </w:style>
  <w:style w:type="paragraph" w:customStyle="1" w:styleId="160">
    <w:name w:val="文献分类号"/>
    <w:autoRedefine/>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1">
    <w:name w:val="无标题条"/>
    <w:next w:val="60"/>
    <w:autoRedefine/>
    <w:qFormat/>
    <w:uiPriority w:val="0"/>
    <w:pPr>
      <w:jc w:val="both"/>
    </w:pPr>
    <w:rPr>
      <w:rFonts w:ascii="宋体" w:hAnsi="宋体" w:eastAsia="宋体" w:cs="Times New Roman"/>
      <w:sz w:val="21"/>
      <w:lang w:val="en-US" w:eastAsia="zh-CN" w:bidi="ar-SA"/>
    </w:rPr>
  </w:style>
  <w:style w:type="paragraph" w:customStyle="1" w:styleId="162">
    <w:name w:val="五级无标题条"/>
    <w:basedOn w:val="1"/>
    <w:qFormat/>
    <w:uiPriority w:val="0"/>
    <w:pPr>
      <w:numPr>
        <w:ilvl w:val="6"/>
        <w:numId w:val="20"/>
      </w:numPr>
    </w:pPr>
    <w:rPr>
      <w:szCs w:val="24"/>
    </w:rPr>
  </w:style>
  <w:style w:type="paragraph" w:customStyle="1" w:styleId="163">
    <w:name w:val="一级无标题条"/>
    <w:basedOn w:val="1"/>
    <w:autoRedefine/>
    <w:qFormat/>
    <w:uiPriority w:val="0"/>
    <w:pPr>
      <w:numPr>
        <w:ilvl w:val="2"/>
        <w:numId w:val="20"/>
      </w:numPr>
      <w:spacing w:before="10" w:after="10" w:line="240" w:lineRule="auto"/>
    </w:pPr>
    <w:rPr>
      <w:rFonts w:ascii="宋体" w:hAnsi="宋体"/>
      <w:szCs w:val="24"/>
    </w:rPr>
  </w:style>
  <w:style w:type="paragraph" w:customStyle="1" w:styleId="164">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5">
    <w:name w:val="注×:后续"/>
    <w:basedOn w:val="164"/>
    <w:autoRedefine/>
    <w:qFormat/>
    <w:uiPriority w:val="0"/>
    <w:pPr>
      <w:ind w:left="1406" w:leftChars="0" w:hanging="499" w:firstLineChars="0"/>
    </w:pPr>
  </w:style>
  <w:style w:type="paragraph" w:customStyle="1" w:styleId="166">
    <w:name w:val="标准文件_一级无标题"/>
    <w:basedOn w:val="109"/>
    <w:autoRedefine/>
    <w:qFormat/>
    <w:uiPriority w:val="0"/>
    <w:pPr>
      <w:spacing w:before="0" w:beforeLines="0" w:after="0" w:afterLines="0"/>
      <w:outlineLvl w:val="9"/>
    </w:pPr>
    <w:rPr>
      <w:rFonts w:ascii="宋体" w:eastAsia="宋体"/>
    </w:rPr>
  </w:style>
  <w:style w:type="paragraph" w:customStyle="1" w:styleId="167">
    <w:name w:val="标准文件_五级无标题"/>
    <w:basedOn w:val="107"/>
    <w:qFormat/>
    <w:uiPriority w:val="0"/>
    <w:pPr>
      <w:spacing w:before="0" w:beforeLines="0" w:after="0" w:afterLines="0"/>
      <w:outlineLvl w:val="9"/>
    </w:pPr>
    <w:rPr>
      <w:rFonts w:ascii="宋体" w:eastAsia="宋体"/>
    </w:rPr>
  </w:style>
  <w:style w:type="paragraph" w:customStyle="1" w:styleId="168">
    <w:name w:val="标准文件_三级无标题"/>
    <w:basedOn w:val="98"/>
    <w:qFormat/>
    <w:uiPriority w:val="0"/>
    <w:pPr>
      <w:spacing w:before="0" w:beforeLines="0" w:after="0" w:afterLines="0"/>
      <w:outlineLvl w:val="9"/>
    </w:pPr>
    <w:rPr>
      <w:rFonts w:ascii="宋体" w:eastAsia="宋体"/>
    </w:rPr>
  </w:style>
  <w:style w:type="paragraph" w:customStyle="1" w:styleId="169">
    <w:name w:val="标准文件_二级无标题"/>
    <w:basedOn w:val="69"/>
    <w:autoRedefine/>
    <w:qFormat/>
    <w:uiPriority w:val="0"/>
    <w:pPr>
      <w:spacing w:before="0" w:beforeLines="0" w:after="0" w:afterLines="0"/>
      <w:outlineLvl w:val="9"/>
    </w:pPr>
    <w:rPr>
      <w:rFonts w:ascii="宋体" w:eastAsia="宋体"/>
    </w:rPr>
  </w:style>
  <w:style w:type="paragraph" w:customStyle="1" w:styleId="170">
    <w:name w:val="标准_四级无标题"/>
    <w:basedOn w:val="102"/>
    <w:next w:val="60"/>
    <w:qFormat/>
    <w:uiPriority w:val="0"/>
    <w:rPr>
      <w:rFonts w:eastAsia="宋体"/>
    </w:rPr>
  </w:style>
  <w:style w:type="paragraph" w:customStyle="1" w:styleId="171">
    <w:name w:val="标准文件_四级无标题"/>
    <w:basedOn w:val="102"/>
    <w:qFormat/>
    <w:uiPriority w:val="0"/>
    <w:pPr>
      <w:spacing w:before="0" w:beforeLines="0" w:after="0" w:afterLines="0"/>
      <w:outlineLvl w:val="9"/>
    </w:pPr>
    <w:rPr>
      <w:rFonts w:ascii="宋体" w:hAnsi="黑体" w:eastAsia="宋体"/>
      <w:szCs w:val="52"/>
    </w:rPr>
  </w:style>
  <w:style w:type="paragraph" w:customStyle="1" w:styleId="172">
    <w:name w:val="标准文件_大写罗马数字编号列项"/>
    <w:basedOn w:val="60"/>
    <w:autoRedefine/>
    <w:qFormat/>
    <w:uiPriority w:val="0"/>
    <w:pPr>
      <w:numPr>
        <w:ilvl w:val="0"/>
        <w:numId w:val="23"/>
      </w:numPr>
      <w:ind w:firstLine="0" w:firstLineChars="0"/>
    </w:pPr>
    <w:rPr>
      <w:rFonts w:cs="Arial"/>
      <w:szCs w:val="28"/>
    </w:rPr>
  </w:style>
  <w:style w:type="paragraph" w:customStyle="1" w:styleId="173">
    <w:name w:val="标准文件_小写罗马数字编号列项"/>
    <w:basedOn w:val="60"/>
    <w:autoRedefine/>
    <w:qFormat/>
    <w:uiPriority w:val="0"/>
    <w:pPr>
      <w:numPr>
        <w:ilvl w:val="0"/>
        <w:numId w:val="24"/>
      </w:numPr>
      <w:ind w:firstLine="0" w:firstLineChars="0"/>
    </w:pPr>
    <w:rPr>
      <w:rFonts w:cs="Arial"/>
      <w:szCs w:val="28"/>
    </w:rPr>
  </w:style>
  <w:style w:type="paragraph" w:customStyle="1" w:styleId="174">
    <w:name w:val="标准文件_附录标题"/>
    <w:basedOn w:val="80"/>
    <w:autoRedefine/>
    <w:qFormat/>
    <w:uiPriority w:val="0"/>
    <w:pPr>
      <w:numPr>
        <w:numId w:val="0"/>
      </w:numPr>
      <w:spacing w:after="280"/>
      <w:outlineLvl w:val="9"/>
    </w:pPr>
  </w:style>
  <w:style w:type="paragraph" w:customStyle="1" w:styleId="175">
    <w:name w:val="标准文件_二级项"/>
    <w:qFormat/>
    <w:uiPriority w:val="0"/>
    <w:rPr>
      <w:rFonts w:ascii="宋体" w:hAnsi="Times New Roman" w:eastAsia="宋体" w:cs="Times New Roman"/>
      <w:sz w:val="21"/>
      <w:lang w:val="en-US" w:eastAsia="zh-CN" w:bidi="ar-SA"/>
    </w:rPr>
  </w:style>
  <w:style w:type="paragraph" w:customStyle="1" w:styleId="176">
    <w:name w:val="标准文件_三级项"/>
    <w:basedOn w:val="1"/>
    <w:autoRedefine/>
    <w:qFormat/>
    <w:uiPriority w:val="0"/>
    <w:pPr>
      <w:numPr>
        <w:ilvl w:val="2"/>
        <w:numId w:val="21"/>
      </w:numPr>
      <w:spacing w:line="536870612" w:lineRule="auto"/>
    </w:pPr>
    <w:rPr>
      <w:rFonts w:ascii="Times New Roman" w:hAnsi="Times New Roman"/>
    </w:rPr>
  </w:style>
  <w:style w:type="paragraph" w:customStyle="1" w:styleId="177">
    <w:name w:val="图表脚注说明"/>
    <w:basedOn w:val="1"/>
    <w:next w:val="60"/>
    <w:autoRedefine/>
    <w:qFormat/>
    <w:uiPriority w:val="0"/>
    <w:pPr>
      <w:numPr>
        <w:ilvl w:val="0"/>
        <w:numId w:val="25"/>
      </w:numPr>
      <w:spacing w:line="240" w:lineRule="auto"/>
      <w:ind w:left="783"/>
    </w:pPr>
    <w:rPr>
      <w:rFonts w:ascii="宋体" w:hAnsi="Times New Roman"/>
      <w:sz w:val="18"/>
      <w:szCs w:val="18"/>
    </w:rPr>
  </w:style>
  <w:style w:type="paragraph" w:customStyle="1" w:styleId="178">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9">
    <w:name w:val="标准文件_索引字母"/>
    <w:next w:val="60"/>
    <w:autoRedefine/>
    <w:qFormat/>
    <w:uiPriority w:val="0"/>
    <w:pPr>
      <w:jc w:val="center"/>
    </w:pPr>
    <w:rPr>
      <w:rFonts w:ascii="宋体" w:hAnsi="宋体" w:eastAsia="Times New Roman" w:cs="Times New Roman"/>
      <w:b/>
      <w:kern w:val="2"/>
      <w:sz w:val="21"/>
      <w:lang w:val="en-US" w:eastAsia="zh-CN" w:bidi="ar-SA"/>
    </w:rPr>
  </w:style>
  <w:style w:type="paragraph" w:customStyle="1" w:styleId="180">
    <w:name w:val="标准文件_附录前"/>
    <w:next w:val="60"/>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1">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82">
    <w:name w:val="标准文件_表格"/>
    <w:basedOn w:val="60"/>
    <w:autoRedefine/>
    <w:qFormat/>
    <w:uiPriority w:val="0"/>
    <w:pPr>
      <w:ind w:firstLine="0" w:firstLineChars="0"/>
      <w:jc w:val="center"/>
    </w:pPr>
    <w:rPr>
      <w:sz w:val="18"/>
    </w:rPr>
  </w:style>
  <w:style w:type="paragraph" w:customStyle="1" w:styleId="183">
    <w:name w:val="标准文件_注："/>
    <w:next w:val="60"/>
    <w:autoRedefine/>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注×："/>
    <w:autoRedefine/>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5">
    <w:name w:val="标准文件_示例："/>
    <w:next w:val="186"/>
    <w:autoRedefine/>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6">
    <w:name w:val="标准文件_示例内容"/>
    <w:basedOn w:val="60"/>
    <w:qFormat/>
    <w:uiPriority w:val="0"/>
    <w:rPr>
      <w:sz w:val="18"/>
    </w:rPr>
  </w:style>
  <w:style w:type="paragraph" w:customStyle="1" w:styleId="187">
    <w:name w:val="标准文件_示例×："/>
    <w:basedOn w:val="1"/>
    <w:next w:val="186"/>
    <w:qFormat/>
    <w:uiPriority w:val="0"/>
    <w:pPr>
      <w:widowControl/>
      <w:numPr>
        <w:ilvl w:val="0"/>
        <w:numId w:val="29"/>
      </w:numPr>
      <w:spacing w:line="240" w:lineRule="auto"/>
    </w:pPr>
    <w:rPr>
      <w:rFonts w:ascii="宋体" w:hAnsi="Times New Roman"/>
      <w:kern w:val="0"/>
      <w:sz w:val="18"/>
      <w:szCs w:val="18"/>
    </w:rPr>
  </w:style>
  <w:style w:type="character" w:customStyle="1" w:styleId="188">
    <w:name w:val="标准文件_段 Char"/>
    <w:link w:val="60"/>
    <w:autoRedefine/>
    <w:qFormat/>
    <w:uiPriority w:val="0"/>
    <w:rPr>
      <w:sz w:val="21"/>
      <w:szCs w:val="21"/>
    </w:rPr>
  </w:style>
  <w:style w:type="paragraph" w:customStyle="1" w:styleId="189">
    <w:name w:val="标准文件_表格续"/>
    <w:basedOn w:val="60"/>
    <w:next w:val="60"/>
    <w:qFormat/>
    <w:uiPriority w:val="0"/>
    <w:pPr>
      <w:jc w:val="center"/>
    </w:pPr>
    <w:rPr>
      <w:rFonts w:ascii="黑体" w:hAnsi="黑体" w:eastAsia="黑体"/>
    </w:rPr>
  </w:style>
  <w:style w:type="character" w:styleId="190">
    <w:name w:val="Placeholder Text"/>
    <w:basedOn w:val="31"/>
    <w:autoRedefine/>
    <w:semiHidden/>
    <w:qFormat/>
    <w:uiPriority w:val="99"/>
    <w:rPr>
      <w:color w:val="808080"/>
    </w:rPr>
  </w:style>
  <w:style w:type="paragraph" w:customStyle="1" w:styleId="191">
    <w:name w:val="标准文件_二级项2"/>
    <w:basedOn w:val="60"/>
    <w:autoRedefine/>
    <w:qFormat/>
    <w:uiPriority w:val="0"/>
    <w:pPr>
      <w:numPr>
        <w:ilvl w:val="1"/>
        <w:numId w:val="21"/>
      </w:numPr>
      <w:ind w:left="1271" w:hanging="420" w:firstLineChars="0"/>
    </w:pPr>
  </w:style>
  <w:style w:type="paragraph" w:customStyle="1" w:styleId="192">
    <w:name w:val="标准文件_三级项2"/>
    <w:basedOn w:val="60"/>
    <w:qFormat/>
    <w:uiPriority w:val="0"/>
    <w:pPr>
      <w:numPr>
        <w:ilvl w:val="0"/>
        <w:numId w:val="30"/>
      </w:numPr>
      <w:spacing w:line="300" w:lineRule="exact"/>
      <w:ind w:left="1276" w:hanging="425" w:firstLineChars="0"/>
    </w:pPr>
  </w:style>
  <w:style w:type="paragraph" w:customStyle="1" w:styleId="193">
    <w:name w:val="标准文件_一级项2"/>
    <w:basedOn w:val="60"/>
    <w:autoRedefine/>
    <w:qFormat/>
    <w:uiPriority w:val="0"/>
    <w:pPr>
      <w:numPr>
        <w:ilvl w:val="0"/>
        <w:numId w:val="31"/>
      </w:numPr>
      <w:spacing w:line="300" w:lineRule="exact"/>
      <w:ind w:left="1271" w:hanging="420" w:firstLineChars="0"/>
    </w:pPr>
  </w:style>
  <w:style w:type="paragraph" w:customStyle="1" w:styleId="194">
    <w:name w:val="标准文件_提示"/>
    <w:basedOn w:val="60"/>
    <w:next w:val="60"/>
    <w:autoRedefine/>
    <w:qFormat/>
    <w:uiPriority w:val="0"/>
    <w:rPr>
      <w:rFonts w:ascii="黑体" w:eastAsia="黑体"/>
    </w:rPr>
  </w:style>
  <w:style w:type="character" w:customStyle="1" w:styleId="195">
    <w:name w:val="标准文件_来源"/>
    <w:basedOn w:val="31"/>
    <w:autoRedefine/>
    <w:qFormat/>
    <w:uiPriority w:val="1"/>
    <w:rPr>
      <w:rFonts w:eastAsia="宋体"/>
      <w:sz w:val="21"/>
    </w:rPr>
  </w:style>
  <w:style w:type="paragraph" w:customStyle="1" w:styleId="196">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7">
    <w:name w:val="其他发布日期"/>
    <w:basedOn w:val="124"/>
    <w:autoRedefine/>
    <w:qFormat/>
    <w:uiPriority w:val="0"/>
    <w:pPr>
      <w:framePr w:w="3997" w:h="471" w:hRule="exact" w:hSpace="0" w:vSpace="181" w:wrap="around" w:vAnchor="page" w:hAnchor="page" w:x="1419" w:y="14097"/>
    </w:pPr>
  </w:style>
  <w:style w:type="paragraph" w:customStyle="1" w:styleId="198">
    <w:name w:val="其他实施日期"/>
    <w:basedOn w:val="158"/>
    <w:autoRedefine/>
    <w:qFormat/>
    <w:uiPriority w:val="0"/>
    <w:pPr>
      <w:framePr w:w="3997" w:h="471" w:hRule="exact" w:vSpace="181" w:wrap="around" w:vAnchor="page" w:hAnchor="page" w:x="7089" w:y="14097"/>
    </w:pPr>
  </w:style>
  <w:style w:type="paragraph" w:customStyle="1" w:styleId="199">
    <w:name w:val="标准文件_文件编号"/>
    <w:basedOn w:val="60"/>
    <w:autoRedefine/>
    <w:qFormat/>
    <w:uiPriority w:val="0"/>
    <w:pPr>
      <w:framePr w:w="9356" w:h="624" w:hRule="exact" w:hSpace="181" w:vSpace="181" w:wrap="around" w:vAnchor="page" w:hAnchor="page" w:x="1419" w:y="3284"/>
      <w:wordWrap w:val="0"/>
      <w:spacing w:line="280" w:lineRule="exact"/>
      <w:ind w:firstLine="0" w:firstLineChars="0"/>
      <w:jc w:val="right"/>
    </w:pPr>
    <w:rPr>
      <w:rFonts w:ascii="黑体" w:eastAsia="黑体"/>
      <w:bCs/>
      <w:sz w:val="28"/>
      <w:szCs w:val="28"/>
    </w:rPr>
  </w:style>
  <w:style w:type="paragraph" w:customStyle="1" w:styleId="200">
    <w:name w:val="标准文件_替换文件编号"/>
    <w:basedOn w:val="199"/>
    <w:autoRedefine/>
    <w:qFormat/>
    <w:uiPriority w:val="0"/>
    <w:pPr>
      <w:framePr w:wrap="around"/>
      <w:spacing w:before="57"/>
    </w:pPr>
    <w:rPr>
      <w:sz w:val="21"/>
    </w:rPr>
  </w:style>
  <w:style w:type="paragraph" w:customStyle="1" w:styleId="201">
    <w:name w:val="标准文件_文件名称"/>
    <w:basedOn w:val="60"/>
    <w:next w:val="60"/>
    <w:autoRedefine/>
    <w:qFormat/>
    <w:uiPriority w:val="0"/>
    <w:pPr>
      <w:framePr w:w="9639" w:h="6976" w:hRule="exact" w:wrap="around" w:vAnchor="page" w:hAnchor="page" w:y="6408"/>
      <w:autoSpaceDE/>
      <w:autoSpaceDN/>
      <w:spacing w:line="700" w:lineRule="exact"/>
      <w:ind w:firstLine="0" w:firstLineChars="0"/>
      <w:jc w:val="center"/>
    </w:pPr>
    <w:rPr>
      <w:rFonts w:ascii="黑体" w:hAnsi="黑体" w:eastAsia="黑体"/>
      <w:bCs/>
      <w:sz w:val="52"/>
    </w:rPr>
  </w:style>
  <w:style w:type="paragraph" w:customStyle="1" w:styleId="202">
    <w:name w:val="标准文件_附录图标号"/>
    <w:basedOn w:val="60"/>
    <w:next w:val="60"/>
    <w:qFormat/>
    <w:uiPriority w:val="0"/>
    <w:pPr>
      <w:numPr>
        <w:ilvl w:val="0"/>
        <w:numId w:val="6"/>
      </w:numPr>
      <w:spacing w:line="14" w:lineRule="exact"/>
      <w:ind w:firstLine="0" w:firstLineChars="0"/>
      <w:jc w:val="center"/>
    </w:pPr>
    <w:rPr>
      <w:rFonts w:ascii="黑体" w:hAnsi="黑体" w:eastAsia="黑体"/>
      <w:vanish/>
      <w:sz w:val="2"/>
    </w:rPr>
  </w:style>
  <w:style w:type="paragraph" w:customStyle="1" w:styleId="203">
    <w:name w:val="标准文件_附录表标号"/>
    <w:basedOn w:val="60"/>
    <w:next w:val="60"/>
    <w:autoRedefine/>
    <w:qFormat/>
    <w:uiPriority w:val="0"/>
    <w:pPr>
      <w:numPr>
        <w:ilvl w:val="0"/>
        <w:numId w:val="5"/>
      </w:numPr>
      <w:spacing w:line="14" w:lineRule="exact"/>
      <w:ind w:firstLine="0" w:firstLineChars="0"/>
      <w:jc w:val="center"/>
    </w:pPr>
    <w:rPr>
      <w:rFonts w:eastAsia="黑体"/>
      <w:vanish/>
      <w:sz w:val="2"/>
    </w:rPr>
  </w:style>
  <w:style w:type="paragraph" w:customStyle="1" w:styleId="204">
    <w:name w:val="标准文件_引言一级条标题"/>
    <w:basedOn w:val="60"/>
    <w:next w:val="60"/>
    <w:autoRedefine/>
    <w:qFormat/>
    <w:uiPriority w:val="0"/>
    <w:pPr>
      <w:numPr>
        <w:ilvl w:val="1"/>
        <w:numId w:val="8"/>
      </w:numPr>
      <w:spacing w:before="50" w:beforeLines="50" w:after="50" w:afterLines="50"/>
      <w:ind w:firstLineChars="0"/>
    </w:pPr>
    <w:rPr>
      <w:rFonts w:ascii="黑体" w:eastAsia="黑体"/>
    </w:rPr>
  </w:style>
  <w:style w:type="paragraph" w:customStyle="1" w:styleId="205">
    <w:name w:val="标准文件_引言二级条标题"/>
    <w:basedOn w:val="60"/>
    <w:next w:val="60"/>
    <w:qFormat/>
    <w:uiPriority w:val="0"/>
    <w:pPr>
      <w:numPr>
        <w:ilvl w:val="2"/>
        <w:numId w:val="8"/>
      </w:numPr>
      <w:spacing w:before="50" w:beforeLines="50" w:after="50" w:afterLines="50"/>
      <w:ind w:firstLineChars="0"/>
    </w:pPr>
    <w:rPr>
      <w:rFonts w:ascii="黑体" w:eastAsia="黑体"/>
    </w:rPr>
  </w:style>
  <w:style w:type="paragraph" w:customStyle="1" w:styleId="206">
    <w:name w:val="标准文件_引言三级条标题"/>
    <w:basedOn w:val="60"/>
    <w:next w:val="60"/>
    <w:autoRedefine/>
    <w:qFormat/>
    <w:uiPriority w:val="0"/>
    <w:pPr>
      <w:numPr>
        <w:ilvl w:val="3"/>
        <w:numId w:val="8"/>
      </w:numPr>
      <w:spacing w:before="50" w:beforeLines="50" w:after="50" w:afterLines="50"/>
      <w:ind w:firstLineChars="0"/>
    </w:pPr>
    <w:rPr>
      <w:rFonts w:ascii="黑体" w:eastAsia="黑体"/>
    </w:rPr>
  </w:style>
  <w:style w:type="paragraph" w:customStyle="1" w:styleId="207">
    <w:name w:val="标准文件_引言四级条标题"/>
    <w:basedOn w:val="60"/>
    <w:next w:val="60"/>
    <w:autoRedefine/>
    <w:qFormat/>
    <w:uiPriority w:val="0"/>
    <w:pPr>
      <w:numPr>
        <w:ilvl w:val="4"/>
        <w:numId w:val="8"/>
      </w:numPr>
      <w:spacing w:before="50" w:beforeLines="50" w:after="50" w:afterLines="50"/>
      <w:ind w:firstLineChars="0"/>
    </w:pPr>
    <w:rPr>
      <w:rFonts w:ascii="黑体" w:eastAsia="黑体"/>
    </w:rPr>
  </w:style>
  <w:style w:type="paragraph" w:customStyle="1" w:styleId="208">
    <w:name w:val="标准文件_引言五级条标题"/>
    <w:basedOn w:val="60"/>
    <w:next w:val="60"/>
    <w:autoRedefine/>
    <w:qFormat/>
    <w:uiPriority w:val="0"/>
    <w:pPr>
      <w:numPr>
        <w:ilvl w:val="5"/>
        <w:numId w:val="8"/>
      </w:numPr>
      <w:spacing w:before="50" w:beforeLines="50" w:after="50" w:afterLines="50"/>
      <w:ind w:firstLineChars="0"/>
    </w:pPr>
    <w:rPr>
      <w:rFonts w:ascii="黑体" w:eastAsia="黑体"/>
    </w:rPr>
  </w:style>
  <w:style w:type="paragraph" w:customStyle="1" w:styleId="209">
    <w:name w:val="标准文件_注后"/>
    <w:basedOn w:val="60"/>
    <w:autoRedefine/>
    <w:qFormat/>
    <w:uiPriority w:val="0"/>
    <w:pPr>
      <w:ind w:left="811" w:firstLine="0" w:firstLineChars="0"/>
    </w:pPr>
    <w:rPr>
      <w:sz w:val="18"/>
    </w:rPr>
  </w:style>
  <w:style w:type="paragraph" w:customStyle="1" w:styleId="210">
    <w:name w:val="标准文件_注X后"/>
    <w:basedOn w:val="60"/>
    <w:autoRedefine/>
    <w:qFormat/>
    <w:uiPriority w:val="0"/>
    <w:pPr>
      <w:ind w:left="811" w:firstLine="0" w:firstLineChars="0"/>
    </w:pPr>
    <w:rPr>
      <w:sz w:val="18"/>
    </w:rPr>
  </w:style>
  <w:style w:type="paragraph" w:customStyle="1" w:styleId="211">
    <w:name w:val="标准文件_示例后"/>
    <w:basedOn w:val="60"/>
    <w:autoRedefine/>
    <w:qFormat/>
    <w:uiPriority w:val="0"/>
    <w:pPr>
      <w:ind w:left="964" w:firstLine="0" w:firstLineChars="0"/>
    </w:pPr>
    <w:rPr>
      <w:sz w:val="18"/>
    </w:rPr>
  </w:style>
  <w:style w:type="paragraph" w:customStyle="1" w:styleId="212">
    <w:name w:val="标准文件_示例X后"/>
    <w:basedOn w:val="60"/>
    <w:link w:val="213"/>
    <w:autoRedefine/>
    <w:qFormat/>
    <w:uiPriority w:val="0"/>
    <w:pPr>
      <w:ind w:left="1049" w:firstLine="0" w:firstLineChars="0"/>
    </w:pPr>
    <w:rPr>
      <w:sz w:val="18"/>
    </w:rPr>
  </w:style>
  <w:style w:type="character" w:customStyle="1" w:styleId="213">
    <w:name w:val="标准文件_示例X后 字符"/>
    <w:basedOn w:val="188"/>
    <w:link w:val="212"/>
    <w:autoRedefine/>
    <w:qFormat/>
    <w:uiPriority w:val="0"/>
    <w:rPr>
      <w:rFonts w:ascii="宋体" w:hAnsi="Times New Roman"/>
      <w:sz w:val="18"/>
      <w:szCs w:val="21"/>
    </w:rPr>
  </w:style>
  <w:style w:type="paragraph" w:customStyle="1" w:styleId="214">
    <w:name w:val="标准文件_索引项"/>
    <w:basedOn w:val="60"/>
    <w:next w:val="60"/>
    <w:autoRedefine/>
    <w:qFormat/>
    <w:uiPriority w:val="0"/>
    <w:pPr>
      <w:tabs>
        <w:tab w:val="right" w:leader="dot" w:pos="9356"/>
      </w:tabs>
      <w:ind w:left="210" w:hanging="210" w:firstLineChars="0"/>
      <w:jc w:val="left"/>
    </w:pPr>
  </w:style>
  <w:style w:type="paragraph" w:customStyle="1" w:styleId="215">
    <w:name w:val="标准文件_附录一级无标题"/>
    <w:basedOn w:val="82"/>
    <w:autoRedefine/>
    <w:qFormat/>
    <w:uiPriority w:val="0"/>
    <w:pPr>
      <w:spacing w:before="0" w:beforeLines="0" w:after="0" w:afterLines="0" w:line="276" w:lineRule="auto"/>
      <w:outlineLvl w:val="9"/>
    </w:pPr>
    <w:rPr>
      <w:rFonts w:ascii="宋体" w:eastAsia="宋体"/>
    </w:rPr>
  </w:style>
  <w:style w:type="paragraph" w:customStyle="1" w:styleId="216">
    <w:name w:val="标准文件_附录二级无标题"/>
    <w:basedOn w:val="83"/>
    <w:autoRedefine/>
    <w:qFormat/>
    <w:uiPriority w:val="0"/>
    <w:pPr>
      <w:spacing w:before="0" w:beforeLines="0" w:after="0" w:afterLines="0" w:line="276" w:lineRule="auto"/>
      <w:outlineLvl w:val="9"/>
    </w:pPr>
    <w:rPr>
      <w:rFonts w:ascii="宋体" w:eastAsia="宋体"/>
    </w:rPr>
  </w:style>
  <w:style w:type="paragraph" w:customStyle="1" w:styleId="217">
    <w:name w:val="标准文件_附录三级无标题"/>
    <w:basedOn w:val="85"/>
    <w:autoRedefine/>
    <w:qFormat/>
    <w:uiPriority w:val="0"/>
    <w:pPr>
      <w:spacing w:before="0" w:beforeLines="0" w:after="0" w:afterLines="0" w:line="276" w:lineRule="auto"/>
      <w:outlineLvl w:val="9"/>
    </w:pPr>
    <w:rPr>
      <w:rFonts w:ascii="宋体" w:eastAsia="宋体"/>
    </w:rPr>
  </w:style>
  <w:style w:type="paragraph" w:customStyle="1" w:styleId="218">
    <w:name w:val="标准文件_附录四级无标题"/>
    <w:basedOn w:val="86"/>
    <w:qFormat/>
    <w:uiPriority w:val="0"/>
    <w:pPr>
      <w:spacing w:before="0" w:beforeLines="0" w:after="0" w:afterLines="0" w:line="276" w:lineRule="auto"/>
      <w:outlineLvl w:val="9"/>
    </w:pPr>
    <w:rPr>
      <w:rFonts w:ascii="宋体" w:eastAsia="宋体"/>
    </w:rPr>
  </w:style>
  <w:style w:type="paragraph" w:customStyle="1" w:styleId="219">
    <w:name w:val="标准文件_附录五级无标题"/>
    <w:basedOn w:val="88"/>
    <w:autoRedefine/>
    <w:qFormat/>
    <w:uiPriority w:val="0"/>
    <w:pPr>
      <w:spacing w:before="0" w:beforeLines="0" w:after="0" w:afterLines="0" w:line="276" w:lineRule="auto"/>
      <w:outlineLvl w:val="9"/>
    </w:pPr>
    <w:rPr>
      <w:rFonts w:ascii="宋体" w:eastAsia="宋体"/>
    </w:rPr>
  </w:style>
  <w:style w:type="paragraph" w:customStyle="1" w:styleId="220">
    <w:name w:val="标准文件_引言一级无标题"/>
    <w:basedOn w:val="204"/>
    <w:next w:val="60"/>
    <w:autoRedefine/>
    <w:qFormat/>
    <w:uiPriority w:val="0"/>
    <w:pPr>
      <w:spacing w:before="0" w:beforeLines="0" w:after="0" w:afterLines="0" w:line="276" w:lineRule="auto"/>
    </w:pPr>
    <w:rPr>
      <w:rFonts w:ascii="宋体" w:eastAsia="宋体"/>
    </w:rPr>
  </w:style>
  <w:style w:type="paragraph" w:customStyle="1" w:styleId="221">
    <w:name w:val="标准文件_引言二级无标题"/>
    <w:basedOn w:val="205"/>
    <w:next w:val="60"/>
    <w:autoRedefine/>
    <w:qFormat/>
    <w:uiPriority w:val="0"/>
    <w:pPr>
      <w:spacing w:before="0" w:beforeLines="0" w:after="0" w:afterLines="0" w:line="276" w:lineRule="auto"/>
    </w:pPr>
    <w:rPr>
      <w:rFonts w:ascii="宋体" w:eastAsia="宋体"/>
    </w:rPr>
  </w:style>
  <w:style w:type="paragraph" w:customStyle="1" w:styleId="222">
    <w:name w:val="标准文件_引言三级无标题"/>
    <w:basedOn w:val="206"/>
    <w:next w:val="60"/>
    <w:qFormat/>
    <w:uiPriority w:val="0"/>
    <w:pPr>
      <w:spacing w:before="0" w:beforeLines="0" w:after="0" w:afterLines="0" w:line="276" w:lineRule="auto"/>
    </w:pPr>
    <w:rPr>
      <w:rFonts w:ascii="宋体" w:eastAsia="宋体"/>
    </w:rPr>
  </w:style>
  <w:style w:type="paragraph" w:customStyle="1" w:styleId="223">
    <w:name w:val="标准文件_引言四级无标题"/>
    <w:basedOn w:val="207"/>
    <w:next w:val="60"/>
    <w:autoRedefine/>
    <w:qFormat/>
    <w:uiPriority w:val="0"/>
    <w:pPr>
      <w:spacing w:before="0" w:beforeLines="0" w:after="0" w:afterLines="0" w:line="276" w:lineRule="auto"/>
    </w:pPr>
    <w:rPr>
      <w:rFonts w:ascii="宋体" w:eastAsia="宋体"/>
    </w:rPr>
  </w:style>
  <w:style w:type="paragraph" w:customStyle="1" w:styleId="224">
    <w:name w:val="标准文件_引言五级无标题"/>
    <w:basedOn w:val="208"/>
    <w:next w:val="60"/>
    <w:autoRedefine/>
    <w:qFormat/>
    <w:uiPriority w:val="0"/>
    <w:pPr>
      <w:spacing w:before="0" w:beforeLines="0" w:after="0" w:afterLines="0" w:line="276" w:lineRule="auto"/>
    </w:pPr>
    <w:rPr>
      <w:rFonts w:ascii="宋体" w:eastAsia="宋体"/>
    </w:rPr>
  </w:style>
  <w:style w:type="paragraph" w:customStyle="1" w:styleId="225">
    <w:name w:val="标准文件_索引标题"/>
    <w:basedOn w:val="67"/>
    <w:next w:val="60"/>
    <w:autoRedefine/>
    <w:qFormat/>
    <w:uiPriority w:val="0"/>
    <w:rPr>
      <w:rFonts w:hAnsi="黑体"/>
    </w:rPr>
  </w:style>
  <w:style w:type="paragraph" w:customStyle="1" w:styleId="226">
    <w:name w:val="标准文件_脚注内容"/>
    <w:basedOn w:val="60"/>
    <w:qFormat/>
    <w:uiPriority w:val="0"/>
    <w:pPr>
      <w:ind w:left="400" w:leftChars="200" w:hanging="200" w:hangingChars="200"/>
    </w:pPr>
    <w:rPr>
      <w:sz w:val="15"/>
    </w:rPr>
  </w:style>
  <w:style w:type="paragraph" w:customStyle="1" w:styleId="227">
    <w:name w:val="标准文件_术语条一"/>
    <w:basedOn w:val="166"/>
    <w:next w:val="60"/>
    <w:autoRedefine/>
    <w:qFormat/>
    <w:uiPriority w:val="0"/>
  </w:style>
  <w:style w:type="paragraph" w:customStyle="1" w:styleId="228">
    <w:name w:val="标准文件_术语条二"/>
    <w:basedOn w:val="169"/>
    <w:next w:val="60"/>
    <w:autoRedefine/>
    <w:qFormat/>
    <w:uiPriority w:val="0"/>
  </w:style>
  <w:style w:type="paragraph" w:customStyle="1" w:styleId="229">
    <w:name w:val="标准文件_术语条三"/>
    <w:basedOn w:val="168"/>
    <w:next w:val="60"/>
    <w:qFormat/>
    <w:uiPriority w:val="0"/>
  </w:style>
  <w:style w:type="paragraph" w:customStyle="1" w:styleId="230">
    <w:name w:val="标准文件_术语条四"/>
    <w:basedOn w:val="171"/>
    <w:next w:val="60"/>
    <w:autoRedefine/>
    <w:qFormat/>
    <w:uiPriority w:val="0"/>
  </w:style>
  <w:style w:type="paragraph" w:customStyle="1" w:styleId="231">
    <w:name w:val="标准文件_术语条五"/>
    <w:basedOn w:val="167"/>
    <w:next w:val="60"/>
    <w:qFormat/>
    <w:uiPriority w:val="0"/>
  </w:style>
  <w:style w:type="paragraph" w:customStyle="1" w:styleId="232">
    <w:name w:val="Default"/>
    <w:autoRedefine/>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3">
    <w:name w:val="发布"/>
    <w:basedOn w:val="31"/>
    <w:autoRedefine/>
    <w:qFormat/>
    <w:uiPriority w:val="0"/>
    <w:rPr>
      <w:rFonts w:ascii="黑体" w:eastAsia="黑体"/>
      <w:spacing w:val="85"/>
      <w:w w:val="100"/>
      <w:position w:val="3"/>
      <w:sz w:val="28"/>
      <w:szCs w:val="28"/>
    </w:rPr>
  </w:style>
  <w:style w:type="paragraph" w:customStyle="1" w:styleId="234">
    <w:name w:val="一级条标题"/>
    <w:next w:val="235"/>
    <w:qFormat/>
    <w:uiPriority w:val="0"/>
    <w:pPr>
      <w:numPr>
        <w:ilvl w:val="1"/>
        <w:numId w:val="32"/>
      </w:num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235">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236">
    <w:name w:val="章标题"/>
    <w:next w:val="235"/>
    <w:autoRedefine/>
    <w:qFormat/>
    <w:uiPriority w:val="0"/>
    <w:pPr>
      <w:numPr>
        <w:ilvl w:val="0"/>
        <w:numId w:val="32"/>
      </w:numPr>
      <w:spacing w:before="312" w:beforeLines="100" w:after="312" w:afterLines="100"/>
      <w:jc w:val="both"/>
      <w:outlineLvl w:val="1"/>
    </w:pPr>
    <w:rPr>
      <w:rFonts w:ascii="黑体" w:hAnsi="Times New Roman" w:eastAsia="黑体" w:cs="Times New Roman"/>
      <w:sz w:val="21"/>
      <w:lang w:val="en-US" w:eastAsia="zh-CN" w:bidi="ar-SA"/>
    </w:rPr>
  </w:style>
  <w:style w:type="character" w:customStyle="1" w:styleId="237">
    <w:name w:val="日期 字符"/>
    <w:basedOn w:val="31"/>
    <w:link w:val="17"/>
    <w:semiHidden/>
    <w:qFormat/>
    <w:uiPriority w:val="99"/>
    <w:rPr>
      <w:rFonts w:ascii="Calibri" w:hAnsi="Calibri"/>
      <w:kern w:val="2"/>
      <w:sz w:val="21"/>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glossaryDocument" Target="glossary/document.xml"/><Relationship Id="rId24" Type="http://schemas.openxmlformats.org/officeDocument/2006/relationships/fontTable" Target="fontTable.xml"/><Relationship Id="rId23" Type="http://schemas.openxmlformats.org/officeDocument/2006/relationships/customXml" Target="../customXml/item2.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jpe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18742AC29F024A95852915A576344328"/>
        <w:style w:val=""/>
        <w:category>
          <w:name w:val="常规"/>
          <w:gallery w:val="placeholder"/>
        </w:category>
        <w:types>
          <w:type w:val="bbPlcHdr"/>
        </w:types>
        <w:behaviors>
          <w:behavior w:val="content"/>
        </w:behaviors>
        <w:description w:val=""/>
        <w:guid w:val="{53E557A4-12CB-43FB-B9F7-F4C822C6835C}"/>
      </w:docPartPr>
      <w:docPartBody>
        <w:p w14:paraId="665D2749">
          <w:pPr>
            <w:pStyle w:val="5"/>
            <w:rPr>
              <w:rFonts w:hint="eastAsia"/>
            </w:rPr>
          </w:pPr>
          <w:r>
            <w:rPr>
              <w:rStyle w:val="4"/>
              <w:rFonts w:hint="eastAsia"/>
            </w:rPr>
            <w:t>单击或点击此处输入文字。</w:t>
          </w:r>
        </w:p>
      </w:docPartBody>
    </w:docPart>
    <w:docPart>
      <w:docPartPr>
        <w:name w:val="247B10A345F04B5FBC7F171428A13AD2"/>
        <w:style w:val=""/>
        <w:category>
          <w:name w:val="常规"/>
          <w:gallery w:val="placeholder"/>
        </w:category>
        <w:types>
          <w:type w:val="bbPlcHdr"/>
        </w:types>
        <w:behaviors>
          <w:behavior w:val="content"/>
        </w:behaviors>
        <w:description w:val=""/>
        <w:guid w:val="{CF759262-8CAB-491F-B877-15DF3842F778}"/>
      </w:docPartPr>
      <w:docPartBody>
        <w:p w14:paraId="559565DF">
          <w:pPr>
            <w:pStyle w:val="6"/>
            <w:rPr>
              <w:rFonts w:hint="eastAsia"/>
            </w:rPr>
          </w:pPr>
          <w:r>
            <w:rPr>
              <w:rStyle w:val="4"/>
              <w:rFonts w:hint="eastAsia"/>
            </w:rPr>
            <w:t>选择一项。</w:t>
          </w:r>
        </w:p>
      </w:docPartBody>
    </w:docPart>
    <w:docPart>
      <w:docPartPr>
        <w:name w:val="9B29E05B00CD44E0977E34133DEA9380"/>
        <w:style w:val=""/>
        <w:category>
          <w:name w:val="常规"/>
          <w:gallery w:val="placeholder"/>
        </w:category>
        <w:types>
          <w:type w:val="bbPlcHdr"/>
        </w:types>
        <w:behaviors>
          <w:behavior w:val="content"/>
        </w:behaviors>
        <w:description w:val=""/>
        <w:guid w:val="{5318FEF8-8618-435E-B577-7E0315B3F1E2}"/>
      </w:docPartPr>
      <w:docPartBody>
        <w:p w14:paraId="1FA1A8E2">
          <w:pPr>
            <w:pStyle w:val="7"/>
            <w:rPr>
              <w:rFonts w:hint="eastAsia"/>
            </w:rPr>
          </w:pPr>
          <w:r>
            <w:rPr>
              <w:rStyle w:val="4"/>
              <w:rFonts w:hint="eastAsia"/>
            </w:rPr>
            <w:t>选择一项。</w:t>
          </w:r>
        </w:p>
      </w:docPartBody>
    </w:docPart>
    <w:docPart>
      <w:docPartPr>
        <w:name w:val="{a075e97d-6de1-43f2-97b9-1deabd5fc068}"/>
        <w:style w:val=""/>
        <w:category>
          <w:name w:val="常规"/>
          <w:gallery w:val="placeholder"/>
        </w:category>
        <w:types>
          <w:type w:val="bbPlcHdr"/>
        </w:types>
        <w:behaviors>
          <w:behavior w:val="content"/>
        </w:behaviors>
        <w:description w:val=""/>
        <w:guid w:val="{A075E97D-6DE1-43F2-97B9-1DEABD5FC068}"/>
      </w:docPartPr>
      <w:docPartBody>
        <w:p w14:paraId="03E73182">
          <w:pPr>
            <w:pStyle w:val="8"/>
            <w:rPr>
              <w:rFonts w:hint="eastAsia"/>
            </w:rPr>
          </w:pPr>
          <w:r>
            <w:rPr>
              <w:rStyle w:val="4"/>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DC5"/>
    <w:rsid w:val="00001E37"/>
    <w:rsid w:val="00042E6A"/>
    <w:rsid w:val="0009420D"/>
    <w:rsid w:val="000F68BD"/>
    <w:rsid w:val="001230E0"/>
    <w:rsid w:val="001444C7"/>
    <w:rsid w:val="001607B9"/>
    <w:rsid w:val="00161418"/>
    <w:rsid w:val="00195F44"/>
    <w:rsid w:val="001A68E5"/>
    <w:rsid w:val="00200A54"/>
    <w:rsid w:val="00224914"/>
    <w:rsid w:val="00235DC5"/>
    <w:rsid w:val="00246803"/>
    <w:rsid w:val="002F67B4"/>
    <w:rsid w:val="002F6D92"/>
    <w:rsid w:val="0031428B"/>
    <w:rsid w:val="00394AE4"/>
    <w:rsid w:val="003A56BD"/>
    <w:rsid w:val="003A646D"/>
    <w:rsid w:val="003D71F9"/>
    <w:rsid w:val="003F66D4"/>
    <w:rsid w:val="00450AFA"/>
    <w:rsid w:val="00540FD8"/>
    <w:rsid w:val="005609E5"/>
    <w:rsid w:val="005827A9"/>
    <w:rsid w:val="006354FA"/>
    <w:rsid w:val="00725607"/>
    <w:rsid w:val="007561BB"/>
    <w:rsid w:val="007C401C"/>
    <w:rsid w:val="007C490A"/>
    <w:rsid w:val="00803093"/>
    <w:rsid w:val="008F7079"/>
    <w:rsid w:val="009640AB"/>
    <w:rsid w:val="009E2B83"/>
    <w:rsid w:val="009E2FE3"/>
    <w:rsid w:val="00A43843"/>
    <w:rsid w:val="00A94DC8"/>
    <w:rsid w:val="00AB7158"/>
    <w:rsid w:val="00AC6208"/>
    <w:rsid w:val="00AE0E48"/>
    <w:rsid w:val="00AF4C71"/>
    <w:rsid w:val="00B167D8"/>
    <w:rsid w:val="00BD45ED"/>
    <w:rsid w:val="00BF4468"/>
    <w:rsid w:val="00C51943"/>
    <w:rsid w:val="00C952FC"/>
    <w:rsid w:val="00C96637"/>
    <w:rsid w:val="00CA6E10"/>
    <w:rsid w:val="00D26477"/>
    <w:rsid w:val="00D74C17"/>
    <w:rsid w:val="00DA5299"/>
    <w:rsid w:val="00EA4F3B"/>
    <w:rsid w:val="00F716AE"/>
    <w:rsid w:val="00FC7E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autoRedefine/>
    <w:semiHidden/>
    <w:qFormat/>
    <w:uiPriority w:val="99"/>
    <w:rPr>
      <w:color w:val="808080"/>
    </w:rPr>
  </w:style>
  <w:style w:type="paragraph" w:customStyle="1" w:styleId="5">
    <w:name w:val="18742AC29F024A95852915A57634432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247B10A345F04B5FBC7F171428A13A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9B29E05B00CD44E0977E34133DEA9380"/>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
    <w:name w:val="8D441FF8912F4412B884A935255487D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9CF907-54C7-453B-8712-3C64AF8AB54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21</Pages>
  <Words>5130</Words>
  <Characters>5973</Characters>
  <Lines>455</Lines>
  <Paragraphs>505</Paragraphs>
  <TotalTime>1</TotalTime>
  <ScaleCrop>false</ScaleCrop>
  <LinksUpToDate>false</LinksUpToDate>
  <CharactersWithSpaces>6135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2026-04-03T08:04:00Z</dcterms:created>
  <dc:creator>潘亮</dc:creator>
  <dc:description>&lt;config cover="true" show_menu="true" version="1.0.0" doctype="SDKXY"&gt;_x000d_
&lt;/config&gt;</dc:description>
  <cp:lastModifiedBy>hqm</cp:lastModifiedBy>
  <cp:lastPrinted>2021-02-02T08:22:00Z</cp:lastPrinted>
  <dcterms:modified xsi:type="dcterms:W3CDTF">2026-06-16T15:48:29Z</dcterms:modified>
  <dc:title>团体标准</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2052-12.1.0.26895</vt:lpwstr>
  </property>
  <property fmtid="{D5CDD505-2E9C-101B-9397-08002B2CF9AE}" pid="15" name="ICV">
    <vt:lpwstr>4A30E8C834314247914EF56088AAC970_13</vt:lpwstr>
  </property>
  <property fmtid="{D5CDD505-2E9C-101B-9397-08002B2CF9AE}" pid="16" name="DoublePage">
    <vt:lpwstr>true</vt:lpwstr>
  </property>
  <property fmtid="{D5CDD505-2E9C-101B-9397-08002B2CF9AE}" pid="17" name="KSOTemplateDocerSaveRecord">
    <vt:lpwstr>eyJoZGlkIjoiYzNhMTUwOWRmOWUxMmEyOTZhNTkwZDhlOWU0MDVmYjciLCJ1c2VySWQiOiI0NDUwMjU2NjkifQ==</vt:lpwstr>
  </property>
</Properties>
</file>