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center" w:pos="4201"/>
          <w:tab w:val="right" w:leader="dot" w:pos="9298"/>
        </w:tabs>
        <w:autoSpaceDE w:val="0"/>
        <w:autoSpaceDN w:val="0"/>
        <w:ind w:firstLine="880"/>
        <w:jc w:val="center"/>
        <w:rPr>
          <w:rFonts w:ascii="黑体" w:eastAsia="黑体" w:cs="Times New Roman"/>
          <w:kern w:val="0"/>
          <w:sz w:val="44"/>
          <w:szCs w:val="44"/>
        </w:rPr>
      </w:pPr>
      <w:bookmarkStart w:id="0" w:name="_Toc143979380"/>
    </w:p>
    <w:p>
      <w:pPr>
        <w:widowControl/>
        <w:tabs>
          <w:tab w:val="center" w:pos="4201"/>
          <w:tab w:val="right" w:leader="dot" w:pos="9298"/>
        </w:tabs>
        <w:autoSpaceDE w:val="0"/>
        <w:autoSpaceDN w:val="0"/>
        <w:ind w:firstLine="880"/>
        <w:jc w:val="center"/>
        <w:rPr>
          <w:rFonts w:ascii="黑体" w:eastAsia="黑体" w:cs="Times New Roman"/>
          <w:kern w:val="0"/>
          <w:sz w:val="44"/>
          <w:szCs w:val="44"/>
        </w:rPr>
      </w:pPr>
    </w:p>
    <w:p>
      <w:pPr>
        <w:widowControl/>
        <w:tabs>
          <w:tab w:val="center" w:pos="4201"/>
          <w:tab w:val="right" w:leader="dot" w:pos="9298"/>
        </w:tabs>
        <w:autoSpaceDE w:val="0"/>
        <w:autoSpaceDN w:val="0"/>
        <w:ind w:firstLine="880"/>
        <w:jc w:val="center"/>
        <w:rPr>
          <w:rFonts w:ascii="黑体" w:eastAsia="黑体" w:cs="Times New Roman"/>
          <w:kern w:val="0"/>
          <w:sz w:val="44"/>
          <w:szCs w:val="44"/>
        </w:rPr>
      </w:pPr>
    </w:p>
    <w:p>
      <w:pPr>
        <w:widowControl/>
        <w:tabs>
          <w:tab w:val="center" w:pos="4201"/>
          <w:tab w:val="right" w:leader="dot" w:pos="9298"/>
        </w:tabs>
        <w:autoSpaceDE w:val="0"/>
        <w:autoSpaceDN w:val="0"/>
        <w:ind w:firstLine="880"/>
        <w:jc w:val="center"/>
        <w:rPr>
          <w:rFonts w:ascii="黑体" w:eastAsia="黑体" w:cs="Times New Roman"/>
          <w:kern w:val="0"/>
          <w:sz w:val="44"/>
          <w:szCs w:val="44"/>
        </w:rPr>
      </w:pPr>
    </w:p>
    <w:p>
      <w:pPr>
        <w:widowControl/>
        <w:tabs>
          <w:tab w:val="center" w:pos="4201"/>
          <w:tab w:val="right" w:leader="dot" w:pos="9298"/>
        </w:tabs>
        <w:autoSpaceDE w:val="0"/>
        <w:autoSpaceDN w:val="0"/>
        <w:ind w:firstLine="880"/>
        <w:jc w:val="center"/>
        <w:rPr>
          <w:rFonts w:ascii="黑体" w:eastAsia="黑体" w:cs="Times New Roman"/>
          <w:kern w:val="0"/>
          <w:sz w:val="44"/>
          <w:szCs w:val="44"/>
        </w:rPr>
      </w:pPr>
    </w:p>
    <w:p>
      <w:pPr>
        <w:widowControl/>
        <w:tabs>
          <w:tab w:val="center" w:pos="4201"/>
          <w:tab w:val="right" w:leader="dot" w:pos="9298"/>
        </w:tabs>
        <w:autoSpaceDE w:val="0"/>
        <w:autoSpaceDN w:val="0"/>
        <w:ind w:firstLine="880"/>
        <w:jc w:val="center"/>
        <w:rPr>
          <w:rFonts w:ascii="黑体" w:eastAsia="黑体" w:cs="Times New Roman"/>
          <w:kern w:val="0"/>
          <w:sz w:val="44"/>
          <w:szCs w:val="44"/>
        </w:rPr>
      </w:pPr>
    </w:p>
    <w:p>
      <w:pPr>
        <w:widowControl/>
        <w:tabs>
          <w:tab w:val="center" w:pos="4201"/>
          <w:tab w:val="right" w:leader="dot" w:pos="9298"/>
        </w:tabs>
        <w:autoSpaceDE w:val="0"/>
        <w:autoSpaceDN w:val="0"/>
        <w:ind w:firstLine="880"/>
        <w:jc w:val="center"/>
        <w:rPr>
          <w:rFonts w:ascii="黑体" w:eastAsia="黑体" w:cs="Times New Roman"/>
          <w:kern w:val="0"/>
          <w:sz w:val="44"/>
          <w:szCs w:val="44"/>
        </w:rPr>
      </w:pPr>
    </w:p>
    <w:p>
      <w:pPr>
        <w:widowControl/>
        <w:tabs>
          <w:tab w:val="center" w:pos="4201"/>
          <w:tab w:val="right" w:leader="dot" w:pos="9298"/>
        </w:tabs>
        <w:autoSpaceDE w:val="0"/>
        <w:autoSpaceDN w:val="0"/>
        <w:ind w:firstLine="880"/>
        <w:rPr>
          <w:rFonts w:ascii="宋体" w:cs="Times New Roman"/>
          <w:kern w:val="0"/>
          <w:szCs w:val="20"/>
        </w:rPr>
      </w:pPr>
      <w:r>
        <w:rPr>
          <w:rFonts w:hint="eastAsia" w:ascii="黑体" w:eastAsia="黑体" w:cs="Times New Roman"/>
          <w:kern w:val="0"/>
          <w:sz w:val="44"/>
          <w:szCs w:val="44"/>
        </w:rPr>
        <w:t>混凝土面板堆石坝接缝止水标准图集</w:t>
      </w:r>
    </w:p>
    <w:p>
      <w:pPr>
        <w:pStyle w:val="21"/>
        <w:ind w:firstLine="420"/>
        <w:jc w:val="center"/>
        <w:rPr>
          <w:rFonts w:ascii="Times New Roman" w:hAnsi="Times New Roman" w:eastAsia="宋体" w:cstheme="minorBidi"/>
          <w:color w:val="auto"/>
          <w:kern w:val="2"/>
          <w:sz w:val="21"/>
          <w:szCs w:val="22"/>
          <w:lang w:val="zh-CN"/>
        </w:rPr>
      </w:pPr>
      <w:bookmarkStart w:id="1" w:name="_Toc298937368"/>
      <w:bookmarkStart w:id="2" w:name="_Toc298937333"/>
      <w:bookmarkStart w:id="3" w:name="_Toc320020914"/>
      <w:bookmarkStart w:id="4" w:name="_Toc298938646"/>
      <w:bookmarkStart w:id="5" w:name="_Toc309993200"/>
      <w:bookmarkStart w:id="6" w:name="_Toc309995492"/>
      <w:bookmarkStart w:id="7" w:name="_Toc309997060"/>
      <w:bookmarkStart w:id="8" w:name="_Toc298937620"/>
      <w:bookmarkStart w:id="9" w:name="_Toc298937430"/>
      <w:bookmarkStart w:id="10" w:name="_Toc304828086"/>
      <w:bookmarkStart w:id="11" w:name="_Toc298937473"/>
      <w:bookmarkStart w:id="12" w:name="_Toc304825020"/>
      <w:bookmarkStart w:id="13" w:name="_Toc304402675"/>
      <w:bookmarkStart w:id="14" w:name="_Toc298938794"/>
      <w:bookmarkStart w:id="15" w:name="_Toc309995598"/>
      <w:bookmarkStart w:id="16" w:name="_Toc304824981"/>
      <w:bookmarkStart w:id="17" w:name="_Toc318613715"/>
      <w:bookmarkStart w:id="18" w:name="_Toc298937560"/>
      <w:bookmarkStart w:id="19" w:name="_Toc309995410"/>
      <w:bookmarkStart w:id="20" w:name="_Toc309996019"/>
      <w:bookmarkStart w:id="21" w:name="_Toc309994571"/>
      <w:bookmarkStart w:id="22" w:name="_Toc304825093"/>
      <w:bookmarkStart w:id="23" w:name="_Toc310002657"/>
      <w:r>
        <w:rPr>
          <w:rFonts w:hint="eastAsia" w:ascii="黑体" w:hAnsi="Times New Roman" w:eastAsia="黑体" w:cs="Times New Roman"/>
          <w:color w:val="auto"/>
          <w:sz w:val="28"/>
          <w:szCs w:val="28"/>
        </w:rPr>
        <w:t>编 </w:t>
      </w:r>
      <w:r>
        <w:rPr>
          <w:rFonts w:hint="eastAsia" w:ascii="黑体" w:hAnsi="黑体" w:eastAsia="黑体" w:cs="黑体"/>
          <w:color w:val="auto"/>
          <w:sz w:val="28"/>
          <w:szCs w:val="28"/>
        </w:rPr>
        <w:t>制</w:t>
      </w:r>
      <w:r>
        <w:rPr>
          <w:rFonts w:hint="eastAsia" w:ascii="黑体" w:hAnsi="Times New Roman" w:eastAsia="黑体" w:cs="Times New Roman"/>
          <w:color w:val="auto"/>
          <w:sz w:val="28"/>
          <w:szCs w:val="28"/>
        </w:rPr>
        <w:t> </w:t>
      </w:r>
      <w:r>
        <w:rPr>
          <w:rFonts w:hint="eastAsia" w:ascii="黑体" w:hAnsi="黑体" w:eastAsia="黑体" w:cs="黑体"/>
          <w:color w:val="auto"/>
          <w:sz w:val="28"/>
          <w:szCs w:val="28"/>
        </w:rPr>
        <w:t>说</w:t>
      </w:r>
      <w:bookmarkEnd w:id="1"/>
      <w:bookmarkEnd w:id="2"/>
      <w:r>
        <w:rPr>
          <w:rFonts w:hint="eastAsia" w:ascii="黑体" w:hAnsi="Times New Roman" w:eastAsia="黑体" w:cs="Times New Roman"/>
          <w:color w:val="auto"/>
          <w:sz w:val="28"/>
          <w:szCs w:val="28"/>
        </w:rPr>
        <w:t> </w:t>
      </w:r>
      <w:r>
        <w:rPr>
          <w:rFonts w:hint="eastAsia" w:ascii="黑体" w:hAnsi="黑体" w:eastAsia="黑体" w:cs="黑体"/>
          <w:color w:val="auto"/>
          <w:sz w:val="28"/>
          <w:szCs w:val="28"/>
        </w:rPr>
        <w:t>明</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widowControl/>
        <w:ind w:firstLine="0" w:firstLineChars="0"/>
        <w:contextualSpacing w:val="0"/>
        <w:jc w:val="left"/>
        <w:rPr>
          <w:lang w:val="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sdt>
      <w:sdtPr>
        <w:rPr>
          <w:rFonts w:ascii="Times New Roman" w:hAnsi="Times New Roman" w:eastAsia="宋体" w:cstheme="minorBidi"/>
          <w:color w:val="auto"/>
          <w:kern w:val="2"/>
          <w:sz w:val="21"/>
          <w:szCs w:val="22"/>
          <w:lang w:val="zh-CN"/>
        </w:rPr>
        <w:id w:val="-1064259314"/>
        <w:docPartObj>
          <w:docPartGallery w:val="Table of Contents"/>
          <w:docPartUnique/>
        </w:docPartObj>
      </w:sdtPr>
      <w:sdtEndPr>
        <w:rPr>
          <w:rFonts w:ascii="Times New Roman" w:hAnsi="Times New Roman" w:eastAsia="宋体" w:cstheme="minorBidi"/>
          <w:b/>
          <w:bCs/>
          <w:color w:val="auto"/>
          <w:kern w:val="2"/>
          <w:sz w:val="21"/>
          <w:szCs w:val="22"/>
          <w:lang w:val="zh-CN"/>
        </w:rPr>
      </w:sdtEndPr>
      <w:sdtContent>
        <w:p>
          <w:pPr>
            <w:pStyle w:val="21"/>
            <w:ind w:firstLine="420"/>
            <w:jc w:val="center"/>
            <w:rPr>
              <w:rFonts w:ascii="黑体" w:hAnsi="黑体" w:eastAsia="黑体"/>
              <w:color w:val="auto"/>
            </w:rPr>
          </w:pPr>
          <w:r>
            <w:rPr>
              <w:rFonts w:ascii="黑体" w:hAnsi="黑体" w:eastAsia="黑体"/>
              <w:color w:val="auto"/>
              <w:lang w:val="zh-CN"/>
            </w:rPr>
            <w:t>目</w:t>
          </w:r>
          <w:r>
            <w:rPr>
              <w:rFonts w:hint="eastAsia" w:ascii="黑体" w:hAnsi="黑体" w:eastAsia="黑体"/>
              <w:color w:val="auto"/>
              <w:lang w:val="zh-CN"/>
            </w:rPr>
            <w:t>次</w:t>
          </w:r>
        </w:p>
        <w:p>
          <w:pPr>
            <w:pStyle w:val="7"/>
            <w:tabs>
              <w:tab w:val="right" w:leader="dot" w:pos="8296"/>
            </w:tabs>
            <w:spacing w:line="360" w:lineRule="auto"/>
            <w:ind w:firstLine="420"/>
            <w:rPr>
              <w:rFonts w:ascii="黑体" w:hAnsi="黑体" w:eastAsia="黑体"/>
            </w:rPr>
          </w:pPr>
          <w:r>
            <w:fldChar w:fldCharType="begin"/>
          </w:r>
          <w:r>
            <w:instrText xml:space="preserve"> TOC \o "1-3" \h \z \u </w:instrText>
          </w:r>
          <w:r>
            <w:fldChar w:fldCharType="separate"/>
          </w:r>
          <w:r>
            <w:fldChar w:fldCharType="begin"/>
          </w:r>
          <w:r>
            <w:instrText xml:space="preserve"> HYPERLINK \l "_Toc226717396" </w:instrText>
          </w:r>
          <w:r>
            <w:fldChar w:fldCharType="separate"/>
          </w:r>
          <w:r>
            <w:rPr>
              <w:rStyle w:val="12"/>
              <w:rFonts w:ascii="黑体" w:hAnsi="黑体" w:eastAsia="黑体"/>
            </w:rPr>
            <w:t>1 编制背景</w:t>
          </w:r>
          <w:r>
            <w:rPr>
              <w:rFonts w:ascii="黑体" w:hAnsi="黑体" w:eastAsia="黑体"/>
            </w:rPr>
            <w:tab/>
          </w:r>
          <w:r>
            <w:rPr>
              <w:rFonts w:ascii="黑体" w:hAnsi="黑体" w:eastAsia="黑体"/>
            </w:rPr>
            <w:fldChar w:fldCharType="begin"/>
          </w:r>
          <w:r>
            <w:rPr>
              <w:rFonts w:ascii="黑体" w:hAnsi="黑体" w:eastAsia="黑体"/>
            </w:rPr>
            <w:instrText xml:space="preserve"> PAGEREF _Toc226717396 \h </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rPr>
            <w:fldChar w:fldCharType="end"/>
          </w:r>
        </w:p>
        <w:p>
          <w:pPr>
            <w:pStyle w:val="7"/>
            <w:tabs>
              <w:tab w:val="right" w:leader="dot" w:pos="8296"/>
            </w:tabs>
            <w:spacing w:line="360" w:lineRule="auto"/>
            <w:ind w:firstLine="420"/>
            <w:rPr>
              <w:rFonts w:ascii="黑体" w:hAnsi="黑体" w:eastAsia="黑体"/>
            </w:rPr>
          </w:pPr>
          <w:r>
            <w:fldChar w:fldCharType="begin"/>
          </w:r>
          <w:r>
            <w:instrText xml:space="preserve"> HYPERLINK \l "_Toc226717397" </w:instrText>
          </w:r>
          <w:r>
            <w:fldChar w:fldCharType="separate"/>
          </w:r>
          <w:r>
            <w:rPr>
              <w:rStyle w:val="12"/>
              <w:rFonts w:ascii="黑体" w:hAnsi="黑体" w:eastAsia="黑体"/>
            </w:rPr>
            <w:t>2 编制主要原则</w:t>
          </w:r>
          <w:r>
            <w:rPr>
              <w:rFonts w:ascii="黑体" w:hAnsi="黑体" w:eastAsia="黑体"/>
            </w:rPr>
            <w:tab/>
          </w:r>
          <w:r>
            <w:rPr>
              <w:rFonts w:ascii="黑体" w:hAnsi="黑体" w:eastAsia="黑体"/>
            </w:rPr>
            <w:fldChar w:fldCharType="begin"/>
          </w:r>
          <w:r>
            <w:rPr>
              <w:rFonts w:ascii="黑体" w:hAnsi="黑体" w:eastAsia="黑体"/>
            </w:rPr>
            <w:instrText xml:space="preserve"> PAGEREF _Toc226717397 \h </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rPr>
            <w:fldChar w:fldCharType="end"/>
          </w:r>
        </w:p>
        <w:p>
          <w:pPr>
            <w:pStyle w:val="7"/>
            <w:tabs>
              <w:tab w:val="right" w:leader="dot" w:pos="8296"/>
            </w:tabs>
            <w:spacing w:line="360" w:lineRule="auto"/>
            <w:ind w:firstLine="420"/>
            <w:rPr>
              <w:rFonts w:ascii="黑体" w:hAnsi="黑体" w:eastAsia="黑体"/>
            </w:rPr>
          </w:pPr>
          <w:r>
            <w:fldChar w:fldCharType="begin"/>
          </w:r>
          <w:r>
            <w:instrText xml:space="preserve"> HYPERLINK \l "_Toc226717398" </w:instrText>
          </w:r>
          <w:r>
            <w:fldChar w:fldCharType="separate"/>
          </w:r>
          <w:r>
            <w:rPr>
              <w:rStyle w:val="12"/>
              <w:rFonts w:ascii="黑体" w:hAnsi="黑体" w:eastAsia="黑体"/>
            </w:rPr>
            <w:t>3 主要工作过程</w:t>
          </w:r>
          <w:r>
            <w:rPr>
              <w:rFonts w:ascii="黑体" w:hAnsi="黑体" w:eastAsia="黑体"/>
            </w:rPr>
            <w:tab/>
          </w:r>
          <w:r>
            <w:rPr>
              <w:rFonts w:ascii="黑体" w:hAnsi="黑体" w:eastAsia="黑体"/>
            </w:rPr>
            <w:fldChar w:fldCharType="begin"/>
          </w:r>
          <w:r>
            <w:rPr>
              <w:rFonts w:ascii="黑体" w:hAnsi="黑体" w:eastAsia="黑体"/>
            </w:rPr>
            <w:instrText xml:space="preserve"> PAGEREF _Toc226717398 \h </w:instrText>
          </w:r>
          <w:r>
            <w:rPr>
              <w:rFonts w:ascii="黑体" w:hAnsi="黑体" w:eastAsia="黑体"/>
            </w:rPr>
            <w:fldChar w:fldCharType="separate"/>
          </w:r>
          <w:r>
            <w:rPr>
              <w:rFonts w:ascii="黑体" w:hAnsi="黑体" w:eastAsia="黑体"/>
            </w:rPr>
            <w:t>1</w:t>
          </w:r>
          <w:r>
            <w:rPr>
              <w:rFonts w:ascii="黑体" w:hAnsi="黑体" w:eastAsia="黑体"/>
            </w:rPr>
            <w:fldChar w:fldCharType="end"/>
          </w:r>
          <w:r>
            <w:rPr>
              <w:rFonts w:ascii="黑体" w:hAnsi="黑体" w:eastAsia="黑体"/>
            </w:rPr>
            <w:fldChar w:fldCharType="end"/>
          </w:r>
        </w:p>
        <w:p>
          <w:pPr>
            <w:pStyle w:val="7"/>
            <w:tabs>
              <w:tab w:val="right" w:leader="dot" w:pos="8296"/>
            </w:tabs>
            <w:spacing w:line="360" w:lineRule="auto"/>
            <w:ind w:firstLine="420"/>
            <w:rPr>
              <w:rFonts w:ascii="黑体" w:hAnsi="黑体" w:eastAsia="黑体"/>
            </w:rPr>
          </w:pPr>
          <w:r>
            <w:fldChar w:fldCharType="begin"/>
          </w:r>
          <w:r>
            <w:instrText xml:space="preserve"> HYPERLINK \l "_Toc226717399" </w:instrText>
          </w:r>
          <w:r>
            <w:fldChar w:fldCharType="separate"/>
          </w:r>
          <w:r>
            <w:rPr>
              <w:rStyle w:val="12"/>
              <w:rFonts w:ascii="黑体" w:hAnsi="黑体" w:eastAsia="黑体"/>
            </w:rPr>
            <w:t>4 标准结构和内容说明</w:t>
          </w:r>
          <w:r>
            <w:rPr>
              <w:rFonts w:ascii="黑体" w:hAnsi="黑体" w:eastAsia="黑体"/>
            </w:rPr>
            <w:tab/>
          </w:r>
          <w:r>
            <w:rPr>
              <w:rFonts w:ascii="黑体" w:hAnsi="黑体" w:eastAsia="黑体"/>
            </w:rPr>
            <w:fldChar w:fldCharType="begin"/>
          </w:r>
          <w:r>
            <w:rPr>
              <w:rFonts w:ascii="黑体" w:hAnsi="黑体" w:eastAsia="黑体"/>
            </w:rPr>
            <w:instrText xml:space="preserve"> PAGEREF _Toc226717399 \h </w:instrText>
          </w:r>
          <w:r>
            <w:rPr>
              <w:rFonts w:ascii="黑体" w:hAnsi="黑体" w:eastAsia="黑体"/>
            </w:rPr>
            <w:fldChar w:fldCharType="separate"/>
          </w:r>
          <w:r>
            <w:rPr>
              <w:rFonts w:ascii="黑体" w:hAnsi="黑体" w:eastAsia="黑体"/>
            </w:rPr>
            <w:t>2</w:t>
          </w:r>
          <w:r>
            <w:rPr>
              <w:rFonts w:ascii="黑体" w:hAnsi="黑体" w:eastAsia="黑体"/>
            </w:rPr>
            <w:fldChar w:fldCharType="end"/>
          </w:r>
          <w:r>
            <w:rPr>
              <w:rFonts w:ascii="黑体" w:hAnsi="黑体" w:eastAsia="黑体"/>
            </w:rPr>
            <w:fldChar w:fldCharType="end"/>
          </w:r>
        </w:p>
        <w:p>
          <w:pPr>
            <w:pStyle w:val="7"/>
            <w:tabs>
              <w:tab w:val="right" w:leader="dot" w:pos="8296"/>
            </w:tabs>
            <w:spacing w:line="360" w:lineRule="auto"/>
            <w:ind w:firstLine="420"/>
            <w:rPr>
              <w:rFonts w:ascii="黑体" w:hAnsi="黑体" w:eastAsia="黑体"/>
            </w:rPr>
          </w:pPr>
          <w:r>
            <w:fldChar w:fldCharType="begin"/>
          </w:r>
          <w:r>
            <w:instrText xml:space="preserve"> HYPERLINK \l "_Toc226717401" </w:instrText>
          </w:r>
          <w:r>
            <w:fldChar w:fldCharType="separate"/>
          </w:r>
          <w:r>
            <w:rPr>
              <w:rStyle w:val="12"/>
              <w:rFonts w:ascii="黑体" w:hAnsi="黑体" w:eastAsia="黑体"/>
            </w:rPr>
            <w:t>6 相关标准对比说明</w:t>
          </w:r>
          <w:r>
            <w:rPr>
              <w:rFonts w:ascii="黑体" w:hAnsi="黑体" w:eastAsia="黑体"/>
            </w:rPr>
            <w:tab/>
          </w:r>
          <w:r>
            <w:rPr>
              <w:rFonts w:ascii="黑体" w:hAnsi="黑体" w:eastAsia="黑体"/>
            </w:rPr>
            <w:fldChar w:fldCharType="begin"/>
          </w:r>
          <w:r>
            <w:rPr>
              <w:rFonts w:ascii="黑体" w:hAnsi="黑体" w:eastAsia="黑体"/>
            </w:rPr>
            <w:instrText xml:space="preserve"> PAGEREF _Toc226717401 \h </w:instrText>
          </w:r>
          <w:r>
            <w:rPr>
              <w:rFonts w:ascii="黑体" w:hAnsi="黑体" w:eastAsia="黑体"/>
            </w:rPr>
            <w:fldChar w:fldCharType="separate"/>
          </w:r>
          <w:r>
            <w:rPr>
              <w:rFonts w:ascii="黑体" w:hAnsi="黑体" w:eastAsia="黑体"/>
            </w:rPr>
            <w:t>2</w:t>
          </w:r>
          <w:r>
            <w:rPr>
              <w:rFonts w:ascii="黑体" w:hAnsi="黑体" w:eastAsia="黑体"/>
            </w:rPr>
            <w:fldChar w:fldCharType="end"/>
          </w:r>
          <w:r>
            <w:rPr>
              <w:rFonts w:ascii="黑体" w:hAnsi="黑体" w:eastAsia="黑体"/>
            </w:rPr>
            <w:fldChar w:fldCharType="end"/>
          </w:r>
        </w:p>
        <w:p>
          <w:pPr>
            <w:spacing w:line="360" w:lineRule="auto"/>
            <w:ind w:firstLine="422"/>
          </w:pPr>
          <w:r>
            <w:rPr>
              <w:b/>
              <w:bCs/>
              <w:lang w:val="zh-CN"/>
            </w:rPr>
            <w:fldChar w:fldCharType="end"/>
          </w:r>
        </w:p>
      </w:sdtContent>
    </w:sdt>
    <w:p>
      <w:pPr>
        <w:pStyle w:val="2"/>
        <w:spacing w:before="156" w:after="156"/>
      </w:pPr>
    </w:p>
    <w:p>
      <w:pPr>
        <w:pStyle w:val="2"/>
        <w:spacing w:before="156" w:after="156"/>
        <w:sectPr>
          <w:footerReference r:id="rId11" w:type="default"/>
          <w:pgSz w:w="11906" w:h="16838"/>
          <w:pgMar w:top="1440" w:right="1800" w:bottom="1440" w:left="1800" w:header="851" w:footer="992" w:gutter="0"/>
          <w:pgNumType w:start="1"/>
          <w:cols w:space="425" w:num="1"/>
          <w:docGrid w:type="lines" w:linePitch="312" w:charSpace="0"/>
        </w:sectPr>
      </w:pPr>
      <w:bookmarkStart w:id="24" w:name="_Toc226717396"/>
    </w:p>
    <w:p>
      <w:pPr>
        <w:pStyle w:val="2"/>
        <w:spacing w:before="156" w:after="156"/>
      </w:pPr>
      <w:r>
        <w:rPr>
          <w:rFonts w:hint="eastAsia"/>
        </w:rPr>
        <w:t>1 编制</w:t>
      </w:r>
      <w:bookmarkEnd w:id="0"/>
      <w:r>
        <w:rPr>
          <w:rFonts w:hint="eastAsia"/>
        </w:rPr>
        <w:t>背景</w:t>
      </w:r>
      <w:bookmarkEnd w:id="24"/>
    </w:p>
    <w:p>
      <w:pPr>
        <w:ind w:firstLine="420"/>
      </w:pPr>
      <w:r>
        <w:t>本</w:t>
      </w:r>
      <w:r>
        <w:rPr>
          <w:rFonts w:hint="eastAsia"/>
        </w:rPr>
        <w:t>标准图集是根据水电学函〔202</w:t>
      </w:r>
      <w:r>
        <w:t>5</w:t>
      </w:r>
      <w:r>
        <w:rPr>
          <w:rFonts w:hint="eastAsia"/>
        </w:rPr>
        <w:t>〕103号文，“关于《内河钢坝闸水力消能防冲设计导则》等4项团体标准立项的通知</w:t>
      </w:r>
      <w:r>
        <w:rPr>
          <w:rFonts w:hint="eastAsia" w:ascii="宋体" w:cs="Times New Roman"/>
          <w:kern w:val="0"/>
          <w:szCs w:val="20"/>
        </w:rPr>
        <w:t>”</w:t>
      </w:r>
      <w:r>
        <w:rPr>
          <w:rFonts w:ascii="宋体" w:cs="Times New Roman"/>
          <w:kern w:val="0"/>
          <w:szCs w:val="20"/>
        </w:rPr>
        <w:t>下达</w:t>
      </w:r>
      <w:r>
        <w:rPr>
          <w:rFonts w:hint="eastAsia" w:ascii="宋体" w:cs="Times New Roman"/>
          <w:kern w:val="0"/>
          <w:szCs w:val="20"/>
        </w:rPr>
        <w:t>的制定</w:t>
      </w:r>
      <w:r>
        <w:rPr>
          <w:rFonts w:ascii="宋体" w:cs="Times New Roman"/>
          <w:kern w:val="0"/>
          <w:szCs w:val="20"/>
        </w:rPr>
        <w:t>任务</w:t>
      </w:r>
      <w:r>
        <w:rPr>
          <w:rFonts w:hint="eastAsia" w:ascii="宋体" w:cs="Times New Roman"/>
          <w:kern w:val="0"/>
          <w:szCs w:val="20"/>
        </w:rPr>
        <w:t>制定的</w:t>
      </w:r>
      <w:r>
        <w:rPr>
          <w:rFonts w:ascii="宋体" w:cs="Times New Roman"/>
          <w:kern w:val="0"/>
          <w:szCs w:val="20"/>
        </w:rPr>
        <w:t>。</w:t>
      </w:r>
      <w:r>
        <w:rPr>
          <w:rFonts w:hint="eastAsia" w:ascii="宋体" w:cs="Times New Roman"/>
          <w:kern w:val="0"/>
          <w:szCs w:val="20"/>
        </w:rPr>
        <w:t>由水电水利规划设计总院有限公司，中国电建集团贵阳、北京、西北、中南、华东勘测设计研究院有限公司、中国水利水电第五工程局有限公司、中国水利水电科学研究院等单位</w:t>
      </w:r>
      <w:r>
        <w:rPr>
          <w:rFonts w:ascii="宋体" w:cs="Times New Roman"/>
          <w:kern w:val="0"/>
          <w:szCs w:val="20"/>
        </w:rPr>
        <w:t>负责起草。</w:t>
      </w:r>
    </w:p>
    <w:p>
      <w:pPr>
        <w:ind w:firstLine="420"/>
      </w:pPr>
      <w:r>
        <w:rPr>
          <w:rFonts w:hint="eastAsia"/>
        </w:rPr>
        <w:t>混凝土面板堆石坝作为水电工程领域的主流坝型，其接缝止水系统是保障大坝防渗安全的核心技术环节。接缝止水是土石坝最精细的防渗结构，也是各类大坝精细防渗结构之一，其体系结构复杂，需综合应用铜止水、塑性填料止水、表面保护盖板等多类材料，并涉及预埋安装、焊接成型、填注封边等复杂工序，对施工精度和材料性能要求极高。然而，《混凝土面板堆石坝设计规范》（</w:t>
      </w:r>
      <w:r>
        <w:t>NB/T·10871-2021</w:t>
      </w:r>
      <w:r>
        <w:rPr>
          <w:rFonts w:hint="eastAsia"/>
        </w:rPr>
        <w:t>）</w:t>
      </w:r>
      <w:r>
        <w:t>、《混凝土面板堆石坝接缝止水技术规范》</w:t>
      </w:r>
      <w:r>
        <w:rPr>
          <w:rFonts w:hint="eastAsia"/>
        </w:rPr>
        <w:t>（</w:t>
      </w:r>
      <w:r>
        <w:t>DL/T-5115-2016</w:t>
      </w:r>
      <w:r>
        <w:rPr>
          <w:rFonts w:hint="eastAsia"/>
        </w:rPr>
        <w:t>）</w:t>
      </w:r>
      <w:r>
        <w:t>等现行规范对面板堆石坝接缝止水的设计和施工技术要求均以文字性规定为主，</w:t>
      </w:r>
      <w:r>
        <w:rPr>
          <w:rFonts w:hint="eastAsia"/>
        </w:rPr>
        <w:t>不足以全面细致指导混凝土面板堆石坝接缝止水的设计施工。</w:t>
      </w:r>
    </w:p>
    <w:p>
      <w:pPr>
        <w:ind w:firstLine="420"/>
      </w:pPr>
      <w:r>
        <w:rPr>
          <w:rFonts w:hint="eastAsia"/>
        </w:rPr>
        <w:t>近年面板堆石坝逐步向</w:t>
      </w:r>
      <w:r>
        <w:t>200m级以上特高面板堆石坝、深厚覆盖层上高面板堆石坝及更大量面板堆石坝方向发展，对面板堆石坝接缝止水提出了更高要求。然而，由于设计人员新老交替，部分设计人员对接缝止水原理、已有试验研究成果研阅消化不够，对已建工程成功及失败经验教训了解不多，设计中采取借鉴摘抄方式，导致接缝止水设计理念出现偏差，波纹止水带宽度过大、波纹止水带下设置塑性填料、塑性填料与面板接触面不足、扁钢螺栓孔距太大、螺栓孔未设置成椭圆形、三复合盖片采取搭接代替硫化连接、施工技术要求不够全面、已完成施工项目的检验检测要求缺</w:t>
      </w:r>
      <w:r>
        <w:rPr>
          <w:rFonts w:hint="eastAsia"/>
        </w:rPr>
        <w:t>失等问题。</w:t>
      </w:r>
    </w:p>
    <w:p>
      <w:pPr>
        <w:ind w:firstLine="420"/>
      </w:pPr>
      <w:r>
        <w:rPr>
          <w:rFonts w:hint="eastAsia"/>
        </w:rPr>
        <w:t>工程实践表明，混凝土面板堆石坝接缝止水运行效果通常依赖于选择规范性强、专业化高、经验丰富的设计人员和施工队伍。同时，止水系统缺陷导致的渗漏问题频发，迫切需要相关标准图集指导设计和施工，以保证止水系统的质量和寿命，从而保证工程安全，减少渗漏危害。此外，标准化设计可减少设计变更率，提高工效，保证质量，促进设计施工队伍专业化。</w:t>
      </w:r>
    </w:p>
    <w:p>
      <w:pPr>
        <w:ind w:firstLine="420"/>
      </w:pPr>
      <w:r>
        <w:rPr>
          <w:rFonts w:hint="eastAsia"/>
        </w:rPr>
        <w:t>《混凝土面板堆石坝接缝止水标准图集》</w:t>
      </w:r>
      <w:r>
        <w:t>的制定将填补我国在面板堆石坝细部构造标准化领域的空白，推动土石坝乃至大坝技术发展，为工程安全与行业高质量发展提供技术支撑，产生巨大的经济和社会效益。</w:t>
      </w:r>
    </w:p>
    <w:p>
      <w:pPr>
        <w:pStyle w:val="2"/>
        <w:spacing w:before="156" w:after="156"/>
      </w:pPr>
      <w:bookmarkStart w:id="25" w:name="_Toc226717397"/>
      <w:r>
        <w:t>2</w:t>
      </w:r>
      <w:r>
        <w:rPr>
          <w:rFonts w:hint="eastAsia"/>
        </w:rPr>
        <w:t xml:space="preserve"> 编制主要原则</w:t>
      </w:r>
      <w:bookmarkEnd w:id="25"/>
    </w:p>
    <w:p>
      <w:pPr>
        <w:widowControl/>
        <w:tabs>
          <w:tab w:val="center" w:pos="4201"/>
          <w:tab w:val="right" w:leader="dot" w:pos="9298"/>
        </w:tabs>
        <w:autoSpaceDE w:val="0"/>
        <w:autoSpaceDN w:val="0"/>
        <w:spacing w:before="120"/>
        <w:ind w:firstLine="420"/>
        <w:rPr>
          <w:rFonts w:ascii="宋体" w:cs="Times New Roman"/>
          <w:kern w:val="0"/>
          <w:szCs w:val="20"/>
        </w:rPr>
      </w:pPr>
      <w:r>
        <w:rPr>
          <w:rFonts w:hint="eastAsia" w:ascii="宋体" w:cs="Times New Roman"/>
          <w:kern w:val="0"/>
          <w:szCs w:val="20"/>
        </w:rPr>
        <w:t>（1）贯彻执行国家现行有关法律法规以及国家和行业现行有关技术标准的规定。</w:t>
      </w:r>
    </w:p>
    <w:p>
      <w:pPr>
        <w:widowControl/>
        <w:tabs>
          <w:tab w:val="center" w:pos="4201"/>
          <w:tab w:val="right" w:leader="dot" w:pos="9298"/>
        </w:tabs>
        <w:autoSpaceDE w:val="0"/>
        <w:autoSpaceDN w:val="0"/>
        <w:spacing w:before="120"/>
        <w:ind w:firstLine="420"/>
        <w:rPr>
          <w:rFonts w:ascii="宋体" w:cs="Times New Roman"/>
          <w:kern w:val="0"/>
          <w:szCs w:val="20"/>
        </w:rPr>
      </w:pPr>
      <w:r>
        <w:rPr>
          <w:rFonts w:hint="eastAsia" w:ascii="宋体" w:cs="Times New Roman"/>
          <w:kern w:val="0"/>
          <w:szCs w:val="20"/>
        </w:rPr>
        <w:t>（2）遵循科学性和先进性原则。按篇章提出报告应编制的内容，具有一定的引导性和前瞻性。</w:t>
      </w:r>
    </w:p>
    <w:p>
      <w:pPr>
        <w:widowControl/>
        <w:tabs>
          <w:tab w:val="center" w:pos="4201"/>
          <w:tab w:val="right" w:leader="dot" w:pos="9298"/>
        </w:tabs>
        <w:autoSpaceDE w:val="0"/>
        <w:autoSpaceDN w:val="0"/>
        <w:spacing w:before="120"/>
        <w:ind w:firstLine="420"/>
        <w:rPr>
          <w:rFonts w:ascii="宋体" w:cs="Times New Roman"/>
          <w:kern w:val="0"/>
          <w:szCs w:val="20"/>
        </w:rPr>
      </w:pPr>
      <w:r>
        <w:rPr>
          <w:rFonts w:hint="eastAsia" w:ascii="宋体" w:cs="Times New Roman"/>
          <w:kern w:val="0"/>
          <w:szCs w:val="20"/>
        </w:rPr>
        <w:t>（3）遵循适用性和可操作性原则。认真总结面板坝接缝止水技术要求、工程实践案例等，给出标准图集编制的具体规定，并广泛征求各方意见，体现适用性和可操作性。</w:t>
      </w:r>
    </w:p>
    <w:p>
      <w:pPr>
        <w:widowControl/>
        <w:tabs>
          <w:tab w:val="center" w:pos="4201"/>
          <w:tab w:val="right" w:leader="dot" w:pos="9298"/>
        </w:tabs>
        <w:autoSpaceDE w:val="0"/>
        <w:autoSpaceDN w:val="0"/>
        <w:spacing w:before="120"/>
        <w:ind w:firstLine="420"/>
        <w:rPr>
          <w:rFonts w:ascii="宋体" w:cs="Times New Roman"/>
          <w:kern w:val="0"/>
          <w:szCs w:val="20"/>
        </w:rPr>
      </w:pPr>
      <w:r>
        <w:rPr>
          <w:rFonts w:hint="eastAsia" w:ascii="宋体" w:cs="Times New Roman"/>
          <w:kern w:val="0"/>
          <w:szCs w:val="20"/>
        </w:rPr>
        <w:t>（4）遵循协调性原则。与相关国家标准、行业规范相协调，处理好本标准与水库防渗技术领域其他相关标准的关系。</w:t>
      </w:r>
    </w:p>
    <w:p>
      <w:pPr>
        <w:widowControl/>
        <w:tabs>
          <w:tab w:val="center" w:pos="4201"/>
          <w:tab w:val="right" w:leader="dot" w:pos="9298"/>
        </w:tabs>
        <w:autoSpaceDE w:val="0"/>
        <w:autoSpaceDN w:val="0"/>
        <w:spacing w:before="120"/>
        <w:ind w:firstLine="420"/>
        <w:rPr>
          <w:rFonts w:ascii="宋体" w:cs="Times New Roman"/>
          <w:kern w:val="0"/>
          <w:szCs w:val="20"/>
        </w:rPr>
      </w:pPr>
      <w:r>
        <w:rPr>
          <w:rFonts w:hint="eastAsia" w:ascii="宋体" w:cs="Times New Roman"/>
          <w:kern w:val="0"/>
          <w:szCs w:val="20"/>
        </w:rPr>
        <w:t>（5）遵循合规性原则。体例格式按照GB/T 1.1-2020《标准化工作导则  第1部分：标准的结构和编写规则》的要求进行编制。</w:t>
      </w:r>
    </w:p>
    <w:p>
      <w:pPr>
        <w:pStyle w:val="2"/>
        <w:spacing w:before="156" w:after="156"/>
      </w:pPr>
      <w:bookmarkStart w:id="26" w:name="_Toc226717398"/>
      <w:r>
        <w:rPr>
          <w:rFonts w:hint="eastAsia"/>
        </w:rPr>
        <w:t>3</w:t>
      </w:r>
      <w:r>
        <w:t xml:space="preserve"> </w:t>
      </w:r>
      <w:r>
        <w:rPr>
          <w:rFonts w:hint="eastAsia"/>
        </w:rPr>
        <w:t>主要工作过程</w:t>
      </w:r>
      <w:bookmarkEnd w:id="26"/>
    </w:p>
    <w:p>
      <w:pPr>
        <w:ind w:firstLine="420"/>
      </w:pPr>
      <w:r>
        <w:rPr>
          <w:rFonts w:hint="eastAsia"/>
        </w:rPr>
        <w:t>2025年6月，起草编制大纲，召开立项讨论会；</w:t>
      </w:r>
    </w:p>
    <w:p>
      <w:pPr>
        <w:ind w:firstLine="420"/>
      </w:pPr>
      <w:r>
        <w:rPr>
          <w:rFonts w:hint="eastAsia"/>
        </w:rPr>
        <w:t>2025年7月，完善编制大纲，起草图集初稿；</w:t>
      </w:r>
    </w:p>
    <w:p>
      <w:pPr>
        <w:ind w:firstLine="420"/>
      </w:pPr>
      <w:r>
        <w:rPr>
          <w:rFonts w:hint="eastAsia"/>
        </w:rPr>
        <w:t>2025年8月，形成初稿，向学会申请立项，同月通过立项形式审查；</w:t>
      </w:r>
    </w:p>
    <w:p>
      <w:pPr>
        <w:ind w:firstLine="420"/>
      </w:pPr>
      <w:r>
        <w:rPr>
          <w:rFonts w:hint="eastAsia"/>
        </w:rPr>
        <w:t>2025年9月，面板坝专委会组织召开立项</w:t>
      </w:r>
      <w:r>
        <w:rPr>
          <w:rFonts w:hint="eastAsia"/>
          <w:lang w:val="en-US" w:eastAsia="zh-CN"/>
        </w:rPr>
        <w:t>审查</w:t>
      </w:r>
      <w:r>
        <w:rPr>
          <w:rFonts w:hint="eastAsia"/>
        </w:rPr>
        <w:t>会议，同意立项；</w:t>
      </w:r>
    </w:p>
    <w:p>
      <w:pPr>
        <w:ind w:firstLine="420"/>
        <w:rPr>
          <w:rFonts w:hint="eastAsia"/>
        </w:rPr>
      </w:pPr>
      <w:r>
        <w:rPr>
          <w:rFonts w:hint="eastAsia"/>
        </w:rPr>
        <w:t>2025年10月-2026年4月，结合立项评审会意见，修改完善图集初稿，逐章开展3轮内部讨论，并报学会进行初稿审查。</w:t>
      </w:r>
    </w:p>
    <w:p>
      <w:pPr>
        <w:ind w:firstLine="420"/>
        <w:rPr>
          <w:rFonts w:hint="default" w:eastAsia="宋体"/>
          <w:lang w:val="en-US" w:eastAsia="zh-CN"/>
        </w:rPr>
      </w:pPr>
      <w:r>
        <w:rPr>
          <w:rFonts w:hint="eastAsia"/>
          <w:lang w:val="en-US" w:eastAsia="zh-CN"/>
        </w:rPr>
        <w:t>2026年5月-6月，根据初稿审查意见进行修改完善，报学会开展征求意见工作</w:t>
      </w:r>
      <w:bookmarkStart w:id="31" w:name="_GoBack"/>
      <w:bookmarkEnd w:id="31"/>
      <w:r>
        <w:rPr>
          <w:rFonts w:hint="eastAsia"/>
          <w:lang w:val="en-US" w:eastAsia="zh-CN"/>
        </w:rPr>
        <w:t>。</w:t>
      </w:r>
    </w:p>
    <w:p>
      <w:pPr>
        <w:pStyle w:val="2"/>
        <w:spacing w:before="156" w:after="156"/>
      </w:pPr>
      <w:bookmarkStart w:id="27" w:name="_Toc143979383"/>
      <w:bookmarkStart w:id="28" w:name="_Toc226717399"/>
      <w:r>
        <w:rPr>
          <w:rFonts w:hint="eastAsia"/>
          <w:szCs w:val="21"/>
        </w:rPr>
        <w:t>4</w:t>
      </w:r>
      <w:r>
        <w:rPr>
          <w:rFonts w:hint="eastAsia"/>
        </w:rPr>
        <w:t xml:space="preserve"> 标准结构和内容说明</w:t>
      </w:r>
      <w:bookmarkEnd w:id="27"/>
      <w:bookmarkEnd w:id="28"/>
    </w:p>
    <w:p>
      <w:pPr>
        <w:ind w:firstLine="420"/>
      </w:pPr>
      <w:r>
        <w:rPr>
          <w:rFonts w:hint="eastAsia"/>
        </w:rPr>
        <w:t>本图集适用于布置在基岩或覆盖层上的钢筋混凝土面板堆石坝和抽水蓄能电站全库盆防渗的钢筋混凝土面板堆石坝的接缝止水设计。本标准图集适用于接缝位移允许值不超过10cm、铜止水一个鼻子的接缝止水设计，超过这个范围的接缝止水需开展专题研究。</w:t>
      </w:r>
    </w:p>
    <w:p>
      <w:pPr>
        <w:ind w:firstLine="420"/>
      </w:pPr>
      <w:r>
        <w:rPr>
          <w:rFonts w:hint="eastAsia"/>
        </w:rPr>
        <w:t>本图集是对现有国标和行标的补充和完善，并不低于国标或行标的要求。</w:t>
      </w:r>
    </w:p>
    <w:p>
      <w:pPr>
        <w:ind w:firstLine="420"/>
      </w:pPr>
      <w:r>
        <w:rPr>
          <w:rFonts w:hint="eastAsia"/>
        </w:rPr>
        <w:t>标准图集主要内容包括：范围、规范性引用文件、术语和定义、总体原则、总图、底部铜止水片图、顶部塑性填料及波纹止水带图、表层复合止水保护盖片图、表面涂覆型止水图、顶部自愈性填料及不锈钢罩布置图、缝面结构图、特殊工况条件下接缝止水图、附录。</w:t>
      </w:r>
    </w:p>
    <w:p>
      <w:pPr>
        <w:pStyle w:val="2"/>
        <w:spacing w:before="156" w:after="156"/>
      </w:pPr>
      <w:bookmarkStart w:id="29" w:name="_Toc143979385"/>
      <w:bookmarkStart w:id="30" w:name="_Toc226717401"/>
      <w:r>
        <w:rPr>
          <w:rFonts w:hint="eastAsia"/>
          <w:szCs w:val="21"/>
        </w:rPr>
        <w:t>5</w:t>
      </w:r>
      <w:r>
        <w:rPr>
          <w:szCs w:val="21"/>
        </w:rPr>
        <w:t xml:space="preserve"> </w:t>
      </w:r>
      <w:r>
        <w:rPr>
          <w:rFonts w:hint="eastAsia"/>
          <w:szCs w:val="21"/>
        </w:rPr>
        <w:t>相关</w:t>
      </w:r>
      <w:r>
        <w:rPr>
          <w:rFonts w:hint="eastAsia"/>
        </w:rPr>
        <w:t>标准对比说明</w:t>
      </w:r>
      <w:bookmarkEnd w:id="29"/>
      <w:bookmarkEnd w:id="30"/>
    </w:p>
    <w:p>
      <w:pPr>
        <w:widowControl/>
        <w:tabs>
          <w:tab w:val="center" w:pos="4201"/>
          <w:tab w:val="right" w:leader="dot" w:pos="9298"/>
        </w:tabs>
        <w:autoSpaceDE w:val="0"/>
        <w:autoSpaceDN w:val="0"/>
        <w:ind w:firstLine="420"/>
        <w:rPr>
          <w:rFonts w:ascii="Calibri" w:hAnsi="Calibri" w:cs="Times New Roman"/>
        </w:rPr>
      </w:pPr>
      <w:r>
        <w:rPr>
          <w:rFonts w:hint="eastAsia" w:ascii="Calibri" w:hAnsi="Calibri" w:cs="Times New Roman"/>
        </w:rPr>
        <w:t>国内接缝止水相关设计标准包括《混凝土面板堆石坝设计规范》《混凝土面板堆石坝施工规范》《混凝土面板堆石坝接缝止水技术规范》《水工建筑物止水带技术规范》《水电水利工程聚脲涂层施工技术规程》《水工建筑物封缝防渗聚脲应用技术规范》等，国外也有相关设计标准，技术公报，但这些标准对接缝止水设计和施工技术要求均以文字性规定为主，不能涵盖设计和施工的所有内容和细节。</w:t>
      </w:r>
    </w:p>
    <w:p>
      <w:pPr>
        <w:widowControl/>
        <w:tabs>
          <w:tab w:val="center" w:pos="4201"/>
          <w:tab w:val="right" w:leader="dot" w:pos="9298"/>
        </w:tabs>
        <w:autoSpaceDE w:val="0"/>
        <w:autoSpaceDN w:val="0"/>
        <w:ind w:firstLine="420"/>
        <w:rPr>
          <w:rFonts w:ascii="Calibri" w:hAnsi="Calibri" w:cs="Times New Roman"/>
        </w:rPr>
      </w:pPr>
      <w:r>
        <w:rPr>
          <w:rFonts w:hint="eastAsia" w:ascii="Calibri" w:hAnsi="Calibri" w:cs="Times New Roman"/>
        </w:rPr>
        <w:t>本标准基于大量已建工程设计经验和运行情况，充分考虑不同坝体条件、环境条件和接缝变形控制要求，分类绘制了标准图集，可为设计人员提供具体设计参考。</w:t>
      </w:r>
    </w:p>
    <w:p>
      <w:pPr>
        <w:ind w:firstLine="420"/>
      </w:pPr>
    </w:p>
    <w:sectPr>
      <w:footerReference r:id="rId12"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5"/>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09E"/>
    <w:rsid w:val="00006FC7"/>
    <w:rsid w:val="00013F83"/>
    <w:rsid w:val="00031C52"/>
    <w:rsid w:val="00053FF4"/>
    <w:rsid w:val="00076318"/>
    <w:rsid w:val="000B7CD8"/>
    <w:rsid w:val="000D01A0"/>
    <w:rsid w:val="000E08CB"/>
    <w:rsid w:val="000E7768"/>
    <w:rsid w:val="00103BA8"/>
    <w:rsid w:val="0011401D"/>
    <w:rsid w:val="001147E4"/>
    <w:rsid w:val="00130083"/>
    <w:rsid w:val="001330F4"/>
    <w:rsid w:val="00133A15"/>
    <w:rsid w:val="00135250"/>
    <w:rsid w:val="00157CC7"/>
    <w:rsid w:val="00184F17"/>
    <w:rsid w:val="001A0FEF"/>
    <w:rsid w:val="001D39F1"/>
    <w:rsid w:val="001E531D"/>
    <w:rsid w:val="001F1A21"/>
    <w:rsid w:val="001F2EB3"/>
    <w:rsid w:val="001F71CF"/>
    <w:rsid w:val="002006E2"/>
    <w:rsid w:val="00213B9B"/>
    <w:rsid w:val="00235AF1"/>
    <w:rsid w:val="00290AE4"/>
    <w:rsid w:val="00290F8A"/>
    <w:rsid w:val="002A2B55"/>
    <w:rsid w:val="002B32E6"/>
    <w:rsid w:val="002D361A"/>
    <w:rsid w:val="002D3F13"/>
    <w:rsid w:val="002F4FAD"/>
    <w:rsid w:val="00301190"/>
    <w:rsid w:val="003469E7"/>
    <w:rsid w:val="00366590"/>
    <w:rsid w:val="003B70CD"/>
    <w:rsid w:val="00401D25"/>
    <w:rsid w:val="004352C9"/>
    <w:rsid w:val="00450BD0"/>
    <w:rsid w:val="004536B2"/>
    <w:rsid w:val="004771B9"/>
    <w:rsid w:val="00477406"/>
    <w:rsid w:val="00480E24"/>
    <w:rsid w:val="004A21FE"/>
    <w:rsid w:val="004A6DC8"/>
    <w:rsid w:val="004D257E"/>
    <w:rsid w:val="005273D0"/>
    <w:rsid w:val="00530E91"/>
    <w:rsid w:val="00571039"/>
    <w:rsid w:val="005A0C3A"/>
    <w:rsid w:val="005C08EE"/>
    <w:rsid w:val="005C0B9C"/>
    <w:rsid w:val="005D6BA6"/>
    <w:rsid w:val="005F2076"/>
    <w:rsid w:val="006030F3"/>
    <w:rsid w:val="00622AB0"/>
    <w:rsid w:val="00632C81"/>
    <w:rsid w:val="006F0F51"/>
    <w:rsid w:val="00704780"/>
    <w:rsid w:val="007E3420"/>
    <w:rsid w:val="007E60DB"/>
    <w:rsid w:val="0080547F"/>
    <w:rsid w:val="00807E05"/>
    <w:rsid w:val="008555ED"/>
    <w:rsid w:val="00874A44"/>
    <w:rsid w:val="00881A91"/>
    <w:rsid w:val="0088762D"/>
    <w:rsid w:val="008E5338"/>
    <w:rsid w:val="00932855"/>
    <w:rsid w:val="00942B1E"/>
    <w:rsid w:val="00943FD8"/>
    <w:rsid w:val="00974E1B"/>
    <w:rsid w:val="00980A46"/>
    <w:rsid w:val="00996DCC"/>
    <w:rsid w:val="009A49ED"/>
    <w:rsid w:val="00A21348"/>
    <w:rsid w:val="00A229AC"/>
    <w:rsid w:val="00A3641C"/>
    <w:rsid w:val="00A54C9A"/>
    <w:rsid w:val="00A673E7"/>
    <w:rsid w:val="00A70479"/>
    <w:rsid w:val="00AA0ECB"/>
    <w:rsid w:val="00B06D49"/>
    <w:rsid w:val="00B11E31"/>
    <w:rsid w:val="00B22AA8"/>
    <w:rsid w:val="00B24009"/>
    <w:rsid w:val="00B244FB"/>
    <w:rsid w:val="00B27AD6"/>
    <w:rsid w:val="00B3671C"/>
    <w:rsid w:val="00B40A2C"/>
    <w:rsid w:val="00B5676D"/>
    <w:rsid w:val="00B730BF"/>
    <w:rsid w:val="00B82319"/>
    <w:rsid w:val="00BB0896"/>
    <w:rsid w:val="00BC5FCF"/>
    <w:rsid w:val="00BD08EC"/>
    <w:rsid w:val="00BD3C1D"/>
    <w:rsid w:val="00BD5A84"/>
    <w:rsid w:val="00BF6A0E"/>
    <w:rsid w:val="00C34B57"/>
    <w:rsid w:val="00C46513"/>
    <w:rsid w:val="00C723A7"/>
    <w:rsid w:val="00C84174"/>
    <w:rsid w:val="00C93702"/>
    <w:rsid w:val="00C9717C"/>
    <w:rsid w:val="00CC43CE"/>
    <w:rsid w:val="00CC5B10"/>
    <w:rsid w:val="00CD5AED"/>
    <w:rsid w:val="00CF17E1"/>
    <w:rsid w:val="00CF6781"/>
    <w:rsid w:val="00D00D6C"/>
    <w:rsid w:val="00D058B0"/>
    <w:rsid w:val="00D1059F"/>
    <w:rsid w:val="00D13FC9"/>
    <w:rsid w:val="00D21B55"/>
    <w:rsid w:val="00D3009E"/>
    <w:rsid w:val="00D36820"/>
    <w:rsid w:val="00D4333F"/>
    <w:rsid w:val="00D47F62"/>
    <w:rsid w:val="00D5285F"/>
    <w:rsid w:val="00D730EB"/>
    <w:rsid w:val="00DE479D"/>
    <w:rsid w:val="00DF3BF1"/>
    <w:rsid w:val="00E01E68"/>
    <w:rsid w:val="00E06A94"/>
    <w:rsid w:val="00E30BDF"/>
    <w:rsid w:val="00E42F57"/>
    <w:rsid w:val="00E8548A"/>
    <w:rsid w:val="00EA04E0"/>
    <w:rsid w:val="00EB20B6"/>
    <w:rsid w:val="00EB7FFA"/>
    <w:rsid w:val="00F25B20"/>
    <w:rsid w:val="00F261B7"/>
    <w:rsid w:val="00F3082F"/>
    <w:rsid w:val="00F42DAE"/>
    <w:rsid w:val="00F45149"/>
    <w:rsid w:val="00FA2AD6"/>
    <w:rsid w:val="00FA5201"/>
    <w:rsid w:val="00FD42D8"/>
    <w:rsid w:val="00FE0DBB"/>
    <w:rsid w:val="02A9706C"/>
    <w:rsid w:val="035D6DC5"/>
    <w:rsid w:val="0BB8151D"/>
    <w:rsid w:val="145B0632"/>
    <w:rsid w:val="15B6012F"/>
    <w:rsid w:val="182511AD"/>
    <w:rsid w:val="20086774"/>
    <w:rsid w:val="20401B1F"/>
    <w:rsid w:val="226E4F8A"/>
    <w:rsid w:val="25A92259"/>
    <w:rsid w:val="27BD4690"/>
    <w:rsid w:val="280B3FC1"/>
    <w:rsid w:val="2C152862"/>
    <w:rsid w:val="2CB03B88"/>
    <w:rsid w:val="2ECF4C5A"/>
    <w:rsid w:val="2FEB66AB"/>
    <w:rsid w:val="361971D0"/>
    <w:rsid w:val="3A553CC1"/>
    <w:rsid w:val="3C616320"/>
    <w:rsid w:val="3CBF2E36"/>
    <w:rsid w:val="417E7F01"/>
    <w:rsid w:val="42430F44"/>
    <w:rsid w:val="451F058D"/>
    <w:rsid w:val="45E4410A"/>
    <w:rsid w:val="49A665DB"/>
    <w:rsid w:val="4AA1777F"/>
    <w:rsid w:val="4B784D60"/>
    <w:rsid w:val="4C1F216E"/>
    <w:rsid w:val="4D44214E"/>
    <w:rsid w:val="4D877542"/>
    <w:rsid w:val="4F9827A5"/>
    <w:rsid w:val="5C1B6D2C"/>
    <w:rsid w:val="60825D61"/>
    <w:rsid w:val="60923DFD"/>
    <w:rsid w:val="63181501"/>
    <w:rsid w:val="6C9F78C6"/>
    <w:rsid w:val="6E9A3775"/>
    <w:rsid w:val="6F034B31"/>
    <w:rsid w:val="75BC19B7"/>
    <w:rsid w:val="75D96D69"/>
    <w:rsid w:val="767174B1"/>
    <w:rsid w:val="7A057D3D"/>
    <w:rsid w:val="7C137A39"/>
    <w:rsid w:val="7E6B3474"/>
    <w:rsid w:val="7EA0044B"/>
    <w:rsid w:val="7EEB1B76"/>
    <w:rsid w:val="7FBB1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contextualSpacing/>
      <w:jc w:val="both"/>
    </w:pPr>
    <w:rPr>
      <w:rFonts w:ascii="Times New Roman" w:hAnsi="Times New Roman" w:eastAsia="宋体" w:cstheme="minorBidi"/>
      <w:kern w:val="2"/>
      <w:sz w:val="21"/>
      <w:szCs w:val="22"/>
      <w:lang w:val="en-US" w:eastAsia="zh-CN" w:bidi="ar-SA"/>
    </w:rPr>
  </w:style>
  <w:style w:type="paragraph" w:styleId="2">
    <w:name w:val="heading 1"/>
    <w:basedOn w:val="1"/>
    <w:next w:val="1"/>
    <w:link w:val="16"/>
    <w:qFormat/>
    <w:uiPriority w:val="9"/>
    <w:pPr>
      <w:keepNext/>
      <w:keepLines/>
      <w:spacing w:before="50" w:beforeLines="50" w:after="50" w:afterLines="50"/>
      <w:ind w:firstLine="0" w:firstLineChars="0"/>
      <w:outlineLvl w:val="0"/>
    </w:pPr>
    <w:rPr>
      <w:rFonts w:eastAsia="黑体"/>
      <w:bCs/>
      <w:kern w:val="44"/>
      <w:szCs w:val="44"/>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Balloon Text"/>
    <w:basedOn w:val="1"/>
    <w:link w:val="20"/>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annotation subject"/>
    <w:basedOn w:val="3"/>
    <w:next w:val="3"/>
    <w:link w:val="19"/>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6"/>
    <w:qFormat/>
    <w:uiPriority w:val="99"/>
    <w:rPr>
      <w:sz w:val="18"/>
      <w:szCs w:val="18"/>
    </w:rPr>
  </w:style>
  <w:style w:type="character" w:customStyle="1" w:styleId="15">
    <w:name w:val="页脚 字符"/>
    <w:basedOn w:val="11"/>
    <w:link w:val="5"/>
    <w:qFormat/>
    <w:uiPriority w:val="99"/>
    <w:rPr>
      <w:sz w:val="18"/>
      <w:szCs w:val="18"/>
    </w:rPr>
  </w:style>
  <w:style w:type="character" w:customStyle="1" w:styleId="16">
    <w:name w:val="标题 1 字符"/>
    <w:basedOn w:val="11"/>
    <w:link w:val="2"/>
    <w:qFormat/>
    <w:uiPriority w:val="9"/>
    <w:rPr>
      <w:rFonts w:ascii="Times New Roman" w:hAnsi="Times New Roman" w:eastAsia="黑体"/>
      <w:bCs/>
      <w:kern w:val="44"/>
      <w:sz w:val="24"/>
      <w:szCs w:val="44"/>
    </w:rPr>
  </w:style>
  <w:style w:type="paragraph" w:styleId="17">
    <w:name w:val="No Spacing"/>
    <w:qFormat/>
    <w:uiPriority w:val="1"/>
    <w:pPr>
      <w:widowControl w:val="0"/>
      <w:ind w:firstLine="200" w:firstLineChars="200"/>
      <w:contextualSpacing/>
      <w:jc w:val="both"/>
    </w:pPr>
    <w:rPr>
      <w:rFonts w:ascii="Times New Roman" w:hAnsi="Times New Roman" w:eastAsia="宋体" w:cstheme="minorBidi"/>
      <w:kern w:val="2"/>
      <w:sz w:val="21"/>
      <w:szCs w:val="22"/>
      <w:lang w:val="en-US" w:eastAsia="zh-CN" w:bidi="ar-SA"/>
    </w:rPr>
  </w:style>
  <w:style w:type="character" w:customStyle="1" w:styleId="18">
    <w:name w:val="批注文字 字符"/>
    <w:basedOn w:val="11"/>
    <w:link w:val="3"/>
    <w:semiHidden/>
    <w:qFormat/>
    <w:uiPriority w:val="99"/>
    <w:rPr>
      <w:rFonts w:ascii="Times New Roman" w:hAnsi="Times New Roman" w:eastAsia="宋体"/>
    </w:rPr>
  </w:style>
  <w:style w:type="character" w:customStyle="1" w:styleId="19">
    <w:name w:val="批注主题 字符"/>
    <w:basedOn w:val="18"/>
    <w:link w:val="8"/>
    <w:semiHidden/>
    <w:qFormat/>
    <w:uiPriority w:val="99"/>
    <w:rPr>
      <w:rFonts w:ascii="Times New Roman" w:hAnsi="Times New Roman" w:eastAsia="宋体"/>
      <w:b/>
      <w:bCs/>
    </w:rPr>
  </w:style>
  <w:style w:type="character" w:customStyle="1" w:styleId="20">
    <w:name w:val="批注框文本 字符"/>
    <w:basedOn w:val="11"/>
    <w:link w:val="4"/>
    <w:semiHidden/>
    <w:qFormat/>
    <w:uiPriority w:val="99"/>
    <w:rPr>
      <w:rFonts w:ascii="Times New Roman" w:hAnsi="Times New Roman" w:eastAsia="宋体"/>
      <w:sz w:val="18"/>
      <w:szCs w:val="18"/>
    </w:rPr>
  </w:style>
  <w:style w:type="paragraph" w:customStyle="1" w:styleId="21">
    <w:name w:val="TOC 标题1"/>
    <w:basedOn w:val="2"/>
    <w:next w:val="1"/>
    <w:unhideWhenUsed/>
    <w:qFormat/>
    <w:uiPriority w:val="39"/>
    <w:pPr>
      <w:widowControl/>
      <w:spacing w:before="240" w:beforeLines="0" w:after="0" w:afterLines="0" w:line="259" w:lineRule="auto"/>
      <w:contextualSpacing w:val="0"/>
      <w:jc w:val="left"/>
      <w:outlineLvl w:val="9"/>
    </w:pPr>
    <w:rPr>
      <w:rFonts w:asciiTheme="majorHAnsi" w:hAnsiTheme="majorHAnsi" w:eastAsiaTheme="majorEastAsia" w:cstheme="majorBidi"/>
      <w:bCs w:val="0"/>
      <w:color w:val="2F5597" w:themeColor="accent1" w:themeShade="BF"/>
      <w:kern w:val="0"/>
      <w:sz w:val="32"/>
      <w:szCs w:val="32"/>
    </w:rPr>
  </w:style>
  <w:style w:type="paragraph" w:customStyle="1" w:styleId="22">
    <w:name w:val="修订1"/>
    <w:hidden/>
    <w:unhideWhenUsed/>
    <w:qFormat/>
    <w:uiPriority w:val="99"/>
    <w:rPr>
      <w:rFonts w:ascii="Times New Roman" w:hAnsi="Times New Roman" w:eastAsia="宋体" w:cstheme="minorBidi"/>
      <w:kern w:val="2"/>
      <w:sz w:val="21"/>
      <w:szCs w:val="22"/>
      <w:lang w:val="en-US" w:eastAsia="zh-CN" w:bidi="ar-SA"/>
    </w:rPr>
  </w:style>
  <w:style w:type="paragraph" w:styleId="23">
    <w:name w:val="List Paragraph"/>
    <w:basedOn w:val="1"/>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D5248B-95D2-48E9-86FF-D3BEC06D1E62}">
  <ds:schemaRefs/>
</ds:datastoreItem>
</file>

<file path=docProps/app.xml><?xml version="1.0" encoding="utf-8"?>
<Properties xmlns="http://schemas.openxmlformats.org/officeDocument/2006/extended-properties" xmlns:vt="http://schemas.openxmlformats.org/officeDocument/2006/docPropsVTypes">
  <Template>Normal</Template>
  <Pages>5</Pages>
  <Words>494</Words>
  <Characters>2818</Characters>
  <Lines>23</Lines>
  <Paragraphs>6</Paragraphs>
  <TotalTime>34</TotalTime>
  <ScaleCrop>false</ScaleCrop>
  <LinksUpToDate>false</LinksUpToDate>
  <CharactersWithSpaces>3306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2026-04-10T03:17:00Z</dcterms:created>
  <dc:creator>ecidi</dc:creator>
  <cp:lastModifiedBy>姚虞</cp:lastModifiedBy>
  <dcterms:modified xsi:type="dcterms:W3CDTF">2026-06-08T09:01:06Z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eyJoZGlkIjoiZDdkYjgwMThjZWI2ZWYxYzA3NWJkM2EzYTUxZmZkOTIiLCJ1c2VySWQiOiIyOTgyODc4MTIifQ==</vt:lpwstr>
  </property>
  <property fmtid="{D5CDD505-2E9C-101B-9397-08002B2CF9AE}" pid="3" name="KSOProductBuildVer">
    <vt:lpwstr>2052-11.8.2.12118</vt:lpwstr>
  </property>
  <property fmtid="{D5CDD505-2E9C-101B-9397-08002B2CF9AE}" pid="4" name="ICV">
    <vt:lpwstr>7DFA469FF75245138B58741C88663AA7_12</vt:lpwstr>
  </property>
</Properties>
</file>