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02605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2D3DBC24">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46784D9">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hint="eastAsia" w:ascii="黑体" w:hAnsi="黑体" w:eastAsia="黑体"/>
                <w:sz w:val="21"/>
                <w:szCs w:val="21"/>
              </w:rPr>
              <w:t>65.020</w:t>
            </w:r>
          </w:p>
        </w:tc>
      </w:tr>
      <w:tr w14:paraId="27C5B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4BD9D3E">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3BD37A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394629C5">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rPr>
                      <w:rFonts w:hint="eastAsia"/>
                    </w:rPr>
                    <w:t>PPZL</w:t>
                  </w:r>
                </w:p>
              </w:tc>
            </w:tr>
          </w:tbl>
          <w:p w14:paraId="1D0D7171">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sz w:val="21"/>
                <w:szCs w:val="21"/>
              </w:rPr>
              <w:t>B 16</w:t>
            </w:r>
          </w:p>
        </w:tc>
      </w:tr>
    </w:tbl>
    <w:p w14:paraId="675B8F29">
      <w:pPr>
        <w:pStyle w:val="50"/>
        <w:framePr w:w="9639" w:h="624" w:hRule="exact" w:hSpace="181" w:vSpace="181" w:wrap="around" w:hAnchor="page" w:x="1305" w:y="2269"/>
        <w:rPr>
          <w:rFonts w:hint="eastAsia" w:ascii="黑体" w:hAnsi="黑体" w:eastAsia="黑体"/>
          <w:b w:val="0"/>
          <w:bCs w:val="0"/>
          <w:w w:val="100"/>
          <w:sz w:val="48"/>
          <w:szCs w:val="48"/>
        </w:rPr>
      </w:pPr>
      <w:bookmarkStart w:id="0" w:name="_Hlk26473981"/>
      <w:r>
        <w:rPr>
          <w:rFonts w:ascii="黑体" w:eastAsia="黑体"/>
          <w:b w:val="0"/>
          <w:w w:val="100"/>
          <w:sz w:val="48"/>
        </w:rPr>
        <w:t>内蒙古品牌战略促进会</w:t>
      </w:r>
      <w:r>
        <w:rPr>
          <w:rFonts w:hint="eastAsia" w:ascii="黑体" w:eastAsia="黑体"/>
          <w:b w:val="0"/>
          <w:w w:val="100"/>
          <w:sz w:val="48"/>
        </w:rPr>
        <w:t>团体</w:t>
      </w:r>
      <w:r>
        <w:rPr>
          <w:rFonts w:hint="eastAsia" w:ascii="黑体" w:hAnsi="黑体" w:eastAsia="黑体"/>
          <w:b w:val="0"/>
          <w:bCs w:val="0"/>
          <w:w w:val="100"/>
          <w:sz w:val="48"/>
          <w:szCs w:val="48"/>
        </w:rPr>
        <w:t>标准</w:t>
      </w:r>
    </w:p>
    <w:bookmarkEnd w:id="0"/>
    <w:p w14:paraId="3E8FFAE0">
      <w:pPr>
        <w:pStyle w:val="195"/>
        <w:rPr>
          <w:rFonts w:hint="default" w:eastAsia="黑体"/>
          <w:lang w:val="en-US" w:eastAsia="zh-CN"/>
        </w:rPr>
      </w:pPr>
      <w:r>
        <w:t>T/</w:t>
      </w:r>
      <w:r>
        <w:rPr>
          <w:rFonts w:hint="eastAsia"/>
        </w:rPr>
        <w:t>PPZL</w:t>
      </w:r>
      <w:r>
        <w:t xml:space="preserve"> </w:t>
      </w:r>
      <w:r>
        <w:rPr>
          <w:rFonts w:hint="eastAsia"/>
          <w:lang w:val="en-US" w:eastAsia="zh-CN"/>
        </w:rPr>
        <w:t>065</w:t>
      </w:r>
      <w:r>
        <w:rPr>
          <w:rFonts w:hAnsi="黑体"/>
        </w:rPr>
        <w:t>—</w:t>
      </w:r>
      <w:r>
        <w:rPr>
          <w:rFonts w:hint="eastAsia"/>
          <w:lang w:val="en-US" w:eastAsia="zh-CN"/>
        </w:rPr>
        <w:t>2026</w:t>
      </w:r>
    </w:p>
    <w:p w14:paraId="34983B31">
      <w:pPr>
        <w:pStyle w:val="196"/>
        <w:rPr>
          <w:rFonts w:hint="eastAsia" w:hAnsi="黑体"/>
        </w:rPr>
      </w:pPr>
      <w:r>
        <w:rPr>
          <w:rFonts w:hAnsi="黑体"/>
        </w:rPr>
        <w:fldChar w:fldCharType="begin">
          <w:ffData>
            <w:name w:val="OSTD_CODE"/>
            <w:enabled/>
            <w:calcOnExit w:val="0"/>
            <w:textInput/>
          </w:ffData>
        </w:fldChar>
      </w:r>
      <w:bookmarkStart w:id="1"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1"/>
    </w:p>
    <w:p w14:paraId="4F239C25">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42A0D03">
      <w:pPr>
        <w:pStyle w:val="50"/>
        <w:framePr w:w="9639" w:h="6976" w:hRule="exact" w:hSpace="0" w:vSpace="0" w:wrap="around" w:hAnchor="page" w:y="6408"/>
        <w:jc w:val="center"/>
        <w:rPr>
          <w:rFonts w:hint="eastAsia" w:ascii="黑体" w:hAnsi="黑体" w:eastAsia="黑体"/>
          <w:b w:val="0"/>
          <w:bCs w:val="0"/>
          <w:w w:val="100"/>
        </w:rPr>
      </w:pPr>
    </w:p>
    <w:p w14:paraId="74609383">
      <w:pPr>
        <w:pStyle w:val="197"/>
        <w:framePr w:h="6974" w:hRule="exact" w:wrap="around" w:x="1419" w:anchorLock="1"/>
      </w:pPr>
      <w:r>
        <w:t>玉米病害低碳智慧监测平台</w:t>
      </w:r>
    </w:p>
    <w:p w14:paraId="7C41F032">
      <w:pPr>
        <w:pStyle w:val="197"/>
        <w:framePr w:h="6974" w:hRule="exact" w:wrap="around" w:x="1419" w:anchorLock="1"/>
        <w:rPr>
          <w:rFonts w:hint="eastAsia"/>
        </w:rPr>
      </w:pPr>
      <w:r>
        <w:t>建设规范</w:t>
      </w:r>
    </w:p>
    <w:p w14:paraId="08A8B2A4">
      <w:pPr>
        <w:framePr w:w="9639" w:h="6974" w:hRule="exact" w:wrap="around" w:vAnchor="page" w:hAnchor="page" w:x="1419" w:y="6408" w:anchorLock="1"/>
        <w:ind w:left="-1418"/>
        <w:rPr>
          <w:rFonts w:hint="eastAsia" w:ascii="黑体" w:hAnsi="黑体" w:eastAsia="黑体" w:cs="黑体"/>
        </w:rPr>
      </w:pPr>
    </w:p>
    <w:p w14:paraId="4AD9F673">
      <w:pPr>
        <w:pStyle w:val="125"/>
        <w:framePr w:w="9639" w:h="6974" w:hRule="exact" w:wrap="around" w:vAnchor="page" w:hAnchor="page" w:x="1419" w:y="6408" w:anchorLock="1"/>
        <w:textAlignment w:val="bottom"/>
        <w:rPr>
          <w:rFonts w:hint="eastAsia" w:ascii="黑体" w:hAnsi="黑体" w:eastAsia="黑体" w:cs="黑体"/>
          <w:szCs w:val="28"/>
        </w:rPr>
      </w:pPr>
      <w:r>
        <w:rPr>
          <w:rFonts w:hint="eastAsia" w:ascii="黑体" w:hAnsi="黑体" w:eastAsia="黑体" w:cs="黑体"/>
          <w:szCs w:val="28"/>
        </w:rPr>
        <w:t>Construction Specification for Low-Carbon Intelligent Monitoring Platform of Maize Diseases</w:t>
      </w:r>
    </w:p>
    <w:p w14:paraId="26D06E73">
      <w:pPr>
        <w:framePr w:w="9639" w:h="6974" w:hRule="exact" w:wrap="around" w:vAnchor="page" w:hAnchor="page" w:x="1419" w:y="6408" w:anchorLock="1"/>
        <w:spacing w:line="760" w:lineRule="exact"/>
        <w:ind w:left="-1418"/>
      </w:pPr>
    </w:p>
    <w:p w14:paraId="2529EEFF">
      <w:pPr>
        <w:pStyle w:val="125"/>
        <w:framePr w:w="9639" w:h="6974" w:hRule="exact" w:wrap="around" w:vAnchor="page" w:hAnchor="page" w:x="1419" w:y="6408" w:anchorLock="1"/>
        <w:textAlignment w:val="bottom"/>
        <w:rPr>
          <w:rFonts w:eastAsia="黑体"/>
          <w:szCs w:val="28"/>
        </w:rPr>
      </w:pPr>
    </w:p>
    <w:p w14:paraId="54C26F79">
      <w:pPr>
        <w:pStyle w:val="125"/>
        <w:framePr w:w="9639" w:h="6974" w:hRule="exact" w:wrap="around" w:vAnchor="page" w:hAnchor="page" w:x="1419" w:y="6408" w:anchorLock="1"/>
        <w:spacing w:before="440" w:after="160"/>
        <w:textAlignment w:val="bottom"/>
        <w:rPr>
          <w:sz w:val="24"/>
          <w:szCs w:val="28"/>
        </w:rPr>
      </w:pPr>
    </w:p>
    <w:p w14:paraId="423B4FB2">
      <w:pPr>
        <w:pStyle w:val="125"/>
        <w:framePr w:w="9639" w:h="6974" w:hRule="exact" w:wrap="around" w:vAnchor="page" w:hAnchor="page" w:x="1419" w:y="6408" w:anchorLock="1"/>
        <w:spacing w:before="180" w:line="240" w:lineRule="atLeast"/>
        <w:textAlignment w:val="bottom"/>
        <w:rPr>
          <w:sz w:val="21"/>
          <w:szCs w:val="28"/>
        </w:rPr>
      </w:pPr>
    </w:p>
    <w:p w14:paraId="786D383A">
      <w:pPr>
        <w:pStyle w:val="125"/>
        <w:framePr w:w="9639" w:h="6974" w:hRule="exact" w:wrap="around" w:vAnchor="page" w:hAnchor="page" w:x="1419" w:y="6408" w:anchorLock="1"/>
        <w:spacing w:before="720" w:beforeLines="300" w:after="72" w:afterLines="30" w:line="240" w:lineRule="auto"/>
        <w:textAlignment w:val="bottom"/>
        <w:rPr>
          <w:b/>
          <w:sz w:val="21"/>
          <w:szCs w:val="28"/>
        </w:rPr>
      </w:pPr>
    </w:p>
    <w:p w14:paraId="1112FDBD">
      <w:pPr>
        <w:pStyle w:val="193"/>
        <w:framePr w:wrap="around" w:y="14176"/>
      </w:pPr>
      <w:r>
        <w:rPr>
          <w:rFonts w:hint="eastAsia" w:ascii="黑体"/>
        </w:rPr>
        <w:t>2026</w:t>
      </w:r>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2"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3"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3"/>
      <w:r>
        <w:rPr>
          <w:rFonts w:hint="eastAsia"/>
        </w:rPr>
        <w:t>发布</w:t>
      </w:r>
    </w:p>
    <w:p w14:paraId="209CE818">
      <w:pPr>
        <w:pStyle w:val="194"/>
        <w:framePr w:wrap="around" w:y="14176"/>
      </w:pPr>
      <w:r>
        <w:rPr>
          <w:rFonts w:hint="eastAsia" w:ascii="黑体"/>
        </w:rPr>
        <w:t>2026</w:t>
      </w:r>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4"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4"/>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5"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5"/>
      <w:r>
        <w:rPr>
          <w:rFonts w:hint="eastAsia"/>
        </w:rPr>
        <w:t>实施</w:t>
      </w:r>
    </w:p>
    <w:p w14:paraId="3E80AF8B">
      <w:pPr>
        <w:pStyle w:val="151"/>
        <w:framePr w:h="584" w:hRule="exact" w:hSpace="181" w:vSpace="181" w:wrap="around" w:y="14800"/>
        <w:rPr>
          <w:rFonts w:hint="eastAsia" w:hAnsi="黑体"/>
        </w:rPr>
      </w:pPr>
      <w:r>
        <w:rPr>
          <w:rFonts w:hint="eastAsia" w:hAnsi="黑体"/>
          <w:w w:val="100"/>
          <w:sz w:val="28"/>
        </w:rPr>
        <w:t>内蒙古品牌战略促进会</w:t>
      </w:r>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69DB44A1">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BE4CC3A">
      <w:pPr>
        <w:pStyle w:val="89"/>
        <w:spacing w:before="560" w:after="360"/>
      </w:pPr>
      <w:bookmarkStart w:id="6" w:name="BookMark2"/>
      <w:r>
        <w:rPr>
          <w:rFonts w:hint="eastAsia"/>
          <w:spacing w:val="320"/>
        </w:rPr>
        <w:t>前</w:t>
      </w:r>
      <w:r>
        <w:rPr>
          <w:rFonts w:hint="eastAsia"/>
        </w:rPr>
        <w:t>言</w:t>
      </w:r>
    </w:p>
    <w:p w14:paraId="337B8A96">
      <w:pPr>
        <w:pStyle w:val="56"/>
        <w:ind w:firstLine="420"/>
      </w:pPr>
      <w:r>
        <w:rPr>
          <w:rFonts w:hint="eastAsia"/>
        </w:rPr>
        <w:t>本文件</w:t>
      </w:r>
      <w:r>
        <w:rPr>
          <w:rFonts w:hint="eastAsia" w:ascii="宋体" w:hAnsi="宋体"/>
        </w:rPr>
        <w:t>按照GB/T 1.1—2020《</w:t>
      </w:r>
      <w:r>
        <w:rPr>
          <w:rFonts w:hint="eastAsia"/>
        </w:rPr>
        <w:t xml:space="preserve">标准化工作导则 </w:t>
      </w:r>
      <w:r>
        <w:rPr>
          <w:rFonts w:hint="eastAsia" w:ascii="宋体" w:hAnsi="宋体"/>
        </w:rPr>
        <w:t xml:space="preserve"> 第1部分：</w:t>
      </w:r>
      <w:r>
        <w:rPr>
          <w:rFonts w:hint="eastAsia"/>
        </w:rPr>
        <w:t>标准化文件的结构和起草规则》的规定起草。</w:t>
      </w:r>
    </w:p>
    <w:p w14:paraId="25807B34">
      <w:pPr>
        <w:pStyle w:val="56"/>
        <w:ind w:firstLine="420"/>
      </w:pPr>
      <w:r>
        <w:rPr>
          <w:rFonts w:hint="eastAsia"/>
        </w:rPr>
        <w:t>请注意本文件的某些内容可能涉及专利。本文件的发布机构不承担识别专利的责任。</w:t>
      </w:r>
    </w:p>
    <w:p w14:paraId="4D034425">
      <w:pPr>
        <w:pStyle w:val="56"/>
        <w:ind w:firstLine="420"/>
      </w:pPr>
      <w:r>
        <w:rPr>
          <w:rFonts w:hint="eastAsia"/>
        </w:rPr>
        <w:t>本文件由鄂尔多斯生态环境职业学院提出。</w:t>
      </w:r>
    </w:p>
    <w:p w14:paraId="115A1982">
      <w:pPr>
        <w:pStyle w:val="56"/>
        <w:ind w:firstLine="420"/>
      </w:pPr>
      <w:r>
        <w:rPr>
          <w:rFonts w:hint="eastAsia"/>
        </w:rPr>
        <w:t>本文件由内蒙古品牌标准化技术委</w:t>
      </w:r>
      <w:r>
        <w:rPr>
          <w:rFonts w:hint="eastAsia" w:ascii="宋体" w:hAnsi="宋体"/>
        </w:rPr>
        <w:t>员会（SAM/TC 33）归口。</w:t>
      </w:r>
    </w:p>
    <w:p w14:paraId="48915071">
      <w:pPr>
        <w:pStyle w:val="56"/>
        <w:ind w:firstLine="420"/>
      </w:pPr>
      <w:r>
        <w:rPr>
          <w:rFonts w:hint="eastAsia"/>
        </w:rPr>
        <w:t>本文件起草单位：鄂尔多斯生态环境职业学院、西北农林科技大学、内蒙古农业大学、鄂尔多斯市农牧业科学研究院、鄂尔多斯市耕地质量保护和农田建设服务中心、鄂尔多斯市植保植检中心、</w:t>
      </w:r>
      <w:r>
        <w:rPr>
          <w:rFonts w:hint="eastAsia"/>
          <w:lang w:val="en-US" w:eastAsia="zh-CN"/>
        </w:rPr>
        <w:t>锡林郭勒盟食品科学和检测中心、</w:t>
      </w:r>
      <w:r>
        <w:rPr>
          <w:rFonts w:hint="eastAsia"/>
        </w:rPr>
        <w:t>西安黄氏生物工程有限公司、陕西绿农智安科技有限公司、武汉安瑞思科技</w:t>
      </w:r>
      <w:bookmarkStart w:id="36" w:name="_GoBack"/>
      <w:bookmarkEnd w:id="36"/>
      <w:r>
        <w:rPr>
          <w:rFonts w:hint="eastAsia"/>
        </w:rPr>
        <w:t>有限公司</w:t>
      </w:r>
      <w:r>
        <w:rPr>
          <w:rFonts w:hint="eastAsia"/>
          <w:lang w:eastAsia="zh-CN"/>
        </w:rPr>
        <w:t>、</w:t>
      </w:r>
      <w:r>
        <w:rPr>
          <w:rFonts w:hint="eastAsia"/>
        </w:rPr>
        <w:t>。</w:t>
      </w:r>
    </w:p>
    <w:p w14:paraId="09C7CC15">
      <w:pPr>
        <w:pStyle w:val="56"/>
        <w:ind w:firstLine="420"/>
      </w:pPr>
      <w:r>
        <w:rPr>
          <w:rFonts w:hint="eastAsia"/>
        </w:rPr>
        <w:t>本文件主要起草人：马丽杰、胡小平、魏春光、孙平平、商文静、李正男、杨政伟、武占敏、张朋飞、扈景晗、李敏州、吕金、郭帅领、张磊、黄卫利、刘磊磊、董帅</w:t>
      </w:r>
      <w:r>
        <w:rPr>
          <w:rFonts w:hint="eastAsia"/>
          <w:lang w:eastAsia="zh-CN"/>
        </w:rPr>
        <w:t>、</w:t>
      </w:r>
      <w:r>
        <w:rPr>
          <w:rFonts w:hint="eastAsia"/>
          <w:sz w:val="24"/>
          <w:szCs w:val="32"/>
          <w:vertAlign w:val="baseline"/>
          <w:lang w:eastAsia="zh-CN"/>
        </w:rPr>
        <w:t>那仁高娃</w:t>
      </w:r>
      <w:r>
        <w:rPr>
          <w:rFonts w:hint="eastAsia"/>
        </w:rPr>
        <w:t>。</w:t>
      </w:r>
    </w:p>
    <w:p w14:paraId="50ECEA9D">
      <w:pPr>
        <w:pStyle w:val="56"/>
        <w:ind w:firstLine="42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p>
    <w:bookmarkEnd w:id="6"/>
    <w:p w14:paraId="2BF17096">
      <w:pPr>
        <w:spacing w:line="20" w:lineRule="exact"/>
        <w:jc w:val="center"/>
        <w:rPr>
          <w:rFonts w:hint="eastAsia" w:ascii="黑体" w:hAnsi="黑体" w:eastAsia="黑体"/>
          <w:sz w:val="32"/>
          <w:szCs w:val="32"/>
        </w:rPr>
      </w:pPr>
      <w:bookmarkStart w:id="7" w:name="BookMark4"/>
    </w:p>
    <w:p w14:paraId="68790561">
      <w:pPr>
        <w:spacing w:line="20" w:lineRule="exact"/>
        <w:jc w:val="center"/>
        <w:rPr>
          <w:rFonts w:hint="eastAsia" w:ascii="黑体" w:hAnsi="黑体" w:eastAsia="黑体"/>
          <w:sz w:val="32"/>
          <w:szCs w:val="32"/>
        </w:rPr>
      </w:pPr>
    </w:p>
    <w:sdt>
      <w:sdtPr>
        <w:tag w:val="NEW_STAND_NAME"/>
        <w:id w:val="595910757"/>
        <w:lock w:val="sdtLocked"/>
        <w:placeholder>
          <w:docPart w:val="F604B8B6D52C438289EABE5376A98ADE"/>
        </w:placeholder>
      </w:sdtPr>
      <w:sdtContent>
        <w:p w14:paraId="05D040BE">
          <w:pPr>
            <w:pStyle w:val="177"/>
            <w:rPr>
              <w:rFonts w:hint="eastAsia"/>
            </w:rPr>
          </w:pPr>
          <w:bookmarkStart w:id="8" w:name="NEW_STAND_NAME"/>
          <w:r>
            <w:t>玉米病害低碳智慧监测平台建设规范</w:t>
          </w:r>
        </w:p>
      </w:sdtContent>
    </w:sdt>
    <w:bookmarkEnd w:id="8"/>
    <w:p w14:paraId="21507F15">
      <w:pPr>
        <w:pStyle w:val="104"/>
        <w:spacing w:before="240" w:after="240"/>
      </w:pPr>
      <w:bookmarkStart w:id="9" w:name="_Toc97192964"/>
      <w:bookmarkStart w:id="10" w:name="_Toc26718930"/>
      <w:bookmarkStart w:id="11" w:name="_Toc26986530"/>
      <w:bookmarkStart w:id="12" w:name="_Toc26986771"/>
      <w:bookmarkStart w:id="13" w:name="_Toc24884211"/>
      <w:bookmarkStart w:id="14" w:name="_Toc17233325"/>
      <w:bookmarkStart w:id="15" w:name="_Toc24884218"/>
      <w:bookmarkStart w:id="16" w:name="_Toc26648465"/>
      <w:bookmarkStart w:id="17" w:name="_Toc17233333"/>
      <w:r>
        <w:rPr>
          <w:rFonts w:hint="eastAsia"/>
        </w:rPr>
        <w:t>范围</w:t>
      </w:r>
      <w:bookmarkEnd w:id="9"/>
      <w:bookmarkEnd w:id="10"/>
      <w:bookmarkEnd w:id="11"/>
      <w:bookmarkEnd w:id="12"/>
      <w:bookmarkEnd w:id="13"/>
      <w:bookmarkEnd w:id="14"/>
      <w:bookmarkEnd w:id="15"/>
      <w:bookmarkEnd w:id="16"/>
      <w:bookmarkEnd w:id="17"/>
    </w:p>
    <w:p w14:paraId="28281C1A">
      <w:pPr>
        <w:pStyle w:val="56"/>
        <w:ind w:firstLine="420"/>
      </w:pPr>
      <w:bookmarkStart w:id="18" w:name="_Toc24884219"/>
      <w:bookmarkStart w:id="19" w:name="_Toc26648466"/>
      <w:bookmarkStart w:id="20" w:name="_Toc24884212"/>
      <w:bookmarkStart w:id="21" w:name="_Toc17233326"/>
      <w:bookmarkStart w:id="22" w:name="_Toc17233334"/>
      <w:r>
        <w:rPr>
          <w:rFonts w:hint="eastAsia"/>
        </w:rPr>
        <w:t>本文件确立了玉米病害低碳智慧监测平台建设的程序，规定了平台建设的技术要求、功能模块、数据管理、运行维护及低碳指标等内容。</w:t>
      </w:r>
    </w:p>
    <w:p w14:paraId="25CAD243">
      <w:pPr>
        <w:pStyle w:val="56"/>
        <w:ind w:firstLine="420"/>
      </w:pPr>
      <w:r>
        <w:rPr>
          <w:rFonts w:hint="eastAsia"/>
        </w:rPr>
        <w:t>本文件适用于内蒙古自治区行政区域内玉米主产区的低碳智慧病害监测平台规划、设计、建设、运行及评价。</w:t>
      </w:r>
    </w:p>
    <w:p w14:paraId="70F10C62">
      <w:pPr>
        <w:pStyle w:val="104"/>
        <w:spacing w:before="240" w:after="240"/>
      </w:pPr>
      <w:bookmarkStart w:id="23" w:name="_Toc26986531"/>
      <w:bookmarkStart w:id="24" w:name="_Toc97192965"/>
      <w:bookmarkStart w:id="25" w:name="_Toc26986772"/>
      <w:bookmarkStart w:id="26" w:name="_Toc26718931"/>
      <w:r>
        <w:rPr>
          <w:rFonts w:hint="eastAsia"/>
        </w:rPr>
        <w:t>规范性引用文件</w:t>
      </w:r>
      <w:bookmarkEnd w:id="18"/>
      <w:bookmarkEnd w:id="19"/>
      <w:bookmarkEnd w:id="20"/>
      <w:bookmarkEnd w:id="21"/>
      <w:bookmarkEnd w:id="22"/>
      <w:bookmarkEnd w:id="23"/>
      <w:bookmarkEnd w:id="24"/>
      <w:bookmarkEnd w:id="25"/>
      <w:bookmarkEnd w:id="26"/>
    </w:p>
    <w:sdt>
      <w:sdtPr>
        <w:rPr>
          <w:rFonts w:hint="eastAsia"/>
        </w:rPr>
        <w:id w:val="715848253"/>
        <w:placeholder>
          <w:docPart w:val="A73689761C7E4FE494465A2A4E9D74C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A7506B5">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68F3861">
      <w:pPr>
        <w:pStyle w:val="56"/>
        <w:ind w:left="420" w:leftChars="200" w:firstLine="0" w:firstLineChars="0"/>
        <w:rPr>
          <w:rFonts w:ascii="宋体" w:hAnsi="宋体"/>
        </w:rPr>
      </w:pPr>
      <w:r>
        <w:rPr>
          <w:rFonts w:ascii="宋体" w:hAnsi="宋体"/>
        </w:rPr>
        <w:t>GB/T 22239</w:t>
      </w:r>
      <w:r>
        <w:rPr>
          <w:rFonts w:hint="eastAsia" w:ascii="宋体" w:hAnsi="宋体"/>
        </w:rPr>
        <w:t xml:space="preserve"> </w:t>
      </w:r>
      <w:r>
        <w:rPr>
          <w:rFonts w:ascii="宋体" w:hAnsi="宋体"/>
        </w:rPr>
        <w:t xml:space="preserve"> 信息安全技术 网络安全等级保护基本要求</w:t>
      </w:r>
      <w:r>
        <w:rPr>
          <w:rFonts w:ascii="宋体" w:hAnsi="宋体"/>
        </w:rPr>
        <w:cr/>
      </w:r>
      <w:bookmarkStart w:id="27" w:name="OLE_LINK1"/>
      <w:r>
        <w:rPr>
          <w:rFonts w:ascii="宋体" w:hAnsi="宋体"/>
        </w:rPr>
        <w:t>GB/T 43440</w:t>
      </w:r>
      <w:bookmarkEnd w:id="27"/>
      <w:r>
        <w:rPr>
          <w:rFonts w:hint="eastAsia" w:ascii="宋体" w:hAnsi="宋体"/>
        </w:rPr>
        <w:t xml:space="preserve"> </w:t>
      </w:r>
      <w:r>
        <w:rPr>
          <w:rFonts w:ascii="宋体" w:hAnsi="宋体"/>
        </w:rPr>
        <w:t xml:space="preserve"> 物联网 智慧农业数据传输技术应用指南</w:t>
      </w:r>
      <w:r>
        <w:rPr>
          <w:rFonts w:ascii="宋体" w:hAnsi="宋体"/>
        </w:rPr>
        <w:cr/>
      </w:r>
      <w:r>
        <w:rPr>
          <w:rFonts w:ascii="宋体" w:hAnsi="宋体"/>
        </w:rPr>
        <w:t>NY/T 1248.1</w:t>
      </w:r>
      <w:r>
        <w:rPr>
          <w:rFonts w:hint="eastAsia" w:ascii="宋体" w:hAnsi="宋体"/>
        </w:rPr>
        <w:t xml:space="preserve"> </w:t>
      </w:r>
      <w:r>
        <w:rPr>
          <w:rFonts w:ascii="宋体" w:hAnsi="宋体"/>
        </w:rPr>
        <w:t xml:space="preserve"> 玉米抗病虫性鉴定技术规范 第1部分：玉米抗大斑病鉴定技术规范</w:t>
      </w:r>
      <w:r>
        <w:rPr>
          <w:rFonts w:ascii="宋体" w:hAnsi="宋体"/>
        </w:rPr>
        <w:cr/>
      </w:r>
      <w:r>
        <w:rPr>
          <w:rFonts w:ascii="宋体" w:hAnsi="宋体"/>
        </w:rPr>
        <w:t xml:space="preserve">NY/T 1861 </w:t>
      </w:r>
      <w:r>
        <w:rPr>
          <w:rFonts w:hint="eastAsia" w:ascii="宋体" w:hAnsi="宋体"/>
        </w:rPr>
        <w:t xml:space="preserve"> </w:t>
      </w:r>
      <w:r>
        <w:rPr>
          <w:rFonts w:ascii="宋体" w:hAnsi="宋体"/>
        </w:rPr>
        <w:t>外来草本植物普查技术规程</w:t>
      </w:r>
    </w:p>
    <w:p w14:paraId="5F72A6EC">
      <w:pPr>
        <w:pStyle w:val="104"/>
        <w:spacing w:before="240" w:after="240"/>
      </w:pPr>
      <w:bookmarkStart w:id="28" w:name="_Toc97192966"/>
      <w:r>
        <w:rPr>
          <w:rFonts w:hint="eastAsia"/>
          <w:szCs w:val="21"/>
        </w:rPr>
        <w:t>术语和定义</w:t>
      </w:r>
      <w:bookmarkEnd w:id="28"/>
    </w:p>
    <w:sdt>
      <w:sdtPr>
        <w:id w:val="-1909835108"/>
        <w:placeholder>
          <w:docPart w:val="A727AF6D4F264BA4B3E960E4201A3EB9"/>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4C7A82BA">
          <w:pPr>
            <w:pStyle w:val="56"/>
            <w:ind w:firstLine="420"/>
          </w:pPr>
          <w:bookmarkStart w:id="29" w:name="_Toc26986532"/>
          <w:bookmarkEnd w:id="29"/>
          <w:r>
            <w:t>下列术语和定义适用于本文件。</w:t>
          </w:r>
        </w:p>
      </w:sdtContent>
    </w:sdt>
    <w:p w14:paraId="12F5EEFE">
      <w:pPr>
        <w:pStyle w:val="223"/>
        <w:rPr>
          <w:rFonts w:hint="eastAsia" w:ascii="黑体" w:hAnsi="黑体" w:eastAsia="黑体" w:cs="Times New Roman"/>
          <w:color w:val="000000" w:themeColor="text1"/>
          <w14:textFill>
            <w14:solidFill>
              <w14:schemeClr w14:val="tx1"/>
            </w14:solidFill>
          </w14:textFill>
        </w:rPr>
      </w:pPr>
      <w:r>
        <w:rPr>
          <w:rFonts w:ascii="黑体" w:hAnsi="黑体" w:eastAsia="黑体"/>
        </w:rPr>
        <w:br w:type="textWrapping"/>
      </w:r>
      <w:r>
        <w:rPr>
          <w:rFonts w:hint="eastAsia" w:ascii="黑体" w:hAnsi="黑体" w:eastAsia="黑体"/>
        </w:rPr>
        <w:t xml:space="preserve">    </w:t>
      </w:r>
      <w:bookmarkStart w:id="30" w:name="OLE_LINK3"/>
      <w:r>
        <w:rPr>
          <w:rFonts w:ascii="黑体" w:hAnsi="黑体" w:eastAsia="黑体"/>
        </w:rPr>
        <w:t>玉米病害低碳智慧监测平台</w:t>
      </w:r>
      <w:bookmarkEnd w:id="30"/>
      <w:r>
        <w:rPr>
          <w:rFonts w:hint="eastAsia" w:ascii="黑体" w:hAnsi="黑体" w:eastAsia="黑体" w:cs="Times New Roman"/>
          <w:color w:val="000000" w:themeColor="text1"/>
          <w:lang w:eastAsia="zh-CN"/>
          <w14:textFill>
            <w14:solidFill>
              <w14:schemeClr w14:val="tx1"/>
            </w14:solidFill>
          </w14:textFill>
        </w:rPr>
        <w:t>（</w:t>
      </w:r>
      <w:r>
        <w:rPr>
          <w:rFonts w:hint="eastAsia" w:ascii="黑体" w:hAnsi="黑体" w:eastAsia="黑体" w:cs="Times New Roman"/>
          <w:color w:val="000000" w:themeColor="text1"/>
          <w14:textFill>
            <w14:solidFill>
              <w14:schemeClr w14:val="tx1"/>
            </w14:solidFill>
          </w14:textFill>
        </w:rPr>
        <w:t xml:space="preserve">Low-Carbon Intelligent Monitoring Platform </w:t>
      </w:r>
      <w:r>
        <w:rPr>
          <w:rFonts w:hint="eastAsia" w:ascii="黑体" w:hAnsi="黑体" w:eastAsia="黑体" w:cs="Times New Roman"/>
          <w:color w:val="000000" w:themeColor="text1"/>
          <w:lang w:val="en-US" w:eastAsia="zh-CN"/>
          <w14:textFill>
            <w14:solidFill>
              <w14:schemeClr w14:val="tx1"/>
            </w14:solidFill>
          </w14:textFill>
        </w:rPr>
        <w:t>of</w:t>
      </w:r>
      <w:r>
        <w:rPr>
          <w:rFonts w:hint="eastAsia" w:ascii="黑体" w:hAnsi="黑体" w:eastAsia="黑体" w:cs="Times New Roman"/>
          <w:color w:val="000000" w:themeColor="text1"/>
          <w14:textFill>
            <w14:solidFill>
              <w14:schemeClr w14:val="tx1"/>
            </w14:solidFill>
          </w14:textFill>
        </w:rPr>
        <w:t xml:space="preserve"> Maize</w:t>
      </w:r>
      <w:r>
        <w:rPr>
          <w:rFonts w:hint="eastAsia" w:ascii="黑体" w:hAnsi="黑体" w:eastAsia="黑体" w:cs="Times New Roman"/>
          <w:color w:val="000000" w:themeColor="text1"/>
          <w:lang w:val="en-US" w:eastAsia="zh-CN"/>
          <w14:textFill>
            <w14:solidFill>
              <w14:schemeClr w14:val="tx1"/>
            </w14:solidFill>
          </w14:textFill>
        </w:rPr>
        <w:t xml:space="preserve"> </w:t>
      </w:r>
      <w:r>
        <w:rPr>
          <w:rFonts w:hint="eastAsia" w:ascii="黑体" w:hAnsi="黑体" w:eastAsia="黑体" w:cs="Times New Roman"/>
          <w:color w:val="000000" w:themeColor="text1"/>
          <w14:textFill>
            <w14:solidFill>
              <w14:schemeClr w14:val="tx1"/>
            </w14:solidFill>
          </w14:textFill>
        </w:rPr>
        <w:t>Diseases</w:t>
      </w:r>
      <w:r>
        <w:rPr>
          <w:rFonts w:hint="eastAsia" w:ascii="黑体" w:hAnsi="黑体" w:eastAsia="黑体" w:cs="Times New Roman"/>
          <w:color w:val="000000" w:themeColor="text1"/>
          <w:lang w:eastAsia="zh-CN"/>
          <w14:textFill>
            <w14:solidFill>
              <w14:schemeClr w14:val="tx1"/>
            </w14:solidFill>
          </w14:textFill>
        </w:rPr>
        <w:t>）</w:t>
      </w:r>
    </w:p>
    <w:p w14:paraId="7FDE3C71">
      <w:pPr>
        <w:pStyle w:val="56"/>
        <w:ind w:firstLine="420"/>
      </w:pPr>
      <w:r>
        <w:t>基于物联网、大数据、人工智能等技术，整合玉米病害监测数据、气象数据、病原菌资源数据等多源信息，实现病害智能诊断、预测预警、精准施药指导及碳减排监测的一体化信息服务平台，兼具轻量化部署和低碳运行特性。</w:t>
      </w:r>
    </w:p>
    <w:p w14:paraId="0BC1C7C5">
      <w:pPr>
        <w:pStyle w:val="223"/>
        <w:rPr>
          <w:rFonts w:hint="eastAsia" w:ascii="黑体" w:hAnsi="黑体" w:eastAsia="黑体"/>
        </w:rPr>
      </w:pPr>
      <w:r>
        <w:rPr>
          <w:rFonts w:ascii="黑体" w:hAnsi="黑体" w:eastAsia="黑体"/>
        </w:rPr>
        <w:br w:type="textWrapping"/>
      </w:r>
      <w:r>
        <w:rPr>
          <w:rFonts w:hint="eastAsia" w:ascii="黑体" w:hAnsi="黑体" w:eastAsia="黑体"/>
        </w:rPr>
        <w:t xml:space="preserve">    </w:t>
      </w:r>
      <w:bookmarkStart w:id="31" w:name="OLE_LINK4"/>
      <w:r>
        <w:rPr>
          <w:rFonts w:ascii="黑体" w:hAnsi="黑体" w:eastAsia="黑体"/>
          <w:color w:val="000000" w:themeColor="text1"/>
          <w14:textFill>
            <w14:solidFill>
              <w14:schemeClr w14:val="tx1"/>
            </w14:solidFill>
          </w14:textFill>
        </w:rPr>
        <w:t>玉米病害多源信息融合</w:t>
      </w:r>
      <w:bookmarkEnd w:id="31"/>
      <w:r>
        <w:rPr>
          <w:rFonts w:hint="eastAsia" w:ascii="黑体" w:hAnsi="黑体" w:eastAsia="黑体"/>
          <w:color w:val="000000" w:themeColor="text1"/>
          <w14:textFill>
            <w14:solidFill>
              <w14:schemeClr w14:val="tx1"/>
            </w14:solidFill>
          </w14:textFill>
        </w:rPr>
        <w:t>(Multi-source information fusion of maize diseases)</w:t>
      </w:r>
    </w:p>
    <w:p w14:paraId="241988D7">
      <w:pPr>
        <w:pStyle w:val="56"/>
        <w:ind w:firstLine="420"/>
      </w:pPr>
      <w:r>
        <w:t>将物联网传感器采集的环境数据、田间调查获取的病害数据、实验室检测的病原菌数据及历史统计数据等进行整合分析，消除数据孤岛，提升监测预警准确性。</w:t>
      </w:r>
    </w:p>
    <w:p w14:paraId="02A36365">
      <w:pPr>
        <w:pStyle w:val="223"/>
        <w:rPr>
          <w:rFonts w:hint="eastAsia" w:ascii="黑体" w:hAnsi="黑体" w:eastAsia="黑体"/>
        </w:rPr>
      </w:pPr>
      <w:r>
        <w:rPr>
          <w:rFonts w:ascii="黑体" w:hAnsi="黑体" w:eastAsia="黑体"/>
        </w:rPr>
        <w:br w:type="textWrapping"/>
      </w:r>
      <w:r>
        <w:rPr>
          <w:rFonts w:hint="eastAsia" w:ascii="黑体" w:hAnsi="黑体" w:eastAsia="黑体"/>
        </w:rPr>
        <w:t xml:space="preserve">    </w:t>
      </w:r>
      <w:r>
        <w:rPr>
          <w:rFonts w:ascii="黑体" w:hAnsi="黑体" w:eastAsia="黑体"/>
          <w:color w:val="000000" w:themeColor="text1"/>
          <w14:textFill>
            <w14:solidFill>
              <w14:schemeClr w14:val="tx1"/>
            </w14:solidFill>
          </w14:textFill>
        </w:rPr>
        <w:t>玉米病害农药精准施控</w:t>
      </w:r>
      <w:r>
        <w:rPr>
          <w:rFonts w:hint="eastAsia" w:ascii="黑体" w:hAnsi="黑体" w:eastAsia="黑体"/>
          <w:color w:val="000000" w:themeColor="text1"/>
          <w14:textFill>
            <w14:solidFill>
              <w14:schemeClr w14:val="tx1"/>
            </w14:solidFill>
          </w14:textFill>
        </w:rPr>
        <w:t>（Precise Application Control of pesticides for maize diseases</w:t>
      </w:r>
      <w:r>
        <w:rPr>
          <w:rFonts w:hint="eastAsia" w:hAnsi="宋体" w:cs="宋体"/>
          <w:color w:val="000000" w:themeColor="text1"/>
          <w:sz w:val="24"/>
          <w:szCs w:val="24"/>
          <w:lang w:val="en-US" w:eastAsia="zh-CN"/>
          <w14:textFill>
            <w14:solidFill>
              <w14:schemeClr w14:val="tx1"/>
            </w14:solidFill>
          </w14:textFill>
        </w:rPr>
        <w:t xml:space="preserve"> </w:t>
      </w:r>
      <w:r>
        <w:rPr>
          <w:rFonts w:hint="eastAsia" w:ascii="黑体" w:hAnsi="黑体" w:eastAsia="黑体"/>
          <w:color w:val="000000" w:themeColor="text1"/>
          <w14:textFill>
            <w14:solidFill>
              <w14:schemeClr w14:val="tx1"/>
            </w14:solidFill>
          </w14:textFill>
        </w:rPr>
        <w:t>）</w:t>
      </w:r>
    </w:p>
    <w:p w14:paraId="5128D183">
      <w:pPr>
        <w:pStyle w:val="56"/>
        <w:ind w:firstLine="420"/>
      </w:pPr>
      <w:r>
        <w:t>基于病害发生预测模型和田间实际发病情况，计算最优农药施用量和施用时间，实现农药减量施用和碳排放精准控制的技术体系。</w:t>
      </w:r>
    </w:p>
    <w:p w14:paraId="25FA74CC">
      <w:pPr>
        <w:pStyle w:val="223"/>
        <w:rPr>
          <w:rFonts w:hint="eastAsia" w:ascii="黑体" w:hAnsi="黑体" w:eastAsia="黑体"/>
          <w:color w:val="000000" w:themeColor="text1"/>
          <w14:textFill>
            <w14:solidFill>
              <w14:schemeClr w14:val="tx1"/>
            </w14:solidFill>
          </w14:textFill>
        </w:rPr>
      </w:pPr>
      <w:r>
        <w:rPr>
          <w:rFonts w:ascii="黑体" w:hAnsi="黑体" w:eastAsia="黑体"/>
        </w:rPr>
        <w:br w:type="textWrapping"/>
      </w:r>
      <w:r>
        <w:rPr>
          <w:rFonts w:hint="eastAsia" w:ascii="黑体" w:hAnsi="黑体" w:eastAsia="黑体"/>
        </w:rPr>
        <w:t xml:space="preserve">   </w:t>
      </w:r>
      <w:r>
        <w:rPr>
          <w:rFonts w:hint="eastAsia" w:ascii="黑体" w:hAnsi="黑体" w:eastAsia="黑体"/>
          <w:color w:val="EE0000"/>
        </w:rPr>
        <w:t xml:space="preserve"> </w:t>
      </w:r>
      <w:r>
        <w:rPr>
          <w:rFonts w:ascii="黑体" w:hAnsi="黑体" w:eastAsia="黑体"/>
          <w:color w:val="000000" w:themeColor="text1"/>
          <w14:textFill>
            <w14:solidFill>
              <w14:schemeClr w14:val="tx1"/>
            </w14:solidFill>
          </w14:textFill>
        </w:rPr>
        <w:t>玉米病害监测平台低碳运行指标</w:t>
      </w:r>
      <w:bookmarkStart w:id="32" w:name="OLE_LINK5"/>
      <w:r>
        <w:rPr>
          <w:rFonts w:hint="eastAsia" w:ascii="黑体" w:hAnsi="黑体" w:eastAsia="黑体"/>
          <w:color w:val="000000" w:themeColor="text1"/>
          <w14:textFill>
            <w14:solidFill>
              <w14:schemeClr w14:val="tx1"/>
            </w14:solidFill>
          </w14:textFill>
        </w:rPr>
        <w:t>(Low-carbon operation indicators of maize disease monitoring platform)</w:t>
      </w:r>
      <w:bookmarkEnd w:id="32"/>
    </w:p>
    <w:p w14:paraId="145F774D">
      <w:pPr>
        <w:pStyle w:val="56"/>
        <w:ind w:firstLine="420"/>
      </w:pPr>
      <w:r>
        <w:t>平台建设及运行过程中，在硬件能耗、数据传输、农药使用等方面体现的碳减排效果评价指标，包括单位面积农药减量率、平台年耗电量、数据传输能耗等。</w:t>
      </w:r>
    </w:p>
    <w:p w14:paraId="2D707980">
      <w:pPr>
        <w:pStyle w:val="223"/>
        <w:rPr>
          <w:rFonts w:hint="eastAsia" w:ascii="黑体" w:hAnsi="黑体" w:eastAsia="黑体"/>
          <w:color w:val="000000" w:themeColor="text1"/>
          <w14:textFill>
            <w14:solidFill>
              <w14:schemeClr w14:val="tx1"/>
            </w14:solidFill>
          </w14:textFill>
        </w:rPr>
      </w:pPr>
      <w:r>
        <w:rPr>
          <w:rFonts w:ascii="黑体" w:hAnsi="黑体" w:eastAsia="黑体"/>
        </w:rPr>
        <w:br w:type="textWrapping"/>
      </w:r>
      <w:r>
        <w:rPr>
          <w:rFonts w:hint="eastAsia" w:ascii="黑体" w:hAnsi="黑体" w:eastAsia="黑体"/>
        </w:rPr>
        <w:t xml:space="preserve">   </w:t>
      </w:r>
      <w:r>
        <w:rPr>
          <w:rFonts w:hint="eastAsia" w:ascii="黑体" w:hAnsi="黑体" w:eastAsia="黑体"/>
          <w:color w:val="EE0000"/>
        </w:rPr>
        <w:t xml:space="preserve"> </w:t>
      </w:r>
      <w:r>
        <w:rPr>
          <w:rFonts w:ascii="黑体" w:hAnsi="黑体" w:eastAsia="黑体"/>
          <w:color w:val="000000" w:themeColor="text1"/>
          <w14:textFill>
            <w14:solidFill>
              <w14:schemeClr w14:val="tx1"/>
            </w14:solidFill>
          </w14:textFill>
        </w:rPr>
        <w:t>玉米病害监测覆盖区</w:t>
      </w:r>
      <w:r>
        <w:rPr>
          <w:rFonts w:hint="eastAsia" w:ascii="黑体" w:hAnsi="黑体" w:eastAsia="黑体"/>
          <w:color w:val="000000" w:themeColor="text1"/>
          <w14:textFill>
            <w14:solidFill>
              <w14:schemeClr w14:val="tx1"/>
            </w14:solidFill>
          </w14:textFill>
        </w:rPr>
        <w:t>(Monitoring Coverage Area of Maize Diseases)</w:t>
      </w:r>
    </w:p>
    <w:p w14:paraId="571BACDA">
      <w:pPr>
        <w:pStyle w:val="56"/>
        <w:ind w:firstLine="420"/>
        <w:rPr>
          <w:rFonts w:hint="eastAsia"/>
        </w:rPr>
      </w:pPr>
      <w:r>
        <w:t>平台监测服务覆盖的玉米种植区域，按监测点区域大斑病发生严重程度和仪器布设数量以及持续监测年份时长分为核心监测区</w:t>
      </w:r>
      <w:r>
        <w:rPr>
          <w:rFonts w:hint="eastAsia"/>
          <w:lang w:eastAsia="zh-CN"/>
        </w:rPr>
        <w:t>（</w:t>
      </w:r>
      <w:r>
        <w:rPr>
          <w:rFonts w:hint="eastAsia"/>
          <w:lang w:val="en-US" w:eastAsia="zh-CN"/>
        </w:rPr>
        <w:t>严重程度5级，布设数量≥5台，监测年份≥3年</w:t>
      </w:r>
      <w:r>
        <w:rPr>
          <w:rFonts w:hint="eastAsia"/>
          <w:lang w:eastAsia="zh-CN"/>
        </w:rPr>
        <w:t>）</w:t>
      </w:r>
      <w:r>
        <w:rPr>
          <w:rFonts w:hint="eastAsia"/>
        </w:rPr>
        <w:t>、示范监测区</w:t>
      </w:r>
      <w:r>
        <w:rPr>
          <w:rFonts w:hint="eastAsia"/>
          <w:lang w:eastAsia="zh-CN"/>
        </w:rPr>
        <w:t>（</w:t>
      </w:r>
      <w:r>
        <w:rPr>
          <w:rFonts w:hint="eastAsia"/>
          <w:lang w:val="en-US" w:eastAsia="zh-CN"/>
        </w:rPr>
        <w:t>严重程度3-5级，布设数量≥3-5台，监测年份≥2-3年</w:t>
      </w:r>
      <w:r>
        <w:rPr>
          <w:rFonts w:hint="eastAsia"/>
          <w:lang w:eastAsia="zh-CN"/>
        </w:rPr>
        <w:t>）</w:t>
      </w:r>
      <w:r>
        <w:rPr>
          <w:rFonts w:hint="eastAsia"/>
        </w:rPr>
        <w:t>和推广监测区</w:t>
      </w:r>
      <w:r>
        <w:rPr>
          <w:rFonts w:hint="eastAsia"/>
          <w:lang w:eastAsia="zh-CN"/>
        </w:rPr>
        <w:t>（</w:t>
      </w:r>
      <w:r>
        <w:rPr>
          <w:rFonts w:hint="eastAsia"/>
          <w:lang w:val="en-US" w:eastAsia="zh-CN"/>
        </w:rPr>
        <w:t>严重程度1-3级，布设数量≥1-2台，监测年份≥1-2年</w:t>
      </w:r>
      <w:r>
        <w:rPr>
          <w:rFonts w:hint="eastAsia"/>
          <w:lang w:eastAsia="zh-CN"/>
        </w:rPr>
        <w:t>）</w:t>
      </w:r>
      <w:r>
        <w:rPr>
          <w:rFonts w:hint="eastAsia"/>
        </w:rPr>
        <w:t>。</w:t>
      </w:r>
    </w:p>
    <w:p w14:paraId="4EF1E3A3">
      <w:pPr>
        <w:pStyle w:val="56"/>
        <w:ind w:firstLine="420"/>
      </w:pPr>
      <w:r>
        <w:t>、示范监测区和推广监测区。</w:t>
      </w:r>
    </w:p>
    <w:p w14:paraId="30B6D0A3">
      <w:pPr>
        <w:pStyle w:val="104"/>
        <w:spacing w:before="240" w:after="240"/>
      </w:pPr>
      <w:r>
        <w:t>平台建设基础要求</w:t>
      </w:r>
    </w:p>
    <w:p w14:paraId="54692B60">
      <w:pPr>
        <w:pStyle w:val="105"/>
        <w:spacing w:before="120" w:after="120"/>
      </w:pPr>
      <w:r>
        <w:t>建设原则</w:t>
      </w:r>
    </w:p>
    <w:p w14:paraId="706ED0AF">
      <w:pPr>
        <w:pStyle w:val="65"/>
        <w:spacing w:before="120" w:after="120"/>
      </w:pPr>
      <w:r>
        <w:t>低碳优先原则</w:t>
      </w:r>
    </w:p>
    <w:p w14:paraId="6648B0C0">
      <w:pPr>
        <w:pStyle w:val="56"/>
        <w:ind w:firstLine="420"/>
      </w:pPr>
      <w:r>
        <w:t>平台硬件选型优先采用低能耗设备，软件架构采用轻量化设计，功能模块突出农药减量、能耗优化等低碳目标，实现监测与减排协同。</w:t>
      </w:r>
    </w:p>
    <w:p w14:paraId="0DB1943D">
      <w:pPr>
        <w:pStyle w:val="65"/>
        <w:spacing w:before="120" w:after="120"/>
      </w:pPr>
      <w:r>
        <w:t>功能聚焦原则</w:t>
      </w:r>
    </w:p>
    <w:p w14:paraId="70909D82">
      <w:pPr>
        <w:pStyle w:val="56"/>
        <w:ind w:firstLine="420"/>
      </w:pPr>
      <w:r>
        <w:t>依托玉米病害多源信息融合技术夯实数据基础，以玉米病害智能诊断、预测预警、玉米病害农药精准施控为核心功能，避免冗余设计，确保服务针对性和运行效率。</w:t>
      </w:r>
    </w:p>
    <w:p w14:paraId="76F76AA7">
      <w:pPr>
        <w:pStyle w:val="65"/>
        <w:spacing w:before="120" w:after="120"/>
      </w:pPr>
      <w:r>
        <w:t>数据安全原则</w:t>
      </w:r>
    </w:p>
    <w:p w14:paraId="0CC36E33">
      <w:pPr>
        <w:pStyle w:val="56"/>
        <w:ind w:firstLine="420"/>
        <w:rPr>
          <w:rFonts w:hint="eastAsia" w:ascii="宋体" w:hAnsi="宋体"/>
        </w:rPr>
      </w:pPr>
      <w:r>
        <w:rPr>
          <w:rFonts w:hint="eastAsia" w:ascii="宋体" w:hAnsi="宋体"/>
        </w:rPr>
        <w:t>应</w:t>
      </w:r>
      <w:r>
        <w:rPr>
          <w:rFonts w:ascii="宋体" w:hAnsi="宋体"/>
        </w:rPr>
        <w:t>符合GB/T 22239</w:t>
      </w:r>
      <w:r>
        <w:rPr>
          <w:rFonts w:hint="eastAsia" w:ascii="宋体" w:hAnsi="宋体"/>
        </w:rPr>
        <w:t>、</w:t>
      </w:r>
      <w:r>
        <w:rPr>
          <w:rFonts w:ascii="宋体" w:hAnsi="宋体"/>
        </w:rPr>
        <w:t>GB/T 43440</w:t>
      </w:r>
      <w:r>
        <w:rPr>
          <w:rFonts w:hint="eastAsia" w:ascii="宋体" w:hAnsi="宋体"/>
        </w:rPr>
        <w:t>的</w:t>
      </w:r>
      <w:r>
        <w:rPr>
          <w:rFonts w:ascii="宋体" w:hAnsi="宋体"/>
        </w:rPr>
        <w:t>规定，建立数据分级存储、加密传输、访问控制机制，保障监测数据、用户信息及知识产权安全。</w:t>
      </w:r>
    </w:p>
    <w:p w14:paraId="406752CC">
      <w:pPr>
        <w:pStyle w:val="65"/>
        <w:spacing w:before="120" w:after="120"/>
      </w:pPr>
      <w:r>
        <w:t>适配实用原则</w:t>
      </w:r>
    </w:p>
    <w:p w14:paraId="56E045C2">
      <w:pPr>
        <w:pStyle w:val="56"/>
        <w:ind w:firstLine="420"/>
      </w:pPr>
      <w:r>
        <w:t>适应农村网络环境和用户操作习惯，支持弱网环境下运行，界面设计简洁易懂，无需复杂培训即可操作。</w:t>
      </w:r>
    </w:p>
    <w:p w14:paraId="74E101A9">
      <w:pPr>
        <w:pStyle w:val="105"/>
        <w:spacing w:before="120" w:after="120"/>
      </w:pPr>
      <w:r>
        <w:rPr>
          <w:rFonts w:hint="eastAsia"/>
        </w:rPr>
        <w:t>环境要求</w:t>
      </w:r>
    </w:p>
    <w:p w14:paraId="4D18D4E1">
      <w:pPr>
        <w:pStyle w:val="65"/>
        <w:spacing w:before="120" w:after="120"/>
      </w:pPr>
      <w:r>
        <w:t>硬件环境</w:t>
      </w:r>
    </w:p>
    <w:p w14:paraId="46A8283A">
      <w:pPr>
        <w:pStyle w:val="56"/>
        <w:ind w:firstLine="420"/>
        <w:rPr>
          <w:rFonts w:hint="eastAsia" w:ascii="宋体" w:hAnsi="宋体"/>
        </w:rPr>
      </w:pPr>
      <w:r>
        <w:rPr>
          <w:rFonts w:hint="eastAsia" w:ascii="宋体" w:hAnsi="宋体"/>
        </w:rPr>
        <w:t>传感器部署环境：适应-20 ℃～60 ℃温度范围，相对湿度≤95%（无冷凝），抗风等级≥ 8级，防护等级≥IP65。</w:t>
      </w:r>
    </w:p>
    <w:p w14:paraId="77099698">
      <w:pPr>
        <w:pStyle w:val="56"/>
        <w:ind w:firstLine="420"/>
        <w:rPr>
          <w:rFonts w:hint="eastAsia" w:ascii="宋体" w:hAnsi="宋体"/>
        </w:rPr>
      </w:pPr>
      <w:r>
        <w:rPr>
          <w:rFonts w:hint="eastAsia" w:ascii="宋体" w:hAnsi="宋体"/>
        </w:rPr>
        <w:t>服务器环境：支持7×24小时连续运行，环境温度18 ℃～24 ℃，相对湿度40%～60%，配备不间断电源（UPS），续航时间≥2小时。</w:t>
      </w:r>
    </w:p>
    <w:p w14:paraId="45E33C21">
      <w:pPr>
        <w:pStyle w:val="65"/>
        <w:spacing w:before="120" w:after="120"/>
      </w:pPr>
      <w:r>
        <w:t>网络环境</w:t>
      </w:r>
    </w:p>
    <w:p w14:paraId="3986A205">
      <w:pPr>
        <w:pStyle w:val="56"/>
        <w:ind w:firstLine="420"/>
        <w:rPr>
          <w:rFonts w:hint="eastAsia" w:ascii="宋体" w:hAnsi="宋体"/>
        </w:rPr>
      </w:pPr>
      <w:r>
        <w:rPr>
          <w:rFonts w:hint="eastAsia" w:ascii="宋体" w:hAnsi="宋体"/>
        </w:rPr>
        <w:t>依据玉米病害监测覆盖区划分标准，核心监测区：网络带宽≥10 Mbps，数据传输延迟≤50 ms，年网络可用率≥99.5%。示范监测区及推广监测区：支持4G/5G及物联网卡接入，网络中断时可本地存储数据，恢复连接后自动同步，本地存储容量≥16 GB。</w:t>
      </w:r>
    </w:p>
    <w:p w14:paraId="7D026019">
      <w:pPr>
        <w:pStyle w:val="104"/>
        <w:spacing w:before="240" w:after="240"/>
      </w:pPr>
      <w:r>
        <w:t>平台技术架构与硬件要求</w:t>
      </w:r>
    </w:p>
    <w:p w14:paraId="5F2D8775">
      <w:pPr>
        <w:pStyle w:val="105"/>
        <w:spacing w:before="120" w:after="120"/>
      </w:pPr>
      <w:r>
        <w:t>技术架构</w:t>
      </w:r>
    </w:p>
    <w:p w14:paraId="2979D9AC">
      <w:pPr>
        <w:pStyle w:val="56"/>
        <w:ind w:firstLine="420"/>
      </w:pPr>
      <w:r>
        <w:rPr>
          <w:rFonts w:hint="eastAsia"/>
        </w:rPr>
        <w:t>采用“感知层-传输层-应用层”三层架构：</w:t>
      </w:r>
    </w:p>
    <w:p w14:paraId="42A05734">
      <w:pPr>
        <w:pStyle w:val="132"/>
      </w:pPr>
      <w:r>
        <w:rPr>
          <w:rFonts w:hint="eastAsia"/>
        </w:rPr>
        <w:t>感知层：由环境传感器、孢子捕捉设备、图像采集设备等组成，实现温湿度、降雨量、病原菌数量、病害图像等数据采集；</w:t>
      </w:r>
    </w:p>
    <w:p w14:paraId="1C3E36D1">
      <w:pPr>
        <w:pStyle w:val="132"/>
      </w:pPr>
      <w:r>
        <w:rPr>
          <w:rFonts w:hint="eastAsia"/>
        </w:rPr>
        <w:t>传输层：采用ESP8266等无线传输模块，支持TCP/IP通信协议，结合4G/5G、LoRa等通信方式，实现数据双向传输；</w:t>
      </w:r>
    </w:p>
    <w:p w14:paraId="70B26E64">
      <w:pPr>
        <w:pStyle w:val="132"/>
      </w:pPr>
      <w:r>
        <w:rPr>
          <w:rFonts w:hint="eastAsia"/>
        </w:rPr>
        <w:t>应用层：包括云端服务器、微信小程序、上位机管理系统，提供数据存储、分析、展示及用户交互功能。</w:t>
      </w:r>
    </w:p>
    <w:p w14:paraId="0841D8D5">
      <w:pPr>
        <w:pStyle w:val="105"/>
        <w:spacing w:before="120" w:after="120"/>
      </w:pPr>
      <w:r>
        <w:t>硬件配置要求</w:t>
      </w:r>
    </w:p>
    <w:p w14:paraId="6128296F">
      <w:pPr>
        <w:pStyle w:val="65"/>
        <w:spacing w:before="120" w:after="120"/>
      </w:pPr>
      <w:r>
        <w:t>感知设备</w:t>
      </w:r>
    </w:p>
    <w:p w14:paraId="71C0ED39">
      <w:pPr>
        <w:pStyle w:val="56"/>
        <w:ind w:firstLine="420"/>
        <w:rPr>
          <w:rFonts w:hint="eastAsia" w:ascii="宋体" w:hAnsi="宋体"/>
        </w:rPr>
      </w:pPr>
      <w:r>
        <w:rPr>
          <w:rFonts w:hint="eastAsia" w:ascii="宋体" w:hAnsi="宋体"/>
        </w:rPr>
        <w:t>环境传感器：温度测量范围-40 ℃～85 ℃，误差≤±0.5 ℃；湿度测量范围0%～100% RH，误差≤ ±3%RH；土壤温湿度传感器测量深度0 cm～30 cm，误差≤±1 ℃（温度）、±2%RH（湿度）。</w:t>
      </w:r>
    </w:p>
    <w:p w14:paraId="1159A962">
      <w:pPr>
        <w:pStyle w:val="56"/>
        <w:ind w:firstLine="420"/>
        <w:rPr>
          <w:rFonts w:hint="eastAsia" w:ascii="宋体" w:hAnsi="宋体"/>
        </w:rPr>
      </w:pPr>
      <w:r>
        <w:rPr>
          <w:rFonts w:hint="eastAsia" w:ascii="宋体" w:hAnsi="宋体"/>
        </w:rPr>
        <w:t>孢子捕捉设备：支持自动捕捉、显微成像功能，孢子识别准确率≥90%，采样周期可设置（1～24小时可调），具备户外防水设计。</w:t>
      </w:r>
    </w:p>
    <w:p w14:paraId="5CCA8128">
      <w:pPr>
        <w:pStyle w:val="56"/>
        <w:ind w:firstLine="420"/>
        <w:rPr>
          <w:rFonts w:hint="eastAsia" w:ascii="宋体" w:hAnsi="宋体"/>
        </w:rPr>
      </w:pPr>
      <w:r>
        <w:rPr>
          <w:rFonts w:hint="eastAsia" w:ascii="宋体" w:hAnsi="宋体"/>
        </w:rPr>
        <w:t>图像采集设备：像素≥1200万，支持自动对焦，拍摄角度可调，具备补光功能，适应弱光环境拍摄。</w:t>
      </w:r>
    </w:p>
    <w:p w14:paraId="1F4877C6">
      <w:pPr>
        <w:pStyle w:val="65"/>
        <w:spacing w:before="120" w:after="120"/>
      </w:pPr>
      <w:r>
        <w:t>计算与存储设备</w:t>
      </w:r>
    </w:p>
    <w:p w14:paraId="7AEEBF2A">
      <w:pPr>
        <w:pStyle w:val="56"/>
        <w:ind w:firstLine="420"/>
        <w:rPr>
          <w:rFonts w:hint="eastAsia" w:ascii="宋体" w:hAnsi="宋体"/>
        </w:rPr>
      </w:pPr>
      <w:r>
        <w:rPr>
          <w:rFonts w:hint="eastAsia" w:ascii="宋体" w:hAnsi="宋体"/>
        </w:rPr>
        <w:t>服务器：CPU≥8核，内存≥16 GB，硬盘容量≥1 TB，支持云部署或本地部署，支持数据库并发访问≥1000次/秒。</w:t>
      </w:r>
    </w:p>
    <w:p w14:paraId="5FC9C2B5">
      <w:pPr>
        <w:pStyle w:val="56"/>
        <w:ind w:firstLine="420"/>
        <w:rPr>
          <w:rFonts w:hint="eastAsia" w:ascii="宋体" w:hAnsi="宋体"/>
        </w:rPr>
      </w:pPr>
      <w:r>
        <w:rPr>
          <w:rFonts w:hint="eastAsia" w:ascii="宋体" w:hAnsi="宋体"/>
        </w:rPr>
        <w:t>本地存储设备：支持数据加密存储，存储周期≥1年，支持USB接口导出数据。</w:t>
      </w:r>
    </w:p>
    <w:p w14:paraId="2D8116EE">
      <w:pPr>
        <w:pStyle w:val="65"/>
        <w:spacing w:before="120" w:after="120"/>
      </w:pPr>
      <w:r>
        <w:t>终端设备</w:t>
      </w:r>
    </w:p>
    <w:p w14:paraId="798A1608">
      <w:pPr>
        <w:pStyle w:val="56"/>
        <w:ind w:firstLine="420"/>
        <w:rPr>
          <w:rFonts w:hint="eastAsia" w:ascii="宋体" w:hAnsi="宋体"/>
        </w:rPr>
      </w:pPr>
      <w:r>
        <w:rPr>
          <w:rFonts w:hint="eastAsia" w:ascii="宋体" w:hAnsi="宋体"/>
        </w:rPr>
        <w:t>上位机：支持Windows/Linux操作系统，UI界面响应时间≤2秒，数据可视化延迟≤5秒。</w:t>
      </w:r>
    </w:p>
    <w:p w14:paraId="0A5217EA">
      <w:pPr>
        <w:pStyle w:val="56"/>
        <w:ind w:firstLine="420"/>
        <w:rPr>
          <w:rFonts w:hint="eastAsia" w:ascii="宋体" w:hAnsi="宋体"/>
        </w:rPr>
      </w:pPr>
      <w:r>
        <w:rPr>
          <w:rFonts w:hint="eastAsia" w:ascii="宋体" w:hAnsi="宋体"/>
        </w:rPr>
        <w:t>移动端：支持微信小程序运行，适配Android 8.0及以上、iOS 12.0及以上系统，图片加载速度≤ 3秒（弱网环境）。</w:t>
      </w:r>
    </w:p>
    <w:p w14:paraId="2C2C483C">
      <w:pPr>
        <w:pStyle w:val="104"/>
        <w:spacing w:before="240" w:after="240"/>
      </w:pPr>
      <w:r>
        <w:t>平台功能模块要求</w:t>
      </w:r>
    </w:p>
    <w:p w14:paraId="654AC144">
      <w:pPr>
        <w:pStyle w:val="105"/>
        <w:spacing w:before="120" w:after="120"/>
      </w:pPr>
      <w:r>
        <w:t>核心功能模块</w:t>
      </w:r>
    </w:p>
    <w:p w14:paraId="64EEB6F8">
      <w:pPr>
        <w:pStyle w:val="65"/>
        <w:spacing w:before="120" w:after="120"/>
      </w:pPr>
      <w:r>
        <w:t>数据采集模块</w:t>
      </w:r>
    </w:p>
    <w:p w14:paraId="5FD5FCBB">
      <w:pPr>
        <w:pStyle w:val="56"/>
        <w:ind w:firstLine="420"/>
        <w:rPr>
          <w:rFonts w:hint="eastAsia" w:ascii="宋体" w:hAnsi="宋体"/>
        </w:rPr>
      </w:pPr>
      <w:r>
        <w:rPr>
          <w:rFonts w:hint="eastAsia" w:ascii="宋体" w:hAnsi="宋体"/>
        </w:rPr>
        <w:t>自动采集：环境数据（温度、湿度、降雨量等）每小时采集1次，孢子捕捉设备每日采集1次，图像采集设备支持手动触发或定时采集（1～24小时可调）。</w:t>
      </w:r>
    </w:p>
    <w:p w14:paraId="4701C600">
      <w:pPr>
        <w:pStyle w:val="56"/>
        <w:ind w:firstLine="420"/>
        <w:rPr>
          <w:rFonts w:hint="eastAsia" w:ascii="宋体" w:hAnsi="宋体"/>
        </w:rPr>
      </w:pPr>
      <w:r>
        <w:rPr>
          <w:rFonts w:hint="eastAsia" w:ascii="宋体" w:hAnsi="宋体"/>
        </w:rPr>
        <w:t>手动录入：支持用户上传田间病害调查数据，包括发病率、病情指数、发病部位等，数据录入字段规范按照附录A中表A.1。</w:t>
      </w:r>
    </w:p>
    <w:p w14:paraId="5873A722">
      <w:pPr>
        <w:pStyle w:val="65"/>
        <w:spacing w:before="120" w:after="120"/>
      </w:pPr>
      <w:r>
        <w:t>智能诊断模块</w:t>
      </w:r>
    </w:p>
    <w:p w14:paraId="4FEF2F06">
      <w:pPr>
        <w:pStyle w:val="56"/>
        <w:ind w:firstLine="420"/>
        <w:rPr>
          <w:rFonts w:hint="eastAsia" w:ascii="宋体" w:hAnsi="宋体"/>
        </w:rPr>
      </w:pPr>
      <w:r>
        <w:rPr>
          <w:rFonts w:hint="eastAsia" w:ascii="宋体" w:hAnsi="宋体"/>
        </w:rPr>
        <w:t>病害识别：基于OpenCV图像处理算法和SVM模型，按照NY/T 1248.1和附录B,支持玉米大斑病、小斑病、锈病、纹枯病等12种常见病害识别，平均准确率≥95%。</w:t>
      </w:r>
    </w:p>
    <w:p w14:paraId="3E9653A2">
      <w:pPr>
        <w:pStyle w:val="56"/>
        <w:ind w:firstLine="420"/>
        <w:rPr>
          <w:rFonts w:hint="eastAsia" w:ascii="宋体" w:hAnsi="宋体"/>
        </w:rPr>
      </w:pPr>
      <w:r>
        <w:rPr>
          <w:rFonts w:hint="eastAsia" w:ascii="宋体" w:hAnsi="宋体"/>
        </w:rPr>
        <w:t>诊断流程：支持图像上传诊断和症状选择诊断两种方式，诊断结果包含病害名称、典型特征、发病原因等信息。</w:t>
      </w:r>
    </w:p>
    <w:p w14:paraId="45602BC1">
      <w:pPr>
        <w:pStyle w:val="65"/>
        <w:spacing w:before="120" w:after="120"/>
      </w:pPr>
      <w:r>
        <w:t>预测预警模块</w:t>
      </w:r>
    </w:p>
    <w:p w14:paraId="49A75DC5">
      <w:pPr>
        <w:pStyle w:val="56"/>
        <w:ind w:firstLine="420"/>
        <w:rPr>
          <w:rFonts w:hint="eastAsia" w:ascii="宋体" w:hAnsi="宋体"/>
        </w:rPr>
      </w:pPr>
      <w:r>
        <w:rPr>
          <w:rFonts w:hint="eastAsia" w:ascii="宋体" w:hAnsi="宋体"/>
        </w:rPr>
        <w:t>预测模型：以积累温度、积累相对湿度、积累降雨量、关键温度持续天数、品种类型为自变量，构建Logistic模型、灰度预测模型等，预测准确率≥85%。</w:t>
      </w:r>
    </w:p>
    <w:p w14:paraId="7AD7BCD1">
      <w:pPr>
        <w:pStyle w:val="56"/>
        <w:ind w:firstLine="420"/>
        <w:rPr>
          <w:rFonts w:hint="eastAsia" w:ascii="宋体" w:hAnsi="宋体"/>
        </w:rPr>
      </w:pPr>
      <w:r>
        <w:rPr>
          <w:rFonts w:hint="eastAsia" w:ascii="宋体" w:hAnsi="宋体"/>
        </w:rPr>
        <w:t>预警推送：通过小程序消息、短信等方式推送预警信息，包括病害发生风险等级（低、中、高）、预计发生时间、防控建议等。</w:t>
      </w:r>
    </w:p>
    <w:p w14:paraId="34C6576D">
      <w:pPr>
        <w:pStyle w:val="65"/>
        <w:spacing w:before="120" w:after="120"/>
      </w:pPr>
      <w:r>
        <w:t>农药精准施控模块</w:t>
      </w:r>
    </w:p>
    <w:p w14:paraId="4853F01A">
      <w:pPr>
        <w:pStyle w:val="56"/>
        <w:ind w:firstLine="420"/>
        <w:rPr>
          <w:rFonts w:hint="eastAsia" w:ascii="宋体" w:hAnsi="宋体" w:eastAsia="宋体"/>
          <w:lang w:eastAsia="zh-CN"/>
        </w:rPr>
      </w:pPr>
      <w:r>
        <w:rPr>
          <w:rFonts w:hint="eastAsia" w:ascii="宋体" w:hAnsi="宋体"/>
        </w:rPr>
        <w:t>依托玉米病害多源信息融合汇聚全维度田间数据开展玉米病害农药精准施控</w:t>
      </w:r>
      <w:r>
        <w:rPr>
          <w:rFonts w:hint="eastAsia" w:ascii="宋体" w:hAnsi="宋体"/>
          <w:lang w:eastAsia="zh-CN"/>
        </w:rPr>
        <w:t>。</w:t>
      </w:r>
    </w:p>
    <w:p w14:paraId="2E148A7F">
      <w:pPr>
        <w:pStyle w:val="56"/>
        <w:ind w:firstLine="420"/>
        <w:rPr>
          <w:rFonts w:hint="eastAsia" w:ascii="宋体" w:hAnsi="宋体"/>
        </w:rPr>
      </w:pPr>
      <w:r>
        <w:rPr>
          <w:rFonts w:hint="eastAsia" w:ascii="宋体" w:hAnsi="宋体"/>
        </w:rPr>
        <w:t>施用量计算：根据病害发生程度、预测模型结果、田间环境条件，计算推荐施用量，相比常规施用量减量率≥15%。按照附录D填写记录。</w:t>
      </w:r>
    </w:p>
    <w:p w14:paraId="7F457315">
      <w:pPr>
        <w:pStyle w:val="56"/>
        <w:ind w:firstLine="420"/>
        <w:rPr>
          <w:rFonts w:hint="eastAsia" w:ascii="宋体" w:hAnsi="宋体"/>
        </w:rPr>
      </w:pPr>
      <w:r>
        <w:rPr>
          <w:rFonts w:hint="eastAsia" w:ascii="宋体" w:hAnsi="宋体"/>
        </w:rPr>
        <w:t>方案推送：提供农业防治、化学防治、生物防治等综合方案，明确药剂种类、施用时间、施用方法及安全间隔期。</w:t>
      </w:r>
    </w:p>
    <w:p w14:paraId="7CA85E48">
      <w:pPr>
        <w:pStyle w:val="105"/>
        <w:spacing w:before="120" w:after="120"/>
      </w:pPr>
      <w:r>
        <w:t>辅助功能模块</w:t>
      </w:r>
    </w:p>
    <w:p w14:paraId="45145CE3">
      <w:pPr>
        <w:pStyle w:val="65"/>
        <w:spacing w:before="120" w:after="120"/>
      </w:pPr>
      <w:r>
        <w:t>数据管理模块</w:t>
      </w:r>
    </w:p>
    <w:p w14:paraId="3CAD94AE">
      <w:pPr>
        <w:pStyle w:val="56"/>
        <w:ind w:firstLine="420"/>
        <w:rPr>
          <w:rFonts w:hint="eastAsia" w:ascii="宋体" w:hAnsi="宋体"/>
        </w:rPr>
      </w:pPr>
      <w:r>
        <w:rPr>
          <w:rFonts w:hint="eastAsia" w:ascii="宋体" w:hAnsi="宋体"/>
        </w:rPr>
        <w:t>应符合GB/T 22239、GB/T 43440的规定：</w:t>
      </w:r>
    </w:p>
    <w:p w14:paraId="6A2DA715">
      <w:pPr>
        <w:pStyle w:val="56"/>
        <w:ind w:firstLine="420"/>
        <w:rPr>
          <w:rFonts w:hint="eastAsia" w:ascii="宋体" w:hAnsi="宋体"/>
        </w:rPr>
      </w:pPr>
      <w:r>
        <w:rPr>
          <w:rFonts w:hint="eastAsia" w:ascii="宋体" w:hAnsi="宋体"/>
        </w:rPr>
        <w:t>数据存储：支持结构化数据（环境数据、调查数据）和非结构化数据（图像、视频）存储，数据保存期限≥3年。</w:t>
      </w:r>
    </w:p>
    <w:p w14:paraId="746FC298">
      <w:pPr>
        <w:pStyle w:val="56"/>
        <w:ind w:firstLine="420"/>
        <w:rPr>
          <w:rFonts w:hint="eastAsia" w:ascii="宋体" w:hAnsi="宋体"/>
        </w:rPr>
      </w:pPr>
      <w:r>
        <w:rPr>
          <w:rFonts w:hint="eastAsia" w:ascii="宋体" w:hAnsi="宋体"/>
        </w:rPr>
        <w:t>数据查询：支持按时间、区域、病害类型等多条件查询，导出格式支持Excel、CSV。</w:t>
      </w:r>
    </w:p>
    <w:p w14:paraId="0149A3BF">
      <w:pPr>
        <w:pStyle w:val="56"/>
        <w:ind w:firstLine="420"/>
        <w:rPr>
          <w:rFonts w:hint="eastAsia" w:ascii="宋体" w:hAnsi="宋体"/>
        </w:rPr>
      </w:pPr>
      <w:r>
        <w:rPr>
          <w:rFonts w:hint="eastAsia" w:ascii="宋体" w:hAnsi="宋体"/>
        </w:rPr>
        <w:t>数据统计：自动生成发病率变化曲线、环境因子相关性分析等统计报表，支持可视化展示。</w:t>
      </w:r>
    </w:p>
    <w:p w14:paraId="3B82818B">
      <w:pPr>
        <w:pStyle w:val="65"/>
        <w:spacing w:before="120" w:after="120"/>
      </w:pPr>
      <w:r>
        <w:t>科普教育模块</w:t>
      </w:r>
    </w:p>
    <w:p w14:paraId="4E50F845">
      <w:pPr>
        <w:pStyle w:val="56"/>
        <w:ind w:firstLine="420"/>
        <w:rPr>
          <w:rFonts w:hint="eastAsia" w:ascii="宋体" w:hAnsi="宋体"/>
        </w:rPr>
      </w:pPr>
      <w:r>
        <w:rPr>
          <w:rFonts w:hint="eastAsia" w:ascii="宋体" w:hAnsi="宋体"/>
        </w:rPr>
        <w:t>资源库：参照附录B，包含玉米病害症状图库、病原实拍图、防控技术视频等资源，定期更新。</w:t>
      </w:r>
    </w:p>
    <w:p w14:paraId="3568E5F0">
      <w:pPr>
        <w:pStyle w:val="56"/>
        <w:ind w:firstLine="420"/>
        <w:rPr>
          <w:rFonts w:hint="eastAsia" w:ascii="宋体" w:hAnsi="宋体"/>
        </w:rPr>
      </w:pPr>
      <w:r>
        <w:rPr>
          <w:rFonts w:hint="eastAsia" w:ascii="宋体" w:hAnsi="宋体"/>
        </w:rPr>
        <w:t>科普课堂：通过动画、图文、互动问答等形式，普及病害识别、低碳防控知识。</w:t>
      </w:r>
    </w:p>
    <w:p w14:paraId="516F11BA">
      <w:pPr>
        <w:pStyle w:val="65"/>
        <w:spacing w:before="120" w:after="120"/>
      </w:pPr>
      <w:r>
        <w:t>系统管理模块</w:t>
      </w:r>
    </w:p>
    <w:p w14:paraId="36C54A54">
      <w:pPr>
        <w:pStyle w:val="56"/>
        <w:ind w:firstLine="420"/>
      </w:pPr>
      <w:r>
        <w:rPr>
          <w:rFonts w:hint="eastAsia"/>
        </w:rPr>
        <w:t>用户管理：支持管理员、农技人员、农户等多角色管理，权限分级设置。</w:t>
      </w:r>
    </w:p>
    <w:p w14:paraId="49C13B6D">
      <w:pPr>
        <w:pStyle w:val="56"/>
        <w:ind w:firstLine="420"/>
      </w:pPr>
      <w:r>
        <w:rPr>
          <w:rFonts w:hint="eastAsia"/>
        </w:rPr>
        <w:t>设备管理：支持传感器、采集设备等终端在线状态监测、故障报警、参数配置。</w:t>
      </w:r>
    </w:p>
    <w:p w14:paraId="50D7493B">
      <w:pPr>
        <w:pStyle w:val="56"/>
        <w:ind w:firstLine="420"/>
      </w:pPr>
      <w:r>
        <w:rPr>
          <w:rFonts w:hint="eastAsia"/>
        </w:rPr>
        <w:t>日志管理：记录用户操作日志、设备运行日志、数据传输日志，日志保存期限≥1年。</w:t>
      </w:r>
    </w:p>
    <w:p w14:paraId="68FBC3EF">
      <w:pPr>
        <w:pStyle w:val="104"/>
        <w:spacing w:before="240" w:after="240"/>
      </w:pPr>
      <w:r>
        <w:t>数据管理要求</w:t>
      </w:r>
    </w:p>
    <w:p w14:paraId="473FA3EA">
      <w:pPr>
        <w:pStyle w:val="105"/>
        <w:spacing w:before="120" w:after="120"/>
      </w:pPr>
      <w:r>
        <w:t>数据采集规范</w:t>
      </w:r>
    </w:p>
    <w:p w14:paraId="6D8356EF">
      <w:pPr>
        <w:pStyle w:val="56"/>
        <w:ind w:firstLine="420"/>
        <w:rPr>
          <w:rFonts w:hint="eastAsia"/>
        </w:rPr>
      </w:pPr>
      <w:r>
        <w:rPr>
          <w:rFonts w:hint="eastAsia"/>
        </w:rPr>
        <w:t>依托玉米病害多源信息融合整合各类田间信息，结合玉米病害监测覆盖区分区采集规则、玉米病害监测平台低碳运行指标管控要求与玉米病害农药精准施控的数据需求开展全维度数据采集。</w:t>
      </w:r>
    </w:p>
    <w:p w14:paraId="1F7926D1">
      <w:pPr>
        <w:pStyle w:val="56"/>
        <w:ind w:firstLine="420"/>
      </w:pPr>
      <w:r>
        <w:rPr>
          <w:rFonts w:hint="eastAsia"/>
        </w:rPr>
        <w:t>环境数据：采集时间精确到分钟，数据格式统一为“日期-时间-温度-湿度-降雨量-光照强度”。</w:t>
      </w:r>
    </w:p>
    <w:p w14:paraId="62224FFE">
      <w:pPr>
        <w:pStyle w:val="56"/>
        <w:ind w:firstLine="420"/>
      </w:pPr>
      <w:r>
        <w:rPr>
          <w:rFonts w:hint="eastAsia"/>
        </w:rPr>
        <w:t>病害调查数据：</w:t>
      </w:r>
      <w:r>
        <w:rPr>
          <w:rFonts w:hint="eastAsia" w:ascii="宋体" w:hAnsi="宋体"/>
        </w:rPr>
        <w:t>按照NY/T 1248.1的规定，</w:t>
      </w:r>
      <w:r>
        <w:rPr>
          <w:rFonts w:hint="eastAsia"/>
        </w:rPr>
        <w:t>采用五点取样法调查，记录调查日期、地块信息、品种、发病率、病情指数等，病情指数计算按公式（1）：</w:t>
      </w:r>
    </w:p>
    <w:p w14:paraId="589EAE85">
      <w:pPr>
        <w:pStyle w:val="113"/>
        <w:rPr>
          <w:rFonts w:hint="eastAsia"/>
        </w:rPr>
      </w:pPr>
      <w:r>
        <w:rPr>
          <w:rFonts w:hint="eastAsia"/>
        </w:rPr>
        <w:tab/>
      </w:r>
      <m:oMath>
        <m:r>
          <m:rPr/>
          <w:rPr>
            <w:rFonts w:ascii="Cambria Math" w:hAnsi="Cambria Math"/>
          </w:rPr>
          <m:t>DI=</m:t>
        </m:r>
        <m:f>
          <m:fPr>
            <m:ctrlPr>
              <w:rPr>
                <w:rFonts w:ascii="Cambria Math" w:hAnsi="Cambria Math"/>
                <w:i/>
              </w:rPr>
            </m:ctrlPr>
          </m:fPr>
          <m:num>
            <m:r>
              <m:rPr/>
              <w:rPr>
                <w:rFonts w:ascii="Cambria Math" w:hAnsi="Cambria Math"/>
              </w:rPr>
              <m:t>∑N×RV</m:t>
            </m:r>
            <m:ctrlPr>
              <w:rPr>
                <w:rFonts w:ascii="Cambria Math" w:hAnsi="Cambria Math"/>
                <w:i/>
              </w:rPr>
            </m:ctrlPr>
          </m:num>
          <m:den>
            <m:r>
              <m:rPr/>
              <w:rPr>
                <w:rFonts w:ascii="Cambria Math" w:hAnsi="Cambria Math"/>
              </w:rPr>
              <m:t>NT×RVmax</m:t>
            </m:r>
            <m:ctrlPr>
              <w:rPr>
                <w:rFonts w:ascii="Cambria Math" w:hAnsi="Cambria Math"/>
                <w:i/>
              </w:rPr>
            </m:ctrlPr>
          </m:den>
        </m:f>
        <m:r>
          <m:rPr/>
          <w:rPr>
            <w:rFonts w:ascii="Cambria Math" w:hAnsi="Cambria Math"/>
          </w:rPr>
          <m:t>×100</m:t>
        </m:r>
      </m:oMath>
      <w:r>
        <w:rPr>
          <w:rFonts w:hint="eastAsia" w:ascii="微软雅黑" w:hAnsi="微软雅黑" w:eastAsia="微软雅黑"/>
        </w:rPr>
        <w:tab/>
      </w:r>
      <w:r>
        <w:t>(</w:t>
      </w:r>
      <w:r>
        <w:fldChar w:fldCharType="begin"/>
      </w:r>
      <w:r>
        <w:instrText xml:space="preserve"> AUTONUM </w:instrText>
      </w:r>
      <w:r>
        <w:fldChar w:fldCharType="end"/>
      </w:r>
      <w:r>
        <w:t>)</w:t>
      </w:r>
    </w:p>
    <w:p w14:paraId="0082D455">
      <w:pPr>
        <w:pStyle w:val="55"/>
        <w:ind w:firstLine="420"/>
      </w:pPr>
      <w:r>
        <w:rPr>
          <w:rFonts w:hint="eastAsia"/>
        </w:rPr>
        <w:t>式中：</w:t>
      </w:r>
    </w:p>
    <w:p w14:paraId="5E9BB255">
      <w:pPr>
        <w:pStyle w:val="56"/>
        <w:ind w:firstLine="420"/>
        <w:rPr>
          <w:rFonts w:hint="eastAsia" w:ascii="宋体" w:hAnsi="宋体"/>
        </w:rPr>
      </w:pPr>
      <w:r>
        <w:rPr>
          <w:rFonts w:hint="eastAsia" w:ascii="宋体" w:hAnsi="宋体"/>
        </w:rPr>
        <w:t>DI   ——</w:t>
      </w:r>
      <w:r>
        <w:rPr>
          <w:rFonts w:ascii="宋体" w:hAnsi="宋体"/>
        </w:rPr>
        <w:t>病情指数</w:t>
      </w:r>
      <w:r>
        <w:rPr>
          <w:rFonts w:hint="eastAsia" w:ascii="宋体" w:hAnsi="宋体"/>
        </w:rPr>
        <w:t>；</w:t>
      </w:r>
    </w:p>
    <w:p w14:paraId="2B103192">
      <w:pPr>
        <w:pStyle w:val="56"/>
        <w:ind w:firstLine="420"/>
        <w:rPr>
          <w:rFonts w:hint="eastAsia" w:ascii="宋体" w:hAnsi="宋体"/>
        </w:rPr>
      </w:pPr>
      <w:r>
        <w:rPr>
          <w:rFonts w:hint="eastAsia" w:ascii="宋体" w:hAnsi="宋体"/>
        </w:rPr>
        <w:t>N    ——发病植株数；</w:t>
      </w:r>
    </w:p>
    <w:p w14:paraId="274A6CC2">
      <w:pPr>
        <w:pStyle w:val="56"/>
        <w:ind w:firstLine="420"/>
        <w:rPr>
          <w:rFonts w:hint="eastAsia" w:ascii="宋体" w:hAnsi="宋体"/>
        </w:rPr>
      </w:pPr>
      <w:r>
        <w:rPr>
          <w:rFonts w:hint="eastAsia" w:ascii="宋体" w:hAnsi="宋体"/>
        </w:rPr>
        <w:t>RV   ——发病植株病级代表值；</w:t>
      </w:r>
    </w:p>
    <w:p w14:paraId="6D3B0339">
      <w:pPr>
        <w:pStyle w:val="56"/>
        <w:ind w:firstLine="420"/>
        <w:rPr>
          <w:rFonts w:hint="eastAsia" w:ascii="宋体" w:hAnsi="宋体"/>
        </w:rPr>
      </w:pPr>
      <w:r>
        <w:rPr>
          <w:rFonts w:hint="eastAsia" w:ascii="宋体" w:hAnsi="宋体"/>
        </w:rPr>
        <w:t>NT   ——调查植株总数；</w:t>
      </w:r>
    </w:p>
    <w:p w14:paraId="0BF79D1E">
      <w:pPr>
        <w:pStyle w:val="56"/>
        <w:ind w:firstLine="420"/>
        <w:rPr>
          <w:rFonts w:hint="eastAsia" w:ascii="宋体" w:hAnsi="宋体"/>
        </w:rPr>
      </w:pPr>
      <w:r>
        <w:rPr>
          <w:rFonts w:hint="eastAsia" w:ascii="宋体" w:hAnsi="宋体"/>
        </w:rPr>
        <w:t>RVmax——该病害最高病级代表值；</w:t>
      </w:r>
    </w:p>
    <w:p w14:paraId="355341AB">
      <w:pPr>
        <w:pStyle w:val="56"/>
        <w:ind w:firstLine="420"/>
        <w:rPr>
          <w:rFonts w:hint="eastAsia" w:ascii="宋体" w:hAnsi="宋体"/>
        </w:rPr>
      </w:pPr>
      <w:r>
        <w:rPr>
          <w:rFonts w:hint="eastAsia" w:ascii="宋体" w:hAnsi="宋体"/>
        </w:rPr>
        <w:t>病原菌数据：记录采集日期、采集地点、病原菌种类、孢子数量、存储方式等信息。</w:t>
      </w:r>
    </w:p>
    <w:p w14:paraId="7EDA25A2">
      <w:pPr>
        <w:pStyle w:val="56"/>
        <w:ind w:firstLine="420"/>
        <w:rPr>
          <w:rFonts w:hint="eastAsia" w:ascii="宋体" w:hAnsi="宋体"/>
        </w:rPr>
      </w:pPr>
      <w:r>
        <w:rPr>
          <w:rFonts w:hint="eastAsia" w:ascii="宋体" w:hAnsi="宋体"/>
        </w:rPr>
        <w:t>外来入侵物种记录：按照NY/T 1861，记录调查点外来物种情况。包括外来物种名称、数量、发现地点、危害情况等信息。</w:t>
      </w:r>
    </w:p>
    <w:p w14:paraId="0CBAFF40">
      <w:pPr>
        <w:pStyle w:val="105"/>
        <w:spacing w:before="120" w:after="120"/>
      </w:pPr>
      <w:r>
        <w:t>数据传输与存储</w:t>
      </w:r>
    </w:p>
    <w:p w14:paraId="2CC950D3">
      <w:pPr>
        <w:pStyle w:val="56"/>
        <w:ind w:firstLine="420"/>
        <w:rPr>
          <w:rFonts w:hint="eastAsia" w:ascii="宋体" w:hAnsi="宋体"/>
        </w:rPr>
      </w:pPr>
      <w:r>
        <w:rPr>
          <w:rFonts w:hint="eastAsia" w:ascii="宋体" w:hAnsi="宋体"/>
        </w:rPr>
        <w:t>传输要求：数据传输采用加密协议，确保数据完整性和保密性，传输失败时自动重传，重传次数≤3次。</w:t>
      </w:r>
    </w:p>
    <w:p w14:paraId="52813D2A">
      <w:pPr>
        <w:pStyle w:val="56"/>
        <w:ind w:firstLine="420"/>
        <w:rPr>
          <w:rFonts w:hint="eastAsia" w:ascii="宋体" w:hAnsi="宋体"/>
        </w:rPr>
      </w:pPr>
      <w:r>
        <w:rPr>
          <w:rFonts w:hint="eastAsia" w:ascii="宋体" w:hAnsi="宋体"/>
        </w:rPr>
        <w:t>存储要求：云端数据库采用MySQL或PostgreSQL，本地存储采用SQLite，定期数据备份（云端每周备份1次，本地每月备份1次）。</w:t>
      </w:r>
    </w:p>
    <w:p w14:paraId="477E5D36">
      <w:pPr>
        <w:pStyle w:val="105"/>
        <w:spacing w:before="120" w:after="120"/>
      </w:pPr>
      <w:r>
        <w:t>数据共享与安全</w:t>
      </w:r>
    </w:p>
    <w:p w14:paraId="2043F236">
      <w:pPr>
        <w:pStyle w:val="56"/>
        <w:ind w:firstLine="420"/>
      </w:pPr>
      <w:r>
        <w:rPr>
          <w:rFonts w:hint="eastAsia"/>
        </w:rPr>
        <w:t>共享机制：支持旗县-市-自治区三级数据共享，共享数据经过脱敏处理，涉及隐私信息加密存储。</w:t>
      </w:r>
    </w:p>
    <w:p w14:paraId="7216BD85">
      <w:pPr>
        <w:pStyle w:val="56"/>
        <w:ind w:firstLine="420"/>
      </w:pPr>
      <w:r>
        <w:rPr>
          <w:rFonts w:hint="eastAsia"/>
        </w:rPr>
        <w:t>安全要求：用户密码采用哈希算法加密存储，登录支持验证码验证；数据访问需权限认证，操作日志可追溯。</w:t>
      </w:r>
    </w:p>
    <w:p w14:paraId="5F9BB499">
      <w:pPr>
        <w:pStyle w:val="104"/>
        <w:spacing w:before="240" w:after="240"/>
      </w:pPr>
      <w:r>
        <w:t>低碳运行要求</w:t>
      </w:r>
    </w:p>
    <w:p w14:paraId="00C4FB6E">
      <w:pPr>
        <w:pStyle w:val="105"/>
        <w:spacing w:before="120" w:after="120"/>
      </w:pPr>
      <w:r>
        <w:t>低碳指标</w:t>
      </w:r>
    </w:p>
    <w:p w14:paraId="447295BB">
      <w:pPr>
        <w:pStyle w:val="56"/>
      </w:pPr>
      <w:r>
        <w:t>玉米病害监测平台低碳运行指标包含农药减量、能耗控制、碳减排三类考核内容。</w:t>
      </w:r>
    </w:p>
    <w:p w14:paraId="29181D15">
      <w:pPr>
        <w:pStyle w:val="56"/>
        <w:ind w:firstLine="420"/>
        <w:rPr>
          <w:rFonts w:hint="eastAsia" w:ascii="宋体" w:hAnsi="宋体"/>
        </w:rPr>
      </w:pPr>
      <w:r>
        <w:rPr>
          <w:rFonts w:hint="eastAsia" w:ascii="宋体" w:hAnsi="宋体"/>
        </w:rPr>
        <w:t>农药减量：平台推广应用后，监测区域内玉米病害防治农药平均减量率≥15%。</w:t>
      </w:r>
    </w:p>
    <w:p w14:paraId="1D20839A">
      <w:pPr>
        <w:pStyle w:val="56"/>
        <w:ind w:firstLine="420"/>
        <w:rPr>
          <w:rFonts w:hint="eastAsia" w:ascii="宋体" w:hAnsi="宋体"/>
        </w:rPr>
      </w:pPr>
      <w:r>
        <w:rPr>
          <w:rFonts w:hint="eastAsia" w:ascii="宋体" w:hAnsi="宋体"/>
        </w:rPr>
        <w:t>能耗控制：单台传感器年耗电量≤5度，服务器年耗电量≤500度，平台整体单位监测面积年能耗≤10度/公顷。</w:t>
      </w:r>
    </w:p>
    <w:p w14:paraId="525E318C">
      <w:pPr>
        <w:pStyle w:val="56"/>
        <w:ind w:firstLine="420"/>
        <w:rPr>
          <w:rFonts w:hint="eastAsia" w:ascii="宋体" w:hAnsi="宋体"/>
        </w:rPr>
      </w:pPr>
      <w:r>
        <w:rPr>
          <w:rFonts w:hint="eastAsia" w:ascii="宋体" w:hAnsi="宋体"/>
        </w:rPr>
        <w:t>碳减排：通过农药减量和能耗优化，单位监测面积年碳减排量≥</w:t>
      </w:r>
      <w:r>
        <w:rPr>
          <w:rFonts w:ascii="宋体" w:hAnsi="宋体"/>
        </w:rPr>
        <w:t>50kg CO</w:t>
      </w:r>
      <w:r>
        <w:rPr>
          <w:rFonts w:hint="eastAsia" w:ascii="宋体" w:hAnsi="宋体" w:cs="Cambria Math"/>
          <w:vertAlign w:val="subscript"/>
        </w:rPr>
        <w:t>2</w:t>
      </w:r>
      <w:r>
        <w:rPr>
          <w:rFonts w:hint="eastAsia" w:ascii="宋体" w:hAnsi="宋体"/>
        </w:rPr>
        <w:t>当量。</w:t>
      </w:r>
    </w:p>
    <w:p w14:paraId="35F8EEF2">
      <w:pPr>
        <w:pStyle w:val="105"/>
        <w:spacing w:before="120" w:after="120"/>
      </w:pPr>
      <w:r>
        <w:t>低碳措施</w:t>
      </w:r>
    </w:p>
    <w:p w14:paraId="183F7561">
      <w:pPr>
        <w:pStyle w:val="56"/>
        <w:ind w:firstLine="420"/>
        <w:rPr>
          <w:rFonts w:hint="eastAsia" w:ascii="宋体" w:hAnsi="宋体"/>
        </w:rPr>
      </w:pPr>
      <w:r>
        <w:rPr>
          <w:rFonts w:hint="eastAsia" w:ascii="宋体" w:hAnsi="宋体"/>
        </w:rPr>
        <w:t>硬件节能：选用低功耗传感器和设备，支持休眠模式，无数据传输时自动进入低功耗状态，功耗降低≥60%。</w:t>
      </w:r>
    </w:p>
    <w:p w14:paraId="5586C73B">
      <w:pPr>
        <w:pStyle w:val="56"/>
        <w:ind w:firstLine="420"/>
        <w:rPr>
          <w:rFonts w:hint="eastAsia" w:ascii="宋体" w:hAnsi="宋体"/>
        </w:rPr>
      </w:pPr>
      <w:r>
        <w:rPr>
          <w:rFonts w:hint="eastAsia" w:ascii="宋体" w:hAnsi="宋体"/>
        </w:rPr>
        <w:t>软件优化：采用轻量化代码设计，减少数据传输量，非关键数据采用压缩传输，压缩率≥50%。</w:t>
      </w:r>
    </w:p>
    <w:p w14:paraId="00E3C337">
      <w:pPr>
        <w:pStyle w:val="56"/>
        <w:ind w:firstLine="420"/>
        <w:rPr>
          <w:rFonts w:hint="eastAsia" w:ascii="宋体" w:hAnsi="宋体"/>
        </w:rPr>
      </w:pPr>
      <w:r>
        <w:rPr>
          <w:rFonts w:hint="eastAsia" w:ascii="宋体" w:hAnsi="宋体"/>
        </w:rPr>
        <w:t>精准施药：基于预测预警结果，避免盲目施药，推广生物防治、农业防治等低碳防控措施，降低化学农药使用量。</w:t>
      </w:r>
    </w:p>
    <w:p w14:paraId="7396B390">
      <w:pPr>
        <w:pStyle w:val="104"/>
        <w:spacing w:before="240" w:after="240"/>
      </w:pPr>
      <w:r>
        <w:t>运行与维护要求</w:t>
      </w:r>
    </w:p>
    <w:p w14:paraId="31A907E2">
      <w:pPr>
        <w:pStyle w:val="105"/>
        <w:spacing w:before="120" w:after="120"/>
      </w:pPr>
      <w:r>
        <w:t>运行管理</w:t>
      </w:r>
    </w:p>
    <w:p w14:paraId="49E1D285">
      <w:pPr>
        <w:pStyle w:val="56"/>
      </w:pPr>
      <w:r>
        <w:t>平台日常运维以玉米病害多源信息融合为数据基础，对照玉米病害监测覆盖区分区管理细则、玉米病害监测平台低碳运行指标考核要求，围绕玉米病害农药精准施控所需数据源开展</w:t>
      </w:r>
      <w:r>
        <w:rPr>
          <w:rFonts w:hint="eastAsia"/>
          <w:lang w:val="en-US" w:eastAsia="zh-CN"/>
        </w:rPr>
        <w:t>运行维护</w:t>
      </w:r>
      <w:r>
        <w:t>。</w:t>
      </w:r>
    </w:p>
    <w:p w14:paraId="3222745E">
      <w:pPr>
        <w:pStyle w:val="56"/>
      </w:pPr>
      <w:r>
        <w:rPr>
          <w:rFonts w:hint="eastAsia"/>
          <w:lang w:val="en-US" w:eastAsia="zh-CN"/>
        </w:rPr>
        <w:t>数据质量控制：</w:t>
      </w:r>
      <w:r>
        <w:t>定期校准传感器（温度、湿度传感器每季度校准 1 次，土壤传感器每半年校准 1 次），数据异常时自动报警并提示处理。</w:t>
      </w:r>
    </w:p>
    <w:p w14:paraId="453C8A50">
      <w:pPr>
        <w:pStyle w:val="56"/>
        <w:ind w:firstLine="420"/>
        <w:rPr>
          <w:rFonts w:hint="eastAsia" w:ascii="宋体" w:hAnsi="宋体"/>
        </w:rPr>
      </w:pPr>
      <w:r>
        <w:rPr>
          <w:rFonts w:hint="eastAsia" w:ascii="宋体" w:hAnsi="宋体"/>
        </w:rPr>
        <w:t>预警响应：农技人员收到中、高风险预警后，24小时内完成田间核查，及时更新防控建议。</w:t>
      </w:r>
    </w:p>
    <w:p w14:paraId="2E23C7D7">
      <w:pPr>
        <w:pStyle w:val="56"/>
        <w:ind w:firstLine="420"/>
        <w:rPr>
          <w:rFonts w:hint="eastAsia" w:ascii="宋体" w:hAnsi="宋体"/>
        </w:rPr>
      </w:pPr>
      <w:r>
        <w:rPr>
          <w:rFonts w:hint="eastAsia" w:ascii="宋体" w:hAnsi="宋体"/>
        </w:rPr>
        <w:t>低碳监测：每月统计农药使用量、设备能耗数据，生成低碳运行报告。</w:t>
      </w:r>
    </w:p>
    <w:p w14:paraId="6DCCEFBA">
      <w:pPr>
        <w:pStyle w:val="105"/>
        <w:spacing w:before="120" w:after="120"/>
      </w:pPr>
      <w:r>
        <w:t>维护要求</w:t>
      </w:r>
    </w:p>
    <w:p w14:paraId="32B4D353">
      <w:pPr>
        <w:pStyle w:val="56"/>
        <w:ind w:firstLine="420"/>
        <w:rPr>
          <w:rFonts w:hint="eastAsia" w:ascii="宋体" w:hAnsi="宋体"/>
        </w:rPr>
      </w:pPr>
      <w:r>
        <w:rPr>
          <w:rFonts w:hint="eastAsia" w:ascii="宋体" w:hAnsi="宋体"/>
        </w:rPr>
        <w:t>日常维护：每周检查设备运行状态，清洁传感器探头、图像采集设备镜头；每季度检查设备供电、通信线路。按照附录C的要求，填写日志表。</w:t>
      </w:r>
    </w:p>
    <w:p w14:paraId="5E1BEE11">
      <w:pPr>
        <w:pStyle w:val="56"/>
        <w:ind w:firstLine="420"/>
        <w:rPr>
          <w:rFonts w:hint="eastAsia" w:ascii="宋体" w:hAnsi="宋体"/>
        </w:rPr>
      </w:pPr>
      <w:r>
        <w:rPr>
          <w:rFonts w:hint="eastAsia" w:ascii="宋体" w:hAnsi="宋体"/>
        </w:rPr>
        <w:t>故障处理：设备故障报警后，48小时内完成维修或更换；服务器故障时，启动备用服务器，数据丢失率≤0.1%。</w:t>
      </w:r>
    </w:p>
    <w:p w14:paraId="42CDB254">
      <w:pPr>
        <w:pStyle w:val="56"/>
        <w:ind w:firstLine="420"/>
        <w:rPr>
          <w:rFonts w:hint="eastAsia" w:ascii="宋体" w:hAnsi="宋体"/>
        </w:rPr>
      </w:pPr>
      <w:r>
        <w:rPr>
          <w:rFonts w:hint="eastAsia" w:ascii="宋体" w:hAnsi="宋体"/>
        </w:rPr>
        <w:t>软件更新：每半年进行1次系统升级，优化功能模块；紧急漏洞修复在72小时内完成。</w:t>
      </w:r>
    </w:p>
    <w:p w14:paraId="5C4154DC">
      <w:pPr>
        <w:pStyle w:val="104"/>
        <w:spacing w:before="240" w:after="240"/>
      </w:pPr>
      <w:r>
        <w:t>平台验收与评价</w:t>
      </w:r>
    </w:p>
    <w:p w14:paraId="7E5591B8">
      <w:pPr>
        <w:pStyle w:val="105"/>
        <w:spacing w:before="120" w:after="120"/>
      </w:pPr>
      <w:r>
        <w:t>验收指标</w:t>
      </w:r>
    </w:p>
    <w:p w14:paraId="029B3DA2">
      <w:pPr>
        <w:pStyle w:val="56"/>
        <w:ind w:firstLine="420"/>
        <w:rPr>
          <w:rFonts w:hint="eastAsia" w:ascii="宋体" w:hAnsi="宋体"/>
        </w:rPr>
      </w:pPr>
      <w:r>
        <w:rPr>
          <w:rFonts w:hint="eastAsia" w:ascii="宋体" w:hAnsi="宋体"/>
        </w:rPr>
        <w:t>验收工作结合玉米病害监测平台低碳运行指标与玉米病害监测覆盖区分级标准开展核查。</w:t>
      </w:r>
    </w:p>
    <w:p w14:paraId="5E55939A">
      <w:pPr>
        <w:pStyle w:val="56"/>
        <w:ind w:firstLine="420"/>
        <w:rPr>
          <w:rFonts w:hint="eastAsia" w:ascii="宋体" w:hAnsi="宋体"/>
        </w:rPr>
      </w:pPr>
      <w:r>
        <w:rPr>
          <w:rFonts w:hint="eastAsia" w:ascii="宋体" w:hAnsi="宋体"/>
        </w:rPr>
        <w:t>功能指标：核心功能（智能诊断、预测预警、精准施控）实现率100%，病害识别准确率≥95%，预测准确率≥85%。</w:t>
      </w:r>
    </w:p>
    <w:p w14:paraId="140C6319">
      <w:pPr>
        <w:pStyle w:val="56"/>
        <w:ind w:firstLine="420"/>
        <w:rPr>
          <w:rFonts w:hint="eastAsia" w:ascii="宋体" w:hAnsi="宋体"/>
        </w:rPr>
      </w:pPr>
      <w:r>
        <w:rPr>
          <w:rFonts w:hint="eastAsia" w:ascii="宋体" w:hAnsi="宋体"/>
        </w:rPr>
        <w:t>性能指标：数据采集延迟≤5分钟，数据传输成功率≥99%，平台响应时间≤3秒，并发用户数≥ 500。</w:t>
      </w:r>
    </w:p>
    <w:p w14:paraId="206B628B">
      <w:pPr>
        <w:pStyle w:val="56"/>
        <w:ind w:firstLine="420"/>
        <w:rPr>
          <w:rFonts w:hint="eastAsia" w:ascii="宋体" w:hAnsi="宋体"/>
        </w:rPr>
      </w:pPr>
      <w:r>
        <w:rPr>
          <w:rFonts w:hint="eastAsia" w:ascii="宋体" w:hAnsi="宋体"/>
        </w:rPr>
        <w:t>低碳指标：农药减量率≥</w:t>
      </w:r>
      <w:r>
        <w:rPr>
          <w:rFonts w:ascii="宋体" w:hAnsi="宋体"/>
        </w:rPr>
        <w:t>15%</w:t>
      </w:r>
      <w:r>
        <w:rPr>
          <w:rFonts w:hint="eastAsia" w:ascii="宋体" w:hAnsi="宋体"/>
        </w:rPr>
        <w:t>，单位监测面积年能耗≤</w:t>
      </w:r>
      <w:r>
        <w:rPr>
          <w:rFonts w:ascii="宋体" w:hAnsi="宋体"/>
        </w:rPr>
        <w:t>10</w:t>
      </w:r>
      <w:r>
        <w:rPr>
          <w:rFonts w:hint="eastAsia" w:ascii="宋体" w:hAnsi="宋体"/>
        </w:rPr>
        <w:t>度</w:t>
      </w:r>
      <w:r>
        <w:rPr>
          <w:rFonts w:ascii="宋体" w:hAnsi="宋体"/>
        </w:rPr>
        <w:t>/</w:t>
      </w:r>
      <w:r>
        <w:rPr>
          <w:rFonts w:hint="eastAsia" w:ascii="宋体" w:hAnsi="宋体"/>
        </w:rPr>
        <w:t>公顷，碳减排量≥</w:t>
      </w:r>
      <w:r>
        <w:rPr>
          <w:rFonts w:ascii="宋体" w:hAnsi="宋体"/>
        </w:rPr>
        <w:t>50 kg CO</w:t>
      </w:r>
      <w:r>
        <w:rPr>
          <w:rFonts w:hint="eastAsia" w:ascii="宋体" w:hAnsi="宋体" w:cs="Cambria Math"/>
          <w:vertAlign w:val="subscript"/>
        </w:rPr>
        <w:t>2</w:t>
      </w:r>
      <w:r>
        <w:rPr>
          <w:rFonts w:hint="eastAsia" w:ascii="宋体" w:hAnsi="宋体"/>
        </w:rPr>
        <w:t>当量</w:t>
      </w:r>
      <w:r>
        <w:rPr>
          <w:rFonts w:ascii="宋体" w:hAnsi="宋体"/>
        </w:rPr>
        <w:t>/</w:t>
      </w:r>
      <w:r>
        <w:rPr>
          <w:rFonts w:hint="eastAsia" w:ascii="宋体" w:hAnsi="宋体"/>
        </w:rPr>
        <w:t>公顷。</w:t>
      </w:r>
    </w:p>
    <w:p w14:paraId="06849CA3">
      <w:pPr>
        <w:pStyle w:val="105"/>
        <w:spacing w:before="120" w:after="120"/>
      </w:pPr>
      <w:r>
        <w:t>评价周期与方式</w:t>
      </w:r>
    </w:p>
    <w:p w14:paraId="64878114">
      <w:pPr>
        <w:pStyle w:val="56"/>
        <w:ind w:firstLine="420"/>
        <w:rPr>
          <w:rFonts w:ascii="宋体" w:hAnsi="宋体"/>
        </w:rPr>
      </w:pPr>
      <w:r>
        <w:rPr>
          <w:rFonts w:hint="eastAsia" w:ascii="宋体" w:hAnsi="宋体"/>
        </w:rPr>
        <w:t>评价周期：每年开展1次运行评价，验收合格后每3年进行1次全面评价。</w:t>
      </w:r>
    </w:p>
    <w:p w14:paraId="3CF83496">
      <w:pPr>
        <w:pStyle w:val="56"/>
        <w:ind w:firstLine="420"/>
      </w:pPr>
      <w:r>
        <w:rPr>
          <w:rFonts w:hint="eastAsia" w:ascii="宋体" w:hAnsi="宋体"/>
        </w:rPr>
        <w:t>评价方式：采用现场检测、数据核查、用户满意度调查相结合的方式，用户满意度≥85分为合格</w:t>
      </w:r>
      <w:r>
        <w:rPr>
          <w:rFonts w:hint="eastAsia"/>
        </w:rPr>
        <w:t>。</w:t>
      </w:r>
    </w:p>
    <w:p w14:paraId="394A83C1">
      <w:pPr>
        <w:pStyle w:val="56"/>
        <w:ind w:firstLine="420"/>
      </w:pPr>
    </w:p>
    <w:p w14:paraId="2BA488B9">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start="1"/>
          <w:cols w:space="425" w:num="1"/>
          <w:formProt w:val="0"/>
          <w:docGrid w:linePitch="312" w:charSpace="0"/>
        </w:sectPr>
      </w:pPr>
    </w:p>
    <w:bookmarkEnd w:id="7"/>
    <w:p w14:paraId="2D550200">
      <w:pPr>
        <w:pStyle w:val="198"/>
        <w:rPr>
          <w:rFonts w:hint="eastAsia"/>
          <w:vanish w:val="0"/>
        </w:rPr>
      </w:pPr>
      <w:bookmarkStart w:id="33" w:name="BookMark5"/>
    </w:p>
    <w:p w14:paraId="05FDA9BF">
      <w:pPr>
        <w:pStyle w:val="199"/>
        <w:rPr>
          <w:vanish w:val="0"/>
        </w:rPr>
      </w:pPr>
    </w:p>
    <w:p w14:paraId="6F50DBA9">
      <w:pPr>
        <w:pStyle w:val="76"/>
        <w:spacing w:after="120"/>
      </w:pPr>
      <w:r>
        <w:br w:type="textWrapping"/>
      </w:r>
      <w:r>
        <w:rPr>
          <w:rFonts w:hint="eastAsia"/>
        </w:rPr>
        <w:t>（规范性）</w:t>
      </w:r>
      <w:r>
        <w:br w:type="textWrapping"/>
      </w:r>
      <w:r>
        <w:rPr>
          <w:rFonts w:hint="eastAsia"/>
        </w:rPr>
        <w:t>玉米病害调查数据记录格式</w:t>
      </w:r>
    </w:p>
    <w:p w14:paraId="2892B176">
      <w:pPr>
        <w:pStyle w:val="56"/>
        <w:ind w:firstLine="420"/>
        <w:rPr>
          <w:rFonts w:hint="eastAsia" w:ascii="宋体" w:hAnsi="宋体"/>
        </w:rPr>
      </w:pPr>
      <w:r>
        <w:rPr>
          <w:rFonts w:ascii="宋体" w:hAnsi="宋体"/>
        </w:rPr>
        <w:t>玉米病害调查数据记录</w:t>
      </w:r>
      <w:r>
        <w:rPr>
          <w:rFonts w:hint="eastAsia" w:ascii="宋体" w:hAnsi="宋体"/>
        </w:rPr>
        <w:t>按照表A.1。</w:t>
      </w:r>
    </w:p>
    <w:p w14:paraId="289BE5D0">
      <w:pPr>
        <w:pStyle w:val="77"/>
        <w:spacing w:before="120" w:after="120"/>
      </w:pPr>
      <w:r>
        <w:t>玉米病害调查数据记录表</w:t>
      </w:r>
    </w:p>
    <w:tbl>
      <w:tblPr>
        <w:tblStyle w:val="27"/>
        <w:tblW w:w="933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16"/>
        <w:gridCol w:w="425"/>
        <w:gridCol w:w="1307"/>
        <w:gridCol w:w="431"/>
        <w:gridCol w:w="431"/>
        <w:gridCol w:w="431"/>
        <w:gridCol w:w="1009"/>
        <w:gridCol w:w="431"/>
        <w:gridCol w:w="431"/>
        <w:gridCol w:w="431"/>
        <w:gridCol w:w="721"/>
        <w:gridCol w:w="431"/>
        <w:gridCol w:w="432"/>
        <w:gridCol w:w="431"/>
        <w:gridCol w:w="720"/>
        <w:gridCol w:w="423"/>
        <w:gridCol w:w="430"/>
      </w:tblGrid>
      <w:tr w14:paraId="440C34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943" w:hRule="atLeast"/>
          <w:tblHeader/>
          <w:jc w:val="center"/>
        </w:trPr>
        <w:tc>
          <w:tcPr>
            <w:tcW w:w="416" w:type="dxa"/>
            <w:tcBorders>
              <w:top w:val="single" w:color="auto" w:sz="8" w:space="0"/>
              <w:bottom w:val="single" w:color="auto" w:sz="8" w:space="0"/>
            </w:tcBorders>
            <w:vAlign w:val="center"/>
          </w:tcPr>
          <w:p w14:paraId="1DE03E2C">
            <w:pPr>
              <w:pStyle w:val="178"/>
            </w:pPr>
            <w:r>
              <w:rPr>
                <w:rFonts w:hint="eastAsia"/>
              </w:rPr>
              <w:t>调查日期</w:t>
            </w:r>
          </w:p>
        </w:tc>
        <w:tc>
          <w:tcPr>
            <w:tcW w:w="425" w:type="dxa"/>
            <w:tcBorders>
              <w:top w:val="single" w:color="auto" w:sz="8" w:space="0"/>
              <w:bottom w:val="single" w:color="auto" w:sz="8" w:space="0"/>
            </w:tcBorders>
            <w:vAlign w:val="center"/>
          </w:tcPr>
          <w:p w14:paraId="3EBDDAC0">
            <w:pPr>
              <w:pStyle w:val="178"/>
            </w:pPr>
            <w:r>
              <w:rPr>
                <w:rFonts w:hint="eastAsia"/>
              </w:rPr>
              <w:t>表格编号</w:t>
            </w:r>
          </w:p>
        </w:tc>
        <w:tc>
          <w:tcPr>
            <w:tcW w:w="1307" w:type="dxa"/>
            <w:tcBorders>
              <w:top w:val="single" w:color="auto" w:sz="8" w:space="0"/>
              <w:bottom w:val="single" w:color="auto" w:sz="8" w:space="0"/>
            </w:tcBorders>
            <w:vAlign w:val="center"/>
          </w:tcPr>
          <w:p w14:paraId="147DDD81">
            <w:pPr>
              <w:pStyle w:val="178"/>
            </w:pPr>
            <w:r>
              <w:rPr>
                <w:rFonts w:hint="eastAsia"/>
              </w:rPr>
              <w:t>监测点位置</w:t>
            </w:r>
            <w:r>
              <w:t>（旗区-乡镇-村）</w:t>
            </w:r>
          </w:p>
        </w:tc>
        <w:tc>
          <w:tcPr>
            <w:tcW w:w="431" w:type="dxa"/>
            <w:tcBorders>
              <w:top w:val="single" w:color="auto" w:sz="8" w:space="0"/>
              <w:bottom w:val="single" w:color="auto" w:sz="8" w:space="0"/>
            </w:tcBorders>
            <w:vAlign w:val="center"/>
          </w:tcPr>
          <w:p w14:paraId="3BA76AF7">
            <w:pPr>
              <w:pStyle w:val="178"/>
            </w:pPr>
            <w:r>
              <w:rPr>
                <w:rFonts w:hint="eastAsia"/>
              </w:rPr>
              <w:t>经纬度</w:t>
            </w:r>
          </w:p>
        </w:tc>
        <w:tc>
          <w:tcPr>
            <w:tcW w:w="431" w:type="dxa"/>
            <w:tcBorders>
              <w:top w:val="single" w:color="auto" w:sz="8" w:space="0"/>
              <w:bottom w:val="single" w:color="auto" w:sz="8" w:space="0"/>
            </w:tcBorders>
            <w:vAlign w:val="center"/>
          </w:tcPr>
          <w:p w14:paraId="20BF5C0D">
            <w:pPr>
              <w:pStyle w:val="178"/>
            </w:pPr>
            <w:r>
              <w:rPr>
                <w:rFonts w:hint="eastAsia"/>
              </w:rPr>
              <w:t>生境类型</w:t>
            </w:r>
          </w:p>
        </w:tc>
        <w:tc>
          <w:tcPr>
            <w:tcW w:w="431" w:type="dxa"/>
            <w:tcBorders>
              <w:top w:val="single" w:color="auto" w:sz="8" w:space="0"/>
              <w:bottom w:val="single" w:color="auto" w:sz="8" w:space="0"/>
            </w:tcBorders>
            <w:vAlign w:val="center"/>
          </w:tcPr>
          <w:p w14:paraId="683B1BC9">
            <w:pPr>
              <w:pStyle w:val="178"/>
            </w:pPr>
            <w:r>
              <w:rPr>
                <w:rFonts w:hint="eastAsia"/>
              </w:rPr>
              <w:t>玉米品种</w:t>
            </w:r>
          </w:p>
        </w:tc>
        <w:tc>
          <w:tcPr>
            <w:tcW w:w="1009" w:type="dxa"/>
            <w:tcBorders>
              <w:top w:val="single" w:color="auto" w:sz="8" w:space="0"/>
              <w:bottom w:val="single" w:color="auto" w:sz="8" w:space="0"/>
            </w:tcBorders>
            <w:vAlign w:val="center"/>
          </w:tcPr>
          <w:p w14:paraId="16C909CC">
            <w:pPr>
              <w:pStyle w:val="178"/>
            </w:pPr>
            <w:r>
              <w:rPr>
                <w:rFonts w:hint="eastAsia"/>
              </w:rPr>
              <w:t>种植面积</w:t>
            </w:r>
          </w:p>
          <w:p w14:paraId="3EA5EFA5">
            <w:pPr>
              <w:pStyle w:val="178"/>
            </w:pPr>
            <w:r>
              <w:rPr>
                <w:rFonts w:hint="eastAsia"/>
              </w:rPr>
              <w:t>（公顷）</w:t>
            </w:r>
          </w:p>
        </w:tc>
        <w:tc>
          <w:tcPr>
            <w:tcW w:w="431" w:type="dxa"/>
            <w:tcBorders>
              <w:top w:val="single" w:color="auto" w:sz="8" w:space="0"/>
              <w:bottom w:val="single" w:color="auto" w:sz="8" w:space="0"/>
            </w:tcBorders>
            <w:vAlign w:val="center"/>
          </w:tcPr>
          <w:p w14:paraId="7EE76FEB">
            <w:pPr>
              <w:pStyle w:val="178"/>
            </w:pPr>
            <w:r>
              <w:rPr>
                <w:rFonts w:hint="eastAsia"/>
              </w:rPr>
              <w:t>调查方法</w:t>
            </w:r>
          </w:p>
        </w:tc>
        <w:tc>
          <w:tcPr>
            <w:tcW w:w="431" w:type="dxa"/>
            <w:tcBorders>
              <w:top w:val="single" w:color="auto" w:sz="8" w:space="0"/>
              <w:bottom w:val="single" w:color="auto" w:sz="8" w:space="0"/>
            </w:tcBorders>
            <w:vAlign w:val="center"/>
          </w:tcPr>
          <w:p w14:paraId="0FBD888E">
            <w:pPr>
              <w:pStyle w:val="178"/>
            </w:pPr>
            <w:r>
              <w:rPr>
                <w:rFonts w:hint="eastAsia"/>
              </w:rPr>
              <w:t>调查株数</w:t>
            </w:r>
          </w:p>
        </w:tc>
        <w:tc>
          <w:tcPr>
            <w:tcW w:w="431" w:type="dxa"/>
            <w:tcBorders>
              <w:top w:val="single" w:color="auto" w:sz="8" w:space="0"/>
              <w:bottom w:val="single" w:color="auto" w:sz="8" w:space="0"/>
            </w:tcBorders>
            <w:vAlign w:val="center"/>
          </w:tcPr>
          <w:p w14:paraId="752C5E90">
            <w:pPr>
              <w:pStyle w:val="178"/>
            </w:pPr>
            <w:r>
              <w:rPr>
                <w:rFonts w:hint="eastAsia"/>
              </w:rPr>
              <w:t>发病株数</w:t>
            </w:r>
          </w:p>
        </w:tc>
        <w:tc>
          <w:tcPr>
            <w:tcW w:w="721" w:type="dxa"/>
            <w:tcBorders>
              <w:top w:val="single" w:color="auto" w:sz="8" w:space="0"/>
              <w:bottom w:val="single" w:color="auto" w:sz="8" w:space="0"/>
            </w:tcBorders>
            <w:vAlign w:val="center"/>
          </w:tcPr>
          <w:p w14:paraId="19B8C879">
            <w:pPr>
              <w:pStyle w:val="178"/>
            </w:pPr>
            <w:r>
              <w:rPr>
                <w:rFonts w:hint="eastAsia"/>
              </w:rPr>
              <w:t>发</w:t>
            </w:r>
          </w:p>
          <w:p w14:paraId="60EF7FE7">
            <w:pPr>
              <w:pStyle w:val="178"/>
            </w:pPr>
            <w:r>
              <w:rPr>
                <w:rFonts w:hint="eastAsia"/>
              </w:rPr>
              <w:t>病</w:t>
            </w:r>
          </w:p>
          <w:p w14:paraId="5F0AB8BA">
            <w:pPr>
              <w:pStyle w:val="178"/>
            </w:pPr>
            <w:r>
              <w:rPr>
                <w:rFonts w:hint="eastAsia"/>
              </w:rPr>
              <w:t>率</w:t>
            </w:r>
          </w:p>
          <w:p w14:paraId="4234B63E">
            <w:pPr>
              <w:pStyle w:val="178"/>
            </w:pPr>
            <w:r>
              <w:rPr>
                <w:rFonts w:hint="eastAsia"/>
              </w:rPr>
              <w:t>（%）</w:t>
            </w:r>
          </w:p>
        </w:tc>
        <w:tc>
          <w:tcPr>
            <w:tcW w:w="431" w:type="dxa"/>
            <w:tcBorders>
              <w:top w:val="single" w:color="auto" w:sz="8" w:space="0"/>
              <w:bottom w:val="single" w:color="auto" w:sz="8" w:space="0"/>
            </w:tcBorders>
            <w:vAlign w:val="center"/>
          </w:tcPr>
          <w:p w14:paraId="7B405325">
            <w:pPr>
              <w:pStyle w:val="178"/>
            </w:pPr>
            <w:r>
              <w:rPr>
                <w:rFonts w:hint="eastAsia"/>
              </w:rPr>
              <w:t>病情指数</w:t>
            </w:r>
          </w:p>
        </w:tc>
        <w:tc>
          <w:tcPr>
            <w:tcW w:w="432" w:type="dxa"/>
            <w:tcBorders>
              <w:top w:val="single" w:color="auto" w:sz="8" w:space="0"/>
              <w:bottom w:val="single" w:color="auto" w:sz="8" w:space="0"/>
            </w:tcBorders>
            <w:vAlign w:val="center"/>
          </w:tcPr>
          <w:p w14:paraId="6DC29E7C">
            <w:pPr>
              <w:pStyle w:val="178"/>
            </w:pPr>
            <w:r>
              <w:rPr>
                <w:rFonts w:hint="eastAsia"/>
              </w:rPr>
              <w:t>病害类型</w:t>
            </w:r>
          </w:p>
        </w:tc>
        <w:tc>
          <w:tcPr>
            <w:tcW w:w="431" w:type="dxa"/>
            <w:tcBorders>
              <w:top w:val="single" w:color="auto" w:sz="8" w:space="0"/>
              <w:bottom w:val="single" w:color="auto" w:sz="8" w:space="0"/>
            </w:tcBorders>
            <w:vAlign w:val="center"/>
          </w:tcPr>
          <w:p w14:paraId="5E46F88D">
            <w:pPr>
              <w:pStyle w:val="178"/>
            </w:pPr>
            <w:r>
              <w:rPr>
                <w:rFonts w:hint="eastAsia"/>
              </w:rPr>
              <w:t>调查人</w:t>
            </w:r>
          </w:p>
        </w:tc>
        <w:tc>
          <w:tcPr>
            <w:tcW w:w="720" w:type="dxa"/>
            <w:tcBorders>
              <w:top w:val="single" w:color="auto" w:sz="8" w:space="0"/>
              <w:bottom w:val="single" w:color="auto" w:sz="8" w:space="0"/>
            </w:tcBorders>
            <w:vAlign w:val="center"/>
          </w:tcPr>
          <w:p w14:paraId="63BA1CA7">
            <w:pPr>
              <w:pStyle w:val="178"/>
            </w:pPr>
            <w:r>
              <w:rPr>
                <w:rFonts w:hint="eastAsia"/>
              </w:rPr>
              <w:t>工作单位</w:t>
            </w:r>
          </w:p>
        </w:tc>
        <w:tc>
          <w:tcPr>
            <w:tcW w:w="423" w:type="dxa"/>
            <w:tcBorders>
              <w:top w:val="single" w:color="auto" w:sz="8" w:space="0"/>
              <w:bottom w:val="single" w:color="auto" w:sz="8" w:space="0"/>
            </w:tcBorders>
            <w:vAlign w:val="center"/>
          </w:tcPr>
          <w:p w14:paraId="75EA0DED">
            <w:pPr>
              <w:pStyle w:val="178"/>
            </w:pPr>
            <w:r>
              <w:rPr>
                <w:rFonts w:hint="eastAsia"/>
              </w:rPr>
              <w:t>联系方式</w:t>
            </w:r>
          </w:p>
        </w:tc>
        <w:tc>
          <w:tcPr>
            <w:tcW w:w="430" w:type="dxa"/>
            <w:tcBorders>
              <w:top w:val="single" w:color="auto" w:sz="8" w:space="0"/>
              <w:bottom w:val="single" w:color="auto" w:sz="8" w:space="0"/>
            </w:tcBorders>
            <w:vAlign w:val="center"/>
          </w:tcPr>
          <w:p w14:paraId="2F254671">
            <w:pPr>
              <w:pStyle w:val="178"/>
            </w:pPr>
            <w:r>
              <w:rPr>
                <w:rFonts w:hint="eastAsia"/>
              </w:rPr>
              <w:t>备注</w:t>
            </w:r>
          </w:p>
        </w:tc>
      </w:tr>
      <w:tr w14:paraId="008C62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1039" w:hRule="atLeast"/>
          <w:jc w:val="center"/>
        </w:trPr>
        <w:tc>
          <w:tcPr>
            <w:tcW w:w="416" w:type="dxa"/>
            <w:tcBorders>
              <w:top w:val="single" w:color="auto" w:sz="8" w:space="0"/>
            </w:tcBorders>
            <w:vAlign w:val="center"/>
          </w:tcPr>
          <w:p w14:paraId="2357DDDD">
            <w:pPr>
              <w:pStyle w:val="178"/>
            </w:pPr>
          </w:p>
        </w:tc>
        <w:tc>
          <w:tcPr>
            <w:tcW w:w="425" w:type="dxa"/>
            <w:tcBorders>
              <w:top w:val="single" w:color="auto" w:sz="8" w:space="0"/>
            </w:tcBorders>
            <w:vAlign w:val="center"/>
          </w:tcPr>
          <w:p w14:paraId="7CE738BB">
            <w:pPr>
              <w:pStyle w:val="178"/>
            </w:pPr>
          </w:p>
        </w:tc>
        <w:tc>
          <w:tcPr>
            <w:tcW w:w="1307" w:type="dxa"/>
            <w:tcBorders>
              <w:top w:val="single" w:color="auto" w:sz="8" w:space="0"/>
            </w:tcBorders>
            <w:vAlign w:val="center"/>
          </w:tcPr>
          <w:p w14:paraId="4D7848C8">
            <w:pPr>
              <w:pStyle w:val="178"/>
            </w:pPr>
          </w:p>
        </w:tc>
        <w:tc>
          <w:tcPr>
            <w:tcW w:w="431" w:type="dxa"/>
            <w:tcBorders>
              <w:top w:val="single" w:color="auto" w:sz="8" w:space="0"/>
            </w:tcBorders>
            <w:vAlign w:val="center"/>
          </w:tcPr>
          <w:p w14:paraId="1A8CFB66">
            <w:pPr>
              <w:pStyle w:val="178"/>
            </w:pPr>
          </w:p>
        </w:tc>
        <w:tc>
          <w:tcPr>
            <w:tcW w:w="431" w:type="dxa"/>
            <w:tcBorders>
              <w:top w:val="single" w:color="auto" w:sz="8" w:space="0"/>
            </w:tcBorders>
            <w:vAlign w:val="center"/>
          </w:tcPr>
          <w:p w14:paraId="2D952A42">
            <w:pPr>
              <w:pStyle w:val="178"/>
            </w:pPr>
          </w:p>
        </w:tc>
        <w:tc>
          <w:tcPr>
            <w:tcW w:w="431" w:type="dxa"/>
            <w:tcBorders>
              <w:top w:val="single" w:color="auto" w:sz="8" w:space="0"/>
            </w:tcBorders>
            <w:vAlign w:val="center"/>
          </w:tcPr>
          <w:p w14:paraId="4E82F447">
            <w:pPr>
              <w:pStyle w:val="178"/>
            </w:pPr>
          </w:p>
        </w:tc>
        <w:tc>
          <w:tcPr>
            <w:tcW w:w="1009" w:type="dxa"/>
            <w:tcBorders>
              <w:top w:val="single" w:color="auto" w:sz="8" w:space="0"/>
            </w:tcBorders>
            <w:vAlign w:val="center"/>
          </w:tcPr>
          <w:p w14:paraId="10E21A84">
            <w:pPr>
              <w:pStyle w:val="178"/>
            </w:pPr>
          </w:p>
        </w:tc>
        <w:tc>
          <w:tcPr>
            <w:tcW w:w="431" w:type="dxa"/>
            <w:tcBorders>
              <w:top w:val="single" w:color="auto" w:sz="8" w:space="0"/>
            </w:tcBorders>
            <w:vAlign w:val="center"/>
          </w:tcPr>
          <w:p w14:paraId="4D2001CF">
            <w:pPr>
              <w:pStyle w:val="178"/>
            </w:pPr>
          </w:p>
        </w:tc>
        <w:tc>
          <w:tcPr>
            <w:tcW w:w="431" w:type="dxa"/>
            <w:tcBorders>
              <w:top w:val="single" w:color="auto" w:sz="8" w:space="0"/>
            </w:tcBorders>
            <w:vAlign w:val="center"/>
          </w:tcPr>
          <w:p w14:paraId="5FF24374">
            <w:pPr>
              <w:pStyle w:val="178"/>
            </w:pPr>
          </w:p>
        </w:tc>
        <w:tc>
          <w:tcPr>
            <w:tcW w:w="431" w:type="dxa"/>
            <w:tcBorders>
              <w:top w:val="single" w:color="auto" w:sz="8" w:space="0"/>
            </w:tcBorders>
            <w:vAlign w:val="center"/>
          </w:tcPr>
          <w:p w14:paraId="6C12B080">
            <w:pPr>
              <w:pStyle w:val="178"/>
            </w:pPr>
          </w:p>
        </w:tc>
        <w:tc>
          <w:tcPr>
            <w:tcW w:w="721" w:type="dxa"/>
            <w:tcBorders>
              <w:top w:val="single" w:color="auto" w:sz="8" w:space="0"/>
            </w:tcBorders>
            <w:vAlign w:val="center"/>
          </w:tcPr>
          <w:p w14:paraId="240A05E7">
            <w:pPr>
              <w:pStyle w:val="178"/>
            </w:pPr>
          </w:p>
        </w:tc>
        <w:tc>
          <w:tcPr>
            <w:tcW w:w="431" w:type="dxa"/>
            <w:tcBorders>
              <w:top w:val="single" w:color="auto" w:sz="8" w:space="0"/>
            </w:tcBorders>
            <w:vAlign w:val="center"/>
          </w:tcPr>
          <w:p w14:paraId="2F913BDF">
            <w:pPr>
              <w:pStyle w:val="178"/>
            </w:pPr>
          </w:p>
        </w:tc>
        <w:tc>
          <w:tcPr>
            <w:tcW w:w="432" w:type="dxa"/>
            <w:tcBorders>
              <w:top w:val="single" w:color="auto" w:sz="8" w:space="0"/>
            </w:tcBorders>
            <w:vAlign w:val="center"/>
          </w:tcPr>
          <w:p w14:paraId="71B2A264">
            <w:pPr>
              <w:pStyle w:val="178"/>
            </w:pPr>
          </w:p>
        </w:tc>
        <w:tc>
          <w:tcPr>
            <w:tcW w:w="431" w:type="dxa"/>
            <w:tcBorders>
              <w:top w:val="single" w:color="auto" w:sz="8" w:space="0"/>
            </w:tcBorders>
            <w:vAlign w:val="center"/>
          </w:tcPr>
          <w:p w14:paraId="6D0CC1FF">
            <w:pPr>
              <w:pStyle w:val="178"/>
            </w:pPr>
          </w:p>
        </w:tc>
        <w:tc>
          <w:tcPr>
            <w:tcW w:w="720" w:type="dxa"/>
            <w:tcBorders>
              <w:top w:val="single" w:color="auto" w:sz="8" w:space="0"/>
            </w:tcBorders>
            <w:vAlign w:val="center"/>
          </w:tcPr>
          <w:p w14:paraId="1D7B5497">
            <w:pPr>
              <w:pStyle w:val="178"/>
            </w:pPr>
          </w:p>
        </w:tc>
        <w:tc>
          <w:tcPr>
            <w:tcW w:w="423" w:type="dxa"/>
            <w:tcBorders>
              <w:top w:val="single" w:color="auto" w:sz="8" w:space="0"/>
            </w:tcBorders>
            <w:vAlign w:val="center"/>
          </w:tcPr>
          <w:p w14:paraId="1F68EF90">
            <w:pPr>
              <w:pStyle w:val="178"/>
            </w:pPr>
          </w:p>
        </w:tc>
        <w:tc>
          <w:tcPr>
            <w:tcW w:w="430" w:type="dxa"/>
            <w:tcBorders>
              <w:top w:val="single" w:color="auto" w:sz="8" w:space="0"/>
            </w:tcBorders>
            <w:vAlign w:val="center"/>
          </w:tcPr>
          <w:p w14:paraId="17BB1E76">
            <w:pPr>
              <w:pStyle w:val="178"/>
            </w:pPr>
          </w:p>
        </w:tc>
      </w:tr>
    </w:tbl>
    <w:p w14:paraId="4284870D">
      <w:pPr>
        <w:pStyle w:val="56"/>
        <w:ind w:firstLine="420"/>
      </w:pPr>
    </w:p>
    <w:p w14:paraId="1E87BA68">
      <w:pPr>
        <w:pStyle w:val="56"/>
        <w:ind w:firstLine="420"/>
      </w:pPr>
    </w:p>
    <w:p w14:paraId="617A926E">
      <w:pPr>
        <w:pStyle w:val="56"/>
        <w:ind w:firstLine="420"/>
      </w:pPr>
    </w:p>
    <w:p w14:paraId="19D9D9FF">
      <w:pPr>
        <w:pStyle w:val="56"/>
        <w:ind w:firstLine="420"/>
        <w:sectPr>
          <w:headerReference r:id="rId19" w:type="default"/>
          <w:footerReference r:id="rId21" w:type="default"/>
          <w:headerReference r:id="rId20" w:type="even"/>
          <w:footerReference r:id="rId22" w:type="even"/>
          <w:pgSz w:w="11906" w:h="16838"/>
          <w:pgMar w:top="1928" w:right="1134" w:bottom="1134" w:left="1134" w:header="1418" w:footer="1134" w:gutter="284"/>
          <w:cols w:space="425" w:num="1"/>
          <w:formProt w:val="0"/>
          <w:docGrid w:linePitch="312" w:charSpace="0"/>
        </w:sectPr>
      </w:pPr>
    </w:p>
    <w:p w14:paraId="7C03EEF0">
      <w:pPr>
        <w:pStyle w:val="198"/>
        <w:rPr>
          <w:rFonts w:hint="eastAsia"/>
          <w:vanish w:val="0"/>
        </w:rPr>
      </w:pPr>
    </w:p>
    <w:p w14:paraId="46E4E9C0">
      <w:pPr>
        <w:pStyle w:val="199"/>
        <w:rPr>
          <w:vanish w:val="0"/>
        </w:rPr>
      </w:pPr>
    </w:p>
    <w:p w14:paraId="1B588F12">
      <w:pPr>
        <w:pStyle w:val="76"/>
        <w:spacing w:after="120"/>
      </w:pPr>
      <w:r>
        <w:br w:type="textWrapping"/>
      </w:r>
      <w:r>
        <w:rPr>
          <w:rFonts w:hint="eastAsia"/>
        </w:rPr>
        <w:t>（资料性）</w:t>
      </w:r>
      <w:r>
        <w:br w:type="textWrapping"/>
      </w:r>
      <w:r>
        <w:rPr>
          <w:rFonts w:hint="eastAsia"/>
        </w:rPr>
        <w:t>玉米常见病害识别特征</w:t>
      </w:r>
    </w:p>
    <w:p w14:paraId="62634E47">
      <w:pPr>
        <w:pStyle w:val="56"/>
        <w:ind w:firstLine="420"/>
        <w:rPr>
          <w:rFonts w:hint="eastAsia"/>
        </w:rPr>
      </w:pPr>
      <w:r>
        <w:rPr>
          <w:rFonts w:hint="eastAsia"/>
        </w:rPr>
        <w:t>玉米常见病害识别特征见</w:t>
      </w:r>
      <w:r>
        <w:rPr>
          <w:rFonts w:hint="eastAsia" w:ascii="宋体" w:hAnsi="宋体"/>
        </w:rPr>
        <w:t>表B.2。</w:t>
      </w:r>
    </w:p>
    <w:p w14:paraId="779C943E">
      <w:pPr>
        <w:pStyle w:val="77"/>
        <w:spacing w:before="120" w:after="120"/>
      </w:pPr>
      <w:r>
        <w:t>玉米常见病害识别特征</w:t>
      </w:r>
    </w:p>
    <w:tbl>
      <w:tblPr>
        <w:tblStyle w:val="27"/>
        <w:tblW w:w="965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993"/>
        <w:gridCol w:w="1832"/>
        <w:gridCol w:w="1995"/>
        <w:gridCol w:w="1418"/>
        <w:gridCol w:w="2409"/>
        <w:gridCol w:w="1012"/>
      </w:tblGrid>
      <w:tr w14:paraId="2290EC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50" w:hRule="atLeast"/>
          <w:tblHeader/>
          <w:jc w:val="center"/>
        </w:trPr>
        <w:tc>
          <w:tcPr>
            <w:tcW w:w="993" w:type="dxa"/>
            <w:tcBorders>
              <w:top w:val="single" w:color="auto" w:sz="8" w:space="0"/>
              <w:bottom w:val="single" w:color="auto" w:sz="8" w:space="0"/>
            </w:tcBorders>
            <w:vAlign w:val="center"/>
          </w:tcPr>
          <w:p w14:paraId="76C815AC">
            <w:pPr>
              <w:pStyle w:val="178"/>
            </w:pPr>
            <w:r>
              <w:t>病害名称</w:t>
            </w:r>
          </w:p>
        </w:tc>
        <w:tc>
          <w:tcPr>
            <w:tcW w:w="1832" w:type="dxa"/>
            <w:tcBorders>
              <w:top w:val="single" w:color="auto" w:sz="8" w:space="0"/>
              <w:bottom w:val="single" w:color="auto" w:sz="8" w:space="0"/>
            </w:tcBorders>
            <w:vAlign w:val="center"/>
          </w:tcPr>
          <w:p w14:paraId="74F4618A">
            <w:pPr>
              <w:pStyle w:val="178"/>
            </w:pPr>
            <w:r>
              <w:t>英文名称</w:t>
            </w:r>
          </w:p>
        </w:tc>
        <w:tc>
          <w:tcPr>
            <w:tcW w:w="1995" w:type="dxa"/>
            <w:tcBorders>
              <w:top w:val="single" w:color="auto" w:sz="8" w:space="0"/>
              <w:bottom w:val="single" w:color="auto" w:sz="8" w:space="0"/>
            </w:tcBorders>
            <w:vAlign w:val="center"/>
          </w:tcPr>
          <w:p w14:paraId="5E4EE74A">
            <w:pPr>
              <w:pStyle w:val="178"/>
            </w:pPr>
            <w:r>
              <w:t>拉丁学名</w:t>
            </w:r>
          </w:p>
        </w:tc>
        <w:tc>
          <w:tcPr>
            <w:tcW w:w="1418" w:type="dxa"/>
            <w:tcBorders>
              <w:top w:val="single" w:color="auto" w:sz="8" w:space="0"/>
              <w:bottom w:val="single" w:color="auto" w:sz="8" w:space="0"/>
            </w:tcBorders>
            <w:vAlign w:val="center"/>
          </w:tcPr>
          <w:p w14:paraId="140BDAFA">
            <w:pPr>
              <w:pStyle w:val="178"/>
            </w:pPr>
            <w:r>
              <w:t>发病部位</w:t>
            </w:r>
          </w:p>
        </w:tc>
        <w:tc>
          <w:tcPr>
            <w:tcW w:w="2409" w:type="dxa"/>
            <w:tcBorders>
              <w:top w:val="single" w:color="auto" w:sz="8" w:space="0"/>
              <w:bottom w:val="single" w:color="auto" w:sz="8" w:space="0"/>
            </w:tcBorders>
            <w:vAlign w:val="center"/>
          </w:tcPr>
          <w:p w14:paraId="25DC5B2D">
            <w:pPr>
              <w:pStyle w:val="178"/>
            </w:pPr>
            <w:r>
              <w:t>典型症状</w:t>
            </w:r>
          </w:p>
        </w:tc>
        <w:tc>
          <w:tcPr>
            <w:tcW w:w="1012" w:type="dxa"/>
            <w:tcBorders>
              <w:top w:val="single" w:color="auto" w:sz="8" w:space="0"/>
              <w:bottom w:val="single" w:color="auto" w:sz="8" w:space="0"/>
            </w:tcBorders>
            <w:vAlign w:val="center"/>
          </w:tcPr>
          <w:p w14:paraId="11A28339">
            <w:pPr>
              <w:pStyle w:val="178"/>
            </w:pPr>
            <w:r>
              <w:t>传播途径</w:t>
            </w:r>
          </w:p>
        </w:tc>
      </w:tr>
      <w:tr w14:paraId="03E78A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391" w:hRule="atLeast"/>
          <w:jc w:val="center"/>
        </w:trPr>
        <w:tc>
          <w:tcPr>
            <w:tcW w:w="993" w:type="dxa"/>
            <w:tcBorders>
              <w:top w:val="single" w:color="auto" w:sz="8" w:space="0"/>
            </w:tcBorders>
            <w:vAlign w:val="center"/>
          </w:tcPr>
          <w:p w14:paraId="35608E7C">
            <w:pPr>
              <w:pStyle w:val="178"/>
            </w:pPr>
            <w:r>
              <w:rPr>
                <w:rFonts w:hint="eastAsia"/>
              </w:rPr>
              <w:t>玉米</w:t>
            </w:r>
          </w:p>
          <w:p w14:paraId="2CC1B60B">
            <w:pPr>
              <w:pStyle w:val="178"/>
            </w:pPr>
            <w:r>
              <w:rPr>
                <w:rFonts w:hint="eastAsia"/>
              </w:rPr>
              <w:t>大斑病</w:t>
            </w:r>
          </w:p>
        </w:tc>
        <w:tc>
          <w:tcPr>
            <w:tcW w:w="1832" w:type="dxa"/>
            <w:tcBorders>
              <w:top w:val="single" w:color="auto" w:sz="8" w:space="0"/>
            </w:tcBorders>
            <w:vAlign w:val="center"/>
          </w:tcPr>
          <w:p w14:paraId="1E719E36">
            <w:pPr>
              <w:pStyle w:val="178"/>
              <w:jc w:val="left"/>
              <w:rPr>
                <w:rFonts w:hint="eastAsia"/>
              </w:rPr>
            </w:pPr>
            <w:r>
              <w:rPr>
                <w:rFonts w:hint="eastAsia" w:ascii="宋体" w:hAnsi="宋体"/>
                <w:szCs w:val="18"/>
              </w:rPr>
              <w:t>Northern corn leaf blight</w:t>
            </w:r>
          </w:p>
        </w:tc>
        <w:tc>
          <w:tcPr>
            <w:tcW w:w="1995" w:type="dxa"/>
            <w:tcBorders>
              <w:top w:val="single" w:color="auto" w:sz="4" w:space="0"/>
              <w:left w:val="single" w:color="auto" w:sz="4" w:space="0"/>
              <w:bottom w:val="single" w:color="auto" w:sz="4" w:space="0"/>
              <w:right w:val="single" w:color="auto" w:sz="4" w:space="0"/>
            </w:tcBorders>
            <w:vAlign w:val="center"/>
          </w:tcPr>
          <w:p w14:paraId="07CF4BC5">
            <w:pPr>
              <w:pStyle w:val="178"/>
              <w:adjustRightInd w:val="0"/>
              <w:snapToGrid w:val="0"/>
              <w:jc w:val="both"/>
            </w:pPr>
            <w:r>
              <w:rPr>
                <w:rFonts w:hint="eastAsia" w:ascii="宋体" w:hAnsi="宋体"/>
                <w:i/>
                <w:iCs/>
                <w:szCs w:val="18"/>
              </w:rPr>
              <w:t>Exserohilum turcicum</w:t>
            </w:r>
          </w:p>
        </w:tc>
        <w:tc>
          <w:tcPr>
            <w:tcW w:w="1418" w:type="dxa"/>
            <w:tcBorders>
              <w:top w:val="single" w:color="auto" w:sz="8" w:space="0"/>
            </w:tcBorders>
            <w:vAlign w:val="center"/>
          </w:tcPr>
          <w:p w14:paraId="369A895A">
            <w:pPr>
              <w:pStyle w:val="178"/>
              <w:jc w:val="both"/>
              <w:rPr>
                <w:rFonts w:hint="eastAsia"/>
              </w:rPr>
            </w:pPr>
            <w:r>
              <w:rPr>
                <w:rFonts w:hint="eastAsia"/>
              </w:rPr>
              <w:t>叶片，严重时侵染叶鞘、苞叶</w:t>
            </w:r>
          </w:p>
        </w:tc>
        <w:tc>
          <w:tcPr>
            <w:tcW w:w="2409" w:type="dxa"/>
            <w:tcBorders>
              <w:top w:val="single" w:color="auto" w:sz="8" w:space="0"/>
            </w:tcBorders>
            <w:vAlign w:val="center"/>
          </w:tcPr>
          <w:p w14:paraId="619411CB">
            <w:pPr>
              <w:pStyle w:val="178"/>
              <w:jc w:val="both"/>
              <w:rPr>
                <w:rFonts w:hint="eastAsia"/>
              </w:rPr>
            </w:pPr>
            <w:r>
              <w:rPr>
                <w:rFonts w:hint="eastAsia"/>
              </w:rPr>
              <w:t>叶片生梭形大斑，中央黄褐色、边缘紫褐色，湿度大时病斑产生黑色霉层，严重时叶片枯死、早衰。</w:t>
            </w:r>
          </w:p>
        </w:tc>
        <w:tc>
          <w:tcPr>
            <w:tcW w:w="1012" w:type="dxa"/>
            <w:tcBorders>
              <w:top w:val="single" w:color="auto" w:sz="8" w:space="0"/>
            </w:tcBorders>
            <w:vAlign w:val="center"/>
          </w:tcPr>
          <w:p w14:paraId="087B7942">
            <w:pPr>
              <w:pStyle w:val="178"/>
              <w:jc w:val="both"/>
            </w:pPr>
            <w:r>
              <w:rPr>
                <w:rFonts w:hint="eastAsia"/>
              </w:rPr>
              <w:t>气流传播，雨水、农事操作辅助传播。</w:t>
            </w:r>
          </w:p>
        </w:tc>
      </w:tr>
      <w:tr w14:paraId="64CE5F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7E580C0B">
            <w:pPr>
              <w:pStyle w:val="178"/>
            </w:pPr>
            <w:r>
              <w:rPr>
                <w:rFonts w:hint="eastAsia"/>
              </w:rPr>
              <w:t>玉米</w:t>
            </w:r>
          </w:p>
          <w:p w14:paraId="64BF12EA">
            <w:pPr>
              <w:pStyle w:val="178"/>
            </w:pPr>
            <w:r>
              <w:rPr>
                <w:rFonts w:hint="eastAsia"/>
              </w:rPr>
              <w:t>小斑病</w:t>
            </w:r>
          </w:p>
        </w:tc>
        <w:tc>
          <w:tcPr>
            <w:tcW w:w="1832" w:type="dxa"/>
            <w:vAlign w:val="center"/>
          </w:tcPr>
          <w:p w14:paraId="11458A94">
            <w:pPr>
              <w:pStyle w:val="178"/>
              <w:jc w:val="left"/>
            </w:pPr>
            <w:r>
              <w:rPr>
                <w:rFonts w:hint="eastAsia" w:ascii="宋体" w:hAnsi="宋体"/>
                <w:szCs w:val="18"/>
              </w:rPr>
              <w:t>Southern corn leaf blight</w:t>
            </w:r>
          </w:p>
        </w:tc>
        <w:tc>
          <w:tcPr>
            <w:tcW w:w="1995" w:type="dxa"/>
            <w:tcBorders>
              <w:top w:val="single" w:color="auto" w:sz="4" w:space="0"/>
              <w:left w:val="single" w:color="auto" w:sz="4" w:space="0"/>
              <w:bottom w:val="single" w:color="auto" w:sz="4" w:space="0"/>
              <w:right w:val="single" w:color="auto" w:sz="4" w:space="0"/>
            </w:tcBorders>
            <w:vAlign w:val="center"/>
          </w:tcPr>
          <w:p w14:paraId="33E21500">
            <w:pPr>
              <w:pStyle w:val="178"/>
              <w:adjustRightInd w:val="0"/>
              <w:snapToGrid w:val="0"/>
              <w:jc w:val="both"/>
            </w:pPr>
            <w:r>
              <w:rPr>
                <w:rFonts w:hint="eastAsia" w:ascii="宋体" w:hAnsi="宋体"/>
                <w:i/>
                <w:iCs/>
                <w:szCs w:val="18"/>
              </w:rPr>
              <w:t>Bipolaris maydis</w:t>
            </w:r>
          </w:p>
        </w:tc>
        <w:tc>
          <w:tcPr>
            <w:tcW w:w="1418" w:type="dxa"/>
            <w:vAlign w:val="center"/>
          </w:tcPr>
          <w:p w14:paraId="034C748D">
            <w:pPr>
              <w:pStyle w:val="178"/>
              <w:jc w:val="both"/>
              <w:rPr>
                <w:rFonts w:hint="eastAsia"/>
              </w:rPr>
            </w:pPr>
            <w:r>
              <w:rPr>
                <w:rFonts w:hint="eastAsia"/>
              </w:rPr>
              <w:t>叶片、叶鞘，偶尔侵染苞叶和果穗</w:t>
            </w:r>
          </w:p>
        </w:tc>
        <w:tc>
          <w:tcPr>
            <w:tcW w:w="2409" w:type="dxa"/>
            <w:vAlign w:val="center"/>
          </w:tcPr>
          <w:p w14:paraId="271FE6A4">
            <w:pPr>
              <w:pStyle w:val="178"/>
              <w:jc w:val="both"/>
            </w:pPr>
            <w:r>
              <w:t>叶片生椭圆形小斑，黄褐色至深褐色、边缘紫褐色，湿度大时病斑背面生灰黑色霉层，严重时叶片干枯。</w:t>
            </w:r>
          </w:p>
        </w:tc>
        <w:tc>
          <w:tcPr>
            <w:tcW w:w="1012" w:type="dxa"/>
            <w:vAlign w:val="center"/>
          </w:tcPr>
          <w:p w14:paraId="0DDFFBDF">
            <w:pPr>
              <w:pStyle w:val="178"/>
              <w:jc w:val="both"/>
            </w:pPr>
            <w:r>
              <w:rPr>
                <w:rFonts w:hint="eastAsia"/>
              </w:rPr>
              <w:t>气流、雨水传播，农事操作辅助传播。</w:t>
            </w:r>
          </w:p>
        </w:tc>
      </w:tr>
      <w:tr w14:paraId="1736EC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5C3CE686">
            <w:pPr>
              <w:pStyle w:val="178"/>
            </w:pPr>
            <w:r>
              <w:rPr>
                <w:rFonts w:hint="eastAsia"/>
              </w:rPr>
              <w:t>玉米锈病</w:t>
            </w:r>
          </w:p>
        </w:tc>
        <w:tc>
          <w:tcPr>
            <w:tcW w:w="1832" w:type="dxa"/>
            <w:vAlign w:val="center"/>
          </w:tcPr>
          <w:p w14:paraId="27649A58">
            <w:pPr>
              <w:pStyle w:val="178"/>
              <w:jc w:val="left"/>
            </w:pPr>
            <w:r>
              <w:rPr>
                <w:rFonts w:hint="eastAsia" w:ascii="宋体" w:hAnsi="宋体"/>
                <w:szCs w:val="18"/>
              </w:rPr>
              <w:t>Corn rust</w:t>
            </w:r>
          </w:p>
        </w:tc>
        <w:tc>
          <w:tcPr>
            <w:tcW w:w="1995" w:type="dxa"/>
            <w:tcBorders>
              <w:top w:val="single" w:color="auto" w:sz="4" w:space="0"/>
              <w:left w:val="single" w:color="auto" w:sz="4" w:space="0"/>
              <w:bottom w:val="single" w:color="auto" w:sz="4" w:space="0"/>
              <w:right w:val="single" w:color="auto" w:sz="4" w:space="0"/>
            </w:tcBorders>
            <w:vAlign w:val="center"/>
          </w:tcPr>
          <w:p w14:paraId="5981D884">
            <w:pPr>
              <w:pStyle w:val="178"/>
              <w:adjustRightInd w:val="0"/>
              <w:snapToGrid w:val="0"/>
              <w:jc w:val="both"/>
            </w:pPr>
            <w:r>
              <w:rPr>
                <w:rFonts w:hint="eastAsia" w:ascii="宋体" w:hAnsi="宋体"/>
                <w:i/>
                <w:iCs/>
                <w:szCs w:val="18"/>
              </w:rPr>
              <w:t>Puccinia polysora</w:t>
            </w:r>
            <w:r>
              <w:rPr>
                <w:rFonts w:hint="eastAsia" w:ascii="宋体" w:hAnsi="宋体"/>
                <w:szCs w:val="18"/>
              </w:rPr>
              <w:t>（南方锈病）</w:t>
            </w:r>
            <w:r>
              <w:rPr>
                <w:rFonts w:hint="eastAsia" w:ascii="宋体" w:hAnsi="宋体"/>
                <w:i/>
                <w:iCs/>
                <w:szCs w:val="18"/>
              </w:rPr>
              <w:t>、Puccinia sorghi</w:t>
            </w:r>
            <w:r>
              <w:rPr>
                <w:rFonts w:hint="eastAsia" w:ascii="宋体" w:hAnsi="宋体"/>
                <w:szCs w:val="18"/>
              </w:rPr>
              <w:t>（普通锈病）</w:t>
            </w:r>
          </w:p>
        </w:tc>
        <w:tc>
          <w:tcPr>
            <w:tcW w:w="1418" w:type="dxa"/>
            <w:vAlign w:val="center"/>
          </w:tcPr>
          <w:p w14:paraId="655C22C8">
            <w:pPr>
              <w:pStyle w:val="178"/>
              <w:jc w:val="both"/>
            </w:pPr>
            <w:r>
              <w:rPr>
                <w:rFonts w:hint="eastAsia"/>
              </w:rPr>
              <w:t>叶片、叶鞘，严重时侵染茎秆和苞叶</w:t>
            </w:r>
          </w:p>
        </w:tc>
        <w:tc>
          <w:tcPr>
            <w:tcW w:w="2409" w:type="dxa"/>
            <w:vAlign w:val="center"/>
          </w:tcPr>
          <w:p w14:paraId="1AAF42E7">
            <w:pPr>
              <w:pStyle w:val="178"/>
              <w:jc w:val="both"/>
            </w:pPr>
            <w:r>
              <w:t>叶片产生黄色或红褐色夏孢子堆，后期生黑色冬孢子堆，散出孢子粉末。</w:t>
            </w:r>
          </w:p>
        </w:tc>
        <w:tc>
          <w:tcPr>
            <w:tcW w:w="1012" w:type="dxa"/>
            <w:vAlign w:val="center"/>
          </w:tcPr>
          <w:p w14:paraId="50A64F24">
            <w:pPr>
              <w:pStyle w:val="178"/>
              <w:jc w:val="both"/>
            </w:pPr>
            <w:r>
              <w:rPr>
                <w:rFonts w:hint="eastAsia"/>
              </w:rPr>
              <w:t>气流传播为主。</w:t>
            </w:r>
          </w:p>
        </w:tc>
      </w:tr>
      <w:tr w14:paraId="297F48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7485FF9E">
            <w:pPr>
              <w:pStyle w:val="178"/>
            </w:pPr>
            <w:r>
              <w:rPr>
                <w:rFonts w:hint="eastAsia"/>
              </w:rPr>
              <w:t>玉米丝</w:t>
            </w:r>
          </w:p>
          <w:p w14:paraId="312AFEB6">
            <w:pPr>
              <w:pStyle w:val="178"/>
            </w:pPr>
            <w:r>
              <w:rPr>
                <w:rFonts w:hint="eastAsia"/>
              </w:rPr>
              <w:t>黑穗病</w:t>
            </w:r>
          </w:p>
        </w:tc>
        <w:tc>
          <w:tcPr>
            <w:tcW w:w="1832" w:type="dxa"/>
            <w:vAlign w:val="center"/>
          </w:tcPr>
          <w:p w14:paraId="597A46B6">
            <w:pPr>
              <w:pStyle w:val="178"/>
              <w:jc w:val="left"/>
            </w:pPr>
            <w:r>
              <w:rPr>
                <w:rFonts w:hint="eastAsia" w:ascii="宋体" w:hAnsi="宋体"/>
                <w:szCs w:val="18"/>
              </w:rPr>
              <w:t>Maize head smut</w:t>
            </w:r>
          </w:p>
        </w:tc>
        <w:tc>
          <w:tcPr>
            <w:tcW w:w="1995" w:type="dxa"/>
            <w:tcBorders>
              <w:top w:val="single" w:color="auto" w:sz="4" w:space="0"/>
              <w:left w:val="single" w:color="auto" w:sz="4" w:space="0"/>
              <w:bottom w:val="single" w:color="auto" w:sz="4" w:space="0"/>
              <w:right w:val="single" w:color="auto" w:sz="4" w:space="0"/>
            </w:tcBorders>
            <w:vAlign w:val="center"/>
          </w:tcPr>
          <w:p w14:paraId="42F78F9B">
            <w:pPr>
              <w:pStyle w:val="178"/>
              <w:adjustRightInd w:val="0"/>
              <w:snapToGrid w:val="0"/>
              <w:jc w:val="both"/>
            </w:pPr>
            <w:r>
              <w:rPr>
                <w:rFonts w:hint="eastAsia" w:ascii="宋体" w:hAnsi="宋体"/>
                <w:i/>
                <w:iCs/>
                <w:szCs w:val="18"/>
              </w:rPr>
              <w:t>Sphacelotheca reiliana</w:t>
            </w:r>
          </w:p>
        </w:tc>
        <w:tc>
          <w:tcPr>
            <w:tcW w:w="1418" w:type="dxa"/>
            <w:vAlign w:val="center"/>
          </w:tcPr>
          <w:p w14:paraId="2E4CFED5">
            <w:pPr>
              <w:pStyle w:val="178"/>
              <w:jc w:val="both"/>
              <w:rPr>
                <w:rFonts w:hint="eastAsia"/>
              </w:rPr>
            </w:pPr>
            <w:r>
              <w:rPr>
                <w:rFonts w:hint="eastAsia"/>
              </w:rPr>
              <w:t>雌穗、雄穗，偶尔侵染茎秆</w:t>
            </w:r>
          </w:p>
        </w:tc>
        <w:tc>
          <w:tcPr>
            <w:tcW w:w="2409" w:type="dxa"/>
            <w:vAlign w:val="center"/>
          </w:tcPr>
          <w:p w14:paraId="5AD8FCD5">
            <w:pPr>
              <w:pStyle w:val="178"/>
              <w:jc w:val="both"/>
            </w:pPr>
            <w:r>
              <w:t>雄穗肿大、花器变形，雌穗变短、苞叶张开，均产生黑色黑粉和丝状物。</w:t>
            </w:r>
          </w:p>
        </w:tc>
        <w:tc>
          <w:tcPr>
            <w:tcW w:w="1012" w:type="dxa"/>
            <w:vAlign w:val="center"/>
          </w:tcPr>
          <w:p w14:paraId="51684DD8">
            <w:pPr>
              <w:pStyle w:val="178"/>
              <w:jc w:val="both"/>
            </w:pPr>
            <w:r>
              <w:rPr>
                <w:rFonts w:hint="eastAsia"/>
              </w:rPr>
              <w:t>土壤、种子、粪肥传播。</w:t>
            </w:r>
          </w:p>
        </w:tc>
      </w:tr>
      <w:tr w14:paraId="6150B3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5543C344">
            <w:pPr>
              <w:pStyle w:val="178"/>
            </w:pPr>
            <w:r>
              <w:rPr>
                <w:rFonts w:hint="eastAsia"/>
              </w:rPr>
              <w:t>玉米瘤</w:t>
            </w:r>
          </w:p>
          <w:p w14:paraId="131A0CC4">
            <w:pPr>
              <w:pStyle w:val="178"/>
            </w:pPr>
            <w:r>
              <w:rPr>
                <w:rFonts w:hint="eastAsia"/>
              </w:rPr>
              <w:t>黑粉病</w:t>
            </w:r>
          </w:p>
        </w:tc>
        <w:tc>
          <w:tcPr>
            <w:tcW w:w="1832" w:type="dxa"/>
            <w:vAlign w:val="center"/>
          </w:tcPr>
          <w:p w14:paraId="69687891">
            <w:pPr>
              <w:pStyle w:val="178"/>
              <w:jc w:val="left"/>
            </w:pPr>
            <w:r>
              <w:rPr>
                <w:rFonts w:hint="eastAsia" w:ascii="宋体" w:hAnsi="宋体"/>
                <w:szCs w:val="18"/>
              </w:rPr>
              <w:t>Maize common smut</w:t>
            </w:r>
          </w:p>
        </w:tc>
        <w:tc>
          <w:tcPr>
            <w:tcW w:w="1995" w:type="dxa"/>
            <w:tcBorders>
              <w:top w:val="single" w:color="auto" w:sz="4" w:space="0"/>
              <w:left w:val="single" w:color="auto" w:sz="4" w:space="0"/>
              <w:bottom w:val="single" w:color="auto" w:sz="4" w:space="0"/>
              <w:right w:val="single" w:color="auto" w:sz="4" w:space="0"/>
            </w:tcBorders>
            <w:vAlign w:val="center"/>
          </w:tcPr>
          <w:p w14:paraId="67E649CF">
            <w:pPr>
              <w:pStyle w:val="178"/>
              <w:adjustRightInd w:val="0"/>
              <w:snapToGrid w:val="0"/>
              <w:jc w:val="both"/>
            </w:pPr>
            <w:r>
              <w:rPr>
                <w:rFonts w:hint="eastAsia" w:ascii="宋体" w:hAnsi="宋体"/>
                <w:i/>
                <w:iCs/>
                <w:szCs w:val="18"/>
              </w:rPr>
              <w:t>Ustilago maydis</w:t>
            </w:r>
          </w:p>
        </w:tc>
        <w:tc>
          <w:tcPr>
            <w:tcW w:w="1418" w:type="dxa"/>
            <w:vAlign w:val="center"/>
          </w:tcPr>
          <w:p w14:paraId="08AA8310">
            <w:pPr>
              <w:pStyle w:val="178"/>
              <w:jc w:val="both"/>
              <w:rPr>
                <w:rFonts w:hint="eastAsia"/>
              </w:rPr>
            </w:pPr>
            <w:r>
              <w:rPr>
                <w:rFonts w:hint="eastAsia"/>
              </w:rPr>
              <w:t>茎、叶、穗、雄花、苞叶等所有地上幼嫩部位</w:t>
            </w:r>
          </w:p>
        </w:tc>
        <w:tc>
          <w:tcPr>
            <w:tcW w:w="2409" w:type="dxa"/>
            <w:vAlign w:val="center"/>
          </w:tcPr>
          <w:p w14:paraId="1072AFC4">
            <w:pPr>
              <w:pStyle w:val="178"/>
              <w:jc w:val="both"/>
            </w:pPr>
            <w:r>
              <w:t>发病部位形成肿瘤状突起，初期白色，后期开裂散出黑色冬孢子。</w:t>
            </w:r>
          </w:p>
        </w:tc>
        <w:tc>
          <w:tcPr>
            <w:tcW w:w="1012" w:type="dxa"/>
            <w:vAlign w:val="center"/>
          </w:tcPr>
          <w:p w14:paraId="1ACDB976">
            <w:pPr>
              <w:pStyle w:val="178"/>
              <w:jc w:val="both"/>
            </w:pPr>
            <w:r>
              <w:rPr>
                <w:rFonts w:hint="eastAsia"/>
              </w:rPr>
              <w:t>气流、雨水、农事操作传播。</w:t>
            </w:r>
          </w:p>
        </w:tc>
      </w:tr>
      <w:tr w14:paraId="750295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1E5B7E84">
            <w:pPr>
              <w:pStyle w:val="178"/>
            </w:pPr>
            <w:r>
              <w:rPr>
                <w:rFonts w:hint="eastAsia"/>
              </w:rPr>
              <w:t>玉米</w:t>
            </w:r>
          </w:p>
          <w:p w14:paraId="700C4BA0">
            <w:pPr>
              <w:pStyle w:val="178"/>
            </w:pPr>
            <w:r>
              <w:rPr>
                <w:rFonts w:hint="eastAsia"/>
              </w:rPr>
              <w:t>褐斑病</w:t>
            </w:r>
          </w:p>
        </w:tc>
        <w:tc>
          <w:tcPr>
            <w:tcW w:w="1832" w:type="dxa"/>
            <w:vAlign w:val="center"/>
          </w:tcPr>
          <w:p w14:paraId="22BE1D88">
            <w:pPr>
              <w:pStyle w:val="178"/>
              <w:jc w:val="left"/>
            </w:pPr>
            <w:r>
              <w:rPr>
                <w:rFonts w:hint="eastAsia" w:ascii="宋体" w:hAnsi="宋体"/>
                <w:szCs w:val="18"/>
              </w:rPr>
              <w:t>Maize Physoderma brown spot</w:t>
            </w:r>
          </w:p>
        </w:tc>
        <w:tc>
          <w:tcPr>
            <w:tcW w:w="1995" w:type="dxa"/>
            <w:tcBorders>
              <w:top w:val="single" w:color="auto" w:sz="4" w:space="0"/>
              <w:left w:val="single" w:color="auto" w:sz="4" w:space="0"/>
              <w:bottom w:val="single" w:color="auto" w:sz="4" w:space="0"/>
              <w:right w:val="single" w:color="auto" w:sz="4" w:space="0"/>
            </w:tcBorders>
            <w:vAlign w:val="center"/>
          </w:tcPr>
          <w:p w14:paraId="727FAD2A">
            <w:pPr>
              <w:pStyle w:val="178"/>
              <w:adjustRightInd w:val="0"/>
              <w:snapToGrid w:val="0"/>
              <w:jc w:val="both"/>
            </w:pPr>
            <w:r>
              <w:rPr>
                <w:rFonts w:hint="eastAsia" w:ascii="宋体" w:hAnsi="宋体"/>
                <w:i/>
                <w:iCs/>
                <w:szCs w:val="18"/>
              </w:rPr>
              <w:t>Physoderma maydis</w:t>
            </w:r>
          </w:p>
        </w:tc>
        <w:tc>
          <w:tcPr>
            <w:tcW w:w="1418" w:type="dxa"/>
            <w:vAlign w:val="center"/>
          </w:tcPr>
          <w:p w14:paraId="27231E65">
            <w:pPr>
              <w:pStyle w:val="178"/>
              <w:jc w:val="both"/>
              <w:rPr>
                <w:rFonts w:hint="eastAsia"/>
              </w:rPr>
            </w:pPr>
            <w:r>
              <w:rPr>
                <w:rFonts w:hint="eastAsia"/>
              </w:rPr>
              <w:t>叶片、叶鞘、茎秆，以中下部叶片和叶鞘为主</w:t>
            </w:r>
          </w:p>
        </w:tc>
        <w:tc>
          <w:tcPr>
            <w:tcW w:w="2409" w:type="dxa"/>
            <w:vAlign w:val="center"/>
          </w:tcPr>
          <w:p w14:paraId="0951BF2B">
            <w:pPr>
              <w:pStyle w:val="178"/>
              <w:jc w:val="both"/>
            </w:pPr>
            <w:r>
              <w:t>叶片生褐色小斑，周围有黄色晕圈，叶鞘、茎秆病斑较大，严重时叶片干枯。</w:t>
            </w:r>
          </w:p>
        </w:tc>
        <w:tc>
          <w:tcPr>
            <w:tcW w:w="1012" w:type="dxa"/>
            <w:vAlign w:val="center"/>
          </w:tcPr>
          <w:p w14:paraId="201F8A1F">
            <w:pPr>
              <w:pStyle w:val="178"/>
              <w:jc w:val="both"/>
            </w:pPr>
            <w:r>
              <w:rPr>
                <w:rFonts w:hint="eastAsia"/>
              </w:rPr>
              <w:t>雨水、土壤传播。</w:t>
            </w:r>
          </w:p>
        </w:tc>
      </w:tr>
      <w:tr w14:paraId="2CD288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6E42381F">
            <w:pPr>
              <w:pStyle w:val="178"/>
            </w:pPr>
            <w:r>
              <w:rPr>
                <w:rFonts w:hint="eastAsia"/>
              </w:rPr>
              <w:t>玉米</w:t>
            </w:r>
          </w:p>
          <w:p w14:paraId="7F25088C">
            <w:pPr>
              <w:pStyle w:val="178"/>
            </w:pPr>
            <w:r>
              <w:rPr>
                <w:rFonts w:hint="eastAsia"/>
              </w:rPr>
              <w:t>灰斑病</w:t>
            </w:r>
          </w:p>
        </w:tc>
        <w:tc>
          <w:tcPr>
            <w:tcW w:w="1832" w:type="dxa"/>
            <w:vAlign w:val="center"/>
          </w:tcPr>
          <w:p w14:paraId="4AC5E190">
            <w:pPr>
              <w:pStyle w:val="178"/>
              <w:jc w:val="left"/>
            </w:pPr>
            <w:r>
              <w:rPr>
                <w:rFonts w:hint="eastAsia" w:ascii="宋体" w:hAnsi="宋体"/>
                <w:szCs w:val="18"/>
              </w:rPr>
              <w:t>Corn gray leaf spot</w:t>
            </w:r>
          </w:p>
        </w:tc>
        <w:tc>
          <w:tcPr>
            <w:tcW w:w="1995" w:type="dxa"/>
            <w:vAlign w:val="center"/>
          </w:tcPr>
          <w:p w14:paraId="246B3126">
            <w:pPr>
              <w:pStyle w:val="178"/>
              <w:jc w:val="both"/>
            </w:pPr>
            <w:r>
              <w:rPr>
                <w:rFonts w:hint="eastAsia" w:ascii="宋体" w:hAnsi="宋体" w:cs="宋体"/>
                <w:i/>
                <w:iCs/>
                <w:szCs w:val="18"/>
              </w:rPr>
              <w:t>Cercospora zeae-maydis</w:t>
            </w:r>
          </w:p>
        </w:tc>
        <w:tc>
          <w:tcPr>
            <w:tcW w:w="1418" w:type="dxa"/>
            <w:vAlign w:val="center"/>
          </w:tcPr>
          <w:p w14:paraId="3F493E7E">
            <w:pPr>
              <w:pStyle w:val="178"/>
              <w:jc w:val="both"/>
              <w:rPr>
                <w:rFonts w:hint="eastAsia"/>
              </w:rPr>
            </w:pPr>
            <w:r>
              <w:rPr>
                <w:rFonts w:hint="eastAsia"/>
              </w:rPr>
              <w:t>叶片，严重时侵染叶鞘和苞叶</w:t>
            </w:r>
          </w:p>
        </w:tc>
        <w:tc>
          <w:tcPr>
            <w:tcW w:w="2409" w:type="dxa"/>
            <w:vAlign w:val="center"/>
          </w:tcPr>
          <w:p w14:paraId="77EF50BF">
            <w:pPr>
              <w:pStyle w:val="178"/>
              <w:jc w:val="both"/>
            </w:pPr>
            <w:r>
              <w:t>叶片生浅灰色至灰褐色长椭圆形病斑，湿度大时背面生灰色霉层，严重时叶片脱落。</w:t>
            </w:r>
          </w:p>
        </w:tc>
        <w:tc>
          <w:tcPr>
            <w:tcW w:w="1012" w:type="dxa"/>
            <w:vAlign w:val="center"/>
          </w:tcPr>
          <w:p w14:paraId="32F99B96">
            <w:pPr>
              <w:pStyle w:val="178"/>
              <w:jc w:val="both"/>
            </w:pPr>
            <w:r>
              <w:rPr>
                <w:rFonts w:hint="eastAsia"/>
              </w:rPr>
              <w:t>气流、雨水传播。</w:t>
            </w:r>
          </w:p>
        </w:tc>
      </w:tr>
      <w:tr w14:paraId="14D4EE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768E171E">
            <w:pPr>
              <w:pStyle w:val="178"/>
            </w:pPr>
            <w:r>
              <w:rPr>
                <w:rFonts w:hint="eastAsia"/>
              </w:rPr>
              <w:t>玉米</w:t>
            </w:r>
          </w:p>
          <w:p w14:paraId="23BA74A1">
            <w:pPr>
              <w:pStyle w:val="178"/>
            </w:pPr>
            <w:r>
              <w:rPr>
                <w:rFonts w:hint="eastAsia"/>
              </w:rPr>
              <w:t>茎腐病</w:t>
            </w:r>
          </w:p>
        </w:tc>
        <w:tc>
          <w:tcPr>
            <w:tcW w:w="1832" w:type="dxa"/>
            <w:vAlign w:val="center"/>
          </w:tcPr>
          <w:p w14:paraId="4318FB69">
            <w:pPr>
              <w:pStyle w:val="178"/>
              <w:jc w:val="left"/>
            </w:pPr>
            <w:r>
              <w:rPr>
                <w:rFonts w:hint="eastAsia" w:ascii="宋体" w:hAnsi="宋体"/>
                <w:szCs w:val="18"/>
              </w:rPr>
              <w:t>Maize stem base rot</w:t>
            </w:r>
          </w:p>
        </w:tc>
        <w:tc>
          <w:tcPr>
            <w:tcW w:w="1995" w:type="dxa"/>
            <w:tcBorders>
              <w:top w:val="single" w:color="auto" w:sz="4" w:space="0"/>
              <w:left w:val="single" w:color="auto" w:sz="4" w:space="0"/>
              <w:bottom w:val="single" w:color="auto" w:sz="4" w:space="0"/>
              <w:right w:val="single" w:color="auto" w:sz="4" w:space="0"/>
            </w:tcBorders>
            <w:vAlign w:val="center"/>
          </w:tcPr>
          <w:p w14:paraId="3071CA74">
            <w:pPr>
              <w:pStyle w:val="178"/>
              <w:adjustRightInd w:val="0"/>
              <w:snapToGrid w:val="0"/>
              <w:jc w:val="both"/>
            </w:pPr>
            <w:r>
              <w:rPr>
                <w:rFonts w:hint="eastAsia" w:ascii="宋体" w:hAnsi="宋体"/>
                <w:i/>
                <w:iCs/>
                <w:szCs w:val="18"/>
              </w:rPr>
              <w:t>Fusarium subglutinans</w:t>
            </w:r>
          </w:p>
        </w:tc>
        <w:tc>
          <w:tcPr>
            <w:tcW w:w="1418" w:type="dxa"/>
            <w:vAlign w:val="center"/>
          </w:tcPr>
          <w:p w14:paraId="18709FC8">
            <w:pPr>
              <w:pStyle w:val="178"/>
              <w:jc w:val="both"/>
              <w:rPr>
                <w:rFonts w:hint="eastAsia"/>
              </w:rPr>
            </w:pPr>
            <w:r>
              <w:rPr>
                <w:rFonts w:hint="eastAsia"/>
              </w:rPr>
              <w:t>茎基部、茎秆，苗期至成株期均可发病</w:t>
            </w:r>
          </w:p>
        </w:tc>
        <w:tc>
          <w:tcPr>
            <w:tcW w:w="2409" w:type="dxa"/>
            <w:vAlign w:val="center"/>
          </w:tcPr>
          <w:p w14:paraId="33AE74C1">
            <w:pPr>
              <w:pStyle w:val="178"/>
              <w:jc w:val="both"/>
            </w:pPr>
            <w:r>
              <w:t>苗期猝倒，成株期茎基部或根部腐烂、茎秆中空，植株倒伏枯死，病部生菌丝或黏液。</w:t>
            </w:r>
          </w:p>
        </w:tc>
        <w:tc>
          <w:tcPr>
            <w:tcW w:w="1012" w:type="dxa"/>
            <w:vAlign w:val="center"/>
          </w:tcPr>
          <w:p w14:paraId="46C1D353">
            <w:pPr>
              <w:pStyle w:val="178"/>
              <w:jc w:val="both"/>
            </w:pPr>
            <w:r>
              <w:rPr>
                <w:rFonts w:hint="eastAsia"/>
              </w:rPr>
              <w:t>土壤、雨水、种子传播。</w:t>
            </w:r>
          </w:p>
        </w:tc>
      </w:tr>
      <w:tr w14:paraId="2FA1B0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12191F98">
            <w:pPr>
              <w:pStyle w:val="178"/>
            </w:pPr>
            <w:r>
              <w:rPr>
                <w:rFonts w:hint="eastAsia"/>
              </w:rPr>
              <w:t>玉米</w:t>
            </w:r>
          </w:p>
          <w:p w14:paraId="47C97679">
            <w:pPr>
              <w:pStyle w:val="178"/>
            </w:pPr>
            <w:r>
              <w:rPr>
                <w:rFonts w:hint="eastAsia"/>
              </w:rPr>
              <w:t>顶腐病</w:t>
            </w:r>
          </w:p>
        </w:tc>
        <w:tc>
          <w:tcPr>
            <w:tcW w:w="1832" w:type="dxa"/>
            <w:vAlign w:val="center"/>
          </w:tcPr>
          <w:p w14:paraId="16D2D022">
            <w:pPr>
              <w:pStyle w:val="178"/>
              <w:jc w:val="left"/>
            </w:pPr>
            <w:r>
              <w:rPr>
                <w:rFonts w:hint="eastAsia" w:ascii="宋体" w:hAnsi="宋体"/>
                <w:szCs w:val="18"/>
              </w:rPr>
              <w:t>Maize top rot</w:t>
            </w:r>
          </w:p>
        </w:tc>
        <w:tc>
          <w:tcPr>
            <w:tcW w:w="1995" w:type="dxa"/>
            <w:tcBorders>
              <w:top w:val="single" w:color="auto" w:sz="4" w:space="0"/>
              <w:left w:val="single" w:color="auto" w:sz="4" w:space="0"/>
              <w:bottom w:val="single" w:color="auto" w:sz="4" w:space="0"/>
              <w:right w:val="single" w:color="auto" w:sz="4" w:space="0"/>
            </w:tcBorders>
            <w:vAlign w:val="center"/>
          </w:tcPr>
          <w:p w14:paraId="05B4966C">
            <w:pPr>
              <w:snapToGrid w:val="0"/>
              <w:spacing w:line="240" w:lineRule="auto"/>
              <w:rPr>
                <w:rFonts w:hint="eastAsia" w:ascii="宋体" w:hAnsi="宋体"/>
                <w:i/>
                <w:iCs/>
                <w:sz w:val="18"/>
                <w:szCs w:val="18"/>
              </w:rPr>
            </w:pPr>
            <w:r>
              <w:rPr>
                <w:rFonts w:hint="eastAsia" w:ascii="宋体" w:hAnsi="宋体"/>
                <w:i/>
                <w:iCs/>
                <w:sz w:val="18"/>
                <w:szCs w:val="18"/>
              </w:rPr>
              <w:t>Fusarium verticillioides</w:t>
            </w:r>
            <w:r>
              <w:rPr>
                <w:rFonts w:hint="eastAsia" w:ascii="宋体" w:hAnsi="宋体"/>
                <w:sz w:val="18"/>
                <w:szCs w:val="18"/>
              </w:rPr>
              <w:t>（镰刀菌穗腐）</w:t>
            </w:r>
            <w:r>
              <w:rPr>
                <w:rFonts w:hint="eastAsia" w:ascii="宋体" w:hAnsi="宋体"/>
                <w:i/>
                <w:iCs/>
                <w:sz w:val="18"/>
                <w:szCs w:val="18"/>
              </w:rPr>
              <w:t>、Aspergillus flavus</w:t>
            </w:r>
          </w:p>
          <w:p w14:paraId="7BFB57F1">
            <w:pPr>
              <w:snapToGrid w:val="0"/>
              <w:spacing w:line="240" w:lineRule="auto"/>
              <w:rPr>
                <w:rFonts w:hint="eastAsia" w:ascii="宋体" w:hAnsi="宋体"/>
                <w:i/>
                <w:iCs/>
                <w:sz w:val="18"/>
                <w:szCs w:val="18"/>
              </w:rPr>
            </w:pPr>
            <w:r>
              <w:rPr>
                <w:rFonts w:hint="eastAsia" w:ascii="宋体" w:hAnsi="宋体"/>
                <w:sz w:val="18"/>
                <w:szCs w:val="18"/>
              </w:rPr>
              <w:t>（黄曲霉穗腐）</w:t>
            </w:r>
            <w:r>
              <w:rPr>
                <w:rFonts w:hint="eastAsia" w:ascii="宋体" w:hAnsi="宋体"/>
                <w:i/>
                <w:iCs/>
                <w:sz w:val="18"/>
                <w:szCs w:val="18"/>
              </w:rPr>
              <w:t>、Penicillium spp.</w:t>
            </w:r>
          </w:p>
          <w:p w14:paraId="30876977">
            <w:pPr>
              <w:pStyle w:val="178"/>
              <w:adjustRightInd w:val="0"/>
              <w:snapToGrid w:val="0"/>
              <w:jc w:val="both"/>
            </w:pPr>
            <w:r>
              <w:rPr>
                <w:rFonts w:hint="eastAsia" w:ascii="宋体" w:hAnsi="宋体"/>
                <w:szCs w:val="18"/>
              </w:rPr>
              <w:t>（青霉菌穗腐）</w:t>
            </w:r>
          </w:p>
        </w:tc>
        <w:tc>
          <w:tcPr>
            <w:tcW w:w="1418" w:type="dxa"/>
            <w:vAlign w:val="center"/>
          </w:tcPr>
          <w:p w14:paraId="55E5CE26">
            <w:pPr>
              <w:pStyle w:val="178"/>
              <w:jc w:val="both"/>
              <w:rPr>
                <w:rFonts w:hint="eastAsia"/>
              </w:rPr>
            </w:pPr>
            <w:r>
              <w:rPr>
                <w:rFonts w:hint="eastAsia"/>
              </w:rPr>
              <w:t>茎顶端、心叶、幼穗，主要危害玉米抽雄前的顶端生长点</w:t>
            </w:r>
          </w:p>
        </w:tc>
        <w:tc>
          <w:tcPr>
            <w:tcW w:w="2409" w:type="dxa"/>
            <w:vAlign w:val="center"/>
          </w:tcPr>
          <w:p w14:paraId="6C22726D">
            <w:pPr>
              <w:pStyle w:val="178"/>
              <w:jc w:val="both"/>
            </w:pPr>
            <w:r>
              <w:t>心叶卷曲腐烂、顶端茎秆坏死，病部生霉层或菌脓，病株矮化畸形。</w:t>
            </w:r>
          </w:p>
        </w:tc>
        <w:tc>
          <w:tcPr>
            <w:tcW w:w="1012" w:type="dxa"/>
            <w:vAlign w:val="center"/>
          </w:tcPr>
          <w:p w14:paraId="008CABA6">
            <w:pPr>
              <w:pStyle w:val="178"/>
              <w:jc w:val="both"/>
            </w:pPr>
            <w:r>
              <w:rPr>
                <w:rFonts w:hint="eastAsia"/>
              </w:rPr>
              <w:t>气流、雨水、农事操作传播。</w:t>
            </w:r>
          </w:p>
        </w:tc>
      </w:tr>
      <w:tr w14:paraId="72CCC8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391" w:hRule="atLeast"/>
          <w:jc w:val="center"/>
        </w:trPr>
        <w:tc>
          <w:tcPr>
            <w:tcW w:w="993" w:type="dxa"/>
            <w:vAlign w:val="center"/>
          </w:tcPr>
          <w:p w14:paraId="436DE5BA">
            <w:pPr>
              <w:pStyle w:val="178"/>
            </w:pPr>
            <w:r>
              <w:rPr>
                <w:rFonts w:hint="eastAsia"/>
              </w:rPr>
              <w:t>玉米</w:t>
            </w:r>
          </w:p>
          <w:p w14:paraId="68ECF8FC">
            <w:pPr>
              <w:pStyle w:val="178"/>
            </w:pPr>
            <w:r>
              <w:rPr>
                <w:rFonts w:hint="eastAsia"/>
              </w:rPr>
              <w:t>穗腐病</w:t>
            </w:r>
          </w:p>
        </w:tc>
        <w:tc>
          <w:tcPr>
            <w:tcW w:w="1832" w:type="dxa"/>
            <w:vAlign w:val="center"/>
          </w:tcPr>
          <w:p w14:paraId="6618BB57">
            <w:pPr>
              <w:pStyle w:val="178"/>
              <w:jc w:val="left"/>
            </w:pPr>
            <w:r>
              <w:rPr>
                <w:rFonts w:hint="eastAsia" w:ascii="宋体" w:hAnsi="宋体"/>
                <w:szCs w:val="18"/>
              </w:rPr>
              <w:t>Corn ear rot</w:t>
            </w:r>
          </w:p>
        </w:tc>
        <w:tc>
          <w:tcPr>
            <w:tcW w:w="1995" w:type="dxa"/>
            <w:tcBorders>
              <w:top w:val="single" w:color="auto" w:sz="4" w:space="0"/>
              <w:left w:val="single" w:color="auto" w:sz="4" w:space="0"/>
              <w:bottom w:val="single" w:color="auto" w:sz="4" w:space="0"/>
              <w:right w:val="single" w:color="auto" w:sz="4" w:space="0"/>
            </w:tcBorders>
            <w:vAlign w:val="center"/>
          </w:tcPr>
          <w:p w14:paraId="5DD7EE64">
            <w:pPr>
              <w:pStyle w:val="178"/>
              <w:adjustRightInd w:val="0"/>
              <w:snapToGrid w:val="0"/>
              <w:jc w:val="both"/>
            </w:pPr>
            <w:r>
              <w:rPr>
                <w:rFonts w:hint="eastAsia" w:ascii="宋体" w:hAnsi="宋体"/>
                <w:i/>
                <w:iCs/>
                <w:szCs w:val="18"/>
              </w:rPr>
              <w:t>Fusarium proliferatum</w:t>
            </w:r>
          </w:p>
        </w:tc>
        <w:tc>
          <w:tcPr>
            <w:tcW w:w="1418" w:type="dxa"/>
            <w:vAlign w:val="center"/>
          </w:tcPr>
          <w:p w14:paraId="3FE160D9">
            <w:pPr>
              <w:pStyle w:val="178"/>
              <w:jc w:val="both"/>
              <w:rPr>
                <w:rFonts w:hint="eastAsia"/>
              </w:rPr>
            </w:pPr>
            <w:r>
              <w:rPr>
                <w:rFonts w:hint="eastAsia"/>
              </w:rPr>
              <w:t>果穗、籽粒，从果穗顶端或基部开始侵染</w:t>
            </w:r>
          </w:p>
        </w:tc>
        <w:tc>
          <w:tcPr>
            <w:tcW w:w="2409" w:type="dxa"/>
            <w:vAlign w:val="center"/>
          </w:tcPr>
          <w:p w14:paraId="444D3B99">
            <w:pPr>
              <w:pStyle w:val="178"/>
              <w:jc w:val="both"/>
            </w:pPr>
            <w:r>
              <w:t>果穗腐烂、籽粒变色发霉，生对应颜色霉层，严重时整穗腐烂脱落。</w:t>
            </w:r>
          </w:p>
        </w:tc>
        <w:tc>
          <w:tcPr>
            <w:tcW w:w="1012" w:type="dxa"/>
            <w:vAlign w:val="center"/>
          </w:tcPr>
          <w:p w14:paraId="61F44375">
            <w:pPr>
              <w:pStyle w:val="178"/>
              <w:jc w:val="both"/>
            </w:pPr>
            <w:r>
              <w:rPr>
                <w:rFonts w:hint="eastAsia"/>
              </w:rPr>
              <w:t>气流、雨水、昆虫传播。</w:t>
            </w:r>
          </w:p>
        </w:tc>
      </w:tr>
      <w:tr w14:paraId="5BEBDB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0304F95C">
            <w:pPr>
              <w:pStyle w:val="178"/>
            </w:pPr>
            <w:r>
              <w:rPr>
                <w:rFonts w:hint="eastAsia"/>
              </w:rPr>
              <w:t>玉米</w:t>
            </w:r>
          </w:p>
          <w:p w14:paraId="3530FCA6">
            <w:pPr>
              <w:pStyle w:val="178"/>
            </w:pPr>
            <w:r>
              <w:rPr>
                <w:rFonts w:hint="eastAsia"/>
              </w:rPr>
              <w:t>鞘腐病</w:t>
            </w:r>
          </w:p>
        </w:tc>
        <w:tc>
          <w:tcPr>
            <w:tcW w:w="1832" w:type="dxa"/>
            <w:vAlign w:val="center"/>
          </w:tcPr>
          <w:p w14:paraId="33592F11">
            <w:pPr>
              <w:pStyle w:val="178"/>
              <w:jc w:val="left"/>
            </w:pPr>
            <w:r>
              <w:rPr>
                <w:rFonts w:hint="eastAsia" w:ascii="宋体" w:hAnsi="宋体"/>
                <w:szCs w:val="18"/>
              </w:rPr>
              <w:t>Maize sheath rot</w:t>
            </w:r>
          </w:p>
        </w:tc>
        <w:tc>
          <w:tcPr>
            <w:tcW w:w="1995" w:type="dxa"/>
            <w:tcBorders>
              <w:top w:val="single" w:color="auto" w:sz="4" w:space="0"/>
              <w:left w:val="single" w:color="auto" w:sz="4" w:space="0"/>
              <w:bottom w:val="single" w:color="auto" w:sz="4" w:space="0"/>
              <w:right w:val="single" w:color="auto" w:sz="4" w:space="0"/>
            </w:tcBorders>
            <w:vAlign w:val="center"/>
          </w:tcPr>
          <w:p w14:paraId="7F6F72F1">
            <w:pPr>
              <w:pStyle w:val="178"/>
              <w:adjustRightInd w:val="0"/>
              <w:snapToGrid w:val="0"/>
              <w:jc w:val="both"/>
            </w:pPr>
            <w:r>
              <w:rPr>
                <w:rFonts w:hint="eastAsia" w:ascii="宋体" w:hAnsi="宋体"/>
                <w:i/>
                <w:iCs/>
                <w:szCs w:val="18"/>
              </w:rPr>
              <w:t>Sclerophthora macrospora</w:t>
            </w:r>
          </w:p>
        </w:tc>
        <w:tc>
          <w:tcPr>
            <w:tcW w:w="1418" w:type="dxa"/>
            <w:vAlign w:val="center"/>
          </w:tcPr>
          <w:p w14:paraId="71998A99">
            <w:pPr>
              <w:pStyle w:val="178"/>
              <w:jc w:val="both"/>
              <w:rPr>
                <w:rFonts w:hint="eastAsia"/>
              </w:rPr>
            </w:pPr>
            <w:r>
              <w:rPr>
                <w:rFonts w:hint="eastAsia"/>
              </w:rPr>
              <w:t>叶鞘、茎秆，主要危害玉米中下部叶鞘</w:t>
            </w:r>
          </w:p>
        </w:tc>
        <w:tc>
          <w:tcPr>
            <w:tcW w:w="2409" w:type="dxa"/>
            <w:vAlign w:val="center"/>
          </w:tcPr>
          <w:p w14:paraId="2A6703F3">
            <w:pPr>
              <w:pStyle w:val="178"/>
              <w:jc w:val="both"/>
            </w:pPr>
            <w:r>
              <w:t>叶鞘生褐色不规则病斑，后期生黑色小颗粒，严重时叶鞘腐烂、植株倒伏。</w:t>
            </w:r>
          </w:p>
        </w:tc>
        <w:tc>
          <w:tcPr>
            <w:tcW w:w="1012" w:type="dxa"/>
            <w:vAlign w:val="center"/>
          </w:tcPr>
          <w:p w14:paraId="4D0F3833">
            <w:pPr>
              <w:pStyle w:val="178"/>
              <w:jc w:val="both"/>
            </w:pPr>
            <w:r>
              <w:rPr>
                <w:rFonts w:hint="eastAsia"/>
              </w:rPr>
              <w:t>土壤、气流传播。</w:t>
            </w:r>
          </w:p>
        </w:tc>
      </w:tr>
      <w:tr w14:paraId="446C42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vAlign w:val="center"/>
          </w:tcPr>
          <w:p w14:paraId="1B838C92">
            <w:pPr>
              <w:pStyle w:val="178"/>
            </w:pPr>
            <w:r>
              <w:rPr>
                <w:rFonts w:hint="eastAsia"/>
              </w:rPr>
              <w:t>玉米</w:t>
            </w:r>
          </w:p>
          <w:p w14:paraId="025D7C62">
            <w:pPr>
              <w:pStyle w:val="178"/>
            </w:pPr>
            <w:r>
              <w:rPr>
                <w:rFonts w:hint="eastAsia"/>
              </w:rPr>
              <w:t>疯顶病</w:t>
            </w:r>
          </w:p>
        </w:tc>
        <w:tc>
          <w:tcPr>
            <w:tcW w:w="1832" w:type="dxa"/>
            <w:vAlign w:val="center"/>
          </w:tcPr>
          <w:p w14:paraId="577974B2">
            <w:pPr>
              <w:pStyle w:val="178"/>
              <w:jc w:val="left"/>
            </w:pPr>
            <w:r>
              <w:rPr>
                <w:rFonts w:hint="eastAsia" w:ascii="宋体" w:hAnsi="宋体"/>
                <w:szCs w:val="18"/>
              </w:rPr>
              <w:t>Maize crazy top downy mildew</w:t>
            </w:r>
          </w:p>
        </w:tc>
        <w:tc>
          <w:tcPr>
            <w:tcW w:w="1995" w:type="dxa"/>
            <w:tcBorders>
              <w:top w:val="single" w:color="auto" w:sz="4" w:space="0"/>
              <w:left w:val="single" w:color="auto" w:sz="4" w:space="0"/>
              <w:bottom w:val="single" w:color="auto" w:sz="4" w:space="0"/>
              <w:right w:val="single" w:color="auto" w:sz="4" w:space="0"/>
            </w:tcBorders>
            <w:vAlign w:val="center"/>
          </w:tcPr>
          <w:p w14:paraId="697EBA3D">
            <w:pPr>
              <w:pStyle w:val="178"/>
              <w:adjustRightInd w:val="0"/>
              <w:snapToGrid w:val="0"/>
              <w:jc w:val="both"/>
            </w:pPr>
            <w:r>
              <w:rPr>
                <w:rFonts w:hint="eastAsia" w:ascii="宋体" w:hAnsi="宋体"/>
                <w:i/>
                <w:iCs/>
                <w:szCs w:val="18"/>
              </w:rPr>
              <w:t>Rhizoctonia solani</w:t>
            </w:r>
          </w:p>
        </w:tc>
        <w:tc>
          <w:tcPr>
            <w:tcW w:w="1418" w:type="dxa"/>
            <w:vAlign w:val="center"/>
          </w:tcPr>
          <w:p w14:paraId="3DBBA461">
            <w:pPr>
              <w:pStyle w:val="178"/>
              <w:jc w:val="both"/>
              <w:rPr>
                <w:rFonts w:hint="eastAsia"/>
              </w:rPr>
            </w:pPr>
            <w:r>
              <w:rPr>
                <w:rFonts w:hint="eastAsia"/>
              </w:rPr>
              <w:t>心叶、雄穗、雌穗，苗期侵染，后期表现症状</w:t>
            </w:r>
          </w:p>
        </w:tc>
        <w:tc>
          <w:tcPr>
            <w:tcW w:w="2409" w:type="dxa"/>
            <w:vAlign w:val="center"/>
          </w:tcPr>
          <w:p w14:paraId="629DFE7E">
            <w:pPr>
              <w:pStyle w:val="178"/>
              <w:jc w:val="both"/>
            </w:pPr>
            <w:r>
              <w:t>心叶扭曲疯长，雄穗、雌穗畸形，严重时整株枯死，病部生白色霜状霉层。</w:t>
            </w:r>
          </w:p>
        </w:tc>
        <w:tc>
          <w:tcPr>
            <w:tcW w:w="1012" w:type="dxa"/>
            <w:vAlign w:val="center"/>
          </w:tcPr>
          <w:p w14:paraId="62391F22">
            <w:pPr>
              <w:pStyle w:val="178"/>
              <w:jc w:val="both"/>
            </w:pPr>
            <w:r>
              <w:rPr>
                <w:rFonts w:hint="eastAsia"/>
              </w:rPr>
              <w:t>土壤、雨水传播。</w:t>
            </w:r>
          </w:p>
        </w:tc>
      </w:tr>
      <w:tr w14:paraId="5ECFEC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5" w:hRule="atLeast"/>
          <w:jc w:val="center"/>
        </w:trPr>
        <w:tc>
          <w:tcPr>
            <w:tcW w:w="993" w:type="dxa"/>
            <w:tcBorders>
              <w:bottom w:val="single" w:color="auto" w:sz="8" w:space="0"/>
            </w:tcBorders>
            <w:vAlign w:val="center"/>
          </w:tcPr>
          <w:p w14:paraId="7D9C1438">
            <w:pPr>
              <w:pStyle w:val="178"/>
            </w:pPr>
            <w:r>
              <w:rPr>
                <w:rFonts w:hint="eastAsia"/>
              </w:rPr>
              <w:t>玉米</w:t>
            </w:r>
          </w:p>
          <w:p w14:paraId="0849B312">
            <w:pPr>
              <w:pStyle w:val="178"/>
            </w:pPr>
            <w:r>
              <w:rPr>
                <w:rFonts w:hint="eastAsia"/>
              </w:rPr>
              <w:t>纹枯病</w:t>
            </w:r>
          </w:p>
        </w:tc>
        <w:tc>
          <w:tcPr>
            <w:tcW w:w="1832" w:type="dxa"/>
            <w:tcBorders>
              <w:bottom w:val="single" w:color="auto" w:sz="8" w:space="0"/>
            </w:tcBorders>
            <w:vAlign w:val="center"/>
          </w:tcPr>
          <w:p w14:paraId="0E675B8F">
            <w:pPr>
              <w:pStyle w:val="178"/>
              <w:jc w:val="left"/>
            </w:pPr>
            <w:r>
              <w:rPr>
                <w:rFonts w:hint="eastAsia" w:ascii="宋体" w:hAnsi="宋体"/>
                <w:szCs w:val="18"/>
              </w:rPr>
              <w:t>Maize banded leaf and sheath blight</w:t>
            </w:r>
          </w:p>
        </w:tc>
        <w:tc>
          <w:tcPr>
            <w:tcW w:w="1995" w:type="dxa"/>
            <w:tcBorders>
              <w:top w:val="single" w:color="auto" w:sz="4" w:space="0"/>
              <w:left w:val="single" w:color="auto" w:sz="4" w:space="0"/>
              <w:bottom w:val="single" w:color="auto" w:sz="8" w:space="0"/>
              <w:right w:val="single" w:color="auto" w:sz="4" w:space="0"/>
            </w:tcBorders>
            <w:vAlign w:val="center"/>
          </w:tcPr>
          <w:p w14:paraId="2E304242">
            <w:pPr>
              <w:pStyle w:val="178"/>
              <w:adjustRightInd w:val="0"/>
              <w:snapToGrid w:val="0"/>
              <w:jc w:val="both"/>
            </w:pPr>
            <w:r>
              <w:rPr>
                <w:rFonts w:hint="eastAsia" w:ascii="宋体" w:hAnsi="宋体"/>
                <w:i/>
                <w:iCs/>
                <w:szCs w:val="18"/>
              </w:rPr>
              <w:t>Fusarium subglutinans</w:t>
            </w:r>
          </w:p>
        </w:tc>
        <w:tc>
          <w:tcPr>
            <w:tcW w:w="1418" w:type="dxa"/>
            <w:tcBorders>
              <w:bottom w:val="single" w:color="auto" w:sz="8" w:space="0"/>
            </w:tcBorders>
            <w:vAlign w:val="center"/>
          </w:tcPr>
          <w:p w14:paraId="0C6AB87E">
            <w:pPr>
              <w:pStyle w:val="178"/>
              <w:jc w:val="both"/>
            </w:pPr>
            <w:r>
              <w:rPr>
                <w:rFonts w:hint="eastAsia"/>
              </w:rPr>
              <w:t>叶鞘、叶片、茎秆，从基部叶鞘开始向上蔓延</w:t>
            </w:r>
          </w:p>
        </w:tc>
        <w:tc>
          <w:tcPr>
            <w:tcW w:w="2409" w:type="dxa"/>
            <w:tcBorders>
              <w:bottom w:val="single" w:color="auto" w:sz="8" w:space="0"/>
            </w:tcBorders>
            <w:vAlign w:val="center"/>
          </w:tcPr>
          <w:p w14:paraId="75347D6E">
            <w:pPr>
              <w:pStyle w:val="178"/>
              <w:jc w:val="both"/>
            </w:pPr>
            <w:r>
              <w:t>叶鞘生淡褐色病斑，后期生白色菌丝和褐色菌核，叶片干枯、植株倒伏。</w:t>
            </w:r>
          </w:p>
        </w:tc>
        <w:tc>
          <w:tcPr>
            <w:tcW w:w="1012" w:type="dxa"/>
            <w:tcBorders>
              <w:bottom w:val="single" w:color="auto" w:sz="8" w:space="0"/>
            </w:tcBorders>
            <w:vAlign w:val="center"/>
          </w:tcPr>
          <w:p w14:paraId="79BCE5FC">
            <w:pPr>
              <w:pStyle w:val="178"/>
              <w:jc w:val="both"/>
            </w:pPr>
            <w:r>
              <w:rPr>
                <w:rFonts w:hint="eastAsia"/>
              </w:rPr>
              <w:t>土壤、气流、雨水传播。</w:t>
            </w:r>
          </w:p>
        </w:tc>
      </w:tr>
    </w:tbl>
    <w:p w14:paraId="3330B2DB">
      <w:pPr>
        <w:pStyle w:val="56"/>
        <w:ind w:firstLine="0" w:firstLineChars="0"/>
        <w:rPr>
          <w:rFonts w:hint="eastAsia"/>
        </w:rPr>
        <w:sectPr>
          <w:headerReference r:id="rId23" w:type="default"/>
          <w:footerReference r:id="rId25" w:type="default"/>
          <w:headerReference r:id="rId24" w:type="even"/>
          <w:footerReference r:id="rId26" w:type="even"/>
          <w:pgSz w:w="11906" w:h="16838"/>
          <w:pgMar w:top="1928" w:right="1134" w:bottom="1134" w:left="1134" w:header="1418" w:footer="1134" w:gutter="284"/>
          <w:cols w:space="425" w:num="1"/>
          <w:formProt w:val="0"/>
          <w:docGrid w:linePitch="312" w:charSpace="0"/>
        </w:sectPr>
      </w:pPr>
    </w:p>
    <w:p w14:paraId="67273CB2">
      <w:pPr>
        <w:pStyle w:val="198"/>
        <w:rPr>
          <w:vanish w:val="0"/>
        </w:rPr>
      </w:pPr>
    </w:p>
    <w:p w14:paraId="66770B97">
      <w:pPr>
        <w:pStyle w:val="199"/>
        <w:rPr>
          <w:vanish w:val="0"/>
        </w:rPr>
      </w:pPr>
    </w:p>
    <w:p w14:paraId="6BDF334B">
      <w:pPr>
        <w:pStyle w:val="76"/>
        <w:spacing w:after="120"/>
        <w:rPr>
          <w:rFonts w:hint="eastAsia"/>
        </w:rPr>
      </w:pPr>
      <w:r>
        <w:br w:type="textWrapping"/>
      </w:r>
      <w:r>
        <w:rPr>
          <w:rFonts w:hint="eastAsia"/>
        </w:rPr>
        <w:t>（规范性）</w:t>
      </w:r>
      <w:r>
        <w:br w:type="textWrapping"/>
      </w:r>
      <w:r>
        <w:rPr>
          <w:rFonts w:hint="eastAsia"/>
        </w:rPr>
        <w:t>平台运行日志记录格式</w:t>
      </w:r>
    </w:p>
    <w:p w14:paraId="46D5775A">
      <w:pPr>
        <w:pStyle w:val="56"/>
        <w:ind w:firstLine="420"/>
        <w:rPr>
          <w:rFonts w:hint="eastAsia"/>
        </w:rPr>
      </w:pPr>
      <w:r>
        <w:t>玉米病害低碳智慧监</w:t>
      </w:r>
      <w:r>
        <w:rPr>
          <w:rFonts w:ascii="宋体" w:hAnsi="宋体"/>
        </w:rPr>
        <w:t>测平台运行日志</w:t>
      </w:r>
      <w:r>
        <w:rPr>
          <w:rFonts w:hint="eastAsia" w:ascii="宋体" w:hAnsi="宋体"/>
        </w:rPr>
        <w:t>记录按照表C.1。</w:t>
      </w:r>
    </w:p>
    <w:p w14:paraId="20E6C043">
      <w:pPr>
        <w:pStyle w:val="77"/>
        <w:spacing w:before="120" w:after="120"/>
        <w:rPr>
          <w:rFonts w:hint="eastAsia"/>
        </w:rPr>
      </w:pPr>
      <w:r>
        <w:t>玉米病害低碳智慧监测平台运行日志表</w:t>
      </w:r>
    </w:p>
    <w:tbl>
      <w:tblPr>
        <w:tblStyle w:val="27"/>
        <w:tblW w:w="962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867"/>
        <w:gridCol w:w="877"/>
        <w:gridCol w:w="940"/>
        <w:gridCol w:w="992"/>
        <w:gridCol w:w="1136"/>
        <w:gridCol w:w="962"/>
        <w:gridCol w:w="963"/>
        <w:gridCol w:w="963"/>
        <w:gridCol w:w="963"/>
        <w:gridCol w:w="963"/>
      </w:tblGrid>
      <w:tr w14:paraId="6E8337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643" w:hRule="atLeast"/>
          <w:tblHeader/>
          <w:jc w:val="center"/>
        </w:trPr>
        <w:tc>
          <w:tcPr>
            <w:tcW w:w="867" w:type="dxa"/>
            <w:tcBorders>
              <w:top w:val="single" w:color="auto" w:sz="8" w:space="0"/>
              <w:bottom w:val="single" w:color="auto" w:sz="8" w:space="0"/>
            </w:tcBorders>
            <w:vAlign w:val="center"/>
          </w:tcPr>
          <w:p w14:paraId="1E8BED16">
            <w:pPr>
              <w:pStyle w:val="178"/>
            </w:pPr>
            <w:r>
              <w:rPr>
                <w:rFonts w:hint="eastAsia"/>
              </w:rPr>
              <w:t>日期</w:t>
            </w:r>
          </w:p>
        </w:tc>
        <w:tc>
          <w:tcPr>
            <w:tcW w:w="877" w:type="dxa"/>
            <w:tcBorders>
              <w:top w:val="single" w:color="auto" w:sz="8" w:space="0"/>
              <w:bottom w:val="single" w:color="auto" w:sz="8" w:space="0"/>
            </w:tcBorders>
            <w:vAlign w:val="center"/>
          </w:tcPr>
          <w:p w14:paraId="79132C78">
            <w:pPr>
              <w:pStyle w:val="178"/>
            </w:pPr>
            <w:r>
              <w:rPr>
                <w:rFonts w:hint="eastAsia"/>
              </w:rPr>
              <w:t>时间</w:t>
            </w:r>
          </w:p>
        </w:tc>
        <w:tc>
          <w:tcPr>
            <w:tcW w:w="940" w:type="dxa"/>
            <w:tcBorders>
              <w:top w:val="single" w:color="auto" w:sz="8" w:space="0"/>
              <w:bottom w:val="single" w:color="auto" w:sz="8" w:space="0"/>
            </w:tcBorders>
            <w:vAlign w:val="center"/>
          </w:tcPr>
          <w:p w14:paraId="6F9E02BC">
            <w:pPr>
              <w:pStyle w:val="178"/>
            </w:pPr>
            <w:r>
              <w:rPr>
                <w:rFonts w:hint="eastAsia"/>
              </w:rPr>
              <w:t>设备名称</w:t>
            </w:r>
          </w:p>
        </w:tc>
        <w:tc>
          <w:tcPr>
            <w:tcW w:w="992" w:type="dxa"/>
            <w:tcBorders>
              <w:top w:val="single" w:color="auto" w:sz="8" w:space="0"/>
              <w:bottom w:val="single" w:color="auto" w:sz="8" w:space="0"/>
            </w:tcBorders>
            <w:vAlign w:val="center"/>
          </w:tcPr>
          <w:p w14:paraId="1BDBCBFA">
            <w:pPr>
              <w:pStyle w:val="178"/>
            </w:pPr>
            <w:r>
              <w:rPr>
                <w:rFonts w:hint="eastAsia"/>
              </w:rPr>
              <w:t>运行状态</w:t>
            </w:r>
          </w:p>
        </w:tc>
        <w:tc>
          <w:tcPr>
            <w:tcW w:w="1136" w:type="dxa"/>
            <w:tcBorders>
              <w:top w:val="single" w:color="auto" w:sz="8" w:space="0"/>
              <w:bottom w:val="single" w:color="auto" w:sz="8" w:space="0"/>
            </w:tcBorders>
            <w:vAlign w:val="center"/>
          </w:tcPr>
          <w:p w14:paraId="5A2CFC07">
            <w:pPr>
              <w:pStyle w:val="178"/>
            </w:pPr>
            <w:r>
              <w:t>数据采集/传输情况</w:t>
            </w:r>
          </w:p>
        </w:tc>
        <w:tc>
          <w:tcPr>
            <w:tcW w:w="962" w:type="dxa"/>
            <w:tcBorders>
              <w:top w:val="single" w:color="auto" w:sz="8" w:space="0"/>
              <w:bottom w:val="single" w:color="auto" w:sz="8" w:space="0"/>
            </w:tcBorders>
            <w:vAlign w:val="center"/>
          </w:tcPr>
          <w:p w14:paraId="2F5EC8E8">
            <w:pPr>
              <w:pStyle w:val="178"/>
              <w:rPr>
                <w:rFonts w:hint="eastAsia"/>
              </w:rPr>
            </w:pPr>
            <w:r>
              <w:rPr>
                <w:rFonts w:hint="eastAsia"/>
              </w:rPr>
              <w:t>能耗数据</w:t>
            </w:r>
          </w:p>
          <w:p w14:paraId="0ACD79F4">
            <w:pPr>
              <w:pStyle w:val="178"/>
            </w:pPr>
            <w:r>
              <w:rPr>
                <w:rFonts w:hint="eastAsia"/>
              </w:rPr>
              <w:t>（度）</w:t>
            </w:r>
          </w:p>
        </w:tc>
        <w:tc>
          <w:tcPr>
            <w:tcW w:w="963" w:type="dxa"/>
            <w:tcBorders>
              <w:top w:val="single" w:color="auto" w:sz="8" w:space="0"/>
              <w:bottom w:val="single" w:color="auto" w:sz="8" w:space="0"/>
            </w:tcBorders>
            <w:vAlign w:val="center"/>
          </w:tcPr>
          <w:p w14:paraId="0D490C0E">
            <w:pPr>
              <w:pStyle w:val="178"/>
              <w:rPr>
                <w:rFonts w:hint="eastAsia"/>
              </w:rPr>
            </w:pPr>
            <w:r>
              <w:rPr>
                <w:rFonts w:hint="eastAsia"/>
              </w:rPr>
              <w:t>故障描述</w:t>
            </w:r>
          </w:p>
          <w:p w14:paraId="07CC3E37">
            <w:pPr>
              <w:pStyle w:val="178"/>
            </w:pPr>
            <w:r>
              <w:rPr>
                <w:rFonts w:hint="eastAsia"/>
              </w:rPr>
              <w:t>（如有）</w:t>
            </w:r>
          </w:p>
        </w:tc>
        <w:tc>
          <w:tcPr>
            <w:tcW w:w="963" w:type="dxa"/>
            <w:tcBorders>
              <w:top w:val="single" w:color="auto" w:sz="8" w:space="0"/>
              <w:bottom w:val="single" w:color="auto" w:sz="8" w:space="0"/>
            </w:tcBorders>
            <w:vAlign w:val="center"/>
          </w:tcPr>
          <w:p w14:paraId="417B7CC7">
            <w:pPr>
              <w:pStyle w:val="178"/>
            </w:pPr>
            <w:r>
              <w:t>处理措施</w:t>
            </w:r>
          </w:p>
        </w:tc>
        <w:tc>
          <w:tcPr>
            <w:tcW w:w="963" w:type="dxa"/>
            <w:tcBorders>
              <w:top w:val="single" w:color="auto" w:sz="8" w:space="0"/>
              <w:bottom w:val="single" w:color="auto" w:sz="8" w:space="0"/>
            </w:tcBorders>
            <w:vAlign w:val="center"/>
          </w:tcPr>
          <w:p w14:paraId="396EABFF">
            <w:pPr>
              <w:pStyle w:val="178"/>
            </w:pPr>
            <w:r>
              <w:rPr>
                <w:rFonts w:hint="eastAsia"/>
              </w:rPr>
              <w:t>处理人</w:t>
            </w:r>
          </w:p>
        </w:tc>
        <w:tc>
          <w:tcPr>
            <w:tcW w:w="963" w:type="dxa"/>
            <w:tcBorders>
              <w:top w:val="single" w:color="auto" w:sz="8" w:space="0"/>
              <w:bottom w:val="single" w:color="auto" w:sz="8" w:space="0"/>
            </w:tcBorders>
            <w:vAlign w:val="center"/>
          </w:tcPr>
          <w:p w14:paraId="65C916F9">
            <w:pPr>
              <w:pStyle w:val="178"/>
            </w:pPr>
            <w:r>
              <w:rPr>
                <w:rFonts w:hint="eastAsia"/>
              </w:rPr>
              <w:t>备注</w:t>
            </w:r>
          </w:p>
        </w:tc>
      </w:tr>
      <w:tr w14:paraId="11D814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581" w:hRule="atLeast"/>
          <w:jc w:val="center"/>
        </w:trPr>
        <w:tc>
          <w:tcPr>
            <w:tcW w:w="867" w:type="dxa"/>
            <w:tcBorders>
              <w:top w:val="single" w:color="auto" w:sz="8" w:space="0"/>
            </w:tcBorders>
            <w:vAlign w:val="center"/>
          </w:tcPr>
          <w:p w14:paraId="3AECA36B">
            <w:pPr>
              <w:pStyle w:val="178"/>
            </w:pPr>
          </w:p>
        </w:tc>
        <w:tc>
          <w:tcPr>
            <w:tcW w:w="877" w:type="dxa"/>
            <w:tcBorders>
              <w:top w:val="single" w:color="auto" w:sz="8" w:space="0"/>
            </w:tcBorders>
            <w:vAlign w:val="center"/>
          </w:tcPr>
          <w:p w14:paraId="234606D5">
            <w:pPr>
              <w:pStyle w:val="178"/>
            </w:pPr>
          </w:p>
        </w:tc>
        <w:tc>
          <w:tcPr>
            <w:tcW w:w="940" w:type="dxa"/>
            <w:tcBorders>
              <w:top w:val="single" w:color="auto" w:sz="8" w:space="0"/>
            </w:tcBorders>
            <w:vAlign w:val="center"/>
          </w:tcPr>
          <w:p w14:paraId="5080CD61">
            <w:pPr>
              <w:pStyle w:val="178"/>
            </w:pPr>
          </w:p>
        </w:tc>
        <w:tc>
          <w:tcPr>
            <w:tcW w:w="992" w:type="dxa"/>
            <w:tcBorders>
              <w:top w:val="single" w:color="auto" w:sz="8" w:space="0"/>
            </w:tcBorders>
            <w:vAlign w:val="center"/>
          </w:tcPr>
          <w:p w14:paraId="7853DE52">
            <w:pPr>
              <w:pStyle w:val="178"/>
            </w:pPr>
          </w:p>
        </w:tc>
        <w:tc>
          <w:tcPr>
            <w:tcW w:w="1136" w:type="dxa"/>
            <w:tcBorders>
              <w:top w:val="single" w:color="auto" w:sz="8" w:space="0"/>
            </w:tcBorders>
            <w:vAlign w:val="center"/>
          </w:tcPr>
          <w:p w14:paraId="4484F90F">
            <w:pPr>
              <w:pStyle w:val="178"/>
            </w:pPr>
          </w:p>
        </w:tc>
        <w:tc>
          <w:tcPr>
            <w:tcW w:w="962" w:type="dxa"/>
            <w:tcBorders>
              <w:top w:val="single" w:color="auto" w:sz="8" w:space="0"/>
            </w:tcBorders>
            <w:vAlign w:val="center"/>
          </w:tcPr>
          <w:p w14:paraId="3C53854C">
            <w:pPr>
              <w:pStyle w:val="178"/>
            </w:pPr>
          </w:p>
        </w:tc>
        <w:tc>
          <w:tcPr>
            <w:tcW w:w="963" w:type="dxa"/>
            <w:tcBorders>
              <w:top w:val="single" w:color="auto" w:sz="8" w:space="0"/>
            </w:tcBorders>
            <w:vAlign w:val="center"/>
          </w:tcPr>
          <w:p w14:paraId="6B2D8E12">
            <w:pPr>
              <w:pStyle w:val="178"/>
            </w:pPr>
          </w:p>
        </w:tc>
        <w:tc>
          <w:tcPr>
            <w:tcW w:w="963" w:type="dxa"/>
            <w:tcBorders>
              <w:top w:val="single" w:color="auto" w:sz="8" w:space="0"/>
            </w:tcBorders>
            <w:vAlign w:val="center"/>
          </w:tcPr>
          <w:p w14:paraId="4DB04418">
            <w:pPr>
              <w:pStyle w:val="178"/>
            </w:pPr>
          </w:p>
        </w:tc>
        <w:tc>
          <w:tcPr>
            <w:tcW w:w="963" w:type="dxa"/>
            <w:tcBorders>
              <w:top w:val="single" w:color="auto" w:sz="8" w:space="0"/>
            </w:tcBorders>
            <w:vAlign w:val="center"/>
          </w:tcPr>
          <w:p w14:paraId="7E313AC9">
            <w:pPr>
              <w:pStyle w:val="178"/>
            </w:pPr>
          </w:p>
        </w:tc>
        <w:tc>
          <w:tcPr>
            <w:tcW w:w="963" w:type="dxa"/>
            <w:tcBorders>
              <w:top w:val="single" w:color="auto" w:sz="8" w:space="0"/>
            </w:tcBorders>
            <w:vAlign w:val="center"/>
          </w:tcPr>
          <w:p w14:paraId="41A92AB4">
            <w:pPr>
              <w:pStyle w:val="178"/>
            </w:pPr>
          </w:p>
        </w:tc>
      </w:tr>
    </w:tbl>
    <w:p w14:paraId="48D2231E">
      <w:pPr>
        <w:pStyle w:val="56"/>
        <w:ind w:firstLine="420"/>
      </w:pPr>
    </w:p>
    <w:p w14:paraId="1E4B55C4">
      <w:pPr>
        <w:pStyle w:val="56"/>
        <w:ind w:firstLine="420"/>
      </w:pPr>
    </w:p>
    <w:p w14:paraId="55D58974">
      <w:pPr>
        <w:pStyle w:val="56"/>
        <w:ind w:firstLine="420"/>
      </w:pPr>
    </w:p>
    <w:p w14:paraId="3FCBD807">
      <w:pPr>
        <w:pStyle w:val="56"/>
        <w:ind w:firstLine="420"/>
        <w:sectPr>
          <w:headerReference r:id="rId27" w:type="default"/>
          <w:footerReference r:id="rId29" w:type="default"/>
          <w:headerReference r:id="rId28" w:type="even"/>
          <w:footerReference r:id="rId30" w:type="even"/>
          <w:pgSz w:w="11906" w:h="16838"/>
          <w:pgMar w:top="1928" w:right="1134" w:bottom="1134" w:left="1134" w:header="1418" w:footer="1134" w:gutter="284"/>
          <w:cols w:space="425" w:num="1"/>
          <w:formProt w:val="0"/>
          <w:docGrid w:linePitch="312" w:charSpace="0"/>
        </w:sectPr>
      </w:pPr>
    </w:p>
    <w:p w14:paraId="3B3CA5EA">
      <w:pPr>
        <w:pStyle w:val="198"/>
        <w:rPr>
          <w:vanish w:val="0"/>
        </w:rPr>
      </w:pPr>
    </w:p>
    <w:p w14:paraId="127F0429">
      <w:pPr>
        <w:pStyle w:val="199"/>
        <w:rPr>
          <w:vanish w:val="0"/>
        </w:rPr>
      </w:pPr>
    </w:p>
    <w:p w14:paraId="7BC6226B">
      <w:pPr>
        <w:pStyle w:val="76"/>
        <w:spacing w:after="120"/>
        <w:rPr>
          <w:rFonts w:hint="eastAsia"/>
        </w:rPr>
      </w:pPr>
      <w:r>
        <w:br w:type="textWrapping"/>
      </w:r>
      <w:r>
        <w:rPr>
          <w:rFonts w:hint="eastAsia"/>
        </w:rPr>
        <w:t>（资料性）</w:t>
      </w:r>
      <w:r>
        <w:br w:type="textWrapping"/>
      </w:r>
      <w:r>
        <w:rPr>
          <w:rFonts w:hint="eastAsia"/>
        </w:rPr>
        <w:t>农药精准施控推荐方案格式</w:t>
      </w:r>
    </w:p>
    <w:p w14:paraId="17F148A2">
      <w:pPr>
        <w:pStyle w:val="56"/>
        <w:ind w:firstLine="420"/>
        <w:rPr>
          <w:rFonts w:hint="eastAsia" w:ascii="宋体" w:hAnsi="宋体"/>
        </w:rPr>
      </w:pPr>
      <w:r>
        <w:rPr>
          <w:rFonts w:ascii="宋体" w:hAnsi="宋体"/>
        </w:rPr>
        <w:t>农药精准施控推荐方案格式</w:t>
      </w:r>
      <w:r>
        <w:rPr>
          <w:rFonts w:hint="eastAsia" w:ascii="宋体" w:hAnsi="宋体"/>
        </w:rPr>
        <w:t>见</w:t>
      </w:r>
      <w:r>
        <w:rPr>
          <w:rFonts w:ascii="宋体" w:hAnsi="宋体"/>
        </w:rPr>
        <w:t>表</w:t>
      </w:r>
      <w:r>
        <w:rPr>
          <w:rFonts w:hint="eastAsia" w:ascii="宋体" w:hAnsi="宋体"/>
        </w:rPr>
        <w:t>D.1。</w:t>
      </w:r>
    </w:p>
    <w:p w14:paraId="5ABC40C4">
      <w:pPr>
        <w:pStyle w:val="77"/>
        <w:spacing w:before="120" w:after="120"/>
        <w:rPr>
          <w:rFonts w:hint="eastAsia"/>
        </w:rPr>
      </w:pPr>
      <w:r>
        <w:t>玉米病害农药精准施控推荐方案表</w:t>
      </w:r>
    </w:p>
    <w:tbl>
      <w:tblPr>
        <w:tblStyle w:val="27"/>
        <w:tblW w:w="940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939"/>
        <w:gridCol w:w="939"/>
        <w:gridCol w:w="940"/>
        <w:gridCol w:w="940"/>
        <w:gridCol w:w="940"/>
        <w:gridCol w:w="940"/>
        <w:gridCol w:w="941"/>
        <w:gridCol w:w="942"/>
        <w:gridCol w:w="1116"/>
        <w:gridCol w:w="767"/>
      </w:tblGrid>
      <w:tr w14:paraId="4B4E99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713" w:hRule="atLeast"/>
          <w:tblHeader/>
          <w:jc w:val="center"/>
        </w:trPr>
        <w:tc>
          <w:tcPr>
            <w:tcW w:w="939" w:type="dxa"/>
            <w:tcBorders>
              <w:top w:val="single" w:color="auto" w:sz="8" w:space="0"/>
              <w:bottom w:val="single" w:color="auto" w:sz="8" w:space="0"/>
            </w:tcBorders>
            <w:vAlign w:val="center"/>
          </w:tcPr>
          <w:p w14:paraId="4F760472">
            <w:pPr>
              <w:pStyle w:val="178"/>
            </w:pPr>
            <w:r>
              <w:rPr>
                <w:rFonts w:hint="eastAsia"/>
              </w:rPr>
              <w:t>病害名称</w:t>
            </w:r>
          </w:p>
        </w:tc>
        <w:tc>
          <w:tcPr>
            <w:tcW w:w="939" w:type="dxa"/>
            <w:tcBorders>
              <w:top w:val="single" w:color="auto" w:sz="8" w:space="0"/>
              <w:bottom w:val="single" w:color="auto" w:sz="8" w:space="0"/>
            </w:tcBorders>
            <w:vAlign w:val="center"/>
          </w:tcPr>
          <w:p w14:paraId="7D955C22">
            <w:pPr>
              <w:pStyle w:val="178"/>
            </w:pPr>
            <w:r>
              <w:t>发生风险等级</w:t>
            </w:r>
          </w:p>
        </w:tc>
        <w:tc>
          <w:tcPr>
            <w:tcW w:w="940" w:type="dxa"/>
            <w:tcBorders>
              <w:top w:val="single" w:color="auto" w:sz="8" w:space="0"/>
              <w:bottom w:val="single" w:color="auto" w:sz="8" w:space="0"/>
            </w:tcBorders>
            <w:vAlign w:val="center"/>
          </w:tcPr>
          <w:p w14:paraId="65FC7292">
            <w:pPr>
              <w:pStyle w:val="178"/>
            </w:pPr>
            <w:r>
              <w:t>推荐防治时期</w:t>
            </w:r>
          </w:p>
        </w:tc>
        <w:tc>
          <w:tcPr>
            <w:tcW w:w="940" w:type="dxa"/>
            <w:tcBorders>
              <w:top w:val="single" w:color="auto" w:sz="8" w:space="0"/>
              <w:bottom w:val="single" w:color="auto" w:sz="8" w:space="0"/>
            </w:tcBorders>
            <w:vAlign w:val="center"/>
          </w:tcPr>
          <w:p w14:paraId="20C42C60">
            <w:pPr>
              <w:pStyle w:val="178"/>
            </w:pPr>
            <w:r>
              <w:t>农业防治措施</w:t>
            </w:r>
          </w:p>
        </w:tc>
        <w:tc>
          <w:tcPr>
            <w:tcW w:w="940" w:type="dxa"/>
            <w:tcBorders>
              <w:top w:val="single" w:color="auto" w:sz="8" w:space="0"/>
              <w:bottom w:val="single" w:color="auto" w:sz="8" w:space="0"/>
            </w:tcBorders>
            <w:vAlign w:val="center"/>
          </w:tcPr>
          <w:p w14:paraId="20E7107B">
            <w:pPr>
              <w:pStyle w:val="178"/>
            </w:pPr>
            <w:r>
              <w:t>化学防治药剂</w:t>
            </w:r>
          </w:p>
        </w:tc>
        <w:tc>
          <w:tcPr>
            <w:tcW w:w="940" w:type="dxa"/>
            <w:tcBorders>
              <w:top w:val="single" w:color="auto" w:sz="8" w:space="0"/>
              <w:bottom w:val="single" w:color="auto" w:sz="8" w:space="0"/>
            </w:tcBorders>
            <w:vAlign w:val="center"/>
          </w:tcPr>
          <w:p w14:paraId="5B6FFB99">
            <w:pPr>
              <w:pStyle w:val="178"/>
            </w:pPr>
            <w:r>
              <w:rPr>
                <w:rFonts w:hint="eastAsia"/>
              </w:rPr>
              <w:t>推荐施用量（毫升/公顷）</w:t>
            </w:r>
          </w:p>
        </w:tc>
        <w:tc>
          <w:tcPr>
            <w:tcW w:w="941" w:type="dxa"/>
            <w:tcBorders>
              <w:top w:val="single" w:color="auto" w:sz="8" w:space="0"/>
              <w:bottom w:val="single" w:color="auto" w:sz="8" w:space="0"/>
            </w:tcBorders>
            <w:vAlign w:val="center"/>
          </w:tcPr>
          <w:p w14:paraId="72141045">
            <w:pPr>
              <w:pStyle w:val="178"/>
            </w:pPr>
            <w:r>
              <w:t>施用方法</w:t>
            </w:r>
          </w:p>
        </w:tc>
        <w:tc>
          <w:tcPr>
            <w:tcW w:w="942" w:type="dxa"/>
            <w:tcBorders>
              <w:top w:val="single" w:color="auto" w:sz="8" w:space="0"/>
              <w:bottom w:val="single" w:color="auto" w:sz="8" w:space="0"/>
            </w:tcBorders>
            <w:vAlign w:val="center"/>
          </w:tcPr>
          <w:p w14:paraId="06C1124B">
            <w:pPr>
              <w:pStyle w:val="178"/>
            </w:pPr>
            <w:r>
              <w:rPr>
                <w:rFonts w:hint="eastAsia"/>
              </w:rPr>
              <w:t>安全间隔期（天）</w:t>
            </w:r>
          </w:p>
        </w:tc>
        <w:tc>
          <w:tcPr>
            <w:tcW w:w="1116" w:type="dxa"/>
            <w:tcBorders>
              <w:top w:val="single" w:color="auto" w:sz="8" w:space="0"/>
              <w:bottom w:val="single" w:color="auto" w:sz="8" w:space="0"/>
            </w:tcBorders>
            <w:vAlign w:val="center"/>
          </w:tcPr>
          <w:p w14:paraId="631EE382">
            <w:pPr>
              <w:pStyle w:val="178"/>
              <w:rPr>
                <w:rFonts w:hint="eastAsia" w:ascii="宋体" w:hAnsi="宋体"/>
              </w:rPr>
            </w:pPr>
            <w:r>
              <w:rPr>
                <w:rFonts w:hint="eastAsia" w:ascii="宋体" w:hAnsi="宋体"/>
              </w:rPr>
              <w:t>碳减排量</w:t>
            </w:r>
          </w:p>
          <w:p w14:paraId="37E77806">
            <w:pPr>
              <w:pStyle w:val="178"/>
            </w:pPr>
            <w:r>
              <w:rPr>
                <w:rFonts w:hint="eastAsia" w:ascii="宋体" w:hAnsi="宋体"/>
              </w:rPr>
              <w:t>（</w:t>
            </w:r>
            <w:r>
              <w:rPr>
                <w:rFonts w:ascii="宋体" w:hAnsi="宋体"/>
              </w:rPr>
              <w:t>kgCO</w:t>
            </w:r>
            <w:r>
              <w:rPr>
                <w:rFonts w:hint="eastAsia" w:ascii="宋体" w:hAnsi="宋体" w:cs="Cambria Math"/>
                <w:vertAlign w:val="subscript"/>
              </w:rPr>
              <w:t>2</w:t>
            </w:r>
            <w:r>
              <w:rPr>
                <w:rFonts w:hint="eastAsia" w:ascii="宋体" w:hAnsi="宋体"/>
              </w:rPr>
              <w:t>当量</w:t>
            </w:r>
            <w:r>
              <w:rPr>
                <w:rFonts w:ascii="宋体" w:hAnsi="宋体"/>
              </w:rPr>
              <w:t>/</w:t>
            </w:r>
            <w:r>
              <w:rPr>
                <w:rFonts w:hint="eastAsia" w:ascii="宋体" w:hAnsi="宋体"/>
              </w:rPr>
              <w:t>公顷）</w:t>
            </w:r>
          </w:p>
        </w:tc>
        <w:tc>
          <w:tcPr>
            <w:tcW w:w="767" w:type="dxa"/>
            <w:tcBorders>
              <w:top w:val="single" w:color="auto" w:sz="8" w:space="0"/>
              <w:bottom w:val="single" w:color="auto" w:sz="8" w:space="0"/>
            </w:tcBorders>
            <w:vAlign w:val="center"/>
          </w:tcPr>
          <w:p w14:paraId="45F46189">
            <w:pPr>
              <w:pStyle w:val="178"/>
            </w:pPr>
            <w:r>
              <w:rPr>
                <w:rFonts w:hint="eastAsia"/>
              </w:rPr>
              <w:t>备注</w:t>
            </w:r>
          </w:p>
        </w:tc>
      </w:tr>
      <w:tr w14:paraId="661F92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554" w:hRule="atLeast"/>
          <w:jc w:val="center"/>
        </w:trPr>
        <w:tc>
          <w:tcPr>
            <w:tcW w:w="939" w:type="dxa"/>
            <w:tcBorders>
              <w:top w:val="single" w:color="auto" w:sz="8" w:space="0"/>
            </w:tcBorders>
            <w:vAlign w:val="center"/>
          </w:tcPr>
          <w:p w14:paraId="2152E1EB">
            <w:pPr>
              <w:pStyle w:val="178"/>
            </w:pPr>
          </w:p>
        </w:tc>
        <w:tc>
          <w:tcPr>
            <w:tcW w:w="939" w:type="dxa"/>
            <w:tcBorders>
              <w:top w:val="single" w:color="auto" w:sz="8" w:space="0"/>
            </w:tcBorders>
            <w:vAlign w:val="center"/>
          </w:tcPr>
          <w:p w14:paraId="03B1A574">
            <w:pPr>
              <w:pStyle w:val="178"/>
            </w:pPr>
          </w:p>
        </w:tc>
        <w:tc>
          <w:tcPr>
            <w:tcW w:w="940" w:type="dxa"/>
            <w:tcBorders>
              <w:top w:val="single" w:color="auto" w:sz="8" w:space="0"/>
            </w:tcBorders>
            <w:vAlign w:val="center"/>
          </w:tcPr>
          <w:p w14:paraId="512505A4">
            <w:pPr>
              <w:pStyle w:val="178"/>
            </w:pPr>
          </w:p>
        </w:tc>
        <w:tc>
          <w:tcPr>
            <w:tcW w:w="940" w:type="dxa"/>
            <w:tcBorders>
              <w:top w:val="single" w:color="auto" w:sz="8" w:space="0"/>
            </w:tcBorders>
            <w:vAlign w:val="center"/>
          </w:tcPr>
          <w:p w14:paraId="14564EC1">
            <w:pPr>
              <w:pStyle w:val="178"/>
            </w:pPr>
          </w:p>
        </w:tc>
        <w:tc>
          <w:tcPr>
            <w:tcW w:w="940" w:type="dxa"/>
            <w:tcBorders>
              <w:top w:val="single" w:color="auto" w:sz="8" w:space="0"/>
            </w:tcBorders>
            <w:vAlign w:val="center"/>
          </w:tcPr>
          <w:p w14:paraId="4E180459">
            <w:pPr>
              <w:pStyle w:val="178"/>
            </w:pPr>
          </w:p>
        </w:tc>
        <w:tc>
          <w:tcPr>
            <w:tcW w:w="940" w:type="dxa"/>
            <w:tcBorders>
              <w:top w:val="single" w:color="auto" w:sz="8" w:space="0"/>
            </w:tcBorders>
            <w:vAlign w:val="center"/>
          </w:tcPr>
          <w:p w14:paraId="0A6BBA0E">
            <w:pPr>
              <w:pStyle w:val="178"/>
            </w:pPr>
          </w:p>
        </w:tc>
        <w:tc>
          <w:tcPr>
            <w:tcW w:w="941" w:type="dxa"/>
            <w:tcBorders>
              <w:top w:val="single" w:color="auto" w:sz="8" w:space="0"/>
            </w:tcBorders>
            <w:vAlign w:val="center"/>
          </w:tcPr>
          <w:p w14:paraId="61CD57E4">
            <w:pPr>
              <w:pStyle w:val="178"/>
            </w:pPr>
          </w:p>
        </w:tc>
        <w:tc>
          <w:tcPr>
            <w:tcW w:w="942" w:type="dxa"/>
            <w:tcBorders>
              <w:top w:val="single" w:color="auto" w:sz="8" w:space="0"/>
            </w:tcBorders>
            <w:vAlign w:val="center"/>
          </w:tcPr>
          <w:p w14:paraId="1DB1B77F">
            <w:pPr>
              <w:pStyle w:val="178"/>
            </w:pPr>
          </w:p>
        </w:tc>
        <w:tc>
          <w:tcPr>
            <w:tcW w:w="1116" w:type="dxa"/>
            <w:tcBorders>
              <w:top w:val="single" w:color="auto" w:sz="8" w:space="0"/>
            </w:tcBorders>
            <w:vAlign w:val="center"/>
          </w:tcPr>
          <w:p w14:paraId="45D94BAB">
            <w:pPr>
              <w:pStyle w:val="178"/>
            </w:pPr>
          </w:p>
        </w:tc>
        <w:tc>
          <w:tcPr>
            <w:tcW w:w="767" w:type="dxa"/>
            <w:tcBorders>
              <w:top w:val="single" w:color="auto" w:sz="8" w:space="0"/>
            </w:tcBorders>
            <w:vAlign w:val="center"/>
          </w:tcPr>
          <w:p w14:paraId="3C38B25E">
            <w:pPr>
              <w:pStyle w:val="178"/>
            </w:pPr>
          </w:p>
        </w:tc>
      </w:tr>
    </w:tbl>
    <w:p w14:paraId="643908BA">
      <w:pPr>
        <w:pStyle w:val="56"/>
        <w:ind w:firstLine="420"/>
      </w:pPr>
    </w:p>
    <w:p w14:paraId="2EB0C2A8">
      <w:pPr>
        <w:pStyle w:val="56"/>
        <w:ind w:firstLine="420"/>
      </w:pPr>
    </w:p>
    <w:p w14:paraId="7D22FF31">
      <w:pPr>
        <w:pStyle w:val="56"/>
        <w:ind w:firstLine="420"/>
      </w:pPr>
    </w:p>
    <w:p w14:paraId="6A745C8C">
      <w:pPr>
        <w:pStyle w:val="56"/>
        <w:ind w:firstLine="420"/>
      </w:pPr>
    </w:p>
    <w:p w14:paraId="615817D3">
      <w:pPr>
        <w:pStyle w:val="56"/>
        <w:ind w:firstLine="420"/>
      </w:pPr>
    </w:p>
    <w:p w14:paraId="73D93EEB">
      <w:pPr>
        <w:pStyle w:val="56"/>
        <w:ind w:firstLine="420"/>
        <w:rPr>
          <w:rFonts w:hint="eastAsia"/>
        </w:rPr>
      </w:pPr>
    </w:p>
    <w:bookmarkEnd w:id="33"/>
    <w:p w14:paraId="3482B9B3">
      <w:pPr>
        <w:pStyle w:val="56"/>
        <w:ind w:firstLine="420"/>
        <w:sectPr>
          <w:headerReference r:id="rId31" w:type="default"/>
          <w:footerReference r:id="rId33" w:type="default"/>
          <w:headerReference r:id="rId32" w:type="even"/>
          <w:footerReference r:id="rId34" w:type="even"/>
          <w:pgSz w:w="11906" w:h="16838"/>
          <w:pgMar w:top="1928" w:right="1134" w:bottom="1134" w:left="1134" w:header="1418" w:footer="1134" w:gutter="284"/>
          <w:cols w:space="425" w:num="1"/>
          <w:formProt w:val="0"/>
          <w:docGrid w:linePitch="312" w:charSpace="0"/>
        </w:sectPr>
      </w:pPr>
      <w:bookmarkStart w:id="34" w:name="BookMark6"/>
    </w:p>
    <w:p w14:paraId="2B56807F">
      <w:pPr>
        <w:pStyle w:val="63"/>
        <w:spacing w:after="120"/>
        <w:rPr>
          <w:rFonts w:hint="eastAsia"/>
        </w:rPr>
      </w:pPr>
      <w:r>
        <w:rPr>
          <w:rFonts w:hint="eastAsia"/>
          <w:spacing w:val="105"/>
        </w:rPr>
        <w:t>参考文</w:t>
      </w:r>
      <w:r>
        <w:rPr>
          <w:rFonts w:hint="eastAsia"/>
        </w:rPr>
        <w:t>献</w:t>
      </w:r>
    </w:p>
    <w:p w14:paraId="1287C899">
      <w:pPr>
        <w:pStyle w:val="56"/>
        <w:ind w:firstLine="420"/>
        <w:rPr>
          <w:rFonts w:hint="eastAsia" w:ascii="宋体" w:hAnsi="宋体"/>
        </w:rPr>
      </w:pPr>
      <w:r>
        <w:rPr>
          <w:rFonts w:hint="eastAsia" w:ascii="宋体" w:hAnsi="宋体"/>
        </w:rPr>
        <w:t>[1]靳冬爽,郝一鸣,张汐艾,等.微信小程序玉米病害与生长监测平台设计——以“机玉粮缘”为例 [J].智慧农业导刊,2025,5(18):10-13+17.</w:t>
      </w:r>
    </w:p>
    <w:p w14:paraId="4677EC5C">
      <w:pPr>
        <w:pStyle w:val="56"/>
        <w:ind w:firstLine="420"/>
        <w:rPr>
          <w:rFonts w:hint="eastAsia" w:ascii="宋体" w:hAnsi="宋体"/>
        </w:rPr>
      </w:pPr>
      <w:r>
        <w:rPr>
          <w:rFonts w:hint="eastAsia" w:ascii="宋体" w:hAnsi="宋体"/>
        </w:rPr>
        <w:t>[2]何建强,张莹,许兴.基于物联网的智慧农业监测管理系统研究[J].湖北农业科学,2024,63(08): 176-181+187.</w:t>
      </w:r>
    </w:p>
    <w:p w14:paraId="2EF15E25">
      <w:pPr>
        <w:pStyle w:val="56"/>
        <w:ind w:firstLine="420"/>
        <w:rPr>
          <w:rFonts w:hint="eastAsia"/>
        </w:rPr>
      </w:pPr>
    </w:p>
    <w:p w14:paraId="2AE6CC82">
      <w:pPr>
        <w:pStyle w:val="56"/>
        <w:ind w:firstLine="420"/>
        <w:rPr>
          <w:rFonts w:hint="eastAsia"/>
        </w:rPr>
      </w:pPr>
    </w:p>
    <w:p w14:paraId="42FC3186">
      <w:pPr>
        <w:pStyle w:val="56"/>
        <w:ind w:firstLine="420"/>
        <w:rPr>
          <w:rFonts w:hint="eastAsia"/>
        </w:rPr>
      </w:pPr>
    </w:p>
    <w:bookmarkEnd w:id="34"/>
    <w:p w14:paraId="63AF3A25">
      <w:pPr>
        <w:pStyle w:val="56"/>
        <w:ind w:firstLine="0" w:firstLineChars="0"/>
        <w:jc w:val="center"/>
        <w:rPr>
          <w:rFonts w:hint="eastAsia"/>
        </w:rPr>
      </w:pPr>
      <w:bookmarkStart w:id="35" w:name="BookMark8"/>
      <w:r>
        <w:rPr>
          <w:rFonts w:hint="eastAsia"/>
        </w:rPr>
        <w:drawing>
          <wp:inline distT="0" distB="0" distL="0" distR="0">
            <wp:extent cx="1485900" cy="317500"/>
            <wp:effectExtent l="0" t="0" r="0" b="6350"/>
            <wp:docPr id="462330918" name="图片 4"/>
            <wp:cNvGraphicFramePr/>
            <a:graphic xmlns:a="http://schemas.openxmlformats.org/drawingml/2006/main">
              <a:graphicData uri="http://schemas.openxmlformats.org/drawingml/2006/picture">
                <pic:pic xmlns:pic="http://schemas.openxmlformats.org/drawingml/2006/picture">
                  <pic:nvPicPr>
                    <pic:cNvPr id="462330918" name="图片 4"/>
                    <pic:cNvPicPr/>
                  </pic:nvPicPr>
                  <pic:blipFill>
                    <a:blip r:embed="rId42">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35"/>
    </w:p>
    <w:sectPr>
      <w:headerReference r:id="rId35" w:type="default"/>
      <w:footerReference r:id="rId37" w:type="default"/>
      <w:headerReference r:id="rId36" w:type="even"/>
      <w:footerReference r:id="rId38"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7B140">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E6AAED">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8AF7B">
    <w:pPr>
      <w:pStyle w:val="51"/>
    </w:pPr>
    <w:r>
      <w:fldChar w:fldCharType="begin"/>
    </w:r>
    <w:r>
      <w:instrText xml:space="preserve"> PAGE   \* MERGEFORMAT \* MERGEFORMAT </w:instrText>
    </w:r>
    <w:r>
      <w:fldChar w:fldCharType="separate"/>
    </w:r>
    <w:r>
      <w:t>9</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11DA9">
    <w:pPr>
      <w:pStyle w:val="52"/>
    </w:pPr>
    <w:r>
      <w:fldChar w:fldCharType="begin"/>
    </w:r>
    <w:r>
      <w:instrText xml:space="preserve">PAGE   \* MERGEFORMAT</w:instrText>
    </w:r>
    <w:r>
      <w:fldChar w:fldCharType="separate"/>
    </w:r>
    <w:r>
      <w:rPr>
        <w:lang w:val="zh-CN"/>
      </w:rPr>
      <w:t>1</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986E">
    <w:pPr>
      <w:pStyle w:val="51"/>
    </w:pPr>
    <w:r>
      <w:fldChar w:fldCharType="begin"/>
    </w:r>
    <w:r>
      <w:instrText xml:space="preserve"> PAGE   \* MERGEFORMAT \* MERGEFORMAT </w:instrText>
    </w:r>
    <w:r>
      <w:fldChar w:fldCharType="separate"/>
    </w:r>
    <w:r>
      <w:t>9</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DE33E">
    <w:pPr>
      <w:pStyle w:val="52"/>
    </w:pPr>
    <w:r>
      <w:fldChar w:fldCharType="begin"/>
    </w:r>
    <w:r>
      <w:instrText xml:space="preserve">PAGE   \* MERGEFORMAT</w:instrText>
    </w:r>
    <w:r>
      <w:fldChar w:fldCharType="separate"/>
    </w:r>
    <w:r>
      <w:rPr>
        <w:lang w:val="zh-CN"/>
      </w:rPr>
      <w:t>1</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3B15A">
    <w:pPr>
      <w:pStyle w:val="51"/>
    </w:pPr>
    <w:r>
      <w:fldChar w:fldCharType="begin"/>
    </w:r>
    <w:r>
      <w:instrText xml:space="preserve"> PAGE   \* MERGEFORMAT \* MERGEFORMAT </w:instrText>
    </w:r>
    <w:r>
      <w:fldChar w:fldCharType="separate"/>
    </w:r>
    <w:r>
      <w:t>9</w:t>
    </w:r>
    <w: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645D42">
    <w:pPr>
      <w:pStyle w:val="52"/>
    </w:pPr>
    <w:r>
      <w:fldChar w:fldCharType="begin"/>
    </w:r>
    <w:r>
      <w:instrText xml:space="preserve">PAGE   \* MERGEFORMAT</w:instrText>
    </w:r>
    <w:r>
      <w:fldChar w:fldCharType="separate"/>
    </w:r>
    <w:r>
      <w:rPr>
        <w:lang w:val="zh-CN"/>
      </w:rPr>
      <w:t>1</w:t>
    </w:r>
    <w: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391D6">
    <w:pPr>
      <w:pStyle w:val="51"/>
    </w:pPr>
    <w:r>
      <w:fldChar w:fldCharType="begin"/>
    </w:r>
    <w:r>
      <w:instrText xml:space="preserve"> PAGE   \* MERGEFORMAT \* MERGEFORMAT </w:instrText>
    </w:r>
    <w:r>
      <w:fldChar w:fldCharType="separate"/>
    </w:r>
    <w:r>
      <w:t>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BB113">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5175C6">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02B60">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57F0A">
    <w:pPr>
      <w:pStyle w:val="51"/>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CA61B">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175B">
    <w:pPr>
      <w:pStyle w:val="51"/>
    </w:pPr>
    <w:r>
      <w:fldChar w:fldCharType="begin"/>
    </w:r>
    <w:r>
      <w:instrText xml:space="preserve"> PAGE   \* MERGEFORMAT \* MERGEFORMAT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9A91A">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76FEF">
    <w:pPr>
      <w:pStyle w:val="51"/>
    </w:pPr>
    <w:r>
      <w:fldChar w:fldCharType="begin"/>
    </w:r>
    <w:r>
      <w:instrText xml:space="preserve"> PAGE   \* MERGEFORMAT \* MERGEFORMAT </w:instrText>
    </w:r>
    <w:r>
      <w:fldChar w:fldCharType="separate"/>
    </w:r>
    <w:r>
      <w:t>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E4606">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D34A4">
    <w:pPr>
      <w:pStyle w:val="61"/>
      <w:rPr>
        <w:rFonts w:hint="eastAsia"/>
      </w:rPr>
    </w:pPr>
    <w:r>
      <w:fldChar w:fldCharType="begin"/>
    </w:r>
    <w:r>
      <w:instrText xml:space="preserve"> STYLEREF  标准文件_文件编号  \* MERGEFORMAT </w:instrText>
    </w:r>
    <w:r>
      <w:fldChar w:fldCharType="separate"/>
    </w:r>
    <w:r>
      <w:t>T/PPZL 065—2026</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4B92D">
    <w:pPr>
      <w:pStyle w:val="62"/>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065—2026</w:t>
    </w:r>
    <w:r>
      <w:rPr>
        <w:rFonts w:hint="eastAsia"/>
      </w:rP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285A08">
    <w:pPr>
      <w:pStyle w:val="61"/>
      <w:rPr>
        <w:rFonts w:hint="eastAsia"/>
      </w:rPr>
    </w:pPr>
    <w:r>
      <w:fldChar w:fldCharType="begin"/>
    </w:r>
    <w:r>
      <w:instrText xml:space="preserve"> STYLEREF  标准文件_文件编号  \* MERGEFORMAT </w:instrText>
    </w:r>
    <w:r>
      <w:fldChar w:fldCharType="separate"/>
    </w:r>
    <w:r>
      <w:t>T/PPZL 065—2026</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D55225">
    <w:pPr>
      <w:pStyle w:val="62"/>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065—2026</w:t>
    </w:r>
    <w:r>
      <w:rPr>
        <w:rFonts w:hint="eastAsia"/>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27EA8">
    <w:pPr>
      <w:pStyle w:val="61"/>
      <w:rPr>
        <w:rFonts w:hint="eastAsia"/>
      </w:rPr>
    </w:pPr>
    <w:r>
      <w:fldChar w:fldCharType="begin"/>
    </w:r>
    <w:r>
      <w:instrText xml:space="preserve"> STYLEREF  标准文件_文件编号  \* MERGEFORMAT </w:instrText>
    </w:r>
    <w:r>
      <w:fldChar w:fldCharType="separate"/>
    </w:r>
    <w:r>
      <w:t>T/PPZL 065—2026</w:t>
    </w:r>
    <w:r>
      <w:fldChar w:fldCharType="end"/>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001C7">
    <w:pPr>
      <w:pStyle w:val="62"/>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065—2026</w:t>
    </w:r>
    <w:r>
      <w:rPr>
        <w:rFonts w:hint="eastAsia"/>
      </w:rPr>
      <w:fldChar w:fldCharType="end"/>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0F4D91">
    <w:pPr>
      <w:pStyle w:val="61"/>
      <w:rPr>
        <w:rFonts w:hint="eastAsia"/>
      </w:rPr>
    </w:pPr>
    <w:r>
      <w:fldChar w:fldCharType="begin"/>
    </w:r>
    <w:r>
      <w:instrText xml:space="preserve"> STYLEREF  标准文件_文件编号  \* MERGEFORMAT </w:instrText>
    </w:r>
    <w:r>
      <w:fldChar w:fldCharType="separate"/>
    </w:r>
    <w:r>
      <w:t>T/PPZL 065—2026</w:t>
    </w:r>
    <w:r>
      <w:fldChar w:fldCharType="end"/>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1B547">
    <w:pPr>
      <w:pStyle w:val="62"/>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065—2026</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EADD21">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D65BD">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2387A">
    <w:pPr>
      <w:pStyle w:val="61"/>
      <w:rPr>
        <w:rFonts w:hint="eastAsia"/>
      </w:rPr>
    </w:pPr>
    <w:r>
      <w:fldChar w:fldCharType="begin"/>
    </w:r>
    <w:r>
      <w:instrText xml:space="preserve"> STYLEREF  标准文件_文件编号  \* MERGEFORMAT </w:instrText>
    </w:r>
    <w:r>
      <w:fldChar w:fldCharType="separate"/>
    </w:r>
    <w:r>
      <w:t>T/PPZL 065—2026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88D84">
    <w:pPr>
      <w:pStyle w:val="62"/>
    </w:pPr>
    <w:r>
      <w:fldChar w:fldCharType="begin"/>
    </w:r>
    <w:r>
      <w:instrText xml:space="preserve"> STYLEREF  标准文件_文件编号 \* MERGEFORMAT </w:instrText>
    </w:r>
    <w:r>
      <w:fldChar w:fldCharType="separate"/>
    </w:r>
    <w:r>
      <w:t>T/PPZL 065—2026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B7FB90">
    <w:pPr>
      <w:pStyle w:val="61"/>
      <w:rPr>
        <w:rFonts w:hint="eastAsia"/>
      </w:rPr>
    </w:pPr>
    <w:r>
      <w:fldChar w:fldCharType="begin"/>
    </w:r>
    <w:r>
      <w:instrText xml:space="preserve"> STYLEREF  标准文件_文件编号  \* MERGEFORMAT </w:instrText>
    </w:r>
    <w:r>
      <w:fldChar w:fldCharType="separate"/>
    </w:r>
    <w:r>
      <w:t>T/PPZL 065—2026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A0200">
    <w:pPr>
      <w:pStyle w:val="62"/>
    </w:pPr>
    <w:r>
      <w:rPr>
        <w:rFonts w:hint="eastAsia"/>
      </w:rPr>
      <w:fldChar w:fldCharType="begin"/>
    </w:r>
    <w:r>
      <w:rPr>
        <w:rFonts w:hint="eastAsia"/>
      </w:rPr>
      <w:instrText xml:space="preserve"> </w:instrText>
    </w:r>
    <w:r>
      <w:instrText xml:space="preserve">STYLEREF  标准文件_文件编号 \* MERGEFORMAT</w:instrText>
    </w:r>
    <w:r>
      <w:rPr>
        <w:rFonts w:hint="eastAsia"/>
      </w:rPr>
      <w:instrText xml:space="preserve"> </w:instrText>
    </w:r>
    <w:r>
      <w:rPr>
        <w:rFonts w:hint="eastAsia"/>
      </w:rPr>
      <w:fldChar w:fldCharType="separate"/>
    </w:r>
    <w:r>
      <w:rPr>
        <w:rFonts w:hint="eastAsia"/>
      </w:rPr>
      <w:t>T/PPZL 065—2026</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1B850">
    <w:pPr>
      <w:pStyle w:val="61"/>
      <w:rPr>
        <w:rFonts w:hint="eastAsia"/>
      </w:rPr>
    </w:pPr>
    <w:r>
      <w:fldChar w:fldCharType="begin"/>
    </w:r>
    <w:r>
      <w:instrText xml:space="preserve"> STYLEREF  标准文件_文件编号  \* MERGEFORMAT </w:instrText>
    </w:r>
    <w:r>
      <w:fldChar w:fldCharType="separate"/>
    </w:r>
    <w:r>
      <w:t>T/PPZL 065—2026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1ADCC">
    <w:pPr>
      <w:pStyle w:val="62"/>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065—2026</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dit="forms"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7A2"/>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199"/>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2C41"/>
    <w:rsid w:val="00184F9C"/>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0F7C"/>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4A0"/>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4A93"/>
    <w:rsid w:val="0024515B"/>
    <w:rsid w:val="00246021"/>
    <w:rsid w:val="0024666E"/>
    <w:rsid w:val="00247F52"/>
    <w:rsid w:val="00250B25"/>
    <w:rsid w:val="00250BBE"/>
    <w:rsid w:val="002515C2"/>
    <w:rsid w:val="0025194F"/>
    <w:rsid w:val="00253207"/>
    <w:rsid w:val="0026148A"/>
    <w:rsid w:val="00262696"/>
    <w:rsid w:val="00263D25"/>
    <w:rsid w:val="002643C3"/>
    <w:rsid w:val="00264A0C"/>
    <w:rsid w:val="0026590A"/>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17CD"/>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557FB"/>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3D42"/>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4DA4"/>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5167"/>
    <w:rsid w:val="00516088"/>
    <w:rsid w:val="00516B0B"/>
    <w:rsid w:val="005220EC"/>
    <w:rsid w:val="00523ECF"/>
    <w:rsid w:val="00523F95"/>
    <w:rsid w:val="00524D65"/>
    <w:rsid w:val="00525B16"/>
    <w:rsid w:val="005307A2"/>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0FCD"/>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4E73"/>
    <w:rsid w:val="005C5F21"/>
    <w:rsid w:val="005C7156"/>
    <w:rsid w:val="005D0C75"/>
    <w:rsid w:val="005D4171"/>
    <w:rsid w:val="005D4B74"/>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95601"/>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63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2C23"/>
    <w:rsid w:val="008E4BB6"/>
    <w:rsid w:val="008E5518"/>
    <w:rsid w:val="008E6A84"/>
    <w:rsid w:val="008F0CDC"/>
    <w:rsid w:val="008F17A3"/>
    <w:rsid w:val="008F1ED3"/>
    <w:rsid w:val="008F4C29"/>
    <w:rsid w:val="008F70BD"/>
    <w:rsid w:val="008F788F"/>
    <w:rsid w:val="008F7EA2"/>
    <w:rsid w:val="00902722"/>
    <w:rsid w:val="009027BC"/>
    <w:rsid w:val="009027C9"/>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0B14"/>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35C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2B4"/>
    <w:rsid w:val="00AE070A"/>
    <w:rsid w:val="00AE0AD0"/>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47EFF"/>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2742"/>
    <w:rsid w:val="00C55232"/>
    <w:rsid w:val="00C553A4"/>
    <w:rsid w:val="00C55A06"/>
    <w:rsid w:val="00C55D03"/>
    <w:rsid w:val="00C601BC"/>
    <w:rsid w:val="00C62B7E"/>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1E3"/>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29B6"/>
    <w:rsid w:val="00D93030"/>
    <w:rsid w:val="00D950E1"/>
    <w:rsid w:val="00D952A6"/>
    <w:rsid w:val="00D97F99"/>
    <w:rsid w:val="00DA04C4"/>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22BD"/>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3EE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A7C62"/>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1DFC3255"/>
    <w:rsid w:val="35711EBA"/>
    <w:rsid w:val="3EA94638"/>
    <w:rsid w:val="48C93BB0"/>
    <w:rsid w:val="56D16320"/>
    <w:rsid w:val="647A428B"/>
    <w:rsid w:val="6FA67CE6"/>
    <w:rsid w:val="73306E0A"/>
    <w:rsid w:val="755519F9"/>
    <w:rsid w:val="7A1F0F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qFormat="1" w:uiPriority="39" w:semiHidden="0" w:name="toc 4"/>
    <w:lsdException w:uiPriority="39" w:semiHidden="0" w:name="toc 5"/>
    <w:lsdException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7" Type="http://schemas.openxmlformats.org/officeDocument/2006/relationships/glossaryDocument" Target="glossary/document.xml"/><Relationship Id="rId46" Type="http://schemas.openxmlformats.org/officeDocument/2006/relationships/fontTable" Target="fontTable.xml"/><Relationship Id="rId45" Type="http://schemas.openxmlformats.org/officeDocument/2006/relationships/customXml" Target="../customXml/item2.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image" Target="media/image3.jpeg"/><Relationship Id="rId41" Type="http://schemas.openxmlformats.org/officeDocument/2006/relationships/image" Target="media/image2.png"/><Relationship Id="rId40" Type="http://schemas.openxmlformats.org/officeDocument/2006/relationships/image" Target="media/image1.png"/><Relationship Id="rId4" Type="http://schemas.openxmlformats.org/officeDocument/2006/relationships/endnotes" Target="endnotes.xml"/><Relationship Id="rId39" Type="http://schemas.openxmlformats.org/officeDocument/2006/relationships/theme" Target="theme/theme1.xml"/><Relationship Id="rId38" Type="http://schemas.openxmlformats.org/officeDocument/2006/relationships/footer" Target="footer17.xml"/><Relationship Id="rId37" Type="http://schemas.openxmlformats.org/officeDocument/2006/relationships/footer" Target="footer16.xml"/><Relationship Id="rId36" Type="http://schemas.openxmlformats.org/officeDocument/2006/relationships/header" Target="header17.xml"/><Relationship Id="rId35" Type="http://schemas.openxmlformats.org/officeDocument/2006/relationships/header" Target="header16.xml"/><Relationship Id="rId34" Type="http://schemas.openxmlformats.org/officeDocument/2006/relationships/footer" Target="footer15.xml"/><Relationship Id="rId33" Type="http://schemas.openxmlformats.org/officeDocument/2006/relationships/footer" Target="footer14.xml"/><Relationship Id="rId32" Type="http://schemas.openxmlformats.org/officeDocument/2006/relationships/header" Target="header15.xml"/><Relationship Id="rId31" Type="http://schemas.openxmlformats.org/officeDocument/2006/relationships/header" Target="header14.xml"/><Relationship Id="rId30" Type="http://schemas.openxmlformats.org/officeDocument/2006/relationships/footer" Target="footer13.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header" Target="header13.xml"/><Relationship Id="rId27" Type="http://schemas.openxmlformats.org/officeDocument/2006/relationships/header" Target="header12.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F604B8B6D52C438289EABE5376A98ADE"/>
        <w:style w:val=""/>
        <w:category>
          <w:name w:val="常规"/>
          <w:gallery w:val="placeholder"/>
        </w:category>
        <w:types>
          <w:type w:val="bbPlcHdr"/>
        </w:types>
        <w:behaviors>
          <w:behavior w:val="content"/>
        </w:behaviors>
        <w:description w:val=""/>
        <w:guid w:val="{613B8FE0-9ED8-4059-AC21-EDAD6E1320BE}"/>
      </w:docPartPr>
      <w:docPartBody>
        <w:p w14:paraId="4B4FC8E3">
          <w:pPr>
            <w:pStyle w:val="5"/>
            <w:rPr>
              <w:rFonts w:hint="eastAsia"/>
            </w:rPr>
          </w:pPr>
          <w:r>
            <w:rPr>
              <w:rStyle w:val="4"/>
              <w:rFonts w:hint="eastAsia"/>
            </w:rPr>
            <w:t>单击或点击此处输入文字。</w:t>
          </w:r>
        </w:p>
      </w:docPartBody>
    </w:docPart>
    <w:docPart>
      <w:docPartPr>
        <w:name w:val="A73689761C7E4FE494465A2A4E9D74CA"/>
        <w:style w:val=""/>
        <w:category>
          <w:name w:val="常规"/>
          <w:gallery w:val="placeholder"/>
        </w:category>
        <w:types>
          <w:type w:val="bbPlcHdr"/>
        </w:types>
        <w:behaviors>
          <w:behavior w:val="content"/>
        </w:behaviors>
        <w:description w:val=""/>
        <w:guid w:val="{57466BE7-00FD-4FDD-A688-7B2522603604}"/>
      </w:docPartPr>
      <w:docPartBody>
        <w:p w14:paraId="7375E706">
          <w:pPr>
            <w:pStyle w:val="6"/>
            <w:rPr>
              <w:rFonts w:hint="eastAsia"/>
            </w:rPr>
          </w:pPr>
          <w:r>
            <w:rPr>
              <w:rStyle w:val="4"/>
              <w:rFonts w:hint="eastAsia"/>
            </w:rPr>
            <w:t>选择一项。</w:t>
          </w:r>
        </w:p>
      </w:docPartBody>
    </w:docPart>
    <w:docPart>
      <w:docPartPr>
        <w:name w:val="A727AF6D4F264BA4B3E960E4201A3EB9"/>
        <w:style w:val=""/>
        <w:category>
          <w:name w:val="常规"/>
          <w:gallery w:val="placeholder"/>
        </w:category>
        <w:types>
          <w:type w:val="bbPlcHdr"/>
        </w:types>
        <w:behaviors>
          <w:behavior w:val="content"/>
        </w:behaviors>
        <w:description w:val=""/>
        <w:guid w:val="{215A6405-7398-4643-B6F4-1826C33833ED}"/>
      </w:docPartPr>
      <w:docPartBody>
        <w:p w14:paraId="3E24B2AA">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C59"/>
    <w:rsid w:val="002024A0"/>
    <w:rsid w:val="00216968"/>
    <w:rsid w:val="005441DD"/>
    <w:rsid w:val="00695601"/>
    <w:rsid w:val="006D3C7E"/>
    <w:rsid w:val="00754C59"/>
    <w:rsid w:val="00CB11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F604B8B6D52C438289EABE5376A98ADE"/>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A73689761C7E4FE494465A2A4E9D74C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A727AF6D4F264BA4B3E960E4201A3EB9"/>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Template>
  <Pages>15</Pages>
  <Words>3396</Words>
  <Characters>3973</Characters>
  <Lines>336</Lines>
  <Paragraphs>281</Paragraphs>
  <TotalTime>1</TotalTime>
  <ScaleCrop>false</ScaleCrop>
  <LinksUpToDate>false</LinksUpToDate>
  <CharactersWithSpaces>4096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2026-06-03T08:25:00Z</dcterms:created>
  <dc:creator>李谭芳</dc:creator>
  <cp:lastModifiedBy>Summer</cp:lastModifiedBy>
  <cp:lastPrinted>2026-06-03T08:25:00Z</cp:lastPrinted>
  <dcterms:modified xsi:type="dcterms:W3CDTF">2026-06-09T07:43:50Z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eyJoZGlkIjoiOTQ3YjgzMjk2YmMzMjAwMDg1MTA4OGVjMGI5N2Q1YzkiLCJ1c2VySWQiOiI2Nzc0MDU1MjUifQ==</vt:lpwstr>
  </property>
  <property fmtid="{D5CDD505-2E9C-101B-9397-08002B2CF9AE}" pid="15" name="KSOProductBuildVer">
    <vt:lpwstr>2052-12.1.0.26895</vt:lpwstr>
  </property>
  <property fmtid="{D5CDD505-2E9C-101B-9397-08002B2CF9AE}" pid="16" name="ICV">
    <vt:lpwstr>8084A66C266B41C88B76DFB91ADF9ED1_13</vt:lpwstr>
  </property>
  <property fmtid="{D5CDD505-2E9C-101B-9397-08002B2CF9AE}" pid="17" name="DoublePage">
    <vt:lpwstr>true</vt:lpwstr>
  </property>
</Properties>
</file>