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433—2026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园林改良土壤配制与施用技术规程</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Technical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 xml:space="preserve">egulations for </w:t>
      </w:r>
      <w:r>
        <w:rPr>
          <w:rFonts w:hint="eastAsia" w:ascii="黑体" w:hAnsi="黑体" w:eastAsia="黑体" w:cs="黑体"/>
          <w:snapToGrid w:val="0"/>
          <w:color w:val="000000"/>
          <w:spacing w:val="-2"/>
          <w:kern w:val="0"/>
          <w:sz w:val="28"/>
          <w:szCs w:val="28"/>
          <w:lang w:val="en-US" w:eastAsia="zh-CN" w:bidi="ar-SA"/>
        </w:rPr>
        <w:t>p</w:t>
      </w:r>
      <w:r>
        <w:rPr>
          <w:rFonts w:hint="eastAsia" w:ascii="黑体" w:hAnsi="黑体" w:eastAsia="黑体" w:cs="黑体"/>
          <w:snapToGrid w:val="0"/>
          <w:color w:val="000000"/>
          <w:spacing w:val="-2"/>
          <w:kern w:val="0"/>
          <w:sz w:val="28"/>
          <w:szCs w:val="28"/>
          <w:lang w:val="en-US" w:eastAsia="en-US" w:bidi="ar-SA"/>
        </w:rPr>
        <w:t xml:space="preserve">reparation and </w:t>
      </w:r>
      <w:r>
        <w:rPr>
          <w:rFonts w:hint="eastAsia" w:ascii="黑体" w:hAnsi="黑体" w:eastAsia="黑体" w:cs="黑体"/>
          <w:snapToGrid w:val="0"/>
          <w:color w:val="000000"/>
          <w:spacing w:val="-2"/>
          <w:kern w:val="0"/>
          <w:sz w:val="28"/>
          <w:szCs w:val="28"/>
          <w:lang w:val="en-US" w:eastAsia="zh-CN" w:bidi="ar-SA"/>
        </w:rPr>
        <w:t>a</w:t>
      </w:r>
      <w:r>
        <w:rPr>
          <w:rFonts w:hint="eastAsia" w:ascii="黑体" w:hAnsi="黑体" w:eastAsia="黑体" w:cs="黑体"/>
          <w:snapToGrid w:val="0"/>
          <w:color w:val="000000"/>
          <w:spacing w:val="-2"/>
          <w:kern w:val="0"/>
          <w:sz w:val="28"/>
          <w:szCs w:val="28"/>
          <w:lang w:val="en-US" w:eastAsia="en-US" w:bidi="ar-SA"/>
        </w:rPr>
        <w:t xml:space="preserve">pplication of </w:t>
      </w:r>
      <w:r>
        <w:rPr>
          <w:rFonts w:hint="eastAsia" w:ascii="黑体" w:hAnsi="黑体" w:eastAsia="黑体" w:cs="黑体"/>
          <w:snapToGrid w:val="0"/>
          <w:color w:val="000000"/>
          <w:spacing w:val="-2"/>
          <w:kern w:val="0"/>
          <w:sz w:val="28"/>
          <w:szCs w:val="28"/>
          <w:lang w:val="en-US" w:eastAsia="zh-CN" w:bidi="ar-SA"/>
        </w:rPr>
        <w:t>i</w:t>
      </w:r>
      <w:r>
        <w:rPr>
          <w:rFonts w:hint="eastAsia" w:ascii="黑体" w:hAnsi="黑体" w:eastAsia="黑体" w:cs="黑体"/>
          <w:snapToGrid w:val="0"/>
          <w:color w:val="000000"/>
          <w:spacing w:val="-2"/>
          <w:kern w:val="0"/>
          <w:sz w:val="28"/>
          <w:szCs w:val="28"/>
          <w:lang w:val="en-US" w:eastAsia="en-US" w:bidi="ar-SA"/>
        </w:rPr>
        <w:t xml:space="preserve">mproved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oil in </w:t>
      </w:r>
      <w:r>
        <w:rPr>
          <w:rFonts w:hint="eastAsia" w:ascii="黑体" w:hAnsi="黑体" w:eastAsia="黑体" w:cs="黑体"/>
          <w:snapToGrid w:val="0"/>
          <w:color w:val="000000"/>
          <w:spacing w:val="-2"/>
          <w:kern w:val="0"/>
          <w:sz w:val="28"/>
          <w:szCs w:val="28"/>
          <w:lang w:val="en-US" w:eastAsia="zh-CN" w:bidi="ar-SA"/>
        </w:rPr>
        <w:t>l</w:t>
      </w:r>
      <w:r>
        <w:rPr>
          <w:rFonts w:hint="eastAsia" w:ascii="黑体" w:hAnsi="黑体" w:eastAsia="黑体" w:cs="黑体"/>
          <w:snapToGrid w:val="0"/>
          <w:color w:val="000000"/>
          <w:spacing w:val="-2"/>
          <w:kern w:val="0"/>
          <w:sz w:val="28"/>
          <w:szCs w:val="28"/>
          <w:lang w:val="en-US" w:eastAsia="en-US" w:bidi="ar-SA"/>
        </w:rPr>
        <w:t xml:space="preserve">andscape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ngineering</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660BF25B">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73C970F8">
      <w:pPr>
        <w:pStyle w:val="6"/>
        <w:rPr>
          <w:rFonts w:hint="eastAsia"/>
          <w:sz w:val="24"/>
        </w:rPr>
      </w:pPr>
    </w:p>
    <w:p w14:paraId="2BB8E8C5">
      <w:pPr>
        <w:pStyle w:val="6"/>
        <w:rPr>
          <w:rFonts w:hint="eastAsia"/>
          <w:sz w:val="24"/>
        </w:rPr>
      </w:pPr>
    </w:p>
    <w:p w14:paraId="5917DBB8">
      <w:pPr>
        <w:pStyle w:val="6"/>
        <w:rPr>
          <w:rFonts w:hint="eastAsia"/>
          <w:sz w:val="24"/>
        </w:rPr>
      </w:pPr>
    </w:p>
    <w:p w14:paraId="476B8B51">
      <w:pPr>
        <w:pStyle w:val="6"/>
        <w:rPr>
          <w:rFonts w:hint="eastAsia"/>
          <w:sz w:val="24"/>
        </w:rPr>
      </w:pPr>
    </w:p>
    <w:p w14:paraId="768AB27C">
      <w:pPr>
        <w:pStyle w:val="6"/>
        <w:rPr>
          <w:rFonts w:hint="eastAsia"/>
          <w:sz w:val="24"/>
        </w:rPr>
      </w:pPr>
    </w:p>
    <w:p w14:paraId="240CF599">
      <w:pPr>
        <w:pStyle w:val="6"/>
        <w:rPr>
          <w:b/>
          <w:sz w:val="20"/>
        </w:rPr>
      </w:pPr>
    </w:p>
    <w:p w14:paraId="6F33908D">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rPr>
              <w:rFonts w:hint="eastAsia" w:ascii="黑体" w:hAnsi="黑体" w:eastAsia="黑体" w:cs="黑体"/>
              <w:sz w:val="21"/>
              <w:szCs w:val="21"/>
            </w:rPr>
          </w:pPr>
        </w:p>
        <w:p w14:paraId="6AFF1A73">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TOC \o "1-1" \h \u </w:instrText>
          </w:r>
          <w:r>
            <w:rPr>
              <w:rFonts w:hint="eastAsia" w:ascii="黑体" w:hAnsi="黑体" w:eastAsia="黑体" w:cs="黑体"/>
              <w:sz w:val="21"/>
              <w:szCs w:val="21"/>
            </w:rPr>
            <w:fldChar w:fldCharType="separate"/>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_Toc19253 </w:instrText>
          </w:r>
          <w:r>
            <w:rPr>
              <w:rFonts w:hint="eastAsia" w:ascii="黑体" w:hAnsi="黑体" w:eastAsia="黑体" w:cs="黑体"/>
              <w:sz w:val="21"/>
              <w:szCs w:val="21"/>
            </w:rPr>
            <w:fldChar w:fldCharType="separate"/>
          </w:r>
          <w:r>
            <w:rPr>
              <w:rFonts w:hint="eastAsia" w:ascii="黑体" w:hAnsi="黑体" w:eastAsia="黑体" w:cs="黑体"/>
              <w:spacing w:val="-2"/>
              <w:sz w:val="21"/>
              <w:szCs w:val="21"/>
            </w:rPr>
            <w:t>前</w:t>
          </w:r>
          <w:r>
            <w:rPr>
              <w:rFonts w:hint="eastAsia" w:ascii="黑体" w:hAnsi="黑体" w:eastAsia="黑体" w:cs="黑体"/>
              <w:spacing w:val="-2"/>
              <w:sz w:val="21"/>
              <w:szCs w:val="21"/>
              <w:lang w:val="en-US" w:eastAsia="zh-CN"/>
            </w:rPr>
            <w:t xml:space="preserve"> </w:t>
          </w:r>
          <w:r>
            <w:rPr>
              <w:rFonts w:hint="eastAsia" w:ascii="黑体" w:hAnsi="黑体" w:eastAsia="黑体" w:cs="黑体"/>
              <w:spacing w:val="-2"/>
              <w:sz w:val="21"/>
              <w:szCs w:val="21"/>
            </w:rPr>
            <w:t>言</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_Toc19253 \h </w:instrText>
          </w:r>
          <w:r>
            <w:rPr>
              <w:rFonts w:hint="eastAsia" w:ascii="黑体" w:hAnsi="黑体" w:eastAsia="黑体" w:cs="黑体"/>
              <w:sz w:val="21"/>
              <w:szCs w:val="21"/>
            </w:rPr>
            <w:fldChar w:fldCharType="separate"/>
          </w:r>
          <w:r>
            <w:rPr>
              <w:rFonts w:hint="eastAsia" w:ascii="黑体" w:hAnsi="黑体" w:eastAsia="黑体" w:cs="黑体"/>
              <w:sz w:val="21"/>
              <w:szCs w:val="21"/>
            </w:rPr>
            <w:t>II</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68469673">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_Toc11251 </w:instrText>
          </w:r>
          <w:r>
            <w:rPr>
              <w:rFonts w:hint="eastAsia" w:ascii="黑体" w:hAnsi="黑体" w:eastAsia="黑体" w:cs="黑体"/>
              <w:sz w:val="21"/>
              <w:szCs w:val="21"/>
            </w:rPr>
            <w:fldChar w:fldCharType="separate"/>
          </w:r>
          <w:r>
            <w:rPr>
              <w:rFonts w:hint="eastAsia" w:ascii="黑体" w:hAnsi="黑体" w:eastAsia="黑体" w:cs="黑体"/>
              <w:sz w:val="21"/>
              <w:szCs w:val="21"/>
              <w:lang w:val="en-US" w:eastAsia="zh-CN"/>
            </w:rPr>
            <w:t>引</w:t>
          </w:r>
          <w:r>
            <w:rPr>
              <w:rFonts w:hint="eastAsia" w:ascii="黑体" w:hAnsi="黑体" w:eastAsia="黑体" w:cs="黑体"/>
              <w:sz w:val="21"/>
              <w:szCs w:val="21"/>
            </w:rPr>
            <w:t xml:space="preserve"> 言</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_Toc11251 \h </w:instrText>
          </w:r>
          <w:r>
            <w:rPr>
              <w:rFonts w:hint="eastAsia" w:ascii="黑体" w:hAnsi="黑体" w:eastAsia="黑体" w:cs="黑体"/>
              <w:sz w:val="21"/>
              <w:szCs w:val="21"/>
            </w:rPr>
            <w:fldChar w:fldCharType="separate"/>
          </w:r>
          <w:r>
            <w:rPr>
              <w:rFonts w:hint="eastAsia" w:ascii="黑体" w:hAnsi="黑体" w:eastAsia="黑体" w:cs="黑体"/>
              <w:sz w:val="21"/>
              <w:szCs w:val="21"/>
            </w:rPr>
            <w:t>III</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2A5453B8">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_Toc16888 </w:instrText>
          </w:r>
          <w:r>
            <w:rPr>
              <w:rFonts w:hint="eastAsia" w:ascii="黑体" w:hAnsi="黑体" w:eastAsia="黑体" w:cs="黑体"/>
              <w:sz w:val="21"/>
              <w:szCs w:val="21"/>
            </w:rPr>
            <w:fldChar w:fldCharType="separate"/>
          </w:r>
          <w:r>
            <w:rPr>
              <w:rFonts w:hint="eastAsia" w:ascii="黑体" w:hAnsi="黑体" w:eastAsia="黑体" w:cs="黑体"/>
              <w:sz w:val="21"/>
              <w:szCs w:val="21"/>
            </w:rPr>
            <w:t>1  范围</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_Toc16888 \h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22EEE0EF">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_Toc865 </w:instrText>
          </w:r>
          <w:r>
            <w:rPr>
              <w:rFonts w:hint="eastAsia" w:ascii="黑体" w:hAnsi="黑体" w:eastAsia="黑体" w:cs="黑体"/>
              <w:sz w:val="21"/>
              <w:szCs w:val="21"/>
            </w:rPr>
            <w:fldChar w:fldCharType="separate"/>
          </w:r>
          <w:r>
            <w:rPr>
              <w:rFonts w:hint="eastAsia" w:ascii="黑体" w:hAnsi="黑体" w:eastAsia="黑体" w:cs="黑体"/>
              <w:sz w:val="21"/>
              <w:szCs w:val="21"/>
            </w:rPr>
            <w:t>2  规范性引用文件</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_Toc865 \h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368B7513">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_Toc28717 </w:instrText>
          </w:r>
          <w:r>
            <w:rPr>
              <w:rFonts w:hint="eastAsia" w:ascii="黑体" w:hAnsi="黑体" w:eastAsia="黑体" w:cs="黑体"/>
              <w:sz w:val="21"/>
              <w:szCs w:val="21"/>
            </w:rPr>
            <w:fldChar w:fldCharType="separate"/>
          </w:r>
          <w:r>
            <w:rPr>
              <w:rFonts w:hint="eastAsia" w:ascii="黑体" w:hAnsi="黑体" w:eastAsia="黑体" w:cs="黑体"/>
              <w:sz w:val="21"/>
              <w:szCs w:val="21"/>
            </w:rPr>
            <w:t>3  术语和定义</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_Toc28717 \h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0B252723">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_Toc9315 </w:instrText>
          </w:r>
          <w:r>
            <w:rPr>
              <w:rFonts w:hint="eastAsia" w:ascii="黑体" w:hAnsi="黑体" w:eastAsia="黑体" w:cs="黑体"/>
              <w:sz w:val="21"/>
              <w:szCs w:val="21"/>
            </w:rPr>
            <w:fldChar w:fldCharType="separate"/>
          </w:r>
          <w:r>
            <w:rPr>
              <w:rFonts w:hint="eastAsia" w:ascii="黑体" w:hAnsi="黑体" w:eastAsia="黑体" w:cs="黑体"/>
              <w:sz w:val="21"/>
              <w:szCs w:val="21"/>
            </w:rPr>
            <w:t>4  原材料技术要求</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_Toc9315 \h </w:instrText>
          </w:r>
          <w:r>
            <w:rPr>
              <w:rFonts w:hint="eastAsia" w:ascii="黑体" w:hAnsi="黑体" w:eastAsia="黑体" w:cs="黑体"/>
              <w:sz w:val="21"/>
              <w:szCs w:val="21"/>
            </w:rPr>
            <w:fldChar w:fldCharType="separate"/>
          </w:r>
          <w:r>
            <w:rPr>
              <w:rFonts w:hint="eastAsia" w:ascii="黑体" w:hAnsi="黑体" w:eastAsia="黑体" w:cs="黑体"/>
              <w:sz w:val="21"/>
              <w:szCs w:val="21"/>
            </w:rPr>
            <w:t>2</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47A4B0CF">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_Toc12004 </w:instrText>
          </w:r>
          <w:r>
            <w:rPr>
              <w:rFonts w:hint="eastAsia" w:ascii="黑体" w:hAnsi="黑体" w:eastAsia="黑体" w:cs="黑体"/>
              <w:sz w:val="21"/>
              <w:szCs w:val="21"/>
            </w:rPr>
            <w:fldChar w:fldCharType="separate"/>
          </w:r>
          <w:r>
            <w:rPr>
              <w:rFonts w:hint="eastAsia" w:ascii="黑体" w:hAnsi="黑体" w:eastAsia="黑体" w:cs="黑体"/>
              <w:sz w:val="21"/>
              <w:szCs w:val="21"/>
            </w:rPr>
            <w:t>5  配方设计原则</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_Toc12004 \h </w:instrText>
          </w:r>
          <w:r>
            <w:rPr>
              <w:rFonts w:hint="eastAsia" w:ascii="黑体" w:hAnsi="黑体" w:eastAsia="黑体" w:cs="黑体"/>
              <w:sz w:val="21"/>
              <w:szCs w:val="21"/>
            </w:rPr>
            <w:fldChar w:fldCharType="separate"/>
          </w:r>
          <w:r>
            <w:rPr>
              <w:rFonts w:hint="eastAsia" w:ascii="黑体" w:hAnsi="黑体" w:eastAsia="黑体" w:cs="黑体"/>
              <w:sz w:val="21"/>
              <w:szCs w:val="21"/>
            </w:rPr>
            <w:t>2</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6D67F38D">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_Toc5409 </w:instrText>
          </w:r>
          <w:r>
            <w:rPr>
              <w:rFonts w:hint="eastAsia" w:ascii="黑体" w:hAnsi="黑体" w:eastAsia="黑体" w:cs="黑体"/>
              <w:sz w:val="21"/>
              <w:szCs w:val="21"/>
            </w:rPr>
            <w:fldChar w:fldCharType="separate"/>
          </w:r>
          <w:r>
            <w:rPr>
              <w:rFonts w:hint="eastAsia" w:ascii="黑体" w:hAnsi="黑体" w:eastAsia="黑体" w:cs="黑体"/>
              <w:sz w:val="21"/>
              <w:szCs w:val="21"/>
            </w:rPr>
            <w:t>6  拌制施工要求</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_Toc5409 \h </w:instrText>
          </w:r>
          <w:r>
            <w:rPr>
              <w:rFonts w:hint="eastAsia" w:ascii="黑体" w:hAnsi="黑体" w:eastAsia="黑体" w:cs="黑体"/>
              <w:sz w:val="21"/>
              <w:szCs w:val="21"/>
            </w:rPr>
            <w:fldChar w:fldCharType="separate"/>
          </w:r>
          <w:r>
            <w:rPr>
              <w:rFonts w:hint="eastAsia" w:ascii="黑体" w:hAnsi="黑体" w:eastAsia="黑体" w:cs="黑体"/>
              <w:sz w:val="21"/>
              <w:szCs w:val="21"/>
            </w:rPr>
            <w:t>2</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0F64A434">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_Toc8088 </w:instrText>
          </w:r>
          <w:r>
            <w:rPr>
              <w:rFonts w:hint="eastAsia" w:ascii="黑体" w:hAnsi="黑体" w:eastAsia="黑体" w:cs="黑体"/>
              <w:sz w:val="21"/>
              <w:szCs w:val="21"/>
            </w:rPr>
            <w:fldChar w:fldCharType="separate"/>
          </w:r>
          <w:r>
            <w:rPr>
              <w:rFonts w:hint="eastAsia" w:ascii="黑体" w:hAnsi="黑体" w:eastAsia="黑体" w:cs="黑体"/>
              <w:sz w:val="21"/>
              <w:szCs w:val="21"/>
            </w:rPr>
            <w:t>7  施用技术要求</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_Toc8088 \h </w:instrText>
          </w:r>
          <w:r>
            <w:rPr>
              <w:rFonts w:hint="eastAsia" w:ascii="黑体" w:hAnsi="黑体" w:eastAsia="黑体" w:cs="黑体"/>
              <w:sz w:val="21"/>
              <w:szCs w:val="21"/>
            </w:rPr>
            <w:fldChar w:fldCharType="separate"/>
          </w:r>
          <w:r>
            <w:rPr>
              <w:rFonts w:hint="eastAsia" w:ascii="黑体" w:hAnsi="黑体" w:eastAsia="黑体" w:cs="黑体"/>
              <w:sz w:val="21"/>
              <w:szCs w:val="21"/>
            </w:rPr>
            <w:t>3</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7EFB5F1D">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_Toc7514 </w:instrText>
          </w:r>
          <w:r>
            <w:rPr>
              <w:rFonts w:hint="eastAsia" w:ascii="黑体" w:hAnsi="黑体" w:eastAsia="黑体" w:cs="黑体"/>
              <w:sz w:val="21"/>
              <w:szCs w:val="21"/>
            </w:rPr>
            <w:fldChar w:fldCharType="separate"/>
          </w:r>
          <w:r>
            <w:rPr>
              <w:rFonts w:hint="eastAsia" w:ascii="黑体" w:hAnsi="黑体" w:eastAsia="黑体" w:cs="黑体"/>
              <w:sz w:val="21"/>
              <w:szCs w:val="21"/>
            </w:rPr>
            <w:t>8  质量检测方法</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_Toc7514 \h </w:instrText>
          </w:r>
          <w:r>
            <w:rPr>
              <w:rFonts w:hint="eastAsia" w:ascii="黑体" w:hAnsi="黑体" w:eastAsia="黑体" w:cs="黑体"/>
              <w:sz w:val="21"/>
              <w:szCs w:val="21"/>
            </w:rPr>
            <w:fldChar w:fldCharType="separate"/>
          </w:r>
          <w:r>
            <w:rPr>
              <w:rFonts w:hint="eastAsia" w:ascii="黑体" w:hAnsi="黑体" w:eastAsia="黑体" w:cs="黑体"/>
              <w:sz w:val="21"/>
              <w:szCs w:val="21"/>
            </w:rPr>
            <w:t>3</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4FB057E9">
          <w:pPr>
            <w:pStyle w:val="10"/>
            <w:tabs>
              <w:tab w:val="right" w:leader="dot" w:pos="9359"/>
            </w:tabs>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HYPERLINK \l _Toc3726 </w:instrText>
          </w:r>
          <w:r>
            <w:rPr>
              <w:rFonts w:hint="eastAsia" w:ascii="黑体" w:hAnsi="黑体" w:eastAsia="黑体" w:cs="黑体"/>
              <w:sz w:val="21"/>
              <w:szCs w:val="21"/>
            </w:rPr>
            <w:fldChar w:fldCharType="separate"/>
          </w:r>
          <w:r>
            <w:rPr>
              <w:rFonts w:hint="eastAsia" w:ascii="黑体" w:hAnsi="黑体" w:eastAsia="黑体" w:cs="黑体"/>
              <w:sz w:val="21"/>
              <w:szCs w:val="21"/>
            </w:rPr>
            <w:t>9  贮存管理与安全要求</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_Toc3726 \h </w:instrText>
          </w:r>
          <w:r>
            <w:rPr>
              <w:rFonts w:hint="eastAsia" w:ascii="黑体" w:hAnsi="黑体" w:eastAsia="黑体" w:cs="黑体"/>
              <w:sz w:val="21"/>
              <w:szCs w:val="21"/>
            </w:rPr>
            <w:fldChar w:fldCharType="separate"/>
          </w:r>
          <w:r>
            <w:rPr>
              <w:rFonts w:hint="eastAsia" w:ascii="黑体" w:hAnsi="黑体" w:eastAsia="黑体" w:cs="黑体"/>
              <w:sz w:val="21"/>
              <w:szCs w:val="21"/>
            </w:rPr>
            <w:t>3</w:t>
          </w:r>
          <w:r>
            <w:rPr>
              <w:rFonts w:hint="eastAsia" w:ascii="黑体" w:hAnsi="黑体" w:eastAsia="黑体" w:cs="黑体"/>
              <w:sz w:val="21"/>
              <w:szCs w:val="21"/>
            </w:rPr>
            <w:fldChar w:fldCharType="end"/>
          </w:r>
          <w:r>
            <w:rPr>
              <w:rFonts w:hint="eastAsia" w:ascii="黑体" w:hAnsi="黑体" w:eastAsia="黑体" w:cs="黑体"/>
              <w:sz w:val="21"/>
              <w:szCs w:val="21"/>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sz w:val="21"/>
              <w:szCs w:val="21"/>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bookmarkStart w:id="18" w:name="_GoBack"/>
      <w:bookmarkEnd w:id="18"/>
    </w:p>
    <w:p w14:paraId="597247B1">
      <w:pPr>
        <w:spacing w:beforeLines="100" w:afterLines="100" w:line="240" w:lineRule="auto"/>
        <w:ind w:left="0" w:right="0"/>
        <w:jc w:val="center"/>
        <w:outlineLvl w:val="0"/>
        <w:rPr>
          <w:sz w:val="21"/>
          <w:szCs w:val="21"/>
        </w:rPr>
      </w:pPr>
      <w:bookmarkStart w:id="1" w:name="_Toc12046"/>
      <w:bookmarkStart w:id="2" w:name="_Toc6131"/>
      <w:bookmarkStart w:id="3" w:name="_Toc14474"/>
      <w:bookmarkStart w:id="4" w:name="_Toc19253"/>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30364"/>
      <w:bookmarkStart w:id="6" w:name="_Toc879"/>
      <w:bookmarkStart w:id="7" w:name="_Toc17701"/>
      <w:bookmarkStart w:id="8" w:name="_Toc11251"/>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园林改良土壤是保障城市绿化植物正常生长、提高绿化景观质量的重要基础材料。随着城市绿化建设规模的扩大和绿化质量标准的提升，土壤改良已成为园林工程中不可或缺的技术环节。当前园林改良土壤的配制和施用缺乏统一规范，存在原材料选择随意、配方设计不科学、施工操作不规范等问题，影响了绿化植物的成活率和生长效果。为规范园林改良土壤的原材料选择、配方设计、拌制施工及质量检测全过程技术要求，保障园林绿化工程质量，依据土壤学原理和园林绿化工程技术标准，制定本规程。</w:t>
      </w:r>
    </w:p>
    <w:p w14:paraId="06136885">
      <w:pPr>
        <w:jc w:val="center"/>
        <w:rPr>
          <w:rFonts w:hint="eastAsia" w:ascii="黑体" w:hAnsi="黑体" w:eastAsia="黑体" w:cs="黑体"/>
          <w:sz w:val="32"/>
          <w:szCs w:val="32"/>
        </w:rPr>
      </w:pPr>
      <w:r>
        <w:rPr>
          <w:rFonts w:hint="eastAsia" w:ascii="黑体" w:hAnsi="黑体" w:eastAsia="黑体" w:cs="黑体"/>
          <w:sz w:val="32"/>
          <w:szCs w:val="32"/>
        </w:rPr>
        <w:t>园林改良土壤配制与施用技术规程</w:t>
      </w:r>
    </w:p>
    <w:p w14:paraId="0F11F7E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16888"/>
      <w:r>
        <w:rPr>
          <w:rFonts w:hint="eastAsia"/>
        </w:rPr>
        <w:t>1  范围</w:t>
      </w:r>
      <w:bookmarkEnd w:id="9"/>
    </w:p>
    <w:p w14:paraId="5B97F8A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园林改良土壤原材料的种类、技术要求和质量检验方法，不同绿化植物类型对应的改良土壤配方设计原则，原材料的采购验收、贮存保管和计量配料要求，改良土壤拌制操作程序和施工质量控制要求，改良土壤施用厚度、施工工序和覆土要求，以及施用后植物生长适宜性的现场检测指标要求。</w:t>
      </w:r>
    </w:p>
    <w:p w14:paraId="38E45A35">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适用于城市园林绿地建设和更新改造工程中改良土壤的配制与施用工作。</w:t>
      </w:r>
    </w:p>
    <w:p w14:paraId="387EC87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865"/>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03C2B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 15618 土壤环境质量 农用地土壤污染风险管控标准</w:t>
      </w:r>
    </w:p>
    <w:p w14:paraId="23DA6B05">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GB/T 6274 肥料和土壤调理剂 术语
</w:t>
      </w:r>
    </w:p>
    <w:p w14:paraId="1D78E50A">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GB/T 22105 土壤质量 土壤中全氮的测定
</w:t>
      </w:r>
    </w:p>
    <w:p w14:paraId="73E6286A">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NY/T 1634 耕地地力评价指南
</w:t>
      </w:r>
    </w:p>
    <w:p w14:paraId="292A6E1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NY/T 525 有机肥料
</w:t>
      </w:r>
    </w:p>
    <w:p w14:paraId="3663F37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CJ/T 243 城镇绿地分类标准
</w:t>
      </w:r>
    </w:p>
    <w:p w14:paraId="1DFB2C6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CJ/T 340 绿化种植土壤
</w:t>
      </w:r>
    </w:p>
    <w:p w14:paraId="3FF96E9B">
      <w:pPr>
        <w:spacing w:line="240" w:lineRule="auto"/>
        <w:ind w:firstLine="500" w:firstLineChars="0"/>
        <w:jc w:val="both"/>
      </w:pPr>
      <w:r>
        <w:rPr>
          <w:rFonts w:hint="eastAsia" w:ascii="Times New Roman" w:hAnsi="Times New Roman" w:eastAsia="宋体" w:cs="宋体"/>
          <w:sz w:val="21"/>
          <w:szCs w:val="21"/>
        </w:rPr>
        <w:t>LY/T 1228 森林土壤全磷的测定</w:t>
      </w:r>
    </w:p>
    <w:p w14:paraId="7A92EBB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28717"/>
      <w:r>
        <w:rPr>
          <w:rFonts w:hint="eastAsia"/>
        </w:rPr>
        <w:t>3  术语和定义</w:t>
      </w:r>
      <w:bookmarkEnd w:id="11"/>
    </w:p>
    <w:p w14:paraId="0A61D42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7AC68BDD">
      <w:pPr>
        <w:rPr>
          <w:rFonts w:hint="eastAsia" w:ascii="黑体" w:hAnsi="黑体" w:eastAsia="黑体" w:cs="黑体"/>
        </w:rPr>
      </w:pPr>
      <w:r>
        <w:rPr>
          <w:rFonts w:hint="eastAsia" w:ascii="黑体" w:hAnsi="黑体" w:eastAsia="黑体" w:cs="黑体"/>
        </w:rPr>
        <w:t>3.1</w:t>
      </w:r>
    </w:p>
    <w:p w14:paraId="75172E07">
      <w:pPr>
        <w:ind w:firstLine="500" w:firstLineChars="0"/>
        <w:rPr>
          <w:rFonts w:hint="eastAsia" w:ascii="黑体" w:hAnsi="黑体" w:eastAsia="黑体" w:cs="黑体"/>
        </w:rPr>
      </w:pPr>
      <w:r>
        <w:rPr>
          <w:rFonts w:hint="eastAsia" w:ascii="黑体" w:hAnsi="黑体" w:eastAsia="黑体" w:cs="黑体"/>
        </w:rPr>
        <w:t>园林改良土壤</w:t>
      </w:r>
      <w:r>
        <w:rPr>
          <w:rFonts w:hint="eastAsia" w:ascii="黑体" w:hAnsi="黑体" w:eastAsia="黑体" w:cs="黑体"/>
          <w:lang w:val="en-US" w:eastAsia="zh-CN"/>
        </w:rPr>
        <w:t xml:space="preserve"> </w:t>
      </w:r>
      <w:r>
        <w:rPr>
          <w:rFonts w:hint="eastAsia" w:ascii="黑体" w:hAnsi="黑体" w:eastAsia="黑体" w:cs="黑体"/>
        </w:rPr>
        <w:t xml:space="preserve"> landscape improved soil
</w:t>
      </w:r>
    </w:p>
    <w:p w14:paraId="6BCCB42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以天然土壤为基础，按照一定比例加入有机材料、无机调理剂等改良物料，经拌制均匀后用于园林绿化种植的混合土壤基质。
</w:t>
      </w:r>
    </w:p>
    <w:p w14:paraId="31E1AD8E">
      <w:pPr>
        <w:rPr>
          <w:rFonts w:hint="eastAsia" w:ascii="黑体" w:hAnsi="黑体" w:eastAsia="黑体" w:cs="黑体"/>
        </w:rPr>
      </w:pPr>
      <w:r>
        <w:rPr>
          <w:rFonts w:hint="eastAsia" w:ascii="黑体" w:hAnsi="黑体" w:eastAsia="黑体" w:cs="黑体"/>
        </w:rPr>
        <w:t xml:space="preserve">3.2 </w:t>
      </w:r>
    </w:p>
    <w:p w14:paraId="7FDD9BCD">
      <w:pPr>
        <w:ind w:firstLine="500" w:firstLineChars="0"/>
        <w:rPr>
          <w:rFonts w:hint="eastAsia" w:ascii="黑体" w:hAnsi="黑体" w:eastAsia="黑体" w:cs="黑体"/>
        </w:rPr>
      </w:pPr>
      <w:r>
        <w:rPr>
          <w:rFonts w:hint="eastAsia" w:ascii="黑体" w:hAnsi="黑体" w:eastAsia="黑体" w:cs="黑体"/>
        </w:rPr>
        <w:t>有机改良物料</w:t>
      </w:r>
      <w:r>
        <w:rPr>
          <w:rFonts w:hint="eastAsia" w:ascii="黑体" w:hAnsi="黑体" w:eastAsia="黑体" w:cs="黑体"/>
          <w:lang w:val="en-US" w:eastAsia="zh-CN"/>
        </w:rPr>
        <w:t xml:space="preserve"> </w:t>
      </w:r>
      <w:r>
        <w:rPr>
          <w:rFonts w:hint="eastAsia" w:ascii="黑体" w:hAnsi="黑体" w:eastAsia="黑体" w:cs="黑体"/>
        </w:rPr>
        <w:t xml:space="preserve"> organic amendment materials
</w:t>
      </w:r>
    </w:p>
    <w:p w14:paraId="27F4423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用于改善土壤有机质含量、物理结构和保水保肥能力的有机来源材料，包括腐熟堆肥、泥炭、秸秆粉和木纤维等。
</w:t>
      </w:r>
    </w:p>
    <w:p w14:paraId="73B75D55">
      <w:pPr>
        <w:rPr>
          <w:rFonts w:hint="eastAsia" w:ascii="黑体" w:hAnsi="黑体" w:eastAsia="黑体" w:cs="黑体"/>
        </w:rPr>
      </w:pPr>
      <w:r>
        <w:rPr>
          <w:rFonts w:hint="eastAsia" w:ascii="黑体" w:hAnsi="黑体" w:eastAsia="黑体" w:cs="黑体"/>
        </w:rPr>
        <w:t xml:space="preserve">3.3 </w:t>
      </w:r>
    </w:p>
    <w:p w14:paraId="2925B6B6">
      <w:pPr>
        <w:ind w:firstLine="500" w:firstLineChars="0"/>
        <w:rPr>
          <w:rFonts w:hint="eastAsia" w:ascii="黑体" w:hAnsi="黑体" w:eastAsia="黑体" w:cs="黑体"/>
        </w:rPr>
      </w:pPr>
      <w:r>
        <w:rPr>
          <w:rFonts w:hint="eastAsia" w:ascii="黑体" w:hAnsi="黑体" w:eastAsia="黑体" w:cs="黑体"/>
        </w:rPr>
        <w:t>无机调理剂</w:t>
      </w:r>
      <w:r>
        <w:rPr>
          <w:rFonts w:hint="eastAsia" w:ascii="黑体" w:hAnsi="黑体" w:eastAsia="黑体" w:cs="黑体"/>
          <w:lang w:val="en-US" w:eastAsia="zh-CN"/>
        </w:rPr>
        <w:t xml:space="preserve"> </w:t>
      </w:r>
      <w:r>
        <w:rPr>
          <w:rFonts w:hint="eastAsia" w:ascii="黑体" w:hAnsi="黑体" w:eastAsia="黑体" w:cs="黑体"/>
        </w:rPr>
        <w:t xml:space="preserve"> inorganic conditioner
</w:t>
      </w:r>
    </w:p>
    <w:p w14:paraId="45AC83E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用于改善土壤质地、pH值或通气排水性的无机来源材料，包括河沙、珍珠岩、膨润土、石灰和硫磺等。
</w:t>
      </w:r>
    </w:p>
    <w:p w14:paraId="7AE79302">
      <w:pPr>
        <w:rPr>
          <w:rFonts w:hint="eastAsia" w:ascii="黑体" w:hAnsi="黑体" w:eastAsia="黑体" w:cs="黑体"/>
        </w:rPr>
      </w:pPr>
      <w:r>
        <w:rPr>
          <w:rFonts w:hint="eastAsia" w:ascii="黑体" w:hAnsi="黑体" w:eastAsia="黑体" w:cs="黑体"/>
        </w:rPr>
        <w:t xml:space="preserve">3.4 </w:t>
      </w:r>
    </w:p>
    <w:p w14:paraId="015B884D">
      <w:pPr>
        <w:ind w:firstLine="500" w:firstLineChars="0"/>
        <w:rPr>
          <w:rFonts w:hint="eastAsia" w:ascii="黑体" w:hAnsi="黑体" w:eastAsia="黑体" w:cs="黑体"/>
        </w:rPr>
      </w:pPr>
      <w:r>
        <w:rPr>
          <w:rFonts w:hint="eastAsia" w:ascii="黑体" w:hAnsi="黑体" w:eastAsia="黑体" w:cs="黑体"/>
        </w:rPr>
        <w:t>土壤容重</w:t>
      </w:r>
      <w:r>
        <w:rPr>
          <w:rFonts w:hint="eastAsia" w:ascii="黑体" w:hAnsi="黑体" w:eastAsia="黑体" w:cs="黑体"/>
          <w:lang w:val="en-US" w:eastAsia="zh-CN"/>
        </w:rPr>
        <w:t xml:space="preserve"> </w:t>
      </w:r>
      <w:r>
        <w:rPr>
          <w:rFonts w:hint="eastAsia" w:ascii="黑体" w:hAnsi="黑体" w:eastAsia="黑体" w:cs="黑体"/>
        </w:rPr>
        <w:t xml:space="preserve"> soil bulk density
</w:t>
      </w:r>
    </w:p>
    <w:p w14:paraId="36E29BE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单位体积土壤（包括孔隙）的干重，是反映土壤紧实度和通气性的重要指标。
</w:t>
      </w:r>
    </w:p>
    <w:p w14:paraId="23A1E4E7">
      <w:pPr>
        <w:rPr>
          <w:rFonts w:hint="eastAsia" w:ascii="黑体" w:hAnsi="黑体" w:eastAsia="黑体" w:cs="黑体"/>
        </w:rPr>
      </w:pPr>
      <w:r>
        <w:rPr>
          <w:rFonts w:hint="eastAsia" w:ascii="黑体" w:hAnsi="黑体" w:eastAsia="黑体" w:cs="黑体"/>
        </w:rPr>
        <w:t>3.5</w:t>
      </w:r>
    </w:p>
    <w:p w14:paraId="191E16D7">
      <w:pPr>
        <w:ind w:firstLine="500" w:firstLineChars="0"/>
        <w:rPr>
          <w:rFonts w:hint="eastAsia" w:ascii="黑体" w:hAnsi="黑体" w:eastAsia="黑体" w:cs="黑体"/>
        </w:rPr>
      </w:pPr>
      <w:r>
        <w:rPr>
          <w:rFonts w:hint="eastAsia" w:ascii="黑体" w:hAnsi="黑体" w:eastAsia="黑体" w:cs="黑体"/>
        </w:rPr>
        <w:t xml:space="preserve">有效土层厚度 </w:t>
      </w:r>
      <w:r>
        <w:rPr>
          <w:rFonts w:hint="eastAsia" w:ascii="黑体" w:hAnsi="黑体" w:eastAsia="黑体" w:cs="黑体"/>
          <w:lang w:val="en-US" w:eastAsia="zh-CN"/>
        </w:rPr>
        <w:t xml:space="preserve"> </w:t>
      </w:r>
      <w:r>
        <w:rPr>
          <w:rFonts w:hint="eastAsia" w:ascii="黑体" w:hAnsi="黑体" w:eastAsia="黑体" w:cs="黑体"/>
        </w:rPr>
        <w:t>effective soil layer thickness
</w:t>
      </w:r>
    </w:p>
    <w:p w14:paraId="7E10F401">
      <w:pPr>
        <w:ind w:firstLine="500" w:firstLineChars="0"/>
        <w:rPr>
          <w:rFonts w:hint="eastAsia" w:ascii="黑体" w:hAnsi="黑体" w:eastAsia="宋体" w:cs="黑体"/>
          <w:lang w:eastAsia="zh-CN"/>
        </w:rPr>
      </w:pPr>
      <w:r>
        <w:rPr>
          <w:rFonts w:hint="eastAsia" w:ascii="Times New Roman" w:hAnsi="Times New Roman" w:eastAsia="宋体" w:cs="宋体"/>
          <w:sz w:val="21"/>
          <w:szCs w:val="21"/>
        </w:rPr>
        <w:t>能够为植物根系正常生长提供水分和养分的土层深度，不同植物类型对有效土层厚度的要求不同</w:t>
      </w:r>
      <w:r>
        <w:rPr>
          <w:rFonts w:hint="eastAsia" w:ascii="Times New Roman" w:hAnsi="Times New Roman" w:eastAsia="宋体" w:cs="宋体"/>
          <w:sz w:val="21"/>
          <w:szCs w:val="21"/>
          <w:lang w:eastAsia="zh-CN"/>
        </w:rPr>
        <w:t>。</w:t>
      </w:r>
    </w:p>
    <w:p w14:paraId="1D380805">
      <w:pPr>
        <w:rPr>
          <w:rFonts w:hint="eastAsia" w:ascii="黑体" w:hAnsi="黑体" w:eastAsia="黑体" w:cs="黑体"/>
        </w:rPr>
      </w:pPr>
      <w:r>
        <w:rPr>
          <w:rFonts w:hint="eastAsia" w:ascii="黑体" w:hAnsi="黑体" w:eastAsia="黑体" w:cs="黑体"/>
        </w:rPr>
        <w:t xml:space="preserve">3.6 </w:t>
      </w:r>
    </w:p>
    <w:p w14:paraId="60B9EF45">
      <w:pPr>
        <w:ind w:firstLine="500" w:firstLineChars="0"/>
        <w:rPr>
          <w:rFonts w:hint="eastAsia" w:ascii="黑体" w:hAnsi="黑体" w:eastAsia="黑体" w:cs="黑体"/>
        </w:rPr>
      </w:pPr>
      <w:r>
        <w:rPr>
          <w:rFonts w:hint="eastAsia" w:ascii="黑体" w:hAnsi="黑体" w:eastAsia="黑体" w:cs="黑体"/>
        </w:rPr>
        <w:t>pH值调节</w:t>
      </w:r>
      <w:r>
        <w:rPr>
          <w:rFonts w:hint="eastAsia" w:ascii="黑体" w:hAnsi="黑体" w:eastAsia="黑体" w:cs="黑体"/>
          <w:lang w:val="en-US" w:eastAsia="zh-CN"/>
        </w:rPr>
        <w:t xml:space="preserve"> </w:t>
      </w:r>
      <w:r>
        <w:rPr>
          <w:rFonts w:hint="eastAsia" w:ascii="黑体" w:hAnsi="黑体" w:eastAsia="黑体" w:cs="黑体"/>
        </w:rPr>
        <w:t xml:space="preserve"> pH adjustment
</w:t>
      </w:r>
    </w:p>
    <w:p w14:paraId="029EDB0F">
      <w:pPr>
        <w:spacing w:line="240" w:lineRule="auto"/>
        <w:ind w:firstLine="500" w:firstLineChars="0"/>
        <w:jc w:val="both"/>
      </w:pPr>
      <w:r>
        <w:rPr>
          <w:rFonts w:hint="eastAsia" w:ascii="Times New Roman" w:hAnsi="Times New Roman" w:eastAsia="宋体" w:cs="宋体"/>
          <w:sz w:val="21"/>
          <w:szCs w:val="21"/>
        </w:rPr>
        <w:t>通过加入石灰、硫磺或其他酸碱性调理剂，将土壤酸碱度调节至目标植物适宜生长范围的操作。</w:t>
      </w:r>
    </w:p>
    <w:p w14:paraId="6AF6885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9315"/>
      <w:r>
        <w:rPr>
          <w:rFonts w:hint="eastAsia"/>
        </w:rPr>
        <w:t>4  原材料技术要求</w:t>
      </w:r>
      <w:bookmarkEnd w:id="12"/>
    </w:p>
    <w:p w14:paraId="52CF421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基础土壤要求</w:t>
      </w:r>
    </w:p>
    <w:p w14:paraId="49B8B98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用于配制园林改良土壤的基础土壤应选用质地均匀、无明显砾石和杂质的壤土或沙壤土，土壤质地应符合CJ/T 340绿化种植土壤标准的基本要求。基础土壤中不得含有建筑废渣、工业废料等有害杂质，重金属含量应符合GB 15618土壤污染风险管控标准的要求。基础土壤在使用前应进行质量检测，检测项目包括质地类型、pH值、有机质含量、电导率和重金属含量，检测合格后方可入场使用，不合格土壤不得用于园林绿化种植。</w:t>
      </w:r>
    </w:p>
    <w:p w14:paraId="67D0F72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有机改良物料要求</w:t>
      </w:r>
    </w:p>
    <w:p w14:paraId="00148E43">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用于改良土壤的有机肥料应符合NY/T 525有机肥料的技术要求，有机质含量不低于标准规定值，重金属含量和病原微生物指标应达到无害化要求。腐熟堆肥应充分发酵腐熟，施用前应进行发芽率测试，确认无植物毒性。泥炭材料的pH值和持水量应符合产品标准要求，选用时应考虑其酸化特性对目标植物的适宜性。所有有机改良物料应附有产品合格证和检验报告，进场时由质检人员验收，不合格产品不得使用，材料术语应符合GB/T 6274的规定。</w:t>
      </w:r>
    </w:p>
    <w:p w14:paraId="0226472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4.3 无机调理剂要求</w:t>
      </w:r>
    </w:p>
    <w:p w14:paraId="69FA7E9A">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用于改善土壤通气排水的河沙、珍珠岩等无机调理剂应质地纯净，不含有害化学物质。石灰类调理剂应为生石灰或消石灰，使用前应确认其有效成分含量，避免使用受潮变质产品。pH值调节用材料应根据目标植物的适宜pH范围选择，酸性土壤宜施用石灰类材料，碱性土壤宜施用硫磺或酸性有机物料，调节幅度应通过小批量预试验确定，避免过度调节。所有无机调理剂在进场时应进行外观检验和必要的化学成分抽检，确保产品质量符合使用要求。</w:t>
      </w:r>
    </w:p>
    <w:p w14:paraId="75994EF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2004"/>
      <w:r>
        <w:rPr>
          <w:rFonts w:hint="eastAsia"/>
        </w:rPr>
        <w:t>5  配方设计原则</w:t>
      </w:r>
      <w:bookmarkEnd w:id="13"/>
    </w:p>
    <w:p w14:paraId="4BD67E5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植物类型适配设计</w:t>
      </w:r>
    </w:p>
    <w:p w14:paraId="5FF1FE7D">
      <w:pPr>
        <w:spacing w:line="240" w:lineRule="auto"/>
        <w:jc w:val="both"/>
        <w:rPr>
          <w:rFonts w:hint="eastAsia" w:ascii="Times New Roman" w:hAnsi="Times New Roman" w:eastAsia="宋体" w:cs="宋体"/>
          <w:sz w:val="21"/>
          <w:szCs w:val="21"/>
        </w:rPr>
      </w:pPr>
      <w:r>
        <w:rPr>
          <w:rFonts w:hint="eastAsia" w:ascii="Times New Roman" w:hAnsi="Times New Roman" w:eastAsia="宋体" w:cs="宋体"/>
          <w:sz w:val="21"/>
          <w:szCs w:val="21"/>
        </w:rPr>
        <w:t>园林改良土壤配方应根据种植植物的类型和生态习性分类设计，乔木、灌木、草坪和花卉的土壤配方要求各有差异。乔木种植土壤应重点保证有效土层深度和结构稳定性，容重不宜过低，以保障根系锚固能力；草坪和花卉用土应注重提高有机质含量和保水保肥性能，容重可适当降低；地被植物用土配方设计还应兼顾水土保持功能，根据CJ/T 243城镇绿地分类标准确定各类绿地的土壤技术要求。</w:t>
      </w:r>
    </w:p>
    <w:p w14:paraId="041A927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配方比例确定方法</w:t>
      </w:r>
    </w:p>
    <w:p w14:paraId="4CD33F6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改良土壤的配方比例应通过基础土壤检测数据和目标性能指标的差值分析确定，采用计算法结合小批量预试验的方式验证。有机物料的添加比例应综合考虑改善有机质含量和调节容重的双重需求，一般体积占比不超过规定上限，过高比例会导致土壤下沉量过大和养分过度富集。配方确定后应进行配方验证试验，检测拌制后土壤的pH值、有机质含量、容重和持水量等关键指标，与目标值进行比对，必要时进行配方微调，检测方法应符合GB/T 22105等相关标准。</w:t>
      </w:r>
    </w:p>
    <w:p w14:paraId="612852B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5409"/>
      <w:r>
        <w:rPr>
          <w:rFonts w:hint="eastAsia"/>
        </w:rPr>
        <w:t>6  拌制施工要求</w:t>
      </w:r>
      <w:bookmarkEnd w:id="14"/>
    </w:p>
    <w:p w14:paraId="55AA1E5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计量与拌制操作</w:t>
      </w:r>
    </w:p>
    <w:p w14:paraId="1C22910F">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改良土壤拌制前应按照配方比例对各组分进行准确计量，计量误差应控制在规定范围内，严禁目测估量。大批量拌制应使用机械搅拌设备，确保各组分混合均匀，搅拌时间应满足均匀混合的最低要求。小批量或施工作业面受限情况下可采用人工翻拌方式，但翻拌次数应满足均匀性要求。拌制过程中应对拌制均匀性进行随机抽检，从不同部位取样检测pH值等快速检测指标，确认均匀性合格后方可转入施用工序，操作技术应符合NY/T 1634耕地地力评价的相关指导原则。</w:t>
      </w:r>
    </w:p>
    <w:p w14:paraId="4BB7DB1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施工质量控制</w:t>
      </w:r>
    </w:p>
    <w:p w14:paraId="33D64BF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改良土壤施工期间应对每批次产品进行质量检验，检验项目包括外观质地、pH值和容重等，不合格产品不得施用。改良土壤的施用厚度应符合设计要求，乔木种植穴的改良土壤回填应分层压实，避免根系悬空。施工现场应保持改良土壤处于适宜含水量状态，避免在土壤过干或过湿状态下施工，影响植物种植质量。施工结束后应对施工区域的改良土壤进行均匀性抽检，检测结果应纳入施工质量验收资料，符合LY/T 1228森林土壤全磷测定等相关检测标准的要求。</w:t>
      </w:r>
    </w:p>
    <w:p w14:paraId="61378FE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8088"/>
      <w:r>
        <w:rPr>
          <w:rFonts w:hint="eastAsia"/>
        </w:rPr>
        <w:t>7  施用技术要求</w:t>
      </w:r>
      <w:bookmarkEnd w:id="15"/>
    </w:p>
    <w:p w14:paraId="659AAFC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施用厚度与范围</w:t>
      </w:r>
    </w:p>
    <w:p w14:paraId="3623B25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不同植物类型和绿地功能对改良土壤的施用厚度有不同要求，乔木种植穴的改良土壤回填深度应不小于规定的最低值，草坪绿地改良土壤铺设厚度应满足草坪草根系正常生长的需要。改良土壤的施用范围应覆盖植物根系主要分布区域，种植穴外围的影响区域也应适当改良，提高根系向外扩展空间的土壤质量。地形坡度较大的绿地应在改良土壤施用后采取防冲刷措施，防止降雨径流对改良土壤层的侵蚀，确保改良效果的持久性，施用技术应参照NY/T 525有机肥料施用指南的相关规定。</w:t>
      </w:r>
    </w:p>
    <w:p w14:paraId="0B77E76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与原有土壤的衔接处理</w:t>
      </w:r>
    </w:p>
    <w:p w14:paraId="4BB18F5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改良土壤层与原有土壤层之间的衔接处理是保障植物根系顺利穿越土层的关键。应避免改良土壤与原土之间形成明显的质地突变界面，必要时应设置过渡层，逐步过渡土壤质地。对于原有土壤存在隔水层或压实层的情况，应在铺设改良土壤前进行机械疏松或打孔处理，确保改良土壤层的排水路径畅通，防止积水影响植物根系生长。衔接处理质量应在施工过程中逐项检查，确保各层土壤的连续性和排水畅通性，检测指标应符合CJ/T 340绿化种植土壤的技术要求。</w:t>
      </w:r>
    </w:p>
    <w:p w14:paraId="654A452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7514"/>
      <w:r>
        <w:rPr>
          <w:rFonts w:hint="eastAsia"/>
        </w:rPr>
        <w:t>8  质量检测方法</w:t>
      </w:r>
      <w:bookmarkEnd w:id="16"/>
    </w:p>
    <w:p w14:paraId="24F16DB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施工前质量检测</w:t>
      </w:r>
    </w:p>
    <w:p w14:paraId="7D67EB0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园林改良土壤施用前应进行系统的质量检测，检测项目包括pH值、有机质含量、容重、全氮、全磷、全钾含量和重金属指标。pH值检测应采用电位法，使用pH计进行现场快速检测，精度要求满足相关标准；有机质含量检测应采用重铬酸钾氧化法，在具备资质的实验室完成；全氮检测方法应按照GB/T 22105的规定执行；全磷检测应符合LY/T 1228森林土壤全磷测定的方法要求。检测结果应与配方目标值进行对比，超出允许偏差的批次应查明原因并重新调整配方后进行复检。</w:t>
      </w:r>
    </w:p>
    <w:p w14:paraId="3380076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植物适宜性现场评价</w:t>
      </w:r>
    </w:p>
    <w:p w14:paraId="5F41538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园林改良土壤施用后应对植物生长适宜性进行跟踪评价，主要评价指标包括植物成活率、生长量和叶色等直观表现指标。施用后首个生长季应定期观察植物生长状况，若发现植物出现生长迟缓、叶片黄化或根系生长受阻等异常情况，应及时取样进行土壤检测，查明是否存在土壤质量问题。适宜性评价结果应纳入工程竣工验收报告，作为评价改良土壤施用效果的重要依据，评价方法可参照NY/T 1634耕地地力评价指南的相关技术框架。</w:t>
      </w:r>
    </w:p>
    <w:p w14:paraId="1B3690ED">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3726"/>
      <w:r>
        <w:rPr>
          <w:rFonts w:hint="eastAsia"/>
        </w:rPr>
        <w:t>9  贮存管理与安全要求</w:t>
      </w:r>
      <w:bookmarkEnd w:id="17"/>
    </w:p>
    <w:p w14:paraId="325538C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原材料贮存要求</w:t>
      </w:r>
    </w:p>
    <w:p w14:paraId="17F3579C">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园林改良土壤原材料应按照种类分区贮存，防止材料间相互污染。有机改良物料应贮存在通风良好、防雨遮阳的场地，防止霉变和养分流失；石灰类材料应贮存于防潮隔水的密封容器或仓库中，防止吸湿失效；珍珠岩等轻质材料应采取防风措施，避免粉尘飞散造成环境污染。贮存场地应设置明显的材料标识，标注材料名称、入场日期、批次和检验状态，方便施工人员识别使用，材料术语规范应符合GB/T 6274的规定。</w:t>
      </w:r>
    </w:p>
    <w:p w14:paraId="72AF77F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施工安全管理</w:t>
      </w:r>
    </w:p>
    <w:p w14:paraId="0B40FD0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园林改良土壤配制施工中应注意施工现场的安全管理，重点关注石灰类腐蚀性材料和有机粉尘材料的操作安全。接触石灰类材料的操作人员应佩戴防护手套、护目镜和防尘口罩，防止皮肤和眼睛受到化学灼伤。有机改良物料拌制作业时应采取防尘措施，减少粉尘吸入。施工机械的操作应遵守设备安全操作规程，防止机械伤害。施工废弃物和不合格材料应统一收集处置，不得随意丢弃，防止污染施工区域周边环境，重金属指标管控应符合GB 15618土壤污染风险管控标准的规定。</w:t>
      </w:r>
    </w:p>
    <w:p w14:paraId="04756523">
      <w:pPr>
        <w:jc w:val="center"/>
        <w:rPr>
          <w:rFonts w:hint="eastAsia" w:ascii="黑体" w:hAnsi="黑体" w:eastAsia="黑体" w:cs="黑体"/>
          <w:sz w:val="32"/>
          <w:szCs w:val="32"/>
        </w:rPr>
      </w:pPr>
    </w:p>
    <w:p w14:paraId="1E8BD1DD">
      <w:pPr>
        <w:jc w:val="center"/>
        <w:rPr>
          <w:rFonts w:hint="eastAsia" w:ascii="黑体" w:hAnsi="黑体" w:eastAsia="黑体" w:cs="黑体"/>
          <w:sz w:val="32"/>
          <w:szCs w:val="32"/>
        </w:rPr>
      </w:pPr>
    </w:p>
    <w:p w14:paraId="06EC5649">
      <w:pPr>
        <w:jc w:val="center"/>
        <w:rPr>
          <w:rFonts w:hint="eastAsia" w:ascii="黑体" w:hAnsi="黑体" w:eastAsia="黑体" w:cs="黑体"/>
          <w:sz w:val="32"/>
          <w:szCs w:val="32"/>
        </w:rPr>
      </w:pPr>
    </w:p>
    <w:p w14:paraId="50D852BA">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3245485</wp:posOffset>
            </wp:positionH>
            <wp:positionV relativeFrom="paragraph">
              <wp:posOffset>126365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p w14:paraId="06365EE9">
      <w:pPr>
        <w:jc w:val="center"/>
        <w:rPr>
          <w:rFonts w:hint="eastAsia" w:ascii="黑体" w:hAnsi="黑体" w:eastAsia="黑体" w:cs="黑体"/>
          <w:sz w:val="32"/>
          <w:szCs w:val="32"/>
        </w:rPr>
      </w:pP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16783">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433</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2A22E">
    <w:pPr>
      <w:pStyle w:val="6"/>
      <w:spacing w:line="249" w:lineRule="exact"/>
      <w:jc w:val="lef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433</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433</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53BAA">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433</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AC9CD">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433</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E22EB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0610C19"/>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3879</Words>
  <Characters>4291</Characters>
  <TotalTime>3</TotalTime>
  <ScaleCrop>false</ScaleCrop>
  <LinksUpToDate>false</LinksUpToDate>
  <CharactersWithSpaces>4455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2026-06-01T06:56:48Z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