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CHZir4bBQAAFgUAABQAAABkcnMvbWVkaWEvaW1hZ2UyLnBuZwEWBen6iVBORw0KGgoAAAAN&#10;SUhEUgAAACkAAABpCAYAAACnOAqaAAAABmJLR0QA/wD/AP+gvaeTAAAACXBIWXMAAA7EAAAOxAGV&#10;Kw4bAAAEtklEQVR4nN2b24uVVRjGf++gklONmXYQG8GiA2YQlJGEYEYERVAEltGFVwZFEURE1H/Q&#10;TRBTmDcSVCSUQYebkga6KGYgglQmoiQtzZyasdIJR3q62DOyZ5/W+6291trbHtgXe3/PetfD8+51&#10;Xp9JohcwsyHgpIO6fyC3mA54xMnb0UuRT3mJPRFpZsuBxQ7qNHAGScU/wE5Ajs+zknrjZFX0s8hR&#10;4G3ogUgz2w7scFD/kHQM+tfJU8CH574VbjCrgDHCDeZofbnSTl4MbKhaqF/T/Xn9l9Iin3byXqr/&#10;UlrkwzGFiok0s+vxDYWPSTpU/0NJJ18GlsUU7NeGsxCF+scngNOE+8fdwGBj+VJODgFLHbxTkk43&#10;/thP6f4FeK/lkwKpvhn4iXCqv24Xo4STQ8AaB+9AuwdZRZrZALDVSW87fbOcS1ozWwTMOumDkmZa&#10;Pcid7sudvBPU/pctkVvkB07eNkn/tHvYT11QW/SDyF3AeCdCNpFm9gpwq4N6RNKfnQi5nbTA80PA&#10;V6EgWUSa2UbgXgd1QtKnIVIuJ4eBa1MF62XDmQW+cDEzTCguAT4iPKGY9sbM4eRFwH0pA+YQud7J&#10;u8MbMIfIN1IH7IcRJ4ikIs1shNqmVAjPA99546Z2cgWwyMGbknTWG7QX6R4DvqxSIJlIM9sK3OWg&#10;HpC0v0rslE5eCawMcGaAHypHTjTKXAG8T3iUmYiJn8rJYeDBRLGaULrh/BZTKJXILU5elNtJ1t1m&#10;dgbfBulKSb9XjV8y3c/hO99uQtcizWwU3ygzUWWUqUcqJ0MLrjHgx9jgXYk0s23AOgd1n6SDsfV0&#10;6+RNwGVdxgiiRMM5AXzbTYBokWa2Dt+E4qCkd2Lrge6cvBq4rZvKvYgSObc5eoODOitpc0wdC+qL&#10;GXHMbAUw6aDOSlpSuYIG/K8XYnudvAci4y9ArEjvXnjU1KwROdO9FziSIlBlkWb2Ir7Do1FJx6tL&#10;akaMk9cQPsycBH6NiN0SlUSa2XrgRgd1n6Q9cZKaUdXJjRQaZeqRo+GcBSovETrBLXLueustDuox&#10;SU/GS2pGFSeHgcdTVu5FjnR7bvRVgnuCYWbT+K7MDEv6uStVDUjt5MfA34lj+kSa2QvAoIP6pqTp&#10;7iQ1w+vkJnw7FFmQMt3fk2hC0YigSDO7G99S4RNJlbaZvfA4eTuwNkflXnQUOTfKXOWIMy7pmTSS&#10;mhFycgMZOueqOC8WYm1HHDO7ADiMb69ntaSjKYUt0NJB5FJqdx49WBy79+hBinSPAP8miNMWnUTu&#10;dMbYI6lnIj2H64eBjnd6UqClSDPbgm8D4HVJ36SV1Ix2Tj4ErM5duRfdNJwZ4K9UQjqhSaSZraG2&#10;ARDCZ5JG0ktqRisnNwH3lKjci9h0n6R2wlUEC0YcM1tL7dA8dHg0KSn70cg8WjkZEgjwbmohHdFw&#10;A+AtfC89Xpf7En2nmwN3FnOnAmIazjiF+sd5nBM599LjkKPMa5p76bEU6p28H7iwZOVeDACY2Srg&#10;Ugd/l6TdWRW1wLyTjwKbHfyevPt/XizEoLZ7O4XjdhSwvGT/WN9PLqF2WTiEWUlTOVwKoUq6X82m&#10;IgCjdvXAs55ZpsA7CrnwH6MzC3TA2itYAAAAAElFTkSuQmCCUEsDBBQAAAAIAIdO4kBSXhE3BQIA&#10;AAACAAAUAAAAZHJzL21lZGlhL2ltYWdlMS5wbmcBAAL//YlQTkcNChoKAAAADUlIRFIAAABkAAAA&#10;ZwgGAAAA9nbn+gAAAAZiS0dEAP8A/wD/oL2nkwAAAAlwSFlzAAAOxAAADsQBlSsOGwAAAaBJREFU&#10;eJzt17Ftw0AQBdF/RwlQFa5AmTJ3og5djLpwC0oMCLsODNquQDeA5iUMueDg9sCRpKNlxhhJkm3b&#10;crlcclg8z8vr/jkPVZXH45G5eJ6Xt5+Q7k5VeUJWm3OmuzPGyJzTIKt19+/aSmKQ1aoqyd/K8g4B&#10;6W6DrDbn/H3OOQ2yWlXleDymqrJtm0EI9kvdlQWx/4u4siD2IPf7PYckb2vHyUeS98Uz7J7+LU6n&#10;U87nc263W67Xaw7d/fnsIf4bY3ytfP9/q79FElcWjUFgDAJjEBiDwBgExiAwBoExCIxBYAwCYxAY&#10;g8AYBMYgMAaBMQiMQWAMAmMQGIPAGATGIDAGgTEIjEFgDAJjEBiDwBgExiAwBoExCIxBYAwCYxAY&#10;g8AYBMYgMAaBMQiMQWAMAmMQGIPAGATGIDAGgTEIjEFgDAJjEBiDwBgExiAwBoExCIxBYAwCYxAY&#10;g8AYBMYgMAaBMQiMQWAMAmMQGIPAGATGIDAGgTEIjEFgDAJjEBiDwBgExiAwBoExCIxBYAwCYxAY&#10;g8AYBMYgMAaBMQjMN2QvQzzLBal6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BFCQAAZHJzL21lZGlhL2ltYWdlMS5wbmdQSwECFAAUAAAACACHTuJAIdmKvhsFAAAWBQAAFAAA&#10;AAAAAAABACAAAAD4Aw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432—2026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区域性气象灾害预警研判工作规范</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Work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pecification for </w:t>
      </w:r>
      <w:r>
        <w:rPr>
          <w:rFonts w:hint="eastAsia" w:ascii="黑体" w:hAnsi="黑体" w:eastAsia="黑体" w:cs="黑体"/>
          <w:snapToGrid w:val="0"/>
          <w:color w:val="000000"/>
          <w:spacing w:val="-2"/>
          <w:kern w:val="0"/>
          <w:sz w:val="28"/>
          <w:szCs w:val="28"/>
          <w:lang w:val="en-US" w:eastAsia="zh-CN" w:bidi="ar-SA"/>
        </w:rPr>
        <w:t>r</w:t>
      </w:r>
      <w:r>
        <w:rPr>
          <w:rFonts w:hint="eastAsia" w:ascii="黑体" w:hAnsi="黑体" w:eastAsia="黑体" w:cs="黑体"/>
          <w:snapToGrid w:val="0"/>
          <w:color w:val="000000"/>
          <w:spacing w:val="-2"/>
          <w:kern w:val="0"/>
          <w:sz w:val="28"/>
          <w:szCs w:val="28"/>
          <w:lang w:val="en-US" w:eastAsia="en-US" w:bidi="ar-SA"/>
        </w:rPr>
        <w:t xml:space="preserve">egional </w:t>
      </w:r>
      <w:r>
        <w:rPr>
          <w:rFonts w:hint="eastAsia" w:ascii="黑体" w:hAnsi="黑体" w:eastAsia="黑体" w:cs="黑体"/>
          <w:snapToGrid w:val="0"/>
          <w:color w:val="000000"/>
          <w:spacing w:val="-2"/>
          <w:kern w:val="0"/>
          <w:sz w:val="28"/>
          <w:szCs w:val="28"/>
          <w:lang w:val="en-US" w:eastAsia="zh-CN" w:bidi="ar-SA"/>
        </w:rPr>
        <w:t>m</w:t>
      </w:r>
      <w:r>
        <w:rPr>
          <w:rFonts w:hint="eastAsia" w:ascii="黑体" w:hAnsi="黑体" w:eastAsia="黑体" w:cs="黑体"/>
          <w:snapToGrid w:val="0"/>
          <w:color w:val="000000"/>
          <w:spacing w:val="-2"/>
          <w:kern w:val="0"/>
          <w:sz w:val="28"/>
          <w:szCs w:val="28"/>
          <w:lang w:val="en-US" w:eastAsia="en-US" w:bidi="ar-SA"/>
        </w:rPr>
        <w:t xml:space="preserve">eteorological </w:t>
      </w:r>
      <w:r>
        <w:rPr>
          <w:rFonts w:hint="eastAsia" w:ascii="黑体" w:hAnsi="黑体" w:eastAsia="黑体" w:cs="黑体"/>
          <w:snapToGrid w:val="0"/>
          <w:color w:val="000000"/>
          <w:spacing w:val="-2"/>
          <w:kern w:val="0"/>
          <w:sz w:val="28"/>
          <w:szCs w:val="28"/>
          <w:lang w:val="en-US" w:eastAsia="zh-CN" w:bidi="ar-SA"/>
        </w:rPr>
        <w:t>d</w:t>
      </w:r>
      <w:r>
        <w:rPr>
          <w:rFonts w:hint="eastAsia" w:ascii="黑体" w:hAnsi="黑体" w:eastAsia="黑体" w:cs="黑体"/>
          <w:snapToGrid w:val="0"/>
          <w:color w:val="000000"/>
          <w:spacing w:val="-2"/>
          <w:kern w:val="0"/>
          <w:sz w:val="28"/>
          <w:szCs w:val="28"/>
          <w:lang w:val="en-US" w:eastAsia="en-US" w:bidi="ar-SA"/>
        </w:rPr>
        <w:t xml:space="preserve">isaster </w:t>
      </w:r>
      <w:r>
        <w:rPr>
          <w:rFonts w:hint="eastAsia" w:ascii="黑体" w:hAnsi="黑体" w:eastAsia="黑体" w:cs="黑体"/>
          <w:snapToGrid w:val="0"/>
          <w:color w:val="000000"/>
          <w:spacing w:val="-2"/>
          <w:kern w:val="0"/>
          <w:sz w:val="28"/>
          <w:szCs w:val="28"/>
          <w:lang w:val="en-US" w:eastAsia="zh-CN" w:bidi="ar-SA"/>
        </w:rPr>
        <w:t>w</w:t>
      </w:r>
      <w:r>
        <w:rPr>
          <w:rFonts w:hint="eastAsia" w:ascii="黑体" w:hAnsi="黑体" w:eastAsia="黑体" w:cs="黑体"/>
          <w:snapToGrid w:val="0"/>
          <w:color w:val="000000"/>
          <w:spacing w:val="-2"/>
          <w:kern w:val="0"/>
          <w:sz w:val="28"/>
          <w:szCs w:val="28"/>
          <w:lang w:val="en-US" w:eastAsia="en-US" w:bidi="ar-SA"/>
        </w:rPr>
        <w:t xml:space="preserve">arning </w:t>
      </w:r>
      <w:r>
        <w:rPr>
          <w:rFonts w:hint="eastAsia" w:ascii="黑体" w:hAnsi="黑体" w:eastAsia="黑体" w:cs="黑体"/>
          <w:snapToGrid w:val="0"/>
          <w:color w:val="000000"/>
          <w:spacing w:val="-2"/>
          <w:kern w:val="0"/>
          <w:sz w:val="28"/>
          <w:szCs w:val="28"/>
          <w:lang w:val="en-US" w:eastAsia="zh-CN" w:bidi="ar-SA"/>
        </w:rPr>
        <w:t>a</w:t>
      </w:r>
      <w:r>
        <w:rPr>
          <w:rFonts w:hint="eastAsia" w:ascii="黑体" w:hAnsi="黑体" w:eastAsia="黑体" w:cs="黑体"/>
          <w:snapToGrid w:val="0"/>
          <w:color w:val="000000"/>
          <w:spacing w:val="-2"/>
          <w:kern w:val="0"/>
          <w:sz w:val="28"/>
          <w:szCs w:val="28"/>
          <w:lang w:val="en-US" w:eastAsia="en-US" w:bidi="ar-SA"/>
        </w:rPr>
        <w:t>ssessment</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6DA6C1C3">
      <w:pPr>
        <w:pStyle w:val="6"/>
        <w:rPr>
          <w:rFonts w:hint="eastAsia"/>
          <w:sz w:val="24"/>
        </w:rPr>
      </w:pPr>
    </w:p>
    <w:p w14:paraId="3A6A9AF2">
      <w:pPr>
        <w:pStyle w:val="6"/>
        <w:rPr>
          <w:rFonts w:hint="eastAsia"/>
          <w:sz w:val="24"/>
        </w:rPr>
      </w:pPr>
    </w:p>
    <w:p w14:paraId="359E09BB">
      <w:pPr>
        <w:pStyle w:val="6"/>
        <w:rPr>
          <w:rFonts w:hint="eastAsia"/>
          <w:sz w:val="24"/>
        </w:rPr>
      </w:pPr>
    </w:p>
    <w:p w14:paraId="3EF9FFF4">
      <w:pPr>
        <w:pStyle w:val="6"/>
        <w:rPr>
          <w:rFonts w:hint="eastAsia"/>
          <w:sz w:val="24"/>
        </w:rPr>
      </w:pPr>
    </w:p>
    <w:p w14:paraId="488D8A69">
      <w:pPr>
        <w:pStyle w:val="6"/>
        <w:rPr>
          <w:rFonts w:hint="eastAsia"/>
          <w:sz w:val="24"/>
        </w:rPr>
      </w:pPr>
    </w:p>
    <w:p w14:paraId="526CA9D4">
      <w:pPr>
        <w:pStyle w:val="6"/>
        <w:rPr>
          <w:rFonts w:hint="eastAsia"/>
          <w:sz w:val="24"/>
        </w:rPr>
      </w:pPr>
    </w:p>
    <w:p w14:paraId="0F965D6A">
      <w:pPr>
        <w:pStyle w:val="6"/>
        <w:rPr>
          <w:rFonts w:hint="eastAsia"/>
          <w:sz w:val="24"/>
        </w:rPr>
      </w:pPr>
    </w:p>
    <w:p w14:paraId="5F200179">
      <w:pPr>
        <w:pStyle w:val="6"/>
        <w:rPr>
          <w:rFonts w:hint="eastAsia"/>
          <w:sz w:val="24"/>
        </w:rPr>
      </w:pPr>
    </w:p>
    <w:p w14:paraId="0DD80CB8">
      <w:pPr>
        <w:pStyle w:val="6"/>
        <w:rPr>
          <w:rFonts w:hint="eastAsia"/>
          <w:sz w:val="24"/>
        </w:rPr>
      </w:pPr>
    </w:p>
    <w:p w14:paraId="2BB8E8C5">
      <w:pPr>
        <w:pStyle w:val="6"/>
        <w:jc w:val="center"/>
        <w:rPr>
          <w:rFonts w:hint="eastAsia"/>
          <w:sz w:val="24"/>
        </w:rPr>
      </w:pPr>
      <w:r>
        <w:rPr>
          <w:rFonts w:hint="eastAsia" w:eastAsia="宋体"/>
          <w:b w:val="0"/>
          <w:bCs/>
          <w:sz w:val="28"/>
          <w:szCs w:val="32"/>
          <w:lang w:val="en-US" w:eastAsia="zh-CN"/>
        </w:rPr>
        <w:t>（征求意见稿）</w:t>
      </w:r>
    </w:p>
    <w:p w14:paraId="5917DBB8">
      <w:pPr>
        <w:pStyle w:val="6"/>
        <w:rPr>
          <w:rFonts w:hint="eastAsia"/>
          <w:sz w:val="24"/>
        </w:rPr>
      </w:pPr>
    </w:p>
    <w:p w14:paraId="476B8B51">
      <w:pPr>
        <w:pStyle w:val="6"/>
        <w:rPr>
          <w:rFonts w:hint="eastAsia"/>
          <w:sz w:val="24"/>
        </w:rPr>
      </w:pPr>
    </w:p>
    <w:p w14:paraId="768AB27C">
      <w:pPr>
        <w:pStyle w:val="6"/>
        <w:rPr>
          <w:rFonts w:hint="eastAsia"/>
          <w:sz w:val="24"/>
        </w:rPr>
      </w:pPr>
    </w:p>
    <w:p w14:paraId="6D57DADD">
      <w:pPr>
        <w:pStyle w:val="6"/>
        <w:rPr>
          <w:b/>
          <w:sz w:val="20"/>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hint="eastAsia" w:ascii="黑体" w:hAnsi="黑体" w:eastAsia="黑体" w:cs="黑体"/>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spacing w:before="0" w:beforeLines="0" w:after="0" w:afterLines="0" w:line="240" w:lineRule="auto"/>
            <w:ind w:left="0" w:leftChars="0" w:right="0" w:rightChars="0" w:firstLine="0" w:firstLineChars="0"/>
            <w:jc w:val="center"/>
            <w:rPr>
              <w:rFonts w:hint="eastAsia" w:ascii="黑体" w:hAnsi="黑体" w:eastAsia="黑体" w:cs="黑体"/>
            </w:rPr>
          </w:pPr>
        </w:p>
        <w:p w14:paraId="6A244A39">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_Toc5836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_Toc5836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rPr>
            <w:fldChar w:fldCharType="end"/>
          </w:r>
        </w:p>
        <w:p w14:paraId="21B1C38D">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_Toc10649 </w:instrText>
          </w:r>
          <w:r>
            <w:rPr>
              <w:rFonts w:hint="eastAsia" w:ascii="黑体" w:hAnsi="黑体" w:eastAsia="黑体" w:cs="黑体"/>
            </w:rPr>
            <w:fldChar w:fldCharType="separate"/>
          </w:r>
          <w:r>
            <w:rPr>
              <w:rFonts w:hint="eastAsia" w:ascii="黑体" w:hAnsi="黑体" w:eastAsia="黑体" w:cs="黑体"/>
              <w:szCs w:val="32"/>
              <w:lang w:val="en-US" w:eastAsia="zh-CN"/>
            </w:rPr>
            <w:t>引</w:t>
          </w:r>
          <w:r>
            <w:rPr>
              <w:rFonts w:hint="eastAsia" w:ascii="黑体" w:hAnsi="黑体" w:eastAsia="黑体" w:cs="黑体"/>
              <w:szCs w:val="32"/>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_Toc10649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1A369B69">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_Toc9760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_Toc9760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41F28041">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_Toc17524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_Toc17524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654297DD">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_Toc21932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_Toc21932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7CAB4320">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_Toc9623 </w:instrText>
          </w:r>
          <w:r>
            <w:rPr>
              <w:rFonts w:hint="eastAsia" w:ascii="黑体" w:hAnsi="黑体" w:eastAsia="黑体" w:cs="黑体"/>
            </w:rPr>
            <w:fldChar w:fldCharType="separate"/>
          </w:r>
          <w:r>
            <w:rPr>
              <w:rFonts w:hint="eastAsia" w:ascii="黑体" w:hAnsi="黑体" w:eastAsia="黑体" w:cs="黑体"/>
            </w:rPr>
            <w:t>4  预警研判工作流程</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_Toc9623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29F4BFDA">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_Toc4750 </w:instrText>
          </w:r>
          <w:r>
            <w:rPr>
              <w:rFonts w:hint="eastAsia" w:ascii="黑体" w:hAnsi="黑体" w:eastAsia="黑体" w:cs="黑体"/>
            </w:rPr>
            <w:fldChar w:fldCharType="separate"/>
          </w:r>
          <w:r>
            <w:rPr>
              <w:rFonts w:hint="eastAsia" w:ascii="黑体" w:hAnsi="黑体" w:eastAsia="黑体" w:cs="黑体"/>
            </w:rPr>
            <w:t>5  主要灾种研判技术</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_Toc4750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12676C80">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_Toc16181 </w:instrText>
          </w:r>
          <w:r>
            <w:rPr>
              <w:rFonts w:hint="eastAsia" w:ascii="黑体" w:hAnsi="黑体" w:eastAsia="黑体" w:cs="黑体"/>
            </w:rPr>
            <w:fldChar w:fldCharType="separate"/>
          </w:r>
          <w:r>
            <w:rPr>
              <w:rFonts w:hint="eastAsia" w:ascii="黑体" w:hAnsi="黑体" w:eastAsia="黑体" w:cs="黑体"/>
            </w:rPr>
            <w:t>6  预警发布审签与时效</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_Toc16181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6FBDE8B9">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_Toc397 </w:instrText>
          </w:r>
          <w:r>
            <w:rPr>
              <w:rFonts w:hint="eastAsia" w:ascii="黑体" w:hAnsi="黑体" w:eastAsia="黑体" w:cs="黑体"/>
            </w:rPr>
            <w:fldChar w:fldCharType="separate"/>
          </w:r>
          <w:r>
            <w:rPr>
              <w:rFonts w:hint="eastAsia" w:ascii="黑体" w:hAnsi="黑体" w:eastAsia="黑体" w:cs="黑体"/>
            </w:rPr>
            <w:t>7  研判技术手段应用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_Toc397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64C99797">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_Toc14544 </w:instrText>
          </w:r>
          <w:r>
            <w:rPr>
              <w:rFonts w:hint="eastAsia" w:ascii="黑体" w:hAnsi="黑体" w:eastAsia="黑体" w:cs="黑体"/>
            </w:rPr>
            <w:fldChar w:fldCharType="separate"/>
          </w:r>
          <w:r>
            <w:rPr>
              <w:rFonts w:hint="eastAsia" w:ascii="黑体" w:hAnsi="黑体" w:eastAsia="黑体" w:cs="黑体"/>
            </w:rPr>
            <w:t>8  预警服务效果评价</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_Toc14544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2E089976">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_Toc21138 </w:instrText>
          </w:r>
          <w:r>
            <w:rPr>
              <w:rFonts w:hint="eastAsia" w:ascii="黑体" w:hAnsi="黑体" w:eastAsia="黑体" w:cs="黑体"/>
            </w:rPr>
            <w:fldChar w:fldCharType="separate"/>
          </w:r>
          <w:r>
            <w:rPr>
              <w:rFonts w:hint="eastAsia" w:ascii="黑体" w:hAnsi="黑体" w:eastAsia="黑体" w:cs="黑体"/>
            </w:rPr>
            <w:t>9  档案管理与业务培训</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_Toc21138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554F3E3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hAnsi="Arial" w:eastAsia="Arial" w:cs="Arial"/>
              <w:snapToGrid w:val="0"/>
              <w:color w:val="000000"/>
              <w:kern w:val="0"/>
              <w:sz w:val="21"/>
              <w:szCs w:val="21"/>
              <w:lang w:val="en-US" w:eastAsia="en-US" w:bidi="ar-SA"/>
            </w:rPr>
          </w:pPr>
          <w:r>
            <w:rPr>
              <w:rFonts w:hint="eastAsia" w:ascii="黑体" w:hAnsi="黑体" w:eastAsia="黑体" w:cs="黑体"/>
            </w:rPr>
            <w:fldChar w:fldCharType="end"/>
          </w:r>
        </w:p>
      </w:sdtContent>
    </w:sdt>
    <w:p w14:paraId="1F3722CA">
      <w:pPr>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1395" w:gutter="0"/>
          <w:pgNumType w:fmt="upperRoman" w:start="1"/>
          <w:cols w:space="720" w:num="1"/>
        </w:sectPr>
      </w:pPr>
      <w:bookmarkStart w:id="18" w:name="_GoBack"/>
      <w:bookmarkEnd w:id="18"/>
    </w:p>
    <w:p w14:paraId="597247B1">
      <w:pPr>
        <w:spacing w:beforeLines="100" w:afterLines="100" w:line="240" w:lineRule="auto"/>
        <w:ind w:left="0" w:right="0"/>
        <w:jc w:val="center"/>
        <w:outlineLvl w:val="0"/>
        <w:rPr>
          <w:sz w:val="21"/>
          <w:szCs w:val="21"/>
        </w:rPr>
      </w:pPr>
      <w:bookmarkStart w:id="1" w:name="_Toc14474"/>
      <w:bookmarkStart w:id="2" w:name="_Toc12046"/>
      <w:bookmarkStart w:id="3" w:name="_Toc6131"/>
      <w:bookmarkStart w:id="4" w:name="_Toc5836"/>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1395"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pStyle w:val="2"/>
        <w:keepNext w:val="0"/>
        <w:keepLines w:val="0"/>
        <w:pageBreakBefore w:val="0"/>
        <w:widowControl/>
        <w:kinsoku/>
        <w:wordWrap/>
        <w:overflowPunct w:val="0"/>
        <w:topLinePunct w:val="0"/>
        <w:autoSpaceDE w:val="0"/>
        <w:autoSpaceDN w:val="0"/>
        <w:bidi w:val="0"/>
        <w:adjustRightInd w:val="0"/>
        <w:snapToGrid w:val="0"/>
        <w:spacing w:beforeLines="100" w:afterLines="100" w:line="240" w:lineRule="auto"/>
        <w:ind w:left="0" w:right="0"/>
        <w:jc w:val="center"/>
        <w:textAlignment w:val="baseline"/>
        <w:outlineLvl w:val="0"/>
        <w:rPr>
          <w:rFonts w:hint="eastAsia"/>
          <w:sz w:val="32"/>
          <w:szCs w:val="32"/>
        </w:rPr>
      </w:pPr>
      <w:bookmarkStart w:id="5" w:name="_Toc30364"/>
      <w:bookmarkStart w:id="6" w:name="_Toc879"/>
      <w:bookmarkStart w:id="7" w:name="_Toc17701"/>
      <w:bookmarkStart w:id="8" w:name="_Toc10649"/>
      <w:r>
        <w:rPr>
          <w:rFonts w:hint="eastAsia" w:ascii="黑体" w:hAnsi="黑体" w:eastAsia="黑体" w:cs="黑体"/>
          <w:sz w:val="32"/>
          <w:szCs w:val="32"/>
          <w:lang w:val="en-US" w:eastAsia="zh-CN"/>
        </w:rPr>
        <w:t>引</w:t>
      </w:r>
      <w:r>
        <w:rPr>
          <w:rFonts w:hint="eastAsia" w:ascii="黑体" w:hAnsi="黑体" w:eastAsia="黑体" w:cs="黑体"/>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1395" w:gutter="0"/>
          <w:pgNumType w:fmt="upperRoman"/>
          <w:cols w:space="720" w:num="1"/>
        </w:sectPr>
      </w:pPr>
      <w:r>
        <w:rPr>
          <w:rFonts w:hint="eastAsia" w:ascii="宋体" w:hAnsi="宋体" w:eastAsia="宋体" w:cs="宋体"/>
          <w:sz w:val="21"/>
          <w:szCs w:val="21"/>
        </w:rPr>
        <w:t>气象灾害预警研判是气象部门核心业务职能之一，其准确性和时效性直接影响政府防灾减灾决策和社会公众的应对行为。随着气象灾害风险管理精细化要求的不断提高，预警研判工作在人员分工、技术手段和管理程序等方面亟需进一步规范。为统一区域性气象灾害预警研判工作的标准流程和技术要求，提升预警服务的质量和效益，依据国家气象法律法规和气象行业技术标准，制定本规范。本规范的实施将有力推动气象台站预警业务的规范化、标准化水平，为防灾减灾提供更加科学可靠的气象决策支撑。</w:t>
      </w:r>
    </w:p>
    <w:p w14:paraId="62D309E2">
      <w:pPr>
        <w:jc w:val="center"/>
        <w:rPr>
          <w:rFonts w:hint="eastAsia" w:ascii="黑体" w:hAnsi="黑体" w:eastAsia="黑体" w:cs="黑体"/>
          <w:sz w:val="32"/>
          <w:szCs w:val="32"/>
        </w:rPr>
      </w:pPr>
      <w:r>
        <w:rPr>
          <w:rFonts w:hint="eastAsia" w:ascii="黑体" w:hAnsi="黑体" w:eastAsia="黑体" w:cs="黑体"/>
          <w:sz w:val="32"/>
          <w:szCs w:val="32"/>
        </w:rPr>
        <w:t>区域性气象灾害预警研判工作规范</w:t>
      </w:r>
    </w:p>
    <w:p w14:paraId="6F1D502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9760"/>
      <w:r>
        <w:rPr>
          <w:rFonts w:hint="eastAsia"/>
        </w:rPr>
        <w:t>1  范围</w:t>
      </w:r>
      <w:bookmarkEnd w:id="9"/>
    </w:p>
    <w:p w14:paraId="22B8EC6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规定了气象灾害预警研判工作流程、参与人员分工及协同机制，暴雨、台风、强对流、高温、寒潮等主要气象灾害类型的预警研判气象要素阈值参照及综合研判方法，多源气象观测数据融合分析、数值预报产品解读、历史案例对比等研判技术手段，预警等级综合研判的决策程序，预警信息发布审签流程和时效要求，以及预警服务效果评价方法和研判案例复盘制度。</w:t>
      </w:r>
    </w:p>
    <w:p w14:paraId="1D2F5C16">
      <w:pPr>
        <w:spacing w:line="240" w:lineRule="auto"/>
        <w:ind w:firstLine="500" w:firstLineChars="0"/>
        <w:jc w:val="both"/>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适用于各级气象台站区域性气象灾害预警研判业务管理工作。</w:t>
      </w:r>
    </w:p>
    <w:p w14:paraId="3941A97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17524"/>
      <w:r>
        <w:rPr>
          <w:rFonts w:hint="eastAsia"/>
        </w:rPr>
        <w:t>2  规范性引用文件</w:t>
      </w:r>
      <w:bookmarkEnd w:id="10"/>
    </w:p>
    <w:p w14:paraId="5B76F67A">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9D1ACAD">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22482 水文情报预报规范</w:t>
      </w:r>
    </w:p>
    <w:p w14:paraId="4610C9C0">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35562 气象数据安全分级规范</w:t>
      </w:r>
    </w:p>
    <w:p w14:paraId="488F9BE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28591 风力等级
</w:t>
      </w:r>
    </w:p>
    <w:p w14:paraId="38740107">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GB/T 33669 气象灾害预警信号等级
</w:t>
      </w:r>
    </w:p>
    <w:p w14:paraId="7199E0F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QX/T 103 暴雨诱发的中小流域洪水气象风险预警
</w:t>
      </w:r>
    </w:p>
    <w:p w14:paraId="451BA5E9">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QX/T 118 强对流天气预报业务规范
</w:t>
      </w:r>
    </w:p>
    <w:p w14:paraId="06E630F4">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QX/T 231 气象灾害风险评估技术规范
</w:t>
      </w:r>
    </w:p>
    <w:p w14:paraId="4089DCA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QX 45 地面气象观测规范
</w:t>
      </w:r>
    </w:p>
    <w:p w14:paraId="0E27B70D">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21932"/>
      <w:r>
        <w:rPr>
          <w:rFonts w:hint="eastAsia"/>
        </w:rPr>
        <w:t>3  术语和定义</w:t>
      </w:r>
      <w:bookmarkEnd w:id="11"/>
    </w:p>
    <w:p w14:paraId="11506D01">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下列术语和定义适用于本文件。</w:t>
      </w:r>
    </w:p>
    <w:p w14:paraId="089A4167">
      <w:pPr>
        <w:rPr>
          <w:rFonts w:hint="eastAsia" w:ascii="黑体" w:hAnsi="黑体" w:eastAsia="黑体" w:cs="黑体"/>
        </w:rPr>
      </w:pPr>
      <w:r>
        <w:rPr>
          <w:rFonts w:hint="eastAsia" w:ascii="黑体" w:hAnsi="黑体" w:eastAsia="黑体" w:cs="黑体"/>
        </w:rPr>
        <w:t xml:space="preserve">3.1 </w:t>
      </w:r>
    </w:p>
    <w:p w14:paraId="3E74B02C">
      <w:pPr>
        <w:ind w:firstLine="500" w:firstLineChars="0"/>
        <w:rPr>
          <w:rFonts w:hint="eastAsia" w:ascii="黑体" w:hAnsi="黑体" w:eastAsia="黑体" w:cs="黑体"/>
        </w:rPr>
      </w:pPr>
      <w:r>
        <w:rPr>
          <w:rFonts w:hint="eastAsia" w:ascii="黑体" w:hAnsi="黑体" w:eastAsia="黑体" w:cs="黑体"/>
        </w:rPr>
        <w:t>预警研判</w:t>
      </w:r>
      <w:r>
        <w:rPr>
          <w:rFonts w:hint="eastAsia" w:ascii="黑体" w:hAnsi="黑体" w:eastAsia="黑体" w:cs="黑体"/>
          <w:lang w:val="en-US" w:eastAsia="zh-CN"/>
        </w:rPr>
        <w:t xml:space="preserve"> </w:t>
      </w:r>
      <w:r>
        <w:rPr>
          <w:rFonts w:hint="eastAsia" w:ascii="黑体" w:hAnsi="黑体" w:eastAsia="黑体" w:cs="黑体"/>
        </w:rPr>
        <w:t xml:space="preserve"> warning assessment
</w:t>
      </w:r>
    </w:p>
    <w:p w14:paraId="0F0A0984">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气象预报员根据多源观测数据和数值预报产品，综合分析气象灾害发生的可能性、强度和影响范围，确定是否发布预警及预警等级的判断过程。
</w:t>
      </w:r>
    </w:p>
    <w:p w14:paraId="4AD22603">
      <w:pPr>
        <w:rPr>
          <w:rFonts w:hint="eastAsia" w:ascii="黑体" w:hAnsi="黑体" w:eastAsia="黑体" w:cs="黑体"/>
        </w:rPr>
      </w:pPr>
      <w:r>
        <w:rPr>
          <w:rFonts w:hint="eastAsia" w:ascii="黑体" w:hAnsi="黑体" w:eastAsia="黑体" w:cs="黑体"/>
        </w:rPr>
        <w:t xml:space="preserve">3.2 </w:t>
      </w:r>
    </w:p>
    <w:p w14:paraId="3E45ED6F">
      <w:pPr>
        <w:ind w:firstLine="500" w:firstLineChars="0"/>
        <w:rPr>
          <w:rFonts w:hint="eastAsia" w:ascii="黑体" w:hAnsi="黑体" w:eastAsia="黑体" w:cs="黑体"/>
        </w:rPr>
      </w:pPr>
      <w:r>
        <w:rPr>
          <w:rFonts w:hint="eastAsia" w:ascii="黑体" w:hAnsi="黑体" w:eastAsia="黑体" w:cs="黑体"/>
        </w:rPr>
        <w:t>研判阈值</w:t>
      </w:r>
      <w:r>
        <w:rPr>
          <w:rFonts w:hint="eastAsia" w:ascii="黑体" w:hAnsi="黑体" w:eastAsia="黑体" w:cs="黑体"/>
          <w:lang w:val="en-US" w:eastAsia="zh-CN"/>
        </w:rPr>
        <w:t xml:space="preserve"> </w:t>
      </w:r>
      <w:r>
        <w:rPr>
          <w:rFonts w:hint="eastAsia" w:ascii="黑体" w:hAnsi="黑体" w:eastAsia="黑体" w:cs="黑体"/>
        </w:rPr>
        <w:t xml:space="preserve"> assessment threshold
</w:t>
      </w:r>
    </w:p>
    <w:p w14:paraId="5FF802AF">
      <w:pPr>
        <w:rPr>
          <w:rFonts w:hint="eastAsia" w:ascii="Times New Roman" w:hAnsi="Times New Roman" w:eastAsia="宋体" w:cs="宋体"/>
          <w:sz w:val="21"/>
          <w:szCs w:val="21"/>
          <w:lang w:eastAsia="zh-CN"/>
        </w:rPr>
      </w:pPr>
      <w:r>
        <w:rPr>
          <w:rFonts w:hint="eastAsia" w:ascii="Times New Roman" w:hAnsi="Times New Roman" w:eastAsia="宋体" w:cs="宋体"/>
          <w:sz w:val="21"/>
          <w:szCs w:val="21"/>
        </w:rPr>
        <w:t>用于触发气象灾害预警研判程序的气象要素临界值，包括降水量、风速、气温等参数的量值设定</w:t>
      </w:r>
      <w:r>
        <w:rPr>
          <w:rFonts w:hint="eastAsia" w:ascii="Times New Roman" w:hAnsi="Times New Roman" w:eastAsia="宋体" w:cs="宋体"/>
          <w:sz w:val="21"/>
          <w:szCs w:val="21"/>
          <w:lang w:eastAsia="zh-CN"/>
        </w:rPr>
        <w:t>。</w:t>
      </w:r>
    </w:p>
    <w:p w14:paraId="69D391E1">
      <w:pPr>
        <w:rPr>
          <w:rFonts w:hint="eastAsia" w:ascii="黑体" w:hAnsi="黑体" w:eastAsia="黑体" w:cs="黑体"/>
        </w:rPr>
      </w:pPr>
      <w:r>
        <w:rPr>
          <w:rFonts w:hint="eastAsia" w:ascii="黑体" w:hAnsi="黑体" w:eastAsia="黑体" w:cs="黑体"/>
        </w:rPr>
        <w:t xml:space="preserve">3.3 </w:t>
      </w:r>
    </w:p>
    <w:p w14:paraId="573FC0DC">
      <w:pPr>
        <w:ind w:firstLine="500" w:firstLineChars="0"/>
        <w:rPr>
          <w:rFonts w:hint="eastAsia" w:ascii="黑体" w:hAnsi="黑体" w:eastAsia="黑体" w:cs="黑体"/>
        </w:rPr>
      </w:pPr>
      <w:r>
        <w:rPr>
          <w:rFonts w:hint="eastAsia" w:ascii="黑体" w:hAnsi="黑体" w:eastAsia="黑体" w:cs="黑体"/>
        </w:rPr>
        <w:t xml:space="preserve">集合预报 </w:t>
      </w:r>
      <w:r>
        <w:rPr>
          <w:rFonts w:hint="eastAsia" w:ascii="黑体" w:hAnsi="黑体" w:eastAsia="黑体" w:cs="黑体"/>
          <w:lang w:val="en-US" w:eastAsia="zh-CN"/>
        </w:rPr>
        <w:t xml:space="preserve"> </w:t>
      </w:r>
      <w:r>
        <w:rPr>
          <w:rFonts w:hint="eastAsia" w:ascii="黑体" w:hAnsi="黑体" w:eastAsia="黑体" w:cs="黑体"/>
        </w:rPr>
        <w:t>ensemble forecast
</w:t>
      </w:r>
    </w:p>
    <w:p w14:paraId="7AC75B1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通过运行多组具有微小初始场扰动的数值预报模式，获取一组预报结果，用于估计预报不确定性和灾害发生概率的技术方法。
</w:t>
      </w:r>
    </w:p>
    <w:p w14:paraId="1C72259F">
      <w:pPr>
        <w:rPr>
          <w:rFonts w:hint="eastAsia" w:ascii="黑体" w:hAnsi="黑体" w:eastAsia="黑体" w:cs="黑体"/>
        </w:rPr>
      </w:pPr>
      <w:r>
        <w:rPr>
          <w:rFonts w:hint="eastAsia" w:ascii="黑体" w:hAnsi="黑体" w:eastAsia="黑体" w:cs="黑体"/>
        </w:rPr>
        <w:t>3.4</w:t>
      </w:r>
    </w:p>
    <w:p w14:paraId="298D8E8A">
      <w:pPr>
        <w:ind w:firstLine="500" w:firstLineChars="0"/>
        <w:rPr>
          <w:rFonts w:hint="eastAsia" w:ascii="黑体" w:hAnsi="黑体" w:eastAsia="黑体" w:cs="黑体"/>
        </w:rPr>
      </w:pPr>
      <w:r>
        <w:rPr>
          <w:rFonts w:hint="eastAsia" w:ascii="黑体" w:hAnsi="黑体" w:eastAsia="黑体" w:cs="黑体"/>
        </w:rPr>
        <w:t xml:space="preserve">多源数据融合 </w:t>
      </w:r>
      <w:r>
        <w:rPr>
          <w:rFonts w:hint="eastAsia" w:ascii="黑体" w:hAnsi="黑体" w:eastAsia="黑体" w:cs="黑体"/>
          <w:lang w:val="en-US" w:eastAsia="zh-CN"/>
        </w:rPr>
        <w:t xml:space="preserve"> </w:t>
      </w:r>
      <w:r>
        <w:rPr>
          <w:rFonts w:hint="eastAsia" w:ascii="黑体" w:hAnsi="黑体" w:eastAsia="黑体" w:cs="黑体"/>
        </w:rPr>
        <w:t>multi-source data fusion
</w:t>
      </w:r>
    </w:p>
    <w:p w14:paraId="47C5456F">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综合利用地面观测、雷达探测、卫星遥感和数值预报等多种数据来源，通过算法处理获取更准确的气象信息的技术。
</w:t>
      </w:r>
    </w:p>
    <w:p w14:paraId="78038EF5">
      <w:pPr>
        <w:rPr>
          <w:rFonts w:hint="eastAsia" w:ascii="黑体" w:hAnsi="黑体" w:eastAsia="黑体" w:cs="黑体"/>
        </w:rPr>
      </w:pPr>
      <w:r>
        <w:rPr>
          <w:rFonts w:hint="eastAsia" w:ascii="黑体" w:hAnsi="黑体" w:eastAsia="黑体" w:cs="黑体"/>
        </w:rPr>
        <w:t xml:space="preserve">3.5 </w:t>
      </w:r>
    </w:p>
    <w:p w14:paraId="1C9B4770">
      <w:pPr>
        <w:ind w:firstLine="500" w:firstLineChars="0"/>
        <w:rPr>
          <w:rFonts w:hint="eastAsia" w:ascii="黑体" w:hAnsi="黑体" w:eastAsia="黑体" w:cs="黑体"/>
        </w:rPr>
      </w:pPr>
      <w:r>
        <w:rPr>
          <w:rFonts w:hint="eastAsia" w:ascii="黑体" w:hAnsi="黑体" w:eastAsia="黑体" w:cs="黑体"/>
        </w:rPr>
        <w:t>预警升降级</w:t>
      </w:r>
      <w:r>
        <w:rPr>
          <w:rFonts w:hint="eastAsia" w:ascii="黑体" w:hAnsi="黑体" w:eastAsia="黑体" w:cs="黑体"/>
          <w:lang w:val="en-US" w:eastAsia="zh-CN"/>
        </w:rPr>
        <w:t xml:space="preserve"> </w:t>
      </w:r>
      <w:r>
        <w:rPr>
          <w:rFonts w:hint="eastAsia" w:ascii="黑体" w:hAnsi="黑体" w:eastAsia="黑体" w:cs="黑体"/>
        </w:rPr>
        <w:t xml:space="preserve"> warning level upgrade or downgrade
</w:t>
      </w:r>
    </w:p>
    <w:p w14:paraId="40520261">
      <w:pPr>
        <w:ind w:firstLine="500" w:firstLineChars="0"/>
        <w:rPr>
          <w:rFonts w:hint="eastAsia" w:ascii="Times New Roman" w:hAnsi="Times New Roman" w:eastAsia="宋体" w:cs="宋体"/>
          <w:sz w:val="21"/>
          <w:szCs w:val="21"/>
        </w:rPr>
      </w:pPr>
      <w:r>
        <w:rPr>
          <w:rFonts w:hint="eastAsia" w:ascii="Times New Roman" w:hAnsi="Times New Roman" w:eastAsia="宋体" w:cs="宋体"/>
          <w:sz w:val="21"/>
          <w:szCs w:val="21"/>
        </w:rPr>
        <w:t>根据气象灾害发展态势，对已发布预警信息的等级进行调整的管理行为。
</w:t>
      </w:r>
    </w:p>
    <w:p w14:paraId="6140B68C">
      <w:pPr>
        <w:rPr>
          <w:rFonts w:hint="eastAsia" w:ascii="黑体" w:hAnsi="黑体" w:eastAsia="黑体" w:cs="黑体"/>
        </w:rPr>
      </w:pPr>
      <w:r>
        <w:rPr>
          <w:rFonts w:hint="eastAsia" w:ascii="黑体" w:hAnsi="黑体" w:eastAsia="黑体" w:cs="黑体"/>
        </w:rPr>
        <w:t xml:space="preserve">3.6 </w:t>
      </w:r>
    </w:p>
    <w:p w14:paraId="40EDD659">
      <w:pPr>
        <w:ind w:firstLine="500" w:firstLineChars="0"/>
        <w:rPr>
          <w:rFonts w:hint="eastAsia" w:ascii="黑体" w:hAnsi="黑体" w:eastAsia="黑体" w:cs="黑体"/>
        </w:rPr>
      </w:pPr>
      <w:r>
        <w:rPr>
          <w:rFonts w:hint="eastAsia" w:ascii="黑体" w:hAnsi="黑体" w:eastAsia="黑体" w:cs="黑体"/>
        </w:rPr>
        <w:t>复盘分析</w:t>
      </w:r>
      <w:r>
        <w:rPr>
          <w:rFonts w:hint="eastAsia" w:ascii="黑体" w:hAnsi="黑体" w:eastAsia="黑体" w:cs="黑体"/>
          <w:lang w:val="en-US" w:eastAsia="zh-CN"/>
        </w:rPr>
        <w:t xml:space="preserve"> </w:t>
      </w:r>
      <w:r>
        <w:rPr>
          <w:rFonts w:hint="eastAsia" w:ascii="黑体" w:hAnsi="黑体" w:eastAsia="黑体" w:cs="黑体"/>
        </w:rPr>
        <w:t xml:space="preserve"> after-action review
</w:t>
      </w:r>
    </w:p>
    <w:p w14:paraId="07A40094">
      <w:pPr>
        <w:ind w:firstLine="500" w:firstLineChars="0"/>
      </w:pPr>
      <w:r>
        <w:rPr>
          <w:rFonts w:hint="eastAsia" w:ascii="Times New Roman" w:hAnsi="Times New Roman" w:eastAsia="宋体" w:cs="宋体"/>
          <w:sz w:val="21"/>
          <w:szCs w:val="21"/>
        </w:rPr>
        <w:t>气象灾害过程结束后，对预警研判过程、预警时效和防灾效果进行系统回顾和分析评价的业务活动。</w:t>
      </w:r>
    </w:p>
    <w:p w14:paraId="3A5AB0D8">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9623"/>
      <w:r>
        <w:rPr>
          <w:rFonts w:hint="eastAsia"/>
        </w:rPr>
        <w:t>4  预警研判工作流程</w:t>
      </w:r>
      <w:bookmarkEnd w:id="12"/>
    </w:p>
    <w:p w14:paraId="586AFBE9">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default" w:ascii="黑体" w:hAnsi="黑体" w:eastAsia="黑体" w:cs="黑体"/>
          <w:sz w:val="21"/>
          <w:szCs w:val="21"/>
        </w:rPr>
      </w:pPr>
      <w:r>
        <w:rPr>
          <w:rFonts w:hint="eastAsia" w:ascii="黑体" w:hAnsi="黑体" w:eastAsia="黑体" w:cs="黑体"/>
          <w:sz w:val="21"/>
          <w:szCs w:val="21"/>
        </w:rPr>
        <w:t>4.1 工作组织机制</w:t>
      </w:r>
    </w:p>
    <w:p w14:paraId="06EA925D">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气象灾害预警研判工作应建立首席预报员负责制，明确主班预报员、副班预报员和值班长在研判工作中的职责分工和权限范围。日常预报业务中，主班预报员负责组织常规预警研判；遭遇重大气象灾害过程时，应启动联合会商机制，由首席预报员主持、多位骨干预报员参与，形成集体研判意见。上下级台站之间应建立实时会商渠道，在重大灾害性天气过程中实现信息共享和研判意见互通，提高预警研判的准确性，研判工作机制应符合QX/T 231气象灾害风险评估技术规范的管理要求。</w:t>
      </w:r>
    </w:p>
    <w:p w14:paraId="0821AEA5">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研判程序步骤</w:t>
      </w:r>
    </w:p>
    <w:p w14:paraId="3E0ED92D">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预警研判应按照数据收集与分析、灾害风险评估、等级研判决策和预警发布准备四个步骤顺序进行。数据收集阶段应获取最新地面观测数据、雷达图像、卫星云图和数值预报产品；风险评估阶段应结合历史案例和当地地理特征分析灾害影响范围；等级研判阶段应依据研判阈值和综合评估结论确定预警等级；预警发布准备阶段应完成预警信息内容起草和发布渠道核查，整体程序应符合GB/T 33669气象灾害预警信号等级的相关规定。</w:t>
      </w:r>
    </w:p>
    <w:p w14:paraId="02A6DBE8">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4750"/>
      <w:r>
        <w:rPr>
          <w:rFonts w:hint="eastAsia"/>
        </w:rPr>
        <w:t>5  主要灾种研判技术</w:t>
      </w:r>
      <w:bookmarkEnd w:id="13"/>
    </w:p>
    <w:p w14:paraId="5BDF52D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暴雨预警研判</w:t>
      </w:r>
    </w:p>
    <w:p w14:paraId="3F25092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暴雨预警研判应重点分析降雨强度、持续时间和影响范围三个维度，结合当地地形地貌、河道泄洪能力和城市排涝标准进行综合评估。研判过程中应充分利用雷达定量降水估测产品和集合数值预报中的降水概率信息，评估暴雨发生的概率和不确定性范围。对于可能引发城市内涝或中小河流洪水的暴雨过程，应及时与水文部门开展联合会商，确保预警信息与防洪响应行动相衔接，暴雨研判方法应符合QX/T 103的技术规范要求。</w:t>
      </w:r>
    </w:p>
    <w:p w14:paraId="343F80C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强对流预警研判</w:t>
      </w:r>
    </w:p>
    <w:p w14:paraId="4626958D">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强对流天气预警研判应综合分析大气热力不稳定条件、水汽供应和触发机制等动力因子，判断强对流天气发生的可能性和强度。雷达资料的解读是强对流预警研判的核心技术手段，应重点关注回波强度、回波顶高和垂直风切变等关键参数，识别超级单体、弓形回波等高风险回波特征。强对流天气具有时空尺度小、发展迅速的特点，预警研判频次应适当加密，预见期较短时应优先确保预警的及时性，研判技术应符合QX/T 118强对流天气预报业务规范的要求。</w:t>
      </w:r>
    </w:p>
    <w:p w14:paraId="7748827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5.3 其他灾种研判要点</w:t>
      </w:r>
    </w:p>
    <w:p w14:paraId="5BC51207">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台风预警研判应依据台风路径和强度预报产品，结合当地地形对台风风雨分布的影响，评估风力和降水的预期量级，研判依据应参照GB/T 28591风力等级标准。高温预警研判应综合考虑气温、湿度和热岛效应，评估高温热浪对人体健康和社会生产的影响。寒潮预警研判应分析48小时内气温降温幅度及最低气温，评估霜冻对农业生产和交通运输的影响。各灾种研判均应建立本地化的阈值参照体系，并根据历史预警案例复盘结果定期修订完善，符合QX/T 231的灾害风险评估技术规范要求。</w:t>
      </w:r>
    </w:p>
    <w:p w14:paraId="6621047F">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16181"/>
      <w:r>
        <w:rPr>
          <w:rFonts w:hint="eastAsia"/>
        </w:rPr>
        <w:t>6  预警发布审签与时效</w:t>
      </w:r>
      <w:bookmarkEnd w:id="14"/>
    </w:p>
    <w:p w14:paraId="7A84A802">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发布审签程序</w:t>
      </w:r>
    </w:p>
    <w:p w14:paraId="645B970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气象灾害预警信息的发布应实行分级审签制度，不同等级预警信息的发布权限应在台站内部管理制度中明确规定。蓝色和黄色预警信息可由值班长审核后发布；橙色和红色预警信息应由首席预报员或台站负责人审批后发布。审签过程应有记录，记录内容包括研判依据、审签意见和发布时间，审签记录应妥善保存，审签程序的规范性是预警服务质量管理的重要内容，应符合GB/T 33669的管理规定。</w:t>
      </w:r>
    </w:p>
    <w:p w14:paraId="57387AF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时效要求</w:t>
      </w:r>
    </w:p>
    <w:p w14:paraId="3D86896B">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气象灾害预警信息应在研判完成后尽快发布，对于急剧发展的强对流等灾害，预警发布的时效性要求更为严格。各类灾害预警信息发布的最长时限应在台站业务规定中明确，超时发布的情况应纳入绩效考核。预警升降级和解除信息也应及时发布，避免预警信息滞后导致公众误判灾害风险。发布渠道应覆盖官方网站、手机客户端、广播电视和气象预警终端等多种途径，确保预警信息快速触达需要的用户群体，信息安全管理应符合GB/T 35562的数据安全分级规范。</w:t>
      </w:r>
    </w:p>
    <w:p w14:paraId="26674F70">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397"/>
      <w:r>
        <w:rPr>
          <w:rFonts w:hint="eastAsia"/>
        </w:rPr>
        <w:t>7  研判技术手段应用</w:t>
      </w:r>
      <w:bookmarkEnd w:id="15"/>
    </w:p>
    <w:p w14:paraId="32B9FC5D">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多源数据融合分析</w:t>
      </w:r>
    </w:p>
    <w:p w14:paraId="7918F220">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预警研判应充分利用地面自动气象站实时观测、雷达探测和卫星遥感等多源数据，通过数据融合处理获取高分辨率的灾害风险分析产品。多源数据融合分析结果应作为预警研判的重要参考，但不能完全替代预报员的专业判断，特别是在数据质量存疑或模型误差较大的情况下，应更多倚重预报员的经验判断。多源数据融合产品的引入和应用应经过本地化验证，评估其在当地天气条件下的适用性，符合QX 45地面气象观测规范的数据质量管理要求。</w:t>
      </w:r>
    </w:p>
    <w:p w14:paraId="766028A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历史案例对比应用</w:t>
      </w:r>
    </w:p>
    <w:p w14:paraId="161BA3EF">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台站应建立区域性气象灾害历史案例数据库，系统收集历次灾害性天气过程的观测数据、预警情况和灾情影响记录。在开展预警研判时，应检索与当前天气形势相似的历史案例，参考历史案例的预警效果和灾害影响，辅助判断当前过程的灾害风险等级。历史案例数据库应定期更新，每次重大灾害过程结束后应及时补充入库，案例录入格式应统一规范，便于检索和比对，案例管理应符合QX/T 231气象灾害风险评估的数据管理要求。</w:t>
      </w:r>
    </w:p>
    <w:p w14:paraId="3FD92C1A">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14544"/>
      <w:r>
        <w:rPr>
          <w:rFonts w:hint="eastAsia"/>
        </w:rPr>
        <w:t>8  预警服务效果评价</w:t>
      </w:r>
      <w:bookmarkEnd w:id="16"/>
    </w:p>
    <w:p w14:paraId="342C4CEA">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评价指标体系</w:t>
      </w:r>
    </w:p>
    <w:p w14:paraId="44A8860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气象灾害预警服务效果评价指标应涵盖预警准确率、预警及时率和公众覆盖率三个维度。预警准确率评价预警信息与实况灾害的吻合程度，包括空报率和漏报率分析；预警及时率评价预警发布时间与灾害发生时间的差值，反映预见期长短；公众覆盖率评价预警信息触达目标受众的比例，反映预警传播效果。评价结果应按季度和年度汇总，与历史水平进行对比，发现持续性薄弱环节，制定针对性改进措施，符合GB/T 33669预警信号等级标准的服务质量要求。</w:t>
      </w:r>
    </w:p>
    <w:p w14:paraId="28AECAD6">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复盘分析制度</w:t>
      </w:r>
    </w:p>
    <w:p w14:paraId="4FF55945">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气象台站应建立重大灾害性天气过程复盘分析制度，每次过程结束后应在规定时限内完成复盘，复盘内容包括天气系统分析、预报失误原因解析、预警时效评估和应急响应配合评价等。复盘结果应形成书面案例报告，在台站内部组织学习交流，将典型案例纳入数据库供后续参考。年度复盘总结应对全年预警服务质量进行系统评价，提炼改进预警研判水平的关键措施，推动预警业务能力的持续提升，符合QX/T 231气象灾害风险评估技术规范中持续改进的管理理念。</w:t>
      </w:r>
    </w:p>
    <w:p w14:paraId="6B12AF04">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21138"/>
      <w:r>
        <w:rPr>
          <w:rFonts w:hint="eastAsia"/>
        </w:rPr>
        <w:t>9  档案管理与业务培训</w:t>
      </w:r>
      <w:bookmarkEnd w:id="17"/>
    </w:p>
    <w:p w14:paraId="5C6EF4F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档案管理规定</w:t>
      </w:r>
    </w:p>
    <w:p w14:paraId="72B0624E">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气象灾害预警研判档案应包括研判工作记录、预警信息发布记录、审签记录、复盘分析报告和年度评价报告等。各类档案应按时间序列分类整理，纸质档案和电子档案同步保存，保存期限应符合气象档案管理的相关规定。电子档案应在台站内部服务器中备份存储，防止数据丢失，数据安全管理应符合GB/T 35562气象数据安全分级规范的要求。档案管理责任应明确到人，定期开展档案核查，确保档案的完整性和准确性。</w:t>
      </w:r>
    </w:p>
    <w:p w14:paraId="4579BB6B">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预报员业务培训</w:t>
      </w:r>
    </w:p>
    <w:p w14:paraId="1D8EC58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台站应制定预报员业务培训计划，定期开展预警研判专项培训，培训内容应涵盖新型观测数据应用、数值预报产品解读、强天气识别技术和预警决策程序等方面。培训形式应结合理论讲授、历史个例分析和模拟研判演练，提升预报员的实战能力。新入职预报员应在高级预报员指导下经历完整的汛期预警值班锻炼，通过考核后方可独立承担预警研判任务。培训成效应纳入预报员绩效评价体系，推动台站整体预警研判能力的持续提升。</w:t>
      </w:r>
    </w:p>
    <w:p w14:paraId="7B3A045F">
      <w:pPr>
        <w:jc w:val="center"/>
        <w:rPr>
          <w:rFonts w:hint="eastAsia" w:ascii="黑体" w:hAnsi="黑体" w:eastAsia="黑体" w:cs="黑体"/>
          <w:sz w:val="32"/>
          <w:szCs w:val="32"/>
        </w:rPr>
      </w:pPr>
    </w:p>
    <w:p w14:paraId="0CB9106D">
      <w:pPr>
        <w:jc w:val="center"/>
        <w:rPr>
          <w:rFonts w:hint="eastAsia" w:ascii="黑体" w:hAnsi="黑体" w:eastAsia="黑体" w:cs="黑体"/>
          <w:sz w:val="32"/>
          <w:szCs w:val="32"/>
        </w:rPr>
      </w:pPr>
      <w:r>
        <w:drawing>
          <wp:anchor distT="0" distB="0" distL="0" distR="0" simplePos="0" relativeHeight="251670528" behindDoc="0" locked="0" layoutInCell="1" allowOverlap="1">
            <wp:simplePos x="0" y="0"/>
            <wp:positionH relativeFrom="page">
              <wp:posOffset>3154680</wp:posOffset>
            </wp:positionH>
            <wp:positionV relativeFrom="paragraph">
              <wp:posOffset>242570</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p w14:paraId="0B5440D5">
      <w:pPr>
        <w:jc w:val="center"/>
        <w:rPr>
          <w:rFonts w:hint="eastAsia" w:ascii="黑体" w:hAnsi="黑体" w:eastAsia="黑体" w:cs="黑体"/>
          <w:sz w:val="32"/>
          <w:szCs w:val="32"/>
        </w:rPr>
      </w:pPr>
    </w:p>
    <w:sectPr>
      <w:headerReference r:id="rId20" w:type="default"/>
      <w:footerReference r:id="rId22" w:type="default"/>
      <w:headerReference r:id="rId21" w:type="even"/>
      <w:footerReference r:id="rId23" w:type="even"/>
      <w:pgSz w:w="11910" w:h="16840"/>
      <w:pgMar w:top="1417" w:right="1134" w:bottom="1134" w:left="1417" w:header="1417" w:footer="1395"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0C69A">
    <w:pPr>
      <w:pStyle w:val="6"/>
      <w:spacing w:line="249" w:lineRule="exact"/>
      <w:jc w:val="right"/>
      <w:rPr>
        <w:rFonts w:hint="eastAsia" w:ascii="宋体" w:hAnsi="宋体" w:eastAsia="宋体" w:cs="宋体"/>
        <w:sz w:val="18"/>
        <w:szCs w:val="18"/>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432</w:t>
    </w:r>
    <w:r>
      <w:rPr>
        <w:rFonts w:hint="eastAsia" w:ascii="黑体" w:hAnsi="黑体" w:eastAsia="黑体" w:cs="黑体"/>
        <w:sz w:val="21"/>
        <w:szCs w:val="21"/>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73729">
    <w:pPr>
      <w:pStyle w:val="6"/>
      <w:spacing w:line="249" w:lineRule="exact"/>
      <w:jc w:val="lef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432</w:t>
    </w:r>
    <w:r>
      <w:rPr>
        <w:rFonts w:hint="eastAsia" w:ascii="黑体" w:hAnsi="黑体" w:eastAsia="黑体" w:cs="黑体"/>
        <w:sz w:val="21"/>
        <w:szCs w:val="21"/>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432</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F7F3E">
    <w:pPr>
      <w:pStyle w:val="6"/>
      <w:spacing w:line="249" w:lineRule="exact"/>
      <w:jc w:val="right"/>
      <w:rPr>
        <w:rFonts w:hint="eastAsia" w:ascii="宋体" w:hAnsi="宋体" w:eastAsia="宋体" w:cs="宋体"/>
        <w:sz w:val="18"/>
        <w:szCs w:val="18"/>
        <w:lang w:val="en-US" w:eastAsia="zh-CN"/>
      </w:rPr>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05AFB">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432</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CC145">
    <w:pPr>
      <w:pStyle w:val="6"/>
      <w:spacing w:line="249" w:lineRule="exact"/>
      <w:jc w:val="right"/>
      <w:rPr>
        <w:rFonts w:hint="eastAsia" w:ascii="宋体" w:hAnsi="宋体" w:eastAsia="宋体" w:cs="宋体"/>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432</w:t>
    </w:r>
    <w:r>
      <w:rPr>
        <w:rFonts w:hint="eastAsia" w:ascii="黑体" w:hAnsi="黑体" w:eastAsia="黑体" w:cs="黑体"/>
        <w:sz w:val="21"/>
        <w:szCs w:val="21"/>
      </w:rPr>
      <w:t>—2026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44F2D27"/>
    <w:rsid w:val="152B0E50"/>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F913B87"/>
    <w:rsid w:val="314C15E2"/>
    <w:rsid w:val="36055107"/>
    <w:rsid w:val="362C295C"/>
    <w:rsid w:val="36C03D85"/>
    <w:rsid w:val="38296BB0"/>
    <w:rsid w:val="38CD2E8E"/>
    <w:rsid w:val="39F53F18"/>
    <w:rsid w:val="3AF6384B"/>
    <w:rsid w:val="3F417E35"/>
    <w:rsid w:val="3F911525"/>
    <w:rsid w:val="409E2E12"/>
    <w:rsid w:val="44721635"/>
    <w:rsid w:val="478B5BE9"/>
    <w:rsid w:val="49AE2C0A"/>
    <w:rsid w:val="4BA11B70"/>
    <w:rsid w:val="4D576B6D"/>
    <w:rsid w:val="4E4F4B57"/>
    <w:rsid w:val="4ED300C1"/>
    <w:rsid w:val="50F8747A"/>
    <w:rsid w:val="51536047"/>
    <w:rsid w:val="54DC719A"/>
    <w:rsid w:val="54EA55DA"/>
    <w:rsid w:val="55277367"/>
    <w:rsid w:val="567F35D2"/>
    <w:rsid w:val="571B11FE"/>
    <w:rsid w:val="5DFE5C52"/>
    <w:rsid w:val="5DFF3841"/>
    <w:rsid w:val="5EAB5261"/>
    <w:rsid w:val="61E5122B"/>
    <w:rsid w:val="679C2507"/>
    <w:rsid w:val="67D029E5"/>
    <w:rsid w:val="69731BEA"/>
    <w:rsid w:val="69844B42"/>
    <w:rsid w:val="6A4913D1"/>
    <w:rsid w:val="6CF43042"/>
    <w:rsid w:val="6D911F95"/>
    <w:rsid w:val="6E0E34CE"/>
    <w:rsid w:val="6EF72976"/>
    <w:rsid w:val="6FD66A2F"/>
    <w:rsid w:val="6FD809F9"/>
    <w:rsid w:val="7023696D"/>
    <w:rsid w:val="733E6120"/>
    <w:rsid w:val="74324450"/>
    <w:rsid w:val="75B24D84"/>
    <w:rsid w:val="76730700"/>
    <w:rsid w:val="78031871"/>
    <w:rsid w:val="78F341AE"/>
    <w:rsid w:val="79B85A3F"/>
    <w:rsid w:val="79F63C5C"/>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3899</Words>
  <Characters>4279</Characters>
  <TotalTime>1</TotalTime>
  <ScaleCrop>false</ScaleCrop>
  <LinksUpToDate>false</LinksUpToDate>
  <CharactersWithSpaces>4433</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2026-06-01T06:48:12Z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