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C5B91">
      <w:pPr>
        <w:spacing w:before="31"/>
        <w:ind w:left="6727" w:right="0" w:firstLine="0"/>
        <w:jc w:val="left"/>
        <w:rPr>
          <w:rFonts w:hint="eastAsia" w:ascii="Times New Roman" w:eastAsia="宋体"/>
          <w:b/>
          <w:w w:val="130"/>
          <w:sz w:val="96"/>
          <w:lang w:val="en-US" w:eastAsia="zh-CN"/>
        </w:rPr>
      </w:pPr>
      <w:bookmarkStart w:id="0" w:name="bookmark1"/>
      <w:bookmarkEnd w:id="0"/>
      <w:r>
        <mc:AlternateContent>
          <mc:Choice Requires="wpg">
            <w:drawing>
              <wp:anchor distT="0" distB="0" distL="114300" distR="114300" simplePos="0" relativeHeight="251661312" behindDoc="0" locked="0" layoutInCell="1" allowOverlap="1">
                <wp:simplePos x="0" y="0"/>
                <wp:positionH relativeFrom="page">
                  <wp:posOffset>4242435</wp:posOffset>
                </wp:positionH>
                <wp:positionV relativeFrom="paragraph">
                  <wp:posOffset>150495</wp:posOffset>
                </wp:positionV>
                <wp:extent cx="589915" cy="436245"/>
                <wp:effectExtent l="635" t="0" r="6350" b="8255"/>
                <wp:wrapNone/>
                <wp:docPr id="2" name="组合 2"/>
                <wp:cNvGraphicFramePr/>
                <a:graphic xmlns:a="http://schemas.openxmlformats.org/drawingml/2006/main">
                  <a:graphicData uri="http://schemas.microsoft.com/office/word/2010/wordprocessingGroup">
                    <wpg:wgp>
                      <wpg:cNvGrpSpPr/>
                      <wpg:grpSpPr>
                        <a:xfrm>
                          <a:off x="0" y="0"/>
                          <a:ext cx="589915" cy="436245"/>
                          <a:chOff x="6682" y="237"/>
                          <a:chExt cx="929" cy="687"/>
                        </a:xfrm>
                      </wpg:grpSpPr>
                      <pic:pic xmlns:pic="http://schemas.openxmlformats.org/drawingml/2006/picture">
                        <pic:nvPicPr>
                          <pic:cNvPr id="4" name="图片 3"/>
                          <pic:cNvPicPr>
                            <a:picLocks noChangeAspect="1"/>
                          </pic:cNvPicPr>
                        </pic:nvPicPr>
                        <pic:blipFill>
                          <a:blip r:embed="rId25"/>
                          <a:stretch>
                            <a:fillRect/>
                          </a:stretch>
                        </pic:blipFill>
                        <pic:spPr>
                          <a:xfrm>
                            <a:off x="6681" y="237"/>
                            <a:ext cx="653" cy="680"/>
                          </a:xfrm>
                          <a:prstGeom prst="rect">
                            <a:avLst/>
                          </a:prstGeom>
                          <a:noFill/>
                          <a:ln>
                            <a:noFill/>
                          </a:ln>
                        </pic:spPr>
                      </pic:pic>
                      <pic:pic xmlns:pic="http://schemas.openxmlformats.org/drawingml/2006/picture">
                        <pic:nvPicPr>
                          <pic:cNvPr id="5" name="图片 4"/>
                          <pic:cNvPicPr>
                            <a:picLocks noChangeAspect="1"/>
                          </pic:cNvPicPr>
                        </pic:nvPicPr>
                        <pic:blipFill>
                          <a:blip r:embed="rId26"/>
                          <a:stretch>
                            <a:fillRect/>
                          </a:stretch>
                        </pic:blipFill>
                        <pic:spPr>
                          <a:xfrm>
                            <a:off x="7341" y="237"/>
                            <a:ext cx="269" cy="687"/>
                          </a:xfrm>
                          <a:prstGeom prst="rect">
                            <a:avLst/>
                          </a:prstGeom>
                          <a:noFill/>
                          <a:ln>
                            <a:noFill/>
                          </a:ln>
                        </pic:spPr>
                      </pic:pic>
                    </wpg:wgp>
                  </a:graphicData>
                </a:graphic>
              </wp:anchor>
            </w:drawing>
          </mc:Choice>
          <mc:Fallback>
            <w:pict>
              <v:group id="_x0000_s1026" o:spid="_x0000_s1026" o:spt="203" style="position:absolute;left:0pt;margin-left:334.05pt;margin-top:11.85pt;height:34.35pt;width:46.45pt;mso-position-horizontal-relative:page;z-index:251661312;mso-width-relative:page;mso-height-relative:page;" coordorigin="6682,237" coordsize="929,687" o:gfxdata="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">
                <o:lock v:ext="edit" aspectratio="f"/>
                <v:shape id="图片 3" o:spid="_x0000_s1026" o:spt="75" type="#_x0000_t75" style="position:absolute;left:6681;top:237;height:680;width:653;" filled="f" o:preferrelative="t" stroked="f" coordsize="21600,21600" o:gfxdata="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pkyRvQAA&#10;ANoAAAAPAAAAAAAAAAEAIAAAACIAAABkcnMvZG93bnJldi54bWxQSwECFAAUAAAACACHTuJAMy8F&#10;njsAAAA5AAAAEAAAAAAAAAABACAAAAAMAQAAZHJzL3NoYXBleG1sLnhtbFBLBQYAAAAABgAGAFsB&#10;AAC2AwAAAAA=&#10;">
                  <v:fill on="f" focussize="0,0"/>
                  <v:stroke on="f"/>
                  <v:imagedata r:id="rId25" o:title=""/>
                  <o:lock v:ext="edit" aspectratio="t"/>
                </v:shape>
                <v:shape id="图片 4" o:spid="_x0000_s1026" o:spt="75" type="#_x0000_t75" style="position:absolute;left:7341;top:237;height:687;width:269;" filled="f" o:preferrelative="t" stroked="f" coordsize="21600,21600" o:gfxdata="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appzvQAA&#10;ANoAAAAPAAAAAAAAAAEAIAAAACIAAABkcnMvZG93bnJldi54bWxQSwECFAAUAAAACACHTuJAMy8F&#10;njsAAAA5AAAAEAAAAAAAAAABACAAAAAMAQAAZHJzL3NoYXBleG1sLnhtbFBLBQYAAAAABgAGAFsB&#10;AAC2AwAAAAA=&#10;">
                  <v:fill on="f" focussize="0,0"/>
                  <v:stroke on="f"/>
                  <v:imagedata r:id="rId26" o:title=""/>
                  <o:lock v:ext="edit" aspectratio="t"/>
                </v:shape>
              </v:group>
            </w:pict>
          </mc:Fallback>
        </mc:AlternateContent>
      </w:r>
      <w:r>
        <w:rPr>
          <w:rFonts w:ascii="Times New Roman"/>
          <w:b/>
          <w:w w:val="130"/>
          <w:sz w:val="96"/>
        </w:rPr>
        <w:t>J</w:t>
      </w:r>
      <w:r>
        <w:rPr>
          <w:rFonts w:hint="eastAsia" w:ascii="Times New Roman"/>
          <w:b/>
          <w:w w:val="130"/>
          <w:sz w:val="96"/>
          <w:lang w:val="en-US" w:eastAsia="zh-CN"/>
        </w:rPr>
        <w:t>X</w:t>
      </w:r>
      <w:r>
        <w:rPr>
          <w:rFonts w:ascii="Times New Roman"/>
          <w:b/>
          <w:w w:val="130"/>
          <w:sz w:val="96"/>
        </w:rPr>
        <w:t>E</w:t>
      </w:r>
      <w:r>
        <w:rPr>
          <w:rFonts w:hint="eastAsia" w:ascii="Times New Roman"/>
          <w:b/>
          <w:w w:val="130"/>
          <w:sz w:val="96"/>
          <w:lang w:val="en-US" w:eastAsia="zh-CN"/>
        </w:rPr>
        <w:t>A</w:t>
      </w:r>
    </w:p>
    <w:p w14:paraId="12031DCB">
      <w:pPr>
        <w:spacing w:before="0" w:line="602" w:lineRule="exact"/>
        <w:ind w:left="38" w:right="0" w:firstLine="0"/>
        <w:jc w:val="center"/>
        <w:rPr>
          <w:rFonts w:hint="eastAsia" w:ascii="黑体" w:eastAsia="黑体"/>
          <w:sz w:val="48"/>
        </w:rPr>
      </w:pPr>
      <w:r>
        <w:rPr>
          <w:rFonts w:hint="eastAsia" w:ascii="黑体" w:eastAsia="黑体"/>
          <w:sz w:val="48"/>
        </w:rPr>
        <w:t xml:space="preserve">江 </w:t>
      </w:r>
      <w:r>
        <w:rPr>
          <w:rFonts w:hint="eastAsia" w:ascii="黑体" w:eastAsia="黑体"/>
          <w:sz w:val="48"/>
          <w:lang w:val="en-US" w:eastAsia="zh-CN"/>
        </w:rPr>
        <w:t xml:space="preserve">西 </w:t>
      </w:r>
      <w:r>
        <w:rPr>
          <w:rFonts w:hint="eastAsia" w:ascii="黑体" w:eastAsia="黑体"/>
          <w:sz w:val="48"/>
        </w:rPr>
        <w:t xml:space="preserve">省 工 程 师 </w:t>
      </w:r>
      <w:r>
        <w:rPr>
          <w:rFonts w:hint="eastAsia" w:ascii="黑体" w:eastAsia="黑体"/>
          <w:sz w:val="48"/>
          <w:lang w:val="en-US" w:eastAsia="zh-CN"/>
        </w:rPr>
        <w:t xml:space="preserve">联 合 </w:t>
      </w:r>
      <w:r>
        <w:rPr>
          <w:rFonts w:hint="eastAsia" w:ascii="黑体" w:eastAsia="黑体"/>
          <w:sz w:val="48"/>
        </w:rPr>
        <w:t>会 团 体 标 准</w:t>
      </w:r>
    </w:p>
    <w:p w14:paraId="06530B1C">
      <w:pPr>
        <w:spacing w:before="341"/>
        <w:ind w:left="0" w:right="411" w:firstLine="0"/>
        <w:jc w:val="right"/>
        <w:rPr>
          <w:rFonts w:hint="eastAsia" w:ascii="黑体" w:hAnsi="黑体" w:eastAsia="宋体"/>
          <w:sz w:val="28"/>
          <w:lang w:eastAsia="zh-CN"/>
        </w:rPr>
      </w:pPr>
      <w:r>
        <w:rPr>
          <w:rFonts w:ascii="黑体" w:hAnsi="黑体"/>
          <w:sz w:val="28"/>
        </w:rPr>
        <w:t>T/JXEA 431—2026</w:t>
      </w:r>
    </w:p>
    <w:p w14:paraId="6EB1BE84">
      <w:pPr>
        <w:pStyle w:val="6"/>
        <w:rPr>
          <w:rFonts w:ascii="黑体"/>
          <w:sz w:val="20"/>
        </w:rPr>
      </w:pPr>
    </w:p>
    <w:p w14:paraId="2B5D136B">
      <w:pPr>
        <w:pStyle w:val="6"/>
        <w:spacing w:before="4"/>
        <w:rPr>
          <w:rFonts w:ascii="黑体"/>
          <w:sz w:val="28"/>
        </w:rPr>
      </w:pPr>
      <w:r>
        <mc:AlternateContent>
          <mc:Choice Requires="wps">
            <w:drawing>
              <wp:anchor distT="0" distB="0" distL="114300" distR="114300" simplePos="0" relativeHeight="251659264" behindDoc="1" locked="0" layoutInCell="1" allowOverlap="1">
                <wp:simplePos x="0" y="0"/>
                <wp:positionH relativeFrom="page">
                  <wp:posOffset>900430</wp:posOffset>
                </wp:positionH>
                <wp:positionV relativeFrom="paragraph">
                  <wp:posOffset>260350</wp:posOffset>
                </wp:positionV>
                <wp:extent cx="6120130" cy="0"/>
                <wp:effectExtent l="0" t="4445" r="0" b="5080"/>
                <wp:wrapTopAndBottom/>
                <wp:docPr id="3" name="直线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70.9pt;margin-top:20.5pt;height:0pt;width:481.9pt;mso-position-horizontal-relative:page;mso-wrap-distance-bottom:0pt;mso-wrap-distance-top:0pt;z-index:-251657216;mso-width-relative:page;mso-height-relative:page;" filled="f" stroked="t" coordsize="21600,21600" o:gfxdata="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6fveU1gAA&#10;AAoBAAAPAAAAAAAAAAEAIAAAACIAAABkcnMvZG93bnJldi54bWxQSwECFAAUAAAACACHTuJAeKaj&#10;sucBAADbAwAADgAAAAAAAAABACAAAAAlAQAAZHJzL2Uyb0RvYy54bWxQSwUGAAAAAAYABgBZAQAA&#10;fgUAAAAA&#10;">
                <v:fill on="f" focussize="0,0"/>
                <v:stroke color="#000000" joinstyle="round"/>
                <v:imagedata o:title=""/>
                <o:lock v:ext="edit" aspectratio="f"/>
                <w10:wrap type="topAndBottom"/>
              </v:line>
            </w:pict>
          </mc:Fallback>
        </mc:AlternateContent>
      </w:r>
    </w:p>
    <w:p w14:paraId="1C535998">
      <w:pPr>
        <w:pStyle w:val="6"/>
        <w:rPr>
          <w:rFonts w:ascii="黑体"/>
          <w:sz w:val="28"/>
        </w:rPr>
      </w:pPr>
    </w:p>
    <w:p w14:paraId="3C30986B">
      <w:pPr>
        <w:pStyle w:val="6"/>
        <w:rPr>
          <w:rFonts w:ascii="黑体"/>
          <w:sz w:val="28"/>
        </w:rPr>
      </w:pPr>
    </w:p>
    <w:p w14:paraId="5E5D9AD9">
      <w:pPr>
        <w:pStyle w:val="6"/>
        <w:rPr>
          <w:rFonts w:ascii="黑体"/>
          <w:sz w:val="28"/>
        </w:rPr>
      </w:pPr>
    </w:p>
    <w:p w14:paraId="0F32264C">
      <w:pPr>
        <w:pStyle w:val="6"/>
        <w:spacing w:before="3"/>
        <w:rPr>
          <w:rFonts w:hint="eastAsia" w:ascii="黑体" w:hAnsi="黑体" w:eastAsia="黑体" w:cs="黑体"/>
          <w:snapToGrid w:val="0"/>
          <w:color w:val="000000"/>
          <w:spacing w:val="-2"/>
          <w:kern w:val="0"/>
          <w:sz w:val="52"/>
          <w:szCs w:val="52"/>
          <w:lang w:val="en-US" w:eastAsia="en-US" w:bidi="ar-SA"/>
        </w:rPr>
      </w:pPr>
    </w:p>
    <w:p w14:paraId="14A96175">
      <w:pPr>
        <w:pStyle w:val="12"/>
        <w:keepNext w:val="0"/>
        <w:keepLines w:val="0"/>
        <w:widowControl/>
        <w:suppressLineNumbers w:val="0"/>
        <w:spacing w:before="0" w:beforeAutospacing="0" w:after="0" w:afterAutospacing="0"/>
        <w:ind w:left="0" w:right="0" w:firstLine="0"/>
        <w:jc w:val="center"/>
        <w:rPr>
          <w:rFonts w:hint="eastAsia" w:ascii="黑体" w:hAnsi="黑体" w:eastAsia="黑体" w:cs="黑体"/>
          <w:snapToGrid w:val="0"/>
          <w:color w:val="000000"/>
          <w:spacing w:val="-2"/>
          <w:kern w:val="0"/>
          <w:sz w:val="52"/>
          <w:szCs w:val="52"/>
          <w:lang w:val="en-US" w:eastAsia="en-US" w:bidi="ar-SA"/>
        </w:rPr>
      </w:pPr>
      <w:r>
        <w:rPr>
          <w:rFonts w:hint="eastAsia" w:ascii="黑体" w:hAnsi="黑体" w:eastAsia="黑体" w:cs="黑体"/>
          <w:snapToGrid w:val="0"/>
          <w:color w:val="000000"/>
          <w:spacing w:val="-2"/>
          <w:kern w:val="0"/>
          <w:sz w:val="52"/>
          <w:szCs w:val="52"/>
          <w:lang w:val="en-US" w:eastAsia="en-US" w:bidi="ar-SA"/>
        </w:rPr>
        <w:t>污水在线监测设备安装调试规程</w:t>
      </w:r>
    </w:p>
    <w:p w14:paraId="2E701569">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380" w:beforeAutospacing="0" w:after="0" w:afterAutospacing="0"/>
        <w:ind w:left="283" w:right="0" w:firstLine="0"/>
        <w:jc w:val="center"/>
        <w:textAlignment w:val="baseline"/>
        <w:rPr>
          <w:rFonts w:hint="eastAsia" w:ascii="黑体" w:hAnsi="黑体" w:eastAsia="黑体" w:cs="黑体"/>
          <w:snapToGrid w:val="0"/>
          <w:color w:val="000000"/>
          <w:spacing w:val="-2"/>
          <w:kern w:val="0"/>
          <w:sz w:val="28"/>
          <w:szCs w:val="28"/>
          <w:lang w:val="en-US" w:eastAsia="en-US" w:bidi="ar-SA"/>
        </w:rPr>
      </w:pPr>
      <w:r>
        <w:rPr>
          <w:rFonts w:hint="eastAsia" w:ascii="黑体" w:hAnsi="黑体" w:eastAsia="黑体" w:cs="黑体"/>
          <w:snapToGrid w:val="0"/>
          <w:color w:val="000000"/>
          <w:spacing w:val="-2"/>
          <w:kern w:val="0"/>
          <w:sz w:val="28"/>
          <w:szCs w:val="28"/>
          <w:lang w:val="en-US" w:eastAsia="en-US" w:bidi="ar-SA"/>
        </w:rPr>
        <w:t xml:space="preserve">Regulations for </w:t>
      </w:r>
      <w:r>
        <w:rPr>
          <w:rFonts w:hint="eastAsia" w:ascii="黑体" w:hAnsi="黑体" w:eastAsia="黑体" w:cs="黑体"/>
          <w:snapToGrid w:val="0"/>
          <w:color w:val="000000"/>
          <w:spacing w:val="-2"/>
          <w:kern w:val="0"/>
          <w:sz w:val="28"/>
          <w:szCs w:val="28"/>
          <w:lang w:val="en-US" w:eastAsia="zh-CN" w:bidi="ar-SA"/>
        </w:rPr>
        <w:t>i</w:t>
      </w:r>
      <w:r>
        <w:rPr>
          <w:rFonts w:hint="eastAsia" w:ascii="黑体" w:hAnsi="黑体" w:eastAsia="黑体" w:cs="黑体"/>
          <w:snapToGrid w:val="0"/>
          <w:color w:val="000000"/>
          <w:spacing w:val="-2"/>
          <w:kern w:val="0"/>
          <w:sz w:val="28"/>
          <w:szCs w:val="28"/>
          <w:lang w:val="en-US" w:eastAsia="en-US" w:bidi="ar-SA"/>
        </w:rPr>
        <w:t xml:space="preserve">nstallation and </w:t>
      </w:r>
      <w:r>
        <w:rPr>
          <w:rFonts w:hint="eastAsia" w:ascii="黑体" w:hAnsi="黑体" w:eastAsia="黑体" w:cs="黑体"/>
          <w:snapToGrid w:val="0"/>
          <w:color w:val="000000"/>
          <w:spacing w:val="-2"/>
          <w:kern w:val="0"/>
          <w:sz w:val="28"/>
          <w:szCs w:val="28"/>
          <w:lang w:val="en-US" w:eastAsia="zh-CN" w:bidi="ar-SA"/>
        </w:rPr>
        <w:t>c</w:t>
      </w:r>
      <w:r>
        <w:rPr>
          <w:rFonts w:hint="eastAsia" w:ascii="黑体" w:hAnsi="黑体" w:eastAsia="黑体" w:cs="黑体"/>
          <w:snapToGrid w:val="0"/>
          <w:color w:val="000000"/>
          <w:spacing w:val="-2"/>
          <w:kern w:val="0"/>
          <w:sz w:val="28"/>
          <w:szCs w:val="28"/>
          <w:lang w:val="en-US" w:eastAsia="en-US" w:bidi="ar-SA"/>
        </w:rPr>
        <w:t xml:space="preserve">ommissioning of </w:t>
      </w:r>
      <w:r>
        <w:rPr>
          <w:rFonts w:hint="eastAsia" w:ascii="黑体" w:hAnsi="黑体" w:eastAsia="黑体" w:cs="黑体"/>
          <w:snapToGrid w:val="0"/>
          <w:color w:val="000000"/>
          <w:spacing w:val="-2"/>
          <w:kern w:val="0"/>
          <w:sz w:val="28"/>
          <w:szCs w:val="28"/>
          <w:lang w:val="en-US" w:eastAsia="zh-CN" w:bidi="ar-SA"/>
        </w:rPr>
        <w:t>w</w:t>
      </w:r>
      <w:r>
        <w:rPr>
          <w:rFonts w:hint="eastAsia" w:ascii="黑体" w:hAnsi="黑体" w:eastAsia="黑体" w:cs="黑体"/>
          <w:snapToGrid w:val="0"/>
          <w:color w:val="000000"/>
          <w:spacing w:val="-2"/>
          <w:kern w:val="0"/>
          <w:sz w:val="28"/>
          <w:szCs w:val="28"/>
          <w:lang w:val="en-US" w:eastAsia="en-US" w:bidi="ar-SA"/>
        </w:rPr>
        <w:t xml:space="preserve">astewater </w:t>
      </w:r>
      <w:r>
        <w:rPr>
          <w:rFonts w:hint="eastAsia" w:ascii="黑体" w:hAnsi="黑体" w:eastAsia="黑体" w:cs="黑体"/>
          <w:snapToGrid w:val="0"/>
          <w:color w:val="000000"/>
          <w:spacing w:val="-2"/>
          <w:kern w:val="0"/>
          <w:sz w:val="28"/>
          <w:szCs w:val="28"/>
          <w:lang w:val="en-US" w:eastAsia="zh-CN" w:bidi="ar-SA"/>
        </w:rPr>
        <w:t>o</w:t>
      </w:r>
      <w:r>
        <w:rPr>
          <w:rFonts w:hint="eastAsia" w:ascii="黑体" w:hAnsi="黑体" w:eastAsia="黑体" w:cs="黑体"/>
          <w:snapToGrid w:val="0"/>
          <w:color w:val="000000"/>
          <w:spacing w:val="-2"/>
          <w:kern w:val="0"/>
          <w:sz w:val="28"/>
          <w:szCs w:val="28"/>
          <w:lang w:val="en-US" w:eastAsia="en-US" w:bidi="ar-SA"/>
        </w:rPr>
        <w:t xml:space="preserve">nline </w:t>
      </w:r>
      <w:r>
        <w:rPr>
          <w:rFonts w:hint="eastAsia" w:ascii="黑体" w:hAnsi="黑体" w:eastAsia="黑体" w:cs="黑体"/>
          <w:snapToGrid w:val="0"/>
          <w:color w:val="000000"/>
          <w:spacing w:val="-2"/>
          <w:kern w:val="0"/>
          <w:sz w:val="28"/>
          <w:szCs w:val="28"/>
          <w:lang w:val="en-US" w:eastAsia="zh-CN" w:bidi="ar-SA"/>
        </w:rPr>
        <w:t>m</w:t>
      </w:r>
      <w:r>
        <w:rPr>
          <w:rFonts w:hint="eastAsia" w:ascii="黑体" w:hAnsi="黑体" w:eastAsia="黑体" w:cs="黑体"/>
          <w:snapToGrid w:val="0"/>
          <w:color w:val="000000"/>
          <w:spacing w:val="-2"/>
          <w:kern w:val="0"/>
          <w:sz w:val="28"/>
          <w:szCs w:val="28"/>
          <w:lang w:val="en-US" w:eastAsia="en-US" w:bidi="ar-SA"/>
        </w:rPr>
        <w:t xml:space="preserve">onitoring </w:t>
      </w:r>
      <w:r>
        <w:rPr>
          <w:rFonts w:hint="eastAsia" w:ascii="黑体" w:hAnsi="黑体" w:eastAsia="黑体" w:cs="黑体"/>
          <w:snapToGrid w:val="0"/>
          <w:color w:val="000000"/>
          <w:spacing w:val="-2"/>
          <w:kern w:val="0"/>
          <w:sz w:val="28"/>
          <w:szCs w:val="28"/>
          <w:lang w:val="en-US" w:eastAsia="zh-CN" w:bidi="ar-SA"/>
        </w:rPr>
        <w:t>e</w:t>
      </w:r>
      <w:r>
        <w:rPr>
          <w:rFonts w:hint="eastAsia" w:ascii="黑体" w:hAnsi="黑体" w:eastAsia="黑体" w:cs="黑体"/>
          <w:snapToGrid w:val="0"/>
          <w:color w:val="000000"/>
          <w:spacing w:val="-2"/>
          <w:kern w:val="0"/>
          <w:sz w:val="28"/>
          <w:szCs w:val="28"/>
          <w:lang w:val="en-US" w:eastAsia="en-US" w:bidi="ar-SA"/>
        </w:rPr>
        <w:t>quipment</w:t>
      </w:r>
    </w:p>
    <w:p w14:paraId="242324EA">
      <w:pPr>
        <w:spacing w:before="392"/>
        <w:ind w:left="268" w:right="0" w:firstLine="0"/>
        <w:jc w:val="center"/>
        <w:rPr>
          <w:rFonts w:hint="eastAsia" w:ascii="Times New Roman" w:hAnsi="宋体" w:eastAsia="宋体" w:cs="宋体"/>
          <w:sz w:val="28"/>
        </w:rPr>
      </w:pPr>
    </w:p>
    <w:p w14:paraId="272522EB">
      <w:pPr>
        <w:pStyle w:val="6"/>
        <w:rPr>
          <w:rFonts w:hint="eastAsia"/>
          <w:sz w:val="24"/>
        </w:rPr>
      </w:pPr>
    </w:p>
    <w:p w14:paraId="6DA6C1C3">
      <w:pPr>
        <w:pStyle w:val="6"/>
        <w:rPr>
          <w:rFonts w:hint="eastAsia"/>
          <w:sz w:val="24"/>
        </w:rPr>
      </w:pPr>
    </w:p>
    <w:p w14:paraId="3A6A9AF2">
      <w:pPr>
        <w:pStyle w:val="6"/>
        <w:rPr>
          <w:rFonts w:hint="eastAsia"/>
          <w:sz w:val="24"/>
        </w:rPr>
      </w:pPr>
    </w:p>
    <w:p w14:paraId="526CA9D4">
      <w:pPr>
        <w:pStyle w:val="6"/>
        <w:rPr>
          <w:rFonts w:hint="eastAsia"/>
          <w:sz w:val="24"/>
        </w:rPr>
      </w:pPr>
    </w:p>
    <w:p w14:paraId="0F965D6A">
      <w:pPr>
        <w:pStyle w:val="6"/>
        <w:rPr>
          <w:rFonts w:hint="eastAsia"/>
          <w:sz w:val="24"/>
        </w:rPr>
      </w:pPr>
    </w:p>
    <w:p w14:paraId="5F200179">
      <w:pPr>
        <w:pStyle w:val="6"/>
        <w:rPr>
          <w:rFonts w:hint="eastAsia"/>
          <w:sz w:val="24"/>
        </w:rPr>
      </w:pPr>
    </w:p>
    <w:p w14:paraId="0DD80CB8">
      <w:pPr>
        <w:pStyle w:val="6"/>
        <w:rPr>
          <w:rFonts w:hint="eastAsia"/>
          <w:sz w:val="24"/>
        </w:rPr>
      </w:pPr>
    </w:p>
    <w:p w14:paraId="660BF25B">
      <w:pPr>
        <w:pStyle w:val="6"/>
        <w:rPr>
          <w:rFonts w:hint="eastAsia"/>
          <w:sz w:val="24"/>
        </w:rPr>
      </w:pPr>
    </w:p>
    <w:p w14:paraId="4A698370">
      <w:pPr>
        <w:pStyle w:val="6"/>
        <w:jc w:val="center"/>
        <w:rPr>
          <w:rFonts w:hint="default" w:eastAsia="宋体"/>
          <w:b w:val="0"/>
          <w:bCs/>
          <w:sz w:val="28"/>
          <w:szCs w:val="32"/>
          <w:lang w:val="en-US" w:eastAsia="zh-CN"/>
        </w:rPr>
      </w:pPr>
      <w:r>
        <w:rPr>
          <w:rFonts w:hint="eastAsia" w:eastAsia="宋体"/>
          <w:b w:val="0"/>
          <w:bCs/>
          <w:sz w:val="28"/>
          <w:szCs w:val="32"/>
          <w:lang w:val="en-US" w:eastAsia="zh-CN"/>
        </w:rPr>
        <w:t>（征求意见稿）</w:t>
      </w:r>
    </w:p>
    <w:p w14:paraId="56BB9CA4">
      <w:pPr>
        <w:pStyle w:val="6"/>
        <w:rPr>
          <w:rFonts w:hint="eastAsia"/>
          <w:sz w:val="24"/>
        </w:rPr>
      </w:pPr>
    </w:p>
    <w:p w14:paraId="2BB8E8C5">
      <w:pPr>
        <w:pStyle w:val="6"/>
        <w:rPr>
          <w:rFonts w:hint="eastAsia"/>
          <w:sz w:val="24"/>
        </w:rPr>
      </w:pPr>
    </w:p>
    <w:p w14:paraId="476B8B51">
      <w:pPr>
        <w:pStyle w:val="6"/>
        <w:rPr>
          <w:rFonts w:hint="eastAsia"/>
          <w:sz w:val="24"/>
        </w:rPr>
      </w:pPr>
    </w:p>
    <w:p w14:paraId="6D57DADD">
      <w:pPr>
        <w:pStyle w:val="6"/>
        <w:rPr>
          <w:b/>
          <w:sz w:val="20"/>
        </w:rPr>
      </w:pPr>
    </w:p>
    <w:p w14:paraId="44C4DA58">
      <w:pPr>
        <w:pStyle w:val="6"/>
        <w:rPr>
          <w:b/>
          <w:sz w:val="20"/>
        </w:rPr>
      </w:pPr>
    </w:p>
    <w:p w14:paraId="3E1D5802">
      <w:pPr>
        <w:pStyle w:val="6"/>
        <w:rPr>
          <w:b/>
          <w:sz w:val="20"/>
        </w:rPr>
      </w:pPr>
    </w:p>
    <w:p w14:paraId="296B1BA3">
      <w:pPr>
        <w:tabs>
          <w:tab w:val="left" w:pos="7654"/>
        </w:tabs>
        <w:spacing w:before="163"/>
        <w:ind w:left="295" w:right="0" w:firstLine="0"/>
        <w:jc w:val="center"/>
        <w:rPr>
          <w:rFonts w:hint="eastAsia" w:ascii="黑体" w:eastAsia="黑体"/>
          <w:sz w:val="28"/>
        </w:rPr>
      </w:pPr>
      <w:r>
        <mc:AlternateContent>
          <mc:Choice Requires="wps">
            <w:drawing>
              <wp:anchor distT="0" distB="0" distL="114300" distR="114300" simplePos="0" relativeHeight="251660288" behindDoc="1" locked="0" layoutInCell="1" allowOverlap="1">
                <wp:simplePos x="0" y="0"/>
                <wp:positionH relativeFrom="page">
                  <wp:posOffset>899160</wp:posOffset>
                </wp:positionH>
                <wp:positionV relativeFrom="paragraph">
                  <wp:posOffset>353060</wp:posOffset>
                </wp:positionV>
                <wp:extent cx="6120130" cy="0"/>
                <wp:effectExtent l="0" t="4445" r="0" b="5080"/>
                <wp:wrapTopAndBottom/>
                <wp:docPr id="10"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70.8pt;margin-top:27.8pt;height:0pt;width:481.9pt;mso-position-horizontal-relative:page;mso-wrap-distance-bottom:0pt;mso-wrap-distance-top:0pt;z-index:-251656192;mso-width-relative:page;mso-height-relative:page;" filled="f" stroked="t" coordsize="21600,21600" o:gfxdata="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w+Px9cA&#10;AAAKAQAADwAAAAAAAAABACAAAAAiAAAAZHJzL2Rvd25yZXYueG1sUEsBAhQAFAAAAAgAh07iQIu8&#10;AC/nAQAA3AMAAA4AAAAAAAAAAQAgAAAAJgEAAGRycy9lMm9Eb2MueG1sUEsFBgAAAAAGAAYAWQEA&#10;AH8FAAAAAA==&#10;">
                <v:fill on="f" focussize="0,0"/>
                <v:stroke color="#000000" joinstyle="round"/>
                <v:imagedata o:title=""/>
                <o:lock v:ext="edit" aspectratio="f"/>
                <w10:wrap type="topAndBottom"/>
              </v:line>
            </w:pict>
          </mc:Fallback>
        </mc:AlternateContent>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发布</w:t>
      </w:r>
      <w:r>
        <w:rPr>
          <w:rFonts w:hint="eastAsia" w:ascii="黑体" w:eastAsia="黑体"/>
          <w:sz w:val="28"/>
        </w:rPr>
        <w:tab/>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实施</w:t>
      </w:r>
    </w:p>
    <w:p w14:paraId="52E63578">
      <w:pPr>
        <w:pStyle w:val="6"/>
        <w:rPr>
          <w:rFonts w:ascii="黑体"/>
          <w:sz w:val="28"/>
        </w:rPr>
      </w:pPr>
    </w:p>
    <w:p w14:paraId="635EC882">
      <w:pPr>
        <w:pStyle w:val="6"/>
        <w:spacing w:before="4"/>
        <w:rPr>
          <w:rFonts w:ascii="黑体"/>
          <w:sz w:val="31"/>
        </w:rPr>
      </w:pPr>
    </w:p>
    <w:p w14:paraId="7AA4EE42">
      <w:pPr>
        <w:spacing w:before="0"/>
        <w:ind w:left="144" w:right="158" w:firstLine="0"/>
        <w:jc w:val="center"/>
        <w:rPr>
          <w:rFonts w:hint="default" w:ascii="Times New Roman" w:eastAsia="黑体"/>
          <w:sz w:val="17"/>
          <w:lang w:val="en-US" w:eastAsia="zh-CN"/>
        </w:rPr>
        <w:sectPr>
          <w:headerReference r:id="rId7" w:type="first"/>
          <w:headerReference r:id="rId5" w:type="default"/>
          <w:headerReference r:id="rId6" w:type="even"/>
          <w:pgSz w:w="11910" w:h="16840"/>
          <w:pgMar w:top="1580" w:right="720" w:bottom="280" w:left="1020" w:header="1417" w:footer="283" w:gutter="0"/>
          <w:pgNumType w:fmt="upperRoman"/>
          <w:cols w:space="720" w:num="1"/>
        </w:sectPr>
      </w:pPr>
      <w:r>
        <w:rPr>
          <w:rFonts w:hint="eastAsia" w:ascii="黑体" w:hAnsi="黑体" w:eastAsia="黑体"/>
          <w:sz w:val="28"/>
        </w:rPr>
        <w:t>江</w:t>
      </w:r>
      <w:r>
        <w:rPr>
          <w:rFonts w:hint="eastAsia" w:ascii="黑体" w:hAnsi="黑体" w:eastAsia="黑体"/>
          <w:sz w:val="28"/>
          <w:lang w:val="en-US" w:eastAsia="zh-CN"/>
        </w:rPr>
        <w:t>西</w:t>
      </w:r>
      <w:r>
        <w:rPr>
          <w:rFonts w:hint="eastAsia" w:ascii="黑体" w:hAnsi="黑体" w:eastAsia="黑体"/>
          <w:sz w:val="28"/>
        </w:rPr>
        <w:t>省工程师</w:t>
      </w:r>
      <w:r>
        <w:rPr>
          <w:rFonts w:hint="eastAsia" w:ascii="黑体" w:hAnsi="黑体" w:eastAsia="黑体"/>
          <w:sz w:val="28"/>
          <w:lang w:val="en-US" w:eastAsia="zh-CN"/>
        </w:rPr>
        <w:t>联合</w:t>
      </w:r>
      <w:r>
        <w:rPr>
          <w:rFonts w:hint="eastAsia" w:ascii="黑体" w:hAnsi="黑体" w:eastAsia="黑体"/>
          <w:sz w:val="28"/>
        </w:rPr>
        <w:t>会</w:t>
      </w:r>
      <w:r>
        <w:rPr>
          <w:rFonts w:ascii="Times New Roman" w:hAnsi="Times New Roman" w:eastAsia="Times New Roman"/>
          <w:sz w:val="28"/>
        </w:rPr>
        <w:t>  </w:t>
      </w:r>
      <w:r>
        <w:rPr>
          <w:rFonts w:hint="eastAsia" w:ascii="黑体" w:hAnsi="黑体" w:eastAsia="黑体"/>
          <w:sz w:val="28"/>
        </w:rPr>
        <w:t xml:space="preserve">发 </w:t>
      </w:r>
      <w:r>
        <w:rPr>
          <w:rFonts w:hint="eastAsia" w:ascii="黑体" w:hAnsi="黑体" w:eastAsia="黑体"/>
          <w:sz w:val="28"/>
          <w:lang w:val="en-US" w:eastAsia="zh-CN"/>
        </w:rPr>
        <w:t xml:space="preserve"> 布</w:t>
      </w:r>
    </w:p>
    <w:p w14:paraId="48817ACB">
      <w:pPr>
        <w:spacing w:beforeLines="100" w:afterLines="100" w:line="240" w:lineRule="auto"/>
        <w:ind w:left="0" w:right="0"/>
        <w:jc w:val="center"/>
        <w:rPr>
          <w:rFonts w:ascii="PingFang SC" w:hAnsi="PingFang SC" w:eastAsia="PingFang SC" w:cs="PingFang SC"/>
          <w:spacing w:val="-22"/>
          <w:sz w:val="31"/>
          <w:szCs w:val="31"/>
        </w:rPr>
      </w:pPr>
      <w:r>
        <w:rPr>
          <w:rFonts w:hint="eastAsia" w:ascii="黑体" w:hAnsi="黑体" w:eastAsia="黑体" w:cs="黑体"/>
          <w:spacing w:val="-22"/>
          <w:sz w:val="32"/>
          <w:szCs w:val="32"/>
        </w:rPr>
        <w:t>目</w:t>
      </w:r>
      <w:r>
        <w:rPr>
          <w:rFonts w:hint="eastAsia" w:ascii="黑体" w:hAnsi="黑体" w:eastAsia="黑体" w:cs="黑体"/>
          <w:spacing w:val="5"/>
          <w:sz w:val="32"/>
          <w:szCs w:val="32"/>
        </w:rPr>
        <w:t xml:space="preserve">  </w:t>
      </w:r>
      <w:r>
        <w:rPr>
          <w:rFonts w:hint="eastAsia" w:ascii="黑体" w:hAnsi="黑体" w:eastAsia="黑体" w:cs="黑体"/>
          <w:spacing w:val="-22"/>
          <w:sz w:val="32"/>
          <w:szCs w:val="32"/>
        </w:rPr>
        <w:t>次</w:t>
      </w:r>
    </w:p>
    <w:sdt>
      <w:sdtPr>
        <w:rPr>
          <w:rFonts w:hint="eastAsia" w:ascii="黑体" w:hAnsi="黑体" w:eastAsia="黑体" w:cs="黑体"/>
          <w:snapToGrid w:val="0"/>
          <w:color w:val="000000"/>
          <w:kern w:val="0"/>
          <w:sz w:val="21"/>
          <w:szCs w:val="21"/>
          <w:lang w:val="en-US" w:eastAsia="en-US" w:bidi="ar-SA"/>
        </w:rPr>
        <w:id w:val="147454236"/>
        <w15:color w:val="DBDBDB"/>
        <w:docPartObj>
          <w:docPartGallery w:val="Table of Contents"/>
          <w:docPartUnique/>
        </w:docPartObj>
      </w:sdtPr>
      <w:sdtEndPr>
        <w:rPr>
          <w:rFonts w:ascii="Arial" w:hAnsi="Arial" w:eastAsia="Arial" w:cs="Arial"/>
          <w:snapToGrid w:val="0"/>
          <w:color w:val="000000"/>
          <w:kern w:val="0"/>
          <w:sz w:val="21"/>
          <w:szCs w:val="21"/>
          <w:lang w:val="en-US" w:eastAsia="en-US" w:bidi="ar-SA"/>
        </w:rPr>
      </w:sdtEndPr>
      <w:sdtContent>
        <w:p w14:paraId="7917843A">
          <w:pPr>
            <w:spacing w:before="0" w:beforeLines="0" w:after="0" w:afterLines="0" w:line="240" w:lineRule="auto"/>
            <w:ind w:left="0" w:leftChars="0" w:right="0" w:rightChars="0" w:firstLine="0" w:firstLineChars="0"/>
            <w:jc w:val="center"/>
            <w:rPr>
              <w:rFonts w:hint="eastAsia" w:ascii="黑体" w:hAnsi="黑体" w:eastAsia="黑体" w:cs="黑体"/>
            </w:rPr>
          </w:pPr>
        </w:p>
        <w:p w14:paraId="67B62D41">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TOC \o "1-1" \h \u </w:instrText>
          </w:r>
          <w:r>
            <w:rPr>
              <w:rFonts w:hint="eastAsia" w:ascii="黑体" w:hAnsi="黑体" w:eastAsia="黑体" w:cs="黑体"/>
            </w:rPr>
            <w:fldChar w:fldCharType="separate"/>
          </w:r>
          <w:r>
            <w:rPr>
              <w:rFonts w:hint="eastAsia" w:ascii="黑体" w:hAnsi="黑体" w:eastAsia="黑体" w:cs="黑体"/>
            </w:rPr>
            <w:fldChar w:fldCharType="begin"/>
          </w:r>
          <w:r>
            <w:rPr>
              <w:rFonts w:hint="eastAsia" w:ascii="黑体" w:hAnsi="黑体" w:eastAsia="黑体" w:cs="黑体"/>
            </w:rPr>
            <w:instrText xml:space="preserve"> HYPERLINK \l _Toc5054 </w:instrText>
          </w:r>
          <w:r>
            <w:rPr>
              <w:rFonts w:hint="eastAsia" w:ascii="黑体" w:hAnsi="黑体" w:eastAsia="黑体" w:cs="黑体"/>
            </w:rPr>
            <w:fldChar w:fldCharType="separate"/>
          </w:r>
          <w:r>
            <w:rPr>
              <w:rFonts w:hint="eastAsia" w:ascii="黑体" w:hAnsi="黑体" w:eastAsia="黑体" w:cs="黑体"/>
              <w:spacing w:val="-2"/>
              <w:szCs w:val="32"/>
            </w:rPr>
            <w:t>前</w:t>
          </w:r>
          <w:r>
            <w:rPr>
              <w:rFonts w:hint="eastAsia" w:ascii="黑体" w:hAnsi="黑体" w:eastAsia="黑体" w:cs="黑体"/>
              <w:spacing w:val="-2"/>
              <w:szCs w:val="32"/>
              <w:lang w:val="en-US" w:eastAsia="zh-CN"/>
            </w:rPr>
            <w:t xml:space="preserve"> </w:t>
          </w:r>
          <w:bookmarkStart w:id="18" w:name="_GoBack"/>
          <w:bookmarkEnd w:id="18"/>
          <w:r>
            <w:rPr>
              <w:rFonts w:hint="eastAsia" w:ascii="黑体" w:hAnsi="黑体" w:eastAsia="黑体" w:cs="黑体"/>
              <w:spacing w:val="-2"/>
              <w:szCs w:val="32"/>
            </w:rPr>
            <w:t>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_Toc5054 \h </w:instrText>
          </w:r>
          <w:r>
            <w:rPr>
              <w:rFonts w:hint="eastAsia" w:ascii="黑体" w:hAnsi="黑体" w:eastAsia="黑体" w:cs="黑体"/>
            </w:rPr>
            <w:fldChar w:fldCharType="separate"/>
          </w:r>
          <w:r>
            <w:rPr>
              <w:rFonts w:hint="eastAsia" w:ascii="黑体" w:hAnsi="黑体" w:eastAsia="黑体" w:cs="黑体"/>
            </w:rPr>
            <w:t>II</w:t>
          </w:r>
          <w:r>
            <w:rPr>
              <w:rFonts w:hint="eastAsia" w:ascii="黑体" w:hAnsi="黑体" w:eastAsia="黑体" w:cs="黑体"/>
            </w:rPr>
            <w:fldChar w:fldCharType="end"/>
          </w:r>
          <w:r>
            <w:rPr>
              <w:rFonts w:hint="eastAsia" w:ascii="黑体" w:hAnsi="黑体" w:eastAsia="黑体" w:cs="黑体"/>
            </w:rPr>
            <w:fldChar w:fldCharType="end"/>
          </w:r>
        </w:p>
        <w:p w14:paraId="5C5E20A7">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_Toc5533 </w:instrText>
          </w:r>
          <w:r>
            <w:rPr>
              <w:rFonts w:hint="eastAsia" w:ascii="黑体" w:hAnsi="黑体" w:eastAsia="黑体" w:cs="黑体"/>
            </w:rPr>
            <w:fldChar w:fldCharType="separate"/>
          </w:r>
          <w:r>
            <w:rPr>
              <w:rFonts w:hint="eastAsia" w:ascii="黑体" w:hAnsi="黑体" w:eastAsia="黑体" w:cs="黑体"/>
              <w:szCs w:val="32"/>
              <w:lang w:val="en-US" w:eastAsia="zh-CN"/>
            </w:rPr>
            <w:t>引</w:t>
          </w:r>
          <w:r>
            <w:rPr>
              <w:rFonts w:hint="eastAsia" w:ascii="黑体" w:hAnsi="黑体" w:eastAsia="黑体" w:cs="黑体"/>
              <w:szCs w:val="32"/>
            </w:rPr>
            <w:t xml:space="preserve"> 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_Toc5533 \h </w:instrText>
          </w:r>
          <w:r>
            <w:rPr>
              <w:rFonts w:hint="eastAsia" w:ascii="黑体" w:hAnsi="黑体" w:eastAsia="黑体" w:cs="黑体"/>
            </w:rPr>
            <w:fldChar w:fldCharType="separate"/>
          </w:r>
          <w:r>
            <w:rPr>
              <w:rFonts w:hint="eastAsia" w:ascii="黑体" w:hAnsi="黑体" w:eastAsia="黑体" w:cs="黑体"/>
            </w:rPr>
            <w:t>III</w:t>
          </w:r>
          <w:r>
            <w:rPr>
              <w:rFonts w:hint="eastAsia" w:ascii="黑体" w:hAnsi="黑体" w:eastAsia="黑体" w:cs="黑体"/>
            </w:rPr>
            <w:fldChar w:fldCharType="end"/>
          </w:r>
          <w:r>
            <w:rPr>
              <w:rFonts w:hint="eastAsia" w:ascii="黑体" w:hAnsi="黑体" w:eastAsia="黑体" w:cs="黑体"/>
            </w:rPr>
            <w:fldChar w:fldCharType="end"/>
          </w:r>
        </w:p>
        <w:p w14:paraId="2E75C738">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_Toc32608 </w:instrText>
          </w:r>
          <w:r>
            <w:rPr>
              <w:rFonts w:hint="eastAsia" w:ascii="黑体" w:hAnsi="黑体" w:eastAsia="黑体" w:cs="黑体"/>
            </w:rPr>
            <w:fldChar w:fldCharType="separate"/>
          </w:r>
          <w:r>
            <w:rPr>
              <w:rFonts w:hint="eastAsia" w:ascii="黑体" w:hAnsi="黑体" w:eastAsia="黑体" w:cs="黑体"/>
            </w:rPr>
            <w:t>1  范围</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_Toc32608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6BC37CCB">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_Toc20324 </w:instrText>
          </w:r>
          <w:r>
            <w:rPr>
              <w:rFonts w:hint="eastAsia" w:ascii="黑体" w:hAnsi="黑体" w:eastAsia="黑体" w:cs="黑体"/>
            </w:rPr>
            <w:fldChar w:fldCharType="separate"/>
          </w:r>
          <w:r>
            <w:rPr>
              <w:rFonts w:hint="eastAsia" w:ascii="黑体" w:hAnsi="黑体" w:eastAsia="黑体" w:cs="黑体"/>
            </w:rPr>
            <w:t>2  规范性引用文件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_Toc20324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64097948">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_Toc25881 </w:instrText>
          </w:r>
          <w:r>
            <w:rPr>
              <w:rFonts w:hint="eastAsia" w:ascii="黑体" w:hAnsi="黑体" w:eastAsia="黑体" w:cs="黑体"/>
            </w:rPr>
            <w:fldChar w:fldCharType="separate"/>
          </w:r>
          <w:r>
            <w:rPr>
              <w:rFonts w:hint="eastAsia" w:ascii="黑体" w:hAnsi="黑体" w:eastAsia="黑体" w:cs="黑体"/>
            </w:rPr>
            <w:t>3  术语和定义</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_Toc25881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741E7AE9">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_Toc18856 </w:instrText>
          </w:r>
          <w:r>
            <w:rPr>
              <w:rFonts w:hint="eastAsia" w:ascii="黑体" w:hAnsi="黑体" w:eastAsia="黑体" w:cs="黑体"/>
            </w:rPr>
            <w:fldChar w:fldCharType="separate"/>
          </w:r>
          <w:r>
            <w:rPr>
              <w:rFonts w:hint="eastAsia" w:ascii="黑体" w:hAnsi="黑体" w:eastAsia="黑体" w:cs="黑体"/>
            </w:rPr>
            <w:t>4  安装前期勘查与选址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_Toc18856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53566573">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_Toc17955 </w:instrText>
          </w:r>
          <w:r>
            <w:rPr>
              <w:rFonts w:hint="eastAsia" w:ascii="黑体" w:hAnsi="黑体" w:eastAsia="黑体" w:cs="黑体"/>
            </w:rPr>
            <w:fldChar w:fldCharType="separate"/>
          </w:r>
          <w:r>
            <w:rPr>
              <w:rFonts w:hint="eastAsia" w:ascii="黑体" w:hAnsi="黑体" w:eastAsia="黑体" w:cs="黑体"/>
            </w:rPr>
            <w:t>5  设备安装技术要求</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_Toc17955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1C649979">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_Toc16552 </w:instrText>
          </w:r>
          <w:r>
            <w:rPr>
              <w:rFonts w:hint="eastAsia" w:ascii="黑体" w:hAnsi="黑体" w:eastAsia="黑体" w:cs="黑体"/>
            </w:rPr>
            <w:fldChar w:fldCharType="separate"/>
          </w:r>
          <w:r>
            <w:rPr>
              <w:rFonts w:hint="eastAsia" w:ascii="黑体" w:hAnsi="黑体" w:eastAsia="黑体" w:cs="黑体"/>
            </w:rPr>
            <w:t>6  设备调试程序</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_Toc16552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75DB9BD8">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_Toc30185 </w:instrText>
          </w:r>
          <w:r>
            <w:rPr>
              <w:rFonts w:hint="eastAsia" w:ascii="黑体" w:hAnsi="黑体" w:eastAsia="黑体" w:cs="黑体"/>
            </w:rPr>
            <w:fldChar w:fldCharType="separate"/>
          </w:r>
          <w:r>
            <w:rPr>
              <w:rFonts w:hint="eastAsia" w:ascii="黑体" w:hAnsi="黑体" w:eastAsia="黑体" w:cs="黑体"/>
            </w:rPr>
            <w:t>7  比对监测与验收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_Toc30185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6766FBF6">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_Toc3607 </w:instrText>
          </w:r>
          <w:r>
            <w:rPr>
              <w:rFonts w:hint="eastAsia" w:ascii="黑体" w:hAnsi="黑体" w:eastAsia="黑体" w:cs="黑体"/>
            </w:rPr>
            <w:fldChar w:fldCharType="separate"/>
          </w:r>
          <w:r>
            <w:rPr>
              <w:rFonts w:hint="eastAsia" w:ascii="黑体" w:hAnsi="黑体" w:eastAsia="黑体" w:cs="黑体"/>
            </w:rPr>
            <w:t>8  竣工技术文件要求</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_Toc3607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00E3885A">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_Toc29489 </w:instrText>
          </w:r>
          <w:r>
            <w:rPr>
              <w:rFonts w:hint="eastAsia" w:ascii="黑体" w:hAnsi="黑体" w:eastAsia="黑体" w:cs="黑体"/>
            </w:rPr>
            <w:fldChar w:fldCharType="separate"/>
          </w:r>
          <w:r>
            <w:rPr>
              <w:rFonts w:hint="eastAsia" w:ascii="黑体" w:hAnsi="黑体" w:eastAsia="黑体" w:cs="黑体"/>
            </w:rPr>
            <w:t>9  安全管理与应急预案</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_Toc29489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1F3722C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hAnsi="Arial" w:eastAsia="Arial" w:cs="Arial"/>
              <w:snapToGrid w:val="0"/>
              <w:color w:val="000000"/>
              <w:kern w:val="0"/>
              <w:sz w:val="21"/>
              <w:szCs w:val="21"/>
              <w:lang w:val="en-US" w:eastAsia="en-US" w:bidi="ar-SA"/>
            </w:rPr>
            <w:sectPr>
              <w:headerReference r:id="rId8" w:type="default"/>
              <w:footerReference r:id="rId10" w:type="default"/>
              <w:headerReference r:id="rId9" w:type="even"/>
              <w:footerReference r:id="rId11" w:type="even"/>
              <w:pgSz w:w="11910" w:h="16840"/>
              <w:pgMar w:top="1417" w:right="1134" w:bottom="1134" w:left="1417" w:header="1417" w:footer="1395" w:gutter="0"/>
              <w:pgNumType w:fmt="upperRoman" w:start="1"/>
              <w:cols w:space="720" w:num="1"/>
            </w:sectPr>
          </w:pPr>
          <w:r>
            <w:rPr>
              <w:rFonts w:hint="eastAsia" w:ascii="黑体" w:hAnsi="黑体" w:eastAsia="黑体" w:cs="黑体"/>
            </w:rPr>
            <w:fldChar w:fldCharType="end"/>
          </w:r>
        </w:p>
      </w:sdtContent>
    </w:sdt>
    <w:p w14:paraId="597247B1">
      <w:pPr>
        <w:spacing w:beforeLines="100" w:afterLines="100" w:line="240" w:lineRule="auto"/>
        <w:ind w:left="0" w:right="0"/>
        <w:jc w:val="center"/>
        <w:outlineLvl w:val="0"/>
        <w:rPr>
          <w:sz w:val="32"/>
          <w:szCs w:val="32"/>
        </w:rPr>
      </w:pPr>
      <w:bookmarkStart w:id="1" w:name="_Toc6131"/>
      <w:bookmarkStart w:id="2" w:name="_Toc12046"/>
      <w:bookmarkStart w:id="3" w:name="_Toc14474"/>
      <w:bookmarkStart w:id="4" w:name="_Toc5054"/>
      <w:r>
        <w:rPr>
          <w:rFonts w:hint="eastAsia" w:ascii="黑体" w:hAnsi="黑体" w:eastAsia="黑体" w:cs="黑体"/>
          <w:spacing w:val="-2"/>
          <w:sz w:val="32"/>
          <w:szCs w:val="32"/>
        </w:rPr>
        <w:t>前</w:t>
      </w:r>
      <w:r>
        <w:rPr>
          <w:rFonts w:hint="eastAsia" w:ascii="黑体" w:hAnsi="黑体" w:eastAsia="黑体" w:cs="黑体"/>
          <w:spacing w:val="-2"/>
          <w:sz w:val="32"/>
          <w:szCs w:val="32"/>
          <w:lang w:val="en-US" w:eastAsia="zh-CN"/>
        </w:rPr>
        <w:t xml:space="preserve">  </w:t>
      </w:r>
      <w:r>
        <w:rPr>
          <w:rFonts w:hint="eastAsia" w:ascii="黑体" w:hAnsi="黑体" w:eastAsia="黑体" w:cs="黑体"/>
          <w:spacing w:val="-2"/>
          <w:sz w:val="32"/>
          <w:szCs w:val="32"/>
        </w:rPr>
        <w:t>言</w:t>
      </w:r>
      <w:bookmarkEnd w:id="1"/>
      <w:bookmarkEnd w:id="2"/>
      <w:bookmarkEnd w:id="3"/>
      <w:bookmarkEnd w:id="4"/>
    </w:p>
    <w:p w14:paraId="0361EF77">
      <w:pPr>
        <w:keepNext w:val="0"/>
        <w:keepLines w:val="0"/>
        <w:pageBreakBefore w:val="0"/>
        <w:widowControl/>
        <w:kinsoku w:val="0"/>
        <w:wordWrap/>
        <w:overflowPunct/>
        <w:topLinePunct w:val="0"/>
        <w:autoSpaceDE w:val="0"/>
        <w:autoSpaceDN w:val="0"/>
        <w:bidi w:val="0"/>
        <w:adjustRightInd w:val="0"/>
        <w:snapToGrid w:val="0"/>
        <w:spacing w:line="240" w:lineRule="auto"/>
        <w:ind w:left="210" w:leftChars="100" w:right="0" w:firstLine="224" w:firstLineChars="100"/>
        <w:jc w:val="both"/>
        <w:textAlignment w:val="baseline"/>
        <w:rPr>
          <w:rFonts w:hint="eastAsia" w:ascii="宋体" w:hAnsi="宋体" w:eastAsia="宋体" w:cs="宋体"/>
          <w:spacing w:val="7"/>
          <w:sz w:val="21"/>
          <w:szCs w:val="21"/>
          <w:lang w:val="en-US" w:eastAsia="en-US"/>
        </w:rPr>
      </w:pPr>
      <w:r>
        <w:rPr>
          <w:rFonts w:hint="eastAsia" w:ascii="宋体" w:hAnsi="宋体" w:eastAsia="宋体" w:cs="宋体"/>
          <w:spacing w:val="7"/>
          <w:sz w:val="21"/>
          <w:szCs w:val="21"/>
          <w:lang w:val="en-US" w:eastAsia="en-US"/>
        </w:rPr>
        <w:t>本文件依据GB/T 1.1-2020 《标准化工作导则 第1部分：标准化文件的结构和起草规则》的规定起草。</w:t>
      </w:r>
    </w:p>
    <w:p w14:paraId="67A49050">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请注意本文件的某些内容可能涉及专利。 本文件的发布机构不承担识别专利的责任。</w:t>
      </w:r>
    </w:p>
    <w:p w14:paraId="278B52D3">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本文件由江西省工程师联合会提出</w:t>
      </w:r>
      <w:r>
        <w:rPr>
          <w:rFonts w:hint="eastAsia" w:ascii="Times New Roman" w:hAnsi="Times New Roman" w:eastAsia="宋体" w:cs="Times New Roman"/>
          <w:sz w:val="21"/>
          <w:szCs w:val="21"/>
          <w:lang w:val="en-US" w:eastAsia="zh-CN"/>
        </w:rPr>
        <w:t>并归口</w:t>
      </w:r>
      <w:r>
        <w:rPr>
          <w:rFonts w:hint="eastAsia" w:ascii="Times New Roman" w:hAnsi="Times New Roman" w:eastAsia="宋体" w:cs="Times New Roman"/>
          <w:sz w:val="21"/>
          <w:szCs w:val="21"/>
          <w:lang w:val="en-US" w:eastAsia="en-US"/>
        </w:rPr>
        <w:t>。</w:t>
      </w:r>
    </w:p>
    <w:p w14:paraId="0C3B931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本文件起草单位：</w:t>
      </w:r>
    </w:p>
    <w:p w14:paraId="51C24F3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b/>
          <w:bCs/>
          <w:sz w:val="21"/>
          <w:szCs w:val="21"/>
          <w:lang w:val="en-US" w:eastAsia="zh-CN"/>
        </w:rPr>
        <w:sectPr>
          <w:headerReference r:id="rId12" w:type="default"/>
          <w:footerReference r:id="rId14" w:type="default"/>
          <w:headerReference r:id="rId13" w:type="even"/>
          <w:footerReference r:id="rId15" w:type="even"/>
          <w:pgSz w:w="11910" w:h="16840"/>
          <w:pgMar w:top="1417" w:right="1134" w:bottom="1134" w:left="1417" w:header="1417" w:footer="1395" w:gutter="0"/>
          <w:pgNumType w:fmt="upperRoman"/>
          <w:cols w:space="720" w:num="1"/>
        </w:sectPr>
      </w:pPr>
      <w:r>
        <w:rPr>
          <w:rFonts w:hint="eastAsia" w:ascii="Times New Roman" w:hAnsi="Times New Roman" w:eastAsia="宋体" w:cs="Times New Roman"/>
          <w:sz w:val="21"/>
          <w:szCs w:val="21"/>
          <w:lang w:val="en-US" w:eastAsia="en-US"/>
        </w:rPr>
        <w:t>本文件主要起草人：</w:t>
      </w:r>
    </w:p>
    <w:p w14:paraId="2B5BEB1E">
      <w:pPr>
        <w:pStyle w:val="2"/>
        <w:keepNext w:val="0"/>
        <w:keepLines w:val="0"/>
        <w:pageBreakBefore w:val="0"/>
        <w:widowControl/>
        <w:kinsoku/>
        <w:wordWrap/>
        <w:overflowPunct w:val="0"/>
        <w:topLinePunct w:val="0"/>
        <w:autoSpaceDE w:val="0"/>
        <w:autoSpaceDN w:val="0"/>
        <w:bidi w:val="0"/>
        <w:adjustRightInd w:val="0"/>
        <w:snapToGrid w:val="0"/>
        <w:spacing w:beforeLines="100" w:afterLines="100" w:line="240" w:lineRule="auto"/>
        <w:ind w:left="0" w:right="0"/>
        <w:jc w:val="center"/>
        <w:textAlignment w:val="baseline"/>
        <w:outlineLvl w:val="0"/>
        <w:rPr>
          <w:rFonts w:hint="eastAsia"/>
          <w:sz w:val="32"/>
          <w:szCs w:val="32"/>
        </w:rPr>
      </w:pPr>
      <w:bookmarkStart w:id="5" w:name="_Toc30364"/>
      <w:bookmarkStart w:id="6" w:name="_Toc17701"/>
      <w:bookmarkStart w:id="7" w:name="_Toc879"/>
      <w:bookmarkStart w:id="8" w:name="_Toc5533"/>
      <w:r>
        <w:rPr>
          <w:rFonts w:hint="eastAsia" w:ascii="黑体" w:hAnsi="黑体" w:eastAsia="黑体" w:cs="黑体"/>
          <w:sz w:val="32"/>
          <w:szCs w:val="32"/>
          <w:lang w:val="en-US" w:eastAsia="zh-CN"/>
        </w:rPr>
        <w:t>引</w:t>
      </w:r>
      <w:r>
        <w:rPr>
          <w:rFonts w:hint="eastAsia" w:ascii="黑体" w:hAnsi="黑体" w:eastAsia="黑体" w:cs="黑体"/>
          <w:sz w:val="32"/>
          <w:szCs w:val="32"/>
        </w:rPr>
        <w:t xml:space="preserve">  言</w:t>
      </w:r>
      <w:bookmarkEnd w:id="5"/>
      <w:bookmarkEnd w:id="6"/>
      <w:bookmarkEnd w:id="7"/>
      <w:bookmarkEnd w:id="8"/>
    </w:p>
    <w:p w14:paraId="3BCDBB3E">
      <w:pPr>
        <w:keepNext w:val="0"/>
        <w:keepLines w:val="0"/>
        <w:pageBreakBefore w:val="0"/>
        <w:widowControl/>
        <w:kinsoku/>
        <w:wordWrap/>
        <w:overflowPunct w:val="0"/>
        <w:topLinePunct w:val="0"/>
        <w:autoSpaceDE w:val="0"/>
        <w:autoSpaceDN w:val="0"/>
        <w:bidi w:val="0"/>
        <w:adjustRightInd w:val="0"/>
        <w:snapToGrid w:val="0"/>
        <w:spacing w:line="240" w:lineRule="auto"/>
        <w:ind w:right="0" w:firstLine="420" w:firstLineChars="200"/>
        <w:jc w:val="both"/>
        <w:textAlignment w:val="baseline"/>
        <w:rPr>
          <w:rFonts w:hint="eastAsia" w:ascii="宋体" w:hAnsi="宋体" w:eastAsia="宋体" w:cs="宋体"/>
          <w:spacing w:val="7"/>
          <w:sz w:val="21"/>
          <w:szCs w:val="21"/>
          <w:lang w:val="en-US" w:eastAsia="en-US"/>
        </w:rPr>
        <w:sectPr>
          <w:headerReference r:id="rId16" w:type="default"/>
          <w:footerReference r:id="rId18" w:type="default"/>
          <w:headerReference r:id="rId17" w:type="even"/>
          <w:footerReference r:id="rId19" w:type="even"/>
          <w:pgSz w:w="11910" w:h="16840"/>
          <w:pgMar w:top="1417" w:right="1134" w:bottom="1134" w:left="1417" w:header="1417" w:footer="1395" w:gutter="0"/>
          <w:pgNumType w:fmt="upperRoman"/>
          <w:cols w:space="720" w:num="1"/>
        </w:sectPr>
      </w:pPr>
      <w:r>
        <w:rPr>
          <w:rFonts w:hint="eastAsia" w:ascii="宋体" w:hAnsi="宋体" w:eastAsia="宋体" w:cs="宋体"/>
          <w:sz w:val="21"/>
          <w:szCs w:val="21"/>
        </w:rPr>
        <w:t>污水在线监测是实现污染物排放实时管控、保障水环境质量的重要技术手段。随着水污染治理工作的深入推进，污水处理设施的在线监测要求日趋严格，对设备安装质量和调试规范性提出了更高要求。为统一污水在线监测设备安装调试的技术标准，规范设备选点、安装、调试和验收全过程的技术操作，保障在线监测数据的准确性和可靠性，依据国家水污染防治相关法规和污染源监测技术标准，制定本规程。本规程的实施将有效提升污水在线监测设备的安装和调试质量，为污染物排放监管提供可靠的数据支撑。</w:t>
      </w:r>
    </w:p>
    <w:p w14:paraId="5902BB1A">
      <w:pPr>
        <w:jc w:val="center"/>
        <w:rPr>
          <w:rFonts w:hint="eastAsia" w:ascii="Times New Roman" w:hAnsi="Times New Roman" w:eastAsia="黑体" w:cs="黑体"/>
          <w:sz w:val="21"/>
          <w:szCs w:val="21"/>
        </w:rPr>
      </w:pPr>
      <w:r>
        <w:rPr>
          <w:rFonts w:hint="eastAsia" w:ascii="黑体" w:hAnsi="黑体" w:eastAsia="黑体" w:cs="黑体"/>
          <w:sz w:val="32"/>
          <w:szCs w:val="32"/>
        </w:rPr>
        <w:t>污水在线监测设备安装调试规程</w:t>
      </w:r>
    </w:p>
    <w:p w14:paraId="57073DE1">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9" w:name="_Toc32608"/>
      <w:r>
        <w:rPr>
          <w:rFonts w:hint="eastAsia"/>
        </w:rPr>
        <w:t>1  范围</w:t>
      </w:r>
      <w:bookmarkEnd w:id="9"/>
    </w:p>
    <w:p w14:paraId="6964E9DA">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w:t>
      </w:r>
      <w:r>
        <w:rPr>
          <w:rFonts w:hint="eastAsia" w:ascii="Times New Roman" w:hAnsi="Times New Roman" w:eastAsia="宋体" w:cs="宋体"/>
          <w:sz w:val="21"/>
          <w:szCs w:val="21"/>
        </w:rPr>
        <w:t>规定了污水在线监测设备安装前期勘查内容及点位选址条件，化学需氧量、氨氮、总磷、总氮等主要水质参数在线分析仪及流量计的安装技术要求，采样单元配置、预处理系统设置、管路连接和防护箱体安装要求，设备调试阶段功能验证步骤和数据传输联调测试要求，比对监测的实施程序和合格判据，以及调试完成后交付验收的技术文件内容要求。</w:t>
      </w:r>
    </w:p>
    <w:p w14:paraId="46DB3C0F">
      <w:pPr>
        <w:spacing w:line="240" w:lineRule="auto"/>
        <w:ind w:firstLine="500" w:firstLineChars="0"/>
        <w:jc w:val="both"/>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w:t>
      </w:r>
      <w:r>
        <w:rPr>
          <w:rFonts w:hint="eastAsia" w:ascii="Times New Roman" w:hAnsi="Times New Roman" w:eastAsia="宋体" w:cs="宋体"/>
          <w:sz w:val="21"/>
          <w:szCs w:val="21"/>
        </w:rPr>
        <w:t>适用于污水处理设施出水水质在线监测设备的安装、调试及验收工作。</w:t>
      </w:r>
    </w:p>
    <w:p w14:paraId="726D99FB">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0" w:name="_Toc20324"/>
      <w:r>
        <w:rPr>
          <w:rFonts w:hint="eastAsia"/>
        </w:rPr>
        <w:t>2  规范性引用文件</w:t>
      </w:r>
      <w:bookmarkEnd w:id="10"/>
    </w:p>
    <w:p w14:paraId="5B76F67A">
      <w:pPr>
        <w:ind w:firstLine="420"/>
        <w:rPr>
          <w:rFonts w:hint="eastAsia" w:ascii="宋体" w:hAnsi="宋体" w:eastAsia="宋体" w:cs="宋体"/>
        </w:rPr>
      </w:pPr>
      <w:r>
        <w:rPr>
          <w:rFonts w:hint="eastAsia" w:ascii="宋体" w:hAnsi="宋体" w:eastAsia="宋体" w:cs="宋体"/>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86C7D4E">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GB 3838 地表水环境质量标准
</w:t>
      </w:r>
    </w:p>
    <w:p w14:paraId="60DAF5F1">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GB 50303 建筑电气工程施工质量验收规范
</w:t>
      </w:r>
    </w:p>
    <w:p w14:paraId="5B6B8977">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HJ 353 水污染源在线监测系统（CODCr、NH3-N等）安装技术规范
</w:t>
      </w:r>
    </w:p>
    <w:p w14:paraId="2F5378E0">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HJ 354 水污染源在线监测系统（CODCr、NH3-N等）验收技术规范
</w:t>
      </w:r>
    </w:p>
    <w:p w14:paraId="1F8B0B12">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HJ 355 水污染源在线监测系统（CODCr、NH3-N等）运行与考核技术规范
</w:t>
      </w:r>
    </w:p>
    <w:p w14:paraId="4B333007">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HJ 91.1 污水监测技术规范
</w:t>
      </w:r>
    </w:p>
    <w:p w14:paraId="5B45B841">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HJ 819 排污单位自行监测技术指南 总则
</w:t>
      </w:r>
    </w:p>
    <w:p w14:paraId="71CA1079">
      <w:pPr>
        <w:spacing w:line="240" w:lineRule="auto"/>
        <w:ind w:firstLine="500" w:firstLineChars="0"/>
        <w:jc w:val="both"/>
      </w:pPr>
      <w:r>
        <w:rPr>
          <w:rFonts w:hint="eastAsia" w:ascii="Times New Roman" w:hAnsi="Times New Roman" w:eastAsia="宋体" w:cs="宋体"/>
          <w:sz w:val="21"/>
          <w:szCs w:val="21"/>
        </w:rPr>
        <w:t>CJJ 68 城镇排水管渠与泵站运行、维护及安全技术规程</w:t>
      </w:r>
    </w:p>
    <w:p w14:paraId="580C45D8">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1" w:name="_Toc25881"/>
      <w:r>
        <w:rPr>
          <w:rFonts w:hint="eastAsia"/>
        </w:rPr>
        <w:t>3  术语和定义</w:t>
      </w:r>
      <w:bookmarkEnd w:id="11"/>
    </w:p>
    <w:p w14:paraId="66B42276">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下列术语和定义适用于本文件。
</w:t>
      </w:r>
    </w:p>
    <w:p w14:paraId="5BFB63BF">
      <w:pPr>
        <w:rPr>
          <w:rFonts w:hint="eastAsia" w:ascii="黑体" w:hAnsi="黑体" w:eastAsia="黑体" w:cs="黑体"/>
        </w:rPr>
      </w:pPr>
      <w:r>
        <w:rPr>
          <w:rFonts w:hint="eastAsia" w:ascii="黑体" w:hAnsi="黑体" w:eastAsia="黑体" w:cs="黑体"/>
        </w:rPr>
        <w:t xml:space="preserve">3.1 </w:t>
      </w:r>
    </w:p>
    <w:p w14:paraId="29D3167B">
      <w:pPr>
        <w:ind w:firstLine="500" w:firstLineChars="0"/>
        <w:rPr>
          <w:rFonts w:hint="eastAsia" w:ascii="黑体" w:hAnsi="黑体" w:eastAsia="黑体" w:cs="黑体"/>
        </w:rPr>
      </w:pPr>
      <w:r>
        <w:rPr>
          <w:rFonts w:hint="eastAsia" w:ascii="黑体" w:hAnsi="黑体" w:eastAsia="黑体" w:cs="黑体"/>
        </w:rPr>
        <w:t>在线监测</w:t>
      </w:r>
      <w:r>
        <w:rPr>
          <w:rFonts w:hint="eastAsia" w:ascii="黑体" w:hAnsi="黑体" w:eastAsia="黑体" w:cs="黑体"/>
          <w:lang w:val="en-US" w:eastAsia="zh-CN"/>
        </w:rPr>
        <w:t xml:space="preserve"> </w:t>
      </w:r>
      <w:r>
        <w:rPr>
          <w:rFonts w:hint="eastAsia" w:ascii="黑体" w:hAnsi="黑体" w:eastAsia="黑体" w:cs="黑体"/>
        </w:rPr>
        <w:t xml:space="preserve"> online monitoring
</w:t>
      </w:r>
    </w:p>
    <w:p w14:paraId="27DAD43B">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利用固定安装的自动分析仪对污水中特定污染物浓度进行连续或定时自动测量的技术手段。
</w:t>
      </w:r>
    </w:p>
    <w:p w14:paraId="61EA8D4D">
      <w:pPr>
        <w:rPr>
          <w:rFonts w:hint="eastAsia" w:ascii="黑体" w:hAnsi="黑体" w:eastAsia="黑体" w:cs="黑体"/>
        </w:rPr>
      </w:pPr>
      <w:r>
        <w:rPr>
          <w:rFonts w:hint="eastAsia" w:ascii="黑体" w:hAnsi="黑体" w:eastAsia="黑体" w:cs="黑体"/>
        </w:rPr>
        <w:t xml:space="preserve">3.2 </w:t>
      </w:r>
    </w:p>
    <w:p w14:paraId="7080F7EA">
      <w:pPr>
        <w:ind w:firstLine="500" w:firstLineChars="0"/>
        <w:rPr>
          <w:rFonts w:hint="eastAsia" w:ascii="黑体" w:hAnsi="黑体" w:eastAsia="黑体" w:cs="黑体"/>
        </w:rPr>
      </w:pPr>
      <w:r>
        <w:rPr>
          <w:rFonts w:hint="eastAsia" w:ascii="黑体" w:hAnsi="黑体" w:eastAsia="黑体" w:cs="黑体"/>
        </w:rPr>
        <w:t>采样单元</w:t>
      </w:r>
      <w:r>
        <w:rPr>
          <w:rFonts w:hint="eastAsia" w:ascii="黑体" w:hAnsi="黑体" w:eastAsia="黑体" w:cs="黑体"/>
          <w:lang w:val="en-US" w:eastAsia="zh-CN"/>
        </w:rPr>
        <w:t xml:space="preserve"> </w:t>
      </w:r>
      <w:r>
        <w:rPr>
          <w:rFonts w:hint="eastAsia" w:ascii="黑体" w:hAnsi="黑体" w:eastAsia="黑体" w:cs="黑体"/>
        </w:rPr>
        <w:t xml:space="preserve"> sampling unit
</w:t>
      </w:r>
    </w:p>
    <w:p w14:paraId="190E19EB">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从排放管渠中连续抽取水样并输送至水质分析仪的设备与管路系统。
</w:t>
      </w:r>
    </w:p>
    <w:p w14:paraId="2BCCE54F">
      <w:pPr>
        <w:rPr>
          <w:rFonts w:hint="eastAsia" w:ascii="黑体" w:hAnsi="黑体" w:eastAsia="黑体" w:cs="黑体"/>
        </w:rPr>
      </w:pPr>
      <w:r>
        <w:rPr>
          <w:rFonts w:hint="eastAsia" w:ascii="黑体" w:hAnsi="黑体" w:eastAsia="黑体" w:cs="黑体"/>
        </w:rPr>
        <w:t xml:space="preserve">3.3 </w:t>
      </w:r>
    </w:p>
    <w:p w14:paraId="78499875">
      <w:pPr>
        <w:ind w:firstLine="500" w:firstLineChars="0"/>
        <w:rPr>
          <w:rFonts w:hint="eastAsia" w:ascii="黑体" w:hAnsi="黑体" w:eastAsia="黑体" w:cs="黑体"/>
        </w:rPr>
      </w:pPr>
      <w:r>
        <w:rPr>
          <w:rFonts w:hint="eastAsia" w:ascii="黑体" w:hAnsi="黑体" w:eastAsia="黑体" w:cs="黑体"/>
        </w:rPr>
        <w:t xml:space="preserve">预处理系统 </w:t>
      </w:r>
      <w:r>
        <w:rPr>
          <w:rFonts w:hint="eastAsia" w:ascii="黑体" w:hAnsi="黑体" w:eastAsia="黑体" w:cs="黑体"/>
          <w:lang w:val="en-US" w:eastAsia="zh-CN"/>
        </w:rPr>
        <w:t xml:space="preserve"> </w:t>
      </w:r>
      <w:r>
        <w:rPr>
          <w:rFonts w:hint="eastAsia" w:ascii="黑体" w:hAnsi="黑体" w:eastAsia="黑体" w:cs="黑体"/>
        </w:rPr>
        <w:t>pretreatment system</w:t>
      </w:r>
    </w:p>
    <w:p w14:paraId="6DDBE6A8">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对原始水样进行过滤、除泡、温度调节等处理，以满足水质分析仪进样要求的设备系统。</w:t>
      </w:r>
    </w:p>
    <w:p w14:paraId="33121C99">
      <w:pPr>
        <w:rPr>
          <w:rFonts w:hint="eastAsia" w:ascii="黑体" w:hAnsi="黑体" w:eastAsia="黑体" w:cs="黑体"/>
        </w:rPr>
      </w:pPr>
      <w:r>
        <w:rPr>
          <w:rFonts w:hint="eastAsia" w:ascii="黑体" w:hAnsi="黑体" w:eastAsia="黑体" w:cs="黑体"/>
        </w:rPr>
        <w:t xml:space="preserve">3.4 </w:t>
      </w:r>
    </w:p>
    <w:p w14:paraId="5B6D14BB">
      <w:pPr>
        <w:ind w:firstLine="500" w:firstLineChars="0"/>
        <w:rPr>
          <w:rFonts w:hint="eastAsia" w:ascii="黑体" w:hAnsi="黑体" w:eastAsia="黑体" w:cs="黑体"/>
        </w:rPr>
      </w:pPr>
      <w:r>
        <w:rPr>
          <w:rFonts w:hint="eastAsia" w:ascii="黑体" w:hAnsi="黑体" w:eastAsia="黑体" w:cs="黑体"/>
        </w:rPr>
        <w:t xml:space="preserve">比对监测 </w:t>
      </w:r>
      <w:r>
        <w:rPr>
          <w:rFonts w:hint="eastAsia" w:ascii="黑体" w:hAnsi="黑体" w:eastAsia="黑体" w:cs="黑体"/>
          <w:lang w:val="en-US" w:eastAsia="zh-CN"/>
        </w:rPr>
        <w:t xml:space="preserve"> </w:t>
      </w:r>
      <w:r>
        <w:rPr>
          <w:rFonts w:hint="eastAsia" w:ascii="黑体" w:hAnsi="黑体" w:eastAsia="黑体" w:cs="黑体"/>
        </w:rPr>
        <w:t>comparative monitoring
</w:t>
      </w:r>
    </w:p>
    <w:p w14:paraId="68B662B7">
      <w:pPr>
        <w:spacing w:line="240" w:lineRule="auto"/>
        <w:ind w:firstLine="500" w:firstLineChars="0"/>
        <w:jc w:val="both"/>
        <w:rPr>
          <w:rFonts w:hint="eastAsia" w:ascii="宋体" w:hAnsi="宋体" w:eastAsia="宋体" w:cs="宋体"/>
          <w:sz w:val="21"/>
          <w:szCs w:val="21"/>
          <w:lang w:eastAsia="zh-CN"/>
        </w:rPr>
      </w:pPr>
      <w:r>
        <w:rPr>
          <w:rFonts w:hint="eastAsia" w:ascii="宋体" w:hAnsi="宋体" w:eastAsia="宋体" w:cs="宋体"/>
          <w:sz w:val="21"/>
          <w:szCs w:val="21"/>
        </w:rPr>
        <w:t>采用实验室分析方法对在线监测设备同步取样分析，评价在线监测数据准确性的质量控制手段</w:t>
      </w:r>
      <w:r>
        <w:rPr>
          <w:rFonts w:hint="eastAsia" w:ascii="宋体" w:hAnsi="宋体" w:eastAsia="宋体" w:cs="宋体"/>
          <w:sz w:val="21"/>
          <w:szCs w:val="21"/>
          <w:lang w:eastAsia="zh-CN"/>
        </w:rPr>
        <w:t>。</w:t>
      </w:r>
    </w:p>
    <w:p w14:paraId="30B13C5D">
      <w:pPr>
        <w:rPr>
          <w:rFonts w:hint="eastAsia" w:ascii="黑体" w:hAnsi="黑体" w:eastAsia="黑体" w:cs="黑体"/>
        </w:rPr>
      </w:pPr>
      <w:r>
        <w:rPr>
          <w:rFonts w:hint="eastAsia" w:ascii="黑体" w:hAnsi="黑体" w:eastAsia="黑体" w:cs="黑体"/>
        </w:rPr>
        <w:t xml:space="preserve">3.5 </w:t>
      </w:r>
    </w:p>
    <w:p w14:paraId="498DB9FE">
      <w:pPr>
        <w:ind w:firstLine="500" w:firstLineChars="0"/>
        <w:rPr>
          <w:rFonts w:hint="eastAsia" w:ascii="黑体" w:hAnsi="黑体" w:eastAsia="黑体" w:cs="黑体"/>
        </w:rPr>
      </w:pPr>
      <w:r>
        <w:rPr>
          <w:rFonts w:hint="eastAsia" w:ascii="黑体" w:hAnsi="黑体" w:eastAsia="黑体" w:cs="黑体"/>
        </w:rPr>
        <w:t xml:space="preserve">流量计 </w:t>
      </w:r>
      <w:r>
        <w:rPr>
          <w:rFonts w:hint="eastAsia" w:ascii="黑体" w:hAnsi="黑体" w:eastAsia="黑体" w:cs="黑体"/>
          <w:lang w:val="en-US" w:eastAsia="zh-CN"/>
        </w:rPr>
        <w:t xml:space="preserve"> </w:t>
      </w:r>
      <w:r>
        <w:rPr>
          <w:rFonts w:hint="eastAsia" w:ascii="黑体" w:hAnsi="黑体" w:eastAsia="黑体" w:cs="黑体"/>
        </w:rPr>
        <w:t>flowmeter
</w:t>
      </w:r>
    </w:p>
    <w:p w14:paraId="359D4464">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安装于排放管渠中，用于连续测量污水流量的仪器设备，常用类型包括超声波流量计和电磁流量计。
</w:t>
      </w:r>
    </w:p>
    <w:p w14:paraId="49CA88FD">
      <w:pPr>
        <w:rPr>
          <w:rFonts w:hint="eastAsia" w:ascii="黑体" w:hAnsi="黑体" w:eastAsia="黑体" w:cs="黑体"/>
        </w:rPr>
      </w:pPr>
      <w:r>
        <w:rPr>
          <w:rFonts w:hint="eastAsia" w:ascii="黑体" w:hAnsi="黑体" w:eastAsia="黑体" w:cs="黑体"/>
        </w:rPr>
        <w:t xml:space="preserve">3.6 </w:t>
      </w:r>
    </w:p>
    <w:p w14:paraId="7D7779EB">
      <w:pPr>
        <w:ind w:firstLine="500" w:firstLineChars="0"/>
        <w:rPr>
          <w:rFonts w:hint="eastAsia" w:ascii="黑体" w:hAnsi="黑体" w:eastAsia="黑体" w:cs="黑体"/>
        </w:rPr>
      </w:pPr>
      <w:r>
        <w:rPr>
          <w:rFonts w:hint="eastAsia" w:ascii="黑体" w:hAnsi="黑体" w:eastAsia="黑体" w:cs="黑体"/>
        </w:rPr>
        <w:t>调试</w:t>
      </w:r>
      <w:r>
        <w:rPr>
          <w:rFonts w:hint="eastAsia" w:ascii="黑体" w:hAnsi="黑体" w:eastAsia="黑体" w:cs="黑体"/>
          <w:lang w:val="en-US" w:eastAsia="zh-CN"/>
        </w:rPr>
        <w:t xml:space="preserve"> </w:t>
      </w:r>
      <w:r>
        <w:rPr>
          <w:rFonts w:hint="eastAsia" w:ascii="黑体" w:hAnsi="黑体" w:eastAsia="黑体" w:cs="黑体"/>
        </w:rPr>
        <w:t xml:space="preserve"> commissioning
</w:t>
      </w:r>
    </w:p>
    <w:p w14:paraId="24B7174B">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完成设备安装后，对设备功能、量程、零点和系统通信等进行全面检验和调整，使其达到正常运行状态的过程。</w:t>
      </w:r>
    </w:p>
    <w:p w14:paraId="046F1C08">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2" w:name="_Toc18856"/>
      <w:r>
        <w:rPr>
          <w:rFonts w:hint="eastAsia"/>
        </w:rPr>
        <w:t>4  安装前期勘查与选址</w:t>
      </w:r>
      <w:bookmarkEnd w:id="12"/>
    </w:p>
    <w:p w14:paraId="2A340742">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default" w:ascii="黑体" w:hAnsi="黑体" w:eastAsia="黑体" w:cs="黑体"/>
          <w:sz w:val="21"/>
          <w:szCs w:val="21"/>
        </w:rPr>
      </w:pPr>
      <w:r>
        <w:rPr>
          <w:rFonts w:hint="eastAsia" w:ascii="黑体" w:hAnsi="黑体" w:eastAsia="黑体" w:cs="黑体"/>
          <w:sz w:val="21"/>
          <w:szCs w:val="21"/>
        </w:rPr>
        <w:t>4.1 现场勘查内容</w:t>
      </w:r>
    </w:p>
    <w:p w14:paraId="09E08DA3">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在线监测设备安装前，应由专业技术人员对排放口进行全面的现场勘查，勘查内容包括排放管渠类型和尺寸、水流状态和流态特征、采样位置的水质代表性、供电和通信条件、站房建设条件以及安全防护条件等。勘查报告应图文结合，记录现场实测数据，对安装可行性和条件缺陷提出明确评估意见，作为安装方案编制的依据，勘查技术要求应符合HJ 353的安装技术规范要求。</w:t>
      </w:r>
    </w:p>
    <w:p w14:paraId="26096363">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4.2 点位选址条件</w:t>
      </w:r>
    </w:p>
    <w:p w14:paraId="047ED47B">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污水在线监测点位应选在排放管渠水流稳定、水质均匀混合充分的断面位置，避开弯管、变径、合流等水流紊乱区域。采样位置距上游最近弯管或扰动点的直管段长度应满足技术规范的最低要求。流量计安装位置应满足上下游直管段长度要求，确保流量测量精度。站房应尽量靠近采样点，减少采样管路长度，站房内应具备良好的通风散热条件，防止设备因过热影响正常运行。</w:t>
      </w:r>
    </w:p>
    <w:p w14:paraId="38BB9492">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3" w:name="_Toc17955"/>
      <w:r>
        <w:rPr>
          <w:rFonts w:hint="eastAsia"/>
        </w:rPr>
        <w:t>5  设备安装技术要求</w:t>
      </w:r>
      <w:bookmarkEnd w:id="13"/>
    </w:p>
    <w:p w14:paraId="78FBEF08">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5.1 采样与预处理系统安装</w:t>
      </w:r>
    </w:p>
    <w:p w14:paraId="360AE06E">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采样单元的取水口应安装在能代表排放水质的位置，取水管的安装深度应满足在最低水位条件下仍能正常取水。采样管路应采用耐腐蚀材料，管路弯头数量应尽量减少，管路中不应存在积水死角。预处理系统应根据污水水质特点配置过滤器、除泡装置和温控装置，过滤精度应满足水质分析仪的进样要求。采样泵和管路系统安装完成后应进行密封性检查，确认无渗漏后方可进入下一步安装，安装标准应符合HJ 353水污染源在线监测系统安装技术规范的要求。</w:t>
      </w:r>
    </w:p>
    <w:p w14:paraId="572A318F">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5.2 分析仪安装要求</w:t>
      </w:r>
    </w:p>
    <w:p w14:paraId="652F7B33">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水质在线分析仪应固定安装在防护站房内，安装位置应便于操作和维护，避免强烈振动和阳光直射。分析仪的进样管路和排废管路应按照设备说明书要求连接，不得存在弄反或漏连情况。分析仪电气连接应符合GB 50303建筑电气工程施工质量验收规范的要求，电源应提供稳压保护，防止电压波动损坏设备。分析仪安装完成后应进行外观检查，确认设备无损坏，各连接件紧固良好，满足HJ 91.1污水监测技术规范的设备要求。</w:t>
      </w:r>
    </w:p>
    <w:p w14:paraId="0770B12C">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5.3 流量计安装</w:t>
      </w:r>
    </w:p>
    <w:p w14:paraId="61A8EDA8">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超声波流量计或电磁流量计的安装应严格按照产品安装说明书操作，传感器的安装位置和方向应准确，确保传感器与管渠壁面的接触良好。流量计信号线应屏蔽处理，远离高压线和强电磁干扰源，防止信号受到干扰。安装完成后应按照说明书要求进行初始参数设置，包括管径、流速单位和量程等，并记录初始设置值，为后期维护和校准提供参照，安装质量应符合CJJ 68城镇排水管渠运行维护技术规程的相关要求。</w:t>
      </w:r>
    </w:p>
    <w:p w14:paraId="2248D6FD">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4" w:name="_Toc16552"/>
      <w:r>
        <w:rPr>
          <w:rFonts w:hint="eastAsia"/>
        </w:rPr>
        <w:t>6  设备调试程序</w:t>
      </w:r>
      <w:bookmarkEnd w:id="14"/>
    </w:p>
    <w:p w14:paraId="4CBB9E31">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6.1 功能验证步骤</w:t>
      </w:r>
    </w:p>
    <w:p w14:paraId="61C859A3">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设备调试应按照预热、功能检查、量程核查和数据传输联调的顺序依次进行，不得跳步操作。预热阶段应按照设备说明书的规定时间充分预热，确保仪器稳定后再进行后续操作。功能检查阶段应逐项核查设备的采样、分析、清洗和自校准功能是否正常，功能异常应查明原因并完成修复后再继续。量程核查应使用标准溶液对分析仪的量程两端进行验证，核查结果不合格时应进行标定校准，调试方法应符合HJ 354水污染源在线监测系统验收技术规范的要求。</w:t>
      </w:r>
    </w:p>
    <w:p w14:paraId="64E87B88">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6.2 数据传输联调</w:t>
      </w:r>
    </w:p>
    <w:p w14:paraId="0E7B38C5">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数据传输联调应验证在线监测设备与监管平台之间的数据通信功能，确认数据格式、传输频率和通信</w:t>
      </w:r>
      <w:r>
        <w:rPr>
          <w:rFonts w:hint="eastAsia" w:ascii="宋体" w:hAnsi="宋体" w:eastAsia="宋体" w:cs="宋体"/>
          <w:sz w:val="21"/>
          <w:szCs w:val="21"/>
        </w:rPr>
        <w:t>协议的符合性。联调过程中应逐项检查监测数据、设备状态信号和报警信息的上传情况，发现通信异常应及时排查处理。联调测试应持续足够时间，确认数据传输的稳定性，联调结果应形成书面记录，经监管部门技术人员确认后，方可认定联调完成，符合HJ 819排污单位自行监测技术指南的信息化管理要求。</w:t>
      </w:r>
    </w:p>
    <w:p w14:paraId="4452AED0">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5" w:name="_Toc30185"/>
      <w:r>
        <w:rPr>
          <w:rFonts w:hint="eastAsia"/>
        </w:rPr>
        <w:t>7  比对监测与验收</w:t>
      </w:r>
      <w:bookmarkEnd w:id="15"/>
    </w:p>
    <w:p w14:paraId="05384E0C">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7.1 比对监测程序</w:t>
      </w:r>
    </w:p>
    <w:p w14:paraId="7342D9A5">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比对监测应在设备调试完成、系统运行稳定后开展，比对测试应由具备计量认证资质的实验室承担。比对监测期间，实验室分析人员应在在线监测设备取样的同一时间节点同步采集水样，采集方法应符合HJ 91.1污水监测技术规范的要求。比对样品应在规定时限内完成实验室分析，比对结果应与在线监测设备同期读数进行比较，计算相对误差。每项水质指标的比对次数应不少于规定的最低比对频次，确保统计结果的可靠性。</w:t>
      </w:r>
    </w:p>
    <w:p w14:paraId="18B5A444">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7.2 验收合格判据</w:t>
      </w:r>
    </w:p>
    <w:p w14:paraId="240D93DB">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污水在线监测设备的验收合格判据包括数据准确性、数据完整性和系统稳定性三方面。数据准确性要求比对监测的相对误差满足HJ 354的技术指标要求；数据完整性要求验收期内有效数据传输率不低于规定比例；系统稳定性要求验收期内不发生因设备故障导致的连续较长时间数据缺失。全部验收项目合格后，应出具正式验收报告，验收结论由建设单位和监管部门共同确认，未通过验收的设备应整改后重新开展比对验收。</w:t>
      </w:r>
    </w:p>
    <w:p w14:paraId="3AEB32B6">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6" w:name="_Toc3607"/>
      <w:r>
        <w:rPr>
          <w:rFonts w:hint="eastAsia"/>
        </w:rPr>
        <w:t>8  竣工技术文件要求</w:t>
      </w:r>
      <w:bookmarkEnd w:id="16"/>
    </w:p>
    <w:p w14:paraId="35F6C312">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8.1 技术文件内容</w:t>
      </w:r>
    </w:p>
    <w:p w14:paraId="599AE327">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污水在线监测设备安装调试完成后，应整理编制完整的竣工技术文件，主要内容包括安装方案及设计图纸、设备安装记录、调试过程记录、参数设置清单、比对监测报告和验收报告等。技术文件应图文并茂，重要步骤应附照片记录，确保文件内容的完整性和真实性。技术文件应按原件归档，一式多份分别提交建设单位和监管部门，竣工文件的编制要求应符合HJ 355水污染源在线监测系统运行与考核技术规范的档案管理规定。</w:t>
      </w:r>
    </w:p>
    <w:p w14:paraId="1BB56EFE">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8.2 运维交接要求</w:t>
      </w:r>
    </w:p>
    <w:p w14:paraId="702F37FD">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安装调试工作完成并通过验收后，应进行正式的运维交接，交接内容包括设备操作培训、故障处理演示、备品备件清单确认和维保合同签订等。运维人员应经过专业培训，熟悉设备操作规程和常见故障处理方法，培训结果应经考核合格后方可上岗。交接文件应明确双方的责任边界，包括质保期内的故障响应时限和维修责任，确保设备投运后的稳定运行，交接标准应符合HJ 355和HJ 819的相关技术要求。</w:t>
      </w:r>
    </w:p>
    <w:p w14:paraId="0D7E5390">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7" w:name="_Toc29489"/>
      <w:r>
        <w:rPr>
          <w:rFonts w:hint="eastAsia"/>
        </w:rPr>
        <w:t>9  安全管理与应急预案</w:t>
      </w:r>
      <w:bookmarkEnd w:id="17"/>
    </w:p>
    <w:p w14:paraId="51BFCD1D">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9.1 安全管理要求</w:t>
      </w:r>
    </w:p>
    <w:p w14:paraId="0CFD1076">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污水在线监测站房内存放有化学试剂，安全管理要求应参照危险化学品管理相关规定执行。站房内应配置必要的安全防护用品，包括防护手套、护目镜和防化服，进入站房操作人员应穿戴相应防护装备。化学试剂应分类储存，氧化性和还原性试剂不得混放，废液应收集后统一处置，不得直接排入下水道。站房内的电气设备应定期检查，防止因电气故障引发安全事故，安全管理要求应符合GB 50303电气工程施工质量验收规范的相关规定。</w:t>
      </w:r>
    </w:p>
    <w:p w14:paraId="5AEB300D">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9.2 应急预案</w:t>
      </w:r>
    </w:p>
    <w:p w14:paraId="70E0F828">
      <w:pPr>
        <w:spacing w:line="240" w:lineRule="auto"/>
        <w:ind w:firstLine="500" w:firstLineChars="0"/>
        <w:jc w:val="both"/>
        <w:rPr>
          <w:rFonts w:hint="eastAsia" w:ascii="黑体" w:hAnsi="黑体" w:eastAsia="黑体" w:cs="黑体"/>
          <w:sz w:val="32"/>
          <w:szCs w:val="32"/>
        </w:rPr>
      </w:pPr>
      <w:r>
        <w:rPr>
          <w:rFonts w:hint="eastAsia" w:ascii="宋体" w:hAnsi="宋体" w:eastAsia="宋体" w:cs="宋体"/>
          <w:sz w:val="21"/>
          <w:szCs w:val="21"/>
        </w:rPr>
        <w:t>污水在线监测站房应针对设备故障、停电、化学品泄漏等突发情况制定应急预案，明确应急处置流程和责任人员。应急预案应定期演练，确保运维人员熟悉应急操作。当设备发生故障导致连续缺数时，应启动应急监测措施，采用便携式仪器或人工采样实验室分析方式弥补数据空缺，并向监管部门报告故障情况和处置措施。应急处置记录应纳入运维档案，作为质量考核的参考依据，符合HJ 355在线监测系统运行考核技术规范的管理要求。</w:t>
      </w:r>
    </w:p>
    <w:p w14:paraId="0CF287E8">
      <w:pPr>
        <w:jc w:val="center"/>
        <w:rPr>
          <w:rFonts w:hint="eastAsia" w:ascii="黑体" w:hAnsi="黑体" w:eastAsia="黑体" w:cs="黑体"/>
          <w:sz w:val="32"/>
          <w:szCs w:val="32"/>
        </w:rPr>
      </w:pPr>
    </w:p>
    <w:p w14:paraId="7B0B0317">
      <w:pPr>
        <w:jc w:val="center"/>
        <w:rPr>
          <w:rFonts w:hint="eastAsia" w:ascii="黑体" w:hAnsi="黑体" w:eastAsia="黑体" w:cs="黑体"/>
          <w:sz w:val="32"/>
          <w:szCs w:val="32"/>
        </w:rPr>
      </w:pPr>
      <w:r>
        <w:drawing>
          <wp:anchor distT="0" distB="0" distL="0" distR="0" simplePos="0" relativeHeight="251670528" behindDoc="0" locked="0" layoutInCell="1" allowOverlap="1">
            <wp:simplePos x="0" y="0"/>
            <wp:positionH relativeFrom="page">
              <wp:posOffset>3036570</wp:posOffset>
            </wp:positionH>
            <wp:positionV relativeFrom="paragraph">
              <wp:posOffset>182880</wp:posOffset>
            </wp:positionV>
            <wp:extent cx="1484630" cy="12700"/>
            <wp:effectExtent l="0" t="0" r="1270" b="0"/>
            <wp:wrapTopAndBottom/>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png"/>
                    <pic:cNvPicPr>
                      <a:picLocks noChangeAspect="1"/>
                    </pic:cNvPicPr>
                  </pic:nvPicPr>
                  <pic:blipFill>
                    <a:blip r:embed="rId27" cstate="print"/>
                    <a:stretch>
                      <a:fillRect/>
                    </a:stretch>
                  </pic:blipFill>
                  <pic:spPr>
                    <a:xfrm>
                      <a:off x="0" y="0"/>
                      <a:ext cx="1484630" cy="12700"/>
                    </a:xfrm>
                    <a:prstGeom prst="rect">
                      <a:avLst/>
                    </a:prstGeom>
                  </pic:spPr>
                </pic:pic>
              </a:graphicData>
            </a:graphic>
          </wp:anchor>
        </w:drawing>
      </w:r>
    </w:p>
    <w:sectPr>
      <w:headerReference r:id="rId20" w:type="default"/>
      <w:footerReference r:id="rId22" w:type="default"/>
      <w:headerReference r:id="rId21" w:type="even"/>
      <w:footerReference r:id="rId23" w:type="even"/>
      <w:pgSz w:w="11910" w:h="16840"/>
      <w:pgMar w:top="1417" w:right="1134" w:bottom="1134" w:left="1417" w:header="1417" w:footer="1395"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2FD2F">
    <w:pPr>
      <w:rPr>
        <w:rFonts w:ascii="宋体" w:hAnsi="宋体" w:eastAsia="宋体" w:cs="宋体"/>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AA758">
    <w:pPr>
      <w:rPr>
        <w:rFonts w:ascii="宋体" w:hAnsi="宋体" w:eastAsia="宋体" w:cs="宋体"/>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F08E62">
                          <w:pPr>
                            <w:pStyle w:val="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CF08E62">
                    <w:pPr>
                      <w:pStyle w:val="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0B717">
    <w:pPr>
      <w:jc w:val="right"/>
      <w:rPr>
        <w:rFonts w:ascii="宋体" w:hAnsi="宋体" w:eastAsia="宋体" w:cs="宋体"/>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98CA5">
    <w:pPr>
      <w:jc w:val="left"/>
      <w:rPr>
        <w:rFonts w:ascii="宋体" w:hAnsi="宋体" w:eastAsia="宋体" w:cs="宋体"/>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8DC0F">
    <w:pPr>
      <w:jc w:val="right"/>
      <w:rPr>
        <w:rFonts w:ascii="宋体" w:hAnsi="宋体" w:eastAsia="宋体" w:cs="宋体"/>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A9313">
    <w:pPr>
      <w:jc w:val="left"/>
      <w:rPr>
        <w:rFonts w:ascii="宋体" w:hAnsi="宋体" w:eastAsia="宋体" w:cs="宋体"/>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00FBF">
    <w:pPr>
      <w:rPr>
        <w:rFonts w:ascii="宋体" w:hAnsi="宋体" w:eastAsia="宋体" w:cs="宋体"/>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C2AAB">
    <w:pPr>
      <w:rPr>
        <w:rFonts w:ascii="宋体" w:hAnsi="宋体" w:eastAsia="宋体" w:cs="宋体"/>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366544">
                          <w:pPr>
                            <w:pStyle w:val="8"/>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0366544">
                    <w:pPr>
                      <w:pStyle w:val="8"/>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DB437">
    <w:pPr>
      <w:pStyle w:val="9"/>
      <w:rPr>
        <w:rFonts w:hint="eastAsia" w:ascii="黑体" w:hAnsi="黑体" w:eastAsia="黑体" w:cs="黑体"/>
        <w:spacing w:val="2"/>
        <w:sz w:val="21"/>
        <w:szCs w:val="21"/>
      </w:rPr>
    </w:pPr>
    <w:r>
      <w:rPr>
        <w:rFonts w:hint="eastAsia" w:ascii="黑体" w:hAnsi="黑体" w:eastAsia="黑体" w:cs="黑体"/>
        <w:spacing w:val="2"/>
        <w:sz w:val="21"/>
        <w:szCs w:val="21"/>
      </w:rPr>
      <w:t xml:space="preserve">ICS 35.240 </w:t>
    </w:r>
  </w:p>
  <w:p w14:paraId="187B5B53">
    <w:pPr>
      <w:pStyle w:val="9"/>
      <w:rPr>
        <w:rFonts w:hint="eastAsia" w:ascii="黑体" w:hAnsi="黑体" w:eastAsia="黑体" w:cs="黑体"/>
        <w:spacing w:val="2"/>
        <w:sz w:val="21"/>
        <w:szCs w:val="21"/>
      </w:rPr>
    </w:pPr>
    <w:r>
      <w:rPr>
        <w:rFonts w:hint="eastAsia" w:ascii="黑体" w:hAnsi="黑体" w:eastAsia="黑体" w:cs="黑体"/>
        <w:spacing w:val="2"/>
        <w:sz w:val="21"/>
        <w:szCs w:val="21"/>
      </w:rPr>
      <w:t>CCS L70</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74DE3">
    <w:pPr>
      <w:pStyle w:val="6"/>
      <w:spacing w:line="249" w:lineRule="exact"/>
      <w:jc w:val="right"/>
      <w:rPr>
        <w:rFonts w:hint="eastAsia" w:ascii="宋体" w:hAnsi="宋体" w:eastAsia="宋体" w:cs="宋体"/>
        <w:sz w:val="18"/>
        <w:szCs w:val="18"/>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431</w:t>
    </w:r>
    <w:r>
      <w:rPr>
        <w:rFonts w:hint="eastAsia" w:ascii="黑体" w:hAnsi="黑体" w:eastAsia="黑体" w:cs="黑体"/>
        <w:sz w:val="21"/>
        <w:szCs w:val="21"/>
      </w:rPr>
      <w:t>—2026</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C6B08">
    <w:pPr>
      <w:pStyle w:val="6"/>
      <w:spacing w:line="249" w:lineRule="exact"/>
      <w:jc w:val="left"/>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431</w:t>
    </w:r>
    <w:r>
      <w:rPr>
        <w:rFonts w:hint="eastAsia" w:ascii="黑体" w:hAnsi="黑体" w:eastAsia="黑体" w:cs="黑体"/>
        <w:sz w:val="21"/>
        <w:szCs w:val="21"/>
      </w:rPr>
      <w:t>—2026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D9752">
    <w:pPr>
      <w:pStyle w:val="6"/>
      <w:spacing w:line="249" w:lineRule="exact"/>
      <w:jc w:val="both"/>
    </w:pPr>
    <w:r>
      <w:rPr>
        <w:rFonts w:hint="eastAsia" w:ascii="宋体" w:hAnsi="宋体" w:eastAsia="宋体" w:cs="宋体"/>
      </w:rPr>
      <w:t>T/JXEA 320—2026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C2965">
    <w:pPr>
      <w:pStyle w:val="6"/>
      <w:spacing w:line="249" w:lineRule="exact"/>
      <w:ind w:left="20" w:firstLine="7140" w:firstLineChars="3400"/>
      <w:rPr>
        <w:rFonts w:ascii="PingFang SC" w:hAnsi="PingFang SC" w:eastAsia="PingFang SC" w:cs="PingFang SC"/>
        <w:sz w:val="20"/>
        <w:szCs w:val="20"/>
      </w:rPr>
    </w:pPr>
    <w:r>
      <w:rPr>
        <w:rFonts w:ascii="黑体" w:hAnsi="黑体"/>
      </w:rPr>
      <w:t>T/JXEA 320—2026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DD40C">
    <w:pPr>
      <w:pStyle w:val="6"/>
      <w:spacing w:line="249" w:lineRule="exact"/>
      <w:jc w:val="right"/>
      <w:rPr>
        <w:rFonts w:hint="eastAsia" w:ascii="黑体" w:hAnsi="黑体" w:eastAsia="黑体" w:cs="黑体"/>
        <w:sz w:val="21"/>
        <w:szCs w:val="21"/>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431</w:t>
    </w:r>
    <w:r>
      <w:rPr>
        <w:rFonts w:hint="eastAsia" w:ascii="黑体" w:hAnsi="黑体" w:eastAsia="黑体" w:cs="黑体"/>
        <w:sz w:val="21"/>
        <w:szCs w:val="21"/>
      </w:rPr>
      <w:t>—2026</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3F616">
    <w:pPr>
      <w:pStyle w:val="6"/>
      <w:spacing w:line="249"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F7F3E">
    <w:pPr>
      <w:pStyle w:val="6"/>
      <w:spacing w:line="249" w:lineRule="exact"/>
      <w:jc w:val="right"/>
      <w:rPr>
        <w:rFonts w:hint="eastAsia" w:ascii="宋体" w:hAnsi="宋体" w:eastAsia="宋体" w:cs="宋体"/>
        <w:sz w:val="18"/>
        <w:szCs w:val="18"/>
        <w:lang w:val="en-US" w:eastAsia="zh-CN"/>
      </w:rPr>
    </w:pPr>
    <w:r>
      <w:rPr>
        <w:rFonts w:hint="eastAsia" w:ascii="宋体" w:hAnsi="宋体" w:eastAsia="宋体" w:cs="宋体"/>
        <w:sz w:val="18"/>
        <w:szCs w:val="18"/>
      </w:rPr>
      <w:t>T/JXEA 3</w:t>
    </w:r>
    <w:r>
      <w:rPr>
        <w:rFonts w:hint="eastAsia" w:ascii="宋体" w:hAnsi="宋体" w:eastAsia="宋体" w:cs="宋体"/>
        <w:sz w:val="18"/>
        <w:szCs w:val="18"/>
        <w:lang w:val="en-US" w:eastAsia="zh-CN"/>
      </w:rPr>
      <w:t>88</w:t>
    </w:r>
    <w:r>
      <w:rPr>
        <w:rFonts w:hint="eastAsia" w:ascii="宋体" w:hAnsi="宋体" w:eastAsia="宋体" w:cs="宋体"/>
        <w:sz w:val="18"/>
        <w:szCs w:val="18"/>
      </w:rPr>
      <w:t>—2026</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37DD9">
    <w:pPr>
      <w:pStyle w:val="6"/>
      <w:spacing w:line="249" w:lineRule="exact"/>
      <w:jc w:val="right"/>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431</w:t>
    </w:r>
    <w:r>
      <w:rPr>
        <w:rFonts w:hint="eastAsia" w:ascii="黑体" w:hAnsi="黑体" w:eastAsia="黑体" w:cs="黑体"/>
        <w:sz w:val="21"/>
        <w:szCs w:val="21"/>
      </w:rPr>
      <w:t>—2026</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A4176">
    <w:pPr>
      <w:pStyle w:val="6"/>
      <w:spacing w:line="249" w:lineRule="exact"/>
      <w:jc w:val="right"/>
      <w:rPr>
        <w:rFonts w:hint="eastAsia" w:ascii="宋体" w:hAnsi="宋体" w:eastAsia="宋体" w:cs="宋体"/>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431</w:t>
    </w:r>
    <w:r>
      <w:rPr>
        <w:rFonts w:hint="eastAsia" w:ascii="黑体" w:hAnsi="黑体" w:eastAsia="黑体" w:cs="黑体"/>
        <w:sz w:val="21"/>
        <w:szCs w:val="21"/>
      </w:rPr>
      <w:t>—2026</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51695">
    <w:pPr>
      <w:pStyle w:val="6"/>
      <w:spacing w:line="249"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bordersDoNotSurroundHeader w:val="0"/>
  <w:bordersDoNotSurroundFooter w:val="0"/>
  <w:documentProtection w:enforcement="0"/>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E11BCF"/>
    <w:rsid w:val="02C95F7F"/>
    <w:rsid w:val="094D7246"/>
    <w:rsid w:val="10817822"/>
    <w:rsid w:val="114D3720"/>
    <w:rsid w:val="117723DD"/>
    <w:rsid w:val="144F2D27"/>
    <w:rsid w:val="152B0E50"/>
    <w:rsid w:val="18784FFA"/>
    <w:rsid w:val="1BFC2A77"/>
    <w:rsid w:val="1CEA3614"/>
    <w:rsid w:val="1E165790"/>
    <w:rsid w:val="1E854FF8"/>
    <w:rsid w:val="1EF40971"/>
    <w:rsid w:val="1F883BB0"/>
    <w:rsid w:val="1FA4037A"/>
    <w:rsid w:val="1FA85442"/>
    <w:rsid w:val="24981844"/>
    <w:rsid w:val="25F610B0"/>
    <w:rsid w:val="25FA472D"/>
    <w:rsid w:val="261E7AA3"/>
    <w:rsid w:val="270950B5"/>
    <w:rsid w:val="285208E9"/>
    <w:rsid w:val="288010CA"/>
    <w:rsid w:val="2F913B87"/>
    <w:rsid w:val="314C15E2"/>
    <w:rsid w:val="36055107"/>
    <w:rsid w:val="362C295C"/>
    <w:rsid w:val="36C03D85"/>
    <w:rsid w:val="38296BB0"/>
    <w:rsid w:val="38CD2E8E"/>
    <w:rsid w:val="39F53F18"/>
    <w:rsid w:val="3AF6384B"/>
    <w:rsid w:val="3F417E35"/>
    <w:rsid w:val="3F911525"/>
    <w:rsid w:val="409E2E12"/>
    <w:rsid w:val="478B5BE9"/>
    <w:rsid w:val="49AE2C0A"/>
    <w:rsid w:val="4BA11B70"/>
    <w:rsid w:val="4D576B6D"/>
    <w:rsid w:val="4E4F4B57"/>
    <w:rsid w:val="4ED300C1"/>
    <w:rsid w:val="50F8747A"/>
    <w:rsid w:val="51536047"/>
    <w:rsid w:val="54DC719A"/>
    <w:rsid w:val="54EA55DA"/>
    <w:rsid w:val="55277367"/>
    <w:rsid w:val="567F35D2"/>
    <w:rsid w:val="571B11FE"/>
    <w:rsid w:val="5738394B"/>
    <w:rsid w:val="5DFE5C52"/>
    <w:rsid w:val="5DFF3841"/>
    <w:rsid w:val="5EAB5261"/>
    <w:rsid w:val="61E5122B"/>
    <w:rsid w:val="679C2507"/>
    <w:rsid w:val="67D029E5"/>
    <w:rsid w:val="69731BEA"/>
    <w:rsid w:val="6A4913D1"/>
    <w:rsid w:val="6CF43042"/>
    <w:rsid w:val="6D911F95"/>
    <w:rsid w:val="6E0E34CE"/>
    <w:rsid w:val="6EF72976"/>
    <w:rsid w:val="6FD66A2F"/>
    <w:rsid w:val="6FD809F9"/>
    <w:rsid w:val="7023696D"/>
    <w:rsid w:val="733E6120"/>
    <w:rsid w:val="74324450"/>
    <w:rsid w:val="75B24D84"/>
    <w:rsid w:val="76730700"/>
    <w:rsid w:val="78031871"/>
    <w:rsid w:val="78F341AE"/>
    <w:rsid w:val="79B85A3F"/>
    <w:rsid w:val="79F63C5C"/>
    <w:rsid w:val="FF5E51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jc w:val="both"/>
      <w:outlineLvl w:val="0"/>
    </w:pPr>
    <w:rPr>
      <w:rFonts w:ascii="黑体" w:hAnsi="黑体" w:eastAsia="黑体" w:cs="黑体"/>
      <w:spacing w:val="7"/>
    </w:rPr>
  </w:style>
  <w:style w:type="paragraph" w:styleId="3">
    <w:name w:val="heading 2"/>
    <w:basedOn w:val="1"/>
    <w:next w:val="1"/>
    <w:unhideWhenUsed/>
    <w:qFormat/>
    <w:uiPriority w:val="0"/>
    <w:pPr>
      <w:spacing w:before="91" w:line="312" w:lineRule="auto"/>
      <w:ind w:right="6" w:firstLine="427"/>
      <w:jc w:val="both"/>
      <w:outlineLvl w:val="1"/>
    </w:pPr>
    <w:rPr>
      <w:rFonts w:ascii="PingFang SC" w:hAnsi="PingFang SC" w:eastAsia="PingFang SC" w:cs="PingFang SC"/>
      <w:spacing w:val="7"/>
      <w:sz w:val="20"/>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其他发布日期"/>
    <w:basedOn w:val="19"/>
    <w:qFormat/>
    <w:uiPriority w:val="0"/>
    <w:pPr>
      <w:framePr w:w="3997" w:h="471" w:hRule="exact" w:hSpace="0" w:vSpace="181" w:wrap="around" w:vAnchor="page" w:hAnchor="page" w:x="1419" w:y="14097"/>
    </w:pPr>
  </w:style>
  <w:style w:type="paragraph" w:customStyle="1" w:styleId="1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styleId="20">
    <w:name w:val="List Paragraph"/>
    <w:basedOn w:val="1"/>
    <w:qFormat/>
    <w:uiPriority w:val="1"/>
    <w:pPr>
      <w:ind w:left="1132" w:hanging="425"/>
    </w:pPr>
    <w:rPr>
      <w:rFonts w:ascii="宋体" w:hAnsi="宋体" w:eastAsia="宋体" w:cs="宋体"/>
      <w:lang w:val="en-US" w:eastAsia="en-US" w:bidi="en-US"/>
    </w:rPr>
  </w:style>
  <w:style w:type="character" w:styleId="21">
    <w:name w:val="Placeholder Text"/>
    <w:basedOn w:val="15"/>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3.png"/><Relationship Id="rId26" Type="http://schemas.openxmlformats.org/officeDocument/2006/relationships/image" Target="media/image2.png"/><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8.xml"/><Relationship Id="rId22" Type="http://schemas.openxmlformats.org/officeDocument/2006/relationships/footer" Target="footer7.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6.xml"/><Relationship Id="rId18" Type="http://schemas.openxmlformats.org/officeDocument/2006/relationships/footer" Target="footer5.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3755</Words>
  <Characters>4098</Characters>
  <TotalTime>1</TotalTime>
  <ScaleCrop>false</ScaleCrop>
  <LinksUpToDate>false</LinksUpToDate>
  <CharactersWithSpaces>4250</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2026-01-19T23:12:00Z</dcterms:created>
  <dc:creator>Administrator</dc:creator>
  <cp:lastModifiedBy>孙源</cp:lastModifiedBy>
  <dcterms:modified xsi:type="dcterms:W3CDTF">2026-06-01T06:35:31Z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2026-01-29T04:18:10Z</vt:filetime>
  </property>
  <property fmtid="{D5CDD505-2E9C-101B-9397-08002B2CF9AE}" pid="4" name="KSOTemplateDocerSaveRecord">
    <vt:lpwstr>eyJoZGlkIjoiNTQ5MWU0NmJmYzU0MmZiNmYzNWZmODgyODE2OTlmYTIiLCJ1c2VySWQiOiI5NDk0MTg3MjYifQ==</vt:lpwstr>
  </property>
  <property fmtid="{D5CDD505-2E9C-101B-9397-08002B2CF9AE}" pid="5" name="KSOProductBuildVer">
    <vt:lpwstr>2052-12.1.0.25865</vt:lpwstr>
  </property>
  <property fmtid="{D5CDD505-2E9C-101B-9397-08002B2CF9AE}" pid="6" name="ICV">
    <vt:lpwstr>AFFB3CF219DB4D5D80A140B64BD1CAFA_13</vt:lpwstr>
  </property>
</Properties>
</file>