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C5B91">
      <w:pPr>
        <w:spacing w:before="31"/>
        <w:ind w:left="6727" w:right="0" w:firstLine="0"/>
        <w:jc w:val="left"/>
        <w:rPr>
          <w:rFonts w:hint="eastAsia" w:ascii="Times New Roman" w:eastAsia="宋体"/>
          <w:b/>
          <w:w w:val="130"/>
          <w:sz w:val="96"/>
          <w:lang w:val="en-US" w:eastAsia="zh-CN"/>
        </w:rPr>
      </w:pPr>
      <w:bookmarkStart w:id="0" w:name="bookmark1"/>
      <w:bookmarkEnd w:id="0"/>
      <w:r>
        <mc:AlternateContent>
          <mc:Choice Requires="wpg">
            <w:drawing>
              <wp:anchor distT="0" distB="0" distL="114300" distR="114300" simplePos="0" relativeHeight="251661312" behindDoc="0" locked="0" layoutInCell="1" allowOverlap="1">
                <wp:simplePos x="0" y="0"/>
                <wp:positionH relativeFrom="page">
                  <wp:posOffset>4242435</wp:posOffset>
                </wp:positionH>
                <wp:positionV relativeFrom="paragraph">
                  <wp:posOffset>150495</wp:posOffset>
                </wp:positionV>
                <wp:extent cx="589915" cy="436245"/>
                <wp:effectExtent l="635" t="0" r="6350" b="8255"/>
                <wp:wrapNone/>
                <wp:docPr id="2" name="组合 2"/>
                <wp:cNvGraphicFramePr/>
                <a:graphic xmlns:a="http://schemas.openxmlformats.org/drawingml/2006/main">
                  <a:graphicData uri="http://schemas.microsoft.com/office/word/2010/wordprocessingGroup">
                    <wpg:wgp>
                      <wpg:cNvGrpSpPr/>
                      <wpg:grpSpPr>
                        <a:xfrm>
                          <a:off x="0" y="0"/>
                          <a:ext cx="589915" cy="436245"/>
                          <a:chOff x="6682" y="237"/>
                          <a:chExt cx="929" cy="687"/>
                        </a:xfrm>
                      </wpg:grpSpPr>
                      <pic:pic xmlns:pic="http://schemas.openxmlformats.org/drawingml/2006/picture">
                        <pic:nvPicPr>
                          <pic:cNvPr id="4" name="图片 3"/>
                          <pic:cNvPicPr>
                            <a:picLocks noChangeAspect="1"/>
                          </pic:cNvPicPr>
                        </pic:nvPicPr>
                        <pic:blipFill>
                          <a:blip r:embed="rId25"/>
                          <a:stretch>
                            <a:fillRect/>
                          </a:stretch>
                        </pic:blipFill>
                        <pic:spPr>
                          <a:xfrm>
                            <a:off x="6681" y="237"/>
                            <a:ext cx="653" cy="680"/>
                          </a:xfrm>
                          <a:prstGeom prst="rect">
                            <a:avLst/>
                          </a:prstGeom>
                          <a:noFill/>
                          <a:ln>
                            <a:noFill/>
                          </a:ln>
                        </pic:spPr>
                      </pic:pic>
                      <pic:pic xmlns:pic="http://schemas.openxmlformats.org/drawingml/2006/picture">
                        <pic:nvPicPr>
                          <pic:cNvPr id="5" name="图片 4"/>
                          <pic:cNvPicPr>
                            <a:picLocks noChangeAspect="1"/>
                          </pic:cNvPicPr>
                        </pic:nvPicPr>
                        <pic:blipFill>
                          <a:blip r:embed="rId26"/>
                          <a:stretch>
                            <a:fillRect/>
                          </a:stretch>
                        </pic:blipFill>
                        <pic:spPr>
                          <a:xfrm>
                            <a:off x="7341" y="237"/>
                            <a:ext cx="269" cy="687"/>
                          </a:xfrm>
                          <a:prstGeom prst="rect">
                            <a:avLst/>
                          </a:prstGeom>
                          <a:noFill/>
                          <a:ln>
                            <a:noFill/>
                          </a:ln>
                        </pic:spPr>
                      </pic:pic>
                    </wpg:wgp>
                  </a:graphicData>
                </a:graphic>
              </wp:anchor>
            </w:drawing>
          </mc:Choice>
          <mc:Fallback>
            <w:pict>
              <v:group id="_x0000_s1026" o:spid="_x0000_s1026" o:spt="203" style="position:absolute;left:0pt;margin-left:334.05pt;margin-top:11.85pt;height:34.35pt;width:46.45pt;mso-position-horizontal-relative:page;z-index:251661312;mso-width-relative:page;mso-height-relative:page;" coordorigin="6682,237" coordsize="929,687" o:gfxdata="UEsDBAoAAAAAAIdO4kAAAAAAAAAAAAAAAAAEAAAAZHJzL1BLAwQUAAAACACHTuJA7awBFNoAAAAJ&#10;AQAADwAAAGRycy9kb3ducmV2LnhtbE2PQUvDQBCF74L/YRnBm91sqmmNmRQp6qkItoJ4m2anSWh2&#10;N2S3SfvvXU96HObjve8Vq7PpxMiDb51FULMEBNvK6dbWCJ+717slCB/IauqcZYQLe1iV11cF5dpN&#10;9oPHbahFDLE+J4QmhD6X0lcNG/Iz17ONv4MbDIV4DrXUA00x3HQyTZJMGmptbGio53XD1XF7Mghv&#10;E03Pc/Uybo6H9eV79/D+tVGMeHujkicQgc/hD4Zf/agOZXTau5PVXnQIWbZUEUVI5wsQEVhkKo7b&#10;Izym9yDLQv5fUP4AUEsDBBQAAAAIAIdO4kACPBWDewIAAFQHAAAOAAAAZHJzL2Uyb0RvYy54bWzV&#10;Vd1u0zAUvkfiHSzf07Rpm7VR0wlRNiFNUPHzAK7jJBaJbdlu090jwe6451GQeJtpr8Gxk3Rtx8SE&#10;BhIXSY597HO+853Pzux0W5Vow7ThUiR40OtjxASVKRd5gj+8P3s2wchYIlJSSsESfMkMPp0/fTKr&#10;VcxCWcgyZRpBEGHiWiW4sFbFQWBowSpielIxAc5M6opYGOo8SDWpIXpVBmG/HwW11KnSkjJjYHbR&#10;OHEbUT8koMwyTtlC0nXFhG2ialYSCyWZgiuD5x5tljFq32SZYRaVCYZKrX9DErBX7h3MZyTONVEF&#10;py0E8hAIRzVVhAtIugu1IJagteZ3QlWcamlkZntUVkFTiGcEqhj0j7g513KtfC15XOdqRzo06oj1&#10;Pw5LX2+WGvE0wSFGglTQ8Jvvn66/fkGh46ZWeQxLzrV6p5a6ncibkSt3m+nKfaEQtPWsXu5YZVuL&#10;KEyOJ9PpYIwRBddoGIWjccM6LaA1blcUTSA5eMPhSed62W6ehtNmZzTxvqDLGThoOySK0xieliGw&#10;7jD0e13CLrvWDPh20cRmyelSN4NblkYdS9ffftxcfUZDB9itd0uaDcQhuZD0o0FCviiIyNlzo0CJ&#10;cNrc6uBwuR8eZFuVXJ3xsnTEOvtxjwbSMatWDDquX6UeEImN1czSwiXMIPFbAOuA7jk8yltgrgQD&#10;iviFBqCbg8NudkKIxsOul/7g7XoJjGljz5mskDMAGQCAPpCYbC5MC6Vb4qaFdPwARBKX4mACYroZ&#10;D7cB6E3A27QJjL8vEhB7c5RakYz+b5H4m2BPC48gkpPh6B6RhNE9B/4ficTfK3DZevm3PwZ3m++P&#10;wd7/Gc5/AlBLAwQKAAAAAACHTuJAAAAAAAAAAAAAAAAACgAAAGRycy9tZWRpYS9QSwMEFAAAAAgA&#10;h07iQFJeETcFAgAAAAIAABQAAABkcnMvbWVkaWEvaW1hZ2UxLnBuZwEAAv/9iVBORw0KGgoAAAAN&#10;SUhEUgAAAGQAAABnCAYAAAD2duf6AAAABmJLR0QA/wD/AP+gvaeTAAAACXBIWXMAAA7EAAAOxAGV&#10;Kw4bAAABoElEQVR4nO3XsW3DQBAF0X9HCVAVrkCZMneiDl2MunALSgwIuw4M2q5AN4DmJQy54OD2&#10;wJGko2XGGEmSbdtyuVxyWDzPy+v+OQ9Vlcfjkbl4npe3n5DuTlV5Qlabc6a7M8bInNMgq3X379pK&#10;YpDVqirJ38ryDgHpboOsNuf8fc45DbJaVeV4PKaqsm2bQQj2S92VBbH/i7iyIPYg9/s9hyRva8fJ&#10;R5L3xTPsnv4tTqdTzudzbrdbrtdrDt39+ewh/htjfK18/3+rv0USVxaNQWAMAmMQGIPAGATGIDAG&#10;gTEIjEFgDAJjEBiDwBgExiAwBoExCIxBYAwCYxAYg8AYBMYgMAaBMQiMQWAMAmMQGIPAGATGIDAG&#10;gTEIjEFgDAJjEBiDwBgExiAwBoExCIxBYAwCYxAYg8AYBMYgMAaBMQiMQWAMAmMQGIPAGATGIDAG&#10;gTEIjEFgDAJjEBiDwBgExiAwBoExCIxBYAwCYxAYg8AYBMYgMAaBMQiMQWAMAmMQGIPAGATGIDAG&#10;gTEIjEFgDAJjEBiDwBgExiAwBoExCMw3ZC9DPMsFqXoAAAAASUVORK5CYIJQSwMEFAAAAAgAh07i&#10;QCHZir4bBQAAFgUAABQAAABkcnMvbWVkaWEvaW1hZ2UyLnBuZwEWBen6iVBORw0KGgoAAAANSUhE&#10;UgAAACkAAABpCAYAAACnOAqaAAAABmJLR0QA/wD/AP+gvaeTAAAACXBIWXMAAA7EAAAOxAGVKw4b&#10;AAAEtklEQVR4nN2b24uVVRjGf++gklONmXYQG8GiA2YQlJGEYEYERVAEltGFVwZFEURE1H/QTRBT&#10;mDcSVCSUQYebkga6KGYgglQmoiQtzZyasdIJR3q62DOyZ5/W+6291trbHtgXe3/PetfD8+51Xp9J&#10;ohcwsyHgpIO6fyC3mA54xMnb0UuRT3mJPRFpZsuBxQ7qNHAGScU/wE5Ajs+zknrjZFX0s8hR4G3o&#10;gUgz2w7scFD/kHQM+tfJU8CH574VbjCrgDHCDeZofbnSTl4MbKhaqF/T/Xn9l9Iin3byXqr/Ulrk&#10;wzGFiok0s+vxDYWPSTpU/0NJJ18GlsUU7NeGsxCF+scngNOE+8fdwGBj+VJODgFLHbxTkk43/thP&#10;6f4FeK/lkwKpvhn4iXCqv24Xo4STQ8AaB+9AuwdZRZrZALDVSW87fbOcS1ozWwTMOumDkmZaPcid&#10;7sudvBPU/pctkVvkB07eNkn/tHvYT11QW/SDyF3AeCdCNpFm9gpwq4N6RNKfnQi5nbTA80PAV6Eg&#10;WUSa2UbgXgd1QtKnIVIuJ4eBa1MF62XDmQW+cDEzTCguAT4iPKGY9sbM4eRFwH0pA+YQud7Ju8Mb&#10;MIfIN1IH7IcRJ4ikIs1shNqmVAjPA99546Z2cgWwyMGbknTWG7QX6R4DvqxSIJlIM9sK3OWgHpC0&#10;v0rslE5eCawMcGaAHypHTjTKXAG8T3iUmYiJn8rJYeDBRLGaULrh/BZTKJXILU5elNtJ1t1mdgbf&#10;BulKSb9XjV8y3c/hO99uQtcizWwU3ygzUWWUqUcqJ0MLrjHgx9jgXYk0s23AOgd1n6SDsfV06+RN&#10;wGVdxgiiRMM5AXzbTYBokWa2Dt+E4qCkd2Lrge6cvBq4rZvKvYgSObc5eoODOitpc0wdC+qLGXHM&#10;bAUw6aDOSlpSuYIG/K8XYnudvAci4y9ArEjvXnjU1KwROdO9FziSIlBlkWb2Ir7Do1FJx6tLakaM&#10;k9cQPsycBH6NiN0SlUSa2XrgRgd1n6Q9cZKaUdXJjRQaZeqRo+GcBSovETrBLXLueustDuoxSU/G&#10;S2pGFSeHgcdTVu5FjnR7bvRVgnuCYWbT+K7MDEv6uStVDUjt5MfA34lj+kSa2QvAoIP6pqTp7iQ1&#10;w+vkJnw7FFmQMt3fk2hC0YigSDO7G99S4RNJlbaZvfA4eTuwNkflXnQUOTfKXOWIMy7pmTSSmhFy&#10;cgMZOueqOC8WYm1HHDO7ADiMb69ntaSjKYUt0NJB5FJqdx49WBy79+hBinSPAP8miNMWnUTudMbY&#10;I6lnIj2H64eBjnd6UqClSDPbgm8D4HVJ36SV1Ix2Tj4ErM5duRfdNJwZ4K9UQjqhSaSZraG2ARDC&#10;Z5JG0ktqRisnNwH3lKjci9h0n6R2wlUEC0YcM1tL7dA8dHg0KSn70cg8WjkZEgjwbmohHdFwA+At&#10;fC89Xpf7En2nmwN3FnOnAmIazjiF+sd5nBM599LjkKPMa5p76bEU6p28H7iwZOVeDACY2SrgUgd/&#10;l6TdWRW1wLyTjwKbHfyevPt/XizEoLZ7O4XjdhSwvGT/WN9PLqF2WTiEWUlTOVwKoUq6X82mIgCj&#10;dvXAs55ZpsA7CrnwH6MzC3TA2itY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C5s8AC/AAAApQEAABkAAABkcnMvX3JlbHMv&#10;ZTJvRG9jLnhtbC5yZWxzvZDBisIwEIbvC/sOYe7btD0sspj2IoJXcR9gSKZpsJmEJIq+vYFlQUHw&#10;5nFm+L//Y9bjxS/iTCm7wAq6pgVBrINxbBX8HrZfKxC5IBtcApOCK2UYh8+P9Z4WLDWUZxezqBTO&#10;CuZS4o+UWc/kMTchEtfLFJLHUsdkZUR9REuyb9tvme4ZMDwwxc4oSDvTgzhcY21+zQ7T5DRtgj55&#10;4vKkQjpfuysQk6WiwJNx+Lfsm8gW5HOH7j0O3b+DfHjucAN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C4DQAAW0NvbnRlbnRf&#10;VHlwZXNdLnhtbFBLAQIUAAoAAAAAAIdO4kAAAAAAAAAAAAAAAAAGAAAAAAAAAAAAEAAAAHwLAABf&#10;cmVscy9QSwECFAAUAAAACACHTuJAihRmPNEAAACUAQAACwAAAAAAAAABACAAAACgCwAAX3JlbHMv&#10;LnJlbHNQSwECFAAKAAAAAACHTuJAAAAAAAAAAAAAAAAABAAAAAAAAAAAABAAAAAAAAAAZHJzL1BL&#10;AQIUAAoAAAAAAIdO4kAAAAAAAAAAAAAAAAAKAAAAAAAAAAAAEAAAAJoMAABkcnMvX3JlbHMvUEsB&#10;AhQAFAAAAAgAh07iQC5s8AC/AAAApQEAABkAAAAAAAAAAQAgAAAAwgwAAGRycy9fcmVscy9lMm9E&#10;b2MueG1sLnJlbHNQSwECFAAUAAAACACHTuJA7awBFNoAAAAJAQAADwAAAAAAAAABACAAAAAiAAAA&#10;ZHJzL2Rvd25yZXYueG1sUEsBAhQAFAAAAAgAh07iQAI8FYN7AgAAVAcAAA4AAAAAAAAAAQAgAAAA&#10;KQEAAGRycy9lMm9Eb2MueG1sUEsBAhQACgAAAAAAh07iQAAAAAAAAAAAAAAAAAoAAAAAAAAAAAAQ&#10;AAAA0AMAAGRycy9tZWRpYS9QSwECFAAUAAAACACHTuJAUl4RNwUCAAAAAgAAFAAAAAAAAAABACAA&#10;AAD4AwAAZHJzL21lZGlhL2ltYWdlMS5wbmdQSwECFAAUAAAACACHTuJAIdmKvhsFAAAWBQAAFAAA&#10;AAAAAAABACAAAAAvBgAAZHJzL21lZGlhL2ltYWdlMi5wbmdQSwUGAAAAAAsACwCUAgAA7Q4AAAAA&#10;">
                <o:lock v:ext="edit" aspectratio="f"/>
                <v:shape id="图片 3" o:spid="_x0000_s1026" o:spt="75" type="#_x0000_t75" style="position:absolute;left:6681;top:237;height:680;width:653;" filled="f" o:preferrelative="t" stroked="f" coordsize="21600,21600" o:gfxdata="UEsDBAoAAAAAAIdO4kAAAAAAAAAAAAAAAAAEAAAAZHJzL1BLAwQUAAAACACHTuJAZaZMkb0AAADa&#10;AAAADwAAAGRycy9kb3ducmV2LnhtbEWPQWvCQBSE74X+h+UVvBTdaETb6OqhIoT2ZJSeX7PPJDT7&#10;NuxuTPrvu4WCx2FmvmG2+9G04kbON5YVzGcJCOLS6oYrBZfzcfoCwgdkja1lUvBDHva7x4ctZtoO&#10;fKJbESoRIewzVFCH0GVS+rImg35mO+LoXa0zGKJ0ldQOhwg3rVwkyUoabDgu1NjRW03ld9EbBb5P&#10;86Vbf3zJ11Wn0/fPtHo+sFKTp3myARFoDPfwfzvXCpbwdyXeALn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pkyRvQAA&#10;ANoAAAAPAAAAAAAAAAEAIAAAACIAAABkcnMvZG93bnJldi54bWxQSwECFAAUAAAACACHTuJAMy8F&#10;njsAAAA5AAAAEAAAAAAAAAABACAAAAAMAQAAZHJzL3NoYXBleG1sLnhtbFBLBQYAAAAABgAGAFsB&#10;AAC2AwAAAAA=&#10;">
                  <v:fill on="f" focussize="0,0"/>
                  <v:stroke on="f"/>
                  <v:imagedata r:id="rId25" o:title=""/>
                  <o:lock v:ext="edit" aspectratio="t"/>
                </v:shape>
                <v:shape id="图片 4" o:spid="_x0000_s1026" o:spt="75" type="#_x0000_t75" style="position:absolute;left:7341;top:237;height:687;width:269;" filled="f" o:preferrelative="t" stroked="f" coordsize="21600,21600" o:gfxdata="UEsDBAoAAAAAAIdO4kAAAAAAAAAAAAAAAAAEAAAAZHJzL1BLAwQUAAAACACHTuJA32qac70AAADa&#10;AAAADwAAAGRycy9kb3ducmV2LnhtbEWPW2vCQBSE3wv9D8sp9KWYjYK36CpYKEpBxcsPOGSPSTB7&#10;Ns1uLv77rlDo4zAz3zDLdW9K0VLtCssKhlEMgji1uuBMwfXyNZiBcB5ZY2mZFDzIwXr1+rLERNuO&#10;T9SefSYChF2CCnLvq0RKl+Zk0EW2Ig7ezdYGfZB1JnWNXYCbUo7ieCINFhwWcqzoM6f0fm6Mgo/H&#10;fG+/D9RsN7QZTZvq53TcTZR6fxvGCxCeev8f/mvvtIIxPK+EGy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appzvQAA&#10;ANoAAAAPAAAAAAAAAAEAIAAAACIAAABkcnMvZG93bnJldi54bWxQSwECFAAUAAAACACHTuJAMy8F&#10;njsAAAA5AAAAEAAAAAAAAAABACAAAAAMAQAAZHJzL3NoYXBleG1sLnhtbFBLBQYAAAAABgAGAFsB&#10;AAC2AwAAAAA=&#10;">
                  <v:fill on="f" focussize="0,0"/>
                  <v:stroke on="f"/>
                  <v:imagedata r:id="rId26" o:title=""/>
                  <o:lock v:ext="edit" aspectratio="t"/>
                </v:shape>
              </v:group>
            </w:pict>
          </mc:Fallback>
        </mc:AlternateContent>
      </w:r>
      <w:r>
        <w:rPr>
          <w:rFonts w:ascii="Times New Roman"/>
          <w:b/>
          <w:w w:val="130"/>
          <w:sz w:val="96"/>
        </w:rPr>
        <w:t>J</w:t>
      </w:r>
      <w:r>
        <w:rPr>
          <w:rFonts w:hint="eastAsia" w:ascii="Times New Roman"/>
          <w:b/>
          <w:w w:val="130"/>
          <w:sz w:val="96"/>
          <w:lang w:val="en-US" w:eastAsia="zh-CN"/>
        </w:rPr>
        <w:t>X</w:t>
      </w:r>
      <w:r>
        <w:rPr>
          <w:rFonts w:ascii="Times New Roman"/>
          <w:b/>
          <w:w w:val="130"/>
          <w:sz w:val="96"/>
        </w:rPr>
        <w:t>E</w:t>
      </w:r>
      <w:r>
        <w:rPr>
          <w:rFonts w:hint="eastAsia" w:ascii="Times New Roman"/>
          <w:b/>
          <w:w w:val="130"/>
          <w:sz w:val="96"/>
          <w:lang w:val="en-US" w:eastAsia="zh-CN"/>
        </w:rPr>
        <w:t>A</w:t>
      </w:r>
    </w:p>
    <w:p w14:paraId="12031DCB">
      <w:pPr>
        <w:spacing w:before="0" w:line="602" w:lineRule="exact"/>
        <w:ind w:left="38" w:right="0" w:firstLine="0"/>
        <w:jc w:val="center"/>
        <w:rPr>
          <w:rFonts w:hint="eastAsia" w:ascii="黑体" w:eastAsia="黑体"/>
          <w:sz w:val="48"/>
        </w:rPr>
      </w:pPr>
      <w:r>
        <w:rPr>
          <w:rFonts w:hint="eastAsia" w:ascii="黑体" w:eastAsia="黑体"/>
          <w:sz w:val="48"/>
        </w:rPr>
        <w:t xml:space="preserve">江 </w:t>
      </w:r>
      <w:r>
        <w:rPr>
          <w:rFonts w:hint="eastAsia" w:ascii="黑体" w:eastAsia="黑体"/>
          <w:sz w:val="48"/>
          <w:lang w:val="en-US" w:eastAsia="zh-CN"/>
        </w:rPr>
        <w:t xml:space="preserve">西 </w:t>
      </w:r>
      <w:r>
        <w:rPr>
          <w:rFonts w:hint="eastAsia" w:ascii="黑体" w:eastAsia="黑体"/>
          <w:sz w:val="48"/>
        </w:rPr>
        <w:t xml:space="preserve">省 工 程 师 </w:t>
      </w:r>
      <w:r>
        <w:rPr>
          <w:rFonts w:hint="eastAsia" w:ascii="黑体" w:eastAsia="黑体"/>
          <w:sz w:val="48"/>
          <w:lang w:val="en-US" w:eastAsia="zh-CN"/>
        </w:rPr>
        <w:t xml:space="preserve">联 合 </w:t>
      </w:r>
      <w:r>
        <w:rPr>
          <w:rFonts w:hint="eastAsia" w:ascii="黑体" w:eastAsia="黑体"/>
          <w:sz w:val="48"/>
        </w:rPr>
        <w:t>会 团 体 标 准</w:t>
      </w:r>
    </w:p>
    <w:p w14:paraId="06530B1C">
      <w:pPr>
        <w:spacing w:before="341"/>
        <w:ind w:left="0" w:right="411" w:firstLine="0"/>
        <w:jc w:val="right"/>
        <w:rPr>
          <w:rFonts w:hint="eastAsia" w:ascii="黑体" w:hAnsi="黑体" w:eastAsia="宋体"/>
          <w:sz w:val="28"/>
          <w:lang w:eastAsia="zh-CN"/>
        </w:rPr>
      </w:pPr>
      <w:r>
        <w:rPr>
          <w:rFonts w:ascii="黑体" w:hAnsi="黑体"/>
          <w:sz w:val="28"/>
        </w:rPr>
        <w:t>T/JXEA 430—2026</w:t>
      </w:r>
    </w:p>
    <w:p w14:paraId="6EB1BE84">
      <w:pPr>
        <w:pStyle w:val="6"/>
        <w:rPr>
          <w:rFonts w:ascii="黑体"/>
          <w:sz w:val="20"/>
        </w:rPr>
      </w:pPr>
    </w:p>
    <w:p w14:paraId="2B5D136B">
      <w:pPr>
        <w:pStyle w:val="6"/>
        <w:spacing w:before="4"/>
        <w:rPr>
          <w:rFonts w:ascii="黑体"/>
          <w:sz w:val="28"/>
        </w:rPr>
      </w:pPr>
      <w:r>
        <mc:AlternateContent>
          <mc:Choice Requires="wps">
            <w:drawing>
              <wp:anchor distT="0" distB="0" distL="114300" distR="114300" simplePos="0" relativeHeight="251659264" behindDoc="1" locked="0" layoutInCell="1" allowOverlap="1">
                <wp:simplePos x="0" y="0"/>
                <wp:positionH relativeFrom="page">
                  <wp:posOffset>900430</wp:posOffset>
                </wp:positionH>
                <wp:positionV relativeFrom="paragraph">
                  <wp:posOffset>260350</wp:posOffset>
                </wp:positionV>
                <wp:extent cx="6120130" cy="0"/>
                <wp:effectExtent l="0" t="4445" r="0" b="5080"/>
                <wp:wrapTopAndBottom/>
                <wp:docPr id="3" name="直线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70.9pt;margin-top:20.5pt;height:0pt;width:481.9pt;mso-position-horizontal-relative:page;mso-wrap-distance-bottom:0pt;mso-wrap-distance-top:0pt;z-index:-251657216;mso-width-relative:page;mso-height-relative:page;" filled="f" stroked="t" coordsize="21600,21600" o:gfxdata="UEsDBAoAAAAAAIdO4kAAAAAAAAAAAAAAAAAEAAAAZHJzL1BLAwQUAAAACACHTuJAen73lNYAAAAK&#10;AQAADwAAAGRycy9kb3ducmV2LnhtbE2PzU7DMBCE70i8g7VIXKrWTikVCnF6AHLjQgH1uo2XJCJe&#10;p7H7A0/PVhzgOLOj2W+K1cn36kBj7AJbyGYGFHEdXMeNhbfXanoHKiZkh31gsvBFEVbl5UWBuQtH&#10;fqHDOjVKSjjmaKFNaci1jnVLHuMsDMRy+wijxyRybLQb8SjlvtdzY5baY8fyocWBHlqqP9d7byFW&#10;77Srvif1xGxumkDz3ePzE1p7fZWZe1CJTukvDGd8QYdSmLZhzy6qXvQiE/RkYZHJpnMgM7dLUNtf&#10;R5eF/j+h/AFQSwMEFAAAAAgAh07iQHimo7LnAQAA2wMAAA4AAABkcnMvZTJvRG9jLnhtbK1TS27b&#10;MBDdF+gdCO5r2Q4ctILlLOKmm6I10OYAY5KSCPAHDm3ZZ+k1ssqmx8k1OqQcJ003XlQLasgZvpn3&#10;Zri8OVjD9iqi9q7hs8mUM+WEl9p1Db//effhI2eYwEkw3qmGHxXym9X7d8sh1Grue2+kioxAHNZD&#10;aHifUqirCkWvLODEB+XI2fpoIdE2dpWMMBC6NdV8Or2uBh9liF4oRDpdj05+QoyXAPq21UKtvdhZ&#10;5dKIGpWBRJSw1wH5qlTbtkqk722LKjHTcGKaykpJyN7mtVotoe4ihF6LUwlwSQlvOFnQjpKeodaQ&#10;gO2i/gfKahE9+jZNhLfVSKQoQixm0zfa/OghqMKFpMZwFh3/H6z4tt9EpmXDrzhzYKnhT78enh5/&#10;s0XWZghYU8it28TTDsMmZqKHNtr8JwrsUPQ8nvVUh8QEHV7PiNQVSS2efdXLxRAxfVHesmw03GiX&#10;qUIN+6+YKBmFPofkY+PY0PBPi/mC4IDmrqV+k2kD1Y6uK3fRGy3vtDH5BsZue2si20PuffkyJcL9&#10;KywnWQP2Y1xxjVPRK5CfnWTpGEgVR4+B5xKskpwZRW8nWwQIdQJtLomk1MZRBVnVUcdsbb08Ug92&#10;IequJyVmpcrsoZ6Xek/zmYfq9b4gvbzJ1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6fveU1gAA&#10;AAoBAAAPAAAAAAAAAAEAIAAAACIAAABkcnMvZG93bnJldi54bWxQSwECFAAUAAAACACHTuJAeKaj&#10;sucBAADbAwAADgAAAAAAAAABACAAAAAlAQAAZHJzL2Uyb0RvYy54bWxQSwUGAAAAAAYABgBZAQAA&#10;fgUAAAAA&#10;">
                <v:fill on="f" focussize="0,0"/>
                <v:stroke color="#000000" joinstyle="round"/>
                <v:imagedata o:title=""/>
                <o:lock v:ext="edit" aspectratio="f"/>
                <w10:wrap type="topAndBottom"/>
              </v:line>
            </w:pict>
          </mc:Fallback>
        </mc:AlternateContent>
      </w:r>
    </w:p>
    <w:p w14:paraId="1C535998">
      <w:pPr>
        <w:pStyle w:val="6"/>
        <w:rPr>
          <w:rFonts w:ascii="黑体"/>
          <w:sz w:val="28"/>
        </w:rPr>
      </w:pPr>
    </w:p>
    <w:p w14:paraId="3C30986B">
      <w:pPr>
        <w:pStyle w:val="6"/>
        <w:rPr>
          <w:rFonts w:ascii="黑体"/>
          <w:sz w:val="28"/>
        </w:rPr>
      </w:pPr>
    </w:p>
    <w:p w14:paraId="5E5D9AD9">
      <w:pPr>
        <w:pStyle w:val="6"/>
        <w:rPr>
          <w:rFonts w:ascii="黑体"/>
          <w:sz w:val="28"/>
        </w:rPr>
      </w:pPr>
    </w:p>
    <w:p w14:paraId="0F32264C">
      <w:pPr>
        <w:pStyle w:val="6"/>
        <w:spacing w:before="3"/>
        <w:rPr>
          <w:rFonts w:hint="eastAsia" w:ascii="黑体" w:hAnsi="黑体" w:eastAsia="黑体" w:cs="黑体"/>
          <w:snapToGrid w:val="0"/>
          <w:color w:val="000000"/>
          <w:spacing w:val="-2"/>
          <w:kern w:val="0"/>
          <w:sz w:val="52"/>
          <w:szCs w:val="52"/>
          <w:lang w:val="en-US" w:eastAsia="en-US" w:bidi="ar-SA"/>
        </w:rPr>
      </w:pPr>
    </w:p>
    <w:p w14:paraId="14A96175">
      <w:pPr>
        <w:pStyle w:val="12"/>
        <w:keepNext w:val="0"/>
        <w:keepLines w:val="0"/>
        <w:widowControl/>
        <w:suppressLineNumbers w:val="0"/>
        <w:spacing w:before="0" w:beforeAutospacing="0" w:after="0" w:afterAutospacing="0"/>
        <w:ind w:left="0" w:right="0" w:firstLine="0"/>
        <w:jc w:val="center"/>
        <w:rPr>
          <w:rFonts w:hint="eastAsia" w:ascii="黑体" w:hAnsi="黑体" w:eastAsia="黑体" w:cs="黑体"/>
          <w:snapToGrid w:val="0"/>
          <w:color w:val="000000"/>
          <w:spacing w:val="-2"/>
          <w:kern w:val="0"/>
          <w:sz w:val="52"/>
          <w:szCs w:val="52"/>
          <w:lang w:val="en-US" w:eastAsia="en-US" w:bidi="ar-SA"/>
        </w:rPr>
      </w:pPr>
      <w:r>
        <w:rPr>
          <w:rFonts w:hint="eastAsia" w:ascii="黑体" w:hAnsi="黑体" w:eastAsia="黑体" w:cs="黑体"/>
          <w:snapToGrid w:val="0"/>
          <w:color w:val="000000"/>
          <w:spacing w:val="-2"/>
          <w:kern w:val="0"/>
          <w:sz w:val="52"/>
          <w:szCs w:val="52"/>
          <w:lang w:val="en-US" w:eastAsia="en-US" w:bidi="ar-SA"/>
        </w:rPr>
        <w:t>噪声环境自动监测点位布设与数据质量控制规范</w:t>
      </w:r>
    </w:p>
    <w:p w14:paraId="2E701569">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380" w:beforeAutospacing="0" w:after="0" w:afterAutospacing="0"/>
        <w:ind w:left="283" w:right="0" w:firstLine="0"/>
        <w:jc w:val="center"/>
        <w:textAlignment w:val="baseline"/>
        <w:rPr>
          <w:rFonts w:hint="eastAsia" w:ascii="黑体" w:hAnsi="黑体" w:eastAsia="黑体" w:cs="黑体"/>
          <w:snapToGrid w:val="0"/>
          <w:color w:val="000000"/>
          <w:spacing w:val="-2"/>
          <w:kern w:val="0"/>
          <w:sz w:val="28"/>
          <w:szCs w:val="28"/>
          <w:lang w:val="en-US" w:eastAsia="en-US" w:bidi="ar-SA"/>
        </w:rPr>
      </w:pPr>
      <w:r>
        <w:rPr>
          <w:rFonts w:hint="eastAsia" w:ascii="黑体" w:hAnsi="黑体" w:eastAsia="黑体" w:cs="黑体"/>
          <w:snapToGrid w:val="0"/>
          <w:color w:val="000000"/>
          <w:spacing w:val="-2"/>
          <w:kern w:val="0"/>
          <w:sz w:val="28"/>
          <w:szCs w:val="28"/>
          <w:lang w:val="en-US" w:eastAsia="en-US" w:bidi="ar-SA"/>
        </w:rPr>
        <w:t xml:space="preserve">Specification for </w:t>
      </w:r>
      <w:r>
        <w:rPr>
          <w:rFonts w:hint="eastAsia" w:ascii="黑体" w:hAnsi="黑体" w:eastAsia="黑体" w:cs="黑体"/>
          <w:snapToGrid w:val="0"/>
          <w:color w:val="000000"/>
          <w:spacing w:val="-2"/>
          <w:kern w:val="0"/>
          <w:sz w:val="28"/>
          <w:szCs w:val="28"/>
          <w:lang w:val="en-US" w:eastAsia="zh-CN" w:bidi="ar-SA"/>
        </w:rPr>
        <w:t>s</w:t>
      </w:r>
      <w:r>
        <w:rPr>
          <w:rFonts w:hint="eastAsia" w:ascii="黑体" w:hAnsi="黑体" w:eastAsia="黑体" w:cs="黑体"/>
          <w:snapToGrid w:val="0"/>
          <w:color w:val="000000"/>
          <w:spacing w:val="-2"/>
          <w:kern w:val="0"/>
          <w:sz w:val="28"/>
          <w:szCs w:val="28"/>
          <w:lang w:val="en-US" w:eastAsia="en-US" w:bidi="ar-SA"/>
        </w:rPr>
        <w:t xml:space="preserve">ite </w:t>
      </w:r>
      <w:r>
        <w:rPr>
          <w:rFonts w:hint="eastAsia" w:ascii="黑体" w:hAnsi="黑体" w:eastAsia="黑体" w:cs="黑体"/>
          <w:snapToGrid w:val="0"/>
          <w:color w:val="000000"/>
          <w:spacing w:val="-2"/>
          <w:kern w:val="0"/>
          <w:sz w:val="28"/>
          <w:szCs w:val="28"/>
          <w:lang w:val="en-US" w:eastAsia="zh-CN" w:bidi="ar-SA"/>
        </w:rPr>
        <w:t>s</w:t>
      </w:r>
      <w:r>
        <w:rPr>
          <w:rFonts w:hint="eastAsia" w:ascii="黑体" w:hAnsi="黑体" w:eastAsia="黑体" w:cs="黑体"/>
          <w:snapToGrid w:val="0"/>
          <w:color w:val="000000"/>
          <w:spacing w:val="-2"/>
          <w:kern w:val="0"/>
          <w:sz w:val="28"/>
          <w:szCs w:val="28"/>
          <w:lang w:val="en-US" w:eastAsia="en-US" w:bidi="ar-SA"/>
        </w:rPr>
        <w:t xml:space="preserve">election and </w:t>
      </w:r>
      <w:r>
        <w:rPr>
          <w:rFonts w:hint="eastAsia" w:ascii="黑体" w:hAnsi="黑体" w:eastAsia="黑体" w:cs="黑体"/>
          <w:snapToGrid w:val="0"/>
          <w:color w:val="000000"/>
          <w:spacing w:val="-2"/>
          <w:kern w:val="0"/>
          <w:sz w:val="28"/>
          <w:szCs w:val="28"/>
          <w:lang w:val="en-US" w:eastAsia="zh-CN" w:bidi="ar-SA"/>
        </w:rPr>
        <w:t>d</w:t>
      </w:r>
      <w:r>
        <w:rPr>
          <w:rFonts w:hint="eastAsia" w:ascii="黑体" w:hAnsi="黑体" w:eastAsia="黑体" w:cs="黑体"/>
          <w:snapToGrid w:val="0"/>
          <w:color w:val="000000"/>
          <w:spacing w:val="-2"/>
          <w:kern w:val="0"/>
          <w:sz w:val="28"/>
          <w:szCs w:val="28"/>
          <w:lang w:val="en-US" w:eastAsia="en-US" w:bidi="ar-SA"/>
        </w:rPr>
        <w:t xml:space="preserve">ata </w:t>
      </w:r>
      <w:r>
        <w:rPr>
          <w:rFonts w:hint="eastAsia" w:ascii="黑体" w:hAnsi="黑体" w:eastAsia="黑体" w:cs="黑体"/>
          <w:snapToGrid w:val="0"/>
          <w:color w:val="000000"/>
          <w:spacing w:val="-2"/>
          <w:kern w:val="0"/>
          <w:sz w:val="28"/>
          <w:szCs w:val="28"/>
          <w:lang w:val="en-US" w:eastAsia="zh-CN" w:bidi="ar-SA"/>
        </w:rPr>
        <w:t>q</w:t>
      </w:r>
      <w:r>
        <w:rPr>
          <w:rFonts w:hint="eastAsia" w:ascii="黑体" w:hAnsi="黑体" w:eastAsia="黑体" w:cs="黑体"/>
          <w:snapToGrid w:val="0"/>
          <w:color w:val="000000"/>
          <w:spacing w:val="-2"/>
          <w:kern w:val="0"/>
          <w:sz w:val="28"/>
          <w:szCs w:val="28"/>
          <w:lang w:val="en-US" w:eastAsia="en-US" w:bidi="ar-SA"/>
        </w:rPr>
        <w:t xml:space="preserve">uality </w:t>
      </w:r>
      <w:r>
        <w:rPr>
          <w:rFonts w:hint="eastAsia" w:ascii="黑体" w:hAnsi="黑体" w:eastAsia="黑体" w:cs="黑体"/>
          <w:snapToGrid w:val="0"/>
          <w:color w:val="000000"/>
          <w:spacing w:val="-2"/>
          <w:kern w:val="0"/>
          <w:sz w:val="28"/>
          <w:szCs w:val="28"/>
          <w:lang w:val="en-US" w:eastAsia="zh-CN" w:bidi="ar-SA"/>
        </w:rPr>
        <w:t>c</w:t>
      </w:r>
      <w:r>
        <w:rPr>
          <w:rFonts w:hint="eastAsia" w:ascii="黑体" w:hAnsi="黑体" w:eastAsia="黑体" w:cs="黑体"/>
          <w:snapToGrid w:val="0"/>
          <w:color w:val="000000"/>
          <w:spacing w:val="-2"/>
          <w:kern w:val="0"/>
          <w:sz w:val="28"/>
          <w:szCs w:val="28"/>
          <w:lang w:val="en-US" w:eastAsia="en-US" w:bidi="ar-SA"/>
        </w:rPr>
        <w:t xml:space="preserve">ontrol of </w:t>
      </w:r>
      <w:r>
        <w:rPr>
          <w:rFonts w:hint="eastAsia" w:ascii="黑体" w:hAnsi="黑体" w:eastAsia="黑体" w:cs="黑体"/>
          <w:snapToGrid w:val="0"/>
          <w:color w:val="000000"/>
          <w:spacing w:val="-2"/>
          <w:kern w:val="0"/>
          <w:sz w:val="28"/>
          <w:szCs w:val="28"/>
          <w:lang w:val="en-US" w:eastAsia="zh-CN" w:bidi="ar-SA"/>
        </w:rPr>
        <w:t>n</w:t>
      </w:r>
      <w:r>
        <w:rPr>
          <w:rFonts w:hint="eastAsia" w:ascii="黑体" w:hAnsi="黑体" w:eastAsia="黑体" w:cs="黑体"/>
          <w:snapToGrid w:val="0"/>
          <w:color w:val="000000"/>
          <w:spacing w:val="-2"/>
          <w:kern w:val="0"/>
          <w:sz w:val="28"/>
          <w:szCs w:val="28"/>
          <w:lang w:val="en-US" w:eastAsia="en-US" w:bidi="ar-SA"/>
        </w:rPr>
        <w:t xml:space="preserve">oise </w:t>
      </w:r>
      <w:r>
        <w:rPr>
          <w:rFonts w:hint="eastAsia" w:ascii="黑体" w:hAnsi="黑体" w:eastAsia="黑体" w:cs="黑体"/>
          <w:snapToGrid w:val="0"/>
          <w:color w:val="000000"/>
          <w:spacing w:val="-2"/>
          <w:kern w:val="0"/>
          <w:sz w:val="28"/>
          <w:szCs w:val="28"/>
          <w:lang w:val="en-US" w:eastAsia="zh-CN" w:bidi="ar-SA"/>
        </w:rPr>
        <w:t>e</w:t>
      </w:r>
      <w:r>
        <w:rPr>
          <w:rFonts w:hint="eastAsia" w:ascii="黑体" w:hAnsi="黑体" w:eastAsia="黑体" w:cs="黑体"/>
          <w:snapToGrid w:val="0"/>
          <w:color w:val="000000"/>
          <w:spacing w:val="-2"/>
          <w:kern w:val="0"/>
          <w:sz w:val="28"/>
          <w:szCs w:val="28"/>
          <w:lang w:val="en-US" w:eastAsia="en-US" w:bidi="ar-SA"/>
        </w:rPr>
        <w:t xml:space="preserve">nvironment </w:t>
      </w:r>
      <w:r>
        <w:rPr>
          <w:rFonts w:hint="eastAsia" w:ascii="黑体" w:hAnsi="黑体" w:eastAsia="黑体" w:cs="黑体"/>
          <w:snapToGrid w:val="0"/>
          <w:color w:val="000000"/>
          <w:spacing w:val="-2"/>
          <w:kern w:val="0"/>
          <w:sz w:val="28"/>
          <w:szCs w:val="28"/>
          <w:lang w:val="en-US" w:eastAsia="zh-CN" w:bidi="ar-SA"/>
        </w:rPr>
        <w:t>a</w:t>
      </w:r>
      <w:r>
        <w:rPr>
          <w:rFonts w:hint="eastAsia" w:ascii="黑体" w:hAnsi="黑体" w:eastAsia="黑体" w:cs="黑体"/>
          <w:snapToGrid w:val="0"/>
          <w:color w:val="000000"/>
          <w:spacing w:val="-2"/>
          <w:kern w:val="0"/>
          <w:sz w:val="28"/>
          <w:szCs w:val="28"/>
          <w:lang w:val="en-US" w:eastAsia="en-US" w:bidi="ar-SA"/>
        </w:rPr>
        <w:t xml:space="preserve">utomatic </w:t>
      </w:r>
      <w:r>
        <w:rPr>
          <w:rFonts w:hint="eastAsia" w:ascii="黑体" w:hAnsi="黑体" w:eastAsia="黑体" w:cs="黑体"/>
          <w:snapToGrid w:val="0"/>
          <w:color w:val="000000"/>
          <w:spacing w:val="-2"/>
          <w:kern w:val="0"/>
          <w:sz w:val="28"/>
          <w:szCs w:val="28"/>
          <w:lang w:val="en-US" w:eastAsia="zh-CN" w:bidi="ar-SA"/>
        </w:rPr>
        <w:t>m</w:t>
      </w:r>
      <w:r>
        <w:rPr>
          <w:rFonts w:hint="eastAsia" w:ascii="黑体" w:hAnsi="黑体" w:eastAsia="黑体" w:cs="黑体"/>
          <w:snapToGrid w:val="0"/>
          <w:color w:val="000000"/>
          <w:spacing w:val="-2"/>
          <w:kern w:val="0"/>
          <w:sz w:val="28"/>
          <w:szCs w:val="28"/>
          <w:lang w:val="en-US" w:eastAsia="en-US" w:bidi="ar-SA"/>
        </w:rPr>
        <w:t>onitoring</w:t>
      </w:r>
    </w:p>
    <w:p w14:paraId="242324EA">
      <w:pPr>
        <w:spacing w:before="392"/>
        <w:ind w:left="268" w:right="0" w:firstLine="0"/>
        <w:jc w:val="center"/>
        <w:rPr>
          <w:rFonts w:hint="eastAsia" w:ascii="Times New Roman" w:hAnsi="宋体" w:eastAsia="宋体" w:cs="宋体"/>
          <w:sz w:val="28"/>
        </w:rPr>
      </w:pPr>
    </w:p>
    <w:p w14:paraId="272522EB">
      <w:pPr>
        <w:pStyle w:val="6"/>
        <w:rPr>
          <w:rFonts w:hint="eastAsia"/>
          <w:sz w:val="24"/>
        </w:rPr>
      </w:pPr>
    </w:p>
    <w:p w14:paraId="5F200179">
      <w:pPr>
        <w:pStyle w:val="6"/>
        <w:rPr>
          <w:rFonts w:hint="eastAsia"/>
          <w:sz w:val="24"/>
        </w:rPr>
      </w:pPr>
    </w:p>
    <w:p w14:paraId="0DD80CB8">
      <w:pPr>
        <w:pStyle w:val="6"/>
        <w:rPr>
          <w:rFonts w:hint="eastAsia"/>
          <w:sz w:val="24"/>
        </w:rPr>
      </w:pPr>
    </w:p>
    <w:p w14:paraId="660BF25B">
      <w:pPr>
        <w:pStyle w:val="6"/>
        <w:rPr>
          <w:rFonts w:hint="eastAsia"/>
          <w:sz w:val="24"/>
        </w:rPr>
      </w:pPr>
    </w:p>
    <w:p w14:paraId="3C825359">
      <w:pPr>
        <w:pStyle w:val="6"/>
        <w:rPr>
          <w:rFonts w:hint="eastAsia"/>
          <w:sz w:val="24"/>
        </w:rPr>
      </w:pPr>
    </w:p>
    <w:p w14:paraId="3E35A9DA">
      <w:pPr>
        <w:pStyle w:val="6"/>
        <w:rPr>
          <w:rFonts w:hint="eastAsia"/>
          <w:sz w:val="24"/>
        </w:rPr>
      </w:pPr>
    </w:p>
    <w:p w14:paraId="6098BF9A">
      <w:pPr>
        <w:pStyle w:val="6"/>
        <w:rPr>
          <w:rFonts w:hint="eastAsia"/>
          <w:sz w:val="24"/>
        </w:rPr>
      </w:pPr>
    </w:p>
    <w:p w14:paraId="4A698370">
      <w:pPr>
        <w:pStyle w:val="6"/>
        <w:jc w:val="center"/>
        <w:rPr>
          <w:rFonts w:hint="default" w:eastAsia="宋体"/>
          <w:b w:val="0"/>
          <w:bCs/>
          <w:sz w:val="28"/>
          <w:szCs w:val="32"/>
          <w:lang w:val="en-US" w:eastAsia="zh-CN"/>
        </w:rPr>
      </w:pPr>
      <w:r>
        <w:rPr>
          <w:rFonts w:hint="eastAsia" w:eastAsia="宋体"/>
          <w:b w:val="0"/>
          <w:bCs/>
          <w:sz w:val="28"/>
          <w:szCs w:val="32"/>
          <w:lang w:val="en-US" w:eastAsia="zh-CN"/>
        </w:rPr>
        <w:t>（征求意见稿）</w:t>
      </w:r>
    </w:p>
    <w:p w14:paraId="4758BABE">
      <w:pPr>
        <w:pStyle w:val="6"/>
        <w:rPr>
          <w:rFonts w:hint="eastAsia"/>
          <w:sz w:val="24"/>
        </w:rPr>
      </w:pPr>
    </w:p>
    <w:p w14:paraId="5917DBB8">
      <w:pPr>
        <w:pStyle w:val="6"/>
        <w:rPr>
          <w:rFonts w:hint="eastAsia"/>
          <w:sz w:val="24"/>
        </w:rPr>
      </w:pPr>
    </w:p>
    <w:p w14:paraId="476B8B51">
      <w:pPr>
        <w:pStyle w:val="6"/>
        <w:rPr>
          <w:rFonts w:hint="eastAsia"/>
          <w:sz w:val="24"/>
        </w:rPr>
      </w:pPr>
    </w:p>
    <w:p w14:paraId="44C4DA58">
      <w:pPr>
        <w:pStyle w:val="6"/>
        <w:rPr>
          <w:b/>
          <w:sz w:val="20"/>
        </w:rPr>
      </w:pPr>
    </w:p>
    <w:p w14:paraId="3E1D5802">
      <w:pPr>
        <w:pStyle w:val="6"/>
        <w:rPr>
          <w:b/>
          <w:sz w:val="20"/>
        </w:rPr>
      </w:pPr>
    </w:p>
    <w:p w14:paraId="296B1BA3">
      <w:pPr>
        <w:tabs>
          <w:tab w:val="left" w:pos="7654"/>
        </w:tabs>
        <w:spacing w:before="163"/>
        <w:ind w:left="295" w:right="0" w:firstLine="0"/>
        <w:jc w:val="center"/>
        <w:rPr>
          <w:rFonts w:hint="eastAsia" w:ascii="黑体" w:eastAsia="黑体"/>
          <w:sz w:val="28"/>
        </w:rPr>
      </w:pPr>
      <w:r>
        <mc:AlternateContent>
          <mc:Choice Requires="wps">
            <w:drawing>
              <wp:anchor distT="0" distB="0" distL="114300" distR="114300" simplePos="0" relativeHeight="251660288" behindDoc="1" locked="0" layoutInCell="1" allowOverlap="1">
                <wp:simplePos x="0" y="0"/>
                <wp:positionH relativeFrom="page">
                  <wp:posOffset>899160</wp:posOffset>
                </wp:positionH>
                <wp:positionV relativeFrom="paragraph">
                  <wp:posOffset>353060</wp:posOffset>
                </wp:positionV>
                <wp:extent cx="6120130" cy="0"/>
                <wp:effectExtent l="0" t="4445" r="0" b="5080"/>
                <wp:wrapTopAndBottom/>
                <wp:docPr id="10" name="直线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70.8pt;margin-top:27.8pt;height:0pt;width:481.9pt;mso-position-horizontal-relative:page;mso-wrap-distance-bottom:0pt;mso-wrap-distance-top:0pt;z-index:-251656192;mso-width-relative:page;mso-height-relative:page;" filled="f" stroked="t" coordsize="21600,21600" o:gfxdata="UEsDBAoAAAAAAIdO4kAAAAAAAAAAAAAAAAAEAAAAZHJzL1BLAwQUAAAACACHTuJAgw+Px9cAAAAK&#10;AQAADwAAAGRycy9kb3ducmV2LnhtbE2PzU7DQAyE70i8w8pIXKp2N6WpqpBND0BuXGhBXN3EJBFZ&#10;b5rd/sDT44oDnKyxR+Nv8vXZ9epIY+g8W0hmBhRx5euOGwuv23K6AhUico29Z7LwRQHWxfVVjlnt&#10;T/xCx01slIRwyNBCG+OQaR2qlhyGmR+I5fbhR4dR5NjoesSThLtez41Zaocdy4cWB3poqfrcHJyF&#10;UL7RvvyeVBPzftd4mu8fn5/Q2tubxNyDinSOf2a44As6FMK08weug+pFL5KlWC2kqcyLITHpAtTu&#10;d6OLXP+vUPwAUEsDBBQAAAAIAIdO4kCLvAAv5wEAANwDAAAOAAAAZHJzL2Uyb0RvYy54bWytU0tu&#10;2zAQ3RfIHQjuY9kuYrSC5SzippuiNdDmAGOSkgjwBw5t2WfpNbrqpsfJNTqkHOfTjRfVghpyhm/m&#10;vRkubw/WsL2KqL1r+Gwy5Uw54aV2XcMfftxff+AMEzgJxjvV8KNCfru6erccQq3mvvdGqsgIxGE9&#10;hIb3KYW6qlD0ygJOfFCOnK2PFhJtY1fJCAOhW1PNp9NFNfgoQ/RCIdLpenTyE2K8BNC3rRZq7cXO&#10;KpdG1KgMJKKEvQ7IV6XatlUifWtbVImZhhPTVFZKQvY2r9VqCXUXIfRanEqAS0p4w8mCdpT0DLWG&#10;BGwX9T9QVovo0bdpIrytRiJFEWIxm77R5nsPQRUuJDWGs+j4/2DF1/0mMi1pEkgSB5Y6/vjz1+Pv&#10;P2yRxRkC1hRz5zbxtMOwiZnpoY02/4kDOxRBj2dB1SExQYeLGbF6T8DiyVc9XwwR02flLctGw412&#10;mSvUsP+CiZJR6FNIPjaODQ3/eDO/ITigwWup4WTaQMWj68pd9EbLe21MvoGx296ZyPaQm1++TIlw&#10;X4XlJGvAfowrrnEsegXyk5MsHQOp4ug18FyCVZIzo+jxZIsAoU6gzSWRlNo4qiCrOuqYra2XR2rC&#10;LkTd9aTErFSZPdT0Uu9pQPNUvdwXpOdHufo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w+Px9cA&#10;AAAKAQAADwAAAAAAAAABACAAAAAiAAAAZHJzL2Rvd25yZXYueG1sUEsBAhQAFAAAAAgAh07iQIu8&#10;AC/nAQAA3AMAAA4AAAAAAAAAAQAgAAAAJgEAAGRycy9lMm9Eb2MueG1sUEsFBgAAAAAGAAYAWQEA&#10;AH8FAAAAAA==&#10;">
                <v:fill on="f" focussize="0,0"/>
                <v:stroke color="#000000" joinstyle="round"/>
                <v:imagedata o:title=""/>
                <o:lock v:ext="edit" aspectratio="f"/>
                <w10:wrap type="topAndBottom"/>
              </v:line>
            </w:pict>
          </mc:Fallback>
        </mc:AlternateContent>
      </w:r>
      <w:r>
        <w:rPr>
          <w:rFonts w:hint="eastAsia"/>
          <w:lang w:val="en-US" w:eastAsia="zh-CN"/>
        </w:rPr>
        <w:t>2026—06—XX</w:t>
      </w:r>
      <w:r>
        <w:rPr>
          <w:rFonts w:hint="eastAsia" w:ascii="黑体" w:eastAsia="黑体"/>
          <w:spacing w:val="-69"/>
          <w:sz w:val="28"/>
          <w:lang w:val="en-US" w:eastAsia="zh-CN"/>
        </w:rPr>
        <w:t xml:space="preserve">   </w:t>
      </w:r>
      <w:r>
        <w:rPr>
          <w:rFonts w:hint="eastAsia" w:ascii="黑体" w:eastAsia="黑体"/>
          <w:sz w:val="28"/>
        </w:rPr>
        <w:t>发布</w:t>
      </w:r>
      <w:r>
        <w:rPr>
          <w:rFonts w:hint="eastAsia" w:ascii="黑体" w:eastAsia="黑体"/>
          <w:sz w:val="28"/>
        </w:rPr>
        <w:tab/>
      </w:r>
      <w:r>
        <w:rPr>
          <w:rFonts w:hint="eastAsia"/>
          <w:lang w:val="en-US" w:eastAsia="zh-CN"/>
        </w:rPr>
        <w:t>2026—06—XX</w:t>
      </w:r>
      <w:r>
        <w:rPr>
          <w:rFonts w:hint="eastAsia" w:ascii="黑体" w:eastAsia="黑体"/>
          <w:spacing w:val="-69"/>
          <w:sz w:val="28"/>
          <w:lang w:val="en-US" w:eastAsia="zh-CN"/>
        </w:rPr>
        <w:t xml:space="preserve">   </w:t>
      </w:r>
      <w:r>
        <w:rPr>
          <w:rFonts w:hint="eastAsia" w:ascii="黑体" w:eastAsia="黑体"/>
          <w:sz w:val="28"/>
        </w:rPr>
        <w:t>实施</w:t>
      </w:r>
    </w:p>
    <w:p w14:paraId="52E63578">
      <w:pPr>
        <w:pStyle w:val="6"/>
        <w:rPr>
          <w:rFonts w:ascii="黑体"/>
          <w:sz w:val="28"/>
        </w:rPr>
      </w:pPr>
    </w:p>
    <w:p w14:paraId="635EC882">
      <w:pPr>
        <w:pStyle w:val="6"/>
        <w:spacing w:before="4"/>
        <w:rPr>
          <w:rFonts w:ascii="黑体"/>
          <w:sz w:val="31"/>
        </w:rPr>
      </w:pPr>
    </w:p>
    <w:p w14:paraId="7AA4EE42">
      <w:pPr>
        <w:spacing w:before="0"/>
        <w:ind w:left="144" w:right="158" w:firstLine="0"/>
        <w:jc w:val="center"/>
        <w:rPr>
          <w:rFonts w:hint="default" w:ascii="Times New Roman" w:eastAsia="黑体"/>
          <w:sz w:val="17"/>
          <w:lang w:val="en-US" w:eastAsia="zh-CN"/>
        </w:rPr>
        <w:sectPr>
          <w:headerReference r:id="rId7" w:type="first"/>
          <w:headerReference r:id="rId5" w:type="default"/>
          <w:headerReference r:id="rId6" w:type="even"/>
          <w:pgSz w:w="11910" w:h="16840"/>
          <w:pgMar w:top="1580" w:right="720" w:bottom="280" w:left="1020" w:header="1417" w:footer="283" w:gutter="0"/>
          <w:pgNumType w:fmt="upperRoman"/>
          <w:cols w:space="720" w:num="1"/>
        </w:sectPr>
      </w:pPr>
      <w:r>
        <w:rPr>
          <w:rFonts w:hint="eastAsia" w:ascii="黑体" w:hAnsi="黑体" w:eastAsia="黑体"/>
          <w:sz w:val="28"/>
        </w:rPr>
        <w:t>江</w:t>
      </w:r>
      <w:r>
        <w:rPr>
          <w:rFonts w:hint="eastAsia" w:ascii="黑体" w:hAnsi="黑体" w:eastAsia="黑体"/>
          <w:sz w:val="28"/>
          <w:lang w:val="en-US" w:eastAsia="zh-CN"/>
        </w:rPr>
        <w:t>西</w:t>
      </w:r>
      <w:r>
        <w:rPr>
          <w:rFonts w:hint="eastAsia" w:ascii="黑体" w:hAnsi="黑体" w:eastAsia="黑体"/>
          <w:sz w:val="28"/>
        </w:rPr>
        <w:t>省工程师</w:t>
      </w:r>
      <w:r>
        <w:rPr>
          <w:rFonts w:hint="eastAsia" w:ascii="黑体" w:hAnsi="黑体" w:eastAsia="黑体"/>
          <w:sz w:val="28"/>
          <w:lang w:val="en-US" w:eastAsia="zh-CN"/>
        </w:rPr>
        <w:t>联合</w:t>
      </w:r>
      <w:r>
        <w:rPr>
          <w:rFonts w:hint="eastAsia" w:ascii="黑体" w:hAnsi="黑体" w:eastAsia="黑体"/>
          <w:sz w:val="28"/>
        </w:rPr>
        <w:t>会</w:t>
      </w:r>
      <w:r>
        <w:rPr>
          <w:rFonts w:ascii="Times New Roman" w:hAnsi="Times New Roman" w:eastAsia="Times New Roman"/>
          <w:sz w:val="28"/>
        </w:rPr>
        <w:t>  </w:t>
      </w:r>
      <w:r>
        <w:rPr>
          <w:rFonts w:hint="eastAsia" w:ascii="黑体" w:hAnsi="黑体" w:eastAsia="黑体"/>
          <w:sz w:val="28"/>
        </w:rPr>
        <w:t xml:space="preserve">发 </w:t>
      </w:r>
      <w:r>
        <w:rPr>
          <w:rFonts w:hint="eastAsia" w:ascii="黑体" w:hAnsi="黑体" w:eastAsia="黑体"/>
          <w:sz w:val="28"/>
          <w:lang w:val="en-US" w:eastAsia="zh-CN"/>
        </w:rPr>
        <w:t xml:space="preserve"> 布</w:t>
      </w:r>
    </w:p>
    <w:p w14:paraId="48817ACB">
      <w:pPr>
        <w:spacing w:beforeLines="100" w:afterLines="100" w:line="240" w:lineRule="auto"/>
        <w:ind w:left="0" w:right="0"/>
        <w:jc w:val="center"/>
        <w:rPr>
          <w:rFonts w:ascii="PingFang SC" w:hAnsi="PingFang SC" w:eastAsia="PingFang SC" w:cs="PingFang SC"/>
          <w:spacing w:val="-22"/>
          <w:sz w:val="31"/>
          <w:szCs w:val="31"/>
        </w:rPr>
      </w:pPr>
      <w:r>
        <w:rPr>
          <w:rFonts w:hint="eastAsia" w:ascii="黑体" w:hAnsi="黑体" w:eastAsia="黑体" w:cs="黑体"/>
          <w:spacing w:val="-22"/>
          <w:sz w:val="32"/>
          <w:szCs w:val="32"/>
        </w:rPr>
        <w:t>目</w:t>
      </w:r>
      <w:r>
        <w:rPr>
          <w:rFonts w:hint="eastAsia" w:ascii="黑体" w:hAnsi="黑体" w:eastAsia="黑体" w:cs="黑体"/>
          <w:spacing w:val="5"/>
          <w:sz w:val="32"/>
          <w:szCs w:val="32"/>
        </w:rPr>
        <w:t xml:space="preserve">  </w:t>
      </w:r>
      <w:r>
        <w:rPr>
          <w:rFonts w:hint="eastAsia" w:ascii="黑体" w:hAnsi="黑体" w:eastAsia="黑体" w:cs="黑体"/>
          <w:spacing w:val="-22"/>
          <w:sz w:val="32"/>
          <w:szCs w:val="32"/>
        </w:rPr>
        <w:t>次</w:t>
      </w:r>
    </w:p>
    <w:sdt>
      <w:sdtPr>
        <w:rPr>
          <w:rFonts w:hint="eastAsia" w:ascii="黑体" w:hAnsi="黑体" w:eastAsia="黑体" w:cs="黑体"/>
          <w:snapToGrid w:val="0"/>
          <w:color w:val="000000"/>
          <w:kern w:val="0"/>
          <w:sz w:val="21"/>
          <w:szCs w:val="21"/>
          <w:lang w:val="en-US" w:eastAsia="en-US" w:bidi="ar-SA"/>
        </w:rPr>
        <w:id w:val="147454236"/>
        <w15:color w:val="DBDBDB"/>
        <w:docPartObj>
          <w:docPartGallery w:val="Table of Contents"/>
          <w:docPartUnique/>
        </w:docPartObj>
      </w:sdtPr>
      <w:sdtEndPr>
        <w:rPr>
          <w:rFonts w:ascii="Arial" w:hAnsi="Arial" w:eastAsia="Arial" w:cs="Arial"/>
          <w:snapToGrid w:val="0"/>
          <w:color w:val="000000"/>
          <w:kern w:val="0"/>
          <w:sz w:val="21"/>
          <w:szCs w:val="21"/>
          <w:lang w:val="en-US" w:eastAsia="en-US" w:bidi="ar-SA"/>
        </w:rPr>
      </w:sdtEndPr>
      <w:sdtContent>
        <w:p w14:paraId="7917843A">
          <w:pPr>
            <w:spacing w:before="0" w:beforeLines="0" w:after="0" w:afterLines="0" w:line="240" w:lineRule="auto"/>
            <w:ind w:left="0" w:leftChars="0" w:right="0" w:rightChars="0" w:firstLine="0" w:firstLineChars="0"/>
            <w:jc w:val="center"/>
            <w:rPr>
              <w:rFonts w:hint="eastAsia" w:ascii="黑体" w:hAnsi="黑体" w:eastAsia="黑体" w:cs="黑体"/>
            </w:rPr>
          </w:pPr>
        </w:p>
        <w:p w14:paraId="011CC6DC">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TOC \o "1-1" \h \u </w:instrText>
          </w:r>
          <w:r>
            <w:rPr>
              <w:rFonts w:hint="eastAsia" w:ascii="黑体" w:hAnsi="黑体" w:eastAsia="黑体" w:cs="黑体"/>
            </w:rPr>
            <w:fldChar w:fldCharType="separate"/>
          </w:r>
          <w:r>
            <w:rPr>
              <w:rFonts w:hint="eastAsia" w:ascii="黑体" w:hAnsi="黑体" w:eastAsia="黑体" w:cs="黑体"/>
            </w:rPr>
            <w:fldChar w:fldCharType="begin"/>
          </w:r>
          <w:r>
            <w:rPr>
              <w:rFonts w:hint="eastAsia" w:ascii="黑体" w:hAnsi="黑体" w:eastAsia="黑体" w:cs="黑体"/>
            </w:rPr>
            <w:instrText xml:space="preserve"> HYPERLINK \l _Toc24091 </w:instrText>
          </w:r>
          <w:r>
            <w:rPr>
              <w:rFonts w:hint="eastAsia" w:ascii="黑体" w:hAnsi="黑体" w:eastAsia="黑体" w:cs="黑体"/>
            </w:rPr>
            <w:fldChar w:fldCharType="separate"/>
          </w:r>
          <w:r>
            <w:rPr>
              <w:rFonts w:hint="eastAsia" w:ascii="黑体" w:hAnsi="黑体" w:eastAsia="黑体" w:cs="黑体"/>
              <w:spacing w:val="-2"/>
              <w:szCs w:val="32"/>
            </w:rPr>
            <w:t>前</w:t>
          </w:r>
          <w:r>
            <w:rPr>
              <w:rFonts w:hint="eastAsia" w:ascii="黑体" w:hAnsi="黑体" w:eastAsia="黑体" w:cs="黑体"/>
              <w:spacing w:val="-2"/>
              <w:szCs w:val="32"/>
              <w:lang w:val="en-US" w:eastAsia="zh-CN"/>
            </w:rPr>
            <w:t xml:space="preserve"> </w:t>
          </w:r>
          <w:bookmarkStart w:id="18" w:name="_GoBack"/>
          <w:bookmarkEnd w:id="18"/>
          <w:r>
            <w:rPr>
              <w:rFonts w:hint="eastAsia" w:ascii="黑体" w:hAnsi="黑体" w:eastAsia="黑体" w:cs="黑体"/>
              <w:spacing w:val="-2"/>
              <w:szCs w:val="32"/>
            </w:rPr>
            <w:t>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_Toc24091 \h </w:instrText>
          </w:r>
          <w:r>
            <w:rPr>
              <w:rFonts w:hint="eastAsia" w:ascii="黑体" w:hAnsi="黑体" w:eastAsia="黑体" w:cs="黑体"/>
            </w:rPr>
            <w:fldChar w:fldCharType="separate"/>
          </w:r>
          <w:r>
            <w:rPr>
              <w:rFonts w:hint="eastAsia" w:ascii="黑体" w:hAnsi="黑体" w:eastAsia="黑体" w:cs="黑体"/>
            </w:rPr>
            <w:t>II</w:t>
          </w:r>
          <w:r>
            <w:rPr>
              <w:rFonts w:hint="eastAsia" w:ascii="黑体" w:hAnsi="黑体" w:eastAsia="黑体" w:cs="黑体"/>
            </w:rPr>
            <w:fldChar w:fldCharType="end"/>
          </w:r>
          <w:r>
            <w:rPr>
              <w:rFonts w:hint="eastAsia" w:ascii="黑体" w:hAnsi="黑体" w:eastAsia="黑体" w:cs="黑体"/>
            </w:rPr>
            <w:fldChar w:fldCharType="end"/>
          </w:r>
        </w:p>
        <w:p w14:paraId="049BFBDA">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_Toc28359 </w:instrText>
          </w:r>
          <w:r>
            <w:rPr>
              <w:rFonts w:hint="eastAsia" w:ascii="黑体" w:hAnsi="黑体" w:eastAsia="黑体" w:cs="黑体"/>
            </w:rPr>
            <w:fldChar w:fldCharType="separate"/>
          </w:r>
          <w:r>
            <w:rPr>
              <w:rFonts w:hint="eastAsia" w:ascii="黑体" w:hAnsi="黑体" w:eastAsia="黑体" w:cs="黑体"/>
              <w:szCs w:val="32"/>
              <w:lang w:val="en-US" w:eastAsia="zh-CN"/>
            </w:rPr>
            <w:t>引</w:t>
          </w:r>
          <w:r>
            <w:rPr>
              <w:rFonts w:hint="eastAsia" w:ascii="黑体" w:hAnsi="黑体" w:eastAsia="黑体" w:cs="黑体"/>
              <w:szCs w:val="32"/>
            </w:rPr>
            <w:t xml:space="preserve"> 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_Toc28359 \h </w:instrText>
          </w:r>
          <w:r>
            <w:rPr>
              <w:rFonts w:hint="eastAsia" w:ascii="黑体" w:hAnsi="黑体" w:eastAsia="黑体" w:cs="黑体"/>
            </w:rPr>
            <w:fldChar w:fldCharType="separate"/>
          </w:r>
          <w:r>
            <w:rPr>
              <w:rFonts w:hint="eastAsia" w:ascii="黑体" w:hAnsi="黑体" w:eastAsia="黑体" w:cs="黑体"/>
            </w:rPr>
            <w:t>III</w:t>
          </w:r>
          <w:r>
            <w:rPr>
              <w:rFonts w:hint="eastAsia" w:ascii="黑体" w:hAnsi="黑体" w:eastAsia="黑体" w:cs="黑体"/>
            </w:rPr>
            <w:fldChar w:fldCharType="end"/>
          </w:r>
          <w:r>
            <w:rPr>
              <w:rFonts w:hint="eastAsia" w:ascii="黑体" w:hAnsi="黑体" w:eastAsia="黑体" w:cs="黑体"/>
            </w:rPr>
            <w:fldChar w:fldCharType="end"/>
          </w:r>
        </w:p>
        <w:p w14:paraId="0AFCBA6F">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_Toc29320 </w:instrText>
          </w:r>
          <w:r>
            <w:rPr>
              <w:rFonts w:hint="eastAsia" w:ascii="黑体" w:hAnsi="黑体" w:eastAsia="黑体" w:cs="黑体"/>
            </w:rPr>
            <w:fldChar w:fldCharType="separate"/>
          </w:r>
          <w:r>
            <w:rPr>
              <w:rFonts w:hint="eastAsia" w:ascii="黑体" w:hAnsi="黑体" w:eastAsia="黑体" w:cs="黑体"/>
            </w:rPr>
            <w:t>1  范围</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_Toc29320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43657B54">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_Toc17321 </w:instrText>
          </w:r>
          <w:r>
            <w:rPr>
              <w:rFonts w:hint="eastAsia" w:ascii="黑体" w:hAnsi="黑体" w:eastAsia="黑体" w:cs="黑体"/>
            </w:rPr>
            <w:fldChar w:fldCharType="separate"/>
          </w:r>
          <w:r>
            <w:rPr>
              <w:rFonts w:hint="eastAsia" w:ascii="黑体" w:hAnsi="黑体" w:eastAsia="黑体" w:cs="黑体"/>
            </w:rPr>
            <w:t>2  规范性引用文件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_Toc17321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27F9B7E6">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_Toc520 </w:instrText>
          </w:r>
          <w:r>
            <w:rPr>
              <w:rFonts w:hint="eastAsia" w:ascii="黑体" w:hAnsi="黑体" w:eastAsia="黑体" w:cs="黑体"/>
            </w:rPr>
            <w:fldChar w:fldCharType="separate"/>
          </w:r>
          <w:r>
            <w:rPr>
              <w:rFonts w:hint="eastAsia" w:ascii="黑体" w:hAnsi="黑体" w:eastAsia="黑体" w:cs="黑体"/>
            </w:rPr>
            <w:t>3  术语和定义</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_Toc520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5D54165A">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_Toc7383 </w:instrText>
          </w:r>
          <w:r>
            <w:rPr>
              <w:rFonts w:hint="eastAsia" w:ascii="黑体" w:hAnsi="黑体" w:eastAsia="黑体" w:cs="黑体"/>
            </w:rPr>
            <w:fldChar w:fldCharType="separate"/>
          </w:r>
          <w:r>
            <w:rPr>
              <w:rFonts w:hint="eastAsia" w:ascii="黑体" w:hAnsi="黑体" w:eastAsia="黑体" w:cs="黑体"/>
            </w:rPr>
            <w:t>4  监测点位选取原则</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_Toc7383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79C6BFCD">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_Toc18709 </w:instrText>
          </w:r>
          <w:r>
            <w:rPr>
              <w:rFonts w:hint="eastAsia" w:ascii="黑体" w:hAnsi="黑体" w:eastAsia="黑体" w:cs="黑体"/>
            </w:rPr>
            <w:fldChar w:fldCharType="separate"/>
          </w:r>
          <w:r>
            <w:rPr>
              <w:rFonts w:hint="eastAsia" w:ascii="黑体" w:hAnsi="黑体" w:eastAsia="黑体" w:cs="黑体"/>
            </w:rPr>
            <w:t>5  监测设备配置要求</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_Toc18709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0FDF1D65">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_Toc4878 </w:instrText>
          </w:r>
          <w:r>
            <w:rPr>
              <w:rFonts w:hint="eastAsia" w:ascii="黑体" w:hAnsi="黑体" w:eastAsia="黑体" w:cs="黑体"/>
            </w:rPr>
            <w:fldChar w:fldCharType="separate"/>
          </w:r>
          <w:r>
            <w:rPr>
              <w:rFonts w:hint="eastAsia" w:ascii="黑体" w:hAnsi="黑体" w:eastAsia="黑体" w:cs="黑体"/>
            </w:rPr>
            <w:t>6  数据采集与传输</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_Toc4878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31966D69">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_Toc15096 </w:instrText>
          </w:r>
          <w:r>
            <w:rPr>
              <w:rFonts w:hint="eastAsia" w:ascii="黑体" w:hAnsi="黑体" w:eastAsia="黑体" w:cs="黑体"/>
            </w:rPr>
            <w:fldChar w:fldCharType="separate"/>
          </w:r>
          <w:r>
            <w:rPr>
              <w:rFonts w:hint="eastAsia" w:ascii="黑体" w:hAnsi="黑体" w:eastAsia="黑体" w:cs="黑体"/>
            </w:rPr>
            <w:t>7  数据质量控制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_Toc15096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1AE4B5E4">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_Toc7148 </w:instrText>
          </w:r>
          <w:r>
            <w:rPr>
              <w:rFonts w:hint="eastAsia" w:ascii="黑体" w:hAnsi="黑体" w:eastAsia="黑体" w:cs="黑体"/>
            </w:rPr>
            <w:fldChar w:fldCharType="separate"/>
          </w:r>
          <w:r>
            <w:rPr>
              <w:rFonts w:hint="eastAsia" w:ascii="黑体" w:hAnsi="黑体" w:eastAsia="黑体" w:cs="黑体"/>
            </w:rPr>
            <w:t>8  数据有效性判定</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_Toc7148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5204A7B7">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_Toc28779 </w:instrText>
          </w:r>
          <w:r>
            <w:rPr>
              <w:rFonts w:hint="eastAsia" w:ascii="黑体" w:hAnsi="黑体" w:eastAsia="黑体" w:cs="黑体"/>
            </w:rPr>
            <w:fldChar w:fldCharType="separate"/>
          </w:r>
          <w:r>
            <w:rPr>
              <w:rFonts w:hint="eastAsia" w:ascii="黑体" w:hAnsi="黑体" w:eastAsia="黑体" w:cs="黑体"/>
            </w:rPr>
            <w:t>9  运维管理与档案</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_Toc28779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554F3E3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hAnsi="Arial" w:eastAsia="Arial" w:cs="Arial"/>
              <w:snapToGrid w:val="0"/>
              <w:color w:val="000000"/>
              <w:kern w:val="0"/>
              <w:sz w:val="21"/>
              <w:szCs w:val="21"/>
              <w:lang w:val="en-US" w:eastAsia="en-US" w:bidi="ar-SA"/>
            </w:rPr>
          </w:pPr>
          <w:r>
            <w:rPr>
              <w:rFonts w:hint="eastAsia" w:ascii="黑体" w:hAnsi="黑体" w:eastAsia="黑体" w:cs="黑体"/>
            </w:rPr>
            <w:fldChar w:fldCharType="end"/>
          </w:r>
        </w:p>
      </w:sdtContent>
    </w:sdt>
    <w:p w14:paraId="1F3722CA">
      <w:pPr>
        <w:rPr>
          <w:rFonts w:ascii="Arial" w:hAnsi="Arial" w:eastAsia="Arial" w:cs="Arial"/>
          <w:snapToGrid w:val="0"/>
          <w:color w:val="000000"/>
          <w:kern w:val="0"/>
          <w:sz w:val="21"/>
          <w:szCs w:val="21"/>
          <w:lang w:val="en-US" w:eastAsia="en-US" w:bidi="ar-SA"/>
        </w:rPr>
        <w:sectPr>
          <w:headerReference r:id="rId8" w:type="default"/>
          <w:footerReference r:id="rId10" w:type="default"/>
          <w:headerReference r:id="rId9" w:type="even"/>
          <w:footerReference r:id="rId11" w:type="even"/>
          <w:pgSz w:w="11910" w:h="16840"/>
          <w:pgMar w:top="1417" w:right="1134" w:bottom="1134" w:left="1417" w:header="1417" w:footer="1395" w:gutter="0"/>
          <w:pgNumType w:fmt="upperRoman" w:start="1"/>
          <w:cols w:space="720" w:num="1"/>
        </w:sectPr>
      </w:pPr>
    </w:p>
    <w:p w14:paraId="597247B1">
      <w:pPr>
        <w:spacing w:beforeLines="100" w:afterLines="100" w:line="240" w:lineRule="auto"/>
        <w:ind w:left="0" w:right="0"/>
        <w:jc w:val="center"/>
        <w:outlineLvl w:val="0"/>
        <w:rPr>
          <w:sz w:val="21"/>
          <w:szCs w:val="21"/>
        </w:rPr>
      </w:pPr>
      <w:bookmarkStart w:id="1" w:name="_Toc12046"/>
      <w:bookmarkStart w:id="2" w:name="_Toc6131"/>
      <w:bookmarkStart w:id="3" w:name="_Toc14474"/>
      <w:bookmarkStart w:id="4" w:name="_Toc24091"/>
      <w:r>
        <w:rPr>
          <w:rFonts w:hint="eastAsia" w:ascii="黑体" w:hAnsi="黑体" w:eastAsia="黑体" w:cs="黑体"/>
          <w:spacing w:val="-2"/>
          <w:sz w:val="32"/>
          <w:szCs w:val="32"/>
        </w:rPr>
        <w:t>前</w:t>
      </w:r>
      <w:r>
        <w:rPr>
          <w:rFonts w:hint="eastAsia" w:ascii="黑体" w:hAnsi="黑体" w:eastAsia="黑体" w:cs="黑体"/>
          <w:spacing w:val="-2"/>
          <w:sz w:val="32"/>
          <w:szCs w:val="32"/>
          <w:lang w:val="en-US" w:eastAsia="zh-CN"/>
        </w:rPr>
        <w:t xml:space="preserve">  </w:t>
      </w:r>
      <w:r>
        <w:rPr>
          <w:rFonts w:hint="eastAsia" w:ascii="黑体" w:hAnsi="黑体" w:eastAsia="黑体" w:cs="黑体"/>
          <w:spacing w:val="-2"/>
          <w:sz w:val="32"/>
          <w:szCs w:val="32"/>
        </w:rPr>
        <w:t>言</w:t>
      </w:r>
      <w:bookmarkEnd w:id="1"/>
      <w:bookmarkEnd w:id="2"/>
      <w:bookmarkEnd w:id="3"/>
      <w:bookmarkEnd w:id="4"/>
    </w:p>
    <w:p w14:paraId="0361EF77">
      <w:pPr>
        <w:keepNext w:val="0"/>
        <w:keepLines w:val="0"/>
        <w:pageBreakBefore w:val="0"/>
        <w:widowControl/>
        <w:kinsoku w:val="0"/>
        <w:wordWrap/>
        <w:overflowPunct/>
        <w:topLinePunct w:val="0"/>
        <w:autoSpaceDE w:val="0"/>
        <w:autoSpaceDN w:val="0"/>
        <w:bidi w:val="0"/>
        <w:adjustRightInd w:val="0"/>
        <w:snapToGrid w:val="0"/>
        <w:spacing w:line="240" w:lineRule="auto"/>
        <w:ind w:left="210" w:leftChars="100" w:right="0" w:firstLine="224" w:firstLineChars="100"/>
        <w:jc w:val="both"/>
        <w:textAlignment w:val="baseline"/>
        <w:rPr>
          <w:rFonts w:hint="eastAsia" w:ascii="宋体" w:hAnsi="宋体" w:eastAsia="宋体" w:cs="宋体"/>
          <w:spacing w:val="7"/>
          <w:sz w:val="21"/>
          <w:szCs w:val="21"/>
          <w:lang w:val="en-US" w:eastAsia="en-US"/>
        </w:rPr>
      </w:pPr>
      <w:r>
        <w:rPr>
          <w:rFonts w:hint="eastAsia" w:ascii="宋体" w:hAnsi="宋体" w:eastAsia="宋体" w:cs="宋体"/>
          <w:spacing w:val="7"/>
          <w:sz w:val="21"/>
          <w:szCs w:val="21"/>
          <w:lang w:val="en-US" w:eastAsia="en-US"/>
        </w:rPr>
        <w:t>本文件依据GB/T 1.1-2020 《标准化工作导则 第1部分：标准化文件的结构和起草规则》的规定起草。</w:t>
      </w:r>
    </w:p>
    <w:p w14:paraId="67A49050">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请注意本文件的某些内容可能涉及专利。 本文件的发布机构不承担识别专利的责任。</w:t>
      </w:r>
    </w:p>
    <w:p w14:paraId="278B52D3">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本文件由江西省工程师联合会提出</w:t>
      </w:r>
      <w:r>
        <w:rPr>
          <w:rFonts w:hint="eastAsia" w:ascii="Times New Roman" w:hAnsi="Times New Roman" w:eastAsia="宋体" w:cs="Times New Roman"/>
          <w:sz w:val="21"/>
          <w:szCs w:val="21"/>
          <w:lang w:val="en-US" w:eastAsia="zh-CN"/>
        </w:rPr>
        <w:t>并归口</w:t>
      </w:r>
      <w:r>
        <w:rPr>
          <w:rFonts w:hint="eastAsia" w:ascii="Times New Roman" w:hAnsi="Times New Roman" w:eastAsia="宋体" w:cs="Times New Roman"/>
          <w:sz w:val="21"/>
          <w:szCs w:val="21"/>
          <w:lang w:val="en-US" w:eastAsia="en-US"/>
        </w:rPr>
        <w:t>。</w:t>
      </w:r>
    </w:p>
    <w:p w14:paraId="0C3B931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本文件起草单位：</w:t>
      </w:r>
    </w:p>
    <w:p w14:paraId="51C24F3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b/>
          <w:bCs/>
          <w:sz w:val="21"/>
          <w:szCs w:val="21"/>
          <w:lang w:val="en-US" w:eastAsia="zh-CN"/>
        </w:rPr>
        <w:sectPr>
          <w:headerReference r:id="rId12" w:type="default"/>
          <w:footerReference r:id="rId14" w:type="default"/>
          <w:headerReference r:id="rId13" w:type="even"/>
          <w:footerReference r:id="rId15" w:type="even"/>
          <w:pgSz w:w="11910" w:h="16840"/>
          <w:pgMar w:top="1417" w:right="1134" w:bottom="1134" w:left="1417" w:header="1417" w:footer="1395" w:gutter="0"/>
          <w:pgNumType w:fmt="upperRoman"/>
          <w:cols w:space="720" w:num="1"/>
        </w:sectPr>
      </w:pPr>
      <w:r>
        <w:rPr>
          <w:rFonts w:hint="eastAsia" w:ascii="Times New Roman" w:hAnsi="Times New Roman" w:eastAsia="宋体" w:cs="Times New Roman"/>
          <w:sz w:val="21"/>
          <w:szCs w:val="21"/>
          <w:lang w:val="en-US" w:eastAsia="en-US"/>
        </w:rPr>
        <w:t>本文件主要起草人：</w:t>
      </w:r>
    </w:p>
    <w:p w14:paraId="2B5BEB1E">
      <w:pPr>
        <w:pStyle w:val="2"/>
        <w:keepNext w:val="0"/>
        <w:keepLines w:val="0"/>
        <w:pageBreakBefore w:val="0"/>
        <w:widowControl/>
        <w:kinsoku/>
        <w:wordWrap/>
        <w:overflowPunct w:val="0"/>
        <w:topLinePunct w:val="0"/>
        <w:autoSpaceDE w:val="0"/>
        <w:autoSpaceDN w:val="0"/>
        <w:bidi w:val="0"/>
        <w:adjustRightInd w:val="0"/>
        <w:snapToGrid w:val="0"/>
        <w:spacing w:beforeLines="100" w:afterLines="100" w:line="240" w:lineRule="auto"/>
        <w:ind w:left="0" w:right="0"/>
        <w:jc w:val="center"/>
        <w:textAlignment w:val="baseline"/>
        <w:outlineLvl w:val="0"/>
        <w:rPr>
          <w:rFonts w:hint="eastAsia"/>
          <w:sz w:val="32"/>
          <w:szCs w:val="32"/>
        </w:rPr>
      </w:pPr>
      <w:bookmarkStart w:id="5" w:name="_Toc30364"/>
      <w:bookmarkStart w:id="6" w:name="_Toc879"/>
      <w:bookmarkStart w:id="7" w:name="_Toc17701"/>
      <w:bookmarkStart w:id="8" w:name="_Toc28359"/>
      <w:r>
        <w:rPr>
          <w:rFonts w:hint="eastAsia" w:ascii="黑体" w:hAnsi="黑体" w:eastAsia="黑体" w:cs="黑体"/>
          <w:sz w:val="32"/>
          <w:szCs w:val="32"/>
          <w:lang w:val="en-US" w:eastAsia="zh-CN"/>
        </w:rPr>
        <w:t>引</w:t>
      </w:r>
      <w:r>
        <w:rPr>
          <w:rFonts w:hint="eastAsia" w:ascii="黑体" w:hAnsi="黑体" w:eastAsia="黑体" w:cs="黑体"/>
          <w:sz w:val="32"/>
          <w:szCs w:val="32"/>
        </w:rPr>
        <w:t xml:space="preserve">  言</w:t>
      </w:r>
      <w:bookmarkEnd w:id="5"/>
      <w:bookmarkEnd w:id="6"/>
      <w:bookmarkEnd w:id="7"/>
      <w:bookmarkEnd w:id="8"/>
    </w:p>
    <w:p w14:paraId="3BCDBB3E">
      <w:pPr>
        <w:keepNext w:val="0"/>
        <w:keepLines w:val="0"/>
        <w:pageBreakBefore w:val="0"/>
        <w:widowControl/>
        <w:kinsoku/>
        <w:wordWrap/>
        <w:overflowPunct w:val="0"/>
        <w:topLinePunct w:val="0"/>
        <w:autoSpaceDE w:val="0"/>
        <w:autoSpaceDN w:val="0"/>
        <w:bidi w:val="0"/>
        <w:adjustRightInd w:val="0"/>
        <w:snapToGrid w:val="0"/>
        <w:spacing w:line="240" w:lineRule="auto"/>
        <w:ind w:right="0" w:firstLine="420" w:firstLineChars="200"/>
        <w:jc w:val="both"/>
        <w:textAlignment w:val="baseline"/>
        <w:rPr>
          <w:rFonts w:hint="eastAsia" w:ascii="宋体" w:hAnsi="宋体" w:eastAsia="宋体" w:cs="宋体"/>
          <w:spacing w:val="7"/>
          <w:sz w:val="21"/>
          <w:szCs w:val="21"/>
          <w:lang w:val="en-US" w:eastAsia="en-US"/>
        </w:rPr>
        <w:sectPr>
          <w:headerReference r:id="rId16" w:type="default"/>
          <w:footerReference r:id="rId18" w:type="default"/>
          <w:headerReference r:id="rId17" w:type="even"/>
          <w:footerReference r:id="rId19" w:type="even"/>
          <w:pgSz w:w="11910" w:h="16840"/>
          <w:pgMar w:top="1417" w:right="1134" w:bottom="1134" w:left="1417" w:header="1417" w:footer="1395" w:gutter="0"/>
          <w:pgNumType w:fmt="upperRoman"/>
          <w:cols w:space="720" w:num="1"/>
        </w:sectPr>
      </w:pPr>
      <w:r>
        <w:rPr>
          <w:rFonts w:hint="eastAsia" w:ascii="宋体" w:hAnsi="宋体" w:eastAsia="宋体" w:cs="宋体"/>
          <w:sz w:val="21"/>
          <w:szCs w:val="21"/>
        </w:rPr>
        <w:t>噪声污染是影响城市居民生活质量的重要环境问题之一，噪声环境自动监测是掌握区域噪声污染状况、评价声环境质量达标情况的重要技术手段。随着我国城镇化进程加快和环境管理精细化程度的不断提高，对噪声自动监测网络建设和数据质量管理提出了更高要求。为规范噪声环境自动监测点位选取、设备配置、数据采集传输和质量控制工作，提升监测数据的准确性和有效性，依据国家噪声污染防治法和噪声监测相关技术标准，制定本规范。</w:t>
      </w:r>
    </w:p>
    <w:p w14:paraId="18F4E34E">
      <w:pPr>
        <w:jc w:val="center"/>
        <w:rPr>
          <w:rFonts w:hint="eastAsia" w:ascii="黑体" w:hAnsi="黑体" w:eastAsia="黑体" w:cs="黑体"/>
          <w:sz w:val="32"/>
          <w:szCs w:val="32"/>
        </w:rPr>
      </w:pPr>
      <w:r>
        <w:rPr>
          <w:rFonts w:hint="eastAsia" w:ascii="黑体" w:hAnsi="黑体" w:eastAsia="黑体" w:cs="黑体"/>
          <w:sz w:val="32"/>
          <w:szCs w:val="32"/>
        </w:rPr>
        <w:t>噪声环境自动监测点位布设与数据质量控制规范</w:t>
      </w:r>
    </w:p>
    <w:p w14:paraId="79B157F7">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9" w:name="_Toc29320"/>
      <w:r>
        <w:rPr>
          <w:rFonts w:hint="eastAsia"/>
        </w:rPr>
        <w:t>1  范围</w:t>
      </w:r>
      <w:bookmarkEnd w:id="9"/>
    </w:p>
    <w:p w14:paraId="689358DB">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本</w:t>
      </w:r>
      <w:r>
        <w:rPr>
          <w:rFonts w:hint="eastAsia" w:ascii="Times New Roman" w:hAnsi="Times New Roman" w:eastAsia="宋体" w:cs="宋体"/>
          <w:sz w:val="21"/>
          <w:szCs w:val="21"/>
          <w:lang w:val="en-US" w:eastAsia="zh-CN"/>
        </w:rPr>
        <w:t>文件</w:t>
      </w:r>
      <w:r>
        <w:rPr>
          <w:rFonts w:hint="eastAsia" w:ascii="Times New Roman" w:hAnsi="Times New Roman" w:eastAsia="宋体" w:cs="宋体"/>
          <w:sz w:val="21"/>
          <w:szCs w:val="21"/>
        </w:rPr>
        <w:t>规定了城市区域环境噪声、交通噪声、功能区噪声等不同类型噪声环境自动监测点位的选取原则和代表性要求，自动监测设备技术性能指标和安装防护要求，监测数据采集频率、传输方式和存储格式要求，数据质量控制措施，气象要素同步监测要求，以及数据有效性判定标准。</w:t>
      </w:r>
    </w:p>
    <w:p w14:paraId="1A22CCBB">
      <w:pPr>
        <w:spacing w:line="240" w:lineRule="auto"/>
        <w:ind w:firstLine="500" w:firstLineChars="0"/>
        <w:jc w:val="both"/>
      </w:pPr>
      <w:r>
        <w:rPr>
          <w:rFonts w:hint="eastAsia" w:ascii="Times New Roman" w:hAnsi="Times New Roman" w:eastAsia="宋体" w:cs="宋体"/>
          <w:sz w:val="21"/>
          <w:szCs w:val="21"/>
        </w:rPr>
        <w:t>本</w:t>
      </w:r>
      <w:r>
        <w:rPr>
          <w:rFonts w:hint="eastAsia" w:ascii="Times New Roman" w:hAnsi="Times New Roman" w:eastAsia="宋体" w:cs="宋体"/>
          <w:sz w:val="21"/>
          <w:szCs w:val="21"/>
          <w:lang w:val="en-US" w:eastAsia="zh-CN"/>
        </w:rPr>
        <w:t>文件</w:t>
      </w:r>
      <w:r>
        <w:rPr>
          <w:rFonts w:hint="eastAsia" w:ascii="Times New Roman" w:hAnsi="Times New Roman" w:eastAsia="宋体" w:cs="宋体"/>
          <w:sz w:val="21"/>
          <w:szCs w:val="21"/>
        </w:rPr>
        <w:t>适用于环境噪声自动监测网络的建设及运行管理工作，其他类型噪声监测可参照执行。</w:t>
      </w:r>
    </w:p>
    <w:p w14:paraId="4515B3EB">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0" w:name="_Toc17321"/>
      <w:r>
        <w:rPr>
          <w:rFonts w:hint="eastAsia"/>
        </w:rPr>
        <w:t>2  规范性引用文件</w:t>
      </w:r>
      <w:bookmarkEnd w:id="10"/>
    </w:p>
    <w:p w14:paraId="5B76F67A">
      <w:pPr>
        <w:ind w:firstLine="420"/>
        <w:rPr>
          <w:rFonts w:hint="eastAsia" w:ascii="宋体" w:hAnsi="宋体" w:eastAsia="宋体" w:cs="宋体"/>
        </w:rPr>
      </w:pPr>
      <w:r>
        <w:rPr>
          <w:rFonts w:hint="eastAsia" w:ascii="宋体" w:hAnsi="宋体" w:eastAsia="宋体" w:cs="宋体"/>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C5EB03F">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GB 3096 声环境质量标准</w:t>
      </w:r>
    </w:p>
    <w:p w14:paraId="3AD87476">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GB 50303 建筑电气工程施工质量验收规范</w:t>
      </w:r>
      <w:r>
        <w:rPr>
          <w:rFonts w:hint="eastAsia" w:ascii="宋体" w:hAnsi="宋体" w:eastAsia="宋体" w:cs="宋体"/>
          <w:sz w:val="21"/>
          <w:szCs w:val="21"/>
        </w:rPr>
        <w:t>
</w:t>
      </w:r>
    </w:p>
    <w:p w14:paraId="2B4AEB83">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GB/T 14365 声学 机动车辆噪声测量方法</w:t>
      </w:r>
    </w:p>
    <w:p w14:paraId="07C1D6EB">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GB/T 15173 声校准器
</w:t>
      </w:r>
      <w:r>
        <w:rPr>
          <w:rFonts w:hint="eastAsia" w:ascii="宋体" w:hAnsi="宋体" w:eastAsia="宋体" w:cs="宋体"/>
          <w:sz w:val="21"/>
          <w:szCs w:val="21"/>
        </w:rPr>
        <w:t>
</w:t>
      </w:r>
    </w:p>
    <w:p w14:paraId="634874D3">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HJ 640 环境噪声监测技术规范 城市声环境常规监测
</w:t>
      </w:r>
    </w:p>
    <w:p w14:paraId="6831692E">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HJ 664 环境空气质量监测点位布设技术规范
</w:t>
      </w:r>
    </w:p>
    <w:p w14:paraId="0728E4F9">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HJ 819 排污单位自行监测技术指南 总则
</w:t>
      </w:r>
    </w:p>
    <w:p w14:paraId="1159F453">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JJG 188 声级计检定规程
</w:t>
      </w:r>
    </w:p>
    <w:p w14:paraId="4062A076">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1" w:name="_Toc520"/>
      <w:r>
        <w:rPr>
          <w:rFonts w:hint="eastAsia"/>
        </w:rPr>
        <w:t>3  术语和定义</w:t>
      </w:r>
      <w:bookmarkEnd w:id="11"/>
    </w:p>
    <w:p w14:paraId="085746F4">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下列术语和定义适用于本文件。
</w:t>
      </w:r>
    </w:p>
    <w:p w14:paraId="44D3E165">
      <w:pPr>
        <w:rPr>
          <w:rFonts w:hint="eastAsia" w:ascii="黑体" w:hAnsi="黑体" w:eastAsia="黑体" w:cs="黑体"/>
        </w:rPr>
      </w:pPr>
      <w:r>
        <w:rPr>
          <w:rFonts w:hint="eastAsia" w:ascii="黑体" w:hAnsi="黑体" w:eastAsia="黑体" w:cs="黑体"/>
        </w:rPr>
        <w:t xml:space="preserve">3.1 </w:t>
      </w:r>
    </w:p>
    <w:p w14:paraId="5E939E9C">
      <w:pPr>
        <w:ind w:firstLine="500" w:firstLineChars="0"/>
        <w:rPr>
          <w:rFonts w:hint="eastAsia" w:ascii="黑体" w:hAnsi="黑体" w:eastAsia="黑体" w:cs="黑体"/>
        </w:rPr>
      </w:pPr>
      <w:r>
        <w:rPr>
          <w:rFonts w:hint="eastAsia" w:ascii="黑体" w:hAnsi="黑体" w:eastAsia="黑体" w:cs="黑体"/>
        </w:rPr>
        <w:t xml:space="preserve">声环境质量自动监测 </w:t>
      </w:r>
      <w:r>
        <w:rPr>
          <w:rFonts w:hint="eastAsia" w:ascii="黑体" w:hAnsi="黑体" w:eastAsia="黑体" w:cs="黑体"/>
          <w:lang w:val="en-US" w:eastAsia="zh-CN"/>
        </w:rPr>
        <w:t xml:space="preserve"> </w:t>
      </w:r>
      <w:r>
        <w:rPr>
          <w:rFonts w:hint="eastAsia" w:ascii="黑体" w:hAnsi="黑体" w:eastAsia="黑体" w:cs="黑体"/>
        </w:rPr>
        <w:t>automatic monitoring of acoustic environment quality
</w:t>
      </w:r>
    </w:p>
    <w:p w14:paraId="7DC43AD7">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通过固定安装的声级计等自动监测设备，对环境噪声进行连续实时采集，并自动传输、存储和处理数据的监测方式。
</w:t>
      </w:r>
    </w:p>
    <w:p w14:paraId="54499047">
      <w:pPr>
        <w:spacing w:line="240" w:lineRule="auto"/>
        <w:jc w:val="both"/>
        <w:rPr>
          <w:rFonts w:hint="eastAsia" w:ascii="Times New Roman" w:hAnsi="Times New Roman" w:eastAsia="宋体" w:cs="宋体"/>
          <w:sz w:val="21"/>
          <w:szCs w:val="21"/>
        </w:rPr>
      </w:pPr>
      <w:r>
        <w:rPr>
          <w:rFonts w:hint="eastAsia" w:ascii="Times New Roman" w:hAnsi="Times New Roman" w:eastAsia="宋体" w:cs="宋体"/>
          <w:sz w:val="21"/>
          <w:szCs w:val="21"/>
        </w:rPr>
        <w:t xml:space="preserve">3.2 </w:t>
      </w:r>
    </w:p>
    <w:p w14:paraId="5D2BBE8D">
      <w:pPr>
        <w:ind w:firstLine="500" w:firstLineChars="0"/>
        <w:rPr>
          <w:rFonts w:hint="eastAsia" w:ascii="黑体" w:hAnsi="黑体" w:eastAsia="黑体" w:cs="黑体"/>
        </w:rPr>
      </w:pPr>
      <w:r>
        <w:rPr>
          <w:rFonts w:hint="eastAsia" w:ascii="黑体" w:hAnsi="黑体" w:eastAsia="黑体" w:cs="黑体"/>
        </w:rPr>
        <w:t>等效连续A声级</w:t>
      </w:r>
      <w:r>
        <w:rPr>
          <w:rFonts w:hint="eastAsia" w:ascii="黑体" w:hAnsi="黑体" w:eastAsia="黑体" w:cs="黑体"/>
          <w:lang w:val="en-US" w:eastAsia="zh-CN"/>
        </w:rPr>
        <w:t xml:space="preserve"> </w:t>
      </w:r>
      <w:r>
        <w:rPr>
          <w:rFonts w:hint="eastAsia" w:ascii="黑体" w:hAnsi="黑体" w:eastAsia="黑体" w:cs="黑体"/>
        </w:rPr>
        <w:t xml:space="preserve"> equivalent continuous A-weighted sound level
</w:t>
      </w:r>
    </w:p>
    <w:p w14:paraId="6A3E73E6">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在规定时间段内，与噪声能量等效的稳态噪声的A声级值，符号LAeq，单位dB(A)。</w:t>
      </w:r>
    </w:p>
    <w:p w14:paraId="006FE16D">
      <w:pPr>
        <w:rPr>
          <w:rFonts w:hint="eastAsia" w:ascii="黑体" w:hAnsi="黑体" w:eastAsia="黑体" w:cs="黑体"/>
        </w:rPr>
      </w:pPr>
      <w:r>
        <w:rPr>
          <w:rFonts w:hint="eastAsia" w:ascii="黑体" w:hAnsi="黑体" w:eastAsia="黑体" w:cs="黑体"/>
        </w:rPr>
        <w:t xml:space="preserve">3.3 </w:t>
      </w:r>
    </w:p>
    <w:p w14:paraId="0D4776C1">
      <w:pPr>
        <w:ind w:firstLine="500" w:firstLineChars="0"/>
        <w:rPr>
          <w:rFonts w:hint="eastAsia" w:ascii="黑体" w:hAnsi="黑体" w:eastAsia="黑体" w:cs="黑体"/>
        </w:rPr>
      </w:pPr>
      <w:r>
        <w:rPr>
          <w:rFonts w:hint="eastAsia" w:ascii="黑体" w:hAnsi="黑体" w:eastAsia="黑体" w:cs="黑体"/>
        </w:rPr>
        <w:t>监测点位</w:t>
      </w:r>
      <w:r>
        <w:rPr>
          <w:rFonts w:hint="eastAsia" w:ascii="黑体" w:hAnsi="黑体" w:eastAsia="黑体" w:cs="黑体"/>
          <w:lang w:val="en-US" w:eastAsia="zh-CN"/>
        </w:rPr>
        <w:t xml:space="preserve"> </w:t>
      </w:r>
      <w:r>
        <w:rPr>
          <w:rFonts w:hint="eastAsia" w:ascii="黑体" w:hAnsi="黑体" w:eastAsia="黑体" w:cs="黑体"/>
        </w:rPr>
        <w:t xml:space="preserve"> monitoring site
</w:t>
      </w:r>
    </w:p>
    <w:p w14:paraId="250B31B1">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在代表性地点安装噪声自动监测设备进行长期连续观测的固定测量位置。
</w:t>
      </w:r>
    </w:p>
    <w:p w14:paraId="198A16EA">
      <w:pPr>
        <w:rPr>
          <w:rFonts w:hint="eastAsia" w:ascii="黑体" w:hAnsi="黑体" w:eastAsia="黑体" w:cs="黑体"/>
        </w:rPr>
      </w:pPr>
      <w:r>
        <w:rPr>
          <w:rFonts w:hint="eastAsia" w:ascii="黑体" w:hAnsi="黑体" w:eastAsia="黑体" w:cs="黑体"/>
        </w:rPr>
        <w:t xml:space="preserve">3.4 </w:t>
      </w:r>
    </w:p>
    <w:p w14:paraId="057E4C75">
      <w:pPr>
        <w:ind w:firstLine="500" w:firstLineChars="0"/>
        <w:rPr>
          <w:rFonts w:hint="eastAsia" w:ascii="黑体" w:hAnsi="黑体" w:eastAsia="黑体" w:cs="黑体"/>
        </w:rPr>
      </w:pPr>
      <w:r>
        <w:rPr>
          <w:rFonts w:hint="eastAsia" w:ascii="黑体" w:hAnsi="黑体" w:eastAsia="黑体" w:cs="黑体"/>
        </w:rPr>
        <w:t>功能区噪声</w:t>
      </w:r>
      <w:r>
        <w:rPr>
          <w:rFonts w:hint="eastAsia" w:ascii="黑体" w:hAnsi="黑体" w:eastAsia="黑体" w:cs="黑体"/>
          <w:lang w:val="en-US" w:eastAsia="zh-CN"/>
        </w:rPr>
        <w:t xml:space="preserve"> </w:t>
      </w:r>
      <w:r>
        <w:rPr>
          <w:rFonts w:hint="eastAsia" w:ascii="黑体" w:hAnsi="黑体" w:eastAsia="黑体" w:cs="黑体"/>
        </w:rPr>
        <w:t xml:space="preserve"> noise in acoustic functional zone
</w:t>
      </w:r>
    </w:p>
    <w:p w14:paraId="25666BAD">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按照城市声环境功能区划分标准，对不同功能区声环境质量进行监测的噪声类型。
</w:t>
      </w:r>
    </w:p>
    <w:p w14:paraId="26EAFCA8">
      <w:pPr>
        <w:rPr>
          <w:rFonts w:hint="eastAsia" w:ascii="黑体" w:hAnsi="黑体" w:eastAsia="黑体" w:cs="黑体"/>
        </w:rPr>
      </w:pPr>
      <w:r>
        <w:rPr>
          <w:rFonts w:hint="eastAsia" w:ascii="黑体" w:hAnsi="黑体" w:eastAsia="黑体" w:cs="黑体"/>
        </w:rPr>
        <w:t xml:space="preserve">3.5 </w:t>
      </w:r>
    </w:p>
    <w:p w14:paraId="0BEC6986">
      <w:pPr>
        <w:ind w:firstLine="500" w:firstLineChars="0"/>
        <w:rPr>
          <w:rFonts w:hint="eastAsia" w:ascii="黑体" w:hAnsi="黑体" w:eastAsia="黑体" w:cs="黑体"/>
        </w:rPr>
      </w:pPr>
      <w:r>
        <w:rPr>
          <w:rFonts w:hint="eastAsia" w:ascii="黑体" w:hAnsi="黑体" w:eastAsia="黑体" w:cs="黑体"/>
        </w:rPr>
        <w:t xml:space="preserve">数据有效性判定 </w:t>
      </w:r>
      <w:r>
        <w:rPr>
          <w:rFonts w:hint="eastAsia" w:ascii="黑体" w:hAnsi="黑体" w:eastAsia="黑体" w:cs="黑体"/>
          <w:lang w:val="en-US" w:eastAsia="zh-CN"/>
        </w:rPr>
        <w:t xml:space="preserve"> </w:t>
      </w:r>
      <w:r>
        <w:rPr>
          <w:rFonts w:hint="eastAsia" w:ascii="黑体" w:hAnsi="黑体" w:eastAsia="黑体" w:cs="黑体"/>
        </w:rPr>
        <w:t>data validity judgment
</w:t>
      </w:r>
    </w:p>
    <w:p w14:paraId="2C085C19">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依据规定标准，对采集的噪声监测数据进行质量评估，判断其能否用于环境评价的过程。
</w:t>
      </w:r>
    </w:p>
    <w:p w14:paraId="212D17AF">
      <w:pPr>
        <w:rPr>
          <w:rFonts w:hint="eastAsia" w:ascii="黑体" w:hAnsi="黑体" w:eastAsia="黑体" w:cs="黑体"/>
        </w:rPr>
      </w:pPr>
      <w:r>
        <w:rPr>
          <w:rFonts w:hint="eastAsia" w:ascii="黑体" w:hAnsi="黑体" w:eastAsia="黑体" w:cs="黑体"/>
        </w:rPr>
        <w:t xml:space="preserve">3.6 </w:t>
      </w:r>
    </w:p>
    <w:p w14:paraId="595D02BE">
      <w:pPr>
        <w:ind w:firstLine="500" w:firstLineChars="0"/>
        <w:rPr>
          <w:rFonts w:hint="eastAsia" w:ascii="黑体" w:hAnsi="黑体" w:eastAsia="黑体" w:cs="黑体"/>
        </w:rPr>
      </w:pPr>
      <w:r>
        <w:rPr>
          <w:rFonts w:hint="eastAsia" w:ascii="黑体" w:hAnsi="黑体" w:eastAsia="黑体" w:cs="黑体"/>
        </w:rPr>
        <w:t xml:space="preserve">声校准 </w:t>
      </w:r>
      <w:r>
        <w:rPr>
          <w:rFonts w:hint="eastAsia" w:ascii="黑体" w:hAnsi="黑体" w:eastAsia="黑体" w:cs="黑体"/>
          <w:lang w:val="en-US" w:eastAsia="zh-CN"/>
        </w:rPr>
        <w:t xml:space="preserve"> </w:t>
      </w:r>
      <w:r>
        <w:rPr>
          <w:rFonts w:hint="eastAsia" w:ascii="黑体" w:hAnsi="黑体" w:eastAsia="黑体" w:cs="黑体"/>
        </w:rPr>
        <w:t>acoustic calibration
</w:t>
      </w:r>
    </w:p>
    <w:p w14:paraId="40059F6E">
      <w:pPr>
        <w:spacing w:line="240" w:lineRule="auto"/>
        <w:ind w:firstLine="500" w:firstLineChars="0"/>
        <w:jc w:val="both"/>
      </w:pPr>
      <w:r>
        <w:rPr>
          <w:rFonts w:hint="eastAsia" w:ascii="Times New Roman" w:hAnsi="Times New Roman" w:eastAsia="宋体" w:cs="宋体"/>
          <w:sz w:val="21"/>
          <w:szCs w:val="21"/>
        </w:rPr>
        <w:t>使用标准声源对声级计的灵敏度进行核查和调整，确保测量结果准确可靠的操作。</w:t>
      </w:r>
    </w:p>
    <w:p w14:paraId="29C26156">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2" w:name="_Toc7383"/>
      <w:r>
        <w:rPr>
          <w:rFonts w:hint="eastAsia"/>
        </w:rPr>
        <w:t>4  监测点位选取原则</w:t>
      </w:r>
      <w:bookmarkEnd w:id="12"/>
    </w:p>
    <w:p w14:paraId="2AA2C278">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default" w:ascii="黑体" w:hAnsi="黑体" w:eastAsia="黑体" w:cs="黑体"/>
          <w:sz w:val="21"/>
          <w:szCs w:val="21"/>
        </w:rPr>
      </w:pPr>
      <w:r>
        <w:rPr>
          <w:rFonts w:hint="eastAsia" w:ascii="黑体" w:hAnsi="黑体" w:eastAsia="黑体" w:cs="黑体"/>
          <w:sz w:val="21"/>
          <w:szCs w:val="21"/>
        </w:rPr>
        <w:t>4.1 一般原则</w:t>
      </w:r>
    </w:p>
    <w:p w14:paraId="0E6F8E55">
      <w:pPr>
        <w:spacing w:line="240" w:lineRule="auto"/>
        <w:ind w:firstLine="500" w:firstLineChars="0"/>
        <w:jc w:val="both"/>
        <w:rPr>
          <w:rFonts w:hint="eastAsia" w:ascii="宋体" w:hAnsi="宋体" w:eastAsia="宋体" w:cs="宋体"/>
        </w:rPr>
      </w:pPr>
      <w:r>
        <w:rPr>
          <w:rFonts w:hint="eastAsia" w:ascii="宋体" w:hAnsi="宋体" w:eastAsia="宋体" w:cs="宋体"/>
          <w:sz w:val="21"/>
          <w:szCs w:val="21"/>
        </w:rPr>
        <w:t>噪声环境自动监测点位的选取应遵循代表性、稳定性和安全性原则。代表性原则要求点位能够反映所在区域或功能区的典型声环境状况，避免受到局部异常噪声源的直接影响；稳定性原则要求点位周边环境在监测期内相对稳定，不因建设活动等因素发生根本性变化；安全性原则要求点位所在位置及设备安装条件能够保障人员和设备安全。点位选取应参照HJ 640的技术规范要求，结合当地声环境功能区划图进行系统布局，并经专家论证后确定。</w:t>
      </w:r>
    </w:p>
    <w:p w14:paraId="450A17F2">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4.2 分类点位选取要求</w:t>
      </w:r>
    </w:p>
    <w:p w14:paraId="61816FC8">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区域环境噪声监测点位应布设在声环境功能区的代表性位置，远离交通干线、工厂边界等局部强噪声源。交通噪声监测点位应设置在主要交通干线两侧，能够反映道路交通噪声对周边环境的影响。功能区噪声监测点位应按照各声环境功能区的面积和数量合理布设，在城市声环境质量评价中实现对各功能区的全面覆盖。敏感区域（学校、医院、居民区等）附近应适当增加监测点位密度，重点监控噪声超标情况，监测点位的代表性要求应符合GB 3096声环境质量标准的相关规定。</w:t>
      </w:r>
    </w:p>
    <w:p w14:paraId="2994967C">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3" w:name="_Toc18709"/>
      <w:r>
        <w:rPr>
          <w:rFonts w:hint="eastAsia"/>
        </w:rPr>
        <w:t>5  监测设备配置要求</w:t>
      </w:r>
      <w:bookmarkEnd w:id="13"/>
    </w:p>
    <w:p w14:paraId="750533BC">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5.1 设备性能指标</w:t>
      </w:r>
    </w:p>
    <w:p w14:paraId="1D738B93">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噪声自动监测设备应具备符合GB/T 15173和JJG 188要求的测量精度，仪器准确度等级应满足环境噪声监测的技术要求。设备应具备数据自动采集、存储和传输功能，采样频率应满足等效连续声级计算的统计精度要求。设备应具备气象条件适应性，能够在规定温湿度范围内正常工作，并具备防雨、防雷等环境防护能力。设备选型前应查验产品检测认证情况，并参照HJ 640的设备技术要求进行评估，确保设备符合环境监测标准要求。</w:t>
      </w:r>
    </w:p>
    <w:p w14:paraId="0E1953AA">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5.2 安装与防护要求</w:t>
      </w:r>
    </w:p>
    <w:p w14:paraId="3D66CBC8">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噪声监测设备的安装位置应避开风速过大、振动干扰和电磁干扰的区域，传声器安装高度应符合HJ 640的规定。设备机箱和支架应具有足够的结构强度，能够抵御常见风荷载，安装应坚固可靠，防止设备晃动影响测量结果。设备电气安装应符合GB 50303的建筑电气工程施工质量验收要求，电气线路应做好防水和绝缘处理，接地线应可靠接地，防止雷击损坏设备。设备周边应设置明显的防护标志，防止人为干扰或破坏。</w:t>
      </w:r>
    </w:p>
    <w:p w14:paraId="269F0715">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4" w:name="_Toc4878"/>
      <w:r>
        <w:rPr>
          <w:rFonts w:hint="eastAsia"/>
        </w:rPr>
        <w:t>6  数据采集与传输</w:t>
      </w:r>
      <w:bookmarkEnd w:id="14"/>
    </w:p>
    <w:p w14:paraId="623B44B0">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6.1 数据采集要求</w:t>
      </w:r>
    </w:p>
    <w:p w14:paraId="19B0222F">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噪声自动监测设备应按照规定频率连续采集等效连续A声级数据，并同步记录统计时间段内的最大声级、最小声级和声级分布特征。数据采集应全年不间断进行，设备维护或校准期间应做好时间记录，维护结束后应核查数据完整性。每次数据采集应同步记录气温、风速、降水等气象参数，便于在数据质量评估时剔除气象因素干扰，气象参数采集标准应符合QX 45地面气象观测规范的要求（参照HJ 664相关要求）。</w:t>
      </w:r>
    </w:p>
    <w:p w14:paraId="1098EAC9">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6.2 数据传输管理</w:t>
      </w:r>
    </w:p>
    <w:p w14:paraId="5532BC7E">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监测数据应按照规定频率自动上传至环境噪声监测管理平台，实现数据的集中管理和共享分析。数据传输应采用加密传输方式，防止数据篡改，传输链路应具备冗余备份能力。传输失败的数据应在恢复通信后自动补传，确保数据完整性。接收端应对上传数据进行格式验证，及时反馈传输异常情况，数据传输管理要求应符合HJ 819排污单位自行监测技术指南的相关规定。</w:t>
      </w:r>
    </w:p>
    <w:p w14:paraId="46678AC5">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5" w:name="_Toc15096"/>
      <w:r>
        <w:rPr>
          <w:rFonts w:hint="eastAsia"/>
        </w:rPr>
        <w:t>7  数据质量控制</w:t>
      </w:r>
      <w:bookmarkEnd w:id="15"/>
    </w:p>
    <w:p w14:paraId="296E838F">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7.1 定期校准要求</w:t>
      </w:r>
    </w:p>
    <w:p w14:paraId="191F8D2E">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噪声自动监测设备应按照规定周期使用声校准器进行声学校准，校准操作应按照GB/T 15173的规定执行。每次校准前后应记录校准声级值，当校准偏差超过允许范围时，应查明原因并进行修正。年度校准应委托具备资质的计量机构开展，校准证书应妥善保存。设备发生故障修复后，必须重新进行声学校准，确认测量精度后方可恢复监测，校准记录应纳入质量控制档案，符合JJG 188声级计检定规程的要求。</w:t>
      </w:r>
    </w:p>
    <w:p w14:paraId="3545FB2C">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7.2 异常数据处理</w:t>
      </w:r>
    </w:p>
    <w:p w14:paraId="4F7BA9DB">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数据质量控制系统应对采集的噪声数据进行自动异常检测，重点识别设备故障导致的数据缺失、传感器漂移导致的系统偏差以及偶然异常噪声事件引起的瞬时高值等异常情形。对于确认异常的数据应进行标记，不得纳入常规统计分析。当异常数据比例超过规定限值时，应提高人工审核频次，查找异常原因并采取修正措施。异常数据处理应形成详细记录，作为数据质量评估的重要依据，处理程序应符合HJ 640的质量保证要求。</w:t>
      </w:r>
    </w:p>
    <w:p w14:paraId="448FEF66">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6" w:name="_Toc7148"/>
      <w:r>
        <w:rPr>
          <w:rFonts w:hint="eastAsia"/>
        </w:rPr>
        <w:t>8  数据有效性判定</w:t>
      </w:r>
      <w:bookmarkEnd w:id="16"/>
    </w:p>
    <w:p w14:paraId="41096B6B">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8.1 有效性判定标准</w:t>
      </w:r>
    </w:p>
    <w:p w14:paraId="5AA5B1D2">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噪声监测数据的有效性判定应从数据完整性、校准符合性和气象适宜性三个维度综合评判。数据完整性要求在统计时间段内有效采样率不低于规定比例；校准符合性要求在统计周期内已开展规定次数的声学校准且校准结果合格；气象适宜性要求统计期间不存在明显影响监测结果的恶劣气象条件，如强降雨或大风等。符合上述条件的数据方可判定为有效数据，用于声环境质量评价，有效性判定标准应与GB 3096的监测要求协调一致。</w:t>
      </w:r>
    </w:p>
    <w:p w14:paraId="2AE4EFD6">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8.2 统计与报告</w:t>
      </w:r>
    </w:p>
    <w:p w14:paraId="73EA2EFD">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噪声自动监测有效数据应按照规定时间段进行统计分析，分别计算昼间和夜间的等效连续A声级，并与声环境质量标准进行对比评价。监测数据统计报告应包括数据完整性说明、异常情况记录和质量评定结论，确保报告数据的可信度。年度监测数据报告应对全年声环境质量变化趋势进行分析，为声环境质量改善工作提供科学依据，报告编制应符合HJ 640城市声环境常规监测技术规范的要求。</w:t>
      </w:r>
    </w:p>
    <w:p w14:paraId="556AA0CE">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7" w:name="_Toc28779"/>
      <w:r>
        <w:rPr>
          <w:rFonts w:hint="eastAsia"/>
        </w:rPr>
        <w:t>9  运维管理与档案</w:t>
      </w:r>
      <w:bookmarkEnd w:id="17"/>
    </w:p>
    <w:p w14:paraId="65B988A3">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9.1 运维管理要求</w:t>
      </w:r>
    </w:p>
    <w:p w14:paraId="14101834">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噪声自动监测设备应建立定期巡检和预防性维护制度，日常巡检内容包括设备外观检查、传声器清洁、信号线接头检查和系统运行状态核查。巡检记录应及时填写，异常情况应立即报告处理。设备发生故障时，应在规定时限内完成修复，故障期间缺失的数据应在维修报告中注明原因，不得随意补充虚假数据。重要设备故障的维修应委托原厂或具备资质的技术服务机构处理，确保设备修复质量。</w:t>
      </w:r>
    </w:p>
    <w:p w14:paraId="7088AC06">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9.2 档案管理</w:t>
      </w:r>
    </w:p>
    <w:p w14:paraId="7C867651">
      <w:pPr>
        <w:spacing w:line="240" w:lineRule="auto"/>
        <w:ind w:firstLine="500" w:firstLineChars="0"/>
        <w:jc w:val="both"/>
        <w:rPr>
          <w:rFonts w:hint="eastAsia" w:ascii="黑体" w:hAnsi="黑体" w:eastAsia="黑体" w:cs="黑体"/>
          <w:sz w:val="32"/>
          <w:szCs w:val="32"/>
        </w:rPr>
      </w:pPr>
      <w:r>
        <w:rPr>
          <w:rFonts w:hint="eastAsia" w:ascii="宋体" w:hAnsi="宋体" w:eastAsia="宋体" w:cs="宋体"/>
          <w:sz w:val="21"/>
          <w:szCs w:val="21"/>
        </w:rPr>
        <w:t>噪声自动监测系统的档案管理应建立完整的设备档案、运维档案和数据档案三类档案体系。设备档案包括设备选型论证资料、安装调试记录、校准证书和检定报告；运维档案包括巡检记录、故障维修记录和消耗品更换记录；数据档案包括原始监测数据、质控处理记录和统计分析报告。档案资料应分类整理，纸质和电子档案同步保存，保存期限应符合环境监测档案管理的相关规定，符合HJ 819排污监测技术指南中档案管理的要求。</w:t>
      </w:r>
      <w:r>
        <w:drawing>
          <wp:anchor distT="0" distB="0" distL="0" distR="0" simplePos="0" relativeHeight="251670528" behindDoc="0" locked="0" layoutInCell="1" allowOverlap="1">
            <wp:simplePos x="0" y="0"/>
            <wp:positionH relativeFrom="page">
              <wp:posOffset>3136900</wp:posOffset>
            </wp:positionH>
            <wp:positionV relativeFrom="paragraph">
              <wp:posOffset>1330325</wp:posOffset>
            </wp:positionV>
            <wp:extent cx="1484630" cy="12700"/>
            <wp:effectExtent l="0" t="0" r="1270" b="0"/>
            <wp:wrapTopAndBottom/>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png"/>
                    <pic:cNvPicPr>
                      <a:picLocks noChangeAspect="1"/>
                    </pic:cNvPicPr>
                  </pic:nvPicPr>
                  <pic:blipFill>
                    <a:blip r:embed="rId27" cstate="print"/>
                    <a:stretch>
                      <a:fillRect/>
                    </a:stretch>
                  </pic:blipFill>
                  <pic:spPr>
                    <a:xfrm>
                      <a:off x="0" y="0"/>
                      <a:ext cx="1484630" cy="12700"/>
                    </a:xfrm>
                    <a:prstGeom prst="rect">
                      <a:avLst/>
                    </a:prstGeom>
                  </pic:spPr>
                </pic:pic>
              </a:graphicData>
            </a:graphic>
          </wp:anchor>
        </w:drawing>
      </w:r>
    </w:p>
    <w:sectPr>
      <w:headerReference r:id="rId20" w:type="default"/>
      <w:footerReference r:id="rId22" w:type="default"/>
      <w:headerReference r:id="rId21" w:type="even"/>
      <w:footerReference r:id="rId23" w:type="even"/>
      <w:pgSz w:w="11910" w:h="16840"/>
      <w:pgMar w:top="1417" w:right="1134" w:bottom="1134" w:left="1417" w:header="1417" w:footer="1395"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宋体"/>
    <w:panose1 w:val="020B0400000000000000"/>
    <w:charset w:val="86"/>
    <w:family w:val="auto"/>
    <w:pitch w:val="default"/>
    <w:sig w:usb0="00000000" w:usb1="00000000"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2FD2F">
    <w:pPr>
      <w:rPr>
        <w:rFonts w:ascii="宋体" w:hAnsi="宋体" w:eastAsia="宋体" w:cs="宋体"/>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AA758">
    <w:pPr>
      <w:rPr>
        <w:rFonts w:ascii="宋体" w:hAnsi="宋体" w:eastAsia="宋体" w:cs="宋体"/>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F08E62">
                          <w:pPr>
                            <w:pStyle w:val="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CF08E62">
                    <w:pPr>
                      <w:pStyle w:val="8"/>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0B717">
    <w:pPr>
      <w:jc w:val="right"/>
      <w:rPr>
        <w:rFonts w:ascii="宋体" w:hAnsi="宋体" w:eastAsia="宋体" w:cs="宋体"/>
        <w:sz w:val="21"/>
        <w:szCs w:val="21"/>
      </w:rPr>
    </w:pPr>
    <w:r>
      <w:rPr>
        <w:sz w:val="21"/>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98CA5">
    <w:pPr>
      <w:jc w:val="left"/>
      <w:rPr>
        <w:rFonts w:ascii="宋体" w:hAnsi="宋体" w:eastAsia="宋体" w:cs="宋体"/>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8DC0F">
    <w:pPr>
      <w:jc w:val="right"/>
      <w:rPr>
        <w:rFonts w:ascii="宋体" w:hAnsi="宋体" w:eastAsia="宋体" w:cs="宋体"/>
        <w:sz w:val="21"/>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A9313">
    <w:pPr>
      <w:jc w:val="left"/>
      <w:rPr>
        <w:rFonts w:ascii="宋体" w:hAnsi="宋体" w:eastAsia="宋体" w:cs="宋体"/>
        <w:sz w:val="21"/>
        <w:szCs w:val="21"/>
      </w:rPr>
    </w:pPr>
    <w:r>
      <w:rPr>
        <w:sz w:val="21"/>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00FBF">
    <w:pPr>
      <w:rPr>
        <w:rFonts w:ascii="宋体" w:hAnsi="宋体" w:eastAsia="宋体" w:cs="宋体"/>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C2AAB">
    <w:pPr>
      <w:rPr>
        <w:rFonts w:ascii="宋体" w:hAnsi="宋体" w:eastAsia="宋体" w:cs="宋体"/>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366544">
                          <w:pPr>
                            <w:pStyle w:val="8"/>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0366544">
                    <w:pPr>
                      <w:pStyle w:val="8"/>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DB437">
    <w:pPr>
      <w:pStyle w:val="9"/>
      <w:rPr>
        <w:rFonts w:hint="eastAsia" w:ascii="黑体" w:hAnsi="黑体" w:eastAsia="黑体" w:cs="黑体"/>
        <w:spacing w:val="2"/>
        <w:sz w:val="21"/>
        <w:szCs w:val="21"/>
      </w:rPr>
    </w:pPr>
    <w:r>
      <w:rPr>
        <w:rFonts w:hint="eastAsia" w:ascii="黑体" w:hAnsi="黑体" w:eastAsia="黑体" w:cs="黑体"/>
        <w:spacing w:val="2"/>
        <w:sz w:val="21"/>
        <w:szCs w:val="21"/>
      </w:rPr>
      <w:t xml:space="preserve">ICS 35.240 </w:t>
    </w:r>
  </w:p>
  <w:p w14:paraId="187B5B53">
    <w:pPr>
      <w:pStyle w:val="9"/>
      <w:rPr>
        <w:rFonts w:hint="eastAsia" w:ascii="黑体" w:hAnsi="黑体" w:eastAsia="黑体" w:cs="黑体"/>
        <w:spacing w:val="2"/>
        <w:sz w:val="21"/>
        <w:szCs w:val="21"/>
      </w:rPr>
    </w:pPr>
    <w:r>
      <w:rPr>
        <w:rFonts w:hint="eastAsia" w:ascii="黑体" w:hAnsi="黑体" w:eastAsia="黑体" w:cs="黑体"/>
        <w:spacing w:val="2"/>
        <w:sz w:val="21"/>
        <w:szCs w:val="21"/>
      </w:rPr>
      <w:t>CCS L70</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60A2F">
    <w:pPr>
      <w:pStyle w:val="6"/>
      <w:spacing w:line="249" w:lineRule="exact"/>
      <w:jc w:val="right"/>
      <w:rPr>
        <w:rFonts w:hint="eastAsia"/>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430</w:t>
    </w:r>
    <w:r>
      <w:rPr>
        <w:rFonts w:hint="eastAsia" w:ascii="黑体" w:hAnsi="黑体" w:eastAsia="黑体" w:cs="黑体"/>
        <w:sz w:val="21"/>
        <w:szCs w:val="21"/>
      </w:rPr>
      <w:t>—2026</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14F03">
    <w:pPr>
      <w:pStyle w:val="9"/>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430</w:t>
    </w:r>
    <w:r>
      <w:rPr>
        <w:rFonts w:hint="eastAsia" w:ascii="黑体" w:hAnsi="黑体" w:eastAsia="黑体" w:cs="黑体"/>
        <w:sz w:val="21"/>
        <w:szCs w:val="21"/>
      </w:rPr>
      <w:t>—2026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D9752">
    <w:pPr>
      <w:pStyle w:val="6"/>
      <w:spacing w:line="249" w:lineRule="exact"/>
      <w:jc w:val="both"/>
    </w:pPr>
    <w:r>
      <w:rPr>
        <w:rFonts w:hint="eastAsia" w:ascii="宋体" w:hAnsi="宋体" w:eastAsia="宋体" w:cs="宋体"/>
      </w:rPr>
      <w:t>T/JXEA 320—2026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C2965">
    <w:pPr>
      <w:pStyle w:val="6"/>
      <w:spacing w:line="249" w:lineRule="exact"/>
      <w:ind w:left="20" w:firstLine="7140" w:firstLineChars="3400"/>
      <w:rPr>
        <w:rFonts w:ascii="PingFang SC" w:hAnsi="PingFang SC" w:eastAsia="PingFang SC" w:cs="PingFang SC"/>
        <w:sz w:val="20"/>
        <w:szCs w:val="20"/>
      </w:rPr>
    </w:pPr>
    <w:r>
      <w:rPr>
        <w:rFonts w:ascii="黑体" w:hAnsi="黑体"/>
      </w:rPr>
      <w:t>T/JXEA 320—2026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DD40C">
    <w:pPr>
      <w:pStyle w:val="6"/>
      <w:spacing w:line="249" w:lineRule="exact"/>
      <w:jc w:val="right"/>
      <w:rPr>
        <w:rFonts w:hint="eastAsia" w:ascii="黑体" w:hAnsi="黑体" w:eastAsia="黑体" w:cs="黑体"/>
        <w:sz w:val="21"/>
        <w:szCs w:val="21"/>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430</w:t>
    </w:r>
    <w:r>
      <w:rPr>
        <w:rFonts w:hint="eastAsia" w:ascii="黑体" w:hAnsi="黑体" w:eastAsia="黑体" w:cs="黑体"/>
        <w:sz w:val="21"/>
        <w:szCs w:val="21"/>
      </w:rPr>
      <w:t>—2026</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3F616">
    <w:pPr>
      <w:pStyle w:val="6"/>
      <w:spacing w:line="249"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F7F3E">
    <w:pPr>
      <w:pStyle w:val="6"/>
      <w:spacing w:line="249" w:lineRule="exact"/>
      <w:jc w:val="right"/>
      <w:rPr>
        <w:rFonts w:hint="eastAsia" w:ascii="宋体" w:hAnsi="宋体" w:eastAsia="宋体" w:cs="宋体"/>
        <w:sz w:val="18"/>
        <w:szCs w:val="18"/>
        <w:lang w:val="en-US" w:eastAsia="zh-CN"/>
      </w:rPr>
    </w:pPr>
    <w:r>
      <w:rPr>
        <w:rFonts w:hint="eastAsia" w:ascii="宋体" w:hAnsi="宋体" w:eastAsia="宋体" w:cs="宋体"/>
        <w:sz w:val="18"/>
        <w:szCs w:val="18"/>
      </w:rPr>
      <w:t>T/JXEA 3</w:t>
    </w:r>
    <w:r>
      <w:rPr>
        <w:rFonts w:hint="eastAsia" w:ascii="宋体" w:hAnsi="宋体" w:eastAsia="宋体" w:cs="宋体"/>
        <w:sz w:val="18"/>
        <w:szCs w:val="18"/>
        <w:lang w:val="en-US" w:eastAsia="zh-CN"/>
      </w:rPr>
      <w:t>88</w:t>
    </w:r>
    <w:r>
      <w:rPr>
        <w:rFonts w:hint="eastAsia" w:ascii="宋体" w:hAnsi="宋体" w:eastAsia="宋体" w:cs="宋体"/>
        <w:sz w:val="18"/>
        <w:szCs w:val="18"/>
      </w:rPr>
      <w:t>—2026</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0884D">
    <w:pPr>
      <w:pStyle w:val="6"/>
      <w:spacing w:line="249" w:lineRule="exact"/>
      <w:jc w:val="right"/>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430</w:t>
    </w:r>
    <w:r>
      <w:rPr>
        <w:rFonts w:hint="eastAsia" w:ascii="黑体" w:hAnsi="黑体" w:eastAsia="黑体" w:cs="黑体"/>
        <w:sz w:val="21"/>
        <w:szCs w:val="21"/>
      </w:rPr>
      <w:t>—2026</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61BB2">
    <w:pPr>
      <w:pStyle w:val="6"/>
      <w:spacing w:line="249" w:lineRule="exact"/>
      <w:jc w:val="right"/>
      <w:rPr>
        <w:rFonts w:hint="eastAsia" w:ascii="宋体" w:hAnsi="宋体" w:eastAsia="宋体" w:cs="宋体"/>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430</w:t>
    </w:r>
    <w:r>
      <w:rPr>
        <w:rFonts w:hint="eastAsia" w:ascii="黑体" w:hAnsi="黑体" w:eastAsia="黑体" w:cs="黑体"/>
        <w:sz w:val="21"/>
        <w:szCs w:val="21"/>
      </w:rPr>
      <w:t>—2026</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51695">
    <w:pPr>
      <w:pStyle w:val="6"/>
      <w:spacing w:line="249"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bordersDoNotSurroundHeader w:val="0"/>
  <w:bordersDoNotSurroundFooter w:val="0"/>
  <w:documentProtection w:enforcement="0"/>
  <w:evenAndOddHeaders w:val="1"/>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E11BCF"/>
    <w:rsid w:val="02C95F7F"/>
    <w:rsid w:val="094D7246"/>
    <w:rsid w:val="10817822"/>
    <w:rsid w:val="114D3720"/>
    <w:rsid w:val="117723DD"/>
    <w:rsid w:val="144F2D27"/>
    <w:rsid w:val="152B0E50"/>
    <w:rsid w:val="1BFC2A77"/>
    <w:rsid w:val="1CEA3614"/>
    <w:rsid w:val="1E165790"/>
    <w:rsid w:val="1E854FF8"/>
    <w:rsid w:val="1EF40971"/>
    <w:rsid w:val="1F883BB0"/>
    <w:rsid w:val="1FA4037A"/>
    <w:rsid w:val="1FA85442"/>
    <w:rsid w:val="24981844"/>
    <w:rsid w:val="25F610B0"/>
    <w:rsid w:val="25FA472D"/>
    <w:rsid w:val="261E7AA3"/>
    <w:rsid w:val="270950B5"/>
    <w:rsid w:val="285208E9"/>
    <w:rsid w:val="288010CA"/>
    <w:rsid w:val="2F913B87"/>
    <w:rsid w:val="314C15E2"/>
    <w:rsid w:val="36055107"/>
    <w:rsid w:val="362C295C"/>
    <w:rsid w:val="3673731E"/>
    <w:rsid w:val="36C03D85"/>
    <w:rsid w:val="38296BB0"/>
    <w:rsid w:val="38CD2E8E"/>
    <w:rsid w:val="39F53F18"/>
    <w:rsid w:val="3AF6384B"/>
    <w:rsid w:val="3F417E35"/>
    <w:rsid w:val="3F911525"/>
    <w:rsid w:val="409E2E12"/>
    <w:rsid w:val="41272A58"/>
    <w:rsid w:val="478B5BE9"/>
    <w:rsid w:val="49AE2C0A"/>
    <w:rsid w:val="4BA11B70"/>
    <w:rsid w:val="4D576B6D"/>
    <w:rsid w:val="4E4F4B57"/>
    <w:rsid w:val="4ED300C1"/>
    <w:rsid w:val="50F8747A"/>
    <w:rsid w:val="51536047"/>
    <w:rsid w:val="54DC719A"/>
    <w:rsid w:val="54EA55DA"/>
    <w:rsid w:val="55277367"/>
    <w:rsid w:val="567F35D2"/>
    <w:rsid w:val="571B11FE"/>
    <w:rsid w:val="5DFE5C52"/>
    <w:rsid w:val="5DFF3841"/>
    <w:rsid w:val="5EAB5261"/>
    <w:rsid w:val="61E5122B"/>
    <w:rsid w:val="679C2507"/>
    <w:rsid w:val="67D029E5"/>
    <w:rsid w:val="69731BEA"/>
    <w:rsid w:val="6A4913D1"/>
    <w:rsid w:val="6CF43042"/>
    <w:rsid w:val="6D911F95"/>
    <w:rsid w:val="6E0E34CE"/>
    <w:rsid w:val="6EF72976"/>
    <w:rsid w:val="6FD66A2F"/>
    <w:rsid w:val="6FD809F9"/>
    <w:rsid w:val="7023696D"/>
    <w:rsid w:val="733E6120"/>
    <w:rsid w:val="74324450"/>
    <w:rsid w:val="75B24D84"/>
    <w:rsid w:val="76730700"/>
    <w:rsid w:val="78031871"/>
    <w:rsid w:val="78F341AE"/>
    <w:rsid w:val="79B85A3F"/>
    <w:rsid w:val="79F63C5C"/>
    <w:rsid w:val="FF5E51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jc w:val="both"/>
      <w:outlineLvl w:val="0"/>
    </w:pPr>
    <w:rPr>
      <w:rFonts w:ascii="黑体" w:hAnsi="黑体" w:eastAsia="黑体" w:cs="黑体"/>
      <w:spacing w:val="7"/>
    </w:rPr>
  </w:style>
  <w:style w:type="paragraph" w:styleId="3">
    <w:name w:val="heading 2"/>
    <w:basedOn w:val="1"/>
    <w:next w:val="1"/>
    <w:unhideWhenUsed/>
    <w:qFormat/>
    <w:uiPriority w:val="0"/>
    <w:pPr>
      <w:spacing w:before="91" w:line="312" w:lineRule="auto"/>
      <w:ind w:right="6" w:firstLine="427"/>
      <w:jc w:val="both"/>
      <w:outlineLvl w:val="1"/>
    </w:pPr>
    <w:rPr>
      <w:rFonts w:ascii="PingFang SC" w:hAnsi="PingFang SC" w:eastAsia="PingFang SC" w:cs="PingFang SC"/>
      <w:spacing w:val="7"/>
      <w:sz w:val="20"/>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其他发布日期"/>
    <w:basedOn w:val="19"/>
    <w:qFormat/>
    <w:uiPriority w:val="0"/>
    <w:pPr>
      <w:framePr w:w="3997" w:h="471" w:hRule="exact" w:hSpace="0" w:vSpace="181" w:wrap="around" w:vAnchor="page" w:hAnchor="page" w:x="1419" w:y="14097"/>
    </w:pPr>
  </w:style>
  <w:style w:type="paragraph" w:customStyle="1" w:styleId="19">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styleId="20">
    <w:name w:val="List Paragraph"/>
    <w:basedOn w:val="1"/>
    <w:qFormat/>
    <w:uiPriority w:val="1"/>
    <w:pPr>
      <w:ind w:left="1132" w:hanging="425"/>
    </w:pPr>
    <w:rPr>
      <w:rFonts w:ascii="宋体" w:hAnsi="宋体" w:eastAsia="宋体" w:cs="宋体"/>
      <w:lang w:val="en-US" w:eastAsia="en-US" w:bidi="en-US"/>
    </w:rPr>
  </w:style>
  <w:style w:type="character" w:styleId="21">
    <w:name w:val="Placeholder Text"/>
    <w:basedOn w:val="15"/>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3.png"/><Relationship Id="rId26" Type="http://schemas.openxmlformats.org/officeDocument/2006/relationships/image" Target="media/image2.png"/><Relationship Id="rId25" Type="http://schemas.openxmlformats.org/officeDocument/2006/relationships/image" Target="media/image1.png"/><Relationship Id="rId24" Type="http://schemas.openxmlformats.org/officeDocument/2006/relationships/theme" Target="theme/theme1.xml"/><Relationship Id="rId23" Type="http://schemas.openxmlformats.org/officeDocument/2006/relationships/footer" Target="footer8.xml"/><Relationship Id="rId22" Type="http://schemas.openxmlformats.org/officeDocument/2006/relationships/footer" Target="footer7.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footer" Target="footer6.xml"/><Relationship Id="rId18" Type="http://schemas.openxmlformats.org/officeDocument/2006/relationships/footer" Target="footer5.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4.xml"/><Relationship Id="rId14" Type="http://schemas.openxmlformats.org/officeDocument/2006/relationships/footer" Target="footer3.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3477</Words>
  <Characters>3894</Characters>
  <TotalTime>3</TotalTime>
  <ScaleCrop>false</ScaleCrop>
  <LinksUpToDate>false</LinksUpToDate>
  <CharactersWithSpaces>4065</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2026-01-19T23:12:00Z</dcterms:created>
  <dc:creator>Administrator</dc:creator>
  <cp:lastModifiedBy>孙源</cp:lastModifiedBy>
  <dcterms:modified xsi:type="dcterms:W3CDTF">2026-06-01T06:23:52Z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2026-01-29T04:18:10Z</vt:filetime>
  </property>
  <property fmtid="{D5CDD505-2E9C-101B-9397-08002B2CF9AE}" pid="4" name="KSOTemplateDocerSaveRecord">
    <vt:lpwstr>eyJoZGlkIjoiNTQ5MWU0NmJmYzU0MmZiNmYzNWZmODgyODE2OTlmYTIiLCJ1c2VySWQiOiI5NDk0MTg3MjYifQ==</vt:lpwstr>
  </property>
  <property fmtid="{D5CDD505-2E9C-101B-9397-08002B2CF9AE}" pid="5" name="KSOProductBuildVer">
    <vt:lpwstr>2052-12.1.0.25865</vt:lpwstr>
  </property>
  <property fmtid="{D5CDD505-2E9C-101B-9397-08002B2CF9AE}" pid="6" name="ICV">
    <vt:lpwstr>AFFB3CF219DB4D5D80A140B64BD1CAFA_13</vt:lpwstr>
  </property>
</Properties>
</file>