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C5B91">
      <w:pPr>
        <w:spacing w:before="31"/>
        <w:ind w:left="6727" w:right="0" w:firstLine="0"/>
        <w:jc w:val="left"/>
        <w:rPr>
          <w:rFonts w:hint="eastAsia" w:ascii="Times New Roman" w:eastAsia="宋体"/>
          <w:b/>
          <w:w w:val="130"/>
          <w:sz w:val="96"/>
          <w:lang w:val="en-US" w:eastAsia="zh-CN"/>
        </w:rPr>
      </w:pPr>
      <w:bookmarkStart w:id="0" w:name="bookmark1"/>
      <w:bookmarkEnd w:id="0"/>
      <w:r>
        <mc:AlternateContent>
          <mc:Choice Requires="wpg">
            <w:drawing>
              <wp:anchor distT="0" distB="0" distL="114300" distR="114300" simplePos="0" relativeHeight="251661312" behindDoc="0" locked="0" layoutInCell="1" allowOverlap="1">
                <wp:simplePos x="0" y="0"/>
                <wp:positionH relativeFrom="page">
                  <wp:posOffset>4242435</wp:posOffset>
                </wp:positionH>
                <wp:positionV relativeFrom="paragraph">
                  <wp:posOffset>150495</wp:posOffset>
                </wp:positionV>
                <wp:extent cx="589915" cy="436245"/>
                <wp:effectExtent l="635" t="0" r="6350" b="8255"/>
                <wp:wrapNone/>
                <wp:docPr id="2" name="组合 2"/>
                <wp:cNvGraphicFramePr/>
                <a:graphic xmlns:a="http://schemas.openxmlformats.org/drawingml/2006/main">
                  <a:graphicData uri="http://schemas.microsoft.com/office/word/2010/wordprocessingGroup">
                    <wpg:wgp>
                      <wpg:cNvGrpSpPr/>
                      <wpg:grpSpPr>
                        <a:xfrm>
                          <a:off x="0" y="0"/>
                          <a:ext cx="589915" cy="436245"/>
                          <a:chOff x="6682" y="237"/>
                          <a:chExt cx="929" cy="687"/>
                        </a:xfrm>
                      </wpg:grpSpPr>
                      <pic:pic xmlns:pic="http://schemas.openxmlformats.org/drawingml/2006/picture">
                        <pic:nvPicPr>
                          <pic:cNvPr id="4" name="图片 3"/>
                          <pic:cNvPicPr>
                            <a:picLocks noChangeAspect="1"/>
                          </pic:cNvPicPr>
                        </pic:nvPicPr>
                        <pic:blipFill>
                          <a:blip r:embed="rId25"/>
                          <a:stretch>
                            <a:fillRect/>
                          </a:stretch>
                        </pic:blipFill>
                        <pic:spPr>
                          <a:xfrm>
                            <a:off x="6681" y="237"/>
                            <a:ext cx="653" cy="680"/>
                          </a:xfrm>
                          <a:prstGeom prst="rect">
                            <a:avLst/>
                          </a:prstGeom>
                          <a:noFill/>
                          <a:ln>
                            <a:noFill/>
                          </a:ln>
                        </pic:spPr>
                      </pic:pic>
                      <pic:pic xmlns:pic="http://schemas.openxmlformats.org/drawingml/2006/picture">
                        <pic:nvPicPr>
                          <pic:cNvPr id="5" name="图片 4"/>
                          <pic:cNvPicPr>
                            <a:picLocks noChangeAspect="1"/>
                          </pic:cNvPicPr>
                        </pic:nvPicPr>
                        <pic:blipFill>
                          <a:blip r:embed="rId26"/>
                          <a:stretch>
                            <a:fillRect/>
                          </a:stretch>
                        </pic:blipFill>
                        <pic:spPr>
                          <a:xfrm>
                            <a:off x="7341" y="237"/>
                            <a:ext cx="269" cy="687"/>
                          </a:xfrm>
                          <a:prstGeom prst="rect">
                            <a:avLst/>
                          </a:prstGeom>
                          <a:noFill/>
                          <a:ln>
                            <a:noFill/>
                          </a:ln>
                        </pic:spPr>
                      </pic:pic>
                    </wpg:wgp>
                  </a:graphicData>
                </a:graphic>
              </wp:anchor>
            </w:drawing>
          </mc:Choice>
          <mc:Fallback>
            <w:pict>
              <v:group id="_x0000_s1026" o:spid="_x0000_s1026" o:spt="203" style="position:absolute;left:0pt;margin-left:334.05pt;margin-top:11.85pt;height:34.35pt;width:46.45pt;mso-position-horizontal-relative:page;z-index:251661312;mso-width-relative:page;mso-height-relative:page;" coordorigin="6682,237" coordsize="929,687" o:gfxdata="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">
                <o:lock v:ext="edit" aspectratio="f"/>
                <v:shape id="图片 3" o:spid="_x0000_s1026" o:spt="75" type="#_x0000_t75" style="position:absolute;left:6681;top:237;height:680;width:653;" filled="f" o:preferrelative="t" stroked="f" coordsize="21600,21600" o:gfxdata="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pkyRvQAA&#10;ANoAAAAPAAAAAAAAAAEAIAAAACIAAABkcnMvZG93bnJldi54bWxQSwECFAAUAAAACACHTuJAMy8F&#10;njsAAAA5AAAAEAAAAAAAAAABACAAAAAMAQAAZHJzL3NoYXBleG1sLnhtbFBLBQYAAAAABgAGAFsB&#10;AAC2AwAAAAA=&#10;">
                  <v:fill on="f" focussize="0,0"/>
                  <v:stroke on="f"/>
                  <v:imagedata r:id="rId25" o:title=""/>
                  <o:lock v:ext="edit" aspectratio="t"/>
                </v:shape>
                <v:shape id="图片 4" o:spid="_x0000_s1026" o:spt="75" type="#_x0000_t75" style="position:absolute;left:7341;top:237;height:687;width:269;" filled="f" o:preferrelative="t" stroked="f" coordsize="21600,21600" o:gfxdata="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appzvQAA&#10;ANoAAAAPAAAAAAAAAAEAIAAAACIAAABkcnMvZG93bnJldi54bWxQSwECFAAUAAAACACHTuJAMy8F&#10;njsAAAA5AAAAEAAAAAAAAAABACAAAAAMAQAAZHJzL3NoYXBleG1sLnhtbFBLBQYAAAAABgAGAFsB&#10;AAC2AwAAAAA=&#10;">
                  <v:fill on="f" focussize="0,0"/>
                  <v:stroke on="f"/>
                  <v:imagedata r:id="rId26" o:title=""/>
                  <o:lock v:ext="edit" aspectratio="t"/>
                </v:shape>
              </v:group>
            </w:pict>
          </mc:Fallback>
        </mc:AlternateContent>
      </w:r>
      <w:r>
        <w:rPr>
          <w:rFonts w:ascii="Times New Roman"/>
          <w:b/>
          <w:w w:val="130"/>
          <w:sz w:val="96"/>
        </w:rPr>
        <w:t>J</w:t>
      </w:r>
      <w:r>
        <w:rPr>
          <w:rFonts w:hint="eastAsia" w:ascii="Times New Roman"/>
          <w:b/>
          <w:w w:val="130"/>
          <w:sz w:val="96"/>
          <w:lang w:val="en-US" w:eastAsia="zh-CN"/>
        </w:rPr>
        <w:t>X</w:t>
      </w:r>
      <w:r>
        <w:rPr>
          <w:rFonts w:ascii="Times New Roman"/>
          <w:b/>
          <w:w w:val="130"/>
          <w:sz w:val="96"/>
        </w:rPr>
        <w:t>E</w:t>
      </w:r>
      <w:r>
        <w:rPr>
          <w:rFonts w:hint="eastAsia" w:ascii="Times New Roman"/>
          <w:b/>
          <w:w w:val="130"/>
          <w:sz w:val="96"/>
          <w:lang w:val="en-US" w:eastAsia="zh-CN"/>
        </w:rPr>
        <w:t>A</w:t>
      </w:r>
    </w:p>
    <w:p w14:paraId="12031DCB">
      <w:pPr>
        <w:spacing w:before="0" w:line="602" w:lineRule="exact"/>
        <w:ind w:left="38" w:right="0" w:firstLine="0"/>
        <w:jc w:val="center"/>
        <w:rPr>
          <w:rFonts w:hint="eastAsia" w:ascii="黑体" w:eastAsia="黑体"/>
          <w:sz w:val="48"/>
        </w:rPr>
      </w:pPr>
      <w:r>
        <w:rPr>
          <w:rFonts w:hint="eastAsia" w:ascii="黑体" w:eastAsia="黑体"/>
          <w:sz w:val="48"/>
        </w:rPr>
        <w:t xml:space="preserve">江 </w:t>
      </w:r>
      <w:r>
        <w:rPr>
          <w:rFonts w:hint="eastAsia" w:ascii="黑体" w:eastAsia="黑体"/>
          <w:sz w:val="48"/>
          <w:lang w:val="en-US" w:eastAsia="zh-CN"/>
        </w:rPr>
        <w:t xml:space="preserve">西 </w:t>
      </w:r>
      <w:r>
        <w:rPr>
          <w:rFonts w:hint="eastAsia" w:ascii="黑体" w:eastAsia="黑体"/>
          <w:sz w:val="48"/>
        </w:rPr>
        <w:t xml:space="preserve">省 工 程 师 </w:t>
      </w:r>
      <w:r>
        <w:rPr>
          <w:rFonts w:hint="eastAsia" w:ascii="黑体" w:eastAsia="黑体"/>
          <w:sz w:val="48"/>
          <w:lang w:val="en-US" w:eastAsia="zh-CN"/>
        </w:rPr>
        <w:t xml:space="preserve">联 合 </w:t>
      </w:r>
      <w:r>
        <w:rPr>
          <w:rFonts w:hint="eastAsia" w:ascii="黑体" w:eastAsia="黑体"/>
          <w:sz w:val="48"/>
        </w:rPr>
        <w:t>会 团 体 标 准</w:t>
      </w:r>
    </w:p>
    <w:p w14:paraId="06530B1C">
      <w:pPr>
        <w:spacing w:before="341"/>
        <w:ind w:left="0" w:right="411" w:firstLine="0"/>
        <w:jc w:val="right"/>
        <w:rPr>
          <w:rFonts w:hint="eastAsia" w:ascii="黑体" w:hAnsi="黑体" w:eastAsia="宋体"/>
          <w:sz w:val="28"/>
          <w:lang w:eastAsia="zh-CN"/>
        </w:rPr>
      </w:pPr>
      <w:r>
        <w:rPr>
          <w:rFonts w:ascii="黑体" w:hAnsi="黑体"/>
          <w:sz w:val="28"/>
        </w:rPr>
        <w:t>T/JXEA 429—2026</w:t>
      </w:r>
    </w:p>
    <w:p w14:paraId="6EB1BE84">
      <w:pPr>
        <w:pStyle w:val="6"/>
        <w:rPr>
          <w:rFonts w:ascii="黑体"/>
          <w:sz w:val="20"/>
        </w:rPr>
      </w:pPr>
    </w:p>
    <w:p w14:paraId="2B5D136B">
      <w:pPr>
        <w:pStyle w:val="6"/>
        <w:spacing w:before="4"/>
        <w:rPr>
          <w:rFonts w:ascii="黑体"/>
          <w:sz w:val="28"/>
        </w:rPr>
      </w:pPr>
      <w:r>
        <mc:AlternateContent>
          <mc:Choice Requires="wps">
            <w:drawing>
              <wp:anchor distT="0" distB="0" distL="114300" distR="114300" simplePos="0" relativeHeight="251659264" behindDoc="1" locked="0" layoutInCell="1" allowOverlap="1">
                <wp:simplePos x="0" y="0"/>
                <wp:positionH relativeFrom="page">
                  <wp:posOffset>900430</wp:posOffset>
                </wp:positionH>
                <wp:positionV relativeFrom="paragraph">
                  <wp:posOffset>260350</wp:posOffset>
                </wp:positionV>
                <wp:extent cx="6120130" cy="0"/>
                <wp:effectExtent l="0" t="4445" r="0" b="5080"/>
                <wp:wrapTopAndBottom/>
                <wp:docPr id="3" name="直线 5"/>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5" o:spid="_x0000_s1026" o:spt="20" style="position:absolute;left:0pt;margin-left:70.9pt;margin-top:20.5pt;height:0pt;width:481.9pt;mso-position-horizontal-relative:page;mso-wrap-distance-bottom:0pt;mso-wrap-distance-top:0pt;z-index:-251657216;mso-width-relative:page;mso-height-relative:page;" filled="f" stroked="t" coordsize="21600,21600" o:gfxdata="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6fveU1gAA&#10;AAoBAAAPAAAAAAAAAAEAIAAAACIAAABkcnMvZG93bnJldi54bWxQSwECFAAUAAAACACHTuJAeKaj&#10;sucBAADbAwAADgAAAAAAAAABACAAAAAlAQAAZHJzL2Uyb0RvYy54bWxQSwUGAAAAAAYABgBZAQAA&#10;fgUAAAAA&#10;">
                <v:fill on="f" focussize="0,0"/>
                <v:stroke color="#000000" joinstyle="round"/>
                <v:imagedata o:title=""/>
                <o:lock v:ext="edit" aspectratio="f"/>
                <w10:wrap type="topAndBottom"/>
              </v:line>
            </w:pict>
          </mc:Fallback>
        </mc:AlternateContent>
      </w:r>
    </w:p>
    <w:p w14:paraId="1C535998">
      <w:pPr>
        <w:pStyle w:val="6"/>
        <w:rPr>
          <w:rFonts w:ascii="黑体"/>
          <w:sz w:val="28"/>
        </w:rPr>
      </w:pPr>
    </w:p>
    <w:p w14:paraId="3C30986B">
      <w:pPr>
        <w:pStyle w:val="6"/>
        <w:rPr>
          <w:rFonts w:ascii="黑体"/>
          <w:sz w:val="28"/>
        </w:rPr>
      </w:pPr>
    </w:p>
    <w:p w14:paraId="5E5D9AD9">
      <w:pPr>
        <w:pStyle w:val="6"/>
        <w:rPr>
          <w:rFonts w:ascii="黑体"/>
          <w:sz w:val="28"/>
        </w:rPr>
      </w:pPr>
    </w:p>
    <w:p w14:paraId="0F32264C">
      <w:pPr>
        <w:pStyle w:val="6"/>
        <w:spacing w:before="3"/>
        <w:rPr>
          <w:rFonts w:hint="eastAsia" w:ascii="黑体" w:hAnsi="黑体" w:eastAsia="黑体" w:cs="黑体"/>
          <w:snapToGrid w:val="0"/>
          <w:color w:val="000000"/>
          <w:spacing w:val="-2"/>
          <w:kern w:val="0"/>
          <w:sz w:val="52"/>
          <w:szCs w:val="52"/>
          <w:lang w:val="en-US" w:eastAsia="en-US" w:bidi="ar-SA"/>
        </w:rPr>
      </w:pPr>
    </w:p>
    <w:p w14:paraId="14A96175">
      <w:pPr>
        <w:pStyle w:val="12"/>
        <w:keepNext w:val="0"/>
        <w:keepLines w:val="0"/>
        <w:widowControl/>
        <w:suppressLineNumbers w:val="0"/>
        <w:spacing w:before="0" w:beforeAutospacing="0" w:after="0" w:afterAutospacing="0"/>
        <w:ind w:left="0" w:right="0" w:firstLine="0"/>
        <w:jc w:val="center"/>
        <w:rPr>
          <w:rFonts w:hint="eastAsia" w:ascii="黑体" w:hAnsi="黑体" w:eastAsia="黑体" w:cs="黑体"/>
          <w:snapToGrid w:val="0"/>
          <w:color w:val="000000"/>
          <w:spacing w:val="-2"/>
          <w:kern w:val="0"/>
          <w:sz w:val="52"/>
          <w:szCs w:val="52"/>
          <w:lang w:val="en-US" w:eastAsia="en-US" w:bidi="ar-SA"/>
        </w:rPr>
      </w:pPr>
      <w:r>
        <w:rPr>
          <w:rFonts w:hint="eastAsia" w:ascii="黑体" w:hAnsi="黑体" w:eastAsia="黑体" w:cs="黑体"/>
          <w:snapToGrid w:val="0"/>
          <w:color w:val="000000"/>
          <w:spacing w:val="-2"/>
          <w:kern w:val="0"/>
          <w:sz w:val="52"/>
          <w:szCs w:val="52"/>
          <w:lang w:val="en-US" w:eastAsia="en-US" w:bidi="ar-SA"/>
        </w:rPr>
        <w:t>中小河流暴雨洪水预报预警技术规程</w:t>
      </w:r>
    </w:p>
    <w:p w14:paraId="2E701569">
      <w:pPr>
        <w:pStyle w:val="12"/>
        <w:keepNext w:val="0"/>
        <w:keepLines w:val="0"/>
        <w:pageBreakBefore w:val="0"/>
        <w:widowControl/>
        <w:suppressLineNumbers w:val="0"/>
        <w:kinsoku w:val="0"/>
        <w:wordWrap/>
        <w:overflowPunct/>
        <w:topLinePunct w:val="0"/>
        <w:autoSpaceDE w:val="0"/>
        <w:autoSpaceDN w:val="0"/>
        <w:bidi w:val="0"/>
        <w:adjustRightInd w:val="0"/>
        <w:snapToGrid w:val="0"/>
        <w:spacing w:before="380" w:beforeAutospacing="0" w:after="0" w:afterAutospacing="0"/>
        <w:ind w:left="283" w:right="0" w:firstLine="0"/>
        <w:jc w:val="center"/>
        <w:textAlignment w:val="baseline"/>
        <w:rPr>
          <w:rFonts w:hint="eastAsia" w:ascii="黑体" w:hAnsi="黑体" w:eastAsia="黑体" w:cs="黑体"/>
          <w:snapToGrid w:val="0"/>
          <w:color w:val="000000"/>
          <w:spacing w:val="-2"/>
          <w:kern w:val="0"/>
          <w:sz w:val="28"/>
          <w:szCs w:val="28"/>
          <w:lang w:val="en-US" w:eastAsia="en-US" w:bidi="ar-SA"/>
        </w:rPr>
      </w:pPr>
      <w:r>
        <w:rPr>
          <w:rFonts w:hint="eastAsia" w:ascii="黑体" w:hAnsi="黑体" w:eastAsia="黑体" w:cs="黑体"/>
          <w:snapToGrid w:val="0"/>
          <w:color w:val="000000"/>
          <w:spacing w:val="-2"/>
          <w:kern w:val="0"/>
          <w:sz w:val="28"/>
          <w:szCs w:val="28"/>
          <w:lang w:val="en-US" w:eastAsia="en-US" w:bidi="ar-SA"/>
        </w:rPr>
        <w:t xml:space="preserve">Technical </w:t>
      </w:r>
      <w:r>
        <w:rPr>
          <w:rFonts w:hint="eastAsia" w:ascii="黑体" w:hAnsi="黑体" w:eastAsia="黑体" w:cs="黑体"/>
          <w:snapToGrid w:val="0"/>
          <w:color w:val="000000"/>
          <w:spacing w:val="-2"/>
          <w:kern w:val="0"/>
          <w:sz w:val="28"/>
          <w:szCs w:val="28"/>
          <w:lang w:val="en-US" w:eastAsia="zh-CN" w:bidi="ar-SA"/>
        </w:rPr>
        <w:t>r</w:t>
      </w:r>
      <w:r>
        <w:rPr>
          <w:rFonts w:hint="eastAsia" w:ascii="黑体" w:hAnsi="黑体" w:eastAsia="黑体" w:cs="黑体"/>
          <w:snapToGrid w:val="0"/>
          <w:color w:val="000000"/>
          <w:spacing w:val="-2"/>
          <w:kern w:val="0"/>
          <w:sz w:val="28"/>
          <w:szCs w:val="28"/>
          <w:lang w:val="en-US" w:eastAsia="en-US" w:bidi="ar-SA"/>
        </w:rPr>
        <w:t xml:space="preserve">egulations for </w:t>
      </w:r>
      <w:r>
        <w:rPr>
          <w:rFonts w:hint="eastAsia" w:ascii="黑体" w:hAnsi="黑体" w:eastAsia="黑体" w:cs="黑体"/>
          <w:snapToGrid w:val="0"/>
          <w:color w:val="000000"/>
          <w:spacing w:val="-2"/>
          <w:kern w:val="0"/>
          <w:sz w:val="28"/>
          <w:szCs w:val="28"/>
          <w:lang w:val="en-US" w:eastAsia="zh-CN" w:bidi="ar-SA"/>
        </w:rPr>
        <w:t>r</w:t>
      </w:r>
      <w:r>
        <w:rPr>
          <w:rFonts w:hint="eastAsia" w:ascii="黑体" w:hAnsi="黑体" w:eastAsia="黑体" w:cs="黑体"/>
          <w:snapToGrid w:val="0"/>
          <w:color w:val="000000"/>
          <w:spacing w:val="-2"/>
          <w:kern w:val="0"/>
          <w:sz w:val="28"/>
          <w:szCs w:val="28"/>
          <w:lang w:val="en-US" w:eastAsia="en-US" w:bidi="ar-SA"/>
        </w:rPr>
        <w:t xml:space="preserve">ainstorm </w:t>
      </w:r>
      <w:r>
        <w:rPr>
          <w:rFonts w:hint="eastAsia" w:ascii="黑体" w:hAnsi="黑体" w:eastAsia="黑体" w:cs="黑体"/>
          <w:snapToGrid w:val="0"/>
          <w:color w:val="000000"/>
          <w:spacing w:val="-2"/>
          <w:kern w:val="0"/>
          <w:sz w:val="28"/>
          <w:szCs w:val="28"/>
          <w:lang w:val="en-US" w:eastAsia="zh-CN" w:bidi="ar-SA"/>
        </w:rPr>
        <w:t>f</w:t>
      </w:r>
      <w:r>
        <w:rPr>
          <w:rFonts w:hint="eastAsia" w:ascii="黑体" w:hAnsi="黑体" w:eastAsia="黑体" w:cs="黑体"/>
          <w:snapToGrid w:val="0"/>
          <w:color w:val="000000"/>
          <w:spacing w:val="-2"/>
          <w:kern w:val="0"/>
          <w:sz w:val="28"/>
          <w:szCs w:val="28"/>
          <w:lang w:val="en-US" w:eastAsia="en-US" w:bidi="ar-SA"/>
        </w:rPr>
        <w:t xml:space="preserve">lood </w:t>
      </w:r>
      <w:r>
        <w:rPr>
          <w:rFonts w:hint="eastAsia" w:ascii="黑体" w:hAnsi="黑体" w:eastAsia="黑体" w:cs="黑体"/>
          <w:snapToGrid w:val="0"/>
          <w:color w:val="000000"/>
          <w:spacing w:val="-2"/>
          <w:kern w:val="0"/>
          <w:sz w:val="28"/>
          <w:szCs w:val="28"/>
          <w:lang w:val="en-US" w:eastAsia="zh-CN" w:bidi="ar-SA"/>
        </w:rPr>
        <w:t>f</w:t>
      </w:r>
      <w:r>
        <w:rPr>
          <w:rFonts w:hint="eastAsia" w:ascii="黑体" w:hAnsi="黑体" w:eastAsia="黑体" w:cs="黑体"/>
          <w:snapToGrid w:val="0"/>
          <w:color w:val="000000"/>
          <w:spacing w:val="-2"/>
          <w:kern w:val="0"/>
          <w:sz w:val="28"/>
          <w:szCs w:val="28"/>
          <w:lang w:val="en-US" w:eastAsia="en-US" w:bidi="ar-SA"/>
        </w:rPr>
        <w:t xml:space="preserve">orecasting and </w:t>
      </w:r>
      <w:r>
        <w:rPr>
          <w:rFonts w:hint="eastAsia" w:ascii="黑体" w:hAnsi="黑体" w:eastAsia="黑体" w:cs="黑体"/>
          <w:snapToGrid w:val="0"/>
          <w:color w:val="000000"/>
          <w:spacing w:val="-2"/>
          <w:kern w:val="0"/>
          <w:sz w:val="28"/>
          <w:szCs w:val="28"/>
          <w:lang w:val="en-US" w:eastAsia="zh-CN" w:bidi="ar-SA"/>
        </w:rPr>
        <w:t>e</w:t>
      </w:r>
      <w:r>
        <w:rPr>
          <w:rFonts w:hint="eastAsia" w:ascii="黑体" w:hAnsi="黑体" w:eastAsia="黑体" w:cs="黑体"/>
          <w:snapToGrid w:val="0"/>
          <w:color w:val="000000"/>
          <w:spacing w:val="-2"/>
          <w:kern w:val="0"/>
          <w:sz w:val="28"/>
          <w:szCs w:val="28"/>
          <w:lang w:val="en-US" w:eastAsia="en-US" w:bidi="ar-SA"/>
        </w:rPr>
        <w:t xml:space="preserve">arly </w:t>
      </w:r>
      <w:r>
        <w:rPr>
          <w:rFonts w:hint="eastAsia" w:ascii="黑体" w:hAnsi="黑体" w:eastAsia="黑体" w:cs="黑体"/>
          <w:snapToGrid w:val="0"/>
          <w:color w:val="000000"/>
          <w:spacing w:val="-2"/>
          <w:kern w:val="0"/>
          <w:sz w:val="28"/>
          <w:szCs w:val="28"/>
          <w:lang w:val="en-US" w:eastAsia="zh-CN" w:bidi="ar-SA"/>
        </w:rPr>
        <w:t>w</w:t>
      </w:r>
      <w:r>
        <w:rPr>
          <w:rFonts w:hint="eastAsia" w:ascii="黑体" w:hAnsi="黑体" w:eastAsia="黑体" w:cs="黑体"/>
          <w:snapToGrid w:val="0"/>
          <w:color w:val="000000"/>
          <w:spacing w:val="-2"/>
          <w:kern w:val="0"/>
          <w:sz w:val="28"/>
          <w:szCs w:val="28"/>
          <w:lang w:val="en-US" w:eastAsia="en-US" w:bidi="ar-SA"/>
        </w:rPr>
        <w:t xml:space="preserve">arning of </w:t>
      </w:r>
      <w:r>
        <w:rPr>
          <w:rFonts w:hint="eastAsia" w:ascii="黑体" w:hAnsi="黑体" w:eastAsia="黑体" w:cs="黑体"/>
          <w:snapToGrid w:val="0"/>
          <w:color w:val="000000"/>
          <w:spacing w:val="-2"/>
          <w:kern w:val="0"/>
          <w:sz w:val="28"/>
          <w:szCs w:val="28"/>
          <w:lang w:val="en-US" w:eastAsia="zh-CN" w:bidi="ar-SA"/>
        </w:rPr>
        <w:t>s</w:t>
      </w:r>
      <w:r>
        <w:rPr>
          <w:rFonts w:hint="eastAsia" w:ascii="黑体" w:hAnsi="黑体" w:eastAsia="黑体" w:cs="黑体"/>
          <w:snapToGrid w:val="0"/>
          <w:color w:val="000000"/>
          <w:spacing w:val="-2"/>
          <w:kern w:val="0"/>
          <w:sz w:val="28"/>
          <w:szCs w:val="28"/>
          <w:lang w:val="en-US" w:eastAsia="en-US" w:bidi="ar-SA"/>
        </w:rPr>
        <w:t xml:space="preserve">mall and </w:t>
      </w:r>
      <w:r>
        <w:rPr>
          <w:rFonts w:hint="eastAsia" w:ascii="黑体" w:hAnsi="黑体" w:eastAsia="黑体" w:cs="黑体"/>
          <w:snapToGrid w:val="0"/>
          <w:color w:val="000000"/>
          <w:spacing w:val="-2"/>
          <w:kern w:val="0"/>
          <w:sz w:val="28"/>
          <w:szCs w:val="28"/>
          <w:lang w:val="en-US" w:eastAsia="zh-CN" w:bidi="ar-SA"/>
        </w:rPr>
        <w:t>m</w:t>
      </w:r>
      <w:r>
        <w:rPr>
          <w:rFonts w:hint="eastAsia" w:ascii="黑体" w:hAnsi="黑体" w:eastAsia="黑体" w:cs="黑体"/>
          <w:snapToGrid w:val="0"/>
          <w:color w:val="000000"/>
          <w:spacing w:val="-2"/>
          <w:kern w:val="0"/>
          <w:sz w:val="28"/>
          <w:szCs w:val="28"/>
          <w:lang w:val="en-US" w:eastAsia="en-US" w:bidi="ar-SA"/>
        </w:rPr>
        <w:t xml:space="preserve">edium </w:t>
      </w:r>
      <w:r>
        <w:rPr>
          <w:rFonts w:hint="eastAsia" w:ascii="黑体" w:hAnsi="黑体" w:eastAsia="黑体" w:cs="黑体"/>
          <w:snapToGrid w:val="0"/>
          <w:color w:val="000000"/>
          <w:spacing w:val="-2"/>
          <w:kern w:val="0"/>
          <w:sz w:val="28"/>
          <w:szCs w:val="28"/>
          <w:lang w:val="en-US" w:eastAsia="zh-CN" w:bidi="ar-SA"/>
        </w:rPr>
        <w:t>r</w:t>
      </w:r>
      <w:r>
        <w:rPr>
          <w:rFonts w:hint="eastAsia" w:ascii="黑体" w:hAnsi="黑体" w:eastAsia="黑体" w:cs="黑体"/>
          <w:snapToGrid w:val="0"/>
          <w:color w:val="000000"/>
          <w:spacing w:val="-2"/>
          <w:kern w:val="0"/>
          <w:sz w:val="28"/>
          <w:szCs w:val="28"/>
          <w:lang w:val="en-US" w:eastAsia="en-US" w:bidi="ar-SA"/>
        </w:rPr>
        <w:t>ivers</w:t>
      </w:r>
    </w:p>
    <w:p w14:paraId="242324EA">
      <w:pPr>
        <w:spacing w:before="392"/>
        <w:ind w:left="268" w:right="0" w:firstLine="0"/>
        <w:jc w:val="center"/>
        <w:rPr>
          <w:rFonts w:hint="eastAsia" w:ascii="Times New Roman" w:hAnsi="宋体" w:eastAsia="宋体" w:cs="宋体"/>
          <w:sz w:val="28"/>
        </w:rPr>
      </w:pPr>
    </w:p>
    <w:p w14:paraId="272522EB">
      <w:pPr>
        <w:pStyle w:val="6"/>
        <w:rPr>
          <w:rFonts w:hint="eastAsia"/>
          <w:sz w:val="24"/>
        </w:rPr>
      </w:pPr>
    </w:p>
    <w:p w14:paraId="6DA6C1C3">
      <w:pPr>
        <w:pStyle w:val="6"/>
        <w:rPr>
          <w:rFonts w:hint="eastAsia"/>
          <w:sz w:val="24"/>
        </w:rPr>
      </w:pPr>
    </w:p>
    <w:p w14:paraId="3A6A9AF2">
      <w:pPr>
        <w:pStyle w:val="6"/>
        <w:rPr>
          <w:rFonts w:hint="eastAsia"/>
          <w:sz w:val="24"/>
        </w:rPr>
      </w:pPr>
    </w:p>
    <w:p w14:paraId="526CA9D4">
      <w:pPr>
        <w:pStyle w:val="6"/>
        <w:rPr>
          <w:rFonts w:hint="eastAsia"/>
          <w:sz w:val="24"/>
        </w:rPr>
      </w:pPr>
    </w:p>
    <w:p w14:paraId="0F965D6A">
      <w:pPr>
        <w:pStyle w:val="6"/>
        <w:rPr>
          <w:rFonts w:hint="eastAsia"/>
          <w:sz w:val="24"/>
        </w:rPr>
      </w:pPr>
    </w:p>
    <w:p w14:paraId="5917DBB8">
      <w:pPr>
        <w:pStyle w:val="6"/>
        <w:rPr>
          <w:rFonts w:hint="eastAsia"/>
          <w:sz w:val="24"/>
        </w:rPr>
      </w:pPr>
    </w:p>
    <w:p w14:paraId="476B8B51">
      <w:pPr>
        <w:pStyle w:val="6"/>
        <w:rPr>
          <w:rFonts w:hint="eastAsia"/>
          <w:sz w:val="24"/>
        </w:rPr>
      </w:pPr>
    </w:p>
    <w:p w14:paraId="768AB27C">
      <w:pPr>
        <w:pStyle w:val="6"/>
        <w:rPr>
          <w:rFonts w:hint="eastAsia"/>
          <w:sz w:val="24"/>
        </w:rPr>
      </w:pPr>
    </w:p>
    <w:p w14:paraId="43755D0E">
      <w:pPr>
        <w:pStyle w:val="6"/>
        <w:rPr>
          <w:rFonts w:hint="eastAsia"/>
          <w:sz w:val="24"/>
        </w:rPr>
      </w:pPr>
    </w:p>
    <w:p w14:paraId="4A698370">
      <w:pPr>
        <w:pStyle w:val="6"/>
        <w:jc w:val="center"/>
        <w:rPr>
          <w:rFonts w:hint="default" w:eastAsia="宋体"/>
          <w:b w:val="0"/>
          <w:bCs/>
          <w:sz w:val="28"/>
          <w:szCs w:val="32"/>
          <w:lang w:val="en-US" w:eastAsia="zh-CN"/>
        </w:rPr>
      </w:pPr>
      <w:r>
        <w:rPr>
          <w:rFonts w:hint="eastAsia" w:eastAsia="宋体"/>
          <w:b w:val="0"/>
          <w:bCs/>
          <w:sz w:val="28"/>
          <w:szCs w:val="32"/>
          <w:lang w:val="en-US" w:eastAsia="zh-CN"/>
        </w:rPr>
        <w:t>（征求意见稿）</w:t>
      </w:r>
    </w:p>
    <w:p w14:paraId="4DBA0FBB">
      <w:pPr>
        <w:pStyle w:val="6"/>
        <w:rPr>
          <w:b/>
          <w:sz w:val="20"/>
        </w:rPr>
      </w:pPr>
    </w:p>
    <w:p w14:paraId="6F33908D">
      <w:pPr>
        <w:pStyle w:val="6"/>
        <w:rPr>
          <w:b/>
          <w:sz w:val="20"/>
        </w:rPr>
      </w:pPr>
    </w:p>
    <w:p w14:paraId="6C163134">
      <w:pPr>
        <w:pStyle w:val="6"/>
        <w:rPr>
          <w:b/>
          <w:sz w:val="20"/>
        </w:rPr>
      </w:pPr>
    </w:p>
    <w:p w14:paraId="6D57DADD">
      <w:pPr>
        <w:pStyle w:val="6"/>
        <w:rPr>
          <w:b/>
          <w:sz w:val="20"/>
        </w:rPr>
      </w:pPr>
    </w:p>
    <w:p w14:paraId="44C4DA58">
      <w:pPr>
        <w:pStyle w:val="6"/>
        <w:rPr>
          <w:b/>
          <w:sz w:val="20"/>
        </w:rPr>
      </w:pPr>
    </w:p>
    <w:p w14:paraId="3E1D5802">
      <w:pPr>
        <w:pStyle w:val="6"/>
        <w:rPr>
          <w:b/>
          <w:sz w:val="20"/>
        </w:rPr>
      </w:pPr>
    </w:p>
    <w:p w14:paraId="296B1BA3">
      <w:pPr>
        <w:tabs>
          <w:tab w:val="left" w:pos="7654"/>
        </w:tabs>
        <w:spacing w:before="163"/>
        <w:ind w:left="295" w:right="0" w:firstLine="0"/>
        <w:jc w:val="center"/>
        <w:rPr>
          <w:rFonts w:hint="eastAsia" w:ascii="黑体" w:eastAsia="黑体"/>
          <w:sz w:val="28"/>
        </w:rPr>
      </w:pPr>
      <w:r>
        <mc:AlternateContent>
          <mc:Choice Requires="wps">
            <w:drawing>
              <wp:anchor distT="0" distB="0" distL="114300" distR="114300" simplePos="0" relativeHeight="251660288" behindDoc="1" locked="0" layoutInCell="1" allowOverlap="1">
                <wp:simplePos x="0" y="0"/>
                <wp:positionH relativeFrom="page">
                  <wp:posOffset>899160</wp:posOffset>
                </wp:positionH>
                <wp:positionV relativeFrom="paragraph">
                  <wp:posOffset>353060</wp:posOffset>
                </wp:positionV>
                <wp:extent cx="6120130" cy="0"/>
                <wp:effectExtent l="0" t="4445" r="0" b="5080"/>
                <wp:wrapTopAndBottom/>
                <wp:docPr id="10"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6" o:spid="_x0000_s1026" o:spt="20" style="position:absolute;left:0pt;margin-left:70.8pt;margin-top:27.8pt;height:0pt;width:481.9pt;mso-position-horizontal-relative:page;mso-wrap-distance-bottom:0pt;mso-wrap-distance-top:0pt;z-index:-251656192;mso-width-relative:page;mso-height-relative:page;" filled="f" stroked="t" coordsize="21600,21600" o:gfxdata="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gw+Px9cA&#10;AAAKAQAADwAAAAAAAAABACAAAAAiAAAAZHJzL2Rvd25yZXYueG1sUEsBAhQAFAAAAAgAh07iQIu8&#10;AC/nAQAA3AMAAA4AAAAAAAAAAQAgAAAAJgEAAGRycy9lMm9Eb2MueG1sUEsFBgAAAAAGAAYAWQEA&#10;AH8FAAAAAA==&#10;">
                <v:fill on="f" focussize="0,0"/>
                <v:stroke color="#000000" joinstyle="round"/>
                <v:imagedata o:title=""/>
                <o:lock v:ext="edit" aspectratio="f"/>
                <w10:wrap type="topAndBottom"/>
              </v:line>
            </w:pict>
          </mc:Fallback>
        </mc:AlternateContent>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发布</w:t>
      </w:r>
      <w:r>
        <w:rPr>
          <w:rFonts w:hint="eastAsia" w:ascii="黑体" w:eastAsia="黑体"/>
          <w:sz w:val="28"/>
        </w:rPr>
        <w:tab/>
      </w:r>
      <w:r>
        <w:rPr>
          <w:rFonts w:hint="eastAsia"/>
          <w:lang w:val="en-US" w:eastAsia="zh-CN"/>
        </w:rPr>
        <w:t>2026—06—XX</w:t>
      </w:r>
      <w:r>
        <w:rPr>
          <w:rFonts w:hint="eastAsia" w:ascii="黑体" w:eastAsia="黑体"/>
          <w:spacing w:val="-69"/>
          <w:sz w:val="28"/>
          <w:lang w:val="en-US" w:eastAsia="zh-CN"/>
        </w:rPr>
        <w:t xml:space="preserve">   </w:t>
      </w:r>
      <w:r>
        <w:rPr>
          <w:rFonts w:hint="eastAsia" w:ascii="黑体" w:eastAsia="黑体"/>
          <w:sz w:val="28"/>
        </w:rPr>
        <w:t>实施</w:t>
      </w:r>
    </w:p>
    <w:p w14:paraId="52E63578">
      <w:pPr>
        <w:pStyle w:val="6"/>
        <w:rPr>
          <w:rFonts w:ascii="黑体"/>
          <w:sz w:val="28"/>
        </w:rPr>
      </w:pPr>
    </w:p>
    <w:p w14:paraId="635EC882">
      <w:pPr>
        <w:pStyle w:val="6"/>
        <w:spacing w:before="4"/>
        <w:rPr>
          <w:rFonts w:ascii="黑体"/>
          <w:sz w:val="31"/>
        </w:rPr>
      </w:pPr>
    </w:p>
    <w:p w14:paraId="7AA4EE42">
      <w:pPr>
        <w:spacing w:before="0"/>
        <w:ind w:left="144" w:right="158" w:firstLine="0"/>
        <w:jc w:val="center"/>
        <w:rPr>
          <w:rFonts w:hint="default" w:ascii="Times New Roman" w:eastAsia="黑体"/>
          <w:sz w:val="17"/>
          <w:lang w:val="en-US" w:eastAsia="zh-CN"/>
        </w:rPr>
        <w:sectPr>
          <w:headerReference r:id="rId7" w:type="first"/>
          <w:headerReference r:id="rId5" w:type="default"/>
          <w:headerReference r:id="rId6" w:type="even"/>
          <w:pgSz w:w="11910" w:h="16840"/>
          <w:pgMar w:top="1580" w:right="720" w:bottom="280" w:left="1020" w:header="1417" w:footer="283" w:gutter="0"/>
          <w:pgNumType w:fmt="upperRoman"/>
          <w:cols w:space="720" w:num="1"/>
        </w:sectPr>
      </w:pPr>
      <w:r>
        <w:rPr>
          <w:rFonts w:hint="eastAsia" w:ascii="黑体" w:hAnsi="黑体" w:eastAsia="黑体"/>
          <w:sz w:val="28"/>
        </w:rPr>
        <w:t>江</w:t>
      </w:r>
      <w:r>
        <w:rPr>
          <w:rFonts w:hint="eastAsia" w:ascii="黑体" w:hAnsi="黑体" w:eastAsia="黑体"/>
          <w:sz w:val="28"/>
          <w:lang w:val="en-US" w:eastAsia="zh-CN"/>
        </w:rPr>
        <w:t>西</w:t>
      </w:r>
      <w:r>
        <w:rPr>
          <w:rFonts w:hint="eastAsia" w:ascii="黑体" w:hAnsi="黑体" w:eastAsia="黑体"/>
          <w:sz w:val="28"/>
        </w:rPr>
        <w:t>省工程师</w:t>
      </w:r>
      <w:r>
        <w:rPr>
          <w:rFonts w:hint="eastAsia" w:ascii="黑体" w:hAnsi="黑体" w:eastAsia="黑体"/>
          <w:sz w:val="28"/>
          <w:lang w:val="en-US" w:eastAsia="zh-CN"/>
        </w:rPr>
        <w:t>联合</w:t>
      </w:r>
      <w:r>
        <w:rPr>
          <w:rFonts w:hint="eastAsia" w:ascii="黑体" w:hAnsi="黑体" w:eastAsia="黑体"/>
          <w:sz w:val="28"/>
        </w:rPr>
        <w:t>会</w:t>
      </w:r>
      <w:r>
        <w:rPr>
          <w:rFonts w:ascii="Times New Roman" w:hAnsi="Times New Roman" w:eastAsia="Times New Roman"/>
          <w:sz w:val="28"/>
        </w:rPr>
        <w:t>  </w:t>
      </w:r>
      <w:r>
        <w:rPr>
          <w:rFonts w:hint="eastAsia" w:ascii="黑体" w:hAnsi="黑体" w:eastAsia="黑体"/>
          <w:sz w:val="28"/>
        </w:rPr>
        <w:t xml:space="preserve">发 </w:t>
      </w:r>
      <w:r>
        <w:rPr>
          <w:rFonts w:hint="eastAsia" w:ascii="黑体" w:hAnsi="黑体" w:eastAsia="黑体"/>
          <w:sz w:val="28"/>
          <w:lang w:val="en-US" w:eastAsia="zh-CN"/>
        </w:rPr>
        <w:t xml:space="preserve"> 布</w:t>
      </w:r>
    </w:p>
    <w:p w14:paraId="48817ACB">
      <w:pPr>
        <w:spacing w:beforeLines="100" w:afterLines="100" w:line="240" w:lineRule="auto"/>
        <w:ind w:left="0" w:right="0"/>
        <w:jc w:val="center"/>
        <w:rPr>
          <w:rFonts w:ascii="PingFang SC" w:hAnsi="PingFang SC" w:eastAsia="PingFang SC" w:cs="PingFang SC"/>
          <w:spacing w:val="-22"/>
          <w:sz w:val="31"/>
          <w:szCs w:val="31"/>
        </w:rPr>
      </w:pPr>
      <w:r>
        <w:rPr>
          <w:rFonts w:hint="eastAsia" w:ascii="黑体" w:hAnsi="黑体" w:eastAsia="黑体" w:cs="黑体"/>
          <w:spacing w:val="-22"/>
          <w:sz w:val="32"/>
          <w:szCs w:val="32"/>
        </w:rPr>
        <w:t>目</w:t>
      </w:r>
      <w:r>
        <w:rPr>
          <w:rFonts w:hint="eastAsia" w:ascii="黑体" w:hAnsi="黑体" w:eastAsia="黑体" w:cs="黑体"/>
          <w:spacing w:val="5"/>
          <w:sz w:val="32"/>
          <w:szCs w:val="32"/>
        </w:rPr>
        <w:t xml:space="preserve">  </w:t>
      </w:r>
      <w:r>
        <w:rPr>
          <w:rFonts w:hint="eastAsia" w:ascii="黑体" w:hAnsi="黑体" w:eastAsia="黑体" w:cs="黑体"/>
          <w:spacing w:val="-22"/>
          <w:sz w:val="32"/>
          <w:szCs w:val="32"/>
        </w:rPr>
        <w:t>次</w:t>
      </w:r>
    </w:p>
    <w:sdt>
      <w:sdtPr>
        <w:rPr>
          <w:rFonts w:hint="eastAsia" w:ascii="黑体" w:hAnsi="黑体" w:eastAsia="黑体" w:cs="黑体"/>
          <w:snapToGrid w:val="0"/>
          <w:color w:val="000000"/>
          <w:kern w:val="0"/>
          <w:sz w:val="21"/>
          <w:szCs w:val="21"/>
          <w:lang w:val="en-US" w:eastAsia="en-US" w:bidi="ar-SA"/>
        </w:rPr>
        <w:id w:val="147454236"/>
        <w15:color w:val="DBDBDB"/>
        <w:docPartObj>
          <w:docPartGallery w:val="Table of Contents"/>
          <w:docPartUnique/>
        </w:docPartObj>
      </w:sdtPr>
      <w:sdtEndPr>
        <w:rPr>
          <w:rFonts w:ascii="Arial" w:hAnsi="Arial" w:eastAsia="Arial" w:cs="Arial"/>
          <w:snapToGrid w:val="0"/>
          <w:color w:val="000000"/>
          <w:kern w:val="0"/>
          <w:sz w:val="21"/>
          <w:szCs w:val="21"/>
          <w:lang w:val="en-US" w:eastAsia="en-US" w:bidi="ar-SA"/>
        </w:rPr>
      </w:sdtEndPr>
      <w:sdtContent>
        <w:p w14:paraId="7917843A">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240" w:lineRule="auto"/>
            <w:ind w:left="0" w:leftChars="0" w:right="0" w:rightChars="0" w:firstLine="0" w:firstLineChars="0"/>
            <w:jc w:val="center"/>
            <w:textAlignment w:val="baseline"/>
            <w:rPr>
              <w:rFonts w:hint="eastAsia" w:ascii="黑体" w:hAnsi="黑体" w:eastAsia="黑体" w:cs="黑体"/>
            </w:rPr>
          </w:pPr>
        </w:p>
        <w:p w14:paraId="3D78A2BA">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TOC \o "1-1" \h \u </w:instrText>
          </w:r>
          <w:r>
            <w:rPr>
              <w:rFonts w:hint="eastAsia" w:ascii="黑体" w:hAnsi="黑体" w:eastAsia="黑体" w:cs="黑体"/>
            </w:rPr>
            <w:fldChar w:fldCharType="separate"/>
          </w:r>
          <w:r>
            <w:rPr>
              <w:rFonts w:hint="eastAsia" w:ascii="黑体" w:hAnsi="黑体" w:eastAsia="黑体" w:cs="黑体"/>
            </w:rPr>
            <w:fldChar w:fldCharType="begin"/>
          </w:r>
          <w:r>
            <w:rPr>
              <w:rFonts w:hint="eastAsia" w:ascii="黑体" w:hAnsi="黑体" w:eastAsia="黑体" w:cs="黑体"/>
            </w:rPr>
            <w:instrText xml:space="preserve"> HYPERLINK \l _Toc9699 </w:instrText>
          </w:r>
          <w:r>
            <w:rPr>
              <w:rFonts w:hint="eastAsia" w:ascii="黑体" w:hAnsi="黑体" w:eastAsia="黑体" w:cs="黑体"/>
            </w:rPr>
            <w:fldChar w:fldCharType="separate"/>
          </w:r>
          <w:r>
            <w:rPr>
              <w:rFonts w:hint="eastAsia" w:ascii="黑体" w:hAnsi="黑体" w:eastAsia="黑体" w:cs="黑体"/>
              <w:spacing w:val="-2"/>
              <w:szCs w:val="32"/>
            </w:rPr>
            <w:t>前</w:t>
          </w:r>
          <w:r>
            <w:rPr>
              <w:rFonts w:hint="eastAsia" w:ascii="黑体" w:hAnsi="黑体" w:eastAsia="黑体" w:cs="黑体"/>
              <w:spacing w:val="-2"/>
              <w:szCs w:val="32"/>
              <w:lang w:val="en-US" w:eastAsia="zh-CN"/>
            </w:rPr>
            <w:t xml:space="preserve"> </w:t>
          </w:r>
          <w:r>
            <w:rPr>
              <w:rFonts w:hint="eastAsia" w:ascii="黑体" w:hAnsi="黑体" w:eastAsia="黑体" w:cs="黑体"/>
              <w:spacing w:val="-2"/>
              <w:szCs w:val="32"/>
            </w:rPr>
            <w:t>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_Toc9699 \h </w:instrText>
          </w:r>
          <w:r>
            <w:rPr>
              <w:rFonts w:hint="eastAsia" w:ascii="黑体" w:hAnsi="黑体" w:eastAsia="黑体" w:cs="黑体"/>
            </w:rPr>
            <w:fldChar w:fldCharType="separate"/>
          </w:r>
          <w:r>
            <w:rPr>
              <w:rFonts w:hint="eastAsia" w:ascii="黑体" w:hAnsi="黑体" w:eastAsia="黑体" w:cs="黑体"/>
            </w:rPr>
            <w:t>II</w:t>
          </w:r>
          <w:r>
            <w:rPr>
              <w:rFonts w:hint="eastAsia" w:ascii="黑体" w:hAnsi="黑体" w:eastAsia="黑体" w:cs="黑体"/>
            </w:rPr>
            <w:fldChar w:fldCharType="end"/>
          </w:r>
          <w:r>
            <w:rPr>
              <w:rFonts w:hint="eastAsia" w:ascii="黑体" w:hAnsi="黑体" w:eastAsia="黑体" w:cs="黑体"/>
            </w:rPr>
            <w:fldChar w:fldCharType="end"/>
          </w:r>
        </w:p>
        <w:p w14:paraId="5F52F38E">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_Toc15010 </w:instrText>
          </w:r>
          <w:r>
            <w:rPr>
              <w:rFonts w:hint="eastAsia" w:ascii="黑体" w:hAnsi="黑体" w:eastAsia="黑体" w:cs="黑体"/>
            </w:rPr>
            <w:fldChar w:fldCharType="separate"/>
          </w:r>
          <w:r>
            <w:rPr>
              <w:rFonts w:hint="eastAsia" w:ascii="黑体" w:hAnsi="黑体" w:eastAsia="黑体" w:cs="黑体"/>
              <w:szCs w:val="32"/>
              <w:lang w:val="en-US" w:eastAsia="zh-CN"/>
            </w:rPr>
            <w:t>引</w:t>
          </w:r>
          <w:r>
            <w:rPr>
              <w:rFonts w:hint="eastAsia" w:ascii="黑体" w:hAnsi="黑体" w:eastAsia="黑体" w:cs="黑体"/>
              <w:szCs w:val="32"/>
            </w:rPr>
            <w:t xml:space="preserve"> 言</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_Toc15010 \h </w:instrText>
          </w:r>
          <w:r>
            <w:rPr>
              <w:rFonts w:hint="eastAsia" w:ascii="黑体" w:hAnsi="黑体" w:eastAsia="黑体" w:cs="黑体"/>
            </w:rPr>
            <w:fldChar w:fldCharType="separate"/>
          </w:r>
          <w:r>
            <w:rPr>
              <w:rFonts w:hint="eastAsia" w:ascii="黑体" w:hAnsi="黑体" w:eastAsia="黑体" w:cs="黑体"/>
            </w:rPr>
            <w:t>III</w:t>
          </w:r>
          <w:r>
            <w:rPr>
              <w:rFonts w:hint="eastAsia" w:ascii="黑体" w:hAnsi="黑体" w:eastAsia="黑体" w:cs="黑体"/>
            </w:rPr>
            <w:fldChar w:fldCharType="end"/>
          </w:r>
          <w:r>
            <w:rPr>
              <w:rFonts w:hint="eastAsia" w:ascii="黑体" w:hAnsi="黑体" w:eastAsia="黑体" w:cs="黑体"/>
            </w:rPr>
            <w:fldChar w:fldCharType="end"/>
          </w:r>
        </w:p>
        <w:p w14:paraId="5C00B63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_Toc25354 </w:instrText>
          </w:r>
          <w:r>
            <w:rPr>
              <w:rFonts w:hint="eastAsia" w:ascii="黑体" w:hAnsi="黑体" w:eastAsia="黑体" w:cs="黑体"/>
            </w:rPr>
            <w:fldChar w:fldCharType="separate"/>
          </w:r>
          <w:r>
            <w:rPr>
              <w:rFonts w:hint="eastAsia" w:ascii="黑体" w:hAnsi="黑体" w:eastAsia="黑体" w:cs="黑体"/>
            </w:rPr>
            <w:t>1  范围</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_Toc25354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465F782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_Toc31956 </w:instrText>
          </w:r>
          <w:r>
            <w:rPr>
              <w:rFonts w:hint="eastAsia" w:ascii="黑体" w:hAnsi="黑体" w:eastAsia="黑体" w:cs="黑体"/>
            </w:rPr>
            <w:fldChar w:fldCharType="separate"/>
          </w:r>
          <w:r>
            <w:rPr>
              <w:rFonts w:hint="eastAsia" w:ascii="黑体" w:hAnsi="黑体" w:eastAsia="黑体" w:cs="黑体"/>
            </w:rPr>
            <w:t>2  规范性引用文件</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_Toc31956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35F865A4">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_Toc24996 </w:instrText>
          </w:r>
          <w:r>
            <w:rPr>
              <w:rFonts w:hint="eastAsia" w:ascii="黑体" w:hAnsi="黑体" w:eastAsia="黑体" w:cs="黑体"/>
            </w:rPr>
            <w:fldChar w:fldCharType="separate"/>
          </w:r>
          <w:r>
            <w:rPr>
              <w:rFonts w:hint="eastAsia" w:ascii="黑体" w:hAnsi="黑体" w:eastAsia="黑体" w:cs="黑体"/>
            </w:rPr>
            <w:t>3  术语和定义</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_Toc24996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C50F67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_Toc6941 </w:instrText>
          </w:r>
          <w:r>
            <w:rPr>
              <w:rFonts w:hint="eastAsia" w:ascii="黑体" w:hAnsi="黑体" w:eastAsia="黑体" w:cs="黑体"/>
            </w:rPr>
            <w:fldChar w:fldCharType="separate"/>
          </w:r>
          <w:r>
            <w:rPr>
              <w:rFonts w:hint="eastAsia" w:ascii="黑体" w:hAnsi="黑体" w:eastAsia="黑体" w:cs="黑体"/>
            </w:rPr>
            <w:t>4  基础数据收集与分析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_Toc6941 \h </w:instrText>
          </w:r>
          <w:r>
            <w:rPr>
              <w:rFonts w:hint="eastAsia" w:ascii="黑体" w:hAnsi="黑体" w:eastAsia="黑体" w:cs="黑体"/>
            </w:rPr>
            <w:fldChar w:fldCharType="separate"/>
          </w:r>
          <w:r>
            <w:rPr>
              <w:rFonts w:hint="eastAsia" w:ascii="黑体" w:hAnsi="黑体" w:eastAsia="黑体" w:cs="黑体"/>
            </w:rPr>
            <w:t>1</w:t>
          </w:r>
          <w:r>
            <w:rPr>
              <w:rFonts w:hint="eastAsia" w:ascii="黑体" w:hAnsi="黑体" w:eastAsia="黑体" w:cs="黑体"/>
            </w:rPr>
            <w:fldChar w:fldCharType="end"/>
          </w:r>
          <w:r>
            <w:rPr>
              <w:rFonts w:hint="eastAsia" w:ascii="黑体" w:hAnsi="黑体" w:eastAsia="黑体" w:cs="黑体"/>
            </w:rPr>
            <w:fldChar w:fldCharType="end"/>
          </w:r>
        </w:p>
        <w:p w14:paraId="68079C90">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_Toc31654 </w:instrText>
          </w:r>
          <w:r>
            <w:rPr>
              <w:rFonts w:hint="eastAsia" w:ascii="黑体" w:hAnsi="黑体" w:eastAsia="黑体" w:cs="黑体"/>
            </w:rPr>
            <w:fldChar w:fldCharType="separate"/>
          </w:r>
          <w:r>
            <w:rPr>
              <w:rFonts w:hint="eastAsia" w:ascii="黑体" w:hAnsi="黑体" w:eastAsia="黑体" w:cs="黑体"/>
            </w:rPr>
            <w:t>5  预报模型建立与率定</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_Toc31654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31338DA5">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_Toc9503 </w:instrText>
          </w:r>
          <w:r>
            <w:rPr>
              <w:rFonts w:hint="eastAsia" w:ascii="黑体" w:hAnsi="黑体" w:eastAsia="黑体" w:cs="黑体"/>
            </w:rPr>
            <w:fldChar w:fldCharType="separate"/>
          </w:r>
          <w:r>
            <w:rPr>
              <w:rFonts w:hint="eastAsia" w:ascii="黑体" w:hAnsi="黑体" w:eastAsia="黑体" w:cs="黑体"/>
            </w:rPr>
            <w:t>6  监测站网与数据传输</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_Toc9503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307BB4EF">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_Toc12710 </w:instrText>
          </w:r>
          <w:r>
            <w:rPr>
              <w:rFonts w:hint="eastAsia" w:ascii="黑体" w:hAnsi="黑体" w:eastAsia="黑体" w:cs="黑体"/>
            </w:rPr>
            <w:fldChar w:fldCharType="separate"/>
          </w:r>
          <w:r>
            <w:rPr>
              <w:rFonts w:hint="eastAsia" w:ascii="黑体" w:hAnsi="黑体" w:eastAsia="黑体" w:cs="黑体"/>
            </w:rPr>
            <w:t>7  洪水预警发布管理</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_Toc12710 \h </w:instrText>
          </w:r>
          <w:r>
            <w:rPr>
              <w:rFonts w:hint="eastAsia" w:ascii="黑体" w:hAnsi="黑体" w:eastAsia="黑体" w:cs="黑体"/>
            </w:rPr>
            <w:fldChar w:fldCharType="separate"/>
          </w:r>
          <w:r>
            <w:rPr>
              <w:rFonts w:hint="eastAsia" w:ascii="黑体" w:hAnsi="黑体" w:eastAsia="黑体" w:cs="黑体"/>
            </w:rPr>
            <w:t>2</w:t>
          </w:r>
          <w:r>
            <w:rPr>
              <w:rFonts w:hint="eastAsia" w:ascii="黑体" w:hAnsi="黑体" w:eastAsia="黑体" w:cs="黑体"/>
            </w:rPr>
            <w:fldChar w:fldCharType="end"/>
          </w:r>
          <w:r>
            <w:rPr>
              <w:rFonts w:hint="eastAsia" w:ascii="黑体" w:hAnsi="黑体" w:eastAsia="黑体" w:cs="黑体"/>
            </w:rPr>
            <w:fldChar w:fldCharType="end"/>
          </w:r>
        </w:p>
        <w:p w14:paraId="211CE5E8">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_Toc29357 </w:instrText>
          </w:r>
          <w:r>
            <w:rPr>
              <w:rFonts w:hint="eastAsia" w:ascii="黑体" w:hAnsi="黑体" w:eastAsia="黑体" w:cs="黑体"/>
            </w:rPr>
            <w:fldChar w:fldCharType="separate"/>
          </w:r>
          <w:r>
            <w:rPr>
              <w:rFonts w:hint="eastAsia" w:ascii="黑体" w:hAnsi="黑体" w:eastAsia="黑体" w:cs="黑体"/>
            </w:rPr>
            <w:t>8  预报精度评定与方案修订</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_Toc29357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17459E89">
          <w:pPr>
            <w:pStyle w:val="10"/>
            <w:tabs>
              <w:tab w:val="right" w:leader="dot" w:pos="9359"/>
            </w:tabs>
            <w:rPr>
              <w:rFonts w:hint="eastAsia" w:ascii="黑体" w:hAnsi="黑体" w:eastAsia="黑体" w:cs="黑体"/>
            </w:rPr>
          </w:pPr>
          <w:r>
            <w:rPr>
              <w:rFonts w:hint="eastAsia" w:ascii="黑体" w:hAnsi="黑体" w:eastAsia="黑体" w:cs="黑体"/>
            </w:rPr>
            <w:fldChar w:fldCharType="begin"/>
          </w:r>
          <w:r>
            <w:rPr>
              <w:rFonts w:hint="eastAsia" w:ascii="黑体" w:hAnsi="黑体" w:eastAsia="黑体" w:cs="黑体"/>
            </w:rPr>
            <w:instrText xml:space="preserve"> HYPERLINK \l _Toc14198 </w:instrText>
          </w:r>
          <w:r>
            <w:rPr>
              <w:rFonts w:hint="eastAsia" w:ascii="黑体" w:hAnsi="黑体" w:eastAsia="黑体" w:cs="黑体"/>
            </w:rPr>
            <w:fldChar w:fldCharType="separate"/>
          </w:r>
          <w:r>
            <w:rPr>
              <w:rFonts w:hint="eastAsia" w:ascii="黑体" w:hAnsi="黑体" w:eastAsia="黑体" w:cs="黑体"/>
            </w:rPr>
            <w:t>9  业务运行与应急管理</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_Toc14198 \h </w:instrText>
          </w:r>
          <w:r>
            <w:rPr>
              <w:rFonts w:hint="eastAsia" w:ascii="黑体" w:hAnsi="黑体" w:eastAsia="黑体" w:cs="黑体"/>
            </w:rPr>
            <w:fldChar w:fldCharType="separate"/>
          </w:r>
          <w:r>
            <w:rPr>
              <w:rFonts w:hint="eastAsia" w:ascii="黑体" w:hAnsi="黑体" w:eastAsia="黑体" w:cs="黑体"/>
            </w:rPr>
            <w:t>3</w:t>
          </w:r>
          <w:r>
            <w:rPr>
              <w:rFonts w:hint="eastAsia" w:ascii="黑体" w:hAnsi="黑体" w:eastAsia="黑体" w:cs="黑体"/>
            </w:rPr>
            <w:fldChar w:fldCharType="end"/>
          </w:r>
          <w:r>
            <w:rPr>
              <w:rFonts w:hint="eastAsia" w:ascii="黑体" w:hAnsi="黑体" w:eastAsia="黑体" w:cs="黑体"/>
            </w:rPr>
            <w:fldChar w:fldCharType="end"/>
          </w:r>
        </w:p>
        <w:p w14:paraId="554F3E3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hAnsi="Arial" w:eastAsia="Arial" w:cs="Arial"/>
              <w:snapToGrid w:val="0"/>
              <w:color w:val="000000"/>
              <w:kern w:val="0"/>
              <w:sz w:val="21"/>
              <w:szCs w:val="21"/>
              <w:lang w:val="en-US" w:eastAsia="en-US" w:bidi="ar-SA"/>
            </w:rPr>
          </w:pPr>
          <w:r>
            <w:rPr>
              <w:rFonts w:hint="eastAsia" w:ascii="黑体" w:hAnsi="黑体" w:eastAsia="黑体" w:cs="黑体"/>
            </w:rPr>
            <w:fldChar w:fldCharType="end"/>
          </w:r>
        </w:p>
      </w:sdtContent>
    </w:sdt>
    <w:p w14:paraId="1F3722CA">
      <w:pPr>
        <w:rPr>
          <w:rFonts w:ascii="Arial" w:hAnsi="Arial" w:eastAsia="Arial" w:cs="Arial"/>
          <w:snapToGrid w:val="0"/>
          <w:color w:val="000000"/>
          <w:kern w:val="0"/>
          <w:sz w:val="21"/>
          <w:szCs w:val="21"/>
          <w:lang w:val="en-US" w:eastAsia="en-US" w:bidi="ar-SA"/>
        </w:rPr>
        <w:sectPr>
          <w:headerReference r:id="rId8" w:type="default"/>
          <w:footerReference r:id="rId10" w:type="default"/>
          <w:headerReference r:id="rId9" w:type="even"/>
          <w:footerReference r:id="rId11" w:type="even"/>
          <w:pgSz w:w="11910" w:h="16840"/>
          <w:pgMar w:top="1417" w:right="1134" w:bottom="1134" w:left="1417" w:header="1417" w:footer="1395" w:gutter="0"/>
          <w:pgNumType w:fmt="upperRoman" w:start="1"/>
          <w:cols w:space="720" w:num="1"/>
        </w:sectPr>
      </w:pPr>
      <w:bookmarkStart w:id="18" w:name="_GoBack"/>
      <w:bookmarkEnd w:id="18"/>
    </w:p>
    <w:p w14:paraId="597247B1">
      <w:pPr>
        <w:spacing w:beforeLines="100" w:afterLines="100" w:line="240" w:lineRule="auto"/>
        <w:ind w:left="0" w:right="0"/>
        <w:jc w:val="center"/>
        <w:outlineLvl w:val="0"/>
        <w:rPr>
          <w:sz w:val="21"/>
          <w:szCs w:val="21"/>
        </w:rPr>
      </w:pPr>
      <w:bookmarkStart w:id="1" w:name="_Toc14474"/>
      <w:bookmarkStart w:id="2" w:name="_Toc6131"/>
      <w:bookmarkStart w:id="3" w:name="_Toc12046"/>
      <w:bookmarkStart w:id="4" w:name="_Toc9699"/>
      <w:r>
        <w:rPr>
          <w:rFonts w:hint="eastAsia" w:ascii="黑体" w:hAnsi="黑体" w:eastAsia="黑体" w:cs="黑体"/>
          <w:spacing w:val="-2"/>
          <w:sz w:val="32"/>
          <w:szCs w:val="32"/>
        </w:rPr>
        <w:t>前</w:t>
      </w:r>
      <w:r>
        <w:rPr>
          <w:rFonts w:hint="eastAsia" w:ascii="黑体" w:hAnsi="黑体" w:eastAsia="黑体" w:cs="黑体"/>
          <w:spacing w:val="-2"/>
          <w:sz w:val="32"/>
          <w:szCs w:val="32"/>
          <w:lang w:val="en-US" w:eastAsia="zh-CN"/>
        </w:rPr>
        <w:t xml:space="preserve">  </w:t>
      </w:r>
      <w:r>
        <w:rPr>
          <w:rFonts w:hint="eastAsia" w:ascii="黑体" w:hAnsi="黑体" w:eastAsia="黑体" w:cs="黑体"/>
          <w:spacing w:val="-2"/>
          <w:sz w:val="32"/>
          <w:szCs w:val="32"/>
        </w:rPr>
        <w:t>言</w:t>
      </w:r>
      <w:bookmarkEnd w:id="1"/>
      <w:bookmarkEnd w:id="2"/>
      <w:bookmarkEnd w:id="3"/>
      <w:bookmarkEnd w:id="4"/>
    </w:p>
    <w:p w14:paraId="0361EF77">
      <w:pPr>
        <w:keepNext w:val="0"/>
        <w:keepLines w:val="0"/>
        <w:pageBreakBefore w:val="0"/>
        <w:widowControl/>
        <w:kinsoku w:val="0"/>
        <w:wordWrap/>
        <w:overflowPunct/>
        <w:topLinePunct w:val="0"/>
        <w:autoSpaceDE w:val="0"/>
        <w:autoSpaceDN w:val="0"/>
        <w:bidi w:val="0"/>
        <w:adjustRightInd w:val="0"/>
        <w:snapToGrid w:val="0"/>
        <w:spacing w:line="240" w:lineRule="auto"/>
        <w:ind w:left="210" w:leftChars="100" w:right="0" w:firstLine="224" w:firstLineChars="100"/>
        <w:jc w:val="both"/>
        <w:textAlignment w:val="baseline"/>
        <w:rPr>
          <w:rFonts w:hint="eastAsia" w:ascii="宋体" w:hAnsi="宋体" w:eastAsia="宋体" w:cs="宋体"/>
          <w:spacing w:val="7"/>
          <w:sz w:val="21"/>
          <w:szCs w:val="21"/>
          <w:lang w:val="en-US" w:eastAsia="en-US"/>
        </w:rPr>
      </w:pPr>
      <w:r>
        <w:rPr>
          <w:rFonts w:hint="eastAsia" w:ascii="宋体" w:hAnsi="宋体" w:eastAsia="宋体" w:cs="宋体"/>
          <w:spacing w:val="7"/>
          <w:sz w:val="21"/>
          <w:szCs w:val="21"/>
          <w:lang w:val="en-US" w:eastAsia="en-US"/>
        </w:rPr>
        <w:t>本文件依据GB/T 1.1-2020 《标准化工作导则 第1部分：标准化文件的结构和起草规则》的规定起草。</w:t>
      </w:r>
    </w:p>
    <w:p w14:paraId="67A49050">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请注意本文件的某些内容可能涉及专利。 本文件的发布机构不承担识别专利的责任。</w:t>
      </w:r>
    </w:p>
    <w:p w14:paraId="278B52D3">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本文件由江西省工程师联合会提出</w:t>
      </w:r>
      <w:r>
        <w:rPr>
          <w:rFonts w:hint="eastAsia" w:ascii="Times New Roman" w:hAnsi="Times New Roman" w:eastAsia="宋体" w:cs="Times New Roman"/>
          <w:sz w:val="21"/>
          <w:szCs w:val="21"/>
          <w:lang w:val="en-US" w:eastAsia="zh-CN"/>
        </w:rPr>
        <w:t>并归口</w:t>
      </w:r>
      <w:r>
        <w:rPr>
          <w:rFonts w:hint="eastAsia" w:ascii="Times New Roman" w:hAnsi="Times New Roman" w:eastAsia="宋体" w:cs="Times New Roman"/>
          <w:sz w:val="21"/>
          <w:szCs w:val="21"/>
          <w:lang w:val="en-US" w:eastAsia="en-US"/>
        </w:rPr>
        <w:t>。</w:t>
      </w:r>
    </w:p>
    <w:p w14:paraId="0C3B931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sz w:val="21"/>
          <w:szCs w:val="21"/>
          <w:lang w:val="en-US" w:eastAsia="en-US"/>
        </w:rPr>
      </w:pPr>
      <w:r>
        <w:rPr>
          <w:rFonts w:hint="eastAsia" w:ascii="Times New Roman" w:hAnsi="Times New Roman" w:eastAsia="宋体" w:cs="Times New Roman"/>
          <w:sz w:val="21"/>
          <w:szCs w:val="21"/>
          <w:lang w:val="en-US" w:eastAsia="en-US"/>
        </w:rPr>
        <w:t>本文件起草单位：</w:t>
      </w:r>
    </w:p>
    <w:p w14:paraId="51C24F3C">
      <w:pPr>
        <w:keepNext w:val="0"/>
        <w:keepLines w:val="0"/>
        <w:pageBreakBefore w:val="0"/>
        <w:widowControl/>
        <w:kinsoku/>
        <w:wordWrap/>
        <w:overflowPunct w:val="0"/>
        <w:topLinePunct w:val="0"/>
        <w:autoSpaceDE w:val="0"/>
        <w:autoSpaceDN w:val="0"/>
        <w:bidi w:val="0"/>
        <w:adjustRightInd w:val="0"/>
        <w:snapToGrid w:val="0"/>
        <w:ind w:firstLine="420" w:firstLineChars="200"/>
        <w:jc w:val="both"/>
        <w:textAlignment w:val="baseline"/>
        <w:rPr>
          <w:rFonts w:hint="eastAsia" w:ascii="Times New Roman" w:hAnsi="Times New Roman" w:eastAsia="宋体" w:cs="Times New Roman"/>
          <w:b/>
          <w:bCs/>
          <w:sz w:val="21"/>
          <w:szCs w:val="21"/>
          <w:lang w:val="en-US" w:eastAsia="zh-CN"/>
        </w:rPr>
        <w:sectPr>
          <w:headerReference r:id="rId12" w:type="default"/>
          <w:footerReference r:id="rId14" w:type="default"/>
          <w:headerReference r:id="rId13" w:type="even"/>
          <w:footerReference r:id="rId15" w:type="even"/>
          <w:pgSz w:w="11910" w:h="16840"/>
          <w:pgMar w:top="1417" w:right="1134" w:bottom="1134" w:left="1417" w:header="1417" w:footer="1395" w:gutter="0"/>
          <w:pgNumType w:fmt="upperRoman"/>
          <w:cols w:space="720" w:num="1"/>
        </w:sectPr>
      </w:pPr>
      <w:r>
        <w:rPr>
          <w:rFonts w:hint="eastAsia" w:ascii="Times New Roman" w:hAnsi="Times New Roman" w:eastAsia="宋体" w:cs="Times New Roman"/>
          <w:sz w:val="21"/>
          <w:szCs w:val="21"/>
          <w:lang w:val="en-US" w:eastAsia="en-US"/>
        </w:rPr>
        <w:t>本文件主要起草人：</w:t>
      </w:r>
    </w:p>
    <w:p w14:paraId="2B5BEB1E">
      <w:pPr>
        <w:pStyle w:val="2"/>
        <w:keepNext w:val="0"/>
        <w:keepLines w:val="0"/>
        <w:pageBreakBefore w:val="0"/>
        <w:widowControl/>
        <w:kinsoku/>
        <w:wordWrap/>
        <w:overflowPunct w:val="0"/>
        <w:topLinePunct w:val="0"/>
        <w:autoSpaceDE w:val="0"/>
        <w:autoSpaceDN w:val="0"/>
        <w:bidi w:val="0"/>
        <w:adjustRightInd w:val="0"/>
        <w:snapToGrid w:val="0"/>
        <w:spacing w:beforeLines="100" w:afterLines="100" w:line="240" w:lineRule="auto"/>
        <w:ind w:left="0" w:right="0"/>
        <w:jc w:val="center"/>
        <w:textAlignment w:val="baseline"/>
        <w:outlineLvl w:val="0"/>
        <w:rPr>
          <w:rFonts w:hint="eastAsia"/>
          <w:sz w:val="32"/>
          <w:szCs w:val="32"/>
        </w:rPr>
      </w:pPr>
      <w:bookmarkStart w:id="5" w:name="_Toc879"/>
      <w:bookmarkStart w:id="6" w:name="_Toc17701"/>
      <w:bookmarkStart w:id="7" w:name="_Toc30364"/>
      <w:bookmarkStart w:id="8" w:name="_Toc15010"/>
      <w:r>
        <w:rPr>
          <w:rFonts w:hint="eastAsia" w:ascii="黑体" w:hAnsi="黑体" w:eastAsia="黑体" w:cs="黑体"/>
          <w:sz w:val="32"/>
          <w:szCs w:val="32"/>
          <w:lang w:val="en-US" w:eastAsia="zh-CN"/>
        </w:rPr>
        <w:t>引</w:t>
      </w:r>
      <w:r>
        <w:rPr>
          <w:rFonts w:hint="eastAsia" w:ascii="黑体" w:hAnsi="黑体" w:eastAsia="黑体" w:cs="黑体"/>
          <w:sz w:val="32"/>
          <w:szCs w:val="32"/>
        </w:rPr>
        <w:t xml:space="preserve">  言</w:t>
      </w:r>
      <w:bookmarkEnd w:id="5"/>
      <w:bookmarkEnd w:id="6"/>
      <w:bookmarkEnd w:id="7"/>
      <w:bookmarkEnd w:id="8"/>
    </w:p>
    <w:p w14:paraId="3BCDBB3E">
      <w:pPr>
        <w:keepNext w:val="0"/>
        <w:keepLines w:val="0"/>
        <w:pageBreakBefore w:val="0"/>
        <w:widowControl/>
        <w:kinsoku/>
        <w:wordWrap/>
        <w:overflowPunct w:val="0"/>
        <w:topLinePunct w:val="0"/>
        <w:autoSpaceDE w:val="0"/>
        <w:autoSpaceDN w:val="0"/>
        <w:bidi w:val="0"/>
        <w:adjustRightInd w:val="0"/>
        <w:snapToGrid w:val="0"/>
        <w:spacing w:line="240" w:lineRule="auto"/>
        <w:ind w:right="0" w:firstLine="420" w:firstLineChars="200"/>
        <w:jc w:val="both"/>
        <w:textAlignment w:val="baseline"/>
        <w:rPr>
          <w:rFonts w:hint="eastAsia" w:ascii="宋体" w:hAnsi="宋体" w:eastAsia="宋体" w:cs="宋体"/>
          <w:spacing w:val="7"/>
          <w:sz w:val="21"/>
          <w:szCs w:val="21"/>
          <w:lang w:val="en-US" w:eastAsia="en-US"/>
        </w:rPr>
        <w:sectPr>
          <w:headerReference r:id="rId16" w:type="default"/>
          <w:footerReference r:id="rId18" w:type="default"/>
          <w:headerReference r:id="rId17" w:type="even"/>
          <w:footerReference r:id="rId19" w:type="even"/>
          <w:pgSz w:w="11910" w:h="16840"/>
          <w:pgMar w:top="1417" w:right="1134" w:bottom="1134" w:left="1417" w:header="1417" w:footer="1395" w:gutter="0"/>
          <w:pgNumType w:fmt="upperRoman"/>
          <w:cols w:space="720" w:num="1"/>
        </w:sectPr>
      </w:pPr>
      <w:r>
        <w:rPr>
          <w:rFonts w:hint="eastAsia" w:ascii="宋体" w:hAnsi="宋体" w:eastAsia="宋体" w:cs="宋体"/>
          <w:sz w:val="21"/>
          <w:szCs w:val="21"/>
        </w:rPr>
        <w:t>中小河流洪水灾害是我国最为频发的自然灾害类型之一，其突发性强、预见期短、破坏力大，每年造成大量人员伤亡和财产损失。加强中小河流暴雨洪水预报预警能力建设，是有效应对洪涝灾害、保障人民群众生命财产安全的重要措施。为规范中小河流暴雨洪水预报预警工作的技术流程和业务管理，明确预报方案编制、预警发布和响应管理等关键环节的技术要求，依据国家防汛抗旱相关规定和水文行业技术标准，制定本规程。本规程的实施将有效提升中小河流洪水预报预警的准确性和时效性，为防汛决策提供科学依据。</w:t>
      </w:r>
    </w:p>
    <w:p w14:paraId="7D60896C">
      <w:pPr>
        <w:jc w:val="center"/>
        <w:rPr>
          <w:rFonts w:hint="eastAsia" w:ascii="黑体" w:hAnsi="黑体" w:eastAsia="黑体" w:cs="黑体"/>
          <w:sz w:val="32"/>
          <w:szCs w:val="32"/>
        </w:rPr>
      </w:pPr>
      <w:r>
        <w:rPr>
          <w:rFonts w:hint="eastAsia" w:ascii="黑体" w:hAnsi="黑体" w:eastAsia="黑体" w:cs="黑体"/>
          <w:sz w:val="32"/>
          <w:szCs w:val="32"/>
        </w:rPr>
        <w:t>中小河流暴雨洪水预报预警技术规程</w:t>
      </w:r>
    </w:p>
    <w:p w14:paraId="3941BB9C">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9" w:name="_Toc25354"/>
      <w:r>
        <w:rPr>
          <w:rFonts w:hint="eastAsia"/>
        </w:rPr>
        <w:t>1  范围</w:t>
      </w:r>
      <w:bookmarkEnd w:id="9"/>
    </w:p>
    <w:p w14:paraId="4DB76DD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本</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规定了中小河流流域水文资料收集与分析方法、暴雨强度计算及设计洪水推算技术要求，产汇流模型选型原则及参数率定方法，实时雨量、水位、流量监测站网的布设要求和数据传输规范，预报方案编制的技术路线及预报精度评定标准，洪水预警等级划分依据、发布程序和信息传播渠道，以及预警响应启动条件和预警解除标准。</w:t>
      </w:r>
    </w:p>
    <w:p w14:paraId="01706F73">
      <w:pPr>
        <w:spacing w:line="240" w:lineRule="auto"/>
        <w:ind w:firstLine="500" w:firstLineChars="0"/>
        <w:jc w:val="both"/>
      </w:pPr>
      <w:r>
        <w:rPr>
          <w:rFonts w:hint="eastAsia" w:ascii="Times New Roman" w:hAnsi="Times New Roman" w:eastAsia="宋体" w:cs="宋体"/>
          <w:sz w:val="21"/>
          <w:szCs w:val="21"/>
        </w:rPr>
        <w:t>本规程</w:t>
      </w:r>
      <w:r>
        <w:rPr>
          <w:rFonts w:hint="eastAsia" w:ascii="Times New Roman" w:hAnsi="Times New Roman" w:eastAsia="宋体" w:cs="宋体"/>
          <w:sz w:val="21"/>
          <w:szCs w:val="21"/>
          <w:lang w:val="en-US" w:eastAsia="zh-CN"/>
        </w:rPr>
        <w:t>文件</w:t>
      </w:r>
      <w:r>
        <w:rPr>
          <w:rFonts w:hint="eastAsia" w:ascii="Times New Roman" w:hAnsi="Times New Roman" w:eastAsia="宋体" w:cs="宋体"/>
          <w:sz w:val="21"/>
          <w:szCs w:val="21"/>
        </w:rPr>
        <w:t>中小河流洪水预报预警系统的规划建设及日常业务作业管理工作。</w:t>
      </w:r>
    </w:p>
    <w:p w14:paraId="67AA429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0" w:name="_Toc31956"/>
      <w:r>
        <w:rPr>
          <w:rFonts w:hint="eastAsia"/>
        </w:rPr>
        <w:t>2  规范性引用文件</w:t>
      </w:r>
      <w:bookmarkEnd w:id="10"/>
    </w:p>
    <w:p w14:paraId="5B76F67A">
      <w:pPr>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39690BE">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GB/T 22482 水文情报预报规范
</w:t>
      </w:r>
    </w:p>
    <w:p w14:paraId="03F99E5B">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GB/T 50095 水文基本术语和符号标准
</w:t>
      </w:r>
    </w:p>
    <w:p w14:paraId="71DB412C">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SL 250 水文情报预报规范
</w:t>
      </w:r>
    </w:p>
    <w:p w14:paraId="29B3A11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SL 59 河流流量测验规范</w:t>
      </w:r>
    </w:p>
    <w:p w14:paraId="470F2590">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SL 61 水文自动测报系统技术规范
</w:t>
      </w:r>
    </w:p>
    <w:p w14:paraId="6ADCC3A6">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SL/T 551 水工混凝土试验规程（相关计算参照）
</w:t>
      </w:r>
    </w:p>
    <w:p w14:paraId="55932D0C">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QX/T 118 暴雨诱发的中小流域洪水气象风险预警</w:t>
      </w:r>
    </w:p>
    <w:p w14:paraId="44594035">
      <w:pPr>
        <w:spacing w:line="240" w:lineRule="auto"/>
        <w:ind w:firstLine="500" w:firstLineChars="0"/>
        <w:jc w:val="both"/>
      </w:pPr>
      <w:r>
        <w:rPr>
          <w:rFonts w:hint="eastAsia" w:ascii="Times New Roman" w:hAnsi="Times New Roman" w:eastAsia="宋体" w:cs="宋体"/>
          <w:sz w:val="21"/>
          <w:szCs w:val="21"/>
        </w:rPr>
        <w:t>QX 45 地面气象观测规范 降水量</w:t>
      </w:r>
    </w:p>
    <w:p w14:paraId="4907B5D2">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1" w:name="_Toc24996"/>
      <w:r>
        <w:rPr>
          <w:rFonts w:hint="eastAsia"/>
        </w:rPr>
        <w:t>3  术语和定义</w:t>
      </w:r>
      <w:bookmarkEnd w:id="11"/>
    </w:p>
    <w:p w14:paraId="6658259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下列术语和定义适用于本文件。
</w:t>
      </w:r>
    </w:p>
    <w:p w14:paraId="06604623">
      <w:pPr>
        <w:rPr>
          <w:rFonts w:hint="eastAsia" w:ascii="黑体" w:hAnsi="黑体" w:eastAsia="黑体" w:cs="黑体"/>
        </w:rPr>
      </w:pPr>
      <w:r>
        <w:rPr>
          <w:rFonts w:hint="eastAsia" w:ascii="黑体" w:hAnsi="黑体" w:eastAsia="黑体" w:cs="黑体"/>
        </w:rPr>
        <w:t xml:space="preserve">3.1 </w:t>
      </w:r>
    </w:p>
    <w:p w14:paraId="47CF38DA">
      <w:pPr>
        <w:ind w:firstLine="500" w:firstLineChars="0"/>
        <w:rPr>
          <w:rFonts w:hint="eastAsia" w:ascii="黑体" w:hAnsi="黑体" w:eastAsia="黑体" w:cs="黑体"/>
        </w:rPr>
      </w:pPr>
      <w:r>
        <w:rPr>
          <w:rFonts w:hint="eastAsia" w:ascii="黑体" w:hAnsi="黑体" w:eastAsia="黑体" w:cs="黑体"/>
        </w:rPr>
        <w:t>中小河流</w:t>
      </w:r>
      <w:r>
        <w:rPr>
          <w:rFonts w:hint="eastAsia" w:ascii="黑体" w:hAnsi="黑体" w:eastAsia="黑体" w:cs="黑体"/>
          <w:lang w:val="en-US" w:eastAsia="zh-CN"/>
        </w:rPr>
        <w:t xml:space="preserve"> </w:t>
      </w:r>
      <w:r>
        <w:rPr>
          <w:rFonts w:hint="eastAsia" w:ascii="黑体" w:hAnsi="黑体" w:eastAsia="黑体" w:cs="黑体"/>
        </w:rPr>
        <w:t xml:space="preserve"> small and medium river
</w:t>
      </w:r>
    </w:p>
    <w:p w14:paraId="39B8DDC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流域面积在200平方千米至3000平方千米之间，或流域面积虽小于200平方千米但洪水灾害频发、对下游影响较大的河流。
</w:t>
      </w:r>
    </w:p>
    <w:p w14:paraId="18ACD8D2">
      <w:pPr>
        <w:rPr>
          <w:rFonts w:hint="eastAsia" w:ascii="黑体" w:hAnsi="黑体" w:eastAsia="黑体" w:cs="黑体"/>
        </w:rPr>
      </w:pPr>
      <w:r>
        <w:rPr>
          <w:rFonts w:hint="eastAsia" w:ascii="黑体" w:hAnsi="黑体" w:eastAsia="黑体" w:cs="黑体"/>
        </w:rPr>
        <w:t xml:space="preserve">3.2 </w:t>
      </w:r>
    </w:p>
    <w:p w14:paraId="25C3EA75">
      <w:pPr>
        <w:ind w:firstLine="500" w:firstLineChars="0"/>
        <w:rPr>
          <w:rFonts w:hint="eastAsia" w:ascii="黑体" w:hAnsi="黑体" w:eastAsia="黑体" w:cs="黑体"/>
        </w:rPr>
      </w:pPr>
      <w:r>
        <w:rPr>
          <w:rFonts w:hint="eastAsia" w:ascii="黑体" w:hAnsi="黑体" w:eastAsia="黑体" w:cs="黑体"/>
        </w:rPr>
        <w:t>洪水预报</w:t>
      </w:r>
      <w:r>
        <w:rPr>
          <w:rFonts w:hint="eastAsia" w:ascii="黑体" w:hAnsi="黑体" w:eastAsia="黑体" w:cs="黑体"/>
          <w:lang w:val="en-US" w:eastAsia="zh-CN"/>
        </w:rPr>
        <w:t xml:space="preserve"> </w:t>
      </w:r>
      <w:r>
        <w:rPr>
          <w:rFonts w:hint="eastAsia" w:ascii="黑体" w:hAnsi="黑体" w:eastAsia="黑体" w:cs="黑体"/>
        </w:rPr>
        <w:t xml:space="preserve"> flood forecasting
</w:t>
      </w:r>
    </w:p>
    <w:p w14:paraId="06043479">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根据现有降雨和水文监测数据，利用水文模型或经验方法预测未来时段内洪水流量和水位变化的技术活动。</w:t>
      </w:r>
    </w:p>
    <w:p w14:paraId="7B252BB3">
      <w:pPr>
        <w:rPr>
          <w:rFonts w:hint="eastAsia" w:ascii="黑体" w:hAnsi="黑体" w:eastAsia="黑体" w:cs="黑体"/>
        </w:rPr>
      </w:pPr>
      <w:r>
        <w:rPr>
          <w:rFonts w:hint="eastAsia" w:ascii="黑体" w:hAnsi="黑体" w:eastAsia="黑体" w:cs="黑体"/>
        </w:rPr>
        <w:t xml:space="preserve">3.3 </w:t>
      </w:r>
    </w:p>
    <w:p w14:paraId="52F5B1C8">
      <w:pPr>
        <w:ind w:firstLine="500" w:firstLineChars="0"/>
        <w:rPr>
          <w:rFonts w:hint="eastAsia" w:ascii="黑体" w:hAnsi="黑体" w:eastAsia="黑体" w:cs="黑体"/>
        </w:rPr>
      </w:pPr>
      <w:r>
        <w:rPr>
          <w:rFonts w:hint="eastAsia" w:ascii="黑体" w:hAnsi="黑体" w:eastAsia="黑体" w:cs="黑体"/>
        </w:rPr>
        <w:t xml:space="preserve">预见期 </w:t>
      </w:r>
      <w:r>
        <w:rPr>
          <w:rFonts w:hint="eastAsia" w:ascii="黑体" w:hAnsi="黑体" w:eastAsia="黑体" w:cs="黑体"/>
          <w:lang w:val="en-US" w:eastAsia="zh-CN"/>
        </w:rPr>
        <w:t xml:space="preserve"> </w:t>
      </w:r>
      <w:r>
        <w:rPr>
          <w:rFonts w:hint="eastAsia" w:ascii="黑体" w:hAnsi="黑体" w:eastAsia="黑体" w:cs="黑体"/>
        </w:rPr>
        <w:t>forecast lead time
</w:t>
      </w:r>
    </w:p>
    <w:p w14:paraId="13E24D9D">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洪水预报发出时刻至预报洪峰到达时间之间的时间间隔。</w:t>
      </w:r>
    </w:p>
    <w:p w14:paraId="0D63CC90">
      <w:pPr>
        <w:rPr>
          <w:rFonts w:hint="eastAsia" w:ascii="黑体" w:hAnsi="黑体" w:eastAsia="黑体" w:cs="黑体"/>
        </w:rPr>
      </w:pPr>
      <w:r>
        <w:rPr>
          <w:rFonts w:hint="eastAsia" w:ascii="黑体" w:hAnsi="黑体" w:eastAsia="黑体" w:cs="黑体"/>
        </w:rPr>
        <w:t xml:space="preserve">3.4 </w:t>
      </w:r>
    </w:p>
    <w:p w14:paraId="223536FA">
      <w:pPr>
        <w:ind w:firstLine="500" w:firstLineChars="0"/>
        <w:rPr>
          <w:rFonts w:hint="eastAsia" w:ascii="黑体" w:hAnsi="黑体" w:eastAsia="黑体" w:cs="黑体"/>
        </w:rPr>
      </w:pPr>
      <w:r>
        <w:rPr>
          <w:rFonts w:hint="eastAsia" w:ascii="黑体" w:hAnsi="黑体" w:eastAsia="黑体" w:cs="黑体"/>
        </w:rPr>
        <w:t xml:space="preserve">预警等级 </w:t>
      </w:r>
      <w:r>
        <w:rPr>
          <w:rFonts w:hint="eastAsia" w:ascii="黑体" w:hAnsi="黑体" w:eastAsia="黑体" w:cs="黑体"/>
          <w:lang w:val="en-US" w:eastAsia="zh-CN"/>
        </w:rPr>
        <w:t xml:space="preserve"> </w:t>
      </w:r>
      <w:r>
        <w:rPr>
          <w:rFonts w:hint="eastAsia" w:ascii="黑体" w:hAnsi="黑体" w:eastAsia="黑体" w:cs="黑体"/>
        </w:rPr>
        <w:t>warning level
</w:t>
      </w:r>
    </w:p>
    <w:p w14:paraId="46FF0FC8">
      <w:pPr>
        <w:spacing w:line="240" w:lineRule="auto"/>
        <w:ind w:firstLine="500" w:firstLineChars="0"/>
        <w:jc w:val="both"/>
        <w:rPr>
          <w:rFonts w:hint="eastAsia" w:ascii="Times New Roman" w:hAnsi="Times New Roman" w:eastAsia="宋体" w:cs="宋体"/>
          <w:sz w:val="21"/>
          <w:szCs w:val="21"/>
        </w:rPr>
      </w:pPr>
      <w:r>
        <w:rPr>
          <w:rFonts w:hint="eastAsia" w:ascii="Times New Roman" w:hAnsi="Times New Roman" w:eastAsia="宋体" w:cs="宋体"/>
          <w:sz w:val="21"/>
          <w:szCs w:val="21"/>
        </w:rPr>
        <w:t>根据洪水量级和危险程度，对洪水预警信息进行分级的划分标准，通常分为蓝色、黄色、橙色和红色四个等级。
</w:t>
      </w:r>
    </w:p>
    <w:p w14:paraId="0FCEDB10">
      <w:pPr>
        <w:rPr>
          <w:rFonts w:hint="eastAsia" w:ascii="黑体" w:hAnsi="黑体" w:eastAsia="黑体" w:cs="黑体"/>
        </w:rPr>
      </w:pPr>
      <w:r>
        <w:rPr>
          <w:rFonts w:hint="eastAsia" w:ascii="黑体" w:hAnsi="黑体" w:eastAsia="黑体" w:cs="黑体"/>
        </w:rPr>
        <w:t xml:space="preserve">3.5 </w:t>
      </w:r>
    </w:p>
    <w:p w14:paraId="05C2061C">
      <w:pPr>
        <w:ind w:firstLine="500" w:firstLineChars="0"/>
        <w:rPr>
          <w:rFonts w:hint="eastAsia" w:ascii="黑体" w:hAnsi="黑体" w:eastAsia="黑体" w:cs="黑体"/>
        </w:rPr>
      </w:pPr>
      <w:r>
        <w:rPr>
          <w:rFonts w:hint="eastAsia" w:ascii="黑体" w:hAnsi="黑体" w:eastAsia="黑体" w:cs="黑体"/>
        </w:rPr>
        <w:t xml:space="preserve">产汇流模型 </w:t>
      </w:r>
      <w:r>
        <w:rPr>
          <w:rFonts w:hint="eastAsia" w:ascii="黑体" w:hAnsi="黑体" w:eastAsia="黑体" w:cs="黑体"/>
          <w:lang w:val="en-US" w:eastAsia="zh-CN"/>
        </w:rPr>
        <w:t xml:space="preserve"> </w:t>
      </w:r>
      <w:r>
        <w:rPr>
          <w:rFonts w:hint="eastAsia" w:ascii="黑体" w:hAnsi="黑体" w:eastAsia="黑体" w:cs="黑体"/>
        </w:rPr>
        <w:t>runoff production and concentration model
</w:t>
      </w:r>
    </w:p>
    <w:p w14:paraId="7BA59970">
      <w:pPr>
        <w:ind w:firstLine="500" w:firstLineChars="0"/>
        <w:rPr>
          <w:rFonts w:hint="eastAsia" w:ascii="Times New Roman" w:hAnsi="Times New Roman" w:eastAsia="宋体" w:cs="宋体"/>
          <w:sz w:val="21"/>
          <w:szCs w:val="21"/>
        </w:rPr>
      </w:pPr>
      <w:r>
        <w:rPr>
          <w:rFonts w:hint="eastAsia" w:ascii="Times New Roman" w:hAnsi="Times New Roman" w:eastAsia="宋体" w:cs="宋体"/>
          <w:sz w:val="21"/>
          <w:szCs w:val="21"/>
        </w:rPr>
        <w:t>描述降雨转化为径流（产流）并在流域内汇集至出口断面（汇流）物理过程的数学模型。</w:t>
      </w:r>
    </w:p>
    <w:p w14:paraId="407FD91A">
      <w:pPr>
        <w:rPr>
          <w:rFonts w:hint="eastAsia" w:ascii="黑体" w:hAnsi="黑体" w:eastAsia="黑体" w:cs="黑体"/>
        </w:rPr>
      </w:pPr>
      <w:r>
        <w:rPr>
          <w:rFonts w:hint="eastAsia" w:ascii="黑体" w:hAnsi="黑体" w:eastAsia="黑体" w:cs="黑体"/>
        </w:rPr>
        <w:t xml:space="preserve">3.6 </w:t>
      </w:r>
    </w:p>
    <w:p w14:paraId="498458DB">
      <w:pPr>
        <w:ind w:firstLine="500" w:firstLineChars="0"/>
        <w:rPr>
          <w:rFonts w:hint="eastAsia" w:ascii="黑体" w:hAnsi="黑体" w:eastAsia="黑体" w:cs="黑体"/>
        </w:rPr>
      </w:pPr>
      <w:r>
        <w:rPr>
          <w:rFonts w:hint="eastAsia" w:ascii="黑体" w:hAnsi="黑体" w:eastAsia="黑体" w:cs="黑体"/>
        </w:rPr>
        <w:t xml:space="preserve">预报精度评定 </w:t>
      </w:r>
      <w:r>
        <w:rPr>
          <w:rFonts w:hint="eastAsia" w:ascii="黑体" w:hAnsi="黑体" w:eastAsia="黑体" w:cs="黑体"/>
          <w:lang w:val="en-US" w:eastAsia="zh-CN"/>
        </w:rPr>
        <w:t xml:space="preserve"> </w:t>
      </w:r>
      <w:r>
        <w:rPr>
          <w:rFonts w:hint="eastAsia" w:ascii="黑体" w:hAnsi="黑体" w:eastAsia="黑体" w:cs="黑体"/>
        </w:rPr>
        <w:t>forecast accuracy evaluation
</w:t>
      </w:r>
    </w:p>
    <w:p w14:paraId="12CDEE92">
      <w:pPr>
        <w:ind w:firstLine="500" w:firstLineChars="0"/>
      </w:pPr>
      <w:r>
        <w:rPr>
          <w:rFonts w:hint="eastAsia" w:ascii="Times New Roman" w:hAnsi="Times New Roman" w:eastAsia="宋体" w:cs="宋体"/>
          <w:sz w:val="21"/>
          <w:szCs w:val="21"/>
        </w:rPr>
        <w:t>通过对比实测洪水过程与预报洪水过程，按照规定标准评判预报方案精度等级的活动。</w:t>
      </w:r>
    </w:p>
    <w:p w14:paraId="493CDCA5">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2" w:name="_Toc6941"/>
      <w:r>
        <w:rPr>
          <w:rFonts w:hint="eastAsia"/>
        </w:rPr>
        <w:t>4  基础数据收集与分析</w:t>
      </w:r>
      <w:bookmarkEnd w:id="12"/>
    </w:p>
    <w:p w14:paraId="0713B12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default" w:ascii="黑体" w:hAnsi="黑体" w:eastAsia="黑体" w:cs="黑体"/>
          <w:sz w:val="21"/>
          <w:szCs w:val="21"/>
        </w:rPr>
      </w:pPr>
      <w:r>
        <w:rPr>
          <w:rFonts w:hint="eastAsia" w:ascii="黑体" w:hAnsi="黑体" w:eastAsia="黑体" w:cs="黑体"/>
          <w:sz w:val="21"/>
          <w:szCs w:val="21"/>
        </w:rPr>
        <w:t>4.1 水文资料收集</w:t>
      </w:r>
    </w:p>
    <w:p w14:paraId="399F6713">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开展中小河流洪水预报工作前，应系统收集流域内历史降雨资料、水文测站观测数据和历次典型洪水过程记录。资料收集应尽量延长系列年限，重点收集大洪水年份的完整降雨径流数据，保证样本的代表性和系列的连续性。历史洪水资料经整理分析后，应按照GB/T 50095的要求建立流域水文数据库，统一数据格式和质量控制标准，为预报模型率定提供可靠的基础数据，数据收集和整理方法应符合SL 59的流量测验规范要求。</w:t>
      </w:r>
    </w:p>
    <w:p w14:paraId="37B0252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4.2 暴雨强度计算</w:t>
      </w:r>
    </w:p>
    <w:p w14:paraId="2BB6C322">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流域暴雨强度分析应采用频率统计方法，计算不同重现期下的设计暴雨强度，为设计洪水推算和预警阈值确定提供依据。计算数据应选用具有代表性的雨量站实测资料，系列长度应满足频率分析的统计要求。暴雨时空分布规律分析是暴雨强度计算的重要内容，应根据流域面积和暴雨特性确定合理的面雨量计算方法，暴雨强度计算方法应符合GB/T 22482水文情报预报规范的技术要求。</w:t>
      </w:r>
    </w:p>
    <w:p w14:paraId="4281EFF6">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3" w:name="_Toc31654"/>
      <w:r>
        <w:rPr>
          <w:rFonts w:hint="eastAsia"/>
        </w:rPr>
        <w:t>5  预报模型建立与率定</w:t>
      </w:r>
      <w:bookmarkEnd w:id="13"/>
    </w:p>
    <w:p w14:paraId="260130DF">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5.1 产汇流模型选型</w:t>
      </w:r>
    </w:p>
    <w:p w14:paraId="6D0DFBB0">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产汇流模型的选型应综合考虑流域面积、地形地貌特征、数据可得性和预报精度要求等因素。对于资料充足的流域，宜采用具有物理基础的分布式或半分布式水文模型；对于资料匮乏的流域，可采用基于参数化的集总式模型或经验统计方法。模型选型时应评估不同模型在目标流域的适用性，通过率定期和验证期的分析比较，确定最终采用的模型类型。各类模型均应参照SL 250的预报规范进行配置和应用。</w:t>
      </w:r>
    </w:p>
    <w:p w14:paraId="68701F6E">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5.2 参数率定与验证</w:t>
      </w:r>
    </w:p>
    <w:p w14:paraId="1D67DDD5">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产汇流模型参数率定应采用历史典型洪水过程数据，率定目标应兼顾洪峰流量、洪量和洪水过程形态的吻合程度。率定过程应使用优化算法或手动调参方法，系统搜索参数组合，确定最优参数集。参数验证应选用未参与率定的历史洪水场次，独立评估模型的预报效果。最终确定的模型参数应有充分的率定和验证数据支撑，参数不确定性应进行必要的分析评估，预报精度评定应按照GB/T 22482的规定标准执行。</w:t>
      </w:r>
    </w:p>
    <w:p w14:paraId="2DE09DBB">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4" w:name="_Toc9503"/>
      <w:r>
        <w:rPr>
          <w:rFonts w:hint="eastAsia"/>
        </w:rPr>
        <w:t>6  监测站网与数据传输</w:t>
      </w:r>
      <w:bookmarkEnd w:id="14"/>
    </w:p>
    <w:p w14:paraId="4AFE36B3">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6.1 站网布设要求</w:t>
      </w:r>
    </w:p>
    <w:p w14:paraId="26749D27">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中小河流洪水预报预警站网应涵盖雨量站、水位站和流量测站，站网密度应根据流域面积、地形特征和预报需求合理确定。雨量站应重点布设在流域上游产流区和降雨集中区域；水位站应布设在主要控制断面和关键保护目标上游；流量测站应优先布设在重要控制站点，站网布设要求应符合SL 61水文自动测报系统技术规范的相关规定。各站点均应配备数据自动采集和传输设备，确保实时数据的及时传输。</w:t>
      </w:r>
    </w:p>
    <w:p w14:paraId="7C287806">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6.2 数据传输与质控</w:t>
      </w:r>
    </w:p>
    <w:p w14:paraId="61183E8B">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监测数据应按照规定频率自动上传至预报中心，上传频率应满足洪水预报时效性的要求，洪水期间应适当提高数据上传频率。数据传输应采用多链路冗余设计，确保恶劣天气条件下数据传输的可靠性。接收的实时监测数据应进行自动质量控制，识别并标记异常数据，对缺测数据应采用合理方法进行插补处理，质量控制标准应符合QX 45气象观测规范的相关要求。数据质控结果应由专业人员进行复核，确保进入预报模型的数据质量满足预报精度要求。</w:t>
      </w:r>
    </w:p>
    <w:p w14:paraId="744B711E">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5" w:name="_Toc12710"/>
      <w:r>
        <w:rPr>
          <w:rFonts w:hint="eastAsia"/>
        </w:rPr>
        <w:t>7  洪水预警发布管理</w:t>
      </w:r>
      <w:bookmarkEnd w:id="15"/>
    </w:p>
    <w:p w14:paraId="612907AC">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7.1 预警等级划分</w:t>
      </w:r>
    </w:p>
    <w:p w14:paraId="1803DA3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洪水预警等级应根据河流警戒水位、保证水位和历史最高洪水位，结合下游保护对象的重要程度和承灾能力综合划分。蓝色预警对应超警戒水位但未超保证水位的洪水；黄色预警对应超保证水位但洪灾风险可控的洪水；橙色预警对应超历史最高水位或具有重大致灾风险的洪水；红色预警对应极端洪水事件，需要启动最高级别防汛应急响应。预警等级划分应与当地防汛应急预案相衔接，符合QX/T 118中小流域洪水气象风险预警的技术规定。</w:t>
      </w:r>
    </w:p>
    <w:p w14:paraId="2713B965">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7.2 预警发布程序</w:t>
      </w:r>
    </w:p>
    <w:p w14:paraId="1D6EC648">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洪水预警的发布应遵循分级负责、及时准确的原则，发布机构应严格按照授权范围和发布程序执行。预警信息发布前应经过技术审核，确认预报结果的可靠性后方可正式发布。预警信息发布应通过政府应急广播、手机短信、互联网平台和基层预警终端等多种渠道同步传播，确保预警信息及时触达受影响区域的基层组织和群众。预警级别的升降调整应根据洪水发展态势实时更新，预警解除须在洪水明显消退、危险状态解除后方可执行，符合SL 250水文情报预报规范的管理要求。</w:t>
      </w:r>
    </w:p>
    <w:p w14:paraId="1F75FAA1">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6" w:name="_Toc29357"/>
      <w:r>
        <w:rPr>
          <w:rFonts w:hint="eastAsia"/>
        </w:rPr>
        <w:t>8  预报精度评定与方案修订</w:t>
      </w:r>
      <w:bookmarkEnd w:id="16"/>
    </w:p>
    <w:p w14:paraId="74CAE1B0">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8.1 预报精度评定标准</w:t>
      </w:r>
    </w:p>
    <w:p w14:paraId="69128E5D">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洪水预报精度评定应采用洪峰流量相对误差、洪量相对误差和洪峰出现时间误差三项指标，按照GB/T 22482的分级标准判断预报方案的精度等级。达到甲级或乙级精度的预报方案可作为业务预报的基础，未达到乙级精度的预报方案应进行修订完善，不得直接用于发布预警。每年应对预报精度进行年度汇总评定，分析影响预报精度的主要因素，为预报方案改进提供依据。</w:t>
      </w:r>
    </w:p>
    <w:p w14:paraId="79DE9FA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8.2 预报方案修订程序</w:t>
      </w:r>
    </w:p>
    <w:p w14:paraId="42E30622">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洪水预报方案应根据新增历史洪水资料定期更新，更新周期不宜超过五年。当流域内发生重大工程建设、土地利用变化或极端洪水事件后，应及时启动专项修订工作。修订后的预报方案应经过独立验证，确认精度符合要求后方可正式投入使用。方案修订情况应形成技术报告，存档备查，修订方案的发布和实施应经主管部门审批，报告内容应符合SL 61水文自动测报系统技术规范的管理要求。</w:t>
      </w:r>
    </w:p>
    <w:p w14:paraId="5FE4555D">
      <w:pPr>
        <w:pStyle w:val="2"/>
        <w:keepNext w:val="0"/>
        <w:keepLines w:val="0"/>
        <w:pageBreakBefore w:val="0"/>
        <w:widowControl/>
        <w:kinsoku w:val="0"/>
        <w:wordWrap/>
        <w:overflowPunct/>
        <w:topLinePunct w:val="0"/>
        <w:autoSpaceDE w:val="0"/>
        <w:autoSpaceDN w:val="0"/>
        <w:bidi w:val="0"/>
        <w:adjustRightInd w:val="0"/>
        <w:snapToGrid w:val="0"/>
        <w:spacing w:before="0" w:beforeLines="100" w:after="0" w:afterLines="100"/>
        <w:textAlignment w:val="baseline"/>
        <w:rPr>
          <w:rFonts w:hint="eastAsia"/>
        </w:rPr>
      </w:pPr>
      <w:bookmarkStart w:id="17" w:name="_Toc14198"/>
      <w:r>
        <w:rPr>
          <w:rFonts w:hint="eastAsia"/>
        </w:rPr>
        <w:t>9  业务运行与应急管理</w:t>
      </w:r>
      <w:bookmarkEnd w:id="17"/>
    </w:p>
    <w:p w14:paraId="79A75678">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9.1 日常业务运行</w:t>
      </w:r>
    </w:p>
    <w:p w14:paraId="29CBEF8E">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中小河流洪水预报预警系统应保持全年连续运行，汛期应实现24小时值班制度。预报员应定期开展预报演练，熟练掌握预报模型操作和预警发布程序。值班期间应密切关注气象预报和实时监测数据，做好暴雨过程的提前预判，及时启动洪水预报业务流程。系统设备应定期维护保养，确保硬件设备和通信链路的稳定运行，维护记录应妥善保存，符合SL 59流量测验规范中的质量管理要求。</w:t>
      </w:r>
    </w:p>
    <w:p w14:paraId="3ECB7984">
      <w:pPr>
        <w:pStyle w:val="3"/>
        <w:keepNext w:val="0"/>
        <w:keepLines w:val="0"/>
        <w:pageBreakBefore w:val="0"/>
        <w:widowControl/>
        <w:kinsoku w:val="0"/>
        <w:wordWrap/>
        <w:overflowPunct/>
        <w:topLinePunct w:val="0"/>
        <w:autoSpaceDE w:val="0"/>
        <w:autoSpaceDN w:val="0"/>
        <w:bidi w:val="0"/>
        <w:adjustRightInd w:val="0"/>
        <w:snapToGrid w:val="0"/>
        <w:spacing w:before="0" w:beforeLines="50" w:after="0" w:afterLines="50" w:line="240" w:lineRule="auto"/>
        <w:ind w:right="0" w:firstLine="0"/>
        <w:textAlignment w:val="baseline"/>
        <w:rPr>
          <w:rFonts w:hint="eastAsia" w:ascii="黑体" w:hAnsi="黑体" w:eastAsia="黑体" w:cs="黑体"/>
          <w:sz w:val="21"/>
          <w:szCs w:val="21"/>
        </w:rPr>
      </w:pPr>
      <w:r>
        <w:rPr>
          <w:rFonts w:hint="eastAsia" w:ascii="黑体" w:hAnsi="黑体" w:eastAsia="黑体" w:cs="黑体"/>
          <w:sz w:val="21"/>
          <w:szCs w:val="21"/>
        </w:rPr>
        <w:t>9.2 极端天气应急响应</w:t>
      </w:r>
    </w:p>
    <w:p w14:paraId="57219E31">
      <w:pPr>
        <w:spacing w:line="240" w:lineRule="auto"/>
        <w:ind w:firstLine="500" w:firstLineChars="0"/>
        <w:jc w:val="both"/>
        <w:rPr>
          <w:rFonts w:hint="eastAsia" w:ascii="宋体" w:hAnsi="宋体" w:eastAsia="宋体" w:cs="宋体"/>
          <w:sz w:val="21"/>
          <w:szCs w:val="21"/>
        </w:rPr>
      </w:pPr>
      <w:r>
        <w:rPr>
          <w:rFonts w:hint="eastAsia" w:ascii="宋体" w:hAnsi="宋体" w:eastAsia="宋体" w:cs="宋体"/>
          <w:sz w:val="21"/>
          <w:szCs w:val="21"/>
        </w:rPr>
        <w:t>遭遇超强降雨或超历史记录洪水时，应启动应急预报模式，增加预报频次，召集技术骨干组成应急小组联合研判。应急预报期间应充分利用多源降雨数据和模型集合预报技术，提高预报结果的可信度。重大洪水过程结束后应开展系统复盘分析，总结预报准确率、预警发布时效和响应处置效果，形成案例报告，纳入预报系统数据库，为类似洪水过程的预报提供经验参考，持续提升中小河流洪水预报预警的整体业务能力。</w:t>
      </w:r>
    </w:p>
    <w:p w14:paraId="7791931F">
      <w:pPr>
        <w:jc w:val="both"/>
        <w:rPr>
          <w:rFonts w:hint="eastAsia" w:ascii="黑体" w:hAnsi="黑体" w:eastAsia="黑体" w:cs="黑体"/>
          <w:sz w:val="32"/>
          <w:szCs w:val="32"/>
        </w:rPr>
      </w:pPr>
      <w:r>
        <w:drawing>
          <wp:anchor distT="0" distB="0" distL="0" distR="0" simplePos="0" relativeHeight="251670528" behindDoc="0" locked="0" layoutInCell="1" allowOverlap="1">
            <wp:simplePos x="0" y="0"/>
            <wp:positionH relativeFrom="page">
              <wp:posOffset>3145790</wp:posOffset>
            </wp:positionH>
            <wp:positionV relativeFrom="paragraph">
              <wp:posOffset>892810</wp:posOffset>
            </wp:positionV>
            <wp:extent cx="1484630" cy="12700"/>
            <wp:effectExtent l="0" t="0" r="1270" b="0"/>
            <wp:wrapTopAndBottom/>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png"/>
                    <pic:cNvPicPr>
                      <a:picLocks noChangeAspect="1"/>
                    </pic:cNvPicPr>
                  </pic:nvPicPr>
                  <pic:blipFill>
                    <a:blip r:embed="rId27" cstate="print"/>
                    <a:stretch>
                      <a:fillRect/>
                    </a:stretch>
                  </pic:blipFill>
                  <pic:spPr>
                    <a:xfrm>
                      <a:off x="0" y="0"/>
                      <a:ext cx="1484630" cy="12700"/>
                    </a:xfrm>
                    <a:prstGeom prst="rect">
                      <a:avLst/>
                    </a:prstGeom>
                  </pic:spPr>
                </pic:pic>
              </a:graphicData>
            </a:graphic>
          </wp:anchor>
        </w:drawing>
      </w:r>
    </w:p>
    <w:sectPr>
      <w:headerReference r:id="rId20" w:type="default"/>
      <w:footerReference r:id="rId22" w:type="default"/>
      <w:headerReference r:id="rId21" w:type="even"/>
      <w:footerReference r:id="rId23" w:type="even"/>
      <w:pgSz w:w="11910" w:h="16840"/>
      <w:pgMar w:top="1417" w:right="1134" w:bottom="1134" w:left="1417" w:header="1417" w:footer="283"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宋体"/>
    <w:panose1 w:val="020B0400000000000000"/>
    <w:charset w:val="86"/>
    <w:family w:val="auto"/>
    <w:pitch w:val="default"/>
    <w:sig w:usb0="00000000" w:usb1="00000000"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FD2F">
    <w:pPr>
      <w:rPr>
        <w:rFonts w:ascii="宋体" w:hAnsi="宋体" w:eastAsia="宋体" w:cs="宋体"/>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3B9FD51">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A758">
    <w:pPr>
      <w:rPr>
        <w:rFonts w:ascii="宋体" w:hAnsi="宋体" w:eastAsia="宋体" w:cs="宋体"/>
        <w:sz w:val="21"/>
        <w:szCs w:val="21"/>
      </w:rPr>
    </w:pPr>
    <w:r>
      <w:rPr>
        <w:sz w:val="21"/>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F08E62">
                          <w:pPr>
                            <w:pStyle w:val="8"/>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CF08E62">
                    <w:pPr>
                      <w:pStyle w:val="8"/>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0B717">
    <w:pPr>
      <w:jc w:val="right"/>
      <w:rPr>
        <w:rFonts w:ascii="宋体" w:hAnsi="宋体" w:eastAsia="宋体" w:cs="宋体"/>
        <w:sz w:val="21"/>
        <w:szCs w:val="21"/>
      </w:rPr>
    </w:pPr>
    <w:r>
      <w:rPr>
        <w:sz w:val="21"/>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6FD532">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98CA5">
    <w:pPr>
      <w:jc w:val="left"/>
      <w:rPr>
        <w:rFonts w:ascii="宋体" w:hAnsi="宋体" w:eastAsia="宋体" w:cs="宋体"/>
        <w:sz w:val="21"/>
        <w:szCs w:val="21"/>
      </w:rPr>
    </w:pPr>
    <w:r>
      <w:rPr>
        <w:sz w:val="21"/>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D9A0E02">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8DC0F">
    <w:pPr>
      <w:jc w:val="right"/>
      <w:rPr>
        <w:rFonts w:ascii="宋体" w:hAnsi="宋体" w:eastAsia="宋体" w:cs="宋体"/>
        <w:sz w:val="21"/>
        <w:szCs w:val="21"/>
      </w:rPr>
    </w:pPr>
    <w:r>
      <w:rPr>
        <w:sz w:val="21"/>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7CCAFA8">
                    <w:pPr>
                      <w:jc w:val="right"/>
                    </w:pPr>
                    <w:r>
                      <w:rPr>
                        <w:rFonts w:ascii="宋体" w:hAnsi="宋体" w:eastAsia="宋体" w:cs="宋体"/>
                        <w:sz w:val="18"/>
                        <w:szCs w:val="18"/>
                      </w:rPr>
                      <w:fldChar w:fldCharType="begin"/>
                    </w:r>
                    <w:r>
                      <w:rPr>
                        <w:rFonts w:ascii="宋体" w:hAnsi="宋体" w:eastAsia="宋体" w:cs="宋体"/>
                        <w:sz w:val="18"/>
                        <w:szCs w:val="18"/>
                      </w:rPr>
                      <w:instrText xml:space="preserve"> PAGE </w:instrText>
                    </w:r>
                    <w:r>
                      <w:rPr>
                        <w:rFonts w:ascii="宋体" w:hAnsi="宋体" w:eastAsia="宋体" w:cs="宋体"/>
                        <w:sz w:val="18"/>
                        <w:szCs w:val="18"/>
                      </w:rPr>
                      <w:fldChar w:fldCharType="separate"/>
                    </w:r>
                    <w:r>
                      <w:rPr>
                        <w:rFonts w:ascii="宋体" w:hAnsi="宋体" w:eastAsia="宋体" w:cs="宋体"/>
                        <w:sz w:val="18"/>
                        <w:szCs w:val="18"/>
                      </w:rPr>
                      <w:t>1</w:t>
                    </w:r>
                    <w:r>
                      <w:rPr>
                        <w:rFonts w:ascii="宋体" w:hAnsi="宋体" w:eastAsia="宋体" w:cs="宋体"/>
                        <w:sz w:val="18"/>
                        <w:szCs w:val="18"/>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A9313">
    <w:pPr>
      <w:jc w:val="left"/>
      <w:rPr>
        <w:rFonts w:ascii="宋体" w:hAnsi="宋体" w:eastAsia="宋体" w:cs="宋体"/>
        <w:sz w:val="21"/>
        <w:szCs w:val="21"/>
      </w:rPr>
    </w:pPr>
    <w:r>
      <w:rPr>
        <w:sz w:val="21"/>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2359E05F">
                    <w:pPr>
                      <w:jc w:val="left"/>
                    </w:pPr>
                    <w:r>
                      <w:rPr>
                        <w:rFonts w:ascii="宋体" w:hAnsi="宋体" w:eastAsia="宋体" w:cs="宋体"/>
                        <w:sz w:val="21"/>
                        <w:szCs w:val="21"/>
                      </w:rPr>
                      <w:fldChar w:fldCharType="begin"/>
                    </w:r>
                    <w:r>
                      <w:rPr>
                        <w:rFonts w:ascii="宋体" w:hAnsi="宋体" w:eastAsia="宋体" w:cs="宋体"/>
                        <w:sz w:val="21"/>
                        <w:szCs w:val="21"/>
                      </w:rPr>
                      <w:instrText xml:space="preserve"> PAGE </w:instrText>
                    </w:r>
                    <w:r>
                      <w:rPr>
                        <w:rFonts w:ascii="宋体" w:hAnsi="宋体" w:eastAsia="宋体" w:cs="宋体"/>
                        <w:sz w:val="21"/>
                        <w:szCs w:val="21"/>
                      </w:rPr>
                      <w:fldChar w:fldCharType="separate"/>
                    </w:r>
                    <w:r>
                      <w:rPr>
                        <w:rFonts w:ascii="宋体" w:hAnsi="宋体" w:eastAsia="宋体" w:cs="宋体"/>
                        <w:sz w:val="21"/>
                        <w:szCs w:val="21"/>
                      </w:rPr>
                      <w:t>1</w:t>
                    </w:r>
                    <w:r>
                      <w:rPr>
                        <w:rFonts w:ascii="宋体" w:hAnsi="宋体" w:eastAsia="宋体" w:cs="宋体"/>
                        <w:sz w:val="21"/>
                        <w:szCs w:val="21"/>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00FBF">
    <w:pPr>
      <w:rPr>
        <w:rFonts w:ascii="宋体" w:hAnsi="宋体" w:eastAsia="宋体" w:cs="宋体"/>
        <w:sz w:val="21"/>
        <w:szCs w:val="21"/>
      </w:rPr>
    </w:pPr>
    <w:r>
      <w:rPr>
        <w:sz w:val="21"/>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C9D108">
                    <w:pPr>
                      <w:pStyle w:val="8"/>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I</w:t>
                    </w:r>
                    <w:r>
                      <w:rPr>
                        <w:rFonts w:hint="eastAsia" w:ascii="宋体" w:hAnsi="宋体" w:eastAsia="宋体" w:cs="宋体"/>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2AAB">
    <w:pPr>
      <w:rPr>
        <w:rFonts w:ascii="宋体" w:hAnsi="宋体" w:eastAsia="宋体" w:cs="宋体"/>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366544">
                          <w:pPr>
                            <w:pStyle w:val="8"/>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10366544">
                    <w:pPr>
                      <w:pStyle w:val="8"/>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DB437">
    <w:pPr>
      <w:pStyle w:val="9"/>
      <w:rPr>
        <w:rFonts w:hint="eastAsia" w:ascii="黑体" w:hAnsi="黑体" w:eastAsia="黑体" w:cs="黑体"/>
        <w:spacing w:val="2"/>
        <w:sz w:val="21"/>
        <w:szCs w:val="21"/>
      </w:rPr>
    </w:pPr>
    <w:r>
      <w:rPr>
        <w:rFonts w:hint="eastAsia" w:ascii="黑体" w:hAnsi="黑体" w:eastAsia="黑体" w:cs="黑体"/>
        <w:spacing w:val="2"/>
        <w:sz w:val="21"/>
        <w:szCs w:val="21"/>
      </w:rPr>
      <w:t xml:space="preserve">ICS 35.240 </w:t>
    </w:r>
  </w:p>
  <w:p w14:paraId="187B5B53">
    <w:pPr>
      <w:pStyle w:val="9"/>
      <w:rPr>
        <w:rFonts w:hint="eastAsia" w:ascii="黑体" w:hAnsi="黑体" w:eastAsia="黑体" w:cs="黑体"/>
        <w:spacing w:val="2"/>
        <w:sz w:val="21"/>
        <w:szCs w:val="21"/>
      </w:rPr>
    </w:pPr>
    <w:r>
      <w:rPr>
        <w:rFonts w:hint="eastAsia" w:ascii="黑体" w:hAnsi="黑体" w:eastAsia="黑体" w:cs="黑体"/>
        <w:spacing w:val="2"/>
        <w:sz w:val="21"/>
        <w:szCs w:val="21"/>
      </w:rPr>
      <w:t>CCS L70</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498A1">
    <w:pPr>
      <w:pStyle w:val="6"/>
      <w:spacing w:line="249" w:lineRule="exact"/>
      <w:jc w:val="right"/>
      <w:rPr>
        <w:rFonts w:hint="eastAsia" w:ascii="宋体" w:hAnsi="宋体" w:eastAsia="宋体" w:cs="宋体"/>
        <w:sz w:val="18"/>
        <w:szCs w:val="18"/>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429</w:t>
    </w:r>
    <w:r>
      <w:rPr>
        <w:rFonts w:hint="eastAsia" w:ascii="黑体" w:hAnsi="黑体" w:eastAsia="黑体" w:cs="黑体"/>
        <w:sz w:val="21"/>
        <w:szCs w:val="21"/>
      </w:rPr>
      <w:t>—2026</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58037">
    <w:pPr>
      <w:pStyle w:val="6"/>
      <w:spacing w:line="249" w:lineRule="exact"/>
      <w:jc w:val="both"/>
    </w:pPr>
    <w:r>
      <w:rPr>
        <w:rFonts w:hint="eastAsia" w:ascii="宋体" w:hAnsi="宋体" w:eastAsia="宋体" w:cs="宋体"/>
        <w:sz w:val="18"/>
        <w:szCs w:val="18"/>
      </w:rPr>
      <w:t>T/JXEA 3</w:t>
    </w:r>
    <w:r>
      <w:rPr>
        <w:rFonts w:hint="eastAsia" w:ascii="宋体" w:hAnsi="宋体" w:eastAsia="宋体" w:cs="宋体"/>
        <w:sz w:val="18"/>
        <w:szCs w:val="18"/>
        <w:lang w:val="en-US" w:eastAsia="zh-CN"/>
      </w:rPr>
      <w:t>88</w:t>
    </w:r>
    <w:r>
      <w:rPr>
        <w:rFonts w:hint="eastAsia" w:ascii="宋体" w:hAnsi="宋体" w:eastAsia="宋体" w:cs="宋体"/>
        <w:sz w:val="18"/>
        <w:szCs w:val="18"/>
      </w:rPr>
      <w:t>—2026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D9752">
    <w:pPr>
      <w:pStyle w:val="6"/>
      <w:spacing w:line="249" w:lineRule="exact"/>
      <w:jc w:val="both"/>
    </w:pPr>
    <w:r>
      <w:rPr>
        <w:rFonts w:hint="eastAsia" w:ascii="宋体" w:hAnsi="宋体" w:eastAsia="宋体" w:cs="宋体"/>
      </w:rPr>
      <w:t>T/JXEA 320—2026</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C2965">
    <w:pPr>
      <w:pStyle w:val="6"/>
      <w:spacing w:line="249" w:lineRule="exact"/>
      <w:ind w:left="20" w:firstLine="7140" w:firstLineChars="3400"/>
      <w:rPr>
        <w:rFonts w:ascii="PingFang SC" w:hAnsi="PingFang SC" w:eastAsia="PingFang SC" w:cs="PingFang SC"/>
        <w:sz w:val="20"/>
        <w:szCs w:val="20"/>
      </w:rPr>
    </w:pPr>
    <w:r>
      <w:rPr>
        <w:rFonts w:ascii="黑体" w:hAnsi="黑体"/>
      </w:rPr>
      <w:t>T/JXEA 320—2026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DD40C">
    <w:pPr>
      <w:pStyle w:val="6"/>
      <w:spacing w:line="249" w:lineRule="exact"/>
      <w:jc w:val="right"/>
      <w:rPr>
        <w:rFonts w:hint="eastAsia" w:ascii="黑体" w:hAnsi="黑体" w:eastAsia="黑体" w:cs="黑体"/>
        <w:sz w:val="21"/>
        <w:szCs w:val="21"/>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429</w:t>
    </w:r>
    <w:r>
      <w:rPr>
        <w:rFonts w:hint="eastAsia" w:ascii="黑体" w:hAnsi="黑体" w:eastAsia="黑体" w:cs="黑体"/>
        <w:sz w:val="21"/>
        <w:szCs w:val="21"/>
      </w:rPr>
      <w:t>—2026</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3F616">
    <w:pPr>
      <w:pStyle w:val="6"/>
      <w:spacing w:line="249"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130B8">
    <w:pPr>
      <w:pStyle w:val="6"/>
      <w:spacing w:line="249" w:lineRule="exact"/>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429</w:t>
    </w:r>
    <w:r>
      <w:rPr>
        <w:rFonts w:hint="eastAsia" w:ascii="黑体" w:hAnsi="黑体" w:eastAsia="黑体" w:cs="黑体"/>
        <w:sz w:val="21"/>
        <w:szCs w:val="21"/>
      </w:rPr>
      <w:t>—2026</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44C03">
    <w:pPr>
      <w:pStyle w:val="6"/>
      <w:spacing w:line="249" w:lineRule="exact"/>
      <w:jc w:val="right"/>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429</w:t>
    </w:r>
    <w:r>
      <w:rPr>
        <w:rFonts w:hint="eastAsia" w:ascii="黑体" w:hAnsi="黑体" w:eastAsia="黑体" w:cs="黑体"/>
        <w:sz w:val="21"/>
        <w:szCs w:val="21"/>
      </w:rPr>
      <w:t>—2026</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61BB2">
    <w:pPr>
      <w:pStyle w:val="9"/>
      <w:jc w:val="right"/>
      <w:rPr>
        <w:rFonts w:hint="eastAsia"/>
        <w:lang w:val="en-US" w:eastAsia="zh-CN"/>
      </w:rPr>
    </w:pPr>
    <w:r>
      <w:rPr>
        <w:rFonts w:hint="eastAsia" w:ascii="黑体" w:hAnsi="黑体" w:eastAsia="黑体" w:cs="黑体"/>
        <w:sz w:val="21"/>
        <w:szCs w:val="21"/>
      </w:rPr>
      <w:t xml:space="preserve">T/JXEA </w:t>
    </w:r>
    <w:r>
      <w:rPr>
        <w:rFonts w:hint="eastAsia" w:ascii="黑体" w:hAnsi="黑体" w:eastAsia="黑体" w:cs="黑体"/>
        <w:sz w:val="21"/>
        <w:szCs w:val="21"/>
        <w:lang w:val="en-US" w:eastAsia="zh-CN"/>
      </w:rPr>
      <w:t>429</w:t>
    </w:r>
    <w:r>
      <w:rPr>
        <w:rFonts w:hint="eastAsia" w:ascii="黑体" w:hAnsi="黑体" w:eastAsia="黑体" w:cs="黑体"/>
        <w:sz w:val="21"/>
        <w:szCs w:val="21"/>
      </w:rPr>
      <w:t>—2026</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51695">
    <w:pPr>
      <w:pStyle w:val="6"/>
      <w:spacing w:line="249"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bordersDoNotSurroundHeader w:val="0"/>
  <w:bordersDoNotSurroundFooter w:val="0"/>
  <w:documentProtection w:enforcement="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E11BCF"/>
    <w:rsid w:val="02C95F7F"/>
    <w:rsid w:val="094D7246"/>
    <w:rsid w:val="10817822"/>
    <w:rsid w:val="114D3720"/>
    <w:rsid w:val="117723DD"/>
    <w:rsid w:val="144F2D27"/>
    <w:rsid w:val="152B0E50"/>
    <w:rsid w:val="1BFC2A77"/>
    <w:rsid w:val="1CEA3614"/>
    <w:rsid w:val="1E165790"/>
    <w:rsid w:val="1E854FF8"/>
    <w:rsid w:val="1EF40971"/>
    <w:rsid w:val="1F883BB0"/>
    <w:rsid w:val="1FA4037A"/>
    <w:rsid w:val="1FA85442"/>
    <w:rsid w:val="24981844"/>
    <w:rsid w:val="25F610B0"/>
    <w:rsid w:val="25FA472D"/>
    <w:rsid w:val="261E7AA3"/>
    <w:rsid w:val="270950B5"/>
    <w:rsid w:val="285208E9"/>
    <w:rsid w:val="288010CA"/>
    <w:rsid w:val="2F913B87"/>
    <w:rsid w:val="314C15E2"/>
    <w:rsid w:val="356E0177"/>
    <w:rsid w:val="36055107"/>
    <w:rsid w:val="362C295C"/>
    <w:rsid w:val="36C03D85"/>
    <w:rsid w:val="38296BB0"/>
    <w:rsid w:val="38CD2E8E"/>
    <w:rsid w:val="39F53F18"/>
    <w:rsid w:val="3AF6384B"/>
    <w:rsid w:val="3F417E35"/>
    <w:rsid w:val="3F911525"/>
    <w:rsid w:val="409E2E12"/>
    <w:rsid w:val="478B5BE9"/>
    <w:rsid w:val="49AE2C0A"/>
    <w:rsid w:val="4BA11B70"/>
    <w:rsid w:val="4D576B6D"/>
    <w:rsid w:val="4E4F4B57"/>
    <w:rsid w:val="4ED300C1"/>
    <w:rsid w:val="50F8747A"/>
    <w:rsid w:val="51536047"/>
    <w:rsid w:val="54DC719A"/>
    <w:rsid w:val="54EA55DA"/>
    <w:rsid w:val="55277367"/>
    <w:rsid w:val="567F35D2"/>
    <w:rsid w:val="571B11FE"/>
    <w:rsid w:val="5DFE5C52"/>
    <w:rsid w:val="5DFF3841"/>
    <w:rsid w:val="5EAB5261"/>
    <w:rsid w:val="61E5122B"/>
    <w:rsid w:val="632F3984"/>
    <w:rsid w:val="679C2507"/>
    <w:rsid w:val="67D029E5"/>
    <w:rsid w:val="69731BEA"/>
    <w:rsid w:val="6A4913D1"/>
    <w:rsid w:val="6CF43042"/>
    <w:rsid w:val="6D911F95"/>
    <w:rsid w:val="6E0E34CE"/>
    <w:rsid w:val="6EF72976"/>
    <w:rsid w:val="6FD66A2F"/>
    <w:rsid w:val="6FD809F9"/>
    <w:rsid w:val="7023696D"/>
    <w:rsid w:val="733E6120"/>
    <w:rsid w:val="74324450"/>
    <w:rsid w:val="75B24D84"/>
    <w:rsid w:val="76730700"/>
    <w:rsid w:val="78031871"/>
    <w:rsid w:val="78F341AE"/>
    <w:rsid w:val="79B85A3F"/>
    <w:rsid w:val="79F63C5C"/>
    <w:rsid w:val="FF5E51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jc w:val="both"/>
      <w:outlineLvl w:val="0"/>
    </w:pPr>
    <w:rPr>
      <w:rFonts w:ascii="黑体" w:hAnsi="黑体" w:eastAsia="黑体" w:cs="黑体"/>
      <w:spacing w:val="7"/>
    </w:rPr>
  </w:style>
  <w:style w:type="paragraph" w:styleId="3">
    <w:name w:val="heading 2"/>
    <w:basedOn w:val="1"/>
    <w:next w:val="1"/>
    <w:unhideWhenUsed/>
    <w:qFormat/>
    <w:uiPriority w:val="0"/>
    <w:pPr>
      <w:spacing w:before="91" w:line="312" w:lineRule="auto"/>
      <w:ind w:right="6" w:firstLine="427"/>
      <w:jc w:val="both"/>
      <w:outlineLvl w:val="1"/>
    </w:pPr>
    <w:rPr>
      <w:rFonts w:ascii="PingFang SC" w:hAnsi="PingFang SC" w:eastAsia="PingFang SC" w:cs="PingFang SC"/>
      <w:spacing w:val="7"/>
      <w:sz w:val="20"/>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Arial" w:hAnsi="Arial" w:eastAsia="Arial" w:cs="Arial"/>
      <w:sz w:val="21"/>
      <w:szCs w:val="21"/>
      <w:lang w:val="en-US" w:eastAsia="en-US" w:bidi="ar-SA"/>
    </w:r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其他发布日期"/>
    <w:basedOn w:val="19"/>
    <w:qFormat/>
    <w:uiPriority w:val="0"/>
    <w:pPr>
      <w:framePr w:w="3997" w:h="471" w:hRule="exact" w:hSpace="0" w:vSpace="181" w:wrap="around" w:vAnchor="page" w:hAnchor="page" w:x="1419" w:y="14097"/>
    </w:pPr>
  </w:style>
  <w:style w:type="paragraph" w:customStyle="1" w:styleId="19">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styleId="20">
    <w:name w:val="List Paragraph"/>
    <w:basedOn w:val="1"/>
    <w:qFormat/>
    <w:uiPriority w:val="1"/>
    <w:pPr>
      <w:ind w:left="1132" w:hanging="425"/>
    </w:pPr>
    <w:rPr>
      <w:rFonts w:ascii="宋体" w:hAnsi="宋体" w:eastAsia="宋体" w:cs="宋体"/>
      <w:lang w:val="en-US" w:eastAsia="en-US" w:bidi="en-US"/>
    </w:rPr>
  </w:style>
  <w:style w:type="character" w:styleId="21">
    <w:name w:val="Placeholder Text"/>
    <w:basedOn w:val="1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3.png"/><Relationship Id="rId26" Type="http://schemas.openxmlformats.org/officeDocument/2006/relationships/image" Target="media/image2.png"/><Relationship Id="rId25" Type="http://schemas.openxmlformats.org/officeDocument/2006/relationships/image" Target="media/image1.png"/><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footer" Target="footer7.xml"/><Relationship Id="rId21" Type="http://schemas.openxmlformats.org/officeDocument/2006/relationships/header" Target="header1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6.xml"/><Relationship Id="rId18" Type="http://schemas.openxmlformats.org/officeDocument/2006/relationships/footer" Target="footer5.xml"/><Relationship Id="rId17" Type="http://schemas.openxmlformats.org/officeDocument/2006/relationships/header" Target="header9.xml"/><Relationship Id="rId16" Type="http://schemas.openxmlformats.org/officeDocument/2006/relationships/header" Target="header8.xml"/><Relationship Id="rId15" Type="http://schemas.openxmlformats.org/officeDocument/2006/relationships/footer" Target="footer4.xml"/><Relationship Id="rId14" Type="http://schemas.openxmlformats.org/officeDocument/2006/relationships/footer" Target="footer3.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3520</Words>
  <Characters>3881</Characters>
  <TotalTime>1</TotalTime>
  <ScaleCrop>false</ScaleCrop>
  <LinksUpToDate>false</LinksUpToDate>
  <CharactersWithSpaces>4043</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2026-01-19T23:12:00Z</dcterms:created>
  <dc:creator>Administrator</dc:creator>
  <cp:lastModifiedBy>孙源</cp:lastModifiedBy>
  <dcterms:modified xsi:type="dcterms:W3CDTF">2026-06-01T06:14:53Z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2026-01-29T04:18:10Z</vt:filetime>
  </property>
  <property fmtid="{D5CDD505-2E9C-101B-9397-08002B2CF9AE}" pid="4" name="KSOTemplateDocerSaveRecord">
    <vt:lpwstr>eyJoZGlkIjoiNTQ5MWU0NmJmYzU0MmZiNmYzNWZmODgyODE2OTlmYTIiLCJ1c2VySWQiOiI5NDk0MTg3MjYifQ==</vt:lpwstr>
  </property>
  <property fmtid="{D5CDD505-2E9C-101B-9397-08002B2CF9AE}" pid="5" name="KSOProductBuildVer">
    <vt:lpwstr>2052-12.1.0.25865</vt:lpwstr>
  </property>
  <property fmtid="{D5CDD505-2E9C-101B-9397-08002B2CF9AE}" pid="6" name="ICV">
    <vt:lpwstr>AFFB3CF219DB4D5D80A140B64BD1CAFA_13</vt:lpwstr>
  </property>
</Properties>
</file>