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427—2026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低效林改造与提质增效技术规范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Technical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pecification for </w:t>
      </w:r>
      <w:r>
        <w:rPr>
          <w:rFonts w:hint="eastAsia" w:ascii="黑体" w:hAnsi="黑体" w:eastAsia="黑体" w:cs="黑体"/>
          <w:snapToGrid w:val="0"/>
          <w:color w:val="000000"/>
          <w:spacing w:val="-2"/>
          <w:kern w:val="0"/>
          <w:sz w:val="28"/>
          <w:szCs w:val="28"/>
          <w:lang w:val="en-US" w:eastAsia="zh-CN" w:bidi="ar-SA"/>
        </w:rPr>
        <w:t>t</w:t>
      </w:r>
      <w:r>
        <w:rPr>
          <w:rFonts w:hint="eastAsia" w:ascii="黑体" w:hAnsi="黑体" w:eastAsia="黑体" w:cs="黑体"/>
          <w:snapToGrid w:val="0"/>
          <w:color w:val="000000"/>
          <w:spacing w:val="-2"/>
          <w:kern w:val="0"/>
          <w:sz w:val="28"/>
          <w:szCs w:val="28"/>
          <w:lang w:val="en-US" w:eastAsia="en-US" w:bidi="ar-SA"/>
        </w:rPr>
        <w:t xml:space="preserve">ransformation and </w:t>
      </w:r>
      <w:r>
        <w:rPr>
          <w:rFonts w:hint="eastAsia" w:ascii="黑体" w:hAnsi="黑体" w:eastAsia="黑体" w:cs="黑体"/>
          <w:snapToGrid w:val="0"/>
          <w:color w:val="000000"/>
          <w:spacing w:val="-2"/>
          <w:kern w:val="0"/>
          <w:sz w:val="28"/>
          <w:szCs w:val="28"/>
          <w:lang w:val="en-US" w:eastAsia="zh-CN" w:bidi="ar-SA"/>
        </w:rPr>
        <w:t>q</w:t>
      </w:r>
      <w:r>
        <w:rPr>
          <w:rFonts w:hint="eastAsia" w:ascii="黑体" w:hAnsi="黑体" w:eastAsia="黑体" w:cs="黑体"/>
          <w:snapToGrid w:val="0"/>
          <w:color w:val="000000"/>
          <w:spacing w:val="-2"/>
          <w:kern w:val="0"/>
          <w:sz w:val="28"/>
          <w:szCs w:val="28"/>
          <w:lang w:val="en-US" w:eastAsia="en-US" w:bidi="ar-SA"/>
        </w:rPr>
        <w:t xml:space="preserve">uality </w:t>
      </w:r>
      <w:r>
        <w:rPr>
          <w:rFonts w:hint="eastAsia" w:ascii="黑体" w:hAnsi="黑体" w:eastAsia="黑体" w:cs="黑体"/>
          <w:snapToGrid w:val="0"/>
          <w:color w:val="000000"/>
          <w:spacing w:val="-2"/>
          <w:kern w:val="0"/>
          <w:sz w:val="28"/>
          <w:szCs w:val="28"/>
          <w:lang w:val="en-US" w:eastAsia="zh-CN" w:bidi="ar-SA"/>
        </w:rPr>
        <w:t>i</w:t>
      </w:r>
      <w:r>
        <w:rPr>
          <w:rFonts w:hint="eastAsia" w:ascii="黑体" w:hAnsi="黑体" w:eastAsia="黑体" w:cs="黑体"/>
          <w:snapToGrid w:val="0"/>
          <w:color w:val="000000"/>
          <w:spacing w:val="-2"/>
          <w:kern w:val="0"/>
          <w:sz w:val="28"/>
          <w:szCs w:val="28"/>
          <w:lang w:val="en-US" w:eastAsia="en-US" w:bidi="ar-SA"/>
        </w:rPr>
        <w:t xml:space="preserve">mprovement of </w:t>
      </w:r>
      <w:r>
        <w:rPr>
          <w:rFonts w:hint="eastAsia" w:ascii="黑体" w:hAnsi="黑体" w:eastAsia="黑体" w:cs="黑体"/>
          <w:snapToGrid w:val="0"/>
          <w:color w:val="000000"/>
          <w:spacing w:val="-2"/>
          <w:kern w:val="0"/>
          <w:sz w:val="28"/>
          <w:szCs w:val="28"/>
          <w:lang w:val="en-US" w:eastAsia="zh-CN" w:bidi="ar-SA"/>
        </w:rPr>
        <w:t>l</w:t>
      </w:r>
      <w:r>
        <w:rPr>
          <w:rFonts w:hint="eastAsia" w:ascii="黑体" w:hAnsi="黑体" w:eastAsia="黑体" w:cs="黑体"/>
          <w:snapToGrid w:val="0"/>
          <w:color w:val="000000"/>
          <w:spacing w:val="-2"/>
          <w:kern w:val="0"/>
          <w:sz w:val="28"/>
          <w:szCs w:val="28"/>
          <w:lang w:val="en-US" w:eastAsia="en-US" w:bidi="ar-SA"/>
        </w:rPr>
        <w:t>ow-</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fficiency </w:t>
      </w:r>
      <w:r>
        <w:rPr>
          <w:rFonts w:hint="eastAsia" w:ascii="黑体" w:hAnsi="黑体" w:eastAsia="黑体" w:cs="黑体"/>
          <w:snapToGrid w:val="0"/>
          <w:color w:val="000000"/>
          <w:spacing w:val="-2"/>
          <w:kern w:val="0"/>
          <w:sz w:val="28"/>
          <w:szCs w:val="28"/>
          <w:lang w:val="en-US" w:eastAsia="zh-CN" w:bidi="ar-SA"/>
        </w:rPr>
        <w:t>f</w:t>
      </w:r>
      <w:r>
        <w:rPr>
          <w:rFonts w:hint="eastAsia" w:ascii="黑体" w:hAnsi="黑体" w:eastAsia="黑体" w:cs="黑体"/>
          <w:snapToGrid w:val="0"/>
          <w:color w:val="000000"/>
          <w:spacing w:val="-2"/>
          <w:kern w:val="0"/>
          <w:sz w:val="28"/>
          <w:szCs w:val="28"/>
          <w:lang w:val="en-US" w:eastAsia="en-US" w:bidi="ar-SA"/>
        </w:rPr>
        <w:t>orest</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724B7DBE">
      <w:pPr>
        <w:pStyle w:val="6"/>
        <w:rPr>
          <w:rFonts w:hint="eastAsia"/>
          <w:sz w:val="24"/>
        </w:rPr>
      </w:pPr>
    </w:p>
    <w:p w14:paraId="476B8B51">
      <w:pPr>
        <w:pStyle w:val="6"/>
        <w:rPr>
          <w:rFonts w:hint="eastAsia"/>
          <w:sz w:val="24"/>
        </w:rPr>
      </w:pPr>
    </w:p>
    <w:p w14:paraId="768AB27C">
      <w:pPr>
        <w:pStyle w:val="6"/>
        <w:rPr>
          <w:rFonts w:hint="eastAsia"/>
          <w:sz w:val="24"/>
        </w:rPr>
      </w:pPr>
    </w:p>
    <w:p w14:paraId="43755D0E">
      <w:pPr>
        <w:pStyle w:val="6"/>
        <w:rPr>
          <w:rFonts w:hint="eastAsia"/>
          <w:sz w:val="24"/>
        </w:rPr>
      </w:pPr>
    </w:p>
    <w:p w14:paraId="240CF599">
      <w:pPr>
        <w:pStyle w:val="6"/>
        <w:rPr>
          <w:b/>
          <w:sz w:val="20"/>
        </w:rPr>
      </w:pPr>
    </w:p>
    <w:p w14:paraId="6F33908D">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ascii="宋体" w:hAnsi="宋体" w:eastAsia="宋体" w:cs="Arial"/>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pPr>
        </w:p>
        <w:p w14:paraId="480A349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_Toc8427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_Toc8427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29499EC3">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_Toc2804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_Toc2804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1CDA17E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_Toc22633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_Toc22633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1DB625A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_Toc10764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_Toc10764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EF03B32">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_Toc12557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_Toc12557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CF7BA2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_Toc27260 </w:instrText>
          </w:r>
          <w:r>
            <w:rPr>
              <w:rFonts w:hint="eastAsia" w:ascii="黑体" w:hAnsi="黑体" w:eastAsia="黑体" w:cs="黑体"/>
            </w:rPr>
            <w:fldChar w:fldCharType="separate"/>
          </w:r>
          <w:r>
            <w:rPr>
              <w:rFonts w:hint="eastAsia" w:ascii="黑体" w:hAnsi="黑体" w:eastAsia="黑体" w:cs="黑体"/>
            </w:rPr>
            <w:t xml:space="preserve">4  </w:t>
          </w:r>
          <w:r>
            <w:rPr>
              <w:rFonts w:hint="eastAsia" w:ascii="黑体" w:hAnsi="黑体" w:eastAsia="黑体" w:cs="黑体"/>
              <w:lang w:val="en-US" w:eastAsia="zh-CN"/>
            </w:rPr>
            <w:t>总体原则</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_Toc27260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72A7C91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_Toc19536 </w:instrText>
          </w:r>
          <w:r>
            <w:rPr>
              <w:rFonts w:hint="eastAsia" w:ascii="黑体" w:hAnsi="黑体" w:eastAsia="黑体" w:cs="黑体"/>
            </w:rPr>
            <w:fldChar w:fldCharType="separate"/>
          </w:r>
          <w:r>
            <w:rPr>
              <w:rFonts w:hint="eastAsia" w:ascii="黑体" w:hAnsi="黑体" w:eastAsia="黑体" w:cs="黑体"/>
            </w:rPr>
            <w:t xml:space="preserve">5  </w:t>
          </w:r>
          <w:r>
            <w:rPr>
              <w:rFonts w:hint="eastAsia" w:ascii="黑体" w:hAnsi="黑体" w:eastAsia="黑体" w:cs="黑体"/>
              <w:lang w:val="en-US" w:eastAsia="zh-CN"/>
            </w:rPr>
            <w:t>低效林分类、判定指标与改造系统结构</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_Toc19536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2330AE2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_Toc20511 </w:instrText>
          </w:r>
          <w:r>
            <w:rPr>
              <w:rFonts w:hint="eastAsia" w:ascii="黑体" w:hAnsi="黑体" w:eastAsia="黑体" w:cs="黑体"/>
            </w:rPr>
            <w:fldChar w:fldCharType="separate"/>
          </w:r>
          <w:r>
            <w:rPr>
              <w:rFonts w:hint="eastAsia" w:ascii="黑体" w:hAnsi="黑体" w:eastAsia="黑体" w:cs="黑体"/>
            </w:rPr>
            <w:t xml:space="preserve">6  </w:t>
          </w:r>
          <w:r>
            <w:rPr>
              <w:rFonts w:hint="eastAsia" w:ascii="黑体" w:hAnsi="黑体" w:eastAsia="黑体" w:cs="黑体"/>
              <w:lang w:val="en-US" w:eastAsia="zh-CN"/>
            </w:rPr>
            <w:t>提质增效核心技术要求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_Toc20511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30DB93AB">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_Toc3517 </w:instrText>
          </w:r>
          <w:r>
            <w:rPr>
              <w:rFonts w:hint="eastAsia" w:ascii="黑体" w:hAnsi="黑体" w:eastAsia="黑体" w:cs="黑体"/>
            </w:rPr>
            <w:fldChar w:fldCharType="separate"/>
          </w:r>
          <w:r>
            <w:rPr>
              <w:rFonts w:hint="eastAsia" w:ascii="黑体" w:hAnsi="黑体" w:eastAsia="黑体" w:cs="黑体"/>
            </w:rPr>
            <w:t>7  质量验收与效果监测</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_Toc3517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5BE01B03">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_Toc27379 </w:instrText>
          </w:r>
          <w:r>
            <w:rPr>
              <w:rFonts w:hint="eastAsia" w:ascii="黑体" w:hAnsi="黑体" w:eastAsia="黑体" w:cs="黑体"/>
            </w:rPr>
            <w:fldChar w:fldCharType="separate"/>
          </w:r>
          <w:r>
            <w:rPr>
              <w:rFonts w:hint="eastAsia" w:ascii="黑体" w:hAnsi="黑体" w:eastAsia="黑体" w:cs="黑体"/>
            </w:rPr>
            <w:t>8  生物多样性保护措施</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_Toc27379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3E0AAA9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_Toc32144 </w:instrText>
          </w:r>
          <w:r>
            <w:rPr>
              <w:rFonts w:hint="eastAsia" w:ascii="黑体" w:hAnsi="黑体" w:eastAsia="黑体" w:cs="黑体"/>
            </w:rPr>
            <w:fldChar w:fldCharType="separate"/>
          </w:r>
          <w:r>
            <w:rPr>
              <w:rFonts w:hint="eastAsia" w:ascii="黑体" w:hAnsi="黑体" w:eastAsia="黑体" w:cs="黑体"/>
            </w:rPr>
            <w:t>9  档案管理与成效评价</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_Toc32144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283"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32"/>
          <w:szCs w:val="32"/>
        </w:rPr>
      </w:pPr>
      <w:bookmarkStart w:id="1" w:name="_Toc12046"/>
      <w:bookmarkStart w:id="2" w:name="_Toc6131"/>
      <w:bookmarkStart w:id="3" w:name="_Toc14474"/>
      <w:bookmarkStart w:id="4" w:name="_Toc8427"/>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283"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30364"/>
      <w:bookmarkStart w:id="6" w:name="_Toc879"/>
      <w:bookmarkStart w:id="7" w:name="_Toc17701"/>
      <w:bookmarkStart w:id="8" w:name="_Toc2804"/>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283" w:gutter="0"/>
          <w:pgNumType w:fmt="upperRoman"/>
          <w:cols w:space="720" w:num="1"/>
        </w:sectPr>
      </w:pPr>
      <w:r>
        <w:rPr>
          <w:rFonts w:hint="eastAsia" w:ascii="宋体" w:hAnsi="宋体" w:eastAsia="宋体" w:cs="宋体"/>
          <w:sz w:val="21"/>
          <w:szCs w:val="21"/>
        </w:rPr>
        <w:t>低效林是指受自然因素和人为干扰影响，导致林分结构不合理、功能退化、生产力水平低下，难以发挥其应有生态服务功能的林地类型。开展低效林改造是提升森林质量、增强碳汇能力、改善区域生态环境的重要举措。为规范低效林改造与提质增效工作的认定标准、技术方案和质量管理，依据国家林业相关技术规程和行业标准，制定本规范。本规范的实施将有助于推进低效林改造工作的科学化、标准化，为区域森林质量的整体提升提供有力技术支撑。</w:t>
      </w:r>
    </w:p>
    <w:p w14:paraId="4483326E">
      <w:pPr>
        <w:jc w:val="center"/>
        <w:rPr>
          <w:rFonts w:hint="eastAsia" w:ascii="黑体" w:hAnsi="黑体" w:eastAsia="黑体" w:cs="黑体"/>
          <w:sz w:val="32"/>
          <w:szCs w:val="32"/>
        </w:rPr>
      </w:pPr>
      <w:r>
        <w:rPr>
          <w:rFonts w:hint="eastAsia" w:ascii="黑体" w:hAnsi="黑体" w:eastAsia="黑体" w:cs="黑体"/>
          <w:sz w:val="32"/>
          <w:szCs w:val="32"/>
        </w:rPr>
        <w:t>低效林改造与提质增效技术规范</w:t>
      </w:r>
    </w:p>
    <w:p w14:paraId="4074D2BA">
      <w:pPr>
        <w:rPr>
          <w:rFonts w:hint="eastAsia" w:ascii="Times New Roman" w:hAnsi="Times New Roman" w:eastAsia="黑体" w:cs="黑体"/>
          <w:sz w:val="21"/>
          <w:szCs w:val="21"/>
        </w:rPr>
      </w:pPr>
    </w:p>
    <w:p w14:paraId="05AEF8C9">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22633"/>
      <w:r>
        <w:rPr>
          <w:rFonts w:hint="eastAsia"/>
        </w:rPr>
        <w:t>1  范围</w:t>
      </w:r>
      <w:bookmarkEnd w:id="9"/>
    </w:p>
    <w:p w14:paraId="483D6F7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本文件规定了低效林改造与提质增效的术语和定义、总体原则、林分分类与判定指标、改造系统结构、提质增效技术要求、施工过程控制要求、试验与证实方法、质量评价与验收规范、档案与运维管理要求</w:t>
      </w:r>
      <w:r>
        <w:rPr>
          <w:rFonts w:hint="eastAsia" w:ascii="Times New Roman" w:hAnsi="Times New Roman" w:eastAsia="宋体" w:cs="宋体"/>
          <w:sz w:val="21"/>
          <w:szCs w:val="21"/>
        </w:rPr>
        <w:t>。</w:t>
      </w:r>
    </w:p>
    <w:p w14:paraId="29CD6FDF">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适用于全国范围内防护林、用材林、经济林、薪炭林等各类天然次生低效林、人工低效林的改造修复、结构优化、质量提升与效益提升工程，适用于林业生产经营、生态修复工程、森林资源管护等相关技术与管理活动，退化林分提质改造可参照执行。</w:t>
      </w:r>
    </w:p>
    <w:p w14:paraId="71BAAC7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10764"/>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0767FF2">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 6000  主要造林树种苗木质量分级</w:t>
      </w:r>
    </w:p>
    <w:p w14:paraId="57CCD49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 7908  林木种子质量分级</w:t>
      </w:r>
    </w:p>
    <w:p w14:paraId="746714E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GB/T 15163  封山（沙）育林技术规程</w:t>
      </w:r>
    </w:p>
    <w:p w14:paraId="4F8CA2D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GB/T 15776  造林技术规程</w:t>
      </w:r>
    </w:p>
    <w:p w14:paraId="0D8235D2">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GB/T 15781  森林抚育规程</w:t>
      </w:r>
    </w:p>
    <w:p w14:paraId="23C6C922">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GB/T 18337.3  生态公益林建设技术规程</w:t>
      </w:r>
    </w:p>
    <w:p w14:paraId="6A4BC62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LY/T 1690  低效林改造技术规程</w:t>
      </w:r>
    </w:p>
    <w:p w14:paraId="4D366D0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lang w:val="en-US" w:eastAsia="zh-CN"/>
        </w:rPr>
        <w:t>LY/T 1898  天然次生低产低效林改培技术规程</w:t>
      </w:r>
    </w:p>
    <w:p w14:paraId="58AA7447">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12557"/>
      <w:r>
        <w:rPr>
          <w:rFonts w:hint="eastAsia"/>
        </w:rPr>
        <w:t>3  术语和定义</w:t>
      </w:r>
      <w:bookmarkEnd w:id="11"/>
    </w:p>
    <w:p w14:paraId="189986A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3601C980">
      <w:pPr>
        <w:rPr>
          <w:rFonts w:hint="eastAsia" w:ascii="黑体" w:hAnsi="黑体" w:eastAsia="黑体" w:cs="黑体"/>
        </w:rPr>
      </w:pPr>
      <w:r>
        <w:rPr>
          <w:rFonts w:hint="eastAsia" w:ascii="黑体" w:hAnsi="黑体" w:eastAsia="黑体" w:cs="黑体"/>
        </w:rPr>
        <w:t xml:space="preserve">3.1 </w:t>
      </w:r>
    </w:p>
    <w:p w14:paraId="59DDC550">
      <w:pPr>
        <w:ind w:firstLine="500" w:firstLineChars="0"/>
        <w:rPr>
          <w:rFonts w:hint="eastAsia" w:ascii="黑体" w:hAnsi="黑体" w:eastAsia="黑体" w:cs="黑体"/>
        </w:rPr>
      </w:pPr>
      <w:r>
        <w:rPr>
          <w:rFonts w:hint="eastAsia" w:ascii="黑体" w:hAnsi="黑体" w:eastAsia="黑体" w:cs="黑体"/>
        </w:rPr>
        <w:t xml:space="preserve">低效林 </w:t>
      </w:r>
      <w:r>
        <w:rPr>
          <w:rFonts w:hint="eastAsia" w:ascii="黑体" w:hAnsi="黑体" w:eastAsia="黑体" w:cs="黑体"/>
          <w:lang w:val="en-US" w:eastAsia="zh-CN"/>
        </w:rPr>
        <w:t xml:space="preserve"> </w:t>
      </w:r>
      <w:r>
        <w:rPr>
          <w:rFonts w:hint="eastAsia" w:ascii="黑体" w:hAnsi="黑体" w:eastAsia="黑体" w:cs="黑体"/>
        </w:rPr>
        <w:t>low-efficiency forest
</w:t>
      </w:r>
    </w:p>
    <w:p w14:paraId="27E6A8C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受人为和自然因素影响，导致林分结构和功能失调，生产力水平低于当地立地条件可达到的合理水平，不能充分发挥其应有效益的森林。
</w:t>
      </w:r>
    </w:p>
    <w:p w14:paraId="7A85D4FD">
      <w:pPr>
        <w:rPr>
          <w:rFonts w:hint="eastAsia" w:ascii="黑体" w:hAnsi="黑体" w:eastAsia="黑体" w:cs="黑体"/>
        </w:rPr>
      </w:pPr>
      <w:r>
        <w:rPr>
          <w:rFonts w:hint="eastAsia" w:ascii="黑体" w:hAnsi="黑体" w:eastAsia="黑体" w:cs="黑体"/>
        </w:rPr>
        <w:t xml:space="preserve">3.2 </w:t>
      </w:r>
    </w:p>
    <w:p w14:paraId="50636127">
      <w:pPr>
        <w:ind w:firstLine="500" w:firstLineChars="0"/>
        <w:rPr>
          <w:rFonts w:hint="eastAsia" w:ascii="黑体" w:hAnsi="黑体" w:eastAsia="黑体" w:cs="黑体"/>
        </w:rPr>
      </w:pPr>
      <w:r>
        <w:rPr>
          <w:rFonts w:hint="eastAsia" w:ascii="黑体" w:hAnsi="黑体" w:eastAsia="黑体" w:cs="黑体"/>
        </w:rPr>
        <w:t>林分调查</w:t>
      </w:r>
      <w:r>
        <w:rPr>
          <w:rFonts w:hint="eastAsia" w:ascii="黑体" w:hAnsi="黑体" w:eastAsia="黑体" w:cs="黑体"/>
          <w:lang w:val="en-US" w:eastAsia="zh-CN"/>
        </w:rPr>
        <w:t xml:space="preserve"> </w:t>
      </w:r>
      <w:r>
        <w:rPr>
          <w:rFonts w:hint="eastAsia" w:ascii="黑体" w:hAnsi="黑体" w:eastAsia="黑体" w:cs="黑体"/>
        </w:rPr>
        <w:t xml:space="preserve"> stand survey
</w:t>
      </w:r>
    </w:p>
    <w:p w14:paraId="0992C3B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对林分结构特征包括树种组成、蓄积量、郁闭度、健康状况等进行系统调查的活动。
</w:t>
      </w:r>
    </w:p>
    <w:p w14:paraId="03C06CD9">
      <w:pPr>
        <w:rPr>
          <w:rFonts w:hint="eastAsia" w:ascii="黑体" w:hAnsi="黑体" w:eastAsia="黑体" w:cs="黑体"/>
        </w:rPr>
      </w:pPr>
      <w:r>
        <w:rPr>
          <w:rFonts w:hint="eastAsia" w:ascii="黑体" w:hAnsi="黑体" w:eastAsia="黑体" w:cs="黑体"/>
        </w:rPr>
        <w:t xml:space="preserve">3.3 </w:t>
      </w:r>
    </w:p>
    <w:p w14:paraId="16575670">
      <w:pPr>
        <w:ind w:firstLine="500" w:firstLineChars="0"/>
        <w:rPr>
          <w:rFonts w:hint="eastAsia" w:ascii="黑体" w:hAnsi="黑体" w:eastAsia="黑体" w:cs="黑体"/>
        </w:rPr>
      </w:pPr>
      <w:r>
        <w:rPr>
          <w:rFonts w:hint="eastAsia" w:ascii="黑体" w:hAnsi="黑体" w:eastAsia="黑体" w:cs="黑体"/>
        </w:rPr>
        <w:t>补植补造</w:t>
      </w:r>
      <w:r>
        <w:rPr>
          <w:rFonts w:hint="eastAsia" w:ascii="黑体" w:hAnsi="黑体" w:eastAsia="黑体" w:cs="黑体"/>
          <w:lang w:val="en-US" w:eastAsia="zh-CN"/>
        </w:rPr>
        <w:t xml:space="preserve"> </w:t>
      </w:r>
      <w:r>
        <w:rPr>
          <w:rFonts w:hint="eastAsia" w:ascii="黑体" w:hAnsi="黑体" w:eastAsia="黑体" w:cs="黑体"/>
        </w:rPr>
        <w:t xml:space="preserve"> supplementary planting
</w:t>
      </w:r>
    </w:p>
    <w:p w14:paraId="1840B32C">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在林木密度不足的低效林地内，通过补充栽植苗木提高林分密度和质量的改造措施。
</w:t>
      </w:r>
    </w:p>
    <w:p w14:paraId="44510B84">
      <w:pPr>
        <w:rPr>
          <w:rFonts w:hint="eastAsia" w:ascii="黑体" w:hAnsi="黑体" w:eastAsia="黑体" w:cs="黑体"/>
        </w:rPr>
      </w:pPr>
      <w:r>
        <w:rPr>
          <w:rFonts w:hint="eastAsia" w:ascii="黑体" w:hAnsi="黑体" w:eastAsia="黑体" w:cs="黑体"/>
        </w:rPr>
        <w:t xml:space="preserve">3.4 </w:t>
      </w:r>
    </w:p>
    <w:p w14:paraId="1BF49216">
      <w:pPr>
        <w:ind w:firstLine="500" w:firstLineChars="0"/>
        <w:rPr>
          <w:rFonts w:hint="eastAsia" w:ascii="黑体" w:hAnsi="黑体" w:eastAsia="黑体" w:cs="黑体"/>
        </w:rPr>
      </w:pPr>
      <w:r>
        <w:rPr>
          <w:rFonts w:hint="eastAsia" w:ascii="黑体" w:hAnsi="黑体" w:eastAsia="黑体" w:cs="黑体"/>
        </w:rPr>
        <w:t xml:space="preserve">疏伐改造 </w:t>
      </w:r>
      <w:r>
        <w:rPr>
          <w:rFonts w:hint="eastAsia" w:ascii="黑体" w:hAnsi="黑体" w:eastAsia="黑体" w:cs="黑体"/>
          <w:lang w:val="en-US" w:eastAsia="zh-CN"/>
        </w:rPr>
        <w:t xml:space="preserve"> </w:t>
      </w:r>
      <w:r>
        <w:rPr>
          <w:rFonts w:hint="eastAsia" w:ascii="黑体" w:hAnsi="黑体" w:eastAsia="黑体" w:cs="黑体"/>
        </w:rPr>
        <w:t>thinning transformation
</w:t>
      </w:r>
    </w:p>
    <w:p w14:paraId="615AFBDA">
      <w:pPr>
        <w:spacing w:line="240" w:lineRule="auto"/>
        <w:ind w:firstLine="500" w:firstLineChars="0"/>
        <w:jc w:val="both"/>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rPr>
        <w:t>通过伐除密度过大、生长不良或病虫危害的林木，优化林分结构、改善林内光照条件的改造措施</w:t>
      </w:r>
      <w:r>
        <w:rPr>
          <w:rFonts w:hint="eastAsia" w:ascii="Times New Roman" w:hAnsi="Times New Roman" w:eastAsia="宋体" w:cs="宋体"/>
          <w:sz w:val="21"/>
          <w:szCs w:val="21"/>
          <w:lang w:eastAsia="zh-CN"/>
        </w:rPr>
        <w:t>。</w:t>
      </w:r>
    </w:p>
    <w:p w14:paraId="59801503">
      <w:pPr>
        <w:rPr>
          <w:rFonts w:hint="eastAsia" w:ascii="黑体" w:hAnsi="黑体" w:eastAsia="黑体" w:cs="黑体"/>
        </w:rPr>
      </w:pPr>
      <w:r>
        <w:rPr>
          <w:rFonts w:hint="eastAsia" w:ascii="黑体" w:hAnsi="黑体" w:eastAsia="黑体" w:cs="黑体"/>
        </w:rPr>
        <w:t xml:space="preserve">3.5 </w:t>
      </w:r>
    </w:p>
    <w:p w14:paraId="074CB86F">
      <w:pPr>
        <w:ind w:firstLine="500" w:firstLineChars="0"/>
        <w:rPr>
          <w:rFonts w:hint="eastAsia" w:ascii="黑体" w:hAnsi="黑体" w:eastAsia="黑体" w:cs="黑体"/>
        </w:rPr>
      </w:pPr>
      <w:r>
        <w:rPr>
          <w:rFonts w:hint="eastAsia" w:ascii="黑体" w:hAnsi="黑体" w:eastAsia="黑体" w:cs="黑体"/>
          <w:lang w:val="en-US" w:eastAsia="zh-CN"/>
        </w:rPr>
        <w:t>林分提质增效指标  f</w:t>
      </w:r>
      <w:r>
        <w:rPr>
          <w:rFonts w:hint="eastAsia" w:ascii="黑体" w:hAnsi="黑体" w:eastAsia="黑体" w:cs="黑体"/>
        </w:rPr>
        <w:t>orest quality and efficiency improvement indicators
</w:t>
      </w:r>
    </w:p>
    <w:p w14:paraId="25AAA1E4">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对</w:t>
      </w:r>
      <w:r>
        <w:rPr>
          <w:rFonts w:hint="eastAsia" w:ascii="Times New Roman" w:hAnsi="Times New Roman" w:eastAsia="宋体" w:cs="宋体"/>
          <w:sz w:val="21"/>
          <w:szCs w:val="21"/>
          <w:lang w:val="en-US" w:eastAsia="zh-CN"/>
        </w:rPr>
        <w:t>用于量化评价低效林改造成效的核心指标，包括林分郁闭度、树种组成、林木生长量、植被盖度、土壤肥力、生态防护效能、经济产出量等量化参数</w:t>
      </w:r>
      <w:r>
        <w:rPr>
          <w:rFonts w:hint="eastAsia" w:ascii="Times New Roman" w:hAnsi="Times New Roman" w:eastAsia="宋体" w:cs="宋体"/>
          <w:sz w:val="21"/>
          <w:szCs w:val="21"/>
        </w:rPr>
        <w:t>。
</w:t>
      </w:r>
    </w:p>
    <w:p w14:paraId="547FDFCC">
      <w:pPr>
        <w:rPr>
          <w:rFonts w:hint="eastAsia" w:ascii="黑体" w:hAnsi="黑体" w:eastAsia="黑体" w:cs="黑体"/>
        </w:rPr>
      </w:pPr>
      <w:r>
        <w:rPr>
          <w:rFonts w:hint="eastAsia" w:ascii="黑体" w:hAnsi="黑体" w:eastAsia="黑体" w:cs="黑体"/>
        </w:rPr>
        <w:t xml:space="preserve">3.6 </w:t>
      </w:r>
    </w:p>
    <w:p w14:paraId="5178C099">
      <w:pPr>
        <w:ind w:firstLine="500" w:firstLineChars="0"/>
        <w:rPr>
          <w:rFonts w:hint="eastAsia" w:ascii="黑体" w:hAnsi="黑体" w:eastAsia="黑体" w:cs="黑体"/>
        </w:rPr>
      </w:pPr>
      <w:r>
        <w:rPr>
          <w:rFonts w:hint="eastAsia" w:ascii="黑体" w:hAnsi="黑体" w:eastAsia="黑体" w:cs="黑体"/>
          <w:lang w:val="en-US" w:eastAsia="zh-CN"/>
        </w:rPr>
        <w:t xml:space="preserve">目标林分 </w:t>
      </w:r>
      <w:r>
        <w:rPr>
          <w:rFonts w:hint="eastAsia" w:ascii="黑体" w:hAnsi="黑体" w:eastAsia="黑体" w:cs="黑体"/>
        </w:rPr>
        <w:t xml:space="preserve"> </w:t>
      </w:r>
      <w:r>
        <w:rPr>
          <w:rFonts w:hint="eastAsia" w:ascii="黑体" w:hAnsi="黑体" w:eastAsia="黑体" w:cs="黑体"/>
          <w:lang w:val="en-US" w:eastAsia="zh-CN"/>
        </w:rPr>
        <w:t>t</w:t>
      </w:r>
      <w:r>
        <w:rPr>
          <w:rFonts w:hint="eastAsia" w:ascii="黑体" w:hAnsi="黑体" w:eastAsia="黑体" w:cs="黑体"/>
        </w:rPr>
        <w:t xml:space="preserve">arget </w:t>
      </w:r>
      <w:r>
        <w:rPr>
          <w:rFonts w:hint="eastAsia" w:ascii="黑体" w:hAnsi="黑体" w:eastAsia="黑体" w:cs="黑体"/>
          <w:lang w:val="en-US" w:eastAsia="zh-CN"/>
        </w:rPr>
        <w:t>f</w:t>
      </w:r>
      <w:r>
        <w:rPr>
          <w:rFonts w:hint="eastAsia" w:ascii="黑体" w:hAnsi="黑体" w:eastAsia="黑体" w:cs="黑体"/>
        </w:rPr>
        <w:t xml:space="preserve">orest </w:t>
      </w:r>
      <w:r>
        <w:rPr>
          <w:rFonts w:hint="eastAsia" w:ascii="黑体" w:hAnsi="黑体" w:eastAsia="黑体" w:cs="黑体"/>
          <w:lang w:val="en-US" w:eastAsia="zh-CN"/>
        </w:rPr>
        <w:t>s</w:t>
      </w:r>
      <w:r>
        <w:rPr>
          <w:rFonts w:hint="eastAsia" w:ascii="黑体" w:hAnsi="黑体" w:eastAsia="黑体" w:cs="黑体"/>
        </w:rPr>
        <w:t>tand
</w:t>
      </w:r>
    </w:p>
    <w:p w14:paraId="0BFB4102">
      <w:pPr>
        <w:spacing w:line="240" w:lineRule="auto"/>
        <w:ind w:firstLine="500" w:firstLineChars="0"/>
        <w:jc w:val="both"/>
      </w:pPr>
      <w:r>
        <w:rPr>
          <w:rFonts w:hint="eastAsia" w:ascii="Times New Roman" w:hAnsi="Times New Roman" w:eastAsia="宋体" w:cs="宋体"/>
          <w:sz w:val="21"/>
          <w:szCs w:val="21"/>
          <w:lang w:val="en-US" w:eastAsia="zh-CN"/>
        </w:rPr>
        <w:t>依据林地功能定位，优化结构、蓄积水平、物种配置后，形成的结构稳定、生长优良、功能完备、效益显著，符合区域森林经营目标的健康林分</w:t>
      </w:r>
      <w:r>
        <w:rPr>
          <w:rFonts w:hint="eastAsia" w:ascii="Times New Roman" w:hAnsi="Times New Roman" w:eastAsia="宋体" w:cs="宋体"/>
          <w:sz w:val="21"/>
          <w:szCs w:val="21"/>
        </w:rPr>
        <w:t>。</w:t>
      </w:r>
    </w:p>
    <w:p w14:paraId="2000544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27260"/>
      <w:r>
        <w:rPr>
          <w:rFonts w:hint="eastAsia"/>
        </w:rPr>
        <w:t xml:space="preserve">4  </w:t>
      </w:r>
      <w:r>
        <w:rPr>
          <w:rFonts w:hint="eastAsia"/>
          <w:lang w:val="en-US" w:eastAsia="zh-CN"/>
        </w:rPr>
        <w:t>总体原则</w:t>
      </w:r>
      <w:bookmarkEnd w:id="12"/>
    </w:p>
    <w:p w14:paraId="0F5E933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4.1 生态优先，兼顾效益</w:t>
      </w:r>
    </w:p>
    <w:p w14:paraId="5F80D2E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坚持生态保护优先，以修复森林生态系统功能、提升生态稳定性为核心，兼顾木材生产、经济产出等经济效益，杜绝过度改造、破坏性改造。</w:t>
      </w:r>
    </w:p>
    <w:p w14:paraId="5CF6812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4.2 自然修复为主，人工辅助为辅</w:t>
      </w:r>
    </w:p>
    <w:p w14:paraId="2715358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充分依托森林天然更新能力，通过封山育林、适度抚育等自然修复措施，搭配科学人工改造手段，减少人为干预强度，保护原生植被与生物多样性。</w:t>
      </w:r>
    </w:p>
    <w:p w14:paraId="25B4CDF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4.3 因地制宜，因林施策</w:t>
      </w:r>
    </w:p>
    <w:p w14:paraId="17E77F7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根据林地立地条件、林分退化类型、低效程度、功能定位，差异化制定改造方案，杜绝一刀切作业，做到适地适树、适林适法。</w:t>
      </w:r>
    </w:p>
    <w:p w14:paraId="4CA07EF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4.4 结构优化，长效稳定</w:t>
      </w:r>
    </w:p>
    <w:p w14:paraId="0712433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重点优化林分树种结构、林层结构、年龄结构，构建复层、异龄、混交的稳定林分，杜绝单层纯林改造模式，保障森林长期提质增效。</w:t>
      </w:r>
    </w:p>
    <w:p w14:paraId="4CD1C09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4.5 科学合规，经济可行</w:t>
      </w:r>
    </w:p>
    <w:p w14:paraId="3839B816">
      <w:pPr>
        <w:spacing w:line="240" w:lineRule="auto"/>
        <w:ind w:firstLine="500" w:firstLineChars="0"/>
        <w:jc w:val="both"/>
      </w:pPr>
      <w:r>
        <w:rPr>
          <w:rFonts w:hint="eastAsia" w:ascii="宋体" w:hAnsi="宋体" w:eastAsia="宋体" w:cs="宋体"/>
          <w:sz w:val="21"/>
          <w:szCs w:val="21"/>
          <w:lang w:val="en-US" w:eastAsia="zh-CN"/>
        </w:rPr>
        <w:t>所有改造技术措施符合国家、行业标准要求，技术成熟可靠，兼顾工程经济性与长效性，实现生态、经济、社会效益协同提升。</w:t>
      </w:r>
    </w:p>
    <w:p w14:paraId="59B6801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9536"/>
      <w:r>
        <w:rPr>
          <w:rFonts w:hint="eastAsia"/>
        </w:rPr>
        <w:t xml:space="preserve">5  </w:t>
      </w:r>
      <w:r>
        <w:rPr>
          <w:rFonts w:hint="eastAsia"/>
          <w:lang w:val="en-US" w:eastAsia="zh-CN"/>
        </w:rPr>
        <w:t>低效林分类、判定指标与改造系统结构</w:t>
      </w:r>
      <w:bookmarkEnd w:id="13"/>
    </w:p>
    <w:p w14:paraId="6F0789C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5.1 低效林分类及量化判定标准</w:t>
      </w:r>
    </w:p>
    <w:p w14:paraId="72FF8967">
      <w:pPr>
        <w:pStyle w:val="3"/>
        <w:spacing w:before="120" w:after="12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结合LY/T 1690—2017判定规则，将低效林分为轻度退化次生林、重度退化次生林、经营不当人工林、严重受害人工林四类，核心量化判定指标见表1，所有指标需同时或逐条满足对应类型判定要求。</w:t>
      </w:r>
    </w:p>
    <w:p w14:paraId="672C505B">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jc w:val="center"/>
        <w:textAlignment w:val="baseline"/>
        <w:rPr>
          <w:sz w:val="21"/>
          <w:szCs w:val="21"/>
        </w:rPr>
      </w:pPr>
      <w:r>
        <w:rPr>
          <w:rFonts w:hint="eastAsia" w:ascii="宋体" w:hAnsi="宋体" w:eastAsia="宋体" w:cs="宋体"/>
          <w:sz w:val="21"/>
          <w:szCs w:val="21"/>
          <w:lang w:val="en-US" w:eastAsia="zh-CN"/>
        </w:rPr>
        <w:t xml:space="preserve">表 1  </w:t>
      </w:r>
      <w:r>
        <w:rPr>
          <w:rFonts w:ascii="宋体" w:hAnsi="宋体" w:eastAsia="宋体" w:cs="宋体"/>
          <w:snapToGrid w:val="0"/>
          <w:color w:val="000000"/>
          <w:kern w:val="0"/>
          <w:sz w:val="21"/>
          <w:szCs w:val="21"/>
          <w:lang w:val="en-US" w:eastAsia="zh-CN" w:bidi="ar"/>
        </w:rPr>
        <w:t>核心量化判定指标</w:t>
      </w:r>
    </w:p>
    <w:tbl>
      <w:tblPr>
        <w:tblStyle w:val="14"/>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4519"/>
        <w:gridCol w:w="3072"/>
      </w:tblGrid>
      <w:tr w14:paraId="0F9C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84" w:type="dxa"/>
            <w:vAlign w:val="center"/>
          </w:tcPr>
          <w:p w14:paraId="348D72DC">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低效林类型</w:t>
            </w:r>
          </w:p>
        </w:tc>
        <w:tc>
          <w:tcPr>
            <w:tcW w:w="4519" w:type="dxa"/>
            <w:vAlign w:val="center"/>
          </w:tcPr>
          <w:p w14:paraId="3B71AD5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核心判定量化指标</w:t>
            </w:r>
          </w:p>
        </w:tc>
        <w:tc>
          <w:tcPr>
            <w:tcW w:w="3072" w:type="dxa"/>
            <w:vAlign w:val="center"/>
          </w:tcPr>
          <w:p w14:paraId="1D619D7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辅助判定指标</w:t>
            </w:r>
          </w:p>
        </w:tc>
      </w:tr>
      <w:tr w14:paraId="3881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84" w:type="dxa"/>
            <w:vAlign w:val="center"/>
          </w:tcPr>
          <w:p w14:paraId="4B8483E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轻度退化次生林</w:t>
            </w:r>
          </w:p>
        </w:tc>
        <w:tc>
          <w:tcPr>
            <w:tcW w:w="4519" w:type="dxa"/>
            <w:vAlign w:val="center"/>
          </w:tcPr>
          <w:p w14:paraId="40368F6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1. 林木生长量、生物量较同类立地平均水平低30%～50%；2. 目的树种占比≤40%；3. 天然更新优良林木＜40株/hm²</w:t>
            </w:r>
          </w:p>
        </w:tc>
        <w:tc>
          <w:tcPr>
            <w:tcW w:w="3072" w:type="dxa"/>
            <w:vAlign w:val="center"/>
          </w:tcPr>
          <w:p w14:paraId="0A32075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林相不规整、生长受抑，土壤侵蚀轻微，生态功能基本正常，处于进展演替阶段</w:t>
            </w:r>
          </w:p>
        </w:tc>
      </w:tr>
      <w:tr w14:paraId="0D80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84" w:type="dxa"/>
            <w:vAlign w:val="center"/>
          </w:tcPr>
          <w:p w14:paraId="49698B7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重度退化次生林</w:t>
            </w:r>
          </w:p>
        </w:tc>
        <w:tc>
          <w:tcPr>
            <w:tcW w:w="4519" w:type="dxa"/>
            <w:vAlign w:val="center"/>
          </w:tcPr>
          <w:p w14:paraId="3C13785B">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1. 多代萌生林木占比≥90%；2. 优良更新林木＜30株/hm²；3. 生长量较同类立地平均水平低50%以上</w:t>
            </w:r>
          </w:p>
        </w:tc>
        <w:tc>
          <w:tcPr>
            <w:tcW w:w="3072" w:type="dxa"/>
            <w:vAlign w:val="center"/>
          </w:tcPr>
          <w:p w14:paraId="0672370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林相残败、结构失调，土壤肥力下降、水土流失明显，处于逆向演替阶段</w:t>
            </w:r>
          </w:p>
        </w:tc>
      </w:tr>
      <w:tr w14:paraId="0047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84" w:type="dxa"/>
            <w:vAlign w:val="center"/>
          </w:tcPr>
          <w:p w14:paraId="31051B6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经营不当人工林</w:t>
            </w:r>
          </w:p>
        </w:tc>
        <w:tc>
          <w:tcPr>
            <w:tcW w:w="4519" w:type="dxa"/>
            <w:vAlign w:val="center"/>
          </w:tcPr>
          <w:p w14:paraId="7B3D9F3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1. 生长量较同类立地平均水平低30%以上；2. 中龄林以上郁闭度＜0.4；3. 目的树种占比＜40%，商品材出材率＜50%；4. 经济林连续3年产量下降≥30%</w:t>
            </w:r>
          </w:p>
        </w:tc>
        <w:tc>
          <w:tcPr>
            <w:tcW w:w="3072" w:type="dxa"/>
            <w:vAlign w:val="center"/>
          </w:tcPr>
          <w:p w14:paraId="160AF594">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树种适配性差、经营管护缺失，地力衰退，防护或生产功能弱化</w:t>
            </w:r>
          </w:p>
        </w:tc>
      </w:tr>
      <w:tr w14:paraId="5C01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84" w:type="dxa"/>
            <w:vAlign w:val="center"/>
          </w:tcPr>
          <w:p w14:paraId="6D5BD97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严重受害人工林</w:t>
            </w:r>
          </w:p>
        </w:tc>
        <w:tc>
          <w:tcPr>
            <w:tcW w:w="4519" w:type="dxa"/>
            <w:vAlign w:val="center"/>
          </w:tcPr>
          <w:p w14:paraId="70DF0F5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1. 死亡、濒死林木株数占比≥40%；2. 存在检疫性有害生物侵染；3. 防护林断带长度为平均树高2倍以上，缺带占比≥20%</w:t>
            </w:r>
          </w:p>
        </w:tc>
        <w:tc>
          <w:tcPr>
            <w:tcW w:w="3072" w:type="dxa"/>
            <w:vAlign w:val="center"/>
          </w:tcPr>
          <w:p w14:paraId="3994809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rPr>
            </w:pPr>
            <w:r>
              <w:rPr>
                <w:rFonts w:hint="eastAsia" w:ascii="宋体" w:hAnsi="宋体" w:eastAsia="宋体" w:cs="宋体"/>
                <w:b w:val="0"/>
                <w:bCs/>
                <w:snapToGrid w:val="0"/>
                <w:color w:val="000000"/>
                <w:kern w:val="0"/>
                <w:sz w:val="18"/>
                <w:szCs w:val="18"/>
                <w:lang w:val="en-US" w:eastAsia="zh-CN" w:bidi="ar"/>
              </w:rPr>
              <w:t>受火灾、病虫害、洪涝、风灾等灾害影响，林木难以自主恢复生长</w:t>
            </w:r>
          </w:p>
        </w:tc>
      </w:tr>
    </w:tbl>
    <w:p w14:paraId="02AA0006">
      <w:pPr>
        <w:rPr>
          <w:rFonts w:hint="default"/>
          <w:lang w:val="en-US"/>
        </w:rPr>
      </w:pPr>
    </w:p>
    <w:p w14:paraId="2D87AC1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5.2 补改造提质系统整体结构</w:t>
      </w:r>
    </w:p>
    <w:p w14:paraId="4DE2F43B">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5.2.1 现状调查诊断系统：核心功能为精准摸排林地立地条件、林分结构、退化程度、病虫害情况、土壤指标，完成低效林类型判定与提质潜力评估，为方案设计提供基础数据支撑。</w:t>
      </w:r>
    </w:p>
    <w:p w14:paraId="6EDF7490">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5.2.2 方案设计系统：基于诊断结果，差异化设计改造方式、树种配置、抚育强度、施工时序、提质目标，形成标准化作业设计文件，明确量化技术指标。</w:t>
      </w:r>
    </w:p>
    <w:p w14:paraId="7B772C82">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5.2.3 施工实施系统：严格按照设计方案开展林地清理、劣质木采伐、补植更新、林分调整等施工作业，全过程落实质量与安全管控。</w:t>
      </w:r>
    </w:p>
    <w:p w14:paraId="372E6856">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5.2.4 提质培育系统：通过土壤改良、水肥调控、抚育间伐、植被修复、病虫害绿色防控等措施，持续优化林分结构、提升林木生长质量与林地生产力。</w:t>
      </w:r>
    </w:p>
    <w:p w14:paraId="367F1A29">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5.2.5 监测验证系统：定期检测林分生长指标、生态指标、土壤指标，验证改造提质效果，判定是否达到目标林分标准。</w:t>
      </w:r>
    </w:p>
    <w:p w14:paraId="57614CBF">
      <w:pPr>
        <w:spacing w:line="240" w:lineRule="auto"/>
        <w:jc w:val="both"/>
      </w:pPr>
      <w:r>
        <w:rPr>
          <w:rFonts w:hint="eastAsia" w:ascii="宋体" w:hAnsi="宋体" w:eastAsia="宋体" w:cs="宋体"/>
          <w:sz w:val="21"/>
          <w:szCs w:val="21"/>
          <w:lang w:val="en-US" w:eastAsia="zh-CN"/>
        </w:rPr>
        <w:t>5.2.6 运维管护系统：建立长效管护与档案管理制度，巩固改造成果，保障林分持续稳定提质增效。</w:t>
      </w:r>
    </w:p>
    <w:p w14:paraId="4D84E97F">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20511"/>
      <w:r>
        <w:rPr>
          <w:rFonts w:hint="eastAsia"/>
        </w:rPr>
        <w:t xml:space="preserve">6  </w:t>
      </w:r>
      <w:r>
        <w:rPr>
          <w:rFonts w:hint="eastAsia"/>
          <w:lang w:val="en-US" w:eastAsia="zh-CN"/>
        </w:rPr>
        <w:t>提质增效核心技术要求</w:t>
      </w:r>
      <w:bookmarkEnd w:id="14"/>
    </w:p>
    <w:p w14:paraId="3197D24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6.1 通用技术要求</w:t>
      </w:r>
    </w:p>
    <w:p w14:paraId="2ADBC2BA">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6.1.1 种苗质量：改造所用林木种子需符合GB 7908—1999Ⅰ、Ⅱ级标准，造林苗木需符合GB 6000—1999Ⅰ、Ⅱ级优质苗木标准，严禁使用不合格种苗。</w:t>
      </w:r>
    </w:p>
    <w:p w14:paraId="3D96D7C8">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6.1.2 作业范围：单次连片更替改造作业面积≤4hm²，避免大面积破坏原生植被，保留自然植被缓冲带。</w:t>
      </w:r>
    </w:p>
    <w:p w14:paraId="41F1A74B">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6.1.3 林分结构：改造后目标林分优先构建复层混交结构，混交林树种数≥3种，异龄林年龄梯度≥2个，杜绝单一纯林结构。</w:t>
      </w:r>
    </w:p>
    <w:p w14:paraId="7A092144">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6.1.4 生态保护：作业过程严禁破坏区域内珍稀保护植物、野生动物栖息地，病虫害残体需就地无害化处理，杜绝病虫扩散。</w:t>
      </w:r>
    </w:p>
    <w:p w14:paraId="6790B44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6.2 分类型改造提质技术要求</w:t>
      </w:r>
    </w:p>
    <w:p w14:paraId="4FE01EC8">
      <w:pPr>
        <w:spacing w:line="240" w:lineRule="auto"/>
        <w:jc w:val="both"/>
        <w:rPr>
          <w:rFonts w:hint="eastAsia" w:ascii="宋体" w:hAnsi="宋体" w:eastAsia="宋体" w:cs="宋体"/>
          <w:sz w:val="21"/>
          <w:szCs w:val="21"/>
        </w:rPr>
      </w:pPr>
      <w:r>
        <w:rPr>
          <w:rFonts w:hint="eastAsia" w:ascii="宋体" w:hAnsi="宋体" w:eastAsia="宋体" w:cs="宋体"/>
          <w:sz w:val="21"/>
          <w:szCs w:val="21"/>
        </w:rPr>
        <w:t>6.2.1 轻度退化次生林提质技术要求</w:t>
      </w:r>
    </w:p>
    <w:p w14:paraId="481D7B8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以抚育优化、天然更新促进为核心，禁止大规模采伐改造：</w:t>
      </w:r>
    </w:p>
    <w:p w14:paraId="0D593F6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 抚育间伐强度：株数间伐强度15%～25%，蓄积间伐强度10%～20%，保留优良目的树种，清除劣质、衰弱、病虫林木；</w:t>
      </w:r>
    </w:p>
    <w:p w14:paraId="72FD134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2. 补植要求：林中空地、树种空缺区域补植乡土阔叶树种，补植株数450～750株/hm²，补植成活率≥90%；</w:t>
      </w:r>
    </w:p>
    <w:p w14:paraId="5BFF99A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3. 提质目标：改造后1年内目的树种占比≥50%，林分生长量提升≥30%，植被盖度提升至60%以上。</w:t>
      </w:r>
    </w:p>
    <w:p w14:paraId="32E6E194">
      <w:pPr>
        <w:spacing w:line="240" w:lineRule="auto"/>
        <w:jc w:val="both"/>
        <w:rPr>
          <w:rFonts w:hint="eastAsia" w:ascii="宋体" w:hAnsi="宋体" w:eastAsia="宋体" w:cs="宋体"/>
          <w:sz w:val="21"/>
          <w:szCs w:val="21"/>
        </w:rPr>
      </w:pPr>
      <w:r>
        <w:rPr>
          <w:rFonts w:hint="eastAsia" w:ascii="宋体" w:hAnsi="宋体" w:eastAsia="宋体" w:cs="宋体"/>
          <w:sz w:val="21"/>
          <w:szCs w:val="21"/>
        </w:rPr>
        <w:t>6.2.2 重度退化次生林提质技术要求</w:t>
      </w:r>
    </w:p>
    <w:p w14:paraId="6C8B0D2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以结构重构、功能修复为核心，采用带状、群团状改造模式：</w:t>
      </w:r>
    </w:p>
    <w:p w14:paraId="2323CB0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 改造带宽度：8～15m，保留带宽度10～20m，交替布局，保障生态连续性；</w:t>
      </w:r>
    </w:p>
    <w:p w14:paraId="6AEEA57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2. 低效林木清理：彻底清除多代萌生、无培育前途的劣质林木，保留优质天然林木；</w:t>
      </w:r>
    </w:p>
    <w:p w14:paraId="49CE7B0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3. 补植更新：选用适配乡土珍贵树种、生态防护树种，高密度补植，补植株数900～1200株/hm²，成活率≥85%；</w:t>
      </w:r>
    </w:p>
    <w:p w14:paraId="477B6E6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4. 土壤改良：贫瘠林地施加有机肥1500～2000kg/hm²，改善土壤结构，提升地力。</w:t>
      </w:r>
    </w:p>
    <w:p w14:paraId="52BFC136">
      <w:pPr>
        <w:spacing w:line="240" w:lineRule="auto"/>
        <w:jc w:val="both"/>
        <w:rPr>
          <w:rFonts w:hint="eastAsia" w:ascii="宋体" w:hAnsi="宋体" w:eastAsia="宋体" w:cs="宋体"/>
          <w:sz w:val="21"/>
          <w:szCs w:val="21"/>
        </w:rPr>
      </w:pPr>
      <w:r>
        <w:rPr>
          <w:rFonts w:hint="eastAsia" w:ascii="宋体" w:hAnsi="宋体" w:eastAsia="宋体" w:cs="宋体"/>
          <w:sz w:val="21"/>
          <w:szCs w:val="21"/>
        </w:rPr>
        <w:t>6.2.3 经营不当人工林提质技术要求</w:t>
      </w:r>
    </w:p>
    <w:p w14:paraId="651A9FD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以树种优化、密度调控、地力恢复为核心：</w:t>
      </w:r>
    </w:p>
    <w:p w14:paraId="4E27332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 密度调控：根据树种特性调整郁闭度，用材林目标郁闭度0.7～0.8，防护林目标郁闭度0.6～0.7，经济林目标郁闭度0.5～0.6；</w:t>
      </w:r>
    </w:p>
    <w:p w14:paraId="147029EC">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2. 树种替换：清除不适生、低产低效树种，替换为适地适树的优质乡土树种，替换比例≤40%；</w:t>
      </w:r>
    </w:p>
    <w:p w14:paraId="5F45242F">
      <w:pPr>
        <w:spacing w:line="24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3. 经济林专项提质：修剪衰弱枝干、疏除过密枝条，每年施肥2次，挂果量调控合理，改造后产量提</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升≥35%。</w:t>
      </w:r>
    </w:p>
    <w:p w14:paraId="408E3E96">
      <w:pPr>
        <w:spacing w:line="240" w:lineRule="auto"/>
        <w:jc w:val="both"/>
        <w:rPr>
          <w:rFonts w:hint="eastAsia" w:ascii="宋体" w:hAnsi="宋体" w:eastAsia="宋体" w:cs="宋体"/>
          <w:sz w:val="21"/>
          <w:szCs w:val="21"/>
        </w:rPr>
      </w:pPr>
      <w:r>
        <w:rPr>
          <w:rFonts w:hint="eastAsia" w:ascii="宋体" w:hAnsi="宋体" w:eastAsia="宋体" w:cs="宋体"/>
          <w:sz w:val="21"/>
          <w:szCs w:val="21"/>
        </w:rPr>
        <w:t>6.2.4 严重受害人工林提质技术要求</w:t>
      </w:r>
    </w:p>
    <w:p w14:paraId="2776695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以灾害修复、残林清理、快速复绿为核心：</w:t>
      </w:r>
    </w:p>
    <w:p w14:paraId="5D259FDA">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 受灾木清理：彻底清除死亡、濒死、检疫性病虫害林木，清理率100%；</w:t>
      </w:r>
    </w:p>
    <w:p w14:paraId="7F9938E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2. 快速复绿：空缺林地全面补植抗性强、生长快的乡土树种，补植株数1200～1500株/hm²；</w:t>
      </w:r>
    </w:p>
    <w:p w14:paraId="360E5D6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3. 灾害防控：建立病虫害、气象灾害预警机制，每年开展2次全域排查，落实绿色防控措施。</w:t>
      </w:r>
    </w:p>
    <w:p w14:paraId="442E7BF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6.3 提质增效关键指标限值要求</w:t>
      </w:r>
    </w:p>
    <w:p w14:paraId="21A3E8DA">
      <w:pPr>
        <w:spacing w:line="240" w:lineRule="auto"/>
        <w:ind w:firstLine="50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低效林改造完成后，目标林分各项提质指标需满足表2量化限值要求，未达标需开展二次提质作业。</w:t>
      </w:r>
    </w:p>
    <w:p w14:paraId="6A5BD805">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 2  提质指标量化限值要求</w:t>
      </w:r>
    </w:p>
    <w:tbl>
      <w:tblPr>
        <w:tblStyle w:val="14"/>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9"/>
        <w:gridCol w:w="2311"/>
        <w:gridCol w:w="2857"/>
        <w:gridCol w:w="2202"/>
      </w:tblGrid>
      <w:tr w14:paraId="661B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vAlign w:val="center"/>
          </w:tcPr>
          <w:p w14:paraId="56F4263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检测指标</w:t>
            </w:r>
          </w:p>
        </w:tc>
        <w:tc>
          <w:tcPr>
            <w:tcW w:w="0" w:type="auto"/>
            <w:vAlign w:val="center"/>
          </w:tcPr>
          <w:p w14:paraId="37A1147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改造前低效限值</w:t>
            </w:r>
          </w:p>
        </w:tc>
        <w:tc>
          <w:tcPr>
            <w:tcW w:w="0" w:type="auto"/>
            <w:vAlign w:val="center"/>
          </w:tcPr>
          <w:p w14:paraId="3B1F0B6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改造后达标限值</w:t>
            </w:r>
          </w:p>
        </w:tc>
        <w:tc>
          <w:tcPr>
            <w:tcW w:w="2202" w:type="dxa"/>
            <w:vAlign w:val="center"/>
          </w:tcPr>
          <w:p w14:paraId="59FA66B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依据标准</w:t>
            </w:r>
          </w:p>
        </w:tc>
      </w:tr>
      <w:tr w14:paraId="5E02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114C28E2">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林分郁闭度</w:t>
            </w:r>
          </w:p>
        </w:tc>
        <w:tc>
          <w:tcPr>
            <w:tcW w:w="0" w:type="auto"/>
            <w:vAlign w:val="center"/>
          </w:tcPr>
          <w:p w14:paraId="39EA31C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＜0.4（中龄林以上）</w:t>
            </w:r>
          </w:p>
        </w:tc>
        <w:tc>
          <w:tcPr>
            <w:tcW w:w="0" w:type="auto"/>
            <w:vAlign w:val="center"/>
          </w:tcPr>
          <w:p w14:paraId="1C95F0A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0.5～0.8（分林种适配）</w:t>
            </w:r>
          </w:p>
        </w:tc>
        <w:tc>
          <w:tcPr>
            <w:tcW w:w="2202" w:type="dxa"/>
            <w:vAlign w:val="center"/>
          </w:tcPr>
          <w:p w14:paraId="35E44F9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LY/T 1690—2017</w:t>
            </w:r>
          </w:p>
        </w:tc>
      </w:tr>
      <w:tr w14:paraId="744F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0013AB0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目的树种占比</w:t>
            </w:r>
          </w:p>
        </w:tc>
        <w:tc>
          <w:tcPr>
            <w:tcW w:w="0" w:type="auto"/>
            <w:vAlign w:val="center"/>
          </w:tcPr>
          <w:p w14:paraId="45DD253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＜40%</w:t>
            </w:r>
          </w:p>
        </w:tc>
        <w:tc>
          <w:tcPr>
            <w:tcW w:w="0" w:type="auto"/>
            <w:vAlign w:val="center"/>
          </w:tcPr>
          <w:p w14:paraId="78E2B1E4">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≥60%</w:t>
            </w:r>
          </w:p>
        </w:tc>
        <w:tc>
          <w:tcPr>
            <w:tcW w:w="2202" w:type="dxa"/>
            <w:vAlign w:val="center"/>
          </w:tcPr>
          <w:p w14:paraId="11DC69D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LY/T 1690—2017</w:t>
            </w:r>
          </w:p>
        </w:tc>
      </w:tr>
      <w:tr w14:paraId="32AE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7D39207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林下植被盖度</w:t>
            </w:r>
          </w:p>
        </w:tc>
        <w:tc>
          <w:tcPr>
            <w:tcW w:w="0" w:type="auto"/>
            <w:vAlign w:val="center"/>
          </w:tcPr>
          <w:p w14:paraId="49A6EDE2">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＜30%</w:t>
            </w:r>
          </w:p>
        </w:tc>
        <w:tc>
          <w:tcPr>
            <w:tcW w:w="0" w:type="auto"/>
            <w:vAlign w:val="center"/>
          </w:tcPr>
          <w:p w14:paraId="46D1A284">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≥50%</w:t>
            </w:r>
          </w:p>
        </w:tc>
        <w:tc>
          <w:tcPr>
            <w:tcW w:w="2202" w:type="dxa"/>
            <w:vAlign w:val="center"/>
          </w:tcPr>
          <w:p w14:paraId="14595AB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GB/T 18337.3—2021</w:t>
            </w:r>
          </w:p>
        </w:tc>
      </w:tr>
      <w:tr w14:paraId="2A90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4970C2C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林木年生长量提升率</w:t>
            </w:r>
          </w:p>
        </w:tc>
        <w:tc>
          <w:tcPr>
            <w:tcW w:w="0" w:type="auto"/>
            <w:vAlign w:val="center"/>
          </w:tcPr>
          <w:p w14:paraId="0A92E69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较均值低30%以上</w:t>
            </w:r>
          </w:p>
        </w:tc>
        <w:tc>
          <w:tcPr>
            <w:tcW w:w="0" w:type="auto"/>
            <w:vAlign w:val="center"/>
          </w:tcPr>
          <w:p w14:paraId="3788152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提升≥30%</w:t>
            </w:r>
          </w:p>
        </w:tc>
        <w:tc>
          <w:tcPr>
            <w:tcW w:w="2202" w:type="dxa"/>
            <w:vAlign w:val="center"/>
          </w:tcPr>
          <w:p w14:paraId="24E62C4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GB/T 15781—2015</w:t>
            </w:r>
          </w:p>
        </w:tc>
      </w:tr>
      <w:tr w14:paraId="510C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14:paraId="7D9F653C">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苗木补植成活率</w:t>
            </w:r>
          </w:p>
        </w:tc>
        <w:tc>
          <w:tcPr>
            <w:tcW w:w="0" w:type="auto"/>
            <w:vAlign w:val="center"/>
          </w:tcPr>
          <w:p w14:paraId="339D06D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w:t>
            </w:r>
          </w:p>
        </w:tc>
        <w:tc>
          <w:tcPr>
            <w:tcW w:w="0" w:type="auto"/>
            <w:vAlign w:val="center"/>
          </w:tcPr>
          <w:p w14:paraId="0AD905C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轻度林≥90%，重度林≥85%</w:t>
            </w:r>
          </w:p>
        </w:tc>
        <w:tc>
          <w:tcPr>
            <w:tcW w:w="2202" w:type="dxa"/>
            <w:vAlign w:val="center"/>
          </w:tcPr>
          <w:p w14:paraId="1E68E93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GB/T 15776—2016</w:t>
            </w:r>
          </w:p>
        </w:tc>
      </w:tr>
      <w:tr w14:paraId="1469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99" w:type="dxa"/>
            <w:vAlign w:val="center"/>
          </w:tcPr>
          <w:p w14:paraId="72C791A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土壤有机质含量</w:t>
            </w:r>
          </w:p>
        </w:tc>
        <w:tc>
          <w:tcPr>
            <w:tcW w:w="2311" w:type="dxa"/>
            <w:vAlign w:val="center"/>
          </w:tcPr>
          <w:p w14:paraId="656F100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＜20g/kg</w:t>
            </w:r>
          </w:p>
        </w:tc>
        <w:tc>
          <w:tcPr>
            <w:tcW w:w="2857" w:type="dxa"/>
            <w:vAlign w:val="center"/>
          </w:tcPr>
          <w:p w14:paraId="18E4E554">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≥25g/kg</w:t>
            </w:r>
          </w:p>
        </w:tc>
        <w:tc>
          <w:tcPr>
            <w:tcW w:w="2202" w:type="dxa"/>
            <w:vAlign w:val="center"/>
          </w:tcPr>
          <w:p w14:paraId="3D05B35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eastAsia" w:ascii="宋体" w:hAnsi="宋体" w:eastAsia="宋体" w:cs="宋体"/>
                <w:b w:val="0"/>
                <w:bCs/>
                <w:sz w:val="18"/>
                <w:szCs w:val="18"/>
                <w:vertAlign w:val="baseline"/>
                <w:lang w:val="en-US" w:eastAsia="zh-CN"/>
              </w:rPr>
            </w:pPr>
            <w:r>
              <w:rPr>
                <w:rFonts w:hint="eastAsia" w:ascii="宋体" w:hAnsi="宋体" w:eastAsia="宋体" w:cs="宋体"/>
                <w:b w:val="0"/>
                <w:bCs/>
                <w:snapToGrid w:val="0"/>
                <w:color w:val="000000"/>
                <w:kern w:val="0"/>
                <w:sz w:val="18"/>
                <w:szCs w:val="18"/>
                <w:lang w:val="en-US" w:eastAsia="zh-CN" w:bidi="ar"/>
              </w:rPr>
              <w:t>GB/T 15776—2016</w:t>
            </w:r>
          </w:p>
        </w:tc>
      </w:tr>
    </w:tbl>
    <w:p w14:paraId="7DC493A7">
      <w:pPr>
        <w:spacing w:line="240" w:lineRule="auto"/>
        <w:jc w:val="both"/>
      </w:pPr>
    </w:p>
    <w:p w14:paraId="33F1D19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3517"/>
      <w:r>
        <w:rPr>
          <w:rFonts w:hint="eastAsia"/>
        </w:rPr>
        <w:t>7  质量验收与效果监测</w:t>
      </w:r>
      <w:bookmarkEnd w:id="15"/>
    </w:p>
    <w:p w14:paraId="4F45EF7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7.1 质量验收标准</w:t>
      </w:r>
    </w:p>
    <w:p w14:paraId="44D6060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低效林改造作业完成后应开展质量验收，验收内容包括改造面积、作业类型与设计的符合程度、苗木成活率或保留木健康状况、整地规格和水土保持措施落实情况等。验收应由具备资质的技术人员主持，采用样地调查和现场核查相结合的方式进行，验收抽样比例应满足统计精度要求。验收结果应填写统一格式的验收报告，对合格项目出具合格证明，对不合格项目提出整改要求，符合LY/T 1690低效林改造技术规程的验收管理规定。</w:t>
      </w:r>
    </w:p>
    <w:p w14:paraId="3177DCC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7.2 改造效果监测</w:t>
      </w:r>
    </w:p>
    <w:p w14:paraId="1AEEBE8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改造效果监测应在改造完成后的规定年限内持续开展，重点监测林木生长量、郁闭度变化、林下植被覆盖状况和物种多样性等指标的动态变化。监测方法应以固定样地调查为主，结合遥感数据分析，形成完整的效果监测数据系列。监测结果应与改造前的基线数据进行比对分析，客观评价改造措施的实际效果。对于监测期内出现明显生长不良或结构退化的区域，应分析原因并采取补救措施，防止改造成效反弹，效果监测标准应符合LY/T 2988的规定。</w:t>
      </w:r>
    </w:p>
    <w:p w14:paraId="25DF251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27379"/>
      <w:r>
        <w:rPr>
          <w:rFonts w:hint="eastAsia"/>
        </w:rPr>
        <w:t>8  生物多样性保护措施</w:t>
      </w:r>
      <w:bookmarkEnd w:id="16"/>
    </w:p>
    <w:p w14:paraId="236792A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8.1 物种保护要求</w:t>
      </w:r>
    </w:p>
    <w:p w14:paraId="4AF71BCA">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低效林改造过程中应严格保护区域内的珍稀濒危野生植物和重要生境，改造前应开展生物多样性本底调查，识别并标记保护植物分布位置。改造作业范围应回避珍稀植物集中分布区和野生动物重要栖息地，确需作业时应采取专项保护措施。改造方案中的树种选择应优先考虑乡土树种，合理引入乔灌草多层结构，增加林分垂直结构复杂度，为野生动物提供多样化的栖息条件和食物来源，符合HJ 623生物多样性评价的保护要求。</w:t>
      </w:r>
    </w:p>
    <w:p w14:paraId="0F5A03A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8.2 水土保持措施</w:t>
      </w:r>
    </w:p>
    <w:p w14:paraId="1B19127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低效林改造作业应制定专项水土保持方案，在陡坡和侵蚀风险区域采取蓄水保土措施。整地作业应减少不必要的土壤扰动，沿等高线方向进行，避免形成汇水通道引发水土流失。疏伐和更新改造作业后，裸露地面应及时覆盖或补植，防止雨季水蚀和风蚀。对于集水区敏感位置的改造作业，应在雨季来临前完成并达到一定植被覆盖度，水土保持措施的实施应符合SL 190的分类分级标准要求。</w:t>
      </w:r>
    </w:p>
    <w:p w14:paraId="5C7CB57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32144"/>
      <w:r>
        <w:rPr>
          <w:rFonts w:hint="eastAsia"/>
        </w:rPr>
        <w:t>9  档案管理与成效评价</w:t>
      </w:r>
      <w:bookmarkEnd w:id="17"/>
    </w:p>
    <w:p w14:paraId="341B23D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9.1 档案管理规定</w:t>
      </w:r>
    </w:p>
    <w:p w14:paraId="5BAEC3D0">
      <w:pPr>
        <w:spacing w:line="240" w:lineRule="auto"/>
        <w:ind w:firstLine="500" w:firstLineChars="0"/>
        <w:jc w:val="both"/>
      </w:pPr>
      <w:r>
        <w:rPr>
          <w:rFonts w:hint="eastAsia" w:ascii="Times New Roman" w:hAnsi="Times New Roman" w:eastAsia="宋体" w:cs="宋体"/>
          <w:sz w:val="21"/>
          <w:szCs w:val="21"/>
        </w:rPr>
        <w:t>低效林改造工作应建立完整的技术档案，归档内容包括低效林认定调查报告、改造规划设计文件、作业设计批复文件、施工记录、质量检查记录、验收报告和效果监测报告等。档案资料应分类整理，纸质档案和电子档案同步建立，确保资料的完整性和查阅便利性。档案保存期限应不少于改造工程竣工验收后十年，并在相关档案系统中进行电子登记，实现档案的动态管理和查询功能。</w:t>
      </w:r>
    </w:p>
    <w:p w14:paraId="2613E62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9.2 综合成效评价</w:t>
      </w:r>
    </w:p>
    <w:p w14:paraId="264C65A3">
      <w:pPr>
        <w:spacing w:line="240" w:lineRule="auto"/>
        <w:ind w:firstLine="500" w:firstLineChars="0"/>
        <w:jc w:val="both"/>
        <w:rPr>
          <w:rFonts w:hint="eastAsia" w:ascii="黑体" w:hAnsi="黑体" w:eastAsia="黑体" w:cs="黑体"/>
          <w:sz w:val="32"/>
          <w:szCs w:val="32"/>
        </w:rPr>
      </w:pPr>
      <w:r>
        <w:rPr>
          <w:rFonts w:hint="eastAsia" w:ascii="宋体" w:hAnsi="宋体" w:eastAsia="宋体" w:cs="宋体"/>
          <w:sz w:val="21"/>
          <w:szCs w:val="21"/>
        </w:rPr>
        <w:t>低效林改造综合成效评价应从生态功能提升、林分质量改善和经济社会效益三个维度综合评判。评价指标体系应涵盖森林覆盖率变化、林分蓄积量增长、生物多样性指数变化、水土保持效果和就业带动效益等方面。评价工作应在改造完成后的规定年限内由具备资质的机构开展，评价结果应作为改造项目绩效评估的正式依据。综合成效评价报告应向社会公开，接受公众监督，推动低效林改造工作的透明化和规范化，整体评价标准应符合LY/T 2988森林质量评价的相关规定。</w:t>
      </w:r>
    </w:p>
    <w:p w14:paraId="5AE1AB03">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3173095</wp:posOffset>
            </wp:positionH>
            <wp:positionV relativeFrom="paragraph">
              <wp:posOffset>556260</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283"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w:t>
    </w:r>
    <w:r>
      <w:rPr>
        <w:rFonts w:hint="eastAsia" w:ascii="黑体" w:hAnsi="黑体" w:eastAsia="黑体" w:cs="黑体"/>
        <w:spacing w:val="2"/>
        <w:sz w:val="21"/>
        <w:szCs w:val="21"/>
        <w:lang w:val="en-US" w:eastAsia="zh-CN"/>
      </w:rPr>
      <w:t>65</w:t>
    </w:r>
    <w:r>
      <w:rPr>
        <w:rFonts w:hint="eastAsia" w:ascii="黑体" w:hAnsi="黑体" w:eastAsia="黑体" w:cs="黑体"/>
        <w:spacing w:val="2"/>
        <w:sz w:val="21"/>
        <w:szCs w:val="21"/>
      </w:rPr>
      <w:t>.</w:t>
    </w:r>
    <w:r>
      <w:rPr>
        <w:rFonts w:hint="eastAsia" w:ascii="黑体" w:hAnsi="黑体" w:eastAsia="黑体" w:cs="黑体"/>
        <w:spacing w:val="2"/>
        <w:sz w:val="21"/>
        <w:szCs w:val="21"/>
        <w:lang w:val="en-US" w:eastAsia="zh-CN"/>
      </w:rPr>
      <w:t>020.40</w:t>
    </w:r>
    <w:r>
      <w:rPr>
        <w:rFonts w:hint="eastAsia" w:ascii="黑体" w:hAnsi="黑体" w:eastAsia="黑体" w:cs="黑体"/>
        <w:spacing w:val="2"/>
        <w:sz w:val="21"/>
        <w:szCs w:val="21"/>
      </w:rPr>
      <w:t xml:space="preserve"> </w:t>
    </w:r>
  </w:p>
  <w:p w14:paraId="187B5B53">
    <w:pPr>
      <w:pStyle w:val="9"/>
      <w:rPr>
        <w:rFonts w:hint="default" w:ascii="黑体" w:hAnsi="黑体" w:eastAsia="黑体" w:cs="黑体"/>
        <w:spacing w:val="2"/>
        <w:sz w:val="21"/>
        <w:szCs w:val="21"/>
        <w:lang w:val="en-US" w:eastAsia="zh-CN"/>
      </w:rPr>
    </w:pPr>
    <w:r>
      <w:rPr>
        <w:rFonts w:hint="eastAsia" w:ascii="黑体" w:hAnsi="黑体" w:eastAsia="黑体" w:cs="黑体"/>
        <w:spacing w:val="2"/>
        <w:sz w:val="21"/>
        <w:szCs w:val="21"/>
      </w:rPr>
      <w:t xml:space="preserve">CCS </w:t>
    </w:r>
    <w:r>
      <w:rPr>
        <w:rFonts w:hint="eastAsia" w:ascii="黑体" w:hAnsi="黑体" w:eastAsia="黑体" w:cs="黑体"/>
        <w:spacing w:val="2"/>
        <w:sz w:val="21"/>
        <w:szCs w:val="21"/>
        <w:lang w:val="en-US" w:eastAsia="zh-CN"/>
      </w:rPr>
      <w:t>B 64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EE1A3">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9141">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1CEC4">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428D">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C305A">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427</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DE14563"/>
    <w:rsid w:val="3F417E35"/>
    <w:rsid w:val="3F911525"/>
    <w:rsid w:val="409E2E12"/>
    <w:rsid w:val="478B5BE9"/>
    <w:rsid w:val="49AE2C0A"/>
    <w:rsid w:val="4BA11B70"/>
    <w:rsid w:val="4C843E94"/>
    <w:rsid w:val="4D576B6D"/>
    <w:rsid w:val="4E4F4B57"/>
    <w:rsid w:val="4ED300C1"/>
    <w:rsid w:val="50F8747A"/>
    <w:rsid w:val="51536047"/>
    <w:rsid w:val="52401218"/>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1268</Words>
  <Characters>1573</Characters>
  <TotalTime>0</TotalTime>
  <ScaleCrop>false</ScaleCrop>
  <LinksUpToDate>false</LinksUpToDate>
  <CharactersWithSpaces>1704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2026-06-01T05:57:27Z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