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C5B91">
      <w:pPr>
        <w:spacing w:before="31"/>
        <w:ind w:left="6727" w:right="0" w:firstLine="0"/>
        <w:jc w:val="left"/>
        <w:rPr>
          <w:rFonts w:hint="eastAsia" w:ascii="Times New Roman" w:eastAsia="宋体"/>
          <w:b/>
          <w:w w:val="130"/>
          <w:sz w:val="96"/>
          <w:lang w:val="en-US" w:eastAsia="zh-CN"/>
        </w:rPr>
      </w:pPr>
      <w:bookmarkStart w:id="0" w:name="bookmark1"/>
      <w:bookmarkEnd w:id="0"/>
      <w:r>
        <mc:AlternateContent>
          <mc:Choice Requires="wpg">
            <w:drawing>
              <wp:anchor distT="0" distB="0" distL="114300" distR="114300" simplePos="0" relativeHeight="251661312" behindDoc="0" locked="0" layoutInCell="1" allowOverlap="1">
                <wp:simplePos x="0" y="0"/>
                <wp:positionH relativeFrom="page">
                  <wp:posOffset>4242435</wp:posOffset>
                </wp:positionH>
                <wp:positionV relativeFrom="paragraph">
                  <wp:posOffset>150495</wp:posOffset>
                </wp:positionV>
                <wp:extent cx="589915" cy="436245"/>
                <wp:effectExtent l="635" t="0" r="6350" b="8255"/>
                <wp:wrapNone/>
                <wp:docPr id="2" name="组合 2"/>
                <wp:cNvGraphicFramePr/>
                <a:graphic xmlns:a="http://schemas.openxmlformats.org/drawingml/2006/main">
                  <a:graphicData uri="http://schemas.microsoft.com/office/word/2010/wordprocessingGroup">
                    <wpg:wgp>
                      <wpg:cNvGrpSpPr/>
                      <wpg:grpSpPr>
                        <a:xfrm>
                          <a:off x="0" y="0"/>
                          <a:ext cx="589915" cy="436245"/>
                          <a:chOff x="6682" y="237"/>
                          <a:chExt cx="929" cy="687"/>
                        </a:xfrm>
                      </wpg:grpSpPr>
                      <pic:pic xmlns:pic="http://schemas.openxmlformats.org/drawingml/2006/picture">
                        <pic:nvPicPr>
                          <pic:cNvPr id="4" name="图片 3"/>
                          <pic:cNvPicPr>
                            <a:picLocks noChangeAspect="1"/>
                          </pic:cNvPicPr>
                        </pic:nvPicPr>
                        <pic:blipFill>
                          <a:blip r:embed="rId25"/>
                          <a:stretch>
                            <a:fillRect/>
                          </a:stretch>
                        </pic:blipFill>
                        <pic:spPr>
                          <a:xfrm>
                            <a:off x="6681" y="237"/>
                            <a:ext cx="653" cy="680"/>
                          </a:xfrm>
                          <a:prstGeom prst="rect">
                            <a:avLst/>
                          </a:prstGeom>
                          <a:noFill/>
                          <a:ln>
                            <a:noFill/>
                          </a:ln>
                        </pic:spPr>
                      </pic:pic>
                      <pic:pic xmlns:pic="http://schemas.openxmlformats.org/drawingml/2006/picture">
                        <pic:nvPicPr>
                          <pic:cNvPr id="5" name="图片 4"/>
                          <pic:cNvPicPr>
                            <a:picLocks noChangeAspect="1"/>
                          </pic:cNvPicPr>
                        </pic:nvPicPr>
                        <pic:blipFill>
                          <a:blip r:embed="rId26"/>
                          <a:stretch>
                            <a:fillRect/>
                          </a:stretch>
                        </pic:blipFill>
                        <pic:spPr>
                          <a:xfrm>
                            <a:off x="7341" y="237"/>
                            <a:ext cx="269" cy="687"/>
                          </a:xfrm>
                          <a:prstGeom prst="rect">
                            <a:avLst/>
                          </a:prstGeom>
                          <a:noFill/>
                          <a:ln>
                            <a:noFill/>
                          </a:ln>
                        </pic:spPr>
                      </pic:pic>
                    </wpg:wgp>
                  </a:graphicData>
                </a:graphic>
              </wp:anchor>
            </w:drawing>
          </mc:Choice>
          <mc:Fallback>
            <w:pict>
              <v:group id="_x0000_s1026" o:spid="_x0000_s1026" o:spt="203" style="position:absolute;left:0pt;margin-left:334.05pt;margin-top:11.85pt;height:34.35pt;width:46.45pt;mso-position-horizontal-relative:page;z-index:251661312;mso-width-relative:page;mso-height-relative:page;" coordorigin="6682,237" coordsize="929,687" o:gfxdata="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">
                <o:lock v:ext="edit" aspectratio="f"/>
                <v:shape id="图片 3" o:spid="_x0000_s1026" o:spt="75" type="#_x0000_t75" style="position:absolute;left:6681;top:237;height:680;width:653;" filled="f" o:preferrelative="t" stroked="f" coordsize="21600,21600" o:gfxdata="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pkyRvQAA&#10;ANoAAAAPAAAAAAAAAAEAIAAAACIAAABkcnMvZG93bnJldi54bWxQSwECFAAUAAAACACHTuJAMy8F&#10;njsAAAA5AAAAEAAAAAAAAAABACAAAAAMAQAAZHJzL3NoYXBleG1sLnhtbFBLBQYAAAAABgAGAFsB&#10;AAC2AwAAAAA=&#10;">
                  <v:fill on="f" focussize="0,0"/>
                  <v:stroke on="f"/>
                  <v:imagedata r:id="rId25" o:title=""/>
                  <o:lock v:ext="edit" aspectratio="t"/>
                </v:shape>
                <v:shape id="图片 4" o:spid="_x0000_s1026" o:spt="75" type="#_x0000_t75" style="position:absolute;left:7341;top:237;height:687;width:269;" filled="f" o:preferrelative="t" stroked="f" coordsize="21600,21600" o:gfxdata="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appzvQAA&#10;ANoAAAAPAAAAAAAAAAEAIAAAACIAAABkcnMvZG93bnJldi54bWxQSwECFAAUAAAACACHTuJAMy8F&#10;njsAAAA5AAAAEAAAAAAAAAABACAAAAAMAQAAZHJzL3NoYXBleG1sLnhtbFBLBQYAAAAABgAGAFsB&#10;AAC2AwAAAAA=&#10;">
                  <v:fill on="f" focussize="0,0"/>
                  <v:stroke on="f"/>
                  <v:imagedata r:id="rId26" o:title=""/>
                  <o:lock v:ext="edit" aspectratio="t"/>
                </v:shape>
              </v:group>
            </w:pict>
          </mc:Fallback>
        </mc:AlternateContent>
      </w:r>
      <w:r>
        <w:rPr>
          <w:rFonts w:ascii="Times New Roman"/>
          <w:b/>
          <w:w w:val="130"/>
          <w:sz w:val="96"/>
        </w:rPr>
        <w:t>J</w:t>
      </w:r>
      <w:r>
        <w:rPr>
          <w:rFonts w:hint="eastAsia" w:ascii="Times New Roman"/>
          <w:b/>
          <w:w w:val="130"/>
          <w:sz w:val="96"/>
          <w:lang w:val="en-US" w:eastAsia="zh-CN"/>
        </w:rPr>
        <w:t>X</w:t>
      </w:r>
      <w:r>
        <w:rPr>
          <w:rFonts w:ascii="Times New Roman"/>
          <w:b/>
          <w:w w:val="130"/>
          <w:sz w:val="96"/>
        </w:rPr>
        <w:t>E</w:t>
      </w:r>
      <w:r>
        <w:rPr>
          <w:rFonts w:hint="eastAsia" w:ascii="Times New Roman"/>
          <w:b/>
          <w:w w:val="130"/>
          <w:sz w:val="96"/>
          <w:lang w:val="en-US" w:eastAsia="zh-CN"/>
        </w:rPr>
        <w:t>A</w:t>
      </w:r>
    </w:p>
    <w:p w14:paraId="12031DCB">
      <w:pPr>
        <w:spacing w:before="0" w:line="602" w:lineRule="exact"/>
        <w:ind w:left="38" w:right="0" w:firstLine="0"/>
        <w:jc w:val="center"/>
        <w:rPr>
          <w:rFonts w:hint="eastAsia" w:ascii="黑体" w:eastAsia="黑体"/>
          <w:sz w:val="48"/>
        </w:rPr>
      </w:pPr>
      <w:r>
        <w:rPr>
          <w:rFonts w:hint="eastAsia" w:ascii="黑体" w:eastAsia="黑体"/>
          <w:sz w:val="48"/>
        </w:rPr>
        <w:t xml:space="preserve">江 </w:t>
      </w:r>
      <w:r>
        <w:rPr>
          <w:rFonts w:hint="eastAsia" w:ascii="黑体" w:eastAsia="黑体"/>
          <w:sz w:val="48"/>
          <w:lang w:val="en-US" w:eastAsia="zh-CN"/>
        </w:rPr>
        <w:t xml:space="preserve">西 </w:t>
      </w:r>
      <w:r>
        <w:rPr>
          <w:rFonts w:hint="eastAsia" w:ascii="黑体" w:eastAsia="黑体"/>
          <w:sz w:val="48"/>
        </w:rPr>
        <w:t xml:space="preserve">省 工 程 师 </w:t>
      </w:r>
      <w:r>
        <w:rPr>
          <w:rFonts w:hint="eastAsia" w:ascii="黑体" w:eastAsia="黑体"/>
          <w:sz w:val="48"/>
          <w:lang w:val="en-US" w:eastAsia="zh-CN"/>
        </w:rPr>
        <w:t xml:space="preserve">联 合 </w:t>
      </w:r>
      <w:r>
        <w:rPr>
          <w:rFonts w:hint="eastAsia" w:ascii="黑体" w:eastAsia="黑体"/>
          <w:sz w:val="48"/>
        </w:rPr>
        <w:t>会 团 体 标 准</w:t>
      </w:r>
    </w:p>
    <w:p w14:paraId="06530B1C">
      <w:pPr>
        <w:spacing w:before="341"/>
        <w:ind w:left="0" w:right="411" w:firstLine="0"/>
        <w:jc w:val="right"/>
        <w:rPr>
          <w:rFonts w:hint="eastAsia" w:ascii="黑体" w:hAnsi="黑体" w:eastAsia="宋体"/>
          <w:sz w:val="28"/>
          <w:lang w:eastAsia="zh-CN"/>
        </w:rPr>
      </w:pPr>
      <w:r>
        <w:rPr>
          <w:rFonts w:ascii="黑体" w:hAnsi="黑体"/>
          <w:sz w:val="28"/>
        </w:rPr>
        <w:t>T/JXEA 426—2026</w:t>
      </w:r>
    </w:p>
    <w:p w14:paraId="6EB1BE84">
      <w:pPr>
        <w:pStyle w:val="6"/>
        <w:rPr>
          <w:rFonts w:ascii="黑体"/>
          <w:sz w:val="20"/>
        </w:rPr>
      </w:pPr>
    </w:p>
    <w:p w14:paraId="2B5D136B">
      <w:pPr>
        <w:pStyle w:val="6"/>
        <w:spacing w:before="4"/>
        <w:rPr>
          <w:rFonts w:ascii="黑体"/>
          <w:sz w:val="28"/>
        </w:rPr>
      </w:pPr>
      <w:r>
        <mc:AlternateContent>
          <mc:Choice Requires="wps">
            <w:drawing>
              <wp:anchor distT="0" distB="0" distL="114300" distR="114300" simplePos="0" relativeHeight="251659264" behindDoc="1" locked="0" layoutInCell="1" allowOverlap="1">
                <wp:simplePos x="0" y="0"/>
                <wp:positionH relativeFrom="page">
                  <wp:posOffset>900430</wp:posOffset>
                </wp:positionH>
                <wp:positionV relativeFrom="paragraph">
                  <wp:posOffset>260350</wp:posOffset>
                </wp:positionV>
                <wp:extent cx="6120130" cy="0"/>
                <wp:effectExtent l="0" t="4445" r="0" b="5080"/>
                <wp:wrapTopAndBottom/>
                <wp:docPr id="3" name="直线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70.9pt;margin-top:20.5pt;height:0pt;width:481.9pt;mso-position-horizontal-relative:page;mso-wrap-distance-bottom:0pt;mso-wrap-distance-top:0pt;z-index:-251657216;mso-width-relative:page;mso-height-relative:page;" filled="f" stroked="t" coordsize="21600,21600" o:gfxdata="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6fveU1gAA&#10;AAoBAAAPAAAAAAAAAAEAIAAAACIAAABkcnMvZG93bnJldi54bWxQSwECFAAUAAAACACHTuJAeKaj&#10;sucBAADbAwAADgAAAAAAAAABACAAAAAlAQAAZHJzL2Uyb0RvYy54bWxQSwUGAAAAAAYABgBZAQAA&#10;fgUAAAAA&#10;">
                <v:fill on="f" focussize="0,0"/>
                <v:stroke color="#000000" joinstyle="round"/>
                <v:imagedata o:title=""/>
                <o:lock v:ext="edit" aspectratio="f"/>
                <w10:wrap type="topAndBottom"/>
              </v:line>
            </w:pict>
          </mc:Fallback>
        </mc:AlternateContent>
      </w:r>
    </w:p>
    <w:p w14:paraId="1C535998">
      <w:pPr>
        <w:pStyle w:val="6"/>
        <w:rPr>
          <w:rFonts w:ascii="黑体"/>
          <w:sz w:val="28"/>
        </w:rPr>
      </w:pPr>
    </w:p>
    <w:p w14:paraId="3C30986B">
      <w:pPr>
        <w:pStyle w:val="6"/>
        <w:rPr>
          <w:rFonts w:ascii="黑体"/>
          <w:sz w:val="28"/>
        </w:rPr>
      </w:pPr>
    </w:p>
    <w:p w14:paraId="5E5D9AD9">
      <w:pPr>
        <w:pStyle w:val="6"/>
        <w:rPr>
          <w:rFonts w:ascii="黑体"/>
          <w:sz w:val="28"/>
        </w:rPr>
      </w:pPr>
    </w:p>
    <w:p w14:paraId="0F32264C">
      <w:pPr>
        <w:pStyle w:val="6"/>
        <w:spacing w:before="3"/>
        <w:rPr>
          <w:rFonts w:hint="eastAsia" w:ascii="黑体" w:hAnsi="黑体" w:eastAsia="黑体" w:cs="黑体"/>
          <w:snapToGrid w:val="0"/>
          <w:color w:val="000000"/>
          <w:spacing w:val="-2"/>
          <w:kern w:val="0"/>
          <w:sz w:val="52"/>
          <w:szCs w:val="52"/>
          <w:lang w:val="en-US" w:eastAsia="en-US" w:bidi="ar-SA"/>
        </w:rPr>
      </w:pPr>
    </w:p>
    <w:p w14:paraId="14A96175">
      <w:pPr>
        <w:pStyle w:val="12"/>
        <w:keepNext w:val="0"/>
        <w:keepLines w:val="0"/>
        <w:widowControl/>
        <w:suppressLineNumbers w:val="0"/>
        <w:spacing w:before="0" w:beforeAutospacing="0" w:after="0" w:afterAutospacing="0"/>
        <w:ind w:left="0" w:right="0" w:firstLine="0"/>
        <w:jc w:val="center"/>
        <w:rPr>
          <w:rFonts w:hint="eastAsia" w:ascii="黑体" w:hAnsi="黑体" w:eastAsia="黑体" w:cs="黑体"/>
          <w:snapToGrid w:val="0"/>
          <w:color w:val="000000"/>
          <w:spacing w:val="-2"/>
          <w:kern w:val="0"/>
          <w:sz w:val="52"/>
          <w:szCs w:val="52"/>
          <w:lang w:val="en-US" w:eastAsia="en-US" w:bidi="ar-SA"/>
        </w:rPr>
      </w:pPr>
      <w:r>
        <w:rPr>
          <w:rFonts w:hint="eastAsia" w:ascii="黑体" w:hAnsi="黑体" w:eastAsia="黑体" w:cs="黑体"/>
          <w:snapToGrid w:val="0"/>
          <w:color w:val="000000"/>
          <w:spacing w:val="-2"/>
          <w:kern w:val="0"/>
          <w:sz w:val="52"/>
          <w:szCs w:val="52"/>
          <w:lang w:val="en-US" w:eastAsia="en-US" w:bidi="ar-SA"/>
        </w:rPr>
        <w:t>水利工程混凝土温控防裂施工技术规范</w:t>
      </w:r>
    </w:p>
    <w:p w14:paraId="2E701569">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380" w:beforeAutospacing="0" w:after="0" w:afterAutospacing="0"/>
        <w:ind w:left="283" w:right="0" w:firstLine="0"/>
        <w:jc w:val="center"/>
        <w:textAlignment w:val="baseline"/>
        <w:rPr>
          <w:rFonts w:hint="eastAsia" w:ascii="黑体" w:hAnsi="黑体" w:eastAsia="黑体" w:cs="黑体"/>
          <w:snapToGrid w:val="0"/>
          <w:color w:val="000000"/>
          <w:spacing w:val="-2"/>
          <w:kern w:val="0"/>
          <w:sz w:val="28"/>
          <w:szCs w:val="28"/>
          <w:lang w:val="en-US" w:eastAsia="en-US" w:bidi="ar-SA"/>
        </w:rPr>
      </w:pPr>
      <w:r>
        <w:rPr>
          <w:rFonts w:hint="eastAsia" w:ascii="黑体" w:hAnsi="黑体" w:eastAsia="黑体" w:cs="黑体"/>
          <w:snapToGrid w:val="0"/>
          <w:color w:val="000000"/>
          <w:spacing w:val="-2"/>
          <w:kern w:val="0"/>
          <w:sz w:val="28"/>
          <w:szCs w:val="28"/>
          <w:lang w:val="en-US" w:eastAsia="en-US" w:bidi="ar-SA"/>
        </w:rPr>
        <w:t xml:space="preserve">Technical </w:t>
      </w:r>
      <w:r>
        <w:rPr>
          <w:rFonts w:hint="eastAsia" w:ascii="黑体" w:hAnsi="黑体" w:eastAsia="黑体" w:cs="黑体"/>
          <w:snapToGrid w:val="0"/>
          <w:color w:val="000000"/>
          <w:spacing w:val="-2"/>
          <w:kern w:val="0"/>
          <w:sz w:val="28"/>
          <w:szCs w:val="28"/>
          <w:lang w:val="en-US" w:eastAsia="zh-CN" w:bidi="ar-SA"/>
        </w:rPr>
        <w:t>s</w:t>
      </w:r>
      <w:r>
        <w:rPr>
          <w:rFonts w:hint="eastAsia" w:ascii="黑体" w:hAnsi="黑体" w:eastAsia="黑体" w:cs="黑体"/>
          <w:snapToGrid w:val="0"/>
          <w:color w:val="000000"/>
          <w:spacing w:val="-2"/>
          <w:kern w:val="0"/>
          <w:sz w:val="28"/>
          <w:szCs w:val="28"/>
          <w:lang w:val="en-US" w:eastAsia="en-US" w:bidi="ar-SA"/>
        </w:rPr>
        <w:t xml:space="preserve">pecification for </w:t>
      </w:r>
      <w:r>
        <w:rPr>
          <w:rFonts w:hint="eastAsia" w:ascii="黑体" w:hAnsi="黑体" w:eastAsia="黑体" w:cs="黑体"/>
          <w:snapToGrid w:val="0"/>
          <w:color w:val="000000"/>
          <w:spacing w:val="-2"/>
          <w:kern w:val="0"/>
          <w:sz w:val="28"/>
          <w:szCs w:val="28"/>
          <w:lang w:val="en-US" w:eastAsia="zh-CN" w:bidi="ar-SA"/>
        </w:rPr>
        <w:t>t</w:t>
      </w:r>
      <w:r>
        <w:rPr>
          <w:rFonts w:hint="eastAsia" w:ascii="黑体" w:hAnsi="黑体" w:eastAsia="黑体" w:cs="黑体"/>
          <w:snapToGrid w:val="0"/>
          <w:color w:val="000000"/>
          <w:spacing w:val="-2"/>
          <w:kern w:val="0"/>
          <w:sz w:val="28"/>
          <w:szCs w:val="28"/>
          <w:lang w:val="en-US" w:eastAsia="en-US" w:bidi="ar-SA"/>
        </w:rPr>
        <w:t xml:space="preserve">emperature </w:t>
      </w:r>
      <w:r>
        <w:rPr>
          <w:rFonts w:hint="eastAsia" w:ascii="黑体" w:hAnsi="黑体" w:eastAsia="黑体" w:cs="黑体"/>
          <w:snapToGrid w:val="0"/>
          <w:color w:val="000000"/>
          <w:spacing w:val="-2"/>
          <w:kern w:val="0"/>
          <w:sz w:val="28"/>
          <w:szCs w:val="28"/>
          <w:lang w:val="en-US" w:eastAsia="zh-CN" w:bidi="ar-SA"/>
        </w:rPr>
        <w:t>c</w:t>
      </w:r>
      <w:r>
        <w:rPr>
          <w:rFonts w:hint="eastAsia" w:ascii="黑体" w:hAnsi="黑体" w:eastAsia="黑体" w:cs="黑体"/>
          <w:snapToGrid w:val="0"/>
          <w:color w:val="000000"/>
          <w:spacing w:val="-2"/>
          <w:kern w:val="0"/>
          <w:sz w:val="28"/>
          <w:szCs w:val="28"/>
          <w:lang w:val="en-US" w:eastAsia="en-US" w:bidi="ar-SA"/>
        </w:rPr>
        <w:t xml:space="preserve">ontrol and </w:t>
      </w:r>
      <w:r>
        <w:rPr>
          <w:rFonts w:hint="eastAsia" w:ascii="黑体" w:hAnsi="黑体" w:eastAsia="黑体" w:cs="黑体"/>
          <w:snapToGrid w:val="0"/>
          <w:color w:val="000000"/>
          <w:spacing w:val="-2"/>
          <w:kern w:val="0"/>
          <w:sz w:val="28"/>
          <w:szCs w:val="28"/>
          <w:lang w:val="en-US" w:eastAsia="zh-CN" w:bidi="ar-SA"/>
        </w:rPr>
        <w:t>c</w:t>
      </w:r>
      <w:r>
        <w:rPr>
          <w:rFonts w:hint="eastAsia" w:ascii="黑体" w:hAnsi="黑体" w:eastAsia="黑体" w:cs="黑体"/>
          <w:snapToGrid w:val="0"/>
          <w:color w:val="000000"/>
          <w:spacing w:val="-2"/>
          <w:kern w:val="0"/>
          <w:sz w:val="28"/>
          <w:szCs w:val="28"/>
          <w:lang w:val="en-US" w:eastAsia="en-US" w:bidi="ar-SA"/>
        </w:rPr>
        <w:t xml:space="preserve">rack </w:t>
      </w:r>
      <w:r>
        <w:rPr>
          <w:rFonts w:hint="eastAsia" w:ascii="黑体" w:hAnsi="黑体" w:eastAsia="黑体" w:cs="黑体"/>
          <w:snapToGrid w:val="0"/>
          <w:color w:val="000000"/>
          <w:spacing w:val="-2"/>
          <w:kern w:val="0"/>
          <w:sz w:val="28"/>
          <w:szCs w:val="28"/>
          <w:lang w:val="en-US" w:eastAsia="zh-CN" w:bidi="ar-SA"/>
        </w:rPr>
        <w:t>p</w:t>
      </w:r>
      <w:r>
        <w:rPr>
          <w:rFonts w:hint="eastAsia" w:ascii="黑体" w:hAnsi="黑体" w:eastAsia="黑体" w:cs="黑体"/>
          <w:snapToGrid w:val="0"/>
          <w:color w:val="000000"/>
          <w:spacing w:val="-2"/>
          <w:kern w:val="0"/>
          <w:sz w:val="28"/>
          <w:szCs w:val="28"/>
          <w:lang w:val="en-US" w:eastAsia="en-US" w:bidi="ar-SA"/>
        </w:rPr>
        <w:t xml:space="preserve">revention in </w:t>
      </w:r>
      <w:r>
        <w:rPr>
          <w:rFonts w:hint="eastAsia" w:ascii="黑体" w:hAnsi="黑体" w:eastAsia="黑体" w:cs="黑体"/>
          <w:snapToGrid w:val="0"/>
          <w:color w:val="000000"/>
          <w:spacing w:val="-2"/>
          <w:kern w:val="0"/>
          <w:sz w:val="28"/>
          <w:szCs w:val="28"/>
          <w:lang w:val="en-US" w:eastAsia="zh-CN" w:bidi="ar-SA"/>
        </w:rPr>
        <w:t>h</w:t>
      </w:r>
      <w:r>
        <w:rPr>
          <w:rFonts w:hint="eastAsia" w:ascii="黑体" w:hAnsi="黑体" w:eastAsia="黑体" w:cs="黑体"/>
          <w:snapToGrid w:val="0"/>
          <w:color w:val="000000"/>
          <w:spacing w:val="-2"/>
          <w:kern w:val="0"/>
          <w:sz w:val="28"/>
          <w:szCs w:val="28"/>
          <w:lang w:val="en-US" w:eastAsia="en-US" w:bidi="ar-SA"/>
        </w:rPr>
        <w:t xml:space="preserve">ydraulic </w:t>
      </w:r>
      <w:r>
        <w:rPr>
          <w:rFonts w:hint="eastAsia" w:ascii="黑体" w:hAnsi="黑体" w:eastAsia="黑体" w:cs="黑体"/>
          <w:snapToGrid w:val="0"/>
          <w:color w:val="000000"/>
          <w:spacing w:val="-2"/>
          <w:kern w:val="0"/>
          <w:sz w:val="28"/>
          <w:szCs w:val="28"/>
          <w:lang w:val="en-US" w:eastAsia="zh-CN" w:bidi="ar-SA"/>
        </w:rPr>
        <w:t>e</w:t>
      </w:r>
      <w:r>
        <w:rPr>
          <w:rFonts w:hint="eastAsia" w:ascii="黑体" w:hAnsi="黑体" w:eastAsia="黑体" w:cs="黑体"/>
          <w:snapToGrid w:val="0"/>
          <w:color w:val="000000"/>
          <w:spacing w:val="-2"/>
          <w:kern w:val="0"/>
          <w:sz w:val="28"/>
          <w:szCs w:val="28"/>
          <w:lang w:val="en-US" w:eastAsia="en-US" w:bidi="ar-SA"/>
        </w:rPr>
        <w:t xml:space="preserve">ngineering </w:t>
      </w:r>
      <w:r>
        <w:rPr>
          <w:rFonts w:hint="eastAsia" w:ascii="黑体" w:hAnsi="黑体" w:eastAsia="黑体" w:cs="黑体"/>
          <w:snapToGrid w:val="0"/>
          <w:color w:val="000000"/>
          <w:spacing w:val="-2"/>
          <w:kern w:val="0"/>
          <w:sz w:val="28"/>
          <w:szCs w:val="28"/>
          <w:lang w:val="en-US" w:eastAsia="zh-CN" w:bidi="ar-SA"/>
        </w:rPr>
        <w:t>c</w:t>
      </w:r>
      <w:r>
        <w:rPr>
          <w:rFonts w:hint="eastAsia" w:ascii="黑体" w:hAnsi="黑体" w:eastAsia="黑体" w:cs="黑体"/>
          <w:snapToGrid w:val="0"/>
          <w:color w:val="000000"/>
          <w:spacing w:val="-2"/>
          <w:kern w:val="0"/>
          <w:sz w:val="28"/>
          <w:szCs w:val="28"/>
          <w:lang w:val="en-US" w:eastAsia="en-US" w:bidi="ar-SA"/>
        </w:rPr>
        <w:t xml:space="preserve">oncrete </w:t>
      </w:r>
      <w:r>
        <w:rPr>
          <w:rFonts w:hint="eastAsia" w:ascii="黑体" w:hAnsi="黑体" w:eastAsia="黑体" w:cs="黑体"/>
          <w:snapToGrid w:val="0"/>
          <w:color w:val="000000"/>
          <w:spacing w:val="-2"/>
          <w:kern w:val="0"/>
          <w:sz w:val="28"/>
          <w:szCs w:val="28"/>
          <w:lang w:val="en-US" w:eastAsia="zh-CN" w:bidi="ar-SA"/>
        </w:rPr>
        <w:t>c</w:t>
      </w:r>
      <w:r>
        <w:rPr>
          <w:rFonts w:hint="eastAsia" w:ascii="黑体" w:hAnsi="黑体" w:eastAsia="黑体" w:cs="黑体"/>
          <w:snapToGrid w:val="0"/>
          <w:color w:val="000000"/>
          <w:spacing w:val="-2"/>
          <w:kern w:val="0"/>
          <w:sz w:val="28"/>
          <w:szCs w:val="28"/>
          <w:lang w:val="en-US" w:eastAsia="en-US" w:bidi="ar-SA"/>
        </w:rPr>
        <w:t>onstruction</w:t>
      </w:r>
    </w:p>
    <w:p w14:paraId="242324EA">
      <w:pPr>
        <w:spacing w:before="392"/>
        <w:ind w:left="268" w:right="0" w:firstLine="0"/>
        <w:jc w:val="center"/>
        <w:rPr>
          <w:rFonts w:hint="eastAsia" w:ascii="Times New Roman" w:hAnsi="宋体" w:eastAsia="宋体" w:cs="宋体"/>
          <w:sz w:val="28"/>
        </w:rPr>
      </w:pPr>
    </w:p>
    <w:p w14:paraId="272522EB">
      <w:pPr>
        <w:pStyle w:val="6"/>
        <w:rPr>
          <w:rFonts w:hint="eastAsia"/>
          <w:sz w:val="24"/>
        </w:rPr>
      </w:pPr>
    </w:p>
    <w:p w14:paraId="6DA6C1C3">
      <w:pPr>
        <w:pStyle w:val="6"/>
        <w:rPr>
          <w:rFonts w:hint="eastAsia"/>
          <w:sz w:val="24"/>
        </w:rPr>
      </w:pPr>
    </w:p>
    <w:p w14:paraId="3A6A9AF2">
      <w:pPr>
        <w:pStyle w:val="6"/>
        <w:rPr>
          <w:rFonts w:hint="eastAsia"/>
          <w:sz w:val="24"/>
        </w:rPr>
      </w:pPr>
    </w:p>
    <w:p w14:paraId="526CA9D4">
      <w:pPr>
        <w:pStyle w:val="6"/>
        <w:rPr>
          <w:rFonts w:hint="eastAsia"/>
          <w:sz w:val="24"/>
        </w:rPr>
      </w:pPr>
    </w:p>
    <w:p w14:paraId="0F965D6A">
      <w:pPr>
        <w:pStyle w:val="6"/>
        <w:rPr>
          <w:rFonts w:hint="eastAsia"/>
          <w:sz w:val="24"/>
        </w:rPr>
      </w:pPr>
    </w:p>
    <w:p w14:paraId="5F200179">
      <w:pPr>
        <w:pStyle w:val="6"/>
        <w:rPr>
          <w:rFonts w:hint="eastAsia"/>
          <w:sz w:val="24"/>
        </w:rPr>
      </w:pPr>
    </w:p>
    <w:p w14:paraId="0DD80CB8">
      <w:pPr>
        <w:pStyle w:val="6"/>
        <w:rPr>
          <w:rFonts w:hint="eastAsia"/>
          <w:sz w:val="24"/>
        </w:rPr>
      </w:pPr>
    </w:p>
    <w:p w14:paraId="660BF25B">
      <w:pPr>
        <w:pStyle w:val="6"/>
        <w:rPr>
          <w:rFonts w:hint="eastAsia"/>
          <w:sz w:val="24"/>
        </w:rPr>
      </w:pPr>
    </w:p>
    <w:p w14:paraId="6098BF9A">
      <w:pPr>
        <w:pStyle w:val="6"/>
        <w:rPr>
          <w:rFonts w:hint="eastAsia"/>
          <w:sz w:val="24"/>
        </w:rPr>
      </w:pPr>
    </w:p>
    <w:p w14:paraId="2BB8E8C5">
      <w:pPr>
        <w:pStyle w:val="6"/>
        <w:rPr>
          <w:rFonts w:hint="eastAsia"/>
          <w:sz w:val="24"/>
        </w:rPr>
      </w:pPr>
    </w:p>
    <w:p w14:paraId="4A698370">
      <w:pPr>
        <w:pStyle w:val="6"/>
        <w:jc w:val="center"/>
        <w:rPr>
          <w:rFonts w:hint="default" w:eastAsia="宋体"/>
          <w:b w:val="0"/>
          <w:bCs/>
          <w:sz w:val="28"/>
          <w:szCs w:val="32"/>
          <w:lang w:val="en-US" w:eastAsia="zh-CN"/>
        </w:rPr>
      </w:pPr>
      <w:r>
        <w:rPr>
          <w:rFonts w:hint="eastAsia" w:eastAsia="宋体"/>
          <w:b w:val="0"/>
          <w:bCs/>
          <w:sz w:val="28"/>
          <w:szCs w:val="32"/>
          <w:lang w:val="en-US" w:eastAsia="zh-CN"/>
        </w:rPr>
        <w:t>（征求意见稿）</w:t>
      </w:r>
    </w:p>
    <w:p w14:paraId="5505BF05">
      <w:pPr>
        <w:pStyle w:val="6"/>
        <w:rPr>
          <w:rFonts w:hint="eastAsia"/>
          <w:sz w:val="24"/>
        </w:rPr>
      </w:pPr>
    </w:p>
    <w:p w14:paraId="476B8B51">
      <w:pPr>
        <w:pStyle w:val="6"/>
        <w:rPr>
          <w:rFonts w:hint="eastAsia"/>
          <w:sz w:val="24"/>
        </w:rPr>
      </w:pPr>
    </w:p>
    <w:p w14:paraId="6C163134">
      <w:pPr>
        <w:pStyle w:val="6"/>
        <w:rPr>
          <w:b/>
          <w:sz w:val="20"/>
        </w:rPr>
      </w:pPr>
    </w:p>
    <w:p w14:paraId="6D57DADD">
      <w:pPr>
        <w:pStyle w:val="6"/>
        <w:rPr>
          <w:b/>
          <w:sz w:val="20"/>
        </w:rPr>
      </w:pPr>
    </w:p>
    <w:p w14:paraId="44C4DA58">
      <w:pPr>
        <w:pStyle w:val="6"/>
        <w:rPr>
          <w:b/>
          <w:sz w:val="20"/>
        </w:rPr>
      </w:pPr>
    </w:p>
    <w:p w14:paraId="3E1D5802">
      <w:pPr>
        <w:pStyle w:val="6"/>
        <w:rPr>
          <w:b/>
          <w:sz w:val="20"/>
        </w:rPr>
      </w:pPr>
    </w:p>
    <w:p w14:paraId="296B1BA3">
      <w:pPr>
        <w:tabs>
          <w:tab w:val="left" w:pos="7654"/>
        </w:tabs>
        <w:spacing w:before="163"/>
        <w:ind w:left="295" w:right="0" w:firstLine="0"/>
        <w:jc w:val="center"/>
        <w:rPr>
          <w:rFonts w:hint="eastAsia" w:ascii="黑体" w:eastAsia="黑体"/>
          <w:sz w:val="28"/>
        </w:rPr>
      </w:pPr>
      <w:r>
        <mc:AlternateContent>
          <mc:Choice Requires="wps">
            <w:drawing>
              <wp:anchor distT="0" distB="0" distL="114300" distR="114300" simplePos="0" relativeHeight="251660288" behindDoc="1" locked="0" layoutInCell="1" allowOverlap="1">
                <wp:simplePos x="0" y="0"/>
                <wp:positionH relativeFrom="page">
                  <wp:posOffset>899160</wp:posOffset>
                </wp:positionH>
                <wp:positionV relativeFrom="paragraph">
                  <wp:posOffset>353060</wp:posOffset>
                </wp:positionV>
                <wp:extent cx="6120130" cy="0"/>
                <wp:effectExtent l="0" t="4445" r="0" b="5080"/>
                <wp:wrapTopAndBottom/>
                <wp:docPr id="10"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70.8pt;margin-top:27.8pt;height:0pt;width:481.9pt;mso-position-horizontal-relative:page;mso-wrap-distance-bottom:0pt;mso-wrap-distance-top:0pt;z-index:-251656192;mso-width-relative:page;mso-height-relative:page;" filled="f" stroked="t" coordsize="21600,21600" o:gfxdata="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w+Px9cA&#10;AAAKAQAADwAAAAAAAAABACAAAAAiAAAAZHJzL2Rvd25yZXYueG1sUEsBAhQAFAAAAAgAh07iQIu8&#10;AC/nAQAA3AMAAA4AAAAAAAAAAQAgAAAAJgEAAGRycy9lMm9Eb2MueG1sUEsFBgAAAAAGAAYAWQEA&#10;AH8FAAAAAA==&#10;">
                <v:fill on="f" focussize="0,0"/>
                <v:stroke color="#000000" joinstyle="round"/>
                <v:imagedata o:title=""/>
                <o:lock v:ext="edit" aspectratio="f"/>
                <w10:wrap type="topAndBottom"/>
              </v:line>
            </w:pict>
          </mc:Fallback>
        </mc:AlternateContent>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发布</w:t>
      </w:r>
      <w:r>
        <w:rPr>
          <w:rFonts w:hint="eastAsia" w:ascii="黑体" w:eastAsia="黑体"/>
          <w:sz w:val="28"/>
        </w:rPr>
        <w:tab/>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实施</w:t>
      </w:r>
    </w:p>
    <w:p w14:paraId="52E63578">
      <w:pPr>
        <w:pStyle w:val="6"/>
        <w:rPr>
          <w:rFonts w:ascii="黑体"/>
          <w:sz w:val="28"/>
        </w:rPr>
      </w:pPr>
    </w:p>
    <w:p w14:paraId="635EC882">
      <w:pPr>
        <w:pStyle w:val="6"/>
        <w:spacing w:before="4"/>
        <w:rPr>
          <w:rFonts w:ascii="黑体"/>
          <w:sz w:val="31"/>
        </w:rPr>
      </w:pPr>
    </w:p>
    <w:p w14:paraId="7AA4EE42">
      <w:pPr>
        <w:spacing w:before="0"/>
        <w:ind w:left="144" w:right="158" w:firstLine="0"/>
        <w:jc w:val="center"/>
        <w:rPr>
          <w:rFonts w:hint="default" w:ascii="Times New Roman" w:eastAsia="黑体"/>
          <w:sz w:val="17"/>
          <w:lang w:val="en-US" w:eastAsia="zh-CN"/>
        </w:rPr>
        <w:sectPr>
          <w:headerReference r:id="rId7" w:type="first"/>
          <w:headerReference r:id="rId5" w:type="default"/>
          <w:headerReference r:id="rId6" w:type="even"/>
          <w:pgSz w:w="11910" w:h="16840"/>
          <w:pgMar w:top="1580" w:right="720" w:bottom="280" w:left="1020" w:header="1417" w:footer="283" w:gutter="0"/>
          <w:pgNumType w:fmt="upperRoman"/>
          <w:cols w:space="720" w:num="1"/>
        </w:sectPr>
      </w:pPr>
      <w:r>
        <w:rPr>
          <w:rFonts w:hint="eastAsia" w:ascii="黑体" w:hAnsi="黑体" w:eastAsia="黑体"/>
          <w:sz w:val="28"/>
        </w:rPr>
        <w:t>江</w:t>
      </w:r>
      <w:r>
        <w:rPr>
          <w:rFonts w:hint="eastAsia" w:ascii="黑体" w:hAnsi="黑体" w:eastAsia="黑体"/>
          <w:sz w:val="28"/>
          <w:lang w:val="en-US" w:eastAsia="zh-CN"/>
        </w:rPr>
        <w:t>西</w:t>
      </w:r>
      <w:r>
        <w:rPr>
          <w:rFonts w:hint="eastAsia" w:ascii="黑体" w:hAnsi="黑体" w:eastAsia="黑体"/>
          <w:sz w:val="28"/>
        </w:rPr>
        <w:t>省工程师</w:t>
      </w:r>
      <w:r>
        <w:rPr>
          <w:rFonts w:hint="eastAsia" w:ascii="黑体" w:hAnsi="黑体" w:eastAsia="黑体"/>
          <w:sz w:val="28"/>
          <w:lang w:val="en-US" w:eastAsia="zh-CN"/>
        </w:rPr>
        <w:t>联合</w:t>
      </w:r>
      <w:r>
        <w:rPr>
          <w:rFonts w:hint="eastAsia" w:ascii="黑体" w:hAnsi="黑体" w:eastAsia="黑体"/>
          <w:sz w:val="28"/>
        </w:rPr>
        <w:t>会</w:t>
      </w:r>
      <w:r>
        <w:rPr>
          <w:rFonts w:ascii="Times New Roman" w:hAnsi="Times New Roman" w:eastAsia="Times New Roman"/>
          <w:sz w:val="28"/>
        </w:rPr>
        <w:t>  </w:t>
      </w:r>
      <w:r>
        <w:rPr>
          <w:rFonts w:hint="eastAsia" w:ascii="黑体" w:hAnsi="黑体" w:eastAsia="黑体"/>
          <w:sz w:val="28"/>
        </w:rPr>
        <w:t xml:space="preserve">发 </w:t>
      </w:r>
      <w:r>
        <w:rPr>
          <w:rFonts w:hint="eastAsia" w:ascii="黑体" w:hAnsi="黑体" w:eastAsia="黑体"/>
          <w:sz w:val="28"/>
          <w:lang w:val="en-US" w:eastAsia="zh-CN"/>
        </w:rPr>
        <w:t xml:space="preserve"> 布</w:t>
      </w:r>
    </w:p>
    <w:p w14:paraId="48817ACB">
      <w:pPr>
        <w:spacing w:beforeLines="100" w:afterLines="100" w:line="240" w:lineRule="auto"/>
        <w:ind w:left="0" w:right="0"/>
        <w:jc w:val="center"/>
        <w:rPr>
          <w:rFonts w:ascii="PingFang SC" w:hAnsi="PingFang SC" w:eastAsia="PingFang SC" w:cs="PingFang SC"/>
          <w:spacing w:val="-22"/>
          <w:sz w:val="31"/>
          <w:szCs w:val="31"/>
        </w:rPr>
      </w:pPr>
      <w:r>
        <w:rPr>
          <w:rFonts w:hint="eastAsia" w:ascii="黑体" w:hAnsi="黑体" w:eastAsia="黑体" w:cs="黑体"/>
          <w:spacing w:val="-22"/>
          <w:sz w:val="32"/>
          <w:szCs w:val="32"/>
        </w:rPr>
        <w:t>目</w:t>
      </w:r>
      <w:r>
        <w:rPr>
          <w:rFonts w:hint="eastAsia" w:ascii="黑体" w:hAnsi="黑体" w:eastAsia="黑体" w:cs="黑体"/>
          <w:spacing w:val="5"/>
          <w:sz w:val="32"/>
          <w:szCs w:val="32"/>
        </w:rPr>
        <w:t xml:space="preserve">  </w:t>
      </w:r>
      <w:r>
        <w:rPr>
          <w:rFonts w:hint="eastAsia" w:ascii="黑体" w:hAnsi="黑体" w:eastAsia="黑体" w:cs="黑体"/>
          <w:spacing w:val="-22"/>
          <w:sz w:val="32"/>
          <w:szCs w:val="32"/>
        </w:rPr>
        <w:t>次</w:t>
      </w:r>
    </w:p>
    <w:sdt>
      <w:sdtPr>
        <w:rPr>
          <w:rFonts w:ascii="宋体" w:hAnsi="宋体" w:eastAsia="宋体" w:cs="Arial"/>
          <w:snapToGrid w:val="0"/>
          <w:color w:val="000000"/>
          <w:kern w:val="0"/>
          <w:sz w:val="21"/>
          <w:szCs w:val="21"/>
          <w:lang w:val="en-US" w:eastAsia="en-US" w:bidi="ar-SA"/>
        </w:rPr>
        <w:id w:val="147454236"/>
        <w15:color w:val="DBDBDB"/>
        <w:docPartObj>
          <w:docPartGallery w:val="Table of Contents"/>
          <w:docPartUnique/>
        </w:docPartObj>
      </w:sdtPr>
      <w:sdtEndPr>
        <w:rPr>
          <w:rFonts w:ascii="Arial" w:hAnsi="Arial" w:eastAsia="Arial" w:cs="Arial"/>
          <w:snapToGrid w:val="0"/>
          <w:color w:val="000000"/>
          <w:kern w:val="0"/>
          <w:sz w:val="21"/>
          <w:szCs w:val="21"/>
          <w:lang w:val="en-US" w:eastAsia="en-US" w:bidi="ar-SA"/>
        </w:rPr>
      </w:sdtEndPr>
      <w:sdtContent>
        <w:p w14:paraId="7917843A">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leftChars="0" w:right="0" w:rightChars="0" w:firstLine="0" w:firstLineChars="0"/>
            <w:jc w:val="center"/>
            <w:textAlignment w:val="baseline"/>
          </w:pPr>
        </w:p>
        <w:p w14:paraId="019323CD">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TOC \o "1-1" \h \u </w:instrText>
          </w:r>
          <w:r>
            <w:rPr>
              <w:rFonts w:hint="eastAsia" w:ascii="黑体" w:hAnsi="黑体" w:eastAsia="黑体" w:cs="黑体"/>
            </w:rPr>
            <w:fldChar w:fldCharType="separate"/>
          </w:r>
          <w:r>
            <w:rPr>
              <w:rFonts w:hint="eastAsia" w:ascii="黑体" w:hAnsi="黑体" w:eastAsia="黑体" w:cs="黑体"/>
            </w:rPr>
            <w:fldChar w:fldCharType="begin"/>
          </w:r>
          <w:r>
            <w:rPr>
              <w:rFonts w:hint="eastAsia" w:ascii="黑体" w:hAnsi="黑体" w:eastAsia="黑体" w:cs="黑体"/>
            </w:rPr>
            <w:instrText xml:space="preserve"> HYPERLINK \l _Toc29390 </w:instrText>
          </w:r>
          <w:r>
            <w:rPr>
              <w:rFonts w:hint="eastAsia" w:ascii="黑体" w:hAnsi="黑体" w:eastAsia="黑体" w:cs="黑体"/>
            </w:rPr>
            <w:fldChar w:fldCharType="separate"/>
          </w:r>
          <w:r>
            <w:rPr>
              <w:rFonts w:hint="eastAsia" w:ascii="黑体" w:hAnsi="黑体" w:eastAsia="黑体" w:cs="黑体"/>
              <w:spacing w:val="-2"/>
              <w:szCs w:val="32"/>
            </w:rPr>
            <w:t>前</w:t>
          </w:r>
          <w:r>
            <w:rPr>
              <w:rFonts w:hint="eastAsia" w:ascii="黑体" w:hAnsi="黑体" w:eastAsia="黑体" w:cs="黑体"/>
              <w:spacing w:val="-2"/>
              <w:szCs w:val="32"/>
              <w:lang w:val="en-US" w:eastAsia="zh-CN"/>
            </w:rPr>
            <w:t xml:space="preserve"> </w:t>
          </w:r>
          <w:r>
            <w:rPr>
              <w:rFonts w:hint="eastAsia" w:ascii="黑体" w:hAnsi="黑体" w:eastAsia="黑体" w:cs="黑体"/>
              <w:spacing w:val="-2"/>
              <w:szCs w:val="32"/>
            </w:rPr>
            <w:t>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_Toc29390 \h </w:instrText>
          </w:r>
          <w:r>
            <w:rPr>
              <w:rFonts w:hint="eastAsia" w:ascii="黑体" w:hAnsi="黑体" w:eastAsia="黑体" w:cs="黑体"/>
            </w:rPr>
            <w:fldChar w:fldCharType="separate"/>
          </w:r>
          <w:r>
            <w:rPr>
              <w:rFonts w:hint="eastAsia" w:ascii="黑体" w:hAnsi="黑体" w:eastAsia="黑体" w:cs="黑体"/>
            </w:rPr>
            <w:t>II</w:t>
          </w:r>
          <w:r>
            <w:rPr>
              <w:rFonts w:hint="eastAsia" w:ascii="黑体" w:hAnsi="黑体" w:eastAsia="黑体" w:cs="黑体"/>
            </w:rPr>
            <w:fldChar w:fldCharType="end"/>
          </w:r>
          <w:r>
            <w:rPr>
              <w:rFonts w:hint="eastAsia" w:ascii="黑体" w:hAnsi="黑体" w:eastAsia="黑体" w:cs="黑体"/>
            </w:rPr>
            <w:fldChar w:fldCharType="end"/>
          </w:r>
        </w:p>
        <w:p w14:paraId="5833C9C5">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_Toc21056 </w:instrText>
          </w:r>
          <w:r>
            <w:rPr>
              <w:rFonts w:hint="eastAsia" w:ascii="黑体" w:hAnsi="黑体" w:eastAsia="黑体" w:cs="黑体"/>
            </w:rPr>
            <w:fldChar w:fldCharType="separate"/>
          </w:r>
          <w:r>
            <w:rPr>
              <w:rFonts w:hint="eastAsia" w:ascii="黑体" w:hAnsi="黑体" w:eastAsia="黑体" w:cs="黑体"/>
              <w:szCs w:val="32"/>
              <w:lang w:val="en-US" w:eastAsia="zh-CN"/>
            </w:rPr>
            <w:t>引</w:t>
          </w:r>
          <w:r>
            <w:rPr>
              <w:rFonts w:hint="eastAsia" w:ascii="黑体" w:hAnsi="黑体" w:eastAsia="黑体" w:cs="黑体"/>
              <w:szCs w:val="32"/>
            </w:rPr>
            <w:t xml:space="preserve"> 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_Toc21056 \h </w:instrText>
          </w:r>
          <w:r>
            <w:rPr>
              <w:rFonts w:hint="eastAsia" w:ascii="黑体" w:hAnsi="黑体" w:eastAsia="黑体" w:cs="黑体"/>
            </w:rPr>
            <w:fldChar w:fldCharType="separate"/>
          </w:r>
          <w:r>
            <w:rPr>
              <w:rFonts w:hint="eastAsia" w:ascii="黑体" w:hAnsi="黑体" w:eastAsia="黑体" w:cs="黑体"/>
            </w:rPr>
            <w:t>III</w:t>
          </w:r>
          <w:r>
            <w:rPr>
              <w:rFonts w:hint="eastAsia" w:ascii="黑体" w:hAnsi="黑体" w:eastAsia="黑体" w:cs="黑体"/>
            </w:rPr>
            <w:fldChar w:fldCharType="end"/>
          </w:r>
          <w:r>
            <w:rPr>
              <w:rFonts w:hint="eastAsia" w:ascii="黑体" w:hAnsi="黑体" w:eastAsia="黑体" w:cs="黑体"/>
            </w:rPr>
            <w:fldChar w:fldCharType="end"/>
          </w:r>
        </w:p>
        <w:p w14:paraId="6EC2E153">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_Toc7081 </w:instrText>
          </w:r>
          <w:r>
            <w:rPr>
              <w:rFonts w:hint="eastAsia" w:ascii="黑体" w:hAnsi="黑体" w:eastAsia="黑体" w:cs="黑体"/>
            </w:rPr>
            <w:fldChar w:fldCharType="separate"/>
          </w:r>
          <w:r>
            <w:rPr>
              <w:rFonts w:hint="eastAsia" w:ascii="黑体" w:hAnsi="黑体" w:eastAsia="黑体" w:cs="黑体"/>
            </w:rPr>
            <w:t>1  范围</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_Toc7081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2FDE0A12">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_Toc9440 </w:instrText>
          </w:r>
          <w:r>
            <w:rPr>
              <w:rFonts w:hint="eastAsia" w:ascii="黑体" w:hAnsi="黑体" w:eastAsia="黑体" w:cs="黑体"/>
            </w:rPr>
            <w:fldChar w:fldCharType="separate"/>
          </w:r>
          <w:r>
            <w:rPr>
              <w:rFonts w:hint="eastAsia" w:ascii="黑体" w:hAnsi="黑体" w:eastAsia="黑体" w:cs="黑体"/>
            </w:rPr>
            <w:t>2  规范性引用文件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_Toc9440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44525005">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_Toc17109 </w:instrText>
          </w:r>
          <w:r>
            <w:rPr>
              <w:rFonts w:hint="eastAsia" w:ascii="黑体" w:hAnsi="黑体" w:eastAsia="黑体" w:cs="黑体"/>
            </w:rPr>
            <w:fldChar w:fldCharType="separate"/>
          </w:r>
          <w:r>
            <w:rPr>
              <w:rFonts w:hint="eastAsia" w:ascii="黑体" w:hAnsi="黑体" w:eastAsia="黑体" w:cs="黑体"/>
            </w:rPr>
            <w:t>3  术语和定义</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_Toc17109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2CAFA5C8">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_Toc15957 </w:instrText>
          </w:r>
          <w:r>
            <w:rPr>
              <w:rFonts w:hint="eastAsia" w:ascii="黑体" w:hAnsi="黑体" w:eastAsia="黑体" w:cs="黑体"/>
            </w:rPr>
            <w:fldChar w:fldCharType="separate"/>
          </w:r>
          <w:r>
            <w:rPr>
              <w:rFonts w:hint="eastAsia" w:ascii="黑体" w:hAnsi="黑体" w:eastAsia="黑体" w:cs="黑体"/>
            </w:rPr>
            <w:t>4  原材料选配与配合比优化</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_Toc15957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69D9E89E">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_Toc1319 </w:instrText>
          </w:r>
          <w:r>
            <w:rPr>
              <w:rFonts w:hint="eastAsia" w:ascii="黑体" w:hAnsi="黑体" w:eastAsia="黑体" w:cs="黑体"/>
            </w:rPr>
            <w:fldChar w:fldCharType="separate"/>
          </w:r>
          <w:r>
            <w:rPr>
              <w:rFonts w:hint="eastAsia" w:ascii="黑体" w:hAnsi="黑体" w:eastAsia="黑体" w:cs="黑体"/>
            </w:rPr>
            <w:t>5  温控措施技术参数</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_Toc1319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17999373">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_Toc6255 </w:instrText>
          </w:r>
          <w:r>
            <w:rPr>
              <w:rFonts w:hint="eastAsia" w:ascii="黑体" w:hAnsi="黑体" w:eastAsia="黑体" w:cs="黑体"/>
            </w:rPr>
            <w:fldChar w:fldCharType="separate"/>
          </w:r>
          <w:r>
            <w:rPr>
              <w:rFonts w:hint="eastAsia" w:ascii="黑体" w:hAnsi="黑体" w:eastAsia="黑体" w:cs="黑体"/>
            </w:rPr>
            <w:t>6  入仓温度控制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_Toc6255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1B402107">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_Toc11345 </w:instrText>
          </w:r>
          <w:r>
            <w:rPr>
              <w:rFonts w:hint="eastAsia" w:ascii="黑体" w:hAnsi="黑体" w:eastAsia="黑体" w:cs="黑体"/>
            </w:rPr>
            <w:fldChar w:fldCharType="separate"/>
          </w:r>
          <w:r>
            <w:rPr>
              <w:rFonts w:hint="eastAsia" w:ascii="黑体" w:hAnsi="黑体" w:eastAsia="黑体" w:cs="黑体"/>
            </w:rPr>
            <w:t>7  温度监测与数据管理</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_Toc11345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18B19A40">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_Toc14507 </w:instrText>
          </w:r>
          <w:r>
            <w:rPr>
              <w:rFonts w:hint="eastAsia" w:ascii="黑体" w:hAnsi="黑体" w:eastAsia="黑体" w:cs="黑体"/>
            </w:rPr>
            <w:fldChar w:fldCharType="separate"/>
          </w:r>
          <w:r>
            <w:rPr>
              <w:rFonts w:hint="eastAsia" w:ascii="黑体" w:hAnsi="黑体" w:eastAsia="黑体" w:cs="黑体"/>
            </w:rPr>
            <w:t>8  施工质量检验与验收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_Toc14507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0C5E5156">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_Toc26635 </w:instrText>
          </w:r>
          <w:r>
            <w:rPr>
              <w:rFonts w:hint="eastAsia" w:ascii="黑体" w:hAnsi="黑体" w:eastAsia="黑体" w:cs="黑体"/>
            </w:rPr>
            <w:fldChar w:fldCharType="separate"/>
          </w:r>
          <w:r>
            <w:rPr>
              <w:rFonts w:hint="eastAsia" w:ascii="黑体" w:hAnsi="黑体" w:eastAsia="黑体" w:cs="黑体"/>
            </w:rPr>
            <w:t>9  资料管理与后评估</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_Toc26635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1F3722C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hAnsi="Arial" w:eastAsia="Arial" w:cs="Arial"/>
              <w:snapToGrid w:val="0"/>
              <w:color w:val="000000"/>
              <w:kern w:val="0"/>
              <w:sz w:val="21"/>
              <w:szCs w:val="21"/>
              <w:lang w:val="en-US" w:eastAsia="en-US" w:bidi="ar-SA"/>
            </w:rPr>
            <w:sectPr>
              <w:headerReference r:id="rId8" w:type="default"/>
              <w:footerReference r:id="rId10" w:type="default"/>
              <w:headerReference r:id="rId9" w:type="even"/>
              <w:footerReference r:id="rId11" w:type="even"/>
              <w:pgSz w:w="11910" w:h="16840"/>
              <w:pgMar w:top="1417" w:right="1134" w:bottom="1134" w:left="1417" w:header="1417" w:footer="283" w:gutter="0"/>
              <w:pgNumType w:fmt="upperRoman" w:start="1"/>
              <w:cols w:space="720" w:num="1"/>
            </w:sectPr>
          </w:pPr>
          <w:r>
            <w:rPr>
              <w:rFonts w:hint="eastAsia" w:ascii="黑体" w:hAnsi="黑体" w:eastAsia="黑体" w:cs="黑体"/>
            </w:rPr>
            <w:fldChar w:fldCharType="end"/>
          </w:r>
          <w:bookmarkStart w:id="18" w:name="_GoBack"/>
          <w:bookmarkEnd w:id="18"/>
        </w:p>
      </w:sdtContent>
    </w:sdt>
    <w:p w14:paraId="597247B1">
      <w:pPr>
        <w:spacing w:beforeLines="100" w:afterLines="100" w:line="240" w:lineRule="auto"/>
        <w:ind w:left="0" w:right="0"/>
        <w:jc w:val="center"/>
        <w:outlineLvl w:val="0"/>
        <w:rPr>
          <w:sz w:val="21"/>
          <w:szCs w:val="21"/>
        </w:rPr>
      </w:pPr>
      <w:bookmarkStart w:id="1" w:name="_Toc14474"/>
      <w:bookmarkStart w:id="2" w:name="_Toc12046"/>
      <w:bookmarkStart w:id="3" w:name="_Toc6131"/>
      <w:bookmarkStart w:id="4" w:name="_Toc29390"/>
      <w:r>
        <w:rPr>
          <w:rFonts w:hint="eastAsia" w:ascii="黑体" w:hAnsi="黑体" w:eastAsia="黑体" w:cs="黑体"/>
          <w:spacing w:val="-2"/>
          <w:sz w:val="32"/>
          <w:szCs w:val="32"/>
        </w:rPr>
        <w:t>前</w:t>
      </w:r>
      <w:r>
        <w:rPr>
          <w:rFonts w:hint="eastAsia" w:ascii="黑体" w:hAnsi="黑体" w:eastAsia="黑体" w:cs="黑体"/>
          <w:spacing w:val="-2"/>
          <w:sz w:val="32"/>
          <w:szCs w:val="32"/>
          <w:lang w:val="en-US" w:eastAsia="zh-CN"/>
        </w:rPr>
        <w:t xml:space="preserve">  </w:t>
      </w:r>
      <w:r>
        <w:rPr>
          <w:rFonts w:hint="eastAsia" w:ascii="黑体" w:hAnsi="黑体" w:eastAsia="黑体" w:cs="黑体"/>
          <w:spacing w:val="-2"/>
          <w:sz w:val="32"/>
          <w:szCs w:val="32"/>
        </w:rPr>
        <w:t>言</w:t>
      </w:r>
      <w:bookmarkEnd w:id="1"/>
      <w:bookmarkEnd w:id="2"/>
      <w:bookmarkEnd w:id="3"/>
      <w:bookmarkEnd w:id="4"/>
    </w:p>
    <w:p w14:paraId="0361EF77">
      <w:pPr>
        <w:keepNext w:val="0"/>
        <w:keepLines w:val="0"/>
        <w:pageBreakBefore w:val="0"/>
        <w:widowControl/>
        <w:kinsoku w:val="0"/>
        <w:wordWrap/>
        <w:overflowPunct/>
        <w:topLinePunct w:val="0"/>
        <w:autoSpaceDE w:val="0"/>
        <w:autoSpaceDN w:val="0"/>
        <w:bidi w:val="0"/>
        <w:adjustRightInd w:val="0"/>
        <w:snapToGrid w:val="0"/>
        <w:spacing w:line="240" w:lineRule="auto"/>
        <w:ind w:left="210" w:leftChars="100" w:right="0" w:firstLine="224" w:firstLineChars="100"/>
        <w:jc w:val="both"/>
        <w:textAlignment w:val="baseline"/>
        <w:rPr>
          <w:rFonts w:hint="eastAsia" w:ascii="宋体" w:hAnsi="宋体" w:eastAsia="宋体" w:cs="宋体"/>
          <w:spacing w:val="7"/>
          <w:sz w:val="21"/>
          <w:szCs w:val="21"/>
          <w:lang w:val="en-US" w:eastAsia="en-US"/>
        </w:rPr>
      </w:pPr>
      <w:r>
        <w:rPr>
          <w:rFonts w:hint="eastAsia" w:ascii="宋体" w:hAnsi="宋体" w:eastAsia="宋体" w:cs="宋体"/>
          <w:spacing w:val="7"/>
          <w:sz w:val="21"/>
          <w:szCs w:val="21"/>
          <w:lang w:val="en-US" w:eastAsia="en-US"/>
        </w:rPr>
        <w:t>本文件依据GB/T 1.1-2020 《标准化工作导则 第1部分：标准化文件的结构和起草规则》的规定起草。</w:t>
      </w:r>
    </w:p>
    <w:p w14:paraId="67A49050">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请注意本文件的某些内容可能涉及专利。 本文件的发布机构不承担识别专利的责任。</w:t>
      </w:r>
    </w:p>
    <w:p w14:paraId="278B52D3">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本文件由江西省工程师联合会提出</w:t>
      </w:r>
      <w:r>
        <w:rPr>
          <w:rFonts w:hint="eastAsia" w:ascii="Times New Roman" w:hAnsi="Times New Roman" w:eastAsia="宋体" w:cs="Times New Roman"/>
          <w:sz w:val="21"/>
          <w:szCs w:val="21"/>
          <w:lang w:val="en-US" w:eastAsia="zh-CN"/>
        </w:rPr>
        <w:t>并归口</w:t>
      </w:r>
      <w:r>
        <w:rPr>
          <w:rFonts w:hint="eastAsia" w:ascii="Times New Roman" w:hAnsi="Times New Roman" w:eastAsia="宋体" w:cs="Times New Roman"/>
          <w:sz w:val="21"/>
          <w:szCs w:val="21"/>
          <w:lang w:val="en-US" w:eastAsia="en-US"/>
        </w:rPr>
        <w:t>。</w:t>
      </w:r>
    </w:p>
    <w:p w14:paraId="0C3B931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本文件起草单位：</w:t>
      </w:r>
    </w:p>
    <w:p w14:paraId="51C24F3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b/>
          <w:bCs/>
          <w:sz w:val="21"/>
          <w:szCs w:val="21"/>
          <w:lang w:val="en-US" w:eastAsia="zh-CN"/>
        </w:rPr>
        <w:sectPr>
          <w:headerReference r:id="rId12" w:type="default"/>
          <w:footerReference r:id="rId14" w:type="default"/>
          <w:headerReference r:id="rId13" w:type="even"/>
          <w:footerReference r:id="rId15" w:type="even"/>
          <w:pgSz w:w="11910" w:h="16840"/>
          <w:pgMar w:top="1417" w:right="1134" w:bottom="1134" w:left="1417" w:header="1417" w:footer="283" w:gutter="0"/>
          <w:pgNumType w:fmt="upperRoman"/>
          <w:cols w:space="720" w:num="1"/>
        </w:sectPr>
      </w:pPr>
      <w:r>
        <w:rPr>
          <w:rFonts w:hint="eastAsia" w:ascii="Times New Roman" w:hAnsi="Times New Roman" w:eastAsia="宋体" w:cs="Times New Roman"/>
          <w:sz w:val="21"/>
          <w:szCs w:val="21"/>
          <w:lang w:val="en-US" w:eastAsia="en-US"/>
        </w:rPr>
        <w:t>本文件主要起草人：</w:t>
      </w:r>
    </w:p>
    <w:p w14:paraId="2B5BEB1E">
      <w:pPr>
        <w:pStyle w:val="2"/>
        <w:keepNext w:val="0"/>
        <w:keepLines w:val="0"/>
        <w:pageBreakBefore w:val="0"/>
        <w:widowControl/>
        <w:kinsoku/>
        <w:wordWrap/>
        <w:overflowPunct w:val="0"/>
        <w:topLinePunct w:val="0"/>
        <w:autoSpaceDE w:val="0"/>
        <w:autoSpaceDN w:val="0"/>
        <w:bidi w:val="0"/>
        <w:adjustRightInd w:val="0"/>
        <w:snapToGrid w:val="0"/>
        <w:spacing w:beforeLines="100" w:afterLines="100" w:line="240" w:lineRule="auto"/>
        <w:ind w:left="0" w:right="0"/>
        <w:jc w:val="center"/>
        <w:textAlignment w:val="baseline"/>
        <w:outlineLvl w:val="0"/>
        <w:rPr>
          <w:rFonts w:hint="eastAsia"/>
          <w:sz w:val="32"/>
          <w:szCs w:val="32"/>
        </w:rPr>
      </w:pPr>
      <w:bookmarkStart w:id="5" w:name="_Toc17701"/>
      <w:bookmarkStart w:id="6" w:name="_Toc30364"/>
      <w:bookmarkStart w:id="7" w:name="_Toc879"/>
      <w:bookmarkStart w:id="8" w:name="_Toc21056"/>
      <w:r>
        <w:rPr>
          <w:rFonts w:hint="eastAsia" w:ascii="黑体" w:hAnsi="黑体" w:eastAsia="黑体" w:cs="黑体"/>
          <w:sz w:val="32"/>
          <w:szCs w:val="32"/>
          <w:lang w:val="en-US" w:eastAsia="zh-CN"/>
        </w:rPr>
        <w:t>引</w:t>
      </w:r>
      <w:r>
        <w:rPr>
          <w:rFonts w:hint="eastAsia" w:ascii="黑体" w:hAnsi="黑体" w:eastAsia="黑体" w:cs="黑体"/>
          <w:sz w:val="32"/>
          <w:szCs w:val="32"/>
        </w:rPr>
        <w:t xml:space="preserve">  言</w:t>
      </w:r>
      <w:bookmarkEnd w:id="5"/>
      <w:bookmarkEnd w:id="6"/>
      <w:bookmarkEnd w:id="7"/>
      <w:bookmarkEnd w:id="8"/>
    </w:p>
    <w:p w14:paraId="3BCDBB3E">
      <w:pPr>
        <w:keepNext w:val="0"/>
        <w:keepLines w:val="0"/>
        <w:pageBreakBefore w:val="0"/>
        <w:widowControl/>
        <w:kinsoku/>
        <w:wordWrap/>
        <w:overflowPunct w:val="0"/>
        <w:topLinePunct w:val="0"/>
        <w:autoSpaceDE w:val="0"/>
        <w:autoSpaceDN w:val="0"/>
        <w:bidi w:val="0"/>
        <w:adjustRightInd w:val="0"/>
        <w:snapToGrid w:val="0"/>
        <w:spacing w:line="240" w:lineRule="auto"/>
        <w:ind w:right="0" w:firstLine="420" w:firstLineChars="200"/>
        <w:jc w:val="both"/>
        <w:textAlignment w:val="baseline"/>
        <w:rPr>
          <w:rFonts w:hint="eastAsia" w:ascii="宋体" w:hAnsi="宋体" w:eastAsia="宋体" w:cs="宋体"/>
          <w:spacing w:val="7"/>
          <w:sz w:val="21"/>
          <w:szCs w:val="21"/>
          <w:lang w:val="en-US" w:eastAsia="en-US"/>
        </w:rPr>
        <w:sectPr>
          <w:headerReference r:id="rId16" w:type="default"/>
          <w:footerReference r:id="rId18" w:type="default"/>
          <w:headerReference r:id="rId17" w:type="even"/>
          <w:footerReference r:id="rId19" w:type="even"/>
          <w:pgSz w:w="11910" w:h="16840"/>
          <w:pgMar w:top="1417" w:right="1134" w:bottom="1134" w:left="1417" w:header="1417" w:footer="283" w:gutter="0"/>
          <w:pgNumType w:fmt="upperRoman"/>
          <w:cols w:space="720" w:num="1"/>
        </w:sectPr>
      </w:pPr>
      <w:r>
        <w:rPr>
          <w:rFonts w:hint="eastAsia" w:ascii="宋体" w:hAnsi="宋体" w:eastAsia="宋体" w:cs="宋体"/>
          <w:sz w:val="21"/>
          <w:szCs w:val="21"/>
        </w:rPr>
        <w:t>混凝土温控防裂是水利工程建设中大体积混凝土施工的关键技术难题。水工混凝土结构因其体量大、施工复杂，水化热积聚导致的温度应力极易引发贯穿性裂缝，严重影响工程的安全性和耐久性。为规范水利工程混凝土施工中温控防裂技术措施的选择与实施，明确从原材料选配到养护管理全过程的技术要求，依据国家水利工程技术标准和行业相关规范，制定本规范。本规范的实施将有效降低水利工程混凝土温控防裂工作的不规范性，保障工程质量，延长工程使用寿命。</w:t>
      </w:r>
    </w:p>
    <w:p w14:paraId="02A26554">
      <w:pPr>
        <w:jc w:val="center"/>
        <w:rPr>
          <w:rFonts w:hint="eastAsia" w:ascii="黑体" w:hAnsi="黑体" w:eastAsia="黑体" w:cs="黑体"/>
          <w:sz w:val="32"/>
          <w:szCs w:val="32"/>
        </w:rPr>
      </w:pPr>
      <w:r>
        <w:rPr>
          <w:rFonts w:hint="eastAsia" w:ascii="黑体" w:hAnsi="黑体" w:eastAsia="黑体" w:cs="黑体"/>
          <w:sz w:val="32"/>
          <w:szCs w:val="32"/>
        </w:rPr>
        <w:t>水利工程混凝土温控防裂施工技术规范</w:t>
      </w:r>
    </w:p>
    <w:p w14:paraId="1BA8C298">
      <w:pPr>
        <w:rPr>
          <w:rFonts w:hint="eastAsia" w:ascii="Times New Roman" w:hAnsi="Times New Roman" w:eastAsia="黑体" w:cs="黑体"/>
          <w:sz w:val="21"/>
          <w:szCs w:val="21"/>
        </w:rPr>
      </w:pPr>
    </w:p>
    <w:p w14:paraId="689C804E">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9" w:name="_Toc7081"/>
      <w:r>
        <w:rPr>
          <w:rFonts w:hint="eastAsia"/>
        </w:rPr>
        <w:t>1  范围</w:t>
      </w:r>
      <w:bookmarkEnd w:id="9"/>
    </w:p>
    <w:p w14:paraId="36B09C81">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w:t>
      </w:r>
      <w:r>
        <w:rPr>
          <w:rFonts w:hint="eastAsia" w:ascii="Times New Roman" w:hAnsi="Times New Roman" w:eastAsia="宋体" w:cs="宋体"/>
          <w:sz w:val="21"/>
          <w:szCs w:val="21"/>
        </w:rPr>
        <w:t>规定了水利工程混凝土原材料热工参数检测方法、配合比优化及低热水泥选配原则、浇筑仓面温控设计方案计算方法，预冷骨料、拌合用水、加冰等温控措施的技术参数，通水冷却管路布设、冷却水流量控制和通水制度，不同气候条件下混凝土入仓温度控制要求，以及温度监测传感器埋设和预警处理程序。</w:t>
      </w:r>
    </w:p>
    <w:p w14:paraId="78F3370D">
      <w:pPr>
        <w:spacing w:line="240" w:lineRule="auto"/>
        <w:ind w:firstLine="500" w:firstLineChars="0"/>
        <w:jc w:val="both"/>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w:t>
      </w:r>
      <w:r>
        <w:rPr>
          <w:rFonts w:hint="eastAsia" w:ascii="Times New Roman" w:hAnsi="Times New Roman" w:eastAsia="宋体" w:cs="宋体"/>
          <w:sz w:val="21"/>
          <w:szCs w:val="21"/>
        </w:rPr>
        <w:t>适用于大坝、水闸、渡槽等水利工程混凝土结构温控防裂施工的技术管理工作，其他大体积混凝土工程可参照执行。</w:t>
      </w:r>
    </w:p>
    <w:p w14:paraId="6D29DAF1">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0" w:name="_Toc9440"/>
      <w:r>
        <w:rPr>
          <w:rFonts w:hint="eastAsia"/>
        </w:rPr>
        <w:t>2  规范性引用文件</w:t>
      </w:r>
      <w:bookmarkEnd w:id="10"/>
    </w:p>
    <w:p w14:paraId="5B76F67A">
      <w:pPr>
        <w:ind w:firstLine="420"/>
        <w:rPr>
          <w:rFonts w:hint="eastAsia" w:ascii="宋体" w:hAnsi="宋体" w:eastAsia="宋体" w:cs="宋体"/>
        </w:rPr>
      </w:pPr>
      <w:r>
        <w:rPr>
          <w:rFonts w:hint="eastAsia" w:ascii="宋体" w:hAnsi="宋体" w:eastAsia="宋体" w:cs="宋体"/>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C68F430">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 175 通用硅酸盐水泥
</w:t>
      </w:r>
    </w:p>
    <w:p w14:paraId="0AAB38C5">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 50204 混凝土结构工程施工质量验收规范
</w:t>
      </w:r>
    </w:p>
    <w:p w14:paraId="13BFAEFD">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 50496 大体积混凝土施工标准
</w:t>
      </w:r>
    </w:p>
    <w:p w14:paraId="383F557B">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GB/T 12957 工业废渣活性试验方法
</w:t>
      </w:r>
    </w:p>
    <w:p w14:paraId="03EF7403">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SL 677 水工混凝土施工规范
</w:t>
      </w:r>
    </w:p>
    <w:p w14:paraId="14E78BA3">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SL 174 水利水电工程混凝土防渗墙施工技术规范</w:t>
      </w:r>
    </w:p>
    <w:p w14:paraId="0982DA28">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SL/T 551 水工混凝土试验规程</w:t>
      </w:r>
      <w:r>
        <w:rPr>
          <w:rFonts w:hint="eastAsia" w:ascii="宋体" w:hAnsi="宋体" w:eastAsia="宋体" w:cs="宋体"/>
          <w:sz w:val="21"/>
          <w:szCs w:val="21"/>
        </w:rPr>
        <w:t>
</w:t>
      </w:r>
    </w:p>
    <w:p w14:paraId="023E756E">
      <w:pPr>
        <w:spacing w:line="240" w:lineRule="auto"/>
        <w:ind w:firstLine="500" w:firstLineChars="0"/>
        <w:jc w:val="both"/>
        <w:rPr>
          <w:rFonts w:hint="eastAsia" w:ascii="宋体" w:hAnsi="宋体" w:eastAsia="宋体" w:cs="宋体"/>
        </w:rPr>
      </w:pPr>
      <w:r>
        <w:rPr>
          <w:rFonts w:hint="eastAsia" w:ascii="宋体" w:hAnsi="宋体" w:eastAsia="宋体" w:cs="宋体"/>
          <w:sz w:val="21"/>
          <w:szCs w:val="21"/>
        </w:rPr>
        <w:t>DL/T 5150 水工混凝土试验规程</w:t>
      </w:r>
    </w:p>
    <w:p w14:paraId="47675657">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1" w:name="_Toc17109"/>
      <w:r>
        <w:rPr>
          <w:rFonts w:hint="eastAsia"/>
        </w:rPr>
        <w:t>3  术语和定义</w:t>
      </w:r>
      <w:bookmarkEnd w:id="11"/>
    </w:p>
    <w:p w14:paraId="48D2B358">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下列术语和定义适用于本文件。
</w:t>
      </w:r>
    </w:p>
    <w:p w14:paraId="5E82F3E5">
      <w:pPr>
        <w:rPr>
          <w:rFonts w:hint="eastAsia" w:ascii="黑体" w:hAnsi="黑体" w:eastAsia="黑体" w:cs="黑体"/>
        </w:rPr>
      </w:pPr>
      <w:r>
        <w:rPr>
          <w:rFonts w:hint="eastAsia" w:ascii="黑体" w:hAnsi="黑体" w:eastAsia="黑体" w:cs="黑体"/>
        </w:rPr>
        <w:t xml:space="preserve">3.1 </w:t>
      </w:r>
    </w:p>
    <w:p w14:paraId="6A5DFA7F">
      <w:pPr>
        <w:ind w:firstLine="500" w:firstLineChars="0"/>
        <w:rPr>
          <w:rFonts w:hint="eastAsia" w:ascii="黑体" w:hAnsi="黑体" w:eastAsia="黑体" w:cs="黑体"/>
        </w:rPr>
      </w:pPr>
      <w:r>
        <w:rPr>
          <w:rFonts w:hint="eastAsia" w:ascii="黑体" w:hAnsi="黑体" w:eastAsia="黑体" w:cs="黑体"/>
        </w:rPr>
        <w:t>温控防裂</w:t>
      </w:r>
      <w:r>
        <w:rPr>
          <w:rFonts w:hint="eastAsia" w:ascii="黑体" w:hAnsi="黑体" w:eastAsia="黑体" w:cs="黑体"/>
          <w:lang w:val="en-US" w:eastAsia="zh-CN"/>
        </w:rPr>
        <w:t xml:space="preserve">  </w:t>
      </w:r>
      <w:r>
        <w:rPr>
          <w:rFonts w:hint="eastAsia" w:ascii="黑体" w:hAnsi="黑体" w:eastAsia="黑体" w:cs="黑体"/>
        </w:rPr>
        <w:t xml:space="preserve"> temperature control and crack prevention
</w:t>
      </w:r>
    </w:p>
    <w:p w14:paraId="6EC146CD">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通过控制混凝土浇筑温度、内部温升和温度梯度，防止温度应力超过混凝土抗拉强度而产生裂缝的综合技术措施。
</w:t>
      </w:r>
    </w:p>
    <w:p w14:paraId="05EEF081">
      <w:pPr>
        <w:rPr>
          <w:rFonts w:hint="eastAsia" w:ascii="黑体" w:hAnsi="黑体" w:eastAsia="黑体" w:cs="黑体"/>
        </w:rPr>
      </w:pPr>
      <w:r>
        <w:rPr>
          <w:rFonts w:hint="eastAsia" w:ascii="黑体" w:hAnsi="黑体" w:eastAsia="黑体" w:cs="黑体"/>
        </w:rPr>
        <w:t xml:space="preserve">3.2 </w:t>
      </w:r>
    </w:p>
    <w:p w14:paraId="372AAC9F">
      <w:pPr>
        <w:ind w:firstLine="500" w:firstLineChars="0"/>
        <w:rPr>
          <w:rFonts w:hint="eastAsia" w:ascii="黑体" w:hAnsi="黑体" w:eastAsia="黑体" w:cs="黑体"/>
        </w:rPr>
      </w:pPr>
      <w:r>
        <w:rPr>
          <w:rFonts w:hint="eastAsia" w:ascii="黑体" w:hAnsi="黑体" w:eastAsia="黑体" w:cs="黑体"/>
        </w:rPr>
        <w:t>水化热</w:t>
      </w:r>
      <w:r>
        <w:rPr>
          <w:rFonts w:hint="eastAsia" w:ascii="黑体" w:hAnsi="黑体" w:eastAsia="黑体" w:cs="黑体"/>
          <w:lang w:val="en-US" w:eastAsia="zh-CN"/>
        </w:rPr>
        <w:t xml:space="preserve">  </w:t>
      </w:r>
      <w:r>
        <w:rPr>
          <w:rFonts w:hint="eastAsia" w:ascii="黑体" w:hAnsi="黑体" w:eastAsia="黑体" w:cs="黑体"/>
        </w:rPr>
        <w:t xml:space="preserve"> heat of hydration
</w:t>
      </w:r>
    </w:p>
    <w:p w14:paraId="0384882B">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水泥与水发生水化反应时释放的热量，是大体积混凝土温升的主要来源。
</w:t>
      </w:r>
    </w:p>
    <w:p w14:paraId="325EDB3C">
      <w:pPr>
        <w:rPr>
          <w:rFonts w:hint="eastAsia" w:ascii="黑体" w:hAnsi="黑体" w:eastAsia="黑体" w:cs="黑体"/>
        </w:rPr>
      </w:pPr>
      <w:r>
        <w:rPr>
          <w:rFonts w:hint="eastAsia" w:ascii="黑体" w:hAnsi="黑体" w:eastAsia="黑体" w:cs="黑体"/>
        </w:rPr>
        <w:t xml:space="preserve">3.3 </w:t>
      </w:r>
    </w:p>
    <w:p w14:paraId="7AAAFA49">
      <w:pPr>
        <w:ind w:firstLine="500" w:firstLineChars="0"/>
        <w:rPr>
          <w:rFonts w:hint="eastAsia" w:ascii="黑体" w:hAnsi="黑体" w:eastAsia="黑体" w:cs="黑体"/>
        </w:rPr>
      </w:pPr>
      <w:r>
        <w:rPr>
          <w:rFonts w:hint="eastAsia" w:ascii="黑体" w:hAnsi="黑体" w:eastAsia="黑体" w:cs="黑体"/>
        </w:rPr>
        <w:t>入仓温度</w:t>
      </w:r>
      <w:r>
        <w:rPr>
          <w:rFonts w:hint="eastAsia" w:ascii="黑体" w:hAnsi="黑体" w:eastAsia="黑体" w:cs="黑体"/>
          <w:lang w:val="en-US" w:eastAsia="zh-CN"/>
        </w:rPr>
        <w:t xml:space="preserve">  </w:t>
      </w:r>
      <w:r>
        <w:rPr>
          <w:rFonts w:hint="eastAsia" w:ascii="黑体" w:hAnsi="黑体" w:eastAsia="黑体" w:cs="黑体"/>
        </w:rPr>
        <w:t xml:space="preserve"> placing temperature
</w:t>
      </w:r>
    </w:p>
    <w:p w14:paraId="21297223">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混凝土从搅拌机出料至浇入仓面的过程中，经运输、振捣等环节后的实际温度。
</w:t>
      </w:r>
    </w:p>
    <w:p w14:paraId="2131ACC2">
      <w:pPr>
        <w:rPr>
          <w:rFonts w:hint="eastAsia" w:ascii="黑体" w:hAnsi="黑体" w:eastAsia="黑体" w:cs="黑体"/>
        </w:rPr>
      </w:pPr>
      <w:r>
        <w:rPr>
          <w:rFonts w:hint="eastAsia" w:ascii="黑体" w:hAnsi="黑体" w:eastAsia="黑体" w:cs="黑体"/>
        </w:rPr>
        <w:t xml:space="preserve">3.4 </w:t>
      </w:r>
    </w:p>
    <w:p w14:paraId="3EC4AD60">
      <w:pPr>
        <w:ind w:firstLine="500" w:firstLineChars="0"/>
        <w:rPr>
          <w:rFonts w:hint="eastAsia" w:ascii="黑体" w:hAnsi="黑体" w:eastAsia="黑体" w:cs="黑体"/>
        </w:rPr>
      </w:pPr>
      <w:r>
        <w:rPr>
          <w:rFonts w:hint="eastAsia" w:ascii="黑体" w:hAnsi="黑体" w:eastAsia="黑体" w:cs="黑体"/>
        </w:rPr>
        <w:t>通水冷却</w:t>
      </w:r>
      <w:r>
        <w:rPr>
          <w:rFonts w:hint="eastAsia" w:ascii="黑体" w:hAnsi="黑体" w:eastAsia="黑体" w:cs="黑体"/>
          <w:lang w:val="en-US" w:eastAsia="zh-CN"/>
        </w:rPr>
        <w:t xml:space="preserve">  </w:t>
      </w:r>
      <w:r>
        <w:rPr>
          <w:rFonts w:hint="eastAsia" w:ascii="黑体" w:hAnsi="黑体" w:eastAsia="黑体" w:cs="黑体"/>
        </w:rPr>
        <w:t xml:space="preserve"> pipe cooling
</w:t>
      </w:r>
    </w:p>
    <w:p w14:paraId="44DB0B6B">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在混凝土内部预埋冷却水管，通过循环冷水导走水化热，降低混凝土内部温度的温控措施。
</w:t>
      </w:r>
    </w:p>
    <w:p w14:paraId="7C459656">
      <w:pPr>
        <w:rPr>
          <w:rFonts w:hint="eastAsia" w:ascii="黑体" w:hAnsi="黑体" w:eastAsia="黑体" w:cs="黑体"/>
        </w:rPr>
      </w:pPr>
      <w:r>
        <w:rPr>
          <w:rFonts w:hint="eastAsia" w:ascii="黑体" w:hAnsi="黑体" w:eastAsia="黑体" w:cs="黑体"/>
        </w:rPr>
        <w:t>3.5</w:t>
      </w:r>
    </w:p>
    <w:p w14:paraId="32850632">
      <w:pPr>
        <w:ind w:firstLine="500" w:firstLineChars="0"/>
        <w:rPr>
          <w:rFonts w:hint="eastAsia" w:ascii="黑体" w:hAnsi="黑体" w:eastAsia="黑体" w:cs="黑体"/>
        </w:rPr>
      </w:pPr>
      <w:r>
        <w:rPr>
          <w:rFonts w:hint="eastAsia" w:ascii="黑体" w:hAnsi="黑体" w:eastAsia="黑体" w:cs="黑体"/>
        </w:rPr>
        <w:t>温度梯度</w:t>
      </w:r>
      <w:r>
        <w:rPr>
          <w:rFonts w:hint="eastAsia" w:ascii="黑体" w:hAnsi="黑体" w:eastAsia="黑体" w:cs="黑体"/>
          <w:lang w:val="en-US" w:eastAsia="zh-CN"/>
        </w:rPr>
        <w:t xml:space="preserve">  </w:t>
      </w:r>
      <w:r>
        <w:rPr>
          <w:rFonts w:hint="eastAsia" w:ascii="黑体" w:hAnsi="黑体" w:eastAsia="黑体" w:cs="黑体"/>
        </w:rPr>
        <w:t xml:space="preserve"> temperature gradient
</w:t>
      </w:r>
    </w:p>
    <w:p w14:paraId="6EDBDD44">
      <w:pPr>
        <w:spacing w:line="240" w:lineRule="auto"/>
        <w:ind w:firstLine="500" w:firstLineChars="0"/>
        <w:jc w:val="both"/>
        <w:rPr>
          <w:rFonts w:hint="eastAsia" w:ascii="Times New Roman" w:hAnsi="Times New Roman" w:eastAsia="宋体" w:cs="宋体"/>
          <w:sz w:val="21"/>
          <w:szCs w:val="21"/>
          <w:lang w:eastAsia="zh-CN"/>
        </w:rPr>
      </w:pPr>
      <w:r>
        <w:rPr>
          <w:rFonts w:hint="eastAsia" w:ascii="Times New Roman" w:hAnsi="Times New Roman" w:eastAsia="宋体" w:cs="宋体"/>
          <w:sz w:val="21"/>
          <w:szCs w:val="21"/>
        </w:rPr>
        <w:t>混凝土结构内部沿某方向单位长度上温度的变化量，是评判温控效果和裂缝风险的关键参数</w:t>
      </w:r>
      <w:r>
        <w:rPr>
          <w:rFonts w:hint="eastAsia" w:ascii="Times New Roman" w:hAnsi="Times New Roman" w:eastAsia="宋体" w:cs="宋体"/>
          <w:sz w:val="21"/>
          <w:szCs w:val="21"/>
          <w:lang w:eastAsia="zh-CN"/>
        </w:rPr>
        <w:t>。</w:t>
      </w:r>
    </w:p>
    <w:p w14:paraId="184F7BB1">
      <w:pPr>
        <w:rPr>
          <w:rFonts w:hint="eastAsia" w:ascii="黑体" w:hAnsi="黑体" w:eastAsia="黑体" w:cs="黑体"/>
        </w:rPr>
      </w:pPr>
      <w:r>
        <w:rPr>
          <w:rFonts w:hint="eastAsia" w:ascii="黑体" w:hAnsi="黑体" w:eastAsia="黑体" w:cs="黑体"/>
        </w:rPr>
        <w:t xml:space="preserve">3.6 </w:t>
      </w:r>
    </w:p>
    <w:p w14:paraId="43561605">
      <w:pPr>
        <w:ind w:firstLine="500" w:firstLineChars="0"/>
        <w:rPr>
          <w:rFonts w:hint="eastAsia" w:ascii="黑体" w:hAnsi="黑体" w:eastAsia="黑体" w:cs="黑体"/>
        </w:rPr>
      </w:pPr>
      <w:r>
        <w:rPr>
          <w:rFonts w:hint="eastAsia" w:ascii="黑体" w:hAnsi="黑体" w:eastAsia="黑体" w:cs="黑体"/>
        </w:rPr>
        <w:t>预冷骨料</w:t>
      </w:r>
      <w:r>
        <w:rPr>
          <w:rFonts w:hint="eastAsia" w:ascii="黑体" w:hAnsi="黑体" w:eastAsia="黑体" w:cs="黑体"/>
          <w:lang w:val="en-US" w:eastAsia="zh-CN"/>
        </w:rPr>
        <w:t xml:space="preserve">  </w:t>
      </w:r>
      <w:r>
        <w:rPr>
          <w:rFonts w:hint="eastAsia" w:ascii="黑体" w:hAnsi="黑体" w:eastAsia="黑体" w:cs="黑体"/>
        </w:rPr>
        <w:t xml:space="preserve"> pre-cooled aggregate
</w:t>
      </w:r>
    </w:p>
    <w:p w14:paraId="3CB7F071">
      <w:pPr>
        <w:ind w:firstLine="500" w:firstLineChars="0"/>
        <w:rPr>
          <w:rFonts w:hint="eastAsia" w:eastAsia="宋体"/>
          <w:lang w:eastAsia="zh-CN"/>
        </w:rPr>
      </w:pPr>
      <w:r>
        <w:rPr>
          <w:rFonts w:hint="eastAsia" w:ascii="Times New Roman" w:hAnsi="Times New Roman" w:eastAsia="宋体" w:cs="宋体"/>
          <w:sz w:val="21"/>
          <w:szCs w:val="21"/>
        </w:rPr>
        <w:t>通过风冷、水冷或液氮处理等手段，将粗细骨料温度降至目标值以满足入仓温度要求的技术措施</w:t>
      </w:r>
      <w:r>
        <w:rPr>
          <w:rFonts w:hint="eastAsia" w:ascii="Times New Roman" w:hAnsi="Times New Roman" w:eastAsia="宋体" w:cs="宋体"/>
          <w:sz w:val="21"/>
          <w:szCs w:val="21"/>
          <w:lang w:eastAsia="zh-CN"/>
        </w:rPr>
        <w:t>。</w:t>
      </w:r>
    </w:p>
    <w:p w14:paraId="51D7BB4F">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2" w:name="_Toc15957"/>
      <w:r>
        <w:rPr>
          <w:rFonts w:hint="eastAsia"/>
        </w:rPr>
        <w:t>4  原材料选配与配合比优化</w:t>
      </w:r>
      <w:bookmarkEnd w:id="12"/>
    </w:p>
    <w:p w14:paraId="71BFEF79">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default" w:ascii="黑体" w:hAnsi="黑体" w:eastAsia="黑体" w:cs="黑体"/>
          <w:sz w:val="21"/>
          <w:szCs w:val="21"/>
        </w:rPr>
      </w:pPr>
      <w:r>
        <w:rPr>
          <w:rFonts w:hint="eastAsia" w:ascii="黑体" w:hAnsi="黑体" w:eastAsia="黑体" w:cs="黑体"/>
          <w:sz w:val="21"/>
          <w:szCs w:val="21"/>
        </w:rPr>
        <w:t>4.1 低热水泥选配</w:t>
      </w:r>
    </w:p>
    <w:p w14:paraId="347F15D7">
      <w:pPr>
        <w:spacing w:line="240" w:lineRule="auto"/>
        <w:ind w:firstLine="500" w:firstLineChars="0"/>
        <w:jc w:val="both"/>
        <w:rPr>
          <w:rFonts w:hint="eastAsia" w:ascii="宋体" w:hAnsi="宋体" w:eastAsia="宋体" w:cs="宋体"/>
        </w:rPr>
      </w:pPr>
      <w:r>
        <w:rPr>
          <w:rFonts w:hint="eastAsia" w:ascii="宋体" w:hAnsi="宋体" w:eastAsia="宋体" w:cs="宋体"/>
          <w:sz w:val="21"/>
          <w:szCs w:val="21"/>
        </w:rPr>
        <w:t>水利工程大体积混凝土应优先选用低热硅酸盐水泥或中热硅酸盐水泥，水泥的水化热指标应满足SL 677水工混凝土施工规范的要求。水泥进场时应进行水化热检验，检验方法应符合GB/T 12957的规定。对于水化热要求严格的结构部位，可采用掺加大掺量粉煤灰或矿渣粉的复合胶凝材料体系，降低单位水泥用量，从根本上减少水化热总量。混凝土配合比的最终确定应经过实验室配合比试验和热工计算综合验证，确保温控指标满足设计要求。</w:t>
      </w:r>
    </w:p>
    <w:p w14:paraId="0D84D023">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4.2 配合比热工参数计算</w:t>
      </w:r>
    </w:p>
    <w:p w14:paraId="04633862">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施工单位应在混凝土浇筑前完成配合比的热工参数计算，计算内容包括绝热温升值、最高温度预测值和温度峰值出现时间。热工计算应采用经过验证的有限元或数值分析方法，计算参数应依据实测材料热工性能指标确定，不得凭经验估算。计算结果应与温控设计标准进行比对，对于计算最高温度超出设计允许值的配合比，应调整水泥用量或掺合料比例，直至热工计算结果满足要求。配合比热工计算报告应提交监理审核，纳入施工技术档案，符合GB 50496大体积混凝土施工标准的要求。</w:t>
      </w:r>
    </w:p>
    <w:p w14:paraId="7B15A7A0">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3" w:name="_Toc1319"/>
      <w:r>
        <w:rPr>
          <w:rFonts w:hint="eastAsia"/>
        </w:rPr>
        <w:t>5  温控措施技术参数</w:t>
      </w:r>
      <w:bookmarkEnd w:id="13"/>
    </w:p>
    <w:p w14:paraId="6F759162">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5.1 预冷骨料与加冰措施</w:t>
      </w:r>
    </w:p>
    <w:p w14:paraId="26450E81">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当自然骨料温度较高、难以满足入仓温度要求时，应采取预冷骨料措施。预冷方式可根据施工条件选择风冷或水冷，预冷设施应满足连续生产能力的需求。拌合用水应采用冷水，必要时可在拌合水中加入片冰或冰水混合物，加冰量应经过热工计算确定，不得超过配合比用水量的允许替代范围。各项降温措施综合运用时，应进行系统热工平衡计算，确保入仓温度满足SL/T 551水工混凝土试验规程的相关要求。</w:t>
      </w:r>
    </w:p>
    <w:p w14:paraId="4A99C46A">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5.2 通水冷却管路布设</w:t>
      </w:r>
    </w:p>
    <w:p w14:paraId="333AC978">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通水冷却管路应在混凝土浇筑前按设计要求完成布设，管路间距和层间距应根据热工计算结果确定，一般每层布管间距和水平间距应满足SL 677的规定范围。冷却管路宜采用薄壁铁管或塑料管，管路铺设应平顺，弯折处曲率半径应满足规定要求，防止管路变形影响冷却效果。管路铺设完成后应进行通水检查，确认无漏水后方可进行混凝土浇筑。每个冷却区段的进出水流量应满足设计冷却强度要求，并安装流量计进行实时监控。</w:t>
      </w:r>
    </w:p>
    <w:p w14:paraId="798909CA">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4" w:name="_Toc6255"/>
      <w:r>
        <w:rPr>
          <w:rFonts w:hint="eastAsia"/>
        </w:rPr>
        <w:t>6  入仓温度控制</w:t>
      </w:r>
      <w:bookmarkEnd w:id="14"/>
    </w:p>
    <w:p w14:paraId="69123259">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6.1 入仓温度标准</w:t>
      </w:r>
    </w:p>
    <w:p w14:paraId="035C43CE">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不同季节和气候条件下的混凝土入仓温度应符合温控设计文件的规定。高温季节施工时，入仓温度控制的难度较大，应综合采取骨料预冷、加冰拌合和夜间浇筑等措施，确保入仓温度不超过设计允许值。低温季节施工时，应重点做好混凝土的保温防冻工作，防止入仓温度过低导致混凝土早期强度发展不足。每仓混凝土浇筑过程中应对入仓温度进行全程跟踪测量，测量结果应及时记录并与设计标准进行比对，符合GB 50496大体积混凝土施工标准的管理要求。</w:t>
      </w:r>
    </w:p>
    <w:p w14:paraId="4E404F2F">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6.2 仓面保温保湿养护</w:t>
      </w:r>
    </w:p>
    <w:p w14:paraId="33308129">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混凝土浇筑完成后应立即进行仓面覆盖保温保湿养护，养护材料应根据气候条件和温控要求合理选择。养护期内应定期测量仓面温度和环境温度，根据实测数据调整养护措施强度。拆模后的混凝土表面应及时涂抹养护剂或覆盖湿润材料，防止混凝土表面失水干裂。养护期不应少于设计规定的最低天数，对于结构物关键部位，应适当延长养护期，确保混凝土强度和抗裂性能均满足设计要求，养护方法应符合GB 50204的质量验收标准。</w:t>
      </w:r>
    </w:p>
    <w:p w14:paraId="0A0ACB86">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5" w:name="_Toc11345"/>
      <w:r>
        <w:rPr>
          <w:rFonts w:hint="eastAsia"/>
        </w:rPr>
        <w:t>7  温度监测与数据管理</w:t>
      </w:r>
      <w:bookmarkEnd w:id="15"/>
    </w:p>
    <w:p w14:paraId="32C1A3EC">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7.1 传感器埋设要求</w:t>
      </w:r>
    </w:p>
    <w:p w14:paraId="1A6F3CE5">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温度监测传感器应在混凝土浇筑前预先埋设到位，埋设位置应覆盖结构截面中心、四分之一处和近表面三个层次，形成完整的温度场监测截面。传感器的埋设密度应根据结构体量和温控风险等级确定，确保监测数据能够充分反映温度场分布规律。传感器与数据采集线应固定牢靠，防止浇筑过程中发生移位或断路。传感器的选型应满足量程和精度要求，安装调试完成后应进行标定检验，数据采集设备应具备自动记录和远程传输功能，符合SL/T 551水工混凝土试验规程的技术要求。</w:t>
      </w:r>
    </w:p>
    <w:p w14:paraId="5539968D">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7.2 预警处理程序</w:t>
      </w:r>
    </w:p>
    <w:p w14:paraId="436B3F3E">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温控方案应设定温度梯度和最高温度的预警阈值，当监测数据超过预警值时，应立即启动预警处理程序。预警响应措施包括加大通水冷却流量、增加养护覆盖厚度、调整养护温度等，处理措施应在规定时间内到位并跟踪监测处理效果。当监测数据超过报警值时，应立即组织技术分析，必要时暂停相邻仓位的浇筑作业，防止裂缝风险扩大。所有预警事件和处置情况应及时记录并提交监理审核，纳入工程质量档案。</w:t>
      </w:r>
    </w:p>
    <w:p w14:paraId="2F0C8F18">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6" w:name="_Toc14507"/>
      <w:r>
        <w:rPr>
          <w:rFonts w:hint="eastAsia"/>
        </w:rPr>
        <w:t>8  施工质量检验与验收</w:t>
      </w:r>
      <w:bookmarkEnd w:id="16"/>
    </w:p>
    <w:p w14:paraId="2B748F12">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8.1 过程质量检验</w:t>
      </w:r>
    </w:p>
    <w:p w14:paraId="37085882">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温控防裂施工过程中应按照规定频次开展质量检验，检验内容包括混凝土入仓温度、坍落度、配合比执行情况和冷却系统运行参数等。过程检验结果应及时记录，不合格项应立即整改并复验。施工单位应建立温控施工日志制度，每日记录气温、水温、骨料温度、入仓温度、通水冷却参数和预警处理情况，形成完整的施工过程记录。过程质量检验工作应接受监理单位的见证和抽检，确保检验程序的公正性。</w:t>
      </w:r>
    </w:p>
    <w:p w14:paraId="175C8609">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8.2 竣工验收标准</w:t>
      </w:r>
    </w:p>
    <w:p w14:paraId="7334931F">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温控防裂施工质量的竣工验收应包括对全部温控施工记录的核查、实体结构的外观检查和无损检测。混凝土结构表面不得存在贯穿性裂缝，允许存在的非结构性表面裂缝宽度应符合设计要求和GB 50204的规定。无损检测方法可采用超声波检测或雷达检测，检测结果应满足设计文件规定的最低质量标准。验收结论应以书面形式出具，对于验收合格的结构，应在质量保证书中明确记录温控施工的关键参数，作为工程运行维护的参考依据。</w:t>
      </w:r>
    </w:p>
    <w:p w14:paraId="39C48862">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7" w:name="_Toc26635"/>
      <w:r>
        <w:rPr>
          <w:rFonts w:hint="eastAsia"/>
        </w:rPr>
        <w:t>9  资料管理与后评估</w:t>
      </w:r>
      <w:bookmarkEnd w:id="17"/>
    </w:p>
    <w:p w14:paraId="5ED3C326">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9.1 温控资料归档</w:t>
      </w:r>
    </w:p>
    <w:p w14:paraId="527650C4">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温控防裂施工的全部技术资料应按照档案管理要求及时整理归档，归档内容包括温控设计文件、配合比热工计算报告、原材料检验报告、温度监测数据、预警处理记录、施工日志和检测验收报告等。资料归档应做到完整、准确、系统，纸质资料和电子资料应同步保存。资料移交时应编制目录清单，各类资料的保存期限应符合水利工程档案管理的相关规定，确保工程全生命周期内温控施工数据的可查阅性。</w:t>
      </w:r>
    </w:p>
    <w:p w14:paraId="219DE1C9">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9.2 后评估与经验总结</w:t>
      </w:r>
    </w:p>
    <w:p w14:paraId="472B0625">
      <w:pPr>
        <w:spacing w:line="240" w:lineRule="auto"/>
        <w:ind w:firstLine="500" w:firstLineChars="0"/>
        <w:jc w:val="both"/>
        <w:rPr>
          <w:rFonts w:hint="eastAsia" w:ascii="黑体" w:hAnsi="黑体" w:eastAsia="黑体" w:cs="黑体"/>
          <w:sz w:val="32"/>
          <w:szCs w:val="32"/>
        </w:rPr>
      </w:pPr>
      <w:r>
        <w:rPr>
          <w:rFonts w:hint="eastAsia" w:ascii="宋体" w:hAnsi="宋体" w:eastAsia="宋体" w:cs="宋体"/>
          <w:sz w:val="21"/>
          <w:szCs w:val="21"/>
        </w:rPr>
        <w:t>温控防裂施工完成后，施工单位应组织开展温控技术后评估，对比设计温控指标与实际监测结果，分析温控措施的实际效果和存在的不足。后评估报告应包括温控方案执行情况总结、实际温度场分布分析、裂缝控制效果评价和改进建议等内容。后评估成果应作为后续类似工程温控设计和施工的重要参考依据，推动温控防裂技术水平的持续提升，为水利工程的高质量建设积累宝贵经验，确保符合SL 677水工混凝土施工规范的持续改进要求。</w:t>
      </w:r>
    </w:p>
    <w:p w14:paraId="65CEA836">
      <w:pPr>
        <w:jc w:val="both"/>
        <w:rPr>
          <w:rFonts w:hint="eastAsia" w:ascii="黑体" w:hAnsi="黑体" w:eastAsia="黑体" w:cs="黑体"/>
          <w:sz w:val="32"/>
          <w:szCs w:val="32"/>
        </w:rPr>
      </w:pPr>
      <w:r>
        <w:drawing>
          <wp:anchor distT="0" distB="0" distL="0" distR="0" simplePos="0" relativeHeight="251670528" behindDoc="0" locked="0" layoutInCell="1" allowOverlap="1">
            <wp:simplePos x="0" y="0"/>
            <wp:positionH relativeFrom="page">
              <wp:posOffset>3124200</wp:posOffset>
            </wp:positionH>
            <wp:positionV relativeFrom="paragraph">
              <wp:posOffset>729615</wp:posOffset>
            </wp:positionV>
            <wp:extent cx="1484630" cy="12700"/>
            <wp:effectExtent l="0" t="0" r="1270" b="0"/>
            <wp:wrapTopAndBottom/>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png"/>
                    <pic:cNvPicPr>
                      <a:picLocks noChangeAspect="1"/>
                    </pic:cNvPicPr>
                  </pic:nvPicPr>
                  <pic:blipFill>
                    <a:blip r:embed="rId27" cstate="print"/>
                    <a:stretch>
                      <a:fillRect/>
                    </a:stretch>
                  </pic:blipFill>
                  <pic:spPr>
                    <a:xfrm>
                      <a:off x="0" y="0"/>
                      <a:ext cx="1484630" cy="12700"/>
                    </a:xfrm>
                    <a:prstGeom prst="rect">
                      <a:avLst/>
                    </a:prstGeom>
                  </pic:spPr>
                </pic:pic>
              </a:graphicData>
            </a:graphic>
          </wp:anchor>
        </w:drawing>
      </w:r>
    </w:p>
    <w:sectPr>
      <w:headerReference r:id="rId20" w:type="default"/>
      <w:footerReference r:id="rId22" w:type="default"/>
      <w:headerReference r:id="rId21" w:type="even"/>
      <w:footerReference r:id="rId23" w:type="even"/>
      <w:pgSz w:w="11910" w:h="16840"/>
      <w:pgMar w:top="1417" w:right="1134" w:bottom="1134" w:left="1417" w:header="1417" w:footer="283"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2FD2F">
    <w:pPr>
      <w:rPr>
        <w:rFonts w:ascii="宋体" w:hAnsi="宋体" w:eastAsia="宋体" w:cs="宋体"/>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AA758">
    <w:pPr>
      <w:rPr>
        <w:rFonts w:ascii="宋体" w:hAnsi="宋体" w:eastAsia="宋体" w:cs="宋体"/>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F08E62">
                          <w:pPr>
                            <w:pStyle w:val="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CF08E62">
                    <w:pPr>
                      <w:pStyle w:val="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0B717">
    <w:pPr>
      <w:jc w:val="right"/>
      <w:rPr>
        <w:rFonts w:ascii="宋体" w:hAnsi="宋体" w:eastAsia="宋体" w:cs="宋体"/>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98CA5">
    <w:pPr>
      <w:jc w:val="left"/>
      <w:rPr>
        <w:rFonts w:ascii="宋体" w:hAnsi="宋体" w:eastAsia="宋体" w:cs="宋体"/>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8DC0F">
    <w:pPr>
      <w:jc w:val="right"/>
      <w:rPr>
        <w:rFonts w:ascii="宋体" w:hAnsi="宋体" w:eastAsia="宋体" w:cs="宋体"/>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A9313">
    <w:pPr>
      <w:jc w:val="left"/>
      <w:rPr>
        <w:rFonts w:ascii="宋体" w:hAnsi="宋体" w:eastAsia="宋体" w:cs="宋体"/>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00FBF">
    <w:pPr>
      <w:rPr>
        <w:rFonts w:ascii="宋体" w:hAnsi="宋体" w:eastAsia="宋体" w:cs="宋体"/>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C2AAB">
    <w:pPr>
      <w:rPr>
        <w:rFonts w:ascii="宋体" w:hAnsi="宋体" w:eastAsia="宋体" w:cs="宋体"/>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366544">
                          <w:pPr>
                            <w:pStyle w:val="8"/>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0366544">
                    <w:pPr>
                      <w:pStyle w:val="8"/>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DB437">
    <w:pPr>
      <w:pStyle w:val="9"/>
      <w:rPr>
        <w:rFonts w:hint="eastAsia" w:ascii="黑体" w:hAnsi="黑体" w:eastAsia="黑体" w:cs="黑体"/>
        <w:spacing w:val="2"/>
        <w:sz w:val="21"/>
        <w:szCs w:val="21"/>
      </w:rPr>
    </w:pPr>
    <w:r>
      <w:rPr>
        <w:rFonts w:hint="eastAsia" w:ascii="黑体" w:hAnsi="黑体" w:eastAsia="黑体" w:cs="黑体"/>
        <w:spacing w:val="2"/>
        <w:sz w:val="21"/>
        <w:szCs w:val="21"/>
      </w:rPr>
      <w:t xml:space="preserve">ICS 35.240 </w:t>
    </w:r>
  </w:p>
  <w:p w14:paraId="187B5B53">
    <w:pPr>
      <w:pStyle w:val="9"/>
      <w:rPr>
        <w:rFonts w:hint="eastAsia" w:ascii="黑体" w:hAnsi="黑体" w:eastAsia="黑体" w:cs="黑体"/>
        <w:spacing w:val="2"/>
        <w:sz w:val="21"/>
        <w:szCs w:val="21"/>
      </w:rPr>
    </w:pPr>
    <w:r>
      <w:rPr>
        <w:rFonts w:hint="eastAsia" w:ascii="黑体" w:hAnsi="黑体" w:eastAsia="黑体" w:cs="黑体"/>
        <w:spacing w:val="2"/>
        <w:sz w:val="21"/>
        <w:szCs w:val="21"/>
      </w:rPr>
      <w:t>CCS L70</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55FC7">
    <w:pPr>
      <w:pStyle w:val="6"/>
      <w:spacing w:line="249" w:lineRule="exact"/>
      <w:jc w:val="right"/>
      <w:rPr>
        <w:rFonts w:hint="eastAsia"/>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426</w:t>
    </w:r>
    <w:r>
      <w:rPr>
        <w:rFonts w:hint="eastAsia" w:ascii="黑体" w:hAnsi="黑体" w:eastAsia="黑体" w:cs="黑体"/>
        <w:sz w:val="21"/>
        <w:szCs w:val="21"/>
      </w:rPr>
      <w:t>—2026</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42617">
    <w:pPr>
      <w:pStyle w:val="6"/>
      <w:spacing w:line="249" w:lineRule="exact"/>
      <w:jc w:val="left"/>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426</w:t>
    </w:r>
    <w:r>
      <w:rPr>
        <w:rFonts w:hint="eastAsia" w:ascii="黑体" w:hAnsi="黑体" w:eastAsia="黑体" w:cs="黑体"/>
        <w:sz w:val="21"/>
        <w:szCs w:val="21"/>
      </w:rPr>
      <w:t>—2026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D9752">
    <w:pPr>
      <w:pStyle w:val="6"/>
      <w:spacing w:line="249" w:lineRule="exact"/>
      <w:jc w:val="both"/>
    </w:pPr>
    <w:r>
      <w:rPr>
        <w:rFonts w:hint="eastAsia" w:ascii="宋体" w:hAnsi="宋体" w:eastAsia="宋体" w:cs="宋体"/>
      </w:rPr>
      <w:t>T/JXEA 320—2026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C2965">
    <w:pPr>
      <w:pStyle w:val="6"/>
      <w:spacing w:line="249" w:lineRule="exact"/>
      <w:ind w:left="20" w:firstLine="7140" w:firstLineChars="3400"/>
      <w:rPr>
        <w:rFonts w:ascii="PingFang SC" w:hAnsi="PingFang SC" w:eastAsia="PingFang SC" w:cs="PingFang SC"/>
        <w:sz w:val="20"/>
        <w:szCs w:val="20"/>
      </w:rPr>
    </w:pPr>
    <w:r>
      <w:rPr>
        <w:rFonts w:ascii="黑体" w:hAnsi="黑体"/>
      </w:rPr>
      <w:t>T/JXEA 320—2026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DD40C">
    <w:pPr>
      <w:pStyle w:val="6"/>
      <w:spacing w:line="249" w:lineRule="exact"/>
      <w:jc w:val="right"/>
      <w:rPr>
        <w:rFonts w:hint="eastAsia" w:ascii="黑体" w:hAnsi="黑体" w:eastAsia="黑体" w:cs="黑体"/>
        <w:sz w:val="21"/>
        <w:szCs w:val="21"/>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426</w:t>
    </w:r>
    <w:r>
      <w:rPr>
        <w:rFonts w:hint="eastAsia" w:ascii="黑体" w:hAnsi="黑体" w:eastAsia="黑体" w:cs="黑体"/>
        <w:sz w:val="21"/>
        <w:szCs w:val="21"/>
      </w:rPr>
      <w:t>—2026</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3F616">
    <w:pPr>
      <w:pStyle w:val="6"/>
      <w:spacing w:line="249"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F7F3E">
    <w:pPr>
      <w:pStyle w:val="6"/>
      <w:spacing w:line="249" w:lineRule="exact"/>
      <w:jc w:val="right"/>
      <w:rPr>
        <w:rFonts w:hint="eastAsia" w:ascii="宋体" w:hAnsi="宋体" w:eastAsia="宋体" w:cs="宋体"/>
        <w:sz w:val="18"/>
        <w:szCs w:val="18"/>
        <w:lang w:val="en-US" w:eastAsia="zh-CN"/>
      </w:rPr>
    </w:pPr>
    <w:r>
      <w:rPr>
        <w:rFonts w:hint="eastAsia" w:ascii="宋体" w:hAnsi="宋体" w:eastAsia="宋体" w:cs="宋体"/>
        <w:sz w:val="18"/>
        <w:szCs w:val="18"/>
      </w:rPr>
      <w:t>T/JXEA 3</w:t>
    </w:r>
    <w:r>
      <w:rPr>
        <w:rFonts w:hint="eastAsia" w:ascii="宋体" w:hAnsi="宋体" w:eastAsia="宋体" w:cs="宋体"/>
        <w:sz w:val="18"/>
        <w:szCs w:val="18"/>
        <w:lang w:val="en-US" w:eastAsia="zh-CN"/>
      </w:rPr>
      <w:t>88</w:t>
    </w:r>
    <w:r>
      <w:rPr>
        <w:rFonts w:hint="eastAsia" w:ascii="宋体" w:hAnsi="宋体" w:eastAsia="宋体" w:cs="宋体"/>
        <w:sz w:val="18"/>
        <w:szCs w:val="18"/>
      </w:rPr>
      <w:t>—2026</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09A41">
    <w:pPr>
      <w:pStyle w:val="6"/>
      <w:spacing w:line="249" w:lineRule="exact"/>
      <w:jc w:val="right"/>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426</w:t>
    </w:r>
    <w:r>
      <w:rPr>
        <w:rFonts w:hint="eastAsia" w:ascii="黑体" w:hAnsi="黑体" w:eastAsia="黑体" w:cs="黑体"/>
        <w:sz w:val="21"/>
        <w:szCs w:val="21"/>
      </w:rPr>
      <w:t>—2026</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72226">
    <w:pPr>
      <w:pStyle w:val="6"/>
      <w:spacing w:line="249" w:lineRule="exact"/>
      <w:jc w:val="right"/>
      <w:rPr>
        <w:rFonts w:hint="eastAsia"/>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426</w:t>
    </w:r>
    <w:r>
      <w:rPr>
        <w:rFonts w:hint="eastAsia" w:ascii="黑体" w:hAnsi="黑体" w:eastAsia="黑体" w:cs="黑体"/>
        <w:sz w:val="21"/>
        <w:szCs w:val="21"/>
      </w:rPr>
      <w:t>—2026</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51695">
    <w:pPr>
      <w:pStyle w:val="6"/>
      <w:spacing w:line="249"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bordersDoNotSurroundHeader w:val="0"/>
  <w:bordersDoNotSurroundFooter w:val="0"/>
  <w:documentProtection w:enforcement="0"/>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E11BCF"/>
    <w:rsid w:val="02C95F7F"/>
    <w:rsid w:val="094D7246"/>
    <w:rsid w:val="10817822"/>
    <w:rsid w:val="114D3720"/>
    <w:rsid w:val="117723DD"/>
    <w:rsid w:val="12EF228B"/>
    <w:rsid w:val="144F2D27"/>
    <w:rsid w:val="152B0E50"/>
    <w:rsid w:val="1BFC2A77"/>
    <w:rsid w:val="1CEA3614"/>
    <w:rsid w:val="1E165790"/>
    <w:rsid w:val="1E854FF8"/>
    <w:rsid w:val="1EF40971"/>
    <w:rsid w:val="1F883BB0"/>
    <w:rsid w:val="1FA4037A"/>
    <w:rsid w:val="1FA85442"/>
    <w:rsid w:val="24981844"/>
    <w:rsid w:val="25F610B0"/>
    <w:rsid w:val="25FA472D"/>
    <w:rsid w:val="261E7AA3"/>
    <w:rsid w:val="270950B5"/>
    <w:rsid w:val="285208E9"/>
    <w:rsid w:val="288010CA"/>
    <w:rsid w:val="2F913B87"/>
    <w:rsid w:val="314C15E2"/>
    <w:rsid w:val="36055107"/>
    <w:rsid w:val="362C295C"/>
    <w:rsid w:val="36C03D85"/>
    <w:rsid w:val="38296BB0"/>
    <w:rsid w:val="38CD2E8E"/>
    <w:rsid w:val="39F53F18"/>
    <w:rsid w:val="3AF6384B"/>
    <w:rsid w:val="3F417E35"/>
    <w:rsid w:val="3F911525"/>
    <w:rsid w:val="409E2E12"/>
    <w:rsid w:val="478B5BE9"/>
    <w:rsid w:val="49AE2C0A"/>
    <w:rsid w:val="4BA11B70"/>
    <w:rsid w:val="4D576B6D"/>
    <w:rsid w:val="4E4F4B57"/>
    <w:rsid w:val="4ED300C1"/>
    <w:rsid w:val="50F8747A"/>
    <w:rsid w:val="51536047"/>
    <w:rsid w:val="54DC719A"/>
    <w:rsid w:val="54EA55DA"/>
    <w:rsid w:val="55277367"/>
    <w:rsid w:val="567F35D2"/>
    <w:rsid w:val="571B11FE"/>
    <w:rsid w:val="5DFE5C52"/>
    <w:rsid w:val="5DFF3841"/>
    <w:rsid w:val="5EAB5261"/>
    <w:rsid w:val="61E5122B"/>
    <w:rsid w:val="679C2507"/>
    <w:rsid w:val="67D029E5"/>
    <w:rsid w:val="69731BEA"/>
    <w:rsid w:val="6A4913D1"/>
    <w:rsid w:val="6CF43042"/>
    <w:rsid w:val="6D911F95"/>
    <w:rsid w:val="6E0E34CE"/>
    <w:rsid w:val="6EF72976"/>
    <w:rsid w:val="6FD66A2F"/>
    <w:rsid w:val="6FD809F9"/>
    <w:rsid w:val="7023696D"/>
    <w:rsid w:val="733E6120"/>
    <w:rsid w:val="74324450"/>
    <w:rsid w:val="75B24D84"/>
    <w:rsid w:val="76730700"/>
    <w:rsid w:val="78031871"/>
    <w:rsid w:val="78F341AE"/>
    <w:rsid w:val="79B85A3F"/>
    <w:rsid w:val="79F63C5C"/>
    <w:rsid w:val="7A0007E8"/>
    <w:rsid w:val="FF5E51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jc w:val="both"/>
      <w:outlineLvl w:val="0"/>
    </w:pPr>
    <w:rPr>
      <w:rFonts w:ascii="黑体" w:hAnsi="黑体" w:eastAsia="黑体" w:cs="黑体"/>
      <w:spacing w:val="7"/>
    </w:rPr>
  </w:style>
  <w:style w:type="paragraph" w:styleId="3">
    <w:name w:val="heading 2"/>
    <w:basedOn w:val="1"/>
    <w:next w:val="1"/>
    <w:unhideWhenUsed/>
    <w:qFormat/>
    <w:uiPriority w:val="0"/>
    <w:pPr>
      <w:spacing w:before="91" w:line="312" w:lineRule="auto"/>
      <w:ind w:right="6" w:firstLine="427"/>
      <w:jc w:val="both"/>
      <w:outlineLvl w:val="1"/>
    </w:pPr>
    <w:rPr>
      <w:rFonts w:ascii="PingFang SC" w:hAnsi="PingFang SC" w:eastAsia="PingFang SC" w:cs="PingFang SC"/>
      <w:spacing w:val="7"/>
      <w:sz w:val="20"/>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其他发布日期"/>
    <w:basedOn w:val="19"/>
    <w:qFormat/>
    <w:uiPriority w:val="0"/>
    <w:pPr>
      <w:framePr w:w="3997" w:h="471" w:hRule="exact" w:hSpace="0" w:vSpace="181" w:wrap="around" w:vAnchor="page" w:hAnchor="page" w:x="1419" w:y="14097"/>
    </w:pPr>
  </w:style>
  <w:style w:type="paragraph" w:customStyle="1" w:styleId="1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styleId="20">
    <w:name w:val="List Paragraph"/>
    <w:basedOn w:val="1"/>
    <w:qFormat/>
    <w:uiPriority w:val="1"/>
    <w:pPr>
      <w:ind w:left="1132" w:hanging="425"/>
    </w:pPr>
    <w:rPr>
      <w:rFonts w:ascii="宋体" w:hAnsi="宋体" w:eastAsia="宋体" w:cs="宋体"/>
      <w:lang w:val="en-US" w:eastAsia="en-US" w:bidi="en-US"/>
    </w:rPr>
  </w:style>
  <w:style w:type="character" w:styleId="21">
    <w:name w:val="Placeholder Text"/>
    <w:basedOn w:val="15"/>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3.png"/><Relationship Id="rId26" Type="http://schemas.openxmlformats.org/officeDocument/2006/relationships/image" Target="media/image2.png"/><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8.xml"/><Relationship Id="rId22" Type="http://schemas.openxmlformats.org/officeDocument/2006/relationships/footer" Target="footer7.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6.xml"/><Relationship Id="rId18" Type="http://schemas.openxmlformats.org/officeDocument/2006/relationships/footer" Target="footer5.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3608</Words>
  <Characters>3976</Characters>
  <TotalTime>2</TotalTime>
  <ScaleCrop>false</ScaleCrop>
  <LinksUpToDate>false</LinksUpToDate>
  <CharactersWithSpaces>4131</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2026-01-19T23:12:00Z</dcterms:created>
  <dc:creator>Administrator</dc:creator>
  <cp:lastModifiedBy>孙源</cp:lastModifiedBy>
  <dcterms:modified xsi:type="dcterms:W3CDTF">2026-06-01T05:30:47Z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2026-01-29T04:18:10Z</vt:filetime>
  </property>
  <property fmtid="{D5CDD505-2E9C-101B-9397-08002B2CF9AE}" pid="4" name="KSOTemplateDocerSaveRecord">
    <vt:lpwstr>eyJoZGlkIjoiNTQ5MWU0NmJmYzU0MmZiNmYzNWZmODgyODE2OTlmYTIiLCJ1c2VySWQiOiI5NDk0MTg3MjYifQ==</vt:lpwstr>
  </property>
  <property fmtid="{D5CDD505-2E9C-101B-9397-08002B2CF9AE}" pid="5" name="KSOProductBuildVer">
    <vt:lpwstr>2052-12.1.0.25865</vt:lpwstr>
  </property>
  <property fmtid="{D5CDD505-2E9C-101B-9397-08002B2CF9AE}" pid="6" name="ICV">
    <vt:lpwstr>AFFB3CF219DB4D5D80A140B64BD1CAFA_13</vt:lpwstr>
  </property>
</Properties>
</file>