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425—2026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矿山生态修复监测与评估规范</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Specification for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onitoring and </w:t>
      </w:r>
      <w:r>
        <w:rPr>
          <w:rFonts w:hint="eastAsia" w:ascii="黑体" w:hAnsi="黑体" w:eastAsia="黑体" w:cs="黑体"/>
          <w:snapToGrid w:val="0"/>
          <w:color w:val="000000"/>
          <w:spacing w:val="-2"/>
          <w:kern w:val="0"/>
          <w:sz w:val="28"/>
          <w:szCs w:val="28"/>
          <w:lang w:val="en-US" w:eastAsia="zh-CN" w:bidi="ar-SA"/>
        </w:rPr>
        <w:t>a</w:t>
      </w:r>
      <w:r>
        <w:rPr>
          <w:rFonts w:hint="eastAsia" w:ascii="黑体" w:hAnsi="黑体" w:eastAsia="黑体" w:cs="黑体"/>
          <w:snapToGrid w:val="0"/>
          <w:color w:val="000000"/>
          <w:spacing w:val="-2"/>
          <w:kern w:val="0"/>
          <w:sz w:val="28"/>
          <w:szCs w:val="28"/>
          <w:lang w:val="en-US" w:eastAsia="en-US" w:bidi="ar-SA"/>
        </w:rPr>
        <w:t xml:space="preserve">ssessment of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ine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 xml:space="preserve">cological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estoration</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5A6CD387">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507CA14E">
      <w:pPr>
        <w:pStyle w:val="6"/>
        <w:rPr>
          <w:rFonts w:hint="eastAsia"/>
          <w:sz w:val="24"/>
        </w:rPr>
      </w:pPr>
    </w:p>
    <w:p w14:paraId="0DD80CB8">
      <w:pPr>
        <w:pStyle w:val="6"/>
        <w:rPr>
          <w:rFonts w:hint="eastAsia"/>
          <w:sz w:val="24"/>
        </w:rPr>
      </w:pPr>
    </w:p>
    <w:p w14:paraId="660BF25B">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6ADD2959">
      <w:pPr>
        <w:pStyle w:val="6"/>
        <w:rPr>
          <w:rFonts w:hint="eastAsia"/>
          <w:sz w:val="24"/>
        </w:rPr>
      </w:pPr>
    </w:p>
    <w:p w14:paraId="768AB27C">
      <w:pPr>
        <w:pStyle w:val="6"/>
        <w:rPr>
          <w:rFonts w:hint="eastAsia"/>
          <w:sz w:val="24"/>
        </w:rPr>
      </w:pPr>
    </w:p>
    <w:p w14:paraId="6F33908D">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bookmarkStart w:id="18" w:name="_GoBack"/>
      <w:bookmarkEnd w:id="18"/>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ascii="宋体" w:hAnsi="宋体" w:eastAsia="宋体" w:cs="Arial"/>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pPr>
        </w:p>
        <w:p w14:paraId="37686EE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_Toc2356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_Toc2356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39DF8461">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_Toc6577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_Toc6577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2DF5D34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_Toc19663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_Toc19663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037B89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_Toc1250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_Toc1250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566F74D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_Toc10961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_Toc10961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4F8FCBF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_Toc18242 </w:instrText>
          </w:r>
          <w:r>
            <w:rPr>
              <w:rFonts w:hint="eastAsia" w:ascii="黑体" w:hAnsi="黑体" w:eastAsia="黑体" w:cs="黑体"/>
            </w:rPr>
            <w:fldChar w:fldCharType="separate"/>
          </w:r>
          <w:r>
            <w:rPr>
              <w:rFonts w:hint="eastAsia" w:ascii="黑体" w:hAnsi="黑体" w:eastAsia="黑体" w:cs="黑体"/>
            </w:rPr>
            <w:t>4  监测指标体系</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_Toc18242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527D323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_Toc7464 </w:instrText>
          </w:r>
          <w:r>
            <w:rPr>
              <w:rFonts w:hint="eastAsia" w:ascii="黑体" w:hAnsi="黑体" w:eastAsia="黑体" w:cs="黑体"/>
            </w:rPr>
            <w:fldChar w:fldCharType="separate"/>
          </w:r>
          <w:r>
            <w:rPr>
              <w:rFonts w:hint="eastAsia" w:ascii="黑体" w:hAnsi="黑体" w:eastAsia="黑体" w:cs="黑体"/>
            </w:rPr>
            <w:t>5  监测技术方法</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_Toc7464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4624BBB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_Toc22519 </w:instrText>
          </w:r>
          <w:r>
            <w:rPr>
              <w:rFonts w:hint="eastAsia" w:ascii="黑体" w:hAnsi="黑体" w:eastAsia="黑体" w:cs="黑体"/>
            </w:rPr>
            <w:fldChar w:fldCharType="separate"/>
          </w:r>
          <w:r>
            <w:rPr>
              <w:rFonts w:hint="eastAsia" w:ascii="黑体" w:hAnsi="黑体" w:eastAsia="黑体" w:cs="黑体"/>
            </w:rPr>
            <w:t>6  综合评估方法</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_Toc22519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78E822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_Toc30579 </w:instrText>
          </w:r>
          <w:r>
            <w:rPr>
              <w:rFonts w:hint="eastAsia" w:ascii="黑体" w:hAnsi="黑体" w:eastAsia="黑体" w:cs="黑体"/>
            </w:rPr>
            <w:fldChar w:fldCharType="separate"/>
          </w:r>
          <w:r>
            <w:rPr>
              <w:rFonts w:hint="eastAsia" w:ascii="黑体" w:hAnsi="黑体" w:eastAsia="黑体" w:cs="黑体"/>
            </w:rPr>
            <w:t>7  水土流失监测</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_Toc30579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7B966D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_Toc22774 </w:instrText>
          </w:r>
          <w:r>
            <w:rPr>
              <w:rFonts w:hint="eastAsia" w:ascii="黑体" w:hAnsi="黑体" w:eastAsia="黑体" w:cs="黑体"/>
            </w:rPr>
            <w:fldChar w:fldCharType="separate"/>
          </w:r>
          <w:r>
            <w:rPr>
              <w:rFonts w:hint="eastAsia" w:ascii="黑体" w:hAnsi="黑体" w:eastAsia="黑体" w:cs="黑体"/>
            </w:rPr>
            <w:t>8  监测评估报告编制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_Toc22774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707204B2">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_Toc9591 </w:instrText>
          </w:r>
          <w:r>
            <w:rPr>
              <w:rFonts w:hint="eastAsia" w:ascii="黑体" w:hAnsi="黑体" w:eastAsia="黑体" w:cs="黑体"/>
            </w:rPr>
            <w:fldChar w:fldCharType="separate"/>
          </w:r>
          <w:r>
            <w:rPr>
              <w:rFonts w:hint="eastAsia" w:ascii="黑体" w:hAnsi="黑体" w:eastAsia="黑体" w:cs="黑体"/>
            </w:rPr>
            <w:t>9  验收与后续管理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_Toc9591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p>
    <w:p w14:paraId="597247B1">
      <w:pPr>
        <w:spacing w:beforeLines="100" w:afterLines="100" w:line="240" w:lineRule="auto"/>
        <w:ind w:left="0" w:right="0"/>
        <w:jc w:val="center"/>
        <w:outlineLvl w:val="0"/>
        <w:rPr>
          <w:sz w:val="21"/>
          <w:szCs w:val="21"/>
        </w:rPr>
      </w:pPr>
      <w:bookmarkStart w:id="1" w:name="_Toc12046"/>
      <w:bookmarkStart w:id="2" w:name="_Toc14474"/>
      <w:bookmarkStart w:id="3" w:name="_Toc6131"/>
      <w:bookmarkStart w:id="4" w:name="_Toc2356"/>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04"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879"/>
      <w:bookmarkStart w:id="6" w:name="_Toc30364"/>
      <w:bookmarkStart w:id="7" w:name="_Toc17701"/>
      <w:bookmarkStart w:id="8" w:name="_Toc6577"/>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矿山开采活动对生态环境造成的破坏具有面积广、持续时间长、恢复难度大等特点，矿山生态修复工作是生态文明建设和自然资源综合治理的重要内容。为规范矿山生态修复效果的动态监测和综合评估工作，明确监测指标体系、评估方法和结果应用要求，依据国家有关矿山生态修复的法律法规和技术标准，制定本规范。本规范的实施，将有效提升矿山生态修复工作的科学性和规范性，为矿山闭坑后生态恢复效果的客观评价提供统一技术依据。</w:t>
      </w:r>
    </w:p>
    <w:p w14:paraId="1CA1FFC0">
      <w:pPr>
        <w:jc w:val="center"/>
        <w:rPr>
          <w:rFonts w:hint="eastAsia" w:ascii="黑体" w:hAnsi="黑体" w:eastAsia="黑体" w:cs="黑体"/>
          <w:sz w:val="32"/>
          <w:szCs w:val="32"/>
        </w:rPr>
      </w:pPr>
      <w:r>
        <w:rPr>
          <w:rFonts w:hint="eastAsia" w:ascii="黑体" w:hAnsi="黑体" w:eastAsia="黑体" w:cs="黑体"/>
          <w:sz w:val="32"/>
          <w:szCs w:val="32"/>
        </w:rPr>
        <w:t>矿山生态修复监测与评估规范</w:t>
      </w:r>
    </w:p>
    <w:p w14:paraId="366D12CB">
      <w:pPr>
        <w:rPr>
          <w:rFonts w:hint="eastAsia" w:ascii="Times New Roman" w:hAnsi="Times New Roman" w:eastAsia="黑体" w:cs="黑体"/>
          <w:sz w:val="21"/>
          <w:szCs w:val="21"/>
        </w:rPr>
      </w:pPr>
    </w:p>
    <w:p w14:paraId="6526B39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19663"/>
      <w:r>
        <w:rPr>
          <w:rFonts w:hint="eastAsia"/>
        </w:rPr>
        <w:t>1  范围</w:t>
      </w:r>
      <w:bookmarkEnd w:id="9"/>
    </w:p>
    <w:p w14:paraId="0AD4E814">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文件规定了矿山生态修复监测与评估的术语和定义、总体原则、监测评估系统结构、监测技术要求、全过程监测过程控制、试验与证实方法、综合评估指标体系、评估判定规则、成果归档与运维管理要求</w:t>
      </w:r>
      <w:r>
        <w:rPr>
          <w:rFonts w:hint="eastAsia" w:ascii="Times New Roman" w:hAnsi="Times New Roman" w:eastAsia="宋体" w:cs="宋体"/>
          <w:sz w:val="21"/>
          <w:szCs w:val="21"/>
        </w:rPr>
        <w:t>。</w:t>
      </w:r>
    </w:p>
    <w:p w14:paraId="79033F87">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适用于全国范围内金属矿、非金属矿、煤矿、砂石矿等各类生产矿山、闭坑矿山、废弃矿山的边坡治理、土地复垦、植被恢复、水土保持、土壤修复、水环境治理等生态修复工程的全过程动态监测与竣工成效评估，矿山生态修复后期运维监测可参照执行</w:t>
      </w:r>
      <w:r>
        <w:rPr>
          <w:rFonts w:hint="eastAsia" w:ascii="Times New Roman" w:hAnsi="Times New Roman" w:eastAsia="宋体" w:cs="宋体"/>
          <w:sz w:val="21"/>
          <w:szCs w:val="21"/>
        </w:rPr>
        <w:t>。</w:t>
      </w:r>
    </w:p>
    <w:p w14:paraId="4F98083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1250"/>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6F927B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3838 地表水环境质量标准
</w:t>
      </w:r>
    </w:p>
    <w:p w14:paraId="0F55F4F7">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15618 土壤环境质量 农用地土壤污染风险管控标准
</w:t>
      </w:r>
    </w:p>
    <w:p w14:paraId="101F8CE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15776 造林技术规程</w:t>
      </w:r>
    </w:p>
    <w:p w14:paraId="3C02C7C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GB/T 28056 水土流失综合治理技术规范</w:t>
      </w:r>
    </w:p>
    <w:p w14:paraId="1B8C0096">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GB/T 43935 矿山土地复垦与生态修复监测评价技术规范</w:t>
      </w:r>
      <w:r>
        <w:rPr>
          <w:rFonts w:hint="eastAsia" w:ascii="宋体" w:hAnsi="宋体" w:eastAsia="宋体" w:cs="宋体"/>
          <w:sz w:val="21"/>
          <w:szCs w:val="21"/>
        </w:rPr>
        <w:t>
</w:t>
      </w:r>
    </w:p>
    <w:p w14:paraId="69162B7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HJ 192 生态环境状况评价技术规范</w:t>
      </w:r>
    </w:p>
    <w:p w14:paraId="501E56D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TD/T 1044 土地复垦质量控制标准</w:t>
      </w:r>
      <w:r>
        <w:rPr>
          <w:rFonts w:hint="eastAsia" w:ascii="宋体" w:hAnsi="宋体" w:eastAsia="宋体" w:cs="宋体"/>
          <w:sz w:val="21"/>
          <w:szCs w:val="21"/>
        </w:rPr>
        <w:t>
</w:t>
      </w:r>
    </w:p>
    <w:p w14:paraId="35E6C0F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10961"/>
      <w:r>
        <w:rPr>
          <w:rFonts w:hint="eastAsia"/>
        </w:rPr>
        <w:t>3  术语和定义</w:t>
      </w:r>
      <w:bookmarkEnd w:id="11"/>
    </w:p>
    <w:p w14:paraId="52060B8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0CF6CBFB">
      <w:pPr>
        <w:rPr>
          <w:rFonts w:hint="eastAsia" w:ascii="黑体" w:hAnsi="黑体" w:eastAsia="黑体" w:cs="黑体"/>
        </w:rPr>
      </w:pPr>
      <w:r>
        <w:rPr>
          <w:rFonts w:hint="eastAsia" w:ascii="黑体" w:hAnsi="黑体" w:eastAsia="黑体" w:cs="黑体"/>
        </w:rPr>
        <w:t xml:space="preserve">3.1 </w:t>
      </w:r>
    </w:p>
    <w:p w14:paraId="7BFB182F">
      <w:pPr>
        <w:ind w:firstLine="500" w:firstLineChars="0"/>
        <w:rPr>
          <w:rFonts w:hint="eastAsia" w:ascii="黑体" w:hAnsi="黑体" w:eastAsia="黑体" w:cs="黑体"/>
        </w:rPr>
      </w:pPr>
      <w:r>
        <w:rPr>
          <w:rFonts w:hint="eastAsia" w:ascii="黑体" w:hAnsi="黑体" w:eastAsia="黑体" w:cs="黑体"/>
        </w:rPr>
        <w:t>矿山生态修复</w:t>
      </w:r>
      <w:r>
        <w:rPr>
          <w:rFonts w:hint="eastAsia" w:ascii="黑体" w:hAnsi="黑体" w:eastAsia="黑体" w:cs="黑体"/>
          <w:lang w:val="en-US" w:eastAsia="zh-CN"/>
        </w:rPr>
        <w:t xml:space="preserve"> </w:t>
      </w:r>
      <w:r>
        <w:rPr>
          <w:rFonts w:hint="eastAsia" w:ascii="黑体" w:hAnsi="黑体" w:eastAsia="黑体" w:cs="黑体"/>
        </w:rPr>
        <w:t xml:space="preserve"> mine ecological restoration
</w:t>
      </w:r>
    </w:p>
    <w:p w14:paraId="6C03606C">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通过工程、生物和化学等综合技术手段，对矿山开采活动破坏的土地、植被、水体和土壤等自然生态系统进行恢复和重建的活动。
</w:t>
      </w:r>
    </w:p>
    <w:p w14:paraId="1823FCD5">
      <w:pPr>
        <w:rPr>
          <w:rFonts w:hint="eastAsia" w:ascii="黑体" w:hAnsi="黑体" w:eastAsia="黑体" w:cs="黑体"/>
        </w:rPr>
      </w:pPr>
      <w:r>
        <w:rPr>
          <w:rFonts w:hint="eastAsia" w:ascii="黑体" w:hAnsi="黑体" w:eastAsia="黑体" w:cs="黑体"/>
        </w:rPr>
        <w:t xml:space="preserve">3.2 </w:t>
      </w:r>
    </w:p>
    <w:p w14:paraId="73D057DD">
      <w:pPr>
        <w:ind w:firstLine="500" w:firstLineChars="0"/>
        <w:rPr>
          <w:rFonts w:hint="eastAsia" w:ascii="黑体" w:hAnsi="黑体" w:eastAsia="黑体" w:cs="黑体"/>
        </w:rPr>
      </w:pPr>
      <w:r>
        <w:rPr>
          <w:rFonts w:hint="eastAsia" w:ascii="黑体" w:hAnsi="黑体" w:eastAsia="黑体" w:cs="黑体"/>
        </w:rPr>
        <w:t>监测指标</w:t>
      </w:r>
      <w:r>
        <w:rPr>
          <w:rFonts w:hint="eastAsia" w:ascii="黑体" w:hAnsi="黑体" w:eastAsia="黑体" w:cs="黑体"/>
          <w:lang w:val="en-US" w:eastAsia="zh-CN"/>
        </w:rPr>
        <w:t xml:space="preserve"> </w:t>
      </w:r>
      <w:r>
        <w:rPr>
          <w:rFonts w:hint="eastAsia" w:ascii="黑体" w:hAnsi="黑体" w:eastAsia="黑体" w:cs="黑体"/>
        </w:rPr>
        <w:t xml:space="preserve"> monitoring indicator
</w:t>
      </w:r>
    </w:p>
    <w:p w14:paraId="16191AF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用于反映矿山生态修复效果的可测量要素，包括植被覆盖度、土壤有机质含量、水土流失量、生物多样性指数等。
</w:t>
      </w:r>
    </w:p>
    <w:p w14:paraId="69E82D79">
      <w:pPr>
        <w:rPr>
          <w:rFonts w:hint="eastAsia" w:ascii="黑体" w:hAnsi="黑体" w:eastAsia="黑体" w:cs="黑体"/>
        </w:rPr>
      </w:pPr>
      <w:r>
        <w:rPr>
          <w:rFonts w:hint="eastAsia" w:ascii="黑体" w:hAnsi="黑体" w:eastAsia="黑体" w:cs="黑体"/>
        </w:rPr>
        <w:t xml:space="preserve">3.3 </w:t>
      </w:r>
    </w:p>
    <w:p w14:paraId="05E961B6">
      <w:pPr>
        <w:ind w:firstLine="500" w:firstLineChars="0"/>
        <w:rPr>
          <w:rFonts w:hint="eastAsia" w:ascii="黑体" w:hAnsi="黑体" w:eastAsia="黑体" w:cs="黑体"/>
        </w:rPr>
      </w:pPr>
      <w:r>
        <w:rPr>
          <w:rFonts w:hint="eastAsia" w:ascii="黑体" w:hAnsi="黑体" w:eastAsia="黑体" w:cs="黑体"/>
        </w:rPr>
        <w:t xml:space="preserve">植被恢复度 </w:t>
      </w:r>
      <w:r>
        <w:rPr>
          <w:rFonts w:hint="eastAsia" w:ascii="黑体" w:hAnsi="黑体" w:eastAsia="黑体" w:cs="黑体"/>
          <w:lang w:val="en-US" w:eastAsia="zh-CN"/>
        </w:rPr>
        <w:t xml:space="preserve"> </w:t>
      </w:r>
      <w:r>
        <w:rPr>
          <w:rFonts w:hint="eastAsia" w:ascii="黑体" w:hAnsi="黑体" w:eastAsia="黑体" w:cs="黑体"/>
        </w:rPr>
        <w:t>vegetation recovery rate
</w:t>
      </w:r>
    </w:p>
    <w:p w14:paraId="6940B5F4">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修复区域内现有植被覆盖情况与周边参照生态系统植被状况的比值，反映植被恢复程度的综合指标。
</w:t>
      </w:r>
    </w:p>
    <w:p w14:paraId="4AFE3651">
      <w:pPr>
        <w:rPr>
          <w:rFonts w:hint="eastAsia" w:ascii="黑体" w:hAnsi="黑体" w:eastAsia="黑体" w:cs="黑体"/>
        </w:rPr>
      </w:pPr>
      <w:r>
        <w:rPr>
          <w:rFonts w:hint="eastAsia" w:ascii="黑体" w:hAnsi="黑体" w:eastAsia="黑体" w:cs="黑体"/>
        </w:rPr>
        <w:t xml:space="preserve">3.4 </w:t>
      </w:r>
    </w:p>
    <w:p w14:paraId="717BFE9C">
      <w:pPr>
        <w:ind w:firstLine="500" w:firstLineChars="0"/>
        <w:rPr>
          <w:rFonts w:hint="eastAsia" w:ascii="黑体" w:hAnsi="黑体" w:eastAsia="黑体" w:cs="黑体"/>
        </w:rPr>
      </w:pPr>
      <w:r>
        <w:rPr>
          <w:rFonts w:hint="eastAsia" w:ascii="黑体" w:hAnsi="黑体" w:eastAsia="黑体" w:cs="黑体"/>
        </w:rPr>
        <w:t>土壤理化性质</w:t>
      </w:r>
      <w:r>
        <w:rPr>
          <w:rFonts w:hint="eastAsia" w:ascii="黑体" w:hAnsi="黑体" w:eastAsia="黑体" w:cs="黑体"/>
          <w:lang w:val="en-US" w:eastAsia="zh-CN"/>
        </w:rPr>
        <w:t xml:space="preserve"> </w:t>
      </w:r>
      <w:r>
        <w:rPr>
          <w:rFonts w:hint="eastAsia" w:ascii="黑体" w:hAnsi="黑体" w:eastAsia="黑体" w:cs="黑体"/>
        </w:rPr>
        <w:t xml:space="preserve"> soil physicochemical properties
</w:t>
      </w:r>
    </w:p>
    <w:p w14:paraId="6A08A2A1">
      <w:pPr>
        <w:spacing w:line="240" w:lineRule="auto"/>
        <w:ind w:firstLine="500" w:firstLineChars="0"/>
        <w:jc w:val="both"/>
        <w:rPr>
          <w:rFonts w:hint="eastAsia" w:ascii="Times New Roman" w:hAnsi="Times New Roman" w:eastAsia="宋体" w:cs="宋体"/>
          <w:sz w:val="21"/>
          <w:szCs w:val="21"/>
          <w:lang w:eastAsia="zh-CN"/>
        </w:rPr>
      </w:pPr>
      <w:r>
        <w:rPr>
          <w:rFonts w:hint="eastAsia" w:ascii="Times New Roman" w:hAnsi="Times New Roman" w:eastAsia="宋体" w:cs="宋体"/>
          <w:sz w:val="21"/>
          <w:szCs w:val="21"/>
        </w:rPr>
        <w:t>土壤的物理性质（质地、容重、孔隙度等）和化学性质（pH值、有机质、养分含量等）的总称</w:t>
      </w:r>
      <w:r>
        <w:rPr>
          <w:rFonts w:hint="eastAsia" w:ascii="Times New Roman" w:hAnsi="Times New Roman" w:eastAsia="宋体" w:cs="宋体"/>
          <w:sz w:val="21"/>
          <w:szCs w:val="21"/>
          <w:lang w:eastAsia="zh-CN"/>
        </w:rPr>
        <w:t>。</w:t>
      </w:r>
    </w:p>
    <w:p w14:paraId="30B3E680">
      <w:pPr>
        <w:rPr>
          <w:rFonts w:hint="eastAsia" w:ascii="黑体" w:hAnsi="黑体" w:eastAsia="黑体" w:cs="黑体"/>
        </w:rPr>
      </w:pPr>
      <w:r>
        <w:rPr>
          <w:rFonts w:hint="eastAsia" w:ascii="黑体" w:hAnsi="黑体" w:eastAsia="黑体" w:cs="黑体"/>
        </w:rPr>
        <w:t xml:space="preserve">3.5 </w:t>
      </w:r>
    </w:p>
    <w:p w14:paraId="1CEB0273">
      <w:pPr>
        <w:ind w:firstLine="500" w:firstLineChars="0"/>
        <w:rPr>
          <w:rFonts w:hint="eastAsia" w:ascii="Times New Roman" w:hAnsi="Times New Roman" w:eastAsia="宋体" w:cs="宋体"/>
          <w:sz w:val="21"/>
          <w:szCs w:val="21"/>
        </w:rPr>
      </w:pPr>
      <w:r>
        <w:rPr>
          <w:rFonts w:hint="eastAsia" w:ascii="黑体" w:hAnsi="黑体" w:eastAsia="黑体" w:cs="黑体"/>
        </w:rPr>
        <w:t xml:space="preserve">修复效果评估 </w:t>
      </w:r>
      <w:r>
        <w:rPr>
          <w:rFonts w:hint="eastAsia" w:ascii="黑体" w:hAnsi="黑体" w:eastAsia="黑体" w:cs="黑体"/>
          <w:lang w:val="en-US" w:eastAsia="zh-CN"/>
        </w:rPr>
        <w:t xml:space="preserve"> </w:t>
      </w:r>
      <w:r>
        <w:rPr>
          <w:rFonts w:hint="eastAsia" w:ascii="黑体" w:hAnsi="黑体" w:eastAsia="黑体" w:cs="黑体"/>
        </w:rPr>
        <w:t>restoration effect assessment</w:t>
      </w:r>
      <w:r>
        <w:rPr>
          <w:rFonts w:hint="eastAsia" w:ascii="Times New Roman" w:hAnsi="Times New Roman" w:eastAsia="宋体" w:cs="宋体"/>
          <w:sz w:val="21"/>
          <w:szCs w:val="21"/>
        </w:rPr>
        <w:t>
</w:t>
      </w:r>
    </w:p>
    <w:p w14:paraId="046665A1">
      <w:pPr>
        <w:spacing w:line="240" w:lineRule="auto"/>
        <w:ind w:firstLine="500" w:firstLineChars="0"/>
        <w:jc w:val="both"/>
        <w:rPr>
          <w:rFonts w:hint="eastAsia" w:ascii="Times New Roman" w:hAnsi="Times New Roman" w:eastAsia="宋体" w:cs="宋体"/>
          <w:sz w:val="24"/>
          <w:szCs w:val="24"/>
        </w:rPr>
      </w:pPr>
      <w:r>
        <w:rPr>
          <w:rFonts w:hint="eastAsia" w:ascii="Times New Roman" w:hAnsi="Times New Roman" w:eastAsia="宋体" w:cs="宋体"/>
          <w:sz w:val="21"/>
          <w:szCs w:val="21"/>
        </w:rPr>
        <w:t>按照规定的评估指标体系和方法，对矿山生态修复工程在特定时间节点的生态恢复效果进行综合评价的活动。
</w:t>
      </w:r>
    </w:p>
    <w:p w14:paraId="268EDF02">
      <w:pPr>
        <w:rPr>
          <w:rFonts w:hint="eastAsia" w:ascii="黑体" w:hAnsi="黑体" w:eastAsia="黑体" w:cs="黑体"/>
          <w:sz w:val="24"/>
          <w:szCs w:val="24"/>
        </w:rPr>
      </w:pPr>
      <w:r>
        <w:rPr>
          <w:rFonts w:hint="eastAsia" w:ascii="黑体" w:hAnsi="黑体" w:eastAsia="黑体" w:cs="黑体"/>
          <w:sz w:val="24"/>
          <w:szCs w:val="24"/>
        </w:rPr>
        <w:t xml:space="preserve">3.6 </w:t>
      </w:r>
    </w:p>
    <w:p w14:paraId="233AF908">
      <w:pPr>
        <w:ind w:firstLine="500" w:firstLineChars="0"/>
        <w:rPr>
          <w:rFonts w:hint="eastAsia" w:ascii="黑体" w:hAnsi="黑体" w:eastAsia="黑体" w:cs="黑体"/>
        </w:rPr>
      </w:pPr>
      <w:r>
        <w:rPr>
          <w:rFonts w:hint="eastAsia" w:ascii="黑体" w:hAnsi="黑体" w:eastAsia="黑体" w:cs="黑体"/>
        </w:rPr>
        <w:t xml:space="preserve">遥感监测 </w:t>
      </w:r>
      <w:r>
        <w:rPr>
          <w:rFonts w:hint="eastAsia" w:ascii="黑体" w:hAnsi="黑体" w:eastAsia="黑体" w:cs="黑体"/>
          <w:lang w:val="en-US" w:eastAsia="zh-CN"/>
        </w:rPr>
        <w:t xml:space="preserve"> </w:t>
      </w:r>
      <w:r>
        <w:rPr>
          <w:rFonts w:hint="eastAsia" w:ascii="黑体" w:hAnsi="黑体" w:eastAsia="黑体" w:cs="黑体"/>
        </w:rPr>
        <w:t>remote sensing monitoring
</w:t>
      </w:r>
    </w:p>
    <w:p w14:paraId="53C9D0F6">
      <w:pPr>
        <w:spacing w:line="240" w:lineRule="auto"/>
        <w:ind w:firstLine="500" w:firstLineChars="0"/>
        <w:jc w:val="both"/>
      </w:pPr>
      <w:r>
        <w:rPr>
          <w:rFonts w:hint="eastAsia" w:ascii="Times New Roman" w:hAnsi="Times New Roman" w:eastAsia="宋体" w:cs="宋体"/>
          <w:sz w:val="21"/>
          <w:szCs w:val="21"/>
        </w:rPr>
        <w:t>利用卫星或航空遥感影像，对矿山修复区域植被、地形和地表覆盖变化进行大范围、定期监测的技术方法。</w:t>
      </w:r>
    </w:p>
    <w:p w14:paraId="68930C4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18242"/>
      <w:r>
        <w:rPr>
          <w:rFonts w:hint="eastAsia"/>
        </w:rPr>
        <w:t>4  监测指标体系</w:t>
      </w:r>
      <w:bookmarkEnd w:id="12"/>
    </w:p>
    <w:p w14:paraId="49E875D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指标分类</w:t>
      </w:r>
    </w:p>
    <w:p w14:paraId="7581499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矿山生态修复监测指标体系应涵盖植被恢复、土壤改良、水文水质、生物多样性和地表稳定性五大类别，形成综合全面的评估体系。植被恢复类指标主要包括植被覆盖度、物种丰富度和植被生物量等；土壤改良类指标主要包括土壤有机质含量、土壤pH值和重金属含量等；水文水质类指标主要包括径流量、水土流失量和地表水水质等；生物多样性指标主要包括动植物物种数量和Shannon-Wiener多样性指数等；地表稳定性指标主要包括边坡稳定率和地面沉陷面积等。</w:t>
      </w:r>
    </w:p>
    <w:p w14:paraId="628B5CE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监测频次与布点</w:t>
      </w:r>
    </w:p>
    <w:p w14:paraId="7C2B323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监测频次应根据修复阶段和指标特性合理确定。修复初期（种植后1年内）应适当提高监测频次</w:t>
      </w:r>
      <w:r>
        <w:rPr>
          <w:rFonts w:hint="eastAsia" w:ascii="宋体" w:hAnsi="宋体" w:eastAsia="宋体" w:cs="宋体"/>
          <w:sz w:val="21"/>
          <w:szCs w:val="21"/>
          <w:lang w:eastAsia="zh-CN"/>
        </w:rPr>
        <w:t>，</w:t>
      </w:r>
      <w:r>
        <w:rPr>
          <w:rFonts w:hint="eastAsia" w:ascii="宋体" w:hAnsi="宋体" w:eastAsia="宋体" w:cs="宋体"/>
          <w:sz w:val="21"/>
          <w:szCs w:val="21"/>
        </w:rPr>
        <w:t>重点跟踪植被成活率和土壤改良效果；修复中期应降低频次，以年度监测为主；修复后期以每两年一次的定期监测为主。监测布点应遵循代表性、均匀性和可操作性原则，在修复区域不同地形部位和不同修复措施类型区布设固定监测样地，固定样地设置应符合LY/T 1953退化林地监测的相关规定，样地数量应满足统计分析的最低要求。</w:t>
      </w:r>
    </w:p>
    <w:p w14:paraId="5B8B039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lang w:val="en-US" w:eastAsia="zh-CN"/>
        </w:rPr>
        <w:t>4.3 核心指标达标阈值对照表</w:t>
      </w:r>
    </w:p>
    <w:p w14:paraId="1CB2EE33">
      <w:pPr>
        <w:spacing w:line="240" w:lineRule="auto"/>
        <w:ind w:firstLine="50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所有修复区域必须</w:t>
      </w:r>
      <w:r>
        <w:rPr>
          <w:rFonts w:hint="eastAsia" w:ascii="宋体" w:hAnsi="宋体" w:eastAsia="宋体" w:cs="宋体"/>
          <w:sz w:val="21"/>
          <w:szCs w:val="21"/>
          <w:lang w:val="en-US" w:eastAsia="zh-CN"/>
        </w:rPr>
        <w:t>满足下表量化达标要求，未达标需开展二次整改修复，指标依据现行国标精准核定。</w:t>
      </w:r>
    </w:p>
    <w:p w14:paraId="3FAFD8D2">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jc w:val="center"/>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表 1  核心指标对照表</w:t>
      </w:r>
    </w:p>
    <w:tbl>
      <w:tblPr>
        <w:tblStyle w:val="14"/>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459"/>
        <w:gridCol w:w="3469"/>
        <w:gridCol w:w="2033"/>
        <w:gridCol w:w="2608"/>
      </w:tblGrid>
      <w:tr w14:paraId="22D7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tblHeader/>
          <w:jc w:val="center"/>
        </w:trPr>
        <w:tc>
          <w:tcPr>
            <w:tcW w:w="0" w:type="auto"/>
            <w:vAlign w:val="center"/>
          </w:tcPr>
          <w:p w14:paraId="2C37D3B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监测维度</w:t>
            </w:r>
          </w:p>
        </w:tc>
        <w:tc>
          <w:tcPr>
            <w:tcW w:w="0" w:type="auto"/>
            <w:vAlign w:val="center"/>
          </w:tcPr>
          <w:p w14:paraId="600635F2">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核心监测指标</w:t>
            </w:r>
          </w:p>
        </w:tc>
        <w:tc>
          <w:tcPr>
            <w:tcW w:w="0" w:type="auto"/>
            <w:vAlign w:val="center"/>
          </w:tcPr>
          <w:p w14:paraId="194EDAC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修复达标阈值</w:t>
            </w:r>
          </w:p>
        </w:tc>
        <w:tc>
          <w:tcPr>
            <w:tcW w:w="2608" w:type="dxa"/>
            <w:vAlign w:val="center"/>
          </w:tcPr>
          <w:p w14:paraId="310A61EF">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依据标准</w:t>
            </w:r>
          </w:p>
        </w:tc>
      </w:tr>
      <w:tr w14:paraId="6079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44571FEA">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地形地貌</w:t>
            </w:r>
          </w:p>
        </w:tc>
        <w:tc>
          <w:tcPr>
            <w:tcW w:w="0" w:type="auto"/>
            <w:vAlign w:val="center"/>
          </w:tcPr>
          <w:p w14:paraId="50CC712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土地平整坡度（农用地）</w:t>
            </w:r>
          </w:p>
        </w:tc>
        <w:tc>
          <w:tcPr>
            <w:tcW w:w="0" w:type="auto"/>
            <w:vAlign w:val="center"/>
          </w:tcPr>
          <w:p w14:paraId="7832C30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≤3°</w:t>
            </w:r>
          </w:p>
        </w:tc>
        <w:tc>
          <w:tcPr>
            <w:tcW w:w="2608" w:type="dxa"/>
            <w:vAlign w:val="center"/>
          </w:tcPr>
          <w:p w14:paraId="7E31598D">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HJ 651—2013</w:t>
            </w:r>
          </w:p>
        </w:tc>
      </w:tr>
      <w:tr w14:paraId="21349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4B9C8D5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地形地貌</w:t>
            </w:r>
          </w:p>
        </w:tc>
        <w:tc>
          <w:tcPr>
            <w:tcW w:w="0" w:type="auto"/>
            <w:vAlign w:val="center"/>
          </w:tcPr>
          <w:p w14:paraId="60215AE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回填土体压实度</w:t>
            </w:r>
          </w:p>
        </w:tc>
        <w:tc>
          <w:tcPr>
            <w:tcW w:w="0" w:type="auto"/>
            <w:vAlign w:val="center"/>
          </w:tcPr>
          <w:p w14:paraId="26116F23">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≥90%</w:t>
            </w:r>
          </w:p>
        </w:tc>
        <w:tc>
          <w:tcPr>
            <w:tcW w:w="2608" w:type="dxa"/>
            <w:vAlign w:val="center"/>
          </w:tcPr>
          <w:p w14:paraId="65E41A3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TD/T 1044—2014</w:t>
            </w:r>
          </w:p>
        </w:tc>
      </w:tr>
      <w:tr w14:paraId="27914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345A72C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土壤环境</w:t>
            </w:r>
          </w:p>
        </w:tc>
        <w:tc>
          <w:tcPr>
            <w:tcW w:w="0" w:type="auto"/>
            <w:vAlign w:val="center"/>
          </w:tcPr>
          <w:p w14:paraId="40BD00A9">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土壤有机质（农用地）</w:t>
            </w:r>
          </w:p>
        </w:tc>
        <w:tc>
          <w:tcPr>
            <w:tcW w:w="0" w:type="auto"/>
            <w:vAlign w:val="center"/>
          </w:tcPr>
          <w:p w14:paraId="0F26FE5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≥20g/kg</w:t>
            </w:r>
          </w:p>
        </w:tc>
        <w:tc>
          <w:tcPr>
            <w:tcW w:w="2608" w:type="dxa"/>
            <w:vAlign w:val="center"/>
          </w:tcPr>
          <w:p w14:paraId="53FCEB1F">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GB 15618—2018</w:t>
            </w:r>
          </w:p>
        </w:tc>
      </w:tr>
      <w:tr w14:paraId="6768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536F0D8D">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土壤环境</w:t>
            </w:r>
          </w:p>
        </w:tc>
        <w:tc>
          <w:tcPr>
            <w:tcW w:w="0" w:type="auto"/>
            <w:vAlign w:val="center"/>
          </w:tcPr>
          <w:p w14:paraId="5C8CAC2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土壤镉含量</w:t>
            </w:r>
          </w:p>
        </w:tc>
        <w:tc>
          <w:tcPr>
            <w:tcW w:w="0" w:type="auto"/>
            <w:vAlign w:val="center"/>
          </w:tcPr>
          <w:p w14:paraId="18690E4E">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≤0.3mg/kg</w:t>
            </w:r>
          </w:p>
        </w:tc>
        <w:tc>
          <w:tcPr>
            <w:tcW w:w="2608" w:type="dxa"/>
            <w:vAlign w:val="center"/>
          </w:tcPr>
          <w:p w14:paraId="27FB7FBD">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GB 15618—2018</w:t>
            </w:r>
          </w:p>
        </w:tc>
      </w:tr>
      <w:tr w14:paraId="58F8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2C0BF91F">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植被恢复</w:t>
            </w:r>
          </w:p>
        </w:tc>
        <w:tc>
          <w:tcPr>
            <w:tcW w:w="0" w:type="auto"/>
            <w:vAlign w:val="center"/>
          </w:tcPr>
          <w:p w14:paraId="34D7F2E4">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林地植被盖度</w:t>
            </w:r>
          </w:p>
        </w:tc>
        <w:tc>
          <w:tcPr>
            <w:tcW w:w="0" w:type="auto"/>
            <w:vAlign w:val="center"/>
          </w:tcPr>
          <w:p w14:paraId="25471D3E">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≥70%</w:t>
            </w:r>
          </w:p>
        </w:tc>
        <w:tc>
          <w:tcPr>
            <w:tcW w:w="2608" w:type="dxa"/>
            <w:vAlign w:val="center"/>
          </w:tcPr>
          <w:p w14:paraId="50C1378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GB/T 43935—2024</w:t>
            </w:r>
          </w:p>
        </w:tc>
      </w:tr>
      <w:tr w14:paraId="1A51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2C756209">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植被恢复</w:t>
            </w:r>
          </w:p>
        </w:tc>
        <w:tc>
          <w:tcPr>
            <w:tcW w:w="0" w:type="auto"/>
            <w:vAlign w:val="center"/>
          </w:tcPr>
          <w:p w14:paraId="23E31ECE">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苗木栽植成活率</w:t>
            </w:r>
          </w:p>
        </w:tc>
        <w:tc>
          <w:tcPr>
            <w:tcW w:w="0" w:type="auto"/>
            <w:vAlign w:val="center"/>
          </w:tcPr>
          <w:p w14:paraId="44373812">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≥90%</w:t>
            </w:r>
          </w:p>
        </w:tc>
        <w:tc>
          <w:tcPr>
            <w:tcW w:w="2608" w:type="dxa"/>
            <w:vAlign w:val="center"/>
          </w:tcPr>
          <w:p w14:paraId="0A62E80C">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GB/T 43935—2024</w:t>
            </w:r>
          </w:p>
        </w:tc>
      </w:tr>
      <w:tr w14:paraId="1382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33F8DAF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水环境</w:t>
            </w:r>
          </w:p>
        </w:tc>
        <w:tc>
          <w:tcPr>
            <w:tcW w:w="0" w:type="auto"/>
            <w:vAlign w:val="center"/>
          </w:tcPr>
          <w:p w14:paraId="6BE964E5">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地表水COD含量</w:t>
            </w:r>
          </w:p>
        </w:tc>
        <w:tc>
          <w:tcPr>
            <w:tcW w:w="0" w:type="auto"/>
            <w:vAlign w:val="center"/>
          </w:tcPr>
          <w:p w14:paraId="2B2B9FF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≤30mg/L</w:t>
            </w:r>
          </w:p>
        </w:tc>
        <w:tc>
          <w:tcPr>
            <w:tcW w:w="2608" w:type="dxa"/>
            <w:vAlign w:val="center"/>
          </w:tcPr>
          <w:p w14:paraId="07B63B7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GB 3838—2002</w:t>
            </w:r>
          </w:p>
        </w:tc>
      </w:tr>
      <w:tr w14:paraId="35B9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0" w:type="auto"/>
            <w:vAlign w:val="center"/>
          </w:tcPr>
          <w:p w14:paraId="66B30E8D">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水土保持</w:t>
            </w:r>
          </w:p>
        </w:tc>
        <w:tc>
          <w:tcPr>
            <w:tcW w:w="0" w:type="auto"/>
            <w:vAlign w:val="center"/>
          </w:tcPr>
          <w:p w14:paraId="1D6DA91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水土流失治理度</w:t>
            </w:r>
          </w:p>
        </w:tc>
        <w:tc>
          <w:tcPr>
            <w:tcW w:w="0" w:type="auto"/>
            <w:vAlign w:val="center"/>
          </w:tcPr>
          <w:p w14:paraId="644FC539">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≥90%</w:t>
            </w:r>
          </w:p>
        </w:tc>
        <w:tc>
          <w:tcPr>
            <w:tcW w:w="2608" w:type="dxa"/>
            <w:vAlign w:val="center"/>
          </w:tcPr>
          <w:p w14:paraId="3900CCC0">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GB/T 16453—2021</w:t>
            </w:r>
          </w:p>
        </w:tc>
      </w:tr>
      <w:tr w14:paraId="462C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0" w:hRule="atLeast"/>
          <w:jc w:val="center"/>
        </w:trPr>
        <w:tc>
          <w:tcPr>
            <w:tcW w:w="1459" w:type="dxa"/>
            <w:vAlign w:val="center"/>
          </w:tcPr>
          <w:p w14:paraId="4AF84C8A">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边坡安全</w:t>
            </w:r>
          </w:p>
        </w:tc>
        <w:tc>
          <w:tcPr>
            <w:tcW w:w="3469" w:type="dxa"/>
            <w:vAlign w:val="center"/>
          </w:tcPr>
          <w:p w14:paraId="240BF61B">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永久边坡稳定安全系数</w:t>
            </w:r>
          </w:p>
        </w:tc>
        <w:tc>
          <w:tcPr>
            <w:tcW w:w="2033" w:type="dxa"/>
            <w:vAlign w:val="center"/>
          </w:tcPr>
          <w:p w14:paraId="0FB3BD61">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≥1.25</w:t>
            </w:r>
          </w:p>
        </w:tc>
        <w:tc>
          <w:tcPr>
            <w:tcW w:w="2608" w:type="dxa"/>
            <w:vAlign w:val="center"/>
          </w:tcPr>
          <w:p w14:paraId="108CD71F">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eastAsia" w:ascii="宋体" w:hAnsi="宋体" w:eastAsia="宋体" w:cs="宋体"/>
                <w:b w:val="0"/>
                <w:bCs/>
                <w:sz w:val="18"/>
                <w:szCs w:val="18"/>
                <w:vertAlign w:val="baseline"/>
              </w:rPr>
            </w:pPr>
            <w:r>
              <w:rPr>
                <w:rFonts w:hint="eastAsia" w:ascii="宋体" w:hAnsi="宋体" w:eastAsia="宋体" w:cs="宋体"/>
                <w:b w:val="0"/>
                <w:bCs/>
                <w:snapToGrid w:val="0"/>
                <w:color w:val="000000"/>
                <w:kern w:val="0"/>
                <w:sz w:val="18"/>
                <w:szCs w:val="18"/>
                <w:lang w:val="en-US" w:eastAsia="zh-CN" w:bidi="ar"/>
              </w:rPr>
              <w:t>HJ 651—2013</w:t>
            </w:r>
          </w:p>
        </w:tc>
      </w:tr>
    </w:tbl>
    <w:p w14:paraId="5A37B735">
      <w:pPr>
        <w:spacing w:line="240" w:lineRule="auto"/>
        <w:ind w:firstLine="500" w:firstLineChars="0"/>
        <w:jc w:val="both"/>
        <w:rPr>
          <w:rFonts w:hint="eastAsia" w:ascii="Times New Roman" w:hAnsi="Times New Roman" w:eastAsia="宋体" w:cs="宋体"/>
          <w:sz w:val="21"/>
          <w:szCs w:val="21"/>
        </w:rPr>
      </w:pPr>
    </w:p>
    <w:p w14:paraId="4717ED4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7464"/>
      <w:r>
        <w:rPr>
          <w:rFonts w:hint="eastAsia"/>
        </w:rPr>
        <w:t>5  监测技术方法</w:t>
      </w:r>
      <w:bookmarkEnd w:id="13"/>
    </w:p>
    <w:p w14:paraId="2727BA1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遥感影像解译</w:t>
      </w:r>
    </w:p>
    <w:p w14:paraId="0D542A52">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遥感监测应选用分辨率满足监测精度要求的卫星影像数据，利用遥感图像处理软件进行植被指数计算、地类识别和面积统计。每个监测周期应选取植被生长季节的晴天影像，确保影像质量满足解译需求。遥感解译结果应与地面实测数据进行比对验证，当两者偏差超过允许范围时，应以地面实测数据为准并分析偏差原因。遥感监测成果应形成专项图件，直观反映修复区域植被覆盖和地表变化情况</w:t>
      </w:r>
      <w:r>
        <w:rPr>
          <w:rFonts w:hint="eastAsia" w:ascii="Times New Roman" w:hAnsi="Times New Roman" w:eastAsia="宋体" w:cs="宋体"/>
          <w:sz w:val="21"/>
          <w:szCs w:val="21"/>
          <w:lang w:eastAsia="zh-CN"/>
        </w:rPr>
        <w:t>，</w:t>
      </w:r>
      <w:r>
        <w:rPr>
          <w:rFonts w:hint="eastAsia" w:ascii="Times New Roman" w:hAnsi="Times New Roman" w:eastAsia="宋体" w:cs="宋体"/>
          <w:sz w:val="21"/>
          <w:szCs w:val="21"/>
        </w:rPr>
        <w:t>为综合评估提供基础数据支撑。</w:t>
      </w:r>
    </w:p>
    <w:p w14:paraId="58E705A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地面样地调查</w:t>
      </w:r>
    </w:p>
    <w:p w14:paraId="732CEA2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地面样地调查应在每个监测周期内完成，调查内容包括植被种类、数量、高度、盖度和生长状况，以及土壤剖面描述和取样。样地面积应根据植被类型确定，乔木样地、灌木样地和草本样地应分别按照相应规范要求设置，调查方法应符合GB/T 15776造林技术规程的相关规定。样地调查数据应及时录入监测数据库，确保数据的完整性和可追溯性。野生动物调查应采用样线法和红外相机法相结合的方式，在调查期间避免人为干扰对动物活动产生影响。</w:t>
      </w:r>
    </w:p>
    <w:p w14:paraId="138A519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5.3 土壤取样分析</w:t>
      </w:r>
    </w:p>
    <w:p w14:paraId="2ACC82C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土壤取样应按照固定样点进行，每个样点应采集不同深度的土壤样品，分层分析土壤理化性质。土壤样品的采集、保存和运输应符合HJ 25.2的相关要求，确保样品的代表性和质量。土壤分析项目应包括土壤有机质、全氮、有效磷、有效钾、pH值和容重等基本指标，对于重金属污染修复区域，还应增加重金属含量的分析项目。分析结果应对照GB 15618的农用地土壤污染风险管控标准进行评价，判断土壤环境质量的恢复状况。</w:t>
      </w:r>
    </w:p>
    <w:p w14:paraId="0EA6B97F">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22519"/>
      <w:r>
        <w:rPr>
          <w:rFonts w:hint="eastAsia"/>
        </w:rPr>
        <w:t>6  综合评估方法</w:t>
      </w:r>
      <w:bookmarkEnd w:id="14"/>
    </w:p>
    <w:p w14:paraId="11FA20B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评估模型建立</w:t>
      </w:r>
    </w:p>
    <w:p w14:paraId="49DBA85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综合评估模型应采用层次分析法或专家打分法确定各类指标的权重，构建多指标综合评分体系。各类指标的权重分配应反映其对生态修复整体效果的贡献程度，权重确定过程应邀请相关领域专家参与论证，确保权重的科学性和合理性。综合评分计算方法应清晰规范，便于不同评估机构采用同一方法开展评估，保证评估结果的可比性。评估模型应在实际应用中持续验证和完善，根据监测数据反馈适时调整完善模型参数，符合HJ 91.2地表水监测规范的质量管理要求。</w:t>
      </w:r>
    </w:p>
    <w:p w14:paraId="3A14023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效果等级划分</w:t>
      </w:r>
    </w:p>
    <w:p w14:paraId="63A4BC7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矿山生态修复效果应按照综合评分结果划分为优秀、良好、合格和不合格四个等级。优秀等级要求综合评分达到较高水平，各类指标均优于周边参照生态系统水平的规定比例；良好等级要求综合评分达到中等以上水平，主要修复指标达到预定目标；合格等级要求综合评分满足基本修复目标，不存在明显生态风险；不合格等级指综合评分未达到合格标准，需进一步修复或调整修复方案。评估结论应对照TD/T 1036的土地复垦质量控制标准，综合判断修复区域是否具备正式验收条件。</w:t>
      </w:r>
    </w:p>
    <w:p w14:paraId="0682042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30579"/>
      <w:r>
        <w:rPr>
          <w:rFonts w:hint="eastAsia"/>
        </w:rPr>
        <w:t>7  水土流失监测</w:t>
      </w:r>
      <w:bookmarkEnd w:id="15"/>
    </w:p>
    <w:p w14:paraId="6CD1C91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水土流失监测要求</w:t>
      </w:r>
    </w:p>
    <w:p w14:paraId="48629FE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矿山修复区域应在典型地块布设水土流失监测小区，监测内容包括降雨量、径流量和侵蚀量。监测设备应定期检查和维护，确保监测数据的准确性和连续性。对于边坡类修复区域，应增加边坡稳定性监测项目，通过深层位移监测和地表变形观测，及时评估边坡安全状况。水土流失监测数据应按季度汇总分析，发现侵蚀量超出设计标准时，应及时启动工程补救措施，防止水土流失问题扩大化，相关监测方法应符合NY/T 1634耕地质量评价的技术要求。</w:t>
      </w:r>
    </w:p>
    <w:p w14:paraId="7CF9CDB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地表水水质监测</w:t>
      </w:r>
    </w:p>
    <w:p w14:paraId="5D19A2C0">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修复区域排水口和周边地表水体应纳入水质监测范围，监测项目应包括pH值、化学需氧量、悬浮物、重金属等指标，监测频次不少于每季度一次。监测方法应符合HJ 91.2的地表水监测技术规范要求。水质监测结果应对照GB 3838的地表水环境质量标准进行评价，发现水质超标情况时，应分析污染来源，采取相应的治理措施，并向属地生态环境主管部门报告。</w:t>
      </w:r>
    </w:p>
    <w:p w14:paraId="762B865F">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22774"/>
      <w:r>
        <w:rPr>
          <w:rFonts w:hint="eastAsia"/>
        </w:rPr>
        <w:t>8  监测评估报告编制</w:t>
      </w:r>
      <w:bookmarkEnd w:id="16"/>
    </w:p>
    <w:p w14:paraId="758FADC7">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报告内容要求</w:t>
      </w:r>
    </w:p>
    <w:p w14:paraId="348F794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监测评估报告应全面、客观地反映矿山生态修复区域的监测数据和评估结论，主要内容包括项目基本情况、监测方案实施情况、各类监测指标数据汇总与分析、综合评估结论及效果等级判定、存在问题及改进建议等。报告编制应采用规范的表述方式，数据图表应清晰准确，评估结论应有充分的数据支撑，避免主观随意性。年度监测评估报告应在监测工作完成后规定时限内提交建设单位和主管部门，并同步归档保存。</w:t>
      </w:r>
    </w:p>
    <w:p w14:paraId="5E64EE2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报告审核与备案</w:t>
      </w:r>
    </w:p>
    <w:p w14:paraId="3ABA7E15">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监测评估报告应经编制单位技术负责人审核签字后提交，委托第三方机构开展评估的，还应附具资质证明材料。主管部门应对报告内容进行形式审查和技术审核，对于评估结果存在疑问的，可组织现场核查或专家评审。报告审核通过后应依规备案，作为矿山生态修复验收和后续监管的正式文件。备案资料应建立电子档案，纳入矿山生态修复信息管理系统，实现监测数据的长期存储和共享查询。</w:t>
      </w:r>
    </w:p>
    <w:p w14:paraId="642E5FF5">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9591"/>
      <w:r>
        <w:rPr>
          <w:rFonts w:hint="eastAsia"/>
        </w:rPr>
        <w:t>9  验收与后续管理</w:t>
      </w:r>
      <w:bookmarkEnd w:id="17"/>
    </w:p>
    <w:p w14:paraId="447ECDC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竣工验收标准</w:t>
      </w:r>
    </w:p>
    <w:p w14:paraId="193B5C7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矿山生态修复工程竣工验收应以连续两个及以上监测周期的综合评估结果均达到良好及以上等级为基础条件，同时满足植被成活率、土壤改良效果和边坡稳定性等关键指标的最低要求。验收工作应由主管部门组织，邀请相关领域专家参与，结合现场核查和书面审查综合判定。未通过验收的工程应提出明确整改方向，经整改后重新申请验收。验收结论应以书面形式正式告知建设单位，并向社会公开。</w:t>
      </w:r>
    </w:p>
    <w:p w14:paraId="0C36DBE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后续生态管护</w:t>
      </w:r>
    </w:p>
    <w:p w14:paraId="71B7C34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矿山生态修复工程竣工验收合格后，应根据实际情况确定后续生态管护期，管护期内应继续开展定期监测，掌握生态系统的自然恢复进程和稳定状态。管护期满后应进行终期评估，评估结果良好及以上的，可正式移交属地管理；评估结果未达标的，应延长管护期并强化管理措施。后续管护工作应建立完善的台账制度，记录日常养护、补植补种和防灾防护等工作情况，确保生态修复成效得到长期巩固和持续提升。</w:t>
      </w:r>
    </w:p>
    <w:p w14:paraId="11622369">
      <w:pPr>
        <w:jc w:val="center"/>
        <w:rPr>
          <w:rFonts w:hint="eastAsia" w:ascii="黑体" w:hAnsi="黑体" w:eastAsia="黑体" w:cs="黑体"/>
          <w:sz w:val="32"/>
          <w:szCs w:val="32"/>
        </w:rPr>
      </w:pPr>
    </w:p>
    <w:p w14:paraId="60719743">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3109595</wp:posOffset>
            </wp:positionH>
            <wp:positionV relativeFrom="paragraph">
              <wp:posOffset>252730</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p w14:paraId="53800228">
      <w:pPr>
        <w:jc w:val="center"/>
        <w:rPr>
          <w:rFonts w:hint="eastAsia" w:ascii="黑体" w:hAnsi="黑体" w:eastAsia="黑体" w:cs="黑体"/>
          <w:sz w:val="32"/>
          <w:szCs w:val="32"/>
        </w:rPr>
      </w:pP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57E4E">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425</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C09FB">
    <w:pPr>
      <w:pStyle w:val="6"/>
      <w:spacing w:line="249" w:lineRule="exact"/>
      <w:jc w:val="lef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425</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425</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425</w:t>
    </w:r>
    <w:r>
      <w:rPr>
        <w:rFonts w:hint="eastAsia" w:ascii="黑体" w:hAnsi="黑体" w:eastAsia="黑体" w:cs="黑体"/>
        <w:sz w:val="21"/>
        <w:szCs w:val="21"/>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44C03">
    <w:pPr>
      <w:pStyle w:val="6"/>
      <w:spacing w:line="249" w:lineRule="exac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79885">
    <w:pPr>
      <w:pStyle w:val="6"/>
      <w:spacing w:line="249" w:lineRule="exact"/>
      <w:jc w:val="right"/>
      <w:rPr>
        <w:rFonts w:hint="eastAsia" w:eastAsia="黑体"/>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425</w:t>
    </w:r>
    <w:r>
      <w:rPr>
        <w:rFonts w:hint="eastAsia" w:ascii="黑体" w:hAnsi="黑体" w:eastAsia="黑体" w:cs="黑体"/>
        <w:sz w:val="21"/>
        <w:szCs w:val="21"/>
      </w:rPr>
      <w:t>—202</w:t>
    </w:r>
    <w:r>
      <w:rPr>
        <w:rFonts w:hint="eastAsia" w:ascii="黑体" w:hAnsi="黑体" w:eastAsia="黑体" w:cs="黑体"/>
        <w:sz w:val="21"/>
        <w:szCs w:val="21"/>
        <w:lang w:val="en-US" w:eastAsia="zh-CN"/>
      </w:rPr>
      <w:t>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D3804FD"/>
    <w:rsid w:val="2F913B87"/>
    <w:rsid w:val="314C15E2"/>
    <w:rsid w:val="36055107"/>
    <w:rsid w:val="362C295C"/>
    <w:rsid w:val="36C03D85"/>
    <w:rsid w:val="38296BB0"/>
    <w:rsid w:val="38CD2E8E"/>
    <w:rsid w:val="39F53F18"/>
    <w:rsid w:val="3AF6384B"/>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0C46C54"/>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3778</Words>
  <Characters>4163</Characters>
  <TotalTime>0</TotalTime>
  <ScaleCrop>false</ScaleCrop>
  <LinksUpToDate>false</LinksUpToDate>
  <CharactersWithSpaces>4316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2026-06-01T07:20:09Z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