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C5B91">
      <w:pPr>
        <w:spacing w:before="31"/>
        <w:ind w:left="6727" w:right="0" w:firstLine="0"/>
        <w:jc w:val="left"/>
        <w:rPr>
          <w:rFonts w:hint="eastAsia" w:ascii="Times New Roman" w:eastAsia="宋体"/>
          <w:b/>
          <w:w w:val="130"/>
          <w:sz w:val="96"/>
          <w:lang w:val="en-US" w:eastAsia="zh-CN"/>
        </w:rPr>
      </w:pPr>
      <w:bookmarkStart w:id="0" w:name="bookmark1"/>
      <w:bookmarkEnd w:id="0"/>
      <w:r>
        <mc:AlternateContent>
          <mc:Choice Requires="wpg">
            <w:drawing>
              <wp:anchor distT="0" distB="0" distL="114300" distR="114300" simplePos="0" relativeHeight="251661312" behindDoc="0" locked="0" layoutInCell="1" allowOverlap="1">
                <wp:simplePos x="0" y="0"/>
                <wp:positionH relativeFrom="page">
                  <wp:posOffset>4242435</wp:posOffset>
                </wp:positionH>
                <wp:positionV relativeFrom="paragraph">
                  <wp:posOffset>150495</wp:posOffset>
                </wp:positionV>
                <wp:extent cx="589915" cy="436245"/>
                <wp:effectExtent l="635" t="0" r="6350" b="8255"/>
                <wp:wrapNone/>
                <wp:docPr id="2" name="组合 2"/>
                <wp:cNvGraphicFramePr/>
                <a:graphic xmlns:a="http://schemas.openxmlformats.org/drawingml/2006/main">
                  <a:graphicData uri="http://schemas.microsoft.com/office/word/2010/wordprocessingGroup">
                    <wpg:wgp>
                      <wpg:cNvGrpSpPr/>
                      <wpg:grpSpPr>
                        <a:xfrm>
                          <a:off x="0" y="0"/>
                          <a:ext cx="589915" cy="436245"/>
                          <a:chOff x="6682" y="237"/>
                          <a:chExt cx="929" cy="687"/>
                        </a:xfrm>
                      </wpg:grpSpPr>
                      <pic:pic xmlns:pic="http://schemas.openxmlformats.org/drawingml/2006/picture">
                        <pic:nvPicPr>
                          <pic:cNvPr id="4" name="图片 3"/>
                          <pic:cNvPicPr>
                            <a:picLocks noChangeAspect="1"/>
                          </pic:cNvPicPr>
                        </pic:nvPicPr>
                        <pic:blipFill>
                          <a:blip r:embed="rId25"/>
                          <a:stretch>
                            <a:fillRect/>
                          </a:stretch>
                        </pic:blipFill>
                        <pic:spPr>
                          <a:xfrm>
                            <a:off x="6681" y="237"/>
                            <a:ext cx="653" cy="680"/>
                          </a:xfrm>
                          <a:prstGeom prst="rect">
                            <a:avLst/>
                          </a:prstGeom>
                          <a:noFill/>
                          <a:ln>
                            <a:noFill/>
                          </a:ln>
                        </pic:spPr>
                      </pic:pic>
                      <pic:pic xmlns:pic="http://schemas.openxmlformats.org/drawingml/2006/picture">
                        <pic:nvPicPr>
                          <pic:cNvPr id="5" name="图片 4"/>
                          <pic:cNvPicPr>
                            <a:picLocks noChangeAspect="1"/>
                          </pic:cNvPicPr>
                        </pic:nvPicPr>
                        <pic:blipFill>
                          <a:blip r:embed="rId26"/>
                          <a:stretch>
                            <a:fillRect/>
                          </a:stretch>
                        </pic:blipFill>
                        <pic:spPr>
                          <a:xfrm>
                            <a:off x="7341" y="237"/>
                            <a:ext cx="269" cy="687"/>
                          </a:xfrm>
                          <a:prstGeom prst="rect">
                            <a:avLst/>
                          </a:prstGeom>
                          <a:noFill/>
                          <a:ln>
                            <a:noFill/>
                          </a:ln>
                        </pic:spPr>
                      </pic:pic>
                    </wpg:wgp>
                  </a:graphicData>
                </a:graphic>
              </wp:anchor>
            </w:drawing>
          </mc:Choice>
          <mc:Fallback>
            <w:pict>
              <v:group id="_x0000_s1026" o:spid="_x0000_s1026" o:spt="203" style="position:absolute;left:0pt;margin-left:334.05pt;margin-top:11.85pt;height:34.35pt;width:46.45pt;mso-position-horizontal-relative:page;z-index:251661312;mso-width-relative:page;mso-height-relative:page;" coordorigin="6682,237" coordsize="929,687" o:gfxdata="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">
                <o:lock v:ext="edit" aspectratio="f"/>
                <v:shape id="图片 3" o:spid="_x0000_s1026" o:spt="75" type="#_x0000_t75" style="position:absolute;left:6681;top:237;height:680;width:653;" filled="f" o:preferrelative="t" stroked="f" coordsize="21600,21600" o:gfxdata="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pkyRvQAA&#10;ANoAAAAPAAAAAAAAAAEAIAAAACIAAABkcnMvZG93bnJldi54bWxQSwECFAAUAAAACACHTuJAMy8F&#10;njsAAAA5AAAAEAAAAAAAAAABACAAAAAMAQAAZHJzL3NoYXBleG1sLnhtbFBLBQYAAAAABgAGAFsB&#10;AAC2AwAAAAA=&#10;">
                  <v:fill on="f" focussize="0,0"/>
                  <v:stroke on="f"/>
                  <v:imagedata r:id="rId25" o:title=""/>
                  <o:lock v:ext="edit" aspectratio="t"/>
                </v:shape>
                <v:shape id="图片 4" o:spid="_x0000_s1026" o:spt="75" type="#_x0000_t75" style="position:absolute;left:7341;top:237;height:687;width:269;" filled="f" o:preferrelative="t" stroked="f" coordsize="21600,21600" o:gfxdata="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appzvQAA&#10;ANoAAAAPAAAAAAAAAAEAIAAAACIAAABkcnMvZG93bnJldi54bWxQSwECFAAUAAAACACHTuJAMy8F&#10;njsAAAA5AAAAEAAAAAAAAAABACAAAAAMAQAAZHJzL3NoYXBleG1sLnhtbFBLBQYAAAAABgAGAFsB&#10;AAC2AwAAAAA=&#10;">
                  <v:fill on="f" focussize="0,0"/>
                  <v:stroke on="f"/>
                  <v:imagedata r:id="rId26" o:title=""/>
                  <o:lock v:ext="edit" aspectratio="t"/>
                </v:shape>
              </v:group>
            </w:pict>
          </mc:Fallback>
        </mc:AlternateContent>
      </w:r>
      <w:r>
        <w:rPr>
          <w:rFonts w:ascii="Times New Roman"/>
          <w:b/>
          <w:w w:val="130"/>
          <w:sz w:val="96"/>
        </w:rPr>
        <w:t>J</w:t>
      </w:r>
      <w:r>
        <w:rPr>
          <w:rFonts w:hint="eastAsia" w:ascii="Times New Roman"/>
          <w:b/>
          <w:w w:val="130"/>
          <w:sz w:val="96"/>
          <w:lang w:val="en-US" w:eastAsia="zh-CN"/>
        </w:rPr>
        <w:t>X</w:t>
      </w:r>
      <w:r>
        <w:rPr>
          <w:rFonts w:ascii="Times New Roman"/>
          <w:b/>
          <w:w w:val="130"/>
          <w:sz w:val="96"/>
        </w:rPr>
        <w:t>E</w:t>
      </w:r>
      <w:r>
        <w:rPr>
          <w:rFonts w:hint="eastAsia" w:ascii="Times New Roman"/>
          <w:b/>
          <w:w w:val="130"/>
          <w:sz w:val="96"/>
          <w:lang w:val="en-US" w:eastAsia="zh-CN"/>
        </w:rPr>
        <w:t>A</w:t>
      </w:r>
    </w:p>
    <w:p w14:paraId="12031DCB">
      <w:pPr>
        <w:spacing w:before="0" w:line="602" w:lineRule="exact"/>
        <w:ind w:left="38" w:right="0" w:firstLine="0"/>
        <w:jc w:val="center"/>
        <w:rPr>
          <w:rFonts w:hint="eastAsia" w:ascii="黑体" w:eastAsia="黑体"/>
          <w:sz w:val="48"/>
        </w:rPr>
      </w:pPr>
      <w:r>
        <w:rPr>
          <w:rFonts w:hint="eastAsia" w:ascii="黑体" w:eastAsia="黑体"/>
          <w:sz w:val="48"/>
        </w:rPr>
        <w:t xml:space="preserve">江 </w:t>
      </w:r>
      <w:r>
        <w:rPr>
          <w:rFonts w:hint="eastAsia" w:ascii="黑体" w:eastAsia="黑体"/>
          <w:sz w:val="48"/>
          <w:lang w:val="en-US" w:eastAsia="zh-CN"/>
        </w:rPr>
        <w:t xml:space="preserve">西 </w:t>
      </w:r>
      <w:r>
        <w:rPr>
          <w:rFonts w:hint="eastAsia" w:ascii="黑体" w:eastAsia="黑体"/>
          <w:sz w:val="48"/>
        </w:rPr>
        <w:t xml:space="preserve">省 工 程 师 </w:t>
      </w:r>
      <w:r>
        <w:rPr>
          <w:rFonts w:hint="eastAsia" w:ascii="黑体" w:eastAsia="黑体"/>
          <w:sz w:val="48"/>
          <w:lang w:val="en-US" w:eastAsia="zh-CN"/>
        </w:rPr>
        <w:t xml:space="preserve">联 合 </w:t>
      </w:r>
      <w:r>
        <w:rPr>
          <w:rFonts w:hint="eastAsia" w:ascii="黑体" w:eastAsia="黑体"/>
          <w:sz w:val="48"/>
        </w:rPr>
        <w:t>会 团 体 标 准</w:t>
      </w:r>
    </w:p>
    <w:p w14:paraId="06530B1C">
      <w:pPr>
        <w:spacing w:before="341"/>
        <w:ind w:left="0" w:right="411" w:firstLine="0"/>
        <w:jc w:val="right"/>
        <w:rPr>
          <w:rFonts w:hint="eastAsia" w:ascii="黑体" w:hAnsi="黑体" w:eastAsia="宋体"/>
          <w:sz w:val="28"/>
          <w:lang w:eastAsia="zh-CN"/>
        </w:rPr>
      </w:pPr>
      <w:r>
        <w:rPr>
          <w:rFonts w:ascii="黑体" w:hAnsi="黑体"/>
          <w:sz w:val="28"/>
        </w:rPr>
        <w:t>T/JXEA 423—2026</w:t>
      </w:r>
    </w:p>
    <w:p w14:paraId="6EB1BE84">
      <w:pPr>
        <w:pStyle w:val="6"/>
        <w:rPr>
          <w:rFonts w:ascii="黑体"/>
          <w:sz w:val="20"/>
        </w:rPr>
      </w:pPr>
    </w:p>
    <w:p w14:paraId="2B5D136B">
      <w:pPr>
        <w:pStyle w:val="6"/>
        <w:spacing w:before="4"/>
        <w:rPr>
          <w:rFonts w:ascii="黑体"/>
          <w:sz w:val="28"/>
        </w:rPr>
      </w:pPr>
      <w:r>
        <mc:AlternateContent>
          <mc:Choice Requires="wps">
            <w:drawing>
              <wp:anchor distT="0" distB="0" distL="114300" distR="114300" simplePos="0" relativeHeight="251659264" behindDoc="1" locked="0" layoutInCell="1" allowOverlap="1">
                <wp:simplePos x="0" y="0"/>
                <wp:positionH relativeFrom="page">
                  <wp:posOffset>900430</wp:posOffset>
                </wp:positionH>
                <wp:positionV relativeFrom="paragraph">
                  <wp:posOffset>260350</wp:posOffset>
                </wp:positionV>
                <wp:extent cx="6120130" cy="0"/>
                <wp:effectExtent l="0" t="4445" r="0" b="5080"/>
                <wp:wrapTopAndBottom/>
                <wp:docPr id="3" name="直线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70.9pt;margin-top:20.5pt;height:0pt;width:481.9pt;mso-position-horizontal-relative:page;mso-wrap-distance-bottom:0pt;mso-wrap-distance-top:0pt;z-index:-251657216;mso-width-relative:page;mso-height-relative:page;" filled="f" stroked="t" coordsize="21600,21600" o:gfxdata="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6fveU1gAA&#10;AAoBAAAPAAAAAAAAAAEAIAAAACIAAABkcnMvZG93bnJldi54bWxQSwECFAAUAAAACACHTuJAeKaj&#10;sucBAADbAwAADgAAAAAAAAABACAAAAAlAQAAZHJzL2Uyb0RvYy54bWxQSwUGAAAAAAYABgBZAQAA&#10;fgUAAAAA&#10;">
                <v:fill on="f" focussize="0,0"/>
                <v:stroke color="#000000" joinstyle="round"/>
                <v:imagedata o:title=""/>
                <o:lock v:ext="edit" aspectratio="f"/>
                <w10:wrap type="topAndBottom"/>
              </v:line>
            </w:pict>
          </mc:Fallback>
        </mc:AlternateContent>
      </w:r>
    </w:p>
    <w:p w14:paraId="1C535998">
      <w:pPr>
        <w:pStyle w:val="6"/>
        <w:rPr>
          <w:rFonts w:ascii="黑体"/>
          <w:sz w:val="28"/>
        </w:rPr>
      </w:pPr>
    </w:p>
    <w:p w14:paraId="3C30986B">
      <w:pPr>
        <w:pStyle w:val="6"/>
        <w:rPr>
          <w:rFonts w:ascii="黑体"/>
          <w:sz w:val="28"/>
        </w:rPr>
      </w:pPr>
    </w:p>
    <w:p w14:paraId="5E5D9AD9">
      <w:pPr>
        <w:pStyle w:val="6"/>
        <w:rPr>
          <w:rFonts w:ascii="黑体"/>
          <w:sz w:val="28"/>
        </w:rPr>
      </w:pPr>
    </w:p>
    <w:p w14:paraId="0F32264C">
      <w:pPr>
        <w:pStyle w:val="6"/>
        <w:spacing w:before="3"/>
        <w:rPr>
          <w:rFonts w:hint="eastAsia" w:ascii="黑体" w:hAnsi="黑体" w:eastAsia="黑体" w:cs="黑体"/>
          <w:snapToGrid w:val="0"/>
          <w:color w:val="000000"/>
          <w:spacing w:val="-2"/>
          <w:kern w:val="0"/>
          <w:sz w:val="52"/>
          <w:szCs w:val="52"/>
          <w:lang w:val="en-US" w:eastAsia="en-US" w:bidi="ar-SA"/>
        </w:rPr>
      </w:pPr>
    </w:p>
    <w:p w14:paraId="14A96175">
      <w:pPr>
        <w:pStyle w:val="12"/>
        <w:keepNext w:val="0"/>
        <w:keepLines w:val="0"/>
        <w:widowControl/>
        <w:suppressLineNumbers w:val="0"/>
        <w:spacing w:before="0" w:beforeAutospacing="0" w:after="0" w:afterAutospacing="0"/>
        <w:ind w:left="0" w:right="0" w:firstLine="0"/>
        <w:jc w:val="center"/>
        <w:rPr>
          <w:rFonts w:hint="eastAsia" w:ascii="黑体" w:hAnsi="黑体" w:eastAsia="黑体" w:cs="黑体"/>
          <w:snapToGrid w:val="0"/>
          <w:color w:val="000000"/>
          <w:spacing w:val="-2"/>
          <w:kern w:val="0"/>
          <w:sz w:val="52"/>
          <w:szCs w:val="52"/>
          <w:lang w:val="en-US" w:eastAsia="en-US" w:bidi="ar-SA"/>
        </w:rPr>
      </w:pPr>
      <w:r>
        <w:rPr>
          <w:rFonts w:hint="eastAsia" w:ascii="黑体" w:hAnsi="黑体" w:eastAsia="黑体" w:cs="黑体"/>
          <w:snapToGrid w:val="0"/>
          <w:color w:val="000000"/>
          <w:spacing w:val="-2"/>
          <w:kern w:val="0"/>
          <w:sz w:val="52"/>
          <w:szCs w:val="52"/>
          <w:lang w:val="en-US" w:eastAsia="en-US" w:bidi="ar-SA"/>
        </w:rPr>
        <w:t>绩效管理体系构建与运行指南</w:t>
      </w:r>
    </w:p>
    <w:p w14:paraId="2E701569">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380" w:beforeAutospacing="0" w:after="0" w:afterAutospacing="0"/>
        <w:ind w:left="283" w:right="0" w:firstLine="0"/>
        <w:jc w:val="center"/>
        <w:textAlignment w:val="baseline"/>
        <w:rPr>
          <w:rFonts w:hint="eastAsia" w:ascii="黑体" w:hAnsi="黑体" w:eastAsia="黑体" w:cs="黑体"/>
          <w:snapToGrid w:val="0"/>
          <w:color w:val="000000"/>
          <w:spacing w:val="-2"/>
          <w:kern w:val="0"/>
          <w:sz w:val="28"/>
          <w:szCs w:val="28"/>
          <w:lang w:val="en-US" w:eastAsia="en-US" w:bidi="ar-SA"/>
        </w:rPr>
      </w:pPr>
      <w:r>
        <w:rPr>
          <w:rFonts w:hint="eastAsia" w:ascii="黑体" w:hAnsi="黑体" w:eastAsia="黑体" w:cs="黑体"/>
          <w:snapToGrid w:val="0"/>
          <w:color w:val="000000"/>
          <w:spacing w:val="-2"/>
          <w:kern w:val="0"/>
          <w:sz w:val="28"/>
          <w:szCs w:val="28"/>
          <w:lang w:val="en-US" w:eastAsia="en-US" w:bidi="ar-SA"/>
        </w:rPr>
        <w:t xml:space="preserve">Guide for </w:t>
      </w:r>
      <w:r>
        <w:rPr>
          <w:rFonts w:hint="eastAsia" w:ascii="黑体" w:hAnsi="黑体" w:eastAsia="黑体" w:cs="黑体"/>
          <w:snapToGrid w:val="0"/>
          <w:color w:val="000000"/>
          <w:spacing w:val="-2"/>
          <w:kern w:val="0"/>
          <w:sz w:val="28"/>
          <w:szCs w:val="28"/>
          <w:lang w:val="en-US" w:eastAsia="zh-CN" w:bidi="ar-SA"/>
        </w:rPr>
        <w:t>c</w:t>
      </w:r>
      <w:r>
        <w:rPr>
          <w:rFonts w:hint="eastAsia" w:ascii="黑体" w:hAnsi="黑体" w:eastAsia="黑体" w:cs="黑体"/>
          <w:snapToGrid w:val="0"/>
          <w:color w:val="000000"/>
          <w:spacing w:val="-2"/>
          <w:kern w:val="0"/>
          <w:sz w:val="28"/>
          <w:szCs w:val="28"/>
          <w:lang w:val="en-US" w:eastAsia="en-US" w:bidi="ar-SA"/>
        </w:rPr>
        <w:t xml:space="preserve">onstruction and </w:t>
      </w:r>
      <w:r>
        <w:rPr>
          <w:rFonts w:hint="eastAsia" w:ascii="黑体" w:hAnsi="黑体" w:eastAsia="黑体" w:cs="黑体"/>
          <w:snapToGrid w:val="0"/>
          <w:color w:val="000000"/>
          <w:spacing w:val="-2"/>
          <w:kern w:val="0"/>
          <w:sz w:val="28"/>
          <w:szCs w:val="28"/>
          <w:lang w:val="en-US" w:eastAsia="zh-CN" w:bidi="ar-SA"/>
        </w:rPr>
        <w:t>o</w:t>
      </w:r>
      <w:r>
        <w:rPr>
          <w:rFonts w:hint="eastAsia" w:ascii="黑体" w:hAnsi="黑体" w:eastAsia="黑体" w:cs="黑体"/>
          <w:snapToGrid w:val="0"/>
          <w:color w:val="000000"/>
          <w:spacing w:val="-2"/>
          <w:kern w:val="0"/>
          <w:sz w:val="28"/>
          <w:szCs w:val="28"/>
          <w:lang w:val="en-US" w:eastAsia="en-US" w:bidi="ar-SA"/>
        </w:rPr>
        <w:t xml:space="preserve">peration of </w:t>
      </w:r>
      <w:r>
        <w:rPr>
          <w:rFonts w:hint="eastAsia" w:ascii="黑体" w:hAnsi="黑体" w:eastAsia="黑体" w:cs="黑体"/>
          <w:snapToGrid w:val="0"/>
          <w:color w:val="000000"/>
          <w:spacing w:val="-2"/>
          <w:kern w:val="0"/>
          <w:sz w:val="28"/>
          <w:szCs w:val="28"/>
          <w:lang w:val="en-US" w:eastAsia="zh-CN" w:bidi="ar-SA"/>
        </w:rPr>
        <w:t>p</w:t>
      </w:r>
      <w:r>
        <w:rPr>
          <w:rFonts w:hint="eastAsia" w:ascii="黑体" w:hAnsi="黑体" w:eastAsia="黑体" w:cs="黑体"/>
          <w:snapToGrid w:val="0"/>
          <w:color w:val="000000"/>
          <w:spacing w:val="-2"/>
          <w:kern w:val="0"/>
          <w:sz w:val="28"/>
          <w:szCs w:val="28"/>
          <w:lang w:val="en-US" w:eastAsia="en-US" w:bidi="ar-SA"/>
        </w:rPr>
        <w:t xml:space="preserve">erformance </w:t>
      </w:r>
      <w:r>
        <w:rPr>
          <w:rFonts w:hint="eastAsia" w:ascii="黑体" w:hAnsi="黑体" w:eastAsia="黑体" w:cs="黑体"/>
          <w:snapToGrid w:val="0"/>
          <w:color w:val="000000"/>
          <w:spacing w:val="-2"/>
          <w:kern w:val="0"/>
          <w:sz w:val="28"/>
          <w:szCs w:val="28"/>
          <w:lang w:val="en-US" w:eastAsia="zh-CN" w:bidi="ar-SA"/>
        </w:rPr>
        <w:t>m</w:t>
      </w:r>
      <w:r>
        <w:rPr>
          <w:rFonts w:hint="eastAsia" w:ascii="黑体" w:hAnsi="黑体" w:eastAsia="黑体" w:cs="黑体"/>
          <w:snapToGrid w:val="0"/>
          <w:color w:val="000000"/>
          <w:spacing w:val="-2"/>
          <w:kern w:val="0"/>
          <w:sz w:val="28"/>
          <w:szCs w:val="28"/>
          <w:lang w:val="en-US" w:eastAsia="en-US" w:bidi="ar-SA"/>
        </w:rPr>
        <w:t xml:space="preserve">anagement </w:t>
      </w:r>
      <w:r>
        <w:rPr>
          <w:rFonts w:hint="eastAsia" w:ascii="黑体" w:hAnsi="黑体" w:eastAsia="黑体" w:cs="黑体"/>
          <w:snapToGrid w:val="0"/>
          <w:color w:val="000000"/>
          <w:spacing w:val="-2"/>
          <w:kern w:val="0"/>
          <w:sz w:val="28"/>
          <w:szCs w:val="28"/>
          <w:lang w:val="en-US" w:eastAsia="zh-CN" w:bidi="ar-SA"/>
        </w:rPr>
        <w:t>s</w:t>
      </w:r>
      <w:r>
        <w:rPr>
          <w:rFonts w:hint="eastAsia" w:ascii="黑体" w:hAnsi="黑体" w:eastAsia="黑体" w:cs="黑体"/>
          <w:snapToGrid w:val="0"/>
          <w:color w:val="000000"/>
          <w:spacing w:val="-2"/>
          <w:kern w:val="0"/>
          <w:sz w:val="28"/>
          <w:szCs w:val="28"/>
          <w:lang w:val="en-US" w:eastAsia="en-US" w:bidi="ar-SA"/>
        </w:rPr>
        <w:t>ystem</w:t>
      </w:r>
    </w:p>
    <w:p w14:paraId="242324EA">
      <w:pPr>
        <w:spacing w:before="392"/>
        <w:ind w:left="268" w:right="0" w:firstLine="0"/>
        <w:jc w:val="center"/>
        <w:rPr>
          <w:rFonts w:hint="eastAsia" w:ascii="Times New Roman" w:hAnsi="宋体" w:eastAsia="宋体" w:cs="宋体"/>
          <w:sz w:val="28"/>
        </w:rPr>
      </w:pPr>
    </w:p>
    <w:p w14:paraId="272522EB">
      <w:pPr>
        <w:pStyle w:val="6"/>
        <w:rPr>
          <w:rFonts w:hint="eastAsia"/>
          <w:sz w:val="24"/>
        </w:rPr>
      </w:pPr>
    </w:p>
    <w:p w14:paraId="6DA6C1C3">
      <w:pPr>
        <w:pStyle w:val="6"/>
        <w:rPr>
          <w:rFonts w:hint="eastAsia"/>
          <w:sz w:val="24"/>
        </w:rPr>
      </w:pPr>
    </w:p>
    <w:p w14:paraId="3A6A9AF2">
      <w:pPr>
        <w:pStyle w:val="6"/>
        <w:rPr>
          <w:rFonts w:hint="eastAsia"/>
          <w:sz w:val="24"/>
        </w:rPr>
      </w:pPr>
    </w:p>
    <w:p w14:paraId="526CA9D4">
      <w:pPr>
        <w:pStyle w:val="6"/>
        <w:rPr>
          <w:rFonts w:hint="eastAsia"/>
          <w:sz w:val="24"/>
        </w:rPr>
      </w:pPr>
    </w:p>
    <w:p w14:paraId="0F965D6A">
      <w:pPr>
        <w:pStyle w:val="6"/>
        <w:rPr>
          <w:rFonts w:hint="eastAsia"/>
          <w:sz w:val="24"/>
        </w:rPr>
      </w:pPr>
    </w:p>
    <w:p w14:paraId="5F200179">
      <w:pPr>
        <w:pStyle w:val="6"/>
        <w:rPr>
          <w:rFonts w:hint="eastAsia"/>
          <w:sz w:val="24"/>
        </w:rPr>
      </w:pPr>
    </w:p>
    <w:p w14:paraId="0DD80CB8">
      <w:pPr>
        <w:pStyle w:val="6"/>
        <w:rPr>
          <w:rFonts w:hint="eastAsia"/>
          <w:sz w:val="24"/>
        </w:rPr>
      </w:pPr>
    </w:p>
    <w:p w14:paraId="660BF25B">
      <w:pPr>
        <w:pStyle w:val="6"/>
        <w:rPr>
          <w:rFonts w:hint="eastAsia"/>
          <w:sz w:val="24"/>
        </w:rPr>
      </w:pPr>
    </w:p>
    <w:p w14:paraId="6098BF9A">
      <w:pPr>
        <w:pStyle w:val="6"/>
        <w:rPr>
          <w:rFonts w:hint="eastAsia"/>
          <w:sz w:val="24"/>
        </w:rPr>
      </w:pPr>
    </w:p>
    <w:p w14:paraId="2BB8E8C5">
      <w:pPr>
        <w:pStyle w:val="6"/>
        <w:rPr>
          <w:rFonts w:hint="eastAsia"/>
          <w:sz w:val="24"/>
        </w:rPr>
      </w:pPr>
    </w:p>
    <w:p w14:paraId="5917DBB8">
      <w:pPr>
        <w:pStyle w:val="6"/>
        <w:rPr>
          <w:rFonts w:hint="eastAsia"/>
          <w:sz w:val="24"/>
        </w:rPr>
      </w:pPr>
    </w:p>
    <w:p w14:paraId="4A698370">
      <w:pPr>
        <w:pStyle w:val="6"/>
        <w:jc w:val="center"/>
        <w:rPr>
          <w:rFonts w:hint="default" w:eastAsia="宋体"/>
          <w:b w:val="0"/>
          <w:bCs/>
          <w:sz w:val="28"/>
          <w:szCs w:val="32"/>
          <w:lang w:val="en-US" w:eastAsia="zh-CN"/>
        </w:rPr>
      </w:pPr>
      <w:r>
        <w:rPr>
          <w:rFonts w:hint="eastAsia" w:eastAsia="宋体"/>
          <w:b w:val="0"/>
          <w:bCs/>
          <w:sz w:val="28"/>
          <w:szCs w:val="32"/>
          <w:lang w:val="en-US" w:eastAsia="zh-CN"/>
        </w:rPr>
        <w:t>（征求意见稿）</w:t>
      </w:r>
    </w:p>
    <w:p w14:paraId="336C3E8D">
      <w:pPr>
        <w:pStyle w:val="6"/>
        <w:rPr>
          <w:rFonts w:hint="eastAsia"/>
          <w:sz w:val="24"/>
        </w:rPr>
      </w:pPr>
    </w:p>
    <w:p w14:paraId="768AB27C">
      <w:pPr>
        <w:pStyle w:val="6"/>
        <w:rPr>
          <w:rFonts w:hint="eastAsia"/>
          <w:sz w:val="24"/>
        </w:rPr>
      </w:pPr>
    </w:p>
    <w:p w14:paraId="240CF599">
      <w:pPr>
        <w:pStyle w:val="6"/>
        <w:rPr>
          <w:b/>
          <w:sz w:val="20"/>
        </w:rPr>
      </w:pPr>
    </w:p>
    <w:p w14:paraId="6F33908D">
      <w:pPr>
        <w:pStyle w:val="6"/>
        <w:rPr>
          <w:b/>
          <w:sz w:val="20"/>
        </w:rPr>
      </w:pPr>
    </w:p>
    <w:p w14:paraId="6C163134">
      <w:pPr>
        <w:pStyle w:val="6"/>
        <w:rPr>
          <w:b/>
          <w:sz w:val="20"/>
        </w:rPr>
      </w:pPr>
    </w:p>
    <w:p w14:paraId="6D57DADD">
      <w:pPr>
        <w:pStyle w:val="6"/>
        <w:rPr>
          <w:b/>
          <w:sz w:val="20"/>
        </w:rPr>
      </w:pPr>
    </w:p>
    <w:p w14:paraId="44C4DA58">
      <w:pPr>
        <w:pStyle w:val="6"/>
        <w:rPr>
          <w:b/>
          <w:sz w:val="20"/>
        </w:rPr>
      </w:pPr>
    </w:p>
    <w:p w14:paraId="3E1D5802">
      <w:pPr>
        <w:pStyle w:val="6"/>
        <w:rPr>
          <w:b/>
          <w:sz w:val="20"/>
        </w:rPr>
      </w:pPr>
    </w:p>
    <w:p w14:paraId="296B1BA3">
      <w:pPr>
        <w:tabs>
          <w:tab w:val="left" w:pos="7654"/>
        </w:tabs>
        <w:spacing w:before="163"/>
        <w:ind w:left="295" w:right="0" w:firstLine="0"/>
        <w:jc w:val="center"/>
        <w:rPr>
          <w:rFonts w:hint="eastAsia" w:ascii="黑体" w:eastAsia="黑体"/>
          <w:sz w:val="28"/>
        </w:rPr>
      </w:pPr>
      <w:bookmarkStart w:id="18" w:name="_GoBack"/>
      <w:r>
        <mc:AlternateContent>
          <mc:Choice Requires="wps">
            <w:drawing>
              <wp:anchor distT="0" distB="0" distL="114300" distR="114300" simplePos="0" relativeHeight="251660288" behindDoc="1" locked="0" layoutInCell="1" allowOverlap="1">
                <wp:simplePos x="0" y="0"/>
                <wp:positionH relativeFrom="page">
                  <wp:posOffset>899160</wp:posOffset>
                </wp:positionH>
                <wp:positionV relativeFrom="paragraph">
                  <wp:posOffset>353060</wp:posOffset>
                </wp:positionV>
                <wp:extent cx="6120130" cy="0"/>
                <wp:effectExtent l="0" t="4445" r="0" b="5080"/>
                <wp:wrapTopAndBottom/>
                <wp:docPr id="10"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70.8pt;margin-top:27.8pt;height:0pt;width:481.9pt;mso-position-horizontal-relative:page;mso-wrap-distance-bottom:0pt;mso-wrap-distance-top:0pt;z-index:-251656192;mso-width-relative:page;mso-height-relative:page;" filled="f" stroked="t" coordsize="21600,21600" o:gfxdata="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w+Px9cA&#10;AAAKAQAADwAAAAAAAAABACAAAAAiAAAAZHJzL2Rvd25yZXYueG1sUEsBAhQAFAAAAAgAh07iQIu8&#10;AC/nAQAA3AMAAA4AAAAAAAAAAQAgAAAAJgEAAGRycy9lMm9Eb2MueG1sUEsFBgAAAAAGAAYAWQEA&#10;AH8FAAAAAA==&#10;">
                <v:fill on="f" focussize="0,0"/>
                <v:stroke color="#000000" joinstyle="round"/>
                <v:imagedata o:title=""/>
                <o:lock v:ext="edit" aspectratio="f"/>
                <w10:wrap type="topAndBottom"/>
              </v:line>
            </w:pict>
          </mc:Fallback>
        </mc:AlternateContent>
      </w:r>
      <w:r>
        <w:rPr>
          <w:rFonts w:hint="eastAsia"/>
          <w:lang w:val="en-US" w:eastAsia="zh-CN"/>
        </w:rPr>
        <w:t>2026—06—XX</w:t>
      </w:r>
      <w:r>
        <w:rPr>
          <w:rFonts w:hint="eastAsia" w:ascii="黑体" w:eastAsia="黑体"/>
          <w:spacing w:val="-69"/>
          <w:sz w:val="28"/>
          <w:lang w:val="en-US" w:eastAsia="zh-CN"/>
        </w:rPr>
        <w:t xml:space="preserve">   </w:t>
      </w:r>
      <w:bookmarkEnd w:id="18"/>
      <w:r>
        <w:rPr>
          <w:rFonts w:hint="eastAsia" w:ascii="黑体" w:eastAsia="黑体"/>
          <w:sz w:val="28"/>
        </w:rPr>
        <w:t>发布</w:t>
      </w:r>
      <w:r>
        <w:rPr>
          <w:rFonts w:hint="eastAsia" w:ascii="黑体" w:eastAsia="黑体"/>
          <w:sz w:val="28"/>
        </w:rPr>
        <w:tab/>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实施</w:t>
      </w:r>
    </w:p>
    <w:p w14:paraId="52E63578">
      <w:pPr>
        <w:pStyle w:val="6"/>
        <w:rPr>
          <w:rFonts w:ascii="黑体"/>
          <w:sz w:val="28"/>
        </w:rPr>
      </w:pPr>
    </w:p>
    <w:p w14:paraId="635EC882">
      <w:pPr>
        <w:pStyle w:val="6"/>
        <w:spacing w:before="4"/>
        <w:rPr>
          <w:rFonts w:ascii="黑体"/>
          <w:sz w:val="31"/>
        </w:rPr>
      </w:pPr>
    </w:p>
    <w:p w14:paraId="7AA4EE42">
      <w:pPr>
        <w:spacing w:before="0"/>
        <w:ind w:left="144" w:right="158" w:firstLine="0"/>
        <w:jc w:val="center"/>
        <w:rPr>
          <w:rFonts w:hint="default" w:ascii="Times New Roman" w:eastAsia="黑体"/>
          <w:sz w:val="17"/>
          <w:lang w:val="en-US" w:eastAsia="zh-CN"/>
        </w:rPr>
        <w:sectPr>
          <w:headerReference r:id="rId7" w:type="first"/>
          <w:headerReference r:id="rId5" w:type="default"/>
          <w:headerReference r:id="rId6" w:type="even"/>
          <w:pgSz w:w="11910" w:h="16840"/>
          <w:pgMar w:top="1580" w:right="720" w:bottom="280" w:left="1020" w:header="1417" w:footer="283" w:gutter="0"/>
          <w:pgNumType w:fmt="upperRoman"/>
          <w:cols w:space="720" w:num="1"/>
        </w:sectPr>
      </w:pPr>
      <w:r>
        <w:rPr>
          <w:rFonts w:hint="eastAsia" w:ascii="黑体" w:hAnsi="黑体" w:eastAsia="黑体"/>
          <w:sz w:val="28"/>
        </w:rPr>
        <w:t>江</w:t>
      </w:r>
      <w:r>
        <w:rPr>
          <w:rFonts w:hint="eastAsia" w:ascii="黑体" w:hAnsi="黑体" w:eastAsia="黑体"/>
          <w:sz w:val="28"/>
          <w:lang w:val="en-US" w:eastAsia="zh-CN"/>
        </w:rPr>
        <w:t>西</w:t>
      </w:r>
      <w:r>
        <w:rPr>
          <w:rFonts w:hint="eastAsia" w:ascii="黑体" w:hAnsi="黑体" w:eastAsia="黑体"/>
          <w:sz w:val="28"/>
        </w:rPr>
        <w:t>省工程师</w:t>
      </w:r>
      <w:r>
        <w:rPr>
          <w:rFonts w:hint="eastAsia" w:ascii="黑体" w:hAnsi="黑体" w:eastAsia="黑体"/>
          <w:sz w:val="28"/>
          <w:lang w:val="en-US" w:eastAsia="zh-CN"/>
        </w:rPr>
        <w:t>联合</w:t>
      </w:r>
      <w:r>
        <w:rPr>
          <w:rFonts w:hint="eastAsia" w:ascii="黑体" w:hAnsi="黑体" w:eastAsia="黑体"/>
          <w:sz w:val="28"/>
        </w:rPr>
        <w:t>会</w:t>
      </w:r>
      <w:r>
        <w:rPr>
          <w:rFonts w:ascii="Times New Roman" w:hAnsi="Times New Roman" w:eastAsia="Times New Roman"/>
          <w:sz w:val="28"/>
        </w:rPr>
        <w:t>  </w:t>
      </w:r>
      <w:r>
        <w:rPr>
          <w:rFonts w:hint="eastAsia" w:ascii="黑体" w:hAnsi="黑体" w:eastAsia="黑体"/>
          <w:sz w:val="28"/>
        </w:rPr>
        <w:t xml:space="preserve">发 </w:t>
      </w:r>
      <w:r>
        <w:rPr>
          <w:rFonts w:hint="eastAsia" w:ascii="黑体" w:hAnsi="黑体" w:eastAsia="黑体"/>
          <w:sz w:val="28"/>
          <w:lang w:val="en-US" w:eastAsia="zh-CN"/>
        </w:rPr>
        <w:t xml:space="preserve"> 布</w:t>
      </w:r>
    </w:p>
    <w:p w14:paraId="48817ACB">
      <w:pPr>
        <w:spacing w:beforeLines="100" w:afterLines="100" w:line="240" w:lineRule="auto"/>
        <w:ind w:left="0" w:right="0"/>
        <w:jc w:val="center"/>
        <w:rPr>
          <w:rFonts w:ascii="PingFang SC" w:hAnsi="PingFang SC" w:eastAsia="PingFang SC" w:cs="PingFang SC"/>
          <w:spacing w:val="-22"/>
          <w:sz w:val="31"/>
          <w:szCs w:val="31"/>
        </w:rPr>
      </w:pPr>
      <w:r>
        <w:rPr>
          <w:rFonts w:hint="eastAsia" w:ascii="黑体" w:hAnsi="黑体" w:eastAsia="黑体" w:cs="黑体"/>
          <w:spacing w:val="-22"/>
          <w:sz w:val="32"/>
          <w:szCs w:val="32"/>
        </w:rPr>
        <w:t>目</w:t>
      </w:r>
      <w:r>
        <w:rPr>
          <w:rFonts w:hint="eastAsia" w:ascii="黑体" w:hAnsi="黑体" w:eastAsia="黑体" w:cs="黑体"/>
          <w:spacing w:val="5"/>
          <w:sz w:val="32"/>
          <w:szCs w:val="32"/>
        </w:rPr>
        <w:t xml:space="preserve">  </w:t>
      </w:r>
      <w:r>
        <w:rPr>
          <w:rFonts w:hint="eastAsia" w:ascii="黑体" w:hAnsi="黑体" w:eastAsia="黑体" w:cs="黑体"/>
          <w:spacing w:val="-22"/>
          <w:sz w:val="32"/>
          <w:szCs w:val="32"/>
        </w:rPr>
        <w:t>次</w:t>
      </w:r>
    </w:p>
    <w:sdt>
      <w:sdtPr>
        <w:rPr>
          <w:rFonts w:ascii="宋体" w:hAnsi="宋体" w:eastAsia="宋体" w:cs="Arial"/>
          <w:snapToGrid w:val="0"/>
          <w:color w:val="000000"/>
          <w:kern w:val="0"/>
          <w:sz w:val="21"/>
          <w:szCs w:val="21"/>
          <w:lang w:val="en-US" w:eastAsia="en-US" w:bidi="ar-SA"/>
        </w:rPr>
        <w:id w:val="147454236"/>
        <w15:color w:val="DBDBDB"/>
        <w:docPartObj>
          <w:docPartGallery w:val="Table of Contents"/>
          <w:docPartUnique/>
        </w:docPartObj>
      </w:sdtPr>
      <w:sdtEndPr>
        <w:rPr>
          <w:rFonts w:ascii="Arial" w:hAnsi="Arial" w:eastAsia="Arial" w:cs="Arial"/>
          <w:snapToGrid w:val="0"/>
          <w:color w:val="000000"/>
          <w:kern w:val="0"/>
          <w:sz w:val="21"/>
          <w:szCs w:val="21"/>
          <w:lang w:val="en-US" w:eastAsia="en-US" w:bidi="ar-SA"/>
        </w:rPr>
      </w:sdtEndPr>
      <w:sdtContent>
        <w:p w14:paraId="7917843A">
          <w:pPr>
            <w:spacing w:before="0" w:beforeLines="0" w:after="0" w:afterLines="0" w:line="240" w:lineRule="auto"/>
            <w:ind w:left="0" w:leftChars="0" w:right="0" w:rightChars="0" w:firstLine="0" w:firstLineChars="0"/>
            <w:jc w:val="center"/>
          </w:pPr>
        </w:p>
        <w:p w14:paraId="46E8D19E">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TOC \o "1-1" \h \u </w:instrText>
          </w:r>
          <w:r>
            <w:rPr>
              <w:rFonts w:hint="eastAsia" w:ascii="黑体" w:hAnsi="黑体" w:eastAsia="黑体" w:cs="黑体"/>
            </w:rPr>
            <w:fldChar w:fldCharType="separate"/>
          </w:r>
          <w:r>
            <w:rPr>
              <w:rFonts w:hint="eastAsia" w:ascii="黑体" w:hAnsi="黑体" w:eastAsia="黑体" w:cs="黑体"/>
            </w:rPr>
            <w:fldChar w:fldCharType="begin"/>
          </w:r>
          <w:r>
            <w:rPr>
              <w:rFonts w:hint="eastAsia" w:ascii="黑体" w:hAnsi="黑体" w:eastAsia="黑体" w:cs="黑体"/>
            </w:rPr>
            <w:instrText xml:space="preserve"> HYPERLINK \l _Toc26319 </w:instrText>
          </w:r>
          <w:r>
            <w:rPr>
              <w:rFonts w:hint="eastAsia" w:ascii="黑体" w:hAnsi="黑体" w:eastAsia="黑体" w:cs="黑体"/>
            </w:rPr>
            <w:fldChar w:fldCharType="separate"/>
          </w:r>
          <w:r>
            <w:rPr>
              <w:rFonts w:hint="eastAsia" w:ascii="黑体" w:hAnsi="黑体" w:eastAsia="黑体" w:cs="黑体"/>
              <w:spacing w:val="-2"/>
              <w:szCs w:val="32"/>
            </w:rPr>
            <w:t>前</w:t>
          </w:r>
          <w:r>
            <w:rPr>
              <w:rFonts w:hint="eastAsia" w:ascii="黑体" w:hAnsi="黑体" w:eastAsia="黑体" w:cs="黑体"/>
              <w:spacing w:val="-2"/>
              <w:szCs w:val="32"/>
              <w:lang w:val="en-US" w:eastAsia="zh-CN"/>
            </w:rPr>
            <w:t xml:space="preserve"> </w:t>
          </w:r>
          <w:r>
            <w:rPr>
              <w:rFonts w:hint="eastAsia" w:ascii="黑体" w:hAnsi="黑体" w:eastAsia="黑体" w:cs="黑体"/>
              <w:spacing w:val="-2"/>
              <w:szCs w:val="32"/>
            </w:rPr>
            <w:t>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_Toc26319 \h </w:instrText>
          </w:r>
          <w:r>
            <w:rPr>
              <w:rFonts w:hint="eastAsia" w:ascii="黑体" w:hAnsi="黑体" w:eastAsia="黑体" w:cs="黑体"/>
            </w:rPr>
            <w:fldChar w:fldCharType="separate"/>
          </w:r>
          <w:r>
            <w:rPr>
              <w:rFonts w:hint="eastAsia" w:ascii="黑体" w:hAnsi="黑体" w:eastAsia="黑体" w:cs="黑体"/>
            </w:rPr>
            <w:t>II</w:t>
          </w:r>
          <w:r>
            <w:rPr>
              <w:rFonts w:hint="eastAsia" w:ascii="黑体" w:hAnsi="黑体" w:eastAsia="黑体" w:cs="黑体"/>
            </w:rPr>
            <w:fldChar w:fldCharType="end"/>
          </w:r>
          <w:r>
            <w:rPr>
              <w:rFonts w:hint="eastAsia" w:ascii="黑体" w:hAnsi="黑体" w:eastAsia="黑体" w:cs="黑体"/>
            </w:rPr>
            <w:fldChar w:fldCharType="end"/>
          </w:r>
        </w:p>
        <w:p w14:paraId="13F2051E">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_Toc10806 </w:instrText>
          </w:r>
          <w:r>
            <w:rPr>
              <w:rFonts w:hint="eastAsia" w:ascii="黑体" w:hAnsi="黑体" w:eastAsia="黑体" w:cs="黑体"/>
            </w:rPr>
            <w:fldChar w:fldCharType="separate"/>
          </w:r>
          <w:r>
            <w:rPr>
              <w:rFonts w:hint="eastAsia" w:ascii="黑体" w:hAnsi="黑体" w:eastAsia="黑体" w:cs="黑体"/>
              <w:spacing w:val="-2"/>
              <w:szCs w:val="32"/>
              <w:lang w:val="en-US" w:eastAsia="zh-CN"/>
            </w:rPr>
            <w:t>引</w:t>
          </w:r>
          <w:r>
            <w:rPr>
              <w:rFonts w:hint="eastAsia" w:ascii="黑体" w:hAnsi="黑体" w:eastAsia="黑体" w:cs="黑体"/>
              <w:spacing w:val="-2"/>
              <w:szCs w:val="32"/>
            </w:rPr>
            <w:t xml:space="preserve"> 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_Toc10806 \h </w:instrText>
          </w:r>
          <w:r>
            <w:rPr>
              <w:rFonts w:hint="eastAsia" w:ascii="黑体" w:hAnsi="黑体" w:eastAsia="黑体" w:cs="黑体"/>
            </w:rPr>
            <w:fldChar w:fldCharType="separate"/>
          </w:r>
          <w:r>
            <w:rPr>
              <w:rFonts w:hint="eastAsia" w:ascii="黑体" w:hAnsi="黑体" w:eastAsia="黑体" w:cs="黑体"/>
            </w:rPr>
            <w:t>III</w:t>
          </w:r>
          <w:r>
            <w:rPr>
              <w:rFonts w:hint="eastAsia" w:ascii="黑体" w:hAnsi="黑体" w:eastAsia="黑体" w:cs="黑体"/>
            </w:rPr>
            <w:fldChar w:fldCharType="end"/>
          </w:r>
          <w:r>
            <w:rPr>
              <w:rFonts w:hint="eastAsia" w:ascii="黑体" w:hAnsi="黑体" w:eastAsia="黑体" w:cs="黑体"/>
            </w:rPr>
            <w:fldChar w:fldCharType="end"/>
          </w:r>
        </w:p>
        <w:p w14:paraId="30F88CEB">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_Toc16505 </w:instrText>
          </w:r>
          <w:r>
            <w:rPr>
              <w:rFonts w:hint="eastAsia" w:ascii="黑体" w:hAnsi="黑体" w:eastAsia="黑体" w:cs="黑体"/>
            </w:rPr>
            <w:fldChar w:fldCharType="separate"/>
          </w:r>
          <w:r>
            <w:rPr>
              <w:rFonts w:hint="eastAsia" w:ascii="黑体" w:hAnsi="黑体" w:eastAsia="黑体" w:cs="黑体"/>
            </w:rPr>
            <w:t>1  范围</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_Toc16505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3AAF7D50">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_Toc22134 </w:instrText>
          </w:r>
          <w:r>
            <w:rPr>
              <w:rFonts w:hint="eastAsia" w:ascii="黑体" w:hAnsi="黑体" w:eastAsia="黑体" w:cs="黑体"/>
            </w:rPr>
            <w:fldChar w:fldCharType="separate"/>
          </w:r>
          <w:r>
            <w:rPr>
              <w:rFonts w:hint="eastAsia" w:ascii="黑体" w:hAnsi="黑体" w:eastAsia="黑体" w:cs="黑体"/>
            </w:rPr>
            <w:t>2  规范性引用文件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_Toc22134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6D3DF4AD">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_Toc23454 </w:instrText>
          </w:r>
          <w:r>
            <w:rPr>
              <w:rFonts w:hint="eastAsia" w:ascii="黑体" w:hAnsi="黑体" w:eastAsia="黑体" w:cs="黑体"/>
            </w:rPr>
            <w:fldChar w:fldCharType="separate"/>
          </w:r>
          <w:r>
            <w:rPr>
              <w:rFonts w:hint="eastAsia" w:ascii="黑体" w:hAnsi="黑体" w:eastAsia="黑体" w:cs="黑体"/>
            </w:rPr>
            <w:t>3  术语和定义</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_Toc23454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061291E2">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_Toc17017 </w:instrText>
          </w:r>
          <w:r>
            <w:rPr>
              <w:rFonts w:hint="eastAsia" w:ascii="黑体" w:hAnsi="黑体" w:eastAsia="黑体" w:cs="黑体"/>
            </w:rPr>
            <w:fldChar w:fldCharType="separate"/>
          </w:r>
          <w:r>
            <w:rPr>
              <w:rFonts w:hint="eastAsia" w:ascii="黑体" w:hAnsi="黑体" w:eastAsia="黑体" w:cs="黑体"/>
            </w:rPr>
            <w:t>4  绩效管理总体架构</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_Toc17017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7CE3CFCA">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_Toc2019 </w:instrText>
          </w:r>
          <w:r>
            <w:rPr>
              <w:rFonts w:hint="eastAsia" w:ascii="黑体" w:hAnsi="黑体" w:eastAsia="黑体" w:cs="黑体"/>
            </w:rPr>
            <w:fldChar w:fldCharType="separate"/>
          </w:r>
          <w:r>
            <w:rPr>
              <w:rFonts w:hint="eastAsia" w:ascii="黑体" w:hAnsi="黑体" w:eastAsia="黑体" w:cs="黑体"/>
            </w:rPr>
            <w:t>5  指标体系设计与管理</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_Toc2019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416552ED">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_Toc29419 </w:instrText>
          </w:r>
          <w:r>
            <w:rPr>
              <w:rFonts w:hint="eastAsia" w:ascii="黑体" w:hAnsi="黑体" w:eastAsia="黑体" w:cs="黑体"/>
            </w:rPr>
            <w:fldChar w:fldCharType="separate"/>
          </w:r>
          <w:r>
            <w:rPr>
              <w:rFonts w:hint="eastAsia" w:ascii="黑体" w:hAnsi="黑体" w:eastAsia="黑体" w:cs="黑体"/>
            </w:rPr>
            <w:t>6  目标分配与任务管理</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_Toc29419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5717CAAE">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_Toc17519 </w:instrText>
          </w:r>
          <w:r>
            <w:rPr>
              <w:rFonts w:hint="eastAsia" w:ascii="黑体" w:hAnsi="黑体" w:eastAsia="黑体" w:cs="黑体"/>
            </w:rPr>
            <w:fldChar w:fldCharType="separate"/>
          </w:r>
          <w:r>
            <w:rPr>
              <w:rFonts w:hint="eastAsia" w:ascii="黑体" w:hAnsi="黑体" w:eastAsia="黑体" w:cs="黑体"/>
            </w:rPr>
            <w:t>7  绩效考核程序</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_Toc17519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4B2D8FD8">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_Toc2748 </w:instrText>
          </w:r>
          <w:r>
            <w:rPr>
              <w:rFonts w:hint="eastAsia" w:ascii="黑体" w:hAnsi="黑体" w:eastAsia="黑体" w:cs="黑体"/>
            </w:rPr>
            <w:fldChar w:fldCharType="separate"/>
          </w:r>
          <w:r>
            <w:rPr>
              <w:rFonts w:hint="eastAsia" w:ascii="黑体" w:hAnsi="黑体" w:eastAsia="黑体" w:cs="黑体"/>
            </w:rPr>
            <w:t>8  结果应用与激励机制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_Toc2748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22B14BD6">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_Toc28473 </w:instrText>
          </w:r>
          <w:r>
            <w:rPr>
              <w:rFonts w:hint="eastAsia" w:ascii="黑体" w:hAnsi="黑体" w:eastAsia="黑体" w:cs="黑体"/>
            </w:rPr>
            <w:fldChar w:fldCharType="separate"/>
          </w:r>
          <w:r>
            <w:rPr>
              <w:rFonts w:hint="eastAsia" w:ascii="黑体" w:hAnsi="黑体" w:eastAsia="黑体" w:cs="黑体"/>
            </w:rPr>
            <w:t>9  绩效改进与持续优化</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_Toc28473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1F3722C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hAnsi="Arial" w:eastAsia="Arial" w:cs="Arial"/>
              <w:snapToGrid w:val="0"/>
              <w:color w:val="000000"/>
              <w:kern w:val="0"/>
              <w:sz w:val="21"/>
              <w:szCs w:val="21"/>
              <w:lang w:val="en-US" w:eastAsia="en-US" w:bidi="ar-SA"/>
            </w:rPr>
            <w:sectPr>
              <w:headerReference r:id="rId8" w:type="default"/>
              <w:footerReference r:id="rId10" w:type="default"/>
              <w:headerReference r:id="rId9" w:type="even"/>
              <w:footerReference r:id="rId11" w:type="even"/>
              <w:pgSz w:w="11910" w:h="16840"/>
              <w:pgMar w:top="1417" w:right="1134" w:bottom="1134" w:left="1417" w:header="1417" w:footer="1395" w:gutter="0"/>
              <w:pgNumType w:fmt="upperRoman" w:start="1"/>
              <w:cols w:space="720" w:num="1"/>
            </w:sectPr>
          </w:pPr>
          <w:r>
            <w:rPr>
              <w:rFonts w:hint="eastAsia" w:ascii="黑体" w:hAnsi="黑体" w:eastAsia="黑体" w:cs="黑体"/>
            </w:rPr>
            <w:fldChar w:fldCharType="end"/>
          </w:r>
        </w:p>
      </w:sdtContent>
    </w:sdt>
    <w:p w14:paraId="597247B1">
      <w:pPr>
        <w:spacing w:beforeLines="100" w:afterLines="100" w:line="240" w:lineRule="auto"/>
        <w:ind w:left="0" w:right="0"/>
        <w:jc w:val="center"/>
        <w:outlineLvl w:val="0"/>
        <w:rPr>
          <w:sz w:val="21"/>
          <w:szCs w:val="21"/>
        </w:rPr>
      </w:pPr>
      <w:bookmarkStart w:id="1" w:name="_Toc12046"/>
      <w:bookmarkStart w:id="2" w:name="_Toc14474"/>
      <w:bookmarkStart w:id="3" w:name="_Toc6131"/>
      <w:bookmarkStart w:id="4" w:name="_Toc26319"/>
      <w:r>
        <w:rPr>
          <w:rFonts w:hint="eastAsia" w:ascii="黑体" w:hAnsi="黑体" w:eastAsia="黑体" w:cs="黑体"/>
          <w:spacing w:val="-2"/>
          <w:sz w:val="32"/>
          <w:szCs w:val="32"/>
        </w:rPr>
        <w:t>前</w:t>
      </w:r>
      <w:r>
        <w:rPr>
          <w:rFonts w:hint="eastAsia" w:ascii="黑体" w:hAnsi="黑体" w:eastAsia="黑体" w:cs="黑体"/>
          <w:spacing w:val="-2"/>
          <w:sz w:val="32"/>
          <w:szCs w:val="32"/>
          <w:lang w:val="en-US" w:eastAsia="zh-CN"/>
        </w:rPr>
        <w:t xml:space="preserve">  </w:t>
      </w:r>
      <w:r>
        <w:rPr>
          <w:rFonts w:hint="eastAsia" w:ascii="黑体" w:hAnsi="黑体" w:eastAsia="黑体" w:cs="黑体"/>
          <w:spacing w:val="-2"/>
          <w:sz w:val="32"/>
          <w:szCs w:val="32"/>
        </w:rPr>
        <w:t>言</w:t>
      </w:r>
      <w:bookmarkEnd w:id="1"/>
      <w:bookmarkEnd w:id="2"/>
      <w:bookmarkEnd w:id="3"/>
      <w:bookmarkEnd w:id="4"/>
    </w:p>
    <w:p w14:paraId="0361EF77">
      <w:pPr>
        <w:keepNext w:val="0"/>
        <w:keepLines w:val="0"/>
        <w:pageBreakBefore w:val="0"/>
        <w:widowControl/>
        <w:kinsoku w:val="0"/>
        <w:wordWrap/>
        <w:overflowPunct/>
        <w:topLinePunct w:val="0"/>
        <w:autoSpaceDE w:val="0"/>
        <w:autoSpaceDN w:val="0"/>
        <w:bidi w:val="0"/>
        <w:adjustRightInd w:val="0"/>
        <w:snapToGrid w:val="0"/>
        <w:spacing w:line="240" w:lineRule="auto"/>
        <w:ind w:left="210" w:leftChars="100" w:right="0" w:firstLine="224" w:firstLineChars="100"/>
        <w:jc w:val="both"/>
        <w:textAlignment w:val="baseline"/>
        <w:rPr>
          <w:rFonts w:hint="eastAsia" w:ascii="宋体" w:hAnsi="宋体" w:eastAsia="宋体" w:cs="宋体"/>
          <w:spacing w:val="7"/>
          <w:sz w:val="21"/>
          <w:szCs w:val="21"/>
          <w:lang w:val="en-US" w:eastAsia="en-US"/>
        </w:rPr>
      </w:pPr>
      <w:r>
        <w:rPr>
          <w:rFonts w:hint="eastAsia" w:ascii="宋体" w:hAnsi="宋体" w:eastAsia="宋体" w:cs="宋体"/>
          <w:spacing w:val="7"/>
          <w:sz w:val="21"/>
          <w:szCs w:val="21"/>
          <w:lang w:val="en-US" w:eastAsia="en-US"/>
        </w:rPr>
        <w:t>本文件依据GB/T 1.1-2020 《标准化工作导则 第1部分：标准化文件的结构和起草规则》的规定起草。</w:t>
      </w:r>
    </w:p>
    <w:p w14:paraId="67A49050">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请注意本文件的某些内容可能涉及专利。 本文件的发布机构不承担识别专利的责任。</w:t>
      </w:r>
    </w:p>
    <w:p w14:paraId="278B52D3">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本文件由江西省工程师联合会提出</w:t>
      </w:r>
      <w:r>
        <w:rPr>
          <w:rFonts w:hint="eastAsia" w:ascii="Times New Roman" w:hAnsi="Times New Roman" w:eastAsia="宋体" w:cs="Times New Roman"/>
          <w:sz w:val="21"/>
          <w:szCs w:val="21"/>
          <w:lang w:val="en-US" w:eastAsia="zh-CN"/>
        </w:rPr>
        <w:t>并归口</w:t>
      </w:r>
      <w:r>
        <w:rPr>
          <w:rFonts w:hint="eastAsia" w:ascii="Times New Roman" w:hAnsi="Times New Roman" w:eastAsia="宋体" w:cs="Times New Roman"/>
          <w:sz w:val="21"/>
          <w:szCs w:val="21"/>
          <w:lang w:val="en-US" w:eastAsia="en-US"/>
        </w:rPr>
        <w:t>。</w:t>
      </w:r>
    </w:p>
    <w:p w14:paraId="0C3B931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本文件起草单位：</w:t>
      </w:r>
    </w:p>
    <w:p w14:paraId="51C24F3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b/>
          <w:bCs/>
          <w:sz w:val="21"/>
          <w:szCs w:val="21"/>
          <w:lang w:val="en-US" w:eastAsia="zh-CN"/>
        </w:rPr>
        <w:sectPr>
          <w:headerReference r:id="rId12" w:type="default"/>
          <w:footerReference r:id="rId14" w:type="default"/>
          <w:headerReference r:id="rId13" w:type="even"/>
          <w:footerReference r:id="rId15" w:type="even"/>
          <w:pgSz w:w="11910" w:h="16840"/>
          <w:pgMar w:top="1417" w:right="1134" w:bottom="1134" w:left="1417" w:header="1417" w:footer="1395" w:gutter="0"/>
          <w:pgNumType w:fmt="upperRoman"/>
          <w:cols w:space="720" w:num="1"/>
        </w:sectPr>
      </w:pPr>
      <w:r>
        <w:rPr>
          <w:rFonts w:hint="eastAsia" w:ascii="Times New Roman" w:hAnsi="Times New Roman" w:eastAsia="宋体" w:cs="Times New Roman"/>
          <w:sz w:val="21"/>
          <w:szCs w:val="21"/>
          <w:lang w:val="en-US" w:eastAsia="en-US"/>
        </w:rPr>
        <w:t>本文件主要起草人：</w:t>
      </w:r>
    </w:p>
    <w:p w14:paraId="2B5BEB1E">
      <w:pPr>
        <w:spacing w:beforeLines="100" w:afterLines="100" w:line="240" w:lineRule="auto"/>
        <w:ind w:left="0" w:right="0"/>
        <w:jc w:val="center"/>
        <w:outlineLvl w:val="0"/>
        <w:rPr>
          <w:rFonts w:hint="eastAsia" w:ascii="黑体" w:hAnsi="黑体" w:eastAsia="黑体" w:cs="黑体"/>
          <w:spacing w:val="-2"/>
          <w:sz w:val="32"/>
          <w:szCs w:val="32"/>
        </w:rPr>
      </w:pPr>
      <w:bookmarkStart w:id="5" w:name="_Toc17701"/>
      <w:bookmarkStart w:id="6" w:name="_Toc879"/>
      <w:bookmarkStart w:id="7" w:name="_Toc30364"/>
      <w:bookmarkStart w:id="8" w:name="_Toc10806"/>
      <w:r>
        <w:rPr>
          <w:rFonts w:hint="eastAsia" w:ascii="黑体" w:hAnsi="黑体" w:eastAsia="黑体" w:cs="黑体"/>
          <w:spacing w:val="-2"/>
          <w:sz w:val="32"/>
          <w:szCs w:val="32"/>
          <w:lang w:val="en-US" w:eastAsia="zh-CN"/>
        </w:rPr>
        <w:t>引</w:t>
      </w:r>
      <w:r>
        <w:rPr>
          <w:rFonts w:hint="eastAsia" w:ascii="黑体" w:hAnsi="黑体" w:eastAsia="黑体" w:cs="黑体"/>
          <w:spacing w:val="-2"/>
          <w:sz w:val="32"/>
          <w:szCs w:val="32"/>
        </w:rPr>
        <w:t xml:space="preserve">  言</w:t>
      </w:r>
      <w:bookmarkEnd w:id="5"/>
      <w:bookmarkEnd w:id="6"/>
      <w:bookmarkEnd w:id="7"/>
      <w:bookmarkEnd w:id="8"/>
    </w:p>
    <w:p w14:paraId="3BCDBB3E">
      <w:pPr>
        <w:keepNext w:val="0"/>
        <w:keepLines w:val="0"/>
        <w:pageBreakBefore w:val="0"/>
        <w:widowControl/>
        <w:kinsoku/>
        <w:wordWrap/>
        <w:overflowPunct w:val="0"/>
        <w:topLinePunct w:val="0"/>
        <w:autoSpaceDE w:val="0"/>
        <w:autoSpaceDN w:val="0"/>
        <w:bidi w:val="0"/>
        <w:adjustRightInd w:val="0"/>
        <w:snapToGrid w:val="0"/>
        <w:spacing w:line="240" w:lineRule="auto"/>
        <w:ind w:right="0" w:firstLine="420" w:firstLineChars="200"/>
        <w:jc w:val="both"/>
        <w:textAlignment w:val="baseline"/>
        <w:rPr>
          <w:rFonts w:hint="eastAsia" w:ascii="宋体" w:hAnsi="宋体" w:eastAsia="宋体" w:cs="宋体"/>
          <w:spacing w:val="7"/>
          <w:sz w:val="21"/>
          <w:szCs w:val="21"/>
          <w:lang w:val="en-US" w:eastAsia="en-US"/>
        </w:rPr>
        <w:sectPr>
          <w:headerReference r:id="rId16" w:type="default"/>
          <w:footerReference r:id="rId18" w:type="default"/>
          <w:headerReference r:id="rId17" w:type="even"/>
          <w:footerReference r:id="rId19" w:type="even"/>
          <w:pgSz w:w="11910" w:h="16840"/>
          <w:pgMar w:top="1417" w:right="1134" w:bottom="1134" w:left="1417" w:header="1417" w:footer="283" w:gutter="0"/>
          <w:pgNumType w:fmt="upperRoman"/>
          <w:cols w:space="720" w:num="1"/>
        </w:sectPr>
      </w:pPr>
      <w:r>
        <w:rPr>
          <w:rFonts w:hint="eastAsia" w:ascii="宋体" w:hAnsi="宋体" w:eastAsia="宋体" w:cs="宋体"/>
          <w:sz w:val="21"/>
          <w:szCs w:val="21"/>
        </w:rPr>
        <w:t>绩效管理是现代组织实现战略目标、提升管理效能的核心手段之一。随着机关事业单位和各类社会组织对管理精细化水平要求的持续提高，建立一套科学完整、运行有效的绩效管理体系已成为组织提质增效的内在需求。为规范绩效管理体系的构建路径和运行机制，明确指标设计、目标分配、考核程序及结果应用等关键环节的操作要求，结合国家有关绩效管理政策导向及相关标准规定，制定本指南。本指南的实施有助于推动组织绩效管理从经验驱动向标准驱动转变，构建以目标管理为主线、以数据支撑为基础、以激励机制为保障的闭环管理体系，为组织高质量发展提供制度支撑。</w:t>
      </w:r>
    </w:p>
    <w:p w14:paraId="59CCDABE">
      <w:pPr>
        <w:jc w:val="center"/>
        <w:rPr>
          <w:rFonts w:hint="eastAsia" w:ascii="黑体" w:hAnsi="黑体" w:eastAsia="黑体" w:cs="黑体"/>
          <w:sz w:val="32"/>
          <w:szCs w:val="32"/>
        </w:rPr>
      </w:pPr>
      <w:r>
        <w:rPr>
          <w:rFonts w:hint="eastAsia" w:ascii="黑体" w:hAnsi="黑体" w:eastAsia="黑体" w:cs="黑体"/>
          <w:sz w:val="32"/>
          <w:szCs w:val="32"/>
        </w:rPr>
        <w:t>管理体系构建与运行指南</w:t>
      </w:r>
    </w:p>
    <w:p w14:paraId="61A101A1">
      <w:pPr>
        <w:rPr>
          <w:rFonts w:hint="eastAsia" w:ascii="Times New Roman" w:hAnsi="Times New Roman" w:eastAsia="黑体" w:cs="黑体"/>
          <w:sz w:val="21"/>
          <w:szCs w:val="21"/>
        </w:rPr>
      </w:pPr>
    </w:p>
    <w:p w14:paraId="4EFFAD42">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9" w:name="_Toc16505"/>
      <w:r>
        <w:rPr>
          <w:rFonts w:hint="eastAsia"/>
        </w:rPr>
        <w:t>1  范围</w:t>
      </w:r>
      <w:bookmarkEnd w:id="9"/>
    </w:p>
    <w:p w14:paraId="3364A039">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文件</w:t>
      </w:r>
      <w:r>
        <w:rPr>
          <w:rFonts w:hint="eastAsia" w:ascii="Times New Roman" w:hAnsi="Times New Roman" w:eastAsia="宋体" w:cs="宋体"/>
          <w:sz w:val="21"/>
          <w:szCs w:val="21"/>
        </w:rPr>
        <w:t>规定了组织绩效管理体系的总体架构、指标体系设计原则、目标分配与任务管理方法、绩效考核周期与程序、结果应用与激励机制、绩效改进计划制定及绩效数据统计报告要求。</w:t>
      </w:r>
    </w:p>
    <w:p w14:paraId="4F18AE38">
      <w:pPr>
        <w:spacing w:line="240" w:lineRule="auto"/>
        <w:ind w:firstLine="500" w:firstLineChars="0"/>
        <w:jc w:val="both"/>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文件</w:t>
      </w:r>
      <w:r>
        <w:rPr>
          <w:rFonts w:hint="eastAsia" w:ascii="Times New Roman" w:hAnsi="Times New Roman" w:eastAsia="宋体" w:cs="宋体"/>
          <w:sz w:val="21"/>
          <w:szCs w:val="21"/>
        </w:rPr>
        <w:t>适用于机关事业单位以及各类社会组织绩效管理体系的创建、执行和持续改善工作，企业组织也可参照执行。</w:t>
      </w:r>
    </w:p>
    <w:p w14:paraId="67D55FA8">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0" w:name="_Toc22134"/>
      <w:r>
        <w:rPr>
          <w:rFonts w:hint="eastAsia"/>
        </w:rPr>
        <w:t>2  规范性引用文件</w:t>
      </w:r>
      <w:bookmarkEnd w:id="10"/>
    </w:p>
    <w:p w14:paraId="5F437C07">
      <w:pPr>
        <w:ind w:firstLine="420"/>
        <w:rPr>
          <w:rFonts w:hint="eastAsia" w:ascii="宋体" w:hAnsi="宋体" w:eastAsia="宋体" w:cs="宋体"/>
        </w:rPr>
      </w:pPr>
      <w:r>
        <w:rPr>
          <w:rFonts w:hint="eastAsia" w:ascii="宋体" w:hAnsi="宋体" w:eastAsia="宋体" w:cs="宋体"/>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51B8E33">
      <w:pPr>
        <w:ind w:firstLine="420"/>
        <w:rPr>
          <w:rFonts w:hint="eastAsia" w:ascii="宋体" w:hAnsi="宋体" w:eastAsia="宋体" w:cs="宋体"/>
        </w:rPr>
      </w:pPr>
      <w:r>
        <w:rPr>
          <w:rFonts w:hint="eastAsia" w:ascii="宋体" w:hAnsi="宋体" w:eastAsia="宋体" w:cs="宋体"/>
        </w:rPr>
        <w:t>GB/T 19001 质量管理体系 要求
</w:t>
      </w:r>
    </w:p>
    <w:p w14:paraId="5A15B3B5">
      <w:pPr>
        <w:ind w:firstLine="420"/>
        <w:rPr>
          <w:rFonts w:hint="eastAsia" w:ascii="宋体" w:hAnsi="宋体" w:eastAsia="宋体" w:cs="宋体"/>
        </w:rPr>
      </w:pPr>
      <w:r>
        <w:rPr>
          <w:rFonts w:hint="eastAsia" w:ascii="宋体" w:hAnsi="宋体" w:eastAsia="宋体" w:cs="宋体"/>
        </w:rPr>
        <w:t>GB/T 23694 风险管理 术语
</w:t>
      </w:r>
    </w:p>
    <w:p w14:paraId="5D7A4BA8">
      <w:pPr>
        <w:ind w:firstLine="420"/>
        <w:rPr>
          <w:rFonts w:hint="eastAsia" w:ascii="宋体" w:hAnsi="宋体" w:eastAsia="宋体" w:cs="宋体"/>
        </w:rPr>
      </w:pPr>
      <w:r>
        <w:rPr>
          <w:rFonts w:hint="eastAsia" w:ascii="宋体" w:hAnsi="宋体" w:eastAsia="宋体" w:cs="宋体"/>
        </w:rPr>
        <w:t>GB/T 24421.1 服务业组织标准化工作指南 第1部分：基本要求</w:t>
      </w:r>
    </w:p>
    <w:p w14:paraId="7344E06A">
      <w:pPr>
        <w:ind w:firstLine="420"/>
        <w:rPr>
          <w:rFonts w:hint="eastAsia" w:ascii="宋体" w:hAnsi="宋体" w:eastAsia="宋体" w:cs="宋体"/>
        </w:rPr>
      </w:pPr>
      <w:r>
        <w:rPr>
          <w:rFonts w:hint="eastAsia" w:ascii="宋体" w:hAnsi="宋体" w:eastAsia="宋体" w:cs="宋体"/>
        </w:rPr>
        <w:t>GB/T 31950 企业诚信管理体系</w:t>
      </w:r>
    </w:p>
    <w:p w14:paraId="4754640E">
      <w:pPr>
        <w:ind w:firstLine="420"/>
        <w:rPr>
          <w:rFonts w:hint="eastAsia" w:ascii="宋体" w:hAnsi="宋体" w:eastAsia="宋体" w:cs="宋体"/>
        </w:rPr>
      </w:pPr>
      <w:r>
        <w:rPr>
          <w:rFonts w:hint="eastAsia" w:ascii="宋体" w:hAnsi="宋体" w:eastAsia="宋体" w:cs="宋体"/>
        </w:rPr>
        <w:t>GB/T 33000 企业安全生产标准化基本规范</w:t>
      </w:r>
    </w:p>
    <w:p w14:paraId="750D9D27">
      <w:pPr>
        <w:ind w:firstLine="420"/>
        <w:rPr>
          <w:rFonts w:hint="eastAsia" w:ascii="宋体" w:hAnsi="宋体" w:eastAsia="宋体" w:cs="宋体"/>
        </w:rPr>
      </w:pPr>
      <w:r>
        <w:rPr>
          <w:rFonts w:hint="eastAsia" w:ascii="宋体" w:hAnsi="宋体" w:eastAsia="宋体" w:cs="宋体"/>
        </w:rPr>
        <w:t>GB/T 35770 合规管理体系 要求及使用指南
</w:t>
      </w:r>
    </w:p>
    <w:p w14:paraId="4C2C0078">
      <w:pPr>
        <w:ind w:firstLine="420"/>
        <w:rPr>
          <w:rFonts w:hint="eastAsia" w:ascii="宋体" w:hAnsi="宋体" w:eastAsia="宋体" w:cs="宋体"/>
        </w:rPr>
      </w:pPr>
      <w:r>
        <w:rPr>
          <w:rFonts w:hint="eastAsia" w:ascii="宋体" w:hAnsi="宋体" w:eastAsia="宋体" w:cs="宋体"/>
        </w:rPr>
        <w:t>DB/T 29 绩效评估通则（行业参考）</w:t>
      </w:r>
    </w:p>
    <w:p w14:paraId="7E38005E">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1" w:name="_Toc23454"/>
      <w:r>
        <w:rPr>
          <w:rFonts w:hint="eastAsia"/>
        </w:rPr>
        <w:t>3  术语和定义</w:t>
      </w:r>
      <w:bookmarkEnd w:id="11"/>
    </w:p>
    <w:p w14:paraId="0C264BB6">
      <w:pPr>
        <w:spacing w:line="240" w:lineRule="auto"/>
        <w:ind w:firstLine="500" w:firstLineChars="0"/>
        <w:jc w:val="both"/>
        <w:rPr>
          <w:rFonts w:hint="eastAsia" w:ascii="宋体" w:hAnsi="宋体" w:eastAsia="宋体" w:cs="宋体"/>
        </w:rPr>
      </w:pPr>
      <w:r>
        <w:rPr>
          <w:rFonts w:hint="eastAsia" w:ascii="Times New Roman" w:hAnsi="Times New Roman" w:eastAsia="宋体" w:cs="宋体"/>
          <w:sz w:val="21"/>
          <w:szCs w:val="21"/>
        </w:rPr>
        <w:t>下</w:t>
      </w:r>
      <w:r>
        <w:rPr>
          <w:rFonts w:hint="eastAsia" w:ascii="宋体" w:hAnsi="宋体" w:eastAsia="宋体" w:cs="宋体"/>
        </w:rPr>
        <w:t>列术语和定义适用于本文件。
</w:t>
      </w:r>
    </w:p>
    <w:p w14:paraId="1A188DA8">
      <w:pPr>
        <w:rPr>
          <w:rFonts w:hint="eastAsia" w:ascii="黑体" w:hAnsi="黑体" w:eastAsia="黑体" w:cs="黑体"/>
        </w:rPr>
      </w:pPr>
      <w:r>
        <w:rPr>
          <w:rFonts w:hint="eastAsia" w:ascii="黑体" w:hAnsi="黑体" w:eastAsia="黑体" w:cs="黑体"/>
        </w:rPr>
        <w:t xml:space="preserve">3.1 </w:t>
      </w:r>
    </w:p>
    <w:p w14:paraId="28F82030">
      <w:pPr>
        <w:ind w:firstLine="500" w:firstLineChars="0"/>
        <w:rPr>
          <w:rFonts w:hint="eastAsia" w:ascii="黑体" w:hAnsi="黑体" w:eastAsia="黑体" w:cs="黑体"/>
        </w:rPr>
      </w:pPr>
      <w:r>
        <w:rPr>
          <w:rFonts w:hint="eastAsia" w:ascii="黑体" w:hAnsi="黑体" w:eastAsia="黑体" w:cs="黑体"/>
        </w:rPr>
        <w:t>绩效管理</w:t>
      </w:r>
      <w:r>
        <w:rPr>
          <w:rFonts w:hint="eastAsia" w:ascii="黑体" w:hAnsi="黑体" w:eastAsia="黑体" w:cs="黑体"/>
          <w:lang w:val="en-US" w:eastAsia="zh-CN"/>
        </w:rPr>
        <w:t xml:space="preserve">  </w:t>
      </w:r>
      <w:r>
        <w:rPr>
          <w:rFonts w:hint="eastAsia" w:ascii="黑体" w:hAnsi="黑体" w:eastAsia="黑体" w:cs="黑体"/>
        </w:rPr>
        <w:t xml:space="preserve"> performance management
</w:t>
      </w:r>
    </w:p>
    <w:p w14:paraId="46FE52E9">
      <w:pPr>
        <w:spacing w:line="240" w:lineRule="auto"/>
        <w:ind w:firstLine="500" w:firstLineChars="0"/>
        <w:jc w:val="both"/>
        <w:rPr>
          <w:rFonts w:hint="eastAsia" w:ascii="宋体" w:hAnsi="宋体" w:eastAsia="宋体" w:cs="宋体"/>
        </w:rPr>
      </w:pPr>
      <w:r>
        <w:rPr>
          <w:rFonts w:hint="eastAsia" w:ascii="宋体" w:hAnsi="宋体" w:eastAsia="宋体" w:cs="宋体"/>
        </w:rPr>
        <w:t>指组织为实现战略目标，通过制定绩效计划、过程监控、考核评估及结果运用等环节，对组织整体及个人工作行为和结果进行系统管理的活动总称。</w:t>
      </w:r>
    </w:p>
    <w:p w14:paraId="4A6A8064">
      <w:pPr>
        <w:rPr>
          <w:rFonts w:hint="eastAsia" w:ascii="黑体" w:hAnsi="黑体" w:eastAsia="黑体" w:cs="黑体"/>
        </w:rPr>
      </w:pPr>
      <w:r>
        <w:rPr>
          <w:rFonts w:hint="eastAsia" w:ascii="黑体" w:hAnsi="黑体" w:eastAsia="黑体" w:cs="黑体"/>
        </w:rPr>
        <w:t xml:space="preserve">3.2 </w:t>
      </w:r>
    </w:p>
    <w:p w14:paraId="19EFB99F">
      <w:pPr>
        <w:ind w:firstLine="500" w:firstLineChars="0"/>
        <w:rPr>
          <w:rFonts w:hint="eastAsia" w:ascii="黑体" w:hAnsi="黑体" w:eastAsia="黑体" w:cs="黑体"/>
        </w:rPr>
      </w:pPr>
      <w:r>
        <w:rPr>
          <w:rFonts w:hint="eastAsia" w:ascii="黑体" w:hAnsi="黑体" w:eastAsia="黑体" w:cs="黑体"/>
        </w:rPr>
        <w:t xml:space="preserve">关键绩效指标 </w:t>
      </w:r>
      <w:r>
        <w:rPr>
          <w:rFonts w:hint="eastAsia" w:ascii="黑体" w:hAnsi="黑体" w:eastAsia="黑体" w:cs="黑体"/>
          <w:lang w:val="en-US" w:eastAsia="zh-CN"/>
        </w:rPr>
        <w:t xml:space="preserve"> </w:t>
      </w:r>
      <w:r>
        <w:rPr>
          <w:rFonts w:hint="eastAsia" w:ascii="黑体" w:hAnsi="黑体" w:eastAsia="黑体" w:cs="黑体"/>
        </w:rPr>
        <w:t>key performance indicator（KPI）
</w:t>
      </w:r>
    </w:p>
    <w:p w14:paraId="5CC8FF66">
      <w:pPr>
        <w:spacing w:line="240" w:lineRule="auto"/>
        <w:ind w:firstLine="500" w:firstLineChars="0"/>
        <w:jc w:val="both"/>
        <w:rPr>
          <w:rFonts w:hint="eastAsia" w:ascii="宋体" w:hAnsi="宋体" w:eastAsia="宋体" w:cs="宋体"/>
        </w:rPr>
      </w:pPr>
      <w:r>
        <w:rPr>
          <w:rFonts w:hint="eastAsia" w:ascii="宋体" w:hAnsi="宋体" w:eastAsia="宋体" w:cs="宋体"/>
        </w:rPr>
        <w:t>从组织战略目标中提炼出的，用于衡量组织或个人在特定时期内绩效水平的量化或可评估的核心指标。
</w:t>
      </w:r>
    </w:p>
    <w:p w14:paraId="2EBBBCA6">
      <w:pPr>
        <w:rPr>
          <w:rFonts w:hint="eastAsia" w:ascii="黑体" w:hAnsi="黑体" w:eastAsia="黑体" w:cs="黑体"/>
        </w:rPr>
      </w:pPr>
      <w:r>
        <w:rPr>
          <w:rFonts w:hint="eastAsia" w:ascii="黑体" w:hAnsi="黑体" w:eastAsia="黑体" w:cs="黑体"/>
        </w:rPr>
        <w:t xml:space="preserve">3.3 </w:t>
      </w:r>
    </w:p>
    <w:p w14:paraId="5EA6B98D">
      <w:pPr>
        <w:ind w:firstLine="500" w:firstLineChars="0"/>
        <w:rPr>
          <w:rFonts w:hint="eastAsia" w:ascii="宋体" w:hAnsi="宋体" w:eastAsia="宋体" w:cs="宋体"/>
        </w:rPr>
      </w:pPr>
      <w:r>
        <w:rPr>
          <w:rFonts w:hint="eastAsia" w:ascii="黑体" w:hAnsi="黑体" w:eastAsia="黑体" w:cs="黑体"/>
        </w:rPr>
        <w:t xml:space="preserve">目标分配 </w:t>
      </w:r>
      <w:r>
        <w:rPr>
          <w:rFonts w:hint="eastAsia" w:ascii="黑体" w:hAnsi="黑体" w:eastAsia="黑体" w:cs="黑体"/>
          <w:lang w:val="en-US" w:eastAsia="zh-CN"/>
        </w:rPr>
        <w:t xml:space="preserve"> </w:t>
      </w:r>
      <w:r>
        <w:rPr>
          <w:rFonts w:hint="eastAsia" w:ascii="黑体" w:hAnsi="黑体" w:eastAsia="黑体" w:cs="黑体"/>
        </w:rPr>
        <w:t>target allocation</w:t>
      </w:r>
      <w:r>
        <w:rPr>
          <w:rFonts w:hint="eastAsia" w:ascii="宋体" w:hAnsi="宋体" w:eastAsia="宋体" w:cs="宋体"/>
        </w:rPr>
        <w:t>
</w:t>
      </w:r>
    </w:p>
    <w:p w14:paraId="4D37C652">
      <w:pPr>
        <w:ind w:firstLine="500" w:firstLineChars="0"/>
        <w:rPr>
          <w:rFonts w:hint="eastAsia" w:ascii="宋体" w:hAnsi="宋体" w:eastAsia="宋体" w:cs="宋体"/>
        </w:rPr>
      </w:pPr>
      <w:r>
        <w:rPr>
          <w:rFonts w:hint="eastAsia" w:ascii="宋体" w:hAnsi="宋体" w:eastAsia="宋体" w:cs="宋体"/>
        </w:rPr>
        <w:t>将组织层面的绩效目标逐级分解并落实到各部门、各岗位及个人的管理过程。
</w:t>
      </w:r>
    </w:p>
    <w:p w14:paraId="4F37CD1B">
      <w:pPr>
        <w:rPr>
          <w:rFonts w:hint="eastAsia" w:ascii="黑体" w:hAnsi="黑体" w:eastAsia="黑体" w:cs="黑体"/>
        </w:rPr>
      </w:pPr>
      <w:r>
        <w:rPr>
          <w:rFonts w:hint="eastAsia" w:ascii="黑体" w:hAnsi="黑体" w:eastAsia="黑体" w:cs="黑体"/>
        </w:rPr>
        <w:t xml:space="preserve">3.4 </w:t>
      </w:r>
    </w:p>
    <w:p w14:paraId="1295298A">
      <w:pPr>
        <w:ind w:firstLine="500" w:firstLineChars="0"/>
        <w:rPr>
          <w:rFonts w:hint="eastAsia" w:ascii="黑体" w:hAnsi="黑体" w:eastAsia="黑体" w:cs="黑体"/>
        </w:rPr>
      </w:pPr>
      <w:r>
        <w:rPr>
          <w:rFonts w:hint="eastAsia" w:ascii="黑体" w:hAnsi="黑体" w:eastAsia="黑体" w:cs="黑体"/>
        </w:rPr>
        <w:t>绩效考核</w:t>
      </w:r>
      <w:r>
        <w:rPr>
          <w:rFonts w:hint="eastAsia" w:ascii="黑体" w:hAnsi="黑体" w:eastAsia="黑体" w:cs="黑体"/>
          <w:lang w:val="en-US" w:eastAsia="zh-CN"/>
        </w:rPr>
        <w:t xml:space="preserve"> </w:t>
      </w:r>
      <w:r>
        <w:rPr>
          <w:rFonts w:hint="eastAsia" w:ascii="黑体" w:hAnsi="黑体" w:eastAsia="黑体" w:cs="黑体"/>
        </w:rPr>
        <w:t xml:space="preserve"> performance appraisal
</w:t>
      </w:r>
    </w:p>
    <w:p w14:paraId="00719B83">
      <w:pPr>
        <w:ind w:firstLine="500" w:firstLineChars="0"/>
        <w:rPr>
          <w:rFonts w:hint="eastAsia" w:ascii="宋体" w:hAnsi="宋体" w:eastAsia="宋体" w:cs="宋体"/>
        </w:rPr>
      </w:pPr>
      <w:r>
        <w:rPr>
          <w:rFonts w:hint="eastAsia" w:ascii="宋体" w:hAnsi="宋体" w:eastAsia="宋体" w:cs="宋体"/>
        </w:rPr>
        <w:t>依据预设绩效指标和目标，按照规定程序对组织或个人在特定考核周期内工作成果进行评定的活动。</w:t>
      </w:r>
    </w:p>
    <w:p w14:paraId="13A26410">
      <w:pPr>
        <w:rPr>
          <w:rFonts w:hint="eastAsia" w:ascii="黑体" w:hAnsi="黑体" w:eastAsia="黑体" w:cs="黑体"/>
        </w:rPr>
      </w:pPr>
      <w:r>
        <w:rPr>
          <w:rFonts w:hint="eastAsia" w:ascii="黑体" w:hAnsi="黑体" w:eastAsia="黑体" w:cs="黑体"/>
        </w:rPr>
        <w:t xml:space="preserve">3.5 </w:t>
      </w:r>
    </w:p>
    <w:p w14:paraId="67E3EE7D">
      <w:pPr>
        <w:ind w:firstLine="500" w:firstLineChars="0"/>
        <w:rPr>
          <w:rFonts w:hint="eastAsia" w:ascii="黑体" w:hAnsi="黑体" w:eastAsia="黑体" w:cs="黑体"/>
        </w:rPr>
      </w:pPr>
      <w:r>
        <w:rPr>
          <w:rFonts w:hint="eastAsia" w:ascii="黑体" w:hAnsi="黑体" w:eastAsia="黑体" w:cs="黑体"/>
        </w:rPr>
        <w:t xml:space="preserve">激励反馈 </w:t>
      </w:r>
      <w:r>
        <w:rPr>
          <w:rFonts w:hint="eastAsia" w:ascii="黑体" w:hAnsi="黑体" w:eastAsia="黑体" w:cs="黑体"/>
          <w:lang w:val="en-US" w:eastAsia="zh-CN"/>
        </w:rPr>
        <w:t xml:space="preserve"> </w:t>
      </w:r>
      <w:r>
        <w:rPr>
          <w:rFonts w:hint="eastAsia" w:ascii="黑体" w:hAnsi="黑体" w:eastAsia="黑体" w:cs="黑体"/>
        </w:rPr>
        <w:t>incentive feedback
</w:t>
      </w:r>
    </w:p>
    <w:p w14:paraId="122105EF">
      <w:pPr>
        <w:spacing w:line="240" w:lineRule="auto"/>
        <w:ind w:firstLine="500" w:firstLineChars="0"/>
        <w:jc w:val="both"/>
        <w:rPr>
          <w:rFonts w:hint="eastAsia" w:ascii="宋体" w:hAnsi="宋体" w:eastAsia="宋体" w:cs="宋体"/>
        </w:rPr>
      </w:pPr>
      <w:r>
        <w:rPr>
          <w:rFonts w:hint="eastAsia" w:ascii="宋体" w:hAnsi="宋体" w:eastAsia="宋体" w:cs="宋体"/>
        </w:rPr>
        <w:t>根据绩效考核结果，对组织成员实施薪酬调整、晋升奖励或约谈辅导等激励或约束措施，并将评估结论反馈给被考核对象的过程。</w:t>
      </w:r>
    </w:p>
    <w:p w14:paraId="5DA3D013">
      <w:pPr>
        <w:rPr>
          <w:rFonts w:hint="eastAsia" w:ascii="黑体" w:hAnsi="黑体" w:eastAsia="黑体" w:cs="黑体"/>
        </w:rPr>
      </w:pPr>
      <w:r>
        <w:rPr>
          <w:rFonts w:hint="eastAsia" w:ascii="黑体" w:hAnsi="黑体" w:eastAsia="黑体" w:cs="黑体"/>
        </w:rPr>
        <w:t xml:space="preserve">3.6 </w:t>
      </w:r>
    </w:p>
    <w:p w14:paraId="50281A33">
      <w:pPr>
        <w:ind w:firstLine="500" w:firstLineChars="0"/>
        <w:rPr>
          <w:rFonts w:hint="eastAsia" w:ascii="黑体" w:hAnsi="黑体" w:eastAsia="黑体" w:cs="黑体"/>
        </w:rPr>
      </w:pPr>
      <w:r>
        <w:rPr>
          <w:rFonts w:hint="eastAsia" w:ascii="黑体" w:hAnsi="黑体" w:eastAsia="黑体" w:cs="黑体"/>
        </w:rPr>
        <w:t>绩效改进</w:t>
      </w:r>
      <w:r>
        <w:rPr>
          <w:rFonts w:hint="eastAsia" w:ascii="黑体" w:hAnsi="黑体" w:eastAsia="黑体" w:cs="黑体"/>
          <w:lang w:val="en-US" w:eastAsia="zh-CN"/>
        </w:rPr>
        <w:t xml:space="preserve"> </w:t>
      </w:r>
      <w:r>
        <w:rPr>
          <w:rFonts w:hint="eastAsia" w:ascii="黑体" w:hAnsi="黑体" w:eastAsia="黑体" w:cs="黑体"/>
        </w:rPr>
        <w:t xml:space="preserve"> performance improvement
</w:t>
      </w:r>
    </w:p>
    <w:p w14:paraId="493456DE">
      <w:pPr>
        <w:spacing w:line="240" w:lineRule="auto"/>
        <w:ind w:firstLine="500" w:firstLineChars="0"/>
        <w:jc w:val="both"/>
        <w:rPr>
          <w:rFonts w:hint="eastAsia" w:ascii="宋体" w:hAnsi="宋体" w:eastAsia="宋体" w:cs="宋体"/>
        </w:rPr>
      </w:pPr>
      <w:r>
        <w:rPr>
          <w:rFonts w:hint="eastAsia" w:ascii="宋体" w:hAnsi="宋体" w:eastAsia="宋体" w:cs="宋体"/>
        </w:rPr>
        <w:t>针对绩效考核中发现的不足，制定系统性改进计划并跟踪落实的管理活动。</w:t>
      </w:r>
    </w:p>
    <w:p w14:paraId="3D10FBD9">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2" w:name="_Toc17017"/>
      <w:r>
        <w:rPr>
          <w:rFonts w:hint="eastAsia"/>
        </w:rPr>
        <w:t>4  绩效管理总体架构</w:t>
      </w:r>
      <w:bookmarkEnd w:id="12"/>
    </w:p>
    <w:p w14:paraId="45A81D1E">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default" w:ascii="黑体" w:hAnsi="黑体" w:eastAsia="黑体" w:cs="黑体"/>
          <w:sz w:val="21"/>
          <w:szCs w:val="21"/>
        </w:rPr>
      </w:pPr>
      <w:r>
        <w:rPr>
          <w:rFonts w:hint="eastAsia" w:ascii="黑体" w:hAnsi="黑体" w:eastAsia="黑体" w:cs="黑体"/>
          <w:sz w:val="21"/>
          <w:szCs w:val="21"/>
        </w:rPr>
        <w:t>4.1 体系构成</w:t>
      </w:r>
    </w:p>
    <w:p w14:paraId="274AAB9B">
      <w:pPr>
        <w:spacing w:line="240" w:lineRule="auto"/>
        <w:ind w:firstLine="500" w:firstLineChars="0"/>
        <w:jc w:val="both"/>
      </w:pPr>
      <w:r>
        <w:rPr>
          <w:rFonts w:hint="eastAsia" w:ascii="Times New Roman" w:hAnsi="Times New Roman" w:eastAsia="宋体" w:cs="宋体"/>
          <w:sz w:val="21"/>
          <w:szCs w:val="21"/>
        </w:rPr>
        <w:t>绩效管理体系应由战略目标层、部门目标层和岗位目标层三个层次构成，形成目标逐级分解、责任逐层压实的纵向结构。组织应明确各层次的指标数量、权重分配及考核频次，确保上下层目标之间具有逻辑一致性和可衡量性，形成以战略导向为核心的完整体系框架。各层次之间的目标分配应依据业务流程、职责划分及岗位性质合理设计，避免指标重叠或遗漏，保障体系运行的完整性和有效性。</w:t>
      </w:r>
    </w:p>
    <w:p w14:paraId="384E2892">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4.2 基本原则</w:t>
      </w:r>
    </w:p>
    <w:p w14:paraId="54CA4525">
      <w:pPr>
        <w:spacing w:line="240" w:lineRule="auto"/>
        <w:ind w:firstLine="500" w:firstLineChars="0"/>
        <w:jc w:val="both"/>
      </w:pPr>
      <w:r>
        <w:rPr>
          <w:rFonts w:hint="eastAsia" w:ascii="Times New Roman" w:hAnsi="Times New Roman" w:eastAsia="宋体" w:cs="宋体"/>
          <w:sz w:val="21"/>
          <w:szCs w:val="21"/>
        </w:rPr>
        <w:t>绩效管理体系的构建与运行应遵循战略导向、公平公正、可操作性和持续改进四项基本原则。战略导向原则要求绩效目标设计应紧密对接组织发展战略和年度重点任务；公平公正原则要求考核过程公开透明、评价结果客观准确；可操作性原则要求指标设计简洁明确、数据来源清晰可查；持续改进原则要求定期回顾体系运行情况，及时修订完善，推动绩效管理水平螺旋上升。组织应将四项原则贯穿于绩效体系设计、实施和优化的全过程，以制度化的方式固化管理成效。</w:t>
      </w:r>
    </w:p>
    <w:p w14:paraId="2DC399DB">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3" w:name="_Toc2019"/>
      <w:r>
        <w:rPr>
          <w:rFonts w:hint="eastAsia"/>
        </w:rPr>
        <w:t>5  指标体系设计与管理</w:t>
      </w:r>
      <w:bookmarkEnd w:id="13"/>
    </w:p>
    <w:p w14:paraId="6A76C45F">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5.1 指标分类</w:t>
      </w:r>
    </w:p>
    <w:p w14:paraId="5AC24E1B">
      <w:pPr>
        <w:spacing w:line="240" w:lineRule="auto"/>
        <w:ind w:firstLine="500" w:firstLineChars="0"/>
        <w:jc w:val="both"/>
      </w:pPr>
      <w:r>
        <w:rPr>
          <w:rFonts w:hint="eastAsia" w:ascii="Times New Roman" w:hAnsi="Times New Roman" w:eastAsia="宋体" w:cs="宋体"/>
          <w:sz w:val="21"/>
          <w:szCs w:val="21"/>
        </w:rPr>
        <w:t>组织应建立涵盖工作效率、工作质量、工作态度和创新贡献的综合性指标体系，并依据组织类型和业务特点，将指标分为定量指标和定性指标两类。定量指标应以可量化的数字成果为基础，如完成率、达标率、增长率等；定性指标应制定统一的评价标准和评分细则，减少主观因素的影响。每个考核主体的指标总数宜控制在合理范围之内，指标之间应相互独立、避免重叠，确保指标设计符合GB/T 19001的质量管理要求。</w:t>
      </w:r>
    </w:p>
    <w:p w14:paraId="2FC5580D">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5.2 权重设置</w:t>
      </w:r>
    </w:p>
    <w:p w14:paraId="5F682E2E">
      <w:pPr>
        <w:spacing w:line="240" w:lineRule="auto"/>
        <w:ind w:firstLine="500" w:firstLineChars="0"/>
        <w:jc w:val="both"/>
      </w:pPr>
      <w:r>
        <w:rPr>
          <w:rFonts w:hint="eastAsia" w:ascii="Times New Roman" w:hAnsi="Times New Roman" w:eastAsia="宋体" w:cs="宋体"/>
          <w:sz w:val="21"/>
          <w:szCs w:val="21"/>
        </w:rPr>
        <w:t>各项绩效指标的权重分配应根据岗位职责的重要程度、工作目标对组织战略的贡献度及工作任务的可控程度综合确定。权重分配应征求相关岗位人员的意见，并经组织管理层审定后纳入绩效考核方案正式文件。权重调整应设置固定的修订节点，在每个考核周期开始前完成审核，中途一般不得随意变更，以保证考核标准的稳定性和公信力。组织可参照GB/T 35770的规范性要求，将合规类指标纳入权重体系，确保绩效管理与合规管理有机结合。</w:t>
      </w:r>
    </w:p>
    <w:p w14:paraId="381B8024">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5.3 指标动态管理</w:t>
      </w:r>
    </w:p>
    <w:p w14:paraId="4B6CF2A6">
      <w:pPr>
        <w:spacing w:line="240" w:lineRule="auto"/>
        <w:jc w:val="both"/>
      </w:pPr>
      <w:r>
        <w:rPr>
          <w:rFonts w:hint="eastAsia" w:ascii="Times New Roman" w:hAnsi="Times New Roman" w:eastAsia="宋体" w:cs="宋体"/>
          <w:sz w:val="21"/>
          <w:szCs w:val="21"/>
        </w:rPr>
        <w:t>组织应建立绩效指标动态调整机制，定期评估现有指标的适用性和有效性。当组织战略目标调整、业务流程重组或外部政策环境发生重大变化时，应启动指标修订程序。指标修订应经过充分论证，并在修订完成后及时通知相关部门和岗位人员，确保考核各方对修订后指标的理解一致。历次指标修订情况应建立档案记录，作为绩效体系持续改进的重要依据。</w:t>
      </w:r>
    </w:p>
    <w:p w14:paraId="3D63A98B">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4" w:name="_Toc29419"/>
      <w:r>
        <w:rPr>
          <w:rFonts w:hint="eastAsia"/>
        </w:rPr>
        <w:t>6  目标分配与任务管理</w:t>
      </w:r>
      <w:bookmarkEnd w:id="14"/>
    </w:p>
    <w:p w14:paraId="20A412B4">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6.1 目标分配程序</w:t>
      </w:r>
    </w:p>
    <w:p w14:paraId="7EA55260">
      <w:pPr>
        <w:spacing w:line="240" w:lineRule="auto"/>
        <w:ind w:firstLine="500" w:firstLineChars="0"/>
        <w:jc w:val="both"/>
      </w:pPr>
      <w:r>
        <w:rPr>
          <w:rFonts w:hint="eastAsia" w:ascii="Times New Roman" w:hAnsi="Times New Roman" w:eastAsia="宋体" w:cs="宋体"/>
          <w:sz w:val="21"/>
          <w:szCs w:val="21"/>
        </w:rPr>
        <w:t>组织应在每个绩效考核周期开始前完成各层次目标的分配工作。目标分配应采用自上而下与自下而上相结合的方式，先由管理层提出总目标框架，再经各部门和岗位人员充分讨论，形成双向认可的绩效目标。目标分配完成后，应由组织管理层与各考核对象签订绩效目标责任书，明确考核指标、目标值、数据来源及评分标准等关键要素，作为全周期考核的依据。目标责任书应按照GB/T 31950的诚信管理要求，确保目标内容真实、权责对等。</w:t>
      </w:r>
    </w:p>
    <w:p w14:paraId="7C2BA5A0">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6.2 任务过程管理</w:t>
      </w:r>
    </w:p>
    <w:p w14:paraId="44576DCB">
      <w:pPr>
        <w:spacing w:line="240" w:lineRule="auto"/>
        <w:ind w:firstLine="500" w:firstLineChars="0"/>
        <w:jc w:val="both"/>
      </w:pPr>
      <w:r>
        <w:rPr>
          <w:rFonts w:hint="eastAsia" w:ascii="Times New Roman" w:hAnsi="Times New Roman" w:eastAsia="宋体" w:cs="宋体"/>
          <w:sz w:val="21"/>
          <w:szCs w:val="21"/>
        </w:rPr>
        <w:t>绩效目标确定后，组织应建立任务执行的过程管理机制，通过定期巡查、月度例会或专项汇报等方式，及时掌握各部门和岗位任务推进情况。对于关键任务和重点指标，应设置过程性节点检查，发现问题及时协调解决，防止考核周期末出现集中性问题。过程管理记录应纳入绩效档案，作为最终考核评分的参考依据，有效防止"唯结果"导向带来的管理漏洞。</w:t>
      </w:r>
    </w:p>
    <w:p w14:paraId="38EF9867">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5" w:name="_Toc17519"/>
      <w:r>
        <w:rPr>
          <w:rFonts w:hint="eastAsia"/>
        </w:rPr>
        <w:t>7  绩效考核程序</w:t>
      </w:r>
      <w:bookmarkEnd w:id="15"/>
    </w:p>
    <w:p w14:paraId="6B0222DF">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7.1 考核周期设置</w:t>
      </w:r>
    </w:p>
    <w:p w14:paraId="530135F7">
      <w:pPr>
        <w:spacing w:line="240" w:lineRule="auto"/>
        <w:ind w:firstLine="500" w:firstLineChars="0"/>
        <w:jc w:val="both"/>
      </w:pPr>
      <w:r>
        <w:rPr>
          <w:rFonts w:hint="eastAsia" w:ascii="Times New Roman" w:hAnsi="Times New Roman" w:eastAsia="宋体" w:cs="宋体"/>
          <w:sz w:val="21"/>
          <w:szCs w:val="21"/>
        </w:rPr>
        <w:t>组织应根据不同岗位性质和业务特点，合理设置绩效考核的周期。一般岗位宜实行季度考核与年度综合考核相结合的方式；重大项目或特殊任务可设置专项考核周期。考核周期设置应在绩效方案中明确说明，并提前告知全体被考核人员，确保各方在充分知晓考核规则的前提下开展工作。考核周期的设置应参照GB/T 24421.1的服务标准化相关要求，结合组织实际灵活确定。</w:t>
      </w:r>
    </w:p>
    <w:p w14:paraId="25F5793D">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7.2 考核实施程序</w:t>
      </w:r>
    </w:p>
    <w:p w14:paraId="76470CCB">
      <w:pPr>
        <w:spacing w:line="240" w:lineRule="auto"/>
        <w:ind w:firstLine="500" w:firstLineChars="0"/>
        <w:jc w:val="both"/>
      </w:pPr>
      <w:r>
        <w:rPr>
          <w:rFonts w:hint="eastAsia" w:ascii="Times New Roman" w:hAnsi="Times New Roman" w:eastAsia="宋体" w:cs="宋体"/>
          <w:sz w:val="21"/>
          <w:szCs w:val="21"/>
        </w:rPr>
        <w:t>绩效考核的实施应遵循自评、互评、主管评定和上级审核四个基本环节。自评阶段由被考核人员根据本周期内的实际工作情况填写绩效自评表；互评阶段由同组或同部门人员依据日常工作观察给出评价；主管评定阶段由直接上级结合过程记录和工作成果作出综合评分；上级审核阶段由上一级管理层对评定结果的合理性进行抽查复核。最终考核结果应经被考核人员确认签字，保障考核程序的公正性和规范性。</w:t>
      </w:r>
    </w:p>
    <w:p w14:paraId="0E752AEB">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6" w:name="_Toc2748"/>
      <w:r>
        <w:rPr>
          <w:rFonts w:hint="eastAsia"/>
        </w:rPr>
        <w:t>8  结果应用与激励机制</w:t>
      </w:r>
      <w:bookmarkEnd w:id="16"/>
    </w:p>
    <w:p w14:paraId="29035AD8">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8.1 绩效结果应用范围</w:t>
      </w:r>
    </w:p>
    <w:p w14:paraId="2CFFE9E9">
      <w:pPr>
        <w:spacing w:line="240" w:lineRule="auto"/>
        <w:ind w:firstLine="500" w:firstLineChars="0"/>
        <w:jc w:val="both"/>
      </w:pPr>
      <w:r>
        <w:rPr>
          <w:rFonts w:hint="eastAsia" w:ascii="Times New Roman" w:hAnsi="Times New Roman" w:eastAsia="宋体" w:cs="宋体"/>
          <w:sz w:val="21"/>
          <w:szCs w:val="21"/>
        </w:rPr>
        <w:t>绩效考核结果应与薪酬福利、职务晋升、培训发展和表彰奖励等人力资源管理事项挂钩，形成正向激励机制。组织应制定结果应用的具体办法，明确不同绩效等级对应的激励措施，并通过规章制度加以固化，防止结果应用的随意性。绩效结果的应用范围和标准应事先公示，保障组织成员对结果应用规则的充分了解，提高绩效管理的公信力和激励效果，与GB/T 35770的合规性要求协调统一。</w:t>
      </w:r>
    </w:p>
    <w:p w14:paraId="7E36186D">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8.2 激励反馈机制</w:t>
      </w:r>
    </w:p>
    <w:p w14:paraId="7D8E455C">
      <w:pPr>
        <w:spacing w:line="240" w:lineRule="auto"/>
        <w:ind w:firstLine="500" w:firstLineChars="0"/>
        <w:jc w:val="both"/>
      </w:pPr>
      <w:r>
        <w:rPr>
          <w:rFonts w:hint="eastAsia" w:ascii="Times New Roman" w:hAnsi="Times New Roman" w:eastAsia="宋体" w:cs="宋体"/>
          <w:sz w:val="21"/>
          <w:szCs w:val="21"/>
        </w:rPr>
        <w:t>组织应建立绩效面谈制度，由直接主管在考核结果确认后的规定时限内，与被考核人员就考核评分、工作亮点和改进方向进行一对一面谈。面谈结果应形成书面记录，双方签字确认。对绩效优秀的人员应及时予以公开表扬和实质性激励；对绩效不达标的人员应提出明确改进要求，安排专项辅导或培训，并在下一考核周期重点关注改进情况，防止绩效问题持续累积。</w:t>
      </w:r>
    </w:p>
    <w:p w14:paraId="23984988">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7" w:name="_Toc28473"/>
      <w:r>
        <w:rPr>
          <w:rFonts w:hint="eastAsia"/>
        </w:rPr>
        <w:t>9  绩效改进与持续优化</w:t>
      </w:r>
      <w:bookmarkEnd w:id="17"/>
    </w:p>
    <w:p w14:paraId="234DE3D1">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9.1 绩效改进计划</w:t>
      </w:r>
    </w:p>
    <w:p w14:paraId="23764B98">
      <w:pPr>
        <w:spacing w:line="240" w:lineRule="auto"/>
        <w:ind w:firstLine="500" w:firstLineChars="0"/>
        <w:jc w:val="both"/>
      </w:pPr>
      <w:r>
        <w:rPr>
          <w:rFonts w:hint="eastAsia" w:ascii="Times New Roman" w:hAnsi="Times New Roman" w:eastAsia="宋体" w:cs="宋体"/>
          <w:sz w:val="21"/>
          <w:szCs w:val="21"/>
        </w:rPr>
        <w:t>对于考核中发现的系统性问题或反复出现的绩效短板，组织应启动绩效改进计划程序。改进计划应明确改进目标、责任人、改进措施、完成时限及效果验证方式，并纳入下一考核周期的重点跟踪事项。改进计划的制定应充分听取相关部门和岗位人员的意见，结合资源条件和工作实际，确保改进目标的可达性。改进计划的执行进度应定期汇报，执行情况和改进效果应作为下一轮绩效评价的重要参考依据，符合GB/T 23694风险管理中闭环管理的基本要求。</w:t>
      </w:r>
    </w:p>
    <w:p w14:paraId="633404B0">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9.2 体系持续优化</w:t>
      </w:r>
    </w:p>
    <w:p w14:paraId="4CA3AAD8">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组织应每年至少开展一次绩效管理体系整体评估，系统分析体系运行中存在的指标不合理、权重失衡、程序繁琐等问题，有针对性地推进体系优化。体系优化工作应形成书面报告，明确优化方向和改进方案，并经管理层审定后正式实施。体系优化结果应及时传达至全体相关人员，并做好培训解读工作，确保优化措施落实到位。组织应将体系优化工作纳入年度重点任务，持续推动绩效管理水平的提升，为组织战略目标的实现提供持续的制度保障。</w:t>
      </w:r>
    </w:p>
    <w:p w14:paraId="2FD64AE2">
      <w:pPr>
        <w:spacing w:line="240" w:lineRule="auto"/>
        <w:jc w:val="both"/>
        <w:rPr>
          <w:rFonts w:hint="eastAsia" w:ascii="Times New Roman" w:hAnsi="Times New Roman" w:eastAsia="宋体" w:cs="宋体"/>
          <w:sz w:val="21"/>
          <w:szCs w:val="21"/>
        </w:rPr>
      </w:pPr>
    </w:p>
    <w:p w14:paraId="0081B69B">
      <w:pPr>
        <w:spacing w:line="240" w:lineRule="auto"/>
        <w:jc w:val="both"/>
        <w:rPr>
          <w:rFonts w:hint="eastAsia" w:ascii="Times New Roman" w:hAnsi="Times New Roman" w:eastAsia="宋体" w:cs="宋体"/>
          <w:sz w:val="21"/>
          <w:szCs w:val="21"/>
        </w:rPr>
      </w:pPr>
    </w:p>
    <w:p w14:paraId="3F909197">
      <w:pPr>
        <w:spacing w:line="240" w:lineRule="auto"/>
        <w:jc w:val="both"/>
        <w:rPr>
          <w:rFonts w:hint="eastAsia" w:ascii="Times New Roman" w:hAnsi="Times New Roman" w:eastAsia="宋体" w:cs="宋体"/>
          <w:sz w:val="21"/>
          <w:szCs w:val="21"/>
        </w:rPr>
      </w:pPr>
    </w:p>
    <w:p w14:paraId="71D08A94">
      <w:pPr>
        <w:spacing w:line="240" w:lineRule="auto"/>
        <w:jc w:val="both"/>
        <w:rPr>
          <w:rFonts w:hint="eastAsia" w:ascii="Times New Roman" w:hAnsi="Times New Roman" w:eastAsia="宋体" w:cs="宋体"/>
          <w:sz w:val="21"/>
          <w:szCs w:val="21"/>
        </w:rPr>
      </w:pPr>
      <w:r>
        <w:drawing>
          <wp:anchor distT="0" distB="0" distL="0" distR="0" simplePos="0" relativeHeight="251670528" behindDoc="0" locked="0" layoutInCell="1" allowOverlap="1">
            <wp:simplePos x="0" y="0"/>
            <wp:positionH relativeFrom="page">
              <wp:posOffset>3163570</wp:posOffset>
            </wp:positionH>
            <wp:positionV relativeFrom="paragraph">
              <wp:posOffset>32385</wp:posOffset>
            </wp:positionV>
            <wp:extent cx="1484630" cy="12700"/>
            <wp:effectExtent l="0" t="0" r="1270" b="0"/>
            <wp:wrapTopAndBottom/>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png"/>
                    <pic:cNvPicPr>
                      <a:picLocks noChangeAspect="1"/>
                    </pic:cNvPicPr>
                  </pic:nvPicPr>
                  <pic:blipFill>
                    <a:blip r:embed="rId27" cstate="print"/>
                    <a:stretch>
                      <a:fillRect/>
                    </a:stretch>
                  </pic:blipFill>
                  <pic:spPr>
                    <a:xfrm>
                      <a:off x="0" y="0"/>
                      <a:ext cx="1484630" cy="12700"/>
                    </a:xfrm>
                    <a:prstGeom prst="rect">
                      <a:avLst/>
                    </a:prstGeom>
                  </pic:spPr>
                </pic:pic>
              </a:graphicData>
            </a:graphic>
          </wp:anchor>
        </w:drawing>
      </w:r>
    </w:p>
    <w:p w14:paraId="51A09B6B">
      <w:pPr>
        <w:spacing w:line="240" w:lineRule="auto"/>
        <w:jc w:val="both"/>
        <w:rPr>
          <w:rFonts w:hint="eastAsia" w:ascii="Times New Roman" w:hAnsi="Times New Roman" w:eastAsia="宋体" w:cs="宋体"/>
          <w:sz w:val="21"/>
          <w:szCs w:val="21"/>
        </w:rPr>
      </w:pPr>
    </w:p>
    <w:sectPr>
      <w:headerReference r:id="rId20" w:type="default"/>
      <w:footerReference r:id="rId22" w:type="default"/>
      <w:headerReference r:id="rId21" w:type="even"/>
      <w:footerReference r:id="rId23" w:type="even"/>
      <w:pgSz w:w="11910" w:h="16840"/>
      <w:pgMar w:top="1417" w:right="1134" w:bottom="1134" w:left="1417" w:header="1417" w:footer="283"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2FD2F">
    <w:pPr>
      <w:rPr>
        <w:rFonts w:ascii="宋体" w:hAnsi="宋体" w:eastAsia="宋体" w:cs="宋体"/>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AA758">
    <w:pPr>
      <w:rPr>
        <w:rFonts w:ascii="宋体" w:hAnsi="宋体" w:eastAsia="宋体" w:cs="宋体"/>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F08E62">
                          <w:pPr>
                            <w:pStyle w:val="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CF08E62">
                    <w:pPr>
                      <w:pStyle w:val="8"/>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0B717">
    <w:pPr>
      <w:jc w:val="right"/>
      <w:rPr>
        <w:rFonts w:ascii="宋体" w:hAnsi="宋体" w:eastAsia="宋体" w:cs="宋体"/>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98CA5">
    <w:pPr>
      <w:jc w:val="left"/>
      <w:rPr>
        <w:rFonts w:ascii="宋体" w:hAnsi="宋体" w:eastAsia="宋体" w:cs="宋体"/>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8DC0F">
    <w:pPr>
      <w:jc w:val="right"/>
      <w:rPr>
        <w:rFonts w:ascii="宋体" w:hAnsi="宋体" w:eastAsia="宋体" w:cs="宋体"/>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A9313">
    <w:pPr>
      <w:jc w:val="left"/>
      <w:rPr>
        <w:rFonts w:ascii="宋体" w:hAnsi="宋体" w:eastAsia="宋体" w:cs="宋体"/>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00FBF">
    <w:pPr>
      <w:rPr>
        <w:rFonts w:ascii="宋体" w:hAnsi="宋体" w:eastAsia="宋体" w:cs="宋体"/>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C2AAB">
    <w:pPr>
      <w:rPr>
        <w:rFonts w:ascii="宋体" w:hAnsi="宋体" w:eastAsia="宋体" w:cs="宋体"/>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366544">
                          <w:pPr>
                            <w:pStyle w:val="8"/>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0366544">
                    <w:pPr>
                      <w:pStyle w:val="8"/>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DB437">
    <w:pPr>
      <w:pStyle w:val="9"/>
      <w:rPr>
        <w:rFonts w:hint="eastAsia" w:ascii="黑体" w:hAnsi="黑体" w:eastAsia="黑体" w:cs="黑体"/>
        <w:spacing w:val="2"/>
        <w:sz w:val="21"/>
        <w:szCs w:val="21"/>
      </w:rPr>
    </w:pPr>
    <w:r>
      <w:rPr>
        <w:rFonts w:hint="eastAsia" w:ascii="黑体" w:hAnsi="黑体" w:eastAsia="黑体" w:cs="黑体"/>
        <w:spacing w:val="2"/>
        <w:sz w:val="21"/>
        <w:szCs w:val="21"/>
      </w:rPr>
      <w:t xml:space="preserve">ICS 35.240 </w:t>
    </w:r>
  </w:p>
  <w:p w14:paraId="187B5B53">
    <w:pPr>
      <w:pStyle w:val="9"/>
      <w:rPr>
        <w:rFonts w:hint="eastAsia" w:ascii="黑体" w:hAnsi="黑体" w:eastAsia="黑体" w:cs="黑体"/>
        <w:spacing w:val="2"/>
        <w:sz w:val="21"/>
        <w:szCs w:val="21"/>
      </w:rPr>
    </w:pPr>
    <w:r>
      <w:rPr>
        <w:rFonts w:hint="eastAsia" w:ascii="黑体" w:hAnsi="黑体" w:eastAsia="黑体" w:cs="黑体"/>
        <w:spacing w:val="2"/>
        <w:sz w:val="21"/>
        <w:szCs w:val="21"/>
      </w:rPr>
      <w:t>CCS L70</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498A1">
    <w:pPr>
      <w:pStyle w:val="6"/>
      <w:spacing w:line="249" w:lineRule="exact"/>
      <w:jc w:val="right"/>
      <w:rPr>
        <w:rFonts w:hint="eastAsia" w:ascii="宋体" w:hAnsi="宋体" w:eastAsia="宋体" w:cs="宋体"/>
        <w:sz w:val="18"/>
        <w:szCs w:val="18"/>
        <w:lang w:val="en-US" w:eastAsia="zh-CN"/>
      </w:rPr>
    </w:pPr>
    <w:r>
      <w:rPr>
        <w:rFonts w:hint="eastAsia" w:ascii="宋体" w:hAnsi="宋体" w:eastAsia="宋体" w:cs="宋体"/>
        <w:sz w:val="18"/>
        <w:szCs w:val="18"/>
      </w:rPr>
      <w:t>T/JXEA 3</w:t>
    </w:r>
    <w:r>
      <w:rPr>
        <w:rFonts w:hint="eastAsia" w:ascii="宋体" w:hAnsi="宋体" w:eastAsia="宋体" w:cs="宋体"/>
        <w:sz w:val="18"/>
        <w:szCs w:val="18"/>
        <w:lang w:val="en-US" w:eastAsia="zh-CN"/>
      </w:rPr>
      <w:t>88</w:t>
    </w:r>
    <w:r>
      <w:rPr>
        <w:rFonts w:hint="eastAsia" w:ascii="宋体" w:hAnsi="宋体" w:eastAsia="宋体" w:cs="宋体"/>
        <w:sz w:val="18"/>
        <w:szCs w:val="18"/>
      </w:rPr>
      <w:t>—2026</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58037">
    <w:pPr>
      <w:pStyle w:val="6"/>
      <w:spacing w:line="249" w:lineRule="exact"/>
      <w:jc w:val="both"/>
    </w:pPr>
    <w:r>
      <w:rPr>
        <w:rFonts w:hint="eastAsia" w:ascii="宋体" w:hAnsi="宋体" w:eastAsia="宋体" w:cs="宋体"/>
        <w:sz w:val="18"/>
        <w:szCs w:val="18"/>
      </w:rPr>
      <w:t>T/JXEA 3</w:t>
    </w:r>
    <w:r>
      <w:rPr>
        <w:rFonts w:hint="eastAsia" w:ascii="宋体" w:hAnsi="宋体" w:eastAsia="宋体" w:cs="宋体"/>
        <w:sz w:val="18"/>
        <w:szCs w:val="18"/>
        <w:lang w:val="en-US" w:eastAsia="zh-CN"/>
      </w:rPr>
      <w:t>88</w:t>
    </w:r>
    <w:r>
      <w:rPr>
        <w:rFonts w:hint="eastAsia" w:ascii="宋体" w:hAnsi="宋体" w:eastAsia="宋体" w:cs="宋体"/>
        <w:sz w:val="18"/>
        <w:szCs w:val="18"/>
      </w:rPr>
      <w:t>—2026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D9752">
    <w:pPr>
      <w:pStyle w:val="6"/>
      <w:spacing w:line="249" w:lineRule="exact"/>
      <w:jc w:val="both"/>
    </w:pPr>
    <w:r>
      <w:rPr>
        <w:rFonts w:hint="eastAsia" w:ascii="宋体" w:hAnsi="宋体" w:eastAsia="宋体" w:cs="宋体"/>
      </w:rPr>
      <w:t>T/JXEA 320—2026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C2965">
    <w:pPr>
      <w:pStyle w:val="6"/>
      <w:spacing w:line="249" w:lineRule="exact"/>
      <w:ind w:left="20" w:firstLine="7140" w:firstLineChars="3400"/>
      <w:rPr>
        <w:rFonts w:ascii="PingFang SC" w:hAnsi="PingFang SC" w:eastAsia="PingFang SC" w:cs="PingFang SC"/>
        <w:sz w:val="20"/>
        <w:szCs w:val="20"/>
      </w:rPr>
    </w:pPr>
    <w:r>
      <w:rPr>
        <w:rFonts w:ascii="黑体" w:hAnsi="黑体"/>
      </w:rPr>
      <w:t>T/JXEA 320—2026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DD40C">
    <w:pPr>
      <w:pStyle w:val="6"/>
      <w:spacing w:line="249" w:lineRule="exact"/>
      <w:jc w:val="right"/>
      <w:rPr>
        <w:rFonts w:hint="eastAsia" w:ascii="宋体" w:hAnsi="宋体" w:eastAsia="宋体" w:cs="宋体"/>
        <w:sz w:val="18"/>
        <w:szCs w:val="18"/>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423</w:t>
    </w:r>
    <w:r>
      <w:rPr>
        <w:rFonts w:hint="eastAsia" w:ascii="黑体" w:hAnsi="黑体" w:eastAsia="黑体" w:cs="黑体"/>
        <w:sz w:val="21"/>
        <w:szCs w:val="21"/>
      </w:rPr>
      <w:t>—2026</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3F616">
    <w:pPr>
      <w:pStyle w:val="6"/>
      <w:spacing w:line="249"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F7F3E">
    <w:pPr>
      <w:pStyle w:val="6"/>
      <w:spacing w:line="249" w:lineRule="exact"/>
      <w:jc w:val="right"/>
      <w:rPr>
        <w:rFonts w:hint="eastAsia" w:ascii="宋体" w:hAnsi="宋体" w:eastAsia="宋体" w:cs="宋体"/>
        <w:sz w:val="18"/>
        <w:szCs w:val="18"/>
        <w:lang w:val="en-US" w:eastAsia="zh-CN"/>
      </w:rPr>
    </w:pPr>
    <w:r>
      <w:rPr>
        <w:rFonts w:hint="eastAsia" w:ascii="宋体" w:hAnsi="宋体" w:eastAsia="宋体" w:cs="宋体"/>
        <w:sz w:val="18"/>
        <w:szCs w:val="18"/>
      </w:rPr>
      <w:t>T/JXEA 3</w:t>
    </w:r>
    <w:r>
      <w:rPr>
        <w:rFonts w:hint="eastAsia" w:ascii="宋体" w:hAnsi="宋体" w:eastAsia="宋体" w:cs="宋体"/>
        <w:sz w:val="18"/>
        <w:szCs w:val="18"/>
        <w:lang w:val="en-US" w:eastAsia="zh-CN"/>
      </w:rPr>
      <w:t>88</w:t>
    </w:r>
    <w:r>
      <w:rPr>
        <w:rFonts w:hint="eastAsia" w:ascii="宋体" w:hAnsi="宋体" w:eastAsia="宋体" w:cs="宋体"/>
        <w:sz w:val="18"/>
        <w:szCs w:val="18"/>
      </w:rPr>
      <w:t>—2026</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44C03">
    <w:pPr>
      <w:pStyle w:val="6"/>
      <w:spacing w:line="249" w:lineRule="exact"/>
      <w:jc w:val="right"/>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423</w:t>
    </w:r>
    <w:r>
      <w:rPr>
        <w:rFonts w:hint="eastAsia" w:ascii="黑体" w:hAnsi="黑体" w:eastAsia="黑体" w:cs="黑体"/>
        <w:sz w:val="21"/>
        <w:szCs w:val="21"/>
      </w:rPr>
      <w:t>—2026</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61BB2">
    <w:pPr>
      <w:pStyle w:val="6"/>
      <w:spacing w:line="249" w:lineRule="exact"/>
      <w:jc w:val="right"/>
      <w:rPr>
        <w:rFonts w:hint="eastAsia" w:ascii="宋体" w:hAnsi="宋体" w:eastAsia="宋体" w:cs="宋体"/>
        <w:lang w:val="en-US" w:eastAsia="zh-CN"/>
      </w:rPr>
    </w:pPr>
    <w:r>
      <w:rPr>
        <w:rFonts w:hint="eastAsia" w:ascii="宋体" w:hAnsi="宋体" w:eastAsia="宋体" w:cs="宋体"/>
      </w:rPr>
      <w:t>T/JXEA 3</w:t>
    </w:r>
    <w:r>
      <w:rPr>
        <w:rFonts w:hint="eastAsia" w:ascii="宋体" w:hAnsi="宋体" w:eastAsia="宋体" w:cs="宋体"/>
        <w:lang w:val="en-US" w:eastAsia="zh-CN"/>
      </w:rPr>
      <w:t>88</w:t>
    </w:r>
    <w:r>
      <w:rPr>
        <w:rFonts w:hint="eastAsia" w:ascii="宋体" w:hAnsi="宋体" w:eastAsia="宋体" w:cs="宋体"/>
      </w:rPr>
      <w:t>—2026</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51695">
    <w:pPr>
      <w:pStyle w:val="6"/>
      <w:spacing w:line="249"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bordersDoNotSurroundHeader w:val="0"/>
  <w:bordersDoNotSurroundFooter w:val="0"/>
  <w:documentProtection w:enforcement="0"/>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E11BCF"/>
    <w:rsid w:val="02C95F7F"/>
    <w:rsid w:val="094D7246"/>
    <w:rsid w:val="10817822"/>
    <w:rsid w:val="114D3720"/>
    <w:rsid w:val="117723DD"/>
    <w:rsid w:val="144F2D27"/>
    <w:rsid w:val="152B0E50"/>
    <w:rsid w:val="1BFC2A77"/>
    <w:rsid w:val="1CEA3614"/>
    <w:rsid w:val="1E165790"/>
    <w:rsid w:val="1E854FF8"/>
    <w:rsid w:val="1EF40971"/>
    <w:rsid w:val="1F883BB0"/>
    <w:rsid w:val="1FA4037A"/>
    <w:rsid w:val="1FA85442"/>
    <w:rsid w:val="24981844"/>
    <w:rsid w:val="25F610B0"/>
    <w:rsid w:val="25FA472D"/>
    <w:rsid w:val="261E7AA3"/>
    <w:rsid w:val="270950B5"/>
    <w:rsid w:val="285208E9"/>
    <w:rsid w:val="288010CA"/>
    <w:rsid w:val="2F913B87"/>
    <w:rsid w:val="314C15E2"/>
    <w:rsid w:val="36055107"/>
    <w:rsid w:val="362C295C"/>
    <w:rsid w:val="36C03D85"/>
    <w:rsid w:val="38296BB0"/>
    <w:rsid w:val="38CD2E8E"/>
    <w:rsid w:val="39F53F18"/>
    <w:rsid w:val="3AF6384B"/>
    <w:rsid w:val="3F417E35"/>
    <w:rsid w:val="3F911525"/>
    <w:rsid w:val="409E2E12"/>
    <w:rsid w:val="47672DDF"/>
    <w:rsid w:val="478B5BE9"/>
    <w:rsid w:val="49AE2C0A"/>
    <w:rsid w:val="4BA11B70"/>
    <w:rsid w:val="4D576B6D"/>
    <w:rsid w:val="4E4F4B57"/>
    <w:rsid w:val="4ED300C1"/>
    <w:rsid w:val="50F8747A"/>
    <w:rsid w:val="51536047"/>
    <w:rsid w:val="54DC719A"/>
    <w:rsid w:val="54EA55DA"/>
    <w:rsid w:val="55277367"/>
    <w:rsid w:val="567F35D2"/>
    <w:rsid w:val="571B11FE"/>
    <w:rsid w:val="5DFE5C52"/>
    <w:rsid w:val="5DFF3841"/>
    <w:rsid w:val="5EAB5261"/>
    <w:rsid w:val="61E5122B"/>
    <w:rsid w:val="679C2507"/>
    <w:rsid w:val="67D029E5"/>
    <w:rsid w:val="69731BEA"/>
    <w:rsid w:val="6A4913D1"/>
    <w:rsid w:val="6CF43042"/>
    <w:rsid w:val="6D911F95"/>
    <w:rsid w:val="6E0E34CE"/>
    <w:rsid w:val="6EF72976"/>
    <w:rsid w:val="6FD66A2F"/>
    <w:rsid w:val="6FD809F9"/>
    <w:rsid w:val="7023696D"/>
    <w:rsid w:val="733E6120"/>
    <w:rsid w:val="74324450"/>
    <w:rsid w:val="75B24D84"/>
    <w:rsid w:val="76730700"/>
    <w:rsid w:val="78031871"/>
    <w:rsid w:val="784F4F94"/>
    <w:rsid w:val="78C706B5"/>
    <w:rsid w:val="78F341AE"/>
    <w:rsid w:val="79B85A3F"/>
    <w:rsid w:val="79F63C5C"/>
    <w:rsid w:val="7FEF69D1"/>
    <w:rsid w:val="FF5E51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jc w:val="both"/>
      <w:outlineLvl w:val="0"/>
    </w:pPr>
    <w:rPr>
      <w:rFonts w:ascii="黑体" w:hAnsi="黑体" w:eastAsia="黑体" w:cs="黑体"/>
      <w:spacing w:val="7"/>
    </w:rPr>
  </w:style>
  <w:style w:type="paragraph" w:styleId="3">
    <w:name w:val="heading 2"/>
    <w:basedOn w:val="1"/>
    <w:next w:val="1"/>
    <w:unhideWhenUsed/>
    <w:qFormat/>
    <w:uiPriority w:val="0"/>
    <w:pPr>
      <w:spacing w:before="91" w:line="312" w:lineRule="auto"/>
      <w:ind w:right="6" w:firstLine="427"/>
      <w:jc w:val="both"/>
      <w:outlineLvl w:val="1"/>
    </w:pPr>
    <w:rPr>
      <w:rFonts w:ascii="PingFang SC" w:hAnsi="PingFang SC" w:eastAsia="PingFang SC" w:cs="PingFang SC"/>
      <w:spacing w:val="7"/>
      <w:sz w:val="20"/>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其他发布日期"/>
    <w:basedOn w:val="19"/>
    <w:qFormat/>
    <w:uiPriority w:val="0"/>
    <w:pPr>
      <w:framePr w:w="3997" w:h="471" w:hRule="exact" w:hSpace="0" w:vSpace="181" w:wrap="around" w:vAnchor="page" w:hAnchor="page" w:x="1419" w:y="14097"/>
    </w:pPr>
  </w:style>
  <w:style w:type="paragraph" w:customStyle="1" w:styleId="19">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styleId="20">
    <w:name w:val="List Paragraph"/>
    <w:basedOn w:val="1"/>
    <w:qFormat/>
    <w:uiPriority w:val="1"/>
    <w:pPr>
      <w:ind w:left="1132" w:hanging="425"/>
    </w:pPr>
    <w:rPr>
      <w:rFonts w:ascii="宋体" w:hAnsi="宋体" w:eastAsia="宋体" w:cs="宋体"/>
      <w:lang w:val="en-US" w:eastAsia="en-US" w:bidi="en-US"/>
    </w:rPr>
  </w:style>
  <w:style w:type="character" w:styleId="21">
    <w:name w:val="Placeholder Text"/>
    <w:basedOn w:val="15"/>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3.png"/><Relationship Id="rId26" Type="http://schemas.openxmlformats.org/officeDocument/2006/relationships/image" Target="media/image2.png"/><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8.xml"/><Relationship Id="rId22" Type="http://schemas.openxmlformats.org/officeDocument/2006/relationships/footer" Target="footer7.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6.xml"/><Relationship Id="rId18" Type="http://schemas.openxmlformats.org/officeDocument/2006/relationships/footer" Target="footer5.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3704</Words>
  <Characters>4055</Characters>
  <TotalTime>0</TotalTime>
  <ScaleCrop>false</ScaleCrop>
  <LinksUpToDate>false</LinksUpToDate>
  <CharactersWithSpaces>4205</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2026-01-19T23:12:00Z</dcterms:created>
  <dc:creator>Administrator</dc:creator>
  <cp:lastModifiedBy>孙源</cp:lastModifiedBy>
  <dcterms:modified xsi:type="dcterms:W3CDTF">2026-06-01T05:00:53Z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2026-01-29T04:18:10Z</vt:filetime>
  </property>
  <property fmtid="{D5CDD505-2E9C-101B-9397-08002B2CF9AE}" pid="4" name="KSOTemplateDocerSaveRecord">
    <vt:lpwstr>eyJoZGlkIjoiNTQ5MWU0NmJmYzU0MmZiNmYzNWZmODgyODE2OTlmYTIiLCJ1c2VySWQiOiI5NDk0MTg3MjYifQ==</vt:lpwstr>
  </property>
  <property fmtid="{D5CDD505-2E9C-101B-9397-08002B2CF9AE}" pid="5" name="KSOProductBuildVer">
    <vt:lpwstr>2052-12.1.0.25865</vt:lpwstr>
  </property>
  <property fmtid="{D5CDD505-2E9C-101B-9397-08002B2CF9AE}" pid="6" name="ICV">
    <vt:lpwstr>619B9EBD617C46F9B6B45C4F3869BBA8_13</vt:lpwstr>
  </property>
</Properties>
</file>