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F6EFA5">
      <w:pPr>
        <w:jc w:val="both"/>
        <w:rPr>
          <w:rFonts w:hint="default"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附件3</w:t>
      </w:r>
    </w:p>
    <w:p w14:paraId="1ADC075D">
      <w:pPr>
        <w:jc w:val="center"/>
        <w:rPr>
          <w:rFonts w:hint="eastAsia" w:ascii="方正小标宋_GBK" w:hAnsi="方正小标宋_GBK" w:eastAsia="方正小标宋_GBK" w:cs="方正小标宋_GBK"/>
          <w:b w:val="0"/>
          <w:bCs/>
          <w:sz w:val="44"/>
          <w:szCs w:val="44"/>
        </w:rPr>
      </w:pPr>
      <w:r>
        <w:rPr>
          <w:rFonts w:hint="eastAsia" w:ascii="方正小标宋简体" w:hAnsi="方正小标宋简体" w:eastAsia="方正小标宋简体" w:cs="方正小标宋简体"/>
          <w:color w:val="000000"/>
          <w:kern w:val="0"/>
          <w:sz w:val="43"/>
          <w:szCs w:val="43"/>
          <w:lang w:val="en-US" w:eastAsia="zh-CN" w:bidi="ar"/>
        </w:rPr>
        <w:t>团体标准</w:t>
      </w:r>
      <w:r>
        <w:rPr>
          <w:rFonts w:ascii="方正小标宋简体" w:hAnsi="方正小标宋简体" w:eastAsia="方正小标宋简体" w:cs="方正小标宋简体"/>
          <w:color w:val="000000"/>
          <w:kern w:val="0"/>
          <w:sz w:val="43"/>
          <w:szCs w:val="43"/>
          <w:lang w:val="en-US" w:eastAsia="zh-CN" w:bidi="ar"/>
        </w:rPr>
        <w:t>复审</w:t>
      </w:r>
      <w:r>
        <w:rPr>
          <w:rFonts w:hint="eastAsia" w:ascii="方正小标宋简体" w:hAnsi="方正小标宋简体" w:eastAsia="方正小标宋简体" w:cs="方正小标宋简体"/>
          <w:color w:val="000000"/>
          <w:kern w:val="0"/>
          <w:sz w:val="43"/>
          <w:szCs w:val="43"/>
          <w:lang w:val="en-US" w:eastAsia="zh-CN" w:bidi="ar"/>
        </w:rPr>
        <w:t>工作表</w:t>
      </w:r>
    </w:p>
    <w:tbl>
      <w:tblPr>
        <w:tblStyle w:val="3"/>
        <w:tblW w:w="898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2042"/>
        <w:gridCol w:w="3756"/>
        <w:gridCol w:w="3189"/>
      </w:tblGrid>
      <w:tr w14:paraId="01BA00F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jc w:val="center"/>
        </w:trPr>
        <w:tc>
          <w:tcPr>
            <w:tcW w:w="2042" w:type="dxa"/>
            <w:vAlign w:val="center"/>
          </w:tcPr>
          <w:p w14:paraId="26A3A3EF">
            <w:pPr>
              <w:widowControl/>
              <w:jc w:val="center"/>
              <w:rPr>
                <w:rFonts w:ascii="宋体" w:hAnsi="宋体" w:eastAsia="宋体" w:cs="宋体"/>
                <w:b/>
                <w:bCs/>
                <w:color w:val="212529"/>
                <w:kern w:val="0"/>
                <w:sz w:val="21"/>
                <w:szCs w:val="21"/>
                <w:lang w:bidi="ar"/>
              </w:rPr>
            </w:pPr>
            <w:r>
              <w:rPr>
                <w:rFonts w:ascii="宋体" w:hAnsi="宋体" w:eastAsia="宋体" w:cs="宋体"/>
                <w:b/>
                <w:bCs/>
                <w:kern w:val="0"/>
                <w:sz w:val="21"/>
                <w:szCs w:val="21"/>
                <w:lang w:bidi="ar"/>
              </w:rPr>
              <w:t>标准编号</w:t>
            </w:r>
          </w:p>
        </w:tc>
        <w:tc>
          <w:tcPr>
            <w:tcW w:w="6945" w:type="dxa"/>
            <w:gridSpan w:val="2"/>
            <w:vAlign w:val="center"/>
          </w:tcPr>
          <w:p w14:paraId="4EC4BEAD">
            <w:pPr>
              <w:widowControl/>
              <w:snapToGrid w:val="0"/>
              <w:jc w:val="center"/>
              <w:textAlignment w:val="top"/>
              <w:rPr>
                <w:rFonts w:ascii="宋体" w:hAnsi="宋体" w:eastAsia="宋体" w:cs="宋体"/>
                <w:color w:val="212529"/>
                <w:kern w:val="0"/>
                <w:szCs w:val="21"/>
                <w:lang w:bidi="ar"/>
              </w:rPr>
            </w:pPr>
          </w:p>
        </w:tc>
      </w:tr>
      <w:tr w14:paraId="5623D01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jc w:val="center"/>
        </w:trPr>
        <w:tc>
          <w:tcPr>
            <w:tcW w:w="2042" w:type="dxa"/>
            <w:vAlign w:val="center"/>
          </w:tcPr>
          <w:p w14:paraId="425C65AE">
            <w:pPr>
              <w:widowControl/>
              <w:jc w:val="center"/>
              <w:rPr>
                <w:rFonts w:ascii="宋体" w:hAnsi="宋体" w:eastAsia="宋体" w:cs="宋体"/>
                <w:b/>
                <w:bCs/>
                <w:kern w:val="0"/>
                <w:sz w:val="21"/>
                <w:szCs w:val="21"/>
                <w:lang w:bidi="ar"/>
              </w:rPr>
            </w:pPr>
            <w:r>
              <w:rPr>
                <w:rFonts w:ascii="宋体" w:hAnsi="宋体" w:eastAsia="宋体" w:cs="宋体"/>
                <w:b/>
                <w:bCs/>
                <w:kern w:val="0"/>
                <w:sz w:val="21"/>
                <w:szCs w:val="21"/>
                <w:lang w:bidi="ar"/>
              </w:rPr>
              <w:t>标准名称</w:t>
            </w:r>
          </w:p>
        </w:tc>
        <w:tc>
          <w:tcPr>
            <w:tcW w:w="6945" w:type="dxa"/>
            <w:gridSpan w:val="2"/>
            <w:vAlign w:val="center"/>
          </w:tcPr>
          <w:p w14:paraId="55EBDDCB">
            <w:pPr>
              <w:widowControl/>
              <w:snapToGrid w:val="0"/>
              <w:jc w:val="center"/>
              <w:textAlignment w:val="top"/>
              <w:rPr>
                <w:rFonts w:ascii="宋体" w:hAnsi="宋体" w:eastAsia="宋体" w:cs="宋体"/>
                <w:color w:val="212529"/>
                <w:kern w:val="0"/>
                <w:szCs w:val="21"/>
                <w:lang w:bidi="ar"/>
              </w:rPr>
            </w:pPr>
          </w:p>
        </w:tc>
      </w:tr>
      <w:tr w14:paraId="068F0C4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737" w:hRule="atLeast"/>
          <w:jc w:val="center"/>
        </w:trPr>
        <w:tc>
          <w:tcPr>
            <w:tcW w:w="2042" w:type="dxa"/>
            <w:vAlign w:val="center"/>
          </w:tcPr>
          <w:p w14:paraId="06D10D1F">
            <w:pPr>
              <w:widowControl/>
              <w:jc w:val="center"/>
              <w:rPr>
                <w:rFonts w:ascii="宋体" w:hAnsi="宋体" w:eastAsia="宋体" w:cs="宋体"/>
                <w:b/>
                <w:bCs/>
                <w:kern w:val="0"/>
                <w:sz w:val="21"/>
                <w:szCs w:val="21"/>
                <w:lang w:bidi="ar"/>
              </w:rPr>
            </w:pPr>
            <w:r>
              <w:rPr>
                <w:rFonts w:hint="eastAsia" w:ascii="宋体" w:hAnsi="宋体" w:eastAsia="宋体" w:cs="宋体"/>
                <w:b/>
                <w:bCs/>
                <w:kern w:val="0"/>
                <w:sz w:val="21"/>
                <w:szCs w:val="21"/>
                <w:lang w:val="en-US" w:eastAsia="zh-CN" w:bidi="ar"/>
              </w:rPr>
              <w:t>填报日期</w:t>
            </w:r>
          </w:p>
        </w:tc>
        <w:tc>
          <w:tcPr>
            <w:tcW w:w="6945" w:type="dxa"/>
            <w:gridSpan w:val="2"/>
            <w:vAlign w:val="center"/>
          </w:tcPr>
          <w:p w14:paraId="687B42BF">
            <w:pPr>
              <w:widowControl/>
              <w:snapToGrid w:val="0"/>
              <w:jc w:val="center"/>
              <w:textAlignment w:val="top"/>
              <w:rPr>
                <w:rFonts w:ascii="宋体" w:hAnsi="宋体" w:eastAsia="宋体" w:cs="宋体"/>
                <w:color w:val="212529"/>
                <w:kern w:val="0"/>
                <w:szCs w:val="21"/>
                <w:lang w:bidi="ar"/>
              </w:rPr>
            </w:pPr>
          </w:p>
        </w:tc>
      </w:tr>
      <w:tr w14:paraId="26F1F10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22" w:hRule="atLeast"/>
          <w:jc w:val="center"/>
        </w:trPr>
        <w:tc>
          <w:tcPr>
            <w:tcW w:w="5798" w:type="dxa"/>
            <w:gridSpan w:val="2"/>
            <w:vAlign w:val="center"/>
          </w:tcPr>
          <w:p w14:paraId="4A6B1AB3">
            <w:pPr>
              <w:widowControl/>
              <w:jc w:val="center"/>
              <w:textAlignment w:val="top"/>
              <w:rPr>
                <w:rFonts w:ascii="宋体" w:hAnsi="宋体" w:eastAsia="宋体" w:cs="宋体"/>
                <w:b/>
                <w:bCs/>
                <w:color w:val="212529"/>
                <w:kern w:val="0"/>
                <w:szCs w:val="21"/>
                <w:lang w:bidi="ar"/>
              </w:rPr>
            </w:pPr>
            <w:r>
              <w:rPr>
                <w:rFonts w:ascii="宋体" w:hAnsi="宋体" w:eastAsia="宋体" w:cs="宋体"/>
                <w:b/>
                <w:bCs/>
                <w:color w:val="212529"/>
                <w:kern w:val="0"/>
                <w:szCs w:val="21"/>
                <w:lang w:bidi="ar"/>
              </w:rPr>
              <w:t>复审内容</w:t>
            </w:r>
          </w:p>
        </w:tc>
        <w:tc>
          <w:tcPr>
            <w:tcW w:w="3189" w:type="dxa"/>
            <w:vAlign w:val="center"/>
          </w:tcPr>
          <w:p w14:paraId="0200351A">
            <w:pPr>
              <w:widowControl/>
              <w:jc w:val="center"/>
            </w:pPr>
            <w:r>
              <w:rPr>
                <w:rFonts w:ascii="宋体" w:hAnsi="宋体" w:eastAsia="宋体" w:cs="宋体"/>
                <w:b/>
                <w:bCs/>
                <w:color w:val="212529"/>
                <w:kern w:val="0"/>
                <w:szCs w:val="21"/>
                <w:lang w:bidi="ar"/>
              </w:rPr>
              <w:t>结果判定</w:t>
            </w:r>
          </w:p>
        </w:tc>
      </w:tr>
      <w:tr w14:paraId="7563C9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restart"/>
            <w:vAlign w:val="center"/>
          </w:tcPr>
          <w:p w14:paraId="6F1BBC1C">
            <w:pPr>
              <w:widowControl/>
              <w:jc w:val="center"/>
            </w:pPr>
            <w:r>
              <w:rPr>
                <w:rFonts w:ascii="宋体" w:hAnsi="宋体" w:eastAsia="宋体" w:cs="宋体"/>
                <w:color w:val="212529"/>
                <w:kern w:val="0"/>
                <w:szCs w:val="21"/>
                <w:lang w:bidi="ar"/>
              </w:rPr>
              <w:t>标准的适用性</w:t>
            </w:r>
          </w:p>
        </w:tc>
        <w:tc>
          <w:tcPr>
            <w:tcW w:w="3756" w:type="dxa"/>
            <w:vAlign w:val="center"/>
          </w:tcPr>
          <w:p w14:paraId="1DFC805D">
            <w:pPr>
              <w:widowControl/>
              <w:rPr>
                <w:rFonts w:hint="eastAsia" w:ascii="宋体" w:hAnsi="宋体" w:eastAsia="宋体" w:cs="宋体"/>
                <w:color w:val="212529"/>
                <w:kern w:val="0"/>
                <w:szCs w:val="21"/>
                <w:lang w:eastAsia="zh-CN" w:bidi="ar"/>
              </w:rPr>
            </w:pPr>
            <w:r>
              <w:rPr>
                <w:rFonts w:ascii="宋体" w:hAnsi="宋体" w:eastAsia="宋体" w:cs="宋体"/>
                <w:color w:val="212529"/>
                <w:kern w:val="0"/>
                <w:szCs w:val="21"/>
                <w:lang w:bidi="ar"/>
              </w:rPr>
              <w:t>1.</w:t>
            </w:r>
            <w:r>
              <w:rPr>
                <w:rFonts w:hint="eastAsia" w:ascii="宋体" w:hAnsi="宋体" w:eastAsia="宋体" w:cs="宋体"/>
                <w:color w:val="212529"/>
                <w:kern w:val="0"/>
                <w:szCs w:val="21"/>
                <w:lang w:eastAsia="zh-CN" w:bidi="ar"/>
              </w:rPr>
              <w:t>标准是否属于满足会员企业提升服务质量需要，对行业起引领作用的标准？</w:t>
            </w:r>
          </w:p>
        </w:tc>
        <w:tc>
          <w:tcPr>
            <w:tcW w:w="3189" w:type="dxa"/>
          </w:tcPr>
          <w:p w14:paraId="67243D76">
            <w:pPr>
              <w:keepNext w:val="0"/>
              <w:keepLines w:val="0"/>
              <w:pageBreakBefore w:val="0"/>
              <w:widowControl/>
              <w:kinsoku/>
              <w:wordWrap/>
              <w:overflowPunct/>
              <w:topLinePunct w:val="0"/>
              <w:autoSpaceDE/>
              <w:autoSpaceDN/>
              <w:bidi w:val="0"/>
              <w:adjustRightInd/>
              <w:snapToGrid w:val="0"/>
              <w:spacing w:line="440" w:lineRule="exact"/>
              <w:jc w:val="left"/>
              <w:rPr>
                <w:rFonts w:hint="eastAsia" w:ascii="宋体" w:hAnsi="宋体" w:eastAsia="宋体" w:cs="宋体"/>
                <w:color w:val="FF0000"/>
                <w:kern w:val="0"/>
                <w:szCs w:val="21"/>
                <w:lang w:eastAsia="zh-CN" w:bidi="ar"/>
              </w:rPr>
            </w:pPr>
            <w:r>
              <w:rPr>
                <w:rFonts w:hint="eastAsia" w:ascii="宋体" w:hAnsi="宋体" w:eastAsia="宋体" w:cs="宋体"/>
                <w:color w:val="212529"/>
                <w:kern w:val="0"/>
                <w:szCs w:val="21"/>
                <w:lang w:val="en-US" w:eastAsia="zh-CN" w:bidi="ar"/>
              </w:rPr>
              <w:t>□</w:t>
            </w:r>
            <w:r>
              <w:rPr>
                <w:rFonts w:hint="eastAsia" w:ascii="宋体" w:hAnsi="宋体" w:eastAsia="宋体" w:cs="宋体"/>
                <w:color w:val="212529"/>
                <w:kern w:val="0"/>
                <w:szCs w:val="21"/>
                <w:lang w:eastAsia="zh-CN" w:bidi="ar"/>
              </w:rPr>
              <w:t>满足企业发展需求</w:t>
            </w:r>
          </w:p>
          <w:p w14:paraId="6D38A274">
            <w:pPr>
              <w:keepNext w:val="0"/>
              <w:keepLines w:val="0"/>
              <w:pageBreakBefore w:val="0"/>
              <w:widowControl/>
              <w:kinsoku/>
              <w:wordWrap/>
              <w:overflowPunct/>
              <w:topLinePunct w:val="0"/>
              <w:autoSpaceDE/>
              <w:autoSpaceDN/>
              <w:bidi w:val="0"/>
              <w:adjustRightInd/>
              <w:snapToGrid w:val="0"/>
              <w:spacing w:line="440" w:lineRule="exact"/>
              <w:jc w:val="left"/>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起引领作用</w:t>
            </w:r>
          </w:p>
          <w:p w14:paraId="1C786FEC">
            <w:pPr>
              <w:keepNext w:val="0"/>
              <w:keepLines w:val="0"/>
              <w:pageBreakBefore w:val="0"/>
              <w:widowControl/>
              <w:kinsoku/>
              <w:wordWrap/>
              <w:overflowPunct/>
              <w:topLinePunct w:val="0"/>
              <w:autoSpaceDE/>
              <w:autoSpaceDN/>
              <w:bidi w:val="0"/>
              <w:adjustRightInd/>
              <w:snapToGrid w:val="0"/>
              <w:spacing w:line="440" w:lineRule="exact"/>
              <w:jc w:val="left"/>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否</w:t>
            </w:r>
          </w:p>
        </w:tc>
      </w:tr>
      <w:tr w14:paraId="7DF3F3B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5D042F8F">
            <w:pPr>
              <w:widowControl/>
              <w:jc w:val="center"/>
            </w:pPr>
          </w:p>
        </w:tc>
        <w:tc>
          <w:tcPr>
            <w:tcW w:w="3756" w:type="dxa"/>
          </w:tcPr>
          <w:p w14:paraId="0F442350">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2.标准涉及的产品、过程或服务是否已被淘汰？</w:t>
            </w:r>
          </w:p>
        </w:tc>
        <w:tc>
          <w:tcPr>
            <w:tcW w:w="3189" w:type="dxa"/>
            <w:vAlign w:val="center"/>
          </w:tcPr>
          <w:p w14:paraId="73492AB7">
            <w:pPr>
              <w:keepNext w:val="0"/>
              <w:keepLines w:val="0"/>
              <w:pageBreakBefore w:val="0"/>
              <w:widowControl/>
              <w:kinsoku/>
              <w:wordWrap/>
              <w:overflowPunct/>
              <w:topLinePunct w:val="0"/>
              <w:autoSpaceDE/>
              <w:autoSpaceDN/>
              <w:bidi w:val="0"/>
              <w:adjustRightInd/>
              <w:snapToGrid w:val="0"/>
              <w:spacing w:line="440" w:lineRule="exact"/>
              <w:jc w:val="both"/>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35A484D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261ABE45">
            <w:pPr>
              <w:widowControl/>
              <w:jc w:val="center"/>
            </w:pPr>
          </w:p>
        </w:tc>
        <w:tc>
          <w:tcPr>
            <w:tcW w:w="3756" w:type="dxa"/>
          </w:tcPr>
          <w:p w14:paraId="12900B97">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3.标准的适用范围是否能够覆盖新产品、新工艺、新技术或新服务？</w:t>
            </w:r>
          </w:p>
        </w:tc>
        <w:tc>
          <w:tcPr>
            <w:tcW w:w="3189" w:type="dxa"/>
            <w:vAlign w:val="center"/>
          </w:tcPr>
          <w:p w14:paraId="7A8A01BD">
            <w:pPr>
              <w:keepNext w:val="0"/>
              <w:keepLines w:val="0"/>
              <w:pageBreakBefore w:val="0"/>
              <w:widowControl/>
              <w:kinsoku/>
              <w:wordWrap/>
              <w:overflowPunct/>
              <w:topLinePunct w:val="0"/>
              <w:autoSpaceDE/>
              <w:autoSpaceDN/>
              <w:bidi w:val="0"/>
              <w:adjustRightInd/>
              <w:snapToGrid w:val="0"/>
              <w:spacing w:line="440" w:lineRule="exact"/>
              <w:jc w:val="both"/>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23D5214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067E90B2">
            <w:pPr>
              <w:widowControl/>
              <w:snapToGrid w:val="0"/>
              <w:jc w:val="center"/>
            </w:pPr>
          </w:p>
        </w:tc>
        <w:tc>
          <w:tcPr>
            <w:tcW w:w="3756" w:type="dxa"/>
            <w:vAlign w:val="center"/>
          </w:tcPr>
          <w:p w14:paraId="08B59856">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4.标准的技术要求与当前市场或产业技术发展的平均水平相比情况</w:t>
            </w:r>
          </w:p>
        </w:tc>
        <w:tc>
          <w:tcPr>
            <w:tcW w:w="3189" w:type="dxa"/>
            <w:vAlign w:val="center"/>
          </w:tcPr>
          <w:p w14:paraId="495124E8">
            <w:pPr>
              <w:keepNext w:val="0"/>
              <w:keepLines w:val="0"/>
              <w:pageBreakBefore w:val="0"/>
              <w:widowControl/>
              <w:kinsoku/>
              <w:wordWrap/>
              <w:overflowPunct/>
              <w:topLinePunct w:val="0"/>
              <w:autoSpaceDE/>
              <w:autoSpaceDN/>
              <w:bidi w:val="0"/>
              <w:adjustRightInd/>
              <w:snapToGrid w:val="0"/>
              <w:spacing w:line="440" w:lineRule="exac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高于平均</w:t>
            </w:r>
          </w:p>
          <w:p w14:paraId="0A6EC17F">
            <w:pPr>
              <w:keepNext w:val="0"/>
              <w:keepLines w:val="0"/>
              <w:pageBreakBefore w:val="0"/>
              <w:widowControl/>
              <w:kinsoku/>
              <w:wordWrap/>
              <w:overflowPunct/>
              <w:topLinePunct w:val="0"/>
              <w:autoSpaceDE/>
              <w:autoSpaceDN/>
              <w:bidi w:val="0"/>
              <w:adjustRightInd/>
              <w:snapToGrid w:val="0"/>
              <w:spacing w:line="440" w:lineRule="exac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齐于平均</w:t>
            </w:r>
          </w:p>
          <w:p w14:paraId="4138D0D2">
            <w:pPr>
              <w:keepNext w:val="0"/>
              <w:keepLines w:val="0"/>
              <w:pageBreakBefore w:val="0"/>
              <w:widowControl/>
              <w:kinsoku/>
              <w:wordWrap/>
              <w:overflowPunct/>
              <w:topLinePunct w:val="0"/>
              <w:autoSpaceDE/>
              <w:autoSpaceDN/>
              <w:bidi w:val="0"/>
              <w:adjustRightInd/>
              <w:snapToGrid w:val="0"/>
              <w:spacing w:line="440" w:lineRule="exac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低于平均</w:t>
            </w:r>
          </w:p>
        </w:tc>
      </w:tr>
      <w:tr w14:paraId="3C10120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72" w:hRule="atLeast"/>
          <w:jc w:val="center"/>
        </w:trPr>
        <w:tc>
          <w:tcPr>
            <w:tcW w:w="2042" w:type="dxa"/>
            <w:vAlign w:val="center"/>
          </w:tcPr>
          <w:p w14:paraId="74DFDCD3">
            <w:pPr>
              <w:widowControl/>
              <w:snapToGrid w:val="0"/>
              <w:jc w:val="center"/>
              <w:textAlignment w:val="top"/>
              <w:rPr>
                <w:color w:val="212529"/>
                <w:szCs w:val="21"/>
              </w:rPr>
            </w:pPr>
            <w:r>
              <w:rPr>
                <w:rFonts w:ascii="宋体" w:hAnsi="宋体" w:eastAsia="宋体" w:cs="宋体"/>
                <w:color w:val="212529"/>
                <w:kern w:val="0"/>
                <w:szCs w:val="21"/>
                <w:lang w:bidi="ar"/>
              </w:rPr>
              <w:t>标准的规范性</w:t>
            </w:r>
          </w:p>
        </w:tc>
        <w:tc>
          <w:tcPr>
            <w:tcW w:w="3756" w:type="dxa"/>
            <w:vAlign w:val="center"/>
          </w:tcPr>
          <w:p w14:paraId="7B2DC17D">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5.标准技术内容是否可验证、可操作？</w:t>
            </w:r>
          </w:p>
        </w:tc>
        <w:tc>
          <w:tcPr>
            <w:tcW w:w="3189" w:type="dxa"/>
          </w:tcPr>
          <w:p w14:paraId="6CC1D8A5">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hint="eastAsia"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p w14:paraId="63CA74D4">
            <w:pPr>
              <w:keepNext w:val="0"/>
              <w:keepLines w:val="0"/>
              <w:pageBreakBefore w:val="0"/>
              <w:widowControl/>
              <w:kinsoku/>
              <w:wordWrap/>
              <w:overflowPunct/>
              <w:topLinePunct w:val="0"/>
              <w:autoSpaceDE/>
              <w:autoSpaceDN/>
              <w:bidi w:val="0"/>
              <w:adjustRightInd/>
              <w:snapToGrid w:val="0"/>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不适用于本标准</w:t>
            </w:r>
          </w:p>
        </w:tc>
      </w:tr>
      <w:tr w14:paraId="606702E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restart"/>
            <w:vAlign w:val="center"/>
          </w:tcPr>
          <w:p w14:paraId="7115B4D8">
            <w:pPr>
              <w:widowControl/>
              <w:snapToGrid w:val="0"/>
              <w:jc w:val="center"/>
            </w:pPr>
            <w:r>
              <w:rPr>
                <w:rFonts w:ascii="宋体" w:hAnsi="宋体" w:eastAsia="宋体" w:cs="宋体"/>
                <w:color w:val="212529"/>
                <w:kern w:val="0"/>
                <w:szCs w:val="21"/>
                <w:lang w:bidi="ar"/>
              </w:rPr>
              <w:t>标准的时效性</w:t>
            </w:r>
          </w:p>
        </w:tc>
        <w:tc>
          <w:tcPr>
            <w:tcW w:w="3756" w:type="dxa"/>
            <w:vAlign w:val="center"/>
          </w:tcPr>
          <w:p w14:paraId="4F096C3A">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6.采标标准所采用的国际标准是否是最新标准？</w:t>
            </w:r>
          </w:p>
        </w:tc>
        <w:tc>
          <w:tcPr>
            <w:tcW w:w="3189" w:type="dxa"/>
            <w:vAlign w:val="center"/>
          </w:tcPr>
          <w:p w14:paraId="45A46CC8">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hint="eastAsia"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p w14:paraId="21D248F4">
            <w:pPr>
              <w:keepNext w:val="0"/>
              <w:keepLines w:val="0"/>
              <w:pageBreakBefore w:val="0"/>
              <w:widowControl/>
              <w:kinsoku/>
              <w:wordWrap/>
              <w:overflowPunct/>
              <w:topLinePunct w:val="0"/>
              <w:autoSpaceDE/>
              <w:autoSpaceDN/>
              <w:bidi w:val="0"/>
              <w:adjustRightInd/>
              <w:snapToGrid w:val="0"/>
              <w:spacing w:line="440" w:lineRule="exac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没有采标</w:t>
            </w:r>
          </w:p>
        </w:tc>
      </w:tr>
      <w:tr w14:paraId="4708C88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1A154179">
            <w:pPr>
              <w:widowControl/>
              <w:jc w:val="center"/>
              <w:rPr>
                <w:rFonts w:ascii="宋体" w:hAnsi="宋体" w:eastAsia="宋体" w:cs="宋体"/>
                <w:color w:val="212529"/>
                <w:kern w:val="0"/>
                <w:szCs w:val="21"/>
                <w:lang w:bidi="ar"/>
              </w:rPr>
            </w:pPr>
          </w:p>
        </w:tc>
        <w:tc>
          <w:tcPr>
            <w:tcW w:w="3756" w:type="dxa"/>
            <w:vAlign w:val="center"/>
          </w:tcPr>
          <w:p w14:paraId="6C5973D3">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7.标准的规范性引用文件是否修订或废止？</w:t>
            </w:r>
          </w:p>
        </w:tc>
        <w:tc>
          <w:tcPr>
            <w:tcW w:w="3189" w:type="dxa"/>
            <w:vAlign w:val="center"/>
          </w:tcPr>
          <w:p w14:paraId="54311C48">
            <w:pPr>
              <w:keepNext w:val="0"/>
              <w:keepLines w:val="0"/>
              <w:pageBreakBefore w:val="0"/>
              <w:widowControl/>
              <w:kinsoku/>
              <w:wordWrap/>
              <w:overflowPunct/>
              <w:topLinePunct w:val="0"/>
              <w:autoSpaceDE/>
              <w:autoSpaceDN/>
              <w:bidi w:val="0"/>
              <w:adjustRightInd/>
              <w:spacing w:line="440" w:lineRule="exac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1D9B887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restart"/>
            <w:vAlign w:val="center"/>
          </w:tcPr>
          <w:p w14:paraId="3929CE1E">
            <w:pPr>
              <w:widowControl/>
              <w:jc w:val="center"/>
              <w:rPr>
                <w:rFonts w:hint="default" w:eastAsiaTheme="minorEastAsia"/>
                <w:lang w:val="en-US" w:eastAsia="zh-CN"/>
              </w:rPr>
            </w:pPr>
            <w:r>
              <w:rPr>
                <w:rFonts w:hint="eastAsia" w:ascii="宋体" w:hAnsi="宋体" w:eastAsia="宋体" w:cs="宋体"/>
                <w:color w:val="212529"/>
                <w:kern w:val="0"/>
                <w:szCs w:val="21"/>
                <w:lang w:val="en-US" w:eastAsia="zh-CN" w:bidi="ar"/>
              </w:rPr>
              <w:t>标准的协调性</w:t>
            </w:r>
          </w:p>
        </w:tc>
        <w:tc>
          <w:tcPr>
            <w:tcW w:w="3756" w:type="dxa"/>
            <w:vAlign w:val="center"/>
          </w:tcPr>
          <w:p w14:paraId="293253AB">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8.标准相关技术内容是否与其他标准重复？</w:t>
            </w:r>
          </w:p>
        </w:tc>
        <w:tc>
          <w:tcPr>
            <w:tcW w:w="3189" w:type="dxa"/>
            <w:vAlign w:val="center"/>
          </w:tcPr>
          <w:p w14:paraId="32387C3E">
            <w:pPr>
              <w:keepNext w:val="0"/>
              <w:keepLines w:val="0"/>
              <w:pageBreakBefore w:val="0"/>
              <w:widowControl/>
              <w:kinsoku/>
              <w:wordWrap/>
              <w:overflowPunct/>
              <w:topLinePunct w:val="0"/>
              <w:autoSpaceDE/>
              <w:autoSpaceDN/>
              <w:bidi w:val="0"/>
              <w:adjustRightInd/>
              <w:spacing w:line="440" w:lineRule="exac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3B14B18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tcPr>
          <w:p w14:paraId="055A0B30">
            <w:pPr>
              <w:widowControl/>
              <w:jc w:val="left"/>
            </w:pPr>
          </w:p>
        </w:tc>
        <w:tc>
          <w:tcPr>
            <w:tcW w:w="3756" w:type="dxa"/>
            <w:vAlign w:val="center"/>
          </w:tcPr>
          <w:p w14:paraId="391299AE">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9.标准相关技术内容是否与其他标准矛盾或不协调不配套？</w:t>
            </w:r>
          </w:p>
        </w:tc>
        <w:tc>
          <w:tcPr>
            <w:tcW w:w="3189" w:type="dxa"/>
            <w:vAlign w:val="center"/>
          </w:tcPr>
          <w:p w14:paraId="655811D2">
            <w:pPr>
              <w:keepNext w:val="0"/>
              <w:keepLines w:val="0"/>
              <w:pageBreakBefore w:val="0"/>
              <w:widowControl/>
              <w:kinsoku/>
              <w:wordWrap/>
              <w:overflowPunct/>
              <w:topLinePunct w:val="0"/>
              <w:autoSpaceDE/>
              <w:autoSpaceDN/>
              <w:bidi w:val="0"/>
              <w:adjustRightInd/>
              <w:spacing w:line="440" w:lineRule="exac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442EE36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tcPr>
          <w:p w14:paraId="5905C367">
            <w:pPr>
              <w:widowControl/>
              <w:jc w:val="left"/>
            </w:pPr>
          </w:p>
        </w:tc>
        <w:tc>
          <w:tcPr>
            <w:tcW w:w="3756" w:type="dxa"/>
            <w:vAlign w:val="center"/>
          </w:tcPr>
          <w:p w14:paraId="4A22B88A">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10.标准与现行相关法律法规、部门规章、国家产业政策是否协调？</w:t>
            </w:r>
          </w:p>
        </w:tc>
        <w:tc>
          <w:tcPr>
            <w:tcW w:w="3189" w:type="dxa"/>
            <w:vAlign w:val="center"/>
          </w:tcPr>
          <w:p w14:paraId="4B80EF62">
            <w:pPr>
              <w:keepNext w:val="0"/>
              <w:keepLines w:val="0"/>
              <w:pageBreakBefore w:val="0"/>
              <w:widowControl/>
              <w:kinsoku/>
              <w:wordWrap/>
              <w:overflowPunct/>
              <w:topLinePunct w:val="0"/>
              <w:autoSpaceDE/>
              <w:autoSpaceDN/>
              <w:bidi w:val="0"/>
              <w:adjustRightInd/>
              <w:spacing w:line="440" w:lineRule="exac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7287864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restart"/>
            <w:vAlign w:val="center"/>
          </w:tcPr>
          <w:p w14:paraId="45BB6036">
            <w:pPr>
              <w:widowControl/>
              <w:jc w:val="center"/>
            </w:pPr>
            <w:r>
              <w:rPr>
                <w:rFonts w:ascii="宋体" w:hAnsi="宋体" w:eastAsia="宋体" w:cs="宋体"/>
                <w:color w:val="212529"/>
                <w:kern w:val="0"/>
                <w:szCs w:val="21"/>
                <w:lang w:bidi="ar"/>
              </w:rPr>
              <w:t>标准实施效果</w:t>
            </w:r>
          </w:p>
        </w:tc>
        <w:tc>
          <w:tcPr>
            <w:tcW w:w="3756" w:type="dxa"/>
            <w:vAlign w:val="center"/>
          </w:tcPr>
          <w:p w14:paraId="252019E9">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11.标准是否被法律法规、部门规章、国家产业政策引用？</w:t>
            </w:r>
          </w:p>
        </w:tc>
        <w:tc>
          <w:tcPr>
            <w:tcW w:w="3189" w:type="dxa"/>
            <w:vAlign w:val="center"/>
          </w:tcPr>
          <w:p w14:paraId="72E7B20C">
            <w:pPr>
              <w:keepNext w:val="0"/>
              <w:keepLines w:val="0"/>
              <w:pageBreakBefore w:val="0"/>
              <w:widowControl/>
              <w:kinsoku/>
              <w:wordWrap/>
              <w:overflowPunct/>
              <w:topLinePunct w:val="0"/>
              <w:autoSpaceDE/>
              <w:autoSpaceDN/>
              <w:bidi w:val="0"/>
              <w:adjustRightInd/>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70B6A35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3EE22680">
            <w:pPr>
              <w:widowControl/>
              <w:jc w:val="center"/>
            </w:pPr>
          </w:p>
        </w:tc>
        <w:tc>
          <w:tcPr>
            <w:tcW w:w="3756" w:type="dxa"/>
            <w:vAlign w:val="center"/>
          </w:tcPr>
          <w:p w14:paraId="3F08B84D">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12.标准是否被强制性标准引用？</w:t>
            </w:r>
          </w:p>
        </w:tc>
        <w:tc>
          <w:tcPr>
            <w:tcW w:w="3189" w:type="dxa"/>
          </w:tcPr>
          <w:p w14:paraId="12733808">
            <w:pPr>
              <w:keepNext w:val="0"/>
              <w:keepLines w:val="0"/>
              <w:pageBreakBefore w:val="0"/>
              <w:widowControl/>
              <w:kinsoku/>
              <w:wordWrap/>
              <w:overflowPunct/>
              <w:topLinePunct w:val="0"/>
              <w:autoSpaceDE/>
              <w:autoSpaceDN/>
              <w:bidi w:val="0"/>
              <w:adjustRightInd/>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是</w:t>
            </w:r>
            <w:r>
              <w:rPr>
                <w:rFonts w:hint="eastAsia" w:ascii="宋体" w:hAnsi="宋体" w:eastAsia="宋体" w:cs="宋体"/>
                <w:color w:val="212529"/>
                <w:kern w:val="0"/>
                <w:szCs w:val="21"/>
                <w:lang w:val="en-US" w:eastAsia="zh-CN" w:bidi="ar"/>
              </w:rPr>
              <w:t xml:space="preserve">    □</w:t>
            </w:r>
            <w:r>
              <w:rPr>
                <w:rFonts w:hint="eastAsia" w:ascii="宋体" w:hAnsi="宋体" w:eastAsia="宋体" w:cs="宋体"/>
                <w:color w:val="212529"/>
                <w:kern w:val="0"/>
                <w:szCs w:val="21"/>
                <w:lang w:bidi="ar"/>
              </w:rPr>
              <w:t>否</w:t>
            </w:r>
          </w:p>
        </w:tc>
      </w:tr>
      <w:tr w14:paraId="1BB6BB3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3A7CD1EE">
            <w:pPr>
              <w:widowControl/>
              <w:snapToGrid w:val="0"/>
              <w:jc w:val="center"/>
            </w:pPr>
          </w:p>
        </w:tc>
        <w:tc>
          <w:tcPr>
            <w:tcW w:w="3756" w:type="dxa"/>
            <w:vAlign w:val="center"/>
          </w:tcPr>
          <w:p w14:paraId="21AFFC3C">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13.标准是否被其他推荐性标准引用？</w:t>
            </w:r>
          </w:p>
        </w:tc>
        <w:tc>
          <w:tcPr>
            <w:tcW w:w="3189" w:type="dxa"/>
          </w:tcPr>
          <w:p w14:paraId="2038D183">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hint="eastAsia"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1项标准引用</w:t>
            </w:r>
          </w:p>
          <w:p w14:paraId="741A76D1">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2-5项标准引用</w:t>
            </w:r>
          </w:p>
          <w:p w14:paraId="56685D9D">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5项以上标准引用</w:t>
            </w:r>
          </w:p>
          <w:p w14:paraId="632B0D4E">
            <w:pPr>
              <w:keepNext w:val="0"/>
              <w:keepLines w:val="0"/>
              <w:pageBreakBefore w:val="0"/>
              <w:widowControl/>
              <w:kinsoku/>
              <w:wordWrap/>
              <w:overflowPunct/>
              <w:topLinePunct w:val="0"/>
              <w:autoSpaceDE/>
              <w:autoSpaceDN/>
              <w:bidi w:val="0"/>
              <w:adjustRightInd/>
              <w:snapToGrid w:val="0"/>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没有被引用</w:t>
            </w:r>
          </w:p>
        </w:tc>
      </w:tr>
      <w:tr w14:paraId="6CDC1DF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26A2DBCD">
            <w:pPr>
              <w:widowControl/>
              <w:snapToGrid w:val="0"/>
              <w:jc w:val="center"/>
            </w:pPr>
          </w:p>
        </w:tc>
        <w:tc>
          <w:tcPr>
            <w:tcW w:w="3756" w:type="dxa"/>
            <w:vAlign w:val="center"/>
          </w:tcPr>
          <w:p w14:paraId="65086A2D">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14.标准实施的经济效益</w:t>
            </w:r>
          </w:p>
        </w:tc>
        <w:tc>
          <w:tcPr>
            <w:tcW w:w="3189" w:type="dxa"/>
          </w:tcPr>
          <w:p w14:paraId="016C0678">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突出</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良好</w:t>
            </w:r>
          </w:p>
          <w:p w14:paraId="255561C2">
            <w:pPr>
              <w:keepNext w:val="0"/>
              <w:keepLines w:val="0"/>
              <w:pageBreakBefore w:val="0"/>
              <w:widowControl/>
              <w:kinsoku/>
              <w:wordWrap/>
              <w:overflowPunct/>
              <w:topLinePunct w:val="0"/>
              <w:autoSpaceDE/>
              <w:autoSpaceDN/>
              <w:bidi w:val="0"/>
              <w:adjustRightInd/>
              <w:snapToGrid w:val="0"/>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一般</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负面</w:t>
            </w:r>
          </w:p>
        </w:tc>
      </w:tr>
      <w:tr w14:paraId="3AC21E1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26614200">
            <w:pPr>
              <w:widowControl/>
              <w:snapToGrid w:val="0"/>
              <w:jc w:val="center"/>
            </w:pPr>
          </w:p>
        </w:tc>
        <w:tc>
          <w:tcPr>
            <w:tcW w:w="3756" w:type="dxa"/>
            <w:vAlign w:val="center"/>
          </w:tcPr>
          <w:p w14:paraId="54557C2D">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15.标准实施的社会效益</w:t>
            </w:r>
          </w:p>
        </w:tc>
        <w:tc>
          <w:tcPr>
            <w:tcW w:w="3189" w:type="dxa"/>
          </w:tcPr>
          <w:p w14:paraId="57C02E37">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突出</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良好</w:t>
            </w:r>
          </w:p>
          <w:p w14:paraId="2869B9BD">
            <w:pPr>
              <w:keepNext w:val="0"/>
              <w:keepLines w:val="0"/>
              <w:pageBreakBefore w:val="0"/>
              <w:widowControl/>
              <w:kinsoku/>
              <w:wordWrap/>
              <w:overflowPunct/>
              <w:topLinePunct w:val="0"/>
              <w:autoSpaceDE/>
              <w:autoSpaceDN/>
              <w:bidi w:val="0"/>
              <w:adjustRightInd/>
              <w:snapToGrid w:val="0"/>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一般</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负面</w:t>
            </w:r>
          </w:p>
        </w:tc>
      </w:tr>
      <w:tr w14:paraId="6DE60D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2042" w:type="dxa"/>
            <w:vMerge w:val="continue"/>
            <w:vAlign w:val="center"/>
          </w:tcPr>
          <w:p w14:paraId="66E66182">
            <w:pPr>
              <w:widowControl/>
              <w:snapToGrid w:val="0"/>
              <w:jc w:val="center"/>
            </w:pPr>
          </w:p>
        </w:tc>
        <w:tc>
          <w:tcPr>
            <w:tcW w:w="3756" w:type="dxa"/>
            <w:vAlign w:val="center"/>
          </w:tcPr>
          <w:p w14:paraId="26AEE71F">
            <w:pPr>
              <w:widowControl/>
              <w:rPr>
                <w:rFonts w:ascii="宋体" w:hAnsi="宋体" w:eastAsia="宋体" w:cs="宋体"/>
                <w:color w:val="212529"/>
                <w:kern w:val="0"/>
                <w:szCs w:val="21"/>
                <w:lang w:bidi="ar"/>
              </w:rPr>
            </w:pPr>
            <w:r>
              <w:rPr>
                <w:rFonts w:ascii="宋体" w:hAnsi="宋体" w:eastAsia="宋体" w:cs="宋体"/>
                <w:color w:val="212529"/>
                <w:kern w:val="0"/>
                <w:szCs w:val="21"/>
                <w:lang w:bidi="ar"/>
              </w:rPr>
              <w:t>16.标准实施的生态效益</w:t>
            </w:r>
          </w:p>
        </w:tc>
        <w:tc>
          <w:tcPr>
            <w:tcW w:w="3189" w:type="dxa"/>
          </w:tcPr>
          <w:p w14:paraId="436CA744">
            <w:pPr>
              <w:keepNext w:val="0"/>
              <w:keepLines w:val="0"/>
              <w:pageBreakBefore w:val="0"/>
              <w:widowControl/>
              <w:kinsoku/>
              <w:wordWrap/>
              <w:overflowPunct/>
              <w:topLinePunct w:val="0"/>
              <w:autoSpaceDE/>
              <w:autoSpaceDN/>
              <w:bidi w:val="0"/>
              <w:adjustRightInd/>
              <w:snapToGrid w:val="0"/>
              <w:spacing w:line="440" w:lineRule="exact"/>
              <w:jc w:val="left"/>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突出</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良好</w:t>
            </w:r>
          </w:p>
          <w:p w14:paraId="4798607D">
            <w:pPr>
              <w:keepNext w:val="0"/>
              <w:keepLines w:val="0"/>
              <w:pageBreakBefore w:val="0"/>
              <w:widowControl/>
              <w:kinsoku/>
              <w:wordWrap/>
              <w:overflowPunct/>
              <w:topLinePunct w:val="0"/>
              <w:autoSpaceDE/>
              <w:autoSpaceDN/>
              <w:bidi w:val="0"/>
              <w:adjustRightInd/>
              <w:snapToGrid w:val="0"/>
              <w:spacing w:line="440" w:lineRule="exact"/>
              <w:jc w:val="left"/>
              <w:textAlignment w:val="top"/>
              <w:rPr>
                <w:color w:val="212529"/>
                <w:szCs w:val="21"/>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一般</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负面</w:t>
            </w:r>
          </w:p>
        </w:tc>
      </w:tr>
      <w:tr w14:paraId="7CFC993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576" w:hRule="atLeast"/>
          <w:jc w:val="center"/>
        </w:trPr>
        <w:tc>
          <w:tcPr>
            <w:tcW w:w="2042" w:type="dxa"/>
            <w:vAlign w:val="center"/>
          </w:tcPr>
          <w:p w14:paraId="5BB0F46C">
            <w:pPr>
              <w:widowControl/>
              <w:jc w:val="center"/>
              <w:rPr>
                <w:rFonts w:ascii="微软雅黑" w:hAnsi="微软雅黑" w:eastAsia="微软雅黑" w:cs="微软雅黑"/>
                <w:color w:val="212529"/>
                <w:szCs w:val="21"/>
              </w:rPr>
            </w:pPr>
            <w:r>
              <w:rPr>
                <w:rFonts w:hint="eastAsia" w:ascii="宋体" w:hAnsi="宋体" w:eastAsia="宋体" w:cs="宋体"/>
                <w:b/>
                <w:bCs/>
                <w:color w:val="212529"/>
                <w:kern w:val="0"/>
                <w:szCs w:val="21"/>
                <w:lang w:bidi="ar"/>
              </w:rPr>
              <w:t>其他情况</w:t>
            </w:r>
          </w:p>
        </w:tc>
        <w:tc>
          <w:tcPr>
            <w:tcW w:w="6945" w:type="dxa"/>
            <w:gridSpan w:val="2"/>
            <w:vAlign w:val="top"/>
          </w:tcPr>
          <w:p w14:paraId="798E7219">
            <w:pPr>
              <w:widowControl/>
              <w:jc w:val="left"/>
              <w:textAlignment w:val="top"/>
              <w:rPr>
                <w:rFonts w:ascii="宋体" w:hAnsi="宋体" w:eastAsia="宋体" w:cs="宋体"/>
                <w:color w:val="212529"/>
                <w:kern w:val="0"/>
                <w:szCs w:val="21"/>
                <w:lang w:bidi="ar"/>
              </w:rPr>
            </w:pPr>
            <w:r>
              <w:rPr>
                <w:rFonts w:ascii="宋体" w:hAnsi="宋体" w:eastAsia="宋体" w:cs="宋体"/>
                <w:color w:val="212529"/>
                <w:kern w:val="0"/>
                <w:szCs w:val="21"/>
                <w:lang w:bidi="ar"/>
              </w:rPr>
              <w:t>（</w:t>
            </w:r>
            <w:r>
              <w:rPr>
                <w:rFonts w:hint="eastAsia" w:ascii="宋体" w:hAnsi="宋体" w:eastAsia="宋体" w:cs="宋体"/>
                <w:color w:val="212529"/>
                <w:kern w:val="0"/>
                <w:szCs w:val="21"/>
                <w:lang w:val="en-US" w:eastAsia="zh-CN" w:bidi="ar"/>
              </w:rPr>
              <w:t>简要描述复审过程，</w:t>
            </w:r>
            <w:r>
              <w:rPr>
                <w:rFonts w:ascii="宋体" w:hAnsi="宋体" w:eastAsia="宋体" w:cs="宋体"/>
                <w:color w:val="212529"/>
                <w:kern w:val="0"/>
                <w:szCs w:val="21"/>
                <w:lang w:bidi="ar"/>
              </w:rPr>
              <w:t>给出复审结论的依据</w:t>
            </w:r>
            <w:r>
              <w:rPr>
                <w:rFonts w:hint="eastAsia" w:ascii="宋体" w:hAnsi="宋体" w:eastAsia="宋体" w:cs="宋体"/>
                <w:color w:val="212529"/>
                <w:kern w:val="0"/>
                <w:szCs w:val="21"/>
                <w:lang w:eastAsia="zh-CN" w:bidi="ar"/>
              </w:rPr>
              <w:t>，</w:t>
            </w:r>
            <w:r>
              <w:rPr>
                <w:rFonts w:hint="eastAsia" w:ascii="宋体" w:hAnsi="宋体" w:eastAsia="宋体" w:cs="宋体"/>
                <w:color w:val="212529"/>
                <w:kern w:val="0"/>
                <w:szCs w:val="21"/>
                <w:lang w:val="en-US" w:eastAsia="zh-CN" w:bidi="ar"/>
              </w:rPr>
              <w:t>包括数据</w:t>
            </w:r>
            <w:bookmarkStart w:id="0" w:name="OLE_LINK5"/>
            <w:r>
              <w:rPr>
                <w:rFonts w:hint="eastAsia" w:ascii="宋体" w:hAnsi="宋体" w:eastAsia="宋体" w:cs="宋体"/>
                <w:color w:val="212529"/>
                <w:kern w:val="0"/>
                <w:szCs w:val="21"/>
                <w:lang w:val="en-US" w:eastAsia="zh-CN" w:bidi="ar"/>
              </w:rPr>
              <w:t>采集</w:t>
            </w:r>
            <w:bookmarkEnd w:id="0"/>
            <w:r>
              <w:rPr>
                <w:rFonts w:hint="eastAsia" w:ascii="宋体" w:hAnsi="宋体" w:eastAsia="宋体" w:cs="宋体"/>
                <w:color w:val="212529"/>
                <w:kern w:val="0"/>
                <w:szCs w:val="21"/>
                <w:lang w:val="en-US" w:eastAsia="zh-CN" w:bidi="ar"/>
              </w:rPr>
              <w:t>情况及采集到的数据分析，标准技术内容的评价情况分析、标准的实施情况分析、标准的实施效益分析等。</w:t>
            </w:r>
            <w:r>
              <w:rPr>
                <w:rFonts w:ascii="宋体" w:hAnsi="宋体" w:eastAsia="宋体" w:cs="宋体"/>
                <w:color w:val="212529"/>
                <w:kern w:val="0"/>
                <w:szCs w:val="21"/>
                <w:lang w:bidi="ar"/>
              </w:rPr>
              <w:t>）</w:t>
            </w:r>
          </w:p>
          <w:p w14:paraId="5378CA5B">
            <w:pPr>
              <w:widowControl/>
              <w:jc w:val="left"/>
              <w:textAlignment w:val="top"/>
              <w:rPr>
                <w:rFonts w:ascii="宋体" w:hAnsi="宋体" w:eastAsia="宋体" w:cs="宋体"/>
                <w:color w:val="212529"/>
                <w:kern w:val="0"/>
                <w:szCs w:val="21"/>
                <w:lang w:bidi="ar"/>
              </w:rPr>
            </w:pPr>
          </w:p>
          <w:p w14:paraId="08C7D87D">
            <w:pPr>
              <w:widowControl/>
              <w:jc w:val="left"/>
              <w:textAlignment w:val="top"/>
              <w:rPr>
                <w:rFonts w:ascii="宋体" w:hAnsi="宋体" w:eastAsia="宋体" w:cs="宋体"/>
                <w:color w:val="212529"/>
                <w:kern w:val="0"/>
                <w:szCs w:val="21"/>
                <w:lang w:bidi="ar"/>
              </w:rPr>
            </w:pPr>
          </w:p>
          <w:p w14:paraId="6C18BD25">
            <w:pPr>
              <w:widowControl/>
              <w:jc w:val="left"/>
              <w:textAlignment w:val="top"/>
              <w:rPr>
                <w:rFonts w:ascii="宋体" w:hAnsi="宋体" w:eastAsia="宋体" w:cs="宋体"/>
                <w:color w:val="212529"/>
                <w:kern w:val="0"/>
                <w:szCs w:val="21"/>
                <w:lang w:bidi="ar"/>
              </w:rPr>
            </w:pPr>
          </w:p>
          <w:p w14:paraId="61DE3AC8">
            <w:pPr>
              <w:widowControl/>
              <w:jc w:val="left"/>
              <w:textAlignment w:val="top"/>
              <w:rPr>
                <w:rFonts w:hint="eastAsia" w:ascii="宋体" w:hAnsi="宋体" w:eastAsia="宋体" w:cs="宋体"/>
                <w:color w:val="212529"/>
                <w:kern w:val="0"/>
                <w:szCs w:val="21"/>
                <w:lang w:bidi="ar"/>
              </w:rPr>
            </w:pPr>
          </w:p>
        </w:tc>
      </w:tr>
      <w:tr w14:paraId="0FF73A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2770" w:hRule="atLeast"/>
          <w:jc w:val="center"/>
        </w:trPr>
        <w:tc>
          <w:tcPr>
            <w:tcW w:w="2042" w:type="dxa"/>
            <w:vAlign w:val="center"/>
          </w:tcPr>
          <w:p w14:paraId="192CD287">
            <w:pPr>
              <w:widowControl/>
              <w:jc w:val="center"/>
              <w:rPr>
                <w:rFonts w:hint="eastAsia" w:asciiTheme="minorHAnsi" w:hAnsiTheme="minorHAnsi" w:eastAsiaTheme="minorEastAsia" w:cstheme="minorBidi"/>
                <w:kern w:val="2"/>
                <w:sz w:val="21"/>
                <w:szCs w:val="24"/>
                <w:lang w:val="en-US" w:eastAsia="zh-CN" w:bidi="ar-SA"/>
              </w:rPr>
            </w:pPr>
            <w:r>
              <w:rPr>
                <w:rFonts w:ascii="宋体" w:hAnsi="宋体" w:eastAsia="宋体" w:cs="宋体"/>
                <w:b/>
                <w:bCs/>
                <w:color w:val="212529"/>
                <w:kern w:val="0"/>
                <w:szCs w:val="21"/>
                <w:lang w:bidi="ar"/>
              </w:rPr>
              <w:t>复审意见</w:t>
            </w:r>
          </w:p>
        </w:tc>
        <w:tc>
          <w:tcPr>
            <w:tcW w:w="6945" w:type="dxa"/>
            <w:gridSpan w:val="2"/>
            <w:vAlign w:val="center"/>
          </w:tcPr>
          <w:p w14:paraId="74551476">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继续有效</w:t>
            </w:r>
            <w:r>
              <w:rPr>
                <w:rFonts w:hint="eastAsia" w:ascii="宋体" w:hAnsi="宋体" w:eastAsia="宋体" w:cs="宋体"/>
                <w:color w:val="212529"/>
                <w:kern w:val="0"/>
                <w:szCs w:val="21"/>
                <w:lang w:bidi="ar"/>
              </w:rPr>
              <w:t xml:space="preserve"> </w:t>
            </w:r>
            <w:r>
              <w:rPr>
                <w:rFonts w:ascii="宋体" w:hAnsi="宋体" w:eastAsia="宋体" w:cs="宋体"/>
                <w:color w:val="212529"/>
                <w:kern w:val="0"/>
                <w:szCs w:val="21"/>
                <w:lang w:bidi="ar"/>
              </w:rPr>
              <w:t xml:space="preserve">     </w:t>
            </w: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修订</w:t>
            </w:r>
            <w:r>
              <w:rPr>
                <w:rFonts w:hint="eastAsia" w:ascii="宋体" w:hAnsi="宋体" w:eastAsia="宋体" w:cs="宋体"/>
                <w:color w:val="212529"/>
                <w:kern w:val="0"/>
                <w:szCs w:val="21"/>
                <w:lang w:val="en-US" w:eastAsia="zh-CN" w:bidi="ar"/>
              </w:rPr>
              <w:t xml:space="preserve">    </w:t>
            </w:r>
            <w:r>
              <w:rPr>
                <w:rFonts w:ascii="宋体" w:hAnsi="宋体" w:eastAsia="宋体" w:cs="宋体"/>
                <w:color w:val="212529"/>
                <w:kern w:val="0"/>
                <w:szCs w:val="21"/>
                <w:lang w:bidi="ar"/>
              </w:rPr>
              <w:t xml:space="preserve">   </w:t>
            </w:r>
            <w:r>
              <w:rPr>
                <w:rFonts w:hint="eastAsia" w:ascii="宋体" w:hAnsi="宋体" w:eastAsia="宋体" w:cs="宋体"/>
                <w:color w:val="212529"/>
                <w:kern w:val="0"/>
                <w:szCs w:val="21"/>
                <w:lang w:val="en-US" w:eastAsia="zh-CN" w:bidi="ar"/>
              </w:rPr>
              <w:t>□</w:t>
            </w:r>
            <w:r>
              <w:rPr>
                <w:rFonts w:ascii="宋体" w:hAnsi="宋体" w:eastAsia="宋体" w:cs="宋体"/>
                <w:color w:val="212529"/>
                <w:kern w:val="0"/>
                <w:szCs w:val="21"/>
                <w:lang w:bidi="ar"/>
              </w:rPr>
              <w:t>废止</w:t>
            </w:r>
          </w:p>
          <w:p w14:paraId="3866AAB9">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hint="eastAsia" w:ascii="宋体" w:hAnsi="宋体" w:eastAsia="宋体" w:cs="宋体"/>
                <w:color w:val="212529"/>
                <w:kern w:val="0"/>
                <w:szCs w:val="21"/>
                <w:lang w:val="en-US" w:eastAsia="zh-CN" w:bidi="ar"/>
              </w:rPr>
            </w:pPr>
          </w:p>
          <w:p w14:paraId="65D307E1">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hint="eastAsia" w:ascii="宋体" w:hAnsi="宋体" w:eastAsia="宋体" w:cs="宋体"/>
                <w:color w:val="212529"/>
                <w:kern w:val="0"/>
                <w:szCs w:val="21"/>
                <w:lang w:val="en-US" w:eastAsia="zh-CN" w:bidi="ar"/>
              </w:rPr>
            </w:pPr>
            <w:r>
              <w:rPr>
                <w:rFonts w:hint="eastAsia" w:ascii="宋体" w:hAnsi="宋体" w:eastAsia="宋体" w:cs="宋体"/>
                <w:color w:val="212529"/>
                <w:kern w:val="0"/>
                <w:szCs w:val="21"/>
                <w:lang w:val="en-US" w:eastAsia="zh-CN" w:bidi="ar"/>
              </w:rPr>
              <w:t>废止理由：</w:t>
            </w:r>
          </w:p>
          <w:p w14:paraId="76ADAA4E">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hint="default" w:ascii="宋体" w:hAnsi="宋体" w:eastAsia="宋体" w:cs="宋体"/>
                <w:color w:val="212529"/>
                <w:kern w:val="0"/>
                <w:szCs w:val="21"/>
                <w:lang w:val="en-US" w:eastAsia="zh-CN" w:bidi="ar"/>
              </w:rPr>
            </w:pPr>
          </w:p>
          <w:p w14:paraId="1024043D">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hint="eastAsia" w:ascii="宋体" w:hAnsi="宋体" w:eastAsia="宋体" w:cs="宋体"/>
                <w:color w:val="212529"/>
                <w:kern w:val="0"/>
                <w:szCs w:val="21"/>
                <w:lang w:val="en-US" w:eastAsia="zh-CN" w:bidi="ar"/>
              </w:rPr>
            </w:pPr>
            <w:r>
              <w:rPr>
                <w:rFonts w:hint="eastAsia" w:ascii="宋体" w:hAnsi="宋体" w:eastAsia="宋体" w:cs="宋体"/>
                <w:color w:val="212529"/>
                <w:kern w:val="0"/>
                <w:szCs w:val="21"/>
                <w:lang w:val="en-US" w:eastAsia="zh-CN" w:bidi="ar"/>
              </w:rPr>
              <w:t>如废止，标准废止过渡期：</w:t>
            </w:r>
          </w:p>
          <w:p w14:paraId="2BD19D54">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hint="default" w:ascii="宋体" w:hAnsi="宋体" w:eastAsia="宋体" w:cs="宋体"/>
                <w:color w:val="212529"/>
                <w:kern w:val="0"/>
                <w:szCs w:val="21"/>
                <w:lang w:val="en-US" w:eastAsia="zh-CN" w:bidi="ar"/>
              </w:rPr>
            </w:pPr>
            <w:r>
              <w:rPr>
                <w:rFonts w:hint="eastAsia" w:ascii="宋体" w:hAnsi="宋体" w:eastAsia="宋体" w:cs="宋体"/>
                <w:color w:val="212529"/>
                <w:kern w:val="0"/>
                <w:szCs w:val="21"/>
                <w:lang w:val="en-US" w:eastAsia="zh-CN" w:bidi="ar"/>
              </w:rPr>
              <w:t>□公告即废止</w:t>
            </w:r>
          </w:p>
          <w:p w14:paraId="3B3C2513">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ascii="宋体" w:hAnsi="宋体" w:eastAsia="宋体" w:cs="宋体"/>
                <w:color w:val="212529"/>
                <w:kern w:val="0"/>
                <w:szCs w:val="21"/>
                <w:lang w:bidi="ar"/>
              </w:rPr>
            </w:pPr>
            <w:r>
              <w:rPr>
                <w:rFonts w:hint="eastAsia" w:ascii="宋体" w:hAnsi="宋体" w:eastAsia="宋体" w:cs="宋体"/>
                <w:color w:val="212529"/>
                <w:kern w:val="0"/>
                <w:szCs w:val="21"/>
                <w:lang w:val="en-US" w:eastAsia="zh-CN" w:bidi="ar"/>
              </w:rPr>
              <w:t>□公告后</w:t>
            </w:r>
            <w:r>
              <w:rPr>
                <w:rFonts w:hint="eastAsia" w:ascii="宋体" w:hAnsi="宋体" w:eastAsia="宋体" w:cs="宋体"/>
                <w:color w:val="212529"/>
                <w:kern w:val="0"/>
                <w:szCs w:val="21"/>
                <w:u w:val="single"/>
                <w:lang w:val="en-US" w:eastAsia="zh-CN" w:bidi="ar"/>
              </w:rPr>
              <w:t xml:space="preserve">    </w:t>
            </w:r>
            <w:r>
              <w:rPr>
                <w:rFonts w:hint="eastAsia" w:ascii="宋体" w:hAnsi="宋体" w:eastAsia="宋体" w:cs="宋体"/>
                <w:color w:val="212529"/>
                <w:kern w:val="0"/>
                <w:szCs w:val="21"/>
                <w:lang w:val="en-US" w:eastAsia="zh-CN" w:bidi="ar"/>
              </w:rPr>
              <w:t>个月</w:t>
            </w:r>
            <w:r>
              <w:rPr>
                <w:rFonts w:ascii="宋体" w:hAnsi="宋体" w:eastAsia="宋体" w:cs="宋体"/>
                <w:color w:val="212529"/>
                <w:kern w:val="0"/>
                <w:szCs w:val="21"/>
                <w:lang w:bidi="ar"/>
              </w:rPr>
              <w:t>废止</w:t>
            </w:r>
          </w:p>
          <w:p w14:paraId="2C488F19">
            <w:pPr>
              <w:keepNext w:val="0"/>
              <w:keepLines w:val="0"/>
              <w:pageBreakBefore w:val="0"/>
              <w:widowControl/>
              <w:kinsoku/>
              <w:wordWrap/>
              <w:overflowPunct/>
              <w:topLinePunct w:val="0"/>
              <w:autoSpaceDE/>
              <w:autoSpaceDN/>
              <w:bidi w:val="0"/>
              <w:adjustRightInd/>
              <w:snapToGrid w:val="0"/>
              <w:spacing w:line="440" w:lineRule="exact"/>
              <w:jc w:val="both"/>
              <w:textAlignment w:val="top"/>
              <w:rPr>
                <w:rFonts w:hint="default" w:ascii="宋体" w:hAnsi="宋体" w:eastAsia="宋体" w:cs="宋体"/>
                <w:color w:val="212529"/>
                <w:kern w:val="0"/>
                <w:szCs w:val="21"/>
                <w:lang w:val="en-US" w:eastAsia="zh-CN" w:bidi="ar"/>
              </w:rPr>
            </w:pPr>
            <w:bookmarkStart w:id="1" w:name="_GoBack"/>
            <w:bookmarkEnd w:id="1"/>
            <w:r>
              <w:rPr>
                <w:rFonts w:hint="eastAsia" w:ascii="宋体" w:hAnsi="宋体" w:eastAsia="宋体" w:cs="宋体"/>
                <w:color w:val="212529"/>
                <w:kern w:val="0"/>
                <w:szCs w:val="21"/>
                <w:lang w:val="en-US" w:eastAsia="zh-CN" w:bidi="ar"/>
              </w:rPr>
              <w:t>□于</w:t>
            </w:r>
            <w:r>
              <w:rPr>
                <w:rFonts w:hint="eastAsia" w:ascii="宋体" w:hAnsi="宋体" w:eastAsia="宋体" w:cs="宋体"/>
                <w:color w:val="212529"/>
                <w:kern w:val="0"/>
                <w:szCs w:val="21"/>
                <w:u w:val="single"/>
                <w:lang w:val="en-US" w:eastAsia="zh-CN" w:bidi="ar"/>
              </w:rPr>
              <w:t xml:space="preserve">     </w:t>
            </w:r>
            <w:r>
              <w:rPr>
                <w:rFonts w:hint="eastAsia" w:ascii="宋体" w:hAnsi="宋体" w:eastAsia="宋体" w:cs="宋体"/>
                <w:color w:val="212529"/>
                <w:kern w:val="0"/>
                <w:szCs w:val="21"/>
                <w:lang w:val="en-US" w:eastAsia="zh-CN" w:bidi="ar"/>
              </w:rPr>
              <w:t>年</w:t>
            </w:r>
            <w:r>
              <w:rPr>
                <w:rFonts w:hint="eastAsia" w:ascii="宋体" w:hAnsi="宋体" w:eastAsia="宋体" w:cs="宋体"/>
                <w:color w:val="212529"/>
                <w:kern w:val="0"/>
                <w:szCs w:val="21"/>
                <w:u w:val="single"/>
                <w:lang w:val="en-US" w:eastAsia="zh-CN" w:bidi="ar"/>
              </w:rPr>
              <w:t xml:space="preserve">   </w:t>
            </w:r>
            <w:r>
              <w:rPr>
                <w:rFonts w:hint="eastAsia" w:ascii="宋体" w:hAnsi="宋体" w:eastAsia="宋体" w:cs="宋体"/>
                <w:color w:val="212529"/>
                <w:kern w:val="0"/>
                <w:szCs w:val="21"/>
                <w:lang w:val="en-US" w:eastAsia="zh-CN" w:bidi="ar"/>
              </w:rPr>
              <w:t>月</w:t>
            </w:r>
            <w:r>
              <w:rPr>
                <w:rFonts w:hint="eastAsia" w:ascii="宋体" w:hAnsi="宋体" w:eastAsia="宋体" w:cs="宋体"/>
                <w:color w:val="212529"/>
                <w:kern w:val="0"/>
                <w:szCs w:val="21"/>
                <w:u w:val="single"/>
                <w:lang w:val="en-US" w:eastAsia="zh-CN" w:bidi="ar"/>
              </w:rPr>
              <w:t xml:space="preserve">   </w:t>
            </w:r>
            <w:r>
              <w:rPr>
                <w:rFonts w:hint="eastAsia" w:ascii="宋体" w:hAnsi="宋体" w:eastAsia="宋体" w:cs="宋体"/>
                <w:color w:val="212529"/>
                <w:kern w:val="0"/>
                <w:szCs w:val="21"/>
                <w:lang w:val="en-US" w:eastAsia="zh-CN" w:bidi="ar"/>
              </w:rPr>
              <w:t>日废止</w:t>
            </w:r>
          </w:p>
        </w:tc>
      </w:tr>
      <w:tr w14:paraId="4BF40E8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80" w:hRule="atLeast"/>
          <w:jc w:val="center"/>
        </w:trPr>
        <w:tc>
          <w:tcPr>
            <w:tcW w:w="2042" w:type="dxa"/>
            <w:vAlign w:val="center"/>
          </w:tcPr>
          <w:p w14:paraId="605B7E5B">
            <w:pPr>
              <w:widowControl/>
              <w:jc w:val="center"/>
              <w:rPr>
                <w:rFonts w:hint="eastAsia" w:ascii="宋体" w:hAnsi="宋体" w:eastAsia="宋体" w:cs="宋体"/>
                <w:b/>
                <w:bCs/>
                <w:color w:val="212529"/>
                <w:kern w:val="0"/>
                <w:szCs w:val="21"/>
                <w:lang w:bidi="ar"/>
              </w:rPr>
            </w:pPr>
            <w:r>
              <w:rPr>
                <w:rFonts w:hint="eastAsia" w:ascii="宋体" w:hAnsi="宋体" w:eastAsia="宋体" w:cs="宋体"/>
                <w:b/>
                <w:bCs/>
                <w:color w:val="212529"/>
                <w:kern w:val="0"/>
                <w:szCs w:val="21"/>
                <w:lang w:bidi="ar"/>
              </w:rPr>
              <w:t>复审单位</w:t>
            </w:r>
          </w:p>
          <w:p w14:paraId="639B1CC9">
            <w:pPr>
              <w:widowControl/>
              <w:jc w:val="center"/>
              <w:rPr>
                <w:rFonts w:hint="eastAsia" w:ascii="宋体" w:hAnsi="宋体" w:eastAsia="宋体" w:cs="宋体"/>
                <w:b/>
                <w:bCs/>
                <w:color w:val="212529"/>
                <w:kern w:val="0"/>
                <w:szCs w:val="21"/>
                <w:lang w:eastAsia="zh-CN" w:bidi="ar"/>
              </w:rPr>
            </w:pPr>
            <w:r>
              <w:rPr>
                <w:rFonts w:hint="eastAsia" w:ascii="宋体" w:hAnsi="宋体" w:eastAsia="宋体" w:cs="宋体"/>
                <w:b/>
                <w:bCs/>
                <w:color w:val="212529"/>
                <w:kern w:val="0"/>
                <w:szCs w:val="21"/>
                <w:lang w:eastAsia="zh-CN" w:bidi="ar"/>
              </w:rPr>
              <w:t>（</w:t>
            </w:r>
            <w:r>
              <w:rPr>
                <w:rFonts w:hint="eastAsia" w:ascii="宋体" w:hAnsi="宋体" w:eastAsia="宋体" w:cs="宋体"/>
                <w:b/>
                <w:bCs/>
                <w:color w:val="212529"/>
                <w:kern w:val="0"/>
                <w:szCs w:val="21"/>
                <w:lang w:val="en-US" w:eastAsia="zh-CN" w:bidi="ar"/>
              </w:rPr>
              <w:t>加盖公章</w:t>
            </w:r>
            <w:r>
              <w:rPr>
                <w:rFonts w:hint="eastAsia" w:ascii="宋体" w:hAnsi="宋体" w:eastAsia="宋体" w:cs="宋体"/>
                <w:b/>
                <w:bCs/>
                <w:color w:val="212529"/>
                <w:kern w:val="0"/>
                <w:szCs w:val="21"/>
                <w:lang w:eastAsia="zh-CN" w:bidi="ar"/>
              </w:rPr>
              <w:t>）</w:t>
            </w:r>
          </w:p>
        </w:tc>
        <w:tc>
          <w:tcPr>
            <w:tcW w:w="6945" w:type="dxa"/>
            <w:gridSpan w:val="2"/>
            <w:vAlign w:val="center"/>
          </w:tcPr>
          <w:p w14:paraId="1B5B6A25">
            <w:pPr>
              <w:widowControl/>
              <w:jc w:val="center"/>
              <w:textAlignment w:val="top"/>
              <w:rPr>
                <w:rFonts w:hint="eastAsia" w:ascii="微软雅黑" w:hAnsi="微软雅黑" w:eastAsia="微软雅黑" w:cs="微软雅黑"/>
                <w:color w:val="212529"/>
                <w:szCs w:val="21"/>
              </w:rPr>
            </w:pPr>
          </w:p>
        </w:tc>
      </w:tr>
      <w:tr w14:paraId="694B13A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80" w:hRule="atLeast"/>
          <w:jc w:val="center"/>
        </w:trPr>
        <w:tc>
          <w:tcPr>
            <w:tcW w:w="2042" w:type="dxa"/>
            <w:vAlign w:val="center"/>
          </w:tcPr>
          <w:p w14:paraId="5F895F71">
            <w:pPr>
              <w:widowControl/>
              <w:jc w:val="center"/>
              <w:rPr>
                <w:rFonts w:ascii="宋体" w:hAnsi="宋体" w:eastAsia="宋体" w:cs="宋体"/>
                <w:b/>
                <w:bCs/>
                <w:color w:val="212529"/>
                <w:kern w:val="0"/>
                <w:szCs w:val="21"/>
                <w:lang w:bidi="ar"/>
              </w:rPr>
            </w:pPr>
            <w:r>
              <w:rPr>
                <w:rFonts w:hint="eastAsia" w:ascii="宋体" w:hAnsi="宋体" w:eastAsia="宋体" w:cs="宋体"/>
                <w:b/>
                <w:bCs/>
                <w:color w:val="212529"/>
                <w:kern w:val="0"/>
                <w:szCs w:val="21"/>
                <w:lang w:bidi="ar"/>
              </w:rPr>
              <w:t>承 办 人</w:t>
            </w:r>
          </w:p>
        </w:tc>
        <w:tc>
          <w:tcPr>
            <w:tcW w:w="6945" w:type="dxa"/>
            <w:gridSpan w:val="2"/>
            <w:vAlign w:val="center"/>
          </w:tcPr>
          <w:p w14:paraId="05387315">
            <w:pPr>
              <w:widowControl/>
              <w:jc w:val="center"/>
              <w:textAlignment w:val="top"/>
              <w:rPr>
                <w:rFonts w:hint="eastAsia" w:ascii="微软雅黑" w:hAnsi="微软雅黑" w:eastAsia="微软雅黑" w:cs="微软雅黑"/>
                <w:color w:val="212529"/>
                <w:szCs w:val="21"/>
              </w:rPr>
            </w:pPr>
          </w:p>
        </w:tc>
      </w:tr>
      <w:tr w14:paraId="5A8DF9F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80" w:hRule="atLeast"/>
          <w:jc w:val="center"/>
        </w:trPr>
        <w:tc>
          <w:tcPr>
            <w:tcW w:w="2042" w:type="dxa"/>
            <w:vAlign w:val="center"/>
          </w:tcPr>
          <w:p w14:paraId="247AB9F3">
            <w:pPr>
              <w:widowControl/>
              <w:jc w:val="center"/>
              <w:rPr>
                <w:rFonts w:hint="eastAsia" w:ascii="宋体" w:hAnsi="宋体" w:eastAsia="宋体" w:cs="宋体"/>
                <w:b/>
                <w:bCs/>
                <w:color w:val="212529"/>
                <w:kern w:val="0"/>
                <w:szCs w:val="21"/>
                <w:lang w:bidi="ar"/>
              </w:rPr>
            </w:pPr>
            <w:r>
              <w:rPr>
                <w:rFonts w:hint="eastAsia" w:ascii="宋体" w:hAnsi="宋体" w:eastAsia="宋体" w:cs="宋体"/>
                <w:b/>
                <w:bCs/>
                <w:color w:val="212529"/>
                <w:kern w:val="0"/>
                <w:szCs w:val="21"/>
                <w:lang w:bidi="ar"/>
              </w:rPr>
              <w:t>联系电话</w:t>
            </w:r>
          </w:p>
        </w:tc>
        <w:tc>
          <w:tcPr>
            <w:tcW w:w="6945" w:type="dxa"/>
            <w:gridSpan w:val="2"/>
            <w:vAlign w:val="center"/>
          </w:tcPr>
          <w:p w14:paraId="31EBE175">
            <w:pPr>
              <w:widowControl/>
              <w:jc w:val="center"/>
              <w:textAlignment w:val="top"/>
              <w:rPr>
                <w:rFonts w:hint="eastAsia" w:ascii="微软雅黑" w:hAnsi="微软雅黑" w:eastAsia="微软雅黑" w:cs="微软雅黑"/>
                <w:color w:val="212529"/>
                <w:szCs w:val="21"/>
              </w:rPr>
            </w:pPr>
          </w:p>
        </w:tc>
      </w:tr>
    </w:tbl>
    <w:p w14:paraId="308FEE31">
      <w:pPr>
        <w:rPr>
          <w:rFonts w:hint="eastAsia"/>
        </w:rPr>
      </w:pPr>
      <w:r>
        <w:rPr>
          <w:rFonts w:hint="eastAsia"/>
        </w:rPr>
        <w:br w:type="page"/>
      </w:r>
    </w:p>
    <w:p w14:paraId="67EAAAF6">
      <w:pPr>
        <w:widowControl/>
        <w:jc w:val="left"/>
        <w:rPr>
          <w:rFonts w:hint="eastAsia"/>
        </w:rPr>
      </w:pPr>
      <w:r>
        <w:rPr>
          <w:rFonts w:hint="eastAsia" w:ascii="黑体" w:hAnsi="黑体" w:eastAsia="黑体" w:cs="黑体"/>
          <w:b/>
          <w:bCs/>
        </w:rPr>
        <w:t>注：</w:t>
      </w:r>
      <w:r>
        <w:rPr>
          <w:rFonts w:hint="eastAsia"/>
        </w:rPr>
        <w:t>复审内容与结果判定说明</w:t>
      </w:r>
    </w:p>
    <w:p w14:paraId="74548065">
      <w:pPr>
        <w:widowControl/>
        <w:jc w:val="left"/>
        <w:rPr>
          <w:rFonts w:hint="eastAsia"/>
        </w:rPr>
      </w:pPr>
      <w:r>
        <w:rPr>
          <w:rFonts w:hint="eastAsia"/>
        </w:rPr>
        <w:t>复审工作表中有一项结论为“修订”的，复审最终结论应为“修订”。有一项结论为“废止”的，复审最终结论应为“废止”。</w:t>
      </w:r>
    </w:p>
    <w:p w14:paraId="7B633CBF">
      <w:pPr>
        <w:widowControl/>
        <w:jc w:val="left"/>
        <w:rPr>
          <w:rFonts w:hint="eastAsia"/>
        </w:rPr>
      </w:pPr>
      <w:r>
        <w:rPr>
          <w:rFonts w:hint="eastAsia"/>
        </w:rPr>
        <w:t>（一）标准的适用性。</w:t>
      </w:r>
    </w:p>
    <w:p w14:paraId="7808F678">
      <w:pPr>
        <w:widowControl/>
        <w:jc w:val="left"/>
        <w:rPr>
          <w:rFonts w:hint="eastAsia"/>
        </w:rPr>
      </w:pPr>
      <w:r>
        <w:rPr>
          <w:rFonts w:hint="eastAsia"/>
        </w:rPr>
        <w:t>1.如选择“否”，应在评价报告中进行分析说明。如标准不是基础通用、全国适用或强标配套，说明不符合推荐性国家标准适用范围，应给出“废止”的结论；如属于基础通用、全国适用或强标配套，但适用范围不够具体明确的，应给出“修订”的结论。</w:t>
      </w:r>
    </w:p>
    <w:p w14:paraId="10F34224">
      <w:pPr>
        <w:widowControl/>
        <w:jc w:val="left"/>
        <w:rPr>
          <w:rFonts w:hint="eastAsia"/>
        </w:rPr>
      </w:pPr>
      <w:r>
        <w:rPr>
          <w:rFonts w:hint="eastAsia"/>
        </w:rPr>
        <w:t>2.如选择“否”，应给出“废止”的结论。</w:t>
      </w:r>
    </w:p>
    <w:p w14:paraId="66BBDE79">
      <w:pPr>
        <w:widowControl/>
        <w:jc w:val="left"/>
        <w:rPr>
          <w:rFonts w:hint="eastAsia"/>
        </w:rPr>
      </w:pPr>
      <w:r>
        <w:rPr>
          <w:rFonts w:hint="eastAsia"/>
        </w:rPr>
        <w:t>3.如选择“否”，应给出“修订”的结论。并应在评价报告中具体分析未覆盖新产品、新工艺、新技术或新服务的情况；</w:t>
      </w:r>
    </w:p>
    <w:p w14:paraId="23B0599F">
      <w:pPr>
        <w:widowControl/>
        <w:jc w:val="left"/>
        <w:rPr>
          <w:rFonts w:hint="eastAsia"/>
        </w:rPr>
      </w:pPr>
      <w:r>
        <w:rPr>
          <w:rFonts w:hint="eastAsia"/>
        </w:rPr>
        <w:t>4.如选择“低于平均”应给出“修订”的结论。并应在评价报告中具体分析哪些技术要求低于当前市场或产业技术发展；</w:t>
      </w:r>
    </w:p>
    <w:p w14:paraId="26B702C6">
      <w:pPr>
        <w:widowControl/>
        <w:jc w:val="left"/>
        <w:rPr>
          <w:rFonts w:hint="eastAsia"/>
        </w:rPr>
      </w:pPr>
      <w:r>
        <w:rPr>
          <w:rFonts w:hint="eastAsia"/>
        </w:rPr>
        <w:t>（二）标准的规范性。</w:t>
      </w:r>
    </w:p>
    <w:p w14:paraId="06B626D8">
      <w:pPr>
        <w:widowControl/>
        <w:jc w:val="left"/>
        <w:rPr>
          <w:rFonts w:hint="eastAsia"/>
        </w:rPr>
      </w:pPr>
      <w:r>
        <w:rPr>
          <w:rFonts w:hint="eastAsia"/>
        </w:rPr>
        <w:t>5.如选择“否”应给出“修订”的结论。并应在评价报告中具体分析哪些技术内容存在不可验证或不可操作。</w:t>
      </w:r>
    </w:p>
    <w:p w14:paraId="44617410">
      <w:pPr>
        <w:widowControl/>
        <w:jc w:val="left"/>
        <w:rPr>
          <w:rFonts w:hint="eastAsia"/>
        </w:rPr>
      </w:pPr>
      <w:r>
        <w:rPr>
          <w:rFonts w:hint="eastAsia"/>
        </w:rPr>
        <w:t>（三）标准的时效性。</w:t>
      </w:r>
    </w:p>
    <w:p w14:paraId="0816EA62">
      <w:pPr>
        <w:widowControl/>
        <w:jc w:val="left"/>
        <w:rPr>
          <w:rFonts w:hint="eastAsia"/>
        </w:rPr>
      </w:pPr>
      <w:r>
        <w:rPr>
          <w:rFonts w:hint="eastAsia"/>
        </w:rPr>
        <w:t>6.如选择“是”，应在评价报告中具体分析比对所采用的国际标准的先进性，复审标准修订的可行性，给出是否修订的结论。</w:t>
      </w:r>
    </w:p>
    <w:p w14:paraId="12D54E85">
      <w:pPr>
        <w:widowControl/>
        <w:jc w:val="left"/>
        <w:rPr>
          <w:rFonts w:hint="eastAsia"/>
        </w:rPr>
      </w:pPr>
      <w:r>
        <w:rPr>
          <w:rFonts w:hint="eastAsia"/>
        </w:rPr>
        <w:t>7.如选择“是”，应在评价报告中具体分析，如规范性引用文件已修订且为“注日期引用文件”的，应具体评估引用条款的有效性，依据分析给出是否修订的结论。如规范性引用文件已废止，应给出“修订”的结论，并应在评价报告中具体分析是否有同等替代标准。</w:t>
      </w:r>
    </w:p>
    <w:p w14:paraId="58202437">
      <w:pPr>
        <w:widowControl/>
        <w:jc w:val="left"/>
        <w:rPr>
          <w:rFonts w:hint="eastAsia"/>
        </w:rPr>
      </w:pPr>
      <w:r>
        <w:rPr>
          <w:rFonts w:hint="eastAsia"/>
        </w:rPr>
        <w:t>（四）标准的协调性。</w:t>
      </w:r>
    </w:p>
    <w:p w14:paraId="192D99F7">
      <w:pPr>
        <w:widowControl/>
        <w:jc w:val="left"/>
        <w:rPr>
          <w:rFonts w:hint="eastAsia"/>
        </w:rPr>
      </w:pPr>
      <w:r>
        <w:rPr>
          <w:rFonts w:hint="eastAsia"/>
        </w:rPr>
        <w:t>8.如选择“是”，应在评价报告中比对分析与相关标准存在哪些技术内容重复的情况，并视情况给出“修订”、“整合修订”或“废止”的结论。</w:t>
      </w:r>
    </w:p>
    <w:p w14:paraId="3F86F78A">
      <w:pPr>
        <w:widowControl/>
        <w:jc w:val="left"/>
        <w:rPr>
          <w:rFonts w:hint="eastAsia"/>
        </w:rPr>
      </w:pPr>
      <w:r>
        <w:rPr>
          <w:rFonts w:hint="eastAsia"/>
        </w:rPr>
        <w:t>9.如选择“是”，应在评价报告中比对分析与相关标准存在的矛盾或不协调情况，并视情况给出“修订”或“废止”的结论。</w:t>
      </w:r>
    </w:p>
    <w:p w14:paraId="1A4F2CCA">
      <w:pPr>
        <w:widowControl/>
        <w:jc w:val="left"/>
        <w:rPr>
          <w:rFonts w:hint="eastAsia"/>
        </w:rPr>
      </w:pPr>
      <w:r>
        <w:rPr>
          <w:rFonts w:hint="eastAsia"/>
        </w:rPr>
        <w:t>10.如选择“否”，应给出“修订”的结论，并在评价报告中比对分析与现行法律法规、部门规章、国家产业政策的不协调情况。</w:t>
      </w:r>
    </w:p>
    <w:p w14:paraId="1365CD00">
      <w:pPr>
        <w:widowControl/>
        <w:jc w:val="left"/>
        <w:rPr>
          <w:rFonts w:hint="eastAsia"/>
        </w:rPr>
      </w:pPr>
      <w:r>
        <w:rPr>
          <w:rFonts w:hint="eastAsia"/>
        </w:rPr>
        <w:t>（五）标准实施效果。</w:t>
      </w:r>
    </w:p>
    <w:p w14:paraId="34303B14">
      <w:pPr>
        <w:widowControl/>
        <w:jc w:val="left"/>
        <w:rPr>
          <w:rFonts w:hint="eastAsia"/>
        </w:rPr>
      </w:pPr>
      <w:r>
        <w:rPr>
          <w:rFonts w:hint="eastAsia"/>
        </w:rPr>
        <w:t>11.如选择“是”，应在评价报告中列出被法律法规、部门规章、国家产业政策引用的情况。</w:t>
      </w:r>
    </w:p>
    <w:p w14:paraId="46252171">
      <w:pPr>
        <w:widowControl/>
        <w:jc w:val="left"/>
        <w:rPr>
          <w:rFonts w:hint="eastAsia"/>
        </w:rPr>
      </w:pPr>
      <w:r>
        <w:rPr>
          <w:rFonts w:hint="eastAsia"/>
        </w:rPr>
        <w:t>12.如选择“是”，应在评价报告中列出引用的强制性国家标准情况。</w:t>
      </w:r>
    </w:p>
    <w:p w14:paraId="74CB2B97">
      <w:pPr>
        <w:widowControl/>
        <w:jc w:val="left"/>
        <w:rPr>
          <w:rFonts w:hint="eastAsia"/>
        </w:rPr>
      </w:pPr>
      <w:r>
        <w:rPr>
          <w:rFonts w:hint="eastAsia"/>
        </w:rPr>
        <w:t>13.如选择被其他标准引用，应在评价报告中列出引用的标准清单。</w:t>
      </w:r>
    </w:p>
    <w:p w14:paraId="0215AECD">
      <w:pPr>
        <w:widowControl/>
        <w:jc w:val="left"/>
        <w:rPr>
          <w:rFonts w:hint="eastAsia"/>
        </w:rPr>
      </w:pPr>
      <w:r>
        <w:rPr>
          <w:rFonts w:hint="eastAsia"/>
        </w:rPr>
        <w:t>14-15.如选择“一般”，应给出“修订”的结论，并在评价报告中分析标准存在的问题，如适用性、规范性、实效性等。如选择“负面”，应给出“废止”结论。</w:t>
      </w:r>
    </w:p>
    <w:p w14:paraId="5440BC09">
      <w:pPr>
        <w:widowControl/>
        <w:jc w:val="left"/>
        <w:rPr>
          <w:rFonts w:hint="eastAsia"/>
        </w:rPr>
      </w:pPr>
      <w:r>
        <w:rPr>
          <w:rFonts w:hint="eastAsia"/>
        </w:rPr>
        <w:t>（六）其他情况。</w:t>
      </w:r>
    </w:p>
    <w:p w14:paraId="0B2AEFCD">
      <w:pPr>
        <w:widowControl/>
        <w:jc w:val="left"/>
        <w:rPr>
          <w:rFonts w:hint="eastAsia"/>
        </w:rPr>
      </w:pPr>
      <w:r>
        <w:rPr>
          <w:rFonts w:hint="eastAsia" w:ascii="宋体" w:hAnsi="宋体" w:eastAsia="宋体" w:cs="宋体"/>
          <w:color w:val="212529"/>
          <w:kern w:val="0"/>
          <w:szCs w:val="21"/>
          <w:lang w:val="en-US" w:eastAsia="zh-CN" w:bidi="ar"/>
        </w:rPr>
        <w:t>简要描述复审过程，</w:t>
      </w:r>
      <w:r>
        <w:rPr>
          <w:rFonts w:ascii="宋体" w:hAnsi="宋体" w:eastAsia="宋体" w:cs="宋体"/>
          <w:color w:val="212529"/>
          <w:kern w:val="0"/>
          <w:szCs w:val="21"/>
          <w:lang w:bidi="ar"/>
        </w:rPr>
        <w:t>给出复审结论的依据</w:t>
      </w:r>
      <w:r>
        <w:rPr>
          <w:rFonts w:hint="eastAsia" w:ascii="宋体" w:hAnsi="宋体" w:eastAsia="宋体" w:cs="宋体"/>
          <w:color w:val="212529"/>
          <w:kern w:val="0"/>
          <w:szCs w:val="21"/>
          <w:lang w:eastAsia="zh-CN" w:bidi="ar"/>
        </w:rPr>
        <w:t>，</w:t>
      </w:r>
      <w:r>
        <w:rPr>
          <w:rFonts w:hint="eastAsia"/>
        </w:rPr>
        <w:t>复审表中（一）—（五）未涉及的其他情况可文字简要说明，并在评价报告中详细说明。另：如标准规定的内容与党中央国务院重大决策部署不一致，应给出“修订”的结论。存在重大舆情风险或安全风险情况的，应给出“废止”的结论。</w:t>
      </w:r>
    </w:p>
    <w:p w14:paraId="4FBFE452">
      <w:pPr>
        <w:widowControl/>
        <w:jc w:val="left"/>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F8A5C07-833E-4F30-B075-E012D2BC935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C6A856F-DDCA-4E4F-A1D7-C50B56232DC1}"/>
  </w:font>
  <w:font w:name="方正小标宋_GBK">
    <w:panose1 w:val="02000000000000000000"/>
    <w:charset w:val="86"/>
    <w:family w:val="auto"/>
    <w:pitch w:val="default"/>
    <w:sig w:usb0="A00002BF" w:usb1="38CF7CFA" w:usb2="00082016" w:usb3="00000000" w:csb0="00040001" w:csb1="00000000"/>
    <w:embedRegular r:id="rId3" w:fontKey="{777E6090-1B25-44D2-87F3-A5C8D708FE2B}"/>
  </w:font>
  <w:font w:name="方正小标宋简体">
    <w:panose1 w:val="02000000000000000000"/>
    <w:charset w:val="86"/>
    <w:family w:val="auto"/>
    <w:pitch w:val="default"/>
    <w:sig w:usb0="00000001" w:usb1="08000000" w:usb2="00000000" w:usb3="00000000" w:csb0="00040000" w:csb1="00000000"/>
    <w:embedRegular r:id="rId4" w:fontKey="{69F0B628-4466-4987-9299-9552C9B7C980}"/>
  </w:font>
  <w:font w:name="微软雅黑">
    <w:panose1 w:val="020B0503020204020204"/>
    <w:charset w:val="86"/>
    <w:family w:val="swiss"/>
    <w:pitch w:val="default"/>
    <w:sig w:usb0="80000287" w:usb1="2ACF3C50" w:usb2="00000016" w:usb3="00000000" w:csb0="0004001F" w:csb1="00000000"/>
    <w:embedRegular r:id="rId5" w:fontKey="{DCB5B99E-F398-4F61-8A2A-21ED6DABAAF9}"/>
  </w:font>
  <w:font w:name="WPSEMBED20">
    <w:panose1 w:val="02000000000000000000"/>
    <w:charset w:val="86"/>
    <w:family w:val="auto"/>
    <w:pitch w:val="default"/>
    <w:sig w:usb0="00000001" w:usb1="08000000" w:usb2="00000000" w:usb3="00000000" w:csb0="00040000" w:csb1="00000000"/>
  </w:font>
  <w:font w:name="WPSEMBED19">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U2MzdkMTAwM2Q2ODhiN2FiZmQ4N2RjNWJiNzUwMGMifQ=="/>
  </w:docVars>
  <w:rsids>
    <w:rsidRoot w:val="4CBC5423"/>
    <w:rsid w:val="006719D9"/>
    <w:rsid w:val="00704026"/>
    <w:rsid w:val="007E5B67"/>
    <w:rsid w:val="0087698F"/>
    <w:rsid w:val="008E1784"/>
    <w:rsid w:val="008F533D"/>
    <w:rsid w:val="009E7279"/>
    <w:rsid w:val="00AB4E3E"/>
    <w:rsid w:val="00BB4D9E"/>
    <w:rsid w:val="00D821EB"/>
    <w:rsid w:val="00EA514F"/>
    <w:rsid w:val="00EC2285"/>
    <w:rsid w:val="00F74B41"/>
    <w:rsid w:val="024B0D70"/>
    <w:rsid w:val="0A0A57FB"/>
    <w:rsid w:val="0C0816B5"/>
    <w:rsid w:val="163A442E"/>
    <w:rsid w:val="1D28626C"/>
    <w:rsid w:val="20390790"/>
    <w:rsid w:val="207174AD"/>
    <w:rsid w:val="2858552C"/>
    <w:rsid w:val="290A1D57"/>
    <w:rsid w:val="2AEE6D47"/>
    <w:rsid w:val="2BFC1277"/>
    <w:rsid w:val="36193F13"/>
    <w:rsid w:val="38025D63"/>
    <w:rsid w:val="3AC16F61"/>
    <w:rsid w:val="3BEA41B5"/>
    <w:rsid w:val="413E4EBA"/>
    <w:rsid w:val="41CD794D"/>
    <w:rsid w:val="455A248C"/>
    <w:rsid w:val="4CA77CD8"/>
    <w:rsid w:val="4CBC5423"/>
    <w:rsid w:val="4D6644FB"/>
    <w:rsid w:val="4FB76A8B"/>
    <w:rsid w:val="51AC22C1"/>
    <w:rsid w:val="51E03002"/>
    <w:rsid w:val="55215DAD"/>
    <w:rsid w:val="55D25813"/>
    <w:rsid w:val="57380335"/>
    <w:rsid w:val="59752599"/>
    <w:rsid w:val="5AC618EF"/>
    <w:rsid w:val="63204905"/>
    <w:rsid w:val="634149F9"/>
    <w:rsid w:val="6BA0659B"/>
    <w:rsid w:val="76F34800"/>
    <w:rsid w:val="77437A84"/>
    <w:rsid w:val="7EC378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3CFA70-06A0-4370-AF55-DA5F82A52E58}">
  <ds:schemaRefs/>
</ds:datastoreItem>
</file>

<file path=docProps/app.xml><?xml version="1.0" encoding="utf-8"?>
<Properties xmlns="http://schemas.openxmlformats.org/officeDocument/2006/extended-properties" xmlns:vt="http://schemas.openxmlformats.org/officeDocument/2006/docPropsVTypes">
  <Template>Normal.dotm</Template>
  <Pages>3</Pages>
  <Words>1741</Words>
  <Characters>1788</Characters>
  <Lines>18</Lines>
  <Paragraphs>5</Paragraphs>
  <TotalTime>39</TotalTime>
  <ScaleCrop>false</ScaleCrop>
  <LinksUpToDate>false</LinksUpToDate>
  <CharactersWithSpaces>1870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2022-04-22T01:43:00Z</dcterms:created>
  <dc:creator>金蕾</dc:creator>
  <cp:lastModifiedBy>娃沙米</cp:lastModifiedBy>
  <cp:lastPrinted>2026-06-05T07:04:00Z</cp:lastPrinted>
  <dcterms:modified xsi:type="dcterms:W3CDTF">2026-06-05T07:13:12Z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0687FB76CEF94F9B9F255FE40C5A85AA_13</vt:lpwstr>
  </property>
  <property fmtid="{D5CDD505-2E9C-101B-9397-08002B2CF9AE}" pid="4" name="commondata">
    <vt:lpwstr>eyJoZGlkIjoiMTBiMzU2NjY2ZmYxOWNmMWYyMWI1NTQ1OGQ4MDQ5ZjcifQ==</vt:lpwstr>
  </property>
  <property fmtid="{D5CDD505-2E9C-101B-9397-08002B2CF9AE}" pid="5" name="KSOTemplateDocerSaveRecord">
    <vt:lpwstr>eyJoZGlkIjoiZTU5YTkyMTc0Y2EzOTMwZDE3ZWM3MTQ1ZGRkYmNiZmEiLCJ1c2VySWQiOiI0MDc5MTI1MzIifQ==</vt:lpwstr>
  </property>
</Properties>
</file>