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07405FEC">
        <w:tc>
          <w:tcPr>
            <w:tcW w:w="509" w:type="dxa"/>
          </w:tcPr>
          <w:p w14:paraId="26A81F9F">
            <w:pPr>
              <w:pStyle w:val="18"/>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60932DAD">
            <w:pPr>
              <w:pStyle w:val="18"/>
              <w:framePr w:wrap="notBeside" w:vAnchor="page" w:hAnchor="page" w:x="1372" w:y="568"/>
              <w:tabs>
                <w:tab w:val="clear" w:pos="4153"/>
                <w:tab w:val="clear" w:pos="8306"/>
              </w:tabs>
              <w:spacing w:line="240" w:lineRule="auto"/>
              <w:jc w:val="both"/>
              <w:rPr>
                <w:rFonts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     </w:t>
            </w:r>
            <w:r>
              <w:rPr>
                <w:rFonts w:ascii="黑体" w:hAnsi="黑体" w:eastAsia="黑体"/>
                <w:sz w:val="21"/>
                <w:szCs w:val="21"/>
              </w:rPr>
              <w:fldChar w:fldCharType="end"/>
            </w:r>
            <w:bookmarkEnd w:id="0"/>
          </w:p>
        </w:tc>
      </w:tr>
      <w:tr w14:paraId="2588C535">
        <w:tc>
          <w:tcPr>
            <w:tcW w:w="509" w:type="dxa"/>
          </w:tcPr>
          <w:p w14:paraId="2ACB18FB">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699DA453">
              <w:trPr>
                <w:trHeight w:val="1021" w:hRule="exact"/>
              </w:trPr>
              <w:tc>
                <w:tcPr>
                  <w:tcW w:w="9242" w:type="dxa"/>
                  <w:vAlign w:val="center"/>
                </w:tcPr>
                <w:p w14:paraId="7132BEBF">
                  <w:pPr>
                    <w:pStyle w:val="49"/>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BZJK</w:t>
                  </w:r>
                  <w:r>
                    <w:fldChar w:fldCharType="end"/>
                  </w:r>
                  <w:bookmarkEnd w:id="1"/>
                </w:p>
              </w:tc>
            </w:tr>
          </w:tbl>
          <w:p w14:paraId="75F13DCD">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     </w:t>
            </w:r>
            <w:r>
              <w:rPr>
                <w:rFonts w:ascii="黑体" w:hAnsi="黑体" w:eastAsia="黑体"/>
                <w:sz w:val="21"/>
                <w:szCs w:val="21"/>
              </w:rPr>
              <w:fldChar w:fldCharType="end"/>
            </w:r>
            <w:bookmarkEnd w:id="2"/>
          </w:p>
        </w:tc>
      </w:tr>
    </w:tbl>
    <w:p w14:paraId="0885BFAA">
      <w:pPr>
        <w:pStyle w:val="50"/>
        <w:framePr w:w="9639" w:h="624" w:hRule="exact" w:hSpace="181" w:vSpace="181" w:wrap="around" w:hAnchor="page" w:x="1305" w:y="2269"/>
        <w:rPr>
          <w:rFonts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亳州市健康养生产业协会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0C972BD0">
      <w:pPr>
        <w:pStyle w:val="195"/>
        <w:framePr/>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rPr>
        <w:t>BZJK</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14:paraId="7F13F47E">
      <w:pPr>
        <w:pStyle w:val="196"/>
        <w:framePr/>
        <w:rPr>
          <w:rFonts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1752C140">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4BE6420B">
      <w:pPr>
        <w:pStyle w:val="50"/>
        <w:framePr w:w="9639" w:h="6976" w:hRule="exact" w:hSpace="0" w:vSpace="0" w:wrap="around" w:hAnchor="page" w:y="6408"/>
        <w:jc w:val="center"/>
        <w:rPr>
          <w:rFonts w:ascii="黑体" w:hAnsi="黑体" w:eastAsia="黑体"/>
          <w:b w:val="0"/>
          <w:bCs w:val="0"/>
          <w:w w:val="100"/>
        </w:rPr>
      </w:pPr>
    </w:p>
    <w:p w14:paraId="77EBA2D2">
      <w:pPr>
        <w:pStyle w:val="197"/>
        <w:framePr w:h="6974" w:hRule="exact" w:wrap="around" w:x="1419" w:anchorLock="1"/>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rPr>
        <w:t>共享式乡村康养驿站建设指南</w:t>
      </w:r>
      <w:r>
        <w:fldChar w:fldCharType="end"/>
      </w:r>
      <w:bookmarkEnd w:id="9"/>
    </w:p>
    <w:p w14:paraId="62511A88">
      <w:pPr>
        <w:framePr w:w="9639" w:h="6974" w:hRule="exact" w:wrap="around" w:vAnchor="page" w:hAnchor="page" w:x="1419" w:y="6408" w:anchorLock="1"/>
        <w:ind w:left="-1418"/>
      </w:pPr>
    </w:p>
    <w:p w14:paraId="772236F2">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eastAsia="黑体"/>
          <w:szCs w:val="28"/>
        </w:rPr>
        <w:t>     </w:t>
      </w:r>
      <w:r>
        <w:rPr>
          <w:rFonts w:eastAsia="黑体"/>
          <w:szCs w:val="28"/>
        </w:rPr>
        <w:fldChar w:fldCharType="end"/>
      </w:r>
      <w:bookmarkEnd w:id="10"/>
    </w:p>
    <w:p w14:paraId="1E1A37A4">
      <w:pPr>
        <w:framePr w:w="9639" w:h="6974" w:hRule="exact" w:wrap="around" w:vAnchor="page" w:hAnchor="page" w:x="1419" w:y="6408" w:anchorLock="1"/>
        <w:spacing w:line="760" w:lineRule="exact"/>
        <w:ind w:left="-1418"/>
      </w:pPr>
    </w:p>
    <w:p w14:paraId="3D6B40AF">
      <w:pPr>
        <w:pStyle w:val="125"/>
        <w:framePr w:w="9639" w:h="6974" w:hRule="exact" w:wrap="around" w:vAnchor="page" w:hAnchor="page" w:x="1419" w:y="6408" w:anchorLock="1"/>
        <w:textAlignment w:val="bottom"/>
        <w:rPr>
          <w:rFonts w:eastAsia="黑体"/>
          <w:szCs w:val="28"/>
        </w:rPr>
      </w:pPr>
    </w:p>
    <w:p w14:paraId="1A09EF76">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413A28EC">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w:t>
      </w:r>
      <w:r>
        <w:rPr>
          <w:rFonts w:hint="eastAsia"/>
          <w:sz w:val="21"/>
          <w:szCs w:val="28"/>
        </w:rPr>
        <w:t>征求意见稿)</w:t>
      </w:r>
      <w:r>
        <w:rPr>
          <w:sz w:val="21"/>
          <w:szCs w:val="28"/>
        </w:rPr>
        <w:fldChar w:fldCharType="end"/>
      </w:r>
      <w:bookmarkEnd w:id="12"/>
    </w:p>
    <w:p w14:paraId="75198FDF">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0BFE2CB1">
      <w:pPr>
        <w:pStyle w:val="193"/>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002905C1">
      <w:pPr>
        <w:pStyle w:val="194"/>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6B3AE4C1">
      <w:pPr>
        <w:pStyle w:val="151"/>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亳州市健康养生产业协会</w:t>
      </w:r>
      <w:r>
        <w:rPr>
          <w:rFonts w:hAnsi="黑体"/>
          <w:w w:val="100"/>
          <w:sz w:val="28"/>
        </w:rPr>
        <w:fldChar w:fldCharType="end"/>
      </w:r>
      <w:bookmarkEnd w:id="20"/>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434531A7">
      <w:pPr>
        <w:rPr>
          <w:rFonts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10CD31BB">
      <w:pPr>
        <w:pStyle w:val="89"/>
        <w:spacing w:after="360"/>
      </w:pPr>
      <w:bookmarkStart w:id="21" w:name="BookMark2"/>
      <w:r>
        <w:rPr>
          <w:spacing w:val="320"/>
        </w:rPr>
        <w:t>前</w:t>
      </w:r>
      <w:r>
        <w:t>言</w:t>
      </w:r>
    </w:p>
    <w:p w14:paraId="7BD15AD4">
      <w:pPr>
        <w:pStyle w:val="56"/>
        <w:ind w:firstLine="420"/>
      </w:pPr>
      <w:r>
        <w:rPr>
          <w:rFonts w:hint="eastAsia"/>
        </w:rPr>
        <w:t>本文件按照GB/T 1.1—2020《标准化工作导则  第1部分：标准化文件的结构和起草规则》的规定起草。</w:t>
      </w:r>
    </w:p>
    <w:p w14:paraId="302551AF">
      <w:pPr>
        <w:pStyle w:val="56"/>
        <w:ind w:firstLine="420"/>
      </w:pPr>
      <w:r>
        <w:rPr>
          <w:rFonts w:hint="eastAsia"/>
        </w:rPr>
        <w:t>请注意本文件的某些内容可能涉及专利。本文件的发布机构不承担识别专利的责任。</w:t>
      </w:r>
    </w:p>
    <w:p w14:paraId="337AB1B0">
      <w:pPr>
        <w:pStyle w:val="56"/>
        <w:ind w:firstLine="420"/>
      </w:pPr>
      <w:r>
        <w:rPr>
          <w:rFonts w:hint="eastAsia"/>
        </w:rPr>
        <w:t>本文件由亳州市健康养生产业协会提出并归口。</w:t>
      </w:r>
    </w:p>
    <w:p w14:paraId="31ACFFE1">
      <w:pPr>
        <w:pStyle w:val="56"/>
        <w:ind w:firstLine="420"/>
      </w:pPr>
      <w:r>
        <w:rPr>
          <w:rFonts w:hint="eastAsia"/>
        </w:rPr>
        <w:t>本文件起草单位：</w:t>
      </w:r>
      <w:r>
        <w:rPr>
          <w:rFonts w:hint="eastAsia" w:hAnsi="宋体"/>
          <w:bCs/>
        </w:rPr>
        <w:t>。</w:t>
      </w:r>
    </w:p>
    <w:p w14:paraId="1B169DD2">
      <w:pPr>
        <w:pStyle w:val="56"/>
        <w:ind w:firstLine="420"/>
      </w:pPr>
      <w:r>
        <w:rPr>
          <w:rFonts w:hint="eastAsia"/>
        </w:rPr>
        <w:t>本文件主要起草人：。</w:t>
      </w:r>
    </w:p>
    <w:p w14:paraId="0D8F98A8">
      <w:pPr>
        <w:pStyle w:val="56"/>
        <w:ind w:firstLine="420"/>
      </w:pPr>
    </w:p>
    <w:p w14:paraId="538ADF6D">
      <w:pPr>
        <w:pStyle w:val="56"/>
        <w:ind w:firstLine="420"/>
        <w:sectPr>
          <w:headerReference r:id="rId9" w:type="default"/>
          <w:footerReference r:id="rId11" w:type="default"/>
          <w:headerReference r:id="rId10" w:type="even"/>
          <w:pgSz w:w="11906" w:h="16838"/>
          <w:pgMar w:top="1928" w:right="1134" w:bottom="1134" w:left="1134" w:header="1418" w:footer="1134" w:gutter="284"/>
          <w:pgNumType w:fmt="upperRoman" w:start="1"/>
          <w:cols w:space="425" w:num="1"/>
          <w:formProt w:val="0"/>
          <w:docGrid w:linePitch="312" w:charSpace="0"/>
        </w:sectPr>
      </w:pPr>
    </w:p>
    <w:bookmarkEnd w:id="21"/>
    <w:p w14:paraId="12C5104A">
      <w:pPr>
        <w:spacing w:line="20" w:lineRule="exact"/>
        <w:jc w:val="center"/>
        <w:rPr>
          <w:rFonts w:ascii="黑体" w:hAnsi="黑体" w:eastAsia="黑体"/>
          <w:sz w:val="32"/>
          <w:szCs w:val="32"/>
        </w:rPr>
      </w:pPr>
      <w:bookmarkStart w:id="22" w:name="BookMark4"/>
    </w:p>
    <w:p w14:paraId="70BD779B">
      <w:pPr>
        <w:spacing w:line="20" w:lineRule="exact"/>
        <w:jc w:val="center"/>
        <w:rPr>
          <w:rFonts w:ascii="黑体" w:hAnsi="黑体" w:eastAsia="黑体"/>
          <w:sz w:val="32"/>
          <w:szCs w:val="32"/>
        </w:rPr>
      </w:pPr>
    </w:p>
    <w:sdt>
      <w:sdtPr>
        <w:tag w:val="NEW_STAND_NAME"/>
        <w:id w:val="595910757"/>
        <w:lock w:val="sdtLocked"/>
        <w:placeholder>
          <w:docPart w:val="6A215A26A46B4406A0EFA50FA0F089A1"/>
        </w:placeholder>
      </w:sdtPr>
      <w:sdtContent>
        <w:p w14:paraId="5BAF74E7">
          <w:pPr>
            <w:pStyle w:val="177"/>
            <w:spacing w:before="2" w:beforeLines="1" w:after="528" w:afterLines="220"/>
          </w:pPr>
          <w:bookmarkStart w:id="23" w:name="NEW_STAND_NAME"/>
          <w:r>
            <w:rPr>
              <w:rFonts w:hint="eastAsia"/>
            </w:rPr>
            <w:t>共享式乡村康养驿站建设指南</w:t>
          </w:r>
        </w:p>
      </w:sdtContent>
    </w:sdt>
    <w:bookmarkEnd w:id="23"/>
    <w:p w14:paraId="2356C76E">
      <w:pPr>
        <w:pStyle w:val="104"/>
        <w:spacing w:before="240" w:after="240"/>
      </w:pPr>
      <w:bookmarkStart w:id="24" w:name="_Toc26986530"/>
      <w:bookmarkStart w:id="25" w:name="_Toc97192964"/>
      <w:bookmarkStart w:id="26" w:name="_Toc26986771"/>
      <w:bookmarkStart w:id="27" w:name="_Toc17233325"/>
      <w:bookmarkStart w:id="28" w:name="_Toc26648465"/>
      <w:bookmarkStart w:id="29" w:name="_Toc26718930"/>
      <w:bookmarkStart w:id="30" w:name="_Toc24884211"/>
      <w:bookmarkStart w:id="31" w:name="_Toc17233333"/>
      <w:bookmarkStart w:id="32" w:name="_Toc24884218"/>
      <w:r>
        <w:rPr>
          <w:rFonts w:hint="eastAsia"/>
        </w:rPr>
        <w:t>范围</w:t>
      </w:r>
      <w:bookmarkEnd w:id="24"/>
      <w:bookmarkEnd w:id="25"/>
      <w:bookmarkEnd w:id="26"/>
      <w:bookmarkEnd w:id="27"/>
      <w:bookmarkEnd w:id="28"/>
      <w:bookmarkEnd w:id="29"/>
      <w:bookmarkEnd w:id="30"/>
      <w:bookmarkEnd w:id="31"/>
      <w:bookmarkEnd w:id="32"/>
    </w:p>
    <w:p w14:paraId="4016FE25">
      <w:pPr>
        <w:pStyle w:val="56"/>
        <w:ind w:firstLine="420"/>
        <w:rPr>
          <w:rFonts w:hint="eastAsia"/>
        </w:rPr>
      </w:pPr>
      <w:bookmarkStart w:id="33" w:name="_Toc24884219"/>
      <w:bookmarkStart w:id="34" w:name="_Toc17233334"/>
      <w:bookmarkStart w:id="35" w:name="_Toc24884212"/>
      <w:bookmarkStart w:id="36" w:name="_Toc17233326"/>
      <w:bookmarkStart w:id="37" w:name="_Toc26648466"/>
      <w:r>
        <w:rPr>
          <w:rFonts w:hint="eastAsia"/>
        </w:rPr>
        <w:t>本文件规定了共享式乡村康养驿站的术语和定义、总体要求与建设原则、选址与规划、功能配置与设施、服务内容与质量、运营管理、智慧化建设、评价与持续改进。</w:t>
      </w:r>
    </w:p>
    <w:p w14:paraId="4F066837">
      <w:pPr>
        <w:pStyle w:val="56"/>
        <w:ind w:firstLine="420"/>
      </w:pPr>
      <w:r>
        <w:rPr>
          <w:rFonts w:hint="eastAsia"/>
        </w:rPr>
        <w:t>本文件适用于亳州市行政区域内共享式乡村康养驿站的新建、改建、扩建、运营与评估工作。</w:t>
      </w:r>
    </w:p>
    <w:p w14:paraId="63D958B5">
      <w:pPr>
        <w:pStyle w:val="104"/>
        <w:spacing w:before="240" w:after="240"/>
      </w:pPr>
      <w:bookmarkStart w:id="38" w:name="_Toc26986772"/>
      <w:bookmarkStart w:id="39" w:name="_Toc26718931"/>
      <w:bookmarkStart w:id="40" w:name="_Toc97192965"/>
      <w:bookmarkStart w:id="41" w:name="_Toc26986531"/>
      <w:r>
        <w:rPr>
          <w:rFonts w:hint="eastAsia"/>
        </w:rPr>
        <w:t>规范性引用文件</w:t>
      </w:r>
      <w:bookmarkEnd w:id="33"/>
      <w:bookmarkEnd w:id="34"/>
      <w:bookmarkEnd w:id="35"/>
      <w:bookmarkEnd w:id="36"/>
      <w:bookmarkEnd w:id="37"/>
      <w:bookmarkEnd w:id="38"/>
      <w:bookmarkEnd w:id="39"/>
      <w:bookmarkEnd w:id="40"/>
      <w:bookmarkEnd w:id="41"/>
    </w:p>
    <w:sdt>
      <w:sdtPr>
        <w:rPr>
          <w:rFonts w:hint="eastAsia"/>
        </w:rPr>
        <w:id w:val="715848253"/>
        <w:placeholder>
          <w:docPart w:val="1B343EB3448543A0AE1689AFA13238AC"/>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52AB8C18">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0ABFB49B">
      <w:pPr>
        <w:pStyle w:val="231"/>
        <w:ind w:firstLine="440"/>
        <w:rPr>
          <w:rFonts w:hint="eastAsia"/>
        </w:rPr>
      </w:pPr>
      <w:r>
        <w:rPr>
          <w:rFonts w:hint="eastAsia"/>
        </w:rPr>
        <w:t>GB 19272 室外健身器材的安全 通用要求</w:t>
      </w:r>
    </w:p>
    <w:p w14:paraId="2B185F3D">
      <w:pPr>
        <w:pStyle w:val="231"/>
        <w:ind w:firstLine="440"/>
        <w:rPr>
          <w:rFonts w:hint="eastAsia"/>
        </w:rPr>
      </w:pPr>
      <w:r>
        <w:rPr>
          <w:rFonts w:hint="eastAsia"/>
        </w:rPr>
        <w:t>GB/T 29353 养老机构基本规范</w:t>
      </w:r>
    </w:p>
    <w:p w14:paraId="4707B8C7">
      <w:pPr>
        <w:pStyle w:val="231"/>
        <w:ind w:firstLine="440"/>
        <w:rPr>
          <w:rFonts w:hint="eastAsia"/>
        </w:rPr>
      </w:pPr>
      <w:r>
        <w:rPr>
          <w:rFonts w:hint="eastAsia"/>
        </w:rPr>
        <w:t>GB 31654 餐饮服务通用卫生规范</w:t>
      </w:r>
    </w:p>
    <w:p w14:paraId="3A73B8F2">
      <w:pPr>
        <w:pStyle w:val="231"/>
        <w:ind w:firstLine="440"/>
        <w:rPr>
          <w:rFonts w:hint="eastAsia"/>
        </w:rPr>
      </w:pPr>
      <w:r>
        <w:rPr>
          <w:rFonts w:hint="eastAsia"/>
        </w:rPr>
        <w:t>GB/T 37276 养老机构服务质量基本规范</w:t>
      </w:r>
    </w:p>
    <w:p w14:paraId="374C0F82">
      <w:pPr>
        <w:pStyle w:val="231"/>
        <w:ind w:firstLine="440"/>
        <w:rPr>
          <w:rFonts w:hint="eastAsia"/>
        </w:rPr>
      </w:pPr>
      <w:r>
        <w:rPr>
          <w:rFonts w:hint="eastAsia"/>
        </w:rPr>
        <w:t>GB 50016 建筑设计防火规范</w:t>
      </w:r>
    </w:p>
    <w:p w14:paraId="4AE37808">
      <w:pPr>
        <w:pStyle w:val="231"/>
        <w:ind w:firstLine="440"/>
        <w:rPr>
          <w:rFonts w:hint="eastAsia"/>
        </w:rPr>
      </w:pPr>
      <w:r>
        <w:rPr>
          <w:rFonts w:hint="eastAsia"/>
        </w:rPr>
        <w:t>GB 50068 建筑结构可靠性设计统一标准</w:t>
      </w:r>
    </w:p>
    <w:p w14:paraId="7F7F7A84">
      <w:pPr>
        <w:pStyle w:val="231"/>
        <w:ind w:firstLine="440"/>
        <w:rPr>
          <w:rFonts w:hint="eastAsia"/>
        </w:rPr>
      </w:pPr>
      <w:r>
        <w:rPr>
          <w:rFonts w:hint="eastAsia"/>
        </w:rPr>
        <w:t>GB 50340 老年人居住建筑设计标准</w:t>
      </w:r>
    </w:p>
    <w:p w14:paraId="43B4E631">
      <w:pPr>
        <w:pStyle w:val="231"/>
        <w:ind w:firstLine="440"/>
        <w:rPr>
          <w:rFonts w:hint="eastAsia"/>
        </w:rPr>
      </w:pPr>
      <w:r>
        <w:rPr>
          <w:rFonts w:hint="eastAsia"/>
        </w:rPr>
        <w:t>GB 50763 无障碍设计规范</w:t>
      </w:r>
    </w:p>
    <w:p w14:paraId="7A034F42">
      <w:pPr>
        <w:pStyle w:val="231"/>
        <w:ind w:firstLine="440"/>
        <w:rPr>
          <w:rFonts w:hint="eastAsia"/>
        </w:rPr>
      </w:pPr>
      <w:r>
        <w:rPr>
          <w:rFonts w:hint="eastAsia"/>
        </w:rPr>
        <w:t>WS/T 484 老年人健康管理技术规范</w:t>
      </w:r>
    </w:p>
    <w:p w14:paraId="5B05CB88">
      <w:pPr>
        <w:pStyle w:val="231"/>
        <w:ind w:firstLine="440"/>
      </w:pPr>
      <w:r>
        <w:rPr>
          <w:rFonts w:hint="eastAsia"/>
        </w:rPr>
        <w:t>LB/T 066 旅游民宿基本要求与评价</w:t>
      </w:r>
    </w:p>
    <w:p w14:paraId="1D8A99C4">
      <w:pPr>
        <w:pStyle w:val="104"/>
        <w:spacing w:before="240" w:after="240"/>
      </w:pPr>
      <w:bookmarkStart w:id="42" w:name="_Toc97192966"/>
      <w:r>
        <w:rPr>
          <w:rFonts w:hint="eastAsia"/>
          <w:szCs w:val="21"/>
        </w:rPr>
        <w:t>术语和定义</w:t>
      </w:r>
      <w:bookmarkEnd w:id="42"/>
    </w:p>
    <w:sdt>
      <w:sdtPr>
        <w:rPr>
          <w:rFonts w:cs="宋体"/>
        </w:rPr>
        <w:id w:val="-1"/>
        <w:placeholder>
          <w:docPart w:val="7AE09444D4304CF1AB85398D670D265F"/>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cs="宋体"/>
        </w:rPr>
      </w:sdtEndPr>
      <w:sdtContent>
        <w:p w14:paraId="0AEB0F7A">
          <w:pPr>
            <w:pStyle w:val="56"/>
            <w:ind w:firstLine="420"/>
          </w:pPr>
          <w:bookmarkStart w:id="43" w:name="_Toc26986532"/>
          <w:bookmarkEnd w:id="43"/>
          <w:r>
            <w:rPr>
              <w:rFonts w:cs="宋体"/>
            </w:rPr>
            <w:t>下列术语和定义适用于本文件。</w:t>
          </w:r>
        </w:p>
      </w:sdtContent>
    </w:sdt>
    <w:bookmarkEnd w:id="22"/>
    <w:p w14:paraId="5B4F7D2F">
      <w:pPr>
        <w:pStyle w:val="105"/>
        <w:spacing w:before="120" w:after="120"/>
      </w:pPr>
      <w:bookmarkStart w:id="44" w:name="_Toc66388055"/>
      <w:bookmarkStart w:id="45" w:name="BookMark5"/>
      <w:bookmarkStart w:id="46" w:name="_Toc9877"/>
      <w:r>
        <w:br w:type="textWrapping"/>
      </w:r>
      <w:r>
        <w:t xml:space="preserve">    </w:t>
      </w:r>
      <w:bookmarkEnd w:id="44"/>
      <w:r>
        <w:rPr>
          <w:rFonts w:hint="eastAsia"/>
        </w:rPr>
        <w:t>共享式乡村康养驿站</w:t>
      </w:r>
    </w:p>
    <w:p w14:paraId="080F7C43">
      <w:pPr>
        <w:pStyle w:val="56"/>
        <w:ind w:firstLine="420"/>
        <w:rPr>
          <w:rFonts w:hint="eastAsia"/>
        </w:rPr>
      </w:pPr>
      <w:r>
        <w:rPr>
          <w:rFonts w:hint="eastAsia"/>
        </w:rPr>
        <w:t>依托乡村独特的自然生态、田园景观、民俗文化等资源，通过功能整合与升级，为本地居民与外来旅居者共同提供康养服务、文化体验、休闲娱乐等“主客共享”功能的综合性服务场所。</w:t>
      </w:r>
    </w:p>
    <w:p w14:paraId="1854F76D">
      <w:pPr>
        <w:pStyle w:val="105"/>
        <w:spacing w:before="120" w:after="120"/>
        <w:rPr>
          <w:rFonts w:hAnsi="黑体"/>
        </w:rPr>
      </w:pPr>
    </w:p>
    <w:p w14:paraId="61AEAA5D">
      <w:pPr>
        <w:pStyle w:val="105"/>
        <w:numPr>
          <w:ilvl w:val="0"/>
          <w:numId w:val="0"/>
        </w:numPr>
        <w:spacing w:before="120" w:after="120"/>
        <w:rPr>
          <w:rFonts w:hint="eastAsia" w:hAnsi="黑体"/>
        </w:rPr>
      </w:pPr>
      <w:r>
        <w:rPr>
          <w:rFonts w:hAnsi="黑体"/>
        </w:rPr>
        <w:t xml:space="preserve">   </w:t>
      </w:r>
      <w:r>
        <w:rPr>
          <w:rFonts w:hint="eastAsia" w:hAnsi="黑体"/>
        </w:rPr>
        <w:t>主客共享</w:t>
      </w:r>
    </w:p>
    <w:p w14:paraId="5AC184A7">
      <w:pPr>
        <w:pStyle w:val="231"/>
        <w:ind w:firstLine="418" w:firstLineChars="190"/>
      </w:pPr>
      <w:r>
        <w:rPr>
          <w:rFonts w:hint="eastAsia"/>
        </w:rPr>
        <w:t>采取措施和方法，预防或控制风险事件发生的可能性，或者减少风险事件发生时造成的损失。</w:t>
      </w:r>
    </w:p>
    <w:p w14:paraId="6529F212">
      <w:pPr>
        <w:pStyle w:val="105"/>
        <w:spacing w:before="120" w:after="120"/>
      </w:pPr>
    </w:p>
    <w:p w14:paraId="51F9090D">
      <w:pPr>
        <w:pStyle w:val="105"/>
        <w:numPr>
          <w:ilvl w:val="0"/>
          <w:numId w:val="0"/>
        </w:numPr>
        <w:spacing w:before="120" w:after="120"/>
      </w:pPr>
      <w:r>
        <w:t xml:space="preserve">   </w:t>
      </w:r>
      <w:r>
        <w:rPr>
          <w:rFonts w:hint="eastAsia"/>
        </w:rPr>
        <w:t>康养服务渗透</w:t>
      </w:r>
    </w:p>
    <w:p w14:paraId="07930381">
      <w:pPr>
        <w:pStyle w:val="56"/>
        <w:ind w:firstLine="420"/>
        <w:rPr>
          <w:rFonts w:hint="eastAsia"/>
        </w:rPr>
      </w:pPr>
      <w:r>
        <w:t>推动专业的康养产品、技术和服务从区域医疗中心、乡镇卫生院、村卫生室等机构，下沉并融入至康养驿站的服务场景中，实现康养服务的便捷化、普惠化与场景化。</w:t>
      </w:r>
    </w:p>
    <w:p w14:paraId="1BD1CF6D">
      <w:pPr>
        <w:pStyle w:val="104"/>
        <w:spacing w:before="240" w:after="240"/>
      </w:pPr>
      <w:r>
        <w:rPr>
          <w:rFonts w:hint="eastAsia"/>
        </w:rPr>
        <w:t>总体要求与建设原则</w:t>
      </w:r>
    </w:p>
    <w:p w14:paraId="7274DCCE">
      <w:pPr>
        <w:pStyle w:val="105"/>
        <w:spacing w:before="120" w:after="120"/>
      </w:pPr>
      <w:r>
        <w:rPr>
          <w:rFonts w:hint="eastAsia"/>
        </w:rPr>
        <w:t>总体要求</w:t>
      </w:r>
    </w:p>
    <w:p w14:paraId="0BFEACB1">
      <w:pPr>
        <w:pStyle w:val="56"/>
        <w:ind w:firstLine="420"/>
      </w:pPr>
      <w:r>
        <w:t>驿站建设与运营应坚持以人为本、生态优先、安全第一、融合发展的方针，实现社会效益与可持续运营的统一。</w:t>
      </w:r>
    </w:p>
    <w:p w14:paraId="0E0909DB">
      <w:pPr>
        <w:pStyle w:val="105"/>
        <w:spacing w:before="120" w:after="120"/>
      </w:pPr>
      <w:r>
        <w:rPr>
          <w:rFonts w:hint="eastAsia"/>
        </w:rPr>
        <w:t>建设原则</w:t>
      </w:r>
    </w:p>
    <w:p w14:paraId="3848431A">
      <w:pPr>
        <w:pStyle w:val="65"/>
        <w:spacing w:before="120" w:after="120"/>
      </w:pPr>
      <w:r>
        <w:t>因地制宜与特色发展</w:t>
      </w:r>
    </w:p>
    <w:p w14:paraId="08BF9C77">
      <w:pPr>
        <w:pStyle w:val="56"/>
        <w:ind w:firstLine="420"/>
      </w:pPr>
      <w:r>
        <w:t>应充分挖掘本地自然资源、农业资源、中医药资源（如亳州“十大皖药”）和文化资源，塑造具有鲜明地域标识的康养主题。鼓励发展中药养生、食疗康养、农耕疗愈等特色业态，避免同质化。</w:t>
      </w:r>
    </w:p>
    <w:p w14:paraId="4A26A34E">
      <w:pPr>
        <w:pStyle w:val="65"/>
        <w:spacing w:before="120" w:after="120"/>
      </w:pPr>
      <w:r>
        <w:rPr>
          <w:rFonts w:hint="eastAsia"/>
        </w:rPr>
        <w:t>主客共享与融合共生</w:t>
      </w:r>
    </w:p>
    <w:p w14:paraId="26E861A8">
      <w:pPr>
        <w:pStyle w:val="56"/>
        <w:ind w:firstLine="420"/>
      </w:pPr>
      <w:r>
        <w:t>规划、设计与服务应兼顾本地居民的生活习惯与外来旅居者的体验需求，通过共同活动促进代际交流与城乡互动，营造和谐共融的社区氛围。</w:t>
      </w:r>
    </w:p>
    <w:p w14:paraId="4CE2C3FD">
      <w:pPr>
        <w:pStyle w:val="65"/>
        <w:spacing w:before="120" w:after="120"/>
      </w:pPr>
      <w:r>
        <w:t>医养结合与服务下沉</w:t>
      </w:r>
    </w:p>
    <w:p w14:paraId="55723D93">
      <w:pPr>
        <w:pStyle w:val="56"/>
        <w:ind w:firstLine="420"/>
      </w:pPr>
      <w:r>
        <w:t>必须与属地乡镇卫生院、村卫生室建立紧密的协作机制，签订服务协议。推动基本医疗、健康管理、中医保健、康复指导等服务在驿站内便捷可及，探索“家庭病床”、“上门巡诊”等服务模式。</w:t>
      </w:r>
    </w:p>
    <w:p w14:paraId="5BB98A3F">
      <w:pPr>
        <w:pStyle w:val="65"/>
        <w:spacing w:before="120" w:after="120"/>
      </w:pPr>
      <w:r>
        <w:t>安全规范与质量保障</w:t>
      </w:r>
    </w:p>
    <w:p w14:paraId="16B9029E">
      <w:pPr>
        <w:pStyle w:val="56"/>
        <w:ind w:firstLine="420"/>
      </w:pPr>
      <w:r>
        <w:t>驿站的建设、设施、服务及运营管理全过程，必须严格遵守国家及行业相关安全标准与规范，确保人身、消防、食品、医疗及财产安全。</w:t>
      </w:r>
    </w:p>
    <w:p w14:paraId="242903AC">
      <w:pPr>
        <w:pStyle w:val="65"/>
        <w:spacing w:before="120" w:after="120"/>
      </w:pPr>
      <w:r>
        <w:t>智慧赋能与标准统一</w:t>
      </w:r>
    </w:p>
    <w:p w14:paraId="475372A9">
      <w:pPr>
        <w:pStyle w:val="56"/>
        <w:ind w:firstLine="420"/>
      </w:pPr>
      <w:r>
        <w:t>积极应用物联网、大数据、人工智能等信息技术提升管理效率与服务体验。鼓励数据接口标准化，为未来接入区域或省级康养服务平台奠定基础，注重用户数据隐私保护。</w:t>
      </w:r>
    </w:p>
    <w:p w14:paraId="191D6342">
      <w:pPr>
        <w:pStyle w:val="65"/>
        <w:spacing w:before="120" w:after="120"/>
      </w:pPr>
      <w:r>
        <w:t>绿色低碳与可持续发展</w:t>
      </w:r>
    </w:p>
    <w:p w14:paraId="03E0CEE2">
      <w:pPr>
        <w:pStyle w:val="56"/>
        <w:ind w:firstLine="420"/>
      </w:pPr>
      <w:r>
        <w:t>倡导在建设和运营中使用节能环保材料与技术，促进废弃物资源化利用，保护乡村生态环境，实现绿色低碳运营。</w:t>
      </w:r>
    </w:p>
    <w:p w14:paraId="6559607C">
      <w:pPr>
        <w:pStyle w:val="65"/>
        <w:spacing w:before="120" w:after="120"/>
        <w:rPr>
          <w:rFonts w:hint="eastAsia"/>
        </w:rPr>
      </w:pPr>
      <w:r>
        <w:t>多方参与与社会协同</w:t>
      </w:r>
    </w:p>
    <w:p w14:paraId="6D8D91D8">
      <w:pPr>
        <w:pStyle w:val="56"/>
        <w:ind w:firstLine="420"/>
      </w:pPr>
      <w:r>
        <w:t>鼓励乡镇政府、村集体、国有企业、社会资本、农民专业合作社、民宿业主、专业服务机构等多方主体共同参与投资、建设、运营，形成共建共治共享格局。</w:t>
      </w:r>
    </w:p>
    <w:p w14:paraId="362D1D77">
      <w:pPr>
        <w:pStyle w:val="104"/>
        <w:spacing w:before="240" w:after="240"/>
      </w:pPr>
      <w:r>
        <w:t>选址与规划</w:t>
      </w:r>
    </w:p>
    <w:p w14:paraId="70E302A1">
      <w:pPr>
        <w:pStyle w:val="105"/>
        <w:spacing w:before="120" w:after="120"/>
        <w:rPr>
          <w:rFonts w:hint="eastAsia"/>
        </w:rPr>
      </w:pPr>
      <w:r>
        <w:rPr>
          <w:rFonts w:hint="eastAsia"/>
        </w:rPr>
        <w:t>选址要求</w:t>
      </w:r>
    </w:p>
    <w:p w14:paraId="17B59550">
      <w:pPr>
        <w:pStyle w:val="65"/>
        <w:spacing w:before="120" w:after="120"/>
        <w:rPr>
          <w:rFonts w:hint="eastAsia"/>
        </w:rPr>
      </w:pPr>
      <w:r>
        <w:rPr>
          <w:rFonts w:hint="eastAsia"/>
        </w:rPr>
        <w:t>资源条件</w:t>
      </w:r>
    </w:p>
    <w:p w14:paraId="0A3C25B4">
      <w:pPr>
        <w:pStyle w:val="56"/>
        <w:ind w:firstLine="420"/>
        <w:rPr>
          <w:rFonts w:hint="eastAsia"/>
        </w:rPr>
      </w:pPr>
      <w:r>
        <w:rPr>
          <w:rFonts w:hint="eastAsia"/>
        </w:rPr>
        <w:t>应遴选生态环境优良、景观独特、具有中药材种植基地、特色农产品、森林水系等核心康养资源的村镇。</w:t>
      </w:r>
    </w:p>
    <w:p w14:paraId="5B917CE9">
      <w:pPr>
        <w:pStyle w:val="65"/>
        <w:spacing w:before="120" w:after="120"/>
        <w:rPr>
          <w:rFonts w:hint="eastAsia"/>
        </w:rPr>
      </w:pPr>
      <w:r>
        <w:rPr>
          <w:rFonts w:hint="eastAsia"/>
        </w:rPr>
        <w:t>区位交通</w:t>
      </w:r>
    </w:p>
    <w:p w14:paraId="6C3E2542">
      <w:pPr>
        <w:pStyle w:val="56"/>
        <w:ind w:firstLine="420"/>
        <w:rPr>
          <w:rFonts w:hint="eastAsia"/>
        </w:rPr>
      </w:pPr>
      <w:r>
        <w:rPr>
          <w:rFonts w:hint="eastAsia"/>
        </w:rPr>
        <w:t>宜选择在交通相对便利、靠近主要旅游线路、风景道或已有旅居人口集聚的区域，机动车辆可达性良好。</w:t>
      </w:r>
    </w:p>
    <w:p w14:paraId="581CB41E">
      <w:pPr>
        <w:pStyle w:val="65"/>
        <w:spacing w:before="120" w:after="120"/>
        <w:rPr>
          <w:rFonts w:hint="eastAsia"/>
        </w:rPr>
      </w:pPr>
      <w:r>
        <w:rPr>
          <w:rFonts w:hint="eastAsia"/>
        </w:rPr>
        <w:t>设施基础</w:t>
      </w:r>
    </w:p>
    <w:p w14:paraId="742D8B60">
      <w:pPr>
        <w:pStyle w:val="56"/>
        <w:ind w:firstLine="420"/>
        <w:rPr>
          <w:rFonts w:hint="eastAsia"/>
        </w:rPr>
      </w:pPr>
      <w:r>
        <w:rPr>
          <w:rFonts w:hint="eastAsia"/>
        </w:rPr>
        <w:t>优先考虑具备村级公共服务中心、闲置公共建筑（校舍、厂房）、大型民宿集群等基础的村庄，以利资源整合与集约利用。</w:t>
      </w:r>
    </w:p>
    <w:p w14:paraId="2C67B57B">
      <w:pPr>
        <w:pStyle w:val="65"/>
        <w:spacing w:before="120" w:after="120"/>
        <w:rPr>
          <w:rFonts w:hint="eastAsia"/>
        </w:rPr>
      </w:pPr>
      <w:r>
        <w:rPr>
          <w:rFonts w:hint="eastAsia"/>
        </w:rPr>
        <w:t>安全要求</w:t>
      </w:r>
    </w:p>
    <w:p w14:paraId="12E2C8B2">
      <w:pPr>
        <w:pStyle w:val="56"/>
        <w:ind w:firstLine="420"/>
        <w:rPr>
          <w:rFonts w:hint="eastAsia"/>
        </w:rPr>
      </w:pPr>
      <w:r>
        <w:rPr>
          <w:rFonts w:hint="eastAsia"/>
        </w:rPr>
        <w:t>应避开地质灾害易发区、行洪通道、泄洪区、雷暴高发区等安全隐患区域，并进行必要的地质安全评估。</w:t>
      </w:r>
    </w:p>
    <w:p w14:paraId="5936C6E5">
      <w:pPr>
        <w:pStyle w:val="105"/>
        <w:spacing w:before="120" w:after="120"/>
        <w:rPr>
          <w:rFonts w:hint="eastAsia"/>
        </w:rPr>
      </w:pPr>
      <w:r>
        <w:rPr>
          <w:rFonts w:hint="eastAsia"/>
        </w:rPr>
        <w:t>规划布局</w:t>
      </w:r>
    </w:p>
    <w:p w14:paraId="2CA87695">
      <w:pPr>
        <w:pStyle w:val="65"/>
        <w:spacing w:before="120" w:after="120"/>
        <w:rPr>
          <w:rFonts w:hint="eastAsia"/>
        </w:rPr>
      </w:pPr>
      <w:r>
        <w:rPr>
          <w:rFonts w:hint="eastAsia"/>
        </w:rPr>
        <w:t>功能整合</w:t>
      </w:r>
    </w:p>
    <w:p w14:paraId="0E9CC4D9">
      <w:pPr>
        <w:pStyle w:val="56"/>
        <w:ind w:firstLine="420"/>
        <w:rPr>
          <w:rFonts w:hint="eastAsia"/>
        </w:rPr>
      </w:pPr>
      <w:r>
        <w:rPr>
          <w:rFonts w:hint="eastAsia"/>
        </w:rPr>
        <w:t>鼓励与村级党群服务中心、养老服务中心（站）、新时代文明实践站、村卫生室、乡村民宿等设施统筹规划、共建共享，倡导“一场多用、一室多能”。</w:t>
      </w:r>
    </w:p>
    <w:p w14:paraId="79A42300">
      <w:pPr>
        <w:pStyle w:val="65"/>
        <w:spacing w:before="120" w:after="120"/>
        <w:rPr>
          <w:rFonts w:hint="eastAsia"/>
        </w:rPr>
      </w:pPr>
      <w:r>
        <w:rPr>
          <w:rFonts w:hint="eastAsia"/>
        </w:rPr>
        <w:t>服务半径</w:t>
      </w:r>
    </w:p>
    <w:p w14:paraId="655FB3A7">
      <w:pPr>
        <w:pStyle w:val="56"/>
        <w:ind w:firstLine="420"/>
        <w:rPr>
          <w:rFonts w:hint="eastAsia"/>
        </w:rPr>
      </w:pPr>
      <w:r>
        <w:rPr>
          <w:rFonts w:hint="eastAsia"/>
        </w:rPr>
        <w:t>规划布局应考虑服务覆盖人口规模，优先服务于老年人口集中或旅居流量大的区域，助力构建乡村“</w:t>
      </w:r>
      <w:bookmarkStart w:id="48" w:name="_GoBack"/>
      <w:bookmarkEnd w:id="48"/>
      <w:r>
        <w:rPr>
          <w:rFonts w:hint="eastAsia"/>
        </w:rPr>
        <w:t>15分钟养老服务圈”。</w:t>
      </w:r>
    </w:p>
    <w:p w14:paraId="571BDD28">
      <w:pPr>
        <w:pStyle w:val="65"/>
        <w:spacing w:before="120" w:after="120"/>
        <w:rPr>
          <w:rFonts w:hint="eastAsia"/>
        </w:rPr>
      </w:pPr>
      <w:r>
        <w:rPr>
          <w:rFonts w:hint="eastAsia"/>
        </w:rPr>
        <w:t>建筑风貌</w:t>
      </w:r>
    </w:p>
    <w:p w14:paraId="6A7D1F61">
      <w:pPr>
        <w:pStyle w:val="56"/>
        <w:ind w:firstLine="420"/>
        <w:rPr>
          <w:rFonts w:hint="eastAsia"/>
        </w:rPr>
      </w:pPr>
      <w:r>
        <w:rPr>
          <w:rFonts w:hint="eastAsia"/>
        </w:rPr>
        <w:t>建筑外观设计应简朴大方，采用乡土材料与技艺，与周边自然环境、传统村落风貌、地方文化特色相协调，不宜建设突兀的“城市化”建筑。</w:t>
      </w:r>
    </w:p>
    <w:p w14:paraId="3B54969F">
      <w:pPr>
        <w:pStyle w:val="104"/>
        <w:spacing w:before="240" w:after="240"/>
        <w:rPr>
          <w:rFonts w:hint="eastAsia"/>
        </w:rPr>
      </w:pPr>
      <w:r>
        <w:rPr>
          <w:rFonts w:hint="eastAsia"/>
        </w:rPr>
        <w:t>功能配置与设施</w:t>
      </w:r>
    </w:p>
    <w:p w14:paraId="5E406C48">
      <w:pPr>
        <w:pStyle w:val="105"/>
        <w:spacing w:before="120" w:after="120"/>
        <w:rPr>
          <w:rFonts w:hint="eastAsia"/>
        </w:rPr>
      </w:pPr>
      <w:r>
        <w:rPr>
          <w:rFonts w:hint="eastAsia"/>
        </w:rPr>
        <w:t>通用要求</w:t>
      </w:r>
    </w:p>
    <w:p w14:paraId="14558609">
      <w:pPr>
        <w:pStyle w:val="56"/>
        <w:ind w:firstLine="420"/>
        <w:rPr>
          <w:rFonts w:hint="eastAsia"/>
        </w:rPr>
      </w:pPr>
      <w:r>
        <w:rPr>
          <w:rFonts w:hint="eastAsia"/>
        </w:rPr>
        <w:t>驿站总建筑面积宜根据服务规模确定，设施配置应满足第4章的建设原则，并符合GB 50340、GB 50763等标准中关于适老化与无障碍的强制性要求。</w:t>
      </w:r>
    </w:p>
    <w:p w14:paraId="19BB6A16">
      <w:pPr>
        <w:pStyle w:val="105"/>
        <w:spacing w:before="120" w:after="120"/>
        <w:rPr>
          <w:rFonts w:hint="eastAsia"/>
        </w:rPr>
      </w:pPr>
      <w:r>
        <w:rPr>
          <w:rFonts w:hint="eastAsia"/>
        </w:rPr>
        <w:t>健康管理服务区</w:t>
      </w:r>
    </w:p>
    <w:p w14:paraId="55DEAD55">
      <w:pPr>
        <w:pStyle w:val="65"/>
        <w:spacing w:before="120" w:after="120"/>
        <w:rPr>
          <w:rFonts w:hint="eastAsia"/>
        </w:rPr>
      </w:pPr>
      <w:r>
        <w:rPr>
          <w:rFonts w:hint="eastAsia"/>
        </w:rPr>
        <w:t>功能</w:t>
      </w:r>
    </w:p>
    <w:p w14:paraId="633DA9E9">
      <w:pPr>
        <w:pStyle w:val="56"/>
        <w:ind w:firstLine="420"/>
        <w:rPr>
          <w:rFonts w:hint="eastAsia"/>
        </w:rPr>
      </w:pPr>
      <w:r>
        <w:rPr>
          <w:rFonts w:hint="eastAsia"/>
        </w:rPr>
        <w:t>提供健康监测、档案建立、慢病管理、用药指导、远程问诊、中医“治未病”及康复指导等服务。</w:t>
      </w:r>
    </w:p>
    <w:p w14:paraId="5FDCE0BE">
      <w:pPr>
        <w:pStyle w:val="65"/>
        <w:spacing w:before="120" w:after="120"/>
        <w:rPr>
          <w:rFonts w:hint="eastAsia"/>
        </w:rPr>
      </w:pPr>
      <w:r>
        <w:rPr>
          <w:rFonts w:hint="eastAsia"/>
        </w:rPr>
        <w:t>设施</w:t>
      </w:r>
    </w:p>
    <w:p w14:paraId="613686D4">
      <w:pPr>
        <w:pStyle w:val="56"/>
        <w:ind w:firstLine="420"/>
        <w:rPr>
          <w:rFonts w:hint="eastAsia"/>
        </w:rPr>
      </w:pPr>
      <w:r>
        <w:rPr>
          <w:rFonts w:hint="eastAsia"/>
        </w:rPr>
        <w:t>应设置独立的健康小屋或健康驿站，配备基础体检设备（如电子血压计、血糖仪、身高体重秤、体成分分析仪等），并与协作的基层医疗卫生机构信息系统实现数据联通。鼓励设置中医保健室，提供艾灸、拔罐、推拿等服务。地面应采用防滑材料。</w:t>
      </w:r>
    </w:p>
    <w:p w14:paraId="31AF3F93">
      <w:pPr>
        <w:pStyle w:val="105"/>
        <w:spacing w:before="120" w:after="120"/>
        <w:rPr>
          <w:rFonts w:hint="eastAsia"/>
        </w:rPr>
      </w:pPr>
      <w:r>
        <w:rPr>
          <w:rFonts w:hint="eastAsia"/>
        </w:rPr>
        <w:t>文化娱乐与社交活动区</w:t>
      </w:r>
    </w:p>
    <w:p w14:paraId="5B24BEA4">
      <w:pPr>
        <w:pStyle w:val="65"/>
        <w:spacing w:before="120" w:after="120"/>
        <w:rPr>
          <w:rFonts w:hint="eastAsia"/>
        </w:rPr>
      </w:pPr>
      <w:r>
        <w:rPr>
          <w:rFonts w:hint="eastAsia"/>
        </w:rPr>
        <w:t>功能</w:t>
      </w:r>
    </w:p>
    <w:p w14:paraId="4D5A0B2B">
      <w:pPr>
        <w:pStyle w:val="56"/>
        <w:ind w:firstLine="420"/>
        <w:rPr>
          <w:rFonts w:hint="eastAsia"/>
        </w:rPr>
      </w:pPr>
      <w:r>
        <w:rPr>
          <w:rFonts w:hint="eastAsia"/>
        </w:rPr>
        <w:t>满足本地老人与旅居者学习、娱乐、社交及文化活动需求。</w:t>
      </w:r>
    </w:p>
    <w:p w14:paraId="226C072A">
      <w:pPr>
        <w:pStyle w:val="65"/>
        <w:spacing w:before="120" w:after="120"/>
        <w:rPr>
          <w:rFonts w:hint="eastAsia"/>
        </w:rPr>
      </w:pPr>
      <w:r>
        <w:rPr>
          <w:rFonts w:hint="eastAsia"/>
        </w:rPr>
        <w:t>设施</w:t>
      </w:r>
    </w:p>
    <w:p w14:paraId="29512E85">
      <w:pPr>
        <w:pStyle w:val="56"/>
        <w:ind w:firstLine="420"/>
        <w:rPr>
          <w:rFonts w:hint="eastAsia"/>
        </w:rPr>
      </w:pPr>
      <w:r>
        <w:rPr>
          <w:rFonts w:hint="eastAsia"/>
        </w:rPr>
        <w:t>应设置多功能活动室（用于会议、培训、电影放映、文艺排练）、图书阅览室（与农家书屋结合）、棋牌书画室等。鼓励开设“银龄学堂”、非遗传承工坊、乡土文化沙龙等特色空间。室内照明应充足均匀，避免眩光。</w:t>
      </w:r>
    </w:p>
    <w:p w14:paraId="297B552B">
      <w:pPr>
        <w:pStyle w:val="105"/>
        <w:spacing w:before="120" w:after="120"/>
        <w:rPr>
          <w:rFonts w:hint="eastAsia"/>
        </w:rPr>
      </w:pPr>
      <w:r>
        <w:rPr>
          <w:rFonts w:hint="eastAsia"/>
        </w:rPr>
        <w:t>餐饮与休闲服务区</w:t>
      </w:r>
    </w:p>
    <w:p w14:paraId="157CDED5">
      <w:pPr>
        <w:pStyle w:val="65"/>
        <w:spacing w:before="120" w:after="120"/>
        <w:rPr>
          <w:rFonts w:hint="eastAsia"/>
        </w:rPr>
      </w:pPr>
      <w:r>
        <w:rPr>
          <w:rFonts w:hint="eastAsia"/>
        </w:rPr>
        <w:t>功能</w:t>
      </w:r>
    </w:p>
    <w:p w14:paraId="6AAA5405">
      <w:pPr>
        <w:pStyle w:val="56"/>
        <w:ind w:firstLine="420"/>
        <w:rPr>
          <w:rFonts w:hint="eastAsia"/>
        </w:rPr>
      </w:pPr>
      <w:r>
        <w:rPr>
          <w:rFonts w:hint="eastAsia"/>
        </w:rPr>
        <w:t>提供营养膳食、本地特色餐饮、茶饮休憩服务，重点关注老年营养与食疗。</w:t>
      </w:r>
    </w:p>
    <w:p w14:paraId="0EA8055B">
      <w:pPr>
        <w:pStyle w:val="65"/>
        <w:spacing w:before="120" w:after="120"/>
        <w:rPr>
          <w:rFonts w:hint="eastAsia"/>
        </w:rPr>
      </w:pPr>
      <w:r>
        <w:rPr>
          <w:rFonts w:hint="eastAsia"/>
        </w:rPr>
        <w:t>设施</w:t>
      </w:r>
    </w:p>
    <w:p w14:paraId="5A059B86">
      <w:pPr>
        <w:pStyle w:val="56"/>
        <w:ind w:firstLine="420"/>
        <w:rPr>
          <w:rFonts w:hint="eastAsia"/>
        </w:rPr>
      </w:pPr>
      <w:r>
        <w:rPr>
          <w:rFonts w:hint="eastAsia"/>
        </w:rPr>
        <w:t>可设置老年助餐点、共享餐厅、茶咖吧等。餐饮服务场所的卫生条件必须符合GB 31654要求。鼓励开发并标注“药食同源”菜品、节气养生套餐等康养食谱。餐厅桌椅应稳固，部分桌椅需方便轮椅使用者。</w:t>
      </w:r>
    </w:p>
    <w:p w14:paraId="57B3AB0E">
      <w:pPr>
        <w:pStyle w:val="105"/>
        <w:spacing w:before="120" w:after="120"/>
        <w:rPr>
          <w:rFonts w:hint="eastAsia"/>
        </w:rPr>
      </w:pPr>
      <w:r>
        <w:rPr>
          <w:rFonts w:hint="eastAsia"/>
        </w:rPr>
        <w:t>住宿与短期托养区</w:t>
      </w:r>
    </w:p>
    <w:p w14:paraId="04135A4A">
      <w:pPr>
        <w:pStyle w:val="65"/>
        <w:spacing w:before="120" w:after="120"/>
        <w:rPr>
          <w:rFonts w:hint="eastAsia"/>
        </w:rPr>
      </w:pPr>
      <w:r>
        <w:rPr>
          <w:rFonts w:hint="eastAsia"/>
        </w:rPr>
        <w:t>功能</w:t>
      </w:r>
    </w:p>
    <w:p w14:paraId="567C443D">
      <w:pPr>
        <w:pStyle w:val="56"/>
        <w:ind w:firstLine="420"/>
        <w:rPr>
          <w:rFonts w:hint="eastAsia"/>
        </w:rPr>
      </w:pPr>
      <w:r>
        <w:rPr>
          <w:rFonts w:hint="eastAsia"/>
        </w:rPr>
        <w:t>为旅居人群和需要短期托养或喘息服务的本地老人提供住宿服务。</w:t>
      </w:r>
    </w:p>
    <w:p w14:paraId="5E5CCB55">
      <w:pPr>
        <w:pStyle w:val="65"/>
        <w:spacing w:before="120" w:after="120"/>
        <w:rPr>
          <w:rFonts w:hint="eastAsia"/>
        </w:rPr>
      </w:pPr>
      <w:r>
        <w:rPr>
          <w:rFonts w:hint="eastAsia"/>
        </w:rPr>
        <w:t>设施</w:t>
      </w:r>
    </w:p>
    <w:p w14:paraId="1A61A3CB">
      <w:pPr>
        <w:pStyle w:val="56"/>
        <w:ind w:firstLine="420"/>
        <w:rPr>
          <w:rFonts w:hint="eastAsia"/>
        </w:rPr>
      </w:pPr>
      <w:r>
        <w:rPr>
          <w:rFonts w:hint="eastAsia"/>
        </w:rPr>
        <w:t>可通过改造、联营或新建符合条件的乡村民宿实现。住宿设施应参照GB 50340进行适老化改造，客房内及卫生间应配备紧急呼叫装置、安全扶手、防滑地垫。鼓励设置适合多代人同住的“亲情套房”。消防安全应符合GB 50016要求。</w:t>
      </w:r>
    </w:p>
    <w:p w14:paraId="3DFD77A1">
      <w:pPr>
        <w:pStyle w:val="105"/>
        <w:spacing w:before="120" w:after="120"/>
        <w:rPr>
          <w:rFonts w:hint="eastAsia"/>
        </w:rPr>
      </w:pPr>
      <w:r>
        <w:rPr>
          <w:rFonts w:hint="eastAsia"/>
        </w:rPr>
        <w:t>户外康体活动区</w:t>
      </w:r>
    </w:p>
    <w:p w14:paraId="0D932169">
      <w:pPr>
        <w:pStyle w:val="65"/>
        <w:spacing w:before="120" w:after="120"/>
        <w:rPr>
          <w:rFonts w:hint="eastAsia"/>
        </w:rPr>
      </w:pPr>
      <w:r>
        <w:rPr>
          <w:rFonts w:hint="eastAsia"/>
        </w:rPr>
        <w:t>功能</w:t>
      </w:r>
    </w:p>
    <w:p w14:paraId="04A457B7">
      <w:pPr>
        <w:pStyle w:val="56"/>
        <w:ind w:firstLine="420"/>
        <w:rPr>
          <w:rFonts w:hint="eastAsia"/>
        </w:rPr>
      </w:pPr>
      <w:r>
        <w:rPr>
          <w:rFonts w:hint="eastAsia"/>
        </w:rPr>
        <w:t>提供户外运动、农耕体验、自然疗愈、社交园艺等活动空间。</w:t>
      </w:r>
    </w:p>
    <w:p w14:paraId="3D875CFA">
      <w:pPr>
        <w:pStyle w:val="65"/>
        <w:spacing w:before="120" w:after="120"/>
        <w:rPr>
          <w:rFonts w:hint="eastAsia"/>
        </w:rPr>
      </w:pPr>
      <w:r>
        <w:rPr>
          <w:rFonts w:hint="eastAsia"/>
        </w:rPr>
        <w:t>设施</w:t>
      </w:r>
    </w:p>
    <w:p w14:paraId="0AFBCC2B">
      <w:pPr>
        <w:pStyle w:val="56"/>
        <w:ind w:firstLine="420"/>
        <w:rPr>
          <w:rFonts w:hint="eastAsia"/>
        </w:rPr>
      </w:pPr>
      <w:r>
        <w:rPr>
          <w:rFonts w:hint="eastAsia"/>
        </w:rPr>
        <w:t>应充分利用田园、林地、水系等资源，设置健身步道（带休息椅）、简易健身广场（配备符合GB 19272要求的器材）、小型农耕体验园、户外休憩亭廊等。场地应排水良好，夜间有活动需求的区域应设置照明。</w:t>
      </w:r>
    </w:p>
    <w:p w14:paraId="19E23D04">
      <w:pPr>
        <w:pStyle w:val="105"/>
        <w:spacing w:before="120" w:after="120"/>
        <w:rPr>
          <w:rFonts w:hint="eastAsia"/>
        </w:rPr>
      </w:pPr>
      <w:r>
        <w:rPr>
          <w:rFonts w:hint="eastAsia"/>
        </w:rPr>
        <w:t>智慧管理与信息服务点</w:t>
      </w:r>
    </w:p>
    <w:p w14:paraId="176A9199">
      <w:pPr>
        <w:pStyle w:val="65"/>
        <w:spacing w:before="120" w:after="120"/>
        <w:rPr>
          <w:rFonts w:hint="eastAsia"/>
        </w:rPr>
      </w:pPr>
      <w:r>
        <w:rPr>
          <w:rFonts w:hint="eastAsia"/>
        </w:rPr>
        <w:t>功能</w:t>
      </w:r>
    </w:p>
    <w:p w14:paraId="4CCD060B">
      <w:pPr>
        <w:pStyle w:val="56"/>
        <w:ind w:firstLine="420"/>
        <w:rPr>
          <w:rFonts w:hint="eastAsia"/>
        </w:rPr>
      </w:pPr>
      <w:r>
        <w:rPr>
          <w:rFonts w:hint="eastAsia"/>
        </w:rPr>
        <w:t>提供接待、咨询、预约、导览、投诉处理、紧急呼叫响应等一站式信息服务。</w:t>
      </w:r>
    </w:p>
    <w:p w14:paraId="3546D2E2">
      <w:pPr>
        <w:pStyle w:val="65"/>
        <w:spacing w:before="120" w:after="120"/>
        <w:rPr>
          <w:rFonts w:hint="eastAsia"/>
        </w:rPr>
      </w:pPr>
      <w:r>
        <w:rPr>
          <w:rFonts w:hint="eastAsia"/>
        </w:rPr>
        <w:t>设施</w:t>
      </w:r>
    </w:p>
    <w:p w14:paraId="24D07716">
      <w:pPr>
        <w:pStyle w:val="56"/>
        <w:ind w:firstLine="420"/>
        <w:rPr>
          <w:rFonts w:hint="eastAsia"/>
        </w:rPr>
      </w:pPr>
      <w:r>
        <w:rPr>
          <w:rFonts w:hint="eastAsia"/>
        </w:rPr>
        <w:t>应设置醒目的服务台，配备电脑、打印机、电话等办公设备及信息发布屏。应部署智能安防监控、客流监测等系统。公共区域应实现无线网络覆盖。</w:t>
      </w:r>
    </w:p>
    <w:p w14:paraId="35D416A9">
      <w:pPr>
        <w:pStyle w:val="104"/>
        <w:spacing w:before="240" w:after="240"/>
        <w:rPr>
          <w:rFonts w:hint="eastAsia"/>
        </w:rPr>
      </w:pPr>
      <w:r>
        <w:rPr>
          <w:rFonts w:hint="eastAsia"/>
        </w:rPr>
        <w:t>服务内容与质量要求</w:t>
      </w:r>
    </w:p>
    <w:p w14:paraId="7D3BFE66">
      <w:pPr>
        <w:pStyle w:val="105"/>
        <w:spacing w:before="120" w:after="120"/>
        <w:rPr>
          <w:rFonts w:hint="eastAsia"/>
        </w:rPr>
      </w:pPr>
      <w:r>
        <w:rPr>
          <w:rFonts w:hint="eastAsia"/>
        </w:rPr>
        <w:t>基础保障服务</w:t>
      </w:r>
    </w:p>
    <w:p w14:paraId="57C0C7DB">
      <w:pPr>
        <w:pStyle w:val="56"/>
        <w:ind w:firstLine="420"/>
        <w:rPr>
          <w:rFonts w:hint="eastAsia"/>
        </w:rPr>
      </w:pPr>
      <w:r>
        <w:rPr>
          <w:rFonts w:hint="eastAsia"/>
        </w:rPr>
        <w:t>主要为本地老年人提供基础养老服务，质量要求可参照GB/T 37276。</w:t>
      </w:r>
    </w:p>
    <w:p w14:paraId="7FF7E18A">
      <w:pPr>
        <w:pStyle w:val="65"/>
        <w:spacing w:before="120" w:after="120"/>
      </w:pPr>
      <w:r>
        <w:rPr>
          <w:rFonts w:hint="eastAsia"/>
        </w:rPr>
        <w:t>助餐服务</w:t>
      </w:r>
    </w:p>
    <w:p w14:paraId="3DF15A7F">
      <w:pPr>
        <w:pStyle w:val="56"/>
        <w:ind w:firstLine="420"/>
        <w:rPr>
          <w:rFonts w:hint="eastAsia"/>
        </w:rPr>
      </w:pPr>
      <w:r>
        <w:rPr>
          <w:rFonts w:hint="eastAsia"/>
        </w:rPr>
        <w:t xml:space="preserve"> 提供符合老年营养需求的集中用餐或送餐服务，每周食谱应公示并定期调整。送餐时效应有承诺。</w:t>
      </w:r>
    </w:p>
    <w:p w14:paraId="5BAEDFC0">
      <w:pPr>
        <w:pStyle w:val="65"/>
        <w:spacing w:before="120" w:after="120"/>
      </w:pPr>
      <w:r>
        <w:rPr>
          <w:rFonts w:hint="eastAsia"/>
        </w:rPr>
        <w:t>助洁与助浴服务</w:t>
      </w:r>
    </w:p>
    <w:p w14:paraId="206E2D37">
      <w:pPr>
        <w:pStyle w:val="56"/>
        <w:ind w:firstLine="420"/>
        <w:rPr>
          <w:rFonts w:hint="eastAsia"/>
        </w:rPr>
      </w:pPr>
      <w:r>
        <w:rPr>
          <w:rFonts w:hint="eastAsia"/>
        </w:rPr>
        <w:t>提供居室清洁、个人衣物洗涤、协助淋浴或擦浴等服务。助浴时应确保水温适宜、地面防滑、有专人看护。</w:t>
      </w:r>
    </w:p>
    <w:p w14:paraId="6015BFAE">
      <w:pPr>
        <w:pStyle w:val="65"/>
        <w:spacing w:before="120" w:after="120"/>
      </w:pPr>
      <w:r>
        <w:rPr>
          <w:rFonts w:hint="eastAsia"/>
        </w:rPr>
        <w:t>健康管理服务</w:t>
      </w:r>
    </w:p>
    <w:p w14:paraId="68721AE1">
      <w:pPr>
        <w:pStyle w:val="56"/>
        <w:ind w:firstLine="420"/>
        <w:rPr>
          <w:rFonts w:hint="eastAsia"/>
        </w:rPr>
      </w:pPr>
      <w:r>
        <w:rPr>
          <w:rFonts w:hint="eastAsia"/>
        </w:rPr>
        <w:t>为自愿接受的老年人建立健康档案，定期监测血压、血糖等关键指标，进行慢病随访与生活方式指导，符合WS/T 484要求。</w:t>
      </w:r>
    </w:p>
    <w:p w14:paraId="02C33683">
      <w:pPr>
        <w:pStyle w:val="105"/>
        <w:spacing w:before="120" w:after="120"/>
        <w:rPr>
          <w:rFonts w:hint="eastAsia"/>
        </w:rPr>
      </w:pPr>
      <w:r>
        <w:rPr>
          <w:rFonts w:hint="eastAsia"/>
        </w:rPr>
        <w:t>特色康养服务</w:t>
      </w:r>
    </w:p>
    <w:p w14:paraId="784DC339">
      <w:pPr>
        <w:pStyle w:val="56"/>
        <w:ind w:firstLine="420"/>
        <w:rPr>
          <w:rFonts w:hint="eastAsia"/>
        </w:rPr>
      </w:pPr>
      <w:r>
        <w:rPr>
          <w:rFonts w:hint="eastAsia"/>
        </w:rPr>
        <w:t>面向所有服务对象，提供具有地方特色的康养体验项目。</w:t>
      </w:r>
    </w:p>
    <w:p w14:paraId="2F5041E2">
      <w:pPr>
        <w:pStyle w:val="65"/>
        <w:spacing w:before="120" w:after="120"/>
      </w:pPr>
      <w:r>
        <w:rPr>
          <w:rFonts w:hint="eastAsia"/>
        </w:rPr>
        <w:t>中医保健服务</w:t>
      </w:r>
    </w:p>
    <w:p w14:paraId="231C282E">
      <w:pPr>
        <w:pStyle w:val="56"/>
        <w:ind w:firstLine="420"/>
        <w:rPr>
          <w:rFonts w:hint="eastAsia"/>
        </w:rPr>
      </w:pPr>
      <w:r>
        <w:rPr>
          <w:rFonts w:hint="eastAsia"/>
        </w:rPr>
        <w:t>由具备相应资质的医师或技师提供针灸、推拿、足疗、膏方调理等服务，操作前应进行风险评估与告知。</w:t>
      </w:r>
    </w:p>
    <w:p w14:paraId="20EE8EBA">
      <w:pPr>
        <w:pStyle w:val="65"/>
        <w:spacing w:before="120" w:after="120"/>
      </w:pPr>
      <w:r>
        <w:rPr>
          <w:rFonts w:hint="eastAsia"/>
        </w:rPr>
        <w:t>自然疗愈与农耕体验</w:t>
      </w:r>
    </w:p>
    <w:p w14:paraId="26B7925D">
      <w:pPr>
        <w:pStyle w:val="56"/>
        <w:ind w:firstLine="420"/>
        <w:rPr>
          <w:rFonts w:hint="eastAsia"/>
        </w:rPr>
      </w:pPr>
      <w:r>
        <w:rPr>
          <w:rFonts w:hint="eastAsia"/>
        </w:rPr>
        <w:t>组织开展森林漫步、药园研学、蔬果采摘、手工制作等体验活动，活动前应有安全须知讲解和基本物资保障。</w:t>
      </w:r>
    </w:p>
    <w:p w14:paraId="13FE89D6">
      <w:pPr>
        <w:pStyle w:val="105"/>
        <w:spacing w:before="120" w:after="120"/>
        <w:rPr>
          <w:rFonts w:hint="eastAsia"/>
        </w:rPr>
      </w:pPr>
      <w:r>
        <w:rPr>
          <w:rFonts w:hint="eastAsia"/>
        </w:rPr>
        <w:t>旅居对接与文化共享服务</w:t>
      </w:r>
    </w:p>
    <w:p w14:paraId="48F0227D">
      <w:pPr>
        <w:pStyle w:val="65"/>
        <w:spacing w:before="120" w:after="120"/>
      </w:pPr>
      <w:r>
        <w:rPr>
          <w:rFonts w:hint="eastAsia"/>
        </w:rPr>
        <w:t>旅居对接服务</w:t>
      </w:r>
    </w:p>
    <w:p w14:paraId="35180330">
      <w:pPr>
        <w:pStyle w:val="56"/>
        <w:ind w:firstLine="420"/>
        <w:rPr>
          <w:rFonts w:hint="eastAsia"/>
        </w:rPr>
      </w:pPr>
      <w:r>
        <w:rPr>
          <w:rFonts w:hint="eastAsia"/>
        </w:rPr>
        <w:t>为旅居者提供周边旅游资源介绍、特色民宿预订、在地体验活动报名、交通接驳咨询等准确、及时的信息服务。投诉和建议应在24小时内响应。</w:t>
      </w:r>
    </w:p>
    <w:p w14:paraId="75F97F8F">
      <w:pPr>
        <w:pStyle w:val="65"/>
        <w:spacing w:before="120" w:after="120"/>
      </w:pPr>
      <w:r>
        <w:rPr>
          <w:rFonts w:hint="eastAsia"/>
        </w:rPr>
        <w:t>文化共享服务</w:t>
      </w:r>
    </w:p>
    <w:p w14:paraId="7E26A26B">
      <w:pPr>
        <w:pStyle w:val="56"/>
        <w:ind w:firstLine="420"/>
        <w:rPr>
          <w:rFonts w:hint="eastAsia"/>
        </w:rPr>
      </w:pPr>
      <w:r>
        <w:rPr>
          <w:rFonts w:hint="eastAsia"/>
        </w:rPr>
        <w:t>定期策划并组织本地居民与旅居者共同参与的民俗节庆、手工艺学习、乡村音乐会、主题沙龙等活动，促进文化交流与社区融合。</w:t>
      </w:r>
    </w:p>
    <w:p w14:paraId="75821679">
      <w:pPr>
        <w:pStyle w:val="104"/>
        <w:spacing w:before="240" w:after="240"/>
        <w:rPr>
          <w:rFonts w:hint="eastAsia"/>
        </w:rPr>
      </w:pPr>
      <w:r>
        <w:rPr>
          <w:rFonts w:hint="eastAsia"/>
        </w:rPr>
        <w:t>运营管理要求</w:t>
      </w:r>
    </w:p>
    <w:p w14:paraId="522810B5">
      <w:pPr>
        <w:pStyle w:val="105"/>
        <w:spacing w:before="120" w:after="120"/>
        <w:rPr>
          <w:rFonts w:hint="eastAsia"/>
        </w:rPr>
      </w:pPr>
      <w:r>
        <w:rPr>
          <w:rFonts w:hint="eastAsia"/>
        </w:rPr>
        <w:t>运营模式</w:t>
      </w:r>
    </w:p>
    <w:p w14:paraId="300B928C">
      <w:pPr>
        <w:pStyle w:val="56"/>
        <w:ind w:firstLine="420"/>
        <w:rPr>
          <w:rFonts w:hint="eastAsia"/>
        </w:rPr>
      </w:pPr>
      <w:r>
        <w:rPr>
          <w:rFonts w:hint="eastAsia"/>
        </w:rPr>
        <w:t>鼓励采用“村集体提供场地设施、专业机构负责运营、多方参与监管”的委托运营模式。运营机构应具备相应的管理能力与服务经验。</w:t>
      </w:r>
    </w:p>
    <w:p w14:paraId="0EAD7AE6">
      <w:pPr>
        <w:pStyle w:val="105"/>
        <w:spacing w:before="120" w:after="120"/>
        <w:rPr>
          <w:rFonts w:hint="eastAsia"/>
        </w:rPr>
      </w:pPr>
      <w:r>
        <w:rPr>
          <w:rFonts w:hint="eastAsia"/>
        </w:rPr>
        <w:t>人员管理</w:t>
      </w:r>
    </w:p>
    <w:p w14:paraId="4D7C4748">
      <w:pPr>
        <w:pStyle w:val="65"/>
        <w:spacing w:before="120" w:after="120"/>
      </w:pPr>
      <w:r>
        <w:rPr>
          <w:rFonts w:hint="eastAsia"/>
        </w:rPr>
        <w:t>人员配置</w:t>
      </w:r>
    </w:p>
    <w:p w14:paraId="405F8F97">
      <w:pPr>
        <w:pStyle w:val="56"/>
        <w:ind w:firstLine="420"/>
        <w:rPr>
          <w:rFonts w:hint="eastAsia"/>
        </w:rPr>
      </w:pPr>
      <w:r>
        <w:rPr>
          <w:rFonts w:hint="eastAsia"/>
        </w:rPr>
        <w:t>运营团队应包含管理人员、健康指导人员、护理员（如需）、社会工作者（或志愿者管理员）、文化活动员、保安保洁员等。</w:t>
      </w:r>
    </w:p>
    <w:p w14:paraId="7B7D4337">
      <w:pPr>
        <w:pStyle w:val="65"/>
        <w:spacing w:before="120" w:after="120"/>
      </w:pPr>
      <w:r>
        <w:rPr>
          <w:rFonts w:hint="eastAsia"/>
        </w:rPr>
        <w:t>资质与培训</w:t>
      </w:r>
    </w:p>
    <w:p w14:paraId="4B565599">
      <w:pPr>
        <w:pStyle w:val="56"/>
        <w:ind w:firstLine="420"/>
        <w:rPr>
          <w:rFonts w:hint="eastAsia"/>
        </w:rPr>
      </w:pPr>
      <w:r>
        <w:rPr>
          <w:rFonts w:hint="eastAsia"/>
        </w:rPr>
        <w:t>关键岗位人员应持证上岗。所有员工每年应接受不少于24学时的岗位培训与安全教育，内容包括服务技能、应急处理、消防安全等。</w:t>
      </w:r>
    </w:p>
    <w:p w14:paraId="28692AD2">
      <w:pPr>
        <w:pStyle w:val="105"/>
        <w:spacing w:before="120" w:after="120"/>
        <w:rPr>
          <w:rFonts w:hint="eastAsia"/>
        </w:rPr>
      </w:pPr>
      <w:r>
        <w:rPr>
          <w:rFonts w:hint="eastAsia"/>
        </w:rPr>
        <w:t>财务管理</w:t>
      </w:r>
    </w:p>
    <w:p w14:paraId="3AE7A715">
      <w:pPr>
        <w:pStyle w:val="56"/>
        <w:ind w:firstLine="420"/>
        <w:rPr>
          <w:rFonts w:hint="eastAsia"/>
        </w:rPr>
      </w:pPr>
      <w:r>
        <w:rPr>
          <w:rFonts w:hint="eastAsia"/>
        </w:rPr>
        <w:t>应建立规范的财务管理制度，账目清晰。享受政府补贴的驿站，应定期公示主要收支情况，接受监督。</w:t>
      </w:r>
    </w:p>
    <w:p w14:paraId="4591AF32">
      <w:pPr>
        <w:pStyle w:val="105"/>
        <w:spacing w:before="120" w:after="120"/>
        <w:rPr>
          <w:rFonts w:hint="eastAsia"/>
        </w:rPr>
      </w:pPr>
      <w:r>
        <w:rPr>
          <w:rFonts w:hint="eastAsia"/>
        </w:rPr>
        <w:t>安全管理</w:t>
      </w:r>
    </w:p>
    <w:p w14:paraId="1F33D86C">
      <w:pPr>
        <w:pStyle w:val="65"/>
        <w:spacing w:before="120" w:after="120"/>
      </w:pPr>
      <w:r>
        <w:rPr>
          <w:rFonts w:hint="eastAsia"/>
        </w:rPr>
        <w:t>制度与预案</w:t>
      </w:r>
    </w:p>
    <w:p w14:paraId="3FE10044">
      <w:pPr>
        <w:pStyle w:val="56"/>
        <w:ind w:firstLine="420"/>
        <w:rPr>
          <w:rFonts w:hint="eastAsia"/>
        </w:rPr>
      </w:pPr>
      <w:r>
        <w:rPr>
          <w:rFonts w:hint="eastAsia"/>
        </w:rPr>
        <w:t>建立健全消防安全、食品安全、人身安全、医疗急救、突发事件应急等管理制度和应急预案。</w:t>
      </w:r>
    </w:p>
    <w:p w14:paraId="0A888FB7">
      <w:pPr>
        <w:pStyle w:val="65"/>
        <w:spacing w:before="120" w:after="120"/>
      </w:pPr>
      <w:r>
        <w:rPr>
          <w:rFonts w:hint="eastAsia"/>
        </w:rPr>
        <w:t>消防安全</w:t>
      </w:r>
    </w:p>
    <w:p w14:paraId="4576F5CA">
      <w:pPr>
        <w:pStyle w:val="56"/>
        <w:ind w:firstLine="420"/>
        <w:rPr>
          <w:rFonts w:hint="eastAsia"/>
        </w:rPr>
      </w:pPr>
      <w:r>
        <w:rPr>
          <w:rFonts w:hint="eastAsia"/>
        </w:rPr>
        <w:t>按规定配置消防器材，设置安全出口和疏散指示标志，每年至少组织2次消防演练。建筑结构安全应符合GB 50068的二级要求。</w:t>
      </w:r>
    </w:p>
    <w:p w14:paraId="77B07E1B">
      <w:pPr>
        <w:pStyle w:val="65"/>
        <w:spacing w:before="120" w:after="120"/>
      </w:pPr>
      <w:r>
        <w:rPr>
          <w:rFonts w:hint="eastAsia"/>
        </w:rPr>
        <w:t>食品安全</w:t>
      </w:r>
    </w:p>
    <w:p w14:paraId="2CCAAE63">
      <w:pPr>
        <w:pStyle w:val="56"/>
        <w:ind w:firstLine="420"/>
        <w:rPr>
          <w:rFonts w:hint="eastAsia"/>
        </w:rPr>
      </w:pPr>
      <w:r>
        <w:rPr>
          <w:rFonts w:hint="eastAsia"/>
        </w:rPr>
        <w:t>提供餐饮服务的，必须取得食品经营许可，严格执行采购索证、加工规范、餐具消毒、食品留样（不少于125克，保存48小时）制度。</w:t>
      </w:r>
    </w:p>
    <w:p w14:paraId="4D401493">
      <w:pPr>
        <w:pStyle w:val="65"/>
        <w:spacing w:before="120" w:after="120"/>
      </w:pPr>
      <w:r>
        <w:rPr>
          <w:rFonts w:hint="eastAsia"/>
        </w:rPr>
        <w:t>其他安全</w:t>
      </w:r>
    </w:p>
    <w:p w14:paraId="1699D8F8">
      <w:pPr>
        <w:pStyle w:val="56"/>
        <w:ind w:firstLine="420"/>
        <w:rPr>
          <w:rFonts w:hint="eastAsia"/>
        </w:rPr>
      </w:pPr>
      <w:r>
        <w:rPr>
          <w:rFonts w:hint="eastAsia"/>
        </w:rPr>
        <w:t>应为服务对象购买公众责任险。定期对设施设备进行安全检查与维护，消除隐患。</w:t>
      </w:r>
    </w:p>
    <w:p w14:paraId="43464987">
      <w:pPr>
        <w:pStyle w:val="105"/>
        <w:spacing w:before="120" w:after="120"/>
        <w:rPr>
          <w:rFonts w:hint="eastAsia"/>
        </w:rPr>
      </w:pPr>
      <w:r>
        <w:rPr>
          <w:rFonts w:hint="eastAsia"/>
        </w:rPr>
        <w:t>档案与信息管理</w:t>
      </w:r>
    </w:p>
    <w:p w14:paraId="5D01A7DE">
      <w:pPr>
        <w:pStyle w:val="56"/>
        <w:ind w:firstLine="420"/>
        <w:rPr>
          <w:rFonts w:hint="eastAsia"/>
        </w:rPr>
      </w:pPr>
      <w:r>
        <w:rPr>
          <w:rFonts w:hint="eastAsia"/>
        </w:rPr>
        <w:t>应建立健全服务对象档案、服务过程记录、员工档案、设备台账、安全巡查记录等档案资料，并妥善保管。保护服务对象个人隐私信息。</w:t>
      </w:r>
    </w:p>
    <w:p w14:paraId="6AEA526C">
      <w:pPr>
        <w:pStyle w:val="104"/>
        <w:spacing w:before="240" w:after="240"/>
        <w:rPr>
          <w:rFonts w:hint="eastAsia"/>
        </w:rPr>
      </w:pPr>
      <w:r>
        <w:rPr>
          <w:rFonts w:hint="eastAsia"/>
        </w:rPr>
        <w:t>智慧化建设要求</w:t>
      </w:r>
    </w:p>
    <w:p w14:paraId="5F7E3987">
      <w:pPr>
        <w:pStyle w:val="105"/>
        <w:spacing w:before="120" w:after="120"/>
        <w:rPr>
          <w:rFonts w:hint="eastAsia"/>
        </w:rPr>
      </w:pPr>
      <w:r>
        <w:rPr>
          <w:rFonts w:hint="eastAsia"/>
        </w:rPr>
        <w:t>基础设施</w:t>
      </w:r>
    </w:p>
    <w:p w14:paraId="5D508985">
      <w:pPr>
        <w:pStyle w:val="56"/>
        <w:ind w:firstLine="420"/>
        <w:rPr>
          <w:rFonts w:hint="eastAsia"/>
        </w:rPr>
      </w:pPr>
      <w:r>
        <w:rPr>
          <w:rFonts w:hint="eastAsia"/>
        </w:rPr>
        <w:t>公共区域应实现光纤宽带与无线网络（Wi-Fi）覆盖。鼓励在关键区域部署智能环境传感器（温湿度、空气质量）、智能水电表等。</w:t>
      </w:r>
    </w:p>
    <w:p w14:paraId="45592A3F">
      <w:pPr>
        <w:pStyle w:val="105"/>
        <w:spacing w:before="120" w:after="120"/>
        <w:rPr>
          <w:rFonts w:hint="eastAsia"/>
        </w:rPr>
      </w:pPr>
      <w:r>
        <w:rPr>
          <w:rFonts w:hint="eastAsia"/>
        </w:rPr>
        <w:t>平台与系统</w:t>
      </w:r>
    </w:p>
    <w:p w14:paraId="01408A21">
      <w:pPr>
        <w:pStyle w:val="56"/>
        <w:ind w:firstLine="420"/>
        <w:rPr>
          <w:rFonts w:hint="eastAsia"/>
        </w:rPr>
      </w:pPr>
      <w:r>
        <w:rPr>
          <w:rFonts w:hint="eastAsia"/>
        </w:rPr>
        <w:t>鼓励运营方建立或采用统一的数字化管理平台，具备入住登记、服务预约、健康数据管理、费用结算、智能安防联动、服务质量监督等基本功能。</w:t>
      </w:r>
    </w:p>
    <w:p w14:paraId="7BB1CBA2">
      <w:pPr>
        <w:pStyle w:val="105"/>
        <w:spacing w:before="120" w:after="120"/>
        <w:rPr>
          <w:rFonts w:hint="eastAsia"/>
        </w:rPr>
      </w:pPr>
      <w:r>
        <w:rPr>
          <w:rFonts w:hint="eastAsia"/>
        </w:rPr>
        <w:t>数据与应用</w:t>
      </w:r>
    </w:p>
    <w:p w14:paraId="7E1144AF">
      <w:pPr>
        <w:pStyle w:val="56"/>
        <w:ind w:firstLine="420"/>
        <w:rPr>
          <w:rFonts w:hint="eastAsia"/>
        </w:rPr>
      </w:pPr>
      <w:r>
        <w:rPr>
          <w:rFonts w:hint="eastAsia"/>
        </w:rPr>
        <w:t>在符合相关法律法规的前提下，依法依规收集和使用服务数据。利用数据分析优化服务排班、资源调配和风险预警，提升运营精准度与服务满意度。</w:t>
      </w:r>
    </w:p>
    <w:p w14:paraId="211C1CEF">
      <w:pPr>
        <w:pStyle w:val="104"/>
        <w:spacing w:before="240" w:after="240"/>
        <w:rPr>
          <w:rFonts w:hint="eastAsia"/>
        </w:rPr>
      </w:pPr>
      <w:r>
        <w:rPr>
          <w:rFonts w:hint="eastAsia"/>
        </w:rPr>
        <w:t>评价与持续改进</w:t>
      </w:r>
    </w:p>
    <w:p w14:paraId="68013C1B">
      <w:pPr>
        <w:pStyle w:val="105"/>
        <w:spacing w:before="120" w:after="120"/>
        <w:rPr>
          <w:rFonts w:hint="eastAsia"/>
        </w:rPr>
      </w:pPr>
      <w:r>
        <w:rPr>
          <w:rFonts w:hint="eastAsia"/>
        </w:rPr>
        <w:t>评价主体与方式</w:t>
      </w:r>
    </w:p>
    <w:p w14:paraId="0FE9DB81">
      <w:pPr>
        <w:pStyle w:val="65"/>
        <w:spacing w:before="120" w:after="120"/>
      </w:pPr>
      <w:r>
        <w:rPr>
          <w:rFonts w:hint="eastAsia"/>
        </w:rPr>
        <w:t>自我评价</w:t>
      </w:r>
    </w:p>
    <w:p w14:paraId="046EAF3C">
      <w:pPr>
        <w:pStyle w:val="56"/>
        <w:ind w:firstLine="420"/>
        <w:rPr>
          <w:rFonts w:hint="eastAsia"/>
        </w:rPr>
      </w:pPr>
      <w:r>
        <w:rPr>
          <w:rFonts w:hint="eastAsia"/>
        </w:rPr>
        <w:t>运营方应每半年至少进行一次全面自查。</w:t>
      </w:r>
    </w:p>
    <w:p w14:paraId="6DBEC1E8">
      <w:pPr>
        <w:pStyle w:val="65"/>
        <w:spacing w:before="120" w:after="120"/>
      </w:pPr>
      <w:r>
        <w:rPr>
          <w:rFonts w:hint="eastAsia"/>
        </w:rPr>
        <w:t>服务对象评价</w:t>
      </w:r>
    </w:p>
    <w:p w14:paraId="44E37C3F">
      <w:pPr>
        <w:pStyle w:val="56"/>
        <w:ind w:firstLine="420"/>
        <w:rPr>
          <w:rFonts w:hint="eastAsia"/>
        </w:rPr>
      </w:pPr>
      <w:r>
        <w:rPr>
          <w:rFonts w:hint="eastAsia"/>
        </w:rPr>
        <w:t>定期通过问卷调查、座谈会等形式，收集本地居民和旅居者对设施、服务、管理的满意度反馈。</w:t>
      </w:r>
    </w:p>
    <w:p w14:paraId="661D256B">
      <w:pPr>
        <w:pStyle w:val="65"/>
        <w:spacing w:before="120" w:after="120"/>
      </w:pPr>
      <w:r>
        <w:rPr>
          <w:rFonts w:hint="eastAsia"/>
        </w:rPr>
        <w:t>第三方评价</w:t>
      </w:r>
    </w:p>
    <w:p w14:paraId="42B3E2A7">
      <w:pPr>
        <w:pStyle w:val="56"/>
        <w:ind w:firstLine="420"/>
        <w:rPr>
          <w:rFonts w:hint="eastAsia"/>
        </w:rPr>
      </w:pPr>
      <w:r>
        <w:rPr>
          <w:rFonts w:hint="eastAsia"/>
        </w:rPr>
        <w:t>鼓励引入行业协会、专业机构等进行独立评估或星级评定。</w:t>
      </w:r>
    </w:p>
    <w:p w14:paraId="204F228B">
      <w:pPr>
        <w:pStyle w:val="105"/>
        <w:spacing w:before="120" w:after="120"/>
        <w:rPr>
          <w:rFonts w:hint="eastAsia"/>
        </w:rPr>
      </w:pPr>
      <w:r>
        <w:rPr>
          <w:rFonts w:hint="eastAsia"/>
        </w:rPr>
        <w:t>评价内容</w:t>
      </w:r>
    </w:p>
    <w:p w14:paraId="0AF9F0C0">
      <w:pPr>
        <w:pStyle w:val="56"/>
        <w:ind w:firstLine="420"/>
        <w:rPr>
          <w:rFonts w:hint="eastAsia"/>
        </w:rPr>
      </w:pPr>
      <w:r>
        <w:rPr>
          <w:rFonts w:hint="eastAsia"/>
        </w:rPr>
        <w:t>评价应涵盖设施安全性、服务规范性、管理有效性、主客共享度及社会效益。</w:t>
      </w:r>
    </w:p>
    <w:p w14:paraId="11ABB4CA">
      <w:pPr>
        <w:pStyle w:val="105"/>
        <w:spacing w:before="120" w:after="120"/>
        <w:rPr>
          <w:rFonts w:hint="eastAsia"/>
        </w:rPr>
      </w:pPr>
      <w:r>
        <w:rPr>
          <w:rFonts w:hint="eastAsia"/>
        </w:rPr>
        <w:t>持续改进</w:t>
      </w:r>
    </w:p>
    <w:p w14:paraId="09548636">
      <w:pPr>
        <w:pStyle w:val="56"/>
        <w:ind w:firstLine="420"/>
        <w:rPr>
          <w:rFonts w:hint="eastAsia" w:eastAsia="宋体"/>
          <w:lang w:eastAsia="zh-CN"/>
        </w:rPr>
      </w:pPr>
      <w:r>
        <w:rPr>
          <w:rFonts w:hint="eastAsia"/>
        </w:rPr>
        <w:t>应建立基于评价结果的持续改进机制。针对发现的问题，制定明确的改进措施、责任人和完成时限，并对改进效果进行跟踪验证，形成管理闭环</w:t>
      </w:r>
      <w:r>
        <w:rPr>
          <w:rFonts w:hint="eastAsia"/>
          <w:lang w:eastAsia="zh-CN"/>
        </w:rPr>
        <w:t>。</w:t>
      </w:r>
    </w:p>
    <w:p w14:paraId="71CCC9DC">
      <w:pPr>
        <w:rPr>
          <w:rFonts w:ascii="Times New Roman" w:hAnsi="Times New Roman"/>
          <w:sz w:val="24"/>
          <w:szCs w:val="24"/>
        </w:rPr>
      </w:pPr>
    </w:p>
    <w:p w14:paraId="07593519">
      <w:pPr>
        <w:pStyle w:val="56"/>
        <w:ind w:firstLine="420"/>
      </w:pPr>
    </w:p>
    <w:bookmarkEnd w:id="45"/>
    <w:bookmarkEnd w:id="46"/>
    <w:p w14:paraId="2DFA2B2E">
      <w:pPr>
        <w:pStyle w:val="56"/>
        <w:ind w:firstLine="0" w:firstLineChars="0"/>
        <w:jc w:val="center"/>
      </w:pPr>
      <w:bookmarkStart w:id="47" w:name="BookMark8"/>
      <w:r>
        <w:drawing>
          <wp:inline distT="0" distB="0" distL="0" distR="0">
            <wp:extent cx="1485900" cy="317500"/>
            <wp:effectExtent l="0" t="0" r="0" b="6350"/>
            <wp:docPr id="3" name="图片 3"/>
            <wp:cNvGraphicFramePr/>
            <a:graphic xmlns:a="http://schemas.openxmlformats.org/drawingml/2006/main">
              <a:graphicData uri="http://schemas.openxmlformats.org/drawingml/2006/picture">
                <pic:pic xmlns:pic="http://schemas.openxmlformats.org/drawingml/2006/picture">
                  <pic:nvPicPr>
                    <pic:cNvPr id="3" name="图片 3"/>
                    <pic:cNvPicPr/>
                  </pic:nvPicPr>
                  <pic:blipFill>
                    <a:blip r:embed="rId15"/>
                    <a:stretch>
                      <a:fillRect/>
                    </a:stretch>
                  </pic:blipFill>
                  <pic:spPr>
                    <a:xfrm>
                      <a:off x="0" y="0"/>
                      <a:ext cx="1485900" cy="317500"/>
                    </a:xfrm>
                    <a:prstGeom prst="rect">
                      <a:avLst/>
                    </a:prstGeom>
                  </pic:spPr>
                </pic:pic>
              </a:graphicData>
            </a:graphic>
          </wp:inline>
        </w:drawing>
      </w:r>
      <w:bookmarkEnd w:id="47"/>
    </w:p>
    <w:sectPr>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Arial">
    <w:panose1 w:val="020B0604020202090204"/>
    <w:charset w:val="00"/>
    <w:family w:val="swiss"/>
    <w:pitch w:val="default"/>
    <w:sig w:usb0="E0000AFF" w:usb1="00007843" w:usb2="00000001" w:usb3="00000000" w:csb0="400001BF" w:csb1="DFF70000"/>
  </w:font>
  <w:font w:name="黑体">
    <w:altName w:val="汉仪中黑KW"/>
    <w:panose1 w:val="00000000000000000000"/>
    <w:charset w:val="00"/>
    <w:family w:val="auto"/>
    <w:pitch w:val="default"/>
    <w:sig w:usb0="00000000" w:usb1="00000000" w:usb2="00000000" w:usb3="00000000" w:csb0="00000000" w:csb1="00000000"/>
  </w:font>
  <w:font w:name="等线">
    <w:altName w:val="汉仪中等线KW"/>
    <w:panose1 w:val="02010600030101010101"/>
    <w:charset w:val="86"/>
    <w:family w:val="auto"/>
    <w:pitch w:val="default"/>
    <w:sig w:usb0="00000000" w:usb1="00000000" w:usb2="00000016" w:usb3="00000000" w:csb0="0004000F" w:csb1="00000000"/>
  </w:font>
  <w:font w:name="DengXian">
    <w:altName w:val="汉仪中等线KW"/>
    <w:panose1 w:val="00000000000000000000"/>
    <w:charset w:val="00"/>
    <w:family w:val="auto"/>
    <w:pitch w:val="default"/>
    <w:sig w:usb0="00000000" w:usb1="00000000" w:usb2="00000000" w:usb3="00000000" w:csb0="00000000" w:csb1="00000000"/>
  </w:font>
  <w:font w:name="等线 Light">
    <w:altName w:val="汉仪中等线KW"/>
    <w:panose1 w:val="02010600030101010101"/>
    <w:charset w:val="86"/>
    <w:family w:val="auto"/>
    <w:pitch w:val="default"/>
    <w:sig w:usb0="00000000" w:usb1="00000000" w:usb2="00000016" w:usb3="00000000" w:csb0="0004000F" w:csb1="00000000"/>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儷宋 Pro">
    <w:panose1 w:val="02020300000000000000"/>
    <w:charset w:val="88"/>
    <w:family w:val="auto"/>
    <w:pitch w:val="default"/>
    <w:sig w:usb0="80000001" w:usb1="28091800" w:usb2="00000016" w:usb3="00000000" w:csb0="00100000" w:csb1="00000000"/>
  </w:font>
  <w:font w:name="冬青黑体简体中文">
    <w:panose1 w:val="020B0300000000000000"/>
    <w:charset w:val="86"/>
    <w:family w:val="auto"/>
    <w:pitch w:val="default"/>
    <w:sig w:usb0="A00002BF" w:usb1="1ACF7CFA" w:usb2="00000016" w:usb3="00000000" w:csb0="00060007" w:csb1="00000000"/>
  </w:font>
  <w:font w:name="Kingsoft Sign">
    <w:panose1 w:val="05050102010706020507"/>
    <w:charset w:val="00"/>
    <w:family w:val="auto"/>
    <w:pitch w:val="default"/>
    <w:sig w:usb0="00000000" w:usb1="10000000" w:usb2="00000000" w:usb3="00000000" w:csb0="00000001" w:csb1="00000000"/>
  </w:font>
  <w:font w:name="等线 Light">
    <w:altName w:val="汉仪中等线KW"/>
    <w:panose1 w:val="00000000000000000000"/>
    <w:charset w:val="00"/>
    <w:family w:val="auto"/>
    <w:pitch w:val="default"/>
    <w:sig w:usb0="00000000" w:usb1="00000000" w:usb2="00000000" w:usb3="00000000" w:csb0="00000000" w:csb1="00000000"/>
  </w:font>
  <w:font w:name="汉仪中等线KW">
    <w:panose1 w:val="01010104010101010101"/>
    <w:charset w:val="86"/>
    <w:family w:val="auto"/>
    <w:pitch w:val="default"/>
    <w:sig w:usb0="800002BF" w:usb1="004F7CFA" w:usb2="00000000" w:usb3="00000000" w:csb0="00040001" w:csb1="00000000"/>
  </w:font>
  <w:font w:name="等线">
    <w:altName w:val="汉仪中等线KW"/>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A69383">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78B763">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3ABB2D">
    <w:pPr>
      <w:pStyle w:val="52"/>
    </w:pPr>
    <w:r>
      <w:fldChar w:fldCharType="begin"/>
    </w:r>
    <w:r>
      <w:instrText xml:space="preserve">PAGE   \* MERGEFORMAT</w:instrText>
    </w:r>
    <w:r>
      <w:fldChar w:fldCharType="separate"/>
    </w:r>
    <w:r>
      <w:rPr>
        <w:lang w:val="zh-CN"/>
      </w:rPr>
      <w:t>6</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7A66FE">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287B0">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0A57CF">
    <w:pPr>
      <w:pStyle w:val="61"/>
    </w:pPr>
    <w:r>
      <w:fldChar w:fldCharType="begin"/>
    </w:r>
    <w:r>
      <w:instrText xml:space="preserve"> STYLEREF  标准文件_文件编号  \* MERGEFORMAT </w:instrText>
    </w:r>
    <w:r>
      <w:fldChar w:fldCharType="separate"/>
    </w:r>
    <w:r>
      <w:t>T/BZJK XX—XXXX</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90DBB5">
    <w:pPr>
      <w:pStyle w:val="18"/>
      <w:jc w:val="right"/>
    </w:pPr>
    <w:r>
      <w:fldChar w:fldCharType="begin"/>
    </w:r>
    <w:r>
      <w:instrText xml:space="preserve"> STYLEREF  标准文件_文件编号  \* MERGEFORMAT </w:instrText>
    </w:r>
    <w:r>
      <w:fldChar w:fldCharType="separate"/>
    </w:r>
    <w:r>
      <w:t>T/BZJK 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DBF583A"/>
    <w:multiLevelType w:val="multilevel"/>
    <w:tmpl w:val="1DBF583A"/>
    <w:lvl w:ilvl="0" w:tentative="0">
      <w:start w:val="1"/>
      <w:numFmt w:val="decimal"/>
      <w:pStyle w:val="233"/>
      <w:suff w:val="nothing"/>
      <w:lvlText w:val="注%1："/>
      <w:lvlJc w:val="left"/>
      <w:pPr>
        <w:ind w:left="811" w:hanging="448"/>
      </w:pPr>
      <w:rPr>
        <w:rFonts w:hint="eastAsia" w:ascii="黑体" w:eastAsia="黑体" w:cs="Times New Roman"/>
        <w:b w:val="0"/>
        <w:i w:val="0"/>
        <w:sz w:val="18"/>
        <w:szCs w:val="18"/>
        <w:vertAlign w:val="baseline"/>
      </w:rPr>
    </w:lvl>
    <w:lvl w:ilvl="1" w:tentative="0">
      <w:start w:val="1"/>
      <w:numFmt w:val="lowerLetter"/>
      <w:lvlText w:val="%2)"/>
      <w:lvlJc w:val="left"/>
      <w:pPr>
        <w:tabs>
          <w:tab w:val="left" w:pos="180"/>
        </w:tabs>
        <w:ind w:left="1172" w:hanging="629"/>
      </w:pPr>
      <w:rPr>
        <w:rFonts w:hint="eastAsia" w:cs="Times New Roman"/>
        <w:vertAlign w:val="baseline"/>
      </w:rPr>
    </w:lvl>
    <w:lvl w:ilvl="2" w:tentative="0">
      <w:start w:val="1"/>
      <w:numFmt w:val="lowerRoman"/>
      <w:lvlText w:val="%3."/>
      <w:lvlJc w:val="right"/>
      <w:pPr>
        <w:tabs>
          <w:tab w:val="left" w:pos="180"/>
        </w:tabs>
        <w:ind w:left="1172" w:hanging="629"/>
      </w:pPr>
      <w:rPr>
        <w:rFonts w:hint="eastAsia" w:cs="Times New Roman"/>
        <w:vertAlign w:val="baseline"/>
      </w:rPr>
    </w:lvl>
    <w:lvl w:ilvl="3" w:tentative="0">
      <w:start w:val="1"/>
      <w:numFmt w:val="decimal"/>
      <w:lvlText w:val="%4."/>
      <w:lvlJc w:val="left"/>
      <w:pPr>
        <w:tabs>
          <w:tab w:val="left" w:pos="180"/>
        </w:tabs>
        <w:ind w:left="1172" w:hanging="629"/>
      </w:pPr>
      <w:rPr>
        <w:rFonts w:hint="eastAsia" w:cs="Times New Roman"/>
        <w:vertAlign w:val="baseline"/>
      </w:rPr>
    </w:lvl>
    <w:lvl w:ilvl="4" w:tentative="0">
      <w:start w:val="1"/>
      <w:numFmt w:val="lowerLetter"/>
      <w:lvlText w:val="%5)"/>
      <w:lvlJc w:val="left"/>
      <w:pPr>
        <w:tabs>
          <w:tab w:val="left" w:pos="180"/>
        </w:tabs>
        <w:ind w:left="1172" w:hanging="629"/>
      </w:pPr>
      <w:rPr>
        <w:rFonts w:hint="eastAsia" w:cs="Times New Roman"/>
        <w:vertAlign w:val="baseline"/>
      </w:rPr>
    </w:lvl>
    <w:lvl w:ilvl="5" w:tentative="0">
      <w:start w:val="1"/>
      <w:numFmt w:val="lowerRoman"/>
      <w:lvlText w:val="%6."/>
      <w:lvlJc w:val="right"/>
      <w:pPr>
        <w:tabs>
          <w:tab w:val="left" w:pos="180"/>
        </w:tabs>
        <w:ind w:left="1172" w:hanging="629"/>
      </w:pPr>
      <w:rPr>
        <w:rFonts w:hint="eastAsia" w:cs="Times New Roman"/>
        <w:vertAlign w:val="baseline"/>
      </w:rPr>
    </w:lvl>
    <w:lvl w:ilvl="6" w:tentative="0">
      <w:start w:val="1"/>
      <w:numFmt w:val="decimal"/>
      <w:lvlText w:val="%7."/>
      <w:lvlJc w:val="left"/>
      <w:pPr>
        <w:tabs>
          <w:tab w:val="left" w:pos="180"/>
        </w:tabs>
        <w:ind w:left="1172" w:hanging="629"/>
      </w:pPr>
      <w:rPr>
        <w:rFonts w:hint="eastAsia" w:cs="Times New Roman"/>
        <w:vertAlign w:val="baseline"/>
      </w:rPr>
    </w:lvl>
    <w:lvl w:ilvl="7" w:tentative="0">
      <w:start w:val="1"/>
      <w:numFmt w:val="lowerLetter"/>
      <w:lvlText w:val="%8)"/>
      <w:lvlJc w:val="left"/>
      <w:pPr>
        <w:tabs>
          <w:tab w:val="left" w:pos="180"/>
        </w:tabs>
        <w:ind w:left="1172" w:hanging="629"/>
      </w:pPr>
      <w:rPr>
        <w:rFonts w:hint="eastAsia" w:cs="Times New Roman"/>
        <w:vertAlign w:val="baseline"/>
      </w:rPr>
    </w:lvl>
    <w:lvl w:ilvl="8" w:tentative="0">
      <w:start w:val="1"/>
      <w:numFmt w:val="lowerRoman"/>
      <w:lvlText w:val="%9."/>
      <w:lvlJc w:val="right"/>
      <w:pPr>
        <w:tabs>
          <w:tab w:val="left" w:pos="180"/>
        </w:tabs>
        <w:ind w:left="1172" w:hanging="629"/>
      </w:pPr>
      <w:rPr>
        <w:rFonts w:hint="eastAsia" w:cs="Times New Roman"/>
        <w:vertAlign w:val="baseline"/>
      </w:rPr>
    </w:lvl>
  </w:abstractNum>
  <w:abstractNum w:abstractNumId="10">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1">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2">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3">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4">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5">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6">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7">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8">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9">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2">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3">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4">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5">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6">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9">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0">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1">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8"/>
  </w:num>
  <w:num w:numId="3">
    <w:abstractNumId w:val="5"/>
  </w:num>
  <w:num w:numId="4">
    <w:abstractNumId w:val="24"/>
  </w:num>
  <w:num w:numId="5">
    <w:abstractNumId w:val="19"/>
  </w:num>
  <w:num w:numId="6">
    <w:abstractNumId w:val="14"/>
  </w:num>
  <w:num w:numId="7">
    <w:abstractNumId w:val="8"/>
  </w:num>
  <w:num w:numId="8">
    <w:abstractNumId w:val="3"/>
  </w:num>
  <w:num w:numId="9">
    <w:abstractNumId w:val="10"/>
  </w:num>
  <w:num w:numId="10">
    <w:abstractNumId w:val="17"/>
  </w:num>
  <w:num w:numId="11">
    <w:abstractNumId w:val="26"/>
  </w:num>
  <w:num w:numId="12">
    <w:abstractNumId w:val="12"/>
  </w:num>
  <w:num w:numId="13">
    <w:abstractNumId w:val="13"/>
  </w:num>
  <w:num w:numId="14">
    <w:abstractNumId w:val="7"/>
  </w:num>
  <w:num w:numId="15">
    <w:abstractNumId w:val="20"/>
  </w:num>
  <w:num w:numId="16">
    <w:abstractNumId w:val="22"/>
  </w:num>
  <w:num w:numId="17">
    <w:abstractNumId w:val="18"/>
  </w:num>
  <w:num w:numId="18">
    <w:abstractNumId w:val="30"/>
  </w:num>
  <w:num w:numId="19">
    <w:abstractNumId w:val="16"/>
  </w:num>
  <w:num w:numId="20">
    <w:abstractNumId w:val="1"/>
  </w:num>
  <w:num w:numId="21">
    <w:abstractNumId w:val="11"/>
  </w:num>
  <w:num w:numId="22">
    <w:abstractNumId w:val="31"/>
  </w:num>
  <w:num w:numId="23">
    <w:abstractNumId w:val="21"/>
  </w:num>
  <w:num w:numId="24">
    <w:abstractNumId w:val="6"/>
  </w:num>
  <w:num w:numId="25">
    <w:abstractNumId w:val="27"/>
  </w:num>
  <w:num w:numId="26">
    <w:abstractNumId w:val="29"/>
  </w:num>
  <w:num w:numId="27">
    <w:abstractNumId w:val="2"/>
  </w:num>
  <w:num w:numId="28">
    <w:abstractNumId w:val="4"/>
  </w:num>
  <w:num w:numId="29">
    <w:abstractNumId w:val="15"/>
  </w:num>
  <w:num w:numId="30">
    <w:abstractNumId w:val="25"/>
  </w:num>
  <w:num w:numId="31">
    <w:abstractNumId w:val="23"/>
  </w:num>
  <w:num w:numId="3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94"/>
  <w:bordersDoNotSurroundHeader w:val="1"/>
  <w:bordersDoNotSurroundFooter w:val="1"/>
  <w:attachedTemplate r:id="rId1"/>
  <w:documentProtection w:edit="forms" w:enforcement="1" w:cryptProviderType="rsaFull" w:cryptAlgorithmClass="hash" w:cryptAlgorithmType="typeAny" w:cryptAlgorithmSid="4" w:cryptSpinCount="100000" w:hash="Uoy3zvCP32lV67YX/ByktrIlF1U=" w:salt="A9RyXrmIjvwc/ND4T/sKiA=="/>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69C1"/>
    <w:rsid w:val="0000040A"/>
    <w:rsid w:val="00000A94"/>
    <w:rsid w:val="00001972"/>
    <w:rsid w:val="00001D9A"/>
    <w:rsid w:val="00007B3A"/>
    <w:rsid w:val="000107E0"/>
    <w:rsid w:val="00011FDE"/>
    <w:rsid w:val="00012FFD"/>
    <w:rsid w:val="00014162"/>
    <w:rsid w:val="00014340"/>
    <w:rsid w:val="00016A9C"/>
    <w:rsid w:val="00016CD1"/>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1F2D"/>
    <w:rsid w:val="000E3D5A"/>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2983"/>
    <w:rsid w:val="001852C9"/>
    <w:rsid w:val="00187A0B"/>
    <w:rsid w:val="00190087"/>
    <w:rsid w:val="001913C4"/>
    <w:rsid w:val="0019348F"/>
    <w:rsid w:val="00193A07"/>
    <w:rsid w:val="00194C95"/>
    <w:rsid w:val="00195C34"/>
    <w:rsid w:val="00196EF5"/>
    <w:rsid w:val="001A04AB"/>
    <w:rsid w:val="001A1A53"/>
    <w:rsid w:val="001A234A"/>
    <w:rsid w:val="001A4CF3"/>
    <w:rsid w:val="001A6696"/>
    <w:rsid w:val="001B06E8"/>
    <w:rsid w:val="001B2D1B"/>
    <w:rsid w:val="001B71D0"/>
    <w:rsid w:val="001B71EE"/>
    <w:rsid w:val="001C04A8"/>
    <w:rsid w:val="001C2A6E"/>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4F27"/>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2FBC"/>
    <w:rsid w:val="00324D13"/>
    <w:rsid w:val="00324EDD"/>
    <w:rsid w:val="003331E4"/>
    <w:rsid w:val="00336C64"/>
    <w:rsid w:val="00337162"/>
    <w:rsid w:val="003402F0"/>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5E63"/>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3802"/>
    <w:rsid w:val="00404869"/>
    <w:rsid w:val="00405884"/>
    <w:rsid w:val="00407D39"/>
    <w:rsid w:val="0041477A"/>
    <w:rsid w:val="004167A3"/>
    <w:rsid w:val="00423371"/>
    <w:rsid w:val="00432DAA"/>
    <w:rsid w:val="00434305"/>
    <w:rsid w:val="00435DF7"/>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2F86"/>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90F"/>
    <w:rsid w:val="004E1C0A"/>
    <w:rsid w:val="004E1D2D"/>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2A9"/>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0AC8"/>
    <w:rsid w:val="00551F6F"/>
    <w:rsid w:val="00555044"/>
    <w:rsid w:val="00561475"/>
    <w:rsid w:val="00562308"/>
    <w:rsid w:val="0056487B"/>
    <w:rsid w:val="0056493D"/>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A07AA"/>
    <w:rsid w:val="006A25E5"/>
    <w:rsid w:val="006A2B46"/>
    <w:rsid w:val="006A336D"/>
    <w:rsid w:val="006A37B9"/>
    <w:rsid w:val="006B2672"/>
    <w:rsid w:val="006B54BF"/>
    <w:rsid w:val="006B5F44"/>
    <w:rsid w:val="006B5F90"/>
    <w:rsid w:val="006B62E4"/>
    <w:rsid w:val="006C1BBA"/>
    <w:rsid w:val="006C2079"/>
    <w:rsid w:val="006C4082"/>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464D"/>
    <w:rsid w:val="00707669"/>
    <w:rsid w:val="00711CBA"/>
    <w:rsid w:val="00711FB5"/>
    <w:rsid w:val="00712A01"/>
    <w:rsid w:val="00714F58"/>
    <w:rsid w:val="00722FBF"/>
    <w:rsid w:val="00722FC2"/>
    <w:rsid w:val="00724E1B"/>
    <w:rsid w:val="00725949"/>
    <w:rsid w:val="00727FA2"/>
    <w:rsid w:val="007322D9"/>
    <w:rsid w:val="00732BC0"/>
    <w:rsid w:val="0073575C"/>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2E36"/>
    <w:rsid w:val="007B5A3D"/>
    <w:rsid w:val="007B5B95"/>
    <w:rsid w:val="007B6032"/>
    <w:rsid w:val="007B68EA"/>
    <w:rsid w:val="007B7453"/>
    <w:rsid w:val="007C2D89"/>
    <w:rsid w:val="007C4593"/>
    <w:rsid w:val="007C5309"/>
    <w:rsid w:val="007C6069"/>
    <w:rsid w:val="007D06C4"/>
    <w:rsid w:val="007D1352"/>
    <w:rsid w:val="007D2508"/>
    <w:rsid w:val="007D3451"/>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3FC6"/>
    <w:rsid w:val="00825138"/>
    <w:rsid w:val="008269DD"/>
    <w:rsid w:val="00830621"/>
    <w:rsid w:val="0083348C"/>
    <w:rsid w:val="008373D3"/>
    <w:rsid w:val="00840617"/>
    <w:rsid w:val="00840F84"/>
    <w:rsid w:val="00842A47"/>
    <w:rsid w:val="00843C13"/>
    <w:rsid w:val="00843DEF"/>
    <w:rsid w:val="008454F8"/>
    <w:rsid w:val="0085173A"/>
    <w:rsid w:val="00852647"/>
    <w:rsid w:val="008603CE"/>
    <w:rsid w:val="008620FC"/>
    <w:rsid w:val="008627A5"/>
    <w:rsid w:val="00863E05"/>
    <w:rsid w:val="00865ACA"/>
    <w:rsid w:val="00865D28"/>
    <w:rsid w:val="00865F85"/>
    <w:rsid w:val="00867C10"/>
    <w:rsid w:val="00870439"/>
    <w:rsid w:val="00870DA1"/>
    <w:rsid w:val="00872FD5"/>
    <w:rsid w:val="00883C53"/>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1B3A"/>
    <w:rsid w:val="008A1FF0"/>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E76D3"/>
    <w:rsid w:val="009F03B3"/>
    <w:rsid w:val="00A0096C"/>
    <w:rsid w:val="00A01757"/>
    <w:rsid w:val="00A028C0"/>
    <w:rsid w:val="00A02BAE"/>
    <w:rsid w:val="00A0667C"/>
    <w:rsid w:val="00A069C1"/>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294F"/>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4B6"/>
    <w:rsid w:val="00B31FB1"/>
    <w:rsid w:val="00B33952"/>
    <w:rsid w:val="00B33C5E"/>
    <w:rsid w:val="00B342F4"/>
    <w:rsid w:val="00B34369"/>
    <w:rsid w:val="00B34DC2"/>
    <w:rsid w:val="00B36A0C"/>
    <w:rsid w:val="00B378E5"/>
    <w:rsid w:val="00B4346D"/>
    <w:rsid w:val="00B440F4"/>
    <w:rsid w:val="00B4452D"/>
    <w:rsid w:val="00B447A5"/>
    <w:rsid w:val="00B4654C"/>
    <w:rsid w:val="00B47293"/>
    <w:rsid w:val="00B50E50"/>
    <w:rsid w:val="00B52120"/>
    <w:rsid w:val="00B54ABC"/>
    <w:rsid w:val="00B56FBE"/>
    <w:rsid w:val="00B60ACF"/>
    <w:rsid w:val="00B62B58"/>
    <w:rsid w:val="00B63594"/>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4950"/>
    <w:rsid w:val="00BC5DC7"/>
    <w:rsid w:val="00BC6B8B"/>
    <w:rsid w:val="00BC73D8"/>
    <w:rsid w:val="00BD52D7"/>
    <w:rsid w:val="00BD5AD2"/>
    <w:rsid w:val="00BE0FB3"/>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76D"/>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9DB"/>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3A6F"/>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052B"/>
    <w:rsid w:val="00E01138"/>
    <w:rsid w:val="00E02DFB"/>
    <w:rsid w:val="00E030F9"/>
    <w:rsid w:val="00E0311A"/>
    <w:rsid w:val="00E03138"/>
    <w:rsid w:val="00E06404"/>
    <w:rsid w:val="00E11A85"/>
    <w:rsid w:val="00E11C21"/>
    <w:rsid w:val="00E12495"/>
    <w:rsid w:val="00E12A31"/>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FF19B8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semiHidden="0" w:name="toc 3"/>
    <w:lsdException w:uiPriority="39" w:semiHidden="0" w:name="toc 4"/>
    <w:lsdException w:uiPriority="39" w:semiHidden="0" w:name="toc 5"/>
    <w:lsdException w:uiPriority="39" w:semiHidden="0" w:name="toc 6"/>
    <w:lsdException w:uiPriority="39" w:semiHidden="0" w:name="toc 7"/>
    <w:lsdException w:uiPriority="0" w:name="toc 8"/>
    <w:lsdException w:uiPriority="0" w:name="toc 9"/>
    <w:lsdException w:unhideWhenUsed="0" w:uiPriority="0" w:semiHidden="0" w:name="Normal Indent"/>
    <w:lsdException w:unhideWhenUsed="0" w:uiPriority="0"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35" w:name="caption"/>
    <w:lsdException w:unhideWhenUsed="0" w:uiPriority="0" w:name="table of figures"/>
    <w:lsdException w:uiPriority="99" w:name="envelope address"/>
    <w:lsdException w:uiPriority="99" w:name="envelope return"/>
    <w:lsdException w:unhideWhenUsed="0" w:uiPriority="0"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uiPriority w:val="1"/>
  </w:style>
  <w:style w:type="table" w:default="1" w:styleId="26">
    <w:name w:val="Normal Table"/>
    <w:semiHidden/>
    <w:unhideWhenUsed/>
    <w:uiPriority w:val="99"/>
    <w:tblPr>
      <w:tblCellMar>
        <w:top w:w="0" w:type="dxa"/>
        <w:left w:w="108" w:type="dxa"/>
        <w:bottom w:w="0" w:type="dxa"/>
        <w:right w:w="108" w:type="dxa"/>
      </w:tblCellMar>
    </w:tblPr>
  </w:style>
  <w:style w:type="paragraph" w:styleId="11">
    <w:name w:val="toc 7"/>
    <w:basedOn w:val="1"/>
    <w:next w:val="1"/>
    <w:autoRedefine/>
    <w:unhideWhenUsed/>
    <w:uiPriority w:val="39"/>
    <w:pPr>
      <w:tabs>
        <w:tab w:val="right" w:leader="dot" w:pos="9344"/>
      </w:tabs>
      <w:spacing w:line="300" w:lineRule="exact"/>
      <w:ind w:left="1259"/>
    </w:pPr>
    <w:rPr>
      <w:rFonts w:ascii="宋体"/>
    </w:rPr>
  </w:style>
  <w:style w:type="paragraph" w:styleId="12">
    <w:name w:val="Normal Indent"/>
    <w:basedOn w:val="1"/>
    <w:uiPriority w:val="0"/>
    <w:pPr>
      <w:ind w:firstLine="420"/>
    </w:pPr>
  </w:style>
  <w:style w:type="paragraph" w:styleId="13">
    <w:name w:val="Body Text"/>
    <w:basedOn w:val="1"/>
    <w:link w:val="86"/>
    <w:uiPriority w:val="0"/>
    <w:pPr>
      <w:spacing w:after="120"/>
    </w:pPr>
  </w:style>
  <w:style w:type="paragraph" w:styleId="14">
    <w:name w:val="toc 5"/>
    <w:basedOn w:val="1"/>
    <w:next w:val="1"/>
    <w:autoRedefine/>
    <w:unhideWhenUsed/>
    <w:uiPriority w:val="39"/>
    <w:pPr>
      <w:ind w:left="839"/>
    </w:pPr>
    <w:rPr>
      <w:rFonts w:ascii="宋体"/>
    </w:rPr>
  </w:style>
  <w:style w:type="paragraph" w:styleId="15">
    <w:name w:val="toc 3"/>
    <w:basedOn w:val="1"/>
    <w:next w:val="1"/>
    <w:autoRedefine/>
    <w:unhideWhenUsed/>
    <w:uiPriority w:val="39"/>
    <w:pPr>
      <w:spacing w:line="300" w:lineRule="exact"/>
      <w:ind w:left="420"/>
    </w:pPr>
    <w:rPr>
      <w:rFonts w:ascii="宋体"/>
    </w:rPr>
  </w:style>
  <w:style w:type="paragraph" w:styleId="16">
    <w:name w:val="Balloon Text"/>
    <w:basedOn w:val="1"/>
    <w:link w:val="45"/>
    <w:semiHidden/>
    <w:unhideWhenUsed/>
    <w:uiPriority w:val="99"/>
    <w:rPr>
      <w:sz w:val="18"/>
      <w:szCs w:val="18"/>
    </w:rPr>
  </w:style>
  <w:style w:type="paragraph" w:styleId="17">
    <w:name w:val="footer"/>
    <w:basedOn w:val="1"/>
    <w:link w:val="44"/>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uiPriority w:val="39"/>
    <w:rPr>
      <w:rFonts w:ascii="宋体"/>
    </w:rPr>
  </w:style>
  <w:style w:type="paragraph" w:styleId="20">
    <w:name w:val="toc 4"/>
    <w:basedOn w:val="1"/>
    <w:next w:val="1"/>
    <w:autoRedefine/>
    <w:unhideWhenUsed/>
    <w:uiPriority w:val="39"/>
    <w:pPr>
      <w:tabs>
        <w:tab w:val="right" w:leader="dot" w:pos="9344"/>
      </w:tabs>
      <w:spacing w:line="300" w:lineRule="exact"/>
      <w:ind w:left="629"/>
    </w:pPr>
    <w:rPr>
      <w:rFonts w:ascii="宋体"/>
    </w:rPr>
  </w:style>
  <w:style w:type="paragraph" w:styleId="21">
    <w:name w:val="footnote text"/>
    <w:basedOn w:val="1"/>
    <w:next w:val="1"/>
    <w:link w:val="99"/>
    <w:semiHidden/>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uiPriority w:val="39"/>
    <w:pPr>
      <w:spacing w:line="300" w:lineRule="exact"/>
      <w:ind w:left="1049"/>
    </w:pPr>
    <w:rPr>
      <w:rFonts w:ascii="宋体"/>
    </w:rPr>
  </w:style>
  <w:style w:type="paragraph" w:styleId="23">
    <w:name w:val="table of figures"/>
    <w:basedOn w:val="1"/>
    <w:next w:val="1"/>
    <w:semiHidden/>
    <w:uiPriority w:val="0"/>
    <w:pPr>
      <w:adjustRightInd/>
      <w:spacing w:line="240" w:lineRule="auto"/>
      <w:jc w:val="left"/>
    </w:pPr>
    <w:rPr>
      <w:szCs w:val="24"/>
    </w:rPr>
  </w:style>
  <w:style w:type="paragraph" w:styleId="24">
    <w:name w:val="toc 2"/>
    <w:basedOn w:val="1"/>
    <w:next w:val="1"/>
    <w:autoRedefine/>
    <w:unhideWhenUsed/>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uiPriority w:val="0"/>
    <w:rPr>
      <w:rFonts w:ascii="宋体" w:hAnsi="Times New Roman" w:eastAsia="宋体"/>
      <w:sz w:val="18"/>
    </w:rPr>
  </w:style>
  <w:style w:type="character" w:styleId="31">
    <w:name w:val="Emphasis"/>
    <w:qFormat/>
    <w:uiPriority w:val="20"/>
    <w:rPr>
      <w:i/>
      <w:iCs/>
    </w:rPr>
  </w:style>
  <w:style w:type="character" w:styleId="32">
    <w:name w:val="Hyperlink"/>
    <w:uiPriority w:val="99"/>
    <w:rPr>
      <w:rFonts w:ascii="宋体" w:hAnsi="Times New Roman" w:eastAsia="宋体"/>
      <w:color w:val="auto"/>
      <w:spacing w:val="0"/>
      <w:w w:val="100"/>
      <w:position w:val="0"/>
      <w:sz w:val="21"/>
      <w:u w:val="none"/>
      <w:vertAlign w:val="baseline"/>
    </w:rPr>
  </w:style>
  <w:style w:type="character" w:styleId="33">
    <w:name w:val="footnote reference"/>
    <w:semiHidden/>
    <w:uiPriority w:val="0"/>
    <w:rPr>
      <w:rFonts w:ascii="宋体" w:hAnsi="宋体" w:eastAsia="宋体" w:cs="Times New Roman"/>
      <w:spacing w:val="0"/>
      <w:sz w:val="18"/>
      <w:vertAlign w:val="superscript"/>
    </w:rPr>
  </w:style>
  <w:style w:type="character" w:customStyle="1" w:styleId="34">
    <w:name w:val="标题 1 字符"/>
    <w:link w:val="2"/>
    <w:uiPriority w:val="0"/>
    <w:rPr>
      <w:b/>
      <w:bCs/>
      <w:kern w:val="44"/>
      <w:sz w:val="44"/>
      <w:szCs w:val="44"/>
    </w:rPr>
  </w:style>
  <w:style w:type="character" w:customStyle="1" w:styleId="35">
    <w:name w:val="标题 2 字符"/>
    <w:link w:val="3"/>
    <w:uiPriority w:val="0"/>
    <w:rPr>
      <w:rFonts w:ascii="Arial" w:hAnsi="Arial" w:eastAsia="黑体"/>
      <w:b/>
      <w:bCs/>
      <w:kern w:val="2"/>
      <w:sz w:val="32"/>
      <w:szCs w:val="32"/>
    </w:rPr>
  </w:style>
  <w:style w:type="character" w:customStyle="1" w:styleId="36">
    <w:name w:val="标题 3 字符"/>
    <w:link w:val="4"/>
    <w:uiPriority w:val="0"/>
    <w:rPr>
      <w:b/>
      <w:bCs/>
      <w:kern w:val="2"/>
      <w:sz w:val="32"/>
      <w:szCs w:val="32"/>
    </w:rPr>
  </w:style>
  <w:style w:type="character" w:customStyle="1" w:styleId="37">
    <w:name w:val="标题 4 字符"/>
    <w:link w:val="5"/>
    <w:uiPriority w:val="0"/>
    <w:rPr>
      <w:rFonts w:ascii="Arial" w:hAnsi="Arial" w:eastAsia="黑体"/>
      <w:b/>
      <w:bCs/>
      <w:kern w:val="2"/>
      <w:sz w:val="28"/>
      <w:szCs w:val="28"/>
    </w:rPr>
  </w:style>
  <w:style w:type="character" w:customStyle="1" w:styleId="38">
    <w:name w:val="标题 5 字符"/>
    <w:link w:val="6"/>
    <w:uiPriority w:val="0"/>
    <w:rPr>
      <w:b/>
      <w:bCs/>
      <w:kern w:val="2"/>
      <w:sz w:val="28"/>
      <w:szCs w:val="28"/>
    </w:rPr>
  </w:style>
  <w:style w:type="character" w:customStyle="1" w:styleId="39">
    <w:name w:val="标题 6 字符"/>
    <w:link w:val="7"/>
    <w:uiPriority w:val="0"/>
    <w:rPr>
      <w:rFonts w:ascii="Arial" w:hAnsi="Arial" w:eastAsia="黑体"/>
      <w:b/>
      <w:bCs/>
      <w:kern w:val="2"/>
      <w:sz w:val="24"/>
      <w:szCs w:val="24"/>
    </w:rPr>
  </w:style>
  <w:style w:type="character" w:customStyle="1" w:styleId="40">
    <w:name w:val="标题 7 字符"/>
    <w:link w:val="8"/>
    <w:uiPriority w:val="0"/>
    <w:rPr>
      <w:b/>
      <w:bCs/>
      <w:kern w:val="2"/>
      <w:sz w:val="24"/>
      <w:szCs w:val="24"/>
    </w:rPr>
  </w:style>
  <w:style w:type="character" w:customStyle="1" w:styleId="41">
    <w:name w:val="标题 8 字符"/>
    <w:link w:val="9"/>
    <w:uiPriority w:val="0"/>
    <w:rPr>
      <w:rFonts w:ascii="Arial" w:hAnsi="Arial" w:eastAsia="黑体"/>
      <w:kern w:val="2"/>
      <w:sz w:val="24"/>
      <w:szCs w:val="24"/>
    </w:rPr>
  </w:style>
  <w:style w:type="character" w:customStyle="1" w:styleId="42">
    <w:name w:val="标题 9 字符"/>
    <w:link w:val="10"/>
    <w:uiPriority w:val="0"/>
    <w:rPr>
      <w:rFonts w:ascii="Arial" w:hAnsi="Arial" w:eastAsia="黑体"/>
      <w:kern w:val="2"/>
      <w:sz w:val="21"/>
      <w:szCs w:val="21"/>
    </w:rPr>
  </w:style>
  <w:style w:type="character" w:customStyle="1" w:styleId="43">
    <w:name w:val="页眉 字符"/>
    <w:link w:val="18"/>
    <w:uiPriority w:val="99"/>
    <w:rPr>
      <w:kern w:val="2"/>
      <w:sz w:val="18"/>
      <w:szCs w:val="18"/>
    </w:rPr>
  </w:style>
  <w:style w:type="character" w:customStyle="1" w:styleId="44">
    <w:name w:val="页脚 字符"/>
    <w:link w:val="17"/>
    <w:uiPriority w:val="99"/>
    <w:rPr>
      <w:rFonts w:ascii="宋体"/>
      <w:kern w:val="2"/>
      <w:sz w:val="18"/>
      <w:szCs w:val="18"/>
    </w:rPr>
  </w:style>
  <w:style w:type="character" w:customStyle="1" w:styleId="45">
    <w:name w:val="批注框文本 字符"/>
    <w:link w:val="16"/>
    <w:semiHidden/>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uiPriority w:val="0"/>
    <w:pPr>
      <w:ind w:left="198"/>
    </w:pPr>
    <w:rPr>
      <w:rFonts w:ascii="宋体" w:hAnsi="Times New Roman" w:eastAsia="宋体" w:cs="Times New Roman"/>
      <w:sz w:val="18"/>
      <w:lang w:val="en-US" w:eastAsia="zh-CN" w:bidi="ar-SA"/>
    </w:rPr>
  </w:style>
  <w:style w:type="paragraph" w:customStyle="1" w:styleId="52">
    <w:name w:val="标准文件_页脚奇数页"/>
    <w:uiPriority w:val="0"/>
    <w:pPr>
      <w:ind w:right="227"/>
      <w:jc w:val="right"/>
    </w:pPr>
    <w:rPr>
      <w:rFonts w:ascii="宋体" w:hAnsi="Times New Roman" w:eastAsia="宋体" w:cs="Times New Roman"/>
      <w:sz w:val="18"/>
      <w:lang w:val="en-US" w:eastAsia="zh-CN" w:bidi="ar-SA"/>
    </w:rPr>
  </w:style>
  <w:style w:type="paragraph" w:customStyle="1" w:styleId="53">
    <w:name w:val="标准书眉一"/>
    <w:uiPriority w:val="0"/>
    <w:pPr>
      <w:jc w:val="both"/>
    </w:pPr>
    <w:rPr>
      <w:rFonts w:ascii="Times New Roman" w:hAnsi="Times New Roman" w:eastAsia="宋体" w:cs="Times New Roman"/>
      <w:lang w:val="en-US" w:eastAsia="zh-CN" w:bidi="ar-SA"/>
    </w:rPr>
  </w:style>
  <w:style w:type="paragraph" w:customStyle="1" w:styleId="54">
    <w:name w:val="标准文件_ICS"/>
    <w:basedOn w:val="1"/>
    <w:uiPriority w:val="0"/>
    <w:pPr>
      <w:spacing w:line="0" w:lineRule="atLeast"/>
    </w:pPr>
    <w:rPr>
      <w:rFonts w:ascii="黑体" w:hAnsi="宋体" w:eastAsia="黑体"/>
    </w:rPr>
  </w:style>
  <w:style w:type="paragraph" w:customStyle="1" w:styleId="55">
    <w:name w:val="标准文件_标准正文"/>
    <w:basedOn w:val="1"/>
    <w:next w:val="56"/>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uiPriority w:val="0"/>
    <w:pPr>
      <w:adjustRightInd/>
      <w:snapToGrid/>
      <w:ind w:firstLine="0" w:firstLineChars="0"/>
    </w:pPr>
    <w:rPr>
      <w:rFonts w:ascii="宋体" w:hAnsi="宋体"/>
      <w:kern w:val="2"/>
    </w:rPr>
  </w:style>
  <w:style w:type="paragraph" w:customStyle="1" w:styleId="58">
    <w:name w:val="标准文件_标准部门"/>
    <w:basedOn w:val="1"/>
    <w:uiPriority w:val="0"/>
    <w:pPr>
      <w:jc w:val="center"/>
    </w:pPr>
    <w:rPr>
      <w:rFonts w:ascii="黑体" w:eastAsia="黑体"/>
      <w:kern w:val="0"/>
      <w:sz w:val="44"/>
    </w:rPr>
  </w:style>
  <w:style w:type="paragraph" w:customStyle="1" w:styleId="59">
    <w:name w:val="标准文件_标准代替"/>
    <w:basedOn w:val="1"/>
    <w:next w:val="1"/>
    <w:uiPriority w:val="0"/>
    <w:pPr>
      <w:spacing w:line="310" w:lineRule="exact"/>
      <w:jc w:val="right"/>
    </w:pPr>
    <w:rPr>
      <w:rFonts w:ascii="宋体" w:hAnsi="宋体"/>
      <w:kern w:val="0"/>
    </w:rPr>
  </w:style>
  <w:style w:type="paragraph" w:customStyle="1" w:styleId="60">
    <w:name w:val="标准文件_标准名称标题"/>
    <w:basedOn w:val="1"/>
    <w:next w:val="1"/>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uiPriority w:val="0"/>
    <w:pPr>
      <w:jc w:val="left"/>
    </w:pPr>
  </w:style>
  <w:style w:type="paragraph" w:customStyle="1" w:styleId="63">
    <w:name w:val="标准文件_参考文献标题"/>
    <w:basedOn w:val="1"/>
    <w:next w:val="1"/>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uiPriority w:val="0"/>
    <w:rPr>
      <w:rFonts w:ascii="黑体" w:eastAsia="黑体"/>
      <w:spacing w:val="0"/>
      <w:w w:val="100"/>
      <w:position w:val="3"/>
      <w:sz w:val="28"/>
    </w:rPr>
  </w:style>
  <w:style w:type="paragraph" w:customStyle="1" w:styleId="67">
    <w:name w:val="标准文件_方框数字列项"/>
    <w:basedOn w:val="56"/>
    <w:uiPriority w:val="0"/>
    <w:pPr>
      <w:numPr>
        <w:ilvl w:val="0"/>
        <w:numId w:val="3"/>
      </w:numPr>
      <w:ind w:firstLine="0" w:firstLineChars="0"/>
    </w:pPr>
  </w:style>
  <w:style w:type="paragraph" w:customStyle="1" w:styleId="68">
    <w:name w:val="标准文件_封面标准编号"/>
    <w:basedOn w:val="1"/>
    <w:next w:val="59"/>
    <w:uiPriority w:val="0"/>
    <w:pPr>
      <w:spacing w:line="310" w:lineRule="exact"/>
      <w:jc w:val="right"/>
    </w:pPr>
    <w:rPr>
      <w:rFonts w:ascii="黑体" w:eastAsia="黑体"/>
      <w:kern w:val="0"/>
      <w:sz w:val="28"/>
    </w:rPr>
  </w:style>
  <w:style w:type="paragraph" w:customStyle="1" w:styleId="69">
    <w:name w:val="标准文件_封面标准分类号"/>
    <w:basedOn w:val="1"/>
    <w:uiPriority w:val="0"/>
    <w:rPr>
      <w:rFonts w:ascii="黑体" w:eastAsia="黑体"/>
      <w:b/>
      <w:kern w:val="0"/>
      <w:sz w:val="28"/>
    </w:rPr>
  </w:style>
  <w:style w:type="paragraph" w:customStyle="1" w:styleId="70">
    <w:name w:val="标准文件_封面标准名称"/>
    <w:basedOn w:val="1"/>
    <w:uiPriority w:val="0"/>
    <w:pPr>
      <w:spacing w:line="240" w:lineRule="auto"/>
      <w:jc w:val="center"/>
    </w:pPr>
    <w:rPr>
      <w:rFonts w:ascii="黑体" w:eastAsia="黑体"/>
      <w:kern w:val="0"/>
      <w:sz w:val="52"/>
    </w:rPr>
  </w:style>
  <w:style w:type="paragraph" w:customStyle="1" w:styleId="71">
    <w:name w:val="标准文件_封面标准英文名称"/>
    <w:basedOn w:val="1"/>
    <w:uiPriority w:val="0"/>
    <w:pPr>
      <w:spacing w:line="240" w:lineRule="auto"/>
      <w:jc w:val="center"/>
    </w:pPr>
    <w:rPr>
      <w:rFonts w:ascii="黑体" w:eastAsia="黑体"/>
      <w:b/>
      <w:sz w:val="28"/>
    </w:rPr>
  </w:style>
  <w:style w:type="paragraph" w:customStyle="1" w:styleId="72">
    <w:name w:val="标准文件_封面发布日期"/>
    <w:basedOn w:val="1"/>
    <w:uiPriority w:val="0"/>
    <w:pPr>
      <w:spacing w:line="310" w:lineRule="exact"/>
    </w:pPr>
    <w:rPr>
      <w:rFonts w:ascii="黑体" w:eastAsia="黑体"/>
      <w:kern w:val="0"/>
      <w:sz w:val="28"/>
    </w:rPr>
  </w:style>
  <w:style w:type="paragraph" w:customStyle="1" w:styleId="73">
    <w:name w:val="标准文件_封面密级"/>
    <w:basedOn w:val="1"/>
    <w:uiPriority w:val="0"/>
    <w:rPr>
      <w:rFonts w:eastAsia="黑体"/>
      <w:sz w:val="32"/>
    </w:rPr>
  </w:style>
  <w:style w:type="paragraph" w:customStyle="1" w:styleId="74">
    <w:name w:val="标准文件_封面实施日期"/>
    <w:basedOn w:val="1"/>
    <w:uiPriority w:val="0"/>
    <w:pPr>
      <w:spacing w:line="310" w:lineRule="exact"/>
      <w:jc w:val="right"/>
    </w:pPr>
    <w:rPr>
      <w:rFonts w:ascii="黑体" w:eastAsia="黑体"/>
      <w:sz w:val="28"/>
    </w:rPr>
  </w:style>
  <w:style w:type="paragraph" w:customStyle="1" w:styleId="75">
    <w:name w:val="标准文件_封面抬头"/>
    <w:basedOn w:val="56"/>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uiPriority w:val="0"/>
    <w:rPr>
      <w:kern w:val="2"/>
      <w:sz w:val="21"/>
      <w:szCs w:val="21"/>
    </w:rPr>
  </w:style>
  <w:style w:type="paragraph" w:customStyle="1" w:styleId="87">
    <w:name w:val="标准文件_附录章标题"/>
    <w:next w:val="56"/>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uiPriority w:val="0"/>
    <w:pPr>
      <w:spacing w:line="460" w:lineRule="exact"/>
      <w:ind w:left="0" w:firstLine="0"/>
    </w:pPr>
  </w:style>
  <w:style w:type="paragraph" w:customStyle="1" w:styleId="91">
    <w:name w:val="标准文件_目录标题"/>
    <w:basedOn w:val="1"/>
    <w:uiPriority w:val="0"/>
    <w:pPr>
      <w:spacing w:before="480" w:after="150" w:afterLines="150" w:line="240" w:lineRule="auto"/>
      <w:jc w:val="center"/>
    </w:pPr>
    <w:rPr>
      <w:rFonts w:ascii="黑体" w:eastAsia="黑体"/>
      <w:sz w:val="32"/>
    </w:rPr>
  </w:style>
  <w:style w:type="paragraph" w:customStyle="1" w:styleId="92">
    <w:name w:val="标准文件_破折号列项"/>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Subtle Reference"/>
    <w:qFormat/>
    <w:uiPriority w:val="31"/>
    <w:rPr>
      <w:smallCaps/>
      <w:color w:val="C0504D"/>
      <w:u w:val="single"/>
    </w:rPr>
  </w:style>
  <w:style w:type="paragraph" w:customStyle="1" w:styleId="96">
    <w:name w:val="标准文件_示例后续"/>
    <w:basedOn w:val="1"/>
    <w:uiPriority w:val="0"/>
    <w:pPr>
      <w:adjustRightInd/>
      <w:spacing w:line="240" w:lineRule="auto"/>
      <w:ind w:firstLine="200" w:firstLineChars="200"/>
    </w:pPr>
    <w:rPr>
      <w:sz w:val="18"/>
      <w:szCs w:val="24"/>
    </w:rPr>
  </w:style>
  <w:style w:type="paragraph" w:customStyle="1" w:styleId="97">
    <w:name w:val="标准文件_数字编号列项"/>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uiPriority w:val="0"/>
    <w:rPr>
      <w:rFonts w:ascii="宋体"/>
      <w:kern w:val="2"/>
      <w:sz w:val="18"/>
      <w:szCs w:val="18"/>
    </w:rPr>
  </w:style>
  <w:style w:type="paragraph" w:customStyle="1" w:styleId="100">
    <w:name w:val="标准文件_条文脚注"/>
    <w:basedOn w:val="21"/>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uiPriority w:val="0"/>
    <w:pPr>
      <w:spacing w:line="440" w:lineRule="exact"/>
      <w:jc w:val="center"/>
    </w:pPr>
    <w:rPr>
      <w:sz w:val="28"/>
    </w:rPr>
  </w:style>
  <w:style w:type="paragraph" w:customStyle="1" w:styleId="107">
    <w:name w:val="标准文件_引言标题"/>
    <w:next w:val="1"/>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uiPriority w:val="0"/>
    <w:pPr>
      <w:numPr>
        <w:ilvl w:val="3"/>
        <w:numId w:val="20"/>
      </w:numPr>
      <w:adjustRightInd/>
      <w:spacing w:line="240" w:lineRule="auto"/>
    </w:pPr>
    <w:rPr>
      <w:rFonts w:ascii="宋体" w:hAnsi="宋体"/>
      <w:szCs w:val="24"/>
    </w:rPr>
  </w:style>
  <w:style w:type="paragraph" w:customStyle="1" w:styleId="119">
    <w:name w:val="发布部门"/>
    <w:next w:val="56"/>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uiPriority w:val="0"/>
    <w:pPr>
      <w:outlineLvl w:val="4"/>
    </w:pPr>
  </w:style>
  <w:style w:type="paragraph" w:customStyle="1" w:styleId="130">
    <w:name w:val="附录四级无标题条"/>
    <w:basedOn w:val="129"/>
    <w:next w:val="56"/>
    <w:uiPriority w:val="0"/>
    <w:pPr>
      <w:outlineLvl w:val="5"/>
    </w:pPr>
  </w:style>
  <w:style w:type="paragraph" w:customStyle="1" w:styleId="131">
    <w:name w:val="附录图"/>
    <w:next w:val="56"/>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uiPriority w:val="0"/>
    <w:pPr>
      <w:outlineLvl w:val="6"/>
    </w:pPr>
  </w:style>
  <w:style w:type="paragraph" w:customStyle="1" w:styleId="134">
    <w:name w:val="附录性质"/>
    <w:basedOn w:val="1"/>
    <w:uiPriority w:val="0"/>
    <w:pPr>
      <w:widowControl/>
      <w:adjustRightInd/>
      <w:jc w:val="center"/>
    </w:pPr>
    <w:rPr>
      <w:rFonts w:ascii="黑体" w:eastAsia="黑体"/>
    </w:rPr>
  </w:style>
  <w:style w:type="paragraph" w:customStyle="1" w:styleId="135">
    <w:name w:val="附录一级无标题条"/>
    <w:basedOn w:val="87"/>
    <w:next w:val="56"/>
    <w:uiPriority w:val="0"/>
    <w:pPr>
      <w:autoSpaceDN w:val="0"/>
      <w:outlineLvl w:val="2"/>
    </w:pPr>
    <w:rPr>
      <w:rFonts w:ascii="宋体" w:hAnsi="宋体" w:eastAsia="宋体"/>
    </w:rPr>
  </w:style>
  <w:style w:type="character" w:customStyle="1" w:styleId="136">
    <w:name w:val="个人答复风格"/>
    <w:uiPriority w:val="0"/>
    <w:rPr>
      <w:rFonts w:ascii="Arial" w:hAnsi="Arial" w:eastAsia="宋体" w:cs="Arial"/>
      <w:color w:val="auto"/>
      <w:spacing w:val="0"/>
      <w:sz w:val="20"/>
    </w:rPr>
  </w:style>
  <w:style w:type="character" w:customStyle="1" w:styleId="137">
    <w:name w:val="个人撰写风格"/>
    <w:uiPriority w:val="0"/>
    <w:rPr>
      <w:rFonts w:ascii="Arial" w:hAnsi="Arial" w:eastAsia="宋体" w:cs="Arial"/>
      <w:color w:val="auto"/>
      <w:spacing w:val="0"/>
      <w:sz w:val="20"/>
    </w:rPr>
  </w:style>
  <w:style w:type="paragraph" w:customStyle="1" w:styleId="138">
    <w:name w:val="脚注后续"/>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uiPriority w:val="0"/>
    <w:pPr>
      <w:tabs>
        <w:tab w:val="left" w:pos="840"/>
      </w:tabs>
    </w:pPr>
  </w:style>
  <w:style w:type="paragraph" w:customStyle="1" w:styleId="141">
    <w:name w:val="目次、索引正文"/>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uiPriority w:val="0"/>
    <w:pPr>
      <w:adjustRightInd/>
      <w:spacing w:line="240" w:lineRule="auto"/>
      <w:jc w:val="left"/>
    </w:pPr>
    <w:rPr>
      <w:bCs/>
      <w:iCs/>
    </w:rPr>
  </w:style>
  <w:style w:type="paragraph" w:customStyle="1" w:styleId="143">
    <w:name w:val="目录 31"/>
    <w:basedOn w:val="1"/>
    <w:next w:val="1"/>
    <w:autoRedefine/>
    <w:semiHidden/>
    <w:uiPriority w:val="0"/>
    <w:pPr>
      <w:spacing w:line="240" w:lineRule="auto"/>
    </w:pPr>
    <w:rPr>
      <w:rFonts w:ascii="宋体" w:hAnsi="宋体"/>
      <w:iCs/>
    </w:rPr>
  </w:style>
  <w:style w:type="paragraph" w:customStyle="1" w:styleId="144">
    <w:name w:val="目录 41"/>
    <w:basedOn w:val="1"/>
    <w:next w:val="1"/>
    <w:autoRedefine/>
    <w:semiHidden/>
    <w:uiPriority w:val="0"/>
    <w:pPr>
      <w:adjustRightInd/>
      <w:spacing w:line="240" w:lineRule="auto"/>
      <w:jc w:val="left"/>
    </w:pPr>
  </w:style>
  <w:style w:type="paragraph" w:customStyle="1" w:styleId="145">
    <w:name w:val="目录 51"/>
    <w:basedOn w:val="1"/>
    <w:next w:val="1"/>
    <w:autoRedefine/>
    <w:semiHidden/>
    <w:uiPriority w:val="0"/>
    <w:pPr>
      <w:spacing w:line="240" w:lineRule="auto"/>
    </w:pPr>
    <w:rPr>
      <w:rFonts w:ascii="宋体" w:hAnsi="宋体"/>
    </w:rPr>
  </w:style>
  <w:style w:type="paragraph" w:customStyle="1" w:styleId="146">
    <w:name w:val="目录 61"/>
    <w:basedOn w:val="1"/>
    <w:next w:val="1"/>
    <w:autoRedefine/>
    <w:semiHidden/>
    <w:uiPriority w:val="0"/>
    <w:pPr>
      <w:adjustRightInd/>
      <w:spacing w:line="240" w:lineRule="auto"/>
      <w:jc w:val="left"/>
    </w:pPr>
  </w:style>
  <w:style w:type="paragraph" w:customStyle="1" w:styleId="147">
    <w:name w:val="目录 71"/>
    <w:basedOn w:val="146"/>
    <w:autoRedefine/>
    <w:semiHidden/>
    <w:uiPriority w:val="0"/>
    <w:pPr>
      <w:ind w:left="1260"/>
    </w:pPr>
  </w:style>
  <w:style w:type="paragraph" w:customStyle="1" w:styleId="148">
    <w:name w:val="目录 81"/>
    <w:basedOn w:val="147"/>
    <w:autoRedefine/>
    <w:semiHidden/>
    <w:uiPriority w:val="0"/>
    <w:pPr>
      <w:ind w:left="1470"/>
    </w:pPr>
  </w:style>
  <w:style w:type="paragraph" w:customStyle="1" w:styleId="149">
    <w:name w:val="目录 91"/>
    <w:basedOn w:val="148"/>
    <w:autoRedefine/>
    <w:semiHidden/>
    <w:uiPriority w:val="0"/>
    <w:pPr>
      <w:ind w:left="1680"/>
    </w:pPr>
  </w:style>
  <w:style w:type="paragraph" w:customStyle="1" w:styleId="150">
    <w:name w:val="其他标准称谓"/>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uiPriority w:val="0"/>
    <w:pPr>
      <w:numPr>
        <w:ilvl w:val="4"/>
        <w:numId w:val="20"/>
      </w:numPr>
      <w:adjustRightInd/>
      <w:spacing w:line="240" w:lineRule="auto"/>
    </w:pPr>
    <w:rPr>
      <w:rFonts w:ascii="宋体" w:hAnsi="宋体"/>
      <w:szCs w:val="24"/>
    </w:rPr>
  </w:style>
  <w:style w:type="paragraph" w:customStyle="1" w:styleId="154">
    <w:name w:val="实施日期"/>
    <w:basedOn w:val="120"/>
    <w:uiPriority w:val="0"/>
    <w:pPr>
      <w:framePr w:hSpace="0" w:wrap="around" w:xAlign="right"/>
      <w:jc w:val="right"/>
    </w:pPr>
  </w:style>
  <w:style w:type="paragraph" w:customStyle="1" w:styleId="155">
    <w:name w:val="四级无标题条"/>
    <w:basedOn w:val="1"/>
    <w:uiPriority w:val="0"/>
    <w:pPr>
      <w:numPr>
        <w:ilvl w:val="5"/>
        <w:numId w:val="20"/>
      </w:numPr>
      <w:adjustRightInd/>
      <w:spacing w:line="240" w:lineRule="auto"/>
    </w:pPr>
    <w:rPr>
      <w:rFonts w:ascii="宋体" w:hAnsi="宋体"/>
      <w:szCs w:val="24"/>
    </w:rPr>
  </w:style>
  <w:style w:type="paragraph" w:customStyle="1" w:styleId="156">
    <w:name w:val="文献分类号"/>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uiPriority w:val="0"/>
    <w:pPr>
      <w:jc w:val="both"/>
    </w:pPr>
    <w:rPr>
      <w:rFonts w:ascii="宋体" w:hAnsi="宋体" w:eastAsia="宋体" w:cs="Times New Roman"/>
      <w:sz w:val="21"/>
      <w:lang w:val="en-US" w:eastAsia="zh-CN" w:bidi="ar-SA"/>
    </w:rPr>
  </w:style>
  <w:style w:type="paragraph" w:customStyle="1" w:styleId="158">
    <w:name w:val="五级无标题条"/>
    <w:basedOn w:val="1"/>
    <w:uiPriority w:val="0"/>
    <w:pPr>
      <w:numPr>
        <w:ilvl w:val="6"/>
        <w:numId w:val="20"/>
      </w:numPr>
      <w:adjustRightInd/>
    </w:pPr>
    <w:rPr>
      <w:szCs w:val="24"/>
    </w:rPr>
  </w:style>
  <w:style w:type="paragraph" w:customStyle="1" w:styleId="159">
    <w:name w:val="一级无标题条"/>
    <w:basedOn w:val="1"/>
    <w:uiPriority w:val="0"/>
    <w:pPr>
      <w:numPr>
        <w:ilvl w:val="2"/>
        <w:numId w:val="20"/>
      </w:numPr>
      <w:adjustRightInd/>
      <w:spacing w:before="10" w:after="10" w:line="240" w:lineRule="auto"/>
    </w:pPr>
    <w:rPr>
      <w:rFonts w:ascii="宋体" w:hAnsi="宋体"/>
      <w:szCs w:val="24"/>
    </w:rPr>
  </w:style>
  <w:style w:type="paragraph" w:customStyle="1" w:styleId="160">
    <w:name w:val="注:后续"/>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rPr>
      <w:rFonts w:ascii="Times New Roman"/>
    </w:rPr>
  </w:style>
  <w:style w:type="paragraph" w:customStyle="1" w:styleId="189">
    <w:name w:val="标准文件_一级项2"/>
    <w:basedOn w:val="56"/>
    <w:qFormat/>
    <w:uiPriority w:val="0"/>
    <w:pPr>
      <w:numPr>
        <w:ilvl w:val="0"/>
        <w:numId w:val="31"/>
      </w:numPr>
      <w:spacing w:line="300" w:lineRule="exact"/>
      <w:ind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uiPriority w:val="0"/>
    <w:pPr>
      <w:framePr w:w="3997" w:h="471" w:hRule="exact" w:hSpace="0" w:vSpace="181" w:wrap="around" w:vAnchor="page" w:hAnchor="page" w:x="1419" w:y="14097"/>
    </w:pPr>
  </w:style>
  <w:style w:type="paragraph" w:customStyle="1" w:styleId="194">
    <w:name w:val="其他实施日期"/>
    <w:basedOn w:val="154"/>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frame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uiPriority w:val="0"/>
    <w:rPr>
      <w:rFonts w:ascii="黑体" w:eastAsia="黑体"/>
      <w:spacing w:val="85"/>
      <w:w w:val="100"/>
      <w:position w:val="3"/>
      <w:sz w:val="28"/>
      <w:szCs w:val="28"/>
    </w:rPr>
  </w:style>
  <w:style w:type="table" w:customStyle="1" w:styleId="230">
    <w:name w:val="Table Normal"/>
    <w:autoRedefine/>
    <w:semiHidden/>
    <w:unhideWhenUsed/>
    <w:qFormat/>
    <w:uiPriority w:val="0"/>
    <w:rPr>
      <w:rFonts w:ascii="Times New Roman" w:hAnsi="Times New Roman"/>
    </w:rPr>
    <w:tblPr>
      <w:tblCellMar>
        <w:top w:w="0" w:type="dxa"/>
        <w:left w:w="0" w:type="dxa"/>
        <w:bottom w:w="0" w:type="dxa"/>
        <w:right w:w="0" w:type="dxa"/>
      </w:tblCellMar>
    </w:tblPr>
  </w:style>
  <w:style w:type="paragraph" w:customStyle="1" w:styleId="231">
    <w:name w:val="段"/>
    <w:uiPriority w:val="99"/>
    <w:pPr>
      <w:tabs>
        <w:tab w:val="center" w:pos="4201"/>
        <w:tab w:val="right" w:leader="dot" w:pos="9298"/>
      </w:tabs>
      <w:autoSpaceDE w:val="0"/>
      <w:autoSpaceDN w:val="0"/>
      <w:ind w:firstLine="420" w:firstLineChars="200"/>
      <w:jc w:val="both"/>
    </w:pPr>
    <w:rPr>
      <w:rFonts w:ascii="宋体" w:hAnsi="Times New Roman" w:eastAsia="宋体" w:cs="Times New Roman"/>
      <w:sz w:val="22"/>
      <w:szCs w:val="22"/>
      <w:lang w:val="en-US" w:eastAsia="zh-CN" w:bidi="ar-SA"/>
    </w:rPr>
  </w:style>
  <w:style w:type="paragraph" w:customStyle="1" w:styleId="232">
    <w:name w:val="sign-container"/>
    <w:basedOn w:val="1"/>
    <w:uiPriority w:val="0"/>
    <w:pPr>
      <w:widowControl/>
      <w:adjustRightInd/>
      <w:spacing w:before="100" w:beforeAutospacing="1" w:after="100" w:afterAutospacing="1" w:line="240" w:lineRule="auto"/>
      <w:jc w:val="center"/>
    </w:pPr>
    <w:rPr>
      <w:rFonts w:ascii="宋体" w:hAnsi="宋体" w:cs="宋体"/>
      <w:kern w:val="0"/>
      <w:sz w:val="24"/>
      <w:szCs w:val="24"/>
    </w:rPr>
  </w:style>
  <w:style w:type="paragraph" w:customStyle="1" w:styleId="233">
    <w:name w:val="注×：（正文）"/>
    <w:uiPriority w:val="99"/>
    <w:pPr>
      <w:numPr>
        <w:ilvl w:val="0"/>
        <w:numId w:val="32"/>
      </w:numPr>
      <w:jc w:val="both"/>
    </w:pPr>
    <w:rPr>
      <w:rFonts w:ascii="宋体" w:hAnsi="Times New Roman" w:eastAsia="宋体" w:cs="Times New Roman"/>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glossaryDocument" Target="glossary/document.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3.jpe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Users/apple/Library/Containers/com.kingsoft.wpsoffice.mac/Data/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6A215A26A46B4406A0EFA50FA0F089A1"/>
        <w:style w:val=""/>
        <w:category>
          <w:name w:val="常规"/>
          <w:gallery w:val="placeholder"/>
        </w:category>
        <w:types>
          <w:type w:val="bbPlcHdr"/>
        </w:types>
        <w:behaviors>
          <w:behavior w:val="content"/>
        </w:behaviors>
        <w:description w:val=""/>
        <w:guid w:val="{1EDB8B96-E87D-48FE-931F-70CDC6C057F4}"/>
      </w:docPartPr>
      <w:docPartBody>
        <w:p w14:paraId="452AF117">
          <w:pPr>
            <w:pStyle w:val="5"/>
          </w:pPr>
          <w:r>
            <w:rPr>
              <w:rStyle w:val="4"/>
              <w:rFonts w:hint="eastAsia"/>
            </w:rPr>
            <w:t>单击或点击此处输入文字。</w:t>
          </w:r>
        </w:p>
      </w:docPartBody>
    </w:docPart>
    <w:docPart>
      <w:docPartPr>
        <w:name w:val="1B343EB3448543A0AE1689AFA13238AC"/>
        <w:style w:val=""/>
        <w:category>
          <w:name w:val="常规"/>
          <w:gallery w:val="placeholder"/>
        </w:category>
        <w:types>
          <w:type w:val="bbPlcHdr"/>
        </w:types>
        <w:behaviors>
          <w:behavior w:val="content"/>
        </w:behaviors>
        <w:description w:val=""/>
        <w:guid w:val="{784D3B73-3489-403D-AE2C-CBF04CB9CA26}"/>
      </w:docPartPr>
      <w:docPartBody>
        <w:p w14:paraId="50A2A86C">
          <w:pPr>
            <w:pStyle w:val="6"/>
          </w:pPr>
          <w:r>
            <w:rPr>
              <w:rStyle w:val="4"/>
              <w:rFonts w:hint="eastAsia"/>
            </w:rPr>
            <w:t>选择一项。</w:t>
          </w:r>
        </w:p>
      </w:docPartBody>
    </w:docPart>
    <w:docPart>
      <w:docPartPr>
        <w:name w:val="7AE09444D4304CF1AB85398D670D265F"/>
        <w:style w:val=""/>
        <w:category>
          <w:name w:val="常规"/>
          <w:gallery w:val="placeholder"/>
        </w:category>
        <w:types>
          <w:type w:val="bbPlcHdr"/>
        </w:types>
        <w:behaviors>
          <w:behavior w:val="content"/>
        </w:behaviors>
        <w:description w:val=""/>
        <w:guid w:val="{219CD4A3-E4DA-4CA2-81ED-1A98B319D4DE}"/>
      </w:docPartPr>
      <w:docPartBody>
        <w:p w14:paraId="77E55809">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等线">
    <w:altName w:val="汉仪中等线KW"/>
    <w:panose1 w:val="02010600030101010101"/>
    <w:charset w:val="86"/>
    <w:family w:val="auto"/>
    <w:pitch w:val="default"/>
    <w:sig w:usb0="00000000" w:usb1="00000000" w:usb2="00000016" w:usb3="00000000" w:csb0="0004000F" w:csb1="00000000"/>
  </w:font>
  <w:font w:name="DengXian">
    <w:altName w:val="汉仪中等线KW"/>
    <w:panose1 w:val="00000000000000000000"/>
    <w:charset w:val="00"/>
    <w:family w:val="auto"/>
    <w:pitch w:val="default"/>
    <w:sig w:usb0="00000000" w:usb1="00000000" w:usb2="00000000" w:usb3="00000000" w:csb0="00000000" w:csb1="00000000"/>
  </w:font>
  <w:font w:name="等线">
    <w:altName w:val="汉仪中等线KW"/>
    <w:panose1 w:val="00000000000000000000"/>
    <w:charset w:val="86"/>
    <w:family w:val="auto"/>
    <w:pitch w:val="default"/>
    <w:sig w:usb0="00000000" w:usb1="00000000" w:usb2="00000000" w:usb3="00000000" w:csb0="00000000" w:csb1="00000000"/>
  </w:font>
  <w:font w:name="等线">
    <w:altName w:val="汉仪中等线KW"/>
    <w:panose1 w:val="00000000000000000000"/>
    <w:charset w:val="00"/>
    <w:family w:val="auto"/>
    <w:pitch w:val="default"/>
    <w:sig w:usb0="00000000" w:usb1="00000000" w:usb2="00000000" w:usb3="00000000" w:csb0="0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6A8F"/>
    <w:rsid w:val="00392731"/>
    <w:rsid w:val="005D6A8F"/>
    <w:rsid w:val="006C351D"/>
    <w:rsid w:val="00780BE7"/>
    <w:rsid w:val="00902A2A"/>
    <w:rsid w:val="00943EED"/>
    <w:rsid w:val="00D652EE"/>
    <w:rsid w:val="00F6198C"/>
    <w:rsid w:val="00FD01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sdException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uiPriority w:val="99"/>
    <w:rPr>
      <w:color w:val="808080"/>
    </w:rPr>
  </w:style>
  <w:style w:type="paragraph" w:customStyle="1" w:styleId="5">
    <w:name w:val="6A215A26A46B4406A0EFA50FA0F089A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1B343EB3448543A0AE1689AFA13238A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7AE09444D4304CF1AB85398D670D265F"/>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Version="6"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4C227C6-A15B-471C-BF42-5AD54B64AE4D}">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8</Pages>
  <Words>722</Words>
  <Characters>4119</Characters>
  <Lines>34</Lines>
  <Paragraphs>9</Paragraphs>
  <TotalTime>22</TotalTime>
  <ScaleCrop>false</ScaleCrop>
  <LinksUpToDate>false</LinksUpToDate>
  <CharactersWithSpaces>4832</CharactersWithSpaces>
  <Application>WPS Office_12.1.23540.23540_F1E327BC-269C-435d-A152-05C5408002CA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2025-11-18T15:09:00Z</dcterms:created>
  <dc:creator>air</dc:creator>
  <dc:description>&lt;config cover="true" show_menu="true" version="1.0.0" doctype="SDKXY"&gt;_x000d_
&lt;/config&gt;</dc:description>
  <cp:lastModifiedBy>森林里的一颗树</cp:lastModifiedBy>
  <cp:lastPrinted>2025-11-18T15:00:00Z</cp:lastPrinted>
  <dcterms:modified xsi:type="dcterms:W3CDTF">2026-02-03T10:44:10Z</dcterms:modified>
  <dc:title>团体标准</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2052-12.1.23540.23540</vt:lpwstr>
  </property>
  <property fmtid="{D5CDD505-2E9C-101B-9397-08002B2CF9AE}" pid="15" name="ICV">
    <vt:lpwstr>D4BF6DD48FEE9A37FA6081697A7C606D_42</vt:lpwstr>
  </property>
</Properties>
</file>