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458E87D0">
        <w:tc>
          <w:tcPr>
            <w:tcW w:w="509" w:type="dxa"/>
          </w:tcPr>
          <w:p w14:paraId="457DB0B3">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59B78165">
            <w:pPr>
              <w:pStyle w:val="18"/>
              <w:framePr w:wrap="notBeside" w:vAnchor="page" w:hAnchor="page" w:x="1372" w:y="568"/>
              <w:tabs>
                <w:tab w:val="clear" w:pos="4153"/>
                <w:tab w:val="clear" w:pos="8306"/>
              </w:tabs>
              <w:spacing w:line="240" w:lineRule="auto"/>
              <w:jc w:val="both"/>
              <w:rPr>
                <w:rFonts w:ascii="黑体" w:hAnsi="黑体" w:eastAsia="黑体"/>
                <w:sz w:val="21"/>
                <w:szCs w:val="21"/>
              </w:rPr>
            </w:pPr>
            <w:bookmarkStart w:id="48" w:name="_GoBack"/>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0"/>
            <w:bookmarkEnd w:id="48"/>
          </w:p>
        </w:tc>
      </w:tr>
      <w:tr w14:paraId="444825FC">
        <w:tc>
          <w:tcPr>
            <w:tcW w:w="509" w:type="dxa"/>
          </w:tcPr>
          <w:p w14:paraId="6DE7547D">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7A6B4FE5">
              <w:trPr>
                <w:trHeight w:val="1021" w:hRule="exact"/>
              </w:trPr>
              <w:tc>
                <w:tcPr>
                  <w:tcW w:w="9242" w:type="dxa"/>
                  <w:vAlign w:val="center"/>
                </w:tcPr>
                <w:p w14:paraId="15F55510">
                  <w:pPr>
                    <w:pStyle w:val="49"/>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BZJK</w:t>
                  </w:r>
                  <w:r>
                    <w:fldChar w:fldCharType="end"/>
                  </w:r>
                  <w:bookmarkEnd w:id="1"/>
                </w:p>
              </w:tc>
            </w:tr>
          </w:tbl>
          <w:p w14:paraId="797AE64E">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     </w:t>
            </w:r>
            <w:r>
              <w:rPr>
                <w:rFonts w:ascii="黑体" w:hAnsi="黑体" w:eastAsia="黑体"/>
                <w:sz w:val="21"/>
                <w:szCs w:val="21"/>
              </w:rPr>
              <w:fldChar w:fldCharType="end"/>
            </w:r>
            <w:bookmarkEnd w:id="2"/>
          </w:p>
        </w:tc>
      </w:tr>
    </w:tbl>
    <w:p w14:paraId="5643AA78">
      <w:pPr>
        <w:pStyle w:val="50"/>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rPr>
        <w:t>亳州市健康养生产业协会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74773BED">
      <w:pPr>
        <w:pStyle w:val="195"/>
        <w:framePr/>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rPr>
        <w:t>BZJK</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58428605">
      <w:pPr>
        <w:pStyle w:val="196"/>
        <w:framePr/>
        <w:rPr>
          <w:rFonts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1BE4C23D">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3EC1D6D0">
      <w:pPr>
        <w:pStyle w:val="50"/>
        <w:framePr w:w="9639" w:h="6976" w:hRule="exact" w:hSpace="0" w:vSpace="0" w:wrap="around" w:hAnchor="page" w:y="6408"/>
        <w:jc w:val="center"/>
        <w:rPr>
          <w:rFonts w:ascii="黑体" w:hAnsi="黑体" w:eastAsia="黑体"/>
          <w:b w:val="0"/>
          <w:bCs w:val="0"/>
          <w:w w:val="100"/>
        </w:rPr>
      </w:pPr>
    </w:p>
    <w:p w14:paraId="787246AE">
      <w:pPr>
        <w:pStyle w:val="197"/>
        <w:framePr w:h="6974" w:hRule="exact" w:wrap="around" w:x="1419" w:anchorLock="1"/>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中医药运动康养服务规范</w:t>
      </w:r>
      <w:r>
        <w:fldChar w:fldCharType="end"/>
      </w:r>
      <w:bookmarkEnd w:id="9"/>
    </w:p>
    <w:p w14:paraId="72AE1BE3">
      <w:pPr>
        <w:framePr w:w="9639" w:h="6974" w:hRule="exact" w:wrap="around" w:vAnchor="page" w:hAnchor="page" w:x="1419" w:y="6408" w:anchorLock="1"/>
        <w:ind w:left="-1418"/>
      </w:pPr>
    </w:p>
    <w:p w14:paraId="0F96A255">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r>
        <w:rPr>
          <w:rFonts w:eastAsia="黑体"/>
          <w:szCs w:val="28"/>
        </w:rPr>
        <w:t>     </w:t>
      </w:r>
      <w:r>
        <w:rPr>
          <w:rFonts w:eastAsia="黑体"/>
          <w:szCs w:val="28"/>
        </w:rPr>
        <w:fldChar w:fldCharType="end"/>
      </w:r>
      <w:bookmarkEnd w:id="10"/>
    </w:p>
    <w:p w14:paraId="32342FA0">
      <w:pPr>
        <w:framePr w:w="9639" w:h="6974" w:hRule="exact" w:wrap="around" w:vAnchor="page" w:hAnchor="page" w:x="1419" w:y="6408" w:anchorLock="1"/>
        <w:spacing w:line="760" w:lineRule="exact"/>
        <w:ind w:left="-1418"/>
      </w:pPr>
    </w:p>
    <w:p w14:paraId="4B99D8F9">
      <w:pPr>
        <w:pStyle w:val="125"/>
        <w:framePr w:w="9639" w:h="6974" w:hRule="exact" w:wrap="around" w:vAnchor="page" w:hAnchor="page" w:x="1419" w:y="6408" w:anchorLock="1"/>
        <w:textAlignment w:val="bottom"/>
        <w:rPr>
          <w:rFonts w:eastAsia="黑体"/>
          <w:szCs w:val="28"/>
        </w:rPr>
      </w:pPr>
    </w:p>
    <w:p w14:paraId="54FDB7CC">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fldChar w:fldCharType="separate"/>
      </w:r>
      <w:r>
        <w:rPr>
          <w:sz w:val="24"/>
          <w:szCs w:val="28"/>
        </w:rPr>
        <w:fldChar w:fldCharType="end"/>
      </w:r>
      <w:bookmarkEnd w:id="11"/>
    </w:p>
    <w:p w14:paraId="1D792830">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fldChar w:fldCharType="separate"/>
      </w:r>
      <w:r>
        <w:rPr>
          <w:sz w:val="21"/>
          <w:szCs w:val="28"/>
        </w:rPr>
        <w:t>(</w:t>
      </w:r>
      <w:r>
        <w:rPr>
          <w:rFonts w:hint="eastAsia"/>
          <w:sz w:val="21"/>
          <w:szCs w:val="28"/>
        </w:rPr>
        <w:t>征求意见稿)</w:t>
      </w:r>
      <w:r>
        <w:rPr>
          <w:sz w:val="21"/>
          <w:szCs w:val="28"/>
        </w:rPr>
        <w:fldChar w:fldCharType="end"/>
      </w:r>
      <w:bookmarkEnd w:id="12"/>
    </w:p>
    <w:p w14:paraId="71DDD072">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fldChar w:fldCharType="separate"/>
      </w:r>
      <w:r>
        <w:rPr>
          <w:b/>
          <w:sz w:val="21"/>
          <w:szCs w:val="28"/>
        </w:rPr>
        <w:fldChar w:fldCharType="end"/>
      </w:r>
      <w:bookmarkEnd w:id="13"/>
    </w:p>
    <w:p w14:paraId="668EAAA2">
      <w:pPr>
        <w:pStyle w:val="193"/>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rPr>
          <w:rFonts w:hint="eastAsia"/>
        </w:rPr>
        <w:t>发布</w:t>
      </w:r>
    </w:p>
    <w:p w14:paraId="1019F240">
      <w:pPr>
        <w:pStyle w:val="194"/>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rPr>
          <w:rFonts w:hint="eastAsia"/>
        </w:rPr>
        <w:t>实施</w:t>
      </w:r>
    </w:p>
    <w:p w14:paraId="5FD09AB7">
      <w:pPr>
        <w:pStyle w:val="151"/>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fldChar w:fldCharType="separate"/>
      </w:r>
      <w:r>
        <w:rPr>
          <w:rFonts w:hint="eastAsia" w:hAnsi="黑体"/>
          <w:w w:val="100"/>
          <w:sz w:val="28"/>
        </w:rPr>
        <w:t>亳州市健康养生产业协会</w:t>
      </w:r>
      <w:r>
        <w:rPr>
          <w:rFonts w:hAnsi="黑体"/>
          <w:w w:val="100"/>
          <w:sz w:val="28"/>
        </w:rPr>
        <w:fldChar w:fldCharType="end"/>
      </w:r>
      <w:bookmarkEnd w:id="20"/>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1FA76392">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4EDED9D0">
      <w:pPr>
        <w:pStyle w:val="89"/>
        <w:spacing w:after="360"/>
      </w:pPr>
      <w:bookmarkStart w:id="21" w:name="BookMark2"/>
      <w:r>
        <w:rPr>
          <w:spacing w:val="320"/>
        </w:rPr>
        <w:t>前</w:t>
      </w:r>
      <w:r>
        <w:t>言</w:t>
      </w:r>
    </w:p>
    <w:p w14:paraId="54886D11">
      <w:pPr>
        <w:pStyle w:val="56"/>
        <w:ind w:firstLine="420"/>
      </w:pPr>
      <w:r>
        <w:rPr>
          <w:rFonts w:hint="eastAsia"/>
        </w:rPr>
        <w:t>本文件按照GB/T 1.1—2020《标准化工作导则  第1部分：标准化文件的结构和起草规则》的规定起草。</w:t>
      </w:r>
    </w:p>
    <w:p w14:paraId="31FEF7A7">
      <w:pPr>
        <w:pStyle w:val="56"/>
        <w:ind w:firstLine="420"/>
      </w:pPr>
      <w:r>
        <w:rPr>
          <w:rFonts w:hint="eastAsia"/>
        </w:rPr>
        <w:t>请注意本文件的某些内容可能涉及专利。本文件的发布机构不承担识别专利的责任。</w:t>
      </w:r>
    </w:p>
    <w:p w14:paraId="43CD4C65">
      <w:pPr>
        <w:pStyle w:val="56"/>
        <w:ind w:firstLine="420"/>
      </w:pPr>
      <w:r>
        <w:rPr>
          <w:rFonts w:hint="eastAsia"/>
        </w:rPr>
        <w:t>本文件由亳州市健康养生产业协会提出并归口。</w:t>
      </w:r>
    </w:p>
    <w:p w14:paraId="522E93DF">
      <w:pPr>
        <w:pStyle w:val="56"/>
        <w:ind w:firstLine="420"/>
      </w:pPr>
      <w:r>
        <w:rPr>
          <w:rFonts w:hint="eastAsia"/>
        </w:rPr>
        <w:t>本文件起草单位：</w:t>
      </w:r>
      <w:r>
        <w:rPr>
          <w:rFonts w:hint="eastAsia" w:hAnsi="宋体"/>
          <w:bCs/>
        </w:rPr>
        <w:t>。</w:t>
      </w:r>
    </w:p>
    <w:p w14:paraId="079795CC">
      <w:pPr>
        <w:pStyle w:val="56"/>
        <w:ind w:firstLine="420"/>
      </w:pPr>
      <w:r>
        <w:rPr>
          <w:rFonts w:hint="eastAsia"/>
        </w:rPr>
        <w:t>本文件主要起草人：。</w:t>
      </w:r>
    </w:p>
    <w:p w14:paraId="0CB5634C">
      <w:pPr>
        <w:pStyle w:val="56"/>
        <w:ind w:firstLine="420"/>
      </w:pPr>
    </w:p>
    <w:p w14:paraId="3311F553">
      <w:pPr>
        <w:pStyle w:val="56"/>
        <w:ind w:firstLine="420"/>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p>
    <w:bookmarkEnd w:id="21"/>
    <w:p w14:paraId="0AF8B079">
      <w:pPr>
        <w:spacing w:line="20" w:lineRule="exact"/>
        <w:jc w:val="center"/>
        <w:rPr>
          <w:rFonts w:ascii="黑体" w:hAnsi="黑体" w:eastAsia="黑体"/>
          <w:sz w:val="32"/>
          <w:szCs w:val="32"/>
        </w:rPr>
      </w:pPr>
      <w:bookmarkStart w:id="22" w:name="BookMark4"/>
    </w:p>
    <w:p w14:paraId="52F1734D">
      <w:pPr>
        <w:spacing w:line="20" w:lineRule="exact"/>
        <w:jc w:val="center"/>
        <w:rPr>
          <w:rFonts w:ascii="黑体" w:hAnsi="黑体" w:eastAsia="黑体"/>
          <w:sz w:val="32"/>
          <w:szCs w:val="32"/>
        </w:rPr>
      </w:pPr>
    </w:p>
    <w:sdt>
      <w:sdtPr>
        <w:tag w:val="NEW_STAND_NAME"/>
        <w:id w:val="595910757"/>
        <w:lock w:val="sdtLocked"/>
        <w:placeholder>
          <w:docPart w:val="6A215A26A46B4406A0EFA50FA0F089A1"/>
        </w:placeholder>
      </w:sdtPr>
      <w:sdtContent>
        <w:p w14:paraId="4900256D">
          <w:pPr>
            <w:pStyle w:val="177"/>
            <w:spacing w:before="2" w:beforeLines="1" w:after="528" w:afterLines="220"/>
          </w:pPr>
          <w:bookmarkStart w:id="23" w:name="NEW_STAND_NAME"/>
          <w:r>
            <w:rPr>
              <w:rFonts w:hint="eastAsia"/>
            </w:rPr>
            <w:t>中医药运动康养服务规范</w:t>
          </w:r>
        </w:p>
      </w:sdtContent>
    </w:sdt>
    <w:bookmarkEnd w:id="23"/>
    <w:p w14:paraId="4B965FD8">
      <w:pPr>
        <w:pStyle w:val="104"/>
        <w:spacing w:before="240" w:after="240"/>
      </w:pPr>
      <w:bookmarkStart w:id="24" w:name="_Toc17233325"/>
      <w:bookmarkStart w:id="25" w:name="_Toc97192964"/>
      <w:bookmarkStart w:id="26" w:name="_Toc26648465"/>
      <w:bookmarkStart w:id="27" w:name="_Toc17233333"/>
      <w:bookmarkStart w:id="28" w:name="_Toc26986771"/>
      <w:bookmarkStart w:id="29" w:name="_Toc24884211"/>
      <w:bookmarkStart w:id="30" w:name="_Toc24884218"/>
      <w:bookmarkStart w:id="31" w:name="_Toc26986530"/>
      <w:bookmarkStart w:id="32" w:name="_Toc26718930"/>
      <w:r>
        <w:rPr>
          <w:rFonts w:hint="eastAsia"/>
        </w:rPr>
        <w:t>范围</w:t>
      </w:r>
      <w:bookmarkEnd w:id="24"/>
      <w:bookmarkEnd w:id="25"/>
      <w:bookmarkEnd w:id="26"/>
      <w:bookmarkEnd w:id="27"/>
      <w:bookmarkEnd w:id="28"/>
      <w:bookmarkEnd w:id="29"/>
      <w:bookmarkEnd w:id="30"/>
      <w:bookmarkEnd w:id="31"/>
      <w:bookmarkEnd w:id="32"/>
    </w:p>
    <w:p w14:paraId="68DC6C84">
      <w:pPr>
        <w:pStyle w:val="56"/>
        <w:ind w:firstLine="420"/>
      </w:pPr>
      <w:bookmarkStart w:id="33" w:name="_Toc24884219"/>
      <w:bookmarkStart w:id="34" w:name="_Toc17233326"/>
      <w:bookmarkStart w:id="35" w:name="_Toc17233334"/>
      <w:bookmarkStart w:id="36" w:name="_Toc24884212"/>
      <w:bookmarkStart w:id="37" w:name="_Toc26648466"/>
      <w:r>
        <w:rPr>
          <w:rFonts w:hint="eastAsia"/>
        </w:rPr>
        <w:t>本文件规定了中医药运动康养服务的术语和定义、服务原则、服务机构与人员要求、详细服务流程、服务内容、质量管理、安全与应急以及评价改进等内容。</w:t>
      </w:r>
    </w:p>
    <w:p w14:paraId="581EA4AA">
      <w:pPr>
        <w:pStyle w:val="56"/>
        <w:ind w:firstLine="420"/>
      </w:pPr>
      <w:r>
        <w:rPr>
          <w:rFonts w:hint="eastAsia"/>
        </w:rPr>
        <w:t xml:space="preserve">  本文件适用于中医药运动康养服务。</w:t>
      </w:r>
    </w:p>
    <w:p w14:paraId="7B8768F0">
      <w:pPr>
        <w:pStyle w:val="104"/>
        <w:spacing w:before="240" w:after="240"/>
      </w:pPr>
      <w:bookmarkStart w:id="38" w:name="_Toc26718931"/>
      <w:bookmarkStart w:id="39" w:name="_Toc26986772"/>
      <w:bookmarkStart w:id="40" w:name="_Toc97192965"/>
      <w:bookmarkStart w:id="41" w:name="_Toc26986531"/>
      <w:r>
        <w:rPr>
          <w:rFonts w:hint="eastAsia"/>
        </w:rPr>
        <w:t>规范性引用文件</w:t>
      </w:r>
      <w:bookmarkEnd w:id="33"/>
      <w:bookmarkEnd w:id="34"/>
      <w:bookmarkEnd w:id="35"/>
      <w:bookmarkEnd w:id="36"/>
      <w:bookmarkEnd w:id="37"/>
      <w:bookmarkEnd w:id="38"/>
      <w:bookmarkEnd w:id="39"/>
      <w:bookmarkEnd w:id="40"/>
      <w:bookmarkEnd w:id="41"/>
    </w:p>
    <w:sdt>
      <w:sdtPr>
        <w:rPr>
          <w:rFonts w:hint="eastAsia"/>
        </w:rPr>
        <w:id w:val="715848253"/>
        <w:placeholder>
          <w:docPart w:val="1B343EB3448543A0AE1689AFA13238AC"/>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71C2514">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E5AF76D">
      <w:pPr>
        <w:pStyle w:val="231"/>
        <w:ind w:firstLine="440"/>
      </w:pPr>
      <w:r>
        <w:t>T/BZJK 04-2023 养老机构中医保健服务规范</w:t>
      </w:r>
    </w:p>
    <w:p w14:paraId="0950649A">
      <w:pPr>
        <w:pStyle w:val="104"/>
        <w:spacing w:before="240" w:after="240"/>
      </w:pPr>
      <w:bookmarkStart w:id="42" w:name="_Toc97192966"/>
      <w:r>
        <w:rPr>
          <w:rFonts w:hint="eastAsia"/>
          <w:szCs w:val="21"/>
        </w:rPr>
        <w:t>术语和定义</w:t>
      </w:r>
      <w:bookmarkEnd w:id="42"/>
    </w:p>
    <w:sdt>
      <w:sdtPr>
        <w:rPr>
          <w:rFonts w:cs="宋体"/>
        </w:rPr>
        <w:id w:val="-1"/>
        <w:placeholder>
          <w:docPart w:val="7AE09444D4304CF1AB85398D670D265F"/>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cs="宋体"/>
        </w:rPr>
      </w:sdtEndPr>
      <w:sdtContent>
        <w:p w14:paraId="091BB82E">
          <w:pPr>
            <w:pStyle w:val="56"/>
            <w:ind w:firstLine="420"/>
          </w:pPr>
          <w:bookmarkStart w:id="43" w:name="_Toc26986532"/>
          <w:bookmarkEnd w:id="43"/>
          <w:r>
            <w:rPr>
              <w:rFonts w:cs="宋体"/>
            </w:rPr>
            <w:t>下列术语和定义适用于本文件。</w:t>
          </w:r>
        </w:p>
      </w:sdtContent>
    </w:sdt>
    <w:bookmarkEnd w:id="22"/>
    <w:p w14:paraId="785E1065">
      <w:pPr>
        <w:pStyle w:val="105"/>
        <w:spacing w:before="120" w:after="120"/>
      </w:pPr>
      <w:bookmarkStart w:id="44" w:name="_Toc66388055"/>
      <w:bookmarkStart w:id="45" w:name="BookMark5"/>
      <w:bookmarkStart w:id="46" w:name="_Toc9877"/>
      <w:r>
        <w:br w:type="textWrapping"/>
      </w:r>
      <w:r>
        <w:t xml:space="preserve">    </w:t>
      </w:r>
      <w:bookmarkEnd w:id="44"/>
      <w:r>
        <w:rPr>
          <w:rFonts w:hint="eastAsia"/>
        </w:rPr>
        <w:t>中医药运动康养</w:t>
      </w:r>
    </w:p>
    <w:p w14:paraId="0F86A93F">
      <w:pPr>
        <w:pStyle w:val="56"/>
        <w:ind w:firstLine="420"/>
      </w:pPr>
      <w:r>
        <w:rPr>
          <w:rFonts w:hint="eastAsia"/>
        </w:rPr>
        <w:t>在中医“治未病”和整体观理论指导下，结合现代运动科学，通过系统性的、个性化的运动干预方案，并辅以中医药调理手段（如药膳食疗、经络调理等），以达到增强体质、预防疾病、促进康复、优化身心状态的综合性健康服务活动。</w:t>
      </w:r>
    </w:p>
    <w:p w14:paraId="7DC7BDD9">
      <w:pPr>
        <w:pStyle w:val="105"/>
        <w:spacing w:before="120" w:after="120"/>
        <w:rPr>
          <w:rFonts w:hAnsi="黑体"/>
        </w:rPr>
      </w:pPr>
    </w:p>
    <w:p w14:paraId="23269062">
      <w:pPr>
        <w:pStyle w:val="105"/>
        <w:numPr>
          <w:ilvl w:val="0"/>
          <w:numId w:val="0"/>
        </w:numPr>
        <w:spacing w:before="120" w:after="120"/>
        <w:rPr>
          <w:rFonts w:hAnsi="黑体"/>
        </w:rPr>
      </w:pPr>
      <w:r>
        <w:rPr>
          <w:rFonts w:hAnsi="黑体"/>
        </w:rPr>
        <w:t xml:space="preserve">   </w:t>
      </w:r>
      <w:r>
        <w:rPr>
          <w:rFonts w:hint="eastAsia" w:hAnsi="黑体"/>
        </w:rPr>
        <w:t xml:space="preserve"> 亳州特色运动康养</w:t>
      </w:r>
    </w:p>
    <w:p w14:paraId="55B02904">
      <w:pPr>
        <w:pStyle w:val="231"/>
        <w:ind w:firstLine="418" w:firstLineChars="190"/>
      </w:pPr>
      <w:r>
        <w:rPr>
          <w:rFonts w:hint="eastAsia"/>
        </w:rPr>
        <w:t>以国家级非物质文化遗产“华佗五禽戏”为核心功法，充分利用亳州道地药材、药膳、森林、温泉等生态与文化资源，开展的具有鲜明地域特色的运动康养服务形式。</w:t>
      </w:r>
    </w:p>
    <w:p w14:paraId="5D87B9D4">
      <w:pPr>
        <w:pStyle w:val="105"/>
        <w:spacing w:before="120" w:after="120"/>
      </w:pPr>
    </w:p>
    <w:p w14:paraId="11B9C745">
      <w:pPr>
        <w:pStyle w:val="105"/>
        <w:numPr>
          <w:ilvl w:val="0"/>
          <w:numId w:val="0"/>
        </w:numPr>
        <w:spacing w:before="120" w:after="120"/>
      </w:pPr>
      <w:r>
        <w:t xml:space="preserve">    </w:t>
      </w:r>
      <w:r>
        <w:rPr>
          <w:rFonts w:hint="eastAsia"/>
        </w:rPr>
        <w:t>运动康养指导师</w:t>
      </w:r>
    </w:p>
    <w:p w14:paraId="5D26EBD9">
      <w:pPr>
        <w:pStyle w:val="56"/>
        <w:ind w:firstLine="420"/>
      </w:pPr>
      <w:r>
        <w:rPr>
          <w:rFonts w:hint="eastAsia"/>
        </w:rPr>
        <w:t>经过系统培训，掌握中医药基础理论、运动人体科学、损伤防护、急救技能，并精通华佗五禽戏等特色功法教学，能够为顾客制定并指导执行个性化运动康养方案的专业人员。应持有社会体育指导员（健身气功、户外运动等方向）、健康管理师等国家认可的职业资格证书</w:t>
      </w:r>
      <w:r>
        <w:t>。</w:t>
      </w:r>
    </w:p>
    <w:p w14:paraId="5119A779">
      <w:pPr>
        <w:pStyle w:val="105"/>
        <w:spacing w:before="120" w:after="120"/>
      </w:pPr>
      <w:r>
        <w:br w:type="textWrapping"/>
      </w:r>
      <w:r>
        <w:t xml:space="preserve">    </w:t>
      </w:r>
      <w:r>
        <w:rPr>
          <w:rFonts w:hint="eastAsia"/>
        </w:rPr>
        <w:t>自然运动康养基地</w:t>
      </w:r>
    </w:p>
    <w:p w14:paraId="5DC1957F">
      <w:pPr>
        <w:pStyle w:val="56"/>
        <w:ind w:firstLine="420"/>
      </w:pPr>
      <w:r>
        <w:rPr>
          <w:rFonts w:hint="eastAsia"/>
        </w:rPr>
        <w:t>依托森林、湖泊、河流、田园等优质自然资源，建设有符合安全标准的运动步道、场地和设施，能够系统开展徒步、骑行、垂钓、水上运动、森林疗养等康养活动的特定区域。</w:t>
      </w:r>
    </w:p>
    <w:p w14:paraId="454B9705">
      <w:pPr>
        <w:pStyle w:val="104"/>
        <w:spacing w:before="240" w:after="240"/>
      </w:pPr>
      <w:r>
        <w:rPr>
          <w:rFonts w:hint="eastAsia"/>
        </w:rPr>
        <w:t>服务原则</w:t>
      </w:r>
    </w:p>
    <w:p w14:paraId="36BB4AD3">
      <w:pPr>
        <w:pStyle w:val="105"/>
        <w:spacing w:before="120" w:after="120"/>
      </w:pPr>
    </w:p>
    <w:p w14:paraId="119E6227">
      <w:pPr>
        <w:pStyle w:val="105"/>
        <w:numPr>
          <w:ilvl w:val="0"/>
          <w:numId w:val="0"/>
        </w:numPr>
        <w:spacing w:before="120" w:after="120"/>
        <w:ind w:firstLine="420" w:firstLineChars="200"/>
      </w:pPr>
      <w:r>
        <w:t>安全第一，循序渐进</w:t>
      </w:r>
    </w:p>
    <w:p w14:paraId="159EFE35">
      <w:pPr>
        <w:pStyle w:val="56"/>
        <w:ind w:firstLine="420"/>
      </w:pPr>
      <w:r>
        <w:t>所有运动康养活动必须将安全置于首位。方案制定与实施应遵循个体化原则，强度由低到高，动作由简到繁，确保顾客身体可承受。</w:t>
      </w:r>
    </w:p>
    <w:p w14:paraId="4580AAEC">
      <w:pPr>
        <w:pStyle w:val="105"/>
        <w:spacing w:before="120" w:after="120"/>
      </w:pPr>
    </w:p>
    <w:p w14:paraId="1FF1B1F0">
      <w:pPr>
        <w:pStyle w:val="105"/>
        <w:numPr>
          <w:ilvl w:val="0"/>
          <w:numId w:val="0"/>
        </w:numPr>
        <w:spacing w:before="120" w:after="120"/>
        <w:ind w:firstLine="420" w:firstLineChars="200"/>
      </w:pPr>
      <w:r>
        <w:t>中医辨证，动态调整</w:t>
      </w:r>
    </w:p>
    <w:p w14:paraId="5CFBA0BE">
      <w:pPr>
        <w:pStyle w:val="56"/>
        <w:ind w:firstLine="420"/>
      </w:pPr>
      <w:r>
        <w:t>服务应以中医体质辨识为基础，辨证施养。在服务过程中，需根据顾客的身体反应和阶段评估结果，动态调整运动方案与辅助调理手段。</w:t>
      </w:r>
    </w:p>
    <w:p w14:paraId="2556262C">
      <w:pPr>
        <w:pStyle w:val="105"/>
        <w:spacing w:before="120" w:after="120"/>
      </w:pPr>
    </w:p>
    <w:p w14:paraId="40995A4D">
      <w:pPr>
        <w:pStyle w:val="105"/>
        <w:numPr>
          <w:ilvl w:val="0"/>
          <w:numId w:val="0"/>
        </w:numPr>
        <w:spacing w:before="120" w:after="120"/>
        <w:ind w:firstLine="420" w:firstLineChars="200"/>
      </w:pPr>
      <w:r>
        <w:t>身心共养，形神兼修</w:t>
      </w:r>
    </w:p>
    <w:p w14:paraId="7FDEE3CD">
      <w:pPr>
        <w:pStyle w:val="56"/>
        <w:ind w:firstLine="420"/>
      </w:pPr>
      <w:r>
        <w:t>运动康养应兼顾身体锻炼与心理调适，通过户外运动舒展形体，结合自然环境与中医药文化陶冶情志，实现身心和谐。</w:t>
      </w:r>
    </w:p>
    <w:p w14:paraId="356C5A71">
      <w:pPr>
        <w:pStyle w:val="105"/>
        <w:spacing w:before="120" w:after="120"/>
      </w:pPr>
    </w:p>
    <w:p w14:paraId="20D7E1E8">
      <w:pPr>
        <w:pStyle w:val="105"/>
        <w:numPr>
          <w:ilvl w:val="0"/>
          <w:numId w:val="0"/>
        </w:numPr>
        <w:spacing w:before="120" w:after="120"/>
        <w:ind w:firstLine="420" w:firstLineChars="200"/>
      </w:pPr>
      <w:r>
        <w:t>资源融合，特色发展</w:t>
      </w:r>
    </w:p>
    <w:p w14:paraId="02DC2FF0">
      <w:pPr>
        <w:pStyle w:val="56"/>
        <w:ind w:firstLine="420"/>
      </w:pPr>
      <w:r>
        <w:t>深度融合亳州华佗五禽戏文化、道地药材资源与自然生态优势，创新开发“运动+中医药+生态”的特色服务产品与业态。</w:t>
      </w:r>
    </w:p>
    <w:p w14:paraId="3DE7FC95">
      <w:pPr>
        <w:pStyle w:val="104"/>
        <w:spacing w:before="240" w:after="240"/>
      </w:pPr>
      <w:r>
        <w:t>服务机构、人员与环境</w:t>
      </w:r>
    </w:p>
    <w:p w14:paraId="67ECC917">
      <w:pPr>
        <w:pStyle w:val="105"/>
        <w:spacing w:before="120" w:after="120"/>
      </w:pPr>
      <w:r>
        <w:t>服务机构要求</w:t>
      </w:r>
    </w:p>
    <w:p w14:paraId="0DD061EA">
      <w:pPr>
        <w:pStyle w:val="65"/>
        <w:spacing w:before="120" w:after="120"/>
      </w:pPr>
      <w:r>
        <w:t>资质制度</w:t>
      </w:r>
    </w:p>
    <w:p w14:paraId="4483A086">
      <w:pPr>
        <w:pStyle w:val="56"/>
        <w:ind w:firstLine="420"/>
      </w:pPr>
      <w:r>
        <w:t>依法登记，建立完善的安全管理、质量监控、应急预案及客户档案管理制度。</w:t>
      </w:r>
    </w:p>
    <w:p w14:paraId="7B30F4FF">
      <w:pPr>
        <w:pStyle w:val="65"/>
        <w:spacing w:before="120" w:after="120"/>
      </w:pPr>
      <w:r>
        <w:rPr>
          <w:bCs/>
        </w:rPr>
        <w:t>室内场所</w:t>
      </w:r>
    </w:p>
    <w:p w14:paraId="6A82E5CA">
      <w:pPr>
        <w:pStyle w:val="56"/>
        <w:ind w:firstLine="420"/>
      </w:pPr>
      <w:r>
        <w:t>应配备用于体质辨识、教学指导、放松调理的功能区，环境符合安全卫生标准。</w:t>
      </w:r>
    </w:p>
    <w:p w14:paraId="7EFEF0D7">
      <w:pPr>
        <w:pStyle w:val="65"/>
        <w:spacing w:before="120" w:after="120"/>
        <w:rPr>
          <w:bCs/>
        </w:rPr>
      </w:pPr>
      <w:r>
        <w:t>户外基地</w:t>
      </w:r>
    </w:p>
    <w:p w14:paraId="7D29EF9F">
      <w:pPr>
        <w:pStyle w:val="56"/>
        <w:ind w:firstLine="420"/>
      </w:pPr>
      <w:r>
        <w:t>自然运动康养基地应拥有清晰的边界、安全的运动路径（如步道平均宽度宜1.5-2米）、明确的标识系统以及必要的庇护、补给和急救点。</w:t>
      </w:r>
    </w:p>
    <w:p w14:paraId="349E81E0">
      <w:pPr>
        <w:pStyle w:val="65"/>
        <w:spacing w:before="120" w:after="120"/>
      </w:pPr>
      <w:r>
        <w:rPr>
          <w:bCs/>
        </w:rPr>
        <w:t>赛事场地</w:t>
      </w:r>
    </w:p>
    <w:p w14:paraId="274AD185">
      <w:pPr>
        <w:pStyle w:val="56"/>
        <w:ind w:firstLine="420"/>
      </w:pPr>
      <w:r>
        <w:t>举办马拉松、自行车等赛事的基地或综合体，其场地设施应符合相应赛事级别的国家标准或行业标准。</w:t>
      </w:r>
    </w:p>
    <w:p w14:paraId="6A073A9E">
      <w:pPr>
        <w:pStyle w:val="105"/>
        <w:spacing w:before="120" w:after="120"/>
      </w:pPr>
      <w:r>
        <w:t>服务人员要求</w:t>
      </w:r>
    </w:p>
    <w:p w14:paraId="1B15F01A">
      <w:pPr>
        <w:pStyle w:val="65"/>
        <w:spacing w:before="120" w:after="120"/>
        <w:rPr>
          <w:bCs/>
        </w:rPr>
      </w:pPr>
      <w:r>
        <w:rPr>
          <w:bCs/>
        </w:rPr>
        <w:t>运动康养指导师</w:t>
      </w:r>
    </w:p>
    <w:p w14:paraId="333BFB4C">
      <w:pPr>
        <w:pStyle w:val="56"/>
        <w:ind w:firstLine="420"/>
      </w:pPr>
      <w:r>
        <w:t>为核心服务人员，需持证上岗，每年接受继续教育。不仅需掌握运动技能，还应学习基础中医理论和沟通技巧。</w:t>
      </w:r>
    </w:p>
    <w:p w14:paraId="72E8FBE8">
      <w:pPr>
        <w:pStyle w:val="65"/>
        <w:spacing w:before="120" w:after="120"/>
        <w:rPr>
          <w:bCs/>
        </w:rPr>
      </w:pPr>
      <w:r>
        <w:rPr>
          <w:bCs/>
        </w:rPr>
        <w:t>专业支持团队</w:t>
      </w:r>
    </w:p>
    <w:p w14:paraId="447B6927">
      <w:pPr>
        <w:pStyle w:val="56"/>
        <w:ind w:firstLine="420"/>
      </w:pPr>
      <w:r>
        <w:t>机构应配备或合作拥有执业资质的中医师、康复治疗师、营养师、急救员等，为方案制定和突发情况提供专业支持。</w:t>
      </w:r>
    </w:p>
    <w:p w14:paraId="701F07C1">
      <w:pPr>
        <w:pStyle w:val="65"/>
        <w:spacing w:before="120" w:after="120"/>
        <w:rPr>
          <w:bCs/>
        </w:rPr>
      </w:pPr>
      <w:r>
        <w:rPr>
          <w:bCs/>
        </w:rPr>
        <w:t>服务素养</w:t>
      </w:r>
    </w:p>
    <w:p w14:paraId="4BBFA69E">
      <w:pPr>
        <w:pStyle w:val="56"/>
        <w:ind w:firstLine="420"/>
      </w:pPr>
      <w:r>
        <w:t>人员应着装规范，态度专业、亲和，具备良好的风险预判和沟通能力。</w:t>
      </w:r>
    </w:p>
    <w:p w14:paraId="31DCA523">
      <w:pPr>
        <w:pStyle w:val="105"/>
        <w:spacing w:before="120" w:after="120"/>
      </w:pPr>
      <w:r>
        <w:t>服务环境要求</w:t>
      </w:r>
    </w:p>
    <w:p w14:paraId="291EBC93">
      <w:pPr>
        <w:pStyle w:val="65"/>
        <w:spacing w:before="120" w:after="120"/>
        <w:rPr>
          <w:bCs/>
        </w:rPr>
      </w:pPr>
      <w:r>
        <w:rPr>
          <w:bCs/>
        </w:rPr>
        <w:t>自然环境质量</w:t>
      </w:r>
    </w:p>
    <w:p w14:paraId="272874D6">
      <w:pPr>
        <w:pStyle w:val="56"/>
        <w:ind w:firstLine="0" w:firstLineChars="0"/>
      </w:pPr>
      <w:r>
        <w:rPr>
          <w:rFonts w:hint="eastAsia" w:ascii="黑体" w:hAnsi="黑体" w:eastAsia="黑体"/>
        </w:rPr>
        <w:t>5</w:t>
      </w:r>
      <w:r>
        <w:rPr>
          <w:rFonts w:ascii="黑体" w:hAnsi="黑体" w:eastAsia="黑体"/>
        </w:rPr>
        <w:t>.3.1.1</w:t>
      </w:r>
      <w:r>
        <w:t xml:space="preserve"> 自然运动康养基地的空气质量、水质、植被覆盖率等应达到康养活动的基本要求，且近三年趋势向好。</w:t>
      </w:r>
    </w:p>
    <w:p w14:paraId="55324A1A">
      <w:pPr>
        <w:pStyle w:val="56"/>
        <w:ind w:firstLine="0" w:firstLineChars="0"/>
      </w:pPr>
      <w:r>
        <w:rPr>
          <w:rFonts w:hint="eastAsia" w:ascii="黑体" w:hAnsi="黑体" w:eastAsia="黑体"/>
        </w:rPr>
        <w:t>5</w:t>
      </w:r>
      <w:r>
        <w:rPr>
          <w:rFonts w:ascii="黑体" w:hAnsi="黑体" w:eastAsia="黑体"/>
        </w:rPr>
        <w:t xml:space="preserve">.3.1.2 </w:t>
      </w:r>
      <w:r>
        <w:t>鼓励基地实现无线网络覆盖，应用智能穿戴设备监测顾客心率、轨迹等数据，提升服务科技含量与安全性。</w:t>
      </w:r>
    </w:p>
    <w:p w14:paraId="282C42EF">
      <w:pPr>
        <w:pStyle w:val="104"/>
        <w:spacing w:before="240" w:after="240"/>
      </w:pPr>
      <w:r>
        <w:t>服务流程</w:t>
      </w:r>
    </w:p>
    <w:p w14:paraId="4B54E2D5">
      <w:pPr>
        <w:pStyle w:val="105"/>
        <w:spacing w:before="120" w:after="120"/>
      </w:pPr>
      <w:r>
        <w:t>健康评估与建档</w:t>
      </w:r>
    </w:p>
    <w:p w14:paraId="5C2CD871">
      <w:pPr>
        <w:pStyle w:val="65"/>
        <w:spacing w:before="120" w:after="120"/>
        <w:rPr>
          <w:bCs/>
        </w:rPr>
      </w:pPr>
      <w:r>
        <w:rPr>
          <w:bCs/>
        </w:rPr>
        <w:t>接待与初步沟通</w:t>
      </w:r>
    </w:p>
    <w:p w14:paraId="40ED1526">
      <w:pPr>
        <w:pStyle w:val="56"/>
        <w:ind w:firstLine="420"/>
      </w:pPr>
      <w:r>
        <w:t>顾客预约到访后，由专属运动康养顾问接待，进行初步访谈，了解其基本健康信息、运动史、康养目标及对亳州特色项目的兴趣。</w:t>
      </w:r>
    </w:p>
    <w:p w14:paraId="3A5675F0">
      <w:pPr>
        <w:pStyle w:val="65"/>
        <w:spacing w:before="120" w:after="120"/>
        <w:rPr>
          <w:bCs/>
        </w:rPr>
      </w:pPr>
      <w:r>
        <w:rPr>
          <w:bCs/>
        </w:rPr>
        <w:t>系统健康评估</w:t>
      </w:r>
    </w:p>
    <w:p w14:paraId="756C91E0">
      <w:pPr>
        <w:pStyle w:val="56"/>
        <w:ind w:firstLine="0" w:firstLineChars="0"/>
      </w:pPr>
      <w:r>
        <w:rPr>
          <w:rFonts w:hint="eastAsia" w:ascii="黑体" w:hAnsi="黑体" w:eastAsia="黑体"/>
          <w:bCs/>
        </w:rPr>
        <w:t>6</w:t>
      </w:r>
      <w:r>
        <w:rPr>
          <w:rFonts w:ascii="黑体" w:hAnsi="黑体" w:eastAsia="黑体"/>
          <w:bCs/>
        </w:rPr>
        <w:t>.1.2.1</w:t>
      </w:r>
      <w:r>
        <w:rPr>
          <w:bCs/>
        </w:rPr>
        <w:t xml:space="preserve"> 中医体质辨识</w:t>
      </w:r>
      <w:r>
        <w:rPr>
          <w:rFonts w:hint="eastAsia"/>
        </w:rPr>
        <w:t>，</w:t>
      </w:r>
      <w:r>
        <w:t>由中医师或经培训的指导师采用《中医体质分类与判定》标准，结合望、闻、问、切进行辨识，明确其体质类型（如平和质、气虚质等）。</w:t>
      </w:r>
    </w:p>
    <w:p w14:paraId="0BD31ABB">
      <w:pPr>
        <w:pStyle w:val="56"/>
        <w:ind w:firstLine="0" w:firstLineChars="0"/>
      </w:pPr>
      <w:r>
        <w:rPr>
          <w:rFonts w:hint="eastAsia" w:ascii="黑体" w:hAnsi="黑体" w:eastAsia="黑体"/>
          <w:bCs/>
        </w:rPr>
        <w:t>6</w:t>
      </w:r>
      <w:r>
        <w:rPr>
          <w:rFonts w:ascii="黑体" w:hAnsi="黑体" w:eastAsia="黑体"/>
          <w:bCs/>
        </w:rPr>
        <w:t xml:space="preserve">.1.2.2 </w:t>
      </w:r>
      <w:r>
        <w:rPr>
          <w:bCs/>
        </w:rPr>
        <w:t>现代医学评估</w:t>
      </w:r>
      <w:r>
        <w:rPr>
          <w:rFonts w:hint="eastAsia"/>
        </w:rPr>
        <w:t>，</w:t>
      </w:r>
      <w:r>
        <w:t>收集近期体检报告，或进行基础生理指标测量（如血压、心率、体成分）。对于参与高强度户外运动（如马拉松、山地自行车）的顾客，建议进行心肺功能等专项评估。</w:t>
      </w:r>
    </w:p>
    <w:p w14:paraId="06F5E77D">
      <w:pPr>
        <w:pStyle w:val="56"/>
        <w:ind w:firstLine="0" w:firstLineChars="0"/>
      </w:pPr>
      <w:r>
        <w:rPr>
          <w:rFonts w:hint="eastAsia" w:ascii="黑体" w:hAnsi="黑体" w:eastAsia="黑体"/>
          <w:bCs/>
        </w:rPr>
        <w:t>6</w:t>
      </w:r>
      <w:r>
        <w:rPr>
          <w:rFonts w:ascii="黑体" w:hAnsi="黑体" w:eastAsia="黑体"/>
          <w:bCs/>
        </w:rPr>
        <w:t xml:space="preserve">.1.2.3 </w:t>
      </w:r>
      <w:r>
        <w:rPr>
          <w:bCs/>
        </w:rPr>
        <w:t>运动能力评估</w:t>
      </w:r>
      <w:r>
        <w:rPr>
          <w:rFonts w:hint="eastAsia"/>
        </w:rPr>
        <w:t>，</w:t>
      </w:r>
      <w:r>
        <w:t>进行基础的运动功能筛查，如柔韧性、平衡能力、肌力测试等。</w:t>
      </w:r>
    </w:p>
    <w:p w14:paraId="6E5C26AC">
      <w:pPr>
        <w:pStyle w:val="65"/>
        <w:spacing w:before="120" w:after="120"/>
        <w:rPr>
          <w:bCs/>
        </w:rPr>
      </w:pPr>
      <w:r>
        <w:rPr>
          <w:bCs/>
        </w:rPr>
        <w:t>建立个人康养档案</w:t>
      </w:r>
    </w:p>
    <w:p w14:paraId="1689022B">
      <w:pPr>
        <w:pStyle w:val="56"/>
        <w:ind w:firstLine="420"/>
      </w:pPr>
      <w:r>
        <w:t>整合以上所有评估信息，为顾客建立专属的《中医药运动康养服务档案》。档案应动态更新，并严格保密。</w:t>
      </w:r>
    </w:p>
    <w:p w14:paraId="472AEC40">
      <w:pPr>
        <w:pStyle w:val="105"/>
        <w:spacing w:before="120" w:after="120"/>
      </w:pPr>
      <w:r>
        <w:t>个性化方案制定与确认</w:t>
      </w:r>
    </w:p>
    <w:p w14:paraId="0A0EC461">
      <w:pPr>
        <w:pStyle w:val="65"/>
        <w:spacing w:before="120" w:after="120"/>
        <w:rPr>
          <w:bCs/>
        </w:rPr>
      </w:pPr>
      <w:r>
        <w:rPr>
          <w:bCs/>
        </w:rPr>
        <w:t>方案制定</w:t>
      </w:r>
    </w:p>
    <w:p w14:paraId="393BB051">
      <w:pPr>
        <w:pStyle w:val="56"/>
        <w:ind w:firstLine="0" w:firstLineChars="0"/>
      </w:pPr>
      <w:r>
        <w:rPr>
          <w:rFonts w:hint="eastAsia" w:ascii="黑体" w:hAnsi="黑体" w:eastAsia="黑体"/>
        </w:rPr>
        <w:t>6</w:t>
      </w:r>
      <w:r>
        <w:rPr>
          <w:rFonts w:ascii="黑体" w:hAnsi="黑体" w:eastAsia="黑体"/>
        </w:rPr>
        <w:t>.2.1.1</w:t>
      </w:r>
      <w:r>
        <w:t xml:space="preserve"> 由运动康养指导师主导，必要时协同中医师、营养师等，根据健康评估结果制定方案。方案应明确</w:t>
      </w:r>
    </w:p>
    <w:p w14:paraId="6818C747">
      <w:pPr>
        <w:pStyle w:val="56"/>
        <w:ind w:firstLine="0" w:firstLineChars="0"/>
      </w:pPr>
      <w:r>
        <w:rPr>
          <w:rFonts w:hint="eastAsia" w:ascii="黑体" w:hAnsi="黑体" w:eastAsia="黑体"/>
        </w:rPr>
        <w:t>6</w:t>
      </w:r>
      <w:r>
        <w:rPr>
          <w:rFonts w:ascii="黑体" w:hAnsi="黑体" w:eastAsia="黑体"/>
        </w:rPr>
        <w:t xml:space="preserve">.2.1.2 </w:t>
      </w:r>
      <w:r>
        <w:t>核心运动处方，包括运动类型（如华佗五禽戏、森林徒步、水上划船）、频率、强度、时间及进度安排。</w:t>
      </w:r>
    </w:p>
    <w:p w14:paraId="0F39A310">
      <w:pPr>
        <w:pStyle w:val="56"/>
        <w:ind w:firstLine="0" w:firstLineChars="0"/>
      </w:pPr>
      <w:r>
        <w:rPr>
          <w:rFonts w:hint="eastAsia" w:ascii="黑体" w:hAnsi="黑体" w:eastAsia="黑体"/>
        </w:rPr>
        <w:t>6</w:t>
      </w:r>
      <w:r>
        <w:rPr>
          <w:rFonts w:ascii="黑体" w:hAnsi="黑体" w:eastAsia="黑体"/>
        </w:rPr>
        <w:t xml:space="preserve">.2.1.3 </w:t>
      </w:r>
      <w:r>
        <w:t>中医药辅助调理</w:t>
      </w:r>
      <w:r>
        <w:rPr>
          <w:rFonts w:hint="eastAsia"/>
        </w:rPr>
        <w:t>，</w:t>
      </w:r>
      <w:r>
        <w:t>根据体质搭配药膳食疗建议（如气虚质推荐黄芪炖鸡）、或运动后恢复调理（如中药熏洗缓解肌肉疲劳）。</w:t>
      </w:r>
    </w:p>
    <w:p w14:paraId="4CF1C2D4">
      <w:pPr>
        <w:pStyle w:val="65"/>
        <w:spacing w:before="120" w:after="120"/>
        <w:rPr>
          <w:bCs/>
        </w:rPr>
      </w:pPr>
      <w:r>
        <w:rPr>
          <w:bCs/>
        </w:rPr>
        <w:t>阶段性目标</w:t>
      </w:r>
    </w:p>
    <w:p w14:paraId="25B93A36">
      <w:pPr>
        <w:pStyle w:val="56"/>
        <w:ind w:firstLine="0" w:firstLineChars="0"/>
      </w:pPr>
      <w:r>
        <w:rPr>
          <w:rFonts w:ascii="黑体" w:hAnsi="黑体" w:eastAsia="黑体"/>
        </w:rPr>
        <w:t>6.2.2.1</w:t>
      </w:r>
      <w:r>
        <w:t xml:space="preserve"> 设定短期（如2周）和中期（如3个月）可衡量的健康改善目标。</w:t>
      </w:r>
    </w:p>
    <w:p w14:paraId="6D728F6D">
      <w:pPr>
        <w:pStyle w:val="56"/>
        <w:ind w:firstLine="0" w:firstLineChars="0"/>
      </w:pPr>
      <w:r>
        <w:rPr>
          <w:rFonts w:ascii="黑体" w:hAnsi="黑体" w:eastAsia="黑体"/>
        </w:rPr>
        <w:t xml:space="preserve">6.2.2.2 </w:t>
      </w:r>
      <w:r>
        <w:t>方案讲解与知情同意</w:t>
      </w:r>
      <w:r>
        <w:rPr>
          <w:rFonts w:hint="eastAsia"/>
        </w:rPr>
        <w:t>，</w:t>
      </w:r>
      <w:r>
        <w:t>与顾客进行一对一详细沟通，解释方案原理、具体活动安排、预期效果及潜在风险（如运动损伤、环境风险）。</w:t>
      </w:r>
    </w:p>
    <w:p w14:paraId="594D9022">
      <w:pPr>
        <w:pStyle w:val="56"/>
        <w:ind w:firstLine="0" w:firstLineChars="0"/>
      </w:pPr>
      <w:r>
        <w:rPr>
          <w:rFonts w:ascii="黑体" w:hAnsi="黑体" w:eastAsia="黑体"/>
        </w:rPr>
        <w:t xml:space="preserve">6.2.2.3 </w:t>
      </w:r>
      <w:r>
        <w:t>涉及户外探险、水上运动等项目，必须签署专项《风险告知书》及《服务协议》。</w:t>
      </w:r>
    </w:p>
    <w:p w14:paraId="091963EA">
      <w:pPr>
        <w:pStyle w:val="105"/>
        <w:spacing w:before="120" w:after="120"/>
      </w:pPr>
      <w:r>
        <w:t>方案执行与过程管理</w:t>
      </w:r>
    </w:p>
    <w:p w14:paraId="28C2191C">
      <w:pPr>
        <w:pStyle w:val="65"/>
        <w:spacing w:before="120" w:after="120"/>
        <w:rPr>
          <w:bCs/>
        </w:rPr>
      </w:pPr>
      <w:r>
        <w:rPr>
          <w:bCs/>
        </w:rPr>
        <w:t>运动教学与指导</w:t>
      </w:r>
    </w:p>
    <w:p w14:paraId="06B635BF">
      <w:pPr>
        <w:pStyle w:val="56"/>
        <w:ind w:firstLine="0" w:firstLineChars="0"/>
      </w:pPr>
      <w:r>
        <w:rPr>
          <w:rFonts w:hint="eastAsia" w:ascii="黑体" w:hAnsi="黑体" w:eastAsia="黑体"/>
          <w:bCs/>
        </w:rPr>
        <w:t>6</w:t>
      </w:r>
      <w:r>
        <w:rPr>
          <w:rFonts w:ascii="黑体" w:hAnsi="黑体" w:eastAsia="黑体"/>
          <w:bCs/>
        </w:rPr>
        <w:t>.3.1.1</w:t>
      </w:r>
      <w:r>
        <w:rPr>
          <w:bCs/>
        </w:rPr>
        <w:t xml:space="preserve"> 功法教学</w:t>
      </w:r>
      <w:r>
        <w:rPr>
          <w:rFonts w:hint="eastAsia"/>
        </w:rPr>
        <w:t>。</w:t>
      </w:r>
      <w:r>
        <w:t>华佗五禽戏等功法教学应从基本动作、呼吸配合开始，逐步过渡到完整套路，确保动作准确、安全。</w:t>
      </w:r>
    </w:p>
    <w:p w14:paraId="1B9B3E67">
      <w:pPr>
        <w:pStyle w:val="56"/>
        <w:ind w:firstLine="0" w:firstLineChars="0"/>
      </w:pPr>
      <w:r>
        <w:rPr>
          <w:rFonts w:hint="eastAsia" w:ascii="黑体" w:hAnsi="黑体" w:eastAsia="黑体"/>
          <w:bCs/>
        </w:rPr>
        <w:t>6</w:t>
      </w:r>
      <w:r>
        <w:rPr>
          <w:rFonts w:ascii="黑体" w:hAnsi="黑体" w:eastAsia="黑体"/>
          <w:bCs/>
        </w:rPr>
        <w:t xml:space="preserve">.3.1.2 </w:t>
      </w:r>
      <w:r>
        <w:rPr>
          <w:bCs/>
        </w:rPr>
        <w:t>户外活动带领</w:t>
      </w:r>
      <w:r>
        <w:rPr>
          <w:rFonts w:hint="eastAsia"/>
        </w:rPr>
        <w:t>。</w:t>
      </w:r>
      <w:r>
        <w:t>户外运动前，指导师必须进行环境与安全简报，检查装备，活动中保持队伍连贯，实时关注顾客状态。</w:t>
      </w:r>
    </w:p>
    <w:p w14:paraId="572B3B1E">
      <w:pPr>
        <w:pStyle w:val="105"/>
        <w:spacing w:before="120" w:after="120"/>
      </w:pPr>
      <w:r>
        <w:t>中医药辅助服务实施</w:t>
      </w:r>
    </w:p>
    <w:p w14:paraId="7544CC65">
      <w:pPr>
        <w:pStyle w:val="65"/>
        <w:spacing w:before="120" w:after="120"/>
        <w:rPr>
          <w:bCs/>
        </w:rPr>
      </w:pPr>
      <w:r>
        <w:rPr>
          <w:bCs/>
        </w:rPr>
        <w:t>运动后恢复</w:t>
      </w:r>
    </w:p>
    <w:p w14:paraId="5FF4E142">
      <w:pPr>
        <w:pStyle w:val="56"/>
        <w:ind w:firstLine="420"/>
      </w:pPr>
      <w:r>
        <w:t>提供专业的中药熏洗服务，流程应包括：病情（疲劳）评估→药材准备（如选用活血化瘀的川芎、舒筋活络的白芷）→熏洗操作（控制水温40-45℃，时间15-30分钟）→效果观察与记录。</w:t>
      </w:r>
    </w:p>
    <w:p w14:paraId="0FAF0CAB">
      <w:pPr>
        <w:pStyle w:val="65"/>
        <w:spacing w:before="120" w:after="120"/>
        <w:rPr>
          <w:bCs/>
        </w:rPr>
      </w:pPr>
      <w:r>
        <w:rPr>
          <w:bCs/>
        </w:rPr>
        <w:t>膳食供应</w:t>
      </w:r>
    </w:p>
    <w:p w14:paraId="2976393D">
      <w:pPr>
        <w:pStyle w:val="56"/>
        <w:ind w:firstLine="420"/>
      </w:pPr>
      <w:r>
        <w:t>合作餐饮部门按营养师和中医师提供的配方，提供个性化药膳或养生茶饮。</w:t>
      </w:r>
    </w:p>
    <w:p w14:paraId="23CEF374">
      <w:pPr>
        <w:pStyle w:val="65"/>
        <w:spacing w:before="120" w:after="120"/>
        <w:rPr>
          <w:bCs/>
        </w:rPr>
      </w:pPr>
      <w:r>
        <w:rPr>
          <w:bCs/>
        </w:rPr>
        <w:t>过程记录与沟通</w:t>
      </w:r>
    </w:p>
    <w:p w14:paraId="17C5384C">
      <w:pPr>
        <w:pStyle w:val="56"/>
        <w:ind w:firstLine="420"/>
      </w:pPr>
      <w:r>
        <w:t>每次服务后，指导师需在档案中记录顾客的参与情况、主观感受（如疲劳度、愉悦度）及任何异常反应。定期与顾客进行简短沟通，收集反馈。</w:t>
      </w:r>
    </w:p>
    <w:p w14:paraId="0281D90F">
      <w:pPr>
        <w:pStyle w:val="105"/>
        <w:spacing w:before="120" w:after="120"/>
      </w:pPr>
      <w:r>
        <w:t>动态监测、效果评估与方案调整</w:t>
      </w:r>
    </w:p>
    <w:p w14:paraId="04407408">
      <w:pPr>
        <w:pStyle w:val="65"/>
        <w:spacing w:before="120" w:after="120"/>
        <w:rPr>
          <w:bCs/>
        </w:rPr>
      </w:pPr>
      <w:r>
        <w:rPr>
          <w:bCs/>
        </w:rPr>
        <w:t>定期复评</w:t>
      </w:r>
    </w:p>
    <w:p w14:paraId="45B07962">
      <w:pPr>
        <w:pStyle w:val="56"/>
        <w:ind w:firstLine="420"/>
      </w:pPr>
      <w:r>
        <w:t>在方案执行的关键节点（如每4周），重复部分初始评估项目（如体质辨识问卷、体成分测量），进行效果对比。</w:t>
      </w:r>
    </w:p>
    <w:p w14:paraId="0F9527C7">
      <w:pPr>
        <w:pStyle w:val="65"/>
        <w:spacing w:before="120" w:after="120"/>
        <w:rPr>
          <w:bCs/>
        </w:rPr>
      </w:pPr>
      <w:r>
        <w:rPr>
          <w:bCs/>
        </w:rPr>
        <w:t>方案调整</w:t>
      </w:r>
    </w:p>
    <w:p w14:paraId="1A8B715D">
      <w:pPr>
        <w:pStyle w:val="56"/>
        <w:ind w:firstLine="420"/>
      </w:pPr>
      <w:r>
        <w:t>根据复评结果和顾客的日常反馈，由指导师与专业团队协商，对运动处方或辅助调理方案进行优化调整，形成动态管理闭环。</w:t>
      </w:r>
    </w:p>
    <w:p w14:paraId="69BF04CD">
      <w:pPr>
        <w:pStyle w:val="65"/>
        <w:spacing w:before="120" w:after="120"/>
        <w:rPr>
          <w:bCs/>
        </w:rPr>
      </w:pPr>
      <w:r>
        <w:rPr>
          <w:bCs/>
        </w:rPr>
        <w:t>赛事与活动融入</w:t>
      </w:r>
    </w:p>
    <w:p w14:paraId="1D2A1051">
      <w:pPr>
        <w:pStyle w:val="56"/>
        <w:ind w:firstLine="420"/>
      </w:pPr>
      <w:r>
        <w:t>对于有潜力和兴趣的顾客，可将其训练与亳州举办的华佗五禽戏交流赛、生态徒步赛、垂钓比赛等赛事活动相结合，以赛促练，提升趣味性与成就感。</w:t>
      </w:r>
    </w:p>
    <w:p w14:paraId="620DB3B2">
      <w:pPr>
        <w:pStyle w:val="105"/>
        <w:spacing w:before="120" w:after="120"/>
      </w:pPr>
      <w:r>
        <w:t>服务结束与长期健康促进</w:t>
      </w:r>
    </w:p>
    <w:p w14:paraId="3C72889A">
      <w:pPr>
        <w:pStyle w:val="65"/>
        <w:spacing w:before="120" w:after="120"/>
        <w:rPr>
          <w:bCs/>
        </w:rPr>
      </w:pPr>
      <w:r>
        <w:rPr>
          <w:bCs/>
        </w:rPr>
        <w:t>终期评估与总结</w:t>
      </w:r>
    </w:p>
    <w:p w14:paraId="5B4702EC">
      <w:pPr>
        <w:pStyle w:val="56"/>
        <w:ind w:firstLine="420"/>
      </w:pPr>
      <w:r>
        <w:t>服务周期结束时，进行全面终期评估，与初期数据进行对比，形成效果总结报告反馈给顾客。</w:t>
      </w:r>
    </w:p>
    <w:p w14:paraId="01D512DA">
      <w:pPr>
        <w:pStyle w:val="65"/>
        <w:spacing w:before="120" w:after="120"/>
        <w:rPr>
          <w:bCs/>
        </w:rPr>
      </w:pPr>
      <w:r>
        <w:rPr>
          <w:bCs/>
        </w:rPr>
        <w:t>居家康养指导</w:t>
      </w:r>
    </w:p>
    <w:p w14:paraId="209A6F82">
      <w:pPr>
        <w:pStyle w:val="56"/>
        <w:ind w:firstLine="420"/>
      </w:pPr>
      <w:r>
        <w:t>提供一份《居家运动康养指导手册》，包含适合其继续练习的五禽戏简化套路、饮食建议及自我监测方法。</w:t>
      </w:r>
    </w:p>
    <w:p w14:paraId="0C1EF317">
      <w:pPr>
        <w:pStyle w:val="65"/>
        <w:spacing w:before="120" w:after="120"/>
        <w:rPr>
          <w:bCs/>
        </w:rPr>
      </w:pPr>
      <w:r>
        <w:rPr>
          <w:bCs/>
        </w:rPr>
        <w:t>长期追踪与社群维护</w:t>
      </w:r>
    </w:p>
    <w:p w14:paraId="5E27731D">
      <w:pPr>
        <w:pStyle w:val="56"/>
        <w:ind w:firstLine="420"/>
      </w:pPr>
      <w:r>
        <w:t>通过线上平台进行定期随访，提供健康咨询。邀请顾客加入“亳州运动康养”会员社群，推送节气养生运动指南、组织线上打卡活动，实现服务的长期延伸。</w:t>
      </w:r>
    </w:p>
    <w:p w14:paraId="7C491487">
      <w:pPr>
        <w:pStyle w:val="104"/>
        <w:spacing w:before="240" w:after="240"/>
      </w:pPr>
      <w:r>
        <w:t>服务内容</w:t>
      </w:r>
    </w:p>
    <w:p w14:paraId="63AB2B99">
      <w:pPr>
        <w:pStyle w:val="105"/>
        <w:spacing w:before="120" w:after="120"/>
      </w:pPr>
      <w:r>
        <w:t>华佗五禽戏专项康养</w:t>
      </w:r>
    </w:p>
    <w:p w14:paraId="2B66FA64">
      <w:pPr>
        <w:pStyle w:val="56"/>
        <w:ind w:firstLine="420"/>
      </w:pPr>
      <w:r>
        <w:t>提供从入门到精通的系统教学、不同体质人群的差异化练习方案、五禽戏赛事培训与参与体验。</w:t>
      </w:r>
    </w:p>
    <w:p w14:paraId="0DCCF2ED">
      <w:pPr>
        <w:pStyle w:val="105"/>
        <w:spacing w:before="120" w:after="120"/>
      </w:pPr>
      <w:r>
        <w:t>自然户外运动康养</w:t>
      </w:r>
    </w:p>
    <w:p w14:paraId="5CA17529">
      <w:pPr>
        <w:pStyle w:val="65"/>
        <w:spacing w:before="120" w:after="120"/>
        <w:rPr>
          <w:bCs/>
        </w:rPr>
      </w:pPr>
      <w:r>
        <w:rPr>
          <w:bCs/>
        </w:rPr>
        <w:t>森林运动康养</w:t>
      </w:r>
    </w:p>
    <w:p w14:paraId="676683B1">
      <w:pPr>
        <w:pStyle w:val="56"/>
        <w:ind w:firstLine="420"/>
      </w:pPr>
      <w:r>
        <w:t>森林徒步、户外瑜伽、林间五禽戏、自然冥想。</w:t>
      </w:r>
    </w:p>
    <w:p w14:paraId="3BD525BA">
      <w:pPr>
        <w:pStyle w:val="65"/>
        <w:spacing w:before="120" w:after="120"/>
        <w:rPr>
          <w:bCs/>
        </w:rPr>
      </w:pPr>
      <w:r>
        <w:rPr>
          <w:bCs/>
        </w:rPr>
        <w:t>水上运动康养</w:t>
      </w:r>
    </w:p>
    <w:p w14:paraId="61565BE6">
      <w:pPr>
        <w:pStyle w:val="13"/>
        <w:widowControl/>
        <w:numPr>
          <w:ilvl w:val="0"/>
          <w:numId w:val="33"/>
        </w:numPr>
        <w:spacing w:before="100" w:after="100" w:line="300" w:lineRule="auto"/>
        <w:rPr>
          <w:rFonts w:ascii="宋体" w:hAnsi="宋体" w:cs="宋体"/>
        </w:rPr>
      </w:pPr>
      <w:r>
        <w:t>休闲垂钓、皮划艇、龙舟体验、水上安全与急救培训。</w:t>
      </w:r>
    </w:p>
    <w:p w14:paraId="2B84F66A">
      <w:pPr>
        <w:pStyle w:val="65"/>
        <w:spacing w:before="120" w:after="120"/>
        <w:rPr>
          <w:bCs/>
        </w:rPr>
      </w:pPr>
      <w:r>
        <w:rPr>
          <w:bCs/>
        </w:rPr>
        <w:t>田园运动康养</w:t>
      </w:r>
    </w:p>
    <w:p w14:paraId="5813578F">
      <w:pPr>
        <w:pStyle w:val="13"/>
        <w:widowControl/>
        <w:numPr>
          <w:ilvl w:val="0"/>
          <w:numId w:val="33"/>
        </w:numPr>
        <w:spacing w:before="100" w:after="100" w:line="300" w:lineRule="auto"/>
      </w:pPr>
      <w:r>
        <w:t>田园骑行、农事体验（种植中草药）、田园健走。</w:t>
      </w:r>
    </w:p>
    <w:p w14:paraId="5F187F52">
      <w:pPr>
        <w:pStyle w:val="105"/>
        <w:spacing w:before="120" w:after="120"/>
      </w:pPr>
      <w:r>
        <w:t>综合主题运动康养</w:t>
      </w:r>
    </w:p>
    <w:p w14:paraId="2020D8A8">
      <w:pPr>
        <w:pStyle w:val="65"/>
        <w:spacing w:before="120" w:after="120"/>
        <w:rPr>
          <w:bCs/>
        </w:rPr>
      </w:pPr>
      <w:r>
        <w:rPr>
          <w:bCs/>
        </w:rPr>
        <w:t>赛事驱动康养</w:t>
      </w:r>
    </w:p>
    <w:p w14:paraId="70603628">
      <w:pPr>
        <w:pStyle w:val="56"/>
        <w:ind w:firstLine="420"/>
      </w:pPr>
      <w:r>
        <w:t>围绕亳州马拉松、自行车赛、生态汽车挑战赛等，提供赛前训练营、赛中保障、赛后恢复一体化服务。</w:t>
      </w:r>
    </w:p>
    <w:p w14:paraId="0B36FC86">
      <w:pPr>
        <w:pStyle w:val="65"/>
        <w:spacing w:before="120" w:after="120"/>
        <w:rPr>
          <w:bCs/>
        </w:rPr>
      </w:pPr>
      <w:r>
        <w:rPr>
          <w:bCs/>
        </w:rPr>
        <w:t>休闲主题康养</w:t>
      </w:r>
    </w:p>
    <w:p w14:paraId="17C0A501">
      <w:pPr>
        <w:pStyle w:val="56"/>
        <w:ind w:firstLine="420"/>
      </w:pPr>
      <w:r>
        <w:t>汽车自驾营地中的户外拓展、营地瑜伽；马术俱乐部的骑乘体验与马背疗愈；棋牌类益智静心活动。</w:t>
      </w:r>
    </w:p>
    <w:p w14:paraId="6DAED892">
      <w:pPr>
        <w:pStyle w:val="104"/>
        <w:spacing w:before="240" w:after="240"/>
      </w:pPr>
      <w:r>
        <w:t>服务质量管理与安全应急</w:t>
      </w:r>
    </w:p>
    <w:p w14:paraId="678555EE">
      <w:pPr>
        <w:pStyle w:val="105"/>
        <w:spacing w:before="120" w:after="120"/>
      </w:pPr>
      <w:r>
        <w:t>质量管理</w:t>
      </w:r>
    </w:p>
    <w:p w14:paraId="16FF6FD0">
      <w:pPr>
        <w:pStyle w:val="56"/>
        <w:ind w:firstLine="420"/>
      </w:pPr>
      <w:r>
        <w:t>机构应建立服务质量管理体系，定期进行内部审核与顾客满意度调查。协会可依据本标准开展星级评定。</w:t>
      </w:r>
    </w:p>
    <w:p w14:paraId="0CEEE3EA">
      <w:pPr>
        <w:pStyle w:val="105"/>
        <w:spacing w:before="120" w:after="120"/>
      </w:pPr>
      <w:r>
        <w:t>安全与应急</w:t>
      </w:r>
    </w:p>
    <w:p w14:paraId="6F050D03">
      <w:pPr>
        <w:pStyle w:val="65"/>
        <w:spacing w:before="120" w:after="120"/>
        <w:rPr>
          <w:bCs/>
        </w:rPr>
      </w:pPr>
      <w:r>
        <w:rPr>
          <w:bCs/>
        </w:rPr>
        <w:t>风险管控</w:t>
      </w:r>
    </w:p>
    <w:p w14:paraId="485912DA">
      <w:pPr>
        <w:pStyle w:val="56"/>
        <w:ind w:firstLine="420"/>
      </w:pPr>
      <w:r>
        <w:t>针对不同运动业态制定专项安全操作规程。户外活动必须进行天气与环境风险评估，并配备足量急救物资和通讯设备。</w:t>
      </w:r>
    </w:p>
    <w:p w14:paraId="4A2F75D5">
      <w:pPr>
        <w:pStyle w:val="65"/>
        <w:spacing w:before="120" w:after="120"/>
        <w:rPr>
          <w:bCs/>
        </w:rPr>
      </w:pPr>
      <w:r>
        <w:rPr>
          <w:bCs/>
        </w:rPr>
        <w:t>应急处理</w:t>
      </w:r>
    </w:p>
    <w:p w14:paraId="1A084408">
      <w:pPr>
        <w:pStyle w:val="56"/>
        <w:ind w:firstLine="420"/>
      </w:pPr>
      <w:r>
        <w:t>制定详细的应急预案（如运动中突发疾病、受伤、失温、迷路等），并定期组织演练。所有指导师必须掌握心肺复苏（CPR）等急救技能。</w:t>
      </w:r>
    </w:p>
    <w:p w14:paraId="519503A2">
      <w:pPr>
        <w:pStyle w:val="65"/>
        <w:spacing w:before="120" w:after="120"/>
        <w:rPr>
          <w:bCs/>
        </w:rPr>
      </w:pPr>
      <w:r>
        <w:rPr>
          <w:bCs/>
        </w:rPr>
        <w:t>转诊机制</w:t>
      </w:r>
    </w:p>
    <w:p w14:paraId="7D36C719">
      <w:pPr>
        <w:pStyle w:val="56"/>
        <w:ind w:firstLine="420"/>
      </w:pPr>
      <w:r>
        <w:t>明确服务非医疗性质，当顾客出现明确医疗指征时，应立即启动与附近医疗机构的转送绿色通道。</w:t>
      </w:r>
    </w:p>
    <w:p w14:paraId="00FD4BC4">
      <w:pPr>
        <w:pStyle w:val="104"/>
        <w:spacing w:before="240" w:after="240"/>
      </w:pPr>
      <w:r>
        <w:t>评价与改进</w:t>
      </w:r>
    </w:p>
    <w:p w14:paraId="59A320CB">
      <w:pPr>
        <w:pStyle w:val="56"/>
        <w:ind w:firstLine="0" w:firstLineChars="0"/>
      </w:pPr>
      <w:r>
        <w:rPr>
          <w:rFonts w:hint="eastAsia" w:ascii="黑体" w:hAnsi="黑体" w:eastAsia="黑体"/>
        </w:rPr>
        <w:t>9</w:t>
      </w:r>
      <w:r>
        <w:rPr>
          <w:rFonts w:ascii="黑体" w:hAnsi="黑体" w:eastAsia="黑体"/>
        </w:rPr>
        <w:t>.1</w:t>
      </w:r>
      <w:r>
        <w:rPr>
          <w:rFonts w:hint="eastAsia" w:ascii="黑体" w:hAnsi="黑体" w:eastAsia="黑体"/>
        </w:rPr>
        <w:t xml:space="preserve"> </w:t>
      </w:r>
      <w:r>
        <w:t>服务机构应定期对服务效果、顾客满意度和运营流程进行系统性评价。</w:t>
      </w:r>
    </w:p>
    <w:p w14:paraId="6B6B8389">
      <w:pPr>
        <w:pStyle w:val="56"/>
        <w:ind w:firstLine="0" w:firstLineChars="0"/>
      </w:pPr>
      <w:r>
        <w:rPr>
          <w:rFonts w:ascii="黑体" w:hAnsi="黑体" w:eastAsia="黑体"/>
        </w:rPr>
        <w:t xml:space="preserve">9.2 </w:t>
      </w:r>
      <w:r>
        <w:t>应建立有效的反馈与改进机制，定期评估流程，通过问卷调查、在线评价等多渠道收集反馈，并据此持续优化</w:t>
      </w:r>
    </w:p>
    <w:p w14:paraId="4E759281">
      <w:pPr>
        <w:pStyle w:val="56"/>
        <w:ind w:firstLine="420"/>
      </w:pPr>
    </w:p>
    <w:bookmarkEnd w:id="45"/>
    <w:bookmarkEnd w:id="46"/>
    <w:p w14:paraId="62D5AAB7">
      <w:pPr>
        <w:pStyle w:val="56"/>
        <w:ind w:firstLine="0" w:firstLineChars="0"/>
        <w:jc w:val="center"/>
      </w:pPr>
      <w:bookmarkStart w:id="47" w:name="BookMark8"/>
      <w:r>
        <w:drawing>
          <wp:inline distT="0" distB="0" distL="0" distR="0">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5"/>
                    <a:stretch>
                      <a:fillRect/>
                    </a:stretch>
                  </pic:blipFill>
                  <pic:spPr>
                    <a:xfrm>
                      <a:off x="0" y="0"/>
                      <a:ext cx="1485900" cy="317500"/>
                    </a:xfrm>
                    <a:prstGeom prst="rect">
                      <a:avLst/>
                    </a:prstGeom>
                  </pic:spPr>
                </pic:pic>
              </a:graphicData>
            </a:graphic>
          </wp:inline>
        </w:drawing>
      </w:r>
      <w:bookmarkEnd w:id="47"/>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Arial">
    <w:panose1 w:val="020B0604020202090204"/>
    <w:charset w:val="00"/>
    <w:family w:val="swiss"/>
    <w:pitch w:val="default"/>
    <w:sig w:usb0="E0000AFF" w:usb1="00007843" w:usb2="00000001" w:usb3="00000000" w:csb0="400001BF" w:csb1="DFF70000"/>
  </w:font>
  <w:font w:name="黑体">
    <w:altName w:val="汉仪中黑KW"/>
    <w:panose1 w:val="00000000000000000000"/>
    <w:charset w:val="00"/>
    <w:family w:val="auto"/>
    <w:pitch w:val="default"/>
    <w:sig w:usb0="00000000" w:usb1="00000000" w:usb2="00000000" w:usb3="00000000" w:csb0="00000000" w:csb1="00000000"/>
  </w:font>
  <w:font w:name="等线">
    <w:altName w:val="汉仪中等线KW"/>
    <w:panose1 w:val="02010600030101010101"/>
    <w:charset w:val="86"/>
    <w:family w:val="auto"/>
    <w:pitch w:val="default"/>
    <w:sig w:usb0="00000000" w:usb1="00000000" w:usb2="00000016" w:usb3="00000000" w:csb0="0004000F" w:csb1="00000000"/>
  </w:font>
  <w:font w:name="DengXian">
    <w:altName w:val="汉仪中等线KW"/>
    <w:panose1 w:val="00000000000000000000"/>
    <w:charset w:val="00"/>
    <w:family w:val="auto"/>
    <w:pitch w:val="default"/>
    <w:sig w:usb0="00000000" w:usb1="00000000" w:usb2="00000000" w:usb3="00000000" w:csb0="00000000" w:csb1="00000000"/>
  </w:font>
  <w:font w:name="等线 Light">
    <w:altName w:val="汉仪中等线KW"/>
    <w:panose1 w:val="02010600030101010101"/>
    <w:charset w:val="86"/>
    <w:family w:val="auto"/>
    <w:pitch w:val="default"/>
    <w:sig w:usb0="00000000" w:usb1="00000000" w:usb2="00000016" w:usb3="00000000" w:csb0="0004000F"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儷宋 Pro">
    <w:panose1 w:val="02020300000000000000"/>
    <w:charset w:val="88"/>
    <w:family w:val="auto"/>
    <w:pitch w:val="default"/>
    <w:sig w:usb0="80000001" w:usb1="28091800" w:usb2="00000016" w:usb3="00000000" w:csb0="00100000" w:csb1="00000000"/>
  </w:font>
  <w:font w:name="冬青黑体简体中文">
    <w:panose1 w:val="020B0300000000000000"/>
    <w:charset w:val="86"/>
    <w:family w:val="auto"/>
    <w:pitch w:val="default"/>
    <w:sig w:usb0="A00002BF" w:usb1="1ACF7CFA" w:usb2="00000016" w:usb3="00000000" w:csb0="00060007" w:csb1="00000000"/>
  </w:font>
  <w:font w:name="宋体-简">
    <w:panose1 w:val="02010800040101010101"/>
    <w:charset w:val="86"/>
    <w:family w:val="auto"/>
    <w:pitch w:val="default"/>
    <w:sig w:usb0="00000001" w:usb1="080F0000" w:usb2="00000000" w:usb3="00000000" w:csb0="00040000" w:csb1="00000000"/>
  </w:font>
  <w:font w:name="Kingsoft Sign">
    <w:panose1 w:val="05050102010706020507"/>
    <w:charset w:val="00"/>
    <w:family w:val="auto"/>
    <w:pitch w:val="default"/>
    <w:sig w:usb0="00000000" w:usb1="10000000" w:usb2="00000000" w:usb3="00000000" w:csb0="00000001" w:csb1="00000000"/>
  </w:font>
  <w:font w:name="等线">
    <w:altName w:val="汉仪中等线KW"/>
    <w:panose1 w:val="00000000000000000000"/>
    <w:charset w:val="00"/>
    <w:family w:val="auto"/>
    <w:pitch w:val="default"/>
    <w:sig w:usb0="00000000" w:usb1="00000000" w:usb2="00000000" w:usb3="00000000" w:csb0="00000000" w:csb1="00000000"/>
  </w:font>
  <w:font w:name="汉仪中等线KW">
    <w:panose1 w:val="01010104010101010101"/>
    <w:charset w:val="86"/>
    <w:family w:val="auto"/>
    <w:pitch w:val="default"/>
    <w:sig w:usb0="800002BF" w:usb1="004F7CFA" w:usb2="00000000" w:usb3="00000000" w:csb0="00040001" w:csb1="00000000"/>
  </w:font>
  <w:font w:name="等线 Light">
    <w:altName w:val="汉仪中等线KW"/>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94530B">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4DE593">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F6C4F0">
    <w:pPr>
      <w:pStyle w:val="52"/>
    </w:pPr>
    <w:r>
      <w:fldChar w:fldCharType="begin"/>
    </w:r>
    <w:r>
      <w:instrText xml:space="preserve">PAGE   \* MERGEFORMAT</w:instrText>
    </w:r>
    <w:r>
      <w:fldChar w:fldCharType="separate"/>
    </w:r>
    <w:r>
      <w:rPr>
        <w:lang w:val="zh-CN"/>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56331A">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021D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D676C">
    <w:pPr>
      <w:pStyle w:val="61"/>
    </w:pPr>
    <w:r>
      <w:fldChar w:fldCharType="begin"/>
    </w:r>
    <w:r>
      <w:instrText xml:space="preserve"> STYLEREF  标准文件_文件编号  \* MERGEFORMAT </w:instrText>
    </w:r>
    <w:r>
      <w:fldChar w:fldCharType="separate"/>
    </w:r>
    <w:r>
      <w:t>T/BZJK 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4D3C03">
    <w:pPr>
      <w:pStyle w:val="18"/>
      <w:jc w:val="right"/>
    </w:pPr>
    <w:r>
      <w:fldChar w:fldCharType="begin"/>
    </w:r>
    <w:r>
      <w:instrText xml:space="preserve"> STYLEREF  标准文件_文件编号  \* MERGEFORMAT </w:instrText>
    </w:r>
    <w:r>
      <w:fldChar w:fldCharType="separate"/>
    </w:r>
    <w:r>
      <w:t>T/BZJK 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7717DC"/>
    <w:multiLevelType w:val="singleLevel"/>
    <w:tmpl w:val="EA7717DC"/>
    <w:lvl w:ilvl="0" w:tentative="0">
      <w:start w:val="0"/>
      <w:numFmt w:val="decimal"/>
      <w:suff w:val="space"/>
      <w:lvlText w:val=""/>
      <w:lvlJc w:val="left"/>
      <w:pPr>
        <w:ind w:left="0" w:firstLine="480"/>
      </w:pPr>
      <w:rPr>
        <w:rFonts w:hint="default"/>
      </w:rPr>
    </w:lvl>
  </w:abstractNum>
  <w:abstractNum w:abstractNumId="1">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2">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4">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5">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6">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8">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0">
    <w:nsid w:val="1DBF583A"/>
    <w:multiLevelType w:val="multilevel"/>
    <w:tmpl w:val="1DBF583A"/>
    <w:lvl w:ilvl="0" w:tentative="0">
      <w:start w:val="1"/>
      <w:numFmt w:val="decimal"/>
      <w:pStyle w:val="233"/>
      <w:suff w:val="nothing"/>
      <w:lvlText w:val="注%1："/>
      <w:lvlJc w:val="left"/>
      <w:pPr>
        <w:ind w:left="811" w:hanging="448"/>
      </w:pPr>
      <w:rPr>
        <w:rFonts w:hint="eastAsia" w:ascii="黑体" w:eastAsia="黑体" w:cs="Times New Roman"/>
        <w:b w:val="0"/>
        <w:i w:val="0"/>
        <w:sz w:val="18"/>
        <w:szCs w:val="18"/>
        <w:vertAlign w:val="baseline"/>
      </w:rPr>
    </w:lvl>
    <w:lvl w:ilvl="1" w:tentative="0">
      <w:start w:val="1"/>
      <w:numFmt w:val="lowerLetter"/>
      <w:lvlText w:val="%2)"/>
      <w:lvlJc w:val="left"/>
      <w:pPr>
        <w:tabs>
          <w:tab w:val="left" w:pos="180"/>
        </w:tabs>
        <w:ind w:left="1172" w:hanging="629"/>
      </w:pPr>
      <w:rPr>
        <w:rFonts w:hint="eastAsia" w:cs="Times New Roman"/>
        <w:vertAlign w:val="baseline"/>
      </w:rPr>
    </w:lvl>
    <w:lvl w:ilvl="2" w:tentative="0">
      <w:start w:val="1"/>
      <w:numFmt w:val="lowerRoman"/>
      <w:lvlText w:val="%3."/>
      <w:lvlJc w:val="right"/>
      <w:pPr>
        <w:tabs>
          <w:tab w:val="left" w:pos="180"/>
        </w:tabs>
        <w:ind w:left="1172" w:hanging="629"/>
      </w:pPr>
      <w:rPr>
        <w:rFonts w:hint="eastAsia" w:cs="Times New Roman"/>
        <w:vertAlign w:val="baseline"/>
      </w:rPr>
    </w:lvl>
    <w:lvl w:ilvl="3" w:tentative="0">
      <w:start w:val="1"/>
      <w:numFmt w:val="decimal"/>
      <w:lvlText w:val="%4."/>
      <w:lvlJc w:val="left"/>
      <w:pPr>
        <w:tabs>
          <w:tab w:val="left" w:pos="180"/>
        </w:tabs>
        <w:ind w:left="1172" w:hanging="629"/>
      </w:pPr>
      <w:rPr>
        <w:rFonts w:hint="eastAsia" w:cs="Times New Roman"/>
        <w:vertAlign w:val="baseline"/>
      </w:rPr>
    </w:lvl>
    <w:lvl w:ilvl="4" w:tentative="0">
      <w:start w:val="1"/>
      <w:numFmt w:val="lowerLetter"/>
      <w:lvlText w:val="%5)"/>
      <w:lvlJc w:val="left"/>
      <w:pPr>
        <w:tabs>
          <w:tab w:val="left" w:pos="180"/>
        </w:tabs>
        <w:ind w:left="1172" w:hanging="629"/>
      </w:pPr>
      <w:rPr>
        <w:rFonts w:hint="eastAsia" w:cs="Times New Roman"/>
        <w:vertAlign w:val="baseline"/>
      </w:rPr>
    </w:lvl>
    <w:lvl w:ilvl="5" w:tentative="0">
      <w:start w:val="1"/>
      <w:numFmt w:val="lowerRoman"/>
      <w:lvlText w:val="%6."/>
      <w:lvlJc w:val="right"/>
      <w:pPr>
        <w:tabs>
          <w:tab w:val="left" w:pos="180"/>
        </w:tabs>
        <w:ind w:left="1172" w:hanging="629"/>
      </w:pPr>
      <w:rPr>
        <w:rFonts w:hint="eastAsia" w:cs="Times New Roman"/>
        <w:vertAlign w:val="baseline"/>
      </w:rPr>
    </w:lvl>
    <w:lvl w:ilvl="6" w:tentative="0">
      <w:start w:val="1"/>
      <w:numFmt w:val="decimal"/>
      <w:lvlText w:val="%7."/>
      <w:lvlJc w:val="left"/>
      <w:pPr>
        <w:tabs>
          <w:tab w:val="left" w:pos="180"/>
        </w:tabs>
        <w:ind w:left="1172" w:hanging="629"/>
      </w:pPr>
      <w:rPr>
        <w:rFonts w:hint="eastAsia" w:cs="Times New Roman"/>
        <w:vertAlign w:val="baseline"/>
      </w:rPr>
    </w:lvl>
    <w:lvl w:ilvl="7" w:tentative="0">
      <w:start w:val="1"/>
      <w:numFmt w:val="lowerLetter"/>
      <w:lvlText w:val="%8)"/>
      <w:lvlJc w:val="left"/>
      <w:pPr>
        <w:tabs>
          <w:tab w:val="left" w:pos="180"/>
        </w:tabs>
        <w:ind w:left="1172" w:hanging="629"/>
      </w:pPr>
      <w:rPr>
        <w:rFonts w:hint="eastAsia" w:cs="Times New Roman"/>
        <w:vertAlign w:val="baseline"/>
      </w:rPr>
    </w:lvl>
    <w:lvl w:ilvl="8" w:tentative="0">
      <w:start w:val="1"/>
      <w:numFmt w:val="lowerRoman"/>
      <w:lvlText w:val="%9."/>
      <w:lvlJc w:val="right"/>
      <w:pPr>
        <w:tabs>
          <w:tab w:val="left" w:pos="180"/>
        </w:tabs>
        <w:ind w:left="1172" w:hanging="629"/>
      </w:pPr>
      <w:rPr>
        <w:rFonts w:hint="eastAsia" w:cs="Times New Roman"/>
        <w:vertAlign w:val="baseline"/>
      </w:rPr>
    </w:lvl>
  </w:abstractNum>
  <w:abstractNum w:abstractNumId="11">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2">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3">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4">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5">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6">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7">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9">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0">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1">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3">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4">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5">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6">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7">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9">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14:cntxtalts w14:val="0"/>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0">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1">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2">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
  </w:num>
  <w:num w:numId="2">
    <w:abstractNumId w:val="29"/>
  </w:num>
  <w:num w:numId="3">
    <w:abstractNumId w:val="6"/>
  </w:num>
  <w:num w:numId="4">
    <w:abstractNumId w:val="25"/>
  </w:num>
  <w:num w:numId="5">
    <w:abstractNumId w:val="20"/>
  </w:num>
  <w:num w:numId="6">
    <w:abstractNumId w:val="15"/>
  </w:num>
  <w:num w:numId="7">
    <w:abstractNumId w:val="9"/>
  </w:num>
  <w:num w:numId="8">
    <w:abstractNumId w:val="4"/>
  </w:num>
  <w:num w:numId="9">
    <w:abstractNumId w:val="11"/>
  </w:num>
  <w:num w:numId="10">
    <w:abstractNumId w:val="18"/>
  </w:num>
  <w:num w:numId="11">
    <w:abstractNumId w:val="27"/>
  </w:num>
  <w:num w:numId="12">
    <w:abstractNumId w:val="13"/>
  </w:num>
  <w:num w:numId="13">
    <w:abstractNumId w:val="14"/>
  </w:num>
  <w:num w:numId="14">
    <w:abstractNumId w:val="8"/>
  </w:num>
  <w:num w:numId="15">
    <w:abstractNumId w:val="21"/>
  </w:num>
  <w:num w:numId="16">
    <w:abstractNumId w:val="23"/>
  </w:num>
  <w:num w:numId="17">
    <w:abstractNumId w:val="19"/>
  </w:num>
  <w:num w:numId="18">
    <w:abstractNumId w:val="31"/>
  </w:num>
  <w:num w:numId="19">
    <w:abstractNumId w:val="17"/>
  </w:num>
  <w:num w:numId="20">
    <w:abstractNumId w:val="2"/>
  </w:num>
  <w:num w:numId="21">
    <w:abstractNumId w:val="12"/>
  </w:num>
  <w:num w:numId="22">
    <w:abstractNumId w:val="32"/>
  </w:num>
  <w:num w:numId="23">
    <w:abstractNumId w:val="22"/>
  </w:num>
  <w:num w:numId="24">
    <w:abstractNumId w:val="7"/>
  </w:num>
  <w:num w:numId="25">
    <w:abstractNumId w:val="28"/>
  </w:num>
  <w:num w:numId="26">
    <w:abstractNumId w:val="30"/>
  </w:num>
  <w:num w:numId="27">
    <w:abstractNumId w:val="3"/>
  </w:num>
  <w:num w:numId="28">
    <w:abstractNumId w:val="5"/>
  </w:num>
  <w:num w:numId="29">
    <w:abstractNumId w:val="16"/>
  </w:num>
  <w:num w:numId="30">
    <w:abstractNumId w:val="26"/>
  </w:num>
  <w:num w:numId="31">
    <w:abstractNumId w:val="24"/>
  </w:num>
  <w:num w:numId="32">
    <w:abstractNumId w:val="10"/>
  </w:num>
  <w:num w:numId="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8"/>
  <w:doNotDisplayPageBoundaries w:val="1"/>
  <w:bordersDoNotSurroundHeader w:val="1"/>
  <w:bordersDoNotSurroundFooter w:val="1"/>
  <w:attachedTemplate r:id="rId1"/>
  <w:documentProtection w:edit="forms" w:enforcement="1" w:cryptProviderType="rsaFull" w:cryptAlgorithmClass="hash" w:cryptAlgorithmType="typeAny" w:cryptAlgorithmSid="4" w:cryptSpinCount="100000" w:hash="Uoy3zvCP32lV67YX/ByktrIlF1U=" w:salt="A9RyXrmIjvwc/ND4T/sKiA=="/>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9C1"/>
    <w:rsid w:val="0000040A"/>
    <w:rsid w:val="00000A94"/>
    <w:rsid w:val="00001972"/>
    <w:rsid w:val="00001D9A"/>
    <w:rsid w:val="00007B3A"/>
    <w:rsid w:val="000107E0"/>
    <w:rsid w:val="00011FDE"/>
    <w:rsid w:val="00012FFD"/>
    <w:rsid w:val="00014162"/>
    <w:rsid w:val="00014340"/>
    <w:rsid w:val="00016A9C"/>
    <w:rsid w:val="00016CD1"/>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4DC"/>
    <w:rsid w:val="000B34F0"/>
    <w:rsid w:val="000B3CDA"/>
    <w:rsid w:val="000B62D8"/>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1F2D"/>
    <w:rsid w:val="000E3D5A"/>
    <w:rsid w:val="000E4C9E"/>
    <w:rsid w:val="000E6FD7"/>
    <w:rsid w:val="000E7144"/>
    <w:rsid w:val="000F06E1"/>
    <w:rsid w:val="000F0E3C"/>
    <w:rsid w:val="000F19D5"/>
    <w:rsid w:val="000F4050"/>
    <w:rsid w:val="000F4AEA"/>
    <w:rsid w:val="000F67E9"/>
    <w:rsid w:val="00104926"/>
    <w:rsid w:val="00113B1E"/>
    <w:rsid w:val="0011711C"/>
    <w:rsid w:val="00122E52"/>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6D0"/>
    <w:rsid w:val="00170804"/>
    <w:rsid w:val="001708E9"/>
    <w:rsid w:val="0017340B"/>
    <w:rsid w:val="00173FB1"/>
    <w:rsid w:val="00176DFD"/>
    <w:rsid w:val="00182983"/>
    <w:rsid w:val="001852C9"/>
    <w:rsid w:val="00187A0B"/>
    <w:rsid w:val="00190087"/>
    <w:rsid w:val="001913C4"/>
    <w:rsid w:val="0019348F"/>
    <w:rsid w:val="00193A07"/>
    <w:rsid w:val="00194C95"/>
    <w:rsid w:val="00195C34"/>
    <w:rsid w:val="00196EF5"/>
    <w:rsid w:val="001A04AB"/>
    <w:rsid w:val="001A1A53"/>
    <w:rsid w:val="001A234A"/>
    <w:rsid w:val="001A4CF3"/>
    <w:rsid w:val="001A6696"/>
    <w:rsid w:val="001B06E8"/>
    <w:rsid w:val="001B2D1B"/>
    <w:rsid w:val="001B3DE0"/>
    <w:rsid w:val="001B71D0"/>
    <w:rsid w:val="001B71EE"/>
    <w:rsid w:val="001C04A8"/>
    <w:rsid w:val="001C2A6E"/>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5934"/>
    <w:rsid w:val="00246021"/>
    <w:rsid w:val="0024666E"/>
    <w:rsid w:val="00247F52"/>
    <w:rsid w:val="00250B25"/>
    <w:rsid w:val="00250BBE"/>
    <w:rsid w:val="002515C2"/>
    <w:rsid w:val="0025194F"/>
    <w:rsid w:val="0026148A"/>
    <w:rsid w:val="00262696"/>
    <w:rsid w:val="00263D25"/>
    <w:rsid w:val="002643C3"/>
    <w:rsid w:val="00264A0C"/>
    <w:rsid w:val="00264C28"/>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2B06"/>
    <w:rsid w:val="002A3AAB"/>
    <w:rsid w:val="002A4CEA"/>
    <w:rsid w:val="002A4F27"/>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2FBC"/>
    <w:rsid w:val="00324D13"/>
    <w:rsid w:val="00324EDD"/>
    <w:rsid w:val="003331E4"/>
    <w:rsid w:val="00336C64"/>
    <w:rsid w:val="00337162"/>
    <w:rsid w:val="003402F0"/>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5E63"/>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C5DF1"/>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3802"/>
    <w:rsid w:val="00404869"/>
    <w:rsid w:val="00405884"/>
    <w:rsid w:val="00407D39"/>
    <w:rsid w:val="0041477A"/>
    <w:rsid w:val="004167A3"/>
    <w:rsid w:val="00423371"/>
    <w:rsid w:val="00432DAA"/>
    <w:rsid w:val="00434305"/>
    <w:rsid w:val="00435DF7"/>
    <w:rsid w:val="0044083F"/>
    <w:rsid w:val="00440A24"/>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23A"/>
    <w:rsid w:val="004A63FA"/>
    <w:rsid w:val="004A67AD"/>
    <w:rsid w:val="004A6A3D"/>
    <w:rsid w:val="004B0272"/>
    <w:rsid w:val="004B2701"/>
    <w:rsid w:val="004B2E1B"/>
    <w:rsid w:val="004B2F86"/>
    <w:rsid w:val="004B3AA8"/>
    <w:rsid w:val="004B3E93"/>
    <w:rsid w:val="004C1FBC"/>
    <w:rsid w:val="004C25A2"/>
    <w:rsid w:val="004C3F1D"/>
    <w:rsid w:val="004C458D"/>
    <w:rsid w:val="004C7556"/>
    <w:rsid w:val="004C7E8B"/>
    <w:rsid w:val="004C7E9D"/>
    <w:rsid w:val="004C7F67"/>
    <w:rsid w:val="004D076D"/>
    <w:rsid w:val="004D0EF1"/>
    <w:rsid w:val="004D17EE"/>
    <w:rsid w:val="004D2253"/>
    <w:rsid w:val="004D3986"/>
    <w:rsid w:val="004D4406"/>
    <w:rsid w:val="004D7C42"/>
    <w:rsid w:val="004E0465"/>
    <w:rsid w:val="004E127B"/>
    <w:rsid w:val="004E190F"/>
    <w:rsid w:val="004E1C0A"/>
    <w:rsid w:val="004E1D2D"/>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2A9"/>
    <w:rsid w:val="00505767"/>
    <w:rsid w:val="005073F0"/>
    <w:rsid w:val="00510A7B"/>
    <w:rsid w:val="00512F6E"/>
    <w:rsid w:val="00513038"/>
    <w:rsid w:val="00514174"/>
    <w:rsid w:val="00516088"/>
    <w:rsid w:val="00516B0B"/>
    <w:rsid w:val="005220EC"/>
    <w:rsid w:val="00523F95"/>
    <w:rsid w:val="00524D65"/>
    <w:rsid w:val="00525B16"/>
    <w:rsid w:val="00532C09"/>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0AC8"/>
    <w:rsid w:val="00551F6F"/>
    <w:rsid w:val="00555044"/>
    <w:rsid w:val="00561475"/>
    <w:rsid w:val="00562308"/>
    <w:rsid w:val="0056487B"/>
    <w:rsid w:val="0056493D"/>
    <w:rsid w:val="00564FB9"/>
    <w:rsid w:val="00573D9E"/>
    <w:rsid w:val="005761C7"/>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57A"/>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A07AA"/>
    <w:rsid w:val="006A25E5"/>
    <w:rsid w:val="006A2B46"/>
    <w:rsid w:val="006A336D"/>
    <w:rsid w:val="006A37B9"/>
    <w:rsid w:val="006B2672"/>
    <w:rsid w:val="006B54BF"/>
    <w:rsid w:val="006B5F44"/>
    <w:rsid w:val="006B5F90"/>
    <w:rsid w:val="006B62E4"/>
    <w:rsid w:val="006C1BBA"/>
    <w:rsid w:val="006C2079"/>
    <w:rsid w:val="006C4082"/>
    <w:rsid w:val="006C5A62"/>
    <w:rsid w:val="006C5D68"/>
    <w:rsid w:val="006C6976"/>
    <w:rsid w:val="006C6DD0"/>
    <w:rsid w:val="006D04EA"/>
    <w:rsid w:val="006D16C4"/>
    <w:rsid w:val="006D2B4E"/>
    <w:rsid w:val="006D3E96"/>
    <w:rsid w:val="006D4515"/>
    <w:rsid w:val="006D4BB1"/>
    <w:rsid w:val="006D6593"/>
    <w:rsid w:val="006F03A8"/>
    <w:rsid w:val="006F1B14"/>
    <w:rsid w:val="006F2ACA"/>
    <w:rsid w:val="006F2ADC"/>
    <w:rsid w:val="006F2BFE"/>
    <w:rsid w:val="006F31E9"/>
    <w:rsid w:val="006F6284"/>
    <w:rsid w:val="007002C5"/>
    <w:rsid w:val="00704387"/>
    <w:rsid w:val="0070464D"/>
    <w:rsid w:val="00707669"/>
    <w:rsid w:val="00711CBA"/>
    <w:rsid w:val="00711FB5"/>
    <w:rsid w:val="00712A01"/>
    <w:rsid w:val="00714F58"/>
    <w:rsid w:val="00722FBF"/>
    <w:rsid w:val="00722FC2"/>
    <w:rsid w:val="00724E1B"/>
    <w:rsid w:val="00725949"/>
    <w:rsid w:val="00727FA2"/>
    <w:rsid w:val="007322D9"/>
    <w:rsid w:val="00732BC0"/>
    <w:rsid w:val="0073575C"/>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2E36"/>
    <w:rsid w:val="007B5A3D"/>
    <w:rsid w:val="007B5B95"/>
    <w:rsid w:val="007B6032"/>
    <w:rsid w:val="007B68EA"/>
    <w:rsid w:val="007B7453"/>
    <w:rsid w:val="007C2D89"/>
    <w:rsid w:val="007C4593"/>
    <w:rsid w:val="007C5309"/>
    <w:rsid w:val="007C6069"/>
    <w:rsid w:val="007D06C4"/>
    <w:rsid w:val="007D1352"/>
    <w:rsid w:val="007D2508"/>
    <w:rsid w:val="007D3451"/>
    <w:rsid w:val="007D346A"/>
    <w:rsid w:val="007D6518"/>
    <w:rsid w:val="007D76BD"/>
    <w:rsid w:val="007E0714"/>
    <w:rsid w:val="007E0BF1"/>
    <w:rsid w:val="007F0ED8"/>
    <w:rsid w:val="007F0F63"/>
    <w:rsid w:val="007F13B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3FC6"/>
    <w:rsid w:val="00825138"/>
    <w:rsid w:val="008269DD"/>
    <w:rsid w:val="00830621"/>
    <w:rsid w:val="0083348C"/>
    <w:rsid w:val="00835798"/>
    <w:rsid w:val="008373D3"/>
    <w:rsid w:val="00840617"/>
    <w:rsid w:val="00840F84"/>
    <w:rsid w:val="00842A47"/>
    <w:rsid w:val="00843C13"/>
    <w:rsid w:val="00843DEF"/>
    <w:rsid w:val="008454F8"/>
    <w:rsid w:val="0085173A"/>
    <w:rsid w:val="00852647"/>
    <w:rsid w:val="008603CE"/>
    <w:rsid w:val="008620FC"/>
    <w:rsid w:val="008627A5"/>
    <w:rsid w:val="00863E05"/>
    <w:rsid w:val="00865ACA"/>
    <w:rsid w:val="00865D28"/>
    <w:rsid w:val="00865F85"/>
    <w:rsid w:val="00867C10"/>
    <w:rsid w:val="00870439"/>
    <w:rsid w:val="00870DA1"/>
    <w:rsid w:val="00872FD5"/>
    <w:rsid w:val="00883C53"/>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1B3A"/>
    <w:rsid w:val="008A1FF0"/>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2A7B"/>
    <w:rsid w:val="0096381A"/>
    <w:rsid w:val="00965E04"/>
    <w:rsid w:val="009674AD"/>
    <w:rsid w:val="00970CDC"/>
    <w:rsid w:val="0097416B"/>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C672E"/>
    <w:rsid w:val="009D112C"/>
    <w:rsid w:val="009D1385"/>
    <w:rsid w:val="009D47FA"/>
    <w:rsid w:val="009D4C5B"/>
    <w:rsid w:val="009D50D2"/>
    <w:rsid w:val="009D6BCA"/>
    <w:rsid w:val="009E0F62"/>
    <w:rsid w:val="009E4A58"/>
    <w:rsid w:val="009E5A2D"/>
    <w:rsid w:val="009E5AB2"/>
    <w:rsid w:val="009E6219"/>
    <w:rsid w:val="009E76D3"/>
    <w:rsid w:val="009F03B3"/>
    <w:rsid w:val="00A0096C"/>
    <w:rsid w:val="00A01757"/>
    <w:rsid w:val="00A028C0"/>
    <w:rsid w:val="00A02BAE"/>
    <w:rsid w:val="00A0667C"/>
    <w:rsid w:val="00A069C1"/>
    <w:rsid w:val="00A06A6B"/>
    <w:rsid w:val="00A07E47"/>
    <w:rsid w:val="00A129D0"/>
    <w:rsid w:val="00A12C33"/>
    <w:rsid w:val="00A138BA"/>
    <w:rsid w:val="00A14C8E"/>
    <w:rsid w:val="00A153D9"/>
    <w:rsid w:val="00A15F09"/>
    <w:rsid w:val="00A169B6"/>
    <w:rsid w:val="00A2271D"/>
    <w:rsid w:val="00A237D5"/>
    <w:rsid w:val="00A268BC"/>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13B1"/>
    <w:rsid w:val="00A648CD"/>
    <w:rsid w:val="00A6537A"/>
    <w:rsid w:val="00A67866"/>
    <w:rsid w:val="00A70B07"/>
    <w:rsid w:val="00A723F8"/>
    <w:rsid w:val="00A7294F"/>
    <w:rsid w:val="00A777CD"/>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352"/>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4B6"/>
    <w:rsid w:val="00B31FB1"/>
    <w:rsid w:val="00B33952"/>
    <w:rsid w:val="00B33C5E"/>
    <w:rsid w:val="00B342F4"/>
    <w:rsid w:val="00B34369"/>
    <w:rsid w:val="00B34DC2"/>
    <w:rsid w:val="00B36A0C"/>
    <w:rsid w:val="00B378E5"/>
    <w:rsid w:val="00B4346D"/>
    <w:rsid w:val="00B440F4"/>
    <w:rsid w:val="00B4452D"/>
    <w:rsid w:val="00B447A5"/>
    <w:rsid w:val="00B4654C"/>
    <w:rsid w:val="00B47293"/>
    <w:rsid w:val="00B50E50"/>
    <w:rsid w:val="00B52120"/>
    <w:rsid w:val="00B54ABC"/>
    <w:rsid w:val="00B56FBE"/>
    <w:rsid w:val="00B60ACF"/>
    <w:rsid w:val="00B62B58"/>
    <w:rsid w:val="00B63594"/>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4950"/>
    <w:rsid w:val="00BC5DC7"/>
    <w:rsid w:val="00BC6B8B"/>
    <w:rsid w:val="00BC73D8"/>
    <w:rsid w:val="00BD52D7"/>
    <w:rsid w:val="00BD5AD2"/>
    <w:rsid w:val="00BE0FB3"/>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76D"/>
    <w:rsid w:val="00D1489E"/>
    <w:rsid w:val="00D20737"/>
    <w:rsid w:val="00D21E81"/>
    <w:rsid w:val="00D223DE"/>
    <w:rsid w:val="00D25E37"/>
    <w:rsid w:val="00D2661A"/>
    <w:rsid w:val="00D26902"/>
    <w:rsid w:val="00D27582"/>
    <w:rsid w:val="00D27EC4"/>
    <w:rsid w:val="00D32719"/>
    <w:rsid w:val="00D33333"/>
    <w:rsid w:val="00D352A2"/>
    <w:rsid w:val="00D4162B"/>
    <w:rsid w:val="00D4514F"/>
    <w:rsid w:val="00D451E2"/>
    <w:rsid w:val="00D459DB"/>
    <w:rsid w:val="00D45E56"/>
    <w:rsid w:val="00D45E89"/>
    <w:rsid w:val="00D45E8D"/>
    <w:rsid w:val="00D466AE"/>
    <w:rsid w:val="00D4734F"/>
    <w:rsid w:val="00D51BF3"/>
    <w:rsid w:val="00D61E1B"/>
    <w:rsid w:val="00D66846"/>
    <w:rsid w:val="00D675FB"/>
    <w:rsid w:val="00D71F25"/>
    <w:rsid w:val="00D72A9C"/>
    <w:rsid w:val="00D77031"/>
    <w:rsid w:val="00D84941"/>
    <w:rsid w:val="00D84FA1"/>
    <w:rsid w:val="00D851F0"/>
    <w:rsid w:val="00D86DB7"/>
    <w:rsid w:val="00D87BF5"/>
    <w:rsid w:val="00D90721"/>
    <w:rsid w:val="00D926D0"/>
    <w:rsid w:val="00D93030"/>
    <w:rsid w:val="00D93A6F"/>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052B"/>
    <w:rsid w:val="00E01138"/>
    <w:rsid w:val="00E02DFB"/>
    <w:rsid w:val="00E030F9"/>
    <w:rsid w:val="00E0311A"/>
    <w:rsid w:val="00E03138"/>
    <w:rsid w:val="00E06404"/>
    <w:rsid w:val="00E11A85"/>
    <w:rsid w:val="00E11C21"/>
    <w:rsid w:val="00E12495"/>
    <w:rsid w:val="00E12A31"/>
    <w:rsid w:val="00E15CCD"/>
    <w:rsid w:val="00E202EF"/>
    <w:rsid w:val="00E210B5"/>
    <w:rsid w:val="00E23B0E"/>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4203"/>
    <w:rsid w:val="00E664CC"/>
    <w:rsid w:val="00E70388"/>
    <w:rsid w:val="00E70F92"/>
    <w:rsid w:val="00E74313"/>
    <w:rsid w:val="00E74C54"/>
    <w:rsid w:val="00E76CE0"/>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47BE"/>
    <w:rsid w:val="00F06D37"/>
    <w:rsid w:val="00F07B9D"/>
    <w:rsid w:val="00F11586"/>
    <w:rsid w:val="00F1183B"/>
    <w:rsid w:val="00F11C9F"/>
    <w:rsid w:val="00F12263"/>
    <w:rsid w:val="00F1409D"/>
    <w:rsid w:val="00F14214"/>
    <w:rsid w:val="00F157A9"/>
    <w:rsid w:val="00F16F00"/>
    <w:rsid w:val="00F25BB6"/>
    <w:rsid w:val="00F26B7E"/>
    <w:rsid w:val="00F274E0"/>
    <w:rsid w:val="00F27A3B"/>
    <w:rsid w:val="00F32780"/>
    <w:rsid w:val="00F33817"/>
    <w:rsid w:val="00F4029E"/>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C5E1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DFFEF9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semiHidden="0" w:name="toc 3"/>
    <w:lsdException w:uiPriority="39" w:semiHidden="0" w:name="toc 4"/>
    <w:lsdException w:uiPriority="39" w:semiHidden="0" w:name="toc 5"/>
    <w:lsdException w:uiPriority="39" w:semiHidden="0" w:name="toc 6"/>
    <w:lsdException w:uiPriority="39" w:semiHidden="0" w:name="toc 7"/>
    <w:lsdException w:uiPriority="0" w:name="toc 8"/>
    <w:lsdException w:uiPriority="0" w:name="toc 9"/>
    <w:lsdException w:unhideWhenUsed="0" w:uiPriority="0" w:semiHidden="0" w:name="Normal Indent"/>
    <w:lsdException w:unhideWhenUsed="0" w:uiPriority="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35" w:name="caption"/>
    <w:lsdException w:unhideWhenUsed="0" w:uiPriority="0" w:name="table of figures"/>
    <w:lsdException w:uiPriority="99" w:name="envelope address"/>
    <w:lsdException w:uiPriority="99" w:name="envelope return"/>
    <w:lsdException w:unhideWhenUsed="0" w:uiPriority="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uiPriority w:val="1"/>
  </w:style>
  <w:style w:type="table" w:default="1" w:styleId="26">
    <w:name w:val="Normal Table"/>
    <w:semiHidden/>
    <w:unhideWhenUsed/>
    <w:uiPriority w:val="99"/>
    <w:tblPr>
      <w:tblCellMar>
        <w:top w:w="0" w:type="dxa"/>
        <w:left w:w="108" w:type="dxa"/>
        <w:bottom w:w="0" w:type="dxa"/>
        <w:right w:w="108" w:type="dxa"/>
      </w:tblCellMar>
    </w:tblPr>
  </w:style>
  <w:style w:type="paragraph" w:styleId="11">
    <w:name w:val="toc 7"/>
    <w:basedOn w:val="1"/>
    <w:next w:val="1"/>
    <w:autoRedefine/>
    <w:unhideWhenUsed/>
    <w:uiPriority w:val="39"/>
    <w:pPr>
      <w:tabs>
        <w:tab w:val="right" w:leader="dot" w:pos="9344"/>
      </w:tabs>
      <w:spacing w:line="300" w:lineRule="exact"/>
      <w:ind w:left="1259"/>
    </w:pPr>
    <w:rPr>
      <w:rFonts w:ascii="宋体"/>
    </w:rPr>
  </w:style>
  <w:style w:type="paragraph" w:styleId="12">
    <w:name w:val="Normal Indent"/>
    <w:basedOn w:val="1"/>
    <w:uiPriority w:val="0"/>
    <w:pPr>
      <w:ind w:firstLine="420"/>
    </w:pPr>
  </w:style>
  <w:style w:type="paragraph" w:styleId="13">
    <w:name w:val="Body Text"/>
    <w:basedOn w:val="1"/>
    <w:link w:val="86"/>
    <w:uiPriority w:val="0"/>
    <w:pPr>
      <w:spacing w:after="120"/>
    </w:pPr>
  </w:style>
  <w:style w:type="paragraph" w:styleId="14">
    <w:name w:val="toc 5"/>
    <w:basedOn w:val="1"/>
    <w:next w:val="1"/>
    <w:autoRedefine/>
    <w:unhideWhenUsed/>
    <w:uiPriority w:val="39"/>
    <w:pPr>
      <w:ind w:left="839"/>
    </w:pPr>
    <w:rPr>
      <w:rFonts w:ascii="宋体"/>
    </w:rPr>
  </w:style>
  <w:style w:type="paragraph" w:styleId="15">
    <w:name w:val="toc 3"/>
    <w:basedOn w:val="1"/>
    <w:next w:val="1"/>
    <w:autoRedefine/>
    <w:unhideWhenUsed/>
    <w:uiPriority w:val="39"/>
    <w:pPr>
      <w:spacing w:line="300" w:lineRule="exact"/>
      <w:ind w:left="420"/>
    </w:pPr>
    <w:rPr>
      <w:rFonts w:ascii="宋体"/>
    </w:rPr>
  </w:style>
  <w:style w:type="paragraph" w:styleId="16">
    <w:name w:val="Balloon Text"/>
    <w:basedOn w:val="1"/>
    <w:link w:val="45"/>
    <w:semiHidden/>
    <w:unhideWhenUsed/>
    <w:uiPriority w:val="99"/>
    <w:rPr>
      <w:sz w:val="18"/>
      <w:szCs w:val="18"/>
    </w:rPr>
  </w:style>
  <w:style w:type="paragraph" w:styleId="17">
    <w:name w:val="footer"/>
    <w:basedOn w:val="1"/>
    <w:link w:val="44"/>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uiPriority w:val="39"/>
    <w:rPr>
      <w:rFonts w:ascii="宋体"/>
    </w:rPr>
  </w:style>
  <w:style w:type="paragraph" w:styleId="20">
    <w:name w:val="toc 4"/>
    <w:basedOn w:val="1"/>
    <w:next w:val="1"/>
    <w:autoRedefine/>
    <w:unhideWhenUsed/>
    <w:uiPriority w:val="39"/>
    <w:pPr>
      <w:tabs>
        <w:tab w:val="right" w:leader="dot" w:pos="9344"/>
      </w:tabs>
      <w:spacing w:line="300" w:lineRule="exact"/>
      <w:ind w:left="629"/>
    </w:pPr>
    <w:rPr>
      <w:rFonts w:ascii="宋体"/>
    </w:rPr>
  </w:style>
  <w:style w:type="paragraph" w:styleId="21">
    <w:name w:val="footnote text"/>
    <w:basedOn w:val="1"/>
    <w:next w:val="1"/>
    <w:link w:val="99"/>
    <w:semiHidden/>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uiPriority w:val="39"/>
    <w:pPr>
      <w:spacing w:line="300" w:lineRule="exact"/>
      <w:ind w:left="1049"/>
    </w:pPr>
    <w:rPr>
      <w:rFonts w:ascii="宋体"/>
    </w:rPr>
  </w:style>
  <w:style w:type="paragraph" w:styleId="23">
    <w:name w:val="table of figures"/>
    <w:basedOn w:val="1"/>
    <w:next w:val="1"/>
    <w:semiHidden/>
    <w:uiPriority w:val="0"/>
    <w:pPr>
      <w:adjustRightInd/>
      <w:spacing w:line="240" w:lineRule="auto"/>
      <w:jc w:val="left"/>
    </w:pPr>
    <w:rPr>
      <w:szCs w:val="24"/>
    </w:rPr>
  </w:style>
  <w:style w:type="paragraph" w:styleId="24">
    <w:name w:val="toc 2"/>
    <w:basedOn w:val="1"/>
    <w:next w:val="1"/>
    <w:autoRedefine/>
    <w:unhideWhenUsed/>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0"/>
    <w:rPr>
      <w:b/>
      <w:bCs/>
    </w:rPr>
  </w:style>
  <w:style w:type="character" w:styleId="30">
    <w:name w:val="page number"/>
    <w:uiPriority w:val="0"/>
    <w:rPr>
      <w:rFonts w:ascii="宋体" w:hAnsi="Times New Roman" w:eastAsia="宋体"/>
      <w:sz w:val="18"/>
    </w:rPr>
  </w:style>
  <w:style w:type="character" w:styleId="31">
    <w:name w:val="Emphasis"/>
    <w:qFormat/>
    <w:uiPriority w:val="20"/>
    <w:rPr>
      <w:i/>
      <w:iCs/>
    </w:rPr>
  </w:style>
  <w:style w:type="character" w:styleId="32">
    <w:name w:val="Hyperlink"/>
    <w:uiPriority w:val="99"/>
    <w:rPr>
      <w:rFonts w:ascii="宋体" w:hAnsi="Times New Roman" w:eastAsia="宋体"/>
      <w:color w:val="auto"/>
      <w:spacing w:val="0"/>
      <w:w w:val="100"/>
      <w:position w:val="0"/>
      <w:sz w:val="21"/>
      <w:u w:val="none"/>
      <w:vertAlign w:val="baseline"/>
    </w:rPr>
  </w:style>
  <w:style w:type="character" w:styleId="33">
    <w:name w:val="footnote reference"/>
    <w:semiHidden/>
    <w:uiPriority w:val="0"/>
    <w:rPr>
      <w:rFonts w:ascii="宋体" w:hAnsi="宋体" w:eastAsia="宋体" w:cs="Times New Roman"/>
      <w:spacing w:val="0"/>
      <w:sz w:val="18"/>
      <w:vertAlign w:val="superscript"/>
    </w:rPr>
  </w:style>
  <w:style w:type="character" w:customStyle="1" w:styleId="34">
    <w:name w:val="标题 1 字符"/>
    <w:link w:val="2"/>
    <w:uiPriority w:val="0"/>
    <w:rPr>
      <w:b/>
      <w:bCs/>
      <w:kern w:val="44"/>
      <w:sz w:val="44"/>
      <w:szCs w:val="44"/>
    </w:rPr>
  </w:style>
  <w:style w:type="character" w:customStyle="1" w:styleId="35">
    <w:name w:val="标题 2 字符"/>
    <w:link w:val="3"/>
    <w:uiPriority w:val="0"/>
    <w:rPr>
      <w:rFonts w:ascii="Arial" w:hAnsi="Arial" w:eastAsia="黑体"/>
      <w:b/>
      <w:bCs/>
      <w:kern w:val="2"/>
      <w:sz w:val="32"/>
      <w:szCs w:val="32"/>
    </w:rPr>
  </w:style>
  <w:style w:type="character" w:customStyle="1" w:styleId="36">
    <w:name w:val="标题 3 字符"/>
    <w:link w:val="4"/>
    <w:uiPriority w:val="0"/>
    <w:rPr>
      <w:b/>
      <w:bCs/>
      <w:kern w:val="2"/>
      <w:sz w:val="32"/>
      <w:szCs w:val="32"/>
    </w:rPr>
  </w:style>
  <w:style w:type="character" w:customStyle="1" w:styleId="37">
    <w:name w:val="标题 4 字符"/>
    <w:link w:val="5"/>
    <w:uiPriority w:val="0"/>
    <w:rPr>
      <w:rFonts w:ascii="Arial" w:hAnsi="Arial" w:eastAsia="黑体"/>
      <w:b/>
      <w:bCs/>
      <w:kern w:val="2"/>
      <w:sz w:val="28"/>
      <w:szCs w:val="28"/>
    </w:rPr>
  </w:style>
  <w:style w:type="character" w:customStyle="1" w:styleId="38">
    <w:name w:val="标题 5 字符"/>
    <w:link w:val="6"/>
    <w:uiPriority w:val="0"/>
    <w:rPr>
      <w:b/>
      <w:bCs/>
      <w:kern w:val="2"/>
      <w:sz w:val="28"/>
      <w:szCs w:val="28"/>
    </w:rPr>
  </w:style>
  <w:style w:type="character" w:customStyle="1" w:styleId="39">
    <w:name w:val="标题 6 字符"/>
    <w:link w:val="7"/>
    <w:uiPriority w:val="0"/>
    <w:rPr>
      <w:rFonts w:ascii="Arial" w:hAnsi="Arial" w:eastAsia="黑体"/>
      <w:b/>
      <w:bCs/>
      <w:kern w:val="2"/>
      <w:sz w:val="24"/>
      <w:szCs w:val="24"/>
    </w:rPr>
  </w:style>
  <w:style w:type="character" w:customStyle="1" w:styleId="40">
    <w:name w:val="标题 7 字符"/>
    <w:link w:val="8"/>
    <w:uiPriority w:val="0"/>
    <w:rPr>
      <w:b/>
      <w:bCs/>
      <w:kern w:val="2"/>
      <w:sz w:val="24"/>
      <w:szCs w:val="24"/>
    </w:rPr>
  </w:style>
  <w:style w:type="character" w:customStyle="1" w:styleId="41">
    <w:name w:val="标题 8 字符"/>
    <w:link w:val="9"/>
    <w:uiPriority w:val="0"/>
    <w:rPr>
      <w:rFonts w:ascii="Arial" w:hAnsi="Arial" w:eastAsia="黑体"/>
      <w:kern w:val="2"/>
      <w:sz w:val="24"/>
      <w:szCs w:val="24"/>
    </w:rPr>
  </w:style>
  <w:style w:type="character" w:customStyle="1" w:styleId="42">
    <w:name w:val="标题 9 字符"/>
    <w:link w:val="10"/>
    <w:uiPriority w:val="0"/>
    <w:rPr>
      <w:rFonts w:ascii="Arial" w:hAnsi="Arial" w:eastAsia="黑体"/>
      <w:kern w:val="2"/>
      <w:sz w:val="21"/>
      <w:szCs w:val="21"/>
    </w:rPr>
  </w:style>
  <w:style w:type="character" w:customStyle="1" w:styleId="43">
    <w:name w:val="页眉 字符"/>
    <w:link w:val="18"/>
    <w:uiPriority w:val="99"/>
    <w:rPr>
      <w:kern w:val="2"/>
      <w:sz w:val="18"/>
      <w:szCs w:val="18"/>
    </w:rPr>
  </w:style>
  <w:style w:type="character" w:customStyle="1" w:styleId="44">
    <w:name w:val="页脚 字符"/>
    <w:link w:val="17"/>
    <w:uiPriority w:val="99"/>
    <w:rPr>
      <w:rFonts w:ascii="宋体"/>
      <w:kern w:val="2"/>
      <w:sz w:val="18"/>
      <w:szCs w:val="18"/>
    </w:rPr>
  </w:style>
  <w:style w:type="character" w:customStyle="1" w:styleId="45">
    <w:name w:val="批注框文本 字符"/>
    <w:link w:val="16"/>
    <w:semiHidden/>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uiPriority w:val="0"/>
    <w:pPr>
      <w:ind w:left="198"/>
    </w:pPr>
    <w:rPr>
      <w:rFonts w:ascii="宋体" w:hAnsi="Times New Roman" w:eastAsia="宋体" w:cs="Times New Roman"/>
      <w:sz w:val="18"/>
      <w:lang w:val="en-US" w:eastAsia="zh-CN" w:bidi="ar-SA"/>
    </w:rPr>
  </w:style>
  <w:style w:type="paragraph" w:customStyle="1" w:styleId="52">
    <w:name w:val="标准文件_页脚奇数页"/>
    <w:uiPriority w:val="0"/>
    <w:pPr>
      <w:ind w:right="227"/>
      <w:jc w:val="right"/>
    </w:pPr>
    <w:rPr>
      <w:rFonts w:ascii="宋体" w:hAnsi="Times New Roman" w:eastAsia="宋体" w:cs="Times New Roman"/>
      <w:sz w:val="18"/>
      <w:lang w:val="en-US" w:eastAsia="zh-CN" w:bidi="ar-SA"/>
    </w:rPr>
  </w:style>
  <w:style w:type="paragraph" w:customStyle="1" w:styleId="53">
    <w:name w:val="标准书眉一"/>
    <w:uiPriority w:val="0"/>
    <w:pPr>
      <w:jc w:val="both"/>
    </w:pPr>
    <w:rPr>
      <w:rFonts w:ascii="Times New Roman" w:hAnsi="Times New Roman" w:eastAsia="宋体" w:cs="Times New Roman"/>
      <w:lang w:val="en-US" w:eastAsia="zh-CN" w:bidi="ar-SA"/>
    </w:rPr>
  </w:style>
  <w:style w:type="paragraph" w:customStyle="1" w:styleId="54">
    <w:name w:val="标准文件_ICS"/>
    <w:basedOn w:val="1"/>
    <w:uiPriority w:val="0"/>
    <w:pPr>
      <w:spacing w:line="0" w:lineRule="atLeast"/>
    </w:pPr>
    <w:rPr>
      <w:rFonts w:ascii="黑体" w:hAnsi="宋体" w:eastAsia="黑体"/>
    </w:rPr>
  </w:style>
  <w:style w:type="paragraph" w:customStyle="1" w:styleId="55">
    <w:name w:val="标准文件_标准正文"/>
    <w:basedOn w:val="1"/>
    <w:next w:val="56"/>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uiPriority w:val="0"/>
    <w:pPr>
      <w:adjustRightInd/>
      <w:snapToGrid/>
      <w:ind w:firstLine="0" w:firstLineChars="0"/>
    </w:pPr>
    <w:rPr>
      <w:rFonts w:ascii="宋体" w:hAnsi="宋体"/>
      <w:kern w:val="2"/>
    </w:rPr>
  </w:style>
  <w:style w:type="paragraph" w:customStyle="1" w:styleId="58">
    <w:name w:val="标准文件_标准部门"/>
    <w:basedOn w:val="1"/>
    <w:uiPriority w:val="0"/>
    <w:pPr>
      <w:jc w:val="center"/>
    </w:pPr>
    <w:rPr>
      <w:rFonts w:ascii="黑体" w:eastAsia="黑体"/>
      <w:kern w:val="0"/>
      <w:sz w:val="44"/>
    </w:rPr>
  </w:style>
  <w:style w:type="paragraph" w:customStyle="1" w:styleId="59">
    <w:name w:val="标准文件_标准代替"/>
    <w:basedOn w:val="1"/>
    <w:next w:val="1"/>
    <w:uiPriority w:val="0"/>
    <w:pPr>
      <w:spacing w:line="310" w:lineRule="exact"/>
      <w:jc w:val="right"/>
    </w:pPr>
    <w:rPr>
      <w:rFonts w:ascii="宋体" w:hAnsi="宋体"/>
      <w:kern w:val="0"/>
    </w:rPr>
  </w:style>
  <w:style w:type="paragraph" w:customStyle="1" w:styleId="60">
    <w:name w:val="标准文件_标准名称标题"/>
    <w:basedOn w:val="1"/>
    <w:next w:val="1"/>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uiPriority w:val="0"/>
    <w:pPr>
      <w:jc w:val="left"/>
    </w:pPr>
  </w:style>
  <w:style w:type="paragraph" w:customStyle="1" w:styleId="63">
    <w:name w:val="标准文件_参考文献标题"/>
    <w:basedOn w:val="1"/>
    <w:next w:val="1"/>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uiPriority w:val="0"/>
    <w:rPr>
      <w:rFonts w:ascii="黑体" w:eastAsia="黑体"/>
      <w:spacing w:val="0"/>
      <w:w w:val="100"/>
      <w:position w:val="3"/>
      <w:sz w:val="28"/>
    </w:rPr>
  </w:style>
  <w:style w:type="paragraph" w:customStyle="1" w:styleId="67">
    <w:name w:val="标准文件_方框数字列项"/>
    <w:basedOn w:val="56"/>
    <w:uiPriority w:val="0"/>
    <w:pPr>
      <w:numPr>
        <w:ilvl w:val="0"/>
        <w:numId w:val="3"/>
      </w:numPr>
      <w:ind w:firstLine="0" w:firstLineChars="0"/>
    </w:pPr>
  </w:style>
  <w:style w:type="paragraph" w:customStyle="1" w:styleId="68">
    <w:name w:val="标准文件_封面标准编号"/>
    <w:basedOn w:val="1"/>
    <w:next w:val="59"/>
    <w:uiPriority w:val="0"/>
    <w:pPr>
      <w:spacing w:line="310" w:lineRule="exact"/>
      <w:jc w:val="right"/>
    </w:pPr>
    <w:rPr>
      <w:rFonts w:ascii="黑体" w:eastAsia="黑体"/>
      <w:kern w:val="0"/>
      <w:sz w:val="28"/>
    </w:rPr>
  </w:style>
  <w:style w:type="paragraph" w:customStyle="1" w:styleId="69">
    <w:name w:val="标准文件_封面标准分类号"/>
    <w:basedOn w:val="1"/>
    <w:uiPriority w:val="0"/>
    <w:rPr>
      <w:rFonts w:ascii="黑体" w:eastAsia="黑体"/>
      <w:b/>
      <w:kern w:val="0"/>
      <w:sz w:val="28"/>
    </w:rPr>
  </w:style>
  <w:style w:type="paragraph" w:customStyle="1" w:styleId="70">
    <w:name w:val="标准文件_封面标准名称"/>
    <w:basedOn w:val="1"/>
    <w:uiPriority w:val="0"/>
    <w:pPr>
      <w:spacing w:line="240" w:lineRule="auto"/>
      <w:jc w:val="center"/>
    </w:pPr>
    <w:rPr>
      <w:rFonts w:ascii="黑体" w:eastAsia="黑体"/>
      <w:kern w:val="0"/>
      <w:sz w:val="52"/>
    </w:rPr>
  </w:style>
  <w:style w:type="paragraph" w:customStyle="1" w:styleId="71">
    <w:name w:val="标准文件_封面标准英文名称"/>
    <w:basedOn w:val="1"/>
    <w:uiPriority w:val="0"/>
    <w:pPr>
      <w:spacing w:line="240" w:lineRule="auto"/>
      <w:jc w:val="center"/>
    </w:pPr>
    <w:rPr>
      <w:rFonts w:ascii="黑体" w:eastAsia="黑体"/>
      <w:b/>
      <w:sz w:val="28"/>
    </w:rPr>
  </w:style>
  <w:style w:type="paragraph" w:customStyle="1" w:styleId="72">
    <w:name w:val="标准文件_封面发布日期"/>
    <w:basedOn w:val="1"/>
    <w:uiPriority w:val="0"/>
    <w:pPr>
      <w:spacing w:line="310" w:lineRule="exact"/>
    </w:pPr>
    <w:rPr>
      <w:rFonts w:ascii="黑体" w:eastAsia="黑体"/>
      <w:kern w:val="0"/>
      <w:sz w:val="28"/>
    </w:rPr>
  </w:style>
  <w:style w:type="paragraph" w:customStyle="1" w:styleId="73">
    <w:name w:val="标准文件_封面密级"/>
    <w:basedOn w:val="1"/>
    <w:uiPriority w:val="0"/>
    <w:rPr>
      <w:rFonts w:eastAsia="黑体"/>
      <w:sz w:val="32"/>
    </w:rPr>
  </w:style>
  <w:style w:type="paragraph" w:customStyle="1" w:styleId="74">
    <w:name w:val="标准文件_封面实施日期"/>
    <w:basedOn w:val="1"/>
    <w:uiPriority w:val="0"/>
    <w:pPr>
      <w:spacing w:line="310" w:lineRule="exact"/>
      <w:jc w:val="right"/>
    </w:pPr>
    <w:rPr>
      <w:rFonts w:ascii="黑体" w:eastAsia="黑体"/>
      <w:sz w:val="28"/>
    </w:rPr>
  </w:style>
  <w:style w:type="paragraph" w:customStyle="1" w:styleId="75">
    <w:name w:val="标准文件_封面抬头"/>
    <w:basedOn w:val="56"/>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uiPriority w:val="0"/>
    <w:rPr>
      <w:kern w:val="2"/>
      <w:sz w:val="21"/>
      <w:szCs w:val="21"/>
    </w:rPr>
  </w:style>
  <w:style w:type="paragraph" w:customStyle="1" w:styleId="87">
    <w:name w:val="标准文件_附录章标题"/>
    <w:next w:val="56"/>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uiPriority w:val="0"/>
    <w:pPr>
      <w:spacing w:line="460" w:lineRule="exact"/>
      <w:ind w:left="0" w:firstLine="0"/>
    </w:pPr>
  </w:style>
  <w:style w:type="paragraph" w:customStyle="1" w:styleId="91">
    <w:name w:val="标准文件_目录标题"/>
    <w:basedOn w:val="1"/>
    <w:uiPriority w:val="0"/>
    <w:pPr>
      <w:spacing w:before="480" w:after="150" w:afterLines="150" w:line="240" w:lineRule="auto"/>
      <w:jc w:val="center"/>
    </w:pPr>
    <w:rPr>
      <w:rFonts w:ascii="黑体" w:eastAsia="黑体"/>
      <w:sz w:val="32"/>
    </w:rPr>
  </w:style>
  <w:style w:type="paragraph" w:customStyle="1" w:styleId="92">
    <w:name w:val="标准文件_破折号列项"/>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Subtle Reference"/>
    <w:qFormat/>
    <w:uiPriority w:val="31"/>
    <w:rPr>
      <w:smallCaps/>
      <w:color w:val="C0504D"/>
      <w:u w:val="single"/>
    </w:rPr>
  </w:style>
  <w:style w:type="paragraph" w:customStyle="1" w:styleId="96">
    <w:name w:val="标准文件_示例后续"/>
    <w:basedOn w:val="1"/>
    <w:uiPriority w:val="0"/>
    <w:pPr>
      <w:adjustRightInd/>
      <w:spacing w:line="240" w:lineRule="auto"/>
      <w:ind w:firstLine="200" w:firstLineChars="200"/>
    </w:pPr>
    <w:rPr>
      <w:sz w:val="18"/>
      <w:szCs w:val="24"/>
    </w:rPr>
  </w:style>
  <w:style w:type="paragraph" w:customStyle="1" w:styleId="97">
    <w:name w:val="标准文件_数字编号列项"/>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uiPriority w:val="0"/>
    <w:rPr>
      <w:rFonts w:ascii="宋体"/>
      <w:kern w:val="2"/>
      <w:sz w:val="18"/>
      <w:szCs w:val="18"/>
    </w:rPr>
  </w:style>
  <w:style w:type="paragraph" w:customStyle="1" w:styleId="100">
    <w:name w:val="标准文件_条文脚注"/>
    <w:basedOn w:val="21"/>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uiPriority w:val="0"/>
    <w:pPr>
      <w:spacing w:line="440" w:lineRule="exact"/>
      <w:jc w:val="center"/>
    </w:pPr>
    <w:rPr>
      <w:sz w:val="28"/>
    </w:rPr>
  </w:style>
  <w:style w:type="paragraph" w:customStyle="1" w:styleId="107">
    <w:name w:val="标准文件_引言标题"/>
    <w:next w:val="1"/>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uiPriority w:val="0"/>
    <w:pPr>
      <w:numPr>
        <w:ilvl w:val="3"/>
        <w:numId w:val="20"/>
      </w:numPr>
      <w:adjustRightInd/>
      <w:spacing w:line="240" w:lineRule="auto"/>
    </w:pPr>
    <w:rPr>
      <w:rFonts w:ascii="宋体" w:hAnsi="宋体"/>
      <w:szCs w:val="24"/>
    </w:rPr>
  </w:style>
  <w:style w:type="paragraph" w:customStyle="1" w:styleId="119">
    <w:name w:val="发布部门"/>
    <w:next w:val="56"/>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uiPriority w:val="0"/>
    <w:pPr>
      <w:outlineLvl w:val="4"/>
    </w:pPr>
  </w:style>
  <w:style w:type="paragraph" w:customStyle="1" w:styleId="130">
    <w:name w:val="附录四级无标题条"/>
    <w:basedOn w:val="129"/>
    <w:next w:val="56"/>
    <w:uiPriority w:val="0"/>
    <w:pPr>
      <w:outlineLvl w:val="5"/>
    </w:pPr>
  </w:style>
  <w:style w:type="paragraph" w:customStyle="1" w:styleId="131">
    <w:name w:val="附录图"/>
    <w:next w:val="56"/>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uiPriority w:val="0"/>
    <w:pPr>
      <w:outlineLvl w:val="6"/>
    </w:pPr>
  </w:style>
  <w:style w:type="paragraph" w:customStyle="1" w:styleId="134">
    <w:name w:val="附录性质"/>
    <w:basedOn w:val="1"/>
    <w:uiPriority w:val="0"/>
    <w:pPr>
      <w:widowControl/>
      <w:adjustRightInd/>
      <w:jc w:val="center"/>
    </w:pPr>
    <w:rPr>
      <w:rFonts w:ascii="黑体" w:eastAsia="黑体"/>
    </w:rPr>
  </w:style>
  <w:style w:type="paragraph" w:customStyle="1" w:styleId="135">
    <w:name w:val="附录一级无标题条"/>
    <w:basedOn w:val="87"/>
    <w:next w:val="56"/>
    <w:uiPriority w:val="0"/>
    <w:pPr>
      <w:autoSpaceDN w:val="0"/>
      <w:outlineLvl w:val="2"/>
    </w:pPr>
    <w:rPr>
      <w:rFonts w:ascii="宋体" w:hAnsi="宋体" w:eastAsia="宋体"/>
    </w:rPr>
  </w:style>
  <w:style w:type="character" w:customStyle="1" w:styleId="136">
    <w:name w:val="个人答复风格"/>
    <w:uiPriority w:val="0"/>
    <w:rPr>
      <w:rFonts w:ascii="Arial" w:hAnsi="Arial" w:eastAsia="宋体" w:cs="Arial"/>
      <w:color w:val="auto"/>
      <w:spacing w:val="0"/>
      <w:sz w:val="20"/>
    </w:rPr>
  </w:style>
  <w:style w:type="character" w:customStyle="1" w:styleId="137">
    <w:name w:val="个人撰写风格"/>
    <w:uiPriority w:val="0"/>
    <w:rPr>
      <w:rFonts w:ascii="Arial" w:hAnsi="Arial" w:eastAsia="宋体" w:cs="Arial"/>
      <w:color w:val="auto"/>
      <w:spacing w:val="0"/>
      <w:sz w:val="20"/>
    </w:rPr>
  </w:style>
  <w:style w:type="paragraph" w:customStyle="1" w:styleId="138">
    <w:name w:val="脚注后续"/>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uiPriority w:val="0"/>
    <w:pPr>
      <w:tabs>
        <w:tab w:val="left" w:pos="840"/>
      </w:tabs>
    </w:pPr>
  </w:style>
  <w:style w:type="paragraph" w:customStyle="1" w:styleId="141">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uiPriority w:val="0"/>
    <w:pPr>
      <w:adjustRightInd/>
      <w:spacing w:line="240" w:lineRule="auto"/>
      <w:jc w:val="left"/>
    </w:pPr>
    <w:rPr>
      <w:bCs/>
      <w:iCs/>
    </w:rPr>
  </w:style>
  <w:style w:type="paragraph" w:customStyle="1" w:styleId="143">
    <w:name w:val="目录 31"/>
    <w:basedOn w:val="1"/>
    <w:next w:val="1"/>
    <w:autoRedefine/>
    <w:semiHidden/>
    <w:uiPriority w:val="0"/>
    <w:pPr>
      <w:spacing w:line="240" w:lineRule="auto"/>
    </w:pPr>
    <w:rPr>
      <w:rFonts w:ascii="宋体" w:hAnsi="宋体"/>
      <w:iCs/>
    </w:rPr>
  </w:style>
  <w:style w:type="paragraph" w:customStyle="1" w:styleId="144">
    <w:name w:val="目录 41"/>
    <w:basedOn w:val="1"/>
    <w:next w:val="1"/>
    <w:autoRedefine/>
    <w:semiHidden/>
    <w:uiPriority w:val="0"/>
    <w:pPr>
      <w:adjustRightInd/>
      <w:spacing w:line="240" w:lineRule="auto"/>
      <w:jc w:val="left"/>
    </w:pPr>
  </w:style>
  <w:style w:type="paragraph" w:customStyle="1" w:styleId="145">
    <w:name w:val="目录 51"/>
    <w:basedOn w:val="1"/>
    <w:next w:val="1"/>
    <w:autoRedefine/>
    <w:semiHidden/>
    <w:uiPriority w:val="0"/>
    <w:pPr>
      <w:spacing w:line="240" w:lineRule="auto"/>
    </w:pPr>
    <w:rPr>
      <w:rFonts w:ascii="宋体" w:hAnsi="宋体"/>
    </w:rPr>
  </w:style>
  <w:style w:type="paragraph" w:customStyle="1" w:styleId="146">
    <w:name w:val="目录 61"/>
    <w:basedOn w:val="1"/>
    <w:next w:val="1"/>
    <w:autoRedefine/>
    <w:semiHidden/>
    <w:uiPriority w:val="0"/>
    <w:pPr>
      <w:adjustRightInd/>
      <w:spacing w:line="240" w:lineRule="auto"/>
      <w:jc w:val="left"/>
    </w:pPr>
  </w:style>
  <w:style w:type="paragraph" w:customStyle="1" w:styleId="147">
    <w:name w:val="目录 71"/>
    <w:basedOn w:val="146"/>
    <w:autoRedefine/>
    <w:semiHidden/>
    <w:uiPriority w:val="0"/>
    <w:pPr>
      <w:ind w:left="1260"/>
    </w:pPr>
  </w:style>
  <w:style w:type="paragraph" w:customStyle="1" w:styleId="148">
    <w:name w:val="目录 81"/>
    <w:basedOn w:val="147"/>
    <w:autoRedefine/>
    <w:semiHidden/>
    <w:uiPriority w:val="0"/>
    <w:pPr>
      <w:ind w:left="1470"/>
    </w:pPr>
  </w:style>
  <w:style w:type="paragraph" w:customStyle="1" w:styleId="149">
    <w:name w:val="目录 91"/>
    <w:basedOn w:val="148"/>
    <w:autoRedefine/>
    <w:semiHidden/>
    <w:uiPriority w:val="0"/>
    <w:pPr>
      <w:ind w:left="1680"/>
    </w:pPr>
  </w:style>
  <w:style w:type="paragraph" w:customStyle="1" w:styleId="150">
    <w:name w:val="其他标准称谓"/>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uiPriority w:val="0"/>
    <w:pPr>
      <w:numPr>
        <w:ilvl w:val="4"/>
        <w:numId w:val="20"/>
      </w:numPr>
      <w:adjustRightInd/>
      <w:spacing w:line="240" w:lineRule="auto"/>
    </w:pPr>
    <w:rPr>
      <w:rFonts w:ascii="宋体" w:hAnsi="宋体"/>
      <w:szCs w:val="24"/>
    </w:rPr>
  </w:style>
  <w:style w:type="paragraph" w:customStyle="1" w:styleId="154">
    <w:name w:val="实施日期"/>
    <w:basedOn w:val="120"/>
    <w:uiPriority w:val="0"/>
    <w:pPr>
      <w:framePr w:hSpace="0" w:wrap="around" w:xAlign="right"/>
      <w:jc w:val="right"/>
    </w:pPr>
  </w:style>
  <w:style w:type="paragraph" w:customStyle="1" w:styleId="155">
    <w:name w:val="四级无标题条"/>
    <w:basedOn w:val="1"/>
    <w:uiPriority w:val="0"/>
    <w:pPr>
      <w:numPr>
        <w:ilvl w:val="5"/>
        <w:numId w:val="20"/>
      </w:numPr>
      <w:adjustRightInd/>
      <w:spacing w:line="240" w:lineRule="auto"/>
    </w:pPr>
    <w:rPr>
      <w:rFonts w:ascii="宋体" w:hAnsi="宋体"/>
      <w:szCs w:val="24"/>
    </w:rPr>
  </w:style>
  <w:style w:type="paragraph" w:customStyle="1" w:styleId="156">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uiPriority w:val="0"/>
    <w:pPr>
      <w:jc w:val="both"/>
    </w:pPr>
    <w:rPr>
      <w:rFonts w:ascii="宋体" w:hAnsi="宋体" w:eastAsia="宋体" w:cs="Times New Roman"/>
      <w:sz w:val="21"/>
      <w:lang w:val="en-US" w:eastAsia="zh-CN" w:bidi="ar-SA"/>
    </w:rPr>
  </w:style>
  <w:style w:type="paragraph" w:customStyle="1" w:styleId="158">
    <w:name w:val="五级无标题条"/>
    <w:basedOn w:val="1"/>
    <w:uiPriority w:val="0"/>
    <w:pPr>
      <w:numPr>
        <w:ilvl w:val="6"/>
        <w:numId w:val="20"/>
      </w:numPr>
      <w:adjustRightInd/>
    </w:pPr>
    <w:rPr>
      <w:szCs w:val="24"/>
    </w:rPr>
  </w:style>
  <w:style w:type="paragraph" w:customStyle="1" w:styleId="159">
    <w:name w:val="一级无标题条"/>
    <w:basedOn w:val="1"/>
    <w:uiPriority w:val="0"/>
    <w:pPr>
      <w:numPr>
        <w:ilvl w:val="2"/>
        <w:numId w:val="20"/>
      </w:numPr>
      <w:adjustRightInd/>
      <w:spacing w:before="10" w:after="10" w:line="240" w:lineRule="auto"/>
    </w:pPr>
    <w:rPr>
      <w:rFonts w:ascii="宋体" w:hAnsi="宋体"/>
      <w:szCs w:val="24"/>
    </w:rPr>
  </w:style>
  <w:style w:type="paragraph" w:customStyle="1" w:styleId="160">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rPr>
      <w:rFonts w:ascii="Times New Roman"/>
    </w:rPr>
  </w:style>
  <w:style w:type="paragraph" w:customStyle="1" w:styleId="189">
    <w:name w:val="标准文件_一级项2"/>
    <w:basedOn w:val="56"/>
    <w:qFormat/>
    <w:uiPriority w:val="0"/>
    <w:pPr>
      <w:numPr>
        <w:ilvl w:val="0"/>
        <w:numId w:val="31"/>
      </w:numPr>
      <w:spacing w:line="300" w:lineRule="exact"/>
      <w:ind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uiPriority w:val="0"/>
    <w:pPr>
      <w:framePr w:w="3997" w:h="471" w:hRule="exact" w:hSpace="0" w:vSpace="181" w:wrap="around" w:vAnchor="page" w:hAnchor="page" w:x="1419" w:y="14097"/>
    </w:pPr>
  </w:style>
  <w:style w:type="paragraph" w:customStyle="1" w:styleId="194">
    <w:name w:val="其他实施日期"/>
    <w:basedOn w:val="154"/>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frame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uiPriority w:val="0"/>
    <w:rPr>
      <w:rFonts w:ascii="黑体" w:eastAsia="黑体"/>
      <w:spacing w:val="85"/>
      <w:w w:val="100"/>
      <w:position w:val="3"/>
      <w:sz w:val="28"/>
      <w:szCs w:val="28"/>
    </w:rPr>
  </w:style>
  <w:style w:type="table" w:customStyle="1" w:styleId="230">
    <w:name w:val="Table Normal"/>
    <w:autoRedefine/>
    <w:semiHidden/>
    <w:unhideWhenUsed/>
    <w:qFormat/>
    <w:uiPriority w:val="0"/>
    <w:rPr>
      <w:rFonts w:ascii="Times New Roman" w:hAnsi="Times New Roman"/>
    </w:rPr>
    <w:tblPr>
      <w:tblCellMar>
        <w:top w:w="0" w:type="dxa"/>
        <w:left w:w="0" w:type="dxa"/>
        <w:bottom w:w="0" w:type="dxa"/>
        <w:right w:w="0" w:type="dxa"/>
      </w:tblCellMar>
    </w:tblPr>
  </w:style>
  <w:style w:type="paragraph" w:customStyle="1" w:styleId="231">
    <w:name w:val="段"/>
    <w:uiPriority w:val="99"/>
    <w:pPr>
      <w:tabs>
        <w:tab w:val="center" w:pos="4201"/>
        <w:tab w:val="right" w:leader="dot" w:pos="9298"/>
      </w:tabs>
      <w:autoSpaceDE w:val="0"/>
      <w:autoSpaceDN w:val="0"/>
      <w:ind w:firstLine="420" w:firstLineChars="200"/>
      <w:jc w:val="both"/>
    </w:pPr>
    <w:rPr>
      <w:rFonts w:ascii="宋体" w:hAnsi="Times New Roman" w:eastAsia="宋体" w:cs="Times New Roman"/>
      <w:sz w:val="22"/>
      <w:szCs w:val="22"/>
      <w:lang w:val="en-US" w:eastAsia="zh-CN" w:bidi="ar-SA"/>
    </w:rPr>
  </w:style>
  <w:style w:type="paragraph" w:customStyle="1" w:styleId="232">
    <w:name w:val="sign-container"/>
    <w:basedOn w:val="1"/>
    <w:uiPriority w:val="0"/>
    <w:pPr>
      <w:widowControl/>
      <w:adjustRightInd/>
      <w:spacing w:before="100" w:beforeAutospacing="1" w:after="100" w:afterAutospacing="1" w:line="240" w:lineRule="auto"/>
      <w:jc w:val="center"/>
    </w:pPr>
    <w:rPr>
      <w:rFonts w:ascii="宋体" w:hAnsi="宋体" w:cs="宋体"/>
      <w:kern w:val="0"/>
      <w:sz w:val="24"/>
      <w:szCs w:val="24"/>
    </w:rPr>
  </w:style>
  <w:style w:type="paragraph" w:customStyle="1" w:styleId="233">
    <w:name w:val="注×：（正文）"/>
    <w:uiPriority w:val="99"/>
    <w:pPr>
      <w:numPr>
        <w:ilvl w:val="0"/>
        <w:numId w:val="32"/>
      </w:numPr>
      <w:jc w:val="both"/>
    </w:pPr>
    <w:rPr>
      <w:rFonts w:ascii="宋体" w:hAnsi="Times New Roman" w:eastAsia="宋体" w:cs="Times New Roman"/>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glossaryDocument" Target="glossary/document.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Users/apple/Library/Containers/com.kingsoft.wpsoffice.mac/Data/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6A215A26A46B4406A0EFA50FA0F089A1"/>
        <w:style w:val=""/>
        <w:category>
          <w:name w:val="常规"/>
          <w:gallery w:val="placeholder"/>
        </w:category>
        <w:types>
          <w:type w:val="bbPlcHdr"/>
        </w:types>
        <w:behaviors>
          <w:behavior w:val="content"/>
        </w:behaviors>
        <w:description w:val=""/>
        <w:guid w:val="{1EDB8B96-E87D-48FE-931F-70CDC6C057F4}"/>
      </w:docPartPr>
      <w:docPartBody>
        <w:p w14:paraId="3B0E5550">
          <w:pPr>
            <w:pStyle w:val="5"/>
          </w:pPr>
          <w:r>
            <w:rPr>
              <w:rStyle w:val="4"/>
              <w:rFonts w:hint="eastAsia"/>
            </w:rPr>
            <w:t>单击或点击此处输入文字。</w:t>
          </w:r>
        </w:p>
      </w:docPartBody>
    </w:docPart>
    <w:docPart>
      <w:docPartPr>
        <w:name w:val="1B343EB3448543A0AE1689AFA13238AC"/>
        <w:style w:val=""/>
        <w:category>
          <w:name w:val="常规"/>
          <w:gallery w:val="placeholder"/>
        </w:category>
        <w:types>
          <w:type w:val="bbPlcHdr"/>
        </w:types>
        <w:behaviors>
          <w:behavior w:val="content"/>
        </w:behaviors>
        <w:description w:val=""/>
        <w:guid w:val="{784D3B73-3489-403D-AE2C-CBF04CB9CA26}"/>
      </w:docPartPr>
      <w:docPartBody>
        <w:p w14:paraId="54C0F45D">
          <w:pPr>
            <w:pStyle w:val="6"/>
          </w:pPr>
          <w:r>
            <w:rPr>
              <w:rStyle w:val="4"/>
              <w:rFonts w:hint="eastAsia"/>
            </w:rPr>
            <w:t>选择一项。</w:t>
          </w:r>
        </w:p>
      </w:docPartBody>
    </w:docPart>
    <w:docPart>
      <w:docPartPr>
        <w:name w:val="7AE09444D4304CF1AB85398D670D265F"/>
        <w:style w:val=""/>
        <w:category>
          <w:name w:val="常规"/>
          <w:gallery w:val="placeholder"/>
        </w:category>
        <w:types>
          <w:type w:val="bbPlcHdr"/>
        </w:types>
        <w:behaviors>
          <w:behavior w:val="content"/>
        </w:behaviors>
        <w:description w:val=""/>
        <w:guid w:val="{219CD4A3-E4DA-4CA2-81ED-1A98B319D4DE}"/>
      </w:docPartPr>
      <w:docPartBody>
        <w:p w14:paraId="096863C7">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等线">
    <w:altName w:val="汉仪中等线KW"/>
    <w:panose1 w:val="02010600030101010101"/>
    <w:charset w:val="86"/>
    <w:family w:val="auto"/>
    <w:pitch w:val="default"/>
    <w:sig w:usb0="00000000" w:usb1="00000000" w:usb2="00000016" w:usb3="00000000" w:csb0="0004000F" w:csb1="00000000"/>
  </w:font>
  <w:font w:name="DengXian">
    <w:altName w:val="汉仪中等线KW"/>
    <w:panose1 w:val="00000000000000000000"/>
    <w:charset w:val="00"/>
    <w:family w:val="auto"/>
    <w:pitch w:val="default"/>
    <w:sig w:usb0="00000000" w:usb1="00000000" w:usb2="00000000" w:usb3="00000000" w:csb0="00000000" w:csb1="00000000"/>
  </w:font>
  <w:font w:name="等线">
    <w:altName w:val="汉仪中等线KW"/>
    <w:panose1 w:val="00000000000000000000"/>
    <w:charset w:val="86"/>
    <w:family w:val="auto"/>
    <w:pitch w:val="default"/>
    <w:sig w:usb0="00000000" w:usb1="00000000" w:usb2="00000000" w:usb3="00000000" w:csb0="00000000" w:csb1="00000000"/>
  </w:font>
  <w:font w:name="等线">
    <w:altName w:val="汉仪中等线KW"/>
    <w:panose1 w:val="00000000000000000000"/>
    <w:charset w:val="00"/>
    <w:family w:val="auto"/>
    <w:pitch w:val="default"/>
    <w:sig w:usb0="00000000" w:usb1="00000000" w:usb2="00000000" w:usb3="00000000" w:csb0="0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doNotDisplayPageBoundaries w:val="1"/>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A8F"/>
    <w:rsid w:val="00392731"/>
    <w:rsid w:val="0049488D"/>
    <w:rsid w:val="004B536F"/>
    <w:rsid w:val="005D6A8F"/>
    <w:rsid w:val="006C351D"/>
    <w:rsid w:val="00780BE7"/>
    <w:rsid w:val="00902A2A"/>
    <w:rsid w:val="00943EED"/>
    <w:rsid w:val="00D652EE"/>
    <w:rsid w:val="00F111C1"/>
    <w:rsid w:val="00F6198C"/>
    <w:rsid w:val="00F75CE9"/>
    <w:rsid w:val="00FD0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6A215A26A46B4406A0EFA50FA0F089A1"/>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1B343EB3448543A0AE1689AFA13238AC"/>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7AE09444D4304CF1AB85398D670D265F"/>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http://schemas.openxmlformats.org/officeDocument/2006/bibliography" xmlns:b="http://schemas.openxmlformats.org/officeDocument/2006/bibliography" Version="6" StyleName="APA" SelectedStyle="\APASixthEditionOfficeOnline.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C3DAD3-EBBD-445F-96B8-037E0A29868B}">
  <ds:schemaRefs/>
</ds:datastoreItem>
</file>

<file path=docProps/app.xml><?xml version="1.0" encoding="utf-8"?>
<Properties xmlns="http://schemas.openxmlformats.org/officeDocument/2006/extended-properties" xmlns:vt="http://schemas.openxmlformats.org/officeDocument/2006/docPropsVTypes">
  <Template>团体标准.dotx</Template>
  <Company>PCMI</Company>
  <Pages>7</Pages>
  <Words>616</Words>
  <Characters>3514</Characters>
  <Lines>29</Lines>
  <Paragraphs>8</Paragraphs>
  <TotalTime>4413</TotalTime>
  <ScaleCrop>false</ScaleCrop>
  <LinksUpToDate>false</LinksUpToDate>
  <CharactersWithSpaces>4122</CharactersWithSpaces>
  <Application>WPS Office_12.1.23540.23540_F1E327BC-269C-435d-A152-05C5408002CA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2025-11-18T15:09:00Z</dcterms:created>
  <dc:creator>air</dc:creator>
  <dc:description>&lt;config cover="true" show_menu="true" version="1.0.0" doctype="SDKXY"&gt;_x000d_
&lt;/config&gt;</dc:description>
  <cp:lastModifiedBy>森林里的一颗树</cp:lastModifiedBy>
  <cp:lastPrinted>2025-11-18T15:00:00Z</cp:lastPrinted>
  <dcterms:modified xsi:type="dcterms:W3CDTF">2026-06-01T15:16:29Z</dcterms:modified>
  <dc:title>团体标准</dc:title>
  <cp:revision>43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2052-12.1.23540.23540</vt:lpwstr>
  </property>
  <property fmtid="{D5CDD505-2E9C-101B-9397-08002B2CF9AE}" pid="15" name="ICV">
    <vt:lpwstr>05BEBF102E692FB9CD311D6AB8E31411_42</vt:lpwstr>
  </property>
</Properties>
</file>