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2AC35949">
        <w:tc>
          <w:tcPr>
            <w:tcW w:w="509" w:type="dxa"/>
          </w:tcPr>
          <w:p w14:paraId="3B46D779">
            <w:pPr>
              <w:pStyle w:val="18"/>
              <w:framePr w:wrap="notBeside" w:vAnchor="page" w:hAnchor="page" w:x="1372" w:y="568"/>
              <w:tabs>
                <w:tab w:val="clear" w:pos="4153"/>
                <w:tab w:val="clear" w:pos="8306"/>
              </w:tabs>
              <w:spacing w:line="240" w:lineRule="auto"/>
              <w:jc w:val="left"/>
              <w:rPr>
                <w:rFonts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6880C513">
            <w:pPr>
              <w:pStyle w:val="18"/>
              <w:framePr w:wrap="notBeside" w:vAnchor="page" w:hAnchor="page" w:x="1372" w:y="568"/>
              <w:tabs>
                <w:tab w:val="clear" w:pos="4153"/>
                <w:tab w:val="clear" w:pos="8306"/>
              </w:tabs>
              <w:spacing w:line="240" w:lineRule="auto"/>
              <w:jc w:val="both"/>
              <w:rPr>
                <w:rFonts w:ascii="黑体" w:hAnsi="黑体" w:eastAsia="黑体"/>
                <w:sz w:val="21"/>
                <w:szCs w:val="21"/>
              </w:rPr>
            </w:pPr>
            <w:bookmarkStart w:id="48" w:name="_GoBack"/>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     </w:t>
            </w:r>
            <w:r>
              <w:rPr>
                <w:rFonts w:ascii="黑体" w:hAnsi="黑体" w:eastAsia="黑体"/>
                <w:sz w:val="21"/>
                <w:szCs w:val="21"/>
              </w:rPr>
              <w:fldChar w:fldCharType="end"/>
            </w:r>
            <w:bookmarkEnd w:id="48"/>
            <w:bookmarkEnd w:id="0"/>
          </w:p>
        </w:tc>
      </w:tr>
      <w:tr w14:paraId="7DAC0BF4">
        <w:tc>
          <w:tcPr>
            <w:tcW w:w="509" w:type="dxa"/>
          </w:tcPr>
          <w:p w14:paraId="3C76FAD7">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762D578E">
              <w:trPr>
                <w:trHeight w:val="1021" w:hRule="exact"/>
              </w:trPr>
              <w:tc>
                <w:tcPr>
                  <w:tcW w:w="9242" w:type="dxa"/>
                  <w:vAlign w:val="center"/>
                </w:tcPr>
                <w:p w14:paraId="135FE29A">
                  <w:pPr>
                    <w:pStyle w:val="49"/>
                    <w:framePr w:wrap="notBeside" w:vAnchor="page" w:hAnchor="page" w:x="1372" w:y="568"/>
                    <w:ind w:left="420" w:right="624"/>
                    <w:rPr>
                      <w:rFonts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t>BZJK</w:t>
                  </w:r>
                  <w:r>
                    <w:fldChar w:fldCharType="end"/>
                  </w:r>
                  <w:bookmarkEnd w:id="1"/>
                </w:p>
              </w:tc>
            </w:tr>
          </w:tbl>
          <w:p w14:paraId="56133CB6">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     </w:t>
            </w:r>
            <w:r>
              <w:rPr>
                <w:rFonts w:ascii="黑体" w:hAnsi="黑体" w:eastAsia="黑体"/>
                <w:sz w:val="21"/>
                <w:szCs w:val="21"/>
              </w:rPr>
              <w:fldChar w:fldCharType="end"/>
            </w:r>
            <w:bookmarkEnd w:id="2"/>
          </w:p>
        </w:tc>
      </w:tr>
    </w:tbl>
    <w:p w14:paraId="092164B6">
      <w:pPr>
        <w:pStyle w:val="50"/>
        <w:framePr w:w="9639" w:h="624" w:hRule="exact" w:hSpace="181" w:vSpace="181" w:wrap="around" w:hAnchor="page" w:x="1305" w:y="2269"/>
        <w:rPr>
          <w:rFonts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rPr>
        <w:t>亳州市健康养生产业协会</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293DEED4">
      <w:pPr>
        <w:pStyle w:val="195"/>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rPr>
          <w:rFonts w:hint="eastAsia"/>
        </w:rPr>
        <w:t>BZJK</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t>XXXX</w:t>
      </w:r>
      <w:r>
        <w:fldChar w:fldCharType="end"/>
      </w:r>
      <w:bookmarkEnd w:id="7"/>
    </w:p>
    <w:p w14:paraId="6F510DFD">
      <w:pPr>
        <w:pStyle w:val="196"/>
        <w:rPr>
          <w:rFonts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2BCAAC4D">
      <w:pPr>
        <w:spacing w:line="240" w:lineRule="auto"/>
        <w:rPr>
          <w:rFonts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16436F35">
      <w:pPr>
        <w:pStyle w:val="50"/>
        <w:framePr w:w="9639" w:h="6976" w:hRule="exact" w:hSpace="0" w:vSpace="0" w:wrap="around" w:hAnchor="page" w:y="6408"/>
        <w:jc w:val="center"/>
        <w:rPr>
          <w:rFonts w:ascii="黑体" w:hAnsi="黑体" w:eastAsia="黑体"/>
          <w:b w:val="0"/>
          <w:bCs w:val="0"/>
          <w:w w:val="100"/>
        </w:rPr>
      </w:pPr>
    </w:p>
    <w:p w14:paraId="2B212187">
      <w:pPr>
        <w:pStyle w:val="197"/>
        <w:framePr w:h="6974" w:hRule="exact" w:wrap="around" w:x="1419" w:anchorLock="1"/>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rPr>
        <w:t>中医药疗愈康养服务规范</w:t>
      </w:r>
      <w:r>
        <w:fldChar w:fldCharType="end"/>
      </w:r>
      <w:bookmarkEnd w:id="9"/>
    </w:p>
    <w:p w14:paraId="27D441FA">
      <w:pPr>
        <w:framePr w:w="9639" w:h="6974" w:hRule="exact" w:wrap="around" w:vAnchor="page" w:hAnchor="page" w:x="1419" w:y="6408" w:anchorLock="1"/>
        <w:ind w:left="-1418"/>
      </w:pPr>
    </w:p>
    <w:p w14:paraId="2AA580CE">
      <w:pPr>
        <w:pStyle w:val="125"/>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eastAsia="黑体"/>
          <w:szCs w:val="28"/>
        </w:rPr>
        <w:t>     </w:t>
      </w:r>
      <w:r>
        <w:rPr>
          <w:rFonts w:eastAsia="黑体"/>
          <w:szCs w:val="28"/>
        </w:rPr>
        <w:fldChar w:fldCharType="end"/>
      </w:r>
      <w:bookmarkEnd w:id="10"/>
    </w:p>
    <w:p w14:paraId="7BFDDF2C">
      <w:pPr>
        <w:framePr w:w="9639" w:h="6974" w:hRule="exact" w:wrap="around" w:vAnchor="page" w:hAnchor="page" w:x="1419" w:y="6408" w:anchorLock="1"/>
        <w:spacing w:line="760" w:lineRule="exact"/>
        <w:ind w:left="-1418"/>
      </w:pPr>
    </w:p>
    <w:p w14:paraId="29D74528">
      <w:pPr>
        <w:pStyle w:val="125"/>
        <w:framePr w:w="9639" w:h="6974" w:hRule="exact" w:wrap="around" w:vAnchor="page" w:hAnchor="page" w:x="1419" w:y="6408" w:anchorLock="1"/>
        <w:textAlignment w:val="bottom"/>
        <w:rPr>
          <w:rFonts w:eastAsia="黑体"/>
          <w:szCs w:val="28"/>
        </w:rPr>
      </w:pPr>
    </w:p>
    <w:p w14:paraId="4D4FC4E7">
      <w:pPr>
        <w:pStyle w:val="125"/>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fldChar w:fldCharType="separate"/>
      </w:r>
      <w:r>
        <w:rPr>
          <w:sz w:val="24"/>
          <w:szCs w:val="28"/>
        </w:rPr>
        <w:fldChar w:fldCharType="end"/>
      </w:r>
      <w:bookmarkEnd w:id="11"/>
    </w:p>
    <w:p w14:paraId="41F10BFB">
      <w:pPr>
        <w:pStyle w:val="125"/>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sz w:val="21"/>
          <w:szCs w:val="28"/>
        </w:rPr>
        <w:t>(</w:t>
      </w:r>
      <w:r>
        <w:rPr>
          <w:rFonts w:hint="eastAsia"/>
          <w:sz w:val="21"/>
          <w:szCs w:val="28"/>
        </w:rPr>
        <w:t>征求意见稿)</w:t>
      </w:r>
      <w:r>
        <w:rPr>
          <w:sz w:val="21"/>
          <w:szCs w:val="28"/>
        </w:rPr>
        <w:fldChar w:fldCharType="end"/>
      </w:r>
      <w:bookmarkEnd w:id="12"/>
    </w:p>
    <w:p w14:paraId="67D3373A">
      <w:pPr>
        <w:pStyle w:val="125"/>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14:paraId="29C7443F">
      <w:pPr>
        <w:pStyle w:val="193"/>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6"/>
      <w:r>
        <w:rPr>
          <w:rFonts w:hint="eastAsia"/>
        </w:rPr>
        <w:t>发布</w:t>
      </w:r>
    </w:p>
    <w:p w14:paraId="0180E7AB">
      <w:pPr>
        <w:pStyle w:val="194"/>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9"/>
      <w:r>
        <w:rPr>
          <w:rFonts w:hint="eastAsia"/>
        </w:rPr>
        <w:t>实施</w:t>
      </w:r>
    </w:p>
    <w:p w14:paraId="4EE435FB">
      <w:pPr>
        <w:pStyle w:val="151"/>
        <w:framePr w:h="584" w:hRule="exact" w:hSpace="181" w:vSpace="181" w:wrap="around" w:y="14800"/>
        <w:rPr>
          <w:rFonts w:hAnsi="黑体"/>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fldChar w:fldCharType="separate"/>
      </w:r>
      <w:r>
        <w:rPr>
          <w:rFonts w:hint="eastAsia" w:hAnsi="黑体"/>
          <w:w w:val="100"/>
          <w:sz w:val="28"/>
        </w:rPr>
        <w:t>亳州市健康养生产业协会</w:t>
      </w:r>
      <w:r>
        <w:rPr>
          <w:rFonts w:hAnsi="黑体"/>
          <w:w w:val="100"/>
          <w:sz w:val="28"/>
        </w:rPr>
        <w:fldChar w:fldCharType="end"/>
      </w:r>
      <w:bookmarkEnd w:id="20"/>
      <w:r>
        <w:rPr>
          <w:rFonts w:ascii="Times New Roman"/>
          <w:w w:val="100"/>
          <w:sz w:val="28"/>
        </w:rPr>
        <w:t>  </w:t>
      </w:r>
      <w:r>
        <w:rPr>
          <w:rStyle w:val="229"/>
          <w:rFonts w:hint="eastAsia" w:hAnsi="黑体"/>
          <w:position w:val="0"/>
        </w:rPr>
        <w:t>发</w:t>
      </w:r>
      <w:r>
        <w:rPr>
          <w:rStyle w:val="229"/>
          <w:rFonts w:hint="eastAsia" w:hAnsi="黑体"/>
          <w:spacing w:val="0"/>
          <w:position w:val="0"/>
        </w:rPr>
        <w:t>布</w:t>
      </w:r>
    </w:p>
    <w:p w14:paraId="2B4B3993">
      <w:pPr>
        <w:rPr>
          <w:rFonts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0F451784">
      <w:pPr>
        <w:pStyle w:val="89"/>
        <w:spacing w:after="360"/>
      </w:pPr>
      <w:bookmarkStart w:id="21" w:name="BookMark2"/>
      <w:r>
        <w:rPr>
          <w:spacing w:val="320"/>
        </w:rPr>
        <w:t>前</w:t>
      </w:r>
      <w:r>
        <w:t>言</w:t>
      </w:r>
    </w:p>
    <w:p w14:paraId="4085F7CD">
      <w:pPr>
        <w:pStyle w:val="56"/>
        <w:ind w:firstLine="420"/>
      </w:pPr>
      <w:r>
        <w:rPr>
          <w:rFonts w:hint="eastAsia"/>
        </w:rPr>
        <w:t>本文件按照GB/T 1.1—2020《标准化工作导则  第1部分：标准化文件的结构和起草规则》的规定起草。</w:t>
      </w:r>
    </w:p>
    <w:p w14:paraId="6A6972A1">
      <w:pPr>
        <w:pStyle w:val="56"/>
        <w:ind w:firstLine="420"/>
      </w:pPr>
      <w:r>
        <w:rPr>
          <w:rFonts w:hint="eastAsia"/>
        </w:rPr>
        <w:t>请注意本文件的某些内容可能涉及专利。本文件的发布机构不承担识别专利的责任。</w:t>
      </w:r>
    </w:p>
    <w:p w14:paraId="3E3AD626">
      <w:pPr>
        <w:pStyle w:val="56"/>
        <w:ind w:firstLine="420"/>
      </w:pPr>
      <w:r>
        <w:rPr>
          <w:rFonts w:hint="eastAsia"/>
        </w:rPr>
        <w:t>本文件由亳州市健康养生产业协会提出并归口。</w:t>
      </w:r>
    </w:p>
    <w:p w14:paraId="7FF914CC">
      <w:pPr>
        <w:pStyle w:val="56"/>
        <w:ind w:firstLine="420"/>
      </w:pPr>
      <w:r>
        <w:rPr>
          <w:rFonts w:hint="eastAsia"/>
        </w:rPr>
        <w:t>本文件起草单位：</w:t>
      </w:r>
      <w:r>
        <w:rPr>
          <w:rFonts w:hint="eastAsia" w:hAnsi="宋体"/>
          <w:bCs/>
        </w:rPr>
        <w:t>。</w:t>
      </w:r>
    </w:p>
    <w:p w14:paraId="45ED89F0">
      <w:pPr>
        <w:pStyle w:val="56"/>
        <w:ind w:firstLine="420"/>
      </w:pPr>
      <w:r>
        <w:rPr>
          <w:rFonts w:hint="eastAsia"/>
        </w:rPr>
        <w:t>本文件主要起草人：。</w:t>
      </w:r>
    </w:p>
    <w:p w14:paraId="037B7705">
      <w:pPr>
        <w:pStyle w:val="56"/>
        <w:ind w:firstLine="420"/>
      </w:pPr>
    </w:p>
    <w:p w14:paraId="020A50CB">
      <w:pPr>
        <w:pStyle w:val="56"/>
        <w:ind w:firstLine="420"/>
        <w:sectPr>
          <w:headerReference r:id="rId9" w:type="default"/>
          <w:footerReference r:id="rId11" w:type="default"/>
          <w:headerReference r:id="rId10" w:type="even"/>
          <w:pgSz w:w="11906" w:h="16838"/>
          <w:pgMar w:top="1928" w:right="1134" w:bottom="1134" w:left="1134" w:header="1418" w:footer="1134" w:gutter="284"/>
          <w:pgNumType w:fmt="upperRoman" w:start="1"/>
          <w:cols w:space="425" w:num="1"/>
          <w:formProt w:val="0"/>
          <w:docGrid w:linePitch="312" w:charSpace="0"/>
        </w:sectPr>
      </w:pPr>
    </w:p>
    <w:bookmarkEnd w:id="21"/>
    <w:p w14:paraId="34098839">
      <w:pPr>
        <w:spacing w:line="20" w:lineRule="exact"/>
        <w:jc w:val="center"/>
        <w:rPr>
          <w:rFonts w:ascii="黑体" w:hAnsi="黑体" w:eastAsia="黑体"/>
          <w:sz w:val="32"/>
          <w:szCs w:val="32"/>
        </w:rPr>
      </w:pPr>
      <w:bookmarkStart w:id="22" w:name="BookMark4"/>
    </w:p>
    <w:p w14:paraId="31844533">
      <w:pPr>
        <w:spacing w:line="20" w:lineRule="exact"/>
        <w:jc w:val="center"/>
        <w:rPr>
          <w:rFonts w:ascii="黑体" w:hAnsi="黑体" w:eastAsia="黑体"/>
          <w:sz w:val="32"/>
          <w:szCs w:val="32"/>
        </w:rPr>
      </w:pPr>
    </w:p>
    <w:sdt>
      <w:sdtPr>
        <w:tag w:val="NEW_STAND_NAME"/>
        <w:id w:val="595910757"/>
        <w:lock w:val="sdtLocked"/>
        <w:placeholder>
          <w:docPart w:val="6A215A26A46B4406A0EFA50FA0F089A1"/>
        </w:placeholder>
      </w:sdtPr>
      <w:sdtContent>
        <w:p w14:paraId="0B5477AD">
          <w:pPr>
            <w:pStyle w:val="177"/>
            <w:spacing w:before="2" w:beforeLines="1" w:after="528" w:afterLines="220"/>
          </w:pPr>
          <w:bookmarkStart w:id="23" w:name="NEW_STAND_NAME"/>
          <w:r>
            <w:t>中医药疗愈康养服务规范</w:t>
          </w:r>
        </w:p>
      </w:sdtContent>
    </w:sdt>
    <w:bookmarkEnd w:id="23"/>
    <w:p w14:paraId="3F95AB72">
      <w:pPr>
        <w:pStyle w:val="104"/>
        <w:spacing w:before="240" w:after="240"/>
      </w:pPr>
      <w:bookmarkStart w:id="24" w:name="_Toc26648465"/>
      <w:bookmarkStart w:id="25" w:name="_Toc26986530"/>
      <w:bookmarkStart w:id="26" w:name="_Toc26986771"/>
      <w:bookmarkStart w:id="27" w:name="_Toc97192964"/>
      <w:bookmarkStart w:id="28" w:name="_Toc24884211"/>
      <w:bookmarkStart w:id="29" w:name="_Toc17233333"/>
      <w:bookmarkStart w:id="30" w:name="_Toc24884218"/>
      <w:bookmarkStart w:id="31" w:name="_Toc26718930"/>
      <w:bookmarkStart w:id="32" w:name="_Toc17233325"/>
      <w:r>
        <w:rPr>
          <w:rFonts w:hint="eastAsia"/>
        </w:rPr>
        <w:t>范围</w:t>
      </w:r>
      <w:bookmarkEnd w:id="24"/>
      <w:bookmarkEnd w:id="25"/>
      <w:bookmarkEnd w:id="26"/>
      <w:bookmarkEnd w:id="27"/>
      <w:bookmarkEnd w:id="28"/>
      <w:bookmarkEnd w:id="29"/>
      <w:bookmarkEnd w:id="30"/>
      <w:bookmarkEnd w:id="31"/>
      <w:bookmarkEnd w:id="32"/>
    </w:p>
    <w:p w14:paraId="0A4B1A23">
      <w:pPr>
        <w:pStyle w:val="56"/>
        <w:ind w:firstLine="420"/>
        <w:rPr>
          <w:rFonts w:hint="eastAsia"/>
        </w:rPr>
      </w:pPr>
      <w:bookmarkStart w:id="33" w:name="_Toc17233326"/>
      <w:bookmarkStart w:id="34" w:name="_Toc24884212"/>
      <w:bookmarkStart w:id="35" w:name="_Toc17233334"/>
      <w:bookmarkStart w:id="36" w:name="_Toc26648466"/>
      <w:bookmarkStart w:id="37" w:name="_Toc24884219"/>
      <w:r>
        <w:rPr>
          <w:rFonts w:hint="eastAsia"/>
        </w:rPr>
        <w:t>本文件规定了中医药疗愈康养服务的术语和定义、服务原则、服务机构与人员要求、服务内容与流程、服务质量管理、安全与应急以及评价改进等内容。</w:t>
      </w:r>
    </w:p>
    <w:p w14:paraId="318AA230">
      <w:pPr>
        <w:pStyle w:val="56"/>
        <w:ind w:firstLine="420"/>
      </w:pPr>
      <w:r>
        <w:rPr>
          <w:rFonts w:hint="eastAsia"/>
        </w:rPr>
        <w:t>本文件适用于中医药疗愈康养服务。</w:t>
      </w:r>
    </w:p>
    <w:p w14:paraId="7E1248E3">
      <w:pPr>
        <w:pStyle w:val="104"/>
        <w:spacing w:before="240" w:after="240"/>
      </w:pPr>
      <w:bookmarkStart w:id="38" w:name="_Toc26718931"/>
      <w:bookmarkStart w:id="39" w:name="_Toc26986531"/>
      <w:bookmarkStart w:id="40" w:name="_Toc97192965"/>
      <w:bookmarkStart w:id="41" w:name="_Toc26986772"/>
      <w:r>
        <w:rPr>
          <w:rFonts w:hint="eastAsia"/>
        </w:rPr>
        <w:t>规范性引用文件</w:t>
      </w:r>
      <w:bookmarkEnd w:id="33"/>
      <w:bookmarkEnd w:id="34"/>
      <w:bookmarkEnd w:id="35"/>
      <w:bookmarkEnd w:id="36"/>
      <w:bookmarkEnd w:id="37"/>
      <w:bookmarkEnd w:id="38"/>
      <w:bookmarkEnd w:id="39"/>
      <w:bookmarkEnd w:id="40"/>
      <w:bookmarkEnd w:id="41"/>
    </w:p>
    <w:sdt>
      <w:sdtPr>
        <w:rPr>
          <w:rFonts w:hint="eastAsia"/>
        </w:rPr>
        <w:id w:val="715848253"/>
        <w:placeholder>
          <w:docPart w:val="1B343EB3448543A0AE1689AFA13238AC"/>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73DFE94B">
          <w:pPr>
            <w:pStyle w:val="56"/>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7332DF5B">
      <w:pPr>
        <w:pStyle w:val="231"/>
        <w:ind w:firstLine="440"/>
      </w:pPr>
      <w:r>
        <w:t>T/BZJK 04-2023 养老机构中医保健服务规范</w:t>
      </w:r>
    </w:p>
    <w:p w14:paraId="3D95CB25">
      <w:pPr>
        <w:pStyle w:val="104"/>
        <w:spacing w:before="240" w:after="240"/>
      </w:pPr>
      <w:bookmarkStart w:id="42" w:name="_Toc97192966"/>
      <w:r>
        <w:rPr>
          <w:rFonts w:hint="eastAsia"/>
          <w:szCs w:val="21"/>
        </w:rPr>
        <w:t>术语和定义</w:t>
      </w:r>
      <w:bookmarkEnd w:id="42"/>
    </w:p>
    <w:sdt>
      <w:sdtPr>
        <w:rPr>
          <w:rFonts w:cs="宋体"/>
        </w:rPr>
        <w:id w:val="-1"/>
        <w:placeholder>
          <w:docPart w:val="7AE09444D4304CF1AB85398D670D265F"/>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cs="宋体"/>
        </w:rPr>
      </w:sdtEndPr>
      <w:sdtContent>
        <w:p w14:paraId="5B7C68FC">
          <w:pPr>
            <w:pStyle w:val="56"/>
            <w:ind w:firstLine="420"/>
          </w:pPr>
          <w:bookmarkStart w:id="43" w:name="_Toc26986532"/>
          <w:bookmarkEnd w:id="43"/>
          <w:r>
            <w:rPr>
              <w:rFonts w:cs="宋体"/>
            </w:rPr>
            <w:t>下列术语和定义适用于本文件。</w:t>
          </w:r>
        </w:p>
      </w:sdtContent>
    </w:sdt>
    <w:bookmarkEnd w:id="22"/>
    <w:p w14:paraId="576988E0">
      <w:pPr>
        <w:pStyle w:val="105"/>
        <w:spacing w:before="120" w:after="120"/>
        <w:rPr>
          <w:rFonts w:hint="eastAsia"/>
        </w:rPr>
      </w:pPr>
      <w:bookmarkStart w:id="44" w:name="_Toc66388055"/>
      <w:bookmarkStart w:id="45" w:name="_Toc9877"/>
      <w:bookmarkStart w:id="46" w:name="BookMark5"/>
      <w:r>
        <w:br w:type="textWrapping"/>
      </w:r>
      <w:r>
        <w:t xml:space="preserve">    </w:t>
      </w:r>
      <w:bookmarkEnd w:id="44"/>
      <w:r>
        <w:rPr>
          <w:rFonts w:hint="eastAsia"/>
        </w:rPr>
        <w:t>中医药疗愈康养</w:t>
      </w:r>
    </w:p>
    <w:p w14:paraId="169D48E9">
      <w:pPr>
        <w:pStyle w:val="56"/>
        <w:ind w:firstLine="420"/>
      </w:pPr>
      <w:r>
        <w:t>以中医理论为指导，融合现代健康科学与技术，通过一系列非医疗干预手段，对人的身体、心理、精神和社会适应能力进行整体调理与提升，以达到预防疾病、促进康复、延缓衰老、优化生命状态目的的持续性健康服务活动</w:t>
      </w:r>
      <w:r>
        <w:rPr>
          <w:rFonts w:hint="eastAsia"/>
        </w:rPr>
        <w:t>。</w:t>
      </w:r>
    </w:p>
    <w:p w14:paraId="3AA0F256">
      <w:pPr>
        <w:pStyle w:val="105"/>
        <w:spacing w:before="120" w:after="120"/>
        <w:rPr>
          <w:rFonts w:hAnsi="黑体"/>
        </w:rPr>
      </w:pPr>
    </w:p>
    <w:p w14:paraId="032E0648">
      <w:pPr>
        <w:pStyle w:val="105"/>
        <w:numPr>
          <w:ilvl w:val="0"/>
          <w:numId w:val="0"/>
        </w:numPr>
        <w:spacing w:before="120" w:after="120"/>
        <w:rPr>
          <w:rFonts w:hAnsi="黑体"/>
        </w:rPr>
      </w:pPr>
      <w:r>
        <w:rPr>
          <w:rFonts w:hAnsi="黑体"/>
        </w:rPr>
        <w:t xml:space="preserve">   </w:t>
      </w:r>
      <w:r>
        <w:rPr>
          <w:rFonts w:hint="eastAsia" w:hAnsi="黑体"/>
        </w:rPr>
        <w:t xml:space="preserve"> 亳州特色运动康养</w:t>
      </w:r>
    </w:p>
    <w:p w14:paraId="07EBD05C">
      <w:pPr>
        <w:pStyle w:val="231"/>
        <w:ind w:firstLine="418" w:firstLineChars="190"/>
      </w:pPr>
      <w:r>
        <w:rPr>
          <w:rFonts w:hint="eastAsia"/>
        </w:rPr>
        <w:t>以国家级非物质文化遗产“华佗五禽戏”为核心功法，充分利用亳州道地药材、药膳、森林、温泉等生态与文化资源，开展的具有鲜明地域特色的运动康养服务形式。</w:t>
      </w:r>
    </w:p>
    <w:p w14:paraId="24AE8B7F">
      <w:pPr>
        <w:pStyle w:val="105"/>
        <w:spacing w:before="120" w:after="120"/>
      </w:pPr>
    </w:p>
    <w:p w14:paraId="5ABDEFE5">
      <w:pPr>
        <w:pStyle w:val="105"/>
        <w:numPr>
          <w:ilvl w:val="0"/>
          <w:numId w:val="0"/>
        </w:numPr>
        <w:spacing w:before="120" w:after="120"/>
      </w:pPr>
      <w:r>
        <w:t xml:space="preserve">    </w:t>
      </w:r>
      <w:r>
        <w:rPr>
          <w:rFonts w:hint="eastAsia"/>
        </w:rPr>
        <w:t>疗愈康养师</w:t>
      </w:r>
    </w:p>
    <w:p w14:paraId="66664E3B">
      <w:pPr>
        <w:pStyle w:val="56"/>
        <w:ind w:firstLine="420"/>
      </w:pPr>
      <w:r>
        <w:rPr>
          <w:rFonts w:hint="eastAsia"/>
        </w:rPr>
        <w:t>经过系统培训，掌握中医药基础理论、疗愈技术、健康评估与沟通技能，能够为顾客提供个性化中医药疗愈康养方案并指导实施的专业人员。可细分为药膳食疗师、五禽戏导引师、情志调理师等方向</w:t>
      </w:r>
      <w:r>
        <w:t>。</w:t>
      </w:r>
    </w:p>
    <w:p w14:paraId="36A397C9">
      <w:pPr>
        <w:pStyle w:val="105"/>
        <w:spacing w:before="120" w:after="120"/>
        <w:rPr>
          <w:rFonts w:hint="eastAsia"/>
        </w:rPr>
      </w:pPr>
      <w:r>
        <w:br w:type="textWrapping"/>
      </w:r>
      <w:r>
        <w:t xml:space="preserve">    </w:t>
      </w:r>
      <w:r>
        <w:rPr>
          <w:rFonts w:hint="eastAsia"/>
        </w:rPr>
        <w:t>高端整合医疗服务</w:t>
      </w:r>
    </w:p>
    <w:p w14:paraId="0AA16A8A">
      <w:pPr>
        <w:pStyle w:val="56"/>
        <w:ind w:firstLine="420"/>
      </w:pPr>
      <w:r>
        <w:rPr>
          <w:rFonts w:hint="eastAsia"/>
        </w:rPr>
        <w:t>在疗愈康养框架内，为满足特定需求，在符合国家法律法规和医疗规范的前提下，整合应用的特色中医治疗（如名老中医经络调理）、干细胞治疗（抗衰、修复）、高端医疗美容（如妆食同源产品、光电设备）等前沿技术服务模块。</w:t>
      </w:r>
    </w:p>
    <w:p w14:paraId="66C8C94F">
      <w:pPr>
        <w:pStyle w:val="105"/>
        <w:spacing w:before="120" w:after="120"/>
      </w:pPr>
    </w:p>
    <w:p w14:paraId="13E19A1A">
      <w:pPr>
        <w:pStyle w:val="105"/>
        <w:numPr>
          <w:ilvl w:val="0"/>
          <w:numId w:val="0"/>
        </w:numPr>
        <w:spacing w:before="120" w:after="120"/>
        <w:ind w:firstLine="420" w:firstLineChars="200"/>
      </w:pPr>
      <w:r>
        <w:rPr>
          <w:rFonts w:hint="eastAsia"/>
        </w:rPr>
        <w:t>自然疗愈业态</w:t>
      </w:r>
    </w:p>
    <w:p w14:paraId="082A8485">
      <w:pPr>
        <w:pStyle w:val="56"/>
        <w:ind w:firstLine="420"/>
      </w:pPr>
      <w:r>
        <w:t>利用森林、温泉、田园等自然环境，结合中医药理念和方法，开展的以调节身心、恢复活力为目标的康养服务形式，如森林药浴、温泉药灸、芳香冥想等</w:t>
      </w:r>
      <w:r>
        <w:rPr>
          <w:rFonts w:hint="eastAsia"/>
        </w:rPr>
        <w:t>。</w:t>
      </w:r>
    </w:p>
    <w:p w14:paraId="717BFE5E">
      <w:pPr>
        <w:pStyle w:val="104"/>
        <w:spacing w:before="240" w:after="240"/>
      </w:pPr>
      <w:r>
        <w:t>服务原则</w:t>
      </w:r>
    </w:p>
    <w:p w14:paraId="43F7229E">
      <w:pPr>
        <w:pStyle w:val="105"/>
        <w:spacing w:before="120" w:after="120"/>
      </w:pPr>
      <w:r>
        <w:t>整体观与个性化</w:t>
      </w:r>
    </w:p>
    <w:p w14:paraId="156DF76C">
      <w:pPr>
        <w:pStyle w:val="56"/>
        <w:ind w:firstLine="420"/>
      </w:pPr>
      <w:r>
        <w:t>遵循中医“天人合一”的整体观，同时重视个体的体质、情志、社会环境和季节气候差异，提供“一人一方”的个性化疗愈方案。</w:t>
      </w:r>
    </w:p>
    <w:p w14:paraId="4C12AA95">
      <w:pPr>
        <w:pStyle w:val="105"/>
        <w:spacing w:before="120" w:after="120"/>
      </w:pPr>
      <w:r>
        <w:t>预防为主，防治结合</w:t>
      </w:r>
    </w:p>
    <w:p w14:paraId="2E3CD6A1">
      <w:pPr>
        <w:pStyle w:val="56"/>
        <w:ind w:firstLine="420"/>
      </w:pPr>
      <w:r>
        <w:t>立足中医“治未病”思想，将服务重点前置到健康维持、亚健康调理和疾病预防，同时对病后康复、慢病管理提供支持。</w:t>
      </w:r>
    </w:p>
    <w:p w14:paraId="67D6FC50">
      <w:pPr>
        <w:pStyle w:val="105"/>
        <w:spacing w:before="120" w:after="120"/>
      </w:pPr>
      <w:r>
        <w:t>传承创新，科技赋能</w:t>
      </w:r>
    </w:p>
    <w:p w14:paraId="5A1729A3">
      <w:pPr>
        <w:pStyle w:val="56"/>
        <w:ind w:firstLine="420"/>
      </w:pPr>
      <w:r>
        <w:t>在传承华佗中医药文化等本地非遗精髓的基础上，积极引入现代生命科学、数字健康、生物技术等成果，推动服务模式与技术手段的创新。</w:t>
      </w:r>
    </w:p>
    <w:p w14:paraId="63ED9C51">
      <w:pPr>
        <w:pStyle w:val="105"/>
        <w:spacing w:before="120" w:after="120"/>
      </w:pPr>
      <w:r>
        <w:t>身心共养，形神兼调</w:t>
      </w:r>
    </w:p>
    <w:p w14:paraId="4A54D001">
      <w:pPr>
        <w:pStyle w:val="56"/>
        <w:ind w:firstLine="420"/>
      </w:pPr>
      <w:r>
        <w:t>服务应兼顾身体调理与心理精神滋养，通过药膳、导引、情志疗法等多种手段，实现形体健康与心理安宁的和谐统一。</w:t>
      </w:r>
    </w:p>
    <w:p w14:paraId="004039CC">
      <w:pPr>
        <w:pStyle w:val="105"/>
        <w:spacing w:before="120" w:after="120"/>
      </w:pPr>
      <w:r>
        <w:t>合规安全，伦理先行</w:t>
      </w:r>
    </w:p>
    <w:p w14:paraId="07A3DB16">
      <w:pPr>
        <w:pStyle w:val="56"/>
        <w:ind w:firstLine="420"/>
      </w:pPr>
      <w:r>
        <w:t>所有服务，特别是涉及高端整合医疗的模块，必须在法律法规和伦理准则框架内进行，明确区分医疗与非医疗边界，保障顾客安全与权益。</w:t>
      </w:r>
    </w:p>
    <w:p w14:paraId="5A44D10C">
      <w:pPr>
        <w:pStyle w:val="104"/>
        <w:spacing w:before="240" w:after="240"/>
      </w:pPr>
      <w:r>
        <w:t>服务机构与人员要求</w:t>
      </w:r>
    </w:p>
    <w:p w14:paraId="667781A2">
      <w:pPr>
        <w:pStyle w:val="105"/>
        <w:spacing w:before="120" w:after="120"/>
      </w:pPr>
      <w:r>
        <w:t>服务机构</w:t>
      </w:r>
    </w:p>
    <w:p w14:paraId="74367DB4">
      <w:pPr>
        <w:pStyle w:val="65"/>
        <w:spacing w:before="120" w:after="120"/>
        <w:rPr>
          <w:bCs/>
        </w:rPr>
      </w:pPr>
      <w:r>
        <w:rPr>
          <w:bCs/>
        </w:rPr>
        <w:t>资质与场地</w:t>
      </w:r>
    </w:p>
    <w:p w14:paraId="1D38B4FE">
      <w:pPr>
        <w:pStyle w:val="56"/>
        <w:ind w:firstLine="420"/>
      </w:pPr>
      <w:r>
        <w:t>应依法登记注册，服务场所符合安全、卫生、环保及无障碍要求。提供自然疗愈服务的，其森林、温泉等环境资源需具备合法使用资质和生态安全评估。</w:t>
      </w:r>
    </w:p>
    <w:p w14:paraId="7BEB9179">
      <w:pPr>
        <w:pStyle w:val="65"/>
        <w:spacing w:before="120" w:after="120"/>
        <w:rPr>
          <w:bCs/>
        </w:rPr>
      </w:pPr>
      <w:r>
        <w:rPr>
          <w:bCs/>
        </w:rPr>
        <w:t>功能分区</w:t>
      </w:r>
    </w:p>
    <w:p w14:paraId="4FF49FB4">
      <w:pPr>
        <w:pStyle w:val="56"/>
        <w:ind w:firstLine="420"/>
      </w:pPr>
      <w:r>
        <w:t>应设置独立的接待咨询区、健康评估区、疗愈服务区（如茶熏室、音疗室、药浴房）、休息区等，区域布局合理，氛围营造应体现中医药文化特色。</w:t>
      </w:r>
    </w:p>
    <w:p w14:paraId="555D47EB">
      <w:pPr>
        <w:pStyle w:val="65"/>
        <w:spacing w:before="120" w:after="120"/>
        <w:rPr>
          <w:bCs/>
        </w:rPr>
      </w:pPr>
      <w:r>
        <w:rPr>
          <w:bCs/>
        </w:rPr>
        <w:t>设施设备</w:t>
      </w:r>
    </w:p>
    <w:p w14:paraId="196B9118">
      <w:pPr>
        <w:pStyle w:val="56"/>
        <w:ind w:firstLine="420"/>
      </w:pPr>
      <w:r>
        <w:t>配备与服务内容相适应的设施设备，如中医体质辨识仪、健康监测设备、疗愈工具、急救包等。引入高端医疗美容设备的，需确保设备合规且操作人员资质齐全。鼓励引入AI四诊仪、红外热成像灸疗机器人等智能设备提升服务效率与精准度。</w:t>
      </w:r>
    </w:p>
    <w:p w14:paraId="5ACA31AF">
      <w:pPr>
        <w:pStyle w:val="65"/>
        <w:spacing w:before="120" w:after="120"/>
        <w:rPr>
          <w:bCs/>
        </w:rPr>
      </w:pPr>
      <w:r>
        <w:rPr>
          <w:bCs/>
        </w:rPr>
        <w:t>管理体系</w:t>
      </w:r>
    </w:p>
    <w:p w14:paraId="2946DA69">
      <w:pPr>
        <w:pStyle w:val="56"/>
        <w:ind w:firstLine="420"/>
      </w:pPr>
      <w:r>
        <w:t>应建立完善的服务质量管理、安全管理、客户信息保密及应急预案制度。</w:t>
      </w:r>
    </w:p>
    <w:p w14:paraId="03F7A404">
      <w:pPr>
        <w:pStyle w:val="105"/>
        <w:spacing w:before="120" w:after="120"/>
      </w:pPr>
      <w:r>
        <w:t>服务人员</w:t>
      </w:r>
    </w:p>
    <w:p w14:paraId="37AF1182">
      <w:pPr>
        <w:pStyle w:val="65"/>
        <w:spacing w:before="120" w:after="120"/>
        <w:rPr>
          <w:bCs/>
        </w:rPr>
      </w:pPr>
      <w:r>
        <w:rPr>
          <w:bCs/>
        </w:rPr>
        <w:t>疗愈康养师</w:t>
      </w:r>
    </w:p>
    <w:p w14:paraId="36A2536E">
      <w:pPr>
        <w:pStyle w:val="56"/>
        <w:ind w:firstLine="420"/>
      </w:pPr>
      <w:r>
        <w:t>应持有相关部门或行业协会认可的职业技能等级证书（如“药膳制作师”国家职业标准认证），或具备中医药相关专业背景并完成本标准规定的培训课程。每年接受不少于一定学时的继续教育。</w:t>
      </w:r>
    </w:p>
    <w:p w14:paraId="16B3A839">
      <w:pPr>
        <w:pStyle w:val="65"/>
        <w:spacing w:before="120" w:after="120"/>
        <w:rPr>
          <w:bCs/>
        </w:rPr>
      </w:pPr>
      <w:r>
        <w:rPr>
          <w:bCs/>
        </w:rPr>
        <w:t>专业支持团队</w:t>
      </w:r>
    </w:p>
    <w:p w14:paraId="5CD88DF6">
      <w:pPr>
        <w:pStyle w:val="56"/>
        <w:ind w:firstLine="420"/>
      </w:pPr>
      <w:r>
        <w:t>服务机构应聘请或与市级名老中医、营养师、心理咨询师、康复治疗师等建立合作关系，为复杂个案提供专业支持。可借鉴“海外医疗专家柔性引进”模式，建立专家资源库。</w:t>
      </w:r>
    </w:p>
    <w:p w14:paraId="141C0F90">
      <w:pPr>
        <w:pStyle w:val="65"/>
        <w:spacing w:before="120" w:after="120"/>
        <w:rPr>
          <w:bCs/>
        </w:rPr>
      </w:pPr>
      <w:r>
        <w:rPr>
          <w:bCs/>
        </w:rPr>
        <w:t>职业素养</w:t>
      </w:r>
    </w:p>
    <w:p w14:paraId="54974B64">
      <w:pPr>
        <w:pStyle w:val="56"/>
        <w:ind w:firstLine="420"/>
      </w:pPr>
      <w:r>
        <w:t>所有服务人员应着装整洁，态度亲和，具备良好的沟通能力和职业道德，保护顾客隐私。应建立持续的服务礼仪培训体系，提升员工服务技能。</w:t>
      </w:r>
    </w:p>
    <w:p w14:paraId="75E93A2A">
      <w:pPr>
        <w:pStyle w:val="104"/>
        <w:spacing w:before="240" w:after="240"/>
      </w:pPr>
      <w:r>
        <w:t>服务内容与流程</w:t>
      </w:r>
    </w:p>
    <w:p w14:paraId="2FAF5A24">
      <w:pPr>
        <w:pStyle w:val="105"/>
        <w:spacing w:before="120" w:after="120"/>
      </w:pPr>
      <w:r>
        <w:t>核心服务模块</w:t>
      </w:r>
    </w:p>
    <w:p w14:paraId="694EDBDE">
      <w:pPr>
        <w:pStyle w:val="65"/>
        <w:spacing w:before="120" w:after="120"/>
        <w:rPr>
          <w:bCs/>
        </w:rPr>
      </w:pPr>
      <w:r>
        <w:rPr>
          <w:bCs/>
        </w:rPr>
        <w:t xml:space="preserve">亳州特色基础疗愈 </w:t>
      </w:r>
    </w:p>
    <w:p w14:paraId="06B4E2C0">
      <w:pPr>
        <w:pStyle w:val="56"/>
        <w:ind w:firstLine="0" w:firstLineChars="0"/>
      </w:pPr>
      <w:r>
        <w:rPr>
          <w:rFonts w:hint="eastAsia" w:ascii="黑体" w:hAnsi="黑体" w:eastAsia="黑体"/>
        </w:rPr>
        <w:t>6</w:t>
      </w:r>
      <w:r>
        <w:rPr>
          <w:rFonts w:ascii="黑体" w:hAnsi="黑体" w:eastAsia="黑体"/>
        </w:rPr>
        <w:t>.1.1.1</w:t>
      </w:r>
      <w:r>
        <w:t xml:space="preserve"> 药膳食疗</w:t>
      </w:r>
      <w:r>
        <w:rPr>
          <w:rFonts w:hint="eastAsia"/>
        </w:rPr>
        <w:t>，</w:t>
      </w:r>
      <w:r>
        <w:t>基于“药食同源”理论，使用亳州道地药材开发个性化药膳、养生花茶、药膳预制菜等，提供膳食调理服务。</w:t>
      </w:r>
    </w:p>
    <w:p w14:paraId="65590161">
      <w:pPr>
        <w:pStyle w:val="56"/>
        <w:ind w:firstLine="0" w:firstLineChars="0"/>
      </w:pPr>
      <w:r>
        <w:rPr>
          <w:rFonts w:hint="eastAsia" w:ascii="黑体" w:hAnsi="黑体" w:eastAsia="黑体"/>
        </w:rPr>
        <w:t>6</w:t>
      </w:r>
      <w:r>
        <w:rPr>
          <w:rFonts w:ascii="黑体" w:hAnsi="黑体" w:eastAsia="黑体"/>
        </w:rPr>
        <w:t xml:space="preserve">.1.1.2 </w:t>
      </w:r>
      <w:r>
        <w:t>推广国家级非遗“华佗五禽戏”及其衍生的肺康复操等，提供功法教学与练习指导。提供符合T/BZJK 04-2023规范的推拿、艾灸、拔罐等保健服务。</w:t>
      </w:r>
    </w:p>
    <w:p w14:paraId="44B32A73">
      <w:pPr>
        <w:pStyle w:val="56"/>
        <w:ind w:firstLine="0" w:firstLineChars="0"/>
      </w:pPr>
      <w:r>
        <w:rPr>
          <w:rFonts w:hint="eastAsia" w:ascii="黑体" w:hAnsi="黑体" w:eastAsia="黑体"/>
        </w:rPr>
        <w:t>6</w:t>
      </w:r>
      <w:r>
        <w:rPr>
          <w:rFonts w:ascii="黑体" w:hAnsi="黑体" w:eastAsia="黑体"/>
        </w:rPr>
        <w:t xml:space="preserve">.1.1.3 </w:t>
      </w:r>
      <w:r>
        <w:t>情志与五感疗愈，运用中医情志理论，结合香薰、音乐、色彩、园艺等五感刺激，开展情绪疏导和压力管理。</w:t>
      </w:r>
    </w:p>
    <w:p w14:paraId="53B6109E">
      <w:pPr>
        <w:pStyle w:val="105"/>
        <w:spacing w:before="120" w:after="120"/>
      </w:pPr>
      <w:r>
        <w:t xml:space="preserve">高端整合医疗服务模块 </w:t>
      </w:r>
    </w:p>
    <w:p w14:paraId="606A8007">
      <w:pPr>
        <w:pStyle w:val="65"/>
        <w:spacing w:before="120" w:after="120"/>
        <w:rPr>
          <w:bCs/>
        </w:rPr>
      </w:pPr>
      <w:r>
        <w:rPr>
          <w:bCs/>
        </w:rPr>
        <w:t>特色中医治疗整合</w:t>
      </w:r>
    </w:p>
    <w:p w14:paraId="04EE746B">
      <w:pPr>
        <w:pStyle w:val="56"/>
        <w:ind w:firstLine="420"/>
      </w:pPr>
      <w:r>
        <w:t>提供由名老中医工作室专家制定的深度经络调理、中药外治等方案。</w:t>
      </w:r>
    </w:p>
    <w:p w14:paraId="5A9EEFF0">
      <w:pPr>
        <w:pStyle w:val="65"/>
        <w:spacing w:before="120" w:after="120"/>
        <w:rPr>
          <w:bCs/>
        </w:rPr>
      </w:pPr>
      <w:r>
        <w:rPr>
          <w:bCs/>
        </w:rPr>
        <w:t>生物科技抗衰修复</w:t>
      </w:r>
    </w:p>
    <w:p w14:paraId="3F6BD4AE">
      <w:pPr>
        <w:pStyle w:val="56"/>
        <w:ind w:firstLine="420"/>
      </w:pPr>
      <w:r>
        <w:t>在合法合规前提下，整合干细胞治疗（用于抗衰老、组织修复）、功能性医学检测等前沿项目。</w:t>
      </w:r>
    </w:p>
    <w:p w14:paraId="7750B9B4">
      <w:pPr>
        <w:pStyle w:val="65"/>
        <w:spacing w:before="120" w:after="120"/>
        <w:rPr>
          <w:bCs/>
        </w:rPr>
      </w:pPr>
      <w:r>
        <w:rPr>
          <w:bCs/>
        </w:rPr>
        <w:t>中医医美与妆食同源</w:t>
      </w:r>
    </w:p>
    <w:p w14:paraId="0363D6D4">
      <w:pPr>
        <w:pStyle w:val="56"/>
        <w:ind w:firstLine="420"/>
      </w:pPr>
      <w:r>
        <w:t>开发并应用以亳州药材为特色的妆食同源美容产品、中医面部刮痧、中药面膜、符合标准的家用美容设备等。</w:t>
      </w:r>
    </w:p>
    <w:p w14:paraId="2F521AC7">
      <w:pPr>
        <w:pStyle w:val="105"/>
        <w:spacing w:before="120" w:after="120"/>
      </w:pPr>
      <w:r>
        <w:t>自然疗愈新业态</w:t>
      </w:r>
    </w:p>
    <w:p w14:paraId="407CC1AD">
      <w:pPr>
        <w:pStyle w:val="65"/>
        <w:spacing w:before="120" w:after="120"/>
        <w:rPr>
          <w:bCs/>
        </w:rPr>
      </w:pPr>
      <w:r>
        <w:rPr>
          <w:bCs/>
        </w:rPr>
        <w:t>森林疗愈</w:t>
      </w:r>
    </w:p>
    <w:p w14:paraId="753E2FAB">
      <w:pPr>
        <w:pStyle w:val="56"/>
        <w:ind w:firstLine="420"/>
      </w:pPr>
      <w:r>
        <w:t>在谯城等适宜区域，开展森林漫步、植物精气吸入、户外五禽戏、中药森林浴等。</w:t>
      </w:r>
    </w:p>
    <w:p w14:paraId="7EDC353F">
      <w:pPr>
        <w:pStyle w:val="65"/>
        <w:spacing w:before="120" w:after="120"/>
        <w:rPr>
          <w:bCs/>
        </w:rPr>
      </w:pPr>
      <w:r>
        <w:rPr>
          <w:bCs/>
        </w:rPr>
        <w:t>温泉疗愈</w:t>
      </w:r>
    </w:p>
    <w:p w14:paraId="1D9E5000">
      <w:pPr>
        <w:pStyle w:val="56"/>
        <w:ind w:firstLine="420"/>
      </w:pPr>
      <w:r>
        <w:t>结合亳州地域特点，开发中药温泉浴、温泉穴位敷贴等特色项目。</w:t>
      </w:r>
    </w:p>
    <w:p w14:paraId="681F00D9">
      <w:pPr>
        <w:pStyle w:val="65"/>
        <w:spacing w:before="120" w:after="120"/>
        <w:rPr>
          <w:bCs/>
        </w:rPr>
      </w:pPr>
      <w:r>
        <w:rPr>
          <w:bCs/>
        </w:rPr>
        <w:t>心灵疗愈</w:t>
      </w:r>
    </w:p>
    <w:p w14:paraId="248C19A0">
      <w:pPr>
        <w:pStyle w:val="56"/>
        <w:ind w:firstLine="420"/>
      </w:pPr>
      <w:r>
        <w:t>开设正念冥想、中医哲学讲座、书画怡情等课程，促进精神升华。</w:t>
      </w:r>
    </w:p>
    <w:p w14:paraId="5C40FC14">
      <w:pPr>
        <w:pStyle w:val="105"/>
        <w:spacing w:before="120" w:after="120"/>
      </w:pPr>
      <w:r>
        <w:t>服务流程</w:t>
      </w:r>
    </w:p>
    <w:p w14:paraId="7BF79BD1">
      <w:pPr>
        <w:pStyle w:val="65"/>
        <w:spacing w:before="120" w:after="120"/>
        <w:rPr>
          <w:bCs/>
        </w:rPr>
      </w:pPr>
      <w:r>
        <w:rPr>
          <w:bCs/>
        </w:rPr>
        <w:t>预约与初步咨询阶段</w:t>
      </w:r>
    </w:p>
    <w:p w14:paraId="73ACBA45">
      <w:pPr>
        <w:pStyle w:val="56"/>
        <w:ind w:firstLine="0" w:firstLineChars="0"/>
      </w:pPr>
      <w:r>
        <w:rPr>
          <w:rFonts w:hint="eastAsia" w:ascii="黑体" w:hAnsi="黑体" w:eastAsia="黑体"/>
        </w:rPr>
        <w:t>6</w:t>
      </w:r>
      <w:r>
        <w:rPr>
          <w:rFonts w:ascii="黑体" w:hAnsi="黑体" w:eastAsia="黑体"/>
        </w:rPr>
        <w:t>.4.1.1</w:t>
      </w:r>
      <w:r>
        <w:t xml:space="preserve"> 多渠道预约</w:t>
      </w:r>
      <w:r>
        <w:rPr>
          <w:rFonts w:hint="eastAsia"/>
        </w:rPr>
        <w:t>。</w:t>
      </w:r>
      <w:r>
        <w:t>提供电话、网络、微信、APP等多种预约方式，方便顾客选择。实行分时段预约，精确管理，减少等待。</w:t>
      </w:r>
    </w:p>
    <w:p w14:paraId="53BD82F9">
      <w:pPr>
        <w:pStyle w:val="56"/>
        <w:ind w:firstLine="0" w:firstLineChars="0"/>
      </w:pPr>
      <w:r>
        <w:rPr>
          <w:rFonts w:hint="eastAsia" w:ascii="黑体" w:hAnsi="黑体" w:eastAsia="黑体"/>
        </w:rPr>
        <w:t>6</w:t>
      </w:r>
      <w:r>
        <w:rPr>
          <w:rFonts w:ascii="黑体" w:hAnsi="黑体" w:eastAsia="黑体"/>
        </w:rPr>
        <w:t xml:space="preserve">.4.1.2 </w:t>
      </w:r>
      <w:r>
        <w:t>主动沟通</w:t>
      </w:r>
      <w:r>
        <w:rPr>
          <w:rFonts w:hint="eastAsia"/>
        </w:rPr>
        <w:t>。</w:t>
      </w:r>
      <w:r>
        <w:t>预约后，由专属健康顾问在24小时内主动联系顾客，进行初步健康需求访谈，并提供详细的《亳州疗愈康养服务指南》及入院前准备清单（如证件、既往病历等）。</w:t>
      </w:r>
    </w:p>
    <w:p w14:paraId="53168708">
      <w:pPr>
        <w:pStyle w:val="56"/>
        <w:ind w:firstLine="0" w:firstLineChars="0"/>
      </w:pPr>
      <w:r>
        <w:rPr>
          <w:rFonts w:hint="eastAsia" w:ascii="黑体" w:hAnsi="黑体" w:eastAsia="黑体"/>
        </w:rPr>
        <w:t>6</w:t>
      </w:r>
      <w:r>
        <w:rPr>
          <w:rFonts w:ascii="黑体" w:hAnsi="黑体" w:eastAsia="黑体"/>
        </w:rPr>
        <w:t xml:space="preserve">.4.1.3 </w:t>
      </w:r>
      <w:r>
        <w:t>信息预录入</w:t>
      </w:r>
      <w:r>
        <w:rPr>
          <w:rFonts w:hint="eastAsia"/>
        </w:rPr>
        <w:t>。</w:t>
      </w:r>
      <w:r>
        <w:t>通过安全的信息系统，引导顾客在线预填基本健康信息与需求问卷，提升后续登记效率。</w:t>
      </w:r>
    </w:p>
    <w:p w14:paraId="06B79548">
      <w:pPr>
        <w:pStyle w:val="65"/>
        <w:spacing w:before="120" w:after="120"/>
        <w:rPr>
          <w:bCs/>
        </w:rPr>
      </w:pPr>
      <w:r>
        <w:rPr>
          <w:bCs/>
        </w:rPr>
        <w:t>接待与系统健康评估阶段</w:t>
      </w:r>
    </w:p>
    <w:p w14:paraId="15D76F58">
      <w:pPr>
        <w:pStyle w:val="56"/>
        <w:ind w:firstLine="0" w:firstLineChars="0"/>
      </w:pPr>
      <w:r>
        <w:rPr>
          <w:rFonts w:hint="eastAsia" w:ascii="黑体" w:hAnsi="黑体" w:eastAsia="黑体"/>
        </w:rPr>
        <w:t>6</w:t>
      </w:r>
      <w:r>
        <w:rPr>
          <w:rFonts w:ascii="黑体" w:hAnsi="黑体" w:eastAsia="黑体"/>
        </w:rPr>
        <w:t>.4.2.1</w:t>
      </w:r>
      <w:r>
        <w:t xml:space="preserve"> 专属接待</w:t>
      </w:r>
      <w:r>
        <w:rPr>
          <w:rFonts w:hint="eastAsia"/>
        </w:rPr>
        <w:t>。</w:t>
      </w:r>
      <w:r>
        <w:t>顾客抵达后，由专属健康顾问在独立的接待区进行迎接，核对预约信息，完成正式登记。</w:t>
      </w:r>
    </w:p>
    <w:p w14:paraId="12C8B71D">
      <w:pPr>
        <w:pStyle w:val="56"/>
        <w:ind w:firstLine="0" w:firstLineChars="0"/>
      </w:pPr>
      <w:r>
        <w:rPr>
          <w:rFonts w:hint="eastAsia" w:ascii="黑体" w:hAnsi="黑体" w:eastAsia="黑体"/>
        </w:rPr>
        <w:t>6</w:t>
      </w:r>
      <w:r>
        <w:rPr>
          <w:rFonts w:ascii="黑体" w:hAnsi="黑体" w:eastAsia="黑体"/>
        </w:rPr>
        <w:t xml:space="preserve">.4.2.2 </w:t>
      </w:r>
      <w:r>
        <w:t>中医四诊合参。由疗愈康养师进行面对面望、闻、问、切。</w:t>
      </w:r>
    </w:p>
    <w:p w14:paraId="253AE25D">
      <w:pPr>
        <w:pStyle w:val="56"/>
        <w:ind w:firstLine="0" w:firstLineChars="0"/>
      </w:pPr>
      <w:r>
        <w:rPr>
          <w:rFonts w:hint="eastAsia" w:ascii="黑体" w:hAnsi="黑体" w:eastAsia="黑体"/>
        </w:rPr>
        <w:t>6</w:t>
      </w:r>
      <w:r>
        <w:rPr>
          <w:rFonts w:ascii="黑体" w:hAnsi="黑体" w:eastAsia="黑体"/>
        </w:rPr>
        <w:t xml:space="preserve">.4.2.3 </w:t>
      </w:r>
      <w:r>
        <w:t>科技智能辅助。使用AI四诊仪进行舌象、脉象的客观化采集与分析，或利用HRA全身健康评估系统等进行现代化中医特色检查。</w:t>
      </w:r>
    </w:p>
    <w:p w14:paraId="1DD389EE">
      <w:pPr>
        <w:pStyle w:val="56"/>
        <w:ind w:firstLine="0" w:firstLineChars="0"/>
      </w:pPr>
      <w:r>
        <w:rPr>
          <w:rFonts w:hint="eastAsia" w:ascii="黑体" w:hAnsi="黑体" w:eastAsia="黑体"/>
        </w:rPr>
        <w:t>6</w:t>
      </w:r>
      <w:r>
        <w:rPr>
          <w:rFonts w:ascii="黑体" w:hAnsi="黑体" w:eastAsia="黑体"/>
        </w:rPr>
        <w:t xml:space="preserve">.4.2.4 </w:t>
      </w:r>
      <w:r>
        <w:t>体质与生活方式评估。完成标准化的中医体质辨识问卷，并详细了解顾客的生活习惯、情志状态、社会关系等。</w:t>
      </w:r>
    </w:p>
    <w:p w14:paraId="07926F4A">
      <w:pPr>
        <w:pStyle w:val="56"/>
        <w:ind w:firstLine="0" w:firstLineChars="0"/>
      </w:pPr>
      <w:r>
        <w:rPr>
          <w:rFonts w:hint="eastAsia" w:ascii="黑体" w:hAnsi="黑体" w:eastAsia="黑体"/>
        </w:rPr>
        <w:t>6</w:t>
      </w:r>
      <w:r>
        <w:rPr>
          <w:rFonts w:ascii="黑体" w:hAnsi="黑体" w:eastAsia="黑体"/>
        </w:rPr>
        <w:t xml:space="preserve">.4.2.5 </w:t>
      </w:r>
      <w:r>
        <w:t>建立动态健康档案。所有评估数据实时整合，为顾客建立专属的、动态更新的“中医健康档案”。此档案是后续所有服务的基础。</w:t>
      </w:r>
    </w:p>
    <w:p w14:paraId="60832CDD">
      <w:pPr>
        <w:pStyle w:val="65"/>
        <w:spacing w:before="120" w:after="120"/>
        <w:rPr>
          <w:bCs/>
        </w:rPr>
      </w:pPr>
      <w:r>
        <w:rPr>
          <w:bCs/>
        </w:rPr>
        <w:t>个性化方案制定与确认阶段</w:t>
      </w:r>
    </w:p>
    <w:p w14:paraId="71EE303C">
      <w:pPr>
        <w:pStyle w:val="56"/>
        <w:ind w:firstLine="0" w:firstLineChars="0"/>
      </w:pPr>
      <w:r>
        <w:rPr>
          <w:rFonts w:hint="eastAsia" w:ascii="黑体" w:hAnsi="黑体" w:eastAsia="黑体"/>
        </w:rPr>
        <w:t>6</w:t>
      </w:r>
      <w:r>
        <w:rPr>
          <w:rFonts w:ascii="黑体" w:hAnsi="黑体" w:eastAsia="黑体"/>
        </w:rPr>
        <w:t>.4.3.1</w:t>
      </w:r>
      <w:r>
        <w:t xml:space="preserve"> 多维度方案设计</w:t>
      </w:r>
      <w:r>
        <w:rPr>
          <w:rFonts w:hint="eastAsia"/>
        </w:rPr>
        <w:t>。</w:t>
      </w:r>
      <w:r>
        <w:t xml:space="preserve">由疗愈康养师主导，必要时协同名老中医、营养师、心理咨询师等专业支持团队，基于健康评估结果，制定涵盖短期目标与长期规划的《个性化中医药疗愈康养方案》。 </w:t>
      </w:r>
    </w:p>
    <w:p w14:paraId="155E2F31">
      <w:pPr>
        <w:pStyle w:val="56"/>
        <w:ind w:firstLine="0" w:firstLineChars="0"/>
      </w:pPr>
      <w:r>
        <w:rPr>
          <w:rFonts w:hint="eastAsia" w:ascii="黑体" w:hAnsi="黑体" w:eastAsia="黑体"/>
        </w:rPr>
        <w:t>6</w:t>
      </w:r>
      <w:r>
        <w:rPr>
          <w:rFonts w:ascii="黑体" w:hAnsi="黑体" w:eastAsia="黑体"/>
        </w:rPr>
        <w:t xml:space="preserve">.4.3.2 </w:t>
      </w:r>
      <w:r>
        <w:rPr>
          <w:rFonts w:hint="eastAsia"/>
        </w:rPr>
        <w:t>明确</w:t>
      </w:r>
      <w:r>
        <w:t>核心调理路径</w:t>
      </w:r>
      <w:r>
        <w:rPr>
          <w:rFonts w:hint="eastAsia"/>
        </w:rPr>
        <w:t>。</w:t>
      </w:r>
      <w:r>
        <w:t>如药膳食疗、导引锻炼、情志调摄等组合。</w:t>
      </w:r>
    </w:p>
    <w:p w14:paraId="5FE6943F">
      <w:pPr>
        <w:pStyle w:val="56"/>
        <w:ind w:firstLine="0" w:firstLineChars="0"/>
      </w:pPr>
      <w:r>
        <w:rPr>
          <w:rFonts w:hint="eastAsia" w:ascii="黑体" w:hAnsi="黑体" w:eastAsia="黑体"/>
        </w:rPr>
        <w:t>6</w:t>
      </w:r>
      <w:r>
        <w:rPr>
          <w:rFonts w:ascii="黑体" w:hAnsi="黑体" w:eastAsia="黑体"/>
        </w:rPr>
        <w:t xml:space="preserve">.4.3.3 </w:t>
      </w:r>
      <w:r>
        <w:rPr>
          <w:rFonts w:hint="eastAsia"/>
        </w:rPr>
        <w:t>明确疗</w:t>
      </w:r>
      <w:r>
        <w:t>程计划</w:t>
      </w:r>
      <w:r>
        <w:rPr>
          <w:rFonts w:hint="eastAsia"/>
        </w:rPr>
        <w:t>。确定</w:t>
      </w:r>
      <w:r>
        <w:t>服务项目、频率、周期。</w:t>
      </w:r>
    </w:p>
    <w:p w14:paraId="3603CC34">
      <w:pPr>
        <w:pStyle w:val="56"/>
        <w:ind w:firstLine="0" w:firstLineChars="0"/>
      </w:pPr>
      <w:r>
        <w:rPr>
          <w:rFonts w:hint="eastAsia" w:ascii="黑体" w:hAnsi="黑体" w:eastAsia="黑体"/>
        </w:rPr>
        <w:t>6</w:t>
      </w:r>
      <w:r>
        <w:rPr>
          <w:rFonts w:ascii="黑体" w:hAnsi="黑体" w:eastAsia="黑体"/>
        </w:rPr>
        <w:t xml:space="preserve">.4.3.4 </w:t>
      </w:r>
      <w:r>
        <w:t>方案讲解与知情同意</w:t>
      </w:r>
      <w:r>
        <w:rPr>
          <w:rFonts w:hint="eastAsia"/>
        </w:rPr>
        <w:t>。</w:t>
      </w:r>
      <w:r>
        <w:t>与顾客进行一对一深度沟通，详细讲解方案原理、步骤、潜在感受及注意事项。涉及高端整合医疗模块（如干细胞咨询、医美项目），需签署专项《知情同意书》与《服务协议》，确保信息透明。</w:t>
      </w:r>
    </w:p>
    <w:p w14:paraId="3EF7CAE7">
      <w:pPr>
        <w:pStyle w:val="65"/>
        <w:spacing w:before="120" w:after="120"/>
        <w:rPr>
          <w:bCs/>
        </w:rPr>
      </w:pPr>
      <w:r>
        <w:rPr>
          <w:bCs/>
        </w:rPr>
        <w:t>方案实施与过程管理阶段</w:t>
      </w:r>
    </w:p>
    <w:p w14:paraId="1C190ADD">
      <w:pPr>
        <w:pStyle w:val="56"/>
        <w:ind w:firstLine="0" w:firstLineChars="0"/>
      </w:pPr>
      <w:r>
        <w:rPr>
          <w:rFonts w:hint="eastAsia" w:ascii="黑体" w:hAnsi="黑体" w:eastAsia="黑体"/>
        </w:rPr>
        <w:t>6</w:t>
      </w:r>
      <w:r>
        <w:rPr>
          <w:rFonts w:ascii="黑体" w:hAnsi="黑体" w:eastAsia="黑体"/>
        </w:rPr>
        <w:t>.4.4.1</w:t>
      </w:r>
      <w:r>
        <w:t xml:space="preserve"> 一站式服务体验</w:t>
      </w:r>
      <w:r>
        <w:rPr>
          <w:rFonts w:hint="eastAsia"/>
        </w:rPr>
        <w:t>。</w:t>
      </w:r>
      <w:r>
        <w:t>为VIP或长周期顾客提供相对独立的诊疗与疗愈空间，整合各项服务流程，减少奔波。</w:t>
      </w:r>
    </w:p>
    <w:p w14:paraId="26CD7621">
      <w:pPr>
        <w:pStyle w:val="56"/>
        <w:ind w:firstLine="0" w:firstLineChars="0"/>
      </w:pPr>
      <w:r>
        <w:rPr>
          <w:rFonts w:hint="eastAsia" w:ascii="黑体" w:hAnsi="黑体" w:eastAsia="黑体"/>
        </w:rPr>
        <w:t>6</w:t>
      </w:r>
      <w:r>
        <w:rPr>
          <w:rFonts w:ascii="黑体" w:hAnsi="黑体" w:eastAsia="黑体"/>
        </w:rPr>
        <w:t xml:space="preserve">.4.4.2 </w:t>
      </w:r>
      <w:r>
        <w:t>24小时健康管家服务</w:t>
      </w:r>
      <w:r>
        <w:rPr>
          <w:rFonts w:hint="eastAsia"/>
        </w:rPr>
        <w:t>。</w:t>
      </w:r>
      <w:r>
        <w:t>为高端顾客配备健康管家，提供全天候的健康咨询、用药指导（如涉及药膳茶饮）、健康提醒及应急联络服务。</w:t>
      </w:r>
    </w:p>
    <w:p w14:paraId="51F58CF9">
      <w:pPr>
        <w:pStyle w:val="56"/>
        <w:ind w:firstLine="0" w:firstLineChars="0"/>
      </w:pPr>
      <w:r>
        <w:rPr>
          <w:rFonts w:hint="eastAsia" w:ascii="黑体" w:hAnsi="黑体" w:eastAsia="黑体"/>
        </w:rPr>
        <w:t>6</w:t>
      </w:r>
      <w:r>
        <w:rPr>
          <w:rFonts w:ascii="黑体" w:hAnsi="黑体" w:eastAsia="黑体"/>
        </w:rPr>
        <w:t xml:space="preserve">.4.4.3 </w:t>
      </w:r>
      <w:r>
        <w:t>过程记录与反馈</w:t>
      </w:r>
      <w:r>
        <w:rPr>
          <w:rFonts w:hint="eastAsia"/>
        </w:rPr>
        <w:t>。</w:t>
      </w:r>
      <w:r>
        <w:t>每次服务后，详细记录顾客的身体反应、主观感受及调理师的观察。鼓励顾客通过APP或反馈表实时反馈。</w:t>
      </w:r>
    </w:p>
    <w:p w14:paraId="3548BEBE">
      <w:pPr>
        <w:pStyle w:val="65"/>
        <w:spacing w:before="120" w:after="120"/>
        <w:rPr>
          <w:bCs/>
        </w:rPr>
      </w:pPr>
      <w:r>
        <w:rPr>
          <w:bCs/>
        </w:rPr>
        <w:t>动态监测、调整与院后追踪阶段</w:t>
      </w:r>
    </w:p>
    <w:p w14:paraId="0FF14193">
      <w:pPr>
        <w:pStyle w:val="56"/>
        <w:ind w:firstLine="0" w:firstLineChars="0"/>
        <w:rPr>
          <w:rFonts w:hAnsi="宋体"/>
        </w:rPr>
      </w:pPr>
      <w:r>
        <w:rPr>
          <w:rFonts w:hint="eastAsia" w:ascii="黑体" w:hAnsi="黑体" w:eastAsia="黑体"/>
        </w:rPr>
        <w:t>6</w:t>
      </w:r>
      <w:r>
        <w:rPr>
          <w:rFonts w:ascii="黑体" w:hAnsi="黑体" w:eastAsia="黑体"/>
        </w:rPr>
        <w:t>.4.5.1</w:t>
      </w:r>
      <w:r>
        <w:rPr>
          <w:rFonts w:hAnsi="宋体"/>
        </w:rPr>
        <w:t xml:space="preserve"> 定期复评与方案调整</w:t>
      </w:r>
      <w:r>
        <w:rPr>
          <w:rFonts w:hint="eastAsia" w:hAnsi="宋体"/>
        </w:rPr>
        <w:t>。</w:t>
      </w:r>
      <w:r>
        <w:rPr>
          <w:rFonts w:hAnsi="宋体"/>
        </w:rPr>
        <w:t>在预设的评估节点，再次运用智能设备或人工评估进行效果复查。疗愈康养师根据复评结果和顾客反馈，及时调整后续方案，实现动态优化。</w:t>
      </w:r>
    </w:p>
    <w:p w14:paraId="60AF8A2B">
      <w:pPr>
        <w:pStyle w:val="56"/>
        <w:ind w:firstLine="0" w:firstLineChars="0"/>
        <w:rPr>
          <w:rFonts w:hAnsi="宋体"/>
        </w:rPr>
      </w:pPr>
      <w:r>
        <w:rPr>
          <w:rFonts w:hint="eastAsia" w:ascii="黑体" w:hAnsi="黑体" w:eastAsia="黑体"/>
        </w:rPr>
        <w:t>6</w:t>
      </w:r>
      <w:r>
        <w:rPr>
          <w:rFonts w:ascii="黑体" w:hAnsi="黑体" w:eastAsia="黑体"/>
        </w:rPr>
        <w:t xml:space="preserve">.4.5.2 </w:t>
      </w:r>
      <w:r>
        <w:rPr>
          <w:rFonts w:hAnsi="宋体"/>
        </w:rPr>
        <w:t>院后康复追踪系统</w:t>
      </w:r>
      <w:r>
        <w:rPr>
          <w:rFonts w:hint="eastAsia" w:hAnsi="宋体"/>
        </w:rPr>
        <w:t>。</w:t>
      </w:r>
      <w:r>
        <w:rPr>
          <w:rFonts w:hAnsi="宋体"/>
        </w:rPr>
        <w:t>服务周期结束后，启动院后追踪。通过定期随访（电话、线上）、健康监测数据回传（如有可穿戴设备）、康复指导推送等方式，了解顾客的长期康复情况，巩固疗愈效果，并收集反馈意见。这构成了“预防—治疗—康养”的全链条服务闭环。</w:t>
      </w:r>
    </w:p>
    <w:p w14:paraId="48F2C02A">
      <w:pPr>
        <w:pStyle w:val="56"/>
        <w:ind w:firstLine="0" w:firstLineChars="0"/>
        <w:rPr>
          <w:rFonts w:hAnsi="宋体"/>
        </w:rPr>
      </w:pPr>
      <w:r>
        <w:rPr>
          <w:rFonts w:hint="eastAsia" w:ascii="黑体" w:hAnsi="黑体" w:eastAsia="黑体"/>
        </w:rPr>
        <w:t>6</w:t>
      </w:r>
      <w:r>
        <w:rPr>
          <w:rFonts w:ascii="黑体" w:hAnsi="黑体" w:eastAsia="黑体"/>
        </w:rPr>
        <w:t xml:space="preserve">.4.5.3 </w:t>
      </w:r>
      <w:r>
        <w:rPr>
          <w:rFonts w:hAnsi="宋体"/>
        </w:rPr>
        <w:t>健康促进与社群维护</w:t>
      </w:r>
      <w:r>
        <w:rPr>
          <w:rFonts w:hint="eastAsia" w:hAnsi="宋体"/>
        </w:rPr>
        <w:t>。</w:t>
      </w:r>
      <w:r>
        <w:rPr>
          <w:rFonts w:hAnsi="宋体"/>
        </w:rPr>
        <w:t>邀请顾客加入“亳州养生”会员社群，定期推送节气养生知识、组织线上/线下健康沙龙，将一次性服务转化为持续的健康关系管理。</w:t>
      </w:r>
    </w:p>
    <w:p w14:paraId="31EF2842">
      <w:pPr>
        <w:pStyle w:val="104"/>
        <w:spacing w:before="240" w:after="240"/>
      </w:pPr>
      <w:r>
        <w:t>服务质量管理、安全与应急</w:t>
      </w:r>
    </w:p>
    <w:p w14:paraId="49481B37">
      <w:pPr>
        <w:pStyle w:val="105"/>
        <w:spacing w:before="120" w:after="120"/>
      </w:pPr>
      <w:r>
        <w:t>质量管理</w:t>
      </w:r>
    </w:p>
    <w:p w14:paraId="54B937FE">
      <w:pPr>
        <w:pStyle w:val="56"/>
        <w:ind w:firstLine="420"/>
      </w:pPr>
      <w:r>
        <w:t>服务机构应建立服务质量管理体系，定期进行内部审核与顾客满意度调查。</w:t>
      </w:r>
    </w:p>
    <w:p w14:paraId="2F3F8424">
      <w:pPr>
        <w:pStyle w:val="105"/>
        <w:spacing w:before="120" w:after="120"/>
      </w:pPr>
      <w:r>
        <w:t>安全与应急</w:t>
      </w:r>
    </w:p>
    <w:p w14:paraId="39B0DBC3">
      <w:pPr>
        <w:pStyle w:val="65"/>
        <w:spacing w:before="120" w:after="120"/>
        <w:rPr>
          <w:bCs/>
        </w:rPr>
      </w:pPr>
      <w:r>
        <w:rPr>
          <w:bCs/>
        </w:rPr>
        <w:t>安全保障</w:t>
      </w:r>
    </w:p>
    <w:p w14:paraId="22CE315F">
      <w:pPr>
        <w:pStyle w:val="56"/>
        <w:ind w:firstLine="420"/>
      </w:pPr>
      <w:r>
        <w:t>所有药材、食材、用品应符合国家相关安全标准。操作流程应规范，避免意外伤害。</w:t>
      </w:r>
    </w:p>
    <w:p w14:paraId="448DBB62">
      <w:pPr>
        <w:pStyle w:val="65"/>
        <w:spacing w:before="120" w:after="120"/>
        <w:rPr>
          <w:bCs/>
        </w:rPr>
      </w:pPr>
      <w:r>
        <w:rPr>
          <w:bCs/>
        </w:rPr>
        <w:t>边界清晰</w:t>
      </w:r>
    </w:p>
    <w:p w14:paraId="0A454461">
      <w:pPr>
        <w:pStyle w:val="56"/>
        <w:ind w:firstLine="420"/>
      </w:pPr>
      <w:r>
        <w:t>严禁宣传和治疗疾病，明确告知服务为非医疗行为。发现顾客有医疗指征时，应建议其及时就医，并探索与医疗机构建立双向转诊或协同诊疗机制。</w:t>
      </w:r>
    </w:p>
    <w:p w14:paraId="7FDA547C">
      <w:pPr>
        <w:pStyle w:val="65"/>
        <w:spacing w:before="120" w:after="120"/>
        <w:rPr>
          <w:bCs/>
        </w:rPr>
      </w:pPr>
      <w:r>
        <w:rPr>
          <w:bCs/>
        </w:rPr>
        <w:t>隐私保护</w:t>
      </w:r>
    </w:p>
    <w:p w14:paraId="49436E72">
      <w:pPr>
        <w:pStyle w:val="56"/>
        <w:ind w:firstLine="420"/>
      </w:pPr>
      <w:r>
        <w:t>确保顾客健康信息的隐私性和安全性，防止信息泄露和滥用。</w:t>
      </w:r>
    </w:p>
    <w:p w14:paraId="23B1E2E5">
      <w:pPr>
        <w:pStyle w:val="65"/>
        <w:spacing w:before="120" w:after="120"/>
        <w:rPr>
          <w:bCs/>
        </w:rPr>
      </w:pPr>
      <w:r>
        <w:rPr>
          <w:bCs/>
        </w:rPr>
        <w:t>应急预案</w:t>
      </w:r>
    </w:p>
    <w:p w14:paraId="1773CBFB">
      <w:pPr>
        <w:pStyle w:val="56"/>
        <w:ind w:firstLine="420"/>
      </w:pPr>
      <w:r>
        <w:t>制定针对突发疾病、消防、自然灾害等情况的应急预案，并定期演练。为急症顾客开通转诊绿色通道。</w:t>
      </w:r>
    </w:p>
    <w:p w14:paraId="1A5D61BC">
      <w:pPr>
        <w:pStyle w:val="104"/>
        <w:spacing w:before="240" w:after="240"/>
      </w:pPr>
      <w:r>
        <w:t>评价与改进</w:t>
      </w:r>
    </w:p>
    <w:p w14:paraId="7BF84962">
      <w:pPr>
        <w:pStyle w:val="56"/>
        <w:ind w:firstLine="0" w:firstLineChars="0"/>
      </w:pPr>
      <w:r>
        <w:rPr>
          <w:rFonts w:ascii="黑体" w:hAnsi="黑体" w:eastAsia="黑体"/>
        </w:rPr>
        <w:t>8.1</w:t>
      </w:r>
      <w:r>
        <w:t xml:space="preserve"> 服务机构应定期对服务效果、顾客满意度和运营流程进行系统性评价。</w:t>
      </w:r>
    </w:p>
    <w:p w14:paraId="1F702CEB">
      <w:pPr>
        <w:pStyle w:val="56"/>
        <w:ind w:firstLine="0" w:firstLineChars="0"/>
      </w:pPr>
      <w:r>
        <w:rPr>
          <w:rFonts w:ascii="黑体" w:hAnsi="黑体" w:eastAsia="黑体"/>
        </w:rPr>
        <w:t xml:space="preserve">8.2 </w:t>
      </w:r>
      <w:r>
        <w:t>应建立有效的反馈与改进机制，定期评估流程，通过问卷调查、在线评价等多渠道收集反馈，并据此持续优化</w:t>
      </w:r>
    </w:p>
    <w:p w14:paraId="74418CDF">
      <w:pPr>
        <w:pStyle w:val="56"/>
        <w:ind w:firstLine="420"/>
      </w:pPr>
    </w:p>
    <w:p w14:paraId="5DB0525D">
      <w:pPr>
        <w:pStyle w:val="56"/>
        <w:ind w:firstLine="420"/>
      </w:pPr>
    </w:p>
    <w:bookmarkEnd w:id="45"/>
    <w:bookmarkEnd w:id="46"/>
    <w:p w14:paraId="4FDD7DD4">
      <w:pPr>
        <w:pStyle w:val="56"/>
        <w:ind w:firstLine="0" w:firstLineChars="0"/>
        <w:jc w:val="center"/>
      </w:pPr>
      <w:bookmarkStart w:id="47" w:name="BookMark8"/>
      <w:r>
        <w:drawing>
          <wp:inline distT="0" distB="0" distL="0" distR="0">
            <wp:extent cx="1485900" cy="317500"/>
            <wp:effectExtent l="0" t="0" r="0" b="6350"/>
            <wp:docPr id="3" name="图片 3"/>
            <wp:cNvGraphicFramePr/>
            <a:graphic xmlns:a="http://schemas.openxmlformats.org/drawingml/2006/main">
              <a:graphicData uri="http://schemas.openxmlformats.org/drawingml/2006/picture">
                <pic:pic xmlns:pic="http://schemas.openxmlformats.org/drawingml/2006/picture">
                  <pic:nvPicPr>
                    <pic:cNvPr id="3" name="图片 3"/>
                    <pic:cNvPicPr/>
                  </pic:nvPicPr>
                  <pic:blipFill>
                    <a:blip r:embed="rId15"/>
                    <a:stretch>
                      <a:fillRect/>
                    </a:stretch>
                  </pic:blipFill>
                  <pic:spPr>
                    <a:xfrm>
                      <a:off x="0" y="0"/>
                      <a:ext cx="1485900" cy="317500"/>
                    </a:xfrm>
                    <a:prstGeom prst="rect">
                      <a:avLst/>
                    </a:prstGeom>
                  </pic:spPr>
                </pic:pic>
              </a:graphicData>
            </a:graphic>
          </wp:inline>
        </w:drawing>
      </w:r>
      <w:bookmarkEnd w:id="47"/>
    </w:p>
    <w:sectPr>
      <w:pgSz w:w="11906" w:h="16838"/>
      <w:pgMar w:top="1928"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中黑KW">
    <w:panose1 w:val="00020600040101010101"/>
    <w:charset w:val="86"/>
    <w:family w:val="auto"/>
    <w:pitch w:val="default"/>
    <w:sig w:usb0="A00002BF" w:usb1="18EF7CFA" w:usb2="00000016" w:usb3="00000000" w:csb0="00040000" w:csb1="00000000"/>
  </w:font>
  <w:font w:name="等线">
    <w:altName w:val="汉仪中等线KW"/>
    <w:panose1 w:val="02010600030101010101"/>
    <w:charset w:val="86"/>
    <w:family w:val="auto"/>
    <w:pitch w:val="default"/>
    <w:sig w:usb0="00000000" w:usb1="00000000" w:usb2="00000016" w:usb3="00000000" w:csb0="0004000F" w:csb1="00000000"/>
  </w:font>
  <w:font w:name="汉仪中等线KW">
    <w:panose1 w:val="01010104010101010101"/>
    <w:charset w:val="86"/>
    <w:family w:val="auto"/>
    <w:pitch w:val="default"/>
    <w:sig w:usb0="800002BF" w:usb1="004F7CFA" w:usb2="00000000" w:usb3="00000000" w:csb0="00040001" w:csb1="00000000"/>
  </w:font>
  <w:font w:name="Kingsoft Sign">
    <w:panose1 w:val="05050102010706020507"/>
    <w:charset w:val="00"/>
    <w:family w:val="auto"/>
    <w:pitch w:val="default"/>
    <w:sig w:usb0="00000000" w:usb1="10000000" w:usb2="00000000" w:usb3="00000000" w:csb0="00000001" w:csb1="00000000"/>
  </w:font>
  <w:font w:name="等线 Light">
    <w:altName w:val="汉仪中等线KW"/>
    <w:panose1 w:val="02010600030101010101"/>
    <w:charset w:val="86"/>
    <w:family w:val="auto"/>
    <w:pitch w:val="default"/>
    <w:sig w:usb0="00000000" w:usb1="00000000" w:usb2="00000016" w:usb3="00000000" w:csb0="0004000F" w:csb1="00000000"/>
  </w:font>
  <w:font w:name="儷宋 Pro">
    <w:panose1 w:val="02020300000000000000"/>
    <w:charset w:val="88"/>
    <w:family w:val="auto"/>
    <w:pitch w:val="default"/>
    <w:sig w:usb0="80000001" w:usb1="28091800" w:usb2="00000016" w:usb3="00000000" w:csb0="00100000" w:csb1="00000000"/>
  </w:font>
  <w:font w:name="冬青黑体简体中文">
    <w:panose1 w:val="020B0300000000000000"/>
    <w:charset w:val="86"/>
    <w:family w:val="auto"/>
    <w:pitch w:val="default"/>
    <w:sig w:usb0="A00002BF" w:usb1="1ACF7CFA" w:usb2="00000016" w:usb3="00000000" w:csb0="00060007" w:csb1="00000000"/>
  </w:font>
  <w:font w:name="等线">
    <w:altName w:val="汉仪中等线KW"/>
    <w:panose1 w:val="00000000000000000000"/>
    <w:charset w:val="00"/>
    <w:family w:val="auto"/>
    <w:pitch w:val="default"/>
    <w:sig w:usb0="00000000" w:usb1="00000000" w:usb2="00000000" w:usb3="00000000" w:csb0="00000000" w:csb1="00000000"/>
  </w:font>
  <w:font w:name="等线 Light">
    <w:altName w:val="汉仪中等线KW"/>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FD9D08">
    <w:pPr>
      <w:pStyle w:val="17"/>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736104">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7EC69F">
    <w:pPr>
      <w:pStyle w:val="52"/>
    </w:pPr>
    <w:r>
      <w:fldChar w:fldCharType="begin"/>
    </w:r>
    <w:r>
      <w:instrText xml:space="preserve">PAGE   \* MERGEFORMAT</w:instrText>
    </w:r>
    <w:r>
      <w:fldChar w:fldCharType="separate"/>
    </w:r>
    <w:r>
      <w:rPr>
        <w:lang w:val="zh-CN"/>
      </w:rPr>
      <w:t>2</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2BD35A">
    <w:pPr>
      <w:pStyle w:val="18"/>
      <w:wordWrap w:val="0"/>
      <w:jc w:val="right"/>
      <w:rPr>
        <w:rFonts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F3CF5A">
    <w:pPr>
      <w:pStyle w:val="18"/>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956617">
    <w:pPr>
      <w:pStyle w:val="61"/>
    </w:pPr>
    <w:r>
      <w:fldChar w:fldCharType="begin"/>
    </w:r>
    <w:r>
      <w:instrText xml:space="preserve"> STYLEREF  标准文件_文件编号  \* MERGEFORMAT </w:instrText>
    </w:r>
    <w:r>
      <w:fldChar w:fldCharType="separate"/>
    </w:r>
    <w:r>
      <w:t>T/BZJK XX—XXXX</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9C3D55">
    <w:pPr>
      <w:pStyle w:val="18"/>
      <w:jc w:val="right"/>
    </w:pPr>
    <w:r>
      <w:fldChar w:fldCharType="begin"/>
    </w:r>
    <w:r>
      <w:instrText xml:space="preserve"> STYLEREF  标准文件_文件编号  \* MERGEFORMAT </w:instrText>
    </w:r>
    <w:r>
      <w:fldChar w:fldCharType="separate"/>
    </w:r>
    <w:r>
      <w:t>T/BZJK XX—XXXX</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59"/>
      <w:suff w:val="nothing"/>
      <w:lvlText w:val="%1%2.%3　"/>
      <w:lvlJc w:val="left"/>
      <w:pPr>
        <w:ind w:left="0" w:firstLine="0"/>
      </w:pPr>
    </w:lvl>
    <w:lvl w:ilvl="3" w:tentative="0">
      <w:start w:val="1"/>
      <w:numFmt w:val="decimal"/>
      <w:pStyle w:val="118"/>
      <w:suff w:val="nothing"/>
      <w:lvlText w:val="%1%2.%3.%4　"/>
      <w:lvlJc w:val="left"/>
      <w:pPr>
        <w:ind w:left="0" w:firstLine="0"/>
      </w:pPr>
    </w:lvl>
    <w:lvl w:ilvl="4" w:tentative="0">
      <w:start w:val="1"/>
      <w:numFmt w:val="decimal"/>
      <w:pStyle w:val="153"/>
      <w:suff w:val="nothing"/>
      <w:lvlText w:val="%1%2.%3.%4.%5　"/>
      <w:lvlJc w:val="left"/>
      <w:pPr>
        <w:ind w:left="0" w:firstLine="0"/>
      </w:pPr>
    </w:lvl>
    <w:lvl w:ilvl="5" w:tentative="0">
      <w:start w:val="1"/>
      <w:numFmt w:val="decimal"/>
      <w:pStyle w:val="155"/>
      <w:suff w:val="nothing"/>
      <w:lvlText w:val="%1%2.%3.%4.%5.%6　"/>
      <w:lvlJc w:val="left"/>
      <w:pPr>
        <w:ind w:left="0" w:firstLine="0"/>
      </w:pPr>
    </w:lvl>
    <w:lvl w:ilvl="6" w:tentative="0">
      <w:start w:val="1"/>
      <w:numFmt w:val="decimal"/>
      <w:pStyle w:val="158"/>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0"/>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89"/>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eastAsia="黑体" w:hAnsiTheme="minorHAnsi"/>
        <w:b w:val="0"/>
        <w:i w:val="0"/>
        <w:sz w:val="21"/>
      </w:rPr>
    </w:lvl>
    <w:lvl w:ilvl="2" w:tentative="0">
      <w:start w:val="1"/>
      <w:numFmt w:val="decimal"/>
      <w:pStyle w:val="201"/>
      <w:suff w:val="nothing"/>
      <w:lvlText w:val="%10.%2.%3 "/>
      <w:lvlJc w:val="left"/>
      <w:pPr>
        <w:ind w:left="0" w:firstLine="0"/>
      </w:pPr>
      <w:rPr>
        <w:rFonts w:hint="eastAsia" w:ascii="黑体" w:eastAsia="黑体" w:hAnsiTheme="minorHAnsi"/>
        <w:b w:val="0"/>
        <w:i w:val="0"/>
        <w:sz w:val="21"/>
      </w:rPr>
    </w:lvl>
    <w:lvl w:ilvl="3" w:tentative="0">
      <w:start w:val="1"/>
      <w:numFmt w:val="decimal"/>
      <w:pStyle w:val="202"/>
      <w:suff w:val="nothing"/>
      <w:lvlText w:val="%10.%2.%3.%4 "/>
      <w:lvlJc w:val="left"/>
      <w:pPr>
        <w:ind w:left="0" w:firstLine="0"/>
      </w:pPr>
      <w:rPr>
        <w:rFonts w:hint="eastAsia" w:ascii="黑体" w:eastAsia="黑体" w:hAnsiTheme="minorHAnsi"/>
        <w:b w:val="0"/>
        <w:i w:val="0"/>
        <w:sz w:val="21"/>
      </w:rPr>
    </w:lvl>
    <w:lvl w:ilvl="4" w:tentative="0">
      <w:start w:val="1"/>
      <w:numFmt w:val="decimal"/>
      <w:pStyle w:val="203"/>
      <w:suff w:val="nothing"/>
      <w:lvlText w:val="%10.%2.%3.%4.%5 "/>
      <w:lvlJc w:val="left"/>
      <w:pPr>
        <w:ind w:left="0" w:firstLine="0"/>
      </w:pPr>
      <w:rPr>
        <w:rFonts w:hint="eastAsia" w:ascii="黑体" w:eastAsia="黑体" w:hAnsiTheme="minorHAnsi"/>
        <w:b w:val="0"/>
        <w:i w:val="0"/>
        <w:sz w:val="21"/>
      </w:rPr>
    </w:lvl>
    <w:lvl w:ilvl="5" w:tentative="0">
      <w:start w:val="1"/>
      <w:numFmt w:val="decimal"/>
      <w:pStyle w:val="204"/>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1"/>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7"/>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0"/>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5"/>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DBF583A"/>
    <w:multiLevelType w:val="multilevel"/>
    <w:tmpl w:val="1DBF583A"/>
    <w:lvl w:ilvl="0" w:tentative="0">
      <w:start w:val="1"/>
      <w:numFmt w:val="decimal"/>
      <w:pStyle w:val="233"/>
      <w:suff w:val="nothing"/>
      <w:lvlText w:val="注%1："/>
      <w:lvlJc w:val="left"/>
      <w:pPr>
        <w:ind w:left="811" w:hanging="448"/>
      </w:pPr>
      <w:rPr>
        <w:rFonts w:hint="eastAsia" w:ascii="黑体" w:eastAsia="黑体" w:cs="Times New Roman"/>
        <w:b w:val="0"/>
        <w:i w:val="0"/>
        <w:sz w:val="18"/>
        <w:szCs w:val="18"/>
        <w:vertAlign w:val="baseline"/>
      </w:rPr>
    </w:lvl>
    <w:lvl w:ilvl="1" w:tentative="0">
      <w:start w:val="1"/>
      <w:numFmt w:val="lowerLetter"/>
      <w:lvlText w:val="%2)"/>
      <w:lvlJc w:val="left"/>
      <w:pPr>
        <w:tabs>
          <w:tab w:val="left" w:pos="180"/>
        </w:tabs>
        <w:ind w:left="1172" w:hanging="629"/>
      </w:pPr>
      <w:rPr>
        <w:rFonts w:hint="eastAsia" w:cs="Times New Roman"/>
        <w:vertAlign w:val="baseline"/>
      </w:rPr>
    </w:lvl>
    <w:lvl w:ilvl="2" w:tentative="0">
      <w:start w:val="1"/>
      <w:numFmt w:val="lowerRoman"/>
      <w:lvlText w:val="%3."/>
      <w:lvlJc w:val="right"/>
      <w:pPr>
        <w:tabs>
          <w:tab w:val="left" w:pos="180"/>
        </w:tabs>
        <w:ind w:left="1172" w:hanging="629"/>
      </w:pPr>
      <w:rPr>
        <w:rFonts w:hint="eastAsia" w:cs="Times New Roman"/>
        <w:vertAlign w:val="baseline"/>
      </w:rPr>
    </w:lvl>
    <w:lvl w:ilvl="3" w:tentative="0">
      <w:start w:val="1"/>
      <w:numFmt w:val="decimal"/>
      <w:lvlText w:val="%4."/>
      <w:lvlJc w:val="left"/>
      <w:pPr>
        <w:tabs>
          <w:tab w:val="left" w:pos="180"/>
        </w:tabs>
        <w:ind w:left="1172" w:hanging="629"/>
      </w:pPr>
      <w:rPr>
        <w:rFonts w:hint="eastAsia" w:cs="Times New Roman"/>
        <w:vertAlign w:val="baseline"/>
      </w:rPr>
    </w:lvl>
    <w:lvl w:ilvl="4" w:tentative="0">
      <w:start w:val="1"/>
      <w:numFmt w:val="lowerLetter"/>
      <w:lvlText w:val="%5)"/>
      <w:lvlJc w:val="left"/>
      <w:pPr>
        <w:tabs>
          <w:tab w:val="left" w:pos="180"/>
        </w:tabs>
        <w:ind w:left="1172" w:hanging="629"/>
      </w:pPr>
      <w:rPr>
        <w:rFonts w:hint="eastAsia" w:cs="Times New Roman"/>
        <w:vertAlign w:val="baseline"/>
      </w:rPr>
    </w:lvl>
    <w:lvl w:ilvl="5" w:tentative="0">
      <w:start w:val="1"/>
      <w:numFmt w:val="lowerRoman"/>
      <w:lvlText w:val="%6."/>
      <w:lvlJc w:val="right"/>
      <w:pPr>
        <w:tabs>
          <w:tab w:val="left" w:pos="180"/>
        </w:tabs>
        <w:ind w:left="1172" w:hanging="629"/>
      </w:pPr>
      <w:rPr>
        <w:rFonts w:hint="eastAsia" w:cs="Times New Roman"/>
        <w:vertAlign w:val="baseline"/>
      </w:rPr>
    </w:lvl>
    <w:lvl w:ilvl="6" w:tentative="0">
      <w:start w:val="1"/>
      <w:numFmt w:val="decimal"/>
      <w:lvlText w:val="%7."/>
      <w:lvlJc w:val="left"/>
      <w:pPr>
        <w:tabs>
          <w:tab w:val="left" w:pos="180"/>
        </w:tabs>
        <w:ind w:left="1172" w:hanging="629"/>
      </w:pPr>
      <w:rPr>
        <w:rFonts w:hint="eastAsia" w:cs="Times New Roman"/>
        <w:vertAlign w:val="baseline"/>
      </w:rPr>
    </w:lvl>
    <w:lvl w:ilvl="7" w:tentative="0">
      <w:start w:val="1"/>
      <w:numFmt w:val="lowerLetter"/>
      <w:lvlText w:val="%8)"/>
      <w:lvlJc w:val="left"/>
      <w:pPr>
        <w:tabs>
          <w:tab w:val="left" w:pos="180"/>
        </w:tabs>
        <w:ind w:left="1172" w:hanging="629"/>
      </w:pPr>
      <w:rPr>
        <w:rFonts w:hint="eastAsia" w:cs="Times New Roman"/>
        <w:vertAlign w:val="baseline"/>
      </w:rPr>
    </w:lvl>
    <w:lvl w:ilvl="8" w:tentative="0">
      <w:start w:val="1"/>
      <w:numFmt w:val="lowerRoman"/>
      <w:lvlText w:val="%9."/>
      <w:lvlJc w:val="right"/>
      <w:pPr>
        <w:tabs>
          <w:tab w:val="left" w:pos="180"/>
        </w:tabs>
        <w:ind w:left="1172" w:hanging="629"/>
      </w:pPr>
      <w:rPr>
        <w:rFonts w:hint="eastAsia" w:cs="Times New Roman"/>
        <w:vertAlign w:val="baseline"/>
      </w:rPr>
    </w:lvl>
  </w:abstractNum>
  <w:abstractNum w:abstractNumId="10">
    <w:nsid w:val="1EAA1992"/>
    <w:multiLevelType w:val="multilevel"/>
    <w:tmpl w:val="1EAA1992"/>
    <w:lvl w:ilvl="0" w:tentative="0">
      <w:start w:val="1"/>
      <w:numFmt w:val="none"/>
      <w:pStyle w:val="92"/>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1">
    <w:nsid w:val="2C5917C3"/>
    <w:multiLevelType w:val="multilevel"/>
    <w:tmpl w:val="2C5917C3"/>
    <w:lvl w:ilvl="0" w:tentative="0">
      <w:start w:val="1"/>
      <w:numFmt w:val="none"/>
      <w:pStyle w:val="132"/>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2"/>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2">
    <w:nsid w:val="32F04FB2"/>
    <w:multiLevelType w:val="multilevel"/>
    <w:tmpl w:val="32F04FB2"/>
    <w:lvl w:ilvl="0" w:tentative="0">
      <w:start w:val="1"/>
      <w:numFmt w:val="lowerLetter"/>
      <w:pStyle w:val="101"/>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3">
    <w:nsid w:val="44C50F90"/>
    <w:multiLevelType w:val="multilevel"/>
    <w:tmpl w:val="44C50F90"/>
    <w:lvl w:ilvl="0" w:tentative="0">
      <w:start w:val="1"/>
      <w:numFmt w:val="lowerLetter"/>
      <w:pStyle w:val="174"/>
      <w:lvlText w:val="%1)"/>
      <w:lvlJc w:val="left"/>
      <w:pPr>
        <w:tabs>
          <w:tab w:val="left" w:pos="851"/>
        </w:tabs>
        <w:ind w:left="851" w:hanging="426"/>
      </w:pPr>
      <w:rPr>
        <w:rFonts w:hint="eastAsia" w:ascii="宋体" w:hAnsi="Times New Roman" w:eastAsia="宋体"/>
        <w:sz w:val="21"/>
      </w:rPr>
    </w:lvl>
    <w:lvl w:ilvl="1" w:tentative="0">
      <w:start w:val="1"/>
      <w:numFmt w:val="decimal"/>
      <w:pStyle w:val="109"/>
      <w:lvlText w:val="%2)"/>
      <w:lvlJc w:val="left"/>
      <w:pPr>
        <w:tabs>
          <w:tab w:val="left" w:pos="1276"/>
        </w:tabs>
        <w:ind w:left="1276" w:hanging="425"/>
      </w:pPr>
      <w:rPr>
        <w:rFonts w:hint="eastAsia" w:ascii="宋体" w:hAnsi="Times New Roman" w:eastAsia="宋体"/>
        <w:sz w:val="21"/>
      </w:rPr>
    </w:lvl>
    <w:lvl w:ilvl="2" w:tentative="0">
      <w:start w:val="1"/>
      <w:numFmt w:val="decimal"/>
      <w:pStyle w:val="117"/>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4">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3"/>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5">
    <w:nsid w:val="4B733A5F"/>
    <w:multiLevelType w:val="multilevel"/>
    <w:tmpl w:val="4B733A5F"/>
    <w:lvl w:ilvl="0" w:tentative="0">
      <w:start w:val="1"/>
      <w:numFmt w:val="decimal"/>
      <w:pStyle w:val="183"/>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6">
    <w:nsid w:val="4E5D0534"/>
    <w:multiLevelType w:val="multilevel"/>
    <w:tmpl w:val="4E5D0534"/>
    <w:lvl w:ilvl="0" w:tentative="0">
      <w:start w:val="1"/>
      <w:numFmt w:val="decimal"/>
      <w:pStyle w:val="116"/>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7">
    <w:nsid w:val="54632751"/>
    <w:multiLevelType w:val="multilevel"/>
    <w:tmpl w:val="54632751"/>
    <w:lvl w:ilvl="0" w:tentative="0">
      <w:start w:val="1"/>
      <w:numFmt w:val="none"/>
      <w:pStyle w:val="93"/>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8">
    <w:nsid w:val="557C2AF5"/>
    <w:multiLevelType w:val="multilevel"/>
    <w:tmpl w:val="557C2AF5"/>
    <w:lvl w:ilvl="0" w:tentative="0">
      <w:start w:val="1"/>
      <w:numFmt w:val="decimal"/>
      <w:pStyle w:val="11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9">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77"/>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0">
    <w:nsid w:val="564D2089"/>
    <w:multiLevelType w:val="multilevel"/>
    <w:tmpl w:val="564D2089"/>
    <w:lvl w:ilvl="0" w:tentative="0">
      <w:start w:val="1"/>
      <w:numFmt w:val="none"/>
      <w:pStyle w:val="111"/>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644622F9"/>
    <w:multiLevelType w:val="multilevel"/>
    <w:tmpl w:val="644622F9"/>
    <w:lvl w:ilvl="0" w:tentative="0">
      <w:start w:val="1"/>
      <w:numFmt w:val="upperRoman"/>
      <w:pStyle w:val="168"/>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2">
    <w:nsid w:val="646260FA"/>
    <w:multiLevelType w:val="multilevel"/>
    <w:tmpl w:val="646260FA"/>
    <w:lvl w:ilvl="0" w:tentative="0">
      <w:start w:val="1"/>
      <w:numFmt w:val="decimal"/>
      <w:pStyle w:val="112"/>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3">
    <w:nsid w:val="654A26C9"/>
    <w:multiLevelType w:val="multilevel"/>
    <w:tmpl w:val="654A26C9"/>
    <w:lvl w:ilvl="0" w:tentative="0">
      <w:start w:val="1"/>
      <w:numFmt w:val="none"/>
      <w:pStyle w:val="189"/>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4">
    <w:nsid w:val="657D3FBC"/>
    <w:multiLevelType w:val="multilevel"/>
    <w:tmpl w:val="657D3FBC"/>
    <w:lvl w:ilvl="0" w:tentative="0">
      <w:start w:val="1"/>
      <w:numFmt w:val="upperLetter"/>
      <w:pStyle w:val="76"/>
      <w:suff w:val="nothing"/>
      <w:lvlText w:val="附录%1"/>
      <w:lvlJc w:val="left"/>
      <w:pPr>
        <w:ind w:left="0" w:firstLine="0"/>
      </w:pPr>
      <w:rPr>
        <w:rFonts w:hint="eastAsia"/>
        <w:spacing w:val="100"/>
      </w:rPr>
    </w:lvl>
    <w:lvl w:ilvl="1" w:tentative="0">
      <w:start w:val="1"/>
      <w:numFmt w:val="decimal"/>
      <w:pStyle w:val="78"/>
      <w:suff w:val="nothing"/>
      <w:lvlText w:val="%1.%2　"/>
      <w:lvlJc w:val="left"/>
      <w:pPr>
        <w:ind w:left="0" w:firstLine="0"/>
      </w:pPr>
      <w:rPr>
        <w:rFonts w:hint="eastAsia" w:ascii="黑体" w:eastAsia="黑体"/>
        <w:b w:val="0"/>
        <w:i w:val="0"/>
        <w:sz w:val="21"/>
      </w:rPr>
    </w:lvl>
    <w:lvl w:ilvl="2" w:tentative="0">
      <w:start w:val="1"/>
      <w:numFmt w:val="decimal"/>
      <w:pStyle w:val="79"/>
      <w:suff w:val="nothing"/>
      <w:lvlText w:val="%1.%2.%3　"/>
      <w:lvlJc w:val="left"/>
      <w:pPr>
        <w:ind w:left="0" w:firstLine="0"/>
      </w:pPr>
      <w:rPr>
        <w:rFonts w:hint="eastAsia" w:ascii="黑体" w:eastAsia="黑体"/>
        <w:b w:val="0"/>
        <w:i w:val="0"/>
        <w:sz w:val="21"/>
      </w:rPr>
    </w:lvl>
    <w:lvl w:ilvl="3" w:tentative="0">
      <w:start w:val="1"/>
      <w:numFmt w:val="decimal"/>
      <w:pStyle w:val="81"/>
      <w:suff w:val="nothing"/>
      <w:lvlText w:val="%1.%2.%3.%4　"/>
      <w:lvlJc w:val="left"/>
      <w:pPr>
        <w:ind w:left="0"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4"/>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5">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6">
    <w:nsid w:val="6CA41985"/>
    <w:multiLevelType w:val="multilevel"/>
    <w:tmpl w:val="6CA41985"/>
    <w:lvl w:ilvl="0" w:tentative="0">
      <w:start w:val="1"/>
      <w:numFmt w:val="decimal"/>
      <w:pStyle w:val="97"/>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7">
    <w:nsid w:val="6CE42AC1"/>
    <w:multiLevelType w:val="multilevel"/>
    <w:tmpl w:val="6CE42AC1"/>
    <w:lvl w:ilvl="0" w:tentative="0">
      <w:start w:val="1"/>
      <w:numFmt w:val="lowerLetter"/>
      <w:pStyle w:val="17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8">
    <w:nsid w:val="6CEA2025"/>
    <w:multiLevelType w:val="multilevel"/>
    <w:tmpl w:val="6CEA2025"/>
    <w:lvl w:ilvl="0" w:tentative="0">
      <w:start w:val="1"/>
      <w:numFmt w:val="none"/>
      <w:pStyle w:val="152"/>
      <w:suff w:val="nothing"/>
      <w:lvlText w:val="%1"/>
      <w:lvlJc w:val="left"/>
      <w:pPr>
        <w:ind w:left="0" w:firstLine="0"/>
      </w:pPr>
      <w:rPr>
        <w:rFonts w:hint="eastAsia"/>
      </w:rPr>
    </w:lvl>
    <w:lvl w:ilvl="1" w:tentative="0">
      <w:start w:val="1"/>
      <w:numFmt w:val="decimal"/>
      <w:pStyle w:val="104"/>
      <w:suff w:val="nothing"/>
      <w:lvlText w:val="%1%2　"/>
      <w:lvlJc w:val="left"/>
      <w:pPr>
        <w:ind w:left="0" w:firstLine="0"/>
      </w:pPr>
      <w:rPr>
        <w:rFonts w:hint="eastAsia" w:ascii="黑体" w:eastAsia="黑体"/>
        <w:b w:val="0"/>
        <w:i w:val="0"/>
        <w:sz w:val="21"/>
      </w:rPr>
    </w:lvl>
    <w:lvl w:ilvl="2" w:tentative="0">
      <w:start w:val="1"/>
      <w:numFmt w:val="decimal"/>
      <w:pStyle w:val="105"/>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4"/>
      <w:suff w:val="nothing"/>
      <w:lvlText w:val="%1%2.%3.%4.%5　"/>
      <w:lvlJc w:val="left"/>
      <w:pPr>
        <w:ind w:left="0" w:firstLine="0"/>
      </w:pPr>
      <w:rPr>
        <w:rFonts w:hint="eastAsia" w:ascii="黑体" w:eastAsia="黑体"/>
        <w:b w:val="0"/>
        <w:i w:val="0"/>
        <w:sz w:val="21"/>
      </w:rPr>
    </w:lvl>
    <w:lvl w:ilvl="5" w:tentative="0">
      <w:start w:val="1"/>
      <w:numFmt w:val="decimal"/>
      <w:pStyle w:val="98"/>
      <w:suff w:val="nothing"/>
      <w:lvlText w:val="%1%2.%3.%4.%5.%6　"/>
      <w:lvlJc w:val="left"/>
      <w:pPr>
        <w:ind w:left="0" w:firstLine="0"/>
      </w:pPr>
      <w:rPr>
        <w:rFonts w:hint="eastAsia" w:ascii="黑体" w:eastAsia="黑体"/>
        <w:b w:val="0"/>
        <w:i w:val="0"/>
        <w:sz w:val="21"/>
      </w:rPr>
    </w:lvl>
    <w:lvl w:ilvl="6" w:tentative="0">
      <w:start w:val="1"/>
      <w:numFmt w:val="decimal"/>
      <w:pStyle w:val="103"/>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9">
    <w:nsid w:val="6DBF04F4"/>
    <w:multiLevelType w:val="multilevel"/>
    <w:tmpl w:val="6DBF04F4"/>
    <w:lvl w:ilvl="0" w:tentative="0">
      <w:start w:val="1"/>
      <w:numFmt w:val="none"/>
      <w:pStyle w:val="179"/>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30">
    <w:nsid w:val="6DF35F19"/>
    <w:multiLevelType w:val="multilevel"/>
    <w:tmpl w:val="6DF35F19"/>
    <w:lvl w:ilvl="0" w:tentative="0">
      <w:start w:val="1"/>
      <w:numFmt w:val="decimal"/>
      <w:pStyle w:val="115"/>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1">
    <w:nsid w:val="76933334"/>
    <w:multiLevelType w:val="multilevel"/>
    <w:tmpl w:val="76933334"/>
    <w:lvl w:ilvl="0" w:tentative="0">
      <w:start w:val="1"/>
      <w:numFmt w:val="none"/>
      <w:pStyle w:val="139"/>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8"/>
  </w:num>
  <w:num w:numId="3">
    <w:abstractNumId w:val="5"/>
  </w:num>
  <w:num w:numId="4">
    <w:abstractNumId w:val="24"/>
  </w:num>
  <w:num w:numId="5">
    <w:abstractNumId w:val="19"/>
  </w:num>
  <w:num w:numId="6">
    <w:abstractNumId w:val="14"/>
  </w:num>
  <w:num w:numId="7">
    <w:abstractNumId w:val="8"/>
  </w:num>
  <w:num w:numId="8">
    <w:abstractNumId w:val="3"/>
  </w:num>
  <w:num w:numId="9">
    <w:abstractNumId w:val="10"/>
  </w:num>
  <w:num w:numId="10">
    <w:abstractNumId w:val="17"/>
  </w:num>
  <w:num w:numId="11">
    <w:abstractNumId w:val="26"/>
  </w:num>
  <w:num w:numId="12">
    <w:abstractNumId w:val="12"/>
  </w:num>
  <w:num w:numId="13">
    <w:abstractNumId w:val="13"/>
  </w:num>
  <w:num w:numId="14">
    <w:abstractNumId w:val="7"/>
  </w:num>
  <w:num w:numId="15">
    <w:abstractNumId w:val="20"/>
  </w:num>
  <w:num w:numId="16">
    <w:abstractNumId w:val="22"/>
  </w:num>
  <w:num w:numId="17">
    <w:abstractNumId w:val="18"/>
  </w:num>
  <w:num w:numId="18">
    <w:abstractNumId w:val="30"/>
  </w:num>
  <w:num w:numId="19">
    <w:abstractNumId w:val="16"/>
  </w:num>
  <w:num w:numId="20">
    <w:abstractNumId w:val="1"/>
  </w:num>
  <w:num w:numId="21">
    <w:abstractNumId w:val="11"/>
  </w:num>
  <w:num w:numId="22">
    <w:abstractNumId w:val="31"/>
  </w:num>
  <w:num w:numId="23">
    <w:abstractNumId w:val="21"/>
  </w:num>
  <w:num w:numId="24">
    <w:abstractNumId w:val="6"/>
  </w:num>
  <w:num w:numId="25">
    <w:abstractNumId w:val="27"/>
  </w:num>
  <w:num w:numId="26">
    <w:abstractNumId w:val="29"/>
  </w:num>
  <w:num w:numId="27">
    <w:abstractNumId w:val="2"/>
  </w:num>
  <w:num w:numId="28">
    <w:abstractNumId w:val="4"/>
  </w:num>
  <w:num w:numId="29">
    <w:abstractNumId w:val="15"/>
  </w:num>
  <w:num w:numId="30">
    <w:abstractNumId w:val="25"/>
  </w:num>
  <w:num w:numId="31">
    <w:abstractNumId w:val="23"/>
  </w:num>
  <w:num w:numId="3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8"/>
  <w:doNotDisplayPageBoundaries w:val="1"/>
  <w:bordersDoNotSurroundHeader w:val="1"/>
  <w:bordersDoNotSurroundFooter w:val="1"/>
  <w:attachedTemplate r:id="rId1"/>
  <w:documentProtection w:edit="forms" w:enforcement="1" w:cryptProviderType="rsaFull" w:cryptAlgorithmClass="hash" w:cryptAlgorithmType="typeAny" w:cryptAlgorithmSid="4" w:cryptSpinCount="100000" w:hash="Uoy3zvCP32lV67YX/ByktrIlF1U=" w:salt="A9RyXrmIjvwc/ND4T/sKiA=="/>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69C1"/>
    <w:rsid w:val="0000040A"/>
    <w:rsid w:val="00000A94"/>
    <w:rsid w:val="00001972"/>
    <w:rsid w:val="00001D9A"/>
    <w:rsid w:val="00007B3A"/>
    <w:rsid w:val="000107E0"/>
    <w:rsid w:val="00011FDE"/>
    <w:rsid w:val="00012FFD"/>
    <w:rsid w:val="00014162"/>
    <w:rsid w:val="00014340"/>
    <w:rsid w:val="00016A9C"/>
    <w:rsid w:val="00016CD1"/>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3C67"/>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2B3"/>
    <w:rsid w:val="000A0B60"/>
    <w:rsid w:val="000A0EB8"/>
    <w:rsid w:val="000A19FC"/>
    <w:rsid w:val="000A296B"/>
    <w:rsid w:val="000A29C2"/>
    <w:rsid w:val="000A7311"/>
    <w:rsid w:val="000B060F"/>
    <w:rsid w:val="000B1592"/>
    <w:rsid w:val="000B1FF2"/>
    <w:rsid w:val="000B34DC"/>
    <w:rsid w:val="000B34F0"/>
    <w:rsid w:val="000B3CDA"/>
    <w:rsid w:val="000B62D8"/>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1F2D"/>
    <w:rsid w:val="000E3D5A"/>
    <w:rsid w:val="000E4C9E"/>
    <w:rsid w:val="000E6FD7"/>
    <w:rsid w:val="000E7144"/>
    <w:rsid w:val="000F06E1"/>
    <w:rsid w:val="000F0E3C"/>
    <w:rsid w:val="000F19D5"/>
    <w:rsid w:val="000F4050"/>
    <w:rsid w:val="000F4AEA"/>
    <w:rsid w:val="000F67E9"/>
    <w:rsid w:val="00104926"/>
    <w:rsid w:val="00113B1E"/>
    <w:rsid w:val="0011711C"/>
    <w:rsid w:val="00122E52"/>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6D0"/>
    <w:rsid w:val="00170804"/>
    <w:rsid w:val="001708E9"/>
    <w:rsid w:val="0017340B"/>
    <w:rsid w:val="00173FB1"/>
    <w:rsid w:val="00176DFD"/>
    <w:rsid w:val="00182983"/>
    <w:rsid w:val="001852C9"/>
    <w:rsid w:val="00187A0B"/>
    <w:rsid w:val="00190087"/>
    <w:rsid w:val="001913C4"/>
    <w:rsid w:val="0019348F"/>
    <w:rsid w:val="00193A07"/>
    <w:rsid w:val="00194C95"/>
    <w:rsid w:val="00195C34"/>
    <w:rsid w:val="00196EF5"/>
    <w:rsid w:val="001A04AB"/>
    <w:rsid w:val="001A1A53"/>
    <w:rsid w:val="001A234A"/>
    <w:rsid w:val="001A2D7E"/>
    <w:rsid w:val="001A4CF3"/>
    <w:rsid w:val="001A6696"/>
    <w:rsid w:val="001B06E8"/>
    <w:rsid w:val="001B2D1B"/>
    <w:rsid w:val="001B3DE0"/>
    <w:rsid w:val="001B71D0"/>
    <w:rsid w:val="001B71EE"/>
    <w:rsid w:val="001C04A8"/>
    <w:rsid w:val="001C2A6E"/>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5934"/>
    <w:rsid w:val="00246021"/>
    <w:rsid w:val="0024666E"/>
    <w:rsid w:val="00247F52"/>
    <w:rsid w:val="00250B25"/>
    <w:rsid w:val="00250BBE"/>
    <w:rsid w:val="002515C2"/>
    <w:rsid w:val="0025194F"/>
    <w:rsid w:val="0026148A"/>
    <w:rsid w:val="00262696"/>
    <w:rsid w:val="00263D25"/>
    <w:rsid w:val="002643C3"/>
    <w:rsid w:val="00264A0C"/>
    <w:rsid w:val="00264C28"/>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2B06"/>
    <w:rsid w:val="002A3AAB"/>
    <w:rsid w:val="002A4CEA"/>
    <w:rsid w:val="002A4F27"/>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1C39"/>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2FBC"/>
    <w:rsid w:val="00323036"/>
    <w:rsid w:val="00324D13"/>
    <w:rsid w:val="00324EDD"/>
    <w:rsid w:val="003331E4"/>
    <w:rsid w:val="00336C64"/>
    <w:rsid w:val="00337162"/>
    <w:rsid w:val="003402F0"/>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5E63"/>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C5DF1"/>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3802"/>
    <w:rsid w:val="00404869"/>
    <w:rsid w:val="00405884"/>
    <w:rsid w:val="00407D39"/>
    <w:rsid w:val="0041477A"/>
    <w:rsid w:val="004167A3"/>
    <w:rsid w:val="00423371"/>
    <w:rsid w:val="00432DAA"/>
    <w:rsid w:val="00434305"/>
    <w:rsid w:val="00435DF7"/>
    <w:rsid w:val="0044083F"/>
    <w:rsid w:val="00440A24"/>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23A"/>
    <w:rsid w:val="004A63FA"/>
    <w:rsid w:val="004A67AD"/>
    <w:rsid w:val="004A6A3D"/>
    <w:rsid w:val="004B0272"/>
    <w:rsid w:val="004B2701"/>
    <w:rsid w:val="004B2E1B"/>
    <w:rsid w:val="004B2F86"/>
    <w:rsid w:val="004B3AA8"/>
    <w:rsid w:val="004B3E93"/>
    <w:rsid w:val="004C1FBC"/>
    <w:rsid w:val="004C25A2"/>
    <w:rsid w:val="004C3F1D"/>
    <w:rsid w:val="004C458D"/>
    <w:rsid w:val="004C7556"/>
    <w:rsid w:val="004C7E8B"/>
    <w:rsid w:val="004C7E9D"/>
    <w:rsid w:val="004C7F67"/>
    <w:rsid w:val="004D076D"/>
    <w:rsid w:val="004D0EF1"/>
    <w:rsid w:val="004D17EE"/>
    <w:rsid w:val="004D2253"/>
    <w:rsid w:val="004D3986"/>
    <w:rsid w:val="004D4406"/>
    <w:rsid w:val="004D7C42"/>
    <w:rsid w:val="004E0465"/>
    <w:rsid w:val="004E127B"/>
    <w:rsid w:val="004E190F"/>
    <w:rsid w:val="004E1C0A"/>
    <w:rsid w:val="004E1D2D"/>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2A9"/>
    <w:rsid w:val="00505767"/>
    <w:rsid w:val="005073F0"/>
    <w:rsid w:val="00510A7B"/>
    <w:rsid w:val="00512F6E"/>
    <w:rsid w:val="00513038"/>
    <w:rsid w:val="00514174"/>
    <w:rsid w:val="00516088"/>
    <w:rsid w:val="00516B0B"/>
    <w:rsid w:val="005220EC"/>
    <w:rsid w:val="00523F95"/>
    <w:rsid w:val="00524D65"/>
    <w:rsid w:val="00525B16"/>
    <w:rsid w:val="00532977"/>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0AC8"/>
    <w:rsid w:val="00551F6F"/>
    <w:rsid w:val="00555044"/>
    <w:rsid w:val="00561475"/>
    <w:rsid w:val="00562308"/>
    <w:rsid w:val="0056487B"/>
    <w:rsid w:val="0056493D"/>
    <w:rsid w:val="00564FB9"/>
    <w:rsid w:val="00573D9E"/>
    <w:rsid w:val="005761C7"/>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1B3F"/>
    <w:rsid w:val="005D4171"/>
    <w:rsid w:val="005D6A95"/>
    <w:rsid w:val="005D6B2C"/>
    <w:rsid w:val="005D6D9C"/>
    <w:rsid w:val="005E2335"/>
    <w:rsid w:val="005E34CA"/>
    <w:rsid w:val="005E36E5"/>
    <w:rsid w:val="005E3C18"/>
    <w:rsid w:val="005E4250"/>
    <w:rsid w:val="005E6812"/>
    <w:rsid w:val="005E7881"/>
    <w:rsid w:val="005E78E0"/>
    <w:rsid w:val="005F0D9C"/>
    <w:rsid w:val="005F284E"/>
    <w:rsid w:val="006015CE"/>
    <w:rsid w:val="00604784"/>
    <w:rsid w:val="006050B0"/>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57A"/>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A07AA"/>
    <w:rsid w:val="006A25E5"/>
    <w:rsid w:val="006A2B46"/>
    <w:rsid w:val="006A336D"/>
    <w:rsid w:val="006A37B9"/>
    <w:rsid w:val="006B2672"/>
    <w:rsid w:val="006B54BF"/>
    <w:rsid w:val="006B5F44"/>
    <w:rsid w:val="006B5F90"/>
    <w:rsid w:val="006B62E4"/>
    <w:rsid w:val="006C1BBA"/>
    <w:rsid w:val="006C2079"/>
    <w:rsid w:val="006C4082"/>
    <w:rsid w:val="006C5A62"/>
    <w:rsid w:val="006C5D68"/>
    <w:rsid w:val="006C6976"/>
    <w:rsid w:val="006C6DD0"/>
    <w:rsid w:val="006D04EA"/>
    <w:rsid w:val="006D16C4"/>
    <w:rsid w:val="006D2B4E"/>
    <w:rsid w:val="006D3E96"/>
    <w:rsid w:val="006D4515"/>
    <w:rsid w:val="006D4BB1"/>
    <w:rsid w:val="006D6593"/>
    <w:rsid w:val="006F03A8"/>
    <w:rsid w:val="006F1B14"/>
    <w:rsid w:val="006F2ACA"/>
    <w:rsid w:val="006F2ADC"/>
    <w:rsid w:val="006F2BFE"/>
    <w:rsid w:val="006F31E9"/>
    <w:rsid w:val="006F6284"/>
    <w:rsid w:val="007002C5"/>
    <w:rsid w:val="00704387"/>
    <w:rsid w:val="0070464D"/>
    <w:rsid w:val="00707669"/>
    <w:rsid w:val="00711CBA"/>
    <w:rsid w:val="00711FB5"/>
    <w:rsid w:val="00712A01"/>
    <w:rsid w:val="00714F58"/>
    <w:rsid w:val="00722FBF"/>
    <w:rsid w:val="00722FC2"/>
    <w:rsid w:val="00724BF6"/>
    <w:rsid w:val="00724E1B"/>
    <w:rsid w:val="00725949"/>
    <w:rsid w:val="00727FA2"/>
    <w:rsid w:val="007322D9"/>
    <w:rsid w:val="00732BC0"/>
    <w:rsid w:val="0073575C"/>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ADC"/>
    <w:rsid w:val="007A6FD9"/>
    <w:rsid w:val="007A7FFA"/>
    <w:rsid w:val="007B04EB"/>
    <w:rsid w:val="007B0D4F"/>
    <w:rsid w:val="007B2E36"/>
    <w:rsid w:val="007B5A3D"/>
    <w:rsid w:val="007B5B95"/>
    <w:rsid w:val="007B6032"/>
    <w:rsid w:val="007B68EA"/>
    <w:rsid w:val="007B7453"/>
    <w:rsid w:val="007C2D89"/>
    <w:rsid w:val="007C4593"/>
    <w:rsid w:val="007C5309"/>
    <w:rsid w:val="007C6069"/>
    <w:rsid w:val="007D06C4"/>
    <w:rsid w:val="007D1352"/>
    <w:rsid w:val="007D2508"/>
    <w:rsid w:val="007D3451"/>
    <w:rsid w:val="007D346A"/>
    <w:rsid w:val="007D6518"/>
    <w:rsid w:val="007D76BD"/>
    <w:rsid w:val="007E0714"/>
    <w:rsid w:val="007E0BF1"/>
    <w:rsid w:val="007F0ED8"/>
    <w:rsid w:val="007F0F63"/>
    <w:rsid w:val="007F13B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3FC6"/>
    <w:rsid w:val="00825138"/>
    <w:rsid w:val="008269DD"/>
    <w:rsid w:val="00830621"/>
    <w:rsid w:val="0083348C"/>
    <w:rsid w:val="008355C6"/>
    <w:rsid w:val="00835798"/>
    <w:rsid w:val="008373D3"/>
    <w:rsid w:val="00840617"/>
    <w:rsid w:val="00840F84"/>
    <w:rsid w:val="00842A47"/>
    <w:rsid w:val="00843C13"/>
    <w:rsid w:val="00843DEF"/>
    <w:rsid w:val="008454F8"/>
    <w:rsid w:val="0085173A"/>
    <w:rsid w:val="00852647"/>
    <w:rsid w:val="008603CE"/>
    <w:rsid w:val="008620FC"/>
    <w:rsid w:val="008627A5"/>
    <w:rsid w:val="00863E05"/>
    <w:rsid w:val="00865ACA"/>
    <w:rsid w:val="00865D28"/>
    <w:rsid w:val="00865F85"/>
    <w:rsid w:val="00867C10"/>
    <w:rsid w:val="00870439"/>
    <w:rsid w:val="00870DA1"/>
    <w:rsid w:val="00872FD5"/>
    <w:rsid w:val="00883C53"/>
    <w:rsid w:val="00883F93"/>
    <w:rsid w:val="00884DB3"/>
    <w:rsid w:val="00885A9D"/>
    <w:rsid w:val="008864F6"/>
    <w:rsid w:val="0089049D"/>
    <w:rsid w:val="008928C9"/>
    <w:rsid w:val="008930CB"/>
    <w:rsid w:val="008938DC"/>
    <w:rsid w:val="00893FD1"/>
    <w:rsid w:val="00894836"/>
    <w:rsid w:val="00894CDA"/>
    <w:rsid w:val="00895172"/>
    <w:rsid w:val="00895680"/>
    <w:rsid w:val="00896DFF"/>
    <w:rsid w:val="0089762C"/>
    <w:rsid w:val="008A173B"/>
    <w:rsid w:val="008A1893"/>
    <w:rsid w:val="008A1B3A"/>
    <w:rsid w:val="008A1FF0"/>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129C"/>
    <w:rsid w:val="00953604"/>
    <w:rsid w:val="0095496B"/>
    <w:rsid w:val="00960F1E"/>
    <w:rsid w:val="009610DC"/>
    <w:rsid w:val="00961490"/>
    <w:rsid w:val="00962A7B"/>
    <w:rsid w:val="0096381A"/>
    <w:rsid w:val="00965E04"/>
    <w:rsid w:val="009674AD"/>
    <w:rsid w:val="00970CDC"/>
    <w:rsid w:val="0097416B"/>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C672E"/>
    <w:rsid w:val="009D112C"/>
    <w:rsid w:val="009D1385"/>
    <w:rsid w:val="009D47FA"/>
    <w:rsid w:val="009D4C5B"/>
    <w:rsid w:val="009D50D2"/>
    <w:rsid w:val="009D6BCA"/>
    <w:rsid w:val="009E0F62"/>
    <w:rsid w:val="009E4A58"/>
    <w:rsid w:val="009E5A2D"/>
    <w:rsid w:val="009E5AB2"/>
    <w:rsid w:val="009E6219"/>
    <w:rsid w:val="009E76D3"/>
    <w:rsid w:val="009F03B3"/>
    <w:rsid w:val="00A0096C"/>
    <w:rsid w:val="00A01757"/>
    <w:rsid w:val="00A028C0"/>
    <w:rsid w:val="00A02BAE"/>
    <w:rsid w:val="00A0667C"/>
    <w:rsid w:val="00A069C1"/>
    <w:rsid w:val="00A06A6B"/>
    <w:rsid w:val="00A07E47"/>
    <w:rsid w:val="00A129D0"/>
    <w:rsid w:val="00A12C33"/>
    <w:rsid w:val="00A138BA"/>
    <w:rsid w:val="00A14C8E"/>
    <w:rsid w:val="00A153D9"/>
    <w:rsid w:val="00A15F09"/>
    <w:rsid w:val="00A169B6"/>
    <w:rsid w:val="00A2271D"/>
    <w:rsid w:val="00A237D5"/>
    <w:rsid w:val="00A268BC"/>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13B1"/>
    <w:rsid w:val="00A648CD"/>
    <w:rsid w:val="00A6537A"/>
    <w:rsid w:val="00A67866"/>
    <w:rsid w:val="00A70B07"/>
    <w:rsid w:val="00A723F8"/>
    <w:rsid w:val="00A7294F"/>
    <w:rsid w:val="00A76B9E"/>
    <w:rsid w:val="00A77CCB"/>
    <w:rsid w:val="00A80A3C"/>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352"/>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4B6"/>
    <w:rsid w:val="00B31FB1"/>
    <w:rsid w:val="00B323BF"/>
    <w:rsid w:val="00B33952"/>
    <w:rsid w:val="00B33C5E"/>
    <w:rsid w:val="00B342F4"/>
    <w:rsid w:val="00B34369"/>
    <w:rsid w:val="00B34DC2"/>
    <w:rsid w:val="00B36A0C"/>
    <w:rsid w:val="00B378E5"/>
    <w:rsid w:val="00B4346D"/>
    <w:rsid w:val="00B440F4"/>
    <w:rsid w:val="00B4452D"/>
    <w:rsid w:val="00B447A5"/>
    <w:rsid w:val="00B4654C"/>
    <w:rsid w:val="00B47293"/>
    <w:rsid w:val="00B50E50"/>
    <w:rsid w:val="00B52120"/>
    <w:rsid w:val="00B54ABC"/>
    <w:rsid w:val="00B56FBE"/>
    <w:rsid w:val="00B60ACF"/>
    <w:rsid w:val="00B62B58"/>
    <w:rsid w:val="00B63594"/>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3730"/>
    <w:rsid w:val="00BB5F8F"/>
    <w:rsid w:val="00BB657A"/>
    <w:rsid w:val="00BC1A4E"/>
    <w:rsid w:val="00BC4950"/>
    <w:rsid w:val="00BC5DC7"/>
    <w:rsid w:val="00BC6B8B"/>
    <w:rsid w:val="00BC73D8"/>
    <w:rsid w:val="00BD52D7"/>
    <w:rsid w:val="00BD5AD2"/>
    <w:rsid w:val="00BE0FB3"/>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D5EF6"/>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76D"/>
    <w:rsid w:val="00D1489E"/>
    <w:rsid w:val="00D20737"/>
    <w:rsid w:val="00D21E81"/>
    <w:rsid w:val="00D223DE"/>
    <w:rsid w:val="00D25E37"/>
    <w:rsid w:val="00D2661A"/>
    <w:rsid w:val="00D26902"/>
    <w:rsid w:val="00D27582"/>
    <w:rsid w:val="00D27EC4"/>
    <w:rsid w:val="00D32719"/>
    <w:rsid w:val="00D33333"/>
    <w:rsid w:val="00D352A2"/>
    <w:rsid w:val="00D4162B"/>
    <w:rsid w:val="00D4514F"/>
    <w:rsid w:val="00D451E2"/>
    <w:rsid w:val="00D459DB"/>
    <w:rsid w:val="00D45E56"/>
    <w:rsid w:val="00D45E89"/>
    <w:rsid w:val="00D45E8D"/>
    <w:rsid w:val="00D466AE"/>
    <w:rsid w:val="00D4734F"/>
    <w:rsid w:val="00D51BF3"/>
    <w:rsid w:val="00D61E1B"/>
    <w:rsid w:val="00D66846"/>
    <w:rsid w:val="00D675FB"/>
    <w:rsid w:val="00D71F25"/>
    <w:rsid w:val="00D72A9C"/>
    <w:rsid w:val="00D77031"/>
    <w:rsid w:val="00D84941"/>
    <w:rsid w:val="00D84FA1"/>
    <w:rsid w:val="00D851F0"/>
    <w:rsid w:val="00D86DB7"/>
    <w:rsid w:val="00D87BF5"/>
    <w:rsid w:val="00D90721"/>
    <w:rsid w:val="00D926D0"/>
    <w:rsid w:val="00D93030"/>
    <w:rsid w:val="00D93A6F"/>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052B"/>
    <w:rsid w:val="00E01138"/>
    <w:rsid w:val="00E02DFB"/>
    <w:rsid w:val="00E030F9"/>
    <w:rsid w:val="00E0311A"/>
    <w:rsid w:val="00E03138"/>
    <w:rsid w:val="00E06404"/>
    <w:rsid w:val="00E11A85"/>
    <w:rsid w:val="00E11C21"/>
    <w:rsid w:val="00E12495"/>
    <w:rsid w:val="00E12A31"/>
    <w:rsid w:val="00E15CCD"/>
    <w:rsid w:val="00E202EF"/>
    <w:rsid w:val="00E210B5"/>
    <w:rsid w:val="00E23B0E"/>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4203"/>
    <w:rsid w:val="00E664CC"/>
    <w:rsid w:val="00E70388"/>
    <w:rsid w:val="00E70F92"/>
    <w:rsid w:val="00E74313"/>
    <w:rsid w:val="00E74C54"/>
    <w:rsid w:val="00E76CE0"/>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47BE"/>
    <w:rsid w:val="00F06D37"/>
    <w:rsid w:val="00F07B9D"/>
    <w:rsid w:val="00F11586"/>
    <w:rsid w:val="00F1183B"/>
    <w:rsid w:val="00F11C9F"/>
    <w:rsid w:val="00F12263"/>
    <w:rsid w:val="00F1409D"/>
    <w:rsid w:val="00F14214"/>
    <w:rsid w:val="00F157A9"/>
    <w:rsid w:val="00F16F00"/>
    <w:rsid w:val="00F25BB6"/>
    <w:rsid w:val="00F26B7E"/>
    <w:rsid w:val="00F274E0"/>
    <w:rsid w:val="00F27A3B"/>
    <w:rsid w:val="00F32780"/>
    <w:rsid w:val="00F33817"/>
    <w:rsid w:val="00F4029E"/>
    <w:rsid w:val="00F420D5"/>
    <w:rsid w:val="00F451EA"/>
    <w:rsid w:val="00F45447"/>
    <w:rsid w:val="00F456C6"/>
    <w:rsid w:val="00F4577B"/>
    <w:rsid w:val="00F46496"/>
    <w:rsid w:val="00F474D0"/>
    <w:rsid w:val="00F50179"/>
    <w:rsid w:val="00F515EE"/>
    <w:rsid w:val="00F56511"/>
    <w:rsid w:val="00F6194E"/>
    <w:rsid w:val="00F623AC"/>
    <w:rsid w:val="00F64092"/>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C5E1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6DFF7FB9"/>
    <w:rsid w:val="F6FF0D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semiHidden="0" w:name="toc 1"/>
    <w:lsdException w:uiPriority="39" w:semiHidden="0" w:name="toc 2"/>
    <w:lsdException w:uiPriority="39" w:semiHidden="0" w:name="toc 3"/>
    <w:lsdException w:uiPriority="39" w:semiHidden="0" w:name="toc 4"/>
    <w:lsdException w:uiPriority="39" w:semiHidden="0" w:name="toc 5"/>
    <w:lsdException w:uiPriority="39" w:semiHidden="0" w:name="toc 6"/>
    <w:lsdException w:uiPriority="39" w:semiHidden="0" w:name="toc 7"/>
    <w:lsdException w:uiPriority="0" w:name="toc 8"/>
    <w:lsdException w:uiPriority="0" w:name="toc 9"/>
    <w:lsdException w:unhideWhenUsed="0" w:uiPriority="0" w:semiHidden="0" w:name="Normal Indent"/>
    <w:lsdException w:unhideWhenUsed="0" w:uiPriority="0"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35" w:name="caption"/>
    <w:lsdException w:unhideWhenUsed="0" w:uiPriority="0" w:name="table of figures"/>
    <w:lsdException w:uiPriority="99" w:name="envelope address"/>
    <w:lsdException w:uiPriority="99" w:name="envelope return"/>
    <w:lsdException w:unhideWhenUsed="0" w:uiPriority="0"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nhideWhenUsed="0" w:uiPriority="99" w:semiHidden="0"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semiHidden/>
    <w:unhideWhenUsed/>
    <w:uiPriority w:val="1"/>
  </w:style>
  <w:style w:type="table" w:default="1" w:styleId="26">
    <w:name w:val="Normal Table"/>
    <w:semiHidden/>
    <w:unhideWhenUsed/>
    <w:uiPriority w:val="99"/>
    <w:tblPr>
      <w:tblCellMar>
        <w:top w:w="0" w:type="dxa"/>
        <w:left w:w="108" w:type="dxa"/>
        <w:bottom w:w="0" w:type="dxa"/>
        <w:right w:w="108" w:type="dxa"/>
      </w:tblCellMar>
    </w:tblPr>
  </w:style>
  <w:style w:type="paragraph" w:styleId="11">
    <w:name w:val="toc 7"/>
    <w:basedOn w:val="1"/>
    <w:next w:val="1"/>
    <w:autoRedefine/>
    <w:unhideWhenUsed/>
    <w:uiPriority w:val="39"/>
    <w:pPr>
      <w:tabs>
        <w:tab w:val="right" w:leader="dot" w:pos="9344"/>
      </w:tabs>
      <w:spacing w:line="300" w:lineRule="exact"/>
      <w:ind w:left="1259"/>
    </w:pPr>
    <w:rPr>
      <w:rFonts w:ascii="宋体"/>
    </w:rPr>
  </w:style>
  <w:style w:type="paragraph" w:styleId="12">
    <w:name w:val="Normal Indent"/>
    <w:basedOn w:val="1"/>
    <w:uiPriority w:val="0"/>
    <w:pPr>
      <w:ind w:firstLine="420"/>
    </w:pPr>
  </w:style>
  <w:style w:type="paragraph" w:styleId="13">
    <w:name w:val="Body Text"/>
    <w:basedOn w:val="1"/>
    <w:link w:val="86"/>
    <w:uiPriority w:val="0"/>
    <w:pPr>
      <w:spacing w:after="120"/>
    </w:pPr>
  </w:style>
  <w:style w:type="paragraph" w:styleId="14">
    <w:name w:val="toc 5"/>
    <w:basedOn w:val="1"/>
    <w:next w:val="1"/>
    <w:autoRedefine/>
    <w:unhideWhenUsed/>
    <w:uiPriority w:val="39"/>
    <w:pPr>
      <w:ind w:left="839"/>
    </w:pPr>
    <w:rPr>
      <w:rFonts w:ascii="宋体"/>
    </w:rPr>
  </w:style>
  <w:style w:type="paragraph" w:styleId="15">
    <w:name w:val="toc 3"/>
    <w:basedOn w:val="1"/>
    <w:next w:val="1"/>
    <w:autoRedefine/>
    <w:unhideWhenUsed/>
    <w:uiPriority w:val="39"/>
    <w:pPr>
      <w:spacing w:line="300" w:lineRule="exact"/>
      <w:ind w:left="420"/>
    </w:pPr>
    <w:rPr>
      <w:rFonts w:ascii="宋体"/>
    </w:rPr>
  </w:style>
  <w:style w:type="paragraph" w:styleId="16">
    <w:name w:val="Balloon Text"/>
    <w:basedOn w:val="1"/>
    <w:link w:val="45"/>
    <w:semiHidden/>
    <w:unhideWhenUsed/>
    <w:uiPriority w:val="99"/>
    <w:rPr>
      <w:sz w:val="18"/>
      <w:szCs w:val="18"/>
    </w:rPr>
  </w:style>
  <w:style w:type="paragraph" w:styleId="17">
    <w:name w:val="footer"/>
    <w:basedOn w:val="1"/>
    <w:link w:val="44"/>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uiPriority w:val="39"/>
    <w:rPr>
      <w:rFonts w:ascii="宋体"/>
    </w:rPr>
  </w:style>
  <w:style w:type="paragraph" w:styleId="20">
    <w:name w:val="toc 4"/>
    <w:basedOn w:val="1"/>
    <w:next w:val="1"/>
    <w:autoRedefine/>
    <w:unhideWhenUsed/>
    <w:uiPriority w:val="39"/>
    <w:pPr>
      <w:tabs>
        <w:tab w:val="right" w:leader="dot" w:pos="9344"/>
      </w:tabs>
      <w:spacing w:line="300" w:lineRule="exact"/>
      <w:ind w:left="629"/>
    </w:pPr>
    <w:rPr>
      <w:rFonts w:ascii="宋体"/>
    </w:rPr>
  </w:style>
  <w:style w:type="paragraph" w:styleId="21">
    <w:name w:val="footnote text"/>
    <w:basedOn w:val="1"/>
    <w:next w:val="1"/>
    <w:link w:val="99"/>
    <w:semiHidden/>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uiPriority w:val="39"/>
    <w:pPr>
      <w:spacing w:line="300" w:lineRule="exact"/>
      <w:ind w:left="1049"/>
    </w:pPr>
    <w:rPr>
      <w:rFonts w:ascii="宋体"/>
    </w:rPr>
  </w:style>
  <w:style w:type="paragraph" w:styleId="23">
    <w:name w:val="table of figures"/>
    <w:basedOn w:val="1"/>
    <w:next w:val="1"/>
    <w:semiHidden/>
    <w:uiPriority w:val="0"/>
    <w:pPr>
      <w:adjustRightInd/>
      <w:spacing w:line="240" w:lineRule="auto"/>
      <w:jc w:val="left"/>
    </w:pPr>
    <w:rPr>
      <w:szCs w:val="24"/>
    </w:rPr>
  </w:style>
  <w:style w:type="paragraph" w:styleId="24">
    <w:name w:val="toc 2"/>
    <w:basedOn w:val="1"/>
    <w:next w:val="1"/>
    <w:autoRedefine/>
    <w:unhideWhenUsed/>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0"/>
    <w:rPr>
      <w:b/>
      <w:bCs/>
    </w:rPr>
  </w:style>
  <w:style w:type="character" w:styleId="30">
    <w:name w:val="page number"/>
    <w:uiPriority w:val="0"/>
    <w:rPr>
      <w:rFonts w:ascii="宋体" w:hAnsi="Times New Roman" w:eastAsia="宋体"/>
      <w:sz w:val="18"/>
    </w:rPr>
  </w:style>
  <w:style w:type="character" w:styleId="31">
    <w:name w:val="Emphasis"/>
    <w:qFormat/>
    <w:uiPriority w:val="20"/>
    <w:rPr>
      <w:i/>
      <w:iCs/>
    </w:rPr>
  </w:style>
  <w:style w:type="character" w:styleId="32">
    <w:name w:val="Hyperlink"/>
    <w:uiPriority w:val="99"/>
    <w:rPr>
      <w:rFonts w:ascii="宋体" w:hAnsi="Times New Roman" w:eastAsia="宋体"/>
      <w:color w:val="auto"/>
      <w:spacing w:val="0"/>
      <w:w w:val="100"/>
      <w:position w:val="0"/>
      <w:sz w:val="21"/>
      <w:u w:val="none"/>
      <w:vertAlign w:val="baseline"/>
    </w:rPr>
  </w:style>
  <w:style w:type="character" w:styleId="33">
    <w:name w:val="footnote reference"/>
    <w:semiHidden/>
    <w:uiPriority w:val="0"/>
    <w:rPr>
      <w:rFonts w:ascii="宋体" w:hAnsi="宋体" w:eastAsia="宋体" w:cs="Times New Roman"/>
      <w:spacing w:val="0"/>
      <w:sz w:val="18"/>
      <w:vertAlign w:val="superscript"/>
    </w:rPr>
  </w:style>
  <w:style w:type="character" w:customStyle="1" w:styleId="34">
    <w:name w:val="标题 1 字符"/>
    <w:link w:val="2"/>
    <w:uiPriority w:val="0"/>
    <w:rPr>
      <w:b/>
      <w:bCs/>
      <w:kern w:val="44"/>
      <w:sz w:val="44"/>
      <w:szCs w:val="44"/>
    </w:rPr>
  </w:style>
  <w:style w:type="character" w:customStyle="1" w:styleId="35">
    <w:name w:val="标题 2 字符"/>
    <w:link w:val="3"/>
    <w:uiPriority w:val="0"/>
    <w:rPr>
      <w:rFonts w:ascii="Arial" w:hAnsi="Arial" w:eastAsia="黑体"/>
      <w:b/>
      <w:bCs/>
      <w:kern w:val="2"/>
      <w:sz w:val="32"/>
      <w:szCs w:val="32"/>
    </w:rPr>
  </w:style>
  <w:style w:type="character" w:customStyle="1" w:styleId="36">
    <w:name w:val="标题 3 字符"/>
    <w:link w:val="4"/>
    <w:uiPriority w:val="0"/>
    <w:rPr>
      <w:b/>
      <w:bCs/>
      <w:kern w:val="2"/>
      <w:sz w:val="32"/>
      <w:szCs w:val="32"/>
    </w:rPr>
  </w:style>
  <w:style w:type="character" w:customStyle="1" w:styleId="37">
    <w:name w:val="标题 4 字符"/>
    <w:link w:val="5"/>
    <w:uiPriority w:val="0"/>
    <w:rPr>
      <w:rFonts w:ascii="Arial" w:hAnsi="Arial" w:eastAsia="黑体"/>
      <w:b/>
      <w:bCs/>
      <w:kern w:val="2"/>
      <w:sz w:val="28"/>
      <w:szCs w:val="28"/>
    </w:rPr>
  </w:style>
  <w:style w:type="character" w:customStyle="1" w:styleId="38">
    <w:name w:val="标题 5 字符"/>
    <w:link w:val="6"/>
    <w:uiPriority w:val="0"/>
    <w:rPr>
      <w:b/>
      <w:bCs/>
      <w:kern w:val="2"/>
      <w:sz w:val="28"/>
      <w:szCs w:val="28"/>
    </w:rPr>
  </w:style>
  <w:style w:type="character" w:customStyle="1" w:styleId="39">
    <w:name w:val="标题 6 字符"/>
    <w:link w:val="7"/>
    <w:uiPriority w:val="0"/>
    <w:rPr>
      <w:rFonts w:ascii="Arial" w:hAnsi="Arial" w:eastAsia="黑体"/>
      <w:b/>
      <w:bCs/>
      <w:kern w:val="2"/>
      <w:sz w:val="24"/>
      <w:szCs w:val="24"/>
    </w:rPr>
  </w:style>
  <w:style w:type="character" w:customStyle="1" w:styleId="40">
    <w:name w:val="标题 7 字符"/>
    <w:link w:val="8"/>
    <w:uiPriority w:val="0"/>
    <w:rPr>
      <w:b/>
      <w:bCs/>
      <w:kern w:val="2"/>
      <w:sz w:val="24"/>
      <w:szCs w:val="24"/>
    </w:rPr>
  </w:style>
  <w:style w:type="character" w:customStyle="1" w:styleId="41">
    <w:name w:val="标题 8 字符"/>
    <w:link w:val="9"/>
    <w:uiPriority w:val="0"/>
    <w:rPr>
      <w:rFonts w:ascii="Arial" w:hAnsi="Arial" w:eastAsia="黑体"/>
      <w:kern w:val="2"/>
      <w:sz w:val="24"/>
      <w:szCs w:val="24"/>
    </w:rPr>
  </w:style>
  <w:style w:type="character" w:customStyle="1" w:styleId="42">
    <w:name w:val="标题 9 字符"/>
    <w:link w:val="10"/>
    <w:uiPriority w:val="0"/>
    <w:rPr>
      <w:rFonts w:ascii="Arial" w:hAnsi="Arial" w:eastAsia="黑体"/>
      <w:kern w:val="2"/>
      <w:sz w:val="21"/>
      <w:szCs w:val="21"/>
    </w:rPr>
  </w:style>
  <w:style w:type="character" w:customStyle="1" w:styleId="43">
    <w:name w:val="页眉 字符"/>
    <w:link w:val="18"/>
    <w:uiPriority w:val="99"/>
    <w:rPr>
      <w:kern w:val="2"/>
      <w:sz w:val="18"/>
      <w:szCs w:val="18"/>
    </w:rPr>
  </w:style>
  <w:style w:type="character" w:customStyle="1" w:styleId="44">
    <w:name w:val="页脚 字符"/>
    <w:link w:val="17"/>
    <w:uiPriority w:val="99"/>
    <w:rPr>
      <w:rFonts w:ascii="宋体"/>
      <w:kern w:val="2"/>
      <w:sz w:val="18"/>
      <w:szCs w:val="18"/>
    </w:rPr>
  </w:style>
  <w:style w:type="character" w:customStyle="1" w:styleId="45">
    <w:name w:val="批注框文本 字符"/>
    <w:link w:val="16"/>
    <w:semiHidden/>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uiPriority w:val="29"/>
    <w:rPr>
      <w:i/>
      <w:iCs/>
      <w:color w:val="000000"/>
      <w:kern w:val="2"/>
      <w:sz w:val="21"/>
      <w:szCs w:val="21"/>
    </w:rPr>
  </w:style>
  <w:style w:type="character" w:customStyle="1" w:styleId="48">
    <w:name w:val="标题 字符"/>
    <w:link w:val="25"/>
    <w:qFormat/>
    <w:uiPriority w:val="0"/>
    <w:rPr>
      <w:rFonts w:ascii="Arial" w:hAnsi="Arial" w:cs="Arial"/>
      <w:b/>
      <w:bCs/>
      <w:kern w:val="2"/>
      <w:sz w:val="32"/>
      <w:szCs w:val="32"/>
    </w:rPr>
  </w:style>
  <w:style w:type="paragraph" w:customStyle="1" w:styleId="49">
    <w:name w:val="标准标志"/>
    <w:next w:val="1"/>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uiPriority w:val="0"/>
    <w:pPr>
      <w:ind w:left="198"/>
    </w:pPr>
    <w:rPr>
      <w:rFonts w:ascii="宋体" w:hAnsi="Times New Roman" w:eastAsia="宋体" w:cs="Times New Roman"/>
      <w:sz w:val="18"/>
      <w:lang w:val="en-US" w:eastAsia="zh-CN" w:bidi="ar-SA"/>
    </w:rPr>
  </w:style>
  <w:style w:type="paragraph" w:customStyle="1" w:styleId="52">
    <w:name w:val="标准文件_页脚奇数页"/>
    <w:uiPriority w:val="0"/>
    <w:pPr>
      <w:ind w:right="227"/>
      <w:jc w:val="right"/>
    </w:pPr>
    <w:rPr>
      <w:rFonts w:ascii="宋体" w:hAnsi="Times New Roman" w:eastAsia="宋体" w:cs="Times New Roman"/>
      <w:sz w:val="18"/>
      <w:lang w:val="en-US" w:eastAsia="zh-CN" w:bidi="ar-SA"/>
    </w:rPr>
  </w:style>
  <w:style w:type="paragraph" w:customStyle="1" w:styleId="53">
    <w:name w:val="标准书眉一"/>
    <w:uiPriority w:val="0"/>
    <w:pPr>
      <w:jc w:val="both"/>
    </w:pPr>
    <w:rPr>
      <w:rFonts w:ascii="Times New Roman" w:hAnsi="Times New Roman" w:eastAsia="宋体" w:cs="Times New Roman"/>
      <w:lang w:val="en-US" w:eastAsia="zh-CN" w:bidi="ar-SA"/>
    </w:rPr>
  </w:style>
  <w:style w:type="paragraph" w:customStyle="1" w:styleId="54">
    <w:name w:val="标准文件_ICS"/>
    <w:basedOn w:val="1"/>
    <w:uiPriority w:val="0"/>
    <w:pPr>
      <w:spacing w:line="0" w:lineRule="atLeast"/>
    </w:pPr>
    <w:rPr>
      <w:rFonts w:ascii="黑体" w:hAnsi="宋体" w:eastAsia="黑体"/>
    </w:rPr>
  </w:style>
  <w:style w:type="paragraph" w:customStyle="1" w:styleId="55">
    <w:name w:val="标准文件_标准正文"/>
    <w:basedOn w:val="1"/>
    <w:next w:val="56"/>
    <w:uiPriority w:val="0"/>
    <w:pPr>
      <w:snapToGrid w:val="0"/>
      <w:ind w:firstLine="200" w:firstLineChars="200"/>
    </w:pPr>
    <w:rPr>
      <w:kern w:val="0"/>
    </w:rPr>
  </w:style>
  <w:style w:type="paragraph" w:customStyle="1" w:styleId="56">
    <w:name w:val="标准文件_段"/>
    <w:link w:val="184"/>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标准文件_版本"/>
    <w:basedOn w:val="55"/>
    <w:uiPriority w:val="0"/>
    <w:pPr>
      <w:adjustRightInd/>
      <w:snapToGrid/>
      <w:ind w:firstLine="0" w:firstLineChars="0"/>
    </w:pPr>
    <w:rPr>
      <w:rFonts w:ascii="宋体" w:hAnsi="宋体"/>
      <w:kern w:val="2"/>
    </w:rPr>
  </w:style>
  <w:style w:type="paragraph" w:customStyle="1" w:styleId="58">
    <w:name w:val="标准文件_标准部门"/>
    <w:basedOn w:val="1"/>
    <w:uiPriority w:val="0"/>
    <w:pPr>
      <w:jc w:val="center"/>
    </w:pPr>
    <w:rPr>
      <w:rFonts w:ascii="黑体" w:eastAsia="黑体"/>
      <w:kern w:val="0"/>
      <w:sz w:val="44"/>
    </w:rPr>
  </w:style>
  <w:style w:type="paragraph" w:customStyle="1" w:styleId="59">
    <w:name w:val="标准文件_标准代替"/>
    <w:basedOn w:val="1"/>
    <w:next w:val="1"/>
    <w:uiPriority w:val="0"/>
    <w:pPr>
      <w:spacing w:line="310" w:lineRule="exact"/>
      <w:jc w:val="right"/>
    </w:pPr>
    <w:rPr>
      <w:rFonts w:ascii="宋体" w:hAnsi="宋体"/>
      <w:kern w:val="0"/>
    </w:rPr>
  </w:style>
  <w:style w:type="paragraph" w:customStyle="1" w:styleId="60">
    <w:name w:val="标准文件_标准名称标题"/>
    <w:basedOn w:val="1"/>
    <w:next w:val="1"/>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uiPriority w:val="0"/>
    <w:pPr>
      <w:jc w:val="left"/>
    </w:pPr>
  </w:style>
  <w:style w:type="paragraph" w:customStyle="1" w:styleId="63">
    <w:name w:val="标准文件_参考文献标题"/>
    <w:basedOn w:val="1"/>
    <w:next w:val="1"/>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5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6">
    <w:name w:val="标准文件_发布"/>
    <w:uiPriority w:val="0"/>
    <w:rPr>
      <w:rFonts w:ascii="黑体" w:eastAsia="黑体"/>
      <w:spacing w:val="0"/>
      <w:w w:val="100"/>
      <w:position w:val="3"/>
      <w:sz w:val="28"/>
    </w:rPr>
  </w:style>
  <w:style w:type="paragraph" w:customStyle="1" w:styleId="67">
    <w:name w:val="标准文件_方框数字列项"/>
    <w:basedOn w:val="56"/>
    <w:uiPriority w:val="0"/>
    <w:pPr>
      <w:numPr>
        <w:ilvl w:val="0"/>
        <w:numId w:val="3"/>
      </w:numPr>
      <w:ind w:firstLine="0" w:firstLineChars="0"/>
    </w:pPr>
  </w:style>
  <w:style w:type="paragraph" w:customStyle="1" w:styleId="68">
    <w:name w:val="标准文件_封面标准编号"/>
    <w:basedOn w:val="1"/>
    <w:next w:val="59"/>
    <w:uiPriority w:val="0"/>
    <w:pPr>
      <w:spacing w:line="310" w:lineRule="exact"/>
      <w:jc w:val="right"/>
    </w:pPr>
    <w:rPr>
      <w:rFonts w:ascii="黑体" w:eastAsia="黑体"/>
      <w:kern w:val="0"/>
      <w:sz w:val="28"/>
    </w:rPr>
  </w:style>
  <w:style w:type="paragraph" w:customStyle="1" w:styleId="69">
    <w:name w:val="标准文件_封面标准分类号"/>
    <w:basedOn w:val="1"/>
    <w:uiPriority w:val="0"/>
    <w:rPr>
      <w:rFonts w:ascii="黑体" w:eastAsia="黑体"/>
      <w:b/>
      <w:kern w:val="0"/>
      <w:sz w:val="28"/>
    </w:rPr>
  </w:style>
  <w:style w:type="paragraph" w:customStyle="1" w:styleId="70">
    <w:name w:val="标准文件_封面标准名称"/>
    <w:basedOn w:val="1"/>
    <w:uiPriority w:val="0"/>
    <w:pPr>
      <w:spacing w:line="240" w:lineRule="auto"/>
      <w:jc w:val="center"/>
    </w:pPr>
    <w:rPr>
      <w:rFonts w:ascii="黑体" w:eastAsia="黑体"/>
      <w:kern w:val="0"/>
      <w:sz w:val="52"/>
    </w:rPr>
  </w:style>
  <w:style w:type="paragraph" w:customStyle="1" w:styleId="71">
    <w:name w:val="标准文件_封面标准英文名称"/>
    <w:basedOn w:val="1"/>
    <w:uiPriority w:val="0"/>
    <w:pPr>
      <w:spacing w:line="240" w:lineRule="auto"/>
      <w:jc w:val="center"/>
    </w:pPr>
    <w:rPr>
      <w:rFonts w:ascii="黑体" w:eastAsia="黑体"/>
      <w:b/>
      <w:sz w:val="28"/>
    </w:rPr>
  </w:style>
  <w:style w:type="paragraph" w:customStyle="1" w:styleId="72">
    <w:name w:val="标准文件_封面发布日期"/>
    <w:basedOn w:val="1"/>
    <w:uiPriority w:val="0"/>
    <w:pPr>
      <w:spacing w:line="310" w:lineRule="exact"/>
    </w:pPr>
    <w:rPr>
      <w:rFonts w:ascii="黑体" w:eastAsia="黑体"/>
      <w:kern w:val="0"/>
      <w:sz w:val="28"/>
    </w:rPr>
  </w:style>
  <w:style w:type="paragraph" w:customStyle="1" w:styleId="73">
    <w:name w:val="标准文件_封面密级"/>
    <w:basedOn w:val="1"/>
    <w:uiPriority w:val="0"/>
    <w:rPr>
      <w:rFonts w:eastAsia="黑体"/>
      <w:sz w:val="32"/>
    </w:rPr>
  </w:style>
  <w:style w:type="paragraph" w:customStyle="1" w:styleId="74">
    <w:name w:val="标准文件_封面实施日期"/>
    <w:basedOn w:val="1"/>
    <w:uiPriority w:val="0"/>
    <w:pPr>
      <w:spacing w:line="310" w:lineRule="exact"/>
      <w:jc w:val="right"/>
    </w:pPr>
    <w:rPr>
      <w:rFonts w:ascii="黑体" w:eastAsia="黑体"/>
      <w:sz w:val="28"/>
    </w:rPr>
  </w:style>
  <w:style w:type="paragraph" w:customStyle="1" w:styleId="75">
    <w:name w:val="标准文件_封面抬头"/>
    <w:basedOn w:val="56"/>
    <w:uiPriority w:val="0"/>
    <w:pPr>
      <w:adjustRightInd w:val="0"/>
      <w:spacing w:line="800" w:lineRule="exact"/>
      <w:ind w:firstLine="0" w:firstLineChars="0"/>
      <w:jc w:val="distribute"/>
    </w:pPr>
    <w:rPr>
      <w:rFonts w:ascii="黑体" w:eastAsia="黑体"/>
      <w:b/>
      <w:sz w:val="64"/>
    </w:rPr>
  </w:style>
  <w:style w:type="paragraph" w:customStyle="1" w:styleId="76">
    <w:name w:val="标准文件_附录标识"/>
    <w:next w:val="5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7">
    <w:name w:val="标准文件_附录表标题"/>
    <w:next w:val="56"/>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8">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79">
    <w:name w:val="标准文件_附录二级条标题"/>
    <w:basedOn w:val="78"/>
    <w:next w:val="56"/>
    <w:qFormat/>
    <w:uiPriority w:val="0"/>
    <w:pPr>
      <w:widowControl/>
      <w:numPr>
        <w:ilvl w:val="2"/>
      </w:numPr>
      <w:wordWrap w:val="0"/>
      <w:overflowPunct w:val="0"/>
      <w:autoSpaceDE w:val="0"/>
      <w:autoSpaceDN w:val="0"/>
      <w:textAlignment w:val="baseline"/>
      <w:outlineLvl w:val="3"/>
    </w:pPr>
  </w:style>
  <w:style w:type="paragraph" w:customStyle="1" w:styleId="80">
    <w:name w:val="标准文件_附录公式"/>
    <w:basedOn w:val="55"/>
    <w:next w:val="55"/>
    <w:uiPriority w:val="0"/>
    <w:pPr>
      <w:tabs>
        <w:tab w:val="center" w:pos="4678"/>
        <w:tab w:val="right" w:leader="middleDot" w:pos="9356"/>
      </w:tabs>
      <w:spacing w:line="240" w:lineRule="auto"/>
      <w:ind w:right="-51" w:firstLine="0" w:firstLineChars="0"/>
    </w:pPr>
    <w:rPr>
      <w:rFonts w:ascii="宋体" w:hAnsi="宋体"/>
    </w:rPr>
  </w:style>
  <w:style w:type="paragraph" w:customStyle="1" w:styleId="81">
    <w:name w:val="标准文件_附录三级条标题"/>
    <w:next w:val="56"/>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2">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3">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4">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5">
    <w:name w:val="标准文件_附录英文标识"/>
    <w:next w:val="13"/>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6">
    <w:name w:val="正文文本 字符"/>
    <w:link w:val="13"/>
    <w:uiPriority w:val="0"/>
    <w:rPr>
      <w:kern w:val="2"/>
      <w:sz w:val="21"/>
      <w:szCs w:val="21"/>
    </w:rPr>
  </w:style>
  <w:style w:type="paragraph" w:customStyle="1" w:styleId="87">
    <w:name w:val="标准文件_附录章标题"/>
    <w:next w:val="56"/>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8">
    <w:name w:val="标准文件_公式后的破折号"/>
    <w:basedOn w:val="56"/>
    <w:next w:val="56"/>
    <w:uiPriority w:val="0"/>
    <w:pPr>
      <w:ind w:left="488" w:leftChars="200" w:hanging="289" w:hangingChars="290"/>
    </w:pPr>
  </w:style>
  <w:style w:type="paragraph" w:customStyle="1" w:styleId="89">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0">
    <w:name w:val="标准文件_目次、标准名称标题"/>
    <w:basedOn w:val="89"/>
    <w:next w:val="56"/>
    <w:uiPriority w:val="0"/>
    <w:pPr>
      <w:spacing w:line="460" w:lineRule="exact"/>
      <w:ind w:left="0" w:firstLine="0"/>
    </w:pPr>
  </w:style>
  <w:style w:type="paragraph" w:customStyle="1" w:styleId="91">
    <w:name w:val="标准文件_目录标题"/>
    <w:basedOn w:val="1"/>
    <w:uiPriority w:val="0"/>
    <w:pPr>
      <w:spacing w:before="480" w:after="150" w:afterLines="150" w:line="240" w:lineRule="auto"/>
      <w:jc w:val="center"/>
    </w:pPr>
    <w:rPr>
      <w:rFonts w:ascii="黑体" w:eastAsia="黑体"/>
      <w:sz w:val="32"/>
    </w:rPr>
  </w:style>
  <w:style w:type="paragraph" w:customStyle="1" w:styleId="92">
    <w:name w:val="标准文件_破折号列项"/>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3">
    <w:name w:val="标准文件_破折号列项（二级）"/>
    <w:basedOn w:val="92"/>
    <w:uiPriority w:val="0"/>
    <w:pPr>
      <w:numPr>
        <w:numId w:val="10"/>
      </w:numPr>
    </w:pPr>
  </w:style>
  <w:style w:type="paragraph" w:customStyle="1" w:styleId="94">
    <w:name w:val="标准文件_三级条标题"/>
    <w:basedOn w:val="65"/>
    <w:next w:val="56"/>
    <w:qFormat/>
    <w:uiPriority w:val="0"/>
    <w:pPr>
      <w:widowControl/>
      <w:numPr>
        <w:ilvl w:val="4"/>
      </w:numPr>
      <w:outlineLvl w:val="3"/>
    </w:pPr>
  </w:style>
  <w:style w:type="character" w:customStyle="1" w:styleId="95">
    <w:name w:val="Subtle Reference"/>
    <w:qFormat/>
    <w:uiPriority w:val="31"/>
    <w:rPr>
      <w:smallCaps/>
      <w:color w:val="C0504D"/>
      <w:u w:val="single"/>
    </w:rPr>
  </w:style>
  <w:style w:type="paragraph" w:customStyle="1" w:styleId="96">
    <w:name w:val="标准文件_示例后续"/>
    <w:basedOn w:val="1"/>
    <w:uiPriority w:val="0"/>
    <w:pPr>
      <w:adjustRightInd/>
      <w:spacing w:line="240" w:lineRule="auto"/>
      <w:ind w:firstLine="200" w:firstLineChars="200"/>
    </w:pPr>
    <w:rPr>
      <w:sz w:val="18"/>
      <w:szCs w:val="24"/>
    </w:rPr>
  </w:style>
  <w:style w:type="paragraph" w:customStyle="1" w:styleId="97">
    <w:name w:val="标准文件_数字编号列项"/>
    <w:uiPriority w:val="0"/>
    <w:pPr>
      <w:numPr>
        <w:ilvl w:val="0"/>
        <w:numId w:val="11"/>
      </w:numPr>
      <w:jc w:val="both"/>
    </w:pPr>
    <w:rPr>
      <w:rFonts w:ascii="宋体" w:hAnsi="宋体" w:eastAsia="宋体" w:cs="Times New Roman"/>
      <w:sz w:val="21"/>
      <w:lang w:val="en-US" w:eastAsia="zh-CN" w:bidi="ar-SA"/>
    </w:rPr>
  </w:style>
  <w:style w:type="paragraph" w:customStyle="1" w:styleId="98">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99">
    <w:name w:val="脚注文本 字符"/>
    <w:link w:val="21"/>
    <w:semiHidden/>
    <w:uiPriority w:val="0"/>
    <w:rPr>
      <w:rFonts w:ascii="宋体"/>
      <w:kern w:val="2"/>
      <w:sz w:val="18"/>
      <w:szCs w:val="18"/>
    </w:rPr>
  </w:style>
  <w:style w:type="paragraph" w:customStyle="1" w:styleId="100">
    <w:name w:val="标准文件_条文脚注"/>
    <w:basedOn w:val="21"/>
    <w:uiPriority w:val="0"/>
    <w:pPr>
      <w:adjustRightInd w:val="0"/>
      <w:spacing w:line="240" w:lineRule="auto"/>
      <w:ind w:left="0" w:leftChars="0" w:firstLine="200" w:firstLineChars="200"/>
      <w:jc w:val="both"/>
    </w:pPr>
    <w:rPr>
      <w:rFonts w:hAnsi="宋体"/>
    </w:rPr>
  </w:style>
  <w:style w:type="paragraph" w:customStyle="1" w:styleId="101">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2">
    <w:name w:val="标准文件_图表脚注内容"/>
    <w:uiPriority w:val="0"/>
    <w:rPr>
      <w:rFonts w:ascii="宋体" w:hAnsi="宋体" w:eastAsia="宋体" w:cs="Times New Roman"/>
      <w:spacing w:val="0"/>
      <w:sz w:val="18"/>
      <w:vertAlign w:val="superscript"/>
    </w:rPr>
  </w:style>
  <w:style w:type="paragraph" w:customStyle="1" w:styleId="103">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4">
    <w:name w:val="标准文件_章标题"/>
    <w:next w:val="5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5">
    <w:name w:val="标准文件_一级条标题"/>
    <w:basedOn w:val="104"/>
    <w:next w:val="56"/>
    <w:qFormat/>
    <w:uiPriority w:val="0"/>
    <w:pPr>
      <w:numPr>
        <w:ilvl w:val="2"/>
      </w:numPr>
      <w:spacing w:before="50" w:beforeLines="50" w:after="50" w:afterLines="50"/>
      <w:outlineLvl w:val="1"/>
    </w:pPr>
  </w:style>
  <w:style w:type="paragraph" w:customStyle="1" w:styleId="106">
    <w:name w:val="标准文件_一致程度"/>
    <w:basedOn w:val="1"/>
    <w:uiPriority w:val="0"/>
    <w:pPr>
      <w:spacing w:line="440" w:lineRule="exact"/>
      <w:jc w:val="center"/>
    </w:pPr>
    <w:rPr>
      <w:sz w:val="28"/>
    </w:rPr>
  </w:style>
  <w:style w:type="paragraph" w:customStyle="1" w:styleId="107">
    <w:name w:val="标准文件_引言标题"/>
    <w:next w:val="1"/>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8">
    <w:name w:val="标准文件_英文图表脚注"/>
    <w:basedOn w:val="55"/>
    <w:uiPriority w:val="0"/>
    <w:pPr>
      <w:widowControl/>
      <w:adjustRightInd/>
      <w:snapToGrid/>
      <w:spacing w:line="240" w:lineRule="auto"/>
      <w:ind w:left="79" w:hanging="79" w:hangingChars="80"/>
    </w:pPr>
    <w:rPr>
      <w:rFonts w:ascii="宋体" w:hAnsi="宋体"/>
    </w:rPr>
  </w:style>
  <w:style w:type="paragraph" w:customStyle="1" w:styleId="109">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0">
    <w:name w:val="标准文件_英文注："/>
    <w:basedOn w:val="1"/>
    <w:next w:val="56"/>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1">
    <w:name w:val="标准文件_英文注×："/>
    <w:basedOn w:val="1"/>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2">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3">
    <w:name w:val="标准文件_正文公式"/>
    <w:basedOn w:val="1"/>
    <w:next w:val="55"/>
    <w:uiPriority w:val="0"/>
    <w:pPr>
      <w:tabs>
        <w:tab w:val="center" w:pos="4678"/>
        <w:tab w:val="right" w:leader="middleDot" w:pos="9356"/>
      </w:tabs>
      <w:spacing w:line="240" w:lineRule="auto"/>
    </w:pPr>
    <w:rPr>
      <w:rFonts w:ascii="宋体" w:hAnsi="宋体"/>
    </w:rPr>
  </w:style>
  <w:style w:type="paragraph" w:customStyle="1" w:styleId="114">
    <w:name w:val="标准文件_正文图标题"/>
    <w:next w:val="56"/>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英文表标题"/>
    <w:next w:val="56"/>
    <w:uiPriority w:val="0"/>
    <w:pPr>
      <w:numPr>
        <w:ilvl w:val="0"/>
        <w:numId w:val="18"/>
      </w:numPr>
      <w:jc w:val="center"/>
    </w:pPr>
    <w:rPr>
      <w:rFonts w:ascii="黑体" w:hAnsi="Times New Roman" w:eastAsia="黑体" w:cs="Times New Roman"/>
      <w:sz w:val="21"/>
      <w:lang w:val="en-US" w:eastAsia="zh-CN" w:bidi="ar-SA"/>
    </w:rPr>
  </w:style>
  <w:style w:type="paragraph" w:customStyle="1" w:styleId="116">
    <w:name w:val="标准文件_正文英文图标题"/>
    <w:next w:val="56"/>
    <w:uiPriority w:val="0"/>
    <w:pPr>
      <w:numPr>
        <w:ilvl w:val="0"/>
        <w:numId w:val="19"/>
      </w:numPr>
      <w:jc w:val="center"/>
    </w:pPr>
    <w:rPr>
      <w:rFonts w:ascii="黑体" w:hAnsi="Times New Roman" w:eastAsia="黑体" w:cs="Times New Roman"/>
      <w:sz w:val="21"/>
      <w:lang w:val="en-US" w:eastAsia="zh-CN" w:bidi="ar-SA"/>
    </w:rPr>
  </w:style>
  <w:style w:type="paragraph" w:customStyle="1" w:styleId="117">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8">
    <w:name w:val="二级无标题条"/>
    <w:basedOn w:val="1"/>
    <w:uiPriority w:val="0"/>
    <w:pPr>
      <w:numPr>
        <w:ilvl w:val="3"/>
        <w:numId w:val="20"/>
      </w:numPr>
      <w:adjustRightInd/>
      <w:spacing w:line="240" w:lineRule="auto"/>
    </w:pPr>
    <w:rPr>
      <w:rFonts w:ascii="宋体" w:hAnsi="宋体"/>
      <w:szCs w:val="24"/>
    </w:rPr>
  </w:style>
  <w:style w:type="paragraph" w:customStyle="1" w:styleId="119">
    <w:name w:val="发布部门"/>
    <w:next w:val="56"/>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0">
    <w:name w:val="发布日期"/>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1">
    <w:name w:val="封面标准代替信息"/>
    <w:basedOn w:val="1"/>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2">
    <w:name w:val="封面标准名称"/>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封面标准文稿编辑信息"/>
    <w:uiPriority w:val="0"/>
    <w:pPr>
      <w:spacing w:before="180" w:line="180" w:lineRule="exact"/>
      <w:jc w:val="center"/>
    </w:pPr>
    <w:rPr>
      <w:rFonts w:ascii="宋体" w:hAnsi="Times New Roman" w:eastAsia="宋体" w:cs="Times New Roman"/>
      <w:sz w:val="21"/>
      <w:lang w:val="en-US" w:eastAsia="zh-CN" w:bidi="ar-SA"/>
    </w:rPr>
  </w:style>
  <w:style w:type="paragraph" w:customStyle="1" w:styleId="124">
    <w:name w:val="封面标准文稿类别"/>
    <w:uiPriority w:val="0"/>
    <w:pPr>
      <w:spacing w:before="440" w:line="400" w:lineRule="exact"/>
      <w:jc w:val="center"/>
    </w:pPr>
    <w:rPr>
      <w:rFonts w:ascii="宋体" w:hAnsi="Times New Roman" w:eastAsia="宋体" w:cs="Times New Roman"/>
      <w:sz w:val="24"/>
      <w:lang w:val="en-US" w:eastAsia="zh-CN" w:bidi="ar-SA"/>
    </w:rPr>
  </w:style>
  <w:style w:type="paragraph" w:customStyle="1" w:styleId="125">
    <w:name w:val="封面标准英文名称"/>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6">
    <w:name w:val="封面一致性程度标识"/>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7">
    <w:name w:val="封面正文"/>
    <w:uiPriority w:val="0"/>
    <w:pPr>
      <w:jc w:val="both"/>
    </w:pPr>
    <w:rPr>
      <w:rFonts w:ascii="Times New Roman" w:hAnsi="Times New Roman" w:eastAsia="宋体" w:cs="Times New Roman"/>
      <w:lang w:val="en-US" w:eastAsia="zh-CN" w:bidi="ar-SA"/>
    </w:rPr>
  </w:style>
  <w:style w:type="paragraph" w:customStyle="1" w:styleId="128">
    <w:name w:val="附录二级无标题条"/>
    <w:basedOn w:val="1"/>
    <w:next w:val="56"/>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29">
    <w:name w:val="附录三级无标题条"/>
    <w:basedOn w:val="128"/>
    <w:next w:val="56"/>
    <w:uiPriority w:val="0"/>
    <w:pPr>
      <w:outlineLvl w:val="4"/>
    </w:pPr>
  </w:style>
  <w:style w:type="paragraph" w:customStyle="1" w:styleId="130">
    <w:name w:val="附录四级无标题条"/>
    <w:basedOn w:val="129"/>
    <w:next w:val="56"/>
    <w:uiPriority w:val="0"/>
    <w:pPr>
      <w:outlineLvl w:val="5"/>
    </w:pPr>
  </w:style>
  <w:style w:type="paragraph" w:customStyle="1" w:styleId="131">
    <w:name w:val="附录图"/>
    <w:next w:val="56"/>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2">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3">
    <w:name w:val="附录五级无标题条"/>
    <w:basedOn w:val="130"/>
    <w:next w:val="56"/>
    <w:uiPriority w:val="0"/>
    <w:pPr>
      <w:outlineLvl w:val="6"/>
    </w:pPr>
  </w:style>
  <w:style w:type="paragraph" w:customStyle="1" w:styleId="134">
    <w:name w:val="附录性质"/>
    <w:basedOn w:val="1"/>
    <w:uiPriority w:val="0"/>
    <w:pPr>
      <w:widowControl/>
      <w:adjustRightInd/>
      <w:jc w:val="center"/>
    </w:pPr>
    <w:rPr>
      <w:rFonts w:ascii="黑体" w:eastAsia="黑体"/>
    </w:rPr>
  </w:style>
  <w:style w:type="paragraph" w:customStyle="1" w:styleId="135">
    <w:name w:val="附录一级无标题条"/>
    <w:basedOn w:val="87"/>
    <w:next w:val="56"/>
    <w:uiPriority w:val="0"/>
    <w:pPr>
      <w:autoSpaceDN w:val="0"/>
      <w:outlineLvl w:val="2"/>
    </w:pPr>
    <w:rPr>
      <w:rFonts w:ascii="宋体" w:hAnsi="宋体" w:eastAsia="宋体"/>
    </w:rPr>
  </w:style>
  <w:style w:type="character" w:customStyle="1" w:styleId="136">
    <w:name w:val="个人答复风格"/>
    <w:uiPriority w:val="0"/>
    <w:rPr>
      <w:rFonts w:ascii="Arial" w:hAnsi="Arial" w:eastAsia="宋体" w:cs="Arial"/>
      <w:color w:val="auto"/>
      <w:spacing w:val="0"/>
      <w:sz w:val="20"/>
    </w:rPr>
  </w:style>
  <w:style w:type="character" w:customStyle="1" w:styleId="137">
    <w:name w:val="个人撰写风格"/>
    <w:uiPriority w:val="0"/>
    <w:rPr>
      <w:rFonts w:ascii="Arial" w:hAnsi="Arial" w:eastAsia="宋体" w:cs="Arial"/>
      <w:color w:val="auto"/>
      <w:spacing w:val="0"/>
      <w:sz w:val="20"/>
    </w:rPr>
  </w:style>
  <w:style w:type="paragraph" w:customStyle="1" w:styleId="138">
    <w:name w:val="脚注后续"/>
    <w:uiPriority w:val="0"/>
    <w:pPr>
      <w:ind w:left="350" w:leftChars="350"/>
      <w:jc w:val="both"/>
    </w:pPr>
    <w:rPr>
      <w:rFonts w:ascii="宋体" w:hAnsi="Times New Roman" w:eastAsia="宋体" w:cs="Times New Roman"/>
      <w:sz w:val="18"/>
      <w:lang w:val="en-US" w:eastAsia="zh-CN" w:bidi="ar-SA"/>
    </w:rPr>
  </w:style>
  <w:style w:type="paragraph" w:customStyle="1" w:styleId="139">
    <w:name w:val="列项——"/>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0">
    <w:name w:val="列项·"/>
    <w:basedOn w:val="56"/>
    <w:uiPriority w:val="0"/>
    <w:pPr>
      <w:tabs>
        <w:tab w:val="left" w:pos="840"/>
      </w:tabs>
    </w:pPr>
  </w:style>
  <w:style w:type="paragraph" w:customStyle="1" w:styleId="141">
    <w:name w:val="目次、索引正文"/>
    <w:uiPriority w:val="0"/>
    <w:pPr>
      <w:spacing w:line="320" w:lineRule="exact"/>
      <w:jc w:val="both"/>
    </w:pPr>
    <w:rPr>
      <w:rFonts w:ascii="宋体" w:hAnsi="Times New Roman" w:eastAsia="宋体" w:cs="Times New Roman"/>
      <w:sz w:val="21"/>
      <w:lang w:val="en-US" w:eastAsia="zh-CN" w:bidi="ar-SA"/>
    </w:rPr>
  </w:style>
  <w:style w:type="paragraph" w:customStyle="1" w:styleId="142">
    <w:name w:val="目录 21"/>
    <w:basedOn w:val="1"/>
    <w:next w:val="1"/>
    <w:autoRedefine/>
    <w:semiHidden/>
    <w:uiPriority w:val="0"/>
    <w:pPr>
      <w:adjustRightInd/>
      <w:spacing w:line="240" w:lineRule="auto"/>
      <w:jc w:val="left"/>
    </w:pPr>
    <w:rPr>
      <w:bCs/>
      <w:iCs/>
    </w:rPr>
  </w:style>
  <w:style w:type="paragraph" w:customStyle="1" w:styleId="143">
    <w:name w:val="目录 31"/>
    <w:basedOn w:val="1"/>
    <w:next w:val="1"/>
    <w:autoRedefine/>
    <w:semiHidden/>
    <w:uiPriority w:val="0"/>
    <w:pPr>
      <w:spacing w:line="240" w:lineRule="auto"/>
    </w:pPr>
    <w:rPr>
      <w:rFonts w:ascii="宋体" w:hAnsi="宋体"/>
      <w:iCs/>
    </w:rPr>
  </w:style>
  <w:style w:type="paragraph" w:customStyle="1" w:styleId="144">
    <w:name w:val="目录 41"/>
    <w:basedOn w:val="1"/>
    <w:next w:val="1"/>
    <w:autoRedefine/>
    <w:semiHidden/>
    <w:uiPriority w:val="0"/>
    <w:pPr>
      <w:adjustRightInd/>
      <w:spacing w:line="240" w:lineRule="auto"/>
      <w:jc w:val="left"/>
    </w:pPr>
  </w:style>
  <w:style w:type="paragraph" w:customStyle="1" w:styleId="145">
    <w:name w:val="目录 51"/>
    <w:basedOn w:val="1"/>
    <w:next w:val="1"/>
    <w:autoRedefine/>
    <w:semiHidden/>
    <w:uiPriority w:val="0"/>
    <w:pPr>
      <w:spacing w:line="240" w:lineRule="auto"/>
    </w:pPr>
    <w:rPr>
      <w:rFonts w:ascii="宋体" w:hAnsi="宋体"/>
    </w:rPr>
  </w:style>
  <w:style w:type="paragraph" w:customStyle="1" w:styleId="146">
    <w:name w:val="目录 61"/>
    <w:basedOn w:val="1"/>
    <w:next w:val="1"/>
    <w:autoRedefine/>
    <w:semiHidden/>
    <w:uiPriority w:val="0"/>
    <w:pPr>
      <w:adjustRightInd/>
      <w:spacing w:line="240" w:lineRule="auto"/>
      <w:jc w:val="left"/>
    </w:pPr>
  </w:style>
  <w:style w:type="paragraph" w:customStyle="1" w:styleId="147">
    <w:name w:val="目录 71"/>
    <w:basedOn w:val="146"/>
    <w:autoRedefine/>
    <w:semiHidden/>
    <w:uiPriority w:val="0"/>
    <w:pPr>
      <w:ind w:left="1260"/>
    </w:pPr>
  </w:style>
  <w:style w:type="paragraph" w:customStyle="1" w:styleId="148">
    <w:name w:val="目录 81"/>
    <w:basedOn w:val="147"/>
    <w:autoRedefine/>
    <w:semiHidden/>
    <w:uiPriority w:val="0"/>
    <w:pPr>
      <w:ind w:left="1470"/>
    </w:pPr>
  </w:style>
  <w:style w:type="paragraph" w:customStyle="1" w:styleId="149">
    <w:name w:val="目录 91"/>
    <w:basedOn w:val="148"/>
    <w:autoRedefine/>
    <w:semiHidden/>
    <w:uiPriority w:val="0"/>
    <w:pPr>
      <w:ind w:left="1680"/>
    </w:pPr>
  </w:style>
  <w:style w:type="paragraph" w:customStyle="1" w:styleId="150">
    <w:name w:val="其他标准称谓"/>
    <w:uiPriority w:val="0"/>
    <w:pPr>
      <w:spacing w:line="0" w:lineRule="atLeast"/>
      <w:jc w:val="distribute"/>
    </w:pPr>
    <w:rPr>
      <w:rFonts w:ascii="黑体" w:hAnsi="宋体" w:eastAsia="黑体" w:cs="Times New Roman"/>
      <w:sz w:val="52"/>
      <w:lang w:val="en-US" w:eastAsia="zh-CN" w:bidi="ar-SA"/>
    </w:rPr>
  </w:style>
  <w:style w:type="paragraph" w:customStyle="1" w:styleId="151">
    <w:name w:val="其他发布部门"/>
    <w:basedOn w:val="119"/>
    <w:uiPriority w:val="0"/>
    <w:pPr>
      <w:framePr w:wrap="around"/>
      <w:spacing w:line="0" w:lineRule="atLeast"/>
    </w:pPr>
    <w:rPr>
      <w:rFonts w:ascii="黑体" w:eastAsia="黑体"/>
      <w:b w:val="0"/>
    </w:rPr>
  </w:style>
  <w:style w:type="paragraph" w:customStyle="1" w:styleId="152">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3">
    <w:name w:val="三级无标题条"/>
    <w:basedOn w:val="1"/>
    <w:uiPriority w:val="0"/>
    <w:pPr>
      <w:numPr>
        <w:ilvl w:val="4"/>
        <w:numId w:val="20"/>
      </w:numPr>
      <w:adjustRightInd/>
      <w:spacing w:line="240" w:lineRule="auto"/>
    </w:pPr>
    <w:rPr>
      <w:rFonts w:ascii="宋体" w:hAnsi="宋体"/>
      <w:szCs w:val="24"/>
    </w:rPr>
  </w:style>
  <w:style w:type="paragraph" w:customStyle="1" w:styleId="154">
    <w:name w:val="实施日期"/>
    <w:basedOn w:val="120"/>
    <w:uiPriority w:val="0"/>
    <w:pPr>
      <w:framePr w:hSpace="0" w:wrap="around" w:xAlign="right"/>
      <w:jc w:val="right"/>
    </w:pPr>
  </w:style>
  <w:style w:type="paragraph" w:customStyle="1" w:styleId="155">
    <w:name w:val="四级无标题条"/>
    <w:basedOn w:val="1"/>
    <w:uiPriority w:val="0"/>
    <w:pPr>
      <w:numPr>
        <w:ilvl w:val="5"/>
        <w:numId w:val="20"/>
      </w:numPr>
      <w:adjustRightInd/>
      <w:spacing w:line="240" w:lineRule="auto"/>
    </w:pPr>
    <w:rPr>
      <w:rFonts w:ascii="宋体" w:hAnsi="宋体"/>
      <w:szCs w:val="24"/>
    </w:rPr>
  </w:style>
  <w:style w:type="paragraph" w:customStyle="1" w:styleId="156">
    <w:name w:val="文献分类号"/>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7">
    <w:name w:val="无标题条"/>
    <w:next w:val="56"/>
    <w:uiPriority w:val="0"/>
    <w:pPr>
      <w:jc w:val="both"/>
    </w:pPr>
    <w:rPr>
      <w:rFonts w:ascii="宋体" w:hAnsi="宋体" w:eastAsia="宋体" w:cs="Times New Roman"/>
      <w:sz w:val="21"/>
      <w:lang w:val="en-US" w:eastAsia="zh-CN" w:bidi="ar-SA"/>
    </w:rPr>
  </w:style>
  <w:style w:type="paragraph" w:customStyle="1" w:styleId="158">
    <w:name w:val="五级无标题条"/>
    <w:basedOn w:val="1"/>
    <w:uiPriority w:val="0"/>
    <w:pPr>
      <w:numPr>
        <w:ilvl w:val="6"/>
        <w:numId w:val="20"/>
      </w:numPr>
      <w:adjustRightInd/>
    </w:pPr>
    <w:rPr>
      <w:szCs w:val="24"/>
    </w:rPr>
  </w:style>
  <w:style w:type="paragraph" w:customStyle="1" w:styleId="159">
    <w:name w:val="一级无标题条"/>
    <w:basedOn w:val="1"/>
    <w:uiPriority w:val="0"/>
    <w:pPr>
      <w:numPr>
        <w:ilvl w:val="2"/>
        <w:numId w:val="20"/>
      </w:numPr>
      <w:adjustRightInd/>
      <w:spacing w:before="10" w:after="10" w:line="240" w:lineRule="auto"/>
    </w:pPr>
    <w:rPr>
      <w:rFonts w:ascii="宋体" w:hAnsi="宋体"/>
      <w:szCs w:val="24"/>
    </w:rPr>
  </w:style>
  <w:style w:type="paragraph" w:customStyle="1" w:styleId="160">
    <w:name w:val="注:后续"/>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1">
    <w:name w:val="注×:后续"/>
    <w:basedOn w:val="160"/>
    <w:uiPriority w:val="0"/>
    <w:pPr>
      <w:ind w:left="1406" w:leftChars="0" w:hanging="499" w:firstLineChars="0"/>
    </w:pPr>
  </w:style>
  <w:style w:type="paragraph" w:customStyle="1" w:styleId="162">
    <w:name w:val="标准文件_一级无标题"/>
    <w:basedOn w:val="105"/>
    <w:qFormat/>
    <w:uiPriority w:val="0"/>
    <w:pPr>
      <w:spacing w:before="0" w:beforeLines="0" w:after="0" w:afterLines="0"/>
      <w:outlineLvl w:val="9"/>
    </w:pPr>
    <w:rPr>
      <w:rFonts w:ascii="宋体" w:eastAsia="宋体"/>
    </w:rPr>
  </w:style>
  <w:style w:type="paragraph" w:customStyle="1" w:styleId="163">
    <w:name w:val="标准文件_五级无标题"/>
    <w:basedOn w:val="103"/>
    <w:qFormat/>
    <w:uiPriority w:val="0"/>
    <w:pPr>
      <w:spacing w:before="0" w:beforeLines="0" w:after="0" w:afterLines="0"/>
      <w:outlineLvl w:val="9"/>
    </w:pPr>
    <w:rPr>
      <w:rFonts w:ascii="宋体" w:eastAsia="宋体"/>
    </w:rPr>
  </w:style>
  <w:style w:type="paragraph" w:customStyle="1" w:styleId="164">
    <w:name w:val="标准文件_三级无标题"/>
    <w:basedOn w:val="94"/>
    <w:qFormat/>
    <w:uiPriority w:val="0"/>
    <w:pPr>
      <w:spacing w:before="0" w:beforeLines="0" w:after="0" w:afterLines="0"/>
      <w:outlineLvl w:val="9"/>
    </w:pPr>
    <w:rPr>
      <w:rFonts w:ascii="宋体" w:eastAsia="宋体"/>
    </w:rPr>
  </w:style>
  <w:style w:type="paragraph" w:customStyle="1" w:styleId="165">
    <w:name w:val="标准文件_二级无标题"/>
    <w:basedOn w:val="65"/>
    <w:qFormat/>
    <w:uiPriority w:val="0"/>
    <w:pPr>
      <w:spacing w:before="0" w:beforeLines="0" w:after="0" w:afterLines="0"/>
      <w:outlineLvl w:val="9"/>
    </w:pPr>
    <w:rPr>
      <w:rFonts w:ascii="宋体" w:eastAsia="宋体"/>
    </w:rPr>
  </w:style>
  <w:style w:type="paragraph" w:customStyle="1" w:styleId="166">
    <w:name w:val="标准_四级无标题"/>
    <w:basedOn w:val="98"/>
    <w:next w:val="56"/>
    <w:qFormat/>
    <w:uiPriority w:val="0"/>
    <w:rPr>
      <w:rFonts w:eastAsia="宋体"/>
    </w:rPr>
  </w:style>
  <w:style w:type="paragraph" w:customStyle="1" w:styleId="167">
    <w:name w:val="标准文件_四级无标题"/>
    <w:basedOn w:val="98"/>
    <w:qFormat/>
    <w:uiPriority w:val="0"/>
    <w:pPr>
      <w:spacing w:before="0" w:beforeLines="0" w:after="0" w:afterLines="0"/>
      <w:outlineLvl w:val="9"/>
    </w:pPr>
    <w:rPr>
      <w:rFonts w:ascii="宋体" w:hAnsi="黑体" w:eastAsia="宋体"/>
      <w:szCs w:val="52"/>
    </w:rPr>
  </w:style>
  <w:style w:type="paragraph" w:customStyle="1" w:styleId="168">
    <w:name w:val="标准文件_大写罗马数字编号列项"/>
    <w:basedOn w:val="56"/>
    <w:uiPriority w:val="0"/>
    <w:pPr>
      <w:numPr>
        <w:ilvl w:val="0"/>
        <w:numId w:val="23"/>
      </w:numPr>
      <w:ind w:firstLine="0" w:firstLineChars="0"/>
    </w:pPr>
    <w:rPr>
      <w:rFonts w:ascii="Times New Roman" w:cs="Arial"/>
      <w:szCs w:val="28"/>
    </w:rPr>
  </w:style>
  <w:style w:type="paragraph" w:customStyle="1" w:styleId="169">
    <w:name w:val="标准文件_小写罗马数字编号列项"/>
    <w:basedOn w:val="56"/>
    <w:qFormat/>
    <w:uiPriority w:val="0"/>
    <w:pPr>
      <w:numPr>
        <w:ilvl w:val="0"/>
        <w:numId w:val="24"/>
      </w:numPr>
      <w:ind w:firstLine="0" w:firstLineChars="0"/>
    </w:pPr>
    <w:rPr>
      <w:rFonts w:cs="Arial"/>
      <w:szCs w:val="28"/>
    </w:rPr>
  </w:style>
  <w:style w:type="paragraph" w:customStyle="1" w:styleId="170">
    <w:name w:val="标准文件_附录标题"/>
    <w:basedOn w:val="76"/>
    <w:qFormat/>
    <w:uiPriority w:val="0"/>
    <w:pPr>
      <w:numPr>
        <w:numId w:val="0"/>
      </w:numPr>
      <w:spacing w:after="280"/>
      <w:outlineLvl w:val="9"/>
    </w:pPr>
  </w:style>
  <w:style w:type="paragraph" w:customStyle="1" w:styleId="171">
    <w:name w:val="标准文件_二级项"/>
    <w:uiPriority w:val="0"/>
    <w:rPr>
      <w:rFonts w:ascii="宋体" w:hAnsi="Times New Roman" w:eastAsia="宋体" w:cs="Times New Roman"/>
      <w:sz w:val="21"/>
      <w:lang w:val="en-US" w:eastAsia="zh-CN" w:bidi="ar-SA"/>
    </w:rPr>
  </w:style>
  <w:style w:type="paragraph" w:customStyle="1" w:styleId="172">
    <w:name w:val="标准文件_三级项"/>
    <w:basedOn w:val="1"/>
    <w:qFormat/>
    <w:uiPriority w:val="0"/>
    <w:pPr>
      <w:numPr>
        <w:ilvl w:val="2"/>
        <w:numId w:val="21"/>
      </w:numPr>
      <w:spacing w:line="536870612" w:lineRule="auto"/>
    </w:pPr>
    <w:rPr>
      <w:rFonts w:ascii="Times New Roman" w:hAnsi="Times New Roman"/>
    </w:rPr>
  </w:style>
  <w:style w:type="paragraph" w:customStyle="1" w:styleId="173">
    <w:name w:val="图表脚注说明"/>
    <w:basedOn w:val="1"/>
    <w:next w:val="56"/>
    <w:uiPriority w:val="0"/>
    <w:pPr>
      <w:numPr>
        <w:ilvl w:val="0"/>
        <w:numId w:val="25"/>
      </w:numPr>
      <w:adjustRightInd/>
      <w:spacing w:line="240" w:lineRule="auto"/>
    </w:pPr>
    <w:rPr>
      <w:rFonts w:ascii="宋体" w:hAnsi="Times New Roman"/>
      <w:sz w:val="18"/>
      <w:szCs w:val="18"/>
    </w:rPr>
  </w:style>
  <w:style w:type="paragraph" w:customStyle="1" w:styleId="174">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5">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6">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7">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8">
    <w:name w:val="标准文件_表格"/>
    <w:basedOn w:val="56"/>
    <w:qFormat/>
    <w:uiPriority w:val="0"/>
    <w:pPr>
      <w:ind w:firstLine="0" w:firstLineChars="0"/>
      <w:jc w:val="center"/>
    </w:pPr>
    <w:rPr>
      <w:sz w:val="18"/>
    </w:rPr>
  </w:style>
  <w:style w:type="paragraph" w:customStyle="1" w:styleId="179">
    <w:name w:val="标准文件_注："/>
    <w:next w:val="56"/>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0">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示例："/>
    <w:next w:val="182"/>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2">
    <w:name w:val="标准文件_示例内容"/>
    <w:basedOn w:val="56"/>
    <w:qFormat/>
    <w:uiPriority w:val="0"/>
    <w:pPr>
      <w:ind w:firstLine="420"/>
    </w:pPr>
    <w:rPr>
      <w:sz w:val="18"/>
    </w:rPr>
  </w:style>
  <w:style w:type="paragraph" w:customStyle="1" w:styleId="183">
    <w:name w:val="标准文件_示例×："/>
    <w:basedOn w:val="1"/>
    <w:next w:val="182"/>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4">
    <w:name w:val="标准文件_段 Char"/>
    <w:link w:val="56"/>
    <w:qFormat/>
    <w:uiPriority w:val="0"/>
    <w:rPr>
      <w:rFonts w:ascii="宋体" w:hAnsi="Times New Roman"/>
      <w:sz w:val="21"/>
    </w:rPr>
  </w:style>
  <w:style w:type="paragraph" w:customStyle="1" w:styleId="185">
    <w:name w:val="标准文件_表格续"/>
    <w:basedOn w:val="56"/>
    <w:next w:val="56"/>
    <w:qFormat/>
    <w:uiPriority w:val="0"/>
    <w:pPr>
      <w:jc w:val="center"/>
    </w:pPr>
    <w:rPr>
      <w:rFonts w:ascii="黑体" w:hAnsi="黑体" w:eastAsia="黑体"/>
    </w:rPr>
  </w:style>
  <w:style w:type="character" w:styleId="186">
    <w:name w:val="Placeholder Text"/>
    <w:basedOn w:val="28"/>
    <w:semiHidden/>
    <w:uiPriority w:val="99"/>
    <w:rPr>
      <w:color w:val="808080"/>
    </w:rPr>
  </w:style>
  <w:style w:type="paragraph" w:customStyle="1" w:styleId="187">
    <w:name w:val="标准文件_二级项2"/>
    <w:basedOn w:val="56"/>
    <w:qFormat/>
    <w:uiPriority w:val="0"/>
    <w:pPr>
      <w:numPr>
        <w:ilvl w:val="1"/>
        <w:numId w:val="21"/>
      </w:numPr>
      <w:ind w:firstLine="0" w:firstLineChars="0"/>
    </w:pPr>
  </w:style>
  <w:style w:type="paragraph" w:customStyle="1" w:styleId="188">
    <w:name w:val="标准文件_三级项2"/>
    <w:basedOn w:val="56"/>
    <w:qFormat/>
    <w:uiPriority w:val="0"/>
    <w:pPr>
      <w:numPr>
        <w:ilvl w:val="0"/>
        <w:numId w:val="30"/>
      </w:numPr>
      <w:spacing w:line="300" w:lineRule="exact"/>
      <w:ind w:firstLineChars="0"/>
    </w:pPr>
    <w:rPr>
      <w:rFonts w:ascii="Times New Roman"/>
    </w:rPr>
  </w:style>
  <w:style w:type="paragraph" w:customStyle="1" w:styleId="189">
    <w:name w:val="标准文件_一级项2"/>
    <w:basedOn w:val="56"/>
    <w:qFormat/>
    <w:uiPriority w:val="0"/>
    <w:pPr>
      <w:numPr>
        <w:ilvl w:val="0"/>
        <w:numId w:val="31"/>
      </w:numPr>
      <w:spacing w:line="300" w:lineRule="exact"/>
      <w:ind w:firstLineChars="0"/>
    </w:pPr>
    <w:rPr>
      <w:rFonts w:ascii="Times New Roman"/>
    </w:rPr>
  </w:style>
  <w:style w:type="paragraph" w:customStyle="1" w:styleId="190">
    <w:name w:val="标准文件_提示"/>
    <w:basedOn w:val="56"/>
    <w:next w:val="56"/>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0"/>
    <w:uiPriority w:val="0"/>
    <w:pPr>
      <w:framePr w:w="3997" w:h="471" w:hRule="exact" w:hSpace="0" w:vSpace="181" w:wrap="around" w:vAnchor="page" w:hAnchor="page" w:x="1419" w:y="14097"/>
    </w:pPr>
  </w:style>
  <w:style w:type="paragraph" w:customStyle="1" w:styleId="194">
    <w:name w:val="其他实施日期"/>
    <w:basedOn w:val="154"/>
    <w:uiPriority w:val="0"/>
    <w:pPr>
      <w:framePr w:w="3997" w:h="471" w:hRule="exact" w:vSpace="181" w:wrap="around" w:vAnchor="page" w:hAnchor="page" w:x="7089" w:y="14097"/>
    </w:pPr>
  </w:style>
  <w:style w:type="paragraph" w:customStyle="1" w:styleId="195">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spacing w:before="57"/>
    </w:pPr>
    <w:rPr>
      <w:sz w:val="21"/>
    </w:rPr>
  </w:style>
  <w:style w:type="paragraph" w:customStyle="1" w:styleId="197">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0">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6"/>
    <w:qFormat/>
    <w:uiPriority w:val="0"/>
    <w:pPr>
      <w:ind w:left="811" w:firstLine="0" w:firstLineChars="0"/>
    </w:pPr>
    <w:rPr>
      <w:sz w:val="18"/>
    </w:rPr>
  </w:style>
  <w:style w:type="paragraph" w:customStyle="1" w:styleId="206">
    <w:name w:val="标准文件_注X后"/>
    <w:basedOn w:val="56"/>
    <w:qFormat/>
    <w:uiPriority w:val="0"/>
    <w:pPr>
      <w:ind w:left="811" w:firstLine="0" w:firstLineChars="0"/>
    </w:pPr>
    <w:rPr>
      <w:sz w:val="18"/>
    </w:rPr>
  </w:style>
  <w:style w:type="paragraph" w:customStyle="1" w:styleId="207">
    <w:name w:val="标准文件_示例后"/>
    <w:basedOn w:val="56"/>
    <w:qFormat/>
    <w:uiPriority w:val="0"/>
    <w:pPr>
      <w:ind w:left="964" w:firstLine="0" w:firstLineChars="0"/>
    </w:pPr>
    <w:rPr>
      <w:sz w:val="18"/>
    </w:rPr>
  </w:style>
  <w:style w:type="paragraph" w:customStyle="1" w:styleId="208">
    <w:name w:val="标准文件_示例X后"/>
    <w:basedOn w:val="56"/>
    <w:link w:val="209"/>
    <w:qFormat/>
    <w:uiPriority w:val="0"/>
    <w:pPr>
      <w:ind w:left="1049" w:firstLine="0" w:firstLineChars="0"/>
    </w:pPr>
    <w:rPr>
      <w:sz w:val="18"/>
    </w:rPr>
  </w:style>
  <w:style w:type="character" w:customStyle="1" w:styleId="209">
    <w:name w:val="标准文件_示例X后 字符"/>
    <w:basedOn w:val="184"/>
    <w:link w:val="208"/>
    <w:uiPriority w:val="0"/>
    <w:rPr>
      <w:rFonts w:ascii="宋体" w:hAnsi="Times New Roman"/>
      <w:sz w:val="18"/>
    </w:rPr>
  </w:style>
  <w:style w:type="paragraph" w:customStyle="1" w:styleId="210">
    <w:name w:val="标准文件_索引项"/>
    <w:basedOn w:val="56"/>
    <w:next w:val="56"/>
    <w:qFormat/>
    <w:uiPriority w:val="0"/>
    <w:pPr>
      <w:tabs>
        <w:tab w:val="right" w:leader="dot" w:pos="9356"/>
      </w:tabs>
      <w:ind w:left="210" w:hanging="210" w:firstLineChars="0"/>
      <w:jc w:val="left"/>
    </w:pPr>
  </w:style>
  <w:style w:type="paragraph" w:customStyle="1" w:styleId="211">
    <w:name w:val="标准文件_附录一级无标题"/>
    <w:basedOn w:val="78"/>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79"/>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1"/>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4"/>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6"/>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三级无标题"/>
    <w:basedOn w:val="202"/>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6"/>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索引标题"/>
    <w:basedOn w:val="63"/>
    <w:next w:val="56"/>
    <w:qFormat/>
    <w:uiPriority w:val="0"/>
    <w:rPr>
      <w:rFonts w:hAnsi="黑体"/>
    </w:rPr>
  </w:style>
  <w:style w:type="paragraph" w:customStyle="1" w:styleId="222">
    <w:name w:val="标准文件_脚注内容"/>
    <w:basedOn w:val="56"/>
    <w:qFormat/>
    <w:uiPriority w:val="0"/>
    <w:pPr>
      <w:ind w:left="400" w:leftChars="200" w:hanging="200" w:hangingChars="200"/>
    </w:pPr>
    <w:rPr>
      <w:sz w:val="15"/>
    </w:rPr>
  </w:style>
  <w:style w:type="paragraph" w:customStyle="1" w:styleId="223">
    <w:name w:val="标准文件_术语条一"/>
    <w:basedOn w:val="162"/>
    <w:next w:val="56"/>
    <w:qFormat/>
    <w:uiPriority w:val="0"/>
  </w:style>
  <w:style w:type="paragraph" w:customStyle="1" w:styleId="224">
    <w:name w:val="标准文件_术语条二"/>
    <w:basedOn w:val="165"/>
    <w:next w:val="56"/>
    <w:qFormat/>
    <w:uiPriority w:val="0"/>
  </w:style>
  <w:style w:type="paragraph" w:customStyle="1" w:styleId="225">
    <w:name w:val="标准文件_术语条三"/>
    <w:basedOn w:val="164"/>
    <w:next w:val="56"/>
    <w:qFormat/>
    <w:uiPriority w:val="0"/>
  </w:style>
  <w:style w:type="paragraph" w:customStyle="1" w:styleId="226">
    <w:name w:val="标准文件_术语条四"/>
    <w:basedOn w:val="167"/>
    <w:next w:val="56"/>
    <w:qFormat/>
    <w:uiPriority w:val="0"/>
  </w:style>
  <w:style w:type="paragraph" w:customStyle="1" w:styleId="227">
    <w:name w:val="标准文件_术语条五"/>
    <w:basedOn w:val="163"/>
    <w:next w:val="56"/>
    <w:qFormat/>
    <w:uiPriority w:val="0"/>
  </w:style>
  <w:style w:type="paragraph" w:customStyle="1" w:styleId="228">
    <w:name w:val="Defaul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uiPriority w:val="0"/>
    <w:rPr>
      <w:rFonts w:ascii="黑体" w:eastAsia="黑体"/>
      <w:spacing w:val="85"/>
      <w:w w:val="100"/>
      <w:position w:val="3"/>
      <w:sz w:val="28"/>
      <w:szCs w:val="28"/>
    </w:rPr>
  </w:style>
  <w:style w:type="table" w:customStyle="1" w:styleId="230">
    <w:name w:val="Table Normal"/>
    <w:autoRedefine/>
    <w:semiHidden/>
    <w:unhideWhenUsed/>
    <w:qFormat/>
    <w:uiPriority w:val="0"/>
    <w:rPr>
      <w:rFonts w:ascii="Times New Roman" w:hAnsi="Times New Roman"/>
    </w:rPr>
    <w:tblPr>
      <w:tblCellMar>
        <w:top w:w="0" w:type="dxa"/>
        <w:left w:w="0" w:type="dxa"/>
        <w:bottom w:w="0" w:type="dxa"/>
        <w:right w:w="0" w:type="dxa"/>
      </w:tblCellMar>
    </w:tblPr>
  </w:style>
  <w:style w:type="paragraph" w:customStyle="1" w:styleId="231">
    <w:name w:val="段"/>
    <w:uiPriority w:val="99"/>
    <w:pPr>
      <w:tabs>
        <w:tab w:val="center" w:pos="4201"/>
        <w:tab w:val="right" w:leader="dot" w:pos="9298"/>
      </w:tabs>
      <w:autoSpaceDE w:val="0"/>
      <w:autoSpaceDN w:val="0"/>
      <w:ind w:firstLine="420" w:firstLineChars="200"/>
      <w:jc w:val="both"/>
    </w:pPr>
    <w:rPr>
      <w:rFonts w:ascii="宋体" w:hAnsi="Times New Roman" w:eastAsia="宋体" w:cs="Times New Roman"/>
      <w:sz w:val="22"/>
      <w:szCs w:val="22"/>
      <w:lang w:val="en-US" w:eastAsia="zh-CN" w:bidi="ar-SA"/>
    </w:rPr>
  </w:style>
  <w:style w:type="paragraph" w:customStyle="1" w:styleId="232">
    <w:name w:val="sign-container"/>
    <w:basedOn w:val="1"/>
    <w:uiPriority w:val="0"/>
    <w:pPr>
      <w:widowControl/>
      <w:adjustRightInd/>
      <w:spacing w:before="100" w:beforeAutospacing="1" w:after="100" w:afterAutospacing="1" w:line="240" w:lineRule="auto"/>
      <w:jc w:val="center"/>
    </w:pPr>
    <w:rPr>
      <w:rFonts w:ascii="宋体" w:hAnsi="宋体" w:cs="宋体"/>
      <w:kern w:val="0"/>
      <w:sz w:val="24"/>
      <w:szCs w:val="24"/>
    </w:rPr>
  </w:style>
  <w:style w:type="paragraph" w:customStyle="1" w:styleId="233">
    <w:name w:val="注×：（正文）"/>
    <w:uiPriority w:val="99"/>
    <w:pPr>
      <w:numPr>
        <w:ilvl w:val="0"/>
        <w:numId w:val="32"/>
      </w:numPr>
      <w:jc w:val="both"/>
    </w:pPr>
    <w:rPr>
      <w:rFonts w:ascii="宋体" w:hAnsi="Times New Roman" w:eastAsia="宋体" w:cs="Times New Roman"/>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glossaryDocument" Target="glossary/document.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3.jpeg"/><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Users/apple/Library/Containers/com.kingsoft.wpsoffice.mac/Data/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6A215A26A46B4406A0EFA50FA0F089A1"/>
        <w:style w:val=""/>
        <w:category>
          <w:name w:val="常规"/>
          <w:gallery w:val="placeholder"/>
        </w:category>
        <w:types>
          <w:type w:val="bbPlcHdr"/>
        </w:types>
        <w:behaviors>
          <w:behavior w:val="content"/>
        </w:behaviors>
        <w:description w:val=""/>
        <w:guid w:val="{1EDB8B96-E87D-48FE-931F-70CDC6C057F4}"/>
      </w:docPartPr>
      <w:docPartBody>
        <w:p w14:paraId="7E291652">
          <w:pPr>
            <w:pStyle w:val="5"/>
          </w:pPr>
          <w:r>
            <w:rPr>
              <w:rStyle w:val="4"/>
              <w:rFonts w:hint="eastAsia"/>
            </w:rPr>
            <w:t>单击或点击此处输入文字。</w:t>
          </w:r>
        </w:p>
      </w:docPartBody>
    </w:docPart>
    <w:docPart>
      <w:docPartPr>
        <w:name w:val="1B343EB3448543A0AE1689AFA13238AC"/>
        <w:style w:val=""/>
        <w:category>
          <w:name w:val="常规"/>
          <w:gallery w:val="placeholder"/>
        </w:category>
        <w:types>
          <w:type w:val="bbPlcHdr"/>
        </w:types>
        <w:behaviors>
          <w:behavior w:val="content"/>
        </w:behaviors>
        <w:description w:val=""/>
        <w:guid w:val="{784D3B73-3489-403D-AE2C-CBF04CB9CA26}"/>
      </w:docPartPr>
      <w:docPartBody>
        <w:p w14:paraId="4C607A63">
          <w:pPr>
            <w:pStyle w:val="6"/>
          </w:pPr>
          <w:r>
            <w:rPr>
              <w:rStyle w:val="4"/>
              <w:rFonts w:hint="eastAsia"/>
            </w:rPr>
            <w:t>选择一项。</w:t>
          </w:r>
        </w:p>
      </w:docPartBody>
    </w:docPart>
    <w:docPart>
      <w:docPartPr>
        <w:name w:val="7AE09444D4304CF1AB85398D670D265F"/>
        <w:style w:val=""/>
        <w:category>
          <w:name w:val="常规"/>
          <w:gallery w:val="placeholder"/>
        </w:category>
        <w:types>
          <w:type w:val="bbPlcHdr"/>
        </w:types>
        <w:behaviors>
          <w:behavior w:val="content"/>
        </w:behaviors>
        <w:description w:val=""/>
        <w:guid w:val="{219CD4A3-E4DA-4CA2-81ED-1A98B319D4DE}"/>
      </w:docPartPr>
      <w:docPartBody>
        <w:p w14:paraId="3342DC37">
          <w:pPr>
            <w:pStyle w:val="7"/>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等线">
    <w:altName w:val="汉仪中等线KW"/>
    <w:panose1 w:val="02010600030101010101"/>
    <w:charset w:val="86"/>
    <w:family w:val="auto"/>
    <w:pitch w:val="default"/>
    <w:sig w:usb0="00000000" w:usb1="00000000" w:usb2="00000016" w:usb3="00000000" w:csb0="0004000F" w:csb1="00000000"/>
  </w:font>
  <w:font w:name="汉仪中等线KW">
    <w:panose1 w:val="01010104010101010101"/>
    <w:charset w:val="86"/>
    <w:family w:val="auto"/>
    <w:pitch w:val="default"/>
    <w:sig w:usb0="800002BF" w:usb1="004F7CFA" w:usb2="00000000" w:usb3="00000000" w:csb0="00040001" w:csb1="00000000"/>
  </w:font>
  <w:font w:name="等线">
    <w:altName w:val="汉仪中等线KW"/>
    <w:panose1 w:val="00000000000000000000"/>
    <w:charset w:val="86"/>
    <w:family w:val="auto"/>
    <w:pitch w:val="default"/>
    <w:sig w:usb0="00000000" w:usb1="00000000" w:usb2="00000000" w:usb3="00000000" w:csb0="00000000" w:csb1="00000000"/>
  </w:font>
  <w:font w:name="等线">
    <w:altName w:val="汉仪中等线KW"/>
    <w:panose1 w:val="00000000000000000000"/>
    <w:charset w:val="00"/>
    <w:family w:val="auto"/>
    <w:pitch w:val="default"/>
    <w:sig w:usb0="00000000" w:usb1="00000000" w:usb2="00000000" w:usb3="00000000" w:csb0="0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doNotDisplayPageBoundaries w:val="1"/>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6A8F"/>
    <w:rsid w:val="00020208"/>
    <w:rsid w:val="00392731"/>
    <w:rsid w:val="004B536F"/>
    <w:rsid w:val="005D6A8F"/>
    <w:rsid w:val="006C351D"/>
    <w:rsid w:val="00780BE7"/>
    <w:rsid w:val="00902A2A"/>
    <w:rsid w:val="00943EED"/>
    <w:rsid w:val="00D652EE"/>
    <w:rsid w:val="00F111C1"/>
    <w:rsid w:val="00F6198C"/>
    <w:rsid w:val="00F75CE9"/>
    <w:rsid w:val="00FD01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iPriority="1" w:name="Default Paragraph Font"/>
    <w:lsdException w:uiPriority="99" w:name="Normal Table"/>
    <w:lsdException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styleId="4">
    <w:name w:val="Placeholder Text"/>
    <w:basedOn w:val="2"/>
    <w:semiHidden/>
    <w:uiPriority w:val="99"/>
    <w:rPr>
      <w:color w:val="808080"/>
    </w:rPr>
  </w:style>
  <w:style w:type="paragraph" w:customStyle="1" w:styleId="5">
    <w:name w:val="6A215A26A46B4406A0EFA50FA0F089A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1B343EB3448543A0AE1689AFA13238A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7AE09444D4304CF1AB85398D670D265F"/>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http://schemas.openxmlformats.org/officeDocument/2006/bibliography" xmlns:b="http://schemas.openxmlformats.org/officeDocument/2006/bibliography" Version="6" StyleName="APA" SelectedStyle="\APASixthEditionOfficeOnline.xsl"/>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4E58870-D179-45F2-997E-83FD055B6F38}">
  <ds:schemaRefs/>
</ds:datastoreItem>
</file>

<file path=docProps/app.xml><?xml version="1.0" encoding="utf-8"?>
<Properties xmlns="http://schemas.openxmlformats.org/officeDocument/2006/extended-properties" xmlns:vt="http://schemas.openxmlformats.org/officeDocument/2006/docPropsVTypes">
  <Template>团体标准.dotx</Template>
  <Company>PCMI</Company>
  <Pages>7</Pages>
  <Words>655</Words>
  <Characters>3737</Characters>
  <Lines>31</Lines>
  <Paragraphs>8</Paragraphs>
  <TotalTime>5544</TotalTime>
  <ScaleCrop>false</ScaleCrop>
  <LinksUpToDate>false</LinksUpToDate>
  <CharactersWithSpaces>4384</CharactersWithSpaces>
  <Application>WPS Office_12.1.23540.23540_F1E327BC-269C-435d-A152-05C5408002CA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2025-11-18T23:09:00Z</dcterms:created>
  <dc:creator>air</dc:creator>
  <dc:description>&lt;config cover="true" show_menu="true" version="1.0.0" doctype="SDKXY"&gt;_x000d_
&lt;/config&gt;</dc:description>
  <cp:lastModifiedBy>森林里的一颗树</cp:lastModifiedBy>
  <cp:lastPrinted>2025-11-18T23:00:00Z</cp:lastPrinted>
  <dcterms:modified xsi:type="dcterms:W3CDTF">2026-06-01T15:30:21Z</dcterms:modified>
  <dc:title>团体标准</dc:title>
  <cp:revision>61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2052-12.1.23540.23540</vt:lpwstr>
  </property>
  <property fmtid="{D5CDD505-2E9C-101B-9397-08002B2CF9AE}" pid="15" name="ICV">
    <vt:lpwstr>9A4981E0A3DE02490D351D6A4323ADC2_43</vt:lpwstr>
  </property>
</Properties>
</file>