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7C465CEB">
        <w:tc>
          <w:tcPr>
            <w:tcW w:w="509" w:type="dxa"/>
          </w:tcPr>
          <w:p w14:paraId="5733678A">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5A87B98">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03.080</w:t>
            </w:r>
            <w:r>
              <w:rPr>
                <w:rFonts w:ascii="黑体" w:hAnsi="黑体" w:eastAsia="黑体"/>
                <w:sz w:val="21"/>
                <w:szCs w:val="21"/>
              </w:rPr>
              <w:fldChar w:fldCharType="end"/>
            </w:r>
            <w:bookmarkEnd w:id="0"/>
          </w:p>
        </w:tc>
      </w:tr>
      <w:tr w14:paraId="6031316F">
        <w:tc>
          <w:tcPr>
            <w:tcW w:w="509" w:type="dxa"/>
          </w:tcPr>
          <w:p w14:paraId="683C0930">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69420552">
              <w:trPr>
                <w:trHeight w:val="1021" w:hRule="exact"/>
              </w:trPr>
              <w:tc>
                <w:tcPr>
                  <w:tcW w:w="9242" w:type="dxa"/>
                  <w:vAlign w:val="center"/>
                </w:tcPr>
                <w:p w14:paraId="6C514851">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BZJK</w:t>
                  </w:r>
                  <w:r>
                    <w:fldChar w:fldCharType="end"/>
                  </w:r>
                  <w:bookmarkEnd w:id="1"/>
                </w:p>
              </w:tc>
            </w:tr>
          </w:tbl>
          <w:p w14:paraId="479F59EB">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A 16</w:t>
            </w:r>
            <w:r>
              <w:rPr>
                <w:rFonts w:ascii="黑体" w:hAnsi="黑体" w:eastAsia="黑体"/>
                <w:sz w:val="21"/>
                <w:szCs w:val="21"/>
              </w:rPr>
              <w:fldChar w:fldCharType="end"/>
            </w:r>
            <w:bookmarkEnd w:id="2"/>
          </w:p>
        </w:tc>
      </w:tr>
    </w:tbl>
    <w:p w14:paraId="1CE2DAC7">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亳州市</w:t>
      </w:r>
      <w:r>
        <w:rPr>
          <w:rFonts w:ascii="黑体" w:eastAsia="黑体"/>
          <w:b w:val="0"/>
          <w:w w:val="100"/>
          <w:sz w:val="48"/>
        </w:rPr>
        <w:t>健康养生产业协会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148141F2">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BZJK</w:t>
      </w:r>
      <w:r>
        <w:fldChar w:fldCharType="end"/>
      </w:r>
      <w:bookmarkEnd w:id="5"/>
      <w:r>
        <w:t xml:space="preserve"> </w:t>
      </w:r>
      <w:bookmarkStart w:id="6" w:name="NSTD_CODE_F"/>
      <w:r>
        <w:rPr>
          <w:rFonts w:hint="eastAsia"/>
        </w:rPr>
        <w:fldChar w:fldCharType="begin">
          <w:ffData>
            <w:name w:val="NSTD_CODE_F"/>
            <w:enabled/>
            <w:calcOnExit w:val="0"/>
            <w:textInput>
              <w:default w:val="XX"/>
            </w:textInput>
          </w:ffData>
        </w:fldChar>
      </w:r>
      <w:r>
        <w:rPr>
          <w:rFonts w:hint="eastAsia"/>
        </w:rPr>
        <w:instrText xml:space="preserve">FORMTEXT</w:instrText>
      </w:r>
      <w:r>
        <w:rPr>
          <w:rFonts w:hint="eastAsia"/>
        </w:rPr>
        <w:fldChar w:fldCharType="separate"/>
      </w:r>
      <w:r>
        <w:rPr>
          <w:rFonts w:hint="eastAsia"/>
        </w:rPr>
        <w:t>XX</w:t>
      </w:r>
      <w:r>
        <w:rPr>
          <w:rFonts w:hint="eastAsia"/>
        </w:rPr>
        <w:fldChar w:fldCharType="end"/>
      </w:r>
      <w:bookmarkEnd w:id="6"/>
      <w:r>
        <w:rPr>
          <w:rFonts w:hAnsi="黑体"/>
        </w:rPr>
        <w:t>—</w:t>
      </w:r>
      <w:bookmarkStart w:id="7" w:name="NSTD_CODE_B"/>
      <w:r>
        <w:rPr>
          <w:rFonts w:hint="eastAsia"/>
        </w:rPr>
        <w:fldChar w:fldCharType="begin">
          <w:ffData>
            <w:name w:val="NSTD_CODE_B"/>
            <w:enabled/>
            <w:calcOnExit w:val="0"/>
            <w:textInput>
              <w:default w:val="2026"/>
            </w:textInput>
          </w:ffData>
        </w:fldChar>
      </w:r>
      <w:r>
        <w:rPr>
          <w:rFonts w:hint="eastAsia"/>
        </w:rPr>
        <w:instrText xml:space="preserve">FORMTEXT</w:instrText>
      </w:r>
      <w:r>
        <w:rPr>
          <w:rFonts w:hint="eastAsia"/>
        </w:rPr>
        <w:fldChar w:fldCharType="separate"/>
      </w:r>
      <w:r>
        <w:rPr>
          <w:rFonts w:hint="eastAsia"/>
        </w:rPr>
        <w:t>2026</w:t>
      </w:r>
      <w:r>
        <w:rPr>
          <w:rFonts w:hint="eastAsia"/>
        </w:rPr>
        <w:fldChar w:fldCharType="end"/>
      </w:r>
      <w:bookmarkEnd w:id="7"/>
    </w:p>
    <w:p w14:paraId="6BE222E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1A59171C">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B8DA11D">
      <w:pPr>
        <w:pStyle w:val="51"/>
        <w:framePr w:w="9639" w:h="6976" w:hRule="exact" w:hSpace="0" w:vSpace="0" w:wrap="around" w:hAnchor="page" w:y="6408"/>
        <w:jc w:val="center"/>
        <w:rPr>
          <w:rFonts w:ascii="黑体" w:hAnsi="黑体" w:eastAsia="黑体"/>
          <w:b w:val="0"/>
          <w:bCs w:val="0"/>
          <w:w w:val="100"/>
        </w:rPr>
      </w:pPr>
    </w:p>
    <w:p w14:paraId="0F7C0974">
      <w:pPr>
        <w:pStyle w:val="198"/>
        <w:framePr w:h="6974" w:hRule="exact" w:wrap="around" w:x="1419" w:anchorLock="1"/>
      </w:pPr>
      <w:bookmarkStart w:id="9" w:name="CSTD_NAME"/>
      <w:r>
        <w:rPr>
          <w:rFonts w:hint="eastAsia" w:ascii="黑体" w:hAnsi="黑体" w:eastAsia="黑体" w:cs="Times New Roman"/>
          <w:bCs/>
          <w:sz w:val="52"/>
          <w:lang w:val="en-US" w:eastAsia="zh-CN" w:bidi="ar-SA"/>
        </w:rPr>
        <w:fldChar w:fldCharType="begin">
          <w:ffData>
            <w:name w:val="CSTD_NAME"/>
            <w:enabled/>
            <w:calcOnExit w:val="0"/>
            <w:textInput>
              <w:default w:val="中医药研学康养服务规范"/>
            </w:textInput>
          </w:ffData>
        </w:fldChar>
      </w:r>
      <w:r>
        <w:rPr>
          <w:rFonts w:hint="eastAsia" w:ascii="黑体" w:hAnsi="黑体" w:eastAsia="黑体" w:cs="Times New Roman"/>
          <w:bCs/>
          <w:sz w:val="52"/>
          <w:lang w:val="en-US" w:eastAsia="zh-CN" w:bidi="ar-SA"/>
        </w:rPr>
        <w:instrText xml:space="preserve">FORMTEXT</w:instrText>
      </w:r>
      <w:r>
        <w:rPr>
          <w:rFonts w:hint="eastAsia" w:ascii="黑体" w:hAnsi="黑体" w:eastAsia="黑体" w:cs="Times New Roman"/>
          <w:bCs/>
          <w:sz w:val="52"/>
          <w:lang w:val="en-US" w:eastAsia="zh-CN" w:bidi="ar-SA"/>
        </w:rPr>
        <w:fldChar w:fldCharType="separate"/>
      </w:r>
      <w:r>
        <w:rPr>
          <w:rFonts w:hint="eastAsia" w:ascii="黑体" w:hAnsi="黑体" w:eastAsia="黑体" w:cs="Times New Roman"/>
          <w:bCs/>
          <w:sz w:val="52"/>
          <w:lang w:val="en-US" w:eastAsia="zh-CN" w:bidi="ar-SA"/>
        </w:rPr>
        <w:t>中医药研学康养服务规范</w:t>
      </w:r>
      <w:r>
        <w:rPr>
          <w:rFonts w:hint="eastAsia" w:ascii="黑体" w:hAnsi="黑体" w:eastAsia="黑体" w:cs="Times New Roman"/>
          <w:bCs/>
          <w:sz w:val="52"/>
          <w:lang w:val="en-US" w:eastAsia="zh-CN" w:bidi="ar-SA"/>
        </w:rPr>
        <w:fldChar w:fldCharType="end"/>
      </w:r>
      <w:bookmarkEnd w:id="9"/>
    </w:p>
    <w:p w14:paraId="6030E8D4">
      <w:pPr>
        <w:framePr w:w="9639" w:h="6974" w:hRule="exact" w:wrap="around" w:vAnchor="page" w:hAnchor="page" w:x="1419" w:y="6408" w:anchorLock="1"/>
        <w:ind w:left="-1418"/>
      </w:pPr>
    </w:p>
    <w:p w14:paraId="43013087">
      <w:pPr>
        <w:pStyle w:val="126"/>
        <w:framePr w:w="9639" w:h="6974" w:hRule="exact" w:wrap="around" w:vAnchor="page" w:hAnchor="page" w:x="1419" w:y="6408" w:anchorLock="1"/>
        <w:textAlignment w:val="bottom"/>
        <w:rPr>
          <w:rFonts w:eastAsia="黑体"/>
          <w:szCs w:val="28"/>
        </w:rPr>
      </w:pPr>
      <w:bookmarkStart w:id="10" w:name="ESTD_NAME"/>
      <w:r>
        <w:rPr>
          <w:rFonts w:eastAsia="黑体"/>
          <w:szCs w:val="28"/>
        </w:rPr>
        <w:fldChar w:fldCharType="begin">
          <w:ffData>
            <w:name w:val="ESTD_NAME"/>
            <w:enabled/>
            <w:calcOnExit w:val="0"/>
            <w:textInput>
              <w:default w:val="Specification for traditional chinese medicine health preservation study tour services"/>
            </w:textInput>
          </w:ffData>
        </w:fldChar>
      </w:r>
      <w:r>
        <w:rPr>
          <w:rFonts w:eastAsia="黑体"/>
          <w:szCs w:val="28"/>
        </w:rPr>
        <w:instrText xml:space="preserve">FORMTEXT</w:instrText>
      </w:r>
      <w:r>
        <w:rPr>
          <w:rFonts w:eastAsia="黑体"/>
          <w:szCs w:val="28"/>
        </w:rPr>
        <w:fldChar w:fldCharType="separate"/>
      </w:r>
      <w:r>
        <w:rPr>
          <w:rFonts w:eastAsia="黑体"/>
          <w:szCs w:val="28"/>
        </w:rPr>
        <w:t>Specification for traditional chinese medicine health preservation study tour services</w:t>
      </w:r>
      <w:r>
        <w:rPr>
          <w:rFonts w:eastAsia="黑体"/>
          <w:szCs w:val="28"/>
        </w:rPr>
        <w:fldChar w:fldCharType="end"/>
      </w:r>
      <w:bookmarkEnd w:id="10"/>
    </w:p>
    <w:p w14:paraId="02A0E859">
      <w:pPr>
        <w:framePr w:w="9639" w:h="6974" w:hRule="exact" w:wrap="around" w:vAnchor="page" w:hAnchor="page" w:x="1419" w:y="6408" w:anchorLock="1"/>
        <w:spacing w:line="760" w:lineRule="exact"/>
        <w:ind w:left="-1418"/>
      </w:pPr>
    </w:p>
    <w:p w14:paraId="6BDB8FE2">
      <w:pPr>
        <w:pStyle w:val="126"/>
        <w:framePr w:w="9639" w:h="6974" w:hRule="exact" w:wrap="around" w:vAnchor="page" w:hAnchor="page" w:x="1419" w:y="6408" w:anchorLock="1"/>
        <w:textAlignment w:val="bottom"/>
        <w:rPr>
          <w:rFonts w:eastAsia="黑体"/>
          <w:szCs w:val="28"/>
        </w:rPr>
      </w:pPr>
    </w:p>
    <w:p w14:paraId="505EB944">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77CBCAD3">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5C67A31">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4A9F5842">
      <w:pPr>
        <w:pStyle w:val="194"/>
        <w:framePr w:wrap="around" w:y="14176"/>
      </w:pPr>
      <w:bookmarkStart w:id="14" w:name="PLSH_DATE_Y"/>
      <w:r>
        <w:rPr>
          <w:rFonts w:hint="eastAsia" w:ascii="黑体"/>
        </w:rPr>
        <w:fldChar w:fldCharType="begin">
          <w:ffData>
            <w:name w:val="PLSH_DATE_Y"/>
            <w:enabled/>
            <w:calcOnExit w:val="0"/>
            <w:textInput>
              <w:default w:val="XXXX"/>
              <w:maxLength w:val="4"/>
            </w:textInput>
          </w:ffData>
        </w:fldChar>
      </w:r>
      <w:r>
        <w:rPr>
          <w:rFonts w:hint="eastAsia" w:ascii="黑体"/>
        </w:rPr>
        <w:instrText xml:space="preserve">FORMTEXT</w:instrText>
      </w:r>
      <w:r>
        <w:rPr>
          <w:rFonts w:hint="eastAsia" w:ascii="黑体"/>
        </w:rPr>
        <w:fldChar w:fldCharType="separate"/>
      </w:r>
      <w:r>
        <w:rPr>
          <w:rFonts w:hint="eastAsia" w:ascii="黑体"/>
        </w:rPr>
        <w:t>XXXX</w:t>
      </w:r>
      <w:r>
        <w:rPr>
          <w:rFonts w:hint="eastAsia" w:ascii="黑体"/>
        </w:rPr>
        <w:fldChar w:fldCharType="end"/>
      </w:r>
      <w:bookmarkEnd w:id="14"/>
      <w:r>
        <w:t xml:space="preserve"> </w:t>
      </w:r>
      <w:r>
        <w:rPr>
          <w:rFonts w:ascii="黑体"/>
        </w:rPr>
        <w:t>-</w:t>
      </w:r>
      <w:r>
        <w:t xml:space="preserve"> </w:t>
      </w:r>
      <w:bookmarkStart w:id="15" w:name="PLSH_DATE_M"/>
      <w:r>
        <w:rPr>
          <w:rFonts w:hint="eastAsia" w:ascii="黑体"/>
        </w:rPr>
        <w:fldChar w:fldCharType="begin">
          <w:ffData>
            <w:name w:val="PLSH_DATE_M"/>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5"/>
      <w:r>
        <w:t xml:space="preserve"> </w:t>
      </w:r>
      <w:r>
        <w:rPr>
          <w:rFonts w:ascii="黑体"/>
        </w:rPr>
        <w:t>-</w:t>
      </w:r>
      <w:r>
        <w:t xml:space="preserve"> </w:t>
      </w:r>
      <w:bookmarkStart w:id="16" w:name="PLSH_DATE_D"/>
      <w:r>
        <w:rPr>
          <w:rFonts w:hint="eastAsia" w:ascii="黑体"/>
        </w:rPr>
        <w:fldChar w:fldCharType="begin">
          <w:ffData>
            <w:name w:val="PLSH_DATE_D"/>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6"/>
      <w:r>
        <w:rPr>
          <w:rFonts w:hint="eastAsia"/>
        </w:rPr>
        <w:t>发布</w:t>
      </w:r>
    </w:p>
    <w:p w14:paraId="46C51520">
      <w:pPr>
        <w:pStyle w:val="195"/>
        <w:framePr w:wrap="around" w:y="14176"/>
      </w:pPr>
      <w:bookmarkStart w:id="17" w:name="CROT_DATE_Y"/>
      <w:r>
        <w:rPr>
          <w:rFonts w:hint="eastAsia" w:ascii="黑体"/>
        </w:rPr>
        <w:fldChar w:fldCharType="begin">
          <w:ffData>
            <w:name w:val="CROT_DATE_Y"/>
            <w:enabled/>
            <w:calcOnExit w:val="0"/>
            <w:textInput>
              <w:default w:val="XXXX"/>
              <w:maxLength w:val="4"/>
            </w:textInput>
          </w:ffData>
        </w:fldChar>
      </w:r>
      <w:r>
        <w:rPr>
          <w:rFonts w:hint="eastAsia" w:ascii="黑体"/>
        </w:rPr>
        <w:instrText xml:space="preserve">FORMTEXT</w:instrText>
      </w:r>
      <w:r>
        <w:rPr>
          <w:rFonts w:hint="eastAsia" w:ascii="黑体"/>
        </w:rPr>
        <w:fldChar w:fldCharType="separate"/>
      </w:r>
      <w:r>
        <w:rPr>
          <w:rFonts w:hint="eastAsia" w:ascii="黑体"/>
        </w:rPr>
        <w:t>XXXX</w:t>
      </w:r>
      <w:r>
        <w:rPr>
          <w:rFonts w:hint="eastAsia" w:ascii="黑体"/>
        </w:rPr>
        <w:fldChar w:fldCharType="end"/>
      </w:r>
      <w:bookmarkEnd w:id="17"/>
      <w:r>
        <w:t xml:space="preserve"> </w:t>
      </w:r>
      <w:r>
        <w:rPr>
          <w:rFonts w:ascii="黑体"/>
        </w:rPr>
        <w:t>-</w:t>
      </w:r>
      <w:r>
        <w:t xml:space="preserve"> </w:t>
      </w:r>
      <w:bookmarkStart w:id="18" w:name="CROT_DATE_M"/>
      <w:r>
        <w:rPr>
          <w:rFonts w:hint="eastAsia" w:ascii="黑体"/>
        </w:rPr>
        <w:fldChar w:fldCharType="begin">
          <w:ffData>
            <w:name w:val="CROT_DATE_M"/>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8"/>
      <w:r>
        <w:t xml:space="preserve"> </w:t>
      </w:r>
      <w:r>
        <w:rPr>
          <w:rFonts w:ascii="黑体"/>
        </w:rPr>
        <w:t>-</w:t>
      </w:r>
      <w:r>
        <w:t xml:space="preserve"> </w:t>
      </w:r>
      <w:bookmarkStart w:id="19" w:name="CROT_DATE_D"/>
      <w:r>
        <w:rPr>
          <w:rFonts w:hint="eastAsia" w:ascii="黑体"/>
        </w:rPr>
        <w:fldChar w:fldCharType="begin">
          <w:ffData>
            <w:name w:val="CROT_DATE_D"/>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9"/>
      <w:r>
        <w:rPr>
          <w:rFonts w:hint="eastAsia"/>
        </w:rPr>
        <w:t>实施</w:t>
      </w:r>
    </w:p>
    <w:p w14:paraId="0250524D">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亳州市</w:t>
      </w:r>
      <w:r>
        <w:rPr>
          <w:rFonts w:hAnsi="黑体"/>
          <w:w w:val="100"/>
          <w:sz w:val="28"/>
        </w:rPr>
        <w:t>健康养生产业协会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65174214">
      <w:pPr>
        <w:rPr>
          <w:rFonts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B5CBCDB">
      <w:pPr>
        <w:pStyle w:val="90"/>
        <w:spacing w:after="360"/>
      </w:pPr>
      <w:bookmarkStart w:id="21" w:name="BookMark2"/>
      <w:r>
        <w:rPr>
          <w:spacing w:val="320"/>
        </w:rPr>
        <w:t>前</w:t>
      </w:r>
      <w:r>
        <w:t>言</w:t>
      </w:r>
    </w:p>
    <w:p w14:paraId="2E05D345">
      <w:pPr>
        <w:pStyle w:val="57"/>
        <w:ind w:firstLine="420"/>
      </w:pPr>
      <w:r>
        <w:rPr>
          <w:rFonts w:hint="eastAsia"/>
        </w:rPr>
        <w:t>本文件按照GB/T 1.1—2020《标准化工作导则  第1部分：标准化文件的结构和起草规则》的规定起草。</w:t>
      </w:r>
    </w:p>
    <w:p w14:paraId="6E1543CC">
      <w:pPr>
        <w:pStyle w:val="57"/>
        <w:ind w:firstLine="420"/>
      </w:pPr>
      <w:r>
        <w:rPr>
          <w:rFonts w:hint="eastAsia"/>
        </w:rPr>
        <w:t>请注意本文件的某些内容可能涉及专利。本文件的发布机构不承担识别专利的责任。</w:t>
      </w:r>
    </w:p>
    <w:p w14:paraId="55840EA4">
      <w:pPr>
        <w:pStyle w:val="57"/>
        <w:ind w:firstLine="420"/>
      </w:pPr>
      <w:r>
        <w:rPr>
          <w:rFonts w:hint="eastAsia"/>
        </w:rPr>
        <w:t>本文件由亳州市健康养生产业协会提出并归口。</w:t>
      </w:r>
    </w:p>
    <w:p w14:paraId="5B3074D9">
      <w:pPr>
        <w:pStyle w:val="57"/>
        <w:ind w:firstLine="420"/>
      </w:pPr>
      <w:r>
        <w:rPr>
          <w:rFonts w:hint="eastAsia"/>
        </w:rPr>
        <w:t>本文件起草单位：。</w:t>
      </w:r>
    </w:p>
    <w:p w14:paraId="3176AAC6">
      <w:pPr>
        <w:pStyle w:val="57"/>
        <w:ind w:firstLine="420"/>
      </w:pPr>
      <w:r>
        <w:rPr>
          <w:rFonts w:hint="eastAsia"/>
        </w:rPr>
        <w:t>本文件主要起草人：。</w:t>
      </w:r>
    </w:p>
    <w:p w14:paraId="58F34EC0">
      <w:pPr>
        <w:pStyle w:val="57"/>
        <w:ind w:firstLine="420"/>
      </w:pPr>
    </w:p>
    <w:p w14:paraId="7AEB11EB">
      <w:pPr>
        <w:pStyle w:val="57"/>
        <w:ind w:firstLine="420"/>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p>
    <w:bookmarkEnd w:id="21"/>
    <w:p w14:paraId="5A2FDCC4">
      <w:pPr>
        <w:spacing w:line="20" w:lineRule="exact"/>
        <w:jc w:val="center"/>
        <w:rPr>
          <w:rFonts w:ascii="黑体" w:hAnsi="黑体" w:eastAsia="黑体"/>
          <w:sz w:val="32"/>
          <w:szCs w:val="32"/>
        </w:rPr>
      </w:pPr>
      <w:bookmarkStart w:id="22" w:name="BookMark4"/>
    </w:p>
    <w:p w14:paraId="3C81DFE1">
      <w:pPr>
        <w:spacing w:line="20" w:lineRule="exact"/>
        <w:jc w:val="center"/>
        <w:rPr>
          <w:rFonts w:ascii="黑体" w:hAnsi="黑体" w:eastAsia="黑体"/>
          <w:sz w:val="32"/>
          <w:szCs w:val="32"/>
        </w:rPr>
      </w:pPr>
    </w:p>
    <w:sdt>
      <w:sdtPr>
        <w:tag w:val="NEW_STAND_NAME"/>
        <w:id w:val="595910757"/>
        <w:lock w:val="sdtLocked"/>
        <w:placeholder>
          <w:docPart w:val="BFFE33E43DCE4735BB3D5A2D46CBDA62"/>
        </w:placeholder>
      </w:sdtPr>
      <w:sdtContent>
        <w:p w14:paraId="5806826C">
          <w:pPr>
            <w:pStyle w:val="178"/>
            <w:spacing w:before="240" w:beforeLines="100" w:after="528" w:afterLines="220"/>
          </w:pPr>
          <w:bookmarkStart w:id="23" w:name="NEW_STAND_NAME"/>
          <w:r>
            <w:rPr>
              <w:rFonts w:hint="eastAsia"/>
            </w:rPr>
            <w:t>中医药研学</w:t>
          </w:r>
          <w:r>
            <w:rPr>
              <w:rFonts w:hint="eastAsia"/>
              <w:lang w:val="en-US" w:eastAsia="zh-CN"/>
            </w:rPr>
            <w:t>康养</w:t>
          </w:r>
          <w:r>
            <w:rPr>
              <w:rFonts w:hint="eastAsia"/>
            </w:rPr>
            <w:t>服务规范</w:t>
          </w:r>
        </w:p>
      </w:sdtContent>
    </w:sdt>
    <w:bookmarkEnd w:id="23"/>
    <w:p w14:paraId="113BB2E0">
      <w:pPr>
        <w:pStyle w:val="105"/>
        <w:spacing w:before="240" w:after="240"/>
      </w:pPr>
      <w:bookmarkStart w:id="24" w:name="_Toc17233333"/>
      <w:bookmarkStart w:id="25" w:name="_Toc17233325"/>
      <w:bookmarkStart w:id="26" w:name="_Toc26718930"/>
      <w:bookmarkStart w:id="27" w:name="_Toc24884211"/>
      <w:bookmarkStart w:id="28" w:name="_Toc97192964"/>
      <w:bookmarkStart w:id="29" w:name="_Toc26648465"/>
      <w:bookmarkStart w:id="30" w:name="_Toc26986771"/>
      <w:bookmarkStart w:id="31" w:name="_Toc24884218"/>
      <w:bookmarkStart w:id="32" w:name="_Toc26986530"/>
      <w:r>
        <w:rPr>
          <w:rFonts w:hint="eastAsia"/>
        </w:rPr>
        <w:t>范围</w:t>
      </w:r>
      <w:bookmarkEnd w:id="24"/>
      <w:bookmarkEnd w:id="25"/>
      <w:bookmarkEnd w:id="26"/>
      <w:bookmarkEnd w:id="27"/>
      <w:bookmarkEnd w:id="28"/>
      <w:bookmarkEnd w:id="29"/>
      <w:bookmarkEnd w:id="30"/>
      <w:bookmarkEnd w:id="31"/>
      <w:bookmarkEnd w:id="32"/>
    </w:p>
    <w:p w14:paraId="052D46CC">
      <w:pPr>
        <w:pStyle w:val="57"/>
        <w:ind w:firstLine="420"/>
      </w:pPr>
      <w:bookmarkStart w:id="33" w:name="_Toc17233326"/>
      <w:bookmarkStart w:id="34" w:name="_Toc26648466"/>
      <w:bookmarkStart w:id="35" w:name="_Toc24884219"/>
      <w:bookmarkStart w:id="36" w:name="_Toc24884212"/>
      <w:bookmarkStart w:id="37" w:name="_Toc17233334"/>
      <w:r>
        <w:rPr>
          <w:rFonts w:hint="eastAsia"/>
        </w:rPr>
        <w:t>本文件规定了中医药</w:t>
      </w:r>
      <w:r>
        <w:rPr>
          <w:rFonts w:hint="eastAsia"/>
          <w:lang w:val="en-US" w:eastAsia="zh-CN"/>
        </w:rPr>
        <w:t>研学</w:t>
      </w:r>
      <w:r>
        <w:rPr>
          <w:rFonts w:hint="eastAsia"/>
        </w:rPr>
        <w:t>康养服务的基本原则、组织管理、服务内容与要求、服务流程、服务评价与改进。</w:t>
      </w:r>
    </w:p>
    <w:p w14:paraId="73AC4FDD">
      <w:pPr>
        <w:pStyle w:val="57"/>
        <w:ind w:firstLine="420"/>
      </w:pPr>
      <w:r>
        <w:rPr>
          <w:rFonts w:hint="eastAsia"/>
        </w:rPr>
        <w:t>本文件适用于中医药研学</w:t>
      </w:r>
      <w:r>
        <w:rPr>
          <w:rFonts w:hint="eastAsia"/>
          <w:lang w:val="en-US" w:eastAsia="zh-CN"/>
        </w:rPr>
        <w:t>康养</w:t>
      </w:r>
      <w:bookmarkStart w:id="51" w:name="_GoBack"/>
      <w:bookmarkEnd w:id="51"/>
      <w:r>
        <w:rPr>
          <w:rFonts w:hint="eastAsia"/>
        </w:rPr>
        <w:t>服务规范。</w:t>
      </w:r>
    </w:p>
    <w:p w14:paraId="193243F0">
      <w:pPr>
        <w:pStyle w:val="105"/>
        <w:spacing w:before="240" w:after="240"/>
      </w:pPr>
      <w:bookmarkStart w:id="38" w:name="_Toc26718931"/>
      <w:bookmarkStart w:id="39" w:name="_Toc26986531"/>
      <w:bookmarkStart w:id="40" w:name="_Toc97192965"/>
      <w:bookmarkStart w:id="41" w:name="_Toc26986772"/>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17747FD179E6477F8B51AA623E58E8F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59DE9536">
          <w:pPr>
            <w:pStyle w:val="57"/>
            <w:ind w:firstLine="420"/>
          </w:pPr>
          <w:r>
            <w:rPr>
              <w:rFonts w:hint="eastAsia"/>
            </w:rPr>
            <w:t>本文件没有规范性引用文件。</w:t>
          </w:r>
        </w:p>
      </w:sdtContent>
    </w:sdt>
    <w:p w14:paraId="63B3E66A">
      <w:pPr>
        <w:pStyle w:val="105"/>
        <w:spacing w:before="240" w:after="240"/>
      </w:pPr>
      <w:bookmarkStart w:id="42" w:name="_Toc97192966"/>
      <w:r>
        <w:rPr>
          <w:rFonts w:hint="eastAsia"/>
          <w:szCs w:val="21"/>
        </w:rPr>
        <w:t>术语和定义</w:t>
      </w:r>
      <w:bookmarkEnd w:id="42"/>
    </w:p>
    <w:sdt>
      <w:sdtPr>
        <w:id w:val="-1"/>
        <w:placeholder>
          <w:docPart w:val="C3E23CEBBDD349F4B7BFDE1428174FB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496380EF">
          <w:pPr>
            <w:pStyle w:val="57"/>
            <w:ind w:firstLine="420"/>
          </w:pPr>
          <w:bookmarkStart w:id="43" w:name="_Toc26986532"/>
          <w:bookmarkEnd w:id="43"/>
          <w:r>
            <w:t>本文件没有需要界定的术语和定义。</w:t>
          </w:r>
        </w:p>
      </w:sdtContent>
    </w:sdt>
    <w:p w14:paraId="4852977C">
      <w:pPr>
        <w:pStyle w:val="105"/>
        <w:spacing w:before="240" w:after="240"/>
        <w:rPr>
          <w:rFonts w:hint="eastAsia"/>
        </w:rPr>
      </w:pPr>
      <w:r>
        <w:rPr>
          <w:rFonts w:hint="eastAsia"/>
        </w:rPr>
        <w:t xml:space="preserve">基本原则 </w:t>
      </w:r>
    </w:p>
    <w:p w14:paraId="05EC6443">
      <w:pPr>
        <w:pStyle w:val="106"/>
        <w:spacing w:before="120" w:after="120"/>
      </w:pPr>
      <w:r>
        <w:rPr>
          <w:rFonts w:hint="eastAsia"/>
        </w:rPr>
        <w:t>合法合规与安全优先</w:t>
      </w:r>
    </w:p>
    <w:p w14:paraId="36C8F918">
      <w:pPr>
        <w:pStyle w:val="57"/>
        <w:ind w:firstLine="420"/>
      </w:pPr>
      <w:r>
        <w:rPr>
          <w:rFonts w:hint="eastAsia"/>
        </w:rPr>
        <w:t>遵守国家法律法规，符合国家中医药相关政策，执行相关强制性标准，始终将参与者的人身健康与安全置于首位。</w:t>
      </w:r>
    </w:p>
    <w:p w14:paraId="7BBD6B2A">
      <w:pPr>
        <w:pStyle w:val="106"/>
        <w:spacing w:before="120" w:after="120"/>
      </w:pPr>
      <w:r>
        <w:rPr>
          <w:rFonts w:hint="eastAsia"/>
        </w:rPr>
        <w:t>文化传承与创新驱动</w:t>
      </w:r>
    </w:p>
    <w:p w14:paraId="0B202DA7">
      <w:pPr>
        <w:pStyle w:val="166"/>
        <w:numPr>
          <w:ilvl w:val="3"/>
          <w:numId w:val="0"/>
        </w:numPr>
        <w:ind w:firstLine="420" w:firstLineChars="200"/>
      </w:pPr>
      <w:r>
        <w:rPr>
          <w:rFonts w:hint="eastAsia"/>
        </w:rPr>
        <w:t>聚焦中医药康养领域的新业态、新模式，在深入挖掘与科学论证传统文化和自然遗产价值的基础上，进行创造性转化与创新性发展。</w:t>
      </w:r>
    </w:p>
    <w:p w14:paraId="4A91478B">
      <w:pPr>
        <w:pStyle w:val="106"/>
        <w:spacing w:before="120" w:after="120"/>
      </w:pPr>
      <w:r>
        <w:rPr>
          <w:rFonts w:hint="eastAsia"/>
        </w:rPr>
        <w:t>科学性与体验性并重</w:t>
      </w:r>
    </w:p>
    <w:p w14:paraId="2C76D910">
      <w:pPr>
        <w:pStyle w:val="166"/>
        <w:numPr>
          <w:ilvl w:val="3"/>
          <w:numId w:val="0"/>
        </w:numPr>
        <w:ind w:firstLine="420" w:firstLineChars="200"/>
      </w:pPr>
      <w:r>
        <w:rPr>
          <w:rFonts w:hint="eastAsia"/>
        </w:rPr>
        <w:t>应基于科学技术研究成果和社会实践经验，确保中医药知识传递的科学准确；同时注重设计互动性、沉浸式体验环节，做到技术上先进、体验上合理。</w:t>
      </w:r>
    </w:p>
    <w:p w14:paraId="53492B02">
      <w:pPr>
        <w:pStyle w:val="106"/>
        <w:spacing w:before="120" w:after="120"/>
      </w:pPr>
      <w:r>
        <w:rPr>
          <w:rFonts w:hint="eastAsia"/>
        </w:rPr>
        <w:t>公益普惠与质量提升</w:t>
      </w:r>
    </w:p>
    <w:p w14:paraId="338673FA">
      <w:pPr>
        <w:pStyle w:val="166"/>
        <w:numPr>
          <w:ilvl w:val="3"/>
          <w:numId w:val="0"/>
        </w:numPr>
        <w:ind w:firstLine="420" w:firstLineChars="200"/>
      </w:pPr>
      <w:r>
        <w:rPr>
          <w:rFonts w:hint="eastAsia"/>
        </w:rPr>
        <w:t>在保障服务基本品质与知识含量的前提下，注重服务的可及性，提升整体服务质量与效益。</w:t>
      </w:r>
    </w:p>
    <w:p w14:paraId="06328D78">
      <w:pPr>
        <w:pStyle w:val="105"/>
        <w:spacing w:before="240" w:after="240"/>
      </w:pPr>
      <w:r>
        <w:rPr>
          <w:rFonts w:hint="eastAsia"/>
        </w:rPr>
        <w:t>组织管理</w:t>
      </w:r>
    </w:p>
    <w:p w14:paraId="3C6B73CE">
      <w:pPr>
        <w:pStyle w:val="106"/>
        <w:spacing w:before="120" w:after="120"/>
      </w:pPr>
      <w:r>
        <w:rPr>
          <w:rFonts w:hint="eastAsia"/>
        </w:rPr>
        <w:t>机构与人员资质</w:t>
      </w:r>
    </w:p>
    <w:p w14:paraId="2B58C903">
      <w:pPr>
        <w:pStyle w:val="166"/>
      </w:pPr>
      <w:r>
        <w:rPr>
          <w:rFonts w:hint="eastAsia"/>
        </w:rPr>
        <w:t>提供</w:t>
      </w:r>
      <w:r>
        <w:rPr>
          <w:rFonts w:hint="eastAsia"/>
          <w:lang w:eastAsia="zh-CN"/>
        </w:rPr>
        <w:t>中医药研学康养</w:t>
      </w:r>
      <w:r>
        <w:rPr>
          <w:rFonts w:hint="eastAsia"/>
        </w:rPr>
        <w:t>服务的机构，应具备合法的经营资质，并建立健全相应的内部管理与服务规范。</w:t>
      </w:r>
    </w:p>
    <w:p w14:paraId="3891D206">
      <w:pPr>
        <w:pStyle w:val="166"/>
      </w:pPr>
      <w:r>
        <w:rPr>
          <w:rFonts w:hint="eastAsia"/>
        </w:rPr>
        <w:t>研学导师、体验指导师、健康顾问应具有较高的理论水平和丰富的实践经验。</w:t>
      </w:r>
    </w:p>
    <w:p w14:paraId="2E9E8087">
      <w:pPr>
        <w:pStyle w:val="166"/>
      </w:pPr>
      <w:r>
        <w:rPr>
          <w:rFonts w:hint="eastAsia"/>
        </w:rPr>
        <w:t>宜配备具有中医药、教育、旅游、心理学等相关专业背景或资质的人员。</w:t>
      </w:r>
    </w:p>
    <w:p w14:paraId="5DC1790D">
      <w:pPr>
        <w:pStyle w:val="166"/>
      </w:pPr>
      <w:r>
        <w:rPr>
          <w:rFonts w:hint="eastAsia"/>
        </w:rPr>
        <w:t>所有直接服务人员应接受必要的岗前培训，内容包括但不限于：制度建设、安全知识、急救技能、服务礼仪及特定主题活动专业知识。</w:t>
      </w:r>
    </w:p>
    <w:p w14:paraId="0940FC22">
      <w:pPr>
        <w:pStyle w:val="106"/>
        <w:spacing w:before="120" w:after="120"/>
      </w:pPr>
      <w:r>
        <w:rPr>
          <w:rFonts w:hint="eastAsia"/>
        </w:rPr>
        <w:t>资源与环境保障</w:t>
      </w:r>
    </w:p>
    <w:p w14:paraId="5BBCBF42">
      <w:pPr>
        <w:pStyle w:val="166"/>
      </w:pPr>
      <w:r>
        <w:rPr>
          <w:rFonts w:hint="eastAsia"/>
        </w:rPr>
        <w:t>活动场地应符合安全、卫生、环保要求，室内外环境应满足活动主题需要。</w:t>
      </w:r>
    </w:p>
    <w:p w14:paraId="0FB86C0A">
      <w:pPr>
        <w:pStyle w:val="166"/>
      </w:pPr>
      <w:r>
        <w:rPr>
          <w:rFonts w:hint="eastAsia"/>
        </w:rPr>
        <w:t>体验活动所使用的药材、工具、材料等应符合国家相关质量与安全标准，特别是直接接触人体的物品应安全、卫生。</w:t>
      </w:r>
    </w:p>
    <w:p w14:paraId="3075CAA8">
      <w:pPr>
        <w:pStyle w:val="166"/>
      </w:pPr>
      <w:r>
        <w:rPr>
          <w:rFonts w:hint="eastAsia"/>
        </w:rPr>
        <w:t>应提前向参与者公开服务内容、行程安排、费用构成、注意事项、师资力量等基本信息。</w:t>
      </w:r>
    </w:p>
    <w:p w14:paraId="4FC01746">
      <w:pPr>
        <w:pStyle w:val="105"/>
        <w:spacing w:before="240" w:after="240"/>
      </w:pPr>
      <w:r>
        <w:rPr>
          <w:rFonts w:hint="eastAsia"/>
        </w:rPr>
        <w:t>服务内容与要求</w:t>
      </w:r>
    </w:p>
    <w:p w14:paraId="5A21693E">
      <w:pPr>
        <w:pStyle w:val="106"/>
        <w:spacing w:before="120" w:after="120"/>
      </w:pPr>
      <w:r>
        <w:rPr>
          <w:rFonts w:hint="eastAsia"/>
        </w:rPr>
        <w:t>核心主题与元素融合</w:t>
      </w:r>
    </w:p>
    <w:p w14:paraId="54F01860">
      <w:pPr>
        <w:pStyle w:val="66"/>
        <w:spacing w:before="120" w:after="120"/>
      </w:pPr>
      <w:r>
        <w:rPr>
          <w:rFonts w:hint="eastAsia"/>
        </w:rPr>
        <w:t>农耕文化中的康养智慧</w:t>
      </w:r>
    </w:p>
    <w:p w14:paraId="0EC5728F">
      <w:pPr>
        <w:pStyle w:val="57"/>
        <w:ind w:firstLine="420"/>
      </w:pPr>
      <w:r>
        <w:rPr>
          <w:rFonts w:hint="eastAsia"/>
        </w:rPr>
        <w:t>挖掘传统农耕活动中顺应天时、劳逸结合、饮食节律等养生理念，设计如节气农事体验、生态种植认知、药食同源作物辨识等活动。</w:t>
      </w:r>
    </w:p>
    <w:p w14:paraId="58EFED44">
      <w:pPr>
        <w:pStyle w:val="66"/>
        <w:spacing w:before="120" w:after="120"/>
      </w:pPr>
      <w:r>
        <w:rPr>
          <w:rFonts w:hint="eastAsia"/>
        </w:rPr>
        <w:t>中医药文化中的生命哲学</w:t>
      </w:r>
    </w:p>
    <w:p w14:paraId="2FD43516">
      <w:pPr>
        <w:pStyle w:val="57"/>
        <w:ind w:firstLine="420"/>
      </w:pPr>
      <w:r>
        <w:rPr>
          <w:rFonts w:hint="eastAsia"/>
        </w:rPr>
        <w:t>系统展示中医药学“天人相应”、“形神一体”、“治未病”等核心思想。包括不限于：中药材辨识与炮制体验、中医养生功法（如太极拳、八段锦）教学、经典养生方剂与文化讲解等。</w:t>
      </w:r>
    </w:p>
    <w:p w14:paraId="3B7B8249">
      <w:pPr>
        <w:pStyle w:val="66"/>
        <w:spacing w:before="120" w:after="120"/>
      </w:pPr>
      <w:r>
        <w:rPr>
          <w:rFonts w:hint="eastAsia"/>
        </w:rPr>
        <w:t>红色文化中的精神滋养</w:t>
      </w:r>
    </w:p>
    <w:p w14:paraId="44FC9697">
      <w:pPr>
        <w:pStyle w:val="57"/>
        <w:ind w:firstLine="420"/>
      </w:pPr>
      <w:r>
        <w:rPr>
          <w:rFonts w:hint="eastAsia"/>
        </w:rPr>
        <w:t>结合本地红色资源，提炼革命先辈艰苦奋斗、乐观向上的精神力量，将其作为心理康养和价值观培育的重要内容，设计红色足迹寻访、故事分享会等环节。</w:t>
      </w:r>
    </w:p>
    <w:p w14:paraId="21BFDAAA">
      <w:pPr>
        <w:pStyle w:val="66"/>
        <w:spacing w:before="120" w:after="120"/>
      </w:pPr>
      <w:r>
        <w:rPr>
          <w:rFonts w:hint="eastAsia"/>
        </w:rPr>
        <w:t>自然与文化遗产的活化利用</w:t>
      </w:r>
    </w:p>
    <w:p w14:paraId="7D76C893">
      <w:pPr>
        <w:pStyle w:val="57"/>
        <w:ind w:firstLine="420"/>
      </w:pPr>
      <w:r>
        <w:rPr>
          <w:rFonts w:hint="eastAsia"/>
        </w:rPr>
        <w:t>充分利用亳州本地的自然景观、历史遗迹、非物质文化遗产等资源，将其转化为可体验、可感知的康养研学场景，如在历史街区进行中医文化寻踪，在自然景区开展生态疗愈活动。</w:t>
      </w:r>
    </w:p>
    <w:p w14:paraId="70A7635B">
      <w:pPr>
        <w:pStyle w:val="106"/>
        <w:spacing w:before="120" w:after="120"/>
      </w:pPr>
      <w:r>
        <w:rPr>
          <w:rFonts w:hint="eastAsia"/>
        </w:rPr>
        <w:t xml:space="preserve">分龄化与个性化设计 </w:t>
      </w:r>
    </w:p>
    <w:p w14:paraId="6644731D">
      <w:pPr>
        <w:pStyle w:val="66"/>
        <w:spacing w:before="120" w:after="120"/>
      </w:pPr>
      <w:r>
        <w:rPr>
          <w:rFonts w:hint="eastAsia"/>
        </w:rPr>
        <w:t>老年群体</w:t>
      </w:r>
    </w:p>
    <w:p w14:paraId="189CEBDB">
      <w:pPr>
        <w:pStyle w:val="57"/>
        <w:ind w:firstLine="420"/>
      </w:pPr>
      <w:r>
        <w:rPr>
          <w:rFonts w:hint="eastAsia"/>
        </w:rPr>
        <w:t>侧重养生保健知识普及、舒缓身心活动（如药浴体验、养生茶饮制作）、文化回忆与分享，节奏宜缓，注重社交与情感关怀。</w:t>
      </w:r>
    </w:p>
    <w:p w14:paraId="0CC8E1B5">
      <w:pPr>
        <w:pStyle w:val="66"/>
        <w:spacing w:before="120" w:after="120"/>
      </w:pPr>
      <w:r>
        <w:rPr>
          <w:rFonts w:hint="eastAsia"/>
        </w:rPr>
        <w:t>中青年群体</w:t>
      </w:r>
    </w:p>
    <w:p w14:paraId="33AED930">
      <w:pPr>
        <w:pStyle w:val="57"/>
        <w:ind w:firstLine="420"/>
      </w:pPr>
      <w:r>
        <w:rPr>
          <w:rFonts w:hint="eastAsia"/>
        </w:rPr>
        <w:t>侧重压力管理、亚健康调理、传统文化深度体验与技能学习（如中药香囊制作、针灸推拿基础认知），可融入更多互动研讨与实践环节。</w:t>
      </w:r>
    </w:p>
    <w:p w14:paraId="6E36D89F">
      <w:pPr>
        <w:pStyle w:val="66"/>
        <w:spacing w:before="120" w:after="120"/>
      </w:pPr>
      <w:r>
        <w:rPr>
          <w:rFonts w:hint="eastAsia"/>
        </w:rPr>
        <w:t>青少年与儿童群体</w:t>
      </w:r>
    </w:p>
    <w:p w14:paraId="6B6B265F">
      <w:pPr>
        <w:pStyle w:val="57"/>
        <w:ind w:firstLine="420"/>
      </w:pPr>
      <w:r>
        <w:rPr>
          <w:rFonts w:hint="eastAsia"/>
        </w:rPr>
        <w:t>侧重趣味性、启蒙性，通过故事、游戏、手工制作（如辨识草药画、制作简易艾条）等形式，激发对中医药和自然文化的兴趣，培养健康生活习惯。</w:t>
      </w:r>
    </w:p>
    <w:p w14:paraId="2CE39796">
      <w:pPr>
        <w:pStyle w:val="106"/>
        <w:spacing w:before="120" w:after="120"/>
      </w:pPr>
      <w:r>
        <w:rPr>
          <w:rFonts w:hint="eastAsia"/>
        </w:rPr>
        <w:t>知识体系构建与讲解要求</w:t>
      </w:r>
    </w:p>
    <w:p w14:paraId="3AD7AB5A">
      <w:pPr>
        <w:pStyle w:val="166"/>
      </w:pPr>
      <w:r>
        <w:rPr>
          <w:rFonts w:hint="eastAsia"/>
        </w:rPr>
        <w:t>服务应构建系统、准确的知识讲解体系，内容须经过权威资料核实或由相关领域专家审定。</w:t>
      </w:r>
    </w:p>
    <w:p w14:paraId="6CFFFAF5">
      <w:pPr>
        <w:pStyle w:val="166"/>
      </w:pPr>
      <w:r>
        <w:rPr>
          <w:rFonts w:hint="eastAsia"/>
        </w:rPr>
        <w:t>讲解人员应具备相应的专业知识与讲解能力，能够将深奥的文化与医学知识转化为通俗易懂、生动有趣的语言。</w:t>
      </w:r>
    </w:p>
    <w:p w14:paraId="6148A000">
      <w:pPr>
        <w:pStyle w:val="166"/>
      </w:pPr>
      <w:r>
        <w:rPr>
          <w:rFonts w:hint="eastAsia"/>
        </w:rPr>
        <w:t>鼓励编制针对不同年龄段、不同主题的标准化讲解词与辅助教材，并定期更新。</w:t>
      </w:r>
    </w:p>
    <w:p w14:paraId="79109E1E">
      <w:pPr>
        <w:pStyle w:val="106"/>
        <w:spacing w:before="120" w:after="120"/>
      </w:pPr>
      <w:r>
        <w:rPr>
          <w:rFonts w:hint="eastAsia"/>
        </w:rPr>
        <w:t>体验活动设计规范</w:t>
      </w:r>
    </w:p>
    <w:p w14:paraId="6750E0F3">
      <w:pPr>
        <w:pStyle w:val="66"/>
        <w:spacing w:before="120" w:after="120"/>
      </w:pPr>
      <w:r>
        <w:rPr>
          <w:rFonts w:hint="eastAsia"/>
        </w:rPr>
        <w:t>安全性</w:t>
      </w:r>
    </w:p>
    <w:p w14:paraId="412B41D9">
      <w:pPr>
        <w:pStyle w:val="57"/>
        <w:ind w:firstLine="420"/>
      </w:pPr>
      <w:r>
        <w:rPr>
          <w:rFonts w:hint="eastAsia"/>
        </w:rPr>
        <w:t>体验活动中涉及身体活动、药材接触、工具使用的环节应事先进行风险评估，制定明确的安全操作规程和应急预案。</w:t>
      </w:r>
    </w:p>
    <w:p w14:paraId="0D260AA5">
      <w:pPr>
        <w:pStyle w:val="66"/>
        <w:spacing w:before="120" w:after="120"/>
      </w:pPr>
      <w:r>
        <w:rPr>
          <w:rFonts w:hint="eastAsia"/>
        </w:rPr>
        <w:t>互动性</w:t>
      </w:r>
    </w:p>
    <w:p w14:paraId="41333D99">
      <w:pPr>
        <w:pStyle w:val="57"/>
        <w:ind w:firstLine="420"/>
      </w:pPr>
      <w:r>
        <w:rPr>
          <w:rFonts w:hint="eastAsia"/>
        </w:rPr>
        <w:t>宜鼓励参与者动手、动脑、动心，避免单向灌输。包括不限于：设置药材采摘、古法炮制模拟、养生膳食制作等环节。</w:t>
      </w:r>
    </w:p>
    <w:p w14:paraId="0EA52B7D">
      <w:pPr>
        <w:pStyle w:val="66"/>
        <w:spacing w:before="120" w:after="120"/>
      </w:pPr>
      <w:r>
        <w:rPr>
          <w:rFonts w:hint="eastAsia"/>
        </w:rPr>
        <w:t>感悟性</w:t>
      </w:r>
    </w:p>
    <w:p w14:paraId="1B873B98">
      <w:pPr>
        <w:pStyle w:val="57"/>
        <w:ind w:firstLine="420"/>
      </w:pPr>
      <w:r>
        <w:rPr>
          <w:rFonts w:hint="eastAsia"/>
        </w:rPr>
        <w:t>宜通过环境营造、环节引导、分享总结等方式，创造让参与者静心思考、连接自然、感悟生命意义的机会与空间。</w:t>
      </w:r>
    </w:p>
    <w:p w14:paraId="4092E465">
      <w:pPr>
        <w:pStyle w:val="105"/>
        <w:spacing w:before="240" w:after="240"/>
      </w:pPr>
      <w:r>
        <w:rPr>
          <w:rFonts w:hint="eastAsia"/>
        </w:rPr>
        <w:t>服务流程</w:t>
      </w:r>
    </w:p>
    <w:p w14:paraId="5F386943">
      <w:pPr>
        <w:pStyle w:val="106"/>
        <w:spacing w:before="120" w:after="120"/>
      </w:pPr>
      <w:r>
        <w:rPr>
          <w:rFonts w:hint="eastAsia"/>
        </w:rPr>
        <w:t xml:space="preserve">前期策划与备案阶段 </w:t>
      </w:r>
    </w:p>
    <w:p w14:paraId="07EC8EFB">
      <w:pPr>
        <w:pStyle w:val="66"/>
        <w:spacing w:before="120" w:after="120"/>
      </w:pPr>
      <w:r>
        <w:rPr>
          <w:rFonts w:hint="eastAsia"/>
        </w:rPr>
        <w:t>需求调研与主题确定</w:t>
      </w:r>
    </w:p>
    <w:p w14:paraId="1A5ED2A6">
      <w:pPr>
        <w:pStyle w:val="57"/>
        <w:ind w:firstLine="420"/>
      </w:pPr>
      <w:r>
        <w:rPr>
          <w:rFonts w:hint="eastAsia"/>
        </w:rPr>
        <w:t>基于对目标人群（老、中、青、幼）的深入调研，结合亳州市本地农耕、中医、红色等文化资源，确定具有知识含量和文化深度的研学主题，如“华佗故里·五禽戏养生研学”、“亳芍花开·农耕药植体验营”等。</w:t>
      </w:r>
    </w:p>
    <w:p w14:paraId="2E448371">
      <w:pPr>
        <w:pStyle w:val="66"/>
        <w:spacing w:before="120" w:after="120"/>
      </w:pPr>
      <w:r>
        <w:rPr>
          <w:rFonts w:hint="eastAsia"/>
        </w:rPr>
        <w:t>方案设计与课程开发</w:t>
      </w:r>
    </w:p>
    <w:p w14:paraId="57E8EB94">
      <w:pPr>
        <w:pStyle w:val="57"/>
        <w:ind w:firstLine="420"/>
      </w:pPr>
      <w:r>
        <w:rPr>
          <w:rFonts w:hint="eastAsia"/>
        </w:rPr>
        <w:t>编制详细的《研学活动实施方案》及《研学手册》。方案应明确研学目标、核心知识点、体验活动设计、行程安排、师资配置、安全保障措施及应急预案。课程开发需注重分龄化，将知识讲解、文化体验、实践操作（如中药香囊制作、古法炮制体验）有机结合。</w:t>
      </w:r>
    </w:p>
    <w:p w14:paraId="6CE00FB4">
      <w:pPr>
        <w:pStyle w:val="66"/>
        <w:spacing w:before="120" w:after="120"/>
      </w:pPr>
      <w:r>
        <w:rPr>
          <w:rFonts w:hint="eastAsia"/>
        </w:rPr>
        <w:t>资源对接与合同签订</w:t>
      </w:r>
    </w:p>
    <w:p w14:paraId="308FA1D5">
      <w:pPr>
        <w:pStyle w:val="57"/>
        <w:ind w:firstLine="420"/>
      </w:pPr>
      <w:r>
        <w:rPr>
          <w:rFonts w:hint="eastAsia"/>
        </w:rPr>
        <w:t>与符合资质的交通、餐饮、住宿、保险及特定活动场所（如红色教育基地、生态农场）供应方签订正式服务合同，明确权责。若涉及学校团体，应按照教育主管部门要求，提前完成活动备案审批程序。</w:t>
      </w:r>
    </w:p>
    <w:p w14:paraId="28FE3BB5">
      <w:pPr>
        <w:pStyle w:val="66"/>
        <w:spacing w:before="120" w:after="120"/>
      </w:pPr>
      <w:r>
        <w:rPr>
          <w:rFonts w:hint="eastAsia"/>
        </w:rPr>
        <w:t>信息公示与行前准备</w:t>
      </w:r>
    </w:p>
    <w:p w14:paraId="1FF7D684">
      <w:pPr>
        <w:pStyle w:val="57"/>
        <w:ind w:firstLine="420"/>
      </w:pPr>
      <w:r>
        <w:rPr>
          <w:rFonts w:hint="eastAsia"/>
        </w:rPr>
        <w:t>通过官方渠道向参与者或其监护人公示完整的活动行程、费用明细、师资介绍、安全须知等信息。组织行前说明会或发放行前资料，对参与者进行安全、礼仪及研学主题相关知识的通识性培训。</w:t>
      </w:r>
    </w:p>
    <w:p w14:paraId="66CACC4C">
      <w:pPr>
        <w:pStyle w:val="106"/>
        <w:spacing w:before="120" w:after="120"/>
      </w:pPr>
      <w:r>
        <w:rPr>
          <w:rFonts w:hint="eastAsia"/>
        </w:rPr>
        <w:t xml:space="preserve">接待与评估阶段 </w:t>
      </w:r>
    </w:p>
    <w:p w14:paraId="4601932A">
      <w:pPr>
        <w:pStyle w:val="66"/>
        <w:spacing w:before="120" w:after="120"/>
      </w:pPr>
      <w:r>
        <w:rPr>
          <w:rFonts w:hint="eastAsia"/>
        </w:rPr>
        <w:t>标准化接待</w:t>
      </w:r>
    </w:p>
    <w:p w14:paraId="3169DA05">
      <w:pPr>
        <w:pStyle w:val="57"/>
        <w:ind w:firstLine="420"/>
      </w:pPr>
      <w:r>
        <w:rPr>
          <w:rFonts w:hint="eastAsia"/>
        </w:rPr>
        <w:t>服务人员应着装统一、佩戴标识，使用礼貌用语。高效完成参与者的签到、物料分发和住宿安排。</w:t>
      </w:r>
    </w:p>
    <w:p w14:paraId="01AD505C">
      <w:pPr>
        <w:pStyle w:val="66"/>
        <w:spacing w:before="120" w:after="120"/>
      </w:pPr>
      <w:r>
        <w:rPr>
          <w:rFonts w:hint="eastAsia"/>
        </w:rPr>
        <w:t>前置健康与需求评估</w:t>
      </w:r>
    </w:p>
    <w:p w14:paraId="33C69480">
      <w:pPr>
        <w:pStyle w:val="57"/>
        <w:ind w:firstLine="420"/>
      </w:pPr>
      <w:r>
        <w:rPr>
          <w:rFonts w:hint="eastAsia"/>
        </w:rPr>
        <w:t>在活动开始前，应对参与者（特别是中老年群体）进行必要的健康信息问询与记录，了解其健康状况、过敏史、特殊需求等，评估其参与特定体验活动（如功法练习、药浴）的适宜性。</w:t>
      </w:r>
    </w:p>
    <w:p w14:paraId="25D48B09">
      <w:pPr>
        <w:pStyle w:val="66"/>
        <w:spacing w:before="120" w:after="120"/>
      </w:pPr>
      <w:r>
        <w:rPr>
          <w:rFonts w:hint="eastAsia"/>
        </w:rPr>
        <w:t>研学分组与团队建设</w:t>
      </w:r>
    </w:p>
    <w:p w14:paraId="70E7B30B">
      <w:pPr>
        <w:pStyle w:val="57"/>
        <w:ind w:firstLine="420"/>
      </w:pPr>
      <w:r>
        <w:rPr>
          <w:rFonts w:hint="eastAsia"/>
        </w:rPr>
        <w:t>根据年龄、兴趣或预设目标进行合理分组，通过破冰活动建立团队，明确小组长、带队导师职责，帮助参与者快速融入并明确研学任务。</w:t>
      </w:r>
    </w:p>
    <w:p w14:paraId="1DBBFEE6">
      <w:pPr>
        <w:pStyle w:val="106"/>
        <w:spacing w:before="120" w:after="120"/>
      </w:pPr>
      <w:r>
        <w:rPr>
          <w:rFonts w:hint="eastAsia"/>
        </w:rPr>
        <w:t xml:space="preserve">活动实施与过程监管阶段 </w:t>
      </w:r>
    </w:p>
    <w:p w14:paraId="6020A9DA">
      <w:pPr>
        <w:pStyle w:val="66"/>
        <w:spacing w:before="120" w:after="120"/>
      </w:pPr>
      <w:r>
        <w:rPr>
          <w:rFonts w:hint="eastAsia"/>
        </w:rPr>
        <w:t>知识导入与场景融入</w:t>
      </w:r>
    </w:p>
    <w:p w14:paraId="0BDFF486">
      <w:pPr>
        <w:pStyle w:val="57"/>
        <w:ind w:firstLine="420"/>
      </w:pPr>
      <w:r>
        <w:rPr>
          <w:rFonts w:hint="eastAsia"/>
        </w:rPr>
        <w:t>在每一个研学点或体验活动开始前，研学导师应进行专业、生动的知识讲解，将中医药理论、农耕智慧或红色精神与眼前场景深度融合，引导参与者从“观看”转向“思考”和“领悟”。</w:t>
      </w:r>
    </w:p>
    <w:p w14:paraId="24725DA3">
      <w:pPr>
        <w:pStyle w:val="66"/>
        <w:spacing w:before="120" w:after="120"/>
      </w:pPr>
      <w:r>
        <w:rPr>
          <w:rFonts w:hint="eastAsia"/>
        </w:rPr>
        <w:t>体验活动引导与安全监控</w:t>
      </w:r>
    </w:p>
    <w:p w14:paraId="6D903E10">
      <w:pPr>
        <w:pStyle w:val="57"/>
        <w:ind w:firstLine="420"/>
      </w:pPr>
      <w:r>
        <w:rPr>
          <w:rFonts w:hint="eastAsia"/>
        </w:rPr>
        <w:t>在中药材采摘、功法教学、手工制作等体验环节，研学导师需清晰演示操作规范，强调安全注意事项，并全程进行指导与监护。对于针灸、推拿等专业体验，必须由具备相应资质的人员在充分告知后操作。</w:t>
      </w:r>
    </w:p>
    <w:p w14:paraId="4DB1B27E">
      <w:pPr>
        <w:pStyle w:val="66"/>
        <w:spacing w:before="120" w:after="120"/>
      </w:pPr>
      <w:r>
        <w:rPr>
          <w:rFonts w:hint="eastAsia"/>
        </w:rPr>
        <w:t>全过程动态监管</w:t>
      </w:r>
    </w:p>
    <w:p w14:paraId="217A26D4">
      <w:pPr>
        <w:pStyle w:val="57"/>
        <w:ind w:firstLine="420"/>
      </w:pPr>
      <w:r>
        <w:rPr>
          <w:rFonts w:hint="eastAsia"/>
        </w:rPr>
        <w:t>研学导师、安全员需对交通、餐饮、活动场地及过程进行不间断的安全巡查与记录。利用通讯设备、定位系统保持团队联络畅通。严格管理活动范围与规模，避免失控。</w:t>
      </w:r>
    </w:p>
    <w:p w14:paraId="29CDB255">
      <w:pPr>
        <w:pStyle w:val="66"/>
        <w:spacing w:before="120" w:after="120"/>
      </w:pPr>
      <w:r>
        <w:rPr>
          <w:rFonts w:hint="eastAsia"/>
        </w:rPr>
        <w:t>互动与反思引导</w:t>
      </w:r>
    </w:p>
    <w:p w14:paraId="6E6284C1">
      <w:pPr>
        <w:pStyle w:val="57"/>
        <w:ind w:firstLine="420"/>
      </w:pPr>
      <w:r>
        <w:rPr>
          <w:rFonts w:hint="eastAsia"/>
        </w:rPr>
        <w:t>研学导师应设计启发性问题，引导小组讨论，促进知识内化与情感共鸣，实现从“体验”到“感悟”的升华。</w:t>
      </w:r>
    </w:p>
    <w:p w14:paraId="7ECE8BF2">
      <w:pPr>
        <w:pStyle w:val="106"/>
        <w:spacing w:before="120" w:after="120"/>
      </w:pPr>
      <w:r>
        <w:rPr>
          <w:rFonts w:hint="eastAsia"/>
        </w:rPr>
        <w:t xml:space="preserve">健康调理与个性化关怀阶段 </w:t>
      </w:r>
    </w:p>
    <w:p w14:paraId="1B336681">
      <w:pPr>
        <w:pStyle w:val="66"/>
        <w:spacing w:before="120" w:after="120"/>
      </w:pPr>
      <w:r>
        <w:rPr>
          <w:rFonts w:hint="eastAsia"/>
        </w:rPr>
        <w:t>日常康养融入</w:t>
      </w:r>
    </w:p>
    <w:p w14:paraId="545140B2">
      <w:pPr>
        <w:pStyle w:val="57"/>
        <w:ind w:firstLine="420"/>
      </w:pPr>
      <w:r>
        <w:rPr>
          <w:rFonts w:hint="eastAsia"/>
        </w:rPr>
        <w:t>将康养理念融入食、住、行。提供依据节气与体质特点设计的药膳餐饮；安排晨练（如太极拳、八段锦）；营造有助于静心、冥想的住宿与活动环境。</w:t>
      </w:r>
    </w:p>
    <w:p w14:paraId="34C3A058">
      <w:pPr>
        <w:pStyle w:val="66"/>
        <w:spacing w:before="120" w:after="120"/>
      </w:pPr>
      <w:r>
        <w:rPr>
          <w:rFonts w:hint="eastAsia"/>
        </w:rPr>
        <w:t>个性化咨询与体验</w:t>
      </w:r>
    </w:p>
    <w:p w14:paraId="242675F1">
      <w:pPr>
        <w:pStyle w:val="57"/>
        <w:ind w:firstLine="420"/>
      </w:pPr>
      <w:r>
        <w:rPr>
          <w:rFonts w:hint="eastAsia"/>
        </w:rPr>
        <w:t>在集体活动之外，宜安排中医师或健康顾问提供一对一的养生咨询，或根据前期评估，为有需要的参与者提供如足浴、艾灸等个性化的中医适宜技术体验服务（需确保操作规范与安全）。</w:t>
      </w:r>
    </w:p>
    <w:p w14:paraId="634BDF57">
      <w:pPr>
        <w:pStyle w:val="106"/>
        <w:spacing w:before="120" w:after="120"/>
      </w:pPr>
      <w:r>
        <w:rPr>
          <w:rFonts w:hint="eastAsia"/>
        </w:rPr>
        <w:t xml:space="preserve">成果总结与评价阶段 </w:t>
      </w:r>
    </w:p>
    <w:p w14:paraId="7508AB7E">
      <w:pPr>
        <w:pStyle w:val="66"/>
        <w:spacing w:before="120" w:after="120"/>
      </w:pPr>
      <w:r>
        <w:rPr>
          <w:rFonts w:hint="eastAsia"/>
        </w:rPr>
        <w:t>多元成果展示</w:t>
      </w:r>
    </w:p>
    <w:p w14:paraId="5B610581">
      <w:pPr>
        <w:pStyle w:val="57"/>
        <w:ind w:firstLine="420"/>
      </w:pPr>
      <w:r>
        <w:rPr>
          <w:rFonts w:hint="eastAsia"/>
        </w:rPr>
        <w:t>活动结束后，应通过研学报告、心得分享会、手工作品展、文艺汇演等多种形式为参与者搭建成果展示平台。</w:t>
      </w:r>
    </w:p>
    <w:p w14:paraId="4796817D">
      <w:pPr>
        <w:pStyle w:val="66"/>
        <w:spacing w:before="120" w:after="120"/>
      </w:pPr>
      <w:r>
        <w:rPr>
          <w:rFonts w:hint="eastAsia"/>
        </w:rPr>
        <w:t>多维评价体系</w:t>
      </w:r>
    </w:p>
    <w:p w14:paraId="13D2F6B0">
      <w:pPr>
        <w:pStyle w:val="57"/>
        <w:ind w:firstLine="420"/>
      </w:pPr>
      <w:r>
        <w:rPr>
          <w:rFonts w:hint="eastAsia"/>
        </w:rPr>
        <w:t>通过问卷调查、访谈等方式，收集参与者对课程内容、导师水平、组织服务、安全保障等方面的满意度反馈。</w:t>
      </w:r>
    </w:p>
    <w:p w14:paraId="23676936">
      <w:pPr>
        <w:pStyle w:val="106"/>
        <w:spacing w:before="120" w:after="120"/>
      </w:pPr>
      <w:r>
        <w:rPr>
          <w:rFonts w:hint="eastAsia"/>
        </w:rPr>
        <w:t>后期跟进与资料归档阶段</w:t>
      </w:r>
    </w:p>
    <w:p w14:paraId="6E6B06CC">
      <w:pPr>
        <w:pStyle w:val="66"/>
        <w:spacing w:before="120" w:after="120"/>
      </w:pPr>
      <w:r>
        <w:rPr>
          <w:rFonts w:hint="eastAsia"/>
        </w:rPr>
        <w:t>健康建议与持续关怀</w:t>
      </w:r>
    </w:p>
    <w:p w14:paraId="7B090C3D">
      <w:pPr>
        <w:pStyle w:val="57"/>
        <w:ind w:firstLine="420"/>
      </w:pPr>
      <w:r>
        <w:rPr>
          <w:rFonts w:hint="eastAsia"/>
        </w:rPr>
        <w:t>根据参与者在研学期间的表现和评估，宜提供一份个性化的后续居家康养建议（如饮食建议、简单功法推荐），延续研学效果。</w:t>
      </w:r>
    </w:p>
    <w:p w14:paraId="47488CCB">
      <w:pPr>
        <w:pStyle w:val="66"/>
        <w:spacing w:before="120" w:after="120"/>
      </w:pPr>
      <w:r>
        <w:rPr>
          <w:rFonts w:hint="eastAsia"/>
        </w:rPr>
        <w:t>资料归档与知识管理</w:t>
      </w:r>
    </w:p>
    <w:p w14:paraId="701A60B8">
      <w:pPr>
        <w:pStyle w:val="165"/>
      </w:pPr>
      <w:r>
        <w:rPr>
          <w:rFonts w:hint="eastAsia"/>
        </w:rPr>
        <w:t>研学活动的全套资料应进行系统归档，包括不限于：实施方案、参与者名单与健康记录、活动影像记录、评价反馈表、总结报告等。</w:t>
      </w:r>
    </w:p>
    <w:p w14:paraId="18A497CA">
      <w:pPr>
        <w:pStyle w:val="165"/>
      </w:pPr>
      <w:r>
        <w:rPr>
          <w:rFonts w:hint="eastAsia"/>
        </w:rPr>
        <w:t>档案保存时间应不少于2年，重要资料宜长期保存。</w:t>
      </w:r>
    </w:p>
    <w:p w14:paraId="04087F16">
      <w:pPr>
        <w:pStyle w:val="165"/>
      </w:pPr>
      <w:r>
        <w:rPr>
          <w:rFonts w:hint="eastAsia"/>
        </w:rPr>
        <w:t>应建立案例库，将成功的课程设计、活动模式进行标准化提炼，用于内部培训和服务升级。</w:t>
      </w:r>
    </w:p>
    <w:p w14:paraId="47C711B4">
      <w:pPr>
        <w:pStyle w:val="105"/>
        <w:spacing w:before="240" w:after="240"/>
      </w:pPr>
      <w:bookmarkStart w:id="44" w:name="_Toc12655"/>
      <w:r>
        <w:t>服务评价与持续改进</w:t>
      </w:r>
      <w:bookmarkEnd w:id="44"/>
    </w:p>
    <w:p w14:paraId="74F375DB">
      <w:pPr>
        <w:pStyle w:val="106"/>
        <w:spacing w:before="120" w:after="120"/>
      </w:pPr>
      <w:bookmarkStart w:id="45" w:name="_Toc21491"/>
      <w:r>
        <w:rPr>
          <w:rFonts w:hint="eastAsia"/>
        </w:rPr>
        <w:t>服务</w:t>
      </w:r>
      <w:r>
        <w:t>评价</w:t>
      </w:r>
      <w:bookmarkEnd w:id="45"/>
    </w:p>
    <w:p w14:paraId="381D8A16">
      <w:pPr>
        <w:pStyle w:val="166"/>
      </w:pPr>
      <w:bookmarkStart w:id="46" w:name="bookmark23"/>
      <w:bookmarkEnd w:id="46"/>
      <w:r>
        <w:t>宜采取日常检查、定期检查、不定期抽查、专项检査等方式</w:t>
      </w:r>
      <w:r>
        <w:rPr>
          <w:rFonts w:hint="eastAsia"/>
        </w:rPr>
        <w:t>，</w:t>
      </w:r>
      <w:r>
        <w:t>进行服务质量检查</w:t>
      </w:r>
      <w:r>
        <w:rPr>
          <w:rFonts w:hint="eastAsia"/>
        </w:rPr>
        <w:t>，</w:t>
      </w:r>
      <w:r>
        <w:t>包括但不限于下列内容：</w:t>
      </w:r>
    </w:p>
    <w:p w14:paraId="167C26F7">
      <w:pPr>
        <w:pStyle w:val="133"/>
      </w:pPr>
      <w:r>
        <w:t>服务质量；</w:t>
      </w:r>
    </w:p>
    <w:p w14:paraId="372EE61F">
      <w:pPr>
        <w:pStyle w:val="133"/>
      </w:pPr>
      <w:r>
        <w:t>服务项目；</w:t>
      </w:r>
    </w:p>
    <w:p w14:paraId="6EE41820">
      <w:pPr>
        <w:pStyle w:val="133"/>
      </w:pPr>
      <w:r>
        <w:t>服务人员；</w:t>
      </w:r>
      <w:bookmarkStart w:id="47" w:name="bookmark27"/>
    </w:p>
    <w:bookmarkEnd w:id="47"/>
    <w:p w14:paraId="15E01E7B">
      <w:pPr>
        <w:pStyle w:val="133"/>
      </w:pPr>
      <w:r>
        <w:t>服务满意度；</w:t>
      </w:r>
    </w:p>
    <w:p w14:paraId="1DC015D4">
      <w:pPr>
        <w:pStyle w:val="133"/>
      </w:pPr>
      <w:r>
        <w:t>工作记录与归档情况。</w:t>
      </w:r>
    </w:p>
    <w:p w14:paraId="02656DEE">
      <w:pPr>
        <w:pStyle w:val="166"/>
      </w:pPr>
      <w:r>
        <w:t>服务评价宜由第三方专业机构或专家进行。</w:t>
      </w:r>
    </w:p>
    <w:p w14:paraId="003B9916">
      <w:pPr>
        <w:pStyle w:val="106"/>
        <w:spacing w:before="120" w:after="120"/>
      </w:pPr>
      <w:bookmarkStart w:id="48" w:name="_Toc12457"/>
      <w:r>
        <w:t>持续改进</w:t>
      </w:r>
      <w:bookmarkEnd w:id="48"/>
    </w:p>
    <w:p w14:paraId="360394CA">
      <w:pPr>
        <w:pStyle w:val="166"/>
      </w:pPr>
      <w:bookmarkStart w:id="49" w:name="bookmark29"/>
      <w:bookmarkEnd w:id="49"/>
      <w:r>
        <w:rPr>
          <w:rFonts w:hint="eastAsia"/>
        </w:rPr>
        <w:t>服务机构在</w:t>
      </w:r>
      <w:r>
        <w:t>服务</w:t>
      </w:r>
      <w:r>
        <w:rPr>
          <w:rFonts w:hint="eastAsia"/>
        </w:rPr>
        <w:t>过程</w:t>
      </w:r>
      <w:r>
        <w:t>中发现的问题</w:t>
      </w:r>
      <w:r>
        <w:rPr>
          <w:rFonts w:hint="eastAsia"/>
        </w:rPr>
        <w:t>，</w:t>
      </w:r>
      <w:r>
        <w:t>应及时</w:t>
      </w:r>
      <w:r>
        <w:rPr>
          <w:rFonts w:hint="eastAsia"/>
        </w:rPr>
        <w:t>分析并持续改进</w:t>
      </w:r>
      <w:r>
        <w:t>。</w:t>
      </w:r>
    </w:p>
    <w:p w14:paraId="15B69A12">
      <w:pPr>
        <w:pStyle w:val="166"/>
      </w:pPr>
      <w:r>
        <w:t>应对收集的相关意见和建议、自查报告和第三方评价情况进行分析</w:t>
      </w:r>
      <w:r>
        <w:rPr>
          <w:rFonts w:hint="eastAsia"/>
        </w:rPr>
        <w:t>，</w:t>
      </w:r>
      <w:r>
        <w:t>査找问题原因</w:t>
      </w:r>
      <w:r>
        <w:rPr>
          <w:rFonts w:hint="eastAsia"/>
        </w:rPr>
        <w:t>，</w:t>
      </w:r>
      <w:r>
        <w:t>采取有效可行措施</w:t>
      </w:r>
      <w:r>
        <w:rPr>
          <w:rFonts w:hint="eastAsia"/>
        </w:rPr>
        <w:t>，</w:t>
      </w:r>
      <w:r>
        <w:t>以实现持续改进。</w:t>
      </w:r>
    </w:p>
    <w:bookmarkEnd w:id="22"/>
    <w:p w14:paraId="6379B598">
      <w:pPr>
        <w:pStyle w:val="166"/>
        <w:numPr>
          <w:ilvl w:val="0"/>
          <w:numId w:val="0"/>
        </w:numPr>
        <w:jc w:val="center"/>
      </w:pPr>
      <w:bookmarkStart w:id="50" w:name="BookMark8"/>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7"/>
                    <a:stretch>
                      <a:fillRect/>
                    </a:stretch>
                  </pic:blipFill>
                  <pic:spPr>
                    <a:xfrm>
                      <a:off x="0" y="0"/>
                      <a:ext cx="1485900" cy="317500"/>
                    </a:xfrm>
                    <a:prstGeom prst="rect">
                      <a:avLst/>
                    </a:prstGeom>
                  </pic:spPr>
                </pic:pic>
              </a:graphicData>
            </a:graphic>
          </wp:inline>
        </w:drawing>
      </w:r>
      <w:bookmarkEnd w:id="50"/>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Kingsoft Sign">
    <w:panose1 w:val="05050102010706020507"/>
    <w:charset w:val="00"/>
    <w:family w:val="auto"/>
    <w:pitch w:val="default"/>
    <w:sig w:usb0="00000000" w:usb1="10000000" w:usb2="00000000" w:usb3="00000000" w:csb0="00000001" w:csb1="00000000"/>
  </w:font>
  <w:font w:name="等线 Light">
    <w:altName w:val="汉仪中等线KW"/>
    <w:panose1 w:val="02010600030101010101"/>
    <w:charset w:val="86"/>
    <w:family w:val="auto"/>
    <w:pitch w:val="default"/>
    <w:sig w:usb0="00000000" w:usb1="00000000" w:usb2="00000016" w:usb3="00000000" w:csb0="0004000F" w:csb1="0000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等线 Light">
    <w:altName w:val="汉仪中等线KW"/>
    <w:panose1 w:val="00000000000000000000"/>
    <w:charset w:val="00"/>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 w:name="宋体-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5FEB9">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764E91">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B8C3F1">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EA84EA">
    <w:pPr>
      <w:pStyle w:val="53"/>
    </w:pPr>
    <w:r>
      <w:fldChar w:fldCharType="begin"/>
    </w:r>
    <w:r>
      <w:instrText xml:space="preserve">PAGE   \* MERGEFORMAT</w:instrText>
    </w:r>
    <w:r>
      <w:fldChar w:fldCharType="separate"/>
    </w:r>
    <w:r>
      <w:rPr>
        <w:lang w:val="zh-CN"/>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FD8E7">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415C7">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A04A5">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B751C">
    <w:pPr>
      <w:pStyle w:val="62"/>
    </w:pPr>
    <w:r>
      <w:fldChar w:fldCharType="begin"/>
    </w:r>
    <w:r>
      <w:instrText xml:space="preserve"> STYLEREF  标准文件_文件编号  \* MERGEFORMAT </w:instrText>
    </w:r>
    <w:r>
      <w:fldChar w:fldCharType="separate"/>
    </w:r>
    <w:r>
      <w:t>T/BZJK 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F5CB0">
    <w:pPr>
      <w:pStyle w:val="18"/>
      <w:jc w:val="right"/>
    </w:pPr>
    <w:r>
      <w:fldChar w:fldCharType="begin"/>
    </w:r>
    <w:r>
      <w:instrText xml:space="preserve"> STYLEREF  标准文件_文件编号  \* MERGEFORMAT </w:instrText>
    </w:r>
    <w:r>
      <w:fldChar w:fldCharType="separate"/>
    </w:r>
    <w:r>
      <w:t>T/BZJK 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328"/>
  <w:bordersDoNotSurroundHeader w:val="1"/>
  <w:bordersDoNotSurroundFooter w:val="1"/>
  <w:documentProtection w:edit="forms"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B80"/>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7BAB"/>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13E0"/>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8D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3659"/>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147"/>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17FCC"/>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B80"/>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10BC"/>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0CC"/>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14"/>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226"/>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16287"/>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2AA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1C04"/>
    <w:rsid w:val="00A9295B"/>
    <w:rsid w:val="00A93B09"/>
    <w:rsid w:val="00A952D7"/>
    <w:rsid w:val="00A95602"/>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6DDE"/>
    <w:rsid w:val="00EE7295"/>
    <w:rsid w:val="00EE7869"/>
    <w:rsid w:val="00EF054A"/>
    <w:rsid w:val="00EF3235"/>
    <w:rsid w:val="00EF7E72"/>
    <w:rsid w:val="00F05D43"/>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2E46"/>
    <w:rsid w:val="00FF3E7D"/>
    <w:rsid w:val="00FF5B99"/>
    <w:rsid w:val="00FF730C"/>
    <w:rsid w:val="00FF73F4"/>
    <w:rsid w:val="00FF7CE4"/>
    <w:rsid w:val="00FF7E39"/>
    <w:rsid w:val="1DF7E604"/>
    <w:rsid w:val="1FFA0111"/>
    <w:rsid w:val="3FDEB59C"/>
    <w:rsid w:val="5EFDC84D"/>
    <w:rsid w:val="EFFFF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unhideWhenUsed="0" w:uiPriority="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uiPriority w:val="1"/>
  </w:style>
  <w:style w:type="table" w:default="1" w:styleId="27">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7"/>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6"/>
    <w:semiHidden/>
    <w:unhideWhenUsed/>
    <w:uiPriority w:val="99"/>
    <w:rPr>
      <w:sz w:val="18"/>
      <w:szCs w:val="18"/>
    </w:rPr>
  </w:style>
  <w:style w:type="paragraph" w:styleId="17">
    <w:name w:val="footer"/>
    <w:basedOn w:val="1"/>
    <w:link w:val="45"/>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100"/>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Normal (Web)"/>
    <w:basedOn w:val="1"/>
    <w:uiPriority w:val="0"/>
    <w:pPr>
      <w:spacing w:beforeAutospacing="1" w:afterAutospacing="1"/>
      <w:jc w:val="left"/>
    </w:pPr>
    <w:rPr>
      <w:kern w:val="0"/>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uiPriority w:val="0"/>
    <w:rPr>
      <w:rFonts w:ascii="宋体" w:hAnsi="Times New Roman" w:eastAsia="宋体"/>
      <w:sz w:val="18"/>
    </w:rPr>
  </w:style>
  <w:style w:type="character" w:styleId="32">
    <w:name w:val="Emphasis"/>
    <w:qFormat/>
    <w:uiPriority w:val="20"/>
    <w:rPr>
      <w:i/>
      <w:iCs/>
    </w:rPr>
  </w:style>
  <w:style w:type="character" w:styleId="33">
    <w:name w:val="Hyperlink"/>
    <w:uiPriority w:val="99"/>
    <w:rPr>
      <w:rFonts w:ascii="宋体" w:hAnsi="Times New Roman" w:eastAsia="宋体"/>
      <w:color w:val="auto"/>
      <w:spacing w:val="0"/>
      <w:w w:val="100"/>
      <w:position w:val="0"/>
      <w:sz w:val="21"/>
      <w:u w:val="none"/>
      <w:vertAlign w:val="baseline"/>
    </w:rPr>
  </w:style>
  <w:style w:type="character" w:styleId="34">
    <w:name w:val="footnote reference"/>
    <w:semiHidden/>
    <w:uiPriority w:val="0"/>
    <w:rPr>
      <w:rFonts w:ascii="宋体" w:hAnsi="宋体" w:eastAsia="宋体" w:cs="Times New Roman"/>
      <w:spacing w:val="0"/>
      <w:sz w:val="18"/>
      <w:vertAlign w:val="superscript"/>
    </w:rPr>
  </w:style>
  <w:style w:type="character" w:customStyle="1" w:styleId="35">
    <w:name w:val="标题 1 Char"/>
    <w:link w:val="2"/>
    <w:uiPriority w:val="0"/>
    <w:rPr>
      <w:b/>
      <w:bCs/>
      <w:kern w:val="44"/>
      <w:sz w:val="44"/>
      <w:szCs w:val="44"/>
    </w:rPr>
  </w:style>
  <w:style w:type="character" w:customStyle="1" w:styleId="36">
    <w:name w:val="标题 2 Char"/>
    <w:link w:val="3"/>
    <w:uiPriority w:val="0"/>
    <w:rPr>
      <w:rFonts w:ascii="Arial" w:hAnsi="Arial" w:eastAsia="黑体"/>
      <w:b/>
      <w:bCs/>
      <w:kern w:val="2"/>
      <w:sz w:val="32"/>
      <w:szCs w:val="32"/>
    </w:rPr>
  </w:style>
  <w:style w:type="character" w:customStyle="1" w:styleId="37">
    <w:name w:val="标题 3 Char"/>
    <w:link w:val="4"/>
    <w:uiPriority w:val="0"/>
    <w:rPr>
      <w:b/>
      <w:bCs/>
      <w:kern w:val="2"/>
      <w:sz w:val="32"/>
      <w:szCs w:val="32"/>
    </w:rPr>
  </w:style>
  <w:style w:type="character" w:customStyle="1" w:styleId="38">
    <w:name w:val="标题 4 Char"/>
    <w:link w:val="5"/>
    <w:uiPriority w:val="0"/>
    <w:rPr>
      <w:rFonts w:ascii="Arial" w:hAnsi="Arial" w:eastAsia="黑体"/>
      <w:b/>
      <w:bCs/>
      <w:kern w:val="2"/>
      <w:sz w:val="28"/>
      <w:szCs w:val="28"/>
    </w:rPr>
  </w:style>
  <w:style w:type="character" w:customStyle="1" w:styleId="39">
    <w:name w:val="标题 5 Char"/>
    <w:link w:val="6"/>
    <w:uiPriority w:val="0"/>
    <w:rPr>
      <w:b/>
      <w:bCs/>
      <w:kern w:val="2"/>
      <w:sz w:val="28"/>
      <w:szCs w:val="28"/>
    </w:rPr>
  </w:style>
  <w:style w:type="character" w:customStyle="1" w:styleId="40">
    <w:name w:val="标题 6 Char"/>
    <w:link w:val="7"/>
    <w:uiPriority w:val="0"/>
    <w:rPr>
      <w:rFonts w:ascii="Arial" w:hAnsi="Arial" w:eastAsia="黑体"/>
      <w:b/>
      <w:bCs/>
      <w:kern w:val="2"/>
      <w:sz w:val="24"/>
      <w:szCs w:val="24"/>
    </w:rPr>
  </w:style>
  <w:style w:type="character" w:customStyle="1" w:styleId="41">
    <w:name w:val="标题 7 Char"/>
    <w:link w:val="8"/>
    <w:uiPriority w:val="0"/>
    <w:rPr>
      <w:b/>
      <w:bCs/>
      <w:kern w:val="2"/>
      <w:sz w:val="24"/>
      <w:szCs w:val="24"/>
    </w:rPr>
  </w:style>
  <w:style w:type="character" w:customStyle="1" w:styleId="42">
    <w:name w:val="标题 8 Char"/>
    <w:link w:val="9"/>
    <w:uiPriority w:val="0"/>
    <w:rPr>
      <w:rFonts w:ascii="Arial" w:hAnsi="Arial" w:eastAsia="黑体"/>
      <w:kern w:val="2"/>
      <w:sz w:val="24"/>
      <w:szCs w:val="24"/>
    </w:rPr>
  </w:style>
  <w:style w:type="character" w:customStyle="1" w:styleId="43">
    <w:name w:val="标题 9 Char"/>
    <w:link w:val="10"/>
    <w:uiPriority w:val="0"/>
    <w:rPr>
      <w:rFonts w:ascii="Arial" w:hAnsi="Arial" w:eastAsia="黑体"/>
      <w:kern w:val="2"/>
      <w:sz w:val="21"/>
      <w:szCs w:val="21"/>
    </w:rPr>
  </w:style>
  <w:style w:type="character" w:customStyle="1" w:styleId="44">
    <w:name w:val="页眉 Char"/>
    <w:link w:val="18"/>
    <w:uiPriority w:val="99"/>
    <w:rPr>
      <w:kern w:val="2"/>
      <w:sz w:val="18"/>
      <w:szCs w:val="18"/>
    </w:rPr>
  </w:style>
  <w:style w:type="character" w:customStyle="1" w:styleId="45">
    <w:name w:val="页脚 Char"/>
    <w:link w:val="17"/>
    <w:uiPriority w:val="99"/>
    <w:rPr>
      <w:rFonts w:ascii="宋体"/>
      <w:kern w:val="2"/>
      <w:sz w:val="18"/>
      <w:szCs w:val="18"/>
    </w:rPr>
  </w:style>
  <w:style w:type="character" w:customStyle="1" w:styleId="46">
    <w:name w:val="批注框文本 Char"/>
    <w:link w:val="16"/>
    <w:semiHidden/>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Char"/>
    <w:link w:val="47"/>
    <w:uiPriority w:val="29"/>
    <w:rPr>
      <w:i/>
      <w:iCs/>
      <w:color w:val="000000"/>
      <w:kern w:val="2"/>
      <w:sz w:val="21"/>
      <w:szCs w:val="21"/>
    </w:rPr>
  </w:style>
  <w:style w:type="character" w:customStyle="1" w:styleId="49">
    <w:name w:val="标题 Char"/>
    <w:link w:val="26"/>
    <w:uiPriority w:val="0"/>
    <w:rPr>
      <w:rFonts w:ascii="Arial" w:hAnsi="Arial" w:cs="Arial"/>
      <w:b/>
      <w:bCs/>
      <w:kern w:val="2"/>
      <w:sz w:val="32"/>
      <w:szCs w:val="32"/>
    </w:rPr>
  </w:style>
  <w:style w:type="paragraph" w:customStyle="1" w:styleId="50">
    <w:name w:val="标准标志"/>
    <w:next w:val="1"/>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uiPriority w:val="0"/>
    <w:pPr>
      <w:ind w:left="198"/>
    </w:pPr>
    <w:rPr>
      <w:rFonts w:ascii="宋体" w:hAnsi="Times New Roman" w:eastAsia="宋体" w:cs="Times New Roman"/>
      <w:sz w:val="18"/>
      <w:lang w:val="en-US" w:eastAsia="zh-CN" w:bidi="ar-SA"/>
    </w:rPr>
  </w:style>
  <w:style w:type="paragraph" w:customStyle="1" w:styleId="53">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4">
    <w:name w:val="标准书眉一"/>
    <w:uiPriority w:val="0"/>
    <w:pPr>
      <w:jc w:val="both"/>
    </w:pPr>
    <w:rPr>
      <w:rFonts w:ascii="Times New Roman" w:hAnsi="Times New Roman" w:eastAsia="宋体" w:cs="Times New Roman"/>
      <w:lang w:val="en-US" w:eastAsia="zh-CN" w:bidi="ar-SA"/>
    </w:rPr>
  </w:style>
  <w:style w:type="paragraph" w:customStyle="1" w:styleId="55">
    <w:name w:val="标准文件_ICS"/>
    <w:basedOn w:val="1"/>
    <w:uiPriority w:val="0"/>
    <w:pPr>
      <w:spacing w:line="0" w:lineRule="atLeast"/>
    </w:pPr>
    <w:rPr>
      <w:rFonts w:ascii="黑体" w:hAnsi="宋体" w:eastAsia="黑体"/>
    </w:rPr>
  </w:style>
  <w:style w:type="paragraph" w:customStyle="1" w:styleId="56">
    <w:name w:val="标准文件_标准正文"/>
    <w:basedOn w:val="1"/>
    <w:next w:val="57"/>
    <w:uiPriority w:val="0"/>
    <w:pPr>
      <w:snapToGrid w:val="0"/>
      <w:ind w:firstLine="200" w:firstLineChars="200"/>
    </w:pPr>
    <w:rPr>
      <w:kern w:val="0"/>
    </w:rPr>
  </w:style>
  <w:style w:type="paragraph" w:customStyle="1" w:styleId="57">
    <w:name w:val="标准文件_段"/>
    <w:link w:val="185"/>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uiPriority w:val="0"/>
    <w:pPr>
      <w:adjustRightInd/>
      <w:snapToGrid/>
      <w:ind w:firstLine="0" w:firstLineChars="0"/>
    </w:pPr>
    <w:rPr>
      <w:rFonts w:ascii="宋体" w:hAnsi="宋体"/>
      <w:kern w:val="2"/>
    </w:rPr>
  </w:style>
  <w:style w:type="paragraph" w:customStyle="1" w:styleId="59">
    <w:name w:val="标准文件_标准部门"/>
    <w:basedOn w:val="1"/>
    <w:uiPriority w:val="0"/>
    <w:pPr>
      <w:jc w:val="center"/>
    </w:pPr>
    <w:rPr>
      <w:rFonts w:ascii="黑体" w:eastAsia="黑体"/>
      <w:kern w:val="0"/>
      <w:sz w:val="44"/>
    </w:rPr>
  </w:style>
  <w:style w:type="paragraph" w:customStyle="1" w:styleId="60">
    <w:name w:val="标准文件_标准代替"/>
    <w:basedOn w:val="1"/>
    <w:next w:val="1"/>
    <w:uiPriority w:val="0"/>
    <w:pPr>
      <w:spacing w:line="310" w:lineRule="exact"/>
      <w:jc w:val="right"/>
    </w:pPr>
    <w:rPr>
      <w:rFonts w:ascii="宋体" w:hAnsi="宋体"/>
      <w:kern w:val="0"/>
    </w:rPr>
  </w:style>
  <w:style w:type="paragraph" w:customStyle="1" w:styleId="61">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uiPriority w:val="0"/>
    <w:pPr>
      <w:jc w:val="left"/>
    </w:pPr>
  </w:style>
  <w:style w:type="paragraph" w:customStyle="1" w:styleId="64">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uiPriority w:val="0"/>
    <w:rPr>
      <w:rFonts w:ascii="黑体" w:eastAsia="黑体"/>
      <w:spacing w:val="0"/>
      <w:w w:val="100"/>
      <w:position w:val="3"/>
      <w:sz w:val="28"/>
    </w:rPr>
  </w:style>
  <w:style w:type="paragraph" w:customStyle="1" w:styleId="68">
    <w:name w:val="标准文件_方框数字列项"/>
    <w:basedOn w:val="57"/>
    <w:uiPriority w:val="0"/>
    <w:pPr>
      <w:numPr>
        <w:ilvl w:val="0"/>
        <w:numId w:val="3"/>
      </w:numPr>
      <w:ind w:firstLine="0" w:firstLineChars="0"/>
    </w:pPr>
  </w:style>
  <w:style w:type="paragraph" w:customStyle="1" w:styleId="69">
    <w:name w:val="标准文件_封面标准编号"/>
    <w:basedOn w:val="1"/>
    <w:next w:val="60"/>
    <w:uiPriority w:val="0"/>
    <w:pPr>
      <w:spacing w:line="310" w:lineRule="exact"/>
      <w:jc w:val="right"/>
    </w:pPr>
    <w:rPr>
      <w:rFonts w:ascii="黑体" w:eastAsia="黑体"/>
      <w:kern w:val="0"/>
      <w:sz w:val="28"/>
    </w:rPr>
  </w:style>
  <w:style w:type="paragraph" w:customStyle="1" w:styleId="70">
    <w:name w:val="标准文件_封面标准分类号"/>
    <w:basedOn w:val="1"/>
    <w:uiPriority w:val="0"/>
    <w:rPr>
      <w:rFonts w:ascii="黑体" w:eastAsia="黑体"/>
      <w:b/>
      <w:kern w:val="0"/>
      <w:sz w:val="28"/>
    </w:rPr>
  </w:style>
  <w:style w:type="paragraph" w:customStyle="1" w:styleId="71">
    <w:name w:val="标准文件_封面标准名称"/>
    <w:basedOn w:val="1"/>
    <w:uiPriority w:val="0"/>
    <w:pPr>
      <w:spacing w:line="240" w:lineRule="auto"/>
      <w:jc w:val="center"/>
    </w:pPr>
    <w:rPr>
      <w:rFonts w:ascii="黑体" w:eastAsia="黑体"/>
      <w:kern w:val="0"/>
      <w:sz w:val="52"/>
    </w:rPr>
  </w:style>
  <w:style w:type="paragraph" w:customStyle="1" w:styleId="72">
    <w:name w:val="标准文件_封面标准英文名称"/>
    <w:basedOn w:val="1"/>
    <w:uiPriority w:val="0"/>
    <w:pPr>
      <w:spacing w:line="240" w:lineRule="auto"/>
      <w:jc w:val="center"/>
    </w:pPr>
    <w:rPr>
      <w:rFonts w:ascii="黑体" w:eastAsia="黑体"/>
      <w:b/>
      <w:sz w:val="28"/>
    </w:rPr>
  </w:style>
  <w:style w:type="paragraph" w:customStyle="1" w:styleId="73">
    <w:name w:val="标准文件_封面发布日期"/>
    <w:basedOn w:val="1"/>
    <w:uiPriority w:val="0"/>
    <w:pPr>
      <w:spacing w:line="310" w:lineRule="exact"/>
    </w:pPr>
    <w:rPr>
      <w:rFonts w:ascii="黑体" w:eastAsia="黑体"/>
      <w:kern w:val="0"/>
      <w:sz w:val="28"/>
    </w:rPr>
  </w:style>
  <w:style w:type="paragraph" w:customStyle="1" w:styleId="74">
    <w:name w:val="标准文件_封面密级"/>
    <w:basedOn w:val="1"/>
    <w:uiPriority w:val="0"/>
    <w:rPr>
      <w:rFonts w:eastAsia="黑体"/>
      <w:sz w:val="32"/>
    </w:rPr>
  </w:style>
  <w:style w:type="paragraph" w:customStyle="1" w:styleId="75">
    <w:name w:val="标准文件_封面实施日期"/>
    <w:basedOn w:val="1"/>
    <w:uiPriority w:val="0"/>
    <w:pPr>
      <w:spacing w:line="310" w:lineRule="exact"/>
      <w:jc w:val="right"/>
    </w:pPr>
    <w:rPr>
      <w:rFonts w:ascii="黑体" w:eastAsia="黑体"/>
      <w:sz w:val="28"/>
    </w:rPr>
  </w:style>
  <w:style w:type="paragraph" w:customStyle="1" w:styleId="76">
    <w:name w:val="标准文件_封面抬头"/>
    <w:basedOn w:val="57"/>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Char"/>
    <w:link w:val="13"/>
    <w:uiPriority w:val="0"/>
    <w:rPr>
      <w:kern w:val="2"/>
      <w:sz w:val="21"/>
      <w:szCs w:val="21"/>
    </w:rPr>
  </w:style>
  <w:style w:type="paragraph" w:customStyle="1" w:styleId="88">
    <w:name w:val="标准文件_附录章标题"/>
    <w:next w:val="57"/>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uiPriority w:val="0"/>
    <w:pPr>
      <w:spacing w:line="460" w:lineRule="exact"/>
      <w:ind w:left="0" w:firstLine="0"/>
    </w:pPr>
  </w:style>
  <w:style w:type="paragraph" w:customStyle="1" w:styleId="92">
    <w:name w:val="标准文件_目录标题"/>
    <w:basedOn w:val="1"/>
    <w:uiPriority w:val="0"/>
    <w:pPr>
      <w:spacing w:before="480" w:after="150" w:afterLines="150" w:line="240" w:lineRule="auto"/>
      <w:jc w:val="center"/>
    </w:pPr>
    <w:rPr>
      <w:rFonts w:ascii="黑体" w:eastAsia="黑体"/>
      <w:sz w:val="32"/>
    </w:rPr>
  </w:style>
  <w:style w:type="paragraph" w:customStyle="1" w:styleId="93">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uiPriority w:val="0"/>
    <w:pPr>
      <w:adjustRightInd/>
      <w:spacing w:line="240" w:lineRule="auto"/>
      <w:ind w:firstLine="200" w:firstLineChars="200"/>
    </w:pPr>
    <w:rPr>
      <w:sz w:val="18"/>
      <w:szCs w:val="24"/>
    </w:rPr>
  </w:style>
  <w:style w:type="paragraph" w:customStyle="1" w:styleId="98">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Char"/>
    <w:link w:val="21"/>
    <w:semiHidden/>
    <w:uiPriority w:val="0"/>
    <w:rPr>
      <w:rFonts w:ascii="宋体"/>
      <w:kern w:val="2"/>
      <w:sz w:val="18"/>
      <w:szCs w:val="18"/>
    </w:rPr>
  </w:style>
  <w:style w:type="paragraph" w:customStyle="1" w:styleId="101">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uiPriority w:val="0"/>
    <w:pPr>
      <w:numPr>
        <w:ilvl w:val="0"/>
        <w:numId w:val="12"/>
      </w:numPr>
      <w:spacing w:line="240" w:lineRule="auto"/>
      <w:jc w:val="left"/>
    </w:pPr>
    <w:rPr>
      <w:rFonts w:ascii="宋体" w:hAnsi="宋体"/>
      <w:sz w:val="18"/>
    </w:rPr>
  </w:style>
  <w:style w:type="character" w:customStyle="1" w:styleId="103">
    <w:name w:val="标准文件_图表脚注内容"/>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uiPriority w:val="0"/>
    <w:pPr>
      <w:spacing w:line="440" w:lineRule="exact"/>
      <w:jc w:val="center"/>
    </w:pPr>
    <w:rPr>
      <w:sz w:val="28"/>
    </w:rPr>
  </w:style>
  <w:style w:type="paragraph" w:customStyle="1" w:styleId="108">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uiPriority w:val="0"/>
    <w:pPr>
      <w:numPr>
        <w:ilvl w:val="3"/>
        <w:numId w:val="20"/>
      </w:numPr>
      <w:adjustRightInd/>
      <w:spacing w:line="240" w:lineRule="auto"/>
    </w:pPr>
    <w:rPr>
      <w:rFonts w:ascii="宋体" w:hAnsi="宋体"/>
      <w:szCs w:val="24"/>
    </w:rPr>
  </w:style>
  <w:style w:type="paragraph" w:customStyle="1" w:styleId="120">
    <w:name w:val="发布部门"/>
    <w:next w:val="57"/>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uiPriority w:val="0"/>
    <w:pPr>
      <w:outlineLvl w:val="4"/>
    </w:pPr>
  </w:style>
  <w:style w:type="paragraph" w:customStyle="1" w:styleId="131">
    <w:name w:val="附录四级无标题条"/>
    <w:basedOn w:val="130"/>
    <w:next w:val="57"/>
    <w:uiPriority w:val="0"/>
    <w:pPr>
      <w:outlineLvl w:val="5"/>
    </w:pPr>
  </w:style>
  <w:style w:type="paragraph" w:customStyle="1" w:styleId="132">
    <w:name w:val="附录图"/>
    <w:next w:val="57"/>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uiPriority w:val="0"/>
    <w:pPr>
      <w:outlineLvl w:val="6"/>
    </w:pPr>
  </w:style>
  <w:style w:type="paragraph" w:customStyle="1" w:styleId="135">
    <w:name w:val="附录性质"/>
    <w:basedOn w:val="1"/>
    <w:uiPriority w:val="0"/>
    <w:pPr>
      <w:widowControl/>
      <w:adjustRightInd/>
      <w:jc w:val="center"/>
    </w:pPr>
    <w:rPr>
      <w:rFonts w:ascii="黑体" w:eastAsia="黑体"/>
    </w:rPr>
  </w:style>
  <w:style w:type="paragraph" w:customStyle="1" w:styleId="136">
    <w:name w:val="附录一级无标题条"/>
    <w:basedOn w:val="88"/>
    <w:next w:val="57"/>
    <w:uiPriority w:val="0"/>
    <w:pPr>
      <w:autoSpaceDN w:val="0"/>
      <w:outlineLvl w:val="2"/>
    </w:pPr>
    <w:rPr>
      <w:rFonts w:ascii="宋体" w:hAnsi="宋体" w:eastAsia="宋体"/>
    </w:rPr>
  </w:style>
  <w:style w:type="character" w:customStyle="1" w:styleId="137">
    <w:name w:val="个人答复风格"/>
    <w:uiPriority w:val="0"/>
    <w:rPr>
      <w:rFonts w:ascii="Arial" w:hAnsi="Arial" w:eastAsia="宋体" w:cs="Arial"/>
      <w:color w:val="auto"/>
      <w:spacing w:val="0"/>
      <w:sz w:val="20"/>
    </w:rPr>
  </w:style>
  <w:style w:type="character" w:customStyle="1" w:styleId="138">
    <w:name w:val="个人撰写风格"/>
    <w:uiPriority w:val="0"/>
    <w:rPr>
      <w:rFonts w:ascii="Arial" w:hAnsi="Arial" w:eastAsia="宋体" w:cs="Arial"/>
      <w:color w:val="auto"/>
      <w:spacing w:val="0"/>
      <w:sz w:val="20"/>
    </w:rPr>
  </w:style>
  <w:style w:type="paragraph" w:customStyle="1" w:styleId="139">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uiPriority w:val="0"/>
    <w:pPr>
      <w:tabs>
        <w:tab w:val="left" w:pos="840"/>
      </w:tabs>
    </w:pPr>
  </w:style>
  <w:style w:type="paragraph" w:customStyle="1" w:styleId="142">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uiPriority w:val="0"/>
    <w:pPr>
      <w:adjustRightInd/>
      <w:spacing w:line="240" w:lineRule="auto"/>
      <w:jc w:val="left"/>
    </w:pPr>
    <w:rPr>
      <w:bCs/>
      <w:iCs/>
    </w:rPr>
  </w:style>
  <w:style w:type="paragraph" w:customStyle="1" w:styleId="144">
    <w:name w:val="目录 31"/>
    <w:basedOn w:val="1"/>
    <w:next w:val="1"/>
    <w:autoRedefine/>
    <w:semiHidden/>
    <w:uiPriority w:val="0"/>
    <w:pPr>
      <w:spacing w:line="240" w:lineRule="auto"/>
    </w:pPr>
    <w:rPr>
      <w:rFonts w:ascii="宋体" w:hAnsi="宋体"/>
      <w:iCs/>
    </w:rPr>
  </w:style>
  <w:style w:type="paragraph" w:customStyle="1" w:styleId="145">
    <w:name w:val="目录 41"/>
    <w:basedOn w:val="1"/>
    <w:next w:val="1"/>
    <w:autoRedefine/>
    <w:semiHidden/>
    <w:uiPriority w:val="0"/>
    <w:pPr>
      <w:adjustRightInd/>
      <w:spacing w:line="240" w:lineRule="auto"/>
      <w:jc w:val="left"/>
    </w:pPr>
  </w:style>
  <w:style w:type="paragraph" w:customStyle="1" w:styleId="146">
    <w:name w:val="目录 51"/>
    <w:basedOn w:val="1"/>
    <w:next w:val="1"/>
    <w:autoRedefine/>
    <w:semiHidden/>
    <w:uiPriority w:val="0"/>
    <w:pPr>
      <w:spacing w:line="240" w:lineRule="auto"/>
    </w:pPr>
    <w:rPr>
      <w:rFonts w:ascii="宋体" w:hAnsi="宋体"/>
    </w:rPr>
  </w:style>
  <w:style w:type="paragraph" w:customStyle="1" w:styleId="147">
    <w:name w:val="目录 61"/>
    <w:basedOn w:val="1"/>
    <w:next w:val="1"/>
    <w:autoRedefine/>
    <w:semiHidden/>
    <w:uiPriority w:val="0"/>
    <w:pPr>
      <w:adjustRightInd/>
      <w:spacing w:line="240" w:lineRule="auto"/>
      <w:jc w:val="left"/>
    </w:pPr>
  </w:style>
  <w:style w:type="paragraph" w:customStyle="1" w:styleId="148">
    <w:name w:val="目录 71"/>
    <w:basedOn w:val="147"/>
    <w:autoRedefine/>
    <w:semiHidden/>
    <w:uiPriority w:val="0"/>
    <w:pPr>
      <w:ind w:left="1260"/>
    </w:pPr>
  </w:style>
  <w:style w:type="paragraph" w:customStyle="1" w:styleId="149">
    <w:name w:val="目录 81"/>
    <w:basedOn w:val="148"/>
    <w:autoRedefine/>
    <w:semiHidden/>
    <w:uiPriority w:val="0"/>
    <w:pPr>
      <w:ind w:left="1470"/>
    </w:pPr>
  </w:style>
  <w:style w:type="paragraph" w:customStyle="1" w:styleId="150">
    <w:name w:val="目录 91"/>
    <w:basedOn w:val="149"/>
    <w:autoRedefine/>
    <w:semiHidden/>
    <w:uiPriority w:val="0"/>
    <w:pPr>
      <w:ind w:left="1680"/>
    </w:pPr>
  </w:style>
  <w:style w:type="paragraph" w:customStyle="1" w:styleId="151">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uiPriority w:val="0"/>
    <w:pPr>
      <w:framePr w:wrap="around"/>
      <w:spacing w:line="0" w:lineRule="atLeast"/>
    </w:pPr>
    <w:rPr>
      <w:rFonts w:ascii="黑体" w:eastAsia="黑体"/>
      <w:b w:val="0"/>
    </w:rPr>
  </w:style>
  <w:style w:type="paragraph" w:customStyle="1" w:styleId="153">
    <w:name w:val="前言标题"/>
    <w:next w:val="1"/>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uiPriority w:val="0"/>
    <w:pPr>
      <w:numPr>
        <w:ilvl w:val="4"/>
        <w:numId w:val="20"/>
      </w:numPr>
      <w:adjustRightInd/>
      <w:spacing w:line="240" w:lineRule="auto"/>
    </w:pPr>
    <w:rPr>
      <w:rFonts w:ascii="宋体" w:hAnsi="宋体"/>
      <w:szCs w:val="24"/>
    </w:rPr>
  </w:style>
  <w:style w:type="paragraph" w:customStyle="1" w:styleId="155">
    <w:name w:val="实施日期"/>
    <w:basedOn w:val="121"/>
    <w:uiPriority w:val="0"/>
    <w:pPr>
      <w:framePr w:hSpace="0" w:wrap="around" w:xAlign="right"/>
      <w:jc w:val="right"/>
    </w:pPr>
  </w:style>
  <w:style w:type="paragraph" w:customStyle="1" w:styleId="156">
    <w:name w:val="四级无标题条"/>
    <w:basedOn w:val="1"/>
    <w:uiPriority w:val="0"/>
    <w:pPr>
      <w:numPr>
        <w:ilvl w:val="5"/>
        <w:numId w:val="20"/>
      </w:numPr>
      <w:adjustRightInd/>
      <w:spacing w:line="240" w:lineRule="auto"/>
    </w:pPr>
    <w:rPr>
      <w:rFonts w:ascii="宋体" w:hAnsi="宋体"/>
      <w:szCs w:val="24"/>
    </w:rPr>
  </w:style>
  <w:style w:type="paragraph" w:customStyle="1" w:styleId="157">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uiPriority w:val="0"/>
    <w:pPr>
      <w:jc w:val="both"/>
    </w:pPr>
    <w:rPr>
      <w:rFonts w:ascii="宋体" w:hAnsi="宋体" w:eastAsia="宋体" w:cs="Times New Roman"/>
      <w:sz w:val="21"/>
      <w:lang w:val="en-US" w:eastAsia="zh-CN" w:bidi="ar-SA"/>
    </w:rPr>
  </w:style>
  <w:style w:type="paragraph" w:customStyle="1" w:styleId="159">
    <w:name w:val="五级无标题条"/>
    <w:basedOn w:val="1"/>
    <w:uiPriority w:val="0"/>
    <w:pPr>
      <w:numPr>
        <w:ilvl w:val="6"/>
        <w:numId w:val="20"/>
      </w:numPr>
      <w:adjustRightInd/>
    </w:pPr>
    <w:rPr>
      <w:szCs w:val="24"/>
    </w:rPr>
  </w:style>
  <w:style w:type="paragraph" w:customStyle="1" w:styleId="160">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1">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rPr>
      <w:rFonts w:ascii="Times New Roman"/>
    </w:rPr>
  </w:style>
  <w:style w:type="paragraph" w:customStyle="1" w:styleId="190">
    <w:name w:val="标准文件_一级项2"/>
    <w:basedOn w:val="57"/>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uiPriority w:val="0"/>
    <w:pPr>
      <w:framePr w:w="3997" w:h="471" w:hRule="exact" w:hSpace="0" w:vSpace="181" w:wrap="around" w:vAnchor="page" w:hAnchor="page" w:x="1419" w:y="14097"/>
    </w:pPr>
  </w:style>
  <w:style w:type="paragraph" w:customStyle="1" w:styleId="195">
    <w:name w:val="其他实施日期"/>
    <w:basedOn w:val="155"/>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glossaryDocument" Target="glossary/document.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BFFE33E43DCE4735BB3D5A2D46CBDA62"/>
        <w:style w:val=""/>
        <w:category>
          <w:name w:val="常规"/>
          <w:gallery w:val="placeholder"/>
        </w:category>
        <w:types>
          <w:type w:val="bbPlcHdr"/>
        </w:types>
        <w:behaviors>
          <w:behavior w:val="content"/>
        </w:behaviors>
        <w:description w:val=""/>
        <w:guid w:val="{B569EC69-6989-4C90-95BF-7984837816C7}"/>
      </w:docPartPr>
      <w:docPartBody>
        <w:p w14:paraId="6459DE50">
          <w:pPr>
            <w:pStyle w:val="5"/>
          </w:pPr>
          <w:r>
            <w:rPr>
              <w:rStyle w:val="4"/>
              <w:rFonts w:hint="eastAsia"/>
            </w:rPr>
            <w:t>单击或点击此处输入文字。</w:t>
          </w:r>
        </w:p>
      </w:docPartBody>
    </w:docPart>
    <w:docPart>
      <w:docPartPr>
        <w:name w:val="17747FD179E6477F8B51AA623E58E8FC"/>
        <w:style w:val=""/>
        <w:category>
          <w:name w:val="常规"/>
          <w:gallery w:val="placeholder"/>
        </w:category>
        <w:types>
          <w:type w:val="bbPlcHdr"/>
        </w:types>
        <w:behaviors>
          <w:behavior w:val="content"/>
        </w:behaviors>
        <w:description w:val=""/>
        <w:guid w:val="{EFF1D239-E2DF-42E7-8E9C-CD72184D5465}"/>
      </w:docPartPr>
      <w:docPartBody>
        <w:p w14:paraId="4842F9A2">
          <w:pPr>
            <w:pStyle w:val="6"/>
          </w:pPr>
          <w:r>
            <w:rPr>
              <w:rStyle w:val="4"/>
              <w:rFonts w:hint="eastAsia"/>
            </w:rPr>
            <w:t>选择一项。</w:t>
          </w:r>
        </w:p>
      </w:docPartBody>
    </w:docPart>
    <w:docPart>
      <w:docPartPr>
        <w:name w:val="C3E23CEBBDD349F4B7BFDE1428174FB8"/>
        <w:style w:val=""/>
        <w:category>
          <w:name w:val="常规"/>
          <w:gallery w:val="placeholder"/>
        </w:category>
        <w:types>
          <w:type w:val="bbPlcHdr"/>
        </w:types>
        <w:behaviors>
          <w:behavior w:val="content"/>
        </w:behaviors>
        <w:description w:val=""/>
        <w:guid w:val="{55F4BBC8-01BF-4DE1-8903-D71388C6900D}"/>
      </w:docPartPr>
      <w:docPartBody>
        <w:p w14:paraId="6C6DEABB">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8F4"/>
    <w:rsid w:val="000D39F4"/>
    <w:rsid w:val="001B58F4"/>
    <w:rsid w:val="00957922"/>
    <w:rsid w:val="009A6ABB"/>
    <w:rsid w:val="00A960E8"/>
    <w:rsid w:val="00D47BBF"/>
    <w:rsid w:val="00F16660"/>
    <w:rsid w:val="00F41C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BFFE33E43DCE4735BB3D5A2D46CBDA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7747FD179E6477F8B51AA623E58E8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C3E23CEBBDD349F4B7BFDE1428174FB8"/>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StyleName="APA" SelectedStyle="\APASixthEditionOfficeOnline.xsl"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9852D7-6B29-4684-9535-A5CFAE9ACF21}">
  <ds:schemaRefs/>
</ds:datastoreItem>
</file>

<file path=docProps/app.xml><?xml version="1.0" encoding="utf-8"?>
<Properties xmlns="http://schemas.openxmlformats.org/officeDocument/2006/extended-properties" xmlns:vt="http://schemas.openxmlformats.org/officeDocument/2006/docPropsVTypes">
  <Template>Normal.dotm</Template>
  <Company>PCMI</Company>
  <Pages>7</Pages>
  <Words>595</Words>
  <Characters>3395</Characters>
  <Lines>28</Lines>
  <Paragraphs>7</Paragraphs>
  <TotalTime>34</TotalTime>
  <ScaleCrop>false</ScaleCrop>
  <LinksUpToDate>false</LinksUpToDate>
  <CharactersWithSpaces>3983</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2023-10-09T13:40:00Z</dcterms:created>
  <dc:creator>air</dc:creator>
  <dc:description>&lt;config cover="true" show_menu="true" version="1.0.0" doctype="SDKXY"&gt;_x000d_
&lt;/config&gt;</dc:description>
  <cp:lastModifiedBy>森林里的一颗树</cp:lastModifiedBy>
  <cp:lastPrinted>2023-12-13T15:18:00Z</cp:lastPrinted>
  <dcterms:modified xsi:type="dcterms:W3CDTF">2026-02-24T10:33:48Z</dcterms:modified>
  <dc:title>团体标准</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2052-12.1.23540.23540</vt:lpwstr>
  </property>
  <property fmtid="{D5CDD505-2E9C-101B-9397-08002B2CF9AE}" pid="15" name="ICV">
    <vt:lpwstr>7F7124C57A44F88D53508169081ACE81_43</vt:lpwstr>
  </property>
</Properties>
</file>