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jc w:val="center"/>
        <w:textAlignment w:val="auto"/>
        <w:rPr>
          <w:rFonts w:hint="eastAsia" w:ascii="黑体" w:hAnsi="黑体" w:eastAsia="黑体"/>
          <w:b w:val="0"/>
          <w:bCs w:val="0"/>
          <w:sz w:val="30"/>
          <w:szCs w:val="30"/>
          <w:lang w:val="en-US" w:eastAsia="zh-CN"/>
        </w:rPr>
      </w:pPr>
      <w:r>
        <w:rPr>
          <w:rFonts w:hint="eastAsia" w:ascii="黑体" w:hAnsi="黑体" w:eastAsia="黑体"/>
          <w:b w:val="0"/>
          <w:bCs w:val="0"/>
          <w:sz w:val="30"/>
          <w:szCs w:val="30"/>
          <w:lang w:eastAsia="zh-CN"/>
        </w:rPr>
        <w:t>《</w:t>
      </w:r>
      <w:r>
        <w:rPr>
          <w:rFonts w:hint="eastAsia" w:ascii="黑体" w:hAnsi="黑体" w:eastAsia="黑体"/>
          <w:b w:val="0"/>
          <w:bCs w:val="0"/>
          <w:sz w:val="30"/>
          <w:szCs w:val="30"/>
        </w:rPr>
        <w:t>原位热解模拟法测定富油煤焦油产率技术规范</w:t>
      </w:r>
      <w:r>
        <w:rPr>
          <w:rFonts w:hint="eastAsia" w:ascii="黑体" w:hAnsi="黑体" w:eastAsia="黑体"/>
          <w:b w:val="0"/>
          <w:bCs w:val="0"/>
          <w:sz w:val="30"/>
          <w:szCs w:val="30"/>
          <w:lang w:eastAsia="zh-CN"/>
        </w:rPr>
        <w:t>》（</w:t>
      </w:r>
      <w:r>
        <w:rPr>
          <w:rFonts w:hint="eastAsia" w:ascii="黑体" w:hAnsi="黑体" w:eastAsia="黑体"/>
          <w:b w:val="0"/>
          <w:bCs w:val="0"/>
          <w:sz w:val="30"/>
          <w:szCs w:val="30"/>
        </w:rPr>
        <w:t>征求意见</w:t>
      </w:r>
      <w:r>
        <w:rPr>
          <w:rFonts w:hint="eastAsia" w:ascii="黑体" w:hAnsi="黑体" w:eastAsia="黑体"/>
          <w:b w:val="0"/>
          <w:bCs w:val="0"/>
          <w:sz w:val="30"/>
          <w:szCs w:val="30"/>
          <w:lang w:val="en-US" w:eastAsia="zh-CN"/>
        </w:rPr>
        <w:t>稿）</w:t>
      </w:r>
      <w:bookmarkStart w:id="0" w:name="_GoBack"/>
      <w:bookmarkEnd w:id="0"/>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jc w:val="center"/>
        <w:textAlignment w:val="auto"/>
        <w:rPr>
          <w:rFonts w:ascii="黑体" w:hAnsi="黑体" w:eastAsia="黑体"/>
          <w:b w:val="0"/>
          <w:bCs w:val="0"/>
          <w:sz w:val="30"/>
          <w:szCs w:val="30"/>
        </w:rPr>
      </w:pPr>
      <w:r>
        <w:rPr>
          <w:rFonts w:hint="eastAsia" w:ascii="黑体" w:hAnsi="黑体" w:eastAsia="黑体"/>
          <w:b w:val="0"/>
          <w:bCs w:val="0"/>
          <w:sz w:val="30"/>
          <w:szCs w:val="30"/>
        </w:rPr>
        <w:t>编制说明</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ascii="宋体" w:hAnsi="宋体" w:eastAsia="宋体"/>
          <w:sz w:val="28"/>
          <w:szCs w:val="28"/>
        </w:rPr>
      </w:pPr>
      <w:r>
        <w:rPr>
          <w:rFonts w:ascii="宋体" w:hAnsi="宋体" w:eastAsia="宋体"/>
          <w:sz w:val="28"/>
          <w:szCs w:val="28"/>
        </w:rPr>
        <w:t>一、工作简况</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1、编制意义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2025年5月，国务院发布的新时代的中国国家安全白皮书中明确强调，要确保能源和重要资源安全，建立多元供应体系，抑制不合理能源消费，保持能源供需总体平衡，推动能源体制改革和技术创新，全方位加强国际合作，实现开放条件下的能源安全。然而，由于我们国家的能源禀赋富煤、贫油、少气，这就导致了我们国家需要从国外进口大量的石油和天然气资源，近年来，我国原油和天然气的对外依存度分别维持在70%和40%以上，这种油气资源的高对外依存度已成为威胁我国国家能源安全的一个关键因素。</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相比于我们国家的油气资源来说，我国煤炭资源丰富，其中富油煤通过热解可以产生煤焦油、热解气和半焦等成分，煤焦油加工后可代替汽油等液体燃料，尤其是在军用航空燃油方面，具有很大潜力。热解气包含氢气、重烃气等组分，是很好的气体燃料和化工原料。半焦成分与无烟煤相近且燃烧性更好。这表明，富油煤除了具有煤的资源属性外，还具备良好的油气资源属性。更为可观的是，富有煤资源，在我国西部地区，十分丰富，在陕西，新疆等地区有大量分布。据初步调查显示，陕西，新疆，内蒙，甘肃，宁夏五省区的富油煤总资源量就达到5000亿吨，其中，潜在的油气资源量约500亿吨，气资源量约75万亿立方米，经合理开发利用后，可有效补充我国油气资源缺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传统的地面富油煤利用技术，首先要将富油煤采集到地面，在热解炉中对其进行热解制油，该技术已较为成熟。然而，传统的地面煤制油技术会导致严重的环境污染和资源利用低下的问题。例如，在挖掘过程中，会消耗掉大量能源与采矿成本；挖掘过程中造成大量的地表环境破坏及地下水位下降；挖掘后在热气炉中进行热解，产生大量污染物，释放到大气中并产生大量废水；热解制油后的残留物以半焦为主，半焦的需求量远不能满足生产规模增长，导致半焦长期堆放，进而造成地面环境污染，甚至有可能发生渗漏，污染地下水；地面热解以粉煤为主，造成热解产物中煤尘的存在，增加了热结产物三项分离的难度。尤其是考虑到我国的富有煤资源多集中在西部，而西部地区面临着水资源短缺，生态环境脆弱，运输成本高昂，地表污染治理难度大等等问题，进一步放大了利用传统地面热接方法开发西部富油煤的难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富油煤底下原位热解技术，是将富油煤直接在地下通过外部热载体传递热量进行加热，从而生成小分子油气组分所得油气产物，通过采集井导出地面进行分离及深加工的开发技术，规避了大量半焦堆放，大面积地面破坏等问题，既减少了对地表的扰动，又显著降低了工艺过程中的碳排放，是适合西部富油煤资源开发的新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然而，现有煤的焦油产率测定方法并不能满足地下原位热解的需要，不管是现行的国标煤的格金低温干馏实验方法还是煤的铝甑低温干馏实验方法，均未充分考虑地下原位热检所面临的条件。现行的这两种方法都只考虑了温度，在其中发挥的作用，而没有涉及到压力气氛，煤样尺寸等变量对热解的影响。而实际上地下原位热键，需要考虑的条件更为复杂，不仅需要考虑温度的影响，还需要考虑煤层在地下所受到的压力，应力条件，注入气体氛围条件，以及煤层尺度的转热传质条件。现有研究已经表明，在这些条件的加持下，原位热解与传统地面热解的结果是有明显差异的。从产物构成上来说，地应力的升高降低了煤炭渗透率，导致焦油的二次反应加剧，生成了更多的半焦和气体。但从焦油品质上来说，低应力反而促进了焦油品质向轻质化提升，其中轻质芳烃的含量明显增加。气体成分中氢气的占比也明显高于传统的地面热解。这说明，采用现有方法测定富油煤热解产物，会不可避免的与地下热点生产实际造成偏差，因此，制定富油煤原位热解相关标准是十分必要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而且由于在陕西的富油煤地下原为热解先导实验已取得了成效，预示着该产业在未来会有快速的发展，也急需我们出台相关标准规范。通过这种原味热解测定方法，能够更准确的预测富油煤原位热解焦油产率，这将更有利于我们从煤质角度进行地下原位热解的选址评价，也有助于探索优化热解条件，形成最优工艺体系。甚至通过调节产品组成，实现产出效益的最大化。吸引资本投入该领域推动该领域的进一步发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基于此背景，我们拟开展《原位热解模拟法测定富油煤焦油产率技术规范》团体标准的起草与制定工作，旨在通过此标准填补富油煤原位热解领域的标准空白，为行业发展提供一份细致，专业的服务指南。切实服务煤机油气资源产业的生产，保障生产效率和产品质量，助推行业高质量发展。同时，这也符合国家在煤炭清洁高效利用，加快煤制油气战略基地建设，加强煤制油气等产能和技术储备等要求，是充分发挥煤炭兜底膨胀作用，促进能源绿色低碳转型，推动实现碳达峰碳中和目标的有效途径。</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after="157" w:afterLines="50" w:line="360" w:lineRule="auto"/>
        <w:ind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编制依据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2.1 理论依据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富油煤作为一种特殊煤种，其本质是一种基于特殊化学结构和资源潜力重新定义的煤炭资源。它集煤、油、气属性于一体，被定义为“煤基油气资源”，核心区别在于富含以脂肪结构为主的“富氢结构”，使其可通过中低温热解直接产出油气。我国富油煤资源分布具有鲜明的地域集中性和时代指向性。地域上，富油煤资源高度集中于西北地区，主要分布在陕西、内蒙古、新疆、宁夏、甘肃五省（区）。初步估算总资源量约5000-5500亿吨，潜在油资源量约500亿吨，气资源量约75万亿立方米。时代上，我国富油煤成煤时代以早、中侏罗世为主，其次为晚三叠世和晚石炭世-早二叠世。陕北侏罗纪煤田（神府、榆神、榆横等矿区）延安组煤层、陕北三叠纪煤田（子长矿区，瓦窑堡组）和石炭-二叠纪煤田（府谷、古城矿区）、宁东煤田（红墩子矿区）石炭-二叠纪煤层、新疆三塘湖盆地八道湾组煤层及吐哈盆地西山窑组煤层为我国富油煤主要富集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富油煤的形成是特定地质条件下，有机质多期演化的综合结果。</w:t>
      </w:r>
      <w:r>
        <w:rPr>
          <w:rFonts w:hint="eastAsia" w:ascii="宋体" w:hAnsi="宋体" w:eastAsia="宋体"/>
          <w:b w:val="0"/>
          <w:bCs w:val="0"/>
          <w:sz w:val="24"/>
          <w:szCs w:val="24"/>
          <w:lang w:val="en-US" w:eastAsia="zh-CN"/>
        </w:rPr>
        <w:t>沉积环境是富油煤形成与富集的最核心的控制因素之一，决定了同煤级煤含油性的差异。深覆水、强还原性、低水动力的滨浅湖或深水沼泽环境最有利于富油煤的形成，还原环境促进凝胶化作用，形成富氢镜质体；低水动力和低陆源碎屑输入利于富氢有机质富集。富氢组分是生油的直接物质来源。镜质组，特别是富氢镜质体和类脂组含量与焦油产率呈显著正相关，而惰质组含量高则不利。有机质经煤的成岩作用和变质作用，在地热和压力作用下压实、脱水、固结，形成低阶煤。在此过程中，热演化程度是核心控制因素，焦油产率随煤化程度升高呈现“先增加后减少”的趋势。焦油产率峰值通常出现在镜质体反射率为0.6%至0.9%的中低变质阶段，过高的热演化会破坏生油结构，导致富油性降低。例如，鄂尔多斯盆地陕北侏罗纪煤田的富油煤形成于滨浅湖强还原环境；新疆三塘湖盆地的富油煤富集于盆地边缘的强还原滨浅湖相，并在镜质体反射率0.67%时出现产率峰值；宁东石炭-二叠系富油煤则受煤化程度和沉积还原环境共同控制。富油煤显微组分通常以镜质组为主，惰质组次之，壳质组较少。镜质组含量，尤其是富氢镜质体含量和凝胶化指数与焦油产率呈正相关；惰质组含量、植物保存指数和植被指数与之呈负相关。富油煤氯仿沥青“A”抽提率较高，如陕北侏罗纪煤平均0.77%，属于好-很好的烃源岩。镜质体反射率结果表明富油煤处于低熟-成熟阶段，正处于生油有利窗。有机质主要来源于陆生高等植物，并有水生生物混入。饱和烃呈单峰或双峰型分布；甾烷中以C28和C29规则甾烷及重排甾烷为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富油煤热解是一个受温度驱动的复杂过程，其核心机理是在隔绝空气条件下，煤中富含的脂肪侧链、桥键等富氢结构发生断裂，生成焦油、煤气和半焦。过程可分为三个阶段：低温时（&lt;300℃）水分蒸发和气体脱附；中温段（300-650℃）为反应主阶段，化学键大量断裂，焦油产率在500℃左右达峰，同时煤体孔隙从以中孔为主转变为微孔显著增多，裂隙网络发育；高温段（&gt;650℃）则发生焦油二次裂解和缩聚反应，产生更多氢气。</w:t>
      </w:r>
      <w:r>
        <w:rPr>
          <w:rFonts w:hint="eastAsia" w:ascii="宋体" w:hAnsi="宋体" w:eastAsia="宋体"/>
          <w:b w:val="0"/>
          <w:bCs w:val="0"/>
          <w:sz w:val="24"/>
          <w:szCs w:val="24"/>
          <w:lang w:val="en-US" w:eastAsia="zh-CN"/>
        </w:rPr>
        <w:t>具体来说，室温至300–350℃为干燥脱气阶段，该阶段以物理变化为主，煤中游离水、吸附水蒸发，孔隙中吸附的少量气体脱附析出；只有轻微化学反应，如部分结合水脱除，含氧官能团开始分解，释放CO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等；煤体结构变化小，宏观形态基本保持完整，孔隙结构变化不明显，裂隙开始生成。300–350℃至550–650℃为剧烈热解阶段，煤中大量不稳定化学键，如脂肪侧链、桥键、含氧/含硫官能团，发生断裂，生成自由基碎片；焦油在450–550℃左右产率达到峰值，主要由中等分子量的芳香烃、酚类、脂肪烃组成；煤气包括CH</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、CO、CO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+烃类气体产量显著增加，H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开始生成；煤体结构发生剧烈变化，微孔显著增加，裂隙网络扩展贯通，煤体发生膨胀；黏结性富油煤煤体软化、熔融，形成气-液-固三相共存的胶质。550–650℃以上为二次脱气与缩聚阶段，已生成的焦油发生二次裂解、芳构化、缩聚反应，生成更多小分子气体和稠环芳烃；残留固体中有机质进一步缩聚，芳香结构有序化，形成半焦；孔隙继续发育但速率减缓，煤体收缩，裂隙开度增大，结构完整性降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富油煤热解的本质是煤分子中弱键的断裂和自由基反应，低温区含氧官能团羧基、羰基等断裂，释放CO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、CO、H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O。中温区脂肪侧链（-CH</w:t>
      </w:r>
      <w:r>
        <w:rPr>
          <w:rFonts w:hint="eastAsia" w:ascii="宋体" w:hAnsi="宋体" w:eastAsia="宋体"/>
          <w:b w:val="0"/>
          <w:bCs w:val="0"/>
          <w:sz w:val="24"/>
          <w:szCs w:val="24"/>
          <w:vertAlign w:val="subscript"/>
          <w:lang w:val="en-US" w:eastAsia="zh-CN"/>
        </w:rPr>
        <w:t>3</w:t>
      </w:r>
      <w:r>
        <w:rPr>
          <w:rFonts w:hint="eastAsia" w:ascii="宋体" w:hAnsi="宋体" w:eastAsia="宋体"/>
          <w:b w:val="0"/>
          <w:bCs w:val="0"/>
          <w:sz w:val="24"/>
          <w:szCs w:val="24"/>
          <w:lang w:val="en-US" w:eastAsia="zh-CN"/>
        </w:rPr>
        <w:t>、-CH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-）和脂肪桥键断裂，生成CH</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、C</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烷烃、脂肪烃焦油组分；醚键（-O-）、硫键断裂，释放CO、含硫气体；弱芳香侧链断裂，生成酚类、轻质芳香油。高温区芳香稠环侧链进一步断裂，增加气体产率；焦油通过脱烷基、芳构化二次裂解，生成轻质芳烃和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。在上述化学结构中，脂肪结构（-CH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-、-CH</w:t>
      </w:r>
      <w:r>
        <w:rPr>
          <w:rFonts w:hint="eastAsia" w:ascii="宋体" w:hAnsi="宋体" w:eastAsia="宋体"/>
          <w:b w:val="0"/>
          <w:bCs w:val="0"/>
          <w:sz w:val="24"/>
          <w:szCs w:val="24"/>
          <w:vertAlign w:val="subscript"/>
          <w:lang w:val="en-US" w:eastAsia="zh-CN"/>
        </w:rPr>
        <w:t>3</w:t>
      </w:r>
      <w:r>
        <w:rPr>
          <w:rFonts w:hint="eastAsia" w:ascii="宋体" w:hAnsi="宋体" w:eastAsia="宋体"/>
          <w:b w:val="0"/>
          <w:bCs w:val="0"/>
          <w:sz w:val="24"/>
          <w:szCs w:val="24"/>
          <w:lang w:val="en-US" w:eastAsia="zh-CN"/>
        </w:rPr>
        <w:t>）是富氢结构的主要来源，直接贡献焦油和CH</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产率，含氧官能团（-OH、-COOH、C=O）低温分解提供CO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、CO和H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O，促进初期孔隙生成，芳香核作为结构骨架，高温下发生缩聚，影响半焦性质。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除化学变化外，热解过程中富油煤煤体也发生物理结构变化，直接影响传热、传质和产物迁移。低温阶段以中孔为主，孔隙形态以细小瓶颈和缝隙孔为主；高温阶段微孔数量显著增加，孔隙类型转向平行狭缝孔，中孔和大孔扩展贯通形成微裂隙。这种孔隙变化前期以水分蒸发、气体脱附留下孔隙为主导，而后有机质热解产生挥发分，从基质中逸出形成新孔隙，同时热应力导致不均匀膨胀，产生微裂纹，联通中孔和大孔。而且，随着温度升高，由于挥发分逸出产生内部压力，热应力超过煤体抗拉强度，产生张性裂隙等原因，裂隙从孤立主裂隙向分叉网状演化，开度增大，表面裂隙率显著上升。到高温时，裂隙网络发达，煤体宏观破坏，完整性降低，渗透性提高，但同时也可能导致产物滞留，如焦油束缚在封闭孔隙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热解机理受多种条件影响，这些因素通过改变反应路径和传质传热效率调控产物分布</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温度</w:t>
      </w:r>
      <w:r>
        <w:rPr>
          <w:rFonts w:hint="eastAsia" w:ascii="宋体" w:hAnsi="宋体" w:eastAsia="宋体"/>
          <w:b w:val="0"/>
          <w:bCs w:val="0"/>
          <w:sz w:val="24"/>
          <w:szCs w:val="24"/>
          <w:lang w:val="en-US" w:eastAsia="zh-CN"/>
        </w:rPr>
        <w:t>是</w:t>
      </w:r>
      <w:r>
        <w:rPr>
          <w:rFonts w:hint="default" w:ascii="宋体" w:hAnsi="宋体" w:eastAsia="宋体"/>
          <w:b w:val="0"/>
          <w:bCs w:val="0"/>
          <w:sz w:val="24"/>
          <w:szCs w:val="24"/>
          <w:lang w:val="en-US" w:eastAsia="zh-CN"/>
        </w:rPr>
        <w:t>最关键因素</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温度升高显著提高产气总量和速率，300℃是反应剧烈阈值</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焦油产率一般在500–600℃达到峰值，过高温度导致二次裂解加剧，焦油产率下降。高温促进轻质焦油组分和H</w:t>
      </w:r>
      <w:r>
        <w:rPr>
          <w:rFonts w:hint="eastAsia" w:ascii="宋体" w:hAnsi="宋体" w:eastAsia="宋体"/>
          <w:b w:val="0"/>
          <w:bCs w:val="0"/>
          <w:sz w:val="24"/>
          <w:szCs w:val="24"/>
          <w:vertAlign w:val="subscript"/>
          <w:lang w:val="en-US" w:eastAsia="zh-CN"/>
        </w:rPr>
        <w:t>2</w:t>
      </w:r>
      <w:r>
        <w:rPr>
          <w:rFonts w:hint="default" w:ascii="宋体" w:hAnsi="宋体" w:eastAsia="宋体"/>
          <w:b w:val="0"/>
          <w:bCs w:val="0"/>
          <w:sz w:val="24"/>
          <w:szCs w:val="24"/>
          <w:lang w:val="en-US" w:eastAsia="zh-CN"/>
        </w:rPr>
        <w:t>生成。压力与应力</w:t>
      </w:r>
      <w:r>
        <w:rPr>
          <w:rFonts w:hint="eastAsia" w:ascii="宋体" w:hAnsi="宋体" w:eastAsia="宋体"/>
          <w:b w:val="0"/>
          <w:bCs w:val="0"/>
          <w:sz w:val="24"/>
          <w:szCs w:val="24"/>
          <w:lang w:val="en-US" w:eastAsia="zh-CN"/>
        </w:rPr>
        <w:t>是原位热解区别于地面热解的显著因素，</w:t>
      </w:r>
      <w:r>
        <w:rPr>
          <w:rFonts w:hint="default" w:ascii="宋体" w:hAnsi="宋体" w:eastAsia="宋体"/>
          <w:b w:val="0"/>
          <w:bCs w:val="0"/>
          <w:sz w:val="24"/>
          <w:szCs w:val="24"/>
          <w:lang w:val="en-US" w:eastAsia="zh-CN"/>
        </w:rPr>
        <w:t>地应力增加</w:t>
      </w:r>
      <w:r>
        <w:rPr>
          <w:rFonts w:hint="eastAsia" w:ascii="宋体" w:hAnsi="宋体" w:eastAsia="宋体"/>
          <w:b w:val="0"/>
          <w:bCs w:val="0"/>
          <w:sz w:val="24"/>
          <w:szCs w:val="24"/>
          <w:lang w:val="en-US" w:eastAsia="zh-CN"/>
        </w:rPr>
        <w:t>，或</w:t>
      </w:r>
      <w:r>
        <w:rPr>
          <w:rFonts w:hint="default" w:ascii="宋体" w:hAnsi="宋体" w:eastAsia="宋体"/>
          <w:b w:val="0"/>
          <w:bCs w:val="0"/>
          <w:sz w:val="24"/>
          <w:szCs w:val="24"/>
          <w:lang w:val="en-US" w:eastAsia="zh-CN"/>
        </w:rPr>
        <w:t>埋深增加</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降低煤层渗透率，延长挥发分停留时间，加剧焦油二次反应</w:t>
      </w:r>
      <w:r>
        <w:rPr>
          <w:rFonts w:hint="eastAsia" w:ascii="宋体" w:hAnsi="宋体" w:eastAsia="宋体"/>
          <w:b w:val="0"/>
          <w:bCs w:val="0"/>
          <w:sz w:val="24"/>
          <w:szCs w:val="24"/>
          <w:lang w:val="en-US" w:eastAsia="zh-CN"/>
        </w:rPr>
        <w:t>，导致</w:t>
      </w:r>
      <w:r>
        <w:rPr>
          <w:rFonts w:hint="default" w:ascii="宋体" w:hAnsi="宋体" w:eastAsia="宋体"/>
          <w:b w:val="0"/>
          <w:bCs w:val="0"/>
          <w:sz w:val="24"/>
          <w:szCs w:val="24"/>
          <w:lang w:val="en-US" w:eastAsia="zh-CN"/>
        </w:rPr>
        <w:t>焦油产率下降，轻质组分比例升高，气体产率增加</w:t>
      </w:r>
      <w:r>
        <w:rPr>
          <w:rFonts w:hint="eastAsia" w:ascii="宋体" w:hAnsi="宋体" w:eastAsia="宋体"/>
          <w:b w:val="0"/>
          <w:bCs w:val="0"/>
          <w:sz w:val="24"/>
          <w:szCs w:val="24"/>
          <w:lang w:val="en-US" w:eastAsia="zh-CN"/>
        </w:rPr>
        <w:t>；影响</w:t>
      </w:r>
      <w:r>
        <w:rPr>
          <w:rFonts w:hint="default" w:ascii="宋体" w:hAnsi="宋体" w:eastAsia="宋体"/>
          <w:b w:val="0"/>
          <w:bCs w:val="0"/>
          <w:sz w:val="24"/>
          <w:szCs w:val="24"/>
          <w:lang w:val="en-US" w:eastAsia="zh-CN"/>
        </w:rPr>
        <w:t>煤体变形</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热解过程中先热膨胀后压缩，影响孔隙连通性。</w:t>
      </w:r>
      <w:r>
        <w:rPr>
          <w:rFonts w:hint="eastAsia" w:ascii="宋体" w:hAnsi="宋体" w:eastAsia="宋体"/>
          <w:b w:val="0"/>
          <w:bCs w:val="0"/>
          <w:sz w:val="24"/>
          <w:szCs w:val="24"/>
          <w:lang w:val="en-US" w:eastAsia="zh-CN"/>
        </w:rPr>
        <w:t>不同</w:t>
      </w:r>
      <w:r>
        <w:rPr>
          <w:rFonts w:hint="default" w:ascii="宋体" w:hAnsi="宋体" w:eastAsia="宋体"/>
          <w:b w:val="0"/>
          <w:bCs w:val="0"/>
          <w:sz w:val="24"/>
          <w:szCs w:val="24"/>
          <w:lang w:val="en-US" w:eastAsia="zh-CN"/>
        </w:rPr>
        <w:t>气氛</w:t>
      </w:r>
      <w:r>
        <w:rPr>
          <w:rFonts w:hint="eastAsia" w:ascii="宋体" w:hAnsi="宋体" w:eastAsia="宋体"/>
          <w:b w:val="0"/>
          <w:bCs w:val="0"/>
          <w:sz w:val="24"/>
          <w:szCs w:val="24"/>
          <w:lang w:val="en-US" w:eastAsia="zh-CN"/>
        </w:rPr>
        <w:t>条件，如</w:t>
      </w:r>
      <w:r>
        <w:rPr>
          <w:rFonts w:hint="default" w:ascii="宋体" w:hAnsi="宋体" w:eastAsia="宋体"/>
          <w:b w:val="0"/>
          <w:bCs w:val="0"/>
          <w:sz w:val="24"/>
          <w:szCs w:val="24"/>
          <w:lang w:val="en-US" w:eastAsia="zh-CN"/>
        </w:rPr>
        <w:t>惰性气氛</w:t>
      </w:r>
      <w:r>
        <w:rPr>
          <w:rFonts w:hint="eastAsia" w:ascii="宋体" w:hAnsi="宋体" w:eastAsia="宋体"/>
          <w:b w:val="0"/>
          <w:bCs w:val="0"/>
          <w:sz w:val="24"/>
          <w:szCs w:val="24"/>
          <w:lang w:val="en-US" w:eastAsia="zh-CN"/>
        </w:rPr>
        <w:t>，富油煤发生</w:t>
      </w:r>
      <w:r>
        <w:rPr>
          <w:rFonts w:hint="default" w:ascii="宋体" w:hAnsi="宋体" w:eastAsia="宋体"/>
          <w:b w:val="0"/>
          <w:bCs w:val="0"/>
          <w:sz w:val="24"/>
          <w:szCs w:val="24"/>
          <w:lang w:val="en-US" w:eastAsia="zh-CN"/>
        </w:rPr>
        <w:t>纯热解反应，产物以焦油和煤气为主</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欠氧气氛</w:t>
      </w:r>
      <w:r>
        <w:rPr>
          <w:rFonts w:hint="eastAsia" w:ascii="宋体" w:hAnsi="宋体" w:eastAsia="宋体"/>
          <w:b w:val="0"/>
          <w:bCs w:val="0"/>
          <w:sz w:val="24"/>
          <w:szCs w:val="24"/>
          <w:lang w:val="en-US" w:eastAsia="zh-CN"/>
        </w:rPr>
        <w:t>下，</w:t>
      </w:r>
      <w:r>
        <w:rPr>
          <w:rFonts w:hint="default" w:ascii="宋体" w:hAnsi="宋体" w:eastAsia="宋体"/>
          <w:b w:val="0"/>
          <w:bCs w:val="0"/>
          <w:sz w:val="24"/>
          <w:szCs w:val="24"/>
          <w:lang w:val="en-US" w:eastAsia="zh-CN"/>
        </w:rPr>
        <w:t>发生部分氧化反应，升温更快，裂隙发育更显著，但</w:t>
      </w:r>
      <w:r>
        <w:rPr>
          <w:rFonts w:hint="eastAsia" w:ascii="宋体" w:hAnsi="宋体" w:eastAsia="宋体"/>
          <w:b w:val="0"/>
          <w:bCs w:val="0"/>
          <w:sz w:val="24"/>
          <w:szCs w:val="24"/>
          <w:lang w:val="en-US" w:eastAsia="zh-CN"/>
        </w:rPr>
        <w:t>会</w:t>
      </w:r>
      <w:r>
        <w:rPr>
          <w:rFonts w:hint="default" w:ascii="宋体" w:hAnsi="宋体" w:eastAsia="宋体"/>
          <w:b w:val="0"/>
          <w:bCs w:val="0"/>
          <w:sz w:val="24"/>
          <w:szCs w:val="24"/>
          <w:lang w:val="en-US" w:eastAsia="zh-CN"/>
        </w:rPr>
        <w:t>消耗部分有机质。</w:t>
      </w:r>
      <w:r>
        <w:rPr>
          <w:rFonts w:hint="eastAsia" w:ascii="宋体" w:hAnsi="宋体" w:eastAsia="宋体"/>
          <w:b w:val="0"/>
          <w:bCs w:val="0"/>
          <w:sz w:val="24"/>
          <w:szCs w:val="24"/>
          <w:lang w:val="en-US" w:eastAsia="zh-CN"/>
        </w:rPr>
        <w:t>此外，加热速率等工艺条件对富油煤热解也有影响，例如快速热解时挥发分快速逸出，抑制二次反应，有利于提高焦油产率；而慢速热解会促进自由基缩合，增加气体产率，可能改善焦油轻质化。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整体而言，对富油煤来说，中低温热解（450–550℃）可最大化焦油产率；若以产气为主，需提高至600℃以上。对流加热兼具传热和载带产物的优势，适合原位热解。通过控制温度、压力和停留时间，能够调控焦油轻质化程度和气体组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2.2 技术依据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富油煤因其特殊的“富氢结构”，决定了其在中低温热解条件下即可高效转化为煤焦油和煤气，实现“取氢固碳”的低碳化目标。</w:t>
      </w:r>
      <w:r>
        <w:rPr>
          <w:rFonts w:hint="eastAsia" w:ascii="宋体" w:hAnsi="宋体" w:eastAsia="宋体"/>
          <w:b w:val="0"/>
          <w:bCs w:val="0"/>
          <w:sz w:val="24"/>
          <w:szCs w:val="24"/>
          <w:lang w:val="en-US" w:eastAsia="zh-CN"/>
        </w:rPr>
        <w:t>当前富油煤热解技术按实施地点主要分为地面热解与地下原位热解两大类。前者即在反应器内将煤转化为焦油、煤气和半焦，工艺相对成熟，但面临半焦产能过剩、碳排放较高及环境污染等挑战。后者通过地面钻井注热或地下巷道布设热网，直接对地下煤层进行加热，将生成的油气产物抽采至地面，而将半焦固存于地下。地下原位热解核心反应发生在350–650℃温度窗口内，加热方式以对流加热为主，如注入高温水蒸气、氮气等载热介质，：省去开采、运输环节，具有潜在的低碳低成本优势，是实现“取氢固碳”的理想路径，但需应对高地应力、复杂地质结构对传热传质和过程控制的影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富油煤</w:t>
      </w:r>
      <w:r>
        <w:rPr>
          <w:rFonts w:hint="default" w:ascii="宋体" w:hAnsi="宋体" w:eastAsia="宋体"/>
          <w:b w:val="0"/>
          <w:bCs w:val="0"/>
          <w:sz w:val="24"/>
          <w:szCs w:val="24"/>
          <w:lang w:val="en-US" w:eastAsia="zh-CN"/>
        </w:rPr>
        <w:t>地面热解</w:t>
      </w:r>
      <w:r>
        <w:rPr>
          <w:rFonts w:hint="eastAsia" w:ascii="宋体" w:hAnsi="宋体" w:eastAsia="宋体"/>
          <w:b w:val="0"/>
          <w:bCs w:val="0"/>
          <w:sz w:val="24"/>
          <w:szCs w:val="24"/>
          <w:lang w:val="en-US" w:eastAsia="zh-CN"/>
        </w:rPr>
        <w:t>工艺相对成熟，其关键装备是反应器，不同技术路径对应不同的反应器类型，其特点对产物分布有重要影响，目前地面热解反应器主要有固定床反应器、流化床反应器和回转窑反应器三种类型。固定床反应器广泛用于实验研究，采用外热式传导或热载体加热，适于块煤或一定粒径煤样的慢速热解，焦油产率较高，品质受升温速率影响较大，气体产物中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占比相对较低。固定床反应器优点是操作灵活，利于基础研究，易控挥发分停留时间，但缺点是处理量小，传热效率低，黏结性煤易堵塞。流化床反应器通过热固/气载体快速加热，适于粉煤的快速热解，焦油收率可较高，但品质常受二次反应影响，重质组分多，含尘量大，气体中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占比显著提升。其优点是传热传质效率高，温度均匀，适于大规模连续生产，但缺点是挥发分停留时间长导致二次反应加剧，粉尘夹带严重，分离困难。回转窑反应器是神华、陕煤等采用的热解技术，热载体加热，靠回转混合，适于粉煤或小粒径煤，焦油产率适中，通过优化可改善焦油品质和含尘量。其优点在于混合均匀，传热稳定，粉尘产生少，便于大型化，但缺点是设备复杂，投资高。</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现阶段，</w:t>
      </w:r>
      <w:r>
        <w:rPr>
          <w:rFonts w:hint="default" w:ascii="宋体" w:hAnsi="宋体" w:eastAsia="宋体"/>
          <w:b w:val="0"/>
          <w:bCs w:val="0"/>
          <w:sz w:val="24"/>
          <w:szCs w:val="24"/>
          <w:lang w:val="en-US" w:eastAsia="zh-CN"/>
        </w:rPr>
        <w:t>为提升富油煤热解的经济性与环境友好性，</w:t>
      </w:r>
      <w:r>
        <w:rPr>
          <w:rFonts w:hint="eastAsia" w:ascii="宋体" w:hAnsi="宋体" w:eastAsia="宋体"/>
          <w:b w:val="0"/>
          <w:bCs w:val="0"/>
          <w:sz w:val="24"/>
          <w:szCs w:val="24"/>
          <w:lang w:val="en-US" w:eastAsia="zh-CN"/>
        </w:rPr>
        <w:t>富油煤热解技术主要</w:t>
      </w:r>
      <w:r>
        <w:rPr>
          <w:rFonts w:hint="default" w:ascii="宋体" w:hAnsi="宋体" w:eastAsia="宋体"/>
          <w:b w:val="0"/>
          <w:bCs w:val="0"/>
          <w:sz w:val="24"/>
          <w:szCs w:val="24"/>
          <w:lang w:val="en-US" w:eastAsia="zh-CN"/>
        </w:rPr>
        <w:t>聚焦于以下几个优化方向。</w:t>
      </w:r>
      <w:r>
        <w:rPr>
          <w:rFonts w:hint="eastAsia" w:ascii="宋体" w:hAnsi="宋体" w:eastAsia="宋体"/>
          <w:b w:val="0"/>
          <w:bCs w:val="0"/>
          <w:sz w:val="24"/>
          <w:szCs w:val="24"/>
          <w:lang w:val="en-US" w:eastAsia="zh-CN"/>
        </w:rPr>
        <w:t>一是过程集约与加热方式复合，发展“热解-气化-发电-化工”多联产系统，实现物料与热能循环，提升综合能效，如“一器三区”粉煤热解-气化一体化技术；针对煤体导热性差的瓶颈，采用以对流加热为主，耦合电加热、辐射或化学自生热的复合方式。探索过热蒸汽、超临界C</w:t>
      </w:r>
      <w:r>
        <w:rPr>
          <w:rFonts w:hint="eastAsia" w:ascii="宋体" w:hAnsi="宋体" w:eastAsia="宋体"/>
          <w:b w:val="0"/>
          <w:bCs w:val="0"/>
          <w:sz w:val="24"/>
          <w:szCs w:val="24"/>
          <w:vertAlign w:val="baseline"/>
          <w:lang w:val="en-US" w:eastAsia="zh-CN"/>
        </w:rPr>
        <w:t>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、微波/射频等新型热源，并与可再生能源耦合。二是地下原位热解关键环节强化,采用水力压裂、超临界CO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压裂、可控冲击波等技术构建高效裂缝网络，以增强煤层渗透性；制定抽采井温压保持方案，研究CO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气驱技术以提高采收率并实现地质封存。采用CO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气驱止水、注浆帷幕等技术，防止热量与油气扩散。三是催化剂开发与智能调控，开发如铈改性磁性核壳HZSM-5等可回收催化剂，用于催化热解，提高焦油轻质组分含量和煤气热值（提高H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/CH</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比例）；利用多目标优化算法权衡焦油产率、品质与碳排放；发展基于数字孪生或大数据的智能控制系统。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除热解外，富油煤也常被用于煤的直接液化和间接液化以制取液态燃料。直接液化旨在高压、高温及催化剂作用下，将富油煤直接加氢裂解为液态烃类。其技术优势尤其适配富油煤“高氢碳原子比、高挥发分、高活性组分（镜质组+壳质组）、低灰分”的“三高一低”特性。针对新疆三塘湖、淖毛湖等典型富油煤的实验室研究，明确了较优的反应窗口，其最佳反应温度集中于440℃–450℃；最佳反应压力在15MPa–19MPa的高压氢气氛围；恒温时间通常为60–120分钟。溶剂多使用四氢萘作为供氢介质。在优化条件下，富油煤直接液化展现出卓越性能。煤的转化率普遍超过90%，最高可达97.26%；基于干燥无灰基煤的油产率可达65%–72%。使用BRICC-2等高效催化剂可显著将沥青质产率降低至0.11%–0.34%的低水平。气相产物主要为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、CH</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及C</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w:t>
      </w:r>
      <w:r>
        <w:rPr>
          <w:rFonts w:hint="eastAsia" w:ascii="宋体" w:hAnsi="宋体" w:eastAsia="宋体"/>
          <w:b w:val="0"/>
          <w:bCs w:val="0"/>
          <w:sz w:val="24"/>
          <w:szCs w:val="24"/>
          <w:vertAlign w:val="subscript"/>
          <w:lang w:val="en-US" w:eastAsia="zh-CN"/>
        </w:rPr>
        <w:t>4</w:t>
      </w:r>
      <w:r>
        <w:rPr>
          <w:rFonts w:hint="eastAsia" w:ascii="宋体" w:hAnsi="宋体" w:eastAsia="宋体"/>
          <w:b w:val="0"/>
          <w:bCs w:val="0"/>
          <w:sz w:val="24"/>
          <w:szCs w:val="24"/>
          <w:lang w:val="en-US" w:eastAsia="zh-CN"/>
        </w:rPr>
        <w:t>烃类；液相产物以油和少量沥青质为主。初级液化油可通过后续“加氢裂化-加氢精制”两步工艺，高选择性转化为约23%的石脑油和约72%的清洁柴油，达到车用燃料标准。间接液化先将煤通过气化转化为合成气（CO+H</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再在催化剂作用下合成为长链烃类。间接液化油品的核心特征在于其高烯烃和高正构烷烃的组成，高烯烃可用于合成异构溶剂油、PAO（聚α-烯烃）基础油等高附加值产品，高正构烷烃是生产清洁无味溶剂油、液体石蜡的优质原料。通过一段费托合成和二段催化转化可主要生产C</w:t>
      </w:r>
      <w:r>
        <w:rPr>
          <w:rFonts w:hint="eastAsia" w:ascii="宋体" w:hAnsi="宋体" w:eastAsia="宋体"/>
          <w:b w:val="0"/>
          <w:bCs w:val="0"/>
          <w:sz w:val="24"/>
          <w:szCs w:val="24"/>
          <w:vertAlign w:val="subscript"/>
          <w:lang w:val="en-US" w:eastAsia="zh-CN"/>
        </w:rPr>
        <w:t>5</w:t>
      </w:r>
      <w:r>
        <w:rPr>
          <w:rFonts w:hint="eastAsia" w:ascii="宋体" w:hAnsi="宋体" w:eastAsia="宋体"/>
          <w:b w:val="0"/>
          <w:bCs w:val="0"/>
          <w:sz w:val="24"/>
          <w:szCs w:val="24"/>
          <w:lang w:val="en-US" w:eastAsia="zh-CN"/>
        </w:rPr>
        <w:t>–C</w:t>
      </w:r>
      <w:r>
        <w:rPr>
          <w:rFonts w:hint="eastAsia" w:ascii="宋体" w:hAnsi="宋体" w:eastAsia="宋体"/>
          <w:b w:val="0"/>
          <w:bCs w:val="0"/>
          <w:sz w:val="24"/>
          <w:szCs w:val="24"/>
          <w:vertAlign w:val="subscript"/>
          <w:lang w:val="en-US" w:eastAsia="zh-CN"/>
        </w:rPr>
        <w:t>11</w:t>
      </w:r>
      <w:r>
        <w:rPr>
          <w:rFonts w:hint="eastAsia" w:ascii="宋体" w:hAnsi="宋体" w:eastAsia="宋体"/>
          <w:b w:val="0"/>
          <w:bCs w:val="0"/>
          <w:sz w:val="24"/>
          <w:szCs w:val="24"/>
          <w:lang w:val="en-US" w:eastAsia="zh-CN"/>
        </w:rPr>
        <w:t>的汽油馏分，实现产品定向调控。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2.3 产业依据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富油煤利用正从实验室走向工程现场</w:t>
      </w:r>
      <w:r>
        <w:rPr>
          <w:rFonts w:hint="eastAsia" w:ascii="宋体" w:hAnsi="宋体" w:eastAsia="宋体"/>
          <w:b w:val="0"/>
          <w:bCs w:val="0"/>
          <w:sz w:val="24"/>
          <w:szCs w:val="24"/>
          <w:lang w:val="en-US" w:eastAsia="zh-CN"/>
        </w:rPr>
        <w:t>，从燃料转变为原料、材料，已实现工业化示范或取得关键产业化突破。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地面热解技术是目前相对成熟、已建立示范装置的产业化方向，其核心是通过一体化反应装置实现富油煤的分级、分质转化，旨在解决传统独立工艺的能效低、污染重、半焦利用难等问题。陕西延长石油（集团）有限责任公司研发的“粉煤热解-半焦气化分级转化一体化技术”（CCSI）是当前最具代表性的地面工业化案例。该技术的核心创新在于独创了“一器三区”反应器，将粉煤热解与半焦气化集成于同一装置内，实现了物料与热量的内部优化循环。</w:t>
      </w:r>
      <w:r>
        <w:rPr>
          <w:rFonts w:hint="eastAsia" w:ascii="宋体" w:hAnsi="宋体" w:eastAsia="宋体"/>
          <w:b w:val="0"/>
          <w:bCs w:val="0"/>
          <w:sz w:val="24"/>
          <w:szCs w:val="24"/>
          <w:lang w:val="en-US" w:eastAsia="zh-CN"/>
        </w:rPr>
        <w:t>目前该项目已建成万吨级工业示范装置，实现了煤焦油收率超过15%，产生的煤气为富氢合成气，氢气含量大于30%。其快速热解工艺每处理1吨富油煤，可产出约650kg高活性清洁半焦、8%-9%的煤焦油及约300m³富氢气体。大唐华银电力与中国五环工程推动，建成了30万吨/年规模的热气载体快速热解工业示范装置。该技术采用原料煤与高温热风直接接触加热，特别适用于含油率高的富油煤，其焦油收率约为5%。煤炭科学研究总院北京煤化所开发的多段回转炉温和热解工艺，主体为三台串联的卧式回转炉，采用外热式加热。建成了60吨/天（约2万吨/年）规模的工业示范装置。实验室焦油收率可达8%-9%，工业化运行中干基焦油收率约为2.5%。</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煤-油-气-电多联产系统超越单一的热解产油，将热解与发电、化工合成等进行系统集成，实现煤炭资源的梯级利用与能量耦合，是提升整体经济性与能效的关键路径，已有多个系统技术进入工程示范。以浙江大学/岑可法院士团队技术为代表</w:t>
      </w:r>
      <w:r>
        <w:rPr>
          <w:rFonts w:hint="eastAsia" w:ascii="宋体" w:hAnsi="宋体" w:eastAsia="宋体"/>
          <w:b w:val="0"/>
          <w:bCs w:val="0"/>
          <w:sz w:val="24"/>
          <w:szCs w:val="24"/>
          <w:lang w:val="en-US" w:eastAsia="zh-CN"/>
        </w:rPr>
        <w:t>提出的热解-气化-燃烧分级转化发电系统</w:t>
      </w:r>
      <w:r>
        <w:rPr>
          <w:rFonts w:hint="default" w:ascii="宋体" w:hAnsi="宋体" w:eastAsia="宋体"/>
          <w:b w:val="0"/>
          <w:bCs w:val="0"/>
          <w:sz w:val="24"/>
          <w:szCs w:val="24"/>
          <w:lang w:val="en-US" w:eastAsia="zh-CN"/>
        </w:rPr>
        <w:t>，通过固体介质（热半焦、高温灰）在燃烧炉与气化炉/热解炉间的循环，实现对煤的分级转化。已建成的12MW工业示范装置，能够综合联产蒸汽、电力、煤气和焦油，验证了“煤-气-油-电”多联产的技术可行性。太原理工大学提出的低阶煤热解-气化一体化油电联产系统将低阶煤快速热解提油，生成的煤气与半焦气化产生的煤气混合后，驱动联合循环发电。系统模拟分析表明，该油电气联产模式的全系统能效可达约50.68%，展示了高效集成的潜力。神华集团开发的回转窑热解技术，已实现单台设备处理能力达100万吨/年的规模，为大型化、连续化生产提供了装备基础。</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地下原位热解的先导试验与产业化探索</w:t>
      </w:r>
      <w:r>
        <w:rPr>
          <w:rFonts w:hint="eastAsia" w:ascii="宋体" w:hAnsi="宋体" w:eastAsia="宋体"/>
          <w:b w:val="0"/>
          <w:bCs w:val="0"/>
          <w:sz w:val="24"/>
          <w:szCs w:val="24"/>
          <w:lang w:val="en-US" w:eastAsia="zh-CN"/>
        </w:rPr>
        <w:t>也在迅速发展，该技术力求实现“取氢留碳”的颠覆性低碳开发，目前处于从先导试验向产业化迈进的关键阶段。由陕西煤田地质集团有限公司联合西安交通大学等单位，在陕西省榆林市榆神矿区大保当井田开展的富油煤地下原位热解先导性试验，取得了里程碑式进展：成功提取了全球第一桶原位热解煤焦油。此举完成了富油煤原位开采“从0到1”的工艺流程验证，标志着该技术走出了实验室。先导试验聚焦并验证了一系列产业化必须攻克的关键技术，包括高效复合加热技术、储层改造技术和生油地下密闭系统构建技术。高效复合加热技术确立了以对流加热（尤其是过热水蒸气注入）为主，电加热、化学氧化自生热等其他方式为辅的复合加热模式，以应对煤层导热性差的挑战。储层改造技术采用水力压裂作为基础手段，人工构建地下传热传质裂缝网络，模拟显示压裂能显著缩短加热周期。地下密闭系统构建技术探索了适用于小规模试验的地下冻结或注浆帷幕技术，以及面向大规模应用的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气驱止水封闭技术，后者兼具封闭、驱替油气和封存CO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三重效益。</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产业化不仅在于初级燃料生产，更在于向下游高附加值产品链的延伸。目前，相关应用已展现雏形，但完整产业链仍在构建中。以陕西延长石油CCSI技术产出的富氢合成气为原料，经催化合成（如费托合成）可生产烯烃、烷烃等基础化学品，该路径的原料制备环节已实现示范。采用ZSM-5催化剂可将新疆低温煤焦油转化为轻质烯烃，产率最高达31.79%，证明了技术潜力。焦油经加氢精制后生产的石脑油，也是蒸汽裂解制烯烃的优质原料。半焦被明确认定为制备特种碳材、碳纤维前驱体的优质原料，但上下游产业链尚未形成。以富油煤热解 重质焦油为前驱体，可制备高性能泡沫炭。优化后的产品孔隙率最优达72.8%，导热系数为0.219 W/(m·K)，在航天、电子、催化载体等领域前景广阔。这印证了焦油通向高附加值材料的可行性。</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综合来看，当前富油煤的工业化应用呈现出“地面示范先行、地下突破验证、产品链延伸探索”的立体格局</w:t>
      </w:r>
      <w:r>
        <w:rPr>
          <w:rFonts w:hint="eastAsia" w:ascii="宋体" w:hAnsi="宋体" w:eastAsia="宋体"/>
          <w:b w:val="0"/>
          <w:bCs w:val="0"/>
          <w:sz w:val="24"/>
          <w:szCs w:val="24"/>
          <w:lang w:val="en-US" w:eastAsia="zh-CN"/>
        </w:rPr>
        <w:t>。富油煤利用</w:t>
      </w:r>
      <w:r>
        <w:rPr>
          <w:rFonts w:hint="default" w:ascii="宋体" w:hAnsi="宋体" w:eastAsia="宋体"/>
          <w:b w:val="0"/>
          <w:bCs w:val="0"/>
          <w:sz w:val="24"/>
          <w:szCs w:val="24"/>
          <w:lang w:val="en-US" w:eastAsia="zh-CN"/>
        </w:rPr>
        <w:t>产业化的主要瓶颈已从原理可行性验证，转向大规模装置的长周期稳定运行、全系统经济性提升、以及完整高值化产业链的构建。未来，地面技术的大型化、清洁化与地下技术的工程化、智能化将是并行的两大攻关主线，共同推动富油煤从一种“资源”转变为支撑能源安全与化工材料体系的“产业基石”。</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ascii="宋体" w:hAnsi="宋体" w:eastAsia="宋体"/>
          <w:b/>
          <w:bCs/>
          <w:sz w:val="24"/>
          <w:szCs w:val="24"/>
        </w:rPr>
      </w:pPr>
      <w:r>
        <w:rPr>
          <w:rFonts w:ascii="宋体" w:hAnsi="宋体" w:eastAsia="宋体"/>
          <w:b/>
          <w:bCs/>
          <w:sz w:val="24"/>
          <w:szCs w:val="24"/>
        </w:rPr>
        <w:t>主要工作过程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目前《原位热解模拟法测定富油煤焦油产率技术规范》团体标准经历了前期调研与准备阶段、立项阶段、草案编制阶段和实验验证阶段。</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3.1 调研与准备阶段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标准起草组成立之后，首先开展了广泛的文献调研工作。查阅了国内外富油煤原位热解相关的学术论文</w:t>
      </w:r>
      <w:r>
        <w:rPr>
          <w:rFonts w:hint="eastAsia" w:ascii="宋体" w:hAnsi="宋体" w:eastAsia="宋体"/>
          <w:b w:val="0"/>
          <w:bCs w:val="0"/>
          <w:sz w:val="24"/>
          <w:szCs w:val="24"/>
          <w:lang w:val="en-US" w:eastAsia="zh-CN"/>
        </w:rPr>
        <w:t>282项（附录1）</w:t>
      </w:r>
      <w:r>
        <w:rPr>
          <w:rFonts w:hint="default" w:ascii="宋体" w:hAnsi="宋体" w:eastAsia="宋体"/>
          <w:b w:val="0"/>
          <w:bCs w:val="0"/>
          <w:sz w:val="24"/>
          <w:szCs w:val="24"/>
          <w:lang w:val="en-US" w:eastAsia="zh-CN"/>
        </w:rPr>
        <w:t>，系统梳理了富油煤的形成机制、赋存特征、原位热解技术原理、热质传递规律、产物分布特征等方面的研究进展</w:t>
      </w:r>
      <w:r>
        <w:rPr>
          <w:rFonts w:hint="eastAsia" w:ascii="宋体" w:hAnsi="宋体" w:eastAsia="宋体"/>
          <w:b w:val="0"/>
          <w:bCs w:val="0"/>
          <w:sz w:val="24"/>
          <w:szCs w:val="24"/>
          <w:lang w:val="en-US" w:eastAsia="zh-CN"/>
        </w:rPr>
        <w:t>。调研了国内外煤焦油的相关标准，包括国家标准、行业标准和团体标准共37项，国外标准20项（附录2），分析了现有标准的适用范围和技术特点，识别出标准空白和技术需求。同时，为深入了解富油煤原位热解技术的实际应用情况，标准起草组先后赴新疆三塘湖盆地、陕西榆神府矿区、鄂尔多斯盆地等典型富油煤矿区开展实地调研，获取富油煤煤层赋存特征、开采条件、原位热解现场试验情况以及企业和科研机构的技术需求等一手资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在此基础上，</w:t>
      </w:r>
      <w:r>
        <w:rPr>
          <w:rFonts w:hint="default" w:ascii="宋体" w:hAnsi="宋体" w:eastAsia="宋体"/>
          <w:b w:val="0"/>
          <w:bCs w:val="0"/>
          <w:sz w:val="24"/>
          <w:szCs w:val="24"/>
          <w:lang w:val="en-US" w:eastAsia="zh-CN"/>
        </w:rPr>
        <w:t>标准起草组</w:t>
      </w:r>
      <w:r>
        <w:rPr>
          <w:rFonts w:hint="eastAsia" w:ascii="宋体" w:hAnsi="宋体" w:eastAsia="宋体"/>
          <w:b w:val="0"/>
          <w:bCs w:val="0"/>
          <w:sz w:val="24"/>
          <w:szCs w:val="24"/>
          <w:lang w:val="en-US" w:eastAsia="zh-CN"/>
        </w:rPr>
        <w:t>通过中国产学研合作促进会标准化工作办公室开展了国内外相关标准的系统查新工作，确认了拟制定标准的创新性和必要性。查新结果表明，在国内尚无专门针对富油煤原位热解模拟法测定焦油产率的技术标准；在国际范围内，美国、加拿大、澳大利亚等国家的研究机构虽然开展了煤的原位热解技术研究，但同样未形成系统的技术标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3.2 立项阶段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调研基础上，起草组向中国产学研合作促进会标准化工作办公室提出了立项申请。中国产学研合作促进会于2025年10月21日组织召开了立项评审会议。专家组听取了标准起草单位的汇报，并进行了质询和讨论，专家组认为：该标准立项材料齐全，符合立项要求；该标准立项草案规定了运用原位热解模拟法测定富油煤焦油产率的方法、试剂和材料、仪器和设备、测试步骤、结果计算、精密度和测定报告等内容，对于富油煤在加压、气体注入条件下的热解产物产率测定方面具有实用性；该标准立项具有可行性，同意通过该团体标准的立项。同时，专家组也提出了建议与意见：建议标准名称由《富油煤焦油产率测定原位热解模拟法》变更为《原位热解模拟法测定富油煤焦油产率技术规范》；建议起草组遵守相关法律法规和强制性标准要求；落实国家产业规划；组织相关方参与标准制定；广泛征求意见；按照GB/T1.1规范起草标准草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3.3 草案编制阶段</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标准起草组在前期调研基础上，结合富油煤原位热解模拟实验的研究成果，确定了标准的技术路线，即以模拟富油煤地下原位热解实际工况为核心目标，以压力、气氛、温度为基本测试条件，以焦油产率为主要测定指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标准编制遵循科学性、规范性、适用性、协调性和创新性五项基本原则：科学性体现在以科研成果为基础，充分吸收国内外富油煤原位热解领域研究成果，确保技术参数、方法步骤均有充分理论依据和实验支撑，试样尺寸、控温精度（±0.2℃）、精密度等关键指标均经系统文献调研、数值模拟及多实验室比对试验确定；规范性体现在严格遵循GB/T 1.1—2020《标准化工作导则》，文件结构、条款表述、格式编排符合国家标准编写规范，术语定义与T/GRM 114—2025、GB/T 480—2019等相关标准保持一致；适用性体现在充分考虑我国富油煤资源赋存特征和原位热解工程实践需求，确保方法设备易获取、操作步骤可执行、结果数据可验证，技术参数覆盖试样直径20—100mm、压力0—30MPa（对应埋深500—3000m）、温度室温—1000℃及N</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、蒸汽等工艺气体；协调性体现在与现行国家标准、行业标准相互协调，规范性引用GB/T 12937、GB/T 3715、GB 474、GB/T 480等多项标准，确保标准体系的完整性和统一性；创新性体现在系统规定原位热解模拟法测定富油煤焦油产率的技术要求，填补国内该领域技术标准空白。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bCs/>
          <w:sz w:val="24"/>
          <w:szCs w:val="24"/>
          <w:lang w:val="en-US" w:eastAsia="zh-CN"/>
        </w:rPr>
      </w:pPr>
      <w:r>
        <w:rPr>
          <w:rFonts w:hint="eastAsia" w:ascii="宋体" w:hAnsi="宋体" w:eastAsia="宋体"/>
          <w:b w:val="0"/>
          <w:bCs w:val="0"/>
          <w:sz w:val="24"/>
          <w:szCs w:val="24"/>
          <w:lang w:val="en-US" w:eastAsia="zh-CN"/>
        </w:rPr>
        <w:t>起草组编制了标准草案初稿，涵盖了范围、规范性引用文件、术语和定义、试样制备、仪器设备与测试系统、测试步骤、结果表述、精密度、测定报告等主要章节。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ascii="宋体" w:hAnsi="宋体" w:eastAsia="宋体"/>
          <w:b/>
          <w:bCs/>
          <w:sz w:val="24"/>
          <w:szCs w:val="24"/>
        </w:rPr>
      </w:pPr>
      <w:r>
        <w:rPr>
          <w:rFonts w:hint="eastAsia" w:ascii="宋体" w:hAnsi="宋体" w:eastAsia="宋体"/>
          <w:b/>
          <w:bCs/>
          <w:sz w:val="24"/>
          <w:szCs w:val="24"/>
        </w:rPr>
        <w:t>主要起草</w:t>
      </w:r>
      <w:r>
        <w:rPr>
          <w:rFonts w:ascii="宋体" w:hAnsi="宋体" w:eastAsia="宋体"/>
          <w:b/>
          <w:bCs/>
          <w:sz w:val="24"/>
          <w:szCs w:val="24"/>
        </w:rPr>
        <w:t>单位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本标准的主要起草单位包括：</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新疆大学：新疆维吾尔自治区重点综合性大学，拥有地质资源与地质工程、化学工程与技术等优势学科。能源矿产勘探开发与碳封存利用研究团队长期从事新疆煤田地质勘查和煤炭资源评价研究，在富油煤赋存规律和资源评价方面积累了丰富的研究经验。</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新疆亚新煤层气投资开发（集团）有限责任公司：从事煤层气、页岩气等非常规天然气勘探开发的企业集团，在新疆地区开展了大量的煤层气、页岩气勘探开发工作，具备丰富的工程实践经验和现场试验能力。</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怀柔国家实验室新疆研究基地：国家实验室的区域创新平台，聚焦能源资源绿色低碳开发等领域，开展基础研究和关键技术攻关，为本标准制定提供了强有力的科研支撑。</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中国石油吐哈油田公司：中国石油天然气股份有限公司的地区分公司，在新疆吐哈盆地开展了多年的油气勘探开发工作，在高温高压条件下的油气开采和测试技术方面具有丰富的经验。</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ascii="宋体" w:hAnsi="宋体" w:eastAsia="宋体"/>
          <w:b/>
          <w:bCs/>
          <w:sz w:val="24"/>
          <w:szCs w:val="24"/>
        </w:rPr>
      </w:pPr>
      <w:r>
        <w:rPr>
          <w:rFonts w:ascii="宋体" w:hAnsi="宋体" w:eastAsia="宋体"/>
          <w:b/>
          <w:bCs/>
          <w:sz w:val="24"/>
          <w:szCs w:val="24"/>
        </w:rPr>
        <w:t>标</w:t>
      </w:r>
      <w:r>
        <w:rPr>
          <w:rFonts w:hint="eastAsia" w:ascii="宋体" w:hAnsi="宋体" w:eastAsia="宋体"/>
          <w:b/>
          <w:bCs/>
          <w:sz w:val="24"/>
          <w:szCs w:val="24"/>
        </w:rPr>
        <w:t>准</w:t>
      </w:r>
      <w:r>
        <w:rPr>
          <w:rFonts w:ascii="宋体" w:hAnsi="宋体" w:eastAsia="宋体"/>
          <w:b/>
          <w:bCs/>
          <w:sz w:val="24"/>
          <w:szCs w:val="24"/>
        </w:rPr>
        <w:t>主要起草人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标准起草组成员涵盖了高校、科研院所和生产企业等多方主体，包括煤田地质、煤化工、测试分析等多个专业领域的技术专家，体现了产学研用相结合的标准化工作特点。高校和科研院所团队负责理论研究和技术路线设计，生产企业团队负责试验验证和工程应用反馈，确保标准内容既有理论深度又具实践可行性，主要成员有新疆大学李鑫、冯烁、陈昊，新疆亚新煤层气投资开发（集团）有限责任公司韦波、胡振鹏，怀柔国家实验室新疆研究基地王子强、谢安、张华，中国石油吐哈油田公司王兴刚。</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ascii="宋体" w:hAnsi="宋体" w:eastAsia="宋体"/>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宋体" w:hAnsi="宋体" w:eastAsia="宋体"/>
          <w:sz w:val="28"/>
          <w:szCs w:val="28"/>
          <w:lang w:val="en-US" w:eastAsia="zh-CN"/>
        </w:rPr>
      </w:pPr>
      <w:r>
        <w:rPr>
          <w:rFonts w:ascii="宋体" w:hAnsi="宋体" w:eastAsia="宋体"/>
          <w:sz w:val="28"/>
          <w:szCs w:val="28"/>
        </w:rPr>
        <w:t>标准主要技术内容</w:t>
      </w:r>
      <w:r>
        <w:rPr>
          <w:rFonts w:hint="eastAsia" w:ascii="宋体" w:hAnsi="宋体" w:eastAsia="宋体"/>
          <w:sz w:val="28"/>
          <w:szCs w:val="28"/>
          <w:lang w:val="en-US" w:eastAsia="zh-CN"/>
        </w:rPr>
        <w:t>及依据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标准针对现有格金低温干馏法无法模拟地下原位条件导致测定偏差的问题，规定了在加压和气体注入条件下，采用特定规格的富油煤试样进行热解模拟试验的方法；通过配备高温加热、液压伺服加压、气体增压及恒流控制等系统，实现对焦油、水分和半焦产率的准确测定，从而为富油煤资源潜力评价和地下原位热解工业化提供符合实际地质工况的技术标准和数据支撑。标准规定了运用原位热解模拟法测定富油煤焦油产率的方法、试剂和材料、仪器和设备、测试步骤、结果计算、精密度和测定报告，适用于富油煤在加压、气体注入条件下的热解产物产率测定。标准主要技术内容如下：</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适用范围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本标准适用于富油煤在加压、气体注入条件下的热解产物产率测定。明确本文件规定了原位热解模拟法测定富油煤焦油产率的方法、试剂和材料、仪器和设备、测试步骤、结果计算、精密度和测定报告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本标准适用范围的选择基于以下考虑：一方面，富油煤原位热解的核心特征是在地下一定深度进行，受围压作用，煤层处于加压状态；另一方面，为提高热解效率和焦油产率，原位热解过程中通常会注入不通气氛作为热载体或反应气体。</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规范性引用文件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内容：规范性引用标准，共8项，包括：GB/T 12937煤岩术语、GB/T 3715煤质及煤分析有关术语、GB 474煤样的制备方法、GB/T 19494.2煤机械化采样 第2部分：煤样的制备、GB/T 480煤的铝甑低温干馏试验方法、GB/T 9977焦化产品术语、GB/T 1999焦化油类产品取样方法、T/GRM 114富油煤原位热解术语。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依据：在前期对相关国内外标准调研基础上，上述8项引用文件为本标准提供了术语定义、试样制备、产品分类等方面的基础支撑。</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术语与定义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规定了本文件使用的3个主要术语及其定义，即富油煤-焦油产率大于等于7%的煤种；原位热解模拟-模拟地下热解工况条件，在加压、气体注入条件下煤样进行热解处理的过程；焦油产率-单位质量煤样在热解后所得焦油的质量百分比。</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依据：富油煤定义在T/GRM 114富油煤原位热解术语及各文献中十分统一，核心指标均为焦油产率大于等于7%；原位热解模拟是本标准主要方法，与现有铝甑低温干馏试验方法、格金试验方法的差异在于模拟实际地下热解时的压力和气体注入条件，以获得更符合实际生产条件下的焦油产率；焦油产率的定义与现有煤焦油产率测定标准（如GB/T 480）的表述方式一致，便于结果对比和数据积累。</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试样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内容1：规定了原位热解模拟试样可选用钻孔芯样和块状煤样，块状煤样需采用钻孔设备钻取圆柱形样芯，并采用切割打磨设备按试验所需规格加工。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1：钻孔芯样能够保持煤样的原始结构和状态，地下原位代表性好，但获取成本较高，且样品量相对较少；块状煤样加工方便，经济性好，但取自开采煤矿可能对煤样原始状态有一定影响。为满足两种试样的可用性，使用块状煤样时，需采用钻孔设备钻取圆柱形样芯，以保持试样的一致性。</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内容2：试样应为圆柱体试样，尺寸宜为直径100mm、长度500mm。试样可将多段直径相同圆柱体拼接，拼接面需径向切割并打磨平整。钻孔芯样可按比例缩放。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2：圆柱体试样内部温度场和压力场分布相对均匀，测试结果具有代表性，且便于加工和装卸，设备通用性强。调研发现，通常加热井与生产井之间的水平距离设计在10米到30米之间，而为了保证较好的热效率，4米以上的中厚煤层往往被优先选择，因此实际工况下垂直方向和水平方向煤的范围约为1:5，故按比例缩小试样规格为直径100mm、长度500mm。若因岩心断裂等原因造成试样不平整，应</w:t>
      </w:r>
      <w:r>
        <w:rPr>
          <w:rFonts w:hint="eastAsia" w:ascii="宋体" w:hAnsi="宋体" w:eastAsia="宋体" w:cstheme="minorBidi"/>
          <w:b w:val="0"/>
          <w:bCs w:val="0"/>
          <w:kern w:val="2"/>
          <w:sz w:val="24"/>
          <w:szCs w:val="24"/>
          <w:lang w:val="en-US" w:eastAsia="zh-CN" w:bidi="ar-SA"/>
        </w:rPr>
        <w:t>切割并打磨平整，否则容易在加压时造成失稳、破坏。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3：规定了试样制备的流程和精度。原始试样在采集、运输和制备过程中宜避免外界扰动和损伤；制备圆柱形试样时，宜采用钻孔设备钻取圆柱形样芯，并采用切割打磨设备按试验所需尺寸加工；试样两端面的不平整度允许偏差为±0.02mm；试样高度、直径的允许偏差为±0.1mm；试样端面应垂直于试样轴线，允许偏差为±0.20°；相同试验条件下每组试样的数量应不少于2个；试样外需用钛合金套管包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3：试样端面的平整度和垂直度直接影响密封性能和压力传递的均匀性，进而影响热解产物产率的测定结果，故对平整度、偏差等进行了规定；相同试验条件下每组试样的数量应不少于2个，是考虑到原位热解模拟试验的影响因素复杂，多个试样的平行测试能够更好地反映测试方法的稳定性和结果的可靠性。试样外加钛合金套管是为了保持围压加载时试样的侧向密封性，钛合金高温高压下既具有化学稳定性，又满足力学强度要求，因此选用钛合金管套。</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仪器设备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1规定了仪器设备应符合的一般规定：试验仪器、仪表、各类传感器应进行周期性检定和校准，并按照实际检定和校准结果详实记录。若检定和校准中发现仪器仪表故障或测试精度不满足试验要求，应及时维修或更换。试样测试前应详实记录试验试样信息，试样测试后应详实记录试样变化信息。记录信息时可采用素描或拍照等记录方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依据1：一般规定主要目的是确保测试数据具有可信性和准确性，符合计量认证要求。记录试样前后变化有助于分析热解过程中的物理破坏机理，为结果分析提供宏观证据。</w:t>
      </w:r>
    </w:p>
    <w:p>
      <w:pPr>
        <w:pStyle w:val="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内容2规定了加热设备应符合的技术要求：</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炉体宜采用半开式开炉方式，方便样品装卸；</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宜配备钛合金岩心塞与石墨密封圈，保证高温下长期稳定密封；</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应配备顶紧机构，补偿高温下产生的体变；</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炉体外部应设置柔性隔热保温层；</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热源最高加热温度不宜低于1000℃；</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default"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应具有实时测温功能，测温点能直达样品附近的高温区域；</w:t>
      </w:r>
    </w:p>
    <w:p>
      <w:pPr>
        <w:pStyle w:val="9"/>
        <w:keepNext w:val="0"/>
        <w:keepLines w:val="0"/>
        <w:pageBreakBefore w:val="0"/>
        <w:widowControl/>
        <w:numPr>
          <w:ilvl w:val="0"/>
          <w:numId w:val="5"/>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应配备循环控温系统，全域温差不宜超过5℃，控温精度应优于±0.2℃。</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2：半开式设计便于装卸沉重的样品和岩心塞，提高测试的操作便捷性。实验涉及高温和高压，钛合金耐高温且强度高，石墨密封圈在高温下具有良好的自润滑和密封性能，防止挥发分泄漏或外部气体进入。煤在热解过程中会发生软化、收缩或膨胀。顶紧机构用于补偿这种体积变化，确保电极或传热面始终与煤样接触，并维持设定的轴压。炉体外层包裹隔热保温层，既模拟了煤层在地下的保温效果，也隔离了外部温度变化对测试的扰动。虽然常规热解可能在600℃左右完成，但设定1000℃上限是为了满足不同工艺条件的极限测试需求及加热速率控制，以探索原位热解最佳工艺条件。煤的热解反应对温度敏感，全域温差</w:t>
      </w:r>
      <w:r>
        <w:rPr>
          <w:rFonts w:hint="eastAsia" w:ascii="宋体" w:hAnsi="宋体" w:eastAsia="宋体" w:cstheme="minorBidi"/>
          <w:b w:val="0"/>
          <w:bCs w:val="0"/>
          <w:kern w:val="2"/>
          <w:sz w:val="24"/>
          <w:szCs w:val="24"/>
          <w:lang w:val="en-US" w:eastAsia="zh-CN" w:bidi="ar-SA"/>
        </w:rPr>
        <w:t>不宜超过5℃</w:t>
      </w:r>
      <w:r>
        <w:rPr>
          <w:rFonts w:hint="eastAsia" w:ascii="宋体" w:hAnsi="宋体" w:eastAsia="宋体"/>
          <w:b w:val="0"/>
          <w:bCs w:val="0"/>
          <w:sz w:val="24"/>
          <w:szCs w:val="24"/>
          <w:lang w:val="en-US" w:eastAsia="zh-CN"/>
        </w:rPr>
        <w:t>是为了保证圆柱形大尺寸试样受热均匀，避免局部过热或反应不完全，从而准确测定焦油产率。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内容3</w:t>
      </w:r>
      <w:r>
        <w:rPr>
          <w:rFonts w:hint="eastAsia" w:ascii="宋体" w:hAnsi="宋体" w:eastAsia="宋体" w:cstheme="minorBidi"/>
          <w:b w:val="0"/>
          <w:bCs w:val="0"/>
          <w:kern w:val="2"/>
          <w:sz w:val="24"/>
          <w:szCs w:val="24"/>
          <w:lang w:val="en-US" w:eastAsia="zh-CN" w:bidi="ar-SA"/>
        </w:rPr>
        <w:t>规定了加压设备应符合的技术要求</w:t>
      </w:r>
      <w:r>
        <w:rPr>
          <w:rFonts w:hint="eastAsia" w:ascii="宋体" w:hAnsi="宋体" w:eastAsia="宋体"/>
          <w:b w:val="0"/>
          <w:bCs w:val="0"/>
          <w:sz w:val="24"/>
          <w:szCs w:val="24"/>
          <w:lang w:val="en-US" w:eastAsia="zh-CN"/>
        </w:rPr>
        <w:t>：</w:t>
      </w:r>
    </w:p>
    <w:p>
      <w:pPr>
        <w:pStyle w:val="9"/>
        <w:keepNext w:val="0"/>
        <w:keepLines w:val="0"/>
        <w:pageBreakBefore w:val="0"/>
        <w:widowControl/>
        <w:numPr>
          <w:ilvl w:val="0"/>
          <w:numId w:val="6"/>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能够独立加载围压和轴压；</w:t>
      </w:r>
    </w:p>
    <w:p>
      <w:pPr>
        <w:pStyle w:val="9"/>
        <w:keepNext w:val="0"/>
        <w:keepLines w:val="0"/>
        <w:pageBreakBefore w:val="0"/>
        <w:widowControl/>
        <w:numPr>
          <w:ilvl w:val="0"/>
          <w:numId w:val="6"/>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应具备轴压和围压的自动跟踪加载或恒压加载能力；</w:t>
      </w:r>
    </w:p>
    <w:p>
      <w:pPr>
        <w:pStyle w:val="9"/>
        <w:keepNext w:val="0"/>
        <w:keepLines w:val="0"/>
        <w:pageBreakBefore w:val="0"/>
        <w:widowControl/>
        <w:numPr>
          <w:ilvl w:val="0"/>
          <w:numId w:val="6"/>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施加轴压与围压上限不宜低于30MPa；</w:t>
      </w:r>
    </w:p>
    <w:p>
      <w:pPr>
        <w:pStyle w:val="9"/>
        <w:keepNext w:val="0"/>
        <w:keepLines w:val="0"/>
        <w:pageBreakBefore w:val="0"/>
        <w:widowControl/>
        <w:numPr>
          <w:ilvl w:val="0"/>
          <w:numId w:val="6"/>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传压介质应耐最高加热温度；</w:t>
      </w:r>
    </w:p>
    <w:p>
      <w:pPr>
        <w:pStyle w:val="9"/>
        <w:keepNext w:val="0"/>
        <w:keepLines w:val="0"/>
        <w:pageBreakBefore w:val="0"/>
        <w:widowControl/>
        <w:numPr>
          <w:ilvl w:val="0"/>
          <w:numId w:val="6"/>
        </w:numPr>
        <w:kinsoku/>
        <w:wordWrap/>
        <w:overflowPunct/>
        <w:topLinePunct w:val="0"/>
        <w:autoSpaceDE/>
        <w:autoSpaceDN/>
        <w:bidi w:val="0"/>
        <w:adjustRightInd/>
        <w:snapToGrid/>
        <w:spacing w:line="360" w:lineRule="auto"/>
        <w:ind w:left="425" w:leftChars="0" w:hanging="5" w:firstLineChars="0"/>
        <w:textAlignment w:val="auto"/>
        <w:rPr>
          <w:rFonts w:hint="default"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应配备循环冷却装置，用于长时间加压时设备的散热。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3：地下深处煤层受到的上覆岩层压力（轴压）和侧向水平应力（围压）不同，独立加载能够更好地模拟真实三轴应力状态。热解导致煤基质收缩，体积减小会导致压力骤降。自动跟踪加载是为了在热解全过程维持恒定的地应力模拟环境。</w:t>
      </w:r>
      <w:r>
        <w:rPr>
          <w:rFonts w:hint="eastAsia" w:ascii="宋体" w:hAnsi="宋体" w:eastAsia="宋体" w:cstheme="minorBidi"/>
          <w:b w:val="0"/>
          <w:bCs w:val="0"/>
          <w:kern w:val="2"/>
          <w:sz w:val="24"/>
          <w:szCs w:val="24"/>
          <w:lang w:val="en-US" w:eastAsia="zh-CN" w:bidi="ar-SA"/>
        </w:rPr>
        <w:t>施加轴压与围压上限来源于广泛文献调研，如有经验公式σv =0.0245h(σv为垂直应力/MPa，h为埋深/m)，也有取压力梯度1.5MPa/100m，综合来看，普遍认为1000米深煤层处于一个20-30MPa的应力环境，因此取30MPa为轴压与围压上限。为防止液压油在高温下分解失效或设备因长期运行过热损坏，保证实验过程的连续性和安全性，故要求传压介质应耐最高加热温度，并应配备循环冷却装置，用于长时间加压时设备的散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内容4</w:t>
      </w:r>
      <w:r>
        <w:rPr>
          <w:rFonts w:hint="eastAsia" w:ascii="宋体" w:hAnsi="宋体" w:eastAsia="宋体" w:cstheme="minorBidi"/>
          <w:b w:val="0"/>
          <w:bCs w:val="0"/>
          <w:kern w:val="2"/>
          <w:sz w:val="24"/>
          <w:szCs w:val="24"/>
          <w:lang w:val="en-US" w:eastAsia="zh-CN" w:bidi="ar-SA"/>
        </w:rPr>
        <w:t>规定了气体注入设备应符合的技术要求</w:t>
      </w:r>
      <w:r>
        <w:rPr>
          <w:rFonts w:hint="eastAsia" w:ascii="宋体" w:hAnsi="宋体" w:eastAsia="宋体"/>
          <w:b w:val="0"/>
          <w:bCs w:val="0"/>
          <w:sz w:val="24"/>
          <w:szCs w:val="24"/>
          <w:lang w:val="en-US" w:eastAsia="zh-CN"/>
        </w:rPr>
        <w:t>：</w:t>
      </w:r>
    </w:p>
    <w:p>
      <w:pPr>
        <w:pStyle w:val="9"/>
        <w:keepNext w:val="0"/>
        <w:keepLines w:val="0"/>
        <w:pageBreakBefore w:val="0"/>
        <w:widowControl/>
        <w:numPr>
          <w:ilvl w:val="0"/>
          <w:numId w:val="7"/>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应配备水蒸气、氮气、二氧化碳、氧气等多种气源；</w:t>
      </w:r>
    </w:p>
    <w:p>
      <w:pPr>
        <w:pStyle w:val="9"/>
        <w:keepNext w:val="0"/>
        <w:keepLines w:val="0"/>
        <w:pageBreakBefore w:val="0"/>
        <w:widowControl/>
        <w:numPr>
          <w:ilvl w:val="0"/>
          <w:numId w:val="7"/>
        </w:numPr>
        <w:tabs>
          <w:tab w:val="left" w:pos="0"/>
          <w:tab w:val="clear" w:pos="420"/>
        </w:tabs>
        <w:kinsoku/>
        <w:wordWrap/>
        <w:overflowPunct/>
        <w:topLinePunct w:val="0"/>
        <w:autoSpaceDE/>
        <w:autoSpaceDN/>
        <w:bidi w:val="0"/>
        <w:adjustRightInd/>
        <w:snapToGrid/>
        <w:spacing w:line="360" w:lineRule="auto"/>
        <w:ind w:left="0" w:leftChars="0" w:firstLine="420"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每种气体均</w:t>
      </w:r>
      <w:r>
        <w:rPr>
          <w:rFonts w:hint="eastAsia" w:ascii="宋体" w:hAnsi="宋体" w:eastAsia="宋体" w:cstheme="minorBidi"/>
          <w:b w:val="0"/>
          <w:bCs w:val="0"/>
          <w:kern w:val="2"/>
          <w:sz w:val="24"/>
          <w:szCs w:val="24"/>
          <w:lang w:val="en-US" w:eastAsia="zh-CN" w:bidi="ar-SA"/>
        </w:rPr>
        <w:t>应</w:t>
      </w:r>
      <w:r>
        <w:rPr>
          <w:rFonts w:hint="default" w:ascii="宋体" w:hAnsi="宋体" w:eastAsia="宋体" w:cstheme="minorBidi"/>
          <w:b w:val="0"/>
          <w:bCs w:val="0"/>
          <w:kern w:val="2"/>
          <w:sz w:val="24"/>
          <w:szCs w:val="24"/>
          <w:lang w:val="en-US" w:eastAsia="zh-CN" w:bidi="ar-SA"/>
        </w:rPr>
        <w:t>进行定量控制，气体注入流量上限不宜低于5m</w:t>
      </w:r>
      <w:r>
        <w:rPr>
          <w:rFonts w:hint="default" w:ascii="宋体" w:hAnsi="宋体" w:eastAsia="宋体" w:cstheme="minorBidi"/>
          <w:b w:val="0"/>
          <w:bCs w:val="0"/>
          <w:kern w:val="2"/>
          <w:sz w:val="24"/>
          <w:szCs w:val="24"/>
          <w:vertAlign w:val="superscript"/>
          <w:lang w:val="en-US" w:eastAsia="zh-CN" w:bidi="ar-SA"/>
        </w:rPr>
        <w:t>3</w:t>
      </w:r>
      <w:r>
        <w:rPr>
          <w:rFonts w:hint="default" w:ascii="宋体" w:hAnsi="宋体" w:eastAsia="宋体" w:cstheme="minorBidi"/>
          <w:b w:val="0"/>
          <w:bCs w:val="0"/>
          <w:kern w:val="2"/>
          <w:sz w:val="24"/>
          <w:szCs w:val="24"/>
          <w:lang w:val="en-US" w:eastAsia="zh-CN" w:bidi="ar-SA"/>
        </w:rPr>
        <w:t>/h</w:t>
      </w:r>
      <w:r>
        <w:rPr>
          <w:rFonts w:hint="eastAsia" w:ascii="宋体" w:hAnsi="宋体" w:eastAsia="宋体" w:cstheme="minorBidi"/>
          <w:b w:val="0"/>
          <w:bCs w:val="0"/>
          <w:kern w:val="2"/>
          <w:sz w:val="24"/>
          <w:szCs w:val="24"/>
          <w:lang w:val="en-US" w:eastAsia="zh-CN" w:bidi="ar-SA"/>
        </w:rPr>
        <w:t>，</w:t>
      </w:r>
      <w:r>
        <w:rPr>
          <w:rFonts w:hint="default" w:ascii="宋体" w:hAnsi="宋体" w:eastAsia="宋体" w:cstheme="minorBidi"/>
          <w:b w:val="0"/>
          <w:bCs w:val="0"/>
          <w:kern w:val="2"/>
          <w:sz w:val="24"/>
          <w:szCs w:val="24"/>
          <w:lang w:val="en-US" w:eastAsia="zh-CN" w:bidi="ar-SA"/>
        </w:rPr>
        <w:t>流量</w:t>
      </w:r>
      <w:r>
        <w:rPr>
          <w:rFonts w:hint="eastAsia" w:ascii="宋体" w:hAnsi="宋体" w:eastAsia="宋体" w:cstheme="minorBidi"/>
          <w:b w:val="0"/>
          <w:bCs w:val="0"/>
          <w:kern w:val="2"/>
          <w:sz w:val="24"/>
          <w:szCs w:val="24"/>
          <w:lang w:val="en-US" w:eastAsia="zh-CN" w:bidi="ar-SA"/>
        </w:rPr>
        <w:t>控制</w:t>
      </w:r>
      <w:r>
        <w:rPr>
          <w:rFonts w:hint="default" w:ascii="宋体" w:hAnsi="宋体" w:eastAsia="宋体" w:cstheme="minorBidi"/>
          <w:b w:val="0"/>
          <w:bCs w:val="0"/>
          <w:kern w:val="2"/>
          <w:sz w:val="24"/>
          <w:szCs w:val="24"/>
          <w:lang w:val="en-US" w:eastAsia="zh-CN" w:bidi="ar-SA"/>
        </w:rPr>
        <w:t>精度应优于±1%；</w:t>
      </w:r>
    </w:p>
    <w:p>
      <w:pPr>
        <w:pStyle w:val="9"/>
        <w:keepNext w:val="0"/>
        <w:keepLines w:val="0"/>
        <w:pageBreakBefore w:val="0"/>
        <w:widowControl/>
        <w:numPr>
          <w:ilvl w:val="0"/>
          <w:numId w:val="7"/>
        </w:numPr>
        <w:kinsoku/>
        <w:wordWrap/>
        <w:overflowPunct/>
        <w:topLinePunct w:val="0"/>
        <w:autoSpaceDE/>
        <w:autoSpaceDN/>
        <w:bidi w:val="0"/>
        <w:adjustRightInd/>
        <w:snapToGrid/>
        <w:spacing w:line="360" w:lineRule="auto"/>
        <w:ind w:left="425" w:leftChars="0" w:hanging="5" w:firstLineChars="0"/>
        <w:textAlignment w:val="auto"/>
        <w:rPr>
          <w:rFonts w:hint="default"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应配备带安全阀和放气阀的</w:t>
      </w:r>
      <w:r>
        <w:rPr>
          <w:rFonts w:hint="default" w:ascii="宋体" w:hAnsi="宋体" w:eastAsia="宋体" w:cstheme="minorBidi"/>
          <w:b w:val="0"/>
          <w:bCs w:val="0"/>
          <w:kern w:val="2"/>
          <w:sz w:val="24"/>
          <w:szCs w:val="24"/>
          <w:lang w:val="en-US" w:eastAsia="zh-CN" w:bidi="ar-SA"/>
        </w:rPr>
        <w:t>配气罐</w:t>
      </w:r>
      <w:r>
        <w:rPr>
          <w:rFonts w:hint="eastAsia" w:ascii="宋体" w:hAnsi="宋体" w:eastAsia="宋体" w:cstheme="minorBidi"/>
          <w:b w:val="0"/>
          <w:bCs w:val="0"/>
          <w:kern w:val="2"/>
          <w:sz w:val="24"/>
          <w:szCs w:val="24"/>
          <w:lang w:val="en-US" w:eastAsia="zh-CN" w:bidi="ar-SA"/>
        </w:rPr>
        <w:t>，用于不同比例气体混合</w:t>
      </w:r>
      <w:r>
        <w:rPr>
          <w:rFonts w:hint="default" w:ascii="宋体" w:hAnsi="宋体" w:eastAsia="宋体" w:cstheme="minorBidi"/>
          <w:b w:val="0"/>
          <w:bCs w:val="0"/>
          <w:kern w:val="2"/>
          <w:sz w:val="24"/>
          <w:szCs w:val="24"/>
          <w:lang w:val="en-US" w:eastAsia="zh-CN" w:bidi="ar-SA"/>
        </w:rPr>
        <w:t>；</w:t>
      </w:r>
    </w:p>
    <w:p>
      <w:pPr>
        <w:pStyle w:val="9"/>
        <w:keepNext w:val="0"/>
        <w:keepLines w:val="0"/>
        <w:pageBreakBefore w:val="0"/>
        <w:widowControl/>
        <w:numPr>
          <w:ilvl w:val="0"/>
          <w:numId w:val="7"/>
        </w:numPr>
        <w:kinsoku/>
        <w:wordWrap/>
        <w:overflowPunct/>
        <w:topLinePunct w:val="0"/>
        <w:autoSpaceDE/>
        <w:autoSpaceDN/>
        <w:bidi w:val="0"/>
        <w:adjustRightInd/>
        <w:snapToGrid/>
        <w:spacing w:line="360" w:lineRule="auto"/>
        <w:ind w:left="425" w:leftChars="0" w:hanging="5" w:firstLineChars="0"/>
        <w:textAlignment w:val="auto"/>
        <w:rPr>
          <w:rFonts w:hint="default"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应配备</w:t>
      </w:r>
      <w:r>
        <w:rPr>
          <w:rFonts w:hint="default" w:ascii="宋体" w:hAnsi="宋体" w:eastAsia="宋体" w:cstheme="minorBidi"/>
          <w:b w:val="0"/>
          <w:bCs w:val="0"/>
          <w:kern w:val="2"/>
          <w:sz w:val="24"/>
          <w:szCs w:val="24"/>
          <w:lang w:val="en-US" w:eastAsia="zh-CN" w:bidi="ar-SA"/>
        </w:rPr>
        <w:t>气体增压泵</w:t>
      </w:r>
      <w:r>
        <w:rPr>
          <w:rFonts w:hint="eastAsia" w:ascii="宋体" w:hAnsi="宋体" w:eastAsia="宋体" w:cstheme="minorBidi"/>
          <w:b w:val="0"/>
          <w:bCs w:val="0"/>
          <w:kern w:val="2"/>
          <w:sz w:val="24"/>
          <w:szCs w:val="24"/>
          <w:lang w:val="en-US" w:eastAsia="zh-CN" w:bidi="ar-SA"/>
        </w:rPr>
        <w:t>，</w:t>
      </w:r>
      <w:r>
        <w:rPr>
          <w:rFonts w:hint="default" w:ascii="宋体" w:hAnsi="宋体" w:eastAsia="宋体" w:cstheme="minorBidi"/>
          <w:b w:val="0"/>
          <w:bCs w:val="0"/>
          <w:kern w:val="2"/>
          <w:sz w:val="24"/>
          <w:szCs w:val="24"/>
          <w:lang w:val="en-US" w:eastAsia="zh-CN" w:bidi="ar-SA"/>
        </w:rPr>
        <w:t>控制</w:t>
      </w:r>
      <w:r>
        <w:rPr>
          <w:rFonts w:hint="eastAsia" w:ascii="宋体" w:hAnsi="宋体" w:eastAsia="宋体" w:cstheme="minorBidi"/>
          <w:b w:val="0"/>
          <w:bCs w:val="0"/>
          <w:kern w:val="2"/>
          <w:sz w:val="24"/>
          <w:szCs w:val="24"/>
          <w:lang w:val="en-US" w:eastAsia="zh-CN" w:bidi="ar-SA"/>
        </w:rPr>
        <w:t>气体注入压力，注入</w:t>
      </w:r>
      <w:r>
        <w:rPr>
          <w:rFonts w:hint="default" w:ascii="宋体" w:hAnsi="宋体" w:eastAsia="宋体" w:cstheme="minorBidi"/>
          <w:b w:val="0"/>
          <w:bCs w:val="0"/>
          <w:kern w:val="2"/>
          <w:sz w:val="24"/>
          <w:szCs w:val="24"/>
          <w:lang w:val="en-US" w:eastAsia="zh-CN" w:bidi="ar-SA"/>
        </w:rPr>
        <w:t>压力</w:t>
      </w:r>
      <w:r>
        <w:rPr>
          <w:rFonts w:hint="eastAsia" w:ascii="宋体" w:hAnsi="宋体" w:eastAsia="宋体" w:cstheme="minorBidi"/>
          <w:b w:val="0"/>
          <w:bCs w:val="0"/>
          <w:kern w:val="2"/>
          <w:sz w:val="24"/>
          <w:szCs w:val="24"/>
          <w:lang w:val="en-US" w:eastAsia="zh-CN" w:bidi="ar-SA"/>
        </w:rPr>
        <w:t>不宜低于轴压、围压</w:t>
      </w:r>
      <w:r>
        <w:rPr>
          <w:rFonts w:hint="default" w:ascii="宋体" w:hAnsi="宋体" w:eastAsia="宋体" w:cstheme="minorBidi"/>
          <w:b w:val="0"/>
          <w:bCs w:val="0"/>
          <w:kern w:val="2"/>
          <w:sz w:val="24"/>
          <w:szCs w:val="24"/>
          <w:lang w:val="en-US" w:eastAsia="zh-CN" w:bidi="ar-SA"/>
        </w:rPr>
        <w:t>；</w:t>
      </w:r>
    </w:p>
    <w:p>
      <w:pPr>
        <w:pStyle w:val="9"/>
        <w:keepNext w:val="0"/>
        <w:keepLines w:val="0"/>
        <w:pageBreakBefore w:val="0"/>
        <w:widowControl/>
        <w:numPr>
          <w:ilvl w:val="0"/>
          <w:numId w:val="7"/>
        </w:numPr>
        <w:kinsoku/>
        <w:wordWrap/>
        <w:overflowPunct/>
        <w:topLinePunct w:val="0"/>
        <w:autoSpaceDE/>
        <w:autoSpaceDN/>
        <w:bidi w:val="0"/>
        <w:adjustRightInd/>
        <w:snapToGrid/>
        <w:spacing w:line="360" w:lineRule="auto"/>
        <w:ind w:left="425" w:leftChars="0" w:hanging="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应配置高压气体流量计实时调控注入速率</w:t>
      </w:r>
      <w:r>
        <w:rPr>
          <w:rFonts w:hint="eastAsia" w:ascii="宋体" w:hAnsi="宋体" w:eastAsia="宋体" w:cstheme="minorBidi"/>
          <w:b w:val="0"/>
          <w:bCs w:val="0"/>
          <w:kern w:val="2"/>
          <w:sz w:val="24"/>
          <w:szCs w:val="24"/>
          <w:lang w:val="en-US" w:eastAsia="zh-CN" w:bidi="ar-SA"/>
        </w:rPr>
        <w:t>，</w:t>
      </w:r>
      <w:r>
        <w:rPr>
          <w:rFonts w:hint="default" w:ascii="宋体" w:hAnsi="宋体" w:eastAsia="宋体" w:cstheme="minorBidi"/>
          <w:b w:val="0"/>
          <w:bCs w:val="0"/>
          <w:kern w:val="2"/>
          <w:sz w:val="24"/>
          <w:szCs w:val="24"/>
          <w:lang w:val="en-US" w:eastAsia="zh-CN" w:bidi="ar-SA"/>
        </w:rPr>
        <w:t>流量</w:t>
      </w:r>
      <w:r>
        <w:rPr>
          <w:rFonts w:hint="eastAsia" w:ascii="宋体" w:hAnsi="宋体" w:eastAsia="宋体" w:cstheme="minorBidi"/>
          <w:b w:val="0"/>
          <w:bCs w:val="0"/>
          <w:kern w:val="2"/>
          <w:sz w:val="24"/>
          <w:szCs w:val="24"/>
          <w:lang w:val="en-US" w:eastAsia="zh-CN" w:bidi="ar-SA"/>
        </w:rPr>
        <w:t>控制</w:t>
      </w:r>
      <w:r>
        <w:rPr>
          <w:rFonts w:hint="default" w:ascii="宋体" w:hAnsi="宋体" w:eastAsia="宋体" w:cstheme="minorBidi"/>
          <w:b w:val="0"/>
          <w:bCs w:val="0"/>
          <w:kern w:val="2"/>
          <w:sz w:val="24"/>
          <w:szCs w:val="24"/>
          <w:lang w:val="en-US" w:eastAsia="zh-CN" w:bidi="ar-SA"/>
        </w:rPr>
        <w:t>精度应优于±1%。</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依据4：现代原位开采技术常采用注热气或反应气，不同气体介质对焦油产率和品质有显著影响，故要求</w:t>
      </w:r>
      <w:r>
        <w:rPr>
          <w:rFonts w:hint="eastAsia" w:ascii="宋体" w:hAnsi="宋体" w:eastAsia="宋体" w:cstheme="minorBidi"/>
          <w:b w:val="0"/>
          <w:bCs w:val="0"/>
          <w:kern w:val="2"/>
          <w:sz w:val="24"/>
          <w:szCs w:val="24"/>
          <w:lang w:val="en-US" w:eastAsia="zh-CN" w:bidi="ar-SA"/>
        </w:rPr>
        <w:t>应配备水蒸气、氮气、二氧化碳、氧气等多种气源。气体的注入量直接参与热解产物的物料平衡计算，高精度的流量控制是准确计算产率的前提，故要求每种气体均应进行定量控制，气体注入流量上限不宜低于5m3/h，流量控制精度应优于±1%。只有当注入压力高于煤层所受的地应力（轴/围压）时，气体才能有效地压入致密的煤体中，实现传热传质，故应配备</w:t>
      </w:r>
      <w:r>
        <w:rPr>
          <w:rFonts w:hint="default" w:ascii="宋体" w:hAnsi="宋体" w:eastAsia="宋体" w:cstheme="minorBidi"/>
          <w:b w:val="0"/>
          <w:bCs w:val="0"/>
          <w:kern w:val="2"/>
          <w:sz w:val="24"/>
          <w:szCs w:val="24"/>
          <w:lang w:val="en-US" w:eastAsia="zh-CN" w:bidi="ar-SA"/>
        </w:rPr>
        <w:t>气体增压泵</w:t>
      </w:r>
      <w:r>
        <w:rPr>
          <w:rFonts w:hint="eastAsia" w:ascii="宋体" w:hAnsi="宋体" w:eastAsia="宋体" w:cstheme="minorBidi"/>
          <w:b w:val="0"/>
          <w:bCs w:val="0"/>
          <w:kern w:val="2"/>
          <w:sz w:val="24"/>
          <w:szCs w:val="24"/>
          <w:lang w:val="en-US" w:eastAsia="zh-CN" w:bidi="ar-SA"/>
        </w:rPr>
        <w:t>，</w:t>
      </w:r>
      <w:r>
        <w:rPr>
          <w:rFonts w:hint="default" w:ascii="宋体" w:hAnsi="宋体" w:eastAsia="宋体" w:cstheme="minorBidi"/>
          <w:b w:val="0"/>
          <w:bCs w:val="0"/>
          <w:kern w:val="2"/>
          <w:sz w:val="24"/>
          <w:szCs w:val="24"/>
          <w:lang w:val="en-US" w:eastAsia="zh-CN" w:bidi="ar-SA"/>
        </w:rPr>
        <w:t>控制</w:t>
      </w:r>
      <w:r>
        <w:rPr>
          <w:rFonts w:hint="eastAsia" w:ascii="宋体" w:hAnsi="宋体" w:eastAsia="宋体" w:cstheme="minorBidi"/>
          <w:b w:val="0"/>
          <w:bCs w:val="0"/>
          <w:kern w:val="2"/>
          <w:sz w:val="24"/>
          <w:szCs w:val="24"/>
          <w:lang w:val="en-US" w:eastAsia="zh-CN" w:bidi="ar-SA"/>
        </w:rPr>
        <w:t>气体注入压力，注入</w:t>
      </w:r>
      <w:r>
        <w:rPr>
          <w:rFonts w:hint="default" w:ascii="宋体" w:hAnsi="宋体" w:eastAsia="宋体" w:cstheme="minorBidi"/>
          <w:b w:val="0"/>
          <w:bCs w:val="0"/>
          <w:kern w:val="2"/>
          <w:sz w:val="24"/>
          <w:szCs w:val="24"/>
          <w:lang w:val="en-US" w:eastAsia="zh-CN" w:bidi="ar-SA"/>
        </w:rPr>
        <w:t>压力</w:t>
      </w:r>
      <w:r>
        <w:rPr>
          <w:rFonts w:hint="eastAsia" w:ascii="宋体" w:hAnsi="宋体" w:eastAsia="宋体" w:cstheme="minorBidi"/>
          <w:b w:val="0"/>
          <w:bCs w:val="0"/>
          <w:kern w:val="2"/>
          <w:sz w:val="24"/>
          <w:szCs w:val="24"/>
          <w:lang w:val="en-US" w:eastAsia="zh-CN" w:bidi="ar-SA"/>
        </w:rPr>
        <w:t>不宜低于轴压、围压。为满足不同气体比例的测试，应配置</w:t>
      </w:r>
      <w:r>
        <w:rPr>
          <w:rFonts w:hint="default" w:ascii="宋体" w:hAnsi="宋体" w:eastAsia="宋体" w:cstheme="minorBidi"/>
          <w:b w:val="0"/>
          <w:bCs w:val="0"/>
          <w:kern w:val="2"/>
          <w:sz w:val="24"/>
          <w:szCs w:val="24"/>
          <w:lang w:val="en-US" w:eastAsia="zh-CN" w:bidi="ar-SA"/>
        </w:rPr>
        <w:t>配气罐</w:t>
      </w:r>
      <w:r>
        <w:rPr>
          <w:rFonts w:hint="eastAsia" w:ascii="宋体" w:hAnsi="宋体" w:eastAsia="宋体" w:cstheme="minorBidi"/>
          <w:b w:val="0"/>
          <w:bCs w:val="0"/>
          <w:kern w:val="2"/>
          <w:sz w:val="24"/>
          <w:szCs w:val="24"/>
          <w:lang w:val="en-US" w:eastAsia="zh-CN" w:bidi="ar-SA"/>
        </w:rPr>
        <w:t>，提前将不同气体按比例混合；同时，配气罐要有安全阀和放气阀，保证安全性和可检测性。配置高压气体流量计实时调控注入速率，流量控制精度应优于±1%，一方面是为了保证气体均匀平稳注入，另一方面则是为了能够准确计量注入气体的量，进而能够获得生成的气体的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内容5</w:t>
      </w:r>
      <w:r>
        <w:rPr>
          <w:rFonts w:hint="eastAsia" w:ascii="宋体" w:hAnsi="宋体" w:eastAsia="宋体" w:cstheme="minorBidi"/>
          <w:b w:val="0"/>
          <w:bCs w:val="0"/>
          <w:kern w:val="2"/>
          <w:sz w:val="24"/>
          <w:szCs w:val="24"/>
          <w:lang w:val="en-US" w:eastAsia="zh-CN" w:bidi="ar-SA"/>
        </w:rPr>
        <w:t>规定了产物收集设备应符合的技术要求</w:t>
      </w:r>
      <w:r>
        <w:rPr>
          <w:rFonts w:hint="eastAsia" w:ascii="宋体" w:hAnsi="宋体" w:eastAsia="宋体"/>
          <w:b w:val="0"/>
          <w:bCs w:val="0"/>
          <w:sz w:val="24"/>
          <w:szCs w:val="24"/>
          <w:lang w:val="en-US" w:eastAsia="zh-CN"/>
        </w:rPr>
        <w:t>：</w:t>
      </w:r>
    </w:p>
    <w:p>
      <w:pPr>
        <w:pStyle w:val="9"/>
        <w:keepNext w:val="0"/>
        <w:keepLines w:val="0"/>
        <w:pageBreakBefore w:val="0"/>
        <w:widowControl/>
        <w:numPr>
          <w:ilvl w:val="0"/>
          <w:numId w:val="8"/>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应配置冷却气液分离器；</w:t>
      </w:r>
    </w:p>
    <w:p>
      <w:pPr>
        <w:pStyle w:val="9"/>
        <w:keepNext w:val="0"/>
        <w:keepLines w:val="0"/>
        <w:pageBreakBefore w:val="0"/>
        <w:widowControl/>
        <w:numPr>
          <w:ilvl w:val="0"/>
          <w:numId w:val="8"/>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液体管路内径不宜低于20mm，且应一直向下延伸，防止液体凝固堵塞；</w:t>
      </w:r>
    </w:p>
    <w:p>
      <w:pPr>
        <w:pStyle w:val="9"/>
        <w:keepNext w:val="0"/>
        <w:keepLines w:val="0"/>
        <w:pageBreakBefore w:val="0"/>
        <w:widowControl/>
        <w:numPr>
          <w:ilvl w:val="0"/>
          <w:numId w:val="8"/>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气体计量计应满足计量精度0.1ml，最大量程不宜低于20m</w:t>
      </w:r>
      <w:r>
        <w:rPr>
          <w:rFonts w:hint="eastAsia" w:ascii="宋体" w:hAnsi="宋体" w:eastAsia="宋体" w:cstheme="minorBidi"/>
          <w:b w:val="0"/>
          <w:bCs w:val="0"/>
          <w:kern w:val="2"/>
          <w:sz w:val="24"/>
          <w:szCs w:val="24"/>
          <w:vertAlign w:val="superscript"/>
          <w:lang w:val="en-US" w:eastAsia="zh-CN" w:bidi="ar-SA"/>
        </w:rPr>
        <w:t>3</w:t>
      </w:r>
      <w:r>
        <w:rPr>
          <w:rFonts w:hint="eastAsia" w:ascii="宋体" w:hAnsi="宋体" w:eastAsia="宋体" w:cstheme="minorBidi"/>
          <w:b w:val="0"/>
          <w:bCs w:val="0"/>
          <w:kern w:val="2"/>
          <w:sz w:val="24"/>
          <w:szCs w:val="24"/>
          <w:lang w:val="en-US" w:eastAsia="zh-CN" w:bidi="ar-SA"/>
        </w:rPr>
        <w:t>/h</w:t>
      </w:r>
    </w:p>
    <w:p>
      <w:pPr>
        <w:pStyle w:val="9"/>
        <w:keepNext w:val="0"/>
        <w:keepLines w:val="0"/>
        <w:pageBreakBefore w:val="0"/>
        <w:widowControl/>
        <w:numPr>
          <w:ilvl w:val="0"/>
          <w:numId w:val="8"/>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液体计量宜采用精密电子天平进行测量，要求可读性0.01g、最大称量质量应不低于2000g、重复性≤±1mg、线性≤±2mg；</w:t>
      </w:r>
    </w:p>
    <w:p>
      <w:pPr>
        <w:pStyle w:val="9"/>
        <w:keepNext w:val="0"/>
        <w:keepLines w:val="0"/>
        <w:pageBreakBefore w:val="0"/>
        <w:widowControl/>
        <w:numPr>
          <w:ilvl w:val="0"/>
          <w:numId w:val="8"/>
        </w:numPr>
        <w:kinsoku/>
        <w:wordWrap/>
        <w:overflowPunct/>
        <w:topLinePunct w:val="0"/>
        <w:autoSpaceDE/>
        <w:autoSpaceDN/>
        <w:bidi w:val="0"/>
        <w:adjustRightInd/>
        <w:snapToGrid/>
        <w:spacing w:line="360" w:lineRule="auto"/>
        <w:ind w:left="425" w:leftChars="0" w:hanging="5" w:firstLineChars="0"/>
        <w:textAlignment w:val="auto"/>
        <w:rPr>
          <w:rFonts w:hint="eastAsia" w:ascii="宋体" w:hAnsi="宋体" w:eastAsia="宋体" w:cstheme="minorBidi"/>
          <w:b w:val="0"/>
          <w:bCs w:val="0"/>
          <w:kern w:val="2"/>
          <w:sz w:val="24"/>
          <w:szCs w:val="24"/>
          <w:lang w:val="en-US" w:eastAsia="zh-CN" w:bidi="ar-SA"/>
        </w:rPr>
      </w:pPr>
      <w:r>
        <w:rPr>
          <w:rFonts w:hint="eastAsia" w:ascii="宋体" w:hAnsi="宋体" w:eastAsia="宋体" w:cstheme="minorBidi"/>
          <w:b w:val="0"/>
          <w:bCs w:val="0"/>
          <w:kern w:val="2"/>
          <w:sz w:val="24"/>
          <w:szCs w:val="24"/>
          <w:lang w:val="en-US" w:eastAsia="zh-CN" w:bidi="ar-SA"/>
        </w:rPr>
        <w:t>宜配备铝箔采气袋和带盖玻璃采样瓶保存气、液产物。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依据5：</w:t>
      </w:r>
      <w:r>
        <w:rPr>
          <w:rFonts w:hint="eastAsia" w:ascii="宋体" w:hAnsi="宋体" w:eastAsia="宋体" w:cstheme="minorBidi"/>
          <w:b w:val="0"/>
          <w:bCs w:val="0"/>
          <w:kern w:val="2"/>
          <w:sz w:val="24"/>
          <w:szCs w:val="24"/>
          <w:lang w:val="en-US" w:eastAsia="zh-CN" w:bidi="ar-SA"/>
        </w:rPr>
        <w:t>冷却气液分离器是为了防止部分焦油成分在高温时呈气态进入气体产物中。冷却后的煤焦油粘度大，遇冷极易凝固，细管路或非垂直管路容易导致焦油滞留堵塞，既造成实验失败，又导致产率测定偏低，故要求液体管路内径不宜低于20mm，且应一直向下延伸。焦油产率是该标准的核心指标，由于是模拟实验，样品量有限，产物量相对较少，必须使用高精度的计量设备来减少误差，因此要求可读性0.01g、重复性≤±1mg、线性≤±2mg。最大称量质量应不低于2000g是根据试样最大尺寸（直径100mm，长度500mm）富油煤6kg热解后30%液态产物计算所得。</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测试流程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内容规定</w:t>
      </w:r>
      <w:r>
        <w:rPr>
          <w:rFonts w:hint="eastAsia" w:ascii="宋体" w:hAnsi="宋体" w:eastAsia="宋体"/>
          <w:b w:val="0"/>
          <w:bCs w:val="0"/>
          <w:sz w:val="24"/>
          <w:szCs w:val="24"/>
          <w:lang w:val="en-US" w:eastAsia="zh-CN"/>
        </w:rPr>
        <w:t>原位热解模拟从仪器准备到产物计量的全过程，主要包括：</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打开电气设备开关，检查确定各设备处于正常运行状态，查看各设备状态与数据显示是否正常。</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将试样放入炉体，两端装配岩心塞与石墨密封圈，紧固端盖，保证炉体的密封性。</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测试开始前，应用N</w:t>
      </w:r>
      <w:r>
        <w:rPr>
          <w:rFonts w:hint="default" w:ascii="宋体" w:hAnsi="宋体" w:eastAsia="宋体" w:cstheme="minorBidi"/>
          <w:b w:val="0"/>
          <w:bCs w:val="0"/>
          <w:kern w:val="2"/>
          <w:sz w:val="24"/>
          <w:szCs w:val="24"/>
          <w:vertAlign w:val="subscript"/>
          <w:lang w:val="en-US" w:eastAsia="zh-CN" w:bidi="ar-SA"/>
        </w:rPr>
        <w:t>2</w:t>
      </w:r>
      <w:r>
        <w:rPr>
          <w:rFonts w:hint="default" w:ascii="宋体" w:hAnsi="宋体" w:eastAsia="宋体" w:cstheme="minorBidi"/>
          <w:b w:val="0"/>
          <w:bCs w:val="0"/>
          <w:kern w:val="2"/>
          <w:sz w:val="24"/>
          <w:szCs w:val="24"/>
          <w:lang w:val="en-US" w:eastAsia="zh-CN" w:bidi="ar-SA"/>
        </w:rPr>
        <w:t>吹扫反应系统，吹扫时间不宜低于10min，流量不宜低于100mL/min，清洗测试系统。</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启动轴压加载油泵，并设定轴压压力与加载速度</w:t>
      </w:r>
      <w:r>
        <w:rPr>
          <w:rFonts w:hint="eastAsia" w:ascii="宋体" w:hAnsi="宋体" w:eastAsia="宋体" w:cstheme="minorBidi"/>
          <w:b w:val="0"/>
          <w:bCs w:val="0"/>
          <w:kern w:val="2"/>
          <w:sz w:val="24"/>
          <w:szCs w:val="24"/>
          <w:lang w:val="en-US" w:eastAsia="zh-CN" w:bidi="ar-SA"/>
        </w:rPr>
        <w:t>；</w:t>
      </w:r>
      <w:r>
        <w:rPr>
          <w:rFonts w:hint="default" w:ascii="宋体" w:hAnsi="宋体" w:eastAsia="宋体" w:cstheme="minorBidi"/>
          <w:b w:val="0"/>
          <w:bCs w:val="0"/>
          <w:kern w:val="2"/>
          <w:sz w:val="24"/>
          <w:szCs w:val="24"/>
          <w:lang w:val="en-US" w:eastAsia="zh-CN" w:bidi="ar-SA"/>
        </w:rPr>
        <w:t>启动围压加载泵，并设定围压压力与加载速度。</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当压力达到设定值后，打开加热系统，设定加热温度与加热时间进行加热。</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按照测试需求设定气体配比、流量与流速，可在加热后以设定的流速将气体注入；或在某一设定温度达到恒温后，再注入。</w:t>
      </w:r>
    </w:p>
    <w:p>
      <w:pPr>
        <w:pStyle w:val="9"/>
        <w:keepNext w:val="0"/>
        <w:keepLines w:val="0"/>
        <w:pageBreakBefore w:val="0"/>
        <w:widowControl/>
        <w:numPr>
          <w:ilvl w:val="0"/>
          <w:numId w:val="9"/>
        </w:numPr>
        <w:tabs>
          <w:tab w:val="left" w:pos="0"/>
          <w:tab w:val="clear" w:pos="420"/>
        </w:tabs>
        <w:kinsoku/>
        <w:wordWrap/>
        <w:overflowPunct/>
        <w:topLinePunct w:val="0"/>
        <w:autoSpaceDE/>
        <w:autoSpaceDN/>
        <w:bidi w:val="0"/>
        <w:adjustRightInd/>
        <w:snapToGrid/>
        <w:spacing w:line="360" w:lineRule="auto"/>
        <w:ind w:left="5" w:leftChars="0" w:firstLine="415" w:firstLineChars="0"/>
        <w:textAlignment w:val="auto"/>
        <w:rPr>
          <w:rFonts w:hint="default" w:ascii="宋体" w:hAnsi="宋体" w:eastAsia="宋体" w:cstheme="minorBidi"/>
          <w:b w:val="0"/>
          <w:bCs w:val="0"/>
          <w:kern w:val="2"/>
          <w:sz w:val="24"/>
          <w:szCs w:val="24"/>
          <w:lang w:val="en-US" w:eastAsia="zh-CN" w:bidi="ar-SA"/>
        </w:rPr>
      </w:pPr>
      <w:r>
        <w:rPr>
          <w:rFonts w:hint="default" w:ascii="宋体" w:hAnsi="宋体" w:eastAsia="宋体" w:cstheme="minorBidi"/>
          <w:b w:val="0"/>
          <w:bCs w:val="0"/>
          <w:kern w:val="2"/>
          <w:sz w:val="24"/>
          <w:szCs w:val="24"/>
          <w:lang w:val="en-US" w:eastAsia="zh-CN" w:bidi="ar-SA"/>
        </w:rPr>
        <w:t>打开连续气体计量装置，进行出口气体计量，并收集至储气罐中；转移气液分离器中液体至电子天平称量，再按照国标GB/T 480中水分测定方法，确定液体中水分产量，利用差减法计算得到焦油产率。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依据：高温</w:t>
      </w:r>
      <w:r>
        <w:rPr>
          <w:rFonts w:hint="eastAsia" w:ascii="宋体" w:hAnsi="宋体" w:eastAsia="宋体"/>
          <w:b w:val="0"/>
          <w:bCs w:val="0"/>
          <w:sz w:val="24"/>
          <w:szCs w:val="24"/>
          <w:lang w:val="en-US" w:eastAsia="zh-CN"/>
        </w:rPr>
        <w:t>、</w:t>
      </w:r>
      <w:r>
        <w:rPr>
          <w:rFonts w:hint="default" w:ascii="宋体" w:hAnsi="宋体" w:eastAsia="宋体"/>
          <w:b w:val="0"/>
          <w:bCs w:val="0"/>
          <w:sz w:val="24"/>
          <w:szCs w:val="24"/>
          <w:lang w:val="en-US" w:eastAsia="zh-CN"/>
        </w:rPr>
        <w:t>高压实验具有危险性，必须确认安全联锁和状态正常</w:t>
      </w:r>
      <w:r>
        <w:rPr>
          <w:rFonts w:hint="eastAsia" w:ascii="宋体" w:hAnsi="宋体" w:eastAsia="宋体"/>
          <w:b w:val="0"/>
          <w:bCs w:val="0"/>
          <w:sz w:val="24"/>
          <w:szCs w:val="24"/>
          <w:lang w:val="en-US" w:eastAsia="zh-CN"/>
        </w:rPr>
        <w:t>。确认传感器读数归零或处于正常范围，避免因仪器故障导致后续长时间的实验数据作废。利用石墨密封圈和紧固结构，防止高温下产生的挥发分泄漏，也防止外部空气进入，这是保证测试准确的基础。如果炉内残留空气，影响测试气体氛围，而且排除氧气能防止高温下有机挥发分达到爆炸极限，故需要氮气清扫。在加热前先加压，是为了模拟富油煤在地下深处原本的赋存状态，先加载轴压是为了避免先加载围压把样品向两侧挤压变形。当压力稳定后才开始加热，这符合地下由冷变热的一般注热开采逻辑。加热后注入气体能起到“载气”作用，将油气及时带出反应区，也能够模拟实际工程中通过注入高温流体（如过热蒸汽）加热煤层的工艺过程。热解产出的液体是油水混合物，必须区分。引用GB/T 480（煤的铝甑低温干馏试验方法）中的水分测定方法，是为了确保水分扣除的标准化。</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结果表述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内容规定</w:t>
      </w:r>
      <w:r>
        <w:rPr>
          <w:rFonts w:hint="eastAsia" w:ascii="宋体" w:hAnsi="宋体" w:eastAsia="宋体"/>
          <w:b w:val="0"/>
          <w:bCs w:val="0"/>
          <w:sz w:val="24"/>
          <w:szCs w:val="24"/>
          <w:lang w:val="en-US" w:eastAsia="zh-CN"/>
        </w:rPr>
        <w:t>原位热解模拟法得到焦油产率计算结果，主要由4个公式构成，包括：</w:t>
      </w:r>
    </w:p>
    <w:p>
      <w:pPr>
        <w:pStyle w:val="9"/>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焦油产率：</w: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object>
          <v:shape id="_x0000_i1025" o:spt="75" type="#_x0000_t75" style="height:31pt;width:108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··········（1）</w:t>
      </w:r>
    </w:p>
    <w:p>
      <w:pPr>
        <w:pStyle w:val="9"/>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总水分产率：</w: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object>
          <v:shape id="_x0000_i1026" o:spt="75" type="#_x0000_t75" style="height:31pt;width:96pt;" o:ole="t" filled="f" o:preferrelative="t" stroked="f" coordsize="21600,21600">
            <v:path/>
            <v:fill on="f" focussize="0,0"/>
            <v:stroke on="f"/>
            <v:imagedata r:id="rId7" o:title=""/>
            <o:lock v:ext="edit" aspectratio="t"/>
            <w10:wrap type="none"/>
            <w10:anchorlock/>
          </v:shape>
          <o:OLEObject Type="Embed" ProgID="Equation.KSEE3" ShapeID="_x0000_i1026" DrawAspect="Content" ObjectID="_1468075726" r:id="rId6">
            <o:LockedField>false</o:LockedField>
          </o:OLEObject>
        </w:objec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··········（2）</w:t>
      </w:r>
    </w:p>
    <w:p>
      <w:pPr>
        <w:pStyle w:val="9"/>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热解水产率：</w: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object>
          <v:shape id="_x0000_i1027" o:spt="75" type="#_x0000_t75" style="height:19pt;width:108pt;" o:ole="t" filled="f" o:preferrelative="t" stroked="f" coordsize="21600,21600">
            <v:path/>
            <v:fill on="f" focussize="0,0"/>
            <v:stroke on="f"/>
            <v:imagedata r:id="rId9" o:title=""/>
            <o:lock v:ext="edit" aspectratio="t"/>
            <w10:wrap type="none"/>
            <w10:anchorlock/>
          </v:shape>
          <o:OLEObject Type="Embed" ProgID="Equation.KSEE3" ShapeID="_x0000_i1027" DrawAspect="Content" ObjectID="_1468075727" r:id="rId8">
            <o:LockedField>false</o:LockedField>
          </o:OLEObject>
        </w:objec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··········（3）</w:t>
      </w:r>
    </w:p>
    <w:p>
      <w:pPr>
        <w:pStyle w:val="9"/>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半焦产率：</w: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object>
          <v:shape id="_x0000_i1028" o:spt="75" type="#_x0000_t75" style="height:31pt;width:83pt;" o:ole="t" filled="f" o:preferrelative="t" stroked="f" coordsize="21600,21600">
            <v:path/>
            <v:fill on="f" focussize="0,0"/>
            <v:stroke on="f"/>
            <v:imagedata r:id="rId11" o:title=""/>
            <o:lock v:ext="edit" aspectratio="t"/>
            <w10:wrap type="none"/>
            <w10:anchorlock/>
          </v:shape>
          <o:OLEObject Type="Embed" ProgID="Equation.KSEE3" ShapeID="_x0000_i1028" DrawAspect="Content" ObjectID="_1468075728" r:id="rId10">
            <o:LockedField>false</o:LockedField>
          </o:OLEObject>
        </w:object>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ab/>
      </w:r>
      <w:r>
        <w:rPr>
          <w:rFonts w:hint="eastAsia" w:ascii="宋体" w:hAnsi="宋体" w:eastAsia="宋体" w:cs="Arial"/>
          <w:color w:val="000000"/>
          <w:sz w:val="24"/>
          <w:szCs w:val="24"/>
          <w:lang w:val="en-US" w:eastAsia="zh-CN"/>
        </w:rPr>
        <w:t>··········（4）</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式中：</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m</w:t>
      </w:r>
      <w:r>
        <w:rPr>
          <w:rFonts w:hint="eastAsia" w:ascii="宋体" w:hAnsi="宋体" w:eastAsia="宋体" w:cs="Arial"/>
          <w:color w:val="000000"/>
          <w:sz w:val="24"/>
          <w:szCs w:val="24"/>
          <w:vertAlign w:val="subscript"/>
          <w:lang w:val="en-US" w:eastAsia="zh-CN"/>
        </w:rPr>
        <w:t>a</w:t>
      </w:r>
      <w:r>
        <w:rPr>
          <w:rFonts w:hint="eastAsia" w:ascii="宋体" w:hAnsi="宋体" w:eastAsia="宋体" w:cs="Arial"/>
          <w:color w:val="000000"/>
          <w:sz w:val="24"/>
          <w:szCs w:val="24"/>
          <w:lang w:val="en-US" w:eastAsia="zh-CN"/>
        </w:rPr>
        <w:t>——液体产物总质量，单位为克（g）；</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m</w:t>
      </w:r>
      <w:r>
        <w:rPr>
          <w:rFonts w:hint="eastAsia" w:ascii="宋体" w:hAnsi="宋体" w:eastAsia="宋体" w:cs="Arial"/>
          <w:color w:val="000000"/>
          <w:sz w:val="24"/>
          <w:szCs w:val="24"/>
          <w:vertAlign w:val="subscript"/>
          <w:lang w:val="en-US" w:eastAsia="zh-CN"/>
        </w:rPr>
        <w:t>b</w:t>
      </w:r>
      <w:r>
        <w:rPr>
          <w:rFonts w:hint="eastAsia" w:ascii="宋体" w:hAnsi="宋体" w:eastAsia="宋体" w:cs="Arial"/>
          <w:color w:val="000000"/>
          <w:sz w:val="24"/>
          <w:szCs w:val="24"/>
          <w:lang w:val="en-US" w:eastAsia="zh-CN"/>
        </w:rPr>
        <w:t>——液体产物中水分的质量，单位为克（g）；</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m</w:t>
      </w:r>
      <w:r>
        <w:rPr>
          <w:rFonts w:hint="eastAsia" w:ascii="宋体" w:hAnsi="宋体" w:eastAsia="宋体" w:cs="Arial"/>
          <w:color w:val="000000"/>
          <w:sz w:val="24"/>
          <w:szCs w:val="24"/>
          <w:vertAlign w:val="subscript"/>
          <w:lang w:val="en-US" w:eastAsia="zh-CN"/>
        </w:rPr>
        <w:t>c</w:t>
      </w:r>
      <w:r>
        <w:rPr>
          <w:rFonts w:hint="eastAsia" w:ascii="宋体" w:hAnsi="宋体" w:eastAsia="宋体" w:cs="Arial"/>
          <w:color w:val="000000"/>
          <w:sz w:val="24"/>
          <w:szCs w:val="24"/>
          <w:lang w:val="en-US" w:eastAsia="zh-CN"/>
        </w:rPr>
        <w:t>——半焦总质量，单位为克（g）；</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m——一般分析煤样的质量，单位为克（g）；</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M</w:t>
      </w:r>
      <w:r>
        <w:rPr>
          <w:rFonts w:hint="eastAsia" w:ascii="宋体" w:hAnsi="宋体" w:eastAsia="宋体" w:cs="Arial"/>
          <w:color w:val="000000"/>
          <w:sz w:val="24"/>
          <w:szCs w:val="24"/>
          <w:vertAlign w:val="subscript"/>
          <w:lang w:val="en-US" w:eastAsia="zh-CN"/>
        </w:rPr>
        <w:t>ad</w:t>
      </w:r>
      <w:r>
        <w:rPr>
          <w:rFonts w:hint="eastAsia" w:ascii="宋体" w:hAnsi="宋体" w:eastAsia="宋体" w:cs="Arial"/>
          <w:color w:val="000000"/>
          <w:sz w:val="24"/>
          <w:szCs w:val="24"/>
          <w:lang w:val="en-US" w:eastAsia="zh-CN"/>
        </w:rPr>
        <w:t>——一般分析煤样的水分含量，%；</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Tar</w:t>
      </w:r>
      <w:r>
        <w:rPr>
          <w:rFonts w:hint="eastAsia" w:ascii="宋体" w:hAnsi="宋体" w:eastAsia="宋体" w:cs="Arial"/>
          <w:color w:val="000000"/>
          <w:sz w:val="24"/>
          <w:szCs w:val="24"/>
          <w:vertAlign w:val="subscript"/>
          <w:lang w:val="en-US" w:eastAsia="zh-CN"/>
        </w:rPr>
        <w:t>ad</w:t>
      </w:r>
      <w:r>
        <w:rPr>
          <w:rFonts w:hint="eastAsia" w:ascii="宋体" w:hAnsi="宋体" w:eastAsia="宋体" w:cs="Arial"/>
          <w:color w:val="000000"/>
          <w:sz w:val="24"/>
          <w:szCs w:val="24"/>
          <w:lang w:val="en-US" w:eastAsia="zh-CN"/>
        </w:rPr>
        <w:t>——一般分析煤样的焦油产率，%；</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Water</w:t>
      </w:r>
      <w:r>
        <w:rPr>
          <w:rFonts w:hint="eastAsia" w:ascii="宋体" w:hAnsi="宋体" w:eastAsia="宋体" w:cs="Arial"/>
          <w:color w:val="000000"/>
          <w:sz w:val="24"/>
          <w:szCs w:val="24"/>
          <w:vertAlign w:val="subscript"/>
          <w:lang w:val="en-US" w:eastAsia="zh-CN"/>
        </w:rPr>
        <w:t>ad</w:t>
      </w:r>
      <w:r>
        <w:rPr>
          <w:rFonts w:hint="eastAsia" w:ascii="宋体" w:hAnsi="宋体" w:eastAsia="宋体" w:cs="Arial"/>
          <w:color w:val="000000"/>
          <w:sz w:val="24"/>
          <w:szCs w:val="24"/>
          <w:lang w:val="en-US" w:eastAsia="zh-CN"/>
        </w:rPr>
        <w:t>——一般分析煤样的总水分产率，%；</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W</w:t>
      </w:r>
      <w:r>
        <w:rPr>
          <w:rFonts w:hint="eastAsia" w:ascii="宋体" w:hAnsi="宋体" w:eastAsia="宋体" w:cs="Arial"/>
          <w:color w:val="000000"/>
          <w:sz w:val="24"/>
          <w:szCs w:val="24"/>
          <w:vertAlign w:val="subscript"/>
          <w:lang w:val="en-US" w:eastAsia="zh-CN"/>
        </w:rPr>
        <w:t>p，ad</w:t>
      </w:r>
      <w:r>
        <w:rPr>
          <w:rFonts w:hint="eastAsia" w:ascii="宋体" w:hAnsi="宋体" w:eastAsia="宋体" w:cs="Arial"/>
          <w:color w:val="000000"/>
          <w:sz w:val="24"/>
          <w:szCs w:val="24"/>
          <w:lang w:val="en-US" w:eastAsia="zh-CN"/>
        </w:rPr>
        <w:t>——一般分析煤样的热解水产率，%；</w:t>
      </w:r>
    </w:p>
    <w:p>
      <w:pPr>
        <w:pStyle w:val="9"/>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CR</w:t>
      </w:r>
      <w:r>
        <w:rPr>
          <w:rFonts w:hint="eastAsia" w:ascii="宋体" w:hAnsi="宋体" w:eastAsia="宋体" w:cs="Arial"/>
          <w:color w:val="000000"/>
          <w:sz w:val="24"/>
          <w:szCs w:val="24"/>
          <w:vertAlign w:val="subscript"/>
          <w:lang w:val="en-US" w:eastAsia="zh-CN"/>
        </w:rPr>
        <w:t>ad</w:t>
      </w:r>
      <w:r>
        <w:rPr>
          <w:rFonts w:hint="eastAsia" w:ascii="宋体" w:hAnsi="宋体" w:eastAsia="宋体" w:cs="Arial"/>
          <w:color w:val="000000"/>
          <w:sz w:val="24"/>
          <w:szCs w:val="24"/>
          <w:lang w:val="en-US" w:eastAsia="zh-CN"/>
        </w:rPr>
        <w:t>——一般分析煤样的半焦产率，%；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依据：该部分内容引用煤的铝甑低温干馏试验方法和格金试验方法的结果计算方法。</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精密度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内容规定</w:t>
      </w:r>
      <w:r>
        <w:rPr>
          <w:rFonts w:hint="eastAsia" w:ascii="宋体" w:hAnsi="宋体" w:eastAsia="宋体"/>
          <w:b w:val="0"/>
          <w:bCs w:val="0"/>
          <w:sz w:val="24"/>
          <w:szCs w:val="24"/>
          <w:lang w:val="en-US" w:eastAsia="zh-CN"/>
        </w:rPr>
        <w:t>原位热解模拟法的精密度，主要由3个参数构成，包括：总水分产率重复性限1.0，半焦产率重复性限1.5，焦油产率重复性限1.0。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依据：精密度不低于GB/T 1341-2007煤的格金低温干馏试验方法中规定的精密度。</w:t>
      </w:r>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157" w:beforeLines="50" w:after="157" w:afterLines="50" w:line="360" w:lineRule="auto"/>
        <w:ind w:leftChars="0"/>
        <w:jc w:val="left"/>
        <w:textAlignment w:val="auto"/>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测定报告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内容规定</w:t>
      </w:r>
      <w:r>
        <w:rPr>
          <w:rFonts w:hint="eastAsia" w:ascii="宋体" w:hAnsi="宋体" w:eastAsia="宋体"/>
          <w:b w:val="0"/>
          <w:bCs w:val="0"/>
          <w:sz w:val="24"/>
          <w:szCs w:val="24"/>
          <w:lang w:val="en-US" w:eastAsia="zh-CN"/>
        </w:rPr>
        <w:t>原位热解模拟法的</w:t>
      </w:r>
      <w:r>
        <w:rPr>
          <w:rFonts w:hint="default" w:ascii="宋体" w:hAnsi="宋体" w:eastAsia="宋体" w:cs="Arial"/>
          <w:color w:val="000000"/>
          <w:szCs w:val="21"/>
          <w:lang w:val="en-US" w:eastAsia="zh-CN"/>
        </w:rPr>
        <w:t>测定报告</w:t>
      </w:r>
      <w:r>
        <w:rPr>
          <w:rFonts w:hint="eastAsia" w:ascii="宋体" w:hAnsi="宋体" w:eastAsia="宋体"/>
          <w:b w:val="0"/>
          <w:bCs w:val="0"/>
          <w:sz w:val="24"/>
          <w:szCs w:val="24"/>
          <w:lang w:val="en-US" w:eastAsia="zh-CN"/>
        </w:rPr>
        <w:t>，至少应包括样品编号、测试条件、测试结果、测定者、审核者及测定日期。</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ascii="宋体" w:hAnsi="宋体" w:eastAsia="宋体"/>
          <w:sz w:val="28"/>
          <w:szCs w:val="28"/>
        </w:rPr>
      </w:pPr>
      <w:r>
        <w:rPr>
          <w:rFonts w:ascii="宋体" w:hAnsi="宋体" w:eastAsia="宋体"/>
          <w:sz w:val="28"/>
          <w:szCs w:val="28"/>
        </w:rPr>
        <w:t>验证分析报告</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1、技术论证</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（1）与国内外相关标准的技术对比</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目前，国内与煤焦油产率测定相关的标准主要包括GB/T 1341—2007《煤的格金低温干馏试验方法》和GB/T 480—2019《煤的铝甑低温干馏试验方法》，前者规定了煤的格金低温干馏试验方法，适用于褐煤、烟煤和无烟煤的焦油产率、半焦产率、干馏煤气产率及焦油中水分的测定。该方法是在常压、隔绝空气条件下，将煤样加热到600℃进行干馏，收集并称量焦油、半焦等产品，计算产率。这是我国传统上测定煤焦油产率的主要方法；后者规定了煤的铝甑低温干馏试验方法，与格金法类似，也是在常压条件下进行煤的低温干馏试验，测定焦油产率、半焦产率、水分产率和煤气产率。铝甑法是我国测定年轻褐煤焦油产率的常用方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在国际上，煤焦油产率测定主要采用类似格金法的试验方法，如美国ASTM D346-2018《Standard Test Method for Laboratory Determination of Yield of Coals for Coke and Other Products from Coal by the Gray-King Assay》和国际标准化组织ISO 502:2025《Hard coal — Determination of caking power — Gray-King coke test》等。这些标准同样是在常压条件下进行测试，无法模拟地下原位热解的工况条件。关于富油煤原位热解技术的国际研究起步较晚，但近年来发展迅速。美国、加拿大、澳大利亚等国家的研究机构在煤的原位热解技术方面开展了大量研究工作，但尚未形成系统的技术标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可以看出，本标准与</w:t>
      </w:r>
      <w:r>
        <w:rPr>
          <w:rFonts w:hint="eastAsia" w:ascii="宋体" w:hAnsi="宋体" w:eastAsia="宋体"/>
          <w:b w:val="0"/>
          <w:bCs w:val="0"/>
          <w:sz w:val="24"/>
          <w:szCs w:val="24"/>
          <w:lang w:val="en-US" w:eastAsia="zh-CN"/>
        </w:rPr>
        <w:t>上述</w:t>
      </w:r>
      <w:r>
        <w:rPr>
          <w:rFonts w:hint="default" w:ascii="宋体" w:hAnsi="宋体" w:eastAsia="宋体"/>
          <w:b w:val="0"/>
          <w:bCs w:val="0"/>
          <w:sz w:val="24"/>
          <w:szCs w:val="24"/>
          <w:lang w:val="en-US" w:eastAsia="zh-CN"/>
        </w:rPr>
        <w:t>现有标准的核心差异在于测试条件的改变。本标准通过模拟富油煤在地下原位热解的实际工况条件（加压、气体注入），能够更准确地测定富油煤在实际原位热解过程中的焦油产率，为资源评价和工程设计提供更可靠的依据。</w:t>
      </w:r>
      <w:r>
        <w:rPr>
          <w:rFonts w:hint="eastAsia" w:ascii="宋体" w:hAnsi="宋体" w:eastAsia="宋体"/>
          <w:b w:val="0"/>
          <w:bCs w:val="0"/>
          <w:sz w:val="24"/>
          <w:szCs w:val="24"/>
          <w:lang w:val="en-US" w:eastAsia="zh-CN"/>
        </w:rPr>
        <w:t>本标准在技术层面所做的主要改进有：</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试样形态和尺寸：GB/T 1341—2007《煤的格金低温干馏试验方法》和GB/T 480—2019《煤的铝甑低温干馏试验方法》均采用粒度＜0.2mm的颗粒试样，这种小尺寸颗粒在受热传导、产物运移等多方面都与地下原位热解的试样尺度差别很大。在此基础上，本标准采用圆柱状岩心样，既能够满足钻孔岩心的测试，又更能贴近实际工况。且通过调研，通常加热井与生产井之间的水平距离设计在10米到30米之间，而为了保证较好的热效率，4米以上的中厚煤层往往被优先选择，因此实际工况下垂直方向和水平方向煤的范围约为1:5，故按比例缩小试样规格为直径100mm、长度500mm，尽可能地贴近实际工况条件，提高测试的代表性和准确性。</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压力条件：GB/T 1341—2007《煤的格金低温干馏试验方法》和GB/T 480—2019《煤的铝甑低温干馏试验方法》均在常压下进行测试，但地下原位热解时煤层必然受到上覆地层和围岩施加的压力。现有研究也已表明，压力在抑制焦油高温裂解、控制流体运移等方面均有较大影响。本标准为模拟原位压力环境，在压力条件方面设定了独立、恒压加载围压和轴压，且上限不宜低于30MPa的技术要求，能够更好地符合千米内富油煤原位热解开采的压力条件。</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气氛环境：GB/T 1341—2007《煤的格金低温干馏试验方法》和GB/T 480—2019《煤的铝甑低温干馏试验方法》均是在隔绝空气的惰性气氛环境下开展，但现有富油煤热解除在惰性气氛下开展外，还有注入载气、反应气等多种气氛工艺，不同气氛影响热解反应路径和焦油品质。在此基础上，本标准要求应配备水蒸气、氮气、二氧化碳、氧气等多种气源，并应配置流量计、配气罐等方便不同比例气体的混合注入。</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温度范围：GB/T 1341—2007《煤的格金低温干馏试验方法》和GB/T 480—2019《煤的铝甑低温干馏试验方法》均采用最高600℃的温度上限，这主要是考虑到超过该温度后，反应就以焦油的二次裂解为主，焦油产率反而下降。但在地下原位热解中，压力和气氛均可能促使二次裂解向高温方向推移，且大尺寸试样需要考虑传热等因素，仍坚持600℃的温度上限可能引起焦油产出反应不完全等问题，因此设定1000℃的温度上限，能满足不同工艺条件的极限测试需求及加热速率控制，探索原位热解最佳工艺条件。</w:t>
      </w:r>
    </w:p>
    <w:p>
      <w:pPr>
        <w:keepNext w:val="0"/>
        <w:keepLines w:val="0"/>
        <w:pageBreakBefore w:val="0"/>
        <w:widowControl w:val="0"/>
        <w:numPr>
          <w:ilvl w:val="0"/>
          <w:numId w:val="11"/>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技术可行性验证试验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根据技术要求，搭建了一套原位模拟实验平台（如图1、2所示），并开展了一系列验证实验，验证了不同压力、不同气氛环境、不同终温条件下的技术可行性，结果表明，以上技术要求、条件均能够在实际操作中得到满足。具体实验条件和实验结果见下表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sz w:val="21"/>
          <w:szCs w:val="22"/>
        </w:rPr>
      </w:pPr>
      <w:r>
        <w:rPr>
          <w:rFonts w:ascii="Times New Roman" w:hAnsi="Times New Roman" w:eastAsia="宋体" w:cs="Times New Roman"/>
          <w:sz w:val="21"/>
          <w:szCs w:val="22"/>
        </w:rPr>
        <w:drawing>
          <wp:inline distT="0" distB="0" distL="114300" distR="114300">
            <wp:extent cx="5126990" cy="1458595"/>
            <wp:effectExtent l="0" t="0" r="16510" b="8255"/>
            <wp:docPr id="4" name="图片 7" descr="C:\Users\123\Desktop\2022天山英才\韦波\实验装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123\Desktop\2022天山英才\韦波\实验装置.jpg"/>
                    <pic:cNvPicPr>
                      <a:picLocks noChangeAspect="1"/>
                    </pic:cNvPicPr>
                  </pic:nvPicPr>
                  <pic:blipFill>
                    <a:blip r:embed="rId12"/>
                    <a:stretch>
                      <a:fillRect/>
                    </a:stretch>
                  </pic:blipFill>
                  <pic:spPr>
                    <a:xfrm>
                      <a:off x="0" y="0"/>
                      <a:ext cx="5126990" cy="1458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图1 实验设备构成示意图</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sz w:val="21"/>
          <w:szCs w:val="22"/>
        </w:rPr>
      </w:pPr>
      <w:r>
        <w:rPr>
          <w:rFonts w:ascii="Times New Roman" w:hAnsi="Times New Roman" w:eastAsia="宋体" w:cs="Times New Roman"/>
          <w:sz w:val="21"/>
          <w:szCs w:val="22"/>
        </w:rPr>
        <w:drawing>
          <wp:inline distT="0" distB="0" distL="114300" distR="114300">
            <wp:extent cx="4449445" cy="2360295"/>
            <wp:effectExtent l="0" t="0" r="8255" b="190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4449445" cy="2360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图2 实验装备实物图</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表1</w:t>
      </w:r>
      <w:r>
        <w:rPr>
          <w:rFonts w:hint="eastAsia" w:ascii="Times New Roman" w:hAnsi="Times New Roman" w:eastAsia="宋体" w:cs="Times New Roman"/>
          <w:sz w:val="21"/>
          <w:szCs w:val="21"/>
        </w:rPr>
        <w:t xml:space="preserve"> 实验条件和实验结果</w:t>
      </w:r>
    </w:p>
    <w:tbl>
      <w:tblPr>
        <w:tblStyle w:val="5"/>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033"/>
        <w:gridCol w:w="1033"/>
        <w:gridCol w:w="965"/>
        <w:gridCol w:w="750"/>
        <w:gridCol w:w="943"/>
        <w:gridCol w:w="760"/>
        <w:gridCol w:w="737"/>
        <w:gridCol w:w="73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实验编号</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轴压（MPa）</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围压（MPa）</w:t>
            </w:r>
          </w:p>
        </w:tc>
        <w:tc>
          <w:tcPr>
            <w:tcW w:w="965"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气氛</w:t>
            </w:r>
          </w:p>
        </w:tc>
        <w:tc>
          <w:tcPr>
            <w:tcW w:w="7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终温</w:t>
            </w:r>
            <w:r>
              <w:rPr>
                <w:rFonts w:ascii="Times New Roman" w:hAnsi="Times New Roman" w:eastAsia="宋体" w:cs="Times New Roman"/>
                <w:szCs w:val="21"/>
              </w:rPr>
              <w:t>(℃)</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反应时间（h）</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焦油产率(%)</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半焦产率(%)</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气体产率(%)</w:t>
            </w:r>
          </w:p>
        </w:tc>
        <w:tc>
          <w:tcPr>
            <w:tcW w:w="6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水分产率(%)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氧气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w:t>
            </w:r>
          </w:p>
        </w:tc>
        <w:tc>
          <w:tcPr>
            <w:tcW w:w="6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水蒸气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59</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684"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66</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6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氧气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59</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6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水蒸气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54</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w:t>
            </w:r>
          </w:p>
        </w:tc>
        <w:tc>
          <w:tcPr>
            <w:tcW w:w="684"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03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9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空气</w:t>
            </w:r>
          </w:p>
        </w:tc>
        <w:tc>
          <w:tcPr>
            <w:tcW w:w="7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7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63</w:t>
            </w:r>
          </w:p>
        </w:tc>
        <w:tc>
          <w:tcPr>
            <w:tcW w:w="73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c>
          <w:tcPr>
            <w:tcW w:w="6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96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水蒸气</w:t>
            </w:r>
          </w:p>
        </w:tc>
        <w:tc>
          <w:tcPr>
            <w:tcW w:w="75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600</w:t>
            </w:r>
          </w:p>
        </w:tc>
        <w:tc>
          <w:tcPr>
            <w:tcW w:w="94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76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737"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c>
          <w:tcPr>
            <w:tcW w:w="73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684"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96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水蒸气</w:t>
            </w:r>
          </w:p>
        </w:tc>
        <w:tc>
          <w:tcPr>
            <w:tcW w:w="75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600</w:t>
            </w:r>
          </w:p>
        </w:tc>
        <w:tc>
          <w:tcPr>
            <w:tcW w:w="94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76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737"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89</w:t>
            </w:r>
          </w:p>
        </w:tc>
        <w:tc>
          <w:tcPr>
            <w:tcW w:w="73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684"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96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水蒸气</w:t>
            </w:r>
          </w:p>
        </w:tc>
        <w:tc>
          <w:tcPr>
            <w:tcW w:w="75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600</w:t>
            </w:r>
          </w:p>
        </w:tc>
        <w:tc>
          <w:tcPr>
            <w:tcW w:w="94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76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737"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91</w:t>
            </w:r>
          </w:p>
        </w:tc>
        <w:tc>
          <w:tcPr>
            <w:tcW w:w="73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684"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72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0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96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水蒸气</w:t>
            </w:r>
          </w:p>
        </w:tc>
        <w:tc>
          <w:tcPr>
            <w:tcW w:w="75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600</w:t>
            </w:r>
          </w:p>
        </w:tc>
        <w:tc>
          <w:tcPr>
            <w:tcW w:w="94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760"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737"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86</w:t>
            </w:r>
          </w:p>
        </w:tc>
        <w:tc>
          <w:tcPr>
            <w:tcW w:w="730"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684"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上表实验中，1-6实验为同一煤样不同条件下的实验结果；7-10实验为该煤样中光亮煤、半亮煤、半暗煤和暗淡煤在同一测试条件下的不同实验结果。可以发现600℃、围压12 MPa、轴压12 MPa、水蒸气气氛条件下，光亮煤焦油产率达到11%，远大于其他类型煤岩；相应工况条件下半亮煤焦油产率次之，焦油产率达到6%；可见半暗煤和暗淡煤相同工况条件下焦油产率远低于光亮煤和半亮煤，分别为2%和1%。对比1和4、2和5、3和6可以发现了，在1000℃下施加5MPa轴压和2MPa围压，会导致该煤样的气体产率稳定下降，半焦产率稳定上升，表明压力会阻碍挥发分逸出，迫使碳元素在煤颗粒内部发生二次缩聚，留在固相中。无论是加压(实验2)还是常压(实验5)，水蒸气气氛下的气体产率都远超氧气和空气，焦油产率也相对较高，这表明水蒸气气氛对煤的流态化转化非常可观。1-6实验在1000℃下焦油产率只有1%-3%，明显低于600℃时实验的焦油产率，表明1000℃的高温导致了初级焦油的剧烈二次裂解。</w:t>
      </w:r>
    </w:p>
    <w:p>
      <w:pPr>
        <w:keepNext w:val="0"/>
        <w:keepLines w:val="0"/>
        <w:pageBreakBefore w:val="0"/>
        <w:widowControl w:val="0"/>
        <w:numPr>
          <w:ilvl w:val="0"/>
          <w:numId w:val="12"/>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经济论证</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根据技术要求，原位热解模拟法测定富油煤焦油产率需要前期投入的成本主要为仪器设备与可重复利用配件，包括整套的气体注入装置、高温高压伺服加载装置等，经询价，气体注入装置10万元、高温高压伺服加载装置53万元、产物收集计量6万元、其他配件如钛合金岩心塞、各类罐体、管线等3万元，因此前期投入大约为70万元。</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开展测试时用到的耗材和费用主要有试样加工费、试样外钛合金套管、石墨密封圈、气体、气体采集袋和焦油收集瓶。试样加工费大概在200元，一次性试样外钛合金套管280元，石墨密封圈160元，单次试验气体成本因各类气体价格不同在10元左右波动，气体采集袋和焦油收集瓶共25元，因此单次试验成本约775元左右。这与现行格金试验或铝甑法测定焦油产率相比，价格略高。经调研，第三方检测机构如国内头部综合性检测机构华测检测焦油产率测定价格为500元/样，国内煤炭检测权威机构煤炭科学技术研究院有限公司（煤科院）焦油产率的单项测定收费在600元/样，其他高校、科研院所等对外标价也都在500元/样左右。</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从上述情况看，虽然本方法前期设备配置价格较高，但搭建后测试成本仅略高于原有测试方法，考虑到未来地下流态化开采的发展前景与产业潜力，需要大量的原位测试结果支撑，能够覆盖设备购置的前期成本。</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3、预期效果</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（1）保障国家能源安全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标准的实施，能够指导大规模、标准化的原位测试，精准评估全国富油煤资源中可经济开采的油气潜力，为国家能源规划提供准确地预测数据基石，一旦技术成熟，富油煤可成为稳定的国内非常规油气生产基地，直接生产焦油和热解气，作为石油和天然气的有效补充与部分替代，实质性降低油气对外依存度，增强能源供给的自主可控能力，可在我国西北地区形成多个区域性的煤基油气战略储备与产能接替区，在国际油气市场波动或供应中断时，提供快速、可靠的应急保障。</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推动煤炭清洁高效利用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原位测试能精确区分富油煤与普通动力煤，基于测试结果，可对高焦油产率煤实施保护性开采与定向转化，优先以油气形式提取其中的氢元素，而将大部分碳以半焦形式留存地下。这完美契合了“双碳”目标下“取氢留碳”的煤炭利用新范式，从源头实现减碳。热解产物半焦若留存地下，还可作为封存CO</w:t>
      </w:r>
      <w:r>
        <w:rPr>
          <w:rFonts w:hint="eastAsia" w:ascii="宋体" w:hAnsi="宋体" w:eastAsia="宋体"/>
          <w:b w:val="0"/>
          <w:bCs w:val="0"/>
          <w:sz w:val="24"/>
          <w:szCs w:val="24"/>
          <w:vertAlign w:val="subscript"/>
          <w:lang w:val="en-US" w:eastAsia="zh-CN"/>
        </w:rPr>
        <w:t>2</w:t>
      </w:r>
      <w:r>
        <w:rPr>
          <w:rFonts w:hint="eastAsia" w:ascii="宋体" w:hAnsi="宋体" w:eastAsia="宋体"/>
          <w:b w:val="0"/>
          <w:bCs w:val="0"/>
          <w:sz w:val="24"/>
          <w:szCs w:val="24"/>
          <w:lang w:val="en-US" w:eastAsia="zh-CN"/>
        </w:rPr>
        <w:t>的潜在空间，实现“终端埋碳”，形成完整的清洁利用闭环。测试数据还是优化原位热解工艺的基础，优化的工艺能最大化油气收率，同时最小化能耗与碳排放。</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before="157" w:beforeLines="50" w:after="157" w:afterLines="50" w:line="360" w:lineRule="auto"/>
        <w:ind w:left="0" w:leftChars="0" w:firstLine="0" w:firstLineChars="0"/>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促进产业发展与技术进步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系统性的原位测试评价，将为投资决策提供关键信心，吸引资本进入，从而催生并壮大富油煤从勘探到开采再到化工利用的全产业链。这不仅是煤炭行业的升级，更是油气工业和化工产业的拓展，有望成为西部地区新的经济增长极。对原位产率的精确测试和预测需求，将直接驱动一系列关键技术研发，如高精度焦油产率预测模型、开发工艺与设备、深加工与高值化利用技术等，推动富油煤产业链全面发展。随着测试方法的成熟和数据的积累，将逐步建立关于富油煤资源评价、原位热解工程设计、产物计量与品质等方面的国家或行业标准体系，规范并引领产业健康发展。同时，测试与开发实践需要企业、高校、研究院所紧密合作，推进“问题导向-联合攻关-工程验证”的产学研模式，加速科技成果转化，为国家培养该领域的尖端人才。</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ascii="宋体" w:hAnsi="宋体" w:eastAsia="宋体"/>
          <w:sz w:val="28"/>
          <w:szCs w:val="28"/>
        </w:rPr>
      </w:pPr>
      <w:r>
        <w:rPr>
          <w:rFonts w:ascii="宋体" w:hAnsi="宋体" w:eastAsia="宋体"/>
          <w:sz w:val="28"/>
          <w:szCs w:val="28"/>
        </w:rPr>
        <w:t>采用国际标准</w:t>
      </w:r>
      <w:r>
        <w:rPr>
          <w:rFonts w:hint="eastAsia" w:ascii="宋体" w:hAnsi="宋体" w:eastAsia="宋体"/>
          <w:sz w:val="28"/>
          <w:szCs w:val="28"/>
        </w:rPr>
        <w:t>或</w:t>
      </w:r>
      <w:r>
        <w:rPr>
          <w:rFonts w:ascii="宋体" w:hAnsi="宋体" w:eastAsia="宋体"/>
          <w:sz w:val="28"/>
          <w:szCs w:val="28"/>
        </w:rPr>
        <w:t>国外文件的程度及水平的简要说明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175"/>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在国际上，煤焦油产率测定主要采用格金法的试验方法，如美国ASTM D346-2018《Standard Test Method for Laboratory Determination of Yield of Coals for Coke and Other Products from Coal by the Gray-King Assay》和国际标准化组织ISO 502:2025《Hard coal — Determination of caking power — Gray-King coke test》等。富油煤的原位热解技术方面尚未形成系统的技术标准。因此，本标准参考了这些标准中焦油产率计算等内容，而主要的技术指标内容均未采用国际标准。</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ascii="宋体" w:hAnsi="宋体" w:eastAsia="宋体"/>
          <w:sz w:val="28"/>
          <w:szCs w:val="28"/>
        </w:rPr>
      </w:pPr>
      <w:r>
        <w:rPr>
          <w:rFonts w:ascii="宋体" w:hAnsi="宋体" w:eastAsia="宋体"/>
          <w:sz w:val="28"/>
          <w:szCs w:val="28"/>
        </w:rPr>
        <w:t>意见的处理经过和依据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175"/>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2025年10月21日召开的立项评审会议上，专家提出了相关意见，具体如下：</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温度等关键参数设置需要进一步论证说明</w:t>
      </w:r>
      <w:r>
        <w:rPr>
          <w:rFonts w:hint="eastAsia" w:ascii="宋体" w:hAnsi="宋体" w:eastAsia="宋体"/>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进一步斟酌、完善标准文本细节；</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参考文献中可以增加些论文等成果；</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试验</w:t>
      </w:r>
      <w:r>
        <w:rPr>
          <w:rFonts w:hint="default" w:ascii="宋体" w:hAnsi="宋体" w:eastAsia="宋体"/>
          <w:b w:val="0"/>
          <w:bCs w:val="0"/>
          <w:sz w:val="24"/>
          <w:szCs w:val="24"/>
          <w:lang w:val="en-US" w:eastAsia="zh-CN"/>
        </w:rPr>
        <w:t>的成本、重复率和精度需要进一步说明</w:t>
      </w:r>
      <w:r>
        <w:rPr>
          <w:rFonts w:hint="eastAsia" w:ascii="宋体" w:hAnsi="宋体" w:eastAsia="宋体"/>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采样的要求和代表性需要增加</w:t>
      </w:r>
      <w:r>
        <w:rPr>
          <w:rFonts w:hint="eastAsia" w:ascii="宋体" w:hAnsi="宋体" w:eastAsia="宋体"/>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完善标准细节，定量指标的获取方法需要在编制说明中体现</w:t>
      </w:r>
      <w:r>
        <w:rPr>
          <w:rFonts w:hint="eastAsia" w:ascii="宋体" w:hAnsi="宋体" w:eastAsia="宋体"/>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要从应用情况角度完善标准内容</w:t>
      </w:r>
      <w:r>
        <w:rPr>
          <w:rFonts w:hint="eastAsia" w:ascii="宋体" w:hAnsi="宋体" w:eastAsia="宋体"/>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建议标准名称变更为《原位热解模拟法测定富油煤焦油产率技术规范》；</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标准内容不是越多越好，可有可无的可以不写；</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涉及的装备要有相应要求；</w:t>
      </w:r>
    </w:p>
    <w:p>
      <w:pPr>
        <w:keepNext w:val="0"/>
        <w:keepLines w:val="0"/>
        <w:pageBreakBefore w:val="0"/>
        <w:widowControl w:val="0"/>
        <w:numPr>
          <w:ilvl w:val="0"/>
          <w:numId w:val="14"/>
        </w:numPr>
        <w:kinsoku/>
        <w:wordWrap/>
        <w:overflowPunct/>
        <w:topLinePunct w:val="0"/>
        <w:autoSpaceDE w:val="0"/>
        <w:autoSpaceDN w:val="0"/>
        <w:bidi w:val="0"/>
        <w:adjustRightInd w:val="0"/>
        <w:snapToGrid/>
        <w:spacing w:before="157" w:beforeLines="50" w:after="157" w:afterLines="50" w:line="360" w:lineRule="auto"/>
        <w:ind w:left="425" w:leftChars="0" w:hanging="425" w:firstLineChars="0"/>
        <w:jc w:val="left"/>
        <w:textAlignment w:val="auto"/>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t>建议从安全性、准确性等角度完善标准内容。</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Chars="0"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因此，在征求意见稿的编制工作中，充分考虑了上述专家提出的编制意见。其中（1）、（6）在编制说明第二章标准主要技术内容及依据中进行了详细说明；（2）-（5）在征求意见稿中增加了试验重复性、控制精度、试样要求等内容；在（7）、（10）、（11）等意见指导下，增加了对装备的要求，考虑了试验的可行性和安全性；按照（8）的要求将标准</w:t>
      </w:r>
      <w:r>
        <w:rPr>
          <w:rFonts w:hint="default" w:ascii="宋体" w:hAnsi="宋体" w:eastAsia="宋体"/>
          <w:b w:val="0"/>
          <w:bCs w:val="0"/>
          <w:sz w:val="24"/>
          <w:szCs w:val="24"/>
          <w:lang w:val="en-US" w:eastAsia="zh-CN"/>
        </w:rPr>
        <w:t>名称变更为《原位热解模拟法测定富油煤焦油产率技术规范》</w:t>
      </w:r>
      <w:r>
        <w:rPr>
          <w:rFonts w:hint="eastAsia" w:ascii="宋体" w:hAnsi="宋体" w:eastAsia="宋体"/>
          <w:b w:val="0"/>
          <w:bCs w:val="0"/>
          <w:sz w:val="24"/>
          <w:szCs w:val="24"/>
          <w:lang w:val="en-US" w:eastAsia="zh-CN"/>
        </w:rPr>
        <w:t>；按照（9）的要求对原文本中的控制系统等内容进行了适当删减。</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left"/>
        <w:textAlignment w:val="auto"/>
        <w:rPr>
          <w:rFonts w:ascii="宋体" w:hAnsi="宋体" w:eastAsia="宋体"/>
          <w:sz w:val="28"/>
          <w:szCs w:val="28"/>
        </w:rPr>
      </w:pPr>
      <w:r>
        <w:rPr>
          <w:rFonts w:ascii="宋体" w:hAnsi="宋体" w:eastAsia="宋体"/>
          <w:sz w:val="28"/>
          <w:szCs w:val="28"/>
        </w:rPr>
        <w:t>六、贯彻</w:t>
      </w:r>
      <w:r>
        <w:rPr>
          <w:rFonts w:hint="eastAsia" w:ascii="宋体" w:hAnsi="宋体" w:eastAsia="宋体"/>
          <w:sz w:val="28"/>
          <w:szCs w:val="28"/>
        </w:rPr>
        <w:t>促进会团体标准</w:t>
      </w:r>
      <w:r>
        <w:rPr>
          <w:rFonts w:ascii="宋体" w:hAnsi="宋体" w:eastAsia="宋体"/>
          <w:sz w:val="28"/>
          <w:szCs w:val="28"/>
        </w:rPr>
        <w:t>的要求和建议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Chars="0"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本团体标准自立项起，始终按照《中国产学研合作促进会团体标准管理办法》和中国产学研合作促进会标准办公室相关要求开展工作。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Chars="0" w:firstLine="480" w:firstLineChars="200"/>
        <w:jc w:val="left"/>
        <w:textAlignment w:val="auto"/>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中国产学研合作促进会负责团体标准的最终审批、立项批准及发布；中国产学研合作促进会标准化专业技术委员会是核心执行机构，负责申请的研究讨论、组织起草工作、审核工作、档案管理以及复审工作；新疆大学、新疆亚新煤层气投资开发（集团）有限责任公司、怀柔国家实验室新疆研究基地、中国石油吐哈油田公司成立专门的标准起草组，确定主要起草人员，并负责具体资料收集、分析及实验验证。设立专项经费，由承担单位和参与单位共同承担，作为标准的专项资金与资源保障。起草组指派专门联系人，负责与中国产学研合作促进会标准化专业技术委员会定期沟通，推动标准进程。</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Chars="0" w:firstLine="480" w:firstLineChars="200"/>
        <w:jc w:val="left"/>
        <w:textAlignment w:val="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严格按照国家法律法规及强制性标准相关要求，确保技术具有先进性和可行性，符合经济发展方向和科技进步方向，并积极调研国际标准和国外先进标准，进行了必要的实验验证和国内外状况分析。立项后，标准起草组按照立项评审会专家意见起草征求意见稿和编制说明，将向生产者、消费者、管理者、研究者等广泛征求意见。后续起草组将对征求的意见需进行归纳整理和分析处理，不断动态完善</w:t>
      </w:r>
      <w:r>
        <w:rPr>
          <w:rFonts w:ascii="Helvetica" w:hAnsi="Helvetica" w:eastAsia="Helvetica" w:cs="Helvetica"/>
          <w:i w:val="0"/>
          <w:iCs w:val="0"/>
          <w:caps w:val="0"/>
          <w:color w:val="3C3C58"/>
          <w:spacing w:val="0"/>
          <w:sz w:val="24"/>
          <w:szCs w:val="24"/>
          <w:shd w:val="clear" w:fill="FFFFFF"/>
        </w:rPr>
        <w:t>技术内容</w:t>
      </w:r>
      <w:r>
        <w:rPr>
          <w:rFonts w:hint="eastAsia" w:ascii="Helvetica" w:hAnsi="Helvetica" w:eastAsia="宋体" w:cs="Helvetica"/>
          <w:i w:val="0"/>
          <w:iCs w:val="0"/>
          <w:caps w:val="0"/>
          <w:color w:val="3C3C58"/>
          <w:spacing w:val="0"/>
          <w:sz w:val="24"/>
          <w:szCs w:val="24"/>
          <w:shd w:val="clear" w:fill="FFFFFF"/>
          <w:lang w:eastAsia="zh-CN"/>
        </w:rPr>
        <w:t>，以保证技术内容的实时性和适用性。</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left"/>
        <w:textAlignment w:val="auto"/>
        <w:rPr>
          <w:rFonts w:ascii="宋体" w:hAnsi="宋体" w:eastAsia="宋体"/>
          <w:sz w:val="28"/>
          <w:szCs w:val="28"/>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七、附录</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附录1 文献调研情况</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王昌建, 范立勇, 等. 三塘湖-吐哈盆地富油煤赋存特征与资源潜力分析. 洁净煤技术, 2023, 29(1): 16-24.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贺丹, 师庆民, 等. 三塘湖煤田汉水泉矿区富油煤赋存特征及沉积环境分析. 洁净煤技术, 2021, 27(3): 83-90.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 Z, et al. A Multi-Component and Multi-Functional Synergistic System for Efficient Viscosity Reduction of Extra-Heavy Oil. Journal of Molecular Liquids, 2022, 360: 119561.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Wijaya M, et al. Analysis of Coal Tar Compositions Produced from Sub-Bituminous Kalimantan Coal Tar. Key Engineering Materials, 2021, 891: 85-91.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Analysis of pore-fracture structure evolution and permeability in tar-rich coal under high-temperature pyrolysis using μCT technology. Fuel, 2023, 334: 126756.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Axial pressure impact on pyrolysis behavior of Xinjiang coal: An inspiration for in-situ pyrolysis of tar-rich coal. Fuel, 2023, 331: 125679.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D, et al. Biogasification Efficiency and Molecular Constraints of Tar-Rich Coal after Microwave Radiation. ACS Omega, 2022, 7(44): 40224–40234.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D, et al. Biomethane production efficiency and degradation mechanism of tar-rich coal in anaerobic digestion. Journal of Environmental Chemical Engineering, 2023, 11(2): 109315.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Byambajav E, et al. CHARACTERISATION OF MONGOLIAN EAST KHOOT COAL AND ITS PYROLYSIS PRODUCTS. Mongolian Journal of Chemistry, 2016, 17(43): 49-55.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Liu S, et al. CO2-Enhanced Tar-Rich Coal Pyrolysis to Produce High-Quality Oil and CO-Rich Gas. Energy &amp; Fuels, 2021, 35(15): 11933–11942.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Catalytic Fast Pyrolysis of Tar-Rich Coal with a Bauxite Residue for Upgrading High-Value Products: Product Distribution and Kinetic Analysis. Catalysts, 2022, 12(11): 1335.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He T, et al. Catalytic Pyrolysis of Naomaohu Coal Using Combined CaO and Ni-Olivine Catalysts for Simultaneously Improving the Tar and Gas Quality. Fuel, 2021, 285: 119044.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Catalytic pyrolysis of tar-rich coal for coal tar to light oil with catalysts of modified granulated blast furnace slag. Journal of the Energy Institute, 2023, 108: 101235.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Liu J, et al. Characteristics of Oil Shale Quality and Prospects for Comprehensive Development and Utilization in the Dalianhe Coal Mining Area, Northeastern China. Energies, 2022, 15(3): 1205.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Zhao J, et al. Characteristics of Pyrolysis Products of Tar-Rich Coal Under Cryogenic Pretreatment with Liquid Nitrogen. Combustion Science and Technology, 2023, 195: 1-15.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Pertiwi N A, et al. Coal Potential as Source Rock of Hydrocarbon Warukin Formation Based on Coal Macerals Composition, Central Wara, Tabalong, South Kalimantan. IOP Conference Series: Earth and Environmental Science, 2020, 413: 012028.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Pertiwi N A, et al. Coal as a Petroleum Source Rock: Brown Shale Coal Zone Based on Macerals and Geochemistry Analysis, Kiliranjau, Sijunjung Regency, West Sumatera, Indonesia. IOP Conference Series: Earth and Environmental Science, 2019, 318: 012028.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Wilkins R W T, George S C. Coal as a source rock for oil: a review. International Journal of Coal Geology, 2002, 50(1-4): 317-361.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Ma'arif F, et al. Coal tar waste utilization by cracking into fuel source and its separation using the fractional vacuum distillation method. IOP Conference Series: Materials Science and Engineering, 2021, 1053: 012099.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Song Y, et al. Comparative study on pore structure evolution of conventional and microwave pyrolysis of tar-rich coal. Fuel, 2022, 324: 124564.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Mao L, et al. Comparison of Geochemical and Mineralogical Characteristics of Palaeogene Oil Shales and Coals from the Huangxian Basin, Shandong Province, East China. International Journal of Coal Geology, 2020, 219: 103387.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Wei X Y, et al. Composition Distribution of the Thermal Soluble Organics from Naomaohu Lignite and Structural Characteristics of the Corresponding Insoluble Portions. Fuel Processing Technology, 2015, 134: 213-220.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Chen S, et al. Construction of Cu-BTC by carboxylic acid organic ligand and its application in low temperature SCR denitration. Journal of Solid State Chemistry, 2020, 288: 121408.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Differences in Tar Yield and Molecular Structure of Vitrinite in Tar-Rich Coal with Different Origins. Molecules, 2022, 27(19): 6632.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Differences in pyrolysis behavior and volatiles of tar-rich coal with various origins. Journal of Analytical and Applied Pyrolysis, 2022, 168: 105753.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Differences in pyrolysis behaviors of tar-rich coal macerals from various paleosedimentary environments. Energy, 2023, 271: 127027.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Qiao J, et al. Differences of Pyrolysis Products and Controlling Factors of Oil-Rich Coal with Different Grain Sizes under Fully-Mechanized Mining Conditions. Energies, 2022, 15(24): 9370.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Directional preparation of naphthalene oil-rich tar from Beisu low-rank coal by low-temperature catalytic pyrolysis. Journal of Fuel Chemistry and Technology, 2021, 49(8): 1085-1094.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Economic and heating efficiency analysis of double-shell downhole electric heater for tar-rich coal in-situ conversion. Case Studies in Thermal Engineering, 2023, 45: 102905.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Muraza O, et al. Effect of Co and Mo Loading by Impregnation and Ion Exchange Methods on Morphological Properties of Zeolite Y Catalyst. Bulletin of Chemical Reaction Engineering &amp; Catalysis, 2018, 13(1): 119-127.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Song Y, et al. Effect of hydrogen-rich gas from char gasification on rapid pyrolysis products of low rank coal in a downer pyrolyzer. Fuel, 2021, 285: 119183.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Effect of reservoir moisture on underground in-situ pyrolysis of tar-rich coal: Experimental investigation and ReaxFF MD simulation. Energy, 2023, 263: 125927.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Effect of the depositional environment on the formation of tar-rich coal: A case study in the northeastern Ordos Basin, China. Journal of Petroleum Science and Engineering, 2022, 208: 109462.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Effects of high-power microwave irradiation on tar-rich coal for realising in situ pyrolysis, fragmentation, and low-carbon utilisation of tar-rich coal. Fuel, 2023, 335: 127042.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Liu K, et al. Effects of spatial distribution of tar-rich coal and oil shale and primary factors on product characteristics during microwave co-pyrolysis. Fuel Processing Technology, 2023, 241: 107604.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Jin X, et al. Enhanced near-zero-CO₂-emission chemicals-oriented oil production from coal with inherent CO₂ recycling: Part I—PRB coal fast pyrolysis coupled with CO₂-CH₄ reforming. Energy, 2018, 155: 66-78.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D, et al. Enhancement of biodegradation of tar-rich coal through sequential treatment by N. mangyaensis and Ochrobactrum sp.. Fuel, 2023, 331: 125867.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Y, et al. Enhancing light tar production from tar-rich coal through low-temperature oxidation-assisted pyrolysis. Fuel, 2023, 342: 127823.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Evaluation on Pyrolysis and Mild Oxidation Characteristics of Tar-rich Coal. Combustion Science and Technology, 2021, 193(4): 631-649.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Shi Q, et al. Evolution of functional groups during in-situ pyrolysis of tar-rich coal using synchrotron infrared spectroscopy. Energy, 2023, 282: 128410.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Experimental and numerical investigation on the heat and mass transfer performance of tar rich coal in-situ pyrolysis. Applied Thermal Engineering, 2021, 197: 117355.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Experimental investigation on gas-liquid–solid tri-phase product distributions during the simulated in-situ pyrolysis of tar-rich coal. Energy, 2023, 266: 126484.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Experimental investigation on thermal conductivity of tar-rich coal under the simulated in-situ conditions. Heat and Mass Transfer, 2022, 58: 1205–1215.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Experimental study on mechanical damage characteristics of water-bearing tar-rich coal under microwave radiation. Theoretical and Applied Fracture Mechanics, 2023, 125: 103859.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Experimental study on the tar and gas distribution during tar-rich coal pyrolysis with stress loading. Fuel, 2023, 345: 128221.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Explaining relationships between chemical structure and tar-rich coal pyrolysis products yield based on Pearson correlation coefficient. Journal of the Energy Institute, 2023, 110: 101344.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Qiao J, et al. Geological Evaluation and Favorable Area Optimization for In Situ Pyrolysis of Tar-Rich Coal: A Case Study from the Santanghu Basin, NW China. Energies, 2023, 16(4): 1731.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Sykes R, Snowdon L R. Guidelines for assessing the petroleum potential of coaly source rocks using Rock-Eval pyrolysis. Organic Geochemistry, 2002, 33(12): 1441-1455.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H₂O气氛下富油煤热解过程的反应分子动力学模拟 (ReaxFF MD simulation of tar-rich coal pyrolysis under H₂O atmosphere). Journal of Fuel Chemistry and Technology, 2022, 50(9): 1089-1098.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High-pressure pyrolysis mechanism of tar-rich coal in Taiyuan Formation, Ordos Basin. Fuel, 2023, 345: 128225.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L, et al. Hydrocarbon Generation Potential and Depositional Setting of Eocene Oil-Prone Coaly Source Rocks in the Xihu Sag, East China Sea Shelf Basin. Energy &amp; Fuels, 2018, 32(10): 10427–10437.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El-Nady M. Hydrocarbon generation potential evaluation via petrographic and geochemical analyses of El-Maghara coal in Sinai, Egypt. Journal of African Earth Sciences, 2019, 158: 103553.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Shao L, et al. Hydrocarbon genesis of Jurassic coal measures in the Turpan Basin, China. Acta Geologica Sinica, 2003, 77(2): 228-236.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C, et al. Hydrogen generation mechanism of oil-rich coal oxidation in low temperature. Fuel, 2023, 334: 126694.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 Y, et al. Hydrothermal preparation of coal gangue-derived heterogeneous structures for selective adsorption enhanced photocatalytic removal of Cr(VI) ions in tar-rich coal mine water. Journal of Environmental Chemical Engineering, 2023, 11(3): 110255.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He D, et al. In-situ infrared and kinetic characteristics analysis on pyrolysis of tar-rich coal and macerals. Journal of Analytical and Applied Pyrolysis, 2023, 172: 106008.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Kulekana A, et al. Influence of additives on the devolatilization product yield of typical South African coals, and effect on tar composition. Journal of the Southern African Institute of Mining and Metallurgy, 2019, 119(11): 957-964.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D, et al. Influences of Four Kinds of Surfactants on Biodegradations of Tar-Rich Coal in the Ordos Basin by Bacillus bicheniformis. Microorganisms, 2022, 10(2): 442.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Infrared Spectrum and Principal Component Analysis of Heavy Tar Cut by Different Fractions from Tar-Rich Coal. Spectroscopy and Spectral Analysis, 2021, 41(10): 3156-3161.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Y, et al. Investigation on the composition of soluble portions from the extraction residue of Hanglaiwan subbituminous coal by thermal dissolution and alkanolyses. Fuel Information, 2017, 206: 12-20.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Kinetic and thermodynamic analysis of tar‐rich coal pyrolysis: Comparison between model‐free and model‐fitting methods. The Canadian Journal of Chemical Engineering, 2023, 101(4): 2156-2169.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Kinetic characteristics and product distribution of tar-rich coal in-situ underground pyrolysis: Influence of heterogeneous coal seam. Energy, 2023, 268: 126678.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C, et al. Low-temperature graphitization of carbon foam using nickel-based catalysts for enhanced thermal conductivity application in the pyrolysis of oil-rich coal. Materials Today Communications, 2023, 35: 105822.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Ma L, et al. Macerals particle characteristics analysis of tar-rich coal in northern Shaanxi based on image segmentation models via the U-Net variants and image feature extraction. Advanced Powder Technology, 2022, 33(2): 103422.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Sykes R, et al. Marine influence helps preserve the oil potential of coaly source rocks: Eocene Mangahewa Formation, Taranaki Basin, New Zealand. Organic Geochemistry, 2014, 66: 1-22.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Microwave pyrolysis and its applications to the in situ recovery and conversion of oil from tar-rich coal: An overview on fundamentals, methods, and challenges. Energy, 2023, 274: 127278.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Microwave-aided pyrolysis and fragmentation of tar-rich coal and rocks for in situ coal conversion and clean utilization. Fuel, 2023, 335: 127042.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Molecular characteristics of an oil-rich coal revealed using comprehensive two-dimensional gas chromatography time-of-flight mass spectrometry. Rapid Communications in Mass Spectrometry, 2022, 36(15): e9325.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Shi Q, et al. Multi-fragment molecular model construction and isothermal pyrolysis mechanism study on tar-rich coal by experiments and ReaxFF simulations. Journal of Analytical and Applied Pyrolysis, 2022, 168: 105740.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Numerical Investigation of the Heat and Mass Transfer during the In Situ Pyrolysis Process of Oil-Rich Coal. Energies, 2021, 14(16): 4833.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Numerical simulation on gas-solid separation characteristics of in-situ pyrolysis products of tar-rich coal. Powder Technology, 2023, 418: 118295.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Yu J, et al. Numerical simulation on heat transfer characteristics during waste heat utilization after the underground in-situ pyrolysis of tar-rich coal. Case Studies in Thermal Engineering, 2023, 44: 102830.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Occurrence of tar-rich coal: review and perspectives. Journal of China Coal Society, 2020, 45(7): 2523-2530.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Katz B J, et al. Oil generation from coal source rocks: the influence of depositional conditions and stratigraphic age. Geological Society, London, Special Publications, 1994, 77: 11-29.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Tumba K, et al. Physicochemical Characterization of Coal Tar Produced by Pyrolysis of Coal from Garin Maiganga and Shankodi Deposits. Journal of Applied Sciences, 2014, 14(16): 1853-1859.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Pore structure evolution of tar-rich coal with temperature-pressure controlled simulation experiments. Energy, 2023, 269: 126932.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Ma L, et al. Pore-fracture evolution under different heating rates during the in-situ pyrolysis of tar-rich coal. Journal of Analytical and Applied Pyrolysis, 2023, 171: 105952.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Yu J, et al. Porosity and Structure Evolution during Coal Pyrolysis in Large Particles at Very Slow Heating Rates. Energy &amp; Fuels, 2022, 36(5): 2589-2600.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Yao X, et al. Precious Metals Catalyze the Saturated Hydrogenation of Polycyclic Aromatic Hydrocarbons in Coal Tar. Catalysts, 2022, 12(10): 1234.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Powell T G, et al. Predicting generation and expulsion of paraffinic oil from vitrinite-rich coals. Organic Geochemistry, 1991, 17(3): 363-396.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Erdenetsogt B O, et al. Preliminary results of the solid-state C-13 NMR study of Mongolian coals: Implications for oil and gas potential and liquefaction reactivity. International Journal of Coal Geology, 2010, 82(1-2): 37-44.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Product characterization and pore structure evolution of a tar-rich coal following pyrolysis under nitrogen, steam/nitrogen, and oxygen/nitrogen atmospheres. Energy &amp; Fuels, 2022, 36(15): 8089-8099.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Purification of Quinoline Insolubles in Heavy Coal Tar and Preparation of Meso-Carbon Microbeads by Catalytic Polycondensation. Crystals, 2021, 11(12): 1532.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Pyrolysis behavior of tar-rich coal with various coal-forming environments: A TGA and in-situ transmission FTIR study. Energy, 2023, 282: 128383.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Quantitative analysis of pore structure and seepage simulation of tar-rich coal during pyrolysis based on 3D reconstruction technology. Fuel, 2023, 342: 127828.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Quantitative characterization and analysis of pore-fractures in tar-rich coal under high-temperature pyrolysis based on micro-CT imaging. Process Safety and Environmental Protection, 2023, 174: 701-711.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Qiao J, et al. Rapid Prediction of the In Situ Pyrolysis Performance of Tar-Rich Coal Using the POD Method. Processes, 2023, 11(2): 613.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Zhang Y, et al. Research on controllable shock wave technology for in-situ development of oil-rich coal. Energy Reports, 2022, 8(S1): 112-119.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Simulation Investigation on Separation Characteristics of Gas-Liquid Model Products from In-Situ Pyrolysis of Tar-rich Coal. Separations, 2022, 9(12): 445.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 Z, et al. Solvent Performance Evaluation of Heavy Oil in Coal–Oil Co-Liquefaction. Energies, 2022, 15(15): 5602.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Su A, et al. Source Rock Characterization of Paleogene Coal and Organic Rich Mudstones in Xihu Sag, Offshore Eastern China. Marine and Petroleum Geology, 2017, 86: 195-209.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Zhou Q, et al. Structural changes of Zhundong coal matrix induced by thermal treatment and its effects on oil yield in direct coal liquefaction. Fuel Processing Technology, 2017, 167: 193-200.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Ma L, et al. Study on Pore Structure and Fractal Characteristics of Tar-Rich Coal during Pyrolysis by Mercury Intrusion Porosimetry (MIP). Geofluids, 2021, 2021: 1-13.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Study on characterization of tri-phase products and microstructure evolution during in-situ pyrolysis of tar-rich coal at different temperatures. Fuel, 2023, 334: 126694.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Study on molecular structural heterogeneity of tar-rich coal based on micro-FTIR. Spectroscopy and Spectral Analysis, 2022, 42(5): 1421-1426.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Study on pyrolysis characteristics of oil-rich coal under in-situ conditions and industrial-scale extraction simulation. Chemical Engineering Research and Design, 2022, 185: 35-42.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 Y, et al. Study on the Extraction Mechanism of Metal Ions on Small Molecular Phase of Tar-Rich Coal under Ultrasonic Loading. Separations, 2023, 10(2): 120.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Shi Q, et al. Study on the interaction mechanism of vitrinite and inertinite in pyrolysis of tar-rich coal based on ReaxFF MD. Fuel, 2023, 332: 126154.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Qiao J, et al. Study on the molecular structure model of tar-rich coal and its pyrolysis process. Energy Reports, 2022, 8: 1009-1020.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Yang F, et al. Study on thermo-fluid-chemical coupling simulation and characteristic fields evolution during in-situ pyrolysis of tar-rich coal. Energy, 2023, 271: 127025.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M, et al. Synergistic effect of blast furnace slag on the pyrolysis process of oil-rich coal: tar product distribution and kinetic analysis. Reaction Kinetics, Mechanisms and Catalysis, 2022, 135: 2541–2559.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Chen S, et al. The Catalytic Effect from Alkaline Elements on the Tar-Rich Coal Pyrolysis. Geofluids, 2022, 2022: 4578145.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Wang S, et al. The Resources of Oil-rich Coals in China. Journal of China Coal Society, 2020, 45: 2523–2530.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Snape C E. The potential of hydropyrolysis as a route for coal liquefaction. Fuel, 1986, 65(9): 1306-1308.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Sciazko M, et al. Thermal methods of solid fuel processing: review. Journal of Sustainable Mining, 2014, 13(1): 16-25.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Zhao J, et al. Thermal properties and grey correlation degree analysis of tar-rich coal under cryogenic and pyrolysis condition. Energy, 2023, 276: 127546.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Shi Q, et al. Thermodynamic Analysis of In Situ Underground Pyrolysis of Tar-Rich Coal: Primary Reactions. ACS Omega, 2022, 7(12): 10600–10611.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Shi Q, et al. Thermodynamic Analysis on In Situ Underground Pyrolysis of Tar-Rich Coal: Secondary Reactions. ACS Omega, 2022, 7(38): 34268–34279.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Blinderman M S, et al. Underground in situ coal thermal treatment for synthetic fuels production. Fuel, 2017, 204: 172-181.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Liu J, et al. Vacuum-Dried and Intrinsic Photothermal Phenolic Carbon Aerogel from Coal Tar Rich in Polycyclic Aromatics for Efficient Solar Steam Generation. Carbon, 2021, 179: 202-212.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Chang Y, et al. Variation of molecular structures affecting tar yield: A comprehensive analysis on coal ranks and depositional environments. Fuel, 2023, 352: 129033.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Chen S, et al. Oil has a higher methanogenic potential than coal in an oil-bearing coal seam. Energy, 2017, 139: 556-562.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师庆民, 王生全, 等. "双碳"背景下煤炭原位地下热解采油意义研究. 煤炭学报, 2021, 46(S2): 541-550.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郭晓琼. "问道"哈密富油煤高效开发利用. 中国煤炭工业, 2021(11): 58-59.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王昌建, 范立勇, 等. 三塘湖-吐哈盆地富油煤赋存特征与资源潜力分析. 洁净煤技术, 2023, 29(1): 16-24. (同[1])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吕雪峰, 孙启彬, 马志宏, 等. 三塘湖煤田富油煤分质利用技术研究. 煤化工, 2019, 47(4): 21-25.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贺丹, 师庆民, 等. 三塘湖煤田汉水泉矿区富油煤赋存特征及沉积环境分析. 洁净煤技术, 2021, 27(3): 83-90. (同[2])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霍海燕. 三塘湖盆地侏罗系富油煤特征及沉积环境控制. 煤炭技术, 2022, 41(4): 61-64.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侯小花, 陈旋, 吴涛, 等. 三塘湖盆地条湖凹陷八道湾组煤焦油产率及富油性预测. 新疆石油地质, 2021, 42(6): 696-702.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李伍, 和冠, 王宏钧, 等. 三塘湖盆地条湖凹陷西山窑组煤岩煤焦油产率预测方法. 煤田地质与勘探, 2022, 50(2): 64-69.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梁世君, 黄志龙, 等. 三塘湖盆地油气勘探开发新领域、新类型及资源潜力. 新疆石油地质, 2020, 41(6): 631-641.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常艺懋, 周强, 赵伟涛, 等. 不同压力下榆神地区富油煤原位热解产物特性. 西安科技大学学报, 2023, 43(1): 32-40.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杜志敏, 等. 不同密度分级下富油煤微观结构研究. 煤炭科学技术, 2022, 50(2): 261-268.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王双明, 等. 不同布井模式下富油煤原位热解传热规律数值模拟. 煤炭学报, 2023, 48(4): 1773-1785.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张楚, 周强, 等. 不同气氛下富油煤受热裂隙演化及热解动力学参数变化. 煤炭科学技术, 2022, 50(12): 223-231.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马丽萍, 等. 不同煤层富油煤的孔隙发育与强度特征关联性研究. 煤矿安全, 2023, 54(5): 101-107.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党艳, 等. 两种细菌对陕北富油煤的降解过程研究. 生物加工过程, 2022, 20(2): 180-187.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周强. 中低阶煤的键合结构对液化与热解反应影响的研究. 洁净煤技术, 2021, 27(S1): 15-20.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任海娟, 宁勇, 等. 中国富油煤形成机制与地质产出研究进展及趋势. 煤炭科学技术, 2023, 51(8): 1-13.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中国富油煤资源分布与开发利用前景. 科技导报, 2022, 40(17): 12-19.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中国工程院院士王双明："煤炭兜底"与"绿色低碳"并行不悖. 陕西煤炭, 2021, 40(6): 1-4.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本刊讯. 为富油煤绿色开发提供支撑. 煤田地质与勘探, 2021(4): 78.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王辉, 周强, 等. 产物导向与机器学习驱动的富油煤热解提油热效应评估. 化工进展, 2023, 42(S1): 215-223.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赵静, 周强, 等. 低温冷冻下富油煤传热特征与热解特性的演变机制. 煤炭学报, 2023, 48(2): 1011-1022.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岑建孟, 谢克昌. 低碳化现代煤基能源开发关键技术体系. 煤炭学报, 2022, 47(11): 3889-3904.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郑剑磊. 全球第一桶地下原位热解煤焦油在陕西产出. 陕西煤炭, 2023, 42(6): 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梁杰. 再当煤海开拓者. 当代陕西, 2021(18): 42-43.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上官卓, 等. 力-热耦合作用下神府富油煤原位热解提油产物分布特性. 煤炭科学技术, 2024, 52(2): 219-228.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王宁, 等. 鄂尔多斯盆地侏罗纪煤的煤岩特征及成因分析. 煤炭技术, 2021, 40(5): 55-59.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王岩, 等. 双金属负载USY催化热解黄陵富油煤研究. 煤炭转化, 2023, 46(5): 12-21.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王飞, 等. 古城矿区富油煤赋存特征及主控因素分析. 煤炭技术, 2022, 41(2): 88-91.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谢克昌. 合理高效利用我国富油煤资源. 中国煤炭, 2017, 43(12): 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张晓丽. 吐哈盆地大南湖矿区富油煤赋存特征及主控因素分析. 能源与环保, 2022, 44(8): 120-125.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无. 在煤海上建设大油田. 中国石油企业, 2021(8): 44-45.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朱超, 等. 块状富油煤原位热解半焦组分演化和热解特征研究. 煤炭工程, 2023, 55(4): 161-166.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李华. 基于BP神经网络的富油煤焦油产率预测. 煤田地质与勘探, 2021, 49(5): 75-81.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王双明, 等. 基于BP神经网络的富油煤焦油产率预测方法研究. 煤田地质与勘探, 2020, 48(4): 73-79.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王美君, 等. 基于二次反应修正的富油煤快速热解过程模拟. 燃料化学学报, 2022, 50(1): 10-18.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申文彪, 等. 基于全生命周期的富油煤原位热解碳排放. 洁净煤技术, 2023, 29(1): 25-31.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等. 基于温压模拟实验的富油煤大分子结构演化研究. 煤炭科学技术, 2021, 49(12): 210-218.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等. 基于温压模拟实验的富油煤孔隙演化机理研究. 西安科技大学学报, 2022, 42(3): 445-452.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刘琦, 等. 基于热重分析的不同空间分布模式下富油煤与油页岩共热解研究. 煤炭转化, 2022, 45(6): 22-30.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石庆民, 等. 基于煤体真密度和自然伽马响应规律的富油煤判识. 煤田地质与勘探, 2019, 47(5): 58-64.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王双明, 等. 基于煤岩煤质多元指标的BP神经网络焦油产率预测方法研究. 煤田地质与勘探, 2020, 48(4): 73-79.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多手段表征富油煤微生物厌氧发酵孔隙结构变化特征及机制. 微生物学报, 2023, 63(5): 1980-1992.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杜志敏. 大保当井田富油煤地下原位热解开发前景展望. 陕西煤炭, 2021, 40(3): 15-18.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本刊编辑部. 如何推进中国能源发展？代表委员们有话说. 中国石油石化, 2022(6): 14-17.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李明, 等. 宁东煤田石炭-二叠系富油煤赋存的地质控制作用. 煤炭科学技术, 2021, 49(8): 195-202.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蔡铮, 等. 宁夏红墩子矿区富油煤赋存特征及其沉积环境研究. 煤质技术, 2022, 37(6): 23-30.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蔡铮. 宁夏红墩子矿区红四井田沉积古环境对富油煤焦油产率控制作用. 科学技术与工程, 2023, 23(11): 4556-4563.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桑向兰, 等. 富油煤(长焰煤)孔隙结构三维表征及渗流模拟. 煤炭学报, 2023, 48(S1): 208-216.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王楚楚, 等. 富油煤低温氧化H2产生机理研究. 煤矿安全, 2023, 54(8): 68-75.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陈山, 等. 富油煤分子结构对生烃潜力影响研究. 煤炭转化, 2022, 45(2): 35-43.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寇德宏, 等. 富油煤原位热解U型水平井产能预测：试验与数值模拟. 煤田地质与勘探, 2023, 51(8): 87-97.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 等. 富油煤原位热解典型污染物时空分布特征. 煤炭学报, 2023, 48(4): 1786-1798.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段中会, 等. 富油煤原位热解反应机理及热质传递特性的数值模拟研究. 煤炭技术, 2022, 41(1): 225-228.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李文军. 富油煤原位热解地下加热技术及其高效工艺. 洁净煤技术, 2021, 27(3): 33-39.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闫龙, 等. 富油煤原位热解地下开采及提质方案研究. 煤化工, 2021, 49(5): 5-9.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等. 富油煤原位热解地质环境影响与地质保障技术. 煤炭学报, 2023, 48(4): 1759-1772.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等. 富油煤原位热解多物理场演化规律数值模拟研究. 煤炭科学技术, 2022, 50(3): 188-196.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辛林, 等. 富油煤原位热解安全预控基础理论与技术研究进展. 煤炭科学技术, 2021, 49(6): 1-13.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富油煤原位热解对流加热过程传热规律数值模拟. 煤矿安全, 2022, 53(9): 200-207.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唐书恒, 等. 富油煤原位热解开发地下体系封闭方法探讨. 煤田地质与勘探, 2023, 51(2): 34-43.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邱爱金. 富油煤原位热解技术战略价值与科学探索. 中国煤炭地质, 2022, 34(2): 1-6.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兰新哲, 等. 富油煤原位热解技术研究现状及进展. 洁净煤技术, 2021, 27(3): 1-10.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张吉洪, 等. 富油煤原位热解渗透率变化机理模拟实验研究. 煤田地质与勘探, 2023, 51(4): 66-73.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等. 富油煤原位热解面临的挑战与技术对策. 煤炭学报, 2021, 46(5): 1365-1377.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富油煤原位转化感应加热和射频加热效果数值比选研究. 煤田地质与勘探, 2022, 50(9): 38-46.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邓君发, 等. 富油煤可控氧化自燃的原位热解开采理论与技术构想. 煤炭学报, 2018, 43(11): 3159-3167.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尚少帅. 富油煤地下原位热解井下加热器研究现状及展望. 煤炭工程, 2022, 54(10): 166-171.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于静, 等. 富油煤地下原位热解余热利用过程数值模拟. 煤炭工程, 2023, 55(3): 146-151.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等. 富油煤地下热解过程中纳米孔隙结构特性演化规律. 煤炭学报, 2020, 45(9): 3280-3288.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侯恩科, 等. 富油煤地下隔层式原位热解底板岩层传热特性及高温热损伤试验研究. 煤炭学报, 2023, 48(4): 1799-1811.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常艺懋. 富油煤模拟原位加压热解三相产物理化特性研究. 煤炭科学技术, 2021, 49(12): 202-209.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李艳艳. 富油煤热解与赤铁矿石还原协同处理基础分析. 过程工程学报, 2023, 23(7): 1011-1019.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 富油煤热解产物在粉砂介质中的吸附行为研究. 环境科学与技术, 2023, 46(2): 120-128.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富油煤热解孔隙结构演化规律及机制. 煤炭学报, 2021, 46(3): 1014-1023.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张玉卓. 富油煤热解技术及利用前景研究. 中国能源, 2019, 41(7): 37-41.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富油煤热解流体滞留特征及其机制. 煤炭学报, 2022, 47(11): 4125-4136.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 富油煤热解焦油在粉砂中的自然降解与挥发行为. 西安科技大学学报, 2022, 42(5): 976-984.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 富油煤热解焦油在风积沙中的环境行为研究. 生态环境学报, 2023, 32(4): 777-785.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侯恩科. 富油煤热解煤及覆岩温度场时空演化特征. 煤炭学报, 2022, 47(12): 4425-4437.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侯恩科. 富油煤热解煤及覆岩温度场时空演化试验研究. 煤炭学报, 2022, 47(12): 4425-4437.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王生全. 富油煤热解特性及其孔裂隙结构演化规律. 西安科技大学学报, 2021, 41(4): 631-638.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黄温钢. 富油煤热解覆岩温度变化规律研究. 煤矿安全, 2022, 53(5): 188-193.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周强. 富油煤热解过程动力学参数变化规律研究. 煤炭转化, 2022, 45(1): 27-34.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王楚楚. 富油煤热解重质焦油基泡沫炭性能研究. 炭素技术, 2023, 42(4): 40-45.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姚晓虹. 富油煤焦油中多环芳烃加氢饱和反应研究进展. 化工进展, 2023, 42(5): 2351-2362.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段利江. 富油煤焦油产率测井评价方法研究. 中国煤炭地质, 2021, 33(10): 66-71.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王红. 富油煤煤质特征与原位热解技术开发利用现状. 煤炭技术, 2021, 40(6): 184-187.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马志宏. 富油煤的基础煤质特征及其沉积环境特征分析. 煤炭技术, 2020, 39(8): 96-99.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师庆民, 等. 富油煤的油气资源属性与绿色低碳开发. 煤炭学报, 2021, 46(5): 1365-1377.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富油煤的碳骨架结构特征及热解油气生成潜力评价. 煤炭学报, 2023, 48(2): 929-939.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孙强, 等. 富油煤研究进展与趋势. 煤炭学报, 2021, 46(S1): 397-408.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张博, 等. 富油煤绿色低碳转化技术研究进展. 洁净煤技术, 2021, 27(3): 11-19.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段中会. 富油煤钻井式地下原位热解提取煤基油气资源的几个关键问题. 煤田地质与勘探, 2020, 48(4): 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周强. 富油煤高能微波热解与碎裂机理研究. 西安科技大学学报, 2022, 42(2): 301-309.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戴俊. 微波–水交互作用下富油煤岩渐进性破坏规律试验. 岩石力学与工程学报, 2023, 42(S1): 3481-3490.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宁树正, 等. 我国煤系共伴生矿产赋存特征及分布规律. 煤炭学报, 2022, 47(1): 408-418.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尚军飞. 抗积炭改性HZSM-5@SiO2@MgFe2O4对神府煤热解特性影响及过程模拟研究. 燃料化学学报, 2023, 51(3): 302-311.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新形势下我国能源与生态安全保障研究. 中国工程科学, 2021, 23(1): 112-117.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李忠洪. 新疆三塘湖煤田富油煤成因机理及提质利用方案优选. 洁净煤技术, 2021, 27(3): 75-82.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宁树正. 新疆三塘湖盆地富油煤赋存特征及主控因素. 煤田地质与勘探, 2020, 48(2): 28-34.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李焕同. 新疆北部早、中侏罗世富油煤分布规律及控制因素. 新疆地质, 2022, 40(3): 386-391.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丁华. 新疆北部矿区煤中焦油产率分析及热解生油实验研究. 煤质技术, 2021, 36(6): 33-38.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张亚林. 新疆吐哈煤田干沟矿区煤质特征分析. 煤炭技术, 2021, 40(9): 108-111.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新疆大南湖F1南井田富油煤有利区划分及原位热解开发建议. 中国煤炭地质, 2023, 35(3): 1-6.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吾甫尔·艾合买提. 新疆富油煤地面与原位低碳开发利用技术现状及发展方向. 洁净煤技术, 2023, 29(S1): 12-18.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等. 新疆新层系新类型能源矿产勘查新进展. 中国地质, 2022, 49(5): 1686-1688.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魏贤勇, 等. 新疆煤炭资源总体煤质特征评述. 洁净煤技术, 2020, 26(1): 1-12.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王双明. 新质生产力赋能煤炭地质工作发展. 中国煤炭地质, 2024, 36(3): 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等. 机器学习辅助的富油煤原位热解多场耦合数值模拟研究. 煤田地质与勘探, 2024, 52(2): 1-11.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等. 柠条塔煤矿富油煤赋存特征及其成煤环境控制. 煤炭工程, 2021, 53(5): 112-117.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薛喜成, 等. 榆横矿区3号煤层富油煤的煤岩煤质及成煤环境. 煤田地质与勘探, 2022, 50(2): 55-63.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邓小利, 等. 榆神府矿区富油煤多尺度孔隙结构特征. 煤炭科学技术, 2022, 50(6): 229-236.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等. 榆神府矿区富油煤煤相及孔隙结构特征试验研究. 煤矿安全, 2021, 52(11): 41-47.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榆神府矿区富油煤组构特性及破碎强度试验研究. 西安科技大学学报, 2023, 43(1): 120-128.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等. 榆神矿区富油煤赋存特征及其沉积环境研究. 煤炭技术, 2020, 39(1): 66-69.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张文永. 淮南煤田富油煤受控因素分析及多元判识. 安徽理工大学学报(自然科学版), 2023, 43(3): 55-63.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郑士田. 淮南煤田富油煤赋存规律与开发利用潜力研究. 中国煤炭地质, 2022, 34(S1): 35-41.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混合表面活性剂对铜绿假单胞菌降解富油煤的影响. 应用化工, 2023, 52(2): 359-363.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赵静. 热解条件下富油煤热力学响应与热损伤机制研究. 煤炭学报, 2024, 49(1): 455-467.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张研, 王双明. 煤岩干法分选——西部富油煤分质加工的创新驱动技术. 中国煤炭, 2021, 47(11): 88-93.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宁树正. 煤系共伴生矿产地质成因与成矿过程. 矿床地质, 2021, 40(6): 1345-1358.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高超. 甜水河勘查区富油煤煤岩煤质及成煤环境. 陕西煤炭, 2021, 40(4): 39-43.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看富油煤"72般变化". 中国能源报, 2021-08-02(015).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等. 神府南部延安组富油煤多源判识规律. 西安科技大学学报, 2020, 40(4): 655-662.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兰新哲. 神府南部矿区低阶煤化学组成与工艺性质：特征、关系与实践. 洁净煤技术, 2018, 24(5): 1-7.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神府富油煤不同显微组分分子结构特性研究. 洁净煤技术, 2022, 28(1): 69-76.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神府矿区5-2煤层富油煤赋存特征及资源潜力评价. 煤炭工程, 2020, 52(8): 56-60.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薛喜成. 神府矿区富油煤煤质成分对焦油产率的影响分析. 煤田地质与勘探, 2023, 51(3): 55-62.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蔡铮. 红墩子矿区9煤富油煤赋存特征及潜力分析. 煤炭技术, 2021, 40(12): 91-94.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等. 细菌降解三种陕北富油煤制取腐殖酸的研究. 煤炭转化, 2022, 45(1): 66-74.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表面活性剂对茫崖诺卡氏菌降解鄂尔多斯盆地富油煤过程的影响. 微生物学通报, 2022, 49(1): 182-194.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表面活性剂对陕北富油煤微生物降解的影响. 应用化工, 2021, 50(9): 2381-2386.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郭红玉, 等. 表面活性剂强化微生物电解池降解鄂尔多斯富油煤的研究. 燃料化学学报, 2023, 51(2): 158-166.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张晓丽. 西部地区富油煤开发利用潜力分析和技术体系构想. 中国煤炭, 2022, 48(4): 50-55.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石庆民, 等. 覆岩应力下富油煤原位热解行为模拟研究. 煤炭学报, 2021, 46(S2): 905-915.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张丁丁. 郭家沟富油煤细菌降解产腐殖酸研究. 洁净煤技术, 2021, 27(3): 120-126.</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马妍. 鄂尔多斯盆地南部三叠系页岩和侏罗系富油煤生烃动力学差异及其原位共采的温度条件. 地质学报, 2022, 96(8): 2893-2905.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陈山, 等. 鄂尔多斯盆地延安组富油煤和含油煤生烃特征差异及其成因. 煤炭学报, 2023, 48(1): 380-392.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王岩. 酸洗对黄陵富油煤结构和动力学特征的影响. 应用化工, 2023, 52(3): 833-838.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贺丹, 等. 酸洗脱矿下富油煤热解过程中官能团演化的同步原位红外研究. 光谱学与光谱分析, 2024, 44(2): 376-382.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尚军飞. 铈改性磁性核壳HZSM-5催化富油煤热解研究. 煤炭科学技术, 2022, 50(12): 264-272.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等. 陇东地区富油煤地质特征与主控因素研究. 煤炭科学技术, 2022, 50(4): 173-181.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陕北三叠纪煤田子长矿区瓦窑堡组特高焦油产率煤富集规律分析. 煤田地质与勘探, 2021, 49(3): 22-29.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陕北三叠纪煤田最大古地温与焦油产率关系. 煤田地质与勘探, 2020, 48(5): 27-33.</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马志宏. 陕北侏罗纪富油煤有机地球化学特征. 煤炭技术, 2021, 40(6): 102-105.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兰新哲. 陕北富油煤低温热解提油基础特性. 西安科技大学学报, 2020, 40(5): 845-851.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陕北富油煤分子模型构建及其热解提油分子动力学特性. 煤炭学报, 2022, 47(1): 469-479.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段中会, 杨甫, 等. 陕北富油煤地下原位热解先导试验. 煤田地质与勘探, 2021, 49(5): 31-40.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杨甫. 陕北富油煤热解提油产物分布特性研究. 煤炭科学技术, 2021, 49(10): 215-221.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兰新哲. 陕北富油煤热解提油基础特性及煤焦油净化机理研究[D]. 西安: 西安建筑科技大学, 2020.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张蕾. 陕北富油煤熄焦特征污染物析出规律探究. 应用化工, 2022, 51(8): 2293-2297.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乔军伟. 陕北富油煤综采面原煤粒级差异及其最佳利用适配. 煤炭工程, 2022, 54(7): 123-128.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陕北曹家滩矿井富油煤地球化学特征及其沉积环境. 煤田地质与勘探, 2019, 47(4): 50-57.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王美君. 陕北榆树湾煤矿煤质特征及洁净等级评价. 煤质技术, 2020, 35(1): 32-37.</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陕北榆神矿区富油煤分布规律及形成控制因素. 西安科技大学学报, 2020, 40(6): 1042-1050.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师庆民. 陕北榆神矿区富油煤深成变质的古地质温度计算方法初探. 地质论评, 2021, 67(4): 1121-1130.</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陕北石炭–二叠纪富油煤赋存特征及影响因素. 煤田地质与勘探, 2022, 50(8): 50-58.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魏文洁. 陕西富油煤资源量居全国之首榆林可"再造一个大庆油田". 陕西煤炭, 2020, 39(1): 1-1.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尚建选. 陕西煤业化工集团煤化工产业高质量发展研究. 煤炭化工, 2021, 49(3): 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王双明. 陕西省富油煤分布及受控地质因素. 煤炭学报, 2021, 46(S1): 397-408.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段利江. 陕西省富油煤焦油产率测井评价方法研究. 地下水, 2021, 43(5): 146-148.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段中会. 陕西省富油煤资源潜力及开发建议. 中国煤炭地质, 2020, 32(9): 1-5.</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李艳艳. 难选铁矿石促进富油煤热解及铁矿物回收技术研究. 矿产综合利用, 2023 (6): 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郭庆. 高温作用下富油煤孔隙结构及渗透率演化规律研究. 煤炭工程, 2023, 55(2): 117-122.</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杜志敏. 黄陵矿区富油煤对流加热原位转化开发效果数值模拟. 煤矿安全, 2022, 53(10): 215-221.</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黄陵矿区富油煤焦油产率与补偿密度关系模型预测方法研究. 中国煤炭地质, 2022, 34(10): 29-34.</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姚征. 黄陵矿区富油煤焦油产率特征及主控地质因素分析. 煤炭技术, 2021, 40(11): 114-118.</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马丽. 黏结性富油煤热解油气析出规律及物性演变特征. 煤炭学报, 2023, 48(9): 3538-3549.</w:t>
      </w:r>
    </w:p>
    <w:p>
      <w:pPr>
        <w:keepNext w:val="0"/>
        <w:keepLines w:val="0"/>
        <w:pageBreakBefore w:val="0"/>
        <w:widowControl w:val="0"/>
        <w:numPr>
          <w:ilvl w:val="0"/>
          <w:numId w:val="15"/>
        </w:numPr>
        <w:tabs>
          <w:tab w:val="left" w:pos="220"/>
          <w:tab w:val="clear" w:pos="0"/>
        </w:tabs>
        <w:kinsoku/>
        <w:wordWrap/>
        <w:overflowPunct/>
        <w:topLinePunct w:val="0"/>
        <w:autoSpaceDE w:val="0"/>
        <w:autoSpaceDN w:val="0"/>
        <w:bidi w:val="0"/>
        <w:adjustRightInd w:val="0"/>
        <w:snapToGrid/>
        <w:spacing w:line="358" w:lineRule="auto"/>
        <w:ind w:left="191" w:leftChars="0" w:hanging="191" w:hangingChars="91"/>
        <w:jc w:val="both"/>
        <w:textAlignment w:val="auto"/>
        <w:rPr>
          <w:rFonts w:hint="default" w:ascii="Times New Roman" w:hAnsi="Times New Roman" w:eastAsia="宋体"/>
          <w:b w:val="0"/>
          <w:bCs w:val="0"/>
          <w:sz w:val="21"/>
          <w:szCs w:val="21"/>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b w:val="0"/>
          <w:bCs w:val="0"/>
          <w:sz w:val="21"/>
          <w:szCs w:val="21"/>
          <w:lang w:val="en-US" w:eastAsia="zh-CN"/>
        </w:rPr>
        <w:t>黄温钢. 黏结性对富油煤热解孔隙结构演变及渗流的影响研究. 采矿与安全工程学报, 2023, 40(5): 1045-1054.</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附录2 国内外标准调研情况</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1341-2023 煤的格金低温干馏试验方法. 北京: 中国标准出版社, 2023.</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480-2010 煤的铝甑低温干馏试验方法. 北京: 中国标准出版社, 2011.</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502:2015 Coal — Determination of caking power — Gray-King coke test. Geneva: ISO, 2015.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647:2017 Coal — Determination of plastic properties — Dilatometer method. Geneva: ISO, 2017.</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24214-2009 煤焦油水分快速测定方法. 北京: 中国标准出版社, 2010.</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38394-2019 煤焦油 钠、钙、镁、铁含量的测定 电感耦合等离子体发射光谱法.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38395-2019 煤焦油 硫和氮含量的测定.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38397-2019 煤焦油 组分含量的测定 气相色谱-质谱联用和热重分析法.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2290-2012 煤沥青. 北京: 中国标准出版社, 2013.</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2293-2019 焦化沥青类产品喹啉不溶物试验方法.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2294-2019 焦化固体类产品软化点测定方法.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51331-2018 煤焦化焦油加工工程设计标准. 北京: 中国计划出版社,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2281-2008 焦化油类产品密度试验方法. 北京: 中国标准出版社, 2008.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2288-2019 焦化产品水分测定方法. 北京: 中国标准出版社,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2292-2018 焦化产品甲苯不溶物含量的测定. 北京: 中国标准出版社,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2295-2008 焦化固体类产品灰分测定方法. 北京: 中国标准出版社, 2008.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1999-2008 焦化油类产品取样方法. 北京: 中国标准出版社, 2008.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24209-2009 洗油粘度的测定方法. 北京: 中国标准出版社, 2009.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24212-2025 甲基萘油. 北京: 中国标准出版社, 2025.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30054-2013 异喹啉. 北京: 中国标准出版社, 2014.</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6699-1998 焦化萘. 北京: 中国标准出版社, 1999.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GB/T 6705-2008 焦化苯酚. 北京: 中国标准出版社, 2008.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5075-2010 煤焦油. 北京: 冶金工业出版社, 2011.</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5078-2010 煤焦油 萘含量的测定 气相色谱法. 北京: 冶金工业出版社, 2010.</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6137-2023 煤焦油 联苯、苊、芴含量的测定 气相色谱法. 北京: 冶金工业出版社, 2023.</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4989-2022 焦炉煤气 煤焦油含量的测定 分光光度法. 北京: 冶金工业出版社, 2022.</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5171-2016 木材防腐油试验方法 40℃结晶物测定方法. 北京: 冶金工业出版社, 2016.</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5173-2016 木材防腐油试验方法 流动性测定方法. 北京: 冶金工业出版社, 2016.</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YB/T 6275-2024 洗油. 北京: 冶金工业出版社, 2024.</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MT/T 1179-2019 煤中焦油含量分级. 北京: 煤炭工业出版社, 2019.</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SY/T 0319-1998 埋地钢质管道煤焦油瓷漆防腐层技术规范. 北京: 石油工业出版社, 1998.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SY/T 0379-1998 埋地钢质管道煤焦油瓷漆外防腐层技术标准. 北京: 石油工业出版社, 1998.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DB61/T 995-2015 中低温煤焦油. 西安: 陕西省质量技术监督局, 2015.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DB13/T 5254-2020 煤焦油 苯、甲苯、苯酚、萘、芴、菲、蒽、芘的含量测定 气相色谱法. 石家庄: 河北省质量技术监督局, 2020.</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DB61/T 1657-2023 焦油渣利用与处置污染控制技术规范. 西安: 陕西省生态环境厅, 2023.</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T/CRIA 20002-2021 炭黑原料油 煤焦油. 北京: 中国橡胶工业协会, 2021.</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 xml:space="preserve">T/GRM </w:t>
      </w:r>
      <w:r>
        <w:rPr>
          <w:rFonts w:hint="eastAsia" w:ascii="Times New Roman" w:hAnsi="Times New Roman" w:eastAsia="宋体"/>
          <w:b w:val="0"/>
          <w:bCs w:val="0"/>
          <w:sz w:val="21"/>
          <w:szCs w:val="21"/>
          <w:lang w:val="en-US" w:eastAsia="zh-CN"/>
        </w:rPr>
        <w:t>114</w:t>
      </w:r>
      <w:r>
        <w:rPr>
          <w:rFonts w:hint="default" w:ascii="Times New Roman" w:hAnsi="Times New Roman" w:eastAsia="宋体"/>
          <w:b w:val="0"/>
          <w:bCs w:val="0"/>
          <w:sz w:val="21"/>
          <w:szCs w:val="21"/>
          <w:lang w:val="en-US" w:eastAsia="zh-CN"/>
        </w:rPr>
        <w:t>-202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 xml:space="preserve"> 富油煤原位热解术语. 北京: 中关村绿色矿山产业联盟, 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 xml:space="preserve">T/GRM </w:t>
      </w:r>
      <w:r>
        <w:rPr>
          <w:rFonts w:hint="eastAsia" w:ascii="Times New Roman" w:hAnsi="Times New Roman" w:eastAsia="宋体"/>
          <w:b w:val="0"/>
          <w:bCs w:val="0"/>
          <w:sz w:val="21"/>
          <w:szCs w:val="21"/>
          <w:lang w:val="en-US" w:eastAsia="zh-CN"/>
        </w:rPr>
        <w:t>116</w:t>
      </w:r>
      <w:r>
        <w:rPr>
          <w:rFonts w:hint="default" w:ascii="Times New Roman" w:hAnsi="Times New Roman" w:eastAsia="宋体"/>
          <w:b w:val="0"/>
          <w:bCs w:val="0"/>
          <w:sz w:val="21"/>
          <w:szCs w:val="21"/>
          <w:lang w:val="en-US" w:eastAsia="zh-CN"/>
        </w:rPr>
        <w:t>-202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 xml:space="preserve"> 富油煤原位热解可控冲击波致裂施工规范. 北京: 中关村绿色矿山产业联盟, 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 xml:space="preserve">T/GRM </w:t>
      </w:r>
      <w:r>
        <w:rPr>
          <w:rFonts w:hint="eastAsia" w:ascii="Times New Roman" w:hAnsi="Times New Roman" w:eastAsia="宋体"/>
          <w:b w:val="0"/>
          <w:bCs w:val="0"/>
          <w:sz w:val="21"/>
          <w:szCs w:val="21"/>
          <w:lang w:val="en-US" w:eastAsia="zh-CN"/>
        </w:rPr>
        <w:t>115</w:t>
      </w:r>
      <w:r>
        <w:rPr>
          <w:rFonts w:hint="default" w:ascii="Times New Roman" w:hAnsi="Times New Roman" w:eastAsia="宋体"/>
          <w:b w:val="0"/>
          <w:bCs w:val="0"/>
          <w:sz w:val="21"/>
          <w:szCs w:val="21"/>
          <w:lang w:val="en-US" w:eastAsia="zh-CN"/>
        </w:rPr>
        <w:t>-202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 xml:space="preserve"> 富油煤原位热解井下电加热器使用规程. 北京: 中关村绿色矿山产业联盟, 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lang w:val="en-US" w:eastAsia="zh-CN"/>
        </w:rPr>
        <w:t>.</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D43/D43M-00(2024) Standard Specification for Coal Tar Primer Used in Roofing, Dampproofing, and Waterproofing. West Conshohocken, PA: ASTM International, 2024.</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D450/D450M-07(2018) Standard Specification for Coal-Tar Pitch Used in Roofing, Dampproofing, and Waterproofing. West Conshohocken, PA: ASTM International,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D2415-25 Standard Test Method for Ash in Coal Tar and Pitch. West Conshohocken, PA: ASTM International, 2025.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D8464/D8464M-23 Standard Specification for Cold-Applied Coal Tar for Roofing, Waterproofing, and Dampproofing. West Conshohocken, PA: ASTM International, 2023.</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D5643/D5643M-06(2024) Standard Specification for Coal Tar Roof Cement, Asbestos Free. West Conshohocken, PA: ASTM International, 2024.</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D3320/D3320M-18 Standard Specification for Emulsified Coal-Tar Pitch (Mineral Colloid Type). West Conshohocken, PA: ASTM International,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D227/D227M-03(2018) Standard Specification for Coal-Tar-Saturated Organic Felt Used in Roofing and Waterproofing. West Conshohocken, PA: ASTM International,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D490 Standard Specification for Road Tar. West Conshohocken, PA: ASTM International.</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D2318 Test Method for Quinoline-Insoluble (QI) Content of Tar and Pitch. West Conshohocken, PA: ASTM International.</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D7280-15 Standard Test Method for Quinoline-Insoluble (QI) Content of Tar and Pitch by Stainless Steel Crucible Filtration. West Conshohocken, PA: ASTM International, 2015.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ASTM D4312-15 Standard Test Method for Toluene-Insoluble (TI) Content of Tar and Pitch (Short Method). West Conshohocken, PA: ASTM International, 2015.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5256:1985 Steel pipes and fittings for buried or submerged pipe lines — External and internal coating by bitumen or coal tar derived materials. Geneva: ISO, 1985.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11709:2011 Soil quality — Determination of selected coal-tar-derived phenolic compounds using high performance liquid chromatography (HPLC). Geneva: ISO, 2011.</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9029:2015 Crude petroleum and petroleum products — Determination of oil content. Geneva: ISO, 2015.</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2719:2016 Determination of flash point — Pensky-Martens closed cup method. Geneva: ISO, 2016.</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3675:2018 Crude petroleum and liquid petroleum products — Laboratory determination of density — Hydrometer method. Geneva: ISO, 2018.</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5667-3:2012 Water quality — Sampling — Part 3: Guidance on the preservation and handling of water samples. Geneva: ISO, 2012.</w:t>
      </w:r>
    </w:p>
    <w:p>
      <w:pPr>
        <w:keepNext w:val="0"/>
        <w:keepLines w:val="0"/>
        <w:pageBreakBefore w:val="0"/>
        <w:widowControl w:val="0"/>
        <w:numPr>
          <w:ilvl w:val="0"/>
          <w:numId w:val="16"/>
        </w:numPr>
        <w:tabs>
          <w:tab w:val="left" w:pos="220"/>
          <w:tab w:val="clear" w:pos="0"/>
        </w:tabs>
        <w:kinsoku/>
        <w:wordWrap/>
        <w:overflowPunct/>
        <w:topLinePunct w:val="0"/>
        <w:autoSpaceDE w:val="0"/>
        <w:autoSpaceDN w:val="0"/>
        <w:bidi w:val="0"/>
        <w:adjustRightInd w:val="0"/>
        <w:snapToGrid/>
        <w:spacing w:line="360" w:lineRule="auto"/>
        <w:ind w:left="189" w:leftChars="0" w:hanging="189" w:hangingChars="90"/>
        <w:jc w:val="both"/>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ISO 3733:1999 Petroleum products and bituminous materials — Determination of water — Distillation method. Geneva: ISO, 1999.</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宋体" w:hAnsi="宋体" w:eastAsia="宋体"/>
          <w:sz w:val="28"/>
          <w:szCs w:val="28"/>
          <w:lang w:val="en-US" w:eastAsia="zh-CN"/>
        </w:rPr>
      </w:pPr>
    </w:p>
    <w:p>
      <w:pPr>
        <w:keepNext w:val="0"/>
        <w:keepLines w:val="0"/>
        <w:pageBreakBefore w:val="0"/>
        <w:widowControl w:val="0"/>
        <w:kinsoku/>
        <w:wordWrap/>
        <w:overflowPunct/>
        <w:topLinePunct w:val="0"/>
        <w:bidi w:val="0"/>
        <w:snapToGrid/>
        <w:spacing w:line="360" w:lineRule="auto"/>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F5F992"/>
    <w:multiLevelType w:val="singleLevel"/>
    <w:tmpl w:val="9AF5F992"/>
    <w:lvl w:ilvl="0" w:tentative="0">
      <w:start w:val="2"/>
      <w:numFmt w:val="chineseCounting"/>
      <w:suff w:val="nothing"/>
      <w:lvlText w:val="%1、"/>
      <w:lvlJc w:val="left"/>
      <w:rPr>
        <w:rFonts w:hint="eastAsia"/>
      </w:rPr>
    </w:lvl>
  </w:abstractNum>
  <w:abstractNum w:abstractNumId="1">
    <w:nsid w:val="9F724026"/>
    <w:multiLevelType w:val="singleLevel"/>
    <w:tmpl w:val="9F724026"/>
    <w:lvl w:ilvl="0" w:tentative="0">
      <w:start w:val="1"/>
      <w:numFmt w:val="decimal"/>
      <w:suff w:val="nothing"/>
      <w:lvlText w:val="（%1）"/>
      <w:lvlJc w:val="left"/>
    </w:lvl>
  </w:abstractNum>
  <w:abstractNum w:abstractNumId="2">
    <w:nsid w:val="A56ACF46"/>
    <w:multiLevelType w:val="singleLevel"/>
    <w:tmpl w:val="A56ACF46"/>
    <w:lvl w:ilvl="0" w:tentative="0">
      <w:start w:val="1"/>
      <w:numFmt w:val="decimal"/>
      <w:lvlText w:val="%1）"/>
      <w:lvlJc w:val="left"/>
      <w:pPr>
        <w:tabs>
          <w:tab w:val="left" w:pos="420"/>
        </w:tabs>
        <w:ind w:left="425" w:leftChars="0" w:hanging="425" w:firstLineChars="0"/>
      </w:pPr>
      <w:rPr>
        <w:rFonts w:hint="default"/>
      </w:rPr>
    </w:lvl>
  </w:abstractNum>
  <w:abstractNum w:abstractNumId="3">
    <w:nsid w:val="B2CB9604"/>
    <w:multiLevelType w:val="singleLevel"/>
    <w:tmpl w:val="B2CB9604"/>
    <w:lvl w:ilvl="0" w:tentative="0">
      <w:start w:val="1"/>
      <w:numFmt w:val="decimal"/>
      <w:suff w:val="nothing"/>
      <w:lvlText w:val="（%1）"/>
      <w:lvlJc w:val="left"/>
    </w:lvl>
  </w:abstractNum>
  <w:abstractNum w:abstractNumId="4">
    <w:nsid w:val="C8AFAC08"/>
    <w:multiLevelType w:val="singleLevel"/>
    <w:tmpl w:val="C8AFAC08"/>
    <w:lvl w:ilvl="0" w:tentative="0">
      <w:start w:val="1"/>
      <w:numFmt w:val="decimal"/>
      <w:lvlText w:val="%1）"/>
      <w:lvlJc w:val="left"/>
      <w:pPr>
        <w:tabs>
          <w:tab w:val="left" w:pos="420"/>
        </w:tabs>
        <w:ind w:left="425" w:leftChars="0" w:hanging="425" w:firstLineChars="0"/>
      </w:pPr>
      <w:rPr>
        <w:rFonts w:hint="default"/>
      </w:rPr>
    </w:lvl>
  </w:abstractNum>
  <w:abstractNum w:abstractNumId="5">
    <w:nsid w:val="CE89F3EB"/>
    <w:multiLevelType w:val="singleLevel"/>
    <w:tmpl w:val="CE89F3EB"/>
    <w:lvl w:ilvl="0" w:tentative="0">
      <w:start w:val="1"/>
      <w:numFmt w:val="decimal"/>
      <w:lvlText w:val="%1）"/>
      <w:lvlJc w:val="left"/>
      <w:pPr>
        <w:tabs>
          <w:tab w:val="left" w:pos="420"/>
        </w:tabs>
        <w:ind w:left="425" w:leftChars="0" w:hanging="425" w:firstLineChars="0"/>
      </w:pPr>
      <w:rPr>
        <w:rFonts w:hint="default"/>
      </w:rPr>
    </w:lvl>
  </w:abstractNum>
  <w:abstractNum w:abstractNumId="6">
    <w:nsid w:val="E1A33AAA"/>
    <w:multiLevelType w:val="singleLevel"/>
    <w:tmpl w:val="E1A33AAA"/>
    <w:lvl w:ilvl="0" w:tentative="0">
      <w:start w:val="1"/>
      <w:numFmt w:val="decimal"/>
      <w:lvlText w:val="%1）"/>
      <w:lvlJc w:val="left"/>
      <w:pPr>
        <w:tabs>
          <w:tab w:val="left" w:pos="420"/>
        </w:tabs>
        <w:ind w:left="425" w:leftChars="0" w:hanging="425" w:firstLineChars="0"/>
      </w:pPr>
      <w:rPr>
        <w:rFonts w:hint="default"/>
      </w:rPr>
    </w:lvl>
  </w:abstractNum>
  <w:abstractNum w:abstractNumId="7">
    <w:nsid w:val="E6CB39D1"/>
    <w:multiLevelType w:val="singleLevel"/>
    <w:tmpl w:val="E6CB39D1"/>
    <w:lvl w:ilvl="0" w:tentative="0">
      <w:start w:val="2"/>
      <w:numFmt w:val="decimal"/>
      <w:suff w:val="nothing"/>
      <w:lvlText w:val="（%1）"/>
      <w:lvlJc w:val="left"/>
    </w:lvl>
  </w:abstractNum>
  <w:abstractNum w:abstractNumId="8">
    <w:nsid w:val="E792E6CD"/>
    <w:multiLevelType w:val="singleLevel"/>
    <w:tmpl w:val="E792E6CD"/>
    <w:lvl w:ilvl="0" w:tentative="0">
      <w:start w:val="1"/>
      <w:numFmt w:val="decimal"/>
      <w:lvlText w:val="%1）"/>
      <w:lvlJc w:val="left"/>
      <w:pPr>
        <w:tabs>
          <w:tab w:val="left" w:pos="420"/>
        </w:tabs>
        <w:ind w:left="425" w:leftChars="0" w:hanging="425" w:firstLineChars="0"/>
      </w:pPr>
      <w:rPr>
        <w:rFonts w:hint="default"/>
      </w:rPr>
    </w:lvl>
  </w:abstractNum>
  <w:abstractNum w:abstractNumId="9">
    <w:nsid w:val="14D40E65"/>
    <w:multiLevelType w:val="singleLevel"/>
    <w:tmpl w:val="14D40E65"/>
    <w:lvl w:ilvl="0" w:tentative="0">
      <w:start w:val="1"/>
      <w:numFmt w:val="decimal"/>
      <w:lvlText w:val="[%1]"/>
      <w:lvlJc w:val="right"/>
      <w:pPr>
        <w:tabs>
          <w:tab w:val="left" w:pos="0"/>
        </w:tabs>
        <w:ind w:left="0" w:leftChars="0" w:firstLine="0" w:firstLineChars="0"/>
      </w:pPr>
      <w:rPr>
        <w:rFonts w:hint="default"/>
      </w:rPr>
    </w:lvl>
  </w:abstractNum>
  <w:abstractNum w:abstractNumId="10">
    <w:nsid w:val="249A127E"/>
    <w:multiLevelType w:val="singleLevel"/>
    <w:tmpl w:val="249A127E"/>
    <w:lvl w:ilvl="0" w:tentative="0">
      <w:start w:val="1"/>
      <w:numFmt w:val="decimal"/>
      <w:lvlText w:val="[%1]"/>
      <w:lvlJc w:val="right"/>
      <w:pPr>
        <w:tabs>
          <w:tab w:val="left" w:pos="0"/>
        </w:tabs>
        <w:ind w:left="0" w:leftChars="0" w:firstLine="0" w:firstLineChars="0"/>
      </w:pPr>
      <w:rPr>
        <w:rFonts w:hint="default"/>
      </w:rPr>
    </w:lvl>
  </w:abstractNum>
  <w:abstractNum w:abstractNumId="11">
    <w:nsid w:val="27192FE9"/>
    <w:multiLevelType w:val="singleLevel"/>
    <w:tmpl w:val="27192FE9"/>
    <w:lvl w:ilvl="0" w:tentative="0">
      <w:start w:val="1"/>
      <w:numFmt w:val="decimal"/>
      <w:suff w:val="nothing"/>
      <w:lvlText w:val="%1）"/>
      <w:lvlJc w:val="left"/>
    </w:lvl>
  </w:abstractNum>
  <w:abstractNum w:abstractNumId="12">
    <w:nsid w:val="4C2B8ED9"/>
    <w:multiLevelType w:val="singleLevel"/>
    <w:tmpl w:val="4C2B8ED9"/>
    <w:lvl w:ilvl="0" w:tentative="0">
      <w:start w:val="1"/>
      <w:numFmt w:val="decimal"/>
      <w:lvlText w:val="（%1）"/>
      <w:lvlJc w:val="left"/>
      <w:pPr>
        <w:tabs>
          <w:tab w:val="left" w:pos="420"/>
        </w:tabs>
        <w:ind w:left="425" w:leftChars="0" w:hanging="425" w:firstLineChars="0"/>
      </w:pPr>
      <w:rPr>
        <w:rFonts w:hint="default"/>
      </w:rPr>
    </w:lvl>
  </w:abstractNum>
  <w:abstractNum w:abstractNumId="13">
    <w:nsid w:val="547EAD90"/>
    <w:multiLevelType w:val="singleLevel"/>
    <w:tmpl w:val="547EAD90"/>
    <w:lvl w:ilvl="0" w:tentative="0">
      <w:start w:val="2"/>
      <w:numFmt w:val="decimal"/>
      <w:suff w:val="nothing"/>
      <w:lvlText w:val="%1、"/>
      <w:lvlJc w:val="left"/>
    </w:lvl>
  </w:abstractNum>
  <w:abstractNum w:abstractNumId="14">
    <w:nsid w:val="58A51115"/>
    <w:multiLevelType w:val="singleLevel"/>
    <w:tmpl w:val="58A51115"/>
    <w:lvl w:ilvl="0" w:tentative="0">
      <w:start w:val="2"/>
      <w:numFmt w:val="decimal"/>
      <w:suff w:val="nothing"/>
      <w:lvlText w:val="（%1）"/>
      <w:lvlJc w:val="left"/>
    </w:lvl>
  </w:abstractNum>
  <w:abstractNum w:abstractNumId="15">
    <w:nsid w:val="5F4B10C3"/>
    <w:multiLevelType w:val="singleLevel"/>
    <w:tmpl w:val="5F4B10C3"/>
    <w:lvl w:ilvl="0" w:tentative="0">
      <w:start w:val="2"/>
      <w:numFmt w:val="decimal"/>
      <w:suff w:val="nothing"/>
      <w:lvlText w:val="%1、"/>
      <w:lvlJc w:val="left"/>
    </w:lvl>
  </w:abstractNum>
  <w:num w:numId="1">
    <w:abstractNumId w:val="13"/>
  </w:num>
  <w:num w:numId="2">
    <w:abstractNumId w:val="1"/>
  </w:num>
  <w:num w:numId="3">
    <w:abstractNumId w:val="0"/>
  </w:num>
  <w:num w:numId="4">
    <w:abstractNumId w:val="3"/>
  </w:num>
  <w:num w:numId="5">
    <w:abstractNumId w:val="5"/>
  </w:num>
  <w:num w:numId="6">
    <w:abstractNumId w:val="6"/>
  </w:num>
  <w:num w:numId="7">
    <w:abstractNumId w:val="4"/>
  </w:num>
  <w:num w:numId="8">
    <w:abstractNumId w:val="8"/>
  </w:num>
  <w:num w:numId="9">
    <w:abstractNumId w:val="2"/>
  </w:num>
  <w:num w:numId="10">
    <w:abstractNumId w:val="11"/>
  </w:num>
  <w:num w:numId="11">
    <w:abstractNumId w:val="7"/>
  </w:num>
  <w:num w:numId="12">
    <w:abstractNumId w:val="15"/>
  </w:num>
  <w:num w:numId="13">
    <w:abstractNumId w:val="14"/>
  </w:num>
  <w:num w:numId="14">
    <w:abstractNumId w:val="12"/>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43"/>
    <w:rsid w:val="004C602C"/>
    <w:rsid w:val="006F045A"/>
    <w:rsid w:val="009F2B8E"/>
    <w:rsid w:val="00DC3043"/>
    <w:rsid w:val="02074E8B"/>
    <w:rsid w:val="033F1209"/>
    <w:rsid w:val="042D71F9"/>
    <w:rsid w:val="07797F74"/>
    <w:rsid w:val="077E1A2C"/>
    <w:rsid w:val="08F301FA"/>
    <w:rsid w:val="0AA03A6A"/>
    <w:rsid w:val="0CFD33F5"/>
    <w:rsid w:val="0DC237C2"/>
    <w:rsid w:val="0F517D31"/>
    <w:rsid w:val="0F827BE2"/>
    <w:rsid w:val="12D962CE"/>
    <w:rsid w:val="180C6BE2"/>
    <w:rsid w:val="1B5767D9"/>
    <w:rsid w:val="1C024667"/>
    <w:rsid w:val="1F3A4035"/>
    <w:rsid w:val="222B5EB7"/>
    <w:rsid w:val="22DC0E5B"/>
    <w:rsid w:val="22EA6701"/>
    <w:rsid w:val="23A81EB5"/>
    <w:rsid w:val="27514612"/>
    <w:rsid w:val="2A166164"/>
    <w:rsid w:val="304F1CF6"/>
    <w:rsid w:val="308109CF"/>
    <w:rsid w:val="32931F82"/>
    <w:rsid w:val="32DD65FC"/>
    <w:rsid w:val="33A53280"/>
    <w:rsid w:val="33F20621"/>
    <w:rsid w:val="351C2B6C"/>
    <w:rsid w:val="355C2EE9"/>
    <w:rsid w:val="37594291"/>
    <w:rsid w:val="381E409C"/>
    <w:rsid w:val="3AB74334"/>
    <w:rsid w:val="3CB70FF9"/>
    <w:rsid w:val="3FAE21A9"/>
    <w:rsid w:val="42CB3072"/>
    <w:rsid w:val="44550E45"/>
    <w:rsid w:val="4C1E0D80"/>
    <w:rsid w:val="4C4C7B57"/>
    <w:rsid w:val="4C6D12A7"/>
    <w:rsid w:val="4D714281"/>
    <w:rsid w:val="4E57204B"/>
    <w:rsid w:val="4F6A565C"/>
    <w:rsid w:val="52C2175F"/>
    <w:rsid w:val="541966E7"/>
    <w:rsid w:val="564055C8"/>
    <w:rsid w:val="57EF5966"/>
    <w:rsid w:val="587730B5"/>
    <w:rsid w:val="591A7788"/>
    <w:rsid w:val="59200B25"/>
    <w:rsid w:val="5D891708"/>
    <w:rsid w:val="5E6C3923"/>
    <w:rsid w:val="5FBD6E30"/>
    <w:rsid w:val="6106379C"/>
    <w:rsid w:val="63696F02"/>
    <w:rsid w:val="67160932"/>
    <w:rsid w:val="687F02CF"/>
    <w:rsid w:val="698740FE"/>
    <w:rsid w:val="726E07EC"/>
    <w:rsid w:val="7389563B"/>
    <w:rsid w:val="744419FD"/>
    <w:rsid w:val="75194ECA"/>
    <w:rsid w:val="76EA2DC0"/>
    <w:rsid w:val="7C353443"/>
    <w:rsid w:val="7CCF0A8E"/>
    <w:rsid w:val="7D4452C6"/>
    <w:rsid w:val="7D457A5A"/>
    <w:rsid w:val="7FA94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 w:type="paragraph" w:customStyle="1" w:styleId="9">
    <w:name w:val="一级条标题"/>
    <w:basedOn w:val="1"/>
    <w:next w:val="10"/>
    <w:qFormat/>
    <w:uiPriority w:val="0"/>
    <w:pPr>
      <w:widowControl/>
      <w:outlineLvl w:val="2"/>
    </w:pPr>
    <w:rPr>
      <w:rFonts w:ascii="黑体" w:hAnsi="Times New Roman" w:eastAsia="黑体" w:cs="Times New Roman"/>
      <w:kern w:val="0"/>
      <w:szCs w:val="20"/>
    </w:rPr>
  </w:style>
  <w:style w:type="paragraph" w:customStyle="1" w:styleId="10">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47</Pages>
  <Words>21587</Words>
  <Characters>35386</Characters>
  <Lines>1</Lines>
  <Paragraphs>1</Paragraphs>
  <TotalTime>7</TotalTime>
  <ScaleCrop>false</ScaleCrop>
  <LinksUpToDate>false</LinksUpToDate>
  <CharactersWithSpaces>38023</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2021-07-27T03:38:00Z</dcterms:created>
  <dc:creator>China</dc:creator>
  <cp:lastModifiedBy>1</cp:lastModifiedBy>
  <dcterms:modified xsi:type="dcterms:W3CDTF">2026-06-05T09:50:53Z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F46869B191504FC49A4ED61342072340_13</vt:lpwstr>
  </property>
  <property fmtid="{D5CDD505-2E9C-101B-9397-08002B2CF9AE}" pid="4" name="KSOTemplateDocerSaveRecord">
    <vt:lpwstr>eyJoZGlkIjoiZDE0OGFiY2IyOGFkZjVmZjAyOTAyMjE0ZTMxNDFkNWYiLCJ1c2VySWQiOiIzNDA4Njg4NjMifQ==</vt:lpwstr>
  </property>
</Properties>
</file>