
<file path=[Content_Types].xml><?xml version="1.0" encoding="utf-8"?>
<Types xmlns="http://schemas.openxmlformats.org/package/2006/content-types">
  <Default Extension="xml" ContentType="application/xml"/>
  <Default Extension="bin" ContentType="application/vnd.openxmlformats-officedocument.oleObject"/>
  <Default Extension="wmf" ContentType="image/x-wmf"/>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val="0"/>
        <w:autoSpaceDN w:val="0"/>
        <w:bidi w:val="0"/>
        <w:adjustRightInd w:val="0"/>
        <w:snapToGrid/>
        <w:spacing w:before="157" w:beforeLines="50" w:after="157" w:afterLines="50" w:line="360" w:lineRule="auto"/>
        <w:jc w:val="center"/>
        <w:textAlignment w:val="auto"/>
        <w:rPr>
          <w:rFonts w:hint="eastAsia" w:ascii="黑体" w:hAnsi="黑体" w:eastAsia="黑体"/>
          <w:b w:val="0"/>
          <w:bCs w:val="0"/>
          <w:sz w:val="30"/>
          <w:szCs w:val="30"/>
          <w:lang w:val="en-US" w:eastAsia="zh-CN"/>
        </w:rPr>
      </w:pPr>
      <w:r>
        <w:rPr>
          <w:rFonts w:hint="eastAsia" w:ascii="黑体" w:hAnsi="黑体" w:eastAsia="黑体"/>
          <w:b w:val="0"/>
          <w:bCs w:val="0"/>
          <w:sz w:val="30"/>
          <w:szCs w:val="30"/>
          <w:lang w:eastAsia="zh-CN"/>
        </w:rPr>
        <w:t>《</w:t>
      </w:r>
      <w:r>
        <w:rPr>
          <w:rFonts w:hint="eastAsia" w:ascii="黑体" w:hAnsi="黑体" w:eastAsia="黑体"/>
          <w:b w:val="0"/>
          <w:bCs w:val="0"/>
          <w:sz w:val="30"/>
          <w:szCs w:val="30"/>
        </w:rPr>
        <w:t>原位热解模拟法测定富油煤焦油产率技术规范</w:t>
      </w:r>
      <w:r>
        <w:rPr>
          <w:rFonts w:hint="eastAsia" w:ascii="黑体" w:hAnsi="黑体" w:eastAsia="黑体"/>
          <w:b w:val="0"/>
          <w:bCs w:val="0"/>
          <w:sz w:val="30"/>
          <w:szCs w:val="30"/>
          <w:lang w:eastAsia="zh-CN"/>
        </w:rPr>
        <w:t>》（</w:t>
      </w:r>
      <w:r>
        <w:rPr>
          <w:rFonts w:hint="eastAsia" w:ascii="黑体" w:hAnsi="黑体" w:eastAsia="黑体"/>
          <w:b w:val="0"/>
          <w:bCs w:val="0"/>
          <w:sz w:val="30"/>
          <w:szCs w:val="30"/>
        </w:rPr>
        <w:t>征求意见</w:t>
      </w:r>
      <w:r>
        <w:rPr>
          <w:rFonts w:hint="eastAsia" w:ascii="黑体" w:hAnsi="黑体" w:eastAsia="黑体"/>
          <w:b w:val="0"/>
          <w:bCs w:val="0"/>
          <w:sz w:val="30"/>
          <w:szCs w:val="30"/>
          <w:lang w:val="en-US" w:eastAsia="zh-CN"/>
        </w:rPr>
        <w:t>稿）</w:t>
      </w:r>
      <w:bookmarkStart w:id="0" w:name="_GoBack"/>
      <w:bookmarkEnd w:id="0"/>
    </w:p>
    <w:p>
      <w:pPr>
        <w:keepNext w:val="0"/>
        <w:keepLines w:val="0"/>
        <w:pageBreakBefore w:val="0"/>
        <w:widowControl w:val="0"/>
        <w:kinsoku/>
        <w:wordWrap/>
        <w:overflowPunct/>
        <w:topLinePunct w:val="0"/>
        <w:autoSpaceDE w:val="0"/>
        <w:autoSpaceDN w:val="0"/>
        <w:bidi w:val="0"/>
        <w:adjustRightInd w:val="0"/>
        <w:snapToGrid/>
        <w:spacing w:before="157" w:beforeLines="50" w:after="157" w:afterLines="50" w:line="360" w:lineRule="auto"/>
        <w:jc w:val="center"/>
        <w:textAlignment w:val="auto"/>
        <w:rPr>
          <w:rFonts w:ascii="黑体" w:hAnsi="黑体" w:eastAsia="黑体"/>
          <w:b w:val="0"/>
          <w:bCs w:val="0"/>
          <w:sz w:val="30"/>
          <w:szCs w:val="30"/>
        </w:rPr>
      </w:pPr>
      <w:r>
        <w:rPr>
          <w:rFonts w:hint="eastAsia" w:ascii="黑体" w:hAnsi="黑体" w:eastAsia="黑体"/>
          <w:b w:val="0"/>
          <w:bCs w:val="0"/>
          <w:sz w:val="30"/>
          <w:szCs w:val="30"/>
        </w:rPr>
        <w:t>编制说明</w:t>
      </w:r>
    </w:p>
    <w:p>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left"/>
        <w:textAlignment w:val="auto"/>
        <w:rPr>
          <w:rFonts w:ascii="宋体" w:hAnsi="宋体" w:eastAsia="宋体"/>
          <w:sz w:val="28"/>
          <w:szCs w:val="28"/>
        </w:rPr>
      </w:pPr>
      <w:r>
        <w:rPr>
          <w:rFonts w:ascii="宋体" w:hAnsi="宋体" w:eastAsia="宋体"/>
          <w:sz w:val="28"/>
          <w:szCs w:val="28"/>
        </w:rPr>
        <w:t>一、工作简况</w:t>
      </w:r>
    </w:p>
    <w:p>
      <w:pPr>
        <w:keepNext w:val="0"/>
        <w:keepLines w:val="0"/>
        <w:pageBreakBefore w:val="0"/>
        <w:widowControl w:val="0"/>
        <w:kinsoku/>
        <w:wordWrap/>
        <w:overflowPunct/>
        <w:topLinePunct w:val="0"/>
        <w:autoSpaceDE w:val="0"/>
        <w:autoSpaceDN w:val="0"/>
        <w:bidi w:val="0"/>
        <w:adjustRightInd w:val="0"/>
        <w:snapToGrid/>
        <w:spacing w:before="157" w:beforeLines="50" w:after="157" w:afterLines="50" w:line="360" w:lineRule="auto"/>
        <w:ind w:firstLine="0" w:firstLineChars="0"/>
        <w:jc w:val="left"/>
        <w:textAlignment w:val="auto"/>
        <w:rPr>
          <w:rFonts w:hint="eastAsia" w:ascii="宋体" w:hAnsi="宋体" w:eastAsia="宋体"/>
          <w:b/>
          <w:bCs/>
          <w:sz w:val="24"/>
          <w:szCs w:val="24"/>
          <w:lang w:val="en-US" w:eastAsia="zh-CN"/>
        </w:rPr>
      </w:pPr>
      <w:r>
        <w:rPr>
          <w:rFonts w:hint="eastAsia" w:ascii="宋体" w:hAnsi="宋体" w:eastAsia="宋体"/>
          <w:b/>
          <w:bCs/>
          <w:sz w:val="24"/>
          <w:szCs w:val="24"/>
          <w:lang w:val="en-US" w:eastAsia="zh-CN"/>
        </w:rPr>
        <w:t>1、编制意义</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2025年5月，国务院发布的新时代的中国国家安全白皮书中明确强调，要确保能源和重要资源安全，建立多元供应体系，抑制不合理能源消费，保持能源供需总体平衡，推动能源体制改革和技术创新，全方位加强国际合作，实现开放条件下的能源安全。然而，由于我们国家的能源禀赋富煤、贫油、少气，这就导致了我们国家需要从国外进口大量的石油和天然气资源，近年来，我国原油和天然气的对外依存度分别维持在70%和40%以上，这种油气资源的高对外依存度已成为威胁我国国家能源安全的一个关键因素。</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相比于我们国家的油气资源来说，我国煤炭资源丰富，其中富油煤通过热解可以产生煤焦油、热解气和半焦等成分，煤焦油加工后可代替汽油等液体燃料，尤其是在军用航空燃油方面，具有很大潜力。热解气包含氢气、重烃气等组分，是很好的气体燃料和化工原料。半焦成分与无烟煤相近且燃烧性更好。这表明，富油煤除了具有煤的资源属性外，还具备良好的油气资源属性。更为可观的是，富有煤资源，在我国西部地区，十分丰富，在陕西，新疆等地区有大量分布。据初步调查显示，陕西，新疆，内蒙，甘肃，宁夏五省区的富油煤总资源量就达到5000亿吨，其中，潜在的油气资源量约500亿吨，气资源量约75万亿立方米，经合理开发利用后，可有效补充我国油气资源缺口。</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传统的地面富油煤利用技术，首先要将富油煤采集到地面，在热解炉中对其进行热解制油，该技术已较为成熟。然而，传统的地面煤制油技术会导致严重的环境污染和资源利用低下的问题。例如，在挖掘过程中，会消耗掉大量能源与采矿成本；挖掘过程中造成大量的地表环境破坏及地下水位下降；挖掘后在热气炉中进行热解，产生大量污染物，释放到大气中并产生大量废水；热解制油后的残留物以半焦为主，半焦的需求量远不能满足生产规模增长，导致半焦长期堆放，进而造成地面环境污染，甚至有可能发生渗漏，污染地下水；地面热解以粉煤为主，造成热解产物中煤尘的存在，增加了热结产物三项分离的难度。尤其是考虑到我国的富有煤资源多集中在西部，而西部地区面临着水资源短缺，生态环境脆弱，运输成本高昂，地表污染治理难度大等等问题，进一步放大了利用传统地面热接方法开发西部富油煤的难度。</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富油煤底下原位热解技术，是将富油煤直接在地下通过外部热载体传递热量进行加热，从而生成小分子油气组分所得油气产物，通过采集井导出地面进行分离及深加工的开发技术，规避了大量半焦堆放，大面积地面破坏等问题，既减少了对地表的扰动，又显著降低了工艺过程中的碳排放，是适合西部富油煤资源开发的新途径。</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然而，现有煤的焦油产率测定方法并不能满足地下原位热解的需要，不管是现行的国标煤的格金低温干馏实验方法还是煤的铝甑低温干馏实验方法，均未充分考虑地下原位热检所面临的条件。现行的这两种方法都只考虑了温度，在其中发挥的作用，而没有涉及到压力气氛，煤样尺寸等变量对热解的影响。而实际上地下原位热键，需要考虑的条件更为复杂，不仅需要考虑温度的影响，还需要考虑煤层在地下所受到的压力，应力条件，注入气体氛围条件，以及煤层尺度的转热传质条件。现有研究已经表明，在这些条件的加持下，原位热解与传统地面热解的结果是有明显差异的。从产物构成上来说，地应力的升高降低了煤炭渗透率，导致焦油的二次反应加剧，生成了更多的半焦和气体。但从焦油品质上来说，低应力反而促进了焦油品质向轻质化提升，其中轻质芳烃的含量明显增加。气体成分中氢气的占比也明显高于传统的地面热解。这说明，采用现有方法测定富油煤热解产物，会不可避免的与地下热点生产实际造成偏差，因此，制定富油煤原位热解相关标准是十分必要的。</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而且由于在陕西的富油煤地下原为热解先导实验已取得了成效，预示着该产业在未来会有快速的发展，也急需我们出台相关标准规范。通过这种原味热解测定方法，能够更准确的预测富油煤原位热解焦油产率，这将更有利于我们从煤质角度进行地下原位热解的选址评价，也有助于探索优化热解条件，形成最优工艺体系。甚至通过调节产品组成，实现产出效益的最大化。吸引资本投入该领域推动该领域的进一步发展。</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基于此背景，我们拟开展《原位热解模拟法测定富油煤焦油产率技术规范》团体标准的起草与制定工作，旨在通过此标准填补富油煤原位热解领域的标准空白，为行业发展提供一份细致，专业的服务指南。切实服务煤机油气资源产业的生产，保障生产效率和产品质量，助推行业高质量发展。同时，这也符合国家在煤炭清洁高效利用，加快煤制油气战略基地建设，加强煤制油气等产能和技术储备等要求，是充分发挥煤炭兜底膨胀作用，促进能源绿色低碳转型，推动实现碳达峰碳中和目标的有效途径。</w:t>
      </w:r>
    </w:p>
    <w:p>
      <w:pPr>
        <w:keepNext w:val="0"/>
        <w:keepLines w:val="0"/>
        <w:pageBreakBefore w:val="0"/>
        <w:widowControl w:val="0"/>
        <w:numPr>
          <w:ilvl w:val="0"/>
          <w:numId w:val="1"/>
        </w:numPr>
        <w:kinsoku/>
        <w:wordWrap/>
        <w:overflowPunct/>
        <w:topLinePunct w:val="0"/>
        <w:autoSpaceDE w:val="0"/>
        <w:autoSpaceDN w:val="0"/>
        <w:bidi w:val="0"/>
        <w:adjustRightInd w:val="0"/>
        <w:snapToGrid/>
        <w:spacing w:before="157" w:beforeLines="50" w:after="157" w:afterLines="50" w:line="360" w:lineRule="auto"/>
        <w:ind w:firstLine="0" w:firstLineChars="0"/>
        <w:jc w:val="left"/>
        <w:textAlignment w:val="auto"/>
        <w:rPr>
          <w:rFonts w:hint="eastAsia" w:ascii="宋体" w:hAnsi="宋体" w:eastAsia="宋体"/>
          <w:b/>
          <w:bCs/>
          <w:sz w:val="24"/>
          <w:szCs w:val="24"/>
          <w:lang w:val="en-US" w:eastAsia="zh-CN"/>
        </w:rPr>
      </w:pPr>
      <w:r>
        <w:rPr>
          <w:rFonts w:hint="eastAsia" w:ascii="宋体" w:hAnsi="宋体" w:eastAsia="宋体"/>
          <w:b/>
          <w:bCs/>
          <w:sz w:val="24"/>
          <w:szCs w:val="24"/>
          <w:lang w:val="en-US" w:eastAsia="zh-CN"/>
        </w:rPr>
        <w:t>编制依据</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before="157" w:beforeLines="50" w:after="157" w:afterLines="50" w:line="360" w:lineRule="auto"/>
        <w:jc w:val="left"/>
        <w:textAlignment w:val="auto"/>
        <w:rPr>
          <w:rFonts w:hint="eastAsia" w:ascii="宋体" w:hAnsi="宋体" w:eastAsia="宋体"/>
          <w:b/>
          <w:bCs/>
          <w:sz w:val="24"/>
          <w:szCs w:val="24"/>
          <w:lang w:val="en-US" w:eastAsia="zh-CN"/>
        </w:rPr>
      </w:pPr>
      <w:r>
        <w:rPr>
          <w:rFonts w:hint="eastAsia" w:ascii="宋体" w:hAnsi="宋体" w:eastAsia="宋体"/>
          <w:b/>
          <w:bCs/>
          <w:sz w:val="24"/>
          <w:szCs w:val="24"/>
          <w:lang w:val="en-US" w:eastAsia="zh-CN"/>
        </w:rPr>
        <w:t>2.1 理论依据</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富油煤作为一种特殊煤种，其本质是一种基于特殊化学结构和资源潜力重新定义的煤炭资源。它集煤、油、气属性于一体，被定义为“煤基油气资源”，核心区别在于富含以脂肪结构为主的“富氢结构”，使其可通过中低温热解直接产出油气。我国富油煤资源分布具有鲜明的地域集中性和时代指向性。地域上，富油煤资源高度集中于西北地区，主要分布在陕西、内蒙古、新疆、宁夏、甘肃五省（区）。初步估算总资源量约5000-5500亿吨，潜在油资源量约500亿吨，气资源量约75万亿立方米。时代上，我国富油煤成煤时代以早、中侏罗世为主，其次为晚三叠世和晚石炭世-早二叠世。陕北侏罗纪煤田（神府、榆神、榆横等矿区）延安组煤层、陕北三叠纪煤田（子长矿区，瓦窑堡组）和石炭-二叠纪煤田（府谷、古城矿区）、宁东煤田（红墩子矿区）石炭-二叠纪煤层、新疆三塘湖盆地八道湾组煤层及吐哈盆地西山窑组煤层为我国富油煤主要富集区。</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default" w:ascii="宋体" w:hAnsi="宋体" w:eastAsia="宋体"/>
          <w:b w:val="0"/>
          <w:bCs w:val="0"/>
          <w:sz w:val="24"/>
          <w:szCs w:val="24"/>
          <w:lang w:val="en-US" w:eastAsia="zh-CN"/>
        </w:rPr>
        <w:t>富油煤的形成是特定地质条件下，有机质多期演化的综合结果。</w:t>
      </w:r>
      <w:r>
        <w:rPr>
          <w:rFonts w:hint="eastAsia" w:ascii="宋体" w:hAnsi="宋体" w:eastAsia="宋体"/>
          <w:b w:val="0"/>
          <w:bCs w:val="0"/>
          <w:sz w:val="24"/>
          <w:szCs w:val="24"/>
          <w:lang w:val="en-US" w:eastAsia="zh-CN"/>
        </w:rPr>
        <w:t>沉积环境是富油煤形成与富集的最核心的控制因素之一，决定了同煤级煤含油性的差异。深覆水、强还原性、低水动力的滨浅湖或深水沼泽环境最有利于富油煤的形成，还原环境促进凝胶化作用，形成富氢镜质体；低水动力和低陆源碎屑输入利于富氢有机质富集。富氢组分是生油的直接物质来源。镜质组，特别是富氢镜质体和类脂组含量与焦油产率呈显著正相关，而惰质组含量高则不利。有机质经煤的成岩作用和变质作用，在地热和压力作用下压实、脱水、固结，形成低阶煤。在此过程中，热演化程度是核心控制因素，焦油产率随煤化程度升高呈现“先增加后减少”的趋势。焦油产率峰值通常出现在镜质体反射率为0.6%至0.9%的中低变质阶段，过高的热演化会破坏生油结构，导致富油性降低。例如，鄂尔多斯盆地陕北侏罗纪煤田的富油煤形成于滨浅湖强还原环境；新疆三塘湖盆地的富油煤富集于盆地边缘的强还原滨浅湖相，并在镜质体反射率0.67%时出现产率峰值；宁东石炭-二叠系富油煤则受煤化程度和沉积还原环境共同控制。富油煤显微组分通常以镜质组为主，惰质组次之，壳质组较少。镜质组含量，尤其是富氢镜质体含量和凝胶化指数与焦油产率呈正相关；惰质组含量、植物保存指数和植被指数与之呈负相关。富油煤氯仿沥青“A”抽提率较高，如陕北侏罗纪煤平均0.77%，属于好-很好的烃源岩。镜质体反射率结果表明富油煤处于低熟-成熟阶段，正处于生油有利窗。有机质主要来源于陆生高等植物，并有水生生物混入。饱和烃呈单峰或双峰型分布；甾烷中以C28和C29规则甾烷及重排甾烷为主。</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default" w:ascii="宋体" w:hAnsi="宋体" w:eastAsia="宋体"/>
          <w:b w:val="0"/>
          <w:bCs w:val="0"/>
          <w:sz w:val="24"/>
          <w:szCs w:val="24"/>
          <w:lang w:val="en-US" w:eastAsia="zh-CN"/>
        </w:rPr>
        <w:t>富油煤热解是一个受温度驱动的复杂过程，其核心机理是在隔绝空气条件下，煤中富含的脂肪侧链、桥键等富氢结构发生断裂，生成焦油、煤气和半焦。过程可分为三个阶段：低温时（&lt;300℃）水分蒸发和气体脱附；中温段（300-650℃）为反应主阶段，化学键大量断裂，焦油产率在500℃左右达峰，同时煤体孔隙从以中孔为主转变为微孔显著增多，裂隙网络发育；高温段（&gt;650℃）则发生焦油二次裂解和缩聚反应，产生更多氢气。</w:t>
      </w:r>
      <w:r>
        <w:rPr>
          <w:rFonts w:hint="eastAsia" w:ascii="宋体" w:hAnsi="宋体" w:eastAsia="宋体"/>
          <w:b w:val="0"/>
          <w:bCs w:val="0"/>
          <w:sz w:val="24"/>
          <w:szCs w:val="24"/>
          <w:lang w:val="en-US" w:eastAsia="zh-CN"/>
        </w:rPr>
        <w:t>具体来说，室温至300–350℃为干燥脱气阶段，该阶段以物理变化为主，煤中游离水、吸附水蒸发，孔隙中吸附的少量气体脱附析出；只有轻微化学反应，如部分结合水脱除，含氧官能团开始分解，释放CO</w:t>
      </w:r>
      <w:r>
        <w:rPr>
          <w:rFonts w:hint="eastAsia" w:ascii="宋体" w:hAnsi="宋体" w:eastAsia="宋体"/>
          <w:b w:val="0"/>
          <w:bCs w:val="0"/>
          <w:sz w:val="24"/>
          <w:szCs w:val="24"/>
          <w:vertAlign w:val="subscript"/>
          <w:lang w:val="en-US" w:eastAsia="zh-CN"/>
        </w:rPr>
        <w:t>2</w:t>
      </w:r>
      <w:r>
        <w:rPr>
          <w:rFonts w:hint="eastAsia" w:ascii="宋体" w:hAnsi="宋体" w:eastAsia="宋体"/>
          <w:b w:val="0"/>
          <w:bCs w:val="0"/>
          <w:sz w:val="24"/>
          <w:szCs w:val="24"/>
          <w:lang w:val="en-US" w:eastAsia="zh-CN"/>
        </w:rPr>
        <w:t>等；煤体结构变化小，宏观形态基本保持完整，孔隙结构变化不明显，裂隙开始生成。300–350℃至550–650℃为剧烈热解阶段，煤中大量不稳定化学键，如脂肪侧链、桥键、含氧/含硫官能团，发生断裂，生成自由基碎片；焦油在450–550℃左右产率达到峰值，主要由中等分子量的芳香烃、酚类、脂肪烃组成；煤气包括CH</w:t>
      </w:r>
      <w:r>
        <w:rPr>
          <w:rFonts w:hint="eastAsia" w:ascii="宋体" w:hAnsi="宋体" w:eastAsia="宋体"/>
          <w:b w:val="0"/>
          <w:bCs w:val="0"/>
          <w:sz w:val="24"/>
          <w:szCs w:val="24"/>
          <w:vertAlign w:val="subscript"/>
          <w:lang w:val="en-US" w:eastAsia="zh-CN"/>
        </w:rPr>
        <w:t>4</w:t>
      </w:r>
      <w:r>
        <w:rPr>
          <w:rFonts w:hint="eastAsia" w:ascii="宋体" w:hAnsi="宋体" w:eastAsia="宋体"/>
          <w:b w:val="0"/>
          <w:bCs w:val="0"/>
          <w:sz w:val="24"/>
          <w:szCs w:val="24"/>
          <w:lang w:val="en-US" w:eastAsia="zh-CN"/>
        </w:rPr>
        <w:t>、CO、CO</w:t>
      </w:r>
      <w:r>
        <w:rPr>
          <w:rFonts w:hint="eastAsia" w:ascii="宋体" w:hAnsi="宋体" w:eastAsia="宋体"/>
          <w:b w:val="0"/>
          <w:bCs w:val="0"/>
          <w:sz w:val="24"/>
          <w:szCs w:val="24"/>
          <w:vertAlign w:val="subscript"/>
          <w:lang w:val="en-US" w:eastAsia="zh-CN"/>
        </w:rPr>
        <w:t>2</w:t>
      </w:r>
      <w:r>
        <w:rPr>
          <w:rFonts w:hint="eastAsia" w:ascii="宋体" w:hAnsi="宋体" w:eastAsia="宋体"/>
          <w:b w:val="0"/>
          <w:bCs w:val="0"/>
          <w:sz w:val="24"/>
          <w:szCs w:val="24"/>
          <w:lang w:val="en-US" w:eastAsia="zh-CN"/>
        </w:rPr>
        <w:t>、C</w:t>
      </w:r>
      <w:r>
        <w:rPr>
          <w:rFonts w:hint="eastAsia" w:ascii="宋体" w:hAnsi="宋体" w:eastAsia="宋体"/>
          <w:b w:val="0"/>
          <w:bCs w:val="0"/>
          <w:sz w:val="24"/>
          <w:szCs w:val="24"/>
          <w:vertAlign w:val="subscript"/>
          <w:lang w:val="en-US" w:eastAsia="zh-CN"/>
        </w:rPr>
        <w:t>2</w:t>
      </w:r>
      <w:r>
        <w:rPr>
          <w:rFonts w:hint="eastAsia" w:ascii="宋体" w:hAnsi="宋体" w:eastAsia="宋体"/>
          <w:b w:val="0"/>
          <w:bCs w:val="0"/>
          <w:sz w:val="24"/>
          <w:szCs w:val="24"/>
          <w:lang w:val="en-US" w:eastAsia="zh-CN"/>
        </w:rPr>
        <w:t>+烃类气体产量显著增加，H</w:t>
      </w:r>
      <w:r>
        <w:rPr>
          <w:rFonts w:hint="eastAsia" w:ascii="宋体" w:hAnsi="宋体" w:eastAsia="宋体"/>
          <w:b w:val="0"/>
          <w:bCs w:val="0"/>
          <w:sz w:val="24"/>
          <w:szCs w:val="24"/>
          <w:vertAlign w:val="subscript"/>
          <w:lang w:val="en-US" w:eastAsia="zh-CN"/>
        </w:rPr>
        <w:t>2</w:t>
      </w:r>
      <w:r>
        <w:rPr>
          <w:rFonts w:hint="eastAsia" w:ascii="宋体" w:hAnsi="宋体" w:eastAsia="宋体"/>
          <w:b w:val="0"/>
          <w:bCs w:val="0"/>
          <w:sz w:val="24"/>
          <w:szCs w:val="24"/>
          <w:lang w:val="en-US" w:eastAsia="zh-CN"/>
        </w:rPr>
        <w:t>开始生成；煤体结构发生剧烈变化，微孔显著增加，裂隙网络扩展贯通，煤体发生膨胀；黏结性富油煤煤体软化、熔融，形成气-液-固三相共存的胶质。550–650℃以上为二次脱气与缩聚阶段，已生成的焦油发生二次裂解、芳构化、缩聚反应，生成更多小分子气体和稠环芳烃；残留固体中有机质进一步缩聚，芳香结构有序化，形成半焦；孔隙继续发育但速率减缓，煤体收缩，裂隙开度增大，结构完整性降低。</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富油煤热解的本质是煤分子中弱键的断裂和自由基反应，低温区含氧官能团羧基、羰基等断裂，释放CO</w:t>
      </w:r>
      <w:r>
        <w:rPr>
          <w:rFonts w:hint="eastAsia" w:ascii="宋体" w:hAnsi="宋体" w:eastAsia="宋体"/>
          <w:b w:val="0"/>
          <w:bCs w:val="0"/>
          <w:sz w:val="24"/>
          <w:szCs w:val="24"/>
          <w:vertAlign w:val="subscript"/>
          <w:lang w:val="en-US" w:eastAsia="zh-CN"/>
        </w:rPr>
        <w:t>2</w:t>
      </w:r>
      <w:r>
        <w:rPr>
          <w:rFonts w:hint="eastAsia" w:ascii="宋体" w:hAnsi="宋体" w:eastAsia="宋体"/>
          <w:b w:val="0"/>
          <w:bCs w:val="0"/>
          <w:sz w:val="24"/>
          <w:szCs w:val="24"/>
          <w:lang w:val="en-US" w:eastAsia="zh-CN"/>
        </w:rPr>
        <w:t>、CO、H</w:t>
      </w:r>
      <w:r>
        <w:rPr>
          <w:rFonts w:hint="eastAsia" w:ascii="宋体" w:hAnsi="宋体" w:eastAsia="宋体"/>
          <w:b w:val="0"/>
          <w:bCs w:val="0"/>
          <w:sz w:val="24"/>
          <w:szCs w:val="24"/>
          <w:vertAlign w:val="subscript"/>
          <w:lang w:val="en-US" w:eastAsia="zh-CN"/>
        </w:rPr>
        <w:t>2</w:t>
      </w:r>
      <w:r>
        <w:rPr>
          <w:rFonts w:hint="eastAsia" w:ascii="宋体" w:hAnsi="宋体" w:eastAsia="宋体"/>
          <w:b w:val="0"/>
          <w:bCs w:val="0"/>
          <w:sz w:val="24"/>
          <w:szCs w:val="24"/>
          <w:lang w:val="en-US" w:eastAsia="zh-CN"/>
        </w:rPr>
        <w:t>O。中温区脂肪侧链（-CH</w:t>
      </w:r>
      <w:r>
        <w:rPr>
          <w:rFonts w:hint="eastAsia" w:ascii="宋体" w:hAnsi="宋体" w:eastAsia="宋体"/>
          <w:b w:val="0"/>
          <w:bCs w:val="0"/>
          <w:sz w:val="24"/>
          <w:szCs w:val="24"/>
          <w:vertAlign w:val="subscript"/>
          <w:lang w:val="en-US" w:eastAsia="zh-CN"/>
        </w:rPr>
        <w:t>3</w:t>
      </w:r>
      <w:r>
        <w:rPr>
          <w:rFonts w:hint="eastAsia" w:ascii="宋体" w:hAnsi="宋体" w:eastAsia="宋体"/>
          <w:b w:val="0"/>
          <w:bCs w:val="0"/>
          <w:sz w:val="24"/>
          <w:szCs w:val="24"/>
          <w:lang w:val="en-US" w:eastAsia="zh-CN"/>
        </w:rPr>
        <w:t>、-CH</w:t>
      </w:r>
      <w:r>
        <w:rPr>
          <w:rFonts w:hint="eastAsia" w:ascii="宋体" w:hAnsi="宋体" w:eastAsia="宋体"/>
          <w:b w:val="0"/>
          <w:bCs w:val="0"/>
          <w:sz w:val="24"/>
          <w:szCs w:val="24"/>
          <w:vertAlign w:val="subscript"/>
          <w:lang w:val="en-US" w:eastAsia="zh-CN"/>
        </w:rPr>
        <w:t>2</w:t>
      </w:r>
      <w:r>
        <w:rPr>
          <w:rFonts w:hint="eastAsia" w:ascii="宋体" w:hAnsi="宋体" w:eastAsia="宋体"/>
          <w:b w:val="0"/>
          <w:bCs w:val="0"/>
          <w:sz w:val="24"/>
          <w:szCs w:val="24"/>
          <w:lang w:val="en-US" w:eastAsia="zh-CN"/>
        </w:rPr>
        <w:t>-）和脂肪桥键断裂，生成CH</w:t>
      </w:r>
      <w:r>
        <w:rPr>
          <w:rFonts w:hint="eastAsia" w:ascii="宋体" w:hAnsi="宋体" w:eastAsia="宋体"/>
          <w:b w:val="0"/>
          <w:bCs w:val="0"/>
          <w:sz w:val="24"/>
          <w:szCs w:val="24"/>
          <w:vertAlign w:val="subscript"/>
          <w:lang w:val="en-US" w:eastAsia="zh-CN"/>
        </w:rPr>
        <w:t>4</w:t>
      </w:r>
      <w:r>
        <w:rPr>
          <w:rFonts w:hint="eastAsia" w:ascii="宋体" w:hAnsi="宋体" w:eastAsia="宋体"/>
          <w:b w:val="0"/>
          <w:bCs w:val="0"/>
          <w:sz w:val="24"/>
          <w:szCs w:val="24"/>
          <w:lang w:val="en-US" w:eastAsia="zh-CN"/>
        </w:rPr>
        <w:t>、C</w:t>
      </w:r>
      <w:r>
        <w:rPr>
          <w:rFonts w:hint="eastAsia" w:ascii="宋体" w:hAnsi="宋体" w:eastAsia="宋体"/>
          <w:b w:val="0"/>
          <w:bCs w:val="0"/>
          <w:sz w:val="24"/>
          <w:szCs w:val="24"/>
          <w:vertAlign w:val="subscript"/>
          <w:lang w:val="en-US" w:eastAsia="zh-CN"/>
        </w:rPr>
        <w:t>2</w:t>
      </w:r>
      <w:r>
        <w:rPr>
          <w:rFonts w:hint="eastAsia" w:ascii="宋体" w:hAnsi="宋体" w:eastAsia="宋体"/>
          <w:b w:val="0"/>
          <w:bCs w:val="0"/>
          <w:sz w:val="24"/>
          <w:szCs w:val="24"/>
          <w:lang w:val="en-US" w:eastAsia="zh-CN"/>
        </w:rPr>
        <w:t>+烷烃、脂肪烃焦油组分；醚键（-O-）、硫键断裂，释放CO、含硫气体；弱芳香侧链断裂，生成酚类、轻质芳香油。高温区芳香稠环侧链进一步断裂，增加气体产率；焦油通过脱烷基、芳构化二次裂解，生成轻质芳烃和H</w:t>
      </w:r>
      <w:r>
        <w:rPr>
          <w:rFonts w:hint="eastAsia" w:ascii="宋体" w:hAnsi="宋体" w:eastAsia="宋体"/>
          <w:b w:val="0"/>
          <w:bCs w:val="0"/>
          <w:sz w:val="24"/>
          <w:szCs w:val="24"/>
          <w:vertAlign w:val="subscript"/>
          <w:lang w:val="en-US" w:eastAsia="zh-CN"/>
        </w:rPr>
        <w:t>2</w:t>
      </w:r>
      <w:r>
        <w:rPr>
          <w:rFonts w:hint="eastAsia" w:ascii="宋体" w:hAnsi="宋体" w:eastAsia="宋体"/>
          <w:b w:val="0"/>
          <w:bCs w:val="0"/>
          <w:sz w:val="24"/>
          <w:szCs w:val="24"/>
          <w:lang w:val="en-US" w:eastAsia="zh-CN"/>
        </w:rPr>
        <w:t>。在上述化学结构中，脂肪结构（-CH</w:t>
      </w:r>
      <w:r>
        <w:rPr>
          <w:rFonts w:hint="eastAsia" w:ascii="宋体" w:hAnsi="宋体" w:eastAsia="宋体"/>
          <w:b w:val="0"/>
          <w:bCs w:val="0"/>
          <w:sz w:val="24"/>
          <w:szCs w:val="24"/>
          <w:vertAlign w:val="subscript"/>
          <w:lang w:val="en-US" w:eastAsia="zh-CN"/>
        </w:rPr>
        <w:t>2</w:t>
      </w:r>
      <w:r>
        <w:rPr>
          <w:rFonts w:hint="eastAsia" w:ascii="宋体" w:hAnsi="宋体" w:eastAsia="宋体"/>
          <w:b w:val="0"/>
          <w:bCs w:val="0"/>
          <w:sz w:val="24"/>
          <w:szCs w:val="24"/>
          <w:lang w:val="en-US" w:eastAsia="zh-CN"/>
        </w:rPr>
        <w:t>-、-CH</w:t>
      </w:r>
      <w:r>
        <w:rPr>
          <w:rFonts w:hint="eastAsia" w:ascii="宋体" w:hAnsi="宋体" w:eastAsia="宋体"/>
          <w:b w:val="0"/>
          <w:bCs w:val="0"/>
          <w:sz w:val="24"/>
          <w:szCs w:val="24"/>
          <w:vertAlign w:val="subscript"/>
          <w:lang w:val="en-US" w:eastAsia="zh-CN"/>
        </w:rPr>
        <w:t>3</w:t>
      </w:r>
      <w:r>
        <w:rPr>
          <w:rFonts w:hint="eastAsia" w:ascii="宋体" w:hAnsi="宋体" w:eastAsia="宋体"/>
          <w:b w:val="0"/>
          <w:bCs w:val="0"/>
          <w:sz w:val="24"/>
          <w:szCs w:val="24"/>
          <w:lang w:val="en-US" w:eastAsia="zh-CN"/>
        </w:rPr>
        <w:t>）是富氢结构的主要来源，直接贡献焦油和CH</w:t>
      </w:r>
      <w:r>
        <w:rPr>
          <w:rFonts w:hint="eastAsia" w:ascii="宋体" w:hAnsi="宋体" w:eastAsia="宋体"/>
          <w:b w:val="0"/>
          <w:bCs w:val="0"/>
          <w:sz w:val="24"/>
          <w:szCs w:val="24"/>
          <w:vertAlign w:val="subscript"/>
          <w:lang w:val="en-US" w:eastAsia="zh-CN"/>
        </w:rPr>
        <w:t>4</w:t>
      </w:r>
      <w:r>
        <w:rPr>
          <w:rFonts w:hint="eastAsia" w:ascii="宋体" w:hAnsi="宋体" w:eastAsia="宋体"/>
          <w:b w:val="0"/>
          <w:bCs w:val="0"/>
          <w:sz w:val="24"/>
          <w:szCs w:val="24"/>
          <w:lang w:val="en-US" w:eastAsia="zh-CN"/>
        </w:rPr>
        <w:t>产率，含氧官能团（-OH、-COOH、C=O）低温分解提供CO</w:t>
      </w:r>
      <w:r>
        <w:rPr>
          <w:rFonts w:hint="eastAsia" w:ascii="宋体" w:hAnsi="宋体" w:eastAsia="宋体"/>
          <w:b w:val="0"/>
          <w:bCs w:val="0"/>
          <w:sz w:val="24"/>
          <w:szCs w:val="24"/>
          <w:vertAlign w:val="subscript"/>
          <w:lang w:val="en-US" w:eastAsia="zh-CN"/>
        </w:rPr>
        <w:t>2</w:t>
      </w:r>
      <w:r>
        <w:rPr>
          <w:rFonts w:hint="eastAsia" w:ascii="宋体" w:hAnsi="宋体" w:eastAsia="宋体"/>
          <w:b w:val="0"/>
          <w:bCs w:val="0"/>
          <w:sz w:val="24"/>
          <w:szCs w:val="24"/>
          <w:lang w:val="en-US" w:eastAsia="zh-CN"/>
        </w:rPr>
        <w:t>、CO和H</w:t>
      </w:r>
      <w:r>
        <w:rPr>
          <w:rFonts w:hint="eastAsia" w:ascii="宋体" w:hAnsi="宋体" w:eastAsia="宋体"/>
          <w:b w:val="0"/>
          <w:bCs w:val="0"/>
          <w:sz w:val="24"/>
          <w:szCs w:val="24"/>
          <w:vertAlign w:val="subscript"/>
          <w:lang w:val="en-US" w:eastAsia="zh-CN"/>
        </w:rPr>
        <w:t>2</w:t>
      </w:r>
      <w:r>
        <w:rPr>
          <w:rFonts w:hint="eastAsia" w:ascii="宋体" w:hAnsi="宋体" w:eastAsia="宋体"/>
          <w:b w:val="0"/>
          <w:bCs w:val="0"/>
          <w:sz w:val="24"/>
          <w:szCs w:val="24"/>
          <w:lang w:val="en-US" w:eastAsia="zh-CN"/>
        </w:rPr>
        <w:t>O，促进初期孔隙生成，芳香核作为结构骨架，高温下发生缩聚，影响半焦性质。</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除化学变化外，热解过程中富油煤煤体也发生物理结构变化，直接影响传热、传质和产物迁移。低温阶段以中孔为主，孔隙形态以细小瓶颈和缝隙孔为主；高温阶段微孔数量显著增加，孔隙类型转向平行狭缝孔，中孔和大孔扩展贯通形成微裂隙。这种孔隙变化前期以水分蒸发、气体脱附留下孔隙为主导，而后有机质热解产生挥发分，从基质中逸出形成新孔隙，同时热应力导致不均匀膨胀，产生微裂纹，联通中孔和大孔。而且，随着温度升高，由于挥发分逸出产生内部压力，热应力超过煤体抗拉强度，产生张性裂隙等原因，裂隙从孤立主裂隙向分叉网状演化，开度增大，表面裂隙率显著上升。到高温时，裂隙网络发达，煤体宏观破坏，完整性降低，渗透性提高，但同时也可能导致产物滞留，如焦油束缚在封闭孔隙中。</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default" w:ascii="宋体" w:hAnsi="宋体" w:eastAsia="宋体"/>
          <w:b w:val="0"/>
          <w:bCs w:val="0"/>
          <w:sz w:val="24"/>
          <w:szCs w:val="24"/>
          <w:lang w:val="en-US" w:eastAsia="zh-CN"/>
        </w:rPr>
        <w:t>热解机理受多种条件影响，这些因素通过改变反应路径和传质传热效率调控产物分布</w:t>
      </w:r>
      <w:r>
        <w:rPr>
          <w:rFonts w:hint="eastAsia" w:ascii="宋体" w:hAnsi="宋体" w:eastAsia="宋体"/>
          <w:b w:val="0"/>
          <w:bCs w:val="0"/>
          <w:sz w:val="24"/>
          <w:szCs w:val="24"/>
          <w:lang w:val="en-US" w:eastAsia="zh-CN"/>
        </w:rPr>
        <w:t>。</w:t>
      </w:r>
      <w:r>
        <w:rPr>
          <w:rFonts w:hint="default" w:ascii="宋体" w:hAnsi="宋体" w:eastAsia="宋体"/>
          <w:b w:val="0"/>
          <w:bCs w:val="0"/>
          <w:sz w:val="24"/>
          <w:szCs w:val="24"/>
          <w:lang w:val="en-US" w:eastAsia="zh-CN"/>
        </w:rPr>
        <w:t>温度</w:t>
      </w:r>
      <w:r>
        <w:rPr>
          <w:rFonts w:hint="eastAsia" w:ascii="宋体" w:hAnsi="宋体" w:eastAsia="宋体"/>
          <w:b w:val="0"/>
          <w:bCs w:val="0"/>
          <w:sz w:val="24"/>
          <w:szCs w:val="24"/>
          <w:lang w:val="en-US" w:eastAsia="zh-CN"/>
        </w:rPr>
        <w:t>是</w:t>
      </w:r>
      <w:r>
        <w:rPr>
          <w:rFonts w:hint="default" w:ascii="宋体" w:hAnsi="宋体" w:eastAsia="宋体"/>
          <w:b w:val="0"/>
          <w:bCs w:val="0"/>
          <w:sz w:val="24"/>
          <w:szCs w:val="24"/>
          <w:lang w:val="en-US" w:eastAsia="zh-CN"/>
        </w:rPr>
        <w:t>最关键因素</w:t>
      </w:r>
      <w:r>
        <w:rPr>
          <w:rFonts w:hint="eastAsia" w:ascii="宋体" w:hAnsi="宋体" w:eastAsia="宋体"/>
          <w:b w:val="0"/>
          <w:bCs w:val="0"/>
          <w:sz w:val="24"/>
          <w:szCs w:val="24"/>
          <w:lang w:val="en-US" w:eastAsia="zh-CN"/>
        </w:rPr>
        <w:t>，</w:t>
      </w:r>
      <w:r>
        <w:rPr>
          <w:rFonts w:hint="default" w:ascii="宋体" w:hAnsi="宋体" w:eastAsia="宋体"/>
          <w:b w:val="0"/>
          <w:bCs w:val="0"/>
          <w:sz w:val="24"/>
          <w:szCs w:val="24"/>
          <w:lang w:val="en-US" w:eastAsia="zh-CN"/>
        </w:rPr>
        <w:t>温度升高显著提高产气总量和速率，300℃是反应剧烈阈值</w:t>
      </w:r>
      <w:r>
        <w:rPr>
          <w:rFonts w:hint="eastAsia" w:ascii="宋体" w:hAnsi="宋体" w:eastAsia="宋体"/>
          <w:b w:val="0"/>
          <w:bCs w:val="0"/>
          <w:sz w:val="24"/>
          <w:szCs w:val="24"/>
          <w:lang w:val="en-US" w:eastAsia="zh-CN"/>
        </w:rPr>
        <w:t>，</w:t>
      </w:r>
      <w:r>
        <w:rPr>
          <w:rFonts w:hint="default" w:ascii="宋体" w:hAnsi="宋体" w:eastAsia="宋体"/>
          <w:b w:val="0"/>
          <w:bCs w:val="0"/>
          <w:sz w:val="24"/>
          <w:szCs w:val="24"/>
          <w:lang w:val="en-US" w:eastAsia="zh-CN"/>
        </w:rPr>
        <w:t>焦油产率一般在500–600℃达到峰值，过高温度导致二次裂解加剧，焦油产率下降。高温促进轻质焦油组分和H</w:t>
      </w:r>
      <w:r>
        <w:rPr>
          <w:rFonts w:hint="eastAsia" w:ascii="宋体" w:hAnsi="宋体" w:eastAsia="宋体"/>
          <w:b w:val="0"/>
          <w:bCs w:val="0"/>
          <w:sz w:val="24"/>
          <w:szCs w:val="24"/>
          <w:vertAlign w:val="subscript"/>
          <w:lang w:val="en-US" w:eastAsia="zh-CN"/>
        </w:rPr>
        <w:t>2</w:t>
      </w:r>
      <w:r>
        <w:rPr>
          <w:rFonts w:hint="default" w:ascii="宋体" w:hAnsi="宋体" w:eastAsia="宋体"/>
          <w:b w:val="0"/>
          <w:bCs w:val="0"/>
          <w:sz w:val="24"/>
          <w:szCs w:val="24"/>
          <w:lang w:val="en-US" w:eastAsia="zh-CN"/>
        </w:rPr>
        <w:t>生成。压力与应力</w:t>
      </w:r>
      <w:r>
        <w:rPr>
          <w:rFonts w:hint="eastAsia" w:ascii="宋体" w:hAnsi="宋体" w:eastAsia="宋体"/>
          <w:b w:val="0"/>
          <w:bCs w:val="0"/>
          <w:sz w:val="24"/>
          <w:szCs w:val="24"/>
          <w:lang w:val="en-US" w:eastAsia="zh-CN"/>
        </w:rPr>
        <w:t>是原位热解区别于地面热解的显著因素，</w:t>
      </w:r>
      <w:r>
        <w:rPr>
          <w:rFonts w:hint="default" w:ascii="宋体" w:hAnsi="宋体" w:eastAsia="宋体"/>
          <w:b w:val="0"/>
          <w:bCs w:val="0"/>
          <w:sz w:val="24"/>
          <w:szCs w:val="24"/>
          <w:lang w:val="en-US" w:eastAsia="zh-CN"/>
        </w:rPr>
        <w:t>地应力增加</w:t>
      </w:r>
      <w:r>
        <w:rPr>
          <w:rFonts w:hint="eastAsia" w:ascii="宋体" w:hAnsi="宋体" w:eastAsia="宋体"/>
          <w:b w:val="0"/>
          <w:bCs w:val="0"/>
          <w:sz w:val="24"/>
          <w:szCs w:val="24"/>
          <w:lang w:val="en-US" w:eastAsia="zh-CN"/>
        </w:rPr>
        <w:t>，或</w:t>
      </w:r>
      <w:r>
        <w:rPr>
          <w:rFonts w:hint="default" w:ascii="宋体" w:hAnsi="宋体" w:eastAsia="宋体"/>
          <w:b w:val="0"/>
          <w:bCs w:val="0"/>
          <w:sz w:val="24"/>
          <w:szCs w:val="24"/>
          <w:lang w:val="en-US" w:eastAsia="zh-CN"/>
        </w:rPr>
        <w:t>埋深增加</w:t>
      </w:r>
      <w:r>
        <w:rPr>
          <w:rFonts w:hint="eastAsia" w:ascii="宋体" w:hAnsi="宋体" w:eastAsia="宋体"/>
          <w:b w:val="0"/>
          <w:bCs w:val="0"/>
          <w:sz w:val="24"/>
          <w:szCs w:val="24"/>
          <w:lang w:val="en-US" w:eastAsia="zh-CN"/>
        </w:rPr>
        <w:t>，</w:t>
      </w:r>
      <w:r>
        <w:rPr>
          <w:rFonts w:hint="default" w:ascii="宋体" w:hAnsi="宋体" w:eastAsia="宋体"/>
          <w:b w:val="0"/>
          <w:bCs w:val="0"/>
          <w:sz w:val="24"/>
          <w:szCs w:val="24"/>
          <w:lang w:val="en-US" w:eastAsia="zh-CN"/>
        </w:rPr>
        <w:t>降低煤层渗透率，延长挥发分停留时间，加剧焦油二次反应</w:t>
      </w:r>
      <w:r>
        <w:rPr>
          <w:rFonts w:hint="eastAsia" w:ascii="宋体" w:hAnsi="宋体" w:eastAsia="宋体"/>
          <w:b w:val="0"/>
          <w:bCs w:val="0"/>
          <w:sz w:val="24"/>
          <w:szCs w:val="24"/>
          <w:lang w:val="en-US" w:eastAsia="zh-CN"/>
        </w:rPr>
        <w:t>，导致</w:t>
      </w:r>
      <w:r>
        <w:rPr>
          <w:rFonts w:hint="default" w:ascii="宋体" w:hAnsi="宋体" w:eastAsia="宋体"/>
          <w:b w:val="0"/>
          <w:bCs w:val="0"/>
          <w:sz w:val="24"/>
          <w:szCs w:val="24"/>
          <w:lang w:val="en-US" w:eastAsia="zh-CN"/>
        </w:rPr>
        <w:t>焦油产率下降，轻质组分比例升高，气体产率增加</w:t>
      </w:r>
      <w:r>
        <w:rPr>
          <w:rFonts w:hint="eastAsia" w:ascii="宋体" w:hAnsi="宋体" w:eastAsia="宋体"/>
          <w:b w:val="0"/>
          <w:bCs w:val="0"/>
          <w:sz w:val="24"/>
          <w:szCs w:val="24"/>
          <w:lang w:val="en-US" w:eastAsia="zh-CN"/>
        </w:rPr>
        <w:t>；影响</w:t>
      </w:r>
      <w:r>
        <w:rPr>
          <w:rFonts w:hint="default" w:ascii="宋体" w:hAnsi="宋体" w:eastAsia="宋体"/>
          <w:b w:val="0"/>
          <w:bCs w:val="0"/>
          <w:sz w:val="24"/>
          <w:szCs w:val="24"/>
          <w:lang w:val="en-US" w:eastAsia="zh-CN"/>
        </w:rPr>
        <w:t>煤体变形</w:t>
      </w:r>
      <w:r>
        <w:rPr>
          <w:rFonts w:hint="eastAsia" w:ascii="宋体" w:hAnsi="宋体" w:eastAsia="宋体"/>
          <w:b w:val="0"/>
          <w:bCs w:val="0"/>
          <w:sz w:val="24"/>
          <w:szCs w:val="24"/>
          <w:lang w:val="en-US" w:eastAsia="zh-CN"/>
        </w:rPr>
        <w:t>，</w:t>
      </w:r>
      <w:r>
        <w:rPr>
          <w:rFonts w:hint="default" w:ascii="宋体" w:hAnsi="宋体" w:eastAsia="宋体"/>
          <w:b w:val="0"/>
          <w:bCs w:val="0"/>
          <w:sz w:val="24"/>
          <w:szCs w:val="24"/>
          <w:lang w:val="en-US" w:eastAsia="zh-CN"/>
        </w:rPr>
        <w:t>热解过程中先热膨胀后压缩，影响孔隙连通性。</w:t>
      </w:r>
      <w:r>
        <w:rPr>
          <w:rFonts w:hint="eastAsia" w:ascii="宋体" w:hAnsi="宋体" w:eastAsia="宋体"/>
          <w:b w:val="0"/>
          <w:bCs w:val="0"/>
          <w:sz w:val="24"/>
          <w:szCs w:val="24"/>
          <w:lang w:val="en-US" w:eastAsia="zh-CN"/>
        </w:rPr>
        <w:t>不同</w:t>
      </w:r>
      <w:r>
        <w:rPr>
          <w:rFonts w:hint="default" w:ascii="宋体" w:hAnsi="宋体" w:eastAsia="宋体"/>
          <w:b w:val="0"/>
          <w:bCs w:val="0"/>
          <w:sz w:val="24"/>
          <w:szCs w:val="24"/>
          <w:lang w:val="en-US" w:eastAsia="zh-CN"/>
        </w:rPr>
        <w:t>气氛</w:t>
      </w:r>
      <w:r>
        <w:rPr>
          <w:rFonts w:hint="eastAsia" w:ascii="宋体" w:hAnsi="宋体" w:eastAsia="宋体"/>
          <w:b w:val="0"/>
          <w:bCs w:val="0"/>
          <w:sz w:val="24"/>
          <w:szCs w:val="24"/>
          <w:lang w:val="en-US" w:eastAsia="zh-CN"/>
        </w:rPr>
        <w:t>条件，如</w:t>
      </w:r>
      <w:r>
        <w:rPr>
          <w:rFonts w:hint="default" w:ascii="宋体" w:hAnsi="宋体" w:eastAsia="宋体"/>
          <w:b w:val="0"/>
          <w:bCs w:val="0"/>
          <w:sz w:val="24"/>
          <w:szCs w:val="24"/>
          <w:lang w:val="en-US" w:eastAsia="zh-CN"/>
        </w:rPr>
        <w:t>惰性气氛</w:t>
      </w:r>
      <w:r>
        <w:rPr>
          <w:rFonts w:hint="eastAsia" w:ascii="宋体" w:hAnsi="宋体" w:eastAsia="宋体"/>
          <w:b w:val="0"/>
          <w:bCs w:val="0"/>
          <w:sz w:val="24"/>
          <w:szCs w:val="24"/>
          <w:lang w:val="en-US" w:eastAsia="zh-CN"/>
        </w:rPr>
        <w:t>，富油煤发生</w:t>
      </w:r>
      <w:r>
        <w:rPr>
          <w:rFonts w:hint="default" w:ascii="宋体" w:hAnsi="宋体" w:eastAsia="宋体"/>
          <w:b w:val="0"/>
          <w:bCs w:val="0"/>
          <w:sz w:val="24"/>
          <w:szCs w:val="24"/>
          <w:lang w:val="en-US" w:eastAsia="zh-CN"/>
        </w:rPr>
        <w:t>纯热解反应，产物以焦油和煤气为主</w:t>
      </w:r>
      <w:r>
        <w:rPr>
          <w:rFonts w:hint="eastAsia" w:ascii="宋体" w:hAnsi="宋体" w:eastAsia="宋体"/>
          <w:b w:val="0"/>
          <w:bCs w:val="0"/>
          <w:sz w:val="24"/>
          <w:szCs w:val="24"/>
          <w:lang w:val="en-US" w:eastAsia="zh-CN"/>
        </w:rPr>
        <w:t>；</w:t>
      </w:r>
      <w:r>
        <w:rPr>
          <w:rFonts w:hint="default" w:ascii="宋体" w:hAnsi="宋体" w:eastAsia="宋体"/>
          <w:b w:val="0"/>
          <w:bCs w:val="0"/>
          <w:sz w:val="24"/>
          <w:szCs w:val="24"/>
          <w:lang w:val="en-US" w:eastAsia="zh-CN"/>
        </w:rPr>
        <w:t>欠氧气氛</w:t>
      </w:r>
      <w:r>
        <w:rPr>
          <w:rFonts w:hint="eastAsia" w:ascii="宋体" w:hAnsi="宋体" w:eastAsia="宋体"/>
          <w:b w:val="0"/>
          <w:bCs w:val="0"/>
          <w:sz w:val="24"/>
          <w:szCs w:val="24"/>
          <w:lang w:val="en-US" w:eastAsia="zh-CN"/>
        </w:rPr>
        <w:t>下，</w:t>
      </w:r>
      <w:r>
        <w:rPr>
          <w:rFonts w:hint="default" w:ascii="宋体" w:hAnsi="宋体" w:eastAsia="宋体"/>
          <w:b w:val="0"/>
          <w:bCs w:val="0"/>
          <w:sz w:val="24"/>
          <w:szCs w:val="24"/>
          <w:lang w:val="en-US" w:eastAsia="zh-CN"/>
        </w:rPr>
        <w:t>发生部分氧化反应，升温更快，裂隙发育更显著，但</w:t>
      </w:r>
      <w:r>
        <w:rPr>
          <w:rFonts w:hint="eastAsia" w:ascii="宋体" w:hAnsi="宋体" w:eastAsia="宋体"/>
          <w:b w:val="0"/>
          <w:bCs w:val="0"/>
          <w:sz w:val="24"/>
          <w:szCs w:val="24"/>
          <w:lang w:val="en-US" w:eastAsia="zh-CN"/>
        </w:rPr>
        <w:t>会</w:t>
      </w:r>
      <w:r>
        <w:rPr>
          <w:rFonts w:hint="default" w:ascii="宋体" w:hAnsi="宋体" w:eastAsia="宋体"/>
          <w:b w:val="0"/>
          <w:bCs w:val="0"/>
          <w:sz w:val="24"/>
          <w:szCs w:val="24"/>
          <w:lang w:val="en-US" w:eastAsia="zh-CN"/>
        </w:rPr>
        <w:t>消耗部分有机质。</w:t>
      </w:r>
      <w:r>
        <w:rPr>
          <w:rFonts w:hint="eastAsia" w:ascii="宋体" w:hAnsi="宋体" w:eastAsia="宋体"/>
          <w:b w:val="0"/>
          <w:bCs w:val="0"/>
          <w:sz w:val="24"/>
          <w:szCs w:val="24"/>
          <w:lang w:val="en-US" w:eastAsia="zh-CN"/>
        </w:rPr>
        <w:t>此外，加热速率等工艺条件对富油煤热解也有影响，例如快速热解时挥发分快速逸出，抑制二次反应，有利于提高焦油产率；而慢速热解会促进自由基缩合，增加气体产率，可能改善焦油轻质化。</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整体而言，对富油煤来说，中低温热解（450–550℃）可最大化焦油产率；若以产气为主，需提高至600℃以上。对流加热兼具传热和载带产物的优势，适合原位热解。通过控制温度、压力和停留时间，能够调控焦油轻质化程度和气体组成。</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before="157" w:beforeLines="50" w:after="157" w:afterLines="50" w:line="360" w:lineRule="auto"/>
        <w:jc w:val="left"/>
        <w:textAlignment w:val="auto"/>
        <w:rPr>
          <w:rFonts w:hint="eastAsia" w:ascii="宋体" w:hAnsi="宋体" w:eastAsia="宋体"/>
          <w:b/>
          <w:bCs/>
          <w:sz w:val="24"/>
          <w:szCs w:val="24"/>
          <w:lang w:val="en-US" w:eastAsia="zh-CN"/>
        </w:rPr>
      </w:pPr>
      <w:r>
        <w:rPr>
          <w:rFonts w:hint="eastAsia" w:ascii="宋体" w:hAnsi="宋体" w:eastAsia="宋体"/>
          <w:b/>
          <w:bCs/>
          <w:sz w:val="24"/>
          <w:szCs w:val="24"/>
          <w:lang w:val="en-US" w:eastAsia="zh-CN"/>
        </w:rPr>
        <w:t>2.2 技术依据</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default" w:ascii="宋体" w:hAnsi="宋体" w:eastAsia="宋体"/>
          <w:b w:val="0"/>
          <w:bCs w:val="0"/>
          <w:sz w:val="24"/>
          <w:szCs w:val="24"/>
          <w:lang w:val="en-US" w:eastAsia="zh-CN"/>
        </w:rPr>
        <w:t>富油煤因其特殊的“富氢结构”，决定了其在中低温热解条件下即可高效转化为煤焦油和煤气，实现“取氢固碳”的低碳化目标。</w:t>
      </w:r>
      <w:r>
        <w:rPr>
          <w:rFonts w:hint="eastAsia" w:ascii="宋体" w:hAnsi="宋体" w:eastAsia="宋体"/>
          <w:b w:val="0"/>
          <w:bCs w:val="0"/>
          <w:sz w:val="24"/>
          <w:szCs w:val="24"/>
          <w:lang w:val="en-US" w:eastAsia="zh-CN"/>
        </w:rPr>
        <w:t>当前富油煤热解技术按实施地点主要分为地面热解与地下原位热解两大类。前者即在反应器内将煤转化为焦油、煤气和半焦，工艺相对成熟，但面临半焦产能过剩、碳排放较高及环境污染等挑战。后者通过地面钻井注热或地下巷道布设热网，直接对地下煤层进行加热，将生成的油气产物抽采至地面，而将半焦固存于地下。地下原位热解核心反应发生在350–650℃温度窗口内，加热方式以对流加热为主，如注入高温水蒸气、氮气等载热介质，：省去开采、运输环节，具有潜在的低碳低成本优势，是实现“取氢固碳”的理想路径，但需应对高地应力、复杂地质结构对传热传质和过程控制的影响。</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富油煤</w:t>
      </w:r>
      <w:r>
        <w:rPr>
          <w:rFonts w:hint="default" w:ascii="宋体" w:hAnsi="宋体" w:eastAsia="宋体"/>
          <w:b w:val="0"/>
          <w:bCs w:val="0"/>
          <w:sz w:val="24"/>
          <w:szCs w:val="24"/>
          <w:lang w:val="en-US" w:eastAsia="zh-CN"/>
        </w:rPr>
        <w:t>地面热解</w:t>
      </w:r>
      <w:r>
        <w:rPr>
          <w:rFonts w:hint="eastAsia" w:ascii="宋体" w:hAnsi="宋体" w:eastAsia="宋体"/>
          <w:b w:val="0"/>
          <w:bCs w:val="0"/>
          <w:sz w:val="24"/>
          <w:szCs w:val="24"/>
          <w:lang w:val="en-US" w:eastAsia="zh-CN"/>
        </w:rPr>
        <w:t>工艺相对成熟，其关键装备是反应器，不同技术路径对应不同的反应器类型，其特点对产物分布有重要影响，目前地面热解反应器主要有固定床反应器、流化床反应器和回转窑反应器三种类型。固定床反应器广泛用于实验研究，采用外热式传导或热载体加热，适于块煤或一定粒径煤样的慢速热解，焦油产率较高，品质受升温速率影响较大，气体产物中H</w:t>
      </w:r>
      <w:r>
        <w:rPr>
          <w:rFonts w:hint="eastAsia" w:ascii="宋体" w:hAnsi="宋体" w:eastAsia="宋体"/>
          <w:b w:val="0"/>
          <w:bCs w:val="0"/>
          <w:sz w:val="24"/>
          <w:szCs w:val="24"/>
          <w:vertAlign w:val="subscript"/>
          <w:lang w:val="en-US" w:eastAsia="zh-CN"/>
        </w:rPr>
        <w:t>2</w:t>
      </w:r>
      <w:r>
        <w:rPr>
          <w:rFonts w:hint="eastAsia" w:ascii="宋体" w:hAnsi="宋体" w:eastAsia="宋体"/>
          <w:b w:val="0"/>
          <w:bCs w:val="0"/>
          <w:sz w:val="24"/>
          <w:szCs w:val="24"/>
          <w:lang w:val="en-US" w:eastAsia="zh-CN"/>
        </w:rPr>
        <w:t>占比相对较低。固定床反应器优点是操作灵活，利于基础研究，易控挥发分停留时间，但缺点是处理量小，传热效率低，黏结性煤易堵塞。流化床反应器通过热固/气载体快速加热，适于粉煤的快速热解，焦油收率可较高，但品质常受二次反应影响，重质组分多，含尘量大，气体中H</w:t>
      </w:r>
      <w:r>
        <w:rPr>
          <w:rFonts w:hint="eastAsia" w:ascii="宋体" w:hAnsi="宋体" w:eastAsia="宋体"/>
          <w:b w:val="0"/>
          <w:bCs w:val="0"/>
          <w:sz w:val="24"/>
          <w:szCs w:val="24"/>
          <w:vertAlign w:val="subscript"/>
          <w:lang w:val="en-US" w:eastAsia="zh-CN"/>
        </w:rPr>
        <w:t>2</w:t>
      </w:r>
      <w:r>
        <w:rPr>
          <w:rFonts w:hint="eastAsia" w:ascii="宋体" w:hAnsi="宋体" w:eastAsia="宋体"/>
          <w:b w:val="0"/>
          <w:bCs w:val="0"/>
          <w:sz w:val="24"/>
          <w:szCs w:val="24"/>
          <w:lang w:val="en-US" w:eastAsia="zh-CN"/>
        </w:rPr>
        <w:t>占比显著提升。其优点是传热传质效率高，温度均匀，适于大规模连续生产，但缺点是挥发分停留时间长导致二次反应加剧，粉尘夹带严重，分离困难。回转窑反应器是神华、陕煤等采用的热解技术，热载体加热，靠回转混合，适于粉煤或小粒径煤，焦油产率适中，通过优化可改善焦油品质和含尘量。其优点在于混合均匀，传热稳定，粉尘产生少，便于大型化，但缺点是设备复杂，投资高。</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现阶段，</w:t>
      </w:r>
      <w:r>
        <w:rPr>
          <w:rFonts w:hint="default" w:ascii="宋体" w:hAnsi="宋体" w:eastAsia="宋体"/>
          <w:b w:val="0"/>
          <w:bCs w:val="0"/>
          <w:sz w:val="24"/>
          <w:szCs w:val="24"/>
          <w:lang w:val="en-US" w:eastAsia="zh-CN"/>
        </w:rPr>
        <w:t>为提升富油煤热解的经济性与环境友好性，</w:t>
      </w:r>
      <w:r>
        <w:rPr>
          <w:rFonts w:hint="eastAsia" w:ascii="宋体" w:hAnsi="宋体" w:eastAsia="宋体"/>
          <w:b w:val="0"/>
          <w:bCs w:val="0"/>
          <w:sz w:val="24"/>
          <w:szCs w:val="24"/>
          <w:lang w:val="en-US" w:eastAsia="zh-CN"/>
        </w:rPr>
        <w:t>富油煤热解技术主要</w:t>
      </w:r>
      <w:r>
        <w:rPr>
          <w:rFonts w:hint="default" w:ascii="宋体" w:hAnsi="宋体" w:eastAsia="宋体"/>
          <w:b w:val="0"/>
          <w:bCs w:val="0"/>
          <w:sz w:val="24"/>
          <w:szCs w:val="24"/>
          <w:lang w:val="en-US" w:eastAsia="zh-CN"/>
        </w:rPr>
        <w:t>聚焦于以下几个优化方向。</w:t>
      </w:r>
      <w:r>
        <w:rPr>
          <w:rFonts w:hint="eastAsia" w:ascii="宋体" w:hAnsi="宋体" w:eastAsia="宋体"/>
          <w:b w:val="0"/>
          <w:bCs w:val="0"/>
          <w:sz w:val="24"/>
          <w:szCs w:val="24"/>
          <w:lang w:val="en-US" w:eastAsia="zh-CN"/>
        </w:rPr>
        <w:t>一是过程集约与加热方式复合，发展“热解-气化-发电-化工”多联产系统，实现物料与热能循环，提升综合能效，如“一器三区”粉煤热解-气化一体化技术；针对煤体导热性差的瓶颈，采用以对流加热为主，耦合电加热、辐射或化学自生热的复合方式。探索过热蒸汽、超临界C</w:t>
      </w:r>
      <w:r>
        <w:rPr>
          <w:rFonts w:hint="eastAsia" w:ascii="宋体" w:hAnsi="宋体" w:eastAsia="宋体"/>
          <w:b w:val="0"/>
          <w:bCs w:val="0"/>
          <w:sz w:val="24"/>
          <w:szCs w:val="24"/>
          <w:vertAlign w:val="baseline"/>
          <w:lang w:val="en-US" w:eastAsia="zh-CN"/>
        </w:rPr>
        <w:t>O</w:t>
      </w:r>
      <w:r>
        <w:rPr>
          <w:rFonts w:hint="eastAsia" w:ascii="宋体" w:hAnsi="宋体" w:eastAsia="宋体"/>
          <w:b w:val="0"/>
          <w:bCs w:val="0"/>
          <w:sz w:val="24"/>
          <w:szCs w:val="24"/>
          <w:vertAlign w:val="subscript"/>
          <w:lang w:val="en-US" w:eastAsia="zh-CN"/>
        </w:rPr>
        <w:t>2</w:t>
      </w:r>
      <w:r>
        <w:rPr>
          <w:rFonts w:hint="eastAsia" w:ascii="宋体" w:hAnsi="宋体" w:eastAsia="宋体"/>
          <w:b w:val="0"/>
          <w:bCs w:val="0"/>
          <w:sz w:val="24"/>
          <w:szCs w:val="24"/>
          <w:lang w:val="en-US" w:eastAsia="zh-CN"/>
        </w:rPr>
        <w:t>、微波/射频等新型热源，并与可再生能源耦合。二是地下原位热解关键环节强化,采用水力压裂、超临界CO</w:t>
      </w:r>
      <w:r>
        <w:rPr>
          <w:rFonts w:hint="eastAsia" w:ascii="宋体" w:hAnsi="宋体" w:eastAsia="宋体"/>
          <w:b w:val="0"/>
          <w:bCs w:val="0"/>
          <w:sz w:val="24"/>
          <w:szCs w:val="24"/>
          <w:vertAlign w:val="subscript"/>
          <w:lang w:val="en-US" w:eastAsia="zh-CN"/>
        </w:rPr>
        <w:t>2</w:t>
      </w:r>
      <w:r>
        <w:rPr>
          <w:rFonts w:hint="eastAsia" w:ascii="宋体" w:hAnsi="宋体" w:eastAsia="宋体"/>
          <w:b w:val="0"/>
          <w:bCs w:val="0"/>
          <w:sz w:val="24"/>
          <w:szCs w:val="24"/>
          <w:lang w:val="en-US" w:eastAsia="zh-CN"/>
        </w:rPr>
        <w:t>压裂、可控冲击波等技术构建高效裂缝网络，以增强煤层渗透性；制定抽采井温压保持方案，研究CO</w:t>
      </w:r>
      <w:r>
        <w:rPr>
          <w:rFonts w:hint="eastAsia" w:ascii="宋体" w:hAnsi="宋体" w:eastAsia="宋体"/>
          <w:b w:val="0"/>
          <w:bCs w:val="0"/>
          <w:sz w:val="24"/>
          <w:szCs w:val="24"/>
          <w:vertAlign w:val="subscript"/>
          <w:lang w:val="en-US" w:eastAsia="zh-CN"/>
        </w:rPr>
        <w:t>2</w:t>
      </w:r>
      <w:r>
        <w:rPr>
          <w:rFonts w:hint="eastAsia" w:ascii="宋体" w:hAnsi="宋体" w:eastAsia="宋体"/>
          <w:b w:val="0"/>
          <w:bCs w:val="0"/>
          <w:sz w:val="24"/>
          <w:szCs w:val="24"/>
          <w:lang w:val="en-US" w:eastAsia="zh-CN"/>
        </w:rPr>
        <w:t>气驱技术以提高采收率并实现地质封存。采用CO</w:t>
      </w:r>
      <w:r>
        <w:rPr>
          <w:rFonts w:hint="eastAsia" w:ascii="宋体" w:hAnsi="宋体" w:eastAsia="宋体"/>
          <w:b w:val="0"/>
          <w:bCs w:val="0"/>
          <w:sz w:val="24"/>
          <w:szCs w:val="24"/>
          <w:vertAlign w:val="subscript"/>
          <w:lang w:val="en-US" w:eastAsia="zh-CN"/>
        </w:rPr>
        <w:t>2</w:t>
      </w:r>
      <w:r>
        <w:rPr>
          <w:rFonts w:hint="eastAsia" w:ascii="宋体" w:hAnsi="宋体" w:eastAsia="宋体"/>
          <w:b w:val="0"/>
          <w:bCs w:val="0"/>
          <w:sz w:val="24"/>
          <w:szCs w:val="24"/>
          <w:lang w:val="en-US" w:eastAsia="zh-CN"/>
        </w:rPr>
        <w:t>气驱止水、注浆帷幕等技术，防止热量与油气扩散。三是催化剂开发与智能调控，开发如铈改性磁性核壳HZSM-5等可回收催化剂，用于催化热解，提高焦油轻质组分含量和煤气热值（提高H</w:t>
      </w:r>
      <w:r>
        <w:rPr>
          <w:rFonts w:hint="eastAsia" w:ascii="宋体" w:hAnsi="宋体" w:eastAsia="宋体"/>
          <w:b w:val="0"/>
          <w:bCs w:val="0"/>
          <w:sz w:val="24"/>
          <w:szCs w:val="24"/>
          <w:vertAlign w:val="subscript"/>
          <w:lang w:val="en-US" w:eastAsia="zh-CN"/>
        </w:rPr>
        <w:t>2</w:t>
      </w:r>
      <w:r>
        <w:rPr>
          <w:rFonts w:hint="eastAsia" w:ascii="宋体" w:hAnsi="宋体" w:eastAsia="宋体"/>
          <w:b w:val="0"/>
          <w:bCs w:val="0"/>
          <w:sz w:val="24"/>
          <w:szCs w:val="24"/>
          <w:lang w:val="en-US" w:eastAsia="zh-CN"/>
        </w:rPr>
        <w:t>/CH</w:t>
      </w:r>
      <w:r>
        <w:rPr>
          <w:rFonts w:hint="eastAsia" w:ascii="宋体" w:hAnsi="宋体" w:eastAsia="宋体"/>
          <w:b w:val="0"/>
          <w:bCs w:val="0"/>
          <w:sz w:val="24"/>
          <w:szCs w:val="24"/>
          <w:vertAlign w:val="subscript"/>
          <w:lang w:val="en-US" w:eastAsia="zh-CN"/>
        </w:rPr>
        <w:t>4</w:t>
      </w:r>
      <w:r>
        <w:rPr>
          <w:rFonts w:hint="eastAsia" w:ascii="宋体" w:hAnsi="宋体" w:eastAsia="宋体"/>
          <w:b w:val="0"/>
          <w:bCs w:val="0"/>
          <w:sz w:val="24"/>
          <w:szCs w:val="24"/>
          <w:lang w:val="en-US" w:eastAsia="zh-CN"/>
        </w:rPr>
        <w:t>比例）；利用多目标优化算法权衡焦油产率、品质与碳排放；发展基于数字孪生或大数据的智能控制系统。</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除热解外，富油煤也常被用于煤的直接液化和间接液化以制取液态燃料。直接液化旨在高压、高温及催化剂作用下，将富油煤直接加氢裂解为液态烃类。其技术优势尤其适配富油煤“高氢碳原子比、高挥发分、高活性组分（镜质组+壳质组）、低灰分”的“三高一低”特性。针对新疆三塘湖、淖毛湖等典型富油煤的实验室研究，明确了较优的反应窗口，其最佳反应温度集中于440℃–450℃；最佳反应压力在15MPa–19MPa的高压氢气氛围；恒温时间通常为60–120分钟。溶剂多使用四氢萘作为供氢介质。在优化条件下，富油煤直接液化展现出卓越性能。煤的转化率普遍超过90%，最高可达97.26%；基于干燥无灰基煤的油产率可达65%–72%。使用BRICC-2等高效催化剂可显著将沥青质产率降低至0.11%–0.34%的低水平。气相产物主要为H</w:t>
      </w:r>
      <w:r>
        <w:rPr>
          <w:rFonts w:hint="eastAsia" w:ascii="宋体" w:hAnsi="宋体" w:eastAsia="宋体"/>
          <w:b w:val="0"/>
          <w:bCs w:val="0"/>
          <w:sz w:val="24"/>
          <w:szCs w:val="24"/>
          <w:vertAlign w:val="subscript"/>
          <w:lang w:val="en-US" w:eastAsia="zh-CN"/>
        </w:rPr>
        <w:t>2</w:t>
      </w:r>
      <w:r>
        <w:rPr>
          <w:rFonts w:hint="eastAsia" w:ascii="宋体" w:hAnsi="宋体" w:eastAsia="宋体"/>
          <w:b w:val="0"/>
          <w:bCs w:val="0"/>
          <w:sz w:val="24"/>
          <w:szCs w:val="24"/>
          <w:lang w:val="en-US" w:eastAsia="zh-CN"/>
        </w:rPr>
        <w:t>、CH</w:t>
      </w:r>
      <w:r>
        <w:rPr>
          <w:rFonts w:hint="eastAsia" w:ascii="宋体" w:hAnsi="宋体" w:eastAsia="宋体"/>
          <w:b w:val="0"/>
          <w:bCs w:val="0"/>
          <w:sz w:val="24"/>
          <w:szCs w:val="24"/>
          <w:vertAlign w:val="subscript"/>
          <w:lang w:val="en-US" w:eastAsia="zh-CN"/>
        </w:rPr>
        <w:t>4</w:t>
      </w:r>
      <w:r>
        <w:rPr>
          <w:rFonts w:hint="eastAsia" w:ascii="宋体" w:hAnsi="宋体" w:eastAsia="宋体"/>
          <w:b w:val="0"/>
          <w:bCs w:val="0"/>
          <w:sz w:val="24"/>
          <w:szCs w:val="24"/>
          <w:lang w:val="en-US" w:eastAsia="zh-CN"/>
        </w:rPr>
        <w:t>及C</w:t>
      </w:r>
      <w:r>
        <w:rPr>
          <w:rFonts w:hint="eastAsia" w:ascii="宋体" w:hAnsi="宋体" w:eastAsia="宋体"/>
          <w:b w:val="0"/>
          <w:bCs w:val="0"/>
          <w:sz w:val="24"/>
          <w:szCs w:val="24"/>
          <w:vertAlign w:val="subscript"/>
          <w:lang w:val="en-US" w:eastAsia="zh-CN"/>
        </w:rPr>
        <w:t>2</w:t>
      </w:r>
      <w:r>
        <w:rPr>
          <w:rFonts w:hint="eastAsia" w:ascii="宋体" w:hAnsi="宋体" w:eastAsia="宋体"/>
          <w:b w:val="0"/>
          <w:bCs w:val="0"/>
          <w:sz w:val="24"/>
          <w:szCs w:val="24"/>
          <w:lang w:val="en-US" w:eastAsia="zh-CN"/>
        </w:rPr>
        <w:t>-C</w:t>
      </w:r>
      <w:r>
        <w:rPr>
          <w:rFonts w:hint="eastAsia" w:ascii="宋体" w:hAnsi="宋体" w:eastAsia="宋体"/>
          <w:b w:val="0"/>
          <w:bCs w:val="0"/>
          <w:sz w:val="24"/>
          <w:szCs w:val="24"/>
          <w:vertAlign w:val="subscript"/>
          <w:lang w:val="en-US" w:eastAsia="zh-CN"/>
        </w:rPr>
        <w:t>4</w:t>
      </w:r>
      <w:r>
        <w:rPr>
          <w:rFonts w:hint="eastAsia" w:ascii="宋体" w:hAnsi="宋体" w:eastAsia="宋体"/>
          <w:b w:val="0"/>
          <w:bCs w:val="0"/>
          <w:sz w:val="24"/>
          <w:szCs w:val="24"/>
          <w:lang w:val="en-US" w:eastAsia="zh-CN"/>
        </w:rPr>
        <w:t>烃类；液相产物以油和少量沥青质为主。初级液化油可通过后续“加氢裂化-加氢精制”两步工艺，高选择性转化为约23%的石脑油和约72%的清洁柴油，达到车用燃料标准。间接液化先将煤通过气化转化为合成气（CO+H</w:t>
      </w:r>
      <w:r>
        <w:rPr>
          <w:rFonts w:hint="eastAsia" w:ascii="宋体" w:hAnsi="宋体" w:eastAsia="宋体"/>
          <w:b w:val="0"/>
          <w:bCs w:val="0"/>
          <w:sz w:val="24"/>
          <w:szCs w:val="24"/>
          <w:vertAlign w:val="subscript"/>
          <w:lang w:val="en-US" w:eastAsia="zh-CN"/>
        </w:rPr>
        <w:t>2</w:t>
      </w:r>
      <w:r>
        <w:rPr>
          <w:rFonts w:hint="eastAsia" w:ascii="宋体" w:hAnsi="宋体" w:eastAsia="宋体"/>
          <w:b w:val="0"/>
          <w:bCs w:val="0"/>
          <w:sz w:val="24"/>
          <w:szCs w:val="24"/>
          <w:lang w:val="en-US" w:eastAsia="zh-CN"/>
        </w:rPr>
        <w:t>），再在催化剂作用下合成为长链烃类。间接液化油品的核心特征在于其高烯烃和高正构烷烃的组成，高烯烃可用于合成异构溶剂油、PAO（聚α-烯烃）基础油等高附加值产品，高正构烷烃是生产清洁无味溶剂油、液体石蜡的优质原料。通过一段费托合成和二段催化转化可主要生产C</w:t>
      </w:r>
      <w:r>
        <w:rPr>
          <w:rFonts w:hint="eastAsia" w:ascii="宋体" w:hAnsi="宋体" w:eastAsia="宋体"/>
          <w:b w:val="0"/>
          <w:bCs w:val="0"/>
          <w:sz w:val="24"/>
          <w:szCs w:val="24"/>
          <w:vertAlign w:val="subscript"/>
          <w:lang w:val="en-US" w:eastAsia="zh-CN"/>
        </w:rPr>
        <w:t>5</w:t>
      </w:r>
      <w:r>
        <w:rPr>
          <w:rFonts w:hint="eastAsia" w:ascii="宋体" w:hAnsi="宋体" w:eastAsia="宋体"/>
          <w:b w:val="0"/>
          <w:bCs w:val="0"/>
          <w:sz w:val="24"/>
          <w:szCs w:val="24"/>
          <w:lang w:val="en-US" w:eastAsia="zh-CN"/>
        </w:rPr>
        <w:t>–C</w:t>
      </w:r>
      <w:r>
        <w:rPr>
          <w:rFonts w:hint="eastAsia" w:ascii="宋体" w:hAnsi="宋体" w:eastAsia="宋体"/>
          <w:b w:val="0"/>
          <w:bCs w:val="0"/>
          <w:sz w:val="24"/>
          <w:szCs w:val="24"/>
          <w:vertAlign w:val="subscript"/>
          <w:lang w:val="en-US" w:eastAsia="zh-CN"/>
        </w:rPr>
        <w:t>11</w:t>
      </w:r>
      <w:r>
        <w:rPr>
          <w:rFonts w:hint="eastAsia" w:ascii="宋体" w:hAnsi="宋体" w:eastAsia="宋体"/>
          <w:b w:val="0"/>
          <w:bCs w:val="0"/>
          <w:sz w:val="24"/>
          <w:szCs w:val="24"/>
          <w:lang w:val="en-US" w:eastAsia="zh-CN"/>
        </w:rPr>
        <w:t>的汽油馏分，实现产品定向调控。</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before="157" w:beforeLines="50" w:after="157" w:afterLines="50" w:line="360" w:lineRule="auto"/>
        <w:jc w:val="left"/>
        <w:textAlignment w:val="auto"/>
        <w:rPr>
          <w:rFonts w:hint="eastAsia" w:ascii="宋体" w:hAnsi="宋体" w:eastAsia="宋体"/>
          <w:b/>
          <w:bCs/>
          <w:sz w:val="24"/>
          <w:szCs w:val="24"/>
          <w:lang w:val="en-US" w:eastAsia="zh-CN"/>
        </w:rPr>
      </w:pPr>
      <w:r>
        <w:rPr>
          <w:rFonts w:hint="eastAsia" w:ascii="宋体" w:hAnsi="宋体" w:eastAsia="宋体"/>
          <w:b/>
          <w:bCs/>
          <w:sz w:val="24"/>
          <w:szCs w:val="24"/>
          <w:lang w:val="en-US" w:eastAsia="zh-CN"/>
        </w:rPr>
        <w:t>2.3 产业依据</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default" w:ascii="宋体" w:hAnsi="宋体" w:eastAsia="宋体"/>
          <w:b w:val="0"/>
          <w:bCs w:val="0"/>
          <w:sz w:val="24"/>
          <w:szCs w:val="24"/>
          <w:lang w:val="en-US" w:eastAsia="zh-CN"/>
        </w:rPr>
        <w:t>富油煤利用正从实验室走向工程现场</w:t>
      </w:r>
      <w:r>
        <w:rPr>
          <w:rFonts w:hint="eastAsia" w:ascii="宋体" w:hAnsi="宋体" w:eastAsia="宋体"/>
          <w:b w:val="0"/>
          <w:bCs w:val="0"/>
          <w:sz w:val="24"/>
          <w:szCs w:val="24"/>
          <w:lang w:val="en-US" w:eastAsia="zh-CN"/>
        </w:rPr>
        <w:t>，从燃料转变为原料、材料，已实现工业化示范或取得关键产业化突破。</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default" w:ascii="宋体" w:hAnsi="宋体" w:eastAsia="宋体"/>
          <w:b w:val="0"/>
          <w:bCs w:val="0"/>
          <w:sz w:val="24"/>
          <w:szCs w:val="24"/>
          <w:lang w:val="en-US" w:eastAsia="zh-CN"/>
        </w:rPr>
        <w:t>地面热解技术是目前相对成熟、已建立示范装置的产业化方向，其核心是通过一体化反应装置实现富油煤的分级、分质转化，旨在解决传统独立工艺的能效低、污染重、半焦利用难等问题。陕西延长石油（集团）有限责任公司研发的“粉煤热解-半焦气化分级转化一体化技术”（CCSI）是当前最具代表性的地面工业化案例。该技术的核心创新在于独创了“一器三区”反应器，将粉煤热解与半焦气化集成于同一装置内，实现了物料与热量的内部优化循环。</w:t>
      </w:r>
      <w:r>
        <w:rPr>
          <w:rFonts w:hint="eastAsia" w:ascii="宋体" w:hAnsi="宋体" w:eastAsia="宋体"/>
          <w:b w:val="0"/>
          <w:bCs w:val="0"/>
          <w:sz w:val="24"/>
          <w:szCs w:val="24"/>
          <w:lang w:val="en-US" w:eastAsia="zh-CN"/>
        </w:rPr>
        <w:t>目前该项目已建成万吨级工业示范装置，实现了煤焦油收率超过15%，产生的煤气为富氢合成气，氢气含量大于30%。其快速热解工艺每处理1吨富油煤，可产出约650kg高活性清洁半焦、8%-9%的煤焦油及约300m³富氢气体。大唐华银电力与中国五环工程推动，建成了30万吨/年规模的热气载体快速热解工业示范装置。该技术采用原料煤与高温热风直接接触加热，特别适用于含油率高的富油煤，其焦油收率约为5%。煤炭科学研究总院北京煤化所开发的多段回转炉温和热解工艺，主体为三台串联的卧式回转炉，采用外热式加热。建成了60吨/天（约2万吨/年）规模的工业示范装置。实验室焦油收率可达8%-9%，工业化运行中干基焦油收率约为2.5%。</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default" w:ascii="宋体" w:hAnsi="宋体" w:eastAsia="宋体"/>
          <w:b w:val="0"/>
          <w:bCs w:val="0"/>
          <w:sz w:val="24"/>
          <w:szCs w:val="24"/>
          <w:lang w:val="en-US" w:eastAsia="zh-CN"/>
        </w:rPr>
      </w:pPr>
      <w:r>
        <w:rPr>
          <w:rFonts w:hint="default" w:ascii="宋体" w:hAnsi="宋体" w:eastAsia="宋体"/>
          <w:b w:val="0"/>
          <w:bCs w:val="0"/>
          <w:sz w:val="24"/>
          <w:szCs w:val="24"/>
          <w:lang w:val="en-US" w:eastAsia="zh-CN"/>
        </w:rPr>
        <w:t>煤-油-气-电多联产系统超越单一的热解产油，将热解与发电、化工合成等进行系统集成，实现煤炭资源的梯级利用与能量耦合，是提升整体经济性与能效的关键路径，已有多个系统技术进入工程示范。以浙江大学/岑可法院士团队技术为代表</w:t>
      </w:r>
      <w:r>
        <w:rPr>
          <w:rFonts w:hint="eastAsia" w:ascii="宋体" w:hAnsi="宋体" w:eastAsia="宋体"/>
          <w:b w:val="0"/>
          <w:bCs w:val="0"/>
          <w:sz w:val="24"/>
          <w:szCs w:val="24"/>
          <w:lang w:val="en-US" w:eastAsia="zh-CN"/>
        </w:rPr>
        <w:t>提出的热解-气化-燃烧分级转化发电系统</w:t>
      </w:r>
      <w:r>
        <w:rPr>
          <w:rFonts w:hint="default" w:ascii="宋体" w:hAnsi="宋体" w:eastAsia="宋体"/>
          <w:b w:val="0"/>
          <w:bCs w:val="0"/>
          <w:sz w:val="24"/>
          <w:szCs w:val="24"/>
          <w:lang w:val="en-US" w:eastAsia="zh-CN"/>
        </w:rPr>
        <w:t>，通过固体介质（热半焦、高温灰）在燃烧炉与气化炉/热解炉间的循环，实现对煤的分级转化。已建成的12MW工业示范装置，能够综合联产蒸汽、电力、煤气和焦油，验证了“煤-气-油-电”多联产的技术可行性。太原理工大学提出的低阶煤热解-气化一体化油电联产系统将低阶煤快速热解提油，生成的煤气与半焦气化产生的煤气混合后，驱动联合循环发电。系统模拟分析表明，该油电气联产模式的全系统能效可达约50.68%，展示了高效集成的潜力。神华集团开发的回转窑热解技术，已实现单台设备处理能力达100万吨/年的规模，为大型化、连续化生产提供了装备基础。</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default" w:ascii="宋体" w:hAnsi="宋体" w:eastAsia="宋体"/>
          <w:b w:val="0"/>
          <w:bCs w:val="0"/>
          <w:sz w:val="24"/>
          <w:szCs w:val="24"/>
          <w:lang w:val="en-US" w:eastAsia="zh-CN"/>
        </w:rPr>
        <w:t>地下原位热解的先导试验与产业化探索</w:t>
      </w:r>
      <w:r>
        <w:rPr>
          <w:rFonts w:hint="eastAsia" w:ascii="宋体" w:hAnsi="宋体" w:eastAsia="宋体"/>
          <w:b w:val="0"/>
          <w:bCs w:val="0"/>
          <w:sz w:val="24"/>
          <w:szCs w:val="24"/>
          <w:lang w:val="en-US" w:eastAsia="zh-CN"/>
        </w:rPr>
        <w:t>也在迅速发展，该技术力求实现“取氢留碳”的颠覆性低碳开发，目前处于从先导试验向产业化迈进的关键阶段。由陕西煤田地质集团有限公司联合西安交通大学等单位，在陕西省榆林市榆神矿区大保当井田开展的富油煤地下原位热解先导性试验，取得了里程碑式进展：成功提取了全球第一桶原位热解煤焦油。此举完成了富油煤原位开采“从0到1”的工艺流程验证，标志着该技术走出了实验室。先导试验聚焦并验证了一系列产业化必须攻克的关键技术，包括高效复合加热技术、储层改造技术和生油地下密闭系统构建技术。高效复合加热技术确立了以对流加热（尤其是过热水蒸气注入）为主，电加热、化学氧化自生热等其他方式为辅的复合加热模式，以应对煤层导热性差的挑战。储层改造技术采用水力压裂作为基础手段，人工构建地下传热传质裂缝网络，模拟显示压裂能显著缩短加热周期。地下密闭系统构建技术探索了适用于小规模试验的地下冻结或注浆帷幕技术，以及面向大规模应用的CO</w:t>
      </w:r>
      <w:r>
        <w:rPr>
          <w:rFonts w:hint="eastAsia" w:ascii="宋体" w:hAnsi="宋体" w:eastAsia="宋体"/>
          <w:b w:val="0"/>
          <w:bCs w:val="0"/>
          <w:sz w:val="24"/>
          <w:szCs w:val="24"/>
          <w:vertAlign w:val="subscript"/>
          <w:lang w:val="en-US" w:eastAsia="zh-CN"/>
        </w:rPr>
        <w:t>2</w:t>
      </w:r>
      <w:r>
        <w:rPr>
          <w:rFonts w:hint="eastAsia" w:ascii="宋体" w:hAnsi="宋体" w:eastAsia="宋体"/>
          <w:b w:val="0"/>
          <w:bCs w:val="0"/>
          <w:sz w:val="24"/>
          <w:szCs w:val="24"/>
          <w:lang w:val="en-US" w:eastAsia="zh-CN"/>
        </w:rPr>
        <w:t>气驱止水封闭技术，后者兼具封闭、驱替油气和封存CO</w:t>
      </w:r>
      <w:r>
        <w:rPr>
          <w:rFonts w:hint="eastAsia" w:ascii="宋体" w:hAnsi="宋体" w:eastAsia="宋体"/>
          <w:b w:val="0"/>
          <w:bCs w:val="0"/>
          <w:sz w:val="24"/>
          <w:szCs w:val="24"/>
          <w:vertAlign w:val="subscript"/>
          <w:lang w:val="en-US" w:eastAsia="zh-CN"/>
        </w:rPr>
        <w:t>2</w:t>
      </w:r>
      <w:r>
        <w:rPr>
          <w:rFonts w:hint="eastAsia" w:ascii="宋体" w:hAnsi="宋体" w:eastAsia="宋体"/>
          <w:b w:val="0"/>
          <w:bCs w:val="0"/>
          <w:sz w:val="24"/>
          <w:szCs w:val="24"/>
          <w:lang w:val="en-US" w:eastAsia="zh-CN"/>
        </w:rPr>
        <w:t>三重效益。</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default" w:ascii="宋体" w:hAnsi="宋体" w:eastAsia="宋体"/>
          <w:b w:val="0"/>
          <w:bCs w:val="0"/>
          <w:sz w:val="24"/>
          <w:szCs w:val="24"/>
          <w:lang w:val="en-US" w:eastAsia="zh-CN"/>
        </w:rPr>
      </w:pPr>
      <w:r>
        <w:rPr>
          <w:rFonts w:hint="default" w:ascii="宋体" w:hAnsi="宋体" w:eastAsia="宋体"/>
          <w:b w:val="0"/>
          <w:bCs w:val="0"/>
          <w:sz w:val="24"/>
          <w:szCs w:val="24"/>
          <w:lang w:val="en-US" w:eastAsia="zh-CN"/>
        </w:rPr>
        <w:t>产业化不仅在于初级燃料生产，更在于向下游高附加值产品链的延伸。目前，相关应用已展现雏形，但完整产业链仍在构建中。以陕西延长石油CCSI技术产出的富氢合成气为原料，经催化合成（如费托合成）可生产烯烃、烷烃等基础化学品，该路径的原料制备环节已实现示范。采用ZSM-5催化剂可将新疆低温煤焦油转化为轻质烯烃，产率最高达31.79%，证明了技术潜力。焦油经加氢精制后生产的石脑油，也是蒸汽裂解制烯烃的优质原料。半焦被明确认定为制备特种碳材、碳纤维前驱体的优质原料，但上下游产业链尚未形成。以富油煤热解 重质焦油为前驱体，可制备高性能泡沫炭。优化后的产品孔隙率最优达72.8%，导热系数为0.219 W/(m·K)，在航天、电子、催化载体等领域前景广阔。这印证了焦油通向高附加值材料的可行性。</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default" w:ascii="宋体" w:hAnsi="宋体" w:eastAsia="宋体"/>
          <w:b w:val="0"/>
          <w:bCs w:val="0"/>
          <w:sz w:val="24"/>
          <w:szCs w:val="24"/>
          <w:lang w:val="en-US" w:eastAsia="zh-CN"/>
        </w:rPr>
      </w:pPr>
      <w:r>
        <w:rPr>
          <w:rFonts w:hint="default" w:ascii="宋体" w:hAnsi="宋体" w:eastAsia="宋体"/>
          <w:b w:val="0"/>
          <w:bCs w:val="0"/>
          <w:sz w:val="24"/>
          <w:szCs w:val="24"/>
          <w:lang w:val="en-US" w:eastAsia="zh-CN"/>
        </w:rPr>
        <w:t>综合来看，当前富油煤的工业化应用呈现出“地面示范先行、地下突破验证、产品链延伸探索”的立体格局</w:t>
      </w:r>
      <w:r>
        <w:rPr>
          <w:rFonts w:hint="eastAsia" w:ascii="宋体" w:hAnsi="宋体" w:eastAsia="宋体"/>
          <w:b w:val="0"/>
          <w:bCs w:val="0"/>
          <w:sz w:val="24"/>
          <w:szCs w:val="24"/>
          <w:lang w:val="en-US" w:eastAsia="zh-CN"/>
        </w:rPr>
        <w:t>。富油煤利用</w:t>
      </w:r>
      <w:r>
        <w:rPr>
          <w:rFonts w:hint="default" w:ascii="宋体" w:hAnsi="宋体" w:eastAsia="宋体"/>
          <w:b w:val="0"/>
          <w:bCs w:val="0"/>
          <w:sz w:val="24"/>
          <w:szCs w:val="24"/>
          <w:lang w:val="en-US" w:eastAsia="zh-CN"/>
        </w:rPr>
        <w:t>产业化的主要瓶颈已从原理可行性验证，转向大规模装置的长周期稳定运行、全系统经济性提升、以及完整高值化产业链的构建。未来，地面技术的大型化、清洁化与地下技术的工程化、智能化将是并行的两大攻关主线，共同推动富油煤从一种“资源”转变为支撑能源安全与化工材料体系的“产业基石”。</w:t>
      </w:r>
    </w:p>
    <w:p>
      <w:pPr>
        <w:keepNext w:val="0"/>
        <w:keepLines w:val="0"/>
        <w:pageBreakBefore w:val="0"/>
        <w:widowControl w:val="0"/>
        <w:numPr>
          <w:ilvl w:val="0"/>
          <w:numId w:val="1"/>
        </w:numPr>
        <w:kinsoku/>
        <w:wordWrap/>
        <w:overflowPunct/>
        <w:topLinePunct w:val="0"/>
        <w:autoSpaceDE w:val="0"/>
        <w:autoSpaceDN w:val="0"/>
        <w:bidi w:val="0"/>
        <w:adjustRightInd w:val="0"/>
        <w:snapToGrid/>
        <w:spacing w:before="157" w:beforeLines="50" w:after="157" w:afterLines="50" w:line="360" w:lineRule="auto"/>
        <w:ind w:left="0" w:leftChars="0" w:firstLine="0" w:firstLineChars="0"/>
        <w:jc w:val="left"/>
        <w:textAlignment w:val="auto"/>
        <w:rPr>
          <w:rFonts w:ascii="宋体" w:hAnsi="宋体" w:eastAsia="宋体"/>
          <w:b/>
          <w:bCs/>
          <w:sz w:val="24"/>
          <w:szCs w:val="24"/>
        </w:rPr>
      </w:pPr>
      <w:r>
        <w:rPr>
          <w:rFonts w:ascii="宋体" w:hAnsi="宋体" w:eastAsia="宋体"/>
          <w:b/>
          <w:bCs/>
          <w:sz w:val="24"/>
          <w:szCs w:val="24"/>
        </w:rPr>
        <w:t>主要工作过程</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目前《原位热解模拟法测定富油煤焦油产率技术规范》团体标准经历了前期调研与准备阶段、立项阶段、草案编制阶段和实验验证阶段。</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before="157" w:beforeLines="50" w:after="157" w:afterLines="50" w:line="360" w:lineRule="auto"/>
        <w:jc w:val="left"/>
        <w:textAlignment w:val="auto"/>
        <w:rPr>
          <w:rFonts w:hint="eastAsia" w:ascii="宋体" w:hAnsi="宋体" w:eastAsia="宋体"/>
          <w:b/>
          <w:bCs/>
          <w:sz w:val="24"/>
          <w:szCs w:val="24"/>
          <w:lang w:val="en-US" w:eastAsia="zh-CN"/>
        </w:rPr>
      </w:pPr>
      <w:r>
        <w:rPr>
          <w:rFonts w:hint="eastAsia" w:ascii="宋体" w:hAnsi="宋体" w:eastAsia="宋体"/>
          <w:b/>
          <w:bCs/>
          <w:sz w:val="24"/>
          <w:szCs w:val="24"/>
          <w:lang w:val="en-US" w:eastAsia="zh-CN"/>
        </w:rPr>
        <w:t>3.1 调研与准备阶段</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default" w:ascii="宋体" w:hAnsi="宋体" w:eastAsia="宋体"/>
          <w:b w:val="0"/>
          <w:bCs w:val="0"/>
          <w:sz w:val="24"/>
          <w:szCs w:val="24"/>
          <w:lang w:val="en-US" w:eastAsia="zh-CN"/>
        </w:rPr>
      </w:pPr>
      <w:r>
        <w:rPr>
          <w:rFonts w:hint="default" w:ascii="宋体" w:hAnsi="宋体" w:eastAsia="宋体"/>
          <w:b w:val="0"/>
          <w:bCs w:val="0"/>
          <w:sz w:val="24"/>
          <w:szCs w:val="24"/>
          <w:lang w:val="en-US" w:eastAsia="zh-CN"/>
        </w:rPr>
        <w:t>标准起草组成立之后，首先开展了广泛的文献调研工作。查阅了国内外富油煤原位热解相关的学术论文</w:t>
      </w:r>
      <w:r>
        <w:rPr>
          <w:rFonts w:hint="eastAsia" w:ascii="宋体" w:hAnsi="宋体" w:eastAsia="宋体"/>
          <w:b w:val="0"/>
          <w:bCs w:val="0"/>
          <w:sz w:val="24"/>
          <w:szCs w:val="24"/>
          <w:lang w:val="en-US" w:eastAsia="zh-CN"/>
        </w:rPr>
        <w:t>282项（附录1）</w:t>
      </w:r>
      <w:r>
        <w:rPr>
          <w:rFonts w:hint="default" w:ascii="宋体" w:hAnsi="宋体" w:eastAsia="宋体"/>
          <w:b w:val="0"/>
          <w:bCs w:val="0"/>
          <w:sz w:val="24"/>
          <w:szCs w:val="24"/>
          <w:lang w:val="en-US" w:eastAsia="zh-CN"/>
        </w:rPr>
        <w:t>，系统梳理了富油煤的形成机制、赋存特征、原位热解技术原理、热质传递规律、产物分布特征等方面的研究进展</w:t>
      </w:r>
      <w:r>
        <w:rPr>
          <w:rFonts w:hint="eastAsia" w:ascii="宋体" w:hAnsi="宋体" w:eastAsia="宋体"/>
          <w:b w:val="0"/>
          <w:bCs w:val="0"/>
          <w:sz w:val="24"/>
          <w:szCs w:val="24"/>
          <w:lang w:val="en-US" w:eastAsia="zh-CN"/>
        </w:rPr>
        <w:t>。调研了国内外煤焦油的相关标准，包括国家标准、行业标准和团体标准共37项，国外标准20项（附录2），分析了现有标准的适用范围和技术特点，识别出标准空白和技术需求。同时，为深入了解富油煤原位热解技术的实际应用情况，标准起草组先后赴新疆三塘湖盆地、陕西榆神府矿区、鄂尔多斯盆地等典型富油煤矿区开展实地调研，获取富油煤煤层赋存特征、开采条件、原位热解现场试验情况以及企业和科研机构的技术需求等一手资料。</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在此基础上，</w:t>
      </w:r>
      <w:r>
        <w:rPr>
          <w:rFonts w:hint="default" w:ascii="宋体" w:hAnsi="宋体" w:eastAsia="宋体"/>
          <w:b w:val="0"/>
          <w:bCs w:val="0"/>
          <w:sz w:val="24"/>
          <w:szCs w:val="24"/>
          <w:lang w:val="en-US" w:eastAsia="zh-CN"/>
        </w:rPr>
        <w:t>标准起草组</w:t>
      </w:r>
      <w:r>
        <w:rPr>
          <w:rFonts w:hint="eastAsia" w:ascii="宋体" w:hAnsi="宋体" w:eastAsia="宋体"/>
          <w:b w:val="0"/>
          <w:bCs w:val="0"/>
          <w:sz w:val="24"/>
          <w:szCs w:val="24"/>
          <w:lang w:val="en-US" w:eastAsia="zh-CN"/>
        </w:rPr>
        <w:t>通过中国产学研合作促进会标准化工作办公室开展了国内外相关标准的系统查新工作，确认了拟制定标准的创新性和必要性。查新结果表明，在国内尚无专门针对富油煤原位热解模拟法测定焦油产率的技术标准；在国际范围内，美国、加拿大、澳大利亚等国家的研究机构虽然开展了煤的原位热解技术研究，但同样未形成系统的技术标准。</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before="157" w:beforeLines="50" w:after="157" w:afterLines="50" w:line="360" w:lineRule="auto"/>
        <w:jc w:val="left"/>
        <w:textAlignment w:val="auto"/>
        <w:rPr>
          <w:rFonts w:hint="eastAsia" w:ascii="宋体" w:hAnsi="宋体" w:eastAsia="宋体"/>
          <w:b/>
          <w:bCs/>
          <w:sz w:val="24"/>
          <w:szCs w:val="24"/>
          <w:lang w:val="en-US" w:eastAsia="zh-CN"/>
        </w:rPr>
      </w:pPr>
      <w:r>
        <w:rPr>
          <w:rFonts w:hint="eastAsia" w:ascii="宋体" w:hAnsi="宋体" w:eastAsia="宋体"/>
          <w:b/>
          <w:bCs/>
          <w:sz w:val="24"/>
          <w:szCs w:val="24"/>
          <w:lang w:val="en-US" w:eastAsia="zh-CN"/>
        </w:rPr>
        <w:t>3.2 立项阶段</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在调研基础上，起草组向中国产学研合作促进会标准化工作办公室提出了立项申请。中国产学研合作促进会于2025年10月21日组织召开了立项评审会议。专家组听取了标准起草单位的汇报，并进行了质询和讨论，专家组认为：该标准立项材料齐全，符合立项要求；该标准立项草案规定了运用原位热解模拟法测定富油煤焦油产率的方法、试剂和材料、仪器和设备、测试步骤、结果计算、精密度和测定报告等内容，对于富油煤在加压、气体注入条件下的热解产物产率测定方面具有实用性；该标准立项具有可行性，同意通过该团体标准的立项。同时，专家组也提出了建议与意见：建议标准名称由《富油煤焦油产率测定原位热解模拟法》变更为《原位热解模拟法测定富油煤焦油产率技术规范》；建议起草组遵守相关法律法规和强制性标准要求；落实国家产业规划；组织相关方参与标准制定；广泛征求意见；按照GB/T1.1规范起草标准草案。</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before="157" w:beforeLines="50" w:after="157" w:afterLines="50" w:line="360" w:lineRule="auto"/>
        <w:jc w:val="left"/>
        <w:textAlignment w:val="auto"/>
        <w:rPr>
          <w:rFonts w:hint="eastAsia" w:ascii="宋体" w:hAnsi="宋体" w:eastAsia="宋体"/>
          <w:b/>
          <w:bCs/>
          <w:sz w:val="24"/>
          <w:szCs w:val="24"/>
          <w:lang w:val="en-US" w:eastAsia="zh-CN"/>
        </w:rPr>
      </w:pPr>
      <w:r>
        <w:rPr>
          <w:rFonts w:hint="eastAsia" w:ascii="宋体" w:hAnsi="宋体" w:eastAsia="宋体"/>
          <w:b/>
          <w:bCs/>
          <w:sz w:val="24"/>
          <w:szCs w:val="24"/>
          <w:lang w:val="en-US" w:eastAsia="zh-CN"/>
        </w:rPr>
        <w:t>3.3 草案编制阶段</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标准起草组在前期调研基础上，结合富油煤原位热解模拟实验的研究成果，确定了标准的技术路线，即以模拟富油煤地下原位热解实际工况为核心目标，以压力、气氛、温度为基本测试条件，以焦油产率为主要测定指标。</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标准编制遵循科学性、规范性、适用性、协调性和创新性五项基本原则：科学性体现在以科研成果为基础，充分吸收国内外富油煤原位热解领域研究成果，确保技术参数、方法步骤均有充分理论依据和实验支撑，试样尺寸、控温精度（±0.2℃）、精密度等关键指标均经系统文献调研、数值模拟及多实验室比对试验确定；规范性体现在严格遵循GB/T 1.1—2020《标准化工作导则》，文件结构、条款表述、格式编排符合国家标准编写规范，术语定义与T/GRM 114—2025、GB/T 480—2019等相关标准保持一致；适用性体现在充分考虑我国富油煤资源赋存特征和原位热解工程实践需求，确保方法设备易获取、操作步骤可执行、结果数据可验证，技术参数覆盖试样直径20—100mm、压力0—30MPa（对应埋深500—3000m）、温度室温—1000℃及N</w:t>
      </w:r>
      <w:r>
        <w:rPr>
          <w:rFonts w:hint="eastAsia" w:ascii="宋体" w:hAnsi="宋体" w:eastAsia="宋体"/>
          <w:b w:val="0"/>
          <w:bCs w:val="0"/>
          <w:sz w:val="24"/>
          <w:szCs w:val="24"/>
          <w:vertAlign w:val="subscript"/>
          <w:lang w:val="en-US" w:eastAsia="zh-CN"/>
        </w:rPr>
        <w:t>2</w:t>
      </w:r>
      <w:r>
        <w:rPr>
          <w:rFonts w:hint="eastAsia" w:ascii="宋体" w:hAnsi="宋体" w:eastAsia="宋体"/>
          <w:b w:val="0"/>
          <w:bCs w:val="0"/>
          <w:sz w:val="24"/>
          <w:szCs w:val="24"/>
          <w:lang w:val="en-US" w:eastAsia="zh-CN"/>
        </w:rPr>
        <w:t>、CO</w:t>
      </w:r>
      <w:r>
        <w:rPr>
          <w:rFonts w:hint="eastAsia" w:ascii="宋体" w:hAnsi="宋体" w:eastAsia="宋体"/>
          <w:b w:val="0"/>
          <w:bCs w:val="0"/>
          <w:sz w:val="24"/>
          <w:szCs w:val="24"/>
          <w:vertAlign w:val="subscript"/>
          <w:lang w:val="en-US" w:eastAsia="zh-CN"/>
        </w:rPr>
        <w:t>2</w:t>
      </w:r>
      <w:r>
        <w:rPr>
          <w:rFonts w:hint="eastAsia" w:ascii="宋体" w:hAnsi="宋体" w:eastAsia="宋体"/>
          <w:b w:val="0"/>
          <w:bCs w:val="0"/>
          <w:sz w:val="24"/>
          <w:szCs w:val="24"/>
          <w:lang w:val="en-US" w:eastAsia="zh-CN"/>
        </w:rPr>
        <w:t>、蒸汽等工艺气体；协调性体现在与现行国家标准、行业标准相互协调，规范性引用GB/T 12937、GB/T 3715、GB 474、GB/T 480等多项标准，确保标准体系的完整性和统一性；创新性体现在系统规定原位热解模拟法测定富油煤焦油产率的技术要求，填补国内该领域技术标准空白。</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default" w:ascii="宋体" w:hAnsi="宋体" w:eastAsia="宋体"/>
          <w:b/>
          <w:bCs/>
          <w:sz w:val="24"/>
          <w:szCs w:val="24"/>
          <w:lang w:val="en-US" w:eastAsia="zh-CN"/>
        </w:rPr>
      </w:pPr>
      <w:r>
        <w:rPr>
          <w:rFonts w:hint="eastAsia" w:ascii="宋体" w:hAnsi="宋体" w:eastAsia="宋体"/>
          <w:b w:val="0"/>
          <w:bCs w:val="0"/>
          <w:sz w:val="24"/>
          <w:szCs w:val="24"/>
          <w:lang w:val="en-US" w:eastAsia="zh-CN"/>
        </w:rPr>
        <w:t>起草组编制了标准草案初稿，涵盖了范围、规范性引用文件、术语和定义、试样制备、仪器设备与测试系统、测试步骤、结果表述、精密度、测定报告等主要章节。</w:t>
      </w:r>
    </w:p>
    <w:p>
      <w:pPr>
        <w:keepNext w:val="0"/>
        <w:keepLines w:val="0"/>
        <w:pageBreakBefore w:val="0"/>
        <w:widowControl w:val="0"/>
        <w:numPr>
          <w:ilvl w:val="0"/>
          <w:numId w:val="1"/>
        </w:numPr>
        <w:kinsoku/>
        <w:wordWrap/>
        <w:overflowPunct/>
        <w:topLinePunct w:val="0"/>
        <w:autoSpaceDE w:val="0"/>
        <w:autoSpaceDN w:val="0"/>
        <w:bidi w:val="0"/>
        <w:adjustRightInd w:val="0"/>
        <w:snapToGrid/>
        <w:spacing w:before="157" w:beforeLines="50" w:after="157" w:afterLines="50" w:line="360" w:lineRule="auto"/>
        <w:ind w:left="0" w:leftChars="0" w:firstLine="0" w:firstLineChars="0"/>
        <w:jc w:val="left"/>
        <w:textAlignment w:val="auto"/>
        <w:rPr>
          <w:rFonts w:ascii="宋体" w:hAnsi="宋体" w:eastAsia="宋体"/>
          <w:b/>
          <w:bCs/>
          <w:sz w:val="24"/>
          <w:szCs w:val="24"/>
        </w:rPr>
      </w:pPr>
      <w:r>
        <w:rPr>
          <w:rFonts w:hint="eastAsia" w:ascii="宋体" w:hAnsi="宋体" w:eastAsia="宋体"/>
          <w:b/>
          <w:bCs/>
          <w:sz w:val="24"/>
          <w:szCs w:val="24"/>
        </w:rPr>
        <w:t>主要起草</w:t>
      </w:r>
      <w:r>
        <w:rPr>
          <w:rFonts w:ascii="宋体" w:hAnsi="宋体" w:eastAsia="宋体"/>
          <w:b/>
          <w:bCs/>
          <w:sz w:val="24"/>
          <w:szCs w:val="24"/>
        </w:rPr>
        <w:t>单位</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本标准的主要起草单位包括：</w:t>
      </w:r>
    </w:p>
    <w:p>
      <w:pPr>
        <w:keepNext w:val="0"/>
        <w:keepLines w:val="0"/>
        <w:pageBreakBefore w:val="0"/>
        <w:widowControl w:val="0"/>
        <w:numPr>
          <w:ilvl w:val="0"/>
          <w:numId w:val="2"/>
        </w:numPr>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新疆大学：新疆维吾尔自治区重点综合性大学，拥有地质资源与地质工程、化学工程与技术等优势学科。能源矿产勘探开发与碳封存利用研究团队长期从事新疆煤田地质勘查和煤炭资源评价研究，在富油煤赋存规律和资源评价方面积累了丰富的研究经验。</w:t>
      </w:r>
    </w:p>
    <w:p>
      <w:pPr>
        <w:keepNext w:val="0"/>
        <w:keepLines w:val="0"/>
        <w:pageBreakBefore w:val="0"/>
        <w:widowControl w:val="0"/>
        <w:numPr>
          <w:ilvl w:val="0"/>
          <w:numId w:val="2"/>
        </w:numPr>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新疆亚新煤层气投资开发（集团）有限责任公司：从事煤层气、页岩气等非常规天然气勘探开发的企业集团，在新疆地区开展了大量的煤层气、页岩气勘探开发工作，具备丰富的工程实践经验和现场试验能力。</w:t>
      </w:r>
    </w:p>
    <w:p>
      <w:pPr>
        <w:keepNext w:val="0"/>
        <w:keepLines w:val="0"/>
        <w:pageBreakBefore w:val="0"/>
        <w:widowControl w:val="0"/>
        <w:numPr>
          <w:ilvl w:val="0"/>
          <w:numId w:val="2"/>
        </w:numPr>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怀柔国家实验室新疆研究基地：国家实验室的区域创新平台，聚焦能源资源绿色低碳开发等领域，开展基础研究和关键技术攻关，为本标准制定提供了强有力的科研支撑。</w:t>
      </w:r>
    </w:p>
    <w:p>
      <w:pPr>
        <w:keepNext w:val="0"/>
        <w:keepLines w:val="0"/>
        <w:pageBreakBefore w:val="0"/>
        <w:widowControl w:val="0"/>
        <w:numPr>
          <w:ilvl w:val="0"/>
          <w:numId w:val="2"/>
        </w:numPr>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中国石油吐哈油田公司：中国石油天然气股份有限公司的地区分公司，在新疆吐哈盆地开展了多年的油气勘探开发工作，在高温高压条件下的油气开采和测试技术方面具有丰富的经验。</w:t>
      </w:r>
    </w:p>
    <w:p>
      <w:pPr>
        <w:keepNext w:val="0"/>
        <w:keepLines w:val="0"/>
        <w:pageBreakBefore w:val="0"/>
        <w:widowControl w:val="0"/>
        <w:numPr>
          <w:ilvl w:val="0"/>
          <w:numId w:val="1"/>
        </w:numPr>
        <w:kinsoku/>
        <w:wordWrap/>
        <w:overflowPunct/>
        <w:topLinePunct w:val="0"/>
        <w:autoSpaceDE w:val="0"/>
        <w:autoSpaceDN w:val="0"/>
        <w:bidi w:val="0"/>
        <w:adjustRightInd w:val="0"/>
        <w:snapToGrid/>
        <w:spacing w:before="157" w:beforeLines="50" w:after="157" w:afterLines="50" w:line="360" w:lineRule="auto"/>
        <w:ind w:left="0" w:leftChars="0" w:firstLine="0" w:firstLineChars="0"/>
        <w:jc w:val="left"/>
        <w:textAlignment w:val="auto"/>
        <w:rPr>
          <w:rFonts w:ascii="宋体" w:hAnsi="宋体" w:eastAsia="宋体"/>
          <w:b/>
          <w:bCs/>
          <w:sz w:val="24"/>
          <w:szCs w:val="24"/>
        </w:rPr>
      </w:pPr>
      <w:r>
        <w:rPr>
          <w:rFonts w:ascii="宋体" w:hAnsi="宋体" w:eastAsia="宋体"/>
          <w:b/>
          <w:bCs/>
          <w:sz w:val="24"/>
          <w:szCs w:val="24"/>
        </w:rPr>
        <w:t>标</w:t>
      </w:r>
      <w:r>
        <w:rPr>
          <w:rFonts w:hint="eastAsia" w:ascii="宋体" w:hAnsi="宋体" w:eastAsia="宋体"/>
          <w:b/>
          <w:bCs/>
          <w:sz w:val="24"/>
          <w:szCs w:val="24"/>
        </w:rPr>
        <w:t>准</w:t>
      </w:r>
      <w:r>
        <w:rPr>
          <w:rFonts w:ascii="宋体" w:hAnsi="宋体" w:eastAsia="宋体"/>
          <w:b/>
          <w:bCs/>
          <w:sz w:val="24"/>
          <w:szCs w:val="24"/>
        </w:rPr>
        <w:t>主要起草人</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标准起草组成员涵盖了高校、科研院所和生产企业等多方主体，包括煤田地质、煤化工、测试分析等多个专业领域的技术专家，体现了产学研用相结合的标准化工作特点。高校和科研院所团队负责理论研究和技术路线设计，生产企业团队负责试验验证和工程应用反馈，确保标准内容既有理论深度又具实践可行性，主要成员有新疆大学李鑫、冯烁、陈昊，新疆亚新煤层气投资开发（集团）有限责任公司韦波、胡振鹏，怀柔国家实验室新疆研究基地王子强、谢安、张华，中国石油吐哈油田公司王兴刚。</w:t>
      </w:r>
    </w:p>
    <w:p>
      <w:pPr>
        <w:keepNext w:val="0"/>
        <w:keepLines w:val="0"/>
        <w:pageBreakBefore w:val="0"/>
        <w:widowControl w:val="0"/>
        <w:kinsoku/>
        <w:wordWrap/>
        <w:overflowPunct/>
        <w:topLinePunct w:val="0"/>
        <w:autoSpaceDE w:val="0"/>
        <w:autoSpaceDN w:val="0"/>
        <w:bidi w:val="0"/>
        <w:adjustRightInd w:val="0"/>
        <w:snapToGrid/>
        <w:spacing w:line="360" w:lineRule="auto"/>
        <w:ind w:firstLine="560" w:firstLineChars="200"/>
        <w:jc w:val="left"/>
        <w:textAlignment w:val="auto"/>
        <w:rPr>
          <w:rFonts w:ascii="宋体" w:hAnsi="宋体" w:eastAsia="宋体"/>
          <w:sz w:val="28"/>
          <w:szCs w:val="28"/>
        </w:rPr>
        <w:sectPr>
          <w:pgSz w:w="11906" w:h="16838"/>
          <w:pgMar w:top="1440" w:right="1800" w:bottom="1440" w:left="1800" w:header="851" w:footer="992" w:gutter="0"/>
          <w:cols w:space="425" w:num="1"/>
          <w:docGrid w:type="lines" w:linePitch="312" w:charSpace="0"/>
        </w:sectPr>
      </w:pPr>
    </w:p>
    <w:p>
      <w:pPr>
        <w:keepNext w:val="0"/>
        <w:keepLines w:val="0"/>
        <w:pageBreakBefore w:val="0"/>
        <w:widowControl w:val="0"/>
        <w:numPr>
          <w:ilvl w:val="0"/>
          <w:numId w:val="3"/>
        </w:numPr>
        <w:kinsoku/>
        <w:wordWrap/>
        <w:overflowPunct/>
        <w:topLinePunct w:val="0"/>
        <w:autoSpaceDE w:val="0"/>
        <w:autoSpaceDN w:val="0"/>
        <w:bidi w:val="0"/>
        <w:adjustRightInd w:val="0"/>
        <w:snapToGrid/>
        <w:spacing w:line="360" w:lineRule="auto"/>
        <w:ind w:left="0" w:leftChars="0" w:firstLine="0" w:firstLineChars="0"/>
        <w:jc w:val="left"/>
        <w:textAlignment w:val="auto"/>
        <w:rPr>
          <w:rFonts w:hint="eastAsia" w:ascii="宋体" w:hAnsi="宋体" w:eastAsia="宋体"/>
          <w:sz w:val="28"/>
          <w:szCs w:val="28"/>
          <w:lang w:val="en-US" w:eastAsia="zh-CN"/>
        </w:rPr>
      </w:pPr>
      <w:r>
        <w:rPr>
          <w:rFonts w:ascii="宋体" w:hAnsi="宋体" w:eastAsia="宋体"/>
          <w:sz w:val="28"/>
          <w:szCs w:val="28"/>
        </w:rPr>
        <w:t>标准主要技术内容</w:t>
      </w:r>
      <w:r>
        <w:rPr>
          <w:rFonts w:hint="eastAsia" w:ascii="宋体" w:hAnsi="宋体" w:eastAsia="宋体"/>
          <w:sz w:val="28"/>
          <w:szCs w:val="28"/>
          <w:lang w:val="en-US" w:eastAsia="zh-CN"/>
        </w:rPr>
        <w:t>及依据</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标准针对现有格金低温干馏法无法模拟地下原位条件导致测定偏差的问题，规定了在加压和气体注入条件下，采用特定规格的富油煤试样进行热解模拟试验的方法；通过配备高温加热、液压伺服加压、气体增压及恒流控制等系统，实现对焦油、水分和半焦产率的准确测定，从而为富油煤资源潜力评价和地下原位热解工业化提供符合实际地质工况的技术标准和数据支撑。标准规定了运用原位热解模拟法测定富油煤焦油产率的方法、试剂和材料、仪器和设备、测试步骤、结果计算、精密度和测定报告，适用于富油煤在加压、气体注入条件下的热解产物产率测定。标准主要技术内容如下：</w:t>
      </w:r>
    </w:p>
    <w:p>
      <w:pPr>
        <w:keepNext w:val="0"/>
        <w:keepLines w:val="0"/>
        <w:pageBreakBefore w:val="0"/>
        <w:widowControl w:val="0"/>
        <w:numPr>
          <w:ilvl w:val="0"/>
          <w:numId w:val="4"/>
        </w:numPr>
        <w:kinsoku/>
        <w:wordWrap/>
        <w:overflowPunct/>
        <w:topLinePunct w:val="0"/>
        <w:autoSpaceDE w:val="0"/>
        <w:autoSpaceDN w:val="0"/>
        <w:bidi w:val="0"/>
        <w:adjustRightInd w:val="0"/>
        <w:snapToGrid/>
        <w:spacing w:before="157" w:beforeLines="50" w:after="157" w:afterLines="50" w:line="360" w:lineRule="auto"/>
        <w:ind w:leftChars="0"/>
        <w:jc w:val="left"/>
        <w:textAlignment w:val="auto"/>
        <w:rPr>
          <w:rFonts w:hint="eastAsia" w:ascii="宋体" w:hAnsi="宋体" w:eastAsia="宋体"/>
          <w:b/>
          <w:bCs/>
          <w:sz w:val="24"/>
          <w:szCs w:val="24"/>
          <w:lang w:val="en-US" w:eastAsia="zh-CN"/>
        </w:rPr>
      </w:pPr>
      <w:r>
        <w:rPr>
          <w:rFonts w:hint="eastAsia" w:ascii="宋体" w:hAnsi="宋体" w:eastAsia="宋体"/>
          <w:b/>
          <w:bCs/>
          <w:sz w:val="24"/>
          <w:szCs w:val="24"/>
          <w:lang w:val="en-US" w:eastAsia="zh-CN"/>
        </w:rPr>
        <w:t>适用范围</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内容：本标准适用于富油煤在加压、气体注入条件下的热解产物产率测定。明确本文件规定了原位热解模拟法测定富油煤焦油产率的方法、试剂和材料、仪器和设备、测试步骤、结果计算、精密度和测定报告等内容。</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依据：本标准适用范围的选择基于以下考虑：一方面，富油煤原位热解的核心特征是在地下一定深度进行，受围压作用，煤层处于加压状态；另一方面，为提高热解效率和焦油产率，原位热解过程中通常会注入不通气氛作为热载体或反应气体。</w:t>
      </w:r>
    </w:p>
    <w:p>
      <w:pPr>
        <w:keepNext w:val="0"/>
        <w:keepLines w:val="0"/>
        <w:pageBreakBefore w:val="0"/>
        <w:widowControl w:val="0"/>
        <w:numPr>
          <w:ilvl w:val="0"/>
          <w:numId w:val="4"/>
        </w:numPr>
        <w:kinsoku/>
        <w:wordWrap/>
        <w:overflowPunct/>
        <w:topLinePunct w:val="0"/>
        <w:autoSpaceDE w:val="0"/>
        <w:autoSpaceDN w:val="0"/>
        <w:bidi w:val="0"/>
        <w:adjustRightInd w:val="0"/>
        <w:snapToGrid/>
        <w:spacing w:before="157" w:beforeLines="50" w:after="157" w:afterLines="50" w:line="360" w:lineRule="auto"/>
        <w:ind w:leftChars="0"/>
        <w:jc w:val="left"/>
        <w:textAlignment w:val="auto"/>
        <w:rPr>
          <w:rFonts w:hint="default" w:ascii="宋体" w:hAnsi="宋体" w:eastAsia="宋体"/>
          <w:b/>
          <w:bCs/>
          <w:sz w:val="24"/>
          <w:szCs w:val="24"/>
          <w:lang w:val="en-US" w:eastAsia="zh-CN"/>
        </w:rPr>
      </w:pPr>
      <w:r>
        <w:rPr>
          <w:rFonts w:hint="eastAsia" w:ascii="宋体" w:hAnsi="宋体" w:eastAsia="宋体"/>
          <w:b/>
          <w:bCs/>
          <w:sz w:val="24"/>
          <w:szCs w:val="24"/>
          <w:lang w:val="en-US" w:eastAsia="zh-CN"/>
        </w:rPr>
        <w:t>规范性引用文件</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内容：规范性引用标准，共8项，包括：GB/T 12937煤岩术语、GB/T 3715煤质及煤分析有关术语、GB 474煤样的制备方法、GB/T 19494.2煤机械化采样 第2部分：煤样的制备、GB/T 480煤的铝甑低温干馏试验方法、GB/T 9977焦化产品术语、GB/T 1999焦化油类产品取样方法、T/GRM 114富油煤原位热解术语。</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依据：在前期对相关国内外标准调研基础上，上述8项引用文件为本标准提供了术语定义、试样制备、产品分类等方面的基础支撑。</w:t>
      </w:r>
    </w:p>
    <w:p>
      <w:pPr>
        <w:keepNext w:val="0"/>
        <w:keepLines w:val="0"/>
        <w:pageBreakBefore w:val="0"/>
        <w:widowControl w:val="0"/>
        <w:numPr>
          <w:ilvl w:val="0"/>
          <w:numId w:val="4"/>
        </w:numPr>
        <w:kinsoku/>
        <w:wordWrap/>
        <w:overflowPunct/>
        <w:topLinePunct w:val="0"/>
        <w:autoSpaceDE w:val="0"/>
        <w:autoSpaceDN w:val="0"/>
        <w:bidi w:val="0"/>
        <w:adjustRightInd w:val="0"/>
        <w:snapToGrid/>
        <w:spacing w:before="157" w:beforeLines="50" w:after="157" w:afterLines="50" w:line="360" w:lineRule="auto"/>
        <w:ind w:leftChars="0"/>
        <w:jc w:val="left"/>
        <w:textAlignment w:val="auto"/>
        <w:rPr>
          <w:rFonts w:hint="default" w:ascii="宋体" w:hAnsi="宋体" w:eastAsia="宋体"/>
          <w:b/>
          <w:bCs/>
          <w:sz w:val="24"/>
          <w:szCs w:val="24"/>
          <w:lang w:val="en-US" w:eastAsia="zh-CN"/>
        </w:rPr>
      </w:pPr>
      <w:r>
        <w:rPr>
          <w:rFonts w:hint="eastAsia" w:ascii="宋体" w:hAnsi="宋体" w:eastAsia="宋体"/>
          <w:b/>
          <w:bCs/>
          <w:sz w:val="24"/>
          <w:szCs w:val="24"/>
          <w:lang w:val="en-US" w:eastAsia="zh-CN"/>
        </w:rPr>
        <w:t>术语与定义</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内容：规定了本文件使用的3个主要术语及其定义，即富油煤-焦油产率大于等于7%的煤种；原位热解模拟-模拟地下热解工况条件，在加压、气体注入条件下煤样进行热解处理的过程；焦油产率-单位质量煤样在热解后所得焦油的质量百分比。</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依据：富油煤定义在T/GRM 114富油煤原位热解术语及各文献中十分统一，核心指标均为焦油产率大于等于7%；原位热解模拟是本标准主要方法，与现有铝甑低温干馏试验方法、格金试验方法的差异在于模拟实际地下热解时的压力和气体注入条件，以获得更符合实际生产条件下的焦油产率；焦油产率的定义与现有煤焦油产率测定标准（如GB/T 480）的表述方式一致，便于结果对比和数据积累。</w:t>
      </w:r>
    </w:p>
    <w:p>
      <w:pPr>
        <w:keepNext w:val="0"/>
        <w:keepLines w:val="0"/>
        <w:pageBreakBefore w:val="0"/>
        <w:widowControl w:val="0"/>
        <w:numPr>
          <w:ilvl w:val="0"/>
          <w:numId w:val="4"/>
        </w:numPr>
        <w:kinsoku/>
        <w:wordWrap/>
        <w:overflowPunct/>
        <w:topLinePunct w:val="0"/>
        <w:autoSpaceDE w:val="0"/>
        <w:autoSpaceDN w:val="0"/>
        <w:bidi w:val="0"/>
        <w:adjustRightInd w:val="0"/>
        <w:snapToGrid/>
        <w:spacing w:before="157" w:beforeLines="50" w:after="157" w:afterLines="50" w:line="360" w:lineRule="auto"/>
        <w:ind w:leftChars="0"/>
        <w:jc w:val="left"/>
        <w:textAlignment w:val="auto"/>
        <w:rPr>
          <w:rFonts w:hint="default" w:ascii="宋体" w:hAnsi="宋体" w:eastAsia="宋体"/>
          <w:b/>
          <w:bCs/>
          <w:sz w:val="24"/>
          <w:szCs w:val="24"/>
          <w:lang w:val="en-US" w:eastAsia="zh-CN"/>
        </w:rPr>
      </w:pPr>
      <w:r>
        <w:rPr>
          <w:rFonts w:hint="eastAsia" w:ascii="宋体" w:hAnsi="宋体" w:eastAsia="宋体"/>
          <w:b/>
          <w:bCs/>
          <w:sz w:val="24"/>
          <w:szCs w:val="24"/>
          <w:lang w:val="en-US" w:eastAsia="zh-CN"/>
        </w:rPr>
        <w:t>试样</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内容1：规定了原位热解模拟试样可选用钻孔芯样和块状煤样，块状煤样需采用钻孔设备钻取圆柱形样芯，并采用切割打磨设备按试验所需规格加工。</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依据1：钻孔芯样能够保持煤样的原始结构和状态，地下原位代表性好，但获取成本较高，且样品量相对较少；块状煤样加工方便，经济性好，但取自开采煤矿可能对煤样原始状态有一定影响。为满足两种试样的可用性，使用块状煤样时，需采用钻孔设备钻取圆柱形样芯，以保持试样的一致性。</w:t>
      </w:r>
    </w:p>
    <w:p>
      <w:pPr>
        <w:pStyle w:val="9"/>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theme="minorBidi"/>
          <w:b w:val="0"/>
          <w:bCs w:val="0"/>
          <w:kern w:val="2"/>
          <w:sz w:val="24"/>
          <w:szCs w:val="24"/>
          <w:lang w:val="en-US" w:eastAsia="zh-CN" w:bidi="ar-SA"/>
        </w:rPr>
      </w:pPr>
      <w:r>
        <w:rPr>
          <w:rFonts w:hint="eastAsia" w:ascii="宋体" w:hAnsi="宋体" w:eastAsia="宋体" w:cstheme="minorBidi"/>
          <w:b w:val="0"/>
          <w:bCs w:val="0"/>
          <w:kern w:val="2"/>
          <w:sz w:val="24"/>
          <w:szCs w:val="24"/>
          <w:lang w:val="en-US" w:eastAsia="zh-CN" w:bidi="ar-SA"/>
        </w:rPr>
        <w:t>内容2：试样应为圆柱体试样，尺寸宜为直径100mm、长度500mm。试样可将多段直径相同圆柱体拼接，拼接面需径向切割并打磨平整。钻孔芯样可按比例缩放。</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依据2：圆柱体试样内部温度场和压力场分布相对均匀，测试结果具有代表性，且便于加工和装卸，设备通用性强。调研发现，通常加热井与生产井之间的水平距离设计在10米到30米之间，而为了保证较好的热效率，4米以上的中厚煤层往往被优先选择，因此实际工况下垂直方向和水平方向煤的范围约为1:5，故按比例缩小试样规格为直径100mm、长度500mm。若因岩心断裂等原因造成试样不平整，应</w:t>
      </w:r>
      <w:r>
        <w:rPr>
          <w:rFonts w:hint="eastAsia" w:ascii="宋体" w:hAnsi="宋体" w:eastAsia="宋体" w:cstheme="minorBidi"/>
          <w:b w:val="0"/>
          <w:bCs w:val="0"/>
          <w:kern w:val="2"/>
          <w:sz w:val="24"/>
          <w:szCs w:val="24"/>
          <w:lang w:val="en-US" w:eastAsia="zh-CN" w:bidi="ar-SA"/>
        </w:rPr>
        <w:t>切割并打磨平整，否则容易在加压时造成失稳、破坏。</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内容3：规定了试样制备的流程和精度。原始试样在采集、运输和制备过程中宜避免外界扰动和损伤；制备圆柱形试样时，宜采用钻孔设备钻取圆柱形样芯，并采用切割打磨设备按试验所需尺寸加工；试样两端面的不平整度允许偏差为±0.02mm；试样高度、直径的允许偏差为±0.1mm；试样端面应垂直于试样轴线，允许偏差为±0.20°；相同试验条件下每组试样的数量应不少于2个；试样外需用钛合金套管包裹。</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依据3：试样端面的平整度和垂直度直接影响密封性能和压力传递的均匀性，进而影响热解产物产率的测定结果，故对平整度、偏差等进行了规定；相同试验条件下每组试样的数量应不少于2个，是考虑到原位热解模拟试验的影响因素复杂，多个试样的平行测试能够更好地反映测试方法的稳定性和结果的可靠性。试样外加钛合金套管是为了保持围压加载时试样的侧向密封性，钛合金高温高压下既具有化学稳定性，又满足力学强度要求，因此选用钛合金管套。</w:t>
      </w:r>
    </w:p>
    <w:p>
      <w:pPr>
        <w:keepNext w:val="0"/>
        <w:keepLines w:val="0"/>
        <w:pageBreakBefore w:val="0"/>
        <w:widowControl w:val="0"/>
        <w:numPr>
          <w:ilvl w:val="0"/>
          <w:numId w:val="4"/>
        </w:numPr>
        <w:kinsoku/>
        <w:wordWrap/>
        <w:overflowPunct/>
        <w:topLinePunct w:val="0"/>
        <w:autoSpaceDE w:val="0"/>
        <w:autoSpaceDN w:val="0"/>
        <w:bidi w:val="0"/>
        <w:adjustRightInd w:val="0"/>
        <w:snapToGrid/>
        <w:spacing w:before="157" w:beforeLines="50" w:after="157" w:afterLines="50" w:line="360" w:lineRule="auto"/>
        <w:ind w:leftChars="0"/>
        <w:jc w:val="left"/>
        <w:textAlignment w:val="auto"/>
        <w:rPr>
          <w:rFonts w:hint="default" w:ascii="宋体" w:hAnsi="宋体" w:eastAsia="宋体"/>
          <w:b/>
          <w:bCs/>
          <w:sz w:val="24"/>
          <w:szCs w:val="24"/>
          <w:lang w:val="en-US" w:eastAsia="zh-CN"/>
        </w:rPr>
      </w:pPr>
      <w:r>
        <w:rPr>
          <w:rFonts w:hint="eastAsia" w:ascii="宋体" w:hAnsi="宋体" w:eastAsia="宋体"/>
          <w:b/>
          <w:bCs/>
          <w:sz w:val="24"/>
          <w:szCs w:val="24"/>
          <w:lang w:val="en-US" w:eastAsia="zh-CN"/>
        </w:rPr>
        <w:t>仪器设备</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内容1规定了仪器设备应符合的一般规定：试验仪器、仪表、各类传感器应进行周期性检定和校准，并按照实际检定和校准结果详实记录。若检定和校准中发现仪器仪表故障或测试精度不满足试验要求，应及时维修或更换。试样测试前应详实记录试验试样信息，试样测试后应详实记录试样变化信息。记录信息时可采用素描或拍照等记录方法。</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依据1：一般规定主要目的是确保测试数据具有可信性和准确性，符合计量认证要求。记录试样前后变化有助于分析热解过程中的物理破坏机理，为结果分析提供宏观证据。</w:t>
      </w:r>
    </w:p>
    <w:p>
      <w:pPr>
        <w:pStyle w:val="9"/>
        <w:keepNext w:val="0"/>
        <w:keepLines w:val="0"/>
        <w:pageBreakBefore w:val="0"/>
        <w:widowControl/>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heme="minorBidi"/>
          <w:b w:val="0"/>
          <w:bCs w:val="0"/>
          <w:kern w:val="2"/>
          <w:sz w:val="24"/>
          <w:szCs w:val="24"/>
          <w:lang w:val="en-US" w:eastAsia="zh-CN" w:bidi="ar-SA"/>
        </w:rPr>
      </w:pPr>
      <w:r>
        <w:rPr>
          <w:rFonts w:hint="eastAsia" w:ascii="宋体" w:hAnsi="宋体" w:eastAsia="宋体" w:cstheme="minorBidi"/>
          <w:b w:val="0"/>
          <w:bCs w:val="0"/>
          <w:kern w:val="2"/>
          <w:sz w:val="24"/>
          <w:szCs w:val="24"/>
          <w:lang w:val="en-US" w:eastAsia="zh-CN" w:bidi="ar-SA"/>
        </w:rPr>
        <w:t>内容2规定了加热设备应符合的技术要求：</w:t>
      </w:r>
    </w:p>
    <w:p>
      <w:pPr>
        <w:pStyle w:val="9"/>
        <w:keepNext w:val="0"/>
        <w:keepLines w:val="0"/>
        <w:pageBreakBefore w:val="0"/>
        <w:widowControl/>
        <w:numPr>
          <w:ilvl w:val="0"/>
          <w:numId w:val="5"/>
        </w:numPr>
        <w:kinsoku/>
        <w:wordWrap/>
        <w:overflowPunct/>
        <w:topLinePunct w:val="0"/>
        <w:autoSpaceDE/>
        <w:autoSpaceDN/>
        <w:bidi w:val="0"/>
        <w:adjustRightInd/>
        <w:snapToGrid/>
        <w:spacing w:line="360" w:lineRule="auto"/>
        <w:ind w:left="425" w:leftChars="0" w:hanging="5" w:firstLineChars="0"/>
        <w:textAlignment w:val="auto"/>
        <w:rPr>
          <w:rFonts w:hint="eastAsia" w:ascii="宋体" w:hAnsi="宋体" w:eastAsia="宋体" w:cstheme="minorBidi"/>
          <w:b w:val="0"/>
          <w:bCs w:val="0"/>
          <w:kern w:val="2"/>
          <w:sz w:val="24"/>
          <w:szCs w:val="24"/>
          <w:lang w:val="en-US" w:eastAsia="zh-CN" w:bidi="ar-SA"/>
        </w:rPr>
      </w:pPr>
      <w:r>
        <w:rPr>
          <w:rFonts w:hint="eastAsia" w:ascii="宋体" w:hAnsi="宋体" w:eastAsia="宋体" w:cstheme="minorBidi"/>
          <w:b w:val="0"/>
          <w:bCs w:val="0"/>
          <w:kern w:val="2"/>
          <w:sz w:val="24"/>
          <w:szCs w:val="24"/>
          <w:lang w:val="en-US" w:eastAsia="zh-CN" w:bidi="ar-SA"/>
        </w:rPr>
        <w:t>炉体宜采用半开式开炉方式，方便样品装卸；</w:t>
      </w:r>
    </w:p>
    <w:p>
      <w:pPr>
        <w:pStyle w:val="9"/>
        <w:keepNext w:val="0"/>
        <w:keepLines w:val="0"/>
        <w:pageBreakBefore w:val="0"/>
        <w:widowControl/>
        <w:numPr>
          <w:ilvl w:val="0"/>
          <w:numId w:val="5"/>
        </w:numPr>
        <w:kinsoku/>
        <w:wordWrap/>
        <w:overflowPunct/>
        <w:topLinePunct w:val="0"/>
        <w:autoSpaceDE/>
        <w:autoSpaceDN/>
        <w:bidi w:val="0"/>
        <w:adjustRightInd/>
        <w:snapToGrid/>
        <w:spacing w:line="360" w:lineRule="auto"/>
        <w:ind w:left="425" w:leftChars="0" w:hanging="5" w:firstLineChars="0"/>
        <w:textAlignment w:val="auto"/>
        <w:rPr>
          <w:rFonts w:hint="eastAsia" w:ascii="宋体" w:hAnsi="宋体" w:eastAsia="宋体" w:cstheme="minorBidi"/>
          <w:b w:val="0"/>
          <w:bCs w:val="0"/>
          <w:kern w:val="2"/>
          <w:sz w:val="24"/>
          <w:szCs w:val="24"/>
          <w:lang w:val="en-US" w:eastAsia="zh-CN" w:bidi="ar-SA"/>
        </w:rPr>
      </w:pPr>
      <w:r>
        <w:rPr>
          <w:rFonts w:hint="eastAsia" w:ascii="宋体" w:hAnsi="宋体" w:eastAsia="宋体" w:cstheme="minorBidi"/>
          <w:b w:val="0"/>
          <w:bCs w:val="0"/>
          <w:kern w:val="2"/>
          <w:sz w:val="24"/>
          <w:szCs w:val="24"/>
          <w:lang w:val="en-US" w:eastAsia="zh-CN" w:bidi="ar-SA"/>
        </w:rPr>
        <w:t>宜配备钛合金岩心塞与石墨密封圈，保证高温下长期稳定密封；</w:t>
      </w:r>
    </w:p>
    <w:p>
      <w:pPr>
        <w:pStyle w:val="9"/>
        <w:keepNext w:val="0"/>
        <w:keepLines w:val="0"/>
        <w:pageBreakBefore w:val="0"/>
        <w:widowControl/>
        <w:numPr>
          <w:ilvl w:val="0"/>
          <w:numId w:val="5"/>
        </w:numPr>
        <w:kinsoku/>
        <w:wordWrap/>
        <w:overflowPunct/>
        <w:topLinePunct w:val="0"/>
        <w:autoSpaceDE/>
        <w:autoSpaceDN/>
        <w:bidi w:val="0"/>
        <w:adjustRightInd/>
        <w:snapToGrid/>
        <w:spacing w:line="360" w:lineRule="auto"/>
        <w:ind w:left="425" w:leftChars="0" w:hanging="5" w:firstLineChars="0"/>
        <w:textAlignment w:val="auto"/>
        <w:rPr>
          <w:rFonts w:hint="eastAsia" w:ascii="宋体" w:hAnsi="宋体" w:eastAsia="宋体" w:cstheme="minorBidi"/>
          <w:b w:val="0"/>
          <w:bCs w:val="0"/>
          <w:kern w:val="2"/>
          <w:sz w:val="24"/>
          <w:szCs w:val="24"/>
          <w:lang w:val="en-US" w:eastAsia="zh-CN" w:bidi="ar-SA"/>
        </w:rPr>
      </w:pPr>
      <w:r>
        <w:rPr>
          <w:rFonts w:hint="eastAsia" w:ascii="宋体" w:hAnsi="宋体" w:eastAsia="宋体" w:cstheme="minorBidi"/>
          <w:b w:val="0"/>
          <w:bCs w:val="0"/>
          <w:kern w:val="2"/>
          <w:sz w:val="24"/>
          <w:szCs w:val="24"/>
          <w:lang w:val="en-US" w:eastAsia="zh-CN" w:bidi="ar-SA"/>
        </w:rPr>
        <w:t>应配备顶紧机构，补偿高温下产生的体变；</w:t>
      </w:r>
    </w:p>
    <w:p>
      <w:pPr>
        <w:pStyle w:val="9"/>
        <w:keepNext w:val="0"/>
        <w:keepLines w:val="0"/>
        <w:pageBreakBefore w:val="0"/>
        <w:widowControl/>
        <w:numPr>
          <w:ilvl w:val="0"/>
          <w:numId w:val="5"/>
        </w:numPr>
        <w:kinsoku/>
        <w:wordWrap/>
        <w:overflowPunct/>
        <w:topLinePunct w:val="0"/>
        <w:autoSpaceDE/>
        <w:autoSpaceDN/>
        <w:bidi w:val="0"/>
        <w:adjustRightInd/>
        <w:snapToGrid/>
        <w:spacing w:line="360" w:lineRule="auto"/>
        <w:ind w:left="425" w:leftChars="0" w:hanging="5" w:firstLineChars="0"/>
        <w:textAlignment w:val="auto"/>
        <w:rPr>
          <w:rFonts w:hint="eastAsia" w:ascii="宋体" w:hAnsi="宋体" w:eastAsia="宋体" w:cstheme="minorBidi"/>
          <w:b w:val="0"/>
          <w:bCs w:val="0"/>
          <w:kern w:val="2"/>
          <w:sz w:val="24"/>
          <w:szCs w:val="24"/>
          <w:lang w:val="en-US" w:eastAsia="zh-CN" w:bidi="ar-SA"/>
        </w:rPr>
      </w:pPr>
      <w:r>
        <w:rPr>
          <w:rFonts w:hint="eastAsia" w:ascii="宋体" w:hAnsi="宋体" w:eastAsia="宋体" w:cstheme="minorBidi"/>
          <w:b w:val="0"/>
          <w:bCs w:val="0"/>
          <w:kern w:val="2"/>
          <w:sz w:val="24"/>
          <w:szCs w:val="24"/>
          <w:lang w:val="en-US" w:eastAsia="zh-CN" w:bidi="ar-SA"/>
        </w:rPr>
        <w:t>炉体外部应设置柔性隔热保温层；</w:t>
      </w:r>
    </w:p>
    <w:p>
      <w:pPr>
        <w:pStyle w:val="9"/>
        <w:keepNext w:val="0"/>
        <w:keepLines w:val="0"/>
        <w:pageBreakBefore w:val="0"/>
        <w:widowControl/>
        <w:numPr>
          <w:ilvl w:val="0"/>
          <w:numId w:val="5"/>
        </w:numPr>
        <w:kinsoku/>
        <w:wordWrap/>
        <w:overflowPunct/>
        <w:topLinePunct w:val="0"/>
        <w:autoSpaceDE/>
        <w:autoSpaceDN/>
        <w:bidi w:val="0"/>
        <w:adjustRightInd/>
        <w:snapToGrid/>
        <w:spacing w:line="360" w:lineRule="auto"/>
        <w:ind w:left="425" w:leftChars="0" w:hanging="5" w:firstLineChars="0"/>
        <w:textAlignment w:val="auto"/>
        <w:rPr>
          <w:rFonts w:hint="eastAsia" w:ascii="宋体" w:hAnsi="宋体" w:eastAsia="宋体" w:cstheme="minorBidi"/>
          <w:b w:val="0"/>
          <w:bCs w:val="0"/>
          <w:kern w:val="2"/>
          <w:sz w:val="24"/>
          <w:szCs w:val="24"/>
          <w:lang w:val="en-US" w:eastAsia="zh-CN" w:bidi="ar-SA"/>
        </w:rPr>
      </w:pPr>
      <w:r>
        <w:rPr>
          <w:rFonts w:hint="eastAsia" w:ascii="宋体" w:hAnsi="宋体" w:eastAsia="宋体" w:cstheme="minorBidi"/>
          <w:b w:val="0"/>
          <w:bCs w:val="0"/>
          <w:kern w:val="2"/>
          <w:sz w:val="24"/>
          <w:szCs w:val="24"/>
          <w:lang w:val="en-US" w:eastAsia="zh-CN" w:bidi="ar-SA"/>
        </w:rPr>
        <w:t>热源最高加热温度不宜低于1000℃；</w:t>
      </w:r>
    </w:p>
    <w:p>
      <w:pPr>
        <w:pStyle w:val="9"/>
        <w:keepNext w:val="0"/>
        <w:keepLines w:val="0"/>
        <w:pageBreakBefore w:val="0"/>
        <w:widowControl/>
        <w:numPr>
          <w:ilvl w:val="0"/>
          <w:numId w:val="5"/>
        </w:numPr>
        <w:kinsoku/>
        <w:wordWrap/>
        <w:overflowPunct/>
        <w:topLinePunct w:val="0"/>
        <w:autoSpaceDE/>
        <w:autoSpaceDN/>
        <w:bidi w:val="0"/>
        <w:adjustRightInd/>
        <w:snapToGrid/>
        <w:spacing w:line="360" w:lineRule="auto"/>
        <w:ind w:left="425" w:leftChars="0" w:hanging="5" w:firstLineChars="0"/>
        <w:textAlignment w:val="auto"/>
        <w:rPr>
          <w:rFonts w:hint="default" w:ascii="宋体" w:hAnsi="宋体" w:eastAsia="宋体" w:cstheme="minorBidi"/>
          <w:b w:val="0"/>
          <w:bCs w:val="0"/>
          <w:kern w:val="2"/>
          <w:sz w:val="24"/>
          <w:szCs w:val="24"/>
          <w:lang w:val="en-US" w:eastAsia="zh-CN" w:bidi="ar-SA"/>
        </w:rPr>
      </w:pPr>
      <w:r>
        <w:rPr>
          <w:rFonts w:hint="eastAsia" w:ascii="宋体" w:hAnsi="宋体" w:eastAsia="宋体" w:cstheme="minorBidi"/>
          <w:b w:val="0"/>
          <w:bCs w:val="0"/>
          <w:kern w:val="2"/>
          <w:sz w:val="24"/>
          <w:szCs w:val="24"/>
          <w:lang w:val="en-US" w:eastAsia="zh-CN" w:bidi="ar-SA"/>
        </w:rPr>
        <w:t>应具有实时测温功能，测温点能直达样品附近的高温区域；</w:t>
      </w:r>
    </w:p>
    <w:p>
      <w:pPr>
        <w:pStyle w:val="9"/>
        <w:keepNext w:val="0"/>
        <w:keepLines w:val="0"/>
        <w:pageBreakBefore w:val="0"/>
        <w:widowControl/>
        <w:numPr>
          <w:ilvl w:val="0"/>
          <w:numId w:val="5"/>
        </w:numPr>
        <w:kinsoku/>
        <w:wordWrap/>
        <w:overflowPunct/>
        <w:topLinePunct w:val="0"/>
        <w:autoSpaceDE/>
        <w:autoSpaceDN/>
        <w:bidi w:val="0"/>
        <w:adjustRightInd/>
        <w:snapToGrid/>
        <w:spacing w:line="360" w:lineRule="auto"/>
        <w:ind w:left="425" w:leftChars="0" w:hanging="5" w:firstLineChars="0"/>
        <w:textAlignment w:val="auto"/>
        <w:rPr>
          <w:rFonts w:hint="eastAsia" w:ascii="宋体" w:hAnsi="宋体" w:eastAsia="宋体" w:cstheme="minorBidi"/>
          <w:b w:val="0"/>
          <w:bCs w:val="0"/>
          <w:kern w:val="2"/>
          <w:sz w:val="24"/>
          <w:szCs w:val="24"/>
          <w:lang w:val="en-US" w:eastAsia="zh-CN" w:bidi="ar-SA"/>
        </w:rPr>
      </w:pPr>
      <w:r>
        <w:rPr>
          <w:rFonts w:hint="eastAsia" w:ascii="宋体" w:hAnsi="宋体" w:eastAsia="宋体" w:cstheme="minorBidi"/>
          <w:b w:val="0"/>
          <w:bCs w:val="0"/>
          <w:kern w:val="2"/>
          <w:sz w:val="24"/>
          <w:szCs w:val="24"/>
          <w:lang w:val="en-US" w:eastAsia="zh-CN" w:bidi="ar-SA"/>
        </w:rPr>
        <w:t>应配备循环控温系统，全域温差不宜超过5℃，控温精度应优于±0.2℃。</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依据2：半开式设计便于装卸沉重的样品和岩心塞，提高测试的操作便捷性。实验涉及高温和高压，钛合金耐高温且强度高，石墨密封圈在高温下具有良好的自润滑和密封性能，防止挥发分泄漏或外部气体进入。煤在热解过程中会发生软化、收缩或膨胀。顶紧机构用于补偿这种体积变化，确保电极或传热面始终与煤样接触，并维持设定的轴压。炉体外层包裹隔热保温层，既模拟了煤层在地下的保温效果，也隔离了外部温度变化对测试的扰动。虽然常规热解可能在600℃左右完成，但设定1000℃上限是为了满足不同工艺条件的极限测试需求及加热速率控制，以探索原位热解最佳工艺条件。煤的热解反应对温度敏感，全域温差</w:t>
      </w:r>
      <w:r>
        <w:rPr>
          <w:rFonts w:hint="eastAsia" w:ascii="宋体" w:hAnsi="宋体" w:eastAsia="宋体" w:cstheme="minorBidi"/>
          <w:b w:val="0"/>
          <w:bCs w:val="0"/>
          <w:kern w:val="2"/>
          <w:sz w:val="24"/>
          <w:szCs w:val="24"/>
          <w:lang w:val="en-US" w:eastAsia="zh-CN" w:bidi="ar-SA"/>
        </w:rPr>
        <w:t>不宜超过5℃</w:t>
      </w:r>
      <w:r>
        <w:rPr>
          <w:rFonts w:hint="eastAsia" w:ascii="宋体" w:hAnsi="宋体" w:eastAsia="宋体"/>
          <w:b w:val="0"/>
          <w:bCs w:val="0"/>
          <w:sz w:val="24"/>
          <w:szCs w:val="24"/>
          <w:lang w:val="en-US" w:eastAsia="zh-CN"/>
        </w:rPr>
        <w:t>是为了保证圆柱形大尺寸试样受热均匀，避免局部过热或反应不完全，从而准确测定焦油产率。</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内容3</w:t>
      </w:r>
      <w:r>
        <w:rPr>
          <w:rFonts w:hint="eastAsia" w:ascii="宋体" w:hAnsi="宋体" w:eastAsia="宋体" w:cstheme="minorBidi"/>
          <w:b w:val="0"/>
          <w:bCs w:val="0"/>
          <w:kern w:val="2"/>
          <w:sz w:val="24"/>
          <w:szCs w:val="24"/>
          <w:lang w:val="en-US" w:eastAsia="zh-CN" w:bidi="ar-SA"/>
        </w:rPr>
        <w:t>规定了加压设备应符合的技术要求</w:t>
      </w:r>
      <w:r>
        <w:rPr>
          <w:rFonts w:hint="eastAsia" w:ascii="宋体" w:hAnsi="宋体" w:eastAsia="宋体"/>
          <w:b w:val="0"/>
          <w:bCs w:val="0"/>
          <w:sz w:val="24"/>
          <w:szCs w:val="24"/>
          <w:lang w:val="en-US" w:eastAsia="zh-CN"/>
        </w:rPr>
        <w:t>：</w:t>
      </w:r>
    </w:p>
    <w:p>
      <w:pPr>
        <w:pStyle w:val="9"/>
        <w:keepNext w:val="0"/>
        <w:keepLines w:val="0"/>
        <w:pageBreakBefore w:val="0"/>
        <w:widowControl/>
        <w:numPr>
          <w:ilvl w:val="0"/>
          <w:numId w:val="6"/>
        </w:numPr>
        <w:kinsoku/>
        <w:wordWrap/>
        <w:overflowPunct/>
        <w:topLinePunct w:val="0"/>
        <w:autoSpaceDE/>
        <w:autoSpaceDN/>
        <w:bidi w:val="0"/>
        <w:adjustRightInd/>
        <w:snapToGrid/>
        <w:spacing w:line="360" w:lineRule="auto"/>
        <w:ind w:left="425" w:leftChars="0" w:hanging="5" w:firstLineChars="0"/>
        <w:textAlignment w:val="auto"/>
        <w:rPr>
          <w:rFonts w:hint="eastAsia" w:ascii="宋体" w:hAnsi="宋体" w:eastAsia="宋体" w:cstheme="minorBidi"/>
          <w:b w:val="0"/>
          <w:bCs w:val="0"/>
          <w:kern w:val="2"/>
          <w:sz w:val="24"/>
          <w:szCs w:val="24"/>
          <w:lang w:val="en-US" w:eastAsia="zh-CN" w:bidi="ar-SA"/>
        </w:rPr>
      </w:pPr>
      <w:r>
        <w:rPr>
          <w:rFonts w:hint="eastAsia" w:ascii="宋体" w:hAnsi="宋体" w:eastAsia="宋体" w:cstheme="minorBidi"/>
          <w:b w:val="0"/>
          <w:bCs w:val="0"/>
          <w:kern w:val="2"/>
          <w:sz w:val="24"/>
          <w:szCs w:val="24"/>
          <w:lang w:val="en-US" w:eastAsia="zh-CN" w:bidi="ar-SA"/>
        </w:rPr>
        <w:t>能够独立加载围压和轴压；</w:t>
      </w:r>
    </w:p>
    <w:p>
      <w:pPr>
        <w:pStyle w:val="9"/>
        <w:keepNext w:val="0"/>
        <w:keepLines w:val="0"/>
        <w:pageBreakBefore w:val="0"/>
        <w:widowControl/>
        <w:numPr>
          <w:ilvl w:val="0"/>
          <w:numId w:val="6"/>
        </w:numPr>
        <w:kinsoku/>
        <w:wordWrap/>
        <w:overflowPunct/>
        <w:topLinePunct w:val="0"/>
        <w:autoSpaceDE/>
        <w:autoSpaceDN/>
        <w:bidi w:val="0"/>
        <w:adjustRightInd/>
        <w:snapToGrid/>
        <w:spacing w:line="360" w:lineRule="auto"/>
        <w:ind w:left="425" w:leftChars="0" w:hanging="5" w:firstLineChars="0"/>
        <w:textAlignment w:val="auto"/>
        <w:rPr>
          <w:rFonts w:hint="eastAsia" w:ascii="宋体" w:hAnsi="宋体" w:eastAsia="宋体" w:cstheme="minorBidi"/>
          <w:b w:val="0"/>
          <w:bCs w:val="0"/>
          <w:kern w:val="2"/>
          <w:sz w:val="24"/>
          <w:szCs w:val="24"/>
          <w:lang w:val="en-US" w:eastAsia="zh-CN" w:bidi="ar-SA"/>
        </w:rPr>
      </w:pPr>
      <w:r>
        <w:rPr>
          <w:rFonts w:hint="eastAsia" w:ascii="宋体" w:hAnsi="宋体" w:eastAsia="宋体" w:cstheme="minorBidi"/>
          <w:b w:val="0"/>
          <w:bCs w:val="0"/>
          <w:kern w:val="2"/>
          <w:sz w:val="24"/>
          <w:szCs w:val="24"/>
          <w:lang w:val="en-US" w:eastAsia="zh-CN" w:bidi="ar-SA"/>
        </w:rPr>
        <w:t>应具备轴压和围压的自动跟踪加载或恒压加载能力；</w:t>
      </w:r>
    </w:p>
    <w:p>
      <w:pPr>
        <w:pStyle w:val="9"/>
        <w:keepNext w:val="0"/>
        <w:keepLines w:val="0"/>
        <w:pageBreakBefore w:val="0"/>
        <w:widowControl/>
        <w:numPr>
          <w:ilvl w:val="0"/>
          <w:numId w:val="6"/>
        </w:numPr>
        <w:kinsoku/>
        <w:wordWrap/>
        <w:overflowPunct/>
        <w:topLinePunct w:val="0"/>
        <w:autoSpaceDE/>
        <w:autoSpaceDN/>
        <w:bidi w:val="0"/>
        <w:adjustRightInd/>
        <w:snapToGrid/>
        <w:spacing w:line="360" w:lineRule="auto"/>
        <w:ind w:left="425" w:leftChars="0" w:hanging="5" w:firstLineChars="0"/>
        <w:textAlignment w:val="auto"/>
        <w:rPr>
          <w:rFonts w:hint="eastAsia" w:ascii="宋体" w:hAnsi="宋体" w:eastAsia="宋体" w:cstheme="minorBidi"/>
          <w:b w:val="0"/>
          <w:bCs w:val="0"/>
          <w:kern w:val="2"/>
          <w:sz w:val="24"/>
          <w:szCs w:val="24"/>
          <w:lang w:val="en-US" w:eastAsia="zh-CN" w:bidi="ar-SA"/>
        </w:rPr>
      </w:pPr>
      <w:r>
        <w:rPr>
          <w:rFonts w:hint="eastAsia" w:ascii="宋体" w:hAnsi="宋体" w:eastAsia="宋体" w:cstheme="minorBidi"/>
          <w:b w:val="0"/>
          <w:bCs w:val="0"/>
          <w:kern w:val="2"/>
          <w:sz w:val="24"/>
          <w:szCs w:val="24"/>
          <w:lang w:val="en-US" w:eastAsia="zh-CN" w:bidi="ar-SA"/>
        </w:rPr>
        <w:t>施加轴压与围压上限不宜低于30MPa；</w:t>
      </w:r>
    </w:p>
    <w:p>
      <w:pPr>
        <w:pStyle w:val="9"/>
        <w:keepNext w:val="0"/>
        <w:keepLines w:val="0"/>
        <w:pageBreakBefore w:val="0"/>
        <w:widowControl/>
        <w:numPr>
          <w:ilvl w:val="0"/>
          <w:numId w:val="6"/>
        </w:numPr>
        <w:kinsoku/>
        <w:wordWrap/>
        <w:overflowPunct/>
        <w:topLinePunct w:val="0"/>
        <w:autoSpaceDE/>
        <w:autoSpaceDN/>
        <w:bidi w:val="0"/>
        <w:adjustRightInd/>
        <w:snapToGrid/>
        <w:spacing w:line="360" w:lineRule="auto"/>
        <w:ind w:left="425" w:leftChars="0" w:hanging="5" w:firstLineChars="0"/>
        <w:textAlignment w:val="auto"/>
        <w:rPr>
          <w:rFonts w:hint="eastAsia" w:ascii="宋体" w:hAnsi="宋体" w:eastAsia="宋体" w:cstheme="minorBidi"/>
          <w:b w:val="0"/>
          <w:bCs w:val="0"/>
          <w:kern w:val="2"/>
          <w:sz w:val="24"/>
          <w:szCs w:val="24"/>
          <w:lang w:val="en-US" w:eastAsia="zh-CN" w:bidi="ar-SA"/>
        </w:rPr>
      </w:pPr>
      <w:r>
        <w:rPr>
          <w:rFonts w:hint="eastAsia" w:ascii="宋体" w:hAnsi="宋体" w:eastAsia="宋体" w:cstheme="minorBidi"/>
          <w:b w:val="0"/>
          <w:bCs w:val="0"/>
          <w:kern w:val="2"/>
          <w:sz w:val="24"/>
          <w:szCs w:val="24"/>
          <w:lang w:val="en-US" w:eastAsia="zh-CN" w:bidi="ar-SA"/>
        </w:rPr>
        <w:t>传压介质应耐最高加热温度；</w:t>
      </w:r>
    </w:p>
    <w:p>
      <w:pPr>
        <w:pStyle w:val="9"/>
        <w:keepNext w:val="0"/>
        <w:keepLines w:val="0"/>
        <w:pageBreakBefore w:val="0"/>
        <w:widowControl/>
        <w:numPr>
          <w:ilvl w:val="0"/>
          <w:numId w:val="6"/>
        </w:numPr>
        <w:kinsoku/>
        <w:wordWrap/>
        <w:overflowPunct/>
        <w:topLinePunct w:val="0"/>
        <w:autoSpaceDE/>
        <w:autoSpaceDN/>
        <w:bidi w:val="0"/>
        <w:adjustRightInd/>
        <w:snapToGrid/>
        <w:spacing w:line="360" w:lineRule="auto"/>
        <w:ind w:left="425" w:leftChars="0" w:hanging="5" w:firstLineChars="0"/>
        <w:textAlignment w:val="auto"/>
        <w:rPr>
          <w:rFonts w:hint="default" w:ascii="宋体" w:hAnsi="宋体" w:eastAsia="宋体" w:cstheme="minorBidi"/>
          <w:b w:val="0"/>
          <w:bCs w:val="0"/>
          <w:kern w:val="2"/>
          <w:sz w:val="24"/>
          <w:szCs w:val="24"/>
          <w:lang w:val="en-US" w:eastAsia="zh-CN" w:bidi="ar-SA"/>
        </w:rPr>
      </w:pPr>
      <w:r>
        <w:rPr>
          <w:rFonts w:hint="eastAsia" w:ascii="宋体" w:hAnsi="宋体" w:eastAsia="宋体" w:cstheme="minorBidi"/>
          <w:b w:val="0"/>
          <w:bCs w:val="0"/>
          <w:kern w:val="2"/>
          <w:sz w:val="24"/>
          <w:szCs w:val="24"/>
          <w:lang w:val="en-US" w:eastAsia="zh-CN" w:bidi="ar-SA"/>
        </w:rPr>
        <w:t>应配备循环冷却装置，用于长时间加压时设备的散热。</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依据3：地下深处煤层受到的上覆岩层压力（轴压）和侧向水平应力（围压）不同，独立加载能够更好地模拟真实三轴应力状态。热解导致煤基质收缩，体积减小会导致压力骤降。自动跟踪加载是为了在热解全过程维持恒定的地应力模拟环境。</w:t>
      </w:r>
      <w:r>
        <w:rPr>
          <w:rFonts w:hint="eastAsia" w:ascii="宋体" w:hAnsi="宋体" w:eastAsia="宋体" w:cstheme="minorBidi"/>
          <w:b w:val="0"/>
          <w:bCs w:val="0"/>
          <w:kern w:val="2"/>
          <w:sz w:val="24"/>
          <w:szCs w:val="24"/>
          <w:lang w:val="en-US" w:eastAsia="zh-CN" w:bidi="ar-SA"/>
        </w:rPr>
        <w:t>施加轴压与围压上限来源于广泛文献调研，如有经验公式σv =0.0245h(σv为垂直应力/MPa，h为埋深/m)，也有取压力梯度1.5MPa/100m，综合来看，普遍认为1000米深煤层处于一个20-30MPa的应力环境，因此取30MPa为轴压与围压上限。为防止液压油在高温下分解失效或设备因长期运行过热损坏，保证实验过程的连续性和安全性，故要求传压介质应耐最高加热温度，并应配备循环冷却装置，用于长时间加压时设备的散热。</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内容4</w:t>
      </w:r>
      <w:r>
        <w:rPr>
          <w:rFonts w:hint="eastAsia" w:ascii="宋体" w:hAnsi="宋体" w:eastAsia="宋体" w:cstheme="minorBidi"/>
          <w:b w:val="0"/>
          <w:bCs w:val="0"/>
          <w:kern w:val="2"/>
          <w:sz w:val="24"/>
          <w:szCs w:val="24"/>
          <w:lang w:val="en-US" w:eastAsia="zh-CN" w:bidi="ar-SA"/>
        </w:rPr>
        <w:t>规定了气体注入设备应符合的技术要求</w:t>
      </w:r>
      <w:r>
        <w:rPr>
          <w:rFonts w:hint="eastAsia" w:ascii="宋体" w:hAnsi="宋体" w:eastAsia="宋体"/>
          <w:b w:val="0"/>
          <w:bCs w:val="0"/>
          <w:sz w:val="24"/>
          <w:szCs w:val="24"/>
          <w:lang w:val="en-US" w:eastAsia="zh-CN"/>
        </w:rPr>
        <w:t>：</w:t>
      </w:r>
    </w:p>
    <w:p>
      <w:pPr>
        <w:pStyle w:val="9"/>
        <w:keepNext w:val="0"/>
        <w:keepLines w:val="0"/>
        <w:pageBreakBefore w:val="0"/>
        <w:widowControl/>
        <w:numPr>
          <w:ilvl w:val="0"/>
          <w:numId w:val="7"/>
        </w:numPr>
        <w:kinsoku/>
        <w:wordWrap/>
        <w:overflowPunct/>
        <w:topLinePunct w:val="0"/>
        <w:autoSpaceDE/>
        <w:autoSpaceDN/>
        <w:bidi w:val="0"/>
        <w:adjustRightInd/>
        <w:snapToGrid/>
        <w:spacing w:line="360" w:lineRule="auto"/>
        <w:ind w:left="425" w:leftChars="0" w:hanging="5" w:firstLineChars="0"/>
        <w:textAlignment w:val="auto"/>
        <w:rPr>
          <w:rFonts w:hint="eastAsia" w:ascii="宋体" w:hAnsi="宋体" w:eastAsia="宋体" w:cstheme="minorBidi"/>
          <w:b w:val="0"/>
          <w:bCs w:val="0"/>
          <w:kern w:val="2"/>
          <w:sz w:val="24"/>
          <w:szCs w:val="24"/>
          <w:lang w:val="en-US" w:eastAsia="zh-CN" w:bidi="ar-SA"/>
        </w:rPr>
      </w:pPr>
      <w:r>
        <w:rPr>
          <w:rFonts w:hint="eastAsia" w:ascii="宋体" w:hAnsi="宋体" w:eastAsia="宋体" w:cstheme="minorBidi"/>
          <w:b w:val="0"/>
          <w:bCs w:val="0"/>
          <w:kern w:val="2"/>
          <w:sz w:val="24"/>
          <w:szCs w:val="24"/>
          <w:lang w:val="en-US" w:eastAsia="zh-CN" w:bidi="ar-SA"/>
        </w:rPr>
        <w:t>应配备水蒸气、氮气、二氧化碳、氧气等多种气源；</w:t>
      </w:r>
    </w:p>
    <w:p>
      <w:pPr>
        <w:pStyle w:val="9"/>
        <w:keepNext w:val="0"/>
        <w:keepLines w:val="0"/>
        <w:pageBreakBefore w:val="0"/>
        <w:widowControl/>
        <w:numPr>
          <w:ilvl w:val="0"/>
          <w:numId w:val="7"/>
        </w:numPr>
        <w:tabs>
          <w:tab w:val="left" w:pos="0"/>
          <w:tab w:val="clear" w:pos="420"/>
        </w:tabs>
        <w:kinsoku/>
        <w:wordWrap/>
        <w:overflowPunct/>
        <w:topLinePunct w:val="0"/>
        <w:autoSpaceDE/>
        <w:autoSpaceDN/>
        <w:bidi w:val="0"/>
        <w:adjustRightInd/>
        <w:snapToGrid/>
        <w:spacing w:line="360" w:lineRule="auto"/>
        <w:ind w:left="0" w:leftChars="0" w:firstLine="420" w:firstLineChars="0"/>
        <w:textAlignment w:val="auto"/>
        <w:rPr>
          <w:rFonts w:hint="default" w:ascii="宋体" w:hAnsi="宋体" w:eastAsia="宋体" w:cstheme="minorBidi"/>
          <w:b w:val="0"/>
          <w:bCs w:val="0"/>
          <w:kern w:val="2"/>
          <w:sz w:val="24"/>
          <w:szCs w:val="24"/>
          <w:lang w:val="en-US" w:eastAsia="zh-CN" w:bidi="ar-SA"/>
        </w:rPr>
      </w:pPr>
      <w:r>
        <w:rPr>
          <w:rFonts w:hint="default" w:ascii="宋体" w:hAnsi="宋体" w:eastAsia="宋体" w:cstheme="minorBidi"/>
          <w:b w:val="0"/>
          <w:bCs w:val="0"/>
          <w:kern w:val="2"/>
          <w:sz w:val="24"/>
          <w:szCs w:val="24"/>
          <w:lang w:val="en-US" w:eastAsia="zh-CN" w:bidi="ar-SA"/>
        </w:rPr>
        <w:t>每种气体均</w:t>
      </w:r>
      <w:r>
        <w:rPr>
          <w:rFonts w:hint="eastAsia" w:ascii="宋体" w:hAnsi="宋体" w:eastAsia="宋体" w:cstheme="minorBidi"/>
          <w:b w:val="0"/>
          <w:bCs w:val="0"/>
          <w:kern w:val="2"/>
          <w:sz w:val="24"/>
          <w:szCs w:val="24"/>
          <w:lang w:val="en-US" w:eastAsia="zh-CN" w:bidi="ar-SA"/>
        </w:rPr>
        <w:t>应</w:t>
      </w:r>
      <w:r>
        <w:rPr>
          <w:rFonts w:hint="default" w:ascii="宋体" w:hAnsi="宋体" w:eastAsia="宋体" w:cstheme="minorBidi"/>
          <w:b w:val="0"/>
          <w:bCs w:val="0"/>
          <w:kern w:val="2"/>
          <w:sz w:val="24"/>
          <w:szCs w:val="24"/>
          <w:lang w:val="en-US" w:eastAsia="zh-CN" w:bidi="ar-SA"/>
        </w:rPr>
        <w:t>进行定量控制，气体注入流量上限不宜低于5m</w:t>
      </w:r>
      <w:r>
        <w:rPr>
          <w:rFonts w:hint="default" w:ascii="宋体" w:hAnsi="宋体" w:eastAsia="宋体" w:cstheme="minorBidi"/>
          <w:b w:val="0"/>
          <w:bCs w:val="0"/>
          <w:kern w:val="2"/>
          <w:sz w:val="24"/>
          <w:szCs w:val="24"/>
          <w:vertAlign w:val="superscript"/>
          <w:lang w:val="en-US" w:eastAsia="zh-CN" w:bidi="ar-SA"/>
        </w:rPr>
        <w:t>3</w:t>
      </w:r>
      <w:r>
        <w:rPr>
          <w:rFonts w:hint="default" w:ascii="宋体" w:hAnsi="宋体" w:eastAsia="宋体" w:cstheme="minorBidi"/>
          <w:b w:val="0"/>
          <w:bCs w:val="0"/>
          <w:kern w:val="2"/>
          <w:sz w:val="24"/>
          <w:szCs w:val="24"/>
          <w:lang w:val="en-US" w:eastAsia="zh-CN" w:bidi="ar-SA"/>
        </w:rPr>
        <w:t>/h</w:t>
      </w:r>
      <w:r>
        <w:rPr>
          <w:rFonts w:hint="eastAsia" w:ascii="宋体" w:hAnsi="宋体" w:eastAsia="宋体" w:cstheme="minorBidi"/>
          <w:b w:val="0"/>
          <w:bCs w:val="0"/>
          <w:kern w:val="2"/>
          <w:sz w:val="24"/>
          <w:szCs w:val="24"/>
          <w:lang w:val="en-US" w:eastAsia="zh-CN" w:bidi="ar-SA"/>
        </w:rPr>
        <w:t>，</w:t>
      </w:r>
      <w:r>
        <w:rPr>
          <w:rFonts w:hint="default" w:ascii="宋体" w:hAnsi="宋体" w:eastAsia="宋体" w:cstheme="minorBidi"/>
          <w:b w:val="0"/>
          <w:bCs w:val="0"/>
          <w:kern w:val="2"/>
          <w:sz w:val="24"/>
          <w:szCs w:val="24"/>
          <w:lang w:val="en-US" w:eastAsia="zh-CN" w:bidi="ar-SA"/>
        </w:rPr>
        <w:t>流量</w:t>
      </w:r>
      <w:r>
        <w:rPr>
          <w:rFonts w:hint="eastAsia" w:ascii="宋体" w:hAnsi="宋体" w:eastAsia="宋体" w:cstheme="minorBidi"/>
          <w:b w:val="0"/>
          <w:bCs w:val="0"/>
          <w:kern w:val="2"/>
          <w:sz w:val="24"/>
          <w:szCs w:val="24"/>
          <w:lang w:val="en-US" w:eastAsia="zh-CN" w:bidi="ar-SA"/>
        </w:rPr>
        <w:t>控制</w:t>
      </w:r>
      <w:r>
        <w:rPr>
          <w:rFonts w:hint="default" w:ascii="宋体" w:hAnsi="宋体" w:eastAsia="宋体" w:cstheme="minorBidi"/>
          <w:b w:val="0"/>
          <w:bCs w:val="0"/>
          <w:kern w:val="2"/>
          <w:sz w:val="24"/>
          <w:szCs w:val="24"/>
          <w:lang w:val="en-US" w:eastAsia="zh-CN" w:bidi="ar-SA"/>
        </w:rPr>
        <w:t>精度应优于±1%；</w:t>
      </w:r>
    </w:p>
    <w:p>
      <w:pPr>
        <w:pStyle w:val="9"/>
        <w:keepNext w:val="0"/>
        <w:keepLines w:val="0"/>
        <w:pageBreakBefore w:val="0"/>
        <w:widowControl/>
        <w:numPr>
          <w:ilvl w:val="0"/>
          <w:numId w:val="7"/>
        </w:numPr>
        <w:kinsoku/>
        <w:wordWrap/>
        <w:overflowPunct/>
        <w:topLinePunct w:val="0"/>
        <w:autoSpaceDE/>
        <w:autoSpaceDN/>
        <w:bidi w:val="0"/>
        <w:adjustRightInd/>
        <w:snapToGrid/>
        <w:spacing w:line="360" w:lineRule="auto"/>
        <w:ind w:left="425" w:leftChars="0" w:hanging="5" w:firstLineChars="0"/>
        <w:textAlignment w:val="auto"/>
        <w:rPr>
          <w:rFonts w:hint="default" w:ascii="宋体" w:hAnsi="宋体" w:eastAsia="宋体" w:cstheme="minorBidi"/>
          <w:b w:val="0"/>
          <w:bCs w:val="0"/>
          <w:kern w:val="2"/>
          <w:sz w:val="24"/>
          <w:szCs w:val="24"/>
          <w:lang w:val="en-US" w:eastAsia="zh-CN" w:bidi="ar-SA"/>
        </w:rPr>
      </w:pPr>
      <w:r>
        <w:rPr>
          <w:rFonts w:hint="eastAsia" w:ascii="宋体" w:hAnsi="宋体" w:eastAsia="宋体" w:cstheme="minorBidi"/>
          <w:b w:val="0"/>
          <w:bCs w:val="0"/>
          <w:kern w:val="2"/>
          <w:sz w:val="24"/>
          <w:szCs w:val="24"/>
          <w:lang w:val="en-US" w:eastAsia="zh-CN" w:bidi="ar-SA"/>
        </w:rPr>
        <w:t>应配备带安全阀和放气阀的</w:t>
      </w:r>
      <w:r>
        <w:rPr>
          <w:rFonts w:hint="default" w:ascii="宋体" w:hAnsi="宋体" w:eastAsia="宋体" w:cstheme="minorBidi"/>
          <w:b w:val="0"/>
          <w:bCs w:val="0"/>
          <w:kern w:val="2"/>
          <w:sz w:val="24"/>
          <w:szCs w:val="24"/>
          <w:lang w:val="en-US" w:eastAsia="zh-CN" w:bidi="ar-SA"/>
        </w:rPr>
        <w:t>配气罐</w:t>
      </w:r>
      <w:r>
        <w:rPr>
          <w:rFonts w:hint="eastAsia" w:ascii="宋体" w:hAnsi="宋体" w:eastAsia="宋体" w:cstheme="minorBidi"/>
          <w:b w:val="0"/>
          <w:bCs w:val="0"/>
          <w:kern w:val="2"/>
          <w:sz w:val="24"/>
          <w:szCs w:val="24"/>
          <w:lang w:val="en-US" w:eastAsia="zh-CN" w:bidi="ar-SA"/>
        </w:rPr>
        <w:t>，用于不同比例气体混合</w:t>
      </w:r>
      <w:r>
        <w:rPr>
          <w:rFonts w:hint="default" w:ascii="宋体" w:hAnsi="宋体" w:eastAsia="宋体" w:cstheme="minorBidi"/>
          <w:b w:val="0"/>
          <w:bCs w:val="0"/>
          <w:kern w:val="2"/>
          <w:sz w:val="24"/>
          <w:szCs w:val="24"/>
          <w:lang w:val="en-US" w:eastAsia="zh-CN" w:bidi="ar-SA"/>
        </w:rPr>
        <w:t>；</w:t>
      </w:r>
    </w:p>
    <w:p>
      <w:pPr>
        <w:pStyle w:val="9"/>
        <w:keepNext w:val="0"/>
        <w:keepLines w:val="0"/>
        <w:pageBreakBefore w:val="0"/>
        <w:widowControl/>
        <w:numPr>
          <w:ilvl w:val="0"/>
          <w:numId w:val="7"/>
        </w:numPr>
        <w:kinsoku/>
        <w:wordWrap/>
        <w:overflowPunct/>
        <w:topLinePunct w:val="0"/>
        <w:autoSpaceDE/>
        <w:autoSpaceDN/>
        <w:bidi w:val="0"/>
        <w:adjustRightInd/>
        <w:snapToGrid/>
        <w:spacing w:line="360" w:lineRule="auto"/>
        <w:ind w:left="425" w:leftChars="0" w:hanging="5" w:firstLineChars="0"/>
        <w:textAlignment w:val="auto"/>
        <w:rPr>
          <w:rFonts w:hint="default" w:ascii="宋体" w:hAnsi="宋体" w:eastAsia="宋体" w:cstheme="minorBidi"/>
          <w:b w:val="0"/>
          <w:bCs w:val="0"/>
          <w:kern w:val="2"/>
          <w:sz w:val="24"/>
          <w:szCs w:val="24"/>
          <w:lang w:val="en-US" w:eastAsia="zh-CN" w:bidi="ar-SA"/>
        </w:rPr>
      </w:pPr>
      <w:r>
        <w:rPr>
          <w:rFonts w:hint="eastAsia" w:ascii="宋体" w:hAnsi="宋体" w:eastAsia="宋体" w:cstheme="minorBidi"/>
          <w:b w:val="0"/>
          <w:bCs w:val="0"/>
          <w:kern w:val="2"/>
          <w:sz w:val="24"/>
          <w:szCs w:val="24"/>
          <w:lang w:val="en-US" w:eastAsia="zh-CN" w:bidi="ar-SA"/>
        </w:rPr>
        <w:t>应配备</w:t>
      </w:r>
      <w:r>
        <w:rPr>
          <w:rFonts w:hint="default" w:ascii="宋体" w:hAnsi="宋体" w:eastAsia="宋体" w:cstheme="minorBidi"/>
          <w:b w:val="0"/>
          <w:bCs w:val="0"/>
          <w:kern w:val="2"/>
          <w:sz w:val="24"/>
          <w:szCs w:val="24"/>
          <w:lang w:val="en-US" w:eastAsia="zh-CN" w:bidi="ar-SA"/>
        </w:rPr>
        <w:t>气体增压泵</w:t>
      </w:r>
      <w:r>
        <w:rPr>
          <w:rFonts w:hint="eastAsia" w:ascii="宋体" w:hAnsi="宋体" w:eastAsia="宋体" w:cstheme="minorBidi"/>
          <w:b w:val="0"/>
          <w:bCs w:val="0"/>
          <w:kern w:val="2"/>
          <w:sz w:val="24"/>
          <w:szCs w:val="24"/>
          <w:lang w:val="en-US" w:eastAsia="zh-CN" w:bidi="ar-SA"/>
        </w:rPr>
        <w:t>，</w:t>
      </w:r>
      <w:r>
        <w:rPr>
          <w:rFonts w:hint="default" w:ascii="宋体" w:hAnsi="宋体" w:eastAsia="宋体" w:cstheme="minorBidi"/>
          <w:b w:val="0"/>
          <w:bCs w:val="0"/>
          <w:kern w:val="2"/>
          <w:sz w:val="24"/>
          <w:szCs w:val="24"/>
          <w:lang w:val="en-US" w:eastAsia="zh-CN" w:bidi="ar-SA"/>
        </w:rPr>
        <w:t>控制</w:t>
      </w:r>
      <w:r>
        <w:rPr>
          <w:rFonts w:hint="eastAsia" w:ascii="宋体" w:hAnsi="宋体" w:eastAsia="宋体" w:cstheme="minorBidi"/>
          <w:b w:val="0"/>
          <w:bCs w:val="0"/>
          <w:kern w:val="2"/>
          <w:sz w:val="24"/>
          <w:szCs w:val="24"/>
          <w:lang w:val="en-US" w:eastAsia="zh-CN" w:bidi="ar-SA"/>
        </w:rPr>
        <w:t>气体注入压力，注入</w:t>
      </w:r>
      <w:r>
        <w:rPr>
          <w:rFonts w:hint="default" w:ascii="宋体" w:hAnsi="宋体" w:eastAsia="宋体" w:cstheme="minorBidi"/>
          <w:b w:val="0"/>
          <w:bCs w:val="0"/>
          <w:kern w:val="2"/>
          <w:sz w:val="24"/>
          <w:szCs w:val="24"/>
          <w:lang w:val="en-US" w:eastAsia="zh-CN" w:bidi="ar-SA"/>
        </w:rPr>
        <w:t>压力</w:t>
      </w:r>
      <w:r>
        <w:rPr>
          <w:rFonts w:hint="eastAsia" w:ascii="宋体" w:hAnsi="宋体" w:eastAsia="宋体" w:cstheme="minorBidi"/>
          <w:b w:val="0"/>
          <w:bCs w:val="0"/>
          <w:kern w:val="2"/>
          <w:sz w:val="24"/>
          <w:szCs w:val="24"/>
          <w:lang w:val="en-US" w:eastAsia="zh-CN" w:bidi="ar-SA"/>
        </w:rPr>
        <w:t>不宜低于轴压、围压</w:t>
      </w:r>
      <w:r>
        <w:rPr>
          <w:rFonts w:hint="default" w:ascii="宋体" w:hAnsi="宋体" w:eastAsia="宋体" w:cstheme="minorBidi"/>
          <w:b w:val="0"/>
          <w:bCs w:val="0"/>
          <w:kern w:val="2"/>
          <w:sz w:val="24"/>
          <w:szCs w:val="24"/>
          <w:lang w:val="en-US" w:eastAsia="zh-CN" w:bidi="ar-SA"/>
        </w:rPr>
        <w:t>；</w:t>
      </w:r>
    </w:p>
    <w:p>
      <w:pPr>
        <w:pStyle w:val="9"/>
        <w:keepNext w:val="0"/>
        <w:keepLines w:val="0"/>
        <w:pageBreakBefore w:val="0"/>
        <w:widowControl/>
        <w:numPr>
          <w:ilvl w:val="0"/>
          <w:numId w:val="7"/>
        </w:numPr>
        <w:kinsoku/>
        <w:wordWrap/>
        <w:overflowPunct/>
        <w:topLinePunct w:val="0"/>
        <w:autoSpaceDE/>
        <w:autoSpaceDN/>
        <w:bidi w:val="0"/>
        <w:adjustRightInd/>
        <w:snapToGrid/>
        <w:spacing w:line="360" w:lineRule="auto"/>
        <w:ind w:left="425" w:leftChars="0" w:hanging="5" w:firstLineChars="0"/>
        <w:textAlignment w:val="auto"/>
        <w:rPr>
          <w:rFonts w:hint="default" w:ascii="宋体" w:hAnsi="宋体" w:eastAsia="宋体" w:cstheme="minorBidi"/>
          <w:b w:val="0"/>
          <w:bCs w:val="0"/>
          <w:kern w:val="2"/>
          <w:sz w:val="24"/>
          <w:szCs w:val="24"/>
          <w:lang w:val="en-US" w:eastAsia="zh-CN" w:bidi="ar-SA"/>
        </w:rPr>
      </w:pPr>
      <w:r>
        <w:rPr>
          <w:rFonts w:hint="default" w:ascii="宋体" w:hAnsi="宋体" w:eastAsia="宋体" w:cstheme="minorBidi"/>
          <w:b w:val="0"/>
          <w:bCs w:val="0"/>
          <w:kern w:val="2"/>
          <w:sz w:val="24"/>
          <w:szCs w:val="24"/>
          <w:lang w:val="en-US" w:eastAsia="zh-CN" w:bidi="ar-SA"/>
        </w:rPr>
        <w:t>应配置高压气体流量计实时调控注入速率</w:t>
      </w:r>
      <w:r>
        <w:rPr>
          <w:rFonts w:hint="eastAsia" w:ascii="宋体" w:hAnsi="宋体" w:eastAsia="宋体" w:cstheme="minorBidi"/>
          <w:b w:val="0"/>
          <w:bCs w:val="0"/>
          <w:kern w:val="2"/>
          <w:sz w:val="24"/>
          <w:szCs w:val="24"/>
          <w:lang w:val="en-US" w:eastAsia="zh-CN" w:bidi="ar-SA"/>
        </w:rPr>
        <w:t>，</w:t>
      </w:r>
      <w:r>
        <w:rPr>
          <w:rFonts w:hint="default" w:ascii="宋体" w:hAnsi="宋体" w:eastAsia="宋体" w:cstheme="minorBidi"/>
          <w:b w:val="0"/>
          <w:bCs w:val="0"/>
          <w:kern w:val="2"/>
          <w:sz w:val="24"/>
          <w:szCs w:val="24"/>
          <w:lang w:val="en-US" w:eastAsia="zh-CN" w:bidi="ar-SA"/>
        </w:rPr>
        <w:t>流量</w:t>
      </w:r>
      <w:r>
        <w:rPr>
          <w:rFonts w:hint="eastAsia" w:ascii="宋体" w:hAnsi="宋体" w:eastAsia="宋体" w:cstheme="minorBidi"/>
          <w:b w:val="0"/>
          <w:bCs w:val="0"/>
          <w:kern w:val="2"/>
          <w:sz w:val="24"/>
          <w:szCs w:val="24"/>
          <w:lang w:val="en-US" w:eastAsia="zh-CN" w:bidi="ar-SA"/>
        </w:rPr>
        <w:t>控制</w:t>
      </w:r>
      <w:r>
        <w:rPr>
          <w:rFonts w:hint="default" w:ascii="宋体" w:hAnsi="宋体" w:eastAsia="宋体" w:cstheme="minorBidi"/>
          <w:b w:val="0"/>
          <w:bCs w:val="0"/>
          <w:kern w:val="2"/>
          <w:sz w:val="24"/>
          <w:szCs w:val="24"/>
          <w:lang w:val="en-US" w:eastAsia="zh-CN" w:bidi="ar-SA"/>
        </w:rPr>
        <w:t>精度应优于±1%。</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依据4：现代原位开采技术常采用注热气或反应气，不同气体介质对焦油产率和品质有显著影响，故要求</w:t>
      </w:r>
      <w:r>
        <w:rPr>
          <w:rFonts w:hint="eastAsia" w:ascii="宋体" w:hAnsi="宋体" w:eastAsia="宋体" w:cstheme="minorBidi"/>
          <w:b w:val="0"/>
          <w:bCs w:val="0"/>
          <w:kern w:val="2"/>
          <w:sz w:val="24"/>
          <w:szCs w:val="24"/>
          <w:lang w:val="en-US" w:eastAsia="zh-CN" w:bidi="ar-SA"/>
        </w:rPr>
        <w:t>应配备水蒸气、氮气、二氧化碳、氧气等多种气源。气体的注入量直接参与热解产物的物料平衡计算，高精度的流量控制是准确计算产率的前提，故要求每种气体均应进行定量控制，气体注入流量上限不宜低于5m3/h，流量控制精度应优于±1%。只有当注入压力高于煤层所受的地应力（轴/围压）时，气体才能有效地压入致密的煤体中，实现传热传质，故应配备</w:t>
      </w:r>
      <w:r>
        <w:rPr>
          <w:rFonts w:hint="default" w:ascii="宋体" w:hAnsi="宋体" w:eastAsia="宋体" w:cstheme="minorBidi"/>
          <w:b w:val="0"/>
          <w:bCs w:val="0"/>
          <w:kern w:val="2"/>
          <w:sz w:val="24"/>
          <w:szCs w:val="24"/>
          <w:lang w:val="en-US" w:eastAsia="zh-CN" w:bidi="ar-SA"/>
        </w:rPr>
        <w:t>气体增压泵</w:t>
      </w:r>
      <w:r>
        <w:rPr>
          <w:rFonts w:hint="eastAsia" w:ascii="宋体" w:hAnsi="宋体" w:eastAsia="宋体" w:cstheme="minorBidi"/>
          <w:b w:val="0"/>
          <w:bCs w:val="0"/>
          <w:kern w:val="2"/>
          <w:sz w:val="24"/>
          <w:szCs w:val="24"/>
          <w:lang w:val="en-US" w:eastAsia="zh-CN" w:bidi="ar-SA"/>
        </w:rPr>
        <w:t>，</w:t>
      </w:r>
      <w:r>
        <w:rPr>
          <w:rFonts w:hint="default" w:ascii="宋体" w:hAnsi="宋体" w:eastAsia="宋体" w:cstheme="minorBidi"/>
          <w:b w:val="0"/>
          <w:bCs w:val="0"/>
          <w:kern w:val="2"/>
          <w:sz w:val="24"/>
          <w:szCs w:val="24"/>
          <w:lang w:val="en-US" w:eastAsia="zh-CN" w:bidi="ar-SA"/>
        </w:rPr>
        <w:t>控制</w:t>
      </w:r>
      <w:r>
        <w:rPr>
          <w:rFonts w:hint="eastAsia" w:ascii="宋体" w:hAnsi="宋体" w:eastAsia="宋体" w:cstheme="minorBidi"/>
          <w:b w:val="0"/>
          <w:bCs w:val="0"/>
          <w:kern w:val="2"/>
          <w:sz w:val="24"/>
          <w:szCs w:val="24"/>
          <w:lang w:val="en-US" w:eastAsia="zh-CN" w:bidi="ar-SA"/>
        </w:rPr>
        <w:t>气体注入压力，注入</w:t>
      </w:r>
      <w:r>
        <w:rPr>
          <w:rFonts w:hint="default" w:ascii="宋体" w:hAnsi="宋体" w:eastAsia="宋体" w:cstheme="minorBidi"/>
          <w:b w:val="0"/>
          <w:bCs w:val="0"/>
          <w:kern w:val="2"/>
          <w:sz w:val="24"/>
          <w:szCs w:val="24"/>
          <w:lang w:val="en-US" w:eastAsia="zh-CN" w:bidi="ar-SA"/>
        </w:rPr>
        <w:t>压力</w:t>
      </w:r>
      <w:r>
        <w:rPr>
          <w:rFonts w:hint="eastAsia" w:ascii="宋体" w:hAnsi="宋体" w:eastAsia="宋体" w:cstheme="minorBidi"/>
          <w:b w:val="0"/>
          <w:bCs w:val="0"/>
          <w:kern w:val="2"/>
          <w:sz w:val="24"/>
          <w:szCs w:val="24"/>
          <w:lang w:val="en-US" w:eastAsia="zh-CN" w:bidi="ar-SA"/>
        </w:rPr>
        <w:t>不宜低于轴压、围压。为满足不同气体比例的测试，应配置</w:t>
      </w:r>
      <w:r>
        <w:rPr>
          <w:rFonts w:hint="default" w:ascii="宋体" w:hAnsi="宋体" w:eastAsia="宋体" w:cstheme="minorBidi"/>
          <w:b w:val="0"/>
          <w:bCs w:val="0"/>
          <w:kern w:val="2"/>
          <w:sz w:val="24"/>
          <w:szCs w:val="24"/>
          <w:lang w:val="en-US" w:eastAsia="zh-CN" w:bidi="ar-SA"/>
        </w:rPr>
        <w:t>配气罐</w:t>
      </w:r>
      <w:r>
        <w:rPr>
          <w:rFonts w:hint="eastAsia" w:ascii="宋体" w:hAnsi="宋体" w:eastAsia="宋体" w:cstheme="minorBidi"/>
          <w:b w:val="0"/>
          <w:bCs w:val="0"/>
          <w:kern w:val="2"/>
          <w:sz w:val="24"/>
          <w:szCs w:val="24"/>
          <w:lang w:val="en-US" w:eastAsia="zh-CN" w:bidi="ar-SA"/>
        </w:rPr>
        <w:t>，提前将不同气体按比例混合；同时，配气罐要有安全阀和放气阀，保证安全性和可检测性。配置高压气体流量计实时调控注入速率，流量控制精度应优于±1%，一方面是为了保证气体均匀平稳注入，另一方面则是为了能够准确计量注入气体的量，进而能够获得生成的气体的量。</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内容5</w:t>
      </w:r>
      <w:r>
        <w:rPr>
          <w:rFonts w:hint="eastAsia" w:ascii="宋体" w:hAnsi="宋体" w:eastAsia="宋体" w:cstheme="minorBidi"/>
          <w:b w:val="0"/>
          <w:bCs w:val="0"/>
          <w:kern w:val="2"/>
          <w:sz w:val="24"/>
          <w:szCs w:val="24"/>
          <w:lang w:val="en-US" w:eastAsia="zh-CN" w:bidi="ar-SA"/>
        </w:rPr>
        <w:t>规定了产物收集设备应符合的技术要求</w:t>
      </w:r>
      <w:r>
        <w:rPr>
          <w:rFonts w:hint="eastAsia" w:ascii="宋体" w:hAnsi="宋体" w:eastAsia="宋体"/>
          <w:b w:val="0"/>
          <w:bCs w:val="0"/>
          <w:sz w:val="24"/>
          <w:szCs w:val="24"/>
          <w:lang w:val="en-US" w:eastAsia="zh-CN"/>
        </w:rPr>
        <w:t>：</w:t>
      </w:r>
    </w:p>
    <w:p>
      <w:pPr>
        <w:pStyle w:val="9"/>
        <w:keepNext w:val="0"/>
        <w:keepLines w:val="0"/>
        <w:pageBreakBefore w:val="0"/>
        <w:widowControl/>
        <w:numPr>
          <w:ilvl w:val="0"/>
          <w:numId w:val="8"/>
        </w:numPr>
        <w:kinsoku/>
        <w:wordWrap/>
        <w:overflowPunct/>
        <w:topLinePunct w:val="0"/>
        <w:autoSpaceDE/>
        <w:autoSpaceDN/>
        <w:bidi w:val="0"/>
        <w:adjustRightInd/>
        <w:snapToGrid/>
        <w:spacing w:line="360" w:lineRule="auto"/>
        <w:ind w:left="425" w:leftChars="0" w:hanging="5" w:firstLineChars="0"/>
        <w:textAlignment w:val="auto"/>
        <w:rPr>
          <w:rFonts w:hint="eastAsia" w:ascii="宋体" w:hAnsi="宋体" w:eastAsia="宋体" w:cstheme="minorBidi"/>
          <w:b w:val="0"/>
          <w:bCs w:val="0"/>
          <w:kern w:val="2"/>
          <w:sz w:val="24"/>
          <w:szCs w:val="24"/>
          <w:lang w:val="en-US" w:eastAsia="zh-CN" w:bidi="ar-SA"/>
        </w:rPr>
      </w:pPr>
      <w:r>
        <w:rPr>
          <w:rFonts w:hint="eastAsia" w:ascii="宋体" w:hAnsi="宋体" w:eastAsia="宋体" w:cstheme="minorBidi"/>
          <w:b w:val="0"/>
          <w:bCs w:val="0"/>
          <w:kern w:val="2"/>
          <w:sz w:val="24"/>
          <w:szCs w:val="24"/>
          <w:lang w:val="en-US" w:eastAsia="zh-CN" w:bidi="ar-SA"/>
        </w:rPr>
        <w:t>应配置冷却气液分离器；</w:t>
      </w:r>
    </w:p>
    <w:p>
      <w:pPr>
        <w:pStyle w:val="9"/>
        <w:keepNext w:val="0"/>
        <w:keepLines w:val="0"/>
        <w:pageBreakBefore w:val="0"/>
        <w:widowControl/>
        <w:numPr>
          <w:ilvl w:val="0"/>
          <w:numId w:val="8"/>
        </w:numPr>
        <w:kinsoku/>
        <w:wordWrap/>
        <w:overflowPunct/>
        <w:topLinePunct w:val="0"/>
        <w:autoSpaceDE/>
        <w:autoSpaceDN/>
        <w:bidi w:val="0"/>
        <w:adjustRightInd/>
        <w:snapToGrid/>
        <w:spacing w:line="360" w:lineRule="auto"/>
        <w:ind w:left="425" w:leftChars="0" w:hanging="5" w:firstLineChars="0"/>
        <w:textAlignment w:val="auto"/>
        <w:rPr>
          <w:rFonts w:hint="eastAsia" w:ascii="宋体" w:hAnsi="宋体" w:eastAsia="宋体" w:cstheme="minorBidi"/>
          <w:b w:val="0"/>
          <w:bCs w:val="0"/>
          <w:kern w:val="2"/>
          <w:sz w:val="24"/>
          <w:szCs w:val="24"/>
          <w:lang w:val="en-US" w:eastAsia="zh-CN" w:bidi="ar-SA"/>
        </w:rPr>
      </w:pPr>
      <w:r>
        <w:rPr>
          <w:rFonts w:hint="eastAsia" w:ascii="宋体" w:hAnsi="宋体" w:eastAsia="宋体" w:cstheme="minorBidi"/>
          <w:b w:val="0"/>
          <w:bCs w:val="0"/>
          <w:kern w:val="2"/>
          <w:sz w:val="24"/>
          <w:szCs w:val="24"/>
          <w:lang w:val="en-US" w:eastAsia="zh-CN" w:bidi="ar-SA"/>
        </w:rPr>
        <w:t>液体管路内径不宜低于20mm，且应一直向下延伸，防止液体凝固堵塞；</w:t>
      </w:r>
    </w:p>
    <w:p>
      <w:pPr>
        <w:pStyle w:val="9"/>
        <w:keepNext w:val="0"/>
        <w:keepLines w:val="0"/>
        <w:pageBreakBefore w:val="0"/>
        <w:widowControl/>
        <w:numPr>
          <w:ilvl w:val="0"/>
          <w:numId w:val="8"/>
        </w:numPr>
        <w:kinsoku/>
        <w:wordWrap/>
        <w:overflowPunct/>
        <w:topLinePunct w:val="0"/>
        <w:autoSpaceDE/>
        <w:autoSpaceDN/>
        <w:bidi w:val="0"/>
        <w:adjustRightInd/>
        <w:snapToGrid/>
        <w:spacing w:line="360" w:lineRule="auto"/>
        <w:ind w:left="425" w:leftChars="0" w:hanging="5" w:firstLineChars="0"/>
        <w:textAlignment w:val="auto"/>
        <w:rPr>
          <w:rFonts w:hint="eastAsia" w:ascii="宋体" w:hAnsi="宋体" w:eastAsia="宋体" w:cstheme="minorBidi"/>
          <w:b w:val="0"/>
          <w:bCs w:val="0"/>
          <w:kern w:val="2"/>
          <w:sz w:val="24"/>
          <w:szCs w:val="24"/>
          <w:lang w:val="en-US" w:eastAsia="zh-CN" w:bidi="ar-SA"/>
        </w:rPr>
      </w:pPr>
      <w:r>
        <w:rPr>
          <w:rFonts w:hint="eastAsia" w:ascii="宋体" w:hAnsi="宋体" w:eastAsia="宋体" w:cstheme="minorBidi"/>
          <w:b w:val="0"/>
          <w:bCs w:val="0"/>
          <w:kern w:val="2"/>
          <w:sz w:val="24"/>
          <w:szCs w:val="24"/>
          <w:lang w:val="en-US" w:eastAsia="zh-CN" w:bidi="ar-SA"/>
        </w:rPr>
        <w:t>气体计量计应满足计量精度0.1ml，最大量程不宜低于20m</w:t>
      </w:r>
      <w:r>
        <w:rPr>
          <w:rFonts w:hint="eastAsia" w:ascii="宋体" w:hAnsi="宋体" w:eastAsia="宋体" w:cstheme="minorBidi"/>
          <w:b w:val="0"/>
          <w:bCs w:val="0"/>
          <w:kern w:val="2"/>
          <w:sz w:val="24"/>
          <w:szCs w:val="24"/>
          <w:vertAlign w:val="superscript"/>
          <w:lang w:val="en-US" w:eastAsia="zh-CN" w:bidi="ar-SA"/>
        </w:rPr>
        <w:t>3</w:t>
      </w:r>
      <w:r>
        <w:rPr>
          <w:rFonts w:hint="eastAsia" w:ascii="宋体" w:hAnsi="宋体" w:eastAsia="宋体" w:cstheme="minorBidi"/>
          <w:b w:val="0"/>
          <w:bCs w:val="0"/>
          <w:kern w:val="2"/>
          <w:sz w:val="24"/>
          <w:szCs w:val="24"/>
          <w:lang w:val="en-US" w:eastAsia="zh-CN" w:bidi="ar-SA"/>
        </w:rPr>
        <w:t>/h</w:t>
      </w:r>
    </w:p>
    <w:p>
      <w:pPr>
        <w:pStyle w:val="9"/>
        <w:keepNext w:val="0"/>
        <w:keepLines w:val="0"/>
        <w:pageBreakBefore w:val="0"/>
        <w:widowControl/>
        <w:numPr>
          <w:ilvl w:val="0"/>
          <w:numId w:val="8"/>
        </w:numPr>
        <w:tabs>
          <w:tab w:val="left" w:pos="0"/>
          <w:tab w:val="clear" w:pos="420"/>
        </w:tabs>
        <w:kinsoku/>
        <w:wordWrap/>
        <w:overflowPunct/>
        <w:topLinePunct w:val="0"/>
        <w:autoSpaceDE/>
        <w:autoSpaceDN/>
        <w:bidi w:val="0"/>
        <w:adjustRightInd/>
        <w:snapToGrid/>
        <w:spacing w:line="360" w:lineRule="auto"/>
        <w:ind w:left="5" w:leftChars="0" w:firstLine="415" w:firstLineChars="0"/>
        <w:textAlignment w:val="auto"/>
        <w:rPr>
          <w:rFonts w:hint="eastAsia" w:ascii="宋体" w:hAnsi="宋体" w:eastAsia="宋体" w:cstheme="minorBidi"/>
          <w:b w:val="0"/>
          <w:bCs w:val="0"/>
          <w:kern w:val="2"/>
          <w:sz w:val="24"/>
          <w:szCs w:val="24"/>
          <w:lang w:val="en-US" w:eastAsia="zh-CN" w:bidi="ar-SA"/>
        </w:rPr>
      </w:pPr>
      <w:r>
        <w:rPr>
          <w:rFonts w:hint="eastAsia" w:ascii="宋体" w:hAnsi="宋体" w:eastAsia="宋体" w:cstheme="minorBidi"/>
          <w:b w:val="0"/>
          <w:bCs w:val="0"/>
          <w:kern w:val="2"/>
          <w:sz w:val="24"/>
          <w:szCs w:val="24"/>
          <w:lang w:val="en-US" w:eastAsia="zh-CN" w:bidi="ar-SA"/>
        </w:rPr>
        <w:t>液体计量宜采用精密电子天平进行测量，要求可读性0.01g、最大称量质量应不低于2000g、重复性≤±1mg、线性≤±2mg；</w:t>
      </w:r>
    </w:p>
    <w:p>
      <w:pPr>
        <w:pStyle w:val="9"/>
        <w:keepNext w:val="0"/>
        <w:keepLines w:val="0"/>
        <w:pageBreakBefore w:val="0"/>
        <w:widowControl/>
        <w:numPr>
          <w:ilvl w:val="0"/>
          <w:numId w:val="8"/>
        </w:numPr>
        <w:kinsoku/>
        <w:wordWrap/>
        <w:overflowPunct/>
        <w:topLinePunct w:val="0"/>
        <w:autoSpaceDE/>
        <w:autoSpaceDN/>
        <w:bidi w:val="0"/>
        <w:adjustRightInd/>
        <w:snapToGrid/>
        <w:spacing w:line="360" w:lineRule="auto"/>
        <w:ind w:left="425" w:leftChars="0" w:hanging="5" w:firstLineChars="0"/>
        <w:textAlignment w:val="auto"/>
        <w:rPr>
          <w:rFonts w:hint="eastAsia" w:ascii="宋体" w:hAnsi="宋体" w:eastAsia="宋体" w:cstheme="minorBidi"/>
          <w:b w:val="0"/>
          <w:bCs w:val="0"/>
          <w:kern w:val="2"/>
          <w:sz w:val="24"/>
          <w:szCs w:val="24"/>
          <w:lang w:val="en-US" w:eastAsia="zh-CN" w:bidi="ar-SA"/>
        </w:rPr>
      </w:pPr>
      <w:r>
        <w:rPr>
          <w:rFonts w:hint="eastAsia" w:ascii="宋体" w:hAnsi="宋体" w:eastAsia="宋体" w:cstheme="minorBidi"/>
          <w:b w:val="0"/>
          <w:bCs w:val="0"/>
          <w:kern w:val="2"/>
          <w:sz w:val="24"/>
          <w:szCs w:val="24"/>
          <w:lang w:val="en-US" w:eastAsia="zh-CN" w:bidi="ar-SA"/>
        </w:rPr>
        <w:t>宜配备铝箔采气袋和带盖玻璃采样瓶保存气、液产物。</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依据5：</w:t>
      </w:r>
      <w:r>
        <w:rPr>
          <w:rFonts w:hint="eastAsia" w:ascii="宋体" w:hAnsi="宋体" w:eastAsia="宋体" w:cstheme="minorBidi"/>
          <w:b w:val="0"/>
          <w:bCs w:val="0"/>
          <w:kern w:val="2"/>
          <w:sz w:val="24"/>
          <w:szCs w:val="24"/>
          <w:lang w:val="en-US" w:eastAsia="zh-CN" w:bidi="ar-SA"/>
        </w:rPr>
        <w:t>冷却气液分离器是为了防止部分焦油成分在高温时呈气态进入气体产物中。冷却后的煤焦油粘度大，遇冷极易凝固，细管路或非垂直管路容易导致焦油滞留堵塞，既造成实验失败，又导致产率测定偏低，故要求液体管路内径不宜低于20mm，且应一直向下延伸。焦油产率是该标准的核心指标，由于是模拟实验，样品量有限，产物量相对较少，必须使用高精度的计量设备来减少误差，因此要求可读性0.01g、重复性≤±1mg、线性≤±2mg。最大称量质量应不低于2000g是根据试样最大尺寸（直径100mm，长度500mm）富油煤6kg热解后30%液态产物计算所得。</w:t>
      </w:r>
    </w:p>
    <w:p>
      <w:pPr>
        <w:keepNext w:val="0"/>
        <w:keepLines w:val="0"/>
        <w:pageBreakBefore w:val="0"/>
        <w:widowControl w:val="0"/>
        <w:numPr>
          <w:ilvl w:val="0"/>
          <w:numId w:val="4"/>
        </w:numPr>
        <w:kinsoku/>
        <w:wordWrap/>
        <w:overflowPunct/>
        <w:topLinePunct w:val="0"/>
        <w:autoSpaceDE w:val="0"/>
        <w:autoSpaceDN w:val="0"/>
        <w:bidi w:val="0"/>
        <w:adjustRightInd w:val="0"/>
        <w:snapToGrid/>
        <w:spacing w:before="157" w:beforeLines="50" w:after="157" w:afterLines="50" w:line="360" w:lineRule="auto"/>
        <w:ind w:leftChars="0"/>
        <w:jc w:val="left"/>
        <w:textAlignment w:val="auto"/>
        <w:rPr>
          <w:rFonts w:hint="default" w:ascii="宋体" w:hAnsi="宋体" w:eastAsia="宋体"/>
          <w:b/>
          <w:bCs/>
          <w:sz w:val="24"/>
          <w:szCs w:val="24"/>
          <w:lang w:val="en-US" w:eastAsia="zh-CN"/>
        </w:rPr>
      </w:pPr>
      <w:r>
        <w:rPr>
          <w:rFonts w:hint="eastAsia" w:ascii="宋体" w:hAnsi="宋体" w:eastAsia="宋体"/>
          <w:b/>
          <w:bCs/>
          <w:sz w:val="24"/>
          <w:szCs w:val="24"/>
          <w:lang w:val="en-US" w:eastAsia="zh-CN"/>
        </w:rPr>
        <w:t>测试流程</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default" w:ascii="宋体" w:hAnsi="宋体" w:eastAsia="宋体"/>
          <w:b w:val="0"/>
          <w:bCs w:val="0"/>
          <w:sz w:val="24"/>
          <w:szCs w:val="24"/>
          <w:lang w:val="en-US" w:eastAsia="zh-CN"/>
        </w:rPr>
        <w:t>内容规定</w:t>
      </w:r>
      <w:r>
        <w:rPr>
          <w:rFonts w:hint="eastAsia" w:ascii="宋体" w:hAnsi="宋体" w:eastAsia="宋体"/>
          <w:b w:val="0"/>
          <w:bCs w:val="0"/>
          <w:sz w:val="24"/>
          <w:szCs w:val="24"/>
          <w:lang w:val="en-US" w:eastAsia="zh-CN"/>
        </w:rPr>
        <w:t>原位热解模拟从仪器准备到产物计量的全过程，主要包括：</w:t>
      </w:r>
    </w:p>
    <w:p>
      <w:pPr>
        <w:pStyle w:val="9"/>
        <w:keepNext w:val="0"/>
        <w:keepLines w:val="0"/>
        <w:pageBreakBefore w:val="0"/>
        <w:widowControl/>
        <w:numPr>
          <w:ilvl w:val="0"/>
          <w:numId w:val="9"/>
        </w:numPr>
        <w:tabs>
          <w:tab w:val="left" w:pos="0"/>
          <w:tab w:val="clear" w:pos="420"/>
        </w:tabs>
        <w:kinsoku/>
        <w:wordWrap/>
        <w:overflowPunct/>
        <w:topLinePunct w:val="0"/>
        <w:autoSpaceDE/>
        <w:autoSpaceDN/>
        <w:bidi w:val="0"/>
        <w:adjustRightInd/>
        <w:snapToGrid/>
        <w:spacing w:line="360" w:lineRule="auto"/>
        <w:ind w:left="5" w:leftChars="0" w:firstLine="415" w:firstLineChars="0"/>
        <w:textAlignment w:val="auto"/>
        <w:rPr>
          <w:rFonts w:hint="default" w:ascii="宋体" w:hAnsi="宋体" w:eastAsia="宋体" w:cstheme="minorBidi"/>
          <w:b w:val="0"/>
          <w:bCs w:val="0"/>
          <w:kern w:val="2"/>
          <w:sz w:val="24"/>
          <w:szCs w:val="24"/>
          <w:lang w:val="en-US" w:eastAsia="zh-CN" w:bidi="ar-SA"/>
        </w:rPr>
      </w:pPr>
      <w:r>
        <w:rPr>
          <w:rFonts w:hint="default" w:ascii="宋体" w:hAnsi="宋体" w:eastAsia="宋体" w:cstheme="minorBidi"/>
          <w:b w:val="0"/>
          <w:bCs w:val="0"/>
          <w:kern w:val="2"/>
          <w:sz w:val="24"/>
          <w:szCs w:val="24"/>
          <w:lang w:val="en-US" w:eastAsia="zh-CN" w:bidi="ar-SA"/>
        </w:rPr>
        <w:t>打开电气设备开关，检查确定各设备处于正常运行状态，查看各设备状态与数据显示是否正常。</w:t>
      </w:r>
    </w:p>
    <w:p>
      <w:pPr>
        <w:pStyle w:val="9"/>
        <w:keepNext w:val="0"/>
        <w:keepLines w:val="0"/>
        <w:pageBreakBefore w:val="0"/>
        <w:widowControl/>
        <w:numPr>
          <w:ilvl w:val="0"/>
          <w:numId w:val="9"/>
        </w:numPr>
        <w:tabs>
          <w:tab w:val="left" w:pos="0"/>
          <w:tab w:val="clear" w:pos="420"/>
        </w:tabs>
        <w:kinsoku/>
        <w:wordWrap/>
        <w:overflowPunct/>
        <w:topLinePunct w:val="0"/>
        <w:autoSpaceDE/>
        <w:autoSpaceDN/>
        <w:bidi w:val="0"/>
        <w:adjustRightInd/>
        <w:snapToGrid/>
        <w:spacing w:line="360" w:lineRule="auto"/>
        <w:ind w:left="5" w:leftChars="0" w:firstLine="415" w:firstLineChars="0"/>
        <w:textAlignment w:val="auto"/>
        <w:rPr>
          <w:rFonts w:hint="default" w:ascii="宋体" w:hAnsi="宋体" w:eastAsia="宋体" w:cstheme="minorBidi"/>
          <w:b w:val="0"/>
          <w:bCs w:val="0"/>
          <w:kern w:val="2"/>
          <w:sz w:val="24"/>
          <w:szCs w:val="24"/>
          <w:lang w:val="en-US" w:eastAsia="zh-CN" w:bidi="ar-SA"/>
        </w:rPr>
      </w:pPr>
      <w:r>
        <w:rPr>
          <w:rFonts w:hint="default" w:ascii="宋体" w:hAnsi="宋体" w:eastAsia="宋体" w:cstheme="minorBidi"/>
          <w:b w:val="0"/>
          <w:bCs w:val="0"/>
          <w:kern w:val="2"/>
          <w:sz w:val="24"/>
          <w:szCs w:val="24"/>
          <w:lang w:val="en-US" w:eastAsia="zh-CN" w:bidi="ar-SA"/>
        </w:rPr>
        <w:t>将试样放入炉体，两端装配岩心塞与石墨密封圈，紧固端盖，保证炉体的密封性。</w:t>
      </w:r>
    </w:p>
    <w:p>
      <w:pPr>
        <w:pStyle w:val="9"/>
        <w:keepNext w:val="0"/>
        <w:keepLines w:val="0"/>
        <w:pageBreakBefore w:val="0"/>
        <w:widowControl/>
        <w:numPr>
          <w:ilvl w:val="0"/>
          <w:numId w:val="9"/>
        </w:numPr>
        <w:tabs>
          <w:tab w:val="left" w:pos="0"/>
          <w:tab w:val="clear" w:pos="420"/>
        </w:tabs>
        <w:kinsoku/>
        <w:wordWrap/>
        <w:overflowPunct/>
        <w:topLinePunct w:val="0"/>
        <w:autoSpaceDE/>
        <w:autoSpaceDN/>
        <w:bidi w:val="0"/>
        <w:adjustRightInd/>
        <w:snapToGrid/>
        <w:spacing w:line="360" w:lineRule="auto"/>
        <w:ind w:left="5" w:leftChars="0" w:firstLine="415" w:firstLineChars="0"/>
        <w:textAlignment w:val="auto"/>
        <w:rPr>
          <w:rFonts w:hint="default" w:ascii="宋体" w:hAnsi="宋体" w:eastAsia="宋体" w:cstheme="minorBidi"/>
          <w:b w:val="0"/>
          <w:bCs w:val="0"/>
          <w:kern w:val="2"/>
          <w:sz w:val="24"/>
          <w:szCs w:val="24"/>
          <w:lang w:val="en-US" w:eastAsia="zh-CN" w:bidi="ar-SA"/>
        </w:rPr>
      </w:pPr>
      <w:r>
        <w:rPr>
          <w:rFonts w:hint="default" w:ascii="宋体" w:hAnsi="宋体" w:eastAsia="宋体" w:cstheme="minorBidi"/>
          <w:b w:val="0"/>
          <w:bCs w:val="0"/>
          <w:kern w:val="2"/>
          <w:sz w:val="24"/>
          <w:szCs w:val="24"/>
          <w:lang w:val="en-US" w:eastAsia="zh-CN" w:bidi="ar-SA"/>
        </w:rPr>
        <w:t>测试开始前，应用N</w:t>
      </w:r>
      <w:r>
        <w:rPr>
          <w:rFonts w:hint="default" w:ascii="宋体" w:hAnsi="宋体" w:eastAsia="宋体" w:cstheme="minorBidi"/>
          <w:b w:val="0"/>
          <w:bCs w:val="0"/>
          <w:kern w:val="2"/>
          <w:sz w:val="24"/>
          <w:szCs w:val="24"/>
          <w:vertAlign w:val="subscript"/>
          <w:lang w:val="en-US" w:eastAsia="zh-CN" w:bidi="ar-SA"/>
        </w:rPr>
        <w:t>2</w:t>
      </w:r>
      <w:r>
        <w:rPr>
          <w:rFonts w:hint="default" w:ascii="宋体" w:hAnsi="宋体" w:eastAsia="宋体" w:cstheme="minorBidi"/>
          <w:b w:val="0"/>
          <w:bCs w:val="0"/>
          <w:kern w:val="2"/>
          <w:sz w:val="24"/>
          <w:szCs w:val="24"/>
          <w:lang w:val="en-US" w:eastAsia="zh-CN" w:bidi="ar-SA"/>
        </w:rPr>
        <w:t>吹扫反应系统，吹扫时间不宜低于10min，流量不宜低于100mL/min，清洗测试系统。</w:t>
      </w:r>
    </w:p>
    <w:p>
      <w:pPr>
        <w:pStyle w:val="9"/>
        <w:keepNext w:val="0"/>
        <w:keepLines w:val="0"/>
        <w:pageBreakBefore w:val="0"/>
        <w:widowControl/>
        <w:numPr>
          <w:ilvl w:val="0"/>
          <w:numId w:val="9"/>
        </w:numPr>
        <w:tabs>
          <w:tab w:val="left" w:pos="0"/>
          <w:tab w:val="clear" w:pos="420"/>
        </w:tabs>
        <w:kinsoku/>
        <w:wordWrap/>
        <w:overflowPunct/>
        <w:topLinePunct w:val="0"/>
        <w:autoSpaceDE/>
        <w:autoSpaceDN/>
        <w:bidi w:val="0"/>
        <w:adjustRightInd/>
        <w:snapToGrid/>
        <w:spacing w:line="360" w:lineRule="auto"/>
        <w:ind w:left="5" w:leftChars="0" w:firstLine="415" w:firstLineChars="0"/>
        <w:textAlignment w:val="auto"/>
        <w:rPr>
          <w:rFonts w:hint="default" w:ascii="宋体" w:hAnsi="宋体" w:eastAsia="宋体" w:cstheme="minorBidi"/>
          <w:b w:val="0"/>
          <w:bCs w:val="0"/>
          <w:kern w:val="2"/>
          <w:sz w:val="24"/>
          <w:szCs w:val="24"/>
          <w:lang w:val="en-US" w:eastAsia="zh-CN" w:bidi="ar-SA"/>
        </w:rPr>
      </w:pPr>
      <w:r>
        <w:rPr>
          <w:rFonts w:hint="default" w:ascii="宋体" w:hAnsi="宋体" w:eastAsia="宋体" w:cstheme="minorBidi"/>
          <w:b w:val="0"/>
          <w:bCs w:val="0"/>
          <w:kern w:val="2"/>
          <w:sz w:val="24"/>
          <w:szCs w:val="24"/>
          <w:lang w:val="en-US" w:eastAsia="zh-CN" w:bidi="ar-SA"/>
        </w:rPr>
        <w:t>启动轴压加载油泵，并设定轴压压力与加载速度</w:t>
      </w:r>
      <w:r>
        <w:rPr>
          <w:rFonts w:hint="eastAsia" w:ascii="宋体" w:hAnsi="宋体" w:eastAsia="宋体" w:cstheme="minorBidi"/>
          <w:b w:val="0"/>
          <w:bCs w:val="0"/>
          <w:kern w:val="2"/>
          <w:sz w:val="24"/>
          <w:szCs w:val="24"/>
          <w:lang w:val="en-US" w:eastAsia="zh-CN" w:bidi="ar-SA"/>
        </w:rPr>
        <w:t>；</w:t>
      </w:r>
      <w:r>
        <w:rPr>
          <w:rFonts w:hint="default" w:ascii="宋体" w:hAnsi="宋体" w:eastAsia="宋体" w:cstheme="minorBidi"/>
          <w:b w:val="0"/>
          <w:bCs w:val="0"/>
          <w:kern w:val="2"/>
          <w:sz w:val="24"/>
          <w:szCs w:val="24"/>
          <w:lang w:val="en-US" w:eastAsia="zh-CN" w:bidi="ar-SA"/>
        </w:rPr>
        <w:t>启动围压加载泵，并设定围压压力与加载速度。</w:t>
      </w:r>
    </w:p>
    <w:p>
      <w:pPr>
        <w:pStyle w:val="9"/>
        <w:keepNext w:val="0"/>
        <w:keepLines w:val="0"/>
        <w:pageBreakBefore w:val="0"/>
        <w:widowControl/>
        <w:numPr>
          <w:ilvl w:val="0"/>
          <w:numId w:val="9"/>
        </w:numPr>
        <w:tabs>
          <w:tab w:val="left" w:pos="0"/>
          <w:tab w:val="clear" w:pos="420"/>
        </w:tabs>
        <w:kinsoku/>
        <w:wordWrap/>
        <w:overflowPunct/>
        <w:topLinePunct w:val="0"/>
        <w:autoSpaceDE/>
        <w:autoSpaceDN/>
        <w:bidi w:val="0"/>
        <w:adjustRightInd/>
        <w:snapToGrid/>
        <w:spacing w:line="360" w:lineRule="auto"/>
        <w:ind w:left="5" w:leftChars="0" w:firstLine="415" w:firstLineChars="0"/>
        <w:textAlignment w:val="auto"/>
        <w:rPr>
          <w:rFonts w:hint="default" w:ascii="宋体" w:hAnsi="宋体" w:eastAsia="宋体" w:cstheme="minorBidi"/>
          <w:b w:val="0"/>
          <w:bCs w:val="0"/>
          <w:kern w:val="2"/>
          <w:sz w:val="24"/>
          <w:szCs w:val="24"/>
          <w:lang w:val="en-US" w:eastAsia="zh-CN" w:bidi="ar-SA"/>
        </w:rPr>
      </w:pPr>
      <w:r>
        <w:rPr>
          <w:rFonts w:hint="default" w:ascii="宋体" w:hAnsi="宋体" w:eastAsia="宋体" w:cstheme="minorBidi"/>
          <w:b w:val="0"/>
          <w:bCs w:val="0"/>
          <w:kern w:val="2"/>
          <w:sz w:val="24"/>
          <w:szCs w:val="24"/>
          <w:lang w:val="en-US" w:eastAsia="zh-CN" w:bidi="ar-SA"/>
        </w:rPr>
        <w:t>当压力达到设定值后，打开加热系统，设定加热温度与加热时间进行加热。</w:t>
      </w:r>
    </w:p>
    <w:p>
      <w:pPr>
        <w:pStyle w:val="9"/>
        <w:keepNext w:val="0"/>
        <w:keepLines w:val="0"/>
        <w:pageBreakBefore w:val="0"/>
        <w:widowControl/>
        <w:numPr>
          <w:ilvl w:val="0"/>
          <w:numId w:val="9"/>
        </w:numPr>
        <w:tabs>
          <w:tab w:val="left" w:pos="0"/>
          <w:tab w:val="clear" w:pos="420"/>
        </w:tabs>
        <w:kinsoku/>
        <w:wordWrap/>
        <w:overflowPunct/>
        <w:topLinePunct w:val="0"/>
        <w:autoSpaceDE/>
        <w:autoSpaceDN/>
        <w:bidi w:val="0"/>
        <w:adjustRightInd/>
        <w:snapToGrid/>
        <w:spacing w:line="360" w:lineRule="auto"/>
        <w:ind w:left="5" w:leftChars="0" w:firstLine="415" w:firstLineChars="0"/>
        <w:textAlignment w:val="auto"/>
        <w:rPr>
          <w:rFonts w:hint="default" w:ascii="宋体" w:hAnsi="宋体" w:eastAsia="宋体" w:cstheme="minorBidi"/>
          <w:b w:val="0"/>
          <w:bCs w:val="0"/>
          <w:kern w:val="2"/>
          <w:sz w:val="24"/>
          <w:szCs w:val="24"/>
          <w:lang w:val="en-US" w:eastAsia="zh-CN" w:bidi="ar-SA"/>
        </w:rPr>
      </w:pPr>
      <w:r>
        <w:rPr>
          <w:rFonts w:hint="default" w:ascii="宋体" w:hAnsi="宋体" w:eastAsia="宋体" w:cstheme="minorBidi"/>
          <w:b w:val="0"/>
          <w:bCs w:val="0"/>
          <w:kern w:val="2"/>
          <w:sz w:val="24"/>
          <w:szCs w:val="24"/>
          <w:lang w:val="en-US" w:eastAsia="zh-CN" w:bidi="ar-SA"/>
        </w:rPr>
        <w:t>按照测试需求设定气体配比、流量与流速，可在加热后以设定的流速将气体注入；或在某一设定温度达到恒温后，再注入。</w:t>
      </w:r>
    </w:p>
    <w:p>
      <w:pPr>
        <w:pStyle w:val="9"/>
        <w:keepNext w:val="0"/>
        <w:keepLines w:val="0"/>
        <w:pageBreakBefore w:val="0"/>
        <w:widowControl/>
        <w:numPr>
          <w:ilvl w:val="0"/>
          <w:numId w:val="9"/>
        </w:numPr>
        <w:tabs>
          <w:tab w:val="left" w:pos="0"/>
          <w:tab w:val="clear" w:pos="420"/>
        </w:tabs>
        <w:kinsoku/>
        <w:wordWrap/>
        <w:overflowPunct/>
        <w:topLinePunct w:val="0"/>
        <w:autoSpaceDE/>
        <w:autoSpaceDN/>
        <w:bidi w:val="0"/>
        <w:adjustRightInd/>
        <w:snapToGrid/>
        <w:spacing w:line="360" w:lineRule="auto"/>
        <w:ind w:left="5" w:leftChars="0" w:firstLine="415" w:firstLineChars="0"/>
        <w:textAlignment w:val="auto"/>
        <w:rPr>
          <w:rFonts w:hint="default" w:ascii="宋体" w:hAnsi="宋体" w:eastAsia="宋体" w:cstheme="minorBidi"/>
          <w:b w:val="0"/>
          <w:bCs w:val="0"/>
          <w:kern w:val="2"/>
          <w:sz w:val="24"/>
          <w:szCs w:val="24"/>
          <w:lang w:val="en-US" w:eastAsia="zh-CN" w:bidi="ar-SA"/>
        </w:rPr>
      </w:pPr>
      <w:r>
        <w:rPr>
          <w:rFonts w:hint="default" w:ascii="宋体" w:hAnsi="宋体" w:eastAsia="宋体" w:cstheme="minorBidi"/>
          <w:b w:val="0"/>
          <w:bCs w:val="0"/>
          <w:kern w:val="2"/>
          <w:sz w:val="24"/>
          <w:szCs w:val="24"/>
          <w:lang w:val="en-US" w:eastAsia="zh-CN" w:bidi="ar-SA"/>
        </w:rPr>
        <w:t>打开连续气体计量装置，进行出口气体计量，并收集至储气罐中；转移气液分离器中液体至电子天平称量，再按照国标GB/T 480中水分测定方法，确定液体中水分产量，利用差减法计算得到焦油产率。</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default" w:ascii="宋体" w:hAnsi="宋体" w:eastAsia="宋体"/>
          <w:b w:val="0"/>
          <w:bCs w:val="0"/>
          <w:sz w:val="24"/>
          <w:szCs w:val="24"/>
          <w:lang w:val="en-US" w:eastAsia="zh-CN"/>
        </w:rPr>
        <w:t>依据：高温</w:t>
      </w:r>
      <w:r>
        <w:rPr>
          <w:rFonts w:hint="eastAsia" w:ascii="宋体" w:hAnsi="宋体" w:eastAsia="宋体"/>
          <w:b w:val="0"/>
          <w:bCs w:val="0"/>
          <w:sz w:val="24"/>
          <w:szCs w:val="24"/>
          <w:lang w:val="en-US" w:eastAsia="zh-CN"/>
        </w:rPr>
        <w:t>、</w:t>
      </w:r>
      <w:r>
        <w:rPr>
          <w:rFonts w:hint="default" w:ascii="宋体" w:hAnsi="宋体" w:eastAsia="宋体"/>
          <w:b w:val="0"/>
          <w:bCs w:val="0"/>
          <w:sz w:val="24"/>
          <w:szCs w:val="24"/>
          <w:lang w:val="en-US" w:eastAsia="zh-CN"/>
        </w:rPr>
        <w:t>高压实验具有危险性，必须确认安全联锁和状态正常</w:t>
      </w:r>
      <w:r>
        <w:rPr>
          <w:rFonts w:hint="eastAsia" w:ascii="宋体" w:hAnsi="宋体" w:eastAsia="宋体"/>
          <w:b w:val="0"/>
          <w:bCs w:val="0"/>
          <w:sz w:val="24"/>
          <w:szCs w:val="24"/>
          <w:lang w:val="en-US" w:eastAsia="zh-CN"/>
        </w:rPr>
        <w:t>。确认传感器读数归零或处于正常范围，避免因仪器故障导致后续长时间的实验数据作废。利用石墨密封圈和紧固结构，防止高温下产生的挥发分泄漏，也防止外部空气进入，这是保证测试准确的基础。如果炉内残留空气，影响测试气体氛围，而且排除氧气能防止高温下有机挥发分达到爆炸极限，故需要氮气清扫。在加热前先加压，是为了模拟富油煤在地下深处原本的赋存状态，先加载轴压是为了避免先加载围压把样品向两侧挤压变形。当压力稳定后才开始加热，这符合地下由冷变热的一般注热开采逻辑。加热后注入气体能起到“载气”作用，将油气及时带出反应区，也能够模拟实际工程中通过注入高温流体（如过热蒸汽）加热煤层的工艺过程。热解产出的液体是油水混合物，必须区分。引用GB/T 480（煤的铝甑低温干馏试验方法）中的水分测定方法，是为了确保水分扣除的标准化。</w:t>
      </w:r>
    </w:p>
    <w:p>
      <w:pPr>
        <w:keepNext w:val="0"/>
        <w:keepLines w:val="0"/>
        <w:pageBreakBefore w:val="0"/>
        <w:widowControl w:val="0"/>
        <w:numPr>
          <w:ilvl w:val="0"/>
          <w:numId w:val="4"/>
        </w:numPr>
        <w:kinsoku/>
        <w:wordWrap/>
        <w:overflowPunct/>
        <w:topLinePunct w:val="0"/>
        <w:autoSpaceDE w:val="0"/>
        <w:autoSpaceDN w:val="0"/>
        <w:bidi w:val="0"/>
        <w:adjustRightInd w:val="0"/>
        <w:snapToGrid/>
        <w:spacing w:before="157" w:beforeLines="50" w:after="157" w:afterLines="50" w:line="360" w:lineRule="auto"/>
        <w:ind w:leftChars="0"/>
        <w:jc w:val="left"/>
        <w:textAlignment w:val="auto"/>
        <w:rPr>
          <w:rFonts w:hint="default" w:ascii="宋体" w:hAnsi="宋体" w:eastAsia="宋体"/>
          <w:b/>
          <w:bCs/>
          <w:sz w:val="24"/>
          <w:szCs w:val="24"/>
          <w:lang w:val="en-US" w:eastAsia="zh-CN"/>
        </w:rPr>
      </w:pPr>
      <w:r>
        <w:rPr>
          <w:rFonts w:hint="eastAsia" w:ascii="宋体" w:hAnsi="宋体" w:eastAsia="宋体"/>
          <w:b/>
          <w:bCs/>
          <w:sz w:val="24"/>
          <w:szCs w:val="24"/>
          <w:lang w:val="en-US" w:eastAsia="zh-CN"/>
        </w:rPr>
        <w:t>结果表述</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default" w:ascii="宋体" w:hAnsi="宋体" w:eastAsia="宋体"/>
          <w:b w:val="0"/>
          <w:bCs w:val="0"/>
          <w:sz w:val="24"/>
          <w:szCs w:val="24"/>
          <w:lang w:val="en-US" w:eastAsia="zh-CN"/>
        </w:rPr>
        <w:t>内容规定</w:t>
      </w:r>
      <w:r>
        <w:rPr>
          <w:rFonts w:hint="eastAsia" w:ascii="宋体" w:hAnsi="宋体" w:eastAsia="宋体"/>
          <w:b w:val="0"/>
          <w:bCs w:val="0"/>
          <w:sz w:val="24"/>
          <w:szCs w:val="24"/>
          <w:lang w:val="en-US" w:eastAsia="zh-CN"/>
        </w:rPr>
        <w:t>原位热解模拟法得到焦油产率计算结果，主要由4个公式构成，包括：</w:t>
      </w:r>
    </w:p>
    <w:p>
      <w:pPr>
        <w:pStyle w:val="9"/>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default" w:ascii="宋体" w:hAnsi="宋体" w:eastAsia="宋体" w:cs="Arial"/>
          <w:color w:val="000000"/>
          <w:sz w:val="24"/>
          <w:szCs w:val="24"/>
          <w:lang w:val="en-US" w:eastAsia="zh-CN"/>
        </w:rPr>
      </w:pPr>
      <w:r>
        <w:rPr>
          <w:rFonts w:hint="eastAsia" w:ascii="宋体" w:hAnsi="宋体" w:eastAsia="宋体" w:cs="Arial"/>
          <w:color w:val="000000"/>
          <w:sz w:val="24"/>
          <w:szCs w:val="24"/>
          <w:lang w:val="en-US" w:eastAsia="zh-CN"/>
        </w:rPr>
        <w:t>焦油产率：</w:t>
      </w:r>
      <w:r>
        <w:rPr>
          <w:rFonts w:hint="eastAsia" w:ascii="宋体" w:hAnsi="宋体" w:eastAsia="宋体" w:cs="Arial"/>
          <w:color w:val="000000"/>
          <w:sz w:val="24"/>
          <w:szCs w:val="24"/>
          <w:lang w:val="en-US" w:eastAsia="zh-CN"/>
        </w:rPr>
        <w:tab/>
      </w:r>
      <w:r>
        <w:rPr>
          <w:rFonts w:hint="eastAsia" w:ascii="宋体" w:hAnsi="宋体" w:eastAsia="宋体" w:cs="Arial"/>
          <w:color w:val="000000"/>
          <w:sz w:val="24"/>
          <w:szCs w:val="24"/>
          <w:lang w:val="en-US" w:eastAsia="zh-CN"/>
        </w:rPr>
        <w:object>
          <v:shape id="_x0000_i1025" o:spt="75" type="#_x0000_t75" style="height:31pt;width:108pt;" o:ole="t" filled="f" o:preferrelative="t" stroked="f" coordsize="21600,21600">
            <v:path/>
            <v:fill on="f" focussize="0,0"/>
            <v:stroke on="f"/>
            <v:imagedata r:id="rId5" o:title=""/>
            <o:lock v:ext="edit" aspectratio="t"/>
            <w10:wrap type="none"/>
            <w10:anchorlock/>
          </v:shape>
          <o:OLEObject Type="Embed" ProgID="Equation.KSEE3" ShapeID="_x0000_i1025" DrawAspect="Content" ObjectID="_1468075725" r:id="rId4">
            <o:LockedField>false</o:LockedField>
          </o:OLEObject>
        </w:object>
      </w:r>
      <w:r>
        <w:rPr>
          <w:rFonts w:hint="eastAsia" w:ascii="宋体" w:hAnsi="宋体" w:eastAsia="宋体" w:cs="Arial"/>
          <w:color w:val="000000"/>
          <w:sz w:val="24"/>
          <w:szCs w:val="24"/>
          <w:lang w:val="en-US" w:eastAsia="zh-CN"/>
        </w:rPr>
        <w:tab/>
      </w:r>
      <w:r>
        <w:rPr>
          <w:rFonts w:hint="eastAsia" w:ascii="宋体" w:hAnsi="宋体" w:eastAsia="宋体" w:cs="Arial"/>
          <w:color w:val="000000"/>
          <w:sz w:val="24"/>
          <w:szCs w:val="24"/>
          <w:lang w:val="en-US" w:eastAsia="zh-CN"/>
        </w:rPr>
        <w:tab/>
      </w:r>
      <w:r>
        <w:rPr>
          <w:rFonts w:hint="eastAsia" w:ascii="宋体" w:hAnsi="宋体" w:eastAsia="宋体" w:cs="Arial"/>
          <w:color w:val="000000"/>
          <w:sz w:val="24"/>
          <w:szCs w:val="24"/>
          <w:lang w:val="en-US" w:eastAsia="zh-CN"/>
        </w:rPr>
        <w:tab/>
      </w:r>
      <w:r>
        <w:rPr>
          <w:rFonts w:hint="eastAsia" w:ascii="宋体" w:hAnsi="宋体" w:eastAsia="宋体" w:cs="Arial"/>
          <w:color w:val="000000"/>
          <w:sz w:val="24"/>
          <w:szCs w:val="24"/>
          <w:lang w:val="en-US" w:eastAsia="zh-CN"/>
        </w:rPr>
        <w:tab/>
      </w:r>
      <w:r>
        <w:rPr>
          <w:rFonts w:hint="eastAsia" w:ascii="宋体" w:hAnsi="宋体" w:eastAsia="宋体" w:cs="Arial"/>
          <w:color w:val="000000"/>
          <w:sz w:val="24"/>
          <w:szCs w:val="24"/>
          <w:lang w:val="en-US" w:eastAsia="zh-CN"/>
        </w:rPr>
        <w:tab/>
      </w:r>
      <w:r>
        <w:rPr>
          <w:rFonts w:hint="eastAsia" w:ascii="宋体" w:hAnsi="宋体" w:eastAsia="宋体" w:cs="Arial"/>
          <w:color w:val="000000"/>
          <w:sz w:val="24"/>
          <w:szCs w:val="24"/>
          <w:lang w:val="en-US" w:eastAsia="zh-CN"/>
        </w:rPr>
        <w:t>··········（1）</w:t>
      </w:r>
    </w:p>
    <w:p>
      <w:pPr>
        <w:pStyle w:val="9"/>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default" w:ascii="宋体" w:hAnsi="宋体" w:eastAsia="宋体" w:cs="Arial"/>
          <w:color w:val="000000"/>
          <w:sz w:val="24"/>
          <w:szCs w:val="24"/>
          <w:lang w:val="en-US" w:eastAsia="zh-CN"/>
        </w:rPr>
      </w:pPr>
      <w:r>
        <w:rPr>
          <w:rFonts w:hint="eastAsia" w:ascii="宋体" w:hAnsi="宋体" w:eastAsia="宋体" w:cs="Arial"/>
          <w:color w:val="000000"/>
          <w:sz w:val="24"/>
          <w:szCs w:val="24"/>
          <w:lang w:val="en-US" w:eastAsia="zh-CN"/>
        </w:rPr>
        <w:t>总水分产率：</w:t>
      </w:r>
      <w:r>
        <w:rPr>
          <w:rFonts w:hint="eastAsia" w:ascii="宋体" w:hAnsi="宋体" w:eastAsia="宋体" w:cs="Arial"/>
          <w:color w:val="000000"/>
          <w:sz w:val="24"/>
          <w:szCs w:val="24"/>
          <w:lang w:val="en-US" w:eastAsia="zh-CN"/>
        </w:rPr>
        <w:tab/>
      </w:r>
      <w:r>
        <w:rPr>
          <w:rFonts w:hint="eastAsia" w:ascii="宋体" w:hAnsi="宋体" w:eastAsia="宋体" w:cs="Arial"/>
          <w:color w:val="000000"/>
          <w:sz w:val="24"/>
          <w:szCs w:val="24"/>
          <w:lang w:val="en-US" w:eastAsia="zh-CN"/>
        </w:rPr>
        <w:object>
          <v:shape id="_x0000_i1026" o:spt="75" type="#_x0000_t75" style="height:31pt;width:96pt;" o:ole="t" filled="f" o:preferrelative="t" stroked="f" coordsize="21600,21600">
            <v:path/>
            <v:fill on="f" focussize="0,0"/>
            <v:stroke on="f"/>
            <v:imagedata r:id="rId7" o:title=""/>
            <o:lock v:ext="edit" aspectratio="t"/>
            <w10:wrap type="none"/>
            <w10:anchorlock/>
          </v:shape>
          <o:OLEObject Type="Embed" ProgID="Equation.KSEE3" ShapeID="_x0000_i1026" DrawAspect="Content" ObjectID="_1468075726" r:id="rId6">
            <o:LockedField>false</o:LockedField>
          </o:OLEObject>
        </w:object>
      </w:r>
      <w:r>
        <w:rPr>
          <w:rFonts w:hint="eastAsia" w:ascii="宋体" w:hAnsi="宋体" w:eastAsia="宋体" w:cs="Arial"/>
          <w:color w:val="000000"/>
          <w:sz w:val="24"/>
          <w:szCs w:val="24"/>
          <w:lang w:val="en-US" w:eastAsia="zh-CN"/>
        </w:rPr>
        <w:tab/>
      </w:r>
      <w:r>
        <w:rPr>
          <w:rFonts w:hint="eastAsia" w:ascii="宋体" w:hAnsi="宋体" w:eastAsia="宋体" w:cs="Arial"/>
          <w:color w:val="000000"/>
          <w:sz w:val="24"/>
          <w:szCs w:val="24"/>
          <w:lang w:val="en-US" w:eastAsia="zh-CN"/>
        </w:rPr>
        <w:tab/>
      </w:r>
      <w:r>
        <w:rPr>
          <w:rFonts w:hint="eastAsia" w:ascii="宋体" w:hAnsi="宋体" w:eastAsia="宋体" w:cs="Arial"/>
          <w:color w:val="000000"/>
          <w:sz w:val="24"/>
          <w:szCs w:val="24"/>
          <w:lang w:val="en-US" w:eastAsia="zh-CN"/>
        </w:rPr>
        <w:tab/>
      </w:r>
      <w:r>
        <w:rPr>
          <w:rFonts w:hint="eastAsia" w:ascii="宋体" w:hAnsi="宋体" w:eastAsia="宋体" w:cs="Arial"/>
          <w:color w:val="000000"/>
          <w:sz w:val="24"/>
          <w:szCs w:val="24"/>
          <w:lang w:val="en-US" w:eastAsia="zh-CN"/>
        </w:rPr>
        <w:tab/>
      </w:r>
      <w:r>
        <w:rPr>
          <w:rFonts w:hint="eastAsia" w:ascii="宋体" w:hAnsi="宋体" w:eastAsia="宋体" w:cs="Arial"/>
          <w:color w:val="000000"/>
          <w:sz w:val="24"/>
          <w:szCs w:val="24"/>
          <w:lang w:val="en-US" w:eastAsia="zh-CN"/>
        </w:rPr>
        <w:tab/>
      </w:r>
      <w:r>
        <w:rPr>
          <w:rFonts w:hint="eastAsia" w:ascii="宋体" w:hAnsi="宋体" w:eastAsia="宋体" w:cs="Arial"/>
          <w:color w:val="000000"/>
          <w:sz w:val="24"/>
          <w:szCs w:val="24"/>
          <w:lang w:val="en-US" w:eastAsia="zh-CN"/>
        </w:rPr>
        <w:t>··········（2）</w:t>
      </w:r>
    </w:p>
    <w:p>
      <w:pPr>
        <w:pStyle w:val="9"/>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default" w:ascii="宋体" w:hAnsi="宋体" w:eastAsia="宋体" w:cs="Arial"/>
          <w:color w:val="000000"/>
          <w:sz w:val="24"/>
          <w:szCs w:val="24"/>
          <w:lang w:val="en-US" w:eastAsia="zh-CN"/>
        </w:rPr>
      </w:pPr>
      <w:r>
        <w:rPr>
          <w:rFonts w:hint="eastAsia" w:ascii="宋体" w:hAnsi="宋体" w:eastAsia="宋体" w:cs="Arial"/>
          <w:color w:val="000000"/>
          <w:sz w:val="24"/>
          <w:szCs w:val="24"/>
          <w:lang w:val="en-US" w:eastAsia="zh-CN"/>
        </w:rPr>
        <w:t>热解水产率：</w:t>
      </w:r>
      <w:r>
        <w:rPr>
          <w:rFonts w:hint="eastAsia" w:ascii="宋体" w:hAnsi="宋体" w:eastAsia="宋体" w:cs="Arial"/>
          <w:color w:val="000000"/>
          <w:sz w:val="24"/>
          <w:szCs w:val="24"/>
          <w:lang w:val="en-US" w:eastAsia="zh-CN"/>
        </w:rPr>
        <w:tab/>
      </w:r>
      <w:r>
        <w:rPr>
          <w:rFonts w:hint="eastAsia" w:ascii="宋体" w:hAnsi="宋体" w:eastAsia="宋体" w:cs="Arial"/>
          <w:color w:val="000000"/>
          <w:sz w:val="24"/>
          <w:szCs w:val="24"/>
          <w:lang w:val="en-US" w:eastAsia="zh-CN"/>
        </w:rPr>
        <w:object>
          <v:shape id="_x0000_i1027" o:spt="75" type="#_x0000_t75" style="height:19pt;width:108pt;" o:ole="t" filled="f" o:preferrelative="t" stroked="f" coordsize="21600,21600">
            <v:path/>
            <v:fill on="f" focussize="0,0"/>
            <v:stroke on="f"/>
            <v:imagedata r:id="rId9" o:title=""/>
            <o:lock v:ext="edit" aspectratio="t"/>
            <w10:wrap type="none"/>
            <w10:anchorlock/>
          </v:shape>
          <o:OLEObject Type="Embed" ProgID="Equation.KSEE3" ShapeID="_x0000_i1027" DrawAspect="Content" ObjectID="_1468075727" r:id="rId8">
            <o:LockedField>false</o:LockedField>
          </o:OLEObject>
        </w:object>
      </w:r>
      <w:r>
        <w:rPr>
          <w:rFonts w:hint="eastAsia" w:ascii="宋体" w:hAnsi="宋体" w:eastAsia="宋体" w:cs="Arial"/>
          <w:color w:val="000000"/>
          <w:sz w:val="24"/>
          <w:szCs w:val="24"/>
          <w:lang w:val="en-US" w:eastAsia="zh-CN"/>
        </w:rPr>
        <w:tab/>
      </w:r>
      <w:r>
        <w:rPr>
          <w:rFonts w:hint="eastAsia" w:ascii="宋体" w:hAnsi="宋体" w:eastAsia="宋体" w:cs="Arial"/>
          <w:color w:val="000000"/>
          <w:sz w:val="24"/>
          <w:szCs w:val="24"/>
          <w:lang w:val="en-US" w:eastAsia="zh-CN"/>
        </w:rPr>
        <w:tab/>
      </w:r>
      <w:r>
        <w:rPr>
          <w:rFonts w:hint="eastAsia" w:ascii="宋体" w:hAnsi="宋体" w:eastAsia="宋体" w:cs="Arial"/>
          <w:color w:val="000000"/>
          <w:sz w:val="24"/>
          <w:szCs w:val="24"/>
          <w:lang w:val="en-US" w:eastAsia="zh-CN"/>
        </w:rPr>
        <w:tab/>
      </w:r>
      <w:r>
        <w:rPr>
          <w:rFonts w:hint="eastAsia" w:ascii="宋体" w:hAnsi="宋体" w:eastAsia="宋体" w:cs="Arial"/>
          <w:color w:val="000000"/>
          <w:sz w:val="24"/>
          <w:szCs w:val="24"/>
          <w:lang w:val="en-US" w:eastAsia="zh-CN"/>
        </w:rPr>
        <w:tab/>
      </w:r>
      <w:r>
        <w:rPr>
          <w:rFonts w:hint="eastAsia" w:ascii="宋体" w:hAnsi="宋体" w:eastAsia="宋体" w:cs="Arial"/>
          <w:color w:val="000000"/>
          <w:sz w:val="24"/>
          <w:szCs w:val="24"/>
          <w:lang w:val="en-US" w:eastAsia="zh-CN"/>
        </w:rPr>
        <w:t>··········（3）</w:t>
      </w:r>
    </w:p>
    <w:p>
      <w:pPr>
        <w:pStyle w:val="9"/>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Arial"/>
          <w:color w:val="000000"/>
          <w:sz w:val="24"/>
          <w:szCs w:val="24"/>
          <w:lang w:val="en-US" w:eastAsia="zh-CN"/>
        </w:rPr>
      </w:pPr>
      <w:r>
        <w:rPr>
          <w:rFonts w:hint="eastAsia" w:ascii="宋体" w:hAnsi="宋体" w:eastAsia="宋体" w:cs="Arial"/>
          <w:color w:val="000000"/>
          <w:sz w:val="24"/>
          <w:szCs w:val="24"/>
          <w:lang w:val="en-US" w:eastAsia="zh-CN"/>
        </w:rPr>
        <w:t>半焦产率：</w:t>
      </w:r>
      <w:r>
        <w:rPr>
          <w:rFonts w:hint="eastAsia" w:ascii="宋体" w:hAnsi="宋体" w:eastAsia="宋体" w:cs="Arial"/>
          <w:color w:val="000000"/>
          <w:sz w:val="24"/>
          <w:szCs w:val="24"/>
          <w:lang w:val="en-US" w:eastAsia="zh-CN"/>
        </w:rPr>
        <w:tab/>
      </w:r>
      <w:r>
        <w:rPr>
          <w:rFonts w:hint="eastAsia" w:ascii="宋体" w:hAnsi="宋体" w:eastAsia="宋体" w:cs="Arial"/>
          <w:color w:val="000000"/>
          <w:sz w:val="24"/>
          <w:szCs w:val="24"/>
          <w:lang w:val="en-US" w:eastAsia="zh-CN"/>
        </w:rPr>
        <w:object>
          <v:shape id="_x0000_i1028" o:spt="75" type="#_x0000_t75" style="height:31pt;width:83pt;" o:ole="t" filled="f" o:preferrelative="t" stroked="f" coordsize="21600,21600">
            <v:path/>
            <v:fill on="f" focussize="0,0"/>
            <v:stroke on="f"/>
            <v:imagedata r:id="rId11" o:title=""/>
            <o:lock v:ext="edit" aspectratio="t"/>
            <w10:wrap type="none"/>
            <w10:anchorlock/>
          </v:shape>
          <o:OLEObject Type="Embed" ProgID="Equation.KSEE3" ShapeID="_x0000_i1028" DrawAspect="Content" ObjectID="_1468075728" r:id="rId10">
            <o:LockedField>false</o:LockedField>
          </o:OLEObject>
        </w:object>
      </w:r>
      <w:r>
        <w:rPr>
          <w:rFonts w:hint="eastAsia" w:ascii="宋体" w:hAnsi="宋体" w:eastAsia="宋体" w:cs="Arial"/>
          <w:color w:val="000000"/>
          <w:sz w:val="24"/>
          <w:szCs w:val="24"/>
          <w:lang w:val="en-US" w:eastAsia="zh-CN"/>
        </w:rPr>
        <w:tab/>
      </w:r>
      <w:r>
        <w:rPr>
          <w:rFonts w:hint="eastAsia" w:ascii="宋体" w:hAnsi="宋体" w:eastAsia="宋体" w:cs="Arial"/>
          <w:color w:val="000000"/>
          <w:sz w:val="24"/>
          <w:szCs w:val="24"/>
          <w:lang w:val="en-US" w:eastAsia="zh-CN"/>
        </w:rPr>
        <w:tab/>
      </w:r>
      <w:r>
        <w:rPr>
          <w:rFonts w:hint="eastAsia" w:ascii="宋体" w:hAnsi="宋体" w:eastAsia="宋体" w:cs="Arial"/>
          <w:color w:val="000000"/>
          <w:sz w:val="24"/>
          <w:szCs w:val="24"/>
          <w:lang w:val="en-US" w:eastAsia="zh-CN"/>
        </w:rPr>
        <w:tab/>
      </w:r>
      <w:r>
        <w:rPr>
          <w:rFonts w:hint="eastAsia" w:ascii="宋体" w:hAnsi="宋体" w:eastAsia="宋体" w:cs="Arial"/>
          <w:color w:val="000000"/>
          <w:sz w:val="24"/>
          <w:szCs w:val="24"/>
          <w:lang w:val="en-US" w:eastAsia="zh-CN"/>
        </w:rPr>
        <w:tab/>
      </w:r>
      <w:r>
        <w:rPr>
          <w:rFonts w:hint="eastAsia" w:ascii="宋体" w:hAnsi="宋体" w:eastAsia="宋体" w:cs="Arial"/>
          <w:color w:val="000000"/>
          <w:sz w:val="24"/>
          <w:szCs w:val="24"/>
          <w:lang w:val="en-US" w:eastAsia="zh-CN"/>
        </w:rPr>
        <w:tab/>
      </w:r>
      <w:r>
        <w:rPr>
          <w:rFonts w:hint="eastAsia" w:ascii="宋体" w:hAnsi="宋体" w:eastAsia="宋体" w:cs="Arial"/>
          <w:color w:val="000000"/>
          <w:sz w:val="24"/>
          <w:szCs w:val="24"/>
          <w:lang w:val="en-US" w:eastAsia="zh-CN"/>
        </w:rPr>
        <w:tab/>
      </w:r>
      <w:r>
        <w:rPr>
          <w:rFonts w:hint="eastAsia" w:ascii="宋体" w:hAnsi="宋体" w:eastAsia="宋体" w:cs="Arial"/>
          <w:color w:val="000000"/>
          <w:sz w:val="24"/>
          <w:szCs w:val="24"/>
          <w:lang w:val="en-US" w:eastAsia="zh-CN"/>
        </w:rPr>
        <w:tab/>
      </w:r>
      <w:r>
        <w:rPr>
          <w:rFonts w:hint="eastAsia" w:ascii="宋体" w:hAnsi="宋体" w:eastAsia="宋体" w:cs="Arial"/>
          <w:color w:val="000000"/>
          <w:sz w:val="24"/>
          <w:szCs w:val="24"/>
          <w:lang w:val="en-US" w:eastAsia="zh-CN"/>
        </w:rPr>
        <w:t>··········（4）</w:t>
      </w:r>
    </w:p>
    <w:p>
      <w:pPr>
        <w:pStyle w:val="9"/>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Arial"/>
          <w:color w:val="000000"/>
          <w:sz w:val="24"/>
          <w:szCs w:val="24"/>
          <w:lang w:val="en-US" w:eastAsia="zh-CN"/>
        </w:rPr>
      </w:pPr>
      <w:r>
        <w:rPr>
          <w:rFonts w:hint="eastAsia" w:ascii="宋体" w:hAnsi="宋体" w:eastAsia="宋体" w:cs="Arial"/>
          <w:color w:val="000000"/>
          <w:sz w:val="24"/>
          <w:szCs w:val="24"/>
          <w:lang w:val="en-US" w:eastAsia="zh-CN"/>
        </w:rPr>
        <w:t>式中：</w:t>
      </w:r>
    </w:p>
    <w:p>
      <w:pPr>
        <w:pStyle w:val="9"/>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Arial"/>
          <w:color w:val="000000"/>
          <w:sz w:val="24"/>
          <w:szCs w:val="24"/>
          <w:lang w:val="en-US" w:eastAsia="zh-CN"/>
        </w:rPr>
      </w:pPr>
      <w:r>
        <w:rPr>
          <w:rFonts w:hint="eastAsia" w:ascii="宋体" w:hAnsi="宋体" w:eastAsia="宋体" w:cs="Arial"/>
          <w:color w:val="000000"/>
          <w:sz w:val="24"/>
          <w:szCs w:val="24"/>
          <w:lang w:val="en-US" w:eastAsia="zh-CN"/>
        </w:rPr>
        <w:t>m</w:t>
      </w:r>
      <w:r>
        <w:rPr>
          <w:rFonts w:hint="eastAsia" w:ascii="宋体" w:hAnsi="宋体" w:eastAsia="宋体" w:cs="Arial"/>
          <w:color w:val="000000"/>
          <w:sz w:val="24"/>
          <w:szCs w:val="24"/>
          <w:vertAlign w:val="subscript"/>
          <w:lang w:val="en-US" w:eastAsia="zh-CN"/>
        </w:rPr>
        <w:t>a</w:t>
      </w:r>
      <w:r>
        <w:rPr>
          <w:rFonts w:hint="eastAsia" w:ascii="宋体" w:hAnsi="宋体" w:eastAsia="宋体" w:cs="Arial"/>
          <w:color w:val="000000"/>
          <w:sz w:val="24"/>
          <w:szCs w:val="24"/>
          <w:lang w:val="en-US" w:eastAsia="zh-CN"/>
        </w:rPr>
        <w:t>——液体产物总质量，单位为克（g）；</w:t>
      </w:r>
    </w:p>
    <w:p>
      <w:pPr>
        <w:pStyle w:val="9"/>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Arial"/>
          <w:color w:val="000000"/>
          <w:sz w:val="24"/>
          <w:szCs w:val="24"/>
          <w:lang w:val="en-US" w:eastAsia="zh-CN"/>
        </w:rPr>
      </w:pPr>
      <w:r>
        <w:rPr>
          <w:rFonts w:hint="eastAsia" w:ascii="宋体" w:hAnsi="宋体" w:eastAsia="宋体" w:cs="Arial"/>
          <w:color w:val="000000"/>
          <w:sz w:val="24"/>
          <w:szCs w:val="24"/>
          <w:lang w:val="en-US" w:eastAsia="zh-CN"/>
        </w:rPr>
        <w:t>m</w:t>
      </w:r>
      <w:r>
        <w:rPr>
          <w:rFonts w:hint="eastAsia" w:ascii="宋体" w:hAnsi="宋体" w:eastAsia="宋体" w:cs="Arial"/>
          <w:color w:val="000000"/>
          <w:sz w:val="24"/>
          <w:szCs w:val="24"/>
          <w:vertAlign w:val="subscript"/>
          <w:lang w:val="en-US" w:eastAsia="zh-CN"/>
        </w:rPr>
        <w:t>b</w:t>
      </w:r>
      <w:r>
        <w:rPr>
          <w:rFonts w:hint="eastAsia" w:ascii="宋体" w:hAnsi="宋体" w:eastAsia="宋体" w:cs="Arial"/>
          <w:color w:val="000000"/>
          <w:sz w:val="24"/>
          <w:szCs w:val="24"/>
          <w:lang w:val="en-US" w:eastAsia="zh-CN"/>
        </w:rPr>
        <w:t>——液体产物中水分的质量，单位为克（g）；</w:t>
      </w:r>
    </w:p>
    <w:p>
      <w:pPr>
        <w:pStyle w:val="9"/>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Arial"/>
          <w:color w:val="000000"/>
          <w:sz w:val="24"/>
          <w:szCs w:val="24"/>
          <w:lang w:val="en-US" w:eastAsia="zh-CN"/>
        </w:rPr>
      </w:pPr>
      <w:r>
        <w:rPr>
          <w:rFonts w:hint="eastAsia" w:ascii="宋体" w:hAnsi="宋体" w:eastAsia="宋体" w:cs="Arial"/>
          <w:color w:val="000000"/>
          <w:sz w:val="24"/>
          <w:szCs w:val="24"/>
          <w:lang w:val="en-US" w:eastAsia="zh-CN"/>
        </w:rPr>
        <w:t>m</w:t>
      </w:r>
      <w:r>
        <w:rPr>
          <w:rFonts w:hint="eastAsia" w:ascii="宋体" w:hAnsi="宋体" w:eastAsia="宋体" w:cs="Arial"/>
          <w:color w:val="000000"/>
          <w:sz w:val="24"/>
          <w:szCs w:val="24"/>
          <w:vertAlign w:val="subscript"/>
          <w:lang w:val="en-US" w:eastAsia="zh-CN"/>
        </w:rPr>
        <w:t>c</w:t>
      </w:r>
      <w:r>
        <w:rPr>
          <w:rFonts w:hint="eastAsia" w:ascii="宋体" w:hAnsi="宋体" w:eastAsia="宋体" w:cs="Arial"/>
          <w:color w:val="000000"/>
          <w:sz w:val="24"/>
          <w:szCs w:val="24"/>
          <w:lang w:val="en-US" w:eastAsia="zh-CN"/>
        </w:rPr>
        <w:t>——半焦总质量，单位为克（g）；</w:t>
      </w:r>
    </w:p>
    <w:p>
      <w:pPr>
        <w:pStyle w:val="9"/>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Arial"/>
          <w:color w:val="000000"/>
          <w:sz w:val="24"/>
          <w:szCs w:val="24"/>
          <w:lang w:val="en-US" w:eastAsia="zh-CN"/>
        </w:rPr>
      </w:pPr>
      <w:r>
        <w:rPr>
          <w:rFonts w:hint="eastAsia" w:ascii="宋体" w:hAnsi="宋体" w:eastAsia="宋体" w:cs="Arial"/>
          <w:color w:val="000000"/>
          <w:sz w:val="24"/>
          <w:szCs w:val="24"/>
          <w:lang w:val="en-US" w:eastAsia="zh-CN"/>
        </w:rPr>
        <w:t>m——一般分析煤样的质量，单位为克（g）；</w:t>
      </w:r>
    </w:p>
    <w:p>
      <w:pPr>
        <w:pStyle w:val="9"/>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Arial"/>
          <w:color w:val="000000"/>
          <w:sz w:val="24"/>
          <w:szCs w:val="24"/>
          <w:lang w:val="en-US" w:eastAsia="zh-CN"/>
        </w:rPr>
      </w:pPr>
      <w:r>
        <w:rPr>
          <w:rFonts w:hint="eastAsia" w:ascii="宋体" w:hAnsi="宋体" w:eastAsia="宋体" w:cs="Arial"/>
          <w:color w:val="000000"/>
          <w:sz w:val="24"/>
          <w:szCs w:val="24"/>
          <w:lang w:val="en-US" w:eastAsia="zh-CN"/>
        </w:rPr>
        <w:t>M</w:t>
      </w:r>
      <w:r>
        <w:rPr>
          <w:rFonts w:hint="eastAsia" w:ascii="宋体" w:hAnsi="宋体" w:eastAsia="宋体" w:cs="Arial"/>
          <w:color w:val="000000"/>
          <w:sz w:val="24"/>
          <w:szCs w:val="24"/>
          <w:vertAlign w:val="subscript"/>
          <w:lang w:val="en-US" w:eastAsia="zh-CN"/>
        </w:rPr>
        <w:t>ad</w:t>
      </w:r>
      <w:r>
        <w:rPr>
          <w:rFonts w:hint="eastAsia" w:ascii="宋体" w:hAnsi="宋体" w:eastAsia="宋体" w:cs="Arial"/>
          <w:color w:val="000000"/>
          <w:sz w:val="24"/>
          <w:szCs w:val="24"/>
          <w:lang w:val="en-US" w:eastAsia="zh-CN"/>
        </w:rPr>
        <w:t>——一般分析煤样的水分含量，%；</w:t>
      </w:r>
    </w:p>
    <w:p>
      <w:pPr>
        <w:pStyle w:val="9"/>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Arial"/>
          <w:color w:val="000000"/>
          <w:sz w:val="24"/>
          <w:szCs w:val="24"/>
          <w:lang w:val="en-US" w:eastAsia="zh-CN"/>
        </w:rPr>
      </w:pPr>
      <w:r>
        <w:rPr>
          <w:rFonts w:hint="eastAsia" w:ascii="宋体" w:hAnsi="宋体" w:eastAsia="宋体" w:cs="Arial"/>
          <w:color w:val="000000"/>
          <w:sz w:val="24"/>
          <w:szCs w:val="24"/>
          <w:lang w:val="en-US" w:eastAsia="zh-CN"/>
        </w:rPr>
        <w:t>Tar</w:t>
      </w:r>
      <w:r>
        <w:rPr>
          <w:rFonts w:hint="eastAsia" w:ascii="宋体" w:hAnsi="宋体" w:eastAsia="宋体" w:cs="Arial"/>
          <w:color w:val="000000"/>
          <w:sz w:val="24"/>
          <w:szCs w:val="24"/>
          <w:vertAlign w:val="subscript"/>
          <w:lang w:val="en-US" w:eastAsia="zh-CN"/>
        </w:rPr>
        <w:t>ad</w:t>
      </w:r>
      <w:r>
        <w:rPr>
          <w:rFonts w:hint="eastAsia" w:ascii="宋体" w:hAnsi="宋体" w:eastAsia="宋体" w:cs="Arial"/>
          <w:color w:val="000000"/>
          <w:sz w:val="24"/>
          <w:szCs w:val="24"/>
          <w:lang w:val="en-US" w:eastAsia="zh-CN"/>
        </w:rPr>
        <w:t>——一般分析煤样的焦油产率，%；</w:t>
      </w:r>
    </w:p>
    <w:p>
      <w:pPr>
        <w:pStyle w:val="9"/>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default" w:ascii="宋体" w:hAnsi="宋体" w:eastAsia="宋体" w:cs="Arial"/>
          <w:color w:val="000000"/>
          <w:sz w:val="24"/>
          <w:szCs w:val="24"/>
          <w:lang w:val="en-US" w:eastAsia="zh-CN"/>
        </w:rPr>
      </w:pPr>
      <w:r>
        <w:rPr>
          <w:rFonts w:hint="eastAsia" w:ascii="宋体" w:hAnsi="宋体" w:eastAsia="宋体" w:cs="Arial"/>
          <w:color w:val="000000"/>
          <w:sz w:val="24"/>
          <w:szCs w:val="24"/>
          <w:lang w:val="en-US" w:eastAsia="zh-CN"/>
        </w:rPr>
        <w:t>Water</w:t>
      </w:r>
      <w:r>
        <w:rPr>
          <w:rFonts w:hint="eastAsia" w:ascii="宋体" w:hAnsi="宋体" w:eastAsia="宋体" w:cs="Arial"/>
          <w:color w:val="000000"/>
          <w:sz w:val="24"/>
          <w:szCs w:val="24"/>
          <w:vertAlign w:val="subscript"/>
          <w:lang w:val="en-US" w:eastAsia="zh-CN"/>
        </w:rPr>
        <w:t>ad</w:t>
      </w:r>
      <w:r>
        <w:rPr>
          <w:rFonts w:hint="eastAsia" w:ascii="宋体" w:hAnsi="宋体" w:eastAsia="宋体" w:cs="Arial"/>
          <w:color w:val="000000"/>
          <w:sz w:val="24"/>
          <w:szCs w:val="24"/>
          <w:lang w:val="en-US" w:eastAsia="zh-CN"/>
        </w:rPr>
        <w:t>——一般分析煤样的总水分产率，%；</w:t>
      </w:r>
    </w:p>
    <w:p>
      <w:pPr>
        <w:pStyle w:val="9"/>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Arial"/>
          <w:color w:val="000000"/>
          <w:sz w:val="24"/>
          <w:szCs w:val="24"/>
          <w:lang w:val="en-US" w:eastAsia="zh-CN"/>
        </w:rPr>
      </w:pPr>
      <w:r>
        <w:rPr>
          <w:rFonts w:hint="eastAsia" w:ascii="宋体" w:hAnsi="宋体" w:eastAsia="宋体" w:cs="Arial"/>
          <w:color w:val="000000"/>
          <w:sz w:val="24"/>
          <w:szCs w:val="24"/>
          <w:lang w:val="en-US" w:eastAsia="zh-CN"/>
        </w:rPr>
        <w:t>W</w:t>
      </w:r>
      <w:r>
        <w:rPr>
          <w:rFonts w:hint="eastAsia" w:ascii="宋体" w:hAnsi="宋体" w:eastAsia="宋体" w:cs="Arial"/>
          <w:color w:val="000000"/>
          <w:sz w:val="24"/>
          <w:szCs w:val="24"/>
          <w:vertAlign w:val="subscript"/>
          <w:lang w:val="en-US" w:eastAsia="zh-CN"/>
        </w:rPr>
        <w:t>p，ad</w:t>
      </w:r>
      <w:r>
        <w:rPr>
          <w:rFonts w:hint="eastAsia" w:ascii="宋体" w:hAnsi="宋体" w:eastAsia="宋体" w:cs="Arial"/>
          <w:color w:val="000000"/>
          <w:sz w:val="24"/>
          <w:szCs w:val="24"/>
          <w:lang w:val="en-US" w:eastAsia="zh-CN"/>
        </w:rPr>
        <w:t>——一般分析煤样的热解水产率，%；</w:t>
      </w:r>
    </w:p>
    <w:p>
      <w:pPr>
        <w:pStyle w:val="9"/>
        <w:keepNext w:val="0"/>
        <w:keepLines w:val="0"/>
        <w:pageBreakBefore w:val="0"/>
        <w:widowControl/>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Arial"/>
          <w:color w:val="000000"/>
          <w:sz w:val="24"/>
          <w:szCs w:val="24"/>
          <w:lang w:val="en-US" w:eastAsia="zh-CN"/>
        </w:rPr>
      </w:pPr>
      <w:r>
        <w:rPr>
          <w:rFonts w:hint="eastAsia" w:ascii="宋体" w:hAnsi="宋体" w:eastAsia="宋体" w:cs="Arial"/>
          <w:color w:val="000000"/>
          <w:sz w:val="24"/>
          <w:szCs w:val="24"/>
          <w:lang w:val="en-US" w:eastAsia="zh-CN"/>
        </w:rPr>
        <w:t>CR</w:t>
      </w:r>
      <w:r>
        <w:rPr>
          <w:rFonts w:hint="eastAsia" w:ascii="宋体" w:hAnsi="宋体" w:eastAsia="宋体" w:cs="Arial"/>
          <w:color w:val="000000"/>
          <w:sz w:val="24"/>
          <w:szCs w:val="24"/>
          <w:vertAlign w:val="subscript"/>
          <w:lang w:val="en-US" w:eastAsia="zh-CN"/>
        </w:rPr>
        <w:t>ad</w:t>
      </w:r>
      <w:r>
        <w:rPr>
          <w:rFonts w:hint="eastAsia" w:ascii="宋体" w:hAnsi="宋体" w:eastAsia="宋体" w:cs="Arial"/>
          <w:color w:val="000000"/>
          <w:sz w:val="24"/>
          <w:szCs w:val="24"/>
          <w:lang w:val="en-US" w:eastAsia="zh-CN"/>
        </w:rPr>
        <w:t>——一般分析煤样的半焦产率，%；</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依据：该部分内容引用煤的铝甑低温干馏试验方法和格金试验方法的结果计算方法。</w:t>
      </w:r>
    </w:p>
    <w:p>
      <w:pPr>
        <w:keepNext w:val="0"/>
        <w:keepLines w:val="0"/>
        <w:pageBreakBefore w:val="0"/>
        <w:widowControl w:val="0"/>
        <w:numPr>
          <w:ilvl w:val="0"/>
          <w:numId w:val="4"/>
        </w:numPr>
        <w:kinsoku/>
        <w:wordWrap/>
        <w:overflowPunct/>
        <w:topLinePunct w:val="0"/>
        <w:autoSpaceDE w:val="0"/>
        <w:autoSpaceDN w:val="0"/>
        <w:bidi w:val="0"/>
        <w:adjustRightInd w:val="0"/>
        <w:snapToGrid/>
        <w:spacing w:before="157" w:beforeLines="50" w:after="157" w:afterLines="50" w:line="360" w:lineRule="auto"/>
        <w:ind w:leftChars="0"/>
        <w:jc w:val="left"/>
        <w:textAlignment w:val="auto"/>
        <w:rPr>
          <w:rFonts w:hint="default" w:ascii="宋体" w:hAnsi="宋体" w:eastAsia="宋体"/>
          <w:b/>
          <w:bCs/>
          <w:sz w:val="24"/>
          <w:szCs w:val="24"/>
          <w:lang w:val="en-US" w:eastAsia="zh-CN"/>
        </w:rPr>
      </w:pPr>
      <w:r>
        <w:rPr>
          <w:rFonts w:hint="eastAsia" w:ascii="宋体" w:hAnsi="宋体" w:eastAsia="宋体"/>
          <w:b/>
          <w:bCs/>
          <w:sz w:val="24"/>
          <w:szCs w:val="24"/>
          <w:lang w:val="en-US" w:eastAsia="zh-CN"/>
        </w:rPr>
        <w:t>精密度</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360" w:lineRule="auto"/>
        <w:ind w:left="0" w:leftChars="0" w:firstLine="420" w:firstLineChars="175"/>
        <w:jc w:val="left"/>
        <w:textAlignment w:val="auto"/>
        <w:rPr>
          <w:rFonts w:hint="eastAsia" w:ascii="宋体" w:hAnsi="宋体" w:eastAsia="宋体"/>
          <w:b w:val="0"/>
          <w:bCs w:val="0"/>
          <w:sz w:val="24"/>
          <w:szCs w:val="24"/>
          <w:lang w:val="en-US" w:eastAsia="zh-CN"/>
        </w:rPr>
      </w:pPr>
      <w:r>
        <w:rPr>
          <w:rFonts w:hint="default" w:ascii="宋体" w:hAnsi="宋体" w:eastAsia="宋体"/>
          <w:b w:val="0"/>
          <w:bCs w:val="0"/>
          <w:sz w:val="24"/>
          <w:szCs w:val="24"/>
          <w:lang w:val="en-US" w:eastAsia="zh-CN"/>
        </w:rPr>
        <w:t>内容规定</w:t>
      </w:r>
      <w:r>
        <w:rPr>
          <w:rFonts w:hint="eastAsia" w:ascii="宋体" w:hAnsi="宋体" w:eastAsia="宋体"/>
          <w:b w:val="0"/>
          <w:bCs w:val="0"/>
          <w:sz w:val="24"/>
          <w:szCs w:val="24"/>
          <w:lang w:val="en-US" w:eastAsia="zh-CN"/>
        </w:rPr>
        <w:t>原位热解模拟法的精密度，主要由3个参数构成，包括：总水分产率重复性限1.0，半焦产率重复性限1.5，焦油产率重复性限1.0。</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360" w:lineRule="auto"/>
        <w:ind w:left="0" w:leftChars="0" w:firstLine="420" w:firstLineChars="175"/>
        <w:jc w:val="left"/>
        <w:textAlignment w:val="auto"/>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依据：精密度不低于GB/T 1341-2007煤的格金低温干馏试验方法中规定的精密度。</w:t>
      </w:r>
    </w:p>
    <w:p>
      <w:pPr>
        <w:keepNext w:val="0"/>
        <w:keepLines w:val="0"/>
        <w:pageBreakBefore w:val="0"/>
        <w:widowControl w:val="0"/>
        <w:numPr>
          <w:ilvl w:val="0"/>
          <w:numId w:val="4"/>
        </w:numPr>
        <w:kinsoku/>
        <w:wordWrap/>
        <w:overflowPunct/>
        <w:topLinePunct w:val="0"/>
        <w:autoSpaceDE w:val="0"/>
        <w:autoSpaceDN w:val="0"/>
        <w:bidi w:val="0"/>
        <w:adjustRightInd w:val="0"/>
        <w:snapToGrid/>
        <w:spacing w:before="157" w:beforeLines="50" w:after="157" w:afterLines="50" w:line="360" w:lineRule="auto"/>
        <w:ind w:leftChars="0"/>
        <w:jc w:val="left"/>
        <w:textAlignment w:val="auto"/>
        <w:rPr>
          <w:rFonts w:hint="default" w:ascii="宋体" w:hAnsi="宋体" w:eastAsia="宋体"/>
          <w:b/>
          <w:bCs/>
          <w:sz w:val="24"/>
          <w:szCs w:val="24"/>
          <w:lang w:val="en-US" w:eastAsia="zh-CN"/>
        </w:rPr>
      </w:pPr>
      <w:r>
        <w:rPr>
          <w:rFonts w:hint="eastAsia" w:ascii="宋体" w:hAnsi="宋体" w:eastAsia="宋体"/>
          <w:b/>
          <w:bCs/>
          <w:sz w:val="24"/>
          <w:szCs w:val="24"/>
          <w:lang w:val="en-US" w:eastAsia="zh-CN"/>
        </w:rPr>
        <w:t>测定报告</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360" w:lineRule="auto"/>
        <w:ind w:left="0" w:leftChars="0" w:firstLine="420" w:firstLineChars="175"/>
        <w:jc w:val="left"/>
        <w:textAlignment w:val="auto"/>
        <w:rPr>
          <w:rFonts w:hint="eastAsia" w:ascii="宋体" w:hAnsi="宋体" w:eastAsia="宋体"/>
          <w:b w:val="0"/>
          <w:bCs w:val="0"/>
          <w:sz w:val="24"/>
          <w:szCs w:val="24"/>
          <w:lang w:val="en-US" w:eastAsia="zh-CN"/>
        </w:rPr>
      </w:pPr>
      <w:r>
        <w:rPr>
          <w:rFonts w:hint="default" w:ascii="宋体" w:hAnsi="宋体" w:eastAsia="宋体"/>
          <w:b w:val="0"/>
          <w:bCs w:val="0"/>
          <w:sz w:val="24"/>
          <w:szCs w:val="24"/>
          <w:lang w:val="en-US" w:eastAsia="zh-CN"/>
        </w:rPr>
        <w:t>内容规定</w:t>
      </w:r>
      <w:r>
        <w:rPr>
          <w:rFonts w:hint="eastAsia" w:ascii="宋体" w:hAnsi="宋体" w:eastAsia="宋体"/>
          <w:b w:val="0"/>
          <w:bCs w:val="0"/>
          <w:sz w:val="24"/>
          <w:szCs w:val="24"/>
          <w:lang w:val="en-US" w:eastAsia="zh-CN"/>
        </w:rPr>
        <w:t>原位热解模拟法的</w:t>
      </w:r>
      <w:r>
        <w:rPr>
          <w:rFonts w:hint="default" w:ascii="宋体" w:hAnsi="宋体" w:eastAsia="宋体" w:cs="Arial"/>
          <w:color w:val="000000"/>
          <w:szCs w:val="21"/>
          <w:lang w:val="en-US" w:eastAsia="zh-CN"/>
        </w:rPr>
        <w:t>测定报告</w:t>
      </w:r>
      <w:r>
        <w:rPr>
          <w:rFonts w:hint="eastAsia" w:ascii="宋体" w:hAnsi="宋体" w:eastAsia="宋体"/>
          <w:b w:val="0"/>
          <w:bCs w:val="0"/>
          <w:sz w:val="24"/>
          <w:szCs w:val="24"/>
          <w:lang w:val="en-US" w:eastAsia="zh-CN"/>
        </w:rPr>
        <w:t>，至少应包括样品编号、测试条件、测试结果、测定者、审核者及测定日期。</w:t>
      </w:r>
    </w:p>
    <w:p>
      <w:pPr>
        <w:keepNext w:val="0"/>
        <w:keepLines w:val="0"/>
        <w:pageBreakBefore w:val="0"/>
        <w:widowControl w:val="0"/>
        <w:numPr>
          <w:ilvl w:val="0"/>
          <w:numId w:val="3"/>
        </w:numPr>
        <w:kinsoku/>
        <w:wordWrap/>
        <w:overflowPunct/>
        <w:topLinePunct w:val="0"/>
        <w:autoSpaceDE w:val="0"/>
        <w:autoSpaceDN w:val="0"/>
        <w:bidi w:val="0"/>
        <w:adjustRightInd w:val="0"/>
        <w:snapToGrid/>
        <w:spacing w:line="360" w:lineRule="auto"/>
        <w:ind w:left="0" w:leftChars="0" w:firstLine="0" w:firstLineChars="0"/>
        <w:jc w:val="left"/>
        <w:textAlignment w:val="auto"/>
        <w:rPr>
          <w:rFonts w:ascii="宋体" w:hAnsi="宋体" w:eastAsia="宋体"/>
          <w:sz w:val="28"/>
          <w:szCs w:val="28"/>
        </w:rPr>
      </w:pPr>
      <w:r>
        <w:rPr>
          <w:rFonts w:ascii="宋体" w:hAnsi="宋体" w:eastAsia="宋体"/>
          <w:sz w:val="28"/>
          <w:szCs w:val="28"/>
        </w:rPr>
        <w:t>验证分析报告</w:t>
      </w:r>
    </w:p>
    <w:p>
      <w:pPr>
        <w:keepNext w:val="0"/>
        <w:keepLines w:val="0"/>
        <w:pageBreakBefore w:val="0"/>
        <w:widowControl w:val="0"/>
        <w:kinsoku/>
        <w:wordWrap/>
        <w:overflowPunct/>
        <w:topLinePunct w:val="0"/>
        <w:autoSpaceDE w:val="0"/>
        <w:autoSpaceDN w:val="0"/>
        <w:bidi w:val="0"/>
        <w:adjustRightInd w:val="0"/>
        <w:snapToGrid/>
        <w:spacing w:before="157" w:beforeLines="50" w:after="157" w:afterLines="50" w:line="360" w:lineRule="auto"/>
        <w:ind w:left="0" w:leftChars="0" w:firstLine="0" w:firstLineChars="0"/>
        <w:jc w:val="left"/>
        <w:textAlignment w:val="auto"/>
        <w:rPr>
          <w:rFonts w:hint="eastAsia" w:ascii="宋体" w:hAnsi="宋体" w:eastAsia="宋体"/>
          <w:b/>
          <w:bCs/>
          <w:sz w:val="24"/>
          <w:szCs w:val="24"/>
          <w:lang w:val="en-US" w:eastAsia="zh-CN"/>
        </w:rPr>
      </w:pPr>
      <w:r>
        <w:rPr>
          <w:rFonts w:hint="eastAsia" w:ascii="宋体" w:hAnsi="宋体" w:eastAsia="宋体"/>
          <w:b/>
          <w:bCs/>
          <w:sz w:val="24"/>
          <w:szCs w:val="24"/>
          <w:lang w:val="en-US" w:eastAsia="zh-CN"/>
        </w:rPr>
        <w:t>1、技术论证</w:t>
      </w:r>
    </w:p>
    <w:p>
      <w:pPr>
        <w:keepNext w:val="0"/>
        <w:keepLines w:val="0"/>
        <w:pageBreakBefore w:val="0"/>
        <w:widowControl w:val="0"/>
        <w:kinsoku/>
        <w:wordWrap/>
        <w:overflowPunct/>
        <w:topLinePunct w:val="0"/>
        <w:autoSpaceDE w:val="0"/>
        <w:autoSpaceDN w:val="0"/>
        <w:bidi w:val="0"/>
        <w:adjustRightInd w:val="0"/>
        <w:snapToGrid/>
        <w:spacing w:before="157" w:beforeLines="50" w:after="157" w:afterLines="50" w:line="360" w:lineRule="auto"/>
        <w:ind w:left="0" w:leftChars="0" w:firstLine="0" w:firstLineChars="0"/>
        <w:jc w:val="left"/>
        <w:textAlignment w:val="auto"/>
        <w:rPr>
          <w:rFonts w:hint="eastAsia" w:ascii="宋体" w:hAnsi="宋体" w:eastAsia="宋体"/>
          <w:b/>
          <w:bCs/>
          <w:sz w:val="24"/>
          <w:szCs w:val="24"/>
          <w:lang w:val="en-US" w:eastAsia="zh-CN"/>
        </w:rPr>
      </w:pPr>
      <w:r>
        <w:rPr>
          <w:rFonts w:hint="eastAsia" w:ascii="宋体" w:hAnsi="宋体" w:eastAsia="宋体"/>
          <w:b/>
          <w:bCs/>
          <w:sz w:val="24"/>
          <w:szCs w:val="24"/>
          <w:lang w:val="en-US" w:eastAsia="zh-CN"/>
        </w:rPr>
        <w:t>（1）与国内外相关标准的技术对比</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360" w:lineRule="auto"/>
        <w:ind w:left="0" w:leftChars="0" w:firstLine="420" w:firstLineChars="175"/>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目前，国内与煤焦油产率测定相关的标准主要包括GB/T 1341—2007《煤的格金低温干馏试验方法》和GB/T 480—2019《煤的铝甑低温干馏试验方法》，前者规定了煤的格金低温干馏试验方法，适用于褐煤、烟煤和无烟煤的焦油产率、半焦产率、干馏煤气产率及焦油中水分的测定。该方法是在常压、隔绝空气条件下，将煤样加热到600℃进行干馏，收集并称量焦油、半焦等产品，计算产率。这是我国传统上测定煤焦油产率的主要方法；后者规定了煤的铝甑低温干馏试验方法，与格金法类似，也是在常压条件下进行煤的低温干馏试验，测定焦油产率、半焦产率、水分产率和煤气产率。铝甑法是我国测定年轻褐煤焦油产率的常用方法。</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360" w:lineRule="auto"/>
        <w:ind w:left="0" w:leftChars="0" w:firstLine="420" w:firstLineChars="175"/>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在国际上，煤焦油产率测定主要采用类似格金法的试验方法，如美国ASTM D346-2018《Standard Test Method for Laboratory Determination of Yield of Coals for Coke and Other Products from Coal by the Gray-King Assay》和国际标准化组织ISO 502:2025《Hard coal — Determination of caking power — Gray-King coke test》等。这些标准同样是在常压条件下进行测试，无法模拟地下原位热解的工况条件。关于富油煤原位热解技术的国际研究起步较晚，但近年来发展迅速。美国、加拿大、澳大利亚等国家的研究机构在煤的原位热解技术方面开展了大量研究工作，但尚未形成系统的技术标准。</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360" w:lineRule="auto"/>
        <w:ind w:left="0" w:leftChars="0" w:firstLine="420" w:firstLineChars="175"/>
        <w:jc w:val="left"/>
        <w:textAlignment w:val="auto"/>
        <w:rPr>
          <w:rFonts w:hint="eastAsia" w:ascii="宋体" w:hAnsi="宋体" w:eastAsia="宋体"/>
          <w:b w:val="0"/>
          <w:bCs w:val="0"/>
          <w:sz w:val="24"/>
          <w:szCs w:val="24"/>
          <w:lang w:val="en-US" w:eastAsia="zh-CN"/>
        </w:rPr>
      </w:pPr>
      <w:r>
        <w:rPr>
          <w:rFonts w:hint="default" w:ascii="宋体" w:hAnsi="宋体" w:eastAsia="宋体"/>
          <w:b w:val="0"/>
          <w:bCs w:val="0"/>
          <w:sz w:val="24"/>
          <w:szCs w:val="24"/>
          <w:lang w:val="en-US" w:eastAsia="zh-CN"/>
        </w:rPr>
        <w:t>可以看出，本标准与</w:t>
      </w:r>
      <w:r>
        <w:rPr>
          <w:rFonts w:hint="eastAsia" w:ascii="宋体" w:hAnsi="宋体" w:eastAsia="宋体"/>
          <w:b w:val="0"/>
          <w:bCs w:val="0"/>
          <w:sz w:val="24"/>
          <w:szCs w:val="24"/>
          <w:lang w:val="en-US" w:eastAsia="zh-CN"/>
        </w:rPr>
        <w:t>上述</w:t>
      </w:r>
      <w:r>
        <w:rPr>
          <w:rFonts w:hint="default" w:ascii="宋体" w:hAnsi="宋体" w:eastAsia="宋体"/>
          <w:b w:val="0"/>
          <w:bCs w:val="0"/>
          <w:sz w:val="24"/>
          <w:szCs w:val="24"/>
          <w:lang w:val="en-US" w:eastAsia="zh-CN"/>
        </w:rPr>
        <w:t>现有标准的核心差异在于测试条件的改变。本标准通过模拟富油煤在地下原位热解的实际工况条件（加压、气体注入），能够更准确地测定富油煤在实际原位热解过程中的焦油产率，为资源评价和工程设计提供更可靠的依据。</w:t>
      </w:r>
      <w:r>
        <w:rPr>
          <w:rFonts w:hint="eastAsia" w:ascii="宋体" w:hAnsi="宋体" w:eastAsia="宋体"/>
          <w:b w:val="0"/>
          <w:bCs w:val="0"/>
          <w:sz w:val="24"/>
          <w:szCs w:val="24"/>
          <w:lang w:val="en-US" w:eastAsia="zh-CN"/>
        </w:rPr>
        <w:t>本标准在技术层面所做的主要改进有：</w:t>
      </w:r>
    </w:p>
    <w:p>
      <w:pPr>
        <w:keepNext w:val="0"/>
        <w:keepLines w:val="0"/>
        <w:pageBreakBefore w:val="0"/>
        <w:widowControl w:val="0"/>
        <w:numPr>
          <w:ilvl w:val="0"/>
          <w:numId w:val="10"/>
        </w:numPr>
        <w:kinsoku/>
        <w:wordWrap/>
        <w:overflowPunct/>
        <w:topLinePunct w:val="0"/>
        <w:autoSpaceDE w:val="0"/>
        <w:autoSpaceDN w:val="0"/>
        <w:bidi w:val="0"/>
        <w:adjustRightInd w:val="0"/>
        <w:snapToGrid/>
        <w:spacing w:line="360" w:lineRule="auto"/>
        <w:ind w:left="0" w:leftChars="0" w:firstLine="420" w:firstLineChars="175"/>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试样形态和尺寸：GB/T 1341—2007《煤的格金低温干馏试验方法》和GB/T 480—2019《煤的铝甑低温干馏试验方法》均采用粒度＜0.2mm的颗粒试样，这种小尺寸颗粒在受热传导、产物运移等多方面都与地下原位热解的试样尺度差别很大。在此基础上，本标准采用圆柱状岩心样，既能够满足钻孔岩心的测试，又更能贴近实际工况。且通过调研，通常加热井与生产井之间的水平距离设计在10米到30米之间，而为了保证较好的热效率，4米以上的中厚煤层往往被优先选择，因此实际工况下垂直方向和水平方向煤的范围约为1:5，故按比例缩小试样规格为直径100mm、长度500mm，尽可能地贴近实际工况条件，提高测试的代表性和准确性。</w:t>
      </w:r>
    </w:p>
    <w:p>
      <w:pPr>
        <w:keepNext w:val="0"/>
        <w:keepLines w:val="0"/>
        <w:pageBreakBefore w:val="0"/>
        <w:widowControl w:val="0"/>
        <w:numPr>
          <w:ilvl w:val="0"/>
          <w:numId w:val="10"/>
        </w:numPr>
        <w:kinsoku/>
        <w:wordWrap/>
        <w:overflowPunct/>
        <w:topLinePunct w:val="0"/>
        <w:autoSpaceDE w:val="0"/>
        <w:autoSpaceDN w:val="0"/>
        <w:bidi w:val="0"/>
        <w:adjustRightInd w:val="0"/>
        <w:snapToGrid/>
        <w:spacing w:line="360" w:lineRule="auto"/>
        <w:ind w:left="0" w:leftChars="0" w:firstLine="420" w:firstLineChars="175"/>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压力条件：GB/T 1341—2007《煤的格金低温干馏试验方法》和GB/T 480—2019《煤的铝甑低温干馏试验方法》均在常压下进行测试，但地下原位热解时煤层必然受到上覆地层和围岩施加的压力。现有研究也已表明，压力在抑制焦油高温裂解、控制流体运移等方面均有较大影响。本标准为模拟原位压力环境，在压力条件方面设定了独立、恒压加载围压和轴压，且上限不宜低于30MPa的技术要求，能够更好地符合千米内富油煤原位热解开采的压力条件。</w:t>
      </w:r>
    </w:p>
    <w:p>
      <w:pPr>
        <w:keepNext w:val="0"/>
        <w:keepLines w:val="0"/>
        <w:pageBreakBefore w:val="0"/>
        <w:widowControl w:val="0"/>
        <w:numPr>
          <w:ilvl w:val="0"/>
          <w:numId w:val="10"/>
        </w:numPr>
        <w:kinsoku/>
        <w:wordWrap/>
        <w:overflowPunct/>
        <w:topLinePunct w:val="0"/>
        <w:autoSpaceDE w:val="0"/>
        <w:autoSpaceDN w:val="0"/>
        <w:bidi w:val="0"/>
        <w:adjustRightInd w:val="0"/>
        <w:snapToGrid/>
        <w:spacing w:line="360" w:lineRule="auto"/>
        <w:ind w:left="0" w:leftChars="0" w:firstLine="420" w:firstLineChars="175"/>
        <w:jc w:val="left"/>
        <w:textAlignment w:val="auto"/>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气氛环境：GB/T 1341—2007《煤的格金低温干馏试验方法》和GB/T 480—2019《煤的铝甑低温干馏试验方法》均是在隔绝空气的惰性气氛环境下开展，但现有富油煤热解除在惰性气氛下开展外，还有注入载气、反应气等多种气氛工艺，不同气氛影响热解反应路径和焦油品质。在此基础上，本标准要求应配备水蒸气、氮气、二氧化碳、氧气等多种气源，并应配置流量计、配气罐等方便不同比例气体的混合注入。</w:t>
      </w:r>
    </w:p>
    <w:p>
      <w:pPr>
        <w:keepNext w:val="0"/>
        <w:keepLines w:val="0"/>
        <w:pageBreakBefore w:val="0"/>
        <w:widowControl w:val="0"/>
        <w:numPr>
          <w:ilvl w:val="0"/>
          <w:numId w:val="10"/>
        </w:numPr>
        <w:kinsoku/>
        <w:wordWrap/>
        <w:overflowPunct/>
        <w:topLinePunct w:val="0"/>
        <w:autoSpaceDE w:val="0"/>
        <w:autoSpaceDN w:val="0"/>
        <w:bidi w:val="0"/>
        <w:adjustRightInd w:val="0"/>
        <w:snapToGrid/>
        <w:spacing w:line="360" w:lineRule="auto"/>
        <w:ind w:left="0" w:leftChars="0" w:firstLine="420" w:firstLineChars="175"/>
        <w:jc w:val="left"/>
        <w:textAlignment w:val="auto"/>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温度范围：GB/T 1341—2007《煤的格金低温干馏试验方法》和GB/T 480—2019《煤的铝甑低温干馏试验方法》均采用最高600℃的温度上限，这主要是考虑到超过该温度后，反应就以焦油的二次裂解为主，焦油产率反而下降。但在地下原位热解中，压力和气氛均可能促使二次裂解向高温方向推移，且大尺寸试样需要考虑传热等因素，仍坚持600℃的温度上限可能引起焦油产出反应不完全等问题，因此设定1000℃的温度上限，能满足不同工艺条件的极限测试需求及加热速率控制，探索原位热解最佳工艺条件。</w:t>
      </w:r>
    </w:p>
    <w:p>
      <w:pPr>
        <w:keepNext w:val="0"/>
        <w:keepLines w:val="0"/>
        <w:pageBreakBefore w:val="0"/>
        <w:widowControl w:val="0"/>
        <w:numPr>
          <w:ilvl w:val="0"/>
          <w:numId w:val="11"/>
        </w:numPr>
        <w:kinsoku/>
        <w:wordWrap/>
        <w:overflowPunct/>
        <w:topLinePunct w:val="0"/>
        <w:autoSpaceDE w:val="0"/>
        <w:autoSpaceDN w:val="0"/>
        <w:bidi w:val="0"/>
        <w:adjustRightInd w:val="0"/>
        <w:snapToGrid/>
        <w:spacing w:before="157" w:beforeLines="50" w:after="157" w:afterLines="50" w:line="360" w:lineRule="auto"/>
        <w:ind w:left="0" w:leftChars="0" w:firstLine="0" w:firstLineChars="0"/>
        <w:jc w:val="left"/>
        <w:textAlignment w:val="auto"/>
        <w:rPr>
          <w:rFonts w:hint="eastAsia" w:ascii="宋体" w:hAnsi="宋体" w:eastAsia="宋体"/>
          <w:b/>
          <w:bCs/>
          <w:sz w:val="24"/>
          <w:szCs w:val="24"/>
          <w:lang w:val="en-US" w:eastAsia="zh-CN"/>
        </w:rPr>
      </w:pPr>
      <w:r>
        <w:rPr>
          <w:rFonts w:hint="eastAsia" w:ascii="宋体" w:hAnsi="宋体" w:eastAsia="宋体"/>
          <w:b/>
          <w:bCs/>
          <w:sz w:val="24"/>
          <w:szCs w:val="24"/>
          <w:lang w:val="en-US" w:eastAsia="zh-CN"/>
        </w:rPr>
        <w:t>技术可行性验证试验</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360" w:lineRule="auto"/>
        <w:ind w:left="0" w:leftChars="0" w:firstLine="420" w:firstLineChars="175"/>
        <w:jc w:val="left"/>
        <w:textAlignment w:val="auto"/>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根据技术要求，搭建了一套原位模拟实验平台（如图1、2所示），并开展了一系列验证实验，验证了不同压力、不同气氛环境、不同终温条件下的技术可行性，结果表明，以上技术要求、条件均能够在实际操作中得到满足。具体实验条件和实验结果见下表1。</w:t>
      </w:r>
    </w:p>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ascii="Times New Roman" w:hAnsi="Times New Roman" w:eastAsia="宋体" w:cs="Times New Roman"/>
          <w:sz w:val="21"/>
          <w:szCs w:val="22"/>
        </w:rPr>
      </w:pPr>
      <w:r>
        <w:rPr>
          <w:rFonts w:ascii="Times New Roman" w:hAnsi="Times New Roman" w:eastAsia="宋体" w:cs="Times New Roman"/>
          <w:sz w:val="21"/>
          <w:szCs w:val="22"/>
        </w:rPr>
        <w:drawing>
          <wp:inline distT="0" distB="0" distL="114300" distR="114300">
            <wp:extent cx="5126990" cy="1458595"/>
            <wp:effectExtent l="0" t="0" r="16510" b="8255"/>
            <wp:docPr id="4" name="图片 7" descr="C:\Users\123\Desktop\2022天山英才\韦波\实验装置.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7" descr="C:\Users\123\Desktop\2022天山英才\韦波\实验装置.jpg"/>
                    <pic:cNvPicPr>
                      <a:picLocks noChangeAspect="1"/>
                    </pic:cNvPicPr>
                  </pic:nvPicPr>
                  <pic:blipFill>
                    <a:blip r:embed="rId12"/>
                    <a:stretch>
                      <a:fillRect/>
                    </a:stretch>
                  </pic:blipFill>
                  <pic:spPr>
                    <a:xfrm>
                      <a:off x="0" y="0"/>
                      <a:ext cx="5126990" cy="1458595"/>
                    </a:xfrm>
                    <a:prstGeom prst="rect">
                      <a:avLst/>
                    </a:prstGeom>
                    <a:noFill/>
                    <a:ln>
                      <a:noFill/>
                    </a:ln>
                  </pic:spPr>
                </pic:pic>
              </a:graphicData>
            </a:graphic>
          </wp:inline>
        </w:drawing>
      </w:r>
    </w:p>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ascii="Times New Roman" w:hAnsi="Times New Roman" w:eastAsia="宋体" w:cs="Times New Roman"/>
          <w:sz w:val="21"/>
          <w:szCs w:val="21"/>
        </w:rPr>
      </w:pPr>
      <w:r>
        <w:rPr>
          <w:rFonts w:hint="eastAsia" w:ascii="Times New Roman" w:hAnsi="Times New Roman" w:eastAsia="宋体" w:cs="Times New Roman"/>
          <w:sz w:val="21"/>
          <w:szCs w:val="21"/>
        </w:rPr>
        <w:t>图1 实验设备构成示意图</w:t>
      </w:r>
    </w:p>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ascii="Times New Roman" w:hAnsi="Times New Roman" w:eastAsia="宋体" w:cs="Times New Roman"/>
          <w:sz w:val="21"/>
          <w:szCs w:val="22"/>
        </w:rPr>
      </w:pPr>
      <w:r>
        <w:rPr>
          <w:rFonts w:ascii="Times New Roman" w:hAnsi="Times New Roman" w:eastAsia="宋体" w:cs="Times New Roman"/>
          <w:sz w:val="21"/>
          <w:szCs w:val="22"/>
        </w:rPr>
        <w:drawing>
          <wp:inline distT="0" distB="0" distL="114300" distR="114300">
            <wp:extent cx="4449445" cy="2360295"/>
            <wp:effectExtent l="0" t="0" r="8255" b="1905"/>
            <wp:docPr id="3"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8"/>
                    <pic:cNvPicPr>
                      <a:picLocks noChangeAspect="1"/>
                    </pic:cNvPicPr>
                  </pic:nvPicPr>
                  <pic:blipFill>
                    <a:blip r:embed="rId13"/>
                    <a:stretch>
                      <a:fillRect/>
                    </a:stretch>
                  </pic:blipFill>
                  <pic:spPr>
                    <a:xfrm>
                      <a:off x="0" y="0"/>
                      <a:ext cx="4449445" cy="2360295"/>
                    </a:xfrm>
                    <a:prstGeom prst="rect">
                      <a:avLst/>
                    </a:prstGeom>
                    <a:noFill/>
                    <a:ln>
                      <a:noFill/>
                    </a:ln>
                  </pic:spPr>
                </pic:pic>
              </a:graphicData>
            </a:graphic>
          </wp:inline>
        </w:drawing>
      </w:r>
    </w:p>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图2 实验装备实物图</w:t>
      </w:r>
    </w:p>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imes New Roman" w:hAnsi="Times New Roman" w:eastAsia="宋体" w:cs="Times New Roman"/>
          <w:sz w:val="21"/>
          <w:szCs w:val="21"/>
        </w:rPr>
      </w:pPr>
      <w:r>
        <w:rPr>
          <w:rFonts w:hint="eastAsia" w:ascii="Times New Roman" w:hAnsi="Times New Roman" w:eastAsia="宋体" w:cs="Times New Roman"/>
          <w:sz w:val="21"/>
          <w:szCs w:val="21"/>
          <w:lang w:val="en-US" w:eastAsia="zh-CN"/>
        </w:rPr>
        <w:t>表1</w:t>
      </w:r>
      <w:r>
        <w:rPr>
          <w:rFonts w:hint="eastAsia" w:ascii="Times New Roman" w:hAnsi="Times New Roman" w:eastAsia="宋体" w:cs="Times New Roman"/>
          <w:sz w:val="21"/>
          <w:szCs w:val="21"/>
        </w:rPr>
        <w:t xml:space="preserve"> 实验条件和实验结果</w:t>
      </w:r>
    </w:p>
    <w:tbl>
      <w:tblPr>
        <w:tblStyle w:val="5"/>
        <w:tblW w:w="836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8"/>
        <w:gridCol w:w="1033"/>
        <w:gridCol w:w="1033"/>
        <w:gridCol w:w="965"/>
        <w:gridCol w:w="750"/>
        <w:gridCol w:w="943"/>
        <w:gridCol w:w="760"/>
        <w:gridCol w:w="737"/>
        <w:gridCol w:w="730"/>
        <w:gridCol w:w="6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26" w:hRule="atLeast"/>
        </w:trPr>
        <w:tc>
          <w:tcPr>
            <w:tcW w:w="728"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实验编号</w:t>
            </w:r>
          </w:p>
        </w:tc>
        <w:tc>
          <w:tcPr>
            <w:tcW w:w="1033"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轴压（MPa）</w:t>
            </w:r>
          </w:p>
        </w:tc>
        <w:tc>
          <w:tcPr>
            <w:tcW w:w="1033"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围压（MPa）</w:t>
            </w:r>
          </w:p>
        </w:tc>
        <w:tc>
          <w:tcPr>
            <w:tcW w:w="965" w:type="dxa"/>
            <w:vAlign w:val="center"/>
          </w:tcPr>
          <w:p>
            <w:pPr>
              <w:jc w:val="center"/>
              <w:rPr>
                <w:rFonts w:hint="eastAsia" w:ascii="Times New Roman" w:hAnsi="Times New Roman" w:eastAsia="宋体" w:cs="Times New Roman"/>
                <w:szCs w:val="21"/>
                <w:lang w:eastAsia="zh-CN"/>
              </w:rPr>
            </w:pPr>
            <w:r>
              <w:rPr>
                <w:rFonts w:hint="eastAsia" w:ascii="Times New Roman" w:hAnsi="Times New Roman" w:eastAsia="宋体" w:cs="Times New Roman"/>
                <w:szCs w:val="21"/>
                <w:lang w:val="en-US" w:eastAsia="zh-CN"/>
              </w:rPr>
              <w:t>气氛</w:t>
            </w:r>
          </w:p>
        </w:tc>
        <w:tc>
          <w:tcPr>
            <w:tcW w:w="750"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lang w:val="en-US" w:eastAsia="zh-CN"/>
              </w:rPr>
              <w:t>终温</w:t>
            </w:r>
            <w:r>
              <w:rPr>
                <w:rFonts w:ascii="Times New Roman" w:hAnsi="Times New Roman" w:eastAsia="宋体" w:cs="Times New Roman"/>
                <w:szCs w:val="21"/>
              </w:rPr>
              <w:t>(℃)</w:t>
            </w:r>
          </w:p>
        </w:tc>
        <w:tc>
          <w:tcPr>
            <w:tcW w:w="943"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反应时间（h）</w:t>
            </w:r>
          </w:p>
        </w:tc>
        <w:tc>
          <w:tcPr>
            <w:tcW w:w="760"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焦油产率(%)</w:t>
            </w:r>
          </w:p>
        </w:tc>
        <w:tc>
          <w:tcPr>
            <w:tcW w:w="737"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半焦产率(%)</w:t>
            </w:r>
          </w:p>
        </w:tc>
        <w:tc>
          <w:tcPr>
            <w:tcW w:w="730"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气体产率(%)</w:t>
            </w:r>
          </w:p>
        </w:tc>
        <w:tc>
          <w:tcPr>
            <w:tcW w:w="684"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水分产率(%)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6" w:hRule="atLeast"/>
        </w:trPr>
        <w:tc>
          <w:tcPr>
            <w:tcW w:w="728"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1</w:t>
            </w:r>
          </w:p>
        </w:tc>
        <w:tc>
          <w:tcPr>
            <w:tcW w:w="1033"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5</w:t>
            </w:r>
          </w:p>
        </w:tc>
        <w:tc>
          <w:tcPr>
            <w:tcW w:w="1033"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2</w:t>
            </w:r>
          </w:p>
        </w:tc>
        <w:tc>
          <w:tcPr>
            <w:tcW w:w="965"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氧气</w:t>
            </w:r>
          </w:p>
        </w:tc>
        <w:tc>
          <w:tcPr>
            <w:tcW w:w="750"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1000</w:t>
            </w:r>
          </w:p>
        </w:tc>
        <w:tc>
          <w:tcPr>
            <w:tcW w:w="943"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6</w:t>
            </w:r>
          </w:p>
        </w:tc>
        <w:tc>
          <w:tcPr>
            <w:tcW w:w="760"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1</w:t>
            </w:r>
          </w:p>
        </w:tc>
        <w:tc>
          <w:tcPr>
            <w:tcW w:w="737"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65</w:t>
            </w:r>
          </w:p>
        </w:tc>
        <w:tc>
          <w:tcPr>
            <w:tcW w:w="730"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17</w:t>
            </w:r>
          </w:p>
        </w:tc>
        <w:tc>
          <w:tcPr>
            <w:tcW w:w="684"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6" w:hRule="atLeast"/>
        </w:trPr>
        <w:tc>
          <w:tcPr>
            <w:tcW w:w="728"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2</w:t>
            </w:r>
          </w:p>
        </w:tc>
        <w:tc>
          <w:tcPr>
            <w:tcW w:w="1033"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5</w:t>
            </w:r>
          </w:p>
        </w:tc>
        <w:tc>
          <w:tcPr>
            <w:tcW w:w="1033"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2</w:t>
            </w:r>
          </w:p>
        </w:tc>
        <w:tc>
          <w:tcPr>
            <w:tcW w:w="965"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水蒸气</w:t>
            </w:r>
          </w:p>
        </w:tc>
        <w:tc>
          <w:tcPr>
            <w:tcW w:w="750"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1000</w:t>
            </w:r>
          </w:p>
        </w:tc>
        <w:tc>
          <w:tcPr>
            <w:tcW w:w="943"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6</w:t>
            </w:r>
          </w:p>
        </w:tc>
        <w:tc>
          <w:tcPr>
            <w:tcW w:w="760"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3</w:t>
            </w:r>
          </w:p>
        </w:tc>
        <w:tc>
          <w:tcPr>
            <w:tcW w:w="737"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59</w:t>
            </w:r>
          </w:p>
        </w:tc>
        <w:tc>
          <w:tcPr>
            <w:tcW w:w="730"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25</w:t>
            </w:r>
          </w:p>
        </w:tc>
        <w:tc>
          <w:tcPr>
            <w:tcW w:w="684" w:type="dxa"/>
            <w:vAlign w:val="center"/>
          </w:tcPr>
          <w:p>
            <w:pPr>
              <w:jc w:val="center"/>
              <w:rPr>
                <w:rFonts w:hint="eastAsia" w:ascii="Times New Roman" w:hAnsi="Times New Roman" w:eastAsia="宋体" w:cs="Times New Roman"/>
                <w:szCs w:val="21"/>
                <w:lang w:eastAsia="zh-CN"/>
              </w:rPr>
            </w:pPr>
            <w:r>
              <w:rPr>
                <w:rFonts w:hint="eastAsia" w:ascii="Times New Roman" w:hAnsi="Times New Roman" w:eastAsia="宋体" w:cs="Times New Roman"/>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6" w:hRule="atLeast"/>
        </w:trPr>
        <w:tc>
          <w:tcPr>
            <w:tcW w:w="728"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3</w:t>
            </w:r>
          </w:p>
        </w:tc>
        <w:tc>
          <w:tcPr>
            <w:tcW w:w="1033"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5</w:t>
            </w:r>
          </w:p>
        </w:tc>
        <w:tc>
          <w:tcPr>
            <w:tcW w:w="1033"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2</w:t>
            </w:r>
          </w:p>
        </w:tc>
        <w:tc>
          <w:tcPr>
            <w:tcW w:w="965"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空气</w:t>
            </w:r>
          </w:p>
        </w:tc>
        <w:tc>
          <w:tcPr>
            <w:tcW w:w="750"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1000</w:t>
            </w:r>
          </w:p>
        </w:tc>
        <w:tc>
          <w:tcPr>
            <w:tcW w:w="943"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6</w:t>
            </w:r>
          </w:p>
        </w:tc>
        <w:tc>
          <w:tcPr>
            <w:tcW w:w="760"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2</w:t>
            </w:r>
          </w:p>
        </w:tc>
        <w:tc>
          <w:tcPr>
            <w:tcW w:w="737"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66</w:t>
            </w:r>
          </w:p>
        </w:tc>
        <w:tc>
          <w:tcPr>
            <w:tcW w:w="730"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14</w:t>
            </w:r>
          </w:p>
        </w:tc>
        <w:tc>
          <w:tcPr>
            <w:tcW w:w="684"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6" w:hRule="atLeast"/>
        </w:trPr>
        <w:tc>
          <w:tcPr>
            <w:tcW w:w="728"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4</w:t>
            </w:r>
          </w:p>
        </w:tc>
        <w:tc>
          <w:tcPr>
            <w:tcW w:w="1033"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0</w:t>
            </w:r>
          </w:p>
        </w:tc>
        <w:tc>
          <w:tcPr>
            <w:tcW w:w="1033"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0</w:t>
            </w:r>
          </w:p>
        </w:tc>
        <w:tc>
          <w:tcPr>
            <w:tcW w:w="965"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氧气</w:t>
            </w:r>
          </w:p>
        </w:tc>
        <w:tc>
          <w:tcPr>
            <w:tcW w:w="750"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1000</w:t>
            </w:r>
          </w:p>
        </w:tc>
        <w:tc>
          <w:tcPr>
            <w:tcW w:w="943"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6</w:t>
            </w:r>
          </w:p>
        </w:tc>
        <w:tc>
          <w:tcPr>
            <w:tcW w:w="760"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2</w:t>
            </w:r>
          </w:p>
        </w:tc>
        <w:tc>
          <w:tcPr>
            <w:tcW w:w="737"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59</w:t>
            </w:r>
          </w:p>
        </w:tc>
        <w:tc>
          <w:tcPr>
            <w:tcW w:w="730"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20</w:t>
            </w:r>
          </w:p>
        </w:tc>
        <w:tc>
          <w:tcPr>
            <w:tcW w:w="684"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6" w:hRule="atLeast"/>
        </w:trPr>
        <w:tc>
          <w:tcPr>
            <w:tcW w:w="728"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5</w:t>
            </w:r>
          </w:p>
        </w:tc>
        <w:tc>
          <w:tcPr>
            <w:tcW w:w="1033"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0</w:t>
            </w:r>
          </w:p>
        </w:tc>
        <w:tc>
          <w:tcPr>
            <w:tcW w:w="1033"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0</w:t>
            </w:r>
          </w:p>
        </w:tc>
        <w:tc>
          <w:tcPr>
            <w:tcW w:w="965"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水蒸气</w:t>
            </w:r>
          </w:p>
        </w:tc>
        <w:tc>
          <w:tcPr>
            <w:tcW w:w="750"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1000</w:t>
            </w:r>
          </w:p>
        </w:tc>
        <w:tc>
          <w:tcPr>
            <w:tcW w:w="943"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6</w:t>
            </w:r>
          </w:p>
        </w:tc>
        <w:tc>
          <w:tcPr>
            <w:tcW w:w="760"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3</w:t>
            </w:r>
          </w:p>
        </w:tc>
        <w:tc>
          <w:tcPr>
            <w:tcW w:w="737"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54</w:t>
            </w:r>
          </w:p>
        </w:tc>
        <w:tc>
          <w:tcPr>
            <w:tcW w:w="730"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31</w:t>
            </w:r>
          </w:p>
        </w:tc>
        <w:tc>
          <w:tcPr>
            <w:tcW w:w="684" w:type="dxa"/>
            <w:vAlign w:val="center"/>
          </w:tcPr>
          <w:p>
            <w:pPr>
              <w:jc w:val="center"/>
              <w:rPr>
                <w:rFonts w:hint="eastAsia" w:ascii="Times New Roman" w:hAnsi="Times New Roman" w:eastAsia="宋体" w:cs="Times New Roman"/>
                <w:szCs w:val="21"/>
                <w:lang w:eastAsia="zh-CN"/>
              </w:rPr>
            </w:pPr>
            <w:r>
              <w:rPr>
                <w:rFonts w:hint="eastAsia" w:ascii="Times New Roman" w:hAnsi="Times New Roman" w:eastAsia="宋体" w:cs="Times New Roman"/>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6" w:hRule="atLeast"/>
        </w:trPr>
        <w:tc>
          <w:tcPr>
            <w:tcW w:w="728"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6</w:t>
            </w:r>
          </w:p>
        </w:tc>
        <w:tc>
          <w:tcPr>
            <w:tcW w:w="1033"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0</w:t>
            </w:r>
          </w:p>
        </w:tc>
        <w:tc>
          <w:tcPr>
            <w:tcW w:w="1033"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0</w:t>
            </w:r>
          </w:p>
        </w:tc>
        <w:tc>
          <w:tcPr>
            <w:tcW w:w="965"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空气</w:t>
            </w:r>
          </w:p>
        </w:tc>
        <w:tc>
          <w:tcPr>
            <w:tcW w:w="750"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1000</w:t>
            </w:r>
          </w:p>
        </w:tc>
        <w:tc>
          <w:tcPr>
            <w:tcW w:w="943"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6</w:t>
            </w:r>
          </w:p>
        </w:tc>
        <w:tc>
          <w:tcPr>
            <w:tcW w:w="760"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3</w:t>
            </w:r>
          </w:p>
        </w:tc>
        <w:tc>
          <w:tcPr>
            <w:tcW w:w="737"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63</w:t>
            </w:r>
          </w:p>
        </w:tc>
        <w:tc>
          <w:tcPr>
            <w:tcW w:w="730"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16</w:t>
            </w:r>
          </w:p>
        </w:tc>
        <w:tc>
          <w:tcPr>
            <w:tcW w:w="684" w:type="dxa"/>
            <w:vAlign w:val="center"/>
          </w:tcPr>
          <w:p>
            <w:pPr>
              <w:jc w:val="center"/>
              <w:rPr>
                <w:rFonts w:ascii="Times New Roman" w:hAnsi="Times New Roman" w:eastAsia="宋体" w:cs="Times New Roman"/>
                <w:szCs w:val="21"/>
              </w:rPr>
            </w:pPr>
            <w:r>
              <w:rPr>
                <w:rFonts w:ascii="Times New Roman" w:hAnsi="Times New Roman" w:eastAsia="宋体" w:cs="Times New Roman"/>
                <w:szCs w:val="21"/>
              </w:rPr>
              <w:t>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6" w:hRule="atLeast"/>
        </w:trPr>
        <w:tc>
          <w:tcPr>
            <w:tcW w:w="728" w:type="dxa"/>
            <w:vAlign w:val="center"/>
          </w:tcPr>
          <w:p>
            <w:pPr>
              <w:jc w:val="center"/>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7</w:t>
            </w:r>
          </w:p>
        </w:tc>
        <w:tc>
          <w:tcPr>
            <w:tcW w:w="1033" w:type="dxa"/>
            <w:vAlign w:val="center"/>
          </w:tcPr>
          <w:p>
            <w:pPr>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12</w:t>
            </w:r>
          </w:p>
        </w:tc>
        <w:tc>
          <w:tcPr>
            <w:tcW w:w="1033" w:type="dxa"/>
            <w:vAlign w:val="center"/>
          </w:tcPr>
          <w:p>
            <w:pPr>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12</w:t>
            </w:r>
          </w:p>
        </w:tc>
        <w:tc>
          <w:tcPr>
            <w:tcW w:w="965" w:type="dxa"/>
            <w:vAlign w:val="center"/>
          </w:tcPr>
          <w:p>
            <w:pPr>
              <w:jc w:val="center"/>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水蒸气</w:t>
            </w:r>
          </w:p>
        </w:tc>
        <w:tc>
          <w:tcPr>
            <w:tcW w:w="750" w:type="dxa"/>
            <w:vAlign w:val="center"/>
          </w:tcPr>
          <w:p>
            <w:pPr>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600</w:t>
            </w:r>
          </w:p>
        </w:tc>
        <w:tc>
          <w:tcPr>
            <w:tcW w:w="943" w:type="dxa"/>
            <w:vAlign w:val="center"/>
          </w:tcPr>
          <w:p>
            <w:pPr>
              <w:jc w:val="center"/>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6</w:t>
            </w:r>
          </w:p>
        </w:tc>
        <w:tc>
          <w:tcPr>
            <w:tcW w:w="760" w:type="dxa"/>
            <w:vAlign w:val="center"/>
          </w:tcPr>
          <w:p>
            <w:pPr>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11</w:t>
            </w:r>
          </w:p>
        </w:tc>
        <w:tc>
          <w:tcPr>
            <w:tcW w:w="737" w:type="dxa"/>
            <w:vAlign w:val="center"/>
          </w:tcPr>
          <w:p>
            <w:pPr>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75</w:t>
            </w:r>
          </w:p>
        </w:tc>
        <w:tc>
          <w:tcPr>
            <w:tcW w:w="730" w:type="dxa"/>
            <w:vAlign w:val="center"/>
          </w:tcPr>
          <w:p>
            <w:pPr>
              <w:jc w:val="center"/>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6</w:t>
            </w:r>
          </w:p>
        </w:tc>
        <w:tc>
          <w:tcPr>
            <w:tcW w:w="684" w:type="dxa"/>
            <w:vAlign w:val="center"/>
          </w:tcPr>
          <w:p>
            <w:pPr>
              <w:jc w:val="center"/>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6" w:hRule="atLeast"/>
        </w:trPr>
        <w:tc>
          <w:tcPr>
            <w:tcW w:w="728" w:type="dxa"/>
            <w:vAlign w:val="center"/>
          </w:tcPr>
          <w:p>
            <w:pPr>
              <w:jc w:val="center"/>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8</w:t>
            </w:r>
          </w:p>
        </w:tc>
        <w:tc>
          <w:tcPr>
            <w:tcW w:w="1033" w:type="dxa"/>
            <w:vAlign w:val="center"/>
          </w:tcPr>
          <w:p>
            <w:pPr>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12</w:t>
            </w:r>
          </w:p>
        </w:tc>
        <w:tc>
          <w:tcPr>
            <w:tcW w:w="1033" w:type="dxa"/>
            <w:vAlign w:val="center"/>
          </w:tcPr>
          <w:p>
            <w:pPr>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12</w:t>
            </w:r>
          </w:p>
        </w:tc>
        <w:tc>
          <w:tcPr>
            <w:tcW w:w="965"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lang w:val="en-US" w:eastAsia="zh-CN"/>
              </w:rPr>
              <w:t>水蒸气</w:t>
            </w:r>
          </w:p>
        </w:tc>
        <w:tc>
          <w:tcPr>
            <w:tcW w:w="750" w:type="dxa"/>
            <w:vAlign w:val="center"/>
          </w:tcPr>
          <w:p>
            <w:pPr>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600</w:t>
            </w:r>
          </w:p>
        </w:tc>
        <w:tc>
          <w:tcPr>
            <w:tcW w:w="943" w:type="dxa"/>
            <w:vAlign w:val="center"/>
          </w:tcPr>
          <w:p>
            <w:pPr>
              <w:jc w:val="center"/>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6</w:t>
            </w:r>
          </w:p>
        </w:tc>
        <w:tc>
          <w:tcPr>
            <w:tcW w:w="760" w:type="dxa"/>
            <w:vAlign w:val="center"/>
          </w:tcPr>
          <w:p>
            <w:pPr>
              <w:jc w:val="center"/>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6</w:t>
            </w:r>
          </w:p>
        </w:tc>
        <w:tc>
          <w:tcPr>
            <w:tcW w:w="737" w:type="dxa"/>
            <w:vAlign w:val="center"/>
          </w:tcPr>
          <w:p>
            <w:pPr>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89</w:t>
            </w:r>
          </w:p>
        </w:tc>
        <w:tc>
          <w:tcPr>
            <w:tcW w:w="730" w:type="dxa"/>
            <w:vAlign w:val="center"/>
          </w:tcPr>
          <w:p>
            <w:pPr>
              <w:jc w:val="center"/>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4</w:t>
            </w:r>
          </w:p>
        </w:tc>
        <w:tc>
          <w:tcPr>
            <w:tcW w:w="684" w:type="dxa"/>
            <w:vAlign w:val="center"/>
          </w:tcPr>
          <w:p>
            <w:pPr>
              <w:jc w:val="center"/>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6" w:hRule="atLeast"/>
        </w:trPr>
        <w:tc>
          <w:tcPr>
            <w:tcW w:w="728" w:type="dxa"/>
            <w:vAlign w:val="center"/>
          </w:tcPr>
          <w:p>
            <w:pPr>
              <w:jc w:val="center"/>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9</w:t>
            </w:r>
          </w:p>
        </w:tc>
        <w:tc>
          <w:tcPr>
            <w:tcW w:w="1033" w:type="dxa"/>
            <w:vAlign w:val="center"/>
          </w:tcPr>
          <w:p>
            <w:pPr>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12</w:t>
            </w:r>
          </w:p>
        </w:tc>
        <w:tc>
          <w:tcPr>
            <w:tcW w:w="1033" w:type="dxa"/>
            <w:vAlign w:val="center"/>
          </w:tcPr>
          <w:p>
            <w:pPr>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12</w:t>
            </w:r>
          </w:p>
        </w:tc>
        <w:tc>
          <w:tcPr>
            <w:tcW w:w="965"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lang w:val="en-US" w:eastAsia="zh-CN"/>
              </w:rPr>
              <w:t>水蒸气</w:t>
            </w:r>
          </w:p>
        </w:tc>
        <w:tc>
          <w:tcPr>
            <w:tcW w:w="750" w:type="dxa"/>
            <w:vAlign w:val="center"/>
          </w:tcPr>
          <w:p>
            <w:pPr>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600</w:t>
            </w:r>
          </w:p>
        </w:tc>
        <w:tc>
          <w:tcPr>
            <w:tcW w:w="943" w:type="dxa"/>
            <w:vAlign w:val="center"/>
          </w:tcPr>
          <w:p>
            <w:pPr>
              <w:jc w:val="center"/>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6</w:t>
            </w:r>
          </w:p>
        </w:tc>
        <w:tc>
          <w:tcPr>
            <w:tcW w:w="760" w:type="dxa"/>
            <w:vAlign w:val="center"/>
          </w:tcPr>
          <w:p>
            <w:pPr>
              <w:jc w:val="center"/>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2</w:t>
            </w:r>
          </w:p>
        </w:tc>
        <w:tc>
          <w:tcPr>
            <w:tcW w:w="737" w:type="dxa"/>
            <w:vAlign w:val="center"/>
          </w:tcPr>
          <w:p>
            <w:pPr>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91</w:t>
            </w:r>
          </w:p>
        </w:tc>
        <w:tc>
          <w:tcPr>
            <w:tcW w:w="730" w:type="dxa"/>
            <w:vAlign w:val="center"/>
          </w:tcPr>
          <w:p>
            <w:pPr>
              <w:jc w:val="center"/>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7</w:t>
            </w:r>
          </w:p>
        </w:tc>
        <w:tc>
          <w:tcPr>
            <w:tcW w:w="684" w:type="dxa"/>
            <w:vAlign w:val="center"/>
          </w:tcPr>
          <w:p>
            <w:pPr>
              <w:jc w:val="center"/>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6" w:hRule="atLeast"/>
        </w:trPr>
        <w:tc>
          <w:tcPr>
            <w:tcW w:w="728" w:type="dxa"/>
            <w:vAlign w:val="center"/>
          </w:tcPr>
          <w:p>
            <w:pPr>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10</w:t>
            </w:r>
          </w:p>
        </w:tc>
        <w:tc>
          <w:tcPr>
            <w:tcW w:w="1033" w:type="dxa"/>
            <w:vAlign w:val="center"/>
          </w:tcPr>
          <w:p>
            <w:pPr>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12</w:t>
            </w:r>
          </w:p>
        </w:tc>
        <w:tc>
          <w:tcPr>
            <w:tcW w:w="1033" w:type="dxa"/>
            <w:vAlign w:val="center"/>
          </w:tcPr>
          <w:p>
            <w:pPr>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12</w:t>
            </w:r>
          </w:p>
        </w:tc>
        <w:tc>
          <w:tcPr>
            <w:tcW w:w="965" w:type="dxa"/>
            <w:vAlign w:val="center"/>
          </w:tcPr>
          <w:p>
            <w:pPr>
              <w:jc w:val="center"/>
              <w:rPr>
                <w:rFonts w:ascii="Times New Roman" w:hAnsi="Times New Roman" w:eastAsia="宋体" w:cs="Times New Roman"/>
                <w:szCs w:val="21"/>
              </w:rPr>
            </w:pPr>
            <w:r>
              <w:rPr>
                <w:rFonts w:hint="eastAsia" w:ascii="Times New Roman" w:hAnsi="Times New Roman" w:eastAsia="宋体" w:cs="Times New Roman"/>
                <w:szCs w:val="21"/>
                <w:lang w:val="en-US" w:eastAsia="zh-CN"/>
              </w:rPr>
              <w:t>水蒸气</w:t>
            </w:r>
          </w:p>
        </w:tc>
        <w:tc>
          <w:tcPr>
            <w:tcW w:w="750" w:type="dxa"/>
            <w:vAlign w:val="center"/>
          </w:tcPr>
          <w:p>
            <w:pPr>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600</w:t>
            </w:r>
          </w:p>
        </w:tc>
        <w:tc>
          <w:tcPr>
            <w:tcW w:w="943" w:type="dxa"/>
            <w:vAlign w:val="center"/>
          </w:tcPr>
          <w:p>
            <w:pPr>
              <w:jc w:val="center"/>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6</w:t>
            </w:r>
          </w:p>
        </w:tc>
        <w:tc>
          <w:tcPr>
            <w:tcW w:w="760" w:type="dxa"/>
            <w:vAlign w:val="center"/>
          </w:tcPr>
          <w:p>
            <w:pPr>
              <w:jc w:val="center"/>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1</w:t>
            </w:r>
          </w:p>
        </w:tc>
        <w:tc>
          <w:tcPr>
            <w:tcW w:w="737" w:type="dxa"/>
            <w:vAlign w:val="center"/>
          </w:tcPr>
          <w:p>
            <w:pPr>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86</w:t>
            </w:r>
          </w:p>
        </w:tc>
        <w:tc>
          <w:tcPr>
            <w:tcW w:w="730" w:type="dxa"/>
            <w:vAlign w:val="center"/>
          </w:tcPr>
          <w:p>
            <w:pPr>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12</w:t>
            </w:r>
          </w:p>
        </w:tc>
        <w:tc>
          <w:tcPr>
            <w:tcW w:w="684" w:type="dxa"/>
            <w:vAlign w:val="center"/>
          </w:tcPr>
          <w:p>
            <w:pPr>
              <w:jc w:val="center"/>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w:t>
            </w:r>
          </w:p>
        </w:tc>
      </w:tr>
    </w:tbl>
    <w:p>
      <w:pPr>
        <w:keepNext w:val="0"/>
        <w:keepLines w:val="0"/>
        <w:pageBreakBefore w:val="0"/>
        <w:widowControl w:val="0"/>
        <w:numPr>
          <w:ilvl w:val="0"/>
          <w:numId w:val="0"/>
        </w:numPr>
        <w:kinsoku/>
        <w:wordWrap/>
        <w:overflowPunct/>
        <w:topLinePunct w:val="0"/>
        <w:autoSpaceDE w:val="0"/>
        <w:autoSpaceDN w:val="0"/>
        <w:bidi w:val="0"/>
        <w:adjustRightInd w:val="0"/>
        <w:snapToGrid/>
        <w:spacing w:line="360" w:lineRule="auto"/>
        <w:ind w:left="0" w:leftChars="0" w:firstLine="420" w:firstLineChars="175"/>
        <w:jc w:val="left"/>
        <w:textAlignment w:val="auto"/>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上表实验中，1-6实验为同一煤样不同条件下的实验结果；7-10实验为该煤样中光亮煤、半亮煤、半暗煤和暗淡煤在同一测试条件下的不同实验结果。可以发现600℃、围压12 MPa、轴压12 MPa、水蒸气气氛条件下，光亮煤焦油产率达到11%，远大于其他类型煤岩；相应工况条件下半亮煤焦油产率次之，焦油产率达到6%；可见半暗煤和暗淡煤相同工况条件下焦油产率远低于光亮煤和半亮煤，分别为2%和1%。对比1和4、2和5、3和6可以发现了，在1000℃下施加5MPa轴压和2MPa围压，会导致该煤样的气体产率稳定下降，半焦产率稳定上升，表明压力会阻碍挥发分逸出，迫使碳元素在煤颗粒内部发生二次缩聚，留在固相中。无论是加压(实验2)还是常压(实验5)，水蒸气气氛下的气体产率都远超氧气和空气，焦油产率也相对较高，这表明水蒸气气氛对煤的流态化转化非常可观。1-6实验在1000℃下焦油产率只有1%-3%，明显低于600℃时实验的焦油产率，表明1000℃的高温导致了初级焦油的剧烈二次裂解。</w:t>
      </w:r>
    </w:p>
    <w:p>
      <w:pPr>
        <w:keepNext w:val="0"/>
        <w:keepLines w:val="0"/>
        <w:pageBreakBefore w:val="0"/>
        <w:widowControl w:val="0"/>
        <w:numPr>
          <w:ilvl w:val="0"/>
          <w:numId w:val="12"/>
        </w:numPr>
        <w:kinsoku/>
        <w:wordWrap/>
        <w:overflowPunct/>
        <w:topLinePunct w:val="0"/>
        <w:autoSpaceDE w:val="0"/>
        <w:autoSpaceDN w:val="0"/>
        <w:bidi w:val="0"/>
        <w:adjustRightInd w:val="0"/>
        <w:snapToGrid/>
        <w:spacing w:before="157" w:beforeLines="50" w:after="157" w:afterLines="50" w:line="360" w:lineRule="auto"/>
        <w:ind w:left="0" w:leftChars="0" w:firstLine="0" w:firstLineChars="0"/>
        <w:jc w:val="left"/>
        <w:textAlignment w:val="auto"/>
        <w:rPr>
          <w:rFonts w:hint="eastAsia" w:ascii="宋体" w:hAnsi="宋体" w:eastAsia="宋体"/>
          <w:b/>
          <w:bCs/>
          <w:sz w:val="24"/>
          <w:szCs w:val="24"/>
          <w:lang w:val="en-US" w:eastAsia="zh-CN"/>
        </w:rPr>
      </w:pPr>
      <w:r>
        <w:rPr>
          <w:rFonts w:hint="eastAsia" w:ascii="宋体" w:hAnsi="宋体" w:eastAsia="宋体"/>
          <w:b/>
          <w:bCs/>
          <w:sz w:val="24"/>
          <w:szCs w:val="24"/>
          <w:lang w:val="en-US" w:eastAsia="zh-CN"/>
        </w:rPr>
        <w:t>经济论证</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360" w:lineRule="auto"/>
        <w:ind w:left="0" w:leftChars="0" w:firstLine="420" w:firstLineChars="175"/>
        <w:jc w:val="left"/>
        <w:textAlignment w:val="auto"/>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根据技术要求，原位热解模拟法测定富油煤焦油产率需要前期投入的成本主要为仪器设备与可重复利用配件，包括整套的气体注入装置、高温高压伺服加载装置等，经询价，气体注入装置10万元、高温高压伺服加载装置53万元、产物收集计量6万元、其他配件如钛合金岩心塞、各类罐体、管线等3万元，因此前期投入大约为70万元。</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360" w:lineRule="auto"/>
        <w:ind w:left="0" w:leftChars="0" w:firstLine="420" w:firstLineChars="175"/>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开展测试时用到的耗材和费用主要有试样加工费、试样外钛合金套管、石墨密封圈、气体、气体采集袋和焦油收集瓶。试样加工费大概在200元，一次性试样外钛合金套管280元，石墨密封圈160元，单次试验气体成本因各类气体价格不同在10元左右波动，气体采集袋和焦油收集瓶共25元，因此单次试验成本约775元左右。这与现行格金试验或铝甑法测定焦油产率相比，价格略高。经调研，第三方检测机构如国内头部综合性检测机构华测检测焦油产率测定价格为500元/样，国内煤炭检测权威机构煤炭科学技术研究院有限公司（煤科院）焦油产率的单项测定收费在600元/样，其他高校、科研院所等对外标价也都在500元/样左右。</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360" w:lineRule="auto"/>
        <w:ind w:left="0" w:leftChars="0" w:firstLine="420" w:firstLineChars="175"/>
        <w:jc w:val="left"/>
        <w:textAlignment w:val="auto"/>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从上述情况看，虽然本方法前期设备配置价格较高，但搭建后测试成本仅略高于原有测试方法，考虑到未来地下流态化开采的发展前景与产业潜力，需要大量的原位测试结果支撑，能够覆盖设备购置的前期成本。</w:t>
      </w:r>
    </w:p>
    <w:p>
      <w:pPr>
        <w:keepNext w:val="0"/>
        <w:keepLines w:val="0"/>
        <w:pageBreakBefore w:val="0"/>
        <w:widowControl w:val="0"/>
        <w:kinsoku/>
        <w:wordWrap/>
        <w:overflowPunct/>
        <w:topLinePunct w:val="0"/>
        <w:autoSpaceDE w:val="0"/>
        <w:autoSpaceDN w:val="0"/>
        <w:bidi w:val="0"/>
        <w:adjustRightInd w:val="0"/>
        <w:snapToGrid/>
        <w:spacing w:before="157" w:beforeLines="50" w:after="157" w:afterLines="50" w:line="360" w:lineRule="auto"/>
        <w:ind w:left="0" w:leftChars="0" w:firstLine="0" w:firstLineChars="0"/>
        <w:jc w:val="left"/>
        <w:textAlignment w:val="auto"/>
        <w:rPr>
          <w:rFonts w:hint="eastAsia" w:ascii="宋体" w:hAnsi="宋体" w:eastAsia="宋体"/>
          <w:b/>
          <w:bCs/>
          <w:sz w:val="24"/>
          <w:szCs w:val="24"/>
          <w:lang w:val="en-US" w:eastAsia="zh-CN"/>
        </w:rPr>
      </w:pPr>
      <w:r>
        <w:rPr>
          <w:rFonts w:hint="eastAsia" w:ascii="宋体" w:hAnsi="宋体" w:eastAsia="宋体"/>
          <w:b/>
          <w:bCs/>
          <w:sz w:val="24"/>
          <w:szCs w:val="24"/>
          <w:lang w:val="en-US" w:eastAsia="zh-CN"/>
        </w:rPr>
        <w:t>3、预期效果</w:t>
      </w:r>
    </w:p>
    <w:p>
      <w:pPr>
        <w:keepNext w:val="0"/>
        <w:keepLines w:val="0"/>
        <w:pageBreakBefore w:val="0"/>
        <w:widowControl w:val="0"/>
        <w:kinsoku/>
        <w:wordWrap/>
        <w:overflowPunct/>
        <w:topLinePunct w:val="0"/>
        <w:autoSpaceDE w:val="0"/>
        <w:autoSpaceDN w:val="0"/>
        <w:bidi w:val="0"/>
        <w:adjustRightInd w:val="0"/>
        <w:snapToGrid/>
        <w:spacing w:before="157" w:beforeLines="50" w:after="157" w:afterLines="50" w:line="360" w:lineRule="auto"/>
        <w:ind w:left="0" w:leftChars="0" w:firstLine="0" w:firstLineChars="0"/>
        <w:jc w:val="left"/>
        <w:textAlignment w:val="auto"/>
        <w:rPr>
          <w:rFonts w:hint="eastAsia" w:ascii="宋体" w:hAnsi="宋体" w:eastAsia="宋体"/>
          <w:b/>
          <w:bCs/>
          <w:sz w:val="24"/>
          <w:szCs w:val="24"/>
          <w:lang w:val="en-US" w:eastAsia="zh-CN"/>
        </w:rPr>
      </w:pPr>
      <w:r>
        <w:rPr>
          <w:rFonts w:hint="eastAsia" w:ascii="宋体" w:hAnsi="宋体" w:eastAsia="宋体"/>
          <w:b/>
          <w:bCs/>
          <w:sz w:val="24"/>
          <w:szCs w:val="24"/>
          <w:lang w:val="en-US" w:eastAsia="zh-CN"/>
        </w:rPr>
        <w:t>（1）保障国家能源安全</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before="157" w:beforeLines="50" w:after="157" w:afterLines="50" w:line="360" w:lineRule="auto"/>
        <w:ind w:left="0" w:leftChars="0" w:firstLine="420" w:firstLineChars="175"/>
        <w:jc w:val="left"/>
        <w:textAlignment w:val="auto"/>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本标准的实施，能够指导大规模、标准化的原位测试，精准评估全国富油煤资源中可经济开采的油气潜力，为国家能源规划提供准确地预测数据基石，一旦技术成熟，富油煤可成为稳定的国内非常规油气生产基地，直接生产焦油和热解气，作为石油和天然气的有效补充与部分替代，实质性降低油气对外依存度，增强能源供给的自主可控能力，可在我国西北地区形成多个区域性的煤基油气战略储备与产能接替区，在国际油气市场波动或供应中断时，提供快速、可靠的应急保障。</w:t>
      </w:r>
    </w:p>
    <w:p>
      <w:pPr>
        <w:keepNext w:val="0"/>
        <w:keepLines w:val="0"/>
        <w:pageBreakBefore w:val="0"/>
        <w:widowControl w:val="0"/>
        <w:numPr>
          <w:ilvl w:val="0"/>
          <w:numId w:val="13"/>
        </w:numPr>
        <w:kinsoku/>
        <w:wordWrap/>
        <w:overflowPunct/>
        <w:topLinePunct w:val="0"/>
        <w:autoSpaceDE w:val="0"/>
        <w:autoSpaceDN w:val="0"/>
        <w:bidi w:val="0"/>
        <w:adjustRightInd w:val="0"/>
        <w:snapToGrid/>
        <w:spacing w:before="157" w:beforeLines="50" w:after="157" w:afterLines="50" w:line="360" w:lineRule="auto"/>
        <w:ind w:left="0" w:leftChars="0" w:firstLine="0" w:firstLineChars="0"/>
        <w:jc w:val="left"/>
        <w:textAlignment w:val="auto"/>
        <w:rPr>
          <w:rFonts w:hint="eastAsia" w:ascii="宋体" w:hAnsi="宋体" w:eastAsia="宋体"/>
          <w:b/>
          <w:bCs/>
          <w:sz w:val="24"/>
          <w:szCs w:val="24"/>
          <w:lang w:val="en-US" w:eastAsia="zh-CN"/>
        </w:rPr>
      </w:pPr>
      <w:r>
        <w:rPr>
          <w:rFonts w:hint="eastAsia" w:ascii="宋体" w:hAnsi="宋体" w:eastAsia="宋体"/>
          <w:b/>
          <w:bCs/>
          <w:sz w:val="24"/>
          <w:szCs w:val="24"/>
          <w:lang w:val="en-US" w:eastAsia="zh-CN"/>
        </w:rPr>
        <w:t>推动煤炭清洁高效利用</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before="157" w:beforeLines="50" w:after="157" w:afterLines="50" w:line="360" w:lineRule="auto"/>
        <w:ind w:left="0" w:leftChars="0" w:firstLine="420" w:firstLineChars="175"/>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原位测试能精确区分富油煤与普通动力煤，基于测试结果，可对高焦油产率煤实施保护性开采与定向转化，优先以油气形式提取其中的氢元素，而将大部分碳以半焦形式留存地下。这完美契合了“双碳”目标下“取氢留碳”的煤炭利用新范式，从源头实现减碳。热解产物半焦若留存地下，还可作为封存CO</w:t>
      </w:r>
      <w:r>
        <w:rPr>
          <w:rFonts w:hint="eastAsia" w:ascii="宋体" w:hAnsi="宋体" w:eastAsia="宋体"/>
          <w:b w:val="0"/>
          <w:bCs w:val="0"/>
          <w:sz w:val="24"/>
          <w:szCs w:val="24"/>
          <w:vertAlign w:val="subscript"/>
          <w:lang w:val="en-US" w:eastAsia="zh-CN"/>
        </w:rPr>
        <w:t>2</w:t>
      </w:r>
      <w:r>
        <w:rPr>
          <w:rFonts w:hint="eastAsia" w:ascii="宋体" w:hAnsi="宋体" w:eastAsia="宋体"/>
          <w:b w:val="0"/>
          <w:bCs w:val="0"/>
          <w:sz w:val="24"/>
          <w:szCs w:val="24"/>
          <w:lang w:val="en-US" w:eastAsia="zh-CN"/>
        </w:rPr>
        <w:t>的潜在空间，实现“终端埋碳”，形成完整的清洁利用闭环。测试数据还是优化原位热解工艺的基础，优化的工艺能最大化油气收率，同时最小化能耗与碳排放。</w:t>
      </w:r>
    </w:p>
    <w:p>
      <w:pPr>
        <w:keepNext w:val="0"/>
        <w:keepLines w:val="0"/>
        <w:pageBreakBefore w:val="0"/>
        <w:widowControl w:val="0"/>
        <w:numPr>
          <w:ilvl w:val="0"/>
          <w:numId w:val="13"/>
        </w:numPr>
        <w:kinsoku/>
        <w:wordWrap/>
        <w:overflowPunct/>
        <w:topLinePunct w:val="0"/>
        <w:autoSpaceDE w:val="0"/>
        <w:autoSpaceDN w:val="0"/>
        <w:bidi w:val="0"/>
        <w:adjustRightInd w:val="0"/>
        <w:snapToGrid/>
        <w:spacing w:before="157" w:beforeLines="50" w:after="157" w:afterLines="50" w:line="360" w:lineRule="auto"/>
        <w:ind w:left="0" w:leftChars="0" w:firstLine="0" w:firstLineChars="0"/>
        <w:jc w:val="left"/>
        <w:textAlignment w:val="auto"/>
        <w:rPr>
          <w:rFonts w:hint="eastAsia" w:ascii="宋体" w:hAnsi="宋体" w:eastAsia="宋体"/>
          <w:b/>
          <w:bCs/>
          <w:sz w:val="24"/>
          <w:szCs w:val="24"/>
          <w:lang w:val="en-US" w:eastAsia="zh-CN"/>
        </w:rPr>
      </w:pPr>
      <w:r>
        <w:rPr>
          <w:rFonts w:hint="eastAsia" w:ascii="宋体" w:hAnsi="宋体" w:eastAsia="宋体"/>
          <w:b/>
          <w:bCs/>
          <w:sz w:val="24"/>
          <w:szCs w:val="24"/>
          <w:lang w:val="en-US" w:eastAsia="zh-CN"/>
        </w:rPr>
        <w:t>促进产业发展与技术进步</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before="157" w:beforeLines="50" w:after="157" w:afterLines="50" w:line="360" w:lineRule="auto"/>
        <w:ind w:left="0" w:leftChars="0" w:firstLine="420" w:firstLineChars="175"/>
        <w:jc w:val="left"/>
        <w:textAlignment w:val="auto"/>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系统性的原位测试评价，将为投资决策提供关键信心，吸引资本进入，从而催生并壮大富油煤从勘探到开采再到化工利用的全产业链。这不仅是煤炭行业的升级，更是油气工业和化工产业的拓展，有望成为西部地区新的经济增长极。对原位产率的精确测试和预测需求，将直接驱动一系列关键技术研发，如高精度焦油产率预测模型、开发工艺与设备、深加工与高值化利用技术等，推动富油煤产业链全面发展。随着测试方法的成熟和数据的积累，将逐步建立关于富油煤资源评价、原位热解工程设计、产物计量与品质等方面的国家或行业标准体系，规范并引领产业健康发展。同时，测试与开发实践需要企业、高校、研究院所紧密合作，推进“问题导向-联合攻关-工程验证”的产学研模式，加速科技成果转化，为国家培养该领域的尖端人才。</w:t>
      </w:r>
    </w:p>
    <w:p>
      <w:pPr>
        <w:keepNext w:val="0"/>
        <w:keepLines w:val="0"/>
        <w:pageBreakBefore w:val="0"/>
        <w:widowControl w:val="0"/>
        <w:numPr>
          <w:ilvl w:val="0"/>
          <w:numId w:val="3"/>
        </w:numPr>
        <w:kinsoku/>
        <w:wordWrap/>
        <w:overflowPunct/>
        <w:topLinePunct w:val="0"/>
        <w:autoSpaceDE w:val="0"/>
        <w:autoSpaceDN w:val="0"/>
        <w:bidi w:val="0"/>
        <w:adjustRightInd w:val="0"/>
        <w:snapToGrid/>
        <w:spacing w:line="360" w:lineRule="auto"/>
        <w:ind w:left="0" w:leftChars="0" w:firstLine="0" w:firstLineChars="0"/>
        <w:jc w:val="left"/>
        <w:textAlignment w:val="auto"/>
        <w:rPr>
          <w:rFonts w:ascii="宋体" w:hAnsi="宋体" w:eastAsia="宋体"/>
          <w:sz w:val="28"/>
          <w:szCs w:val="28"/>
        </w:rPr>
      </w:pPr>
      <w:r>
        <w:rPr>
          <w:rFonts w:ascii="宋体" w:hAnsi="宋体" w:eastAsia="宋体"/>
          <w:sz w:val="28"/>
          <w:szCs w:val="28"/>
        </w:rPr>
        <w:t>采用国际标准</w:t>
      </w:r>
      <w:r>
        <w:rPr>
          <w:rFonts w:hint="eastAsia" w:ascii="宋体" w:hAnsi="宋体" w:eastAsia="宋体"/>
          <w:sz w:val="28"/>
          <w:szCs w:val="28"/>
        </w:rPr>
        <w:t>或</w:t>
      </w:r>
      <w:r>
        <w:rPr>
          <w:rFonts w:ascii="宋体" w:hAnsi="宋体" w:eastAsia="宋体"/>
          <w:sz w:val="28"/>
          <w:szCs w:val="28"/>
        </w:rPr>
        <w:t>国外文件的程度及水平的简要说明</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before="157" w:beforeLines="50" w:after="157" w:afterLines="50" w:line="360" w:lineRule="auto"/>
        <w:ind w:left="0" w:leftChars="0" w:firstLine="420" w:firstLineChars="175"/>
        <w:jc w:val="left"/>
        <w:textAlignment w:val="auto"/>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在国际上，煤焦油产率测定主要采用格金法的试验方法，如美国ASTM D346-2018《Standard Test Method for Laboratory Determination of Yield of Coals for Coke and Other Products from Coal by the Gray-King Assay》和国际标准化组织ISO 502:2025《Hard coal — Determination of caking power — Gray-King coke test》等。富油煤的原位热解技术方面尚未形成系统的技术标准。因此，本标准参考了这些标准中焦油产率计算等内容，而主要的技术指标内容均未采用国际标准。</w:t>
      </w:r>
    </w:p>
    <w:p>
      <w:pPr>
        <w:keepNext w:val="0"/>
        <w:keepLines w:val="0"/>
        <w:pageBreakBefore w:val="0"/>
        <w:widowControl w:val="0"/>
        <w:numPr>
          <w:ilvl w:val="0"/>
          <w:numId w:val="3"/>
        </w:numPr>
        <w:kinsoku/>
        <w:wordWrap/>
        <w:overflowPunct/>
        <w:topLinePunct w:val="0"/>
        <w:autoSpaceDE w:val="0"/>
        <w:autoSpaceDN w:val="0"/>
        <w:bidi w:val="0"/>
        <w:adjustRightInd w:val="0"/>
        <w:snapToGrid/>
        <w:spacing w:line="360" w:lineRule="auto"/>
        <w:ind w:left="0" w:leftChars="0" w:firstLine="0" w:firstLineChars="0"/>
        <w:jc w:val="left"/>
        <w:textAlignment w:val="auto"/>
        <w:rPr>
          <w:rFonts w:ascii="宋体" w:hAnsi="宋体" w:eastAsia="宋体"/>
          <w:sz w:val="28"/>
          <w:szCs w:val="28"/>
        </w:rPr>
      </w:pPr>
      <w:r>
        <w:rPr>
          <w:rFonts w:ascii="宋体" w:hAnsi="宋体" w:eastAsia="宋体"/>
          <w:sz w:val="28"/>
          <w:szCs w:val="28"/>
        </w:rPr>
        <w:t>意见的处理经过和依据</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before="157" w:beforeLines="50" w:after="157" w:afterLines="50" w:line="360" w:lineRule="auto"/>
        <w:ind w:left="0" w:leftChars="0" w:firstLine="420" w:firstLineChars="175"/>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2025年10月21日召开的立项评审会议上，专家提出了相关意见，具体如下：</w:t>
      </w:r>
    </w:p>
    <w:p>
      <w:pPr>
        <w:keepNext w:val="0"/>
        <w:keepLines w:val="0"/>
        <w:pageBreakBefore w:val="0"/>
        <w:widowControl w:val="0"/>
        <w:numPr>
          <w:ilvl w:val="0"/>
          <w:numId w:val="14"/>
        </w:numPr>
        <w:kinsoku/>
        <w:wordWrap/>
        <w:overflowPunct/>
        <w:topLinePunct w:val="0"/>
        <w:autoSpaceDE w:val="0"/>
        <w:autoSpaceDN w:val="0"/>
        <w:bidi w:val="0"/>
        <w:adjustRightInd w:val="0"/>
        <w:snapToGrid/>
        <w:spacing w:before="157" w:beforeLines="50" w:after="157" w:afterLines="50" w:line="360" w:lineRule="auto"/>
        <w:ind w:left="425" w:leftChars="0" w:hanging="425" w:firstLineChars="0"/>
        <w:jc w:val="left"/>
        <w:textAlignment w:val="auto"/>
        <w:rPr>
          <w:rFonts w:hint="default" w:ascii="宋体" w:hAnsi="宋体" w:eastAsia="宋体"/>
          <w:b w:val="0"/>
          <w:bCs w:val="0"/>
          <w:sz w:val="24"/>
          <w:szCs w:val="24"/>
          <w:lang w:val="en-US" w:eastAsia="zh-CN"/>
        </w:rPr>
      </w:pPr>
      <w:r>
        <w:rPr>
          <w:rFonts w:hint="default" w:ascii="宋体" w:hAnsi="宋体" w:eastAsia="宋体"/>
          <w:b w:val="0"/>
          <w:bCs w:val="0"/>
          <w:sz w:val="24"/>
          <w:szCs w:val="24"/>
          <w:lang w:val="en-US" w:eastAsia="zh-CN"/>
        </w:rPr>
        <w:t>温度等关键参数设置需要进一步论证说明</w:t>
      </w:r>
      <w:r>
        <w:rPr>
          <w:rFonts w:hint="eastAsia" w:ascii="宋体" w:hAnsi="宋体" w:eastAsia="宋体"/>
          <w:b w:val="0"/>
          <w:bCs w:val="0"/>
          <w:sz w:val="24"/>
          <w:szCs w:val="24"/>
          <w:lang w:val="en-US" w:eastAsia="zh-CN"/>
        </w:rPr>
        <w:t>；</w:t>
      </w:r>
    </w:p>
    <w:p>
      <w:pPr>
        <w:keepNext w:val="0"/>
        <w:keepLines w:val="0"/>
        <w:pageBreakBefore w:val="0"/>
        <w:widowControl w:val="0"/>
        <w:numPr>
          <w:ilvl w:val="0"/>
          <w:numId w:val="14"/>
        </w:numPr>
        <w:kinsoku/>
        <w:wordWrap/>
        <w:overflowPunct/>
        <w:topLinePunct w:val="0"/>
        <w:autoSpaceDE w:val="0"/>
        <w:autoSpaceDN w:val="0"/>
        <w:bidi w:val="0"/>
        <w:adjustRightInd w:val="0"/>
        <w:snapToGrid/>
        <w:spacing w:before="157" w:beforeLines="50" w:after="157" w:afterLines="50" w:line="360" w:lineRule="auto"/>
        <w:ind w:left="425" w:leftChars="0" w:hanging="425" w:firstLineChars="0"/>
        <w:jc w:val="left"/>
        <w:textAlignment w:val="auto"/>
        <w:rPr>
          <w:rFonts w:hint="default" w:ascii="宋体" w:hAnsi="宋体" w:eastAsia="宋体"/>
          <w:b w:val="0"/>
          <w:bCs w:val="0"/>
          <w:sz w:val="24"/>
          <w:szCs w:val="24"/>
          <w:lang w:val="en-US" w:eastAsia="zh-CN"/>
        </w:rPr>
      </w:pPr>
      <w:r>
        <w:rPr>
          <w:rFonts w:hint="default" w:ascii="宋体" w:hAnsi="宋体" w:eastAsia="宋体"/>
          <w:b w:val="0"/>
          <w:bCs w:val="0"/>
          <w:sz w:val="24"/>
          <w:szCs w:val="24"/>
          <w:lang w:val="en-US" w:eastAsia="zh-CN"/>
        </w:rPr>
        <w:t>进一步斟酌、完善标准文本细节；</w:t>
      </w:r>
    </w:p>
    <w:p>
      <w:pPr>
        <w:keepNext w:val="0"/>
        <w:keepLines w:val="0"/>
        <w:pageBreakBefore w:val="0"/>
        <w:widowControl w:val="0"/>
        <w:numPr>
          <w:ilvl w:val="0"/>
          <w:numId w:val="14"/>
        </w:numPr>
        <w:kinsoku/>
        <w:wordWrap/>
        <w:overflowPunct/>
        <w:topLinePunct w:val="0"/>
        <w:autoSpaceDE w:val="0"/>
        <w:autoSpaceDN w:val="0"/>
        <w:bidi w:val="0"/>
        <w:adjustRightInd w:val="0"/>
        <w:snapToGrid/>
        <w:spacing w:before="157" w:beforeLines="50" w:after="157" w:afterLines="50" w:line="360" w:lineRule="auto"/>
        <w:ind w:left="425" w:leftChars="0" w:hanging="425" w:firstLineChars="0"/>
        <w:jc w:val="left"/>
        <w:textAlignment w:val="auto"/>
        <w:rPr>
          <w:rFonts w:hint="default" w:ascii="宋体" w:hAnsi="宋体" w:eastAsia="宋体"/>
          <w:b w:val="0"/>
          <w:bCs w:val="0"/>
          <w:sz w:val="24"/>
          <w:szCs w:val="24"/>
          <w:lang w:val="en-US" w:eastAsia="zh-CN"/>
        </w:rPr>
      </w:pPr>
      <w:r>
        <w:rPr>
          <w:rFonts w:hint="default" w:ascii="宋体" w:hAnsi="宋体" w:eastAsia="宋体"/>
          <w:b w:val="0"/>
          <w:bCs w:val="0"/>
          <w:sz w:val="24"/>
          <w:szCs w:val="24"/>
          <w:lang w:val="en-US" w:eastAsia="zh-CN"/>
        </w:rPr>
        <w:t>参考文献中可以增加些论文等成果；</w:t>
      </w:r>
    </w:p>
    <w:p>
      <w:pPr>
        <w:keepNext w:val="0"/>
        <w:keepLines w:val="0"/>
        <w:pageBreakBefore w:val="0"/>
        <w:widowControl w:val="0"/>
        <w:numPr>
          <w:ilvl w:val="0"/>
          <w:numId w:val="14"/>
        </w:numPr>
        <w:kinsoku/>
        <w:wordWrap/>
        <w:overflowPunct/>
        <w:topLinePunct w:val="0"/>
        <w:autoSpaceDE w:val="0"/>
        <w:autoSpaceDN w:val="0"/>
        <w:bidi w:val="0"/>
        <w:adjustRightInd w:val="0"/>
        <w:snapToGrid/>
        <w:spacing w:before="157" w:beforeLines="50" w:after="157" w:afterLines="50" w:line="360" w:lineRule="auto"/>
        <w:ind w:left="425" w:leftChars="0" w:hanging="425" w:firstLineChars="0"/>
        <w:jc w:val="left"/>
        <w:textAlignment w:val="auto"/>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试验</w:t>
      </w:r>
      <w:r>
        <w:rPr>
          <w:rFonts w:hint="default" w:ascii="宋体" w:hAnsi="宋体" w:eastAsia="宋体"/>
          <w:b w:val="0"/>
          <w:bCs w:val="0"/>
          <w:sz w:val="24"/>
          <w:szCs w:val="24"/>
          <w:lang w:val="en-US" w:eastAsia="zh-CN"/>
        </w:rPr>
        <w:t>的成本、重复率和精度需要进一步说明</w:t>
      </w:r>
      <w:r>
        <w:rPr>
          <w:rFonts w:hint="eastAsia" w:ascii="宋体" w:hAnsi="宋体" w:eastAsia="宋体"/>
          <w:b w:val="0"/>
          <w:bCs w:val="0"/>
          <w:sz w:val="24"/>
          <w:szCs w:val="24"/>
          <w:lang w:val="en-US" w:eastAsia="zh-CN"/>
        </w:rPr>
        <w:t>；</w:t>
      </w:r>
    </w:p>
    <w:p>
      <w:pPr>
        <w:keepNext w:val="0"/>
        <w:keepLines w:val="0"/>
        <w:pageBreakBefore w:val="0"/>
        <w:widowControl w:val="0"/>
        <w:numPr>
          <w:ilvl w:val="0"/>
          <w:numId w:val="14"/>
        </w:numPr>
        <w:kinsoku/>
        <w:wordWrap/>
        <w:overflowPunct/>
        <w:topLinePunct w:val="0"/>
        <w:autoSpaceDE w:val="0"/>
        <w:autoSpaceDN w:val="0"/>
        <w:bidi w:val="0"/>
        <w:adjustRightInd w:val="0"/>
        <w:snapToGrid/>
        <w:spacing w:before="157" w:beforeLines="50" w:after="157" w:afterLines="50" w:line="360" w:lineRule="auto"/>
        <w:ind w:left="425" w:leftChars="0" w:hanging="425" w:firstLineChars="0"/>
        <w:jc w:val="left"/>
        <w:textAlignment w:val="auto"/>
        <w:rPr>
          <w:rFonts w:hint="default" w:ascii="宋体" w:hAnsi="宋体" w:eastAsia="宋体"/>
          <w:b w:val="0"/>
          <w:bCs w:val="0"/>
          <w:sz w:val="24"/>
          <w:szCs w:val="24"/>
          <w:lang w:val="en-US" w:eastAsia="zh-CN"/>
        </w:rPr>
      </w:pPr>
      <w:r>
        <w:rPr>
          <w:rFonts w:hint="default" w:ascii="宋体" w:hAnsi="宋体" w:eastAsia="宋体"/>
          <w:b w:val="0"/>
          <w:bCs w:val="0"/>
          <w:sz w:val="24"/>
          <w:szCs w:val="24"/>
          <w:lang w:val="en-US" w:eastAsia="zh-CN"/>
        </w:rPr>
        <w:t>采样的要求和代表性需要增加</w:t>
      </w:r>
      <w:r>
        <w:rPr>
          <w:rFonts w:hint="eastAsia" w:ascii="宋体" w:hAnsi="宋体" w:eastAsia="宋体"/>
          <w:b w:val="0"/>
          <w:bCs w:val="0"/>
          <w:sz w:val="24"/>
          <w:szCs w:val="24"/>
          <w:lang w:val="en-US" w:eastAsia="zh-CN"/>
        </w:rPr>
        <w:t>；</w:t>
      </w:r>
    </w:p>
    <w:p>
      <w:pPr>
        <w:keepNext w:val="0"/>
        <w:keepLines w:val="0"/>
        <w:pageBreakBefore w:val="0"/>
        <w:widowControl w:val="0"/>
        <w:numPr>
          <w:ilvl w:val="0"/>
          <w:numId w:val="14"/>
        </w:numPr>
        <w:kinsoku/>
        <w:wordWrap/>
        <w:overflowPunct/>
        <w:topLinePunct w:val="0"/>
        <w:autoSpaceDE w:val="0"/>
        <w:autoSpaceDN w:val="0"/>
        <w:bidi w:val="0"/>
        <w:adjustRightInd w:val="0"/>
        <w:snapToGrid/>
        <w:spacing w:before="157" w:beforeLines="50" w:after="157" w:afterLines="50" w:line="360" w:lineRule="auto"/>
        <w:ind w:left="425" w:leftChars="0" w:hanging="425" w:firstLineChars="0"/>
        <w:jc w:val="left"/>
        <w:textAlignment w:val="auto"/>
        <w:rPr>
          <w:rFonts w:hint="default" w:ascii="宋体" w:hAnsi="宋体" w:eastAsia="宋体"/>
          <w:b w:val="0"/>
          <w:bCs w:val="0"/>
          <w:sz w:val="24"/>
          <w:szCs w:val="24"/>
          <w:lang w:val="en-US" w:eastAsia="zh-CN"/>
        </w:rPr>
      </w:pPr>
      <w:r>
        <w:rPr>
          <w:rFonts w:hint="default" w:ascii="宋体" w:hAnsi="宋体" w:eastAsia="宋体"/>
          <w:b w:val="0"/>
          <w:bCs w:val="0"/>
          <w:sz w:val="24"/>
          <w:szCs w:val="24"/>
          <w:lang w:val="en-US" w:eastAsia="zh-CN"/>
        </w:rPr>
        <w:t>完善标准细节，定量指标的获取方法需要在编制说明中体现</w:t>
      </w:r>
      <w:r>
        <w:rPr>
          <w:rFonts w:hint="eastAsia" w:ascii="宋体" w:hAnsi="宋体" w:eastAsia="宋体"/>
          <w:b w:val="0"/>
          <w:bCs w:val="0"/>
          <w:sz w:val="24"/>
          <w:szCs w:val="24"/>
          <w:lang w:val="en-US" w:eastAsia="zh-CN"/>
        </w:rPr>
        <w:t>；</w:t>
      </w:r>
    </w:p>
    <w:p>
      <w:pPr>
        <w:keepNext w:val="0"/>
        <w:keepLines w:val="0"/>
        <w:pageBreakBefore w:val="0"/>
        <w:widowControl w:val="0"/>
        <w:numPr>
          <w:ilvl w:val="0"/>
          <w:numId w:val="14"/>
        </w:numPr>
        <w:kinsoku/>
        <w:wordWrap/>
        <w:overflowPunct/>
        <w:topLinePunct w:val="0"/>
        <w:autoSpaceDE w:val="0"/>
        <w:autoSpaceDN w:val="0"/>
        <w:bidi w:val="0"/>
        <w:adjustRightInd w:val="0"/>
        <w:snapToGrid/>
        <w:spacing w:before="157" w:beforeLines="50" w:after="157" w:afterLines="50" w:line="360" w:lineRule="auto"/>
        <w:ind w:left="425" w:leftChars="0" w:hanging="425" w:firstLineChars="0"/>
        <w:jc w:val="left"/>
        <w:textAlignment w:val="auto"/>
        <w:rPr>
          <w:rFonts w:hint="default" w:ascii="宋体" w:hAnsi="宋体" w:eastAsia="宋体"/>
          <w:b w:val="0"/>
          <w:bCs w:val="0"/>
          <w:sz w:val="24"/>
          <w:szCs w:val="24"/>
          <w:lang w:val="en-US" w:eastAsia="zh-CN"/>
        </w:rPr>
      </w:pPr>
      <w:r>
        <w:rPr>
          <w:rFonts w:hint="default" w:ascii="宋体" w:hAnsi="宋体" w:eastAsia="宋体"/>
          <w:b w:val="0"/>
          <w:bCs w:val="0"/>
          <w:sz w:val="24"/>
          <w:szCs w:val="24"/>
          <w:lang w:val="en-US" w:eastAsia="zh-CN"/>
        </w:rPr>
        <w:t>要从应用情况角度完善标准内容</w:t>
      </w:r>
      <w:r>
        <w:rPr>
          <w:rFonts w:hint="eastAsia" w:ascii="宋体" w:hAnsi="宋体" w:eastAsia="宋体"/>
          <w:b w:val="0"/>
          <w:bCs w:val="0"/>
          <w:sz w:val="24"/>
          <w:szCs w:val="24"/>
          <w:lang w:val="en-US" w:eastAsia="zh-CN"/>
        </w:rPr>
        <w:t>；</w:t>
      </w:r>
    </w:p>
    <w:p>
      <w:pPr>
        <w:keepNext w:val="0"/>
        <w:keepLines w:val="0"/>
        <w:pageBreakBefore w:val="0"/>
        <w:widowControl w:val="0"/>
        <w:numPr>
          <w:ilvl w:val="0"/>
          <w:numId w:val="14"/>
        </w:numPr>
        <w:kinsoku/>
        <w:wordWrap/>
        <w:overflowPunct/>
        <w:topLinePunct w:val="0"/>
        <w:autoSpaceDE w:val="0"/>
        <w:autoSpaceDN w:val="0"/>
        <w:bidi w:val="0"/>
        <w:adjustRightInd w:val="0"/>
        <w:snapToGrid/>
        <w:spacing w:before="157" w:beforeLines="50" w:after="157" w:afterLines="50" w:line="360" w:lineRule="auto"/>
        <w:ind w:left="425" w:leftChars="0" w:hanging="425" w:firstLineChars="0"/>
        <w:jc w:val="left"/>
        <w:textAlignment w:val="auto"/>
        <w:rPr>
          <w:rFonts w:hint="default" w:ascii="宋体" w:hAnsi="宋体" w:eastAsia="宋体"/>
          <w:b w:val="0"/>
          <w:bCs w:val="0"/>
          <w:sz w:val="24"/>
          <w:szCs w:val="24"/>
          <w:lang w:val="en-US" w:eastAsia="zh-CN"/>
        </w:rPr>
      </w:pPr>
      <w:r>
        <w:rPr>
          <w:rFonts w:hint="default" w:ascii="宋体" w:hAnsi="宋体" w:eastAsia="宋体"/>
          <w:b w:val="0"/>
          <w:bCs w:val="0"/>
          <w:sz w:val="24"/>
          <w:szCs w:val="24"/>
          <w:lang w:val="en-US" w:eastAsia="zh-CN"/>
        </w:rPr>
        <w:t>建议标准名称变更为《原位热解模拟法测定富油煤焦油产率技术规范》；</w:t>
      </w:r>
    </w:p>
    <w:p>
      <w:pPr>
        <w:keepNext w:val="0"/>
        <w:keepLines w:val="0"/>
        <w:pageBreakBefore w:val="0"/>
        <w:widowControl w:val="0"/>
        <w:numPr>
          <w:ilvl w:val="0"/>
          <w:numId w:val="14"/>
        </w:numPr>
        <w:kinsoku/>
        <w:wordWrap/>
        <w:overflowPunct/>
        <w:topLinePunct w:val="0"/>
        <w:autoSpaceDE w:val="0"/>
        <w:autoSpaceDN w:val="0"/>
        <w:bidi w:val="0"/>
        <w:adjustRightInd w:val="0"/>
        <w:snapToGrid/>
        <w:spacing w:before="157" w:beforeLines="50" w:after="157" w:afterLines="50" w:line="360" w:lineRule="auto"/>
        <w:ind w:left="425" w:leftChars="0" w:hanging="425" w:firstLineChars="0"/>
        <w:jc w:val="left"/>
        <w:textAlignment w:val="auto"/>
        <w:rPr>
          <w:rFonts w:hint="default" w:ascii="宋体" w:hAnsi="宋体" w:eastAsia="宋体"/>
          <w:b w:val="0"/>
          <w:bCs w:val="0"/>
          <w:sz w:val="24"/>
          <w:szCs w:val="24"/>
          <w:lang w:val="en-US" w:eastAsia="zh-CN"/>
        </w:rPr>
      </w:pPr>
      <w:r>
        <w:rPr>
          <w:rFonts w:hint="default" w:ascii="宋体" w:hAnsi="宋体" w:eastAsia="宋体"/>
          <w:b w:val="0"/>
          <w:bCs w:val="0"/>
          <w:sz w:val="24"/>
          <w:szCs w:val="24"/>
          <w:lang w:val="en-US" w:eastAsia="zh-CN"/>
        </w:rPr>
        <w:t>标准内容不是越多越好，可有可无的可以不写；</w:t>
      </w:r>
    </w:p>
    <w:p>
      <w:pPr>
        <w:keepNext w:val="0"/>
        <w:keepLines w:val="0"/>
        <w:pageBreakBefore w:val="0"/>
        <w:widowControl w:val="0"/>
        <w:numPr>
          <w:ilvl w:val="0"/>
          <w:numId w:val="14"/>
        </w:numPr>
        <w:kinsoku/>
        <w:wordWrap/>
        <w:overflowPunct/>
        <w:topLinePunct w:val="0"/>
        <w:autoSpaceDE w:val="0"/>
        <w:autoSpaceDN w:val="0"/>
        <w:bidi w:val="0"/>
        <w:adjustRightInd w:val="0"/>
        <w:snapToGrid/>
        <w:spacing w:before="157" w:beforeLines="50" w:after="157" w:afterLines="50" w:line="360" w:lineRule="auto"/>
        <w:ind w:left="425" w:leftChars="0" w:hanging="425" w:firstLineChars="0"/>
        <w:jc w:val="left"/>
        <w:textAlignment w:val="auto"/>
        <w:rPr>
          <w:rFonts w:hint="default" w:ascii="宋体" w:hAnsi="宋体" w:eastAsia="宋体"/>
          <w:b w:val="0"/>
          <w:bCs w:val="0"/>
          <w:sz w:val="24"/>
          <w:szCs w:val="24"/>
          <w:lang w:val="en-US" w:eastAsia="zh-CN"/>
        </w:rPr>
      </w:pPr>
      <w:r>
        <w:rPr>
          <w:rFonts w:hint="default" w:ascii="宋体" w:hAnsi="宋体" w:eastAsia="宋体"/>
          <w:b w:val="0"/>
          <w:bCs w:val="0"/>
          <w:sz w:val="24"/>
          <w:szCs w:val="24"/>
          <w:lang w:val="en-US" w:eastAsia="zh-CN"/>
        </w:rPr>
        <w:t>涉及的装备要有相应要求；</w:t>
      </w:r>
    </w:p>
    <w:p>
      <w:pPr>
        <w:keepNext w:val="0"/>
        <w:keepLines w:val="0"/>
        <w:pageBreakBefore w:val="0"/>
        <w:widowControl w:val="0"/>
        <w:numPr>
          <w:ilvl w:val="0"/>
          <w:numId w:val="14"/>
        </w:numPr>
        <w:kinsoku/>
        <w:wordWrap/>
        <w:overflowPunct/>
        <w:topLinePunct w:val="0"/>
        <w:autoSpaceDE w:val="0"/>
        <w:autoSpaceDN w:val="0"/>
        <w:bidi w:val="0"/>
        <w:adjustRightInd w:val="0"/>
        <w:snapToGrid/>
        <w:spacing w:before="157" w:beforeLines="50" w:after="157" w:afterLines="50" w:line="360" w:lineRule="auto"/>
        <w:ind w:left="425" w:leftChars="0" w:hanging="425" w:firstLineChars="0"/>
        <w:jc w:val="left"/>
        <w:textAlignment w:val="auto"/>
        <w:rPr>
          <w:rFonts w:hint="default" w:ascii="宋体" w:hAnsi="宋体" w:eastAsia="宋体"/>
          <w:b w:val="0"/>
          <w:bCs w:val="0"/>
          <w:sz w:val="24"/>
          <w:szCs w:val="24"/>
          <w:lang w:val="en-US" w:eastAsia="zh-CN"/>
        </w:rPr>
      </w:pPr>
      <w:r>
        <w:rPr>
          <w:rFonts w:hint="default" w:ascii="宋体" w:hAnsi="宋体" w:eastAsia="宋体"/>
          <w:b w:val="0"/>
          <w:bCs w:val="0"/>
          <w:sz w:val="24"/>
          <w:szCs w:val="24"/>
          <w:lang w:val="en-US" w:eastAsia="zh-CN"/>
        </w:rPr>
        <w:t>建议从安全性、准确性等角度完善标准内容。</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before="157" w:beforeLines="50" w:after="157" w:afterLines="50" w:line="360" w:lineRule="auto"/>
        <w:ind w:leftChars="0" w:firstLine="480" w:firstLineChars="200"/>
        <w:jc w:val="left"/>
        <w:textAlignment w:val="auto"/>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因此，在征求意见稿的编制工作中，充分考虑了上述专家提出的编制意见。其中（1）、（6）在编制说明第二章标准主要技术内容及依据中进行了详细说明；（2）-（5）在征求意见稿中增加了试验重复性、控制精度、试样要求等内容；在（7）、（10）、（11）等意见指导下，增加了对装备的要求，考虑了试验的可行性和安全性；按照（8）的要求将标准</w:t>
      </w:r>
      <w:r>
        <w:rPr>
          <w:rFonts w:hint="default" w:ascii="宋体" w:hAnsi="宋体" w:eastAsia="宋体"/>
          <w:b w:val="0"/>
          <w:bCs w:val="0"/>
          <w:sz w:val="24"/>
          <w:szCs w:val="24"/>
          <w:lang w:val="en-US" w:eastAsia="zh-CN"/>
        </w:rPr>
        <w:t>名称变更为《原位热解模拟法测定富油煤焦油产率技术规范》</w:t>
      </w:r>
      <w:r>
        <w:rPr>
          <w:rFonts w:hint="eastAsia" w:ascii="宋体" w:hAnsi="宋体" w:eastAsia="宋体"/>
          <w:b w:val="0"/>
          <w:bCs w:val="0"/>
          <w:sz w:val="24"/>
          <w:szCs w:val="24"/>
          <w:lang w:val="en-US" w:eastAsia="zh-CN"/>
        </w:rPr>
        <w:t>；按照（9）的要求对原文本中的控制系统等内容进行了适当删减。</w:t>
      </w:r>
    </w:p>
    <w:p>
      <w:pPr>
        <w:keepNext w:val="0"/>
        <w:keepLines w:val="0"/>
        <w:pageBreakBefore w:val="0"/>
        <w:widowControl w:val="0"/>
        <w:kinsoku/>
        <w:wordWrap/>
        <w:overflowPunct/>
        <w:topLinePunct w:val="0"/>
        <w:autoSpaceDE w:val="0"/>
        <w:autoSpaceDN w:val="0"/>
        <w:bidi w:val="0"/>
        <w:adjustRightInd w:val="0"/>
        <w:snapToGrid/>
        <w:spacing w:line="360" w:lineRule="auto"/>
        <w:ind w:left="0" w:leftChars="0" w:firstLine="0" w:firstLineChars="0"/>
        <w:jc w:val="left"/>
        <w:textAlignment w:val="auto"/>
        <w:rPr>
          <w:rFonts w:ascii="宋体" w:hAnsi="宋体" w:eastAsia="宋体"/>
          <w:sz w:val="28"/>
          <w:szCs w:val="28"/>
        </w:rPr>
      </w:pPr>
      <w:r>
        <w:rPr>
          <w:rFonts w:ascii="宋体" w:hAnsi="宋体" w:eastAsia="宋体"/>
          <w:sz w:val="28"/>
          <w:szCs w:val="28"/>
        </w:rPr>
        <w:t>六、贯彻</w:t>
      </w:r>
      <w:r>
        <w:rPr>
          <w:rFonts w:hint="eastAsia" w:ascii="宋体" w:hAnsi="宋体" w:eastAsia="宋体"/>
          <w:sz w:val="28"/>
          <w:szCs w:val="28"/>
        </w:rPr>
        <w:t>促进会团体标准</w:t>
      </w:r>
      <w:r>
        <w:rPr>
          <w:rFonts w:ascii="宋体" w:hAnsi="宋体" w:eastAsia="宋体"/>
          <w:sz w:val="28"/>
          <w:szCs w:val="28"/>
        </w:rPr>
        <w:t>的要求和建议</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before="157" w:beforeLines="50" w:after="157" w:afterLines="50" w:line="360" w:lineRule="auto"/>
        <w:ind w:leftChars="0" w:firstLine="480" w:firstLineChars="200"/>
        <w:jc w:val="left"/>
        <w:textAlignment w:val="auto"/>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本团体标准自立项起，始终按照《中国产学研合作促进会团体标准管理办法》和中国产学研合作促进会标准办公室相关要求开展工作。</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before="157" w:beforeLines="50" w:after="157" w:afterLines="50" w:line="360" w:lineRule="auto"/>
        <w:ind w:leftChars="0" w:firstLine="480" w:firstLineChars="200"/>
        <w:jc w:val="left"/>
        <w:textAlignment w:val="auto"/>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中国产学研合作促进会负责团体标准的最终审批、立项批准及发布；中国产学研合作促进会标准化专业技术委员会是核心执行机构，负责申请的研究讨论、组织起草工作、审核工作、档案管理以及复审工作；新疆大学、新疆亚新煤层气投资开发（集团）有限责任公司、怀柔国家实验室新疆研究基地、中国石油吐哈油田公司成立专门的标准起草组，确定主要起草人员，并负责具体资料收集、分析及实验验证。设立专项经费，由承担单位和参与单位共同承担，作为标准的专项资金与资源保障。起草组指派专门联系人，负责与中国产学研合作促进会标准化专业技术委员会定期沟通，推动标准进程。</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before="157" w:beforeLines="50" w:after="157" w:afterLines="50" w:line="360" w:lineRule="auto"/>
        <w:ind w:leftChars="0" w:firstLine="480" w:firstLineChars="200"/>
        <w:jc w:val="left"/>
        <w:textAlignment w:val="auto"/>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严格按照国家法律法规及强制性标准相关要求，确保技术具有先进性和可行性，符合经济发展方向和科技进步方向，并积极调研国际标准和国外先进标准，进行了必要的实验验证和国内外状况分析。立项后，标准起草组按照立项评审会专家意见起草征求意见稿和编制说明，将向生产者、消费者、管理者、研究者等广泛征求意见。后续起草组将对征求的意见需进行归纳整理和分析处理，不断动态完善</w:t>
      </w:r>
      <w:r>
        <w:rPr>
          <w:rFonts w:ascii="Helvetica" w:hAnsi="Helvetica" w:eastAsia="Helvetica" w:cs="Helvetica"/>
          <w:i w:val="0"/>
          <w:iCs w:val="0"/>
          <w:caps w:val="0"/>
          <w:color w:val="3C3C58"/>
          <w:spacing w:val="0"/>
          <w:sz w:val="24"/>
          <w:szCs w:val="24"/>
          <w:shd w:val="clear" w:fill="FFFFFF"/>
        </w:rPr>
        <w:t>技术内容</w:t>
      </w:r>
      <w:r>
        <w:rPr>
          <w:rFonts w:hint="eastAsia" w:ascii="Helvetica" w:hAnsi="Helvetica" w:eastAsia="宋体" w:cs="Helvetica"/>
          <w:i w:val="0"/>
          <w:iCs w:val="0"/>
          <w:caps w:val="0"/>
          <w:color w:val="3C3C58"/>
          <w:spacing w:val="0"/>
          <w:sz w:val="24"/>
          <w:szCs w:val="24"/>
          <w:shd w:val="clear" w:fill="FFFFFF"/>
          <w:lang w:eastAsia="zh-CN"/>
        </w:rPr>
        <w:t>，以保证技术内容的实时性和适用性。</w:t>
      </w:r>
    </w:p>
    <w:p>
      <w:pPr>
        <w:keepNext w:val="0"/>
        <w:keepLines w:val="0"/>
        <w:pageBreakBefore w:val="0"/>
        <w:widowControl w:val="0"/>
        <w:kinsoku/>
        <w:wordWrap/>
        <w:overflowPunct/>
        <w:topLinePunct w:val="0"/>
        <w:autoSpaceDE w:val="0"/>
        <w:autoSpaceDN w:val="0"/>
        <w:bidi w:val="0"/>
        <w:adjustRightInd w:val="0"/>
        <w:snapToGrid/>
        <w:spacing w:line="360" w:lineRule="auto"/>
        <w:ind w:left="0" w:leftChars="0" w:firstLine="0" w:firstLineChars="0"/>
        <w:jc w:val="left"/>
        <w:textAlignment w:val="auto"/>
        <w:rPr>
          <w:rFonts w:ascii="宋体" w:hAnsi="宋体" w:eastAsia="宋体"/>
          <w:sz w:val="28"/>
          <w:szCs w:val="28"/>
        </w:rPr>
      </w:pPr>
    </w:p>
    <w:p>
      <w:pPr>
        <w:keepNext w:val="0"/>
        <w:keepLines w:val="0"/>
        <w:pageBreakBefore w:val="0"/>
        <w:widowControl w:val="0"/>
        <w:kinsoku/>
        <w:wordWrap/>
        <w:overflowPunct/>
        <w:topLinePunct w:val="0"/>
        <w:autoSpaceDE w:val="0"/>
        <w:autoSpaceDN w:val="0"/>
        <w:bidi w:val="0"/>
        <w:adjustRightInd w:val="0"/>
        <w:snapToGrid/>
        <w:spacing w:line="360" w:lineRule="auto"/>
        <w:ind w:firstLine="560" w:firstLineChars="200"/>
        <w:jc w:val="left"/>
        <w:textAlignment w:val="auto"/>
        <w:rPr>
          <w:rFonts w:hint="eastAsia" w:ascii="宋体" w:hAnsi="宋体" w:eastAsia="宋体"/>
          <w:sz w:val="28"/>
          <w:szCs w:val="28"/>
          <w:lang w:val="en-US" w:eastAsia="zh-CN"/>
        </w:rPr>
        <w:sectPr>
          <w:pgSz w:w="11906" w:h="16838"/>
          <w:pgMar w:top="1440" w:right="1800" w:bottom="1440" w:left="1800" w:header="851" w:footer="992" w:gutter="0"/>
          <w:cols w:space="425" w:num="1"/>
          <w:docGrid w:type="lines" w:linePitch="312" w:charSpace="0"/>
        </w:sectPr>
      </w:pPr>
    </w:p>
    <w:p>
      <w:pPr>
        <w:keepNext w:val="0"/>
        <w:keepLines w:val="0"/>
        <w:pageBreakBefore w:val="0"/>
        <w:widowControl w:val="0"/>
        <w:kinsoku/>
        <w:wordWrap/>
        <w:overflowPunct/>
        <w:topLinePunct w:val="0"/>
        <w:autoSpaceDE w:val="0"/>
        <w:autoSpaceDN w:val="0"/>
        <w:bidi w:val="0"/>
        <w:adjustRightInd w:val="0"/>
        <w:snapToGrid/>
        <w:spacing w:line="360" w:lineRule="auto"/>
        <w:ind w:left="0" w:leftChars="0" w:firstLine="0" w:firstLineChars="0"/>
        <w:jc w:val="left"/>
        <w:textAlignment w:val="auto"/>
        <w:rPr>
          <w:rFonts w:hint="eastAsia" w:ascii="宋体" w:hAnsi="宋体" w:eastAsia="宋体"/>
          <w:sz w:val="28"/>
          <w:szCs w:val="28"/>
          <w:lang w:val="en-US" w:eastAsia="zh-CN"/>
        </w:rPr>
      </w:pPr>
      <w:r>
        <w:rPr>
          <w:rFonts w:hint="eastAsia" w:ascii="宋体" w:hAnsi="宋体" w:eastAsia="宋体"/>
          <w:sz w:val="28"/>
          <w:szCs w:val="28"/>
          <w:lang w:val="en-US" w:eastAsia="zh-CN"/>
        </w:rPr>
        <w:t>七、附录</w:t>
      </w:r>
    </w:p>
    <w:p>
      <w:pPr>
        <w:keepNext w:val="0"/>
        <w:keepLines w:val="0"/>
        <w:pageBreakBefore w:val="0"/>
        <w:widowControl w:val="0"/>
        <w:kinsoku/>
        <w:wordWrap/>
        <w:overflowPunct/>
        <w:topLinePunct w:val="0"/>
        <w:autoSpaceDE w:val="0"/>
        <w:autoSpaceDN w:val="0"/>
        <w:bidi w:val="0"/>
        <w:adjustRightInd w:val="0"/>
        <w:snapToGrid/>
        <w:spacing w:line="360" w:lineRule="auto"/>
        <w:jc w:val="left"/>
        <w:textAlignment w:val="auto"/>
        <w:rPr>
          <w:rFonts w:hint="eastAsia" w:ascii="宋体" w:hAnsi="宋体" w:eastAsia="宋体"/>
          <w:b/>
          <w:bCs/>
          <w:sz w:val="24"/>
          <w:szCs w:val="24"/>
          <w:lang w:val="en-US" w:eastAsia="zh-CN"/>
        </w:rPr>
      </w:pPr>
      <w:r>
        <w:rPr>
          <w:rFonts w:hint="eastAsia" w:ascii="宋体" w:hAnsi="宋体" w:eastAsia="宋体"/>
          <w:b/>
          <w:bCs/>
          <w:sz w:val="24"/>
          <w:szCs w:val="24"/>
          <w:lang w:val="en-US" w:eastAsia="zh-CN"/>
        </w:rPr>
        <w:t>附录1 文献调研情况</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乔军伟, 王昌建, 范立勇, 等. 三塘湖-吐哈盆地富油煤赋存特征与资源潜力分析. 洁净煤技术, 2023, 29(1): 16-24.</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杨甫, 贺丹, 师庆民, 等. 三塘湖煤田汉水泉矿区富油煤赋存特征及沉积环境分析. 洁净煤技术, 2021, 27(3): 83-90.</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Li Z, et al. A Multi-Component and Multi-Functional Synergistic System for Efficient Viscosity Reduction of Extra-Heavy Oil. Journal of Molecular Liquids, 2022, 360: 119561.</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Wijaya M, et al. Analysis of Coal Tar Compositions Produced from Sub-Bituminous Kalimantan Coal Tar. Key Engineering Materials, 2021, 891: 85-91.</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Wang S, et al. Analysis of pore-fracture structure evolution and permeability in tar-rich coal under high-temperature pyrolysis using μCT technology. Fuel, 2023, 334: 126756.</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Chang Y, et al. Axial pressure impact on pyrolysis behavior of Xinjiang coal: An inspiration for in-situ pyrolysis of tar-rich coal. Fuel, 2023, 331: 125679.</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Zhang D, et al. Biogasification Efficiency and Molecular Constraints of Tar-Rich Coal after Microwave Radiation. ACS Omega, 2022, 7(44): 40224–40234.</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Zhang D, et al. Biomethane production efficiency and degradation mechanism of tar-rich coal in anaerobic digestion. Journal of Environmental Chemical Engineering, 2023, 11(2): 109315.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Byambajav E, et al. CHARACTERISATION OF MONGOLIAN EAST KHOOT COAL AND ITS PYROLYSIS PRODUCTS. Mongolian Journal of Chemistry, 2016, 17(43): 49-55.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Liu S, et al. CO2-Enhanced Tar-Rich Coal Pyrolysis to Produce High-Quality Oil and CO-Rich Gas. Energy &amp; Fuels, 2021, 35(15): 11933–11942.</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Wang M, et al. Catalytic Fast Pyrolysis of Tar-Rich Coal with a Bauxite Residue for Upgrading High-Value Products: Product Distribution and Kinetic Analysis. Catalysts, 2022, 12(11): 1335.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He T, et al. Catalytic Pyrolysis of Naomaohu Coal Using Combined CaO and Ni-Olivine Catalysts for Simultaneously Improving the Tar and Gas Quality. Fuel, 2021, 285: 119044.</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Wang M, et al. Catalytic pyrolysis of tar-rich coal for coal tar to light oil with catalysts of modified granulated blast furnace slag. Journal of the Energy Institute, 2023, 108: 101235.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Liu J, et al. Characteristics of Oil Shale Quality and Prospects for Comprehensive Development and Utilization in the Dalianhe Coal Mining Area, Northeastern China. Energies, 2022, 15(3): 1205.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Zhao J, et al. Characteristics of Pyrolysis Products of Tar-Rich Coal Under Cryogenic Pretreatment with Liquid Nitrogen. Combustion Science and Technology, 2023, 195: 1-15.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Pertiwi N A, et al. Coal Potential as Source Rock of Hydrocarbon Warukin Formation Based on Coal Macerals Composition, Central Wara, Tabalong, South Kalimantan. IOP Conference Series: Earth and Environmental Science, 2020, 413: 012028.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Pertiwi N A, et al. Coal as a Petroleum Source Rock: Brown Shale Coal Zone Based on Macerals and Geochemistry Analysis, Kiliranjau, Sijunjung Regency, West Sumatera, Indonesia. IOP Conference Series: Earth and Environmental Science, 2019, 318: 012028.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Wilkins R W T, George S C. Coal as a source rock for oil: a review. International Journal of Coal Geology, 2002, 50(1-4): 317-361.</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Ma'arif F, et al. Coal tar waste utilization by cracking into fuel source and its separation using the fractional vacuum distillation method. IOP Conference Series: Materials Science and Engineering, 2021, 1053: 012099.</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Song Y, et al. Comparative study on pore structure evolution of conventional and microwave pyrolysis of tar-rich coal. Fuel, 2022, 324: 124564.</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Mao L, et al. Comparison of Geochemical and Mineralogical Characteristics of Palaeogene Oil Shales and Coals from the Huangxian Basin, Shandong Province, East China. International Journal of Coal Geology, 2020, 219: 103387.</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Wei X Y, et al. Composition Distribution of the Thermal Soluble Organics from Naomaohu Lignite and Structural Characteristics of the Corresponding Insoluble Portions. Fuel Processing Technology, 2015, 134: 213-220.</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Chen S, et al. Construction of Cu-BTC by carboxylic acid organic ligand and its application in low temperature SCR denitration. Journal of Solid State Chemistry, 2020, 288: 121408.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Chang Y, et al. Differences in Tar Yield and Molecular Structure of Vitrinite in Tar-Rich Coal with Different Origins. Molecules, 2022, 27(19): 6632.</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Chang Y, et al. Differences in pyrolysis behavior and volatiles of tar-rich coal with various origins. Journal of Analytical and Applied Pyrolysis, 2022, 168: 105753.</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Chang Y, et al. Differences in pyrolysis behaviors of tar-rich coal macerals from various paleosedimentary environments. Energy, 2023, 271: 127027.</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Qiao J, et al. Differences of Pyrolysis Products and Controlling Factors of Oil-Rich Coal with Different Grain Sizes under Fully-Mechanized Mining Conditions. Energies, 2022, 15(24): 9370.</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Wang M, et al. Directional preparation of naphthalene oil-rich tar from Beisu low-rank coal by low-temperature catalytic pyrolysis. Journal of Fuel Chemistry and Technology, 2021, 49(8): 1085-1094.</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Yang F, et al. Economic and heating efficiency analysis of double-shell downhole electric heater for tar-rich coal in-situ conversion. Case Studies in Thermal Engineering, 2023, 45: 102905.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Muraza O, et al. Effect of Co and Mo Loading by Impregnation and Ion Exchange Methods on Morphological Properties of Zeolite Y Catalyst. Bulletin of Chemical Reaction Engineering &amp; Catalysis, 2018, 13(1): 119-127.</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Song Y, et al. Effect of hydrogen-rich gas from char gasification on rapid pyrolysis products of low rank coal in a downer pyrolyzer. Fuel, 2021, 285: 119183.</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Zhou Q, et al. Effect of reservoir moisture on underground in-situ pyrolysis of tar-rich coal: Experimental investigation and ReaxFF MD simulation. Energy, 2023, 263: 125927.</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Yang F, et al. Effect of the depositional environment on the formation of tar-rich coal: A case study in the northeastern Ordos Basin, China. Journal of Petroleum Science and Engineering, 2022, 208: 109462.</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Zhou Q, et al. Effects of high-power microwave irradiation on tar-rich coal for realising in situ pyrolysis, fragmentation, and low-carbon utilisation of tar-rich coal. Fuel, 2023, 335: 127042.</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Liu K, et al. Effects of spatial distribution of tar-rich coal and oil shale and primary factors on product characteristics during microwave co-pyrolysis. Fuel Processing Technology, 2023, 241: 107604.</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Jin X, et al. Enhanced near-zero-CO₂-emission chemicals-oriented oil production from coal with inherent CO₂ recycling: Part I—PRB coal fast pyrolysis coupled with CO₂-CH₄ reforming. Energy, 2018, 155: 66-78.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Zhang D, et al. Enhancement of biodegradation of tar-rich coal through sequential treatment by N. mangyaensis and Ochrobactrum sp.. Fuel, 2023, 331: 125867.</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Zhang Y, et al. Enhancing light tar production from tar-rich coal through low-temperature oxidation-assisted pyrolysis. Fuel, 2023, 342: 127823.</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Wang S, et al. Evaluation on Pyrolysis and Mild Oxidation Characteristics of Tar-rich Coal. Combustion Science and Technology, 2021, 193(4): 631-649.</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Shi Q, et al. Evolution of functional groups during in-situ pyrolysis of tar-rich coal using synchrotron infrared spectroscopy. Energy, 2023, 282: 128410.</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Yang F, et al. Experimental and numerical investigation on the heat and mass transfer performance of tar rich coal in-situ pyrolysis. Applied Thermal Engineering, 2021, 197: 117355.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Chang Y, et al. Experimental investigation on gas-liquid–solid tri-phase product distributions during the simulated in-situ pyrolysis of tar-rich coal. Energy, 2023, 266: 126484.</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Yang F, et al. Experimental investigation on thermal conductivity of tar-rich coal under the simulated in-situ conditions. Heat and Mass Transfer, 2022, 58: 1205–1215.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Zhou Q, et al. Experimental study on mechanical damage characteristics of water-bearing tar-rich coal under microwave radiation. Theoretical and Applied Fracture Mechanics, 2023, 125: 103859.</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Yang F, et al. Experimental study on the tar and gas distribution during tar-rich coal pyrolysis with stress loading. Fuel, 2023, 345: 128221.</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Chang Y, et al. Explaining relationships between chemical structure and tar-rich coal pyrolysis products yield based on Pearson correlation coefficient. Journal of the Energy Institute, 2023, 110: 101344.</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Qiao J, et al. Geological Evaluation and Favorable Area Optimization for In Situ Pyrolysis of Tar-Rich Coal: A Case Study from the Santanghu Basin, NW China. Energies, 2023, 16(4): 1731.</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Sykes R, Snowdon L R. Guidelines for assessing the petroleum potential of coaly source rocks using Rock-Eval pyrolysis. Organic Geochemistry, 2002, 33(12): 1441-1455.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Wang M, et al. H₂O气氛下富油煤热解过程的反应分子动力学模拟 (ReaxFF MD simulation of tar-rich coal pyrolysis under H₂O atmosphere). Journal of Fuel Chemistry and Technology, 2022, 50(9): 1089-1098.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Chang Y, et al. High-pressure pyrolysis mechanism of tar-rich coal in Taiyuan Formation, Ordos Basin. Fuel, 2023, 345: 128225.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Zhang L, et al. Hydrocarbon Generation Potential and Depositional Setting of Eocene Oil-Prone Coaly Source Rocks in the Xihu Sag, East China Sea Shelf Basin. Energy &amp; Fuels, 2018, 32(10): 10427–10437.</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El-Nady M. Hydrocarbon generation potential evaluation via petrographic and geochemical analyses of El-Maghara coal in Sinai, Egypt. Journal of African Earth Sciences, 2019, 158: 103553.</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Shao L, et al. Hydrocarbon genesis of Jurassic coal measures in the Turpan Basin, China. Acta Geologica Sinica, 2003, 77(2): 228-236.</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Wang C, et al. Hydrogen generation mechanism of oil-rich coal oxidation in low temperature. Fuel, 2023, 334: 126694.</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Li Y, et al. Hydrothermal preparation of coal gangue-derived heterogeneous structures for selective adsorption enhanced photocatalytic removal of Cr(VI) ions in tar-rich coal mine water. Journal of Environmental Chemical Engineering, 2023, 11(3): 110255.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He D, et al. In-situ infrared and kinetic characteristics analysis on pyrolysis of tar-rich coal and macerals. Journal of Analytical and Applied Pyrolysis, 2023, 172: 106008.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Kulekana A, et al. Influence of additives on the devolatilization product yield of typical South African coals, and effect on tar composition. Journal of the Southern African Institute of Mining and Metallurgy, 2019, 119(11): 957-964.</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Zhang D, et al. Influences of Four Kinds of Surfactants on Biodegradations of Tar-Rich Coal in the Ordos Basin by Bacillus bicheniformis. Microorganisms, 2022, 10(2): 442.</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Chang Y, et al. Infrared Spectrum and Principal Component Analysis of Heavy Tar Cut by Different Fractions from Tar-Rich Coal. Spectroscopy and Spectral Analysis, 2021, 41(10): 3156-3161.</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Zhang Y, et al. Investigation on the composition of soluble portions from the extraction residue of Hanglaiwan subbituminous coal by thermal dissolution and alkanolyses. Fuel Information, 2017, 206: 12-20.</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Chang Y, et al. Kinetic and thermodynamic analysis of tar‐rich coal pyrolysis: Comparison between model‐free and model‐fitting methods. The Canadian Journal of Chemical Engineering, 2023, 101(4): 2156-2169.</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Yang F, et al. Kinetic characteristics and product distribution of tar-rich coal in-situ underground pyrolysis: Influence of heterogeneous coal seam. Energy, 2023, 268: 126678.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Wang C, et al. Low-temperature graphitization of carbon foam using nickel-based catalysts for enhanced thermal conductivity application in the pyrolysis of oil-rich coal. Materials Today Communications, 2023, 35: 105822.</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Ma L, et al. Macerals particle characteristics analysis of tar-rich coal in northern Shaanxi based on image segmentation models via the U-Net variants and image feature extraction. Advanced Powder Technology, 2022, 33(2): 103422.</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Sykes R, et al. Marine influence helps preserve the oil potential of coaly source rocks: Eocene Mangahewa Formation, Taranaki Basin, New Zealand. Organic Geochemistry, 2014, 66: 1-22.</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Zhou Q, et al. Microwave pyrolysis and its applications to the in situ recovery and conversion of oil from tar-rich coal: An overview on fundamentals, methods, and challenges. Energy, 2023, 274: 127278.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Zhou Q, et al. Microwave-aided pyrolysis and fragmentation of tar-rich coal and rocks for in situ coal conversion and clean utilization. Fuel, 2023, 335: 127042.</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Chang Y, et al. Molecular characteristics of an oil-rich coal revealed using comprehensive two-dimensional gas chromatography time-of-flight mass spectrometry. Rapid Communications in Mass Spectrometry, 2022, 36(15): e9325.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Shi Q, et al. Multi-fragment molecular model construction and isothermal pyrolysis mechanism study on tar-rich coal by experiments and ReaxFF simulations. Journal of Analytical and Applied Pyrolysis, 2022, 168: 105740.</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Yang F, et al. Numerical Investigation of the Heat and Mass Transfer during the In Situ Pyrolysis Process of Oil-Rich Coal. Energies, 2021, 14(16): 4833.</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Yang F, et al. Numerical simulation on gas-solid separation characteristics of in-situ pyrolysis products of tar-rich coal. Powder Technology, 2023, 418: 118295.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Yu J, et al. Numerical simulation on heat transfer characteristics during waste heat utilization after the underground in-situ pyrolysis of tar-rich coal. Case Studies in Thermal Engineering, 2023, 44: 102830.</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Wang S, et al. Occurrence of tar-rich coal: review and perspectives. Journal of China Coal Society, 2020, 45(7): 2523-2530.</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Katz B J, et al. Oil generation from coal source rocks: the influence of depositional conditions and stratigraphic age. Geological Society, London, Special Publications, 1994, 77: 11-29.</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Tumba K, et al. Physicochemical Characterization of Coal Tar Produced by Pyrolysis of Coal from Garin Maiganga and Shankodi Deposits. Journal of Applied Sciences, 2014, 14(16): 1853-1859.</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Wang S, et al. Pore structure evolution of tar-rich coal with temperature-pressure controlled simulation experiments. Energy, 2023, 269: 126932.</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Ma L, et al. Pore-fracture evolution under different heating rates during the in-situ pyrolysis of tar-rich coal. Journal of Analytical and Applied Pyrolysis, 2023, 171: 105952.</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Yu J, et al. Porosity and Structure Evolution during Coal Pyrolysis in Large Particles at Very Slow Heating Rates. Energy &amp; Fuels, 2022, 36(5): 2589-2600.</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Yao X, et al. Precious Metals Catalyze the Saturated Hydrogenation of Polycyclic Aromatic Hydrocarbons in Coal Tar. Catalysts, 2022, 12(10): 1234.</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Powell T G, et al. Predicting generation and expulsion of paraffinic oil from vitrinite-rich coals. Organic Geochemistry, 1991, 17(3): 363-396.</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Erdenetsogt B O, et al. Preliminary results of the solid-state C-13 NMR study of Mongolian coals: Implications for oil and gas potential and liquefaction reactivity. International Journal of Coal Geology, 2010, 82(1-2): 37-44.</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Chang Y, et al. Product characterization and pore structure evolution of a tar-rich coal following pyrolysis under nitrogen, steam/nitrogen, and oxygen/nitrogen atmospheres. Energy &amp; Fuels, 2022, 36(15): 8089-8099.</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Wang M, et al. Purification of Quinoline Insolubles in Heavy Coal Tar and Preparation of Meso-Carbon Microbeads by Catalytic Polycondensation. Crystals, 2021, 11(12): 1532.</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Chang Y, et al. Pyrolysis behavior of tar-rich coal with various coal-forming environments: A TGA and in-situ transmission FTIR study. Energy, 2023, 282: 128383.</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Wang S, et al. Quantitative analysis of pore structure and seepage simulation of tar-rich coal during pyrolysis based on 3D reconstruction technology. Fuel, 2023, 342: 127828.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Wang S, et al. Quantitative characterization and analysis of pore-fractures in tar-rich coal under high-temperature pyrolysis based on micro-CT imaging. Process Safety and Environmental Protection, 2023, 174: 701-711.</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Qiao J, et al. Rapid Prediction of the In Situ Pyrolysis Performance of Tar-Rich Coal Using the POD Method. Processes, 2023, 11(2): 613.</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Zhang Y, et al. Research on controllable shock wave technology for in-situ development of oil-rich coal. Energy Reports, 2022, 8(S1): 112-119.</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Yang F, et al. Simulation Investigation on Separation Characteristics of Gas-Liquid Model Products from In-Situ Pyrolysis of Tar-rich Coal. Separations, 2022, 9(12): 445.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Li Z, et al. Solvent Performance Evaluation of Heavy Oil in Coal–Oil Co-Liquefaction. Energies, 2022, 15(15): 5602.</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Su A, et al. Source Rock Characterization of Paleogene Coal and Organic Rich Mudstones in Xihu Sag, Offshore Eastern China. Marine and Petroleum Geology, 2017, 86: 195-209.</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Zhou Q, et al. Structural changes of Zhundong coal matrix induced by thermal treatment and its effects on oil yield in direct coal liquefaction. Fuel Processing Technology, 2017, 167: 193-200.</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Ma L, et al. Study on Pore Structure and Fractal Characteristics of Tar-Rich Coal during Pyrolysis by Mercury Intrusion Porosimetry (MIP). Geofluids, 2021, 2021: 1-13.</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Chang Y, et al. Study on characterization of tri-phase products and microstructure evolution during in-situ pyrolysis of tar-rich coal at different temperatures. Fuel, 2023, 334: 126694.</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Chang Y, et al. Study on molecular structural heterogeneity of tar-rich coal based on micro-FTIR. Spectroscopy and Spectral Analysis, 2022, 42(5): 1421-1426.</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Yang F, et al. Study on pyrolysis characteristics of oil-rich coal under in-situ conditions and industrial-scale extraction simulation. Chemical Engineering Research and Design, 2022, 185: 35-42.</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Li Y, et al. Study on the Extraction Mechanism of Metal Ions on Small Molecular Phase of Tar-Rich Coal under Ultrasonic Loading. Separations, 2023, 10(2): 120.</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Shi Q, et al. Study on the interaction mechanism of vitrinite and inertinite in pyrolysis of tar-rich coal based on ReaxFF MD. Fuel, 2023, 332: 126154.</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Qiao J, et al. Study on the molecular structure model of tar-rich coal and its pyrolysis process. Energy Reports, 2022, 8: 1009-1020.</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Yang F, et al. Study on thermo-fluid-chemical coupling simulation and characteristic fields evolution during in-situ pyrolysis of tar-rich coal. Energy, 2023, 271: 127025.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Wang M, et al. Synergistic effect of blast furnace slag on the pyrolysis process of oil-rich coal: tar product distribution and kinetic analysis. Reaction Kinetics, Mechanisms and Catalysis, 2022, 135: 2541–2559.</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Chen S, et al. The Catalytic Effect from Alkaline Elements on the Tar-Rich Coal Pyrolysis. Geofluids, 2022, 2022: 4578145.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Wang S, et al. The Resources of Oil-rich Coals in China. Journal of China Coal Society, 2020, 45: 2523–2530.</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Snape C E. The potential of hydropyrolysis as a route for coal liquefaction. Fuel, 1986, 65(9): 1306-1308.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Sciazko M, et al. Thermal methods of solid fuel processing: review. Journal of Sustainable Mining, 2014, 13(1): 16-25.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Zhao J, et al. Thermal properties and grey correlation degree analysis of tar-rich coal under cryogenic and pyrolysis condition. Energy, 2023, 276: 127546.</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Shi Q, et al. Thermodynamic Analysis of In Situ Underground Pyrolysis of Tar-Rich Coal: Primary Reactions. ACS Omega, 2022, 7(12): 10600–10611.</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Shi Q, et al. Thermodynamic Analysis on In Situ Underground Pyrolysis of Tar-Rich Coal: Secondary Reactions. ACS Omega, 2022, 7(38): 34268–34279.</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Blinderman M S, et al. Underground in situ coal thermal treatment for synthetic fuels production. Fuel, 2017, 204: 172-181.</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Liu J, et al. Vacuum-Dried and Intrinsic Photothermal Phenolic Carbon Aerogel from Coal Tar Rich in Polycyclic Aromatics for Efficient Solar Steam Generation. Carbon, 2021, 179: 202-212.</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Chang Y, et al. Variation of molecular structures affecting tar yield: A comprehensive analysis on coal ranks and depositional environments. Fuel, 2023, 352: 129033.</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Chen S, et al. Oil has a higher methanogenic potential than coal in an oil-bearing coal seam. Energy, 2017, 139: 556-562.</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王双明, 师庆民, 王生全, 等. "双碳"背景下煤炭原位地下热解采油意义研究. 煤炭学报, 2021, 46(S2): 541-550.</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郭晓琼. "问道"哈密富油煤高效开发利用. 中国煤炭工业, 2021(11): 58-59.</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乔军伟, 王昌建, 范立勇, 等. 三塘湖-吐哈盆地富油煤赋存特征与资源潜力分析. 洁净煤技术, 2023, 29(1): 16-24. (同[1])</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吕雪峰, 孙启彬, 马志宏, 等. 三塘湖煤田富油煤分质利用技术研究. 煤化工, 2019, 47(4): 21-25.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杨甫, 贺丹, 师庆民, 等. 三塘湖煤田汉水泉矿区富油煤赋存特征及沉积环境分析. 洁净煤技术, 2021, 27(3): 83-90. (同[2])</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霍海燕. 三塘湖盆地侏罗系富油煤特征及沉积环境控制. 煤炭技术, 2022, 41(4): 61-64.</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侯小花, 陈旋, 吴涛, 等. 三塘湖盆地条湖凹陷八道湾组煤焦油产率及富油性预测. 新疆石油地质, 2021, 42(6): 696-702.</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李伍, 和冠, 王宏钧, 等. 三塘湖盆地条湖凹陷西山窑组煤岩煤焦油产率预测方法. 煤田地质与勘探, 2022, 50(2): 64-69.</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梁世君, 黄志龙, 等. 三塘湖盆地油气勘探开发新领域、新类型及资源潜力. 新疆石油地质, 2020, 41(6): 631-641.</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常艺懋, 周强, 赵伟涛, 等. 不同压力下榆神地区富油煤原位热解产物特性. 西安科技大学学报, 2023, 43(1): 32-40.</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郭庆, 杜志敏, 等. 不同密度分级下富油煤微观结构研究. 煤炭科学技术, 2022, 50(2): 261-268.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杨甫, 王双明, 等. 不同布井模式下富油煤原位热解传热规律数值模拟. 煤炭学报, 2023, 48(4): 1773-1785.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张楚, 周强, 等. 不同气氛下富油煤受热裂隙演化及热解动力学参数变化. 煤炭科学技术, 2022, 50(12): 223-231.</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马丽萍, 等. 不同煤层富油煤的孔隙发育与强度特征关联性研究. 煤矿安全, 2023, 54(5): 101-107.</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张丁丁, 党艳, 等. 两种细菌对陕北富油煤的降解过程研究. 生物加工过程, 2022, 20(2): 180-187.</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周强. 中低阶煤的键合结构对液化与热解反应影响的研究. 洁净煤技术, 2021, 27(S1): 15-20.</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任海娟, 宁勇, 等. 中国富油煤形成机制与地质产出研究进展及趋势. 煤炭科学技术, 2023, 51(8): 1-13.</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王双明. 中国富油煤资源分布与开发利用前景. 科技导报, 2022, 40(17): 12-19.</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王双明. 中国工程院院士王双明："煤炭兜底"与"绿色低碳"并行不悖. 陕西煤炭, 2021, 40(6): 1-4.</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本刊讯. 为富油煤绿色开发提供支撑. 煤田地质与勘探, 2021(4): 78.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王辉, 周强, 等. 产物导向与机器学习驱动的富油煤热解提油热效应评估. 化工进展, 2023, 42(S1): 215-223.</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赵静, 周强, 等. 低温冷冻下富油煤传热特征与热解特性的演变机制. 煤炭学报, 2023, 48(2): 1011-1022.</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岑建孟, 谢克昌. 低碳化现代煤基能源开发关键技术体系. 煤炭学报, 2022, 47(11): 3889-3904.</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郑剑磊. 全球第一桶地下原位热解煤焦油在陕西产出. 陕西煤炭, 2023, 42(6): 5-5.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梁杰. 再当煤海开拓者. 当代陕西, 2021(18): 42-43.</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杨甫, 上官卓, 等. 力-热耦合作用下神府富油煤原位热解提油产物分布特性. 煤炭科学技术, 2024, 52(2): 219-228.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王宁, 等. 鄂尔多斯盆地侏罗纪煤的煤岩特征及成因分析. 煤炭技术, 2021, 40(5): 55-59.</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王岩, 等. 双金属负载USY催化热解黄陵富油煤研究. 煤炭转化, 2023, 46(5): 12-21.</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王飞, 等. 古城矿区富油煤赋存特征及主控因素分析. 煤炭技术, 2022, 41(2): 88-91.</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谢克昌. 合理高效利用我国富油煤资源. 中国煤炭, 2017, 43(12): 5-5.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张晓丽. 吐哈盆地大南湖矿区富油煤赋存特征及主控因素分析. 能源与环保, 2022, 44(8): 120-125.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无. 在煤海上建设大油田. 中国石油企业, 2021(8): 44-45.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朱超, 等. 块状富油煤原位热解半焦组分演化和热解特征研究. 煤炭工程, 2023, 55(4): 161-166.</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李华. 基于BP神经网络的富油煤焦油产率预测. 煤田地质与勘探, 2021, 49(5): 75-81.</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乔军伟, 王双明, 等. 基于BP神经网络的富油煤焦油产率预测方法研究. 煤田地质与勘探, 2020, 48(4): 73-79.</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王美君, 等. 基于二次反应修正的富油煤快速热解过程模拟. 燃料化学学报, 2022, 50(1): 10-18.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申文彪, 等. 基于全生命周期的富油煤原位热解碳排放. 洁净煤技术, 2023, 29(1): 25-31.</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郭庆, 等. 基于温压模拟实验的富油煤大分子结构演化研究. 煤炭科学技术, 2021, 49(12): 210-218.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郭庆, 等. 基于温压模拟实验的富油煤孔隙演化机理研究. 西安科技大学学报, 2022, 42(3): 445-452.</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刘琦, 等. 基于热重分析的不同空间分布模式下富油煤与油页岩共热解研究. 煤炭转化, 2022, 45(6): 22-30.</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石庆民, 等. 基于煤体真密度和自然伽马响应规律的富油煤判识. 煤田地质与勘探, 2019, 47(5): 58-64.</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乔军伟, 王双明, 等. 基于煤岩煤质多元指标的BP神经网络焦油产率预测方法研究. 煤田地质与勘探, 2020, 48(4): 73-79.</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张丁丁. 多手段表征富油煤微生物厌氧发酵孔隙结构变化特征及机制. 微生物学报, 2023, 63(5): 1980-1992.</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杜志敏. 大保当井田富油煤地下原位热解开发前景展望. 陕西煤炭, 2021, 40(3): 15-18.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本刊编辑部. 如何推进中国能源发展？代表委员们有话说. 中国石油石化, 2022(6): 14-17.</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李明, 等. 宁东煤田石炭-二叠系富油煤赋存的地质控制作用. 煤炭科学技术, 2021, 49(8): 195-202.</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蔡铮, 等. 宁夏红墩子矿区富油煤赋存特征及其沉积环境研究. 煤质技术, 2022, 37(6): 23-30.</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蔡铮. 宁夏红墩子矿区红四井田沉积古环境对富油煤焦油产率控制作用. 科学技术与工程, 2023, 23(11): 4556-4563.</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桑向兰, 等. 富油煤(长焰煤)孔隙结构三维表征及渗流模拟. 煤炭学报, 2023, 48(S1): 208-216.</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王楚楚, 等. 富油煤低温氧化H2产生机理研究. 煤矿安全, 2023, 54(8): 68-75.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陈山, 等. 富油煤分子结构对生烃潜力影响研究. 煤炭转化, 2022, 45(2): 35-43.</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寇德宏, 等. 富油煤原位热解U型水平井产能预测：试验与数值模拟. 煤田地质与勘探, 2023, 51(8): 87-97.</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马丽, 等. 富油煤原位热解典型污染物时空分布特征. 煤炭学报, 2023, 48(4): 1786-1798.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段中会, 等. 富油煤原位热解反应机理及热质传递特性的数值模拟研究. 煤炭技术, 2022, 41(1): 225-228.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李文军. 富油煤原位热解地下加热技术及其高效工艺. 洁净煤技术, 2021, 27(3): 33-39.</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闫龙, 等. 富油煤原位热解地下开采及提质方案研究. 煤化工, 2021, 49(5): 5-9.</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王双明, 等. 富油煤原位热解地质环境影响与地质保障技术. 煤炭学报, 2023, 48(4): 1759-1772.</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杨甫, 等. 富油煤原位热解多物理场演化规律数值模拟研究. 煤炭科学技术, 2022, 50(3): 188-196.</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辛林, 等. 富油煤原位热解安全预控基础理论与技术研究进展. 煤炭科学技术, 2021, 49(6): 1-13.</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杨甫. 富油煤原位热解对流加热过程传热规律数值模拟. 煤矿安全, 2022, 53(9): 200-207.</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唐书恒, 等. 富油煤原位热解开发地下体系封闭方法探讨. 煤田地质与勘探, 2023, 51(2): 34-43.</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邱爱金. 富油煤原位热解技术战略价值与科学探索. 中国煤炭地质, 2022, 34(2): 1-6.</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兰新哲, 等. 富油煤原位热解技术研究现状及进展. 洁净煤技术, 2021, 27(3): 1-10.</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张吉洪, 等. 富油煤原位热解渗透率变化机理模拟实验研究. 煤田地质与勘探, 2023, 51(4): 66-73.</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王双明, 等. 富油煤原位热解面临的挑战与技术对策. 煤炭学报, 2021, 46(5): 1365-1377.</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王双明. 富油煤原位转化感应加热和射频加热效果数值比选研究. 煤田地质与勘探, 2022, 50(9): 38-46.</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邓君发, 等. 富油煤可控氧化自燃的原位热解开采理论与技术构想. 煤炭学报, 2018, 43(11): 3159-3167.</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尚少帅. 富油煤地下原位热解井下加热器研究现状及展望. 煤炭工程, 2022, 54(10): 166-171.</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于静, 等. 富油煤地下原位热解余热利用过程数值模拟. 煤炭工程, 2023, 55(3): 146-151.</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师庆民, 等. 富油煤地下热解过程中纳米孔隙结构特性演化规律. 煤炭学报, 2020, 45(9): 3280-3288.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侯恩科, 等. 富油煤地下隔层式原位热解底板岩层传热特性及高温热损伤试验研究. 煤炭学报, 2023, 48(4): 1799-1811.</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常艺懋. 富油煤模拟原位加压热解三相产物理化特性研究. 煤炭科学技术, 2021, 49(12): 202-209.</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李艳艳. 富油煤热解与赤铁矿石还原协同处理基础分析. 过程工程学报, 2023, 23(7): 1011-1019.</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马丽. 富油煤热解产物在粉砂介质中的吸附行为研究. 环境科学与技术, 2023, 46(2): 120-128.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师庆民. 富油煤热解孔隙结构演化规律及机制. 煤炭学报, 2021, 46(3): 1014-1023.</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张玉卓. 富油煤热解技术及利用前景研究. 中国能源, 2019, 41(7): 37-41.</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师庆民. 富油煤热解流体滞留特征及其机制. 煤炭学报, 2022, 47(11): 4125-4136.</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马丽. 富油煤热解焦油在粉砂中的自然降解与挥发行为. 西安科技大学学报, 2022, 42(5): 976-984.</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马丽. 富油煤热解焦油在风积沙中的环境行为研究. 生态环境学报, 2023, 32(4): 777-785.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侯恩科. 富油煤热解煤及覆岩温度场时空演化特征. 煤炭学报, 2022, 47(12): 4425-4437.</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侯恩科. 富油煤热解煤及覆岩温度场时空演化试验研究. 煤炭学报, 2022, 47(12): 4425-4437.</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王生全. 富油煤热解特性及其孔裂隙结构演化规律. 西安科技大学学报, 2021, 41(4): 631-638.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黄温钢. 富油煤热解覆岩温度变化规律研究. 煤矿安全, 2022, 53(5): 188-193.</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周强. 富油煤热解过程动力学参数变化规律研究. 煤炭转化, 2022, 45(1): 27-34.</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王楚楚. 富油煤热解重质焦油基泡沫炭性能研究. 炭素技术, 2023, 42(4): 40-45.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姚晓虹. 富油煤焦油中多环芳烃加氢饱和反应研究进展. 化工进展, 2023, 42(5): 2351-2362.</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段利江. 富油煤焦油产率测井评价方法研究. 中国煤炭地质, 2021, 33(10): 66-71.</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王红. 富油煤煤质特征与原位热解技术开发利用现状. 煤炭技术, 2021, 40(6): 184-187.</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马志宏. 富油煤的基础煤质特征及其沉积环境特征分析. 煤炭技术, 2020, 39(8): 96-99.</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王双明, 师庆民, 等. 富油煤的油气资源属性与绿色低碳开发. 煤炭学报, 2021, 46(5): 1365-1377.</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师庆民. 富油煤的碳骨架结构特征及热解油气生成潜力评价. 煤炭学报, 2023, 48(2): 929-939.</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王双明, 孙强, 等. 富油煤研究进展与趋势. 煤炭学报, 2021, 46(S1): 397-408.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张博, 等. 富油煤绿色低碳转化技术研究进展. 洁净煤技术, 2021, 27(3): 11-19.</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段中会. 富油煤钻井式地下原位热解提取煤基油气资源的几个关键问题. 煤田地质与勘探, 2020, 48(4): 1-8.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周强. 富油煤高能微波热解与碎裂机理研究. 西安科技大学学报, 2022, 42(2): 301-309.</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戴俊. 微波–水交互作用下富油煤岩渐进性破坏规律试验. 岩石力学与工程学报, 2023, 42(S1): 3481-3490.</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宁树正, 等. 我国煤系共伴生矿产赋存特征及分布规律. 煤炭学报, 2022, 47(1): 408-418.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尚军飞. 抗积炭改性HZSM-5@SiO2@MgFe2O4对神府煤热解特性影响及过程模拟研究. 燃料化学学报, 2023, 51(3): 302-311.</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王双明. 新形势下我国能源与生态安全保障研究. 中国工程科学, 2021, 23(1): 112-117.</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李忠洪. 新疆三塘湖煤田富油煤成因机理及提质利用方案优选. 洁净煤技术, 2021, 27(3): 75-82.</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宁树正. 新疆三塘湖盆地富油煤赋存特征及主控因素. 煤田地质与勘探, 2020, 48(2): 28-34.</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李焕同. 新疆北部早、中侏罗世富油煤分布规律及控制因素. 新疆地质, 2022, 40(3): 386-391.</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丁华. 新疆北部矿区煤中焦油产率分析及热解生油实验研究. 煤质技术, 2021, 36(6): 33-38.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张亚林. 新疆吐哈煤田干沟矿区煤质特征分析. 煤炭技术, 2021, 40(9): 108-111.</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乔军伟. 新疆大南湖F1南井田富油煤有利区划分及原位热解开发建议. 中国煤炭地质, 2023, 35(3): 1-6.</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吾甫尔·艾合买提. 新疆富油煤地面与原位低碳开发利用技术现状及发展方向. 洁净煤技术, 2023, 29(S1): 12-18.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王双明, 等. 新疆新层系新类型能源矿产勘查新进展. 中国地质, 2022, 49(5): 1686-1688.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魏贤勇, 等. 新疆煤炭资源总体煤质特征评述. 洁净煤技术, 2020, 26(1): 1-12.</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姚征, 王双明. 新质生产力赋能煤炭地质工作发展. 中国煤炭地质, 2024, 36(3): 1-5.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杨甫, 等. 机器学习辅助的富油煤原位热解多场耦合数值模拟研究. 煤田地质与勘探, 2024, 52(2): 1-11.</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姚征, 等. 柠条塔煤矿富油煤赋存特征及其成煤环境控制. 煤炭工程, 2021, 53(5): 112-117.</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薛喜成, 等. 榆横矿区3号煤层富油煤的煤岩煤质及成煤环境. 煤田地质与勘探, 2022, 50(2): 55-63.</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邓小利, 等. 榆神府矿区富油煤多尺度孔隙结构特征. 煤炭科学技术, 2022, 50(6): 229-236.</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郭庆, 等. 榆神府矿区富油煤煤相及孔隙结构特征试验研究. 煤矿安全, 2021, 52(11): 41-47.</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郭庆. 榆神府矿区富油煤组构特性及破碎强度试验研究. 西安科技大学学报, 2023, 43(1): 120-128.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乔军伟, 等. 榆神矿区富油煤赋存特征及其沉积环境研究. 煤炭技术, 2020, 39(1): 66-69.</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张文永. 淮南煤田富油煤受控因素分析及多元判识. 安徽理工大学学报(自然科学版), 2023, 43(3): 55-63.</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郑士田. 淮南煤田富油煤赋存规律与开发利用潜力研究. 中国煤炭地质, 2022, 34(S1): 35-41.</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张丁丁. 混合表面活性剂对铜绿假单胞菌降解富油煤的影响. 应用化工, 2023, 52(2): 359-363.</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赵静. 热解条件下富油煤热力学响应与热损伤机制研究. 煤炭学报, 2024, 49(1): 455-467.</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张研, 王双明. 煤岩干法分选——西部富油煤分质加工的创新驱动技术. 中国煤炭, 2021, 47(11): 88-93.</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宁树正. 煤系共伴生矿产地质成因与成矿过程. 矿床地质, 2021, 40(6): 1345-1358.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高超. 甜水河勘查区富油煤煤岩煤质及成煤环境. 陕西煤炭, 2021, 40(4): 39-43.</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王双明. 看富油煤"72般变化". 中国能源报, 2021-08-02(015).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杨甫, 等. 神府南部延安组富油煤多源判识规律. 西安科技大学学报, 2020, 40(4): 655-662.</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兰新哲. 神府南部矿区低阶煤化学组成与工艺性质：特征、关系与实践. 洁净煤技术, 2018, 24(5): 1-7.</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杨甫. 神府富油煤不同显微组分分子结构特性研究. 洁净煤技术, 2022, 28(1): 69-76.</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郭庆. 神府矿区5-2煤层富油煤赋存特征及资源潜力评价. 煤炭工程, 2020, 52(8): 56-60.</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薛喜成. 神府矿区富油煤煤质成分对焦油产率的影响分析. 煤田地质与勘探, 2023, 51(3): 55-62.</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蔡铮. 红墩子矿区9煤富油煤赋存特征及潜力分析. 煤炭技术, 2021, 40(12): 91-94.</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张丁丁, 等. 细菌降解三种陕北富油煤制取腐殖酸的研究. 煤炭转化, 2022, 45(1): 66-74.</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张丁丁. 表面活性剂对茫崖诺卡氏菌降解鄂尔多斯盆地富油煤过程的影响. 微生物学通报, 2022, 49(1): 182-194.</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张丁丁. 表面活性剂对陕北富油煤微生物降解的影响. 应用化工, 2021, 50(9): 2381-2386.</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郭红玉, 等. 表面活性剂强化微生物电解池降解鄂尔多斯富油煤的研究. 燃料化学学报, 2023, 51(2): 158-166.</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张晓丽. 西部地区富油煤开发利用潜力分析和技术体系构想. 中国煤炭, 2022, 48(4): 50-55.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石庆民, 等. 覆岩应力下富油煤原位热解行为模拟研究. 煤炭学报, 2021, 46(S2): 905-915.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张丁丁. 郭家沟富油煤细菌降解产腐殖酸研究. 洁净煤技术, 2021, 27(3): 120-126.</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马妍. 鄂尔多斯盆地南部三叠系页岩和侏罗系富油煤生烃动力学差异及其原位共采的温度条件. 地质学报, 2022, 96(8): 2893-2905.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陈山, 等. 鄂尔多斯盆地延安组富油煤和含油煤生烃特征差异及其成因. 煤炭学报, 2023, 48(1): 380-392.</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王岩. 酸洗对黄陵富油煤结构和动力学特征的影响. 应用化工, 2023, 52(3): 833-838.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贺丹, 等. 酸洗脱矿下富油煤热解过程中官能团演化的同步原位红外研究. 光谱学与光谱分析, 2024, 44(2): 376-382.</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尚军飞. 铈改性磁性核壳HZSM-5催化富油煤热解研究. 煤炭科学技术, 2022, 50(12): 264-272.</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杨甫, 等. 陇东地区富油煤地质特征与主控因素研究. 煤炭科学技术, 2022, 50(4): 173-181.</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姚征. 陕北三叠纪煤田子长矿区瓦窑堡组特高焦油产率煤富集规律分析. 煤田地质与勘探, 2021, 49(3): 22-29.</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师庆民. 陕北三叠纪煤田最大古地温与焦油产率关系. 煤田地质与勘探, 2020, 48(5): 27-33.</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马志宏. 陕北侏罗纪富油煤有机地球化学特征. 煤炭技术, 2021, 40(6): 102-105.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兰新哲. 陕北富油煤低温热解提油基础特性. 西安科技大学学报, 2020, 40(5): 845-851.</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师庆民. 陕北富油煤分子模型构建及其热解提油分子动力学特性. 煤炭学报, 2022, 47(1): 469-479.</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段中会, 杨甫, 等. 陕北富油煤地下原位热解先导试验. 煤田地质与勘探, 2021, 49(5): 31-40.</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杨甫. 陕北富油煤热解提油产物分布特性研究. 煤炭科学技术, 2021, 49(10): 215-221.</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兰新哲. 陕北富油煤热解提油基础特性及煤焦油净化机理研究[D]. 西安: 西安建筑科技大学, 2020.</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张蕾. 陕北富油煤熄焦特征污染物析出规律探究. 应用化工, 2022, 51(8): 2293-2297.</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乔军伟. 陕北富油煤综采面原煤粒级差异及其最佳利用适配. 煤炭工程, 2022, 54(7): 123-128.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姚征. 陕北曹家滩矿井富油煤地球化学特征及其沉积环境. 煤田地质与勘探, 2019, 47(4): 50-57.</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王美君. 陕北榆树湾煤矿煤质特征及洁净等级评价. 煤质技术, 2020, 35(1): 32-37.</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姚征. 陕北榆神矿区富油煤分布规律及形成控制因素. 西安科技大学学报, 2020, 40(6): 1042-1050.</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师庆民. 陕北榆神矿区富油煤深成变质的古地质温度计算方法初探. 地质论评, 2021, 67(4): 1121-1130.</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姚征. 陕北石炭–二叠纪富油煤赋存特征及影响因素. 煤田地质与勘探, 2022, 50(8): 50-58.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魏文洁. 陕西富油煤资源量居全国之首榆林可"再造一个大庆油田". 陕西煤炭, 2020, 39(1): 1-1.</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尚建选. 陕西煤业化工集团煤化工产业高质量发展研究. 煤炭化工, 2021, 49(3): 1-5.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王双明. 陕西省富油煤分布及受控地质因素. 煤炭学报, 2021, 46(S1): 397-408.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段利江. 陕西省富油煤焦油产率测井评价方法研究. 地下水, 2021, 43(5): 146-148.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段中会. 陕西省富油煤资源潜力及开发建议. 中国煤炭地质, 2020, 32(9): 1-5.</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李艳艳. 难选铁矿石促进富油煤热解及铁矿物回收技术研究. 矿产综合利用, 2023 (6): 1-8.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郭庆. 高温作用下富油煤孔隙结构及渗透率演化规律研究. 煤炭工程, 2023, 55(2): 117-122.</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杜志敏. 黄陵矿区富油煤对流加热原位转化开发效果数值模拟. 煤矿安全, 2022, 53(10): 215-221.</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姚征. 黄陵矿区富油煤焦油产率与补偿密度关系模型预测方法研究. 中国煤炭地质, 2022, 34(10): 29-34.</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姚征. 黄陵矿区富油煤焦油产率特征及主控地质因素分析. 煤炭技术, 2021, 40(11): 114-118.</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马丽. 黏结性富油煤热解油气析出规律及物性演变特征. 煤炭学报, 2023, 48(9): 3538-3549.</w:t>
      </w:r>
    </w:p>
    <w:p>
      <w:pPr>
        <w:keepNext w:val="0"/>
        <w:keepLines w:val="0"/>
        <w:pageBreakBefore w:val="0"/>
        <w:widowControl w:val="0"/>
        <w:numPr>
          <w:ilvl w:val="0"/>
          <w:numId w:val="15"/>
        </w:numPr>
        <w:tabs>
          <w:tab w:val="left" w:pos="220"/>
          <w:tab w:val="clear" w:pos="0"/>
        </w:tabs>
        <w:kinsoku/>
        <w:wordWrap/>
        <w:overflowPunct/>
        <w:topLinePunct w:val="0"/>
        <w:autoSpaceDE w:val="0"/>
        <w:autoSpaceDN w:val="0"/>
        <w:bidi w:val="0"/>
        <w:adjustRightInd w:val="0"/>
        <w:snapToGrid/>
        <w:spacing w:line="358" w:lineRule="auto"/>
        <w:ind w:left="191" w:leftChars="0" w:hanging="191" w:hangingChars="91"/>
        <w:jc w:val="both"/>
        <w:textAlignment w:val="auto"/>
        <w:rPr>
          <w:rFonts w:hint="default" w:ascii="Times New Roman" w:hAnsi="Times New Roman" w:eastAsia="宋体"/>
          <w:b w:val="0"/>
          <w:bCs w:val="0"/>
          <w:sz w:val="21"/>
          <w:szCs w:val="21"/>
          <w:lang w:val="en-US" w:eastAsia="zh-CN"/>
        </w:rPr>
        <w:sectPr>
          <w:pgSz w:w="11906" w:h="16838"/>
          <w:pgMar w:top="1440" w:right="1800" w:bottom="1440" w:left="1800" w:header="851" w:footer="992" w:gutter="0"/>
          <w:cols w:space="425" w:num="1"/>
          <w:docGrid w:type="lines" w:linePitch="312" w:charSpace="0"/>
        </w:sectPr>
      </w:pPr>
      <w:r>
        <w:rPr>
          <w:rFonts w:hint="default" w:ascii="Times New Roman" w:hAnsi="Times New Roman" w:eastAsia="宋体"/>
          <w:b w:val="0"/>
          <w:bCs w:val="0"/>
          <w:sz w:val="21"/>
          <w:szCs w:val="21"/>
          <w:lang w:val="en-US" w:eastAsia="zh-CN"/>
        </w:rPr>
        <w:t>黄温钢. 黏结性对富油煤热解孔隙结构演变及渗流的影响研究. 采矿与安全工程学报, 2023, 40(5): 1045-1054.</w:t>
      </w:r>
    </w:p>
    <w:p>
      <w:pPr>
        <w:keepNext w:val="0"/>
        <w:keepLines w:val="0"/>
        <w:pageBreakBefore w:val="0"/>
        <w:widowControl w:val="0"/>
        <w:kinsoku/>
        <w:wordWrap/>
        <w:overflowPunct/>
        <w:topLinePunct w:val="0"/>
        <w:autoSpaceDE w:val="0"/>
        <w:autoSpaceDN w:val="0"/>
        <w:bidi w:val="0"/>
        <w:adjustRightInd w:val="0"/>
        <w:snapToGrid/>
        <w:spacing w:line="360" w:lineRule="auto"/>
        <w:jc w:val="left"/>
        <w:textAlignment w:val="auto"/>
        <w:rPr>
          <w:rFonts w:hint="eastAsia" w:ascii="宋体" w:hAnsi="宋体" w:eastAsia="宋体"/>
          <w:b/>
          <w:bCs/>
          <w:sz w:val="24"/>
          <w:szCs w:val="24"/>
          <w:lang w:val="en-US" w:eastAsia="zh-CN"/>
        </w:rPr>
      </w:pPr>
      <w:r>
        <w:rPr>
          <w:rFonts w:hint="eastAsia" w:ascii="宋体" w:hAnsi="宋体" w:eastAsia="宋体"/>
          <w:b/>
          <w:bCs/>
          <w:sz w:val="24"/>
          <w:szCs w:val="24"/>
          <w:lang w:val="en-US" w:eastAsia="zh-CN"/>
        </w:rPr>
        <w:t>附录2 国内外标准调研情况</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GB/T 1341-2023 煤的格金低温干馏试验方法. 北京: 中国标准出版社, 2023.</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GB/T 480-2010 煤的铝甑低温干馏试验方法. 北京: 中国标准出版社, 2011.</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ISO 502:2015 Coal — Determination of caking power — Gray-King coke test. Geneva: ISO, 2015.</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ISO 647:2017 Coal — Determination of plastic properties — Dilatometer method. Geneva: ISO, 2017.</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GB/T 24214-2009 煤焦油水分快速测定方法. 北京: 中国标准出版社, 2010.</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GB/T 38394-2019 煤焦油 钠、钙、镁、铁含量的测定 电感耦合等离子体发射光谱法. 北京: 中国标准出版社, 2019.</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GB/T 38395-2019 煤焦油 硫和氮含量的测定. 北京: 中国标准出版社, 2019.</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GB/T 38397-2019 煤焦油 组分含量的测定 气相色谱-质谱联用和热重分析法. 北京: 中国标准出版社, 2019.</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GB/T 2290-2012 煤沥青. 北京: 中国标准出版社, 2013.</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GB/T 2293-2019 焦化沥青类产品喹啉不溶物试验方法. 北京: 中国标准出版社, 2019.</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GB/T 2294-2019 焦化固体类产品软化点测定方法. 北京: 中国标准出版社, 2019.</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GB/T 51331-2018 煤焦化焦油加工工程设计标准. 北京: 中国计划出版社, 2018.</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GB/T 2281-2008 焦化油类产品密度试验方法. 北京: 中国标准出版社, 2008.</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GB/T 2288-2019 焦化产品水分测定方法. 北京: 中国标准出版社, 2019.</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GB/T 2292-2018 焦化产品甲苯不溶物含量的测定. 北京: 中国标准出版社, 2018.</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GB/T 2295-2008 焦化固体类产品灰分测定方法. 北京: 中国标准出版社, 2008.</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GB/T 1999-2008 焦化油类产品取样方法. 北京: 中国标准出版社, 2008.</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GB/T 24209-2009 洗油粘度的测定方法. 北京: 中国标准出版社, 2009.</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GB/T 24212-2025 甲基萘油. 北京: 中国标准出版社, 2025.</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GB/T 30054-2013 异喹啉. 北京: 中国标准出版社, 2014.</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GB/T 6699-1998 焦化萘. 北京: 中国标准出版社, 1999.</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GB/T 6705-2008 焦化苯酚. 北京: 中国标准出版社, 2008.</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YB/T 5075-2010 煤焦油. 北京: 冶金工业出版社, 2011.</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YB/T 5078-2010 煤焦油 萘含量的测定 气相色谱法. 北京: 冶金工业出版社, 2010.</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YB/T 6137-2023 煤焦油 联苯、苊、芴含量的测定 气相色谱法. 北京: 冶金工业出版社, 2023.</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YB/T 4989-2022 焦炉煤气 煤焦油含量的测定 分光光度法. 北京: 冶金工业出版社, 2022.</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YB/T 5171-2016 木材防腐油试验方法 40℃结晶物测定方法. 北京: 冶金工业出版社, 2016.</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YB/T 5173-2016 木材防腐油试验方法 流动性测定方法. 北京: 冶金工业出版社, 2016.</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YB/T 6275-2024 洗油. 北京: 冶金工业出版社, 2024.</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MT/T 1179-2019 煤中焦油含量分级. 北京: 煤炭工业出版社, 2019.</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SY/T 0319-1998 埋地钢质管道煤焦油瓷漆防腐层技术规范. 北京: 石油工业出版社, 1998.</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SY/T 0379-1998 埋地钢质管道煤焦油瓷漆外防腐层技术标准. 北京: 石油工业出版社, 1998.</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DB61/T 995-2015 中低温煤焦油. 西安: 陕西省质量技术监督局, 2015.</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DB13/T 5254-2020 煤焦油 苯、甲苯、苯酚、萘、芴、菲、蒽、芘的含量测定 气相色谱法. 石家庄: 河北省质量技术监督局, 2020.</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DB61/T 1657-2023 焦油渣利用与处置污染控制技术规范. 西安: 陕西省生态环境厅, 2023.</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T/CRIA 20002-2021 炭黑原料油 煤焦油. 北京: 中国橡胶工业协会, 2021.</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 xml:space="preserve">T/GRM </w:t>
      </w:r>
      <w:r>
        <w:rPr>
          <w:rFonts w:hint="eastAsia" w:ascii="Times New Roman" w:hAnsi="Times New Roman" w:eastAsia="宋体"/>
          <w:b w:val="0"/>
          <w:bCs w:val="0"/>
          <w:sz w:val="21"/>
          <w:szCs w:val="21"/>
          <w:lang w:val="en-US" w:eastAsia="zh-CN"/>
        </w:rPr>
        <w:t>114</w:t>
      </w:r>
      <w:r>
        <w:rPr>
          <w:rFonts w:hint="default" w:ascii="Times New Roman" w:hAnsi="Times New Roman" w:eastAsia="宋体"/>
          <w:b w:val="0"/>
          <w:bCs w:val="0"/>
          <w:sz w:val="21"/>
          <w:szCs w:val="21"/>
          <w:lang w:val="en-US" w:eastAsia="zh-CN"/>
        </w:rPr>
        <w:t>-202</w:t>
      </w:r>
      <w:r>
        <w:rPr>
          <w:rFonts w:hint="eastAsia" w:ascii="Times New Roman" w:hAnsi="Times New Roman" w:eastAsia="宋体"/>
          <w:b w:val="0"/>
          <w:bCs w:val="0"/>
          <w:sz w:val="21"/>
          <w:szCs w:val="21"/>
          <w:lang w:val="en-US" w:eastAsia="zh-CN"/>
        </w:rPr>
        <w:t>5</w:t>
      </w:r>
      <w:r>
        <w:rPr>
          <w:rFonts w:hint="default" w:ascii="Times New Roman" w:hAnsi="Times New Roman" w:eastAsia="宋体"/>
          <w:b w:val="0"/>
          <w:bCs w:val="0"/>
          <w:sz w:val="21"/>
          <w:szCs w:val="21"/>
          <w:lang w:val="en-US" w:eastAsia="zh-CN"/>
        </w:rPr>
        <w:t xml:space="preserve"> 富油煤原位热解术语. 北京: 中关村绿色矿山产业联盟, 202</w:t>
      </w:r>
      <w:r>
        <w:rPr>
          <w:rFonts w:hint="eastAsia" w:ascii="Times New Roman" w:hAnsi="Times New Roman" w:eastAsia="宋体"/>
          <w:b w:val="0"/>
          <w:bCs w:val="0"/>
          <w:sz w:val="21"/>
          <w:szCs w:val="21"/>
          <w:lang w:val="en-US" w:eastAsia="zh-CN"/>
        </w:rPr>
        <w:t>5</w:t>
      </w:r>
      <w:r>
        <w:rPr>
          <w:rFonts w:hint="default" w:ascii="Times New Roman" w:hAnsi="Times New Roman" w:eastAsia="宋体"/>
          <w:b w:val="0"/>
          <w:bCs w:val="0"/>
          <w:sz w:val="21"/>
          <w:szCs w:val="21"/>
          <w:lang w:val="en-US" w:eastAsia="zh-CN"/>
        </w:rPr>
        <w:t>.</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 xml:space="preserve">T/GRM </w:t>
      </w:r>
      <w:r>
        <w:rPr>
          <w:rFonts w:hint="eastAsia" w:ascii="Times New Roman" w:hAnsi="Times New Roman" w:eastAsia="宋体"/>
          <w:b w:val="0"/>
          <w:bCs w:val="0"/>
          <w:sz w:val="21"/>
          <w:szCs w:val="21"/>
          <w:lang w:val="en-US" w:eastAsia="zh-CN"/>
        </w:rPr>
        <w:t>116</w:t>
      </w:r>
      <w:r>
        <w:rPr>
          <w:rFonts w:hint="default" w:ascii="Times New Roman" w:hAnsi="Times New Roman" w:eastAsia="宋体"/>
          <w:b w:val="0"/>
          <w:bCs w:val="0"/>
          <w:sz w:val="21"/>
          <w:szCs w:val="21"/>
          <w:lang w:val="en-US" w:eastAsia="zh-CN"/>
        </w:rPr>
        <w:t>-202</w:t>
      </w:r>
      <w:r>
        <w:rPr>
          <w:rFonts w:hint="eastAsia" w:ascii="Times New Roman" w:hAnsi="Times New Roman" w:eastAsia="宋体"/>
          <w:b w:val="0"/>
          <w:bCs w:val="0"/>
          <w:sz w:val="21"/>
          <w:szCs w:val="21"/>
          <w:lang w:val="en-US" w:eastAsia="zh-CN"/>
        </w:rPr>
        <w:t>5</w:t>
      </w:r>
      <w:r>
        <w:rPr>
          <w:rFonts w:hint="default" w:ascii="Times New Roman" w:hAnsi="Times New Roman" w:eastAsia="宋体"/>
          <w:b w:val="0"/>
          <w:bCs w:val="0"/>
          <w:sz w:val="21"/>
          <w:szCs w:val="21"/>
          <w:lang w:val="en-US" w:eastAsia="zh-CN"/>
        </w:rPr>
        <w:t xml:space="preserve"> 富油煤原位热解可控冲击波致裂施工规范. 北京: 中关村绿色矿山产业联盟, 202</w:t>
      </w:r>
      <w:r>
        <w:rPr>
          <w:rFonts w:hint="eastAsia" w:ascii="Times New Roman" w:hAnsi="Times New Roman" w:eastAsia="宋体"/>
          <w:b w:val="0"/>
          <w:bCs w:val="0"/>
          <w:sz w:val="21"/>
          <w:szCs w:val="21"/>
          <w:lang w:val="en-US" w:eastAsia="zh-CN"/>
        </w:rPr>
        <w:t>5</w:t>
      </w:r>
      <w:r>
        <w:rPr>
          <w:rFonts w:hint="default" w:ascii="Times New Roman" w:hAnsi="Times New Roman" w:eastAsia="宋体"/>
          <w:b w:val="0"/>
          <w:bCs w:val="0"/>
          <w:sz w:val="21"/>
          <w:szCs w:val="21"/>
          <w:lang w:val="en-US" w:eastAsia="zh-CN"/>
        </w:rPr>
        <w:t>.</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 xml:space="preserve">T/GRM </w:t>
      </w:r>
      <w:r>
        <w:rPr>
          <w:rFonts w:hint="eastAsia" w:ascii="Times New Roman" w:hAnsi="Times New Roman" w:eastAsia="宋体"/>
          <w:b w:val="0"/>
          <w:bCs w:val="0"/>
          <w:sz w:val="21"/>
          <w:szCs w:val="21"/>
          <w:lang w:val="en-US" w:eastAsia="zh-CN"/>
        </w:rPr>
        <w:t>115</w:t>
      </w:r>
      <w:r>
        <w:rPr>
          <w:rFonts w:hint="default" w:ascii="Times New Roman" w:hAnsi="Times New Roman" w:eastAsia="宋体"/>
          <w:b w:val="0"/>
          <w:bCs w:val="0"/>
          <w:sz w:val="21"/>
          <w:szCs w:val="21"/>
          <w:lang w:val="en-US" w:eastAsia="zh-CN"/>
        </w:rPr>
        <w:t>-202</w:t>
      </w:r>
      <w:r>
        <w:rPr>
          <w:rFonts w:hint="eastAsia" w:ascii="Times New Roman" w:hAnsi="Times New Roman" w:eastAsia="宋体"/>
          <w:b w:val="0"/>
          <w:bCs w:val="0"/>
          <w:sz w:val="21"/>
          <w:szCs w:val="21"/>
          <w:lang w:val="en-US" w:eastAsia="zh-CN"/>
        </w:rPr>
        <w:t>5</w:t>
      </w:r>
      <w:r>
        <w:rPr>
          <w:rFonts w:hint="default" w:ascii="Times New Roman" w:hAnsi="Times New Roman" w:eastAsia="宋体"/>
          <w:b w:val="0"/>
          <w:bCs w:val="0"/>
          <w:sz w:val="21"/>
          <w:szCs w:val="21"/>
          <w:lang w:val="en-US" w:eastAsia="zh-CN"/>
        </w:rPr>
        <w:t xml:space="preserve"> 富油煤原位热解井下电加热器使用规程. 北京: 中关村绿色矿山产业联盟, 202</w:t>
      </w:r>
      <w:r>
        <w:rPr>
          <w:rFonts w:hint="eastAsia" w:ascii="Times New Roman" w:hAnsi="Times New Roman" w:eastAsia="宋体"/>
          <w:b w:val="0"/>
          <w:bCs w:val="0"/>
          <w:sz w:val="21"/>
          <w:szCs w:val="21"/>
          <w:lang w:val="en-US" w:eastAsia="zh-CN"/>
        </w:rPr>
        <w:t>5</w:t>
      </w:r>
      <w:r>
        <w:rPr>
          <w:rFonts w:hint="default" w:ascii="Times New Roman" w:hAnsi="Times New Roman" w:eastAsia="宋体"/>
          <w:b w:val="0"/>
          <w:bCs w:val="0"/>
          <w:sz w:val="21"/>
          <w:szCs w:val="21"/>
          <w:lang w:val="en-US" w:eastAsia="zh-CN"/>
        </w:rPr>
        <w:t>.</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ASTM D43/D43M-00(2024) Standard Specification for Coal Tar Primer Used in Roofing, Dampproofing, and Waterproofing. West Conshohocken, PA: ASTM International, 2024.</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ASTM D450/D450M-07(2018) Standard Specification for Coal-Tar Pitch Used in Roofing, Dampproofing, and Waterproofing. West Conshohocken, PA: ASTM International, 2018.</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ASTM D2415-25 Standard Test Method for Ash in Coal Tar and Pitch. West Conshohocken, PA: ASTM International, 2025.</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ASTM D8464/D8464M-23 Standard Specification for Cold-Applied Coal Tar for Roofing, Waterproofing, and Dampproofing. West Conshohocken, PA: ASTM International, 2023.</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ASTM D5643/D5643M-06(2024) Standard Specification for Coal Tar Roof Cement, Asbestos Free. West Conshohocken, PA: ASTM International, 2024.</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ASTM D3320/D3320M-18 Standard Specification for Emulsified Coal-Tar Pitch (Mineral Colloid Type). West Conshohocken, PA: ASTM International, 2018.</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ASTM D227/D227M-03(2018) Standard Specification for Coal-Tar-Saturated Organic Felt Used in Roofing and Waterproofing. West Conshohocken, PA: ASTM International, 2018.</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ASTM D490 Standard Specification for Road Tar. West Conshohocken, PA: ASTM International.</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ASTM D2318 Test Method for Quinoline-Insoluble (QI) Content of Tar and Pitch. West Conshohocken, PA: ASTM International.</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ASTM D7280-15 Standard Test Method for Quinoline-Insoluble (QI) Content of Tar and Pitch by Stainless Steel Crucible Filtration. West Conshohocken, PA: ASTM International, 2015.</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ASTM D4312-15 Standard Test Method for Toluene-Insoluble (TI) Content of Tar and Pitch (Short Method). West Conshohocken, PA: ASTM International, 2015.</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ISO 5256:1985 Steel pipes and fittings for buried or submerged pipe lines — External and internal coating by bitumen or coal tar derived materials. Geneva: ISO, 1985.</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ISO 11709:2011 Soil quality — Determination of selected coal-tar-derived phenolic compounds using high performance liquid chromatography (HPLC). Geneva: ISO, 2011.</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ISO 9029:2015 Crude petroleum and petroleum products — Determination of oil content. Geneva: ISO, 2015.</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ISO 2719:2016 Determination of flash point — Pensky-Martens closed cup method. Geneva: ISO, 2016.</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ISO 3675:2018 Crude petroleum and liquid petroleum products — Laboratory determination of density — Hydrometer method. Geneva: ISO, 2018.</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ISO 5667-3:2012 Water quality — Sampling — Part 3: Guidance on the preservation and handling of water samples. Geneva: ISO, 2012.</w:t>
      </w:r>
    </w:p>
    <w:p>
      <w:pPr>
        <w:keepNext w:val="0"/>
        <w:keepLines w:val="0"/>
        <w:pageBreakBefore w:val="0"/>
        <w:widowControl w:val="0"/>
        <w:numPr>
          <w:ilvl w:val="0"/>
          <w:numId w:val="16"/>
        </w:numPr>
        <w:tabs>
          <w:tab w:val="left" w:pos="220"/>
          <w:tab w:val="clear" w:pos="0"/>
        </w:tabs>
        <w:kinsoku/>
        <w:wordWrap/>
        <w:overflowPunct/>
        <w:topLinePunct w:val="0"/>
        <w:autoSpaceDE w:val="0"/>
        <w:autoSpaceDN w:val="0"/>
        <w:bidi w:val="0"/>
        <w:adjustRightInd w:val="0"/>
        <w:snapToGrid/>
        <w:spacing w:line="360" w:lineRule="auto"/>
        <w:ind w:left="189" w:leftChars="0" w:hanging="189" w:hangingChars="90"/>
        <w:jc w:val="both"/>
        <w:textAlignment w:val="auto"/>
        <w:rPr>
          <w:rFonts w:hint="default" w:ascii="Times New Roman" w:hAnsi="Times New Roman" w:eastAsia="宋体"/>
          <w:b w:val="0"/>
          <w:bCs w:val="0"/>
          <w:sz w:val="21"/>
          <w:szCs w:val="21"/>
          <w:lang w:val="en-US" w:eastAsia="zh-CN"/>
        </w:rPr>
      </w:pPr>
      <w:r>
        <w:rPr>
          <w:rFonts w:hint="default" w:ascii="Times New Roman" w:hAnsi="Times New Roman" w:eastAsia="宋体"/>
          <w:b w:val="0"/>
          <w:bCs w:val="0"/>
          <w:sz w:val="21"/>
          <w:szCs w:val="21"/>
          <w:lang w:val="en-US" w:eastAsia="zh-CN"/>
        </w:rPr>
        <w:t>ISO 3733:1999 Petroleum products and bituminous materials — Determination of water — Distillation method. Geneva: ISO, 1999.</w:t>
      </w:r>
    </w:p>
    <w:p>
      <w:pPr>
        <w:keepNext w:val="0"/>
        <w:keepLines w:val="0"/>
        <w:pageBreakBefore w:val="0"/>
        <w:widowControl w:val="0"/>
        <w:kinsoku/>
        <w:wordWrap/>
        <w:overflowPunct/>
        <w:topLinePunct w:val="0"/>
        <w:autoSpaceDE w:val="0"/>
        <w:autoSpaceDN w:val="0"/>
        <w:bidi w:val="0"/>
        <w:adjustRightInd w:val="0"/>
        <w:snapToGrid/>
        <w:spacing w:line="360" w:lineRule="auto"/>
        <w:ind w:firstLine="560" w:firstLineChars="200"/>
        <w:jc w:val="left"/>
        <w:textAlignment w:val="auto"/>
        <w:rPr>
          <w:rFonts w:hint="default" w:ascii="宋体" w:hAnsi="宋体" w:eastAsia="宋体"/>
          <w:sz w:val="28"/>
          <w:szCs w:val="28"/>
          <w:lang w:val="en-US" w:eastAsia="zh-CN"/>
        </w:rPr>
      </w:pPr>
    </w:p>
    <w:p>
      <w:pPr>
        <w:keepNext w:val="0"/>
        <w:keepLines w:val="0"/>
        <w:pageBreakBefore w:val="0"/>
        <w:widowControl w:val="0"/>
        <w:kinsoku/>
        <w:wordWrap/>
        <w:overflowPunct/>
        <w:topLinePunct w:val="0"/>
        <w:bidi w:val="0"/>
        <w:snapToGrid/>
        <w:spacing w:line="360" w:lineRule="auto"/>
        <w:textAlignment w:val="auto"/>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Helvetica">
    <w:altName w:val="Arial"/>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AF5F992"/>
    <w:multiLevelType w:val="singleLevel"/>
    <w:tmpl w:val="9AF5F992"/>
    <w:lvl w:ilvl="0" w:tentative="0">
      <w:start w:val="2"/>
      <w:numFmt w:val="chineseCounting"/>
      <w:suff w:val="nothing"/>
      <w:lvlText w:val="%1、"/>
      <w:lvlJc w:val="left"/>
      <w:rPr>
        <w:rFonts w:hint="eastAsia"/>
      </w:rPr>
    </w:lvl>
  </w:abstractNum>
  <w:abstractNum w:abstractNumId="1">
    <w:nsid w:val="9F724026"/>
    <w:multiLevelType w:val="singleLevel"/>
    <w:tmpl w:val="9F724026"/>
    <w:lvl w:ilvl="0" w:tentative="0">
      <w:start w:val="1"/>
      <w:numFmt w:val="decimal"/>
      <w:suff w:val="nothing"/>
      <w:lvlText w:val="（%1）"/>
      <w:lvlJc w:val="left"/>
    </w:lvl>
  </w:abstractNum>
  <w:abstractNum w:abstractNumId="2">
    <w:nsid w:val="A56ACF46"/>
    <w:multiLevelType w:val="singleLevel"/>
    <w:tmpl w:val="A56ACF46"/>
    <w:lvl w:ilvl="0" w:tentative="0">
      <w:start w:val="1"/>
      <w:numFmt w:val="decimal"/>
      <w:lvlText w:val="%1）"/>
      <w:lvlJc w:val="left"/>
      <w:pPr>
        <w:tabs>
          <w:tab w:val="left" w:pos="420"/>
        </w:tabs>
        <w:ind w:left="425" w:leftChars="0" w:hanging="425" w:firstLineChars="0"/>
      </w:pPr>
      <w:rPr>
        <w:rFonts w:hint="default"/>
      </w:rPr>
    </w:lvl>
  </w:abstractNum>
  <w:abstractNum w:abstractNumId="3">
    <w:nsid w:val="B2CB9604"/>
    <w:multiLevelType w:val="singleLevel"/>
    <w:tmpl w:val="B2CB9604"/>
    <w:lvl w:ilvl="0" w:tentative="0">
      <w:start w:val="1"/>
      <w:numFmt w:val="decimal"/>
      <w:suff w:val="nothing"/>
      <w:lvlText w:val="（%1）"/>
      <w:lvlJc w:val="left"/>
    </w:lvl>
  </w:abstractNum>
  <w:abstractNum w:abstractNumId="4">
    <w:nsid w:val="C8AFAC08"/>
    <w:multiLevelType w:val="singleLevel"/>
    <w:tmpl w:val="C8AFAC08"/>
    <w:lvl w:ilvl="0" w:tentative="0">
      <w:start w:val="1"/>
      <w:numFmt w:val="decimal"/>
      <w:lvlText w:val="%1）"/>
      <w:lvlJc w:val="left"/>
      <w:pPr>
        <w:tabs>
          <w:tab w:val="left" w:pos="420"/>
        </w:tabs>
        <w:ind w:left="425" w:leftChars="0" w:hanging="425" w:firstLineChars="0"/>
      </w:pPr>
      <w:rPr>
        <w:rFonts w:hint="default"/>
      </w:rPr>
    </w:lvl>
  </w:abstractNum>
  <w:abstractNum w:abstractNumId="5">
    <w:nsid w:val="CE89F3EB"/>
    <w:multiLevelType w:val="singleLevel"/>
    <w:tmpl w:val="CE89F3EB"/>
    <w:lvl w:ilvl="0" w:tentative="0">
      <w:start w:val="1"/>
      <w:numFmt w:val="decimal"/>
      <w:lvlText w:val="%1）"/>
      <w:lvlJc w:val="left"/>
      <w:pPr>
        <w:tabs>
          <w:tab w:val="left" w:pos="420"/>
        </w:tabs>
        <w:ind w:left="425" w:leftChars="0" w:hanging="425" w:firstLineChars="0"/>
      </w:pPr>
      <w:rPr>
        <w:rFonts w:hint="default"/>
      </w:rPr>
    </w:lvl>
  </w:abstractNum>
  <w:abstractNum w:abstractNumId="6">
    <w:nsid w:val="E1A33AAA"/>
    <w:multiLevelType w:val="singleLevel"/>
    <w:tmpl w:val="E1A33AAA"/>
    <w:lvl w:ilvl="0" w:tentative="0">
      <w:start w:val="1"/>
      <w:numFmt w:val="decimal"/>
      <w:lvlText w:val="%1）"/>
      <w:lvlJc w:val="left"/>
      <w:pPr>
        <w:tabs>
          <w:tab w:val="left" w:pos="420"/>
        </w:tabs>
        <w:ind w:left="425" w:leftChars="0" w:hanging="425" w:firstLineChars="0"/>
      </w:pPr>
      <w:rPr>
        <w:rFonts w:hint="default"/>
      </w:rPr>
    </w:lvl>
  </w:abstractNum>
  <w:abstractNum w:abstractNumId="7">
    <w:nsid w:val="E6CB39D1"/>
    <w:multiLevelType w:val="singleLevel"/>
    <w:tmpl w:val="E6CB39D1"/>
    <w:lvl w:ilvl="0" w:tentative="0">
      <w:start w:val="2"/>
      <w:numFmt w:val="decimal"/>
      <w:suff w:val="nothing"/>
      <w:lvlText w:val="（%1）"/>
      <w:lvlJc w:val="left"/>
    </w:lvl>
  </w:abstractNum>
  <w:abstractNum w:abstractNumId="8">
    <w:nsid w:val="E792E6CD"/>
    <w:multiLevelType w:val="singleLevel"/>
    <w:tmpl w:val="E792E6CD"/>
    <w:lvl w:ilvl="0" w:tentative="0">
      <w:start w:val="1"/>
      <w:numFmt w:val="decimal"/>
      <w:lvlText w:val="%1）"/>
      <w:lvlJc w:val="left"/>
      <w:pPr>
        <w:tabs>
          <w:tab w:val="left" w:pos="420"/>
        </w:tabs>
        <w:ind w:left="425" w:leftChars="0" w:hanging="425" w:firstLineChars="0"/>
      </w:pPr>
      <w:rPr>
        <w:rFonts w:hint="default"/>
      </w:rPr>
    </w:lvl>
  </w:abstractNum>
  <w:abstractNum w:abstractNumId="9">
    <w:nsid w:val="14D40E65"/>
    <w:multiLevelType w:val="singleLevel"/>
    <w:tmpl w:val="14D40E65"/>
    <w:lvl w:ilvl="0" w:tentative="0">
      <w:start w:val="1"/>
      <w:numFmt w:val="decimal"/>
      <w:lvlText w:val="[%1]"/>
      <w:lvlJc w:val="right"/>
      <w:pPr>
        <w:tabs>
          <w:tab w:val="left" w:pos="0"/>
        </w:tabs>
        <w:ind w:left="0" w:leftChars="0" w:firstLine="0" w:firstLineChars="0"/>
      </w:pPr>
      <w:rPr>
        <w:rFonts w:hint="default"/>
      </w:rPr>
    </w:lvl>
  </w:abstractNum>
  <w:abstractNum w:abstractNumId="10">
    <w:nsid w:val="249A127E"/>
    <w:multiLevelType w:val="singleLevel"/>
    <w:tmpl w:val="249A127E"/>
    <w:lvl w:ilvl="0" w:tentative="0">
      <w:start w:val="1"/>
      <w:numFmt w:val="decimal"/>
      <w:lvlText w:val="[%1]"/>
      <w:lvlJc w:val="right"/>
      <w:pPr>
        <w:tabs>
          <w:tab w:val="left" w:pos="0"/>
        </w:tabs>
        <w:ind w:left="0" w:leftChars="0" w:firstLine="0" w:firstLineChars="0"/>
      </w:pPr>
      <w:rPr>
        <w:rFonts w:hint="default"/>
      </w:rPr>
    </w:lvl>
  </w:abstractNum>
  <w:abstractNum w:abstractNumId="11">
    <w:nsid w:val="27192FE9"/>
    <w:multiLevelType w:val="singleLevel"/>
    <w:tmpl w:val="27192FE9"/>
    <w:lvl w:ilvl="0" w:tentative="0">
      <w:start w:val="1"/>
      <w:numFmt w:val="decimal"/>
      <w:suff w:val="nothing"/>
      <w:lvlText w:val="%1）"/>
      <w:lvlJc w:val="left"/>
    </w:lvl>
  </w:abstractNum>
  <w:abstractNum w:abstractNumId="12">
    <w:nsid w:val="4C2B8ED9"/>
    <w:multiLevelType w:val="singleLevel"/>
    <w:tmpl w:val="4C2B8ED9"/>
    <w:lvl w:ilvl="0" w:tentative="0">
      <w:start w:val="1"/>
      <w:numFmt w:val="decimal"/>
      <w:lvlText w:val="（%1）"/>
      <w:lvlJc w:val="left"/>
      <w:pPr>
        <w:tabs>
          <w:tab w:val="left" w:pos="420"/>
        </w:tabs>
        <w:ind w:left="425" w:leftChars="0" w:hanging="425" w:firstLineChars="0"/>
      </w:pPr>
      <w:rPr>
        <w:rFonts w:hint="default"/>
      </w:rPr>
    </w:lvl>
  </w:abstractNum>
  <w:abstractNum w:abstractNumId="13">
    <w:nsid w:val="547EAD90"/>
    <w:multiLevelType w:val="singleLevel"/>
    <w:tmpl w:val="547EAD90"/>
    <w:lvl w:ilvl="0" w:tentative="0">
      <w:start w:val="2"/>
      <w:numFmt w:val="decimal"/>
      <w:suff w:val="nothing"/>
      <w:lvlText w:val="%1、"/>
      <w:lvlJc w:val="left"/>
    </w:lvl>
  </w:abstractNum>
  <w:abstractNum w:abstractNumId="14">
    <w:nsid w:val="58A51115"/>
    <w:multiLevelType w:val="singleLevel"/>
    <w:tmpl w:val="58A51115"/>
    <w:lvl w:ilvl="0" w:tentative="0">
      <w:start w:val="2"/>
      <w:numFmt w:val="decimal"/>
      <w:suff w:val="nothing"/>
      <w:lvlText w:val="（%1）"/>
      <w:lvlJc w:val="left"/>
    </w:lvl>
  </w:abstractNum>
  <w:abstractNum w:abstractNumId="15">
    <w:nsid w:val="5F4B10C3"/>
    <w:multiLevelType w:val="singleLevel"/>
    <w:tmpl w:val="5F4B10C3"/>
    <w:lvl w:ilvl="0" w:tentative="0">
      <w:start w:val="2"/>
      <w:numFmt w:val="decimal"/>
      <w:suff w:val="nothing"/>
      <w:lvlText w:val="%1、"/>
      <w:lvlJc w:val="left"/>
    </w:lvl>
  </w:abstractNum>
  <w:num w:numId="1">
    <w:abstractNumId w:val="13"/>
  </w:num>
  <w:num w:numId="2">
    <w:abstractNumId w:val="1"/>
  </w:num>
  <w:num w:numId="3">
    <w:abstractNumId w:val="0"/>
  </w:num>
  <w:num w:numId="4">
    <w:abstractNumId w:val="3"/>
  </w:num>
  <w:num w:numId="5">
    <w:abstractNumId w:val="5"/>
  </w:num>
  <w:num w:numId="6">
    <w:abstractNumId w:val="6"/>
  </w:num>
  <w:num w:numId="7">
    <w:abstractNumId w:val="4"/>
  </w:num>
  <w:num w:numId="8">
    <w:abstractNumId w:val="8"/>
  </w:num>
  <w:num w:numId="9">
    <w:abstractNumId w:val="2"/>
  </w:num>
  <w:num w:numId="10">
    <w:abstractNumId w:val="11"/>
  </w:num>
  <w:num w:numId="11">
    <w:abstractNumId w:val="7"/>
  </w:num>
  <w:num w:numId="12">
    <w:abstractNumId w:val="15"/>
  </w:num>
  <w:num w:numId="13">
    <w:abstractNumId w:val="14"/>
  </w:num>
  <w:num w:numId="14">
    <w:abstractNumId w:val="12"/>
  </w:num>
  <w:num w:numId="15">
    <w:abstractNumId w:val="10"/>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3043"/>
    <w:rsid w:val="004C602C"/>
    <w:rsid w:val="006F045A"/>
    <w:rsid w:val="009F2B8E"/>
    <w:rsid w:val="00DC3043"/>
    <w:rsid w:val="02074E8B"/>
    <w:rsid w:val="033F1209"/>
    <w:rsid w:val="042D71F9"/>
    <w:rsid w:val="07797F74"/>
    <w:rsid w:val="077E1A2C"/>
    <w:rsid w:val="08F301FA"/>
    <w:rsid w:val="0AA03A6A"/>
    <w:rsid w:val="0CFD33F5"/>
    <w:rsid w:val="0DC237C2"/>
    <w:rsid w:val="0F517D31"/>
    <w:rsid w:val="0F827BE2"/>
    <w:rsid w:val="12D962CE"/>
    <w:rsid w:val="180C6BE2"/>
    <w:rsid w:val="1B5767D9"/>
    <w:rsid w:val="1C024667"/>
    <w:rsid w:val="1F3A4035"/>
    <w:rsid w:val="222B5EB7"/>
    <w:rsid w:val="22DC0E5B"/>
    <w:rsid w:val="22EA6701"/>
    <w:rsid w:val="23A81EB5"/>
    <w:rsid w:val="27514612"/>
    <w:rsid w:val="2A166164"/>
    <w:rsid w:val="304F1CF6"/>
    <w:rsid w:val="308109CF"/>
    <w:rsid w:val="32931F82"/>
    <w:rsid w:val="32DD65FC"/>
    <w:rsid w:val="33A53280"/>
    <w:rsid w:val="33F20621"/>
    <w:rsid w:val="351C2B6C"/>
    <w:rsid w:val="355C2EE9"/>
    <w:rsid w:val="37594291"/>
    <w:rsid w:val="381E409C"/>
    <w:rsid w:val="3AB74334"/>
    <w:rsid w:val="3CB70FF9"/>
    <w:rsid w:val="3FAE21A9"/>
    <w:rsid w:val="42CB3072"/>
    <w:rsid w:val="44550E45"/>
    <w:rsid w:val="4C1E0D80"/>
    <w:rsid w:val="4C4C7B57"/>
    <w:rsid w:val="4C6D12A7"/>
    <w:rsid w:val="4D714281"/>
    <w:rsid w:val="4E57204B"/>
    <w:rsid w:val="4F6A565C"/>
    <w:rsid w:val="52C2175F"/>
    <w:rsid w:val="541966E7"/>
    <w:rsid w:val="564055C8"/>
    <w:rsid w:val="57EF5966"/>
    <w:rsid w:val="587730B5"/>
    <w:rsid w:val="591A7788"/>
    <w:rsid w:val="59200B25"/>
    <w:rsid w:val="5D891708"/>
    <w:rsid w:val="5E6C3923"/>
    <w:rsid w:val="5FBD6E30"/>
    <w:rsid w:val="6106379C"/>
    <w:rsid w:val="63696F02"/>
    <w:rsid w:val="67160932"/>
    <w:rsid w:val="687F02CF"/>
    <w:rsid w:val="698740FE"/>
    <w:rsid w:val="726E07EC"/>
    <w:rsid w:val="7389563B"/>
    <w:rsid w:val="744419FD"/>
    <w:rsid w:val="75194ECA"/>
    <w:rsid w:val="76EA2DC0"/>
    <w:rsid w:val="7C353443"/>
    <w:rsid w:val="7CCF0A8E"/>
    <w:rsid w:val="7D4452C6"/>
    <w:rsid w:val="7D457A5A"/>
    <w:rsid w:val="7FA94FA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7">
    <w:name w:val="页眉 Char"/>
    <w:basedOn w:val="6"/>
    <w:link w:val="3"/>
    <w:qFormat/>
    <w:uiPriority w:val="99"/>
    <w:rPr>
      <w:sz w:val="18"/>
      <w:szCs w:val="18"/>
    </w:rPr>
  </w:style>
  <w:style w:type="character" w:customStyle="1" w:styleId="8">
    <w:name w:val="页脚 Char"/>
    <w:basedOn w:val="6"/>
    <w:link w:val="2"/>
    <w:qFormat/>
    <w:uiPriority w:val="99"/>
    <w:rPr>
      <w:sz w:val="18"/>
      <w:szCs w:val="18"/>
    </w:rPr>
  </w:style>
  <w:style w:type="paragraph" w:customStyle="1" w:styleId="9">
    <w:name w:val="一级条标题"/>
    <w:basedOn w:val="1"/>
    <w:next w:val="10"/>
    <w:qFormat/>
    <w:uiPriority w:val="0"/>
    <w:pPr>
      <w:widowControl/>
      <w:outlineLvl w:val="2"/>
    </w:pPr>
    <w:rPr>
      <w:rFonts w:ascii="黑体" w:hAnsi="Times New Roman" w:eastAsia="黑体" w:cs="Times New Roman"/>
      <w:kern w:val="0"/>
      <w:szCs w:val="20"/>
    </w:rPr>
  </w:style>
  <w:style w:type="paragraph" w:customStyle="1" w:styleId="10">
    <w:name w:val="段"/>
    <w:qFormat/>
    <w:uiPriority w:val="99"/>
    <w:pPr>
      <w:autoSpaceDE w:val="0"/>
      <w:autoSpaceDN w:val="0"/>
      <w:ind w:firstLine="200" w:firstLineChars="200"/>
      <w:jc w:val="both"/>
    </w:pPr>
    <w:rPr>
      <w:rFonts w:ascii="宋体" w:hAnsi="Times New Roman" w:eastAsia="宋体" w:cs="Times New Roman"/>
      <w:kern w:val="0"/>
      <w:sz w:val="21"/>
      <w:szCs w:val="20"/>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3.wmf"/><Relationship Id="rId8" Type="http://schemas.openxmlformats.org/officeDocument/2006/relationships/oleObject" Target="embeddings/oleObject3.bin"/><Relationship Id="rId7" Type="http://schemas.openxmlformats.org/officeDocument/2006/relationships/image" Target="media/image2.wmf"/><Relationship Id="rId6" Type="http://schemas.openxmlformats.org/officeDocument/2006/relationships/oleObject" Target="embeddings/oleObject2.bin"/><Relationship Id="rId5" Type="http://schemas.openxmlformats.org/officeDocument/2006/relationships/image" Target="media/image1.wmf"/><Relationship Id="rId4" Type="http://schemas.openxmlformats.org/officeDocument/2006/relationships/oleObject" Target="embeddings/oleObject1.bin"/><Relationship Id="rId3"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6.png"/><Relationship Id="rId12" Type="http://schemas.openxmlformats.org/officeDocument/2006/relationships/image" Target="media/image5.jpeg"/><Relationship Id="rId11" Type="http://schemas.openxmlformats.org/officeDocument/2006/relationships/image" Target="media/image4.wmf"/><Relationship Id="rId10" Type="http://schemas.openxmlformats.org/officeDocument/2006/relationships/oleObject" Target="embeddings/oleObject4.bin"/><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47</Pages>
  <Words>21587</Words>
  <Characters>35386</Characters>
  <Lines>1</Lines>
  <Paragraphs>1</Paragraphs>
  <TotalTime>7</TotalTime>
  <ScaleCrop>false</ScaleCrop>
  <LinksUpToDate>false</LinksUpToDate>
  <CharactersWithSpaces>38023</CharactersWithSpaces>
  <Application>WPS Office_11.8.2.8555_F1E327BC-269C-435d-A152-05C5408002CA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2021-07-27T03:38:00Z</dcterms:created>
  <dc:creator>China</dc:creator>
  <cp:lastModifiedBy>1</cp:lastModifiedBy>
  <dcterms:modified xsi:type="dcterms:W3CDTF">2026-06-05T09:50:53Z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2052-11.8.2.8555</vt:lpwstr>
  </property>
  <property fmtid="{D5CDD505-2E9C-101B-9397-08002B2CF9AE}" pid="3" name="ICV">
    <vt:lpwstr>F46869B191504FC49A4ED61342072340_13</vt:lpwstr>
  </property>
  <property fmtid="{D5CDD505-2E9C-101B-9397-08002B2CF9AE}" pid="4" name="KSOTemplateDocerSaveRecord">
    <vt:lpwstr>eyJoZGlkIjoiZDE0OGFiY2IyOGFkZjVmZjAyOTAyMjE0ZTMxNDFkNWYiLCJ1c2VySWQiOiIzNDA4Njg4NjMifQ==</vt:lpwstr>
  </property>
</Properties>
</file>