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1"/>
        <w:framePr w:hSpace="0" w:vSpace="0" w:wrap="auto" w:vAnchor="margin" w:hAnchor="text" w:yAlign="inline"/>
        <w:ind w:left="5460" w:hanging="5460" w:hangingChars="2600"/>
        <w:rPr>
          <w:rFonts w:hint="default" w:ascii="黑体"/>
          <w:szCs w:val="21"/>
          <w:lang w:val="en-US" w:eastAsia="zh-CN"/>
        </w:rPr>
      </w:pPr>
      <w:r>
        <w:rPr>
          <w:rFonts w:hint="eastAsia" w:ascii="黑体"/>
          <w:szCs w:val="21"/>
        </w:rPr>
        <w:t>ICS号</w:t>
      </w:r>
      <w:r>
        <w:rPr>
          <w:rFonts w:hint="eastAsia" w:ascii="黑体"/>
          <w:szCs w:val="21"/>
          <w:lang w:val="en-US" w:eastAsia="zh-CN"/>
        </w:rPr>
        <w:t xml:space="preserve">                                 </w:t>
      </w:r>
    </w:p>
    <w:p>
      <w:pPr>
        <w:pStyle w:val="41"/>
        <w:framePr w:hSpace="0" w:vSpace="0" w:wrap="auto" w:vAnchor="margin" w:hAnchor="text" w:yAlign="inline"/>
        <w:ind w:left="5460" w:hanging="5460" w:hangingChars="2600"/>
        <w:rPr>
          <w:rFonts w:hint="default" w:ascii="黑体" w:eastAsia="黑体"/>
          <w:sz w:val="72"/>
          <w:szCs w:val="72"/>
          <w:lang w:val="en-US" w:eastAsia="zh-CN"/>
        </w:rPr>
      </w:pPr>
      <w:r>
        <w:rPr>
          <w:rFonts w:hint="eastAsia" w:ascii="黑体"/>
          <w:szCs w:val="21"/>
        </w:rPr>
        <w:t>中国标准文献分类号</w:t>
      </w:r>
      <w:r>
        <w:rPr>
          <w:rFonts w:hint="eastAsia" w:ascii="黑体"/>
          <w:szCs w:val="21"/>
          <w:lang w:val="en-US" w:eastAsia="zh-CN"/>
        </w:rPr>
        <w:t xml:space="preserve">                                </w:t>
      </w:r>
      <w:r>
        <w:rPr>
          <w:rFonts w:hint="eastAsia"/>
          <w:w w:val="130"/>
          <w:sz w:val="72"/>
          <w:szCs w:val="72"/>
        </w:rPr>
        <w:t>T/CAB</w:t>
      </w:r>
      <w:r>
        <w:rPr>
          <w:rFonts w:hint="eastAsia" w:ascii="黑体"/>
          <w:szCs w:val="21"/>
          <w:lang w:val="en-US" w:eastAsia="zh-CN"/>
        </w:rPr>
        <w:t xml:space="preserve">                                </w:t>
      </w:r>
      <w:r>
        <w:rPr>
          <w:rFonts w:hint="eastAsia" w:ascii="黑体"/>
          <w:sz w:val="52"/>
          <w:szCs w:val="52"/>
          <w:lang w:val="en-US" w:eastAsia="zh-CN"/>
        </w:rPr>
        <w:t xml:space="preserve"> </w:t>
      </w:r>
    </w:p>
    <w:p>
      <w:pPr>
        <w:pStyle w:val="41"/>
        <w:framePr w:hSpace="0" w:vSpace="0" w:wrap="auto" w:vAnchor="margin" w:hAnchor="text" w:yAlign="inline"/>
        <w:rPr>
          <w:rFonts w:hint="default" w:ascii="黑体" w:eastAsia="黑体"/>
          <w:szCs w:val="21"/>
          <w:lang w:val="en-US" w:eastAsia="zh-CN"/>
        </w:rPr>
      </w:pPr>
      <w:r>
        <w:rPr>
          <w:rFonts w:hint="eastAsia" w:ascii="黑体"/>
          <w:szCs w:val="21"/>
          <w:lang w:val="en-US" w:eastAsia="zh-CN"/>
        </w:rPr>
        <w:t xml:space="preserve">                               </w:t>
      </w:r>
    </w:p>
    <w:p>
      <w:pPr>
        <w:pStyle w:val="41"/>
        <w:framePr w:hSpace="0" w:vSpace="0" w:wrap="auto" w:vAnchor="margin" w:hAnchor="text" w:yAlign="inline"/>
        <w:rPr>
          <w:rFonts w:ascii="黑体"/>
        </w:rPr>
      </w:pPr>
    </w:p>
    <w:p>
      <w:pPr>
        <w:pStyle w:val="41"/>
        <w:framePr w:hSpace="0" w:vSpace="0" w:wrap="auto" w:vAnchor="margin" w:hAnchor="text" w:yAlign="inline"/>
        <w:rPr>
          <w:rFonts w:ascii="黑体"/>
        </w:rPr>
      </w:pPr>
    </w:p>
    <w:p>
      <w:pPr>
        <w:pStyle w:val="49"/>
        <w:framePr w:h="899" w:hRule="exact" w:x="1393" w:y="3236"/>
        <w:spacing w:before="120" w:after="120"/>
        <w:jc w:val="both"/>
        <w:rPr>
          <w:rFonts w:ascii="黑体" w:hAnsi="黑体" w:eastAsia="黑体"/>
          <w:b w:val="0"/>
          <w:bCs w:val="0"/>
          <w:w w:val="100"/>
          <w:sz w:val="52"/>
          <w:szCs w:val="52"/>
        </w:rPr>
      </w:pPr>
      <w:r>
        <w:rPr>
          <w:rFonts w:ascii="黑体" w:eastAsia="黑体"/>
          <w:b w:val="0"/>
          <w:spacing w:val="80"/>
          <w:w w:val="100"/>
          <w:kern w:val="0"/>
          <w:sz w:val="52"/>
          <w:szCs w:val="52"/>
          <w:fitText w:val="9360" w:id="663504080"/>
        </w:rPr>
        <w:t>中国产学研合作促进会</w:t>
      </w:r>
      <w:r>
        <w:rPr>
          <w:rFonts w:hint="eastAsia" w:ascii="黑体" w:eastAsia="黑体"/>
          <w:b w:val="0"/>
          <w:spacing w:val="80"/>
          <w:w w:val="100"/>
          <w:kern w:val="0"/>
          <w:sz w:val="52"/>
          <w:szCs w:val="52"/>
          <w:fitText w:val="9360" w:id="663504080"/>
        </w:rPr>
        <w:t>团体</w:t>
      </w:r>
      <w:r>
        <w:rPr>
          <w:rFonts w:hint="eastAsia" w:ascii="黑体" w:hAnsi="黑体" w:eastAsia="黑体"/>
          <w:b w:val="0"/>
          <w:bCs w:val="0"/>
          <w:spacing w:val="80"/>
          <w:w w:val="100"/>
          <w:kern w:val="0"/>
          <w:sz w:val="52"/>
          <w:szCs w:val="52"/>
          <w:fitText w:val="9360" w:id="663504080"/>
        </w:rPr>
        <w:t>标</w:t>
      </w:r>
      <w:r>
        <w:rPr>
          <w:rFonts w:hint="eastAsia" w:ascii="黑体" w:hAnsi="黑体" w:eastAsia="黑体"/>
          <w:b w:val="0"/>
          <w:bCs w:val="0"/>
          <w:spacing w:val="0"/>
          <w:w w:val="100"/>
          <w:kern w:val="0"/>
          <w:sz w:val="52"/>
          <w:szCs w:val="52"/>
          <w:fitText w:val="9360" w:id="663504080"/>
        </w:rPr>
        <w:t>准</w:t>
      </w:r>
    </w:p>
    <w:p>
      <w:pPr>
        <w:pStyle w:val="40"/>
        <w:spacing w:before="0"/>
        <w:rPr>
          <w:rFonts w:eastAsia="黑体"/>
          <w:szCs w:val="28"/>
        </w:rPr>
      </w:pPr>
      <w:r>
        <w:rPr>
          <w:rFonts w:hint="eastAsia" w:eastAsia="黑体"/>
          <w:szCs w:val="28"/>
          <w:lang w:val="en-US" w:eastAsia="zh-CN"/>
        </w:rPr>
        <w:t xml:space="preserve">     </w:t>
      </w:r>
      <w:r>
        <w:rPr>
          <w:rFonts w:eastAsia="黑体"/>
          <w:szCs w:val="28"/>
        </w:rPr>
        <w:t>T/ CAB XXXX—20XX</w:t>
      </w:r>
    </w:p>
    <w:p>
      <w:pPr>
        <w:pStyle w:val="40"/>
        <w:spacing w:before="0"/>
        <w:rPr>
          <w:rFonts w:ascii="宋体" w:hAnsi="宋体" w:eastAsia="宋体"/>
          <w:lang w:val="fr-FR"/>
        </w:rPr>
      </w:pPr>
      <w:r>
        <w:rPr>
          <w:rFonts w:ascii="宋体" w:hAnsi="宋体"/>
          <w:sz w:val="20"/>
        </w:rPr>
        <mc:AlternateContent>
          <mc:Choice Requires="wps">
            <w:drawing>
              <wp:anchor distT="0" distB="0" distL="114300" distR="114300" simplePos="0" relativeHeight="251659264" behindDoc="0" locked="0" layoutInCell="1" allowOverlap="1">
                <wp:simplePos x="0" y="0"/>
                <wp:positionH relativeFrom="margin">
                  <wp:posOffset>-295275</wp:posOffset>
                </wp:positionH>
                <wp:positionV relativeFrom="paragraph">
                  <wp:posOffset>48895</wp:posOffset>
                </wp:positionV>
                <wp:extent cx="5988050" cy="10160"/>
                <wp:effectExtent l="0" t="9525" r="12700" b="18415"/>
                <wp:wrapNone/>
                <wp:docPr id="32" name="直接连接符 32"/>
                <wp:cNvGraphicFramePr/>
                <a:graphic xmlns:a="http://schemas.openxmlformats.org/drawingml/2006/main">
                  <a:graphicData uri="http://schemas.microsoft.com/office/word/2010/wordprocessingShape">
                    <wps:wsp>
                      <wps:cNvCnPr>
                        <a:cxnSpLocks noChangeShapeType="1"/>
                      </wps:cNvCnPr>
                      <wps:spPr bwMode="auto">
                        <a:xfrm>
                          <a:off x="0" y="0"/>
                          <a:ext cx="5988050" cy="1016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margin-left:-23.25pt;margin-top:3.85pt;height:0.8pt;width:471.5pt;mso-position-horizontal-relative:margin;z-index:251659264;mso-width-relative:page;mso-height-relative:page;" filled="f" stroked="t" coordsize="21600,21600" o:gfxdata="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BqWyzB1QAAAAcBAAAPAAAAAAAAAAEAIAAAACIAAABkcnMv&#10;ZG93bnJldi54bWxQSwECFAAUAAAACACHTuJASGSMZs0BAABjAwAADgAAAAAAAAABACAAAAAkAQAA&#10;ZHJzL2Uyb0RvYy54bWxQSwUGAAAAAAYABgBZAQAAYwUAAAAA&#10;">
                <v:fill on="f" focussize="0,0"/>
                <v:stroke weight="1.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eastAsia" w:ascii="黑体" w:hAnsi="黑体" w:eastAsia="黑体" w:cs="黑体"/>
          <w:b w:val="0"/>
          <w:bCs w:val="0"/>
          <w:sz w:val="52"/>
          <w:szCs w:val="52"/>
          <w:lang w:val="en-US" w:eastAsia="zh-CN"/>
        </w:rPr>
      </w:pPr>
      <w:r>
        <w:rPr>
          <w:rFonts w:hint="eastAsia" w:ascii="黑体" w:hAnsi="黑体" w:eastAsia="黑体" w:cs="黑体"/>
          <w:b w:val="0"/>
          <w:bCs w:val="0"/>
          <w:sz w:val="52"/>
          <w:szCs w:val="52"/>
          <w:lang w:val="en-US" w:eastAsia="zh-CN"/>
        </w:rPr>
        <w:t>原位热解模拟法测定富油煤</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9"/>
        <w:rPr>
          <w:rFonts w:hint="eastAsia" w:ascii="黑体" w:hAnsi="黑体" w:eastAsia="黑体" w:cs="黑体"/>
          <w:b w:val="0"/>
          <w:bCs w:val="0"/>
          <w:sz w:val="52"/>
          <w:szCs w:val="52"/>
          <w:lang w:val="en-US" w:eastAsia="zh-CN"/>
        </w:rPr>
      </w:pPr>
      <w:r>
        <w:rPr>
          <w:rFonts w:hint="eastAsia" w:ascii="黑体" w:hAnsi="黑体" w:eastAsia="黑体" w:cs="黑体"/>
          <w:b w:val="0"/>
          <w:bCs w:val="0"/>
          <w:sz w:val="52"/>
          <w:szCs w:val="52"/>
          <w:lang w:val="en-US" w:eastAsia="zh-CN"/>
        </w:rPr>
        <w:t>焦油产率技术规范</w:t>
      </w:r>
    </w:p>
    <w:p>
      <w:pPr>
        <w:pStyle w:val="32"/>
        <w:spacing w:before="156" w:beforeLines="50" w:line="360" w:lineRule="auto"/>
        <w:ind w:left="0" w:leftChars="0" w:right="-94" w:rightChars="0" w:firstLine="0" w:firstLineChars="0"/>
        <w:jc w:val="center"/>
        <w:rPr>
          <w:lang w:val="fr-FR"/>
        </w:rPr>
      </w:pPr>
      <w:r>
        <w:rPr>
          <w:rFonts w:hint="eastAsia" w:ascii="黑体" w:hAnsi="黑体" w:eastAsia="黑体" w:cs="黑体"/>
          <w:b w:val="0"/>
          <w:bCs w:val="0"/>
          <w:sz w:val="28"/>
          <w:szCs w:val="28"/>
          <w:lang w:val="en-US" w:eastAsia="zh-CN"/>
        </w:rPr>
        <w:t xml:space="preserve">Technical </w:t>
      </w:r>
      <w:r>
        <w:rPr>
          <w:rFonts w:hint="eastAsia" w:ascii="黑体" w:hAnsi="黑体" w:cs="黑体"/>
          <w:b w:val="0"/>
          <w:bCs w:val="0"/>
          <w:sz w:val="28"/>
          <w:szCs w:val="28"/>
          <w:lang w:val="en-US" w:eastAsia="zh-CN"/>
        </w:rPr>
        <w:t>s</w:t>
      </w:r>
      <w:r>
        <w:rPr>
          <w:rFonts w:hint="eastAsia" w:ascii="黑体" w:hAnsi="黑体" w:eastAsia="黑体" w:cs="黑体"/>
          <w:b w:val="0"/>
          <w:bCs w:val="0"/>
          <w:sz w:val="28"/>
          <w:szCs w:val="28"/>
          <w:lang w:val="en-US" w:eastAsia="zh-CN"/>
        </w:rPr>
        <w:t xml:space="preserve">pecification for </w:t>
      </w:r>
      <w:r>
        <w:rPr>
          <w:rFonts w:hint="eastAsia" w:ascii="黑体" w:hAnsi="黑体" w:cs="黑体"/>
          <w:b w:val="0"/>
          <w:bCs w:val="0"/>
          <w:sz w:val="28"/>
          <w:szCs w:val="28"/>
          <w:lang w:val="en-US" w:eastAsia="zh-CN"/>
        </w:rPr>
        <w:t>d</w:t>
      </w:r>
      <w:r>
        <w:rPr>
          <w:rFonts w:hint="eastAsia" w:ascii="黑体" w:hAnsi="黑体" w:eastAsia="黑体" w:cs="黑体"/>
          <w:b w:val="0"/>
          <w:bCs w:val="0"/>
          <w:sz w:val="28"/>
          <w:szCs w:val="28"/>
          <w:lang w:val="en-US" w:eastAsia="zh-CN"/>
        </w:rPr>
        <w:t xml:space="preserve">etermination of </w:t>
      </w:r>
      <w:r>
        <w:rPr>
          <w:rFonts w:hint="eastAsia" w:ascii="黑体" w:hAnsi="黑体" w:cs="黑体"/>
          <w:b w:val="0"/>
          <w:bCs w:val="0"/>
          <w:sz w:val="28"/>
          <w:szCs w:val="28"/>
          <w:lang w:val="en-US" w:eastAsia="zh-CN"/>
        </w:rPr>
        <w:t>t</w:t>
      </w:r>
      <w:r>
        <w:rPr>
          <w:rFonts w:hint="eastAsia" w:ascii="黑体" w:hAnsi="黑体" w:eastAsia="黑体" w:cs="黑体"/>
          <w:b w:val="0"/>
          <w:bCs w:val="0"/>
          <w:sz w:val="28"/>
          <w:szCs w:val="28"/>
          <w:lang w:val="en-US" w:eastAsia="zh-CN"/>
        </w:rPr>
        <w:t xml:space="preserve">ar </w:t>
      </w:r>
      <w:r>
        <w:rPr>
          <w:rFonts w:hint="eastAsia" w:ascii="黑体" w:hAnsi="黑体" w:cs="黑体"/>
          <w:b w:val="0"/>
          <w:bCs w:val="0"/>
          <w:sz w:val="28"/>
          <w:szCs w:val="28"/>
          <w:lang w:val="en-US" w:eastAsia="zh-CN"/>
        </w:rPr>
        <w:t>y</w:t>
      </w:r>
      <w:r>
        <w:rPr>
          <w:rFonts w:hint="eastAsia" w:ascii="黑体" w:hAnsi="黑体" w:eastAsia="黑体" w:cs="黑体"/>
          <w:b w:val="0"/>
          <w:bCs w:val="0"/>
          <w:sz w:val="28"/>
          <w:szCs w:val="28"/>
          <w:lang w:val="en-US" w:eastAsia="zh-CN"/>
        </w:rPr>
        <w:t xml:space="preserve">ield of </w:t>
      </w:r>
      <w:r>
        <w:rPr>
          <w:rFonts w:hint="eastAsia" w:ascii="黑体" w:hAnsi="黑体" w:cs="黑体"/>
          <w:b w:val="0"/>
          <w:bCs w:val="0"/>
          <w:sz w:val="28"/>
          <w:szCs w:val="28"/>
          <w:lang w:val="en-US" w:eastAsia="zh-CN"/>
        </w:rPr>
        <w:t>t</w:t>
      </w:r>
      <w:r>
        <w:rPr>
          <w:rFonts w:hint="eastAsia" w:ascii="黑体" w:hAnsi="黑体" w:eastAsia="黑体" w:cs="黑体"/>
          <w:b w:val="0"/>
          <w:bCs w:val="0"/>
          <w:sz w:val="28"/>
          <w:szCs w:val="28"/>
          <w:lang w:val="en-US" w:eastAsia="zh-CN"/>
        </w:rPr>
        <w:t xml:space="preserve">ar-rich </w:t>
      </w:r>
      <w:r>
        <w:rPr>
          <w:rFonts w:hint="eastAsia" w:ascii="黑体" w:hAnsi="黑体" w:cs="黑体"/>
          <w:b w:val="0"/>
          <w:bCs w:val="0"/>
          <w:sz w:val="28"/>
          <w:szCs w:val="28"/>
          <w:lang w:val="en-US" w:eastAsia="zh-CN"/>
        </w:rPr>
        <w:t>c</w:t>
      </w:r>
      <w:r>
        <w:rPr>
          <w:rFonts w:hint="eastAsia" w:ascii="黑体" w:hAnsi="黑体" w:eastAsia="黑体" w:cs="黑体"/>
          <w:b w:val="0"/>
          <w:bCs w:val="0"/>
          <w:sz w:val="28"/>
          <w:szCs w:val="28"/>
          <w:lang w:val="en-US" w:eastAsia="zh-CN"/>
        </w:rPr>
        <w:t xml:space="preserve">oal by </w:t>
      </w:r>
      <w:r>
        <w:rPr>
          <w:rFonts w:hint="eastAsia" w:ascii="黑体" w:hAnsi="黑体" w:cs="黑体"/>
          <w:b w:val="0"/>
          <w:bCs w:val="0"/>
          <w:sz w:val="28"/>
          <w:szCs w:val="28"/>
          <w:lang w:val="en-US" w:eastAsia="zh-CN"/>
        </w:rPr>
        <w:t>i</w:t>
      </w:r>
      <w:r>
        <w:rPr>
          <w:rFonts w:hint="eastAsia" w:ascii="黑体" w:hAnsi="黑体" w:eastAsia="黑体" w:cs="黑体"/>
          <w:b w:val="0"/>
          <w:bCs w:val="0"/>
          <w:sz w:val="28"/>
          <w:szCs w:val="28"/>
          <w:lang w:val="en-US" w:eastAsia="zh-CN"/>
        </w:rPr>
        <w:t xml:space="preserve">n-situ </w:t>
      </w:r>
      <w:r>
        <w:rPr>
          <w:rFonts w:hint="eastAsia" w:ascii="黑体" w:hAnsi="黑体" w:cs="黑体"/>
          <w:b w:val="0"/>
          <w:bCs w:val="0"/>
          <w:sz w:val="28"/>
          <w:szCs w:val="28"/>
          <w:lang w:val="en-US" w:eastAsia="zh-CN"/>
        </w:rPr>
        <w:t>p</w:t>
      </w:r>
      <w:r>
        <w:rPr>
          <w:rFonts w:hint="eastAsia" w:ascii="黑体" w:hAnsi="黑体" w:eastAsia="黑体" w:cs="黑体"/>
          <w:b w:val="0"/>
          <w:bCs w:val="0"/>
          <w:sz w:val="28"/>
          <w:szCs w:val="28"/>
          <w:lang w:val="en-US" w:eastAsia="zh-CN"/>
        </w:rPr>
        <w:t xml:space="preserve">yrolysis </w:t>
      </w:r>
      <w:r>
        <w:rPr>
          <w:rFonts w:hint="eastAsia" w:ascii="黑体" w:hAnsi="黑体" w:cs="黑体"/>
          <w:b w:val="0"/>
          <w:bCs w:val="0"/>
          <w:sz w:val="28"/>
          <w:szCs w:val="28"/>
          <w:lang w:val="en-US" w:eastAsia="zh-CN"/>
        </w:rPr>
        <w:t>s</w:t>
      </w:r>
      <w:r>
        <w:rPr>
          <w:rFonts w:hint="eastAsia" w:ascii="黑体" w:hAnsi="黑体" w:eastAsia="黑体" w:cs="黑体"/>
          <w:b w:val="0"/>
          <w:bCs w:val="0"/>
          <w:sz w:val="28"/>
          <w:szCs w:val="28"/>
          <w:lang w:val="en-US" w:eastAsia="zh-CN"/>
        </w:rPr>
        <w:t xml:space="preserve">imulation </w:t>
      </w:r>
      <w:r>
        <w:rPr>
          <w:rFonts w:hint="eastAsia" w:ascii="黑体" w:hAnsi="黑体" w:cs="黑体"/>
          <w:b w:val="0"/>
          <w:bCs w:val="0"/>
          <w:sz w:val="28"/>
          <w:szCs w:val="28"/>
          <w:lang w:val="en-US" w:eastAsia="zh-CN"/>
        </w:rPr>
        <w:t>m</w:t>
      </w:r>
      <w:r>
        <w:rPr>
          <w:rFonts w:hint="eastAsia" w:ascii="黑体" w:hAnsi="黑体" w:eastAsia="黑体" w:cs="黑体"/>
          <w:b w:val="0"/>
          <w:bCs w:val="0"/>
          <w:sz w:val="28"/>
          <w:szCs w:val="28"/>
          <w:lang w:val="en-US" w:eastAsia="zh-CN"/>
        </w:rPr>
        <w:t>ethod</w:t>
      </w:r>
    </w:p>
    <w:p>
      <w:pPr>
        <w:pStyle w:val="45"/>
        <w:spacing w:line="360" w:lineRule="auto"/>
        <w:jc w:val="both"/>
        <w:rPr>
          <w:lang w:val="fr-FR"/>
        </w:rPr>
      </w:pPr>
    </w:p>
    <w:p>
      <w:pPr>
        <w:pStyle w:val="45"/>
        <w:spacing w:line="360" w:lineRule="auto"/>
        <w:jc w:val="center"/>
        <w:rPr>
          <w:rFonts w:hint="default" w:eastAsia="黑体"/>
          <w:sz w:val="28"/>
          <w:szCs w:val="28"/>
          <w:lang w:val="en-US" w:eastAsia="zh-CN"/>
        </w:rPr>
      </w:pPr>
      <w:r>
        <w:rPr>
          <w:rFonts w:hint="eastAsia"/>
          <w:sz w:val="28"/>
          <w:szCs w:val="28"/>
          <w:lang w:val="en-US" w:eastAsia="zh-CN"/>
        </w:rPr>
        <w:t>（征求意见稿）</w:t>
      </w:r>
    </w:p>
    <w:p>
      <w:pPr>
        <w:pStyle w:val="45"/>
        <w:spacing w:line="360" w:lineRule="auto"/>
        <w:rPr>
          <w:rFonts w:hint="eastAsia" w:ascii="宋体" w:hAnsi="宋体" w:eastAsia="宋体" w:cs="宋体"/>
          <w:sz w:val="24"/>
          <w:szCs w:val="24"/>
          <w:lang w:val="fr-FR"/>
        </w:rPr>
      </w:pPr>
      <w:r>
        <w:rPr>
          <w:rFonts w:hint="eastAsia" w:ascii="宋体" w:hAnsi="宋体" w:eastAsia="宋体" w:cs="宋体"/>
          <w:sz w:val="24"/>
          <w:szCs w:val="24"/>
        </w:rPr>
        <w:t>(在提交反馈意见时，请将您提交的专利连同政策性文件一并附上)</w:t>
      </w:r>
    </w:p>
    <w:p>
      <w:pPr>
        <w:pStyle w:val="45"/>
        <w:spacing w:line="360" w:lineRule="auto"/>
        <w:jc w:val="both"/>
        <w:rPr>
          <w:lang w:val="fr-FR"/>
        </w:rPr>
      </w:pPr>
    </w:p>
    <w:p>
      <w:pPr>
        <w:pStyle w:val="45"/>
        <w:spacing w:line="360" w:lineRule="auto"/>
        <w:jc w:val="both"/>
        <w:rPr>
          <w:lang w:val="fr-FR"/>
        </w:rPr>
      </w:pPr>
    </w:p>
    <w:p>
      <w:pPr>
        <w:pStyle w:val="45"/>
        <w:spacing w:line="360" w:lineRule="auto"/>
      </w:pPr>
      <w:r>
        <w:rPr>
          <w:rFonts w:ascii="Times New Roman"/>
          <w:spacing w:val="0"/>
        </w:rPr>
        <mc:AlternateContent>
          <mc:Choice Requires="wps">
            <w:drawing>
              <wp:anchor distT="0" distB="0" distL="114300" distR="114300" simplePos="0" relativeHeight="251660288" behindDoc="0" locked="0" layoutInCell="1" allowOverlap="1">
                <wp:simplePos x="0" y="0"/>
                <wp:positionH relativeFrom="margin">
                  <wp:posOffset>-120650</wp:posOffset>
                </wp:positionH>
                <wp:positionV relativeFrom="paragraph">
                  <wp:posOffset>370840</wp:posOffset>
                </wp:positionV>
                <wp:extent cx="5486400" cy="0"/>
                <wp:effectExtent l="0" t="0" r="19050" b="190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54864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9.5pt;margin-top:29.2pt;height:0pt;width:432pt;mso-position-horizontal-relative:margin;z-index:251660288;mso-width-relative:page;mso-height-relative:page;" filled="f" stroked="t" coordsize="21600,21600" o:gfxdata="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iHZR4tcAAAAJAQAADwAAAAAAAAABACAAAAAiAAAAZHJzL2Rv&#10;d25yZXYueG1sUEsBAhQAFAAAAAgAh07iQHaTEYjJAQAAXAMAAA4AAAAAAAAAAQAgAAAAJgEAAGRy&#10;cy9lMm9Eb2MueG1sUEsFBgAAAAAGAAYAWQEAAGEFAAAAAA==&#10;">
                <v:fill on="f" focussize="0,0"/>
                <v:stroke color="#000000" joinstyle="round"/>
                <v:imagedata o:title=""/>
                <o:lock v:ext="edit" aspectratio="f"/>
              </v:line>
            </w:pict>
          </mc:Fallback>
        </mc:AlternateContent>
      </w:r>
      <w:r>
        <w:rPr>
          <w:rFonts w:hint="eastAsia" w:ascii="Times New Roman"/>
          <w:spacing w:val="0"/>
        </w:rPr>
        <w:t>20</w:t>
      </w:r>
      <w:r>
        <w:rPr>
          <w:rFonts w:ascii="Times New Roman"/>
          <w:spacing w:val="0"/>
        </w:rPr>
        <w:t>XX</w:t>
      </w:r>
      <w:r>
        <w:rPr>
          <w:rFonts w:hint="eastAsia" w:ascii="Times New Roman"/>
          <w:spacing w:val="0"/>
        </w:rPr>
        <w:t>-</w:t>
      </w:r>
      <w:r>
        <w:rPr>
          <w:rFonts w:ascii="Times New Roman"/>
          <w:spacing w:val="0"/>
        </w:rPr>
        <w:t>XX</w:t>
      </w:r>
      <w:r>
        <w:rPr>
          <w:rFonts w:hint="eastAsia" w:ascii="Times New Roman"/>
          <w:spacing w:val="0"/>
        </w:rPr>
        <w:t>-</w:t>
      </w:r>
      <w:r>
        <w:rPr>
          <w:rFonts w:ascii="Times New Roman"/>
          <w:spacing w:val="0"/>
        </w:rPr>
        <w:t>XX</w:t>
      </w:r>
      <w:r>
        <w:rPr>
          <w:rFonts w:hint="eastAsia" w:ascii="Times New Roman"/>
          <w:spacing w:val="0"/>
        </w:rPr>
        <w:t>发布</w:t>
      </w:r>
      <w:r>
        <w:rPr>
          <w:rFonts w:hint="eastAsia"/>
          <w:lang w:val="fr-FR"/>
        </w:rPr>
        <w:t xml:space="preserve">                       </w:t>
      </w:r>
      <w:r>
        <w:rPr>
          <w:rFonts w:hint="eastAsia" w:ascii="Times New Roman"/>
          <w:spacing w:val="0"/>
        </w:rPr>
        <w:t>20</w:t>
      </w:r>
      <w:r>
        <w:rPr>
          <w:rFonts w:ascii="Times New Roman"/>
          <w:spacing w:val="0"/>
        </w:rPr>
        <w:t>XX</w:t>
      </w:r>
      <w:r>
        <w:rPr>
          <w:rFonts w:hint="eastAsia" w:ascii="Times New Roman"/>
          <w:spacing w:val="0"/>
        </w:rPr>
        <w:t>-</w:t>
      </w:r>
      <w:r>
        <w:rPr>
          <w:rFonts w:ascii="Times New Roman"/>
          <w:spacing w:val="0"/>
        </w:rPr>
        <w:t>XX</w:t>
      </w:r>
      <w:r>
        <w:rPr>
          <w:rFonts w:hint="eastAsia" w:ascii="Times New Roman"/>
          <w:spacing w:val="0"/>
        </w:rPr>
        <w:t>-</w:t>
      </w:r>
      <w:r>
        <w:rPr>
          <w:rFonts w:ascii="Times New Roman"/>
          <w:spacing w:val="0"/>
        </w:rPr>
        <w:t>XX</w:t>
      </w:r>
      <w:r>
        <w:rPr>
          <w:rFonts w:hint="eastAsia" w:ascii="Times New Roman"/>
          <w:spacing w:val="0"/>
        </w:rPr>
        <w:t>实施</w:t>
      </w:r>
    </w:p>
    <w:p>
      <w:pPr>
        <w:pStyle w:val="45"/>
        <w:spacing w:line="360" w:lineRule="auto"/>
        <w:rPr>
          <w:rFonts w:hAnsiTheme="minorHAnsi" w:cstheme="minorBidi"/>
          <w:spacing w:val="22"/>
          <w:kern w:val="2"/>
          <w:position w:val="3"/>
          <w:szCs w:val="22"/>
        </w:rPr>
      </w:pPr>
      <w:r>
        <w:rPr>
          <w:rFonts w:hint="eastAsia" w:ascii="宋体" w:hAnsi="宋体" w:eastAsia="宋体"/>
          <w:b/>
          <w:spacing w:val="60"/>
          <w:sz w:val="32"/>
        </w:rPr>
        <w:t>中国产学研合作促进会</w:t>
      </w:r>
      <w:r>
        <w:rPr>
          <w:rFonts w:hint="eastAsia" w:ascii="宋体" w:hAnsi="宋体" w:eastAsia="宋体"/>
          <w:b/>
          <w:spacing w:val="0"/>
          <w:sz w:val="32"/>
        </w:rPr>
        <w:t xml:space="preserve"> </w:t>
      </w:r>
      <w:r>
        <w:rPr>
          <w:rStyle w:val="38"/>
          <w:rFonts w:hint="eastAsia"/>
          <w:spacing w:val="85"/>
          <w:szCs w:val="28"/>
        </w:rPr>
        <w:t>发布</w:t>
      </w:r>
    </w:p>
    <w:p>
      <w:pPr>
        <w:sectPr>
          <w:footerReference r:id="rId3" w:type="default"/>
          <w:footerReference r:id="rId4" w:type="even"/>
          <w:pgSz w:w="11906" w:h="16838"/>
          <w:pgMar w:top="1440" w:right="1800" w:bottom="1440" w:left="1800" w:header="851" w:footer="992" w:gutter="0"/>
          <w:cols w:space="425" w:num="1"/>
          <w:titlePg/>
          <w:docGrid w:type="lines" w:linePitch="312" w:charSpace="0"/>
        </w:sectPr>
      </w:pPr>
    </w:p>
    <w:p/>
    <w:p/>
    <w:p/>
    <w:p/>
    <w:p/>
    <w:p/>
    <w:p/>
    <w:p/>
    <w:p/>
    <w:p/>
    <w:p/>
    <w:p/>
    <w:p/>
    <w:p/>
    <w:p/>
    <w:p/>
    <w:p/>
    <w:p/>
    <w:p/>
    <w:p/>
    <w:p/>
    <w:p/>
    <w:p/>
    <w:p/>
    <w:p/>
    <w:p/>
    <w:p>
      <w:pPr>
        <w:rPr>
          <w:rFonts w:ascii="宋体"/>
          <w:sz w:val="24"/>
          <w:szCs w:val="24"/>
        </w:rPr>
      </w:pPr>
      <w:r>
        <w:rPr>
          <w:rFonts w:ascii="宋体"/>
          <w:sz w:val="24"/>
          <w:szCs w:val="24"/>
        </w:rPr>
        <w:drawing>
          <wp:inline distT="0" distB="0" distL="0" distR="0">
            <wp:extent cx="803275" cy="762635"/>
            <wp:effectExtent l="0" t="0" r="0" b="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03275" cy="762635"/>
                    </a:xfrm>
                    <a:prstGeom prst="rect">
                      <a:avLst/>
                    </a:prstGeom>
                    <a:noFill/>
                    <a:ln>
                      <a:noFill/>
                    </a:ln>
                  </pic:spPr>
                </pic:pic>
              </a:graphicData>
            </a:graphic>
          </wp:inline>
        </w:drawing>
      </w:r>
      <w:r>
        <w:rPr>
          <w:rFonts w:ascii="宋体"/>
          <w:sz w:val="24"/>
          <w:szCs w:val="24"/>
        </w:rPr>
        <w:t xml:space="preserve"> </w:t>
      </w:r>
      <w:r>
        <w:rPr>
          <w:rFonts w:hint="eastAsia" w:ascii="宋体"/>
          <w:sz w:val="24"/>
          <w:szCs w:val="24"/>
        </w:rPr>
        <w:t>版权保护文件</w:t>
      </w:r>
    </w:p>
    <w:p>
      <w:pPr>
        <w:spacing w:before="156" w:beforeLines="50" w:after="156" w:afterLines="50"/>
        <w:rPr>
          <w:rFonts w:ascii="宋体"/>
          <w:sz w:val="24"/>
          <w:szCs w:val="24"/>
        </w:rPr>
        <w:sectPr>
          <w:headerReference r:id="rId5" w:type="default"/>
          <w:headerReference r:id="rId6" w:type="even"/>
          <w:pgSz w:w="11906" w:h="16838"/>
          <w:pgMar w:top="1440" w:right="1800" w:bottom="1440" w:left="1800" w:header="851" w:footer="992" w:gutter="0"/>
          <w:pgNumType w:start="1"/>
          <w:cols w:space="425" w:num="1"/>
          <w:docGrid w:type="lines" w:linePitch="312" w:charSpace="0"/>
        </w:sectPr>
      </w:pPr>
      <w:r>
        <w:rPr>
          <w:rFonts w:hint="eastAsia" w:ascii="宋体"/>
          <w:sz w:val="24"/>
          <w:szCs w:val="24"/>
        </w:rPr>
        <w:t>版权所有归属于该标准的发布机构。除非有其他规定，否则未经许可，此发行物及其章节不得以其他形式或任何手段进行复制、再版或使用，包括电子版，影印件，或发布在互联网及内部网络等。使用许可可于发布机构获取。</w:t>
      </w:r>
    </w:p>
    <w:p>
      <w:pPr>
        <w:spacing w:before="156" w:beforeLines="50" w:after="156" w:afterLines="50"/>
        <w:rPr>
          <w:rFonts w:ascii="宋体"/>
          <w:sz w:val="24"/>
          <w:szCs w:val="24"/>
        </w:rPr>
      </w:pPr>
    </w:p>
    <w:p>
      <w:pPr>
        <w:spacing w:before="312" w:beforeLines="100" w:after="312" w:afterLines="100" w:line="400" w:lineRule="exact"/>
        <w:jc w:val="center"/>
        <w:rPr>
          <w:rFonts w:ascii="黑体" w:eastAsia="黑体"/>
          <w:bCs/>
          <w:sz w:val="32"/>
          <w:szCs w:val="32"/>
        </w:rPr>
      </w:pPr>
      <w:r>
        <w:rPr>
          <w:rFonts w:hint="eastAsia" w:ascii="黑体" w:eastAsia="黑体"/>
          <w:bCs/>
          <w:sz w:val="32"/>
          <w:szCs w:val="32"/>
        </w:rPr>
        <w:t>目  次</w:t>
      </w:r>
    </w:p>
    <w:p>
      <w:pPr>
        <w:tabs>
          <w:tab w:val="right" w:leader="dot" w:pos="8810"/>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"_Toc493770476" </w:instrText>
      </w:r>
      <w:r>
        <w:rPr>
          <w:rFonts w:hint="eastAsia" w:ascii="宋体" w:hAnsi="宋体" w:eastAsia="宋体" w:cs="宋体"/>
        </w:rPr>
        <w:fldChar w:fldCharType="separate"/>
      </w:r>
      <w:r>
        <w:rPr>
          <w:rFonts w:hint="eastAsia" w:ascii="宋体" w:hAnsi="宋体" w:eastAsia="宋体" w:cs="宋体"/>
        </w:rPr>
        <w:t>前  言</w:t>
      </w:r>
      <w:r>
        <w:rPr>
          <w:rFonts w:hint="eastAsia" w:ascii="宋体" w:hAnsi="宋体" w:eastAsia="宋体" w:cs="宋体"/>
        </w:rPr>
        <w:tab/>
      </w:r>
      <w:r>
        <w:rPr>
          <w:rFonts w:hint="eastAsia" w:ascii="宋体" w:hAnsi="宋体" w:eastAsia="宋体" w:cs="宋体"/>
        </w:rPr>
        <w:t>I</w:t>
      </w:r>
      <w:r>
        <w:rPr>
          <w:rFonts w:hint="eastAsia" w:ascii="宋体" w:hAnsi="宋体" w:eastAsia="宋体" w:cs="宋体"/>
        </w:rPr>
        <w:fldChar w:fldCharType="end"/>
      </w:r>
    </w:p>
    <w:p>
      <w:pPr>
        <w:tabs>
          <w:tab w:val="right" w:leader="dot" w:pos="8810"/>
        </w:tabs>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"_Toc493770477" </w:instrText>
      </w:r>
      <w:r>
        <w:rPr>
          <w:rFonts w:hint="eastAsia" w:ascii="宋体" w:hAnsi="宋体" w:eastAsia="宋体" w:cs="宋体"/>
        </w:rPr>
        <w:fldChar w:fldCharType="separate"/>
      </w:r>
      <w:r>
        <w:rPr>
          <w:rFonts w:hint="eastAsia" w:ascii="宋体" w:hAnsi="宋体" w:eastAsia="宋体" w:cs="宋体"/>
        </w:rPr>
        <w:t>引  言</w:t>
      </w:r>
      <w:r>
        <w:rPr>
          <w:rFonts w:hint="eastAsia" w:ascii="宋体" w:hAnsi="宋体" w:eastAsia="宋体" w:cs="宋体"/>
        </w:rPr>
        <w:tab/>
      </w:r>
      <w:r>
        <w:rPr>
          <w:rFonts w:hint="eastAsia" w:ascii="宋体" w:hAnsi="宋体" w:eastAsia="宋体" w:cs="宋体"/>
        </w:rPr>
        <w:t>II</w:t>
      </w:r>
      <w:r>
        <w:rPr>
          <w:rFonts w:hint="eastAsia" w:ascii="宋体" w:hAnsi="宋体" w:eastAsia="宋体" w:cs="宋体"/>
        </w:rPr>
        <w:fldChar w:fldCharType="end"/>
      </w:r>
    </w:p>
    <w:p>
      <w:pPr>
        <w:tabs>
          <w:tab w:val="right" w:leader="dot" w:pos="8810"/>
        </w:tabs>
        <w:ind w:left="420" w:hanging="420" w:hangingChars="200"/>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"_Toc493770478" </w:instrText>
      </w:r>
      <w:r>
        <w:rPr>
          <w:rFonts w:hint="eastAsia" w:ascii="宋体" w:hAnsi="宋体" w:eastAsia="宋体" w:cs="宋体"/>
        </w:rPr>
        <w:fldChar w:fldCharType="separate"/>
      </w:r>
      <w:r>
        <w:rPr>
          <w:rFonts w:hint="eastAsia" w:ascii="宋体" w:hAnsi="宋体" w:eastAsia="宋体" w:cs="宋体"/>
        </w:rPr>
        <w:t>1  范围</w:t>
      </w:r>
      <w:r>
        <w:rPr>
          <w:rFonts w:hint="eastAsia" w:ascii="宋体" w:hAnsi="宋体" w:eastAsia="宋体" w:cs="宋体"/>
        </w:rPr>
        <w:tab/>
      </w:r>
      <w:r>
        <w:rPr>
          <w:rFonts w:hint="eastAsia" w:ascii="宋体" w:hAnsi="宋体" w:eastAsia="宋体" w:cs="宋体"/>
        </w:rPr>
        <w:t>1</w:t>
      </w:r>
      <w:r>
        <w:rPr>
          <w:rFonts w:hint="eastAsia" w:ascii="宋体" w:hAnsi="宋体" w:eastAsia="宋体" w:cs="宋体"/>
        </w:rPr>
        <w:fldChar w:fldCharType="end"/>
      </w:r>
    </w:p>
    <w:p>
      <w:pPr>
        <w:tabs>
          <w:tab w:val="right" w:leader="dot" w:pos="8810"/>
        </w:tabs>
        <w:ind w:left="420" w:hanging="420" w:hangingChars="200"/>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"_Toc493770479" </w:instrText>
      </w:r>
      <w:r>
        <w:rPr>
          <w:rFonts w:hint="eastAsia" w:ascii="宋体" w:hAnsi="宋体" w:eastAsia="宋体" w:cs="宋体"/>
        </w:rPr>
        <w:fldChar w:fldCharType="separate"/>
      </w:r>
      <w:r>
        <w:rPr>
          <w:rFonts w:hint="eastAsia" w:ascii="宋体" w:hAnsi="宋体" w:eastAsia="宋体" w:cs="宋体"/>
        </w:rPr>
        <w:t>2  规范性引用文件</w:t>
      </w:r>
      <w:r>
        <w:rPr>
          <w:rFonts w:hint="eastAsia" w:ascii="宋体" w:hAnsi="宋体" w:eastAsia="宋体" w:cs="宋体"/>
        </w:rPr>
        <w:tab/>
      </w:r>
      <w:r>
        <w:rPr>
          <w:rFonts w:hint="eastAsia" w:ascii="宋体" w:hAnsi="宋体" w:eastAsia="宋体" w:cs="宋体"/>
        </w:rPr>
        <w:t>1</w:t>
      </w:r>
      <w:r>
        <w:rPr>
          <w:rFonts w:hint="eastAsia" w:ascii="宋体" w:hAnsi="宋体" w:eastAsia="宋体" w:cs="宋体"/>
        </w:rPr>
        <w:fldChar w:fldCharType="end"/>
      </w:r>
    </w:p>
    <w:p>
      <w:pPr>
        <w:tabs>
          <w:tab w:val="right" w:leader="dot" w:pos="8810"/>
        </w:tabs>
        <w:ind w:left="420" w:hanging="420" w:hangingChars="200"/>
        <w:rPr>
          <w:rFonts w:hint="eastAsia" w:ascii="宋体" w:hAnsi="宋体" w:eastAsia="宋体" w:cs="宋体"/>
          <w:lang w:val="en-US" w:eastAsia="zh-CN"/>
        </w:rPr>
      </w:pPr>
      <w:r>
        <w:rPr>
          <w:rFonts w:hint="eastAsia" w:ascii="宋体" w:hAnsi="宋体" w:eastAsia="宋体" w:cs="宋体"/>
          <w:lang w:val="en-US" w:eastAsia="zh-CN"/>
        </w:rPr>
        <w:t>3  术语和定义</w:t>
      </w:r>
      <w:r>
        <w:rPr>
          <w:rFonts w:hint="eastAsia" w:ascii="宋体" w:hAnsi="宋体" w:eastAsia="宋体" w:cs="宋体"/>
        </w:rPr>
        <w:tab/>
      </w:r>
      <w:r>
        <w:rPr>
          <w:rFonts w:hint="eastAsia" w:ascii="宋体" w:hAnsi="宋体" w:eastAsia="宋体" w:cs="宋体"/>
        </w:rPr>
        <w:t>1</w:t>
      </w:r>
    </w:p>
    <w:p>
      <w:pPr>
        <w:tabs>
          <w:tab w:val="right" w:leader="dot" w:pos="8810"/>
        </w:tabs>
        <w:ind w:left="420" w:hanging="420" w:hangingChars="200"/>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"_Toc493770480" </w:instrText>
      </w:r>
      <w:r>
        <w:rPr>
          <w:rFonts w:hint="eastAsia" w:ascii="宋体" w:hAnsi="宋体" w:eastAsia="宋体" w:cs="宋体"/>
        </w:rPr>
        <w:fldChar w:fldCharType="separate"/>
      </w:r>
      <w:r>
        <w:rPr>
          <w:rFonts w:hint="eastAsia" w:ascii="宋体" w:hAnsi="宋体" w:eastAsia="宋体" w:cs="宋体"/>
          <w:lang w:val="en-US" w:eastAsia="zh-CN"/>
        </w:rPr>
        <w:t>4</w:t>
      </w:r>
      <w:r>
        <w:rPr>
          <w:rFonts w:hint="eastAsia" w:ascii="宋体" w:hAnsi="宋体" w:eastAsia="宋体" w:cs="宋体"/>
        </w:rPr>
        <w:t xml:space="preserve">  </w:t>
      </w:r>
      <w:r>
        <w:rPr>
          <w:rFonts w:hint="eastAsia" w:ascii="宋体" w:hAnsi="宋体" w:eastAsia="宋体" w:cs="宋体"/>
          <w:b w:val="0"/>
          <w:sz w:val="21"/>
          <w:szCs w:val="21"/>
          <w:lang w:val="en-US" w:eastAsia="zh-CN"/>
        </w:rPr>
        <w:t>试样制备</w:t>
      </w:r>
      <w:r>
        <w:rPr>
          <w:rFonts w:hint="eastAsia" w:ascii="宋体" w:hAnsi="宋体" w:eastAsia="宋体" w:cs="宋体"/>
        </w:rPr>
        <w:tab/>
      </w:r>
      <w:r>
        <w:rPr>
          <w:rFonts w:hint="eastAsia" w:ascii="宋体" w:hAnsi="宋体" w:eastAsia="宋体" w:cs="宋体"/>
          <w:lang w:val="en-US" w:eastAsia="zh-CN"/>
        </w:rPr>
        <w:t>2</w:t>
      </w:r>
      <w:r>
        <w:rPr>
          <w:rFonts w:hint="eastAsia" w:ascii="宋体" w:hAnsi="宋体" w:eastAsia="宋体" w:cs="宋体"/>
        </w:rPr>
        <w:fldChar w:fldCharType="end"/>
      </w:r>
    </w:p>
    <w:p>
      <w:pPr>
        <w:tabs>
          <w:tab w:val="right" w:leader="dot" w:pos="8810"/>
        </w:tabs>
        <w:ind w:left="420" w:hanging="420" w:hangingChars="200"/>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"_Toc493770483" </w:instrText>
      </w:r>
      <w:r>
        <w:rPr>
          <w:rFonts w:hint="eastAsia" w:ascii="宋体" w:hAnsi="宋体" w:eastAsia="宋体" w:cs="宋体"/>
        </w:rPr>
        <w:fldChar w:fldCharType="separate"/>
      </w:r>
      <w:r>
        <w:rPr>
          <w:rFonts w:hint="eastAsia" w:ascii="宋体" w:hAnsi="宋体" w:eastAsia="宋体" w:cs="宋体"/>
          <w:lang w:val="en-US" w:eastAsia="zh-CN"/>
        </w:rPr>
        <w:t>5</w:t>
      </w:r>
      <w:r>
        <w:rPr>
          <w:rFonts w:hint="eastAsia" w:ascii="宋体" w:hAnsi="宋体" w:eastAsia="宋体" w:cs="宋体"/>
        </w:rPr>
        <w:t xml:space="preserve"> </w:t>
      </w:r>
      <w:r>
        <w:rPr>
          <w:rFonts w:hint="eastAsia" w:ascii="宋体" w:hAnsi="宋体" w:eastAsia="宋体" w:cs="宋体"/>
        </w:rPr>
        <w:fldChar w:fldCharType="end"/>
      </w:r>
      <w:r>
        <w:rPr>
          <w:rFonts w:hint="eastAsia" w:ascii="宋体" w:hAnsi="宋体" w:eastAsia="宋体" w:cs="宋体"/>
        </w:rPr>
        <w:fldChar w:fldCharType="begin"/>
      </w:r>
      <w:r>
        <w:rPr>
          <w:rFonts w:hint="eastAsia" w:ascii="宋体" w:hAnsi="宋体" w:eastAsia="宋体" w:cs="宋体"/>
        </w:rPr>
        <w:instrText xml:space="preserve"> HYPERLINK \l "_Toc493770486" </w:instrText>
      </w:r>
      <w:r>
        <w:rPr>
          <w:rFonts w:hint="eastAsia" w:ascii="宋体" w:hAnsi="宋体" w:eastAsia="宋体" w:cs="宋体"/>
        </w:rPr>
        <w:fldChar w:fldCharType="separate"/>
      </w:r>
      <w:r>
        <w:rPr>
          <w:rFonts w:hint="eastAsia" w:ascii="宋体" w:hAnsi="宋体" w:eastAsia="宋体" w:cs="宋体"/>
        </w:rPr>
        <w:t xml:space="preserve"> 仪器设备与测试系统</w:t>
      </w:r>
      <w:r>
        <w:rPr>
          <w:rFonts w:hint="eastAsia" w:ascii="宋体" w:hAnsi="宋体" w:eastAsia="宋体" w:cs="宋体"/>
        </w:rPr>
        <w:tab/>
      </w:r>
      <w:r>
        <w:rPr>
          <w:rFonts w:hint="eastAsia" w:ascii="宋体" w:hAnsi="宋体" w:eastAsia="宋体" w:cs="宋体"/>
        </w:rPr>
        <w:fldChar w:fldCharType="begin"/>
      </w:r>
      <w:r>
        <w:rPr>
          <w:rFonts w:hint="eastAsia" w:ascii="宋体" w:hAnsi="宋体" w:eastAsia="宋体" w:cs="宋体"/>
        </w:rPr>
        <w:instrText xml:space="preserve"> PAGEREF _Toc493770486 \h </w:instrText>
      </w:r>
      <w:r>
        <w:rPr>
          <w:rFonts w:hint="eastAsia" w:ascii="宋体" w:hAnsi="宋体" w:eastAsia="宋体" w:cs="宋体"/>
        </w:rPr>
        <w:fldChar w:fldCharType="separate"/>
      </w:r>
      <w:r>
        <w:rPr>
          <w:rFonts w:hint="eastAsia" w:ascii="宋体" w:hAnsi="宋体" w:eastAsia="宋体" w:cs="宋体"/>
        </w:rPr>
        <w:t>2</w:t>
      </w:r>
      <w:r>
        <w:rPr>
          <w:rFonts w:hint="eastAsia" w:ascii="宋体" w:hAnsi="宋体" w:eastAsia="宋体" w:cs="宋体"/>
        </w:rPr>
        <w:fldChar w:fldCharType="end"/>
      </w:r>
      <w:r>
        <w:rPr>
          <w:rFonts w:hint="eastAsia" w:ascii="宋体" w:hAnsi="宋体" w:eastAsia="宋体" w:cs="宋体"/>
        </w:rPr>
        <w:fldChar w:fldCharType="end"/>
      </w:r>
    </w:p>
    <w:p>
      <w:pPr>
        <w:tabs>
          <w:tab w:val="right" w:leader="dot" w:pos="8810"/>
        </w:tabs>
        <w:ind w:left="420" w:hanging="420" w:hangingChars="200"/>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"_Toc493770486" </w:instrText>
      </w:r>
      <w:r>
        <w:rPr>
          <w:rFonts w:hint="eastAsia" w:ascii="宋体" w:hAnsi="宋体" w:eastAsia="宋体" w:cs="宋体"/>
        </w:rPr>
        <w:fldChar w:fldCharType="separate"/>
      </w:r>
      <w:r>
        <w:rPr>
          <w:rFonts w:hint="eastAsia" w:ascii="宋体" w:hAnsi="宋体" w:eastAsia="宋体" w:cs="宋体"/>
          <w:lang w:val="en-US" w:eastAsia="zh-CN"/>
        </w:rPr>
        <w:t>6</w:t>
      </w:r>
      <w:r>
        <w:rPr>
          <w:rFonts w:hint="eastAsia" w:ascii="宋体" w:hAnsi="宋体" w:eastAsia="宋体" w:cs="宋体"/>
        </w:rPr>
        <w:t xml:space="preserve">  测试步骤</w:t>
      </w:r>
      <w:r>
        <w:rPr>
          <w:rFonts w:hint="eastAsia" w:ascii="宋体" w:hAnsi="宋体" w:eastAsia="宋体" w:cs="宋体"/>
        </w:rPr>
        <w:tab/>
      </w:r>
      <w:r>
        <w:rPr>
          <w:rFonts w:hint="eastAsia" w:ascii="宋体" w:hAnsi="宋体" w:eastAsia="宋体" w:cs="宋体"/>
          <w:lang w:val="en-US" w:eastAsia="zh-CN"/>
        </w:rPr>
        <w:t>4</w:t>
      </w:r>
      <w:r>
        <w:rPr>
          <w:rFonts w:hint="eastAsia" w:ascii="宋体" w:hAnsi="宋体" w:eastAsia="宋体" w:cs="宋体"/>
        </w:rPr>
        <w:fldChar w:fldCharType="end"/>
      </w:r>
    </w:p>
    <w:p>
      <w:pPr>
        <w:tabs>
          <w:tab w:val="right" w:leader="dot" w:pos="8810"/>
        </w:tabs>
        <w:ind w:left="420" w:hanging="420" w:hangingChars="200"/>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"_Toc493770480" </w:instrText>
      </w:r>
      <w:r>
        <w:rPr>
          <w:rFonts w:hint="eastAsia" w:ascii="宋体" w:hAnsi="宋体" w:eastAsia="宋体" w:cs="宋体"/>
        </w:rPr>
        <w:fldChar w:fldCharType="separate"/>
      </w:r>
      <w:r>
        <w:rPr>
          <w:rFonts w:hint="eastAsia" w:ascii="宋体" w:hAnsi="宋体" w:eastAsia="宋体" w:cs="宋体"/>
          <w:lang w:val="en-US" w:eastAsia="zh-CN"/>
        </w:rPr>
        <w:t>7</w:t>
      </w:r>
      <w:r>
        <w:rPr>
          <w:rFonts w:hint="eastAsia" w:ascii="宋体" w:hAnsi="宋体" w:eastAsia="宋体" w:cs="宋体"/>
        </w:rPr>
        <w:t xml:space="preserve">  结果表述</w:t>
      </w:r>
      <w:r>
        <w:rPr>
          <w:rFonts w:hint="eastAsia" w:ascii="宋体" w:hAnsi="宋体" w:eastAsia="宋体" w:cs="宋体"/>
        </w:rPr>
        <w:tab/>
      </w:r>
      <w:r>
        <w:rPr>
          <w:rFonts w:hint="eastAsia" w:ascii="宋体" w:hAnsi="宋体" w:eastAsia="宋体" w:cs="宋体"/>
          <w:lang w:val="en-US" w:eastAsia="zh-CN"/>
        </w:rPr>
        <w:t>5</w:t>
      </w:r>
      <w:r>
        <w:rPr>
          <w:rFonts w:hint="eastAsia" w:ascii="宋体" w:hAnsi="宋体" w:eastAsia="宋体" w:cs="宋体"/>
        </w:rPr>
        <w:fldChar w:fldCharType="end"/>
      </w:r>
    </w:p>
    <w:p>
      <w:pPr>
        <w:tabs>
          <w:tab w:val="right" w:leader="dot" w:pos="8810"/>
        </w:tabs>
        <w:ind w:left="420" w:hanging="420" w:hangingChars="200"/>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"_Toc493770483" </w:instrText>
      </w:r>
      <w:r>
        <w:rPr>
          <w:rFonts w:hint="eastAsia" w:ascii="宋体" w:hAnsi="宋体" w:eastAsia="宋体" w:cs="宋体"/>
        </w:rPr>
        <w:fldChar w:fldCharType="separate"/>
      </w:r>
      <w:r>
        <w:rPr>
          <w:rFonts w:hint="eastAsia" w:ascii="宋体" w:hAnsi="宋体" w:eastAsia="宋体" w:cs="宋体"/>
          <w:lang w:val="en-US" w:eastAsia="zh-CN"/>
        </w:rPr>
        <w:t>8</w:t>
      </w:r>
      <w:r>
        <w:rPr>
          <w:rFonts w:hint="eastAsia" w:ascii="宋体" w:hAnsi="宋体" w:eastAsia="宋体" w:cs="宋体"/>
        </w:rPr>
        <w:t xml:space="preserve">  精密度</w:t>
      </w:r>
      <w:r>
        <w:rPr>
          <w:rFonts w:hint="eastAsia" w:ascii="宋体" w:hAnsi="宋体" w:eastAsia="宋体" w:cs="宋体"/>
        </w:rPr>
        <w:tab/>
      </w:r>
      <w:r>
        <w:rPr>
          <w:rFonts w:hint="eastAsia" w:ascii="宋体" w:hAnsi="宋体" w:eastAsia="宋体" w:cs="宋体"/>
          <w:lang w:val="en-US" w:eastAsia="zh-CN"/>
        </w:rPr>
        <w:t>6</w:t>
      </w:r>
      <w:r>
        <w:rPr>
          <w:rFonts w:hint="eastAsia" w:ascii="宋体" w:hAnsi="宋体" w:eastAsia="宋体" w:cs="宋体"/>
        </w:rPr>
        <w:fldChar w:fldCharType="end"/>
      </w:r>
    </w:p>
    <w:p>
      <w:pPr>
        <w:tabs>
          <w:tab w:val="right" w:leader="dot" w:pos="8810"/>
        </w:tabs>
        <w:ind w:left="420" w:hanging="420" w:hangingChars="200"/>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"_Toc493770486" </w:instrText>
      </w:r>
      <w:r>
        <w:rPr>
          <w:rFonts w:hint="eastAsia" w:ascii="宋体" w:hAnsi="宋体" w:eastAsia="宋体" w:cs="宋体"/>
        </w:rPr>
        <w:fldChar w:fldCharType="separate"/>
      </w:r>
      <w:r>
        <w:rPr>
          <w:rFonts w:hint="eastAsia" w:ascii="宋体" w:hAnsi="宋体" w:eastAsia="宋体" w:cs="宋体"/>
          <w:lang w:val="en-US" w:eastAsia="zh-CN"/>
        </w:rPr>
        <w:t>9</w:t>
      </w:r>
      <w:r>
        <w:rPr>
          <w:rFonts w:hint="eastAsia" w:ascii="宋体" w:hAnsi="宋体" w:eastAsia="宋体" w:cs="宋体"/>
        </w:rPr>
        <w:t xml:space="preserve">  测定报告</w:t>
      </w:r>
      <w:r>
        <w:rPr>
          <w:rFonts w:hint="eastAsia" w:ascii="宋体" w:hAnsi="宋体" w:eastAsia="宋体" w:cs="宋体"/>
        </w:rPr>
        <w:tab/>
      </w:r>
      <w:r>
        <w:rPr>
          <w:rFonts w:hint="eastAsia" w:ascii="宋体" w:hAnsi="宋体" w:eastAsia="宋体" w:cs="宋体"/>
          <w:lang w:val="en-US" w:eastAsia="zh-CN"/>
        </w:rPr>
        <w:t>6</w:t>
      </w:r>
      <w:r>
        <w:rPr>
          <w:rFonts w:hint="eastAsia" w:ascii="宋体" w:hAnsi="宋体" w:eastAsia="宋体" w:cs="宋体"/>
        </w:rPr>
        <w:fldChar w:fldCharType="end"/>
      </w:r>
    </w:p>
    <w:p>
      <w:pPr>
        <w:tabs>
          <w:tab w:val="right" w:leader="dot" w:pos="8810"/>
        </w:tabs>
        <w:ind w:left="420" w:hanging="420" w:hangingChars="200"/>
        <w:rPr>
          <w:rFonts w:hint="eastAsia" w:ascii="宋体" w:hAnsi="宋体" w:eastAsia="宋体" w:cs="宋体"/>
        </w:rPr>
      </w:pPr>
      <w:r>
        <w:rPr>
          <w:rFonts w:hint="eastAsia" w:ascii="宋体" w:hAnsi="宋体" w:eastAsia="宋体" w:cs="宋体"/>
        </w:rPr>
        <w:fldChar w:fldCharType="begin"/>
      </w:r>
      <w:r>
        <w:rPr>
          <w:rFonts w:hint="eastAsia" w:ascii="宋体" w:hAnsi="宋体" w:eastAsia="宋体" w:cs="宋体"/>
        </w:rPr>
        <w:instrText xml:space="preserve"> HYPERLINK \l "_Toc493770490" </w:instrText>
      </w:r>
      <w:r>
        <w:rPr>
          <w:rFonts w:hint="eastAsia" w:ascii="宋体" w:hAnsi="宋体" w:eastAsia="宋体" w:cs="宋体"/>
        </w:rPr>
        <w:fldChar w:fldCharType="separate"/>
      </w:r>
      <w:r>
        <w:rPr>
          <w:rFonts w:hint="eastAsia" w:ascii="宋体" w:hAnsi="宋体" w:eastAsia="宋体" w:cs="宋体"/>
        </w:rPr>
        <w:t>参考文献</w:t>
      </w:r>
      <w:r>
        <w:rPr>
          <w:rFonts w:hint="eastAsia" w:ascii="宋体" w:hAnsi="宋体" w:eastAsia="宋体" w:cs="宋体"/>
        </w:rPr>
        <w:tab/>
      </w:r>
      <w:r>
        <w:rPr>
          <w:rFonts w:hint="eastAsia" w:ascii="宋体" w:hAnsi="宋体" w:eastAsia="宋体" w:cs="宋体"/>
          <w:lang w:val="en-US" w:eastAsia="zh-CN"/>
        </w:rPr>
        <w:t>7</w:t>
      </w:r>
      <w:r>
        <w:rPr>
          <w:rFonts w:hint="eastAsia" w:ascii="宋体" w:hAnsi="宋体" w:eastAsia="宋体" w:cs="宋体"/>
        </w:rPr>
        <w:fldChar w:fldCharType="end"/>
      </w:r>
    </w:p>
    <w:p>
      <w:pPr>
        <w:tabs>
          <w:tab w:val="right" w:leader="dot" w:pos="8810"/>
        </w:tabs>
        <w:ind w:left="420" w:hanging="420" w:hangingChars="200"/>
        <w:rPr>
          <w:rFonts w:ascii="宋体" w:hAnsi="宋体"/>
        </w:rPr>
      </w:pPr>
    </w:p>
    <w:p>
      <w:pPr>
        <w:spacing w:before="312" w:beforeLines="100" w:after="312" w:afterLines="100" w:line="400" w:lineRule="exact"/>
        <w:jc w:val="center"/>
        <w:rPr>
          <w:rFonts w:ascii="宋体" w:hAnsi="宋体"/>
          <w:szCs w:val="21"/>
        </w:rPr>
      </w:pPr>
    </w:p>
    <w:p>
      <w:pPr>
        <w:spacing w:before="312" w:beforeLines="100" w:after="312" w:afterLines="100" w:line="400" w:lineRule="exact"/>
        <w:jc w:val="center"/>
        <w:rPr>
          <w:rFonts w:ascii="宋体" w:hAnsi="宋体"/>
          <w:szCs w:val="21"/>
        </w:rPr>
      </w:pPr>
    </w:p>
    <w:p>
      <w:pPr>
        <w:spacing w:before="312" w:beforeLines="100" w:after="312" w:afterLines="100" w:line="400" w:lineRule="exact"/>
        <w:jc w:val="center"/>
        <w:rPr>
          <w:rFonts w:ascii="宋体" w:hAnsi="宋体"/>
          <w:szCs w:val="21"/>
        </w:rPr>
      </w:pPr>
    </w:p>
    <w:p>
      <w:pPr>
        <w:spacing w:before="312" w:beforeLines="100" w:after="312" w:afterLines="100" w:line="400" w:lineRule="exact"/>
        <w:jc w:val="center"/>
        <w:rPr>
          <w:rFonts w:ascii="宋体" w:hAnsi="宋体"/>
          <w:szCs w:val="21"/>
        </w:rPr>
      </w:pPr>
    </w:p>
    <w:p>
      <w:pPr>
        <w:spacing w:before="312" w:beforeLines="100" w:after="312" w:afterLines="100" w:line="400" w:lineRule="exact"/>
        <w:jc w:val="center"/>
        <w:rPr>
          <w:rFonts w:ascii="宋体" w:hAnsi="宋体"/>
          <w:szCs w:val="21"/>
        </w:rPr>
      </w:pPr>
    </w:p>
    <w:p>
      <w:pPr>
        <w:spacing w:before="312" w:beforeLines="100" w:after="312" w:afterLines="100" w:line="400" w:lineRule="exact"/>
        <w:rPr>
          <w:rFonts w:ascii="宋体" w:hAnsi="宋体"/>
          <w:szCs w:val="21"/>
        </w:rPr>
      </w:pPr>
    </w:p>
    <w:p>
      <w:pPr>
        <w:pStyle w:val="2"/>
        <w:jc w:val="center"/>
        <w:rPr>
          <w:rFonts w:ascii="黑体" w:eastAsia="黑体"/>
          <w:b w:val="0"/>
          <w:sz w:val="32"/>
          <w:szCs w:val="32"/>
        </w:rPr>
        <w:sectPr>
          <w:footerReference r:id="rId7" w:type="default"/>
          <w:footerReference r:id="rId8" w:type="even"/>
          <w:pgSz w:w="11906" w:h="16838"/>
          <w:pgMar w:top="1440" w:right="1800" w:bottom="1440" w:left="1800" w:header="851" w:footer="992" w:gutter="0"/>
          <w:pgNumType w:fmt="upperRoman" w:start="1"/>
          <w:cols w:space="425" w:num="1"/>
          <w:docGrid w:type="lines" w:linePitch="312" w:charSpace="0"/>
        </w:sectPr>
      </w:pPr>
    </w:p>
    <w:p>
      <w:pPr>
        <w:pStyle w:val="2"/>
        <w:jc w:val="center"/>
        <w:rPr>
          <w:rFonts w:ascii="黑体" w:eastAsia="黑体"/>
          <w:b w:val="0"/>
          <w:sz w:val="32"/>
          <w:szCs w:val="32"/>
        </w:rPr>
      </w:pPr>
      <w:r>
        <w:rPr>
          <w:rFonts w:ascii="黑体" w:eastAsia="黑体"/>
          <w:b w:val="0"/>
          <w:sz w:val="32"/>
          <w:szCs w:val="32"/>
        </w:rPr>
        <w:t xml:space="preserve"> </w:t>
      </w:r>
      <w:bookmarkStart w:id="0" w:name="_Toc493770476"/>
      <w:r>
        <w:rPr>
          <w:rFonts w:hint="eastAsia" w:ascii="黑体" w:eastAsia="黑体"/>
          <w:b w:val="0"/>
          <w:sz w:val="32"/>
          <w:szCs w:val="32"/>
        </w:rPr>
        <w:t>前  言</w:t>
      </w:r>
      <w:bookmarkEnd w:id="0"/>
    </w:p>
    <w:p>
      <w:pPr>
        <w:spacing w:line="48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本文件按照GB/T 1.1—2020《标准化工作导则 第1部分：标准化文件的结构和起草规则》的规定起草。</w:t>
      </w:r>
    </w:p>
    <w:p>
      <w:pPr>
        <w:spacing w:line="48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请注意本文件的某些内容可能涉及专利。本文件的发布机构不承担识别这些专利的责任。</w:t>
      </w:r>
    </w:p>
    <w:p>
      <w:pPr>
        <w:spacing w:line="480" w:lineRule="exact"/>
        <w:ind w:firstLine="420" w:firstLineChars="200"/>
        <w:rPr>
          <w:rFonts w:hint="eastAsia" w:ascii="宋体" w:hAnsi="宋体" w:eastAsia="宋体" w:cs="宋体"/>
          <w:sz w:val="21"/>
          <w:szCs w:val="21"/>
        </w:rPr>
      </w:pPr>
      <w:r>
        <w:rPr>
          <w:rFonts w:hint="eastAsia" w:ascii="宋体" w:hAnsi="宋体" w:eastAsia="宋体" w:cs="宋体"/>
          <w:color w:val="auto"/>
          <w:sz w:val="21"/>
          <w:szCs w:val="21"/>
          <w:highlight w:val="none"/>
        </w:rPr>
        <w:t>本文件由</w:t>
      </w:r>
      <w:r>
        <w:rPr>
          <w:rFonts w:hint="eastAsia" w:ascii="宋体" w:hAnsi="宋体" w:eastAsia="宋体" w:cs="宋体"/>
          <w:sz w:val="21"/>
          <w:szCs w:val="21"/>
        </w:rPr>
        <w:t>新疆大学</w:t>
      </w:r>
      <w:r>
        <w:rPr>
          <w:rFonts w:hint="eastAsia" w:ascii="宋体" w:hAnsi="宋体" w:eastAsia="宋体" w:cs="宋体"/>
          <w:color w:val="auto"/>
          <w:sz w:val="21"/>
          <w:szCs w:val="21"/>
          <w:highlight w:val="none"/>
        </w:rPr>
        <w:t>提出。</w:t>
      </w:r>
    </w:p>
    <w:p>
      <w:pPr>
        <w:spacing w:line="48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本文件由中国产学研合作促进会归口。</w:t>
      </w:r>
    </w:p>
    <w:p>
      <w:pPr>
        <w:spacing w:line="48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本文件起草单位：新疆大学、新疆亚新煤层气投资开发（集团）有限责任公司、怀柔国家实验室新疆研究基地、中国石油吐哈油田公司。</w:t>
      </w:r>
    </w:p>
    <w:p>
      <w:pPr>
        <w:spacing w:line="480" w:lineRule="exact"/>
        <w:ind w:firstLine="420" w:firstLineChars="200"/>
        <w:rPr>
          <w:rFonts w:hint="eastAsia" w:ascii="宋体" w:hAnsi="宋体" w:eastAsia="宋体" w:cs="宋体"/>
          <w:sz w:val="21"/>
          <w:szCs w:val="21"/>
        </w:rPr>
      </w:pPr>
      <w:r>
        <w:rPr>
          <w:rFonts w:hint="eastAsia" w:ascii="宋体" w:hAnsi="宋体" w:eastAsia="宋体" w:cs="宋体"/>
          <w:color w:val="auto"/>
          <w:sz w:val="21"/>
          <w:szCs w:val="21"/>
          <w:highlight w:val="none"/>
        </w:rPr>
        <w:t>本文件主要起草人：李鑫</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韦波</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陈昊</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胡振鹏</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王子强</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谢安</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张华</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王兴刚</w:t>
      </w:r>
    </w:p>
    <w:p>
      <w:pPr>
        <w:spacing w:line="480" w:lineRule="exact"/>
        <w:ind w:firstLine="480" w:firstLineChars="200"/>
        <w:rPr>
          <w:sz w:val="24"/>
          <w:szCs w:val="24"/>
          <w:lang w:val="de-DE"/>
        </w:rPr>
      </w:pPr>
    </w:p>
    <w:p>
      <w:pPr>
        <w:spacing w:line="480" w:lineRule="exact"/>
        <w:ind w:firstLine="480" w:firstLineChars="200"/>
        <w:rPr>
          <w:sz w:val="24"/>
          <w:szCs w:val="24"/>
          <w:lang w:val="de-DE"/>
        </w:rPr>
      </w:pPr>
    </w:p>
    <w:p>
      <w:pPr>
        <w:spacing w:line="480" w:lineRule="exact"/>
        <w:ind w:firstLine="480" w:firstLineChars="200"/>
        <w:rPr>
          <w:sz w:val="24"/>
          <w:szCs w:val="24"/>
          <w:lang w:val="de-DE"/>
        </w:rPr>
      </w:pPr>
    </w:p>
    <w:p>
      <w:pPr>
        <w:spacing w:line="480" w:lineRule="exact"/>
        <w:ind w:firstLine="480" w:firstLineChars="200"/>
        <w:rPr>
          <w:sz w:val="24"/>
          <w:szCs w:val="24"/>
          <w:lang w:val="de-DE"/>
        </w:rPr>
      </w:pPr>
    </w:p>
    <w:p>
      <w:pPr>
        <w:spacing w:line="480" w:lineRule="exact"/>
        <w:ind w:firstLine="480" w:firstLineChars="200"/>
        <w:rPr>
          <w:sz w:val="24"/>
          <w:szCs w:val="24"/>
          <w:lang w:val="de-DE"/>
        </w:rPr>
      </w:pPr>
    </w:p>
    <w:p>
      <w:pPr>
        <w:spacing w:line="480" w:lineRule="exact"/>
        <w:ind w:firstLine="480" w:firstLineChars="200"/>
        <w:rPr>
          <w:sz w:val="24"/>
          <w:szCs w:val="24"/>
          <w:lang w:val="de-DE"/>
        </w:rPr>
      </w:pPr>
    </w:p>
    <w:p>
      <w:pPr>
        <w:spacing w:line="480" w:lineRule="exact"/>
        <w:rPr>
          <w:sz w:val="24"/>
          <w:szCs w:val="24"/>
          <w:lang w:val="de-DE"/>
        </w:rPr>
      </w:pPr>
    </w:p>
    <w:p>
      <w:pPr>
        <w:spacing w:line="480" w:lineRule="exact"/>
        <w:rPr>
          <w:sz w:val="24"/>
          <w:szCs w:val="24"/>
          <w:lang w:val="de-DE"/>
        </w:rPr>
      </w:pPr>
    </w:p>
    <w:p>
      <w:pPr>
        <w:spacing w:line="480" w:lineRule="exact"/>
        <w:rPr>
          <w:sz w:val="24"/>
          <w:szCs w:val="24"/>
          <w:lang w:val="de-DE"/>
        </w:rPr>
      </w:pPr>
    </w:p>
    <w:p>
      <w:pPr>
        <w:spacing w:line="480" w:lineRule="exact"/>
        <w:rPr>
          <w:sz w:val="24"/>
          <w:szCs w:val="24"/>
          <w:lang w:val="de-DE"/>
        </w:rPr>
      </w:pPr>
    </w:p>
    <w:p>
      <w:pPr>
        <w:spacing w:line="480" w:lineRule="exact"/>
        <w:rPr>
          <w:sz w:val="24"/>
          <w:szCs w:val="24"/>
          <w:lang w:val="de-DE"/>
        </w:rPr>
      </w:pPr>
    </w:p>
    <w:p>
      <w:pPr>
        <w:spacing w:line="480" w:lineRule="exact"/>
        <w:rPr>
          <w:sz w:val="24"/>
          <w:szCs w:val="24"/>
          <w:lang w:val="de-DE"/>
        </w:rPr>
      </w:pPr>
    </w:p>
    <w:p>
      <w:pPr>
        <w:spacing w:line="480" w:lineRule="exact"/>
        <w:rPr>
          <w:sz w:val="24"/>
          <w:szCs w:val="24"/>
          <w:lang w:val="de-DE"/>
        </w:rPr>
      </w:pPr>
    </w:p>
    <w:p>
      <w:pPr>
        <w:spacing w:line="480" w:lineRule="exact"/>
        <w:rPr>
          <w:sz w:val="24"/>
          <w:szCs w:val="24"/>
          <w:lang w:val="de-DE"/>
        </w:rPr>
      </w:pPr>
    </w:p>
    <w:p>
      <w:pPr>
        <w:spacing w:line="480" w:lineRule="exact"/>
        <w:rPr>
          <w:sz w:val="24"/>
          <w:szCs w:val="24"/>
          <w:lang w:val="de-DE"/>
        </w:rPr>
      </w:pPr>
    </w:p>
    <w:p>
      <w:pPr>
        <w:spacing w:line="480" w:lineRule="exact"/>
        <w:rPr>
          <w:sz w:val="24"/>
          <w:szCs w:val="24"/>
          <w:lang w:val="de-DE"/>
        </w:rPr>
      </w:pPr>
    </w:p>
    <w:p>
      <w:pPr>
        <w:spacing w:line="480" w:lineRule="exact"/>
        <w:rPr>
          <w:lang w:val="de-DE"/>
        </w:rPr>
      </w:pPr>
    </w:p>
    <w:p>
      <w:pPr>
        <w:pStyle w:val="2"/>
        <w:jc w:val="center"/>
        <w:rPr>
          <w:lang w:val="de-DE"/>
        </w:rPr>
      </w:pPr>
      <w:bookmarkStart w:id="1" w:name="_Toc493770477"/>
      <w:r>
        <w:rPr>
          <w:rFonts w:ascii="黑体" w:eastAsia="黑体"/>
          <w:b w:val="0"/>
          <w:sz w:val="32"/>
          <w:szCs w:val="32"/>
        </w:rPr>
        <w:t>引</w:t>
      </w:r>
      <w:r>
        <w:rPr>
          <w:rFonts w:ascii="黑体" w:eastAsia="黑体"/>
          <w:b w:val="0"/>
          <w:sz w:val="32"/>
          <w:szCs w:val="32"/>
          <w:lang w:val="de-DE"/>
        </w:rPr>
        <w:t xml:space="preserve">  </w:t>
      </w:r>
      <w:r>
        <w:rPr>
          <w:rFonts w:ascii="黑体" w:eastAsia="黑体"/>
          <w:b w:val="0"/>
          <w:sz w:val="32"/>
          <w:szCs w:val="32"/>
        </w:rPr>
        <w:t>言</w:t>
      </w:r>
      <w:bookmarkEnd w:id="1"/>
    </w:p>
    <w:p>
      <w:pPr>
        <w:spacing w:line="480" w:lineRule="exact"/>
        <w:ind w:firstLine="420" w:firstLineChars="200"/>
        <w:rPr>
          <w:rFonts w:hint="eastAsia" w:ascii="Times New Roman" w:hAnsi="Times New Roman" w:cs="Times New Roman"/>
          <w:sz w:val="21"/>
          <w:szCs w:val="21"/>
          <w:lang w:val="de-DE"/>
        </w:rPr>
      </w:pPr>
      <w:r>
        <w:rPr>
          <w:rFonts w:hint="eastAsia" w:ascii="Times New Roman" w:hAnsi="Times New Roman" w:cs="Times New Roman"/>
          <w:sz w:val="21"/>
          <w:szCs w:val="21"/>
          <w:lang w:val="de-DE"/>
        </w:rPr>
        <w:t>富油煤具有油气资源属性，通过原位热解能够高效提取其中的油气资源，增加油气供应，有助于缓解我国油气资源对外依存度高的问题，提高能源安全保障能力；同时，富油煤的原位热解为煤从燃料向原料的转变提供了新途径，符合煤炭清洁低碳利用的发展趋势，提高了煤炭资源的利用效率和利用质量。</w:t>
      </w:r>
    </w:p>
    <w:p>
      <w:pPr>
        <w:spacing w:line="480" w:lineRule="exact"/>
        <w:ind w:firstLine="420" w:firstLineChars="200"/>
        <w:rPr>
          <w:rFonts w:hint="eastAsia" w:ascii="Times New Roman" w:hAnsi="Times New Roman" w:cs="Times New Roman"/>
          <w:sz w:val="21"/>
          <w:szCs w:val="21"/>
          <w:lang w:val="de-DE"/>
        </w:rPr>
      </w:pPr>
      <w:r>
        <w:rPr>
          <w:rFonts w:hint="eastAsia" w:ascii="Times New Roman" w:hAnsi="Times New Roman" w:cs="Times New Roman"/>
          <w:sz w:val="21"/>
          <w:szCs w:val="21"/>
          <w:lang w:val="de-DE"/>
        </w:rPr>
        <w:t>然而，现有富油煤焦油产率测定仍基于煤的格金低温干馏试验方法，并不符合富油煤在地下</w:t>
      </w:r>
      <w:r>
        <w:rPr>
          <w:rFonts w:hint="eastAsia" w:ascii="Times New Roman" w:hAnsi="Times New Roman" w:cs="Times New Roman"/>
          <w:sz w:val="21"/>
          <w:szCs w:val="21"/>
          <w:lang w:val="en-US" w:eastAsia="zh-CN"/>
        </w:rPr>
        <w:t>原位</w:t>
      </w:r>
      <w:r>
        <w:rPr>
          <w:rFonts w:hint="eastAsia" w:ascii="Times New Roman" w:hAnsi="Times New Roman" w:cs="Times New Roman"/>
          <w:sz w:val="21"/>
          <w:szCs w:val="21"/>
          <w:lang w:val="de-DE"/>
        </w:rPr>
        <w:t>热解过程中的温度、压力、气氛等关键条件，导致测定的焦油产率存在偏差。因此，有必要采用原位热解模拟法测定富油煤焦油产率，模拟富油煤在地下实际热解过程中的技术条件，从而更准确地测定焦油产率。</w:t>
      </w:r>
    </w:p>
    <w:p>
      <w:pPr>
        <w:spacing w:line="480" w:lineRule="exact"/>
        <w:ind w:firstLine="420" w:firstLineChars="200"/>
        <w:rPr>
          <w:rFonts w:ascii="Times New Roman" w:hAnsi="Times New Roman" w:cs="Times New Roman"/>
          <w:sz w:val="21"/>
          <w:szCs w:val="21"/>
        </w:rPr>
        <w:sectPr>
          <w:footerReference r:id="rId9" w:type="default"/>
          <w:footerReference r:id="rId10" w:type="even"/>
          <w:pgSz w:w="11906" w:h="16838"/>
          <w:pgMar w:top="1440" w:right="1800" w:bottom="1440" w:left="1800" w:header="851" w:footer="992" w:gutter="0"/>
          <w:pgNumType w:fmt="upperRoman" w:start="1"/>
          <w:cols w:space="425" w:num="1"/>
          <w:docGrid w:type="lines" w:linePitch="312" w:charSpace="0"/>
        </w:sectPr>
      </w:pPr>
      <w:r>
        <w:rPr>
          <w:rFonts w:hint="eastAsia" w:ascii="Times New Roman" w:hAnsi="Times New Roman" w:cs="Times New Roman"/>
          <w:sz w:val="21"/>
          <w:szCs w:val="21"/>
          <w:lang w:val="de-DE"/>
        </w:rPr>
        <w:t>采用原位热解模拟法，不仅有助于在勘探阶段更准确地预测和评估富油煤资源潜力，还能通过模拟不同热解条件，找出富油煤热解的最佳参数组合，进而提升焦油产率和热解效率。这一方法的应用，将为富油煤的工业化热解提供重要的理论支持和技术参考。</w:t>
      </w:r>
    </w:p>
    <w:p>
      <w:pPr>
        <w:spacing w:line="480" w:lineRule="exact"/>
        <w:ind w:firstLine="640" w:firstLineChars="200"/>
        <w:jc w:val="center"/>
        <w:rPr>
          <w:rFonts w:ascii="黑体" w:hAnsi="宋体" w:eastAsia="黑体"/>
          <w:b w:val="0"/>
          <w:bCs/>
          <w:color w:val="000000"/>
          <w:sz w:val="32"/>
          <w:szCs w:val="32"/>
        </w:rPr>
      </w:pPr>
      <w:r>
        <w:rPr>
          <w:rFonts w:hint="eastAsia" w:ascii="黑体" w:hAnsi="宋体" w:eastAsia="黑体"/>
          <w:b w:val="0"/>
          <w:bCs/>
          <w:color w:val="000000"/>
          <w:sz w:val="32"/>
          <w:szCs w:val="32"/>
        </w:rPr>
        <w:t>原位热解模拟法测定富油煤焦油产率技术规范</w:t>
      </w:r>
    </w:p>
    <w:p>
      <w:pPr>
        <w:pStyle w:val="3"/>
        <w:spacing w:before="312" w:beforeLines="100" w:after="312" w:afterLines="100" w:line="400" w:lineRule="exact"/>
        <w:rPr>
          <w:rFonts w:hint="eastAsia" w:ascii="黑体" w:hAnsi="黑体" w:eastAsia="黑体" w:cs="黑体"/>
          <w:b w:val="0"/>
          <w:sz w:val="21"/>
          <w:szCs w:val="21"/>
        </w:rPr>
      </w:pPr>
      <w:bookmarkStart w:id="2" w:name="_Toc493770478"/>
      <w:r>
        <w:rPr>
          <w:rFonts w:hint="eastAsia" w:ascii="黑体" w:hAnsi="黑体" w:eastAsia="黑体" w:cs="黑体"/>
          <w:b w:val="0"/>
          <w:sz w:val="21"/>
          <w:szCs w:val="21"/>
        </w:rPr>
        <w:t>1  范围</w:t>
      </w:r>
      <w:bookmarkEnd w:id="2"/>
    </w:p>
    <w:p>
      <w:pPr>
        <w:pStyle w:val="46"/>
        <w:spacing w:line="400" w:lineRule="exact"/>
        <w:ind w:firstLine="420" w:firstLineChars="200"/>
        <w:rPr>
          <w:rFonts w:hint="eastAsia" w:ascii="宋体" w:hAnsi="宋体" w:eastAsia="宋体" w:cs="Arial"/>
          <w:color w:val="000000"/>
          <w:szCs w:val="21"/>
        </w:rPr>
      </w:pPr>
      <w:r>
        <w:rPr>
          <w:rFonts w:hint="eastAsia" w:ascii="宋体" w:hAnsi="宋体" w:eastAsia="宋体" w:cs="Arial"/>
          <w:color w:val="000000"/>
          <w:szCs w:val="21"/>
        </w:rPr>
        <w:t>本文件规定了运用原位热解模拟法测定富油煤焦油产率的方法、试剂和材料、仪器和设备、测试步骤、结果计算、精密度和测定报告。</w:t>
      </w:r>
    </w:p>
    <w:p>
      <w:pPr>
        <w:pStyle w:val="46"/>
        <w:spacing w:line="400" w:lineRule="exact"/>
        <w:ind w:firstLine="420" w:firstLineChars="200"/>
        <w:rPr>
          <w:rFonts w:ascii="宋体" w:hAnsi="宋体" w:eastAsia="宋体" w:cs="Arial"/>
          <w:color w:val="000000"/>
          <w:szCs w:val="21"/>
        </w:rPr>
      </w:pPr>
      <w:r>
        <w:rPr>
          <w:rFonts w:hint="eastAsia" w:ascii="宋体" w:hAnsi="宋体" w:eastAsia="宋体" w:cs="Arial"/>
          <w:color w:val="000000"/>
          <w:szCs w:val="21"/>
        </w:rPr>
        <w:t>本文件适用于富油煤</w:t>
      </w:r>
      <w:r>
        <w:rPr>
          <w:rFonts w:hint="eastAsia" w:ascii="宋体" w:hAnsi="宋体" w:eastAsia="宋体" w:cs="Arial"/>
          <w:color w:val="000000"/>
          <w:szCs w:val="21"/>
          <w:lang w:val="en-US" w:eastAsia="zh-CN"/>
        </w:rPr>
        <w:t>在加压、气体注入条件下的热解产物产率测定</w:t>
      </w:r>
      <w:r>
        <w:rPr>
          <w:rFonts w:hint="eastAsia" w:ascii="宋体" w:hAnsi="宋体" w:eastAsia="宋体" w:cs="Arial"/>
          <w:color w:val="000000"/>
          <w:szCs w:val="21"/>
        </w:rPr>
        <w:t>。</w:t>
      </w:r>
    </w:p>
    <w:p>
      <w:pPr>
        <w:pStyle w:val="3"/>
        <w:spacing w:before="312" w:beforeLines="100" w:after="312" w:afterLines="100" w:line="400" w:lineRule="exact"/>
        <w:rPr>
          <w:rFonts w:ascii="黑体" w:hAnsi="宋体"/>
          <w:color w:val="FF0000"/>
          <w:sz w:val="24"/>
        </w:rPr>
      </w:pPr>
      <w:bookmarkStart w:id="3" w:name="_Toc493770479"/>
      <w:r>
        <w:rPr>
          <w:rFonts w:hint="eastAsia" w:ascii="黑体" w:hAnsi="黑体" w:eastAsia="黑体" w:cs="黑体"/>
          <w:b w:val="0"/>
          <w:sz w:val="21"/>
          <w:szCs w:val="21"/>
        </w:rPr>
        <w:t>2  规范性引用文件</w:t>
      </w:r>
      <w:bookmarkEnd w:id="3"/>
      <w:r>
        <w:rPr>
          <w:rFonts w:hint="eastAsia" w:ascii="黑体" w:hAnsi="黑体" w:eastAsia="黑体" w:cs="黑体"/>
          <w:b w:val="0"/>
          <w:sz w:val="21"/>
          <w:szCs w:val="21"/>
        </w:rPr>
        <w:t xml:space="preserve">  </w:t>
      </w:r>
      <w:r>
        <w:rPr>
          <w:rFonts w:hint="eastAsia" w:ascii="黑体" w:hAnsi="宋体"/>
          <w:color w:val="FF0000"/>
          <w:sz w:val="24"/>
        </w:rPr>
        <w:t xml:space="preserve">  </w:t>
      </w:r>
    </w:p>
    <w:p>
      <w:pPr>
        <w:spacing w:line="400" w:lineRule="exact"/>
        <w:ind w:firstLine="420" w:firstLineChars="200"/>
        <w:rPr>
          <w:rFonts w:hint="eastAsia" w:ascii="宋体" w:hAnsi="宋体" w:eastAsia="宋体" w:cs="宋体"/>
          <w:color w:val="000000"/>
          <w:szCs w:val="21"/>
        </w:rPr>
      </w:pPr>
      <w:bookmarkStart w:id="10" w:name="_GoBack"/>
      <w:r>
        <w:rPr>
          <w:rFonts w:hint="eastAsia" w:ascii="宋体" w:hAnsi="宋体" w:eastAsia="宋体" w:cs="宋体"/>
          <w:color w:val="000000"/>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p>
    <w:p>
      <w:pPr>
        <w:spacing w:line="400" w:lineRule="exact"/>
        <w:ind w:firstLine="420" w:firstLineChars="200"/>
        <w:rPr>
          <w:rFonts w:hint="eastAsia" w:ascii="宋体" w:hAnsi="宋体" w:eastAsia="宋体" w:cs="宋体"/>
          <w:color w:val="000000"/>
          <w:szCs w:val="21"/>
        </w:rPr>
      </w:pPr>
      <w:r>
        <w:rPr>
          <w:rFonts w:hint="eastAsia" w:ascii="宋体" w:hAnsi="宋体" w:eastAsia="宋体" w:cs="宋体"/>
          <w:color w:val="000000"/>
          <w:szCs w:val="21"/>
        </w:rPr>
        <w:t>GB/T 12937 煤岩术语</w:t>
      </w:r>
    </w:p>
    <w:p>
      <w:pPr>
        <w:spacing w:line="400" w:lineRule="exact"/>
        <w:ind w:firstLine="420" w:firstLineChars="200"/>
        <w:rPr>
          <w:rFonts w:hint="eastAsia" w:ascii="宋体" w:hAnsi="宋体" w:eastAsia="宋体" w:cs="宋体"/>
          <w:color w:val="000000"/>
          <w:szCs w:val="21"/>
        </w:rPr>
      </w:pPr>
      <w:r>
        <w:rPr>
          <w:rFonts w:hint="eastAsia" w:ascii="宋体" w:hAnsi="宋体" w:eastAsia="宋体" w:cs="宋体"/>
          <w:color w:val="000000"/>
          <w:szCs w:val="21"/>
        </w:rPr>
        <w:t>GB/T 3715 煤质及煤分析有关术语</w:t>
      </w:r>
    </w:p>
    <w:p>
      <w:pPr>
        <w:spacing w:line="400" w:lineRule="exact"/>
        <w:ind w:firstLine="420" w:firstLineChars="200"/>
        <w:rPr>
          <w:rFonts w:hint="eastAsia" w:ascii="宋体" w:hAnsi="宋体" w:eastAsia="宋体" w:cs="宋体"/>
          <w:color w:val="000000"/>
          <w:szCs w:val="21"/>
        </w:rPr>
      </w:pPr>
      <w:r>
        <w:rPr>
          <w:rFonts w:hint="eastAsia" w:ascii="宋体" w:hAnsi="宋体" w:eastAsia="宋体" w:cs="宋体"/>
          <w:color w:val="000000"/>
          <w:szCs w:val="21"/>
        </w:rPr>
        <w:t>GB 474 煤样的制备方法</w:t>
      </w:r>
    </w:p>
    <w:p>
      <w:pPr>
        <w:spacing w:line="400" w:lineRule="exact"/>
        <w:ind w:firstLine="420" w:firstLineChars="200"/>
        <w:rPr>
          <w:rFonts w:hint="eastAsia" w:ascii="宋体" w:hAnsi="宋体" w:eastAsia="宋体" w:cs="宋体"/>
          <w:color w:val="000000"/>
          <w:szCs w:val="21"/>
        </w:rPr>
      </w:pPr>
      <w:r>
        <w:rPr>
          <w:rFonts w:hint="eastAsia" w:ascii="宋体" w:hAnsi="宋体" w:eastAsia="宋体" w:cs="宋体"/>
          <w:color w:val="000000"/>
          <w:szCs w:val="21"/>
        </w:rPr>
        <w:t>GB/T 19494.2 煤机械化采样 第2部分：煤样的制备</w:t>
      </w:r>
    </w:p>
    <w:p>
      <w:pPr>
        <w:spacing w:line="400" w:lineRule="exact"/>
        <w:ind w:firstLine="420" w:firstLineChars="200"/>
        <w:rPr>
          <w:rFonts w:hint="eastAsia" w:ascii="宋体" w:hAnsi="宋体" w:eastAsia="宋体" w:cs="宋体"/>
          <w:color w:val="000000"/>
          <w:szCs w:val="21"/>
        </w:rPr>
      </w:pPr>
      <w:r>
        <w:rPr>
          <w:rFonts w:hint="eastAsia" w:ascii="宋体" w:hAnsi="宋体" w:eastAsia="宋体" w:cs="宋体"/>
          <w:color w:val="000000"/>
          <w:szCs w:val="21"/>
        </w:rPr>
        <w:t>GB/T 480-2019 煤的铝甑低温干馏试验方法</w:t>
      </w:r>
    </w:p>
    <w:p>
      <w:pPr>
        <w:spacing w:line="400" w:lineRule="exact"/>
        <w:ind w:firstLine="420" w:firstLineChars="200"/>
        <w:rPr>
          <w:rFonts w:hint="eastAsia" w:ascii="宋体" w:hAnsi="宋体" w:eastAsia="宋体" w:cs="宋体"/>
          <w:color w:val="000000"/>
          <w:szCs w:val="21"/>
        </w:rPr>
      </w:pPr>
      <w:r>
        <w:rPr>
          <w:rFonts w:hint="eastAsia" w:ascii="宋体" w:hAnsi="宋体" w:eastAsia="宋体" w:cs="宋体"/>
          <w:color w:val="000000"/>
          <w:szCs w:val="21"/>
        </w:rPr>
        <w:t>GB/T 9977 焦化产品术语</w:t>
      </w:r>
    </w:p>
    <w:p>
      <w:pPr>
        <w:spacing w:line="400" w:lineRule="exact"/>
        <w:ind w:firstLine="420" w:firstLineChars="200"/>
        <w:rPr>
          <w:rFonts w:hint="eastAsia" w:ascii="宋体" w:hAnsi="宋体" w:eastAsia="宋体" w:cs="宋体"/>
          <w:color w:val="000000"/>
          <w:szCs w:val="21"/>
        </w:rPr>
      </w:pPr>
      <w:r>
        <w:rPr>
          <w:rFonts w:hint="eastAsia" w:ascii="宋体" w:hAnsi="宋体" w:eastAsia="宋体" w:cs="宋体"/>
          <w:color w:val="000000"/>
          <w:szCs w:val="21"/>
        </w:rPr>
        <w:t>GB/T 1999 焦化油类产品取样方法</w:t>
      </w:r>
    </w:p>
    <w:p>
      <w:pPr>
        <w:spacing w:line="400" w:lineRule="exact"/>
        <w:ind w:firstLine="420" w:firstLineChars="200"/>
        <w:rPr>
          <w:rFonts w:hint="eastAsia" w:ascii="宋体" w:hAnsi="宋体" w:eastAsia="宋体" w:cs="宋体"/>
          <w:color w:val="000000"/>
          <w:szCs w:val="21"/>
        </w:rPr>
      </w:pPr>
      <w:r>
        <w:rPr>
          <w:rFonts w:hint="eastAsia" w:ascii="宋体" w:hAnsi="宋体" w:eastAsia="宋体" w:cs="宋体"/>
          <w:color w:val="000000"/>
          <w:szCs w:val="21"/>
        </w:rPr>
        <w:t>T/GRM 114 富油煤原位热解术语</w:t>
      </w:r>
    </w:p>
    <w:bookmarkEnd w:id="10"/>
    <w:p>
      <w:pPr>
        <w:pStyle w:val="3"/>
        <w:spacing w:before="312" w:beforeLines="100" w:after="312" w:afterLines="100" w:line="400" w:lineRule="exact"/>
        <w:rPr>
          <w:rFonts w:hint="default" w:ascii="黑体" w:hAnsi="黑体" w:eastAsia="黑体" w:cs="黑体"/>
          <w:b w:val="0"/>
          <w:sz w:val="21"/>
          <w:szCs w:val="21"/>
          <w:lang w:val="en-US" w:eastAsia="zh-CN"/>
        </w:rPr>
      </w:pPr>
      <w:bookmarkStart w:id="4" w:name="_Toc493770480"/>
      <w:r>
        <w:rPr>
          <w:rFonts w:hint="eastAsia" w:ascii="黑体" w:hAnsi="黑体" w:eastAsia="黑体" w:cs="黑体"/>
          <w:b w:val="0"/>
          <w:sz w:val="21"/>
          <w:szCs w:val="21"/>
        </w:rPr>
        <w:t xml:space="preserve">3  </w:t>
      </w:r>
      <w:r>
        <w:rPr>
          <w:rFonts w:hint="eastAsia" w:ascii="黑体" w:hAnsi="黑体" w:eastAsia="黑体" w:cs="黑体"/>
          <w:b w:val="0"/>
          <w:sz w:val="21"/>
          <w:szCs w:val="21"/>
          <w:lang w:val="en-US" w:eastAsia="zh-CN"/>
        </w:rPr>
        <w:t>术语和定义</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rPr>
      </w:pPr>
      <w:r>
        <w:rPr>
          <w:rFonts w:hint="eastAsia" w:ascii="宋体" w:hAnsi="宋体" w:eastAsia="宋体" w:cs="Arial"/>
          <w:color w:val="000000"/>
          <w:szCs w:val="21"/>
        </w:rPr>
        <w:t>下列术语和定义适用于本文件。</w:t>
      </w:r>
    </w:p>
    <w:p>
      <w:pPr>
        <w:pStyle w:val="11"/>
        <w:rPr>
          <w:rFonts w:hint="eastAsia" w:ascii="黑体" w:hAnsi="黑体" w:eastAsia="黑体" w:cs="黑体"/>
          <w:lang w:val="en-US" w:eastAsia="zh-CN"/>
        </w:rPr>
      </w:pPr>
      <w:r>
        <w:rPr>
          <w:rFonts w:hint="eastAsia" w:ascii="黑体" w:hAnsi="黑体" w:eastAsia="黑体" w:cs="黑体"/>
          <w:lang w:val="en-US" w:eastAsia="zh-CN"/>
        </w:rPr>
        <w:t xml:space="preserve">3.1  </w:t>
      </w:r>
    </w:p>
    <w:p>
      <w:pPr>
        <w:pStyle w:val="11"/>
        <w:ind w:firstLine="420" w:firstLineChars="200"/>
        <w:rPr>
          <w:rFonts w:hint="eastAsia" w:ascii="黑体" w:hAnsi="黑体" w:eastAsia="黑体" w:cs="黑体"/>
          <w:lang w:val="en-US" w:eastAsia="zh-CN"/>
        </w:rPr>
      </w:pPr>
      <w:r>
        <w:rPr>
          <w:rFonts w:hint="eastAsia" w:ascii="黑体" w:hAnsi="黑体" w:eastAsia="黑体" w:cs="黑体"/>
          <w:color w:val="000000"/>
          <w:szCs w:val="21"/>
        </w:rPr>
        <w:t>富油煤</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rPr>
      </w:pPr>
      <w:r>
        <w:rPr>
          <w:rFonts w:hint="eastAsia" w:ascii="宋体" w:hAnsi="宋体" w:eastAsia="宋体" w:cs="Arial"/>
          <w:color w:val="000000"/>
          <w:szCs w:val="21"/>
          <w:lang w:val="en-US" w:eastAsia="zh-CN"/>
        </w:rPr>
        <w:t>焦油产率大于等于7%</w:t>
      </w:r>
      <w:r>
        <w:rPr>
          <w:rFonts w:hint="eastAsia" w:ascii="宋体" w:hAnsi="宋体" w:eastAsia="宋体" w:cs="Arial"/>
          <w:color w:val="000000"/>
          <w:szCs w:val="21"/>
        </w:rPr>
        <w:t>的煤种。</w:t>
      </w:r>
    </w:p>
    <w:p>
      <w:pPr>
        <w:pStyle w:val="11"/>
        <w:rPr>
          <w:rFonts w:hint="eastAsia" w:ascii="黑体" w:hAnsi="黑体" w:eastAsia="黑体" w:cs="黑体"/>
          <w:lang w:val="en-US" w:eastAsia="zh-CN"/>
        </w:rPr>
      </w:pPr>
      <w:r>
        <w:rPr>
          <w:rFonts w:hint="eastAsia" w:ascii="黑体" w:hAnsi="黑体" w:eastAsia="黑体" w:cs="黑体"/>
          <w:lang w:val="en-US" w:eastAsia="zh-CN"/>
        </w:rPr>
        <w:t xml:space="preserve">3.2  </w:t>
      </w:r>
    </w:p>
    <w:p>
      <w:pPr>
        <w:pStyle w:val="11"/>
        <w:ind w:firstLine="420" w:firstLineChars="200"/>
        <w:rPr>
          <w:rFonts w:hint="eastAsia" w:ascii="黑体" w:hAnsi="黑体" w:eastAsia="黑体" w:cs="黑体"/>
          <w:lang w:val="en-US" w:eastAsia="zh-CN"/>
        </w:rPr>
      </w:pPr>
      <w:r>
        <w:rPr>
          <w:rFonts w:hint="eastAsia" w:ascii="黑体" w:hAnsi="黑体" w:eastAsia="黑体" w:cs="黑体"/>
          <w:lang w:val="en-US" w:eastAsia="zh-CN"/>
        </w:rPr>
        <w:t>原位热解模拟</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rPr>
      </w:pPr>
      <w:r>
        <w:rPr>
          <w:rFonts w:hint="eastAsia" w:ascii="宋体" w:hAnsi="宋体" w:eastAsia="宋体" w:cs="Arial"/>
          <w:color w:val="000000"/>
          <w:szCs w:val="21"/>
        </w:rPr>
        <w:t>模拟地下</w:t>
      </w:r>
      <w:r>
        <w:rPr>
          <w:rFonts w:hint="eastAsia" w:ascii="宋体" w:hAnsi="宋体" w:eastAsia="宋体" w:cs="Arial"/>
          <w:color w:val="000000"/>
          <w:szCs w:val="21"/>
          <w:lang w:val="en-US" w:eastAsia="zh-CN"/>
        </w:rPr>
        <w:t>热解工况</w:t>
      </w:r>
      <w:r>
        <w:rPr>
          <w:rFonts w:hint="eastAsia" w:ascii="宋体" w:hAnsi="宋体" w:eastAsia="宋体" w:cs="Arial"/>
          <w:color w:val="000000"/>
          <w:szCs w:val="21"/>
        </w:rPr>
        <w:t>条件，</w:t>
      </w:r>
      <w:r>
        <w:rPr>
          <w:rFonts w:hint="eastAsia" w:ascii="宋体" w:hAnsi="宋体" w:eastAsia="宋体" w:cs="Arial"/>
          <w:color w:val="000000"/>
          <w:szCs w:val="21"/>
          <w:lang w:val="en-US" w:eastAsia="zh-CN"/>
        </w:rPr>
        <w:t>在加压、气体注入条件下</w:t>
      </w:r>
      <w:r>
        <w:rPr>
          <w:rFonts w:hint="eastAsia" w:ascii="宋体" w:hAnsi="宋体" w:eastAsia="宋体" w:cs="Arial"/>
          <w:color w:val="000000"/>
          <w:szCs w:val="21"/>
        </w:rPr>
        <w:t>煤样进行</w:t>
      </w:r>
      <w:r>
        <w:rPr>
          <w:rFonts w:hint="eastAsia" w:ascii="宋体" w:hAnsi="宋体" w:eastAsia="宋体" w:cs="Arial"/>
          <w:color w:val="000000"/>
          <w:szCs w:val="21"/>
          <w:lang w:val="en-US" w:eastAsia="zh-CN"/>
        </w:rPr>
        <w:t>热解</w:t>
      </w:r>
      <w:r>
        <w:rPr>
          <w:rFonts w:hint="eastAsia" w:ascii="宋体" w:hAnsi="宋体" w:eastAsia="宋体" w:cs="Arial"/>
          <w:color w:val="000000"/>
          <w:szCs w:val="21"/>
        </w:rPr>
        <w:t>处理的过程。</w:t>
      </w:r>
    </w:p>
    <w:p>
      <w:pPr>
        <w:pStyle w:val="11"/>
        <w:rPr>
          <w:rFonts w:hint="eastAsia" w:ascii="黑体" w:hAnsi="黑体" w:eastAsia="黑体" w:cs="黑体"/>
          <w:lang w:val="en-US" w:eastAsia="zh-CN"/>
        </w:rPr>
      </w:pPr>
      <w:r>
        <w:rPr>
          <w:rFonts w:hint="eastAsia" w:ascii="黑体" w:hAnsi="黑体" w:eastAsia="黑体" w:cs="黑体"/>
          <w:lang w:val="en-US" w:eastAsia="zh-CN"/>
        </w:rPr>
        <w:t xml:space="preserve">3.3  </w:t>
      </w:r>
    </w:p>
    <w:p>
      <w:pPr>
        <w:pStyle w:val="11"/>
        <w:ind w:firstLine="420" w:firstLineChars="200"/>
        <w:rPr>
          <w:rFonts w:hint="eastAsia" w:ascii="黑体" w:hAnsi="黑体" w:eastAsia="黑体" w:cs="黑体"/>
          <w:lang w:val="en-US" w:eastAsia="zh-CN"/>
        </w:rPr>
      </w:pPr>
      <w:r>
        <w:rPr>
          <w:rFonts w:hint="eastAsia" w:ascii="黑体" w:hAnsi="黑体" w:eastAsia="黑体" w:cs="黑体"/>
          <w:lang w:val="en-US" w:eastAsia="zh-CN"/>
        </w:rPr>
        <w:t>焦油产率</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rPr>
      </w:pPr>
      <w:r>
        <w:rPr>
          <w:rFonts w:hint="eastAsia" w:ascii="宋体" w:hAnsi="宋体" w:eastAsia="宋体" w:cs="Arial"/>
          <w:color w:val="000000"/>
          <w:szCs w:val="21"/>
        </w:rPr>
        <w:t>单位质量煤样在热解后所得焦油的质量百分比。</w:t>
      </w:r>
    </w:p>
    <w:p>
      <w:pPr>
        <w:pStyle w:val="3"/>
        <w:spacing w:before="312" w:beforeLines="100" w:after="312" w:afterLines="100" w:line="400" w:lineRule="exact"/>
        <w:rPr>
          <w:rFonts w:hint="eastAsia" w:ascii="黑体" w:hAnsi="黑体" w:eastAsia="黑体" w:cs="黑体"/>
          <w:b w:val="0"/>
          <w:sz w:val="21"/>
          <w:szCs w:val="21"/>
          <w:lang w:val="en-US" w:eastAsia="zh-CN"/>
        </w:rPr>
      </w:pPr>
      <w:r>
        <w:rPr>
          <w:rFonts w:hint="eastAsia" w:ascii="黑体" w:hAnsi="黑体" w:eastAsia="黑体" w:cs="黑体"/>
          <w:b w:val="0"/>
          <w:sz w:val="21"/>
          <w:szCs w:val="21"/>
          <w:lang w:val="en-US" w:eastAsia="zh-CN"/>
        </w:rPr>
        <w:t>4</w:t>
      </w:r>
      <w:r>
        <w:rPr>
          <w:rFonts w:hint="eastAsia" w:ascii="黑体" w:hAnsi="黑体" w:eastAsia="黑体" w:cs="黑体"/>
          <w:b w:val="0"/>
          <w:sz w:val="21"/>
          <w:szCs w:val="21"/>
        </w:rPr>
        <w:t xml:space="preserve">  </w:t>
      </w:r>
      <w:bookmarkEnd w:id="4"/>
      <w:r>
        <w:rPr>
          <w:rFonts w:hint="eastAsia" w:ascii="黑体" w:hAnsi="黑体" w:eastAsia="黑体" w:cs="黑体"/>
          <w:b w:val="0"/>
          <w:sz w:val="21"/>
          <w:szCs w:val="21"/>
          <w:lang w:val="en-US" w:eastAsia="zh-CN"/>
        </w:rPr>
        <w:t>试样制备</w:t>
      </w:r>
    </w:p>
    <w:p>
      <w:pPr>
        <w:pStyle w:val="11"/>
        <w:rPr>
          <w:rFonts w:hint="eastAsia"/>
          <w:lang w:val="en-US" w:eastAsia="zh-CN"/>
        </w:rPr>
      </w:pPr>
      <w:r>
        <w:rPr>
          <w:rFonts w:hint="eastAsia"/>
          <w:lang w:val="en-US" w:eastAsia="zh-CN"/>
        </w:rPr>
        <w:t>4</w:t>
      </w:r>
      <w:r>
        <w:rPr>
          <w:rFonts w:hint="eastAsia"/>
        </w:rPr>
        <w:t xml:space="preserve">.1  </w:t>
      </w:r>
      <w:r>
        <w:rPr>
          <w:rFonts w:hint="eastAsia"/>
          <w:lang w:val="en-US" w:eastAsia="zh-CN"/>
        </w:rPr>
        <w:t>一般规定</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试样可选用钻孔芯样和块状煤样，块状煤样需采用钻孔设备钻取圆柱形样芯，并采用切割打磨设备按试验所需规格加工。</w:t>
      </w:r>
    </w:p>
    <w:p>
      <w:pPr>
        <w:pStyle w:val="11"/>
        <w:rPr>
          <w:rFonts w:hint="default"/>
          <w:lang w:val="en-US" w:eastAsia="zh-CN"/>
        </w:rPr>
      </w:pPr>
      <w:r>
        <w:rPr>
          <w:rFonts w:hint="eastAsia"/>
          <w:lang w:val="en-US" w:eastAsia="zh-CN"/>
        </w:rPr>
        <w:t>4</w:t>
      </w:r>
      <w:r>
        <w:rPr>
          <w:rFonts w:hint="eastAsia"/>
        </w:rPr>
        <w:t>.</w:t>
      </w:r>
      <w:r>
        <w:rPr>
          <w:rFonts w:hint="eastAsia"/>
          <w:lang w:val="en-US" w:eastAsia="zh-CN"/>
        </w:rPr>
        <w:t>2</w:t>
      </w:r>
      <w:r>
        <w:rPr>
          <w:rFonts w:hint="eastAsia"/>
        </w:rPr>
        <w:t xml:space="preserve">  </w:t>
      </w:r>
      <w:r>
        <w:rPr>
          <w:rFonts w:hint="eastAsia"/>
          <w:lang w:val="en-US" w:eastAsia="zh-CN"/>
        </w:rPr>
        <w:t>试样规格</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试样应为圆柱体试样，尺寸宜为直径100mm、长度500mm。试样可将多段直径相同圆柱体拼接，拼接面需径向切割并打磨平整。钻孔芯样可按比例缩放。</w:t>
      </w:r>
    </w:p>
    <w:p>
      <w:pPr>
        <w:pStyle w:val="11"/>
        <w:rPr>
          <w:rFonts w:hint="default"/>
          <w:lang w:val="en-US" w:eastAsia="zh-CN"/>
        </w:rPr>
      </w:pPr>
      <w:r>
        <w:rPr>
          <w:rFonts w:hint="eastAsia"/>
          <w:lang w:val="en-US" w:eastAsia="zh-CN"/>
        </w:rPr>
        <w:t>4</w:t>
      </w:r>
      <w:r>
        <w:rPr>
          <w:rFonts w:hint="eastAsia"/>
        </w:rPr>
        <w:t>.</w:t>
      </w:r>
      <w:r>
        <w:rPr>
          <w:rFonts w:hint="eastAsia"/>
          <w:lang w:val="en-US" w:eastAsia="zh-CN"/>
        </w:rPr>
        <w:t>3</w:t>
      </w:r>
      <w:r>
        <w:rPr>
          <w:rFonts w:hint="eastAsia"/>
        </w:rPr>
        <w:t xml:space="preserve">  </w:t>
      </w:r>
      <w:r>
        <w:rPr>
          <w:rFonts w:hint="eastAsia"/>
          <w:lang w:val="en-US" w:eastAsia="zh-CN"/>
        </w:rPr>
        <w:t>试样制备</w:t>
      </w:r>
    </w:p>
    <w:p>
      <w:pPr>
        <w:pStyle w:val="46"/>
        <w:keepNext w:val="0"/>
        <w:keepLines w:val="0"/>
        <w:pageBreakBefore w:val="0"/>
        <w:widowControl/>
        <w:numPr>
          <w:ilvl w:val="0"/>
          <w:numId w:val="2"/>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原始试样在采集、运输和制备过程中宜避免外界扰动和损伤；</w:t>
      </w:r>
    </w:p>
    <w:p>
      <w:pPr>
        <w:pStyle w:val="46"/>
        <w:keepNext w:val="0"/>
        <w:keepLines w:val="0"/>
        <w:pageBreakBefore w:val="0"/>
        <w:widowControl/>
        <w:numPr>
          <w:ilvl w:val="0"/>
          <w:numId w:val="2"/>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制备圆柱形试样时，宜采用钻孔设备钻取圆柱形样芯，并采用切割打磨设备按试验所需尺寸加工；</w:t>
      </w:r>
    </w:p>
    <w:p>
      <w:pPr>
        <w:pStyle w:val="46"/>
        <w:keepNext w:val="0"/>
        <w:keepLines w:val="0"/>
        <w:pageBreakBefore w:val="0"/>
        <w:widowControl/>
        <w:numPr>
          <w:ilvl w:val="0"/>
          <w:numId w:val="2"/>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试样两端面的不平整度允许偏差为±0.02mm；</w:t>
      </w:r>
    </w:p>
    <w:p>
      <w:pPr>
        <w:pStyle w:val="46"/>
        <w:keepNext w:val="0"/>
        <w:keepLines w:val="0"/>
        <w:pageBreakBefore w:val="0"/>
        <w:widowControl/>
        <w:numPr>
          <w:ilvl w:val="0"/>
          <w:numId w:val="2"/>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试样高度、直径的允许偏差为±0.1mm；</w:t>
      </w:r>
    </w:p>
    <w:p>
      <w:pPr>
        <w:pStyle w:val="46"/>
        <w:keepNext w:val="0"/>
        <w:keepLines w:val="0"/>
        <w:pageBreakBefore w:val="0"/>
        <w:widowControl/>
        <w:numPr>
          <w:ilvl w:val="0"/>
          <w:numId w:val="2"/>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试样端面应垂直于试样轴线，允许偏差为±0.20°；</w:t>
      </w:r>
    </w:p>
    <w:p>
      <w:pPr>
        <w:pStyle w:val="46"/>
        <w:keepNext w:val="0"/>
        <w:keepLines w:val="0"/>
        <w:pageBreakBefore w:val="0"/>
        <w:widowControl/>
        <w:numPr>
          <w:ilvl w:val="0"/>
          <w:numId w:val="2"/>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相同试验条件下每组试样的数量应不少于2个；</w:t>
      </w:r>
    </w:p>
    <w:p>
      <w:pPr>
        <w:pStyle w:val="46"/>
        <w:keepNext w:val="0"/>
        <w:keepLines w:val="0"/>
        <w:pageBreakBefore w:val="0"/>
        <w:widowControl/>
        <w:numPr>
          <w:ilvl w:val="0"/>
          <w:numId w:val="2"/>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试样外需用钛合金套管包裹。</w:t>
      </w:r>
    </w:p>
    <w:p>
      <w:pPr>
        <w:pStyle w:val="11"/>
        <w:rPr>
          <w:rFonts w:hint="eastAsia" w:cs="Times New Roman"/>
          <w:lang w:val="en-US" w:eastAsia="zh-CN"/>
        </w:rPr>
      </w:pPr>
      <w:bookmarkStart w:id="5" w:name="_Toc493770486"/>
      <w:r>
        <w:rPr>
          <w:rFonts w:hint="eastAsia" w:cs="Times New Roman"/>
          <w:lang w:val="en-US" w:eastAsia="zh-CN"/>
        </w:rPr>
        <w:t xml:space="preserve">5  </w:t>
      </w:r>
      <w:bookmarkEnd w:id="5"/>
      <w:r>
        <w:rPr>
          <w:rFonts w:hint="eastAsia" w:cs="Times New Roman"/>
          <w:lang w:val="en-US" w:eastAsia="zh-CN"/>
        </w:rPr>
        <w:t>仪器设备与测试系统</w:t>
      </w:r>
    </w:p>
    <w:p>
      <w:pPr>
        <w:pStyle w:val="11"/>
        <w:rPr>
          <w:rFonts w:hint="default" w:eastAsia="黑体"/>
          <w:lang w:val="en-US" w:eastAsia="zh-CN"/>
        </w:rPr>
      </w:pPr>
      <w:r>
        <w:rPr>
          <w:rFonts w:hint="eastAsia"/>
          <w:lang w:val="en-US" w:eastAsia="zh-CN"/>
        </w:rPr>
        <w:t>5</w:t>
      </w:r>
      <w:r>
        <w:rPr>
          <w:rFonts w:hint="eastAsia"/>
        </w:rPr>
        <w:t xml:space="preserve">.1  </w:t>
      </w:r>
      <w:r>
        <w:rPr>
          <w:rFonts w:hint="eastAsia"/>
          <w:lang w:val="en-US" w:eastAsia="zh-CN"/>
        </w:rPr>
        <w:t>一般规定</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5.1.1试验仪器、仪表、各类传感器应进行周期性检定和校准，并按照实际检定和校准结果详实记录。若检定和校准中发现仪器仪表故障或测试精度不满足试验要求，应及时维修或更换。</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5.1.2试样测试前应详实记录试验试样信息，试样测试后应详实记录试样变化信息。记录信息时可采用素描或拍照等记录方法。</w:t>
      </w:r>
    </w:p>
    <w:p>
      <w:pPr>
        <w:pStyle w:val="11"/>
        <w:rPr>
          <w:rFonts w:hint="eastAsia" w:eastAsia="黑体"/>
          <w:lang w:eastAsia="zh-CN"/>
        </w:rPr>
      </w:pPr>
      <w:r>
        <w:rPr>
          <w:rFonts w:hint="eastAsia"/>
          <w:lang w:val="en-US" w:eastAsia="zh-CN"/>
        </w:rPr>
        <w:t>5</w:t>
      </w:r>
      <w:r>
        <w:rPr>
          <w:rFonts w:hint="eastAsia"/>
        </w:rPr>
        <w:t>.</w:t>
      </w:r>
      <w:r>
        <w:rPr>
          <w:rFonts w:hint="eastAsia"/>
          <w:lang w:val="en-US" w:eastAsia="zh-CN"/>
        </w:rPr>
        <w:t>2</w:t>
      </w:r>
      <w:r>
        <w:rPr>
          <w:rFonts w:hint="eastAsia"/>
        </w:rPr>
        <w:t xml:space="preserve">  加热</w:t>
      </w:r>
      <w:r>
        <w:rPr>
          <w:rFonts w:hint="eastAsia"/>
          <w:lang w:val="en-US" w:eastAsia="zh-CN"/>
        </w:rPr>
        <w:t>设备</w:t>
      </w:r>
    </w:p>
    <w:p>
      <w:pPr>
        <w:pStyle w:val="46"/>
        <w:keepNext w:val="0"/>
        <w:keepLines w:val="0"/>
        <w:pageBreakBefore w:val="0"/>
        <w:widowControl/>
        <w:numPr>
          <w:numId w:val="0"/>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rPr>
      </w:pPr>
      <w:r>
        <w:rPr>
          <w:rFonts w:hint="eastAsia" w:ascii="宋体" w:hAnsi="宋体" w:eastAsia="宋体" w:cs="Arial"/>
          <w:color w:val="000000"/>
          <w:szCs w:val="21"/>
          <w:lang w:val="en-US" w:eastAsia="zh-CN"/>
        </w:rPr>
        <w:t>a）炉体宜</w:t>
      </w:r>
      <w:r>
        <w:rPr>
          <w:rFonts w:hint="eastAsia" w:ascii="宋体" w:hAnsi="宋体" w:eastAsia="宋体" w:cs="Arial"/>
          <w:color w:val="000000"/>
          <w:szCs w:val="21"/>
        </w:rPr>
        <w:t>采用半开式开炉方式，方便样品装卸；</w:t>
      </w:r>
    </w:p>
    <w:p>
      <w:pPr>
        <w:pStyle w:val="46"/>
        <w:keepNext w:val="0"/>
        <w:keepLines w:val="0"/>
        <w:pageBreakBefore w:val="0"/>
        <w:widowControl/>
        <w:numPr>
          <w:numId w:val="0"/>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rPr>
      </w:pPr>
      <w:r>
        <w:rPr>
          <w:rFonts w:hint="eastAsia" w:ascii="宋体" w:hAnsi="宋体" w:eastAsia="宋体" w:cs="Arial"/>
          <w:color w:val="000000"/>
          <w:szCs w:val="21"/>
          <w:lang w:val="en-US" w:eastAsia="zh-CN"/>
        </w:rPr>
        <w:t>b）宜配备钛合金岩心塞与石墨密封圈，</w:t>
      </w:r>
      <w:r>
        <w:rPr>
          <w:rFonts w:hint="eastAsia" w:ascii="宋体" w:hAnsi="宋体" w:eastAsia="宋体" w:cs="Arial"/>
          <w:color w:val="000000"/>
          <w:szCs w:val="21"/>
        </w:rPr>
        <w:t>保证高温下长期稳定密封</w:t>
      </w:r>
      <w:r>
        <w:rPr>
          <w:rFonts w:hint="eastAsia" w:ascii="宋体" w:hAnsi="宋体" w:eastAsia="宋体" w:cs="Arial"/>
          <w:color w:val="000000"/>
          <w:szCs w:val="21"/>
          <w:lang w:eastAsia="zh-CN"/>
        </w:rPr>
        <w:t>；</w:t>
      </w:r>
    </w:p>
    <w:p>
      <w:pPr>
        <w:pStyle w:val="46"/>
        <w:keepNext w:val="0"/>
        <w:keepLines w:val="0"/>
        <w:pageBreakBefore w:val="0"/>
        <w:widowControl/>
        <w:numPr>
          <w:numId w:val="0"/>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rPr>
      </w:pPr>
      <w:r>
        <w:rPr>
          <w:rFonts w:hint="eastAsia" w:ascii="宋体" w:hAnsi="宋体" w:eastAsia="宋体" w:cs="Arial"/>
          <w:color w:val="000000"/>
          <w:szCs w:val="21"/>
          <w:lang w:val="en-US" w:eastAsia="zh-CN"/>
        </w:rPr>
        <w:t>c）应配备</w:t>
      </w:r>
      <w:r>
        <w:rPr>
          <w:rFonts w:hint="eastAsia" w:ascii="宋体" w:hAnsi="宋体" w:eastAsia="宋体" w:cs="Arial"/>
          <w:color w:val="000000"/>
          <w:szCs w:val="21"/>
        </w:rPr>
        <w:t>顶紧机构，补偿高温下产生的体变</w:t>
      </w:r>
      <w:r>
        <w:rPr>
          <w:rFonts w:hint="eastAsia" w:ascii="宋体" w:hAnsi="宋体" w:eastAsia="宋体" w:cs="Arial"/>
          <w:color w:val="000000"/>
          <w:szCs w:val="21"/>
          <w:lang w:eastAsia="zh-CN"/>
        </w:rPr>
        <w:t>；</w:t>
      </w:r>
    </w:p>
    <w:p>
      <w:pPr>
        <w:pStyle w:val="46"/>
        <w:keepNext w:val="0"/>
        <w:keepLines w:val="0"/>
        <w:pageBreakBefore w:val="0"/>
        <w:widowControl/>
        <w:numPr>
          <w:numId w:val="0"/>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d</w:t>
      </w:r>
      <w:r>
        <w:rPr>
          <w:rFonts w:hint="eastAsia" w:ascii="宋体" w:hAnsi="宋体" w:eastAsia="宋体" w:cs="Arial"/>
          <w:color w:val="000000"/>
          <w:szCs w:val="21"/>
          <w:lang w:eastAsia="zh-CN"/>
        </w:rPr>
        <w:t>）</w:t>
      </w:r>
      <w:r>
        <w:rPr>
          <w:rFonts w:hint="eastAsia" w:ascii="宋体" w:hAnsi="宋体" w:eastAsia="宋体" w:cs="Arial"/>
          <w:color w:val="000000"/>
          <w:szCs w:val="21"/>
        </w:rPr>
        <w:t>炉体外部</w:t>
      </w:r>
      <w:r>
        <w:rPr>
          <w:rFonts w:hint="eastAsia" w:ascii="宋体" w:hAnsi="宋体" w:eastAsia="宋体" w:cs="Arial"/>
          <w:color w:val="000000"/>
          <w:szCs w:val="21"/>
          <w:lang w:val="en-US" w:eastAsia="zh-CN"/>
        </w:rPr>
        <w:t>应</w:t>
      </w:r>
      <w:r>
        <w:rPr>
          <w:rFonts w:hint="eastAsia" w:ascii="宋体" w:hAnsi="宋体" w:eastAsia="宋体" w:cs="Arial"/>
          <w:color w:val="000000"/>
          <w:szCs w:val="21"/>
        </w:rPr>
        <w:t>设置</w:t>
      </w:r>
      <w:r>
        <w:rPr>
          <w:rFonts w:hint="eastAsia" w:ascii="宋体" w:hAnsi="宋体" w:eastAsia="宋体" w:cs="Arial"/>
          <w:color w:val="000000"/>
          <w:szCs w:val="21"/>
          <w:lang w:val="en-US" w:eastAsia="zh-CN"/>
        </w:rPr>
        <w:t>柔性隔热</w:t>
      </w:r>
      <w:r>
        <w:rPr>
          <w:rFonts w:hint="eastAsia" w:ascii="宋体" w:hAnsi="宋体" w:eastAsia="宋体" w:cs="Arial"/>
          <w:color w:val="000000"/>
          <w:szCs w:val="21"/>
        </w:rPr>
        <w:t>保温层</w:t>
      </w:r>
      <w:r>
        <w:rPr>
          <w:rFonts w:hint="eastAsia" w:ascii="宋体" w:hAnsi="宋体" w:eastAsia="宋体" w:cs="Arial"/>
          <w:color w:val="000000"/>
          <w:szCs w:val="21"/>
          <w:lang w:eastAsia="zh-CN"/>
        </w:rPr>
        <w:t>；</w:t>
      </w:r>
    </w:p>
    <w:p>
      <w:pPr>
        <w:pStyle w:val="46"/>
        <w:keepNext w:val="0"/>
        <w:keepLines w:val="0"/>
        <w:pageBreakBefore w:val="0"/>
        <w:widowControl/>
        <w:numPr>
          <w:numId w:val="0"/>
        </w:numPr>
        <w:kinsoku/>
        <w:wordWrap/>
        <w:overflowPunct/>
        <w:topLinePunct w:val="0"/>
        <w:autoSpaceDE/>
        <w:autoSpaceDN/>
        <w:bidi w:val="0"/>
        <w:adjustRightInd/>
        <w:snapToGrid/>
        <w:spacing w:line="400" w:lineRule="exact"/>
        <w:ind w:firstLine="420" w:firstLineChars="200"/>
        <w:textAlignment w:val="auto"/>
        <w:rPr>
          <w:rFonts w:hint="eastAsia"/>
        </w:rPr>
      </w:pPr>
      <w:r>
        <w:rPr>
          <w:rFonts w:hint="eastAsia" w:ascii="宋体" w:hAnsi="宋体" w:eastAsia="宋体" w:cs="Arial"/>
          <w:color w:val="000000"/>
          <w:szCs w:val="21"/>
          <w:lang w:val="en-US" w:eastAsia="zh-CN"/>
        </w:rPr>
        <w:t>e）热源最高加热温度不宜低于1000℃；</w:t>
      </w:r>
    </w:p>
    <w:p>
      <w:pPr>
        <w:pStyle w:val="46"/>
        <w:keepNext w:val="0"/>
        <w:keepLines w:val="0"/>
        <w:pageBreakBefore w:val="0"/>
        <w:widowControl/>
        <w:numPr>
          <w:numId w:val="0"/>
        </w:numPr>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eastAsia" w:ascii="宋体" w:hAnsi="宋体" w:eastAsia="宋体" w:cs="Arial"/>
          <w:color w:val="000000"/>
          <w:szCs w:val="21"/>
          <w:lang w:val="en-US" w:eastAsia="zh-CN"/>
        </w:rPr>
        <w:t>f）应具有实时测温功能，测温点能直达样品附近的高温区域；</w:t>
      </w:r>
    </w:p>
    <w:p>
      <w:pPr>
        <w:pStyle w:val="46"/>
        <w:keepNext w:val="0"/>
        <w:keepLines w:val="0"/>
        <w:pageBreakBefore w:val="0"/>
        <w:widowControl/>
        <w:numPr>
          <w:numId w:val="0"/>
        </w:numPr>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eastAsia" w:ascii="宋体" w:hAnsi="宋体" w:eastAsia="宋体" w:cs="Arial"/>
          <w:color w:val="000000"/>
          <w:szCs w:val="21"/>
          <w:lang w:val="en-US" w:eastAsia="zh-CN"/>
        </w:rPr>
        <w:t>g）应配备循环控温系统，全域温差不宜超过5℃，控温精度应优于±0.2℃。</w:t>
      </w:r>
    </w:p>
    <w:p>
      <w:pPr>
        <w:pStyle w:val="11"/>
        <w:rPr>
          <w:rFonts w:hint="eastAsia" w:eastAsia="黑体"/>
          <w:lang w:eastAsia="zh-CN"/>
        </w:rPr>
      </w:pPr>
      <w:bookmarkStart w:id="6" w:name="_Toc493770488"/>
      <w:r>
        <w:rPr>
          <w:rFonts w:hint="eastAsia"/>
          <w:lang w:val="en-US" w:eastAsia="zh-CN"/>
        </w:rPr>
        <w:t>5</w:t>
      </w:r>
      <w:r>
        <w:rPr>
          <w:rFonts w:hint="eastAsia"/>
        </w:rPr>
        <w:t>.</w:t>
      </w:r>
      <w:r>
        <w:rPr>
          <w:rFonts w:hint="eastAsia"/>
          <w:lang w:val="en-US" w:eastAsia="zh-CN"/>
        </w:rPr>
        <w:t>3</w:t>
      </w:r>
      <w:r>
        <w:rPr>
          <w:rFonts w:hint="eastAsia"/>
        </w:rPr>
        <w:t xml:space="preserve">  </w:t>
      </w:r>
      <w:bookmarkEnd w:id="6"/>
      <w:r>
        <w:rPr>
          <w:rFonts w:hint="eastAsia"/>
        </w:rPr>
        <w:t>加压</w:t>
      </w:r>
      <w:r>
        <w:rPr>
          <w:rFonts w:hint="eastAsia"/>
          <w:lang w:val="en-US" w:eastAsia="zh-CN"/>
        </w:rPr>
        <w:t>设备</w:t>
      </w:r>
    </w:p>
    <w:p>
      <w:pPr>
        <w:pStyle w:val="46"/>
        <w:keepNext w:val="0"/>
        <w:keepLines w:val="0"/>
        <w:pageBreakBefore w:val="0"/>
        <w:widowControl/>
        <w:numPr>
          <w:ilvl w:val="0"/>
          <w:numId w:val="3"/>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能够独立加载围压和轴压；</w:t>
      </w:r>
    </w:p>
    <w:p>
      <w:pPr>
        <w:pStyle w:val="46"/>
        <w:keepNext w:val="0"/>
        <w:keepLines w:val="0"/>
        <w:pageBreakBefore w:val="0"/>
        <w:widowControl/>
        <w:numPr>
          <w:ilvl w:val="0"/>
          <w:numId w:val="3"/>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应具备轴压和围压的自动跟踪加载或恒压加载能力；</w:t>
      </w:r>
    </w:p>
    <w:p>
      <w:pPr>
        <w:pStyle w:val="46"/>
        <w:keepNext w:val="0"/>
        <w:keepLines w:val="0"/>
        <w:pageBreakBefore w:val="0"/>
        <w:widowControl/>
        <w:numPr>
          <w:ilvl w:val="0"/>
          <w:numId w:val="3"/>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施加轴压与围压上限不宜低于30MPa；</w:t>
      </w:r>
    </w:p>
    <w:p>
      <w:pPr>
        <w:pStyle w:val="46"/>
        <w:keepNext w:val="0"/>
        <w:keepLines w:val="0"/>
        <w:pageBreakBefore w:val="0"/>
        <w:widowControl/>
        <w:numPr>
          <w:ilvl w:val="0"/>
          <w:numId w:val="3"/>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传压介质应耐最高加热温度；</w:t>
      </w:r>
    </w:p>
    <w:p>
      <w:pPr>
        <w:pStyle w:val="46"/>
        <w:keepNext w:val="0"/>
        <w:keepLines w:val="0"/>
        <w:pageBreakBefore w:val="0"/>
        <w:widowControl/>
        <w:numPr>
          <w:ilvl w:val="0"/>
          <w:numId w:val="3"/>
        </w:numPr>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eastAsia" w:ascii="宋体" w:hAnsi="宋体" w:eastAsia="宋体" w:cs="Arial"/>
          <w:color w:val="000000"/>
          <w:szCs w:val="21"/>
          <w:lang w:val="en-US" w:eastAsia="zh-CN"/>
        </w:rPr>
        <w:t>应配备循环冷却装置，用于长时间加压时设备的散热。</w:t>
      </w:r>
    </w:p>
    <w:p>
      <w:pPr>
        <w:pStyle w:val="11"/>
        <w:rPr>
          <w:rFonts w:hint="eastAsia"/>
          <w:lang w:val="en-US" w:eastAsia="zh-CN"/>
        </w:rPr>
      </w:pPr>
      <w:r>
        <w:rPr>
          <w:rFonts w:hint="eastAsia"/>
          <w:lang w:val="en-US" w:eastAsia="zh-CN"/>
        </w:rPr>
        <w:t>5</w:t>
      </w:r>
      <w:r>
        <w:rPr>
          <w:rFonts w:hint="eastAsia"/>
        </w:rPr>
        <w:t>.</w:t>
      </w:r>
      <w:r>
        <w:rPr>
          <w:rFonts w:hint="eastAsia"/>
          <w:lang w:val="en-US" w:eastAsia="zh-CN"/>
        </w:rPr>
        <w:t xml:space="preserve">4  </w:t>
      </w:r>
      <w:r>
        <w:rPr>
          <w:rFonts w:hint="eastAsia"/>
        </w:rPr>
        <w:t>气体注入</w:t>
      </w:r>
      <w:r>
        <w:rPr>
          <w:rFonts w:hint="eastAsia"/>
          <w:lang w:val="en-US" w:eastAsia="zh-CN"/>
        </w:rPr>
        <w:t>设备</w:t>
      </w:r>
    </w:p>
    <w:p>
      <w:pPr>
        <w:pStyle w:val="46"/>
        <w:keepNext w:val="0"/>
        <w:keepLines w:val="0"/>
        <w:pageBreakBefore w:val="0"/>
        <w:widowControl/>
        <w:numPr>
          <w:ilvl w:val="0"/>
          <w:numId w:val="4"/>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应配备水蒸气、氮气、二氧化碳、氧气等多种气源；</w:t>
      </w:r>
    </w:p>
    <w:p>
      <w:pPr>
        <w:pStyle w:val="46"/>
        <w:keepNext w:val="0"/>
        <w:keepLines w:val="0"/>
        <w:pageBreakBefore w:val="0"/>
        <w:widowControl/>
        <w:numPr>
          <w:ilvl w:val="0"/>
          <w:numId w:val="4"/>
        </w:numPr>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default" w:ascii="宋体" w:hAnsi="宋体" w:eastAsia="宋体" w:cs="Arial"/>
          <w:color w:val="000000"/>
          <w:szCs w:val="21"/>
          <w:lang w:val="en-US" w:eastAsia="zh-CN"/>
        </w:rPr>
        <w:t>每种气体均</w:t>
      </w:r>
      <w:r>
        <w:rPr>
          <w:rFonts w:hint="eastAsia" w:ascii="宋体" w:hAnsi="宋体" w:eastAsia="宋体" w:cs="Arial"/>
          <w:color w:val="000000"/>
          <w:szCs w:val="21"/>
          <w:lang w:val="en-US" w:eastAsia="zh-CN"/>
        </w:rPr>
        <w:t>应</w:t>
      </w:r>
      <w:r>
        <w:rPr>
          <w:rFonts w:hint="default" w:ascii="宋体" w:hAnsi="宋体" w:eastAsia="宋体" w:cs="Arial"/>
          <w:color w:val="000000"/>
          <w:szCs w:val="21"/>
          <w:lang w:val="en-US" w:eastAsia="zh-CN"/>
        </w:rPr>
        <w:t>进行定量控制，气体注入流量上限不宜低于5m</w:t>
      </w:r>
      <w:r>
        <w:rPr>
          <w:rFonts w:hint="default" w:ascii="宋体" w:hAnsi="宋体" w:eastAsia="宋体" w:cs="Arial"/>
          <w:color w:val="000000"/>
          <w:szCs w:val="21"/>
          <w:vertAlign w:val="superscript"/>
          <w:lang w:val="en-US" w:eastAsia="zh-CN"/>
        </w:rPr>
        <w:t>3</w:t>
      </w:r>
      <w:r>
        <w:rPr>
          <w:rFonts w:hint="default" w:ascii="宋体" w:hAnsi="宋体" w:eastAsia="宋体" w:cs="Arial"/>
          <w:color w:val="000000"/>
          <w:szCs w:val="21"/>
          <w:lang w:val="en-US" w:eastAsia="zh-CN"/>
        </w:rPr>
        <w:t>/h</w:t>
      </w:r>
      <w:r>
        <w:rPr>
          <w:rFonts w:hint="eastAsia" w:ascii="宋体" w:hAnsi="宋体" w:eastAsia="宋体" w:cs="Arial"/>
          <w:color w:val="000000"/>
          <w:szCs w:val="21"/>
          <w:lang w:val="en-US" w:eastAsia="zh-CN"/>
        </w:rPr>
        <w:t>，</w:t>
      </w:r>
      <w:r>
        <w:rPr>
          <w:rFonts w:hint="default" w:ascii="宋体" w:hAnsi="宋体" w:eastAsia="宋体" w:cs="Arial"/>
          <w:color w:val="000000"/>
          <w:szCs w:val="21"/>
          <w:lang w:val="en-US" w:eastAsia="zh-CN"/>
        </w:rPr>
        <w:t>流量</w:t>
      </w:r>
      <w:r>
        <w:rPr>
          <w:rFonts w:hint="eastAsia" w:ascii="宋体" w:hAnsi="宋体" w:eastAsia="宋体" w:cs="Arial"/>
          <w:color w:val="000000"/>
          <w:szCs w:val="21"/>
          <w:lang w:val="en-US" w:eastAsia="zh-CN"/>
        </w:rPr>
        <w:t>控制</w:t>
      </w:r>
      <w:r>
        <w:rPr>
          <w:rFonts w:hint="default" w:ascii="宋体" w:hAnsi="宋体" w:eastAsia="宋体" w:cs="Arial"/>
          <w:color w:val="000000"/>
          <w:szCs w:val="21"/>
          <w:lang w:val="en-US" w:eastAsia="zh-CN"/>
        </w:rPr>
        <w:t>精度应优于±1%；</w:t>
      </w:r>
    </w:p>
    <w:p>
      <w:pPr>
        <w:pStyle w:val="46"/>
        <w:keepNext w:val="0"/>
        <w:keepLines w:val="0"/>
        <w:pageBreakBefore w:val="0"/>
        <w:widowControl/>
        <w:numPr>
          <w:ilvl w:val="0"/>
          <w:numId w:val="4"/>
        </w:numPr>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eastAsia" w:ascii="宋体" w:hAnsi="宋体" w:eastAsia="宋体" w:cs="Arial"/>
          <w:color w:val="000000"/>
          <w:szCs w:val="21"/>
          <w:lang w:val="en-US" w:eastAsia="zh-CN"/>
        </w:rPr>
        <w:t>应配备带安全阀和放气阀的</w:t>
      </w:r>
      <w:r>
        <w:rPr>
          <w:rFonts w:hint="default" w:ascii="宋体" w:hAnsi="宋体" w:eastAsia="宋体" w:cs="Arial"/>
          <w:color w:val="000000"/>
          <w:szCs w:val="21"/>
          <w:lang w:val="en-US" w:eastAsia="zh-CN"/>
        </w:rPr>
        <w:t>配气罐</w:t>
      </w:r>
      <w:r>
        <w:rPr>
          <w:rFonts w:hint="eastAsia" w:ascii="宋体" w:hAnsi="宋体" w:eastAsia="宋体" w:cs="Arial"/>
          <w:color w:val="000000"/>
          <w:szCs w:val="21"/>
          <w:lang w:val="en-US" w:eastAsia="zh-CN"/>
        </w:rPr>
        <w:t>，用于不同比例气体混合</w:t>
      </w:r>
      <w:r>
        <w:rPr>
          <w:rFonts w:hint="default" w:ascii="宋体" w:hAnsi="宋体" w:eastAsia="宋体" w:cs="Arial"/>
          <w:color w:val="000000"/>
          <w:szCs w:val="21"/>
          <w:lang w:val="en-US" w:eastAsia="zh-CN"/>
        </w:rPr>
        <w:t>；</w:t>
      </w:r>
    </w:p>
    <w:p>
      <w:pPr>
        <w:pStyle w:val="46"/>
        <w:keepNext w:val="0"/>
        <w:keepLines w:val="0"/>
        <w:pageBreakBefore w:val="0"/>
        <w:widowControl/>
        <w:numPr>
          <w:ilvl w:val="0"/>
          <w:numId w:val="4"/>
        </w:numPr>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eastAsia" w:ascii="宋体" w:hAnsi="宋体" w:eastAsia="宋体" w:cs="Arial"/>
          <w:color w:val="000000"/>
          <w:szCs w:val="21"/>
          <w:lang w:val="en-US" w:eastAsia="zh-CN"/>
        </w:rPr>
        <w:t>应配备</w:t>
      </w:r>
      <w:r>
        <w:rPr>
          <w:rFonts w:hint="default" w:ascii="宋体" w:hAnsi="宋体" w:eastAsia="宋体" w:cs="Arial"/>
          <w:color w:val="000000"/>
          <w:szCs w:val="21"/>
          <w:lang w:val="en-US" w:eastAsia="zh-CN"/>
        </w:rPr>
        <w:t>气体增压泵</w:t>
      </w:r>
      <w:r>
        <w:rPr>
          <w:rFonts w:hint="eastAsia" w:ascii="宋体" w:hAnsi="宋体" w:eastAsia="宋体" w:cs="Arial"/>
          <w:color w:val="000000"/>
          <w:szCs w:val="21"/>
          <w:lang w:val="en-US" w:eastAsia="zh-CN"/>
        </w:rPr>
        <w:t>，</w:t>
      </w:r>
      <w:r>
        <w:rPr>
          <w:rFonts w:hint="default" w:ascii="宋体" w:hAnsi="宋体" w:eastAsia="宋体" w:cs="Arial"/>
          <w:color w:val="000000"/>
          <w:szCs w:val="21"/>
          <w:lang w:val="en-US" w:eastAsia="zh-CN"/>
        </w:rPr>
        <w:t>控制</w:t>
      </w:r>
      <w:r>
        <w:rPr>
          <w:rFonts w:hint="eastAsia" w:ascii="宋体" w:hAnsi="宋体" w:eastAsia="宋体" w:cs="Arial"/>
          <w:color w:val="000000"/>
          <w:szCs w:val="21"/>
          <w:lang w:val="en-US" w:eastAsia="zh-CN"/>
        </w:rPr>
        <w:t>气体注入压力，注入</w:t>
      </w:r>
      <w:r>
        <w:rPr>
          <w:rFonts w:hint="default" w:ascii="宋体" w:hAnsi="宋体" w:eastAsia="宋体" w:cs="Arial"/>
          <w:color w:val="000000"/>
          <w:szCs w:val="21"/>
          <w:lang w:val="en-US" w:eastAsia="zh-CN"/>
        </w:rPr>
        <w:t>压力</w:t>
      </w:r>
      <w:r>
        <w:rPr>
          <w:rFonts w:hint="eastAsia" w:ascii="宋体" w:hAnsi="宋体" w:eastAsia="宋体" w:cs="Arial"/>
          <w:color w:val="000000"/>
          <w:szCs w:val="21"/>
          <w:lang w:val="en-US" w:eastAsia="zh-CN"/>
        </w:rPr>
        <w:t>不宜低于轴压、围压</w:t>
      </w:r>
      <w:r>
        <w:rPr>
          <w:rFonts w:hint="default" w:ascii="宋体" w:hAnsi="宋体" w:eastAsia="宋体" w:cs="Arial"/>
          <w:color w:val="000000"/>
          <w:szCs w:val="21"/>
          <w:lang w:val="en-US" w:eastAsia="zh-CN"/>
        </w:rPr>
        <w:t>；</w:t>
      </w:r>
    </w:p>
    <w:p>
      <w:pPr>
        <w:pStyle w:val="46"/>
        <w:keepNext w:val="0"/>
        <w:keepLines w:val="0"/>
        <w:pageBreakBefore w:val="0"/>
        <w:widowControl/>
        <w:numPr>
          <w:ilvl w:val="0"/>
          <w:numId w:val="4"/>
        </w:numPr>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default" w:ascii="宋体" w:hAnsi="宋体" w:eastAsia="宋体" w:cs="Arial"/>
          <w:color w:val="000000"/>
          <w:szCs w:val="21"/>
          <w:lang w:val="en-US" w:eastAsia="zh-CN"/>
        </w:rPr>
        <w:t>应配置高压气体流量计实时调控注入速率</w:t>
      </w:r>
      <w:r>
        <w:rPr>
          <w:rFonts w:hint="eastAsia" w:ascii="宋体" w:hAnsi="宋体" w:eastAsia="宋体" w:cs="Arial"/>
          <w:color w:val="000000"/>
          <w:szCs w:val="21"/>
          <w:lang w:val="en-US" w:eastAsia="zh-CN"/>
        </w:rPr>
        <w:t>，</w:t>
      </w:r>
      <w:r>
        <w:rPr>
          <w:rFonts w:hint="default" w:ascii="宋体" w:hAnsi="宋体" w:eastAsia="宋体" w:cs="Arial"/>
          <w:color w:val="000000"/>
          <w:szCs w:val="21"/>
          <w:lang w:val="en-US" w:eastAsia="zh-CN"/>
        </w:rPr>
        <w:t>流量控制精度应优于±1%。</w:t>
      </w:r>
    </w:p>
    <w:p>
      <w:pPr>
        <w:pStyle w:val="11"/>
        <w:rPr>
          <w:rFonts w:hint="eastAsia" w:eastAsia="黑体"/>
          <w:lang w:eastAsia="zh-CN"/>
        </w:rPr>
      </w:pPr>
      <w:r>
        <w:rPr>
          <w:rFonts w:hint="eastAsia"/>
          <w:lang w:val="en-US" w:eastAsia="zh-CN"/>
        </w:rPr>
        <w:t>5</w:t>
      </w:r>
      <w:r>
        <w:rPr>
          <w:rFonts w:hint="eastAsia"/>
        </w:rPr>
        <w:t>.</w:t>
      </w:r>
      <w:r>
        <w:rPr>
          <w:rFonts w:hint="eastAsia"/>
          <w:lang w:val="en-US" w:eastAsia="zh-CN"/>
        </w:rPr>
        <w:t>5  产物收集设备</w:t>
      </w:r>
    </w:p>
    <w:p>
      <w:pPr>
        <w:pStyle w:val="46"/>
        <w:keepNext w:val="0"/>
        <w:keepLines w:val="0"/>
        <w:pageBreakBefore w:val="0"/>
        <w:widowControl/>
        <w:numPr>
          <w:ilvl w:val="0"/>
          <w:numId w:val="5"/>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应配置冷却气液分离器；</w:t>
      </w:r>
    </w:p>
    <w:p>
      <w:pPr>
        <w:pStyle w:val="46"/>
        <w:keepNext w:val="0"/>
        <w:keepLines w:val="0"/>
        <w:pageBreakBefore w:val="0"/>
        <w:widowControl/>
        <w:numPr>
          <w:ilvl w:val="0"/>
          <w:numId w:val="5"/>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液体管路内径不宜低于20mm，且应一直向下延伸，防止液体凝固堵塞；</w:t>
      </w:r>
    </w:p>
    <w:p>
      <w:pPr>
        <w:pStyle w:val="46"/>
        <w:keepNext w:val="0"/>
        <w:keepLines w:val="0"/>
        <w:pageBreakBefore w:val="0"/>
        <w:widowControl/>
        <w:numPr>
          <w:ilvl w:val="0"/>
          <w:numId w:val="5"/>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气体计量计应满足计量精度0.1ml，最大量程不宜低于20m</w:t>
      </w:r>
      <w:r>
        <w:rPr>
          <w:rFonts w:hint="eastAsia" w:ascii="宋体" w:hAnsi="宋体" w:eastAsia="宋体" w:cs="Arial"/>
          <w:color w:val="000000"/>
          <w:szCs w:val="21"/>
          <w:vertAlign w:val="superscript"/>
          <w:lang w:val="en-US" w:eastAsia="zh-CN"/>
        </w:rPr>
        <w:t>3</w:t>
      </w:r>
      <w:r>
        <w:rPr>
          <w:rFonts w:hint="eastAsia" w:ascii="宋体" w:hAnsi="宋体" w:eastAsia="宋体" w:cs="Arial"/>
          <w:color w:val="000000"/>
          <w:szCs w:val="21"/>
          <w:lang w:val="en-US" w:eastAsia="zh-CN"/>
        </w:rPr>
        <w:t>/h；</w:t>
      </w:r>
    </w:p>
    <w:p>
      <w:pPr>
        <w:pStyle w:val="46"/>
        <w:keepNext w:val="0"/>
        <w:keepLines w:val="0"/>
        <w:pageBreakBefore w:val="0"/>
        <w:widowControl/>
        <w:numPr>
          <w:ilvl w:val="0"/>
          <w:numId w:val="5"/>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液体计量宜采用精密电子天平进行测量，要求可读性0.01g、最大称量质量应不低于2000g、重复性≤±1mg、线性≤±2mg；</w:t>
      </w:r>
    </w:p>
    <w:p>
      <w:pPr>
        <w:pStyle w:val="46"/>
        <w:keepNext w:val="0"/>
        <w:keepLines w:val="0"/>
        <w:pageBreakBefore w:val="0"/>
        <w:widowControl/>
        <w:numPr>
          <w:ilvl w:val="0"/>
          <w:numId w:val="5"/>
        </w:numPr>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宜配备铝箔采气袋和带盖玻璃采样瓶留存气、液产物。</w:t>
      </w:r>
    </w:p>
    <w:p>
      <w:pPr>
        <w:pStyle w:val="3"/>
        <w:spacing w:before="312" w:beforeLines="100" w:after="312" w:afterLines="100" w:line="400" w:lineRule="exact"/>
        <w:rPr>
          <w:rFonts w:hint="eastAsia" w:ascii="黑体" w:hAnsi="黑体" w:eastAsia="黑体" w:cs="黑体"/>
          <w:b w:val="0"/>
          <w:sz w:val="21"/>
          <w:szCs w:val="21"/>
        </w:rPr>
      </w:pPr>
      <w:r>
        <w:rPr>
          <w:rFonts w:hint="eastAsia" w:ascii="黑体" w:hAnsi="黑体" w:eastAsia="黑体" w:cs="黑体"/>
          <w:b w:val="0"/>
          <w:sz w:val="21"/>
          <w:szCs w:val="21"/>
          <w:lang w:val="en-US" w:eastAsia="zh-CN"/>
        </w:rPr>
        <w:t>6</w:t>
      </w:r>
      <w:r>
        <w:rPr>
          <w:rFonts w:hint="eastAsia" w:ascii="黑体" w:hAnsi="黑体" w:eastAsia="黑体" w:cs="黑体"/>
          <w:b w:val="0"/>
          <w:sz w:val="21"/>
          <w:szCs w:val="21"/>
        </w:rPr>
        <w:t xml:space="preserve">  测试步骤</w:t>
      </w:r>
    </w:p>
    <w:p>
      <w:pPr>
        <w:pStyle w:val="11"/>
      </w:pPr>
      <w:r>
        <w:rPr>
          <w:rFonts w:hint="eastAsia"/>
          <w:lang w:val="en-US" w:eastAsia="zh-CN"/>
        </w:rPr>
        <w:t>6</w:t>
      </w:r>
      <w:r>
        <w:rPr>
          <w:rFonts w:hint="eastAsia"/>
        </w:rPr>
        <w:t>.1  仪器准备</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打开电气设备开关，检查确定各设备处于正常运行状态，查看各设备状态与数据显示是否正常。</w:t>
      </w:r>
    </w:p>
    <w:p>
      <w:pPr>
        <w:pStyle w:val="11"/>
        <w:rPr>
          <w:rFonts w:hint="eastAsia"/>
        </w:rPr>
      </w:pPr>
      <w:r>
        <w:rPr>
          <w:rFonts w:hint="eastAsia"/>
          <w:lang w:val="en-US" w:eastAsia="zh-CN"/>
        </w:rPr>
        <w:t>6</w:t>
      </w:r>
      <w:r>
        <w:rPr>
          <w:rFonts w:hint="eastAsia"/>
        </w:rPr>
        <w:t xml:space="preserve">.2  </w:t>
      </w:r>
      <w:r>
        <w:rPr>
          <w:rFonts w:hint="eastAsia"/>
          <w:lang w:val="en-US" w:eastAsia="zh-CN"/>
        </w:rPr>
        <w:t>试样</w:t>
      </w:r>
      <w:r>
        <w:rPr>
          <w:rFonts w:hint="eastAsia"/>
        </w:rPr>
        <w:t>装配</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将试样放入炉体，两端装配岩心塞与石墨密封圈，紧固端盖，保证炉体的密封性。</w:t>
      </w:r>
    </w:p>
    <w:p>
      <w:pPr>
        <w:pStyle w:val="11"/>
        <w:rPr>
          <w:rFonts w:hint="eastAsia"/>
        </w:rPr>
      </w:pPr>
      <w:r>
        <w:rPr>
          <w:rFonts w:hint="eastAsia"/>
          <w:lang w:val="en-US" w:eastAsia="zh-CN"/>
        </w:rPr>
        <w:t>6</w:t>
      </w:r>
      <w:r>
        <w:rPr>
          <w:rFonts w:hint="eastAsia"/>
        </w:rPr>
        <w:t>.3吹扫清晰</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测试开始前，应用N</w:t>
      </w:r>
      <w:r>
        <w:rPr>
          <w:rFonts w:hint="eastAsia" w:ascii="宋体" w:hAnsi="宋体" w:eastAsia="宋体" w:cs="Arial"/>
          <w:color w:val="000000"/>
          <w:szCs w:val="21"/>
          <w:vertAlign w:val="subscript"/>
          <w:lang w:val="en-US" w:eastAsia="zh-CN"/>
        </w:rPr>
        <w:t>2</w:t>
      </w:r>
      <w:r>
        <w:rPr>
          <w:rFonts w:hint="eastAsia" w:ascii="宋体" w:hAnsi="宋体" w:eastAsia="宋体" w:cs="Arial"/>
          <w:color w:val="000000"/>
          <w:szCs w:val="21"/>
          <w:lang w:val="en-US" w:eastAsia="zh-CN"/>
        </w:rPr>
        <w:t>吹扫反应系统，吹扫时间不宜低于10min，流量不宜低于100mL/min，清洗测试系统。</w:t>
      </w:r>
    </w:p>
    <w:p>
      <w:pPr>
        <w:pStyle w:val="11"/>
        <w:rPr>
          <w:rFonts w:hint="eastAsia"/>
        </w:rPr>
      </w:pPr>
      <w:r>
        <w:rPr>
          <w:rFonts w:hint="eastAsia"/>
          <w:lang w:val="en-US" w:eastAsia="zh-CN"/>
        </w:rPr>
        <w:t>6</w:t>
      </w:r>
      <w:r>
        <w:rPr>
          <w:rFonts w:hint="eastAsia"/>
        </w:rPr>
        <w:t>.4加压</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启动轴压加载油泵，并设定轴压压力与加载速度；启动围压加载泵，并设定围压压力与加载速度。</w:t>
      </w:r>
    </w:p>
    <w:p>
      <w:pPr>
        <w:pStyle w:val="11"/>
        <w:rPr>
          <w:rFonts w:hint="eastAsia"/>
        </w:rPr>
      </w:pPr>
      <w:r>
        <w:rPr>
          <w:rFonts w:hint="eastAsia"/>
          <w:lang w:val="en-US" w:eastAsia="zh-CN"/>
        </w:rPr>
        <w:t>6</w:t>
      </w:r>
      <w:r>
        <w:rPr>
          <w:rFonts w:hint="eastAsia"/>
        </w:rPr>
        <w:t>.5加热</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当压力达到设定值后，打开加热系统，设定加热温度与加热时间进行加热。</w:t>
      </w:r>
    </w:p>
    <w:p>
      <w:pPr>
        <w:pStyle w:val="11"/>
        <w:rPr>
          <w:rFonts w:hint="eastAsia"/>
        </w:rPr>
      </w:pPr>
      <w:r>
        <w:rPr>
          <w:rFonts w:hint="eastAsia"/>
          <w:lang w:val="en-US" w:eastAsia="zh-CN"/>
        </w:rPr>
        <w:t>6</w:t>
      </w:r>
      <w:r>
        <w:rPr>
          <w:rFonts w:hint="eastAsia"/>
        </w:rPr>
        <w:t>.6加气</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按照测试需求设定气体配比、流量与流速，可在加热后以设定的流速将气体注入；或在某一设定温度达到恒温后，再注入。</w:t>
      </w:r>
    </w:p>
    <w:p>
      <w:pPr>
        <w:pStyle w:val="11"/>
        <w:rPr>
          <w:rFonts w:hint="eastAsia"/>
        </w:rPr>
      </w:pPr>
      <w:r>
        <w:rPr>
          <w:rFonts w:hint="eastAsia"/>
          <w:lang w:val="en-US" w:eastAsia="zh-CN"/>
        </w:rPr>
        <w:t>6</w:t>
      </w:r>
      <w:r>
        <w:rPr>
          <w:rFonts w:hint="eastAsia"/>
        </w:rPr>
        <w:t>.7产物计量</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pPr>
      <w:r>
        <w:rPr>
          <w:rFonts w:hint="eastAsia" w:ascii="宋体" w:hAnsi="宋体" w:eastAsia="宋体" w:cs="Arial"/>
          <w:color w:val="000000"/>
          <w:szCs w:val="21"/>
          <w:lang w:val="en-US" w:eastAsia="zh-CN"/>
        </w:rPr>
        <w:t>打开连续气体计量装置，进行出口气体计量，并收集至储气罐中；转移气液分离器中液体至电子天平称量，再按照GB/T 480中水分测定方法，确定液体中水分产量，利用差减法计算得到焦油产率。</w:t>
      </w:r>
    </w:p>
    <w:p>
      <w:pPr>
        <w:pStyle w:val="11"/>
        <w:rPr>
          <w:rFonts w:hint="eastAsia" w:cs="Times New Roman"/>
          <w:lang w:val="en-US" w:eastAsia="zh-CN"/>
        </w:rPr>
      </w:pPr>
      <w:r>
        <w:rPr>
          <w:rFonts w:hint="eastAsia" w:cs="Times New Roman"/>
          <w:lang w:val="en-US" w:eastAsia="zh-CN"/>
        </w:rPr>
        <w:t>7  结果表述</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产物的空气干燥基产率，按式（1）-（4）计算。</w:t>
      </w:r>
    </w:p>
    <w:p>
      <w:pPr>
        <w:pStyle w:val="46"/>
        <w:keepNext w:val="0"/>
        <w:keepLines w:val="0"/>
        <w:pageBreakBefore w:val="0"/>
        <w:widowControl/>
        <w:kinsoku/>
        <w:wordWrap/>
        <w:overflowPunct/>
        <w:topLinePunct w:val="0"/>
        <w:autoSpaceDE/>
        <w:autoSpaceDN/>
        <w:bidi w:val="0"/>
        <w:adjustRightInd/>
        <w:snapToGrid/>
        <w:spacing w:line="240" w:lineRule="auto"/>
        <w:ind w:firstLine="420" w:firstLineChars="200"/>
        <w:textAlignment w:val="auto"/>
        <w:rPr>
          <w:rFonts w:hint="default" w:ascii="宋体" w:hAnsi="宋体" w:eastAsia="宋体" w:cs="Arial"/>
          <w:color w:val="000000"/>
          <w:szCs w:val="21"/>
          <w:lang w:val="en-US" w:eastAsia="zh-CN"/>
        </w:rPr>
      </w:pPr>
      <w:r>
        <w:rPr>
          <w:rFonts w:hint="eastAsia" w:ascii="宋体" w:hAnsi="宋体" w:eastAsia="宋体" w:cs="Arial"/>
          <w:color w:val="000000"/>
          <w:szCs w:val="21"/>
          <w:lang w:val="en-US" w:eastAsia="zh-CN"/>
        </w:rPr>
        <w:t>焦油产率：</w:t>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object>
          <v:shape id="_x0000_i1025" o:spt="75" type="#_x0000_t75" style="height:31pt;width:108pt;" o:ole="t" filled="f" o:preferrelative="t" stroked="f" coordsize="21600,21600">
            <v:path/>
            <v:fill on="f" focussize="0,0"/>
            <v:stroke on="f"/>
            <v:imagedata r:id="rId14" o:title=""/>
            <o:lock v:ext="edit" aspectratio="t"/>
            <w10:wrap type="none"/>
            <w10:anchorlock/>
          </v:shape>
          <o:OLEObject Type="Embed" ProgID="Equation.KSEE3" ShapeID="_x0000_i1025" DrawAspect="Content" ObjectID="_1468075725" r:id="rId13">
            <o:LockedField>false</o:LockedField>
          </o:OLEObject>
        </w:object>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··········（1）</w:t>
      </w:r>
    </w:p>
    <w:p>
      <w:pPr>
        <w:pStyle w:val="46"/>
        <w:keepNext w:val="0"/>
        <w:keepLines w:val="0"/>
        <w:pageBreakBefore w:val="0"/>
        <w:widowControl/>
        <w:kinsoku/>
        <w:wordWrap/>
        <w:overflowPunct/>
        <w:topLinePunct w:val="0"/>
        <w:autoSpaceDE/>
        <w:autoSpaceDN/>
        <w:bidi w:val="0"/>
        <w:adjustRightInd/>
        <w:snapToGrid/>
        <w:spacing w:line="240" w:lineRule="auto"/>
        <w:ind w:firstLine="420" w:firstLineChars="200"/>
        <w:textAlignment w:val="auto"/>
        <w:rPr>
          <w:rFonts w:hint="default" w:ascii="宋体" w:hAnsi="宋体" w:eastAsia="宋体" w:cs="Arial"/>
          <w:color w:val="000000"/>
          <w:szCs w:val="21"/>
          <w:lang w:val="en-US" w:eastAsia="zh-CN"/>
        </w:rPr>
      </w:pPr>
      <w:r>
        <w:rPr>
          <w:rFonts w:hint="eastAsia" w:ascii="宋体" w:hAnsi="宋体" w:eastAsia="宋体" w:cs="Arial"/>
          <w:color w:val="000000"/>
          <w:szCs w:val="21"/>
          <w:lang w:val="en-US" w:eastAsia="zh-CN"/>
        </w:rPr>
        <w:t>总水分产率：</w:t>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object>
          <v:shape id="_x0000_i1026" o:spt="75" type="#_x0000_t75" style="height:31pt;width:96pt;" o:ole="t" filled="f" o:preferrelative="t" stroked="f" coordsize="21600,21600">
            <v:path/>
            <v:fill on="f" focussize="0,0"/>
            <v:stroke on="f"/>
            <v:imagedata r:id="rId16" o:title=""/>
            <o:lock v:ext="edit" aspectratio="t"/>
            <w10:wrap type="none"/>
            <w10:anchorlock/>
          </v:shape>
          <o:OLEObject Type="Embed" ProgID="Equation.KSEE3" ShapeID="_x0000_i1026" DrawAspect="Content" ObjectID="_1468075726" r:id="rId15">
            <o:LockedField>false</o:LockedField>
          </o:OLEObject>
        </w:object>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··········（2）</w:t>
      </w:r>
    </w:p>
    <w:p>
      <w:pPr>
        <w:pStyle w:val="46"/>
        <w:keepNext w:val="0"/>
        <w:keepLines w:val="0"/>
        <w:pageBreakBefore w:val="0"/>
        <w:widowControl/>
        <w:kinsoku/>
        <w:wordWrap/>
        <w:overflowPunct/>
        <w:topLinePunct w:val="0"/>
        <w:autoSpaceDE/>
        <w:autoSpaceDN/>
        <w:bidi w:val="0"/>
        <w:adjustRightInd/>
        <w:snapToGrid/>
        <w:spacing w:line="240" w:lineRule="auto"/>
        <w:ind w:firstLine="420" w:firstLineChars="200"/>
        <w:textAlignment w:val="auto"/>
        <w:rPr>
          <w:rFonts w:hint="default" w:ascii="宋体" w:hAnsi="宋体" w:eastAsia="宋体" w:cs="Arial"/>
          <w:color w:val="000000"/>
          <w:szCs w:val="21"/>
          <w:lang w:val="en-US" w:eastAsia="zh-CN"/>
        </w:rPr>
      </w:pPr>
      <w:r>
        <w:rPr>
          <w:rFonts w:hint="eastAsia" w:ascii="宋体" w:hAnsi="宋体" w:eastAsia="宋体" w:cs="Arial"/>
          <w:color w:val="000000"/>
          <w:szCs w:val="21"/>
          <w:lang w:val="en-US" w:eastAsia="zh-CN"/>
        </w:rPr>
        <w:t>热解水产率：</w:t>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object>
          <v:shape id="_x0000_i1027" o:spt="75" type="#_x0000_t75" style="height:19pt;width:108pt;" o:ole="t" filled="f" o:preferrelative="t" stroked="f" coordsize="21600,21600">
            <v:path/>
            <v:fill on="f" focussize="0,0"/>
            <v:stroke on="f"/>
            <v:imagedata r:id="rId18" o:title=""/>
            <o:lock v:ext="edit" aspectratio="t"/>
            <w10:wrap type="none"/>
            <w10:anchorlock/>
          </v:shape>
          <o:OLEObject Type="Embed" ProgID="Equation.KSEE3" ShapeID="_x0000_i1027" DrawAspect="Content" ObjectID="_1468075727" r:id="rId17">
            <o:LockedField>false</o:LockedField>
          </o:OLEObject>
        </w:object>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··········（3）</w:t>
      </w:r>
    </w:p>
    <w:p>
      <w:pPr>
        <w:pStyle w:val="46"/>
        <w:keepNext w:val="0"/>
        <w:keepLines w:val="0"/>
        <w:pageBreakBefore w:val="0"/>
        <w:widowControl/>
        <w:kinsoku/>
        <w:wordWrap/>
        <w:overflowPunct/>
        <w:topLinePunct w:val="0"/>
        <w:autoSpaceDE/>
        <w:autoSpaceDN/>
        <w:bidi w:val="0"/>
        <w:adjustRightInd/>
        <w:snapToGrid/>
        <w:spacing w:line="240" w:lineRule="auto"/>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半焦产率：</w:t>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object>
          <v:shape id="_x0000_i1028" o:spt="75" type="#_x0000_t75" style="height:31pt;width:83pt;" o:ole="t" filled="f" o:preferrelative="t" stroked="f" coordsize="21600,21600">
            <v:path/>
            <v:fill on="f" focussize="0,0"/>
            <v:stroke on="f"/>
            <v:imagedata r:id="rId20" o:title=""/>
            <o:lock v:ext="edit" aspectratio="t"/>
            <w10:wrap type="none"/>
            <w10:anchorlock/>
          </v:shape>
          <o:OLEObject Type="Embed" ProgID="Equation.KSEE3" ShapeID="_x0000_i1028" DrawAspect="Content" ObjectID="_1468075728" r:id="rId19">
            <o:LockedField>false</o:LockedField>
          </o:OLEObject>
        </w:object>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ab/>
      </w:r>
      <w:r>
        <w:rPr>
          <w:rFonts w:hint="eastAsia" w:ascii="宋体" w:hAnsi="宋体" w:eastAsia="宋体" w:cs="Arial"/>
          <w:color w:val="000000"/>
          <w:szCs w:val="21"/>
          <w:lang w:val="en-US" w:eastAsia="zh-CN"/>
        </w:rPr>
        <w:t>··········（4）</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式中：</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ma——液体产物总质量，单位为克（g）；</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mb——液体产物中水分的质量，单位为克（g）；</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mc——半焦总质量，单位为克（g）；</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m——一般分析煤样的质量，单位为克（g）；</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Mad——一般分析煤样的水分含量，%；</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Tarad——一般分析煤样的焦油产率，%；</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eastAsia" w:ascii="宋体" w:hAnsi="宋体" w:eastAsia="宋体" w:cs="Arial"/>
          <w:color w:val="000000"/>
          <w:szCs w:val="21"/>
          <w:lang w:val="en-US" w:eastAsia="zh-CN"/>
        </w:rPr>
        <w:t>Waterad——一般分析煤样的总水分产率，%；</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Wp，ad——一般分析煤样的热解水产率，%；</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eastAsia" w:ascii="宋体" w:hAnsi="宋体" w:eastAsia="宋体" w:cs="Arial"/>
          <w:color w:val="000000"/>
          <w:szCs w:val="21"/>
          <w:lang w:val="en-US" w:eastAsia="zh-CN"/>
        </w:rPr>
        <w:t>CRad——一般分析煤样的半焦产率，%；</w:t>
      </w:r>
    </w:p>
    <w:p>
      <w:pPr>
        <w:pStyle w:val="11"/>
        <w:rPr>
          <w:rFonts w:hint="default" w:cs="Times New Roman"/>
          <w:lang w:val="en-US" w:eastAsia="zh-CN"/>
        </w:rPr>
      </w:pPr>
      <w:bookmarkStart w:id="7" w:name="_Toc17952"/>
      <w:r>
        <w:rPr>
          <w:rFonts w:hint="eastAsia" w:cs="Times New Roman"/>
          <w:lang w:val="en-US" w:eastAsia="zh-CN"/>
        </w:rPr>
        <w:t>8  精密度</w:t>
      </w:r>
      <w:bookmarkEnd w:id="7"/>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default" w:ascii="宋体" w:hAnsi="宋体" w:eastAsia="宋体" w:cs="Arial"/>
          <w:color w:val="000000"/>
          <w:szCs w:val="21"/>
          <w:lang w:val="en-US" w:eastAsia="zh-CN"/>
        </w:rPr>
        <w:t>原位热解模拟法</w:t>
      </w:r>
      <w:r>
        <w:rPr>
          <w:rFonts w:hint="eastAsia" w:ascii="宋体" w:hAnsi="宋体" w:eastAsia="宋体" w:cs="Arial"/>
          <w:color w:val="000000"/>
          <w:szCs w:val="21"/>
          <w:lang w:val="en-US" w:eastAsia="zh-CN"/>
        </w:rPr>
        <w:t>的精密度应与符合下表1规定。</w:t>
      </w:r>
    </w:p>
    <w:p>
      <w:pPr>
        <w:pStyle w:val="42"/>
        <w:spacing w:line="420" w:lineRule="exact"/>
        <w:ind w:firstLine="0" w:firstLineChars="0"/>
        <w:jc w:val="center"/>
        <w:rPr>
          <w:rFonts w:hint="eastAsia" w:ascii="黑体" w:hAnsi="黑体" w:eastAsia="黑体"/>
          <w:szCs w:val="32"/>
          <w:lang w:val="en-US" w:eastAsia="zh-CN"/>
        </w:rPr>
      </w:pPr>
      <w:r>
        <w:rPr>
          <w:rFonts w:hint="eastAsia" w:ascii="黑体" w:hAnsi="黑体" w:eastAsia="黑体"/>
          <w:szCs w:val="32"/>
          <w:lang w:val="en-US" w:eastAsia="zh-CN"/>
        </w:rPr>
        <w:t xml:space="preserve">表 1  </w:t>
      </w:r>
      <w:r>
        <w:rPr>
          <w:rFonts w:hint="default" w:ascii="黑体" w:hAnsi="黑体" w:eastAsia="黑体"/>
          <w:szCs w:val="32"/>
          <w:lang w:val="en-US" w:eastAsia="zh-CN"/>
        </w:rPr>
        <w:t>原位热解模拟法</w:t>
      </w:r>
      <w:r>
        <w:rPr>
          <w:rFonts w:hint="eastAsia" w:ascii="黑体" w:hAnsi="黑体" w:eastAsia="黑体"/>
          <w:szCs w:val="32"/>
          <w:lang w:val="en-US" w:eastAsia="zh-CN"/>
        </w:rPr>
        <w:t>的精密度</w:t>
      </w:r>
    </w:p>
    <w:tbl>
      <w:tblPr>
        <w:tblStyle w:val="18"/>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261" w:type="dxa"/>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参数</w:t>
            </w:r>
          </w:p>
        </w:tc>
        <w:tc>
          <w:tcPr>
            <w:tcW w:w="4261" w:type="dxa"/>
          </w:tcPr>
          <w:p>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黑体" w:hAnsi="黑体" w:eastAsia="黑体" w:cs="黑体"/>
                <w:b w:val="0"/>
                <w:bCs w:val="0"/>
                <w:sz w:val="18"/>
                <w:szCs w:val="18"/>
                <w:vertAlign w:val="baseline"/>
                <w:lang w:val="en-US" w:eastAsia="zh-CN"/>
              </w:rPr>
            </w:pPr>
            <w:r>
              <w:rPr>
                <w:rFonts w:hint="eastAsia" w:ascii="黑体" w:hAnsi="黑体" w:eastAsia="黑体" w:cs="黑体"/>
                <w:b w:val="0"/>
                <w:bCs w:val="0"/>
                <w:sz w:val="18"/>
                <w:szCs w:val="18"/>
                <w:vertAlign w:val="baseline"/>
                <w:lang w:val="en-US" w:eastAsia="zh-CN"/>
              </w:rPr>
              <w:t>重复性限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26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eastAsia" w:ascii="宋体" w:hAnsi="宋体" w:eastAsia="宋体" w:cs="宋体"/>
                <w:b w:val="0"/>
                <w:bCs w:val="0"/>
                <w:sz w:val="18"/>
                <w:szCs w:val="18"/>
                <w:vertAlign w:val="baseline"/>
                <w:lang w:val="en-US" w:eastAsia="zh-CN"/>
              </w:rPr>
            </w:pPr>
            <w:r>
              <w:rPr>
                <w:rFonts w:hint="eastAsia" w:ascii="宋体" w:hAnsi="宋体" w:eastAsia="宋体" w:cs="宋体"/>
                <w:b w:val="0"/>
                <w:bCs w:val="0"/>
                <w:sz w:val="18"/>
                <w:szCs w:val="18"/>
                <w:vertAlign w:val="baseline"/>
                <w:lang w:val="en-US" w:eastAsia="zh-CN"/>
              </w:rPr>
              <w:t>总水分产率</w:t>
            </w:r>
          </w:p>
          <w:p>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eastAsia" w:ascii="宋体" w:hAnsi="宋体" w:eastAsia="宋体" w:cs="宋体"/>
                <w:b w:val="0"/>
                <w:bCs w:val="0"/>
                <w:sz w:val="18"/>
                <w:szCs w:val="18"/>
                <w:vertAlign w:val="baseline"/>
                <w:lang w:val="en-US" w:eastAsia="zh-CN"/>
              </w:rPr>
            </w:pPr>
            <w:r>
              <w:rPr>
                <w:rFonts w:hint="eastAsia" w:ascii="宋体" w:hAnsi="宋体" w:eastAsia="宋体" w:cs="宋体"/>
                <w:b w:val="0"/>
                <w:bCs w:val="0"/>
                <w:sz w:val="18"/>
                <w:szCs w:val="18"/>
                <w:vertAlign w:val="baseline"/>
                <w:lang w:val="en-US" w:eastAsia="zh-CN"/>
              </w:rPr>
              <w:t>Water</w:t>
            </w:r>
            <w:r>
              <w:rPr>
                <w:rFonts w:hint="eastAsia" w:ascii="宋体" w:hAnsi="宋体" w:eastAsia="宋体" w:cs="宋体"/>
                <w:b w:val="0"/>
                <w:bCs w:val="0"/>
                <w:sz w:val="18"/>
                <w:szCs w:val="18"/>
                <w:vertAlign w:val="subscript"/>
                <w:lang w:val="en-US" w:eastAsia="zh-CN"/>
              </w:rPr>
              <w:t>ad</w:t>
            </w:r>
            <w:r>
              <w:rPr>
                <w:rFonts w:hint="eastAsia" w:ascii="宋体" w:hAnsi="宋体" w:eastAsia="宋体" w:cs="宋体"/>
                <w:b w:val="0"/>
                <w:bCs w:val="0"/>
                <w:sz w:val="18"/>
                <w:szCs w:val="18"/>
                <w:vertAlign w:val="baseline"/>
                <w:lang w:val="en-US" w:eastAsia="zh-CN"/>
              </w:rPr>
              <w:t>/%</w:t>
            </w:r>
          </w:p>
        </w:tc>
        <w:tc>
          <w:tcPr>
            <w:tcW w:w="426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eastAsia" w:ascii="宋体" w:hAnsi="宋体" w:eastAsia="宋体" w:cs="宋体"/>
                <w:b w:val="0"/>
                <w:bCs w:val="0"/>
                <w:sz w:val="18"/>
                <w:szCs w:val="18"/>
                <w:vertAlign w:val="baseline"/>
                <w:lang w:val="en-US" w:eastAsia="zh-CN"/>
              </w:rPr>
            </w:pPr>
            <w:r>
              <w:rPr>
                <w:rFonts w:hint="eastAsia" w:ascii="宋体" w:hAnsi="宋体" w:eastAsia="宋体" w:cs="宋体"/>
                <w:b w:val="0"/>
                <w:bCs w:val="0"/>
                <w:sz w:val="18"/>
                <w:szCs w:val="18"/>
                <w:vertAlign w:val="baseline"/>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26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eastAsia" w:ascii="宋体" w:hAnsi="宋体" w:eastAsia="宋体" w:cs="宋体"/>
                <w:b w:val="0"/>
                <w:bCs w:val="0"/>
                <w:sz w:val="18"/>
                <w:szCs w:val="18"/>
                <w:vertAlign w:val="baseline"/>
                <w:lang w:val="en-US" w:eastAsia="zh-CN"/>
              </w:rPr>
            </w:pPr>
            <w:r>
              <w:rPr>
                <w:rFonts w:hint="eastAsia" w:ascii="宋体" w:hAnsi="宋体" w:eastAsia="宋体" w:cs="宋体"/>
                <w:b w:val="0"/>
                <w:bCs w:val="0"/>
                <w:sz w:val="18"/>
                <w:szCs w:val="18"/>
                <w:vertAlign w:val="baseline"/>
                <w:lang w:val="en-US" w:eastAsia="zh-CN"/>
              </w:rPr>
              <w:t>半焦产率</w:t>
            </w:r>
          </w:p>
          <w:p>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eastAsia" w:ascii="宋体" w:hAnsi="宋体" w:eastAsia="宋体" w:cs="宋体"/>
                <w:b w:val="0"/>
                <w:bCs w:val="0"/>
                <w:sz w:val="18"/>
                <w:szCs w:val="18"/>
                <w:vertAlign w:val="baseline"/>
                <w:lang w:val="en-US" w:eastAsia="zh-CN"/>
              </w:rPr>
            </w:pPr>
            <w:r>
              <w:rPr>
                <w:rFonts w:hint="eastAsia" w:ascii="宋体" w:hAnsi="宋体" w:eastAsia="宋体" w:cs="宋体"/>
                <w:b w:val="0"/>
                <w:bCs w:val="0"/>
                <w:sz w:val="18"/>
                <w:szCs w:val="18"/>
                <w:vertAlign w:val="baseline"/>
                <w:lang w:val="en-US" w:eastAsia="zh-CN"/>
              </w:rPr>
              <w:t>CR</w:t>
            </w:r>
            <w:r>
              <w:rPr>
                <w:rFonts w:hint="eastAsia" w:ascii="宋体" w:hAnsi="宋体" w:eastAsia="宋体" w:cs="宋体"/>
                <w:b w:val="0"/>
                <w:bCs w:val="0"/>
                <w:sz w:val="18"/>
                <w:szCs w:val="18"/>
                <w:vertAlign w:val="subscript"/>
                <w:lang w:val="en-US" w:eastAsia="zh-CN"/>
              </w:rPr>
              <w:t>ad/%</w:t>
            </w:r>
          </w:p>
        </w:tc>
        <w:tc>
          <w:tcPr>
            <w:tcW w:w="426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eastAsia" w:ascii="宋体" w:hAnsi="宋体" w:eastAsia="宋体" w:cs="宋体"/>
                <w:b w:val="0"/>
                <w:bCs w:val="0"/>
                <w:sz w:val="18"/>
                <w:szCs w:val="18"/>
                <w:vertAlign w:val="baseline"/>
                <w:lang w:val="en-US" w:eastAsia="zh-CN"/>
              </w:rPr>
            </w:pPr>
            <w:r>
              <w:rPr>
                <w:rFonts w:hint="eastAsia" w:ascii="宋体" w:hAnsi="宋体" w:eastAsia="宋体" w:cs="宋体"/>
                <w:b w:val="0"/>
                <w:bCs w:val="0"/>
                <w:sz w:val="18"/>
                <w:szCs w:val="18"/>
                <w:vertAlign w:val="baseline"/>
                <w:lang w:val="en-US" w:eastAsia="zh-CN"/>
              </w:rPr>
              <w:t>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26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eastAsia" w:ascii="宋体" w:hAnsi="宋体" w:eastAsia="宋体" w:cs="宋体"/>
                <w:b w:val="0"/>
                <w:bCs w:val="0"/>
                <w:sz w:val="18"/>
                <w:szCs w:val="18"/>
                <w:vertAlign w:val="baseline"/>
                <w:lang w:val="en-US" w:eastAsia="zh-CN"/>
              </w:rPr>
            </w:pPr>
            <w:r>
              <w:rPr>
                <w:rFonts w:hint="eastAsia" w:ascii="宋体" w:hAnsi="宋体" w:eastAsia="宋体" w:cs="宋体"/>
                <w:b w:val="0"/>
                <w:bCs w:val="0"/>
                <w:sz w:val="18"/>
                <w:szCs w:val="18"/>
                <w:vertAlign w:val="baseline"/>
                <w:lang w:val="en-US" w:eastAsia="zh-CN"/>
              </w:rPr>
              <w:t>焦油产率</w:t>
            </w:r>
          </w:p>
          <w:p>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eastAsia" w:ascii="宋体" w:hAnsi="宋体" w:eastAsia="宋体" w:cs="宋体"/>
                <w:b w:val="0"/>
                <w:bCs w:val="0"/>
                <w:sz w:val="18"/>
                <w:szCs w:val="18"/>
                <w:vertAlign w:val="baseline"/>
                <w:lang w:val="en-US" w:eastAsia="zh-CN"/>
              </w:rPr>
            </w:pPr>
            <w:r>
              <w:rPr>
                <w:rFonts w:hint="eastAsia" w:ascii="宋体" w:hAnsi="宋体" w:eastAsia="宋体" w:cs="宋体"/>
                <w:b w:val="0"/>
                <w:bCs w:val="0"/>
                <w:sz w:val="18"/>
                <w:szCs w:val="18"/>
                <w:vertAlign w:val="baseline"/>
                <w:lang w:val="en-US" w:eastAsia="zh-CN"/>
              </w:rPr>
              <w:t>Tar</w:t>
            </w:r>
            <w:r>
              <w:rPr>
                <w:rFonts w:hint="eastAsia" w:ascii="宋体" w:hAnsi="宋体" w:eastAsia="宋体" w:cs="宋体"/>
                <w:b w:val="0"/>
                <w:bCs w:val="0"/>
                <w:sz w:val="18"/>
                <w:szCs w:val="18"/>
                <w:vertAlign w:val="subscript"/>
                <w:lang w:val="en-US" w:eastAsia="zh-CN"/>
              </w:rPr>
              <w:t>ad</w:t>
            </w:r>
            <w:r>
              <w:rPr>
                <w:rFonts w:hint="eastAsia" w:ascii="宋体" w:hAnsi="宋体" w:eastAsia="宋体" w:cs="宋体"/>
                <w:b w:val="0"/>
                <w:bCs w:val="0"/>
                <w:sz w:val="18"/>
                <w:szCs w:val="18"/>
                <w:vertAlign w:val="baseline"/>
                <w:lang w:val="en-US" w:eastAsia="zh-CN"/>
              </w:rPr>
              <w:t>/%</w:t>
            </w:r>
          </w:p>
        </w:tc>
        <w:tc>
          <w:tcPr>
            <w:tcW w:w="4261"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line="300" w:lineRule="auto"/>
              <w:jc w:val="center"/>
              <w:textAlignment w:val="auto"/>
              <w:rPr>
                <w:rFonts w:hint="eastAsia" w:ascii="宋体" w:hAnsi="宋体" w:eastAsia="宋体" w:cs="宋体"/>
                <w:b w:val="0"/>
                <w:bCs w:val="0"/>
                <w:sz w:val="18"/>
                <w:szCs w:val="18"/>
                <w:vertAlign w:val="baseline"/>
                <w:lang w:val="en-US" w:eastAsia="zh-CN"/>
              </w:rPr>
            </w:pPr>
            <w:r>
              <w:rPr>
                <w:rFonts w:hint="eastAsia" w:ascii="宋体" w:hAnsi="宋体" w:eastAsia="宋体" w:cs="宋体"/>
                <w:b w:val="0"/>
                <w:bCs w:val="0"/>
                <w:sz w:val="18"/>
                <w:szCs w:val="18"/>
                <w:vertAlign w:val="baseline"/>
                <w:lang w:val="en-US" w:eastAsia="zh-CN"/>
              </w:rPr>
              <w:t>1.0</w:t>
            </w:r>
          </w:p>
        </w:tc>
      </w:tr>
    </w:tbl>
    <w:p>
      <w:pPr>
        <w:pStyle w:val="11"/>
        <w:rPr>
          <w:rFonts w:hint="default" w:cs="Times New Roman"/>
          <w:lang w:val="en-US" w:eastAsia="zh-CN"/>
        </w:rPr>
      </w:pPr>
      <w:bookmarkStart w:id="8" w:name="_Toc667"/>
      <w:r>
        <w:rPr>
          <w:rFonts w:hint="eastAsia" w:cs="Times New Roman"/>
          <w:lang w:val="en-US" w:eastAsia="zh-CN"/>
        </w:rPr>
        <w:t>9  测定报告</w:t>
      </w:r>
      <w:bookmarkEnd w:id="8"/>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default" w:ascii="宋体" w:hAnsi="宋体" w:eastAsia="宋体" w:cs="Arial"/>
          <w:color w:val="000000"/>
          <w:szCs w:val="21"/>
          <w:lang w:val="en-US" w:eastAsia="zh-CN"/>
        </w:rPr>
        <w:t>测定报告至少应包括：</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default" w:ascii="宋体" w:hAnsi="宋体" w:eastAsia="宋体" w:cs="Arial"/>
          <w:color w:val="000000"/>
          <w:szCs w:val="21"/>
          <w:lang w:val="en-US" w:eastAsia="zh-CN"/>
        </w:rPr>
        <w:t>a）样品编号；</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default" w:ascii="宋体" w:hAnsi="宋体" w:eastAsia="宋体" w:cs="Arial"/>
          <w:color w:val="000000"/>
          <w:szCs w:val="21"/>
          <w:lang w:val="en-US" w:eastAsia="zh-CN"/>
        </w:rPr>
        <w:t>b）</w:t>
      </w:r>
      <w:r>
        <w:rPr>
          <w:rFonts w:hint="eastAsia" w:ascii="宋体" w:hAnsi="宋体" w:eastAsia="宋体" w:cs="Arial"/>
          <w:color w:val="000000"/>
          <w:szCs w:val="21"/>
          <w:lang w:val="en-US" w:eastAsia="zh-CN"/>
        </w:rPr>
        <w:t>测试条件</w:t>
      </w:r>
      <w:r>
        <w:rPr>
          <w:rFonts w:hint="default" w:ascii="宋体" w:hAnsi="宋体" w:eastAsia="宋体" w:cs="Arial"/>
          <w:color w:val="000000"/>
          <w:szCs w:val="21"/>
          <w:lang w:val="en-US" w:eastAsia="zh-CN"/>
        </w:rPr>
        <w:t>；</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default" w:ascii="宋体" w:hAnsi="宋体" w:eastAsia="宋体" w:cs="Arial"/>
          <w:color w:val="000000"/>
          <w:szCs w:val="21"/>
          <w:lang w:val="en-US" w:eastAsia="zh-CN"/>
        </w:rPr>
      </w:pPr>
      <w:r>
        <w:rPr>
          <w:rFonts w:hint="default" w:ascii="宋体" w:hAnsi="宋体" w:eastAsia="宋体" w:cs="Arial"/>
          <w:color w:val="000000"/>
          <w:szCs w:val="21"/>
          <w:lang w:val="en-US" w:eastAsia="zh-CN"/>
        </w:rPr>
        <w:t>c）</w:t>
      </w:r>
      <w:r>
        <w:rPr>
          <w:rFonts w:hint="eastAsia" w:ascii="宋体" w:hAnsi="宋体" w:eastAsia="宋体" w:cs="Arial"/>
          <w:color w:val="000000"/>
          <w:szCs w:val="21"/>
          <w:lang w:val="en-US" w:eastAsia="zh-CN"/>
        </w:rPr>
        <w:t>测试结果；</w:t>
      </w:r>
    </w:p>
    <w:p>
      <w:pPr>
        <w:pStyle w:val="46"/>
        <w:keepNext w:val="0"/>
        <w:keepLines w:val="0"/>
        <w:pageBreakBefore w:val="0"/>
        <w:widowControl/>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Arial"/>
          <w:color w:val="000000"/>
          <w:szCs w:val="21"/>
          <w:lang w:val="en-US" w:eastAsia="zh-CN"/>
        </w:rPr>
      </w:pPr>
      <w:r>
        <w:rPr>
          <w:rFonts w:hint="default" w:ascii="宋体" w:hAnsi="宋体" w:eastAsia="宋体" w:cs="Arial"/>
          <w:color w:val="000000"/>
          <w:szCs w:val="21"/>
          <w:lang w:val="en-US" w:eastAsia="zh-CN"/>
        </w:rPr>
        <w:t>d）测定者、审核者及测定日期</w:t>
      </w:r>
      <w:r>
        <w:rPr>
          <w:rFonts w:hint="eastAsia" w:ascii="宋体" w:hAnsi="宋体" w:eastAsia="宋体" w:cs="Arial"/>
          <w:color w:val="000000"/>
          <w:szCs w:val="21"/>
          <w:lang w:val="en-US" w:eastAsia="zh-CN"/>
        </w:rPr>
        <w:t>。</w:t>
      </w:r>
    </w:p>
    <w:p>
      <w:pPr>
        <w:rPr>
          <w:rFonts w:ascii="黑体"/>
          <w:b w:val="0"/>
          <w:sz w:val="21"/>
          <w:szCs w:val="21"/>
        </w:rPr>
      </w:pPr>
      <w:bookmarkStart w:id="9" w:name="_Toc493770490"/>
      <w:r>
        <w:rPr>
          <w:rFonts w:ascii="黑体"/>
          <w:b w:val="0"/>
          <w:sz w:val="21"/>
          <w:szCs w:val="21"/>
        </w:rPr>
        <w:br w:type="page"/>
      </w:r>
    </w:p>
    <w:p>
      <w:pPr>
        <w:pStyle w:val="3"/>
        <w:spacing w:before="312" w:beforeLines="100" w:after="312" w:afterLines="100" w:line="400" w:lineRule="exact"/>
        <w:jc w:val="center"/>
        <w:rPr>
          <w:rFonts w:hint="eastAsia" w:ascii="黑体" w:hAnsi="黑体" w:eastAsia="黑体" w:cs="黑体"/>
          <w:b w:val="0"/>
          <w:sz w:val="21"/>
          <w:szCs w:val="21"/>
        </w:rPr>
      </w:pPr>
      <w:r>
        <w:rPr>
          <w:rFonts w:hint="eastAsia" w:ascii="黑体" w:hAnsi="黑体" w:eastAsia="黑体" w:cs="黑体"/>
          <w:b w:val="0"/>
          <w:sz w:val="21"/>
          <w:szCs w:val="21"/>
        </w:rPr>
        <w:t>参 考 文 献</w:t>
      </w:r>
      <w:bookmarkEnd w:id="9"/>
    </w:p>
    <w:p>
      <w:pPr>
        <w:ind w:firstLine="424" w:firstLineChars="202"/>
        <w:rPr>
          <w:rFonts w:hint="eastAsia" w:ascii="宋体" w:hAnsi="宋体" w:eastAsia="宋体" w:cs="宋体"/>
          <w:color w:val="000000"/>
          <w:sz w:val="21"/>
          <w:szCs w:val="21"/>
          <w:lang w:val="en-US" w:eastAsia="zh-CN"/>
        </w:rPr>
      </w:pPr>
      <w:r>
        <w:rPr>
          <w:rFonts w:hint="eastAsia" w:ascii="宋体" w:hAnsi="宋体" w:eastAsia="宋体" w:cs="宋体"/>
          <w:sz w:val="21"/>
          <w:szCs w:val="21"/>
        </w:rPr>
        <w:t>[1]</w:t>
      </w:r>
      <w:r>
        <w:rPr>
          <w:rFonts w:hint="eastAsia" w:ascii="宋体" w:hAnsi="宋体" w:eastAsia="宋体" w:cs="宋体"/>
          <w:color w:val="000000"/>
          <w:sz w:val="21"/>
          <w:szCs w:val="21"/>
        </w:rPr>
        <w:t xml:space="preserve">  GB/T 1341-2007 煤的格金低温干馏试验方法</w:t>
      </w:r>
      <w:r>
        <w:rPr>
          <w:rFonts w:hint="eastAsia" w:ascii="宋体" w:hAnsi="宋体" w:eastAsia="宋体" w:cs="宋体"/>
          <w:color w:val="000000"/>
          <w:sz w:val="21"/>
          <w:szCs w:val="21"/>
          <w:lang w:val="en-US" w:eastAsia="zh-CN"/>
        </w:rPr>
        <w:t>.</w:t>
      </w:r>
    </w:p>
    <w:p>
      <w:pPr>
        <w:ind w:firstLine="424" w:firstLineChars="202"/>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[2]</w:t>
      </w:r>
      <w:r>
        <w:rPr>
          <w:rFonts w:hint="eastAsia" w:ascii="宋体" w:hAnsi="宋体" w:eastAsia="宋体" w:cs="宋体"/>
          <w:color w:val="000000"/>
          <w:sz w:val="21"/>
          <w:szCs w:val="21"/>
          <w:lang w:val="en-US" w:eastAsia="zh-CN"/>
        </w:rPr>
        <w:t xml:space="preserve">  </w:t>
      </w:r>
      <w:r>
        <w:rPr>
          <w:rFonts w:hint="eastAsia" w:ascii="宋体" w:hAnsi="宋体" w:eastAsia="宋体" w:cs="宋体"/>
          <w:color w:val="000000"/>
          <w:sz w:val="21"/>
          <w:szCs w:val="21"/>
        </w:rPr>
        <w:t>GB/T 38397-2019 煤焦油组分含量的测定气相色谱 质谱联用和热重分析法</w:t>
      </w:r>
      <w:r>
        <w:rPr>
          <w:rFonts w:hint="eastAsia" w:ascii="宋体" w:hAnsi="宋体" w:eastAsia="宋体" w:cs="宋体"/>
          <w:color w:val="000000"/>
          <w:sz w:val="21"/>
          <w:szCs w:val="21"/>
          <w:lang w:val="en-US" w:eastAsia="zh-CN"/>
        </w:rPr>
        <w:t>.</w:t>
      </w:r>
    </w:p>
    <w:p>
      <w:pPr>
        <w:ind w:firstLine="424" w:firstLineChars="202"/>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rPr>
        <w:t>[3]</w:t>
      </w:r>
      <w:r>
        <w:rPr>
          <w:rFonts w:hint="eastAsia" w:ascii="宋体" w:hAnsi="宋体" w:eastAsia="宋体" w:cs="宋体"/>
          <w:color w:val="000000"/>
          <w:sz w:val="21"/>
          <w:szCs w:val="21"/>
          <w:lang w:val="en-US" w:eastAsia="zh-CN"/>
        </w:rPr>
        <w:t xml:space="preserve">  </w:t>
      </w:r>
      <w:r>
        <w:rPr>
          <w:rFonts w:hint="eastAsia" w:ascii="宋体" w:hAnsi="宋体" w:eastAsia="宋体" w:cs="宋体"/>
          <w:color w:val="000000"/>
          <w:sz w:val="21"/>
          <w:szCs w:val="21"/>
        </w:rPr>
        <w:t>GB/T 15622-2023 液压缸试验方法</w:t>
      </w:r>
      <w:r>
        <w:rPr>
          <w:rFonts w:hint="eastAsia" w:ascii="宋体" w:hAnsi="宋体" w:eastAsia="宋体" w:cs="宋体"/>
          <w:color w:val="000000"/>
          <w:sz w:val="21"/>
          <w:szCs w:val="21"/>
          <w:lang w:val="en-US" w:eastAsia="zh-CN"/>
        </w:rPr>
        <w:t>.</w:t>
      </w: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ind w:firstLine="424" w:firstLineChars="202"/>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widowControl/>
        <w:jc w:val="left"/>
        <w:rPr>
          <w:rFonts w:ascii="宋体" w:hAnsi="宋体" w:cs="Arial"/>
          <w:color w:val="000000"/>
          <w:szCs w:val="21"/>
        </w:rPr>
      </w:pPr>
    </w:p>
    <w:p>
      <w:pPr>
        <w:rPr>
          <w:rFonts w:ascii="宋体" w:hAnsi="宋体" w:eastAsia="宋体"/>
          <w:b/>
          <w:sz w:val="30"/>
          <w:szCs w:val="30"/>
        </w:rPr>
      </w:pPr>
    </w:p>
    <w:sectPr>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Times New Roman”“">
    <w:altName w:val="宋体"/>
    <w:panose1 w:val="00000000000000000000"/>
    <w:charset w:val="86"/>
    <w:family w:val="roman"/>
    <w:pitch w:val="default"/>
    <w:sig w:usb0="00000000" w:usb1="00000000" w:usb2="00000010" w:usb3="00000000" w:csb0="00040000" w:csb1="00000000"/>
  </w:font>
  <w:font w:name="华文细黑">
    <w:altName w:val="微软雅黑"/>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优设标题黑">
    <w:panose1 w:val="00000500000000000000"/>
    <w:charset w:val="86"/>
    <w:family w:val="auto"/>
    <w:pitch w:val="default"/>
    <w:sig w:usb0="00000001" w:usb1="00000000" w:usb2="00000016" w:usb3="00000000" w:csb0="00040000" w:csb1="00000000"/>
  </w:font>
  <w:font w:name="汉仪大宋简">
    <w:panose1 w:val="02010609000101010101"/>
    <w:charset w:val="86"/>
    <w:family w:val="auto"/>
    <w:pitch w:val="default"/>
    <w:sig w:usb0="00000001" w:usb1="080E0800" w:usb2="00000002"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71641171"/>
      <w:docPartObj>
        <w:docPartGallery w:val="autotext"/>
      </w:docPartObj>
    </w:sdtPr>
    <w:sdtContent>
      <w:p>
        <w:pPr>
          <w:pStyle w:val="8"/>
          <w:ind w:firstLine="420"/>
          <w:jc w:val="center"/>
        </w:pPr>
        <w:r>
          <w:fldChar w:fldCharType="begin"/>
        </w:r>
        <w:r>
          <w:instrText xml:space="preserve">PAGE   \* MERGEFORMAT</w:instrText>
        </w:r>
        <w:r>
          <w:fldChar w:fldCharType="separate"/>
        </w:r>
        <w:r>
          <w:rPr>
            <w:lang w:val="zh-CN"/>
          </w:rPr>
          <w:t>I</w:t>
        </w:r>
        <w:r>
          <w:fldChar w:fldCharType="end"/>
        </w:r>
      </w:p>
    </w:sdtContent>
  </w:sdt>
  <w:p>
    <w:pPr>
      <w:pStyle w:val="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90767128"/>
      <w:docPartObj>
        <w:docPartGallery w:val="autotext"/>
      </w:docPartObj>
    </w:sdtPr>
    <w:sdtContent>
      <w:p>
        <w:pPr>
          <w:pStyle w:val="8"/>
          <w:ind w:firstLine="420"/>
          <w:jc w:val="center"/>
        </w:pPr>
        <w:r>
          <w:fldChar w:fldCharType="begin"/>
        </w:r>
        <w:r>
          <w:instrText xml:space="preserve">PAGE   \* MERGEFORMAT</w:instrText>
        </w:r>
        <w:r>
          <w:fldChar w:fldCharType="separate"/>
        </w:r>
        <w:r>
          <w:rPr>
            <w:lang w:val="zh-CN"/>
          </w:rPr>
          <w:t>II</w:t>
        </w:r>
        <w:r>
          <w:fldChar w:fldCharType="end"/>
        </w:r>
      </w:p>
    </w:sdtContent>
  </w:sdt>
  <w:p>
    <w:pPr>
      <w:pStyle w:val="8"/>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8619"/>
      <w:docPartObj>
        <w:docPartGallery w:val="autotext"/>
      </w:docPartObj>
    </w:sdtPr>
    <w:sdtContent>
      <w:p>
        <w:pPr>
          <w:pStyle w:val="8"/>
          <w:ind w:firstLine="420"/>
          <w:jc w:val="center"/>
        </w:pPr>
        <w:r>
          <w:fldChar w:fldCharType="begin"/>
        </w:r>
        <w:r>
          <w:instrText xml:space="preserve">PAGE   \* MERGEFORMAT</w:instrText>
        </w:r>
        <w:r>
          <w:fldChar w:fldCharType="separate"/>
        </w:r>
        <w:r>
          <w:rPr>
            <w:lang w:val="zh-CN"/>
          </w:rPr>
          <w:t>I</w:t>
        </w:r>
        <w:r>
          <w:fldChar w:fldCharType="end"/>
        </w:r>
      </w:p>
    </w:sdtContent>
  </w:sdt>
  <w:p>
    <w:pPr>
      <w:pStyle w:val="8"/>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78583"/>
      <w:docPartObj>
        <w:docPartGallery w:val="autotext"/>
      </w:docPartObj>
    </w:sdtPr>
    <w:sdtContent>
      <w:p>
        <w:pPr>
          <w:pStyle w:val="8"/>
          <w:ind w:firstLine="420"/>
          <w:jc w:val="center"/>
        </w:pPr>
        <w:r>
          <w:fldChar w:fldCharType="begin"/>
        </w:r>
        <w:r>
          <w:instrText xml:space="preserve">PAGE   \* MERGEFORMAT</w:instrText>
        </w:r>
        <w:r>
          <w:fldChar w:fldCharType="separate"/>
        </w:r>
        <w:r>
          <w:rPr>
            <w:lang w:val="zh-CN"/>
          </w:rPr>
          <w:t>II</w:t>
        </w:r>
        <w:r>
          <w:fldChar w:fldCharType="end"/>
        </w:r>
      </w:p>
    </w:sdtContent>
  </w:sdt>
  <w:p>
    <w:pPr>
      <w:pStyle w:val="8"/>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t>T/ CAB XXXX—20XX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t>T/ CAB XXXX—20XX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42066C8"/>
    <w:multiLevelType w:val="singleLevel"/>
    <w:tmpl w:val="C42066C8"/>
    <w:lvl w:ilvl="0" w:tentative="0">
      <w:start w:val="1"/>
      <w:numFmt w:val="lowerLetter"/>
      <w:lvlText w:val="%1)"/>
      <w:lvlJc w:val="left"/>
      <w:pPr>
        <w:tabs>
          <w:tab w:val="left" w:pos="312"/>
        </w:tabs>
      </w:pPr>
    </w:lvl>
  </w:abstractNum>
  <w:abstractNum w:abstractNumId="1">
    <w:nsid w:val="E126ED80"/>
    <w:multiLevelType w:val="singleLevel"/>
    <w:tmpl w:val="E126ED80"/>
    <w:lvl w:ilvl="0" w:tentative="0">
      <w:start w:val="1"/>
      <w:numFmt w:val="lowerLetter"/>
      <w:lvlText w:val="%1)"/>
      <w:lvlJc w:val="left"/>
      <w:pPr>
        <w:tabs>
          <w:tab w:val="left" w:pos="312"/>
        </w:tabs>
      </w:pPr>
    </w:lvl>
  </w:abstractNum>
  <w:abstractNum w:abstractNumId="2">
    <w:nsid w:val="E3779ADC"/>
    <w:multiLevelType w:val="singleLevel"/>
    <w:tmpl w:val="E3779ADC"/>
    <w:lvl w:ilvl="0" w:tentative="0">
      <w:start w:val="1"/>
      <w:numFmt w:val="lowerLetter"/>
      <w:lvlText w:val="%1)"/>
      <w:lvlJc w:val="left"/>
      <w:pPr>
        <w:tabs>
          <w:tab w:val="left" w:pos="312"/>
        </w:tabs>
      </w:pPr>
    </w:lvl>
  </w:abstractNum>
  <w:abstractNum w:abstractNumId="3">
    <w:nsid w:val="0B23FFC6"/>
    <w:multiLevelType w:val="singleLevel"/>
    <w:tmpl w:val="0B23FFC6"/>
    <w:lvl w:ilvl="0" w:tentative="0">
      <w:start w:val="1"/>
      <w:numFmt w:val="lowerLetter"/>
      <w:lvlText w:val="%1)"/>
      <w:lvlJc w:val="left"/>
      <w:pPr>
        <w:tabs>
          <w:tab w:val="left" w:pos="312"/>
        </w:tabs>
      </w:pPr>
    </w:lvl>
  </w:abstractNum>
  <w:abstractNum w:abstractNumId="4">
    <w:nsid w:val="3D733618"/>
    <w:multiLevelType w:val="multilevel"/>
    <w:tmpl w:val="3D733618"/>
    <w:lvl w:ilvl="0" w:tentative="0">
      <w:start w:val="2"/>
      <w:numFmt w:val="decimal"/>
      <w:pStyle w:val="12"/>
      <w:lvlText w:val="%1)"/>
      <w:lvlJc w:val="left"/>
      <w:pPr>
        <w:tabs>
          <w:tab w:val="left" w:pos="0"/>
        </w:tabs>
        <w:ind w:left="720" w:hanging="357"/>
      </w:pPr>
      <w:rPr>
        <w:rFonts w:hint="eastAsia"/>
      </w:rPr>
    </w:lvl>
    <w:lvl w:ilvl="1" w:tentative="0">
      <w:start w:val="1"/>
      <w:numFmt w:val="lowerLetter"/>
      <w:lvlText w:val="%2)"/>
      <w:lvlJc w:val="left"/>
      <w:pPr>
        <w:tabs>
          <w:tab w:val="left" w:pos="504"/>
        </w:tabs>
        <w:ind w:left="544" w:hanging="544"/>
      </w:pPr>
      <w:rPr>
        <w:rFonts w:hint="eastAsia"/>
      </w:rPr>
    </w:lvl>
    <w:lvl w:ilvl="2" w:tentative="0">
      <w:start w:val="1"/>
      <w:numFmt w:val="lowerRoman"/>
      <w:lvlText w:val="%3."/>
      <w:lvlJc w:val="right"/>
      <w:pPr>
        <w:tabs>
          <w:tab w:val="left" w:pos="532"/>
        </w:tabs>
        <w:ind w:left="544" w:hanging="544"/>
      </w:pPr>
      <w:rPr>
        <w:rFonts w:hint="eastAsia"/>
      </w:rPr>
    </w:lvl>
    <w:lvl w:ilvl="3" w:tentative="0">
      <w:start w:val="1"/>
      <w:numFmt w:val="decimal"/>
      <w:lvlText w:val="%4."/>
      <w:lvlJc w:val="left"/>
      <w:pPr>
        <w:tabs>
          <w:tab w:val="left" w:pos="560"/>
        </w:tabs>
        <w:ind w:left="544" w:hanging="544"/>
      </w:pPr>
      <w:rPr>
        <w:rFonts w:hint="eastAsia"/>
      </w:rPr>
    </w:lvl>
    <w:lvl w:ilvl="4" w:tentative="0">
      <w:start w:val="1"/>
      <w:numFmt w:val="lowerLetter"/>
      <w:lvlText w:val="%5)"/>
      <w:lvlJc w:val="left"/>
      <w:pPr>
        <w:tabs>
          <w:tab w:val="left" w:pos="588"/>
        </w:tabs>
        <w:ind w:left="544" w:hanging="544"/>
      </w:pPr>
      <w:rPr>
        <w:rFonts w:hint="eastAsia"/>
      </w:rPr>
    </w:lvl>
    <w:lvl w:ilvl="5" w:tentative="0">
      <w:start w:val="1"/>
      <w:numFmt w:val="lowerRoman"/>
      <w:lvlText w:val="%6."/>
      <w:lvlJc w:val="right"/>
      <w:pPr>
        <w:tabs>
          <w:tab w:val="left" w:pos="616"/>
        </w:tabs>
        <w:ind w:left="544" w:hanging="544"/>
      </w:pPr>
      <w:rPr>
        <w:rFonts w:hint="eastAsia"/>
      </w:rPr>
    </w:lvl>
    <w:lvl w:ilvl="6" w:tentative="0">
      <w:start w:val="1"/>
      <w:numFmt w:val="decimal"/>
      <w:lvlText w:val="%7."/>
      <w:lvlJc w:val="left"/>
      <w:pPr>
        <w:tabs>
          <w:tab w:val="left" w:pos="644"/>
        </w:tabs>
        <w:ind w:left="544" w:hanging="544"/>
      </w:pPr>
      <w:rPr>
        <w:rFonts w:hint="eastAsia"/>
      </w:rPr>
    </w:lvl>
    <w:lvl w:ilvl="7" w:tentative="0">
      <w:start w:val="1"/>
      <w:numFmt w:val="lowerLetter"/>
      <w:lvlText w:val="%8)"/>
      <w:lvlJc w:val="left"/>
      <w:pPr>
        <w:tabs>
          <w:tab w:val="left" w:pos="672"/>
        </w:tabs>
        <w:ind w:left="544" w:hanging="544"/>
      </w:pPr>
      <w:rPr>
        <w:rFonts w:hint="eastAsia"/>
      </w:rPr>
    </w:lvl>
    <w:lvl w:ilvl="8" w:tentative="0">
      <w:start w:val="1"/>
      <w:numFmt w:val="lowerRoman"/>
      <w:lvlText w:val="%9."/>
      <w:lvlJc w:val="right"/>
      <w:pPr>
        <w:tabs>
          <w:tab w:val="left" w:pos="700"/>
        </w:tabs>
        <w:ind w:left="544" w:hanging="544"/>
      </w:pPr>
      <w:rPr>
        <w:rFonts w:hint="eastAsia"/>
      </w:r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0AE9"/>
    <w:rsid w:val="000015A7"/>
    <w:rsid w:val="00016039"/>
    <w:rsid w:val="000161D0"/>
    <w:rsid w:val="00025A10"/>
    <w:rsid w:val="000350EB"/>
    <w:rsid w:val="00043026"/>
    <w:rsid w:val="00046663"/>
    <w:rsid w:val="000473C5"/>
    <w:rsid w:val="00060BC3"/>
    <w:rsid w:val="000628DA"/>
    <w:rsid w:val="00067766"/>
    <w:rsid w:val="00096299"/>
    <w:rsid w:val="000A0272"/>
    <w:rsid w:val="000A07A5"/>
    <w:rsid w:val="000A3CD8"/>
    <w:rsid w:val="000B637E"/>
    <w:rsid w:val="000C1E77"/>
    <w:rsid w:val="000D730D"/>
    <w:rsid w:val="000E421E"/>
    <w:rsid w:val="000F5368"/>
    <w:rsid w:val="000F617F"/>
    <w:rsid w:val="0010726E"/>
    <w:rsid w:val="00111274"/>
    <w:rsid w:val="00122A03"/>
    <w:rsid w:val="00124269"/>
    <w:rsid w:val="00125BD3"/>
    <w:rsid w:val="00126985"/>
    <w:rsid w:val="00134C0D"/>
    <w:rsid w:val="00144A76"/>
    <w:rsid w:val="00146838"/>
    <w:rsid w:val="001635BD"/>
    <w:rsid w:val="001674EA"/>
    <w:rsid w:val="00174589"/>
    <w:rsid w:val="00182615"/>
    <w:rsid w:val="00182B65"/>
    <w:rsid w:val="00186EF9"/>
    <w:rsid w:val="00187FB3"/>
    <w:rsid w:val="001A47E2"/>
    <w:rsid w:val="001B45FB"/>
    <w:rsid w:val="001C22E1"/>
    <w:rsid w:val="001F1607"/>
    <w:rsid w:val="001F5765"/>
    <w:rsid w:val="001F693F"/>
    <w:rsid w:val="00211FDD"/>
    <w:rsid w:val="00213901"/>
    <w:rsid w:val="00224C65"/>
    <w:rsid w:val="00224D52"/>
    <w:rsid w:val="00244021"/>
    <w:rsid w:val="00255558"/>
    <w:rsid w:val="00256EC7"/>
    <w:rsid w:val="00261B63"/>
    <w:rsid w:val="00264F0C"/>
    <w:rsid w:val="00284D7C"/>
    <w:rsid w:val="00296FEE"/>
    <w:rsid w:val="002A1F6F"/>
    <w:rsid w:val="002A29CB"/>
    <w:rsid w:val="002A3E35"/>
    <w:rsid w:val="002A5775"/>
    <w:rsid w:val="002B2D1F"/>
    <w:rsid w:val="002B3DB5"/>
    <w:rsid w:val="002D16CB"/>
    <w:rsid w:val="002E0402"/>
    <w:rsid w:val="002E7DD1"/>
    <w:rsid w:val="002F4805"/>
    <w:rsid w:val="002F4CEB"/>
    <w:rsid w:val="002F70A7"/>
    <w:rsid w:val="003012A1"/>
    <w:rsid w:val="00302834"/>
    <w:rsid w:val="00321639"/>
    <w:rsid w:val="003259A7"/>
    <w:rsid w:val="003301F9"/>
    <w:rsid w:val="003357BB"/>
    <w:rsid w:val="003567DF"/>
    <w:rsid w:val="0035790B"/>
    <w:rsid w:val="00372F33"/>
    <w:rsid w:val="00380BE1"/>
    <w:rsid w:val="003841D6"/>
    <w:rsid w:val="00392D4B"/>
    <w:rsid w:val="00394B46"/>
    <w:rsid w:val="00397B49"/>
    <w:rsid w:val="003B6C6E"/>
    <w:rsid w:val="003D0562"/>
    <w:rsid w:val="003F0D07"/>
    <w:rsid w:val="00401AB8"/>
    <w:rsid w:val="004104B0"/>
    <w:rsid w:val="00426540"/>
    <w:rsid w:val="00476C89"/>
    <w:rsid w:val="00483574"/>
    <w:rsid w:val="00486561"/>
    <w:rsid w:val="004A3B84"/>
    <w:rsid w:val="004A5EED"/>
    <w:rsid w:val="004A7B94"/>
    <w:rsid w:val="004B7BC1"/>
    <w:rsid w:val="004C7798"/>
    <w:rsid w:val="004D0120"/>
    <w:rsid w:val="004D1809"/>
    <w:rsid w:val="004D3C8D"/>
    <w:rsid w:val="004D4E50"/>
    <w:rsid w:val="004F6767"/>
    <w:rsid w:val="004F6D6E"/>
    <w:rsid w:val="005034EA"/>
    <w:rsid w:val="00517FCC"/>
    <w:rsid w:val="005210FB"/>
    <w:rsid w:val="005213C8"/>
    <w:rsid w:val="00524DD9"/>
    <w:rsid w:val="005305FB"/>
    <w:rsid w:val="005402B6"/>
    <w:rsid w:val="00541941"/>
    <w:rsid w:val="0055103B"/>
    <w:rsid w:val="005575DD"/>
    <w:rsid w:val="005628A7"/>
    <w:rsid w:val="0057044B"/>
    <w:rsid w:val="00580470"/>
    <w:rsid w:val="00595098"/>
    <w:rsid w:val="005A0117"/>
    <w:rsid w:val="005A3C65"/>
    <w:rsid w:val="005B0C79"/>
    <w:rsid w:val="005C2764"/>
    <w:rsid w:val="005D53E7"/>
    <w:rsid w:val="005E102D"/>
    <w:rsid w:val="005E2689"/>
    <w:rsid w:val="005F618C"/>
    <w:rsid w:val="006053FF"/>
    <w:rsid w:val="006123F2"/>
    <w:rsid w:val="00612FCC"/>
    <w:rsid w:val="00620AE9"/>
    <w:rsid w:val="00635807"/>
    <w:rsid w:val="006525B0"/>
    <w:rsid w:val="006743DD"/>
    <w:rsid w:val="00695368"/>
    <w:rsid w:val="006A1FF7"/>
    <w:rsid w:val="006B211A"/>
    <w:rsid w:val="006B5BC3"/>
    <w:rsid w:val="006B6558"/>
    <w:rsid w:val="006E215A"/>
    <w:rsid w:val="006E7B8B"/>
    <w:rsid w:val="006F2573"/>
    <w:rsid w:val="007064F6"/>
    <w:rsid w:val="00723E8B"/>
    <w:rsid w:val="00733435"/>
    <w:rsid w:val="00733482"/>
    <w:rsid w:val="00751963"/>
    <w:rsid w:val="00761364"/>
    <w:rsid w:val="00774C8A"/>
    <w:rsid w:val="00786FE6"/>
    <w:rsid w:val="007A419C"/>
    <w:rsid w:val="007D3653"/>
    <w:rsid w:val="007E031B"/>
    <w:rsid w:val="007E0328"/>
    <w:rsid w:val="007E06E1"/>
    <w:rsid w:val="007F7463"/>
    <w:rsid w:val="008128EA"/>
    <w:rsid w:val="00815EDE"/>
    <w:rsid w:val="00830879"/>
    <w:rsid w:val="008454A7"/>
    <w:rsid w:val="00852EF1"/>
    <w:rsid w:val="00861950"/>
    <w:rsid w:val="008670A2"/>
    <w:rsid w:val="0087130E"/>
    <w:rsid w:val="0087214F"/>
    <w:rsid w:val="00872415"/>
    <w:rsid w:val="008738EA"/>
    <w:rsid w:val="00873CEA"/>
    <w:rsid w:val="008758E9"/>
    <w:rsid w:val="00877048"/>
    <w:rsid w:val="008A68D7"/>
    <w:rsid w:val="008C2F58"/>
    <w:rsid w:val="008D07DC"/>
    <w:rsid w:val="008F068D"/>
    <w:rsid w:val="008F66AE"/>
    <w:rsid w:val="009019D0"/>
    <w:rsid w:val="00906229"/>
    <w:rsid w:val="00906C15"/>
    <w:rsid w:val="009070BE"/>
    <w:rsid w:val="00911418"/>
    <w:rsid w:val="00935DED"/>
    <w:rsid w:val="009373E1"/>
    <w:rsid w:val="00947188"/>
    <w:rsid w:val="009506E7"/>
    <w:rsid w:val="009564AF"/>
    <w:rsid w:val="0096412F"/>
    <w:rsid w:val="00972281"/>
    <w:rsid w:val="00973AC3"/>
    <w:rsid w:val="00974FE0"/>
    <w:rsid w:val="00995A26"/>
    <w:rsid w:val="009B0CDD"/>
    <w:rsid w:val="009C0037"/>
    <w:rsid w:val="009E6BD5"/>
    <w:rsid w:val="009F37E8"/>
    <w:rsid w:val="00A05BA1"/>
    <w:rsid w:val="00A130D6"/>
    <w:rsid w:val="00A26815"/>
    <w:rsid w:val="00A5069E"/>
    <w:rsid w:val="00A84D5E"/>
    <w:rsid w:val="00A937D4"/>
    <w:rsid w:val="00AA7954"/>
    <w:rsid w:val="00AE1FB1"/>
    <w:rsid w:val="00AE6507"/>
    <w:rsid w:val="00AF0FD1"/>
    <w:rsid w:val="00B02F2C"/>
    <w:rsid w:val="00B06ACC"/>
    <w:rsid w:val="00B137F0"/>
    <w:rsid w:val="00B13F08"/>
    <w:rsid w:val="00B30665"/>
    <w:rsid w:val="00B32DC9"/>
    <w:rsid w:val="00B400D7"/>
    <w:rsid w:val="00B43459"/>
    <w:rsid w:val="00B4783E"/>
    <w:rsid w:val="00B51AE6"/>
    <w:rsid w:val="00B54D22"/>
    <w:rsid w:val="00B54D6C"/>
    <w:rsid w:val="00B57409"/>
    <w:rsid w:val="00B60C39"/>
    <w:rsid w:val="00B65BD6"/>
    <w:rsid w:val="00B72200"/>
    <w:rsid w:val="00B77C2F"/>
    <w:rsid w:val="00B82B4B"/>
    <w:rsid w:val="00B852F3"/>
    <w:rsid w:val="00B92DA6"/>
    <w:rsid w:val="00B92F9E"/>
    <w:rsid w:val="00B9412E"/>
    <w:rsid w:val="00BA666D"/>
    <w:rsid w:val="00BB0E4E"/>
    <w:rsid w:val="00BC2B50"/>
    <w:rsid w:val="00BD14E6"/>
    <w:rsid w:val="00BD5563"/>
    <w:rsid w:val="00BD5CA6"/>
    <w:rsid w:val="00BE0360"/>
    <w:rsid w:val="00BF0C86"/>
    <w:rsid w:val="00C026C5"/>
    <w:rsid w:val="00C05C63"/>
    <w:rsid w:val="00C3483E"/>
    <w:rsid w:val="00C37557"/>
    <w:rsid w:val="00C43EE0"/>
    <w:rsid w:val="00C44212"/>
    <w:rsid w:val="00C57968"/>
    <w:rsid w:val="00C604EE"/>
    <w:rsid w:val="00C83AC0"/>
    <w:rsid w:val="00C8462C"/>
    <w:rsid w:val="00C849AD"/>
    <w:rsid w:val="00C84C32"/>
    <w:rsid w:val="00C869ED"/>
    <w:rsid w:val="00C91AAE"/>
    <w:rsid w:val="00C97AC8"/>
    <w:rsid w:val="00CB36A8"/>
    <w:rsid w:val="00CC0A50"/>
    <w:rsid w:val="00CC1C0D"/>
    <w:rsid w:val="00CD1F75"/>
    <w:rsid w:val="00CD49F4"/>
    <w:rsid w:val="00CD6AEE"/>
    <w:rsid w:val="00CD6E42"/>
    <w:rsid w:val="00CE1729"/>
    <w:rsid w:val="00CE1E12"/>
    <w:rsid w:val="00CE1EB6"/>
    <w:rsid w:val="00CF0BB7"/>
    <w:rsid w:val="00CF2865"/>
    <w:rsid w:val="00D01176"/>
    <w:rsid w:val="00D067B1"/>
    <w:rsid w:val="00D1571C"/>
    <w:rsid w:val="00D20A68"/>
    <w:rsid w:val="00D262A1"/>
    <w:rsid w:val="00D27DA7"/>
    <w:rsid w:val="00D305AE"/>
    <w:rsid w:val="00D30FA1"/>
    <w:rsid w:val="00D54203"/>
    <w:rsid w:val="00D66215"/>
    <w:rsid w:val="00D82B3E"/>
    <w:rsid w:val="00D9089E"/>
    <w:rsid w:val="00D92987"/>
    <w:rsid w:val="00DA620B"/>
    <w:rsid w:val="00DB4BBF"/>
    <w:rsid w:val="00DC0F38"/>
    <w:rsid w:val="00DC5F8C"/>
    <w:rsid w:val="00DF353F"/>
    <w:rsid w:val="00E02507"/>
    <w:rsid w:val="00E1086F"/>
    <w:rsid w:val="00E116F0"/>
    <w:rsid w:val="00E13240"/>
    <w:rsid w:val="00E20563"/>
    <w:rsid w:val="00E3247D"/>
    <w:rsid w:val="00E34479"/>
    <w:rsid w:val="00E35B41"/>
    <w:rsid w:val="00E5213D"/>
    <w:rsid w:val="00E53408"/>
    <w:rsid w:val="00E6425B"/>
    <w:rsid w:val="00E66A62"/>
    <w:rsid w:val="00E66E63"/>
    <w:rsid w:val="00E70431"/>
    <w:rsid w:val="00E820D5"/>
    <w:rsid w:val="00E83FED"/>
    <w:rsid w:val="00E8422A"/>
    <w:rsid w:val="00E84957"/>
    <w:rsid w:val="00E85CAF"/>
    <w:rsid w:val="00E86332"/>
    <w:rsid w:val="00E9030E"/>
    <w:rsid w:val="00E97B6B"/>
    <w:rsid w:val="00EB4414"/>
    <w:rsid w:val="00EC248D"/>
    <w:rsid w:val="00ED4170"/>
    <w:rsid w:val="00EE3B4E"/>
    <w:rsid w:val="00EF0CB0"/>
    <w:rsid w:val="00EF269D"/>
    <w:rsid w:val="00EF5AF6"/>
    <w:rsid w:val="00F01F23"/>
    <w:rsid w:val="00F101D4"/>
    <w:rsid w:val="00F12F85"/>
    <w:rsid w:val="00F135C8"/>
    <w:rsid w:val="00F14894"/>
    <w:rsid w:val="00F31C8F"/>
    <w:rsid w:val="00F46CB5"/>
    <w:rsid w:val="00F51AE8"/>
    <w:rsid w:val="00F70AE6"/>
    <w:rsid w:val="00F72072"/>
    <w:rsid w:val="00F73323"/>
    <w:rsid w:val="00F74057"/>
    <w:rsid w:val="00FC4989"/>
    <w:rsid w:val="00FF540F"/>
    <w:rsid w:val="03BC7892"/>
    <w:rsid w:val="072175CE"/>
    <w:rsid w:val="074E3773"/>
    <w:rsid w:val="077C5361"/>
    <w:rsid w:val="09336848"/>
    <w:rsid w:val="097405F7"/>
    <w:rsid w:val="09B172C6"/>
    <w:rsid w:val="0A5D6D52"/>
    <w:rsid w:val="0E801E15"/>
    <w:rsid w:val="0F017AFF"/>
    <w:rsid w:val="10B5412A"/>
    <w:rsid w:val="11EB627C"/>
    <w:rsid w:val="12F07343"/>
    <w:rsid w:val="17752B74"/>
    <w:rsid w:val="1B4D19EC"/>
    <w:rsid w:val="1E14187A"/>
    <w:rsid w:val="1EEF0594"/>
    <w:rsid w:val="1F143A0A"/>
    <w:rsid w:val="216A30E1"/>
    <w:rsid w:val="25C83A03"/>
    <w:rsid w:val="27FE719F"/>
    <w:rsid w:val="29424157"/>
    <w:rsid w:val="29BD083C"/>
    <w:rsid w:val="2C8300BD"/>
    <w:rsid w:val="2CB60DC3"/>
    <w:rsid w:val="2D564681"/>
    <w:rsid w:val="352D4A9F"/>
    <w:rsid w:val="370D6ED8"/>
    <w:rsid w:val="382C4545"/>
    <w:rsid w:val="3B345984"/>
    <w:rsid w:val="42A56AEF"/>
    <w:rsid w:val="46A013B3"/>
    <w:rsid w:val="4890303B"/>
    <w:rsid w:val="494704E3"/>
    <w:rsid w:val="4C410B0A"/>
    <w:rsid w:val="4DAF2F51"/>
    <w:rsid w:val="4DF9301E"/>
    <w:rsid w:val="4E354915"/>
    <w:rsid w:val="4E4F6F6F"/>
    <w:rsid w:val="509F6B75"/>
    <w:rsid w:val="56C61D41"/>
    <w:rsid w:val="57387FB2"/>
    <w:rsid w:val="57452F9B"/>
    <w:rsid w:val="57627500"/>
    <w:rsid w:val="57833FAB"/>
    <w:rsid w:val="57B9332B"/>
    <w:rsid w:val="58DB47AC"/>
    <w:rsid w:val="59561F83"/>
    <w:rsid w:val="5B3B7EA3"/>
    <w:rsid w:val="5B637E94"/>
    <w:rsid w:val="637C4FE4"/>
    <w:rsid w:val="66A01E39"/>
    <w:rsid w:val="6ADE7537"/>
    <w:rsid w:val="6C036FCE"/>
    <w:rsid w:val="6C162D6A"/>
    <w:rsid w:val="6F0155A2"/>
    <w:rsid w:val="742B5128"/>
    <w:rsid w:val="75B214CC"/>
    <w:rsid w:val="7A165703"/>
    <w:rsid w:val="7CF70E45"/>
    <w:rsid w:val="7D05652F"/>
    <w:rsid w:val="7F4339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qFormat="1" w:uiPriority="99" w:semiHidden="0" w:name="table of figures"/>
    <w:lsdException w:uiPriority="99" w:name="envelope address"/>
    <w:lsdException w:uiPriority="99" w:name="envelope return"/>
    <w:lsdException w:qFormat="1" w:unhideWhenUsed="0" w:uiPriority="99" w:semiHidden="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5"/>
    <w:qFormat/>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Cambria" w:hAnsi="Cambria" w:eastAsia="宋体" w:cs="Times New Roman"/>
      <w:b/>
      <w:bCs/>
      <w:sz w:val="32"/>
      <w:szCs w:val="32"/>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Layout w:type="fixed"/>
      <w:tblCellMar>
        <w:top w:w="0" w:type="dxa"/>
        <w:left w:w="108" w:type="dxa"/>
        <w:bottom w:w="0" w:type="dxa"/>
        <w:right w:w="108" w:type="dxa"/>
      </w:tblCellMar>
    </w:tblPr>
  </w:style>
  <w:style w:type="paragraph" w:styleId="4">
    <w:name w:val="annotation text"/>
    <w:basedOn w:val="1"/>
    <w:link w:val="30"/>
    <w:semiHidden/>
    <w:unhideWhenUsed/>
    <w:qFormat/>
    <w:uiPriority w:val="99"/>
    <w:pPr>
      <w:jc w:val="left"/>
    </w:pPr>
  </w:style>
  <w:style w:type="paragraph" w:styleId="5">
    <w:name w:val="toc 3"/>
    <w:basedOn w:val="1"/>
    <w:next w:val="1"/>
    <w:unhideWhenUsed/>
    <w:qFormat/>
    <w:uiPriority w:val="39"/>
    <w:pPr>
      <w:ind w:left="840" w:leftChars="400"/>
    </w:pPr>
  </w:style>
  <w:style w:type="paragraph" w:styleId="6">
    <w:name w:val="Plain Text"/>
    <w:basedOn w:val="1"/>
    <w:link w:val="28"/>
    <w:qFormat/>
    <w:uiPriority w:val="0"/>
    <w:rPr>
      <w:rFonts w:ascii="宋体" w:hAnsi="Courier New" w:eastAsia="宋体" w:cs="Times New Roman"/>
      <w:szCs w:val="20"/>
    </w:rPr>
  </w:style>
  <w:style w:type="paragraph" w:styleId="7">
    <w:name w:val="Balloon Text"/>
    <w:basedOn w:val="1"/>
    <w:link w:val="26"/>
    <w:semiHidden/>
    <w:unhideWhenUsed/>
    <w:qFormat/>
    <w:uiPriority w:val="99"/>
    <w:rPr>
      <w:sz w:val="18"/>
      <w:szCs w:val="18"/>
    </w:rPr>
  </w:style>
  <w:style w:type="paragraph" w:styleId="8">
    <w:name w:val="footer"/>
    <w:basedOn w:val="1"/>
    <w:link w:val="25"/>
    <w:unhideWhenUsed/>
    <w:qFormat/>
    <w:uiPriority w:val="99"/>
    <w:pPr>
      <w:tabs>
        <w:tab w:val="center" w:pos="4153"/>
        <w:tab w:val="right" w:pos="8306"/>
      </w:tabs>
      <w:snapToGrid w:val="0"/>
      <w:jc w:val="left"/>
    </w:pPr>
    <w:rPr>
      <w:sz w:val="18"/>
      <w:szCs w:val="18"/>
    </w:rPr>
  </w:style>
  <w:style w:type="paragraph" w:styleId="9">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10">
    <w:name w:val="toc 1"/>
    <w:basedOn w:val="1"/>
    <w:next w:val="1"/>
    <w:unhideWhenUsed/>
    <w:qFormat/>
    <w:uiPriority w:val="39"/>
  </w:style>
  <w:style w:type="paragraph" w:styleId="11">
    <w:name w:val="Subtitle"/>
    <w:basedOn w:val="1"/>
    <w:next w:val="1"/>
    <w:link w:val="54"/>
    <w:qFormat/>
    <w:uiPriority w:val="0"/>
    <w:pPr>
      <w:spacing w:before="240" w:after="60" w:line="312" w:lineRule="auto"/>
      <w:jc w:val="left"/>
      <w:outlineLvl w:val="1"/>
    </w:pPr>
    <w:rPr>
      <w:rFonts w:ascii="黑体" w:hAnsi="黑体" w:eastAsia="黑体" w:cs="Times New Roman"/>
      <w:bCs/>
      <w:kern w:val="28"/>
      <w:szCs w:val="32"/>
    </w:rPr>
  </w:style>
  <w:style w:type="paragraph" w:styleId="12">
    <w:name w:val="footnote text"/>
    <w:basedOn w:val="1"/>
    <w:link w:val="51"/>
    <w:qFormat/>
    <w:uiPriority w:val="0"/>
    <w:pPr>
      <w:numPr>
        <w:ilvl w:val="0"/>
        <w:numId w:val="1"/>
      </w:numPr>
      <w:snapToGrid w:val="0"/>
      <w:jc w:val="left"/>
    </w:pPr>
    <w:rPr>
      <w:rFonts w:ascii="宋体" w:hAnsi="Times New Roman" w:eastAsia="宋体" w:cs="Times New Roman"/>
      <w:sz w:val="18"/>
      <w:szCs w:val="18"/>
    </w:rPr>
  </w:style>
  <w:style w:type="paragraph" w:styleId="13">
    <w:name w:val="table of figures"/>
    <w:basedOn w:val="1"/>
    <w:next w:val="1"/>
    <w:unhideWhenUsed/>
    <w:qFormat/>
    <w:uiPriority w:val="99"/>
    <w:pPr>
      <w:ind w:left="200" w:leftChars="200" w:hanging="200" w:hangingChars="200"/>
    </w:pPr>
  </w:style>
  <w:style w:type="paragraph" w:styleId="14">
    <w:name w:val="toc 2"/>
    <w:basedOn w:val="1"/>
    <w:next w:val="1"/>
    <w:unhideWhenUsed/>
    <w:qFormat/>
    <w:uiPriority w:val="39"/>
    <w:pPr>
      <w:ind w:left="420" w:leftChars="200"/>
    </w:pPr>
  </w:style>
  <w:style w:type="paragraph" w:styleId="15">
    <w:name w:val="Normal (Web)"/>
    <w:basedOn w:val="1"/>
    <w:qFormat/>
    <w:uiPriority w:val="99"/>
    <w:pPr>
      <w:widowControl/>
      <w:spacing w:before="100" w:beforeAutospacing="1" w:after="100" w:afterAutospacing="1"/>
      <w:jc w:val="left"/>
    </w:pPr>
    <w:rPr>
      <w:rFonts w:ascii="宋体" w:hAnsi="宋体" w:eastAsia="宋体" w:cs="宋体"/>
      <w:color w:val="000000"/>
      <w:kern w:val="0"/>
      <w:sz w:val="24"/>
      <w:szCs w:val="24"/>
    </w:rPr>
  </w:style>
  <w:style w:type="paragraph" w:styleId="16">
    <w:name w:val="annotation subject"/>
    <w:basedOn w:val="4"/>
    <w:next w:val="4"/>
    <w:link w:val="31"/>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20">
    <w:name w:val="page number"/>
    <w:basedOn w:val="19"/>
    <w:qFormat/>
    <w:uiPriority w:val="0"/>
  </w:style>
  <w:style w:type="character" w:styleId="21">
    <w:name w:val="Hyperlink"/>
    <w:basedOn w:val="19"/>
    <w:unhideWhenUsed/>
    <w:qFormat/>
    <w:uiPriority w:val="99"/>
    <w:rPr>
      <w:color w:val="0000FF" w:themeColor="hyperlink"/>
      <w:u w:val="single"/>
      <w14:textFill>
        <w14:solidFill>
          <w14:schemeClr w14:val="hlink"/>
        </w14:solidFill>
      </w14:textFill>
    </w:rPr>
  </w:style>
  <w:style w:type="character" w:styleId="22">
    <w:name w:val="annotation reference"/>
    <w:basedOn w:val="19"/>
    <w:semiHidden/>
    <w:unhideWhenUsed/>
    <w:qFormat/>
    <w:uiPriority w:val="99"/>
    <w:rPr>
      <w:sz w:val="21"/>
      <w:szCs w:val="21"/>
    </w:rPr>
  </w:style>
  <w:style w:type="character" w:styleId="23">
    <w:name w:val="footnote reference"/>
    <w:qFormat/>
    <w:uiPriority w:val="99"/>
    <w:rPr>
      <w:vertAlign w:val="superscript"/>
    </w:rPr>
  </w:style>
  <w:style w:type="character" w:customStyle="1" w:styleId="24">
    <w:name w:val="页眉 Char"/>
    <w:basedOn w:val="19"/>
    <w:link w:val="9"/>
    <w:qFormat/>
    <w:uiPriority w:val="99"/>
    <w:rPr>
      <w:sz w:val="18"/>
      <w:szCs w:val="18"/>
    </w:rPr>
  </w:style>
  <w:style w:type="character" w:customStyle="1" w:styleId="25">
    <w:name w:val="页脚 Char"/>
    <w:basedOn w:val="19"/>
    <w:link w:val="8"/>
    <w:qFormat/>
    <w:uiPriority w:val="99"/>
    <w:rPr>
      <w:sz w:val="18"/>
      <w:szCs w:val="18"/>
    </w:rPr>
  </w:style>
  <w:style w:type="character" w:customStyle="1" w:styleId="26">
    <w:name w:val="批注框文本 Char"/>
    <w:basedOn w:val="19"/>
    <w:link w:val="7"/>
    <w:semiHidden/>
    <w:qFormat/>
    <w:uiPriority w:val="99"/>
    <w:rPr>
      <w:sz w:val="18"/>
      <w:szCs w:val="18"/>
    </w:rPr>
  </w:style>
  <w:style w:type="paragraph" w:styleId="27">
    <w:name w:val="List Paragraph"/>
    <w:basedOn w:val="1"/>
    <w:qFormat/>
    <w:uiPriority w:val="34"/>
    <w:pPr>
      <w:ind w:firstLine="420" w:firstLineChars="200"/>
    </w:pPr>
  </w:style>
  <w:style w:type="character" w:customStyle="1" w:styleId="28">
    <w:name w:val="纯文本 Char"/>
    <w:basedOn w:val="19"/>
    <w:link w:val="6"/>
    <w:qFormat/>
    <w:uiPriority w:val="0"/>
    <w:rPr>
      <w:rFonts w:ascii="宋体" w:hAnsi="Courier New" w:eastAsia="宋体" w:cs="Times New Roman"/>
      <w:szCs w:val="20"/>
    </w:rPr>
  </w:style>
  <w:style w:type="paragraph" w:customStyle="1" w:styleId="29">
    <w:name w:val="Char Char Char Char"/>
    <w:basedOn w:val="1"/>
    <w:qFormat/>
    <w:uiPriority w:val="0"/>
    <w:pPr>
      <w:widowControl/>
      <w:spacing w:after="160" w:line="240" w:lineRule="exact"/>
      <w:jc w:val="left"/>
    </w:pPr>
    <w:rPr>
      <w:rFonts w:ascii="Verdana" w:hAnsi="Verdana" w:eastAsia="仿宋_GB2312" w:cs="”“Times New Roman”“"/>
      <w:kern w:val="0"/>
      <w:sz w:val="24"/>
      <w:szCs w:val="20"/>
      <w:lang w:eastAsia="en-US"/>
    </w:rPr>
  </w:style>
  <w:style w:type="character" w:customStyle="1" w:styleId="30">
    <w:name w:val="批注文字 Char"/>
    <w:basedOn w:val="19"/>
    <w:link w:val="4"/>
    <w:semiHidden/>
    <w:qFormat/>
    <w:uiPriority w:val="99"/>
  </w:style>
  <w:style w:type="character" w:customStyle="1" w:styleId="31">
    <w:name w:val="批注主题 Char"/>
    <w:basedOn w:val="30"/>
    <w:link w:val="16"/>
    <w:semiHidden/>
    <w:qFormat/>
    <w:uiPriority w:val="99"/>
    <w:rPr>
      <w:b/>
      <w:bCs/>
    </w:rPr>
  </w:style>
  <w:style w:type="paragraph" w:customStyle="1" w:styleId="32">
    <w:name w:val="封面编号"/>
    <w:qFormat/>
    <w:uiPriority w:val="0"/>
    <w:pPr>
      <w:ind w:right="284"/>
      <w:jc w:val="right"/>
    </w:pPr>
    <w:rPr>
      <w:rFonts w:ascii="Times New Roman" w:hAnsi="Times New Roman" w:eastAsia="黑体" w:cs="Times New Roman"/>
      <w:spacing w:val="20"/>
      <w:kern w:val="0"/>
      <w:sz w:val="28"/>
      <w:szCs w:val="20"/>
      <w:lang w:val="en-US" w:eastAsia="zh-CN" w:bidi="ar-SA"/>
    </w:rPr>
  </w:style>
  <w:style w:type="paragraph" w:customStyle="1" w:styleId="33">
    <w:name w:val="宋体小四"/>
    <w:link w:val="34"/>
    <w:qFormat/>
    <w:uiPriority w:val="0"/>
    <w:pPr>
      <w:spacing w:line="300" w:lineRule="auto"/>
      <w:ind w:firstLine="480" w:firstLineChars="200"/>
      <w:jc w:val="both"/>
    </w:pPr>
    <w:rPr>
      <w:rFonts w:ascii="Times New Roman" w:hAnsi="Times New Roman" w:eastAsia="宋体" w:cs="Times New Roman"/>
      <w:kern w:val="2"/>
      <w:sz w:val="24"/>
      <w:szCs w:val="24"/>
      <w:lang w:val="en-US" w:eastAsia="zh-CN" w:bidi="ar-SA"/>
    </w:rPr>
  </w:style>
  <w:style w:type="character" w:customStyle="1" w:styleId="34">
    <w:name w:val="宋体小四 Char"/>
    <w:link w:val="33"/>
    <w:qFormat/>
    <w:uiPriority w:val="0"/>
    <w:rPr>
      <w:rFonts w:ascii="Times New Roman" w:hAnsi="Times New Roman" w:eastAsia="宋体" w:cs="Times New Roman"/>
      <w:sz w:val="24"/>
      <w:szCs w:val="24"/>
    </w:rPr>
  </w:style>
  <w:style w:type="character" w:customStyle="1" w:styleId="35">
    <w:name w:val="标题 1 Char"/>
    <w:basedOn w:val="19"/>
    <w:link w:val="2"/>
    <w:qFormat/>
    <w:uiPriority w:val="0"/>
    <w:rPr>
      <w:rFonts w:ascii="Times New Roman" w:hAnsi="Times New Roman" w:eastAsia="宋体" w:cs="Times New Roman"/>
      <w:b/>
      <w:bCs/>
      <w:kern w:val="44"/>
      <w:sz w:val="44"/>
      <w:szCs w:val="44"/>
    </w:rPr>
  </w:style>
  <w:style w:type="character" w:customStyle="1" w:styleId="36">
    <w:name w:val="标题 2 Char"/>
    <w:basedOn w:val="19"/>
    <w:link w:val="3"/>
    <w:qFormat/>
    <w:uiPriority w:val="0"/>
    <w:rPr>
      <w:rFonts w:ascii="Cambria" w:hAnsi="Cambria" w:eastAsia="宋体" w:cs="Times New Roman"/>
      <w:b/>
      <w:bCs/>
      <w:sz w:val="32"/>
      <w:szCs w:val="32"/>
    </w:rPr>
  </w:style>
  <w:style w:type="paragraph" w:customStyle="1" w:styleId="37">
    <w:name w:val="标准书眉_奇数页"/>
    <w:next w:val="1"/>
    <w:qFormat/>
    <w:uiPriority w:val="0"/>
    <w:pPr>
      <w:tabs>
        <w:tab w:val="center" w:pos="4154"/>
        <w:tab w:val="right" w:pos="8306"/>
      </w:tabs>
      <w:spacing w:after="120"/>
      <w:jc w:val="right"/>
    </w:pPr>
    <w:rPr>
      <w:rFonts w:ascii="Times New Roman" w:hAnsi="Times New Roman" w:eastAsia="宋体" w:cs="Times New Roman"/>
      <w:kern w:val="0"/>
      <w:sz w:val="21"/>
      <w:szCs w:val="20"/>
      <w:lang w:val="en-US" w:eastAsia="zh-CN" w:bidi="ar-SA"/>
    </w:rPr>
  </w:style>
  <w:style w:type="character" w:customStyle="1" w:styleId="38">
    <w:name w:val="发布"/>
    <w:qFormat/>
    <w:uiPriority w:val="99"/>
    <w:rPr>
      <w:rFonts w:ascii="黑体" w:eastAsia="黑体"/>
      <w:spacing w:val="22"/>
      <w:w w:val="100"/>
      <w:position w:val="3"/>
      <w:sz w:val="28"/>
    </w:rPr>
  </w:style>
  <w:style w:type="paragraph" w:customStyle="1" w:styleId="39">
    <w:name w:val="发布部门"/>
    <w:next w:val="1"/>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kern w:val="0"/>
      <w:sz w:val="36"/>
      <w:szCs w:val="20"/>
      <w:lang w:val="en-US" w:eastAsia="zh-CN" w:bidi="ar-SA"/>
    </w:rPr>
  </w:style>
  <w:style w:type="paragraph" w:customStyle="1" w:styleId="40">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kern w:val="0"/>
      <w:sz w:val="28"/>
      <w:szCs w:val="20"/>
      <w:lang w:val="en-US" w:eastAsia="zh-CN" w:bidi="ar-SA"/>
    </w:rPr>
  </w:style>
  <w:style w:type="paragraph" w:customStyle="1" w:styleId="41">
    <w:name w:val="文献分类号"/>
    <w:qFormat/>
    <w:uiPriority w:val="99"/>
    <w:pPr>
      <w:framePr w:hSpace="180" w:vSpace="180" w:wrap="around" w:vAnchor="margin" w:hAnchor="margin" w:y="1" w:anchorLock="1"/>
      <w:widowControl w:val="0"/>
      <w:textAlignment w:val="center"/>
    </w:pPr>
    <w:rPr>
      <w:rFonts w:ascii="Times New Roman" w:hAnsi="Times New Roman" w:eastAsia="黑体" w:cs="Times New Roman"/>
      <w:kern w:val="0"/>
      <w:sz w:val="21"/>
      <w:szCs w:val="20"/>
      <w:lang w:val="en-US" w:eastAsia="zh-CN" w:bidi="ar-SA"/>
    </w:rPr>
  </w:style>
  <w:style w:type="paragraph" w:customStyle="1" w:styleId="42">
    <w:name w:val="段"/>
    <w:link w:val="47"/>
    <w:qFormat/>
    <w:uiPriority w:val="99"/>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43">
    <w:name w:val="正文标题"/>
    <w:qFormat/>
    <w:uiPriority w:val="0"/>
    <w:rPr>
      <w:rFonts w:ascii="黑体" w:hAnsi="Times New Roman" w:eastAsia="黑体" w:cs="Times New Roman"/>
      <w:kern w:val="0"/>
      <w:sz w:val="21"/>
      <w:szCs w:val="20"/>
      <w:lang w:val="en-US" w:eastAsia="zh-CN" w:bidi="ar-SA"/>
    </w:rPr>
  </w:style>
  <w:style w:type="paragraph" w:customStyle="1" w:styleId="44">
    <w:name w:val="正文左对齐"/>
    <w:basedOn w:val="1"/>
    <w:qFormat/>
    <w:uiPriority w:val="0"/>
    <w:pPr>
      <w:adjustRightInd w:val="0"/>
      <w:spacing w:afterLines="50" w:line="320" w:lineRule="exact"/>
      <w:ind w:firstLine="480" w:firstLineChars="200"/>
      <w:jc w:val="left"/>
      <w:textAlignment w:val="baseline"/>
    </w:pPr>
    <w:rPr>
      <w:rFonts w:ascii="宋体" w:hAnsi="华文细黑" w:eastAsia="宋体" w:cs="Times New Roman"/>
      <w:kern w:val="0"/>
      <w:sz w:val="24"/>
      <w:szCs w:val="20"/>
    </w:rPr>
  </w:style>
  <w:style w:type="paragraph" w:customStyle="1" w:styleId="45">
    <w:name w:val="封面日期"/>
    <w:qFormat/>
    <w:uiPriority w:val="0"/>
    <w:pPr>
      <w:jc w:val="center"/>
    </w:pPr>
    <w:rPr>
      <w:rFonts w:ascii="黑体" w:hAnsi="Times New Roman" w:eastAsia="黑体" w:cs="Times New Roman"/>
      <w:spacing w:val="4"/>
      <w:kern w:val="0"/>
      <w:sz w:val="28"/>
      <w:szCs w:val="20"/>
      <w:lang w:val="en-US" w:eastAsia="zh-CN" w:bidi="ar-SA"/>
    </w:rPr>
  </w:style>
  <w:style w:type="paragraph" w:customStyle="1" w:styleId="46">
    <w:name w:val="一级条标题"/>
    <w:basedOn w:val="1"/>
    <w:next w:val="42"/>
    <w:link w:val="52"/>
    <w:qFormat/>
    <w:uiPriority w:val="0"/>
    <w:pPr>
      <w:widowControl/>
      <w:outlineLvl w:val="2"/>
    </w:pPr>
    <w:rPr>
      <w:rFonts w:ascii="黑体" w:hAnsi="Times New Roman" w:eastAsia="黑体" w:cs="Times New Roman"/>
      <w:kern w:val="0"/>
      <w:szCs w:val="20"/>
    </w:rPr>
  </w:style>
  <w:style w:type="character" w:customStyle="1" w:styleId="47">
    <w:name w:val="段 Char"/>
    <w:link w:val="42"/>
    <w:qFormat/>
    <w:uiPriority w:val="99"/>
    <w:rPr>
      <w:rFonts w:ascii="宋体" w:hAnsi="Times New Roman" w:eastAsia="宋体" w:cs="Times New Roman"/>
      <w:kern w:val="0"/>
      <w:szCs w:val="20"/>
    </w:rPr>
  </w:style>
  <w:style w:type="character" w:customStyle="1" w:styleId="48">
    <w:name w:val="页眉 字符1"/>
    <w:qFormat/>
    <w:uiPriority w:val="0"/>
    <w:rPr>
      <w:rFonts w:ascii="仿宋_GB2312" w:hAnsi="宋体" w:eastAsia="仿宋_GB2312"/>
      <w:kern w:val="2"/>
      <w:sz w:val="18"/>
      <w:szCs w:val="18"/>
    </w:rPr>
  </w:style>
  <w:style w:type="paragraph" w:customStyle="1" w:styleId="49">
    <w:name w:val="标准称谓"/>
    <w:next w:val="1"/>
    <w:qFormat/>
    <w:uiPriority w:val="0"/>
    <w:pPr>
      <w:framePr w:w="9639" w:h="624" w:hRule="exact" w:hSpace="181" w:vSpace="181" w:wrap="around" w:vAnchor="page" w:hAnchor="page" w:x="1419" w:y="2286"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kern w:val="0"/>
      <w:sz w:val="48"/>
      <w:szCs w:val="20"/>
      <w:lang w:val="en-US" w:eastAsia="zh-CN" w:bidi="ar-SA"/>
    </w:rPr>
  </w:style>
  <w:style w:type="paragraph" w:customStyle="1" w:styleId="50">
    <w:name w:val="标准标志"/>
    <w:next w:val="1"/>
    <w:qFormat/>
    <w:uiPriority w:val="0"/>
    <w:pPr>
      <w:framePr w:w="2546" w:h="1389" w:hRule="exact" w:hSpace="181" w:vSpace="181" w:wrap="around" w:vAnchor="margin" w:hAnchor="margin" w:x="6522" w:y="398" w:anchorLock="1"/>
      <w:shd w:val="solid" w:color="FFFFFF" w:fill="FFFFFF"/>
      <w:spacing w:line="0" w:lineRule="atLeast"/>
      <w:jc w:val="right"/>
    </w:pPr>
    <w:rPr>
      <w:rFonts w:ascii="Times New Roman" w:hAnsi="Times New Roman" w:eastAsia="宋体" w:cs="Times New Roman"/>
      <w:b/>
      <w:w w:val="170"/>
      <w:kern w:val="0"/>
      <w:sz w:val="96"/>
      <w:szCs w:val="96"/>
      <w:lang w:val="en-US" w:eastAsia="zh-CN" w:bidi="ar-SA"/>
    </w:rPr>
  </w:style>
  <w:style w:type="character" w:customStyle="1" w:styleId="51">
    <w:name w:val="脚注文本 Char"/>
    <w:basedOn w:val="19"/>
    <w:link w:val="12"/>
    <w:qFormat/>
    <w:uiPriority w:val="0"/>
    <w:rPr>
      <w:rFonts w:ascii="宋体" w:hAnsi="Times New Roman" w:eastAsia="宋体" w:cs="Times New Roman"/>
      <w:sz w:val="18"/>
      <w:szCs w:val="18"/>
    </w:rPr>
  </w:style>
  <w:style w:type="character" w:customStyle="1" w:styleId="52">
    <w:name w:val="一级条标题 Char"/>
    <w:link w:val="46"/>
    <w:qFormat/>
    <w:uiPriority w:val="0"/>
    <w:rPr>
      <w:rFonts w:ascii="黑体" w:hAnsi="Times New Roman" w:eastAsia="黑体" w:cs="Times New Roman"/>
      <w:kern w:val="0"/>
      <w:szCs w:val="20"/>
    </w:rPr>
  </w:style>
  <w:style w:type="character" w:customStyle="1" w:styleId="53">
    <w:name w:val="副标题 字符"/>
    <w:basedOn w:val="19"/>
    <w:qFormat/>
    <w:uiPriority w:val="11"/>
    <w:rPr>
      <w:b/>
      <w:bCs/>
      <w:kern w:val="28"/>
      <w:sz w:val="32"/>
      <w:szCs w:val="32"/>
    </w:rPr>
  </w:style>
  <w:style w:type="character" w:customStyle="1" w:styleId="54">
    <w:name w:val="副标题 Char"/>
    <w:link w:val="11"/>
    <w:qFormat/>
    <w:uiPriority w:val="0"/>
    <w:rPr>
      <w:rFonts w:ascii="黑体" w:hAnsi="黑体" w:eastAsia="黑体" w:cs="Times New Roman"/>
      <w:bCs/>
      <w:kern w:val="28"/>
      <w:szCs w:val="32"/>
    </w:rPr>
  </w:style>
  <w:style w:type="paragraph" w:styleId="55">
    <w:name w:val="No Spacing"/>
    <w:qFormat/>
    <w:uiPriority w:val="1"/>
    <w:pPr>
      <w:widowControl w:val="0"/>
      <w:jc w:val="both"/>
    </w:pPr>
    <w:rPr>
      <w:rFonts w:asciiTheme="minorHAnsi" w:hAnsiTheme="minorHAnsi" w:eastAsiaTheme="minorEastAsia" w:cstheme="minorBidi"/>
      <w:kern w:val="2"/>
      <w:sz w:val="21"/>
      <w:szCs w:val="22"/>
      <w:lang w:val="en-US" w:eastAsia="zh-CN" w:bidi="ar-SA"/>
    </w:rPr>
  </w:style>
  <w:style w:type="paragraph" w:customStyle="1" w:styleId="56">
    <w:name w:val="TOC Heading"/>
    <w:basedOn w:val="2"/>
    <w:next w:val="1"/>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paragraph" w:customStyle="1" w:styleId="57">
    <w:name w:val="其他标准称谓"/>
    <w:next w:val="1"/>
    <w:qFormat/>
    <w:uiPriority w:val="0"/>
    <w:pPr>
      <w:framePr w:hSpace="181" w:vSpace="181" w:wrap="around" w:vAnchor="page" w:hAnchor="page" w:x="1419" w:y="2286" w:anchorLock="1"/>
      <w:spacing w:line="0" w:lineRule="atLeast"/>
      <w:jc w:val="distribute"/>
    </w:pPr>
    <w:rPr>
      <w:rFonts w:ascii="黑体" w:hAnsi="宋体" w:eastAsia="黑体" w:cs="Times New Roman"/>
      <w:spacing w:val="-40"/>
      <w:kern w:val="0"/>
      <w:sz w:val="48"/>
      <w:szCs w:val="5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2.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5.wmf"/><Relationship Id="rId2" Type="http://schemas.openxmlformats.org/officeDocument/2006/relationships/settings" Target="settings.xml"/><Relationship Id="rId19" Type="http://schemas.openxmlformats.org/officeDocument/2006/relationships/oleObject" Target="embeddings/oleObject4.bin"/><Relationship Id="rId18" Type="http://schemas.openxmlformats.org/officeDocument/2006/relationships/image" Target="media/image4.wmf"/><Relationship Id="rId17" Type="http://schemas.openxmlformats.org/officeDocument/2006/relationships/oleObject" Target="embeddings/oleObject3.bin"/><Relationship Id="rId16" Type="http://schemas.openxmlformats.org/officeDocument/2006/relationships/image" Target="media/image3.wmf"/><Relationship Id="rId15" Type="http://schemas.openxmlformats.org/officeDocument/2006/relationships/oleObject" Target="embeddings/oleObject2.bin"/><Relationship Id="rId14" Type="http://schemas.openxmlformats.org/officeDocument/2006/relationships/image" Target="media/image2.wmf"/><Relationship Id="rId13" Type="http://schemas.openxmlformats.org/officeDocument/2006/relationships/oleObject" Target="embeddings/oleObject1.bin"/><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C2D89A8-CA60-4B9B-BFCA-D33905C308A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4113</Words>
  <Characters>4637</Characters>
  <Lines>28</Lines>
  <Paragraphs>7</Paragraphs>
  <TotalTime>22</TotalTime>
  <ScaleCrop>false</ScaleCrop>
  <LinksUpToDate>false</LinksUpToDate>
  <CharactersWithSpaces>5000</CharactersWithSpaces>
  <Application>WPS Office_11.8.2.8555_F1E327BC-269C-435d-A152-05C5408002CA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2020-06-02T07:47:00Z</dcterms:created>
  <dc:creator>MNL</dc:creator>
  <cp:lastModifiedBy>1</cp:lastModifiedBy>
  <cp:lastPrinted>2020-05-25T07:46:00Z</cp:lastPrinted>
  <dcterms:modified xsi:type="dcterms:W3CDTF">2026-06-05T09:50:16Z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2052-11.8.2.8555</vt:lpwstr>
  </property>
  <property fmtid="{D5CDD505-2E9C-101B-9397-08002B2CF9AE}" pid="3" name="KSOTemplateDocerSaveRecord">
    <vt:lpwstr>eyJoZGlkIjoiZDE0OGFiY2IyOGFkZjVmZjAyOTAyMjE0ZTMxNDFkNWYiLCJ1c2VySWQiOiIzNDA4Njg4NjMifQ==</vt:lpwstr>
  </property>
  <property fmtid="{D5CDD505-2E9C-101B-9397-08002B2CF9AE}" pid="4" name="ICV">
    <vt:lpwstr>3A59E6BB6EA64BC492DE0DBA67C81466_12</vt:lpwstr>
  </property>
</Properties>
</file>