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8DD12F">
      <w:pPr>
        <w:widowControl/>
        <w:ind w:firstLine="643"/>
        <w:jc w:val="center"/>
        <w:rPr>
          <w:rFonts w:hint="eastAsia" w:asciiTheme="minorEastAsia" w:hAnsiTheme="minorEastAsia" w:eastAsiaTheme="minorEastAsia" w:cstheme="minorEastAsia"/>
          <w:b/>
          <w:bCs/>
          <w:color w:val="auto"/>
          <w:sz w:val="32"/>
          <w:szCs w:val="28"/>
          <w:highlight w:val="none"/>
        </w:rPr>
      </w:pPr>
      <w:r>
        <w:rPr>
          <w:rFonts w:hint="eastAsia" w:asciiTheme="minorEastAsia" w:hAnsiTheme="minorEastAsia" w:eastAsiaTheme="minorEastAsia" w:cstheme="minorEastAsia"/>
          <w:b/>
          <w:bCs/>
          <w:color w:val="auto"/>
          <w:sz w:val="32"/>
          <w:szCs w:val="28"/>
          <w:highlight w:val="none"/>
        </w:rPr>
        <w:t>团体标准编制说明</w:t>
      </w:r>
    </w:p>
    <w:p w14:paraId="36CAD11E">
      <w:pPr>
        <w:widowControl/>
        <w:spacing w:line="360" w:lineRule="auto"/>
        <w:ind w:firstLine="480"/>
        <w:jc w:val="center"/>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《冠状动脉介入机器人临床应用技术规范》</w:t>
      </w:r>
    </w:p>
    <w:p w14:paraId="3E63439C">
      <w:pPr>
        <w:widowControl/>
        <w:spacing w:line="360" w:lineRule="auto"/>
        <w:ind w:firstLine="480"/>
        <w:jc w:val="center"/>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(征求意见稿)</w:t>
      </w:r>
    </w:p>
    <w:p w14:paraId="53FB46CF">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一、团体标准任务来源、编制背景、目的和意义</w:t>
      </w:r>
    </w:p>
    <w:p w14:paraId="644CE7B4">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（一）任务来源</w:t>
      </w:r>
    </w:p>
    <w:p w14:paraId="7B5E37C1">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本文件由首都医科大学附属北京潞河医院提出，经北京慢性病防治与健康教育研究会批准立项，列入该研究会团体标准制定计划。本文件由北京慢性病防治与健康教育研究会归口。</w:t>
      </w:r>
    </w:p>
    <w:p w14:paraId="31304C0B">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（二）编制背景</w:t>
      </w:r>
    </w:p>
    <w:p w14:paraId="19E0BCF9">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经皮冠状动脉介入治疗（PCI）是冠心病血运重建的重要手段。在传统人工PCI操作中，术者长期处于电离辐射环境下并穿戴铅制防护服，白内障、恶性肿瘤及肌肉骨骼损伤等职业健康风险显著增加。冠状动脉介入机器人通过主控台-从动臂式结构实现导丝、导管的远程操控，为降低术者职业风险、提高操作精度提供了新的技术途径。</w:t>
      </w:r>
    </w:p>
    <w:p w14:paraId="6C20C4D0">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现有临床研究表明，冠状动脉介入机器人辅助PCI在手术成功率方面</w:t>
      </w:r>
      <w:r>
        <w:rPr>
          <w:rFonts w:hint="eastAsia" w:asciiTheme="minorEastAsia" w:hAnsiTheme="minorEastAsia" w:eastAsiaTheme="minorEastAsia" w:cstheme="minorEastAsia"/>
          <w:color w:val="auto"/>
          <w:sz w:val="24"/>
          <w:highlight w:val="none"/>
          <w:lang w:val="en-US" w:eastAsia="zh-CN"/>
        </w:rPr>
        <w:t>与</w:t>
      </w:r>
      <w:r>
        <w:rPr>
          <w:rFonts w:hint="eastAsia" w:asciiTheme="minorEastAsia" w:hAnsiTheme="minorEastAsia" w:eastAsiaTheme="minorEastAsia" w:cstheme="minorEastAsia"/>
          <w:color w:val="auto"/>
          <w:sz w:val="24"/>
          <w:highlight w:val="none"/>
        </w:rPr>
        <w:t>传统人工操作PCI</w:t>
      </w:r>
      <w:r>
        <w:rPr>
          <w:rFonts w:hint="eastAsia" w:asciiTheme="minorEastAsia" w:hAnsiTheme="minorEastAsia" w:eastAsiaTheme="minorEastAsia" w:cstheme="minorEastAsia"/>
          <w:color w:val="auto"/>
          <w:sz w:val="24"/>
          <w:highlight w:val="none"/>
          <w:lang w:val="en-US" w:eastAsia="zh-CN"/>
        </w:rPr>
        <w:t>具有等效性</w:t>
      </w:r>
      <w:r>
        <w:rPr>
          <w:rFonts w:hint="eastAsia" w:asciiTheme="minorEastAsia" w:hAnsiTheme="minorEastAsia" w:eastAsiaTheme="minorEastAsia" w:cstheme="minorEastAsia"/>
          <w:color w:val="auto"/>
          <w:sz w:val="24"/>
          <w:highlight w:val="none"/>
        </w:rPr>
        <w:t>，可使术者辐射暴露量降低95%以上，并显著提升操作稳定性与导丝推送精度。目前该技术已在美国、欧洲及中国多家心脏中心开展临床应用，国内已有数十家具备介入资质的医疗机构引进并开展机器人辅助PCI，已形成一定的临床应用基础。然而，目前尚缺乏针对冠状动脉介入机器人临床应用的统一标准化、规范化指导文件，各机构在人员资质、操作流程、安全管理及质量控制等方面存在差异，在一定程度上制约了该技术的规范推广与临床应用质量的同质化提升。</w:t>
      </w:r>
    </w:p>
    <w:p w14:paraId="663EFB87">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（三）目的和意义</w:t>
      </w:r>
    </w:p>
    <w:p w14:paraId="72EEDF4F">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为规范冠状动脉介入机器人的临床应用，统一临床应用要求、术前准备、手术实施与安全管理、术后管理及质量管理等关键环节的技术要求，保障医疗质量与患者安全，降低术者职业危害，促进该技术安全、有效、规范地推广应用，特制定本文件。本文件为医疗机构开展机器人辅助PCI提供统一、可操作的技术依据，对推动我国冠状动脉介入机器人临床应用的标准化建设具有重要意义。</w:t>
      </w:r>
    </w:p>
    <w:p w14:paraId="3AF00E1C">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二、工作简况，包括基本信息、任务来源、主要工作过程、主要起草人及其分工等。</w:t>
      </w:r>
    </w:p>
    <w:p w14:paraId="55D818AC">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（一）基本信息</w:t>
      </w:r>
    </w:p>
    <w:p w14:paraId="3F80E261">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标准名称：冠状动脉介入机器人临床应用技术规范。</w:t>
      </w:r>
    </w:p>
    <w:p w14:paraId="19AFE005">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英文名称：Technical Specification for Clinical Application of Robotic-assisted Percutaneous Coronary Intervention。</w:t>
      </w:r>
    </w:p>
    <w:p w14:paraId="6082D14C">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提出单位：首都医科大学附属北京潞河医院。</w:t>
      </w:r>
    </w:p>
    <w:p w14:paraId="706504E8">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归口单位：北京慢性病防治与健康教育研究会。</w:t>
      </w:r>
    </w:p>
    <w:p w14:paraId="205B13C9">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起草单位：首都医科大学附属北京潞河医院。</w:t>
      </w:r>
    </w:p>
    <w:p w14:paraId="3289AF1A">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（二）任务来源</w:t>
      </w:r>
    </w:p>
    <w:p w14:paraId="7958D24A">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本文件由首都医科大学附属北京潞河医院提出，经北京慢性病防治与健康教育研究会批准立项并归口管理，列入该研究会团体标准制定计划。</w:t>
      </w:r>
    </w:p>
    <w:p w14:paraId="53FDA7C5">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（三）主要工作过程</w:t>
      </w:r>
    </w:p>
    <w:p w14:paraId="733723E4">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 立项与起草组组建：由首都医科大学附属北京潞河医院牵头，联合国内心血管介入领域专家组建标准起草工作组，明确任务分工与工作计划。</w:t>
      </w:r>
    </w:p>
    <w:p w14:paraId="06B52784">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 资料调研与框架拟定：起草组系统检索并梳理了国内外冠状动脉介入机器人相关的临床研究、技术文件及相关标准，结合临床实践经验，确定本文件的总体框架与主要技术内容。</w:t>
      </w:r>
    </w:p>
    <w:p w14:paraId="5741CC8D">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 标准文本起草：按照GB/T 1.1—2020《标准化工作导则 第1部分：标准化文件的结构和起草规则》的规定，完成标准草案的编写。</w:t>
      </w:r>
    </w:p>
    <w:p w14:paraId="26911377">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4. 讨论修改与专家咨询：起草组多次组织专题研讨与专家咨询，围绕适应证与禁忌证、人员资质、设备与环境、手术实施与安全管理、术后管理及质量管理等核心条文反复论证、修改完善，形成征求意见稿。</w:t>
      </w:r>
    </w:p>
    <w:p w14:paraId="06A54CEC">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5. 公开征求意见：通过相关渠道向心血管介入领域专家及具备介入资质的医疗机构公开征求意见，并根据反馈意见进一步修改完善。</w:t>
      </w:r>
    </w:p>
    <w:p w14:paraId="77F5E4FE">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（四）主要起草人及其分工</w:t>
      </w:r>
    </w:p>
    <w:p w14:paraId="1811D430">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本文件主要起草人为翟光耀，负责本文件的总体设计、技术框架拟定、核心条文起草及全文统稿。其他起草人参与标准框架论证、各章节条文起草、技术内容审核、专家咨询及修改完善等工作。具体分工如下：</w:t>
      </w:r>
    </w:p>
    <w:p w14:paraId="5B66C02E">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翟光耀负责本文件的总体设计与技术框架拟定，核心技术条文起草，组织专家论证，并完成全文统稿与定稿。</w:t>
      </w:r>
    </w:p>
    <w:p w14:paraId="2B7C032A">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其他起草人陈韵岱、周玉杰、唐熠达、贺玉泉、于波、宋雷、窦克非、吴永健、刘宇扬、温尚煜、钱杰、王贵松、王伟民、李宪伦、李建平、张闻多、汪宇鹏、彭红玉、赵慧强、杨鹏、王建龙、刘巍、徐昕晔、李惟铭、郑博、王志坚、汪奇、高磊、吴娜琼、薛亚军、孙铁男、柳子静、齐疏影、高鹏、解菁、黄韬。参与标准框架论证、各章节条文起草、技术内容审核、专家咨询及修改完善等工作。</w:t>
      </w:r>
    </w:p>
    <w:p w14:paraId="799A1C49">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三、标准编制原则。</w:t>
      </w:r>
    </w:p>
    <w:p w14:paraId="7EE0631D">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本文件的编制遵循以下原则：</w:t>
      </w:r>
    </w:p>
    <w:p w14:paraId="0669D3D5">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 合法合规原则。本文件的制定符合《中华人民共和国标准化法》及团体标准管理的相关规定，与现行法律、法规及强制性标准保持一致。</w:t>
      </w:r>
    </w:p>
    <w:p w14:paraId="281B2091">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 规范性原则。本文件按照GB/T 1.1—2020《标准化工作导则 第1部分：标准化文件的结构和起草规则》的规定起草，确保结构、编写格式及表述符合标准化要求。</w:t>
      </w:r>
    </w:p>
    <w:p w14:paraId="305345A0">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 科学性与先进性原则。以现有循证医学证据、临床研究成果及临床实践经验为依据，充分吸收国内外冠状动脉介入机器人应用的先进经验，确保技术内容科学、合理、先进。</w:t>
      </w:r>
    </w:p>
    <w:p w14:paraId="391D2306">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4. 安全性原则。以患者安全和术者职业防护为核心，重点规范手术安全管理、异常处理、并发症处置及紧急中转等关键内容。</w:t>
      </w:r>
    </w:p>
    <w:p w14:paraId="32499F94">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5. 适用性与可操作性原则。紧密结合临床实际，条文表述明确、便于执行，覆盖术前、术中、术后全过程，确保本文件在不同医疗机构具有良好的适用性和可操作性。</w:t>
      </w:r>
    </w:p>
    <w:p w14:paraId="57754676">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6. 协调性原则。与现行经皮冠状动脉介入治疗临床诊疗指南、相关医用电气设备及医院感染管理标准相协调，避免相互冲突与内容重复。</w:t>
      </w:r>
    </w:p>
    <w:p w14:paraId="3249558C">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四、标准主要条文或技术内容的依据；专利情况说明；修订标准应说明新旧标准水平的对比情况。</w:t>
      </w:r>
    </w:p>
    <w:p w14:paraId="7802C889">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（一）主要技术内容及其依据</w:t>
      </w:r>
    </w:p>
    <w:p w14:paraId="6CDDB35B">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本文件的主要技术内容包括：范围，规范性引用文件，术语和定义，临床应用要求，术前准备，手术实施与安全管理，术后管理，质量管理与持续改进。各部分主要技术内容及其依据如下：</w:t>
      </w:r>
    </w:p>
    <w:p w14:paraId="703A142F">
      <w:pPr>
        <w:widowControl/>
        <w:spacing w:line="360" w:lineRule="auto"/>
        <w:ind w:firstLine="480"/>
        <w:jc w:val="left"/>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rPr>
        <w:t>1. 范围与术语和定义。本文件将适用对象界定为采用主控台-从动臂式结构、具备包括导丝、导管以及相关介入器械的远程操控功能的经皮冠状动脉介入机器人系统，适用于具有冠状动脉介入资质的医疗机构及相关专业人员的临床应用，不适用于外周血管、脑血管及结构性心脏病介入机器人系统；并对冠状动脉介入机器人、控制单元、执行单元及心脏团队等术语作出定义。上述内容依据现有冠状动脉介入机器人系统的技术构成特征及临床多学科协作实践确定</w:t>
      </w:r>
      <w:r>
        <w:rPr>
          <w:rFonts w:hint="eastAsia" w:asciiTheme="minorEastAsia" w:hAnsiTheme="minorEastAsia" w:eastAsiaTheme="minorEastAsia" w:cstheme="minorEastAsia"/>
          <w:color w:val="auto"/>
          <w:sz w:val="24"/>
          <w:highlight w:val="none"/>
          <w:lang w:eastAsia="zh-CN"/>
        </w:rPr>
        <w:t>。</w:t>
      </w:r>
    </w:p>
    <w:p w14:paraId="29904671">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 临床应用要求（第4章）。适应证与禁忌证依据经皮冠状动脉介入治疗临床诊疗指南及机器人系统的性能边界确定；人员资质要求（取得介入心脏病学执业资格、独立完成PCI不少于200例、完成累计不少于16学时的专项培训、考核合格并取得准入资格、准入资格每2年复审一次）依据介入心脏病学执业资格管理要求与临床培训准入实践确定；培训内容涵盖系统结构与操作原理、术前安装与校准、导丝/导管远程操控规范、应急中转与故障处置、无菌操作与耗材使用五大模块，准入考核包括理论笔试、模拟操作及带教评估三部分，三项均合格方可出具书面准入证明；手术团队应包括主刀医师、床旁助手及导管室护理人员，并建立与心脏外科和麻醉科的协作机制；设备与环境要求（使用环境温度20 ℃～25 ℃、相对湿度40%～60%、大气压力700 hPa～1060 hPa；存储与运输环境温度-10 ℃～40 ℃、相对湿度≤90%；引用GB 9706.1、GB 15982）依据医用电气设备安全标准及医院消毒卫生标准确定；安全与应急管理要求依据手术风险防控与应急保障需要确定。</w:t>
      </w:r>
    </w:p>
    <w:p w14:paraId="0FF37223">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 术前准备（第5章）。患者评估与知情同意、辅助检查与影像学评估（结合冠状动脉造影、计算机断层血管成像及功能学检查）、手术方案与适用性评估（结合SYNTAX评分等病变复杂度评估，对存在严重钙化、慢性完全闭塞或多分支复杂病变的病例综合判断机器人操作的可行性与安全性）、器械与物资准备、术前患者准备及术前安全核查等内容，依据PCI术前评估规范及手术安全核查制度确定。</w:t>
      </w:r>
    </w:p>
    <w:p w14:paraId="53A63ABA">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4. 手术实施与安全管理（第6章）。系统准备与功能校验、导丝与导管远程操控原则、术中腔内影像（血管内超声IVUS、光学相干断层扫描OCT）评估、过程安全监控、设备及患者相关异常处理、紧急中转人工操作及并发症处置（导丝缠绕、血管夹层、冠状动脉穿孔、无复流或慢血流、支架脱载及急性血栓形成等），以及术毕系统关闭与复位、操作日志与影像记录保存、一次性耗材按医疗废物管理规定处置及运行记录提交质量管理系统等收尾与交接等内容，依据冠状动脉介入机器人的操作技术特点及PCI并发症处置临床指南确定。</w:t>
      </w:r>
    </w:p>
    <w:p w14:paraId="3AC89142">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5. 术后管理（第7章）。术后生命体征与穿刺部位监测频次、术后辅助检查（心电图复查、高敏肌钙蛋白及CK-MB等心肌损伤标志物动态监测、术后次日晨复查血常规及必要时床旁超声评估心脏功能）、造影剂相关急性肾损伤监测（造影剂用量超过100 mL或术前eGFR＜60 mL/min/1.73m²者于术后24～48小时复查血清肌酐及尿素氮，肌酐较基线升高≥0.3 mg/dL或升高幅度≥50%即予诊断与干预）、设备运行数据归档及并发症专项登记与回顾性分析等内容，依据PCI术后管理临床指南及造影剂相关急性肾损伤诊断标准确定。</w:t>
      </w:r>
    </w:p>
    <w:p w14:paraId="443312A0">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6. 质量管理与持续改进（第8章）。质量控制要求、设备日常巡检与定期维护校准周期（每日开机自检、每月功能校准、每季度预防性维护、每年安全检测）、故障管理（故障24小时内上报、维修后须经功能验证合格方可重新使用）、档案保存期限（不少于设备使用年限终止后5年）、质量数据采集与分析、内部审核、持续改进闭环管理、持续培训及质量改进档案管理与信息共享（在符合数据安全和隐私保护要求的前提下，与相关机构共享质量管理经验与改进成果）等内容，依据国家及行业医疗质量管理相关要求与医疗设备管理实践确定。</w:t>
      </w:r>
    </w:p>
    <w:p w14:paraId="2C284D2C">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（二）专利情况说明</w:t>
      </w:r>
    </w:p>
    <w:p w14:paraId="149F1AF5">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本文件在起草过程中未识别出涉及专利的内容。本文件的发布机构提请注意，请相关方在提交反馈意见时，将其知道的相关专利连同支持性文件一并提交。本文件的发布机构不承担识别专利的责任。</w:t>
      </w:r>
    </w:p>
    <w:p w14:paraId="0BEBBC99">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（三）新旧标准对比</w:t>
      </w:r>
    </w:p>
    <w:p w14:paraId="646CC1C4">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本文件为首次制定，不涉及对现行标准的修订，故无新旧标准水平的对比。</w:t>
      </w:r>
    </w:p>
    <w:p w14:paraId="0FEDFD76">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五、主要试验、验证及试行结果。</w:t>
      </w:r>
    </w:p>
    <w:p w14:paraId="33964BDC">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本文件属于临床应用技术规范类标准，主要规定冠状动脉介入机器人临床应用的技术要求与管理要求，不涉及产品性能的实验室检测。本文件技术内容的验证主要通过以下方式完成：一是系统检索国内外冠状动脉介入机器人相关临床研究文献，对其安全性与有效性证据进行循证评价；二是依据国内多家医疗机构开展机器人辅助PCI的临床实践经验进行论证；三是组织心血管介入领域专家对标准条文进行多轮论证与审核。现有临床证据表明，冠状动脉介入机器人辅助PCI在手术成功率方面与传统人工操作具有等效性，可使术者辐射暴露量降低95%以上，并显著提升操作稳定性与导丝推送精度。上述结果支持本文件所规定的技术要求科学、合理、可行。</w:t>
      </w:r>
    </w:p>
    <w:p w14:paraId="1F2104C7">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六、采用国际标准或国外先进标准的情况。</w:t>
      </w:r>
    </w:p>
    <w:p w14:paraId="7C867DDF">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本文件未直接采用国际标准或国外先进标准。在起草过程中，参考了ISO 13485:2016《医疗器械 质量管理体系 用于法规的要求》等国际文件中有关医疗器械质量管理的相关理念。截至本文件起草时，国内外尚无专门针对冠状动脉介入机器人临床应用的同类国际标准或国外先进标准可供采用。</w:t>
      </w:r>
    </w:p>
    <w:p w14:paraId="46233F02">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七、与现行法律法规、强制性标准和其他有关标准的关系（推荐性国家标准、推荐性行业标准、团体标准、国际标准</w:t>
      </w:r>
      <w:bookmarkStart w:id="0" w:name="_GoBack"/>
      <w:bookmarkEnd w:id="0"/>
      <w:r>
        <w:rPr>
          <w:rFonts w:hint="eastAsia" w:asciiTheme="minorEastAsia" w:hAnsiTheme="minorEastAsia" w:eastAsiaTheme="minorEastAsia" w:cstheme="minorEastAsia"/>
          <w:color w:val="auto"/>
          <w:sz w:val="24"/>
          <w:highlight w:val="none"/>
        </w:rPr>
        <w:t>和国外先进标准等）。</w:t>
      </w:r>
    </w:p>
    <w:p w14:paraId="21C5E485">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本文件的制定符合《中华人民共和国标准化法》等相关法律法规的要求。本文件规范性引用了GB 9706.1《医用电气设备 第1部分：基本安全和基本性能的通用要求》和GB 15982《医院消毒卫生标准》，相关技术要求与上述强制性国家标准保持一致。在器械使用后处置方面，本文件与《医疗废物管理条例》相衔接；在临床诊疗方面，本文件与现行经皮冠状动脉介入治疗相关临床诊疗指南相协调。本文件为团体标准，作为现行法律法规、强制性标准及相关推荐性标准的补充，不与其相抵触。</w:t>
      </w:r>
    </w:p>
    <w:p w14:paraId="5B34FCE1">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八、重大分歧或重难点的处理经过和依据。</w:t>
      </w:r>
    </w:p>
    <w:p w14:paraId="74FFD881">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本文件在起草过程中未出现重大分歧。起草组讨论的主要难点及处理情况如下：一是适用范围的界定，经讨论明确将适用对象限定为采用主控台-从动臂式结构、具备导丝及导管远程操控功能的经皮冠状动脉介入机器人系统，不适用于外周血管、脑血管及结构性心脏病介入机器人系统；二是人员资质与准入要求的设定，经专家论证，确定了独立完成PCI例数、专项培训学时及准入资格复审周期等量化要求；三是紧急中转人工操作的规范，明确了在设备故障或患者发生危及生命情况时中止机器人操作、切换为人工接管的处置流程。上述重难点均经起草组充分讨论，并参照临床实践经验与相关临床指南予以确定。</w:t>
      </w:r>
    </w:p>
    <w:p w14:paraId="2E418FC2">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九、作为强制性标准或推荐性标准的建议。</w:t>
      </w:r>
    </w:p>
    <w:p w14:paraId="62B8C470">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本文件为团体标准，建议作为推荐性标准发布和实施，供具有冠状动脉介入资质的医疗机构及相关专业人员采用。</w:t>
      </w:r>
    </w:p>
    <w:p w14:paraId="46578E93">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十、贯彻该标准的要求、措施建议及预期效果。</w:t>
      </w:r>
    </w:p>
    <w:p w14:paraId="3779E0AB">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（一）贯彻要求与措施建议</w:t>
      </w:r>
    </w:p>
    <w:p w14:paraId="6BAD3987">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建议通过学术会议、专题培训及行业交流等方式开展本文件的宣贯，提高相关医疗机构和专业人员对本文件的认知与执行能力。医疗机构应结合自身实际，建立健全冠状动脉介入机器人临床应用的操作规程、培训与准入、安全应急及质量管理等制度，保障本文件有效落实。</w:t>
      </w:r>
    </w:p>
    <w:p w14:paraId="63AB12E9">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（二）预期效果</w:t>
      </w:r>
    </w:p>
    <w:p w14:paraId="140DB366">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本文件的实施有助于统一冠状动脉介入机器人临床应用的技术要求，规范手术操作与安全管理流程，降低术者职业危害，保障患者安全，提升医疗质量同质化水平，促进冠状动脉介入机器人技术在我国安全、有效、规范地推广应用。</w:t>
      </w:r>
    </w:p>
    <w:p w14:paraId="4811A137">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十一、废止或代替现行相关标准的建议。</w:t>
      </w:r>
    </w:p>
    <w:p w14:paraId="1745D91B">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本文件为首次制定，不涉及废止或代替现行相关标准。</w:t>
      </w:r>
    </w:p>
    <w:p w14:paraId="180848BF">
      <w:pPr>
        <w:widowControl/>
        <w:spacing w:line="360" w:lineRule="auto"/>
        <w:ind w:firstLine="480"/>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十二、其他应予说明的事项。</w:t>
      </w:r>
    </w:p>
    <w:p w14:paraId="0E43863A">
      <w:pPr>
        <w:spacing w:after="80" w:line="360" w:lineRule="auto"/>
        <w:ind w:firstLine="480"/>
        <w:jc w:val="both"/>
        <w:rPr>
          <w:rFonts w:hint="eastAsia" w:asciiTheme="minorEastAsia" w:hAnsiTheme="minorEastAsia" w:eastAsiaTheme="minorEastAsia" w:cstheme="minorEastAsia"/>
          <w:color w:val="auto"/>
          <w:sz w:val="24"/>
          <w:highlight w:val="none"/>
        </w:rPr>
      </w:pPr>
      <w:r>
        <w:rPr>
          <w:rFonts w:ascii="宋体" w:hAnsi="宋体" w:eastAsia="宋体"/>
          <w:b w:val="0"/>
          <w:bCs w:val="0"/>
          <w:sz w:val="24"/>
          <w:szCs w:val="24"/>
        </w:rPr>
        <w:t>本文件在实施过程中，将根据冠状动脉介入机器人技术的发展、临床应用经验的积累以及相关法律法规和标准的更新，适时进行修订和完善。本文件的标准编号及涉及具体立项与征求意见时间等事项，将在标准报批阶段予以补充确定。</w:t>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600"/>
      </w:pPr>
      <w:r>
        <w:separator/>
      </w:r>
    </w:p>
  </w:endnote>
  <w:endnote w:type="continuationSeparator" w:id="1">
    <w:p>
      <w:pPr>
        <w:ind w:firstLine="60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宋体-简">
    <w:panose1 w:val="02010800040101010101"/>
    <w:charset w:val="86"/>
    <w:family w:val="auto"/>
    <w:pitch w:val="default"/>
    <w:sig w:usb0="00000001" w:usb1="080F0000" w:usb2="00000000" w:usb3="00000000" w:csb0="0004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600"/>
      </w:pPr>
      <w:r>
        <w:separator/>
      </w:r>
    </w:p>
  </w:footnote>
  <w:footnote w:type="continuationSeparator" w:id="1">
    <w:p>
      <w:pPr>
        <w:ind w:firstLine="60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5"/>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E5ZDQzMmM1NGQ5NTBjMjE5MWVkZjVmNTQ4MWU2MjkifQ=="/>
  </w:docVars>
  <w:rsids>
    <w:rsidRoot w:val="76F57A64"/>
    <w:rsid w:val="2F6B29F7"/>
    <w:rsid w:val="57BE1CBB"/>
    <w:rsid w:val="5AEBA2C1"/>
    <w:rsid w:val="757C666C"/>
    <w:rsid w:val="76F57A64"/>
    <w:rsid w:val="77FF2D41"/>
    <w:rsid w:val="7A011012"/>
    <w:rsid w:val="9ECB496D"/>
    <w:rsid w:val="ADFFD05D"/>
    <w:rsid w:val="B1FF9D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ind w:firstLine="880" w:firstLineChars="200"/>
      <w:jc w:val="both"/>
    </w:pPr>
    <w:rPr>
      <w:rFonts w:ascii="Times New Roman" w:hAnsi="Times New Roman" w:eastAsia="宋体" w:cstheme="minorBidi"/>
      <w:kern w:val="2"/>
      <w:sz w:val="30"/>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330</Words>
  <Characters>331</Characters>
  <Lines>0</Lines>
  <Paragraphs>0</Paragraphs>
  <TotalTime>12</TotalTime>
  <ScaleCrop>false</ScaleCrop>
  <LinksUpToDate>false</LinksUpToDate>
  <CharactersWithSpaces>331</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2024-10-27T15:06:00Z</dcterms:created>
  <dc:creator>W HY</dc:creator>
  <cp:lastModifiedBy>大百特</cp:lastModifiedBy>
  <dcterms:modified xsi:type="dcterms:W3CDTF">2026-05-29T06:02:28Z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615C31027C130724FBF8176AC62A876C_43</vt:lpwstr>
  </property>
</Properties>
</file>