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AC054">
      <w:pPr>
        <w:pStyle w:val="139"/>
        <w:numPr>
          <w:ilvl w:val="0"/>
          <w:numId w:val="0"/>
        </w:numPr>
        <w:spacing w:before="312" w:after="312"/>
        <w:jc w:val="center"/>
        <w:rPr>
          <w:rFonts w:ascii="仿宋" w:hAnsi="仿宋" w:eastAsia="仿宋" w:cs="仿宋"/>
          <w:b/>
          <w:bCs/>
          <w:sz w:val="40"/>
          <w:szCs w:val="40"/>
        </w:rPr>
      </w:pPr>
      <w:bookmarkStart w:id="0" w:name="_Toc298937322"/>
      <w:bookmarkStart w:id="1" w:name="_Toc298937609"/>
      <w:bookmarkStart w:id="2" w:name="_Toc304402664"/>
      <w:bookmarkStart w:id="3" w:name="_Toc298937276"/>
      <w:bookmarkStart w:id="4" w:name="_Toc298936801"/>
      <w:bookmarkStart w:id="5" w:name="_Toc309997040"/>
      <w:bookmarkStart w:id="6" w:name="_Toc309995472"/>
      <w:bookmarkStart w:id="7" w:name="_Toc499110426"/>
      <w:bookmarkStart w:id="8" w:name="_Toc309994551"/>
      <w:bookmarkStart w:id="9" w:name="_Toc298937357"/>
      <w:bookmarkStart w:id="10" w:name="_Toc309995999"/>
      <w:bookmarkStart w:id="11" w:name="_Toc309993180"/>
      <w:bookmarkStart w:id="12" w:name="_Toc304825081"/>
      <w:bookmarkStart w:id="13" w:name="_Toc37234703"/>
      <w:bookmarkStart w:id="14" w:name="_Toc304825008"/>
      <w:bookmarkStart w:id="15" w:name="_Toc6138"/>
      <w:bookmarkStart w:id="16" w:name="_Toc304824969"/>
      <w:bookmarkStart w:id="17" w:name="_Toc309995578"/>
      <w:bookmarkStart w:id="18" w:name="_Toc298937100"/>
      <w:bookmarkStart w:id="19" w:name="_Toc298938783"/>
      <w:bookmarkStart w:id="20" w:name="_Toc298937201"/>
      <w:bookmarkStart w:id="21" w:name="_Toc298923383"/>
      <w:bookmarkStart w:id="22" w:name="_Toc298937152"/>
      <w:bookmarkStart w:id="23" w:name="_Toc298937167"/>
      <w:bookmarkStart w:id="24" w:name="_Toc309995390"/>
      <w:bookmarkStart w:id="25" w:name="_Toc298937462"/>
      <w:bookmarkStart w:id="26" w:name="_Toc304828066"/>
      <w:bookmarkStart w:id="27" w:name="_Toc310002637"/>
      <w:bookmarkStart w:id="28" w:name="_Toc298936924"/>
      <w:bookmarkStart w:id="29" w:name="_Toc298938635"/>
      <w:bookmarkStart w:id="30" w:name="_Toc298937188"/>
      <w:bookmarkStart w:id="31" w:name="_Toc298937419"/>
      <w:r>
        <w:rPr>
          <w:rFonts w:hint="eastAsia" w:ascii="仿宋" w:hAnsi="仿宋" w:eastAsia="仿宋" w:cs="仿宋"/>
          <w:b/>
          <w:bCs/>
          <w:sz w:val="40"/>
          <w:szCs w:val="40"/>
        </w:rPr>
        <w:t>《</w:t>
      </w:r>
      <w:r>
        <w:rPr>
          <w:rFonts w:hint="eastAsia" w:ascii="仿宋" w:hAnsi="仿宋" w:eastAsia="仿宋" w:cs="仿宋"/>
          <w:b/>
          <w:bCs/>
          <w:sz w:val="40"/>
          <w:szCs w:val="40"/>
          <w:lang w:val="en-US" w:eastAsia="zh-CN"/>
        </w:rPr>
        <w:t>出血性痔的中医综合疗法临床应用规范</w:t>
      </w:r>
      <w:r>
        <w:rPr>
          <w:rFonts w:hint="eastAsia" w:ascii="仿宋" w:hAnsi="仿宋" w:eastAsia="仿宋" w:cs="仿宋"/>
          <w:b/>
          <w:bCs/>
          <w:sz w:val="40"/>
          <w:szCs w:val="40"/>
        </w:rPr>
        <w:t>》团体标准</w:t>
      </w:r>
      <w:r>
        <w:rPr>
          <w:rFonts w:hint="eastAsia" w:ascii="仿宋" w:hAnsi="仿宋" w:eastAsia="仿宋" w:cs="仿宋"/>
          <w:b/>
          <w:bCs/>
          <w:sz w:val="40"/>
          <w:szCs w:val="40"/>
          <w:lang w:val="en-US" w:eastAsia="zh-CN"/>
        </w:rPr>
        <w:t>征求意见</w:t>
      </w:r>
      <w:r>
        <w:rPr>
          <w:rFonts w:hint="eastAsia" w:ascii="仿宋" w:hAnsi="仿宋" w:eastAsia="仿宋" w:cs="仿宋"/>
          <w:b/>
          <w:bCs/>
          <w:sz w:val="40"/>
          <w:szCs w:val="40"/>
        </w:rPr>
        <w:t>稿 编制说明</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5A9480E1">
      <w:pPr>
        <w:pStyle w:val="139"/>
        <w:numPr>
          <w:ilvl w:val="0"/>
          <w:numId w:val="0"/>
        </w:numPr>
        <w:spacing w:before="312" w:after="312"/>
        <w:rPr>
          <w:rFonts w:ascii="仿宋" w:hAnsi="仿宋" w:eastAsia="仿宋" w:cs="仿宋"/>
          <w:b/>
          <w:bCs/>
          <w:color w:val="000000"/>
          <w:sz w:val="32"/>
          <w:szCs w:val="32"/>
        </w:rPr>
      </w:pPr>
      <w:bookmarkStart w:id="32" w:name="BT1"/>
      <w:bookmarkEnd w:id="32"/>
      <w:bookmarkStart w:id="33" w:name="_Toc298937549"/>
      <w:bookmarkEnd w:id="33"/>
      <w:r>
        <w:rPr>
          <w:rFonts w:hint="eastAsia" w:ascii="仿宋" w:hAnsi="仿宋" w:eastAsia="仿宋" w:cs="仿宋"/>
          <w:b/>
          <w:bCs/>
          <w:color w:val="000000"/>
          <w:sz w:val="32"/>
          <w:szCs w:val="32"/>
        </w:rPr>
        <w:t>一、任务来源</w:t>
      </w:r>
    </w:p>
    <w:p w14:paraId="0897F778">
      <w:pPr>
        <w:pStyle w:val="33"/>
        <w:widowControl/>
        <w:tabs>
          <w:tab w:val="left" w:pos="2730"/>
        </w:tabs>
        <w:spacing w:beforeAutospacing="0" w:afterAutospacing="0" w:line="450" w:lineRule="atLeast"/>
        <w:ind w:firstLine="640" w:firstLineChars="200"/>
        <w:rPr>
          <w:rFonts w:hint="eastAsia" w:ascii="仿宋" w:hAnsi="仿宋" w:eastAsia="仿宋" w:cs="仿宋"/>
          <w:sz w:val="32"/>
          <w:szCs w:val="32"/>
          <w:lang w:val="en-US" w:eastAsia="zh-CN"/>
        </w:rPr>
      </w:pPr>
      <w:bookmarkStart w:id="34" w:name="BT3"/>
      <w:bookmarkEnd w:id="34"/>
      <w:r>
        <w:rPr>
          <w:rFonts w:hint="eastAsia" w:ascii="仿宋" w:hAnsi="仿宋" w:eastAsia="仿宋" w:cs="仿宋"/>
          <w:sz w:val="32"/>
          <w:szCs w:val="32"/>
          <w:lang w:val="en-US" w:eastAsia="zh-CN"/>
        </w:rPr>
        <w:t>中国医药新闻信息协会是经民政部注册登记的全国性社会团体，隶属于国务院国资委，主要从事国内医药健康领域以新闻宣传、信息传播、政策研究、行业自律和维权等为主要职能的国家一级行业协会。协会的宗旨是：在政府、企业、媒体和社会公众之间发挥桥梁和纽带作用，增强彼此间的沟通、交流与合作。发挥新闻舆论的监督和引导作用，为政府中心工作服务，为会员单位和行业发展、维权、自律等提供帮助，促进医药事业健康发展，为维护广大人民群众的切身利益做出应有贡献。</w:t>
      </w:r>
    </w:p>
    <w:p w14:paraId="6E194E39">
      <w:pPr>
        <w:pStyle w:val="33"/>
        <w:widowControl/>
        <w:tabs>
          <w:tab w:val="left" w:pos="2730"/>
        </w:tabs>
        <w:spacing w:beforeAutospacing="0" w:afterAutospacing="0" w:line="450" w:lineRule="atLeas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标准部负责协会团体标准的相关工作。团体标准是国标和行业标准的重要补充，是支撑我国标准体系不可分割的重要组成部分。中国医药新闻信息协会历来重视团体标准建设工作，力求在团体标准编制过程中，释放市场主体活力，优化标准供给结构，提高团体标准服务竞争力，助推行业高质量发展。近年来，我国医药健康产业规模与创新能力持续提升，已成为国民经济高质量发展的重要支柱。中国医药新闻信息协会积极响应国家标准化战略部署，全力推进医药健康领域团体标准化建设，通过构建先进标准体系驱动产业技术升级与结构优化。协会以高标准引领药品研发、生产流通及健康服务的全链条质量提升，以高标准赋能医药品牌国际化建设，为行业创新可持续发展注入新动能。</w:t>
      </w:r>
    </w:p>
    <w:p w14:paraId="3D70F64B">
      <w:pPr>
        <w:pStyle w:val="33"/>
        <w:widowControl/>
        <w:tabs>
          <w:tab w:val="left" w:pos="2730"/>
        </w:tabs>
        <w:spacing w:beforeAutospacing="0" w:afterAutospacing="0" w:line="450" w:lineRule="atLeas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出血性痔的中医综合疗法是一种融合中药内服、外用、针灸等多种手段的特色诊疗方式，具有疗效确切、副作用小、整体调理等优势，在肛肠疾病治疗领域占据重要地位。该疗法的临床应用安全性与规范化是保障患者权益、推动行业进步的关键，需要综合考虑辨证分型、治疗方案、操作流程、疗效评价</w:t>
      </w:r>
      <w:bookmarkStart w:id="115" w:name="_GoBack"/>
      <w:bookmarkEnd w:id="115"/>
      <w:r>
        <w:rPr>
          <w:rFonts w:hint="eastAsia" w:ascii="仿宋" w:hAnsi="仿宋" w:eastAsia="仿宋" w:cs="仿宋"/>
          <w:color w:val="auto"/>
          <w:sz w:val="32"/>
          <w:szCs w:val="32"/>
          <w:lang w:val="en-US" w:eastAsia="zh-CN"/>
        </w:rPr>
        <w:t>等多个方面，通过系统的临床实践与研究验证其有效性和安全性。通过规范出血性痔的中医综合疗法临床应用，可推动中医药肛肠领域健康发展，为临床诊疗提供明确指导，促进技术创新与传承。为此，通过制定《出血性痔的中医综合疗法临床应用规范》团体标准，可填补我国相关的标准空白，规范市场发展，以此推动我国肛肠外科领域的高质最发展和技术进步，助力我国医疗行业高质量发展，具有重要的经济和社会效益。</w:t>
      </w:r>
    </w:p>
    <w:p w14:paraId="60D627B7">
      <w:pPr>
        <w:pStyle w:val="33"/>
        <w:widowControl/>
        <w:tabs>
          <w:tab w:val="left" w:pos="2730"/>
        </w:tabs>
        <w:spacing w:beforeAutospacing="0" w:afterAutospacing="0" w:line="450" w:lineRule="atLeas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为推动行业有序发展与技术创新，为医疗机构、企业及从业人员提供明确的技术标杆，遏制不规范应用，促进相关设备、试剂及治疗服务的质量提升与产业升级，并为医疗质量监管、医保支付评价提供科学依据，经标准起草组及专家组会议讨论决定，根据《团体标准管理规定》、《中国医药新闻信息协会团体标准管理办法》有关规定，特立项本标准。本标准项目计划编号为CNDIA20250802。</w:t>
      </w:r>
    </w:p>
    <w:p w14:paraId="61CDB3EC">
      <w:pPr>
        <w:pStyle w:val="139"/>
        <w:numPr>
          <w:ilvl w:val="0"/>
          <w:numId w:val="11"/>
        </w:numPr>
        <w:spacing w:before="312" w:after="312"/>
        <w:rPr>
          <w:rFonts w:ascii="仿宋" w:hAnsi="仿宋" w:eastAsia="仿宋" w:cs="仿宋"/>
          <w:b/>
          <w:bCs/>
          <w:color w:val="000000"/>
          <w:sz w:val="32"/>
          <w:szCs w:val="32"/>
        </w:rPr>
      </w:pPr>
      <w:r>
        <w:rPr>
          <w:rFonts w:hint="eastAsia" w:ascii="仿宋" w:hAnsi="仿宋" w:eastAsia="仿宋" w:cs="仿宋"/>
          <w:b/>
          <w:bCs/>
          <w:color w:val="000000"/>
          <w:sz w:val="32"/>
          <w:szCs w:val="32"/>
        </w:rPr>
        <w:t>起草单位</w:t>
      </w:r>
    </w:p>
    <w:p w14:paraId="540C80BB">
      <w:pPr>
        <w:pStyle w:val="26"/>
        <w:ind w:firstLine="640"/>
        <w:rPr>
          <w:rFonts w:hint="eastAsia" w:ascii="仿宋" w:hAnsi="仿宋" w:eastAsia="仿宋" w:cs="仿宋"/>
          <w:sz w:val="32"/>
          <w:szCs w:val="32"/>
          <w:lang w:val="en-US" w:eastAsia="zh-CN"/>
        </w:rPr>
      </w:pPr>
      <w:r>
        <w:rPr>
          <w:rFonts w:hint="eastAsia" w:ascii="仿宋" w:hAnsi="仿宋" w:eastAsia="仿宋" w:cs="仿宋"/>
          <w:sz w:val="32"/>
          <w:szCs w:val="32"/>
        </w:rPr>
        <w:t>本标准由武汉市第八医院(武汉市肛肠医院)以及沈阳市肛肠医院联合提出</w:t>
      </w:r>
      <w:r>
        <w:rPr>
          <w:rFonts w:hint="eastAsia" w:ascii="仿宋" w:hAnsi="仿宋" w:eastAsia="仿宋" w:cs="仿宋"/>
          <w:sz w:val="32"/>
          <w:szCs w:val="32"/>
          <w:lang w:eastAsia="zh-CN"/>
        </w:rPr>
        <w:t>，中国</w:t>
      </w:r>
      <w:r>
        <w:rPr>
          <w:rFonts w:hint="eastAsia" w:ascii="仿宋" w:hAnsi="仿宋" w:eastAsia="仿宋" w:cs="仿宋"/>
          <w:sz w:val="32"/>
          <w:szCs w:val="32"/>
          <w:lang w:val="en-US" w:eastAsia="zh-CN"/>
        </w:rPr>
        <w:t>医药新闻信息协会归口。本标准由</w:t>
      </w:r>
      <w:r>
        <w:rPr>
          <w:rFonts w:hint="eastAsia" w:ascii="仿宋" w:hAnsi="仿宋" w:eastAsia="仿宋" w:cs="仿宋"/>
          <w:color w:val="auto"/>
          <w:sz w:val="32"/>
          <w:szCs w:val="32"/>
          <w:lang w:val="en-US" w:eastAsia="zh-CN"/>
        </w:rPr>
        <w:t>武汉市第八医院(武汉市肛肠医院)、沈阳市肛肠医院、中山大学附属第六医院、赣州市中医院、山东第一医科大学第一附属医院（山东省千佛山医院）、西安大兴医院、昆明医科大学第二附属医院、华润三九集团、荣昌肛泰公司</w:t>
      </w:r>
      <w:r>
        <w:rPr>
          <w:rFonts w:hint="eastAsia" w:ascii="仿宋" w:hAnsi="仿宋" w:eastAsia="仿宋" w:cs="仿宋"/>
          <w:sz w:val="32"/>
          <w:szCs w:val="32"/>
          <w:lang w:val="en-US" w:eastAsia="zh-CN"/>
        </w:rPr>
        <w:t>等单位参与编制。</w:t>
      </w:r>
    </w:p>
    <w:p w14:paraId="73B6E44E">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三、标准的编制原则</w:t>
      </w:r>
    </w:p>
    <w:p w14:paraId="54C1E3ED">
      <w:pPr>
        <w:pStyle w:val="26"/>
        <w:spacing w:line="360" w:lineRule="auto"/>
        <w:ind w:firstLine="640"/>
        <w:rPr>
          <w:rFonts w:ascii="仿宋" w:hAnsi="仿宋" w:eastAsia="仿宋" w:cs="仿宋"/>
          <w:sz w:val="32"/>
          <w:szCs w:val="32"/>
        </w:rPr>
      </w:pPr>
      <w:r>
        <w:rPr>
          <w:rFonts w:hint="eastAsia" w:ascii="仿宋" w:hAnsi="仿宋" w:eastAsia="仿宋" w:cs="仿宋"/>
          <w:sz w:val="32"/>
          <w:szCs w:val="32"/>
        </w:rPr>
        <w:t>标准起草小组在编制标准过程中，以国家、行业现有的标准为制订基础，按照GB/T 1.1—2020《标准化工作导则 第1部分：标准化文件的结构和起草规则》的规定及相关要求编制。</w:t>
      </w:r>
    </w:p>
    <w:p w14:paraId="3D5B1C15">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四、标准编制过程</w:t>
      </w:r>
    </w:p>
    <w:p w14:paraId="6913B140">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5-</w:t>
      </w:r>
      <w:r>
        <w:rPr>
          <w:rFonts w:hint="eastAsia" w:ascii="仿宋" w:hAnsi="仿宋" w:eastAsia="仿宋" w:cs="仿宋"/>
          <w:sz w:val="32"/>
          <w:szCs w:val="32"/>
          <w:highlight w:val="none"/>
          <w:lang w:val="en-US" w:eastAsia="zh-CN"/>
        </w:rPr>
        <w:t>7月</w:t>
      </w:r>
      <w:r>
        <w:rPr>
          <w:rFonts w:hint="eastAsia" w:ascii="仿宋" w:hAnsi="仿宋" w:eastAsia="仿宋" w:cs="仿宋"/>
          <w:sz w:val="32"/>
          <w:szCs w:val="32"/>
          <w:highlight w:val="none"/>
        </w:rPr>
        <w:t>，</w:t>
      </w:r>
      <w:r>
        <w:rPr>
          <w:rFonts w:hint="eastAsia" w:ascii="仿宋" w:hAnsi="仿宋" w:eastAsia="仿宋" w:cs="仿宋"/>
          <w:sz w:val="32"/>
          <w:szCs w:val="32"/>
          <w:lang w:eastAsia="zh-CN"/>
        </w:rPr>
        <w:t>中国医药新闻信息协会</w:t>
      </w:r>
      <w:r>
        <w:rPr>
          <w:rFonts w:hint="eastAsia" w:ascii="仿宋" w:hAnsi="仿宋" w:eastAsia="仿宋" w:cs="仿宋"/>
          <w:sz w:val="32"/>
          <w:szCs w:val="32"/>
          <w:lang w:val="en-US" w:eastAsia="zh-CN"/>
        </w:rPr>
        <w:t>对</w:t>
      </w:r>
      <w:r>
        <w:rPr>
          <w:rFonts w:hint="eastAsia" w:ascii="仿宋" w:hAnsi="仿宋" w:eastAsia="仿宋" w:cs="仿宋"/>
          <w:sz w:val="32"/>
          <w:szCs w:val="32"/>
        </w:rPr>
        <w:t>《</w:t>
      </w:r>
      <w:r>
        <w:rPr>
          <w:rFonts w:hint="eastAsia" w:ascii="仿宋" w:hAnsi="仿宋" w:eastAsia="仿宋" w:cs="仿宋"/>
          <w:color w:val="auto"/>
          <w:sz w:val="32"/>
          <w:szCs w:val="32"/>
          <w:lang w:val="en-US" w:eastAsia="zh-CN"/>
        </w:rPr>
        <w:t>出血性痔的中医综合疗法临床应用规范</w:t>
      </w:r>
      <w:r>
        <w:rPr>
          <w:rFonts w:hint="eastAsia" w:ascii="仿宋" w:hAnsi="仿宋" w:eastAsia="仿宋" w:cs="仿宋"/>
          <w:sz w:val="32"/>
          <w:szCs w:val="32"/>
        </w:rPr>
        <w:t>》</w:t>
      </w:r>
      <w:r>
        <w:rPr>
          <w:rFonts w:hint="eastAsia" w:ascii="仿宋" w:hAnsi="仿宋" w:eastAsia="仿宋" w:cs="仿宋"/>
          <w:sz w:val="32"/>
          <w:szCs w:val="32"/>
          <w:lang w:val="en-US" w:eastAsia="zh-CN"/>
        </w:rPr>
        <w:t>项目进行调研</w:t>
      </w:r>
      <w:r>
        <w:rPr>
          <w:rFonts w:hint="eastAsia" w:ascii="仿宋" w:hAnsi="仿宋" w:eastAsia="仿宋" w:cs="仿宋"/>
          <w:sz w:val="32"/>
          <w:szCs w:val="32"/>
        </w:rPr>
        <w:t>。</w:t>
      </w:r>
    </w:p>
    <w:p w14:paraId="0BFF861C">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highlight w:val="none"/>
          <w:lang w:val="en-US" w:eastAsia="zh-CN"/>
        </w:rPr>
        <w:t>8月</w:t>
      </w:r>
      <w:r>
        <w:rPr>
          <w:rFonts w:hint="eastAsia" w:ascii="仿宋" w:hAnsi="仿宋" w:eastAsia="仿宋" w:cs="仿宋"/>
          <w:sz w:val="32"/>
          <w:szCs w:val="32"/>
          <w:highlight w:val="none"/>
        </w:rPr>
        <w:t>，</w:t>
      </w:r>
      <w:r>
        <w:rPr>
          <w:rFonts w:hint="eastAsia" w:ascii="仿宋" w:hAnsi="仿宋" w:eastAsia="仿宋" w:cs="仿宋"/>
          <w:sz w:val="32"/>
          <w:szCs w:val="32"/>
          <w:lang w:eastAsia="zh-CN"/>
        </w:rPr>
        <w:t>中国医药新闻信息协会</w:t>
      </w:r>
      <w:r>
        <w:rPr>
          <w:rFonts w:hint="eastAsia" w:ascii="仿宋" w:hAnsi="仿宋" w:eastAsia="仿宋" w:cs="仿宋"/>
          <w:sz w:val="32"/>
          <w:szCs w:val="32"/>
          <w:lang w:val="en-US" w:eastAsia="zh-CN"/>
        </w:rPr>
        <w:t>召开</w:t>
      </w:r>
      <w:r>
        <w:rPr>
          <w:rFonts w:hint="eastAsia" w:ascii="仿宋" w:hAnsi="仿宋" w:eastAsia="仿宋" w:cs="仿宋"/>
          <w:sz w:val="32"/>
          <w:szCs w:val="32"/>
        </w:rPr>
        <w:t>《</w:t>
      </w:r>
      <w:r>
        <w:rPr>
          <w:rFonts w:hint="eastAsia" w:ascii="仿宋" w:hAnsi="仿宋" w:eastAsia="仿宋" w:cs="仿宋"/>
          <w:color w:val="auto"/>
          <w:sz w:val="32"/>
          <w:szCs w:val="32"/>
          <w:lang w:val="en-US" w:eastAsia="zh-CN"/>
        </w:rPr>
        <w:t>出血性痔的中医综合疗法临床应用规范</w:t>
      </w:r>
      <w:r>
        <w:rPr>
          <w:rFonts w:hint="eastAsia" w:ascii="仿宋" w:hAnsi="仿宋" w:eastAsia="仿宋" w:cs="仿宋"/>
          <w:sz w:val="32"/>
          <w:szCs w:val="32"/>
        </w:rPr>
        <w:t>》</w:t>
      </w:r>
      <w:r>
        <w:rPr>
          <w:rFonts w:hint="eastAsia" w:ascii="仿宋" w:hAnsi="仿宋" w:eastAsia="仿宋" w:cs="仿宋"/>
          <w:sz w:val="32"/>
          <w:szCs w:val="32"/>
          <w:lang w:val="en-US" w:eastAsia="zh-CN"/>
        </w:rPr>
        <w:t>项目立项研讨会</w:t>
      </w:r>
      <w:r>
        <w:rPr>
          <w:rFonts w:hint="eastAsia" w:ascii="仿宋" w:hAnsi="仿宋" w:eastAsia="仿宋" w:cs="仿宋"/>
          <w:sz w:val="32"/>
          <w:szCs w:val="32"/>
        </w:rPr>
        <w:t>。</w:t>
      </w:r>
    </w:p>
    <w:p w14:paraId="425DCE56">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highlight w:val="none"/>
          <w:lang w:val="en-US" w:eastAsia="zh-CN"/>
        </w:rPr>
        <w:t>8月</w:t>
      </w:r>
      <w:r>
        <w:rPr>
          <w:rFonts w:hint="eastAsia" w:ascii="仿宋" w:hAnsi="仿宋" w:eastAsia="仿宋" w:cs="仿宋"/>
          <w:sz w:val="32"/>
          <w:szCs w:val="32"/>
          <w:highlight w:val="none"/>
        </w:rPr>
        <w:t>，</w:t>
      </w:r>
      <w:r>
        <w:rPr>
          <w:rFonts w:hint="eastAsia" w:ascii="仿宋" w:hAnsi="仿宋" w:eastAsia="仿宋" w:cs="仿宋"/>
          <w:sz w:val="32"/>
          <w:szCs w:val="32"/>
          <w:lang w:eastAsia="zh-CN"/>
        </w:rPr>
        <w:t>中国医药新闻信息协会</w:t>
      </w:r>
      <w:r>
        <w:rPr>
          <w:rFonts w:hint="eastAsia" w:ascii="仿宋" w:hAnsi="仿宋" w:eastAsia="仿宋" w:cs="仿宋"/>
          <w:sz w:val="32"/>
          <w:szCs w:val="32"/>
        </w:rPr>
        <w:t>正式批准《</w:t>
      </w:r>
      <w:r>
        <w:rPr>
          <w:rFonts w:hint="eastAsia" w:ascii="仿宋" w:hAnsi="仿宋" w:eastAsia="仿宋" w:cs="仿宋"/>
          <w:color w:val="auto"/>
          <w:sz w:val="32"/>
          <w:szCs w:val="32"/>
          <w:lang w:val="en-US" w:eastAsia="zh-CN"/>
        </w:rPr>
        <w:t>出血性痔的中医综合疗法临床应用规范</w:t>
      </w:r>
      <w:r>
        <w:rPr>
          <w:rFonts w:hint="eastAsia" w:ascii="仿宋" w:hAnsi="仿宋" w:eastAsia="仿宋" w:cs="仿宋"/>
          <w:sz w:val="32"/>
          <w:szCs w:val="32"/>
        </w:rPr>
        <w:t>》立项。</w:t>
      </w:r>
    </w:p>
    <w:p w14:paraId="1DE06158">
      <w:pPr>
        <w:pStyle w:val="26"/>
        <w:spacing w:line="360" w:lineRule="auto"/>
        <w:ind w:firstLine="640"/>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eastAsia="zh-CN"/>
        </w:rPr>
        <w:t>中国医药新闻信息协会</w:t>
      </w:r>
      <w:r>
        <w:rPr>
          <w:rFonts w:hint="eastAsia" w:ascii="仿宋" w:hAnsi="仿宋" w:eastAsia="仿宋" w:cs="仿宋"/>
          <w:sz w:val="32"/>
          <w:szCs w:val="32"/>
        </w:rPr>
        <w:t>召开《</w:t>
      </w:r>
      <w:r>
        <w:rPr>
          <w:rFonts w:hint="eastAsia" w:ascii="仿宋" w:hAnsi="仿宋" w:eastAsia="仿宋" w:cs="仿宋"/>
          <w:sz w:val="32"/>
          <w:szCs w:val="32"/>
          <w:lang w:val="en-US" w:eastAsia="zh-CN"/>
        </w:rPr>
        <w:t>出血性痔的中医综合疗法临床应用规范</w:t>
      </w:r>
      <w:r>
        <w:rPr>
          <w:rFonts w:hint="eastAsia" w:ascii="仿宋" w:hAnsi="仿宋" w:eastAsia="仿宋" w:cs="仿宋"/>
          <w:sz w:val="32"/>
          <w:szCs w:val="32"/>
        </w:rPr>
        <w:t>》团体标准启动会</w:t>
      </w:r>
      <w:r>
        <w:rPr>
          <w:rFonts w:hint="eastAsia" w:ascii="仿宋" w:hAnsi="仿宋" w:eastAsia="仿宋" w:cs="仿宋"/>
          <w:sz w:val="32"/>
          <w:szCs w:val="32"/>
          <w:lang w:eastAsia="zh-CN"/>
        </w:rPr>
        <w:t>。</w:t>
      </w:r>
    </w:p>
    <w:p w14:paraId="412F23E5">
      <w:pPr>
        <w:pStyle w:val="26"/>
        <w:spacing w:line="360" w:lineRule="auto"/>
        <w:ind w:firstLine="64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5</w:t>
      </w:r>
      <w:r>
        <w:rPr>
          <w:rFonts w:hint="eastAsia" w:ascii="仿宋" w:hAnsi="仿宋" w:eastAsia="仿宋" w:cs="仿宋"/>
          <w:sz w:val="32"/>
          <w:szCs w:val="32"/>
        </w:rPr>
        <w:t>月，</w:t>
      </w:r>
      <w:r>
        <w:rPr>
          <w:rFonts w:hint="eastAsia" w:ascii="仿宋" w:hAnsi="仿宋" w:eastAsia="仿宋" w:cs="仿宋"/>
          <w:sz w:val="32"/>
          <w:szCs w:val="32"/>
          <w:lang w:eastAsia="zh-CN"/>
        </w:rPr>
        <w:t>中国医药新闻信息协会</w:t>
      </w:r>
      <w:r>
        <w:rPr>
          <w:rFonts w:hint="eastAsia" w:ascii="仿宋" w:hAnsi="仿宋" w:eastAsia="仿宋" w:cs="仿宋"/>
          <w:sz w:val="32"/>
          <w:szCs w:val="32"/>
          <w:lang w:val="en-US" w:eastAsia="zh-CN"/>
        </w:rPr>
        <w:t>正式网上公开征求意见</w:t>
      </w:r>
      <w:r>
        <w:rPr>
          <w:rFonts w:hint="eastAsia" w:ascii="仿宋" w:hAnsi="仿宋" w:eastAsia="仿宋" w:cs="仿宋"/>
          <w:sz w:val="32"/>
          <w:szCs w:val="32"/>
        </w:rPr>
        <w:t>。</w:t>
      </w:r>
    </w:p>
    <w:p w14:paraId="07F64CD6">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五、标准主要内容</w:t>
      </w:r>
    </w:p>
    <w:p w14:paraId="4E777897">
      <w:pPr>
        <w:pStyle w:val="26"/>
        <w:ind w:firstLine="0" w:firstLineChars="0"/>
        <w:rPr>
          <w:rFonts w:ascii="仿宋" w:hAnsi="仿宋" w:eastAsia="仿宋" w:cs="仿宋"/>
          <w:b/>
          <w:bCs/>
          <w:sz w:val="32"/>
          <w:szCs w:val="32"/>
        </w:rPr>
      </w:pPr>
      <w:r>
        <w:rPr>
          <w:rFonts w:hint="eastAsia" w:ascii="仿宋" w:hAnsi="仿宋" w:eastAsia="仿宋" w:cs="仿宋"/>
          <w:b/>
          <w:bCs/>
          <w:sz w:val="32"/>
          <w:szCs w:val="32"/>
        </w:rPr>
        <w:t>1、范围</w:t>
      </w:r>
    </w:p>
    <w:p w14:paraId="7324C2E9">
      <w:pPr>
        <w:pStyle w:val="26"/>
        <w:ind w:firstLine="640"/>
        <w:rPr>
          <w:rFonts w:hint="default" w:ascii="仿宋" w:hAnsi="仿宋" w:eastAsia="仿宋" w:cs="仿宋"/>
          <w:sz w:val="32"/>
          <w:szCs w:val="32"/>
          <w:lang w:val="en-US" w:eastAsia="zh-CN"/>
        </w:rPr>
      </w:pPr>
      <w:r>
        <w:rPr>
          <w:rFonts w:hint="default" w:ascii="仿宋" w:hAnsi="仿宋" w:eastAsia="仿宋" w:cs="仿宋"/>
          <w:sz w:val="32"/>
          <w:szCs w:val="32"/>
          <w:lang w:eastAsia="zh-CN"/>
        </w:rPr>
        <w:t>本文件</w:t>
      </w:r>
      <w:r>
        <w:rPr>
          <w:rFonts w:hint="default" w:ascii="仿宋" w:hAnsi="仿宋" w:eastAsia="仿宋" w:cs="仿宋"/>
          <w:sz w:val="32"/>
          <w:szCs w:val="32"/>
          <w:lang w:val="en-US" w:eastAsia="zh-CN"/>
        </w:rPr>
        <w:t>规定了出血性痔的临床分类、临床表现、诊断与鉴别诊断、中医证候、治疗原则、机构人员要求、治疗流程、不良事件处理、患者教育及随访、疗效评价等内容。</w:t>
      </w:r>
    </w:p>
    <w:p w14:paraId="415EA7D9">
      <w:pPr>
        <w:pStyle w:val="26"/>
        <w:ind w:firstLine="640"/>
        <w:rPr>
          <w:rFonts w:hint="default" w:ascii="仿宋" w:hAnsi="仿宋" w:eastAsia="仿宋" w:cs="仿宋"/>
          <w:sz w:val="32"/>
          <w:szCs w:val="32"/>
          <w:lang w:eastAsia="zh-CN"/>
        </w:rPr>
      </w:pPr>
      <w:r>
        <w:rPr>
          <w:rFonts w:hint="default" w:ascii="仿宋" w:hAnsi="仿宋" w:eastAsia="仿宋" w:cs="仿宋"/>
          <w:sz w:val="32"/>
          <w:szCs w:val="32"/>
          <w:lang w:val="en-US" w:eastAsia="zh-CN"/>
        </w:rPr>
        <w:t>本文件适用于各级医疗机构内痔、混合痔所致出血性痔的中医综合诊疗工作，不适用于外痔为主无明显出血症状，以及结直肠肿瘤、炎症性肠病、直肠息肉等其他疾病引发的便血诊疗</w:t>
      </w:r>
      <w:r>
        <w:rPr>
          <w:rFonts w:hint="eastAsia" w:ascii="仿宋" w:hAnsi="仿宋" w:eastAsia="仿宋" w:cs="仿宋"/>
          <w:sz w:val="32"/>
          <w:szCs w:val="32"/>
          <w:lang w:val="en-US" w:eastAsia="zh-CN"/>
        </w:rPr>
        <w:t>。</w:t>
      </w:r>
    </w:p>
    <w:p w14:paraId="1C902ED7">
      <w:pPr>
        <w:pStyle w:val="26"/>
        <w:ind w:firstLine="0" w:firstLineChars="0"/>
        <w:rPr>
          <w:rFonts w:ascii="仿宋" w:hAnsi="仿宋" w:eastAsia="仿宋" w:cs="仿宋"/>
          <w:b/>
          <w:bCs/>
          <w:sz w:val="32"/>
          <w:szCs w:val="32"/>
        </w:rPr>
      </w:pPr>
      <w:r>
        <w:rPr>
          <w:rFonts w:hint="eastAsia" w:ascii="仿宋" w:hAnsi="仿宋" w:eastAsia="仿宋" w:cs="仿宋"/>
          <w:b/>
          <w:bCs/>
          <w:sz w:val="32"/>
          <w:szCs w:val="32"/>
        </w:rPr>
        <w:t>2、</w:t>
      </w:r>
      <w:bookmarkStart w:id="35" w:name="_Toc304824970"/>
      <w:bookmarkStart w:id="36" w:name="_Toc298937101"/>
      <w:bookmarkStart w:id="37" w:name="_Toc298938784"/>
      <w:bookmarkStart w:id="38" w:name="_Toc304825009"/>
      <w:bookmarkStart w:id="39" w:name="_Toc310002638"/>
      <w:bookmarkStart w:id="40" w:name="_Toc298937463"/>
      <w:bookmarkStart w:id="41" w:name="_Toc298937168"/>
      <w:bookmarkStart w:id="42" w:name="_Toc298937277"/>
      <w:bookmarkStart w:id="43" w:name="_Toc298937358"/>
      <w:bookmarkStart w:id="44" w:name="_Toc298937610"/>
      <w:bookmarkStart w:id="45" w:name="_Toc309995473"/>
      <w:bookmarkStart w:id="46" w:name="_Toc15783"/>
      <w:bookmarkStart w:id="47" w:name="_Toc298937550"/>
      <w:bookmarkStart w:id="48" w:name="_Toc309995391"/>
      <w:bookmarkStart w:id="49" w:name="_Toc309997041"/>
      <w:bookmarkStart w:id="50" w:name="_Toc309994552"/>
      <w:bookmarkStart w:id="51" w:name="_Toc298937420"/>
      <w:bookmarkStart w:id="52" w:name="_Toc304402665"/>
      <w:bookmarkStart w:id="53" w:name="_Toc499110427"/>
      <w:bookmarkStart w:id="54" w:name="_Toc298937153"/>
      <w:bookmarkStart w:id="55" w:name="_Toc298937323"/>
      <w:bookmarkStart w:id="56" w:name="_Toc304828067"/>
      <w:bookmarkStart w:id="57" w:name="_Toc298937189"/>
      <w:bookmarkStart w:id="58" w:name="_Toc309993181"/>
      <w:bookmarkStart w:id="59" w:name="_Toc17330"/>
      <w:bookmarkStart w:id="60" w:name="_Toc304825082"/>
      <w:bookmarkStart w:id="61" w:name="_Toc298936925"/>
      <w:bookmarkStart w:id="62" w:name="_Toc298923384"/>
      <w:bookmarkStart w:id="63" w:name="_Toc298937202"/>
      <w:bookmarkStart w:id="64" w:name="_Toc298938636"/>
      <w:bookmarkStart w:id="65" w:name="_Toc298936802"/>
      <w:bookmarkStart w:id="66" w:name="_Toc309995579"/>
      <w:bookmarkStart w:id="67" w:name="_Toc309996000"/>
      <w:r>
        <w:rPr>
          <w:rFonts w:hint="eastAsia" w:ascii="仿宋" w:hAnsi="仿宋" w:eastAsia="仿宋" w:cs="仿宋"/>
          <w:b/>
          <w:bCs/>
          <w:sz w:val="32"/>
          <w:szCs w:val="32"/>
        </w:rPr>
        <w:t>规范性引用文件</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Start w:id="68" w:name="BT2"/>
      <w:bookmarkEnd w:id="68"/>
    </w:p>
    <w:p w14:paraId="50FF8F6B">
      <w:pPr>
        <w:pStyle w:val="26"/>
        <w:ind w:firstLine="640"/>
        <w:rPr>
          <w:rFonts w:hint="eastAsia" w:ascii="仿宋" w:hAnsi="仿宋" w:eastAsia="仿宋" w:cs="仿宋"/>
          <w:sz w:val="32"/>
          <w:szCs w:val="32"/>
        </w:rPr>
      </w:pPr>
      <w:bookmarkStart w:id="69" w:name="_Toc298937324"/>
      <w:bookmarkStart w:id="70" w:name="_Toc298937190"/>
      <w:bookmarkStart w:id="71" w:name="_Toc298937464"/>
      <w:bookmarkStart w:id="72" w:name="_Toc309996001"/>
      <w:bookmarkStart w:id="73" w:name="_Toc309993182"/>
      <w:bookmarkStart w:id="74" w:name="_Toc304828068"/>
      <w:bookmarkStart w:id="75" w:name="_Toc304824971"/>
      <w:bookmarkStart w:id="76" w:name="_Toc310002639"/>
      <w:bookmarkStart w:id="77" w:name="_Toc298937203"/>
      <w:bookmarkStart w:id="78" w:name="_Toc298937169"/>
      <w:bookmarkStart w:id="79" w:name="_Toc14492"/>
      <w:bookmarkStart w:id="80" w:name="_Toc298937359"/>
      <w:bookmarkStart w:id="81" w:name="_Toc309995392"/>
      <w:bookmarkStart w:id="82" w:name="_Toc309995580"/>
      <w:bookmarkStart w:id="83" w:name="_Toc298937278"/>
      <w:bookmarkStart w:id="84" w:name="_Toc298938637"/>
      <w:bookmarkStart w:id="85" w:name="_Toc304825010"/>
      <w:bookmarkStart w:id="86" w:name="_Toc309995474"/>
      <w:bookmarkStart w:id="87" w:name="_Toc309997042"/>
      <w:bookmarkStart w:id="88" w:name="_Toc298938785"/>
      <w:bookmarkStart w:id="89" w:name="_Toc298937551"/>
      <w:bookmarkStart w:id="90" w:name="_Toc298936803"/>
      <w:bookmarkStart w:id="91" w:name="_Toc309994553"/>
      <w:bookmarkStart w:id="92" w:name="_Toc499110428"/>
      <w:bookmarkStart w:id="93" w:name="_Toc298937154"/>
      <w:bookmarkStart w:id="94" w:name="_Toc298937611"/>
      <w:bookmarkStart w:id="95" w:name="_Toc304825083"/>
      <w:bookmarkStart w:id="96" w:name="_Toc298937102"/>
      <w:bookmarkStart w:id="97" w:name="_Toc298936926"/>
      <w:bookmarkStart w:id="98" w:name="_Toc304402666"/>
      <w:bookmarkStart w:id="99" w:name="_Toc298937421"/>
      <w:bookmarkStart w:id="100" w:name="_Toc20407"/>
      <w:r>
        <w:rPr>
          <w:rFonts w:hint="eastAsia" w:ascii="仿宋" w:hAnsi="仿宋" w:eastAsia="仿宋" w:cs="仿宋"/>
          <w:sz w:val="32"/>
          <w:szCs w:val="32"/>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4EAD73F">
      <w:pPr>
        <w:pStyle w:val="165"/>
        <w:ind w:firstLine="420"/>
        <w:rPr>
          <w:rFonts w:hint="default" w:ascii="仿宋" w:hAnsi="仿宋" w:eastAsia="仿宋" w:cs="仿宋"/>
          <w:sz w:val="32"/>
          <w:szCs w:val="32"/>
          <w:lang w:val="en-US" w:eastAsia="zh-CN" w:bidi="ar-SA"/>
        </w:rPr>
      </w:pPr>
      <w:r>
        <w:rPr>
          <w:rFonts w:hint="default" w:ascii="仿宋" w:hAnsi="仿宋" w:eastAsia="仿宋" w:cs="仿宋"/>
          <w:sz w:val="32"/>
          <w:szCs w:val="32"/>
          <w:lang w:val="en-US" w:eastAsia="zh-CN" w:bidi="ar-SA"/>
        </w:rPr>
        <w:t>GB/T 14396 疾病分类与代码</w:t>
      </w:r>
    </w:p>
    <w:p w14:paraId="044CB723">
      <w:pPr>
        <w:pStyle w:val="165"/>
        <w:ind w:firstLine="420"/>
        <w:rPr>
          <w:rFonts w:hint="default" w:ascii="仿宋" w:hAnsi="仿宋" w:eastAsia="仿宋" w:cs="仿宋"/>
          <w:sz w:val="32"/>
          <w:szCs w:val="32"/>
          <w:lang w:val="en-US" w:eastAsia="zh-CN" w:bidi="ar-SA"/>
        </w:rPr>
      </w:pPr>
      <w:r>
        <w:rPr>
          <w:rFonts w:hint="default" w:ascii="仿宋" w:hAnsi="仿宋" w:eastAsia="仿宋" w:cs="仿宋"/>
          <w:sz w:val="32"/>
          <w:szCs w:val="32"/>
          <w:lang w:val="en-US" w:eastAsia="zh-CN" w:bidi="ar-SA"/>
        </w:rPr>
        <w:t>GB/T16751.1 中医临床诊疗术语 疾病部分</w:t>
      </w:r>
    </w:p>
    <w:p w14:paraId="451AC18B">
      <w:pPr>
        <w:pStyle w:val="165"/>
        <w:ind w:firstLine="420"/>
        <w:rPr>
          <w:rFonts w:hint="default" w:ascii="仿宋" w:hAnsi="仿宋" w:eastAsia="仿宋" w:cs="仿宋"/>
          <w:sz w:val="32"/>
          <w:szCs w:val="32"/>
          <w:lang w:val="en-US" w:eastAsia="zh-CN" w:bidi="ar-SA"/>
        </w:rPr>
      </w:pPr>
      <w:r>
        <w:rPr>
          <w:rFonts w:hint="default" w:ascii="仿宋" w:hAnsi="仿宋" w:eastAsia="仿宋" w:cs="仿宋"/>
          <w:sz w:val="32"/>
          <w:szCs w:val="32"/>
          <w:lang w:val="en-US" w:eastAsia="zh-CN" w:bidi="ar-SA"/>
        </w:rPr>
        <w:t>GB/T16751.2 中医临床诊疗术语 证候部分</w:t>
      </w:r>
    </w:p>
    <w:p w14:paraId="6A059338">
      <w:pPr>
        <w:pStyle w:val="165"/>
        <w:ind w:firstLine="420"/>
        <w:rPr>
          <w:rFonts w:hint="default" w:ascii="仿宋" w:hAnsi="仿宋" w:eastAsia="仿宋" w:cs="仿宋"/>
          <w:sz w:val="32"/>
          <w:szCs w:val="32"/>
          <w:lang w:val="en-US" w:eastAsia="zh-CN" w:bidi="ar-SA"/>
        </w:rPr>
      </w:pPr>
      <w:r>
        <w:rPr>
          <w:rFonts w:hint="default" w:ascii="仿宋" w:hAnsi="仿宋" w:eastAsia="仿宋" w:cs="仿宋"/>
          <w:sz w:val="32"/>
          <w:szCs w:val="32"/>
          <w:lang w:val="en-US" w:eastAsia="zh-CN" w:bidi="ar-SA"/>
        </w:rPr>
        <w:t>GB/T 7714 信息与文献 参考文献著录规则</w:t>
      </w:r>
    </w:p>
    <w:p w14:paraId="28F6BDA3">
      <w:pPr>
        <w:pStyle w:val="165"/>
        <w:ind w:firstLine="420"/>
        <w:rPr>
          <w:rFonts w:hint="default" w:ascii="仿宋" w:hAnsi="仿宋" w:eastAsia="仿宋" w:cs="仿宋"/>
          <w:sz w:val="32"/>
          <w:szCs w:val="32"/>
          <w:lang w:val="en-US" w:eastAsia="zh-CN" w:bidi="ar-SA"/>
        </w:rPr>
      </w:pPr>
      <w:r>
        <w:rPr>
          <w:rFonts w:hint="default" w:ascii="仿宋" w:hAnsi="仿宋" w:eastAsia="仿宋" w:cs="仿宋"/>
          <w:sz w:val="32"/>
          <w:szCs w:val="32"/>
          <w:lang w:val="en-US" w:eastAsia="zh-CN" w:bidi="ar-SA"/>
        </w:rPr>
        <w:t>《中医肛肠科常见病诊疗指南》（中华中医药学会）</w:t>
      </w:r>
    </w:p>
    <w:p w14:paraId="77A2B2E3">
      <w:pPr>
        <w:pStyle w:val="165"/>
        <w:ind w:firstLine="420"/>
        <w:rPr>
          <w:rFonts w:hint="default" w:ascii="仿宋" w:hAnsi="仿宋" w:eastAsia="仿宋" w:cs="仿宋"/>
          <w:sz w:val="32"/>
          <w:szCs w:val="32"/>
          <w:lang w:val="en-US" w:eastAsia="zh-CN" w:bidi="ar-SA"/>
        </w:rPr>
      </w:pPr>
      <w:r>
        <w:rPr>
          <w:rFonts w:hint="default" w:ascii="仿宋" w:hAnsi="仿宋" w:eastAsia="仿宋" w:cs="仿宋"/>
          <w:sz w:val="32"/>
          <w:szCs w:val="32"/>
          <w:lang w:val="en-US" w:eastAsia="zh-CN" w:bidi="ar-SA"/>
        </w:rPr>
        <w:t>《中国痔病诊疗指南2025》</w:t>
      </w:r>
    </w:p>
    <w:p w14:paraId="778E28D6">
      <w:pPr>
        <w:pStyle w:val="165"/>
        <w:ind w:firstLine="420"/>
        <w:rPr>
          <w:rFonts w:hint="default" w:ascii="仿宋" w:hAnsi="仿宋" w:eastAsia="仿宋" w:cs="仿宋"/>
          <w:sz w:val="32"/>
          <w:szCs w:val="32"/>
          <w:lang w:val="en-US" w:eastAsia="zh-CN" w:bidi="ar-SA"/>
        </w:rPr>
      </w:pPr>
      <w:r>
        <w:rPr>
          <w:rFonts w:hint="default" w:ascii="仿宋" w:hAnsi="仿宋" w:eastAsia="仿宋" w:cs="仿宋"/>
          <w:sz w:val="32"/>
          <w:szCs w:val="32"/>
          <w:lang w:val="en-US" w:eastAsia="zh-CN" w:bidi="ar-SA"/>
        </w:rPr>
        <w:t>《中华外科学会肛周疾病诊疗共识》</w:t>
      </w:r>
    </w:p>
    <w:p w14:paraId="7AA714C9">
      <w:pPr>
        <w:pStyle w:val="26"/>
        <w:numPr>
          <w:ilvl w:val="0"/>
          <w:numId w:val="0"/>
        </w:numPr>
        <w:rPr>
          <w:rFonts w:hint="default"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3、</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Toc24305"/>
      <w:bookmarkEnd w:id="101"/>
      <w:bookmarkStart w:id="102" w:name="_Toc28815"/>
      <w:bookmarkEnd w:id="102"/>
      <w:bookmarkStart w:id="103" w:name="_Toc31824"/>
      <w:bookmarkEnd w:id="103"/>
      <w:bookmarkStart w:id="104" w:name="_Toc10606"/>
      <w:bookmarkStart w:id="105" w:name="_Toc53480577"/>
      <w:bookmarkStart w:id="106" w:name="_Toc53587167"/>
      <w:bookmarkStart w:id="107" w:name="_Toc53501691"/>
      <w:bookmarkStart w:id="108" w:name="_Toc53575559"/>
      <w:bookmarkStart w:id="109" w:name="_Toc27503"/>
      <w:bookmarkStart w:id="110" w:name="_Toc23010"/>
      <w:bookmarkStart w:id="111" w:name="_Hlk53576250"/>
      <w:bookmarkStart w:id="112" w:name="_Toc24216"/>
      <w:bookmarkStart w:id="113" w:name="_Toc53480861"/>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术语和定义</w:t>
      </w:r>
    </w:p>
    <w:bookmarkEnd w:id="104"/>
    <w:bookmarkEnd w:id="105"/>
    <w:bookmarkEnd w:id="106"/>
    <w:bookmarkEnd w:id="107"/>
    <w:bookmarkEnd w:id="108"/>
    <w:bookmarkEnd w:id="109"/>
    <w:bookmarkEnd w:id="110"/>
    <w:bookmarkEnd w:id="111"/>
    <w:bookmarkEnd w:id="112"/>
    <w:bookmarkEnd w:id="113"/>
    <w:p w14:paraId="13982D15">
      <w:pPr>
        <w:pStyle w:val="26"/>
        <w:numPr>
          <w:ilvl w:val="0"/>
          <w:numId w:val="12"/>
        </w:numPr>
        <w:ind w:firstLine="0" w:firstLineChars="0"/>
        <w:rPr>
          <w:rFonts w:hint="eastAsia" w:ascii="仿宋_GB2312" w:hAnsi="宋体" w:eastAsia="仿宋_GB2312" w:cs="宋体"/>
          <w:b/>
          <w:bCs/>
          <w:color w:val="auto"/>
          <w:kern w:val="2"/>
          <w:sz w:val="32"/>
          <w:szCs w:val="32"/>
          <w:lang w:val="en-US" w:eastAsia="zh-CN"/>
        </w:rPr>
      </w:pPr>
      <w:bookmarkStart w:id="114" w:name="_Toc31204"/>
      <w:r>
        <w:rPr>
          <w:rFonts w:hint="eastAsia" w:ascii="宋体" w:hAnsi="宋体" w:eastAsia="宋体" w:cs="宋体"/>
          <w:color w:val="auto"/>
          <w:lang w:val="en-US" w:eastAsia="zh-CN" w:bidi="ar-SA"/>
        </w:rPr>
        <w:t>临床分类</w:t>
      </w:r>
    </w:p>
    <w:p w14:paraId="63DE7934">
      <w:pPr>
        <w:pStyle w:val="26"/>
        <w:numPr>
          <w:ilvl w:val="0"/>
          <w:numId w:val="12"/>
        </w:numPr>
        <w:ind w:firstLine="0" w:firstLineChars="0"/>
        <w:rPr>
          <w:rFonts w:hint="eastAsia" w:ascii="仿宋_GB2312" w:hAnsi="宋体" w:eastAsia="仿宋_GB2312" w:cs="宋体"/>
          <w:b/>
          <w:bCs/>
          <w:color w:val="auto"/>
          <w:kern w:val="2"/>
          <w:sz w:val="32"/>
          <w:szCs w:val="32"/>
          <w:lang w:val="en-US" w:eastAsia="zh-CN"/>
        </w:rPr>
      </w:pPr>
      <w:r>
        <w:rPr>
          <w:rFonts w:hint="eastAsia" w:ascii="仿宋_GB2312" w:hAnsi="宋体" w:eastAsia="仿宋_GB2312" w:cs="宋体"/>
          <w:b/>
          <w:bCs/>
          <w:color w:val="auto"/>
          <w:kern w:val="2"/>
          <w:sz w:val="32"/>
          <w:szCs w:val="32"/>
          <w:lang w:val="en-US" w:eastAsia="zh-CN"/>
        </w:rPr>
        <w:t>临床表现</w:t>
      </w:r>
    </w:p>
    <w:p w14:paraId="2741A64D">
      <w:pPr>
        <w:pStyle w:val="26"/>
        <w:numPr>
          <w:ilvl w:val="0"/>
          <w:numId w:val="12"/>
        </w:numPr>
        <w:ind w:firstLine="0" w:firstLineChars="0"/>
        <w:rPr>
          <w:rFonts w:hint="eastAsia" w:ascii="仿宋_GB2312" w:hAnsi="宋体" w:eastAsia="仿宋_GB2312" w:cs="宋体"/>
          <w:b/>
          <w:bCs/>
          <w:color w:val="auto"/>
          <w:kern w:val="2"/>
          <w:sz w:val="32"/>
          <w:szCs w:val="32"/>
          <w:lang w:val="en-US" w:eastAsia="zh-CN"/>
        </w:rPr>
      </w:pPr>
      <w:r>
        <w:rPr>
          <w:rFonts w:hint="eastAsia" w:ascii="仿宋_GB2312" w:hAnsi="宋体" w:eastAsia="仿宋_GB2312" w:cs="宋体"/>
          <w:b/>
          <w:bCs/>
          <w:color w:val="auto"/>
          <w:kern w:val="2"/>
          <w:sz w:val="32"/>
          <w:szCs w:val="32"/>
          <w:lang w:val="en-US" w:eastAsia="zh-CN"/>
        </w:rPr>
        <w:t>诊断与鉴别诊断</w:t>
      </w:r>
    </w:p>
    <w:bookmarkEnd w:id="114"/>
    <w:p w14:paraId="274CF21E">
      <w:pPr>
        <w:pStyle w:val="26"/>
        <w:numPr>
          <w:ilvl w:val="0"/>
          <w:numId w:val="12"/>
        </w:numPr>
        <w:ind w:firstLine="0" w:firstLineChars="0"/>
        <w:rPr>
          <w:rFonts w:hint="eastAsia" w:ascii="仿宋_GB2312" w:hAnsi="宋体" w:eastAsia="仿宋_GB2312" w:cs="宋体"/>
          <w:b/>
          <w:bCs/>
          <w:color w:val="auto"/>
          <w:kern w:val="2"/>
          <w:sz w:val="32"/>
          <w:szCs w:val="32"/>
          <w:lang w:val="en-US" w:eastAsia="zh-CN"/>
        </w:rPr>
      </w:pPr>
      <w:r>
        <w:rPr>
          <w:rFonts w:hint="eastAsia" w:ascii="仿宋_GB2312" w:hAnsi="宋体" w:eastAsia="仿宋_GB2312" w:cs="宋体"/>
          <w:b/>
          <w:bCs/>
          <w:color w:val="auto"/>
          <w:kern w:val="2"/>
          <w:sz w:val="32"/>
          <w:szCs w:val="32"/>
          <w:lang w:val="en-US" w:eastAsia="zh-CN"/>
        </w:rPr>
        <w:t>中医证候</w:t>
      </w:r>
    </w:p>
    <w:p w14:paraId="32F7920E">
      <w:pPr>
        <w:pStyle w:val="26"/>
        <w:numPr>
          <w:ilvl w:val="0"/>
          <w:numId w:val="12"/>
        </w:numPr>
        <w:ind w:firstLine="0" w:firstLineChars="0"/>
        <w:rPr>
          <w:rFonts w:hint="eastAsia" w:ascii="仿宋_GB2312" w:hAnsi="宋体" w:eastAsia="仿宋_GB2312" w:cs="宋体"/>
          <w:b/>
          <w:bCs/>
          <w:color w:val="auto"/>
          <w:kern w:val="2"/>
          <w:sz w:val="32"/>
          <w:szCs w:val="32"/>
          <w:lang w:val="en-US" w:eastAsia="zh-CN"/>
        </w:rPr>
      </w:pPr>
      <w:r>
        <w:rPr>
          <w:rFonts w:hint="eastAsia" w:ascii="仿宋_GB2312" w:hAnsi="宋体" w:eastAsia="仿宋_GB2312" w:cs="宋体"/>
          <w:b/>
          <w:bCs/>
          <w:color w:val="auto"/>
          <w:kern w:val="2"/>
          <w:sz w:val="32"/>
          <w:szCs w:val="32"/>
          <w:lang w:val="en-US" w:eastAsia="zh-CN"/>
        </w:rPr>
        <w:t>治疗原则</w:t>
      </w:r>
    </w:p>
    <w:p w14:paraId="1DC4514F">
      <w:pPr>
        <w:pStyle w:val="26"/>
        <w:numPr>
          <w:ilvl w:val="0"/>
          <w:numId w:val="12"/>
        </w:numPr>
        <w:ind w:firstLine="0" w:firstLineChars="0"/>
        <w:rPr>
          <w:rFonts w:hint="eastAsia" w:ascii="仿宋_GB2312" w:hAnsi="宋体" w:eastAsia="仿宋_GB2312" w:cs="宋体"/>
          <w:b/>
          <w:bCs/>
          <w:color w:val="auto"/>
          <w:kern w:val="2"/>
          <w:sz w:val="32"/>
          <w:szCs w:val="32"/>
          <w:lang w:val="en-US" w:eastAsia="zh-CN"/>
        </w:rPr>
      </w:pPr>
      <w:r>
        <w:rPr>
          <w:rFonts w:hint="eastAsia" w:ascii="仿宋_GB2312" w:hAnsi="宋体" w:eastAsia="仿宋_GB2312" w:cs="宋体"/>
          <w:b/>
          <w:bCs/>
          <w:color w:val="auto"/>
          <w:kern w:val="2"/>
          <w:sz w:val="32"/>
          <w:szCs w:val="32"/>
          <w:lang w:val="en-US" w:eastAsia="zh-CN"/>
        </w:rPr>
        <w:t>禁忌症与慎用情况</w:t>
      </w:r>
    </w:p>
    <w:p w14:paraId="66DFBD87">
      <w:pPr>
        <w:pStyle w:val="26"/>
        <w:numPr>
          <w:ilvl w:val="0"/>
          <w:numId w:val="12"/>
        </w:numPr>
        <w:ind w:firstLine="0" w:firstLineChars="0"/>
        <w:rPr>
          <w:rFonts w:hint="eastAsia" w:ascii="仿宋_GB2312" w:hAnsi="宋体" w:eastAsia="仿宋_GB2312" w:cs="宋体"/>
          <w:b/>
          <w:bCs/>
          <w:color w:val="auto"/>
          <w:kern w:val="2"/>
          <w:sz w:val="32"/>
          <w:szCs w:val="32"/>
          <w:lang w:val="en-US" w:eastAsia="zh-CN"/>
        </w:rPr>
      </w:pPr>
      <w:r>
        <w:rPr>
          <w:rFonts w:hint="eastAsia" w:ascii="仿宋_GB2312" w:hAnsi="宋体" w:eastAsia="仿宋_GB2312" w:cs="宋体"/>
          <w:b/>
          <w:bCs/>
          <w:color w:val="auto"/>
          <w:kern w:val="2"/>
          <w:sz w:val="32"/>
          <w:szCs w:val="32"/>
          <w:lang w:val="en-US" w:eastAsia="zh-CN"/>
        </w:rPr>
        <w:t>机构与人员要求</w:t>
      </w:r>
    </w:p>
    <w:p w14:paraId="3CD0AD30">
      <w:pPr>
        <w:pStyle w:val="26"/>
        <w:numPr>
          <w:ilvl w:val="0"/>
          <w:numId w:val="12"/>
        </w:numPr>
        <w:ind w:firstLine="0" w:firstLineChars="0"/>
        <w:rPr>
          <w:rFonts w:hint="eastAsia" w:ascii="仿宋_GB2312" w:hAnsi="宋体" w:eastAsia="仿宋_GB2312" w:cs="宋体"/>
          <w:b/>
          <w:bCs/>
          <w:color w:val="auto"/>
          <w:kern w:val="2"/>
          <w:sz w:val="32"/>
          <w:szCs w:val="32"/>
          <w:lang w:val="en-US" w:eastAsia="zh-CN"/>
        </w:rPr>
      </w:pPr>
      <w:r>
        <w:rPr>
          <w:rFonts w:hint="eastAsia" w:ascii="仿宋_GB2312" w:hAnsi="宋体" w:eastAsia="仿宋_GB2312" w:cs="宋体"/>
          <w:b/>
          <w:bCs/>
          <w:color w:val="auto"/>
          <w:kern w:val="2"/>
          <w:sz w:val="32"/>
          <w:szCs w:val="32"/>
          <w:lang w:val="en-US" w:eastAsia="zh-CN"/>
        </w:rPr>
        <w:t>治疗流程</w:t>
      </w:r>
    </w:p>
    <w:p w14:paraId="7E4A6EC1">
      <w:pPr>
        <w:pStyle w:val="26"/>
        <w:numPr>
          <w:ilvl w:val="0"/>
          <w:numId w:val="12"/>
        </w:numPr>
        <w:ind w:firstLine="0" w:firstLineChars="0"/>
        <w:rPr>
          <w:rFonts w:hint="eastAsia" w:ascii="仿宋_GB2312" w:hAnsi="宋体" w:eastAsia="仿宋_GB2312" w:cs="宋体"/>
          <w:b/>
          <w:bCs/>
          <w:color w:val="auto"/>
          <w:kern w:val="2"/>
          <w:sz w:val="32"/>
          <w:szCs w:val="32"/>
          <w:lang w:val="en-US" w:eastAsia="zh-CN"/>
        </w:rPr>
      </w:pPr>
      <w:r>
        <w:rPr>
          <w:rFonts w:hint="eastAsia" w:ascii="仿宋_GB2312" w:hAnsi="宋体" w:eastAsia="仿宋_GB2312" w:cs="宋体"/>
          <w:b/>
          <w:bCs/>
          <w:color w:val="auto"/>
          <w:kern w:val="2"/>
          <w:sz w:val="32"/>
          <w:szCs w:val="32"/>
          <w:lang w:val="en-US" w:eastAsia="zh-CN"/>
        </w:rPr>
        <w:t>不良事件处理</w:t>
      </w:r>
    </w:p>
    <w:p w14:paraId="36F2158C">
      <w:pPr>
        <w:pStyle w:val="26"/>
        <w:numPr>
          <w:ilvl w:val="0"/>
          <w:numId w:val="12"/>
        </w:numPr>
        <w:ind w:firstLine="0" w:firstLineChars="0"/>
        <w:rPr>
          <w:rFonts w:hint="eastAsia" w:ascii="仿宋_GB2312" w:hAnsi="宋体" w:eastAsia="仿宋_GB2312" w:cs="宋体"/>
          <w:b/>
          <w:bCs/>
          <w:color w:val="auto"/>
          <w:kern w:val="2"/>
          <w:sz w:val="32"/>
          <w:szCs w:val="32"/>
          <w:lang w:val="en-US" w:eastAsia="zh-CN"/>
        </w:rPr>
      </w:pPr>
      <w:r>
        <w:rPr>
          <w:rFonts w:hint="eastAsia" w:ascii="仿宋_GB2312" w:hAnsi="宋体" w:eastAsia="仿宋_GB2312" w:cs="宋体"/>
          <w:b/>
          <w:bCs/>
          <w:color w:val="auto"/>
          <w:kern w:val="2"/>
          <w:sz w:val="32"/>
          <w:szCs w:val="32"/>
          <w:lang w:val="en-US" w:eastAsia="zh-CN"/>
        </w:rPr>
        <w:t>患者教育与随访</w:t>
      </w:r>
    </w:p>
    <w:p w14:paraId="5A65DDF4">
      <w:pPr>
        <w:pStyle w:val="26"/>
        <w:numPr>
          <w:ilvl w:val="0"/>
          <w:numId w:val="12"/>
        </w:numPr>
        <w:ind w:firstLine="0" w:firstLineChars="0"/>
        <w:rPr>
          <w:rFonts w:hint="eastAsia" w:ascii="仿宋_GB2312" w:hAnsi="宋体" w:eastAsia="仿宋_GB2312" w:cs="宋体"/>
          <w:b/>
          <w:bCs/>
          <w:color w:val="auto"/>
          <w:kern w:val="2"/>
          <w:sz w:val="32"/>
          <w:szCs w:val="32"/>
          <w:lang w:val="en-US" w:eastAsia="zh-CN"/>
        </w:rPr>
      </w:pPr>
      <w:r>
        <w:rPr>
          <w:rFonts w:hint="eastAsia" w:ascii="仿宋_GB2312" w:hAnsi="宋体" w:eastAsia="仿宋_GB2312" w:cs="宋体"/>
          <w:b/>
          <w:bCs/>
          <w:color w:val="auto"/>
          <w:kern w:val="2"/>
          <w:sz w:val="32"/>
          <w:szCs w:val="32"/>
          <w:lang w:val="en-US" w:eastAsia="zh-CN"/>
        </w:rPr>
        <w:t xml:space="preserve"> 疗效评价</w:t>
      </w:r>
    </w:p>
    <w:p w14:paraId="390EA248">
      <w:pPr>
        <w:pStyle w:val="56"/>
        <w:numPr>
          <w:ilvl w:val="1"/>
          <w:numId w:val="0"/>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六、标准水平分析</w:t>
      </w:r>
    </w:p>
    <w:p w14:paraId="68D0FEAE">
      <w:pPr>
        <w:spacing w:before="156" w:beforeLines="50" w:after="156" w:afterLines="50"/>
        <w:rPr>
          <w:rFonts w:ascii="仿宋_GB2312" w:hAnsi="宋体" w:eastAsia="仿宋_GB2312" w:cs="宋体"/>
          <w:b w:val="0"/>
          <w:bCs w:val="0"/>
          <w:color w:val="000000"/>
          <w:sz w:val="32"/>
          <w:szCs w:val="32"/>
        </w:rPr>
      </w:pPr>
      <w:r>
        <w:rPr>
          <w:rFonts w:hint="eastAsia" w:ascii="仿宋_GB2312" w:hAnsi="宋体" w:eastAsia="仿宋_GB2312" w:cs="宋体"/>
          <w:b w:val="0"/>
          <w:bCs w:val="0"/>
          <w:color w:val="000000"/>
          <w:sz w:val="32"/>
          <w:szCs w:val="32"/>
        </w:rPr>
        <w:t>6.1</w:t>
      </w:r>
      <w:r>
        <w:rPr>
          <w:rFonts w:hint="eastAsia" w:ascii="仿宋_GB2312" w:hAnsi="宋体" w:eastAsia="仿宋_GB2312" w:cs="宋体"/>
          <w:b w:val="0"/>
          <w:bCs w:val="0"/>
          <w:color w:val="000000"/>
          <w:sz w:val="32"/>
          <w:szCs w:val="32"/>
          <w:lang w:val="en-US" w:eastAsia="zh-CN"/>
        </w:rPr>
        <w:t xml:space="preserve"> </w:t>
      </w:r>
      <w:r>
        <w:rPr>
          <w:rFonts w:hint="eastAsia" w:ascii="仿宋_GB2312" w:hAnsi="宋体" w:eastAsia="仿宋_GB2312" w:cs="宋体"/>
          <w:b w:val="0"/>
          <w:bCs w:val="0"/>
          <w:color w:val="000000"/>
          <w:sz w:val="32"/>
          <w:szCs w:val="32"/>
        </w:rPr>
        <w:t>采用国际标准和国外先进标准的程度</w:t>
      </w:r>
    </w:p>
    <w:p w14:paraId="064C4FEC">
      <w:pPr>
        <w:spacing w:before="156" w:beforeLines="50" w:after="156" w:afterLines="50"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经查，暂无相同类型的国际标准与国外标准，故没有相应的国际标准、国外标准可采用。</w:t>
      </w:r>
    </w:p>
    <w:p w14:paraId="6B42549D">
      <w:pPr>
        <w:spacing w:before="156" w:beforeLines="50" w:after="156" w:afterLines="50"/>
        <w:rPr>
          <w:rFonts w:ascii="仿宋_GB2312" w:hAnsi="宋体" w:eastAsia="仿宋_GB2312" w:cs="宋体"/>
          <w:b w:val="0"/>
          <w:bCs w:val="0"/>
          <w:color w:val="000000"/>
          <w:sz w:val="32"/>
          <w:szCs w:val="32"/>
        </w:rPr>
      </w:pPr>
      <w:r>
        <w:rPr>
          <w:rFonts w:hint="eastAsia" w:ascii="仿宋_GB2312" w:hAnsi="宋体" w:eastAsia="仿宋_GB2312" w:cs="宋体"/>
          <w:b w:val="0"/>
          <w:bCs w:val="0"/>
          <w:color w:val="000000"/>
          <w:sz w:val="32"/>
          <w:szCs w:val="32"/>
        </w:rPr>
        <w:t>6.2</w:t>
      </w:r>
      <w:r>
        <w:rPr>
          <w:rFonts w:hint="eastAsia" w:ascii="仿宋_GB2312" w:hAnsi="宋体" w:eastAsia="仿宋_GB2312" w:cs="宋体"/>
          <w:b w:val="0"/>
          <w:bCs w:val="0"/>
          <w:color w:val="000000"/>
          <w:sz w:val="32"/>
          <w:szCs w:val="32"/>
          <w:lang w:val="en-US" w:eastAsia="zh-CN"/>
        </w:rPr>
        <w:t xml:space="preserve"> </w:t>
      </w:r>
      <w:r>
        <w:rPr>
          <w:rFonts w:hint="eastAsia" w:ascii="仿宋_GB2312" w:hAnsi="宋体" w:eastAsia="仿宋_GB2312" w:cs="宋体"/>
          <w:b w:val="0"/>
          <w:bCs w:val="0"/>
          <w:color w:val="000000"/>
          <w:sz w:val="32"/>
          <w:szCs w:val="32"/>
        </w:rPr>
        <w:t>与国际标准及国外标准水平对比</w:t>
      </w:r>
    </w:p>
    <w:p w14:paraId="1C6747C1">
      <w:pPr>
        <w:spacing w:line="360" w:lineRule="auto"/>
        <w:ind w:left="0" w:leftChars="0"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本标准达到国内先进水平。</w:t>
      </w:r>
    </w:p>
    <w:p w14:paraId="5D74F08F">
      <w:pPr>
        <w:spacing w:before="156" w:beforeLines="50" w:after="156" w:afterLines="50"/>
        <w:rPr>
          <w:rFonts w:ascii="仿宋_GB2312" w:hAnsi="宋体" w:eastAsia="仿宋_GB2312" w:cs="宋体"/>
          <w:b w:val="0"/>
          <w:bCs w:val="0"/>
          <w:color w:val="000000"/>
          <w:sz w:val="32"/>
          <w:szCs w:val="32"/>
        </w:rPr>
      </w:pPr>
      <w:r>
        <w:rPr>
          <w:rFonts w:hint="eastAsia" w:ascii="仿宋_GB2312" w:hAnsi="宋体" w:eastAsia="仿宋_GB2312" w:cs="宋体"/>
          <w:b w:val="0"/>
          <w:bCs w:val="0"/>
          <w:color w:val="000000"/>
          <w:sz w:val="32"/>
          <w:szCs w:val="32"/>
        </w:rPr>
        <w:t>6.3</w:t>
      </w:r>
      <w:r>
        <w:rPr>
          <w:rFonts w:hint="eastAsia" w:ascii="仿宋_GB2312" w:hAnsi="宋体" w:eastAsia="仿宋_GB2312" w:cs="宋体"/>
          <w:b w:val="0"/>
          <w:bCs w:val="0"/>
          <w:color w:val="000000"/>
          <w:sz w:val="32"/>
          <w:szCs w:val="32"/>
          <w:lang w:val="en-US" w:eastAsia="zh-CN"/>
        </w:rPr>
        <w:t xml:space="preserve"> </w:t>
      </w:r>
      <w:r>
        <w:rPr>
          <w:rFonts w:hint="eastAsia" w:ascii="仿宋_GB2312" w:hAnsi="宋体" w:eastAsia="仿宋_GB2312" w:cs="宋体"/>
          <w:b w:val="0"/>
          <w:bCs w:val="0"/>
          <w:color w:val="000000"/>
          <w:sz w:val="32"/>
          <w:szCs w:val="32"/>
        </w:rPr>
        <w:t>与现有标准及制定中的标准协调配套情况</w:t>
      </w:r>
    </w:p>
    <w:p w14:paraId="5C941CD3">
      <w:pPr>
        <w:spacing w:line="360" w:lineRule="auto"/>
        <w:ind w:left="0" w:leftChars="0" w:firstLine="640" w:firstLineChars="200"/>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本标准的制定与现有的标准及制定中的标准协调配套，无重复交叉现象。</w:t>
      </w:r>
    </w:p>
    <w:p w14:paraId="492BA56F">
      <w:pPr>
        <w:spacing w:before="156" w:beforeLines="50" w:after="156" w:afterLines="50"/>
        <w:rPr>
          <w:rFonts w:ascii="仿宋_GB2312" w:hAnsi="宋体" w:eastAsia="仿宋_GB2312" w:cs="宋体"/>
          <w:b w:val="0"/>
          <w:bCs w:val="0"/>
          <w:color w:val="000000"/>
          <w:sz w:val="32"/>
          <w:szCs w:val="32"/>
        </w:rPr>
      </w:pPr>
      <w:r>
        <w:rPr>
          <w:rFonts w:hint="eastAsia" w:ascii="仿宋_GB2312" w:hAnsi="宋体" w:eastAsia="仿宋_GB2312" w:cs="宋体"/>
          <w:b w:val="0"/>
          <w:bCs w:val="0"/>
          <w:color w:val="000000"/>
          <w:sz w:val="32"/>
          <w:szCs w:val="32"/>
        </w:rPr>
        <w:t>6.4</w:t>
      </w:r>
      <w:r>
        <w:rPr>
          <w:rFonts w:hint="eastAsia" w:ascii="仿宋_GB2312" w:hAnsi="宋体" w:eastAsia="仿宋_GB2312" w:cs="宋体"/>
          <w:b w:val="0"/>
          <w:bCs w:val="0"/>
          <w:color w:val="000000"/>
          <w:sz w:val="32"/>
          <w:szCs w:val="32"/>
          <w:lang w:val="en-US" w:eastAsia="zh-CN"/>
        </w:rPr>
        <w:t xml:space="preserve"> 涉及</w:t>
      </w:r>
      <w:r>
        <w:rPr>
          <w:rFonts w:hint="eastAsia" w:ascii="仿宋_GB2312" w:hAnsi="宋体" w:eastAsia="仿宋_GB2312" w:cs="宋体"/>
          <w:b w:val="0"/>
          <w:bCs w:val="0"/>
          <w:color w:val="000000"/>
          <w:sz w:val="32"/>
          <w:szCs w:val="32"/>
        </w:rPr>
        <w:t>国内外专利及处置情况</w:t>
      </w:r>
    </w:p>
    <w:p w14:paraId="5E2AF74A">
      <w:pPr>
        <w:spacing w:line="360" w:lineRule="auto"/>
        <w:ind w:left="0" w:leftChars="0" w:firstLine="640" w:firstLineChars="200"/>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经查，本标准没有涉及国内外专利。</w:t>
      </w:r>
    </w:p>
    <w:p w14:paraId="3E1E3807">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七、与有关的现行法律、法规和强制性国家标准及相关标准协调配套情况</w:t>
      </w:r>
    </w:p>
    <w:p w14:paraId="625841DC">
      <w:pPr>
        <w:spacing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本标准的制定过程、技术要求的选定、试验方法的确定、检验项目设置等</w:t>
      </w:r>
      <w:r>
        <w:rPr>
          <w:rFonts w:hint="eastAsia" w:ascii="仿宋_GB2312" w:hAnsi="宋体" w:eastAsia="仿宋_GB2312" w:cs="宋体"/>
          <w:color w:val="000000"/>
          <w:sz w:val="32"/>
          <w:szCs w:val="32"/>
          <w:lang w:val="en-US" w:eastAsia="zh-CN"/>
        </w:rPr>
        <w:t>均</w:t>
      </w:r>
      <w:r>
        <w:rPr>
          <w:rFonts w:hint="eastAsia" w:ascii="仿宋_GB2312" w:hAnsi="宋体" w:eastAsia="仿宋_GB2312" w:cs="宋体"/>
          <w:color w:val="000000"/>
          <w:sz w:val="32"/>
          <w:szCs w:val="32"/>
        </w:rPr>
        <w:t>符合现行法律、法规和强制性国家标准的规定。</w:t>
      </w:r>
    </w:p>
    <w:p w14:paraId="5807AB26">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八、重大分歧意见的处理经过和依据</w:t>
      </w:r>
    </w:p>
    <w:p w14:paraId="035F80BF">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24C010F3">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九、标准作为强制性或推荐性标准的建议</w:t>
      </w:r>
    </w:p>
    <w:p w14:paraId="3A292EAC">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建议</w:t>
      </w:r>
      <w:r>
        <w:rPr>
          <w:rFonts w:hint="eastAsia" w:ascii="仿宋_GB2312" w:hAnsi="宋体" w:eastAsia="仿宋_GB2312" w:cs="宋体"/>
          <w:color w:val="000000"/>
          <w:sz w:val="32"/>
          <w:szCs w:val="32"/>
          <w:lang w:val="en-US" w:eastAsia="zh-CN"/>
        </w:rPr>
        <w:t>本</w:t>
      </w:r>
      <w:r>
        <w:rPr>
          <w:rFonts w:hint="eastAsia" w:ascii="仿宋_GB2312" w:hAnsi="宋体" w:eastAsia="仿宋_GB2312" w:cs="宋体"/>
          <w:color w:val="000000"/>
          <w:sz w:val="32"/>
          <w:szCs w:val="32"/>
        </w:rPr>
        <w:t>标准作为推荐性团体标准。</w:t>
      </w:r>
    </w:p>
    <w:p w14:paraId="5D1B4162">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十、贯彻标准的要求和措施建议，包括（组织措施、技术措施、过渡办法）</w:t>
      </w:r>
    </w:p>
    <w:p w14:paraId="28B21D85">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由于本标准首次制定，没有特殊要求。</w:t>
      </w:r>
    </w:p>
    <w:p w14:paraId="1CB71827">
      <w:pPr>
        <w:pStyle w:val="56"/>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十一、废止现有有关标准的建议</w:t>
      </w:r>
    </w:p>
    <w:p w14:paraId="0870C1A6">
      <w:pPr>
        <w:spacing w:line="360" w:lineRule="auto"/>
        <w:ind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3CF7D999">
      <w:pPr>
        <w:wordWrap/>
        <w:spacing w:after="156" w:afterLines="50" w:line="360" w:lineRule="auto"/>
        <w:ind w:right="1280"/>
        <w:jc w:val="right"/>
        <w:outlineLvl w:val="1"/>
        <w:rPr>
          <w:rFonts w:hint="eastAsia" w:ascii="宋体" w:hAnsi="宋体" w:cs="宋体"/>
          <w:sz w:val="28"/>
          <w:szCs w:val="28"/>
          <w:lang w:val="en-US" w:eastAsia="zh-CN"/>
        </w:rPr>
      </w:pPr>
      <w:r>
        <w:rPr>
          <w:rFonts w:hint="eastAsia" w:ascii="宋体" w:hAnsi="宋体" w:cs="宋体"/>
          <w:sz w:val="28"/>
          <w:szCs w:val="28"/>
          <w:lang w:val="en-US" w:eastAsia="zh-CN"/>
        </w:rPr>
        <w:t xml:space="preserve">     </w:t>
      </w:r>
    </w:p>
    <w:p w14:paraId="5828FB46">
      <w:pPr>
        <w:wordWrap/>
        <w:spacing w:after="156" w:afterLines="50" w:line="360" w:lineRule="auto"/>
        <w:ind w:right="1280"/>
        <w:jc w:val="right"/>
        <w:outlineLvl w:val="1"/>
        <w:rPr>
          <w:rFonts w:hint="default" w:ascii="仿宋" w:hAnsi="仿宋" w:eastAsia="仿宋" w:cs="仿宋"/>
          <w:sz w:val="32"/>
          <w:szCs w:val="32"/>
          <w:lang w:val="en-US" w:eastAsia="zh-CN"/>
        </w:rPr>
      </w:pPr>
      <w:r>
        <w:rPr>
          <w:rFonts w:hint="eastAsia" w:ascii="宋体" w:hAnsi="宋体" w:cs="宋体"/>
          <w:sz w:val="28"/>
          <w:szCs w:val="28"/>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出血性痔的中医综合疗法临床应用规范</w:t>
      </w:r>
      <w:r>
        <w:rPr>
          <w:rFonts w:hint="eastAsia" w:ascii="仿宋" w:hAnsi="仿宋" w:eastAsia="仿宋" w:cs="仿宋"/>
          <w:sz w:val="32"/>
          <w:szCs w:val="32"/>
        </w:rPr>
        <w:t>》</w:t>
      </w:r>
    </w:p>
    <w:p w14:paraId="35184017">
      <w:pPr>
        <w:spacing w:after="156" w:afterLines="50" w:line="360" w:lineRule="auto"/>
        <w:ind w:left="0" w:leftChars="0" w:right="1280" w:firstLine="3609" w:firstLineChars="1128"/>
        <w:jc w:val="right"/>
        <w:outlineLvl w:val="1"/>
        <w:rPr>
          <w:rFonts w:hint="eastAsia" w:ascii="仿宋" w:hAnsi="仿宋" w:eastAsia="仿宋" w:cs="仿宋"/>
          <w:sz w:val="32"/>
          <w:szCs w:val="32"/>
        </w:rPr>
      </w:pPr>
      <w:r>
        <w:rPr>
          <w:rFonts w:hint="eastAsia" w:ascii="仿宋" w:hAnsi="仿宋" w:eastAsia="仿宋" w:cs="仿宋"/>
          <w:sz w:val="32"/>
          <w:szCs w:val="32"/>
        </w:rPr>
        <w:t>团体标准起草组202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5</w:t>
      </w:r>
      <w:r>
        <w:rPr>
          <w:rFonts w:hint="eastAsia" w:ascii="仿宋" w:hAnsi="仿宋" w:eastAsia="仿宋" w:cs="仿宋"/>
          <w:sz w:val="32"/>
          <w:szCs w:val="32"/>
        </w:rPr>
        <w:t>月</w:t>
      </w:r>
    </w:p>
    <w:sectPr>
      <w:headerReference r:id="rId3" w:type="default"/>
      <w:footerReference r:id="rId5" w:type="default"/>
      <w:headerReference r:id="rId4" w:type="even"/>
      <w:footerReference r:id="rId6" w:type="even"/>
      <w:pgSz w:w="11906" w:h="16838"/>
      <w:pgMar w:top="1417" w:right="1134" w:bottom="1417" w:left="1134" w:header="1418" w:footer="1134" w:gutter="0"/>
      <w:pgNumType w:start="1"/>
      <w:cols w:space="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471C4">
    <w:pPr>
      <w:pStyle w:val="20"/>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F6D92">
    <w:pPr>
      <w:pStyle w:val="20"/>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FF11F">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3299A">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81ACD"/>
    <w:multiLevelType w:val="singleLevel"/>
    <w:tmpl w:val="F2D81ACD"/>
    <w:lvl w:ilvl="0" w:tentative="0">
      <w:start w:val="2"/>
      <w:numFmt w:val="chineseCounting"/>
      <w:suff w:val="nothing"/>
      <w:lvlText w:val="%1、"/>
      <w:lvlJc w:val="left"/>
      <w:rPr>
        <w:rFonts w:hint="eastAsia"/>
      </w:rPr>
    </w:lvl>
  </w:abstractNum>
  <w:abstractNum w:abstractNumId="1">
    <w:nsid w:val="1DBF583A"/>
    <w:multiLevelType w:val="multilevel"/>
    <w:tmpl w:val="1DBF583A"/>
    <w:lvl w:ilvl="0" w:tentative="0">
      <w:start w:val="1"/>
      <w:numFmt w:val="decimal"/>
      <w:pStyle w:val="10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2">
    <w:nsid w:val="1FC91163"/>
    <w:multiLevelType w:val="multilevel"/>
    <w:tmpl w:val="1FC91163"/>
    <w:lvl w:ilvl="0" w:tentative="0">
      <w:start w:val="1"/>
      <w:numFmt w:val="decimal"/>
      <w:pStyle w:val="13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5"/>
      <w:suff w:val="nothing"/>
      <w:lvlText w:val="%1.%2.%3　"/>
      <w:lvlJc w:val="left"/>
      <w:pPr>
        <w:ind w:left="0" w:firstLine="0"/>
      </w:pPr>
      <w:rPr>
        <w:rFonts w:hint="eastAsia" w:ascii="黑体" w:hAnsi="Times New Roman" w:eastAsia="黑体"/>
        <w:b w:val="0"/>
        <w:i w:val="0"/>
        <w:sz w:val="21"/>
      </w:rPr>
    </w:lvl>
    <w:lvl w:ilvl="3" w:tentative="0">
      <w:start w:val="1"/>
      <w:numFmt w:val="decimal"/>
      <w:pStyle w:val="58"/>
      <w:suff w:val="nothing"/>
      <w:lvlText w:val="%1.%2.%3.%4　"/>
      <w:lvlJc w:val="left"/>
      <w:pPr>
        <w:ind w:left="283" w:firstLine="0"/>
      </w:pPr>
      <w:rPr>
        <w:rFonts w:hint="eastAsia" w:ascii="黑体" w:hAnsi="Times New Roman" w:eastAsia="黑体"/>
        <w:b w:val="0"/>
        <w:i w:val="0"/>
        <w:sz w:val="21"/>
      </w:rPr>
    </w:lvl>
    <w:lvl w:ilvl="4" w:tentative="0">
      <w:start w:val="1"/>
      <w:numFmt w:val="decimal"/>
      <w:pStyle w:val="91"/>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A8F7113"/>
    <w:multiLevelType w:val="multilevel"/>
    <w:tmpl w:val="2A8F7113"/>
    <w:lvl w:ilvl="0" w:tentative="0">
      <w:start w:val="1"/>
      <w:numFmt w:val="upperLetter"/>
      <w:pStyle w:val="96"/>
      <w:suff w:val="space"/>
      <w:lvlText w:val="%1"/>
      <w:lvlJc w:val="left"/>
      <w:pPr>
        <w:ind w:left="623" w:hanging="425"/>
      </w:pPr>
      <w:rPr>
        <w:rFonts w:hint="eastAsia"/>
      </w:rPr>
    </w:lvl>
    <w:lvl w:ilvl="1" w:tentative="0">
      <w:start w:val="1"/>
      <w:numFmt w:val="decimal"/>
      <w:pStyle w:val="141"/>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4">
    <w:nsid w:val="2C5917C3"/>
    <w:multiLevelType w:val="multilevel"/>
    <w:tmpl w:val="2C5917C3"/>
    <w:lvl w:ilvl="0" w:tentative="0">
      <w:start w:val="1"/>
      <w:numFmt w:val="none"/>
      <w:pStyle w:val="132"/>
      <w:suff w:val="nothing"/>
      <w:lvlText w:val="%1——"/>
      <w:lvlJc w:val="left"/>
      <w:pPr>
        <w:ind w:left="833" w:hanging="408"/>
      </w:pPr>
      <w:rPr>
        <w:rFonts w:hint="eastAsia"/>
      </w:rPr>
    </w:lvl>
    <w:lvl w:ilvl="1" w:tentative="0">
      <w:start w:val="1"/>
      <w:numFmt w:val="bullet"/>
      <w:pStyle w:val="114"/>
      <w:lvlText w:val=""/>
      <w:lvlJc w:val="left"/>
      <w:pPr>
        <w:tabs>
          <w:tab w:val="left" w:pos="760"/>
        </w:tabs>
        <w:ind w:left="1264" w:hanging="413"/>
      </w:pPr>
      <w:rPr>
        <w:rFonts w:hint="default" w:ascii="Symbol" w:hAnsi="Symbol"/>
        <w:color w:val="auto"/>
      </w:rPr>
    </w:lvl>
    <w:lvl w:ilvl="2" w:tentative="0">
      <w:start w:val="1"/>
      <w:numFmt w:val="bullet"/>
      <w:pStyle w:val="10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5">
    <w:nsid w:val="37B22A4C"/>
    <w:multiLevelType w:val="singleLevel"/>
    <w:tmpl w:val="37B22A4C"/>
    <w:lvl w:ilvl="0" w:tentative="0">
      <w:start w:val="4"/>
      <w:numFmt w:val="decimal"/>
      <w:suff w:val="nothing"/>
      <w:lvlText w:val="%1、"/>
      <w:lvlJc w:val="left"/>
    </w:lvl>
  </w:abstractNum>
  <w:abstractNum w:abstractNumId="6">
    <w:nsid w:val="3D733618"/>
    <w:multiLevelType w:val="multilevel"/>
    <w:tmpl w:val="3D733618"/>
    <w:lvl w:ilvl="0" w:tentative="0">
      <w:start w:val="1"/>
      <w:numFmt w:val="decimal"/>
      <w:pStyle w:val="27"/>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7">
    <w:nsid w:val="44C50F90"/>
    <w:multiLevelType w:val="multilevel"/>
    <w:tmpl w:val="44C50F90"/>
    <w:lvl w:ilvl="0" w:tentative="0">
      <w:start w:val="1"/>
      <w:numFmt w:val="lowerLetter"/>
      <w:pStyle w:val="111"/>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2"/>
      <w:lvlText w:val="%2)"/>
      <w:lvlJc w:val="left"/>
      <w:pPr>
        <w:tabs>
          <w:tab w:val="left" w:pos="1260"/>
        </w:tabs>
        <w:ind w:left="1259" w:hanging="419"/>
      </w:pPr>
      <w:rPr>
        <w:rFonts w:hint="eastAsia"/>
      </w:rPr>
    </w:lvl>
    <w:lvl w:ilvl="2" w:tentative="0">
      <w:start w:val="1"/>
      <w:numFmt w:val="decimal"/>
      <w:pStyle w:val="130"/>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
    <w:nsid w:val="60B55DC2"/>
    <w:multiLevelType w:val="multilevel"/>
    <w:tmpl w:val="60B55DC2"/>
    <w:lvl w:ilvl="0" w:tentative="0">
      <w:start w:val="1"/>
      <w:numFmt w:val="upperLetter"/>
      <w:pStyle w:val="152"/>
      <w:lvlText w:val="%1"/>
      <w:lvlJc w:val="left"/>
      <w:pPr>
        <w:tabs>
          <w:tab w:val="left" w:pos="0"/>
        </w:tabs>
        <w:ind w:left="0" w:hanging="425"/>
      </w:pPr>
      <w:rPr>
        <w:rFonts w:hint="eastAsia"/>
      </w:rPr>
    </w:lvl>
    <w:lvl w:ilvl="1" w:tentative="0">
      <w:start w:val="1"/>
      <w:numFmt w:val="decimal"/>
      <w:pStyle w:val="97"/>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9">
    <w:nsid w:val="657D3FBC"/>
    <w:multiLevelType w:val="multilevel"/>
    <w:tmpl w:val="657D3FBC"/>
    <w:lvl w:ilvl="0" w:tentative="0">
      <w:start w:val="1"/>
      <w:numFmt w:val="upperLetter"/>
      <w:pStyle w:val="10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69"/>
      <w:suff w:val="nothing"/>
      <w:lvlText w:val="%1%2　"/>
      <w:lvlJc w:val="left"/>
      <w:pPr>
        <w:ind w:left="0" w:firstLine="0"/>
      </w:pPr>
      <w:rPr>
        <w:rFonts w:hint="eastAsia" w:ascii="黑体" w:eastAsia="黑体"/>
        <w:b w:val="0"/>
        <w:i w:val="0"/>
        <w:sz w:val="21"/>
      </w:rPr>
    </w:lvl>
    <w:lvl w:ilvl="2" w:tentative="0">
      <w:start w:val="1"/>
      <w:numFmt w:val="decimal"/>
      <w:pStyle w:val="16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6D6C07CD"/>
    <w:multiLevelType w:val="multilevel"/>
    <w:tmpl w:val="6D6C07CD"/>
    <w:lvl w:ilvl="0" w:tentative="0">
      <w:start w:val="1"/>
      <w:numFmt w:val="lowerLetter"/>
      <w:pStyle w:val="129"/>
      <w:lvlText w:val="%1)"/>
      <w:lvlJc w:val="left"/>
      <w:pPr>
        <w:tabs>
          <w:tab w:val="left" w:pos="839"/>
        </w:tabs>
        <w:ind w:left="839" w:hanging="419"/>
      </w:pPr>
      <w:rPr>
        <w:rFonts w:hint="eastAsia" w:ascii="宋体" w:eastAsia="宋体"/>
        <w:b w:val="0"/>
        <w:i w:val="0"/>
        <w:sz w:val="21"/>
      </w:rPr>
    </w:lvl>
    <w:lvl w:ilvl="1" w:tentative="0">
      <w:start w:val="1"/>
      <w:numFmt w:val="decimal"/>
      <w:pStyle w:val="8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6"/>
  </w:num>
  <w:num w:numId="2">
    <w:abstractNumId w:val="2"/>
  </w:num>
  <w:num w:numId="3">
    <w:abstractNumId w:val="9"/>
  </w:num>
  <w:num w:numId="4">
    <w:abstractNumId w:val="11"/>
  </w:num>
  <w:num w:numId="5">
    <w:abstractNumId w:val="3"/>
  </w:num>
  <w:num w:numId="6">
    <w:abstractNumId w:val="8"/>
  </w:num>
  <w:num w:numId="7">
    <w:abstractNumId w:val="1"/>
  </w:num>
  <w:num w:numId="8">
    <w:abstractNumId w:val="4"/>
  </w:num>
  <w:num w:numId="9">
    <w:abstractNumId w:val="7"/>
  </w:num>
  <w:num w:numId="10">
    <w:abstractNumId w:val="10"/>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0"/>
  <w:bordersDoNotSurroundFooter w:val="0"/>
  <w:attachedTemplate r:id="rId1"/>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MxMGY4ZjA0MzE1OWRjMjJhMTJjZGIwOWY1ZjMyZTE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28DE"/>
    <w:rsid w:val="003C3114"/>
    <w:rsid w:val="003C5155"/>
    <w:rsid w:val="003C58CD"/>
    <w:rsid w:val="003C5FA6"/>
    <w:rsid w:val="003C6149"/>
    <w:rsid w:val="003C657C"/>
    <w:rsid w:val="003C75F3"/>
    <w:rsid w:val="003C78A3"/>
    <w:rsid w:val="003C7C30"/>
    <w:rsid w:val="003C7E1E"/>
    <w:rsid w:val="003D0A36"/>
    <w:rsid w:val="003D2F52"/>
    <w:rsid w:val="003D4F93"/>
    <w:rsid w:val="003D6A41"/>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3C6D"/>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1A14"/>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00ED"/>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2348"/>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23C4"/>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A7EEA"/>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631D"/>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8C33F1"/>
    <w:rsid w:val="01927D66"/>
    <w:rsid w:val="02057360"/>
    <w:rsid w:val="021653B1"/>
    <w:rsid w:val="023A109F"/>
    <w:rsid w:val="02626557"/>
    <w:rsid w:val="02A8425B"/>
    <w:rsid w:val="02DA1673"/>
    <w:rsid w:val="0365214C"/>
    <w:rsid w:val="03866E17"/>
    <w:rsid w:val="03F9277D"/>
    <w:rsid w:val="0405748B"/>
    <w:rsid w:val="042E630D"/>
    <w:rsid w:val="047459CF"/>
    <w:rsid w:val="04986F3F"/>
    <w:rsid w:val="049C1B9D"/>
    <w:rsid w:val="04CB2483"/>
    <w:rsid w:val="05340028"/>
    <w:rsid w:val="0537491E"/>
    <w:rsid w:val="05431C45"/>
    <w:rsid w:val="057B5C57"/>
    <w:rsid w:val="05DF01BF"/>
    <w:rsid w:val="066162C0"/>
    <w:rsid w:val="06B56F46"/>
    <w:rsid w:val="06EB3D51"/>
    <w:rsid w:val="07634114"/>
    <w:rsid w:val="07932A51"/>
    <w:rsid w:val="079A14ED"/>
    <w:rsid w:val="07A20988"/>
    <w:rsid w:val="07D4164E"/>
    <w:rsid w:val="08DF4C8E"/>
    <w:rsid w:val="09297778"/>
    <w:rsid w:val="0946657C"/>
    <w:rsid w:val="094B2BCC"/>
    <w:rsid w:val="09855F96"/>
    <w:rsid w:val="09D01CF6"/>
    <w:rsid w:val="0A526C8A"/>
    <w:rsid w:val="0A5371A2"/>
    <w:rsid w:val="0AA07B2C"/>
    <w:rsid w:val="0AD6392F"/>
    <w:rsid w:val="0AE4604C"/>
    <w:rsid w:val="0AE93662"/>
    <w:rsid w:val="0B381EF4"/>
    <w:rsid w:val="0BAF708A"/>
    <w:rsid w:val="0C1069CD"/>
    <w:rsid w:val="0C122745"/>
    <w:rsid w:val="0C8D427D"/>
    <w:rsid w:val="0CD342B6"/>
    <w:rsid w:val="0CF462EF"/>
    <w:rsid w:val="0D107E7B"/>
    <w:rsid w:val="0DA9093F"/>
    <w:rsid w:val="0E0B1B42"/>
    <w:rsid w:val="0E1121AD"/>
    <w:rsid w:val="0E290DBD"/>
    <w:rsid w:val="0E4D4CDF"/>
    <w:rsid w:val="0E9B6AB7"/>
    <w:rsid w:val="0EEC54CF"/>
    <w:rsid w:val="0F1869D9"/>
    <w:rsid w:val="0F694D72"/>
    <w:rsid w:val="0F73174D"/>
    <w:rsid w:val="0F7F00F1"/>
    <w:rsid w:val="0F9D4A1B"/>
    <w:rsid w:val="10345380"/>
    <w:rsid w:val="10861954"/>
    <w:rsid w:val="109A0F5B"/>
    <w:rsid w:val="10F07A96"/>
    <w:rsid w:val="10F44B0F"/>
    <w:rsid w:val="1132553A"/>
    <w:rsid w:val="117B6FDE"/>
    <w:rsid w:val="119500A0"/>
    <w:rsid w:val="11AB1672"/>
    <w:rsid w:val="11EF2883"/>
    <w:rsid w:val="120945EA"/>
    <w:rsid w:val="124318AA"/>
    <w:rsid w:val="12512550"/>
    <w:rsid w:val="12687563"/>
    <w:rsid w:val="12B04A66"/>
    <w:rsid w:val="12CF6372"/>
    <w:rsid w:val="12DE7825"/>
    <w:rsid w:val="130823E0"/>
    <w:rsid w:val="1327050C"/>
    <w:rsid w:val="134C0C32"/>
    <w:rsid w:val="134F24D1"/>
    <w:rsid w:val="13737F6D"/>
    <w:rsid w:val="141259D8"/>
    <w:rsid w:val="14863A65"/>
    <w:rsid w:val="148D41AD"/>
    <w:rsid w:val="14A32AD4"/>
    <w:rsid w:val="14CF174C"/>
    <w:rsid w:val="153C0D7C"/>
    <w:rsid w:val="15483208"/>
    <w:rsid w:val="159B1B8F"/>
    <w:rsid w:val="15C449AC"/>
    <w:rsid w:val="15EA64E1"/>
    <w:rsid w:val="161216DE"/>
    <w:rsid w:val="161C3D83"/>
    <w:rsid w:val="16BA4105"/>
    <w:rsid w:val="16EF03A1"/>
    <w:rsid w:val="16F84A8E"/>
    <w:rsid w:val="173B6C95"/>
    <w:rsid w:val="178D48F7"/>
    <w:rsid w:val="179E7583"/>
    <w:rsid w:val="1840063A"/>
    <w:rsid w:val="186E33F9"/>
    <w:rsid w:val="18C43019"/>
    <w:rsid w:val="196E7664"/>
    <w:rsid w:val="197B5DCD"/>
    <w:rsid w:val="19B66E06"/>
    <w:rsid w:val="19BE215E"/>
    <w:rsid w:val="19D4303C"/>
    <w:rsid w:val="1A6A4539"/>
    <w:rsid w:val="1A9A6727"/>
    <w:rsid w:val="1AA749A0"/>
    <w:rsid w:val="1BAB03E3"/>
    <w:rsid w:val="1BB67591"/>
    <w:rsid w:val="1C025840"/>
    <w:rsid w:val="1C19367C"/>
    <w:rsid w:val="1C444B9D"/>
    <w:rsid w:val="1C5823F6"/>
    <w:rsid w:val="1C584BD1"/>
    <w:rsid w:val="1C994529"/>
    <w:rsid w:val="1D0B56BA"/>
    <w:rsid w:val="1E3C2C0B"/>
    <w:rsid w:val="1E3F091B"/>
    <w:rsid w:val="1E434ACA"/>
    <w:rsid w:val="1EF32FF2"/>
    <w:rsid w:val="1F2B2044"/>
    <w:rsid w:val="1F3A7C37"/>
    <w:rsid w:val="1F3F5FD4"/>
    <w:rsid w:val="1F666BD8"/>
    <w:rsid w:val="1F6E3CDF"/>
    <w:rsid w:val="20022AF0"/>
    <w:rsid w:val="202A7BF8"/>
    <w:rsid w:val="20DF41FE"/>
    <w:rsid w:val="212E7BC9"/>
    <w:rsid w:val="2144119B"/>
    <w:rsid w:val="21AC59E0"/>
    <w:rsid w:val="21BD5EA2"/>
    <w:rsid w:val="21C66054"/>
    <w:rsid w:val="21D95D87"/>
    <w:rsid w:val="22061A13"/>
    <w:rsid w:val="220F17A9"/>
    <w:rsid w:val="222800C3"/>
    <w:rsid w:val="222D6F2F"/>
    <w:rsid w:val="22CE3412"/>
    <w:rsid w:val="235651B5"/>
    <w:rsid w:val="237D604C"/>
    <w:rsid w:val="23FE39BD"/>
    <w:rsid w:val="24572FDD"/>
    <w:rsid w:val="245F4818"/>
    <w:rsid w:val="24724271"/>
    <w:rsid w:val="24786C81"/>
    <w:rsid w:val="252217F3"/>
    <w:rsid w:val="253F05F7"/>
    <w:rsid w:val="25CF1BBF"/>
    <w:rsid w:val="264A7BC4"/>
    <w:rsid w:val="267E4497"/>
    <w:rsid w:val="268E3C87"/>
    <w:rsid w:val="26E53D27"/>
    <w:rsid w:val="27AD772F"/>
    <w:rsid w:val="27D551EF"/>
    <w:rsid w:val="28F72F97"/>
    <w:rsid w:val="29341AF5"/>
    <w:rsid w:val="2935321D"/>
    <w:rsid w:val="294066EC"/>
    <w:rsid w:val="29D659C5"/>
    <w:rsid w:val="29F3375E"/>
    <w:rsid w:val="2A351FFF"/>
    <w:rsid w:val="2A5E32CD"/>
    <w:rsid w:val="2AB45431"/>
    <w:rsid w:val="2BF470E9"/>
    <w:rsid w:val="2C136339"/>
    <w:rsid w:val="2C210A56"/>
    <w:rsid w:val="2CE00993"/>
    <w:rsid w:val="2D2F01DE"/>
    <w:rsid w:val="2D3107AD"/>
    <w:rsid w:val="2D5E1836"/>
    <w:rsid w:val="2D830B39"/>
    <w:rsid w:val="2DC53663"/>
    <w:rsid w:val="2DEC6E42"/>
    <w:rsid w:val="2DFF327D"/>
    <w:rsid w:val="2E0C7407"/>
    <w:rsid w:val="2E257B1B"/>
    <w:rsid w:val="2E677AE4"/>
    <w:rsid w:val="2F1C73A5"/>
    <w:rsid w:val="2F4B5DEA"/>
    <w:rsid w:val="2FAF7A1C"/>
    <w:rsid w:val="2FCF07C9"/>
    <w:rsid w:val="2FE14059"/>
    <w:rsid w:val="2FE36023"/>
    <w:rsid w:val="303D5273"/>
    <w:rsid w:val="30422D49"/>
    <w:rsid w:val="30CA5BDB"/>
    <w:rsid w:val="30E86825"/>
    <w:rsid w:val="311961A0"/>
    <w:rsid w:val="314B20D2"/>
    <w:rsid w:val="315B751A"/>
    <w:rsid w:val="31C679AA"/>
    <w:rsid w:val="31E0281A"/>
    <w:rsid w:val="31E63BA8"/>
    <w:rsid w:val="32002EBC"/>
    <w:rsid w:val="322F395D"/>
    <w:rsid w:val="3298720E"/>
    <w:rsid w:val="3371304C"/>
    <w:rsid w:val="33896EE1"/>
    <w:rsid w:val="33C34EFC"/>
    <w:rsid w:val="34117602"/>
    <w:rsid w:val="344C23E9"/>
    <w:rsid w:val="3456587C"/>
    <w:rsid w:val="350C3926"/>
    <w:rsid w:val="3598388A"/>
    <w:rsid w:val="35AB7232"/>
    <w:rsid w:val="35D61655"/>
    <w:rsid w:val="35D95EFE"/>
    <w:rsid w:val="361A2073"/>
    <w:rsid w:val="361C403D"/>
    <w:rsid w:val="362A1092"/>
    <w:rsid w:val="36461B5D"/>
    <w:rsid w:val="36AD56C5"/>
    <w:rsid w:val="36DC5408"/>
    <w:rsid w:val="370B7A5D"/>
    <w:rsid w:val="373A3C80"/>
    <w:rsid w:val="376637C1"/>
    <w:rsid w:val="378B147A"/>
    <w:rsid w:val="37905325"/>
    <w:rsid w:val="3796112D"/>
    <w:rsid w:val="385F7A71"/>
    <w:rsid w:val="38822CFA"/>
    <w:rsid w:val="388554EB"/>
    <w:rsid w:val="38B13162"/>
    <w:rsid w:val="38C83DE7"/>
    <w:rsid w:val="3905525C"/>
    <w:rsid w:val="397F6DBC"/>
    <w:rsid w:val="39B34CB8"/>
    <w:rsid w:val="39B5360F"/>
    <w:rsid w:val="39DA644F"/>
    <w:rsid w:val="3A1F234D"/>
    <w:rsid w:val="3A9B7C26"/>
    <w:rsid w:val="3AAF1923"/>
    <w:rsid w:val="3AC950C9"/>
    <w:rsid w:val="3B0C28D2"/>
    <w:rsid w:val="3B3011F7"/>
    <w:rsid w:val="3B963D3A"/>
    <w:rsid w:val="3C137C90"/>
    <w:rsid w:val="3CD97C6F"/>
    <w:rsid w:val="3D8739B6"/>
    <w:rsid w:val="3DD84682"/>
    <w:rsid w:val="3E7F160D"/>
    <w:rsid w:val="3EBE2135"/>
    <w:rsid w:val="3F575F4A"/>
    <w:rsid w:val="3FA27361"/>
    <w:rsid w:val="3FAA79C8"/>
    <w:rsid w:val="4013025E"/>
    <w:rsid w:val="40590FF0"/>
    <w:rsid w:val="405C1C05"/>
    <w:rsid w:val="40624A0E"/>
    <w:rsid w:val="40657ACF"/>
    <w:rsid w:val="41230975"/>
    <w:rsid w:val="415D5C35"/>
    <w:rsid w:val="4182569C"/>
    <w:rsid w:val="41BF5866"/>
    <w:rsid w:val="41D4737F"/>
    <w:rsid w:val="41F16D17"/>
    <w:rsid w:val="42105D2E"/>
    <w:rsid w:val="42397461"/>
    <w:rsid w:val="445510B6"/>
    <w:rsid w:val="446E63AB"/>
    <w:rsid w:val="44735770"/>
    <w:rsid w:val="4476626D"/>
    <w:rsid w:val="44DD0E3B"/>
    <w:rsid w:val="45126EB0"/>
    <w:rsid w:val="4539127E"/>
    <w:rsid w:val="455A36D4"/>
    <w:rsid w:val="4571647E"/>
    <w:rsid w:val="459B4F7E"/>
    <w:rsid w:val="45A2455E"/>
    <w:rsid w:val="464A3CB4"/>
    <w:rsid w:val="465515C0"/>
    <w:rsid w:val="465D414E"/>
    <w:rsid w:val="46916381"/>
    <w:rsid w:val="46933EA7"/>
    <w:rsid w:val="47303087"/>
    <w:rsid w:val="473C009B"/>
    <w:rsid w:val="47936367"/>
    <w:rsid w:val="479779C7"/>
    <w:rsid w:val="47D4536A"/>
    <w:rsid w:val="48120A86"/>
    <w:rsid w:val="481B05F8"/>
    <w:rsid w:val="48401E0D"/>
    <w:rsid w:val="48895562"/>
    <w:rsid w:val="49187E48"/>
    <w:rsid w:val="49D514FA"/>
    <w:rsid w:val="4A4C4A99"/>
    <w:rsid w:val="4A742353"/>
    <w:rsid w:val="4AB56AE2"/>
    <w:rsid w:val="4AB8769B"/>
    <w:rsid w:val="4ADD58CC"/>
    <w:rsid w:val="4B736055"/>
    <w:rsid w:val="4BC468B1"/>
    <w:rsid w:val="4BE6053A"/>
    <w:rsid w:val="4BF30CA2"/>
    <w:rsid w:val="4C0F4E11"/>
    <w:rsid w:val="4C362B3D"/>
    <w:rsid w:val="4C7622A1"/>
    <w:rsid w:val="4C806C7C"/>
    <w:rsid w:val="4CA47D11"/>
    <w:rsid w:val="4CA706AC"/>
    <w:rsid w:val="4CE600FB"/>
    <w:rsid w:val="4CED47CD"/>
    <w:rsid w:val="4CF219AF"/>
    <w:rsid w:val="4D065771"/>
    <w:rsid w:val="4D190D53"/>
    <w:rsid w:val="4D2B392B"/>
    <w:rsid w:val="4D34007A"/>
    <w:rsid w:val="4DE052E3"/>
    <w:rsid w:val="4DE337D5"/>
    <w:rsid w:val="4E013DEC"/>
    <w:rsid w:val="4E0D2791"/>
    <w:rsid w:val="4E577EB0"/>
    <w:rsid w:val="4E6730E7"/>
    <w:rsid w:val="4F1D47D7"/>
    <w:rsid w:val="4F41436A"/>
    <w:rsid w:val="4F6221DE"/>
    <w:rsid w:val="4FAE1D52"/>
    <w:rsid w:val="504A2B9A"/>
    <w:rsid w:val="50B67110"/>
    <w:rsid w:val="51060D98"/>
    <w:rsid w:val="513D338D"/>
    <w:rsid w:val="51532BB1"/>
    <w:rsid w:val="515801C7"/>
    <w:rsid w:val="52FD1026"/>
    <w:rsid w:val="53AB3085"/>
    <w:rsid w:val="53B37335"/>
    <w:rsid w:val="53E27260"/>
    <w:rsid w:val="53EC3BAC"/>
    <w:rsid w:val="54370568"/>
    <w:rsid w:val="54496704"/>
    <w:rsid w:val="547F3CBD"/>
    <w:rsid w:val="549A6186"/>
    <w:rsid w:val="55281DAF"/>
    <w:rsid w:val="56014794"/>
    <w:rsid w:val="562C1C22"/>
    <w:rsid w:val="568B0C91"/>
    <w:rsid w:val="56C105BC"/>
    <w:rsid w:val="56C500AD"/>
    <w:rsid w:val="56DC7EC7"/>
    <w:rsid w:val="56ED5949"/>
    <w:rsid w:val="570975B4"/>
    <w:rsid w:val="575247D3"/>
    <w:rsid w:val="57566F57"/>
    <w:rsid w:val="576222A2"/>
    <w:rsid w:val="57727B09"/>
    <w:rsid w:val="578F7888"/>
    <w:rsid w:val="57914F76"/>
    <w:rsid w:val="57D70874"/>
    <w:rsid w:val="57F56770"/>
    <w:rsid w:val="583166A5"/>
    <w:rsid w:val="58CD3249"/>
    <w:rsid w:val="58D05DE7"/>
    <w:rsid w:val="58D77C23"/>
    <w:rsid w:val="592316E9"/>
    <w:rsid w:val="594E48F3"/>
    <w:rsid w:val="59A33FA9"/>
    <w:rsid w:val="59A55F73"/>
    <w:rsid w:val="59E0617E"/>
    <w:rsid w:val="59FE7432"/>
    <w:rsid w:val="5A1D293B"/>
    <w:rsid w:val="5A2C0443"/>
    <w:rsid w:val="5A790E13"/>
    <w:rsid w:val="5A9329EF"/>
    <w:rsid w:val="5A994241"/>
    <w:rsid w:val="5B076365"/>
    <w:rsid w:val="5B084A0C"/>
    <w:rsid w:val="5B242EC8"/>
    <w:rsid w:val="5B7447D1"/>
    <w:rsid w:val="5BAE7BCD"/>
    <w:rsid w:val="5BE30FD5"/>
    <w:rsid w:val="5C086573"/>
    <w:rsid w:val="5C10118B"/>
    <w:rsid w:val="5C2A169D"/>
    <w:rsid w:val="5C8E2CEF"/>
    <w:rsid w:val="5CA05EB7"/>
    <w:rsid w:val="5D142CD1"/>
    <w:rsid w:val="5D651291"/>
    <w:rsid w:val="5E547F68"/>
    <w:rsid w:val="5E6C7D00"/>
    <w:rsid w:val="5EBD3D5F"/>
    <w:rsid w:val="5EBE1A6C"/>
    <w:rsid w:val="5F166FCB"/>
    <w:rsid w:val="5F8D65FE"/>
    <w:rsid w:val="5FC36A67"/>
    <w:rsid w:val="5FC37099"/>
    <w:rsid w:val="5FD0361E"/>
    <w:rsid w:val="5FDD2598"/>
    <w:rsid w:val="60107EBF"/>
    <w:rsid w:val="605B68B4"/>
    <w:rsid w:val="60D45701"/>
    <w:rsid w:val="60D96503"/>
    <w:rsid w:val="6109503A"/>
    <w:rsid w:val="61846885"/>
    <w:rsid w:val="61AE5BE1"/>
    <w:rsid w:val="61B431F8"/>
    <w:rsid w:val="61BF1B9C"/>
    <w:rsid w:val="61F4714D"/>
    <w:rsid w:val="628726BA"/>
    <w:rsid w:val="629152E7"/>
    <w:rsid w:val="6298186E"/>
    <w:rsid w:val="62D559AF"/>
    <w:rsid w:val="63494BBB"/>
    <w:rsid w:val="634E0BFD"/>
    <w:rsid w:val="634F22A9"/>
    <w:rsid w:val="639952B6"/>
    <w:rsid w:val="639C78BD"/>
    <w:rsid w:val="645D37AF"/>
    <w:rsid w:val="646627A3"/>
    <w:rsid w:val="64721148"/>
    <w:rsid w:val="64CE3BD1"/>
    <w:rsid w:val="65144950"/>
    <w:rsid w:val="651915C4"/>
    <w:rsid w:val="653A0E35"/>
    <w:rsid w:val="653A1C66"/>
    <w:rsid w:val="65404DA2"/>
    <w:rsid w:val="65422D4F"/>
    <w:rsid w:val="656C6332"/>
    <w:rsid w:val="65ED6CD8"/>
    <w:rsid w:val="662B15AE"/>
    <w:rsid w:val="662B65C2"/>
    <w:rsid w:val="662F72F1"/>
    <w:rsid w:val="66BE0674"/>
    <w:rsid w:val="66D71736"/>
    <w:rsid w:val="66E11A66"/>
    <w:rsid w:val="66F95167"/>
    <w:rsid w:val="67AC671F"/>
    <w:rsid w:val="67AE2497"/>
    <w:rsid w:val="67C41CBB"/>
    <w:rsid w:val="67D77C40"/>
    <w:rsid w:val="67E759A9"/>
    <w:rsid w:val="684318AA"/>
    <w:rsid w:val="68637725"/>
    <w:rsid w:val="68BA783F"/>
    <w:rsid w:val="69270753"/>
    <w:rsid w:val="694F5ED5"/>
    <w:rsid w:val="69584DB0"/>
    <w:rsid w:val="696F20FA"/>
    <w:rsid w:val="6A1B06CD"/>
    <w:rsid w:val="6A516F28"/>
    <w:rsid w:val="6A802926"/>
    <w:rsid w:val="6A88563D"/>
    <w:rsid w:val="6AB9187F"/>
    <w:rsid w:val="6B8974A3"/>
    <w:rsid w:val="6B965E5B"/>
    <w:rsid w:val="6B972472"/>
    <w:rsid w:val="6BB12556"/>
    <w:rsid w:val="6C054650"/>
    <w:rsid w:val="6C564EAD"/>
    <w:rsid w:val="6C9A5295"/>
    <w:rsid w:val="6CDE34BF"/>
    <w:rsid w:val="6D0C3AC9"/>
    <w:rsid w:val="6D572222"/>
    <w:rsid w:val="6D754A2E"/>
    <w:rsid w:val="6E146DCC"/>
    <w:rsid w:val="6E2E4332"/>
    <w:rsid w:val="6E380D0C"/>
    <w:rsid w:val="6E6A7CEF"/>
    <w:rsid w:val="6E780911"/>
    <w:rsid w:val="6E7D2BC3"/>
    <w:rsid w:val="6EB54BA2"/>
    <w:rsid w:val="6EBA3E17"/>
    <w:rsid w:val="6EBB4295"/>
    <w:rsid w:val="6EDE7B06"/>
    <w:rsid w:val="6F875385"/>
    <w:rsid w:val="6FBB1BF5"/>
    <w:rsid w:val="70393644"/>
    <w:rsid w:val="703E6382"/>
    <w:rsid w:val="7045716D"/>
    <w:rsid w:val="704C5591"/>
    <w:rsid w:val="706E1D17"/>
    <w:rsid w:val="708E2E66"/>
    <w:rsid w:val="70B10931"/>
    <w:rsid w:val="71193077"/>
    <w:rsid w:val="713C6D66"/>
    <w:rsid w:val="718E48CE"/>
    <w:rsid w:val="71902C0D"/>
    <w:rsid w:val="72576487"/>
    <w:rsid w:val="726E11A1"/>
    <w:rsid w:val="72971486"/>
    <w:rsid w:val="72AA2D85"/>
    <w:rsid w:val="72C963D7"/>
    <w:rsid w:val="72EE408F"/>
    <w:rsid w:val="730B726A"/>
    <w:rsid w:val="731377D9"/>
    <w:rsid w:val="73272C99"/>
    <w:rsid w:val="732857F3"/>
    <w:rsid w:val="737A3B75"/>
    <w:rsid w:val="73CC693D"/>
    <w:rsid w:val="73D47B1B"/>
    <w:rsid w:val="73DE4104"/>
    <w:rsid w:val="74251D33"/>
    <w:rsid w:val="742A7349"/>
    <w:rsid w:val="743D4B16"/>
    <w:rsid w:val="75605DEF"/>
    <w:rsid w:val="75C14057"/>
    <w:rsid w:val="75ED6880"/>
    <w:rsid w:val="75F705EE"/>
    <w:rsid w:val="76055293"/>
    <w:rsid w:val="76276979"/>
    <w:rsid w:val="76740D50"/>
    <w:rsid w:val="76A74C81"/>
    <w:rsid w:val="76AC5DF9"/>
    <w:rsid w:val="76D812DE"/>
    <w:rsid w:val="771B1439"/>
    <w:rsid w:val="77244524"/>
    <w:rsid w:val="77494CC6"/>
    <w:rsid w:val="77A411C1"/>
    <w:rsid w:val="78202F3D"/>
    <w:rsid w:val="784813C5"/>
    <w:rsid w:val="78E73A5B"/>
    <w:rsid w:val="790F4618"/>
    <w:rsid w:val="79C25BC5"/>
    <w:rsid w:val="79DF5F38"/>
    <w:rsid w:val="7A5E7D4D"/>
    <w:rsid w:val="7A86111E"/>
    <w:rsid w:val="7B223D6B"/>
    <w:rsid w:val="7C171347"/>
    <w:rsid w:val="7C260CFC"/>
    <w:rsid w:val="7C773348"/>
    <w:rsid w:val="7CD90CCA"/>
    <w:rsid w:val="7D284642"/>
    <w:rsid w:val="7D453845"/>
    <w:rsid w:val="7D754A9C"/>
    <w:rsid w:val="7D937D0D"/>
    <w:rsid w:val="7DE44C08"/>
    <w:rsid w:val="7E0025B4"/>
    <w:rsid w:val="7E082795"/>
    <w:rsid w:val="7E097FCF"/>
    <w:rsid w:val="7E123328"/>
    <w:rsid w:val="7EB50985"/>
    <w:rsid w:val="7F0B7D77"/>
    <w:rsid w:val="7F533BF8"/>
    <w:rsid w:val="7F637BB3"/>
    <w:rsid w:val="7F760DD5"/>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6"/>
    <w:basedOn w:val="1"/>
    <w:next w:val="1"/>
    <w:link w:val="161"/>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39">
    <w:name w:val="Default Paragraph Font"/>
    <w:autoRedefine/>
    <w:semiHidden/>
    <w:unhideWhenUsed/>
    <w:qFormat/>
    <w:uiPriority w:val="1"/>
  </w:style>
  <w:style w:type="table" w:default="1" w:styleId="37">
    <w:name w:val="Normal Table"/>
    <w:autoRedefine/>
    <w:semiHidden/>
    <w:unhideWhenUsed/>
    <w:qFormat/>
    <w:uiPriority w:val="99"/>
    <w:tblPr>
      <w:tblCellMar>
        <w:top w:w="0" w:type="dxa"/>
        <w:left w:w="108" w:type="dxa"/>
        <w:bottom w:w="0" w:type="dxa"/>
        <w:right w:w="108" w:type="dxa"/>
      </w:tblCellMar>
    </w:tblPr>
  </w:style>
  <w:style w:type="paragraph" w:styleId="4">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5">
    <w:name w:val="index 8"/>
    <w:basedOn w:val="1"/>
    <w:next w:val="1"/>
    <w:autoRedefine/>
    <w:qFormat/>
    <w:uiPriority w:val="0"/>
    <w:pPr>
      <w:ind w:left="1680" w:hanging="210"/>
      <w:jc w:val="left"/>
    </w:pPr>
    <w:rPr>
      <w:rFonts w:ascii="Calibri" w:hAnsi="Calibri"/>
      <w:sz w:val="20"/>
      <w:szCs w:val="20"/>
    </w:rPr>
  </w:style>
  <w:style w:type="paragraph" w:styleId="6">
    <w:name w:val="caption"/>
    <w:basedOn w:val="1"/>
    <w:next w:val="1"/>
    <w:autoRedefine/>
    <w:qFormat/>
    <w:uiPriority w:val="0"/>
    <w:pPr>
      <w:spacing w:before="152" w:after="160"/>
    </w:pPr>
    <w:rPr>
      <w:rFonts w:ascii="Arial" w:hAnsi="Arial" w:eastAsia="黑体" w:cs="Arial"/>
      <w:sz w:val="20"/>
      <w:szCs w:val="20"/>
    </w:rPr>
  </w:style>
  <w:style w:type="paragraph" w:styleId="7">
    <w:name w:val="index 5"/>
    <w:basedOn w:val="1"/>
    <w:next w:val="1"/>
    <w:autoRedefine/>
    <w:qFormat/>
    <w:uiPriority w:val="0"/>
    <w:pPr>
      <w:ind w:left="1050" w:hanging="210"/>
      <w:jc w:val="left"/>
    </w:pPr>
    <w:rPr>
      <w:rFonts w:ascii="Calibri" w:hAnsi="Calibri"/>
      <w:sz w:val="20"/>
      <w:szCs w:val="20"/>
    </w:rPr>
  </w:style>
  <w:style w:type="paragraph" w:styleId="8">
    <w:name w:val="Document Map"/>
    <w:basedOn w:val="1"/>
    <w:autoRedefine/>
    <w:semiHidden/>
    <w:qFormat/>
    <w:uiPriority w:val="0"/>
    <w:pPr>
      <w:shd w:val="clear" w:color="auto" w:fill="000080"/>
    </w:pPr>
  </w:style>
  <w:style w:type="paragraph" w:styleId="9">
    <w:name w:val="annotation text"/>
    <w:basedOn w:val="1"/>
    <w:autoRedefine/>
    <w:qFormat/>
    <w:uiPriority w:val="0"/>
    <w:pPr>
      <w:jc w:val="left"/>
    </w:pPr>
  </w:style>
  <w:style w:type="paragraph" w:styleId="10">
    <w:name w:val="index 6"/>
    <w:basedOn w:val="1"/>
    <w:next w:val="1"/>
    <w:autoRedefine/>
    <w:qFormat/>
    <w:uiPriority w:val="0"/>
    <w:pPr>
      <w:ind w:left="1260" w:hanging="210"/>
      <w:jc w:val="left"/>
    </w:pPr>
    <w:rPr>
      <w:rFonts w:ascii="Calibri" w:hAnsi="Calibri"/>
      <w:sz w:val="20"/>
      <w:szCs w:val="20"/>
    </w:rPr>
  </w:style>
  <w:style w:type="paragraph" w:styleId="11">
    <w:name w:val="Body Text"/>
    <w:basedOn w:val="1"/>
    <w:semiHidden/>
    <w:unhideWhenUsed/>
    <w:qFormat/>
    <w:uiPriority w:val="99"/>
    <w:pPr>
      <w:spacing w:after="120"/>
    </w:pPr>
  </w:style>
  <w:style w:type="paragraph" w:styleId="12">
    <w:name w:val="index 4"/>
    <w:basedOn w:val="1"/>
    <w:next w:val="1"/>
    <w:autoRedefine/>
    <w:qFormat/>
    <w:uiPriority w:val="0"/>
    <w:pPr>
      <w:ind w:left="840" w:hanging="210"/>
      <w:jc w:val="left"/>
    </w:pPr>
    <w:rPr>
      <w:rFonts w:ascii="Calibri" w:hAnsi="Calibri"/>
      <w:sz w:val="20"/>
      <w:szCs w:val="20"/>
    </w:rPr>
  </w:style>
  <w:style w:type="paragraph" w:styleId="13">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4">
    <w:name w:val="toc 3"/>
    <w:basedOn w:val="1"/>
    <w:next w:val="1"/>
    <w:autoRedefine/>
    <w:qFormat/>
    <w:uiPriority w:val="39"/>
    <w:pPr>
      <w:tabs>
        <w:tab w:val="right" w:leader="dot" w:pos="9242"/>
      </w:tabs>
      <w:ind w:firstLine="1252" w:firstLineChars="100"/>
      <w:jc w:val="left"/>
    </w:pPr>
    <w:rPr>
      <w:rFonts w:ascii="宋体"/>
      <w:szCs w:val="21"/>
    </w:rPr>
  </w:style>
  <w:style w:type="paragraph" w:styleId="15">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16">
    <w:name w:val="index 3"/>
    <w:basedOn w:val="1"/>
    <w:next w:val="1"/>
    <w:autoRedefine/>
    <w:qFormat/>
    <w:uiPriority w:val="0"/>
    <w:pPr>
      <w:ind w:left="630" w:hanging="210"/>
      <w:jc w:val="left"/>
    </w:pPr>
    <w:rPr>
      <w:rFonts w:ascii="Calibri" w:hAnsi="Calibri"/>
      <w:sz w:val="20"/>
      <w:szCs w:val="20"/>
    </w:rPr>
  </w:style>
  <w:style w:type="paragraph" w:styleId="17">
    <w:name w:val="Body Text Indent 2"/>
    <w:basedOn w:val="1"/>
    <w:link w:val="164"/>
    <w:autoRedefine/>
    <w:unhideWhenUsed/>
    <w:qFormat/>
    <w:uiPriority w:val="99"/>
    <w:pPr>
      <w:spacing w:after="120" w:line="480" w:lineRule="auto"/>
      <w:ind w:left="420" w:leftChars="200"/>
      <w:jc w:val="left"/>
    </w:pPr>
    <w:rPr>
      <w:rFonts w:eastAsia="PMingLiU"/>
      <w:sz w:val="24"/>
      <w:lang w:eastAsia="zh-TW"/>
    </w:rPr>
  </w:style>
  <w:style w:type="paragraph" w:styleId="18">
    <w:name w:val="endnote text"/>
    <w:basedOn w:val="1"/>
    <w:autoRedefine/>
    <w:semiHidden/>
    <w:qFormat/>
    <w:uiPriority w:val="0"/>
    <w:pPr>
      <w:snapToGrid w:val="0"/>
      <w:jc w:val="left"/>
    </w:pPr>
  </w:style>
  <w:style w:type="paragraph" w:styleId="19">
    <w:name w:val="Balloon Text"/>
    <w:basedOn w:val="1"/>
    <w:autoRedefine/>
    <w:semiHidden/>
    <w:qFormat/>
    <w:uiPriority w:val="0"/>
    <w:rPr>
      <w:sz w:val="18"/>
      <w:szCs w:val="18"/>
    </w:rPr>
  </w:style>
  <w:style w:type="paragraph" w:styleId="20">
    <w:name w:val="footer"/>
    <w:basedOn w:val="1"/>
    <w:link w:val="162"/>
    <w:autoRedefine/>
    <w:qFormat/>
    <w:uiPriority w:val="99"/>
    <w:pPr>
      <w:snapToGrid w:val="0"/>
      <w:ind w:right="210" w:rightChars="100"/>
      <w:jc w:val="right"/>
    </w:pPr>
    <w:rPr>
      <w:sz w:val="18"/>
      <w:szCs w:val="18"/>
    </w:rPr>
  </w:style>
  <w:style w:type="paragraph" w:styleId="21">
    <w:name w:val="header"/>
    <w:basedOn w:val="1"/>
    <w:link w:val="59"/>
    <w:autoRedefine/>
    <w:qFormat/>
    <w:uiPriority w:val="99"/>
    <w:pPr>
      <w:snapToGrid w:val="0"/>
      <w:jc w:val="left"/>
    </w:pPr>
    <w:rPr>
      <w:sz w:val="18"/>
      <w:szCs w:val="18"/>
    </w:rPr>
  </w:style>
  <w:style w:type="paragraph" w:styleId="22">
    <w:name w:val="toc 1"/>
    <w:basedOn w:val="1"/>
    <w:next w:val="1"/>
    <w:autoRedefine/>
    <w:qFormat/>
    <w:uiPriority w:val="39"/>
    <w:pPr>
      <w:tabs>
        <w:tab w:val="right" w:leader="dot" w:pos="9242"/>
      </w:tabs>
      <w:spacing w:beforeLines="25" w:afterLines="25"/>
      <w:jc w:val="left"/>
    </w:pPr>
    <w:rPr>
      <w:rFonts w:ascii="宋体"/>
      <w:szCs w:val="21"/>
    </w:rPr>
  </w:style>
  <w:style w:type="paragraph" w:styleId="23">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4">
    <w:name w:val="index heading"/>
    <w:basedOn w:val="1"/>
    <w:next w:val="25"/>
    <w:autoRedefine/>
    <w:qFormat/>
    <w:uiPriority w:val="0"/>
    <w:pPr>
      <w:spacing w:before="120" w:after="120"/>
      <w:jc w:val="center"/>
    </w:pPr>
    <w:rPr>
      <w:rFonts w:ascii="Calibri" w:hAnsi="Calibri"/>
      <w:b/>
      <w:bCs/>
      <w:iCs/>
      <w:szCs w:val="20"/>
    </w:rPr>
  </w:style>
  <w:style w:type="paragraph" w:styleId="25">
    <w:name w:val="index 1"/>
    <w:basedOn w:val="1"/>
    <w:next w:val="26"/>
    <w:autoRedefine/>
    <w:qFormat/>
    <w:uiPriority w:val="0"/>
    <w:pPr>
      <w:tabs>
        <w:tab w:val="right" w:leader="dot" w:pos="9299"/>
      </w:tabs>
      <w:jc w:val="left"/>
    </w:pPr>
    <w:rPr>
      <w:rFonts w:ascii="宋体"/>
      <w:szCs w:val="21"/>
    </w:rPr>
  </w:style>
  <w:style w:type="paragraph" w:customStyle="1" w:styleId="26">
    <w:name w:val="段"/>
    <w:link w:val="64"/>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7">
    <w:name w:val="footnote text"/>
    <w:basedOn w:val="1"/>
    <w:autoRedefine/>
    <w:qFormat/>
    <w:uiPriority w:val="0"/>
    <w:pPr>
      <w:numPr>
        <w:ilvl w:val="0"/>
        <w:numId w:val="1"/>
      </w:numPr>
      <w:snapToGrid w:val="0"/>
      <w:jc w:val="left"/>
    </w:pPr>
    <w:rPr>
      <w:rFonts w:ascii="宋体"/>
      <w:sz w:val="18"/>
      <w:szCs w:val="18"/>
    </w:rPr>
  </w:style>
  <w:style w:type="paragraph" w:styleId="28">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29">
    <w:name w:val="index 7"/>
    <w:basedOn w:val="1"/>
    <w:next w:val="1"/>
    <w:autoRedefine/>
    <w:qFormat/>
    <w:uiPriority w:val="0"/>
    <w:pPr>
      <w:ind w:left="1470" w:hanging="210"/>
      <w:jc w:val="left"/>
    </w:pPr>
    <w:rPr>
      <w:rFonts w:ascii="Calibri" w:hAnsi="Calibri"/>
      <w:sz w:val="20"/>
      <w:szCs w:val="20"/>
    </w:rPr>
  </w:style>
  <w:style w:type="paragraph" w:styleId="30">
    <w:name w:val="index 9"/>
    <w:basedOn w:val="1"/>
    <w:next w:val="1"/>
    <w:autoRedefine/>
    <w:qFormat/>
    <w:uiPriority w:val="0"/>
    <w:pPr>
      <w:ind w:left="1890" w:hanging="210"/>
      <w:jc w:val="left"/>
    </w:pPr>
    <w:rPr>
      <w:rFonts w:ascii="Calibri" w:hAnsi="Calibri"/>
      <w:sz w:val="20"/>
      <w:szCs w:val="20"/>
    </w:rPr>
  </w:style>
  <w:style w:type="paragraph" w:styleId="31">
    <w:name w:val="toc 2"/>
    <w:basedOn w:val="1"/>
    <w:next w:val="1"/>
    <w:autoRedefine/>
    <w:qFormat/>
    <w:uiPriority w:val="39"/>
    <w:pPr>
      <w:tabs>
        <w:tab w:val="right" w:leader="dot" w:pos="9242"/>
      </w:tabs>
    </w:pPr>
    <w:rPr>
      <w:rFonts w:ascii="宋体"/>
      <w:szCs w:val="21"/>
    </w:rPr>
  </w:style>
  <w:style w:type="paragraph" w:styleId="32">
    <w:name w:val="toc 9"/>
    <w:basedOn w:val="1"/>
    <w:next w:val="1"/>
    <w:autoRedefine/>
    <w:semiHidden/>
    <w:qFormat/>
    <w:uiPriority w:val="0"/>
    <w:pPr>
      <w:ind w:left="1470"/>
      <w:jc w:val="left"/>
    </w:pPr>
    <w:rPr>
      <w:sz w:val="20"/>
      <w:szCs w:val="20"/>
    </w:rPr>
  </w:style>
  <w:style w:type="paragraph" w:styleId="33">
    <w:name w:val="Normal (Web)"/>
    <w:basedOn w:val="1"/>
    <w:autoRedefine/>
    <w:qFormat/>
    <w:uiPriority w:val="0"/>
    <w:pPr>
      <w:spacing w:beforeAutospacing="1" w:afterAutospacing="1"/>
      <w:jc w:val="left"/>
    </w:pPr>
    <w:rPr>
      <w:kern w:val="0"/>
      <w:sz w:val="24"/>
    </w:rPr>
  </w:style>
  <w:style w:type="paragraph" w:styleId="34">
    <w:name w:val="index 2"/>
    <w:basedOn w:val="1"/>
    <w:next w:val="1"/>
    <w:autoRedefine/>
    <w:qFormat/>
    <w:uiPriority w:val="0"/>
    <w:pPr>
      <w:ind w:left="420" w:hanging="210"/>
      <w:jc w:val="left"/>
    </w:pPr>
    <w:rPr>
      <w:rFonts w:ascii="Calibri" w:hAnsi="Calibri"/>
      <w:sz w:val="20"/>
      <w:szCs w:val="20"/>
    </w:rPr>
  </w:style>
  <w:style w:type="paragraph" w:styleId="35">
    <w:name w:val="annotation subject"/>
    <w:basedOn w:val="9"/>
    <w:next w:val="9"/>
    <w:autoRedefine/>
    <w:semiHidden/>
    <w:qFormat/>
    <w:uiPriority w:val="0"/>
    <w:rPr>
      <w:b/>
      <w:bCs/>
    </w:rPr>
  </w:style>
  <w:style w:type="paragraph" w:styleId="36">
    <w:name w:val="Body Text First Indent"/>
    <w:basedOn w:val="11"/>
    <w:qFormat/>
    <w:uiPriority w:val="0"/>
    <w:pPr>
      <w:ind w:firstLine="420" w:firstLineChars="100"/>
    </w:pPr>
  </w:style>
  <w:style w:type="table" w:styleId="38">
    <w:name w:val="Table Grid"/>
    <w:basedOn w:val="37"/>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basedOn w:val="39"/>
    <w:autoRedefine/>
    <w:qFormat/>
    <w:uiPriority w:val="0"/>
    <w:rPr>
      <w:b/>
    </w:rPr>
  </w:style>
  <w:style w:type="character" w:styleId="41">
    <w:name w:val="endnote reference"/>
    <w:autoRedefine/>
    <w:semiHidden/>
    <w:qFormat/>
    <w:uiPriority w:val="0"/>
    <w:rPr>
      <w:vertAlign w:val="superscript"/>
    </w:rPr>
  </w:style>
  <w:style w:type="character" w:styleId="42">
    <w:name w:val="page number"/>
    <w:autoRedefine/>
    <w:qFormat/>
    <w:uiPriority w:val="0"/>
    <w:rPr>
      <w:rFonts w:ascii="Times New Roman" w:hAnsi="Times New Roman" w:eastAsia="宋体"/>
      <w:sz w:val="18"/>
    </w:rPr>
  </w:style>
  <w:style w:type="character" w:styleId="43">
    <w:name w:val="FollowedHyperlink"/>
    <w:autoRedefine/>
    <w:qFormat/>
    <w:uiPriority w:val="0"/>
    <w:rPr>
      <w:color w:val="800080"/>
      <w:u w:val="single"/>
    </w:rPr>
  </w:style>
  <w:style w:type="character" w:styleId="44">
    <w:name w:val="Emphasis"/>
    <w:autoRedefine/>
    <w:qFormat/>
    <w:uiPriority w:val="20"/>
    <w:rPr>
      <w:i/>
      <w:iCs/>
    </w:rPr>
  </w:style>
  <w:style w:type="character" w:styleId="45">
    <w:name w:val="Hyperlink"/>
    <w:autoRedefine/>
    <w:qFormat/>
    <w:uiPriority w:val="99"/>
    <w:rPr>
      <w:color w:val="0000FF"/>
      <w:spacing w:val="0"/>
      <w:w w:val="100"/>
      <w:szCs w:val="21"/>
      <w:u w:val="single"/>
    </w:rPr>
  </w:style>
  <w:style w:type="character" w:styleId="46">
    <w:name w:val="annotation reference"/>
    <w:autoRedefine/>
    <w:semiHidden/>
    <w:qFormat/>
    <w:uiPriority w:val="0"/>
    <w:rPr>
      <w:sz w:val="21"/>
      <w:szCs w:val="21"/>
    </w:rPr>
  </w:style>
  <w:style w:type="character" w:styleId="47">
    <w:name w:val="footnote reference"/>
    <w:autoRedefine/>
    <w:semiHidden/>
    <w:qFormat/>
    <w:uiPriority w:val="0"/>
    <w:rPr>
      <w:vertAlign w:val="superscript"/>
    </w:rPr>
  </w:style>
  <w:style w:type="paragraph" w:styleId="48">
    <w:name w:val="List Paragraph"/>
    <w:basedOn w:val="1"/>
    <w:autoRedefine/>
    <w:qFormat/>
    <w:uiPriority w:val="34"/>
    <w:pPr>
      <w:ind w:firstLine="420" w:firstLineChars="200"/>
    </w:pPr>
  </w:style>
  <w:style w:type="character" w:styleId="49">
    <w:name w:val="Placeholder Text"/>
    <w:autoRedefine/>
    <w:semiHidden/>
    <w:qFormat/>
    <w:uiPriority w:val="99"/>
    <w:rPr>
      <w:color w:val="808080"/>
    </w:rPr>
  </w:style>
  <w:style w:type="character" w:customStyle="1" w:styleId="50">
    <w:name w:val="font531"/>
    <w:autoRedefine/>
    <w:qFormat/>
    <w:uiPriority w:val="0"/>
    <w:rPr>
      <w:rFonts w:hint="default" w:ascii="Arial" w:hAnsi="Arial" w:cs="Arial"/>
      <w:color w:val="000000"/>
      <w:sz w:val="24"/>
      <w:szCs w:val="24"/>
      <w:u w:val="none"/>
    </w:rPr>
  </w:style>
  <w:style w:type="character" w:customStyle="1" w:styleId="51">
    <w:name w:val="首示例 Char"/>
    <w:link w:val="52"/>
    <w:autoRedefine/>
    <w:qFormat/>
    <w:uiPriority w:val="0"/>
    <w:rPr>
      <w:rFonts w:ascii="宋体" w:hAnsi="宋体"/>
      <w:kern w:val="2"/>
      <w:sz w:val="18"/>
      <w:szCs w:val="18"/>
      <w:lang w:val="en-US" w:eastAsia="zh-CN" w:bidi="ar-SA"/>
    </w:rPr>
  </w:style>
  <w:style w:type="paragraph" w:customStyle="1" w:styleId="52">
    <w:name w:val="首示例"/>
    <w:next w:val="26"/>
    <w:link w:val="51"/>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3">
    <w:name w:val="font451"/>
    <w:autoRedefine/>
    <w:qFormat/>
    <w:uiPriority w:val="0"/>
    <w:rPr>
      <w:rFonts w:hint="eastAsia" w:ascii="等线" w:hAnsi="等线" w:eastAsia="等线"/>
      <w:color w:val="000000"/>
      <w:sz w:val="22"/>
      <w:szCs w:val="22"/>
      <w:u w:val="none"/>
    </w:rPr>
  </w:style>
  <w:style w:type="character" w:customStyle="1" w:styleId="54">
    <w:name w:val="二级条标题 Char"/>
    <w:link w:val="55"/>
    <w:autoRedefine/>
    <w:qFormat/>
    <w:locked/>
    <w:uiPriority w:val="0"/>
    <w:rPr>
      <w:rFonts w:ascii="黑体" w:eastAsia="黑体"/>
      <w:sz w:val="21"/>
      <w:szCs w:val="21"/>
    </w:rPr>
  </w:style>
  <w:style w:type="paragraph" w:customStyle="1" w:styleId="55">
    <w:name w:val="二级条标题"/>
    <w:basedOn w:val="56"/>
    <w:next w:val="26"/>
    <w:link w:val="54"/>
    <w:autoRedefine/>
    <w:qFormat/>
    <w:uiPriority w:val="0"/>
    <w:pPr>
      <w:numPr>
        <w:ilvl w:val="2"/>
      </w:numPr>
      <w:spacing w:before="50" w:after="50"/>
      <w:ind w:left="1843"/>
      <w:outlineLvl w:val="3"/>
    </w:pPr>
  </w:style>
  <w:style w:type="paragraph" w:customStyle="1" w:styleId="56">
    <w:name w:val="一级条标题"/>
    <w:next w:val="26"/>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57">
    <w:name w:val="三级条标题 Char"/>
    <w:link w:val="58"/>
    <w:autoRedefine/>
    <w:qFormat/>
    <w:uiPriority w:val="0"/>
    <w:rPr>
      <w:rFonts w:ascii="黑体" w:eastAsia="黑体"/>
      <w:sz w:val="21"/>
      <w:szCs w:val="21"/>
    </w:rPr>
  </w:style>
  <w:style w:type="paragraph" w:customStyle="1" w:styleId="58">
    <w:name w:val="三级条标题"/>
    <w:basedOn w:val="55"/>
    <w:next w:val="26"/>
    <w:link w:val="57"/>
    <w:autoRedefine/>
    <w:qFormat/>
    <w:uiPriority w:val="0"/>
    <w:pPr>
      <w:numPr>
        <w:ilvl w:val="3"/>
      </w:numPr>
      <w:outlineLvl w:val="4"/>
    </w:pPr>
  </w:style>
  <w:style w:type="character" w:customStyle="1" w:styleId="59">
    <w:name w:val="页眉 字符"/>
    <w:link w:val="21"/>
    <w:autoRedefine/>
    <w:qFormat/>
    <w:uiPriority w:val="99"/>
    <w:rPr>
      <w:kern w:val="2"/>
      <w:sz w:val="18"/>
      <w:szCs w:val="18"/>
    </w:rPr>
  </w:style>
  <w:style w:type="character" w:customStyle="1" w:styleId="60">
    <w:name w:val="样式1 字符"/>
    <w:link w:val="61"/>
    <w:autoRedefine/>
    <w:qFormat/>
    <w:uiPriority w:val="0"/>
    <w:rPr>
      <w:rFonts w:ascii="Cambria Math" w:hAnsi="Cambria Math"/>
      <w:i/>
      <w:sz w:val="28"/>
      <w:szCs w:val="28"/>
      <w:lang w:val="en-US" w:eastAsia="zh-CN" w:bidi="ar-SA"/>
    </w:rPr>
  </w:style>
  <w:style w:type="paragraph" w:customStyle="1" w:styleId="61">
    <w:name w:val="样式1"/>
    <w:basedOn w:val="62"/>
    <w:link w:val="60"/>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2">
    <w:name w:val="附录公式"/>
    <w:basedOn w:val="26"/>
    <w:next w:val="26"/>
    <w:link w:val="63"/>
    <w:autoRedefine/>
    <w:qFormat/>
    <w:uiPriority w:val="0"/>
  </w:style>
  <w:style w:type="character" w:customStyle="1" w:styleId="63">
    <w:name w:val="附录公式 Char"/>
    <w:link w:val="62"/>
    <w:autoRedefine/>
    <w:qFormat/>
    <w:uiPriority w:val="0"/>
    <w:rPr>
      <w:rFonts w:ascii="宋体"/>
      <w:sz w:val="21"/>
      <w:lang w:val="en-US" w:eastAsia="zh-CN" w:bidi="ar-SA"/>
    </w:rPr>
  </w:style>
  <w:style w:type="character" w:customStyle="1" w:styleId="64">
    <w:name w:val="段 Char"/>
    <w:link w:val="26"/>
    <w:autoRedefine/>
    <w:qFormat/>
    <w:uiPriority w:val="0"/>
    <w:rPr>
      <w:rFonts w:ascii="宋体"/>
      <w:sz w:val="21"/>
      <w:lang w:val="en-US" w:eastAsia="zh-CN" w:bidi="ar-SA"/>
    </w:rPr>
  </w:style>
  <w:style w:type="character" w:customStyle="1" w:styleId="65">
    <w:name w:val="font441"/>
    <w:autoRedefine/>
    <w:qFormat/>
    <w:uiPriority w:val="0"/>
    <w:rPr>
      <w:rFonts w:hint="eastAsia" w:ascii="等线" w:hAnsi="等线" w:eastAsia="等线"/>
      <w:color w:val="000000"/>
      <w:sz w:val="24"/>
      <w:szCs w:val="24"/>
      <w:u w:val="none"/>
    </w:rPr>
  </w:style>
  <w:style w:type="character" w:customStyle="1" w:styleId="66">
    <w:name w:val="font541"/>
    <w:autoRedefine/>
    <w:qFormat/>
    <w:uiPriority w:val="0"/>
    <w:rPr>
      <w:rFonts w:hint="default" w:ascii="Arial" w:hAnsi="Arial" w:cs="Arial"/>
      <w:color w:val="000000"/>
      <w:sz w:val="22"/>
      <w:szCs w:val="22"/>
      <w:u w:val="none"/>
    </w:rPr>
  </w:style>
  <w:style w:type="character" w:customStyle="1" w:styleId="67">
    <w:name w:val="发布"/>
    <w:autoRedefine/>
    <w:qFormat/>
    <w:uiPriority w:val="0"/>
    <w:rPr>
      <w:rFonts w:ascii="黑体" w:eastAsia="黑体"/>
      <w:spacing w:val="85"/>
      <w:w w:val="100"/>
      <w:position w:val="3"/>
      <w:sz w:val="28"/>
      <w:szCs w:val="28"/>
    </w:rPr>
  </w:style>
  <w:style w:type="character" w:customStyle="1" w:styleId="68">
    <w:name w:val="apple-style-span"/>
    <w:autoRedefine/>
    <w:qFormat/>
    <w:uiPriority w:val="0"/>
  </w:style>
  <w:style w:type="paragraph" w:customStyle="1" w:styleId="69">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0">
    <w:name w:val="参考文献"/>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1">
    <w:name w:val="附录五级无"/>
    <w:basedOn w:val="72"/>
    <w:autoRedefine/>
    <w:qFormat/>
    <w:uiPriority w:val="0"/>
    <w:pPr>
      <w:spacing w:beforeLines="0" w:afterLines="0"/>
    </w:pPr>
    <w:rPr>
      <w:rFonts w:ascii="宋体" w:eastAsia="宋体"/>
      <w:szCs w:val="21"/>
    </w:rPr>
  </w:style>
  <w:style w:type="paragraph" w:customStyle="1" w:styleId="72">
    <w:name w:val="附录五级条标题"/>
    <w:basedOn w:val="73"/>
    <w:next w:val="26"/>
    <w:autoRedefine/>
    <w:qFormat/>
    <w:uiPriority w:val="0"/>
    <w:pPr>
      <w:outlineLvl w:val="6"/>
    </w:pPr>
  </w:style>
  <w:style w:type="paragraph" w:customStyle="1" w:styleId="73">
    <w:name w:val="附录四级条标题"/>
    <w:basedOn w:val="74"/>
    <w:next w:val="26"/>
    <w:autoRedefine/>
    <w:qFormat/>
    <w:uiPriority w:val="0"/>
    <w:pPr>
      <w:outlineLvl w:val="5"/>
    </w:pPr>
  </w:style>
  <w:style w:type="paragraph" w:customStyle="1" w:styleId="74">
    <w:name w:val="附录三级条标题"/>
    <w:basedOn w:val="75"/>
    <w:next w:val="26"/>
    <w:autoRedefine/>
    <w:qFormat/>
    <w:uiPriority w:val="0"/>
    <w:pPr>
      <w:outlineLvl w:val="4"/>
    </w:pPr>
  </w:style>
  <w:style w:type="paragraph" w:customStyle="1" w:styleId="75">
    <w:name w:val="附录二级条标题"/>
    <w:basedOn w:val="1"/>
    <w:next w:val="26"/>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76">
    <w:name w:val="附录标题"/>
    <w:basedOn w:val="26"/>
    <w:next w:val="26"/>
    <w:autoRedefine/>
    <w:qFormat/>
    <w:uiPriority w:val="0"/>
    <w:pPr>
      <w:ind w:firstLine="0" w:firstLineChars="0"/>
      <w:jc w:val="center"/>
    </w:pPr>
    <w:rPr>
      <w:rFonts w:ascii="黑体" w:eastAsia="黑体"/>
    </w:rPr>
  </w:style>
  <w:style w:type="paragraph" w:customStyle="1" w:styleId="77">
    <w:name w:val="注：（正文）"/>
    <w:basedOn w:val="78"/>
    <w:next w:val="26"/>
    <w:autoRedefine/>
    <w:qFormat/>
    <w:uiPriority w:val="0"/>
  </w:style>
  <w:style w:type="paragraph" w:customStyle="1" w:styleId="78">
    <w:name w:val="注："/>
    <w:next w:val="26"/>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79">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0">
    <w:name w:val="附录一级无"/>
    <w:basedOn w:val="81"/>
    <w:autoRedefine/>
    <w:qFormat/>
    <w:uiPriority w:val="0"/>
    <w:pPr>
      <w:spacing w:beforeLines="0" w:afterLines="0"/>
    </w:pPr>
    <w:rPr>
      <w:rFonts w:ascii="宋体" w:eastAsia="宋体"/>
      <w:szCs w:val="21"/>
    </w:rPr>
  </w:style>
  <w:style w:type="paragraph" w:customStyle="1" w:styleId="81">
    <w:name w:val="附录一级条标题"/>
    <w:basedOn w:val="82"/>
    <w:next w:val="26"/>
    <w:autoRedefine/>
    <w:qFormat/>
    <w:uiPriority w:val="0"/>
    <w:pPr>
      <w:numPr>
        <w:ilvl w:val="0"/>
        <w:numId w:val="0"/>
      </w:numPr>
      <w:autoSpaceDN w:val="0"/>
      <w:spacing w:beforeLines="50" w:afterLines="50"/>
      <w:outlineLvl w:val="2"/>
    </w:pPr>
  </w:style>
  <w:style w:type="paragraph" w:customStyle="1" w:styleId="82">
    <w:name w:val="附录章标题"/>
    <w:next w:val="26"/>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3">
    <w:name w:val="附录三级无"/>
    <w:basedOn w:val="74"/>
    <w:autoRedefine/>
    <w:qFormat/>
    <w:uiPriority w:val="0"/>
    <w:pPr>
      <w:spacing w:beforeLines="0" w:afterLines="0"/>
    </w:pPr>
    <w:rPr>
      <w:rFonts w:ascii="宋体" w:eastAsia="宋体"/>
      <w:szCs w:val="21"/>
    </w:rPr>
  </w:style>
  <w:style w:type="paragraph" w:customStyle="1" w:styleId="84">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5">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86">
    <w:name w:val="标准书眉_偶数页"/>
    <w:basedOn w:val="87"/>
    <w:next w:val="1"/>
    <w:autoRedefine/>
    <w:qFormat/>
    <w:uiPriority w:val="0"/>
    <w:pPr>
      <w:tabs>
        <w:tab w:val="center" w:pos="4154"/>
        <w:tab w:val="right" w:pos="8306"/>
      </w:tabs>
      <w:jc w:val="left"/>
    </w:pPr>
  </w:style>
  <w:style w:type="paragraph" w:customStyle="1" w:styleId="87">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88">
    <w:name w:val="发布部门"/>
    <w:next w:val="26"/>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9">
    <w:name w:val="五级无"/>
    <w:basedOn w:val="90"/>
    <w:autoRedefine/>
    <w:qFormat/>
    <w:uiPriority w:val="0"/>
    <w:pPr>
      <w:spacing w:beforeLines="0" w:afterLines="0"/>
    </w:pPr>
    <w:rPr>
      <w:rFonts w:ascii="宋体" w:eastAsia="宋体"/>
    </w:rPr>
  </w:style>
  <w:style w:type="paragraph" w:customStyle="1" w:styleId="90">
    <w:name w:val="五级条标题"/>
    <w:basedOn w:val="91"/>
    <w:next w:val="26"/>
    <w:autoRedefine/>
    <w:qFormat/>
    <w:uiPriority w:val="0"/>
    <w:pPr>
      <w:numPr>
        <w:ilvl w:val="0"/>
        <w:numId w:val="0"/>
      </w:numPr>
      <w:outlineLvl w:val="6"/>
    </w:pPr>
  </w:style>
  <w:style w:type="paragraph" w:customStyle="1" w:styleId="91">
    <w:name w:val="四级条标题"/>
    <w:basedOn w:val="58"/>
    <w:next w:val="26"/>
    <w:autoRedefine/>
    <w:qFormat/>
    <w:uiPriority w:val="0"/>
    <w:pPr>
      <w:numPr>
        <w:ilvl w:val="4"/>
      </w:numPr>
      <w:outlineLvl w:val="5"/>
    </w:pPr>
  </w:style>
  <w:style w:type="paragraph" w:customStyle="1" w:styleId="92">
    <w:name w:val="封面一致性程度标识"/>
    <w:basedOn w:val="93"/>
    <w:autoRedefine/>
    <w:qFormat/>
    <w:uiPriority w:val="0"/>
    <w:pPr>
      <w:framePr w:wrap="around"/>
      <w:spacing w:before="440"/>
    </w:pPr>
    <w:rPr>
      <w:rFonts w:ascii="宋体" w:eastAsia="宋体"/>
    </w:rPr>
  </w:style>
  <w:style w:type="paragraph" w:customStyle="1" w:styleId="93">
    <w:name w:val="封面标准英文名称"/>
    <w:basedOn w:val="79"/>
    <w:autoRedefine/>
    <w:qFormat/>
    <w:uiPriority w:val="0"/>
    <w:pPr>
      <w:framePr w:wrap="around"/>
      <w:spacing w:before="370" w:line="400" w:lineRule="exact"/>
    </w:pPr>
    <w:rPr>
      <w:rFonts w:ascii="Times New Roman"/>
      <w:sz w:val="28"/>
      <w:szCs w:val="28"/>
    </w:rPr>
  </w:style>
  <w:style w:type="paragraph" w:customStyle="1" w:styleId="94">
    <w:name w:val="其他发布部门"/>
    <w:basedOn w:val="88"/>
    <w:autoRedefine/>
    <w:qFormat/>
    <w:uiPriority w:val="0"/>
    <w:pPr>
      <w:framePr w:wrap="around" w:y="15310"/>
      <w:spacing w:line="0" w:lineRule="atLeast"/>
    </w:pPr>
    <w:rPr>
      <w:rFonts w:ascii="黑体" w:eastAsia="黑体"/>
      <w:b w:val="0"/>
    </w:rPr>
  </w:style>
  <w:style w:type="paragraph" w:customStyle="1" w:styleId="95">
    <w:name w:val="目次、标准名称标题"/>
    <w:basedOn w:val="1"/>
    <w:next w:val="26"/>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96">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97">
    <w:name w:val="附录表标题"/>
    <w:basedOn w:val="1"/>
    <w:next w:val="26"/>
    <w:autoRedefine/>
    <w:qFormat/>
    <w:uiPriority w:val="0"/>
    <w:pPr>
      <w:numPr>
        <w:ilvl w:val="1"/>
        <w:numId w:val="6"/>
      </w:numPr>
      <w:spacing w:beforeLines="50" w:afterLines="50"/>
      <w:jc w:val="center"/>
    </w:pPr>
    <w:rPr>
      <w:rFonts w:ascii="黑体" w:eastAsia="黑体"/>
      <w:szCs w:val="21"/>
    </w:rPr>
  </w:style>
  <w:style w:type="paragraph" w:customStyle="1" w:styleId="98">
    <w:name w:val="附录公式编号制表符"/>
    <w:basedOn w:val="1"/>
    <w:next w:val="26"/>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99">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0">
    <w:name w:val="附录标识"/>
    <w:basedOn w:val="1"/>
    <w:next w:val="26"/>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1">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2">
    <w:name w:val="封面标准文稿编辑信息"/>
    <w:basedOn w:val="103"/>
    <w:autoRedefine/>
    <w:qFormat/>
    <w:uiPriority w:val="0"/>
    <w:pPr>
      <w:framePr w:wrap="around"/>
      <w:spacing w:before="180" w:line="180" w:lineRule="exact"/>
    </w:pPr>
    <w:rPr>
      <w:sz w:val="21"/>
    </w:rPr>
  </w:style>
  <w:style w:type="paragraph" w:customStyle="1" w:styleId="103">
    <w:name w:val="封面标准文稿类别"/>
    <w:basedOn w:val="92"/>
    <w:autoRedefine/>
    <w:qFormat/>
    <w:uiPriority w:val="0"/>
    <w:pPr>
      <w:framePr w:wrap="around"/>
      <w:spacing w:after="160" w:line="240" w:lineRule="auto"/>
    </w:pPr>
    <w:rPr>
      <w:sz w:val="24"/>
    </w:rPr>
  </w:style>
  <w:style w:type="paragraph" w:customStyle="1" w:styleId="104">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5">
    <w:name w:val="列项◆（三级）"/>
    <w:basedOn w:val="1"/>
    <w:autoRedefine/>
    <w:qFormat/>
    <w:uiPriority w:val="0"/>
    <w:pPr>
      <w:numPr>
        <w:ilvl w:val="2"/>
        <w:numId w:val="8"/>
      </w:numPr>
    </w:pPr>
    <w:rPr>
      <w:rFonts w:ascii="宋体"/>
      <w:szCs w:val="21"/>
    </w:rPr>
  </w:style>
  <w:style w:type="paragraph" w:customStyle="1" w:styleId="106">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07">
    <w:name w:val="附录二级无"/>
    <w:basedOn w:val="75"/>
    <w:autoRedefine/>
    <w:qFormat/>
    <w:uiPriority w:val="0"/>
    <w:pPr>
      <w:spacing w:beforeLines="0" w:afterLines="0"/>
    </w:pPr>
    <w:rPr>
      <w:rFonts w:ascii="宋体" w:eastAsia="宋体"/>
      <w:szCs w:val="21"/>
    </w:rPr>
  </w:style>
  <w:style w:type="paragraph" w:customStyle="1" w:styleId="108">
    <w:name w:val="实施日期"/>
    <w:basedOn w:val="109"/>
    <w:autoRedefine/>
    <w:qFormat/>
    <w:uiPriority w:val="0"/>
    <w:pPr>
      <w:framePr w:wrap="around" w:vAnchor="page" w:hAnchor="text"/>
      <w:jc w:val="right"/>
    </w:pPr>
  </w:style>
  <w:style w:type="paragraph" w:customStyle="1" w:styleId="109">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0">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1">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2">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3">
    <w:name w:val="图表脚注说明"/>
    <w:basedOn w:val="1"/>
    <w:autoRedefine/>
    <w:qFormat/>
    <w:uiPriority w:val="0"/>
    <w:pPr>
      <w:ind w:left="544" w:hanging="181"/>
    </w:pPr>
    <w:rPr>
      <w:rFonts w:ascii="宋体"/>
      <w:sz w:val="18"/>
      <w:szCs w:val="18"/>
    </w:rPr>
  </w:style>
  <w:style w:type="paragraph" w:customStyle="1" w:styleId="114">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5">
    <w:name w:val="示例"/>
    <w:next w:val="116"/>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16">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17">
    <w:name w:val="Char Char"/>
    <w:basedOn w:val="1"/>
    <w:autoRedefine/>
    <w:qFormat/>
    <w:uiPriority w:val="0"/>
    <w:rPr>
      <w:rFonts w:ascii="黑体" w:eastAsia="黑体"/>
      <w:sz w:val="36"/>
      <w:szCs w:val="36"/>
    </w:rPr>
  </w:style>
  <w:style w:type="paragraph" w:customStyle="1" w:styleId="118">
    <w:name w:val="Char Char1"/>
    <w:basedOn w:val="1"/>
    <w:autoRedefine/>
    <w:qFormat/>
    <w:uiPriority w:val="0"/>
    <w:rPr>
      <w:rFonts w:ascii="黑体" w:eastAsia="黑体"/>
      <w:sz w:val="36"/>
      <w:szCs w:val="36"/>
    </w:rPr>
  </w:style>
  <w:style w:type="paragraph" w:customStyle="1" w:styleId="119">
    <w:name w:val="参考文献、索引标题"/>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0">
    <w:name w:val="正文表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1">
    <w:name w:val="二级无"/>
    <w:basedOn w:val="55"/>
    <w:autoRedefine/>
    <w:qFormat/>
    <w:uiPriority w:val="0"/>
    <w:pPr>
      <w:spacing w:beforeLines="0" w:afterLines="0"/>
      <w:ind w:left="0"/>
    </w:pPr>
    <w:rPr>
      <w:rFonts w:ascii="宋体" w:eastAsia="宋体"/>
    </w:rPr>
  </w:style>
  <w:style w:type="paragraph" w:customStyle="1" w:styleId="122">
    <w:name w:val="图标脚注说明"/>
    <w:basedOn w:val="26"/>
    <w:autoRedefine/>
    <w:qFormat/>
    <w:uiPriority w:val="0"/>
    <w:pPr>
      <w:ind w:left="840" w:hanging="420" w:firstLineChars="0"/>
    </w:pPr>
    <w:rPr>
      <w:sz w:val="18"/>
      <w:szCs w:val="18"/>
    </w:rPr>
  </w:style>
  <w:style w:type="paragraph" w:customStyle="1" w:styleId="123">
    <w:name w:val="其他标准标志"/>
    <w:basedOn w:val="124"/>
    <w:autoRedefine/>
    <w:qFormat/>
    <w:uiPriority w:val="0"/>
    <w:pPr>
      <w:framePr w:w="6101" w:wrap="around" w:vAnchor="page" w:hAnchor="page" w:x="4673" w:y="942"/>
    </w:pPr>
    <w:rPr>
      <w:w w:val="130"/>
    </w:rPr>
  </w:style>
  <w:style w:type="paragraph" w:customStyle="1" w:styleId="124">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5">
    <w:name w:val="封面一致性程度标识2"/>
    <w:basedOn w:val="92"/>
    <w:autoRedefine/>
    <w:qFormat/>
    <w:uiPriority w:val="0"/>
    <w:pPr>
      <w:framePr w:wrap="around" w:y="4469"/>
    </w:pPr>
  </w:style>
  <w:style w:type="paragraph" w:customStyle="1" w:styleId="126">
    <w:name w:val="标准书眉一"/>
    <w:autoRedefine/>
    <w:qFormat/>
    <w:uiPriority w:val="0"/>
    <w:pPr>
      <w:jc w:val="both"/>
    </w:pPr>
    <w:rPr>
      <w:rFonts w:ascii="Times New Roman" w:hAnsi="Times New Roman" w:eastAsia="宋体" w:cs="Times New Roman"/>
      <w:lang w:val="en-US" w:eastAsia="zh-CN" w:bidi="ar-SA"/>
    </w:rPr>
  </w:style>
  <w:style w:type="paragraph" w:customStyle="1" w:styleId="127">
    <w:name w:val="封面正文"/>
    <w:autoRedefine/>
    <w:qFormat/>
    <w:uiPriority w:val="0"/>
    <w:pPr>
      <w:jc w:val="both"/>
    </w:pPr>
    <w:rPr>
      <w:rFonts w:ascii="Times New Roman" w:hAnsi="Times New Roman" w:eastAsia="宋体" w:cs="Times New Roman"/>
      <w:lang w:val="en-US" w:eastAsia="zh-CN" w:bidi="ar-SA"/>
    </w:rPr>
  </w:style>
  <w:style w:type="paragraph" w:customStyle="1" w:styleId="128">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29">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0">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1">
    <w:name w:val="正文公式编号制表符"/>
    <w:basedOn w:val="26"/>
    <w:next w:val="26"/>
    <w:autoRedefine/>
    <w:qFormat/>
    <w:uiPriority w:val="0"/>
    <w:pPr>
      <w:ind w:firstLine="0" w:firstLineChars="0"/>
    </w:pPr>
  </w:style>
  <w:style w:type="paragraph" w:customStyle="1" w:styleId="132">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3">
    <w:name w:val="四级无"/>
    <w:basedOn w:val="91"/>
    <w:autoRedefine/>
    <w:qFormat/>
    <w:uiPriority w:val="0"/>
    <w:pPr>
      <w:spacing w:beforeLines="0" w:afterLines="0"/>
    </w:pPr>
    <w:rPr>
      <w:rFonts w:ascii="宋体" w:eastAsia="宋体"/>
    </w:rPr>
  </w:style>
  <w:style w:type="paragraph" w:customStyle="1" w:styleId="134">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5">
    <w:name w:val="附录四级无"/>
    <w:basedOn w:val="73"/>
    <w:autoRedefine/>
    <w:qFormat/>
    <w:uiPriority w:val="0"/>
    <w:pPr>
      <w:spacing w:beforeLines="0" w:afterLines="0"/>
    </w:pPr>
    <w:rPr>
      <w:rFonts w:ascii="宋体" w:eastAsia="宋体"/>
      <w:szCs w:val="21"/>
    </w:rPr>
  </w:style>
  <w:style w:type="paragraph" w:customStyle="1" w:styleId="136">
    <w:name w:val="封面标准英文名称2"/>
    <w:basedOn w:val="93"/>
    <w:autoRedefine/>
    <w:qFormat/>
    <w:uiPriority w:val="0"/>
    <w:pPr>
      <w:framePr w:wrap="around" w:y="4469"/>
    </w:pPr>
  </w:style>
  <w:style w:type="paragraph" w:customStyle="1" w:styleId="137">
    <w:name w:val="封面标准文稿类别2"/>
    <w:basedOn w:val="103"/>
    <w:autoRedefine/>
    <w:qFormat/>
    <w:uiPriority w:val="0"/>
    <w:pPr>
      <w:framePr w:wrap="around" w:y="4469"/>
    </w:pPr>
  </w:style>
  <w:style w:type="paragraph" w:customStyle="1" w:styleId="138">
    <w:name w:val="示例×："/>
    <w:basedOn w:val="139"/>
    <w:autoRedefine/>
    <w:qFormat/>
    <w:uiPriority w:val="0"/>
    <w:pPr>
      <w:numPr>
        <w:numId w:val="0"/>
      </w:numPr>
      <w:spacing w:beforeLines="0" w:afterLines="0"/>
      <w:ind w:firstLine="363"/>
      <w:outlineLvl w:val="9"/>
    </w:pPr>
    <w:rPr>
      <w:rFonts w:ascii="宋体" w:eastAsia="宋体"/>
      <w:sz w:val="18"/>
      <w:szCs w:val="18"/>
    </w:rPr>
  </w:style>
  <w:style w:type="paragraph" w:customStyle="1" w:styleId="139">
    <w:name w:val="章标题"/>
    <w:next w:val="26"/>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0">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1">
    <w:name w:val="附录图标题"/>
    <w:basedOn w:val="1"/>
    <w:next w:val="26"/>
    <w:autoRedefine/>
    <w:qFormat/>
    <w:uiPriority w:val="0"/>
    <w:pPr>
      <w:numPr>
        <w:ilvl w:val="1"/>
        <w:numId w:val="5"/>
      </w:numPr>
      <w:spacing w:beforeLines="50" w:afterLines="50"/>
      <w:jc w:val="center"/>
    </w:pPr>
    <w:rPr>
      <w:rFonts w:ascii="黑体" w:eastAsia="黑体"/>
      <w:szCs w:val="21"/>
    </w:rPr>
  </w:style>
  <w:style w:type="paragraph" w:customStyle="1" w:styleId="142">
    <w:name w:val="其他实施日期"/>
    <w:basedOn w:val="108"/>
    <w:autoRedefine/>
    <w:qFormat/>
    <w:uiPriority w:val="0"/>
    <w:pPr>
      <w:framePr w:wrap="around" w:vAnchor="margin" w:hAnchor="page"/>
    </w:pPr>
  </w:style>
  <w:style w:type="paragraph" w:customStyle="1" w:styleId="143">
    <w:name w:val="三级无"/>
    <w:basedOn w:val="58"/>
    <w:autoRedefine/>
    <w:qFormat/>
    <w:uiPriority w:val="0"/>
    <w:pPr>
      <w:spacing w:beforeLines="0" w:afterLines="0"/>
    </w:pPr>
    <w:rPr>
      <w:rFonts w:ascii="宋体" w:eastAsia="宋体"/>
    </w:rPr>
  </w:style>
  <w:style w:type="paragraph" w:customStyle="1" w:styleId="144">
    <w:name w:val="封面标准名称2"/>
    <w:basedOn w:val="79"/>
    <w:autoRedefine/>
    <w:qFormat/>
    <w:uiPriority w:val="0"/>
    <w:pPr>
      <w:framePr w:wrap="around" w:y="4469"/>
      <w:spacing w:beforeLines="630"/>
    </w:pPr>
  </w:style>
  <w:style w:type="paragraph" w:customStyle="1" w:styleId="145">
    <w:name w:val="正文图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6">
    <w:name w:val="示例后文字"/>
    <w:basedOn w:val="26"/>
    <w:next w:val="26"/>
    <w:autoRedefine/>
    <w:qFormat/>
    <w:uiPriority w:val="0"/>
    <w:pPr>
      <w:ind w:firstLine="360"/>
    </w:pPr>
    <w:rPr>
      <w:sz w:val="18"/>
    </w:rPr>
  </w:style>
  <w:style w:type="paragraph" w:customStyle="1" w:styleId="147">
    <w:name w:val="其他发布日期"/>
    <w:basedOn w:val="109"/>
    <w:autoRedefine/>
    <w:qFormat/>
    <w:uiPriority w:val="0"/>
    <w:pPr>
      <w:framePr w:wrap="around" w:vAnchor="page" w:hAnchor="text" w:x="1419"/>
    </w:pPr>
  </w:style>
  <w:style w:type="paragraph" w:customStyle="1" w:styleId="148">
    <w:name w:val="封面标准文稿编辑信息2"/>
    <w:basedOn w:val="102"/>
    <w:autoRedefine/>
    <w:qFormat/>
    <w:uiPriority w:val="0"/>
    <w:pPr>
      <w:framePr w:wrap="around" w:y="4469"/>
    </w:pPr>
  </w:style>
  <w:style w:type="paragraph" w:customStyle="1" w:styleId="149">
    <w:name w:val="一级无"/>
    <w:basedOn w:val="56"/>
    <w:autoRedefine/>
    <w:qFormat/>
    <w:uiPriority w:val="0"/>
    <w:pPr>
      <w:spacing w:before="156" w:after="156"/>
    </w:pPr>
    <w:rPr>
      <w:rFonts w:ascii="Times New Roman" w:eastAsia="宋体"/>
      <w:color w:val="000000"/>
    </w:rPr>
  </w:style>
  <w:style w:type="paragraph" w:customStyle="1" w:styleId="150">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1">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2">
    <w:name w:val="附录表标号"/>
    <w:basedOn w:val="1"/>
    <w:next w:val="26"/>
    <w:autoRedefine/>
    <w:qFormat/>
    <w:uiPriority w:val="0"/>
    <w:pPr>
      <w:numPr>
        <w:ilvl w:val="0"/>
        <w:numId w:val="6"/>
      </w:numPr>
      <w:spacing w:line="14" w:lineRule="exact"/>
      <w:jc w:val="center"/>
      <w:outlineLvl w:val="0"/>
    </w:pPr>
    <w:rPr>
      <w:color w:val="FFFFFF"/>
    </w:rPr>
  </w:style>
  <w:style w:type="paragraph" w:customStyle="1" w:styleId="153">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4">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5">
    <w:name w:val="条文脚注"/>
    <w:basedOn w:val="27"/>
    <w:autoRedefine/>
    <w:qFormat/>
    <w:uiPriority w:val="0"/>
    <w:pPr>
      <w:numPr>
        <w:numId w:val="0"/>
      </w:numPr>
      <w:jc w:val="both"/>
    </w:pPr>
  </w:style>
  <w:style w:type="paragraph" w:customStyle="1" w:styleId="156">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57">
    <w:name w:val="终结线"/>
    <w:basedOn w:val="1"/>
    <w:autoRedefine/>
    <w:qFormat/>
    <w:uiPriority w:val="0"/>
    <w:pPr>
      <w:framePr w:hSpace="181" w:vSpace="181" w:wrap="around" w:vAnchor="text" w:hAnchor="margin" w:xAlign="center" w:y="285"/>
    </w:pPr>
  </w:style>
  <w:style w:type="paragraph" w:customStyle="1" w:styleId="158">
    <w:name w:val="前言、引言标题"/>
    <w:next w:val="26"/>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59">
    <w:name w:val="图的脚注"/>
    <w:next w:val="26"/>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0">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1">
    <w:name w:val="标题 6 字符"/>
    <w:link w:val="3"/>
    <w:autoRedefine/>
    <w:semiHidden/>
    <w:qFormat/>
    <w:uiPriority w:val="0"/>
    <w:rPr>
      <w:rFonts w:ascii="等线 Light" w:hAnsi="等线 Light" w:eastAsia="等线 Light" w:cs="Times New Roman"/>
      <w:b/>
      <w:bCs/>
      <w:kern w:val="2"/>
      <w:sz w:val="24"/>
      <w:szCs w:val="24"/>
    </w:rPr>
  </w:style>
  <w:style w:type="character" w:customStyle="1" w:styleId="162">
    <w:name w:val="页脚 字符"/>
    <w:link w:val="20"/>
    <w:autoRedefine/>
    <w:qFormat/>
    <w:uiPriority w:val="99"/>
    <w:rPr>
      <w:kern w:val="2"/>
      <w:sz w:val="18"/>
      <w:szCs w:val="18"/>
    </w:rPr>
  </w:style>
  <w:style w:type="paragraph" w:customStyle="1" w:styleId="163">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4">
    <w:name w:val="正文文本缩进 2 字符"/>
    <w:basedOn w:val="39"/>
    <w:link w:val="17"/>
    <w:autoRedefine/>
    <w:qFormat/>
    <w:uiPriority w:val="99"/>
    <w:rPr>
      <w:rFonts w:eastAsia="PMingLiU"/>
      <w:kern w:val="2"/>
      <w:sz w:val="24"/>
      <w:szCs w:val="24"/>
      <w:lang w:eastAsia="zh-TW"/>
    </w:rPr>
  </w:style>
  <w:style w:type="paragraph" w:customStyle="1" w:styleId="165">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6">
    <w:name w:val="标准文件_术语条一"/>
    <w:basedOn w:val="167"/>
    <w:next w:val="165"/>
    <w:autoRedefine/>
    <w:qFormat/>
    <w:uiPriority w:val="0"/>
  </w:style>
  <w:style w:type="paragraph" w:customStyle="1" w:styleId="167">
    <w:name w:val="标准文件_一级无标题"/>
    <w:basedOn w:val="168"/>
    <w:autoRedefine/>
    <w:qFormat/>
    <w:uiPriority w:val="0"/>
    <w:pPr>
      <w:spacing w:before="0" w:beforeLines="0" w:after="0" w:afterLines="0"/>
      <w:outlineLvl w:val="9"/>
    </w:pPr>
    <w:rPr>
      <w:rFonts w:ascii="宋体" w:eastAsia="宋体"/>
    </w:rPr>
  </w:style>
  <w:style w:type="paragraph" w:customStyle="1" w:styleId="168">
    <w:name w:val="标准文件_一级条标题"/>
    <w:basedOn w:val="169"/>
    <w:next w:val="165"/>
    <w:autoRedefine/>
    <w:qFormat/>
    <w:uiPriority w:val="0"/>
    <w:pPr>
      <w:numPr>
        <w:ilvl w:val="2"/>
      </w:numPr>
      <w:spacing w:before="50" w:beforeLines="50" w:after="50" w:afterLines="50"/>
      <w:outlineLvl w:val="1"/>
    </w:pPr>
  </w:style>
  <w:style w:type="paragraph" w:customStyle="1" w:styleId="169">
    <w:name w:val="标准文件_章标题"/>
    <w:next w:val="165"/>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02_GZBD标准模板</Template>
  <Pages>6</Pages>
  <Words>2283</Words>
  <Characters>2339</Characters>
  <Lines>17</Lines>
  <Paragraphs>4</Paragraphs>
  <TotalTime>1</TotalTime>
  <ScaleCrop>false</ScaleCrop>
  <LinksUpToDate>false</LinksUpToDate>
  <CharactersWithSpaces>2355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2026-05-19T07:25:54Z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FD17A8896B544FAE814714B50938E6E0_13</vt:lpwstr>
  </property>
  <property fmtid="{D5CDD505-2E9C-101B-9397-08002B2CF9AE}" pid="4" name="KSOTemplateDocerSaveRecord">
    <vt:lpwstr>eyJoZGlkIjoiNWZkMDYxMGQzMTg2NTA1MTg5NjFlNzE0OGNhYjllMDQiLCJ1c2VySWQiOiIxMDM2OTMwMDA2In0=</vt:lpwstr>
  </property>
</Properties>
</file>