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FCC6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50A558">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1E3EB72">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 xml:space="preserve">11.120.10 </w:t>
            </w:r>
            <w:r>
              <w:rPr>
                <w:rFonts w:ascii="黑体" w:hAnsi="黑体" w:eastAsia="黑体"/>
                <w:sz w:val="21"/>
                <w:szCs w:val="21"/>
              </w:rPr>
              <w:fldChar w:fldCharType="end"/>
            </w:r>
            <w:bookmarkEnd w:id="0"/>
          </w:p>
        </w:tc>
      </w:tr>
      <w:tr w14:paraId="3F6F8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F0D80E3">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E374DF1">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74167FF2">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GXICMMA</w:t>
                  </w:r>
                  <w:r>
                    <w:fldChar w:fldCharType="end"/>
                  </w:r>
                  <w:bookmarkEnd w:id="1"/>
                </w:p>
              </w:tc>
            </w:tr>
          </w:tbl>
          <w:p w14:paraId="4AB5E719">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C10</w:t>
            </w:r>
            <w:r>
              <w:rPr>
                <w:rFonts w:ascii="黑体" w:hAnsi="黑体" w:eastAsia="黑体"/>
                <w:sz w:val="21"/>
                <w:szCs w:val="21"/>
              </w:rPr>
              <w:fldChar w:fldCharType="end"/>
            </w:r>
            <w:bookmarkEnd w:id="2"/>
          </w:p>
        </w:tc>
      </w:tr>
    </w:tbl>
    <w:p w14:paraId="35A8D4F3">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ascii="黑体" w:eastAsia="黑体"/>
          <w:b w:val="0"/>
          <w:w w:val="100"/>
          <w:sz w:val="48"/>
        </w:rPr>
        <w:t>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28FE3469">
      <w:pPr>
        <w:pStyle w:val="195"/>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GXICMMA</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3B2D7A95">
      <w:pPr>
        <w:pStyle w:val="196"/>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AC4892F">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40CFAEDC">
      <w:pPr>
        <w:pStyle w:val="50"/>
        <w:framePr w:w="9639" w:h="6976" w:hRule="exact" w:hSpace="0" w:vSpace="0" w:wrap="around" w:hAnchor="page" w:y="6408"/>
        <w:jc w:val="center"/>
        <w:rPr>
          <w:rFonts w:hint="eastAsia" w:ascii="黑体" w:hAnsi="黑体" w:eastAsia="黑体"/>
          <w:b w:val="0"/>
          <w:bCs w:val="0"/>
          <w:w w:val="100"/>
        </w:rPr>
      </w:pPr>
    </w:p>
    <w:p w14:paraId="7A73FF24">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牡蛎中氨基酸的快速测定 近红外光谱法</w:t>
      </w:r>
      <w:r>
        <w:fldChar w:fldCharType="end"/>
      </w:r>
      <w:bookmarkEnd w:id="9"/>
    </w:p>
    <w:p w14:paraId="4F100462">
      <w:pPr>
        <w:framePr w:w="9639" w:h="6974" w:hRule="exact" w:wrap="around" w:vAnchor="page" w:hAnchor="page" w:x="1419" w:y="6408" w:anchorLock="1"/>
        <w:ind w:left="-1418"/>
      </w:pPr>
    </w:p>
    <w:p w14:paraId="34850AA1">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Rapid determination of amino acids in Crassostreae Concha</w:t>
      </w:r>
      <w:r>
        <w:rPr>
          <w:rFonts w:hint="eastAsia" w:eastAsia="黑体"/>
          <w:szCs w:val="28"/>
          <w:lang w:val="en-US" w:eastAsia="zh-CN"/>
        </w:rPr>
        <w:t xml:space="preserve"> - </w:t>
      </w:r>
      <w:r>
        <w:rPr>
          <w:rFonts w:hint="eastAsia" w:eastAsia="黑体"/>
          <w:szCs w:val="28"/>
        </w:rPr>
        <w:t>Near infrared spectroscopy</w:t>
      </w:r>
      <w:r>
        <w:rPr>
          <w:rFonts w:eastAsia="黑体"/>
          <w:szCs w:val="28"/>
        </w:rPr>
        <w:fldChar w:fldCharType="end"/>
      </w:r>
      <w:bookmarkEnd w:id="10"/>
    </w:p>
    <w:p w14:paraId="6EF592F5">
      <w:pPr>
        <w:framePr w:w="9639" w:h="6974" w:hRule="exact" w:wrap="around" w:vAnchor="page" w:hAnchor="page" w:x="1419" w:y="6408" w:anchorLock="1"/>
        <w:spacing w:line="760" w:lineRule="exact"/>
        <w:ind w:left="-1418"/>
      </w:pPr>
    </w:p>
    <w:p w14:paraId="5E13C45A">
      <w:pPr>
        <w:pStyle w:val="125"/>
        <w:framePr w:w="9639" w:h="6974" w:hRule="exact" w:wrap="around" w:vAnchor="page" w:hAnchor="page" w:x="1419" w:y="6408" w:anchorLock="1"/>
        <w:textAlignment w:val="bottom"/>
        <w:rPr>
          <w:rFonts w:eastAsia="黑体"/>
          <w:szCs w:val="28"/>
        </w:rPr>
      </w:pPr>
    </w:p>
    <w:p w14:paraId="37609A92">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10169FC5">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4EFBFC0B">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340103AB">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5F69083">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F12BFD0">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广西中药材产业协会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0D5580AF">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24365F44">
      <w:pPr>
        <w:pStyle w:val="89"/>
        <w:spacing w:before="900" w:after="360"/>
      </w:pPr>
      <w:bookmarkStart w:id="21" w:name="BookMark2"/>
      <w:r>
        <w:rPr>
          <w:rFonts w:hint="eastAsia"/>
          <w:spacing w:val="320"/>
        </w:rPr>
        <w:t>前</w:t>
      </w:r>
      <w:r>
        <w:rPr>
          <w:rFonts w:hint="eastAsia"/>
        </w:rPr>
        <w:t>言</w:t>
      </w:r>
    </w:p>
    <w:p w14:paraId="54F17531">
      <w:pPr>
        <w:pStyle w:val="56"/>
        <w:ind w:firstLine="420"/>
      </w:pPr>
      <w:r>
        <w:rPr>
          <w:rFonts w:hint="eastAsia"/>
        </w:rPr>
        <w:t>本文件按照GB/T 1.1</w:t>
      </w:r>
      <w:r>
        <w:rPr>
          <w:rFonts w:hint="eastAsia"/>
          <w:lang w:val="en-US" w:eastAsia="zh-CN"/>
        </w:rPr>
        <w:t>-</w:t>
      </w:r>
      <w:r>
        <w:rPr>
          <w:rFonts w:hint="eastAsia"/>
        </w:rPr>
        <w:t>2020《标准化工作导则  第1部分：标准化文件的结构和起草规则》的规定起草。</w:t>
      </w:r>
    </w:p>
    <w:p w14:paraId="4E29A933">
      <w:pPr>
        <w:pStyle w:val="56"/>
        <w:ind w:firstLine="420"/>
        <w:rPr>
          <w:szCs w:val="21"/>
          <w:highlight w:val="none"/>
        </w:rPr>
      </w:pPr>
      <w:r>
        <w:rPr>
          <w:rFonts w:hint="eastAsia" w:hAnsi="宋体" w:cs="宋体"/>
          <w:szCs w:val="21"/>
          <w:highlight w:val="none"/>
        </w:rPr>
        <w:t>请注意本文件的某些内容可能涉及专利。本文件的发布机构不承担识别专利的责任。</w:t>
      </w:r>
    </w:p>
    <w:p w14:paraId="2F4CDF8C">
      <w:pPr>
        <w:pStyle w:val="56"/>
        <w:ind w:firstLine="420"/>
        <w:rPr>
          <w:highlight w:val="none"/>
        </w:rPr>
      </w:pPr>
      <w:r>
        <w:rPr>
          <w:rFonts w:hint="eastAsia"/>
          <w:highlight w:val="none"/>
        </w:rPr>
        <w:t>本文件由</w:t>
      </w:r>
      <w:r>
        <w:rPr>
          <w:rFonts w:hint="eastAsia"/>
          <w:color w:val="000000"/>
          <w:highlight w:val="none"/>
        </w:rPr>
        <w:t>广西中医药大学</w:t>
      </w:r>
      <w:r>
        <w:rPr>
          <w:rFonts w:hint="eastAsia"/>
          <w:highlight w:val="none"/>
        </w:rPr>
        <w:t>提出及宣贯。</w:t>
      </w:r>
    </w:p>
    <w:p w14:paraId="3328C56B">
      <w:pPr>
        <w:pStyle w:val="56"/>
        <w:ind w:firstLine="420"/>
        <w:rPr>
          <w:highlight w:val="none"/>
        </w:rPr>
      </w:pPr>
      <w:r>
        <w:rPr>
          <w:rFonts w:hint="eastAsia"/>
          <w:highlight w:val="none"/>
        </w:rPr>
        <w:t>本文件由广西中药材产业协会归口。</w:t>
      </w:r>
    </w:p>
    <w:p w14:paraId="3E2A5F41">
      <w:pPr>
        <w:pStyle w:val="56"/>
        <w:ind w:firstLine="420"/>
        <w:rPr>
          <w:highlight w:val="none"/>
        </w:rPr>
      </w:pPr>
      <w:r>
        <w:rPr>
          <w:rFonts w:hint="eastAsia"/>
          <w:highlight w:val="none"/>
        </w:rPr>
        <w:t>本文件起草单位：</w:t>
      </w:r>
      <w:r>
        <w:rPr>
          <w:rFonts w:hint="eastAsia"/>
          <w:color w:val="000000"/>
          <w:highlight w:val="none"/>
        </w:rPr>
        <w:t>广西中医药大学、南开大学、广西壮族自治区药品检验研究院、广西大海阳光药业有限公司</w:t>
      </w:r>
      <w:r>
        <w:rPr>
          <w:rFonts w:hint="eastAsia"/>
          <w:color w:val="000000"/>
          <w:highlight w:val="none"/>
          <w:lang w:eastAsia="zh-CN"/>
        </w:rPr>
        <w:t>、广西一方天江制药有限公司</w:t>
      </w:r>
      <w:r>
        <w:rPr>
          <w:rFonts w:hint="eastAsia"/>
          <w:color w:val="000000"/>
          <w:highlight w:val="none"/>
        </w:rPr>
        <w:t>。</w:t>
      </w:r>
    </w:p>
    <w:p w14:paraId="7A952217">
      <w:pPr>
        <w:pStyle w:val="56"/>
        <w:ind w:firstLine="420"/>
      </w:pPr>
      <w:r>
        <w:rPr>
          <w:rFonts w:hint="eastAsia"/>
          <w:highlight w:val="none"/>
        </w:rPr>
        <w:t>本文件主要起草人：侯小涛</w:t>
      </w:r>
      <w:r>
        <w:rPr>
          <w:rFonts w:hint="eastAsia"/>
          <w:highlight w:val="none"/>
          <w:lang w:eastAsia="zh-CN"/>
        </w:rPr>
        <w:t>、</w:t>
      </w:r>
      <w:r>
        <w:rPr>
          <w:rFonts w:hint="eastAsia"/>
          <w:highlight w:val="none"/>
        </w:rPr>
        <w:t>邓家刚</w:t>
      </w:r>
      <w:r>
        <w:rPr>
          <w:rFonts w:hint="eastAsia"/>
          <w:highlight w:val="none"/>
          <w:lang w:eastAsia="zh-CN"/>
        </w:rPr>
        <w:t>、</w:t>
      </w:r>
      <w:r>
        <w:rPr>
          <w:rFonts w:hint="eastAsia"/>
          <w:highlight w:val="none"/>
        </w:rPr>
        <w:t>郝二伟</w:t>
      </w:r>
      <w:r>
        <w:rPr>
          <w:rFonts w:hint="eastAsia"/>
          <w:highlight w:val="none"/>
          <w:lang w:eastAsia="zh-CN"/>
        </w:rPr>
        <w:t>、</w:t>
      </w:r>
      <w:r>
        <w:rPr>
          <w:rFonts w:hint="eastAsia"/>
          <w:highlight w:val="none"/>
        </w:rPr>
        <w:t>杜正彩</w:t>
      </w:r>
      <w:r>
        <w:rPr>
          <w:rFonts w:hint="eastAsia"/>
          <w:highlight w:val="none"/>
          <w:lang w:eastAsia="zh-CN"/>
        </w:rPr>
        <w:t>、</w:t>
      </w:r>
      <w:r>
        <w:rPr>
          <w:rFonts w:hint="eastAsia"/>
          <w:highlight w:val="none"/>
        </w:rPr>
        <w:t>夏中尚</w:t>
      </w:r>
      <w:r>
        <w:rPr>
          <w:rFonts w:hint="eastAsia"/>
          <w:highlight w:val="none"/>
          <w:lang w:eastAsia="zh-CN"/>
        </w:rPr>
        <w:t>、</w:t>
      </w:r>
      <w:r>
        <w:rPr>
          <w:rFonts w:hint="eastAsia"/>
          <w:highlight w:val="none"/>
        </w:rPr>
        <w:t>林敬开</w:t>
      </w:r>
      <w:r>
        <w:rPr>
          <w:rFonts w:hint="eastAsia"/>
          <w:highlight w:val="none"/>
          <w:lang w:eastAsia="zh-CN"/>
        </w:rPr>
        <w:t>、</w:t>
      </w:r>
      <w:r>
        <w:rPr>
          <w:rFonts w:hint="eastAsia"/>
          <w:highlight w:val="none"/>
        </w:rPr>
        <w:t>白钢</w:t>
      </w:r>
      <w:r>
        <w:rPr>
          <w:rFonts w:hint="eastAsia"/>
          <w:highlight w:val="none"/>
          <w:lang w:eastAsia="zh-CN"/>
        </w:rPr>
        <w:t>、</w:t>
      </w:r>
      <w:r>
        <w:rPr>
          <w:rFonts w:hint="eastAsia"/>
          <w:highlight w:val="none"/>
        </w:rPr>
        <w:t>侯媛媛</w:t>
      </w:r>
      <w:r>
        <w:rPr>
          <w:rFonts w:hint="eastAsia"/>
          <w:highlight w:val="none"/>
          <w:lang w:eastAsia="zh-CN"/>
        </w:rPr>
        <w:t>、</w:t>
      </w:r>
      <w:r>
        <w:rPr>
          <w:rFonts w:hint="eastAsia"/>
          <w:highlight w:val="none"/>
        </w:rPr>
        <w:t>高洁</w:t>
      </w:r>
      <w:r>
        <w:rPr>
          <w:rFonts w:hint="eastAsia"/>
          <w:highlight w:val="none"/>
          <w:lang w:eastAsia="zh-CN"/>
        </w:rPr>
        <w:t>、</w:t>
      </w:r>
      <w:r>
        <w:rPr>
          <w:rFonts w:hint="eastAsia"/>
          <w:highlight w:val="none"/>
        </w:rPr>
        <w:t>和顺利</w:t>
      </w:r>
      <w:r>
        <w:rPr>
          <w:rFonts w:hint="eastAsia"/>
          <w:highlight w:val="none"/>
          <w:lang w:eastAsia="zh-CN"/>
        </w:rPr>
        <w:t>、</w:t>
      </w:r>
      <w:r>
        <w:rPr>
          <w:rFonts w:hint="eastAsia"/>
          <w:highlight w:val="none"/>
        </w:rPr>
        <w:t>黄大权</w:t>
      </w:r>
      <w:r>
        <w:rPr>
          <w:rFonts w:hint="eastAsia"/>
          <w:highlight w:val="none"/>
          <w:lang w:eastAsia="zh-CN"/>
        </w:rPr>
        <w:t>、</w:t>
      </w:r>
      <w:r>
        <w:rPr>
          <w:rFonts w:hint="eastAsia"/>
          <w:highlight w:val="none"/>
        </w:rPr>
        <w:t>黎欣</w:t>
      </w:r>
      <w:r>
        <w:rPr>
          <w:rFonts w:hint="eastAsia"/>
          <w:highlight w:val="none"/>
          <w:lang w:eastAsia="zh-CN"/>
        </w:rPr>
        <w:t>、杨晓蓓、龚良</w:t>
      </w:r>
      <w:r>
        <w:rPr>
          <w:rFonts w:hint="eastAsia"/>
          <w:highlight w:val="none"/>
        </w:rPr>
        <w:t>。</w:t>
      </w:r>
    </w:p>
    <w:p w14:paraId="4649D89F">
      <w:pPr>
        <w:pStyle w:val="56"/>
        <w:ind w:firstLine="420"/>
      </w:pPr>
    </w:p>
    <w:p w14:paraId="1A0826CD">
      <w:pPr>
        <w:pStyle w:val="56"/>
        <w:ind w:firstLine="420"/>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p>
    <w:bookmarkEnd w:id="21"/>
    <w:p w14:paraId="45C5548C">
      <w:pPr>
        <w:spacing w:line="20" w:lineRule="exact"/>
        <w:jc w:val="center"/>
        <w:rPr>
          <w:rFonts w:hint="eastAsia" w:ascii="黑体" w:hAnsi="黑体" w:eastAsia="黑体"/>
          <w:sz w:val="32"/>
          <w:szCs w:val="32"/>
        </w:rPr>
      </w:pPr>
      <w:bookmarkStart w:id="22" w:name="BookMark4"/>
    </w:p>
    <w:p w14:paraId="3E49630A">
      <w:pPr>
        <w:spacing w:line="20" w:lineRule="exact"/>
        <w:jc w:val="center"/>
        <w:rPr>
          <w:rFonts w:hint="eastAsia" w:ascii="黑体" w:hAnsi="黑体" w:eastAsia="黑体"/>
          <w:sz w:val="32"/>
          <w:szCs w:val="32"/>
        </w:rPr>
      </w:pPr>
    </w:p>
    <w:sdt>
      <w:sdtPr>
        <w:tag w:val="NEW_STAND_NAME"/>
        <w:id w:val="595910757"/>
        <w:lock w:val="sdtLocked"/>
        <w:placeholder>
          <w:docPart w:val="404CF262B8544B9D9CEF24C401A5787D"/>
        </w:placeholder>
      </w:sdtPr>
      <w:sdtContent>
        <w:p w14:paraId="20694ADB">
          <w:pPr>
            <w:pStyle w:val="177"/>
            <w:spacing w:before="2" w:beforeLines="1" w:after="528" w:afterLines="220"/>
            <w:rPr>
              <w:rFonts w:hint="eastAsia"/>
            </w:rPr>
          </w:pPr>
          <w:bookmarkStart w:id="23" w:name="NEW_STAND_NAME"/>
          <w:r>
            <w:rPr>
              <w:rFonts w:hint="eastAsia"/>
            </w:rPr>
            <w:t>牡蛎中氨基酸的快速测定 近红外光谱法</w:t>
          </w:r>
        </w:p>
      </w:sdtContent>
    </w:sdt>
    <w:bookmarkEnd w:id="23"/>
    <w:p w14:paraId="02696D55">
      <w:pPr>
        <w:pStyle w:val="104"/>
        <w:spacing w:before="240" w:after="240"/>
        <w:rPr>
          <w:rFonts w:ascii="Times New Roman"/>
          <w:color w:val="auto"/>
          <w:szCs w:val="21"/>
          <w:highlight w:val="none"/>
        </w:rPr>
      </w:pPr>
      <w:bookmarkStart w:id="24" w:name="_Toc26986530"/>
      <w:bookmarkStart w:id="25" w:name="_Toc24884211"/>
      <w:bookmarkStart w:id="26" w:name="_Toc97192964"/>
      <w:bookmarkStart w:id="27" w:name="_Toc24884218"/>
      <w:bookmarkStart w:id="28" w:name="_Toc26986771"/>
      <w:bookmarkStart w:id="29" w:name="_Toc17233333"/>
      <w:bookmarkStart w:id="30" w:name="_Toc17233325"/>
      <w:bookmarkStart w:id="31" w:name="_Toc26648465"/>
      <w:bookmarkStart w:id="32" w:name="_Toc26718930"/>
      <w:r>
        <w:rPr>
          <w:rFonts w:ascii="Times New Roman"/>
          <w:color w:val="auto"/>
          <w:szCs w:val="21"/>
          <w:highlight w:val="none"/>
        </w:rPr>
        <w:t>范围</w:t>
      </w:r>
      <w:bookmarkEnd w:id="24"/>
      <w:bookmarkEnd w:id="25"/>
      <w:bookmarkEnd w:id="26"/>
      <w:bookmarkEnd w:id="27"/>
      <w:bookmarkEnd w:id="28"/>
      <w:bookmarkEnd w:id="29"/>
      <w:bookmarkEnd w:id="30"/>
      <w:bookmarkEnd w:id="31"/>
      <w:bookmarkEnd w:id="32"/>
    </w:p>
    <w:p w14:paraId="21940B15">
      <w:pPr>
        <w:pStyle w:val="56"/>
        <w:ind w:firstLine="420"/>
        <w:rPr>
          <w:rFonts w:ascii="Times New Roman"/>
          <w:color w:val="auto"/>
          <w:szCs w:val="21"/>
          <w:highlight w:val="none"/>
        </w:rPr>
      </w:pPr>
      <w:bookmarkStart w:id="33" w:name="_Toc17233326"/>
      <w:bookmarkStart w:id="34" w:name="_Toc17233334"/>
      <w:bookmarkStart w:id="35" w:name="_Toc26648466"/>
      <w:bookmarkStart w:id="36" w:name="_Toc24884219"/>
      <w:bookmarkStart w:id="37" w:name="_Toc24884212"/>
      <w:r>
        <w:rPr>
          <w:rFonts w:hint="eastAsia" w:ascii="Times New Roman"/>
          <w:color w:val="auto"/>
          <w:szCs w:val="21"/>
          <w:highlight w:val="none"/>
          <w:lang w:val="en-US" w:eastAsia="zh-CN"/>
        </w:rPr>
        <w:t>本文件界定了牡蛎中氨基酸的近红外光谱快速测定相关的术语和定义，规定了牡蛎中氨基酸的近红外光谱快速测定方法的要求、仪器设备、测定步骤、结果处理与表示、异常样品的统计与识别、准确性和精密度以及测试报告</w:t>
      </w:r>
      <w:r>
        <w:rPr>
          <w:rFonts w:ascii="Times New Roman"/>
          <w:color w:val="auto"/>
          <w:szCs w:val="21"/>
          <w:highlight w:val="none"/>
        </w:rPr>
        <w:t>。</w:t>
      </w:r>
    </w:p>
    <w:p w14:paraId="4779D6C2">
      <w:pPr>
        <w:pStyle w:val="56"/>
        <w:ind w:firstLine="420"/>
        <w:rPr>
          <w:rFonts w:ascii="Times New Roman"/>
          <w:color w:val="auto"/>
          <w:szCs w:val="21"/>
          <w:highlight w:val="none"/>
        </w:rPr>
      </w:pPr>
      <w:r>
        <w:rPr>
          <w:rFonts w:ascii="Times New Roman"/>
          <w:color w:val="auto"/>
          <w:szCs w:val="21"/>
          <w:highlight w:val="none"/>
        </w:rPr>
        <w:t>本文件适用于</w:t>
      </w:r>
      <w:r>
        <w:rPr>
          <w:rFonts w:hint="eastAsia"/>
          <w:lang w:val="en-US" w:eastAsia="zh-CN"/>
        </w:rPr>
        <w:t>近江牡蛎、长牡蛎、大连湾牡蛎（壳）</w:t>
      </w:r>
      <w:r>
        <w:rPr>
          <w:rFonts w:hint="eastAsia"/>
        </w:rPr>
        <w:t>中氨基酸含量的快速测定，本</w:t>
      </w:r>
      <w:r>
        <w:rPr>
          <w:rFonts w:hint="eastAsia" w:ascii="宋体" w:hAnsi="宋体" w:eastAsia="宋体" w:cs="宋体"/>
          <w:lang w:val="en-US" w:eastAsia="zh-CN"/>
        </w:rPr>
        <w:t>标准</w:t>
      </w:r>
      <w:r>
        <w:rPr>
          <w:rFonts w:hint="eastAsia"/>
        </w:rPr>
        <w:t>不适用于仲裁检验。</w:t>
      </w:r>
    </w:p>
    <w:p w14:paraId="2830AED0">
      <w:pPr>
        <w:pStyle w:val="104"/>
        <w:spacing w:before="240" w:after="240"/>
        <w:rPr>
          <w:rFonts w:ascii="Times New Roman"/>
          <w:color w:val="auto"/>
          <w:szCs w:val="21"/>
          <w:highlight w:val="none"/>
        </w:rPr>
      </w:pPr>
      <w:bookmarkStart w:id="38" w:name="_Toc26718931"/>
      <w:bookmarkStart w:id="39" w:name="_Toc26986531"/>
      <w:bookmarkStart w:id="40" w:name="_Toc97192965"/>
      <w:bookmarkStart w:id="41" w:name="_Toc26986772"/>
      <w:r>
        <w:rPr>
          <w:rFonts w:ascii="Times New Roman"/>
          <w:color w:val="auto"/>
          <w:szCs w:val="21"/>
          <w:highlight w:val="none"/>
        </w:rPr>
        <w:t>规范性引用文件</w:t>
      </w:r>
      <w:bookmarkEnd w:id="33"/>
      <w:bookmarkEnd w:id="34"/>
      <w:bookmarkEnd w:id="35"/>
      <w:bookmarkEnd w:id="36"/>
      <w:bookmarkEnd w:id="37"/>
      <w:bookmarkEnd w:id="38"/>
      <w:bookmarkEnd w:id="39"/>
      <w:bookmarkEnd w:id="40"/>
      <w:bookmarkEnd w:id="41"/>
    </w:p>
    <w:sdt>
      <w:sdtPr>
        <w:rPr>
          <w:rFonts w:ascii="Times New Roman"/>
          <w:color w:val="auto"/>
          <w:szCs w:val="21"/>
          <w:highlight w:val="none"/>
        </w:rPr>
        <w:id w:val="715848253"/>
        <w:placeholder>
          <w:docPart w:val="2F1F3D064B3342338B3D70584462115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ascii="Times New Roman"/>
          <w:color w:val="auto"/>
          <w:szCs w:val="21"/>
          <w:highlight w:val="none"/>
        </w:rPr>
      </w:sdtEndPr>
      <w:sdtContent>
        <w:p w14:paraId="6EAF2F56">
          <w:pPr>
            <w:pStyle w:val="56"/>
            <w:ind w:firstLine="420"/>
            <w:rPr>
              <w:rFonts w:ascii="Times New Roman"/>
              <w:color w:val="auto"/>
              <w:szCs w:val="21"/>
              <w:highlight w:val="none"/>
            </w:rPr>
          </w:pPr>
          <w:r>
            <w:rPr>
              <w:rFonts w:ascii="Times New Roman" w:hAnsi="Times New Roman" w:eastAsia="宋体" w:cs="Times New Roman"/>
              <w:color w:val="auto"/>
              <w:sz w:val="21"/>
              <w:szCs w:val="21"/>
              <w:highlight w:val="none"/>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A1D8AD3">
      <w:pPr>
        <w:keepNext w:val="0"/>
        <w:keepLines w:val="0"/>
        <w:pageBreakBefore w:val="0"/>
        <w:widowControl w:val="0"/>
        <w:tabs>
          <w:tab w:val="left" w:pos="0"/>
        </w:tabs>
        <w:kinsoku/>
        <w:wordWrap/>
        <w:overflowPunct/>
        <w:topLinePunct w:val="0"/>
        <w:autoSpaceDE/>
        <w:autoSpaceDN/>
        <w:bidi w:val="0"/>
        <w:adjustRightInd w:val="0"/>
        <w:snapToGrid/>
        <w:spacing w:line="240" w:lineRule="auto"/>
        <w:ind w:right="275" w:rightChars="131" w:firstLine="420" w:firstLineChars="200"/>
        <w:textAlignment w:val="auto"/>
        <w:rPr>
          <w:rFonts w:hint="eastAsia" w:ascii="Times New Roman" w:hAnsi="Times New Roman" w:cs="Times New Roman"/>
          <w:color w:val="auto"/>
          <w:kern w:val="0"/>
          <w:sz w:val="21"/>
          <w:szCs w:val="21"/>
          <w:highlight w:val="none"/>
          <w:lang w:val="en-US" w:eastAsia="zh-CN" w:bidi="ar-SA"/>
        </w:rPr>
      </w:pPr>
      <w:r>
        <w:rPr>
          <w:rFonts w:hint="eastAsia" w:ascii="Times New Roman" w:hAnsi="Times New Roman" w:cs="Times New Roman"/>
          <w:color w:val="auto"/>
          <w:kern w:val="0"/>
          <w:sz w:val="21"/>
          <w:szCs w:val="21"/>
          <w:highlight w:val="none"/>
          <w:lang w:val="en-US" w:eastAsia="zh-CN" w:bidi="ar-SA"/>
        </w:rPr>
        <w:t>GB 5009.124-2016 食品安全国家标准 食品中氨基酸的测定</w:t>
      </w:r>
    </w:p>
    <w:p w14:paraId="08A35B86">
      <w:pPr>
        <w:keepNext w:val="0"/>
        <w:keepLines w:val="0"/>
        <w:pageBreakBefore w:val="0"/>
        <w:widowControl w:val="0"/>
        <w:tabs>
          <w:tab w:val="left" w:pos="0"/>
        </w:tabs>
        <w:kinsoku/>
        <w:wordWrap/>
        <w:overflowPunct/>
        <w:topLinePunct w:val="0"/>
        <w:autoSpaceDE/>
        <w:autoSpaceDN/>
        <w:bidi w:val="0"/>
        <w:adjustRightInd w:val="0"/>
        <w:snapToGrid/>
        <w:spacing w:line="240" w:lineRule="auto"/>
        <w:ind w:right="275" w:rightChars="131" w:firstLine="420" w:firstLineChars="200"/>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kern w:val="0"/>
          <w:sz w:val="21"/>
          <w:szCs w:val="21"/>
          <w:highlight w:val="none"/>
          <w:lang w:val="en-US" w:eastAsia="zh-CN" w:bidi="ar-SA"/>
        </w:rPr>
        <w:t>GB/T 29858-2013 分子光谱多元校正定量分析通则</w:t>
      </w:r>
    </w:p>
    <w:p w14:paraId="1CEB4BD7">
      <w:pPr>
        <w:pStyle w:val="104"/>
        <w:spacing w:before="240" w:after="240"/>
        <w:rPr>
          <w:rFonts w:ascii="Times New Roman"/>
          <w:color w:val="auto"/>
          <w:szCs w:val="21"/>
          <w:highlight w:val="none"/>
        </w:rPr>
      </w:pPr>
      <w:bookmarkStart w:id="42" w:name="_Toc97192966"/>
      <w:r>
        <w:rPr>
          <w:rFonts w:ascii="Times New Roman"/>
          <w:color w:val="auto"/>
          <w:szCs w:val="21"/>
          <w:highlight w:val="none"/>
        </w:rPr>
        <w:t>术语和定义</w:t>
      </w:r>
      <w:bookmarkEnd w:id="42"/>
    </w:p>
    <w:sdt>
      <w:sdtPr>
        <w:rPr>
          <w:rFonts w:ascii="Times New Roman"/>
          <w:color w:val="auto"/>
          <w:szCs w:val="21"/>
          <w:highlight w:val="none"/>
        </w:rPr>
        <w:id w:val="-1909835108"/>
        <w:placeholder>
          <w:docPart w:val="18CBAFCBB6AD4AD0B0E3BA282EB171CC"/>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ascii="Times New Roman"/>
          <w:color w:val="auto"/>
          <w:szCs w:val="21"/>
          <w:highlight w:val="none"/>
        </w:rPr>
      </w:sdtEndPr>
      <w:sdtContent>
        <w:p w14:paraId="35CDAEDA">
          <w:pPr>
            <w:pStyle w:val="56"/>
          </w:pPr>
          <w:bookmarkStart w:id="43" w:name="_Toc26986532"/>
          <w:bookmarkEnd w:id="43"/>
          <w:r>
            <w:rPr>
              <w:rFonts w:hint="eastAsia" w:ascii="Times New Roman"/>
              <w:color w:val="auto"/>
              <w:szCs w:val="21"/>
              <w:highlight w:val="none"/>
            </w:rPr>
            <w:t>GB/T 29858</w:t>
          </w:r>
          <w:r>
            <w:rPr>
              <w:rFonts w:hint="eastAsia" w:ascii="Times New Roman"/>
              <w:color w:val="auto"/>
              <w:szCs w:val="21"/>
              <w:highlight w:val="none"/>
              <w:lang w:val="en-US" w:eastAsia="zh-CN"/>
            </w:rPr>
            <w:t>-</w:t>
          </w:r>
          <w:r>
            <w:rPr>
              <w:rFonts w:hint="eastAsia" w:ascii="Times New Roman"/>
              <w:color w:val="auto"/>
              <w:szCs w:val="21"/>
              <w:highlight w:val="none"/>
            </w:rPr>
            <w:t>2013</w:t>
          </w:r>
          <w:r>
            <w:rPr>
              <w:rFonts w:hint="eastAsia" w:ascii="Times New Roman"/>
              <w:color w:val="auto"/>
              <w:szCs w:val="21"/>
              <w:highlight w:val="none"/>
              <w:lang w:val="en-US" w:eastAsia="zh-CN"/>
            </w:rPr>
            <w:t xml:space="preserve"> </w:t>
          </w:r>
          <w:r>
            <w:rPr>
              <w:rFonts w:ascii="Times New Roman" w:hAnsi="Times New Roman" w:eastAsia="宋体" w:cs="Times New Roman"/>
              <w:color w:val="auto"/>
              <w:sz w:val="21"/>
              <w:szCs w:val="21"/>
              <w:highlight w:val="none"/>
              <w:lang w:val="en-US" w:eastAsia="zh-CN" w:bidi="ar-SA"/>
            </w:rPr>
            <w:t>界定的术语和定义适用于本文件。</w:t>
          </w:r>
        </w:p>
      </w:sdtContent>
    </w:sdt>
    <w:p w14:paraId="5463FCE0">
      <w:pPr>
        <w:pStyle w:val="104"/>
        <w:spacing w:before="240" w:after="240"/>
        <w:rPr>
          <w:rFonts w:hint="eastAsia" w:ascii="Times New Roman"/>
          <w:color w:val="auto"/>
          <w:szCs w:val="21"/>
          <w:highlight w:val="none"/>
        </w:rPr>
      </w:pPr>
      <w:r>
        <w:rPr>
          <w:rFonts w:hint="eastAsia" w:ascii="Times New Roman"/>
          <w:color w:val="auto"/>
          <w:szCs w:val="21"/>
          <w:highlight w:val="none"/>
          <w:lang w:val="en-US" w:eastAsia="zh-CN"/>
        </w:rPr>
        <w:t>原理</w:t>
      </w:r>
    </w:p>
    <w:p w14:paraId="3BD5ED6A">
      <w:pPr>
        <w:pStyle w:val="56"/>
        <w:keepNext w:val="0"/>
        <w:keepLines w:val="0"/>
        <w:pageBreakBefore w:val="0"/>
        <w:widowControl w:val="0"/>
        <w:kinsoku/>
        <w:wordWrap/>
        <w:overflowPunct/>
        <w:topLinePunct w:val="0"/>
        <w:autoSpaceDE w:val="0"/>
        <w:autoSpaceDN w:val="0"/>
        <w:bidi w:val="0"/>
        <w:adjustRightInd/>
        <w:snapToGrid/>
        <w:textAlignment w:val="auto"/>
        <w:rPr>
          <w:rFonts w:hint="eastAsia" w:ascii="Times New Roman"/>
          <w:color w:val="auto"/>
          <w:szCs w:val="21"/>
          <w:highlight w:val="none"/>
        </w:rPr>
      </w:pPr>
      <w:r>
        <w:rPr>
          <w:rFonts w:hint="default" w:ascii="Times New Roman" w:hAnsi="Times New Roman" w:cs="Times New Roman"/>
          <w:color w:val="auto"/>
          <w:szCs w:val="21"/>
          <w:highlight w:val="none"/>
        </w:rPr>
        <w:t>利用牡蛎样品中氨基酸</w:t>
      </w:r>
      <w:r>
        <w:rPr>
          <w:rFonts w:hint="eastAsia" w:ascii="Times New Roman" w:cs="Times New Roman"/>
          <w:color w:val="auto"/>
          <w:szCs w:val="21"/>
          <w:highlight w:val="none"/>
          <w:lang w:val="en-US" w:eastAsia="zh-CN"/>
        </w:rPr>
        <w:t>的</w:t>
      </w:r>
      <w:r>
        <w:rPr>
          <w:rFonts w:hint="default" w:ascii="Times New Roman" w:hAnsi="Times New Roman" w:cs="Times New Roman"/>
          <w:color w:val="auto"/>
          <w:szCs w:val="21"/>
          <w:highlight w:val="none"/>
        </w:rPr>
        <w:t>N-H、C-H、O-H等含氢基团化学键振动的倍频或合频特征吸收，采用化学计量学方法建立牡蛎近红外光谱与氨基酸含量之间的相关关系模型。通过待测样品的近红外光谱，应用校正模型计算得到样品中氨基酸的含量。</w:t>
      </w:r>
    </w:p>
    <w:bookmarkEnd w:id="22"/>
    <w:p w14:paraId="37C5F225">
      <w:pPr>
        <w:numPr>
          <w:ilvl w:val="1"/>
          <w:numId w:val="2"/>
        </w:numPr>
        <w:adjustRightInd/>
        <w:spacing w:before="240" w:beforeLines="100" w:after="240" w:afterLines="100" w:line="240" w:lineRule="auto"/>
        <w:ind w:left="0" w:firstLine="0"/>
        <w:jc w:val="both"/>
        <w:outlineLvl w:val="0"/>
        <w:rPr>
          <w:rFonts w:hint="eastAsia"/>
          <w:szCs w:val="24"/>
        </w:rPr>
      </w:pPr>
      <w:bookmarkStart w:id="44" w:name="BookMark6"/>
      <w:r>
        <w:rPr>
          <w:rFonts w:hint="eastAsia" w:ascii="Times New Roman" w:hAnsi="Times New Roman" w:eastAsia="黑体" w:cs="Times New Roman"/>
          <w:color w:val="auto"/>
          <w:sz w:val="21"/>
          <w:szCs w:val="21"/>
          <w:highlight w:val="none"/>
          <w:lang w:val="en-US" w:eastAsia="zh-CN" w:bidi="ar-SA"/>
        </w:rPr>
        <w:t>仪器设备</w:t>
      </w:r>
    </w:p>
    <w:p w14:paraId="7D726E60">
      <w:pPr>
        <w:pStyle w:val="223"/>
        <w:ind w:left="420" w:hanging="420" w:hangingChars="200"/>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近红外光谱仪</w:t>
      </w:r>
    </w:p>
    <w:p w14:paraId="722546F9">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r>
        <w:rPr>
          <w:rFonts w:hint="eastAsia"/>
          <w:szCs w:val="24"/>
        </w:rPr>
        <w:t>扫描范围应覆盖</w:t>
      </w:r>
      <w:r>
        <w:rPr>
          <w:rFonts w:hint="default" w:ascii="Times New Roman" w:hAnsi="Times New Roman" w:cs="Times New Roman"/>
          <w:szCs w:val="24"/>
        </w:rPr>
        <w:t>4000 cm</w:t>
      </w:r>
      <w:r>
        <w:rPr>
          <w:rFonts w:hint="default" w:ascii="Times New Roman" w:hAnsi="Times New Roman" w:eastAsia="宋体" w:cs="Times New Roman"/>
          <w:szCs w:val="24"/>
          <w:vertAlign w:val="superscript"/>
          <w:lang w:val="en-US" w:eastAsia="zh-CN"/>
        </w:rPr>
        <w:t>-1</w:t>
      </w:r>
      <w:r>
        <w:rPr>
          <w:rFonts w:hint="default" w:ascii="Times New Roman" w:hAnsi="Times New Roman" w:cs="Times New Roman"/>
          <w:szCs w:val="24"/>
        </w:rPr>
        <w:t xml:space="preserve"> ~ 10000 cm</w:t>
      </w:r>
      <w:r>
        <w:rPr>
          <w:rFonts w:hint="default" w:ascii="Times New Roman" w:hAnsi="Times New Roman" w:eastAsia="宋体" w:cs="Times New Roman"/>
          <w:szCs w:val="24"/>
          <w:vertAlign w:val="superscript"/>
          <w:lang w:val="en-US" w:eastAsia="zh-CN"/>
        </w:rPr>
        <w:t>-1</w:t>
      </w:r>
      <w:r>
        <w:rPr>
          <w:rFonts w:hint="default" w:ascii="Times New Roman" w:hAnsi="Times New Roman" w:eastAsia="宋体" w:cs="Times New Roman"/>
          <w:szCs w:val="24"/>
          <w:lang w:eastAsia="zh-CN"/>
        </w:rPr>
        <w:t>。</w:t>
      </w:r>
      <w:r>
        <w:rPr>
          <w:rFonts w:hint="default" w:ascii="Times New Roman" w:hAnsi="Times New Roman" w:cs="Times New Roman"/>
          <w:szCs w:val="24"/>
        </w:rPr>
        <w:t>仪器应配备漫反射采样附件。仪器附带软件应具有近红外光谱数据的采集、处理、建模功能。</w:t>
      </w:r>
    </w:p>
    <w:p w14:paraId="221FF2D4">
      <w:pPr>
        <w:pStyle w:val="223"/>
        <w:ind w:left="420" w:hanging="420" w:hangingChars="200"/>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eastAsia="黑体" w:cs="Times New Roman"/>
          <w:color w:val="auto"/>
          <w:sz w:val="21"/>
          <w:szCs w:val="21"/>
          <w:highlight w:val="none"/>
          <w:lang w:val="en-US" w:eastAsia="zh-CN" w:bidi="ar-SA"/>
        </w:rPr>
        <w:t>粉碎机</w:t>
      </w:r>
    </w:p>
    <w:p w14:paraId="2465D1F8">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r>
        <w:rPr>
          <w:rFonts w:hint="eastAsia"/>
          <w:szCs w:val="24"/>
        </w:rPr>
        <w:t>用于牡蛎粉末样品的制备。粉碎后样品过</w:t>
      </w:r>
      <w:r>
        <w:rPr>
          <w:rFonts w:hint="default" w:ascii="Times New Roman" w:hAnsi="Times New Roman" w:cs="Times New Roman"/>
          <w:szCs w:val="24"/>
        </w:rPr>
        <w:t>100</w:t>
      </w:r>
      <w:r>
        <w:rPr>
          <w:rFonts w:hint="eastAsia"/>
          <w:szCs w:val="24"/>
        </w:rPr>
        <w:t>目筛</w:t>
      </w:r>
      <w:r>
        <w:rPr>
          <w:rFonts w:hint="eastAsia"/>
          <w:szCs w:val="24"/>
          <w:lang w:eastAsia="zh-CN"/>
        </w:rPr>
        <w:t>（</w:t>
      </w:r>
      <w:r>
        <w:rPr>
          <w:rFonts w:hint="eastAsia"/>
          <w:szCs w:val="24"/>
          <w:lang w:val="en-US" w:eastAsia="zh-CN"/>
        </w:rPr>
        <w:t>孔径150</w:t>
      </w:r>
      <w:r>
        <w:rPr>
          <w:rFonts w:hint="default" w:ascii="Times New Roman" w:hAnsi="Times New Roman" w:cs="Times New Roman"/>
          <w:szCs w:val="24"/>
          <w:lang w:val="en-US" w:eastAsia="zh-CN"/>
        </w:rPr>
        <w:t>μ</w:t>
      </w:r>
      <w:r>
        <w:rPr>
          <w:rFonts w:hint="eastAsia"/>
          <w:szCs w:val="24"/>
          <w:lang w:val="en-US" w:eastAsia="zh-CN"/>
        </w:rPr>
        <w:t>m</w:t>
      </w:r>
      <w:r>
        <w:rPr>
          <w:rFonts w:hint="eastAsia"/>
          <w:szCs w:val="24"/>
          <w:lang w:eastAsia="zh-CN"/>
        </w:rPr>
        <w:t>）</w:t>
      </w:r>
      <w:r>
        <w:rPr>
          <w:rFonts w:hint="eastAsia"/>
          <w:szCs w:val="24"/>
        </w:rPr>
        <w:t>。使用时应保持与建立校正模型同样的制备过程。</w:t>
      </w:r>
    </w:p>
    <w:p w14:paraId="344958E5">
      <w:pPr>
        <w:numPr>
          <w:ilvl w:val="0"/>
          <w:numId w:val="0"/>
        </w:numPr>
        <w:adjustRightInd/>
        <w:spacing w:before="120" w:beforeLines="50" w:after="120" w:afterLines="50" w:line="240" w:lineRule="auto"/>
        <w:ind w:leftChars="0"/>
        <w:jc w:val="both"/>
        <w:outlineLvl w:val="1"/>
        <w:rPr>
          <w:rFonts w:hint="eastAsia"/>
          <w:szCs w:val="24"/>
        </w:rPr>
      </w:pPr>
      <w:r>
        <w:rPr>
          <w:rFonts w:hint="eastAsia" w:ascii="Times New Roman" w:hAnsi="Times New Roman" w:eastAsia="黑体" w:cs="Times New Roman"/>
          <w:color w:val="auto"/>
          <w:sz w:val="21"/>
          <w:szCs w:val="21"/>
          <w:highlight w:val="none"/>
          <w:lang w:val="en-US" w:eastAsia="zh-CN" w:bidi="ar-SA"/>
        </w:rPr>
        <w:t>6 测定步骤</w:t>
      </w:r>
    </w:p>
    <w:p w14:paraId="06927D83">
      <w:pPr>
        <w:numPr>
          <w:ilvl w:val="0"/>
          <w:numId w:val="0"/>
        </w:numPr>
        <w:adjustRightInd/>
        <w:spacing w:before="120" w:beforeLines="50" w:after="120" w:afterLines="50" w:line="240" w:lineRule="auto"/>
        <w:ind w:leftChars="0"/>
        <w:jc w:val="both"/>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6.1 样品制备</w:t>
      </w:r>
    </w:p>
    <w:p w14:paraId="43AB558E">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r>
        <w:rPr>
          <w:rFonts w:hint="eastAsia"/>
          <w:szCs w:val="24"/>
        </w:rPr>
        <w:t>取代表性牡蛎样品，除去泥沙等杂质，使用粉碎机粉碎，过</w:t>
      </w:r>
      <w:r>
        <w:rPr>
          <w:rFonts w:hint="eastAsia" w:ascii="Times New Roman" w:hAnsi="Times New Roman" w:cs="Times New Roman"/>
          <w:szCs w:val="24"/>
        </w:rPr>
        <w:t>100</w:t>
      </w:r>
      <w:r>
        <w:rPr>
          <w:rFonts w:hint="eastAsia"/>
          <w:szCs w:val="24"/>
        </w:rPr>
        <w:t>目筛</w:t>
      </w:r>
      <w:r>
        <w:rPr>
          <w:rFonts w:hint="eastAsia"/>
          <w:szCs w:val="24"/>
          <w:lang w:eastAsia="zh-CN"/>
        </w:rPr>
        <w:t>（</w:t>
      </w:r>
      <w:r>
        <w:rPr>
          <w:rFonts w:hint="eastAsia"/>
          <w:szCs w:val="24"/>
          <w:lang w:val="en-US" w:eastAsia="zh-CN"/>
        </w:rPr>
        <w:t>孔径150</w:t>
      </w:r>
      <w:r>
        <w:rPr>
          <w:rFonts w:hint="default" w:ascii="Times New Roman" w:hAnsi="Times New Roman" w:cs="Times New Roman"/>
          <w:szCs w:val="24"/>
          <w:lang w:val="en-US" w:eastAsia="zh-CN"/>
        </w:rPr>
        <w:t>μ</w:t>
      </w:r>
      <w:r>
        <w:rPr>
          <w:rFonts w:hint="eastAsia"/>
          <w:szCs w:val="24"/>
          <w:lang w:val="en-US" w:eastAsia="zh-CN"/>
        </w:rPr>
        <w:t>m</w:t>
      </w:r>
      <w:r>
        <w:rPr>
          <w:rFonts w:hint="eastAsia"/>
          <w:szCs w:val="24"/>
          <w:lang w:eastAsia="zh-CN"/>
        </w:rPr>
        <w:t>）</w:t>
      </w:r>
      <w:r>
        <w:rPr>
          <w:rFonts w:hint="eastAsia"/>
          <w:szCs w:val="24"/>
        </w:rPr>
        <w:t>。</w:t>
      </w:r>
    </w:p>
    <w:p w14:paraId="218875D3">
      <w:pPr>
        <w:numPr>
          <w:ilvl w:val="0"/>
          <w:numId w:val="0"/>
        </w:numPr>
        <w:adjustRightInd/>
        <w:spacing w:before="120" w:beforeLines="50" w:after="120" w:afterLines="50" w:line="240" w:lineRule="auto"/>
        <w:ind w:leftChars="0"/>
        <w:jc w:val="both"/>
        <w:outlineLvl w:val="1"/>
        <w:rPr>
          <w:rFonts w:hint="default"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6.2 光谱采集参数</w:t>
      </w:r>
    </w:p>
    <w:p w14:paraId="7700EF07">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eastAsia"/>
          <w:szCs w:val="24"/>
        </w:rPr>
        <w:t>近红外光谱</w:t>
      </w:r>
      <w:r>
        <w:rPr>
          <w:rFonts w:hint="default" w:ascii="Times New Roman" w:hAnsi="Times New Roman" w:cs="Times New Roman"/>
          <w:szCs w:val="24"/>
        </w:rPr>
        <w:t>采集参数如下：</w:t>
      </w:r>
    </w:p>
    <w:p w14:paraId="52F085EE">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 xml:space="preserve">a) </w:t>
      </w:r>
      <w:r>
        <w:rPr>
          <w:rFonts w:hint="default" w:ascii="Times New Roman" w:hAnsi="Times New Roman" w:eastAsia="宋体" w:cs="Times New Roman"/>
          <w:szCs w:val="24"/>
          <w:lang w:val="en-US" w:eastAsia="zh-CN"/>
        </w:rPr>
        <w:t xml:space="preserve"> </w:t>
      </w:r>
      <w:r>
        <w:rPr>
          <w:rFonts w:hint="default" w:ascii="Times New Roman" w:hAnsi="Times New Roman" w:cs="Times New Roman"/>
          <w:szCs w:val="24"/>
        </w:rPr>
        <w:t>扫描模式：漫反射；</w:t>
      </w:r>
    </w:p>
    <w:p w14:paraId="32546130">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 xml:space="preserve">b) </w:t>
      </w:r>
      <w:r>
        <w:rPr>
          <w:rFonts w:hint="default" w:ascii="Times New Roman" w:hAnsi="Times New Roman" w:eastAsia="宋体" w:cs="Times New Roman"/>
          <w:szCs w:val="24"/>
          <w:lang w:val="en-US" w:eastAsia="zh-CN"/>
        </w:rPr>
        <w:t xml:space="preserve"> </w:t>
      </w:r>
      <w:r>
        <w:rPr>
          <w:rFonts w:hint="default" w:ascii="Times New Roman" w:hAnsi="Times New Roman" w:cs="Times New Roman"/>
          <w:szCs w:val="24"/>
        </w:rPr>
        <w:t>光谱范围：4000 cm</w:t>
      </w:r>
      <w:r>
        <w:rPr>
          <w:rFonts w:hint="default" w:ascii="Times New Roman" w:hAnsi="Times New Roman" w:eastAsia="宋体" w:cs="Times New Roman"/>
          <w:szCs w:val="24"/>
          <w:vertAlign w:val="superscript"/>
          <w:lang w:val="en-US" w:eastAsia="zh-CN"/>
        </w:rPr>
        <w:t>-1</w:t>
      </w:r>
      <w:r>
        <w:rPr>
          <w:rFonts w:hint="default" w:ascii="Times New Roman" w:hAnsi="Times New Roman" w:cs="Times New Roman"/>
          <w:szCs w:val="24"/>
        </w:rPr>
        <w:t>~ 10000 cm</w:t>
      </w:r>
      <w:r>
        <w:rPr>
          <w:rFonts w:hint="default" w:ascii="Times New Roman" w:hAnsi="Times New Roman" w:eastAsia="宋体" w:cs="Times New Roman"/>
          <w:szCs w:val="24"/>
          <w:vertAlign w:val="superscript"/>
          <w:lang w:val="en-US" w:eastAsia="zh-CN"/>
        </w:rPr>
        <w:t>-1</w:t>
      </w:r>
      <w:r>
        <w:rPr>
          <w:rFonts w:hint="default" w:ascii="Times New Roman" w:hAnsi="Times New Roman" w:cs="Times New Roman"/>
          <w:szCs w:val="24"/>
        </w:rPr>
        <w:t>；</w:t>
      </w:r>
    </w:p>
    <w:p w14:paraId="4CAAE108">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 xml:space="preserve">c) </w:t>
      </w:r>
      <w:r>
        <w:rPr>
          <w:rFonts w:hint="default" w:ascii="Times New Roman" w:hAnsi="Times New Roman" w:eastAsia="宋体" w:cs="Times New Roman"/>
          <w:szCs w:val="24"/>
          <w:lang w:val="en-US" w:eastAsia="zh-CN"/>
        </w:rPr>
        <w:t xml:space="preserve"> </w:t>
      </w:r>
      <w:r>
        <w:rPr>
          <w:rFonts w:hint="default" w:ascii="Times New Roman" w:hAnsi="Times New Roman" w:cs="Times New Roman"/>
          <w:szCs w:val="24"/>
        </w:rPr>
        <w:t>分辨率：8 cm</w:t>
      </w:r>
      <w:r>
        <w:rPr>
          <w:rFonts w:hint="default" w:ascii="Times New Roman" w:hAnsi="Times New Roman" w:eastAsia="宋体" w:cs="Times New Roman"/>
          <w:szCs w:val="24"/>
          <w:vertAlign w:val="superscript"/>
          <w:lang w:val="en-US" w:eastAsia="zh-CN"/>
        </w:rPr>
        <w:t>-1</w:t>
      </w:r>
      <w:r>
        <w:rPr>
          <w:rFonts w:hint="default" w:ascii="Times New Roman" w:hAnsi="Times New Roman" w:cs="Times New Roman"/>
          <w:szCs w:val="24"/>
        </w:rPr>
        <w:t>；</w:t>
      </w:r>
    </w:p>
    <w:p w14:paraId="4E4F4403">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r>
        <w:rPr>
          <w:rFonts w:hint="default" w:ascii="Times New Roman" w:hAnsi="Times New Roman" w:cs="Times New Roman"/>
          <w:szCs w:val="24"/>
        </w:rPr>
        <w:t xml:space="preserve">d) </w:t>
      </w:r>
      <w:r>
        <w:rPr>
          <w:rFonts w:hint="default" w:ascii="Times New Roman" w:hAnsi="Times New Roman" w:eastAsia="宋体" w:cs="Times New Roman"/>
          <w:szCs w:val="24"/>
          <w:lang w:val="en-US" w:eastAsia="zh-CN"/>
        </w:rPr>
        <w:t xml:space="preserve"> </w:t>
      </w:r>
      <w:r>
        <w:rPr>
          <w:rFonts w:hint="default" w:ascii="Times New Roman" w:hAnsi="Times New Roman" w:cs="Times New Roman"/>
          <w:szCs w:val="24"/>
        </w:rPr>
        <w:t>扫描次数：32次；</w:t>
      </w:r>
    </w:p>
    <w:p w14:paraId="3DDC7C50">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6.3 牡蛎样品测定</w:t>
      </w:r>
    </w:p>
    <w:p w14:paraId="7889929A">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6.3.1 监控样品的测定和仪器校正</w:t>
      </w:r>
    </w:p>
    <w:p w14:paraId="5426233F">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rPr>
        <w:t>按照近红外光谱仪（5）的要求，取</w:t>
      </w:r>
      <w:r>
        <w:rPr>
          <w:rFonts w:hint="default" w:ascii="Times New Roman" w:hAnsi="Times New Roman" w:cs="Times New Roman"/>
          <w:szCs w:val="24"/>
          <w:highlight w:val="none"/>
          <w:lang w:val="en-US" w:eastAsia="zh-CN"/>
        </w:rPr>
        <w:t>牡蛎</w:t>
      </w:r>
      <w:r>
        <w:rPr>
          <w:rFonts w:hint="default" w:ascii="Times New Roman" w:hAnsi="Times New Roman" w:cs="Times New Roman"/>
          <w:szCs w:val="24"/>
          <w:highlight w:val="none"/>
        </w:rPr>
        <w:t>监控样品用近红外光谱仪进行测定，记录测定数据</w:t>
      </w:r>
      <w:r>
        <w:rPr>
          <w:rFonts w:hint="default" w:ascii="Times New Roman" w:hAnsi="Times New Roman" w:cs="Times New Roman"/>
          <w:szCs w:val="24"/>
          <w:highlight w:val="none"/>
          <w:lang w:eastAsia="zh-CN"/>
        </w:rPr>
        <w:t>，</w:t>
      </w:r>
      <w:r>
        <w:rPr>
          <w:rFonts w:hint="default" w:ascii="Times New Roman" w:hAnsi="Times New Roman" w:cs="Times New Roman"/>
          <w:szCs w:val="24"/>
          <w:highlight w:val="none"/>
        </w:rPr>
        <w:t>根据监控样品的</w:t>
      </w:r>
      <w:r>
        <w:rPr>
          <w:rFonts w:hint="default" w:ascii="Times New Roman" w:hAnsi="Times New Roman" w:cs="Times New Roman"/>
          <w:szCs w:val="24"/>
          <w:highlight w:val="none"/>
          <w:lang w:val="en-US" w:eastAsia="zh-CN"/>
        </w:rPr>
        <w:t>氨基酸</w:t>
      </w:r>
      <w:r>
        <w:rPr>
          <w:rFonts w:hint="default" w:ascii="Times New Roman" w:hAnsi="Times New Roman" w:cs="Times New Roman"/>
          <w:szCs w:val="24"/>
          <w:highlight w:val="none"/>
        </w:rPr>
        <w:t>含量校准仪器。监控样品的制备按附录A的规定执行。</w:t>
      </w:r>
    </w:p>
    <w:p w14:paraId="54B88391">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szCs w:val="24"/>
          <w:highlight w:val="none"/>
          <w:lang w:val="en-US" w:eastAsia="zh-CN"/>
        </w:rPr>
      </w:pPr>
      <w:r>
        <w:rPr>
          <w:rFonts w:hint="default" w:ascii="Times New Roman" w:hAnsi="Times New Roman" w:cs="Times New Roman"/>
          <w:szCs w:val="24"/>
          <w:highlight w:val="none"/>
          <w:lang w:val="en-US" w:eastAsia="zh-CN"/>
        </w:rPr>
        <w:t>6.3.2 牡蛎样品的测定</w:t>
      </w:r>
    </w:p>
    <w:p w14:paraId="600DBAA1">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rPr>
        <w:t>按照近红外光谱仪（5）的要求对仪器进行自检；取代表性</w:t>
      </w:r>
      <w:r>
        <w:rPr>
          <w:rFonts w:hint="default" w:ascii="Times New Roman" w:hAnsi="Times New Roman" w:cs="Times New Roman"/>
          <w:szCs w:val="24"/>
          <w:highlight w:val="none"/>
          <w:lang w:val="en-US" w:eastAsia="zh-CN"/>
        </w:rPr>
        <w:t>牡蛎</w:t>
      </w:r>
      <w:r>
        <w:rPr>
          <w:rFonts w:hint="default" w:ascii="Times New Roman" w:hAnsi="Times New Roman" w:cs="Times New Roman"/>
          <w:szCs w:val="24"/>
          <w:highlight w:val="none"/>
        </w:rPr>
        <w:t>样品用近红外光谱仪进行测定，记录测定数据。每份</w:t>
      </w:r>
      <w:r>
        <w:rPr>
          <w:rFonts w:hint="default" w:ascii="Times New Roman" w:hAnsi="Times New Roman" w:cs="Times New Roman"/>
          <w:szCs w:val="24"/>
          <w:highlight w:val="none"/>
          <w:lang w:val="en-US" w:eastAsia="zh-CN"/>
        </w:rPr>
        <w:t>牡蛎</w:t>
      </w:r>
      <w:r>
        <w:rPr>
          <w:rFonts w:hint="default" w:ascii="Times New Roman" w:hAnsi="Times New Roman" w:cs="Times New Roman"/>
          <w:szCs w:val="24"/>
          <w:highlight w:val="none"/>
        </w:rPr>
        <w:t>样品平行扫描3次，取平均光谱用于后续分析。</w:t>
      </w:r>
    </w:p>
    <w:p w14:paraId="40E772B1">
      <w:pPr>
        <w:numPr>
          <w:ilvl w:val="0"/>
          <w:numId w:val="0"/>
        </w:numPr>
        <w:adjustRightInd/>
        <w:spacing w:before="120" w:beforeLines="50" w:after="120" w:afterLines="50" w:line="240" w:lineRule="auto"/>
        <w:ind w:leftChars="0"/>
        <w:jc w:val="both"/>
        <w:outlineLvl w:val="1"/>
        <w:rPr>
          <w:rFonts w:hint="eastAsia"/>
          <w:szCs w:val="24"/>
          <w:highlight w:val="none"/>
        </w:rPr>
      </w:pPr>
      <w:r>
        <w:rPr>
          <w:rFonts w:hint="eastAsia" w:ascii="Times New Roman" w:hAnsi="Times New Roman" w:eastAsia="黑体" w:cs="Times New Roman"/>
          <w:color w:val="auto"/>
          <w:sz w:val="21"/>
          <w:szCs w:val="21"/>
          <w:highlight w:val="none"/>
          <w:lang w:val="en-US" w:eastAsia="zh-CN" w:bidi="ar-SA"/>
        </w:rPr>
        <w:t>7 结果处理与表示</w:t>
      </w:r>
    </w:p>
    <w:p w14:paraId="3BF48EB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szCs w:val="24"/>
          <w:highlight w:val="none"/>
        </w:rPr>
      </w:pPr>
      <w:r>
        <w:rPr>
          <w:rFonts w:hint="eastAsia" w:ascii="Times New Roman" w:hAnsi="Times New Roman" w:eastAsia="黑体" w:cs="Times New Roman"/>
          <w:color w:val="auto"/>
          <w:sz w:val="21"/>
          <w:szCs w:val="21"/>
          <w:highlight w:val="none"/>
          <w:lang w:val="en-US" w:eastAsia="zh-CN" w:bidi="ar-SA"/>
        </w:rPr>
        <w:t xml:space="preserve">7.1 </w:t>
      </w:r>
      <w:r>
        <w:rPr>
          <w:rFonts w:hint="eastAsia" w:ascii="Calibri" w:eastAsia="宋体"/>
          <w:szCs w:val="24"/>
          <w:highlight w:val="none"/>
          <w:lang w:val="en-US" w:eastAsia="zh-CN"/>
        </w:rPr>
        <w:t>对样品光谱进行预处理，</w:t>
      </w:r>
      <w:r>
        <w:rPr>
          <w:rFonts w:hint="eastAsia"/>
          <w:szCs w:val="24"/>
          <w:highlight w:val="none"/>
        </w:rPr>
        <w:t>采用多元校正方法，将预处理后的校正集光谱数据与氨基酸含量参考值进行关联，建立校正模型。</w:t>
      </w:r>
    </w:p>
    <w:p w14:paraId="3CB89EA3">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szCs w:val="24"/>
          <w:highlight w:val="none"/>
        </w:rPr>
      </w:pPr>
      <w:r>
        <w:rPr>
          <w:rFonts w:hint="eastAsia" w:ascii="Times New Roman" w:hAnsi="Times New Roman" w:eastAsia="黑体" w:cs="Times New Roman"/>
          <w:color w:val="auto"/>
          <w:sz w:val="21"/>
          <w:szCs w:val="21"/>
          <w:highlight w:val="none"/>
          <w:lang w:val="en-US" w:eastAsia="zh-CN" w:bidi="ar-SA"/>
        </w:rPr>
        <w:t xml:space="preserve">7.2 </w:t>
      </w:r>
      <w:r>
        <w:rPr>
          <w:rFonts w:hint="eastAsia"/>
          <w:szCs w:val="24"/>
          <w:highlight w:val="none"/>
        </w:rPr>
        <w:t>每个样品独立测定</w:t>
      </w:r>
      <w:r>
        <w:rPr>
          <w:rFonts w:hint="eastAsia" w:ascii="Calibri" w:eastAsia="宋体"/>
          <w:szCs w:val="24"/>
          <w:highlight w:val="none"/>
          <w:lang w:val="en-US" w:eastAsia="zh-CN"/>
        </w:rPr>
        <w:t>三</w:t>
      </w:r>
      <w:r>
        <w:rPr>
          <w:rFonts w:hint="eastAsia"/>
          <w:szCs w:val="24"/>
          <w:highlight w:val="none"/>
        </w:rPr>
        <w:t>次，取</w:t>
      </w:r>
      <w:r>
        <w:rPr>
          <w:rFonts w:hint="eastAsia" w:ascii="Calibri" w:eastAsia="宋体"/>
          <w:szCs w:val="24"/>
          <w:highlight w:val="none"/>
          <w:lang w:val="en-US" w:eastAsia="zh-CN"/>
        </w:rPr>
        <w:t>三</w:t>
      </w:r>
      <w:r>
        <w:rPr>
          <w:rFonts w:hint="eastAsia"/>
          <w:szCs w:val="24"/>
          <w:highlight w:val="none"/>
        </w:rPr>
        <w:t>次测定结果的平均值作为最终结果，结果保留至小数点后两位。测定结果应在校正模型所覆盖的含量范围内。</w:t>
      </w:r>
    </w:p>
    <w:p w14:paraId="6407FD75">
      <w:pPr>
        <w:keepNext w:val="0"/>
        <w:keepLines w:val="0"/>
        <w:pageBreakBefore w:val="0"/>
        <w:widowControl w:val="0"/>
        <w:kinsoku/>
        <w:wordWrap/>
        <w:overflowPunct/>
        <w:topLinePunct w:val="0"/>
        <w:autoSpaceDE/>
        <w:autoSpaceDN/>
        <w:bidi w:val="0"/>
        <w:adjustRightInd/>
        <w:snapToGrid/>
        <w:spacing w:line="240" w:lineRule="auto"/>
        <w:ind w:left="210" w:hanging="210" w:hangingChars="100"/>
        <w:textAlignment w:val="auto"/>
        <w:rPr>
          <w:rFonts w:hint="eastAsia"/>
          <w:szCs w:val="24"/>
          <w:highlight w:val="none"/>
        </w:rPr>
      </w:pPr>
      <w:r>
        <w:rPr>
          <w:rFonts w:hint="eastAsia" w:ascii="Times New Roman" w:hAnsi="Times New Roman" w:eastAsia="黑体" w:cs="Times New Roman"/>
          <w:color w:val="auto"/>
          <w:sz w:val="21"/>
          <w:szCs w:val="21"/>
          <w:highlight w:val="none"/>
          <w:lang w:val="en-US" w:eastAsia="zh-CN" w:bidi="ar-SA"/>
        </w:rPr>
        <w:t xml:space="preserve">7.3 </w:t>
      </w:r>
      <w:r>
        <w:rPr>
          <w:rFonts w:hint="eastAsia" w:ascii="Calibri" w:eastAsia="宋体"/>
          <w:szCs w:val="24"/>
          <w:highlight w:val="none"/>
          <w:lang w:val="en-US" w:eastAsia="zh-CN"/>
        </w:rPr>
        <w:t>对于仪器报警的异常测定结果，所得数据不应作为有效测定数据。异常样品的确认和处理按第</w:t>
      </w:r>
      <w:r>
        <w:rPr>
          <w:rFonts w:hint="eastAsia"/>
          <w:szCs w:val="24"/>
          <w:highlight w:val="none"/>
          <w:lang w:val="en-US" w:eastAsia="zh-CN"/>
        </w:rPr>
        <w:t xml:space="preserve"> </w:t>
      </w:r>
      <w:r>
        <w:rPr>
          <w:rFonts w:hint="eastAsia" w:ascii="Calibri" w:eastAsia="宋体"/>
          <w:szCs w:val="24"/>
          <w:highlight w:val="none"/>
          <w:lang w:val="en-US" w:eastAsia="zh-CN"/>
        </w:rPr>
        <w:t>8章的要求执行。</w:t>
      </w:r>
    </w:p>
    <w:p w14:paraId="7D758E51">
      <w:pPr>
        <w:numPr>
          <w:ilvl w:val="0"/>
          <w:numId w:val="0"/>
        </w:numPr>
        <w:adjustRightInd/>
        <w:spacing w:before="120" w:beforeLines="50" w:after="120" w:afterLines="50" w:line="240" w:lineRule="auto"/>
        <w:ind w:leftChars="0"/>
        <w:jc w:val="both"/>
        <w:outlineLvl w:val="1"/>
        <w:rPr>
          <w:rFonts w:hint="eastAsia"/>
          <w:szCs w:val="24"/>
        </w:rPr>
      </w:pPr>
      <w:r>
        <w:rPr>
          <w:rFonts w:hint="eastAsia" w:ascii="Times New Roman" w:hAnsi="Times New Roman" w:eastAsia="黑体" w:cs="Times New Roman"/>
          <w:color w:val="auto"/>
          <w:sz w:val="21"/>
          <w:szCs w:val="21"/>
          <w:highlight w:val="none"/>
          <w:lang w:val="en-US" w:eastAsia="zh-CN" w:bidi="ar-SA"/>
        </w:rPr>
        <w:t>8 异常样品的统计与识别</w:t>
      </w:r>
    </w:p>
    <w:p w14:paraId="47E10763">
      <w:pPr>
        <w:numPr>
          <w:ilvl w:val="0"/>
          <w:numId w:val="0"/>
        </w:numPr>
        <w:adjustRightInd/>
        <w:spacing w:before="120" w:beforeLines="50" w:after="120" w:afterLines="50" w:line="240" w:lineRule="auto"/>
        <w:ind w:leftChars="0"/>
        <w:jc w:val="both"/>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8.1 异常样品的确认</w:t>
      </w:r>
    </w:p>
    <w:p w14:paraId="327BD4DB">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出现以下情形之一，视为异常样品：</w:t>
      </w:r>
    </w:p>
    <w:p w14:paraId="22494845">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cs="Times New Roman"/>
          <w:szCs w:val="24"/>
        </w:rPr>
      </w:pPr>
      <w:r>
        <w:rPr>
          <w:rFonts w:hint="default" w:ascii="Times New Roman" w:hAnsi="Times New Roman" w:cs="Times New Roman"/>
          <w:szCs w:val="24"/>
        </w:rPr>
        <w:t>a) 样品的氨基酸含量预测值超出校正模型范围（模型外推）；</w:t>
      </w:r>
    </w:p>
    <w:p w14:paraId="5AA3AA63">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default" w:ascii="Times New Roman" w:hAnsi="Times New Roman" w:eastAsia="宋体" w:cs="Times New Roman"/>
          <w:szCs w:val="24"/>
          <w:lang w:eastAsia="zh-CN"/>
        </w:rPr>
      </w:pPr>
      <w:r>
        <w:rPr>
          <w:rFonts w:hint="default" w:ascii="Times New Roman" w:hAnsi="Times New Roman" w:cs="Times New Roman"/>
          <w:szCs w:val="24"/>
        </w:rPr>
        <w:t>b) 样品状态异常（如杂质过多、温湿度超出允许范围）</w:t>
      </w:r>
      <w:r>
        <w:rPr>
          <w:rFonts w:hint="default" w:ascii="Times New Roman" w:hAnsi="Times New Roman" w:eastAsia="宋体" w:cs="Times New Roman"/>
          <w:szCs w:val="24"/>
          <w:lang w:eastAsia="zh-CN"/>
        </w:rPr>
        <w:t>；</w:t>
      </w:r>
    </w:p>
    <w:p w14:paraId="7A95789B">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r>
        <w:rPr>
          <w:rFonts w:hint="default" w:ascii="Times New Roman" w:hAnsi="Times New Roman" w:eastAsia="宋体" w:cs="Times New Roman"/>
          <w:szCs w:val="24"/>
          <w:lang w:val="en-US" w:eastAsia="zh-CN"/>
        </w:rPr>
        <w:t>c</w:t>
      </w:r>
      <w:r>
        <w:rPr>
          <w:rFonts w:hint="default" w:ascii="Times New Roman" w:hAnsi="Times New Roman" w:cs="Times New Roman"/>
          <w:szCs w:val="24"/>
        </w:rPr>
        <w:t>)</w:t>
      </w:r>
      <w:r>
        <w:rPr>
          <w:rFonts w:hint="default" w:ascii="Times New Roman" w:hAnsi="Times New Roman" w:eastAsia="宋体" w:cs="Times New Roman"/>
          <w:szCs w:val="24"/>
          <w:lang w:val="en-US" w:eastAsia="zh-CN"/>
        </w:rPr>
        <w:t xml:space="preserve"> 该样品品种与参与该仪器定标样品集的品种有很大差异。</w:t>
      </w:r>
    </w:p>
    <w:p w14:paraId="4C029C38">
      <w:pPr>
        <w:numPr>
          <w:ilvl w:val="0"/>
          <w:numId w:val="0"/>
        </w:numPr>
        <w:adjustRightInd/>
        <w:spacing w:before="120" w:beforeLines="50" w:after="120" w:afterLines="50" w:line="240" w:lineRule="auto"/>
        <w:ind w:leftChars="0"/>
        <w:jc w:val="both"/>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8.2 异常样品的处理</w:t>
      </w:r>
    </w:p>
    <w:p w14:paraId="72695AC7">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szCs w:val="24"/>
        </w:rPr>
      </w:pPr>
      <w:r>
        <w:rPr>
          <w:rFonts w:hint="eastAsia"/>
          <w:szCs w:val="24"/>
        </w:rPr>
        <w:t>对异常样品，应检查样品制备和测定过程，确认无误后重新测定。若仍被判定为异常，应采用本文件第6.2条规定的标准参考方法进行复测，</w:t>
      </w:r>
      <w:r>
        <w:rPr>
          <w:rFonts w:hint="eastAsia" w:ascii="Calibri" w:eastAsia="宋体"/>
          <w:szCs w:val="24"/>
          <w:lang w:val="en-US" w:eastAsia="zh-CN"/>
        </w:rPr>
        <w:t>如仍出现报警，则确认为异常样品</w:t>
      </w:r>
      <w:r>
        <w:rPr>
          <w:rFonts w:hint="eastAsia"/>
          <w:szCs w:val="24"/>
        </w:rPr>
        <w:t>。</w:t>
      </w:r>
    </w:p>
    <w:p w14:paraId="6CFA6EF5">
      <w:pPr>
        <w:numPr>
          <w:ilvl w:val="0"/>
          <w:numId w:val="0"/>
        </w:numPr>
        <w:adjustRightInd/>
        <w:spacing w:before="120" w:beforeLines="50" w:after="120" w:afterLines="50" w:line="240" w:lineRule="auto"/>
        <w:ind w:leftChars="0"/>
        <w:jc w:val="both"/>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9 准确性和精密度</w:t>
      </w:r>
    </w:p>
    <w:p w14:paraId="564A1EC2">
      <w:pPr>
        <w:numPr>
          <w:ilvl w:val="0"/>
          <w:numId w:val="0"/>
        </w:numPr>
        <w:adjustRightInd/>
        <w:spacing w:before="120" w:beforeLines="50" w:after="120" w:afterLines="50" w:line="240" w:lineRule="auto"/>
        <w:ind w:leftChars="0"/>
        <w:jc w:val="both"/>
        <w:outlineLvl w:val="1"/>
        <w:rPr>
          <w:rFonts w:hint="eastAsia"/>
          <w:b/>
          <w:bCs/>
          <w:color w:val="auto"/>
          <w:szCs w:val="24"/>
          <w:lang w:eastAsia="zh-CN"/>
        </w:rPr>
      </w:pPr>
      <w:r>
        <w:rPr>
          <w:rFonts w:hint="eastAsia" w:ascii="Times New Roman" w:hAnsi="Times New Roman" w:eastAsia="黑体" w:cs="Times New Roman"/>
          <w:color w:val="auto"/>
          <w:sz w:val="21"/>
          <w:szCs w:val="21"/>
          <w:highlight w:val="none"/>
          <w:lang w:val="en-US" w:eastAsia="zh-CN" w:bidi="ar-SA"/>
        </w:rPr>
        <w:t>9.1 精密度</w:t>
      </w:r>
    </w:p>
    <w:p w14:paraId="336CAEF2">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color w:val="auto"/>
          <w:szCs w:val="24"/>
        </w:rPr>
      </w:pPr>
      <w:r>
        <w:rPr>
          <w:rFonts w:hint="eastAsia" w:ascii="Calibri" w:eastAsia="宋体"/>
          <w:color w:val="auto"/>
          <w:szCs w:val="24"/>
          <w:lang w:val="en-US" w:eastAsia="zh-CN"/>
        </w:rPr>
        <w:t>监控样品集</w:t>
      </w:r>
      <w:r>
        <w:rPr>
          <w:rFonts w:hint="eastAsia"/>
          <w:color w:val="auto"/>
          <w:szCs w:val="24"/>
          <w:lang w:val="en-US" w:eastAsia="zh-CN"/>
        </w:rPr>
        <w:t>牡蛎</w:t>
      </w:r>
      <w:r>
        <w:rPr>
          <w:rFonts w:hint="eastAsia" w:ascii="Calibri" w:eastAsia="宋体"/>
          <w:color w:val="auto"/>
          <w:szCs w:val="24"/>
          <w:lang w:val="en-US" w:eastAsia="zh-CN"/>
        </w:rPr>
        <w:t xml:space="preserve">氨基酸含量扣除系统偏差后的近红外测定值与其标准值之间的标准差应不大于 </w:t>
      </w:r>
    </w:p>
    <w:p w14:paraId="22174AF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color w:val="auto"/>
          <w:szCs w:val="24"/>
        </w:rPr>
      </w:pPr>
      <w:r>
        <w:rPr>
          <w:rFonts w:hint="eastAsia"/>
          <w:color w:val="auto"/>
          <w:szCs w:val="24"/>
          <w:lang w:val="en-US" w:eastAsia="zh-CN"/>
        </w:rPr>
        <w:t>0.2</w:t>
      </w:r>
      <w:r>
        <w:rPr>
          <w:rFonts w:hint="eastAsia" w:ascii="Calibri" w:eastAsia="宋体"/>
          <w:color w:val="auto"/>
          <w:szCs w:val="24"/>
          <w:lang w:val="en-US" w:eastAsia="zh-CN"/>
        </w:rPr>
        <w:t>。</w:t>
      </w:r>
    </w:p>
    <w:p w14:paraId="18B02A26">
      <w:pPr>
        <w:numPr>
          <w:ilvl w:val="0"/>
          <w:numId w:val="0"/>
        </w:numPr>
        <w:adjustRightInd/>
        <w:spacing w:before="120" w:beforeLines="50" w:after="120" w:afterLines="50" w:line="240" w:lineRule="auto"/>
        <w:ind w:leftChars="0"/>
        <w:jc w:val="both"/>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9.2 重复性</w:t>
      </w:r>
    </w:p>
    <w:p w14:paraId="299ACDB6">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color w:val="auto"/>
          <w:szCs w:val="24"/>
        </w:rPr>
      </w:pPr>
      <w:r>
        <w:rPr>
          <w:rFonts w:hint="eastAsia" w:ascii="Calibri" w:eastAsia="宋体"/>
          <w:color w:val="auto"/>
          <w:szCs w:val="24"/>
          <w:lang w:val="en-US" w:eastAsia="zh-CN"/>
        </w:rPr>
        <w:t>在同一实验室，由同一操作者使用相同的仪器设备，按相同测试方法，在短的时间内通过重新分样和重新装样，对同一被测样品相互独立进行测定，获得的三次测定结果的绝对差应不大于</w:t>
      </w:r>
      <w:r>
        <w:rPr>
          <w:rFonts w:hint="eastAsia"/>
          <w:color w:val="auto"/>
          <w:szCs w:val="24"/>
          <w:lang w:val="en-US" w:eastAsia="zh-CN"/>
        </w:rPr>
        <w:t>3</w:t>
      </w:r>
      <w:r>
        <w:rPr>
          <w:rFonts w:hint="eastAsia" w:ascii="Calibri" w:eastAsia="宋体"/>
          <w:color w:val="auto"/>
          <w:szCs w:val="24"/>
          <w:lang w:val="en-US" w:eastAsia="zh-CN"/>
        </w:rPr>
        <w:t>%。</w:t>
      </w:r>
    </w:p>
    <w:p w14:paraId="1E1BA6DE">
      <w:pPr>
        <w:adjustRightInd/>
        <w:spacing w:line="240" w:lineRule="auto"/>
        <w:rPr>
          <w:rFonts w:hint="eastAsia"/>
          <w:color w:val="auto"/>
          <w:szCs w:val="24"/>
        </w:rPr>
      </w:pPr>
    </w:p>
    <w:p w14:paraId="6D69D15F">
      <w:pPr>
        <w:numPr>
          <w:ilvl w:val="0"/>
          <w:numId w:val="0"/>
        </w:numPr>
        <w:adjustRightInd/>
        <w:spacing w:before="120" w:beforeLines="50" w:after="120" w:afterLines="50" w:line="240" w:lineRule="auto"/>
        <w:ind w:leftChars="0"/>
        <w:jc w:val="both"/>
        <w:outlineLvl w:val="1"/>
        <w:rPr>
          <w:rFonts w:hint="eastAsia" w:ascii="Times New Roman" w:hAnsi="Times New Roman" w:eastAsia="黑体" w:cs="Times New Roman"/>
          <w:color w:val="auto"/>
          <w:sz w:val="21"/>
          <w:szCs w:val="21"/>
          <w:highlight w:val="none"/>
          <w:lang w:val="en-US" w:eastAsia="zh-CN" w:bidi="ar-SA"/>
        </w:rPr>
      </w:pPr>
      <w:r>
        <w:rPr>
          <w:rFonts w:hint="eastAsia" w:ascii="Times New Roman" w:hAnsi="Times New Roman" w:eastAsia="黑体" w:cs="Times New Roman"/>
          <w:color w:val="auto"/>
          <w:sz w:val="21"/>
          <w:szCs w:val="21"/>
          <w:highlight w:val="none"/>
          <w:lang w:val="en-US" w:eastAsia="zh-CN" w:bidi="ar-SA"/>
        </w:rPr>
        <w:t>9.3 再现性</w:t>
      </w:r>
    </w:p>
    <w:p w14:paraId="2B8ECA4A">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color w:val="auto"/>
          <w:szCs w:val="24"/>
        </w:rPr>
      </w:pPr>
      <w:r>
        <w:rPr>
          <w:rFonts w:hint="eastAsia" w:ascii="Calibri" w:eastAsia="宋体"/>
          <w:color w:val="auto"/>
          <w:szCs w:val="24"/>
          <w:lang w:val="en-US" w:eastAsia="zh-CN"/>
        </w:rPr>
        <w:t>在不同实验室，由不同操作人员，不同的设备，用同一方法，对同一样品，获得的氨基酸含量三次测 定结果的绝对差应不大于1</w:t>
      </w:r>
      <w:r>
        <w:rPr>
          <w:rFonts w:hint="eastAsia"/>
          <w:color w:val="auto"/>
          <w:szCs w:val="24"/>
          <w:lang w:val="en-US" w:eastAsia="zh-CN"/>
        </w:rPr>
        <w:t>0</w:t>
      </w:r>
      <w:r>
        <w:rPr>
          <w:rFonts w:hint="eastAsia" w:ascii="Calibri" w:eastAsia="宋体"/>
          <w:color w:val="auto"/>
          <w:szCs w:val="24"/>
          <w:lang w:val="en-US" w:eastAsia="zh-CN"/>
        </w:rPr>
        <w:t>%。</w:t>
      </w:r>
    </w:p>
    <w:p w14:paraId="26F73114">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highlight w:val="none"/>
        </w:rPr>
      </w:pPr>
      <w:r>
        <w:rPr>
          <w:rFonts w:hint="eastAsia" w:ascii="Times New Roman" w:hAnsi="Times New Roman" w:eastAsia="黑体" w:cs="Times New Roman"/>
          <w:color w:val="auto"/>
          <w:sz w:val="21"/>
          <w:szCs w:val="21"/>
          <w:highlight w:val="none"/>
          <w:lang w:val="en-US" w:eastAsia="zh-CN" w:bidi="ar-SA"/>
        </w:rPr>
        <w:t>10 测试报告</w:t>
      </w:r>
    </w:p>
    <w:p w14:paraId="10775DB3">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eastAsia"/>
          <w:szCs w:val="24"/>
          <w:highlight w:val="none"/>
        </w:rPr>
      </w:pPr>
      <w:r>
        <w:rPr>
          <w:rFonts w:hint="eastAsia"/>
          <w:szCs w:val="24"/>
          <w:highlight w:val="none"/>
        </w:rPr>
        <w:t>测试报告</w:t>
      </w:r>
      <w:r>
        <w:rPr>
          <w:rFonts w:hint="eastAsia"/>
          <w:szCs w:val="24"/>
          <w:highlight w:val="none"/>
          <w:lang w:val="en-US" w:eastAsia="zh-CN"/>
        </w:rPr>
        <w:t>内容包括但不限于样品类型、样品名称、送检时间、仪器类型、波长范围、测量条件、建模方法、检测时间、检测结果</w:t>
      </w:r>
      <w:r>
        <w:rPr>
          <w:rFonts w:hint="eastAsia"/>
          <w:szCs w:val="24"/>
          <w:highlight w:val="none"/>
        </w:rPr>
        <w:t>。</w:t>
      </w:r>
    </w:p>
    <w:p w14:paraId="15E73A8F">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center"/>
        <w:textAlignment w:val="auto"/>
        <w:rPr>
          <w:rFonts w:hint="eastAsia"/>
          <w:szCs w:val="24"/>
        </w:rPr>
      </w:pPr>
      <w:r>
        <w:rPr>
          <w:rFonts w:hint="eastAsia" w:ascii="Times New Roman"/>
          <w:szCs w:val="21"/>
        </w:rPr>
        <w:drawing>
          <wp:inline distT="0" distB="0" distL="0" distR="0">
            <wp:extent cx="1485900" cy="317500"/>
            <wp:effectExtent l="0" t="0" r="7620" b="2540"/>
            <wp:docPr id="3" name="图片 8"/>
            <wp:cNvGraphicFramePr/>
            <a:graphic xmlns:a="http://schemas.openxmlformats.org/drawingml/2006/main">
              <a:graphicData uri="http://schemas.openxmlformats.org/drawingml/2006/picture">
                <pic:pic xmlns:pic="http://schemas.openxmlformats.org/drawingml/2006/picture">
                  <pic:nvPicPr>
                    <pic:cNvPr id="3" name="图片 8"/>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r>
        <w:rPr>
          <w:rFonts w:hint="eastAsia"/>
          <w:szCs w:val="24"/>
        </w:rPr>
        <w:br w:type="page"/>
      </w:r>
    </w:p>
    <w:p w14:paraId="2ECFA2AE">
      <w:pPr>
        <w:adjustRightInd/>
        <w:spacing w:line="240" w:lineRule="auto"/>
        <w:jc w:val="center"/>
        <w:rPr>
          <w:rFonts w:hint="eastAsia" w:ascii="黑体" w:hAnsi="黑体" w:eastAsia="黑体" w:cs="黑体"/>
          <w:b w:val="0"/>
          <w:bCs w:val="0"/>
          <w:szCs w:val="24"/>
        </w:rPr>
      </w:pPr>
      <w:r>
        <w:rPr>
          <w:rFonts w:hint="eastAsia" w:ascii="黑体" w:hAnsi="黑体" w:eastAsia="黑体" w:cs="黑体"/>
          <w:b w:val="0"/>
          <w:bCs w:val="0"/>
          <w:szCs w:val="24"/>
        </w:rPr>
        <w:t>附</w:t>
      </w:r>
      <w:r>
        <w:rPr>
          <w:rFonts w:hint="eastAsia" w:ascii="黑体" w:hAnsi="黑体" w:eastAsia="黑体" w:cs="黑体"/>
          <w:b w:val="0"/>
          <w:bCs w:val="0"/>
          <w:szCs w:val="24"/>
          <w:lang w:val="en-US" w:eastAsia="zh-CN"/>
        </w:rPr>
        <w:t xml:space="preserve"> </w:t>
      </w:r>
      <w:r>
        <w:rPr>
          <w:rFonts w:hint="eastAsia" w:ascii="黑体" w:hAnsi="黑体" w:eastAsia="黑体" w:cs="黑体"/>
          <w:b w:val="0"/>
          <w:bCs w:val="0"/>
          <w:szCs w:val="24"/>
        </w:rPr>
        <w:t>录</w:t>
      </w:r>
      <w:r>
        <w:rPr>
          <w:rFonts w:hint="eastAsia" w:ascii="黑体" w:hAnsi="黑体" w:eastAsia="黑体" w:cs="黑体"/>
          <w:b w:val="0"/>
          <w:bCs w:val="0"/>
          <w:szCs w:val="24"/>
          <w:lang w:val="en-US" w:eastAsia="zh-CN"/>
        </w:rPr>
        <w:t xml:space="preserve"> </w:t>
      </w:r>
      <w:r>
        <w:rPr>
          <w:rFonts w:hint="eastAsia" w:ascii="黑体" w:hAnsi="黑体" w:eastAsia="黑体" w:cs="黑体"/>
          <w:b w:val="0"/>
          <w:bCs w:val="0"/>
          <w:szCs w:val="24"/>
        </w:rPr>
        <w:t>A</w:t>
      </w:r>
    </w:p>
    <w:p w14:paraId="09583B90">
      <w:pPr>
        <w:adjustRightInd/>
        <w:spacing w:line="240" w:lineRule="auto"/>
        <w:jc w:val="center"/>
        <w:rPr>
          <w:rFonts w:hint="eastAsia" w:ascii="黑体" w:hAnsi="黑体" w:eastAsia="黑体" w:cs="黑体"/>
          <w:b w:val="0"/>
          <w:bCs w:val="0"/>
          <w:szCs w:val="24"/>
        </w:rPr>
      </w:pPr>
      <w:r>
        <w:rPr>
          <w:rFonts w:hint="eastAsia" w:ascii="黑体" w:hAnsi="黑体" w:eastAsia="黑体" w:cs="黑体"/>
          <w:b w:val="0"/>
          <w:bCs w:val="0"/>
          <w:szCs w:val="24"/>
        </w:rPr>
        <w:t>（规范性附录）</w:t>
      </w:r>
    </w:p>
    <w:p w14:paraId="250C2D63">
      <w:pPr>
        <w:adjustRightInd/>
        <w:spacing w:line="240" w:lineRule="auto"/>
        <w:jc w:val="center"/>
        <w:rPr>
          <w:rFonts w:hint="eastAsia" w:ascii="黑体" w:hAnsi="黑体" w:eastAsia="黑体" w:cs="黑体"/>
          <w:b w:val="0"/>
          <w:bCs w:val="0"/>
          <w:szCs w:val="24"/>
        </w:rPr>
      </w:pPr>
      <w:r>
        <w:rPr>
          <w:rFonts w:hint="eastAsia" w:ascii="黑体" w:hAnsi="黑体" w:eastAsia="黑体" w:cs="黑体"/>
          <w:b w:val="0"/>
          <w:bCs w:val="0"/>
          <w:szCs w:val="24"/>
        </w:rPr>
        <w:t>监控样品的制备</w:t>
      </w:r>
    </w:p>
    <w:p w14:paraId="7A65BBC3">
      <w:pPr>
        <w:adjustRightInd/>
        <w:spacing w:line="240" w:lineRule="auto"/>
        <w:rPr>
          <w:rFonts w:hint="eastAsia"/>
          <w:szCs w:val="24"/>
        </w:rPr>
      </w:pPr>
    </w:p>
    <w:p w14:paraId="29D60047">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rPr>
      </w:pPr>
      <w:r>
        <w:rPr>
          <w:rFonts w:hint="eastAsia" w:ascii="Calibri" w:eastAsia="宋体"/>
          <w:b/>
          <w:bCs/>
          <w:szCs w:val="24"/>
          <w:lang w:val="en-US" w:eastAsia="zh-CN"/>
        </w:rPr>
        <w:t>A.1 仪器</w:t>
      </w:r>
      <w:r>
        <w:rPr>
          <w:rFonts w:hint="eastAsia"/>
          <w:szCs w:val="24"/>
          <w:lang w:val="en-US" w:eastAsia="zh-CN"/>
        </w:rPr>
        <w:t xml:space="preserve"> </w:t>
      </w:r>
    </w:p>
    <w:p w14:paraId="265EBA64">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rPr>
      </w:pPr>
      <w:r>
        <w:rPr>
          <w:rFonts w:hint="eastAsia" w:ascii="Calibri" w:eastAsia="宋体"/>
          <w:b/>
          <w:bCs/>
          <w:szCs w:val="24"/>
          <w:lang w:val="en-US" w:eastAsia="zh-CN"/>
        </w:rPr>
        <w:t>A.1.1</w:t>
      </w:r>
      <w:r>
        <w:rPr>
          <w:rFonts w:hint="eastAsia"/>
          <w:szCs w:val="24"/>
          <w:lang w:val="en-US" w:eastAsia="zh-CN"/>
        </w:rPr>
        <w:t xml:space="preserve"> 近红外光谱仪：符合本标准5的要求。</w:t>
      </w:r>
    </w:p>
    <w:p w14:paraId="7906DF22">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lang w:val="en-US" w:eastAsia="zh-CN"/>
        </w:rPr>
      </w:pPr>
      <w:r>
        <w:rPr>
          <w:rFonts w:hint="eastAsia" w:ascii="Calibri" w:eastAsia="宋体"/>
          <w:b/>
          <w:bCs/>
          <w:szCs w:val="24"/>
          <w:lang w:val="en-US" w:eastAsia="zh-CN"/>
        </w:rPr>
        <w:t>A.1.2</w:t>
      </w:r>
      <w:r>
        <w:rPr>
          <w:rFonts w:hint="eastAsia"/>
          <w:szCs w:val="24"/>
          <w:lang w:val="en-US" w:eastAsia="zh-CN"/>
        </w:rPr>
        <w:t xml:space="preserve"> 样品粉碎设备：用于牡蛎粉末样品的制备，粉碎后样品的粒度分布和均匀性应符合近红外光谱仪建立定标模型时的要求。使用时应采用和定标模型建立与验证时同样的制备过程。</w:t>
      </w:r>
    </w:p>
    <w:p w14:paraId="1DB57A7B">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rPr>
      </w:pPr>
      <w:r>
        <w:rPr>
          <w:rFonts w:hint="eastAsia"/>
          <w:b/>
          <w:bCs/>
          <w:szCs w:val="24"/>
        </w:rPr>
        <w:t>A.</w:t>
      </w:r>
      <w:r>
        <w:rPr>
          <w:rFonts w:hint="eastAsia"/>
          <w:b/>
          <w:bCs/>
          <w:szCs w:val="24"/>
          <w:lang w:val="en-US" w:eastAsia="zh-CN"/>
        </w:rPr>
        <w:t>2</w:t>
      </w:r>
      <w:r>
        <w:rPr>
          <w:rFonts w:hint="eastAsia"/>
          <w:b/>
          <w:bCs/>
          <w:szCs w:val="24"/>
        </w:rPr>
        <w:t xml:space="preserve"> </w:t>
      </w:r>
      <w:r>
        <w:rPr>
          <w:rFonts w:hint="eastAsia" w:ascii="Calibri" w:eastAsia="宋体"/>
          <w:b/>
          <w:bCs/>
          <w:szCs w:val="24"/>
          <w:lang w:val="en-US" w:eastAsia="zh-CN"/>
        </w:rPr>
        <w:t>监控样品的制备</w:t>
      </w:r>
    </w:p>
    <w:p w14:paraId="2B1A88F0">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lang w:val="en-US" w:eastAsia="zh-CN"/>
        </w:rPr>
      </w:pPr>
      <w:r>
        <w:rPr>
          <w:rFonts w:hint="eastAsia"/>
          <w:szCs w:val="24"/>
          <w:lang w:val="en-US" w:eastAsia="zh-CN"/>
        </w:rPr>
        <w:t>A.2.1 取样：选择与待测样品比较接近的牡蛎样品，按</w:t>
      </w:r>
      <w:r>
        <w:rPr>
          <w:rFonts w:hint="default" w:ascii="Times New Roman" w:hAnsi="Times New Roman" w:cs="Times New Roman"/>
          <w:szCs w:val="24"/>
          <w:lang w:val="en-US" w:eastAsia="zh-CN"/>
        </w:rPr>
        <w:t>GB</w:t>
      </w:r>
      <w:r>
        <w:rPr>
          <w:rFonts w:hint="eastAsia" w:ascii="Times New Roman" w:hAnsi="Times New Roman" w:cs="Times New Roman"/>
          <w:szCs w:val="24"/>
          <w:lang w:val="en-US" w:eastAsia="zh-CN"/>
        </w:rPr>
        <w:t xml:space="preserve"> </w:t>
      </w:r>
      <w:bookmarkStart w:id="46" w:name="_GoBack"/>
      <w:bookmarkEnd w:id="46"/>
      <w:r>
        <w:rPr>
          <w:rFonts w:hint="default" w:ascii="Times New Roman" w:hAnsi="Times New Roman" w:cs="Times New Roman"/>
          <w:szCs w:val="24"/>
          <w:lang w:val="en-US" w:eastAsia="zh-CN"/>
        </w:rPr>
        <w:t>5009.124-2016</w:t>
      </w:r>
      <w:r>
        <w:rPr>
          <w:rFonts w:hint="eastAsia"/>
          <w:szCs w:val="24"/>
          <w:lang w:val="en-US" w:eastAsia="zh-CN"/>
        </w:rPr>
        <w:t>的方法测定牡蛎氨基酸的含量。</w:t>
      </w:r>
    </w:p>
    <w:p w14:paraId="7E3907CF">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highlight w:val="none"/>
          <w:lang w:val="en-US" w:eastAsia="zh-CN"/>
        </w:rPr>
      </w:pPr>
      <w:r>
        <w:rPr>
          <w:rFonts w:hint="eastAsia"/>
          <w:szCs w:val="24"/>
          <w:lang w:val="en-US" w:eastAsia="zh-CN"/>
        </w:rPr>
        <w:t>A.2.2 分样：取</w:t>
      </w:r>
      <w:r>
        <w:rPr>
          <w:rFonts w:hint="eastAsia"/>
          <w:szCs w:val="24"/>
        </w:rPr>
        <w:t>牡蛎</w:t>
      </w:r>
      <w:r>
        <w:rPr>
          <w:rFonts w:hint="eastAsia"/>
          <w:szCs w:val="24"/>
          <w:lang w:val="en-US" w:eastAsia="zh-CN"/>
        </w:rPr>
        <w:t>粉碎，将</w:t>
      </w:r>
      <w:r>
        <w:rPr>
          <w:rFonts w:hint="eastAsia"/>
          <w:szCs w:val="24"/>
        </w:rPr>
        <w:t>牡蛎</w:t>
      </w:r>
      <w:r>
        <w:rPr>
          <w:rFonts w:hint="eastAsia"/>
          <w:szCs w:val="24"/>
          <w:lang w:val="en-US" w:eastAsia="zh-CN"/>
        </w:rPr>
        <w:t>样品混合均匀。取代表性样品0.5kg作为试样，用粉碎机粉碎并过</w:t>
      </w:r>
      <w:r>
        <w:rPr>
          <w:rFonts w:hint="eastAsia"/>
          <w:szCs w:val="24"/>
          <w:highlight w:val="none"/>
          <w:lang w:val="en-US" w:eastAsia="zh-CN"/>
        </w:rPr>
        <w:t>100目筛</w:t>
      </w:r>
      <w:r>
        <w:rPr>
          <w:rFonts w:hint="eastAsia"/>
          <w:szCs w:val="24"/>
          <w:highlight w:val="none"/>
          <w:lang w:eastAsia="zh-CN"/>
        </w:rPr>
        <w:t>（</w:t>
      </w:r>
      <w:r>
        <w:rPr>
          <w:rFonts w:hint="eastAsia"/>
          <w:szCs w:val="24"/>
          <w:highlight w:val="none"/>
          <w:lang w:val="en-US" w:eastAsia="zh-CN"/>
        </w:rPr>
        <w:t>孔径150</w:t>
      </w:r>
      <w:r>
        <w:rPr>
          <w:rFonts w:hint="default" w:ascii="Times New Roman" w:hAnsi="Times New Roman" w:cs="Times New Roman"/>
          <w:szCs w:val="24"/>
          <w:highlight w:val="none"/>
          <w:lang w:val="en-US" w:eastAsia="zh-CN"/>
        </w:rPr>
        <w:t>μ</w:t>
      </w:r>
      <w:r>
        <w:rPr>
          <w:rFonts w:hint="eastAsia"/>
          <w:szCs w:val="24"/>
          <w:highlight w:val="none"/>
          <w:lang w:val="en-US" w:eastAsia="zh-CN"/>
        </w:rPr>
        <w:t>m</w:t>
      </w:r>
      <w:r>
        <w:rPr>
          <w:rFonts w:hint="eastAsia"/>
          <w:szCs w:val="24"/>
          <w:highlight w:val="none"/>
          <w:lang w:eastAsia="zh-CN"/>
        </w:rPr>
        <w:t>）</w:t>
      </w:r>
      <w:r>
        <w:rPr>
          <w:rFonts w:hint="eastAsia"/>
          <w:szCs w:val="24"/>
          <w:highlight w:val="none"/>
          <w:lang w:val="en-US" w:eastAsia="zh-CN"/>
        </w:rPr>
        <w:t>。混匀密封，并做标记，作为验证试验的样品。</w:t>
      </w:r>
    </w:p>
    <w:p w14:paraId="04C0817B">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lang w:val="en-US" w:eastAsia="zh-CN"/>
        </w:rPr>
      </w:pPr>
      <w:r>
        <w:rPr>
          <w:rFonts w:hint="eastAsia"/>
          <w:szCs w:val="24"/>
          <w:lang w:val="en-US" w:eastAsia="zh-CN"/>
        </w:rPr>
        <w:t xml:space="preserve">A.2.3 样品的测定：利用近红外光谱仪测定样品的牡蛎氨基酸含量 </w:t>
      </w:r>
    </w:p>
    <w:p w14:paraId="2CA572D4">
      <w:pPr>
        <w:keepNext w:val="0"/>
        <w:keepLines w:val="0"/>
        <w:pageBreakBefore w:val="0"/>
        <w:widowControl w:val="0"/>
        <w:kinsoku/>
        <w:wordWrap/>
        <w:overflowPunct/>
        <w:topLinePunct w:val="0"/>
        <w:autoSpaceDE/>
        <w:autoSpaceDN/>
        <w:bidi w:val="0"/>
        <w:adjustRightInd/>
        <w:snapToGrid/>
        <w:spacing w:before="157" w:beforeLines="50" w:line="240" w:lineRule="auto"/>
        <w:textAlignment w:val="auto"/>
        <w:rPr>
          <w:rFonts w:hint="eastAsia"/>
          <w:szCs w:val="24"/>
        </w:rPr>
      </w:pPr>
      <w:r>
        <w:rPr>
          <w:rFonts w:hint="eastAsia"/>
          <w:b/>
          <w:bCs/>
          <w:szCs w:val="24"/>
        </w:rPr>
        <w:t>A.</w:t>
      </w:r>
      <w:r>
        <w:rPr>
          <w:rFonts w:hint="eastAsia"/>
          <w:b/>
          <w:bCs/>
          <w:szCs w:val="24"/>
          <w:lang w:val="en-US" w:eastAsia="zh-CN"/>
        </w:rPr>
        <w:t>3</w:t>
      </w:r>
      <w:r>
        <w:rPr>
          <w:rFonts w:hint="eastAsia"/>
          <w:b/>
          <w:bCs/>
          <w:szCs w:val="24"/>
        </w:rPr>
        <w:t xml:space="preserve"> </w:t>
      </w:r>
      <w:r>
        <w:rPr>
          <w:rFonts w:hint="eastAsia" w:ascii="Calibri" w:eastAsia="宋体"/>
          <w:b/>
          <w:bCs/>
          <w:szCs w:val="24"/>
          <w:lang w:val="en-US" w:eastAsia="zh-CN"/>
        </w:rPr>
        <w:t>样本</w:t>
      </w:r>
      <w:r>
        <w:rPr>
          <w:rFonts w:hint="eastAsia"/>
          <w:b/>
          <w:bCs/>
          <w:szCs w:val="24"/>
        </w:rPr>
        <w:t>保存</w:t>
      </w:r>
    </w:p>
    <w:p w14:paraId="4192BF8D">
      <w:pPr>
        <w:keepNext w:val="0"/>
        <w:keepLines w:val="0"/>
        <w:pageBreakBefore w:val="0"/>
        <w:widowControl w:val="0"/>
        <w:kinsoku/>
        <w:wordWrap/>
        <w:overflowPunct/>
        <w:topLinePunct w:val="0"/>
        <w:autoSpaceDE/>
        <w:autoSpaceDN/>
        <w:bidi w:val="0"/>
        <w:adjustRightInd/>
        <w:snapToGrid/>
        <w:spacing w:before="157" w:beforeLines="50" w:line="240" w:lineRule="auto"/>
        <w:ind w:firstLine="420" w:firstLineChars="200"/>
        <w:textAlignment w:val="auto"/>
        <w:rPr>
          <w:rFonts w:hint="eastAsia"/>
          <w:szCs w:val="24"/>
        </w:rPr>
      </w:pPr>
      <w:r>
        <w:rPr>
          <w:rFonts w:hint="eastAsia"/>
          <w:szCs w:val="24"/>
        </w:rPr>
        <w:t>监控样品应密封保存于通风、干燥、阴凉的环境中。当样品出现变质、吸潮、发霉等明显变化时，应重新制备。</w:t>
      </w:r>
    </w:p>
    <w:bookmarkEnd w:id="44"/>
    <w:p w14:paraId="65DEE54B">
      <w:pPr>
        <w:adjustRightInd/>
        <w:spacing w:line="240" w:lineRule="auto"/>
        <w:jc w:val="center"/>
        <w:rPr>
          <w:rFonts w:hint="eastAsia" w:ascii="Times New Roman"/>
          <w:szCs w:val="21"/>
          <w:lang w:eastAsia="zh-CN"/>
        </w:rPr>
      </w:pPr>
      <w:bookmarkStart w:id="45" w:name="BookMark8"/>
      <w:r>
        <w:rPr>
          <w:rFonts w:hint="eastAsia" w:ascii="Times New Roman"/>
          <w:szCs w:val="21"/>
        </w:rPr>
        <w:drawing>
          <wp:inline distT="0" distB="0" distL="0" distR="0">
            <wp:extent cx="1485900" cy="317500"/>
            <wp:effectExtent l="0" t="0" r="0" b="6350"/>
            <wp:docPr id="1029835723" name="图片 8"/>
            <wp:cNvGraphicFramePr/>
            <a:graphic xmlns:a="http://schemas.openxmlformats.org/drawingml/2006/main">
              <a:graphicData uri="http://schemas.openxmlformats.org/drawingml/2006/picture">
                <pic:pic xmlns:pic="http://schemas.openxmlformats.org/drawingml/2006/picture">
                  <pic:nvPicPr>
                    <pic:cNvPr id="1029835723" name="图片 8"/>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5"/>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DE49EE">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D3504">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5EF5C">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CA8D0">
    <w:pPr>
      <w:pStyle w:val="52"/>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AE3AA0">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AF6E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FB63F">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5D033">
    <w:pPr>
      <w:pStyle w:val="61"/>
      <w:rPr>
        <w:rFonts w:hint="eastAsia"/>
      </w:rPr>
    </w:pPr>
    <w:r>
      <w:fldChar w:fldCharType="begin"/>
    </w:r>
    <w:r>
      <w:instrText xml:space="preserve"> STYLEREF  标准文件_文件编号  \* MERGEFORMAT </w:instrText>
    </w:r>
    <w:r>
      <w:fldChar w:fldCharType="separate"/>
    </w:r>
    <w:r>
      <w:t>T/GXICMMA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50048F">
    <w:pPr>
      <w:pStyle w:val="18"/>
      <w:jc w:val="right"/>
    </w:pPr>
    <w:r>
      <w:fldChar w:fldCharType="begin"/>
    </w:r>
    <w:r>
      <w:instrText xml:space="preserve"> STYLEREF  标准文件_文件编号  \* MERGEFORMAT </w:instrText>
    </w:r>
    <w:r>
      <w:fldChar w:fldCharType="separate"/>
    </w:r>
    <w:r>
      <w:t>T/GXICMMA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1559"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attachedTemplate r:id="rId1"/>
  <w:documentProtection w:edit="forms" w:enforcement="1" w:cryptProviderType="rsaAES" w:cryptAlgorithmClass="hash" w:cryptAlgorithmType="typeAny" w:cryptAlgorithmSid="14" w:cryptSpinCount="100000" w:hash="lrcXtDJ1RL477wH/tOkctsEAVE9K1ax0m4R5BUdm4mw8lNFFNP3wyiif4eg9SSzk3uNoIJP3NE0t3H9pN47m6A==" w:salt="jIOVAJYUM+LnVhvm3r1rAg=="/>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UyMGQ0NmFjMWI3YWZjOTIwZjNkODM0MmMyZmZkOTgifQ=="/>
  </w:docVars>
  <w:rsids>
    <w:rsidRoot w:val="008F5805"/>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55A2"/>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29D7"/>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AE"/>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3B5"/>
    <w:rsid w:val="00435661"/>
    <w:rsid w:val="00435DF7"/>
    <w:rsid w:val="0043741A"/>
    <w:rsid w:val="0044083F"/>
    <w:rsid w:val="00441AE7"/>
    <w:rsid w:val="00445574"/>
    <w:rsid w:val="004467FB"/>
    <w:rsid w:val="00447516"/>
    <w:rsid w:val="00452D6B"/>
    <w:rsid w:val="00454484"/>
    <w:rsid w:val="0045517B"/>
    <w:rsid w:val="00463B77"/>
    <w:rsid w:val="00463C7B"/>
    <w:rsid w:val="004644A6"/>
    <w:rsid w:val="004659BD"/>
    <w:rsid w:val="00470775"/>
    <w:rsid w:val="004746B1"/>
    <w:rsid w:val="0047583F"/>
    <w:rsid w:val="00475DE8"/>
    <w:rsid w:val="00480466"/>
    <w:rsid w:val="00481C44"/>
    <w:rsid w:val="00484936"/>
    <w:rsid w:val="00485320"/>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371B"/>
    <w:rsid w:val="0058409C"/>
    <w:rsid w:val="00584262"/>
    <w:rsid w:val="00586630"/>
    <w:rsid w:val="00587ADD"/>
    <w:rsid w:val="00593A49"/>
    <w:rsid w:val="00595BFE"/>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1AE0"/>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275"/>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23E6"/>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5805"/>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582E"/>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2DBC"/>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39E4"/>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142D"/>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1484"/>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9D6"/>
    <w:rsid w:val="00EE0350"/>
    <w:rsid w:val="00EE0719"/>
    <w:rsid w:val="00EE0E80"/>
    <w:rsid w:val="00EE36C2"/>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5E3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0F7FF3"/>
    <w:rsid w:val="01473385"/>
    <w:rsid w:val="01A56261"/>
    <w:rsid w:val="021533E7"/>
    <w:rsid w:val="028C2676"/>
    <w:rsid w:val="02EC2927"/>
    <w:rsid w:val="02F520D1"/>
    <w:rsid w:val="03053CF6"/>
    <w:rsid w:val="0414373E"/>
    <w:rsid w:val="042E0790"/>
    <w:rsid w:val="05600E1D"/>
    <w:rsid w:val="064C75F3"/>
    <w:rsid w:val="06D867B3"/>
    <w:rsid w:val="074044A1"/>
    <w:rsid w:val="0797664C"/>
    <w:rsid w:val="07CF6C00"/>
    <w:rsid w:val="08314CF2"/>
    <w:rsid w:val="088210AA"/>
    <w:rsid w:val="08852948"/>
    <w:rsid w:val="09120680"/>
    <w:rsid w:val="09137139"/>
    <w:rsid w:val="09A6526C"/>
    <w:rsid w:val="09C474A0"/>
    <w:rsid w:val="0AC65F7A"/>
    <w:rsid w:val="0AC736EC"/>
    <w:rsid w:val="0AF12517"/>
    <w:rsid w:val="0C721436"/>
    <w:rsid w:val="0C8F3D96"/>
    <w:rsid w:val="0C994C14"/>
    <w:rsid w:val="0D0F49DD"/>
    <w:rsid w:val="0D153941"/>
    <w:rsid w:val="0E4B0190"/>
    <w:rsid w:val="0E7D5E53"/>
    <w:rsid w:val="0E7E40C2"/>
    <w:rsid w:val="0EAC1011"/>
    <w:rsid w:val="0F2D1A21"/>
    <w:rsid w:val="0F627C4F"/>
    <w:rsid w:val="0FFF1A9C"/>
    <w:rsid w:val="102D273E"/>
    <w:rsid w:val="10BD35C7"/>
    <w:rsid w:val="111676F8"/>
    <w:rsid w:val="1195621D"/>
    <w:rsid w:val="11DB182B"/>
    <w:rsid w:val="11E22BBA"/>
    <w:rsid w:val="122761AD"/>
    <w:rsid w:val="12321EB3"/>
    <w:rsid w:val="12A460C1"/>
    <w:rsid w:val="12C329EB"/>
    <w:rsid w:val="12D76496"/>
    <w:rsid w:val="13082D68"/>
    <w:rsid w:val="13474DA3"/>
    <w:rsid w:val="135D2E40"/>
    <w:rsid w:val="147343AE"/>
    <w:rsid w:val="14AD74AF"/>
    <w:rsid w:val="15121A08"/>
    <w:rsid w:val="1537163B"/>
    <w:rsid w:val="156758B0"/>
    <w:rsid w:val="1594241D"/>
    <w:rsid w:val="15981F52"/>
    <w:rsid w:val="16077093"/>
    <w:rsid w:val="16585B40"/>
    <w:rsid w:val="16DA0303"/>
    <w:rsid w:val="16E2436A"/>
    <w:rsid w:val="16EA32F0"/>
    <w:rsid w:val="170A0BE8"/>
    <w:rsid w:val="177644D0"/>
    <w:rsid w:val="18581E27"/>
    <w:rsid w:val="18702CCD"/>
    <w:rsid w:val="18FC2805"/>
    <w:rsid w:val="191E097B"/>
    <w:rsid w:val="1A520504"/>
    <w:rsid w:val="1A7D269C"/>
    <w:rsid w:val="1B0B4F2F"/>
    <w:rsid w:val="1B1C4712"/>
    <w:rsid w:val="1B8F790E"/>
    <w:rsid w:val="1C563D22"/>
    <w:rsid w:val="1D8423B0"/>
    <w:rsid w:val="1F5844BB"/>
    <w:rsid w:val="1F5C6FA9"/>
    <w:rsid w:val="1FAD2A59"/>
    <w:rsid w:val="20A715FE"/>
    <w:rsid w:val="211A2370"/>
    <w:rsid w:val="21C2005C"/>
    <w:rsid w:val="21D50580"/>
    <w:rsid w:val="21FF6B6E"/>
    <w:rsid w:val="22140B6D"/>
    <w:rsid w:val="2318468D"/>
    <w:rsid w:val="231B5F2B"/>
    <w:rsid w:val="23B2616F"/>
    <w:rsid w:val="247A7B87"/>
    <w:rsid w:val="25265D2A"/>
    <w:rsid w:val="25F413E1"/>
    <w:rsid w:val="25F7199C"/>
    <w:rsid w:val="26427EB8"/>
    <w:rsid w:val="27B626C7"/>
    <w:rsid w:val="27E14B2F"/>
    <w:rsid w:val="27FC457D"/>
    <w:rsid w:val="282633A8"/>
    <w:rsid w:val="282C42AE"/>
    <w:rsid w:val="28722A91"/>
    <w:rsid w:val="287C746C"/>
    <w:rsid w:val="28AE2603"/>
    <w:rsid w:val="293B2E83"/>
    <w:rsid w:val="294F692F"/>
    <w:rsid w:val="297B5E58"/>
    <w:rsid w:val="29D56F2D"/>
    <w:rsid w:val="2A2B2EF8"/>
    <w:rsid w:val="2AF4735D"/>
    <w:rsid w:val="2B0A4285"/>
    <w:rsid w:val="2B3576F9"/>
    <w:rsid w:val="2BDC71BF"/>
    <w:rsid w:val="2C3F2C8B"/>
    <w:rsid w:val="2C526ACC"/>
    <w:rsid w:val="2CF6148A"/>
    <w:rsid w:val="2CFA049F"/>
    <w:rsid w:val="2D1660E1"/>
    <w:rsid w:val="2D276581"/>
    <w:rsid w:val="2FB614B6"/>
    <w:rsid w:val="2FB92D54"/>
    <w:rsid w:val="2FFB336C"/>
    <w:rsid w:val="30F207F1"/>
    <w:rsid w:val="30F54260"/>
    <w:rsid w:val="31701B38"/>
    <w:rsid w:val="3205220D"/>
    <w:rsid w:val="327439C4"/>
    <w:rsid w:val="32CC2D9E"/>
    <w:rsid w:val="33263E15"/>
    <w:rsid w:val="335800A3"/>
    <w:rsid w:val="33596947"/>
    <w:rsid w:val="33B850E7"/>
    <w:rsid w:val="34190265"/>
    <w:rsid w:val="354B08F2"/>
    <w:rsid w:val="357C1246"/>
    <w:rsid w:val="37113475"/>
    <w:rsid w:val="379A1B4C"/>
    <w:rsid w:val="37D43669"/>
    <w:rsid w:val="38102816"/>
    <w:rsid w:val="38451703"/>
    <w:rsid w:val="3A777A93"/>
    <w:rsid w:val="3AA9083F"/>
    <w:rsid w:val="3BC211E2"/>
    <w:rsid w:val="3D061514"/>
    <w:rsid w:val="3D51281E"/>
    <w:rsid w:val="3F952DA4"/>
    <w:rsid w:val="3FF34060"/>
    <w:rsid w:val="411F754D"/>
    <w:rsid w:val="422B5D33"/>
    <w:rsid w:val="425B44EE"/>
    <w:rsid w:val="428E0070"/>
    <w:rsid w:val="42D33CD5"/>
    <w:rsid w:val="431D6901"/>
    <w:rsid w:val="43DC25CF"/>
    <w:rsid w:val="446D6522"/>
    <w:rsid w:val="457C0654"/>
    <w:rsid w:val="46040D75"/>
    <w:rsid w:val="460F1B7D"/>
    <w:rsid w:val="46496788"/>
    <w:rsid w:val="4662784A"/>
    <w:rsid w:val="46804174"/>
    <w:rsid w:val="46DE0E27"/>
    <w:rsid w:val="47DC362C"/>
    <w:rsid w:val="47EB27F0"/>
    <w:rsid w:val="48164D90"/>
    <w:rsid w:val="48221986"/>
    <w:rsid w:val="4832149E"/>
    <w:rsid w:val="494D658F"/>
    <w:rsid w:val="496A2F20"/>
    <w:rsid w:val="49A3380F"/>
    <w:rsid w:val="49C5081B"/>
    <w:rsid w:val="49E2134B"/>
    <w:rsid w:val="49F06904"/>
    <w:rsid w:val="4B2652EA"/>
    <w:rsid w:val="4B5C6F5D"/>
    <w:rsid w:val="4BC0501D"/>
    <w:rsid w:val="4D2C3AF4"/>
    <w:rsid w:val="4D704F42"/>
    <w:rsid w:val="4E320449"/>
    <w:rsid w:val="50AA42C7"/>
    <w:rsid w:val="524D6ACC"/>
    <w:rsid w:val="52796647"/>
    <w:rsid w:val="52CA7D2F"/>
    <w:rsid w:val="52DB4C0C"/>
    <w:rsid w:val="52E32BA4"/>
    <w:rsid w:val="534D3CF9"/>
    <w:rsid w:val="546E6641"/>
    <w:rsid w:val="54BB4D05"/>
    <w:rsid w:val="54BC0A6D"/>
    <w:rsid w:val="550F5041"/>
    <w:rsid w:val="5521724C"/>
    <w:rsid w:val="55591EF4"/>
    <w:rsid w:val="5652514F"/>
    <w:rsid w:val="56942683"/>
    <w:rsid w:val="57076C14"/>
    <w:rsid w:val="572052E3"/>
    <w:rsid w:val="57DC2A49"/>
    <w:rsid w:val="580469B3"/>
    <w:rsid w:val="58157F82"/>
    <w:rsid w:val="58DF2304"/>
    <w:rsid w:val="590D1897"/>
    <w:rsid w:val="594C7EF0"/>
    <w:rsid w:val="59771406"/>
    <w:rsid w:val="59F91E1B"/>
    <w:rsid w:val="5A584D94"/>
    <w:rsid w:val="5AC8016B"/>
    <w:rsid w:val="5ADA1C4D"/>
    <w:rsid w:val="5B1447A6"/>
    <w:rsid w:val="5BC35E87"/>
    <w:rsid w:val="5BF136F2"/>
    <w:rsid w:val="5C026080"/>
    <w:rsid w:val="5CB47D46"/>
    <w:rsid w:val="5D83037A"/>
    <w:rsid w:val="5E671A49"/>
    <w:rsid w:val="5E9071F2"/>
    <w:rsid w:val="5F724F2B"/>
    <w:rsid w:val="60902F1D"/>
    <w:rsid w:val="614A6AB8"/>
    <w:rsid w:val="624F1172"/>
    <w:rsid w:val="628C5F22"/>
    <w:rsid w:val="62EB2CD8"/>
    <w:rsid w:val="633449F3"/>
    <w:rsid w:val="63B91C05"/>
    <w:rsid w:val="641C70D5"/>
    <w:rsid w:val="64850E7B"/>
    <w:rsid w:val="64EE1C5B"/>
    <w:rsid w:val="6635242D"/>
    <w:rsid w:val="66566A29"/>
    <w:rsid w:val="665A1E94"/>
    <w:rsid w:val="668D2269"/>
    <w:rsid w:val="670A5668"/>
    <w:rsid w:val="67DA5694"/>
    <w:rsid w:val="681E58D7"/>
    <w:rsid w:val="685C1EF3"/>
    <w:rsid w:val="6897117D"/>
    <w:rsid w:val="68AF64C7"/>
    <w:rsid w:val="693469CC"/>
    <w:rsid w:val="693F1738"/>
    <w:rsid w:val="6AAD57A0"/>
    <w:rsid w:val="6ACB7AD0"/>
    <w:rsid w:val="6BBA58AE"/>
    <w:rsid w:val="6C4258A4"/>
    <w:rsid w:val="6C4A06C2"/>
    <w:rsid w:val="6D6A7FB7"/>
    <w:rsid w:val="6D934609"/>
    <w:rsid w:val="6D940735"/>
    <w:rsid w:val="6E146DCC"/>
    <w:rsid w:val="6E647D53"/>
    <w:rsid w:val="6FB6638D"/>
    <w:rsid w:val="70D6480D"/>
    <w:rsid w:val="71687C83"/>
    <w:rsid w:val="73000D6D"/>
    <w:rsid w:val="73022925"/>
    <w:rsid w:val="74E05C5A"/>
    <w:rsid w:val="74E43126"/>
    <w:rsid w:val="754D1541"/>
    <w:rsid w:val="75911025"/>
    <w:rsid w:val="76DA67D9"/>
    <w:rsid w:val="76F1318D"/>
    <w:rsid w:val="77452DDC"/>
    <w:rsid w:val="777D59E2"/>
    <w:rsid w:val="77876861"/>
    <w:rsid w:val="789C633C"/>
    <w:rsid w:val="790F4A37"/>
    <w:rsid w:val="79144124"/>
    <w:rsid w:val="794E3ADA"/>
    <w:rsid w:val="79570BE0"/>
    <w:rsid w:val="79626728"/>
    <w:rsid w:val="79B84287"/>
    <w:rsid w:val="79F77CCE"/>
    <w:rsid w:val="7B1D5512"/>
    <w:rsid w:val="7B6969A9"/>
    <w:rsid w:val="7C38637B"/>
    <w:rsid w:val="7C4116D4"/>
    <w:rsid w:val="7C652859"/>
    <w:rsid w:val="7C7F3FAA"/>
    <w:rsid w:val="7CBA252F"/>
    <w:rsid w:val="7CCA6A7C"/>
    <w:rsid w:val="7E7C4C45"/>
    <w:rsid w:val="7EFD75B2"/>
    <w:rsid w:val="7F6C2F0C"/>
    <w:rsid w:val="7F963AE5"/>
    <w:rsid w:val="7FAF2D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ind w:left="0"/>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段"/>
    <w:qFormat/>
    <w:uiPriority w:val="99"/>
    <w:pPr>
      <w:tabs>
        <w:tab w:val="center" w:pos="4201"/>
        <w:tab w:val="right" w:leader="dot" w:pos="9298"/>
      </w:tabs>
      <w:autoSpaceDE w:val="0"/>
      <w:autoSpaceDN w:val="0"/>
      <w:ind w:firstLine="420" w:firstLineChars="200"/>
      <w:jc w:val="both"/>
    </w:pPr>
    <w:rPr>
      <w:rFonts w:ascii="宋体" w:hAnsi="Times New Roman" w:eastAsia="宋体" w:cs="Times New Roman"/>
      <w:sz w:val="21"/>
      <w:szCs w:val="22"/>
      <w:lang w:val="en-US" w:eastAsia="zh-CN" w:bidi="ar-SA"/>
    </w:rPr>
  </w:style>
  <w:style w:type="paragraph" w:customStyle="1" w:styleId="231">
    <w:name w:val="终结线"/>
    <w:basedOn w:val="1"/>
    <w:qFormat/>
    <w:uiPriority w:val="99"/>
    <w:pPr>
      <w:framePr w:hSpace="181" w:vSpace="181" w:wrap="around" w:vAnchor="text" w:hAnchor="margin" w:xAlign="center" w:y="285"/>
      <w:adjustRightInd/>
      <w:spacing w:line="240" w:lineRule="auto"/>
    </w:pPr>
    <w:rPr>
      <w:rFonts w:ascii="Times New Roman" w:hAnsi="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jpe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04CF262B8544B9D9CEF24C401A5787D"/>
        <w:style w:val=""/>
        <w:category>
          <w:name w:val="常规"/>
          <w:gallery w:val="placeholder"/>
        </w:category>
        <w:types>
          <w:type w:val="bbPlcHdr"/>
        </w:types>
        <w:behaviors>
          <w:behavior w:val="content"/>
        </w:behaviors>
        <w:description w:val=""/>
        <w:guid w:val="{7D75B254-5B83-40F5-B9F7-D81AC6D044A6}"/>
      </w:docPartPr>
      <w:docPartBody>
        <w:p w14:paraId="0E08D4FF">
          <w:pPr>
            <w:pStyle w:val="5"/>
            <w:rPr>
              <w:rFonts w:hint="eastAsia"/>
            </w:rPr>
          </w:pPr>
          <w:r>
            <w:rPr>
              <w:rStyle w:val="4"/>
              <w:rFonts w:hint="eastAsia"/>
            </w:rPr>
            <w:t>单击或点击此处输入文字。</w:t>
          </w:r>
        </w:p>
      </w:docPartBody>
    </w:docPart>
    <w:docPart>
      <w:docPartPr>
        <w:name w:val="2F1F3D064B3342338B3D705844621155"/>
        <w:style w:val=""/>
        <w:category>
          <w:name w:val="常规"/>
          <w:gallery w:val="placeholder"/>
        </w:category>
        <w:types>
          <w:type w:val="bbPlcHdr"/>
        </w:types>
        <w:behaviors>
          <w:behavior w:val="content"/>
        </w:behaviors>
        <w:description w:val=""/>
        <w:guid w:val="{D192668F-644A-4C1F-8A70-F766C849655B}"/>
      </w:docPartPr>
      <w:docPartBody>
        <w:p w14:paraId="50D7913C">
          <w:pPr>
            <w:pStyle w:val="6"/>
            <w:rPr>
              <w:rFonts w:hint="eastAsia"/>
            </w:rPr>
          </w:pPr>
          <w:r>
            <w:rPr>
              <w:rStyle w:val="4"/>
              <w:rFonts w:hint="eastAsia"/>
            </w:rPr>
            <w:t>选择一项。</w:t>
          </w:r>
        </w:p>
      </w:docPartBody>
    </w:docPart>
    <w:docPart>
      <w:docPartPr>
        <w:name w:val="18CBAFCBB6AD4AD0B0E3BA282EB171CC"/>
        <w:style w:val=""/>
        <w:category>
          <w:name w:val="常规"/>
          <w:gallery w:val="placeholder"/>
        </w:category>
        <w:types>
          <w:type w:val="bbPlcHdr"/>
        </w:types>
        <w:behaviors>
          <w:behavior w:val="content"/>
        </w:behaviors>
        <w:description w:val=""/>
        <w:guid w:val="{5F8A445E-8812-4772-8000-8CC907B7B045}"/>
      </w:docPartPr>
      <w:docPartBody>
        <w:p w14:paraId="02B54886">
          <w:pPr>
            <w:pStyle w:val="7"/>
            <w:rPr>
              <w:rFonts w:hint="eastAsia"/>
            </w:rPr>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8D3"/>
    <w:rsid w:val="002329D7"/>
    <w:rsid w:val="00693275"/>
    <w:rsid w:val="006958D3"/>
    <w:rsid w:val="00E35E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404CF262B8544B9D9CEF24C401A5787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
    <w:name w:val="2F1F3D064B3342338B3D705844621155"/>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
    <w:name w:val="18CBAFCBB6AD4AD0B0E3BA282EB171CC"/>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5</Pages>
  <Words>2077</Words>
  <Characters>2389</Characters>
  <Lines>109</Lines>
  <Paragraphs>135</Paragraphs>
  <TotalTime>0</TotalTime>
  <ScaleCrop>false</ScaleCrop>
  <LinksUpToDate>false</LinksUpToDate>
  <CharactersWithSpaces>2478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2026-01-16T08:04:00Z</dcterms:created>
  <dc:creator>邓笑治</dc:creator>
  <dc:description>&lt;config cover="true" show_menu="true" version="1.0.0" doctype="SDKXY"&gt;_x000d_
&lt;/config&gt;</dc:description>
  <cp:lastModifiedBy>7℃de訫晴</cp:lastModifiedBy>
  <cp:lastPrinted>2021-02-02T08:22:00Z</cp:lastPrinted>
  <dcterms:modified xsi:type="dcterms:W3CDTF">2026-05-18T04:46:46Z</dcterms:modified>
  <dc:title>团体标准</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E0D928785499446E9AACA4B469782952_13</vt:lpwstr>
  </property>
  <property fmtid="{D5CDD505-2E9C-101B-9397-08002B2CF9AE}" pid="16" name="KSOTemplateDocerSaveRecord">
    <vt:lpwstr>eyJoZGlkIjoiN2ZlNjIyZmY1NmI2OGM3NzZkYmNkZTM5MWI2ZDMxOWEiLCJ1c2VySWQiOiI2NjgyOTc5OTgifQ==</vt:lpwstr>
  </property>
</Properties>
</file>