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C72F6D">
      <w:pPr>
        <w:bidi w:val="0"/>
      </w:pPr>
    </w:p>
    <w:p w14:paraId="13732165">
      <w:pPr>
        <w:jc w:val="center"/>
        <w:rPr>
          <w:sz w:val="32"/>
        </w:rPr>
      </w:pPr>
    </w:p>
    <w:p w14:paraId="42D4ED64">
      <w:pPr>
        <w:jc w:val="center"/>
        <w:rPr>
          <w:sz w:val="32"/>
        </w:rPr>
      </w:pPr>
    </w:p>
    <w:p w14:paraId="7DA3FD07">
      <w:pPr>
        <w:snapToGrid w:val="0"/>
        <w:spacing w:line="360" w:lineRule="auto"/>
        <w:jc w:val="center"/>
        <w:rPr>
          <w:rFonts w:ascii="黑体" w:hAnsi="黑体" w:eastAsia="黑体" w:cs="黑体"/>
          <w:sz w:val="44"/>
          <w:szCs w:val="44"/>
        </w:rPr>
      </w:pPr>
      <w:r>
        <w:rPr>
          <w:rFonts w:hint="eastAsia" w:ascii="黑体" w:hAnsi="黑体" w:eastAsia="黑体" w:cs="黑体"/>
          <w:sz w:val="44"/>
          <w:szCs w:val="44"/>
        </w:rPr>
        <w:t>《污染土壤修复工厂应用技术规范》</w:t>
      </w:r>
    </w:p>
    <w:p w14:paraId="7C159A7B">
      <w:pPr>
        <w:snapToGrid w:val="0"/>
        <w:spacing w:line="360" w:lineRule="auto"/>
        <w:jc w:val="center"/>
        <w:rPr>
          <w:rFonts w:ascii="黑体" w:hAnsi="黑体" w:eastAsia="黑体" w:cs="黑体"/>
          <w:sz w:val="44"/>
          <w:szCs w:val="44"/>
        </w:rPr>
      </w:pPr>
      <w:r>
        <w:rPr>
          <w:rFonts w:hint="eastAsia" w:ascii="黑体" w:hAnsi="黑体" w:eastAsia="黑体" w:cs="黑体"/>
          <w:sz w:val="44"/>
          <w:szCs w:val="44"/>
        </w:rPr>
        <w:t>编制说明</w:t>
      </w:r>
    </w:p>
    <w:p w14:paraId="63D454D2">
      <w:pPr>
        <w:snapToGrid w:val="0"/>
        <w:spacing w:line="360" w:lineRule="auto"/>
        <w:jc w:val="center"/>
        <w:rPr>
          <w:rFonts w:ascii="黑体" w:hAnsi="黑体" w:eastAsia="黑体" w:cs="黑体"/>
          <w:sz w:val="44"/>
          <w:szCs w:val="44"/>
        </w:rPr>
      </w:pPr>
    </w:p>
    <w:p w14:paraId="63C6EB1B">
      <w:pPr>
        <w:snapToGrid w:val="0"/>
        <w:spacing w:line="360" w:lineRule="auto"/>
        <w:jc w:val="center"/>
        <w:rPr>
          <w:rFonts w:ascii="黑体" w:hAnsi="黑体" w:eastAsia="黑体" w:cs="黑体"/>
          <w:sz w:val="44"/>
          <w:szCs w:val="44"/>
        </w:rPr>
      </w:pPr>
    </w:p>
    <w:p w14:paraId="61365D72">
      <w:pPr>
        <w:snapToGrid w:val="0"/>
        <w:spacing w:line="360" w:lineRule="auto"/>
        <w:jc w:val="center"/>
        <w:rPr>
          <w:rFonts w:ascii="黑体" w:hAnsi="黑体" w:eastAsia="黑体" w:cs="黑体"/>
          <w:sz w:val="32"/>
        </w:rPr>
      </w:pPr>
    </w:p>
    <w:p w14:paraId="7DABDB2B">
      <w:pPr>
        <w:snapToGrid w:val="0"/>
        <w:spacing w:line="360" w:lineRule="auto"/>
        <w:jc w:val="center"/>
        <w:rPr>
          <w:rFonts w:ascii="黑体" w:hAnsi="黑体" w:eastAsia="黑体" w:cs="黑体"/>
          <w:sz w:val="32"/>
        </w:rPr>
      </w:pPr>
    </w:p>
    <w:p w14:paraId="4503EB05">
      <w:pPr>
        <w:snapToGrid w:val="0"/>
        <w:spacing w:line="360" w:lineRule="auto"/>
        <w:jc w:val="center"/>
        <w:rPr>
          <w:rFonts w:ascii="黑体" w:hAnsi="黑体" w:eastAsia="黑体" w:cs="黑体"/>
          <w:sz w:val="32"/>
        </w:rPr>
      </w:pPr>
    </w:p>
    <w:p w14:paraId="425BF5F5">
      <w:pPr>
        <w:snapToGrid w:val="0"/>
        <w:spacing w:line="360" w:lineRule="auto"/>
        <w:jc w:val="center"/>
        <w:rPr>
          <w:rFonts w:ascii="黑体" w:hAnsi="黑体" w:eastAsia="黑体" w:cs="黑体"/>
          <w:sz w:val="32"/>
        </w:rPr>
      </w:pPr>
    </w:p>
    <w:p w14:paraId="5CF79B5B">
      <w:pPr>
        <w:snapToGrid w:val="0"/>
        <w:spacing w:line="360" w:lineRule="auto"/>
        <w:jc w:val="center"/>
        <w:rPr>
          <w:rFonts w:ascii="黑体" w:hAnsi="黑体" w:eastAsia="黑体" w:cs="黑体"/>
          <w:sz w:val="32"/>
        </w:rPr>
      </w:pPr>
    </w:p>
    <w:p w14:paraId="220FECB8">
      <w:pPr>
        <w:snapToGrid w:val="0"/>
        <w:spacing w:line="360" w:lineRule="auto"/>
        <w:jc w:val="center"/>
        <w:rPr>
          <w:rFonts w:ascii="黑体" w:hAnsi="黑体" w:eastAsia="黑体" w:cs="黑体"/>
          <w:sz w:val="32"/>
        </w:rPr>
      </w:pPr>
    </w:p>
    <w:p w14:paraId="57F90F95">
      <w:pPr>
        <w:snapToGrid w:val="0"/>
        <w:spacing w:line="360" w:lineRule="auto"/>
        <w:jc w:val="center"/>
        <w:rPr>
          <w:rFonts w:ascii="黑体" w:hAnsi="黑体" w:eastAsia="黑体" w:cs="黑体"/>
          <w:sz w:val="32"/>
        </w:rPr>
      </w:pPr>
    </w:p>
    <w:p w14:paraId="08D79E93">
      <w:pPr>
        <w:snapToGrid w:val="0"/>
        <w:spacing w:line="360" w:lineRule="auto"/>
        <w:rPr>
          <w:rFonts w:ascii="黑体" w:hAnsi="黑体" w:eastAsia="黑体" w:cs="黑体"/>
          <w:sz w:val="32"/>
        </w:rPr>
      </w:pPr>
    </w:p>
    <w:p w14:paraId="52EB1FE7">
      <w:pPr>
        <w:snapToGrid w:val="0"/>
        <w:spacing w:line="360" w:lineRule="auto"/>
        <w:jc w:val="center"/>
        <w:rPr>
          <w:rFonts w:ascii="黑体" w:hAnsi="黑体" w:eastAsia="黑体" w:cs="黑体"/>
          <w:sz w:val="32"/>
        </w:rPr>
      </w:pPr>
    </w:p>
    <w:p w14:paraId="2133CB18">
      <w:pPr>
        <w:snapToGrid w:val="0"/>
        <w:spacing w:line="360" w:lineRule="auto"/>
        <w:jc w:val="center"/>
        <w:rPr>
          <w:rFonts w:ascii="黑体" w:hAnsi="黑体" w:eastAsia="黑体" w:cs="黑体"/>
          <w:sz w:val="32"/>
        </w:rPr>
      </w:pPr>
    </w:p>
    <w:p w14:paraId="5B0319F4">
      <w:pPr>
        <w:snapToGrid w:val="0"/>
        <w:spacing w:line="360" w:lineRule="auto"/>
        <w:jc w:val="center"/>
        <w:rPr>
          <w:rFonts w:ascii="黑体" w:hAnsi="黑体" w:eastAsia="黑体" w:cs="黑体"/>
          <w:sz w:val="32"/>
        </w:rPr>
      </w:pPr>
      <w:r>
        <w:rPr>
          <w:rFonts w:hint="eastAsia" w:ascii="黑体" w:hAnsi="黑体" w:eastAsia="黑体" w:cs="黑体"/>
          <w:sz w:val="32"/>
        </w:rPr>
        <w:t>《污染土壤修复工厂应用技术规范》编制组</w:t>
      </w:r>
    </w:p>
    <w:p w14:paraId="2107955C">
      <w:pPr>
        <w:autoSpaceDE w:val="0"/>
        <w:autoSpaceDN w:val="0"/>
        <w:adjustRightInd w:val="0"/>
        <w:snapToGrid w:val="0"/>
        <w:spacing w:line="360" w:lineRule="auto"/>
        <w:jc w:val="center"/>
        <w:rPr>
          <w:rFonts w:ascii="黑体" w:hAnsi="黑体" w:eastAsia="黑体" w:cs="黑体"/>
          <w:kern w:val="0"/>
          <w:sz w:val="28"/>
          <w:szCs w:val="28"/>
        </w:rPr>
      </w:pPr>
      <w:r>
        <w:rPr>
          <w:rFonts w:hint="eastAsia" w:ascii="黑体" w:hAnsi="黑体" w:eastAsia="黑体" w:cs="黑体"/>
          <w:kern w:val="0"/>
          <w:sz w:val="28"/>
          <w:szCs w:val="28"/>
        </w:rPr>
        <w:t>二〇</w:t>
      </w:r>
      <w:r>
        <w:rPr>
          <w:rFonts w:hint="eastAsia" w:ascii="黑体" w:hAnsi="黑体" w:eastAsia="黑体" w:cs="黑体"/>
          <w:kern w:val="0"/>
          <w:sz w:val="28"/>
          <w:szCs w:val="28"/>
          <w:lang w:val="en-US" w:eastAsia="zh-CN"/>
        </w:rPr>
        <w:t>二六</w:t>
      </w:r>
      <w:r>
        <w:rPr>
          <w:rFonts w:hint="eastAsia" w:ascii="黑体" w:hAnsi="黑体" w:eastAsia="黑体" w:cs="黑体"/>
          <w:kern w:val="0"/>
          <w:sz w:val="28"/>
          <w:szCs w:val="28"/>
        </w:rPr>
        <w:t>年</w:t>
      </w:r>
      <w:r>
        <w:rPr>
          <w:rFonts w:hint="eastAsia" w:ascii="黑体" w:hAnsi="黑体" w:eastAsia="黑体" w:cs="黑体"/>
          <w:kern w:val="0"/>
          <w:sz w:val="28"/>
          <w:szCs w:val="28"/>
          <w:lang w:val="en-US" w:eastAsia="zh-CN"/>
        </w:rPr>
        <w:t>四</w:t>
      </w:r>
      <w:r>
        <w:rPr>
          <w:rFonts w:hint="eastAsia" w:ascii="黑体" w:hAnsi="黑体" w:eastAsia="黑体" w:cs="黑体"/>
          <w:kern w:val="0"/>
          <w:sz w:val="28"/>
          <w:szCs w:val="28"/>
        </w:rPr>
        <w:t>月</w:t>
      </w:r>
    </w:p>
    <w:p w14:paraId="6465A478">
      <w:pPr>
        <w:autoSpaceDE w:val="0"/>
        <w:autoSpaceDN w:val="0"/>
        <w:adjustRightInd w:val="0"/>
        <w:snapToGrid w:val="0"/>
        <w:spacing w:line="360" w:lineRule="auto"/>
        <w:rPr>
          <w:rFonts w:ascii="黑体" w:hAnsi="黑体" w:eastAsia="黑体" w:cs="黑体"/>
          <w:kern w:val="0"/>
          <w:sz w:val="28"/>
          <w:szCs w:val="28"/>
        </w:rPr>
        <w:sectPr>
          <w:headerReference r:id="rId4" w:type="first"/>
          <w:footerReference r:id="rId7" w:type="first"/>
          <w:footerReference r:id="rId5" w:type="default"/>
          <w:headerReference r:id="rId3" w:type="even"/>
          <w:footerReference r:id="rId6" w:type="even"/>
          <w:pgSz w:w="11906" w:h="16838"/>
          <w:pgMar w:top="1440" w:right="1800" w:bottom="1440" w:left="1800" w:header="851" w:footer="992" w:gutter="0"/>
          <w:cols w:space="425" w:num="1"/>
          <w:docGrid w:type="lines" w:linePitch="312" w:charSpace="0"/>
        </w:sectPr>
      </w:pPr>
    </w:p>
    <w:p w14:paraId="3AF9BD98">
      <w:pPr>
        <w:autoSpaceDE w:val="0"/>
        <w:autoSpaceDN w:val="0"/>
        <w:adjustRightInd w:val="0"/>
        <w:snapToGrid w:val="0"/>
        <w:spacing w:line="360" w:lineRule="auto"/>
        <w:rPr>
          <w:rFonts w:ascii="黑体" w:hAnsi="黑体" w:eastAsia="黑体" w:cs="黑体"/>
          <w:kern w:val="0"/>
          <w:sz w:val="28"/>
          <w:szCs w:val="28"/>
        </w:rPr>
      </w:pPr>
    </w:p>
    <w:p w14:paraId="19EB3B86">
      <w:pPr>
        <w:jc w:val="center"/>
        <w:rPr>
          <w:rFonts w:ascii="黑体" w:hAnsi="黑体" w:eastAsia="黑体" w:cs="黑体"/>
          <w:sz w:val="32"/>
          <w:szCs w:val="32"/>
        </w:rPr>
      </w:pPr>
      <w:r>
        <w:rPr>
          <w:rFonts w:hint="eastAsia" w:ascii="黑体" w:hAnsi="黑体" w:eastAsia="黑体" w:cs="黑体"/>
          <w:sz w:val="32"/>
          <w:szCs w:val="32"/>
        </w:rPr>
        <w:t>目  录</w:t>
      </w:r>
    </w:p>
    <w:p w14:paraId="70574C35">
      <w:pPr>
        <w:jc w:val="center"/>
        <w:rPr>
          <w:rFonts w:ascii="宋体" w:hAnsi="宋体"/>
          <w:sz w:val="36"/>
          <w:szCs w:val="36"/>
        </w:rPr>
      </w:pPr>
    </w:p>
    <w:p w14:paraId="3C8860FF">
      <w:pPr>
        <w:pStyle w:val="12"/>
        <w:tabs>
          <w:tab w:val="right" w:leader="dot" w:pos="8306"/>
        </w:tabs>
      </w:pPr>
      <w:r>
        <w:rPr>
          <w:szCs w:val="21"/>
        </w:rPr>
        <w:fldChar w:fldCharType="begin"/>
      </w:r>
      <w:r>
        <w:rPr>
          <w:szCs w:val="21"/>
        </w:rPr>
        <w:instrText xml:space="preserve"> TOC \o "1-3" \h \z \u </w:instrText>
      </w:r>
      <w:r>
        <w:rPr>
          <w:szCs w:val="21"/>
        </w:rPr>
        <w:fldChar w:fldCharType="separate"/>
      </w:r>
      <w:r>
        <w:rPr>
          <w:szCs w:val="21"/>
        </w:rPr>
        <w:fldChar w:fldCharType="begin"/>
      </w:r>
      <w:r>
        <w:rPr>
          <w:szCs w:val="21"/>
        </w:rPr>
        <w:instrText xml:space="preserve"> HYPERLINK \l _Toc26440 </w:instrText>
      </w:r>
      <w:r>
        <w:rPr>
          <w:szCs w:val="21"/>
        </w:rPr>
        <w:fldChar w:fldCharType="separate"/>
      </w:r>
      <w:r>
        <w:rPr>
          <w:rFonts w:hint="eastAsia" w:ascii="黑体" w:hAnsi="黑体" w:eastAsia="黑体" w:cs="黑体"/>
          <w:bCs w:val="0"/>
          <w:szCs w:val="21"/>
        </w:rPr>
        <w:t xml:space="preserve">1 </w:t>
      </w:r>
      <w:r>
        <w:rPr>
          <w:rFonts w:eastAsia="黑体"/>
          <w:bCs w:val="0"/>
          <w:szCs w:val="21"/>
        </w:rPr>
        <w:t>工作简况</w:t>
      </w:r>
      <w:r>
        <w:tab/>
      </w:r>
      <w:r>
        <w:fldChar w:fldCharType="begin"/>
      </w:r>
      <w:r>
        <w:instrText xml:space="preserve"> PAGEREF _Toc26440 \h </w:instrText>
      </w:r>
      <w:r>
        <w:fldChar w:fldCharType="separate"/>
      </w:r>
      <w:r>
        <w:t>3</w:t>
      </w:r>
      <w:r>
        <w:fldChar w:fldCharType="end"/>
      </w:r>
      <w:r>
        <w:rPr>
          <w:szCs w:val="21"/>
        </w:rPr>
        <w:fldChar w:fldCharType="end"/>
      </w:r>
    </w:p>
    <w:p w14:paraId="62272E0A">
      <w:pPr>
        <w:pStyle w:val="13"/>
        <w:tabs>
          <w:tab w:val="right" w:leader="dot" w:pos="8306"/>
        </w:tabs>
      </w:pPr>
      <w:r>
        <w:fldChar w:fldCharType="begin"/>
      </w:r>
      <w:r>
        <w:instrText xml:space="preserve"> HYPERLINK \l _Toc22250 </w:instrText>
      </w:r>
      <w:r>
        <w:fldChar w:fldCharType="separate"/>
      </w:r>
      <w:r>
        <w:rPr>
          <w:rFonts w:hint="eastAsia"/>
          <w:lang w:val="en-US" w:eastAsia="zh-CN"/>
        </w:rPr>
        <w:t>1.1</w:t>
      </w:r>
      <w:r>
        <w:t>任务来源</w:t>
      </w:r>
      <w:r>
        <w:tab/>
      </w:r>
      <w:r>
        <w:fldChar w:fldCharType="begin"/>
      </w:r>
      <w:r>
        <w:instrText xml:space="preserve"> PAGEREF _Toc22250 \h </w:instrText>
      </w:r>
      <w:r>
        <w:fldChar w:fldCharType="separate"/>
      </w:r>
      <w:r>
        <w:t>3</w:t>
      </w:r>
      <w:r>
        <w:fldChar w:fldCharType="end"/>
      </w:r>
      <w:r>
        <w:fldChar w:fldCharType="end"/>
      </w:r>
    </w:p>
    <w:p w14:paraId="397D0A2C">
      <w:pPr>
        <w:pStyle w:val="13"/>
        <w:tabs>
          <w:tab w:val="right" w:leader="dot" w:pos="8306"/>
        </w:tabs>
      </w:pPr>
      <w:r>
        <w:fldChar w:fldCharType="begin"/>
      </w:r>
      <w:r>
        <w:instrText xml:space="preserve"> HYPERLINK \l _Toc29664 </w:instrText>
      </w:r>
      <w:r>
        <w:fldChar w:fldCharType="separate"/>
      </w:r>
      <w:r>
        <w:rPr>
          <w:rFonts w:cs="Times New Roman"/>
        </w:rPr>
        <w:t>1.2</w:t>
      </w:r>
      <w:r>
        <w:rPr>
          <w:rFonts w:hint="eastAsia" w:cs="Times New Roman"/>
          <w:lang w:val="en-US" w:eastAsia="zh-CN"/>
        </w:rPr>
        <w:t xml:space="preserve"> </w:t>
      </w:r>
      <w:r>
        <w:rPr>
          <w:rFonts w:cs="Times New Roman"/>
        </w:rPr>
        <w:t>协作单位</w:t>
      </w:r>
      <w:r>
        <w:tab/>
      </w:r>
      <w:r>
        <w:fldChar w:fldCharType="begin"/>
      </w:r>
      <w:r>
        <w:instrText xml:space="preserve"> PAGEREF _Toc29664 \h </w:instrText>
      </w:r>
      <w:r>
        <w:fldChar w:fldCharType="separate"/>
      </w:r>
      <w:r>
        <w:t>3</w:t>
      </w:r>
      <w:r>
        <w:fldChar w:fldCharType="end"/>
      </w:r>
      <w:r>
        <w:fldChar w:fldCharType="end"/>
      </w:r>
    </w:p>
    <w:p w14:paraId="3592A4B6">
      <w:pPr>
        <w:pStyle w:val="13"/>
        <w:tabs>
          <w:tab w:val="right" w:leader="dot" w:pos="8306"/>
        </w:tabs>
      </w:pPr>
      <w:r>
        <w:fldChar w:fldCharType="begin"/>
      </w:r>
      <w:r>
        <w:instrText xml:space="preserve"> HYPERLINK \l _Toc17436 </w:instrText>
      </w:r>
      <w:r>
        <w:fldChar w:fldCharType="separate"/>
      </w:r>
      <w:r>
        <w:rPr>
          <w:rFonts w:eastAsia="黑体"/>
          <w:bCs/>
          <w:szCs w:val="21"/>
        </w:rPr>
        <w:t>1.3</w:t>
      </w:r>
      <w:r>
        <w:rPr>
          <w:rFonts w:hint="eastAsia" w:eastAsia="黑体"/>
          <w:bCs/>
          <w:szCs w:val="21"/>
          <w:lang w:val="en-US" w:eastAsia="zh-CN"/>
        </w:rPr>
        <w:t xml:space="preserve"> </w:t>
      </w:r>
      <w:r>
        <w:rPr>
          <w:rFonts w:hint="eastAsia" w:ascii="宋体" w:hAnsi="宋体" w:eastAsia="宋体" w:cs="宋体"/>
          <w:bCs/>
          <w:szCs w:val="21"/>
          <w:lang w:val="zh-CN"/>
        </w:rPr>
        <w:t>主要工作过程</w:t>
      </w:r>
      <w:r>
        <w:tab/>
      </w:r>
      <w:r>
        <w:fldChar w:fldCharType="begin"/>
      </w:r>
      <w:r>
        <w:instrText xml:space="preserve"> PAGEREF _Toc17436 \h </w:instrText>
      </w:r>
      <w:r>
        <w:fldChar w:fldCharType="separate"/>
      </w:r>
      <w:r>
        <w:t>3</w:t>
      </w:r>
      <w:r>
        <w:fldChar w:fldCharType="end"/>
      </w:r>
      <w:r>
        <w:fldChar w:fldCharType="end"/>
      </w:r>
    </w:p>
    <w:p w14:paraId="5FC71B5B">
      <w:pPr>
        <w:pStyle w:val="8"/>
        <w:tabs>
          <w:tab w:val="right" w:leader="dot" w:pos="8306"/>
        </w:tabs>
      </w:pPr>
      <w:r>
        <w:fldChar w:fldCharType="begin"/>
      </w:r>
      <w:r>
        <w:instrText xml:space="preserve"> HYPERLINK \l _Toc24059 </w:instrText>
      </w:r>
      <w:r>
        <w:fldChar w:fldCharType="separate"/>
      </w:r>
      <w:r>
        <w:t>1.3.</w:t>
      </w:r>
      <w:r>
        <w:rPr>
          <w:rFonts w:hint="eastAsia"/>
        </w:rPr>
        <w:t xml:space="preserve">1 </w:t>
      </w:r>
      <w:r>
        <w:t>成立标准制订编制组</w:t>
      </w:r>
      <w:r>
        <w:tab/>
      </w:r>
      <w:r>
        <w:fldChar w:fldCharType="begin"/>
      </w:r>
      <w:r>
        <w:instrText xml:space="preserve"> PAGEREF _Toc24059 \h </w:instrText>
      </w:r>
      <w:r>
        <w:fldChar w:fldCharType="separate"/>
      </w:r>
      <w:r>
        <w:t>3</w:t>
      </w:r>
      <w:r>
        <w:fldChar w:fldCharType="end"/>
      </w:r>
      <w:r>
        <w:fldChar w:fldCharType="end"/>
      </w:r>
    </w:p>
    <w:p w14:paraId="5D1A54F9">
      <w:pPr>
        <w:pStyle w:val="8"/>
        <w:tabs>
          <w:tab w:val="right" w:leader="dot" w:pos="8306"/>
        </w:tabs>
      </w:pPr>
      <w:r>
        <w:fldChar w:fldCharType="begin"/>
      </w:r>
      <w:r>
        <w:instrText xml:space="preserve"> HYPERLINK \l _Toc12505 </w:instrText>
      </w:r>
      <w:r>
        <w:fldChar w:fldCharType="separate"/>
      </w:r>
      <w:r>
        <w:rPr>
          <w:rFonts w:hint="eastAsia"/>
        </w:rPr>
        <w:t xml:space="preserve">1.3.2 </w:t>
      </w:r>
      <w:r>
        <w:t>查询国内外相关标准和文献资料、编制大纲及草案</w:t>
      </w:r>
      <w:r>
        <w:tab/>
      </w:r>
      <w:r>
        <w:fldChar w:fldCharType="begin"/>
      </w:r>
      <w:r>
        <w:instrText xml:space="preserve"> PAGEREF _Toc12505 \h </w:instrText>
      </w:r>
      <w:r>
        <w:fldChar w:fldCharType="separate"/>
      </w:r>
      <w:r>
        <w:t>3</w:t>
      </w:r>
      <w:r>
        <w:fldChar w:fldCharType="end"/>
      </w:r>
      <w:r>
        <w:fldChar w:fldCharType="end"/>
      </w:r>
    </w:p>
    <w:p w14:paraId="65D1135F">
      <w:pPr>
        <w:pStyle w:val="8"/>
        <w:tabs>
          <w:tab w:val="right" w:leader="dot" w:pos="8306"/>
        </w:tabs>
      </w:pPr>
      <w:r>
        <w:fldChar w:fldCharType="begin"/>
      </w:r>
      <w:r>
        <w:instrText xml:space="preserve"> HYPERLINK \l _Toc22082 </w:instrText>
      </w:r>
      <w:r>
        <w:fldChar w:fldCharType="separate"/>
      </w:r>
      <w:r>
        <w:rPr>
          <w:rFonts w:hint="eastAsia"/>
        </w:rPr>
        <w:t xml:space="preserve">1.3.3 </w:t>
      </w:r>
      <w:r>
        <w:t>编制开题论证报告及标准草案</w:t>
      </w:r>
      <w:r>
        <w:tab/>
      </w:r>
      <w:r>
        <w:fldChar w:fldCharType="begin"/>
      </w:r>
      <w:r>
        <w:instrText xml:space="preserve"> PAGEREF _Toc22082 \h </w:instrText>
      </w:r>
      <w:r>
        <w:fldChar w:fldCharType="separate"/>
      </w:r>
      <w:r>
        <w:t>3</w:t>
      </w:r>
      <w:r>
        <w:fldChar w:fldCharType="end"/>
      </w:r>
      <w:r>
        <w:fldChar w:fldCharType="end"/>
      </w:r>
    </w:p>
    <w:p w14:paraId="59B5ABA7">
      <w:pPr>
        <w:pStyle w:val="8"/>
        <w:tabs>
          <w:tab w:val="right" w:leader="dot" w:pos="8306"/>
        </w:tabs>
      </w:pPr>
      <w:r>
        <w:fldChar w:fldCharType="begin"/>
      </w:r>
      <w:r>
        <w:instrText xml:space="preserve"> HYPERLINK \l _Toc19881 </w:instrText>
      </w:r>
      <w:r>
        <w:fldChar w:fldCharType="separate"/>
      </w:r>
      <w:r>
        <w:rPr>
          <w:rFonts w:hint="eastAsia"/>
        </w:rPr>
        <w:t xml:space="preserve">1.3.4 </w:t>
      </w:r>
      <w:r>
        <w:t>召开专家指导审查会</w:t>
      </w:r>
      <w:r>
        <w:tab/>
      </w:r>
      <w:r>
        <w:fldChar w:fldCharType="begin"/>
      </w:r>
      <w:r>
        <w:instrText xml:space="preserve"> PAGEREF _Toc19881 \h </w:instrText>
      </w:r>
      <w:r>
        <w:fldChar w:fldCharType="separate"/>
      </w:r>
      <w:r>
        <w:t>4</w:t>
      </w:r>
      <w:r>
        <w:fldChar w:fldCharType="end"/>
      </w:r>
      <w:r>
        <w:fldChar w:fldCharType="end"/>
      </w:r>
    </w:p>
    <w:p w14:paraId="205B1045">
      <w:pPr>
        <w:pStyle w:val="8"/>
        <w:tabs>
          <w:tab w:val="right" w:leader="dot" w:pos="8306"/>
        </w:tabs>
      </w:pPr>
      <w:r>
        <w:fldChar w:fldCharType="begin"/>
      </w:r>
      <w:r>
        <w:instrText xml:space="preserve"> HYPERLINK \l _Toc11135 </w:instrText>
      </w:r>
      <w:r>
        <w:fldChar w:fldCharType="separate"/>
      </w:r>
      <w:r>
        <w:rPr>
          <w:rFonts w:hint="eastAsia"/>
        </w:rPr>
        <w:t xml:space="preserve">1.3.5 </w:t>
      </w:r>
      <w:r>
        <w:t>召开立项评审会</w:t>
      </w:r>
      <w:r>
        <w:tab/>
      </w:r>
      <w:r>
        <w:fldChar w:fldCharType="begin"/>
      </w:r>
      <w:r>
        <w:instrText xml:space="preserve"> PAGEREF _Toc11135 \h </w:instrText>
      </w:r>
      <w:r>
        <w:fldChar w:fldCharType="separate"/>
      </w:r>
      <w:r>
        <w:t>4</w:t>
      </w:r>
      <w:r>
        <w:fldChar w:fldCharType="end"/>
      </w:r>
      <w:r>
        <w:fldChar w:fldCharType="end"/>
      </w:r>
    </w:p>
    <w:p w14:paraId="0187CC71">
      <w:pPr>
        <w:pStyle w:val="8"/>
        <w:tabs>
          <w:tab w:val="right" w:leader="dot" w:pos="8306"/>
        </w:tabs>
      </w:pPr>
      <w:r>
        <w:fldChar w:fldCharType="begin"/>
      </w:r>
      <w:r>
        <w:instrText xml:space="preserve"> HYPERLINK \l _Toc5390 </w:instrText>
      </w:r>
      <w:r>
        <w:fldChar w:fldCharType="separate"/>
      </w:r>
      <w:r>
        <w:rPr>
          <w:rFonts w:hint="eastAsia"/>
        </w:rPr>
        <w:t>1.3.6 召开专家组讨论会</w:t>
      </w:r>
      <w:r>
        <w:tab/>
      </w:r>
      <w:r>
        <w:fldChar w:fldCharType="begin"/>
      </w:r>
      <w:r>
        <w:instrText xml:space="preserve"> PAGEREF _Toc5390 \h </w:instrText>
      </w:r>
      <w:r>
        <w:fldChar w:fldCharType="separate"/>
      </w:r>
      <w:r>
        <w:t>4</w:t>
      </w:r>
      <w:r>
        <w:fldChar w:fldCharType="end"/>
      </w:r>
      <w:r>
        <w:fldChar w:fldCharType="end"/>
      </w:r>
    </w:p>
    <w:p w14:paraId="265B97B0">
      <w:pPr>
        <w:pStyle w:val="8"/>
        <w:tabs>
          <w:tab w:val="right" w:leader="dot" w:pos="8306"/>
        </w:tabs>
      </w:pPr>
      <w:r>
        <w:fldChar w:fldCharType="begin"/>
      </w:r>
      <w:r>
        <w:instrText xml:space="preserve"> HYPERLINK \l _Toc8605 </w:instrText>
      </w:r>
      <w:r>
        <w:fldChar w:fldCharType="separate"/>
      </w:r>
      <w:r>
        <w:rPr>
          <w:rFonts w:hint="eastAsia"/>
        </w:rPr>
        <w:t xml:space="preserve">1.3.7 </w:t>
      </w:r>
      <w:r>
        <w:t>召开征求意见稿技术审查会</w:t>
      </w:r>
      <w:r>
        <w:tab/>
      </w:r>
      <w:r>
        <w:fldChar w:fldCharType="begin"/>
      </w:r>
      <w:r>
        <w:instrText xml:space="preserve"> PAGEREF _Toc8605 \h </w:instrText>
      </w:r>
      <w:r>
        <w:fldChar w:fldCharType="separate"/>
      </w:r>
      <w:r>
        <w:t>4</w:t>
      </w:r>
      <w:r>
        <w:fldChar w:fldCharType="end"/>
      </w:r>
      <w:r>
        <w:fldChar w:fldCharType="end"/>
      </w:r>
    </w:p>
    <w:p w14:paraId="2DEB035A">
      <w:pPr>
        <w:pStyle w:val="12"/>
        <w:tabs>
          <w:tab w:val="right" w:leader="dot" w:pos="8306"/>
        </w:tabs>
      </w:pPr>
      <w:r>
        <w:fldChar w:fldCharType="begin"/>
      </w:r>
      <w:r>
        <w:instrText xml:space="preserve"> HYPERLINK \l _Toc26863 </w:instrText>
      </w:r>
      <w:r>
        <w:fldChar w:fldCharType="separate"/>
      </w:r>
      <w:r>
        <w:rPr>
          <w:rFonts w:eastAsia="黑体"/>
          <w:bCs w:val="0"/>
          <w:szCs w:val="21"/>
        </w:rPr>
        <w:t>2</w:t>
      </w:r>
      <w:r>
        <w:rPr>
          <w:rFonts w:hint="eastAsia" w:eastAsia="黑体"/>
          <w:bCs w:val="0"/>
          <w:szCs w:val="21"/>
          <w:lang w:val="en-US" w:eastAsia="zh-CN"/>
        </w:rPr>
        <w:t xml:space="preserve"> </w:t>
      </w:r>
      <w:r>
        <w:rPr>
          <w:rFonts w:eastAsia="黑体"/>
          <w:bCs w:val="0"/>
          <w:szCs w:val="21"/>
        </w:rPr>
        <w:t>标准制定必要性、编制依据、编制原则</w:t>
      </w:r>
      <w:r>
        <w:tab/>
      </w:r>
      <w:r>
        <w:fldChar w:fldCharType="begin"/>
      </w:r>
      <w:r>
        <w:instrText xml:space="preserve"> PAGEREF _Toc26863 \h </w:instrText>
      </w:r>
      <w:r>
        <w:fldChar w:fldCharType="separate"/>
      </w:r>
      <w:r>
        <w:t>4</w:t>
      </w:r>
      <w:r>
        <w:fldChar w:fldCharType="end"/>
      </w:r>
      <w:r>
        <w:fldChar w:fldCharType="end"/>
      </w:r>
    </w:p>
    <w:p w14:paraId="59D1B8FE">
      <w:pPr>
        <w:pStyle w:val="13"/>
        <w:tabs>
          <w:tab w:val="right" w:leader="dot" w:pos="8306"/>
        </w:tabs>
      </w:pPr>
      <w:r>
        <w:fldChar w:fldCharType="begin"/>
      </w:r>
      <w:r>
        <w:instrText xml:space="preserve"> HYPERLINK \l _Toc12774 </w:instrText>
      </w:r>
      <w:r>
        <w:fldChar w:fldCharType="separate"/>
      </w:r>
      <w:r>
        <w:rPr>
          <w:rFonts w:cs="Times New Roman"/>
          <w:bCs w:val="0"/>
        </w:rPr>
        <w:t>2.1</w:t>
      </w:r>
      <w:r>
        <w:rPr>
          <w:rFonts w:hint="eastAsia" w:cs="Times New Roman"/>
          <w:bCs w:val="0"/>
          <w:lang w:val="en-US" w:eastAsia="zh-CN"/>
        </w:rPr>
        <w:t xml:space="preserve"> </w:t>
      </w:r>
      <w:r>
        <w:rPr>
          <w:rFonts w:hint="eastAsia" w:ascii="黑体" w:hAnsi="黑体" w:cs="黑体"/>
          <w:bCs w:val="0"/>
        </w:rPr>
        <w:t>制定必要性和重要意义</w:t>
      </w:r>
      <w:r>
        <w:tab/>
      </w:r>
      <w:r>
        <w:fldChar w:fldCharType="begin"/>
      </w:r>
      <w:r>
        <w:instrText xml:space="preserve"> PAGEREF _Toc12774 \h </w:instrText>
      </w:r>
      <w:r>
        <w:fldChar w:fldCharType="separate"/>
      </w:r>
      <w:r>
        <w:t>4</w:t>
      </w:r>
      <w:r>
        <w:fldChar w:fldCharType="end"/>
      </w:r>
      <w:r>
        <w:fldChar w:fldCharType="end"/>
      </w:r>
    </w:p>
    <w:p w14:paraId="6F3BED4A">
      <w:pPr>
        <w:pStyle w:val="13"/>
        <w:tabs>
          <w:tab w:val="right" w:leader="dot" w:pos="8306"/>
        </w:tabs>
      </w:pPr>
      <w:r>
        <w:fldChar w:fldCharType="begin"/>
      </w:r>
      <w:r>
        <w:instrText xml:space="preserve"> HYPERLINK \l _Toc2153 </w:instrText>
      </w:r>
      <w:r>
        <w:fldChar w:fldCharType="separate"/>
      </w:r>
      <w:r>
        <w:rPr>
          <w:rFonts w:cs="Times New Roman"/>
          <w:bCs w:val="0"/>
        </w:rPr>
        <w:t>2.2</w:t>
      </w:r>
      <w:r>
        <w:rPr>
          <w:rFonts w:hint="eastAsia" w:cs="Times New Roman"/>
          <w:bCs w:val="0"/>
          <w:lang w:val="en-US" w:eastAsia="zh-CN"/>
        </w:rPr>
        <w:t xml:space="preserve"> </w:t>
      </w:r>
      <w:r>
        <w:rPr>
          <w:rFonts w:hint="eastAsia" w:ascii="黑体" w:hAnsi="黑体" w:cs="黑体"/>
          <w:bCs w:val="0"/>
        </w:rPr>
        <w:t>编制依据</w:t>
      </w:r>
      <w:r>
        <w:tab/>
      </w:r>
      <w:r>
        <w:fldChar w:fldCharType="begin"/>
      </w:r>
      <w:r>
        <w:instrText xml:space="preserve"> PAGEREF _Toc2153 \h </w:instrText>
      </w:r>
      <w:r>
        <w:fldChar w:fldCharType="separate"/>
      </w:r>
      <w:r>
        <w:t>6</w:t>
      </w:r>
      <w:r>
        <w:fldChar w:fldCharType="end"/>
      </w:r>
      <w:r>
        <w:fldChar w:fldCharType="end"/>
      </w:r>
    </w:p>
    <w:p w14:paraId="443485C3">
      <w:pPr>
        <w:pStyle w:val="8"/>
        <w:tabs>
          <w:tab w:val="right" w:leader="dot" w:pos="8306"/>
        </w:tabs>
      </w:pPr>
      <w:r>
        <w:fldChar w:fldCharType="begin"/>
      </w:r>
      <w:r>
        <w:instrText xml:space="preserve"> HYPERLINK \l _Toc1564 </w:instrText>
      </w:r>
      <w:r>
        <w:fldChar w:fldCharType="separate"/>
      </w:r>
      <w:r>
        <w:rPr>
          <w:rFonts w:eastAsia="黑体"/>
          <w:szCs w:val="32"/>
        </w:rPr>
        <w:t>2.2.1</w:t>
      </w:r>
      <w:r>
        <w:rPr>
          <w:rFonts w:hint="eastAsia" w:eastAsia="黑体"/>
          <w:szCs w:val="32"/>
          <w:lang w:val="en-US" w:eastAsia="zh-CN"/>
        </w:rPr>
        <w:t xml:space="preserve"> </w:t>
      </w:r>
      <w:r>
        <w:rPr>
          <w:rFonts w:hint="eastAsia" w:ascii="宋体" w:hAnsi="宋体" w:eastAsia="宋体" w:cs="宋体"/>
          <w:szCs w:val="32"/>
        </w:rPr>
        <w:t>政策法律依据</w:t>
      </w:r>
      <w:r>
        <w:tab/>
      </w:r>
      <w:r>
        <w:fldChar w:fldCharType="begin"/>
      </w:r>
      <w:r>
        <w:instrText xml:space="preserve"> PAGEREF _Toc1564 \h </w:instrText>
      </w:r>
      <w:r>
        <w:fldChar w:fldCharType="separate"/>
      </w:r>
      <w:r>
        <w:t>6</w:t>
      </w:r>
      <w:r>
        <w:fldChar w:fldCharType="end"/>
      </w:r>
      <w:r>
        <w:fldChar w:fldCharType="end"/>
      </w:r>
    </w:p>
    <w:p w14:paraId="3E17DA27">
      <w:pPr>
        <w:pStyle w:val="8"/>
        <w:tabs>
          <w:tab w:val="right" w:leader="dot" w:pos="8306"/>
        </w:tabs>
      </w:pPr>
      <w:r>
        <w:fldChar w:fldCharType="begin"/>
      </w:r>
      <w:r>
        <w:instrText xml:space="preserve"> HYPERLINK \l _Toc2301 </w:instrText>
      </w:r>
      <w:r>
        <w:fldChar w:fldCharType="separate"/>
      </w:r>
      <w:r>
        <w:rPr>
          <w:rFonts w:eastAsia="黑体"/>
          <w:szCs w:val="32"/>
        </w:rPr>
        <w:t>2.2.2</w:t>
      </w:r>
      <w:r>
        <w:rPr>
          <w:rFonts w:hint="eastAsia" w:eastAsia="黑体"/>
          <w:szCs w:val="32"/>
          <w:lang w:val="en-US" w:eastAsia="zh-CN"/>
        </w:rPr>
        <w:t xml:space="preserve"> </w:t>
      </w:r>
      <w:r>
        <w:rPr>
          <w:rFonts w:hint="eastAsia" w:ascii="宋体" w:hAnsi="宋体" w:eastAsia="宋体" w:cs="宋体"/>
          <w:szCs w:val="32"/>
        </w:rPr>
        <w:t>技术依据</w:t>
      </w:r>
      <w:r>
        <w:tab/>
      </w:r>
      <w:r>
        <w:fldChar w:fldCharType="begin"/>
      </w:r>
      <w:r>
        <w:instrText xml:space="preserve"> PAGEREF _Toc2301 \h </w:instrText>
      </w:r>
      <w:r>
        <w:fldChar w:fldCharType="separate"/>
      </w:r>
      <w:r>
        <w:t>6</w:t>
      </w:r>
      <w:r>
        <w:fldChar w:fldCharType="end"/>
      </w:r>
      <w:r>
        <w:fldChar w:fldCharType="end"/>
      </w:r>
    </w:p>
    <w:p w14:paraId="0DE78138">
      <w:pPr>
        <w:pStyle w:val="12"/>
        <w:tabs>
          <w:tab w:val="right" w:leader="dot" w:pos="8306"/>
        </w:tabs>
      </w:pPr>
      <w:r>
        <w:fldChar w:fldCharType="begin"/>
      </w:r>
      <w:r>
        <w:instrText xml:space="preserve"> HYPERLINK \l _Toc19800 </w:instrText>
      </w:r>
      <w:r>
        <w:fldChar w:fldCharType="separate"/>
      </w:r>
      <w:r>
        <w:rPr>
          <w:rFonts w:eastAsia="黑体"/>
          <w:bCs w:val="0"/>
          <w:szCs w:val="21"/>
        </w:rPr>
        <w:t>3</w:t>
      </w:r>
      <w:r>
        <w:rPr>
          <w:rFonts w:hint="eastAsia" w:ascii="黑体" w:hAnsi="黑体" w:eastAsia="黑体" w:cs="黑体"/>
          <w:bCs w:val="0"/>
          <w:szCs w:val="21"/>
        </w:rPr>
        <w:t xml:space="preserve"> 国内外相关标准研究</w:t>
      </w:r>
      <w:r>
        <w:tab/>
      </w:r>
      <w:r>
        <w:fldChar w:fldCharType="begin"/>
      </w:r>
      <w:r>
        <w:instrText xml:space="preserve"> PAGEREF _Toc19800 \h </w:instrText>
      </w:r>
      <w:r>
        <w:fldChar w:fldCharType="separate"/>
      </w:r>
      <w:r>
        <w:t>8</w:t>
      </w:r>
      <w:r>
        <w:fldChar w:fldCharType="end"/>
      </w:r>
      <w:r>
        <w:fldChar w:fldCharType="end"/>
      </w:r>
    </w:p>
    <w:p w14:paraId="6DC7A1C9">
      <w:pPr>
        <w:pStyle w:val="12"/>
        <w:tabs>
          <w:tab w:val="right" w:leader="dot" w:pos="8306"/>
        </w:tabs>
      </w:pPr>
      <w:r>
        <w:fldChar w:fldCharType="begin"/>
      </w:r>
      <w:r>
        <w:instrText xml:space="preserve"> HYPERLINK \l _Toc5761 </w:instrText>
      </w:r>
      <w:r>
        <w:fldChar w:fldCharType="separate"/>
      </w:r>
      <w:r>
        <w:rPr>
          <w:rFonts w:eastAsia="黑体"/>
          <w:bCs w:val="0"/>
          <w:szCs w:val="21"/>
        </w:rPr>
        <w:t>4</w:t>
      </w:r>
      <w:r>
        <w:rPr>
          <w:rFonts w:hint="eastAsia" w:ascii="黑体" w:hAnsi="黑体" w:eastAsia="黑体" w:cs="黑体"/>
          <w:bCs w:val="0"/>
          <w:szCs w:val="21"/>
        </w:rPr>
        <w:t xml:space="preserve"> 同类工程现状调研</w:t>
      </w:r>
      <w:r>
        <w:tab/>
      </w:r>
      <w:r>
        <w:fldChar w:fldCharType="begin"/>
      </w:r>
      <w:r>
        <w:instrText xml:space="preserve"> PAGEREF _Toc5761 \h </w:instrText>
      </w:r>
      <w:r>
        <w:fldChar w:fldCharType="separate"/>
      </w:r>
      <w:r>
        <w:t>8</w:t>
      </w:r>
      <w:r>
        <w:fldChar w:fldCharType="end"/>
      </w:r>
      <w:r>
        <w:fldChar w:fldCharType="end"/>
      </w:r>
    </w:p>
    <w:p w14:paraId="483D1648">
      <w:pPr>
        <w:pStyle w:val="13"/>
        <w:tabs>
          <w:tab w:val="right" w:leader="dot" w:pos="8306"/>
        </w:tabs>
      </w:pPr>
      <w:r>
        <w:fldChar w:fldCharType="begin"/>
      </w:r>
      <w:r>
        <w:instrText xml:space="preserve"> HYPERLINK \l _Toc16591 </w:instrText>
      </w:r>
      <w:r>
        <w:fldChar w:fldCharType="separate"/>
      </w:r>
      <w:r>
        <w:rPr>
          <w:rFonts w:hint="eastAsia"/>
        </w:rPr>
        <w:t>4.1 土壤修复工厂典型案例汇总</w:t>
      </w:r>
      <w:r>
        <w:tab/>
      </w:r>
      <w:r>
        <w:fldChar w:fldCharType="begin"/>
      </w:r>
      <w:r>
        <w:instrText xml:space="preserve"> PAGEREF _Toc16591 \h </w:instrText>
      </w:r>
      <w:r>
        <w:fldChar w:fldCharType="separate"/>
      </w:r>
      <w:r>
        <w:t>8</w:t>
      </w:r>
      <w:r>
        <w:fldChar w:fldCharType="end"/>
      </w:r>
      <w:r>
        <w:fldChar w:fldCharType="end"/>
      </w:r>
    </w:p>
    <w:p w14:paraId="0566A534">
      <w:pPr>
        <w:pStyle w:val="13"/>
        <w:tabs>
          <w:tab w:val="right" w:leader="dot" w:pos="8306"/>
        </w:tabs>
      </w:pPr>
      <w:r>
        <w:fldChar w:fldCharType="begin"/>
      </w:r>
      <w:r>
        <w:instrText xml:space="preserve"> HYPERLINK \l _Toc5942 </w:instrText>
      </w:r>
      <w:r>
        <w:fldChar w:fldCharType="separate"/>
      </w:r>
      <w:r>
        <w:rPr>
          <w:rFonts w:hint="eastAsia"/>
        </w:rPr>
        <w:t>4.2</w:t>
      </w:r>
      <w:r>
        <w:rPr>
          <w:rFonts w:hint="eastAsia"/>
          <w:lang w:val="en-US" w:eastAsia="zh-CN"/>
        </w:rPr>
        <w:t xml:space="preserve"> </w:t>
      </w:r>
      <w:r>
        <w:rPr>
          <w:rFonts w:hint="eastAsia"/>
        </w:rPr>
        <w:t>宝山南大土壤修复基地</w:t>
      </w:r>
      <w:r>
        <w:tab/>
      </w:r>
      <w:r>
        <w:fldChar w:fldCharType="begin"/>
      </w:r>
      <w:r>
        <w:instrText xml:space="preserve"> PAGEREF _Toc5942 \h </w:instrText>
      </w:r>
      <w:r>
        <w:fldChar w:fldCharType="separate"/>
      </w:r>
      <w:r>
        <w:t>8</w:t>
      </w:r>
      <w:r>
        <w:fldChar w:fldCharType="end"/>
      </w:r>
      <w:r>
        <w:fldChar w:fldCharType="end"/>
      </w:r>
    </w:p>
    <w:p w14:paraId="39BF4F09">
      <w:pPr>
        <w:pStyle w:val="13"/>
        <w:tabs>
          <w:tab w:val="right" w:leader="dot" w:pos="8306"/>
        </w:tabs>
      </w:pPr>
      <w:r>
        <w:fldChar w:fldCharType="begin"/>
      </w:r>
      <w:r>
        <w:instrText xml:space="preserve"> HYPERLINK \l _Toc8186 </w:instrText>
      </w:r>
      <w:r>
        <w:fldChar w:fldCharType="separate"/>
      </w:r>
      <w:r>
        <w:rPr>
          <w:rFonts w:hint="eastAsia"/>
        </w:rPr>
        <w:t>4.3</w:t>
      </w:r>
      <w:r>
        <w:rPr>
          <w:rFonts w:hint="eastAsia"/>
          <w:lang w:val="en-US" w:eastAsia="zh-CN"/>
        </w:rPr>
        <w:t xml:space="preserve"> </w:t>
      </w:r>
      <w:r>
        <w:rPr>
          <w:rFonts w:hint="eastAsia"/>
        </w:rPr>
        <w:t>桃浦智创城修复终端</w:t>
      </w:r>
      <w:r>
        <w:tab/>
      </w:r>
      <w:r>
        <w:fldChar w:fldCharType="begin"/>
      </w:r>
      <w:r>
        <w:instrText xml:space="preserve"> PAGEREF _Toc8186 \h </w:instrText>
      </w:r>
      <w:r>
        <w:fldChar w:fldCharType="separate"/>
      </w:r>
      <w:r>
        <w:t>9</w:t>
      </w:r>
      <w:r>
        <w:fldChar w:fldCharType="end"/>
      </w:r>
      <w:r>
        <w:fldChar w:fldCharType="end"/>
      </w:r>
    </w:p>
    <w:p w14:paraId="18B88CAA">
      <w:pPr>
        <w:pStyle w:val="13"/>
        <w:tabs>
          <w:tab w:val="right" w:leader="dot" w:pos="8306"/>
        </w:tabs>
      </w:pPr>
      <w:r>
        <w:fldChar w:fldCharType="begin"/>
      </w:r>
      <w:r>
        <w:instrText xml:space="preserve"> HYPERLINK \l _Toc32243 </w:instrText>
      </w:r>
      <w:r>
        <w:fldChar w:fldCharType="separate"/>
      </w:r>
      <w:r>
        <w:rPr>
          <w:rFonts w:hint="eastAsia" w:ascii="宋体" w:hAnsi="宋体" w:eastAsia="宋体" w:cs="宋体"/>
          <w:bCs w:val="0"/>
        </w:rPr>
        <w:t>4.4</w:t>
      </w:r>
      <w:r>
        <w:rPr>
          <w:rFonts w:hint="eastAsia" w:ascii="宋体" w:hAnsi="宋体" w:eastAsia="宋体" w:cs="宋体"/>
          <w:bCs w:val="0"/>
          <w:lang w:val="en-US" w:eastAsia="zh-CN"/>
        </w:rPr>
        <w:t xml:space="preserve"> </w:t>
      </w:r>
      <w:r>
        <w:rPr>
          <w:rFonts w:hint="eastAsia" w:ascii="宋体" w:hAnsi="宋体" w:eastAsia="宋体" w:cs="宋体"/>
          <w:bCs w:val="0"/>
        </w:rPr>
        <w:t>南京小南化土壤异位修复工厂</w:t>
      </w:r>
      <w:r>
        <w:tab/>
      </w:r>
      <w:r>
        <w:fldChar w:fldCharType="begin"/>
      </w:r>
      <w:r>
        <w:instrText xml:space="preserve"> PAGEREF _Toc32243 \h </w:instrText>
      </w:r>
      <w:r>
        <w:fldChar w:fldCharType="separate"/>
      </w:r>
      <w:r>
        <w:t>9</w:t>
      </w:r>
      <w:r>
        <w:fldChar w:fldCharType="end"/>
      </w:r>
      <w:r>
        <w:fldChar w:fldCharType="end"/>
      </w:r>
    </w:p>
    <w:p w14:paraId="32B71295">
      <w:pPr>
        <w:pStyle w:val="12"/>
        <w:tabs>
          <w:tab w:val="right" w:leader="dot" w:pos="8306"/>
        </w:tabs>
      </w:pPr>
      <w:r>
        <w:fldChar w:fldCharType="begin"/>
      </w:r>
      <w:r>
        <w:instrText xml:space="preserve"> HYPERLINK \l _Toc26283 </w:instrText>
      </w:r>
      <w:r>
        <w:fldChar w:fldCharType="separate"/>
      </w:r>
      <w:r>
        <w:rPr>
          <w:rFonts w:eastAsia="黑体"/>
          <w:bCs w:val="0"/>
          <w:szCs w:val="21"/>
        </w:rPr>
        <w:t xml:space="preserve">5 </w:t>
      </w:r>
      <w:r>
        <w:rPr>
          <w:rFonts w:hint="eastAsia" w:ascii="黑体" w:hAnsi="黑体" w:eastAsia="黑体" w:cs="黑体"/>
          <w:bCs w:val="0"/>
          <w:szCs w:val="21"/>
        </w:rPr>
        <w:t>主要技术内容及说明</w:t>
      </w:r>
      <w:r>
        <w:tab/>
      </w:r>
      <w:r>
        <w:fldChar w:fldCharType="begin"/>
      </w:r>
      <w:r>
        <w:instrText xml:space="preserve"> PAGEREF _Toc26283 \h </w:instrText>
      </w:r>
      <w:r>
        <w:fldChar w:fldCharType="separate"/>
      </w:r>
      <w:r>
        <w:t>9</w:t>
      </w:r>
      <w:r>
        <w:fldChar w:fldCharType="end"/>
      </w:r>
      <w:r>
        <w:fldChar w:fldCharType="end"/>
      </w:r>
    </w:p>
    <w:p w14:paraId="4A1D125D">
      <w:pPr>
        <w:pStyle w:val="13"/>
        <w:tabs>
          <w:tab w:val="right" w:leader="dot" w:pos="8306"/>
        </w:tabs>
      </w:pPr>
      <w:r>
        <w:fldChar w:fldCharType="begin"/>
      </w:r>
      <w:r>
        <w:instrText xml:space="preserve"> HYPERLINK \l _Toc8775 </w:instrText>
      </w:r>
      <w:r>
        <w:fldChar w:fldCharType="separate"/>
      </w:r>
      <w:r>
        <w:rPr>
          <w:rFonts w:cs="Times New Roman"/>
          <w:bCs w:val="0"/>
        </w:rPr>
        <w:t>5.1</w:t>
      </w:r>
      <w:r>
        <w:rPr>
          <w:rFonts w:hint="eastAsia" w:cs="Times New Roman"/>
          <w:bCs w:val="0"/>
          <w:lang w:val="en-US" w:eastAsia="zh-CN"/>
        </w:rPr>
        <w:t xml:space="preserve"> </w:t>
      </w:r>
      <w:r>
        <w:rPr>
          <w:rFonts w:hint="eastAsia" w:ascii="黑体" w:hAnsi="黑体" w:cs="黑体"/>
          <w:bCs w:val="0"/>
        </w:rPr>
        <w:t>基本规定</w:t>
      </w:r>
      <w:r>
        <w:tab/>
      </w:r>
      <w:r>
        <w:fldChar w:fldCharType="begin"/>
      </w:r>
      <w:r>
        <w:instrText xml:space="preserve"> PAGEREF _Toc8775 \h </w:instrText>
      </w:r>
      <w:r>
        <w:fldChar w:fldCharType="separate"/>
      </w:r>
      <w:r>
        <w:t>9</w:t>
      </w:r>
      <w:r>
        <w:fldChar w:fldCharType="end"/>
      </w:r>
      <w:r>
        <w:fldChar w:fldCharType="end"/>
      </w:r>
    </w:p>
    <w:p w14:paraId="063FFD68">
      <w:pPr>
        <w:pStyle w:val="8"/>
        <w:tabs>
          <w:tab w:val="right" w:leader="dot" w:pos="8306"/>
        </w:tabs>
      </w:pPr>
      <w:r>
        <w:fldChar w:fldCharType="begin"/>
      </w:r>
      <w:r>
        <w:instrText xml:space="preserve"> HYPERLINK \l _Toc21780 </w:instrText>
      </w:r>
      <w:r>
        <w:fldChar w:fldCharType="separate"/>
      </w:r>
      <w:r>
        <w:rPr>
          <w:rFonts w:hint="eastAsia" w:eastAsia="宋体"/>
          <w:bCs w:val="0"/>
          <w:szCs w:val="24"/>
        </w:rPr>
        <w:t>5.1.1</w:t>
      </w:r>
      <w:r>
        <w:rPr>
          <w:rFonts w:eastAsia="宋体"/>
          <w:bCs w:val="0"/>
          <w:szCs w:val="24"/>
        </w:rPr>
        <w:t xml:space="preserve"> </w:t>
      </w:r>
      <w:r>
        <w:rPr>
          <w:rFonts w:hint="eastAsia" w:eastAsia="宋体"/>
          <w:bCs w:val="0"/>
          <w:szCs w:val="24"/>
        </w:rPr>
        <w:t>土壤来源</w:t>
      </w:r>
      <w:r>
        <w:tab/>
      </w:r>
      <w:r>
        <w:fldChar w:fldCharType="begin"/>
      </w:r>
      <w:r>
        <w:instrText xml:space="preserve"> PAGEREF _Toc21780 \h </w:instrText>
      </w:r>
      <w:r>
        <w:fldChar w:fldCharType="separate"/>
      </w:r>
      <w:r>
        <w:t>9</w:t>
      </w:r>
      <w:r>
        <w:fldChar w:fldCharType="end"/>
      </w:r>
      <w:r>
        <w:fldChar w:fldCharType="end"/>
      </w:r>
    </w:p>
    <w:p w14:paraId="4BCF070D">
      <w:pPr>
        <w:pStyle w:val="8"/>
        <w:tabs>
          <w:tab w:val="right" w:leader="dot" w:pos="8306"/>
        </w:tabs>
      </w:pPr>
      <w:r>
        <w:fldChar w:fldCharType="begin"/>
      </w:r>
      <w:r>
        <w:instrText xml:space="preserve"> HYPERLINK \l _Toc30458 </w:instrText>
      </w:r>
      <w:r>
        <w:fldChar w:fldCharType="separate"/>
      </w:r>
      <w:r>
        <w:rPr>
          <w:rFonts w:hint="eastAsia"/>
        </w:rPr>
        <w:t>5.1.2 修复流程</w:t>
      </w:r>
      <w:r>
        <w:tab/>
      </w:r>
      <w:r>
        <w:fldChar w:fldCharType="begin"/>
      </w:r>
      <w:r>
        <w:instrText xml:space="preserve"> PAGEREF _Toc30458 \h </w:instrText>
      </w:r>
      <w:r>
        <w:fldChar w:fldCharType="separate"/>
      </w:r>
      <w:r>
        <w:t>10</w:t>
      </w:r>
      <w:r>
        <w:fldChar w:fldCharType="end"/>
      </w:r>
      <w:r>
        <w:fldChar w:fldCharType="end"/>
      </w:r>
    </w:p>
    <w:p w14:paraId="44A4B2AC">
      <w:pPr>
        <w:pStyle w:val="8"/>
        <w:tabs>
          <w:tab w:val="right" w:leader="dot" w:pos="8306"/>
        </w:tabs>
      </w:pPr>
      <w:r>
        <w:fldChar w:fldCharType="begin"/>
      </w:r>
      <w:r>
        <w:instrText xml:space="preserve"> HYPERLINK \l _Toc24787 </w:instrText>
      </w:r>
      <w:r>
        <w:fldChar w:fldCharType="separate"/>
      </w:r>
      <w:r>
        <w:rPr>
          <w:rFonts w:hint="eastAsia"/>
        </w:rPr>
        <w:t>5.1.3 技术路线</w:t>
      </w:r>
      <w:r>
        <w:tab/>
      </w:r>
      <w:r>
        <w:fldChar w:fldCharType="begin"/>
      </w:r>
      <w:r>
        <w:instrText xml:space="preserve"> PAGEREF _Toc24787 \h </w:instrText>
      </w:r>
      <w:r>
        <w:fldChar w:fldCharType="separate"/>
      </w:r>
      <w:r>
        <w:t>10</w:t>
      </w:r>
      <w:r>
        <w:fldChar w:fldCharType="end"/>
      </w:r>
      <w:r>
        <w:fldChar w:fldCharType="end"/>
      </w:r>
    </w:p>
    <w:p w14:paraId="5F968A0F">
      <w:pPr>
        <w:pStyle w:val="8"/>
        <w:tabs>
          <w:tab w:val="right" w:leader="dot" w:pos="8306"/>
        </w:tabs>
      </w:pPr>
      <w:r>
        <w:fldChar w:fldCharType="begin"/>
      </w:r>
      <w:r>
        <w:instrText xml:space="preserve"> HYPERLINK \l _Toc31069 </w:instrText>
      </w:r>
      <w:r>
        <w:fldChar w:fldCharType="separate"/>
      </w:r>
      <w:r>
        <w:rPr>
          <w:szCs w:val="22"/>
        </w:rPr>
        <w:t xml:space="preserve">5.1.4 </w:t>
      </w:r>
      <w:r>
        <w:rPr>
          <w:rFonts w:hint="eastAsia" w:ascii="宋体" w:hAnsi="宋体" w:eastAsia="宋体" w:cs="宋体"/>
          <w:szCs w:val="22"/>
        </w:rPr>
        <w:t>土壤</w:t>
      </w:r>
      <w:r>
        <w:rPr>
          <w:rFonts w:hint="eastAsia"/>
          <w:szCs w:val="22"/>
          <w:lang w:val="en-US" w:eastAsia="zh-CN"/>
        </w:rPr>
        <w:t>利用方式</w:t>
      </w:r>
      <w:r>
        <w:tab/>
      </w:r>
      <w:r>
        <w:fldChar w:fldCharType="begin"/>
      </w:r>
      <w:r>
        <w:instrText xml:space="preserve"> PAGEREF _Toc31069 \h </w:instrText>
      </w:r>
      <w:r>
        <w:fldChar w:fldCharType="separate"/>
      </w:r>
      <w:r>
        <w:t>10</w:t>
      </w:r>
      <w:r>
        <w:fldChar w:fldCharType="end"/>
      </w:r>
      <w:r>
        <w:fldChar w:fldCharType="end"/>
      </w:r>
    </w:p>
    <w:p w14:paraId="6819E389">
      <w:pPr>
        <w:pStyle w:val="13"/>
        <w:tabs>
          <w:tab w:val="right" w:leader="dot" w:pos="8306"/>
        </w:tabs>
      </w:pPr>
      <w:r>
        <w:fldChar w:fldCharType="begin"/>
      </w:r>
      <w:r>
        <w:instrText xml:space="preserve"> HYPERLINK \l _Toc8052 </w:instrText>
      </w:r>
      <w:r>
        <w:fldChar w:fldCharType="separate"/>
      </w:r>
      <w:r>
        <w:rPr>
          <w:rFonts w:cs="Times New Roman"/>
          <w:bCs w:val="0"/>
        </w:rPr>
        <w:t>5.2</w:t>
      </w:r>
      <w:r>
        <w:rPr>
          <w:rFonts w:hint="eastAsia" w:cs="Times New Roman"/>
          <w:bCs w:val="0"/>
          <w:lang w:val="en-US" w:eastAsia="zh-CN"/>
        </w:rPr>
        <w:t xml:space="preserve"> </w:t>
      </w:r>
      <w:r>
        <w:rPr>
          <w:rFonts w:hint="eastAsia" w:ascii="黑体" w:hAnsi="黑体" w:cs="黑体"/>
          <w:bCs w:val="0"/>
        </w:rPr>
        <w:t>设计</w:t>
      </w:r>
      <w:r>
        <w:tab/>
      </w:r>
      <w:r>
        <w:fldChar w:fldCharType="begin"/>
      </w:r>
      <w:r>
        <w:instrText xml:space="preserve"> PAGEREF _Toc8052 \h </w:instrText>
      </w:r>
      <w:r>
        <w:fldChar w:fldCharType="separate"/>
      </w:r>
      <w:r>
        <w:t>10</w:t>
      </w:r>
      <w:r>
        <w:fldChar w:fldCharType="end"/>
      </w:r>
      <w:r>
        <w:fldChar w:fldCharType="end"/>
      </w:r>
    </w:p>
    <w:p w14:paraId="7C3F738E">
      <w:pPr>
        <w:pStyle w:val="8"/>
        <w:tabs>
          <w:tab w:val="right" w:leader="dot" w:pos="8306"/>
        </w:tabs>
      </w:pPr>
      <w:r>
        <w:fldChar w:fldCharType="begin"/>
      </w:r>
      <w:r>
        <w:instrText xml:space="preserve"> HYPERLINK \l _Toc18496 </w:instrText>
      </w:r>
      <w:r>
        <w:fldChar w:fldCharType="separate"/>
      </w:r>
      <w:r>
        <w:rPr>
          <w:rFonts w:hint="eastAsia"/>
        </w:rPr>
        <w:t>5.2.1 一般规定</w:t>
      </w:r>
      <w:r>
        <w:tab/>
      </w:r>
      <w:r>
        <w:fldChar w:fldCharType="begin"/>
      </w:r>
      <w:r>
        <w:instrText xml:space="preserve"> PAGEREF _Toc18496 \h </w:instrText>
      </w:r>
      <w:r>
        <w:fldChar w:fldCharType="separate"/>
      </w:r>
      <w:r>
        <w:t>10</w:t>
      </w:r>
      <w:r>
        <w:fldChar w:fldCharType="end"/>
      </w:r>
      <w:r>
        <w:fldChar w:fldCharType="end"/>
      </w:r>
    </w:p>
    <w:p w14:paraId="061E9778">
      <w:pPr>
        <w:pStyle w:val="8"/>
        <w:tabs>
          <w:tab w:val="right" w:leader="dot" w:pos="8306"/>
        </w:tabs>
      </w:pPr>
      <w:r>
        <w:fldChar w:fldCharType="begin"/>
      </w:r>
      <w:r>
        <w:instrText xml:space="preserve"> HYPERLINK \l _Toc32278 </w:instrText>
      </w:r>
      <w:r>
        <w:fldChar w:fldCharType="separate"/>
      </w:r>
      <w:r>
        <w:rPr>
          <w:rFonts w:hint="eastAsia"/>
        </w:rPr>
        <w:t>5.2.2</w:t>
      </w:r>
      <w:r>
        <w:t xml:space="preserve"> </w:t>
      </w:r>
      <w:r>
        <w:rPr>
          <w:rFonts w:hint="eastAsia"/>
        </w:rPr>
        <w:t>分区设计</w:t>
      </w:r>
      <w:r>
        <w:tab/>
      </w:r>
      <w:r>
        <w:fldChar w:fldCharType="begin"/>
      </w:r>
      <w:r>
        <w:instrText xml:space="preserve"> PAGEREF _Toc32278 \h </w:instrText>
      </w:r>
      <w:r>
        <w:fldChar w:fldCharType="separate"/>
      </w:r>
      <w:r>
        <w:t>11</w:t>
      </w:r>
      <w:r>
        <w:fldChar w:fldCharType="end"/>
      </w:r>
      <w:r>
        <w:fldChar w:fldCharType="end"/>
      </w:r>
    </w:p>
    <w:p w14:paraId="4F51B80B">
      <w:pPr>
        <w:pStyle w:val="8"/>
        <w:tabs>
          <w:tab w:val="right" w:leader="dot" w:pos="8306"/>
        </w:tabs>
      </w:pPr>
      <w:r>
        <w:fldChar w:fldCharType="begin"/>
      </w:r>
      <w:r>
        <w:instrText xml:space="preserve"> HYPERLINK \l _Toc1940 </w:instrText>
      </w:r>
      <w:r>
        <w:fldChar w:fldCharType="separate"/>
      </w:r>
      <w:r>
        <w:t>5.2.</w:t>
      </w:r>
      <w:r>
        <w:rPr>
          <w:rFonts w:hint="eastAsia"/>
        </w:rPr>
        <w:t>3</w:t>
      </w:r>
      <w:r>
        <w:t xml:space="preserve"> </w:t>
      </w:r>
      <w:r>
        <w:rPr>
          <w:rFonts w:hint="eastAsia" w:ascii="黑体" w:hAnsi="黑体"/>
        </w:rPr>
        <w:t>预处理设计</w:t>
      </w:r>
      <w:r>
        <w:tab/>
      </w:r>
      <w:r>
        <w:fldChar w:fldCharType="begin"/>
      </w:r>
      <w:r>
        <w:instrText xml:space="preserve"> PAGEREF _Toc1940 \h </w:instrText>
      </w:r>
      <w:r>
        <w:fldChar w:fldCharType="separate"/>
      </w:r>
      <w:r>
        <w:t>11</w:t>
      </w:r>
      <w:r>
        <w:fldChar w:fldCharType="end"/>
      </w:r>
      <w:r>
        <w:fldChar w:fldCharType="end"/>
      </w:r>
    </w:p>
    <w:p w14:paraId="29D15803">
      <w:pPr>
        <w:pStyle w:val="8"/>
        <w:tabs>
          <w:tab w:val="right" w:leader="dot" w:pos="8306"/>
        </w:tabs>
      </w:pPr>
      <w:r>
        <w:fldChar w:fldCharType="begin"/>
      </w:r>
      <w:r>
        <w:instrText xml:space="preserve"> HYPERLINK \l _Toc30477 </w:instrText>
      </w:r>
      <w:r>
        <w:fldChar w:fldCharType="separate"/>
      </w:r>
      <w:r>
        <w:rPr>
          <w:rFonts w:hint="eastAsia"/>
          <w:lang w:val="en-US" w:eastAsia="zh-CN"/>
        </w:rPr>
        <w:t>5.2.5 修复治理区</w:t>
      </w:r>
      <w:r>
        <w:tab/>
      </w:r>
      <w:r>
        <w:fldChar w:fldCharType="begin"/>
      </w:r>
      <w:r>
        <w:instrText xml:space="preserve"> PAGEREF _Toc30477 \h </w:instrText>
      </w:r>
      <w:r>
        <w:fldChar w:fldCharType="separate"/>
      </w:r>
      <w:r>
        <w:t>12</w:t>
      </w:r>
      <w:r>
        <w:fldChar w:fldCharType="end"/>
      </w:r>
      <w:r>
        <w:fldChar w:fldCharType="end"/>
      </w:r>
    </w:p>
    <w:p w14:paraId="53FDFE43">
      <w:pPr>
        <w:pStyle w:val="8"/>
        <w:tabs>
          <w:tab w:val="right" w:leader="dot" w:pos="8306"/>
        </w:tabs>
      </w:pPr>
      <w:r>
        <w:fldChar w:fldCharType="begin"/>
      </w:r>
      <w:r>
        <w:instrText xml:space="preserve"> HYPERLINK \l _Toc7668 </w:instrText>
      </w:r>
      <w:r>
        <w:fldChar w:fldCharType="separate"/>
      </w:r>
      <w:r>
        <w:rPr>
          <w:rFonts w:hint="eastAsia"/>
        </w:rPr>
        <w:t>5</w:t>
      </w:r>
      <w:r>
        <w:t>.2.</w:t>
      </w:r>
      <w:r>
        <w:rPr>
          <w:rFonts w:hint="eastAsia"/>
          <w:lang w:val="en-US" w:eastAsia="zh-CN"/>
        </w:rPr>
        <w:t>6</w:t>
      </w:r>
      <w:r>
        <w:rPr>
          <w:rFonts w:ascii="黑体" w:hAnsi="黑体"/>
        </w:rPr>
        <w:t xml:space="preserve"> </w:t>
      </w:r>
      <w:r>
        <w:rPr>
          <w:rFonts w:hint="eastAsia" w:ascii="黑体" w:hAnsi="黑体"/>
        </w:rPr>
        <w:t>暂存区</w:t>
      </w:r>
      <w:r>
        <w:rPr>
          <w:rFonts w:hint="eastAsia" w:ascii="黑体" w:hAnsi="黑体"/>
          <w:lang w:val="en-US" w:eastAsia="zh-CN"/>
        </w:rPr>
        <w:t>设计</w:t>
      </w:r>
      <w:r>
        <w:tab/>
      </w:r>
      <w:r>
        <w:fldChar w:fldCharType="begin"/>
      </w:r>
      <w:r>
        <w:instrText xml:space="preserve"> PAGEREF _Toc7668 \h </w:instrText>
      </w:r>
      <w:r>
        <w:fldChar w:fldCharType="separate"/>
      </w:r>
      <w:r>
        <w:t>13</w:t>
      </w:r>
      <w:r>
        <w:fldChar w:fldCharType="end"/>
      </w:r>
      <w:r>
        <w:fldChar w:fldCharType="end"/>
      </w:r>
    </w:p>
    <w:p w14:paraId="039A1650">
      <w:pPr>
        <w:pStyle w:val="8"/>
        <w:tabs>
          <w:tab w:val="right" w:leader="dot" w:pos="8306"/>
        </w:tabs>
      </w:pPr>
      <w:r>
        <w:fldChar w:fldCharType="begin"/>
      </w:r>
      <w:r>
        <w:instrText xml:space="preserve"> HYPERLINK \l _Toc15800 </w:instrText>
      </w:r>
      <w:r>
        <w:fldChar w:fldCharType="separate"/>
      </w:r>
      <w:r>
        <w:rPr>
          <w:rFonts w:hint="eastAsia" w:cs="Times New Roman"/>
          <w:bCs w:val="0"/>
          <w:lang w:val="en-US" w:eastAsia="zh-CN"/>
        </w:rPr>
        <w:t>5.2.7 辅助工程区</w:t>
      </w:r>
      <w:r>
        <w:rPr>
          <w:rFonts w:hint="eastAsia" w:ascii="黑体" w:hAnsi="黑体"/>
          <w:lang w:val="en-US" w:eastAsia="zh-CN"/>
        </w:rPr>
        <w:t>设计</w:t>
      </w:r>
      <w:r>
        <w:tab/>
      </w:r>
      <w:r>
        <w:fldChar w:fldCharType="begin"/>
      </w:r>
      <w:r>
        <w:instrText xml:space="preserve"> PAGEREF _Toc15800 \h </w:instrText>
      </w:r>
      <w:r>
        <w:fldChar w:fldCharType="separate"/>
      </w:r>
      <w:r>
        <w:t>13</w:t>
      </w:r>
      <w:r>
        <w:fldChar w:fldCharType="end"/>
      </w:r>
      <w:r>
        <w:fldChar w:fldCharType="end"/>
      </w:r>
    </w:p>
    <w:p w14:paraId="5AD049C0">
      <w:pPr>
        <w:pStyle w:val="8"/>
        <w:tabs>
          <w:tab w:val="right" w:leader="dot" w:pos="8306"/>
        </w:tabs>
      </w:pPr>
      <w:r>
        <w:fldChar w:fldCharType="begin"/>
      </w:r>
      <w:r>
        <w:instrText xml:space="preserve"> HYPERLINK \l _Toc946 </w:instrText>
      </w:r>
      <w:r>
        <w:fldChar w:fldCharType="separate"/>
      </w:r>
      <w:r>
        <w:rPr>
          <w:rFonts w:hint="eastAsia"/>
          <w:lang w:val="en-US" w:eastAsia="zh-CN"/>
        </w:rPr>
        <w:t>5.2.8配套设施设计</w:t>
      </w:r>
      <w:r>
        <w:tab/>
      </w:r>
      <w:r>
        <w:fldChar w:fldCharType="begin"/>
      </w:r>
      <w:r>
        <w:instrText xml:space="preserve"> PAGEREF _Toc946 \h </w:instrText>
      </w:r>
      <w:r>
        <w:fldChar w:fldCharType="separate"/>
      </w:r>
      <w:r>
        <w:t>14</w:t>
      </w:r>
      <w:r>
        <w:fldChar w:fldCharType="end"/>
      </w:r>
      <w:r>
        <w:fldChar w:fldCharType="end"/>
      </w:r>
    </w:p>
    <w:p w14:paraId="6B69EB12">
      <w:pPr>
        <w:pStyle w:val="13"/>
        <w:tabs>
          <w:tab w:val="right" w:leader="dot" w:pos="8306"/>
        </w:tabs>
      </w:pPr>
      <w:r>
        <w:fldChar w:fldCharType="begin"/>
      </w:r>
      <w:r>
        <w:instrText xml:space="preserve"> HYPERLINK \l _Toc23012 </w:instrText>
      </w:r>
      <w:r>
        <w:fldChar w:fldCharType="separate"/>
      </w:r>
      <w:r>
        <w:rPr>
          <w:rFonts w:hint="eastAsia" w:cs="Times New Roman"/>
          <w:bCs w:val="0"/>
          <w:lang w:val="en-US" w:eastAsia="zh-CN"/>
        </w:rPr>
        <w:t>5.3 施工</w:t>
      </w:r>
      <w:r>
        <w:tab/>
      </w:r>
      <w:r>
        <w:fldChar w:fldCharType="begin"/>
      </w:r>
      <w:r>
        <w:instrText xml:space="preserve"> PAGEREF _Toc23012 \h </w:instrText>
      </w:r>
      <w:r>
        <w:fldChar w:fldCharType="separate"/>
      </w:r>
      <w:r>
        <w:t>14</w:t>
      </w:r>
      <w:r>
        <w:fldChar w:fldCharType="end"/>
      </w:r>
      <w:r>
        <w:fldChar w:fldCharType="end"/>
      </w:r>
    </w:p>
    <w:p w14:paraId="4FF9AF13">
      <w:pPr>
        <w:pStyle w:val="8"/>
        <w:tabs>
          <w:tab w:val="right" w:leader="dot" w:pos="8306"/>
        </w:tabs>
      </w:pPr>
      <w:r>
        <w:fldChar w:fldCharType="begin"/>
      </w:r>
      <w:r>
        <w:instrText xml:space="preserve"> HYPERLINK \l _Toc22301 </w:instrText>
      </w:r>
      <w:r>
        <w:fldChar w:fldCharType="separate"/>
      </w:r>
      <w:r>
        <w:rPr>
          <w:rFonts w:hint="eastAsia"/>
          <w:lang w:val="en-US" w:eastAsia="zh-CN"/>
        </w:rPr>
        <w:t>5.3.1 设备</w:t>
      </w:r>
      <w:r>
        <w:tab/>
      </w:r>
      <w:r>
        <w:fldChar w:fldCharType="begin"/>
      </w:r>
      <w:r>
        <w:instrText xml:space="preserve"> PAGEREF _Toc22301 \h </w:instrText>
      </w:r>
      <w:r>
        <w:fldChar w:fldCharType="separate"/>
      </w:r>
      <w:r>
        <w:t>14</w:t>
      </w:r>
      <w:r>
        <w:fldChar w:fldCharType="end"/>
      </w:r>
      <w:r>
        <w:fldChar w:fldCharType="end"/>
      </w:r>
    </w:p>
    <w:p w14:paraId="33EDE7CC">
      <w:pPr>
        <w:pStyle w:val="8"/>
        <w:tabs>
          <w:tab w:val="right" w:leader="dot" w:pos="8306"/>
        </w:tabs>
      </w:pPr>
      <w:r>
        <w:fldChar w:fldCharType="begin"/>
      </w:r>
      <w:r>
        <w:instrText xml:space="preserve"> HYPERLINK \l _Toc14197 </w:instrText>
      </w:r>
      <w:r>
        <w:fldChar w:fldCharType="separate"/>
      </w:r>
      <w:r>
        <w:rPr>
          <w:rFonts w:hint="eastAsia" w:cs="Times New Roman"/>
          <w:i w:val="0"/>
          <w:iCs w:val="0"/>
          <w:caps w:val="0"/>
          <w:spacing w:val="0"/>
          <w:kern w:val="0"/>
          <w:szCs w:val="20"/>
          <w:shd w:val="clear"/>
          <w:vertAlign w:val="baseline"/>
          <w:lang w:val="en-US" w:eastAsia="zh-CN" w:bidi="ar-SA"/>
        </w:rPr>
        <w:t>5.3.2</w:t>
      </w:r>
      <w:r>
        <w:rPr>
          <w:rFonts w:hint="default" w:ascii="Times New Roman" w:hAnsi="Times New Roman" w:eastAsia="黑体" w:cs="Times New Roman"/>
          <w:i w:val="0"/>
          <w:iCs w:val="0"/>
          <w:caps w:val="0"/>
          <w:spacing w:val="0"/>
          <w:kern w:val="0"/>
          <w:szCs w:val="20"/>
          <w:shd w:val="clear"/>
          <w:vertAlign w:val="baseline"/>
          <w:lang w:val="en-US" w:eastAsia="zh-CN" w:bidi="ar-SA"/>
        </w:rPr>
        <w:t xml:space="preserve"> </w:t>
      </w:r>
      <w:r>
        <w:rPr>
          <w:rFonts w:hint="eastAsia" w:ascii="宋体" w:hAnsi="宋体" w:eastAsia="宋体" w:cs="宋体"/>
          <w:i w:val="0"/>
          <w:iCs w:val="0"/>
          <w:caps w:val="0"/>
          <w:spacing w:val="0"/>
          <w:kern w:val="0"/>
          <w:szCs w:val="20"/>
          <w:shd w:val="clear"/>
          <w:vertAlign w:val="baseline"/>
          <w:lang w:val="en-US" w:eastAsia="zh-CN" w:bidi="ar-SA"/>
        </w:rPr>
        <w:t>电气</w:t>
      </w:r>
      <w:r>
        <w:tab/>
      </w:r>
      <w:r>
        <w:fldChar w:fldCharType="begin"/>
      </w:r>
      <w:r>
        <w:instrText xml:space="preserve"> PAGEREF _Toc14197 \h </w:instrText>
      </w:r>
      <w:r>
        <w:fldChar w:fldCharType="separate"/>
      </w:r>
      <w:r>
        <w:t>14</w:t>
      </w:r>
      <w:r>
        <w:fldChar w:fldCharType="end"/>
      </w:r>
      <w:r>
        <w:fldChar w:fldCharType="end"/>
      </w:r>
    </w:p>
    <w:p w14:paraId="6F2E681A">
      <w:pPr>
        <w:pStyle w:val="8"/>
        <w:tabs>
          <w:tab w:val="right" w:leader="dot" w:pos="8306"/>
        </w:tabs>
      </w:pPr>
      <w:r>
        <w:fldChar w:fldCharType="begin"/>
      </w:r>
      <w:r>
        <w:instrText xml:space="preserve"> HYPERLINK \l _Toc18453 </w:instrText>
      </w:r>
      <w:r>
        <w:fldChar w:fldCharType="separate"/>
      </w:r>
      <w:r>
        <w:rPr>
          <w:rFonts w:hint="eastAsia" w:cs="Times New Roman"/>
          <w:i w:val="0"/>
          <w:iCs w:val="0"/>
          <w:caps w:val="0"/>
          <w:spacing w:val="0"/>
          <w:kern w:val="0"/>
          <w:szCs w:val="20"/>
          <w:shd w:val="clear"/>
          <w:vertAlign w:val="baseline"/>
          <w:lang w:val="en-US" w:eastAsia="zh-CN" w:bidi="ar-SA"/>
        </w:rPr>
        <w:t>5.3</w:t>
      </w:r>
      <w:r>
        <w:rPr>
          <w:rFonts w:hint="default" w:ascii="Times New Roman" w:hAnsi="Times New Roman" w:eastAsia="黑体" w:cs="Times New Roman"/>
          <w:i w:val="0"/>
          <w:iCs w:val="0"/>
          <w:caps w:val="0"/>
          <w:spacing w:val="0"/>
          <w:kern w:val="0"/>
          <w:szCs w:val="20"/>
          <w:shd w:val="clear"/>
          <w:vertAlign w:val="baseline"/>
          <w:lang w:val="en-US" w:eastAsia="zh-CN" w:bidi="ar-SA"/>
        </w:rPr>
        <w:t xml:space="preserve">.3 </w:t>
      </w:r>
      <w:r>
        <w:rPr>
          <w:rFonts w:hint="eastAsia" w:ascii="宋体" w:hAnsi="宋体" w:eastAsia="宋体" w:cs="宋体"/>
          <w:i w:val="0"/>
          <w:iCs w:val="0"/>
          <w:caps w:val="0"/>
          <w:spacing w:val="0"/>
          <w:kern w:val="0"/>
          <w:szCs w:val="20"/>
          <w:shd w:val="clear"/>
          <w:vertAlign w:val="baseline"/>
          <w:lang w:val="en-US" w:eastAsia="zh-CN" w:bidi="ar-SA"/>
        </w:rPr>
        <w:t>自控仪表</w:t>
      </w:r>
      <w:r>
        <w:tab/>
      </w:r>
      <w:r>
        <w:fldChar w:fldCharType="begin"/>
      </w:r>
      <w:r>
        <w:instrText xml:space="preserve"> PAGEREF _Toc18453 \h </w:instrText>
      </w:r>
      <w:r>
        <w:fldChar w:fldCharType="separate"/>
      </w:r>
      <w:r>
        <w:t>14</w:t>
      </w:r>
      <w:r>
        <w:fldChar w:fldCharType="end"/>
      </w:r>
      <w:r>
        <w:fldChar w:fldCharType="end"/>
      </w:r>
    </w:p>
    <w:p w14:paraId="2E90945B">
      <w:pPr>
        <w:pStyle w:val="8"/>
        <w:tabs>
          <w:tab w:val="right" w:leader="dot" w:pos="8306"/>
        </w:tabs>
      </w:pPr>
      <w:r>
        <w:fldChar w:fldCharType="begin"/>
      </w:r>
      <w:r>
        <w:instrText xml:space="preserve"> HYPERLINK \l _Toc5165 </w:instrText>
      </w:r>
      <w:r>
        <w:fldChar w:fldCharType="separate"/>
      </w:r>
      <w:r>
        <w:rPr>
          <w:rFonts w:hint="eastAsia" w:cs="Times New Roman"/>
          <w:i w:val="0"/>
          <w:iCs w:val="0"/>
          <w:caps w:val="0"/>
          <w:spacing w:val="0"/>
          <w:kern w:val="0"/>
          <w:szCs w:val="20"/>
          <w:shd w:val="clear"/>
          <w:vertAlign w:val="baseline"/>
          <w:lang w:val="en-US" w:eastAsia="zh-CN" w:bidi="ar-SA"/>
        </w:rPr>
        <w:t>5.3</w:t>
      </w:r>
      <w:r>
        <w:rPr>
          <w:rFonts w:hint="default" w:ascii="Times New Roman" w:hAnsi="Times New Roman" w:eastAsia="黑体" w:cs="Times New Roman"/>
          <w:i w:val="0"/>
          <w:iCs w:val="0"/>
          <w:caps w:val="0"/>
          <w:spacing w:val="0"/>
          <w:kern w:val="0"/>
          <w:szCs w:val="20"/>
          <w:shd w:val="clear"/>
          <w:vertAlign w:val="baseline"/>
          <w:lang w:val="en-US" w:eastAsia="zh-CN" w:bidi="ar-SA"/>
        </w:rPr>
        <w:t xml:space="preserve">.4 </w:t>
      </w:r>
      <w:r>
        <w:rPr>
          <w:rFonts w:hint="eastAsia" w:ascii="宋体" w:hAnsi="宋体" w:eastAsia="宋体" w:cs="宋体"/>
          <w:i w:val="0"/>
          <w:iCs w:val="0"/>
          <w:caps w:val="0"/>
          <w:spacing w:val="0"/>
          <w:kern w:val="0"/>
          <w:szCs w:val="20"/>
          <w:shd w:val="clear"/>
          <w:vertAlign w:val="baseline"/>
          <w:lang w:val="en-US" w:eastAsia="zh-CN" w:bidi="ar-SA"/>
        </w:rPr>
        <w:t>建（构）筑物</w:t>
      </w:r>
      <w:r>
        <w:tab/>
      </w:r>
      <w:r>
        <w:fldChar w:fldCharType="begin"/>
      </w:r>
      <w:r>
        <w:instrText xml:space="preserve"> PAGEREF _Toc5165 \h </w:instrText>
      </w:r>
      <w:r>
        <w:fldChar w:fldCharType="separate"/>
      </w:r>
      <w:r>
        <w:t>14</w:t>
      </w:r>
      <w:r>
        <w:fldChar w:fldCharType="end"/>
      </w:r>
      <w:r>
        <w:fldChar w:fldCharType="end"/>
      </w:r>
    </w:p>
    <w:p w14:paraId="7D773049">
      <w:pPr>
        <w:pStyle w:val="13"/>
        <w:tabs>
          <w:tab w:val="right" w:leader="dot" w:pos="8306"/>
        </w:tabs>
      </w:pPr>
      <w:r>
        <w:fldChar w:fldCharType="begin"/>
      </w:r>
      <w:r>
        <w:instrText xml:space="preserve"> HYPERLINK \l _Toc15662 </w:instrText>
      </w:r>
      <w:r>
        <w:fldChar w:fldCharType="separate"/>
      </w:r>
      <w:r>
        <w:rPr>
          <w:rFonts w:cs="Times New Roman"/>
          <w:bCs w:val="0"/>
        </w:rPr>
        <w:t>5.</w:t>
      </w:r>
      <w:r>
        <w:rPr>
          <w:rFonts w:hint="eastAsia" w:cs="Times New Roman"/>
          <w:bCs w:val="0"/>
          <w:lang w:val="en-US" w:eastAsia="zh-CN"/>
        </w:rPr>
        <w:t>4</w:t>
      </w:r>
      <w:r>
        <w:rPr>
          <w:rFonts w:hint="eastAsia"/>
        </w:rPr>
        <w:t>运</w:t>
      </w:r>
      <w:r>
        <w:rPr>
          <w:rFonts w:hint="eastAsia"/>
          <w:bCs/>
        </w:rPr>
        <w:t>行</w:t>
      </w:r>
      <w:r>
        <w:tab/>
      </w:r>
      <w:r>
        <w:fldChar w:fldCharType="begin"/>
      </w:r>
      <w:r>
        <w:instrText xml:space="preserve"> PAGEREF _Toc15662 \h </w:instrText>
      </w:r>
      <w:r>
        <w:fldChar w:fldCharType="separate"/>
      </w:r>
      <w:r>
        <w:t>14</w:t>
      </w:r>
      <w:r>
        <w:fldChar w:fldCharType="end"/>
      </w:r>
      <w:r>
        <w:fldChar w:fldCharType="end"/>
      </w:r>
    </w:p>
    <w:p w14:paraId="4A9A70E4">
      <w:pPr>
        <w:pStyle w:val="8"/>
        <w:tabs>
          <w:tab w:val="right" w:leader="dot" w:pos="8306"/>
        </w:tabs>
      </w:pPr>
      <w:r>
        <w:fldChar w:fldCharType="begin"/>
      </w:r>
      <w:r>
        <w:instrText xml:space="preserve"> HYPERLINK \l _Toc17603 </w:instrText>
      </w:r>
      <w:r>
        <w:fldChar w:fldCharType="separate"/>
      </w:r>
      <w:r>
        <w:rPr>
          <w:rFonts w:hint="eastAsia"/>
        </w:rPr>
        <w:t>5.</w:t>
      </w:r>
      <w:r>
        <w:rPr>
          <w:rFonts w:hint="eastAsia"/>
          <w:lang w:val="en-US" w:eastAsia="zh-CN"/>
        </w:rPr>
        <w:t>4</w:t>
      </w:r>
      <w:r>
        <w:rPr>
          <w:rFonts w:hint="eastAsia"/>
        </w:rPr>
        <w:t xml:space="preserve">.1 </w:t>
      </w:r>
      <w:r>
        <w:rPr>
          <w:rFonts w:hint="eastAsia"/>
          <w:lang w:val="en-US" w:eastAsia="zh-CN"/>
        </w:rPr>
        <w:t>一般规定</w:t>
      </w:r>
      <w:r>
        <w:tab/>
      </w:r>
      <w:r>
        <w:fldChar w:fldCharType="begin"/>
      </w:r>
      <w:r>
        <w:instrText xml:space="preserve"> PAGEREF _Toc17603 \h </w:instrText>
      </w:r>
      <w:r>
        <w:fldChar w:fldCharType="separate"/>
      </w:r>
      <w:r>
        <w:t>14</w:t>
      </w:r>
      <w:r>
        <w:fldChar w:fldCharType="end"/>
      </w:r>
      <w:r>
        <w:fldChar w:fldCharType="end"/>
      </w:r>
    </w:p>
    <w:p w14:paraId="79157D3B">
      <w:pPr>
        <w:pStyle w:val="8"/>
        <w:tabs>
          <w:tab w:val="right" w:leader="dot" w:pos="8306"/>
        </w:tabs>
      </w:pPr>
      <w:r>
        <w:fldChar w:fldCharType="begin"/>
      </w:r>
      <w:r>
        <w:instrText xml:space="preserve"> HYPERLINK \l _Toc26346 </w:instrText>
      </w:r>
      <w:r>
        <w:fldChar w:fldCharType="separate"/>
      </w:r>
      <w:r>
        <w:rPr>
          <w:rFonts w:hint="eastAsia" w:eastAsia="黑体"/>
        </w:rPr>
        <w:t>5.</w:t>
      </w:r>
      <w:r>
        <w:rPr>
          <w:rFonts w:hint="eastAsia" w:eastAsia="黑体"/>
          <w:lang w:val="en-US" w:eastAsia="zh-CN"/>
        </w:rPr>
        <w:t>4</w:t>
      </w:r>
      <w:r>
        <w:rPr>
          <w:rFonts w:hint="eastAsia" w:eastAsia="黑体"/>
        </w:rPr>
        <w:t xml:space="preserve">.2 </w:t>
      </w:r>
      <w:r>
        <w:rPr>
          <w:rFonts w:hint="eastAsia" w:ascii="宋体" w:hAnsi="宋体" w:eastAsia="宋体" w:cs="宋体"/>
        </w:rPr>
        <w:t>运行管理</w:t>
      </w:r>
      <w:r>
        <w:tab/>
      </w:r>
      <w:r>
        <w:fldChar w:fldCharType="begin"/>
      </w:r>
      <w:r>
        <w:instrText xml:space="preserve"> PAGEREF _Toc26346 \h </w:instrText>
      </w:r>
      <w:r>
        <w:fldChar w:fldCharType="separate"/>
      </w:r>
      <w:r>
        <w:t>15</w:t>
      </w:r>
      <w:r>
        <w:fldChar w:fldCharType="end"/>
      </w:r>
      <w:r>
        <w:fldChar w:fldCharType="end"/>
      </w:r>
    </w:p>
    <w:p w14:paraId="53783A02">
      <w:pPr>
        <w:pStyle w:val="8"/>
        <w:tabs>
          <w:tab w:val="right" w:leader="dot" w:pos="8306"/>
        </w:tabs>
      </w:pPr>
      <w:r>
        <w:fldChar w:fldCharType="begin"/>
      </w:r>
      <w:r>
        <w:instrText xml:space="preserve"> HYPERLINK \l _Toc21424 </w:instrText>
      </w:r>
      <w:r>
        <w:fldChar w:fldCharType="separate"/>
      </w:r>
      <w:r>
        <w:rPr>
          <w:rFonts w:hint="eastAsia"/>
          <w:lang w:val="en-US" w:eastAsia="zh-CN"/>
        </w:rPr>
        <w:t>5.4.3 预处理区运行</w:t>
      </w:r>
      <w:r>
        <w:tab/>
      </w:r>
      <w:r>
        <w:fldChar w:fldCharType="begin"/>
      </w:r>
      <w:r>
        <w:instrText xml:space="preserve"> PAGEREF _Toc21424 \h </w:instrText>
      </w:r>
      <w:r>
        <w:fldChar w:fldCharType="separate"/>
      </w:r>
      <w:r>
        <w:t>15</w:t>
      </w:r>
      <w:r>
        <w:fldChar w:fldCharType="end"/>
      </w:r>
      <w:r>
        <w:fldChar w:fldCharType="end"/>
      </w:r>
    </w:p>
    <w:p w14:paraId="24944259">
      <w:pPr>
        <w:pStyle w:val="8"/>
        <w:tabs>
          <w:tab w:val="right" w:leader="dot" w:pos="8306"/>
        </w:tabs>
      </w:pPr>
      <w:r>
        <w:fldChar w:fldCharType="begin"/>
      </w:r>
      <w:r>
        <w:instrText xml:space="preserve"> HYPERLINK \l _Toc23002 </w:instrText>
      </w:r>
      <w:r>
        <w:fldChar w:fldCharType="separate"/>
      </w:r>
      <w:r>
        <w:rPr>
          <w:rFonts w:hint="eastAsia"/>
        </w:rPr>
        <w:t>5.</w:t>
      </w:r>
      <w:r>
        <w:rPr>
          <w:rFonts w:hint="eastAsia"/>
          <w:lang w:val="en-US" w:eastAsia="zh-CN"/>
        </w:rPr>
        <w:t>4</w:t>
      </w:r>
      <w:r>
        <w:t>.</w:t>
      </w:r>
      <w:r>
        <w:rPr>
          <w:rFonts w:hint="eastAsia"/>
          <w:lang w:val="en-US" w:eastAsia="zh-CN"/>
        </w:rPr>
        <w:t>4</w:t>
      </w:r>
      <w:r>
        <w:rPr>
          <w:rFonts w:hint="eastAsia"/>
        </w:rPr>
        <w:t xml:space="preserve"> 负压密闭空间运行</w:t>
      </w:r>
      <w:r>
        <w:tab/>
      </w:r>
      <w:r>
        <w:fldChar w:fldCharType="begin"/>
      </w:r>
      <w:r>
        <w:instrText xml:space="preserve"> PAGEREF _Toc23002 \h </w:instrText>
      </w:r>
      <w:r>
        <w:fldChar w:fldCharType="separate"/>
      </w:r>
      <w:r>
        <w:t>15</w:t>
      </w:r>
      <w:r>
        <w:fldChar w:fldCharType="end"/>
      </w:r>
      <w:r>
        <w:fldChar w:fldCharType="end"/>
      </w:r>
    </w:p>
    <w:p w14:paraId="0BE9790B">
      <w:pPr>
        <w:pStyle w:val="8"/>
        <w:tabs>
          <w:tab w:val="right" w:leader="dot" w:pos="8306"/>
        </w:tabs>
      </w:pPr>
      <w:r>
        <w:fldChar w:fldCharType="begin"/>
      </w:r>
      <w:r>
        <w:instrText xml:space="preserve"> HYPERLINK \l _Toc20312 </w:instrText>
      </w:r>
      <w:r>
        <w:fldChar w:fldCharType="separate"/>
      </w:r>
      <w:r>
        <w:rPr>
          <w:rFonts w:hint="eastAsia"/>
        </w:rPr>
        <w:t>5.</w:t>
      </w:r>
      <w:r>
        <w:rPr>
          <w:rFonts w:hint="eastAsia"/>
          <w:lang w:val="en-US" w:eastAsia="zh-CN"/>
        </w:rPr>
        <w:t>4</w:t>
      </w:r>
      <w:r>
        <w:rPr>
          <w:rFonts w:hint="eastAsia"/>
        </w:rPr>
        <w:t>.</w:t>
      </w:r>
      <w:r>
        <w:rPr>
          <w:rFonts w:hint="eastAsia"/>
          <w:lang w:val="en-US" w:eastAsia="zh-CN"/>
        </w:rPr>
        <w:t>5</w:t>
      </w:r>
      <w:r>
        <w:rPr>
          <w:rFonts w:hint="eastAsia"/>
        </w:rPr>
        <w:t xml:space="preserve"> 常温解析区运行</w:t>
      </w:r>
      <w:r>
        <w:tab/>
      </w:r>
      <w:r>
        <w:fldChar w:fldCharType="begin"/>
      </w:r>
      <w:r>
        <w:instrText xml:space="preserve"> PAGEREF _Toc20312 \h </w:instrText>
      </w:r>
      <w:r>
        <w:fldChar w:fldCharType="separate"/>
      </w:r>
      <w:r>
        <w:t>15</w:t>
      </w:r>
      <w:r>
        <w:fldChar w:fldCharType="end"/>
      </w:r>
      <w:r>
        <w:fldChar w:fldCharType="end"/>
      </w:r>
    </w:p>
    <w:p w14:paraId="5C168EB0">
      <w:pPr>
        <w:pStyle w:val="8"/>
        <w:tabs>
          <w:tab w:val="right" w:leader="dot" w:pos="8306"/>
        </w:tabs>
      </w:pPr>
      <w:r>
        <w:fldChar w:fldCharType="begin"/>
      </w:r>
      <w:r>
        <w:instrText xml:space="preserve"> HYPERLINK \l _Toc20128 </w:instrText>
      </w:r>
      <w:r>
        <w:fldChar w:fldCharType="separate"/>
      </w:r>
      <w:r>
        <w:rPr>
          <w:rFonts w:hint="eastAsia"/>
        </w:rPr>
        <w:t>5.</w:t>
      </w:r>
      <w:r>
        <w:rPr>
          <w:rFonts w:hint="eastAsia"/>
          <w:lang w:val="en-US" w:eastAsia="zh-CN"/>
        </w:rPr>
        <w:t>4</w:t>
      </w:r>
      <w:r>
        <w:rPr>
          <w:rFonts w:hint="eastAsia"/>
        </w:rPr>
        <w:t>.</w:t>
      </w:r>
      <w:r>
        <w:rPr>
          <w:rFonts w:hint="eastAsia"/>
          <w:lang w:val="en-US" w:eastAsia="zh-CN"/>
        </w:rPr>
        <w:t>6</w:t>
      </w:r>
      <w:r>
        <w:rPr>
          <w:rFonts w:hint="eastAsia"/>
        </w:rPr>
        <w:t xml:space="preserve"> 化学修复区运行</w:t>
      </w:r>
      <w:r>
        <w:tab/>
      </w:r>
      <w:r>
        <w:fldChar w:fldCharType="begin"/>
      </w:r>
      <w:r>
        <w:instrText xml:space="preserve"> PAGEREF _Toc20128 \h </w:instrText>
      </w:r>
      <w:r>
        <w:fldChar w:fldCharType="separate"/>
      </w:r>
      <w:r>
        <w:t>15</w:t>
      </w:r>
      <w:r>
        <w:fldChar w:fldCharType="end"/>
      </w:r>
      <w:r>
        <w:fldChar w:fldCharType="end"/>
      </w:r>
    </w:p>
    <w:p w14:paraId="29348A8B">
      <w:pPr>
        <w:pStyle w:val="8"/>
        <w:tabs>
          <w:tab w:val="right" w:leader="dot" w:pos="8306"/>
        </w:tabs>
      </w:pPr>
      <w:r>
        <w:fldChar w:fldCharType="begin"/>
      </w:r>
      <w:r>
        <w:instrText xml:space="preserve"> HYPERLINK \l _Toc2674 </w:instrText>
      </w:r>
      <w:r>
        <w:fldChar w:fldCharType="separate"/>
      </w:r>
      <w:r>
        <w:rPr>
          <w:rFonts w:hint="eastAsia"/>
        </w:rPr>
        <w:t>5.</w:t>
      </w:r>
      <w:r>
        <w:rPr>
          <w:rFonts w:hint="eastAsia"/>
          <w:lang w:val="en-US" w:eastAsia="zh-CN"/>
        </w:rPr>
        <w:t>4</w:t>
      </w:r>
      <w:r>
        <w:rPr>
          <w:rFonts w:hint="eastAsia"/>
        </w:rPr>
        <w:t>.</w:t>
      </w:r>
      <w:r>
        <w:rPr>
          <w:rFonts w:hint="eastAsia"/>
          <w:lang w:val="en-US" w:eastAsia="zh-CN"/>
        </w:rPr>
        <w:t>7</w:t>
      </w:r>
      <w:r>
        <w:rPr>
          <w:rFonts w:hint="eastAsia"/>
        </w:rPr>
        <w:t xml:space="preserve"> 异位热脱附修复区运行</w:t>
      </w:r>
      <w:r>
        <w:tab/>
      </w:r>
      <w:r>
        <w:fldChar w:fldCharType="begin"/>
      </w:r>
      <w:r>
        <w:instrText xml:space="preserve"> PAGEREF _Toc2674 \h </w:instrText>
      </w:r>
      <w:r>
        <w:fldChar w:fldCharType="separate"/>
      </w:r>
      <w:r>
        <w:t>16</w:t>
      </w:r>
      <w:r>
        <w:fldChar w:fldCharType="end"/>
      </w:r>
      <w:r>
        <w:fldChar w:fldCharType="end"/>
      </w:r>
    </w:p>
    <w:p w14:paraId="287A8223">
      <w:pPr>
        <w:pStyle w:val="8"/>
        <w:tabs>
          <w:tab w:val="right" w:leader="dot" w:pos="8306"/>
        </w:tabs>
      </w:pPr>
      <w:r>
        <w:fldChar w:fldCharType="begin"/>
      </w:r>
      <w:r>
        <w:instrText xml:space="preserve"> HYPERLINK \l _Toc24361 </w:instrText>
      </w:r>
      <w:r>
        <w:fldChar w:fldCharType="separate"/>
      </w:r>
      <w:r>
        <w:rPr>
          <w:rFonts w:hint="eastAsia"/>
        </w:rPr>
        <w:t>5.</w:t>
      </w:r>
      <w:r>
        <w:rPr>
          <w:rFonts w:hint="eastAsia"/>
          <w:lang w:val="en-US" w:eastAsia="zh-CN"/>
        </w:rPr>
        <w:t>4</w:t>
      </w:r>
      <w:r>
        <w:rPr>
          <w:rFonts w:hint="eastAsia"/>
        </w:rPr>
        <w:t>.</w:t>
      </w:r>
      <w:r>
        <w:rPr>
          <w:rFonts w:hint="eastAsia"/>
          <w:lang w:val="en-US" w:eastAsia="zh-CN"/>
        </w:rPr>
        <w:t>8</w:t>
      </w:r>
      <w:r>
        <w:rPr>
          <w:rFonts w:hint="eastAsia"/>
        </w:rPr>
        <w:t xml:space="preserve"> 淋洗修复区运行</w:t>
      </w:r>
      <w:r>
        <w:tab/>
      </w:r>
      <w:r>
        <w:fldChar w:fldCharType="begin"/>
      </w:r>
      <w:r>
        <w:instrText xml:space="preserve"> PAGEREF _Toc24361 \h </w:instrText>
      </w:r>
      <w:r>
        <w:fldChar w:fldCharType="separate"/>
      </w:r>
      <w:r>
        <w:t>16</w:t>
      </w:r>
      <w:r>
        <w:fldChar w:fldCharType="end"/>
      </w:r>
      <w:r>
        <w:fldChar w:fldCharType="end"/>
      </w:r>
    </w:p>
    <w:p w14:paraId="62B7EE29">
      <w:pPr>
        <w:pStyle w:val="8"/>
        <w:tabs>
          <w:tab w:val="right" w:leader="dot" w:pos="8306"/>
        </w:tabs>
      </w:pPr>
      <w:r>
        <w:fldChar w:fldCharType="begin"/>
      </w:r>
      <w:r>
        <w:instrText xml:space="preserve"> HYPERLINK \l _Toc26860 </w:instrText>
      </w:r>
      <w:r>
        <w:fldChar w:fldCharType="separate"/>
      </w:r>
      <w:r>
        <w:rPr>
          <w:rFonts w:hint="eastAsia"/>
        </w:rPr>
        <w:t>5.</w:t>
      </w:r>
      <w:r>
        <w:rPr>
          <w:rFonts w:hint="eastAsia"/>
          <w:lang w:val="en-US" w:eastAsia="zh-CN"/>
        </w:rPr>
        <w:t>4</w:t>
      </w:r>
      <w:r>
        <w:rPr>
          <w:rFonts w:hint="eastAsia"/>
        </w:rPr>
        <w:t>.</w:t>
      </w:r>
      <w:r>
        <w:rPr>
          <w:rFonts w:hint="eastAsia"/>
          <w:lang w:val="en-US" w:eastAsia="zh-CN"/>
        </w:rPr>
        <w:t>9</w:t>
      </w:r>
      <w:r>
        <w:rPr>
          <w:rFonts w:hint="eastAsia"/>
        </w:rPr>
        <w:t xml:space="preserve"> 废水处理区运行</w:t>
      </w:r>
      <w:r>
        <w:tab/>
      </w:r>
      <w:r>
        <w:fldChar w:fldCharType="begin"/>
      </w:r>
      <w:r>
        <w:instrText xml:space="preserve"> PAGEREF _Toc26860 \h </w:instrText>
      </w:r>
      <w:r>
        <w:fldChar w:fldCharType="separate"/>
      </w:r>
      <w:r>
        <w:t>16</w:t>
      </w:r>
      <w:r>
        <w:fldChar w:fldCharType="end"/>
      </w:r>
      <w:r>
        <w:fldChar w:fldCharType="end"/>
      </w:r>
    </w:p>
    <w:p w14:paraId="6AE3DDE8">
      <w:pPr>
        <w:pStyle w:val="8"/>
        <w:tabs>
          <w:tab w:val="right" w:leader="dot" w:pos="8306"/>
        </w:tabs>
      </w:pPr>
      <w:r>
        <w:fldChar w:fldCharType="begin"/>
      </w:r>
      <w:r>
        <w:instrText xml:space="preserve"> HYPERLINK \l _Toc4764 </w:instrText>
      </w:r>
      <w:r>
        <w:fldChar w:fldCharType="separate"/>
      </w:r>
      <w:r>
        <w:rPr>
          <w:rFonts w:hint="eastAsia"/>
        </w:rPr>
        <w:t>5.</w:t>
      </w:r>
      <w:r>
        <w:rPr>
          <w:rFonts w:hint="eastAsia"/>
          <w:lang w:val="en-US" w:eastAsia="zh-CN"/>
        </w:rPr>
        <w:t>4</w:t>
      </w:r>
      <w:r>
        <w:rPr>
          <w:rFonts w:hint="eastAsia"/>
        </w:rPr>
        <w:t>.</w:t>
      </w:r>
      <w:r>
        <w:rPr>
          <w:rFonts w:hint="eastAsia"/>
          <w:lang w:val="en-US" w:eastAsia="zh-CN"/>
        </w:rPr>
        <w:t>10</w:t>
      </w:r>
      <w:r>
        <w:rPr>
          <w:rFonts w:hint="eastAsia"/>
        </w:rPr>
        <w:t xml:space="preserve"> 废气处理区运行</w:t>
      </w:r>
      <w:r>
        <w:tab/>
      </w:r>
      <w:r>
        <w:fldChar w:fldCharType="begin"/>
      </w:r>
      <w:r>
        <w:instrText xml:space="preserve"> PAGEREF _Toc4764 \h </w:instrText>
      </w:r>
      <w:r>
        <w:fldChar w:fldCharType="separate"/>
      </w:r>
      <w:r>
        <w:t>16</w:t>
      </w:r>
      <w:r>
        <w:fldChar w:fldCharType="end"/>
      </w:r>
      <w:r>
        <w:fldChar w:fldCharType="end"/>
      </w:r>
    </w:p>
    <w:p w14:paraId="738F69C6">
      <w:pPr>
        <w:pStyle w:val="8"/>
        <w:tabs>
          <w:tab w:val="right" w:leader="dot" w:pos="8306"/>
        </w:tabs>
      </w:pPr>
      <w:r>
        <w:fldChar w:fldCharType="begin"/>
      </w:r>
      <w:r>
        <w:instrText xml:space="preserve"> HYPERLINK \l _Toc25746 </w:instrText>
      </w:r>
      <w:r>
        <w:fldChar w:fldCharType="separate"/>
      </w:r>
      <w:r>
        <w:rPr>
          <w:rFonts w:hint="eastAsia"/>
          <w:lang w:val="en-US" w:eastAsia="zh-CN"/>
        </w:rPr>
        <w:t>5.4.11 建筑垃圾区运行</w:t>
      </w:r>
      <w:r>
        <w:tab/>
      </w:r>
      <w:r>
        <w:fldChar w:fldCharType="begin"/>
      </w:r>
      <w:r>
        <w:instrText xml:space="preserve"> PAGEREF _Toc25746 \h </w:instrText>
      </w:r>
      <w:r>
        <w:fldChar w:fldCharType="separate"/>
      </w:r>
      <w:r>
        <w:t>16</w:t>
      </w:r>
      <w:r>
        <w:fldChar w:fldCharType="end"/>
      </w:r>
      <w:r>
        <w:fldChar w:fldCharType="end"/>
      </w:r>
    </w:p>
    <w:p w14:paraId="7F9D6686">
      <w:pPr>
        <w:pStyle w:val="8"/>
        <w:tabs>
          <w:tab w:val="right" w:leader="dot" w:pos="8306"/>
        </w:tabs>
      </w:pPr>
      <w:r>
        <w:fldChar w:fldCharType="begin"/>
      </w:r>
      <w:r>
        <w:instrText xml:space="preserve"> HYPERLINK \l _Toc21964 </w:instrText>
      </w:r>
      <w:r>
        <w:fldChar w:fldCharType="separate"/>
      </w:r>
      <w:r>
        <w:rPr>
          <w:rFonts w:hint="eastAsia"/>
          <w:lang w:val="en-US" w:eastAsia="zh-CN"/>
        </w:rPr>
        <w:t>5.4.12 暂存区运行</w:t>
      </w:r>
      <w:r>
        <w:tab/>
      </w:r>
      <w:r>
        <w:fldChar w:fldCharType="begin"/>
      </w:r>
      <w:r>
        <w:instrText xml:space="preserve"> PAGEREF _Toc21964 \h </w:instrText>
      </w:r>
      <w:r>
        <w:fldChar w:fldCharType="separate"/>
      </w:r>
      <w:r>
        <w:t>16</w:t>
      </w:r>
      <w:r>
        <w:fldChar w:fldCharType="end"/>
      </w:r>
      <w:r>
        <w:fldChar w:fldCharType="end"/>
      </w:r>
    </w:p>
    <w:p w14:paraId="5B0B8741">
      <w:pPr>
        <w:pStyle w:val="13"/>
        <w:tabs>
          <w:tab w:val="right" w:leader="dot" w:pos="8306"/>
        </w:tabs>
      </w:pPr>
      <w:r>
        <w:fldChar w:fldCharType="begin"/>
      </w:r>
      <w:r>
        <w:instrText xml:space="preserve"> HYPERLINK \l _Toc4160 </w:instrText>
      </w:r>
      <w:r>
        <w:fldChar w:fldCharType="separate"/>
      </w:r>
      <w:r>
        <w:rPr>
          <w:rFonts w:hint="eastAsia" w:cs="黑体"/>
          <w:szCs w:val="21"/>
          <w:lang w:bidi="ar"/>
        </w:rPr>
        <w:t>5.</w:t>
      </w:r>
      <w:r>
        <w:rPr>
          <w:rFonts w:hint="eastAsia" w:cs="黑体"/>
          <w:szCs w:val="21"/>
          <w:lang w:val="en-US" w:eastAsia="zh-CN" w:bidi="ar"/>
        </w:rPr>
        <w:t>5</w:t>
      </w:r>
      <w:r>
        <w:rPr>
          <w:rFonts w:hint="eastAsia" w:cs="黑体"/>
          <w:szCs w:val="21"/>
          <w:lang w:bidi="ar"/>
        </w:rPr>
        <w:t xml:space="preserve"> 监测</w:t>
      </w:r>
      <w:r>
        <w:rPr>
          <w:rFonts w:hint="eastAsia" w:cs="黑体"/>
          <w:szCs w:val="21"/>
          <w:lang w:val="en-US" w:eastAsia="zh-CN" w:bidi="ar"/>
        </w:rPr>
        <w:t>与验收</w:t>
      </w:r>
      <w:r>
        <w:tab/>
      </w:r>
      <w:r>
        <w:fldChar w:fldCharType="begin"/>
      </w:r>
      <w:r>
        <w:instrText xml:space="preserve"> PAGEREF _Toc4160 \h </w:instrText>
      </w:r>
      <w:r>
        <w:fldChar w:fldCharType="separate"/>
      </w:r>
      <w:r>
        <w:t>16</w:t>
      </w:r>
      <w:r>
        <w:fldChar w:fldCharType="end"/>
      </w:r>
      <w:r>
        <w:fldChar w:fldCharType="end"/>
      </w:r>
    </w:p>
    <w:p w14:paraId="33F0DFFE">
      <w:pPr>
        <w:pStyle w:val="8"/>
        <w:tabs>
          <w:tab w:val="right" w:leader="dot" w:pos="8306"/>
        </w:tabs>
      </w:pPr>
      <w:r>
        <w:fldChar w:fldCharType="begin"/>
      </w:r>
      <w:r>
        <w:instrText xml:space="preserve"> HYPERLINK \l _Toc11311 </w:instrText>
      </w:r>
      <w:r>
        <w:fldChar w:fldCharType="separate"/>
      </w:r>
      <w:r>
        <w:rPr>
          <w:rFonts w:hint="eastAsia"/>
          <w:bCs w:val="0"/>
        </w:rPr>
        <w:t>5.</w:t>
      </w:r>
      <w:r>
        <w:rPr>
          <w:rFonts w:hint="eastAsia"/>
          <w:bCs w:val="0"/>
          <w:lang w:val="en-US" w:eastAsia="zh-CN"/>
        </w:rPr>
        <w:t>5</w:t>
      </w:r>
      <w:r>
        <w:rPr>
          <w:rFonts w:hint="eastAsia"/>
          <w:bCs w:val="0"/>
        </w:rPr>
        <w:t>.1</w:t>
      </w:r>
      <w:r>
        <w:rPr>
          <w:rFonts w:hint="eastAsia"/>
        </w:rPr>
        <w:t xml:space="preserve"> 负压密闭空间监测</w:t>
      </w:r>
      <w:r>
        <w:tab/>
      </w:r>
      <w:r>
        <w:fldChar w:fldCharType="begin"/>
      </w:r>
      <w:r>
        <w:instrText xml:space="preserve"> PAGEREF _Toc11311 \h </w:instrText>
      </w:r>
      <w:r>
        <w:fldChar w:fldCharType="separate"/>
      </w:r>
      <w:r>
        <w:t>16</w:t>
      </w:r>
      <w:r>
        <w:fldChar w:fldCharType="end"/>
      </w:r>
      <w:r>
        <w:fldChar w:fldCharType="end"/>
      </w:r>
    </w:p>
    <w:p w14:paraId="46F642C0">
      <w:pPr>
        <w:pStyle w:val="8"/>
        <w:tabs>
          <w:tab w:val="right" w:leader="dot" w:pos="8306"/>
        </w:tabs>
      </w:pPr>
      <w:r>
        <w:fldChar w:fldCharType="begin"/>
      </w:r>
      <w:r>
        <w:instrText xml:space="preserve"> HYPERLINK \l _Toc21873 </w:instrText>
      </w:r>
      <w:r>
        <w:fldChar w:fldCharType="separate"/>
      </w:r>
      <w:r>
        <w:rPr>
          <w:rFonts w:hint="eastAsia"/>
        </w:rPr>
        <w:t>5.</w:t>
      </w:r>
      <w:r>
        <w:rPr>
          <w:rFonts w:hint="eastAsia"/>
          <w:lang w:val="en-US" w:eastAsia="zh-CN"/>
        </w:rPr>
        <w:t>5</w:t>
      </w:r>
      <w:r>
        <w:rPr>
          <w:rFonts w:hint="eastAsia"/>
        </w:rPr>
        <w:t>.2</w:t>
      </w:r>
      <w:r>
        <w:t xml:space="preserve"> </w:t>
      </w:r>
      <w:r>
        <w:rPr>
          <w:rFonts w:hint="eastAsia"/>
        </w:rPr>
        <w:t>常温解吸区监测</w:t>
      </w:r>
      <w:r>
        <w:tab/>
      </w:r>
      <w:r>
        <w:fldChar w:fldCharType="begin"/>
      </w:r>
      <w:r>
        <w:instrText xml:space="preserve"> PAGEREF _Toc21873 \h </w:instrText>
      </w:r>
      <w:r>
        <w:fldChar w:fldCharType="separate"/>
      </w:r>
      <w:r>
        <w:t>17</w:t>
      </w:r>
      <w:r>
        <w:fldChar w:fldCharType="end"/>
      </w:r>
      <w:r>
        <w:fldChar w:fldCharType="end"/>
      </w:r>
    </w:p>
    <w:p w14:paraId="2A5B44E3">
      <w:pPr>
        <w:pStyle w:val="8"/>
        <w:tabs>
          <w:tab w:val="right" w:leader="dot" w:pos="8306"/>
        </w:tabs>
      </w:pPr>
      <w:r>
        <w:fldChar w:fldCharType="begin"/>
      </w:r>
      <w:r>
        <w:instrText xml:space="preserve"> HYPERLINK \l _Toc1454 </w:instrText>
      </w:r>
      <w:r>
        <w:fldChar w:fldCharType="separate"/>
      </w:r>
      <w:r>
        <w:rPr>
          <w:rFonts w:hint="eastAsia"/>
        </w:rPr>
        <w:t>5.</w:t>
      </w:r>
      <w:r>
        <w:rPr>
          <w:rFonts w:hint="eastAsia"/>
          <w:lang w:val="en-US" w:eastAsia="zh-CN"/>
        </w:rPr>
        <w:t>5</w:t>
      </w:r>
      <w:r>
        <w:rPr>
          <w:rFonts w:hint="eastAsia"/>
        </w:rPr>
        <w:t>.3 化学修复区监测</w:t>
      </w:r>
      <w:r>
        <w:tab/>
      </w:r>
      <w:r>
        <w:fldChar w:fldCharType="begin"/>
      </w:r>
      <w:r>
        <w:instrText xml:space="preserve"> PAGEREF _Toc1454 \h </w:instrText>
      </w:r>
      <w:r>
        <w:fldChar w:fldCharType="separate"/>
      </w:r>
      <w:r>
        <w:t>17</w:t>
      </w:r>
      <w:r>
        <w:fldChar w:fldCharType="end"/>
      </w:r>
      <w:r>
        <w:fldChar w:fldCharType="end"/>
      </w:r>
    </w:p>
    <w:p w14:paraId="5AFBFD02">
      <w:pPr>
        <w:pStyle w:val="8"/>
        <w:tabs>
          <w:tab w:val="right" w:leader="dot" w:pos="8306"/>
        </w:tabs>
      </w:pPr>
      <w:r>
        <w:fldChar w:fldCharType="begin"/>
      </w:r>
      <w:r>
        <w:instrText xml:space="preserve"> HYPERLINK \l _Toc18271 </w:instrText>
      </w:r>
      <w:r>
        <w:fldChar w:fldCharType="separate"/>
      </w:r>
      <w:r>
        <w:rPr>
          <w:rFonts w:hint="eastAsia"/>
        </w:rPr>
        <w:t>5.</w:t>
      </w:r>
      <w:r>
        <w:rPr>
          <w:rFonts w:hint="eastAsia"/>
          <w:lang w:val="en-US" w:eastAsia="zh-CN"/>
        </w:rPr>
        <w:t>5</w:t>
      </w:r>
      <w:r>
        <w:rPr>
          <w:rFonts w:hint="eastAsia"/>
        </w:rPr>
        <w:t>.4 异位热脱附修复区监测</w:t>
      </w:r>
      <w:r>
        <w:tab/>
      </w:r>
      <w:r>
        <w:fldChar w:fldCharType="begin"/>
      </w:r>
      <w:r>
        <w:instrText xml:space="preserve"> PAGEREF _Toc18271 \h </w:instrText>
      </w:r>
      <w:r>
        <w:fldChar w:fldCharType="separate"/>
      </w:r>
      <w:r>
        <w:t>17</w:t>
      </w:r>
      <w:r>
        <w:fldChar w:fldCharType="end"/>
      </w:r>
      <w:r>
        <w:fldChar w:fldCharType="end"/>
      </w:r>
    </w:p>
    <w:p w14:paraId="63B68F8F">
      <w:pPr>
        <w:pStyle w:val="8"/>
        <w:tabs>
          <w:tab w:val="right" w:leader="dot" w:pos="8306"/>
        </w:tabs>
      </w:pPr>
      <w:r>
        <w:fldChar w:fldCharType="begin"/>
      </w:r>
      <w:r>
        <w:instrText xml:space="preserve"> HYPERLINK \l _Toc18373 </w:instrText>
      </w:r>
      <w:r>
        <w:fldChar w:fldCharType="separate"/>
      </w:r>
      <w:r>
        <w:rPr>
          <w:rFonts w:hint="eastAsia"/>
        </w:rPr>
        <w:t>5.</w:t>
      </w:r>
      <w:r>
        <w:rPr>
          <w:rFonts w:hint="eastAsia"/>
          <w:lang w:val="en-US" w:eastAsia="zh-CN"/>
        </w:rPr>
        <w:t>5</w:t>
      </w:r>
      <w:r>
        <w:rPr>
          <w:rFonts w:hint="eastAsia"/>
        </w:rPr>
        <w:t>.5 淋洗修复区监测</w:t>
      </w:r>
      <w:r>
        <w:tab/>
      </w:r>
      <w:r>
        <w:fldChar w:fldCharType="begin"/>
      </w:r>
      <w:r>
        <w:instrText xml:space="preserve"> PAGEREF _Toc18373 \h </w:instrText>
      </w:r>
      <w:r>
        <w:fldChar w:fldCharType="separate"/>
      </w:r>
      <w:r>
        <w:t>17</w:t>
      </w:r>
      <w:r>
        <w:fldChar w:fldCharType="end"/>
      </w:r>
      <w:r>
        <w:fldChar w:fldCharType="end"/>
      </w:r>
    </w:p>
    <w:p w14:paraId="0ADE7934">
      <w:pPr>
        <w:pStyle w:val="8"/>
        <w:tabs>
          <w:tab w:val="right" w:leader="dot" w:pos="8306"/>
        </w:tabs>
      </w:pPr>
      <w:r>
        <w:fldChar w:fldCharType="begin"/>
      </w:r>
      <w:r>
        <w:instrText xml:space="preserve"> HYPERLINK \l _Toc21 </w:instrText>
      </w:r>
      <w:r>
        <w:fldChar w:fldCharType="separate"/>
      </w:r>
      <w:r>
        <w:rPr>
          <w:rFonts w:hint="eastAsia"/>
        </w:rPr>
        <w:t>5.</w:t>
      </w:r>
      <w:r>
        <w:rPr>
          <w:rFonts w:hint="eastAsia"/>
          <w:lang w:val="en-US" w:eastAsia="zh-CN"/>
        </w:rPr>
        <w:t>5</w:t>
      </w:r>
      <w:r>
        <w:rPr>
          <w:rFonts w:hint="eastAsia"/>
        </w:rPr>
        <w:t>.6废水处理区监测</w:t>
      </w:r>
      <w:r>
        <w:tab/>
      </w:r>
      <w:r>
        <w:fldChar w:fldCharType="begin"/>
      </w:r>
      <w:r>
        <w:instrText xml:space="preserve"> PAGEREF _Toc21 \h </w:instrText>
      </w:r>
      <w:r>
        <w:fldChar w:fldCharType="separate"/>
      </w:r>
      <w:r>
        <w:t>17</w:t>
      </w:r>
      <w:r>
        <w:fldChar w:fldCharType="end"/>
      </w:r>
      <w:r>
        <w:fldChar w:fldCharType="end"/>
      </w:r>
    </w:p>
    <w:p w14:paraId="4B2B84E1">
      <w:pPr>
        <w:pStyle w:val="8"/>
        <w:tabs>
          <w:tab w:val="right" w:leader="dot" w:pos="8306"/>
        </w:tabs>
      </w:pPr>
      <w:r>
        <w:fldChar w:fldCharType="begin"/>
      </w:r>
      <w:r>
        <w:instrText xml:space="preserve"> HYPERLINK \l _Toc19659 </w:instrText>
      </w:r>
      <w:r>
        <w:fldChar w:fldCharType="separate"/>
      </w:r>
      <w:r>
        <w:rPr>
          <w:rFonts w:hint="eastAsia"/>
        </w:rPr>
        <w:t>5.</w:t>
      </w:r>
      <w:r>
        <w:rPr>
          <w:rFonts w:hint="eastAsia"/>
          <w:lang w:val="en-US" w:eastAsia="zh-CN"/>
        </w:rPr>
        <w:t>5</w:t>
      </w:r>
      <w:r>
        <w:rPr>
          <w:rFonts w:hint="eastAsia"/>
        </w:rPr>
        <w:t>.7废气处理区监测</w:t>
      </w:r>
      <w:r>
        <w:tab/>
      </w:r>
      <w:r>
        <w:fldChar w:fldCharType="begin"/>
      </w:r>
      <w:r>
        <w:instrText xml:space="preserve"> PAGEREF _Toc19659 \h </w:instrText>
      </w:r>
      <w:r>
        <w:fldChar w:fldCharType="separate"/>
      </w:r>
      <w:r>
        <w:t>17</w:t>
      </w:r>
      <w:r>
        <w:fldChar w:fldCharType="end"/>
      </w:r>
      <w:r>
        <w:fldChar w:fldCharType="end"/>
      </w:r>
    </w:p>
    <w:p w14:paraId="754694A4">
      <w:pPr>
        <w:pStyle w:val="8"/>
        <w:tabs>
          <w:tab w:val="right" w:leader="dot" w:pos="8306"/>
        </w:tabs>
      </w:pPr>
      <w:r>
        <w:fldChar w:fldCharType="begin"/>
      </w:r>
      <w:r>
        <w:instrText xml:space="preserve"> HYPERLINK \l _Toc24355 </w:instrText>
      </w:r>
      <w:r>
        <w:fldChar w:fldCharType="separate"/>
      </w:r>
      <w:r>
        <w:rPr>
          <w:rFonts w:hint="eastAsia"/>
        </w:rPr>
        <w:t>5.</w:t>
      </w:r>
      <w:r>
        <w:rPr>
          <w:rFonts w:hint="eastAsia"/>
          <w:lang w:val="en-US" w:eastAsia="zh-CN"/>
        </w:rPr>
        <w:t>5</w:t>
      </w:r>
      <w:r>
        <w:rPr>
          <w:rFonts w:hint="eastAsia"/>
        </w:rPr>
        <w:t>.8 建筑垃圾处理区监测</w:t>
      </w:r>
      <w:r>
        <w:tab/>
      </w:r>
      <w:r>
        <w:fldChar w:fldCharType="begin"/>
      </w:r>
      <w:r>
        <w:instrText xml:space="preserve"> PAGEREF _Toc24355 \h </w:instrText>
      </w:r>
      <w:r>
        <w:fldChar w:fldCharType="separate"/>
      </w:r>
      <w:r>
        <w:t>18</w:t>
      </w:r>
      <w:r>
        <w:fldChar w:fldCharType="end"/>
      </w:r>
      <w:r>
        <w:fldChar w:fldCharType="end"/>
      </w:r>
    </w:p>
    <w:p w14:paraId="5F4055B6">
      <w:pPr>
        <w:pStyle w:val="8"/>
        <w:tabs>
          <w:tab w:val="right" w:leader="dot" w:pos="8306"/>
        </w:tabs>
      </w:pPr>
      <w:r>
        <w:fldChar w:fldCharType="begin"/>
      </w:r>
      <w:r>
        <w:instrText xml:space="preserve"> HYPERLINK \l _Toc29279 </w:instrText>
      </w:r>
      <w:r>
        <w:fldChar w:fldCharType="separate"/>
      </w:r>
      <w:r>
        <w:rPr>
          <w:rFonts w:hint="eastAsia"/>
        </w:rPr>
        <w:t>5.</w:t>
      </w:r>
      <w:r>
        <w:rPr>
          <w:rFonts w:hint="eastAsia"/>
          <w:lang w:val="en-US" w:eastAsia="zh-CN"/>
        </w:rPr>
        <w:t>5</w:t>
      </w:r>
      <w:r>
        <w:rPr>
          <w:rFonts w:hint="eastAsia"/>
        </w:rPr>
        <w:t>.9 二次污染防治监测</w:t>
      </w:r>
      <w:r>
        <w:tab/>
      </w:r>
      <w:r>
        <w:fldChar w:fldCharType="begin"/>
      </w:r>
      <w:r>
        <w:instrText xml:space="preserve"> PAGEREF _Toc29279 \h </w:instrText>
      </w:r>
      <w:r>
        <w:fldChar w:fldCharType="separate"/>
      </w:r>
      <w:r>
        <w:t>18</w:t>
      </w:r>
      <w:r>
        <w:fldChar w:fldCharType="end"/>
      </w:r>
      <w:r>
        <w:fldChar w:fldCharType="end"/>
      </w:r>
    </w:p>
    <w:p w14:paraId="725E7689">
      <w:pPr>
        <w:pStyle w:val="13"/>
        <w:tabs>
          <w:tab w:val="right" w:leader="dot" w:pos="8306"/>
        </w:tabs>
      </w:pPr>
      <w:r>
        <w:fldChar w:fldCharType="begin"/>
      </w:r>
      <w:r>
        <w:instrText xml:space="preserve"> HYPERLINK \l _Toc32464 </w:instrText>
      </w:r>
      <w:r>
        <w:fldChar w:fldCharType="separate"/>
      </w:r>
      <w:r>
        <w:rPr>
          <w:rFonts w:hint="eastAsia"/>
        </w:rPr>
        <w:t>5.</w:t>
      </w:r>
      <w:r>
        <w:rPr>
          <w:rFonts w:hint="eastAsia"/>
          <w:lang w:val="en-US" w:eastAsia="zh-CN"/>
        </w:rPr>
        <w:t>6</w:t>
      </w:r>
      <w:r>
        <w:rPr>
          <w:rFonts w:hint="eastAsia"/>
        </w:rPr>
        <w:t xml:space="preserve"> 验收</w:t>
      </w:r>
      <w:r>
        <w:tab/>
      </w:r>
      <w:r>
        <w:fldChar w:fldCharType="begin"/>
      </w:r>
      <w:r>
        <w:instrText xml:space="preserve"> PAGEREF _Toc32464 \h </w:instrText>
      </w:r>
      <w:r>
        <w:fldChar w:fldCharType="separate"/>
      </w:r>
      <w:r>
        <w:t>18</w:t>
      </w:r>
      <w:r>
        <w:fldChar w:fldCharType="end"/>
      </w:r>
      <w:r>
        <w:fldChar w:fldCharType="end"/>
      </w:r>
    </w:p>
    <w:p w14:paraId="0A054EB2">
      <w:pPr>
        <w:pStyle w:val="12"/>
        <w:tabs>
          <w:tab w:val="right" w:leader="dot" w:pos="8306"/>
        </w:tabs>
      </w:pPr>
      <w:r>
        <w:fldChar w:fldCharType="begin"/>
      </w:r>
      <w:r>
        <w:instrText xml:space="preserve"> HYPERLINK \l _Toc22597 </w:instrText>
      </w:r>
      <w:r>
        <w:fldChar w:fldCharType="separate"/>
      </w:r>
      <w:r>
        <w:rPr>
          <w:rFonts w:ascii="黑体" w:hAnsi="黑体" w:eastAsia="黑体" w:cs="黑体"/>
          <w:bCs w:val="0"/>
          <w:szCs w:val="21"/>
        </w:rPr>
        <w:t>6</w:t>
      </w:r>
      <w:r>
        <w:rPr>
          <w:rFonts w:hint="eastAsia" w:ascii="黑体" w:hAnsi="黑体" w:eastAsia="黑体" w:cs="黑体"/>
          <w:bCs w:val="0"/>
          <w:szCs w:val="21"/>
        </w:rPr>
        <w:t xml:space="preserve"> 标准实施的环境效益与经济技术分析</w:t>
      </w:r>
      <w:r>
        <w:tab/>
      </w:r>
      <w:r>
        <w:fldChar w:fldCharType="begin"/>
      </w:r>
      <w:r>
        <w:instrText xml:space="preserve"> PAGEREF _Toc22597 \h </w:instrText>
      </w:r>
      <w:r>
        <w:fldChar w:fldCharType="separate"/>
      </w:r>
      <w:r>
        <w:t>18</w:t>
      </w:r>
      <w:r>
        <w:fldChar w:fldCharType="end"/>
      </w:r>
      <w:r>
        <w:fldChar w:fldCharType="end"/>
      </w:r>
    </w:p>
    <w:p w14:paraId="4C42A73C">
      <w:pPr>
        <w:pStyle w:val="12"/>
        <w:tabs>
          <w:tab w:val="right" w:leader="dot" w:pos="8306"/>
        </w:tabs>
      </w:pPr>
      <w:r>
        <w:fldChar w:fldCharType="begin"/>
      </w:r>
      <w:r>
        <w:instrText xml:space="preserve"> HYPERLINK \l _Toc7164 </w:instrText>
      </w:r>
      <w:r>
        <w:fldChar w:fldCharType="separate"/>
      </w:r>
      <w:r>
        <w:rPr>
          <w:rFonts w:ascii="黑体" w:hAnsi="黑体" w:eastAsia="黑体" w:cs="黑体"/>
          <w:bCs w:val="0"/>
          <w:szCs w:val="21"/>
        </w:rPr>
        <w:t>7</w:t>
      </w:r>
      <w:r>
        <w:rPr>
          <w:rFonts w:hint="eastAsia" w:ascii="黑体" w:hAnsi="黑体" w:eastAsia="黑体" w:cs="黑体"/>
          <w:bCs w:val="0"/>
          <w:szCs w:val="21"/>
        </w:rPr>
        <w:t xml:space="preserve"> 标准实施建议</w:t>
      </w:r>
      <w:r>
        <w:tab/>
      </w:r>
      <w:r>
        <w:fldChar w:fldCharType="begin"/>
      </w:r>
      <w:r>
        <w:instrText xml:space="preserve"> PAGEREF _Toc7164 \h </w:instrText>
      </w:r>
      <w:r>
        <w:fldChar w:fldCharType="separate"/>
      </w:r>
      <w:r>
        <w:t>18</w:t>
      </w:r>
      <w:r>
        <w:fldChar w:fldCharType="end"/>
      </w:r>
      <w:r>
        <w:fldChar w:fldCharType="end"/>
      </w:r>
    </w:p>
    <w:p w14:paraId="1965AA55">
      <w:pPr>
        <w:pStyle w:val="12"/>
        <w:tabs>
          <w:tab w:val="right" w:leader="dot" w:pos="8306"/>
        </w:tabs>
      </w:pPr>
      <w:r>
        <w:fldChar w:fldCharType="begin"/>
      </w:r>
      <w:r>
        <w:instrText xml:space="preserve"> HYPERLINK \l _Toc15171 </w:instrText>
      </w:r>
      <w:r>
        <w:fldChar w:fldCharType="separate"/>
      </w:r>
      <w:r>
        <w:rPr>
          <w:rFonts w:ascii="黑体" w:hAnsi="黑体" w:eastAsia="黑体" w:cs="黑体"/>
          <w:bCs w:val="0"/>
          <w:szCs w:val="21"/>
        </w:rPr>
        <w:t xml:space="preserve">8 </w:t>
      </w:r>
      <w:r>
        <w:rPr>
          <w:rFonts w:hint="eastAsia" w:ascii="黑体" w:hAnsi="黑体" w:eastAsia="黑体" w:cs="黑体"/>
          <w:bCs w:val="0"/>
          <w:szCs w:val="21"/>
        </w:rPr>
        <w:t>征求意见处理情况说明（送审稿）</w:t>
      </w:r>
      <w:r>
        <w:tab/>
      </w:r>
      <w:r>
        <w:fldChar w:fldCharType="begin"/>
      </w:r>
      <w:r>
        <w:instrText xml:space="preserve"> PAGEREF _Toc15171 \h </w:instrText>
      </w:r>
      <w:r>
        <w:fldChar w:fldCharType="separate"/>
      </w:r>
      <w:r>
        <w:t>19</w:t>
      </w:r>
      <w:r>
        <w:fldChar w:fldCharType="end"/>
      </w:r>
      <w:r>
        <w:fldChar w:fldCharType="end"/>
      </w:r>
    </w:p>
    <w:p w14:paraId="395FA95A">
      <w:pPr>
        <w:pStyle w:val="12"/>
        <w:tabs>
          <w:tab w:val="right" w:leader="dot" w:pos="8306"/>
        </w:tabs>
      </w:pPr>
      <w:r>
        <w:fldChar w:fldCharType="begin"/>
      </w:r>
      <w:r>
        <w:instrText xml:space="preserve"> HYPERLINK \l _Toc19996 </w:instrText>
      </w:r>
      <w:r>
        <w:fldChar w:fldCharType="separate"/>
      </w:r>
      <w:r>
        <w:rPr>
          <w:rFonts w:hint="eastAsia" w:ascii="黑体" w:hAnsi="黑体" w:eastAsia="黑体" w:cs="黑体"/>
          <w:bCs w:val="0"/>
          <w:szCs w:val="21"/>
        </w:rPr>
        <w:t>9 技术审查工作情况说明（报批稿）</w:t>
      </w:r>
      <w:r>
        <w:tab/>
      </w:r>
      <w:r>
        <w:fldChar w:fldCharType="begin"/>
      </w:r>
      <w:r>
        <w:instrText xml:space="preserve"> PAGEREF _Toc19996 \h </w:instrText>
      </w:r>
      <w:r>
        <w:fldChar w:fldCharType="separate"/>
      </w:r>
      <w:r>
        <w:t>19</w:t>
      </w:r>
      <w:r>
        <w:fldChar w:fldCharType="end"/>
      </w:r>
      <w:r>
        <w:fldChar w:fldCharType="end"/>
      </w:r>
    </w:p>
    <w:p w14:paraId="06257241">
      <w:pPr>
        <w:pStyle w:val="12"/>
      </w:pPr>
      <w:r>
        <w:fldChar w:fldCharType="end"/>
      </w:r>
    </w:p>
    <w:p w14:paraId="659CCFB3">
      <w:pPr>
        <w:autoSpaceDE w:val="0"/>
        <w:autoSpaceDN w:val="0"/>
        <w:spacing w:line="360" w:lineRule="auto"/>
        <w:jc w:val="center"/>
        <w:rPr>
          <w:rFonts w:ascii="仿宋_GB2312" w:hAnsi="黑体" w:eastAsia="仿宋_GB2312"/>
          <w:b/>
          <w:sz w:val="32"/>
          <w:lang w:val="zh-CN"/>
        </w:rPr>
      </w:pPr>
      <w:r>
        <w:rPr>
          <w:rFonts w:ascii="仿宋_GB2312" w:hAnsi="黑体" w:eastAsia="仿宋_GB2312"/>
          <w:b/>
          <w:sz w:val="32"/>
          <w:lang w:val="zh-CN"/>
        </w:rPr>
        <w:br w:type="page"/>
      </w:r>
      <w:r>
        <w:rPr>
          <w:rFonts w:hint="eastAsia" w:ascii="黑体" w:hAnsi="黑体" w:eastAsia="黑体" w:cs="黑体"/>
          <w:bCs/>
          <w:sz w:val="32"/>
          <w:lang w:val="zh-CN"/>
        </w:rPr>
        <w:t>《污染土壤修复工厂应用技术规范》编制说明</w:t>
      </w:r>
    </w:p>
    <w:p w14:paraId="4BD8E6AF">
      <w:pPr>
        <w:pStyle w:val="2"/>
        <w:spacing w:line="360" w:lineRule="auto"/>
        <w:rPr>
          <w:rFonts w:eastAsia="黑体"/>
          <w:b w:val="0"/>
          <w:bCs w:val="0"/>
          <w:sz w:val="21"/>
          <w:szCs w:val="21"/>
        </w:rPr>
      </w:pPr>
      <w:bookmarkStart w:id="0" w:name="_Toc26440"/>
      <w:bookmarkStart w:id="1" w:name="_Toc136248298"/>
      <w:bookmarkStart w:id="2" w:name="_Toc321381673"/>
      <w:bookmarkStart w:id="3" w:name="_Toc321381844"/>
      <w:bookmarkStart w:id="4" w:name="_Toc321381927"/>
      <w:r>
        <w:rPr>
          <w:rFonts w:hint="eastAsia" w:ascii="黑体" w:hAnsi="黑体" w:eastAsia="黑体" w:cs="黑体"/>
          <w:b w:val="0"/>
          <w:bCs w:val="0"/>
          <w:color w:val="auto"/>
          <w:sz w:val="21"/>
          <w:szCs w:val="21"/>
        </w:rPr>
        <w:t xml:space="preserve">1 </w:t>
      </w:r>
      <w:r>
        <w:rPr>
          <w:rFonts w:eastAsia="黑体"/>
          <w:b w:val="0"/>
          <w:bCs w:val="0"/>
          <w:color w:val="auto"/>
          <w:sz w:val="21"/>
          <w:szCs w:val="21"/>
        </w:rPr>
        <w:t>工作简况</w:t>
      </w:r>
      <w:bookmarkEnd w:id="0"/>
      <w:bookmarkEnd w:id="1"/>
    </w:p>
    <w:p w14:paraId="5B16AD8D">
      <w:pPr>
        <w:pStyle w:val="3"/>
        <w:bidi w:val="0"/>
      </w:pPr>
      <w:bookmarkStart w:id="5" w:name="_Toc22250"/>
      <w:bookmarkStart w:id="6" w:name="_Toc95852615"/>
      <w:bookmarkStart w:id="7" w:name="_Toc136248299"/>
      <w:r>
        <w:rPr>
          <w:rFonts w:hint="eastAsia"/>
          <w:lang w:val="en-US" w:eastAsia="zh-CN"/>
        </w:rPr>
        <w:t>1.1</w:t>
      </w:r>
      <w:r>
        <w:t>任务来源</w:t>
      </w:r>
      <w:bookmarkEnd w:id="5"/>
      <w:bookmarkEnd w:id="6"/>
      <w:bookmarkEnd w:id="7"/>
    </w:p>
    <w:p w14:paraId="100CDC3B">
      <w:pPr>
        <w:spacing w:line="360" w:lineRule="auto"/>
        <w:ind w:firstLine="420" w:firstLineChars="200"/>
        <w:rPr>
          <w:rFonts w:hint="eastAsia" w:ascii="宋体" w:hAnsi="宋体" w:eastAsia="宋体" w:cs="宋体"/>
          <w:szCs w:val="21"/>
          <w:lang w:val="zh-CN"/>
        </w:rPr>
      </w:pPr>
      <w:r>
        <w:rPr>
          <w:rFonts w:hint="eastAsia" w:ascii="宋体" w:hAnsi="宋体" w:eastAsia="宋体" w:cs="宋体"/>
          <w:szCs w:val="21"/>
          <w:lang w:val="zh-CN"/>
        </w:rPr>
        <w:t>2021年，上海城投上境生态修复科技有限公司作为“上海市国资委”创新发展和能级提升项目《基于5G+AI的智慧固废环境物流和无害化处置关键技术研发与工程示范——数字孪生的固废智能物流体系建设》的中任务四《可移动土壤修复终端与5G+大数据的标准化设计及示范》的承担单位，负责集多功能区域为一体的修复终端设计任务，项目组通过整合修复流程、优化修复技术路线、分类设计土壤利用去向类型等，编制《土壤修复治理工厂设计与运行规范》。上海城投上境生态修复科技有限公司承担该标准的编制工作。参编单位有上海大学。</w:t>
      </w:r>
      <w:bookmarkEnd w:id="2"/>
      <w:bookmarkEnd w:id="3"/>
      <w:bookmarkEnd w:id="4"/>
    </w:p>
    <w:p w14:paraId="1CC80604">
      <w:pPr>
        <w:pStyle w:val="3"/>
        <w:rPr>
          <w:rFonts w:eastAsia="宋体" w:cs="Times New Roman"/>
          <w:szCs w:val="21"/>
        </w:rPr>
      </w:pPr>
      <w:bookmarkStart w:id="8" w:name="_Toc136248300"/>
      <w:bookmarkStart w:id="9" w:name="_Toc29664"/>
      <w:r>
        <w:rPr>
          <w:rFonts w:cs="Times New Roman"/>
        </w:rPr>
        <w:t>1.2</w:t>
      </w:r>
      <w:r>
        <w:rPr>
          <w:rFonts w:hint="eastAsia" w:cs="Times New Roman"/>
          <w:lang w:val="en-US" w:eastAsia="zh-CN"/>
        </w:rPr>
        <w:t xml:space="preserve"> </w:t>
      </w:r>
      <w:r>
        <w:rPr>
          <w:rFonts w:cs="Times New Roman"/>
        </w:rPr>
        <w:t>协作单位</w:t>
      </w:r>
      <w:bookmarkEnd w:id="8"/>
      <w:bookmarkEnd w:id="9"/>
    </w:p>
    <w:p w14:paraId="53573DAC">
      <w:pPr>
        <w:spacing w:line="360" w:lineRule="auto"/>
        <w:ind w:firstLine="420" w:firstLineChars="200"/>
        <w:rPr>
          <w:rFonts w:hint="eastAsia" w:ascii="宋体" w:hAnsi="宋体" w:eastAsia="宋体" w:cs="宋体"/>
          <w:szCs w:val="21"/>
          <w:lang w:val="zh-CN"/>
        </w:rPr>
      </w:pPr>
      <w:r>
        <w:rPr>
          <w:rFonts w:hint="eastAsia" w:ascii="宋体" w:hAnsi="宋体" w:eastAsia="宋体" w:cs="宋体"/>
          <w:szCs w:val="21"/>
          <w:lang w:val="zh-CN"/>
        </w:rPr>
        <w:t>本标准主要由上海城投上境生态修复科技有限公司、上海大学、上海勘察设计研究院（集团）股份有限公司、中环博通环保咨询（北京）有限公司、</w:t>
      </w:r>
      <w:r>
        <w:rPr>
          <w:rFonts w:hint="eastAsia" w:ascii="宋体" w:hAnsi="宋体" w:eastAsia="宋体"/>
          <w:szCs w:val="21"/>
          <w:lang w:val="en-US" w:eastAsia="zh-CN"/>
        </w:rPr>
        <w:t>上海汇蓬环境技术股份有限公司、</w:t>
      </w:r>
      <w:r>
        <w:rPr>
          <w:rFonts w:hint="eastAsia" w:ascii="宋体" w:hAnsi="宋体" w:eastAsia="宋体" w:cs="宋体"/>
          <w:szCs w:val="21"/>
          <w:lang w:val="zh-CN"/>
        </w:rPr>
        <w:t>河北君正环境工程有限公司、中环联兴（北京）认证中心、中华环保联合会水环境治理专业委员会。</w:t>
      </w:r>
      <w:bookmarkStart w:id="105" w:name="_GoBack"/>
      <w:bookmarkEnd w:id="105"/>
    </w:p>
    <w:p w14:paraId="6AEEEF73">
      <w:pPr>
        <w:rPr>
          <w:lang w:val="zh-CN"/>
        </w:rPr>
      </w:pPr>
    </w:p>
    <w:p w14:paraId="7D868EA4">
      <w:pPr>
        <w:pStyle w:val="3"/>
        <w:bidi w:val="0"/>
        <w:rPr>
          <w:rFonts w:eastAsia="黑体"/>
          <w:bCs/>
          <w:szCs w:val="21"/>
          <w:lang w:val="zh-CN"/>
        </w:rPr>
      </w:pPr>
      <w:bookmarkStart w:id="10" w:name="_Toc17436"/>
      <w:r>
        <w:rPr>
          <w:rFonts w:eastAsia="黑体"/>
          <w:bCs/>
          <w:szCs w:val="21"/>
        </w:rPr>
        <w:t>1.3</w:t>
      </w:r>
      <w:r>
        <w:rPr>
          <w:rFonts w:hint="eastAsia" w:eastAsia="黑体"/>
          <w:bCs/>
          <w:szCs w:val="21"/>
          <w:lang w:val="en-US" w:eastAsia="zh-CN"/>
        </w:rPr>
        <w:t xml:space="preserve"> </w:t>
      </w:r>
      <w:r>
        <w:rPr>
          <w:rFonts w:eastAsia="黑体"/>
          <w:bCs/>
          <w:szCs w:val="21"/>
          <w:lang w:val="zh-CN"/>
        </w:rPr>
        <w:t>主要工作过程</w:t>
      </w:r>
      <w:bookmarkEnd w:id="10"/>
    </w:p>
    <w:p w14:paraId="2E1B2357">
      <w:pPr>
        <w:pStyle w:val="4"/>
        <w:ind w:firstLine="0" w:firstLineChars="0"/>
      </w:pPr>
      <w:bookmarkStart w:id="11" w:name="_Toc24059"/>
      <w:r>
        <w:t>1.3.</w:t>
      </w:r>
      <w:r>
        <w:rPr>
          <w:rFonts w:hint="eastAsia"/>
        </w:rPr>
        <w:t xml:space="preserve">1 </w:t>
      </w:r>
      <w:r>
        <w:t>成立标准制订编制组</w:t>
      </w:r>
      <w:bookmarkEnd w:id="11"/>
    </w:p>
    <w:p w14:paraId="62277A86">
      <w:pPr>
        <w:spacing w:line="360" w:lineRule="auto"/>
        <w:ind w:firstLine="420" w:firstLineChars="200"/>
        <w:rPr>
          <w:szCs w:val="21"/>
        </w:rPr>
      </w:pPr>
      <w:r>
        <w:rPr>
          <w:rFonts w:hint="eastAsia" w:ascii="宋体" w:hAnsi="宋体" w:eastAsia="宋体" w:cs="宋体"/>
          <w:szCs w:val="21"/>
        </w:rPr>
        <w:t>2023年9月任务下达后，项目承担单位上海城投上境生态修复科技有限公司即成立标准制订编制组(以下简称编制组)。编制组初步拟定了标准制订的原则、工作目标、工作内容和技术路线，讨论了在标准过程中可能遇到的问题、标准定位及侧重点，并根据标准编制任务，制定了详细的标准编制计划与任务分工。</w:t>
      </w:r>
    </w:p>
    <w:p w14:paraId="1F94502E">
      <w:pPr>
        <w:pStyle w:val="4"/>
        <w:ind w:firstLine="0" w:firstLineChars="0"/>
      </w:pPr>
      <w:bookmarkStart w:id="12" w:name="_Toc12505"/>
      <w:r>
        <w:rPr>
          <w:rFonts w:hint="eastAsia"/>
        </w:rPr>
        <w:t xml:space="preserve">1.3.2 </w:t>
      </w:r>
      <w:r>
        <w:t>查询国内外相关标准和文献资料、编制大纲及草案</w:t>
      </w:r>
      <w:bookmarkEnd w:id="12"/>
    </w:p>
    <w:p w14:paraId="17D4C4F6">
      <w:pPr>
        <w:spacing w:line="360" w:lineRule="auto"/>
        <w:ind w:firstLine="420" w:firstLineChars="200"/>
        <w:rPr>
          <w:rFonts w:hint="eastAsia" w:ascii="宋体" w:hAnsi="宋体" w:eastAsia="宋体" w:cs="宋体"/>
          <w:szCs w:val="21"/>
        </w:rPr>
      </w:pPr>
      <w:r>
        <w:rPr>
          <w:rFonts w:hint="eastAsia" w:ascii="宋体" w:hAnsi="宋体" w:eastAsia="宋体" w:cs="宋体"/>
          <w:szCs w:val="21"/>
        </w:rPr>
        <w:t>2023年6月~12月，编制组根据《国家环境保护标准制修订工作管理办法》(国环规科技〔2017〕1号)、《污染场地修复技术目录（第一批）》等相关规定，检索、查询和收集国内外相关标准和文献资料，对现有关于土壤修复的方法、研究进展以及存在的问题进行了调研，在整理借鉴的基础上进行归纳和总结，对方法中涉及的采样点布设、样品采集、采样周期和频率以及分析方法等的确定和选择等主要内容进行了初步的探讨和总结，确定了土壤修复技术规程的技术路线和主要研究内容。</w:t>
      </w:r>
    </w:p>
    <w:p w14:paraId="5894D972">
      <w:pPr>
        <w:pStyle w:val="4"/>
        <w:ind w:firstLine="0" w:firstLineChars="0"/>
      </w:pPr>
      <w:bookmarkStart w:id="13" w:name="_Toc22082"/>
      <w:r>
        <w:rPr>
          <w:rFonts w:hint="eastAsia"/>
        </w:rPr>
        <w:t xml:space="preserve">1.3.3 </w:t>
      </w:r>
      <w:r>
        <w:t>编制开题论证报告及标准草案</w:t>
      </w:r>
      <w:bookmarkEnd w:id="13"/>
    </w:p>
    <w:p w14:paraId="6166E093">
      <w:pPr>
        <w:spacing w:line="360" w:lineRule="auto"/>
        <w:ind w:firstLine="420" w:firstLineChars="200"/>
        <w:rPr>
          <w:rFonts w:hint="eastAsia" w:ascii="宋体" w:hAnsi="宋体" w:eastAsia="宋体" w:cs="宋体"/>
          <w:szCs w:val="21"/>
        </w:rPr>
      </w:pPr>
      <w:r>
        <w:rPr>
          <w:rFonts w:hint="eastAsia" w:ascii="宋体" w:hAnsi="宋体" w:eastAsia="宋体" w:cs="宋体"/>
          <w:szCs w:val="21"/>
        </w:rPr>
        <w:t>2023年6月~12月，编制组根据拟定的技术路线，开展了土壤修复等相关实验研究，并在此基础上编写了开题论证报告及标准草案。</w:t>
      </w:r>
    </w:p>
    <w:p w14:paraId="42C25266">
      <w:pPr>
        <w:pStyle w:val="4"/>
        <w:ind w:firstLine="0" w:firstLineChars="0"/>
      </w:pPr>
      <w:bookmarkStart w:id="14" w:name="_Toc19881"/>
      <w:r>
        <w:rPr>
          <w:rFonts w:hint="eastAsia"/>
        </w:rPr>
        <w:t xml:space="preserve">1.3.4 </w:t>
      </w:r>
      <w:r>
        <w:t>召开专家指导审查会</w:t>
      </w:r>
      <w:bookmarkEnd w:id="14"/>
    </w:p>
    <w:p w14:paraId="33DFFB95">
      <w:pPr>
        <w:spacing w:line="360" w:lineRule="auto"/>
        <w:ind w:firstLine="420" w:firstLineChars="200"/>
        <w:rPr>
          <w:szCs w:val="21"/>
        </w:rPr>
      </w:pPr>
      <w:r>
        <w:rPr>
          <w:rFonts w:hint="eastAsia"/>
          <w:szCs w:val="21"/>
          <w:lang w:val="en-US" w:eastAsia="zh-CN"/>
        </w:rPr>
        <w:t>2024</w:t>
      </w:r>
      <w:r>
        <w:rPr>
          <w:szCs w:val="21"/>
        </w:rPr>
        <w:t>年</w:t>
      </w:r>
      <w:r>
        <w:rPr>
          <w:rFonts w:hint="eastAsia"/>
          <w:szCs w:val="21"/>
          <w:lang w:val="en-US" w:eastAsia="zh-CN"/>
        </w:rPr>
        <w:t>5</w:t>
      </w:r>
      <w:r>
        <w:rPr>
          <w:szCs w:val="21"/>
        </w:rPr>
        <w:t>月</w:t>
      </w:r>
      <w:r>
        <w:rPr>
          <w:rFonts w:hint="eastAsia"/>
          <w:szCs w:val="21"/>
          <w:lang w:val="en-US" w:eastAsia="zh-CN"/>
        </w:rPr>
        <w:t>22</w:t>
      </w:r>
      <w:r>
        <w:rPr>
          <w:szCs w:val="21"/>
        </w:rPr>
        <w:t>日，邀请行业内相关院士、专家进行了标准方向、内容和规划等方面的审查，并提出了标准草案相关修改意见。</w:t>
      </w:r>
      <w:r>
        <w:rPr>
          <w:rFonts w:hint="eastAsia"/>
          <w:szCs w:val="21"/>
          <w:lang w:val="en-US" w:eastAsia="zh-CN"/>
        </w:rPr>
        <w:t>2024</w:t>
      </w:r>
      <w:r>
        <w:rPr>
          <w:szCs w:val="21"/>
        </w:rPr>
        <w:t>年</w:t>
      </w:r>
      <w:r>
        <w:rPr>
          <w:rFonts w:hint="eastAsia"/>
          <w:szCs w:val="21"/>
          <w:lang w:val="en-US" w:eastAsia="zh-CN"/>
        </w:rPr>
        <w:t>6</w:t>
      </w:r>
      <w:r>
        <w:rPr>
          <w:szCs w:val="21"/>
        </w:rPr>
        <w:t>月</w:t>
      </w:r>
      <w:r>
        <w:rPr>
          <w:rFonts w:hint="eastAsia"/>
          <w:szCs w:val="21"/>
          <w:lang w:val="en-US" w:eastAsia="zh-CN"/>
        </w:rPr>
        <w:t>14</w:t>
      </w:r>
      <w:r>
        <w:rPr>
          <w:szCs w:val="21"/>
        </w:rPr>
        <w:t>日，邀请专家对团体标准制定流程及相关要求进行深度解析，标准主编人员汇报标准编制进度、修改情况及待解决的问题，专家对存在的问题提出可行性建议。</w:t>
      </w:r>
    </w:p>
    <w:p w14:paraId="32C34584">
      <w:pPr>
        <w:pStyle w:val="4"/>
        <w:ind w:firstLine="0" w:firstLineChars="0"/>
      </w:pPr>
      <w:bookmarkStart w:id="15" w:name="_Toc11135"/>
      <w:r>
        <w:rPr>
          <w:rFonts w:hint="eastAsia"/>
        </w:rPr>
        <w:t xml:space="preserve">1.3.5 </w:t>
      </w:r>
      <w:r>
        <w:t>召开立项评审会</w:t>
      </w:r>
      <w:bookmarkEnd w:id="15"/>
    </w:p>
    <w:p w14:paraId="084EB040">
      <w:pPr>
        <w:spacing w:line="360" w:lineRule="auto"/>
        <w:ind w:firstLine="420" w:firstLineChars="200"/>
        <w:rPr>
          <w:rFonts w:hint="eastAsia" w:eastAsia="宋体"/>
          <w:szCs w:val="21"/>
          <w:lang w:eastAsia="zh-CN"/>
        </w:rPr>
      </w:pPr>
      <w:r>
        <w:rPr>
          <w:rFonts w:hint="eastAsia"/>
          <w:szCs w:val="21"/>
          <w:lang w:val="en-US" w:eastAsia="zh-CN"/>
        </w:rPr>
        <w:t>2025</w:t>
      </w:r>
      <w:r>
        <w:rPr>
          <w:szCs w:val="21"/>
        </w:rPr>
        <w:t>年</w:t>
      </w:r>
      <w:r>
        <w:rPr>
          <w:rFonts w:hint="eastAsia"/>
          <w:szCs w:val="21"/>
          <w:lang w:val="en-US" w:eastAsia="zh-CN"/>
        </w:rPr>
        <w:t>3</w:t>
      </w:r>
      <w:r>
        <w:rPr>
          <w:szCs w:val="21"/>
        </w:rPr>
        <w:t>月</w:t>
      </w:r>
      <w:r>
        <w:rPr>
          <w:rFonts w:hint="eastAsia"/>
          <w:szCs w:val="21"/>
          <w:lang w:val="en-US" w:eastAsia="zh-CN"/>
        </w:rPr>
        <w:t>21</w:t>
      </w:r>
      <w:r>
        <w:rPr>
          <w:szCs w:val="21"/>
        </w:rPr>
        <w:t>日，中华环保联合会组织召开了本项目立项评审会。专家委员会听取了编制汇报，经质询和讨论，通过了本项目的立项审查，并提出以下主要修改意见：进一步明确标准的适用范围，界定污染土壤修复工厂与现场原位、异位修复工程的技术边界，突出工厂化、模块化、标准化运行特色，补充修复工厂总体工艺流程图及技术路线图</w:t>
      </w:r>
      <w:r>
        <w:rPr>
          <w:rFonts w:hint="eastAsia"/>
          <w:szCs w:val="21"/>
          <w:lang w:eastAsia="zh-CN"/>
        </w:rPr>
        <w:t>。</w:t>
      </w:r>
    </w:p>
    <w:p w14:paraId="0133B310">
      <w:pPr>
        <w:pStyle w:val="4"/>
        <w:ind w:firstLine="0" w:firstLineChars="0"/>
      </w:pPr>
      <w:bookmarkStart w:id="16" w:name="_Toc5390"/>
      <w:r>
        <w:rPr>
          <w:rFonts w:hint="eastAsia"/>
        </w:rPr>
        <w:t>1.3.6 召开专家组讨论会</w:t>
      </w:r>
      <w:bookmarkEnd w:id="16"/>
    </w:p>
    <w:p w14:paraId="10FCF6EE">
      <w:pPr>
        <w:spacing w:line="360" w:lineRule="auto"/>
        <w:ind w:firstLine="420" w:firstLineChars="200"/>
        <w:rPr>
          <w:szCs w:val="21"/>
        </w:rPr>
      </w:pPr>
      <w:r>
        <w:rPr>
          <w:rFonts w:hint="eastAsia"/>
          <w:szCs w:val="21"/>
          <w:lang w:val="en-US" w:eastAsia="zh-CN"/>
        </w:rPr>
        <w:t>2025</w:t>
      </w:r>
      <w:r>
        <w:rPr>
          <w:szCs w:val="21"/>
        </w:rPr>
        <w:t>年</w:t>
      </w:r>
      <w:r>
        <w:rPr>
          <w:rFonts w:hint="eastAsia"/>
          <w:szCs w:val="21"/>
          <w:lang w:val="en-US" w:eastAsia="zh-CN"/>
        </w:rPr>
        <w:t>5</w:t>
      </w:r>
      <w:r>
        <w:rPr>
          <w:szCs w:val="21"/>
        </w:rPr>
        <w:t>月</w:t>
      </w:r>
      <w:r>
        <w:rPr>
          <w:rFonts w:hint="eastAsia"/>
          <w:szCs w:val="21"/>
          <w:lang w:val="en-US" w:eastAsia="zh-CN"/>
        </w:rPr>
        <w:t>23</w:t>
      </w:r>
      <w:r>
        <w:rPr>
          <w:szCs w:val="21"/>
        </w:rPr>
        <w:t>日，中华环保联合会组织召开了</w:t>
      </w:r>
      <w:r>
        <w:rPr>
          <w:rFonts w:hint="eastAsia"/>
          <w:szCs w:val="21"/>
        </w:rPr>
        <w:t>专家组讨论会</w:t>
      </w:r>
      <w:r>
        <w:rPr>
          <w:szCs w:val="21"/>
        </w:rPr>
        <w:t>。专家委员会听取了</w:t>
      </w:r>
      <w:r>
        <w:rPr>
          <w:rFonts w:hint="eastAsia"/>
          <w:szCs w:val="21"/>
        </w:rPr>
        <w:t>标准</w:t>
      </w:r>
      <w:r>
        <w:rPr>
          <w:szCs w:val="21"/>
        </w:rPr>
        <w:t>编制汇报，经讨论，</w:t>
      </w:r>
      <w:r>
        <w:rPr>
          <w:rFonts w:hint="eastAsia"/>
          <w:szCs w:val="21"/>
        </w:rPr>
        <w:t>提出了</w:t>
      </w:r>
      <w:r>
        <w:rPr>
          <w:szCs w:val="21"/>
        </w:rPr>
        <w:t>以下主要修改</w:t>
      </w:r>
      <w:r>
        <w:rPr>
          <w:rFonts w:hint="eastAsia"/>
          <w:szCs w:val="21"/>
        </w:rPr>
        <w:t>意见：优化标准章节结构，将修复工艺技术与二次污染控制独立成章以增强技术要求的逻辑性和可操作性，补充重金属、挥发性有机物及复合污染情景下的修复技术适用性分析与比选方法</w:t>
      </w:r>
      <w:r>
        <w:rPr>
          <w:rFonts w:hint="eastAsia"/>
          <w:szCs w:val="21"/>
          <w:lang w:eastAsia="zh-CN"/>
        </w:rPr>
        <w:t>。</w:t>
      </w:r>
    </w:p>
    <w:p w14:paraId="6A8B594E">
      <w:pPr>
        <w:spacing w:line="360" w:lineRule="auto"/>
        <w:ind w:firstLine="420" w:firstLineChars="200"/>
        <w:rPr>
          <w:szCs w:val="21"/>
        </w:rPr>
      </w:pPr>
      <w:r>
        <w:rPr>
          <w:szCs w:val="21"/>
        </w:rPr>
        <w:t>会后，编制组根据</w:t>
      </w:r>
      <w:r>
        <w:rPr>
          <w:rFonts w:hint="eastAsia"/>
          <w:szCs w:val="21"/>
        </w:rPr>
        <w:t>专家修改</w:t>
      </w:r>
      <w:r>
        <w:rPr>
          <w:szCs w:val="21"/>
        </w:rPr>
        <w:t>意见对标准草案进行了</w:t>
      </w:r>
      <w:r>
        <w:rPr>
          <w:rFonts w:hint="eastAsia"/>
          <w:szCs w:val="21"/>
        </w:rPr>
        <w:t>进一步</w:t>
      </w:r>
      <w:r>
        <w:rPr>
          <w:szCs w:val="21"/>
        </w:rPr>
        <w:t>修改</w:t>
      </w:r>
      <w:r>
        <w:rPr>
          <w:rFonts w:hint="eastAsia"/>
          <w:szCs w:val="21"/>
        </w:rPr>
        <w:t>和完善，并对格式进行了修改</w:t>
      </w:r>
      <w:r>
        <w:rPr>
          <w:szCs w:val="21"/>
        </w:rPr>
        <w:t>。</w:t>
      </w:r>
    </w:p>
    <w:p w14:paraId="7EEE0802">
      <w:pPr>
        <w:pStyle w:val="4"/>
        <w:ind w:firstLine="0" w:firstLineChars="0"/>
      </w:pPr>
      <w:bookmarkStart w:id="17" w:name="_Toc8605"/>
      <w:r>
        <w:rPr>
          <w:rFonts w:hint="eastAsia"/>
        </w:rPr>
        <w:t xml:space="preserve">1.3.7 </w:t>
      </w:r>
      <w:r>
        <w:t>召开征求意见稿技术审查会</w:t>
      </w:r>
      <w:bookmarkEnd w:id="17"/>
    </w:p>
    <w:p w14:paraId="0CB62C8A">
      <w:pPr>
        <w:spacing w:line="360" w:lineRule="auto"/>
        <w:ind w:firstLine="420" w:firstLineChars="200"/>
        <w:rPr>
          <w:rFonts w:hint="eastAsia" w:eastAsia="宋体"/>
          <w:szCs w:val="21"/>
          <w:lang w:eastAsia="zh-CN"/>
        </w:rPr>
      </w:pPr>
      <w:r>
        <w:rPr>
          <w:rFonts w:hint="eastAsia"/>
          <w:szCs w:val="21"/>
          <w:lang w:val="en-US" w:eastAsia="zh-CN"/>
        </w:rPr>
        <w:t>2025</w:t>
      </w:r>
      <w:r>
        <w:rPr>
          <w:szCs w:val="21"/>
        </w:rPr>
        <w:t>年</w:t>
      </w:r>
      <w:r>
        <w:rPr>
          <w:rFonts w:hint="eastAsia"/>
          <w:szCs w:val="21"/>
          <w:lang w:val="en-US" w:eastAsia="zh-CN"/>
        </w:rPr>
        <w:t>12</w:t>
      </w:r>
      <w:r>
        <w:rPr>
          <w:szCs w:val="21"/>
        </w:rPr>
        <w:t>月</w:t>
      </w:r>
      <w:r>
        <w:rPr>
          <w:rFonts w:hint="eastAsia"/>
          <w:szCs w:val="21"/>
          <w:lang w:val="en-US" w:eastAsia="zh-CN"/>
        </w:rPr>
        <w:t>30</w:t>
      </w:r>
      <w:r>
        <w:rPr>
          <w:szCs w:val="21"/>
        </w:rPr>
        <w:t>日，中华环保联合会组织召开了本项目的征求意见稿技术审查会。专家组听取了标准编制组的汇报，经过质询、讨论，专家组通过了该标准征求意见稿的技术审查，并提出以下修改意见和建议：完善采样点布设、样品采集流程、保存条件及分析测试方法的技术参数与质量控制要求</w:t>
      </w:r>
      <w:r>
        <w:rPr>
          <w:rFonts w:hint="eastAsia"/>
          <w:szCs w:val="21"/>
          <w:lang w:eastAsia="zh-CN"/>
        </w:rPr>
        <w:t>。</w:t>
      </w:r>
    </w:p>
    <w:p w14:paraId="58710FB2">
      <w:pPr>
        <w:spacing w:line="360" w:lineRule="auto"/>
        <w:ind w:firstLine="420" w:firstLineChars="200"/>
        <w:rPr>
          <w:szCs w:val="21"/>
        </w:rPr>
      </w:pPr>
      <w:r>
        <w:rPr>
          <w:szCs w:val="21"/>
        </w:rPr>
        <w:t>会后，编制组按照专家意见对标准文本征求意见稿和编制说明进行了修改，编制说明中</w:t>
      </w:r>
      <w:r>
        <w:rPr>
          <w:rFonts w:hint="eastAsia"/>
          <w:szCs w:val="21"/>
        </w:rPr>
        <w:t>完善了</w:t>
      </w:r>
      <w:r>
        <w:rPr>
          <w:szCs w:val="21"/>
        </w:rPr>
        <w:t>主要修复技术筛选与评估</w:t>
      </w:r>
      <w:r>
        <w:rPr>
          <w:rFonts w:hint="eastAsia"/>
          <w:szCs w:val="21"/>
        </w:rPr>
        <w:t>适用方法</w:t>
      </w:r>
      <w:r>
        <w:rPr>
          <w:szCs w:val="21"/>
        </w:rPr>
        <w:t>，增加了</w:t>
      </w:r>
      <w:r>
        <w:rPr>
          <w:rFonts w:hint="eastAsia"/>
          <w:szCs w:val="21"/>
        </w:rPr>
        <w:t>最新的国内相关标准</w:t>
      </w:r>
      <w:r>
        <w:rPr>
          <w:szCs w:val="21"/>
        </w:rPr>
        <w:t>，标准文本中修改了</w:t>
      </w:r>
      <w:r>
        <w:rPr>
          <w:rFonts w:hint="eastAsia"/>
          <w:szCs w:val="21"/>
        </w:rPr>
        <w:t>术语定义、修复工艺参数及二次污染控制指标</w:t>
      </w:r>
      <w:r>
        <w:rPr>
          <w:szCs w:val="21"/>
        </w:rPr>
        <w:t>，简化了</w:t>
      </w:r>
      <w:r>
        <w:rPr>
          <w:rFonts w:hint="eastAsia"/>
          <w:szCs w:val="21"/>
        </w:rPr>
        <w:t>采样装置说明</w:t>
      </w:r>
      <w:r>
        <w:rPr>
          <w:szCs w:val="21"/>
        </w:rPr>
        <w:t>，增加了</w:t>
      </w:r>
      <w:r>
        <w:rPr>
          <w:rFonts w:hint="eastAsia"/>
          <w:szCs w:val="21"/>
        </w:rPr>
        <w:t>修复后土壤资源化利用去向分类及数字化运维管理相关内容</w:t>
      </w:r>
      <w:r>
        <w:rPr>
          <w:szCs w:val="21"/>
        </w:rPr>
        <w:t>。</w:t>
      </w:r>
    </w:p>
    <w:p w14:paraId="047401AD">
      <w:pPr>
        <w:pStyle w:val="2"/>
        <w:spacing w:line="360" w:lineRule="auto"/>
        <w:rPr>
          <w:rFonts w:eastAsia="黑体"/>
          <w:b w:val="0"/>
          <w:bCs w:val="0"/>
          <w:sz w:val="21"/>
          <w:szCs w:val="21"/>
        </w:rPr>
      </w:pPr>
      <w:bookmarkStart w:id="18" w:name="_Toc8253"/>
      <w:bookmarkStart w:id="19" w:name="_Toc26863"/>
      <w:r>
        <w:rPr>
          <w:rFonts w:eastAsia="黑体"/>
          <w:b w:val="0"/>
          <w:bCs w:val="0"/>
          <w:sz w:val="21"/>
          <w:szCs w:val="21"/>
        </w:rPr>
        <w:t>2</w:t>
      </w:r>
      <w:r>
        <w:rPr>
          <w:rFonts w:hint="eastAsia" w:eastAsia="黑体"/>
          <w:b w:val="0"/>
          <w:bCs w:val="0"/>
          <w:sz w:val="21"/>
          <w:szCs w:val="21"/>
          <w:lang w:val="en-US" w:eastAsia="zh-CN"/>
        </w:rPr>
        <w:t xml:space="preserve"> </w:t>
      </w:r>
      <w:r>
        <w:rPr>
          <w:rFonts w:eastAsia="黑体"/>
          <w:b w:val="0"/>
          <w:bCs w:val="0"/>
          <w:sz w:val="21"/>
          <w:szCs w:val="21"/>
        </w:rPr>
        <w:t>标准制定必要性、编制依据、编制原则</w:t>
      </w:r>
      <w:bookmarkEnd w:id="18"/>
      <w:bookmarkEnd w:id="19"/>
    </w:p>
    <w:p w14:paraId="7170ED70">
      <w:pPr>
        <w:pStyle w:val="3"/>
        <w:numPr>
          <w:ilvl w:val="1"/>
          <w:numId w:val="0"/>
        </w:numPr>
        <w:ind w:left="340" w:hanging="340"/>
        <w:rPr>
          <w:rFonts w:ascii="黑体" w:hAnsi="黑体" w:cs="黑体"/>
          <w:bCs w:val="0"/>
        </w:rPr>
      </w:pPr>
      <w:bookmarkStart w:id="20" w:name="_Toc12774"/>
      <w:r>
        <w:rPr>
          <w:rFonts w:cs="Times New Roman"/>
          <w:bCs w:val="0"/>
        </w:rPr>
        <w:t>2.1</w:t>
      </w:r>
      <w:r>
        <w:rPr>
          <w:rFonts w:hint="eastAsia" w:cs="Times New Roman"/>
          <w:bCs w:val="0"/>
          <w:lang w:val="en-US" w:eastAsia="zh-CN"/>
        </w:rPr>
        <w:t xml:space="preserve"> </w:t>
      </w:r>
      <w:r>
        <w:rPr>
          <w:rFonts w:hint="eastAsia" w:ascii="黑体" w:hAnsi="黑体" w:cs="黑体"/>
          <w:bCs w:val="0"/>
        </w:rPr>
        <w:t>制定必要性和重要意义</w:t>
      </w:r>
      <w:bookmarkEnd w:id="20"/>
    </w:p>
    <w:p w14:paraId="0B0D3512">
      <w:pPr>
        <w:spacing w:line="360" w:lineRule="auto"/>
        <w:ind w:firstLine="420"/>
        <w:rPr>
          <w:rFonts w:hint="default" w:ascii="Times New Roman" w:hAnsi="Times New Roman" w:cs="Times New Roman"/>
        </w:rPr>
      </w:pPr>
      <w:r>
        <w:rPr>
          <w:rFonts w:hint="default" w:ascii="Times New Roman" w:hAnsi="Times New Roman" w:cs="Times New Roman"/>
        </w:rPr>
        <w:t>政府层面：</w:t>
      </w:r>
    </w:p>
    <w:p w14:paraId="14B9BB8C">
      <w:pPr>
        <w:spacing w:line="360" w:lineRule="auto"/>
        <w:ind w:firstLine="420"/>
        <w:rPr>
          <w:rFonts w:hint="default" w:ascii="Times New Roman" w:hAnsi="Times New Roman" w:cs="Times New Roman"/>
        </w:rPr>
      </w:pPr>
      <w:r>
        <w:rPr>
          <w:rFonts w:hint="default" w:ascii="Times New Roman" w:hAnsi="Times New Roman" w:cs="Times New Roman"/>
        </w:rPr>
        <w:t>1）生态环境局：解决污染土壤治理问题，降低投诉风险。</w:t>
      </w:r>
    </w:p>
    <w:p w14:paraId="68308D38">
      <w:pPr>
        <w:spacing w:line="360" w:lineRule="auto"/>
        <w:ind w:firstLine="420"/>
        <w:rPr>
          <w:rFonts w:hint="default" w:ascii="Times New Roman" w:hAnsi="Times New Roman" w:cs="Times New Roman"/>
        </w:rPr>
      </w:pPr>
      <w:r>
        <w:rPr>
          <w:rFonts w:hint="default" w:ascii="Times New Roman" w:hAnsi="Times New Roman" w:cs="Times New Roman"/>
        </w:rPr>
        <w:t>修复终端能够接收土地流转过程中产生的各类受污染土壤，并开展分类修复与治理工作。其配备的多种修复工艺可针对不同类型、不同程度的污染土壤，实现高效、精准的修复处置。通过集中修复的模式，不仅可提高资源利用率与修复效率，还能有效减轻地方监管部门的管理压力，提升整体土壤环境治理的规范化与集中化水平。</w:t>
      </w:r>
    </w:p>
    <w:p w14:paraId="633FF90E">
      <w:pPr>
        <w:spacing w:line="360" w:lineRule="auto"/>
        <w:ind w:firstLine="420"/>
        <w:rPr>
          <w:rFonts w:hint="default" w:ascii="Times New Roman" w:hAnsi="Times New Roman" w:cs="Times New Roman"/>
        </w:rPr>
      </w:pPr>
      <w:r>
        <w:rPr>
          <w:rFonts w:hint="default" w:ascii="Times New Roman" w:hAnsi="Times New Roman" w:cs="Times New Roman"/>
        </w:rPr>
        <w:t>同时，污染地块一般位于市区，周边敏感源较多，而修复终端可设置于郊区，周边敏感源少，能大大降低土壤修复治理过程中的环境风险，避免引发群众投诉。</w:t>
      </w:r>
    </w:p>
    <w:p w14:paraId="2842763D">
      <w:pPr>
        <w:spacing w:line="360" w:lineRule="auto"/>
        <w:ind w:firstLine="420"/>
        <w:rPr>
          <w:rFonts w:hint="default" w:ascii="Times New Roman" w:hAnsi="Times New Roman" w:cs="Times New Roman"/>
        </w:rPr>
      </w:pPr>
      <w:r>
        <w:rPr>
          <w:rFonts w:hint="default" w:ascii="Times New Roman" w:hAnsi="Times New Roman" w:cs="Times New Roman"/>
        </w:rPr>
        <w:t>2）绿化和市容管理局：解决城市工程渣土处置问题。</w:t>
      </w:r>
    </w:p>
    <w:p w14:paraId="18BEC812">
      <w:pPr>
        <w:spacing w:line="360" w:lineRule="auto"/>
        <w:ind w:firstLine="420"/>
        <w:rPr>
          <w:rFonts w:hint="default" w:ascii="Times New Roman" w:hAnsi="Times New Roman" w:cs="Times New Roman"/>
        </w:rPr>
      </w:pPr>
      <w:r>
        <w:rPr>
          <w:rFonts w:hint="default" w:ascii="Times New Roman" w:hAnsi="Times New Roman" w:cs="Times New Roman"/>
        </w:rPr>
        <w:t>当前城市工程渣土产生量急剧增长，市场反应滞后、处置能力不足，部分土方单位常因找不到卸点而耽误工期，更有甚者违法倾倒，造成环境问题。修复终端能作为城市工程渣土的接纳场所，解决渣土处置问题。</w:t>
      </w:r>
    </w:p>
    <w:p w14:paraId="6A0E2012">
      <w:pPr>
        <w:spacing w:line="360" w:lineRule="auto"/>
        <w:ind w:firstLine="420"/>
        <w:rPr>
          <w:rFonts w:hint="default" w:ascii="Times New Roman" w:hAnsi="Times New Roman" w:cs="Times New Roman"/>
        </w:rPr>
      </w:pPr>
      <w:r>
        <w:rPr>
          <w:rFonts w:hint="default" w:ascii="Times New Roman" w:hAnsi="Times New Roman" w:cs="Times New Roman"/>
        </w:rPr>
        <w:t>3）规划和自然资源局：解决地块流转周期长问题。</w:t>
      </w:r>
    </w:p>
    <w:p w14:paraId="3AF141F5">
      <w:pPr>
        <w:spacing w:line="360" w:lineRule="auto"/>
        <w:ind w:firstLine="420"/>
        <w:rPr>
          <w:rFonts w:hint="default" w:ascii="Times New Roman" w:hAnsi="Times New Roman" w:cs="Times New Roman"/>
        </w:rPr>
      </w:pPr>
      <w:r>
        <w:rPr>
          <w:rFonts w:hint="default" w:ascii="Times New Roman" w:hAnsi="Times New Roman" w:cs="Times New Roman"/>
        </w:rPr>
        <w:t>地块污染土壤清挖完全后，修复终端能为遗留的基坑提供清洁土进行回填。该地块无需等待污染土壤异位修复完成，即可进入开发周期，使得地块周转速度大大加快，可缩短1-2年的周期。</w:t>
      </w:r>
    </w:p>
    <w:p w14:paraId="547C31AA">
      <w:pPr>
        <w:spacing w:line="360" w:lineRule="auto"/>
        <w:ind w:firstLine="420"/>
        <w:rPr>
          <w:rFonts w:hint="default" w:ascii="Times New Roman" w:hAnsi="Times New Roman" w:cs="Times New Roman"/>
        </w:rPr>
      </w:pPr>
      <w:r>
        <w:rPr>
          <w:rFonts w:hint="default" w:ascii="Times New Roman" w:hAnsi="Times New Roman" w:cs="Times New Roman"/>
        </w:rPr>
        <w:t>公司层面：</w:t>
      </w:r>
    </w:p>
    <w:p w14:paraId="11A6DB2A">
      <w:pPr>
        <w:spacing w:line="360" w:lineRule="auto"/>
        <w:ind w:firstLine="420"/>
        <w:rPr>
          <w:rFonts w:hint="default" w:ascii="Times New Roman" w:hAnsi="Times New Roman" w:cs="Times New Roman"/>
        </w:rPr>
      </w:pPr>
      <w:r>
        <w:rPr>
          <w:rFonts w:hint="default" w:ascii="Times New Roman" w:hAnsi="Times New Roman" w:cs="Times New Roman"/>
        </w:rPr>
        <w:t>基于国家法规要求以及土壤修复市场的切实需求，通过建立覆盖区域的土壤修复终端，集中处置建设用地流转过程中的污染土壤，改善目前异地处置方式存在的设施不规范、产能不足、技术不完善、临时修复设施重复投资、二次污染严重等一系列问题。另外，大批量污染土集中处理还能降低修复成本，获取一定的经济效益。行业内许多大型环保公司都致力于推进建立修复终端的商业模式，项目的建设对企业有如下意义：</w:t>
      </w:r>
    </w:p>
    <w:p w14:paraId="1E7FDF73">
      <w:pPr>
        <w:spacing w:line="360" w:lineRule="auto"/>
        <w:ind w:firstLine="420"/>
        <w:rPr>
          <w:rFonts w:hint="default" w:ascii="Times New Roman" w:hAnsi="Times New Roman" w:cs="Times New Roman"/>
        </w:rPr>
      </w:pPr>
      <w:r>
        <w:rPr>
          <w:rFonts w:hint="default" w:ascii="Times New Roman" w:hAnsi="Times New Roman" w:cs="Times New Roman"/>
        </w:rPr>
        <w:t>1）提高当地市场份额：随着建立修复终端，能够运用于整个区域的污染土壤地块处理，在前期与政府或者业主单位对接时，借助终端能够更快的在特定区域里符合市场治理需求，撬动并占领市场。</w:t>
      </w:r>
    </w:p>
    <w:p w14:paraId="2AAC001E">
      <w:pPr>
        <w:spacing w:line="360" w:lineRule="auto"/>
        <w:ind w:firstLine="420"/>
        <w:rPr>
          <w:rFonts w:hint="default" w:ascii="Times New Roman" w:hAnsi="Times New Roman" w:cs="Times New Roman"/>
        </w:rPr>
      </w:pPr>
      <w:r>
        <w:rPr>
          <w:rFonts w:hint="default" w:ascii="Times New Roman" w:hAnsi="Times New Roman" w:cs="Times New Roman"/>
        </w:rPr>
        <w:t>2）降低成本：目前土壤修复项目相对比较分散且独立，每个土壤修复项目都涉及独立的修复设备的安装及使用，相对成本较高，若建立了修复终端，将临近污染土都运送至修复终端进行集中式处理，将会大幅度降低设备安装运营等成本，为开拓市场奠定了基础。</w:t>
      </w:r>
    </w:p>
    <w:p w14:paraId="238D415D">
      <w:pPr>
        <w:spacing w:line="360" w:lineRule="auto"/>
        <w:ind w:firstLine="420"/>
        <w:rPr>
          <w:rFonts w:hint="default" w:ascii="Times New Roman" w:hAnsi="Times New Roman" w:cs="Times New Roman"/>
        </w:rPr>
      </w:pPr>
      <w:r>
        <w:rPr>
          <w:rFonts w:hint="default" w:ascii="Times New Roman" w:hAnsi="Times New Roman" w:cs="Times New Roman"/>
        </w:rPr>
        <w:t>3）资源化利用：根据环境风险的高低，合理利用当地和附近区域产生的土壤，不但能够加速修复已有的污染场地，更极大地缓解了填埋压力。根据当地土壤资源化利用所节省的修复费用则为社会各方分享，实现多赢。同时，终端化修复模式服务于区域性土地整治与开发，可以持续开展修复工程服务，可有效兼顾整个开发区域的土壤和地下水污染风险、规划用地功能、区域环境条件及地块开发进程等因素。</w:t>
      </w:r>
    </w:p>
    <w:p w14:paraId="7D1144AE">
      <w:pPr>
        <w:spacing w:line="360" w:lineRule="auto"/>
        <w:ind w:firstLine="420"/>
        <w:rPr>
          <w:rFonts w:hint="default" w:ascii="Times New Roman" w:hAnsi="Times New Roman" w:cs="Times New Roman"/>
        </w:rPr>
      </w:pPr>
      <w:r>
        <w:rPr>
          <w:rFonts w:hint="default" w:ascii="Times New Roman" w:hAnsi="Times New Roman" w:cs="Times New Roman"/>
        </w:rPr>
        <w:t>4）环境效益：稳定运行的修复终端可以对二次污染防治措施进行更大的投入，配备成熟完善的二次污染防治设施，对整个修复环节环境污染物排放采取有效的控制，极大的减少了二次污染物的产生与排放，实现全过程的二次污染有效防控，降低修复全过程的环境风险。</w:t>
      </w:r>
    </w:p>
    <w:p w14:paraId="69E68241">
      <w:pPr>
        <w:spacing w:line="360" w:lineRule="auto"/>
        <w:ind w:firstLine="420"/>
        <w:rPr>
          <w:rFonts w:hint="default" w:ascii="Times New Roman" w:hAnsi="Times New Roman" w:cs="Times New Roman"/>
        </w:rPr>
      </w:pPr>
      <w:r>
        <w:rPr>
          <w:rFonts w:hint="default" w:ascii="Times New Roman" w:hAnsi="Times New Roman" w:cs="Times New Roman"/>
        </w:rPr>
        <w:t>5）可复制性:修复终端模式可复制性强，便于推广，且随着处理规模要求的提高，修复终端可随时进行复制再建设，减少前期决策和设计周期。</w:t>
      </w:r>
    </w:p>
    <w:p w14:paraId="332C5A34">
      <w:pPr>
        <w:spacing w:line="360" w:lineRule="auto"/>
        <w:ind w:firstLine="420"/>
        <w:rPr>
          <w:rFonts w:hint="default" w:ascii="Times New Roman" w:hAnsi="Times New Roman" w:cs="Times New Roman"/>
        </w:rPr>
      </w:pPr>
      <w:r>
        <w:rPr>
          <w:rFonts w:hint="default" w:ascii="Times New Roman" w:hAnsi="Times New Roman" w:cs="Times New Roman"/>
        </w:rPr>
        <w:t>通过建立固废处置终端，公司可借助环境集团国内固废行业起步最早的企业优势，有助于公司在土壤修复的业务领域中获取更多资源，尤其是在有许多大型片区性治理的市场需求，修复终端作为项目短期融资途径，可以有效地将片区性开发建设与污染土壤处置终端及资源化利用途径相结合，以全新的视角占领市场。</w:t>
      </w:r>
    </w:p>
    <w:p w14:paraId="47875AFA">
      <w:pPr>
        <w:spacing w:line="360" w:lineRule="auto"/>
        <w:ind w:firstLine="420"/>
      </w:pPr>
      <w:r>
        <w:rPr>
          <w:rFonts w:hint="default" w:ascii="Times New Roman" w:hAnsi="Times New Roman" w:cs="Times New Roman"/>
        </w:rPr>
        <w:t>制定土壤修复治理工厂设计与运行规范是弥补我国现阶段土壤集中处理终端领域技术空白的迫切需求。该技术标准的制定还可以进一步提高土壤修复工厂设计和运行的规范性，为土壤修复工厂工程的设计、调试和运行提供标准化指引，强化修复质量管控以及方便工程的监督和管理工作，具有重要的经济效益和社会效益。</w:t>
      </w:r>
    </w:p>
    <w:p w14:paraId="2EB9FE04">
      <w:pPr>
        <w:pStyle w:val="3"/>
        <w:numPr>
          <w:ilvl w:val="1"/>
          <w:numId w:val="0"/>
        </w:numPr>
        <w:ind w:left="340" w:hanging="340"/>
        <w:rPr>
          <w:rFonts w:ascii="黑体" w:hAnsi="黑体" w:cs="黑体"/>
          <w:bCs w:val="0"/>
        </w:rPr>
      </w:pPr>
      <w:bookmarkStart w:id="21" w:name="_Toc2153"/>
      <w:r>
        <w:rPr>
          <w:rFonts w:cs="Times New Roman"/>
          <w:bCs w:val="0"/>
        </w:rPr>
        <w:t>2.2</w:t>
      </w:r>
      <w:r>
        <w:rPr>
          <w:rFonts w:hint="eastAsia" w:cs="Times New Roman"/>
          <w:bCs w:val="0"/>
          <w:lang w:val="en-US" w:eastAsia="zh-CN"/>
        </w:rPr>
        <w:t xml:space="preserve"> </w:t>
      </w:r>
      <w:r>
        <w:rPr>
          <w:rFonts w:hint="eastAsia" w:ascii="黑体" w:hAnsi="黑体" w:cs="黑体"/>
          <w:bCs w:val="0"/>
        </w:rPr>
        <w:t>编制依据</w:t>
      </w:r>
      <w:bookmarkEnd w:id="21"/>
    </w:p>
    <w:p w14:paraId="3052A716">
      <w:pPr>
        <w:keepNext/>
        <w:keepLines/>
        <w:spacing w:line="360" w:lineRule="auto"/>
        <w:outlineLvl w:val="2"/>
        <w:rPr>
          <w:rFonts w:ascii="黑体" w:hAnsi="黑体" w:eastAsia="黑体" w:cs="黑体"/>
          <w:szCs w:val="32"/>
        </w:rPr>
      </w:pPr>
      <w:bookmarkStart w:id="22" w:name="_Toc1564"/>
      <w:r>
        <w:rPr>
          <w:rFonts w:eastAsia="黑体"/>
          <w:szCs w:val="32"/>
        </w:rPr>
        <w:t>2.2.1</w:t>
      </w:r>
      <w:r>
        <w:rPr>
          <w:rFonts w:hint="eastAsia" w:eastAsia="黑体"/>
          <w:szCs w:val="32"/>
          <w:lang w:val="en-US" w:eastAsia="zh-CN"/>
        </w:rPr>
        <w:t xml:space="preserve"> </w:t>
      </w:r>
      <w:r>
        <w:rPr>
          <w:rFonts w:hint="eastAsia" w:ascii="黑体" w:hAnsi="黑体" w:eastAsia="黑体" w:cs="黑体"/>
          <w:szCs w:val="32"/>
        </w:rPr>
        <w:t>政策法律依据</w:t>
      </w:r>
      <w:bookmarkEnd w:id="22"/>
    </w:p>
    <w:p w14:paraId="6DE0C357">
      <w:pPr>
        <w:spacing w:line="360" w:lineRule="auto"/>
        <w:ind w:firstLine="420"/>
      </w:pPr>
      <w:r>
        <w:t>《中华人民共和国环境保护法》</w:t>
      </w:r>
    </w:p>
    <w:p w14:paraId="62B2E454">
      <w:pPr>
        <w:spacing w:line="360" w:lineRule="auto"/>
        <w:ind w:firstLine="420"/>
      </w:pPr>
      <w:r>
        <w:t>《</w:t>
      </w:r>
      <w:r>
        <w:rPr>
          <w:rFonts w:hint="eastAsia"/>
        </w:rPr>
        <w:t>中华人民共和国土壤污染防治法</w:t>
      </w:r>
      <w:r>
        <w:t>》</w:t>
      </w:r>
    </w:p>
    <w:p w14:paraId="7979E4F4">
      <w:pPr>
        <w:keepNext/>
        <w:keepLines/>
        <w:spacing w:line="360" w:lineRule="auto"/>
        <w:outlineLvl w:val="2"/>
        <w:rPr>
          <w:rFonts w:ascii="黑体" w:hAnsi="黑体" w:eastAsia="黑体" w:cs="黑体"/>
          <w:szCs w:val="32"/>
        </w:rPr>
      </w:pPr>
      <w:bookmarkStart w:id="23" w:name="_Toc2301"/>
      <w:r>
        <w:rPr>
          <w:rFonts w:eastAsia="黑体"/>
          <w:szCs w:val="32"/>
        </w:rPr>
        <w:t>2.2.2</w:t>
      </w:r>
      <w:r>
        <w:rPr>
          <w:rFonts w:hint="eastAsia" w:eastAsia="黑体"/>
          <w:szCs w:val="32"/>
          <w:lang w:val="en-US" w:eastAsia="zh-CN"/>
        </w:rPr>
        <w:t xml:space="preserve"> </w:t>
      </w:r>
      <w:r>
        <w:rPr>
          <w:rFonts w:hint="eastAsia" w:ascii="黑体" w:hAnsi="黑体" w:eastAsia="黑体" w:cs="黑体"/>
          <w:szCs w:val="32"/>
        </w:rPr>
        <w:t>技术依据</w:t>
      </w:r>
      <w:bookmarkEnd w:id="23"/>
    </w:p>
    <w:p w14:paraId="15F1DD04">
      <w:pPr>
        <w:widowControl/>
        <w:ind w:firstLine="420" w:firstLineChars="200"/>
        <w:rPr>
          <w:szCs w:val="21"/>
        </w:rPr>
      </w:pPr>
      <w:r>
        <w:rPr>
          <w:szCs w:val="21"/>
          <w:lang w:bidi="ar"/>
        </w:rPr>
        <w:t>GBZ 1</w:t>
      </w:r>
      <w:r>
        <w:rPr>
          <w:szCs w:val="21"/>
          <w:lang w:bidi="ar"/>
        </w:rPr>
        <w:tab/>
      </w:r>
      <w:r>
        <w:rPr>
          <w:szCs w:val="21"/>
          <w:lang w:bidi="ar"/>
        </w:rPr>
        <w:tab/>
      </w:r>
      <w:r>
        <w:rPr>
          <w:szCs w:val="21"/>
          <w:lang w:bidi="ar"/>
        </w:rPr>
        <w:t xml:space="preserve">工业企业设计卫生标准 </w:t>
      </w:r>
    </w:p>
    <w:p w14:paraId="7AB8A9B5">
      <w:pPr>
        <w:widowControl/>
        <w:ind w:firstLine="420" w:firstLineChars="200"/>
        <w:rPr>
          <w:szCs w:val="21"/>
          <w:lang w:bidi="ar"/>
        </w:rPr>
      </w:pPr>
      <w:r>
        <w:rPr>
          <w:szCs w:val="21"/>
          <w:lang w:bidi="ar"/>
        </w:rPr>
        <w:t xml:space="preserve">GB 8978 </w:t>
      </w:r>
      <w:r>
        <w:rPr>
          <w:szCs w:val="21"/>
          <w:lang w:bidi="ar"/>
        </w:rPr>
        <w:tab/>
      </w:r>
      <w:r>
        <w:rPr>
          <w:szCs w:val="21"/>
          <w:lang w:bidi="ar"/>
        </w:rPr>
        <w:t xml:space="preserve">污水综合排放标准 </w:t>
      </w:r>
    </w:p>
    <w:p w14:paraId="19537AFE">
      <w:pPr>
        <w:widowControl/>
        <w:ind w:firstLine="420" w:firstLineChars="200"/>
        <w:rPr>
          <w:szCs w:val="21"/>
          <w:lang w:bidi="ar"/>
        </w:rPr>
      </w:pPr>
      <w:r>
        <w:rPr>
          <w:szCs w:val="21"/>
          <w:lang w:bidi="ar"/>
        </w:rPr>
        <w:t>GB 9078</w:t>
      </w:r>
      <w:r>
        <w:rPr>
          <w:rFonts w:hint="eastAsia"/>
          <w:szCs w:val="21"/>
          <w:lang w:bidi="ar"/>
        </w:rPr>
        <w:t xml:space="preserve">     </w:t>
      </w:r>
      <w:r>
        <w:rPr>
          <w:szCs w:val="21"/>
          <w:lang w:bidi="ar"/>
        </w:rPr>
        <w:t>工业炉窑大气污染物排放标准</w:t>
      </w:r>
    </w:p>
    <w:p w14:paraId="32A22E07">
      <w:pPr>
        <w:widowControl/>
        <w:ind w:firstLine="420" w:firstLineChars="200"/>
        <w:rPr>
          <w:szCs w:val="21"/>
          <w:lang w:bidi="ar"/>
        </w:rPr>
      </w:pPr>
      <w:r>
        <w:rPr>
          <w:szCs w:val="21"/>
          <w:lang w:bidi="ar"/>
        </w:rPr>
        <w:t xml:space="preserve">GB 12348 </w:t>
      </w:r>
      <w:r>
        <w:rPr>
          <w:szCs w:val="21"/>
          <w:lang w:bidi="ar"/>
        </w:rPr>
        <w:tab/>
      </w:r>
      <w:r>
        <w:rPr>
          <w:szCs w:val="21"/>
          <w:lang w:bidi="ar"/>
        </w:rPr>
        <w:t xml:space="preserve">工业企业厂界环境噪声排放标准 </w:t>
      </w:r>
    </w:p>
    <w:p w14:paraId="12CC8E86">
      <w:pPr>
        <w:widowControl/>
        <w:ind w:firstLine="420" w:firstLineChars="200"/>
        <w:rPr>
          <w:szCs w:val="21"/>
          <w:lang w:bidi="ar"/>
        </w:rPr>
      </w:pPr>
      <w:r>
        <w:rPr>
          <w:szCs w:val="21"/>
          <w:lang w:bidi="ar"/>
        </w:rPr>
        <w:t>GB 12523    建筑施工场界环境噪声排放标准</w:t>
      </w:r>
    </w:p>
    <w:p w14:paraId="4C846533">
      <w:pPr>
        <w:widowControl/>
        <w:ind w:firstLine="420" w:firstLineChars="200"/>
        <w:rPr>
          <w:szCs w:val="21"/>
          <w:lang w:bidi="ar"/>
        </w:rPr>
      </w:pPr>
      <w:r>
        <w:rPr>
          <w:szCs w:val="21"/>
          <w:lang w:bidi="ar"/>
        </w:rPr>
        <w:t>GB 13271</w:t>
      </w:r>
      <w:r>
        <w:rPr>
          <w:rFonts w:hint="eastAsia"/>
          <w:szCs w:val="21"/>
          <w:lang w:bidi="ar"/>
        </w:rPr>
        <w:t xml:space="preserve">    </w:t>
      </w:r>
      <w:r>
        <w:rPr>
          <w:szCs w:val="21"/>
          <w:lang w:bidi="ar"/>
        </w:rPr>
        <w:t>锅炉大气污染物排放标准</w:t>
      </w:r>
    </w:p>
    <w:p w14:paraId="0E2B2A0D">
      <w:pPr>
        <w:widowControl/>
        <w:ind w:firstLine="420" w:firstLineChars="200"/>
        <w:rPr>
          <w:szCs w:val="21"/>
          <w:lang w:bidi="ar"/>
        </w:rPr>
      </w:pPr>
      <w:r>
        <w:rPr>
          <w:szCs w:val="21"/>
          <w:lang w:bidi="ar"/>
        </w:rPr>
        <w:t xml:space="preserve">GB 14554 </w:t>
      </w:r>
      <w:r>
        <w:rPr>
          <w:szCs w:val="21"/>
          <w:lang w:bidi="ar"/>
        </w:rPr>
        <w:tab/>
      </w:r>
      <w:r>
        <w:rPr>
          <w:szCs w:val="21"/>
          <w:lang w:bidi="ar"/>
        </w:rPr>
        <w:t xml:space="preserve">恶臭污染物排放标准 </w:t>
      </w:r>
    </w:p>
    <w:p w14:paraId="28F8E401">
      <w:pPr>
        <w:widowControl/>
        <w:ind w:firstLine="420" w:firstLineChars="200"/>
        <w:rPr>
          <w:szCs w:val="21"/>
          <w:lang w:bidi="ar"/>
        </w:rPr>
      </w:pPr>
      <w:r>
        <w:rPr>
          <w:szCs w:val="21"/>
          <w:lang w:bidi="ar"/>
        </w:rPr>
        <w:t>GB 15603</w:t>
      </w:r>
      <w:r>
        <w:rPr>
          <w:rFonts w:hint="eastAsia"/>
          <w:szCs w:val="21"/>
          <w:lang w:bidi="ar"/>
        </w:rPr>
        <w:t xml:space="preserve">    </w:t>
      </w:r>
      <w:r>
        <w:rPr>
          <w:szCs w:val="21"/>
          <w:lang w:bidi="ar"/>
        </w:rPr>
        <w:t>危险化学品仓库储存通则</w:t>
      </w:r>
    </w:p>
    <w:p w14:paraId="6F4FC570">
      <w:pPr>
        <w:widowControl/>
        <w:ind w:firstLine="420" w:firstLineChars="200"/>
        <w:rPr>
          <w:szCs w:val="21"/>
          <w:lang w:bidi="ar"/>
        </w:rPr>
      </w:pPr>
      <w:r>
        <w:rPr>
          <w:szCs w:val="21"/>
          <w:lang w:bidi="ar"/>
        </w:rPr>
        <w:t>GB/T 16157</w:t>
      </w:r>
      <w:r>
        <w:rPr>
          <w:rFonts w:hint="eastAsia"/>
          <w:szCs w:val="21"/>
          <w:lang w:bidi="ar"/>
        </w:rPr>
        <w:t xml:space="preserve">  </w:t>
      </w:r>
      <w:r>
        <w:rPr>
          <w:szCs w:val="21"/>
          <w:lang w:bidi="ar"/>
        </w:rPr>
        <w:t>固定污染源排气中颗粒物测定与气态污染物采样方法</w:t>
      </w:r>
    </w:p>
    <w:p w14:paraId="62565A0A">
      <w:pPr>
        <w:widowControl/>
        <w:ind w:firstLine="420" w:firstLineChars="200"/>
        <w:rPr>
          <w:szCs w:val="21"/>
          <w:lang w:bidi="ar"/>
        </w:rPr>
      </w:pPr>
      <w:r>
        <w:rPr>
          <w:szCs w:val="21"/>
          <w:lang w:bidi="ar"/>
        </w:rPr>
        <w:t xml:space="preserve">GB 16297 </w:t>
      </w:r>
      <w:r>
        <w:rPr>
          <w:szCs w:val="21"/>
          <w:lang w:bidi="ar"/>
        </w:rPr>
        <w:tab/>
      </w:r>
      <w:r>
        <w:rPr>
          <w:szCs w:val="21"/>
          <w:lang w:bidi="ar"/>
        </w:rPr>
        <w:t>大气污染综合排放标准</w:t>
      </w:r>
    </w:p>
    <w:p w14:paraId="25C91151">
      <w:pPr>
        <w:ind w:firstLine="420" w:firstLineChars="200"/>
        <w:rPr>
          <w:lang w:bidi="ar"/>
        </w:rPr>
      </w:pPr>
      <w:r>
        <w:rPr>
          <w:szCs w:val="21"/>
          <w:lang w:bidi="ar"/>
        </w:rPr>
        <w:t>GB</w:t>
      </w:r>
      <w:r>
        <w:rPr>
          <w:rFonts w:hint="eastAsia"/>
          <w:szCs w:val="21"/>
          <w:lang w:val="en-US" w:eastAsia="zh-CN" w:bidi="ar"/>
        </w:rPr>
        <w:t xml:space="preserve"> </w:t>
      </w:r>
      <w:r>
        <w:rPr>
          <w:szCs w:val="21"/>
          <w:lang w:bidi="ar"/>
        </w:rPr>
        <w:t>1859</w:t>
      </w:r>
      <w:r>
        <w:rPr>
          <w:lang w:bidi="ar"/>
        </w:rPr>
        <w:t>7    危险废物贮存污染控制标准</w:t>
      </w:r>
    </w:p>
    <w:p w14:paraId="2DAA288B">
      <w:pPr>
        <w:widowControl/>
        <w:ind w:firstLine="420" w:firstLineChars="200"/>
        <w:rPr>
          <w:szCs w:val="21"/>
        </w:rPr>
      </w:pPr>
      <w:r>
        <w:rPr>
          <w:szCs w:val="21"/>
          <w:lang w:bidi="ar"/>
        </w:rPr>
        <w:t xml:space="preserve">GB 18599 </w:t>
      </w:r>
      <w:r>
        <w:rPr>
          <w:szCs w:val="21"/>
          <w:lang w:bidi="ar"/>
        </w:rPr>
        <w:tab/>
      </w:r>
      <w:r>
        <w:rPr>
          <w:szCs w:val="21"/>
          <w:lang w:bidi="ar"/>
        </w:rPr>
        <w:t xml:space="preserve">一般工业固体废物贮存和填埋污染控制标准 </w:t>
      </w:r>
    </w:p>
    <w:p w14:paraId="73E22759">
      <w:pPr>
        <w:widowControl/>
        <w:ind w:firstLine="420" w:firstLineChars="200"/>
        <w:rPr>
          <w:szCs w:val="21"/>
          <w:lang w:bidi="ar"/>
        </w:rPr>
      </w:pPr>
      <w:r>
        <w:rPr>
          <w:szCs w:val="21"/>
          <w:lang w:bidi="ar"/>
        </w:rPr>
        <w:t>GB/T 32146.1</w:t>
      </w:r>
      <w:r>
        <w:rPr>
          <w:rFonts w:hint="eastAsia"/>
          <w:szCs w:val="21"/>
          <w:lang w:bidi="ar"/>
        </w:rPr>
        <w:t xml:space="preserve"> </w:t>
      </w:r>
      <w:r>
        <w:rPr>
          <w:szCs w:val="21"/>
          <w:lang w:bidi="ar"/>
        </w:rPr>
        <w:t>检验检测实验室设计与建设技术要求 第1部分：通用要求</w:t>
      </w:r>
    </w:p>
    <w:p w14:paraId="460C6CC7">
      <w:pPr>
        <w:widowControl/>
        <w:ind w:firstLine="420" w:firstLineChars="200"/>
        <w:rPr>
          <w:szCs w:val="21"/>
          <w:lang w:bidi="ar"/>
        </w:rPr>
      </w:pPr>
      <w:r>
        <w:rPr>
          <w:szCs w:val="21"/>
          <w:lang w:bidi="ar"/>
        </w:rPr>
        <w:t xml:space="preserve">GB 36600 </w:t>
      </w:r>
      <w:r>
        <w:rPr>
          <w:szCs w:val="21"/>
          <w:lang w:bidi="ar"/>
        </w:rPr>
        <w:tab/>
      </w:r>
      <w:r>
        <w:rPr>
          <w:szCs w:val="21"/>
          <w:lang w:bidi="ar"/>
        </w:rPr>
        <w:t>土壤环境质量 建设用地土壤污染风险管控标准（试行）</w:t>
      </w:r>
    </w:p>
    <w:p w14:paraId="65B5FA6A">
      <w:pPr>
        <w:widowControl/>
        <w:ind w:firstLine="420" w:firstLineChars="200"/>
        <w:rPr>
          <w:szCs w:val="21"/>
          <w:lang w:bidi="ar"/>
        </w:rPr>
      </w:pPr>
      <w:r>
        <w:rPr>
          <w:szCs w:val="21"/>
          <w:lang w:bidi="ar"/>
        </w:rPr>
        <w:t>GB 37822</w:t>
      </w:r>
      <w:r>
        <w:rPr>
          <w:rFonts w:hint="eastAsia"/>
          <w:szCs w:val="21"/>
          <w:lang w:bidi="ar"/>
        </w:rPr>
        <w:t xml:space="preserve">    </w:t>
      </w:r>
      <w:r>
        <w:rPr>
          <w:szCs w:val="21"/>
          <w:lang w:bidi="ar"/>
        </w:rPr>
        <w:t>挥发性有机物无组织排放控制标准</w:t>
      </w:r>
    </w:p>
    <w:p w14:paraId="5F685A3D">
      <w:pPr>
        <w:widowControl/>
        <w:ind w:firstLine="420" w:firstLineChars="200"/>
        <w:rPr>
          <w:rFonts w:hint="eastAsia"/>
          <w:szCs w:val="21"/>
          <w:lang w:val="en-US" w:eastAsia="zh-CN" w:bidi="ar"/>
        </w:rPr>
      </w:pPr>
      <w:r>
        <w:rPr>
          <w:rFonts w:hint="eastAsia"/>
          <w:szCs w:val="21"/>
          <w:lang w:val="en-US" w:eastAsia="zh-CN" w:bidi="ar"/>
        </w:rPr>
        <w:t>GB 50010    混凝土结构设计规范</w:t>
      </w:r>
    </w:p>
    <w:p w14:paraId="11549279">
      <w:pPr>
        <w:widowControl/>
        <w:ind w:firstLine="420" w:firstLineChars="200"/>
        <w:rPr>
          <w:szCs w:val="21"/>
          <w:lang w:bidi="ar"/>
        </w:rPr>
      </w:pPr>
      <w:r>
        <w:rPr>
          <w:szCs w:val="21"/>
          <w:lang w:bidi="ar"/>
        </w:rPr>
        <w:t>GB 50013</w:t>
      </w:r>
      <w:r>
        <w:rPr>
          <w:rFonts w:hint="eastAsia"/>
          <w:szCs w:val="21"/>
          <w:lang w:bidi="ar"/>
        </w:rPr>
        <w:t xml:space="preserve">    </w:t>
      </w:r>
      <w:r>
        <w:rPr>
          <w:szCs w:val="21"/>
          <w:lang w:bidi="ar"/>
        </w:rPr>
        <w:t>室外给水设计规范</w:t>
      </w:r>
    </w:p>
    <w:p w14:paraId="7483D6E3">
      <w:pPr>
        <w:widowControl/>
        <w:ind w:firstLine="420" w:firstLineChars="200"/>
        <w:rPr>
          <w:szCs w:val="21"/>
          <w:lang w:bidi="ar"/>
        </w:rPr>
      </w:pPr>
      <w:r>
        <w:rPr>
          <w:szCs w:val="21"/>
          <w:lang w:bidi="ar"/>
        </w:rPr>
        <w:t>GB 50014</w:t>
      </w:r>
      <w:r>
        <w:rPr>
          <w:rFonts w:hint="eastAsia"/>
          <w:szCs w:val="21"/>
          <w:lang w:bidi="ar"/>
        </w:rPr>
        <w:t xml:space="preserve">     </w:t>
      </w:r>
      <w:r>
        <w:rPr>
          <w:szCs w:val="21"/>
          <w:lang w:bidi="ar"/>
        </w:rPr>
        <w:t>室外排水设计标准</w:t>
      </w:r>
    </w:p>
    <w:p w14:paraId="00D7C5BE">
      <w:pPr>
        <w:widowControl/>
        <w:ind w:firstLine="420" w:firstLineChars="200"/>
        <w:rPr>
          <w:szCs w:val="21"/>
          <w:lang w:bidi="ar"/>
        </w:rPr>
      </w:pPr>
      <w:r>
        <w:rPr>
          <w:szCs w:val="21"/>
          <w:lang w:bidi="ar"/>
        </w:rPr>
        <w:t xml:space="preserve">GB 50015 </w:t>
      </w:r>
      <w:r>
        <w:rPr>
          <w:rFonts w:hint="eastAsia"/>
          <w:szCs w:val="21"/>
          <w:lang w:bidi="ar"/>
        </w:rPr>
        <w:t xml:space="preserve">    </w:t>
      </w:r>
      <w:r>
        <w:rPr>
          <w:szCs w:val="21"/>
          <w:lang w:bidi="ar"/>
        </w:rPr>
        <w:t>室内给水设计规范</w:t>
      </w:r>
    </w:p>
    <w:p w14:paraId="70C9C67D">
      <w:pPr>
        <w:widowControl/>
        <w:ind w:firstLine="420" w:firstLineChars="200"/>
        <w:rPr>
          <w:szCs w:val="21"/>
          <w:lang w:bidi="ar"/>
        </w:rPr>
      </w:pPr>
      <w:r>
        <w:rPr>
          <w:szCs w:val="21"/>
          <w:lang w:bidi="ar"/>
        </w:rPr>
        <w:t>GB 50016</w:t>
      </w:r>
      <w:r>
        <w:rPr>
          <w:rFonts w:hint="eastAsia"/>
          <w:szCs w:val="21"/>
          <w:lang w:bidi="ar"/>
        </w:rPr>
        <w:t xml:space="preserve">     </w:t>
      </w:r>
      <w:r>
        <w:rPr>
          <w:szCs w:val="21"/>
          <w:lang w:bidi="ar"/>
        </w:rPr>
        <w:t>建筑设计防火规范</w:t>
      </w:r>
    </w:p>
    <w:p w14:paraId="07D099A8">
      <w:pPr>
        <w:widowControl/>
        <w:ind w:firstLine="420" w:firstLineChars="200"/>
        <w:rPr>
          <w:szCs w:val="21"/>
          <w:lang w:bidi="ar"/>
        </w:rPr>
      </w:pPr>
      <w:r>
        <w:rPr>
          <w:szCs w:val="21"/>
          <w:lang w:bidi="ar"/>
        </w:rPr>
        <w:t xml:space="preserve">GB 50019 </w:t>
      </w:r>
      <w:r>
        <w:rPr>
          <w:rFonts w:hint="eastAsia"/>
          <w:szCs w:val="21"/>
          <w:lang w:bidi="ar"/>
        </w:rPr>
        <w:t xml:space="preserve">    </w:t>
      </w:r>
      <w:r>
        <w:rPr>
          <w:szCs w:val="21"/>
          <w:lang w:bidi="ar"/>
        </w:rPr>
        <w:t>工业建筑供暖通风与空气调节设计规范</w:t>
      </w:r>
    </w:p>
    <w:p w14:paraId="68A384CA">
      <w:pPr>
        <w:widowControl/>
        <w:ind w:firstLine="420" w:firstLineChars="200"/>
        <w:rPr>
          <w:szCs w:val="21"/>
          <w:lang w:bidi="ar"/>
        </w:rPr>
      </w:pPr>
      <w:r>
        <w:rPr>
          <w:szCs w:val="21"/>
          <w:lang w:bidi="ar"/>
        </w:rPr>
        <w:t xml:space="preserve">GB 50028 </w:t>
      </w:r>
      <w:r>
        <w:rPr>
          <w:rFonts w:hint="eastAsia"/>
          <w:szCs w:val="21"/>
          <w:lang w:bidi="ar"/>
        </w:rPr>
        <w:t xml:space="preserve">    </w:t>
      </w:r>
      <w:r>
        <w:rPr>
          <w:szCs w:val="21"/>
          <w:lang w:bidi="ar"/>
        </w:rPr>
        <w:t>城镇燃气设计规范</w:t>
      </w:r>
    </w:p>
    <w:p w14:paraId="642A3384">
      <w:pPr>
        <w:widowControl/>
        <w:ind w:firstLine="420" w:firstLineChars="200"/>
        <w:rPr>
          <w:lang w:bidi="ar"/>
        </w:rPr>
      </w:pPr>
      <w:r>
        <w:rPr>
          <w:lang w:bidi="ar"/>
        </w:rPr>
        <w:t>GB 50034     建筑照明设计标准</w:t>
      </w:r>
    </w:p>
    <w:p w14:paraId="50A3789F">
      <w:pPr>
        <w:widowControl/>
        <w:ind w:firstLine="420" w:firstLineChars="200"/>
        <w:rPr>
          <w:rFonts w:hint="default" w:eastAsia="宋体"/>
          <w:lang w:val="en-US" w:eastAsia="zh-CN" w:bidi="ar"/>
        </w:rPr>
      </w:pPr>
      <w:r>
        <w:rPr>
          <w:rFonts w:hint="eastAsia"/>
          <w:lang w:val="en-US" w:eastAsia="zh-CN" w:bidi="ar"/>
        </w:rPr>
        <w:t>GB 50037     建筑地面设计规范</w:t>
      </w:r>
    </w:p>
    <w:p w14:paraId="42072BA4">
      <w:pPr>
        <w:widowControl/>
        <w:ind w:firstLine="420" w:firstLineChars="200"/>
        <w:rPr>
          <w:szCs w:val="21"/>
          <w:lang w:bidi="ar"/>
        </w:rPr>
      </w:pPr>
      <w:r>
        <w:rPr>
          <w:szCs w:val="21"/>
          <w:lang w:bidi="ar"/>
        </w:rPr>
        <w:t>GB 50052     供配电系统设计规范</w:t>
      </w:r>
    </w:p>
    <w:p w14:paraId="28220081">
      <w:pPr>
        <w:widowControl/>
        <w:ind w:firstLine="420" w:firstLineChars="200"/>
        <w:rPr>
          <w:szCs w:val="21"/>
          <w:lang w:bidi="ar"/>
        </w:rPr>
      </w:pPr>
      <w:r>
        <w:rPr>
          <w:lang w:bidi="ar"/>
        </w:rPr>
        <w:t>GB 50054     低压配电设计规范</w:t>
      </w:r>
      <w:r>
        <w:rPr>
          <w:szCs w:val="21"/>
          <w:lang w:bidi="ar"/>
        </w:rPr>
        <w:t xml:space="preserve"> </w:t>
      </w:r>
    </w:p>
    <w:p w14:paraId="3B7A2B1B">
      <w:pPr>
        <w:widowControl/>
        <w:ind w:firstLine="420" w:firstLineChars="200"/>
        <w:rPr>
          <w:szCs w:val="21"/>
          <w:lang w:bidi="ar"/>
        </w:rPr>
      </w:pPr>
      <w:r>
        <w:rPr>
          <w:szCs w:val="21"/>
          <w:lang w:bidi="ar"/>
        </w:rPr>
        <w:t>GB 50065     交流电气装置的接地设计规范</w:t>
      </w:r>
    </w:p>
    <w:p w14:paraId="58D48745">
      <w:pPr>
        <w:widowControl/>
        <w:ind w:firstLine="420" w:firstLineChars="200"/>
        <w:rPr>
          <w:szCs w:val="21"/>
          <w:lang w:bidi="ar"/>
        </w:rPr>
      </w:pPr>
      <w:r>
        <w:rPr>
          <w:szCs w:val="21"/>
          <w:lang w:bidi="ar"/>
        </w:rPr>
        <w:t>GB 50093</w:t>
      </w:r>
      <w:r>
        <w:rPr>
          <w:rFonts w:hint="eastAsia"/>
          <w:szCs w:val="21"/>
          <w:lang w:bidi="ar"/>
        </w:rPr>
        <w:t xml:space="preserve">     </w:t>
      </w:r>
      <w:r>
        <w:rPr>
          <w:szCs w:val="21"/>
          <w:lang w:bidi="ar"/>
        </w:rPr>
        <w:t>自动化仪表工程施工及质量验收规范</w:t>
      </w:r>
    </w:p>
    <w:p w14:paraId="6C564173">
      <w:pPr>
        <w:widowControl/>
        <w:ind w:firstLine="420" w:firstLineChars="200"/>
        <w:rPr>
          <w:szCs w:val="21"/>
          <w:lang w:bidi="ar"/>
        </w:rPr>
      </w:pPr>
      <w:r>
        <w:rPr>
          <w:szCs w:val="21"/>
          <w:lang w:bidi="ar"/>
        </w:rPr>
        <w:t>GB 50140</w:t>
      </w:r>
      <w:r>
        <w:rPr>
          <w:rFonts w:hint="eastAsia"/>
          <w:szCs w:val="21"/>
          <w:lang w:bidi="ar"/>
        </w:rPr>
        <w:t xml:space="preserve">     </w:t>
      </w:r>
      <w:r>
        <w:rPr>
          <w:szCs w:val="21"/>
          <w:lang w:bidi="ar"/>
        </w:rPr>
        <w:t>建筑灭火器配置设计规范</w:t>
      </w:r>
    </w:p>
    <w:p w14:paraId="4419BB62">
      <w:pPr>
        <w:widowControl/>
        <w:ind w:firstLine="420" w:firstLineChars="200"/>
        <w:rPr>
          <w:szCs w:val="21"/>
          <w:lang w:bidi="ar"/>
        </w:rPr>
      </w:pPr>
      <w:r>
        <w:rPr>
          <w:szCs w:val="21"/>
          <w:lang w:bidi="ar"/>
        </w:rPr>
        <w:t>GB 50150</w:t>
      </w:r>
      <w:r>
        <w:rPr>
          <w:rFonts w:hint="eastAsia"/>
          <w:szCs w:val="21"/>
          <w:lang w:bidi="ar"/>
        </w:rPr>
        <w:t xml:space="preserve">     </w:t>
      </w:r>
      <w:r>
        <w:rPr>
          <w:szCs w:val="21"/>
          <w:lang w:bidi="ar"/>
        </w:rPr>
        <w:t>电气装置安装工程电气设备交接试验标准</w:t>
      </w:r>
    </w:p>
    <w:p w14:paraId="2A3679F1">
      <w:pPr>
        <w:ind w:firstLine="420" w:firstLineChars="200"/>
        <w:rPr>
          <w:lang w:bidi="ar"/>
        </w:rPr>
      </w:pPr>
      <w:r>
        <w:rPr>
          <w:lang w:bidi="ar"/>
        </w:rPr>
        <w:t>GB 50202</w:t>
      </w:r>
      <w:r>
        <w:rPr>
          <w:rFonts w:hint="eastAsia"/>
          <w:lang w:bidi="ar"/>
        </w:rPr>
        <w:t xml:space="preserve">     </w:t>
      </w:r>
      <w:r>
        <w:rPr>
          <w:lang w:bidi="ar"/>
        </w:rPr>
        <w:t>建筑地基基础工程施工质量验收标准</w:t>
      </w:r>
    </w:p>
    <w:p w14:paraId="06F0D624">
      <w:pPr>
        <w:ind w:firstLine="420" w:firstLineChars="200"/>
        <w:rPr>
          <w:lang w:bidi="ar"/>
        </w:rPr>
      </w:pPr>
      <w:r>
        <w:rPr>
          <w:lang w:bidi="ar"/>
        </w:rPr>
        <w:t>GB 50204</w:t>
      </w:r>
      <w:r>
        <w:rPr>
          <w:rFonts w:hint="eastAsia"/>
          <w:lang w:bidi="ar"/>
        </w:rPr>
        <w:t xml:space="preserve">     </w:t>
      </w:r>
      <w:r>
        <w:rPr>
          <w:lang w:bidi="ar"/>
        </w:rPr>
        <w:t>混凝土结构工程施工质量验收规范</w:t>
      </w:r>
    </w:p>
    <w:p w14:paraId="6053D068">
      <w:pPr>
        <w:ind w:firstLine="420" w:firstLineChars="200"/>
        <w:rPr>
          <w:lang w:bidi="ar"/>
        </w:rPr>
      </w:pPr>
      <w:r>
        <w:rPr>
          <w:lang w:bidi="ar"/>
        </w:rPr>
        <w:t>GB 50209</w:t>
      </w:r>
      <w:r>
        <w:rPr>
          <w:rFonts w:hint="eastAsia"/>
          <w:lang w:bidi="ar"/>
        </w:rPr>
        <w:t xml:space="preserve">     </w:t>
      </w:r>
      <w:r>
        <w:rPr>
          <w:lang w:bidi="ar"/>
        </w:rPr>
        <w:t>建筑地面工程施工质量验收规范</w:t>
      </w:r>
    </w:p>
    <w:p w14:paraId="0A6F21DE">
      <w:pPr>
        <w:widowControl/>
        <w:ind w:firstLine="420" w:firstLineChars="200"/>
        <w:rPr>
          <w:szCs w:val="21"/>
          <w:lang w:bidi="ar"/>
        </w:rPr>
      </w:pPr>
      <w:r>
        <w:rPr>
          <w:rFonts w:hint="eastAsia"/>
          <w:szCs w:val="21"/>
          <w:lang w:bidi="ar"/>
        </w:rPr>
        <w:t>GB 50231     机械设备安装工程施工及验收通用规范</w:t>
      </w:r>
    </w:p>
    <w:p w14:paraId="6472ED54">
      <w:pPr>
        <w:widowControl/>
        <w:ind w:firstLine="420" w:firstLineChars="200"/>
        <w:rPr>
          <w:szCs w:val="21"/>
          <w:lang w:bidi="ar"/>
        </w:rPr>
      </w:pPr>
      <w:r>
        <w:rPr>
          <w:rFonts w:hint="eastAsia"/>
          <w:szCs w:val="21"/>
          <w:lang w:bidi="ar"/>
        </w:rPr>
        <w:t>GB 50235     工业金属管道工程施工规范</w:t>
      </w:r>
    </w:p>
    <w:p w14:paraId="2807ABC0">
      <w:pPr>
        <w:widowControl/>
        <w:ind w:firstLine="420" w:firstLineChars="200"/>
        <w:rPr>
          <w:szCs w:val="21"/>
          <w:lang w:bidi="ar"/>
        </w:rPr>
      </w:pPr>
      <w:r>
        <w:rPr>
          <w:szCs w:val="21"/>
          <w:lang w:bidi="ar"/>
        </w:rPr>
        <w:t>GB 50236</w:t>
      </w:r>
      <w:r>
        <w:rPr>
          <w:rFonts w:hint="eastAsia"/>
          <w:szCs w:val="21"/>
          <w:lang w:bidi="ar"/>
        </w:rPr>
        <w:t xml:space="preserve">     </w:t>
      </w:r>
      <w:r>
        <w:rPr>
          <w:szCs w:val="21"/>
          <w:lang w:bidi="ar"/>
        </w:rPr>
        <w:t>现场设备、工业管道焊接工程施工规范</w:t>
      </w:r>
    </w:p>
    <w:p w14:paraId="49549E5F">
      <w:pPr>
        <w:widowControl/>
        <w:ind w:firstLine="420" w:firstLineChars="200"/>
        <w:rPr>
          <w:szCs w:val="21"/>
          <w:lang w:bidi="ar"/>
        </w:rPr>
      </w:pPr>
      <w:r>
        <w:rPr>
          <w:szCs w:val="21"/>
          <w:lang w:bidi="ar"/>
        </w:rPr>
        <w:t>GB 50254</w:t>
      </w:r>
      <w:r>
        <w:rPr>
          <w:rFonts w:hint="eastAsia"/>
          <w:szCs w:val="21"/>
          <w:lang w:bidi="ar"/>
        </w:rPr>
        <w:t xml:space="preserve">     </w:t>
      </w:r>
      <w:r>
        <w:rPr>
          <w:szCs w:val="21"/>
          <w:lang w:bidi="ar"/>
        </w:rPr>
        <w:t>建筑电气与智能化工程施工质量验收规范</w:t>
      </w:r>
    </w:p>
    <w:p w14:paraId="4E4C7023">
      <w:pPr>
        <w:widowControl/>
        <w:ind w:firstLine="420" w:firstLineChars="200"/>
        <w:rPr>
          <w:szCs w:val="21"/>
          <w:lang w:bidi="ar"/>
        </w:rPr>
      </w:pPr>
      <w:r>
        <w:rPr>
          <w:rFonts w:hint="eastAsia"/>
          <w:szCs w:val="21"/>
          <w:lang w:bidi="ar"/>
        </w:rPr>
        <w:t>GB 50257     电气装置安装工程 爆炸和火灾危险环境电气装置施工及验收规范</w:t>
      </w:r>
    </w:p>
    <w:p w14:paraId="6576CF72">
      <w:pPr>
        <w:widowControl/>
        <w:ind w:firstLine="420" w:firstLineChars="200"/>
        <w:rPr>
          <w:lang w:bidi="ar"/>
        </w:rPr>
      </w:pPr>
      <w:r>
        <w:rPr>
          <w:lang w:bidi="ar"/>
        </w:rPr>
        <w:t>GB/T 50759</w:t>
      </w:r>
      <w:r>
        <w:rPr>
          <w:rFonts w:hint="eastAsia"/>
          <w:lang w:bidi="ar"/>
        </w:rPr>
        <w:t xml:space="preserve">   </w:t>
      </w:r>
      <w:r>
        <w:rPr>
          <w:lang w:bidi="ar"/>
        </w:rPr>
        <w:t>油气回收处理设施技术标准</w:t>
      </w:r>
    </w:p>
    <w:p w14:paraId="39961049">
      <w:pPr>
        <w:widowControl/>
        <w:ind w:firstLine="420" w:firstLineChars="200"/>
        <w:rPr>
          <w:rFonts w:hint="eastAsia"/>
          <w:lang w:val="en-US" w:eastAsia="zh-CN" w:bidi="ar"/>
        </w:rPr>
      </w:pPr>
      <w:r>
        <w:rPr>
          <w:rFonts w:hint="eastAsia"/>
          <w:lang w:val="en-US" w:eastAsia="zh-CN" w:bidi="ar"/>
        </w:rPr>
        <w:t>GB/T 51403   生活垃圾卫生填埋场防渗系统工程技术标准</w:t>
      </w:r>
    </w:p>
    <w:p w14:paraId="6C384D6D">
      <w:pPr>
        <w:widowControl/>
        <w:ind w:firstLine="420" w:firstLineChars="200"/>
        <w:rPr>
          <w:rFonts w:hint="default"/>
          <w:lang w:val="en-US" w:eastAsia="zh-CN" w:bidi="ar"/>
        </w:rPr>
      </w:pPr>
      <w:r>
        <w:rPr>
          <w:rFonts w:hint="eastAsia"/>
          <w:lang w:val="en-US" w:eastAsia="zh-CN" w:bidi="ar"/>
        </w:rPr>
        <w:t>GB 55012     生活垃圾处理处置工程项目规范</w:t>
      </w:r>
    </w:p>
    <w:p w14:paraId="1A01355D">
      <w:pPr>
        <w:ind w:firstLine="420" w:firstLineChars="200"/>
        <w:rPr>
          <w:lang w:bidi="ar"/>
        </w:rPr>
      </w:pPr>
      <w:r>
        <w:rPr>
          <w:rFonts w:hint="eastAsia"/>
          <w:lang w:bidi="ar"/>
        </w:rPr>
        <w:t>HJ 25.2       建设用地土壤污染风险管控和修复 监测技术导则</w:t>
      </w:r>
    </w:p>
    <w:p w14:paraId="3B68E84F">
      <w:pPr>
        <w:widowControl/>
        <w:ind w:firstLine="420" w:firstLineChars="200"/>
        <w:rPr>
          <w:szCs w:val="21"/>
          <w:lang w:bidi="ar"/>
        </w:rPr>
      </w:pPr>
      <w:r>
        <w:rPr>
          <w:szCs w:val="21"/>
          <w:lang w:bidi="ar"/>
        </w:rPr>
        <w:t xml:space="preserve">HJ 25.5 </w:t>
      </w:r>
      <w:r>
        <w:rPr>
          <w:szCs w:val="21"/>
          <w:lang w:bidi="ar"/>
        </w:rPr>
        <w:tab/>
      </w:r>
      <w:r>
        <w:rPr>
          <w:szCs w:val="21"/>
          <w:lang w:bidi="ar"/>
        </w:rPr>
        <w:tab/>
      </w:r>
      <w:r>
        <w:rPr>
          <w:szCs w:val="21"/>
          <w:lang w:bidi="ar"/>
        </w:rPr>
        <w:t xml:space="preserve"> 污染地块风险管控与土壤修复效果评估技术导则（试行） </w:t>
      </w:r>
    </w:p>
    <w:p w14:paraId="42A4E907">
      <w:pPr>
        <w:widowControl/>
        <w:ind w:firstLine="420" w:firstLineChars="200"/>
        <w:rPr>
          <w:szCs w:val="21"/>
          <w:lang w:bidi="ar"/>
        </w:rPr>
      </w:pPr>
      <w:r>
        <w:rPr>
          <w:szCs w:val="21"/>
          <w:lang w:bidi="ar"/>
        </w:rPr>
        <w:t xml:space="preserve">HJ/T 55 </w:t>
      </w:r>
      <w:r>
        <w:rPr>
          <w:szCs w:val="21"/>
          <w:lang w:bidi="ar"/>
        </w:rPr>
        <w:tab/>
      </w:r>
      <w:r>
        <w:rPr>
          <w:szCs w:val="21"/>
          <w:lang w:bidi="ar"/>
        </w:rPr>
        <w:tab/>
      </w:r>
      <w:r>
        <w:rPr>
          <w:rFonts w:hint="eastAsia"/>
          <w:szCs w:val="21"/>
          <w:lang w:val="en-US" w:eastAsia="zh-CN" w:bidi="ar"/>
        </w:rPr>
        <w:t xml:space="preserve"> </w:t>
      </w:r>
      <w:r>
        <w:rPr>
          <w:szCs w:val="21"/>
          <w:lang w:bidi="ar"/>
        </w:rPr>
        <w:t>大气污染物无组织排放监测技术导则</w:t>
      </w:r>
    </w:p>
    <w:p w14:paraId="4B8C9293">
      <w:pPr>
        <w:widowControl/>
        <w:ind w:firstLine="420" w:firstLineChars="200"/>
        <w:rPr>
          <w:szCs w:val="21"/>
          <w:lang w:bidi="ar"/>
        </w:rPr>
      </w:pPr>
      <w:r>
        <w:rPr>
          <w:szCs w:val="21"/>
          <w:lang w:bidi="ar"/>
        </w:rPr>
        <w:t>HJ 75</w:t>
      </w:r>
      <w:r>
        <w:rPr>
          <w:rFonts w:hint="eastAsia"/>
          <w:szCs w:val="21"/>
          <w:lang w:bidi="ar"/>
        </w:rPr>
        <w:t xml:space="preserve">         </w:t>
      </w:r>
      <w:r>
        <w:rPr>
          <w:szCs w:val="21"/>
          <w:lang w:bidi="ar"/>
        </w:rPr>
        <w:t xml:space="preserve">固定污染源烟气（SO₂、NOₓ、颗粒物）排放连续监测技术规范 </w:t>
      </w:r>
    </w:p>
    <w:p w14:paraId="6ADFF3DB">
      <w:pPr>
        <w:widowControl/>
        <w:ind w:firstLine="420" w:firstLineChars="200"/>
        <w:rPr>
          <w:szCs w:val="21"/>
          <w:lang w:bidi="ar"/>
        </w:rPr>
      </w:pPr>
      <w:r>
        <w:rPr>
          <w:rFonts w:hint="eastAsia"/>
          <w:szCs w:val="21"/>
          <w:lang w:bidi="ar"/>
        </w:rPr>
        <w:t xml:space="preserve">HJ/T 91       </w:t>
      </w:r>
      <w:r>
        <w:rPr>
          <w:szCs w:val="21"/>
          <w:lang w:bidi="ar"/>
        </w:rPr>
        <w:t>地表水和污水监测技术规范</w:t>
      </w:r>
    </w:p>
    <w:p w14:paraId="2C9B0C53">
      <w:pPr>
        <w:widowControl/>
        <w:ind w:firstLine="420" w:firstLineChars="200"/>
        <w:rPr>
          <w:szCs w:val="21"/>
          <w:lang w:bidi="ar"/>
        </w:rPr>
      </w:pPr>
      <w:r>
        <w:rPr>
          <w:szCs w:val="21"/>
          <w:lang w:bidi="ar"/>
        </w:rPr>
        <w:t xml:space="preserve">HJ 91.1 </w:t>
      </w:r>
      <w:r>
        <w:rPr>
          <w:szCs w:val="21"/>
          <w:lang w:bidi="ar"/>
        </w:rPr>
        <w:tab/>
      </w:r>
      <w:r>
        <w:rPr>
          <w:szCs w:val="21"/>
          <w:lang w:bidi="ar"/>
        </w:rPr>
        <w:tab/>
      </w:r>
      <w:r>
        <w:rPr>
          <w:rFonts w:hint="eastAsia"/>
          <w:szCs w:val="21"/>
          <w:lang w:val="en-US" w:eastAsia="zh-CN" w:bidi="ar"/>
        </w:rPr>
        <w:t xml:space="preserve">  </w:t>
      </w:r>
      <w:r>
        <w:rPr>
          <w:szCs w:val="21"/>
          <w:lang w:bidi="ar"/>
        </w:rPr>
        <w:t xml:space="preserve">污水监测技术规范 </w:t>
      </w:r>
    </w:p>
    <w:p w14:paraId="5334980E">
      <w:pPr>
        <w:widowControl/>
        <w:ind w:firstLine="420" w:firstLineChars="200"/>
        <w:rPr>
          <w:szCs w:val="21"/>
          <w:lang w:bidi="ar"/>
        </w:rPr>
      </w:pPr>
      <w:r>
        <w:rPr>
          <w:szCs w:val="21"/>
          <w:lang w:bidi="ar"/>
        </w:rPr>
        <w:t>HJ 916</w:t>
      </w:r>
      <w:r>
        <w:rPr>
          <w:rFonts w:hint="eastAsia"/>
          <w:szCs w:val="21"/>
          <w:lang w:bidi="ar"/>
        </w:rPr>
        <w:t xml:space="preserve">        </w:t>
      </w:r>
      <w:r>
        <w:rPr>
          <w:szCs w:val="21"/>
          <w:lang w:bidi="ar"/>
        </w:rPr>
        <w:t>环境二噁英类监测技术规范</w:t>
      </w:r>
    </w:p>
    <w:p w14:paraId="23BA2B00">
      <w:pPr>
        <w:widowControl/>
        <w:ind w:firstLine="420" w:firstLineChars="200"/>
        <w:rPr>
          <w:szCs w:val="21"/>
          <w:lang w:bidi="ar"/>
        </w:rPr>
      </w:pPr>
      <w:r>
        <w:rPr>
          <w:szCs w:val="21"/>
          <w:lang w:bidi="ar"/>
        </w:rPr>
        <w:t xml:space="preserve">HJ 164 </w:t>
      </w:r>
      <w:r>
        <w:rPr>
          <w:szCs w:val="21"/>
          <w:lang w:bidi="ar"/>
        </w:rPr>
        <w:tab/>
      </w:r>
      <w:r>
        <w:rPr>
          <w:szCs w:val="21"/>
          <w:lang w:bidi="ar"/>
        </w:rPr>
        <w:tab/>
      </w:r>
      <w:r>
        <w:rPr>
          <w:rFonts w:hint="eastAsia"/>
          <w:szCs w:val="21"/>
          <w:lang w:val="en-US" w:eastAsia="zh-CN" w:bidi="ar"/>
        </w:rPr>
        <w:t xml:space="preserve">  </w:t>
      </w:r>
      <w:r>
        <w:rPr>
          <w:szCs w:val="21"/>
          <w:lang w:bidi="ar"/>
        </w:rPr>
        <w:t xml:space="preserve">地下水环境监测技术规范 </w:t>
      </w:r>
    </w:p>
    <w:p w14:paraId="381077A4">
      <w:pPr>
        <w:widowControl/>
        <w:ind w:firstLine="420" w:firstLineChars="200"/>
        <w:rPr>
          <w:szCs w:val="21"/>
        </w:rPr>
      </w:pPr>
      <w:r>
        <w:rPr>
          <w:szCs w:val="21"/>
          <w:lang w:bidi="ar"/>
        </w:rPr>
        <w:t xml:space="preserve">HJ 194 </w:t>
      </w:r>
      <w:r>
        <w:rPr>
          <w:szCs w:val="21"/>
          <w:lang w:bidi="ar"/>
        </w:rPr>
        <w:tab/>
      </w:r>
      <w:r>
        <w:rPr>
          <w:szCs w:val="21"/>
          <w:lang w:bidi="ar"/>
        </w:rPr>
        <w:tab/>
      </w:r>
      <w:r>
        <w:rPr>
          <w:rFonts w:hint="eastAsia"/>
          <w:szCs w:val="21"/>
          <w:lang w:val="en-US" w:eastAsia="zh-CN" w:bidi="ar"/>
        </w:rPr>
        <w:t xml:space="preserve">  </w:t>
      </w:r>
      <w:r>
        <w:rPr>
          <w:szCs w:val="21"/>
          <w:lang w:bidi="ar"/>
        </w:rPr>
        <w:t xml:space="preserve">环境空气质量手工监测技术规范 </w:t>
      </w:r>
    </w:p>
    <w:p w14:paraId="6ACAA3D8">
      <w:pPr>
        <w:widowControl/>
        <w:ind w:firstLine="420" w:firstLineChars="200"/>
        <w:rPr>
          <w:szCs w:val="21"/>
        </w:rPr>
      </w:pPr>
      <w:r>
        <w:rPr>
          <w:szCs w:val="21"/>
          <w:lang w:bidi="ar"/>
        </w:rPr>
        <w:t>HJ/T 397</w:t>
      </w:r>
      <w:r>
        <w:rPr>
          <w:szCs w:val="21"/>
          <w:lang w:bidi="ar"/>
        </w:rPr>
        <w:tab/>
      </w:r>
      <w:r>
        <w:rPr>
          <w:szCs w:val="21"/>
          <w:lang w:bidi="ar"/>
        </w:rPr>
        <w:tab/>
      </w:r>
      <w:r>
        <w:rPr>
          <w:rFonts w:hint="eastAsia"/>
          <w:szCs w:val="21"/>
          <w:lang w:val="en-US" w:eastAsia="zh-CN" w:bidi="ar"/>
        </w:rPr>
        <w:t xml:space="preserve">  </w:t>
      </w:r>
      <w:r>
        <w:rPr>
          <w:szCs w:val="21"/>
          <w:lang w:bidi="ar"/>
        </w:rPr>
        <w:t>固定源废气监测技术规范</w:t>
      </w:r>
    </w:p>
    <w:p w14:paraId="7AFC8A6E">
      <w:pPr>
        <w:widowControl/>
        <w:ind w:firstLine="420" w:firstLineChars="200"/>
        <w:rPr>
          <w:szCs w:val="21"/>
        </w:rPr>
      </w:pPr>
      <w:r>
        <w:rPr>
          <w:szCs w:val="21"/>
          <w:lang w:bidi="ar"/>
        </w:rPr>
        <w:t xml:space="preserve">HJ 664 </w:t>
      </w:r>
      <w:r>
        <w:rPr>
          <w:szCs w:val="21"/>
          <w:lang w:bidi="ar"/>
        </w:rPr>
        <w:tab/>
      </w:r>
      <w:r>
        <w:rPr>
          <w:szCs w:val="21"/>
          <w:lang w:bidi="ar"/>
        </w:rPr>
        <w:tab/>
      </w:r>
      <w:r>
        <w:rPr>
          <w:rFonts w:hint="eastAsia"/>
          <w:szCs w:val="21"/>
          <w:lang w:val="en-US" w:eastAsia="zh-CN" w:bidi="ar"/>
        </w:rPr>
        <w:t xml:space="preserve">  </w:t>
      </w:r>
      <w:r>
        <w:rPr>
          <w:szCs w:val="21"/>
          <w:lang w:bidi="ar"/>
        </w:rPr>
        <w:t xml:space="preserve">环境空气质量监测点位布设技术规范（试行） </w:t>
      </w:r>
    </w:p>
    <w:p w14:paraId="45578CA1">
      <w:pPr>
        <w:widowControl/>
        <w:ind w:firstLine="420" w:firstLineChars="200"/>
      </w:pPr>
      <w:r>
        <w:rPr>
          <w:kern w:val="0"/>
          <w:szCs w:val="21"/>
          <w:lang w:bidi="ar"/>
        </w:rPr>
        <w:t>HJ 1209       工业企业士壤和地下水自行监测 技术指南</w:t>
      </w:r>
    </w:p>
    <w:p w14:paraId="4ABAE144">
      <w:pPr>
        <w:widowControl/>
        <w:ind w:firstLine="420" w:firstLineChars="200"/>
        <w:rPr>
          <w:szCs w:val="21"/>
        </w:rPr>
      </w:pPr>
      <w:r>
        <w:rPr>
          <w:szCs w:val="21"/>
          <w:lang w:bidi="ar"/>
        </w:rPr>
        <w:t>HJ 1164</w:t>
      </w:r>
      <w:r>
        <w:rPr>
          <w:szCs w:val="21"/>
          <w:lang w:bidi="ar"/>
        </w:rPr>
        <w:tab/>
      </w:r>
      <w:r>
        <w:rPr>
          <w:szCs w:val="21"/>
          <w:lang w:bidi="ar"/>
        </w:rPr>
        <w:t xml:space="preserve"> </w:t>
      </w:r>
      <w:r>
        <w:rPr>
          <w:szCs w:val="21"/>
          <w:lang w:bidi="ar"/>
        </w:rPr>
        <w:tab/>
      </w:r>
      <w:r>
        <w:rPr>
          <w:rFonts w:hint="eastAsia"/>
          <w:szCs w:val="21"/>
          <w:lang w:val="en-US" w:eastAsia="zh-CN" w:bidi="ar"/>
        </w:rPr>
        <w:t xml:space="preserve">  </w:t>
      </w:r>
      <w:r>
        <w:rPr>
          <w:szCs w:val="21"/>
          <w:lang w:bidi="ar"/>
        </w:rPr>
        <w:t xml:space="preserve">污染土壤修复工程技术规范 异位热脱附 </w:t>
      </w:r>
    </w:p>
    <w:p w14:paraId="7E60D34D">
      <w:pPr>
        <w:widowControl/>
        <w:ind w:firstLine="420" w:firstLineChars="200"/>
      </w:pPr>
      <w:bookmarkStart w:id="24" w:name="_Hlk202196227"/>
      <w:r>
        <w:t>HJ 1231</w:t>
      </w:r>
      <w:bookmarkEnd w:id="24"/>
      <w:r>
        <w:t xml:space="preserve">      </w:t>
      </w:r>
      <w:r>
        <w:rPr>
          <w:rFonts w:hint="eastAsia"/>
          <w:lang w:val="en-US" w:eastAsia="zh-CN"/>
        </w:rPr>
        <w:t xml:space="preserve"> </w:t>
      </w:r>
      <w:r>
        <w:t>土壤环境 词汇</w:t>
      </w:r>
    </w:p>
    <w:p w14:paraId="63973CDD">
      <w:pPr>
        <w:widowControl/>
        <w:ind w:firstLine="420" w:firstLineChars="200"/>
      </w:pPr>
      <w:r>
        <w:t>HJ 1259</w:t>
      </w:r>
      <w:r>
        <w:rPr>
          <w:rFonts w:hint="eastAsia"/>
        </w:rPr>
        <w:t xml:space="preserve">     </w:t>
      </w:r>
      <w:r>
        <w:rPr>
          <w:rFonts w:hint="eastAsia"/>
          <w:lang w:val="en-US" w:eastAsia="zh-CN"/>
        </w:rPr>
        <w:t xml:space="preserve"> </w:t>
      </w:r>
      <w:r>
        <w:rPr>
          <w:rFonts w:hint="eastAsia"/>
        </w:rPr>
        <w:t xml:space="preserve"> </w:t>
      </w:r>
      <w:r>
        <w:t>危险废物管理计划和管理台账制定技术导则</w:t>
      </w:r>
    </w:p>
    <w:p w14:paraId="3C06C8EC">
      <w:pPr>
        <w:ind w:firstLine="420" w:firstLineChars="200"/>
      </w:pPr>
      <w:r>
        <w:rPr>
          <w:lang w:bidi="ar"/>
        </w:rPr>
        <w:t>HJ 1276       危险废物识别标志设置技术规范</w:t>
      </w:r>
    </w:p>
    <w:p w14:paraId="6B56C905">
      <w:pPr>
        <w:widowControl/>
        <w:ind w:firstLine="420" w:firstLineChars="200"/>
      </w:pPr>
      <w:r>
        <w:t>HJ 2000       大气污染治理工程技术导则</w:t>
      </w:r>
    </w:p>
    <w:p w14:paraId="7B6AA2FF">
      <w:pPr>
        <w:widowControl/>
        <w:ind w:firstLine="420" w:firstLineChars="200"/>
      </w:pPr>
      <w:r>
        <w:t xml:space="preserve">HJ 2006      </w:t>
      </w:r>
      <w:r>
        <w:rPr>
          <w:rFonts w:hint="eastAsia"/>
          <w:lang w:val="en-US" w:eastAsia="zh-CN"/>
        </w:rPr>
        <w:t xml:space="preserve"> </w:t>
      </w:r>
      <w:r>
        <w:t>污水混凝与絮凝处理工程技术规范</w:t>
      </w:r>
    </w:p>
    <w:p w14:paraId="7AB2DA37">
      <w:pPr>
        <w:widowControl/>
        <w:adjustRightInd w:val="0"/>
        <w:snapToGrid w:val="0"/>
        <w:spacing w:line="360" w:lineRule="auto"/>
        <w:ind w:firstLine="420" w:firstLineChars="200"/>
        <w:contextualSpacing/>
      </w:pPr>
      <w:r>
        <w:t>HJ 2015       水污染治理工程技术导则</w:t>
      </w:r>
    </w:p>
    <w:p w14:paraId="1172ECFB">
      <w:pPr>
        <w:pStyle w:val="3"/>
        <w:bidi w:val="0"/>
        <w:rPr>
          <w:rFonts w:ascii="黑体" w:hAnsi="黑体" w:eastAsia="黑体" w:cs="黑体"/>
        </w:rPr>
      </w:pPr>
      <w:r>
        <w:rPr>
          <w:rFonts w:eastAsia="黑体"/>
        </w:rPr>
        <w:t>2.3</w:t>
      </w:r>
      <w:r>
        <w:rPr>
          <w:rFonts w:hint="eastAsia" w:ascii="黑体" w:hAnsi="黑体" w:eastAsia="黑体" w:cs="黑体"/>
        </w:rPr>
        <w:t xml:space="preserve"> 编制原则</w:t>
      </w:r>
    </w:p>
    <w:p w14:paraId="00FA1E32">
      <w:pPr>
        <w:spacing w:line="360" w:lineRule="auto"/>
        <w:ind w:firstLine="420"/>
        <w:rPr>
          <w:rFonts w:hint="default" w:ascii="Times New Roman" w:hAnsi="Times New Roman" w:eastAsia="宋体" w:cs="Times New Roman"/>
        </w:rPr>
      </w:pPr>
      <w:r>
        <w:rPr>
          <w:rFonts w:hint="default" w:ascii="Times New Roman" w:hAnsi="Times New Roman" w:eastAsia="宋体" w:cs="Times New Roman"/>
        </w:rPr>
        <w:t>1）规范性原则</w:t>
      </w:r>
    </w:p>
    <w:p w14:paraId="166522CF">
      <w:pPr>
        <w:spacing w:line="360" w:lineRule="auto"/>
        <w:ind w:firstLine="420"/>
        <w:rPr>
          <w:rFonts w:hint="default" w:ascii="Times New Roman" w:hAnsi="Times New Roman" w:eastAsia="宋体" w:cs="Times New Roman"/>
        </w:rPr>
      </w:pPr>
      <w:r>
        <w:rPr>
          <w:rFonts w:hint="default" w:ascii="Times New Roman" w:hAnsi="Times New Roman" w:eastAsia="宋体" w:cs="Times New Roman"/>
        </w:rPr>
        <w:t>本标准按照GB/T 1.1-2020有关规定，确定标准的结构和内在关系，标准条文层次的划分符合GB/T 1.1的规定。</w:t>
      </w:r>
    </w:p>
    <w:p w14:paraId="40F50CFB">
      <w:pPr>
        <w:spacing w:line="360" w:lineRule="auto"/>
        <w:ind w:firstLine="420"/>
        <w:rPr>
          <w:rFonts w:hint="default" w:ascii="Times New Roman" w:hAnsi="Times New Roman" w:eastAsia="宋体" w:cs="Times New Roman"/>
        </w:rPr>
      </w:pPr>
      <w:r>
        <w:rPr>
          <w:rFonts w:hint="default" w:ascii="Times New Roman" w:hAnsi="Times New Roman" w:eastAsia="宋体" w:cs="Times New Roman"/>
        </w:rPr>
        <w:t>2）统一性原则</w:t>
      </w:r>
    </w:p>
    <w:p w14:paraId="13FFDDDA">
      <w:pPr>
        <w:spacing w:line="360" w:lineRule="auto"/>
        <w:ind w:firstLine="420"/>
        <w:rPr>
          <w:rFonts w:hint="default" w:ascii="Times New Roman" w:hAnsi="Times New Roman" w:eastAsia="宋体" w:cs="Times New Roman"/>
        </w:rPr>
      </w:pPr>
      <w:r>
        <w:rPr>
          <w:rFonts w:hint="default" w:ascii="Times New Roman" w:hAnsi="Times New Roman" w:eastAsia="宋体" w:cs="Times New Roman"/>
        </w:rPr>
        <w:t>本标准的编写和表达方式在三个方面实现统一：一是标准结构的统一，即标准中的章、条、段、表、图和附录的排列顺序与GB/T1.1的要求统一；二是文体的统一，即类似的条款由类似的措辞来表达，相同的条款由相同的措辞来表达；三是术语的统一，即同一个概念使用同一个术语，每一个术语尽可能只有唯一的含义。</w:t>
      </w:r>
    </w:p>
    <w:p w14:paraId="326B1B13">
      <w:pPr>
        <w:pStyle w:val="2"/>
        <w:rPr>
          <w:rFonts w:hint="default" w:ascii="Times New Roman" w:hAnsi="Times New Roman" w:cs="Times New Roman"/>
          <w:bCs w:val="0"/>
          <w:szCs w:val="21"/>
        </w:rPr>
      </w:pPr>
      <w:bookmarkStart w:id="25" w:name="_Toc25525"/>
      <w:bookmarkStart w:id="26" w:name="_Toc19800"/>
      <w:r>
        <w:rPr>
          <w:rFonts w:hint="default" w:ascii="Times New Roman" w:hAnsi="Times New Roman" w:eastAsia="黑体" w:cs="Times New Roman"/>
          <w:b w:val="0"/>
          <w:bCs w:val="0"/>
          <w:sz w:val="21"/>
          <w:szCs w:val="21"/>
        </w:rPr>
        <w:t xml:space="preserve">3 </w:t>
      </w:r>
      <w:r>
        <w:rPr>
          <w:rFonts w:hint="default" w:ascii="Times New Roman" w:hAnsi="Times New Roman" w:cs="Times New Roman"/>
        </w:rPr>
        <w:fldChar w:fldCharType="begin"/>
      </w:r>
      <w:r>
        <w:rPr>
          <w:rFonts w:hint="default" w:ascii="Times New Roman" w:hAnsi="Times New Roman" w:cs="Times New Roman"/>
        </w:rPr>
        <w:instrText xml:space="preserve"> HYPERLINK \l "_Toc234978610" </w:instrText>
      </w:r>
      <w:r>
        <w:rPr>
          <w:rFonts w:hint="default" w:ascii="Times New Roman" w:hAnsi="Times New Roman" w:cs="Times New Roman"/>
        </w:rPr>
        <w:fldChar w:fldCharType="separate"/>
      </w:r>
      <w:r>
        <w:rPr>
          <w:rFonts w:hint="default" w:ascii="Times New Roman" w:hAnsi="Times New Roman" w:eastAsia="黑体" w:cs="Times New Roman"/>
          <w:b w:val="0"/>
          <w:bCs w:val="0"/>
          <w:sz w:val="21"/>
          <w:szCs w:val="21"/>
        </w:rPr>
        <w:t>国内外相关标准研究</w:t>
      </w:r>
      <w:r>
        <w:rPr>
          <w:rFonts w:hint="default" w:ascii="Times New Roman" w:hAnsi="Times New Roman" w:eastAsia="黑体" w:cs="Times New Roman"/>
          <w:b w:val="0"/>
          <w:bCs w:val="0"/>
          <w:sz w:val="21"/>
          <w:szCs w:val="21"/>
        </w:rPr>
        <w:fldChar w:fldCharType="end"/>
      </w:r>
      <w:bookmarkEnd w:id="25"/>
      <w:bookmarkEnd w:id="26"/>
    </w:p>
    <w:p w14:paraId="51FA6950">
      <w:pPr>
        <w:spacing w:line="360" w:lineRule="auto"/>
        <w:ind w:firstLine="420"/>
        <w:rPr>
          <w:rFonts w:hint="default" w:ascii="Times New Roman" w:hAnsi="Times New Roman" w:cs="Times New Roman"/>
        </w:rPr>
      </w:pPr>
      <w:r>
        <w:rPr>
          <w:rFonts w:hint="default" w:ascii="Times New Roman" w:hAnsi="Times New Roman" w:cs="Times New Roman"/>
        </w:rPr>
        <w:t>由于土壤修复治理工厂设计与运行具有高度复杂性，且尚未发现有公开的相关技术规范，亟需制订一套完整的土壤修复治理工厂设计与运行规范加以指导。</w:t>
      </w:r>
    </w:p>
    <w:p w14:paraId="0EA711DC">
      <w:pPr>
        <w:pStyle w:val="2"/>
        <w:rPr>
          <w:rFonts w:hint="default" w:ascii="Times New Roman" w:hAnsi="Times New Roman" w:cs="Times New Roman"/>
          <w:bCs w:val="0"/>
          <w:szCs w:val="21"/>
        </w:rPr>
      </w:pPr>
      <w:bookmarkStart w:id="27" w:name="_Toc16134"/>
      <w:bookmarkStart w:id="28" w:name="_Toc5761"/>
      <w:r>
        <w:rPr>
          <w:rFonts w:hint="default" w:ascii="Times New Roman" w:hAnsi="Times New Roman" w:eastAsia="黑体" w:cs="Times New Roman"/>
          <w:b w:val="0"/>
          <w:bCs w:val="0"/>
          <w:sz w:val="21"/>
          <w:szCs w:val="21"/>
        </w:rPr>
        <w:t xml:space="preserve">4 </w:t>
      </w:r>
      <w:r>
        <w:rPr>
          <w:rFonts w:hint="default" w:ascii="Times New Roman" w:hAnsi="Times New Roman" w:cs="Times New Roman"/>
        </w:rPr>
        <w:fldChar w:fldCharType="begin"/>
      </w:r>
      <w:r>
        <w:rPr>
          <w:rFonts w:hint="default" w:ascii="Times New Roman" w:hAnsi="Times New Roman" w:cs="Times New Roman"/>
        </w:rPr>
        <w:instrText xml:space="preserve"> HYPERLINK \l "_Toc234978610" </w:instrText>
      </w:r>
      <w:r>
        <w:rPr>
          <w:rFonts w:hint="default" w:ascii="Times New Roman" w:hAnsi="Times New Roman" w:cs="Times New Roman"/>
        </w:rPr>
        <w:fldChar w:fldCharType="separate"/>
      </w:r>
      <w:r>
        <w:rPr>
          <w:rFonts w:hint="default" w:ascii="Times New Roman" w:hAnsi="Times New Roman" w:eastAsia="黑体" w:cs="Times New Roman"/>
          <w:b w:val="0"/>
          <w:bCs w:val="0"/>
          <w:sz w:val="21"/>
          <w:szCs w:val="21"/>
        </w:rPr>
        <w:t>同类工程现状调研</w:t>
      </w:r>
      <w:r>
        <w:rPr>
          <w:rFonts w:hint="default" w:ascii="Times New Roman" w:hAnsi="Times New Roman" w:eastAsia="黑体" w:cs="Times New Roman"/>
          <w:b w:val="0"/>
          <w:bCs w:val="0"/>
          <w:sz w:val="21"/>
          <w:szCs w:val="21"/>
        </w:rPr>
        <w:fldChar w:fldCharType="end"/>
      </w:r>
      <w:bookmarkEnd w:id="27"/>
      <w:bookmarkEnd w:id="28"/>
    </w:p>
    <w:p w14:paraId="4372EF7F">
      <w:pPr>
        <w:pStyle w:val="3"/>
        <w:rPr>
          <w:rFonts w:hint="default" w:ascii="Times New Roman" w:hAnsi="Times New Roman" w:cs="Times New Roman"/>
        </w:rPr>
      </w:pPr>
      <w:bookmarkStart w:id="29" w:name="_Toc16591"/>
      <w:r>
        <w:rPr>
          <w:rFonts w:hint="default" w:ascii="Times New Roman" w:hAnsi="Times New Roman" w:cs="Times New Roman"/>
        </w:rPr>
        <w:t>4.1 土壤修复工厂典型案例汇总</w:t>
      </w:r>
      <w:bookmarkEnd w:id="29"/>
    </w:p>
    <w:p w14:paraId="2B5AA1CC">
      <w:pPr>
        <w:adjustRightInd w:val="0"/>
        <w:snapToGrid w:val="0"/>
        <w:spacing w:line="360" w:lineRule="auto"/>
        <w:ind w:firstLine="420"/>
        <w:rPr>
          <w:rFonts w:hint="default" w:ascii="Times New Roman" w:hAnsi="Times New Roman" w:cs="Times New Roman"/>
        </w:rPr>
      </w:pPr>
      <w:r>
        <w:rPr>
          <w:rFonts w:hint="default" w:ascii="Times New Roman" w:hAnsi="Times New Roman" w:cs="Times New Roman"/>
        </w:rPr>
        <w:t>编制组对国内土壤修复工厂工程进行了广泛调研，并对典型项目的工艺路线、系统配置等进行了重点梳理。结果如表1所示。</w:t>
      </w:r>
    </w:p>
    <w:p w14:paraId="4EFDCD99">
      <w:pPr>
        <w:adjustRightInd w:val="0"/>
        <w:snapToGrid w:val="0"/>
        <w:spacing w:line="360" w:lineRule="auto"/>
        <w:ind w:firstLine="420"/>
        <w:jc w:val="center"/>
        <w:rPr>
          <w:rFonts w:hint="default" w:ascii="Times New Roman" w:hAnsi="Times New Roman" w:eastAsia="黑体" w:cs="Times New Roman"/>
          <w:szCs w:val="21"/>
        </w:rPr>
      </w:pPr>
      <w:r>
        <w:rPr>
          <w:rFonts w:hint="default" w:ascii="Times New Roman" w:hAnsi="Times New Roman" w:eastAsia="黑体" w:cs="Times New Roman"/>
          <w:szCs w:val="21"/>
        </w:rPr>
        <w:t>表1  土壤修复工厂项目工艺对比</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7"/>
        <w:gridCol w:w="2430"/>
        <w:gridCol w:w="1093"/>
        <w:gridCol w:w="4292"/>
      </w:tblGrid>
      <w:tr w14:paraId="43DBA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79C55326">
            <w:pPr>
              <w:adjustRightInd w:val="0"/>
              <w:snapToGrid w:val="0"/>
              <w:spacing w:line="360" w:lineRule="auto"/>
              <w:jc w:val="center"/>
              <w:rPr>
                <w:rFonts w:hint="default" w:ascii="Times New Roman" w:hAnsi="Times New Roman" w:cs="Times New Roman"/>
                <w:sz w:val="18"/>
                <w:szCs w:val="18"/>
              </w:rPr>
            </w:pPr>
            <w:r>
              <w:rPr>
                <w:rFonts w:hint="default" w:ascii="Times New Roman" w:hAnsi="Times New Roman" w:cs="Times New Roman"/>
                <w:sz w:val="18"/>
                <w:szCs w:val="18"/>
              </w:rPr>
              <w:t>序号</w:t>
            </w:r>
          </w:p>
        </w:tc>
        <w:tc>
          <w:tcPr>
            <w:tcW w:w="1425" w:type="pct"/>
            <w:noWrap/>
            <w:vAlign w:val="center"/>
          </w:tcPr>
          <w:p w14:paraId="2213E094">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项目名称</w:t>
            </w:r>
          </w:p>
        </w:tc>
        <w:tc>
          <w:tcPr>
            <w:tcW w:w="641" w:type="pct"/>
            <w:noWrap/>
            <w:vAlign w:val="center"/>
          </w:tcPr>
          <w:p w14:paraId="6F9B4655">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系统规模</w:t>
            </w:r>
          </w:p>
        </w:tc>
        <w:tc>
          <w:tcPr>
            <w:tcW w:w="2517" w:type="pct"/>
            <w:noWrap/>
            <w:vAlign w:val="center"/>
          </w:tcPr>
          <w:p w14:paraId="32E63067">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设计工艺</w:t>
            </w:r>
          </w:p>
        </w:tc>
      </w:tr>
      <w:tr w14:paraId="78C51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415" w:type="pct"/>
            <w:noWrap/>
            <w:vAlign w:val="center"/>
          </w:tcPr>
          <w:p w14:paraId="5D92FF57">
            <w:pPr>
              <w:adjustRightInd w:val="0"/>
              <w:snapToGrid w:val="0"/>
              <w:spacing w:line="360" w:lineRule="auto"/>
              <w:jc w:val="center"/>
              <w:rPr>
                <w:rFonts w:hint="default" w:ascii="Times New Roman" w:hAnsi="Times New Roman" w:cs="Times New Roman"/>
                <w:sz w:val="18"/>
                <w:szCs w:val="18"/>
              </w:rPr>
            </w:pPr>
            <w:r>
              <w:rPr>
                <w:rFonts w:hint="default" w:ascii="Times New Roman" w:hAnsi="Times New Roman" w:cs="Times New Roman"/>
                <w:sz w:val="18"/>
                <w:szCs w:val="18"/>
              </w:rPr>
              <w:t>1</w:t>
            </w:r>
          </w:p>
        </w:tc>
        <w:tc>
          <w:tcPr>
            <w:tcW w:w="1425" w:type="pct"/>
            <w:noWrap/>
            <w:vAlign w:val="center"/>
          </w:tcPr>
          <w:p w14:paraId="6B5A8D30">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宝山南大土壤修复基地</w:t>
            </w:r>
          </w:p>
        </w:tc>
        <w:tc>
          <w:tcPr>
            <w:tcW w:w="641" w:type="pct"/>
            <w:noWrap/>
            <w:vAlign w:val="center"/>
          </w:tcPr>
          <w:p w14:paraId="0BE74973">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20万m</w:t>
            </w:r>
            <w:r>
              <w:rPr>
                <w:rFonts w:hint="default" w:ascii="Times New Roman" w:hAnsi="Times New Roman" w:cs="Times New Roman"/>
                <w:sz w:val="18"/>
                <w:szCs w:val="18"/>
                <w:vertAlign w:val="superscript"/>
              </w:rPr>
              <w:t>3</w:t>
            </w:r>
            <w:r>
              <w:rPr>
                <w:rFonts w:hint="default" w:ascii="Times New Roman" w:hAnsi="Times New Roman" w:cs="Times New Roman"/>
                <w:sz w:val="18"/>
                <w:szCs w:val="18"/>
              </w:rPr>
              <w:t>/年</w:t>
            </w:r>
          </w:p>
        </w:tc>
        <w:tc>
          <w:tcPr>
            <w:tcW w:w="2517" w:type="pct"/>
            <w:noWrap/>
            <w:vAlign w:val="center"/>
          </w:tcPr>
          <w:p w14:paraId="42F9808B">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建有封闭式处置车间、防渗堆场、检测实验用房以及配套的废水、废气处理构筑物，配备了污染土壤淋洗、固化稳定化、高级氧化、强化气相抽提、热脱附以及污染土破碎、筛分、混合搅拌等系列专业技术装备</w:t>
            </w:r>
          </w:p>
        </w:tc>
      </w:tr>
      <w:tr w14:paraId="7300B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15" w:type="pct"/>
            <w:noWrap/>
            <w:vAlign w:val="center"/>
          </w:tcPr>
          <w:p w14:paraId="3D1FA6FA">
            <w:pPr>
              <w:adjustRightInd w:val="0"/>
              <w:snapToGrid w:val="0"/>
              <w:spacing w:line="360" w:lineRule="auto"/>
              <w:jc w:val="center"/>
              <w:rPr>
                <w:rFonts w:hint="default" w:ascii="Times New Roman" w:hAnsi="Times New Roman" w:cs="Times New Roman"/>
                <w:sz w:val="18"/>
                <w:szCs w:val="18"/>
              </w:rPr>
            </w:pPr>
            <w:r>
              <w:rPr>
                <w:rFonts w:hint="default" w:ascii="Times New Roman" w:hAnsi="Times New Roman" w:cs="Times New Roman"/>
                <w:sz w:val="18"/>
                <w:szCs w:val="18"/>
              </w:rPr>
              <w:t>2</w:t>
            </w:r>
          </w:p>
        </w:tc>
        <w:tc>
          <w:tcPr>
            <w:tcW w:w="1425" w:type="pct"/>
            <w:noWrap/>
            <w:vAlign w:val="center"/>
          </w:tcPr>
          <w:p w14:paraId="0255AA34">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桃浦智创城修复终端</w:t>
            </w:r>
          </w:p>
        </w:tc>
        <w:tc>
          <w:tcPr>
            <w:tcW w:w="641" w:type="pct"/>
            <w:noWrap/>
            <w:vAlign w:val="center"/>
          </w:tcPr>
          <w:p w14:paraId="2B6F3727">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50万m</w:t>
            </w:r>
            <w:r>
              <w:rPr>
                <w:rFonts w:hint="default" w:ascii="Times New Roman" w:hAnsi="Times New Roman" w:cs="Times New Roman"/>
                <w:sz w:val="18"/>
                <w:szCs w:val="18"/>
                <w:vertAlign w:val="superscript"/>
              </w:rPr>
              <w:t>3</w:t>
            </w:r>
          </w:p>
        </w:tc>
        <w:tc>
          <w:tcPr>
            <w:tcW w:w="2517" w:type="pct"/>
            <w:noWrap/>
            <w:vAlign w:val="center"/>
          </w:tcPr>
          <w:p w14:paraId="64A397BA">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土壤分类暂存区、化学氧化施工区、常温解吸施工区、热脱附施工区、淋洗施工区、尾气处理区、土壤和待检区等功能区，并配套有地磅、洗车池、办公区</w:t>
            </w:r>
          </w:p>
        </w:tc>
      </w:tr>
      <w:tr w14:paraId="3EA15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15" w:type="pct"/>
            <w:noWrap/>
            <w:vAlign w:val="center"/>
          </w:tcPr>
          <w:p w14:paraId="32C70CBA">
            <w:pPr>
              <w:adjustRightInd w:val="0"/>
              <w:snapToGrid w:val="0"/>
              <w:spacing w:line="360" w:lineRule="auto"/>
              <w:jc w:val="center"/>
              <w:rPr>
                <w:rFonts w:hint="default" w:ascii="Times New Roman" w:hAnsi="Times New Roman" w:cs="Times New Roman"/>
                <w:sz w:val="18"/>
                <w:szCs w:val="18"/>
              </w:rPr>
            </w:pPr>
            <w:r>
              <w:rPr>
                <w:rFonts w:hint="default" w:ascii="Times New Roman" w:hAnsi="Times New Roman" w:cs="Times New Roman"/>
                <w:sz w:val="18"/>
                <w:szCs w:val="18"/>
              </w:rPr>
              <w:t>3</w:t>
            </w:r>
          </w:p>
        </w:tc>
        <w:tc>
          <w:tcPr>
            <w:tcW w:w="1425" w:type="pct"/>
            <w:noWrap/>
            <w:vAlign w:val="center"/>
          </w:tcPr>
          <w:p w14:paraId="19401423">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南京小南化土壤异位修复工厂</w:t>
            </w:r>
          </w:p>
        </w:tc>
        <w:tc>
          <w:tcPr>
            <w:tcW w:w="641" w:type="pct"/>
            <w:noWrap/>
            <w:vAlign w:val="center"/>
          </w:tcPr>
          <w:p w14:paraId="4A515104">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20万m</w:t>
            </w:r>
            <w:r>
              <w:rPr>
                <w:rFonts w:hint="default" w:ascii="Times New Roman" w:hAnsi="Times New Roman" w:cs="Times New Roman"/>
                <w:sz w:val="18"/>
                <w:szCs w:val="18"/>
                <w:vertAlign w:val="superscript"/>
              </w:rPr>
              <w:t>3</w:t>
            </w:r>
            <w:r>
              <w:rPr>
                <w:rFonts w:hint="default" w:ascii="Times New Roman" w:hAnsi="Times New Roman" w:cs="Times New Roman"/>
                <w:sz w:val="18"/>
                <w:szCs w:val="18"/>
              </w:rPr>
              <w:t>/年</w:t>
            </w:r>
          </w:p>
        </w:tc>
        <w:tc>
          <w:tcPr>
            <w:tcW w:w="2517" w:type="pct"/>
            <w:noWrap/>
            <w:vAlign w:val="center"/>
          </w:tcPr>
          <w:p w14:paraId="2C9DD92D">
            <w:pPr>
              <w:adjustRightInd w:val="0"/>
              <w:snapToGrid w:val="0"/>
              <w:spacing w:line="360" w:lineRule="auto"/>
              <w:jc w:val="left"/>
              <w:rPr>
                <w:rFonts w:hint="default" w:ascii="Times New Roman" w:hAnsi="Times New Roman" w:cs="Times New Roman"/>
                <w:sz w:val="18"/>
                <w:szCs w:val="18"/>
              </w:rPr>
            </w:pPr>
            <w:r>
              <w:rPr>
                <w:rFonts w:hint="default" w:ascii="Times New Roman" w:hAnsi="Times New Roman" w:cs="Times New Roman"/>
                <w:sz w:val="18"/>
                <w:szCs w:val="18"/>
              </w:rPr>
              <w:t>异位高级氧化、常温热解吸、直接热脱附和间接热脱附</w:t>
            </w:r>
          </w:p>
        </w:tc>
      </w:tr>
    </w:tbl>
    <w:p w14:paraId="6A90729F">
      <w:pPr>
        <w:pStyle w:val="3"/>
        <w:rPr>
          <w:rFonts w:hint="default" w:ascii="Times New Roman" w:hAnsi="Times New Roman" w:cs="Times New Roman"/>
        </w:rPr>
      </w:pPr>
      <w:bookmarkStart w:id="30" w:name="_Toc5942"/>
      <w:r>
        <w:rPr>
          <w:rFonts w:hint="default" w:ascii="Times New Roman" w:hAnsi="Times New Roman" w:cs="Times New Roman"/>
        </w:rPr>
        <w:t>4.2</w:t>
      </w:r>
      <w:r>
        <w:rPr>
          <w:rFonts w:hint="default" w:ascii="Times New Roman" w:hAnsi="Times New Roman" w:cs="Times New Roman"/>
          <w:lang w:val="en-US" w:eastAsia="zh-CN"/>
        </w:rPr>
        <w:t xml:space="preserve"> </w:t>
      </w:r>
      <w:r>
        <w:rPr>
          <w:rFonts w:hint="default" w:ascii="Times New Roman" w:hAnsi="Times New Roman" w:cs="Times New Roman"/>
        </w:rPr>
        <w:t>宝山南大土壤修复基地</w:t>
      </w:r>
      <w:bookmarkEnd w:id="30"/>
      <w:bookmarkStart w:id="31" w:name="_Toc11123"/>
    </w:p>
    <w:p w14:paraId="1782011D">
      <w:pPr>
        <w:ind w:firstLine="420" w:firstLineChars="200"/>
        <w:rPr>
          <w:rFonts w:hint="default" w:ascii="Times New Roman" w:hAnsi="Times New Roman" w:eastAsia="宋体" w:cs="Times New Roman"/>
          <w:bCs/>
          <w:szCs w:val="32"/>
        </w:rPr>
      </w:pPr>
      <w:r>
        <w:rPr>
          <w:rFonts w:hint="default" w:ascii="Times New Roman" w:hAnsi="Times New Roman" w:eastAsia="宋体" w:cs="Times New Roman"/>
        </w:rPr>
        <w:t>宝山南大土壤修复基地是2012年以来宝山探索城市转型区域土壤集中修复的成果展示，也是土壤污染修复国家试点示范项目的成绩体现。该基地由上海市环科院于2017年12月建成并投入运行，占地约6万m</w:t>
      </w:r>
      <w:r>
        <w:rPr>
          <w:rFonts w:hint="default" w:ascii="Times New Roman" w:hAnsi="Times New Roman" w:eastAsia="宋体" w:cs="Times New Roman"/>
          <w:vertAlign w:val="superscript"/>
        </w:rPr>
        <w:t>2</w:t>
      </w:r>
      <w:r>
        <w:rPr>
          <w:rFonts w:hint="default" w:ascii="Times New Roman" w:hAnsi="Times New Roman" w:eastAsia="宋体" w:cs="Times New Roman"/>
        </w:rPr>
        <w:t>，建有封闭式处置车间、防渗堆场、检测实验用房以及配套的废水、废气处理构筑物，配备了污染土壤淋洗、固化稳定化、高级氧化、强化气相抽提、热脱附以及污染土破碎、筛分、混合搅拌等系列专业技术装备，可用于重金属污染土、有机污染土及复合型污染土异位集中修复处置，设计年处理量污染土可达20万方。</w:t>
      </w:r>
    </w:p>
    <w:p w14:paraId="1C2BDB67">
      <w:pPr>
        <w:pStyle w:val="3"/>
        <w:rPr>
          <w:rFonts w:hint="default" w:ascii="Times New Roman" w:hAnsi="Times New Roman" w:cs="Times New Roman"/>
        </w:rPr>
      </w:pPr>
      <w:bookmarkStart w:id="32" w:name="_Toc8186"/>
      <w:bookmarkStart w:id="33" w:name="_Hlk156334427"/>
      <w:r>
        <w:rPr>
          <w:rFonts w:hint="default" w:ascii="Times New Roman" w:hAnsi="Times New Roman" w:cs="Times New Roman"/>
        </w:rPr>
        <w:t>4.3</w:t>
      </w:r>
      <w:r>
        <w:rPr>
          <w:rFonts w:hint="default" w:ascii="Times New Roman" w:hAnsi="Times New Roman" w:cs="Times New Roman"/>
          <w:lang w:val="en-US" w:eastAsia="zh-CN"/>
        </w:rPr>
        <w:t xml:space="preserve"> </w:t>
      </w:r>
      <w:r>
        <w:rPr>
          <w:rFonts w:hint="default" w:ascii="Times New Roman" w:hAnsi="Times New Roman" w:cs="Times New Roman"/>
        </w:rPr>
        <w:t>桃浦智创城修复终端</w:t>
      </w:r>
      <w:bookmarkEnd w:id="32"/>
    </w:p>
    <w:bookmarkEnd w:id="33"/>
    <w:p w14:paraId="4625B659">
      <w:pPr>
        <w:ind w:firstLine="420" w:firstLineChars="200"/>
        <w:rPr>
          <w:rFonts w:hint="default" w:ascii="Times New Roman" w:hAnsi="Times New Roman" w:eastAsia="宋体" w:cs="Times New Roman"/>
        </w:rPr>
      </w:pPr>
      <w:r>
        <w:rPr>
          <w:rFonts w:hint="default" w:ascii="Times New Roman" w:hAnsi="Times New Roman" w:eastAsia="宋体" w:cs="Times New Roman"/>
        </w:rPr>
        <w:t>上海桃浦智创城规划开发区位于普陀区，东至真北路，西至外环线，南至金昌路，北至沪嘉高速，土地面积约为7.92平方公里。1950年-2008年，该区域为桃浦工业区，曾聚集有大量的工业生产企业，由于生产工业和环保设施相对落后，区域内的土壤和地下水普遍受到污染，为上海“十大重污染地区”之一。2012年，上海市政府将该区域规划为宜业，宜居、生态一体化的现代化城区。随之而来的桃浦智创城核心区污染治理是上海市首个，也是目前最大的区域性棕地治理。</w:t>
      </w:r>
    </w:p>
    <w:p w14:paraId="40F49ED3">
      <w:pPr>
        <w:ind w:firstLine="420" w:firstLineChars="200"/>
        <w:rPr>
          <w:rFonts w:hint="default" w:ascii="Times New Roman" w:hAnsi="Times New Roman" w:eastAsia="宋体" w:cs="Times New Roman"/>
        </w:rPr>
      </w:pPr>
      <w:r>
        <w:rPr>
          <w:rFonts w:hint="default" w:ascii="Times New Roman" w:hAnsi="Times New Roman" w:eastAsia="宋体" w:cs="Times New Roman"/>
        </w:rPr>
        <w:t>2016年，上海桃浦智创城开发建设有限公司组织开工613地块（原三维制药厂）修复工程，该地块总面积约9万m</w:t>
      </w:r>
      <w:r>
        <w:rPr>
          <w:rFonts w:hint="default" w:ascii="Times New Roman" w:hAnsi="Times New Roman" w:eastAsia="宋体" w:cs="Times New Roman"/>
          <w:vertAlign w:val="superscript"/>
        </w:rPr>
        <w:t>2</w:t>
      </w:r>
      <w:r>
        <w:rPr>
          <w:rFonts w:hint="default" w:ascii="Times New Roman" w:hAnsi="Times New Roman" w:eastAsia="宋体" w:cs="Times New Roman"/>
        </w:rPr>
        <w:t>，地块内建设有2个修复大棚，每个大棚占地面积约8000 m</w:t>
      </w:r>
      <w:r>
        <w:rPr>
          <w:rFonts w:hint="default" w:ascii="Times New Roman" w:hAnsi="Times New Roman" w:eastAsia="宋体" w:cs="Times New Roman"/>
          <w:vertAlign w:val="superscript"/>
        </w:rPr>
        <w:t>2</w:t>
      </w:r>
      <w:r>
        <w:rPr>
          <w:rFonts w:hint="default" w:ascii="Times New Roman" w:hAnsi="Times New Roman" w:eastAsia="宋体" w:cs="Times New Roman"/>
        </w:rPr>
        <w:t>，大棚配有地面防渗系统、排风送风系统、尾气处理系统等，用于处置613地块内的污染土壤。</w:t>
      </w:r>
    </w:p>
    <w:p w14:paraId="6D7E1A2F">
      <w:pPr>
        <w:ind w:firstLine="420" w:firstLineChars="200"/>
        <w:rPr>
          <w:rFonts w:hint="default" w:ascii="Times New Roman" w:hAnsi="Times New Roman" w:eastAsia="宋体" w:cs="Times New Roman"/>
        </w:rPr>
      </w:pPr>
      <w:r>
        <w:rPr>
          <w:rFonts w:hint="default" w:ascii="Times New Roman" w:hAnsi="Times New Roman" w:eastAsia="宋体" w:cs="Times New Roman"/>
        </w:rPr>
        <w:t>随着整个规划区域整治开发的推进，613地块逐渐演变为桃浦地区土壤“修复工厂”，地块内先后建成了土壤分类暂存区、化学氧化施工区、常温解吸施工区、热脱附施工区、淋洗施工区、尾气处理区、土壤和待检区等功能区，并配套有地磅、洗车池、办公区等辅助设施，成为服务于整个规划区域整治开发的修复终端，用于接收桃浦工业区内多个污染地块的污染土壤，进行集中修复。截止2021年，该修复终端先后处置了桃浦613地块、654地块、607地块、621A地块、603等地块污染土壤和地下水，累计处理污染土壤50万m</w:t>
      </w:r>
      <w:r>
        <w:rPr>
          <w:rFonts w:hint="default" w:ascii="Times New Roman" w:hAnsi="Times New Roman" w:eastAsia="宋体" w:cs="Times New Roman"/>
          <w:vertAlign w:val="superscript"/>
        </w:rPr>
        <w:t>3</w:t>
      </w:r>
      <w:r>
        <w:rPr>
          <w:rFonts w:hint="default" w:ascii="Times New Roman" w:hAnsi="Times New Roman" w:eastAsia="宋体" w:cs="Times New Roman"/>
        </w:rPr>
        <w:t>，极大的节省了修复成本，提升了修复效率，降低了二次污染风险，促进了生态修复的持续发展。</w:t>
      </w:r>
    </w:p>
    <w:p w14:paraId="0B1AE184">
      <w:pPr>
        <w:pStyle w:val="3"/>
        <w:numPr>
          <w:ilvl w:val="1"/>
          <w:numId w:val="0"/>
        </w:numPr>
        <w:rPr>
          <w:rFonts w:hint="default" w:ascii="Times New Roman" w:hAnsi="Times New Roman" w:eastAsia="宋体" w:cs="Times New Roman"/>
          <w:bCs w:val="0"/>
        </w:rPr>
      </w:pPr>
      <w:bookmarkStart w:id="34" w:name="_Toc32243"/>
      <w:r>
        <w:rPr>
          <w:rFonts w:hint="default" w:ascii="Times New Roman" w:hAnsi="Times New Roman" w:eastAsia="宋体" w:cs="Times New Roman"/>
          <w:bCs w:val="0"/>
        </w:rPr>
        <w:t>4.4</w:t>
      </w:r>
      <w:r>
        <w:rPr>
          <w:rFonts w:hint="default" w:ascii="Times New Roman" w:hAnsi="Times New Roman" w:eastAsia="宋体" w:cs="Times New Roman"/>
          <w:bCs w:val="0"/>
          <w:lang w:val="en-US" w:eastAsia="zh-CN"/>
        </w:rPr>
        <w:t xml:space="preserve"> </w:t>
      </w:r>
      <w:r>
        <w:rPr>
          <w:rFonts w:hint="default" w:ascii="Times New Roman" w:hAnsi="Times New Roman" w:eastAsia="宋体" w:cs="Times New Roman"/>
          <w:bCs w:val="0"/>
        </w:rPr>
        <w:t>南京小南化土壤异位修复工厂</w:t>
      </w:r>
      <w:bookmarkEnd w:id="34"/>
    </w:p>
    <w:p w14:paraId="6052B8EB">
      <w:pPr>
        <w:ind w:firstLine="420" w:firstLineChars="200"/>
        <w:rPr>
          <w:rFonts w:hint="default" w:ascii="Times New Roman" w:hAnsi="Times New Roman" w:eastAsia="宋体" w:cs="Times New Roman"/>
        </w:rPr>
      </w:pPr>
      <w:r>
        <w:rPr>
          <w:rFonts w:hint="default" w:ascii="Times New Roman" w:hAnsi="Times New Roman" w:eastAsia="宋体" w:cs="Times New Roman"/>
        </w:rPr>
        <w:t>南京市燕子矶地区占地约14平方千米，是南京市传统老工业集中地，曾经密集分布了66家化工企业，其中最大的为“小南化”，占地700亩。2005年“小南化”与南化公司合并后从燕子矶地区迁至南京市江北。2011年4月，燕子矶地区51家小化工企业全部关停。2013年年底，15家大化工企业全面停产、退城入园。在污染企业搬迁之后，释放土壤修复项目需求。</w:t>
      </w:r>
    </w:p>
    <w:p w14:paraId="35F975EE">
      <w:pPr>
        <w:ind w:firstLine="420" w:firstLineChars="200"/>
        <w:rPr>
          <w:rFonts w:hint="default" w:ascii="Times New Roman" w:hAnsi="Times New Roman" w:eastAsia="宋体" w:cs="Times New Roman"/>
        </w:rPr>
      </w:pPr>
      <w:r>
        <w:rPr>
          <w:rFonts w:hint="default" w:ascii="Times New Roman" w:hAnsi="Times New Roman" w:eastAsia="宋体" w:cs="Times New Roman"/>
        </w:rPr>
        <w:t>南京小南化土壤异位修复工厂位于南京市主城东北部燕子矶地区，2019年建设运行，服务于该地区污染治理，总面积约10万m</w:t>
      </w:r>
      <w:r>
        <w:rPr>
          <w:rFonts w:hint="default" w:ascii="Times New Roman" w:hAnsi="Times New Roman" w:eastAsia="宋体" w:cs="Times New Roman"/>
          <w:vertAlign w:val="superscript"/>
        </w:rPr>
        <w:t>2</w:t>
      </w:r>
      <w:r>
        <w:rPr>
          <w:rFonts w:hint="default" w:ascii="Times New Roman" w:hAnsi="Times New Roman" w:eastAsia="宋体" w:cs="Times New Roman"/>
        </w:rPr>
        <w:t>，建有封闭式处置车间、防渗堆场、废气处理构筑物，配备了异位高级氧化、常温热解吸、直接热脱附和间接热脱附等系列专业技术装备，可用于有机污染土异位集中修复处置，设计年处理量污染土可达20万m</w:t>
      </w:r>
      <w:r>
        <w:rPr>
          <w:rFonts w:hint="default" w:ascii="Times New Roman" w:hAnsi="Times New Roman" w:eastAsia="宋体" w:cs="Times New Roman"/>
          <w:vertAlign w:val="superscript"/>
        </w:rPr>
        <w:t>3</w:t>
      </w:r>
      <w:r>
        <w:rPr>
          <w:rFonts w:hint="default" w:ascii="Times New Roman" w:hAnsi="Times New Roman" w:eastAsia="宋体" w:cs="Times New Roman"/>
        </w:rPr>
        <w:t>，目前已经修复了超过30万m</w:t>
      </w:r>
      <w:r>
        <w:rPr>
          <w:rFonts w:hint="default" w:ascii="Times New Roman" w:hAnsi="Times New Roman" w:eastAsia="宋体" w:cs="Times New Roman"/>
          <w:vertAlign w:val="superscript"/>
        </w:rPr>
        <w:t>3</w:t>
      </w:r>
      <w:r>
        <w:rPr>
          <w:rFonts w:hint="default" w:ascii="Times New Roman" w:hAnsi="Times New Roman" w:eastAsia="宋体" w:cs="Times New Roman"/>
        </w:rPr>
        <w:t>污染土壤。</w:t>
      </w:r>
    </w:p>
    <w:p w14:paraId="4E32C8A9">
      <w:pPr>
        <w:pStyle w:val="2"/>
        <w:rPr>
          <w:rFonts w:hint="default" w:ascii="Times New Roman" w:hAnsi="Times New Roman" w:cs="Times New Roman"/>
          <w:bCs w:val="0"/>
          <w:szCs w:val="21"/>
        </w:rPr>
      </w:pPr>
      <w:bookmarkStart w:id="35" w:name="_Toc26283"/>
      <w:r>
        <w:rPr>
          <w:rFonts w:hint="default" w:ascii="Times New Roman" w:hAnsi="Times New Roman" w:eastAsia="黑体" w:cs="Times New Roman"/>
          <w:b w:val="0"/>
          <w:bCs w:val="0"/>
          <w:sz w:val="21"/>
          <w:szCs w:val="21"/>
        </w:rPr>
        <w:t xml:space="preserve">5 </w:t>
      </w:r>
      <w:r>
        <w:rPr>
          <w:rFonts w:hint="default" w:ascii="Times New Roman" w:hAnsi="Times New Roman" w:cs="Times New Roman"/>
        </w:rPr>
        <w:fldChar w:fldCharType="begin"/>
      </w:r>
      <w:r>
        <w:rPr>
          <w:rFonts w:hint="default" w:ascii="Times New Roman" w:hAnsi="Times New Roman" w:cs="Times New Roman"/>
        </w:rPr>
        <w:instrText xml:space="preserve"> HYPERLINK \l "_Toc234978613" </w:instrText>
      </w:r>
      <w:r>
        <w:rPr>
          <w:rFonts w:hint="default" w:ascii="Times New Roman" w:hAnsi="Times New Roman" w:cs="Times New Roman"/>
        </w:rPr>
        <w:fldChar w:fldCharType="separate"/>
      </w:r>
      <w:r>
        <w:rPr>
          <w:rFonts w:hint="default" w:ascii="Times New Roman" w:hAnsi="Times New Roman" w:eastAsia="黑体" w:cs="Times New Roman"/>
          <w:b w:val="0"/>
          <w:bCs w:val="0"/>
          <w:sz w:val="21"/>
          <w:szCs w:val="21"/>
        </w:rPr>
        <w:t>主要技术内容及说明</w:t>
      </w:r>
      <w:r>
        <w:rPr>
          <w:rFonts w:hint="default" w:ascii="Times New Roman" w:hAnsi="Times New Roman" w:eastAsia="黑体" w:cs="Times New Roman"/>
          <w:b w:val="0"/>
          <w:bCs w:val="0"/>
          <w:sz w:val="21"/>
          <w:szCs w:val="21"/>
        </w:rPr>
        <w:fldChar w:fldCharType="end"/>
      </w:r>
      <w:bookmarkEnd w:id="31"/>
      <w:bookmarkEnd w:id="35"/>
    </w:p>
    <w:p w14:paraId="0D48E160">
      <w:pPr>
        <w:pStyle w:val="3"/>
        <w:numPr>
          <w:ilvl w:val="1"/>
          <w:numId w:val="0"/>
        </w:numPr>
        <w:rPr>
          <w:rFonts w:hint="default" w:ascii="Times New Roman" w:hAnsi="Times New Roman" w:cs="Times New Roman"/>
          <w:bCs w:val="0"/>
        </w:rPr>
      </w:pPr>
      <w:bookmarkStart w:id="36" w:name="_Toc1124"/>
      <w:bookmarkStart w:id="37" w:name="_Toc8775"/>
      <w:r>
        <w:rPr>
          <w:rFonts w:hint="default" w:ascii="Times New Roman" w:hAnsi="Times New Roman" w:cs="Times New Roman"/>
          <w:bCs w:val="0"/>
        </w:rPr>
        <w:t>5.1</w:t>
      </w:r>
      <w:bookmarkEnd w:id="36"/>
      <w:r>
        <w:rPr>
          <w:rFonts w:hint="default" w:ascii="Times New Roman" w:hAnsi="Times New Roman" w:cs="Times New Roman"/>
          <w:bCs w:val="0"/>
          <w:lang w:val="en-US" w:eastAsia="zh-CN"/>
        </w:rPr>
        <w:t xml:space="preserve"> </w:t>
      </w:r>
      <w:r>
        <w:rPr>
          <w:rFonts w:hint="default" w:ascii="Times New Roman" w:hAnsi="Times New Roman" w:cs="Times New Roman"/>
          <w:bCs w:val="0"/>
        </w:rPr>
        <w:t>基本规定</w:t>
      </w:r>
      <w:bookmarkEnd w:id="37"/>
    </w:p>
    <w:p w14:paraId="05CB0761">
      <w:pPr>
        <w:pStyle w:val="4"/>
        <w:ind w:firstLine="0" w:firstLineChars="0"/>
        <w:rPr>
          <w:rFonts w:hint="default" w:ascii="Times New Roman" w:hAnsi="Times New Roman" w:eastAsia="宋体" w:cs="Times New Roman"/>
          <w:bCs w:val="0"/>
          <w:szCs w:val="24"/>
        </w:rPr>
      </w:pPr>
      <w:bookmarkStart w:id="38" w:name="_Toc21780"/>
      <w:r>
        <w:rPr>
          <w:rFonts w:hint="default" w:ascii="Times New Roman" w:hAnsi="Times New Roman" w:eastAsia="宋体" w:cs="Times New Roman"/>
          <w:bCs w:val="0"/>
          <w:szCs w:val="24"/>
        </w:rPr>
        <w:t>5.1.1 土壤来源</w:t>
      </w:r>
      <w:bookmarkEnd w:id="38"/>
    </w:p>
    <w:p w14:paraId="2AE9E020">
      <w:pPr>
        <w:pStyle w:val="31"/>
        <w:spacing w:line="240" w:lineRule="auto"/>
        <w:ind w:firstLine="420" w:firstLineChars="200"/>
        <w:rPr>
          <w:rFonts w:hint="eastAsia" w:ascii="宋体" w:hAnsi="宋体" w:eastAsia="宋体" w:cs="宋体"/>
          <w:color w:val="000000" w:themeColor="text1"/>
          <w14:textFill>
            <w14:solidFill>
              <w14:schemeClr w14:val="tx1"/>
            </w14:solidFill>
          </w14:textFill>
        </w:rPr>
      </w:pPr>
      <w:bookmarkStart w:id="39" w:name="_Hlk198798571"/>
      <w:r>
        <w:rPr>
          <w:rFonts w:hint="default" w:ascii="Times New Roman" w:hAnsi="Times New Roman" w:eastAsia="宋体" w:cs="Times New Roman"/>
          <w:color w:val="000000" w:themeColor="text1"/>
          <w14:textFill>
            <w14:solidFill>
              <w14:schemeClr w14:val="tx1"/>
            </w14:solidFill>
          </w14:textFill>
        </w:rPr>
        <w:t>土壤来源包括不符合GB 36600规定的建设用地土壤、填埋场垃圾土</w:t>
      </w:r>
      <w:r>
        <w:rPr>
          <w:rFonts w:hint="default" w:ascii="Times New Roman" w:hAnsi="Times New Roman" w:eastAsia="宋体" w:cs="Times New Roman"/>
          <w:color w:val="000000" w:themeColor="text1"/>
          <w:lang w:eastAsia="zh-CN"/>
          <w14:textFill>
            <w14:solidFill>
              <w14:schemeClr w14:val="tx1"/>
            </w14:solidFill>
          </w14:textFill>
        </w:rPr>
        <w:t>、</w:t>
      </w:r>
      <w:r>
        <w:rPr>
          <w:rFonts w:hint="default" w:ascii="Times New Roman" w:hAnsi="Times New Roman" w:eastAsia="宋体" w:cs="Times New Roman"/>
          <w:color w:val="000000" w:themeColor="text1"/>
          <w:lang w:val="en-US" w:eastAsia="zh-CN"/>
          <w14:textFill>
            <w14:solidFill>
              <w14:schemeClr w14:val="tx1"/>
            </w14:solidFill>
          </w14:textFill>
        </w:rPr>
        <w:t>河道底泥</w:t>
      </w:r>
      <w:r>
        <w:rPr>
          <w:rFonts w:hint="default" w:ascii="Times New Roman" w:hAnsi="Times New Roman" w:eastAsia="宋体" w:cs="Times New Roman"/>
          <w:color w:val="000000" w:themeColor="text1"/>
          <w14:textFill>
            <w14:solidFill>
              <w14:schemeClr w14:val="tx1"/>
            </w14:solidFill>
          </w14:textFill>
        </w:rPr>
        <w:t>等。污染类型</w:t>
      </w:r>
      <w:r>
        <w:rPr>
          <w:rFonts w:hint="default" w:ascii="Times New Roman" w:hAnsi="Times New Roman" w:eastAsia="宋体" w:cs="Times New Roman"/>
          <w:b w:val="0"/>
          <w:color w:val="000000" w:themeColor="text1"/>
          <w:w w:val="100"/>
          <w:sz w:val="21"/>
          <w:szCs w:val="22"/>
          <w:lang w:val="en-US" w:eastAsia="zh-TW"/>
          <w14:textFill>
            <w14:solidFill>
              <w14:schemeClr w14:val="tx1"/>
            </w14:solidFill>
          </w14:textFill>
        </w:rPr>
        <w:t>可包括重金属和无机物、挥发性有机物、</w:t>
      </w:r>
      <w:r>
        <w:rPr>
          <w:rFonts w:hint="default" w:ascii="Times New Roman" w:hAnsi="Times New Roman" w:eastAsia="宋体" w:cs="Times New Roman"/>
          <w:b w:val="0"/>
          <w:color w:val="000000" w:themeColor="text1"/>
          <w:w w:val="100"/>
          <w:sz w:val="21"/>
          <w:szCs w:val="22"/>
          <w:lang w:val="en-US" w:eastAsia="zh-CN"/>
          <w14:textFill>
            <w14:solidFill>
              <w14:schemeClr w14:val="tx1"/>
            </w14:solidFill>
          </w14:textFill>
        </w:rPr>
        <w:t>半</w:t>
      </w:r>
      <w:r>
        <w:rPr>
          <w:rFonts w:hint="default" w:ascii="Times New Roman" w:hAnsi="Times New Roman" w:eastAsia="宋体" w:cs="Times New Roman"/>
          <w:b w:val="0"/>
          <w:color w:val="000000" w:themeColor="text1"/>
          <w:w w:val="100"/>
          <w:sz w:val="21"/>
          <w:szCs w:val="22"/>
          <w:lang w:val="en-US" w:eastAsia="zh-TW"/>
          <w14:textFill>
            <w14:solidFill>
              <w14:schemeClr w14:val="tx1"/>
            </w14:solidFill>
          </w14:textFill>
        </w:rPr>
        <w:t>挥发性有机物等单一污染或复合污染</w:t>
      </w:r>
      <w:r>
        <w:rPr>
          <w:rFonts w:hint="eastAsia" w:ascii="宋体" w:hAnsi="宋体" w:eastAsia="宋体" w:cs="宋体"/>
          <w:color w:val="000000" w:themeColor="text1"/>
          <w14:textFill>
            <w14:solidFill>
              <w14:schemeClr w14:val="tx1"/>
            </w14:solidFill>
          </w14:textFill>
        </w:rPr>
        <w:t>。</w:t>
      </w:r>
    </w:p>
    <w:bookmarkEnd w:id="39"/>
    <w:p w14:paraId="51C793A7">
      <w:pPr>
        <w:pStyle w:val="4"/>
        <w:ind w:firstLine="0" w:firstLineChars="0"/>
        <w:rPr>
          <w:rFonts w:hint="eastAsia"/>
        </w:rPr>
      </w:pPr>
      <w:bookmarkStart w:id="40" w:name="_Toc30458"/>
      <w:r>
        <w:rPr>
          <w:rFonts w:hint="eastAsia"/>
        </w:rPr>
        <w:t>5.1.2 修复流程</w:t>
      </w:r>
      <w:bookmarkEnd w:id="40"/>
    </w:p>
    <w:p w14:paraId="073DC37D">
      <w:pPr>
        <w:pStyle w:val="31"/>
        <w:spacing w:line="240" w:lineRule="auto"/>
        <w:ind w:firstLine="420" w:firstLineChars="200"/>
        <w:rPr>
          <w:rFonts w:hint="default" w:ascii="Times New Roman" w:hAnsi="Times New Roman" w:cs="Times New Roman"/>
          <w:color w:val="000000" w:themeColor="text1"/>
          <w:highlight w:val="yellow"/>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修复流程见图1。</w:t>
      </w:r>
    </w:p>
    <w:p w14:paraId="569E1C98">
      <w:r>
        <w:rPr>
          <w:rStyle w:val="20"/>
          <w:rFonts w:ascii="Times New Roman" w:hAnsi="Times New Roman" w:cs="Times New Roman"/>
          <w:kern w:val="0"/>
          <w:szCs w:val="20"/>
        </w:rPr>
        <w:object>
          <v:shape id="_x0000_i1025" o:spt="75" type="#_x0000_t75" style="height:203.05pt;width:382.3pt;" o:ole="t" filled="f" o:preferrelative="t" stroked="f" coordsize="21600,21600">
            <v:path/>
            <v:fill on="f" focussize="0,0"/>
            <v:stroke on="f"/>
            <v:imagedata r:id="rId11" cropleft="3478f" croptop="4562f" cropright="5857f" cropbottom="12891f" o:title=""/>
            <o:lock v:ext="edit" aspectratio="f"/>
            <w10:wrap type="none"/>
            <w10:anchorlock/>
          </v:shape>
          <o:OLEObject Type="Embed" ProgID="Visio.Drawing.15" ShapeID="_x0000_i1025" DrawAspect="Content" ObjectID="_1468075725" r:id="rId10">
            <o:LockedField>false</o:LockedField>
          </o:OLEObject>
        </w:object>
      </w:r>
    </w:p>
    <w:p w14:paraId="7AEF1122">
      <w:pPr>
        <w:pStyle w:val="31"/>
        <w:ind w:firstLine="420" w:firstLineChars="200"/>
        <w:rPr>
          <w:rFonts w:ascii="Times New Roman" w:hAnsi="Times New Roman"/>
          <w:color w:val="000000" w:themeColor="text1"/>
          <w14:textFill>
            <w14:solidFill>
              <w14:schemeClr w14:val="tx1"/>
            </w14:solidFill>
          </w14:textFill>
        </w:rPr>
      </w:pPr>
      <w:bookmarkStart w:id="41" w:name="_Hlk198798689"/>
      <w:r>
        <w:rPr>
          <w:rFonts w:ascii="Times New Roman" w:hAnsi="Times New Roman"/>
          <w:color w:val="000000" w:themeColor="text1"/>
          <w14:textFill>
            <w14:solidFill>
              <w14:schemeClr w14:val="tx1"/>
            </w14:solidFill>
          </w14:textFill>
        </w:rPr>
        <w:t>1）污染土壤进入土壤修复工厂前，确定污染物特征</w:t>
      </w:r>
      <w:r>
        <w:rPr>
          <w:rFonts w:hint="eastAsia" w:ascii="Times New Roman" w:hAnsi="Times New Roman"/>
          <w:color w:val="000000" w:themeColor="text1"/>
          <w14:textFill>
            <w14:solidFill>
              <w14:schemeClr w14:val="tx1"/>
            </w14:solidFill>
          </w14:textFill>
        </w:rPr>
        <w:t>，完成判别分类；</w:t>
      </w:r>
    </w:p>
    <w:p w14:paraId="40714BC6">
      <w:pPr>
        <w:pStyle w:val="31"/>
        <w:ind w:firstLine="420" w:firstLineChars="200"/>
        <w:rPr>
          <w:rFonts w:ascii="Times New Roman" w:hAnsi="Times New Roman"/>
        </w:rPr>
      </w:pPr>
      <w:r>
        <w:rPr>
          <w:rFonts w:ascii="Times New Roman" w:hAnsi="Times New Roman"/>
          <w:color w:val="000000" w:themeColor="text1"/>
          <w14:textFill>
            <w14:solidFill>
              <w14:schemeClr w14:val="tx1"/>
            </w14:solidFill>
          </w14:textFill>
        </w:rPr>
        <w:t>2）通过现场</w:t>
      </w:r>
      <w:r>
        <w:rPr>
          <w:rFonts w:hint="eastAsia" w:ascii="Times New Roman" w:hAnsi="Times New Roman"/>
          <w:color w:val="000000" w:themeColor="text1"/>
          <w14:textFill>
            <w14:solidFill>
              <w14:schemeClr w14:val="tx1"/>
            </w14:solidFill>
          </w14:textFill>
        </w:rPr>
        <w:t>中试</w:t>
      </w:r>
      <w:r>
        <w:rPr>
          <w:rFonts w:ascii="Times New Roman" w:hAnsi="Times New Roman"/>
          <w:color w:val="000000" w:themeColor="text1"/>
          <w14:textFill>
            <w14:solidFill>
              <w14:schemeClr w14:val="tx1"/>
            </w14:solidFill>
          </w14:textFill>
        </w:rPr>
        <w:t>试验，选择合适的修复技术、工艺</w:t>
      </w:r>
      <w:r>
        <w:rPr>
          <w:rFonts w:ascii="Times New Roman" w:hAnsi="Times New Roman"/>
        </w:rPr>
        <w:t>参数，</w:t>
      </w:r>
      <w:r>
        <w:rPr>
          <w:rFonts w:hint="eastAsia" w:ascii="Times New Roman" w:hAnsi="Times New Roman"/>
        </w:rPr>
        <w:t>优化施工</w:t>
      </w:r>
      <w:r>
        <w:rPr>
          <w:rFonts w:ascii="Times New Roman" w:hAnsi="Times New Roman"/>
        </w:rPr>
        <w:t>方案</w:t>
      </w:r>
      <w:r>
        <w:rPr>
          <w:rFonts w:hint="eastAsia" w:ascii="Times New Roman" w:hAnsi="Times New Roman"/>
        </w:rPr>
        <w:t>；</w:t>
      </w:r>
    </w:p>
    <w:p w14:paraId="5574BFAC">
      <w:pPr>
        <w:pStyle w:val="31"/>
        <w:ind w:firstLine="420" w:firstLineChars="200"/>
        <w:rPr>
          <w:rFonts w:ascii="Times New Roman" w:hAnsi="Times New Roman"/>
        </w:rPr>
      </w:pPr>
      <w:r>
        <w:rPr>
          <w:rFonts w:ascii="Times New Roman" w:hAnsi="Times New Roman"/>
        </w:rPr>
        <w:t>3）根据</w:t>
      </w:r>
      <w:r>
        <w:rPr>
          <w:rFonts w:hint="eastAsia" w:ascii="Times New Roman" w:hAnsi="Times New Roman"/>
        </w:rPr>
        <w:t>技术方案和施工</w:t>
      </w:r>
      <w:r>
        <w:rPr>
          <w:rFonts w:ascii="Times New Roman" w:hAnsi="Times New Roman"/>
        </w:rPr>
        <w:t>方案</w:t>
      </w:r>
      <w:r>
        <w:rPr>
          <w:rFonts w:hint="eastAsia" w:ascii="Times New Roman" w:hAnsi="Times New Roman"/>
        </w:rPr>
        <w:t>开展</w:t>
      </w:r>
      <w:r>
        <w:rPr>
          <w:rFonts w:ascii="Times New Roman" w:hAnsi="Times New Roman"/>
        </w:rPr>
        <w:t>现场</w:t>
      </w:r>
      <w:r>
        <w:rPr>
          <w:rFonts w:hint="eastAsia" w:ascii="Times New Roman" w:hAnsi="Times New Roman"/>
        </w:rPr>
        <w:t>修复</w:t>
      </w:r>
      <w:r>
        <w:rPr>
          <w:rFonts w:ascii="Times New Roman" w:hAnsi="Times New Roman"/>
        </w:rPr>
        <w:t>施工</w:t>
      </w:r>
      <w:r>
        <w:rPr>
          <w:rFonts w:hint="eastAsia" w:ascii="Times New Roman" w:hAnsi="Times New Roman"/>
        </w:rPr>
        <w:t>，针对修复全过程实施过程监控；</w:t>
      </w:r>
    </w:p>
    <w:p w14:paraId="7AEA1407">
      <w:pPr>
        <w:pStyle w:val="31"/>
        <w:ind w:firstLine="420" w:firstLineChars="200"/>
        <w:jc w:val="left"/>
        <w:rPr>
          <w:rFonts w:ascii="Times New Roman" w:hAnsi="Times New Roman"/>
        </w:rPr>
      </w:pPr>
      <w:r>
        <w:rPr>
          <w:rFonts w:ascii="Times New Roman" w:hAnsi="Times New Roman"/>
        </w:rPr>
        <w:t>4）修复后</w:t>
      </w:r>
      <w:r>
        <w:rPr>
          <w:rFonts w:hint="eastAsia" w:ascii="Times New Roman" w:hAnsi="Times New Roman"/>
        </w:rPr>
        <w:t>的</w:t>
      </w:r>
      <w:r>
        <w:rPr>
          <w:rFonts w:ascii="Times New Roman" w:hAnsi="Times New Roman"/>
        </w:rPr>
        <w:t>土壤</w:t>
      </w:r>
      <w:r>
        <w:rPr>
          <w:rFonts w:hint="eastAsia" w:ascii="Times New Roman" w:hAnsi="Times New Roman"/>
        </w:rPr>
        <w:t>先</w:t>
      </w:r>
      <w:r>
        <w:rPr>
          <w:rFonts w:ascii="Times New Roman" w:hAnsi="Times New Roman"/>
        </w:rPr>
        <w:t>自检</w:t>
      </w:r>
      <w:r>
        <w:rPr>
          <w:rFonts w:hint="eastAsia" w:ascii="Times New Roman" w:hAnsi="Times New Roman"/>
        </w:rPr>
        <w:t>，自检</w:t>
      </w:r>
      <w:r>
        <w:rPr>
          <w:rFonts w:ascii="Times New Roman" w:hAnsi="Times New Roman"/>
        </w:rPr>
        <w:t>合格后由</w:t>
      </w:r>
      <w:r>
        <w:rPr>
          <w:rFonts w:ascii="Times New Roman" w:hAnsi="Times New Roman"/>
          <w:highlight w:val="none"/>
        </w:rPr>
        <w:t>效果评估单位</w:t>
      </w:r>
      <w:r>
        <w:rPr>
          <w:rFonts w:ascii="Times New Roman" w:hAnsi="Times New Roman"/>
        </w:rPr>
        <w:t>验收，验收合格的土壤按设计要求处理处置。</w:t>
      </w:r>
    </w:p>
    <w:bookmarkEnd w:id="41"/>
    <w:p w14:paraId="4FD8095B">
      <w:pPr>
        <w:pStyle w:val="4"/>
        <w:ind w:firstLine="0" w:firstLineChars="0"/>
      </w:pPr>
      <w:bookmarkStart w:id="42" w:name="_Toc24787"/>
      <w:r>
        <w:rPr>
          <w:rFonts w:hint="eastAsia"/>
        </w:rPr>
        <w:t>5.1.3 技术路线</w:t>
      </w:r>
      <w:bookmarkEnd w:id="42"/>
    </w:p>
    <w:p w14:paraId="4548ADBC">
      <w:pPr>
        <w:pStyle w:val="31"/>
        <w:ind w:firstLine="420" w:firstLineChars="200"/>
        <w:rPr>
          <w:rFonts w:ascii="Times New Roman" w:hAnsi="Times New Roman"/>
        </w:rPr>
      </w:pPr>
      <w:bookmarkStart w:id="43" w:name="_Hlk198798732"/>
      <w:r>
        <w:rPr>
          <w:rFonts w:ascii="Times New Roman" w:hAnsi="Times New Roman"/>
        </w:rPr>
        <w:t>修复工厂</w:t>
      </w:r>
      <w:r>
        <w:rPr>
          <w:rFonts w:hint="eastAsia" w:ascii="Times New Roman" w:hAnsi="Times New Roman"/>
        </w:rPr>
        <w:t>应</w:t>
      </w:r>
      <w:r>
        <w:rPr>
          <w:rFonts w:ascii="Times New Roman" w:hAnsi="Times New Roman"/>
        </w:rPr>
        <w:t>针对</w:t>
      </w:r>
      <w:r>
        <w:rPr>
          <w:rFonts w:hint="eastAsia" w:ascii="Times New Roman" w:hAnsi="Times New Roman"/>
        </w:rPr>
        <w:t>污染土壤类型，</w:t>
      </w:r>
      <w:r>
        <w:rPr>
          <w:rFonts w:ascii="Times New Roman" w:hAnsi="Times New Roman"/>
        </w:rPr>
        <w:t>拟定</w:t>
      </w:r>
      <w:r>
        <w:rPr>
          <w:rFonts w:hint="eastAsia" w:ascii="Times New Roman" w:hAnsi="Times New Roman"/>
        </w:rPr>
        <w:t>下列</w:t>
      </w:r>
      <w:r>
        <w:rPr>
          <w:rFonts w:ascii="Times New Roman" w:hAnsi="Times New Roman"/>
        </w:rPr>
        <w:t>修复技术路线：</w:t>
      </w:r>
    </w:p>
    <w:p w14:paraId="103DE150">
      <w:pPr>
        <w:pStyle w:val="31"/>
        <w:ind w:firstLine="420" w:firstLineChars="200"/>
        <w:rPr>
          <w:rFonts w:ascii="Times New Roman" w:hAnsi="Times New Roman"/>
        </w:rPr>
      </w:pPr>
      <w:r>
        <w:rPr>
          <w:rFonts w:ascii="Times New Roman" w:hAnsi="Times New Roman"/>
        </w:rPr>
        <w:t>1）重金属污染土壤采用淋洗修复技术；</w:t>
      </w:r>
    </w:p>
    <w:p w14:paraId="30F97B1A">
      <w:pPr>
        <w:pStyle w:val="31"/>
        <w:ind w:firstLine="420" w:firstLineChars="200"/>
        <w:rPr>
          <w:rFonts w:hint="eastAsia"/>
        </w:rPr>
      </w:pPr>
      <w:r>
        <w:rPr>
          <w:rFonts w:ascii="Times New Roman" w:hAnsi="Times New Roman"/>
        </w:rPr>
        <w:t>2）有机污染土壤修复技术选择</w:t>
      </w:r>
      <w:r>
        <w:rPr>
          <w:rFonts w:hint="eastAsia" w:ascii="Times New Roman" w:hAnsi="Times New Roman"/>
        </w:rPr>
        <w:t>按</w:t>
      </w:r>
      <w:r>
        <w:rPr>
          <w:rFonts w:ascii="Times New Roman" w:hAnsi="Times New Roman"/>
        </w:rPr>
        <w:t>污染物种类及浓度确定。超标10倍以上的高浓度有机污染土壤采用热脱附修复技术；超标2-10倍的中浓度挥发性有机污染土壤和超标10倍以内中</w:t>
      </w:r>
      <w:r>
        <w:rPr>
          <w:rFonts w:hint="eastAsia" w:ascii="Times New Roman" w:hAnsi="Times New Roman"/>
        </w:rPr>
        <w:t>、低</w:t>
      </w:r>
      <w:r>
        <w:rPr>
          <w:rFonts w:ascii="Times New Roman" w:hAnsi="Times New Roman"/>
        </w:rPr>
        <w:t>浓度半挥发性有机污染土壤采用化学修复技术；超标2倍以内的低浓度挥发性有机污染土壤采用常温解吸修复技术；</w:t>
      </w:r>
    </w:p>
    <w:p w14:paraId="6DF46165">
      <w:pPr>
        <w:pStyle w:val="31"/>
        <w:ind w:firstLine="420" w:firstLineChars="200"/>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3</w:t>
      </w:r>
      <w:r>
        <w:rPr>
          <w:rFonts w:ascii="Times New Roman" w:hAnsi="Times New Roman"/>
          <w:color w:val="000000" w:themeColor="text1"/>
          <w14:textFill>
            <w14:solidFill>
              <w14:schemeClr w14:val="tx1"/>
            </w14:solidFill>
          </w14:textFill>
        </w:rPr>
        <w:t>）重金属和有机复合污染土壤</w:t>
      </w:r>
      <w:r>
        <w:rPr>
          <w:rFonts w:hint="eastAsia" w:ascii="Times New Roman" w:hAnsi="Times New Roman"/>
          <w:color w:val="000000" w:themeColor="text1"/>
          <w14:textFill>
            <w14:solidFill>
              <w14:schemeClr w14:val="tx1"/>
            </w14:solidFill>
          </w14:textFill>
        </w:rPr>
        <w:t>分步修复，修复步骤按污染情况及小试、中试结果确定；</w:t>
      </w:r>
    </w:p>
    <w:p w14:paraId="53494E6F">
      <w:pPr>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4）</w:t>
      </w:r>
      <w:r>
        <w:rPr>
          <w:color w:val="000000" w:themeColor="text1"/>
          <w14:textFill>
            <w14:solidFill>
              <w14:schemeClr w14:val="tx1"/>
            </w14:solidFill>
          </w14:textFill>
        </w:rPr>
        <w:t>小试通过实验室批次试验确定关键参数区间，中试通过现场连续或半连续</w:t>
      </w:r>
      <w:r>
        <w:rPr>
          <w:rFonts w:hint="eastAsia"/>
        </w:rPr>
        <w:t>放大试验验证</w:t>
      </w:r>
      <w:r>
        <w:rPr>
          <w:color w:val="000000" w:themeColor="text1"/>
          <w14:textFill>
            <w14:solidFill>
              <w14:schemeClr w14:val="tx1"/>
            </w14:solidFill>
          </w14:textFill>
        </w:rPr>
        <w:t>关键参数。</w:t>
      </w:r>
    </w:p>
    <w:bookmarkEnd w:id="43"/>
    <w:p w14:paraId="3EE52675">
      <w:pPr>
        <w:pStyle w:val="4"/>
        <w:ind w:left="0" w:leftChars="0" w:firstLine="0" w:firstLineChars="0"/>
        <w:rPr>
          <w:rFonts w:hint="default" w:eastAsia="黑体"/>
          <w:szCs w:val="22"/>
          <w:lang w:val="en-US" w:eastAsia="zh-CN"/>
        </w:rPr>
      </w:pPr>
      <w:bookmarkStart w:id="44" w:name="_Toc31069"/>
      <w:r>
        <w:rPr>
          <w:szCs w:val="22"/>
        </w:rPr>
        <w:t xml:space="preserve">5.1.4 </w:t>
      </w:r>
      <w:r>
        <w:rPr>
          <w:rFonts w:eastAsia="黑体"/>
          <w:szCs w:val="22"/>
        </w:rPr>
        <w:t>土壤</w:t>
      </w:r>
      <w:r>
        <w:rPr>
          <w:rFonts w:hint="eastAsia"/>
          <w:szCs w:val="22"/>
          <w:lang w:val="en-US" w:eastAsia="zh-CN"/>
        </w:rPr>
        <w:t>利用方式</w:t>
      </w:r>
      <w:bookmarkEnd w:id="44"/>
    </w:p>
    <w:p w14:paraId="52F7B265">
      <w:pPr>
        <w:spacing w:line="240" w:lineRule="auto"/>
        <w:ind w:firstLine="420" w:firstLineChars="200"/>
        <w:rPr>
          <w:rFonts w:hint="eastAsia" w:ascii="Times New Roman" w:hAnsi="Times New Roman" w:eastAsia="宋体" w:cs="Times New Roman"/>
          <w:lang w:eastAsia="zh-CN"/>
        </w:rPr>
      </w:pPr>
      <w:bookmarkStart w:id="45" w:name="_Hlk198798779"/>
      <w:r>
        <w:rPr>
          <w:rFonts w:hint="eastAsia" w:ascii="Times New Roman" w:hAnsi="Times New Roman" w:cs="Times New Roman"/>
          <w:color w:val="000000" w:themeColor="text1"/>
          <w:lang w:eastAsia="zh-CN"/>
          <w14:textFill>
            <w14:solidFill>
              <w14:schemeClr w14:val="tx1"/>
            </w14:solidFill>
          </w14:textFill>
        </w:rPr>
        <w:t>经修复后的土壤</w:t>
      </w:r>
      <w:r>
        <w:rPr>
          <w:rFonts w:hint="eastAsia" w:cs="Times New Roman"/>
          <w:color w:val="000000" w:themeColor="text1"/>
          <w:lang w:val="en-US" w:eastAsia="zh-CN"/>
          <w14:textFill>
            <w14:solidFill>
              <w14:schemeClr w14:val="tx1"/>
            </w14:solidFill>
          </w14:textFill>
        </w:rPr>
        <w:t>可</w:t>
      </w:r>
      <w:r>
        <w:rPr>
          <w:rFonts w:hint="eastAsia" w:ascii="Times New Roman" w:hAnsi="Times New Roman" w:cs="Times New Roman"/>
          <w:color w:val="000000" w:themeColor="text1"/>
          <w:lang w:eastAsia="zh-CN"/>
          <w14:textFill>
            <w14:solidFill>
              <w14:schemeClr w14:val="tx1"/>
            </w14:solidFill>
          </w14:textFill>
        </w:rPr>
        <w:t>直接用于原场地回填、道路路基回填、绿化中层覆土等场景，也</w:t>
      </w:r>
      <w:r>
        <w:rPr>
          <w:rFonts w:hint="eastAsia" w:cs="Times New Roman"/>
          <w:color w:val="000000" w:themeColor="text1"/>
          <w:lang w:val="en-US" w:eastAsia="zh-CN"/>
          <w14:textFill>
            <w14:solidFill>
              <w14:schemeClr w14:val="tx1"/>
            </w14:solidFill>
          </w14:textFill>
        </w:rPr>
        <w:t>进行</w:t>
      </w:r>
      <w:r>
        <w:rPr>
          <w:rFonts w:hint="eastAsia" w:ascii="Times New Roman" w:hAnsi="Times New Roman" w:cs="Times New Roman"/>
          <w:color w:val="000000" w:themeColor="text1"/>
          <w:lang w:val="en-US" w:eastAsia="zh-CN"/>
          <w14:textFill>
            <w14:solidFill>
              <w14:schemeClr w14:val="tx1"/>
            </w14:solidFill>
          </w14:textFill>
        </w:rPr>
        <w:t>资源化</w:t>
      </w:r>
      <w:r>
        <w:rPr>
          <w:rFonts w:hint="eastAsia" w:cs="Times New Roman"/>
          <w:color w:val="000000" w:themeColor="text1"/>
          <w:lang w:val="en-US" w:eastAsia="zh-CN"/>
          <w14:textFill>
            <w14:solidFill>
              <w14:schemeClr w14:val="tx1"/>
            </w14:solidFill>
          </w14:textFill>
        </w:rPr>
        <w:t>利用</w:t>
      </w:r>
      <w:r>
        <w:rPr>
          <w:rFonts w:hint="eastAsia" w:ascii="Times New Roman" w:hAnsi="Times New Roman" w:cs="Times New Roman"/>
          <w:color w:val="000000" w:themeColor="text1"/>
          <w:lang w:val="en-US" w:eastAsia="zh-CN"/>
          <w14:textFill>
            <w14:solidFill>
              <w14:schemeClr w14:val="tx1"/>
            </w14:solidFill>
          </w14:textFill>
        </w:rPr>
        <w:t>，</w:t>
      </w:r>
      <w:r>
        <w:rPr>
          <w:rFonts w:hint="eastAsia" w:cs="Times New Roman"/>
          <w:color w:val="000000" w:themeColor="text1"/>
          <w:lang w:val="en-US" w:eastAsia="zh-CN"/>
          <w14:textFill>
            <w14:solidFill>
              <w14:schemeClr w14:val="tx1"/>
            </w14:solidFill>
          </w14:textFill>
        </w:rPr>
        <w:t>改良</w:t>
      </w:r>
      <w:r>
        <w:rPr>
          <w:rFonts w:hint="eastAsia" w:ascii="Times New Roman" w:hAnsi="Times New Roman" w:cs="Times New Roman"/>
          <w:color w:val="000000" w:themeColor="text1"/>
          <w:lang w:val="en-US" w:eastAsia="zh-CN"/>
          <w14:textFill>
            <w14:solidFill>
              <w14:schemeClr w14:val="tx1"/>
            </w14:solidFill>
          </w14:textFill>
        </w:rPr>
        <w:t>为绿化种植土、营养土，或制备建材。</w:t>
      </w:r>
    </w:p>
    <w:bookmarkEnd w:id="45"/>
    <w:p w14:paraId="15C44746">
      <w:pPr>
        <w:pStyle w:val="3"/>
        <w:numPr>
          <w:ilvl w:val="1"/>
          <w:numId w:val="0"/>
        </w:numPr>
        <w:rPr>
          <w:rFonts w:ascii="黑体" w:hAnsi="黑体" w:cs="黑体"/>
          <w:bCs w:val="0"/>
        </w:rPr>
      </w:pPr>
      <w:bookmarkStart w:id="46" w:name="_Toc8052"/>
      <w:r>
        <w:rPr>
          <w:rFonts w:cs="Times New Roman"/>
          <w:bCs w:val="0"/>
        </w:rPr>
        <w:t>5.2</w:t>
      </w:r>
      <w:r>
        <w:rPr>
          <w:rFonts w:hint="eastAsia" w:cs="Times New Roman"/>
          <w:bCs w:val="0"/>
          <w:lang w:val="en-US" w:eastAsia="zh-CN"/>
        </w:rPr>
        <w:t xml:space="preserve"> </w:t>
      </w:r>
      <w:r>
        <w:rPr>
          <w:rFonts w:hint="eastAsia" w:ascii="黑体" w:hAnsi="黑体" w:cs="黑体"/>
          <w:bCs w:val="0"/>
        </w:rPr>
        <w:t>设计</w:t>
      </w:r>
      <w:bookmarkEnd w:id="46"/>
    </w:p>
    <w:p w14:paraId="27486408">
      <w:pPr>
        <w:pStyle w:val="4"/>
        <w:ind w:firstLine="0" w:firstLineChars="0"/>
      </w:pPr>
      <w:bookmarkStart w:id="47" w:name="_Toc18496"/>
      <w:r>
        <w:rPr>
          <w:rFonts w:hint="eastAsia"/>
        </w:rPr>
        <w:t>5.2.1 一般规定</w:t>
      </w:r>
      <w:bookmarkEnd w:id="47"/>
    </w:p>
    <w:p w14:paraId="65253E81">
      <w:pPr>
        <w:widowControl/>
        <w:spacing w:line="288" w:lineRule="auto"/>
        <w:jc w:val="left"/>
        <w:rPr>
          <w:lang w:bidi="ar"/>
        </w:rPr>
      </w:pPr>
      <w:r>
        <w:rPr>
          <w:rFonts w:hint="eastAsia"/>
          <w:lang w:bidi="ar"/>
        </w:rPr>
        <w:t xml:space="preserve">5.2.1.1 </w:t>
      </w:r>
      <w:r>
        <w:rPr>
          <w:rFonts w:hint="eastAsia" w:cs="宋体"/>
        </w:rPr>
        <w:t>土壤修复工厂设计包括</w:t>
      </w:r>
      <w:r>
        <w:rPr>
          <w:rFonts w:hint="eastAsia"/>
          <w:lang w:bidi="ar"/>
        </w:rPr>
        <w:t>主体工程、辅助工程和配套设施，分区布置，主体工程和辅助工程应衔接便利。</w:t>
      </w:r>
    </w:p>
    <w:p w14:paraId="60DBC1D0">
      <w:pPr>
        <w:rPr>
          <w:lang w:bidi="ar"/>
        </w:rPr>
      </w:pPr>
      <w:r>
        <w:rPr>
          <w:rFonts w:hint="eastAsia"/>
          <w:lang w:bidi="ar"/>
        </w:rPr>
        <w:t>5.2.1.2 污染防治设施应与主体工程同步设计。</w:t>
      </w:r>
      <w:r>
        <w:rPr>
          <w:rFonts w:hint="eastAsia"/>
          <w:highlight w:val="none"/>
          <w:lang w:val="en-US" w:eastAsia="zh-CN"/>
        </w:rPr>
        <w:t>污染防治设置包括负压密闭空间、废气处理实施、废水处理设施、危废仓库等。</w:t>
      </w:r>
    </w:p>
    <w:p w14:paraId="682A665F">
      <w:pPr>
        <w:widowControl/>
        <w:spacing w:line="288" w:lineRule="auto"/>
        <w:jc w:val="left"/>
        <w:rPr>
          <w:rFonts w:hint="default" w:ascii="Times New Roman" w:hAnsi="Times New Roman" w:cs="Times New Roman"/>
          <w:lang w:bidi="ar"/>
        </w:rPr>
      </w:pPr>
      <w:r>
        <w:rPr>
          <w:rFonts w:hint="default" w:ascii="Times New Roman" w:hAnsi="Times New Roman" w:cs="Times New Roman"/>
          <w:lang w:bidi="ar"/>
        </w:rPr>
        <w:t>5.2.1.3 公用设计符合下列规定：</w:t>
      </w:r>
    </w:p>
    <w:p w14:paraId="3DA64BFD">
      <w:pPr>
        <w:widowControl/>
        <w:spacing w:line="288" w:lineRule="auto"/>
        <w:ind w:firstLine="420" w:firstLineChars="200"/>
        <w:jc w:val="left"/>
        <w:rPr>
          <w:rFonts w:hint="default" w:ascii="Times New Roman" w:hAnsi="Times New Roman" w:eastAsia="宋体" w:cs="Times New Roman"/>
          <w:lang w:bidi="ar"/>
        </w:rPr>
      </w:pPr>
      <w:r>
        <w:rPr>
          <w:rFonts w:hint="default" w:ascii="Times New Roman" w:hAnsi="Times New Roman" w:eastAsia="宋体" w:cs="Times New Roman"/>
          <w:lang w:bidi="ar"/>
        </w:rPr>
        <w:t>1）电气系统用电负荷为AC 380/220V，高压配电装置、继电保护、安全自动装置、过电压保护和接地、照明设计等符合GB 50052、GB/T 14285、GB 50065、DL/T 620、GB 50034、GB 50054的规定。电加热设备符合 GB/T 10067的规定；</w:t>
      </w:r>
    </w:p>
    <w:p w14:paraId="2FBDFDF5">
      <w:pPr>
        <w:widowControl/>
        <w:spacing w:line="288" w:lineRule="auto"/>
        <w:ind w:firstLine="420" w:firstLineChars="200"/>
        <w:jc w:val="left"/>
        <w:rPr>
          <w:rFonts w:hint="default" w:ascii="Times New Roman" w:hAnsi="Times New Roman" w:eastAsia="宋体" w:cs="Times New Roman"/>
          <w:lang w:eastAsia="zh-CN" w:bidi="ar"/>
        </w:rPr>
      </w:pPr>
      <w:r>
        <w:rPr>
          <w:rFonts w:hint="default" w:ascii="Times New Roman" w:hAnsi="Times New Roman" w:eastAsia="宋体" w:cs="Times New Roman"/>
          <w:lang w:bidi="ar"/>
        </w:rPr>
        <w:t>2）燃气贮存及供给符合 GB 50028的规定；有防尘防爆要求的空间符合GB 50058的规定</w:t>
      </w:r>
      <w:r>
        <w:rPr>
          <w:rFonts w:hint="default" w:ascii="Times New Roman" w:hAnsi="Times New Roman" w:eastAsia="宋体" w:cs="Times New Roman"/>
          <w:lang w:eastAsia="zh-CN" w:bidi="ar"/>
        </w:rPr>
        <w:t>；</w:t>
      </w:r>
    </w:p>
    <w:p w14:paraId="26C459B3">
      <w:pPr>
        <w:widowControl/>
        <w:spacing w:line="288" w:lineRule="auto"/>
        <w:ind w:firstLine="420" w:firstLineChars="200"/>
        <w:jc w:val="left"/>
        <w:rPr>
          <w:rFonts w:hint="default" w:ascii="Times New Roman" w:hAnsi="Times New Roman" w:eastAsia="宋体" w:cs="Times New Roman"/>
          <w:lang w:eastAsia="zh-CN" w:bidi="ar"/>
        </w:rPr>
      </w:pPr>
      <w:r>
        <w:rPr>
          <w:rFonts w:hint="default" w:ascii="Times New Roman" w:hAnsi="Times New Roman" w:eastAsia="宋体" w:cs="Times New Roman"/>
          <w:lang w:bidi="ar"/>
        </w:rPr>
        <w:t>3）给排水及消防设计符合 GB 50013 和 GB 50015 的规定</w:t>
      </w:r>
      <w:r>
        <w:rPr>
          <w:rFonts w:hint="default" w:ascii="Times New Roman" w:hAnsi="Times New Roman" w:eastAsia="宋体" w:cs="Times New Roman"/>
          <w:lang w:eastAsia="zh-CN" w:bidi="ar"/>
        </w:rPr>
        <w:t>；</w:t>
      </w:r>
    </w:p>
    <w:p w14:paraId="55B1FC9F">
      <w:pPr>
        <w:widowControl/>
        <w:spacing w:line="288" w:lineRule="auto"/>
        <w:ind w:firstLine="420" w:firstLineChars="200"/>
        <w:jc w:val="left"/>
        <w:rPr>
          <w:rFonts w:hint="default" w:ascii="Times New Roman" w:hAnsi="Times New Roman" w:eastAsia="宋体" w:cs="Times New Roman"/>
          <w:lang w:bidi="ar"/>
        </w:rPr>
      </w:pPr>
      <w:r>
        <w:rPr>
          <w:rFonts w:hint="default" w:ascii="Times New Roman" w:hAnsi="Times New Roman" w:eastAsia="宋体" w:cs="Times New Roman"/>
          <w:lang w:bidi="ar"/>
        </w:rPr>
        <w:t xml:space="preserve">4）采暖通风与空气调节设计符合GB 50019的规定。 </w:t>
      </w:r>
    </w:p>
    <w:p w14:paraId="212B4005">
      <w:pPr>
        <w:spacing w:line="288" w:lineRule="auto"/>
        <w:rPr>
          <w:rFonts w:hint="default" w:ascii="Times New Roman" w:hAnsi="Times New Roman" w:cs="Times New Roman"/>
          <w:highlight w:val="yellow"/>
        </w:rPr>
      </w:pPr>
      <w:r>
        <w:rPr>
          <w:rFonts w:hint="default" w:ascii="Times New Roman" w:hAnsi="Times New Roman" w:cs="Times New Roman"/>
          <w:lang w:bidi="ar"/>
        </w:rPr>
        <w:t xml:space="preserve">5.2.1.4 </w:t>
      </w:r>
      <w:r>
        <w:rPr>
          <w:rFonts w:hint="default" w:ascii="Times New Roman" w:hAnsi="Times New Roman" w:cs="Times New Roman"/>
        </w:rPr>
        <w:t>修复区域地面采用防渗结构，采用硬化防渗地坪时，采用结构设计：</w:t>
      </w:r>
    </w:p>
    <w:p w14:paraId="7F59561A">
      <w:pPr>
        <w:numPr>
          <w:ilvl w:val="0"/>
          <w:numId w:val="0"/>
        </w:numPr>
        <w:spacing w:line="288" w:lineRule="auto"/>
        <w:ind w:firstLine="420" w:firstLineChars="200"/>
        <w:jc w:val="both"/>
        <w:rPr>
          <w:rFonts w:hint="default" w:ascii="Times New Roman" w:hAnsi="Times New Roman" w:eastAsia="宋体" w:cs="Times New Roman"/>
        </w:rPr>
      </w:pPr>
      <w:r>
        <w:rPr>
          <w:rFonts w:hint="default" w:ascii="Times New Roman" w:hAnsi="Times New Roman" w:cs="Times New Roman"/>
          <w:lang w:val="en-US" w:eastAsia="zh-CN"/>
        </w:rPr>
        <w:t>1）</w:t>
      </w:r>
      <w:r>
        <w:rPr>
          <w:rFonts w:hint="default" w:ascii="Times New Roman" w:hAnsi="Times New Roman" w:eastAsia="宋体" w:cs="Times New Roman"/>
        </w:rPr>
        <w:t>地坪结构从下到上为垫层、土工布、高密度聚乙烯膜（HDPE）、土工布、混凝土层；</w:t>
      </w:r>
    </w:p>
    <w:p w14:paraId="47938904">
      <w:pPr>
        <w:ind w:firstLine="420" w:firstLineChars="200"/>
        <w:rPr>
          <w:rFonts w:hint="default" w:ascii="Times New Roman" w:hAnsi="Times New Roman" w:eastAsia="宋体" w:cs="Times New Roman"/>
          <w:szCs w:val="22"/>
        </w:rPr>
      </w:pPr>
      <w:r>
        <w:rPr>
          <w:rFonts w:hint="default" w:ascii="Times New Roman" w:hAnsi="Times New Roman" w:eastAsia="宋体" w:cs="Times New Roman"/>
          <w:szCs w:val="22"/>
        </w:rPr>
        <w:t>【说明】底部采用HDPE膜，上面铺设一层土工布，保护下层防渗结构，土工布上浇筑混凝土，进一步提高防渗效果，并硬化地坪，便于施工。</w:t>
      </w:r>
    </w:p>
    <w:p w14:paraId="214920A7">
      <w:pPr>
        <w:spacing w:line="288" w:lineRule="auto"/>
        <w:ind w:left="454"/>
        <w:rPr>
          <w:rFonts w:hint="default" w:ascii="Times New Roman" w:hAnsi="Times New Roman" w:eastAsia="宋体" w:cs="Times New Roman"/>
        </w:rPr>
      </w:pPr>
      <w:r>
        <w:rPr>
          <w:rFonts w:hint="default" w:ascii="Times New Roman" w:hAnsi="Times New Roman" w:eastAsia="宋体" w:cs="Times New Roman"/>
        </w:rPr>
        <w:t>2）垫层厚度不小于60mm，垫层坚实、平整；</w:t>
      </w:r>
    </w:p>
    <w:p w14:paraId="5C500A22">
      <w:pPr>
        <w:pStyle w:val="7"/>
        <w:ind w:firstLine="420" w:firstLineChars="200"/>
        <w:rPr>
          <w:rFonts w:hint="default" w:ascii="Times New Roman" w:hAnsi="Times New Roman" w:eastAsia="宋体" w:cs="Times New Roman"/>
          <w:lang w:bidi="ar"/>
        </w:rPr>
      </w:pPr>
      <w:r>
        <w:rPr>
          <w:rFonts w:hint="default" w:ascii="Times New Roman" w:hAnsi="Times New Roman" w:eastAsia="宋体" w:cs="Times New Roman"/>
          <w:lang w:bidi="ar"/>
        </w:rPr>
        <w:t>【说明】《建筑地面设计规范》（GB50037-2013）和经验值。</w:t>
      </w:r>
    </w:p>
    <w:p w14:paraId="0D766E3A">
      <w:pPr>
        <w:spacing w:line="288" w:lineRule="auto"/>
        <w:ind w:left="454"/>
        <w:jc w:val="left"/>
        <w:rPr>
          <w:rFonts w:hint="default" w:ascii="Times New Roman" w:hAnsi="Times New Roman" w:eastAsia="宋体" w:cs="Times New Roman"/>
        </w:rPr>
      </w:pPr>
      <w:r>
        <w:rPr>
          <w:rFonts w:hint="default" w:ascii="Times New Roman" w:hAnsi="Times New Roman" w:eastAsia="宋体" w:cs="Times New Roman"/>
        </w:rPr>
        <w:t>3）土工布 采用非织造土工布且规格不小于600g/m</w:t>
      </w:r>
      <w:r>
        <w:rPr>
          <w:rFonts w:hint="default" w:ascii="Times New Roman" w:hAnsi="Times New Roman" w:eastAsia="宋体" w:cs="Times New Roman"/>
          <w:vertAlign w:val="superscript"/>
        </w:rPr>
        <w:t>2</w:t>
      </w:r>
      <w:r>
        <w:rPr>
          <w:rFonts w:hint="default" w:ascii="Times New Roman" w:hAnsi="Times New Roman" w:eastAsia="宋体" w:cs="Times New Roman"/>
        </w:rPr>
        <w:t>；</w:t>
      </w:r>
    </w:p>
    <w:p w14:paraId="7D78F2AB">
      <w:pPr>
        <w:ind w:firstLine="420" w:firstLineChars="200"/>
        <w:jc w:val="left"/>
        <w:rPr>
          <w:rFonts w:hint="default" w:ascii="Times New Roman" w:hAnsi="Times New Roman" w:eastAsia="宋体" w:cs="Times New Roman"/>
        </w:rPr>
      </w:pPr>
      <w:r>
        <w:rPr>
          <w:rFonts w:hint="default" w:ascii="Times New Roman" w:hAnsi="Times New Roman" w:eastAsia="宋体" w:cs="Times New Roman"/>
        </w:rPr>
        <w:t>【说明】</w:t>
      </w:r>
      <w:r>
        <w:rPr>
          <w:rFonts w:hint="default" w:ascii="Times New Roman" w:hAnsi="Times New Roman" w:eastAsia="宋体" w:cs="Times New Roman"/>
          <w:color w:val="000000"/>
          <w:szCs w:val="21"/>
          <w:shd w:val="clear" w:color="auto" w:fill="FFFFFF"/>
        </w:rPr>
        <w:t>《生活垃圾卫生填埋场防渗系统工程技术标准》（GB/T51403-2021）和</w:t>
      </w:r>
      <w:r>
        <w:rPr>
          <w:rFonts w:hint="default" w:ascii="Times New Roman" w:hAnsi="Times New Roman" w:eastAsia="宋体" w:cs="Times New Roman"/>
          <w:szCs w:val="21"/>
          <w:shd w:val="clear" w:color="auto" w:fill="FFFFFF"/>
        </w:rPr>
        <w:t>经验值。</w:t>
      </w:r>
    </w:p>
    <w:p w14:paraId="136F6C75">
      <w:pPr>
        <w:spacing w:line="288" w:lineRule="auto"/>
        <w:ind w:left="454"/>
        <w:rPr>
          <w:rFonts w:hint="default" w:ascii="Times New Roman" w:hAnsi="Times New Roman" w:eastAsia="宋体" w:cs="Times New Roman"/>
        </w:rPr>
      </w:pPr>
      <w:r>
        <w:rPr>
          <w:rFonts w:hint="default" w:ascii="Times New Roman" w:hAnsi="Times New Roman" w:eastAsia="宋体" w:cs="Times New Roman"/>
        </w:rPr>
        <w:t>4）HDPE膜厚度不应小于1.5mm；</w:t>
      </w:r>
    </w:p>
    <w:p w14:paraId="57C6F127">
      <w:pPr>
        <w:ind w:firstLine="420" w:firstLineChars="200"/>
        <w:rPr>
          <w:rFonts w:hint="default" w:ascii="Times New Roman" w:hAnsi="Times New Roman" w:eastAsia="宋体" w:cs="Times New Roman"/>
          <w:szCs w:val="21"/>
          <w:shd w:val="clear" w:color="auto" w:fill="FFFFFF"/>
        </w:rPr>
      </w:pPr>
      <w:r>
        <w:rPr>
          <w:rFonts w:hint="default" w:ascii="Times New Roman" w:hAnsi="Times New Roman" w:eastAsia="宋体" w:cs="Times New Roman"/>
        </w:rPr>
        <w:t>【说明】</w:t>
      </w:r>
      <w:r>
        <w:rPr>
          <w:rFonts w:hint="default" w:ascii="Times New Roman" w:hAnsi="Times New Roman" w:eastAsia="宋体" w:cs="Times New Roman"/>
          <w:szCs w:val="21"/>
          <w:shd w:val="clear" w:color="auto" w:fill="FFFFFF"/>
        </w:rPr>
        <w:t>《生活垃圾处理处置工程项目规范》（GB 55012-2021）和经验值。</w:t>
      </w:r>
    </w:p>
    <w:p w14:paraId="28799C3D">
      <w:pPr>
        <w:ind w:firstLine="420" w:firstLineChars="200"/>
        <w:rPr>
          <w:rFonts w:hint="default" w:ascii="Times New Roman" w:hAnsi="Times New Roman" w:eastAsia="宋体" w:cs="Times New Roman"/>
        </w:rPr>
      </w:pPr>
      <w:r>
        <w:rPr>
          <w:rFonts w:hint="default" w:ascii="Times New Roman" w:hAnsi="Times New Roman" w:cs="Times New Roman"/>
          <w:lang w:val="en-US" w:eastAsia="zh-CN"/>
        </w:rPr>
        <w:t>5</w:t>
      </w:r>
      <w:r>
        <w:rPr>
          <w:rFonts w:hint="default" w:ascii="Times New Roman" w:hAnsi="Times New Roman" w:eastAsia="宋体" w:cs="Times New Roman"/>
        </w:rPr>
        <w:t>）混凝土层厚度不应小于300 mm，采用石子粗骨料，最大颗粒粒径不大于混凝土层厚度的2/3，强度等级不小于C20。</w:t>
      </w:r>
    </w:p>
    <w:p w14:paraId="082C746E">
      <w:pPr>
        <w:spacing w:line="288" w:lineRule="auto"/>
        <w:ind w:left="454"/>
        <w:rPr>
          <w:rFonts w:hint="default" w:ascii="Times New Roman" w:hAnsi="Times New Roman" w:eastAsia="宋体" w:cs="Times New Roman"/>
          <w:lang w:eastAsia="zh-CN"/>
        </w:rPr>
      </w:pPr>
      <w:r>
        <w:rPr>
          <w:rFonts w:hint="default" w:ascii="Times New Roman" w:hAnsi="Times New Roman" w:eastAsia="宋体" w:cs="Times New Roman"/>
        </w:rPr>
        <w:t>【说明】《混凝土结构设计规范》（GB50010-2010）和经验值</w:t>
      </w:r>
      <w:r>
        <w:rPr>
          <w:rFonts w:hint="default" w:ascii="Times New Roman" w:hAnsi="Times New Roman" w:cs="Times New Roman"/>
          <w:lang w:eastAsia="zh-CN"/>
        </w:rPr>
        <w:t>。</w:t>
      </w:r>
    </w:p>
    <w:p w14:paraId="71DA7B39">
      <w:pPr>
        <w:pStyle w:val="4"/>
        <w:ind w:firstLine="0" w:firstLineChars="0"/>
      </w:pPr>
      <w:bookmarkStart w:id="48" w:name="_Toc32278"/>
      <w:bookmarkStart w:id="49" w:name="_Hlk135680789"/>
      <w:r>
        <w:rPr>
          <w:rFonts w:hint="eastAsia"/>
        </w:rPr>
        <w:t>5.2.2</w:t>
      </w:r>
      <w:r>
        <w:t xml:space="preserve"> </w:t>
      </w:r>
      <w:r>
        <w:rPr>
          <w:rFonts w:hint="eastAsia"/>
        </w:rPr>
        <w:t>分区设计</w:t>
      </w:r>
      <w:bookmarkEnd w:id="48"/>
    </w:p>
    <w:p w14:paraId="3ADBD8E3">
      <w:pPr>
        <w:widowControl/>
        <w:ind w:firstLine="420" w:firstLineChars="200"/>
      </w:pPr>
      <w:r>
        <w:t>分区设计</w:t>
      </w:r>
      <w:bookmarkStart w:id="50" w:name="OLE_LINK10"/>
      <w:r>
        <w:rPr>
          <w:rFonts w:hint="eastAsia"/>
          <w:lang w:bidi="ar"/>
        </w:rPr>
        <w:t>应符合下列规定：</w:t>
      </w:r>
      <w:bookmarkEnd w:id="50"/>
    </w:p>
    <w:p w14:paraId="1F1C4F30">
      <w:pPr>
        <w:widowControl/>
        <w:ind w:firstLine="420" w:firstLineChars="200"/>
        <w:rPr>
          <w:lang w:bidi="ar"/>
        </w:rPr>
      </w:pPr>
      <w:r>
        <w:rPr>
          <w:rFonts w:hint="eastAsia"/>
        </w:rPr>
        <w:t>1）</w:t>
      </w:r>
      <w:r>
        <w:t>土壤修复工厂设计</w:t>
      </w:r>
      <w:r>
        <w:rPr>
          <w:rFonts w:hint="eastAsia"/>
        </w:rPr>
        <w:t>应</w:t>
      </w:r>
      <w:r>
        <w:t>包括</w:t>
      </w:r>
      <w:r>
        <w:rPr>
          <w:rFonts w:hint="eastAsia"/>
          <w:lang w:bidi="ar"/>
        </w:rPr>
        <w:t>下列内容：</w:t>
      </w:r>
    </w:p>
    <w:p w14:paraId="1C16AC4C">
      <w:pPr>
        <w:widowControl/>
        <w:ind w:firstLine="420" w:firstLineChars="200"/>
      </w:pPr>
      <w:r>
        <w:rPr>
          <w:rFonts w:hint="eastAsia"/>
        </w:rPr>
        <w:t>a）</w:t>
      </w:r>
      <w:r>
        <w:t>主体工程包括预处理区、负压密闭空间</w:t>
      </w:r>
      <w:r>
        <w:rPr>
          <w:rFonts w:hint="eastAsia"/>
        </w:rPr>
        <w:t>、</w:t>
      </w:r>
      <w:r>
        <w:t>修复治理区、暂存区。预处理区</w:t>
      </w:r>
      <w:r>
        <w:rPr>
          <w:rFonts w:hint="eastAsia"/>
        </w:rPr>
        <w:t>用于土壤</w:t>
      </w:r>
      <w:r>
        <w:t>筛分</w:t>
      </w:r>
      <w:r>
        <w:rPr>
          <w:rFonts w:hint="eastAsia"/>
        </w:rPr>
        <w:t>作业</w:t>
      </w:r>
      <w:r>
        <w:t>；负压密闭空间</w:t>
      </w:r>
      <w:r>
        <w:rPr>
          <w:rFonts w:hint="eastAsia"/>
        </w:rPr>
        <w:t>专用于</w:t>
      </w:r>
      <w:r>
        <w:t>挥发性污染土壤预处理、修复</w:t>
      </w:r>
      <w:r>
        <w:rPr>
          <w:rFonts w:hint="eastAsia"/>
        </w:rPr>
        <w:t>治理</w:t>
      </w:r>
      <w:r>
        <w:t>及</w:t>
      </w:r>
      <w:r>
        <w:rPr>
          <w:rFonts w:hint="eastAsia"/>
        </w:rPr>
        <w:t>暂存；</w:t>
      </w:r>
      <w:r>
        <w:t>修复治理区</w:t>
      </w:r>
      <w:r>
        <w:rPr>
          <w:rFonts w:hint="eastAsia"/>
        </w:rPr>
        <w:t>用于</w:t>
      </w:r>
      <w:r>
        <w:t>化学修复、常温解吸修复、热脱附修复、淋洗修复、废水处理、废气处理、建筑垃圾处理；暂存区</w:t>
      </w:r>
      <w:r>
        <w:rPr>
          <w:rFonts w:hint="eastAsia"/>
        </w:rPr>
        <w:t>用于</w:t>
      </w:r>
      <w:r>
        <w:t>污染</w:t>
      </w:r>
      <w:r>
        <w:rPr>
          <w:rFonts w:hint="eastAsia"/>
        </w:rPr>
        <w:t>土壤</w:t>
      </w:r>
      <w:r>
        <w:t>、修复后土壤</w:t>
      </w:r>
      <w:r>
        <w:rPr>
          <w:rFonts w:hint="eastAsia"/>
        </w:rPr>
        <w:t>临时</w:t>
      </w:r>
      <w:r>
        <w:t>存放</w:t>
      </w:r>
      <w:r>
        <w:rPr>
          <w:rFonts w:hint="eastAsia"/>
        </w:rPr>
        <w:t>；</w:t>
      </w:r>
    </w:p>
    <w:p w14:paraId="2CDC9A81">
      <w:pPr>
        <w:widowControl/>
        <w:ind w:firstLine="420" w:firstLineChars="200"/>
      </w:pPr>
      <w:r>
        <w:rPr>
          <w:rFonts w:hint="eastAsia"/>
          <w:color w:val="000000" w:themeColor="text1"/>
          <w14:textFill>
            <w14:solidFill>
              <w14:schemeClr w14:val="tx1"/>
            </w14:solidFill>
          </w14:textFill>
        </w:rPr>
        <w:t>b）</w:t>
      </w:r>
      <w:r>
        <w:rPr>
          <w:color w:val="000000" w:themeColor="text1"/>
          <w14:textFill>
            <w14:solidFill>
              <w14:schemeClr w14:val="tx1"/>
            </w14:solidFill>
          </w14:textFill>
        </w:rPr>
        <w:t>辅助工程包括</w:t>
      </w:r>
      <w:r>
        <w:rPr>
          <w:rFonts w:hint="eastAsia"/>
          <w:color w:val="000000" w:themeColor="text1"/>
          <w14:textFill>
            <w14:solidFill>
              <w14:schemeClr w14:val="tx1"/>
            </w14:solidFill>
          </w14:textFill>
        </w:rPr>
        <w:t>药剂仓库、危废仓库、办公区、实验室、道路</w:t>
      </w:r>
      <w:r>
        <w:rPr>
          <w:color w:val="000000" w:themeColor="text1"/>
          <w14:textFill>
            <w14:solidFill>
              <w14:schemeClr w14:val="tx1"/>
            </w14:solidFill>
          </w14:textFill>
        </w:rPr>
        <w:t>等</w:t>
      </w:r>
      <w:r>
        <w:rPr>
          <w:rFonts w:hint="eastAsia"/>
          <w:color w:val="000000" w:themeColor="text1"/>
          <w14:textFill>
            <w14:solidFill>
              <w14:schemeClr w14:val="tx1"/>
            </w14:solidFill>
          </w14:textFill>
        </w:rPr>
        <w:t>；</w:t>
      </w:r>
    </w:p>
    <w:p w14:paraId="262017DD">
      <w:pPr>
        <w:ind w:firstLine="420" w:firstLineChars="200"/>
      </w:pPr>
      <w:r>
        <w:rPr>
          <w:rFonts w:hint="eastAsia"/>
        </w:rPr>
        <w:t>c）</w:t>
      </w:r>
      <w:r>
        <w:t>配套设施包括</w:t>
      </w:r>
      <w:r>
        <w:rPr>
          <w:color w:val="000000" w:themeColor="text1"/>
          <w14:textFill>
            <w14:solidFill>
              <w14:schemeClr w14:val="tx1"/>
            </w14:solidFill>
          </w14:textFill>
        </w:rPr>
        <w:t>能源供应、给排水及消防、通风与空气调节</w:t>
      </w:r>
      <w:r>
        <w:t>等。</w:t>
      </w:r>
    </w:p>
    <w:p w14:paraId="52242F59">
      <w:pPr>
        <w:pStyle w:val="36"/>
        <w:ind w:firstLine="420" w:firstLineChars="200"/>
        <w:rPr>
          <w:rFonts w:hint="eastAsia" w:ascii="宋体" w:hAnsi="宋体" w:eastAsia="宋体" w:cs="宋体"/>
        </w:rPr>
      </w:pPr>
      <w:r>
        <w:rPr>
          <w:rFonts w:hint="eastAsia"/>
        </w:rPr>
        <w:t>2）</w:t>
      </w:r>
      <w:r>
        <w:t>主体工程地面采用硬化防渗结构</w:t>
      </w:r>
      <w:r>
        <w:rPr>
          <w:rFonts w:hint="eastAsia"/>
        </w:rPr>
        <w:t>，</w:t>
      </w:r>
      <w:r>
        <w:t>从下到上为垫层、土工布、高密度聚乙烯膜（HDPE）、土工布、混凝土层</w:t>
      </w:r>
      <w:r>
        <w:rPr>
          <w:rFonts w:hint="eastAsia"/>
        </w:rPr>
        <w:t>。</w:t>
      </w:r>
      <w:r>
        <w:t>HDPE膜厚度不应小于1.5</w:t>
      </w:r>
      <w:r>
        <w:rPr>
          <w:rFonts w:hint="eastAsia"/>
        </w:rPr>
        <w:t xml:space="preserve"> </w:t>
      </w:r>
      <w:r>
        <w:t>mm</w:t>
      </w:r>
      <w:r>
        <w:rPr>
          <w:rFonts w:hint="eastAsia"/>
        </w:rPr>
        <w:t>，</w:t>
      </w:r>
      <w:r>
        <w:t>混凝土层强度等级不</w:t>
      </w:r>
      <w:r>
        <w:rPr>
          <w:rFonts w:hint="eastAsia"/>
        </w:rPr>
        <w:t>应</w:t>
      </w:r>
      <w:r>
        <w:t>小于C20。</w:t>
      </w:r>
    </w:p>
    <w:p w14:paraId="1F703921">
      <w:pPr>
        <w:ind w:firstLine="420" w:firstLineChars="200"/>
        <w:rPr>
          <w:rFonts w:hint="eastAsia" w:ascii="宋体" w:hAnsi="宋体" w:eastAsia="宋体" w:cs="宋体"/>
          <w:lang w:val="en-US" w:eastAsia="zh-CN"/>
        </w:rPr>
      </w:pPr>
      <w:r>
        <w:rPr>
          <w:rFonts w:hint="eastAsia" w:ascii="宋体" w:hAnsi="宋体" w:eastAsia="宋体" w:cs="宋体"/>
        </w:rPr>
        <w:t>【说明】</w:t>
      </w:r>
      <w:r>
        <w:rPr>
          <w:rFonts w:hint="default" w:ascii="Times New Roman" w:hAnsi="Times New Roman" w:eastAsia="宋体" w:cs="Times New Roman"/>
          <w:szCs w:val="21"/>
          <w:shd w:val="clear" w:color="auto" w:fill="FFFFFF"/>
        </w:rPr>
        <w:t>《生活垃圾处理处置工程项目规范》（GB 55012-2021）和经验值</w:t>
      </w:r>
      <w:r>
        <w:rPr>
          <w:rFonts w:hint="default" w:ascii="Times New Roman" w:hAnsi="Times New Roman" w:cs="Times New Roman"/>
          <w:szCs w:val="21"/>
          <w:shd w:val="clear" w:color="auto" w:fill="FFFFFF"/>
          <w:lang w:eastAsia="zh-CN"/>
        </w:rPr>
        <w:t>；</w:t>
      </w:r>
      <w:r>
        <w:rPr>
          <w:rFonts w:hint="default" w:ascii="Times New Roman" w:hAnsi="Times New Roman" w:eastAsia="宋体" w:cs="Times New Roman"/>
        </w:rPr>
        <w:t>《混凝土结构设计规范》（GB50010-2010）和经验值</w:t>
      </w:r>
      <w:r>
        <w:rPr>
          <w:rFonts w:hint="default" w:ascii="Times New Roman" w:hAnsi="Times New Roman" w:eastAsia="宋体" w:cs="Times New Roman"/>
          <w:lang w:eastAsia="zh-CN"/>
        </w:rPr>
        <w:t>。</w:t>
      </w:r>
    </w:p>
    <w:p w14:paraId="68DDB233">
      <w:pPr>
        <w:pStyle w:val="4"/>
        <w:ind w:firstLine="0" w:firstLineChars="0"/>
        <w:rPr>
          <w:rFonts w:ascii="黑体" w:hAnsi="黑体"/>
        </w:rPr>
      </w:pPr>
      <w:bookmarkStart w:id="51" w:name="_Toc1940"/>
      <w:r>
        <w:t>5.2.</w:t>
      </w:r>
      <w:r>
        <w:rPr>
          <w:rFonts w:hint="eastAsia"/>
        </w:rPr>
        <w:t>3</w:t>
      </w:r>
      <w:r>
        <w:t xml:space="preserve"> </w:t>
      </w:r>
      <w:r>
        <w:rPr>
          <w:rFonts w:hint="eastAsia" w:ascii="黑体" w:hAnsi="黑体"/>
        </w:rPr>
        <w:t>预处理设计</w:t>
      </w:r>
      <w:bookmarkEnd w:id="51"/>
    </w:p>
    <w:p w14:paraId="0D898731">
      <w:pPr>
        <w:ind w:firstLine="420" w:firstLineChars="200"/>
      </w:pPr>
      <w:r>
        <w:rPr>
          <w:rFonts w:hint="eastAsia"/>
        </w:rPr>
        <w:t>预处理区</w:t>
      </w:r>
      <w:r>
        <w:t>设计</w:t>
      </w:r>
      <w:r>
        <w:rPr>
          <w:rFonts w:hint="eastAsia"/>
        </w:rPr>
        <w:t>应满足</w:t>
      </w:r>
      <w:r>
        <w:t>下列</w:t>
      </w:r>
      <w:r>
        <w:rPr>
          <w:rFonts w:hint="eastAsia"/>
        </w:rPr>
        <w:t>要求</w:t>
      </w:r>
      <w:r>
        <w:t>：</w:t>
      </w:r>
    </w:p>
    <w:p w14:paraId="7014281B">
      <w:pPr>
        <w:widowControl/>
        <w:ind w:firstLine="420" w:firstLineChars="200"/>
      </w:pPr>
      <w:r>
        <w:rPr>
          <w:rFonts w:hint="eastAsia"/>
        </w:rPr>
        <w:t>1</w:t>
      </w:r>
      <w:r>
        <w:t>）按污染类型划分作业</w:t>
      </w:r>
      <w:r>
        <w:rPr>
          <w:rFonts w:hint="eastAsia"/>
        </w:rPr>
        <w:t>空间</w:t>
      </w:r>
      <w:r>
        <w:t>，防止交叉污染</w:t>
      </w:r>
      <w:r>
        <w:rPr>
          <w:rFonts w:hint="eastAsia"/>
        </w:rPr>
        <w:t>；</w:t>
      </w:r>
    </w:p>
    <w:p w14:paraId="505394AF">
      <w:pPr>
        <w:widowControl/>
        <w:ind w:firstLine="420" w:firstLineChars="200"/>
      </w:pPr>
      <w:r>
        <w:rPr>
          <w:rFonts w:hint="eastAsia"/>
        </w:rPr>
        <w:t>2</w:t>
      </w:r>
      <w:r>
        <w:t>）配置筛分、破碎、混合、搅拌等设备</w:t>
      </w:r>
      <w:r>
        <w:rPr>
          <w:rFonts w:hint="eastAsia"/>
          <w:kern w:val="0"/>
          <w:sz w:val="20"/>
          <w:szCs w:val="20"/>
          <w:lang w:bidi="ar"/>
        </w:rPr>
        <w:t>；</w:t>
      </w:r>
    </w:p>
    <w:p w14:paraId="317BE799">
      <w:pPr>
        <w:widowControl/>
        <w:ind w:firstLine="420" w:firstLineChars="200"/>
      </w:pPr>
      <w:r>
        <w:rPr>
          <w:rFonts w:hint="eastAsia"/>
        </w:rPr>
        <w:t>3</w:t>
      </w:r>
      <w:r>
        <w:t>）污染土壤采用</w:t>
      </w:r>
      <w:r>
        <w:rPr>
          <w:rFonts w:hint="eastAsia"/>
        </w:rPr>
        <w:t>条垛状</w:t>
      </w:r>
      <w:r>
        <w:t>堆放</w:t>
      </w:r>
      <w:r>
        <w:rPr>
          <w:rFonts w:hint="eastAsia"/>
        </w:rPr>
        <w:t>；</w:t>
      </w:r>
    </w:p>
    <w:p w14:paraId="7970B33E">
      <w:pPr>
        <w:widowControl/>
        <w:ind w:firstLine="420" w:firstLineChars="200"/>
      </w:pPr>
      <w:r>
        <w:rPr>
          <w:rFonts w:hint="eastAsia"/>
        </w:rPr>
        <w:t>4）不同工艺预处理区宜紧邻对应的修复治理区布置。</w:t>
      </w:r>
    </w:p>
    <w:p w14:paraId="182E4DAC">
      <w:pPr>
        <w:pStyle w:val="5"/>
      </w:pPr>
      <w:r>
        <w:rPr>
          <w:rFonts w:hint="eastAsia"/>
        </w:rPr>
        <w:t>5</w:t>
      </w:r>
      <w:r>
        <w:t>.</w:t>
      </w:r>
      <w:r>
        <w:rPr>
          <w:rStyle w:val="37"/>
          <w:bCs/>
        </w:rPr>
        <w:t>2</w:t>
      </w:r>
      <w:r>
        <w:t>.</w:t>
      </w:r>
      <w:r>
        <w:rPr>
          <w:rFonts w:hint="eastAsia"/>
          <w:lang w:val="en-US" w:eastAsia="zh-CN"/>
        </w:rPr>
        <w:t>4</w:t>
      </w:r>
      <w:r>
        <w:t xml:space="preserve"> 负压密闭空间</w:t>
      </w:r>
      <w:r>
        <w:rPr>
          <w:rFonts w:hint="eastAsia"/>
        </w:rPr>
        <w:t>设计</w:t>
      </w:r>
    </w:p>
    <w:p w14:paraId="5AA4EC8B">
      <w:pPr>
        <w:ind w:firstLine="420" w:firstLineChars="200"/>
      </w:pPr>
      <w:r>
        <w:t>负压密闭空间设计</w:t>
      </w:r>
      <w:r>
        <w:rPr>
          <w:rFonts w:hint="eastAsia"/>
        </w:rPr>
        <w:t>应满足</w:t>
      </w:r>
      <w:r>
        <w:t>下列</w:t>
      </w:r>
      <w:r>
        <w:rPr>
          <w:rFonts w:hint="eastAsia"/>
        </w:rPr>
        <w:t>要求</w:t>
      </w:r>
      <w:r>
        <w:t>：</w:t>
      </w:r>
    </w:p>
    <w:p w14:paraId="041369E4">
      <w:pPr>
        <w:ind w:firstLine="420" w:firstLineChars="200"/>
      </w:pPr>
      <w:r>
        <w:t>1）采用稳定密闭结构；</w:t>
      </w:r>
    </w:p>
    <w:p w14:paraId="77D1F7B0">
      <w:pPr>
        <w:widowControl/>
        <w:ind w:firstLine="420" w:firstLineChars="200"/>
      </w:pPr>
      <w:r>
        <w:t>2）</w:t>
      </w:r>
      <w:r>
        <w:rPr>
          <w:lang w:bidi="ar"/>
        </w:rPr>
        <w:t>至少设两处车辆出入口，同时配套人员出入口及紧急安全通道；</w:t>
      </w:r>
    </w:p>
    <w:p w14:paraId="4D180D0E">
      <w:pPr>
        <w:widowControl/>
        <w:ind w:firstLine="420" w:firstLineChars="200"/>
        <w:rPr>
          <w:lang w:bidi="ar"/>
        </w:rPr>
      </w:pPr>
      <w:r>
        <w:rPr>
          <w:lang w:bidi="ar"/>
        </w:rPr>
        <w:t>3）</w:t>
      </w:r>
      <w:r>
        <w:rPr>
          <w:rFonts w:hint="eastAsia"/>
          <w:lang w:bidi="ar"/>
        </w:rPr>
        <w:t>配套</w:t>
      </w:r>
      <w:r>
        <w:rPr>
          <w:lang w:bidi="ar"/>
        </w:rPr>
        <w:t>设置送风</w:t>
      </w:r>
      <w:r>
        <w:rPr>
          <w:rFonts w:hint="eastAsia"/>
          <w:lang w:bidi="ar"/>
        </w:rPr>
        <w:t>单元</w:t>
      </w:r>
      <w:r>
        <w:rPr>
          <w:lang w:bidi="ar"/>
        </w:rPr>
        <w:t>、尾气收集</w:t>
      </w:r>
      <w:r>
        <w:rPr>
          <w:rFonts w:hint="eastAsia"/>
          <w:lang w:bidi="ar"/>
        </w:rPr>
        <w:t>处理单元</w:t>
      </w:r>
      <w:r>
        <w:rPr>
          <w:lang w:bidi="ar"/>
        </w:rPr>
        <w:t>、安全监测</w:t>
      </w:r>
      <w:r>
        <w:rPr>
          <w:rFonts w:hint="eastAsia"/>
          <w:lang w:bidi="ar"/>
        </w:rPr>
        <w:t>单元</w:t>
      </w:r>
      <w:r>
        <w:rPr>
          <w:lang w:bidi="ar"/>
        </w:rPr>
        <w:t>、监控和照明</w:t>
      </w:r>
      <w:r>
        <w:rPr>
          <w:rFonts w:hint="eastAsia"/>
          <w:lang w:bidi="ar"/>
        </w:rPr>
        <w:t>单元</w:t>
      </w:r>
      <w:r>
        <w:rPr>
          <w:lang w:bidi="ar"/>
        </w:rPr>
        <w:t>、智能管理控制</w:t>
      </w:r>
      <w:r>
        <w:rPr>
          <w:rFonts w:hint="eastAsia"/>
          <w:lang w:bidi="ar"/>
        </w:rPr>
        <w:t>单元。</w:t>
      </w:r>
    </w:p>
    <w:p w14:paraId="6E78C937">
      <w:pPr>
        <w:pStyle w:val="4"/>
        <w:bidi w:val="0"/>
        <w:ind w:left="0" w:leftChars="0" w:firstLine="0" w:firstLineChars="0"/>
        <w:rPr>
          <w:rFonts w:hint="eastAsia"/>
          <w:lang w:val="en-US" w:eastAsia="zh-CN"/>
        </w:rPr>
      </w:pPr>
      <w:bookmarkStart w:id="52" w:name="_Toc30477"/>
      <w:r>
        <w:rPr>
          <w:rFonts w:hint="eastAsia"/>
          <w:lang w:val="en-US" w:eastAsia="zh-CN"/>
        </w:rPr>
        <w:t>5.2.5 修复治理区</w:t>
      </w:r>
      <w:bookmarkEnd w:id="52"/>
    </w:p>
    <w:p w14:paraId="2EDCB88F">
      <w:pPr>
        <w:pStyle w:val="5"/>
        <w:bidi w:val="0"/>
        <w:rPr>
          <w:rFonts w:hint="eastAsia"/>
          <w:lang w:val="en-US" w:eastAsia="zh-CN"/>
        </w:rPr>
      </w:pPr>
      <w:r>
        <w:rPr>
          <w:rFonts w:hint="eastAsia"/>
          <w:lang w:val="en-US" w:eastAsia="zh-CN"/>
        </w:rPr>
        <w:t>5.2.5.1 常温解吸区设计</w:t>
      </w:r>
    </w:p>
    <w:p w14:paraId="3DC16713">
      <w:pPr>
        <w:widowControl/>
        <w:ind w:firstLine="420" w:firstLineChars="200"/>
        <w:jc w:val="left"/>
      </w:pPr>
      <w:r>
        <w:t>常温解吸区设计应</w:t>
      </w:r>
      <w:r>
        <w:rPr>
          <w:rFonts w:hint="eastAsia"/>
        </w:rPr>
        <w:t>满足</w:t>
      </w:r>
      <w:r>
        <w:t>下列</w:t>
      </w:r>
      <w:r>
        <w:rPr>
          <w:rFonts w:hint="eastAsia"/>
        </w:rPr>
        <w:t>要求</w:t>
      </w:r>
      <w:r>
        <w:t>：</w:t>
      </w:r>
    </w:p>
    <w:p w14:paraId="3F9C19EC">
      <w:pPr>
        <w:widowControl/>
        <w:ind w:firstLine="420" w:firstLineChars="200"/>
        <w:jc w:val="left"/>
      </w:pPr>
      <w:r>
        <w:t>1）常温解吸区</w:t>
      </w:r>
      <w:r>
        <w:rPr>
          <w:rFonts w:hint="eastAsia"/>
        </w:rPr>
        <w:t>应</w:t>
      </w:r>
      <w:r>
        <w:t>设置在负压密闭空间内；</w:t>
      </w:r>
    </w:p>
    <w:p w14:paraId="629B3A4A">
      <w:pPr>
        <w:widowControl/>
        <w:ind w:firstLine="420" w:firstLineChars="200"/>
        <w:jc w:val="left"/>
      </w:pPr>
      <w:r>
        <w:t>2）常温解吸区面积</w:t>
      </w:r>
      <w:r>
        <w:rPr>
          <w:rFonts w:hint="eastAsia"/>
        </w:rPr>
        <w:t>应</w:t>
      </w:r>
      <w:r>
        <w:t>根据污染土壤修复量</w:t>
      </w:r>
      <w:r>
        <w:rPr>
          <w:rFonts w:hint="eastAsia"/>
        </w:rPr>
        <w:t>、修复周期等因素确定</w:t>
      </w:r>
      <w:r>
        <w:t>。</w:t>
      </w:r>
    </w:p>
    <w:p w14:paraId="29533186">
      <w:pPr>
        <w:pStyle w:val="5"/>
        <w:rPr>
          <w:rFonts w:hint="eastAsia" w:ascii="黑体" w:hAnsi="黑体" w:eastAsia="黑体"/>
          <w:lang w:val="en-US" w:eastAsia="zh-CN"/>
        </w:rPr>
      </w:pPr>
      <w:r>
        <w:rPr>
          <w:rFonts w:hint="eastAsia"/>
        </w:rPr>
        <w:t>5.2.</w:t>
      </w:r>
      <w:r>
        <w:rPr>
          <w:rFonts w:hint="eastAsia"/>
          <w:lang w:val="en-US" w:eastAsia="zh-CN"/>
        </w:rPr>
        <w:t xml:space="preserve">5.2 </w:t>
      </w:r>
      <w:r>
        <w:rPr>
          <w:rFonts w:hint="eastAsia" w:ascii="黑体" w:hAnsi="黑体"/>
        </w:rPr>
        <w:t>化学修复区</w:t>
      </w:r>
      <w:r>
        <w:rPr>
          <w:rFonts w:hint="eastAsia" w:ascii="黑体" w:hAnsi="黑体"/>
          <w:lang w:val="en-US" w:eastAsia="zh-CN"/>
        </w:rPr>
        <w:t>设计</w:t>
      </w:r>
    </w:p>
    <w:p w14:paraId="4EDC45F8">
      <w:pPr>
        <w:widowControl/>
        <w:ind w:firstLine="420" w:firstLineChars="200"/>
        <w:jc w:val="left"/>
      </w:pPr>
      <w:r>
        <w:t>化学修复区设计应</w:t>
      </w:r>
      <w:r>
        <w:rPr>
          <w:rFonts w:hint="eastAsia"/>
        </w:rPr>
        <w:t>满足</w:t>
      </w:r>
      <w:r>
        <w:t>下列</w:t>
      </w:r>
      <w:r>
        <w:rPr>
          <w:rFonts w:hint="eastAsia"/>
        </w:rPr>
        <w:t>要求</w:t>
      </w:r>
      <w:r>
        <w:t>：</w:t>
      </w:r>
    </w:p>
    <w:p w14:paraId="73752111">
      <w:pPr>
        <w:widowControl/>
        <w:ind w:firstLine="420" w:firstLineChars="200"/>
        <w:jc w:val="left"/>
      </w:pPr>
      <w:r>
        <w:t>1）挥发性</w:t>
      </w:r>
      <w:r>
        <w:rPr>
          <w:rFonts w:hint="eastAsia"/>
        </w:rPr>
        <w:t>有机</w:t>
      </w:r>
      <w:r>
        <w:t>污染</w:t>
      </w:r>
      <w:r>
        <w:rPr>
          <w:rFonts w:hint="eastAsia"/>
        </w:rPr>
        <w:t>土壤</w:t>
      </w:r>
      <w:r>
        <w:t>化学修复区</w:t>
      </w:r>
      <w:r>
        <w:rPr>
          <w:rFonts w:hint="eastAsia"/>
        </w:rPr>
        <w:t>应</w:t>
      </w:r>
      <w:r>
        <w:t>设置在负压密闭空间内，</w:t>
      </w:r>
      <w:r>
        <w:rPr>
          <w:rFonts w:hint="eastAsia"/>
        </w:rPr>
        <w:t>其它有机污染土壤</w:t>
      </w:r>
      <w:r>
        <w:t>化学修复区可</w:t>
      </w:r>
      <w:r>
        <w:rPr>
          <w:rFonts w:hint="eastAsia"/>
        </w:rPr>
        <w:t>设置在露天区域</w:t>
      </w:r>
      <w:r>
        <w:t>；</w:t>
      </w:r>
    </w:p>
    <w:p w14:paraId="4F658AB8">
      <w:pPr>
        <w:widowControl/>
        <w:spacing w:line="240" w:lineRule="auto"/>
        <w:ind w:firstLine="420" w:firstLineChars="200"/>
        <w:jc w:val="left"/>
        <w:rPr>
          <w:rFonts w:hint="default" w:ascii="Times New Roman" w:hAnsi="Times New Roman" w:cs="Times New Roman"/>
          <w:kern w:val="2"/>
          <w:szCs w:val="22"/>
        </w:rPr>
      </w:pPr>
      <w:r>
        <w:t>2）</w:t>
      </w:r>
      <w:r>
        <w:rPr>
          <w:rFonts w:hint="eastAsia"/>
        </w:rPr>
        <w:t>化学修复</w:t>
      </w:r>
      <w:r>
        <w:t>区面积</w:t>
      </w:r>
      <w:r>
        <w:rPr>
          <w:rFonts w:hint="eastAsia"/>
        </w:rPr>
        <w:t>应</w:t>
      </w:r>
      <w:r>
        <w:t>根据污染土壤修复量</w:t>
      </w:r>
      <w:r>
        <w:rPr>
          <w:rFonts w:hint="eastAsia"/>
        </w:rPr>
        <w:t>、修复周期等因素确定</w:t>
      </w:r>
      <w:r>
        <w:t>。</w:t>
      </w:r>
    </w:p>
    <w:p w14:paraId="2C9415C7">
      <w:pPr>
        <w:pStyle w:val="5"/>
      </w:pPr>
      <w:r>
        <w:t>5.2.</w:t>
      </w:r>
      <w:r>
        <w:rPr>
          <w:rFonts w:hint="eastAsia"/>
          <w:lang w:val="en-US" w:eastAsia="zh-CN"/>
        </w:rPr>
        <w:t>5.3</w:t>
      </w:r>
      <w:r>
        <w:t xml:space="preserve"> </w:t>
      </w:r>
      <w:r>
        <w:rPr>
          <w:rFonts w:hint="eastAsia"/>
        </w:rPr>
        <w:t>异位热脱附修复区</w:t>
      </w:r>
      <w:r>
        <w:rPr>
          <w:rFonts w:hint="eastAsia" w:ascii="黑体" w:hAnsi="黑体"/>
          <w:lang w:val="en-US" w:eastAsia="zh-CN"/>
        </w:rPr>
        <w:t>设计</w:t>
      </w:r>
    </w:p>
    <w:p w14:paraId="1B191D32">
      <w:pPr>
        <w:widowControl/>
        <w:ind w:firstLine="420" w:firstLineChars="200"/>
        <w:jc w:val="left"/>
      </w:pPr>
      <w:r>
        <w:t>异位热脱附修复区设计应</w:t>
      </w:r>
      <w:r>
        <w:rPr>
          <w:rFonts w:hint="eastAsia"/>
        </w:rPr>
        <w:t>满足</w:t>
      </w:r>
      <w:r>
        <w:t>下列</w:t>
      </w:r>
      <w:r>
        <w:rPr>
          <w:rFonts w:hint="eastAsia"/>
        </w:rPr>
        <w:t>要求</w:t>
      </w:r>
      <w:r>
        <w:t>：</w:t>
      </w:r>
    </w:p>
    <w:p w14:paraId="2D81B88B">
      <w:pPr>
        <w:widowControl/>
        <w:ind w:firstLine="420" w:firstLineChars="200"/>
        <w:jc w:val="left"/>
      </w:pPr>
      <w:r>
        <w:t>1）异位热脱附工艺的预处理区与进料区均</w:t>
      </w:r>
      <w:r>
        <w:rPr>
          <w:rFonts w:hint="eastAsia"/>
        </w:rPr>
        <w:t>应设</w:t>
      </w:r>
      <w:r>
        <w:t>置于负压密闭空间内，</w:t>
      </w:r>
      <w:r>
        <w:rPr>
          <w:rFonts w:hint="eastAsia"/>
        </w:rPr>
        <w:t>热脱附单元、废水处置单元、废气处置单元等</w:t>
      </w:r>
      <w:r>
        <w:t>紧</w:t>
      </w:r>
      <w:r>
        <w:rPr>
          <w:rFonts w:hint="eastAsia"/>
        </w:rPr>
        <w:t>邻</w:t>
      </w:r>
      <w:r>
        <w:t>负压密闭空间</w:t>
      </w:r>
      <w:r>
        <w:rPr>
          <w:rFonts w:hint="eastAsia"/>
        </w:rPr>
        <w:t>合理</w:t>
      </w:r>
      <w:r>
        <w:t>布局</w:t>
      </w:r>
      <w:r>
        <w:rPr>
          <w:rFonts w:hint="eastAsia"/>
        </w:rPr>
        <w:t>；</w:t>
      </w:r>
    </w:p>
    <w:p w14:paraId="64917ADF">
      <w:pPr>
        <w:widowControl/>
        <w:ind w:firstLine="420" w:firstLineChars="200"/>
        <w:jc w:val="left"/>
      </w:pPr>
      <w:r>
        <w:rPr>
          <w:rFonts w:hint="eastAsia"/>
        </w:rPr>
        <w:t>2</w:t>
      </w:r>
      <w:r>
        <w:t>）</w:t>
      </w:r>
      <w:r>
        <w:rPr>
          <w:rFonts w:hint="eastAsia"/>
        </w:rPr>
        <w:t>按热源类型，合理布设燃料供给管道，统筹确定管道铺设距离与安全防护设计；</w:t>
      </w:r>
    </w:p>
    <w:p w14:paraId="3C2396B4">
      <w:pPr>
        <w:widowControl/>
        <w:ind w:firstLine="420" w:firstLineChars="200"/>
        <w:jc w:val="left"/>
      </w:pPr>
      <w:r>
        <w:rPr>
          <w:rFonts w:hint="eastAsia"/>
        </w:rPr>
        <w:t>3</w:t>
      </w:r>
      <w:r>
        <w:t>）异位热脱附修复区面积根据</w:t>
      </w:r>
      <w:r>
        <w:rPr>
          <w:rFonts w:hint="eastAsia"/>
        </w:rPr>
        <w:t>设备占地面积、设备处置能力、设备数量、</w:t>
      </w:r>
      <w:r>
        <w:t>污染土壤修复量</w:t>
      </w:r>
      <w:r>
        <w:rPr>
          <w:rFonts w:hint="eastAsia"/>
        </w:rPr>
        <w:t>、修复周期等因素确定</w:t>
      </w:r>
      <w:r>
        <w:t>。</w:t>
      </w:r>
    </w:p>
    <w:p w14:paraId="286546A0">
      <w:pPr>
        <w:pStyle w:val="5"/>
        <w:rPr>
          <w:rFonts w:ascii="黑体" w:hAnsi="黑体"/>
        </w:rPr>
      </w:pPr>
      <w:r>
        <w:rPr>
          <w:rFonts w:hint="eastAsia"/>
        </w:rPr>
        <w:t>5.2.</w:t>
      </w:r>
      <w:r>
        <w:rPr>
          <w:rFonts w:hint="eastAsia"/>
          <w:lang w:val="en-US" w:eastAsia="zh-CN"/>
        </w:rPr>
        <w:t>5</w:t>
      </w:r>
      <w:r>
        <w:rPr>
          <w:rFonts w:hint="eastAsia"/>
        </w:rPr>
        <w:t xml:space="preserve">.4 </w:t>
      </w:r>
      <w:r>
        <w:rPr>
          <w:rFonts w:hint="eastAsia" w:ascii="黑体" w:hAnsi="黑体"/>
        </w:rPr>
        <w:t>淋洗修复区</w:t>
      </w:r>
      <w:r>
        <w:rPr>
          <w:rFonts w:hint="eastAsia" w:ascii="黑体" w:hAnsi="黑体"/>
          <w:lang w:val="en-US" w:eastAsia="zh-CN"/>
        </w:rPr>
        <w:t>设计</w:t>
      </w:r>
    </w:p>
    <w:p w14:paraId="463E1C42">
      <w:pPr>
        <w:widowControl/>
        <w:ind w:firstLine="420" w:firstLineChars="200"/>
        <w:jc w:val="left"/>
      </w:pPr>
      <w:r>
        <w:t>淋洗修复区设计应</w:t>
      </w:r>
      <w:r>
        <w:rPr>
          <w:rFonts w:hint="eastAsia"/>
        </w:rPr>
        <w:t>满足</w:t>
      </w:r>
      <w:r>
        <w:t>下列</w:t>
      </w:r>
      <w:r>
        <w:rPr>
          <w:rFonts w:hint="eastAsia"/>
        </w:rPr>
        <w:t>要求</w:t>
      </w:r>
      <w:r>
        <w:t>：</w:t>
      </w:r>
    </w:p>
    <w:p w14:paraId="57CEDD74">
      <w:pPr>
        <w:widowControl/>
        <w:ind w:firstLine="420" w:firstLineChars="200"/>
        <w:jc w:val="left"/>
      </w:pPr>
      <w:r>
        <w:t>1）淋洗修复区</w:t>
      </w:r>
      <w:r>
        <w:rPr>
          <w:rFonts w:hint="eastAsia"/>
        </w:rPr>
        <w:t>可设置在露天区域</w:t>
      </w:r>
      <w:r>
        <w:t>；</w:t>
      </w:r>
    </w:p>
    <w:p w14:paraId="36127DF0">
      <w:pPr>
        <w:widowControl/>
        <w:ind w:firstLine="420" w:firstLineChars="200"/>
        <w:jc w:val="left"/>
      </w:pPr>
      <w:r>
        <w:t>2）淋洗修复区</w:t>
      </w:r>
      <w:r>
        <w:rPr>
          <w:rFonts w:hint="eastAsia"/>
        </w:rPr>
        <w:t>四周应设置围堰或导流渠；</w:t>
      </w:r>
    </w:p>
    <w:p w14:paraId="7E762F02">
      <w:pPr>
        <w:widowControl/>
        <w:ind w:firstLine="420" w:firstLineChars="200"/>
        <w:jc w:val="left"/>
      </w:pPr>
      <w:r>
        <w:rPr>
          <w:rFonts w:hint="eastAsia"/>
        </w:rPr>
        <w:t>3</w:t>
      </w:r>
      <w:r>
        <w:t>）淋洗修复区面积根据</w:t>
      </w:r>
      <w:r>
        <w:rPr>
          <w:rFonts w:hint="eastAsia"/>
        </w:rPr>
        <w:t>设备占地面积、设备处置能力、设备数量、</w:t>
      </w:r>
      <w:r>
        <w:t>污染土壤修复量</w:t>
      </w:r>
      <w:r>
        <w:rPr>
          <w:rFonts w:hint="eastAsia"/>
        </w:rPr>
        <w:t>、修复周期等因素确定</w:t>
      </w:r>
      <w:r>
        <w:t>。</w:t>
      </w:r>
    </w:p>
    <w:p w14:paraId="09739538">
      <w:pPr>
        <w:pStyle w:val="5"/>
        <w:rPr>
          <w:rFonts w:ascii="黑体" w:hAnsi="黑体"/>
        </w:rPr>
      </w:pPr>
      <w:r>
        <w:t>5.2.</w:t>
      </w:r>
      <w:r>
        <w:rPr>
          <w:rFonts w:hint="eastAsia"/>
          <w:lang w:val="en-US" w:eastAsia="zh-CN"/>
        </w:rPr>
        <w:t>5</w:t>
      </w:r>
      <w:r>
        <w:t>.5</w:t>
      </w:r>
      <w:r>
        <w:rPr>
          <w:rFonts w:ascii="黑体" w:hAnsi="黑体"/>
        </w:rPr>
        <w:t xml:space="preserve"> </w:t>
      </w:r>
      <w:r>
        <w:rPr>
          <w:rFonts w:hint="eastAsia" w:ascii="黑体" w:hAnsi="黑体"/>
        </w:rPr>
        <w:t>废水处理区</w:t>
      </w:r>
      <w:r>
        <w:rPr>
          <w:rFonts w:hint="eastAsia" w:ascii="黑体" w:hAnsi="黑体"/>
          <w:lang w:val="en-US" w:eastAsia="zh-CN"/>
        </w:rPr>
        <w:t>设计</w:t>
      </w:r>
    </w:p>
    <w:p w14:paraId="5D487F3D">
      <w:pPr>
        <w:widowControl/>
        <w:ind w:firstLine="420" w:firstLineChars="200"/>
        <w:jc w:val="left"/>
      </w:pPr>
      <w:bookmarkStart w:id="53" w:name="_Hlk198801484"/>
      <w:r>
        <w:t>废水处理区设计应</w:t>
      </w:r>
      <w:r>
        <w:rPr>
          <w:rFonts w:hint="eastAsia"/>
        </w:rPr>
        <w:t>满足</w:t>
      </w:r>
      <w:r>
        <w:t>下列</w:t>
      </w:r>
      <w:r>
        <w:rPr>
          <w:rFonts w:hint="eastAsia"/>
        </w:rPr>
        <w:t>要求</w:t>
      </w:r>
      <w:r>
        <w:t>：</w:t>
      </w:r>
    </w:p>
    <w:p w14:paraId="096C2759">
      <w:pPr>
        <w:widowControl/>
        <w:ind w:firstLine="420" w:firstLineChars="200"/>
        <w:jc w:val="left"/>
      </w:pPr>
      <w:r>
        <w:rPr>
          <w:rFonts w:hint="eastAsia"/>
        </w:rPr>
        <w:t>1）废水处理区位置应根据废水产生单元分布与纳管排口方位确定；</w:t>
      </w:r>
    </w:p>
    <w:p w14:paraId="25035093">
      <w:pPr>
        <w:widowControl/>
        <w:ind w:firstLine="420" w:firstLineChars="200"/>
        <w:jc w:val="left"/>
      </w:pPr>
      <w:r>
        <w:rPr>
          <w:rFonts w:hint="eastAsia"/>
        </w:rPr>
        <w:t>2）废水处理区四周应设置围堰或导流渠；</w:t>
      </w:r>
    </w:p>
    <w:p w14:paraId="63AB1E6B">
      <w:pPr>
        <w:widowControl/>
        <w:spacing w:line="240" w:lineRule="auto"/>
        <w:ind w:firstLine="420" w:firstLineChars="200"/>
        <w:jc w:val="left"/>
        <w:rPr>
          <w:rFonts w:ascii="Times New Roman" w:hAnsi="Times New Roman" w:cs="Times New Roman"/>
        </w:rPr>
      </w:pPr>
      <w:r>
        <w:rPr>
          <w:rFonts w:hint="eastAsia"/>
        </w:rPr>
        <w:t>3</w:t>
      </w:r>
      <w:r>
        <w:t>）涉及挥发性污染物时，应对水处理</w:t>
      </w:r>
      <w:r>
        <w:rPr>
          <w:rFonts w:hint="eastAsia"/>
        </w:rPr>
        <w:t>设备</w:t>
      </w:r>
      <w:r>
        <w:t>采取密封加盖措施。</w:t>
      </w:r>
    </w:p>
    <w:bookmarkEnd w:id="53"/>
    <w:p w14:paraId="5CA2717B">
      <w:pPr>
        <w:pStyle w:val="5"/>
        <w:rPr>
          <w:rFonts w:ascii="黑体" w:hAnsi="黑体"/>
        </w:rPr>
      </w:pPr>
      <w:r>
        <w:t>5.2.</w:t>
      </w:r>
      <w:r>
        <w:rPr>
          <w:rFonts w:hint="eastAsia"/>
          <w:lang w:val="en-US" w:eastAsia="zh-CN"/>
        </w:rPr>
        <w:t>5</w:t>
      </w:r>
      <w:r>
        <w:t xml:space="preserve">.6 </w:t>
      </w:r>
      <w:r>
        <w:rPr>
          <w:rFonts w:hint="eastAsia" w:ascii="黑体" w:hAnsi="黑体"/>
        </w:rPr>
        <w:t>废气处理区</w:t>
      </w:r>
      <w:r>
        <w:rPr>
          <w:rFonts w:hint="eastAsia" w:ascii="黑体" w:hAnsi="黑体"/>
          <w:lang w:val="en-US" w:eastAsia="zh-CN"/>
        </w:rPr>
        <w:t>设计</w:t>
      </w:r>
    </w:p>
    <w:p w14:paraId="74BA5A06">
      <w:pPr>
        <w:widowControl/>
        <w:ind w:firstLine="420" w:firstLineChars="200"/>
        <w:jc w:val="left"/>
      </w:pPr>
      <w:bookmarkStart w:id="54" w:name="_Hlk198801544"/>
      <w:r>
        <w:t>废气处理区设计应符合下列规定：</w:t>
      </w:r>
    </w:p>
    <w:p w14:paraId="2C1C90AA">
      <w:pPr>
        <w:widowControl/>
        <w:ind w:firstLine="420" w:firstLineChars="200"/>
        <w:jc w:val="left"/>
      </w:pPr>
      <w:r>
        <w:t>1）</w:t>
      </w:r>
      <w:r>
        <w:rPr>
          <w:rFonts w:hint="eastAsia"/>
        </w:rPr>
        <w:t>废气处理区应按废气产生单元及周边主要敏感点分布确定，宜布置在主要敏感点区域主导下风向处或远离主要敏感点区域；</w:t>
      </w:r>
    </w:p>
    <w:p w14:paraId="5EE6A698">
      <w:pPr>
        <w:widowControl/>
        <w:ind w:firstLine="420" w:firstLineChars="200"/>
        <w:jc w:val="left"/>
      </w:pPr>
      <w:r>
        <w:rPr>
          <w:rFonts w:hint="eastAsia"/>
        </w:rPr>
        <w:t>3）排气筒设计应符合GB 16297和地方标准的规定；</w:t>
      </w:r>
    </w:p>
    <w:p w14:paraId="61FF2173">
      <w:pPr>
        <w:widowControl/>
        <w:ind w:firstLine="420" w:firstLineChars="200"/>
        <w:jc w:val="left"/>
        <w:rPr>
          <w:rFonts w:hint="default" w:cs="Times New Roman"/>
          <w:lang w:val="en-US" w:eastAsia="zh-CN"/>
        </w:rPr>
      </w:pPr>
      <w:r>
        <w:rPr>
          <w:rFonts w:hint="eastAsia"/>
        </w:rPr>
        <w:t>4）废气处理区应设置废气采样平台。</w:t>
      </w:r>
    </w:p>
    <w:bookmarkEnd w:id="54"/>
    <w:p w14:paraId="4936533C">
      <w:pPr>
        <w:pStyle w:val="5"/>
        <w:rPr>
          <w:rFonts w:ascii="黑体" w:hAnsi="黑体"/>
        </w:rPr>
      </w:pPr>
      <w:r>
        <w:t>5.2.</w:t>
      </w:r>
      <w:r>
        <w:rPr>
          <w:rFonts w:hint="eastAsia"/>
          <w:lang w:val="en-US" w:eastAsia="zh-CN"/>
        </w:rPr>
        <w:t>5</w:t>
      </w:r>
      <w:r>
        <w:t xml:space="preserve">.7 </w:t>
      </w:r>
      <w:r>
        <w:rPr>
          <w:rFonts w:hint="eastAsia" w:ascii="黑体" w:hAnsi="黑体"/>
        </w:rPr>
        <w:t>建筑垃圾处理区</w:t>
      </w:r>
      <w:r>
        <w:rPr>
          <w:rFonts w:hint="eastAsia" w:ascii="黑体" w:hAnsi="黑体"/>
          <w:lang w:val="en-US" w:eastAsia="zh-CN"/>
        </w:rPr>
        <w:t>设计</w:t>
      </w:r>
    </w:p>
    <w:p w14:paraId="67857DB2">
      <w:pPr>
        <w:widowControl/>
        <w:ind w:firstLine="420" w:firstLineChars="200"/>
        <w:jc w:val="left"/>
      </w:pPr>
      <w:bookmarkStart w:id="55" w:name="_Hlk198801602"/>
      <w:r>
        <w:t>建筑垃圾处理区设计应</w:t>
      </w:r>
      <w:r>
        <w:rPr>
          <w:rFonts w:hint="eastAsia"/>
        </w:rPr>
        <w:t>满足</w:t>
      </w:r>
      <w:r>
        <w:t>下列</w:t>
      </w:r>
      <w:r>
        <w:rPr>
          <w:rFonts w:hint="eastAsia"/>
        </w:rPr>
        <w:t>要求</w:t>
      </w:r>
      <w:r>
        <w:t>：</w:t>
      </w:r>
    </w:p>
    <w:p w14:paraId="0734145F">
      <w:pPr>
        <w:widowControl/>
        <w:ind w:firstLine="420" w:firstLineChars="200"/>
        <w:jc w:val="left"/>
      </w:pPr>
      <w:r>
        <w:rPr>
          <w:rFonts w:hint="eastAsia"/>
        </w:rPr>
        <w:t>1）</w:t>
      </w:r>
      <w:r>
        <w:t>建筑垃圾处理区</w:t>
      </w:r>
      <w:r>
        <w:rPr>
          <w:rFonts w:hint="eastAsia"/>
        </w:rPr>
        <w:t>位置应根据预处理区、废水处理区位置确定；</w:t>
      </w:r>
    </w:p>
    <w:p w14:paraId="73FE39E7">
      <w:pPr>
        <w:widowControl/>
        <w:numPr>
          <w:ilvl w:val="255"/>
          <w:numId w:val="0"/>
        </w:numPr>
        <w:ind w:firstLine="420" w:firstLineChars="200"/>
        <w:jc w:val="left"/>
      </w:pPr>
      <w:r>
        <w:rPr>
          <w:rFonts w:hint="eastAsia"/>
        </w:rPr>
        <w:t>2）</w:t>
      </w:r>
      <w:r>
        <w:t>建筑垃圾处理区四周</w:t>
      </w:r>
      <w:r>
        <w:rPr>
          <w:rFonts w:hint="eastAsia"/>
        </w:rPr>
        <w:t>应</w:t>
      </w:r>
      <w:r>
        <w:t>设置围堰或导流渠</w:t>
      </w:r>
      <w:r>
        <w:rPr>
          <w:rFonts w:hint="eastAsia"/>
        </w:rPr>
        <w:t>。</w:t>
      </w:r>
    </w:p>
    <w:bookmarkEnd w:id="55"/>
    <w:p w14:paraId="3C9C700D">
      <w:pPr>
        <w:pStyle w:val="4"/>
        <w:bidi w:val="0"/>
        <w:ind w:left="0" w:leftChars="0" w:firstLine="0" w:firstLineChars="0"/>
        <w:rPr>
          <w:rFonts w:ascii="黑体" w:hAnsi="黑体"/>
        </w:rPr>
      </w:pPr>
      <w:bookmarkStart w:id="56" w:name="_Toc7668"/>
      <w:r>
        <w:rPr>
          <w:rFonts w:hint="eastAsia"/>
        </w:rPr>
        <w:t>5</w:t>
      </w:r>
      <w:r>
        <w:t>.2.</w:t>
      </w:r>
      <w:r>
        <w:rPr>
          <w:rFonts w:hint="eastAsia"/>
          <w:lang w:val="en-US" w:eastAsia="zh-CN"/>
        </w:rPr>
        <w:t>6</w:t>
      </w:r>
      <w:r>
        <w:rPr>
          <w:rFonts w:ascii="黑体" w:hAnsi="黑体"/>
        </w:rPr>
        <w:t xml:space="preserve"> </w:t>
      </w:r>
      <w:r>
        <w:rPr>
          <w:rFonts w:hint="eastAsia" w:ascii="黑体" w:hAnsi="黑体"/>
        </w:rPr>
        <w:t>暂存区</w:t>
      </w:r>
      <w:r>
        <w:rPr>
          <w:rFonts w:hint="eastAsia" w:ascii="黑体" w:hAnsi="黑体"/>
          <w:lang w:val="en-US" w:eastAsia="zh-CN"/>
        </w:rPr>
        <w:t>设计</w:t>
      </w:r>
      <w:bookmarkEnd w:id="56"/>
    </w:p>
    <w:bookmarkEnd w:id="49"/>
    <w:p w14:paraId="01D95C40">
      <w:pPr>
        <w:widowControl/>
        <w:ind w:firstLine="420" w:firstLineChars="200"/>
      </w:pPr>
      <w:bookmarkStart w:id="57" w:name="_Hlk198801632"/>
      <w:r>
        <w:t>暂存区设计应</w:t>
      </w:r>
      <w:r>
        <w:rPr>
          <w:rFonts w:hint="eastAsia"/>
        </w:rPr>
        <w:t>满足</w:t>
      </w:r>
      <w:r>
        <w:t>下列</w:t>
      </w:r>
      <w:r>
        <w:rPr>
          <w:rFonts w:hint="eastAsia"/>
        </w:rPr>
        <w:t>要求</w:t>
      </w:r>
      <w:r>
        <w:t>：</w:t>
      </w:r>
    </w:p>
    <w:p w14:paraId="5A22106B">
      <w:pPr>
        <w:widowControl/>
        <w:numPr>
          <w:ilvl w:val="255"/>
          <w:numId w:val="0"/>
        </w:numPr>
        <w:ind w:firstLine="420" w:firstLineChars="200"/>
      </w:pPr>
      <w:r>
        <w:rPr>
          <w:rFonts w:hint="eastAsia"/>
        </w:rPr>
        <w:t>a）</w:t>
      </w:r>
      <w:r>
        <w:t>暂存区面积根据污染土壤修复量</w:t>
      </w:r>
      <w:r>
        <w:rPr>
          <w:rFonts w:hint="eastAsia"/>
        </w:rPr>
        <w:t>、修复周期、自检及效果评估验收周期等因素确定；</w:t>
      </w:r>
    </w:p>
    <w:p w14:paraId="2E05A5D6">
      <w:pPr>
        <w:widowControl/>
        <w:numPr>
          <w:ilvl w:val="-1"/>
          <w:numId w:val="0"/>
        </w:numPr>
        <w:spacing w:line="240" w:lineRule="auto"/>
        <w:ind w:firstLine="420" w:firstLineChars="200"/>
        <w:jc w:val="both"/>
        <w:rPr>
          <w:rFonts w:ascii="Times New Roman" w:hAnsi="Times New Roman" w:cs="Times New Roman"/>
        </w:rPr>
      </w:pPr>
      <w:r>
        <w:rPr>
          <w:rFonts w:hint="eastAsia"/>
        </w:rPr>
        <w:t>b）根据污染特征设置分区堆放标志</w:t>
      </w:r>
      <w:r>
        <w:rPr>
          <w:rFonts w:hint="default" w:ascii="Times New Roman" w:hAnsi="Times New Roman" w:cs="Times New Roman"/>
          <w:kern w:val="2"/>
          <w:szCs w:val="22"/>
        </w:rPr>
        <w:t>。</w:t>
      </w:r>
    </w:p>
    <w:bookmarkEnd w:id="57"/>
    <w:p w14:paraId="473A209B">
      <w:pPr>
        <w:pStyle w:val="4"/>
        <w:bidi w:val="0"/>
        <w:ind w:left="0" w:leftChars="0" w:firstLine="0" w:firstLineChars="0"/>
        <w:rPr>
          <w:rFonts w:hint="eastAsia" w:cs="Times New Roman"/>
          <w:bCs w:val="0"/>
          <w:lang w:val="en-US" w:eastAsia="zh-CN"/>
        </w:rPr>
      </w:pPr>
      <w:bookmarkStart w:id="58" w:name="_Toc15800"/>
      <w:r>
        <w:rPr>
          <w:rFonts w:hint="eastAsia" w:cs="Times New Roman"/>
          <w:bCs w:val="0"/>
          <w:lang w:val="en-US" w:eastAsia="zh-CN"/>
        </w:rPr>
        <w:t>5.2.7 辅助工程区</w:t>
      </w:r>
      <w:r>
        <w:rPr>
          <w:rFonts w:hint="eastAsia" w:ascii="黑体" w:hAnsi="黑体"/>
          <w:lang w:val="en-US" w:eastAsia="zh-CN"/>
        </w:rPr>
        <w:t>设计</w:t>
      </w:r>
      <w:bookmarkEnd w:id="58"/>
    </w:p>
    <w:p w14:paraId="6BBEF2A2">
      <w:pPr>
        <w:pStyle w:val="5"/>
        <w:bidi w:val="0"/>
        <w:rPr>
          <w:rFonts w:hint="default"/>
          <w:lang w:val="en-US" w:eastAsia="zh-CN"/>
        </w:rPr>
      </w:pPr>
      <w:r>
        <w:rPr>
          <w:rFonts w:hint="eastAsia" w:cs="Times New Roman"/>
          <w:bCs w:val="0"/>
          <w:lang w:val="en-US" w:eastAsia="zh-CN"/>
        </w:rPr>
        <w:t>5.2.7.1 药剂仓库</w:t>
      </w:r>
      <w:r>
        <w:rPr>
          <w:rFonts w:hint="eastAsia" w:ascii="黑体" w:hAnsi="黑体"/>
          <w:lang w:val="en-US" w:eastAsia="zh-CN"/>
        </w:rPr>
        <w:t>设计</w:t>
      </w:r>
    </w:p>
    <w:p w14:paraId="4C32FB5C">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药剂仓库设计应符合下列规定：</w:t>
      </w:r>
    </w:p>
    <w:p w14:paraId="5AE1DBA0">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1）根据药剂种类</w:t>
      </w:r>
      <w:r>
        <w:rPr>
          <w:rFonts w:hint="eastAsia"/>
          <w:color w:val="000000" w:themeColor="text1"/>
          <w14:textFill>
            <w14:solidFill>
              <w14:schemeClr w14:val="tx1"/>
            </w14:solidFill>
          </w14:textFill>
        </w:rPr>
        <w:t>分区</w:t>
      </w:r>
      <w:r>
        <w:rPr>
          <w:color w:val="000000" w:themeColor="text1"/>
          <w14:textFill>
            <w14:solidFill>
              <w14:schemeClr w14:val="tx1"/>
            </w14:solidFill>
          </w14:textFill>
        </w:rPr>
        <w:t>分类堆放</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根据不同类型的药剂设置信息标识牌</w:t>
      </w:r>
      <w:r>
        <w:rPr>
          <w:rFonts w:hint="eastAsia"/>
          <w:color w:val="000000" w:themeColor="text1"/>
          <w14:textFill>
            <w14:solidFill>
              <w14:schemeClr w14:val="tx1"/>
            </w14:solidFill>
          </w14:textFill>
        </w:rPr>
        <w:t>；</w:t>
      </w:r>
    </w:p>
    <w:p w14:paraId="25B375D9">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2）药剂仓库</w:t>
      </w:r>
      <w:r>
        <w:rPr>
          <w:rFonts w:hint="eastAsia"/>
          <w:color w:val="000000" w:themeColor="text1"/>
          <w14:textFill>
            <w14:solidFill>
              <w14:schemeClr w14:val="tx1"/>
            </w14:solidFill>
          </w14:textFill>
        </w:rPr>
        <w:t>应</w:t>
      </w:r>
      <w:r>
        <w:rPr>
          <w:color w:val="000000" w:themeColor="text1"/>
          <w14:textFill>
            <w14:solidFill>
              <w14:schemeClr w14:val="tx1"/>
            </w14:solidFill>
          </w14:textFill>
        </w:rPr>
        <w:t>采取通风、防渗、防腐</w:t>
      </w:r>
      <w:r>
        <w:rPr>
          <w:rFonts w:hint="eastAsia"/>
          <w:color w:val="000000" w:themeColor="text1"/>
          <w14:textFill>
            <w14:solidFill>
              <w14:schemeClr w14:val="tx1"/>
            </w14:solidFill>
          </w14:textFill>
        </w:rPr>
        <w:t>和</w:t>
      </w:r>
      <w:r>
        <w:rPr>
          <w:color w:val="000000" w:themeColor="text1"/>
          <w14:textFill>
            <w14:solidFill>
              <w14:schemeClr w14:val="tx1"/>
            </w14:solidFill>
          </w14:textFill>
        </w:rPr>
        <w:t>环境污染防治措施；</w:t>
      </w:r>
    </w:p>
    <w:p w14:paraId="65FB0E40">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hint="default" w:ascii="Times New Roman" w:hAnsi="Times New Roman" w:cs="Times New Roman"/>
          <w:color w:val="000000" w:themeColor="text1"/>
          <w:highlight w:val="none"/>
          <w14:textFill>
            <w14:solidFill>
              <w14:schemeClr w14:val="tx1"/>
            </w14:solidFill>
          </w14:textFill>
        </w:rPr>
      </w:pPr>
      <w:r>
        <w:rPr>
          <w:color w:val="000000" w:themeColor="text1"/>
          <w14:textFill>
            <w14:solidFill>
              <w14:schemeClr w14:val="tx1"/>
            </w14:solidFill>
          </w14:textFill>
        </w:rPr>
        <w:t>3）</w:t>
      </w:r>
      <w:r>
        <w:rPr>
          <w:rFonts w:hint="eastAsia"/>
          <w:color w:val="000000" w:themeColor="text1"/>
          <w14:textFill>
            <w14:solidFill>
              <w14:schemeClr w14:val="tx1"/>
            </w14:solidFill>
          </w14:textFill>
        </w:rPr>
        <w:t>危险化学品药剂储存应符合</w:t>
      </w:r>
      <w:r>
        <w:rPr>
          <w:color w:val="000000" w:themeColor="text1"/>
          <w:lang w:bidi="ar"/>
          <w14:textFill>
            <w14:solidFill>
              <w14:schemeClr w14:val="tx1"/>
            </w14:solidFill>
          </w14:textFill>
        </w:rPr>
        <w:t>GB</w:t>
      </w:r>
      <w:r>
        <w:rPr>
          <w:rFonts w:hint="eastAsia"/>
          <w:color w:val="000000" w:themeColor="text1"/>
          <w:lang w:bidi="ar"/>
          <w14:textFill>
            <w14:solidFill>
              <w14:schemeClr w14:val="tx1"/>
            </w14:solidFill>
          </w14:textFill>
        </w:rPr>
        <w:t xml:space="preserve"> 15603</w:t>
      </w:r>
      <w:r>
        <w:rPr>
          <w:rFonts w:hint="eastAsia"/>
          <w:color w:val="000000" w:themeColor="text1"/>
          <w14:textFill>
            <w14:solidFill>
              <w14:schemeClr w14:val="tx1"/>
            </w14:solidFill>
          </w14:textFill>
        </w:rPr>
        <w:t>与地方标准的规定</w:t>
      </w:r>
      <w:r>
        <w:rPr>
          <w:rFonts w:hint="default" w:ascii="Times New Roman" w:hAnsi="Times New Roman" w:cs="Times New Roman"/>
          <w:color w:val="000000" w:themeColor="text1"/>
          <w:highlight w:val="none"/>
          <w:lang w:val="en-US" w:eastAsia="zh-CN" w:bidi="ar"/>
          <w14:textFill>
            <w14:solidFill>
              <w14:schemeClr w14:val="tx1"/>
            </w14:solidFill>
          </w14:textFill>
        </w:rPr>
        <w:t>。</w:t>
      </w:r>
    </w:p>
    <w:p w14:paraId="32439089">
      <w:pPr>
        <w:pStyle w:val="5"/>
        <w:bidi w:val="0"/>
        <w:rPr>
          <w:rFonts w:hint="eastAsia" w:ascii="黑体" w:hAnsi="黑体"/>
          <w:lang w:val="en-US" w:eastAsia="zh-CN"/>
        </w:rPr>
      </w:pPr>
      <w:r>
        <w:rPr>
          <w:rFonts w:hint="eastAsia"/>
          <w:lang w:val="en-US" w:eastAsia="zh-CN"/>
        </w:rPr>
        <w:t>5.2.7.2 危废仓库</w:t>
      </w:r>
      <w:r>
        <w:rPr>
          <w:rFonts w:hint="eastAsia" w:ascii="黑体" w:hAnsi="黑体"/>
          <w:lang w:val="en-US" w:eastAsia="zh-CN"/>
        </w:rPr>
        <w:t>设计</w:t>
      </w:r>
    </w:p>
    <w:p w14:paraId="1CB31599">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危废仓库设计应符合下列规定：</w:t>
      </w:r>
    </w:p>
    <w:p w14:paraId="1D505C36">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1）根据危险废物类型分区分类堆放</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根据不同类型的危险废物设置危险废物识别标志；</w:t>
      </w:r>
    </w:p>
    <w:p w14:paraId="2EEE3DFD">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2）危废仓库采取通风、防渗、防腐</w:t>
      </w:r>
      <w:r>
        <w:rPr>
          <w:rFonts w:hint="eastAsia"/>
          <w:color w:val="000000" w:themeColor="text1"/>
          <w14:textFill>
            <w14:solidFill>
              <w14:schemeClr w14:val="tx1"/>
            </w14:solidFill>
          </w14:textFill>
        </w:rPr>
        <w:t>和</w:t>
      </w:r>
      <w:r>
        <w:rPr>
          <w:color w:val="000000" w:themeColor="text1"/>
          <w14:textFill>
            <w14:solidFill>
              <w14:schemeClr w14:val="tx1"/>
            </w14:solidFill>
          </w14:textFill>
        </w:rPr>
        <w:t>环境污染防治措施；</w:t>
      </w:r>
    </w:p>
    <w:p w14:paraId="60B54518">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color w:val="000000" w:themeColor="text1"/>
          <w14:textFill>
            <w14:solidFill>
              <w14:schemeClr w14:val="tx1"/>
            </w14:solidFill>
          </w14:textFill>
        </w:rPr>
        <w:t>3）危废仓库设计</w:t>
      </w:r>
      <w:r>
        <w:rPr>
          <w:rFonts w:hint="eastAsia"/>
          <w:color w:val="000000" w:themeColor="text1"/>
          <w14:textFill>
            <w14:solidFill>
              <w14:schemeClr w14:val="tx1"/>
            </w14:solidFill>
          </w14:textFill>
        </w:rPr>
        <w:t>应符合</w:t>
      </w:r>
      <w:r>
        <w:rPr>
          <w:color w:val="000000" w:themeColor="text1"/>
          <w14:textFill>
            <w14:solidFill>
              <w14:schemeClr w14:val="tx1"/>
            </w14:solidFill>
          </w14:textFill>
        </w:rPr>
        <w:t>GB</w:t>
      </w:r>
      <w:r>
        <w:rPr>
          <w:rFonts w:hint="eastAsia"/>
          <w:color w:val="000000" w:themeColor="text1"/>
          <w14:textFill>
            <w14:solidFill>
              <w14:schemeClr w14:val="tx1"/>
            </w14:solidFill>
          </w14:textFill>
        </w:rPr>
        <w:t xml:space="preserve"> </w:t>
      </w:r>
      <w:r>
        <w:rPr>
          <w:color w:val="000000" w:themeColor="text1"/>
          <w14:textFill>
            <w14:solidFill>
              <w14:schemeClr w14:val="tx1"/>
            </w14:solidFill>
          </w14:textFill>
        </w:rPr>
        <w:t>18597、</w:t>
      </w:r>
      <w:r>
        <w:rPr>
          <w:color w:val="000000" w:themeColor="text1"/>
          <w:lang w:bidi="ar"/>
          <w14:textFill>
            <w14:solidFill>
              <w14:schemeClr w14:val="tx1"/>
            </w14:solidFill>
          </w14:textFill>
        </w:rPr>
        <w:t>HJ</w:t>
      </w:r>
      <w:r>
        <w:rPr>
          <w:rFonts w:hint="eastAsia"/>
          <w:color w:val="000000" w:themeColor="text1"/>
          <w:lang w:bidi="ar"/>
          <w14:textFill>
            <w14:solidFill>
              <w14:schemeClr w14:val="tx1"/>
            </w14:solidFill>
          </w14:textFill>
        </w:rPr>
        <w:t xml:space="preserve"> </w:t>
      </w:r>
      <w:r>
        <w:rPr>
          <w:color w:val="000000" w:themeColor="text1"/>
          <w:lang w:bidi="ar"/>
          <w14:textFill>
            <w14:solidFill>
              <w14:schemeClr w14:val="tx1"/>
            </w14:solidFill>
          </w14:textFill>
        </w:rPr>
        <w:t>12</w:t>
      </w:r>
      <w:r>
        <w:rPr>
          <w:rFonts w:hint="eastAsia"/>
          <w:color w:val="000000" w:themeColor="text1"/>
          <w:lang w:bidi="ar"/>
          <w14:textFill>
            <w14:solidFill>
              <w14:schemeClr w14:val="tx1"/>
            </w14:solidFill>
          </w14:textFill>
        </w:rPr>
        <w:t>59、</w:t>
      </w:r>
      <w:r>
        <w:rPr>
          <w:color w:val="000000" w:themeColor="text1"/>
          <w:lang w:bidi="ar"/>
          <w14:textFill>
            <w14:solidFill>
              <w14:schemeClr w14:val="tx1"/>
            </w14:solidFill>
          </w14:textFill>
        </w:rPr>
        <w:t>HJ</w:t>
      </w:r>
      <w:r>
        <w:rPr>
          <w:rFonts w:hint="eastAsia"/>
          <w:color w:val="000000" w:themeColor="text1"/>
          <w:lang w:bidi="ar"/>
          <w14:textFill>
            <w14:solidFill>
              <w14:schemeClr w14:val="tx1"/>
            </w14:solidFill>
          </w14:textFill>
        </w:rPr>
        <w:t xml:space="preserve"> </w:t>
      </w:r>
      <w:r>
        <w:rPr>
          <w:color w:val="000000" w:themeColor="text1"/>
          <w:lang w:bidi="ar"/>
          <w14:textFill>
            <w14:solidFill>
              <w14:schemeClr w14:val="tx1"/>
            </w14:solidFill>
          </w14:textFill>
        </w:rPr>
        <w:t>1276</w:t>
      </w:r>
      <w:r>
        <w:rPr>
          <w:rFonts w:hint="eastAsia"/>
          <w:color w:val="000000" w:themeColor="text1"/>
          <w14:textFill>
            <w14:solidFill>
              <w14:schemeClr w14:val="tx1"/>
            </w14:solidFill>
          </w14:textFill>
        </w:rPr>
        <w:t>与地方标准的规</w:t>
      </w:r>
      <w:r>
        <w:rPr>
          <w:rFonts w:hint="default" w:ascii="Times New Roman" w:hAnsi="Times New Roman" w:cs="Times New Roman"/>
          <w:color w:val="000000" w:themeColor="text1"/>
          <w:highlight w:val="none"/>
          <w:lang w:val="en-US" w:eastAsia="zh-CN"/>
          <w14:textFill>
            <w14:solidFill>
              <w14:schemeClr w14:val="tx1"/>
            </w14:solidFill>
          </w14:textFill>
        </w:rPr>
        <w:t>。</w:t>
      </w:r>
    </w:p>
    <w:p w14:paraId="20333B9A">
      <w:pPr>
        <w:pStyle w:val="5"/>
        <w:bidi w:val="0"/>
        <w:rPr>
          <w:rFonts w:hint="eastAsia"/>
          <w:lang w:val="en-US" w:eastAsia="zh-CN"/>
        </w:rPr>
      </w:pPr>
      <w:r>
        <w:rPr>
          <w:rFonts w:hint="eastAsia"/>
          <w:lang w:val="en-US" w:eastAsia="zh-CN"/>
        </w:rPr>
        <w:t>5.2.7.3 办公区设计</w:t>
      </w:r>
    </w:p>
    <w:p w14:paraId="1413E1BA">
      <w:pPr>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办公区</w:t>
      </w:r>
      <w:r>
        <w:rPr>
          <w:color w:val="000000" w:themeColor="text1"/>
          <w14:textFill>
            <w14:solidFill>
              <w14:schemeClr w14:val="tx1"/>
            </w14:solidFill>
          </w14:textFill>
        </w:rPr>
        <w:t>设计应</w:t>
      </w:r>
      <w:r>
        <w:rPr>
          <w:rFonts w:hint="eastAsia"/>
          <w:color w:val="000000" w:themeColor="text1"/>
          <w14:textFill>
            <w14:solidFill>
              <w14:schemeClr w14:val="tx1"/>
            </w14:solidFill>
          </w14:textFill>
        </w:rPr>
        <w:t>满足</w:t>
      </w:r>
      <w:r>
        <w:rPr>
          <w:color w:val="000000" w:themeColor="text1"/>
          <w14:textFill>
            <w14:solidFill>
              <w14:schemeClr w14:val="tx1"/>
            </w14:solidFill>
          </w14:textFill>
        </w:rPr>
        <w:t>下列</w:t>
      </w:r>
      <w:r>
        <w:rPr>
          <w:rFonts w:hint="eastAsia"/>
          <w:color w:val="000000" w:themeColor="text1"/>
          <w14:textFill>
            <w14:solidFill>
              <w14:schemeClr w14:val="tx1"/>
            </w14:solidFill>
          </w14:textFill>
        </w:rPr>
        <w:t>要求</w:t>
      </w:r>
      <w:r>
        <w:rPr>
          <w:color w:val="000000" w:themeColor="text1"/>
          <w14:textFill>
            <w14:solidFill>
              <w14:schemeClr w14:val="tx1"/>
            </w14:solidFill>
          </w14:textFill>
        </w:rPr>
        <w:t>：</w:t>
      </w:r>
    </w:p>
    <w:p w14:paraId="59C7573D">
      <w:pPr>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1）办公区宜远离负压密闭空间、预处理区、修复治理区等作业区域</w:t>
      </w:r>
      <w:r>
        <w:rPr>
          <w:color w:val="000000" w:themeColor="text1"/>
          <w14:textFill>
            <w14:solidFill>
              <w14:schemeClr w14:val="tx1"/>
            </w14:solidFill>
          </w14:textFill>
        </w:rPr>
        <w:t>；</w:t>
      </w:r>
    </w:p>
    <w:p w14:paraId="0254100F">
      <w:pPr>
        <w:ind w:firstLine="420" w:firstLineChars="200"/>
        <w:rPr>
          <w:rFonts w:hint="default"/>
          <w:lang w:val="en-US" w:eastAsia="zh-CN"/>
        </w:rPr>
      </w:pPr>
      <w:r>
        <w:rPr>
          <w:rFonts w:hint="eastAsia"/>
          <w:color w:val="000000" w:themeColor="text1"/>
          <w14:textFill>
            <w14:solidFill>
              <w14:schemeClr w14:val="tx1"/>
            </w14:solidFill>
          </w14:textFill>
        </w:rPr>
        <w:t>2</w:t>
      </w:r>
      <w:r>
        <w:rPr>
          <w:color w:val="000000" w:themeColor="text1"/>
          <w14:textFill>
            <w14:solidFill>
              <w14:schemeClr w14:val="tx1"/>
            </w14:solidFill>
          </w14:textFill>
        </w:rPr>
        <w:t>）办公</w:t>
      </w:r>
      <w:r>
        <w:rPr>
          <w:rFonts w:hint="eastAsia"/>
          <w:color w:val="000000" w:themeColor="text1"/>
          <w14:textFill>
            <w14:solidFill>
              <w14:schemeClr w14:val="tx1"/>
            </w14:solidFill>
          </w14:textFill>
        </w:rPr>
        <w:t>区</w:t>
      </w:r>
      <w:r>
        <w:rPr>
          <w:color w:val="000000" w:themeColor="text1"/>
          <w14:textFill>
            <w14:solidFill>
              <w14:schemeClr w14:val="tx1"/>
            </w14:solidFill>
          </w14:textFill>
        </w:rPr>
        <w:t>分区明确，配置</w:t>
      </w:r>
      <w:r>
        <w:rPr>
          <w:rFonts w:hint="eastAsia"/>
          <w:color w:val="000000" w:themeColor="text1"/>
          <w14:textFill>
            <w14:solidFill>
              <w14:schemeClr w14:val="tx1"/>
            </w14:solidFill>
          </w14:textFill>
        </w:rPr>
        <w:t>办公室、会</w:t>
      </w:r>
      <w:r>
        <w:rPr>
          <w:color w:val="000000" w:themeColor="text1"/>
          <w14:textFill>
            <w14:solidFill>
              <w14:schemeClr w14:val="tx1"/>
            </w14:solidFill>
          </w14:textFill>
        </w:rPr>
        <w:t>议室等功能区，满足办公需求</w:t>
      </w:r>
      <w:r>
        <w:rPr>
          <w:rFonts w:hint="eastAsia" w:cs="Times New Roman"/>
          <w:i w:val="0"/>
          <w:iCs w:val="0"/>
          <w:caps w:val="0"/>
          <w:color w:val="000000" w:themeColor="text1"/>
          <w:spacing w:val="0"/>
          <w:kern w:val="2"/>
          <w:sz w:val="21"/>
          <w:szCs w:val="22"/>
          <w:highlight w:val="none"/>
          <w:shd w:val="clear"/>
          <w:vertAlign w:val="baseline"/>
          <w:lang w:val="en-US" w:eastAsia="zh-CN" w:bidi="ar-SA"/>
          <w14:textFill>
            <w14:solidFill>
              <w14:schemeClr w14:val="tx1"/>
            </w14:solidFill>
          </w14:textFill>
        </w:rPr>
        <w:t>。</w:t>
      </w:r>
    </w:p>
    <w:p w14:paraId="3D540431">
      <w:pPr>
        <w:pStyle w:val="5"/>
        <w:bidi w:val="0"/>
        <w:rPr>
          <w:rFonts w:hint="eastAsia"/>
          <w:lang w:val="en-US" w:eastAsia="zh-CN"/>
        </w:rPr>
      </w:pPr>
      <w:r>
        <w:rPr>
          <w:rFonts w:hint="eastAsia"/>
          <w:lang w:val="en-US" w:eastAsia="zh-CN"/>
        </w:rPr>
        <w:t>5.2.7.4 实验室设计</w:t>
      </w:r>
    </w:p>
    <w:p w14:paraId="141D3F4E">
      <w:pPr>
        <w:ind w:firstLine="420" w:firstLineChars="200"/>
      </w:pPr>
      <w:r>
        <w:rPr>
          <w:color w:val="000000" w:themeColor="text1"/>
          <w14:textFill>
            <w14:solidFill>
              <w14:schemeClr w14:val="tx1"/>
            </w14:solidFill>
          </w14:textFill>
        </w:rPr>
        <w:t>实验室设计应符合下列规定：</w:t>
      </w:r>
    </w:p>
    <w:p w14:paraId="41123FEB">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w:t>
      </w:r>
      <w:r>
        <w:rPr>
          <w:rFonts w:hint="eastAsia"/>
          <w:color w:val="000000" w:themeColor="text1"/>
          <w14:textFill>
            <w14:solidFill>
              <w14:schemeClr w14:val="tx1"/>
            </w14:solidFill>
          </w14:textFill>
        </w:rPr>
        <w:t>实验室应配备小试仪器、材料、设备，应设置</w:t>
      </w:r>
      <w:r>
        <w:rPr>
          <w:color w:val="000000" w:themeColor="text1"/>
          <w14:textFill>
            <w14:solidFill>
              <w14:schemeClr w14:val="tx1"/>
            </w14:solidFill>
          </w14:textFill>
        </w:rPr>
        <w:t>废液</w:t>
      </w:r>
      <w:r>
        <w:rPr>
          <w:rFonts w:hint="eastAsia"/>
          <w:color w:val="000000" w:themeColor="text1"/>
          <w14:textFill>
            <w14:solidFill>
              <w14:schemeClr w14:val="tx1"/>
            </w14:solidFill>
          </w14:textFill>
        </w:rPr>
        <w:t>、废气和固废</w:t>
      </w:r>
      <w:r>
        <w:rPr>
          <w:color w:val="000000" w:themeColor="text1"/>
          <w14:textFill>
            <w14:solidFill>
              <w14:schemeClr w14:val="tx1"/>
            </w14:solidFill>
          </w14:textFill>
        </w:rPr>
        <w:t>收集</w:t>
      </w:r>
      <w:r>
        <w:rPr>
          <w:rFonts w:hint="eastAsia"/>
          <w:color w:val="000000" w:themeColor="text1"/>
          <w14:textFill>
            <w14:solidFill>
              <w14:schemeClr w14:val="tx1"/>
            </w14:solidFill>
          </w14:textFill>
        </w:rPr>
        <w:t>装置</w:t>
      </w:r>
      <w:r>
        <w:rPr>
          <w:color w:val="000000" w:themeColor="text1"/>
          <w14:textFill>
            <w14:solidFill>
              <w14:schemeClr w14:val="tx1"/>
            </w14:solidFill>
          </w14:textFill>
        </w:rPr>
        <w:t>；</w:t>
      </w:r>
    </w:p>
    <w:p w14:paraId="71F9AFA6">
      <w:pPr>
        <w:numPr>
          <w:ilvl w:val="0"/>
          <w:numId w:val="0"/>
        </w:numPr>
        <w:ind w:firstLine="420" w:firstLineChars="200"/>
        <w:rPr>
          <w:rFonts w:hint="default"/>
          <w:lang w:val="en-US" w:eastAsia="zh-CN"/>
        </w:rPr>
      </w:pPr>
      <w:r>
        <w:rPr>
          <w:color w:val="000000" w:themeColor="text1"/>
          <w14:textFill>
            <w14:solidFill>
              <w14:schemeClr w14:val="tx1"/>
            </w14:solidFill>
          </w14:textFill>
        </w:rPr>
        <w:t>2）实验室设计应</w:t>
      </w:r>
      <w:r>
        <w:rPr>
          <w:rFonts w:hint="eastAsia"/>
          <w:color w:val="000000" w:themeColor="text1"/>
          <w14:textFill>
            <w14:solidFill>
              <w14:schemeClr w14:val="tx1"/>
            </w14:solidFill>
          </w14:textFill>
        </w:rPr>
        <w:t xml:space="preserve">符合 </w:t>
      </w:r>
      <w:r>
        <w:rPr>
          <w:color w:val="000000" w:themeColor="text1"/>
          <w14:textFill>
            <w14:solidFill>
              <w14:schemeClr w14:val="tx1"/>
            </w14:solidFill>
          </w14:textFill>
        </w:rPr>
        <w:t>GB/T 32146</w:t>
      </w:r>
      <w:r>
        <w:rPr>
          <w:rFonts w:hint="eastAsia"/>
          <w:color w:val="000000" w:themeColor="text1"/>
          <w14:textFill>
            <w14:solidFill>
              <w14:schemeClr w14:val="tx1"/>
            </w14:solidFill>
          </w14:textFill>
        </w:rPr>
        <w:t>.1与地方标准的规定</w:t>
      </w:r>
      <w:r>
        <w:rPr>
          <w:rFonts w:ascii="Times New Roman" w:hAnsi="Times New Roman" w:eastAsia="宋体" w:cs="Times New Roman"/>
          <w:i w:val="0"/>
          <w:iCs w:val="0"/>
          <w:caps w:val="0"/>
          <w:color w:val="000000" w:themeColor="text1"/>
          <w:spacing w:val="0"/>
          <w:sz w:val="21"/>
          <w:szCs w:val="22"/>
          <w:highlight w:val="none"/>
          <w:shd w:val="clear"/>
          <w14:textFill>
            <w14:solidFill>
              <w14:schemeClr w14:val="tx1"/>
            </w14:solidFill>
          </w14:textFill>
        </w:rPr>
        <w:t>。</w:t>
      </w:r>
    </w:p>
    <w:p w14:paraId="2A735CCD">
      <w:pPr>
        <w:pStyle w:val="5"/>
        <w:bidi w:val="0"/>
        <w:rPr>
          <w:rFonts w:hint="eastAsia"/>
          <w:lang w:val="en-US" w:eastAsia="zh-CN"/>
        </w:rPr>
      </w:pPr>
      <w:r>
        <w:rPr>
          <w:rFonts w:hint="eastAsia"/>
          <w:lang w:val="en-US" w:eastAsia="zh-CN"/>
        </w:rPr>
        <w:t>5.2.7.5 道路设计</w:t>
      </w:r>
    </w:p>
    <w:p w14:paraId="50DE4B15">
      <w:pPr>
        <w:ind w:firstLine="420" w:firstLineChars="200"/>
        <w:jc w:val="left"/>
        <w:rPr>
          <w:color w:val="000000" w:themeColor="text1"/>
          <w:lang w:bidi="ar"/>
          <w14:textFill>
            <w14:solidFill>
              <w14:schemeClr w14:val="tx1"/>
            </w14:solidFill>
          </w14:textFill>
        </w:rPr>
      </w:pPr>
      <w:r>
        <w:rPr>
          <w:rFonts w:hint="eastAsia"/>
          <w:color w:val="000000" w:themeColor="text1"/>
          <w:lang w:bidi="ar"/>
          <w14:textFill>
            <w14:solidFill>
              <w14:schemeClr w14:val="tx1"/>
            </w14:solidFill>
          </w14:textFill>
        </w:rPr>
        <w:t>道路设计应符合下列规定：</w:t>
      </w:r>
    </w:p>
    <w:p w14:paraId="7AF3486E">
      <w:pPr>
        <w:ind w:firstLine="420" w:firstLineChars="200"/>
        <w:jc w:val="left"/>
        <w:rPr>
          <w:color w:val="000000" w:themeColor="text1"/>
          <w:lang w:bidi="ar"/>
          <w14:textFill>
            <w14:solidFill>
              <w14:schemeClr w14:val="tx1"/>
            </w14:solidFill>
          </w14:textFill>
        </w:rPr>
      </w:pPr>
      <w:r>
        <w:rPr>
          <w:color w:val="000000" w:themeColor="text1"/>
          <w:lang w:bidi="ar"/>
          <w14:textFill>
            <w14:solidFill>
              <w14:schemeClr w14:val="tx1"/>
            </w14:solidFill>
          </w14:textFill>
        </w:rPr>
        <w:t>1）应满足</w:t>
      </w:r>
      <w:r>
        <w:rPr>
          <w:rFonts w:hint="eastAsia"/>
          <w:color w:val="000000" w:themeColor="text1"/>
          <w:lang w:bidi="ar"/>
          <w14:textFill>
            <w14:solidFill>
              <w14:schemeClr w14:val="tx1"/>
            </w14:solidFill>
          </w14:textFill>
        </w:rPr>
        <w:t>运输车辆、机械设备</w:t>
      </w:r>
      <w:r>
        <w:rPr>
          <w:color w:val="000000" w:themeColor="text1"/>
          <w:lang w:bidi="ar"/>
          <w14:textFill>
            <w14:solidFill>
              <w14:schemeClr w14:val="tx1"/>
            </w14:solidFill>
          </w14:textFill>
        </w:rPr>
        <w:t>最大荷载</w:t>
      </w:r>
      <w:r>
        <w:rPr>
          <w:rFonts w:hint="eastAsia"/>
          <w:color w:val="000000" w:themeColor="text1"/>
          <w:lang w:bidi="ar"/>
          <w14:textFill>
            <w14:solidFill>
              <w14:schemeClr w14:val="tx1"/>
            </w14:solidFill>
          </w14:textFill>
        </w:rPr>
        <w:t>；</w:t>
      </w:r>
    </w:p>
    <w:p w14:paraId="622EA210">
      <w:pPr>
        <w:ind w:firstLine="420" w:firstLineChars="200"/>
        <w:jc w:val="left"/>
        <w:rPr>
          <w:color w:val="000000" w:themeColor="text1"/>
          <w:lang w:bidi="ar"/>
          <w14:textFill>
            <w14:solidFill>
              <w14:schemeClr w14:val="tx1"/>
            </w14:solidFill>
          </w14:textFill>
        </w:rPr>
      </w:pPr>
      <w:r>
        <w:rPr>
          <w:rFonts w:hint="eastAsia"/>
          <w:color w:val="000000" w:themeColor="text1"/>
          <w:lang w:bidi="ar"/>
          <w14:textFill>
            <w14:solidFill>
              <w14:schemeClr w14:val="tx1"/>
            </w14:solidFill>
          </w14:textFill>
        </w:rPr>
        <w:t>2）路面宽度不宜小于6 m；</w:t>
      </w:r>
    </w:p>
    <w:p w14:paraId="320C34A0">
      <w:pPr>
        <w:ind w:firstLine="420" w:firstLineChars="200"/>
        <w:jc w:val="left"/>
        <w:rPr>
          <w:color w:val="000000" w:themeColor="text1"/>
          <w:lang w:bidi="ar"/>
          <w14:textFill>
            <w14:solidFill>
              <w14:schemeClr w14:val="tx1"/>
            </w14:solidFill>
          </w14:textFill>
        </w:rPr>
      </w:pPr>
      <w:r>
        <w:rPr>
          <w:rFonts w:hint="eastAsia"/>
          <w:color w:val="000000" w:themeColor="text1"/>
          <w:lang w:bidi="ar"/>
          <w14:textFill>
            <w14:solidFill>
              <w14:schemeClr w14:val="tx1"/>
            </w14:solidFill>
          </w14:textFill>
        </w:rPr>
        <w:t>3）道路两侧宜设置排水沟；</w:t>
      </w:r>
    </w:p>
    <w:p w14:paraId="20EED596">
      <w:pPr>
        <w:keepNext w:val="0"/>
        <w:keepLines w:val="0"/>
        <w:widowControl w:val="0"/>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420" w:firstLineChars="200"/>
        <w:jc w:val="left"/>
        <w:textAlignment w:val="auto"/>
        <w:rPr>
          <w:rFonts w:hint="default" w:ascii="Times New Roman" w:hAnsi="Times New Roman" w:eastAsia="宋体" w:cs="Times New Roman"/>
          <w:i w:val="0"/>
          <w:iCs w:val="0"/>
          <w:caps w:val="0"/>
          <w:color w:val="000000" w:themeColor="text1"/>
          <w:spacing w:val="0"/>
          <w:kern w:val="2"/>
          <w:sz w:val="21"/>
          <w:szCs w:val="22"/>
          <w:highlight w:val="none"/>
          <w:shd w:val="clear"/>
          <w:vertAlign w:val="baseline"/>
          <w:lang w:val="en-US" w:eastAsia="zh-CN" w:bidi="ar"/>
          <w14:textFill>
            <w14:solidFill>
              <w14:schemeClr w14:val="tx1"/>
            </w14:solidFill>
          </w14:textFill>
        </w:rPr>
      </w:pPr>
      <w:r>
        <w:rPr>
          <w:rFonts w:hint="eastAsia"/>
          <w:color w:val="000000" w:themeColor="text1"/>
          <w:lang w:bidi="ar"/>
          <w14:textFill>
            <w14:solidFill>
              <w14:schemeClr w14:val="tx1"/>
            </w14:solidFill>
          </w14:textFill>
        </w:rPr>
        <w:t>4）进出口道路宜同步设置地磅及洗车台</w:t>
      </w:r>
      <w:r>
        <w:rPr>
          <w:rFonts w:hint="eastAsia" w:cs="Times New Roman"/>
          <w:i w:val="0"/>
          <w:iCs w:val="0"/>
          <w:caps w:val="0"/>
          <w:color w:val="000000" w:themeColor="text1"/>
          <w:spacing w:val="0"/>
          <w:kern w:val="2"/>
          <w:sz w:val="21"/>
          <w:szCs w:val="22"/>
          <w:highlight w:val="none"/>
          <w:shd w:val="clear"/>
          <w:vertAlign w:val="baseline"/>
          <w:lang w:val="en-US" w:eastAsia="zh-CN" w:bidi="ar"/>
          <w14:textFill>
            <w14:solidFill>
              <w14:schemeClr w14:val="tx1"/>
            </w14:solidFill>
          </w14:textFill>
        </w:rPr>
        <w:t>。</w:t>
      </w:r>
    </w:p>
    <w:p w14:paraId="392834B1">
      <w:pPr>
        <w:rPr>
          <w:rFonts w:hint="default"/>
          <w:lang w:val="en-US" w:eastAsia="zh-CN"/>
        </w:rPr>
      </w:pPr>
    </w:p>
    <w:p w14:paraId="660459CF">
      <w:pPr>
        <w:pStyle w:val="4"/>
        <w:bidi w:val="0"/>
        <w:ind w:left="0" w:leftChars="0" w:firstLine="0" w:firstLineChars="0"/>
        <w:rPr>
          <w:rFonts w:hint="eastAsia"/>
          <w:lang w:val="en-US" w:eastAsia="zh-CN"/>
        </w:rPr>
      </w:pPr>
      <w:bookmarkStart w:id="59" w:name="_Toc946"/>
      <w:r>
        <w:rPr>
          <w:rFonts w:hint="eastAsia"/>
          <w:lang w:val="en-US" w:eastAsia="zh-CN"/>
        </w:rPr>
        <w:t>5.2.8配套设施设计</w:t>
      </w:r>
      <w:bookmarkEnd w:id="59"/>
    </w:p>
    <w:p w14:paraId="07AB93E2">
      <w:pPr>
        <w:pStyle w:val="5"/>
        <w:bidi w:val="0"/>
        <w:rPr>
          <w:rFonts w:hint="eastAsia"/>
          <w:lang w:val="en-US" w:eastAsia="zh-CN"/>
        </w:rPr>
      </w:pPr>
      <w:r>
        <w:rPr>
          <w:rFonts w:hint="eastAsia"/>
          <w:lang w:val="en-US" w:eastAsia="zh-CN"/>
        </w:rPr>
        <w:t>5.2.8.1 能源供应设计</w:t>
      </w:r>
    </w:p>
    <w:p w14:paraId="5D164DE0">
      <w:pPr>
        <w:ind w:firstLine="420" w:firstLineChars="200"/>
        <w:rPr>
          <w:color w:val="000000" w:themeColor="text1"/>
          <w14:textFill>
            <w14:solidFill>
              <w14:schemeClr w14:val="tx1"/>
            </w14:solidFill>
          </w14:textFill>
        </w:rPr>
      </w:pPr>
      <w:r>
        <w:rPr>
          <w:rFonts w:hint="eastAsia"/>
          <w:color w:val="000000" w:themeColor="text1"/>
          <w:kern w:val="0"/>
          <w:szCs w:val="20"/>
          <w14:textFill>
            <w14:solidFill>
              <w14:schemeClr w14:val="tx1"/>
            </w14:solidFill>
          </w14:textFill>
        </w:rPr>
        <w:t>能源供应</w:t>
      </w:r>
      <w:r>
        <w:rPr>
          <w:color w:val="000000" w:themeColor="text1"/>
          <w14:textFill>
            <w14:solidFill>
              <w14:schemeClr w14:val="tx1"/>
            </w14:solidFill>
          </w14:textFill>
        </w:rPr>
        <w:t>设计应符合下列规定：</w:t>
      </w:r>
    </w:p>
    <w:p w14:paraId="3BB66EEE">
      <w:pPr>
        <w:ind w:firstLine="420" w:firstLineChars="200"/>
      </w:pPr>
      <w:r>
        <w:rPr>
          <w:rFonts w:hint="eastAsia"/>
        </w:rPr>
        <w:t>1）修复能源可采用电力、天然气、燃油等，宜配置光伏等绿色能源设施；</w:t>
      </w:r>
    </w:p>
    <w:p w14:paraId="60CA7128">
      <w:pPr>
        <w:ind w:firstLine="420" w:firstLineChars="200"/>
      </w:pPr>
      <w:r>
        <w:rPr>
          <w:rFonts w:hint="eastAsia"/>
        </w:rPr>
        <w:t>2）电力系统设计应符合GB 50034、GB 50052、GB 50054、GB 50065与地方标准的规定；</w:t>
      </w:r>
    </w:p>
    <w:p w14:paraId="5163FD6C">
      <w:pPr>
        <w:ind w:firstLine="420" w:firstLineChars="200"/>
      </w:pPr>
      <w:r>
        <w:rPr>
          <w:rFonts w:hint="eastAsia"/>
        </w:rPr>
        <w:t>3）燃气贮存与供应符合 GB 50028与地方标准的规定；</w:t>
      </w:r>
    </w:p>
    <w:p w14:paraId="4964E205">
      <w:pPr>
        <w:numPr>
          <w:ilvl w:val="0"/>
          <w:numId w:val="0"/>
        </w:numPr>
        <w:ind w:firstLine="420" w:firstLineChars="200"/>
        <w:rPr>
          <w:rFonts w:hint="eastAsia" w:cs="Times New Roman"/>
          <w:i w:val="0"/>
          <w:iCs w:val="0"/>
          <w:caps w:val="0"/>
          <w:color w:val="auto"/>
          <w:spacing w:val="0"/>
          <w:sz w:val="21"/>
          <w:szCs w:val="22"/>
          <w:highlight w:val="none"/>
          <w:shd w:val="clear"/>
          <w:lang w:eastAsia="zh-CN"/>
        </w:rPr>
      </w:pPr>
      <w:r>
        <w:rPr>
          <w:rFonts w:hint="eastAsia"/>
        </w:rPr>
        <w:t>4）燃油贮存与供应符合 GB 50759与地方标准的规定</w:t>
      </w:r>
      <w:r>
        <w:rPr>
          <w:rFonts w:hint="eastAsia" w:cs="Times New Roman"/>
          <w:i w:val="0"/>
          <w:iCs w:val="0"/>
          <w:caps w:val="0"/>
          <w:color w:val="auto"/>
          <w:spacing w:val="0"/>
          <w:sz w:val="21"/>
          <w:szCs w:val="22"/>
          <w:highlight w:val="none"/>
          <w:shd w:val="clear"/>
          <w:lang w:eastAsia="zh-CN"/>
        </w:rPr>
        <w:t>。</w:t>
      </w:r>
    </w:p>
    <w:p w14:paraId="2203DACC">
      <w:pPr>
        <w:pStyle w:val="5"/>
        <w:bidi w:val="0"/>
        <w:rPr>
          <w:rFonts w:hint="default"/>
          <w:lang w:val="en-US" w:eastAsia="zh-CN"/>
        </w:rPr>
      </w:pPr>
      <w:r>
        <w:rPr>
          <w:rFonts w:hint="eastAsia"/>
          <w:lang w:val="en-US" w:eastAsia="zh-CN"/>
        </w:rPr>
        <w:t>5.2.8</w:t>
      </w:r>
      <w:r>
        <w:rPr>
          <w:rFonts w:hint="default"/>
          <w:lang w:val="en-US" w:eastAsia="zh-CN"/>
        </w:rPr>
        <w:t>.2 给排水及消防设计</w:t>
      </w:r>
    </w:p>
    <w:p w14:paraId="1C507F8C">
      <w:pPr>
        <w:ind w:firstLine="420" w:firstLineChars="200"/>
      </w:pPr>
      <w:r>
        <w:rPr>
          <w:color w:val="000000" w:themeColor="text1"/>
          <w:kern w:val="0"/>
          <w:szCs w:val="20"/>
          <w14:textFill>
            <w14:solidFill>
              <w14:schemeClr w14:val="tx1"/>
            </w14:solidFill>
          </w14:textFill>
        </w:rPr>
        <w:t>给排水及消防</w:t>
      </w:r>
      <w:r>
        <w:rPr>
          <w:color w:val="000000" w:themeColor="text1"/>
          <w14:textFill>
            <w14:solidFill>
              <w14:schemeClr w14:val="tx1"/>
            </w14:solidFill>
          </w14:textFill>
        </w:rPr>
        <w:t>设计应符合下列规定：</w:t>
      </w:r>
    </w:p>
    <w:p w14:paraId="5739D7B4">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1）给水系统应保证水量、水压和水质；</w:t>
      </w:r>
    </w:p>
    <w:p w14:paraId="6114F6EB">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2）排水系统采用雨污分流，生产废水、生活污水、初期雨水分质收集、处理并达标排放；</w:t>
      </w:r>
    </w:p>
    <w:p w14:paraId="7C51901A">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3）消防用水独立储存，水量、水压满足室内外消火栓及自动灭火系统要求，并设稳压装置；</w:t>
      </w:r>
    </w:p>
    <w:p w14:paraId="679FC4EB">
      <w:pPr>
        <w:numPr>
          <w:ilvl w:val="0"/>
          <w:numId w:val="0"/>
        </w:numPr>
        <w:ind w:firstLine="420" w:firstLineChars="200"/>
        <w:rPr>
          <w:rFonts w:hint="default" w:ascii="Times New Roman" w:hAnsi="Times New Roman" w:cs="Times New Roman"/>
          <w:color w:val="000000" w:themeColor="text1"/>
          <w:kern w:val="2"/>
          <w:sz w:val="21"/>
          <w:szCs w:val="22"/>
          <w:highlight w:val="none"/>
          <w:lang w:val="en-US" w:eastAsia="zh-CN" w:bidi="ar-SA"/>
          <w14:textFill>
            <w14:solidFill>
              <w14:schemeClr w14:val="tx1"/>
            </w14:solidFill>
          </w14:textFill>
        </w:rPr>
      </w:pPr>
      <w:r>
        <w:rPr>
          <w:color w:val="000000" w:themeColor="text1"/>
          <w14:textFill>
            <w14:solidFill>
              <w14:schemeClr w14:val="tx1"/>
            </w14:solidFill>
          </w14:textFill>
        </w:rPr>
        <w:t>4）</w:t>
      </w:r>
      <w:r>
        <w:rPr>
          <w:color w:val="000000" w:themeColor="text1"/>
          <w:kern w:val="0"/>
          <w:szCs w:val="20"/>
          <w14:textFill>
            <w14:solidFill>
              <w14:schemeClr w14:val="tx1"/>
            </w14:solidFill>
          </w14:textFill>
        </w:rPr>
        <w:t>给排水及消防</w:t>
      </w:r>
      <w:r>
        <w:rPr>
          <w:color w:val="000000" w:themeColor="text1"/>
          <w14:textFill>
            <w14:solidFill>
              <w14:schemeClr w14:val="tx1"/>
            </w14:solidFill>
          </w14:textFill>
        </w:rPr>
        <w:t>设计应符合</w:t>
      </w:r>
      <w:r>
        <w:rPr>
          <w:lang w:bidi="ar"/>
        </w:rPr>
        <w:t xml:space="preserve">GB 50013 </w:t>
      </w:r>
      <w:r>
        <w:rPr>
          <w:rFonts w:hint="eastAsia"/>
          <w:lang w:bidi="ar"/>
        </w:rPr>
        <w:t>、GB 50014、</w:t>
      </w:r>
      <w:r>
        <w:rPr>
          <w:lang w:bidi="ar"/>
        </w:rPr>
        <w:t>GB 50015</w:t>
      </w:r>
      <w:r>
        <w:rPr>
          <w:rFonts w:hint="eastAsia"/>
          <w:lang w:bidi="ar"/>
        </w:rPr>
        <w:t>、</w:t>
      </w:r>
      <w:r>
        <w:rPr>
          <w:lang w:bidi="ar"/>
        </w:rPr>
        <w:t>GB 5001</w:t>
      </w:r>
      <w:r>
        <w:rPr>
          <w:rFonts w:hint="eastAsia"/>
          <w:lang w:bidi="ar"/>
        </w:rPr>
        <w:t>6</w:t>
      </w:r>
      <w:r>
        <w:rPr>
          <w:lang w:bidi="ar"/>
        </w:rPr>
        <w:t xml:space="preserve"> </w:t>
      </w:r>
      <w:r>
        <w:rPr>
          <w:rFonts w:hint="eastAsia"/>
          <w:lang w:bidi="ar"/>
        </w:rPr>
        <w:t>、</w:t>
      </w:r>
      <w:r>
        <w:rPr>
          <w:lang w:bidi="ar"/>
        </w:rPr>
        <w:t>GB 50</w:t>
      </w:r>
      <w:r>
        <w:rPr>
          <w:rFonts w:hint="eastAsia"/>
          <w:lang w:bidi="ar"/>
        </w:rPr>
        <w:t>140</w:t>
      </w:r>
      <w:r>
        <w:rPr>
          <w:lang w:bidi="ar"/>
        </w:rPr>
        <w:t xml:space="preserve"> </w:t>
      </w:r>
      <w:r>
        <w:rPr>
          <w:rFonts w:hint="eastAsia"/>
          <w:color w:val="000000" w:themeColor="text1"/>
          <w14:textFill>
            <w14:solidFill>
              <w14:schemeClr w14:val="tx1"/>
            </w14:solidFill>
          </w14:textFill>
        </w:rPr>
        <w:t>与地方标准的规定</w:t>
      </w:r>
      <w:r>
        <w:rPr>
          <w:rFonts w:ascii="Times New Roman" w:hAnsi="Times New Roman" w:eastAsia="宋体" w:cs="Times New Roman"/>
          <w:i w:val="0"/>
          <w:iCs w:val="0"/>
          <w:caps w:val="0"/>
          <w:color w:val="000000" w:themeColor="text1"/>
          <w:spacing w:val="0"/>
          <w:sz w:val="21"/>
          <w:szCs w:val="22"/>
          <w:highlight w:val="none"/>
          <w:shd w:val="clear"/>
          <w14:textFill>
            <w14:solidFill>
              <w14:schemeClr w14:val="tx1"/>
            </w14:solidFill>
          </w14:textFill>
        </w:rPr>
        <w:t>。</w:t>
      </w:r>
    </w:p>
    <w:p w14:paraId="7FEB0CB4">
      <w:pPr>
        <w:pStyle w:val="5"/>
        <w:bidi w:val="0"/>
        <w:rPr>
          <w:rFonts w:hint="default"/>
          <w:lang w:val="en-US" w:eastAsia="zh-CN"/>
        </w:rPr>
      </w:pPr>
      <w:r>
        <w:rPr>
          <w:rFonts w:hint="eastAsia"/>
          <w:lang w:val="en-US" w:eastAsia="zh-CN"/>
        </w:rPr>
        <w:t xml:space="preserve">5.2.8.3 </w:t>
      </w:r>
      <w:r>
        <w:rPr>
          <w:rFonts w:hint="default"/>
          <w:lang w:val="en-US" w:eastAsia="zh-CN"/>
        </w:rPr>
        <w:t>通风与空气调节设计</w:t>
      </w:r>
    </w:p>
    <w:p w14:paraId="3C09008A">
      <w:pPr>
        <w:ind w:firstLine="420" w:firstLineChars="200"/>
      </w:pPr>
      <w:r>
        <w:rPr>
          <w:color w:val="000000" w:themeColor="text1"/>
          <w:kern w:val="0"/>
          <w:szCs w:val="20"/>
          <w14:textFill>
            <w14:solidFill>
              <w14:schemeClr w14:val="tx1"/>
            </w14:solidFill>
          </w14:textFill>
        </w:rPr>
        <w:t>通风与空气调节</w:t>
      </w:r>
      <w:r>
        <w:rPr>
          <w:color w:val="000000" w:themeColor="text1"/>
          <w14:textFill>
            <w14:solidFill>
              <w14:schemeClr w14:val="tx1"/>
            </w14:solidFill>
          </w14:textFill>
        </w:rPr>
        <w:t>设计应符合下列规定：</w:t>
      </w:r>
    </w:p>
    <w:p w14:paraId="406690AA">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w:t>
      </w:r>
      <w:r>
        <w:rPr>
          <w:rFonts w:hint="eastAsia"/>
          <w:color w:val="000000" w:themeColor="text1"/>
          <w14:textFill>
            <w14:solidFill>
              <w14:schemeClr w14:val="tx1"/>
            </w14:solidFill>
          </w14:textFill>
        </w:rPr>
        <w:t>宜采用自然通风、机械通</w:t>
      </w:r>
      <w:r>
        <w:rPr>
          <w:color w:val="000000" w:themeColor="text1"/>
          <w14:textFill>
            <w14:solidFill>
              <w14:schemeClr w14:val="tx1"/>
            </w14:solidFill>
          </w14:textFill>
        </w:rPr>
        <w:t>风</w:t>
      </w:r>
      <w:r>
        <w:rPr>
          <w:rFonts w:hint="eastAsia"/>
          <w:color w:val="000000" w:themeColor="text1"/>
          <w14:textFill>
            <w14:solidFill>
              <w14:schemeClr w14:val="tx1"/>
            </w14:solidFill>
          </w14:textFill>
        </w:rPr>
        <w:t>、自然与机械联合通风设计</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防爆区域采用事故通风兼换气通风；</w:t>
      </w:r>
    </w:p>
    <w:p w14:paraId="39C89E21">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2）根据</w:t>
      </w:r>
      <w:r>
        <w:rPr>
          <w:rFonts w:hint="eastAsia"/>
          <w:color w:val="000000" w:themeColor="text1"/>
          <w14:textFill>
            <w14:solidFill>
              <w14:schemeClr w14:val="tx1"/>
            </w14:solidFill>
          </w14:textFill>
        </w:rPr>
        <w:t>修复</w:t>
      </w:r>
      <w:r>
        <w:rPr>
          <w:color w:val="000000" w:themeColor="text1"/>
          <w14:textFill>
            <w14:solidFill>
              <w14:schemeClr w14:val="tx1"/>
            </w14:solidFill>
          </w14:textFill>
        </w:rPr>
        <w:t>工艺及职业卫生要求设置</w:t>
      </w:r>
      <w:r>
        <w:rPr>
          <w:rFonts w:hint="eastAsia"/>
          <w:color w:val="000000" w:themeColor="text1"/>
          <w14:textFill>
            <w14:solidFill>
              <w14:schemeClr w14:val="tx1"/>
            </w14:solidFill>
          </w14:textFill>
        </w:rPr>
        <w:t>作业区</w:t>
      </w:r>
      <w:r>
        <w:rPr>
          <w:color w:val="000000" w:themeColor="text1"/>
          <w14:textFill>
            <w14:solidFill>
              <w14:schemeClr w14:val="tx1"/>
            </w14:solidFill>
          </w14:textFill>
        </w:rPr>
        <w:t>换气次数；</w:t>
      </w:r>
    </w:p>
    <w:p w14:paraId="335CA3A1">
      <w:pPr>
        <w:numPr>
          <w:ilvl w:val="0"/>
          <w:numId w:val="0"/>
        </w:numPr>
        <w:ind w:firstLine="420" w:firstLineChars="200"/>
        <w:rPr>
          <w:rFonts w:hint="default"/>
          <w:lang w:val="en-US" w:eastAsia="zh-CN"/>
        </w:rPr>
      </w:pPr>
      <w:r>
        <w:rPr>
          <w:color w:val="000000" w:themeColor="text1"/>
          <w14:textFill>
            <w14:solidFill>
              <w14:schemeClr w14:val="tx1"/>
            </w14:solidFill>
          </w14:textFill>
        </w:rPr>
        <w:t>3）</w:t>
      </w:r>
      <w:r>
        <w:rPr>
          <w:color w:val="000000" w:themeColor="text1"/>
          <w:kern w:val="0"/>
          <w:szCs w:val="20"/>
          <w14:textFill>
            <w14:solidFill>
              <w14:schemeClr w14:val="tx1"/>
            </w14:solidFill>
          </w14:textFill>
        </w:rPr>
        <w:t>通风与空气调节设计</w:t>
      </w:r>
      <w:r>
        <w:rPr>
          <w:color w:val="000000" w:themeColor="text1"/>
          <w14:textFill>
            <w14:solidFill>
              <w14:schemeClr w14:val="tx1"/>
            </w14:solidFill>
          </w14:textFill>
        </w:rPr>
        <w:t>应符合GB 50019</w:t>
      </w:r>
      <w:r>
        <w:rPr>
          <w:rFonts w:hint="eastAsia"/>
          <w:color w:val="000000" w:themeColor="text1"/>
          <w14:textFill>
            <w14:solidFill>
              <w14:schemeClr w14:val="tx1"/>
            </w14:solidFill>
          </w14:textFill>
        </w:rPr>
        <w:t>与地方标准的规定</w:t>
      </w:r>
      <w:r>
        <w:rPr>
          <w:rFonts w:ascii="Times New Roman" w:hAnsi="Times New Roman" w:eastAsia="宋体" w:cs="Times New Roman"/>
          <w:i w:val="0"/>
          <w:iCs w:val="0"/>
          <w:caps w:val="0"/>
          <w:color w:val="000000" w:themeColor="text1"/>
          <w:spacing w:val="0"/>
          <w:sz w:val="21"/>
          <w:szCs w:val="22"/>
          <w:highlight w:val="none"/>
          <w:shd w:val="clear"/>
          <w14:textFill>
            <w14:solidFill>
              <w14:schemeClr w14:val="tx1"/>
            </w14:solidFill>
          </w14:textFill>
        </w:rPr>
        <w:t>。</w:t>
      </w:r>
    </w:p>
    <w:p w14:paraId="0B01E2DD">
      <w:pPr>
        <w:pStyle w:val="3"/>
        <w:spacing w:line="240" w:lineRule="auto"/>
        <w:rPr>
          <w:rFonts w:hint="eastAsia" w:cs="Times New Roman"/>
          <w:bCs w:val="0"/>
          <w:lang w:val="en-US" w:eastAsia="zh-CN"/>
        </w:rPr>
      </w:pPr>
      <w:bookmarkStart w:id="60" w:name="_Toc23012"/>
      <w:r>
        <w:rPr>
          <w:rFonts w:hint="eastAsia" w:cs="Times New Roman"/>
          <w:bCs w:val="0"/>
          <w:lang w:val="en-US" w:eastAsia="zh-CN"/>
        </w:rPr>
        <w:t>5.3 施工</w:t>
      </w:r>
      <w:bookmarkEnd w:id="60"/>
    </w:p>
    <w:p w14:paraId="4890567D">
      <w:pPr>
        <w:pStyle w:val="4"/>
        <w:bidi w:val="0"/>
        <w:spacing w:line="240" w:lineRule="auto"/>
        <w:ind w:left="0" w:leftChars="0" w:firstLine="0" w:firstLineChars="0"/>
        <w:rPr>
          <w:rFonts w:hint="eastAsia"/>
          <w:lang w:val="en-US" w:eastAsia="zh-CN"/>
        </w:rPr>
      </w:pPr>
      <w:bookmarkStart w:id="61" w:name="_Toc22301"/>
      <w:r>
        <w:rPr>
          <w:rFonts w:hint="eastAsia"/>
          <w:lang w:val="en-US" w:eastAsia="zh-CN"/>
        </w:rPr>
        <w:t>5.3.1 设备</w:t>
      </w:r>
      <w:bookmarkEnd w:id="61"/>
    </w:p>
    <w:p w14:paraId="3FB58EF6">
      <w:pPr>
        <w:spacing w:line="240" w:lineRule="auto"/>
        <w:ind w:firstLine="420" w:firstLineChars="200"/>
        <w:rPr>
          <w:rFonts w:hint="default" w:ascii="Times New Roman" w:hAnsi="Times New Roman" w:eastAsia="宋体" w:cs="Times New Roman"/>
          <w:i w:val="0"/>
          <w:iCs w:val="0"/>
          <w:caps w:val="0"/>
          <w:spacing w:val="0"/>
        </w:rPr>
      </w:pPr>
      <w:r>
        <w:rPr>
          <w:rFonts w:hint="eastAsia"/>
          <w:lang w:bidi="ar"/>
        </w:rPr>
        <w:t>设备安装应符合</w:t>
      </w:r>
      <w:r>
        <w:rPr>
          <w:lang w:bidi="ar"/>
        </w:rPr>
        <w:t xml:space="preserve"> GB 50231、GB 50235、GB 150</w:t>
      </w:r>
      <w:r>
        <w:rPr>
          <w:rFonts w:hint="eastAsia"/>
          <w:lang w:bidi="ar"/>
        </w:rPr>
        <w:t>.1</w:t>
      </w:r>
      <w:r>
        <w:rPr>
          <w:rFonts w:hint="eastAsia"/>
          <w:color w:val="000000" w:themeColor="text1"/>
          <w14:textFill>
            <w14:solidFill>
              <w14:schemeClr w14:val="tx1"/>
            </w14:solidFill>
          </w14:textFill>
        </w:rPr>
        <w:t>的规定</w:t>
      </w:r>
      <w:r>
        <w:rPr>
          <w:rFonts w:hint="default" w:ascii="Times New Roman" w:hAnsi="Times New Roman" w:eastAsia="宋体" w:cs="Times New Roman"/>
          <w:i w:val="0"/>
          <w:iCs w:val="0"/>
          <w:caps w:val="0"/>
          <w:spacing w:val="0"/>
          <w:kern w:val="2"/>
          <w:sz w:val="21"/>
          <w:szCs w:val="22"/>
          <w:shd w:val="clear"/>
          <w:vertAlign w:val="baseline"/>
          <w:lang w:val="en-US" w:eastAsia="zh-CN" w:bidi="ar"/>
        </w:rPr>
        <w:t>。</w:t>
      </w:r>
    </w:p>
    <w:p w14:paraId="6AB8D2A8">
      <w:pPr>
        <w:pStyle w:val="4"/>
        <w:numPr>
          <w:ilvl w:val="2"/>
          <w:numId w:val="0"/>
        </w:numPr>
        <w:spacing w:line="240" w:lineRule="auto"/>
        <w:ind w:left="0"/>
        <w:rPr>
          <w:rFonts w:hint="default" w:ascii="Times New Roman" w:hAnsi="Times New Roman" w:eastAsia="黑体" w:cs="Times New Roman"/>
          <w:i w:val="0"/>
          <w:iCs w:val="0"/>
          <w:caps w:val="0"/>
          <w:color w:val="000000" w:themeColor="text1"/>
          <w:spacing w:val="0"/>
          <w:kern w:val="0"/>
          <w:sz w:val="21"/>
          <w:szCs w:val="20"/>
          <w:shd w:val="clear"/>
          <w:vertAlign w:val="baseline"/>
          <w:lang w:val="en-US" w:eastAsia="zh-CN" w:bidi="ar-SA"/>
          <w14:textFill>
            <w14:solidFill>
              <w14:schemeClr w14:val="tx1"/>
            </w14:solidFill>
          </w14:textFill>
        </w:rPr>
      </w:pPr>
      <w:bookmarkStart w:id="62" w:name="_Toc14197"/>
      <w:r>
        <w:rPr>
          <w:rFonts w:hint="eastAsia" w:cs="Times New Roman"/>
          <w:i w:val="0"/>
          <w:iCs w:val="0"/>
          <w:caps w:val="0"/>
          <w:color w:val="000000" w:themeColor="text1"/>
          <w:spacing w:val="0"/>
          <w:kern w:val="0"/>
          <w:sz w:val="21"/>
          <w:szCs w:val="20"/>
          <w:shd w:val="clear"/>
          <w:vertAlign w:val="baseline"/>
          <w:lang w:val="en-US" w:eastAsia="zh-CN" w:bidi="ar-SA"/>
          <w14:textFill>
            <w14:solidFill>
              <w14:schemeClr w14:val="tx1"/>
            </w14:solidFill>
          </w14:textFill>
        </w:rPr>
        <w:t>5.3.2</w:t>
      </w:r>
      <w:r>
        <w:rPr>
          <w:rFonts w:hint="default" w:ascii="Times New Roman" w:hAnsi="Times New Roman" w:eastAsia="黑体" w:cs="Times New Roman"/>
          <w:i w:val="0"/>
          <w:iCs w:val="0"/>
          <w:caps w:val="0"/>
          <w:color w:val="000000" w:themeColor="text1"/>
          <w:spacing w:val="0"/>
          <w:kern w:val="0"/>
          <w:sz w:val="21"/>
          <w:szCs w:val="20"/>
          <w:shd w:val="clear"/>
          <w:vertAlign w:val="baseline"/>
          <w:lang w:val="en-US" w:eastAsia="zh-CN" w:bidi="ar-SA"/>
          <w14:textFill>
            <w14:solidFill>
              <w14:schemeClr w14:val="tx1"/>
            </w14:solidFill>
          </w14:textFill>
        </w:rPr>
        <w:t xml:space="preserve"> 电气</w:t>
      </w:r>
      <w:bookmarkEnd w:id="62"/>
    </w:p>
    <w:p w14:paraId="3F501BE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line="240" w:lineRule="auto"/>
        <w:ind w:left="0" w:right="0" w:firstLine="420" w:firstLineChars="200"/>
        <w:jc w:val="both"/>
        <w:textAlignment w:val="auto"/>
        <w:rPr>
          <w:rFonts w:hint="default" w:ascii="Times New Roman" w:hAnsi="Times New Roman" w:eastAsia="宋体" w:cs="Times New Roman"/>
          <w:i w:val="0"/>
          <w:iCs w:val="0"/>
          <w:caps w:val="0"/>
          <w:spacing w:val="0"/>
        </w:rPr>
      </w:pPr>
      <w:r>
        <w:rPr>
          <w:rFonts w:hint="eastAsia"/>
          <w:lang w:bidi="ar"/>
        </w:rPr>
        <w:t>电气安装应符合</w:t>
      </w:r>
      <w:r>
        <w:rPr>
          <w:lang w:bidi="ar"/>
        </w:rPr>
        <w:t xml:space="preserve"> GB 50254、GB 50257、GB 50150</w:t>
      </w:r>
      <w:r>
        <w:rPr>
          <w:rFonts w:hint="eastAsia"/>
          <w:color w:val="000000" w:themeColor="text1"/>
          <w14:textFill>
            <w14:solidFill>
              <w14:schemeClr w14:val="tx1"/>
            </w14:solidFill>
          </w14:textFill>
        </w:rPr>
        <w:t>的规定</w:t>
      </w:r>
      <w:r>
        <w:rPr>
          <w:rFonts w:hint="default" w:ascii="Times New Roman" w:hAnsi="Times New Roman" w:eastAsia="宋体" w:cs="Times New Roman"/>
          <w:i w:val="0"/>
          <w:iCs w:val="0"/>
          <w:caps w:val="0"/>
          <w:spacing w:val="0"/>
          <w:kern w:val="2"/>
          <w:sz w:val="21"/>
          <w:szCs w:val="22"/>
          <w:shd w:val="clear"/>
          <w:vertAlign w:val="baseline"/>
          <w:lang w:val="en-US" w:eastAsia="zh-CN" w:bidi="ar"/>
        </w:rPr>
        <w:t>。</w:t>
      </w:r>
    </w:p>
    <w:p w14:paraId="47D0B48D">
      <w:pPr>
        <w:pStyle w:val="4"/>
        <w:keepNext/>
        <w:keepLines/>
        <w:widowControl w:val="0"/>
        <w:numPr>
          <w:ilvl w:val="2"/>
          <w:numId w:val="0"/>
        </w:numPr>
        <w:spacing w:line="240" w:lineRule="auto"/>
        <w:ind w:left="720" w:hanging="720"/>
        <w:rPr>
          <w:rFonts w:hint="default" w:ascii="Times New Roman" w:hAnsi="Times New Roman" w:eastAsia="黑体" w:cs="Times New Roman"/>
          <w:i w:val="0"/>
          <w:iCs w:val="0"/>
          <w:caps w:val="0"/>
          <w:color w:val="000000" w:themeColor="text1"/>
          <w:spacing w:val="0"/>
          <w:kern w:val="0"/>
          <w:sz w:val="21"/>
          <w:szCs w:val="20"/>
          <w:shd w:val="clear"/>
          <w:vertAlign w:val="baseline"/>
          <w:lang w:val="en-US" w:eastAsia="zh-CN" w:bidi="ar-SA"/>
          <w14:textFill>
            <w14:solidFill>
              <w14:schemeClr w14:val="tx1"/>
            </w14:solidFill>
          </w14:textFill>
        </w:rPr>
      </w:pPr>
      <w:bookmarkStart w:id="63" w:name="_Toc18453"/>
      <w:r>
        <w:rPr>
          <w:rFonts w:hint="eastAsia" w:cs="Times New Roman"/>
          <w:i w:val="0"/>
          <w:iCs w:val="0"/>
          <w:caps w:val="0"/>
          <w:color w:val="000000" w:themeColor="text1"/>
          <w:spacing w:val="0"/>
          <w:kern w:val="0"/>
          <w:sz w:val="21"/>
          <w:szCs w:val="20"/>
          <w:shd w:val="clear"/>
          <w:vertAlign w:val="baseline"/>
          <w:lang w:val="en-US" w:eastAsia="zh-CN" w:bidi="ar-SA"/>
          <w14:textFill>
            <w14:solidFill>
              <w14:schemeClr w14:val="tx1"/>
            </w14:solidFill>
          </w14:textFill>
        </w:rPr>
        <w:t>5.3</w:t>
      </w:r>
      <w:r>
        <w:rPr>
          <w:rFonts w:hint="default" w:ascii="Times New Roman" w:hAnsi="Times New Roman" w:eastAsia="黑体" w:cs="Times New Roman"/>
          <w:i w:val="0"/>
          <w:iCs w:val="0"/>
          <w:caps w:val="0"/>
          <w:color w:val="000000" w:themeColor="text1"/>
          <w:spacing w:val="0"/>
          <w:kern w:val="0"/>
          <w:sz w:val="21"/>
          <w:szCs w:val="20"/>
          <w:shd w:val="clear"/>
          <w:vertAlign w:val="baseline"/>
          <w:lang w:val="en-US" w:eastAsia="zh-CN" w:bidi="ar-SA"/>
          <w14:textFill>
            <w14:solidFill>
              <w14:schemeClr w14:val="tx1"/>
            </w14:solidFill>
          </w14:textFill>
        </w:rPr>
        <w:t>.3 自控仪表</w:t>
      </w:r>
      <w:bookmarkEnd w:id="63"/>
    </w:p>
    <w:p w14:paraId="541144C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line="240" w:lineRule="auto"/>
        <w:ind w:left="0" w:right="0" w:firstLine="420" w:firstLineChars="200"/>
        <w:jc w:val="both"/>
        <w:textAlignment w:val="auto"/>
        <w:rPr>
          <w:rFonts w:hint="default" w:ascii="Times New Roman" w:hAnsi="Times New Roman" w:eastAsia="宋体" w:cs="Times New Roman"/>
          <w:i w:val="0"/>
          <w:iCs w:val="0"/>
          <w:caps w:val="0"/>
          <w:spacing w:val="0"/>
        </w:rPr>
      </w:pPr>
      <w:r>
        <w:rPr>
          <w:rFonts w:hint="eastAsia"/>
          <w:lang w:bidi="ar"/>
        </w:rPr>
        <w:t>自控仪表安装应符合</w:t>
      </w:r>
      <w:r>
        <w:rPr>
          <w:lang w:bidi="ar"/>
        </w:rPr>
        <w:t>GB 50093、GB 50236</w:t>
      </w:r>
      <w:r>
        <w:rPr>
          <w:rFonts w:hint="eastAsia"/>
          <w:color w:val="000000" w:themeColor="text1"/>
          <w14:textFill>
            <w14:solidFill>
              <w14:schemeClr w14:val="tx1"/>
            </w14:solidFill>
          </w14:textFill>
        </w:rPr>
        <w:t>的规定</w:t>
      </w:r>
      <w:r>
        <w:rPr>
          <w:rFonts w:hint="default" w:ascii="Times New Roman" w:hAnsi="Times New Roman" w:eastAsia="宋体" w:cs="Times New Roman"/>
          <w:i w:val="0"/>
          <w:iCs w:val="0"/>
          <w:caps w:val="0"/>
          <w:spacing w:val="0"/>
          <w:kern w:val="2"/>
          <w:sz w:val="21"/>
          <w:szCs w:val="22"/>
          <w:shd w:val="clear"/>
          <w:vertAlign w:val="baseline"/>
          <w:lang w:val="en-US" w:eastAsia="zh-CN" w:bidi="ar"/>
        </w:rPr>
        <w:t>。</w:t>
      </w:r>
    </w:p>
    <w:p w14:paraId="589F1612">
      <w:pPr>
        <w:pStyle w:val="4"/>
        <w:keepNext/>
        <w:keepLines/>
        <w:widowControl w:val="0"/>
        <w:numPr>
          <w:ilvl w:val="2"/>
          <w:numId w:val="0"/>
        </w:numPr>
        <w:spacing w:line="240" w:lineRule="auto"/>
        <w:ind w:left="720" w:hanging="720"/>
        <w:rPr>
          <w:rFonts w:hint="default" w:ascii="Times New Roman" w:hAnsi="Times New Roman" w:eastAsia="黑体" w:cs="Times New Roman"/>
          <w:i w:val="0"/>
          <w:iCs w:val="0"/>
          <w:caps w:val="0"/>
          <w:color w:val="000000" w:themeColor="text1"/>
          <w:spacing w:val="0"/>
          <w:kern w:val="0"/>
          <w:sz w:val="21"/>
          <w:szCs w:val="20"/>
          <w:shd w:val="clear"/>
          <w:vertAlign w:val="baseline"/>
          <w:lang w:val="en-US" w:eastAsia="zh-CN" w:bidi="ar-SA"/>
          <w14:textFill>
            <w14:solidFill>
              <w14:schemeClr w14:val="tx1"/>
            </w14:solidFill>
          </w14:textFill>
        </w:rPr>
      </w:pPr>
      <w:bookmarkStart w:id="64" w:name="_Toc5165"/>
      <w:r>
        <w:rPr>
          <w:rFonts w:hint="eastAsia" w:cs="Times New Roman"/>
          <w:i w:val="0"/>
          <w:iCs w:val="0"/>
          <w:caps w:val="0"/>
          <w:color w:val="000000" w:themeColor="text1"/>
          <w:spacing w:val="0"/>
          <w:kern w:val="0"/>
          <w:sz w:val="21"/>
          <w:szCs w:val="20"/>
          <w:shd w:val="clear"/>
          <w:vertAlign w:val="baseline"/>
          <w:lang w:val="en-US" w:eastAsia="zh-CN" w:bidi="ar-SA"/>
          <w14:textFill>
            <w14:solidFill>
              <w14:schemeClr w14:val="tx1"/>
            </w14:solidFill>
          </w14:textFill>
        </w:rPr>
        <w:t>5.3</w:t>
      </w:r>
      <w:r>
        <w:rPr>
          <w:rFonts w:hint="default" w:ascii="Times New Roman" w:hAnsi="Times New Roman" w:eastAsia="黑体" w:cs="Times New Roman"/>
          <w:i w:val="0"/>
          <w:iCs w:val="0"/>
          <w:caps w:val="0"/>
          <w:color w:val="000000" w:themeColor="text1"/>
          <w:spacing w:val="0"/>
          <w:kern w:val="0"/>
          <w:sz w:val="21"/>
          <w:szCs w:val="20"/>
          <w:shd w:val="clear"/>
          <w:vertAlign w:val="baseline"/>
          <w:lang w:val="en-US" w:eastAsia="zh-CN" w:bidi="ar-SA"/>
          <w14:textFill>
            <w14:solidFill>
              <w14:schemeClr w14:val="tx1"/>
            </w14:solidFill>
          </w14:textFill>
        </w:rPr>
        <w:t>.4 建（构）筑物</w:t>
      </w:r>
      <w:bookmarkEnd w:id="64"/>
    </w:p>
    <w:p w14:paraId="0DCC02B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line="240" w:lineRule="auto"/>
        <w:ind w:left="0" w:right="0" w:firstLine="420" w:firstLineChars="200"/>
        <w:jc w:val="both"/>
        <w:textAlignment w:val="auto"/>
        <w:rPr>
          <w:rFonts w:hint="default"/>
          <w:lang w:val="en-US" w:eastAsia="zh-CN"/>
        </w:rPr>
      </w:pPr>
      <w:r>
        <w:rPr>
          <w:rFonts w:hint="eastAsia"/>
          <w:lang w:bidi="ar"/>
        </w:rPr>
        <w:t>建（构）筑物施工应符合</w:t>
      </w:r>
      <w:r>
        <w:rPr>
          <w:lang w:bidi="ar"/>
        </w:rPr>
        <w:t xml:space="preserve"> GB 50202、GB 50204、GB 50209</w:t>
      </w:r>
      <w:r>
        <w:rPr>
          <w:rFonts w:hint="eastAsia"/>
          <w:color w:val="000000" w:themeColor="text1"/>
          <w14:textFill>
            <w14:solidFill>
              <w14:schemeClr w14:val="tx1"/>
            </w14:solidFill>
          </w14:textFill>
        </w:rPr>
        <w:t>的规定</w:t>
      </w:r>
      <w:r>
        <w:rPr>
          <w:rFonts w:hint="default" w:ascii="Times New Roman" w:hAnsi="Times New Roman" w:eastAsia="宋体" w:cs="Times New Roman"/>
          <w:i w:val="0"/>
          <w:iCs w:val="0"/>
          <w:caps w:val="0"/>
          <w:spacing w:val="0"/>
          <w:kern w:val="2"/>
          <w:szCs w:val="22"/>
          <w:shd w:val="clear"/>
          <w:vertAlign w:val="baseline"/>
          <w:lang w:val="en-US" w:eastAsia="zh-CN" w:bidi="ar"/>
        </w:rPr>
        <w:t>。</w:t>
      </w:r>
    </w:p>
    <w:p w14:paraId="5DDDD275">
      <w:pPr>
        <w:pStyle w:val="3"/>
        <w:rPr>
          <w:rFonts w:cs="黑体"/>
          <w:bCs w:val="0"/>
        </w:rPr>
      </w:pPr>
      <w:bookmarkStart w:id="65" w:name="_Toc15662"/>
      <w:r>
        <w:rPr>
          <w:rFonts w:cs="Times New Roman"/>
          <w:bCs w:val="0"/>
        </w:rPr>
        <w:t>5.</w:t>
      </w:r>
      <w:r>
        <w:rPr>
          <w:rFonts w:hint="eastAsia" w:cs="Times New Roman"/>
          <w:bCs w:val="0"/>
          <w:lang w:val="en-US" w:eastAsia="zh-CN"/>
        </w:rPr>
        <w:t>4</w:t>
      </w:r>
      <w:r>
        <w:rPr>
          <w:rFonts w:hint="eastAsia"/>
        </w:rPr>
        <w:t>运</w:t>
      </w:r>
      <w:r>
        <w:rPr>
          <w:rFonts w:hint="eastAsia"/>
          <w:b w:val="0"/>
          <w:bCs/>
        </w:rPr>
        <w:t>行</w:t>
      </w:r>
      <w:bookmarkEnd w:id="65"/>
    </w:p>
    <w:p w14:paraId="48BF720A">
      <w:pPr>
        <w:pStyle w:val="4"/>
        <w:ind w:firstLine="0" w:firstLineChars="0"/>
        <w:rPr>
          <w:rFonts w:hint="eastAsia"/>
          <w:lang w:val="en-US" w:eastAsia="zh-CN"/>
        </w:rPr>
      </w:pPr>
      <w:bookmarkStart w:id="66" w:name="_Toc17603"/>
      <w:r>
        <w:rPr>
          <w:rFonts w:hint="eastAsia"/>
        </w:rPr>
        <w:t>5.</w:t>
      </w:r>
      <w:r>
        <w:rPr>
          <w:rFonts w:hint="eastAsia"/>
          <w:lang w:val="en-US" w:eastAsia="zh-CN"/>
        </w:rPr>
        <w:t>4</w:t>
      </w:r>
      <w:r>
        <w:rPr>
          <w:rFonts w:hint="eastAsia"/>
        </w:rPr>
        <w:t xml:space="preserve">.1 </w:t>
      </w:r>
      <w:r>
        <w:rPr>
          <w:rFonts w:hint="eastAsia"/>
          <w:lang w:val="en-US" w:eastAsia="zh-CN"/>
        </w:rPr>
        <w:t>一般规定</w:t>
      </w:r>
      <w:bookmarkEnd w:id="66"/>
    </w:p>
    <w:p w14:paraId="56C9B73C">
      <w:pPr>
        <w:ind w:firstLine="420" w:firstLineChars="200"/>
        <w:rPr>
          <w:kern w:val="0"/>
          <w:szCs w:val="20"/>
        </w:rPr>
      </w:pPr>
      <w:r>
        <w:rPr>
          <w:rFonts w:hint="eastAsia"/>
          <w:kern w:val="0"/>
          <w:szCs w:val="20"/>
        </w:rPr>
        <w:t>运行应满足下列要求：</w:t>
      </w:r>
    </w:p>
    <w:p w14:paraId="13876F09">
      <w:pPr>
        <w:ind w:firstLine="420" w:firstLineChars="200"/>
        <w:rPr>
          <w:color w:val="000000" w:themeColor="text1"/>
          <w14:textFill>
            <w14:solidFill>
              <w14:schemeClr w14:val="tx1"/>
            </w14:solidFill>
          </w14:textFill>
        </w:rPr>
      </w:pPr>
      <w:r>
        <w:rPr>
          <w:rFonts w:hint="eastAsia"/>
          <w:kern w:val="0"/>
          <w:szCs w:val="20"/>
        </w:rPr>
        <w:t>1）污染土壤修复工厂应在满足设计工况的条件下运行，并按工艺要求，定期对设备、电气、自控仪表及建（构）筑物检查；</w:t>
      </w:r>
    </w:p>
    <w:p w14:paraId="5C2145F1">
      <w:pPr>
        <w:ind w:firstLine="420" w:firstLineChars="200"/>
        <w:rPr>
          <w:rFonts w:hint="eastAsia"/>
          <w:lang w:val="en-US" w:eastAsia="zh-CN"/>
        </w:rPr>
      </w:pPr>
      <w:r>
        <w:rPr>
          <w:rFonts w:hint="eastAsia"/>
          <w:kern w:val="0"/>
          <w:szCs w:val="20"/>
        </w:rPr>
        <w:t>2）运行过程中，应建立并完善与污染土壤修复相关的规章制度、运行维护及操作规程，同时建立主要设备运行状况和药剂购买使用的台账制度</w:t>
      </w:r>
      <w:r>
        <w:rPr>
          <w:rFonts w:hint="eastAsia" w:ascii="Times New Roman" w:hAnsi="Times New Roman" w:eastAsia="宋体" w:cs="Times New Roman"/>
          <w:kern w:val="0"/>
          <w:szCs w:val="20"/>
          <w:lang w:val="en-US" w:eastAsia="zh-CN"/>
        </w:rPr>
        <w:t xml:space="preserve">。 </w:t>
      </w:r>
    </w:p>
    <w:p w14:paraId="4A3BB6FE">
      <w:pPr>
        <w:pStyle w:val="4"/>
        <w:bidi w:val="0"/>
        <w:ind w:left="0" w:leftChars="0" w:firstLine="0" w:firstLineChars="0"/>
        <w:rPr>
          <w:rFonts w:ascii="黑体" w:hAnsi="黑体" w:eastAsia="黑体"/>
        </w:rPr>
      </w:pPr>
      <w:bookmarkStart w:id="67" w:name="_Toc26346"/>
      <w:r>
        <w:rPr>
          <w:rFonts w:hint="eastAsia" w:eastAsia="黑体"/>
        </w:rPr>
        <w:t>5.</w:t>
      </w:r>
      <w:r>
        <w:rPr>
          <w:rFonts w:hint="eastAsia" w:eastAsia="黑体"/>
          <w:lang w:val="en-US" w:eastAsia="zh-CN"/>
        </w:rPr>
        <w:t>4</w:t>
      </w:r>
      <w:r>
        <w:rPr>
          <w:rFonts w:hint="eastAsia" w:eastAsia="黑体"/>
        </w:rPr>
        <w:t xml:space="preserve">.2 </w:t>
      </w:r>
      <w:r>
        <w:rPr>
          <w:rFonts w:hint="eastAsia" w:ascii="黑体" w:hAnsi="黑体" w:eastAsia="黑体"/>
        </w:rPr>
        <w:t>运行管理</w:t>
      </w:r>
      <w:bookmarkEnd w:id="67"/>
    </w:p>
    <w:p w14:paraId="2345F88C">
      <w:pPr>
        <w:pStyle w:val="5"/>
        <w:bidi w:val="0"/>
        <w:rPr>
          <w:rFonts w:ascii="Times New Roman" w:hAnsi="Times New Roman"/>
        </w:rPr>
      </w:pPr>
      <w:r>
        <w:rPr>
          <w:rFonts w:hint="eastAsia" w:ascii="Times New Roman" w:hAnsi="Times New Roman"/>
        </w:rPr>
        <w:t>5.</w:t>
      </w:r>
      <w:r>
        <w:rPr>
          <w:rFonts w:hint="eastAsia" w:ascii="Times New Roman" w:hAnsi="Times New Roman"/>
          <w:lang w:val="en-US" w:eastAsia="zh-CN"/>
        </w:rPr>
        <w:t>4</w:t>
      </w:r>
      <w:r>
        <w:rPr>
          <w:rFonts w:hint="eastAsia" w:ascii="Times New Roman" w:hAnsi="Times New Roman"/>
        </w:rPr>
        <w:t>.2.1</w:t>
      </w:r>
      <w:r>
        <w:rPr>
          <w:rFonts w:hint="eastAsia"/>
        </w:rPr>
        <w:t xml:space="preserve"> </w:t>
      </w:r>
      <w:r>
        <w:rPr>
          <w:rFonts w:hint="eastAsia" w:ascii="宋体" w:hAnsi="宋体" w:eastAsia="宋体" w:cs="宋体"/>
        </w:rPr>
        <w:t>人员上岗前完成下列专业培训</w:t>
      </w:r>
      <w:r>
        <w:rPr>
          <w:rFonts w:hint="eastAsia" w:ascii="Times New Roman" w:hAnsi="Times New Roman"/>
        </w:rPr>
        <w:t>：</w:t>
      </w:r>
    </w:p>
    <w:p w14:paraId="420D339F">
      <w:pPr>
        <w:pStyle w:val="31"/>
        <w:ind w:firstLine="420" w:firstLineChars="200"/>
        <w:rPr>
          <w:rFonts w:ascii="Times New Roman" w:hAnsi="Times New Roman"/>
        </w:rPr>
      </w:pPr>
      <w:r>
        <w:rPr>
          <w:rFonts w:hint="eastAsia" w:ascii="Times New Roman" w:hAnsi="Times New Roman"/>
        </w:rPr>
        <w:t>1</w:t>
      </w:r>
      <w:r>
        <w:rPr>
          <w:rFonts w:ascii="Times New Roman" w:hAnsi="Times New Roman"/>
        </w:rPr>
        <w:t>）污染物种类、特性及风险特征等；</w:t>
      </w:r>
    </w:p>
    <w:p w14:paraId="0F823774">
      <w:pPr>
        <w:pStyle w:val="31"/>
        <w:ind w:firstLine="420" w:firstLineChars="200"/>
        <w:rPr>
          <w:rFonts w:ascii="Times New Roman" w:hAnsi="Times New Roman"/>
        </w:rPr>
      </w:pPr>
      <w:r>
        <w:rPr>
          <w:rFonts w:hint="eastAsia" w:ascii="Times New Roman" w:hAnsi="Times New Roman"/>
        </w:rPr>
        <w:t>2</w:t>
      </w:r>
      <w:r>
        <w:rPr>
          <w:rFonts w:ascii="Times New Roman" w:hAnsi="Times New Roman"/>
        </w:rPr>
        <w:t>）修复药剂种类、特性及危险特征等；</w:t>
      </w:r>
    </w:p>
    <w:p w14:paraId="119604B5">
      <w:pPr>
        <w:pStyle w:val="31"/>
        <w:ind w:firstLine="420" w:firstLineChars="200"/>
        <w:rPr>
          <w:rFonts w:ascii="Times New Roman" w:hAnsi="Times New Roman"/>
        </w:rPr>
      </w:pPr>
      <w:r>
        <w:rPr>
          <w:rFonts w:hint="eastAsia" w:ascii="Times New Roman" w:hAnsi="Times New Roman"/>
        </w:rPr>
        <w:t>3</w:t>
      </w:r>
      <w:r>
        <w:rPr>
          <w:rFonts w:ascii="Times New Roman" w:hAnsi="Times New Roman"/>
        </w:rPr>
        <w:t>）</w:t>
      </w:r>
      <w:r>
        <w:rPr>
          <w:rFonts w:hint="eastAsia" w:ascii="Times New Roman" w:hAnsi="Times New Roman"/>
        </w:rPr>
        <w:t>个人安全防护措施；</w:t>
      </w:r>
    </w:p>
    <w:p w14:paraId="433F43A2">
      <w:pPr>
        <w:pStyle w:val="31"/>
        <w:ind w:firstLine="420" w:firstLineChars="200"/>
        <w:rPr>
          <w:rFonts w:ascii="Times New Roman" w:hAnsi="Times New Roman"/>
        </w:rPr>
      </w:pPr>
      <w:r>
        <w:rPr>
          <w:rFonts w:hint="eastAsia" w:ascii="Times New Roman" w:hAnsi="Times New Roman"/>
        </w:rPr>
        <w:t>4）</w:t>
      </w:r>
      <w:r>
        <w:rPr>
          <w:rFonts w:ascii="Times New Roman" w:hAnsi="Times New Roman"/>
        </w:rPr>
        <w:t>最佳运行条件、污染物去除效率控制和调节，以及设备运行条件；</w:t>
      </w:r>
    </w:p>
    <w:p w14:paraId="6D127A50">
      <w:pPr>
        <w:pStyle w:val="31"/>
        <w:ind w:firstLine="420" w:firstLineChars="200"/>
        <w:rPr>
          <w:rFonts w:ascii="Times New Roman" w:hAnsi="Times New Roman"/>
        </w:rPr>
      </w:pPr>
      <w:r>
        <w:rPr>
          <w:rFonts w:hint="eastAsia" w:ascii="Times New Roman" w:hAnsi="Times New Roman"/>
        </w:rPr>
        <w:t>5</w:t>
      </w:r>
      <w:r>
        <w:rPr>
          <w:rFonts w:ascii="Times New Roman" w:hAnsi="Times New Roman"/>
        </w:rPr>
        <w:t>）设备运行故障的发现、检查和排除；</w:t>
      </w:r>
    </w:p>
    <w:p w14:paraId="17666AEB">
      <w:pPr>
        <w:pStyle w:val="31"/>
        <w:spacing w:line="240" w:lineRule="auto"/>
        <w:ind w:firstLine="420" w:firstLineChars="200"/>
        <w:rPr>
          <w:rFonts w:ascii="Times New Roman" w:hAnsi="Times New Roman" w:cs="Times New Roman"/>
        </w:rPr>
      </w:pPr>
      <w:r>
        <w:rPr>
          <w:rFonts w:hint="eastAsia" w:ascii="Times New Roman" w:hAnsi="Times New Roman"/>
        </w:rPr>
        <w:t>6）</w:t>
      </w:r>
      <w:r>
        <w:rPr>
          <w:rFonts w:ascii="Times New Roman" w:hAnsi="Times New Roman"/>
        </w:rPr>
        <w:t>事故或紧急状态下的操作和处理</w:t>
      </w:r>
      <w:r>
        <w:rPr>
          <w:rFonts w:hint="default" w:ascii="Times New Roman" w:hAnsi="Times New Roman" w:cs="Times New Roman"/>
        </w:rPr>
        <w:t>。</w:t>
      </w:r>
    </w:p>
    <w:p w14:paraId="12D85BD9">
      <w:pPr>
        <w:pStyle w:val="5"/>
        <w:bidi w:val="0"/>
        <w:rPr>
          <w:rFonts w:ascii="Times New Roman" w:hAnsi="Times New Roman"/>
        </w:rPr>
      </w:pPr>
      <w:r>
        <w:rPr>
          <w:rFonts w:ascii="Times New Roman" w:hAnsi="Times New Roman"/>
        </w:rPr>
        <w:t>5.</w:t>
      </w:r>
      <w:r>
        <w:rPr>
          <w:rFonts w:hint="eastAsia" w:ascii="Times New Roman" w:hAnsi="Times New Roman"/>
          <w:lang w:val="en-US" w:eastAsia="zh-CN"/>
        </w:rPr>
        <w:t>4</w:t>
      </w:r>
      <w:r>
        <w:rPr>
          <w:rFonts w:ascii="Times New Roman" w:hAnsi="Times New Roman"/>
        </w:rPr>
        <w:t>.</w:t>
      </w:r>
      <w:r>
        <w:rPr>
          <w:rFonts w:hint="eastAsia" w:ascii="Times New Roman" w:hAnsi="Times New Roman"/>
          <w:lang w:val="en-US" w:eastAsia="zh-CN"/>
        </w:rPr>
        <w:t>2.2</w:t>
      </w:r>
      <w:r>
        <w:rPr>
          <w:rFonts w:hint="eastAsia"/>
        </w:rPr>
        <w:t xml:space="preserve"> </w:t>
      </w:r>
      <w:r>
        <w:rPr>
          <w:rFonts w:hint="eastAsia" w:ascii="宋体" w:hAnsi="宋体" w:eastAsia="宋体" w:cs="宋体"/>
        </w:rPr>
        <w:t>运行管理定期对污染土壤修复工程的管理和运行人员培训，掌握正常运行操作和应急情况处理措施。</w:t>
      </w:r>
    </w:p>
    <w:p w14:paraId="2D6F0ACD">
      <w:pPr>
        <w:pStyle w:val="5"/>
        <w:bidi w:val="0"/>
        <w:rPr>
          <w:rFonts w:hint="default" w:ascii="Times New Roman" w:hAnsi="Times New Roman" w:eastAsia="宋体" w:cs="Times New Roman"/>
          <w:b w:val="0"/>
          <w:bCs w:val="0"/>
        </w:rPr>
      </w:pPr>
      <w:r>
        <w:rPr>
          <w:rFonts w:hint="eastAsia"/>
        </w:rPr>
        <w:t>5.</w:t>
      </w:r>
      <w:r>
        <w:rPr>
          <w:rFonts w:hint="eastAsia"/>
          <w:lang w:val="en-US" w:eastAsia="zh-CN"/>
        </w:rPr>
        <w:t>4</w:t>
      </w:r>
      <w:r>
        <w:rPr>
          <w:rFonts w:hint="eastAsia"/>
        </w:rPr>
        <w:t>.2.3</w:t>
      </w:r>
      <w:r>
        <w:rPr>
          <w:rFonts w:hint="eastAsia"/>
          <w:lang w:val="en-US" w:eastAsia="zh-CN"/>
        </w:rPr>
        <w:t xml:space="preserve"> </w:t>
      </w:r>
      <w:r>
        <w:rPr>
          <w:rFonts w:hint="eastAsia" w:ascii="宋体" w:hAnsi="宋体" w:eastAsia="宋体" w:cs="宋体"/>
        </w:rPr>
        <w:t>运行管理应建立污染土壤修复工程运行状况、设施维护和生产活动的记录制度</w:t>
      </w:r>
      <w:r>
        <w:rPr>
          <w:rFonts w:hint="eastAsia" w:eastAsia="宋体" w:cs="Times New Roman"/>
          <w:b w:val="0"/>
          <w:bCs w:val="0"/>
          <w:lang w:val="en-US" w:eastAsia="zh-CN"/>
        </w:rPr>
        <w:t>。</w:t>
      </w:r>
    </w:p>
    <w:p w14:paraId="4B158E31">
      <w:pPr>
        <w:pStyle w:val="5"/>
        <w:bidi w:val="0"/>
        <w:rPr>
          <w:rFonts w:hint="default" w:ascii="Times New Roman" w:hAnsi="Times New Roman" w:eastAsia="宋体" w:cs="Times New Roman"/>
          <w:b w:val="0"/>
          <w:bCs w:val="0"/>
        </w:rPr>
      </w:pPr>
      <w:r>
        <w:rPr>
          <w:rFonts w:hint="eastAsia"/>
        </w:rPr>
        <w:t>5.</w:t>
      </w:r>
      <w:r>
        <w:rPr>
          <w:rFonts w:hint="eastAsia"/>
          <w:lang w:val="en-US" w:eastAsia="zh-CN"/>
        </w:rPr>
        <w:t>4</w:t>
      </w:r>
      <w:r>
        <w:t>.</w:t>
      </w:r>
      <w:r>
        <w:rPr>
          <w:rFonts w:hint="eastAsia"/>
          <w:lang w:val="en-US" w:eastAsia="zh-CN"/>
        </w:rPr>
        <w:t xml:space="preserve">2.4 </w:t>
      </w:r>
      <w:r>
        <w:rPr>
          <w:rFonts w:hint="default" w:ascii="Times New Roman" w:hAnsi="Times New Roman" w:eastAsia="宋体" w:cs="Times New Roman"/>
          <w:b w:val="0"/>
          <w:bCs w:val="0"/>
          <w:kern w:val="0"/>
          <w:szCs w:val="20"/>
        </w:rPr>
        <w:t>运</w:t>
      </w:r>
      <w:r>
        <w:rPr>
          <w:rFonts w:hint="default" w:ascii="Times New Roman" w:hAnsi="Times New Roman" w:eastAsia="宋体" w:cs="Times New Roman"/>
          <w:b w:val="0"/>
          <w:bCs w:val="0"/>
        </w:rPr>
        <w:t>行人员按规定落实交接班制度和巡检制度。</w:t>
      </w:r>
    </w:p>
    <w:p w14:paraId="32EFC39D">
      <w:pPr>
        <w:pStyle w:val="4"/>
        <w:bidi w:val="0"/>
        <w:ind w:left="0" w:leftChars="0" w:firstLine="0" w:firstLineChars="0"/>
        <w:rPr>
          <w:rFonts w:hint="eastAsia"/>
          <w:lang w:val="en-US" w:eastAsia="zh-CN"/>
        </w:rPr>
      </w:pPr>
      <w:bookmarkStart w:id="68" w:name="_Toc21424"/>
      <w:r>
        <w:rPr>
          <w:rFonts w:hint="eastAsia"/>
          <w:lang w:val="en-US" w:eastAsia="zh-CN"/>
        </w:rPr>
        <w:t>5.4.3 预处理区运行</w:t>
      </w:r>
      <w:bookmarkEnd w:id="68"/>
    </w:p>
    <w:p w14:paraId="5ADF5F66">
      <w:pPr>
        <w:ind w:firstLine="420" w:firstLineChars="200"/>
        <w:rPr>
          <w:color w:val="000000" w:themeColor="text1"/>
          <w14:textFill>
            <w14:solidFill>
              <w14:schemeClr w14:val="tx1"/>
            </w14:solidFill>
          </w14:textFill>
        </w:rPr>
      </w:pPr>
      <w:r>
        <w:rPr>
          <w:rFonts w:hint="eastAsia" w:ascii="Times New Roman" w:hAnsi="Times New Roman" w:eastAsia="宋体" w:cs="Times New Roman"/>
          <w:color w:val="000000" w:themeColor="text1"/>
          <w:kern w:val="2"/>
          <w:szCs w:val="22"/>
          <w14:textFill>
            <w14:solidFill>
              <w14:schemeClr w14:val="tx1"/>
            </w14:solidFill>
          </w14:textFill>
        </w:rPr>
        <w:t>预处理区</w:t>
      </w:r>
      <w:r>
        <w:rPr>
          <w:color w:val="000000" w:themeColor="text1"/>
          <w14:textFill>
            <w14:solidFill>
              <w14:schemeClr w14:val="tx1"/>
            </w14:solidFill>
          </w14:textFill>
        </w:rPr>
        <w:t>运行</w:t>
      </w:r>
      <w:r>
        <w:rPr>
          <w:rFonts w:hint="eastAsia"/>
          <w:color w:val="000000" w:themeColor="text1"/>
          <w14:textFill>
            <w14:solidFill>
              <w14:schemeClr w14:val="tx1"/>
            </w14:solidFill>
          </w14:textFill>
        </w:rPr>
        <w:t>应</w:t>
      </w:r>
      <w:r>
        <w:rPr>
          <w:color w:val="000000" w:themeColor="text1"/>
          <w14:textFill>
            <w14:solidFill>
              <w14:schemeClr w14:val="tx1"/>
            </w14:solidFill>
          </w14:textFill>
        </w:rPr>
        <w:t>符合下列规定：</w:t>
      </w:r>
    </w:p>
    <w:p w14:paraId="465BACB6">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w:t>
      </w:r>
      <w:r>
        <w:rPr>
          <w:rFonts w:hint="eastAsia"/>
          <w:color w:val="000000" w:themeColor="text1"/>
          <w14:textFill>
            <w14:solidFill>
              <w14:schemeClr w14:val="tx1"/>
            </w14:solidFill>
          </w14:textFill>
        </w:rPr>
        <w:t>不同类型</w:t>
      </w:r>
      <w:r>
        <w:rPr>
          <w:color w:val="000000" w:themeColor="text1"/>
          <w14:textFill>
            <w14:solidFill>
              <w14:schemeClr w14:val="tx1"/>
            </w14:solidFill>
          </w14:textFill>
        </w:rPr>
        <w:t>污染土壤</w:t>
      </w:r>
      <w:r>
        <w:rPr>
          <w:rFonts w:hint="eastAsia"/>
          <w:color w:val="000000" w:themeColor="text1"/>
          <w14:textFill>
            <w14:solidFill>
              <w14:schemeClr w14:val="tx1"/>
            </w14:solidFill>
          </w14:textFill>
        </w:rPr>
        <w:t>应分区进行破碎筛分作业</w:t>
      </w:r>
      <w:r>
        <w:rPr>
          <w:color w:val="000000" w:themeColor="text1"/>
          <w14:textFill>
            <w14:solidFill>
              <w14:schemeClr w14:val="tx1"/>
            </w14:solidFill>
          </w14:textFill>
        </w:rPr>
        <w:t>；</w:t>
      </w:r>
    </w:p>
    <w:p w14:paraId="45FDA818">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2）实施设备可选用挖掘机、翻抛机等；</w:t>
      </w:r>
    </w:p>
    <w:p w14:paraId="2F2682BA">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3）根据</w:t>
      </w:r>
      <w:r>
        <w:rPr>
          <w:rFonts w:hint="eastAsia"/>
          <w:color w:val="000000" w:themeColor="text1"/>
          <w14:textFill>
            <w14:solidFill>
              <w14:schemeClr w14:val="tx1"/>
            </w14:solidFill>
          </w14:textFill>
        </w:rPr>
        <w:t>后续修复工段的质量、周期要求</w:t>
      </w:r>
      <w:r>
        <w:rPr>
          <w:color w:val="000000" w:themeColor="text1"/>
          <w14:textFill>
            <w14:solidFill>
              <w14:schemeClr w14:val="tx1"/>
            </w14:solidFill>
          </w14:textFill>
        </w:rPr>
        <w:t>等调整</w:t>
      </w:r>
      <w:r>
        <w:rPr>
          <w:rFonts w:hint="eastAsia"/>
          <w:color w:val="000000" w:themeColor="text1"/>
          <w14:textFill>
            <w14:solidFill>
              <w14:schemeClr w14:val="tx1"/>
            </w14:solidFill>
          </w14:textFill>
        </w:rPr>
        <w:t>筛分速度及筛分次数；</w:t>
      </w:r>
    </w:p>
    <w:p w14:paraId="6F3866E6">
      <w:pPr>
        <w:spacing w:line="24" w:lineRule="atLeast"/>
        <w:ind w:firstLine="420" w:firstLineChars="200"/>
        <w:rPr>
          <w:rFonts w:hint="default"/>
          <w:lang w:val="en-US" w:eastAsia="zh-CN"/>
        </w:rPr>
      </w:pPr>
      <w:r>
        <w:rPr>
          <w:rFonts w:hint="eastAsia"/>
          <w:color w:val="000000" w:themeColor="text1"/>
          <w14:textFill>
            <w14:solidFill>
              <w14:schemeClr w14:val="tx1"/>
            </w14:solidFill>
          </w14:textFill>
        </w:rPr>
        <w:t>4）</w:t>
      </w:r>
      <w:r>
        <w:rPr>
          <w:color w:val="000000" w:themeColor="text1"/>
          <w14:textFill>
            <w14:solidFill>
              <w14:schemeClr w14:val="tx1"/>
            </w14:solidFill>
          </w14:textFill>
        </w:rPr>
        <w:t>土壤粒径筛至60 mm以下</w:t>
      </w:r>
      <w:r>
        <w:rPr>
          <w:rFonts w:hint="eastAsia"/>
          <w:color w:val="000000" w:themeColor="text1"/>
          <w14:textFill>
            <w14:solidFill>
              <w14:schemeClr w14:val="tx1"/>
            </w14:solidFill>
          </w14:textFill>
        </w:rPr>
        <w:t>，必要时添加石灰等药剂降低含水率</w:t>
      </w:r>
      <w:r>
        <w:rPr>
          <w:rFonts w:hint="eastAsia" w:cs="Times New Roman"/>
          <w:color w:val="000000" w:themeColor="text1"/>
          <w:lang w:eastAsia="zh-CN"/>
          <w14:textFill>
            <w14:solidFill>
              <w14:schemeClr w14:val="tx1"/>
            </w14:solidFill>
          </w14:textFill>
        </w:rPr>
        <w:t>。</w:t>
      </w:r>
    </w:p>
    <w:p w14:paraId="6129B9C5">
      <w:pPr>
        <w:pStyle w:val="4"/>
        <w:widowControl/>
        <w:spacing w:beforeAutospacing="1"/>
        <w:ind w:firstLine="0" w:firstLineChars="0"/>
      </w:pPr>
      <w:bookmarkStart w:id="69" w:name="_Toc23002"/>
      <w:r>
        <w:rPr>
          <w:rFonts w:hint="eastAsia"/>
        </w:rPr>
        <w:t>5.</w:t>
      </w:r>
      <w:r>
        <w:rPr>
          <w:rFonts w:hint="eastAsia"/>
          <w:lang w:val="en-US" w:eastAsia="zh-CN"/>
        </w:rPr>
        <w:t>4</w:t>
      </w:r>
      <w:r>
        <w:t>.</w:t>
      </w:r>
      <w:r>
        <w:rPr>
          <w:rFonts w:hint="eastAsia"/>
          <w:lang w:val="en-US" w:eastAsia="zh-CN"/>
        </w:rPr>
        <w:t>4</w:t>
      </w:r>
      <w:r>
        <w:rPr>
          <w:rFonts w:hint="eastAsia"/>
        </w:rPr>
        <w:t xml:space="preserve"> 负压密闭空间运行</w:t>
      </w:r>
      <w:bookmarkEnd w:id="69"/>
    </w:p>
    <w:p w14:paraId="04C0C223">
      <w:pPr>
        <w:spacing w:line="24" w:lineRule="atLeast"/>
        <w:ind w:firstLine="420" w:firstLineChars="200"/>
        <w:rPr>
          <w:rFonts w:hint="eastAsia" w:ascii="宋体" w:hAnsi="宋体" w:eastAsia="宋体" w:cs="宋体"/>
          <w:color w:val="000000" w:themeColor="text1"/>
          <w:highlight w:val="none"/>
          <w:lang w:eastAsia="zh-CN"/>
          <w14:textFill>
            <w14:solidFill>
              <w14:schemeClr w14:val="tx1"/>
            </w14:solidFill>
          </w14:textFill>
        </w:rPr>
      </w:pPr>
      <w:r>
        <w:rPr>
          <w:rFonts w:hint="eastAsia" w:ascii="Times New Roman" w:hAnsi="Times New Roman" w:eastAsia="宋体" w:cs="Times New Roman"/>
          <w:color w:val="000000" w:themeColor="text1"/>
          <w:kern w:val="2"/>
          <w:szCs w:val="22"/>
          <w14:textFill>
            <w14:solidFill>
              <w14:schemeClr w14:val="tx1"/>
            </w14:solidFill>
          </w14:textFill>
        </w:rPr>
        <w:t>负压密闭空间运行应</w:t>
      </w:r>
      <w:r>
        <w:rPr>
          <w:color w:val="000000" w:themeColor="text1"/>
          <w14:textFill>
            <w14:solidFill>
              <w14:schemeClr w14:val="tx1"/>
            </w14:solidFill>
          </w14:textFill>
        </w:rPr>
        <w:t>保持负压密闭空间不大于-5Pa微压状态，通过机械通风持续换气，换气次数不应小于5次/小时，排出的废气收集至废气处理设备处理。运行参数</w:t>
      </w:r>
      <w:r>
        <w:rPr>
          <w:rFonts w:hint="eastAsia"/>
          <w:color w:val="000000" w:themeColor="text1"/>
          <w14:textFill>
            <w14:solidFill>
              <w14:schemeClr w14:val="tx1"/>
            </w14:solidFill>
          </w14:textFill>
        </w:rPr>
        <w:t>应</w:t>
      </w:r>
      <w:r>
        <w:rPr>
          <w:color w:val="000000" w:themeColor="text1"/>
          <w14:textFill>
            <w14:solidFill>
              <w14:schemeClr w14:val="tx1"/>
            </w14:solidFill>
          </w14:textFill>
        </w:rPr>
        <w:t>根据现场实际生产情况调节</w:t>
      </w:r>
      <w:r>
        <w:rPr>
          <w:rFonts w:hint="eastAsia" w:ascii="宋体" w:hAnsi="宋体" w:eastAsia="宋体" w:cs="宋体"/>
          <w:color w:val="000000" w:themeColor="text1"/>
          <w:highlight w:val="none"/>
          <w:lang w:val="en-US" w:eastAsia="zh-CN"/>
          <w14:textFill>
            <w14:solidFill>
              <w14:schemeClr w14:val="tx1"/>
            </w14:solidFill>
          </w14:textFill>
        </w:rPr>
        <w:t>。</w:t>
      </w:r>
    </w:p>
    <w:p w14:paraId="60F8CEEF">
      <w:pPr>
        <w:pStyle w:val="4"/>
        <w:ind w:firstLine="0" w:firstLineChars="0"/>
      </w:pPr>
      <w:bookmarkStart w:id="70" w:name="_Toc20312"/>
      <w:r>
        <w:rPr>
          <w:rFonts w:hint="eastAsia"/>
        </w:rPr>
        <w:t>5.</w:t>
      </w:r>
      <w:r>
        <w:rPr>
          <w:rFonts w:hint="eastAsia"/>
          <w:lang w:val="en-US" w:eastAsia="zh-CN"/>
        </w:rPr>
        <w:t>4</w:t>
      </w:r>
      <w:r>
        <w:rPr>
          <w:rFonts w:hint="eastAsia"/>
        </w:rPr>
        <w:t>.</w:t>
      </w:r>
      <w:r>
        <w:rPr>
          <w:rFonts w:hint="eastAsia"/>
          <w:lang w:val="en-US" w:eastAsia="zh-CN"/>
        </w:rPr>
        <w:t>5</w:t>
      </w:r>
      <w:r>
        <w:rPr>
          <w:rFonts w:hint="eastAsia"/>
        </w:rPr>
        <w:t xml:space="preserve"> 常温解析区运行</w:t>
      </w:r>
      <w:bookmarkEnd w:id="70"/>
    </w:p>
    <w:p w14:paraId="12489FEC">
      <w:pPr>
        <w:ind w:firstLine="420" w:firstLineChars="200"/>
        <w:rPr>
          <w:color w:val="000000" w:themeColor="text1"/>
          <w14:textFill>
            <w14:solidFill>
              <w14:schemeClr w14:val="tx1"/>
            </w14:solidFill>
          </w14:textFill>
        </w:rPr>
      </w:pPr>
      <w:r>
        <w:rPr>
          <w:rFonts w:hint="eastAsia" w:ascii="Times New Roman" w:hAnsi="Times New Roman" w:eastAsia="宋体" w:cs="Times New Roman"/>
          <w:color w:val="000000" w:themeColor="text1"/>
          <w:kern w:val="2"/>
          <w:szCs w:val="22"/>
          <w14:textFill>
            <w14:solidFill>
              <w14:schemeClr w14:val="tx1"/>
            </w14:solidFill>
          </w14:textFill>
        </w:rPr>
        <w:t>常温解吸区</w:t>
      </w:r>
      <w:r>
        <w:rPr>
          <w:color w:val="000000" w:themeColor="text1"/>
          <w14:textFill>
            <w14:solidFill>
              <w14:schemeClr w14:val="tx1"/>
            </w14:solidFill>
          </w14:textFill>
        </w:rPr>
        <w:t>运行</w:t>
      </w:r>
      <w:bookmarkStart w:id="71" w:name="_Hlk202196691"/>
      <w:r>
        <w:rPr>
          <w:rFonts w:hint="eastAsia"/>
          <w:color w:val="000000" w:themeColor="text1"/>
          <w14:textFill>
            <w14:solidFill>
              <w14:schemeClr w14:val="tx1"/>
            </w14:solidFill>
          </w14:textFill>
        </w:rPr>
        <w:t>应满足</w:t>
      </w:r>
      <w:r>
        <w:rPr>
          <w:color w:val="000000" w:themeColor="text1"/>
          <w14:textFill>
            <w14:solidFill>
              <w14:schemeClr w14:val="tx1"/>
            </w14:solidFill>
          </w14:textFill>
        </w:rPr>
        <w:t>下列</w:t>
      </w:r>
      <w:r>
        <w:rPr>
          <w:rFonts w:hint="eastAsia"/>
          <w:color w:val="000000" w:themeColor="text1"/>
          <w14:textFill>
            <w14:solidFill>
              <w14:schemeClr w14:val="tx1"/>
            </w14:solidFill>
          </w14:textFill>
        </w:rPr>
        <w:t>要求</w:t>
      </w:r>
      <w:r>
        <w:rPr>
          <w:color w:val="000000" w:themeColor="text1"/>
          <w14:textFill>
            <w14:solidFill>
              <w14:schemeClr w14:val="tx1"/>
            </w14:solidFill>
          </w14:textFill>
        </w:rPr>
        <w:t>：</w:t>
      </w:r>
      <w:bookmarkEnd w:id="71"/>
    </w:p>
    <w:p w14:paraId="072BEB4B">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1）破碎筛分后的污染土壤定时翻抛，</w:t>
      </w:r>
      <w:r>
        <w:rPr>
          <w:rFonts w:hint="eastAsia"/>
          <w:color w:val="000000" w:themeColor="text1"/>
          <w14:textFill>
            <w14:solidFill>
              <w14:schemeClr w14:val="tx1"/>
            </w14:solidFill>
          </w14:textFill>
        </w:rPr>
        <w:t>必要时添加石灰等药剂促进解吸</w:t>
      </w:r>
      <w:r>
        <w:rPr>
          <w:color w:val="000000" w:themeColor="text1"/>
          <w14:textFill>
            <w14:solidFill>
              <w14:schemeClr w14:val="tx1"/>
            </w14:solidFill>
          </w14:textFill>
        </w:rPr>
        <w:t>；</w:t>
      </w:r>
    </w:p>
    <w:p w14:paraId="3AEE4575">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2）实施设备可选用挖掘机、翻抛机等；</w:t>
      </w:r>
    </w:p>
    <w:p w14:paraId="28C2D9F9">
      <w:pPr>
        <w:numPr>
          <w:ilvl w:val="0"/>
          <w:numId w:val="0"/>
        </w:numPr>
        <w:spacing w:line="24" w:lineRule="atLeast"/>
        <w:ind w:firstLine="420" w:firstLineChars="200"/>
        <w:rPr>
          <w:rFonts w:ascii="Times New Roman" w:hAnsi="Times New Roman" w:cs="Times New Roman"/>
          <w:color w:val="000000" w:themeColor="text1"/>
          <w14:textFill>
            <w14:solidFill>
              <w14:schemeClr w14:val="tx1"/>
            </w14:solidFill>
          </w14:textFill>
        </w:rPr>
      </w:pPr>
      <w:r>
        <w:rPr>
          <w:color w:val="000000" w:themeColor="text1"/>
          <w14:textFill>
            <w14:solidFill>
              <w14:schemeClr w14:val="tx1"/>
            </w14:solidFill>
          </w14:textFill>
        </w:rPr>
        <w:t>3）根据</w:t>
      </w:r>
      <w:r>
        <w:rPr>
          <w:rFonts w:hint="eastAsia"/>
          <w:color w:val="000000" w:themeColor="text1"/>
          <w14:textFill>
            <w14:solidFill>
              <w14:schemeClr w14:val="tx1"/>
            </w14:solidFill>
          </w14:textFill>
        </w:rPr>
        <w:t>修复方案</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中试结果、</w:t>
      </w:r>
      <w:r>
        <w:rPr>
          <w:color w:val="000000" w:themeColor="text1"/>
          <w14:textFill>
            <w14:solidFill>
              <w14:schemeClr w14:val="tx1"/>
            </w14:solidFill>
          </w14:textFill>
        </w:rPr>
        <w:t>修复工程量和工期等调整翻抛频率</w:t>
      </w:r>
      <w:r>
        <w:rPr>
          <w:rFonts w:hint="eastAsia"/>
          <w:color w:val="000000" w:themeColor="text1"/>
          <w14:textFill>
            <w14:solidFill>
              <w14:schemeClr w14:val="tx1"/>
            </w14:solidFill>
          </w14:textFill>
        </w:rPr>
        <w:t>及石灰用量</w:t>
      </w:r>
      <w:r>
        <w:rPr>
          <w:rFonts w:hint="default" w:ascii="Times New Roman" w:hAnsi="Times New Roman" w:cs="Times New Roman"/>
          <w:color w:val="000000" w:themeColor="text1"/>
          <w14:textFill>
            <w14:solidFill>
              <w14:schemeClr w14:val="tx1"/>
            </w14:solidFill>
          </w14:textFill>
        </w:rPr>
        <w:t>。</w:t>
      </w:r>
    </w:p>
    <w:p w14:paraId="2086221C">
      <w:pPr>
        <w:pStyle w:val="4"/>
        <w:ind w:firstLine="0" w:firstLineChars="0"/>
      </w:pPr>
      <w:bookmarkStart w:id="72" w:name="_Toc20128"/>
      <w:r>
        <w:rPr>
          <w:rFonts w:hint="eastAsia"/>
        </w:rPr>
        <w:t>5.</w:t>
      </w:r>
      <w:r>
        <w:rPr>
          <w:rFonts w:hint="eastAsia"/>
          <w:lang w:val="en-US" w:eastAsia="zh-CN"/>
        </w:rPr>
        <w:t>4</w:t>
      </w:r>
      <w:r>
        <w:rPr>
          <w:rFonts w:hint="eastAsia"/>
        </w:rPr>
        <w:t>.</w:t>
      </w:r>
      <w:r>
        <w:rPr>
          <w:rFonts w:hint="eastAsia"/>
          <w:lang w:val="en-US" w:eastAsia="zh-CN"/>
        </w:rPr>
        <w:t>6</w:t>
      </w:r>
      <w:r>
        <w:rPr>
          <w:rFonts w:hint="eastAsia"/>
        </w:rPr>
        <w:t xml:space="preserve"> 化学修复区运行</w:t>
      </w:r>
      <w:bookmarkEnd w:id="72"/>
    </w:p>
    <w:p w14:paraId="48C1666F">
      <w:pPr>
        <w:ind w:firstLine="420" w:firstLineChars="200"/>
      </w:pPr>
      <w:r>
        <w:rPr>
          <w:rFonts w:hint="eastAsia" w:ascii="Times New Roman" w:hAnsi="Times New Roman" w:eastAsia="宋体" w:cs="Times New Roman"/>
        </w:rPr>
        <w:t>化学修复区</w:t>
      </w:r>
      <w:r>
        <w:t>运行</w:t>
      </w:r>
      <w:bookmarkStart w:id="73" w:name="OLE_LINK13"/>
      <w:r>
        <w:rPr>
          <w:rFonts w:hint="eastAsia"/>
        </w:rPr>
        <w:t>应满足</w:t>
      </w:r>
      <w:r>
        <w:t>下列</w:t>
      </w:r>
      <w:bookmarkEnd w:id="73"/>
      <w:r>
        <w:rPr>
          <w:rFonts w:hint="eastAsia"/>
        </w:rPr>
        <w:t>要求</w:t>
      </w:r>
      <w:r>
        <w:t>：</w:t>
      </w:r>
    </w:p>
    <w:p w14:paraId="3E83922E">
      <w:pPr>
        <w:spacing w:line="24" w:lineRule="atLeast"/>
        <w:ind w:firstLine="420" w:firstLineChars="200"/>
      </w:pPr>
      <w:r>
        <w:t>1）污染土壤与药剂充分混合后堆置养护，采用苫盖、喷水等措施，调节养护的温湿度；</w:t>
      </w:r>
    </w:p>
    <w:p w14:paraId="588BD117">
      <w:pPr>
        <w:spacing w:line="24" w:lineRule="atLeast"/>
        <w:ind w:firstLine="420" w:firstLineChars="200"/>
      </w:pPr>
      <w:r>
        <w:t>2）</w:t>
      </w:r>
      <w:r>
        <w:rPr>
          <w:rFonts w:hint="eastAsia"/>
        </w:rPr>
        <w:t>实施设备</w:t>
      </w:r>
      <w:r>
        <w:t>可选用挖掘机、翻抛机、土壤改良机等；</w:t>
      </w:r>
    </w:p>
    <w:p w14:paraId="5952BC47">
      <w:pPr>
        <w:spacing w:line="24" w:lineRule="atLeast"/>
        <w:ind w:firstLine="420" w:firstLineChars="200"/>
        <w:rPr>
          <w:rFonts w:ascii="Times New Roman" w:hAnsi="Times New Roman" w:cs="Times New Roman"/>
        </w:rPr>
      </w:pPr>
      <w:r>
        <w:t>3）</w:t>
      </w:r>
      <w:r>
        <w:rPr>
          <w:color w:val="000000" w:themeColor="text1"/>
          <w14:textFill>
            <w14:solidFill>
              <w14:schemeClr w14:val="tx1"/>
            </w14:solidFill>
          </w14:textFill>
        </w:rPr>
        <w:t>根据</w:t>
      </w:r>
      <w:r>
        <w:rPr>
          <w:rFonts w:hint="eastAsia"/>
          <w:color w:val="000000" w:themeColor="text1"/>
          <w14:textFill>
            <w14:solidFill>
              <w14:schemeClr w14:val="tx1"/>
            </w14:solidFill>
          </w14:textFill>
        </w:rPr>
        <w:t>修复方案</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中试结果、</w:t>
      </w:r>
      <w:r>
        <w:rPr>
          <w:color w:val="000000" w:themeColor="text1"/>
          <w14:textFill>
            <w14:solidFill>
              <w14:schemeClr w14:val="tx1"/>
            </w14:solidFill>
          </w14:textFill>
        </w:rPr>
        <w:t>修复工程量和工期等调整</w:t>
      </w:r>
      <w:r>
        <w:t>药剂</w:t>
      </w:r>
      <w:r>
        <w:rPr>
          <w:rFonts w:hint="eastAsia"/>
        </w:rPr>
        <w:t>用量</w:t>
      </w:r>
      <w:r>
        <w:t>、土壤</w:t>
      </w:r>
      <w:r>
        <w:rPr>
          <w:rFonts w:hint="eastAsia"/>
        </w:rPr>
        <w:t>含水率、</w:t>
      </w:r>
      <w:r>
        <w:t>pH值</w:t>
      </w:r>
      <w:r>
        <w:rPr>
          <w:rFonts w:hint="eastAsia"/>
        </w:rPr>
        <w:t>、养护时间</w:t>
      </w:r>
      <w:r>
        <w:t>等</w:t>
      </w:r>
      <w:r>
        <w:rPr>
          <w:rFonts w:hint="default" w:ascii="Times New Roman" w:hAnsi="Times New Roman" w:cs="Times New Roman"/>
        </w:rPr>
        <w:t>。</w:t>
      </w:r>
    </w:p>
    <w:p w14:paraId="477CE0FB">
      <w:pPr>
        <w:spacing w:line="24" w:lineRule="atLeast"/>
        <w:ind w:firstLine="420" w:firstLineChars="200"/>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运行工序：</w:t>
      </w:r>
    </w:p>
    <w:p w14:paraId="10205C5D">
      <w:pPr>
        <w:spacing w:line="24" w:lineRule="atLeast"/>
        <w:ind w:firstLine="420" w:firstLineChars="20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w:t>
      </w:r>
      <w:r>
        <w:rPr>
          <w:rFonts w:hint="eastAsia" w:cs="Times New Roman"/>
          <w:color w:val="000000" w:themeColor="text1"/>
          <w:lang w:val="en-US" w:eastAsia="zh-CN"/>
          <w14:textFill>
            <w14:solidFill>
              <w14:schemeClr w14:val="tx1"/>
            </w14:solidFill>
          </w14:textFill>
        </w:rPr>
        <w:t>1</w:t>
      </w:r>
      <w:r>
        <w:rPr>
          <w:rFonts w:hint="default" w:ascii="Times New Roman" w:hAnsi="Times New Roman" w:cs="Times New Roman"/>
          <w:color w:val="000000" w:themeColor="text1"/>
          <w14:textFill>
            <w14:solidFill>
              <w14:schemeClr w14:val="tx1"/>
            </w14:solidFill>
          </w14:textFill>
        </w:rPr>
        <w:t>）</w:t>
      </w:r>
      <w:r>
        <w:rPr>
          <w:rFonts w:hint="default" w:ascii="Times New Roman" w:hAnsi="Times New Roman" w:cs="Times New Roman"/>
          <w:color w:val="000000" w:themeColor="text1"/>
          <w:lang w:val="en-US" w:eastAsia="zh-CN"/>
          <w14:textFill>
            <w14:solidFill>
              <w14:schemeClr w14:val="tx1"/>
            </w14:solidFill>
          </w14:textFill>
        </w:rPr>
        <w:t>在</w:t>
      </w:r>
      <w:r>
        <w:rPr>
          <w:rFonts w:hint="default" w:ascii="Times New Roman" w:hAnsi="Times New Roman" w:cs="Times New Roman"/>
          <w:color w:val="000000" w:themeColor="text1"/>
          <w14:textFill>
            <w14:solidFill>
              <w14:schemeClr w14:val="tx1"/>
            </w14:solidFill>
          </w14:textFill>
        </w:rPr>
        <w:t>药剂投加工段</w:t>
      </w:r>
      <w:r>
        <w:rPr>
          <w:rFonts w:hint="default" w:ascii="Times New Roman" w:hAnsi="Times New Roman" w:cs="Times New Roman"/>
          <w:color w:val="000000" w:themeColor="text1"/>
          <w:lang w:eastAsia="zh-CN"/>
          <w14:textFill>
            <w14:solidFill>
              <w14:schemeClr w14:val="tx1"/>
            </w14:solidFill>
          </w14:textFill>
        </w:rPr>
        <w:t>，</w:t>
      </w:r>
      <w:r>
        <w:rPr>
          <w:rFonts w:hint="default" w:ascii="Times New Roman" w:hAnsi="Times New Roman" w:cs="Times New Roman"/>
          <w:color w:val="000000" w:themeColor="text1"/>
          <w14:textFill>
            <w14:solidFill>
              <w14:schemeClr w14:val="tx1"/>
            </w14:solidFill>
          </w14:textFill>
        </w:rPr>
        <w:t>药剂均匀地添加至破碎筛分后的污染土壤中，</w:t>
      </w:r>
      <w:r>
        <w:rPr>
          <w:rFonts w:hint="default" w:ascii="Times New Roman" w:hAnsi="Times New Roman" w:cs="Times New Roman"/>
          <w:color w:val="000000" w:themeColor="text1"/>
          <w:lang w:val="en-US" w:eastAsia="zh-CN"/>
          <w14:textFill>
            <w14:solidFill>
              <w14:schemeClr w14:val="tx1"/>
            </w14:solidFill>
          </w14:textFill>
        </w:rPr>
        <w:t>投加配比根据修复方案及实际污染状况确定，现场运行中结合修复效果动态优化；</w:t>
      </w:r>
    </w:p>
    <w:p w14:paraId="4484255D">
      <w:pPr>
        <w:spacing w:line="24" w:lineRule="atLeast"/>
        <w:ind w:firstLine="420" w:firstLineChars="200"/>
        <w:rPr>
          <w:rFonts w:hint="eastAsia" w:ascii="宋体" w:hAnsi="宋体" w:eastAsia="宋体" w:cs="宋体"/>
        </w:rPr>
      </w:pPr>
      <w:r>
        <w:rPr>
          <w:rFonts w:hint="default" w:ascii="Times New Roman" w:hAnsi="Times New Roman" w:cs="Times New Roman"/>
        </w:rPr>
        <w:t>（</w:t>
      </w:r>
      <w:r>
        <w:rPr>
          <w:rFonts w:hint="eastAsia" w:cs="Times New Roman"/>
          <w:lang w:val="en-US" w:eastAsia="zh-CN"/>
        </w:rPr>
        <w:t>2</w:t>
      </w:r>
      <w:r>
        <w:rPr>
          <w:rFonts w:hint="default" w:ascii="Times New Roman" w:hAnsi="Times New Roman" w:cs="Times New Roman"/>
        </w:rPr>
        <w:t>）</w:t>
      </w:r>
      <w:r>
        <w:rPr>
          <w:rFonts w:hint="default" w:ascii="Times New Roman" w:hAnsi="Times New Roman" w:cs="Times New Roman"/>
          <w:lang w:val="en-US" w:eastAsia="zh-CN"/>
        </w:rPr>
        <w:t>在</w:t>
      </w:r>
      <w:r>
        <w:rPr>
          <w:rFonts w:hint="default" w:ascii="Times New Roman" w:hAnsi="Times New Roman" w:cs="Times New Roman"/>
        </w:rPr>
        <w:t>土壤养护</w:t>
      </w:r>
      <w:r>
        <w:rPr>
          <w:rFonts w:hint="eastAsia" w:ascii="宋体" w:hAnsi="宋体" w:eastAsia="宋体" w:cs="宋体"/>
        </w:rPr>
        <w:t>工段</w:t>
      </w:r>
      <w:r>
        <w:rPr>
          <w:rFonts w:hint="eastAsia" w:ascii="宋体" w:hAnsi="宋体" w:eastAsia="宋体" w:cs="宋体"/>
          <w:lang w:eastAsia="zh-CN"/>
        </w:rPr>
        <w:t>，</w:t>
      </w:r>
      <w:r>
        <w:rPr>
          <w:rFonts w:hint="eastAsia" w:ascii="宋体" w:hAnsi="宋体" w:eastAsia="宋体" w:cs="宋体"/>
        </w:rPr>
        <w:t>经氧化处理的土壤养护5 天以上，使用防雨布覆盖土壤堆体，土壤含水率控制在35~45%。</w:t>
      </w:r>
    </w:p>
    <w:p w14:paraId="6A50267D">
      <w:pPr>
        <w:pStyle w:val="7"/>
        <w:ind w:firstLine="420" w:firstLineChars="200"/>
        <w:rPr>
          <w:rFonts w:hint="eastAsia" w:ascii="宋体" w:hAnsi="宋体" w:eastAsia="宋体" w:cs="宋体"/>
        </w:rPr>
      </w:pPr>
      <w:r>
        <w:rPr>
          <w:rFonts w:hint="eastAsia" w:ascii="宋体" w:hAnsi="宋体" w:eastAsia="宋体" w:cs="宋体"/>
        </w:rPr>
        <w:t>【说明】中国石油和化学工业联合会团体标准《石油化工类有机污染地块 化学氧化修复技术指南》（征求意见稿），有机污染土壤添加药剂完成后，运输至养护区养护3-7天。</w:t>
      </w:r>
    </w:p>
    <w:p w14:paraId="2B94B69D">
      <w:pPr>
        <w:pStyle w:val="4"/>
        <w:ind w:firstLine="0" w:firstLineChars="0"/>
      </w:pPr>
      <w:bookmarkStart w:id="74" w:name="_Toc2674"/>
      <w:r>
        <w:rPr>
          <w:rFonts w:hint="eastAsia"/>
        </w:rPr>
        <w:t>5.</w:t>
      </w:r>
      <w:r>
        <w:rPr>
          <w:rFonts w:hint="eastAsia"/>
          <w:lang w:val="en-US" w:eastAsia="zh-CN"/>
        </w:rPr>
        <w:t>4</w:t>
      </w:r>
      <w:r>
        <w:rPr>
          <w:rFonts w:hint="eastAsia"/>
        </w:rPr>
        <w:t>.</w:t>
      </w:r>
      <w:r>
        <w:rPr>
          <w:rFonts w:hint="eastAsia"/>
          <w:lang w:val="en-US" w:eastAsia="zh-CN"/>
        </w:rPr>
        <w:t>7</w:t>
      </w:r>
      <w:r>
        <w:rPr>
          <w:rFonts w:hint="eastAsia"/>
        </w:rPr>
        <w:t xml:space="preserve"> 异位热脱附修复区运行</w:t>
      </w:r>
      <w:bookmarkEnd w:id="74"/>
    </w:p>
    <w:p w14:paraId="25C90579">
      <w:pPr>
        <w:spacing w:line="24" w:lineRule="atLeast"/>
        <w:ind w:firstLine="420" w:firstLineChars="200"/>
      </w:pPr>
      <w:r>
        <w:t>异位热脱附修复区运行应</w:t>
      </w:r>
      <w:r>
        <w:rPr>
          <w:rFonts w:hint="eastAsia"/>
        </w:rPr>
        <w:t>按</w:t>
      </w:r>
      <w:r>
        <w:t>HJ 1164</w:t>
      </w:r>
      <w:r>
        <w:rPr>
          <w:rFonts w:hint="eastAsia"/>
        </w:rPr>
        <w:t>的规定</w:t>
      </w:r>
      <w:r>
        <w:t>执行。</w:t>
      </w:r>
    </w:p>
    <w:p w14:paraId="020153B9">
      <w:pPr>
        <w:pStyle w:val="4"/>
        <w:ind w:firstLine="0" w:firstLineChars="0"/>
      </w:pPr>
      <w:bookmarkStart w:id="75" w:name="_Toc24361"/>
      <w:r>
        <w:rPr>
          <w:rFonts w:hint="eastAsia"/>
        </w:rPr>
        <w:t>5.</w:t>
      </w:r>
      <w:r>
        <w:rPr>
          <w:rFonts w:hint="eastAsia"/>
          <w:lang w:val="en-US" w:eastAsia="zh-CN"/>
        </w:rPr>
        <w:t>4</w:t>
      </w:r>
      <w:r>
        <w:rPr>
          <w:rFonts w:hint="eastAsia"/>
        </w:rPr>
        <w:t>.</w:t>
      </w:r>
      <w:r>
        <w:rPr>
          <w:rFonts w:hint="eastAsia"/>
          <w:lang w:val="en-US" w:eastAsia="zh-CN"/>
        </w:rPr>
        <w:t>8</w:t>
      </w:r>
      <w:r>
        <w:rPr>
          <w:rFonts w:hint="eastAsia"/>
        </w:rPr>
        <w:t xml:space="preserve"> 淋洗修复区运行</w:t>
      </w:r>
      <w:bookmarkEnd w:id="75"/>
    </w:p>
    <w:p w14:paraId="586BF6DF">
      <w:pPr>
        <w:spacing w:line="24" w:lineRule="atLeast"/>
        <w:ind w:firstLine="420" w:firstLineChars="200"/>
      </w:pPr>
      <w:r>
        <w:t>淋洗修复区运行应</w:t>
      </w:r>
      <w:r>
        <w:rPr>
          <w:rFonts w:hint="eastAsia"/>
        </w:rPr>
        <w:t>满足</w:t>
      </w:r>
      <w:r>
        <w:t>下列</w:t>
      </w:r>
      <w:r>
        <w:rPr>
          <w:rFonts w:hint="eastAsia"/>
        </w:rPr>
        <w:t>要求</w:t>
      </w:r>
      <w:r>
        <w:t>：</w:t>
      </w:r>
    </w:p>
    <w:p w14:paraId="40EABFA0">
      <w:pPr>
        <w:spacing w:line="24" w:lineRule="atLeast"/>
        <w:ind w:firstLine="420" w:firstLineChars="200"/>
      </w:pPr>
      <w:r>
        <w:t>1）污染土壤经滚筒筛、振动筛、旋流器分级处理后，对富含重金属的细粒径土壤采用机械搅拌淋洗或旋流淋洗工艺，将重金属从土壤介质中转移至淋洗液，之后经固液分离，土壤转运至待检区开展自检及验收，淋洗液则输送至水处理系统处理达标后回用。</w:t>
      </w:r>
    </w:p>
    <w:p w14:paraId="08C62536">
      <w:pPr>
        <w:spacing w:line="24" w:lineRule="atLeast"/>
        <w:ind w:firstLine="420" w:firstLineChars="200"/>
      </w:pPr>
      <w:r>
        <w:t>2）实施设备可选用旋流淋洗机等；</w:t>
      </w:r>
    </w:p>
    <w:p w14:paraId="348E320E">
      <w:pPr>
        <w:spacing w:line="24" w:lineRule="atLeast"/>
        <w:ind w:firstLine="420" w:firstLineChars="200"/>
      </w:pPr>
      <w:r>
        <w:t>3）根据修复方案、中试结果、快筛数据、修复工程量和工期等，动态调整固液比、淋洗液浓度、淋洗时间、淋洗次数等</w:t>
      </w:r>
      <w:r>
        <w:rPr>
          <w:rFonts w:hint="eastAsia"/>
          <w:lang w:eastAsia="zh-CN"/>
        </w:rPr>
        <w:t>。</w:t>
      </w:r>
    </w:p>
    <w:p w14:paraId="03B87319">
      <w:pPr>
        <w:pStyle w:val="4"/>
        <w:ind w:firstLine="0" w:firstLineChars="0"/>
      </w:pPr>
      <w:bookmarkStart w:id="76" w:name="_Toc26860"/>
      <w:r>
        <w:rPr>
          <w:rFonts w:hint="eastAsia"/>
        </w:rPr>
        <w:t>5.</w:t>
      </w:r>
      <w:r>
        <w:rPr>
          <w:rFonts w:hint="eastAsia"/>
          <w:lang w:val="en-US" w:eastAsia="zh-CN"/>
        </w:rPr>
        <w:t>4</w:t>
      </w:r>
      <w:r>
        <w:rPr>
          <w:rFonts w:hint="eastAsia"/>
        </w:rPr>
        <w:t>.</w:t>
      </w:r>
      <w:r>
        <w:rPr>
          <w:rFonts w:hint="eastAsia"/>
          <w:lang w:val="en-US" w:eastAsia="zh-CN"/>
        </w:rPr>
        <w:t>9</w:t>
      </w:r>
      <w:r>
        <w:rPr>
          <w:rFonts w:hint="eastAsia"/>
        </w:rPr>
        <w:t xml:space="preserve"> 废水处理区运行</w:t>
      </w:r>
      <w:bookmarkEnd w:id="76"/>
    </w:p>
    <w:p w14:paraId="3056D4BC">
      <w:pPr>
        <w:ind w:firstLine="420" w:firstLineChars="200"/>
      </w:pPr>
      <w:r>
        <w:t>废水处理工艺</w:t>
      </w:r>
      <w:r>
        <w:rPr>
          <w:rFonts w:hint="eastAsia"/>
        </w:rPr>
        <w:t>应</w:t>
      </w:r>
      <w:r>
        <w:t>包括混凝、氧化、化学沉淀等，</w:t>
      </w:r>
      <w:r>
        <w:rPr>
          <w:rFonts w:hint="eastAsia"/>
        </w:rPr>
        <w:t>应</w:t>
      </w:r>
      <w:r>
        <w:t>根据污染物</w:t>
      </w:r>
      <w:r>
        <w:rPr>
          <w:rFonts w:hint="eastAsia"/>
        </w:rPr>
        <w:t>类型及浓度</w:t>
      </w:r>
      <w:r>
        <w:t>选择</w:t>
      </w:r>
      <w:r>
        <w:rPr>
          <w:kern w:val="0"/>
          <w:sz w:val="20"/>
          <w:szCs w:val="20"/>
          <w:lang w:bidi="ar"/>
        </w:rPr>
        <w:t>工艺设备组合</w:t>
      </w:r>
      <w:r>
        <w:t>。处理工艺</w:t>
      </w:r>
      <w:r>
        <w:rPr>
          <w:rFonts w:hint="eastAsia"/>
        </w:rPr>
        <w:t>可</w:t>
      </w:r>
      <w:r>
        <w:t>参照HJ</w:t>
      </w:r>
      <w:r>
        <w:rPr>
          <w:rFonts w:hint="eastAsia"/>
        </w:rPr>
        <w:t xml:space="preserve"> </w:t>
      </w:r>
      <w:r>
        <w:t>2006、HJ</w:t>
      </w:r>
      <w:r>
        <w:rPr>
          <w:rFonts w:hint="eastAsia"/>
        </w:rPr>
        <w:t xml:space="preserve"> </w:t>
      </w:r>
      <w:r>
        <w:t>2015</w:t>
      </w:r>
      <w:r>
        <w:rPr>
          <w:rFonts w:hint="eastAsia"/>
        </w:rPr>
        <w:t>的规定</w:t>
      </w:r>
      <w:r>
        <w:t>执行</w:t>
      </w:r>
      <w:r>
        <w:rPr>
          <w:rFonts w:hint="eastAsia"/>
        </w:rPr>
        <w:t>。</w:t>
      </w:r>
    </w:p>
    <w:p w14:paraId="60BCF145">
      <w:pPr>
        <w:pStyle w:val="4"/>
        <w:ind w:firstLine="0" w:firstLineChars="0"/>
      </w:pPr>
      <w:bookmarkStart w:id="77" w:name="_Toc4764"/>
      <w:r>
        <w:rPr>
          <w:rFonts w:hint="eastAsia"/>
        </w:rPr>
        <w:t>5.</w:t>
      </w:r>
      <w:r>
        <w:rPr>
          <w:rFonts w:hint="eastAsia"/>
          <w:lang w:val="en-US" w:eastAsia="zh-CN"/>
        </w:rPr>
        <w:t>4</w:t>
      </w:r>
      <w:r>
        <w:rPr>
          <w:rFonts w:hint="eastAsia"/>
        </w:rPr>
        <w:t>.</w:t>
      </w:r>
      <w:r>
        <w:rPr>
          <w:rFonts w:hint="eastAsia"/>
          <w:lang w:val="en-US" w:eastAsia="zh-CN"/>
        </w:rPr>
        <w:t>10</w:t>
      </w:r>
      <w:r>
        <w:rPr>
          <w:rFonts w:hint="eastAsia"/>
        </w:rPr>
        <w:t xml:space="preserve"> 废气处理区运行</w:t>
      </w:r>
      <w:bookmarkEnd w:id="77"/>
    </w:p>
    <w:p w14:paraId="2348718E">
      <w:pPr>
        <w:widowControl/>
        <w:spacing w:line="24" w:lineRule="atLeast"/>
        <w:ind w:firstLine="400" w:firstLineChars="200"/>
        <w:jc w:val="left"/>
        <w:rPr>
          <w:rFonts w:hint="eastAsia" w:eastAsia="宋体"/>
          <w:kern w:val="0"/>
          <w:sz w:val="20"/>
          <w:szCs w:val="20"/>
          <w:lang w:eastAsia="zh-CN" w:bidi="ar"/>
        </w:rPr>
      </w:pPr>
      <w:r>
        <w:rPr>
          <w:kern w:val="0"/>
          <w:sz w:val="20"/>
          <w:szCs w:val="20"/>
          <w:lang w:bidi="ar"/>
        </w:rPr>
        <w:t>废气处理工艺</w:t>
      </w:r>
      <w:r>
        <w:rPr>
          <w:rFonts w:hint="eastAsia"/>
          <w:kern w:val="0"/>
          <w:sz w:val="20"/>
          <w:szCs w:val="20"/>
          <w:lang w:bidi="ar"/>
        </w:rPr>
        <w:t>宜</w:t>
      </w:r>
      <w:r>
        <w:rPr>
          <w:kern w:val="0"/>
          <w:sz w:val="20"/>
          <w:szCs w:val="20"/>
          <w:lang w:bidi="ar"/>
        </w:rPr>
        <w:t>包括除尘、吸附</w:t>
      </w:r>
      <w:r>
        <w:rPr>
          <w:rFonts w:hint="eastAsia"/>
          <w:kern w:val="0"/>
          <w:sz w:val="20"/>
          <w:szCs w:val="20"/>
          <w:lang w:bidi="ar"/>
        </w:rPr>
        <w:t>、</w:t>
      </w:r>
      <w:r>
        <w:rPr>
          <w:kern w:val="0"/>
          <w:sz w:val="20"/>
          <w:szCs w:val="20"/>
          <w:lang w:bidi="ar"/>
        </w:rPr>
        <w:t>化学洗涤、光催化</w:t>
      </w:r>
      <w:r>
        <w:rPr>
          <w:rFonts w:hint="eastAsia"/>
          <w:kern w:val="0"/>
          <w:sz w:val="20"/>
          <w:szCs w:val="20"/>
          <w:lang w:bidi="ar"/>
        </w:rPr>
        <w:t>氧化</w:t>
      </w:r>
      <w:r>
        <w:rPr>
          <w:kern w:val="0"/>
          <w:sz w:val="20"/>
          <w:szCs w:val="20"/>
          <w:lang w:bidi="ar"/>
        </w:rPr>
        <w:t>等，</w:t>
      </w:r>
      <w:r>
        <w:rPr>
          <w:rFonts w:hint="eastAsia"/>
          <w:kern w:val="0"/>
          <w:sz w:val="20"/>
          <w:szCs w:val="20"/>
          <w:lang w:bidi="ar"/>
        </w:rPr>
        <w:t>应</w:t>
      </w:r>
      <w:r>
        <w:rPr>
          <w:kern w:val="0"/>
          <w:sz w:val="20"/>
          <w:szCs w:val="20"/>
          <w:lang w:bidi="ar"/>
        </w:rPr>
        <w:t>根据废气成分选择工艺设备组合。处理工艺</w:t>
      </w:r>
      <w:r>
        <w:rPr>
          <w:rFonts w:hint="eastAsia"/>
          <w:kern w:val="0"/>
          <w:sz w:val="20"/>
          <w:szCs w:val="20"/>
          <w:lang w:bidi="ar"/>
        </w:rPr>
        <w:t>可</w:t>
      </w:r>
      <w:r>
        <w:rPr>
          <w:kern w:val="0"/>
          <w:sz w:val="20"/>
          <w:szCs w:val="20"/>
          <w:lang w:bidi="ar"/>
        </w:rPr>
        <w:t>参照HJ</w:t>
      </w:r>
      <w:r>
        <w:rPr>
          <w:rFonts w:hint="eastAsia"/>
          <w:kern w:val="0"/>
          <w:sz w:val="20"/>
          <w:szCs w:val="20"/>
          <w:lang w:bidi="ar"/>
        </w:rPr>
        <w:t xml:space="preserve"> </w:t>
      </w:r>
      <w:r>
        <w:rPr>
          <w:kern w:val="0"/>
          <w:sz w:val="20"/>
          <w:szCs w:val="20"/>
          <w:lang w:bidi="ar"/>
        </w:rPr>
        <w:t>2000</w:t>
      </w:r>
      <w:r>
        <w:rPr>
          <w:rFonts w:hint="eastAsia"/>
          <w:kern w:val="0"/>
          <w:sz w:val="20"/>
          <w:szCs w:val="20"/>
          <w:lang w:bidi="ar"/>
        </w:rPr>
        <w:t>的规定</w:t>
      </w:r>
      <w:r>
        <w:rPr>
          <w:kern w:val="0"/>
          <w:sz w:val="20"/>
          <w:szCs w:val="20"/>
          <w:lang w:bidi="ar"/>
        </w:rPr>
        <w:t>执行</w:t>
      </w:r>
      <w:r>
        <w:rPr>
          <w:rFonts w:hint="eastAsia"/>
          <w:kern w:val="0"/>
          <w:sz w:val="20"/>
          <w:szCs w:val="20"/>
          <w:lang w:eastAsia="zh-CN" w:bidi="ar"/>
        </w:rPr>
        <w:t>。</w:t>
      </w:r>
    </w:p>
    <w:p w14:paraId="5711B401">
      <w:pPr>
        <w:pStyle w:val="4"/>
        <w:bidi w:val="0"/>
        <w:ind w:left="0" w:leftChars="0" w:firstLine="0" w:firstLineChars="0"/>
        <w:rPr>
          <w:rFonts w:hint="eastAsia"/>
          <w:lang w:val="en-US" w:eastAsia="zh-CN"/>
        </w:rPr>
      </w:pPr>
      <w:bookmarkStart w:id="78" w:name="_Toc25746"/>
      <w:bookmarkStart w:id="79" w:name="_Toc201159589"/>
      <w:bookmarkStart w:id="80" w:name="_Toc202427974"/>
      <w:r>
        <w:rPr>
          <w:rFonts w:hint="eastAsia"/>
          <w:lang w:val="en-US" w:eastAsia="zh-CN"/>
        </w:rPr>
        <w:t>5.4.11 建筑垃圾区运行</w:t>
      </w:r>
      <w:bookmarkEnd w:id="78"/>
    </w:p>
    <w:p w14:paraId="4A25D1E4">
      <w:pPr>
        <w:spacing w:line="24" w:lineRule="atLeast"/>
        <w:ind w:firstLine="420" w:firstLineChars="200"/>
        <w:rPr>
          <w:rFonts w:hint="eastAsia" w:ascii="宋体" w:hAnsi="宋体" w:cs="宋体"/>
          <w:kern w:val="0"/>
          <w:sz w:val="20"/>
          <w:szCs w:val="20"/>
          <w:lang w:bidi="ar"/>
        </w:rPr>
      </w:pPr>
      <w:r>
        <w:rPr>
          <w:rFonts w:hint="eastAsia" w:ascii="宋体" w:hAnsi="宋体" w:eastAsia="宋体" w:cs="宋体"/>
          <w:kern w:val="0"/>
          <w:szCs w:val="20"/>
        </w:rPr>
        <w:t>建筑垃圾区运行应满足下列要求：</w:t>
      </w:r>
    </w:p>
    <w:p w14:paraId="27F1FFAE">
      <w:pPr>
        <w:spacing w:line="24" w:lineRule="atLeast"/>
        <w:ind w:firstLine="400" w:firstLineChars="200"/>
        <w:rPr>
          <w:kern w:val="0"/>
          <w:sz w:val="20"/>
          <w:szCs w:val="20"/>
          <w:lang w:bidi="ar"/>
        </w:rPr>
      </w:pPr>
      <w:r>
        <w:rPr>
          <w:kern w:val="0"/>
          <w:sz w:val="20"/>
          <w:szCs w:val="20"/>
          <w:lang w:bidi="ar"/>
        </w:rPr>
        <w:t>1）按污染类别分类堆放建筑垃圾，设置标识牌；</w:t>
      </w:r>
    </w:p>
    <w:p w14:paraId="6A15A606">
      <w:pPr>
        <w:keepNext w:val="0"/>
        <w:keepLines w:val="0"/>
        <w:pageBreakBefore w:val="0"/>
        <w:widowControl/>
        <w:kinsoku/>
        <w:wordWrap/>
        <w:overflowPunct/>
        <w:topLinePunct w:val="0"/>
        <w:autoSpaceDE/>
        <w:autoSpaceDN/>
        <w:bidi w:val="0"/>
        <w:adjustRightInd/>
        <w:snapToGrid/>
        <w:spacing w:line="24" w:lineRule="atLeast"/>
        <w:ind w:firstLine="400" w:firstLineChars="200"/>
        <w:textAlignment w:val="auto"/>
        <w:rPr>
          <w:rFonts w:hint="default" w:ascii="Times New Roman" w:hAnsi="Times New Roman" w:cs="Times New Roman"/>
          <w:kern w:val="0"/>
          <w:sz w:val="20"/>
          <w:szCs w:val="20"/>
          <w:lang w:val="en-US" w:eastAsia="zh-CN" w:bidi="ar"/>
        </w:rPr>
      </w:pPr>
      <w:r>
        <w:rPr>
          <w:kern w:val="0"/>
          <w:sz w:val="20"/>
          <w:szCs w:val="20"/>
          <w:lang w:bidi="ar"/>
        </w:rPr>
        <w:t>2）</w:t>
      </w:r>
      <w:r>
        <w:rPr>
          <w:rFonts w:hint="eastAsia"/>
          <w:kern w:val="0"/>
          <w:sz w:val="20"/>
          <w:szCs w:val="20"/>
          <w:lang w:bidi="ar"/>
        </w:rPr>
        <w:t>对</w:t>
      </w:r>
      <w:r>
        <w:rPr>
          <w:kern w:val="0"/>
          <w:sz w:val="20"/>
          <w:szCs w:val="20"/>
          <w:lang w:bidi="ar"/>
        </w:rPr>
        <w:t>预处理产生的砖瓦、石块等建筑垃圾进行清洗，清洗后按建筑垃圾处理处置，清洗过程产生的废水收集进入废水处理区</w:t>
      </w:r>
      <w:r>
        <w:rPr>
          <w:rFonts w:hint="default" w:ascii="Times New Roman" w:hAnsi="Times New Roman" w:cs="Times New Roman"/>
          <w:kern w:val="0"/>
          <w:sz w:val="20"/>
          <w:szCs w:val="20"/>
          <w:lang w:val="en-US" w:eastAsia="zh-CN" w:bidi="ar"/>
        </w:rPr>
        <w:t>。</w:t>
      </w:r>
    </w:p>
    <w:p w14:paraId="4531338F">
      <w:pPr>
        <w:pStyle w:val="4"/>
        <w:bidi w:val="0"/>
        <w:ind w:left="0" w:leftChars="0" w:firstLine="0" w:firstLineChars="0"/>
        <w:rPr>
          <w:rFonts w:hint="eastAsia"/>
          <w:lang w:val="en-US" w:eastAsia="zh-CN"/>
        </w:rPr>
      </w:pPr>
      <w:bookmarkStart w:id="81" w:name="_Toc21964"/>
      <w:r>
        <w:rPr>
          <w:rFonts w:hint="eastAsia"/>
          <w:lang w:val="en-US" w:eastAsia="zh-CN"/>
        </w:rPr>
        <w:t>5.4.12 暂存区运行</w:t>
      </w:r>
      <w:bookmarkEnd w:id="81"/>
    </w:p>
    <w:p w14:paraId="3F6421DC">
      <w:pPr>
        <w:widowControl/>
        <w:spacing w:line="24" w:lineRule="atLeast"/>
        <w:ind w:firstLine="420" w:firstLineChars="200"/>
        <w:jc w:val="left"/>
        <w:rPr>
          <w:rFonts w:hint="eastAsia" w:ascii="宋体" w:hAnsi="宋体" w:cs="宋体"/>
          <w:kern w:val="0"/>
          <w:sz w:val="20"/>
          <w:szCs w:val="20"/>
          <w:lang w:bidi="ar"/>
        </w:rPr>
      </w:pPr>
      <w:r>
        <w:rPr>
          <w:rFonts w:hint="eastAsia" w:ascii="宋体" w:hAnsi="宋体" w:eastAsia="宋体" w:cs="宋体"/>
          <w:kern w:val="0"/>
          <w:szCs w:val="20"/>
        </w:rPr>
        <w:t>暂存区运行应满足下列要求：</w:t>
      </w:r>
    </w:p>
    <w:p w14:paraId="7F73BA4D">
      <w:pPr>
        <w:widowControl/>
        <w:spacing w:line="24" w:lineRule="atLeast"/>
        <w:ind w:firstLine="400" w:firstLineChars="200"/>
        <w:jc w:val="left"/>
        <w:rPr>
          <w:kern w:val="0"/>
          <w:sz w:val="20"/>
          <w:szCs w:val="20"/>
          <w:lang w:bidi="ar"/>
        </w:rPr>
      </w:pPr>
      <w:r>
        <w:rPr>
          <w:rFonts w:hint="eastAsia"/>
          <w:kern w:val="0"/>
          <w:sz w:val="20"/>
          <w:szCs w:val="20"/>
          <w:lang w:bidi="ar"/>
        </w:rPr>
        <w:t>1）修复后土壤堆置于暂存区进行自检、效果评估验收</w:t>
      </w:r>
      <w:r>
        <w:rPr>
          <w:kern w:val="0"/>
          <w:sz w:val="20"/>
          <w:szCs w:val="20"/>
          <w:lang w:bidi="ar"/>
        </w:rPr>
        <w:t>；</w:t>
      </w:r>
    </w:p>
    <w:p w14:paraId="5B0155E3">
      <w:pPr>
        <w:widowControl/>
        <w:spacing w:line="24" w:lineRule="atLeast"/>
        <w:ind w:firstLine="400" w:firstLineChars="200"/>
        <w:jc w:val="left"/>
        <w:rPr>
          <w:rFonts w:hint="default"/>
          <w:lang w:val="en-US" w:eastAsia="zh-CN"/>
        </w:rPr>
      </w:pPr>
      <w:r>
        <w:rPr>
          <w:rFonts w:hint="eastAsia"/>
          <w:kern w:val="0"/>
          <w:sz w:val="20"/>
          <w:szCs w:val="20"/>
          <w:lang w:bidi="ar"/>
        </w:rPr>
        <w:t>2）</w:t>
      </w:r>
      <w:r>
        <w:rPr>
          <w:kern w:val="0"/>
          <w:sz w:val="20"/>
          <w:szCs w:val="20"/>
          <w:lang w:bidi="ar"/>
        </w:rPr>
        <w:t>按照污染类别分类堆放</w:t>
      </w:r>
      <w:r>
        <w:rPr>
          <w:rFonts w:hint="eastAsia"/>
          <w:kern w:val="0"/>
          <w:sz w:val="20"/>
          <w:szCs w:val="20"/>
          <w:lang w:bidi="ar"/>
        </w:rPr>
        <w:t>修复后土壤</w:t>
      </w:r>
      <w:r>
        <w:rPr>
          <w:kern w:val="0"/>
          <w:sz w:val="20"/>
          <w:szCs w:val="20"/>
          <w:lang w:bidi="ar"/>
        </w:rPr>
        <w:t>，设置标识牌</w:t>
      </w:r>
      <w:r>
        <w:rPr>
          <w:rFonts w:hint="eastAsia" w:cs="Times New Roman"/>
          <w:kern w:val="0"/>
          <w:sz w:val="20"/>
          <w:szCs w:val="20"/>
          <w:lang w:val="en-US" w:eastAsia="zh-CN" w:bidi="ar"/>
        </w:rPr>
        <w:t>。</w:t>
      </w:r>
    </w:p>
    <w:p w14:paraId="08C808A8">
      <w:pPr>
        <w:pStyle w:val="3"/>
        <w:spacing w:line="600" w:lineRule="auto"/>
        <w:rPr>
          <w:rFonts w:hint="default" w:eastAsia="黑体" w:cs="黑体"/>
          <w:szCs w:val="21"/>
          <w:lang w:val="en-US" w:eastAsia="zh-CN" w:bidi="ar"/>
        </w:rPr>
      </w:pPr>
      <w:bookmarkStart w:id="82" w:name="_Toc4160"/>
      <w:r>
        <w:rPr>
          <w:rFonts w:hint="eastAsia" w:cs="黑体"/>
          <w:szCs w:val="21"/>
          <w:lang w:bidi="ar"/>
        </w:rPr>
        <w:t>5.</w:t>
      </w:r>
      <w:r>
        <w:rPr>
          <w:rFonts w:hint="eastAsia" w:cs="黑体"/>
          <w:szCs w:val="21"/>
          <w:lang w:val="en-US" w:eastAsia="zh-CN" w:bidi="ar"/>
        </w:rPr>
        <w:t>5</w:t>
      </w:r>
      <w:r>
        <w:rPr>
          <w:rFonts w:hint="eastAsia" w:cs="黑体"/>
          <w:szCs w:val="21"/>
          <w:lang w:bidi="ar"/>
        </w:rPr>
        <w:t xml:space="preserve"> 监测</w:t>
      </w:r>
      <w:bookmarkEnd w:id="79"/>
      <w:bookmarkEnd w:id="80"/>
      <w:r>
        <w:rPr>
          <w:rFonts w:hint="eastAsia" w:cs="黑体"/>
          <w:szCs w:val="21"/>
          <w:lang w:val="en-US" w:eastAsia="zh-CN" w:bidi="ar"/>
        </w:rPr>
        <w:t>与验收</w:t>
      </w:r>
      <w:bookmarkEnd w:id="82"/>
    </w:p>
    <w:p w14:paraId="7D00D132">
      <w:pPr>
        <w:pStyle w:val="4"/>
        <w:ind w:firstLine="0" w:firstLineChars="0"/>
        <w:rPr>
          <w:rFonts w:ascii="宋体" w:hAnsi="宋体"/>
        </w:rPr>
      </w:pPr>
      <w:bookmarkStart w:id="83" w:name="_Toc11311"/>
      <w:r>
        <w:rPr>
          <w:rStyle w:val="37"/>
          <w:rFonts w:hint="eastAsia"/>
          <w:bCs w:val="0"/>
        </w:rPr>
        <w:t>5.</w:t>
      </w:r>
      <w:r>
        <w:rPr>
          <w:rStyle w:val="37"/>
          <w:rFonts w:hint="eastAsia"/>
          <w:bCs w:val="0"/>
          <w:lang w:val="en-US" w:eastAsia="zh-CN"/>
        </w:rPr>
        <w:t>5</w:t>
      </w:r>
      <w:r>
        <w:rPr>
          <w:rStyle w:val="37"/>
          <w:rFonts w:hint="eastAsia"/>
          <w:bCs w:val="0"/>
        </w:rPr>
        <w:t>.1</w:t>
      </w:r>
      <w:r>
        <w:rPr>
          <w:rFonts w:hint="eastAsia"/>
        </w:rPr>
        <w:t xml:space="preserve"> </w:t>
      </w:r>
      <w:bookmarkStart w:id="84" w:name="_Hlk202196939"/>
      <w:r>
        <w:rPr>
          <w:rFonts w:hint="eastAsia"/>
        </w:rPr>
        <w:t>负压密闭空间监测</w:t>
      </w:r>
      <w:bookmarkEnd w:id="83"/>
      <w:bookmarkEnd w:id="84"/>
      <w:bookmarkStart w:id="85" w:name="_Hlk202196917"/>
    </w:p>
    <w:bookmarkEnd w:id="85"/>
    <w:p w14:paraId="41328A47">
      <w:pPr>
        <w:widowControl/>
        <w:ind w:firstLine="420" w:firstLineChars="200"/>
        <w:rPr>
          <w:color w:val="000000"/>
          <w:kern w:val="0"/>
          <w:szCs w:val="21"/>
          <w:lang w:bidi="ar"/>
        </w:rPr>
      </w:pPr>
      <w:r>
        <w:rPr>
          <w:color w:val="000000"/>
          <w:kern w:val="0"/>
          <w:szCs w:val="21"/>
          <w:lang w:bidi="ar"/>
        </w:rPr>
        <w:t>监测数据</w:t>
      </w:r>
      <w:bookmarkStart w:id="86" w:name="_Hlk202196877"/>
      <w:r>
        <w:rPr>
          <w:rFonts w:hint="eastAsia"/>
          <w:color w:val="000000"/>
          <w:kern w:val="0"/>
          <w:szCs w:val="21"/>
          <w:lang w:bidi="ar"/>
        </w:rPr>
        <w:t>应</w:t>
      </w:r>
      <w:r>
        <w:rPr>
          <w:color w:val="000000"/>
          <w:kern w:val="0"/>
          <w:szCs w:val="21"/>
          <w:lang w:bidi="ar"/>
        </w:rPr>
        <w:t>包括下列内容：</w:t>
      </w:r>
      <w:bookmarkEnd w:id="86"/>
    </w:p>
    <w:p w14:paraId="4AEF967E">
      <w:pPr>
        <w:widowControl/>
        <w:ind w:firstLine="420" w:firstLineChars="200"/>
        <w:rPr>
          <w:color w:val="000000"/>
          <w:kern w:val="0"/>
          <w:szCs w:val="21"/>
          <w:lang w:bidi="ar"/>
        </w:rPr>
      </w:pPr>
      <w:r>
        <w:rPr>
          <w:rFonts w:hint="eastAsia"/>
          <w:color w:val="000000"/>
          <w:kern w:val="0"/>
          <w:szCs w:val="21"/>
          <w:lang w:bidi="ar"/>
        </w:rPr>
        <w:t>1</w:t>
      </w:r>
      <w:r>
        <w:rPr>
          <w:color w:val="000000"/>
          <w:kern w:val="0"/>
          <w:szCs w:val="21"/>
          <w:lang w:bidi="ar"/>
        </w:rPr>
        <w:t>）密闭空间的负压值；</w:t>
      </w:r>
    </w:p>
    <w:p w14:paraId="646D2B4D">
      <w:pPr>
        <w:widowControl/>
        <w:ind w:firstLine="420" w:firstLineChars="200"/>
        <w:rPr>
          <w:color w:val="000000"/>
          <w:kern w:val="0"/>
          <w:szCs w:val="21"/>
          <w:lang w:bidi="ar"/>
        </w:rPr>
      </w:pPr>
      <w:r>
        <w:rPr>
          <w:rFonts w:hint="eastAsia"/>
          <w:color w:val="000000"/>
          <w:kern w:val="0"/>
          <w:szCs w:val="21"/>
          <w:lang w:bidi="ar"/>
        </w:rPr>
        <w:t>2）</w:t>
      </w:r>
      <w:r>
        <w:rPr>
          <w:color w:val="000000"/>
          <w:kern w:val="0"/>
          <w:szCs w:val="21"/>
          <w:lang w:bidi="ar"/>
        </w:rPr>
        <w:t>密闭空间内的空气污染监测参数；</w:t>
      </w:r>
    </w:p>
    <w:p w14:paraId="3104C8EC">
      <w:pPr>
        <w:widowControl/>
        <w:spacing w:line="240" w:lineRule="auto"/>
        <w:ind w:firstLine="420" w:firstLineChars="200"/>
        <w:rPr>
          <w:rFonts w:ascii="Times New Roman" w:hAnsi="Times New Roman" w:cs="Times New Roman"/>
          <w:kern w:val="0"/>
          <w:szCs w:val="21"/>
          <w:lang w:bidi="ar"/>
        </w:rPr>
      </w:pPr>
      <w:r>
        <w:rPr>
          <w:rFonts w:hint="eastAsia"/>
          <w:kern w:val="0"/>
          <w:szCs w:val="21"/>
          <w:lang w:bidi="ar"/>
        </w:rPr>
        <w:t>3）</w:t>
      </w:r>
      <w:r>
        <w:rPr>
          <w:kern w:val="0"/>
          <w:szCs w:val="21"/>
          <w:lang w:bidi="ar"/>
        </w:rPr>
        <w:t>气温、湿度</w:t>
      </w:r>
      <w:r>
        <w:rPr>
          <w:rFonts w:hint="eastAsia"/>
          <w:kern w:val="0"/>
          <w:szCs w:val="21"/>
          <w:lang w:bidi="ar"/>
        </w:rPr>
        <w:t>、扬尘、噪声</w:t>
      </w:r>
      <w:r>
        <w:rPr>
          <w:kern w:val="0"/>
          <w:szCs w:val="21"/>
          <w:lang w:bidi="ar"/>
        </w:rPr>
        <w:t>等环境参数</w:t>
      </w:r>
      <w:r>
        <w:rPr>
          <w:rFonts w:ascii="Times New Roman" w:hAnsi="Times New Roman" w:cs="Times New Roman"/>
          <w:kern w:val="0"/>
          <w:szCs w:val="21"/>
          <w:lang w:bidi="ar"/>
        </w:rPr>
        <w:t>。</w:t>
      </w:r>
    </w:p>
    <w:p w14:paraId="755B6D38">
      <w:pPr>
        <w:pStyle w:val="4"/>
        <w:ind w:firstLine="0" w:firstLineChars="0"/>
        <w:rPr>
          <w:color w:val="000000"/>
          <w:lang w:bidi="ar"/>
        </w:rPr>
      </w:pPr>
      <w:bookmarkStart w:id="87" w:name="_Toc21873"/>
      <w:r>
        <w:rPr>
          <w:rFonts w:hint="eastAsia"/>
        </w:rPr>
        <w:t>5.</w:t>
      </w:r>
      <w:r>
        <w:rPr>
          <w:rFonts w:hint="eastAsia"/>
          <w:lang w:val="en-US" w:eastAsia="zh-CN"/>
        </w:rPr>
        <w:t>5</w:t>
      </w:r>
      <w:r>
        <w:rPr>
          <w:rFonts w:hint="eastAsia"/>
        </w:rPr>
        <w:t>.2</w:t>
      </w:r>
      <w:r>
        <w:t xml:space="preserve"> </w:t>
      </w:r>
      <w:r>
        <w:rPr>
          <w:rFonts w:hint="eastAsia"/>
        </w:rPr>
        <w:t>常温解吸区监测</w:t>
      </w:r>
      <w:bookmarkEnd w:id="87"/>
    </w:p>
    <w:p w14:paraId="03C92CF1">
      <w:pPr>
        <w:widowControl/>
        <w:ind w:firstLine="420" w:firstLineChars="200"/>
        <w:rPr>
          <w:color w:val="000000"/>
          <w:kern w:val="0"/>
          <w:szCs w:val="21"/>
          <w:lang w:bidi="ar"/>
        </w:rPr>
      </w:pPr>
      <w:r>
        <w:rPr>
          <w:color w:val="000000"/>
          <w:kern w:val="0"/>
          <w:szCs w:val="21"/>
          <w:lang w:bidi="ar"/>
        </w:rPr>
        <w:t>监测数据</w:t>
      </w:r>
      <w:r>
        <w:rPr>
          <w:rFonts w:hint="eastAsia"/>
          <w:color w:val="000000"/>
          <w:kern w:val="0"/>
          <w:szCs w:val="21"/>
          <w:lang w:bidi="ar"/>
        </w:rPr>
        <w:t>应</w:t>
      </w:r>
      <w:r>
        <w:rPr>
          <w:color w:val="000000"/>
          <w:kern w:val="0"/>
          <w:szCs w:val="21"/>
          <w:lang w:bidi="ar"/>
        </w:rPr>
        <w:t>包括下列内容：</w:t>
      </w:r>
    </w:p>
    <w:p w14:paraId="57CDD365">
      <w:pPr>
        <w:widowControl/>
        <w:ind w:firstLine="420" w:firstLineChars="200"/>
        <w:rPr>
          <w:kern w:val="0"/>
          <w:szCs w:val="21"/>
          <w:lang w:bidi="ar"/>
        </w:rPr>
      </w:pPr>
      <w:r>
        <w:rPr>
          <w:rFonts w:hint="eastAsia"/>
          <w:kern w:val="0"/>
          <w:szCs w:val="21"/>
          <w:lang w:bidi="ar"/>
        </w:rPr>
        <w:t>1）</w:t>
      </w:r>
      <w:r>
        <w:rPr>
          <w:kern w:val="0"/>
          <w:szCs w:val="21"/>
          <w:lang w:bidi="ar"/>
        </w:rPr>
        <w:t>pH值及含水率等运行参数；</w:t>
      </w:r>
    </w:p>
    <w:p w14:paraId="0E33AC3A">
      <w:pPr>
        <w:widowControl/>
        <w:ind w:firstLine="420" w:firstLineChars="200"/>
        <w:rPr>
          <w:kern w:val="0"/>
          <w:szCs w:val="21"/>
          <w:lang w:bidi="ar"/>
        </w:rPr>
      </w:pPr>
      <w:r>
        <w:rPr>
          <w:rFonts w:hint="eastAsia"/>
          <w:kern w:val="0"/>
          <w:szCs w:val="21"/>
          <w:lang w:bidi="ar"/>
        </w:rPr>
        <w:t>2）修复后土壤的PID快筛数据；</w:t>
      </w:r>
    </w:p>
    <w:p w14:paraId="338192B7">
      <w:pPr>
        <w:widowControl/>
        <w:spacing w:line="240" w:lineRule="auto"/>
        <w:ind w:firstLine="420" w:firstLineChars="200"/>
        <w:rPr>
          <w:rFonts w:ascii="Times New Roman" w:hAnsi="Times New Roman" w:cs="Times New Roman"/>
          <w:kern w:val="0"/>
          <w:szCs w:val="21"/>
          <w:lang w:bidi="ar"/>
        </w:rPr>
      </w:pPr>
      <w:r>
        <w:rPr>
          <w:rFonts w:hint="eastAsia"/>
          <w:kern w:val="0"/>
          <w:szCs w:val="21"/>
          <w:lang w:bidi="ar"/>
        </w:rPr>
        <w:t>3）</w:t>
      </w:r>
      <w:r>
        <w:rPr>
          <w:kern w:val="0"/>
          <w:szCs w:val="21"/>
          <w:lang w:bidi="ar"/>
        </w:rPr>
        <w:t>气温、湿度</w:t>
      </w:r>
      <w:r>
        <w:rPr>
          <w:rFonts w:hint="eastAsia"/>
          <w:kern w:val="0"/>
          <w:szCs w:val="21"/>
          <w:lang w:bidi="ar"/>
        </w:rPr>
        <w:t>、扬尘、噪声</w:t>
      </w:r>
      <w:r>
        <w:rPr>
          <w:kern w:val="0"/>
          <w:szCs w:val="21"/>
          <w:lang w:bidi="ar"/>
        </w:rPr>
        <w:t>等环境参数</w:t>
      </w:r>
      <w:r>
        <w:rPr>
          <w:rFonts w:ascii="Times New Roman" w:hAnsi="Times New Roman" w:cs="Times New Roman"/>
          <w:kern w:val="0"/>
          <w:szCs w:val="21"/>
          <w:lang w:bidi="ar"/>
        </w:rPr>
        <w:t>。</w:t>
      </w:r>
    </w:p>
    <w:p w14:paraId="7F8F719A">
      <w:pPr>
        <w:pStyle w:val="4"/>
        <w:ind w:firstLine="0" w:firstLineChars="0"/>
      </w:pPr>
      <w:bookmarkStart w:id="88" w:name="_Toc1454"/>
      <w:r>
        <w:rPr>
          <w:rFonts w:hint="eastAsia"/>
        </w:rPr>
        <w:t>5.</w:t>
      </w:r>
      <w:r>
        <w:rPr>
          <w:rFonts w:hint="eastAsia"/>
          <w:lang w:val="en-US" w:eastAsia="zh-CN"/>
        </w:rPr>
        <w:t>5</w:t>
      </w:r>
      <w:r>
        <w:rPr>
          <w:rFonts w:hint="eastAsia"/>
        </w:rPr>
        <w:t>.3 化学修复区监测</w:t>
      </w:r>
      <w:bookmarkEnd w:id="88"/>
    </w:p>
    <w:p w14:paraId="1C9E04DB">
      <w:pPr>
        <w:widowControl/>
        <w:ind w:firstLine="420" w:firstLineChars="200"/>
        <w:rPr>
          <w:color w:val="000000"/>
          <w:kern w:val="0"/>
          <w:szCs w:val="21"/>
          <w:lang w:bidi="ar"/>
        </w:rPr>
      </w:pPr>
      <w:r>
        <w:rPr>
          <w:color w:val="000000"/>
          <w:kern w:val="0"/>
          <w:szCs w:val="21"/>
          <w:lang w:bidi="ar"/>
        </w:rPr>
        <w:t>监测数据</w:t>
      </w:r>
      <w:r>
        <w:rPr>
          <w:rFonts w:hint="eastAsia"/>
          <w:color w:val="000000"/>
          <w:kern w:val="0"/>
          <w:szCs w:val="21"/>
          <w:lang w:bidi="ar"/>
        </w:rPr>
        <w:t>应</w:t>
      </w:r>
      <w:r>
        <w:rPr>
          <w:color w:val="000000"/>
          <w:kern w:val="0"/>
          <w:szCs w:val="21"/>
          <w:lang w:bidi="ar"/>
        </w:rPr>
        <w:t>包括下列内容：</w:t>
      </w:r>
    </w:p>
    <w:p w14:paraId="752CFF66">
      <w:pPr>
        <w:widowControl/>
        <w:ind w:firstLine="420" w:firstLineChars="200"/>
        <w:rPr>
          <w:kern w:val="0"/>
          <w:szCs w:val="21"/>
          <w:lang w:bidi="ar"/>
        </w:rPr>
      </w:pPr>
      <w:r>
        <w:rPr>
          <w:rFonts w:hint="eastAsia"/>
          <w:kern w:val="0"/>
          <w:szCs w:val="21"/>
          <w:lang w:bidi="ar"/>
        </w:rPr>
        <w:t>1）</w:t>
      </w:r>
      <w:r>
        <w:rPr>
          <w:kern w:val="0"/>
          <w:szCs w:val="21"/>
          <w:lang w:bidi="ar"/>
        </w:rPr>
        <w:t>pH值及含水率等运行参数；</w:t>
      </w:r>
    </w:p>
    <w:p w14:paraId="46E0AAD4">
      <w:pPr>
        <w:widowControl/>
        <w:spacing w:line="240" w:lineRule="auto"/>
        <w:ind w:firstLine="420" w:firstLineChars="200"/>
        <w:rPr>
          <w:rFonts w:ascii="Times New Roman" w:hAnsi="Times New Roman" w:cs="Times New Roman"/>
          <w:kern w:val="0"/>
          <w:szCs w:val="21"/>
          <w:lang w:bidi="ar"/>
        </w:rPr>
      </w:pPr>
      <w:r>
        <w:rPr>
          <w:rFonts w:hint="eastAsia"/>
          <w:kern w:val="0"/>
          <w:szCs w:val="21"/>
          <w:lang w:bidi="ar"/>
        </w:rPr>
        <w:t>2）</w:t>
      </w:r>
      <w:r>
        <w:rPr>
          <w:kern w:val="0"/>
          <w:szCs w:val="21"/>
          <w:lang w:bidi="ar"/>
        </w:rPr>
        <w:t>气温、湿度</w:t>
      </w:r>
      <w:r>
        <w:rPr>
          <w:rFonts w:hint="eastAsia"/>
          <w:kern w:val="0"/>
          <w:szCs w:val="21"/>
          <w:lang w:bidi="ar"/>
        </w:rPr>
        <w:t>、扬尘、噪声</w:t>
      </w:r>
      <w:r>
        <w:rPr>
          <w:kern w:val="0"/>
          <w:szCs w:val="21"/>
          <w:lang w:bidi="ar"/>
        </w:rPr>
        <w:t>等环境参数</w:t>
      </w:r>
      <w:r>
        <w:rPr>
          <w:rFonts w:ascii="Times New Roman" w:hAnsi="Times New Roman" w:cs="Times New Roman"/>
          <w:kern w:val="0"/>
          <w:szCs w:val="21"/>
          <w:lang w:bidi="ar"/>
        </w:rPr>
        <w:t>。</w:t>
      </w:r>
    </w:p>
    <w:p w14:paraId="28C1FB75">
      <w:pPr>
        <w:pStyle w:val="4"/>
        <w:ind w:firstLine="0" w:firstLineChars="0"/>
        <w:rPr>
          <w:color w:val="000000"/>
          <w:lang w:bidi="ar"/>
        </w:rPr>
      </w:pPr>
      <w:bookmarkStart w:id="89" w:name="_Toc18271"/>
      <w:r>
        <w:rPr>
          <w:rFonts w:hint="eastAsia"/>
        </w:rPr>
        <w:t>5.</w:t>
      </w:r>
      <w:r>
        <w:rPr>
          <w:rFonts w:hint="eastAsia"/>
          <w:lang w:val="en-US" w:eastAsia="zh-CN"/>
        </w:rPr>
        <w:t>5</w:t>
      </w:r>
      <w:r>
        <w:rPr>
          <w:rFonts w:hint="eastAsia"/>
        </w:rPr>
        <w:t>.4 异位热脱附修复区监测</w:t>
      </w:r>
      <w:bookmarkEnd w:id="89"/>
    </w:p>
    <w:p w14:paraId="0961A1E3">
      <w:pPr>
        <w:widowControl/>
        <w:ind w:firstLine="420" w:firstLineChars="200"/>
        <w:rPr>
          <w:kern w:val="0"/>
          <w:szCs w:val="21"/>
          <w:lang w:bidi="ar"/>
        </w:rPr>
      </w:pPr>
      <w:r>
        <w:rPr>
          <w:kern w:val="0"/>
          <w:szCs w:val="21"/>
          <w:lang w:bidi="ar"/>
        </w:rPr>
        <w:t>监测数据应包括下列内容：</w:t>
      </w:r>
    </w:p>
    <w:p w14:paraId="018C2A4E">
      <w:pPr>
        <w:widowControl/>
        <w:ind w:firstLine="420" w:firstLineChars="200"/>
        <w:rPr>
          <w:kern w:val="0"/>
          <w:szCs w:val="21"/>
          <w:lang w:bidi="ar"/>
        </w:rPr>
      </w:pPr>
      <w:r>
        <w:rPr>
          <w:rFonts w:hint="eastAsia"/>
          <w:kern w:val="0"/>
          <w:szCs w:val="21"/>
          <w:lang w:bidi="ar"/>
        </w:rPr>
        <w:t>1</w:t>
      </w:r>
      <w:r>
        <w:rPr>
          <w:kern w:val="0"/>
          <w:szCs w:val="21"/>
          <w:lang w:bidi="ar"/>
        </w:rPr>
        <w:t>）工艺系统在各种工况下安全、经济运行的参数；</w:t>
      </w:r>
    </w:p>
    <w:p w14:paraId="793FA595">
      <w:pPr>
        <w:widowControl/>
        <w:ind w:firstLine="420" w:firstLineChars="200"/>
        <w:rPr>
          <w:kern w:val="0"/>
          <w:szCs w:val="21"/>
          <w:lang w:bidi="ar"/>
        </w:rPr>
      </w:pPr>
      <w:r>
        <w:rPr>
          <w:rFonts w:hint="eastAsia"/>
          <w:kern w:val="0"/>
          <w:szCs w:val="21"/>
          <w:lang w:bidi="ar"/>
        </w:rPr>
        <w:t>2）压力计、流量表等传感器的运行状态和运行参数；</w:t>
      </w:r>
    </w:p>
    <w:p w14:paraId="19C04EA0">
      <w:pPr>
        <w:widowControl/>
        <w:ind w:firstLine="420" w:firstLineChars="200"/>
        <w:rPr>
          <w:kern w:val="0"/>
          <w:szCs w:val="21"/>
          <w:lang w:bidi="ar"/>
        </w:rPr>
      </w:pPr>
      <w:r>
        <w:rPr>
          <w:rFonts w:hint="eastAsia"/>
          <w:kern w:val="0"/>
          <w:szCs w:val="21"/>
          <w:lang w:bidi="ar"/>
        </w:rPr>
        <w:t>3）热脱附温度、修复后土壤的PID快筛数据及土壤含水率；</w:t>
      </w:r>
    </w:p>
    <w:p w14:paraId="01951B22">
      <w:pPr>
        <w:widowControl/>
        <w:ind w:firstLine="420" w:firstLineChars="200"/>
        <w:rPr>
          <w:kern w:val="0"/>
          <w:szCs w:val="21"/>
          <w:lang w:bidi="ar"/>
        </w:rPr>
      </w:pPr>
      <w:r>
        <w:rPr>
          <w:rFonts w:hint="eastAsia"/>
          <w:kern w:val="0"/>
          <w:szCs w:val="21"/>
          <w:lang w:bidi="ar"/>
        </w:rPr>
        <w:t>4）配套废水处理设施的运行参数及排放口水质，配套废气处理设施的运行参数及排放口的污染物监测参数；</w:t>
      </w:r>
    </w:p>
    <w:p w14:paraId="17073F75">
      <w:pPr>
        <w:widowControl/>
        <w:spacing w:line="240" w:lineRule="auto"/>
        <w:ind w:firstLine="420" w:firstLineChars="200"/>
        <w:rPr>
          <w:rFonts w:ascii="Times New Roman" w:hAnsi="Times New Roman" w:cs="Times New Roman"/>
          <w:kern w:val="0"/>
          <w:szCs w:val="21"/>
          <w:lang w:bidi="ar"/>
        </w:rPr>
      </w:pPr>
      <w:r>
        <w:rPr>
          <w:rFonts w:hint="eastAsia"/>
          <w:kern w:val="0"/>
          <w:szCs w:val="21"/>
          <w:lang w:bidi="ar"/>
        </w:rPr>
        <w:t>5）</w:t>
      </w:r>
      <w:r>
        <w:rPr>
          <w:kern w:val="0"/>
          <w:szCs w:val="21"/>
          <w:lang w:bidi="ar"/>
        </w:rPr>
        <w:t>气温、湿度、风力、风向</w:t>
      </w:r>
      <w:r>
        <w:rPr>
          <w:rFonts w:hint="eastAsia"/>
          <w:kern w:val="0"/>
          <w:szCs w:val="21"/>
          <w:lang w:bidi="ar"/>
        </w:rPr>
        <w:t>、扬尘、噪声</w:t>
      </w:r>
      <w:r>
        <w:rPr>
          <w:kern w:val="0"/>
          <w:szCs w:val="21"/>
          <w:lang w:bidi="ar"/>
        </w:rPr>
        <w:t>等环境参数</w:t>
      </w:r>
      <w:r>
        <w:rPr>
          <w:rFonts w:ascii="Times New Roman" w:hAnsi="Times New Roman" w:cs="Times New Roman"/>
          <w:kern w:val="0"/>
          <w:szCs w:val="21"/>
          <w:lang w:bidi="ar"/>
        </w:rPr>
        <w:t xml:space="preserve">。 </w:t>
      </w:r>
    </w:p>
    <w:p w14:paraId="15544101">
      <w:pPr>
        <w:pStyle w:val="4"/>
        <w:ind w:firstLine="0" w:firstLineChars="0"/>
      </w:pPr>
      <w:bookmarkStart w:id="90" w:name="_Toc18373"/>
      <w:r>
        <w:rPr>
          <w:rFonts w:hint="eastAsia"/>
        </w:rPr>
        <w:t>5.</w:t>
      </w:r>
      <w:r>
        <w:rPr>
          <w:rFonts w:hint="eastAsia"/>
          <w:lang w:val="en-US" w:eastAsia="zh-CN"/>
        </w:rPr>
        <w:t>5</w:t>
      </w:r>
      <w:r>
        <w:rPr>
          <w:rFonts w:hint="eastAsia"/>
        </w:rPr>
        <w:t>.5 淋洗修复区监测</w:t>
      </w:r>
      <w:bookmarkEnd w:id="90"/>
    </w:p>
    <w:p w14:paraId="046F08BF">
      <w:pPr>
        <w:widowControl/>
        <w:ind w:firstLine="420" w:firstLineChars="200"/>
        <w:rPr>
          <w:kern w:val="0"/>
          <w:szCs w:val="21"/>
          <w:lang w:bidi="ar"/>
        </w:rPr>
      </w:pPr>
      <w:r>
        <w:rPr>
          <w:kern w:val="0"/>
          <w:szCs w:val="21"/>
          <w:lang w:bidi="ar"/>
        </w:rPr>
        <w:t>监测数据应包括下列内容：</w:t>
      </w:r>
    </w:p>
    <w:p w14:paraId="32AF2B81">
      <w:pPr>
        <w:widowControl/>
        <w:ind w:firstLine="420" w:firstLineChars="200"/>
        <w:rPr>
          <w:kern w:val="0"/>
          <w:szCs w:val="21"/>
          <w:lang w:bidi="ar"/>
        </w:rPr>
      </w:pPr>
      <w:r>
        <w:rPr>
          <w:rFonts w:hint="eastAsia"/>
          <w:kern w:val="0"/>
          <w:szCs w:val="21"/>
          <w:lang w:bidi="ar"/>
        </w:rPr>
        <w:t>1）</w:t>
      </w:r>
      <w:r>
        <w:rPr>
          <w:kern w:val="0"/>
          <w:szCs w:val="21"/>
          <w:lang w:bidi="ar"/>
        </w:rPr>
        <w:t>工艺系统在各种工况下安全、经济运行的参数；</w:t>
      </w:r>
    </w:p>
    <w:p w14:paraId="0524BC79">
      <w:pPr>
        <w:ind w:firstLine="420" w:firstLineChars="200"/>
        <w:rPr>
          <w:kern w:val="0"/>
          <w:szCs w:val="21"/>
          <w:lang w:bidi="ar"/>
        </w:rPr>
      </w:pPr>
      <w:r>
        <w:rPr>
          <w:rFonts w:hint="eastAsia"/>
          <w:kern w:val="0"/>
          <w:szCs w:val="21"/>
          <w:lang w:bidi="ar"/>
        </w:rPr>
        <w:t>2）</w:t>
      </w:r>
      <w:r>
        <w:rPr>
          <w:kern w:val="0"/>
          <w:szCs w:val="21"/>
          <w:lang w:bidi="ar"/>
        </w:rPr>
        <w:t>压力计、流量表等传感器</w:t>
      </w:r>
      <w:r>
        <w:rPr>
          <w:rFonts w:hint="eastAsia"/>
          <w:kern w:val="0"/>
          <w:szCs w:val="21"/>
          <w:lang w:bidi="ar"/>
        </w:rPr>
        <w:t>的</w:t>
      </w:r>
      <w:r>
        <w:rPr>
          <w:kern w:val="0"/>
          <w:szCs w:val="21"/>
          <w:lang w:bidi="ar"/>
        </w:rPr>
        <w:t>运行状态和运行参数</w:t>
      </w:r>
      <w:r>
        <w:rPr>
          <w:rFonts w:hint="eastAsia"/>
          <w:kern w:val="0"/>
          <w:szCs w:val="21"/>
          <w:lang w:bidi="ar"/>
        </w:rPr>
        <w:t>；</w:t>
      </w:r>
    </w:p>
    <w:p w14:paraId="6D5F21CE">
      <w:pPr>
        <w:ind w:firstLine="420" w:firstLineChars="200"/>
        <w:rPr>
          <w:kern w:val="0"/>
          <w:szCs w:val="21"/>
          <w:lang w:bidi="ar"/>
        </w:rPr>
      </w:pPr>
      <w:r>
        <w:rPr>
          <w:kern w:val="0"/>
          <w:szCs w:val="21"/>
          <w:lang w:bidi="ar"/>
        </w:rPr>
        <w:t>3）淋洗液pH、</w:t>
      </w:r>
      <w:r>
        <w:rPr>
          <w:rFonts w:hint="eastAsia"/>
          <w:kern w:val="0"/>
          <w:szCs w:val="21"/>
          <w:lang w:bidi="ar"/>
        </w:rPr>
        <w:t>修复后土壤的XRF快筛数据及土壤含水率</w:t>
      </w:r>
      <w:r>
        <w:rPr>
          <w:kern w:val="0"/>
          <w:szCs w:val="21"/>
          <w:lang w:bidi="ar"/>
        </w:rPr>
        <w:t>；</w:t>
      </w:r>
    </w:p>
    <w:p w14:paraId="75A0D059">
      <w:pPr>
        <w:ind w:firstLine="420" w:firstLineChars="200"/>
        <w:rPr>
          <w:kern w:val="0"/>
          <w:szCs w:val="21"/>
          <w:lang w:bidi="ar"/>
        </w:rPr>
      </w:pPr>
      <w:r>
        <w:rPr>
          <w:rFonts w:hint="eastAsia"/>
          <w:kern w:val="0"/>
          <w:szCs w:val="21"/>
          <w:lang w:bidi="ar"/>
        </w:rPr>
        <w:t>4</w:t>
      </w:r>
      <w:r>
        <w:rPr>
          <w:kern w:val="0"/>
          <w:szCs w:val="21"/>
          <w:lang w:bidi="ar"/>
        </w:rPr>
        <w:t>）</w:t>
      </w:r>
      <w:r>
        <w:rPr>
          <w:rFonts w:hint="eastAsia"/>
          <w:kern w:val="0"/>
          <w:szCs w:val="21"/>
          <w:lang w:bidi="ar"/>
        </w:rPr>
        <w:t>配套废水处理设施的运行参数及排放口水质；</w:t>
      </w:r>
    </w:p>
    <w:p w14:paraId="61483C2A">
      <w:pPr>
        <w:spacing w:line="240" w:lineRule="auto"/>
        <w:ind w:firstLine="420" w:firstLineChars="200"/>
        <w:rPr>
          <w:rFonts w:ascii="Times New Roman" w:hAnsi="Times New Roman" w:cs="Times New Roman"/>
          <w:kern w:val="0"/>
          <w:szCs w:val="21"/>
          <w:lang w:bidi="ar"/>
        </w:rPr>
      </w:pPr>
      <w:r>
        <w:rPr>
          <w:rFonts w:hint="eastAsia"/>
          <w:kern w:val="0"/>
          <w:szCs w:val="21"/>
          <w:lang w:bidi="ar"/>
        </w:rPr>
        <w:t>5</w:t>
      </w:r>
      <w:r>
        <w:rPr>
          <w:kern w:val="0"/>
          <w:szCs w:val="21"/>
          <w:lang w:bidi="ar"/>
        </w:rPr>
        <w:t>）气温、湿度</w:t>
      </w:r>
      <w:r>
        <w:rPr>
          <w:rFonts w:hint="eastAsia"/>
          <w:kern w:val="0"/>
          <w:szCs w:val="21"/>
          <w:lang w:bidi="ar"/>
        </w:rPr>
        <w:t>、扬尘、噪声</w:t>
      </w:r>
      <w:r>
        <w:rPr>
          <w:kern w:val="0"/>
          <w:szCs w:val="21"/>
          <w:lang w:bidi="ar"/>
        </w:rPr>
        <w:t>等环境参数</w:t>
      </w:r>
      <w:r>
        <w:rPr>
          <w:rFonts w:hint="eastAsia" w:cs="Times New Roman"/>
          <w:i w:val="0"/>
          <w:iCs w:val="0"/>
          <w:caps w:val="0"/>
          <w:spacing w:val="0"/>
          <w:kern w:val="0"/>
          <w:sz w:val="21"/>
          <w:szCs w:val="21"/>
          <w:shd w:val="clear"/>
          <w:lang w:eastAsia="zh-CN" w:bidi="ar"/>
        </w:rPr>
        <w:t>。</w:t>
      </w:r>
    </w:p>
    <w:p w14:paraId="790CE031">
      <w:pPr>
        <w:pStyle w:val="4"/>
        <w:ind w:firstLine="0" w:firstLineChars="0"/>
        <w:rPr>
          <w:color w:val="000000"/>
          <w:lang w:bidi="ar"/>
        </w:rPr>
      </w:pPr>
      <w:bookmarkStart w:id="91" w:name="_Toc21"/>
      <w:r>
        <w:rPr>
          <w:rFonts w:hint="eastAsia"/>
        </w:rPr>
        <w:t>5.</w:t>
      </w:r>
      <w:r>
        <w:rPr>
          <w:rFonts w:hint="eastAsia"/>
          <w:lang w:val="en-US" w:eastAsia="zh-CN"/>
        </w:rPr>
        <w:t>5</w:t>
      </w:r>
      <w:r>
        <w:rPr>
          <w:rFonts w:hint="eastAsia"/>
        </w:rPr>
        <w:t>.6废水处理区监测</w:t>
      </w:r>
      <w:bookmarkEnd w:id="91"/>
    </w:p>
    <w:p w14:paraId="0E3FC1EE">
      <w:pPr>
        <w:widowControl/>
        <w:ind w:firstLine="420" w:firstLineChars="200"/>
        <w:rPr>
          <w:kern w:val="0"/>
          <w:szCs w:val="21"/>
          <w:lang w:bidi="ar"/>
        </w:rPr>
      </w:pPr>
      <w:r>
        <w:rPr>
          <w:kern w:val="0"/>
          <w:szCs w:val="21"/>
          <w:lang w:bidi="ar"/>
        </w:rPr>
        <w:t>监测数据应包括下列内容：</w:t>
      </w:r>
    </w:p>
    <w:p w14:paraId="3EFF7564">
      <w:pPr>
        <w:widowControl/>
        <w:ind w:firstLine="420" w:firstLineChars="200"/>
        <w:rPr>
          <w:kern w:val="0"/>
          <w:szCs w:val="21"/>
          <w:lang w:bidi="ar"/>
        </w:rPr>
      </w:pPr>
      <w:r>
        <w:rPr>
          <w:kern w:val="0"/>
          <w:szCs w:val="21"/>
          <w:lang w:bidi="ar"/>
        </w:rPr>
        <w:t>1）工艺系统在各种工况下安全、经济运行的参数；</w:t>
      </w:r>
    </w:p>
    <w:p w14:paraId="6947646D">
      <w:pPr>
        <w:ind w:firstLine="420" w:firstLineChars="200"/>
        <w:rPr>
          <w:kern w:val="0"/>
          <w:szCs w:val="21"/>
          <w:lang w:bidi="ar"/>
        </w:rPr>
      </w:pPr>
      <w:r>
        <w:rPr>
          <w:kern w:val="0"/>
          <w:szCs w:val="21"/>
          <w:lang w:bidi="ar"/>
        </w:rPr>
        <w:t>2）压力计、流量表</w:t>
      </w:r>
      <w:r>
        <w:rPr>
          <w:rFonts w:hint="eastAsia"/>
          <w:kern w:val="0"/>
          <w:szCs w:val="21"/>
          <w:lang w:bidi="ar"/>
        </w:rPr>
        <w:t>等</w:t>
      </w:r>
      <w:r>
        <w:rPr>
          <w:kern w:val="0"/>
          <w:szCs w:val="21"/>
          <w:lang w:bidi="ar"/>
        </w:rPr>
        <w:t>传感器</w:t>
      </w:r>
      <w:r>
        <w:rPr>
          <w:rFonts w:hint="eastAsia"/>
          <w:kern w:val="0"/>
          <w:szCs w:val="21"/>
          <w:lang w:bidi="ar"/>
        </w:rPr>
        <w:t>的</w:t>
      </w:r>
      <w:r>
        <w:rPr>
          <w:kern w:val="0"/>
          <w:szCs w:val="21"/>
          <w:lang w:bidi="ar"/>
        </w:rPr>
        <w:t>运行状态和运行参数；</w:t>
      </w:r>
    </w:p>
    <w:p w14:paraId="72E4A766">
      <w:pPr>
        <w:ind w:firstLine="420" w:firstLineChars="200"/>
        <w:rPr>
          <w:kern w:val="0"/>
          <w:szCs w:val="21"/>
          <w:lang w:bidi="ar"/>
        </w:rPr>
      </w:pPr>
      <w:r>
        <w:rPr>
          <w:rFonts w:hint="eastAsia"/>
          <w:kern w:val="0"/>
          <w:szCs w:val="21"/>
          <w:lang w:bidi="ar"/>
        </w:rPr>
        <w:t>3）废水排放口水质参数；</w:t>
      </w:r>
    </w:p>
    <w:p w14:paraId="7B2E9636">
      <w:pPr>
        <w:bidi w:val="0"/>
        <w:ind w:firstLine="420" w:firstLineChars="200"/>
        <w:rPr>
          <w:rFonts w:hint="eastAsia" w:eastAsia="宋体"/>
          <w:lang w:eastAsia="zh-CN"/>
        </w:rPr>
      </w:pPr>
      <w:r>
        <w:rPr>
          <w:rFonts w:hint="eastAsia"/>
          <w:kern w:val="0"/>
          <w:szCs w:val="21"/>
          <w:lang w:bidi="ar"/>
        </w:rPr>
        <w:t>4</w:t>
      </w:r>
      <w:r>
        <w:rPr>
          <w:kern w:val="0"/>
          <w:szCs w:val="21"/>
          <w:lang w:bidi="ar"/>
        </w:rPr>
        <w:t>）气温、湿度</w:t>
      </w:r>
      <w:r>
        <w:rPr>
          <w:rFonts w:hint="eastAsia"/>
          <w:kern w:val="0"/>
          <w:szCs w:val="21"/>
          <w:lang w:bidi="ar"/>
        </w:rPr>
        <w:t>、扬尘、噪声</w:t>
      </w:r>
      <w:r>
        <w:rPr>
          <w:kern w:val="0"/>
          <w:szCs w:val="21"/>
          <w:lang w:bidi="ar"/>
        </w:rPr>
        <w:t>等环境参数</w:t>
      </w:r>
      <w:r>
        <w:rPr>
          <w:rFonts w:hint="eastAsia"/>
          <w:lang w:eastAsia="zh-CN"/>
        </w:rPr>
        <w:t>。</w:t>
      </w:r>
    </w:p>
    <w:p w14:paraId="5F0C783E">
      <w:pPr>
        <w:pStyle w:val="4"/>
        <w:ind w:firstLine="0" w:firstLineChars="0"/>
        <w:rPr>
          <w:color w:val="000000"/>
          <w:lang w:bidi="ar"/>
        </w:rPr>
      </w:pPr>
      <w:bookmarkStart w:id="92" w:name="_Toc19659"/>
      <w:r>
        <w:rPr>
          <w:rFonts w:hint="eastAsia"/>
        </w:rPr>
        <w:t>5.</w:t>
      </w:r>
      <w:r>
        <w:rPr>
          <w:rFonts w:hint="eastAsia"/>
          <w:lang w:val="en-US" w:eastAsia="zh-CN"/>
        </w:rPr>
        <w:t>5</w:t>
      </w:r>
      <w:r>
        <w:rPr>
          <w:rFonts w:hint="eastAsia"/>
        </w:rPr>
        <w:t>.7废气处理区监测</w:t>
      </w:r>
      <w:bookmarkEnd w:id="92"/>
    </w:p>
    <w:p w14:paraId="5FBF6DDB">
      <w:pPr>
        <w:widowControl/>
        <w:ind w:firstLine="420" w:firstLineChars="200"/>
        <w:rPr>
          <w:kern w:val="0"/>
          <w:szCs w:val="21"/>
          <w:lang w:bidi="ar"/>
        </w:rPr>
      </w:pPr>
      <w:r>
        <w:rPr>
          <w:kern w:val="0"/>
          <w:szCs w:val="21"/>
          <w:lang w:bidi="ar"/>
        </w:rPr>
        <w:t>监测数据应包括下列内容：</w:t>
      </w:r>
    </w:p>
    <w:p w14:paraId="4DE65209">
      <w:pPr>
        <w:widowControl/>
        <w:ind w:firstLine="420" w:firstLineChars="200"/>
        <w:rPr>
          <w:kern w:val="0"/>
          <w:szCs w:val="21"/>
          <w:lang w:bidi="ar"/>
        </w:rPr>
      </w:pPr>
      <w:r>
        <w:rPr>
          <w:kern w:val="0"/>
          <w:szCs w:val="21"/>
          <w:lang w:bidi="ar"/>
        </w:rPr>
        <w:t>1）工艺系统在各种工况下安全、经济运行的参数；</w:t>
      </w:r>
    </w:p>
    <w:p w14:paraId="17E5F731">
      <w:pPr>
        <w:ind w:firstLine="420" w:firstLineChars="200"/>
        <w:rPr>
          <w:kern w:val="0"/>
          <w:szCs w:val="21"/>
          <w:lang w:bidi="ar"/>
        </w:rPr>
      </w:pPr>
      <w:r>
        <w:rPr>
          <w:kern w:val="0"/>
          <w:szCs w:val="21"/>
          <w:lang w:bidi="ar"/>
        </w:rPr>
        <w:t>2）压力计、流量表等传感器的运行状态和运行参数；</w:t>
      </w:r>
    </w:p>
    <w:p w14:paraId="6C48D70F">
      <w:pPr>
        <w:ind w:firstLine="420" w:firstLineChars="200"/>
        <w:rPr>
          <w:kern w:val="0"/>
          <w:szCs w:val="21"/>
          <w:lang w:bidi="ar"/>
        </w:rPr>
      </w:pPr>
      <w:r>
        <w:rPr>
          <w:kern w:val="0"/>
          <w:szCs w:val="21"/>
          <w:lang w:bidi="ar"/>
        </w:rPr>
        <w:t>3）废气排放口排放浓度、排放速率等参数；</w:t>
      </w:r>
    </w:p>
    <w:p w14:paraId="40701DE8">
      <w:pPr>
        <w:widowControl/>
        <w:spacing w:line="240" w:lineRule="auto"/>
        <w:ind w:firstLine="420" w:firstLineChars="200"/>
        <w:rPr>
          <w:rFonts w:ascii="Times New Roman" w:hAnsi="Times New Roman" w:cs="Times New Roman"/>
          <w:kern w:val="0"/>
          <w:szCs w:val="21"/>
          <w:lang w:bidi="ar"/>
        </w:rPr>
      </w:pPr>
      <w:r>
        <w:rPr>
          <w:kern w:val="0"/>
          <w:szCs w:val="21"/>
          <w:lang w:bidi="ar"/>
        </w:rPr>
        <w:t>4）气温、湿度、风力、风向</w:t>
      </w:r>
      <w:r>
        <w:rPr>
          <w:rFonts w:hint="eastAsia"/>
          <w:kern w:val="0"/>
          <w:szCs w:val="21"/>
          <w:lang w:bidi="ar"/>
        </w:rPr>
        <w:t>、扬尘、噪声</w:t>
      </w:r>
      <w:r>
        <w:rPr>
          <w:kern w:val="0"/>
          <w:szCs w:val="21"/>
          <w:lang w:bidi="ar"/>
        </w:rPr>
        <w:t>等环境参数</w:t>
      </w:r>
      <w:r>
        <w:rPr>
          <w:rFonts w:ascii="Times New Roman" w:hAnsi="Times New Roman" w:cs="Times New Roman"/>
          <w:kern w:val="0"/>
          <w:szCs w:val="21"/>
          <w:lang w:bidi="ar"/>
        </w:rPr>
        <w:t xml:space="preserve">。 </w:t>
      </w:r>
    </w:p>
    <w:p w14:paraId="02932F5A">
      <w:pPr>
        <w:pStyle w:val="4"/>
        <w:ind w:firstLine="0" w:firstLineChars="0"/>
        <w:rPr>
          <w:color w:val="000000"/>
          <w:lang w:bidi="ar"/>
        </w:rPr>
      </w:pPr>
      <w:bookmarkStart w:id="93" w:name="_Toc24355"/>
      <w:r>
        <w:rPr>
          <w:rFonts w:hint="eastAsia"/>
        </w:rPr>
        <w:t>5.</w:t>
      </w:r>
      <w:r>
        <w:rPr>
          <w:rFonts w:hint="eastAsia"/>
          <w:lang w:val="en-US" w:eastAsia="zh-CN"/>
        </w:rPr>
        <w:t>5</w:t>
      </w:r>
      <w:r>
        <w:rPr>
          <w:rFonts w:hint="eastAsia"/>
        </w:rPr>
        <w:t>.8 建筑垃圾处理区监测</w:t>
      </w:r>
      <w:bookmarkEnd w:id="93"/>
    </w:p>
    <w:p w14:paraId="71D18025">
      <w:pPr>
        <w:ind w:firstLine="420" w:firstLineChars="200"/>
        <w:rPr>
          <w:lang w:bidi="ar"/>
        </w:rPr>
      </w:pPr>
      <w:r>
        <w:t>监测数据应包括</w:t>
      </w:r>
      <w:r>
        <w:rPr>
          <w:color w:val="000000"/>
          <w:kern w:val="0"/>
          <w:szCs w:val="21"/>
          <w:lang w:bidi="ar"/>
        </w:rPr>
        <w:t>下列内容：</w:t>
      </w:r>
    </w:p>
    <w:p w14:paraId="0D2E061A">
      <w:pPr>
        <w:widowControl/>
        <w:spacing w:line="24" w:lineRule="atLeast"/>
        <w:ind w:firstLine="420" w:firstLineChars="200"/>
        <w:rPr>
          <w:kern w:val="0"/>
          <w:szCs w:val="21"/>
          <w:lang w:bidi="ar"/>
        </w:rPr>
      </w:pPr>
      <w:r>
        <w:rPr>
          <w:rFonts w:hint="eastAsia"/>
          <w:kern w:val="0"/>
          <w:szCs w:val="21"/>
          <w:lang w:bidi="ar"/>
        </w:rPr>
        <w:t>1）用水量及废水收集量；</w:t>
      </w:r>
    </w:p>
    <w:p w14:paraId="7449EFFE">
      <w:pPr>
        <w:spacing w:line="24" w:lineRule="atLeast"/>
        <w:ind w:firstLine="420" w:firstLineChars="200"/>
      </w:pPr>
      <w:r>
        <w:rPr>
          <w:rFonts w:hint="eastAsia"/>
          <w:kern w:val="0"/>
          <w:szCs w:val="21"/>
          <w:lang w:bidi="ar"/>
        </w:rPr>
        <w:t>2）</w:t>
      </w:r>
      <w:r>
        <w:rPr>
          <w:kern w:val="0"/>
          <w:szCs w:val="21"/>
          <w:lang w:bidi="ar"/>
        </w:rPr>
        <w:t>气温、湿度</w:t>
      </w:r>
      <w:r>
        <w:rPr>
          <w:rFonts w:hint="eastAsia"/>
          <w:kern w:val="0"/>
          <w:szCs w:val="21"/>
          <w:lang w:bidi="ar"/>
        </w:rPr>
        <w:t>、扬尘、噪声</w:t>
      </w:r>
      <w:r>
        <w:rPr>
          <w:kern w:val="0"/>
          <w:szCs w:val="21"/>
          <w:lang w:bidi="ar"/>
        </w:rPr>
        <w:t>等环境参数。</w:t>
      </w:r>
    </w:p>
    <w:p w14:paraId="5388CB7F">
      <w:pPr>
        <w:pStyle w:val="4"/>
        <w:spacing w:line="24" w:lineRule="atLeast"/>
        <w:ind w:firstLine="0" w:firstLineChars="0"/>
      </w:pPr>
      <w:bookmarkStart w:id="94" w:name="_Toc29279"/>
      <w:r>
        <w:rPr>
          <w:rFonts w:hint="eastAsia"/>
        </w:rPr>
        <w:t>5.</w:t>
      </w:r>
      <w:r>
        <w:rPr>
          <w:rFonts w:hint="eastAsia"/>
          <w:lang w:val="en-US" w:eastAsia="zh-CN"/>
        </w:rPr>
        <w:t>5</w:t>
      </w:r>
      <w:r>
        <w:rPr>
          <w:rFonts w:hint="eastAsia"/>
        </w:rPr>
        <w:t>.9 二次污染防治监测</w:t>
      </w:r>
      <w:bookmarkEnd w:id="94"/>
    </w:p>
    <w:p w14:paraId="41F3BA74">
      <w:pPr>
        <w:pStyle w:val="5"/>
        <w:bidi w:val="0"/>
      </w:pPr>
      <w:r>
        <w:rPr>
          <w:rFonts w:hint="eastAsia"/>
        </w:rPr>
        <w:t>5.</w:t>
      </w:r>
      <w:r>
        <w:rPr>
          <w:rFonts w:hint="eastAsia"/>
          <w:lang w:val="en-US" w:eastAsia="zh-CN"/>
        </w:rPr>
        <w:t>5</w:t>
      </w:r>
      <w:r>
        <w:rPr>
          <w:rFonts w:hint="eastAsia"/>
        </w:rPr>
        <w:t>.9.1大气环境监测</w:t>
      </w:r>
    </w:p>
    <w:p w14:paraId="606298B5">
      <w:pPr>
        <w:bidi w:val="0"/>
        <w:ind w:firstLine="420" w:firstLineChars="200"/>
      </w:pPr>
      <w:r>
        <w:t>大气环境监测</w:t>
      </w:r>
      <w:r>
        <w:rPr>
          <w:rFonts w:hint="eastAsia"/>
        </w:rPr>
        <w:t>应</w:t>
      </w:r>
      <w:r>
        <w:t>符合下列规定：</w:t>
      </w:r>
    </w:p>
    <w:p w14:paraId="511788A9">
      <w:pPr>
        <w:widowControl/>
        <w:numPr>
          <w:ilvl w:val="255"/>
          <w:numId w:val="0"/>
        </w:numPr>
        <w:ind w:firstLine="420" w:firstLineChars="200"/>
        <w:rPr>
          <w:kern w:val="0"/>
          <w:szCs w:val="21"/>
          <w:lang w:bidi="ar"/>
        </w:rPr>
      </w:pPr>
      <w:r>
        <w:rPr>
          <w:rFonts w:hint="eastAsia"/>
          <w:kern w:val="0"/>
          <w:szCs w:val="21"/>
          <w:lang w:bidi="ar"/>
        </w:rPr>
        <w:t>1）</w:t>
      </w:r>
      <w:r>
        <w:rPr>
          <w:kern w:val="0"/>
          <w:szCs w:val="21"/>
          <w:lang w:bidi="ar"/>
        </w:rPr>
        <w:t>环境空气监测</w:t>
      </w:r>
      <w:r>
        <w:rPr>
          <w:rFonts w:hint="eastAsia"/>
          <w:kern w:val="0"/>
          <w:szCs w:val="21"/>
          <w:lang w:bidi="ar"/>
        </w:rPr>
        <w:t>应按</w:t>
      </w:r>
      <w:r>
        <w:rPr>
          <w:kern w:val="0"/>
          <w:szCs w:val="21"/>
          <w:lang w:bidi="ar"/>
        </w:rPr>
        <w:t>HJ 664</w:t>
      </w:r>
      <w:r>
        <w:rPr>
          <w:rFonts w:hint="eastAsia"/>
          <w:kern w:val="0"/>
          <w:szCs w:val="21"/>
          <w:lang w:bidi="ar"/>
        </w:rPr>
        <w:t>、</w:t>
      </w:r>
      <w:r>
        <w:rPr>
          <w:kern w:val="0"/>
          <w:szCs w:val="21"/>
          <w:lang w:bidi="ar"/>
        </w:rPr>
        <w:t>HJ 194</w:t>
      </w:r>
      <w:r>
        <w:rPr>
          <w:rFonts w:hint="eastAsia"/>
          <w:kern w:val="0"/>
          <w:szCs w:val="21"/>
          <w:lang w:bidi="ar"/>
        </w:rPr>
        <w:t>的规定</w:t>
      </w:r>
      <w:r>
        <w:rPr>
          <w:kern w:val="0"/>
          <w:szCs w:val="21"/>
          <w:lang w:bidi="ar"/>
        </w:rPr>
        <w:t>执行</w:t>
      </w:r>
      <w:r>
        <w:rPr>
          <w:rFonts w:hint="eastAsia"/>
          <w:kern w:val="0"/>
          <w:szCs w:val="21"/>
          <w:lang w:bidi="ar"/>
        </w:rPr>
        <w:t>；</w:t>
      </w:r>
    </w:p>
    <w:p w14:paraId="3E14556F">
      <w:pPr>
        <w:widowControl/>
        <w:numPr>
          <w:ilvl w:val="255"/>
          <w:numId w:val="0"/>
        </w:numPr>
        <w:ind w:firstLine="420" w:firstLineChars="200"/>
        <w:rPr>
          <w:kern w:val="0"/>
          <w:szCs w:val="21"/>
          <w:lang w:bidi="ar"/>
        </w:rPr>
      </w:pPr>
      <w:r>
        <w:rPr>
          <w:rFonts w:hint="eastAsia"/>
          <w:kern w:val="0"/>
          <w:szCs w:val="21"/>
          <w:lang w:bidi="ar"/>
        </w:rPr>
        <w:t>2）</w:t>
      </w:r>
      <w:r>
        <w:rPr>
          <w:kern w:val="0"/>
          <w:szCs w:val="21"/>
          <w:lang w:bidi="ar"/>
        </w:rPr>
        <w:t>固定源废气监测</w:t>
      </w:r>
      <w:r>
        <w:rPr>
          <w:rFonts w:hint="eastAsia"/>
          <w:kern w:val="0"/>
          <w:szCs w:val="21"/>
          <w:lang w:bidi="ar"/>
        </w:rPr>
        <w:t>应</w:t>
      </w:r>
      <w:r>
        <w:rPr>
          <w:kern w:val="0"/>
          <w:szCs w:val="21"/>
          <w:lang w:bidi="ar"/>
        </w:rPr>
        <w:t>按</w:t>
      </w:r>
      <w:r>
        <w:rPr>
          <w:rFonts w:hint="eastAsia"/>
          <w:kern w:val="0"/>
          <w:szCs w:val="21"/>
          <w:lang w:bidi="ar"/>
        </w:rPr>
        <w:t>HJ 75、HJ/T 397、</w:t>
      </w:r>
      <w:r>
        <w:rPr>
          <w:kern w:val="0"/>
          <w:szCs w:val="21"/>
          <w:lang w:bidi="ar"/>
        </w:rPr>
        <w:t>HJ 916</w:t>
      </w:r>
      <w:r>
        <w:rPr>
          <w:rFonts w:hint="eastAsia"/>
          <w:kern w:val="0"/>
          <w:szCs w:val="21"/>
          <w:lang w:bidi="ar"/>
        </w:rPr>
        <w:t>的规定执行，</w:t>
      </w:r>
      <w:r>
        <w:rPr>
          <w:kern w:val="0"/>
          <w:szCs w:val="21"/>
          <w:lang w:bidi="ar"/>
        </w:rPr>
        <w:t>并涵盖当地环保部门</w:t>
      </w:r>
      <w:r>
        <w:rPr>
          <w:rFonts w:hint="eastAsia"/>
          <w:kern w:val="0"/>
          <w:szCs w:val="21"/>
          <w:lang w:bidi="ar"/>
        </w:rPr>
        <w:t>规定</w:t>
      </w:r>
      <w:r>
        <w:rPr>
          <w:kern w:val="0"/>
          <w:szCs w:val="21"/>
          <w:lang w:bidi="ar"/>
        </w:rPr>
        <w:t>的常规污染物</w:t>
      </w:r>
      <w:r>
        <w:rPr>
          <w:rFonts w:hint="eastAsia"/>
          <w:kern w:val="0"/>
          <w:szCs w:val="21"/>
          <w:lang w:bidi="ar"/>
        </w:rPr>
        <w:t>；</w:t>
      </w:r>
    </w:p>
    <w:p w14:paraId="176CBA52">
      <w:pPr>
        <w:widowControl/>
        <w:numPr>
          <w:ilvl w:val="0"/>
          <w:numId w:val="0"/>
        </w:numPr>
        <w:spacing w:line="240" w:lineRule="auto"/>
        <w:ind w:firstLine="420" w:firstLineChars="200"/>
        <w:jc w:val="both"/>
        <w:rPr>
          <w:rFonts w:ascii="Times New Roman" w:hAnsi="Times New Roman" w:cs="Times New Roman"/>
          <w:kern w:val="0"/>
          <w:szCs w:val="21"/>
          <w:highlight w:val="none"/>
          <w:lang w:bidi="ar"/>
        </w:rPr>
      </w:pPr>
      <w:r>
        <w:rPr>
          <w:rFonts w:hint="eastAsia"/>
          <w:kern w:val="0"/>
          <w:szCs w:val="21"/>
          <w:lang w:bidi="ar"/>
        </w:rPr>
        <w:t>3）厂界大气监测应按HJ/T 55、GB/T 16157的规定执行</w:t>
      </w:r>
      <w:r>
        <w:rPr>
          <w:rFonts w:hint="eastAsia" w:cs="Times New Roman"/>
          <w:kern w:val="0"/>
          <w:szCs w:val="21"/>
          <w:highlight w:val="none"/>
          <w:lang w:val="en-US" w:eastAsia="zh-CN" w:bidi="ar"/>
        </w:rPr>
        <w:t>。</w:t>
      </w:r>
    </w:p>
    <w:p w14:paraId="57DD5A42">
      <w:pPr>
        <w:pStyle w:val="5"/>
        <w:bidi w:val="0"/>
      </w:pPr>
      <w:r>
        <w:rPr>
          <w:rFonts w:hint="eastAsia"/>
        </w:rPr>
        <w:t>5.</w:t>
      </w:r>
      <w:r>
        <w:rPr>
          <w:rFonts w:hint="eastAsia"/>
          <w:lang w:val="en-US" w:eastAsia="zh-CN"/>
        </w:rPr>
        <w:t>5</w:t>
      </w:r>
      <w:r>
        <w:rPr>
          <w:rFonts w:hint="eastAsia"/>
        </w:rPr>
        <w:t>.9.2水环境监测</w:t>
      </w:r>
    </w:p>
    <w:p w14:paraId="59658F14">
      <w:pPr>
        <w:ind w:firstLine="420" w:firstLineChars="200"/>
      </w:pPr>
      <w:r>
        <w:rPr>
          <w:rFonts w:hint="eastAsia"/>
        </w:rPr>
        <w:t>水</w:t>
      </w:r>
      <w:r>
        <w:t>环境监测</w:t>
      </w:r>
      <w:r>
        <w:rPr>
          <w:rFonts w:hint="eastAsia"/>
        </w:rPr>
        <w:t>应</w:t>
      </w:r>
      <w:r>
        <w:rPr>
          <w:color w:val="000000"/>
          <w:kern w:val="0"/>
          <w:szCs w:val="21"/>
          <w:lang w:bidi="ar"/>
        </w:rPr>
        <w:t>符合下列规定：</w:t>
      </w:r>
    </w:p>
    <w:p w14:paraId="282EC6DD">
      <w:pPr>
        <w:widowControl/>
        <w:numPr>
          <w:ilvl w:val="255"/>
          <w:numId w:val="0"/>
        </w:numPr>
        <w:ind w:firstLine="420" w:firstLineChars="200"/>
        <w:rPr>
          <w:kern w:val="0"/>
          <w:szCs w:val="21"/>
          <w:lang w:bidi="ar"/>
        </w:rPr>
      </w:pPr>
      <w:r>
        <w:rPr>
          <w:rFonts w:hint="eastAsia"/>
        </w:rPr>
        <w:t>1）</w:t>
      </w:r>
      <w:r>
        <w:t>污水</w:t>
      </w:r>
      <w:r>
        <w:rPr>
          <w:rFonts w:hint="eastAsia"/>
        </w:rPr>
        <w:t>监测</w:t>
      </w:r>
      <w:r>
        <w:rPr>
          <w:rFonts w:hint="eastAsia"/>
          <w:kern w:val="0"/>
          <w:szCs w:val="21"/>
          <w:lang w:bidi="ar"/>
        </w:rPr>
        <w:t>应按</w:t>
      </w:r>
      <w:r>
        <w:rPr>
          <w:kern w:val="0"/>
          <w:szCs w:val="21"/>
          <w:lang w:bidi="ar"/>
        </w:rPr>
        <w:t>HJ 91.1执行</w:t>
      </w:r>
      <w:r>
        <w:rPr>
          <w:rFonts w:hint="eastAsia"/>
          <w:kern w:val="0"/>
          <w:szCs w:val="21"/>
          <w:lang w:bidi="ar"/>
        </w:rPr>
        <w:t>；</w:t>
      </w:r>
    </w:p>
    <w:p w14:paraId="258FC289">
      <w:pPr>
        <w:widowControl/>
        <w:numPr>
          <w:ilvl w:val="255"/>
          <w:numId w:val="0"/>
        </w:numPr>
        <w:ind w:firstLine="420" w:firstLineChars="200"/>
        <w:rPr>
          <w:color w:val="000000" w:themeColor="text1"/>
          <w:kern w:val="0"/>
          <w:szCs w:val="21"/>
          <w:lang w:bidi="ar"/>
          <w14:textFill>
            <w14:solidFill>
              <w14:schemeClr w14:val="tx1"/>
            </w14:solidFill>
          </w14:textFill>
        </w:rPr>
      </w:pPr>
      <w:r>
        <w:rPr>
          <w:rFonts w:hint="eastAsia"/>
          <w:kern w:val="0"/>
          <w:szCs w:val="21"/>
          <w:lang w:bidi="ar"/>
        </w:rPr>
        <w:t>2）</w:t>
      </w:r>
      <w:r>
        <w:rPr>
          <w:color w:val="000000" w:themeColor="text1"/>
          <w14:textFill>
            <w14:solidFill>
              <w14:schemeClr w14:val="tx1"/>
            </w14:solidFill>
          </w14:textFill>
        </w:rPr>
        <w:t>地表水监测</w:t>
      </w:r>
      <w:r>
        <w:rPr>
          <w:rFonts w:hint="eastAsia"/>
          <w:kern w:val="0"/>
          <w:szCs w:val="21"/>
          <w:lang w:bidi="ar"/>
        </w:rPr>
        <w:t>应按</w:t>
      </w:r>
      <w:r>
        <w:rPr>
          <w:color w:val="000000" w:themeColor="text1"/>
          <w:kern w:val="0"/>
          <w:szCs w:val="21"/>
          <w:lang w:bidi="ar"/>
          <w14:textFill>
            <w14:solidFill>
              <w14:schemeClr w14:val="tx1"/>
            </w14:solidFill>
          </w14:textFill>
        </w:rPr>
        <w:t xml:space="preserve">HJ </w:t>
      </w:r>
      <w:r>
        <w:rPr>
          <w:rFonts w:hint="eastAsia"/>
          <w:color w:val="000000" w:themeColor="text1"/>
          <w:kern w:val="0"/>
          <w:szCs w:val="21"/>
          <w:lang w:bidi="ar"/>
          <w14:textFill>
            <w14:solidFill>
              <w14:schemeClr w14:val="tx1"/>
            </w14:solidFill>
          </w14:textFill>
        </w:rPr>
        <w:t>25.2、HJ/T 91</w:t>
      </w:r>
      <w:r>
        <w:rPr>
          <w:rFonts w:hint="eastAsia"/>
          <w:kern w:val="0"/>
          <w:szCs w:val="21"/>
          <w:lang w:bidi="ar"/>
        </w:rPr>
        <w:t>的规定</w:t>
      </w:r>
      <w:r>
        <w:rPr>
          <w:color w:val="000000" w:themeColor="text1"/>
          <w:kern w:val="0"/>
          <w:szCs w:val="21"/>
          <w:lang w:bidi="ar"/>
          <w14:textFill>
            <w14:solidFill>
              <w14:schemeClr w14:val="tx1"/>
            </w14:solidFill>
          </w14:textFill>
        </w:rPr>
        <w:t>执行</w:t>
      </w:r>
      <w:r>
        <w:rPr>
          <w:rFonts w:hint="eastAsia"/>
          <w:color w:val="000000" w:themeColor="text1"/>
          <w:kern w:val="0"/>
          <w:szCs w:val="21"/>
          <w:lang w:bidi="ar"/>
          <w14:textFill>
            <w14:solidFill>
              <w14:schemeClr w14:val="tx1"/>
            </w14:solidFill>
          </w14:textFill>
        </w:rPr>
        <w:t>；</w:t>
      </w:r>
    </w:p>
    <w:p w14:paraId="78361CAA">
      <w:pPr>
        <w:widowControl/>
        <w:numPr>
          <w:ilvl w:val="0"/>
          <w:numId w:val="0"/>
        </w:numPr>
        <w:spacing w:line="240" w:lineRule="auto"/>
        <w:ind w:firstLine="420" w:firstLineChars="200"/>
        <w:rPr>
          <w:rFonts w:ascii="Times New Roman" w:hAnsi="Times New Roman" w:cs="Times New Roman"/>
          <w:color w:val="000000" w:themeColor="text1"/>
          <w:highlight w:val="none"/>
          <w14:textFill>
            <w14:solidFill>
              <w14:schemeClr w14:val="tx1"/>
            </w14:solidFill>
          </w14:textFill>
        </w:rPr>
      </w:pPr>
      <w:r>
        <w:rPr>
          <w:rFonts w:hint="eastAsia"/>
          <w:color w:val="000000" w:themeColor="text1"/>
          <w14:textFill>
            <w14:solidFill>
              <w14:schemeClr w14:val="tx1"/>
            </w14:solidFill>
          </w14:textFill>
        </w:rPr>
        <w:t>3）</w:t>
      </w:r>
      <w:r>
        <w:rPr>
          <w:color w:val="000000" w:themeColor="text1"/>
          <w14:textFill>
            <w14:solidFill>
              <w14:schemeClr w14:val="tx1"/>
            </w14:solidFill>
          </w14:textFill>
        </w:rPr>
        <w:t>地下水</w:t>
      </w:r>
      <w:r>
        <w:rPr>
          <w:color w:val="000000" w:themeColor="text1"/>
          <w:kern w:val="0"/>
          <w:szCs w:val="21"/>
          <w:lang w:bidi="ar"/>
          <w14:textFill>
            <w14:solidFill>
              <w14:schemeClr w14:val="tx1"/>
            </w14:solidFill>
          </w14:textFill>
        </w:rPr>
        <w:t>监测</w:t>
      </w:r>
      <w:r>
        <w:rPr>
          <w:rFonts w:hint="eastAsia"/>
          <w:kern w:val="0"/>
          <w:szCs w:val="21"/>
          <w:lang w:bidi="ar"/>
        </w:rPr>
        <w:t>应按</w:t>
      </w:r>
      <w:r>
        <w:rPr>
          <w:rFonts w:hint="eastAsia"/>
          <w:color w:val="000000" w:themeColor="text1"/>
          <w:kern w:val="0"/>
          <w:szCs w:val="21"/>
          <w:lang w:bidi="ar"/>
          <w14:textFill>
            <w14:solidFill>
              <w14:schemeClr w14:val="tx1"/>
            </w14:solidFill>
          </w14:textFill>
        </w:rPr>
        <w:t>HJ 164、</w:t>
      </w:r>
      <w:r>
        <w:rPr>
          <w:color w:val="000000" w:themeColor="text1"/>
          <w:kern w:val="0"/>
          <w:szCs w:val="21"/>
          <w:lang w:bidi="ar"/>
          <w14:textFill>
            <w14:solidFill>
              <w14:schemeClr w14:val="tx1"/>
            </w14:solidFill>
          </w14:textFill>
        </w:rPr>
        <w:t>HJ 1209</w:t>
      </w:r>
      <w:r>
        <w:rPr>
          <w:rFonts w:hint="eastAsia"/>
          <w:kern w:val="0"/>
          <w:szCs w:val="21"/>
          <w:lang w:bidi="ar"/>
        </w:rPr>
        <w:t>的规定</w:t>
      </w:r>
      <w:r>
        <w:rPr>
          <w:color w:val="000000" w:themeColor="text1"/>
          <w:kern w:val="0"/>
          <w:szCs w:val="21"/>
          <w:lang w:bidi="ar"/>
          <w14:textFill>
            <w14:solidFill>
              <w14:schemeClr w14:val="tx1"/>
            </w14:solidFill>
          </w14:textFill>
        </w:rPr>
        <w:t>执行</w:t>
      </w:r>
      <w:r>
        <w:rPr>
          <w:rFonts w:ascii="Times New Roman" w:hAnsi="Times New Roman" w:cs="Times New Roman"/>
          <w:color w:val="000000" w:themeColor="text1"/>
          <w:kern w:val="0"/>
          <w:szCs w:val="21"/>
          <w:highlight w:val="none"/>
          <w:lang w:bidi="ar"/>
          <w14:textFill>
            <w14:solidFill>
              <w14:schemeClr w14:val="tx1"/>
            </w14:solidFill>
          </w14:textFill>
        </w:rPr>
        <w:t>。</w:t>
      </w:r>
    </w:p>
    <w:p w14:paraId="106124EA">
      <w:pPr>
        <w:pStyle w:val="5"/>
        <w:bidi w:val="0"/>
      </w:pPr>
      <w:r>
        <w:rPr>
          <w:rFonts w:hint="eastAsia"/>
        </w:rPr>
        <w:t>5.</w:t>
      </w:r>
      <w:r>
        <w:rPr>
          <w:rFonts w:hint="eastAsia"/>
          <w:lang w:val="en-US" w:eastAsia="zh-CN"/>
        </w:rPr>
        <w:t>5</w:t>
      </w:r>
      <w:r>
        <w:rPr>
          <w:rFonts w:hint="eastAsia"/>
        </w:rPr>
        <w:t>.9.</w:t>
      </w:r>
      <w:r>
        <w:rPr>
          <w:rFonts w:hint="eastAsia"/>
          <w:lang w:val="en-US" w:eastAsia="zh-CN"/>
        </w:rPr>
        <w:t>3</w:t>
      </w:r>
      <w:r>
        <w:rPr>
          <w:rFonts w:hint="eastAsia"/>
        </w:rPr>
        <w:t>声环境监测</w:t>
      </w:r>
    </w:p>
    <w:p w14:paraId="79D1F062">
      <w:pPr>
        <w:widowControl/>
        <w:spacing w:line="24" w:lineRule="atLeast"/>
        <w:ind w:firstLine="420" w:firstLineChars="200"/>
        <w:jc w:val="left"/>
        <w:rPr>
          <w:rFonts w:hint="eastAsia"/>
          <w:kern w:val="0"/>
          <w:szCs w:val="21"/>
          <w:lang w:bidi="ar"/>
        </w:rPr>
      </w:pPr>
      <w:r>
        <w:rPr>
          <w:rFonts w:hint="eastAsia"/>
          <w:kern w:val="0"/>
          <w:szCs w:val="21"/>
          <w:lang w:bidi="ar"/>
        </w:rPr>
        <w:t>声环境</w:t>
      </w:r>
      <w:r>
        <w:rPr>
          <w:kern w:val="0"/>
          <w:szCs w:val="21"/>
          <w:lang w:bidi="ar"/>
        </w:rPr>
        <w:t>监测</w:t>
      </w:r>
      <w:r>
        <w:rPr>
          <w:rFonts w:hint="eastAsia"/>
          <w:kern w:val="0"/>
          <w:szCs w:val="21"/>
          <w:lang w:bidi="ar"/>
        </w:rPr>
        <w:t>应按</w:t>
      </w:r>
      <w:r>
        <w:rPr>
          <w:kern w:val="0"/>
          <w:szCs w:val="21"/>
          <w:lang w:bidi="ar"/>
        </w:rPr>
        <w:t>GB 12523</w:t>
      </w:r>
      <w:r>
        <w:rPr>
          <w:rFonts w:hint="eastAsia"/>
          <w:kern w:val="0"/>
          <w:szCs w:val="21"/>
          <w:lang w:bidi="ar"/>
        </w:rPr>
        <w:t>的规定</w:t>
      </w:r>
      <w:r>
        <w:rPr>
          <w:kern w:val="0"/>
          <w:szCs w:val="21"/>
          <w:lang w:bidi="ar"/>
        </w:rPr>
        <w:t>执行</w:t>
      </w:r>
      <w:r>
        <w:rPr>
          <w:rFonts w:hint="eastAsia"/>
          <w:kern w:val="0"/>
          <w:szCs w:val="21"/>
          <w:lang w:bidi="ar"/>
        </w:rPr>
        <w:t>。</w:t>
      </w:r>
    </w:p>
    <w:p w14:paraId="4CDC2BDB">
      <w:pPr>
        <w:pStyle w:val="5"/>
        <w:bidi w:val="0"/>
        <w:rPr>
          <w:rFonts w:hint="eastAsia"/>
          <w:lang w:val="en-US" w:eastAsia="zh-CN"/>
        </w:rPr>
      </w:pPr>
      <w:r>
        <w:rPr>
          <w:rFonts w:hint="eastAsia"/>
          <w:lang w:val="en-US" w:eastAsia="zh-CN"/>
        </w:rPr>
        <w:t>5.5.9.4 土壤环境监测</w:t>
      </w:r>
    </w:p>
    <w:p w14:paraId="2C971764">
      <w:pPr>
        <w:keepNext w:val="0"/>
        <w:keepLines w:val="0"/>
        <w:pageBreakBefore w:val="0"/>
        <w:widowControl w:val="0"/>
        <w:numPr>
          <w:ilvl w:val="255"/>
          <w:numId w:val="0"/>
        </w:numPr>
        <w:kinsoku/>
        <w:wordWrap/>
        <w:overflowPunct/>
        <w:topLinePunct w:val="0"/>
        <w:autoSpaceDE/>
        <w:autoSpaceDN/>
        <w:bidi w:val="0"/>
        <w:adjustRightInd/>
        <w:snapToGrid/>
        <w:spacing w:line="24" w:lineRule="atLeast"/>
        <w:ind w:firstLine="420" w:firstLineChars="200"/>
        <w:textAlignment w:val="auto"/>
        <w:rPr>
          <w:rFonts w:hint="default"/>
          <w:lang w:val="en-US" w:eastAsia="zh-CN"/>
        </w:rPr>
      </w:pPr>
      <w:r>
        <w:t>土壤</w:t>
      </w:r>
      <w:r>
        <w:rPr>
          <w:rFonts w:hint="eastAsia"/>
        </w:rPr>
        <w:t>环境</w:t>
      </w:r>
      <w:r>
        <w:t>监测</w:t>
      </w:r>
      <w:r>
        <w:rPr>
          <w:rFonts w:hint="eastAsia"/>
          <w:kern w:val="0"/>
          <w:szCs w:val="21"/>
          <w:lang w:bidi="ar"/>
        </w:rPr>
        <w:t>应按</w:t>
      </w:r>
      <w:r>
        <w:t>HJ 1209</w:t>
      </w:r>
      <w:r>
        <w:rPr>
          <w:rFonts w:hint="eastAsia"/>
          <w:kern w:val="0"/>
          <w:szCs w:val="21"/>
          <w:lang w:bidi="ar"/>
        </w:rPr>
        <w:t>的规定</w:t>
      </w:r>
      <w:r>
        <w:t>执行</w:t>
      </w:r>
      <w:r>
        <w:rPr>
          <w:rFonts w:hint="default" w:ascii="Times New Roman" w:hAnsi="Times New Roman" w:cs="Times New Roman"/>
          <w:highlight w:val="none"/>
          <w:lang w:val="en-US" w:eastAsia="zh-CN"/>
        </w:rPr>
        <w:t>。</w:t>
      </w:r>
    </w:p>
    <w:p w14:paraId="05FFD578">
      <w:pPr>
        <w:pStyle w:val="3"/>
        <w:bidi w:val="0"/>
      </w:pPr>
      <w:bookmarkStart w:id="95" w:name="_Toc22979"/>
      <w:bookmarkStart w:id="96" w:name="_Toc28277"/>
      <w:bookmarkStart w:id="97" w:name="_Toc202427975"/>
      <w:bookmarkStart w:id="98" w:name="_Toc10231"/>
      <w:bookmarkStart w:id="99" w:name="_Toc32464"/>
      <w:bookmarkStart w:id="100" w:name="_Toc4550"/>
      <w:r>
        <w:rPr>
          <w:rFonts w:hint="eastAsia"/>
        </w:rPr>
        <w:t>5.</w:t>
      </w:r>
      <w:r>
        <w:rPr>
          <w:rFonts w:hint="eastAsia"/>
          <w:lang w:val="en-US" w:eastAsia="zh-CN"/>
        </w:rPr>
        <w:t>6</w:t>
      </w:r>
      <w:r>
        <w:rPr>
          <w:rFonts w:hint="eastAsia"/>
        </w:rPr>
        <w:t xml:space="preserve"> 验收</w:t>
      </w:r>
      <w:bookmarkEnd w:id="95"/>
      <w:bookmarkEnd w:id="96"/>
      <w:bookmarkEnd w:id="97"/>
      <w:bookmarkEnd w:id="98"/>
      <w:bookmarkEnd w:id="99"/>
      <w:bookmarkEnd w:id="100"/>
    </w:p>
    <w:p w14:paraId="10D7CD84">
      <w:pPr>
        <w:widowControl/>
        <w:spacing w:line="24" w:lineRule="atLeast"/>
        <w:ind w:firstLine="420" w:firstLineChars="200"/>
        <w:rPr>
          <w:rFonts w:ascii="Times New Roman" w:hAnsi="Times New Roman" w:cs="Times New Roman"/>
        </w:rPr>
      </w:pPr>
      <w:bookmarkStart w:id="101" w:name="_Toc30077"/>
      <w:r>
        <w:rPr>
          <w:kern w:val="0"/>
          <w:szCs w:val="21"/>
          <w:lang w:bidi="ar"/>
        </w:rPr>
        <w:t>土壤</w:t>
      </w:r>
      <w:r>
        <w:rPr>
          <w:rFonts w:hint="eastAsia"/>
          <w:kern w:val="0"/>
          <w:szCs w:val="21"/>
          <w:lang w:bidi="ar"/>
        </w:rPr>
        <w:t>验收应按</w:t>
      </w:r>
      <w:r>
        <w:rPr>
          <w:kern w:val="0"/>
          <w:szCs w:val="21"/>
          <w:lang w:bidi="ar"/>
        </w:rPr>
        <w:t xml:space="preserve">HJ 25.5 </w:t>
      </w:r>
      <w:r>
        <w:rPr>
          <w:rFonts w:hint="eastAsia"/>
          <w:kern w:val="0"/>
          <w:szCs w:val="21"/>
          <w:lang w:bidi="ar"/>
        </w:rPr>
        <w:t>的规定执行</w:t>
      </w:r>
      <w:r>
        <w:rPr>
          <w:rFonts w:hint="eastAsia" w:cs="Times New Roman"/>
          <w:kern w:val="0"/>
          <w:szCs w:val="21"/>
          <w:highlight w:val="none"/>
          <w:lang w:val="en-US" w:eastAsia="zh-CN" w:bidi="ar"/>
        </w:rPr>
        <w:t>。</w:t>
      </w:r>
    </w:p>
    <w:p w14:paraId="207E3421">
      <w:pPr>
        <w:pStyle w:val="2"/>
        <w:rPr>
          <w:rFonts w:ascii="黑体" w:hAnsi="黑体" w:eastAsia="黑体" w:cs="黑体"/>
          <w:b w:val="0"/>
          <w:bCs w:val="0"/>
          <w:sz w:val="21"/>
          <w:szCs w:val="21"/>
        </w:rPr>
      </w:pPr>
      <w:bookmarkStart w:id="102" w:name="_Toc22597"/>
      <w:r>
        <w:rPr>
          <w:rFonts w:ascii="黑体" w:hAnsi="黑体" w:eastAsia="黑体" w:cs="黑体"/>
          <w:b w:val="0"/>
          <w:bCs w:val="0"/>
          <w:sz w:val="21"/>
          <w:szCs w:val="21"/>
        </w:rPr>
        <w:t>6</w:t>
      </w:r>
      <w:r>
        <w:rPr>
          <w:rFonts w:hint="eastAsia" w:ascii="黑体" w:hAnsi="黑体" w:eastAsia="黑体" w:cs="黑体"/>
          <w:b w:val="0"/>
          <w:bCs w:val="0"/>
          <w:sz w:val="21"/>
          <w:szCs w:val="21"/>
        </w:rPr>
        <w:t xml:space="preserve"> </w:t>
      </w:r>
      <w:r>
        <w:fldChar w:fldCharType="begin"/>
      </w:r>
      <w:r>
        <w:instrText xml:space="preserve"> HYPERLINK \l "_Toc234978614" </w:instrText>
      </w:r>
      <w:r>
        <w:fldChar w:fldCharType="separate"/>
      </w:r>
      <w:r>
        <w:rPr>
          <w:rFonts w:hint="eastAsia" w:ascii="黑体" w:hAnsi="黑体" w:eastAsia="黑体" w:cs="黑体"/>
          <w:b w:val="0"/>
          <w:bCs w:val="0"/>
          <w:sz w:val="21"/>
          <w:szCs w:val="21"/>
        </w:rPr>
        <w:t>标准实施的环境效益与</w:t>
      </w:r>
      <w:r>
        <w:rPr>
          <w:rFonts w:hint="eastAsia" w:ascii="黑体" w:hAnsi="黑体" w:eastAsia="黑体" w:cs="黑体"/>
          <w:b w:val="0"/>
          <w:bCs w:val="0"/>
          <w:sz w:val="21"/>
          <w:szCs w:val="21"/>
        </w:rPr>
        <w:fldChar w:fldCharType="end"/>
      </w:r>
      <w:bookmarkEnd w:id="101"/>
      <w:r>
        <w:rPr>
          <w:rFonts w:hint="eastAsia" w:ascii="黑体" w:hAnsi="黑体" w:eastAsia="黑体" w:cs="黑体"/>
          <w:b w:val="0"/>
          <w:bCs w:val="0"/>
          <w:sz w:val="21"/>
          <w:szCs w:val="21"/>
        </w:rPr>
        <w:t>经济技术分析</w:t>
      </w:r>
      <w:bookmarkEnd w:id="102"/>
    </w:p>
    <w:p w14:paraId="488B84F1">
      <w:pPr>
        <w:widowControl/>
        <w:ind w:firstLine="420"/>
      </w:pPr>
      <w:r>
        <w:rPr>
          <w:rFonts w:hint="eastAsia"/>
        </w:rPr>
        <w:t>稳定运行的修复终端可以对二次污染防治措施进行更大的投入，配备成熟完善的二次污染防治设施，对整个修复环节环境污染物排放采取有效的控制，极大的减少了二次污染物的产生与排放，实现全过程的二次污染有效防控，降低修复全过程的环境风险。</w:t>
      </w:r>
    </w:p>
    <w:p w14:paraId="0D68EA69">
      <w:pPr>
        <w:widowControl/>
        <w:ind w:firstLine="420"/>
      </w:pPr>
      <w:r>
        <w:rPr>
          <w:rFonts w:hint="eastAsia"/>
        </w:rPr>
        <w:t>本标准的实施，将为土壤修复工厂的推广应用提供引领，对污染土壤处理行业将产生深远影响，带动传统污染土壤处理模式发生革命性变化，提高我国环保产业的核心竞争力；助力打造优质土壤生态系统，提高公众对环境的满意度，形成良好的社会效应和环境效益。</w:t>
      </w:r>
    </w:p>
    <w:p w14:paraId="0CF577FE">
      <w:pPr>
        <w:pStyle w:val="2"/>
        <w:rPr>
          <w:rFonts w:ascii="黑体" w:hAnsi="黑体" w:eastAsia="黑体" w:cs="黑体"/>
          <w:b w:val="0"/>
          <w:bCs w:val="0"/>
          <w:sz w:val="21"/>
          <w:szCs w:val="21"/>
        </w:rPr>
      </w:pPr>
      <w:bookmarkStart w:id="103" w:name="_Toc7164"/>
      <w:bookmarkStart w:id="104" w:name="_Toc2590"/>
      <w:r>
        <w:rPr>
          <w:rFonts w:ascii="黑体" w:hAnsi="黑体" w:eastAsia="黑体" w:cs="黑体"/>
          <w:b w:val="0"/>
          <w:bCs w:val="0"/>
          <w:sz w:val="21"/>
          <w:szCs w:val="21"/>
        </w:rPr>
        <w:t>7</w:t>
      </w:r>
      <w:r>
        <w:rPr>
          <w:rFonts w:hint="eastAsia" w:ascii="黑体" w:hAnsi="黑体" w:eastAsia="黑体" w:cs="黑体"/>
          <w:b w:val="0"/>
          <w:bCs w:val="0"/>
          <w:sz w:val="21"/>
          <w:szCs w:val="21"/>
        </w:rPr>
        <w:t xml:space="preserve"> </w:t>
      </w:r>
      <w:r>
        <w:fldChar w:fldCharType="begin"/>
      </w:r>
      <w:r>
        <w:instrText xml:space="preserve"> HYPERLINK \l "_Toc234978615" </w:instrText>
      </w:r>
      <w:r>
        <w:fldChar w:fldCharType="separate"/>
      </w:r>
      <w:r>
        <w:rPr>
          <w:rFonts w:hint="eastAsia" w:ascii="黑体" w:hAnsi="黑体" w:eastAsia="黑体" w:cs="黑体"/>
          <w:b w:val="0"/>
          <w:bCs w:val="0"/>
          <w:sz w:val="21"/>
          <w:szCs w:val="21"/>
        </w:rPr>
        <w:t>标准实施建议</w:t>
      </w:r>
      <w:r>
        <w:rPr>
          <w:rFonts w:hint="eastAsia" w:ascii="黑体" w:hAnsi="黑体" w:eastAsia="黑体" w:cs="黑体"/>
          <w:b w:val="0"/>
          <w:bCs w:val="0"/>
          <w:sz w:val="21"/>
          <w:szCs w:val="21"/>
        </w:rPr>
        <w:fldChar w:fldCharType="end"/>
      </w:r>
      <w:bookmarkEnd w:id="103"/>
      <w:bookmarkEnd w:id="104"/>
    </w:p>
    <w:p w14:paraId="40090771">
      <w:pPr>
        <w:ind w:firstLine="420"/>
      </w:pPr>
      <w:r>
        <w:t>本标准发布后，可为</w:t>
      </w:r>
      <w:r>
        <w:rPr>
          <w:rFonts w:hint="eastAsia"/>
        </w:rPr>
        <w:t>土壤修复治理工厂的设计、调试和运营</w:t>
      </w:r>
      <w:r>
        <w:t>提供技术依据。</w:t>
      </w:r>
      <w:r>
        <w:rPr>
          <w:bCs/>
          <w:szCs w:val="20"/>
        </w:rPr>
        <w:t>建议标准发布后，作为行业的一种推荐标准实施，在</w:t>
      </w:r>
      <w:r>
        <w:rPr>
          <w:rFonts w:hint="eastAsia"/>
          <w:bCs/>
          <w:szCs w:val="20"/>
        </w:rPr>
        <w:t>污染土壤处理厂（场）</w:t>
      </w:r>
      <w:r>
        <w:rPr>
          <w:bCs/>
          <w:szCs w:val="20"/>
        </w:rPr>
        <w:t>、设计院、研究院、工程公司等相关单位进行广泛宣贯。</w:t>
      </w:r>
    </w:p>
    <w:p w14:paraId="14348CE0">
      <w:r>
        <w:rPr>
          <w:sz w:val="21"/>
        </w:rPr>
        <mc:AlternateContent>
          <mc:Choice Requires="wps">
            <w:drawing>
              <wp:anchor distT="0" distB="0" distL="114300" distR="114300" simplePos="0" relativeHeight="251659264" behindDoc="0" locked="0" layoutInCell="1" allowOverlap="1">
                <wp:simplePos x="0" y="0"/>
                <wp:positionH relativeFrom="column">
                  <wp:posOffset>1810385</wp:posOffset>
                </wp:positionH>
                <wp:positionV relativeFrom="paragraph">
                  <wp:posOffset>1632585</wp:posOffset>
                </wp:positionV>
                <wp:extent cx="2004060" cy="0"/>
                <wp:effectExtent l="0" t="4445" r="0" b="5080"/>
                <wp:wrapNone/>
                <wp:docPr id="1" name="直接连接符 1"/>
                <wp:cNvGraphicFramePr/>
                <a:graphic xmlns:a="http://schemas.openxmlformats.org/drawingml/2006/main">
                  <a:graphicData uri="http://schemas.microsoft.com/office/word/2010/wordprocessingShape">
                    <wps:wsp>
                      <wps:cNvCnPr/>
                      <wps:spPr>
                        <a:xfrm>
                          <a:off x="2953385" y="5918835"/>
                          <a:ext cx="2004060" cy="0"/>
                        </a:xfrm>
                        <a:prstGeom prst="line">
                          <a:avLst/>
                        </a:prstGeom>
                        <a:ln w="9525">
                          <a:solidFill>
                            <a:schemeClr val="tx1"/>
                          </a:solidFill>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42.55pt;margin-top:128.55pt;height:0pt;width:157.8pt;z-index:251659264;mso-width-relative:page;mso-height-relative:page;" filled="f" stroked="t" coordsize="21600,21600" o:gfxdata="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i7eb09cA&#10;AAALAQAADwAAAAAAAAABACAAAAAiAAAAZHJzL2Rvd25yZXYueG1sUEsBAhQAFAAAAAgAh07iQHC7&#10;bkTnAQAApgMAAA4AAAAAAAAAAQAgAAAAJgEAAGRycy9lMm9Eb2MueG1sUEsFBgAAAAAGAAYAWQEA&#10;AH8FAAAAAA==&#10;">
                <v:fill on="f" focussize="0,0"/>
                <v:stroke color="#000000 [3213]" joinstyle="round"/>
                <v:imagedata o:title=""/>
                <o:lock v:ext="edit" aspectratio="f"/>
              </v:line>
            </w:pict>
          </mc:Fallback>
        </mc:AlternateContent>
      </w:r>
    </w:p>
    <w:sectPr>
      <w:footerReference r:id="rId8"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E40F4">
    <w:pPr>
      <w:pStyle w:val="10"/>
      <w:jc w:val="center"/>
    </w:pPr>
  </w:p>
  <w:p w14:paraId="5AB3C7C2">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68E5B2">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CEA93D">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99334040"/>
      <w:docPartObj>
        <w:docPartGallery w:val="autotext"/>
      </w:docPartObj>
    </w:sdtPr>
    <w:sdtContent>
      <w:p w14:paraId="5E0FADD9">
        <w:pPr>
          <w:pStyle w:val="10"/>
          <w:jc w:val="center"/>
        </w:pPr>
        <w:r>
          <w:fldChar w:fldCharType="begin"/>
        </w:r>
        <w:r>
          <w:instrText xml:space="preserve">PAGE   \* MERGEFORMAT</w:instrText>
        </w:r>
        <w:r>
          <w:fldChar w:fldCharType="separate"/>
        </w:r>
        <w:r>
          <w:rPr>
            <w:lang w:val="zh-CN"/>
          </w:rPr>
          <w:t>10</w:t>
        </w:r>
        <w:r>
          <w:fldChar w:fldCharType="end"/>
        </w:r>
      </w:p>
    </w:sdtContent>
  </w:sdt>
  <w:p w14:paraId="1A8D55CB">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669A3D">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427B05">
    <w:pPr>
      <w:pStyle w:val="11"/>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ZiY2VkNmFjN2JmMThhZDc0ZDAwNzQ2YjRmZTQ2M2YifQ=="/>
    <w:docVar w:name="KSO_WPS_MARK_KEY" w:val="e1991ae6-3d95-48ea-b6c1-c1da634297eb"/>
  </w:docVars>
  <w:rsids>
    <w:rsidRoot w:val="009313EB"/>
    <w:rsid w:val="00071EBA"/>
    <w:rsid w:val="00083216"/>
    <w:rsid w:val="00083EA8"/>
    <w:rsid w:val="000A2D3C"/>
    <w:rsid w:val="000A5568"/>
    <w:rsid w:val="000B4279"/>
    <w:rsid w:val="000D119C"/>
    <w:rsid w:val="000D1F72"/>
    <w:rsid w:val="000E3308"/>
    <w:rsid w:val="0012634D"/>
    <w:rsid w:val="001648E7"/>
    <w:rsid w:val="00165A61"/>
    <w:rsid w:val="001C2C61"/>
    <w:rsid w:val="001C3CD3"/>
    <w:rsid w:val="001F7530"/>
    <w:rsid w:val="00225BFB"/>
    <w:rsid w:val="002450F4"/>
    <w:rsid w:val="002A7F02"/>
    <w:rsid w:val="002C7717"/>
    <w:rsid w:val="002C798B"/>
    <w:rsid w:val="002D197B"/>
    <w:rsid w:val="002E5299"/>
    <w:rsid w:val="003272A4"/>
    <w:rsid w:val="00360BD4"/>
    <w:rsid w:val="00361630"/>
    <w:rsid w:val="003A41C9"/>
    <w:rsid w:val="003D4074"/>
    <w:rsid w:val="003E4168"/>
    <w:rsid w:val="004179D4"/>
    <w:rsid w:val="00451511"/>
    <w:rsid w:val="004A405A"/>
    <w:rsid w:val="004C333B"/>
    <w:rsid w:val="004F7CEE"/>
    <w:rsid w:val="00530DCA"/>
    <w:rsid w:val="0053313C"/>
    <w:rsid w:val="005359C3"/>
    <w:rsid w:val="00550A8A"/>
    <w:rsid w:val="005E436B"/>
    <w:rsid w:val="005E66B1"/>
    <w:rsid w:val="005F52A4"/>
    <w:rsid w:val="00623231"/>
    <w:rsid w:val="006B7C63"/>
    <w:rsid w:val="006C0D80"/>
    <w:rsid w:val="006C2A35"/>
    <w:rsid w:val="006C3537"/>
    <w:rsid w:val="006E2C87"/>
    <w:rsid w:val="006F4E38"/>
    <w:rsid w:val="00722875"/>
    <w:rsid w:val="0076066C"/>
    <w:rsid w:val="00784097"/>
    <w:rsid w:val="007857C1"/>
    <w:rsid w:val="007858AE"/>
    <w:rsid w:val="007A77A4"/>
    <w:rsid w:val="007C1AF3"/>
    <w:rsid w:val="007D0C99"/>
    <w:rsid w:val="007E7E16"/>
    <w:rsid w:val="008145C0"/>
    <w:rsid w:val="008565C1"/>
    <w:rsid w:val="00862F61"/>
    <w:rsid w:val="00885EBE"/>
    <w:rsid w:val="008C5CFC"/>
    <w:rsid w:val="008D3584"/>
    <w:rsid w:val="008F5687"/>
    <w:rsid w:val="009313EB"/>
    <w:rsid w:val="00952FDF"/>
    <w:rsid w:val="00960E92"/>
    <w:rsid w:val="00967A0F"/>
    <w:rsid w:val="0099023F"/>
    <w:rsid w:val="009C1A1F"/>
    <w:rsid w:val="009C36AC"/>
    <w:rsid w:val="009E05EE"/>
    <w:rsid w:val="00A21EA7"/>
    <w:rsid w:val="00A52009"/>
    <w:rsid w:val="00A712A0"/>
    <w:rsid w:val="00A81058"/>
    <w:rsid w:val="00A811B0"/>
    <w:rsid w:val="00AA2719"/>
    <w:rsid w:val="00AA5CE1"/>
    <w:rsid w:val="00AC3176"/>
    <w:rsid w:val="00AD06C3"/>
    <w:rsid w:val="00AF7803"/>
    <w:rsid w:val="00B31974"/>
    <w:rsid w:val="00B91BD5"/>
    <w:rsid w:val="00B92FED"/>
    <w:rsid w:val="00B97C24"/>
    <w:rsid w:val="00BA1C74"/>
    <w:rsid w:val="00BA502C"/>
    <w:rsid w:val="00BB0A9F"/>
    <w:rsid w:val="00BB5F40"/>
    <w:rsid w:val="00BC300E"/>
    <w:rsid w:val="00CA03AF"/>
    <w:rsid w:val="00CC2BEB"/>
    <w:rsid w:val="00CE0D4E"/>
    <w:rsid w:val="00CF2ECD"/>
    <w:rsid w:val="00CF327A"/>
    <w:rsid w:val="00D42549"/>
    <w:rsid w:val="00D477D8"/>
    <w:rsid w:val="00D55EA9"/>
    <w:rsid w:val="00D715DB"/>
    <w:rsid w:val="00D74F95"/>
    <w:rsid w:val="00D74FA2"/>
    <w:rsid w:val="00D86DF4"/>
    <w:rsid w:val="00D92ED7"/>
    <w:rsid w:val="00DD1F2F"/>
    <w:rsid w:val="00DE7C92"/>
    <w:rsid w:val="00E43FBD"/>
    <w:rsid w:val="00E472C3"/>
    <w:rsid w:val="00EC1688"/>
    <w:rsid w:val="00F36631"/>
    <w:rsid w:val="00F41B17"/>
    <w:rsid w:val="00F604D7"/>
    <w:rsid w:val="00FB30D4"/>
    <w:rsid w:val="00FC2CE2"/>
    <w:rsid w:val="00FC6465"/>
    <w:rsid w:val="00FD09B1"/>
    <w:rsid w:val="00FD463E"/>
    <w:rsid w:val="00FE5935"/>
    <w:rsid w:val="00FF700B"/>
    <w:rsid w:val="06F04422"/>
    <w:rsid w:val="11333889"/>
    <w:rsid w:val="13421B62"/>
    <w:rsid w:val="14ED1B51"/>
    <w:rsid w:val="18D4377B"/>
    <w:rsid w:val="1B940EAF"/>
    <w:rsid w:val="1C7C30B1"/>
    <w:rsid w:val="2A0240FC"/>
    <w:rsid w:val="2B08765C"/>
    <w:rsid w:val="2D7846A8"/>
    <w:rsid w:val="2FD24610"/>
    <w:rsid w:val="302D5D5F"/>
    <w:rsid w:val="35B6389D"/>
    <w:rsid w:val="3DDD57A8"/>
    <w:rsid w:val="408F5EAA"/>
    <w:rsid w:val="435B618D"/>
    <w:rsid w:val="45FC3381"/>
    <w:rsid w:val="47044578"/>
    <w:rsid w:val="474F40C2"/>
    <w:rsid w:val="47526DB5"/>
    <w:rsid w:val="48A7419D"/>
    <w:rsid w:val="5B3F5F54"/>
    <w:rsid w:val="5B404F0E"/>
    <w:rsid w:val="5F3145C6"/>
    <w:rsid w:val="64633844"/>
    <w:rsid w:val="6CC94055"/>
    <w:rsid w:val="6FE67C4A"/>
    <w:rsid w:val="72DF30AD"/>
    <w:rsid w:val="7B154BAF"/>
    <w:rsid w:val="7D217A22"/>
    <w:rsid w:val="7EA514A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1"/>
    <w:qFormat/>
    <w:uiPriority w:val="0"/>
    <w:pPr>
      <w:keepNext/>
      <w:keepLines/>
      <w:spacing w:before="340" w:after="330" w:line="578" w:lineRule="auto"/>
      <w:outlineLvl w:val="0"/>
    </w:pPr>
    <w:rPr>
      <w:rFonts w:ascii="Times New Roman" w:hAnsi="Times New Roman" w:eastAsia="黑体"/>
      <w:b/>
      <w:bCs/>
      <w:kern w:val="44"/>
      <w:sz w:val="21"/>
      <w:szCs w:val="44"/>
    </w:rPr>
  </w:style>
  <w:style w:type="paragraph" w:styleId="3">
    <w:name w:val="heading 2"/>
    <w:basedOn w:val="1"/>
    <w:next w:val="1"/>
    <w:unhideWhenUsed/>
    <w:qFormat/>
    <w:uiPriority w:val="9"/>
    <w:pPr>
      <w:keepNext/>
      <w:keepLines/>
      <w:spacing w:before="120" w:after="120" w:line="360" w:lineRule="auto"/>
      <w:outlineLvl w:val="1"/>
    </w:pPr>
    <w:rPr>
      <w:rFonts w:eastAsia="黑体" w:cstheme="majorBidi"/>
      <w:bCs/>
      <w:szCs w:val="32"/>
    </w:rPr>
  </w:style>
  <w:style w:type="paragraph" w:styleId="4">
    <w:name w:val="heading 3"/>
    <w:basedOn w:val="1"/>
    <w:next w:val="1"/>
    <w:link w:val="37"/>
    <w:unhideWhenUsed/>
    <w:qFormat/>
    <w:uiPriority w:val="9"/>
    <w:pPr>
      <w:spacing w:before="156" w:beforeLines="50" w:after="156" w:afterLines="50"/>
      <w:ind w:firstLine="420" w:firstLineChars="200"/>
      <w:outlineLvl w:val="2"/>
    </w:pPr>
    <w:rPr>
      <w:rFonts w:eastAsia="黑体"/>
      <w:bCs/>
      <w:szCs w:val="21"/>
    </w:rPr>
  </w:style>
  <w:style w:type="paragraph" w:styleId="5">
    <w:name w:val="heading 4"/>
    <w:basedOn w:val="1"/>
    <w:next w:val="1"/>
    <w:link w:val="32"/>
    <w:unhideWhenUsed/>
    <w:qFormat/>
    <w:uiPriority w:val="9"/>
    <w:pPr>
      <w:keepNext/>
      <w:keepLines/>
      <w:spacing w:line="376" w:lineRule="auto"/>
      <w:outlineLvl w:val="3"/>
    </w:pPr>
    <w:rPr>
      <w:rFonts w:eastAsia="黑体" w:cstheme="majorBidi"/>
      <w:bCs/>
      <w:szCs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6">
    <w:name w:val="Document Map"/>
    <w:basedOn w:val="1"/>
    <w:link w:val="23"/>
    <w:semiHidden/>
    <w:unhideWhenUsed/>
    <w:qFormat/>
    <w:uiPriority w:val="99"/>
    <w:rPr>
      <w:rFonts w:ascii="宋体"/>
      <w:sz w:val="18"/>
      <w:szCs w:val="18"/>
    </w:rPr>
  </w:style>
  <w:style w:type="paragraph" w:styleId="7">
    <w:name w:val="annotation text"/>
    <w:basedOn w:val="1"/>
    <w:link w:val="34"/>
    <w:unhideWhenUsed/>
    <w:qFormat/>
    <w:uiPriority w:val="99"/>
    <w:pPr>
      <w:jc w:val="left"/>
    </w:pPr>
  </w:style>
  <w:style w:type="paragraph" w:styleId="8">
    <w:name w:val="toc 3"/>
    <w:basedOn w:val="1"/>
    <w:next w:val="1"/>
    <w:autoRedefine/>
    <w:unhideWhenUsed/>
    <w:qFormat/>
    <w:uiPriority w:val="39"/>
    <w:pPr>
      <w:ind w:left="840" w:leftChars="400"/>
    </w:pPr>
  </w:style>
  <w:style w:type="paragraph" w:styleId="9">
    <w:name w:val="Balloon Text"/>
    <w:basedOn w:val="1"/>
    <w:link w:val="38"/>
    <w:semiHidden/>
    <w:unhideWhenUsed/>
    <w:qFormat/>
    <w:uiPriority w:val="99"/>
    <w:rPr>
      <w:sz w:val="18"/>
      <w:szCs w:val="18"/>
    </w:rPr>
  </w:style>
  <w:style w:type="paragraph" w:styleId="10">
    <w:name w:val="footer"/>
    <w:basedOn w:val="1"/>
    <w:link w:val="25"/>
    <w:unhideWhenUsed/>
    <w:qFormat/>
    <w:uiPriority w:val="99"/>
    <w:pPr>
      <w:tabs>
        <w:tab w:val="center" w:pos="4153"/>
        <w:tab w:val="right" w:pos="8306"/>
      </w:tabs>
      <w:snapToGrid w:val="0"/>
      <w:jc w:val="left"/>
    </w:pPr>
    <w:rPr>
      <w:sz w:val="18"/>
      <w:szCs w:val="18"/>
    </w:rPr>
  </w:style>
  <w:style w:type="paragraph" w:styleId="11">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pPr>
      <w:spacing w:before="120" w:after="120"/>
      <w:jc w:val="left"/>
    </w:pPr>
    <w:rPr>
      <w:b/>
      <w:bCs/>
      <w:caps/>
      <w:sz w:val="20"/>
      <w:szCs w:val="20"/>
    </w:rPr>
  </w:style>
  <w:style w:type="paragraph" w:styleId="13">
    <w:name w:val="toc 2"/>
    <w:basedOn w:val="1"/>
    <w:next w:val="1"/>
    <w:autoRedefine/>
    <w:unhideWhenUsed/>
    <w:qFormat/>
    <w:uiPriority w:val="39"/>
    <w:pPr>
      <w:ind w:left="420" w:leftChars="200"/>
    </w:pPr>
  </w:style>
  <w:style w:type="paragraph" w:styleId="14">
    <w:name w:val="annotation subject"/>
    <w:basedOn w:val="7"/>
    <w:next w:val="7"/>
    <w:link w:val="35"/>
    <w:semiHidden/>
    <w:unhideWhenUsed/>
    <w:qFormat/>
    <w:uiPriority w:val="99"/>
    <w:rPr>
      <w:b/>
      <w:bCs/>
    </w:rPr>
  </w:style>
  <w:style w:type="table" w:styleId="16">
    <w:name w:val="Table Grid"/>
    <w:basedOn w:val="15"/>
    <w:qFormat/>
    <w:uiPriority w:val="0"/>
    <w:rPr>
      <w:rFonts w:ascii="等线" w:hAnsi="等线" w:eastAsia="等线"/>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22"/>
    <w:rPr>
      <w:b/>
    </w:rPr>
  </w:style>
  <w:style w:type="character" w:styleId="19">
    <w:name w:val="Hyperlink"/>
    <w:qFormat/>
    <w:uiPriority w:val="99"/>
    <w:rPr>
      <w:color w:val="0000FF"/>
      <w:u w:val="single"/>
    </w:rPr>
  </w:style>
  <w:style w:type="character" w:styleId="20">
    <w:name w:val="annotation reference"/>
    <w:basedOn w:val="17"/>
    <w:unhideWhenUsed/>
    <w:qFormat/>
    <w:uiPriority w:val="99"/>
    <w:rPr>
      <w:sz w:val="21"/>
      <w:szCs w:val="21"/>
    </w:rPr>
  </w:style>
  <w:style w:type="character" w:customStyle="1" w:styleId="21">
    <w:name w:val="标题 1 字符"/>
    <w:basedOn w:val="17"/>
    <w:link w:val="2"/>
    <w:qFormat/>
    <w:uiPriority w:val="0"/>
    <w:rPr>
      <w:rFonts w:ascii="Times New Roman" w:hAnsi="Times New Roman" w:eastAsia="黑体" w:cs="Times New Roman"/>
      <w:b/>
      <w:bCs/>
      <w:kern w:val="44"/>
      <w:sz w:val="21"/>
      <w:szCs w:val="44"/>
    </w:rPr>
  </w:style>
  <w:style w:type="paragraph" w:customStyle="1" w:styleId="22">
    <w:name w:val="Char Char Char1 Char Char"/>
    <w:basedOn w:val="6"/>
    <w:qFormat/>
    <w:uiPriority w:val="0"/>
    <w:pPr>
      <w:shd w:val="clear" w:color="auto" w:fill="000080"/>
      <w:adjustRightInd w:val="0"/>
      <w:spacing w:line="436" w:lineRule="exact"/>
      <w:ind w:left="357"/>
      <w:jc w:val="left"/>
      <w:outlineLvl w:val="3"/>
    </w:pPr>
    <w:rPr>
      <w:rFonts w:ascii="Tahoma" w:hAnsi="Tahoma"/>
      <w:b/>
      <w:sz w:val="24"/>
      <w:szCs w:val="24"/>
    </w:rPr>
  </w:style>
  <w:style w:type="character" w:customStyle="1" w:styleId="23">
    <w:name w:val="文档结构图 字符"/>
    <w:basedOn w:val="17"/>
    <w:link w:val="6"/>
    <w:semiHidden/>
    <w:qFormat/>
    <w:uiPriority w:val="99"/>
    <w:rPr>
      <w:rFonts w:ascii="宋体" w:hAnsi="Times New Roman" w:eastAsia="宋体" w:cs="Times New Roman"/>
      <w:sz w:val="18"/>
      <w:szCs w:val="18"/>
    </w:rPr>
  </w:style>
  <w:style w:type="character" w:customStyle="1" w:styleId="24">
    <w:name w:val="页眉 字符"/>
    <w:basedOn w:val="17"/>
    <w:link w:val="11"/>
    <w:qFormat/>
    <w:uiPriority w:val="99"/>
    <w:rPr>
      <w:rFonts w:ascii="Times New Roman" w:hAnsi="Times New Roman" w:eastAsia="宋体" w:cs="Times New Roman"/>
      <w:sz w:val="18"/>
      <w:szCs w:val="18"/>
    </w:rPr>
  </w:style>
  <w:style w:type="character" w:customStyle="1" w:styleId="25">
    <w:name w:val="页脚 字符"/>
    <w:basedOn w:val="17"/>
    <w:link w:val="10"/>
    <w:qFormat/>
    <w:uiPriority w:val="99"/>
    <w:rPr>
      <w:rFonts w:ascii="Times New Roman" w:hAnsi="Times New Roman" w:eastAsia="宋体" w:cs="Times New Roman"/>
      <w:sz w:val="18"/>
      <w:szCs w:val="18"/>
    </w:rPr>
  </w:style>
  <w:style w:type="paragraph" w:styleId="26">
    <w:name w:val="List Paragraph"/>
    <w:basedOn w:val="1"/>
    <w:qFormat/>
    <w:uiPriority w:val="34"/>
    <w:pPr>
      <w:ind w:firstLine="420" w:firstLineChars="200"/>
    </w:pPr>
  </w:style>
  <w:style w:type="paragraph" w:customStyle="1" w:styleId="27">
    <w:name w:val="段"/>
    <w:link w:val="29"/>
    <w:qFormat/>
    <w:uiPriority w:val="0"/>
    <w:pPr>
      <w:autoSpaceDE w:val="0"/>
      <w:autoSpaceDN w:val="0"/>
      <w:ind w:firstLine="200" w:firstLineChars="200"/>
      <w:jc w:val="both"/>
    </w:pPr>
    <w:rPr>
      <w:rFonts w:ascii="宋体" w:hAnsiTheme="minorHAnsi" w:eastAsiaTheme="minorEastAsia" w:cstheme="minorBidi"/>
      <w:sz w:val="21"/>
      <w:lang w:val="en-US" w:eastAsia="zh-CN" w:bidi="ar-SA"/>
    </w:rPr>
  </w:style>
  <w:style w:type="paragraph" w:customStyle="1" w:styleId="28">
    <w:name w:val="5号表格文本"/>
    <w:qFormat/>
    <w:uiPriority w:val="0"/>
    <w:pPr>
      <w:jc w:val="center"/>
    </w:pPr>
    <w:rPr>
      <w:rFonts w:asciiTheme="minorHAnsi" w:hAnsiTheme="minorHAnsi" w:eastAsiaTheme="minorEastAsia" w:cstheme="minorBidi"/>
      <w:kern w:val="2"/>
      <w:sz w:val="21"/>
      <w:szCs w:val="24"/>
      <w:lang w:val="en-US" w:eastAsia="zh-CN" w:bidi="ar-SA"/>
    </w:rPr>
  </w:style>
  <w:style w:type="character" w:customStyle="1" w:styleId="29">
    <w:name w:val="段 Char"/>
    <w:link w:val="27"/>
    <w:qFormat/>
    <w:locked/>
    <w:uiPriority w:val="0"/>
    <w:rPr>
      <w:rFonts w:ascii="宋体"/>
      <w:sz w:val="21"/>
    </w:rPr>
  </w:style>
  <w:style w:type="paragraph" w:customStyle="1" w:styleId="30">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31">
    <w:name w:val="0-样式1"/>
    <w:basedOn w:val="1"/>
    <w:next w:val="1"/>
    <w:qFormat/>
    <w:uiPriority w:val="0"/>
    <w:rPr>
      <w:rFonts w:ascii="黑体" w:hAnsi="黑体"/>
      <w:szCs w:val="22"/>
    </w:rPr>
  </w:style>
  <w:style w:type="character" w:customStyle="1" w:styleId="32">
    <w:name w:val="标题 4 字符"/>
    <w:basedOn w:val="17"/>
    <w:link w:val="5"/>
    <w:qFormat/>
    <w:uiPriority w:val="9"/>
    <w:rPr>
      <w:rFonts w:eastAsia="黑体" w:cstheme="majorBidi"/>
      <w:bCs/>
      <w:kern w:val="2"/>
      <w:sz w:val="21"/>
      <w:szCs w:val="28"/>
    </w:rPr>
  </w:style>
  <w:style w:type="paragraph" w:customStyle="1" w:styleId="33">
    <w:name w:val="Revision"/>
    <w:hidden/>
    <w:unhideWhenUsed/>
    <w:qFormat/>
    <w:uiPriority w:val="99"/>
    <w:rPr>
      <w:rFonts w:ascii="Times New Roman" w:hAnsi="Times New Roman" w:eastAsia="宋体" w:cs="Times New Roman"/>
      <w:kern w:val="2"/>
      <w:sz w:val="21"/>
      <w:szCs w:val="24"/>
      <w:lang w:val="en-US" w:eastAsia="zh-CN" w:bidi="ar-SA"/>
    </w:rPr>
  </w:style>
  <w:style w:type="character" w:customStyle="1" w:styleId="34">
    <w:name w:val="批注文字 字符"/>
    <w:basedOn w:val="17"/>
    <w:link w:val="7"/>
    <w:qFormat/>
    <w:uiPriority w:val="99"/>
    <w:rPr>
      <w:kern w:val="2"/>
      <w:sz w:val="21"/>
      <w:szCs w:val="24"/>
    </w:rPr>
  </w:style>
  <w:style w:type="character" w:customStyle="1" w:styleId="35">
    <w:name w:val="批注主题 字符"/>
    <w:basedOn w:val="34"/>
    <w:link w:val="14"/>
    <w:semiHidden/>
    <w:qFormat/>
    <w:uiPriority w:val="99"/>
    <w:rPr>
      <w:b/>
      <w:bCs/>
      <w:kern w:val="2"/>
      <w:sz w:val="21"/>
      <w:szCs w:val="24"/>
    </w:rPr>
  </w:style>
  <w:style w:type="paragraph" w:customStyle="1" w:styleId="36">
    <w:name w:val="p0"/>
    <w:basedOn w:val="1"/>
    <w:qFormat/>
    <w:uiPriority w:val="0"/>
    <w:pPr>
      <w:widowControl/>
    </w:pPr>
    <w:rPr>
      <w:kern w:val="0"/>
      <w:szCs w:val="21"/>
    </w:rPr>
  </w:style>
  <w:style w:type="character" w:customStyle="1" w:styleId="37">
    <w:name w:val="标题 3 字符"/>
    <w:link w:val="4"/>
    <w:qFormat/>
    <w:uiPriority w:val="9"/>
    <w:rPr>
      <w:rFonts w:eastAsia="黑体"/>
      <w:bCs/>
      <w:kern w:val="2"/>
      <w:sz w:val="21"/>
      <w:szCs w:val="21"/>
    </w:rPr>
  </w:style>
  <w:style w:type="character" w:customStyle="1" w:styleId="38">
    <w:name w:val="批注框文本 字符"/>
    <w:basedOn w:val="17"/>
    <w:link w:val="9"/>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image" Target="media/image1.emf"/><Relationship Id="rId10" Type="http://schemas.openxmlformats.org/officeDocument/2006/relationships/oleObject" Target="embeddings/oleObject1.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E7DDB49-9BC6-42F5-AE5B-FACFF5FCC442}">
  <ds:schemaRefs/>
</ds:datastoreItem>
</file>

<file path=docProps/app.xml><?xml version="1.0" encoding="utf-8"?>
<Properties xmlns="http://schemas.openxmlformats.org/officeDocument/2006/extended-properties" xmlns:vt="http://schemas.openxmlformats.org/officeDocument/2006/docPropsVTypes">
  <Template>Normal</Template>
  <Pages>20</Pages>
  <Words>13107</Words>
  <Characters>14615</Characters>
  <Lines>124</Lines>
  <Paragraphs>34</Paragraphs>
  <TotalTime>0</TotalTime>
  <ScaleCrop>false</ScaleCrop>
  <LinksUpToDate>false</LinksUpToDate>
  <CharactersWithSpaces>15297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2025-07-21T03:58:00Z</dcterms:created>
  <dc:creator>DELL</dc:creator>
  <cp:lastModifiedBy>知行小书童besos</cp:lastModifiedBy>
  <dcterms:modified xsi:type="dcterms:W3CDTF">2026-05-28T02:25:53Z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AE7DF71899F4448796C81B2FF6742931_13</vt:lpwstr>
  </property>
  <property fmtid="{D5CDD505-2E9C-101B-9397-08002B2CF9AE}" pid="4" name="KSOTemplateDocerSaveRecord">
    <vt:lpwstr>eyJoZGlkIjoiM2ZiY2VkNmFjN2JmMThhZDc0ZDAwNzQ2YjRmZTQ2M2YiLCJ1c2VySWQiOiI2OTI5OTAzMDQifQ==</vt:lpwstr>
  </property>
</Properties>
</file>