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3"/>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7FB14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27C9A1B0">
            <w:pPr>
              <w:pStyle w:val="22"/>
              <w:framePr w:wrap="notBeside" w:vAnchor="page" w:hAnchor="page" w:x="1372" w:y="568"/>
              <w:tabs>
                <w:tab w:val="clear" w:pos="4153"/>
                <w:tab w:val="clear" w:pos="8306"/>
              </w:tabs>
              <w:spacing w:line="240" w:lineRule="auto"/>
              <w:jc w:val="left"/>
              <w:rPr>
                <w:rFonts w:ascii="黑体" w:hAnsi="黑体" w:eastAsia="黑体"/>
                <w:sz w:val="21"/>
                <w:szCs w:val="21"/>
              </w:rPr>
            </w:pPr>
            <w:bookmarkStart w:id="0" w:name="OLE_LINK5"/>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D4CA05F">
            <w:pPr>
              <w:pStyle w:val="22"/>
              <w:framePr w:wrap="notBeside" w:vAnchor="page" w:hAnchor="page" w:x="1372" w:y="568"/>
              <w:tabs>
                <w:tab w:val="clear" w:pos="4153"/>
                <w:tab w:val="clear" w:pos="8306"/>
              </w:tabs>
              <w:spacing w:line="240" w:lineRule="auto"/>
              <w:jc w:val="both"/>
              <w:rPr>
                <w:rFonts w:ascii="黑体" w:hAnsi="黑体" w:eastAsia="黑体"/>
                <w:sz w:val="21"/>
                <w:szCs w:val="21"/>
              </w:rPr>
            </w:pPr>
            <w:r>
              <w:rPr>
                <w:rFonts w:hint="eastAsia" w:ascii="黑体" w:hAnsi="黑体" w:eastAsia="黑体"/>
                <w:sz w:val="21"/>
                <w:szCs w:val="21"/>
              </w:rPr>
              <w:fldChar w:fldCharType="begin">
                <w:ffData>
                  <w:name w:val="ICS"/>
                  <w:enabled/>
                  <w:calcOnExit w:val="0"/>
                  <w:textInput>
                    <w:default w:val="03.080.01"/>
                  </w:textInput>
                </w:ffData>
              </w:fldChar>
            </w:r>
            <w:bookmarkStart w:id="1" w:name="ICS"/>
            <w:r>
              <w:rPr>
                <w:rFonts w:hint="eastAsia" w:ascii="黑体" w:hAnsi="黑体" w:eastAsia="黑体"/>
                <w:sz w:val="21"/>
                <w:szCs w:val="21"/>
              </w:rPr>
              <w:instrText xml:space="preserve"> </w:instrText>
            </w:r>
            <w:r>
              <w:rPr>
                <w:rFonts w:ascii="黑体" w:hAnsi="黑体" w:eastAsia="黑体"/>
                <w:sz w:val="21"/>
                <w:szCs w:val="21"/>
              </w:rPr>
              <w:instrText xml:space="preserve">FORMTEXT</w:instrText>
            </w:r>
            <w:r>
              <w:rPr>
                <w:rFonts w:hint="eastAsia" w:ascii="黑体" w:hAnsi="黑体" w:eastAsia="黑体"/>
                <w:sz w:val="21"/>
                <w:szCs w:val="21"/>
              </w:rPr>
              <w:instrText xml:space="preserve"> </w:instrText>
            </w:r>
            <w:r>
              <w:rPr>
                <w:rFonts w:hint="eastAsia" w:ascii="黑体" w:hAnsi="黑体" w:eastAsia="黑体"/>
                <w:sz w:val="21"/>
                <w:szCs w:val="21"/>
              </w:rPr>
              <w:fldChar w:fldCharType="separate"/>
            </w:r>
            <w:r>
              <w:rPr>
                <w:rFonts w:hint="eastAsia" w:ascii="黑体" w:hAnsi="黑体" w:eastAsia="黑体"/>
                <w:sz w:val="21"/>
                <w:szCs w:val="21"/>
              </w:rPr>
              <w:t>03.080.01</w:t>
            </w:r>
            <w:r>
              <w:rPr>
                <w:rFonts w:hint="eastAsia" w:ascii="黑体" w:hAnsi="黑体" w:eastAsia="黑体"/>
                <w:sz w:val="21"/>
                <w:szCs w:val="21"/>
              </w:rPr>
              <w:fldChar w:fldCharType="end"/>
            </w:r>
            <w:bookmarkEnd w:id="1"/>
          </w:p>
        </w:tc>
      </w:tr>
      <w:tr w14:paraId="0EE64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F3C4CE3">
            <w:pPr>
              <w:pStyle w:val="22"/>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33"/>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5E4D5698">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75E78CE">
                  <w:pPr>
                    <w:pStyle w:val="56"/>
                    <w:framePr w:wrap="notBeside" w:vAnchor="page" w:hAnchor="page" w:x="1372" w:y="568"/>
                    <w:ind w:left="420" w:right="624"/>
                    <w:rPr>
                      <w:rFonts w:ascii="宋体" w:hAnsi="宋体"/>
                      <w:sz w:val="28"/>
                      <w:szCs w:val="28"/>
                    </w:rPr>
                  </w:pPr>
                  <w:r>
                    <w:rPr>
                      <w:sz w:val="21"/>
                      <w:szCs w:val="21"/>
                    </w:rPr>
                    <w:t xml:space="preserve"> </w:t>
                  </w:r>
                </w:p>
              </w:tc>
            </w:tr>
          </w:tbl>
          <w:p w14:paraId="57FFE44D">
            <w:pPr>
              <w:pStyle w:val="22"/>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hint="eastAsia" w:ascii="黑体" w:hAnsi="黑体" w:eastAsia="黑体"/>
                <w:sz w:val="21"/>
                <w:szCs w:val="21"/>
              </w:rPr>
              <w:fldChar w:fldCharType="begin">
                <w:ffData>
                  <w:name w:val="CSDN"/>
                  <w:enabled/>
                  <w:calcOnExit w:val="0"/>
                  <w:textInput>
                    <w:default w:val="A16"/>
                  </w:textInput>
                </w:ffData>
              </w:fldChar>
            </w:r>
            <w:bookmarkStart w:id="2" w:name="CSDN"/>
            <w:r>
              <w:rPr>
                <w:rFonts w:hint="eastAsia" w:ascii="黑体" w:hAnsi="黑体" w:eastAsia="黑体"/>
                <w:sz w:val="21"/>
                <w:szCs w:val="21"/>
              </w:rPr>
              <w:instrText xml:space="preserve"> </w:instrText>
            </w:r>
            <w:r>
              <w:rPr>
                <w:rFonts w:ascii="黑体" w:hAnsi="黑体" w:eastAsia="黑体"/>
                <w:sz w:val="21"/>
                <w:szCs w:val="21"/>
              </w:rPr>
              <w:instrText xml:space="preserve">FORMTEXT</w:instrText>
            </w:r>
            <w:r>
              <w:rPr>
                <w:rFonts w:hint="eastAsia" w:ascii="黑体" w:hAnsi="黑体" w:eastAsia="黑体"/>
                <w:sz w:val="21"/>
                <w:szCs w:val="21"/>
              </w:rPr>
              <w:instrText xml:space="preserve"> </w:instrText>
            </w:r>
            <w:r>
              <w:rPr>
                <w:rFonts w:hint="eastAsia" w:ascii="黑体" w:hAnsi="黑体" w:eastAsia="黑体"/>
                <w:sz w:val="21"/>
                <w:szCs w:val="21"/>
              </w:rPr>
              <w:fldChar w:fldCharType="separate"/>
            </w:r>
            <w:r>
              <w:rPr>
                <w:rFonts w:hint="eastAsia" w:ascii="黑体" w:hAnsi="黑体" w:eastAsia="黑体"/>
                <w:sz w:val="21"/>
                <w:szCs w:val="21"/>
              </w:rPr>
              <w:t>A16</w:t>
            </w:r>
            <w:r>
              <w:rPr>
                <w:rFonts w:hint="eastAsia" w:ascii="黑体" w:hAnsi="黑体" w:eastAsia="黑体"/>
                <w:sz w:val="21"/>
                <w:szCs w:val="21"/>
              </w:rPr>
              <w:fldChar w:fldCharType="end"/>
            </w:r>
            <w:bookmarkEnd w:id="2"/>
          </w:p>
        </w:tc>
      </w:tr>
    </w:tbl>
    <w:p w14:paraId="33DAB700">
      <w:pPr>
        <w:pStyle w:val="57"/>
        <w:framePr w:w="9639" w:h="624" w:hRule="exact" w:hSpace="181" w:vSpace="181" w:wrap="around" w:hAnchor="page" w:x="1305" w:y="2269"/>
        <w:rPr>
          <w:rFonts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68AB3D16">
      <w:pPr>
        <w:pStyle w:val="199"/>
        <w:rPr>
          <w:lang w:val="fr-CH"/>
        </w:rPr>
      </w:pPr>
      <w:r>
        <w:rPr>
          <w:lang w:val="fr-CH"/>
        </w:rPr>
        <w:t>T/</w:t>
      </w:r>
      <w:r>
        <w:fldChar w:fldCharType="begin">
          <w:ffData>
            <w:name w:val="文字1"/>
            <w:enabled/>
            <w:calcOnExit w:val="0"/>
            <w:textInput>
              <w:default w:val="CCPITCSC"/>
            </w:textInput>
          </w:ffData>
        </w:fldChar>
      </w:r>
      <w:bookmarkStart w:id="4" w:name="文字1"/>
      <w:r>
        <w:rPr>
          <w:lang w:val="fr-CH"/>
        </w:rPr>
        <w:instrText xml:space="preserve"> FORMTEXT </w:instrText>
      </w:r>
      <w:r>
        <w:fldChar w:fldCharType="separate"/>
      </w:r>
      <w:r>
        <w:rPr>
          <w:lang w:val="fr-CH"/>
        </w:rPr>
        <w:t>CCPITCSC</w:t>
      </w:r>
      <w:r>
        <w:fldChar w:fldCharType="end"/>
      </w:r>
      <w:bookmarkEnd w:id="4"/>
      <w:r>
        <w:rPr>
          <w:lang w:val="fr-CH"/>
        </w:rPr>
        <w:t xml:space="preserve"> </w:t>
      </w:r>
      <w:r>
        <w:fldChar w:fldCharType="begin">
          <w:ffData>
            <w:name w:val="NSTD_CODE_F"/>
            <w:enabled/>
            <w:calcOnExit w:val="0"/>
            <w:textInput>
              <w:default w:val="XXXX"/>
            </w:textInput>
          </w:ffData>
        </w:fldChar>
      </w:r>
      <w:bookmarkStart w:id="5" w:name="NSTD_CODE_F"/>
      <w:r>
        <w:rPr>
          <w:lang w:val="fr-CH"/>
        </w:rPr>
        <w:instrText xml:space="preserve"> FORMTEXT </w:instrText>
      </w:r>
      <w:r>
        <w:fldChar w:fldCharType="separate"/>
      </w:r>
      <w:r>
        <w:rPr>
          <w:lang w:val="fr-CH"/>
        </w:rPr>
        <w:t>XXXX</w:t>
      </w:r>
      <w:r>
        <w:fldChar w:fldCharType="end"/>
      </w:r>
      <w:bookmarkEnd w:id="5"/>
      <w:r>
        <w:rPr>
          <w:rFonts w:hAnsi="黑体"/>
          <w:lang w:val="fr-CH"/>
        </w:rPr>
        <w:t>—</w:t>
      </w:r>
      <w:r>
        <w:fldChar w:fldCharType="begin">
          <w:ffData>
            <w:name w:val="NSTD_CODE_B"/>
            <w:enabled/>
            <w:calcOnExit w:val="0"/>
            <w:textInput>
              <w:default w:val="XXXX"/>
            </w:textInput>
          </w:ffData>
        </w:fldChar>
      </w:r>
      <w:bookmarkStart w:id="6" w:name="NSTD_CODE_B"/>
      <w:r>
        <w:rPr>
          <w:lang w:val="fr-CH"/>
        </w:rPr>
        <w:instrText xml:space="preserve"> FORMTEXT </w:instrText>
      </w:r>
      <w:r>
        <w:fldChar w:fldCharType="separate"/>
      </w:r>
      <w:r>
        <w:rPr>
          <w:lang w:val="fr-CH"/>
        </w:rPr>
        <w:t>XXXX</w:t>
      </w:r>
      <w:r>
        <w:fldChar w:fldCharType="end"/>
      </w:r>
      <w:bookmarkEnd w:id="6"/>
    </w:p>
    <w:p w14:paraId="0C5356C7">
      <w:pPr>
        <w:pStyle w:val="200"/>
        <w:rPr>
          <w:rFonts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7434C557">
      <w:pPr>
        <w:spacing w:line="240" w:lineRule="auto"/>
        <w:rPr>
          <w:rFonts w:ascii="黑体" w:hAnsi="黑体" w:eastAsia="黑体"/>
          <w:kern w:val="0"/>
          <w:sz w:val="10"/>
          <w:szCs w:val="10"/>
        </w:rPr>
      </w:pPr>
      <w:r>
        <w:rPr>
          <w:rFonts w:ascii="黑体" w:hAnsi="黑体" w:eastAsia="黑体"/>
          <w:kern w:val="0"/>
          <w:sz w:val="10"/>
          <w:szCs w:val="10"/>
        </w:rPr>
        <w:drawing>
          <wp:anchor distT="0" distB="0" distL="114300" distR="114300" simplePos="0" relativeHeight="251661312" behindDoc="0" locked="0" layoutInCell="1" allowOverlap="1">
            <wp:simplePos x="0" y="0"/>
            <wp:positionH relativeFrom="column">
              <wp:posOffset>4103370</wp:posOffset>
            </wp:positionH>
            <wp:positionV relativeFrom="paragraph">
              <wp:posOffset>-1237615</wp:posOffset>
            </wp:positionV>
            <wp:extent cx="1722755" cy="1542415"/>
            <wp:effectExtent l="0" t="0" r="0" b="0"/>
            <wp:wrapNone/>
            <wp:docPr id="43567971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679719" name="图片 1"/>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22755" cy="1542415"/>
                    </a:xfrm>
                    <a:prstGeom prst="rect">
                      <a:avLst/>
                    </a:prstGeom>
                  </pic:spPr>
                </pic:pic>
              </a:graphicData>
            </a:graphic>
          </wp:anchor>
        </w:drawing>
      </w: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7838B86">
      <w:pPr>
        <w:pStyle w:val="57"/>
        <w:framePr w:w="9639" w:h="6976" w:hRule="exact" w:hSpace="0" w:vSpace="0" w:wrap="around" w:hAnchor="page" w:y="6408"/>
        <w:jc w:val="center"/>
        <w:rPr>
          <w:rFonts w:ascii="黑体" w:hAnsi="黑体" w:eastAsia="黑体"/>
          <w:b w:val="0"/>
          <w:bCs w:val="0"/>
          <w:w w:val="100"/>
        </w:rPr>
      </w:pPr>
    </w:p>
    <w:p w14:paraId="7C8C6353">
      <w:pPr>
        <w:pStyle w:val="201"/>
        <w:framePr w:h="6974" w:hRule="exact" w:wrap="around" w:x="1419" w:anchorLock="1"/>
      </w:pPr>
      <w:bookmarkStart w:id="8" w:name="OLE_LINK24"/>
      <w:bookmarkStart w:id="9" w:name="_Hlk180414462"/>
      <w:r>
        <w:rPr>
          <w:rFonts w:hint="eastAsia"/>
        </w:rPr>
        <w:fldChar w:fldCharType="begin">
          <w:ffData>
            <w:name w:val="CSTD_NAME"/>
            <w:enabled/>
            <w:calcOnExit w:val="0"/>
            <w:textInput>
              <w:default w:val="会展场馆等级划分与评定"/>
            </w:textInput>
          </w:ffData>
        </w:fldChar>
      </w:r>
      <w:bookmarkStart w:id="10" w:name="CSTD_NAME"/>
      <w:r>
        <w:rPr>
          <w:rFonts w:hint="eastAsia"/>
        </w:rPr>
        <w:instrText xml:space="preserve"> FORMTEXT </w:instrText>
      </w:r>
      <w:r>
        <w:rPr>
          <w:rFonts w:hint="eastAsia"/>
        </w:rPr>
        <w:fldChar w:fldCharType="separate"/>
      </w:r>
      <w:r>
        <w:rPr>
          <w:rFonts w:hint="eastAsia"/>
        </w:rPr>
        <w:t>会展场馆等级划分与评定</w:t>
      </w:r>
      <w:r>
        <w:rPr>
          <w:rFonts w:hint="eastAsia"/>
        </w:rPr>
        <w:fldChar w:fldCharType="end"/>
      </w:r>
      <w:bookmarkEnd w:id="8"/>
      <w:bookmarkEnd w:id="10"/>
    </w:p>
    <w:bookmarkEnd w:id="9"/>
    <w:p w14:paraId="30CB6A94">
      <w:pPr>
        <w:framePr w:w="9639" w:h="6974" w:hRule="exact" w:wrap="around" w:vAnchor="page" w:hAnchor="page" w:x="1419" w:y="6408" w:anchorLock="1"/>
        <w:ind w:left="-1418"/>
      </w:pPr>
      <w:r>
        <w:rPr>
          <w:rFonts w:hint="eastAsia"/>
        </w:rPr>
        <w:t xml:space="preserve"> w</w:t>
      </w:r>
    </w:p>
    <w:p w14:paraId="2DA7FC3A">
      <w:pPr>
        <w:framePr w:w="9639" w:h="6974" w:hRule="exact" w:wrap="around" w:vAnchor="page" w:hAnchor="page" w:x="1419" w:y="6408" w:anchorLock="1"/>
        <w:jc w:val="center"/>
        <w:rPr>
          <w:rFonts w:ascii="Times New Roman" w:hAnsi="Times New Roman" w:eastAsia="黑体"/>
          <w:color w:val="auto"/>
          <w:kern w:val="0"/>
          <w:sz w:val="28"/>
          <w:szCs w:val="28"/>
        </w:rPr>
      </w:pPr>
      <w:r>
        <w:rPr>
          <w:rFonts w:ascii="Times New Roman" w:hAnsi="Times New Roman" w:eastAsia="黑体"/>
          <w:color w:val="auto"/>
          <w:kern w:val="0"/>
          <w:sz w:val="28"/>
          <w:szCs w:val="28"/>
        </w:rPr>
        <w:t xml:space="preserve">Classification and </w:t>
      </w:r>
      <w:r>
        <w:rPr>
          <w:rFonts w:hint="eastAsia" w:ascii="Times New Roman" w:hAnsi="Times New Roman" w:eastAsia="黑体"/>
          <w:color w:val="auto"/>
          <w:kern w:val="0"/>
          <w:sz w:val="28"/>
          <w:szCs w:val="28"/>
        </w:rPr>
        <w:t>e</w:t>
      </w:r>
      <w:r>
        <w:rPr>
          <w:rFonts w:ascii="Times New Roman" w:hAnsi="Times New Roman" w:eastAsia="黑体"/>
          <w:color w:val="auto"/>
          <w:kern w:val="0"/>
          <w:sz w:val="28"/>
          <w:szCs w:val="28"/>
        </w:rPr>
        <w:t xml:space="preserve">valuation of </w:t>
      </w:r>
      <w:r>
        <w:rPr>
          <w:rFonts w:hint="eastAsia" w:ascii="Times New Roman" w:hAnsi="Times New Roman" w:eastAsia="黑体"/>
          <w:color w:val="auto"/>
          <w:kern w:val="0"/>
          <w:sz w:val="28"/>
          <w:szCs w:val="28"/>
        </w:rPr>
        <w:t>e</w:t>
      </w:r>
      <w:r>
        <w:rPr>
          <w:rFonts w:ascii="Times New Roman" w:hAnsi="Times New Roman" w:eastAsia="黑体"/>
          <w:color w:val="auto"/>
          <w:kern w:val="0"/>
          <w:sz w:val="28"/>
          <w:szCs w:val="28"/>
        </w:rPr>
        <w:t xml:space="preserve">xhibition and </w:t>
      </w:r>
      <w:r>
        <w:rPr>
          <w:rFonts w:hint="eastAsia" w:ascii="Times New Roman" w:hAnsi="Times New Roman" w:eastAsia="黑体"/>
          <w:color w:val="auto"/>
          <w:kern w:val="0"/>
          <w:sz w:val="28"/>
          <w:szCs w:val="28"/>
        </w:rPr>
        <w:t>c</w:t>
      </w:r>
      <w:r>
        <w:rPr>
          <w:rFonts w:ascii="Times New Roman" w:hAnsi="Times New Roman" w:eastAsia="黑体"/>
          <w:color w:val="auto"/>
          <w:kern w:val="0"/>
          <w:sz w:val="28"/>
          <w:szCs w:val="28"/>
        </w:rPr>
        <w:t xml:space="preserve">onvention </w:t>
      </w:r>
      <w:r>
        <w:rPr>
          <w:rFonts w:hint="eastAsia" w:ascii="Times New Roman" w:hAnsi="Times New Roman" w:eastAsia="黑体"/>
          <w:color w:val="auto"/>
          <w:kern w:val="0"/>
          <w:sz w:val="28"/>
          <w:szCs w:val="28"/>
        </w:rPr>
        <w:t>v</w:t>
      </w:r>
      <w:r>
        <w:rPr>
          <w:rFonts w:ascii="Times New Roman" w:hAnsi="Times New Roman" w:eastAsia="黑体"/>
          <w:color w:val="auto"/>
          <w:kern w:val="0"/>
          <w:sz w:val="28"/>
          <w:szCs w:val="28"/>
        </w:rPr>
        <w:t>enues</w:t>
      </w:r>
    </w:p>
    <w:p w14:paraId="06C47A53">
      <w:pPr>
        <w:pStyle w:val="129"/>
        <w:framePr w:w="9639" w:h="6974" w:hRule="exact" w:wrap="around" w:vAnchor="page" w:hAnchor="page" w:x="1419" w:y="6408" w:anchorLock="1"/>
        <w:textAlignment w:val="bottom"/>
        <w:rPr>
          <w:rFonts w:eastAsia="黑体"/>
          <w:color w:val="FF0000"/>
          <w:szCs w:val="28"/>
        </w:rPr>
      </w:pPr>
    </w:p>
    <w:p w14:paraId="3A956B5D">
      <w:pPr>
        <w:framePr w:w="9639" w:h="6974" w:hRule="exact" w:wrap="around" w:vAnchor="page" w:hAnchor="page" w:x="1419" w:y="6408" w:anchorLock="1"/>
        <w:spacing w:line="760" w:lineRule="exact"/>
        <w:ind w:left="-1418"/>
      </w:pPr>
    </w:p>
    <w:p w14:paraId="1144A4E2">
      <w:pPr>
        <w:pStyle w:val="129"/>
        <w:framePr w:w="9639" w:h="6974" w:hRule="exact" w:wrap="around" w:vAnchor="page" w:hAnchor="page" w:x="1419" w:y="6408" w:anchorLock="1"/>
        <w:textAlignment w:val="bottom"/>
        <w:rPr>
          <w:rFonts w:eastAsia="黑体"/>
          <w:szCs w:val="28"/>
        </w:rPr>
      </w:pPr>
    </w:p>
    <w:p w14:paraId="7ADA63F6">
      <w:pPr>
        <w:pStyle w:val="129"/>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default w:val="工作组讨论稿"/>
            </w:textInput>
          </w:ffData>
        </w:fldChar>
      </w:r>
      <w:bookmarkStart w:id="11" w:name="CMPLSH_DATE"/>
      <w:r>
        <w:rPr>
          <w:sz w:val="21"/>
          <w:szCs w:val="28"/>
        </w:rPr>
        <w:instrText xml:space="preserve"> FORMTEXT </w:instrText>
      </w:r>
      <w:r>
        <w:rPr>
          <w:sz w:val="21"/>
          <w:szCs w:val="28"/>
        </w:rPr>
        <w:fldChar w:fldCharType="separate"/>
      </w:r>
      <w:r>
        <w:rPr>
          <w:rFonts w:hint="eastAsia"/>
          <w:sz w:val="21"/>
          <w:szCs w:val="28"/>
          <w:lang w:val="en-US" w:eastAsia="zh-CN"/>
        </w:rPr>
        <w:t>征求意见</w:t>
      </w:r>
      <w:r>
        <w:rPr>
          <w:rFonts w:hint="eastAsia"/>
          <w:sz w:val="21"/>
          <w:szCs w:val="28"/>
        </w:rPr>
        <w:t>稿</w:t>
      </w:r>
      <w:r>
        <w:rPr>
          <w:sz w:val="21"/>
          <w:szCs w:val="28"/>
        </w:rPr>
        <w:fldChar w:fldCharType="end"/>
      </w:r>
      <w:bookmarkEnd w:id="11"/>
    </w:p>
    <w:p w14:paraId="71D04905">
      <w:pPr>
        <w:pStyle w:val="197"/>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发布</w:t>
      </w:r>
    </w:p>
    <w:p w14:paraId="5E8E3F8C">
      <w:pPr>
        <w:pStyle w:val="198"/>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实施</w:t>
      </w:r>
    </w:p>
    <w:p w14:paraId="1228CC15">
      <w:pPr>
        <w:pStyle w:val="155"/>
        <w:framePr w:h="584" w:hRule="exact" w:hSpace="181" w:vSpace="181" w:wrap="around" w:y="14800"/>
        <w:rPr>
          <w:rFonts w:hAnsi="黑体"/>
        </w:rPr>
      </w:pPr>
      <w:r>
        <w:rPr>
          <w:rFonts w:hint="eastAsia" w:hAnsi="黑体"/>
          <w:w w:val="100"/>
          <w:sz w:val="28"/>
        </w:rPr>
        <w:t>中国国际贸易促进委员会商业行业委员会</w:t>
      </w:r>
      <w:r>
        <w:rPr>
          <w:rFonts w:ascii="Times New Roman"/>
          <w:w w:val="100"/>
          <w:sz w:val="28"/>
        </w:rPr>
        <w:t>  </w:t>
      </w:r>
      <w:r>
        <w:rPr>
          <w:rStyle w:val="233"/>
          <w:rFonts w:hint="eastAsia" w:hAnsi="黑体"/>
          <w:position w:val="0"/>
        </w:rPr>
        <w:t>发</w:t>
      </w:r>
      <w:r>
        <w:rPr>
          <w:rStyle w:val="233"/>
          <w:rFonts w:hint="eastAsia" w:hAnsi="黑体"/>
          <w:spacing w:val="0"/>
          <w:position w:val="0"/>
        </w:rPr>
        <w:t>布</w:t>
      </w:r>
    </w:p>
    <w:p w14:paraId="4229FC86">
      <w:pPr>
        <w:rPr>
          <w:rFonts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pgBorders>
            <w:top w:val="none" w:sz="0" w:space="0"/>
            <w:left w:val="none" w:sz="0" w:space="0"/>
            <w:bottom w:val="none" w:sz="0" w:space="0"/>
            <w:right w:val="none" w:sz="0" w:space="0"/>
          </w:pgBorders>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0E1D0DFB">
      <w:pPr>
        <w:pStyle w:val="96"/>
        <w:spacing w:after="360"/>
      </w:pPr>
      <w:bookmarkStart w:id="18" w:name="BookMark1"/>
      <w:r>
        <w:rPr>
          <w:rFonts w:hint="eastAsia"/>
          <w:spacing w:val="320"/>
        </w:rPr>
        <w:t>目</w:t>
      </w:r>
      <w:r>
        <w:rPr>
          <w:rFonts w:hint="eastAsia"/>
        </w:rPr>
        <w:t>次</w:t>
      </w:r>
    </w:p>
    <w:p w14:paraId="3A6BD648">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TOC \o "1-1" \h \z \u </w:instrText>
      </w:r>
      <w:r>
        <w:fldChar w:fldCharType="separate"/>
      </w:r>
      <w:r>
        <w:fldChar w:fldCharType="begin"/>
      </w:r>
      <w:r>
        <w:instrText xml:space="preserve"> HYPERLINK \l "_Toc201843295" </w:instrText>
      </w:r>
      <w:r>
        <w:fldChar w:fldCharType="separate"/>
      </w:r>
      <w:r>
        <w:rPr>
          <w:rStyle w:val="38"/>
          <w:rFonts w:hint="eastAsia"/>
          <w:spacing w:val="320"/>
        </w:rPr>
        <w:t>前</w:t>
      </w:r>
      <w:r>
        <w:rPr>
          <w:rStyle w:val="38"/>
          <w:rFonts w:hint="eastAsia"/>
        </w:rPr>
        <w:t>言</w:t>
      </w:r>
      <w:r>
        <w:rPr>
          <w:rFonts w:hint="eastAsia"/>
        </w:rPr>
        <w:tab/>
      </w:r>
      <w:r>
        <w:rPr>
          <w:rFonts w:hint="eastAsia"/>
        </w:rPr>
        <w:fldChar w:fldCharType="begin"/>
      </w:r>
      <w:r>
        <w:rPr>
          <w:rFonts w:hint="eastAsia"/>
        </w:rPr>
        <w:instrText xml:space="preserve"> </w:instrText>
      </w:r>
      <w:r>
        <w:instrText xml:space="preserve">PAGEREF _Toc201843295 \h</w:instrText>
      </w:r>
      <w:r>
        <w:rPr>
          <w:rFonts w:hint="eastAsia"/>
        </w:rPr>
        <w:instrText xml:space="preserve"> </w:instrText>
      </w:r>
      <w:r>
        <w:rPr>
          <w:rFonts w:hint="eastAsia"/>
        </w:rPr>
        <w:fldChar w:fldCharType="separate"/>
      </w:r>
      <w:r>
        <w:t>II</w:t>
      </w:r>
      <w:r>
        <w:rPr>
          <w:rFonts w:hint="eastAsia"/>
        </w:rPr>
        <w:fldChar w:fldCharType="end"/>
      </w:r>
      <w:r>
        <w:rPr>
          <w:rFonts w:hint="eastAsia"/>
        </w:rPr>
        <w:fldChar w:fldCharType="end"/>
      </w:r>
    </w:p>
    <w:p w14:paraId="56084D8A">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"_Toc201843296" </w:instrText>
      </w:r>
      <w:r>
        <w:fldChar w:fldCharType="separate"/>
      </w:r>
      <w:r>
        <w:rPr>
          <w:rStyle w:val="38"/>
          <w:rFonts w:hint="eastAsia"/>
        </w:rPr>
        <w:t>1 范围</w:t>
      </w:r>
      <w:r>
        <w:rPr>
          <w:rFonts w:hint="eastAsia"/>
        </w:rPr>
        <w:tab/>
      </w:r>
      <w:r>
        <w:rPr>
          <w:rFonts w:hint="eastAsia"/>
        </w:rPr>
        <w:fldChar w:fldCharType="begin"/>
      </w:r>
      <w:r>
        <w:rPr>
          <w:rFonts w:hint="eastAsia"/>
        </w:rPr>
        <w:instrText xml:space="preserve"> </w:instrText>
      </w:r>
      <w:r>
        <w:instrText xml:space="preserve">PAGEREF _Toc201843296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17939415">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"_Toc201843297" </w:instrText>
      </w:r>
      <w:r>
        <w:fldChar w:fldCharType="separate"/>
      </w:r>
      <w:r>
        <w:rPr>
          <w:rStyle w:val="38"/>
          <w:rFonts w:hint="eastAsia"/>
        </w:rPr>
        <w:t>2 规范性引用文件</w:t>
      </w:r>
      <w:r>
        <w:rPr>
          <w:rFonts w:hint="eastAsia"/>
        </w:rPr>
        <w:tab/>
      </w:r>
      <w:r>
        <w:rPr>
          <w:rFonts w:hint="eastAsia"/>
        </w:rPr>
        <w:fldChar w:fldCharType="begin"/>
      </w:r>
      <w:r>
        <w:rPr>
          <w:rFonts w:hint="eastAsia"/>
        </w:rPr>
        <w:instrText xml:space="preserve"> </w:instrText>
      </w:r>
      <w:r>
        <w:instrText xml:space="preserve">PAGEREF _Toc201843297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13A4A127">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"_Toc201843298" </w:instrText>
      </w:r>
      <w:r>
        <w:fldChar w:fldCharType="separate"/>
      </w:r>
      <w:r>
        <w:rPr>
          <w:rStyle w:val="38"/>
          <w:rFonts w:hint="eastAsia"/>
        </w:rPr>
        <w:t>3 术语和定义</w:t>
      </w:r>
      <w:r>
        <w:rPr>
          <w:rFonts w:hint="eastAsia"/>
        </w:rPr>
        <w:tab/>
      </w:r>
      <w:r>
        <w:rPr>
          <w:rFonts w:hint="eastAsia"/>
        </w:rPr>
        <w:fldChar w:fldCharType="begin"/>
      </w:r>
      <w:r>
        <w:rPr>
          <w:rFonts w:hint="eastAsia"/>
        </w:rPr>
        <w:instrText xml:space="preserve"> </w:instrText>
      </w:r>
      <w:r>
        <w:instrText xml:space="preserve">PAGEREF _Toc201843298 \h</w:instrText>
      </w:r>
      <w:r>
        <w:rPr>
          <w:rFonts w:hint="eastAsia"/>
        </w:rPr>
        <w:instrText xml:space="preserve"> </w:instrText>
      </w:r>
      <w:r>
        <w:rPr>
          <w:rFonts w:hint="eastAsia"/>
        </w:rPr>
        <w:fldChar w:fldCharType="separate"/>
      </w:r>
      <w:r>
        <w:t>1</w:t>
      </w:r>
      <w:r>
        <w:rPr>
          <w:rFonts w:hint="eastAsia"/>
        </w:rPr>
        <w:fldChar w:fldCharType="end"/>
      </w:r>
      <w:r>
        <w:rPr>
          <w:rFonts w:hint="eastAsia"/>
        </w:rPr>
        <w:fldChar w:fldCharType="end"/>
      </w:r>
    </w:p>
    <w:p w14:paraId="2DC71F80">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"_Toc201843299" </w:instrText>
      </w:r>
      <w:r>
        <w:fldChar w:fldCharType="separate"/>
      </w:r>
      <w:r>
        <w:rPr>
          <w:rStyle w:val="38"/>
          <w:rFonts w:hint="eastAsia"/>
        </w:rPr>
        <w:t>4 会展场馆等级的划分和评定方式</w:t>
      </w:r>
      <w:r>
        <w:rPr>
          <w:rFonts w:hint="eastAsia"/>
        </w:rPr>
        <w:tab/>
      </w:r>
      <w:r>
        <w:rPr>
          <w:rFonts w:hint="eastAsia"/>
        </w:rPr>
        <w:fldChar w:fldCharType="begin"/>
      </w:r>
      <w:r>
        <w:rPr>
          <w:rFonts w:hint="eastAsia"/>
        </w:rPr>
        <w:instrText xml:space="preserve"> </w:instrText>
      </w:r>
      <w:r>
        <w:instrText xml:space="preserve">PAGEREF _Toc201843299 \h</w:instrText>
      </w:r>
      <w:r>
        <w:rPr>
          <w:rFonts w:hint="eastAsia"/>
        </w:rPr>
        <w:instrText xml:space="preserve"> </w:instrText>
      </w:r>
      <w:r>
        <w:rPr>
          <w:rFonts w:hint="eastAsia"/>
        </w:rPr>
        <w:fldChar w:fldCharType="separate"/>
      </w:r>
      <w:r>
        <w:t>2</w:t>
      </w:r>
      <w:r>
        <w:rPr>
          <w:rFonts w:hint="eastAsia"/>
        </w:rPr>
        <w:fldChar w:fldCharType="end"/>
      </w:r>
      <w:r>
        <w:rPr>
          <w:rFonts w:hint="eastAsia"/>
        </w:rPr>
        <w:fldChar w:fldCharType="end"/>
      </w:r>
    </w:p>
    <w:p w14:paraId="467B5014">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"_Toc201843300" </w:instrText>
      </w:r>
      <w:r>
        <w:fldChar w:fldCharType="separate"/>
      </w:r>
      <w:r>
        <w:rPr>
          <w:rStyle w:val="38"/>
          <w:rFonts w:hint="eastAsia"/>
        </w:rPr>
        <w:t xml:space="preserve">5 </w:t>
      </w:r>
      <w:r>
        <w:rPr>
          <w:rStyle w:val="38"/>
          <w:rFonts w:hint="eastAsia"/>
          <w:lang w:eastAsia="zh-CN"/>
        </w:rPr>
        <w:t>评定机构</w:t>
      </w:r>
      <w:r>
        <w:rPr>
          <w:rFonts w:hint="eastAsia"/>
        </w:rPr>
        <w:tab/>
      </w:r>
      <w:r>
        <w:rPr>
          <w:rFonts w:hint="eastAsia"/>
        </w:rPr>
        <w:fldChar w:fldCharType="begin"/>
      </w:r>
      <w:r>
        <w:rPr>
          <w:rFonts w:hint="eastAsia"/>
        </w:rPr>
        <w:instrText xml:space="preserve"> </w:instrText>
      </w:r>
      <w:r>
        <w:instrText xml:space="preserve">PAGEREF _Toc201843300 \h</w:instrText>
      </w:r>
      <w:r>
        <w:rPr>
          <w:rFonts w:hint="eastAsia"/>
        </w:rPr>
        <w:instrText xml:space="preserve"> </w:instrText>
      </w:r>
      <w:r>
        <w:rPr>
          <w:rFonts w:hint="eastAsia"/>
        </w:rPr>
        <w:fldChar w:fldCharType="separate"/>
      </w:r>
      <w:r>
        <w:t>4</w:t>
      </w:r>
      <w:r>
        <w:rPr>
          <w:rFonts w:hint="eastAsia"/>
        </w:rPr>
        <w:fldChar w:fldCharType="end"/>
      </w:r>
      <w:r>
        <w:rPr>
          <w:rFonts w:hint="eastAsia"/>
        </w:rPr>
        <w:fldChar w:fldCharType="end"/>
      </w:r>
    </w:p>
    <w:p w14:paraId="03BBDCAC">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"_Toc201843302" </w:instrText>
      </w:r>
      <w:r>
        <w:fldChar w:fldCharType="separate"/>
      </w:r>
      <w:r>
        <w:rPr>
          <w:rStyle w:val="38"/>
          <w:rFonts w:hint="eastAsia"/>
        </w:rPr>
        <w:t>附录A （规范性） 会展场馆等级划分与评定评分表</w:t>
      </w:r>
      <w:r>
        <w:rPr>
          <w:rFonts w:hint="eastAsia"/>
        </w:rPr>
        <w:tab/>
      </w:r>
      <w:r>
        <w:rPr>
          <w:rFonts w:hint="eastAsia"/>
        </w:rPr>
        <w:fldChar w:fldCharType="begin"/>
      </w:r>
      <w:r>
        <w:rPr>
          <w:rFonts w:hint="eastAsia"/>
        </w:rPr>
        <w:instrText xml:space="preserve"> </w:instrText>
      </w:r>
      <w:r>
        <w:instrText xml:space="preserve">PAGEREF _Toc201843302 \h</w:instrText>
      </w:r>
      <w:r>
        <w:rPr>
          <w:rFonts w:hint="eastAsia"/>
        </w:rPr>
        <w:instrText xml:space="preserve"> </w:instrText>
      </w:r>
      <w:r>
        <w:rPr>
          <w:rFonts w:hint="eastAsia"/>
        </w:rPr>
        <w:fldChar w:fldCharType="separate"/>
      </w:r>
      <w:r>
        <w:t>5</w:t>
      </w:r>
      <w:r>
        <w:rPr>
          <w:rFonts w:hint="eastAsia"/>
        </w:rPr>
        <w:fldChar w:fldCharType="end"/>
      </w:r>
      <w:r>
        <w:rPr>
          <w:rFonts w:hint="eastAsia"/>
        </w:rPr>
        <w:fldChar w:fldCharType="end"/>
      </w:r>
    </w:p>
    <w:p w14:paraId="590D57F3">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"_Toc201843303" </w:instrText>
      </w:r>
      <w:r>
        <w:fldChar w:fldCharType="separate"/>
      </w:r>
      <w:r>
        <w:rPr>
          <w:rStyle w:val="38"/>
          <w:rFonts w:hint="eastAsia"/>
        </w:rPr>
        <w:t>附录B （规范性） 会展场馆等级评定申请表</w:t>
      </w:r>
      <w:r>
        <w:rPr>
          <w:rFonts w:hint="eastAsia"/>
        </w:rPr>
        <w:tab/>
      </w:r>
      <w:r>
        <w:rPr>
          <w:rFonts w:hint="eastAsia"/>
        </w:rPr>
        <w:fldChar w:fldCharType="begin"/>
      </w:r>
      <w:r>
        <w:rPr>
          <w:rFonts w:hint="eastAsia"/>
        </w:rPr>
        <w:instrText xml:space="preserve"> </w:instrText>
      </w:r>
      <w:r>
        <w:instrText xml:space="preserve">PAGEREF _Toc201843303 \h</w:instrText>
      </w:r>
      <w:r>
        <w:rPr>
          <w:rFonts w:hint="eastAsia"/>
        </w:rPr>
        <w:instrText xml:space="preserve"> </w:instrText>
      </w:r>
      <w:r>
        <w:rPr>
          <w:rFonts w:hint="eastAsia"/>
        </w:rPr>
        <w:fldChar w:fldCharType="separate"/>
      </w:r>
      <w:r>
        <w:t>9</w:t>
      </w:r>
      <w:r>
        <w:rPr>
          <w:rFonts w:hint="eastAsia"/>
        </w:rPr>
        <w:fldChar w:fldCharType="end"/>
      </w:r>
      <w:r>
        <w:rPr>
          <w:rFonts w:hint="eastAsia"/>
        </w:rPr>
        <w:fldChar w:fldCharType="end"/>
      </w:r>
    </w:p>
    <w:p w14:paraId="6FF3D838">
      <w:pPr>
        <w:pStyle w:val="23"/>
        <w:tabs>
          <w:tab w:val="right" w:leader="dot" w:pos="9344"/>
        </w:tabs>
        <w:rPr>
          <w:rFonts w:asciiTheme="minorHAnsi" w:hAnsiTheme="minorHAnsi" w:eastAsiaTheme="minorEastAsia" w:cstheme="minorBidi"/>
          <w:sz w:val="22"/>
          <w:szCs w:val="24"/>
          <w14:ligatures w14:val="standardContextual"/>
        </w:rPr>
      </w:pPr>
      <w:r>
        <w:fldChar w:fldCharType="begin"/>
      </w:r>
      <w:r>
        <w:instrText xml:space="preserve"> HYPERLINK \l "_Toc201843304" </w:instrText>
      </w:r>
      <w:r>
        <w:fldChar w:fldCharType="separate"/>
      </w:r>
      <w:r>
        <w:rPr>
          <w:rStyle w:val="38"/>
          <w:rFonts w:hint="eastAsia"/>
        </w:rPr>
        <w:t>附录C （规范性） 等级评定流程图</w:t>
      </w:r>
      <w:r>
        <w:rPr>
          <w:rFonts w:hint="eastAsia"/>
        </w:rPr>
        <w:tab/>
      </w:r>
      <w:r>
        <w:rPr>
          <w:rFonts w:hint="eastAsia"/>
        </w:rPr>
        <w:fldChar w:fldCharType="begin"/>
      </w:r>
      <w:r>
        <w:rPr>
          <w:rFonts w:hint="eastAsia"/>
        </w:rPr>
        <w:instrText xml:space="preserve"> </w:instrText>
      </w:r>
      <w:r>
        <w:instrText xml:space="preserve">PAGEREF _Toc201843304 \h</w:instrText>
      </w:r>
      <w:r>
        <w:rPr>
          <w:rFonts w:hint="eastAsia"/>
        </w:rPr>
        <w:instrText xml:space="preserve"> </w:instrText>
      </w:r>
      <w:r>
        <w:rPr>
          <w:rFonts w:hint="eastAsia"/>
        </w:rPr>
        <w:fldChar w:fldCharType="separate"/>
      </w:r>
      <w:r>
        <w:t>10</w:t>
      </w:r>
      <w:r>
        <w:rPr>
          <w:rFonts w:hint="eastAsia"/>
        </w:rPr>
        <w:fldChar w:fldCharType="end"/>
      </w:r>
      <w:r>
        <w:rPr>
          <w:rFonts w:hint="eastAsia"/>
        </w:rPr>
        <w:fldChar w:fldCharType="end"/>
      </w:r>
    </w:p>
    <w:p w14:paraId="6E2B5BED">
      <w:pPr>
        <w:pStyle w:val="96"/>
        <w:spacing w:after="360"/>
        <w:sectPr>
          <w:headerReference r:id="rId9" w:type="default"/>
          <w:footerReference r:id="rId11" w:type="default"/>
          <w:headerReference r:id="rId10" w:type="even"/>
          <w:pgSz w:w="11906" w:h="16838"/>
          <w:pgMar w:top="1928" w:right="1134" w:bottom="1134" w:left="1134" w:header="1418" w:footer="1134" w:gutter="284"/>
          <w:pgBorders>
            <w:top w:val="none" w:sz="0" w:space="0"/>
            <w:left w:val="none" w:sz="0" w:space="0"/>
            <w:bottom w:val="none" w:sz="0" w:space="0"/>
            <w:right w:val="none" w:sz="0" w:space="0"/>
          </w:pgBorders>
          <w:pgNumType w:fmt="upperRoman" w:start="1"/>
          <w:cols w:space="425" w:num="1"/>
          <w:formProt w:val="0"/>
          <w:docGrid w:linePitch="312" w:charSpace="0"/>
        </w:sectPr>
      </w:pPr>
      <w:r>
        <w:rPr>
          <w:rFonts w:ascii="宋体" w:eastAsia="宋体"/>
          <w:sz w:val="21"/>
        </w:rPr>
        <w:fldChar w:fldCharType="end"/>
      </w:r>
    </w:p>
    <w:bookmarkEnd w:id="18"/>
    <w:p w14:paraId="12E59ABF">
      <w:pPr>
        <w:pStyle w:val="94"/>
        <w:spacing w:before="900" w:after="360"/>
      </w:pPr>
      <w:bookmarkStart w:id="19" w:name="_Toc201843295"/>
      <w:bookmarkStart w:id="20" w:name="BookMark2"/>
      <w:r>
        <w:rPr>
          <w:rFonts w:hint="eastAsia"/>
          <w:spacing w:val="320"/>
        </w:rPr>
        <w:t>前</w:t>
      </w:r>
      <w:r>
        <w:rPr>
          <w:rFonts w:hint="eastAsia"/>
        </w:rPr>
        <w:t>言</w:t>
      </w:r>
      <w:bookmarkEnd w:id="19"/>
    </w:p>
    <w:p w14:paraId="7DA914D9">
      <w:pPr>
        <w:pStyle w:val="4"/>
        <w:ind w:firstLine="420"/>
      </w:pPr>
      <w:r>
        <w:rPr>
          <w:rFonts w:hint="eastAsia"/>
        </w:rPr>
        <w:t>本文件按照GB/T 1.1—2020《标准化工作导则  第1部分：标准化文件的结构和起草规则》的规定起草。</w:t>
      </w:r>
    </w:p>
    <w:p w14:paraId="4B2D86A9">
      <w:pPr>
        <w:pStyle w:val="4"/>
        <w:ind w:firstLine="420"/>
      </w:pPr>
      <w:r>
        <w:rPr>
          <w:rFonts w:hint="eastAsia"/>
        </w:rPr>
        <w:t>请注意本文件的某些内容可能涉及专利。本文件的发布机构不承担识别专利的责任。</w:t>
      </w:r>
    </w:p>
    <w:p w14:paraId="264F8272">
      <w:pPr>
        <w:pStyle w:val="4"/>
        <w:ind w:firstLine="420"/>
      </w:pPr>
      <w:r>
        <w:rPr>
          <w:rFonts w:hint="eastAsia"/>
        </w:rPr>
        <w:t>本文件由中国国际贸易促进委员会商业行业委员会提出并归口。</w:t>
      </w:r>
    </w:p>
    <w:p w14:paraId="654EEE31">
      <w:pPr>
        <w:pStyle w:val="4"/>
        <w:ind w:firstLine="420"/>
      </w:pPr>
      <w:r>
        <w:rPr>
          <w:rFonts w:hint="eastAsia"/>
        </w:rPr>
        <w:t>本文件起草单位：。</w:t>
      </w:r>
    </w:p>
    <w:p w14:paraId="0BD26616">
      <w:pPr>
        <w:pStyle w:val="4"/>
        <w:ind w:firstLine="420"/>
      </w:pPr>
      <w:r>
        <w:rPr>
          <w:rFonts w:hint="eastAsia"/>
        </w:rPr>
        <w:t>本文件主要起草人：。</w:t>
      </w:r>
    </w:p>
    <w:p w14:paraId="6EBE2826">
      <w:pPr>
        <w:pStyle w:val="4"/>
        <w:ind w:firstLine="420"/>
      </w:pPr>
    </w:p>
    <w:p w14:paraId="11BB185F">
      <w:pPr>
        <w:pStyle w:val="4"/>
        <w:ind w:firstLine="420"/>
        <w:sectPr>
          <w:pgSz w:w="11906" w:h="16838"/>
          <w:pgMar w:top="1928" w:right="1134" w:bottom="1134" w:left="1134" w:header="1418" w:footer="1134" w:gutter="284"/>
          <w:pgBorders>
            <w:top w:val="none" w:sz="0" w:space="0"/>
            <w:left w:val="none" w:sz="0" w:space="0"/>
            <w:bottom w:val="none" w:sz="0" w:space="0"/>
            <w:right w:val="none" w:sz="0" w:space="0"/>
          </w:pgBorders>
          <w:pgNumType w:fmt="upperRoman"/>
          <w:cols w:space="425" w:num="1"/>
          <w:formProt w:val="0"/>
          <w:docGrid w:linePitch="312" w:charSpace="0"/>
        </w:sectPr>
      </w:pPr>
    </w:p>
    <w:bookmarkEnd w:id="20"/>
    <w:p w14:paraId="5FC971AD">
      <w:pPr>
        <w:spacing w:line="20" w:lineRule="exact"/>
        <w:jc w:val="center"/>
        <w:rPr>
          <w:rFonts w:ascii="黑体" w:hAnsi="黑体" w:eastAsia="黑体"/>
          <w:sz w:val="32"/>
          <w:szCs w:val="32"/>
        </w:rPr>
      </w:pPr>
      <w:bookmarkStart w:id="21" w:name="BookMark4"/>
    </w:p>
    <w:p w14:paraId="4E1AE140">
      <w:pPr>
        <w:spacing w:line="20" w:lineRule="exact"/>
        <w:jc w:val="center"/>
        <w:rPr>
          <w:rFonts w:ascii="黑体" w:hAnsi="黑体" w:eastAsia="黑体"/>
          <w:sz w:val="32"/>
          <w:szCs w:val="32"/>
        </w:rPr>
      </w:pPr>
    </w:p>
    <w:sdt>
      <w:sdtPr>
        <w:tag w:val="NEW_STAND_NAME"/>
        <w:id w:val="595910757"/>
        <w:lock w:val="sdtLocked"/>
        <w:placeholder>
          <w:docPart w:val="B0BCEB1845254CD09FEE4E8C34EC6DF8"/>
        </w:placeholder>
      </w:sdtPr>
      <w:sdtContent>
        <w:p w14:paraId="78402133">
          <w:pPr>
            <w:pStyle w:val="181"/>
          </w:pPr>
          <w:bookmarkStart w:id="22" w:name="NEW_STAND_NAME"/>
          <w:r>
            <w:rPr>
              <w:rFonts w:hint="eastAsia"/>
            </w:rPr>
            <w:t>会展场馆等级划分与评定</w:t>
          </w:r>
        </w:p>
      </w:sdtContent>
    </w:sdt>
    <w:bookmarkEnd w:id="22"/>
    <w:p w14:paraId="4F469045">
      <w:pPr>
        <w:pStyle w:val="2"/>
      </w:pPr>
      <w:bookmarkStart w:id="23" w:name="_Toc97192964"/>
      <w:bookmarkStart w:id="24" w:name="_Toc26648465"/>
      <w:bookmarkStart w:id="25" w:name="_Toc26986771"/>
      <w:bookmarkStart w:id="26" w:name="_Toc201843296"/>
      <w:bookmarkStart w:id="27" w:name="_Toc26718930"/>
      <w:bookmarkStart w:id="28" w:name="_Toc24884218"/>
      <w:bookmarkStart w:id="29" w:name="_Toc17233325"/>
      <w:bookmarkStart w:id="30" w:name="_Toc26986530"/>
      <w:bookmarkStart w:id="31" w:name="_Toc24884211"/>
      <w:bookmarkStart w:id="32" w:name="_Toc17233333"/>
      <w:r>
        <w:rPr>
          <w:rFonts w:hint="eastAsia"/>
        </w:rPr>
        <w:t>范围</w:t>
      </w:r>
      <w:bookmarkEnd w:id="23"/>
      <w:bookmarkEnd w:id="24"/>
      <w:bookmarkEnd w:id="25"/>
      <w:bookmarkEnd w:id="26"/>
      <w:bookmarkEnd w:id="27"/>
      <w:bookmarkEnd w:id="28"/>
      <w:bookmarkEnd w:id="29"/>
      <w:bookmarkEnd w:id="30"/>
      <w:bookmarkEnd w:id="31"/>
      <w:bookmarkEnd w:id="32"/>
    </w:p>
    <w:p w14:paraId="257E2F91">
      <w:pPr>
        <w:pStyle w:val="4"/>
        <w:ind w:firstLine="420"/>
      </w:pPr>
      <w:bookmarkStart w:id="33" w:name="OLE_LINK1"/>
      <w:bookmarkStart w:id="34" w:name="_Toc17233334"/>
      <w:bookmarkStart w:id="35" w:name="_Toc17233326"/>
      <w:bookmarkStart w:id="36" w:name="_Toc26648466"/>
      <w:bookmarkStart w:id="37" w:name="_Toc24884212"/>
      <w:bookmarkStart w:id="38" w:name="_Toc24884219"/>
      <w:r>
        <w:t>本文件规定了会展场馆等级划分的基本条件、指标体系、评定方法，以及结果发布与复评要求。</w:t>
      </w:r>
    </w:p>
    <w:p w14:paraId="1BB3EFDA">
      <w:pPr>
        <w:pStyle w:val="4"/>
        <w:ind w:firstLine="420"/>
      </w:pPr>
      <w:r>
        <w:rPr>
          <w:rFonts w:hint="eastAsia"/>
        </w:rPr>
        <w:t>本文件适用于境内新建、改扩建及已投入运营的展览</w:t>
      </w:r>
      <w:r>
        <w:rPr>
          <w:rFonts w:hint="eastAsia"/>
          <w:lang w:val="en-US" w:eastAsia="zh-CN"/>
        </w:rPr>
        <w:t>中心</w:t>
      </w:r>
      <w:r>
        <w:rPr>
          <w:rFonts w:hint="eastAsia"/>
        </w:rPr>
        <w:t>、会议</w:t>
      </w:r>
      <w:r>
        <w:rPr>
          <w:rFonts w:hint="eastAsia"/>
          <w:lang w:val="en-US" w:eastAsia="zh-CN"/>
        </w:rPr>
        <w:t>中心</w:t>
      </w:r>
      <w:r>
        <w:rPr>
          <w:rFonts w:hint="eastAsia"/>
        </w:rPr>
        <w:t>和综合型会展场馆的等级划分与评定。</w:t>
      </w:r>
      <w:r>
        <w:t>对于暂时性或</w:t>
      </w:r>
      <w:r>
        <w:rPr>
          <w:rFonts w:hint="eastAsia"/>
        </w:rPr>
        <w:t>移动式会展设施</w:t>
      </w:r>
      <w:r>
        <w:t>，可参照本文件执行，但不纳入正式等级评定范围。原则上，同一会展场馆内划分的不同功能区不作单独等级评定。</w:t>
      </w:r>
    </w:p>
    <w:bookmarkEnd w:id="33"/>
    <w:p w14:paraId="2D24F6EB">
      <w:pPr>
        <w:pStyle w:val="2"/>
      </w:pPr>
      <w:bookmarkStart w:id="39" w:name="_Toc201843297"/>
      <w:bookmarkStart w:id="40" w:name="_Toc97192965"/>
      <w:bookmarkStart w:id="41" w:name="_Toc26986531"/>
      <w:bookmarkStart w:id="42" w:name="_Toc26718931"/>
      <w:bookmarkStart w:id="43" w:name="_Toc26986772"/>
      <w:r>
        <w:rPr>
          <w:rFonts w:hint="eastAsia"/>
        </w:rPr>
        <w:t>规范性引用文件</w:t>
      </w:r>
      <w:bookmarkEnd w:id="34"/>
      <w:bookmarkEnd w:id="35"/>
      <w:bookmarkEnd w:id="36"/>
      <w:bookmarkEnd w:id="37"/>
      <w:bookmarkEnd w:id="38"/>
      <w:bookmarkEnd w:id="39"/>
      <w:bookmarkEnd w:id="40"/>
      <w:bookmarkEnd w:id="41"/>
      <w:bookmarkEnd w:id="42"/>
      <w:bookmarkEnd w:id="43"/>
    </w:p>
    <w:sdt>
      <w:sdtPr>
        <w:rPr>
          <w:rFonts w:hint="eastAsia"/>
        </w:rPr>
        <w:id w:val="715848253"/>
        <w:placeholder>
          <w:docPart w:val="F7151BE4E4F44FF4A325BF7CD0C9C9DD"/>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7E2150C9">
          <w:pPr>
            <w:pStyle w:val="4"/>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42A5324D">
      <w:pPr>
        <w:widowControl/>
        <w:adjustRightInd/>
        <w:spacing w:line="240" w:lineRule="auto"/>
        <w:ind w:firstLine="420" w:firstLineChars="200"/>
        <w:jc w:val="left"/>
        <w:rPr>
          <w:rFonts w:ascii="宋体" w:hAnsi="宋体" w:cs="宋体"/>
          <w:kern w:val="0"/>
        </w:rPr>
      </w:pPr>
      <w:bookmarkStart w:id="44" w:name="_Toc97192966"/>
      <w:r>
        <w:rPr>
          <w:rFonts w:ascii="宋体" w:hAnsi="宋体" w:cs="宋体"/>
          <w:kern w:val="0"/>
        </w:rPr>
        <w:t xml:space="preserve">GB/T 41129-2021 绿色展台评价指南 </w:t>
      </w:r>
    </w:p>
    <w:p w14:paraId="21A26A84">
      <w:pPr>
        <w:widowControl/>
        <w:adjustRightInd/>
        <w:spacing w:line="240" w:lineRule="auto"/>
        <w:ind w:firstLine="420" w:firstLineChars="200"/>
        <w:jc w:val="left"/>
        <w:rPr>
          <w:rFonts w:ascii="宋体" w:hAnsi="宋体" w:cs="宋体"/>
          <w:kern w:val="0"/>
        </w:rPr>
      </w:pPr>
      <w:r>
        <w:rPr>
          <w:rFonts w:ascii="宋体" w:hAnsi="宋体" w:cs="宋体"/>
          <w:kern w:val="0"/>
        </w:rPr>
        <w:t xml:space="preserve">GB 50189-2015 公共建筑节能设计标准 </w:t>
      </w:r>
    </w:p>
    <w:p w14:paraId="6EDD0F7C">
      <w:pPr>
        <w:widowControl/>
        <w:adjustRightInd/>
        <w:spacing w:line="240" w:lineRule="auto"/>
        <w:ind w:firstLine="420" w:firstLineChars="200"/>
        <w:jc w:val="left"/>
        <w:rPr>
          <w:rFonts w:ascii="宋体" w:hAnsi="宋体" w:cs="宋体"/>
          <w:color w:val="000000" w:themeColor="text1"/>
          <w:kern w:val="0"/>
          <w14:textFill>
            <w14:solidFill>
              <w14:schemeClr w14:val="tx1"/>
            </w14:solidFill>
          </w14:textFill>
        </w:rPr>
      </w:pPr>
      <w:r>
        <w:rPr>
          <w:rFonts w:ascii="宋体" w:hAnsi="宋体" w:cs="宋体"/>
          <w:color w:val="000000" w:themeColor="text1"/>
          <w:kern w:val="0"/>
          <w14:textFill>
            <w14:solidFill>
              <w14:schemeClr w14:val="tx1"/>
            </w14:solidFill>
          </w14:textFill>
        </w:rPr>
        <w:t xml:space="preserve">GB 50314-2015 智能建筑设计标准 </w:t>
      </w:r>
    </w:p>
    <w:p w14:paraId="31A7F777">
      <w:pPr>
        <w:widowControl/>
        <w:adjustRightInd/>
        <w:spacing w:line="240" w:lineRule="auto"/>
        <w:ind w:firstLine="420" w:firstLineChars="200"/>
        <w:jc w:val="left"/>
        <w:rPr>
          <w:rFonts w:ascii="宋体" w:hAnsi="宋体" w:cs="宋体"/>
          <w:color w:val="000000" w:themeColor="text1"/>
          <w:kern w:val="0"/>
          <w14:textFill>
            <w14:solidFill>
              <w14:schemeClr w14:val="tx1"/>
            </w14:solidFill>
          </w14:textFill>
        </w:rPr>
      </w:pPr>
      <w:r>
        <w:rPr>
          <w:rFonts w:ascii="宋体" w:hAnsi="宋体" w:cs="宋体"/>
          <w:color w:val="000000" w:themeColor="text1"/>
          <w:kern w:val="0"/>
          <w14:textFill>
            <w14:solidFill>
              <w14:schemeClr w14:val="tx1"/>
            </w14:solidFill>
          </w14:textFill>
        </w:rPr>
        <w:t xml:space="preserve">GB/T 50378-2019 绿色建筑评价标准 </w:t>
      </w:r>
    </w:p>
    <w:p w14:paraId="30CDCCAA">
      <w:pPr>
        <w:pStyle w:val="2"/>
      </w:pPr>
      <w:bookmarkStart w:id="45" w:name="_Toc201843298"/>
      <w:r>
        <w:rPr>
          <w:rFonts w:hint="eastAsia"/>
        </w:rPr>
        <w:t>术语和定义</w:t>
      </w:r>
      <w:bookmarkEnd w:id="44"/>
      <w:bookmarkEnd w:id="45"/>
    </w:p>
    <w:sdt>
      <w:sdtPr>
        <w:rPr>
          <w:rFonts w:hint="eastAsia"/>
        </w:rPr>
        <w:id w:val="-1909835108"/>
        <w:placeholder>
          <w:docPart w:val="1BBB23461C044762B155F45E775876B0"/>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578A4EC6">
          <w:pPr>
            <w:pStyle w:val="4"/>
            <w:spacing w:before="240" w:beforeLines="100" w:after="240" w:afterLines="100"/>
            <w:ind w:firstLine="420"/>
          </w:pPr>
          <w:bookmarkStart w:id="46" w:name="_Toc26986532"/>
          <w:bookmarkEnd w:id="46"/>
          <w:r>
            <w:rPr>
              <w:rFonts w:hint="eastAsia"/>
            </w:rPr>
            <w:t>下列术语和定义适用于本文件。</w:t>
          </w:r>
        </w:p>
      </w:sdtContent>
    </w:sdt>
    <w:p w14:paraId="1467C573">
      <w:pPr>
        <w:pStyle w:val="227"/>
        <w:spacing w:before="120" w:beforeLines="50" w:after="120" w:afterLines="50"/>
        <w:ind w:left="420" w:hanging="420" w:hangingChars="200"/>
        <w:rPr>
          <w:rFonts w:ascii="黑体" w:hAnsi="黑体" w:eastAsia="黑体"/>
        </w:rPr>
      </w:pPr>
      <w:bookmarkStart w:id="47" w:name="OLE_LINK13"/>
      <w:bookmarkStart w:id="48" w:name="_Toc17496"/>
      <w:bookmarkStart w:id="49" w:name="_Toc178181332"/>
    </w:p>
    <w:p w14:paraId="12ED6401">
      <w:pPr>
        <w:pStyle w:val="227"/>
        <w:numPr>
          <w:ilvl w:val="0"/>
          <w:numId w:val="0"/>
        </w:numPr>
        <w:spacing w:before="120" w:beforeLines="50" w:after="120" w:afterLines="50"/>
        <w:ind w:firstLine="420"/>
        <w:rPr>
          <w:rFonts w:ascii="黑体" w:hAnsi="黑体" w:eastAsia="黑体"/>
        </w:rPr>
      </w:pPr>
      <w:r>
        <w:rPr>
          <w:rFonts w:hint="eastAsia" w:ascii="黑体" w:hAnsi="黑体" w:eastAsia="黑体"/>
        </w:rPr>
        <w:t>会展</w:t>
      </w:r>
      <w:bookmarkEnd w:id="47"/>
      <w:r>
        <w:rPr>
          <w:rFonts w:ascii="黑体" w:hAnsi="黑体" w:eastAsia="黑体"/>
        </w:rPr>
        <w:t xml:space="preserve"> </w:t>
      </w:r>
      <w:bookmarkEnd w:id="48"/>
      <w:bookmarkEnd w:id="49"/>
      <w:r>
        <w:rPr>
          <w:rFonts w:ascii="黑体" w:hAnsi="黑体" w:eastAsia="黑体"/>
        </w:rPr>
        <w:t>exhibition and convention</w:t>
      </w:r>
    </w:p>
    <w:p w14:paraId="382225AC">
      <w:pPr>
        <w:pStyle w:val="4"/>
        <w:ind w:firstLine="420"/>
      </w:pPr>
      <w:r>
        <w:rPr>
          <w:rFonts w:hint="eastAsia"/>
        </w:rPr>
        <w:t>以满足商务、文化、科技、社交等需求为目的，由主办方组织的展览、会议及其配套活动的总称。</w:t>
      </w:r>
    </w:p>
    <w:p w14:paraId="77179A4D">
      <w:pPr>
        <w:pStyle w:val="227"/>
        <w:spacing w:before="120" w:beforeLines="50" w:after="120" w:afterLines="50"/>
        <w:ind w:left="420" w:hanging="420" w:hangingChars="200"/>
        <w:rPr>
          <w:rFonts w:ascii="黑体" w:hAnsi="黑体" w:eastAsia="黑体"/>
        </w:rPr>
      </w:pPr>
      <w:bookmarkStart w:id="50" w:name="_Toc28482"/>
      <w:bookmarkStart w:id="51" w:name="_Toc178181334"/>
    </w:p>
    <w:p w14:paraId="110C10E1">
      <w:pPr>
        <w:pStyle w:val="227"/>
        <w:numPr>
          <w:ilvl w:val="0"/>
          <w:numId w:val="0"/>
        </w:numPr>
        <w:spacing w:before="120" w:beforeLines="50" w:after="120" w:afterLines="50"/>
        <w:ind w:left="420"/>
        <w:rPr>
          <w:rFonts w:ascii="黑体" w:hAnsi="黑体" w:eastAsia="黑体"/>
        </w:rPr>
      </w:pPr>
      <w:r>
        <w:rPr>
          <w:rFonts w:hint="eastAsia" w:ascii="黑体" w:hAnsi="黑体" w:eastAsia="黑体"/>
        </w:rPr>
        <w:t xml:space="preserve">会展场馆 </w:t>
      </w:r>
      <w:bookmarkEnd w:id="50"/>
      <w:bookmarkEnd w:id="51"/>
      <w:r>
        <w:rPr>
          <w:rFonts w:hint="eastAsia" w:ascii="黑体" w:hAnsi="黑体" w:eastAsia="黑体"/>
        </w:rPr>
        <w:t>exhibition and convention venue</w:t>
      </w:r>
    </w:p>
    <w:p w14:paraId="52F414A8">
      <w:pPr>
        <w:pStyle w:val="4"/>
        <w:ind w:firstLine="420"/>
      </w:pPr>
      <w:r>
        <w:t>具备举办会展活动所需的建筑或场地，包括展览</w:t>
      </w:r>
      <w:r>
        <w:rPr>
          <w:rFonts w:hint="eastAsia"/>
          <w:lang w:val="en-US" w:eastAsia="zh-CN"/>
        </w:rPr>
        <w:t>中心</w:t>
      </w:r>
      <w:r>
        <w:t>、会议</w:t>
      </w:r>
      <w:r>
        <w:rPr>
          <w:rFonts w:hint="eastAsia"/>
          <w:lang w:val="en-US" w:eastAsia="zh-CN"/>
        </w:rPr>
        <w:t>中心</w:t>
      </w:r>
      <w:r>
        <w:t>及其附属功能空间。</w:t>
      </w:r>
    </w:p>
    <w:p w14:paraId="0F66B2A3">
      <w:pPr>
        <w:pStyle w:val="227"/>
        <w:spacing w:before="120" w:beforeLines="50" w:after="120" w:afterLines="50"/>
        <w:ind w:left="420" w:hanging="420" w:hangingChars="200"/>
        <w:rPr>
          <w:rFonts w:ascii="黑体" w:hAnsi="黑体" w:eastAsia="黑体"/>
        </w:rPr>
      </w:pPr>
      <w:bookmarkStart w:id="52" w:name="OLE_LINK6"/>
    </w:p>
    <w:p w14:paraId="276191E3">
      <w:pPr>
        <w:pStyle w:val="227"/>
        <w:numPr>
          <w:ilvl w:val="0"/>
          <w:numId w:val="0"/>
        </w:numPr>
        <w:spacing w:before="120" w:beforeLines="50" w:after="120" w:afterLines="50"/>
        <w:ind w:left="420"/>
        <w:rPr>
          <w:rFonts w:ascii="黑体" w:hAnsi="黑体" w:eastAsia="黑体"/>
        </w:rPr>
      </w:pPr>
      <w:r>
        <w:rPr>
          <w:rFonts w:hint="eastAsia" w:ascii="黑体" w:hAnsi="黑体" w:eastAsia="黑体"/>
        </w:rPr>
        <w:t>室内净展览面积</w:t>
      </w:r>
      <w:bookmarkEnd w:id="52"/>
      <w:r>
        <w:rPr>
          <w:rFonts w:hint="eastAsia" w:ascii="黑体" w:hAnsi="黑体" w:eastAsia="黑体"/>
        </w:rPr>
        <w:t xml:space="preserve"> net indoor exhibition area</w:t>
      </w:r>
    </w:p>
    <w:p w14:paraId="65268109">
      <w:pPr>
        <w:pStyle w:val="4"/>
        <w:ind w:firstLine="420"/>
      </w:pPr>
      <w:r>
        <w:rPr>
          <w:rFonts w:hint="eastAsia"/>
        </w:rPr>
        <w:t>场馆内可实际布展的室内面积</w:t>
      </w:r>
      <w:r>
        <w:t>。</w:t>
      </w:r>
    </w:p>
    <w:p w14:paraId="36CD818A">
      <w:pPr>
        <w:pStyle w:val="183"/>
      </w:pPr>
      <w:r>
        <w:rPr>
          <w:rFonts w:hint="eastAsia"/>
        </w:rPr>
        <w:t>室内净展览面积的单位为m</w:t>
      </w:r>
      <w:r>
        <w:rPr>
          <w:rFonts w:hint="eastAsia"/>
          <w:vertAlign w:val="superscript"/>
        </w:rPr>
        <w:t>2</w:t>
      </w:r>
      <w:r>
        <w:rPr>
          <w:rFonts w:hint="eastAsia"/>
        </w:rPr>
        <w:t>。</w:t>
      </w:r>
    </w:p>
    <w:p w14:paraId="210610E5">
      <w:pPr>
        <w:pStyle w:val="227"/>
        <w:spacing w:before="120" w:beforeLines="50" w:after="120" w:afterLines="50"/>
        <w:ind w:left="420" w:hanging="420" w:hangingChars="200"/>
        <w:rPr>
          <w:rFonts w:ascii="黑体" w:hAnsi="黑体" w:eastAsia="黑体"/>
        </w:rPr>
      </w:pPr>
    </w:p>
    <w:p w14:paraId="2CAC91F4">
      <w:pPr>
        <w:pStyle w:val="227"/>
        <w:numPr>
          <w:ilvl w:val="0"/>
          <w:numId w:val="0"/>
        </w:numPr>
        <w:spacing w:before="120" w:beforeLines="50" w:after="120" w:afterLines="50"/>
        <w:ind w:left="420"/>
        <w:rPr>
          <w:rFonts w:ascii="黑体" w:hAnsi="黑体" w:eastAsia="黑体"/>
        </w:rPr>
      </w:pPr>
      <w:r>
        <w:rPr>
          <w:rFonts w:hint="eastAsia" w:ascii="黑体" w:hAnsi="黑体" w:eastAsia="黑体"/>
        </w:rPr>
        <w:t xml:space="preserve">最大瞬时安全容纳人数 </w:t>
      </w:r>
      <w:r>
        <w:rPr>
          <w:rFonts w:ascii="黑体" w:hAnsi="黑体" w:eastAsia="黑体"/>
        </w:rPr>
        <w:t>maximum instantaneous occupancy capacity</w:t>
      </w:r>
    </w:p>
    <w:p w14:paraId="73680139">
      <w:pPr>
        <w:pStyle w:val="4"/>
        <w:ind w:firstLine="420"/>
      </w:pPr>
      <w:r>
        <w:t>在满足疏散、安全与舒适度要求的前提下，场馆在任一时刻可安全容纳的最大人数。</w:t>
      </w:r>
    </w:p>
    <w:p w14:paraId="0A807EDB">
      <w:pPr>
        <w:pStyle w:val="227"/>
        <w:spacing w:before="120" w:beforeLines="50" w:after="120" w:afterLines="50"/>
        <w:ind w:left="420" w:hanging="420" w:hangingChars="200"/>
        <w:rPr>
          <w:rFonts w:ascii="黑体" w:hAnsi="黑体" w:eastAsia="黑体"/>
        </w:rPr>
      </w:pPr>
    </w:p>
    <w:p w14:paraId="55B83E61">
      <w:pPr>
        <w:pStyle w:val="227"/>
        <w:numPr>
          <w:ilvl w:val="0"/>
          <w:numId w:val="0"/>
        </w:numPr>
        <w:spacing w:before="120" w:beforeLines="50" w:after="120" w:afterLines="50"/>
        <w:ind w:left="420"/>
        <w:rPr>
          <w:rFonts w:ascii="黑体" w:hAnsi="黑体" w:eastAsia="黑体"/>
        </w:rPr>
      </w:pPr>
      <w:r>
        <w:rPr>
          <w:rFonts w:hint="eastAsia" w:ascii="黑体" w:hAnsi="黑体" w:eastAsia="黑体"/>
        </w:rPr>
        <w:t xml:space="preserve">人流/物流动线分离 </w:t>
      </w:r>
      <w:r>
        <w:rPr>
          <w:rFonts w:ascii="黑体" w:hAnsi="黑体" w:eastAsia="黑体"/>
        </w:rPr>
        <w:t>separation of visitor and logistics circulation</w:t>
      </w:r>
    </w:p>
    <w:p w14:paraId="2E87491F">
      <w:pPr>
        <w:pStyle w:val="4"/>
        <w:ind w:firstLine="420"/>
      </w:pPr>
      <w:r>
        <w:rPr>
          <w:rFonts w:hint="eastAsia"/>
        </w:rPr>
        <w:t>通过物理或时间方式，使观众流线与货运与布撤展流线互不交叉或交叉率极低的组织策略。</w:t>
      </w:r>
    </w:p>
    <w:p w14:paraId="15A321FC">
      <w:pPr>
        <w:pStyle w:val="2"/>
      </w:pPr>
      <w:bookmarkStart w:id="53" w:name="_Toc201843299"/>
      <w:bookmarkStart w:id="54" w:name="_Toc14709"/>
      <w:bookmarkStart w:id="55" w:name="_Toc178181345"/>
      <w:r>
        <w:rPr>
          <w:rFonts w:hint="eastAsia"/>
        </w:rPr>
        <w:t>会展场馆等级划分</w:t>
      </w:r>
      <w:r>
        <w:rPr>
          <w:rFonts w:hint="eastAsia"/>
          <w:lang w:val="en-US" w:eastAsia="zh-CN"/>
        </w:rPr>
        <w:t>与</w:t>
      </w:r>
      <w:r>
        <w:rPr>
          <w:rFonts w:hint="eastAsia"/>
        </w:rPr>
        <w:t>评定</w:t>
      </w:r>
      <w:bookmarkEnd w:id="53"/>
      <w:r>
        <w:rPr>
          <w:rFonts w:hint="eastAsia"/>
          <w:lang w:val="en-US" w:eastAsia="zh-CN"/>
        </w:rPr>
        <w:t>要求</w:t>
      </w:r>
    </w:p>
    <w:p w14:paraId="14A5A611">
      <w:pPr>
        <w:pStyle w:val="166"/>
        <w:spacing w:before="120" w:beforeLines="50" w:after="120" w:afterLines="50"/>
        <w:ind w:left="0"/>
        <w:rPr>
          <w:rFonts w:ascii="黑体" w:hAnsi="黑体" w:eastAsia="黑体"/>
        </w:rPr>
      </w:pPr>
      <w:bookmarkStart w:id="56" w:name="OLE_LINK3"/>
      <w:bookmarkStart w:id="57" w:name="OLE_LINK2"/>
      <w:r>
        <w:rPr>
          <w:rFonts w:ascii="黑体" w:hAnsi="黑体" w:eastAsia="黑体"/>
        </w:rPr>
        <w:t>等级划分</w:t>
      </w:r>
    </w:p>
    <w:bookmarkEnd w:id="56"/>
    <w:bookmarkEnd w:id="57"/>
    <w:p w14:paraId="3BCF5297">
      <w:pPr>
        <w:pStyle w:val="4"/>
        <w:ind w:firstLine="420"/>
        <w:rPr>
          <w:highlight w:val="none"/>
        </w:rPr>
      </w:pPr>
      <w:r>
        <w:rPr>
          <w:rFonts w:hint="eastAsia"/>
          <w:highlight w:val="none"/>
        </w:rPr>
        <w:t xml:space="preserve">会展场馆等级由高至低划分为 </w:t>
      </w:r>
      <w:r>
        <w:rPr>
          <w:rFonts w:hint="eastAsia"/>
          <w:highlight w:val="none"/>
          <w:lang w:val="en-US" w:eastAsia="zh-CN"/>
        </w:rPr>
        <w:t>AAAAA</w:t>
      </w:r>
      <w:r>
        <w:rPr>
          <w:rFonts w:hint="eastAsia"/>
          <w:highlight w:val="none"/>
        </w:rPr>
        <w:t>级</w:t>
      </w:r>
      <w:r>
        <w:rPr>
          <w:rFonts w:hint="eastAsia"/>
          <w:highlight w:val="none"/>
          <w:lang w:val="en-US" w:eastAsia="zh-CN"/>
        </w:rPr>
        <w:t>(</w:t>
      </w:r>
      <w:r>
        <w:rPr>
          <w:rFonts w:hint="eastAsia"/>
          <w:highlight w:val="none"/>
        </w:rPr>
        <w:t>5A</w:t>
      </w:r>
      <w:r>
        <w:rPr>
          <w:rFonts w:hint="eastAsia"/>
          <w:highlight w:val="none"/>
          <w:lang w:val="en-US" w:eastAsia="zh-CN"/>
        </w:rPr>
        <w:t>级)</w:t>
      </w:r>
      <w:r>
        <w:rPr>
          <w:rFonts w:hint="eastAsia"/>
          <w:highlight w:val="none"/>
        </w:rPr>
        <w:t>、</w:t>
      </w:r>
      <w:r>
        <w:rPr>
          <w:rFonts w:hint="eastAsia"/>
          <w:highlight w:val="none"/>
          <w:lang w:val="en-US" w:eastAsia="zh-CN"/>
        </w:rPr>
        <w:t>AAAA</w:t>
      </w:r>
      <w:r>
        <w:rPr>
          <w:rFonts w:hint="eastAsia"/>
          <w:highlight w:val="none"/>
        </w:rPr>
        <w:t>级</w:t>
      </w:r>
      <w:r>
        <w:rPr>
          <w:rFonts w:hint="eastAsia"/>
          <w:highlight w:val="none"/>
          <w:lang w:val="en-US" w:eastAsia="zh-CN"/>
        </w:rPr>
        <w:t>(4</w:t>
      </w:r>
      <w:r>
        <w:rPr>
          <w:rFonts w:hint="eastAsia"/>
          <w:highlight w:val="none"/>
        </w:rPr>
        <w:t>A</w:t>
      </w:r>
      <w:r>
        <w:rPr>
          <w:rFonts w:hint="eastAsia"/>
          <w:highlight w:val="none"/>
          <w:lang w:val="en-US" w:eastAsia="zh-CN"/>
        </w:rPr>
        <w:t>级)</w:t>
      </w:r>
      <w:r>
        <w:rPr>
          <w:rFonts w:hint="eastAsia"/>
          <w:highlight w:val="none"/>
        </w:rPr>
        <w:t>、</w:t>
      </w:r>
      <w:r>
        <w:rPr>
          <w:rFonts w:hint="eastAsia"/>
          <w:highlight w:val="none"/>
          <w:lang w:val="en-US" w:eastAsia="zh-CN"/>
        </w:rPr>
        <w:t>AAA</w:t>
      </w:r>
      <w:r>
        <w:rPr>
          <w:rFonts w:hint="eastAsia"/>
          <w:highlight w:val="none"/>
        </w:rPr>
        <w:t>级</w:t>
      </w:r>
      <w:r>
        <w:rPr>
          <w:rFonts w:hint="eastAsia"/>
          <w:highlight w:val="none"/>
          <w:lang w:val="en-US" w:eastAsia="zh-CN"/>
        </w:rPr>
        <w:t>(3</w:t>
      </w:r>
      <w:r>
        <w:rPr>
          <w:rFonts w:hint="eastAsia"/>
          <w:highlight w:val="none"/>
        </w:rPr>
        <w:t>A</w:t>
      </w:r>
      <w:r>
        <w:rPr>
          <w:rFonts w:hint="eastAsia"/>
          <w:highlight w:val="none"/>
          <w:lang w:val="en-US" w:eastAsia="zh-CN"/>
        </w:rPr>
        <w:t>级)</w:t>
      </w:r>
      <w:r>
        <w:rPr>
          <w:rFonts w:hint="eastAsia"/>
          <w:highlight w:val="none"/>
        </w:rPr>
        <w:t>、</w:t>
      </w:r>
      <w:r>
        <w:rPr>
          <w:rFonts w:hint="eastAsia"/>
          <w:highlight w:val="none"/>
          <w:lang w:val="en-US" w:eastAsia="zh-CN"/>
        </w:rPr>
        <w:t>AA</w:t>
      </w:r>
      <w:r>
        <w:rPr>
          <w:rFonts w:hint="eastAsia"/>
          <w:highlight w:val="none"/>
        </w:rPr>
        <w:t>级</w:t>
      </w:r>
      <w:r>
        <w:rPr>
          <w:rFonts w:hint="eastAsia"/>
          <w:highlight w:val="none"/>
          <w:lang w:val="en-US" w:eastAsia="zh-CN"/>
        </w:rPr>
        <w:t>(2</w:t>
      </w:r>
      <w:r>
        <w:rPr>
          <w:rFonts w:hint="eastAsia"/>
          <w:highlight w:val="none"/>
        </w:rPr>
        <w:t>A</w:t>
      </w:r>
      <w:r>
        <w:rPr>
          <w:rFonts w:hint="eastAsia"/>
          <w:highlight w:val="none"/>
          <w:lang w:val="en-US" w:eastAsia="zh-CN"/>
        </w:rPr>
        <w:t>级)</w:t>
      </w:r>
      <w:r>
        <w:rPr>
          <w:rFonts w:hint="eastAsia"/>
          <w:highlight w:val="none"/>
        </w:rPr>
        <w:t>和</w:t>
      </w:r>
      <w:r>
        <w:rPr>
          <w:rFonts w:hint="eastAsia"/>
          <w:highlight w:val="none"/>
          <w:lang w:val="en-US" w:eastAsia="zh-CN"/>
        </w:rPr>
        <w:t>A</w:t>
      </w:r>
      <w:r>
        <w:rPr>
          <w:rFonts w:hint="eastAsia"/>
          <w:highlight w:val="none"/>
        </w:rPr>
        <w:t>级。</w:t>
      </w:r>
    </w:p>
    <w:p w14:paraId="1EF421E1">
      <w:pPr>
        <w:pStyle w:val="166"/>
        <w:spacing w:before="240" w:beforeLines="100" w:after="240" w:afterLines="100"/>
        <w:ind w:left="0"/>
        <w:rPr>
          <w:rFonts w:ascii="黑体" w:hAnsi="黑体" w:eastAsia="黑体"/>
        </w:rPr>
      </w:pPr>
      <w:bookmarkStart w:id="58" w:name="OLE_LINK8"/>
      <w:bookmarkStart w:id="59" w:name="OLE_LINK4"/>
      <w:bookmarkStart w:id="60" w:name="OLE_LINK25"/>
      <w:r>
        <w:rPr>
          <w:rFonts w:hint="eastAsia" w:ascii="黑体" w:hAnsi="黑体" w:eastAsia="黑体"/>
        </w:rPr>
        <w:t>评定方式与条件</w:t>
      </w:r>
    </w:p>
    <w:bookmarkEnd w:id="58"/>
    <w:p w14:paraId="438EE1C5">
      <w:pPr>
        <w:pStyle w:val="6"/>
        <w:spacing w:before="120" w:after="120"/>
      </w:pPr>
      <w:r>
        <w:t>基本条件</w:t>
      </w:r>
    </w:p>
    <w:bookmarkEnd w:id="59"/>
    <w:p w14:paraId="060C80F6">
      <w:pPr>
        <w:pStyle w:val="4"/>
        <w:ind w:left="420" w:firstLine="0" w:firstLineChars="0"/>
      </w:pPr>
      <w:r>
        <w:t>申请评定等级的会展场馆</w:t>
      </w:r>
      <w:r>
        <w:rPr>
          <w:rFonts w:hint="eastAsia"/>
        </w:rPr>
        <w:t>应</w:t>
      </w:r>
      <w:r>
        <w:t>同时满足下列条件：</w:t>
      </w:r>
    </w:p>
    <w:p w14:paraId="6B46E231">
      <w:pPr>
        <w:pStyle w:val="4"/>
        <w:ind w:left="420" w:firstLine="0" w:firstLineChars="0"/>
      </w:pPr>
      <w:r>
        <w:rPr>
          <w:rFonts w:hint="eastAsia"/>
        </w:rPr>
        <w:t>——依法取得</w:t>
      </w:r>
      <w:bookmarkStart w:id="61" w:name="OLE_LINK22"/>
      <w:r>
        <w:rPr>
          <w:rFonts w:hint="eastAsia"/>
        </w:rPr>
        <w:t>建设工程竣工验收备案</w:t>
      </w:r>
      <w:bookmarkEnd w:id="61"/>
      <w:r>
        <w:rPr>
          <w:rFonts w:hint="eastAsia"/>
        </w:rPr>
        <w:t>或</w:t>
      </w:r>
      <w:bookmarkStart w:id="62" w:name="OLE_LINK23"/>
      <w:r>
        <w:rPr>
          <w:rFonts w:hint="eastAsia"/>
        </w:rPr>
        <w:t>消防验收合格证明</w:t>
      </w:r>
      <w:bookmarkEnd w:id="62"/>
      <w:r>
        <w:rPr>
          <w:rFonts w:hint="eastAsia"/>
        </w:rPr>
        <w:t>；</w:t>
      </w:r>
      <w:r>
        <w:br w:type="textWrapping"/>
      </w:r>
      <w:r>
        <w:rPr>
          <w:rFonts w:hint="eastAsia"/>
        </w:rPr>
        <w:t>——近三年内无安全事故、无质量投诉记录</w:t>
      </w:r>
      <w:r>
        <w:t>；</w:t>
      </w:r>
      <w:r>
        <w:br w:type="textWrapping"/>
      </w:r>
      <w:r>
        <w:rPr>
          <w:rFonts w:hint="eastAsia"/>
        </w:rPr>
        <w:t>——</w:t>
      </w:r>
      <w:r>
        <w:t>运营主体合法存续，场馆物业及设施管理责任主体明确，安全管理制度健全。</w:t>
      </w:r>
    </w:p>
    <w:bookmarkEnd w:id="60"/>
    <w:p w14:paraId="7853E278">
      <w:pPr>
        <w:pStyle w:val="6"/>
        <w:spacing w:before="120" w:after="120"/>
      </w:pPr>
      <w:bookmarkStart w:id="63" w:name="OLE_LINK15"/>
      <w:bookmarkStart w:id="64" w:name="OLE_LINK26"/>
      <w:r>
        <w:rPr>
          <w:rFonts w:hint="eastAsia"/>
        </w:rPr>
        <w:t>指标评分</w:t>
      </w:r>
    </w:p>
    <w:p w14:paraId="5C7230DD">
      <w:pPr>
        <w:ind w:firstLine="420"/>
        <w:rPr>
          <w:rFonts w:ascii="宋体" w:hAnsi="Times New Roman"/>
          <w:kern w:val="0"/>
          <w:szCs w:val="20"/>
        </w:rPr>
      </w:pPr>
      <w:r>
        <w:rPr>
          <w:rFonts w:hint="eastAsia" w:ascii="宋体" w:hAnsi="Times New Roman"/>
          <w:kern w:val="0"/>
          <w:szCs w:val="20"/>
        </w:rPr>
        <w:t>各会展场馆的等级评定应依据本文件设定的</w:t>
      </w:r>
      <w:r>
        <w:rPr>
          <w:rFonts w:hint="eastAsia" w:ascii="宋体" w:hAnsi="Times New Roman"/>
          <w:kern w:val="0"/>
          <w:szCs w:val="20"/>
          <w:lang w:eastAsia="zh-CN"/>
        </w:rPr>
        <w:t>评定指标体系</w:t>
      </w:r>
      <w:r>
        <w:rPr>
          <w:rFonts w:hint="eastAsia" w:ascii="宋体" w:hAnsi="Times New Roman"/>
          <w:kern w:val="0"/>
          <w:szCs w:val="20"/>
        </w:rPr>
        <w:t>进行评分。具体要求如下：</w:t>
      </w:r>
    </w:p>
    <w:p w14:paraId="75AF3725">
      <w:pPr>
        <w:pStyle w:val="4"/>
        <w:ind w:firstLine="420"/>
      </w:pPr>
      <w:bookmarkStart w:id="65" w:name="OLE_LINK9"/>
      <w:r>
        <w:rPr>
          <w:rFonts w:hint="eastAsia"/>
        </w:rPr>
        <w:t>——</w:t>
      </w:r>
      <w:r>
        <w:t>会展场馆等级评定依据表1列</w:t>
      </w:r>
      <w:r>
        <w:rPr>
          <w:rFonts w:hint="eastAsia"/>
          <w:lang w:eastAsia="zh-CN"/>
        </w:rPr>
        <w:t>评定指标体系</w:t>
      </w:r>
      <w:r>
        <w:t>执行</w:t>
      </w:r>
      <w:r>
        <w:rPr>
          <w:rFonts w:hint="eastAsia"/>
        </w:rPr>
        <w:t>；</w:t>
      </w:r>
    </w:p>
    <w:p w14:paraId="13B4B8CE">
      <w:pPr>
        <w:pStyle w:val="4"/>
        <w:ind w:firstLine="420"/>
      </w:pPr>
      <w:r>
        <w:rPr>
          <w:rFonts w:hint="eastAsia"/>
        </w:rPr>
        <w:t>——</w:t>
      </w:r>
      <w:r>
        <w:t>评分采用百分制，</w:t>
      </w:r>
      <w:r>
        <w:rPr>
          <w:rFonts w:hint="eastAsia"/>
          <w:lang w:eastAsia="zh-CN"/>
        </w:rPr>
        <w:t>主评定指标得分</w:t>
      </w:r>
      <w:r>
        <w:t>权重合计80%，</w:t>
      </w:r>
      <w:r>
        <w:rPr>
          <w:rFonts w:hint="eastAsia"/>
          <w:lang w:eastAsia="zh-CN"/>
        </w:rPr>
        <w:t>辅助评定指标得分</w:t>
      </w:r>
      <w:r>
        <w:t>权重合计20%</w:t>
      </w:r>
      <w:r>
        <w:rPr>
          <w:rFonts w:hint="eastAsia"/>
        </w:rPr>
        <w:t>，</w:t>
      </w:r>
      <w:r>
        <w:rPr>
          <w:rFonts w:hint="eastAsia"/>
          <w:lang w:eastAsia="zh-CN"/>
        </w:rPr>
        <w:t>主评定指标得分</w:t>
      </w:r>
      <w:r>
        <w:rPr>
          <w:rFonts w:hint="eastAsia"/>
        </w:rPr>
        <w:t>包括规模与容量、功能布局与交通组织、安全与风险管理与服务与运营效能</w:t>
      </w:r>
      <w:r>
        <w:rPr>
          <w:rFonts w:hint="eastAsia"/>
          <w:lang w:eastAsia="zh-CN"/>
        </w:rPr>
        <w:t>；辅助评定指标得分</w:t>
      </w:r>
      <w:r>
        <w:rPr>
          <w:rFonts w:hint="eastAsia"/>
        </w:rPr>
        <w:t>包括绿色与可持续发展、数字化水平、无障碍与社会责任与经济与行业影响力。</w:t>
      </w:r>
    </w:p>
    <w:p w14:paraId="71C608D1">
      <w:pPr>
        <w:pStyle w:val="4"/>
        <w:ind w:firstLine="420"/>
      </w:pPr>
      <w:r>
        <w:rPr>
          <w:rFonts w:hint="eastAsia"/>
        </w:rPr>
        <w:t>——</w:t>
      </w:r>
      <w:r>
        <w:t>各指标评分</w:t>
      </w:r>
      <w:r>
        <w:rPr>
          <w:rFonts w:hint="eastAsia"/>
        </w:rPr>
        <w:t>说明</w:t>
      </w:r>
      <w:r>
        <w:t>及</w:t>
      </w:r>
      <w:r>
        <w:rPr>
          <w:rFonts w:hint="eastAsia"/>
        </w:rPr>
        <w:t>具体</w:t>
      </w:r>
      <w:r>
        <w:t xml:space="preserve">计算方法详见附录 </w:t>
      </w:r>
      <w:r>
        <w:rPr>
          <w:rFonts w:hint="eastAsia"/>
        </w:rPr>
        <w:t>A《</w:t>
      </w:r>
      <w:bookmarkStart w:id="66" w:name="OLE_LINK27"/>
      <w:r>
        <w:rPr>
          <w:rFonts w:hint="eastAsia"/>
        </w:rPr>
        <w:t>会展场馆等级划分与评定评分表</w:t>
      </w:r>
      <w:bookmarkEnd w:id="66"/>
      <w:r>
        <w:rPr>
          <w:rFonts w:hint="eastAsia"/>
        </w:rPr>
        <w:t>》</w:t>
      </w:r>
      <w:r>
        <w:t>。</w:t>
      </w:r>
    </w:p>
    <w:bookmarkEnd w:id="63"/>
    <w:bookmarkEnd w:id="65"/>
    <w:p w14:paraId="04E2D4E6">
      <w:pPr>
        <w:pStyle w:val="6"/>
        <w:spacing w:before="120" w:after="120"/>
      </w:pPr>
      <w:r>
        <w:rPr>
          <w:rFonts w:hint="eastAsia"/>
        </w:rPr>
        <w:t>等级判定</w:t>
      </w:r>
    </w:p>
    <w:p w14:paraId="2A5BC9E8">
      <w:pPr>
        <w:pStyle w:val="4"/>
        <w:ind w:firstLine="420"/>
      </w:pPr>
      <w:r>
        <w:t>会展场馆等级评定设</w:t>
      </w:r>
      <w:r>
        <w:rPr>
          <w:rFonts w:hint="eastAsia"/>
        </w:rPr>
        <w:t>5A级、4A级、3A级、2A级、A级共五个等级</w:t>
      </w:r>
      <w:r>
        <w:t>，依据</w:t>
      </w:r>
      <w:r>
        <w:rPr>
          <w:rFonts w:hint="eastAsia"/>
          <w:lang w:eastAsia="zh-CN"/>
        </w:rPr>
        <w:t>主评定指标得分</w:t>
      </w:r>
      <w:r>
        <w:t>和</w:t>
      </w:r>
      <w:r>
        <w:rPr>
          <w:rFonts w:hint="eastAsia"/>
          <w:lang w:eastAsia="zh-CN"/>
        </w:rPr>
        <w:t>辅助评定指标得分</w:t>
      </w:r>
      <w:r>
        <w:t>两部分进行，总分满分为100分。其中，</w:t>
      </w:r>
      <w:r>
        <w:rPr>
          <w:rFonts w:hint="eastAsia"/>
          <w:lang w:eastAsia="zh-CN"/>
        </w:rPr>
        <w:t>主评定指标得分</w:t>
      </w:r>
      <w:r>
        <w:t>占80分，</w:t>
      </w:r>
      <w:r>
        <w:rPr>
          <w:rFonts w:hint="eastAsia"/>
          <w:lang w:eastAsia="zh-CN"/>
        </w:rPr>
        <w:t>辅助评定指标得分</w:t>
      </w:r>
      <w:r>
        <w:t>占20分。</w:t>
      </w:r>
      <w:r>
        <w:rPr>
          <w:rFonts w:hint="eastAsia"/>
        </w:rPr>
        <w:t>申请场馆</w:t>
      </w:r>
      <w:r>
        <w:t>须同时满足</w:t>
      </w:r>
      <w:r>
        <w:rPr>
          <w:rFonts w:hint="eastAsia"/>
          <w:lang w:eastAsia="zh-CN"/>
        </w:rPr>
        <w:t>主评定指标得分</w:t>
      </w:r>
      <w:r>
        <w:t>、</w:t>
      </w:r>
      <w:r>
        <w:rPr>
          <w:rFonts w:hint="eastAsia"/>
          <w:lang w:eastAsia="zh-CN"/>
        </w:rPr>
        <w:t>辅助评定指标得分</w:t>
      </w:r>
      <w:r>
        <w:t>及总分的最低要求</w:t>
      </w:r>
      <w:r>
        <w:rPr>
          <w:rFonts w:hint="eastAsia"/>
        </w:rPr>
        <w:t>，方可取得对应等级，见表1。</w:t>
      </w:r>
    </w:p>
    <w:bookmarkEnd w:id="64"/>
    <w:p w14:paraId="59521B67">
      <w:pPr>
        <w:spacing w:after="120" w:afterLines="50"/>
        <w:jc w:val="center"/>
        <w:rPr>
          <w:rFonts w:hint="eastAsia" w:ascii="黑体" w:hAnsi="黑体" w:eastAsia="黑体"/>
          <w:kern w:val="0"/>
          <w:szCs w:val="20"/>
        </w:rPr>
      </w:pPr>
      <w:r>
        <w:rPr>
          <w:rFonts w:hint="eastAsia" w:ascii="黑体" w:hAnsi="黑体" w:eastAsia="黑体"/>
          <w:kern w:val="0"/>
          <w:szCs w:val="20"/>
        </w:rPr>
        <w:t>表</w:t>
      </w:r>
      <w:r>
        <w:rPr>
          <w:rFonts w:ascii="黑体" w:hAnsi="黑体" w:eastAsia="黑体"/>
          <w:kern w:val="0"/>
          <w:szCs w:val="20"/>
        </w:rPr>
        <w:t xml:space="preserve"> </w:t>
      </w:r>
      <w:r>
        <w:rPr>
          <w:rFonts w:hint="eastAsia" w:ascii="黑体" w:hAnsi="黑体" w:eastAsia="黑体"/>
          <w:kern w:val="0"/>
          <w:szCs w:val="20"/>
        </w:rPr>
        <w:t>1</w:t>
      </w:r>
      <w:r>
        <w:rPr>
          <w:rFonts w:ascii="黑体" w:hAnsi="黑体" w:eastAsia="黑体"/>
          <w:kern w:val="0"/>
          <w:szCs w:val="20"/>
        </w:rPr>
        <w:t> </w:t>
      </w:r>
      <w:bookmarkStart w:id="67" w:name="OLE_LINK32"/>
      <w:r>
        <w:rPr>
          <w:rFonts w:hint="eastAsia" w:ascii="黑体" w:hAnsi="黑体" w:eastAsia="黑体"/>
          <w:kern w:val="0"/>
          <w:szCs w:val="20"/>
        </w:rPr>
        <w:t>会展场馆等级评定标准</w:t>
      </w:r>
      <w:bookmarkEnd w:id="67"/>
    </w:p>
    <w:tbl>
      <w:tblPr>
        <w:tblStyle w:val="32"/>
        <w:tblW w:w="9481" w:type="dxa"/>
        <w:tblInd w:w="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Layout w:type="fixed"/>
        <w:tblCellMar>
          <w:top w:w="0" w:type="dxa"/>
          <w:left w:w="108" w:type="dxa"/>
          <w:bottom w:w="0" w:type="dxa"/>
          <w:right w:w="108" w:type="dxa"/>
        </w:tblCellMar>
      </w:tblPr>
      <w:tblGrid>
        <w:gridCol w:w="1034"/>
        <w:gridCol w:w="2403"/>
        <w:gridCol w:w="2315"/>
        <w:gridCol w:w="2112"/>
        <w:gridCol w:w="1617"/>
      </w:tblGrid>
      <w:tr w14:paraId="6EDB087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147" w:hRule="atLeast"/>
        </w:trPr>
        <w:tc>
          <w:tcPr>
            <w:tcW w:w="1034" w:type="dxa"/>
            <w:tcBorders>
              <w:tl2br w:val="nil"/>
              <w:tr2bl w:val="nil"/>
            </w:tcBorders>
            <w:shd w:val="clear" w:color="auto" w:fill="auto"/>
            <w:vAlign w:val="center"/>
          </w:tcPr>
          <w:p w14:paraId="4661E6A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等级</w:t>
            </w:r>
          </w:p>
        </w:tc>
        <w:tc>
          <w:tcPr>
            <w:tcW w:w="2403" w:type="dxa"/>
            <w:tcBorders>
              <w:tl2br w:val="nil"/>
              <w:tr2bl w:val="nil"/>
            </w:tcBorders>
            <w:shd w:val="clear" w:color="auto" w:fill="auto"/>
            <w:vAlign w:val="center"/>
          </w:tcPr>
          <w:p w14:paraId="06F61B9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主评定指标得分</w:t>
            </w:r>
            <w:r>
              <w:rPr>
                <w:rFonts w:hint="eastAsia" w:ascii="宋体" w:hAnsi="宋体" w:eastAsia="宋体" w:cs="宋体"/>
                <w:b/>
                <w:bCs/>
                <w:i w:val="0"/>
                <w:iCs w:val="0"/>
                <w:color w:val="000000"/>
                <w:kern w:val="0"/>
                <w:sz w:val="18"/>
                <w:szCs w:val="18"/>
                <w:u w:val="none"/>
                <w:lang w:val="en-US" w:eastAsia="zh-CN" w:bidi="ar"/>
              </w:rPr>
              <w:t>（80分）</w:t>
            </w:r>
          </w:p>
        </w:tc>
        <w:tc>
          <w:tcPr>
            <w:tcW w:w="2315" w:type="dxa"/>
            <w:tcBorders>
              <w:tl2br w:val="nil"/>
              <w:tr2bl w:val="nil"/>
            </w:tcBorders>
            <w:shd w:val="clear" w:color="auto" w:fill="auto"/>
            <w:vAlign w:val="center"/>
          </w:tcPr>
          <w:p w14:paraId="2B313D6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cs="宋体"/>
                <w:b/>
                <w:bCs/>
                <w:i w:val="0"/>
                <w:iCs w:val="0"/>
                <w:color w:val="000000"/>
                <w:kern w:val="0"/>
                <w:sz w:val="18"/>
                <w:szCs w:val="18"/>
                <w:u w:val="none"/>
                <w:lang w:val="en-US" w:eastAsia="zh-CN" w:bidi="ar"/>
              </w:rPr>
              <w:t>辅助评定指标得分</w:t>
            </w:r>
            <w:r>
              <w:rPr>
                <w:rFonts w:hint="eastAsia" w:ascii="宋体" w:hAnsi="宋体" w:eastAsia="宋体" w:cs="宋体"/>
                <w:b/>
                <w:bCs/>
                <w:i w:val="0"/>
                <w:iCs w:val="0"/>
                <w:color w:val="000000"/>
                <w:kern w:val="0"/>
                <w:sz w:val="18"/>
                <w:szCs w:val="18"/>
                <w:u w:val="none"/>
                <w:lang w:val="en-US" w:eastAsia="zh-CN" w:bidi="ar"/>
              </w:rPr>
              <w:t>（20分）</w:t>
            </w:r>
          </w:p>
        </w:tc>
        <w:tc>
          <w:tcPr>
            <w:tcW w:w="2112" w:type="dxa"/>
            <w:tcBorders>
              <w:tl2br w:val="nil"/>
              <w:tr2bl w:val="nil"/>
            </w:tcBorders>
            <w:shd w:val="clear" w:color="auto" w:fill="auto"/>
            <w:vAlign w:val="center"/>
          </w:tcPr>
          <w:p w14:paraId="177CEC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总分（100分）</w:t>
            </w:r>
          </w:p>
        </w:tc>
        <w:tc>
          <w:tcPr>
            <w:tcW w:w="1617" w:type="dxa"/>
            <w:tcBorders>
              <w:tl2br w:val="nil"/>
              <w:tr2bl w:val="nil"/>
            </w:tcBorders>
            <w:shd w:val="clear" w:color="auto" w:fill="auto"/>
            <w:vAlign w:val="center"/>
          </w:tcPr>
          <w:p w14:paraId="582B1D41">
            <w:pPr>
              <w:keepNext w:val="0"/>
              <w:keepLines w:val="0"/>
              <w:widowControl/>
              <w:suppressLineNumbers w:val="0"/>
              <w:jc w:val="center"/>
              <w:textAlignment w:val="top"/>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场馆自评分</w:t>
            </w:r>
          </w:p>
        </w:tc>
      </w:tr>
      <w:tr w14:paraId="4310A0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85" w:hRule="atLeast"/>
        </w:trPr>
        <w:tc>
          <w:tcPr>
            <w:tcW w:w="1034" w:type="dxa"/>
            <w:tcBorders>
              <w:tl2br w:val="nil"/>
              <w:tr2bl w:val="nil"/>
            </w:tcBorders>
            <w:shd w:val="clear" w:color="auto" w:fill="auto"/>
            <w:vAlign w:val="center"/>
          </w:tcPr>
          <w:p w14:paraId="01D6F8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5A级</w:t>
            </w:r>
          </w:p>
        </w:tc>
        <w:tc>
          <w:tcPr>
            <w:tcW w:w="2403" w:type="dxa"/>
            <w:tcBorders>
              <w:tl2br w:val="nil"/>
              <w:tr2bl w:val="nil"/>
            </w:tcBorders>
            <w:shd w:val="clear" w:color="auto" w:fill="auto"/>
            <w:vAlign w:val="center"/>
          </w:tcPr>
          <w:p w14:paraId="133835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2315" w:type="dxa"/>
            <w:tcBorders>
              <w:tl2br w:val="nil"/>
              <w:tr2bl w:val="nil"/>
            </w:tcBorders>
            <w:shd w:val="clear" w:color="auto" w:fill="auto"/>
            <w:vAlign w:val="center"/>
          </w:tcPr>
          <w:p w14:paraId="10FEDC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112" w:type="dxa"/>
            <w:tcBorders>
              <w:tl2br w:val="nil"/>
              <w:tr2bl w:val="nil"/>
            </w:tcBorders>
            <w:shd w:val="clear" w:color="auto" w:fill="auto"/>
            <w:vAlign w:val="center"/>
          </w:tcPr>
          <w:p w14:paraId="6C5FBE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617" w:type="dxa"/>
            <w:tcBorders>
              <w:tl2br w:val="nil"/>
              <w:tr2bl w:val="nil"/>
            </w:tcBorders>
            <w:shd w:val="clear" w:color="auto" w:fill="auto"/>
            <w:vAlign w:val="center"/>
          </w:tcPr>
          <w:p w14:paraId="4D5AC1BC">
            <w:pPr>
              <w:jc w:val="center"/>
              <w:rPr>
                <w:rFonts w:hint="eastAsia" w:ascii="宋体" w:hAnsi="宋体" w:eastAsia="宋体" w:cs="宋体"/>
                <w:i w:val="0"/>
                <w:iCs w:val="0"/>
                <w:color w:val="000000"/>
                <w:sz w:val="18"/>
                <w:szCs w:val="18"/>
                <w:u w:val="none"/>
              </w:rPr>
            </w:pPr>
          </w:p>
        </w:tc>
      </w:tr>
      <w:tr w14:paraId="5E48F08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85" w:hRule="atLeast"/>
        </w:trPr>
        <w:tc>
          <w:tcPr>
            <w:tcW w:w="1034" w:type="dxa"/>
            <w:tcBorders>
              <w:tl2br w:val="nil"/>
              <w:tr2bl w:val="nil"/>
            </w:tcBorders>
            <w:shd w:val="clear" w:color="auto" w:fill="auto"/>
            <w:vAlign w:val="center"/>
          </w:tcPr>
          <w:p w14:paraId="6C37B6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4A级</w:t>
            </w:r>
          </w:p>
        </w:tc>
        <w:tc>
          <w:tcPr>
            <w:tcW w:w="2403" w:type="dxa"/>
            <w:tcBorders>
              <w:tl2br w:val="nil"/>
              <w:tr2bl w:val="nil"/>
            </w:tcBorders>
            <w:shd w:val="clear" w:color="auto" w:fill="auto"/>
            <w:vAlign w:val="center"/>
          </w:tcPr>
          <w:p w14:paraId="033278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2315" w:type="dxa"/>
            <w:tcBorders>
              <w:tl2br w:val="nil"/>
              <w:tr2bl w:val="nil"/>
            </w:tcBorders>
            <w:shd w:val="clear" w:color="auto" w:fill="auto"/>
            <w:vAlign w:val="center"/>
          </w:tcPr>
          <w:p w14:paraId="01882D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112" w:type="dxa"/>
            <w:tcBorders>
              <w:tl2br w:val="nil"/>
              <w:tr2bl w:val="nil"/>
            </w:tcBorders>
            <w:shd w:val="clear" w:color="auto" w:fill="auto"/>
            <w:vAlign w:val="center"/>
          </w:tcPr>
          <w:p w14:paraId="4B3E0D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617" w:type="dxa"/>
            <w:tcBorders>
              <w:tl2br w:val="nil"/>
              <w:tr2bl w:val="nil"/>
            </w:tcBorders>
            <w:shd w:val="clear" w:color="auto" w:fill="auto"/>
            <w:vAlign w:val="center"/>
          </w:tcPr>
          <w:p w14:paraId="2C2564A9">
            <w:pPr>
              <w:jc w:val="center"/>
              <w:rPr>
                <w:rFonts w:hint="eastAsia" w:ascii="宋体" w:hAnsi="宋体" w:eastAsia="宋体" w:cs="宋体"/>
                <w:i w:val="0"/>
                <w:iCs w:val="0"/>
                <w:color w:val="000000"/>
                <w:sz w:val="18"/>
                <w:szCs w:val="18"/>
                <w:u w:val="none"/>
              </w:rPr>
            </w:pPr>
          </w:p>
        </w:tc>
      </w:tr>
      <w:tr w14:paraId="058506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285" w:hRule="atLeast"/>
        </w:trPr>
        <w:tc>
          <w:tcPr>
            <w:tcW w:w="1034" w:type="dxa"/>
            <w:tcBorders>
              <w:tl2br w:val="nil"/>
              <w:tr2bl w:val="nil"/>
            </w:tcBorders>
            <w:shd w:val="clear" w:color="auto" w:fill="auto"/>
            <w:vAlign w:val="center"/>
          </w:tcPr>
          <w:p w14:paraId="0B178B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3A级</w:t>
            </w:r>
          </w:p>
        </w:tc>
        <w:tc>
          <w:tcPr>
            <w:tcW w:w="2403" w:type="dxa"/>
            <w:tcBorders>
              <w:tl2br w:val="nil"/>
              <w:tr2bl w:val="nil"/>
            </w:tcBorders>
            <w:shd w:val="clear" w:color="auto" w:fill="auto"/>
            <w:vAlign w:val="center"/>
          </w:tcPr>
          <w:p w14:paraId="3CA7A4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2315" w:type="dxa"/>
            <w:tcBorders>
              <w:tl2br w:val="nil"/>
              <w:tr2bl w:val="nil"/>
            </w:tcBorders>
            <w:shd w:val="clear" w:color="auto" w:fill="auto"/>
            <w:vAlign w:val="center"/>
          </w:tcPr>
          <w:p w14:paraId="25B6A9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112" w:type="dxa"/>
            <w:tcBorders>
              <w:tl2br w:val="nil"/>
              <w:tr2bl w:val="nil"/>
            </w:tcBorders>
            <w:shd w:val="clear" w:color="auto" w:fill="auto"/>
            <w:vAlign w:val="center"/>
          </w:tcPr>
          <w:p w14:paraId="1F1651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617" w:type="dxa"/>
            <w:tcBorders>
              <w:tl2br w:val="nil"/>
              <w:tr2bl w:val="nil"/>
            </w:tcBorders>
            <w:shd w:val="clear" w:color="auto" w:fill="auto"/>
            <w:noWrap/>
            <w:vAlign w:val="center"/>
          </w:tcPr>
          <w:p w14:paraId="42D13ADA">
            <w:pPr>
              <w:jc w:val="center"/>
              <w:rPr>
                <w:rFonts w:hint="eastAsia" w:ascii="宋体" w:hAnsi="宋体" w:eastAsia="宋体" w:cs="宋体"/>
                <w:i w:val="0"/>
                <w:iCs w:val="0"/>
                <w:color w:val="000000"/>
                <w:sz w:val="18"/>
                <w:szCs w:val="18"/>
                <w:u w:val="none"/>
              </w:rPr>
            </w:pPr>
          </w:p>
        </w:tc>
      </w:tr>
      <w:tr w14:paraId="232B4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90" w:hRule="atLeast"/>
        </w:trPr>
        <w:tc>
          <w:tcPr>
            <w:tcW w:w="1034" w:type="dxa"/>
            <w:tcBorders>
              <w:tl2br w:val="nil"/>
              <w:tr2bl w:val="nil"/>
            </w:tcBorders>
            <w:shd w:val="clear" w:color="auto" w:fill="auto"/>
            <w:vAlign w:val="center"/>
          </w:tcPr>
          <w:p w14:paraId="684E52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2A级</w:t>
            </w:r>
          </w:p>
        </w:tc>
        <w:tc>
          <w:tcPr>
            <w:tcW w:w="2403" w:type="dxa"/>
            <w:tcBorders>
              <w:tl2br w:val="nil"/>
              <w:tr2bl w:val="nil"/>
            </w:tcBorders>
            <w:shd w:val="clear" w:color="auto" w:fill="auto"/>
            <w:vAlign w:val="center"/>
          </w:tcPr>
          <w:p w14:paraId="1BB64E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315" w:type="dxa"/>
            <w:tcBorders>
              <w:tl2br w:val="nil"/>
              <w:tr2bl w:val="nil"/>
            </w:tcBorders>
            <w:shd w:val="clear" w:color="auto" w:fill="auto"/>
            <w:vAlign w:val="center"/>
          </w:tcPr>
          <w:p w14:paraId="1666FC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112" w:type="dxa"/>
            <w:tcBorders>
              <w:tl2br w:val="nil"/>
              <w:tr2bl w:val="nil"/>
            </w:tcBorders>
            <w:shd w:val="clear" w:color="auto" w:fill="auto"/>
            <w:vAlign w:val="center"/>
          </w:tcPr>
          <w:p w14:paraId="015252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617" w:type="dxa"/>
            <w:tcBorders>
              <w:tl2br w:val="nil"/>
              <w:tr2bl w:val="nil"/>
            </w:tcBorders>
            <w:shd w:val="clear" w:color="auto" w:fill="auto"/>
            <w:vAlign w:val="center"/>
          </w:tcPr>
          <w:p w14:paraId="3AAF4B82">
            <w:pPr>
              <w:jc w:val="center"/>
              <w:rPr>
                <w:rFonts w:hint="eastAsia" w:ascii="宋体" w:hAnsi="宋体" w:eastAsia="宋体" w:cs="宋体"/>
                <w:i w:val="0"/>
                <w:iCs w:val="0"/>
                <w:color w:val="000000"/>
                <w:sz w:val="18"/>
                <w:szCs w:val="18"/>
                <w:u w:val="none"/>
              </w:rPr>
            </w:pPr>
          </w:p>
        </w:tc>
      </w:tr>
      <w:tr w14:paraId="0974FF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shd w:val="clear" w:color="auto" w:fill="auto"/>
          <w:tblCellMar>
            <w:top w:w="0" w:type="dxa"/>
            <w:left w:w="108" w:type="dxa"/>
            <w:bottom w:w="0" w:type="dxa"/>
            <w:right w:w="108" w:type="dxa"/>
          </w:tblCellMar>
        </w:tblPrEx>
        <w:trPr>
          <w:trHeight w:val="90" w:hRule="atLeast"/>
        </w:trPr>
        <w:tc>
          <w:tcPr>
            <w:tcW w:w="1034" w:type="dxa"/>
            <w:tcBorders>
              <w:tl2br w:val="nil"/>
              <w:tr2bl w:val="nil"/>
            </w:tcBorders>
            <w:shd w:val="clear" w:color="auto" w:fill="auto"/>
            <w:vAlign w:val="center"/>
          </w:tcPr>
          <w:p w14:paraId="135FFA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A级</w:t>
            </w:r>
          </w:p>
        </w:tc>
        <w:tc>
          <w:tcPr>
            <w:tcW w:w="2403" w:type="dxa"/>
            <w:tcBorders>
              <w:tl2br w:val="nil"/>
              <w:tr2bl w:val="nil"/>
            </w:tcBorders>
            <w:shd w:val="clear" w:color="auto" w:fill="auto"/>
            <w:vAlign w:val="center"/>
          </w:tcPr>
          <w:p w14:paraId="550F71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2315" w:type="dxa"/>
            <w:tcBorders>
              <w:tl2br w:val="nil"/>
              <w:tr2bl w:val="nil"/>
            </w:tcBorders>
            <w:shd w:val="clear" w:color="auto" w:fill="auto"/>
            <w:vAlign w:val="center"/>
          </w:tcPr>
          <w:p w14:paraId="5A2319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112" w:type="dxa"/>
            <w:tcBorders>
              <w:tl2br w:val="nil"/>
              <w:tr2bl w:val="nil"/>
            </w:tcBorders>
            <w:shd w:val="clear" w:color="auto" w:fill="auto"/>
            <w:vAlign w:val="center"/>
          </w:tcPr>
          <w:p w14:paraId="384F76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617" w:type="dxa"/>
            <w:tcBorders>
              <w:tl2br w:val="nil"/>
              <w:tr2bl w:val="nil"/>
            </w:tcBorders>
            <w:shd w:val="clear" w:color="auto" w:fill="auto"/>
            <w:noWrap/>
            <w:vAlign w:val="center"/>
          </w:tcPr>
          <w:p w14:paraId="053D90E7">
            <w:pPr>
              <w:jc w:val="center"/>
              <w:rPr>
                <w:rFonts w:hint="eastAsia" w:ascii="宋体" w:hAnsi="宋体" w:eastAsia="宋体" w:cs="宋体"/>
                <w:i w:val="0"/>
                <w:iCs w:val="0"/>
                <w:color w:val="000000"/>
                <w:sz w:val="18"/>
                <w:szCs w:val="18"/>
                <w:u w:val="none"/>
              </w:rPr>
            </w:pPr>
          </w:p>
        </w:tc>
      </w:tr>
    </w:tbl>
    <w:p w14:paraId="7A79A908">
      <w:pPr>
        <w:spacing w:after="120" w:afterLines="50"/>
        <w:jc w:val="both"/>
        <w:rPr>
          <w:rFonts w:hint="eastAsia" w:ascii="黑体" w:hAnsi="黑体" w:eastAsia="黑体"/>
          <w:kern w:val="0"/>
          <w:szCs w:val="20"/>
        </w:rPr>
      </w:pPr>
    </w:p>
    <w:p w14:paraId="0FD247F0">
      <w:pPr>
        <w:pStyle w:val="166"/>
        <w:spacing w:before="240" w:beforeLines="100" w:after="240" w:afterLines="100"/>
        <w:ind w:left="0"/>
        <w:rPr>
          <w:rFonts w:ascii="黑体" w:hAnsi="黑体" w:eastAsia="黑体"/>
        </w:rPr>
      </w:pPr>
      <w:bookmarkStart w:id="68" w:name="OLE_LINK19"/>
      <w:r>
        <w:rPr>
          <w:rFonts w:hint="eastAsia" w:ascii="黑体" w:hAnsi="黑体" w:eastAsia="黑体"/>
        </w:rPr>
        <w:t>评定程序</w:t>
      </w:r>
    </w:p>
    <w:p w14:paraId="0D5DBD57">
      <w:pPr>
        <w:pStyle w:val="4"/>
        <w:ind w:firstLine="420"/>
      </w:pPr>
      <w:r>
        <w:rPr>
          <w:rFonts w:hint="eastAsia"/>
        </w:rPr>
        <w:t>等级评定应由符合第5章要求的评定机构组织实施</w:t>
      </w:r>
      <w:r>
        <w:rPr>
          <w:rFonts w:hint="eastAsia"/>
          <w:lang w:eastAsia="zh-CN"/>
        </w:rPr>
        <w:t>，</w:t>
      </w:r>
      <w:r>
        <w:rPr>
          <w:rFonts w:hint="eastAsia"/>
        </w:rPr>
        <w:t>等级评定的完整流程见附录C《等级评定流程图》。</w:t>
      </w:r>
    </w:p>
    <w:bookmarkEnd w:id="68"/>
    <w:p w14:paraId="672BC4B3">
      <w:pPr>
        <w:pStyle w:val="6"/>
        <w:spacing w:before="120" w:after="120"/>
      </w:pPr>
      <w:bookmarkStart w:id="69" w:name="OLE_LINK10"/>
      <w:r>
        <w:t>申请</w:t>
      </w:r>
      <w:r>
        <w:rPr>
          <w:rFonts w:hint="eastAsia"/>
        </w:rPr>
        <w:t>材料</w:t>
      </w:r>
    </w:p>
    <w:bookmarkEnd w:id="69"/>
    <w:p w14:paraId="0A5DC507">
      <w:pPr>
        <w:pStyle w:val="4"/>
        <w:ind w:firstLine="420"/>
      </w:pPr>
      <w:r>
        <w:t>申请单位应向评定机构提交下列材料：</w:t>
      </w:r>
    </w:p>
    <w:p w14:paraId="09BFFA3D">
      <w:pPr>
        <w:pStyle w:val="4"/>
        <w:ind w:firstLine="420"/>
      </w:pPr>
      <w:r>
        <w:rPr>
          <w:rFonts w:hint="eastAsia"/>
        </w:rPr>
        <w:t>——</w:t>
      </w:r>
      <w:r>
        <w:t>《会展场馆等级评定申请表》</w:t>
      </w:r>
      <w:r>
        <w:rPr>
          <w:rFonts w:hint="eastAsia"/>
        </w:rPr>
        <w:t>，具体见附录B</w:t>
      </w:r>
      <w:r>
        <w:t>；</w:t>
      </w:r>
    </w:p>
    <w:p w14:paraId="7D6C59FE">
      <w:pPr>
        <w:pStyle w:val="4"/>
        <w:ind w:firstLine="420"/>
      </w:pPr>
      <w:r>
        <w:rPr>
          <w:rFonts w:hint="eastAsia"/>
        </w:rPr>
        <w:t>——依据本文件附录A填写的会展场馆等级评定自评分表；</w:t>
      </w:r>
    </w:p>
    <w:p w14:paraId="40C553B8">
      <w:pPr>
        <w:pStyle w:val="4"/>
        <w:ind w:firstLine="420"/>
        <w:rPr>
          <w:rFonts w:hint="default" w:eastAsia="宋体"/>
          <w:lang w:val="en-US" w:eastAsia="zh-CN"/>
        </w:rPr>
      </w:pPr>
      <w:r>
        <w:rPr>
          <w:rFonts w:hint="eastAsia"/>
        </w:rPr>
        <w:t>——</w:t>
      </w:r>
      <w:r>
        <w:t>近三年运营数据</w:t>
      </w:r>
      <w:r>
        <w:rPr>
          <w:rFonts w:hint="eastAsia"/>
          <w:lang w:eastAsia="zh-CN"/>
        </w:rPr>
        <w:t>，</w:t>
      </w:r>
      <w:r>
        <w:rPr>
          <w:rFonts w:hint="eastAsia"/>
          <w:lang w:val="en-US" w:eastAsia="zh-CN"/>
        </w:rPr>
        <w:t>包括但不限于：</w:t>
      </w:r>
      <w:r>
        <w:rPr>
          <w:rFonts w:hint="eastAsia"/>
          <w:highlight w:val="none"/>
          <w:lang w:val="en-US" w:eastAsia="zh-CN"/>
        </w:rPr>
        <w:t>近三年运营能耗数据</w:t>
      </w:r>
      <w:r>
        <w:rPr>
          <w:rFonts w:hint="eastAsia"/>
          <w:color w:val="auto"/>
          <w:highlight w:val="none"/>
          <w:lang w:val="en-US" w:eastAsia="zh-CN"/>
        </w:rPr>
        <w:t>、承接各类会议展览活动数据，活动名称，主办方，展览面积，参展企业数量，会议人数规模等相关数据</w:t>
      </w:r>
      <w:r>
        <w:rPr>
          <w:rFonts w:hint="eastAsia"/>
          <w:color w:val="auto"/>
          <w:highlight w:val="none"/>
          <w:lang w:eastAsia="zh-CN"/>
        </w:rPr>
        <w:t>，</w:t>
      </w:r>
      <w:r>
        <w:rPr>
          <w:rFonts w:hint="eastAsia"/>
          <w:color w:val="auto"/>
          <w:highlight w:val="none"/>
          <w:lang w:val="en-US" w:eastAsia="zh-CN"/>
        </w:rPr>
        <w:t>新成立会展场馆经营未满三年则不提供。</w:t>
      </w:r>
    </w:p>
    <w:p w14:paraId="5E16438D">
      <w:pPr>
        <w:pStyle w:val="4"/>
        <w:ind w:firstLine="420"/>
      </w:pPr>
      <w:r>
        <w:rPr>
          <w:rFonts w:hint="eastAsia"/>
        </w:rPr>
        <w:t>——</w:t>
      </w:r>
      <w:r>
        <w:t>消防、环保、规划、土地等合规性证明；</w:t>
      </w:r>
    </w:p>
    <w:p w14:paraId="53C53694">
      <w:pPr>
        <w:pStyle w:val="4"/>
        <w:ind w:left="819" w:leftChars="190" w:hanging="420" w:hangingChars="200"/>
        <w:rPr>
          <w:rFonts w:hint="default" w:eastAsia="宋体"/>
          <w:lang w:val="en-US" w:eastAsia="zh-CN"/>
        </w:rPr>
      </w:pPr>
      <w:r>
        <w:rPr>
          <w:rFonts w:hint="eastAsia"/>
        </w:rPr>
        <w:t>——</w:t>
      </w:r>
      <w:r>
        <w:t>其他证明材料</w:t>
      </w:r>
      <w:r>
        <w:rPr>
          <w:rFonts w:hint="eastAsia"/>
          <w:lang w:eastAsia="zh-CN"/>
        </w:rPr>
        <w:t>，</w:t>
      </w:r>
      <w:r>
        <w:rPr>
          <w:rFonts w:hint="eastAsia"/>
          <w:lang w:val="en-US" w:eastAsia="zh-CN"/>
        </w:rPr>
        <w:t>包括但不限于：质量管理体系认证、职业健康管理体系认证、环境管理体系认证等</w:t>
      </w:r>
      <w:r>
        <w:rPr>
          <w:rFonts w:hint="eastAsia"/>
        </w:rPr>
        <w:t>。</w:t>
      </w:r>
    </w:p>
    <w:p w14:paraId="0C56882F">
      <w:pPr>
        <w:pStyle w:val="6"/>
        <w:spacing w:before="120" w:after="120"/>
      </w:pPr>
      <w:r>
        <w:rPr>
          <w:rFonts w:hint="eastAsia"/>
        </w:rPr>
        <w:t>文件审查</w:t>
      </w:r>
    </w:p>
    <w:p w14:paraId="6C9B5CB3">
      <w:pPr>
        <w:ind w:firstLine="420"/>
        <w:rPr>
          <w:rFonts w:ascii="宋体" w:hAnsi="Times New Roman"/>
          <w:kern w:val="0"/>
          <w:szCs w:val="20"/>
        </w:rPr>
      </w:pPr>
      <w:r>
        <w:rPr>
          <w:rFonts w:hint="eastAsia" w:ascii="宋体" w:hAnsi="Times New Roman"/>
          <w:kern w:val="0"/>
          <w:szCs w:val="20"/>
        </w:rPr>
        <w:t>评定机构应在</w:t>
      </w:r>
      <w:r>
        <w:rPr>
          <w:rFonts w:hint="eastAsia" w:ascii="宋体" w:hAnsi="Times New Roman"/>
          <w:kern w:val="0"/>
          <w:szCs w:val="20"/>
          <w:lang w:val="en-US" w:eastAsia="zh-CN"/>
        </w:rPr>
        <w:t>2</w:t>
      </w:r>
      <w:r>
        <w:rPr>
          <w:rFonts w:hint="eastAsia" w:ascii="宋体" w:hAnsi="Times New Roman"/>
          <w:kern w:val="0"/>
          <w:szCs w:val="20"/>
        </w:rPr>
        <w:t>0个工作日内完成材料完整性与合规性审查，不符合要求的应一次性告知补正。</w:t>
      </w:r>
    </w:p>
    <w:p w14:paraId="13750EDC">
      <w:pPr>
        <w:pStyle w:val="6"/>
        <w:spacing w:before="120" w:after="120"/>
      </w:pPr>
      <w:bookmarkStart w:id="70" w:name="OLE_LINK11"/>
      <w:r>
        <w:rPr>
          <w:rFonts w:hint="eastAsia"/>
        </w:rPr>
        <w:t>现场评定</w:t>
      </w:r>
      <w:r>
        <w:rPr>
          <w:rFonts w:hint="eastAsia"/>
          <w:lang w:eastAsia="zh-CN"/>
        </w:rPr>
        <w:t>（</w:t>
      </w:r>
      <w:r>
        <w:rPr>
          <w:rFonts w:hint="eastAsia"/>
          <w:lang w:val="en-US" w:eastAsia="zh-CN"/>
        </w:rPr>
        <w:t>抽查）</w:t>
      </w:r>
    </w:p>
    <w:p w14:paraId="02E660B4">
      <w:pPr>
        <w:pStyle w:val="4"/>
        <w:ind w:firstLine="420"/>
      </w:pPr>
      <w:r>
        <w:t>现场评定应遵循以下基本程序和要求</w:t>
      </w:r>
      <w:r>
        <w:rPr>
          <w:rFonts w:hint="eastAsia"/>
        </w:rPr>
        <w:t>：</w:t>
      </w:r>
    </w:p>
    <w:bookmarkEnd w:id="70"/>
    <w:p w14:paraId="00313D3B">
      <w:pPr>
        <w:pStyle w:val="4"/>
        <w:ind w:firstLine="420"/>
      </w:pPr>
      <w:r>
        <w:rPr>
          <w:rFonts w:hint="eastAsia"/>
        </w:rPr>
        <w:t>——现场评定组</w:t>
      </w:r>
      <w:r>
        <w:rPr>
          <w:rFonts w:hint="eastAsia"/>
          <w:lang w:val="en-US" w:eastAsia="zh-CN"/>
        </w:rPr>
        <w:t>应</w:t>
      </w:r>
      <w:r>
        <w:rPr>
          <w:rFonts w:hint="eastAsia"/>
        </w:rPr>
        <w:t>由不少于3名专家组成，专家专业领域覆盖会展运营、建筑安全、绿色节能、数字化等方面。</w:t>
      </w:r>
    </w:p>
    <w:p w14:paraId="4679AA52">
      <w:pPr>
        <w:pStyle w:val="4"/>
        <w:ind w:firstLine="420"/>
        <w:rPr>
          <w:rFonts w:hint="eastAsia"/>
          <w:color w:val="auto"/>
        </w:rPr>
      </w:pPr>
      <w:r>
        <w:rPr>
          <w:rFonts w:hint="eastAsia"/>
        </w:rPr>
        <w:t>—</w:t>
      </w:r>
      <w:r>
        <w:rPr>
          <w:rFonts w:hint="eastAsia"/>
          <w:color w:val="auto"/>
        </w:rPr>
        <w:t>—现场评定采用抽查方式开展，抽查概率为</w:t>
      </w:r>
      <w:r>
        <w:rPr>
          <w:rFonts w:hint="eastAsia"/>
          <w:color w:val="auto"/>
          <w:lang w:val="en-US" w:eastAsia="zh-CN"/>
        </w:rPr>
        <w:t>5</w:t>
      </w:r>
      <w:r>
        <w:rPr>
          <w:rFonts w:hint="eastAsia"/>
          <w:color w:val="auto"/>
        </w:rPr>
        <w:t>%</w:t>
      </w:r>
      <w:r>
        <w:rPr>
          <w:color w:val="auto"/>
        </w:rPr>
        <w:t>；</w:t>
      </w:r>
      <w:r>
        <w:rPr>
          <w:rFonts w:hint="eastAsia"/>
          <w:color w:val="auto"/>
        </w:rPr>
        <w:t>未抽中的申请场馆不开展现场评定，直接进入专家</w:t>
      </w:r>
      <w:r>
        <w:rPr>
          <w:rFonts w:hint="eastAsia"/>
          <w:color w:val="auto"/>
          <w:lang w:val="en-US" w:eastAsia="zh-CN"/>
        </w:rPr>
        <w:t>对提交材料进行</w:t>
      </w:r>
      <w:r>
        <w:rPr>
          <w:rFonts w:hint="eastAsia"/>
          <w:color w:val="auto"/>
        </w:rPr>
        <w:t>评审。</w:t>
      </w:r>
    </w:p>
    <w:p w14:paraId="39923889">
      <w:pPr>
        <w:pStyle w:val="4"/>
        <w:ind w:firstLine="420"/>
        <w:rPr>
          <w:rFonts w:hint="eastAsia" w:eastAsia="宋体"/>
          <w:color w:val="auto"/>
          <w:lang w:eastAsia="zh-CN"/>
        </w:rPr>
      </w:pPr>
      <w:r>
        <w:rPr>
          <w:rFonts w:hint="eastAsia"/>
          <w:color w:val="auto"/>
        </w:rPr>
        <w:t>——现场评定发现不符合项的，评定机构应出具整改意见并明确整改期限；申请单位整改后提交材料，评定机构组织复核；复核仍不符合的，评定不通过</w:t>
      </w:r>
      <w:r>
        <w:rPr>
          <w:rFonts w:hint="eastAsia"/>
          <w:color w:val="auto"/>
          <w:lang w:eastAsia="zh-CN"/>
        </w:rPr>
        <w:t>。</w:t>
      </w:r>
    </w:p>
    <w:p w14:paraId="4EBEF1AE">
      <w:pPr>
        <w:pStyle w:val="4"/>
        <w:ind w:firstLine="420"/>
        <w:rPr>
          <w:rFonts w:hint="eastAsia" w:eastAsia="宋体"/>
          <w:lang w:val="en-US" w:eastAsia="zh-CN"/>
        </w:rPr>
      </w:pPr>
      <w:r>
        <w:rPr>
          <w:rFonts w:hint="eastAsia"/>
        </w:rPr>
        <w:t>——</w:t>
      </w:r>
      <w:r>
        <w:t>评分结果汇总后由评定组全体成员签字确认。</w:t>
      </w:r>
    </w:p>
    <w:p w14:paraId="73031477">
      <w:pPr>
        <w:pStyle w:val="6"/>
        <w:spacing w:before="120" w:after="120"/>
      </w:pPr>
      <w:r>
        <w:rPr>
          <w:rFonts w:hint="eastAsia"/>
        </w:rPr>
        <w:t>专家评审</w:t>
      </w:r>
    </w:p>
    <w:p w14:paraId="0B986B1D">
      <w:pPr>
        <w:ind w:firstLine="420" w:firstLineChars="200"/>
        <w:rPr>
          <w:rFonts w:ascii="宋体" w:hAnsi="Times New Roman"/>
          <w:kern w:val="0"/>
          <w:szCs w:val="20"/>
        </w:rPr>
      </w:pPr>
      <w:r>
        <w:rPr>
          <w:rFonts w:hint="eastAsia" w:ascii="宋体" w:hAnsi="Times New Roman"/>
          <w:kern w:val="0"/>
          <w:szCs w:val="20"/>
        </w:rPr>
        <w:t>评定机构</w:t>
      </w:r>
      <w:r>
        <w:rPr>
          <w:rFonts w:hint="eastAsia" w:ascii="宋体" w:hAnsi="Times New Roman"/>
          <w:kern w:val="0"/>
          <w:szCs w:val="20"/>
          <w:lang w:val="en-US" w:eastAsia="zh-CN"/>
        </w:rPr>
        <w:t>应</w:t>
      </w:r>
      <w:r>
        <w:rPr>
          <w:rFonts w:hint="eastAsia" w:ascii="宋体" w:hAnsi="Times New Roman"/>
          <w:kern w:val="0"/>
          <w:szCs w:val="20"/>
        </w:rPr>
        <w:t>组织</w:t>
      </w:r>
      <w:r>
        <w:rPr>
          <w:rFonts w:hint="eastAsia" w:ascii="宋体" w:hAnsi="Times New Roman"/>
          <w:kern w:val="0"/>
          <w:szCs w:val="20"/>
          <w:lang w:val="en-US" w:eastAsia="zh-CN"/>
        </w:rPr>
        <w:t>不少于3</w:t>
      </w:r>
      <w:r>
        <w:rPr>
          <w:rFonts w:hint="eastAsia" w:ascii="宋体" w:hAnsi="Times New Roman"/>
          <w:kern w:val="0"/>
          <w:szCs w:val="20"/>
        </w:rPr>
        <w:t>人的综合评审委员会，对评分过程及结果进行复核并形成评审意见。</w:t>
      </w:r>
    </w:p>
    <w:p w14:paraId="63EB3979">
      <w:pPr>
        <w:pStyle w:val="6"/>
        <w:spacing w:before="120" w:after="120"/>
      </w:pPr>
      <w:r>
        <w:rPr>
          <w:rFonts w:hint="eastAsia"/>
        </w:rPr>
        <w:t>公示</w:t>
      </w:r>
    </w:p>
    <w:p w14:paraId="6D698333">
      <w:pPr>
        <w:spacing w:line="240" w:lineRule="auto"/>
        <w:ind w:firstLine="420" w:firstLineChars="200"/>
        <w:rPr>
          <w:rFonts w:ascii="宋体" w:hAnsi="Times New Roman"/>
          <w:kern w:val="0"/>
          <w:szCs w:val="20"/>
        </w:rPr>
      </w:pPr>
      <w:r>
        <w:rPr>
          <w:rFonts w:hint="eastAsia" w:ascii="宋体" w:hAnsi="Times New Roman"/>
          <w:kern w:val="0"/>
          <w:szCs w:val="20"/>
        </w:rPr>
        <w:t>评定机构应对评定结果进行不少于15日的公示，公示内容包括场馆名称、等级、有效期及主要评分信息。公示期内无异议或异议处理完毕后，由评定机构颁发等级证书和标识。</w:t>
      </w:r>
    </w:p>
    <w:p w14:paraId="7E63F86E">
      <w:pPr>
        <w:pStyle w:val="166"/>
        <w:spacing w:before="240" w:beforeLines="100" w:after="240" w:afterLines="100"/>
        <w:ind w:left="0"/>
        <w:rPr>
          <w:rFonts w:ascii="黑体" w:hAnsi="黑体" w:eastAsia="黑体"/>
        </w:rPr>
      </w:pPr>
      <w:bookmarkStart w:id="71" w:name="OLE_LINK12"/>
      <w:r>
        <w:rPr>
          <w:rFonts w:hint="eastAsia" w:ascii="黑体" w:hAnsi="黑体" w:eastAsia="黑体"/>
        </w:rPr>
        <w:t>证书与标识</w:t>
      </w:r>
    </w:p>
    <w:p w14:paraId="70BF59B2">
      <w:pPr>
        <w:pStyle w:val="6"/>
        <w:spacing w:before="120" w:after="120"/>
      </w:pPr>
      <w:r>
        <w:t>证书</w:t>
      </w:r>
    </w:p>
    <w:bookmarkEnd w:id="71"/>
    <w:p w14:paraId="002E6B6B">
      <w:pPr>
        <w:pStyle w:val="4"/>
        <w:ind w:firstLine="420" w:firstLineChars="0"/>
      </w:pPr>
      <w:r>
        <w:t>等级证书应</w:t>
      </w:r>
      <w:r>
        <w:rPr>
          <w:rFonts w:hint="eastAsia"/>
        </w:rPr>
        <w:t>包括但不限于</w:t>
      </w:r>
      <w:r>
        <w:t>场馆名称、等级、证书编号、批准日期、有效期及评定机构名称。</w:t>
      </w:r>
    </w:p>
    <w:p w14:paraId="70994CDB">
      <w:pPr>
        <w:pStyle w:val="6"/>
        <w:spacing w:before="120" w:after="120"/>
      </w:pPr>
      <w:r>
        <w:rPr>
          <w:rFonts w:hint="eastAsia"/>
        </w:rPr>
        <w:t>标识</w:t>
      </w:r>
    </w:p>
    <w:p w14:paraId="7F81FDD9">
      <w:pPr>
        <w:pStyle w:val="4"/>
        <w:ind w:firstLine="420" w:firstLineChars="0"/>
      </w:pPr>
      <w:r>
        <w:t>场馆可在官网、对外宣传资料及入口处显著位置使用等级标识。</w:t>
      </w:r>
    </w:p>
    <w:p w14:paraId="71211C9E">
      <w:pPr>
        <w:pStyle w:val="166"/>
        <w:spacing w:before="240" w:beforeLines="100" w:after="240" w:afterLines="100"/>
        <w:ind w:left="0"/>
        <w:rPr>
          <w:rFonts w:ascii="黑体" w:hAnsi="黑体" w:eastAsia="黑体"/>
        </w:rPr>
      </w:pPr>
      <w:bookmarkStart w:id="72" w:name="OLE_LINK16"/>
      <w:r>
        <w:rPr>
          <w:rFonts w:hint="eastAsia" w:ascii="黑体" w:hAnsi="黑体" w:eastAsia="黑体"/>
        </w:rPr>
        <w:t>有效期与复评</w:t>
      </w:r>
    </w:p>
    <w:bookmarkEnd w:id="72"/>
    <w:p w14:paraId="6FC2521B">
      <w:pPr>
        <w:spacing w:line="240" w:lineRule="auto"/>
        <w:ind w:firstLine="420"/>
        <w:rPr>
          <w:rFonts w:ascii="宋体" w:hAnsi="Times New Roman"/>
          <w:kern w:val="0"/>
          <w:szCs w:val="20"/>
        </w:rPr>
      </w:pPr>
      <w:r>
        <w:rPr>
          <w:rFonts w:hint="eastAsia" w:ascii="宋体" w:hAnsi="Times New Roman"/>
          <w:kern w:val="0"/>
          <w:szCs w:val="20"/>
        </w:rPr>
        <w:t>等级评定结果的有效性和持续性应符合以下规定：</w:t>
      </w:r>
    </w:p>
    <w:p w14:paraId="6E94DA26">
      <w:pPr>
        <w:spacing w:line="240" w:lineRule="auto"/>
        <w:ind w:firstLine="420"/>
        <w:rPr>
          <w:rFonts w:ascii="宋体" w:hAnsi="Times New Roman"/>
          <w:kern w:val="0"/>
          <w:szCs w:val="20"/>
        </w:rPr>
      </w:pPr>
      <w:r>
        <w:rPr>
          <w:rFonts w:hint="eastAsia" w:ascii="宋体" w:hAnsi="Times New Roman"/>
          <w:kern w:val="0"/>
          <w:szCs w:val="20"/>
        </w:rPr>
        <w:t>——</w:t>
      </w:r>
      <w:r>
        <w:rPr>
          <w:rFonts w:ascii="宋体" w:hAnsi="Times New Roman"/>
          <w:kern w:val="0"/>
          <w:szCs w:val="20"/>
        </w:rPr>
        <w:t>等级证书的有效期为</w:t>
      </w:r>
      <w:r>
        <w:rPr>
          <w:rFonts w:hint="eastAsia" w:ascii="宋体" w:hAnsi="Times New Roman"/>
          <w:kern w:val="0"/>
          <w:szCs w:val="20"/>
          <w:lang w:val="en-US" w:eastAsia="zh-CN"/>
        </w:rPr>
        <w:t>3</w:t>
      </w:r>
      <w:r>
        <w:rPr>
          <w:rFonts w:ascii="宋体" w:hAnsi="Times New Roman"/>
          <w:kern w:val="0"/>
          <w:szCs w:val="20"/>
        </w:rPr>
        <w:t>年，自证书签发之日起计算</w:t>
      </w:r>
      <w:r>
        <w:rPr>
          <w:rFonts w:hint="eastAsia" w:ascii="宋体" w:hAnsi="Times New Roman"/>
          <w:kern w:val="0"/>
          <w:szCs w:val="20"/>
        </w:rPr>
        <w:t>，</w:t>
      </w:r>
      <w:r>
        <w:rPr>
          <w:rFonts w:ascii="宋体" w:hAnsi="Times New Roman"/>
          <w:kern w:val="0"/>
          <w:szCs w:val="20"/>
        </w:rPr>
        <w:t>因重大改扩建可提前申请等级变更；</w:t>
      </w:r>
    </w:p>
    <w:p w14:paraId="6F7685B2">
      <w:pPr>
        <w:spacing w:line="240" w:lineRule="auto"/>
        <w:ind w:firstLine="420"/>
        <w:rPr>
          <w:rFonts w:ascii="宋体" w:hAnsi="Times New Roman"/>
          <w:kern w:val="0"/>
          <w:szCs w:val="20"/>
        </w:rPr>
      </w:pPr>
      <w:r>
        <w:rPr>
          <w:rFonts w:hint="eastAsia" w:ascii="宋体" w:hAnsi="Times New Roman"/>
          <w:kern w:val="0"/>
          <w:szCs w:val="20"/>
        </w:rPr>
        <w:t>——</w:t>
      </w:r>
      <w:r>
        <w:rPr>
          <w:rFonts w:ascii="宋体" w:hAnsi="Times New Roman"/>
          <w:kern w:val="0"/>
          <w:szCs w:val="20"/>
        </w:rPr>
        <w:t>证书到期前</w:t>
      </w:r>
      <w:r>
        <w:rPr>
          <w:rFonts w:hint="eastAsia" w:ascii="宋体" w:hAnsi="Times New Roman"/>
          <w:kern w:val="0"/>
          <w:szCs w:val="20"/>
        </w:rPr>
        <w:t>3</w:t>
      </w:r>
      <w:r>
        <w:rPr>
          <w:rFonts w:ascii="宋体" w:hAnsi="Times New Roman"/>
          <w:kern w:val="0"/>
          <w:szCs w:val="20"/>
        </w:rPr>
        <w:t>个月内，场馆可向评定机构提出复评申请；</w:t>
      </w:r>
    </w:p>
    <w:p w14:paraId="7082E89A">
      <w:pPr>
        <w:spacing w:line="240" w:lineRule="auto"/>
        <w:ind w:firstLine="420"/>
        <w:rPr>
          <w:rFonts w:ascii="宋体" w:hAnsi="Times New Roman"/>
          <w:kern w:val="0"/>
          <w:szCs w:val="20"/>
        </w:rPr>
      </w:pPr>
      <w:r>
        <w:rPr>
          <w:rFonts w:hint="eastAsia" w:ascii="宋体" w:hAnsi="Times New Roman"/>
          <w:kern w:val="0"/>
          <w:szCs w:val="20"/>
        </w:rPr>
        <w:t>——</w:t>
      </w:r>
      <w:r>
        <w:rPr>
          <w:rFonts w:ascii="宋体" w:hAnsi="Times New Roman"/>
          <w:kern w:val="0"/>
          <w:szCs w:val="20"/>
        </w:rPr>
        <w:t>复评结果如不满足原等级所对应的</w:t>
      </w:r>
      <w:r>
        <w:rPr>
          <w:rFonts w:hint="eastAsia" w:ascii="宋体" w:hAnsi="Times New Roman"/>
          <w:kern w:val="0"/>
          <w:szCs w:val="20"/>
          <w:lang w:eastAsia="zh-CN"/>
        </w:rPr>
        <w:t>主评定指标得分</w:t>
      </w:r>
      <w:r>
        <w:rPr>
          <w:rFonts w:hint="eastAsia" w:ascii="宋体" w:hAnsi="Times New Roman"/>
          <w:kern w:val="0"/>
          <w:szCs w:val="20"/>
        </w:rPr>
        <w:t>、</w:t>
      </w:r>
      <w:r>
        <w:rPr>
          <w:rFonts w:hint="eastAsia" w:ascii="宋体" w:hAnsi="Times New Roman"/>
          <w:kern w:val="0"/>
          <w:szCs w:val="20"/>
          <w:lang w:eastAsia="zh-CN"/>
        </w:rPr>
        <w:t>辅助评定指标得分</w:t>
      </w:r>
      <w:r>
        <w:rPr>
          <w:rFonts w:hint="eastAsia" w:ascii="宋体" w:hAnsi="Times New Roman"/>
          <w:kern w:val="0"/>
          <w:szCs w:val="20"/>
        </w:rPr>
        <w:t>和总分</w:t>
      </w:r>
      <w:r>
        <w:rPr>
          <w:rFonts w:ascii="宋体" w:hAnsi="Times New Roman"/>
          <w:kern w:val="0"/>
          <w:szCs w:val="20"/>
        </w:rPr>
        <w:t>要求的，应相应</w:t>
      </w:r>
      <w:r>
        <w:rPr>
          <w:rFonts w:hint="eastAsia" w:ascii="宋体" w:hAnsi="Times New Roman"/>
          <w:kern w:val="0"/>
          <w:szCs w:val="20"/>
        </w:rPr>
        <w:t>调整</w:t>
      </w:r>
      <w:r>
        <w:rPr>
          <w:rFonts w:ascii="宋体" w:hAnsi="Times New Roman"/>
          <w:kern w:val="0"/>
          <w:szCs w:val="20"/>
        </w:rPr>
        <w:t>等级；</w:t>
      </w:r>
    </w:p>
    <w:p w14:paraId="2F4957A7">
      <w:pPr>
        <w:spacing w:line="240" w:lineRule="auto"/>
        <w:ind w:firstLine="420"/>
        <w:rPr>
          <w:rFonts w:ascii="宋体" w:hAnsi="Times New Roman"/>
          <w:kern w:val="0"/>
          <w:szCs w:val="20"/>
        </w:rPr>
      </w:pPr>
      <w:r>
        <w:rPr>
          <w:rFonts w:hint="eastAsia" w:ascii="宋体" w:hAnsi="Times New Roman"/>
          <w:kern w:val="0"/>
          <w:szCs w:val="20"/>
        </w:rPr>
        <w:t>——</w:t>
      </w:r>
      <w:r>
        <w:rPr>
          <w:rFonts w:ascii="宋体" w:hAnsi="Times New Roman"/>
          <w:kern w:val="0"/>
          <w:szCs w:val="20"/>
        </w:rPr>
        <w:t>在有效期内，若场馆发生重大安全事故，评定机构应及时启动等级撤销或降级程序。</w:t>
      </w:r>
    </w:p>
    <w:p w14:paraId="09224C7C">
      <w:pPr>
        <w:pStyle w:val="166"/>
        <w:spacing w:before="240" w:beforeLines="100" w:after="240" w:afterLines="100"/>
        <w:ind w:left="0"/>
        <w:rPr>
          <w:rFonts w:ascii="黑体" w:hAnsi="黑体" w:eastAsia="黑体"/>
        </w:rPr>
      </w:pPr>
      <w:bookmarkStart w:id="73" w:name="OLE_LINK18"/>
      <w:r>
        <w:rPr>
          <w:rFonts w:ascii="黑体" w:hAnsi="黑体" w:eastAsia="黑体"/>
        </w:rPr>
        <w:t>异议与申诉</w:t>
      </w:r>
    </w:p>
    <w:bookmarkEnd w:id="73"/>
    <w:p w14:paraId="2B79DA98">
      <w:pPr>
        <w:spacing w:line="240" w:lineRule="auto"/>
        <w:ind w:firstLine="420"/>
        <w:rPr>
          <w:rFonts w:ascii="宋体" w:hAnsi="Times New Roman"/>
          <w:kern w:val="0"/>
          <w:szCs w:val="20"/>
        </w:rPr>
      </w:pPr>
      <w:r>
        <w:rPr>
          <w:rFonts w:hint="eastAsia" w:ascii="宋体" w:hAnsi="Times New Roman"/>
          <w:kern w:val="0"/>
          <w:szCs w:val="20"/>
        </w:rPr>
        <w:t>申请单位或利害关系人对评定结果有异议的，可自公示期结束日起30日内向评定机构提交书面申诉。评定机构应自受理之日起20个工作日内组织复核并反馈处理结果。</w:t>
      </w:r>
      <w:bookmarkEnd w:id="54"/>
      <w:bookmarkEnd w:id="55"/>
    </w:p>
    <w:p w14:paraId="65F59F3B">
      <w:pPr>
        <w:pStyle w:val="2"/>
      </w:pPr>
      <w:r>
        <w:rPr>
          <w:rFonts w:hint="eastAsia"/>
          <w:lang w:eastAsia="zh-CN"/>
        </w:rPr>
        <w:t>评定机构</w:t>
      </w:r>
    </w:p>
    <w:p w14:paraId="39D36D22">
      <w:pPr>
        <w:pStyle w:val="166"/>
        <w:spacing w:before="240" w:beforeLines="100" w:after="240" w:afterLines="100"/>
        <w:ind w:left="0"/>
        <w:rPr>
          <w:rFonts w:ascii="黑体" w:hAnsi="黑体" w:eastAsia="黑体"/>
        </w:rPr>
      </w:pPr>
      <w:r>
        <w:rPr>
          <w:rFonts w:hint="eastAsia" w:ascii="黑体" w:hAnsi="黑体" w:eastAsia="黑体"/>
        </w:rPr>
        <w:t>定位</w:t>
      </w:r>
    </w:p>
    <w:p w14:paraId="4E2D7C78">
      <w:pPr>
        <w:pStyle w:val="4"/>
        <w:ind w:firstLine="420"/>
      </w:pPr>
      <w:r>
        <w:rPr>
          <w:rFonts w:hint="eastAsia"/>
          <w:lang w:eastAsia="zh-CN"/>
        </w:rPr>
        <w:t>评定机构</w:t>
      </w:r>
      <w:r>
        <w:rPr>
          <w:rFonts w:hint="eastAsia"/>
        </w:rPr>
        <w:t>是承担会展场馆等级评定的第三方主体，应保持技术独立、公正客观，并对评定结果的真实性和有效性负责。</w:t>
      </w:r>
    </w:p>
    <w:p w14:paraId="52D843CC">
      <w:pPr>
        <w:pStyle w:val="166"/>
        <w:spacing w:before="240" w:beforeLines="100" w:after="240" w:afterLines="100"/>
        <w:ind w:left="0"/>
        <w:rPr>
          <w:rFonts w:ascii="黑体" w:hAnsi="黑体" w:eastAsia="黑体"/>
        </w:rPr>
      </w:pPr>
      <w:bookmarkStart w:id="74" w:name="OLE_LINK17"/>
      <w:r>
        <w:rPr>
          <w:rFonts w:hint="eastAsia" w:ascii="黑体" w:hAnsi="黑体" w:eastAsia="黑体"/>
        </w:rPr>
        <w:t>设立条件</w:t>
      </w:r>
    </w:p>
    <w:bookmarkEnd w:id="74"/>
    <w:p w14:paraId="132C1C32">
      <w:pPr>
        <w:pStyle w:val="166"/>
        <w:numPr>
          <w:ilvl w:val="0"/>
          <w:numId w:val="0"/>
        </w:numPr>
        <w:ind w:firstLine="420"/>
        <w:rPr>
          <w:rFonts w:hAnsi="宋体"/>
        </w:rPr>
      </w:pPr>
      <w:r>
        <w:rPr>
          <w:rFonts w:hint="eastAsia" w:hAnsi="宋体"/>
        </w:rPr>
        <w:t>为保证</w:t>
      </w:r>
      <w:r>
        <w:rPr>
          <w:rFonts w:hint="eastAsia" w:hAnsi="宋体"/>
          <w:lang w:eastAsia="zh-CN"/>
        </w:rPr>
        <w:t>评定工作</w:t>
      </w:r>
      <w:r>
        <w:rPr>
          <w:rFonts w:hint="eastAsia" w:hAnsi="宋体"/>
        </w:rPr>
        <w:t>的合法性与专业性，</w:t>
      </w:r>
      <w:r>
        <w:rPr>
          <w:rFonts w:hint="eastAsia" w:hAnsi="宋体"/>
          <w:lang w:eastAsia="zh-CN"/>
        </w:rPr>
        <w:t>评定机构</w:t>
      </w:r>
      <w:r>
        <w:rPr>
          <w:rFonts w:hint="eastAsia" w:hAnsi="宋体"/>
        </w:rPr>
        <w:t>应满足以下基本条件：</w:t>
      </w:r>
    </w:p>
    <w:p w14:paraId="6907315A">
      <w:pPr>
        <w:pStyle w:val="166"/>
        <w:numPr>
          <w:ilvl w:val="0"/>
          <w:numId w:val="0"/>
        </w:numPr>
        <w:ind w:left="420"/>
        <w:rPr>
          <w:rFonts w:hAnsi="宋体"/>
        </w:rPr>
      </w:pPr>
      <w:r>
        <w:rPr>
          <w:rFonts w:hint="eastAsia" w:hAnsi="宋体"/>
        </w:rPr>
        <w:t>——在中华人民共和国境内依法设立或者依法登记</w:t>
      </w:r>
      <w:r>
        <w:rPr>
          <w:rFonts w:hint="eastAsia" w:hAnsi="宋体"/>
          <w:lang w:eastAsia="zh-CN"/>
        </w:rPr>
        <w:t>；</w:t>
      </w:r>
      <w:r>
        <w:rPr>
          <w:rFonts w:hAnsi="宋体"/>
        </w:rPr>
        <w:br w:type="textWrapping"/>
      </w:r>
      <w:r>
        <w:rPr>
          <w:rFonts w:hint="eastAsia" w:hAnsi="宋体"/>
        </w:rPr>
        <w:t>——</w:t>
      </w:r>
      <w:r>
        <w:rPr>
          <w:rFonts w:hAnsi="宋体"/>
        </w:rPr>
        <w:t>取得社会</w:t>
      </w:r>
      <w:r>
        <w:rPr>
          <w:rFonts w:hint="eastAsia" w:hAnsi="宋体"/>
          <w:lang w:eastAsia="zh-CN"/>
        </w:rPr>
        <w:t>评定机构</w:t>
      </w:r>
      <w:r>
        <w:rPr>
          <w:rFonts w:hAnsi="宋体"/>
        </w:rPr>
        <w:t>资质或经行业主管部门认可；</w:t>
      </w:r>
      <w:r>
        <w:rPr>
          <w:rFonts w:hAnsi="宋体"/>
        </w:rPr>
        <w:br w:type="textWrapping"/>
      </w:r>
      <w:r>
        <w:rPr>
          <w:rFonts w:hint="eastAsia" w:hAnsi="宋体"/>
        </w:rPr>
        <w:t>——</w:t>
      </w:r>
      <w:r>
        <w:rPr>
          <w:rFonts w:hAnsi="宋体"/>
        </w:rPr>
        <w:t>具有固定办公场所、必要的</w:t>
      </w:r>
      <w:r>
        <w:rPr>
          <w:rFonts w:hint="eastAsia" w:hAnsi="宋体"/>
          <w:lang w:val="en-US" w:eastAsia="zh-CN"/>
        </w:rPr>
        <w:t>评审标准依据</w:t>
      </w:r>
      <w:r>
        <w:rPr>
          <w:rFonts w:hint="eastAsia" w:hAnsi="宋体"/>
        </w:rPr>
        <w:t>等</w:t>
      </w:r>
      <w:r>
        <w:rPr>
          <w:rFonts w:hAnsi="宋体"/>
        </w:rPr>
        <w:t>；</w:t>
      </w:r>
      <w:r>
        <w:rPr>
          <w:rFonts w:hAnsi="宋体"/>
        </w:rPr>
        <w:br w:type="textWrapping"/>
      </w:r>
      <w:r>
        <w:rPr>
          <w:rFonts w:hint="eastAsia" w:hAnsi="宋体"/>
        </w:rPr>
        <w:t>——</w:t>
      </w:r>
      <w:r>
        <w:rPr>
          <w:rFonts w:hAnsi="宋体"/>
        </w:rPr>
        <w:t>近三年内无重大违法违规记录或因</w:t>
      </w:r>
      <w:r>
        <w:rPr>
          <w:rFonts w:hint="eastAsia" w:hAnsi="宋体"/>
          <w:lang w:eastAsia="zh-CN"/>
        </w:rPr>
        <w:t>评定结论</w:t>
      </w:r>
      <w:r>
        <w:rPr>
          <w:rFonts w:hAnsi="宋体"/>
        </w:rPr>
        <w:t>被行政处罚的情况。</w:t>
      </w:r>
    </w:p>
    <w:p w14:paraId="0A2A9F63">
      <w:pPr>
        <w:pStyle w:val="166"/>
        <w:spacing w:before="240" w:beforeLines="100" w:after="240" w:afterLines="100"/>
        <w:ind w:left="0"/>
        <w:rPr>
          <w:rFonts w:ascii="黑体" w:hAnsi="黑体" w:eastAsia="黑体"/>
        </w:rPr>
      </w:pPr>
      <w:bookmarkStart w:id="75" w:name="OLE_LINK20"/>
      <w:bookmarkStart w:id="76" w:name="OLE_LINK21"/>
      <w:r>
        <w:rPr>
          <w:rFonts w:hint="eastAsia" w:ascii="黑体" w:hAnsi="黑体" w:eastAsia="黑体"/>
        </w:rPr>
        <w:t>人员要求</w:t>
      </w:r>
    </w:p>
    <w:bookmarkEnd w:id="75"/>
    <w:p w14:paraId="0105CFB0">
      <w:pPr>
        <w:pStyle w:val="169"/>
        <w:spacing w:before="120" w:beforeLines="50" w:after="120" w:afterLines="50"/>
      </w:pPr>
      <w:bookmarkStart w:id="77" w:name="OLE_LINK7"/>
      <w:r>
        <w:rPr>
          <w:rFonts w:hint="eastAsia"/>
          <w:lang w:eastAsia="zh-CN"/>
        </w:rPr>
        <w:t>评定机构</w:t>
      </w:r>
      <w:r>
        <w:t>的技术负责人及专家应遵守国家法律法规和社会公德，具备严谨的科学态度与良好职业道德</w:t>
      </w:r>
      <w:r>
        <w:rPr>
          <w:rFonts w:hint="eastAsia"/>
        </w:rPr>
        <w:t>。</w:t>
      </w:r>
    </w:p>
    <w:bookmarkEnd w:id="76"/>
    <w:p w14:paraId="1AD196CF">
      <w:pPr>
        <w:pStyle w:val="169"/>
        <w:spacing w:before="120" w:beforeLines="50" w:after="120" w:afterLines="50"/>
      </w:pPr>
      <w:r>
        <w:rPr>
          <w:rFonts w:hint="eastAsia"/>
          <w:lang w:eastAsia="zh-CN"/>
        </w:rPr>
        <w:t>评定机构</w:t>
      </w:r>
      <w:r>
        <w:t>的人员与专家在会展场馆规划设计、运营管理、安全保障、绿色节能及数字化技术等领域，应具有较丰富的理论知识和实践经验，能够独立开展</w:t>
      </w:r>
      <w:r>
        <w:rPr>
          <w:rFonts w:hint="eastAsia"/>
          <w:lang w:eastAsia="zh-CN"/>
        </w:rPr>
        <w:t>综合评定</w:t>
      </w:r>
      <w:r>
        <w:rPr>
          <w:rFonts w:hint="eastAsia"/>
        </w:rPr>
        <w:t>。</w:t>
      </w:r>
    </w:p>
    <w:p w14:paraId="2FC33799">
      <w:pPr>
        <w:pStyle w:val="169"/>
        <w:spacing w:before="120" w:beforeLines="50" w:after="120" w:afterLines="50"/>
      </w:pPr>
      <w:r>
        <w:rPr>
          <w:rFonts w:hint="eastAsia"/>
          <w:lang w:eastAsia="zh-CN"/>
        </w:rPr>
        <w:t>评定机构</w:t>
      </w:r>
      <w:r>
        <w:t>的人员与专家参与会展场馆</w:t>
      </w:r>
      <w:r>
        <w:rPr>
          <w:rFonts w:hint="eastAsia"/>
          <w:lang w:eastAsia="zh-CN"/>
        </w:rPr>
        <w:t>评定活动</w:t>
      </w:r>
      <w:r>
        <w:t>时，应签署公正性与保密声明，承诺遵守各项公正性及保密守则</w:t>
      </w:r>
      <w:r>
        <w:rPr>
          <w:rFonts w:hint="eastAsia"/>
        </w:rPr>
        <w:t>。</w:t>
      </w:r>
    </w:p>
    <w:p w14:paraId="3A7AEB72">
      <w:pPr>
        <w:pStyle w:val="169"/>
        <w:spacing w:before="120" w:beforeLines="50" w:after="120" w:afterLines="50"/>
      </w:pPr>
      <w:r>
        <w:rPr>
          <w:rFonts w:hint="eastAsia"/>
          <w:lang w:eastAsia="zh-CN"/>
        </w:rPr>
        <w:t>评定机构</w:t>
      </w:r>
      <w:r>
        <w:t>的人员与专家应与被评场馆无利益关联或直接行政隶属关系，凡存在潜在利益冲突者应主动回避，并在</w:t>
      </w:r>
      <w:r>
        <w:rPr>
          <w:rFonts w:hint="eastAsia"/>
          <w:lang w:eastAsia="zh-CN"/>
        </w:rPr>
        <w:t>评定过程</w:t>
      </w:r>
      <w:r>
        <w:t>中客观履行职责，对最终结论负责。</w:t>
      </w:r>
    </w:p>
    <w:bookmarkEnd w:id="77"/>
    <w:p w14:paraId="275E1328">
      <w:pPr>
        <w:pStyle w:val="166"/>
        <w:spacing w:before="240" w:beforeLines="100" w:after="240" w:afterLines="100"/>
        <w:ind w:left="0"/>
        <w:rPr>
          <w:rFonts w:ascii="黑体" w:hAnsi="黑体" w:eastAsia="黑体"/>
        </w:rPr>
      </w:pPr>
      <w:r>
        <w:rPr>
          <w:rFonts w:ascii="黑体" w:hAnsi="黑体" w:eastAsia="黑体"/>
        </w:rPr>
        <w:t>质量保证及监督管理</w:t>
      </w:r>
    </w:p>
    <w:p w14:paraId="243B51CA">
      <w:pPr>
        <w:pStyle w:val="169"/>
        <w:spacing w:before="120" w:beforeLines="50" w:after="120" w:afterLines="50"/>
      </w:pPr>
      <w:r>
        <w:rPr>
          <w:rFonts w:hint="eastAsia"/>
          <w:lang w:eastAsia="zh-CN"/>
        </w:rPr>
        <w:t>评定机构</w:t>
      </w:r>
      <w:r>
        <w:rPr>
          <w:rFonts w:hint="eastAsia"/>
        </w:rPr>
        <w:t>应每12个月内部审核一次，每24个月接受一次外部监督审核。</w:t>
      </w:r>
    </w:p>
    <w:p w14:paraId="157BF3AA">
      <w:pPr>
        <w:pStyle w:val="169"/>
        <w:spacing w:before="120" w:beforeLines="50" w:after="120" w:afterLines="50"/>
      </w:pPr>
      <w:r>
        <w:rPr>
          <w:rFonts w:hint="eastAsia"/>
        </w:rPr>
        <w:t>归口单位（中国国际贸易促进委员会商业行业委员会）应对</w:t>
      </w:r>
      <w:r>
        <w:rPr>
          <w:rFonts w:hint="eastAsia"/>
          <w:lang w:eastAsia="zh-CN"/>
        </w:rPr>
        <w:t>评定机构</w:t>
      </w:r>
      <w:r>
        <w:rPr>
          <w:rFonts w:hint="eastAsia"/>
        </w:rPr>
        <w:t>实施年度监督抽查。</w:t>
      </w:r>
    </w:p>
    <w:p w14:paraId="099D4927">
      <w:pPr>
        <w:pStyle w:val="169"/>
        <w:spacing w:before="120" w:beforeLines="50" w:after="120" w:afterLines="50"/>
      </w:pPr>
      <w:r>
        <w:t>对出现下列情形之一的</w:t>
      </w:r>
      <w:r>
        <w:rPr>
          <w:rFonts w:hint="eastAsia"/>
          <w:lang w:eastAsia="zh-CN"/>
        </w:rPr>
        <w:t>评定机构</w:t>
      </w:r>
      <w:r>
        <w:t>，归口单位可责令限期整改、</w:t>
      </w:r>
      <w:r>
        <w:rPr>
          <w:rFonts w:hint="eastAsia"/>
        </w:rPr>
        <w:t>暂停部分评定业务</w:t>
      </w:r>
      <w:r>
        <w:t>直至取消其评定资格：</w:t>
      </w:r>
    </w:p>
    <w:p w14:paraId="7BB86DFB">
      <w:pPr>
        <w:pStyle w:val="4"/>
        <w:ind w:left="420" w:firstLine="0" w:firstLineChars="0"/>
      </w:pPr>
      <w:r>
        <w:rPr>
          <w:rFonts w:hint="eastAsia"/>
        </w:rPr>
        <w:t>——</w:t>
      </w:r>
      <w:r>
        <w:t>评定结论严重失实，造成不良社会影响；</w:t>
      </w:r>
      <w:r>
        <w:br w:type="textWrapping"/>
      </w:r>
      <w:r>
        <w:rPr>
          <w:rFonts w:hint="eastAsia"/>
        </w:rPr>
        <w:t>——</w:t>
      </w:r>
      <w:r>
        <w:t>在评定活动中存在利益输送、弄虚作假</w:t>
      </w:r>
      <w:r>
        <w:rPr>
          <w:rFonts w:hint="eastAsia"/>
        </w:rPr>
        <w:t>。</w:t>
      </w:r>
    </w:p>
    <w:p w14:paraId="41015088">
      <w:pPr>
        <w:pStyle w:val="4"/>
        <w:ind w:firstLine="0" w:firstLineChars="0"/>
        <w:sectPr>
          <w:pgSz w:w="11906" w:h="16838"/>
          <w:pgMar w:top="1928" w:right="1134" w:bottom="1134" w:left="1134" w:header="1418" w:footer="1134" w:gutter="284"/>
          <w:pgBorders>
            <w:top w:val="none" w:sz="0" w:space="0"/>
            <w:left w:val="none" w:sz="0" w:space="0"/>
            <w:bottom w:val="none" w:sz="0" w:space="0"/>
            <w:right w:val="none" w:sz="0" w:space="0"/>
          </w:pgBorders>
          <w:pgNumType w:start="1"/>
          <w:cols w:space="425" w:num="1"/>
          <w:formProt w:val="0"/>
          <w:docGrid w:linePitch="312" w:charSpace="0"/>
        </w:sectPr>
      </w:pPr>
    </w:p>
    <w:bookmarkEnd w:id="21"/>
    <w:p w14:paraId="22BF1630">
      <w:pPr>
        <w:pStyle w:val="202"/>
      </w:pPr>
      <w:bookmarkStart w:id="78" w:name="BookMark5"/>
    </w:p>
    <w:p w14:paraId="1CD07694">
      <w:pPr>
        <w:pStyle w:val="203"/>
      </w:pPr>
    </w:p>
    <w:p w14:paraId="59BF00C3">
      <w:pPr>
        <w:pStyle w:val="2"/>
        <w:numPr>
          <w:ilvl w:val="0"/>
          <w:numId w:val="0"/>
        </w:numPr>
        <w:jc w:val="center"/>
      </w:pPr>
      <w:bookmarkStart w:id="79" w:name="_Toc201843302"/>
      <w:r>
        <w:rPr>
          <w:rFonts w:hint="eastAsia"/>
        </w:rPr>
        <w:t>附录A</w:t>
      </w:r>
      <w:r>
        <w:br w:type="textWrapping"/>
      </w:r>
      <w:r>
        <w:rPr>
          <w:rFonts w:hint="eastAsia"/>
        </w:rPr>
        <w:t>（规范性）</w:t>
      </w:r>
      <w:r>
        <w:br w:type="textWrapping"/>
      </w:r>
      <w:r>
        <w:rPr>
          <w:rFonts w:hint="eastAsia"/>
        </w:rPr>
        <w:t>会展场馆等级划分与评定评分表</w:t>
      </w:r>
      <w:bookmarkEnd w:id="79"/>
    </w:p>
    <w:p w14:paraId="673A7C89">
      <w:pPr>
        <w:pStyle w:val="166"/>
        <w:numPr>
          <w:ilvl w:val="0"/>
          <w:numId w:val="0"/>
        </w:numPr>
        <w:ind w:firstLine="420" w:firstLineChars="200"/>
        <w:rPr>
          <w:rFonts w:hAnsi="宋体"/>
        </w:rPr>
      </w:pPr>
      <w:r>
        <w:rPr>
          <w:rFonts w:hint="eastAsia" w:hAnsi="宋体"/>
        </w:rPr>
        <w:t>表</w:t>
      </w:r>
      <w:r>
        <w:rPr>
          <w:rFonts w:hAnsi="宋体"/>
        </w:rPr>
        <w:t>A.1</w:t>
      </w:r>
      <w:r>
        <w:rPr>
          <w:rFonts w:hint="eastAsia" w:hAnsi="宋体"/>
        </w:rPr>
        <w:t>给出了会展场馆等级划分评定的指标评分说明及计算方法。</w:t>
      </w:r>
    </w:p>
    <w:p w14:paraId="3145C6F6">
      <w:pPr>
        <w:pStyle w:val="82"/>
        <w:numPr>
          <w:ilvl w:val="1"/>
          <w:numId w:val="0"/>
        </w:numPr>
        <w:spacing w:before="120" w:after="120"/>
        <w:ind w:leftChars="0"/>
        <w:jc w:val="center"/>
      </w:pPr>
      <w:r>
        <w:rPr>
          <w:rFonts w:hint="eastAsia"/>
          <w:lang w:val="en-US" w:eastAsia="zh-CN"/>
        </w:rPr>
        <w:t xml:space="preserve">表A.1 </w:t>
      </w:r>
      <w:r>
        <w:rPr>
          <w:rFonts w:hint="eastAsia"/>
        </w:rPr>
        <w:t>会展场馆等级划分评定表</w:t>
      </w:r>
    </w:p>
    <w:p w14:paraId="681E123A">
      <w:pPr>
        <w:pStyle w:val="4"/>
        <w:ind w:firstLine="0" w:firstLineChars="0"/>
      </w:pPr>
    </w:p>
    <w:tbl>
      <w:tblPr>
        <w:tblStyle w:val="33"/>
        <w:tblW w:w="137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91"/>
        <w:gridCol w:w="3773"/>
        <w:gridCol w:w="1207"/>
        <w:gridCol w:w="7063"/>
      </w:tblGrid>
      <w:tr w14:paraId="19713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tblHeader/>
          <w:jc w:val="center"/>
        </w:trPr>
        <w:tc>
          <w:tcPr>
            <w:tcW w:w="0" w:type="auto"/>
            <w:vAlign w:val="center"/>
          </w:tcPr>
          <w:p w14:paraId="1EFEDA85">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一级指标</w:t>
            </w:r>
            <w:r>
              <w:rPr>
                <w:rFonts w:hint="eastAsia" w:ascii="宋体" w:hAnsi="宋体" w:cs="宋体"/>
                <w:b/>
                <w:bCs/>
                <w:color w:val="000000"/>
                <w:kern w:val="0"/>
                <w:sz w:val="18"/>
                <w:szCs w:val="18"/>
              </w:rPr>
              <w:br w:type="textWrapping"/>
            </w:r>
            <w:r>
              <w:rPr>
                <w:rFonts w:hint="eastAsia" w:ascii="宋体" w:hAnsi="宋体" w:cs="宋体"/>
                <w:b/>
                <w:bCs/>
                <w:color w:val="000000"/>
                <w:kern w:val="0"/>
                <w:sz w:val="18"/>
                <w:szCs w:val="18"/>
              </w:rPr>
              <w:t>（指标满分值）</w:t>
            </w:r>
          </w:p>
        </w:tc>
        <w:tc>
          <w:tcPr>
            <w:tcW w:w="3773" w:type="dxa"/>
            <w:vAlign w:val="center"/>
          </w:tcPr>
          <w:p w14:paraId="3211DE22">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二级指标</w:t>
            </w:r>
          </w:p>
        </w:tc>
        <w:tc>
          <w:tcPr>
            <w:tcW w:w="1207" w:type="dxa"/>
            <w:vAlign w:val="center"/>
          </w:tcPr>
          <w:p w14:paraId="72839291">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单项满分值</w:t>
            </w:r>
          </w:p>
        </w:tc>
        <w:tc>
          <w:tcPr>
            <w:tcW w:w="7063" w:type="dxa"/>
            <w:vAlign w:val="center"/>
          </w:tcPr>
          <w:p w14:paraId="3C9ACB2C">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评分档位</w:t>
            </w:r>
          </w:p>
        </w:tc>
      </w:tr>
      <w:tr w14:paraId="170162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0" w:type="auto"/>
            <w:vMerge w:val="restart"/>
            <w:vAlign w:val="center"/>
          </w:tcPr>
          <w:p w14:paraId="26AFDD39">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 规模与容量 (20)</w:t>
            </w:r>
          </w:p>
        </w:tc>
        <w:tc>
          <w:tcPr>
            <w:tcW w:w="3773" w:type="dxa"/>
            <w:vAlign w:val="center"/>
          </w:tcPr>
          <w:p w14:paraId="43C696EB">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室内净展览面积 (㎡)</w:t>
            </w:r>
          </w:p>
        </w:tc>
        <w:tc>
          <w:tcPr>
            <w:tcW w:w="1207" w:type="dxa"/>
            <w:vAlign w:val="center"/>
          </w:tcPr>
          <w:p w14:paraId="34988C97">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8</w:t>
            </w:r>
          </w:p>
        </w:tc>
        <w:tc>
          <w:tcPr>
            <w:tcW w:w="7063" w:type="dxa"/>
          </w:tcPr>
          <w:p w14:paraId="5B5640D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室内净展览面积≥10 000，得8分；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室内净展览面积8 000-9999，得6分；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室内净展览面积5 000-7999，得4分；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室内净展览面积3 000-4999，得2分；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室内净展览面积&lt; 3 000，得0分。</w:t>
            </w:r>
          </w:p>
        </w:tc>
      </w:tr>
      <w:tr w14:paraId="20695D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0" w:type="auto"/>
            <w:vMerge w:val="continue"/>
            <w:vAlign w:val="center"/>
          </w:tcPr>
          <w:p w14:paraId="2B1D408F">
            <w:pPr>
              <w:widowControl/>
              <w:spacing w:line="240" w:lineRule="auto"/>
              <w:jc w:val="center"/>
              <w:rPr>
                <w:rFonts w:ascii="宋体" w:hAnsi="宋体" w:cs="宋体"/>
                <w:b/>
                <w:bCs/>
                <w:color w:val="000000"/>
                <w:kern w:val="0"/>
                <w:sz w:val="18"/>
                <w:szCs w:val="18"/>
              </w:rPr>
            </w:pPr>
          </w:p>
        </w:tc>
        <w:tc>
          <w:tcPr>
            <w:tcW w:w="3773" w:type="dxa"/>
            <w:vAlign w:val="center"/>
          </w:tcPr>
          <w:p w14:paraId="1C4281DF">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最大瞬时安全容纳人数</w:t>
            </w:r>
          </w:p>
        </w:tc>
        <w:tc>
          <w:tcPr>
            <w:tcW w:w="1207" w:type="dxa"/>
            <w:vAlign w:val="center"/>
          </w:tcPr>
          <w:p w14:paraId="3E7D0C46">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7063" w:type="dxa"/>
          </w:tcPr>
          <w:p w14:paraId="773993AF">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展览厅内人员密度应≥0.75 人/㎡；满足该要求得6分；</w:t>
            </w:r>
          </w:p>
          <w:p w14:paraId="39E4FA76">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不满足得0分。</w:t>
            </w:r>
          </w:p>
        </w:tc>
      </w:tr>
      <w:tr w14:paraId="07E94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 w:hRule="atLeast"/>
          <w:jc w:val="center"/>
        </w:trPr>
        <w:tc>
          <w:tcPr>
            <w:tcW w:w="0" w:type="auto"/>
            <w:vMerge w:val="continue"/>
            <w:vAlign w:val="center"/>
          </w:tcPr>
          <w:p w14:paraId="05311EC6">
            <w:pPr>
              <w:widowControl/>
              <w:spacing w:line="240" w:lineRule="auto"/>
              <w:jc w:val="center"/>
              <w:rPr>
                <w:rFonts w:ascii="宋体" w:hAnsi="宋体" w:cs="宋体"/>
                <w:b/>
                <w:bCs/>
                <w:color w:val="000000"/>
                <w:kern w:val="0"/>
                <w:sz w:val="18"/>
                <w:szCs w:val="18"/>
              </w:rPr>
            </w:pPr>
          </w:p>
        </w:tc>
        <w:tc>
          <w:tcPr>
            <w:tcW w:w="3773" w:type="dxa"/>
            <w:vAlign w:val="center"/>
          </w:tcPr>
          <w:p w14:paraId="48764A0D">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会议厅数量 (个)</w:t>
            </w:r>
          </w:p>
        </w:tc>
        <w:tc>
          <w:tcPr>
            <w:tcW w:w="1207" w:type="dxa"/>
            <w:vAlign w:val="center"/>
          </w:tcPr>
          <w:p w14:paraId="7D03B06E">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4</w:t>
            </w:r>
          </w:p>
        </w:tc>
        <w:tc>
          <w:tcPr>
            <w:tcW w:w="7063" w:type="dxa"/>
          </w:tcPr>
          <w:p w14:paraId="119478C1">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具备较强会议承载能力，能同时满足多场大型会议、论坛及配套活动需求，得4分；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会议厅配置能够满足主流大型展会或论坛的需要，可实现部分多场并行会议，会议厅数量较充足，得3分；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仅满足基本会议承办需求，难以同时支撑多场大型会议，会议功能略有不足，得2分；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会议厅数量及规模明显不足，无法满足展会会议承载需求，得0分。</w:t>
            </w:r>
          </w:p>
        </w:tc>
      </w:tr>
      <w:tr w14:paraId="330A1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1AC6D95B">
            <w:pPr>
              <w:widowControl/>
              <w:spacing w:line="240" w:lineRule="auto"/>
              <w:jc w:val="center"/>
              <w:rPr>
                <w:rFonts w:ascii="宋体" w:hAnsi="宋体" w:cs="宋体"/>
                <w:b/>
                <w:bCs/>
                <w:color w:val="000000"/>
                <w:kern w:val="0"/>
                <w:sz w:val="18"/>
                <w:szCs w:val="18"/>
              </w:rPr>
            </w:pPr>
          </w:p>
        </w:tc>
        <w:tc>
          <w:tcPr>
            <w:tcW w:w="3773" w:type="dxa"/>
            <w:vAlign w:val="center"/>
          </w:tcPr>
          <w:p w14:paraId="598D3460">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停车／卸货口配置</w:t>
            </w:r>
          </w:p>
        </w:tc>
        <w:tc>
          <w:tcPr>
            <w:tcW w:w="1207" w:type="dxa"/>
            <w:vAlign w:val="center"/>
          </w:tcPr>
          <w:p w14:paraId="191F292F">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5B7BAF8A">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每5 000㎡配置一个卸货口且车位1 000㎡配置3个车位，得2分；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两条条件满足其一 ，得1分；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两条条件均不满足，得0分</w:t>
            </w:r>
          </w:p>
        </w:tc>
      </w:tr>
      <w:tr w14:paraId="5101A9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restart"/>
            <w:vAlign w:val="center"/>
          </w:tcPr>
          <w:p w14:paraId="24DC3E17">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 功能布局与交通组织 (20)</w:t>
            </w:r>
          </w:p>
        </w:tc>
        <w:tc>
          <w:tcPr>
            <w:tcW w:w="3773" w:type="dxa"/>
            <w:vAlign w:val="center"/>
          </w:tcPr>
          <w:p w14:paraId="3046B5CC">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人流/物流动线分离度</w:t>
            </w:r>
          </w:p>
        </w:tc>
        <w:tc>
          <w:tcPr>
            <w:tcW w:w="1207" w:type="dxa"/>
            <w:vAlign w:val="center"/>
          </w:tcPr>
          <w:p w14:paraId="23B92ADA">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7063" w:type="dxa"/>
          </w:tcPr>
          <w:p w14:paraId="11ADBB93">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人流与物流通道实现物理完全分离，所有主要通道无交叉或交叉率极低 ，得6分；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人流与物流通道大部分分离，偶有交汇， 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部分人流与物流存在交汇，存在一定安全隐患，得2分；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人流与物流通道大量重叠，得0分。</w:t>
            </w:r>
          </w:p>
        </w:tc>
      </w:tr>
      <w:tr w14:paraId="1BCEB0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0" w:type="auto"/>
            <w:vMerge w:val="continue"/>
            <w:vAlign w:val="center"/>
          </w:tcPr>
          <w:p w14:paraId="47D92EAB">
            <w:pPr>
              <w:widowControl/>
              <w:spacing w:line="240" w:lineRule="auto"/>
              <w:jc w:val="center"/>
              <w:rPr>
                <w:rFonts w:ascii="宋体" w:hAnsi="宋体" w:cs="宋体"/>
                <w:b/>
                <w:bCs/>
                <w:color w:val="000000"/>
                <w:kern w:val="0"/>
                <w:sz w:val="18"/>
                <w:szCs w:val="18"/>
              </w:rPr>
            </w:pPr>
          </w:p>
        </w:tc>
        <w:tc>
          <w:tcPr>
            <w:tcW w:w="3773" w:type="dxa"/>
            <w:vAlign w:val="center"/>
          </w:tcPr>
          <w:p w14:paraId="71E037C0">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观众入口布置与通过能力</w:t>
            </w:r>
          </w:p>
        </w:tc>
        <w:tc>
          <w:tcPr>
            <w:tcW w:w="1207" w:type="dxa"/>
            <w:vAlign w:val="center"/>
          </w:tcPr>
          <w:p w14:paraId="41C7B497">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7063" w:type="dxa"/>
          </w:tcPr>
          <w:p w14:paraId="2567D7CE">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入口数量充足、分布合理，多个登录区能有效分流高峰人流，得6分；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入口数量和分布基本合理，主要时段人流分流良好，得4分；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入口设置较为集中，高峰期出现较明显排队或拥堵，得2分；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入口设置数量或布局严重不足，常态出现严重拥堵或排队，得0分。</w:t>
            </w:r>
          </w:p>
        </w:tc>
      </w:tr>
      <w:tr w14:paraId="5EB1F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jc w:val="center"/>
        </w:trPr>
        <w:tc>
          <w:tcPr>
            <w:tcW w:w="0" w:type="auto"/>
            <w:vMerge w:val="continue"/>
            <w:vAlign w:val="center"/>
          </w:tcPr>
          <w:p w14:paraId="634BC2B0">
            <w:pPr>
              <w:widowControl/>
              <w:spacing w:line="240" w:lineRule="auto"/>
              <w:jc w:val="center"/>
              <w:rPr>
                <w:rFonts w:ascii="宋体" w:hAnsi="宋体" w:cs="宋体"/>
                <w:b/>
                <w:bCs/>
                <w:color w:val="000000"/>
                <w:kern w:val="0"/>
                <w:sz w:val="18"/>
                <w:szCs w:val="18"/>
              </w:rPr>
            </w:pPr>
          </w:p>
        </w:tc>
        <w:tc>
          <w:tcPr>
            <w:tcW w:w="3773" w:type="dxa"/>
            <w:vAlign w:val="center"/>
          </w:tcPr>
          <w:p w14:paraId="06F0395E">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轨道交通接驳</w:t>
            </w:r>
          </w:p>
        </w:tc>
        <w:tc>
          <w:tcPr>
            <w:tcW w:w="1207" w:type="dxa"/>
            <w:vAlign w:val="center"/>
          </w:tcPr>
          <w:p w14:paraId="48D584D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6</w:t>
            </w:r>
          </w:p>
        </w:tc>
        <w:tc>
          <w:tcPr>
            <w:tcW w:w="7063" w:type="dxa"/>
          </w:tcPr>
          <w:p w14:paraId="4256271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场馆位于轨道交通站点步行可达区，且周边形成公交换乘枢纽，公交站距500–800 m的网状覆盖被视为“便利”，得6分。</w:t>
            </w:r>
          </w:p>
          <w:p w14:paraId="7E256D6C">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仅公交网络成熟，轨道换乘800 m以上，得4分。</w:t>
            </w:r>
          </w:p>
          <w:p w14:paraId="7CE3B58D">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公交覆盖不足、换乘不便，但仍有常规公交线路可达，得2分。</w:t>
            </w:r>
          </w:p>
          <w:p w14:paraId="46B8E306">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仅靠自驾或临时接驳，公共交通基本缺失，得0分。</w:t>
            </w:r>
          </w:p>
          <w:p w14:paraId="3DEA404F">
            <w:pPr>
              <w:widowControl/>
              <w:spacing w:line="240" w:lineRule="auto"/>
              <w:rPr>
                <w:rFonts w:ascii="宋体" w:hAnsi="宋体" w:cs="宋体"/>
                <w:color w:val="000000"/>
                <w:kern w:val="0"/>
                <w:sz w:val="18"/>
                <w:szCs w:val="18"/>
              </w:rPr>
            </w:pPr>
          </w:p>
        </w:tc>
      </w:tr>
      <w:tr w14:paraId="340C8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2" w:hRule="atLeast"/>
          <w:jc w:val="center"/>
        </w:trPr>
        <w:tc>
          <w:tcPr>
            <w:tcW w:w="0" w:type="auto"/>
            <w:vMerge w:val="continue"/>
            <w:vAlign w:val="center"/>
          </w:tcPr>
          <w:p w14:paraId="6D2EBB3D">
            <w:pPr>
              <w:widowControl/>
              <w:spacing w:line="240" w:lineRule="auto"/>
              <w:jc w:val="center"/>
              <w:rPr>
                <w:rFonts w:ascii="宋体" w:hAnsi="宋体" w:cs="宋体"/>
                <w:b/>
                <w:bCs/>
                <w:color w:val="000000"/>
                <w:kern w:val="0"/>
                <w:sz w:val="18"/>
                <w:szCs w:val="18"/>
              </w:rPr>
            </w:pPr>
          </w:p>
        </w:tc>
        <w:tc>
          <w:tcPr>
            <w:tcW w:w="3773" w:type="dxa"/>
            <w:noWrap/>
            <w:vAlign w:val="center"/>
          </w:tcPr>
          <w:p w14:paraId="34D20FD8">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排队与缓冲区设置</w:t>
            </w:r>
          </w:p>
        </w:tc>
        <w:tc>
          <w:tcPr>
            <w:tcW w:w="1207" w:type="dxa"/>
            <w:vAlign w:val="center"/>
          </w:tcPr>
          <w:p w14:paraId="79B68E8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6B86F908">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每1 000 m²展览面积设置50 m² ～ 100 m²缓冲过厅且设置票务、咨询、寄存、监控、厕所等基本服务设施，得2分；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仅满足面积或设施其中一项，得1分；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两条条件均不满足，得0分。</w:t>
            </w:r>
          </w:p>
        </w:tc>
      </w:tr>
      <w:tr w14:paraId="03339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0" w:type="auto"/>
            <w:vMerge w:val="restart"/>
            <w:vAlign w:val="center"/>
          </w:tcPr>
          <w:p w14:paraId="603EBE1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3 安全与风险管理 (20)</w:t>
            </w:r>
          </w:p>
        </w:tc>
        <w:tc>
          <w:tcPr>
            <w:tcW w:w="3773" w:type="dxa"/>
            <w:vAlign w:val="center"/>
          </w:tcPr>
          <w:p w14:paraId="620F9926">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消防设施管理</w:t>
            </w:r>
          </w:p>
        </w:tc>
        <w:tc>
          <w:tcPr>
            <w:tcW w:w="1207" w:type="dxa"/>
            <w:vAlign w:val="center"/>
          </w:tcPr>
          <w:p w14:paraId="0B733F5E">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8</w:t>
            </w:r>
          </w:p>
        </w:tc>
        <w:tc>
          <w:tcPr>
            <w:tcW w:w="7063" w:type="dxa"/>
          </w:tcPr>
          <w:p w14:paraId="5F52B697">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场馆已建立完善的消防管理制度和责任体系，配备专职消防人员，所有消防设施定期检查，记录完备，设备状态良好，能够及时发现并消除隐患，得8分；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消防管理制度较为健全，定期检查消防设施，基本能保持设备有效运行，偶有小型隐患但能及时整改，得4分；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消防设施管理存在部分薄弱环节，设施偶有损坏或失效，日常检查及隐患整改不到位，得0分。</w:t>
            </w:r>
          </w:p>
        </w:tc>
      </w:tr>
      <w:tr w14:paraId="0680B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jc w:val="center"/>
        </w:trPr>
        <w:tc>
          <w:tcPr>
            <w:tcW w:w="0" w:type="auto"/>
            <w:vMerge w:val="continue"/>
            <w:vAlign w:val="center"/>
          </w:tcPr>
          <w:p w14:paraId="6D2539F4">
            <w:pPr>
              <w:widowControl/>
              <w:spacing w:line="240" w:lineRule="auto"/>
              <w:jc w:val="center"/>
              <w:rPr>
                <w:rFonts w:ascii="宋体" w:hAnsi="宋体" w:cs="宋体"/>
                <w:b/>
                <w:bCs/>
                <w:color w:val="000000"/>
                <w:kern w:val="0"/>
                <w:sz w:val="18"/>
                <w:szCs w:val="18"/>
              </w:rPr>
            </w:pPr>
          </w:p>
        </w:tc>
        <w:tc>
          <w:tcPr>
            <w:tcW w:w="3773" w:type="dxa"/>
            <w:vAlign w:val="center"/>
          </w:tcPr>
          <w:p w14:paraId="482D45B2">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年度应急演练次数 (次)</w:t>
            </w:r>
          </w:p>
        </w:tc>
        <w:tc>
          <w:tcPr>
            <w:tcW w:w="1207" w:type="dxa"/>
            <w:vAlign w:val="center"/>
          </w:tcPr>
          <w:p w14:paraId="0BD7986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4</w:t>
            </w:r>
          </w:p>
        </w:tc>
        <w:tc>
          <w:tcPr>
            <w:tcW w:w="7063" w:type="dxa"/>
          </w:tcPr>
          <w:p w14:paraId="68FE7FFB">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每年至少组织1次综合应急预案演练或专项应急预案演练，且每半年至少组织1次现场处置方案演练，得4分；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年度内组织过1次综合或专项演练，半年内组织过现场处置演练，但有一次未达标或记录不完整，得2分；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年度内只完成其中一项演练，得1分；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年度无应急演练或频次远低于规定要求，得0分。</w:t>
            </w:r>
          </w:p>
        </w:tc>
      </w:tr>
      <w:tr w14:paraId="489C85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8" w:hRule="atLeast"/>
          <w:jc w:val="center"/>
        </w:trPr>
        <w:tc>
          <w:tcPr>
            <w:tcW w:w="0" w:type="auto"/>
            <w:vMerge w:val="continue"/>
            <w:vAlign w:val="center"/>
          </w:tcPr>
          <w:p w14:paraId="12A6BB8E">
            <w:pPr>
              <w:widowControl/>
              <w:spacing w:line="240" w:lineRule="auto"/>
              <w:jc w:val="center"/>
              <w:rPr>
                <w:rFonts w:ascii="宋体" w:hAnsi="宋体" w:cs="宋体"/>
                <w:b/>
                <w:bCs/>
                <w:color w:val="000000"/>
                <w:kern w:val="0"/>
                <w:sz w:val="18"/>
                <w:szCs w:val="18"/>
              </w:rPr>
            </w:pPr>
          </w:p>
        </w:tc>
        <w:tc>
          <w:tcPr>
            <w:tcW w:w="3773" w:type="dxa"/>
            <w:vAlign w:val="center"/>
          </w:tcPr>
          <w:p w14:paraId="2175FE72">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安保与监控管理</w:t>
            </w:r>
          </w:p>
        </w:tc>
        <w:tc>
          <w:tcPr>
            <w:tcW w:w="1207" w:type="dxa"/>
            <w:vAlign w:val="center"/>
          </w:tcPr>
          <w:p w14:paraId="46AF164F">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4</w:t>
            </w:r>
          </w:p>
        </w:tc>
        <w:tc>
          <w:tcPr>
            <w:tcW w:w="7063" w:type="dxa"/>
          </w:tcPr>
          <w:p w14:paraId="45F7A5B2">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安防监控设备覆盖全部重点区域与出入口，系统运行稳定，安保措施健全，突发事件有专人处置与实时响应，安保档案完善，得4分；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安防监控设备基本覆盖主要区域，偶有死角但可通过人防补充，日常管理基本到位，安保制度与措施较完善，得3分；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安防监控仅覆盖部分重点区域，部分区域无监控，或管理制度落实不到位，应急响应能力不足，得0分。</w:t>
            </w:r>
          </w:p>
        </w:tc>
      </w:tr>
      <w:tr w14:paraId="28F4B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continue"/>
            <w:vAlign w:val="center"/>
          </w:tcPr>
          <w:p w14:paraId="37A9AA21">
            <w:pPr>
              <w:widowControl/>
              <w:spacing w:line="240" w:lineRule="auto"/>
              <w:jc w:val="center"/>
              <w:rPr>
                <w:rFonts w:ascii="宋体" w:hAnsi="宋体" w:cs="宋体"/>
                <w:b/>
                <w:bCs/>
                <w:color w:val="000000"/>
                <w:kern w:val="0"/>
                <w:sz w:val="18"/>
                <w:szCs w:val="18"/>
              </w:rPr>
            </w:pPr>
          </w:p>
        </w:tc>
        <w:tc>
          <w:tcPr>
            <w:tcW w:w="3773" w:type="dxa"/>
            <w:vAlign w:val="center"/>
          </w:tcPr>
          <w:p w14:paraId="02F07C60">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结构安全年检合格</w:t>
            </w:r>
          </w:p>
        </w:tc>
        <w:tc>
          <w:tcPr>
            <w:tcW w:w="1207" w:type="dxa"/>
            <w:vAlign w:val="center"/>
          </w:tcPr>
          <w:p w14:paraId="5EE00DD2">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547F0BCE">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评估会展场馆是否定期对设施设备进行维护和更新，以确保其正常运行和安全性，合格得2分；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整改后合格，得1分；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未检/不合格，得0分</w:t>
            </w:r>
          </w:p>
        </w:tc>
      </w:tr>
      <w:tr w14:paraId="5C6AE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4F56D819">
            <w:pPr>
              <w:widowControl/>
              <w:spacing w:line="240" w:lineRule="auto"/>
              <w:jc w:val="center"/>
              <w:rPr>
                <w:rFonts w:ascii="宋体" w:hAnsi="宋体" w:cs="宋体"/>
                <w:b/>
                <w:bCs/>
                <w:color w:val="000000"/>
                <w:kern w:val="0"/>
                <w:sz w:val="18"/>
                <w:szCs w:val="18"/>
              </w:rPr>
            </w:pPr>
          </w:p>
        </w:tc>
        <w:tc>
          <w:tcPr>
            <w:tcW w:w="3773" w:type="dxa"/>
            <w:vAlign w:val="center"/>
          </w:tcPr>
          <w:p w14:paraId="51AD0981">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高峰疏散方案</w:t>
            </w:r>
          </w:p>
        </w:tc>
        <w:tc>
          <w:tcPr>
            <w:tcW w:w="1207" w:type="dxa"/>
            <w:vAlign w:val="center"/>
          </w:tcPr>
          <w:p w14:paraId="76526C35">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13C08995">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疏散方案科学，通道畅通。疏散时间≤15min,得2分；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疏散方案基本可行，能在合理时间内疏散大部分人群。疏散时间15-45min内，得1分；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疏散用时过长，疏散组织或场地存在严重隐患。疏散时间≥45min，得0分。</w:t>
            </w:r>
          </w:p>
        </w:tc>
      </w:tr>
      <w:tr w14:paraId="5F4A8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restart"/>
            <w:vAlign w:val="center"/>
          </w:tcPr>
          <w:p w14:paraId="0BA7C069">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 xml:space="preserve">4 </w:t>
            </w:r>
            <w:bookmarkStart w:id="80" w:name="OLE_LINK30"/>
            <w:r>
              <w:rPr>
                <w:rFonts w:hint="eastAsia" w:ascii="宋体" w:hAnsi="宋体" w:cs="宋体"/>
                <w:b/>
                <w:bCs/>
                <w:color w:val="000000"/>
                <w:kern w:val="0"/>
                <w:sz w:val="18"/>
                <w:szCs w:val="18"/>
              </w:rPr>
              <w:t>服务与运营效能</w:t>
            </w:r>
            <w:bookmarkEnd w:id="80"/>
            <w:r>
              <w:rPr>
                <w:rFonts w:hint="eastAsia" w:ascii="宋体" w:hAnsi="宋体" w:cs="宋体"/>
                <w:b/>
                <w:bCs/>
                <w:color w:val="000000"/>
                <w:kern w:val="0"/>
                <w:sz w:val="18"/>
                <w:szCs w:val="18"/>
              </w:rPr>
              <w:t xml:space="preserve"> (20)</w:t>
            </w:r>
          </w:p>
        </w:tc>
        <w:tc>
          <w:tcPr>
            <w:tcW w:w="3773" w:type="dxa"/>
            <w:vAlign w:val="center"/>
          </w:tcPr>
          <w:p w14:paraId="3D8D341E">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配套商旅服务</w:t>
            </w:r>
          </w:p>
        </w:tc>
        <w:tc>
          <w:tcPr>
            <w:tcW w:w="1207" w:type="dxa"/>
            <w:vAlign w:val="center"/>
          </w:tcPr>
          <w:p w14:paraId="6D1530AC">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5</w:t>
            </w:r>
          </w:p>
        </w:tc>
        <w:tc>
          <w:tcPr>
            <w:tcW w:w="7063" w:type="dxa"/>
          </w:tcPr>
          <w:p w14:paraId="60F92527">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同时具备并运营下列功能：</w:t>
            </w:r>
          </w:p>
          <w:p w14:paraId="51132DF2">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提供具备食品安全经营许可资质的餐饮服务。</w:t>
            </w:r>
          </w:p>
          <w:p w14:paraId="67D68284">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提供根据实际提供服务项目包括装卸货、展会代收货和仓储等物流服务。</w:t>
            </w:r>
          </w:p>
          <w:p w14:paraId="2B59E77C">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提供电话、网络等通信服务。</w:t>
            </w:r>
          </w:p>
          <w:p w14:paraId="3312383F">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可根据需求提供其他服务，包括但不限于商务中心、贵宾室、医疗救急、物品寄存等服务。</w:t>
            </w:r>
          </w:p>
          <w:p w14:paraId="5D048534">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配套商旅服务满足三项及以上的，得5分。</w:t>
            </w:r>
          </w:p>
          <w:p w14:paraId="1176FE33">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满足一至两项配套商旅服务，得3分。</w:t>
            </w:r>
          </w:p>
          <w:p w14:paraId="1D02A9FE">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无配套商旅服务，得0分。</w:t>
            </w:r>
          </w:p>
          <w:p w14:paraId="0A404959">
            <w:pPr>
              <w:widowControl/>
              <w:spacing w:line="240" w:lineRule="auto"/>
              <w:rPr>
                <w:rFonts w:ascii="宋体" w:hAnsi="宋体" w:cs="宋体"/>
                <w:color w:val="000000"/>
                <w:kern w:val="0"/>
                <w:sz w:val="18"/>
                <w:szCs w:val="18"/>
              </w:rPr>
            </w:pPr>
          </w:p>
        </w:tc>
      </w:tr>
      <w:tr w14:paraId="29699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continue"/>
            <w:vAlign w:val="center"/>
          </w:tcPr>
          <w:p w14:paraId="49303A10">
            <w:pPr>
              <w:widowControl/>
              <w:spacing w:line="240" w:lineRule="auto"/>
              <w:jc w:val="center"/>
              <w:rPr>
                <w:rFonts w:ascii="宋体" w:hAnsi="宋体" w:cs="宋体"/>
                <w:b/>
                <w:bCs/>
                <w:color w:val="000000"/>
                <w:kern w:val="0"/>
                <w:sz w:val="18"/>
                <w:szCs w:val="18"/>
              </w:rPr>
            </w:pPr>
          </w:p>
        </w:tc>
        <w:tc>
          <w:tcPr>
            <w:tcW w:w="3773" w:type="dxa"/>
            <w:vAlign w:val="center"/>
          </w:tcPr>
          <w:p w14:paraId="0A68C8F7">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客户满意度</w:t>
            </w:r>
          </w:p>
        </w:tc>
        <w:tc>
          <w:tcPr>
            <w:tcW w:w="1207" w:type="dxa"/>
            <w:vAlign w:val="center"/>
          </w:tcPr>
          <w:p w14:paraId="70F25F0E">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5</w:t>
            </w:r>
          </w:p>
        </w:tc>
        <w:tc>
          <w:tcPr>
            <w:tcW w:w="7063" w:type="dxa"/>
          </w:tcPr>
          <w:p w14:paraId="1D35863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客户普遍反映服务体验良好，未出现重大投诉，能够持续收集和改进客户反馈意见。得5分；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客户对服务有肯定评价，但有部分意见建议，能基本及时响应，得3分；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客户反映服务不到位或不满意，投诉较多，改进措施落实不足，得0分。</w:t>
            </w:r>
          </w:p>
        </w:tc>
      </w:tr>
      <w:tr w14:paraId="6A93F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5360DF3B">
            <w:pPr>
              <w:widowControl/>
              <w:spacing w:line="240" w:lineRule="auto"/>
              <w:jc w:val="center"/>
              <w:rPr>
                <w:rFonts w:ascii="宋体" w:hAnsi="宋体" w:cs="宋体"/>
                <w:b/>
                <w:bCs/>
                <w:color w:val="000000"/>
                <w:kern w:val="0"/>
                <w:sz w:val="18"/>
                <w:szCs w:val="18"/>
              </w:rPr>
            </w:pPr>
          </w:p>
        </w:tc>
        <w:tc>
          <w:tcPr>
            <w:tcW w:w="3773" w:type="dxa"/>
            <w:vAlign w:val="center"/>
          </w:tcPr>
          <w:p w14:paraId="4660AD3B">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投诉闭环率 (%)</w:t>
            </w:r>
          </w:p>
        </w:tc>
        <w:tc>
          <w:tcPr>
            <w:tcW w:w="1207" w:type="dxa"/>
            <w:vAlign w:val="center"/>
          </w:tcPr>
          <w:p w14:paraId="05E27F43">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4</w:t>
            </w:r>
          </w:p>
        </w:tc>
        <w:tc>
          <w:tcPr>
            <w:tcW w:w="7063" w:type="dxa"/>
          </w:tcPr>
          <w:p w14:paraId="5D38E41C">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所有客户投诉均能及时受理、处理并反馈，投诉事项全部解决，得4分；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绝大多数投诉能被及时处理并反馈，极少部分未能及时解决，得2分；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存在较多投诉未被及时处理或无反馈，客户对处理效果不满意，得0分。</w:t>
            </w:r>
          </w:p>
        </w:tc>
      </w:tr>
      <w:tr w14:paraId="7D30D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continue"/>
            <w:vAlign w:val="center"/>
          </w:tcPr>
          <w:p w14:paraId="4A809129">
            <w:pPr>
              <w:widowControl/>
              <w:spacing w:line="240" w:lineRule="auto"/>
              <w:jc w:val="center"/>
              <w:rPr>
                <w:rFonts w:ascii="宋体" w:hAnsi="宋体" w:cs="宋体"/>
                <w:b/>
                <w:bCs/>
                <w:color w:val="000000"/>
                <w:kern w:val="0"/>
                <w:sz w:val="18"/>
                <w:szCs w:val="18"/>
              </w:rPr>
            </w:pPr>
          </w:p>
        </w:tc>
        <w:tc>
          <w:tcPr>
            <w:tcW w:w="3773" w:type="dxa"/>
            <w:vAlign w:val="center"/>
          </w:tcPr>
          <w:p w14:paraId="414DB09B">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服务流程与标准</w:t>
            </w:r>
          </w:p>
        </w:tc>
        <w:tc>
          <w:tcPr>
            <w:tcW w:w="1207" w:type="dxa"/>
            <w:vAlign w:val="center"/>
          </w:tcPr>
          <w:p w14:paraId="5C7CF490">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4</w:t>
            </w:r>
          </w:p>
        </w:tc>
        <w:tc>
          <w:tcPr>
            <w:tcW w:w="7063" w:type="dxa"/>
          </w:tcPr>
          <w:p w14:paraId="40BF126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会展场馆是否建立了完善的服务流程和服务标准，包括客户接待、咨询、导览、投诉处理。满足三项则得4分；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满足一至二项得2分；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均不满足得0分。</w:t>
            </w:r>
          </w:p>
        </w:tc>
      </w:tr>
      <w:tr w14:paraId="53E89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1" w:hRule="atLeast"/>
          <w:jc w:val="center"/>
        </w:trPr>
        <w:tc>
          <w:tcPr>
            <w:tcW w:w="0" w:type="auto"/>
            <w:vMerge w:val="continue"/>
            <w:vAlign w:val="center"/>
          </w:tcPr>
          <w:p w14:paraId="552CD62A">
            <w:pPr>
              <w:widowControl/>
              <w:spacing w:line="240" w:lineRule="auto"/>
              <w:jc w:val="center"/>
              <w:rPr>
                <w:rFonts w:ascii="宋体" w:hAnsi="宋体" w:cs="宋体"/>
                <w:b/>
                <w:bCs/>
                <w:color w:val="000000"/>
                <w:kern w:val="0"/>
                <w:sz w:val="18"/>
                <w:szCs w:val="18"/>
              </w:rPr>
            </w:pPr>
          </w:p>
        </w:tc>
        <w:tc>
          <w:tcPr>
            <w:tcW w:w="3773" w:type="dxa"/>
            <w:vAlign w:val="center"/>
          </w:tcPr>
          <w:p w14:paraId="3420FEF9">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职业健康安全管理体系认证</w:t>
            </w:r>
          </w:p>
        </w:tc>
        <w:tc>
          <w:tcPr>
            <w:tcW w:w="1207" w:type="dxa"/>
            <w:vAlign w:val="center"/>
          </w:tcPr>
          <w:p w14:paraId="70E257A4">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156FB76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展馆方通过职业健康安全管理体系认证，得2分。</w:t>
            </w:r>
          </w:p>
          <w:p w14:paraId="30BCBE98">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不符合，得0分。</w:t>
            </w:r>
          </w:p>
        </w:tc>
      </w:tr>
      <w:tr w14:paraId="6550F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restart"/>
            <w:vAlign w:val="center"/>
          </w:tcPr>
          <w:p w14:paraId="1D72323D">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5 绿色与可持续发展 (5)</w:t>
            </w:r>
          </w:p>
        </w:tc>
        <w:tc>
          <w:tcPr>
            <w:tcW w:w="3773" w:type="dxa"/>
            <w:vAlign w:val="center"/>
          </w:tcPr>
          <w:p w14:paraId="40FE0F59">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绿色建筑星级级别</w:t>
            </w:r>
          </w:p>
        </w:tc>
        <w:tc>
          <w:tcPr>
            <w:tcW w:w="1207" w:type="dxa"/>
            <w:vAlign w:val="center"/>
          </w:tcPr>
          <w:p w14:paraId="6D9FA43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206BDED9">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符合现行国家标准《绿色建筑评价标准》中的绿色建筑星级三星，得2分；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符合现行国家标准中的绿色建筑星级一星-二星，得1分；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均不符合，得0分。</w:t>
            </w:r>
          </w:p>
        </w:tc>
      </w:tr>
      <w:tr w14:paraId="468502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0" w:type="auto"/>
            <w:vMerge w:val="continue"/>
            <w:vAlign w:val="center"/>
          </w:tcPr>
          <w:p w14:paraId="6D362E4C">
            <w:pPr>
              <w:widowControl/>
              <w:spacing w:line="240" w:lineRule="auto"/>
              <w:jc w:val="center"/>
              <w:rPr>
                <w:rFonts w:ascii="宋体" w:hAnsi="宋体" w:cs="宋体"/>
                <w:b/>
                <w:bCs/>
                <w:color w:val="000000"/>
                <w:kern w:val="0"/>
                <w:sz w:val="18"/>
                <w:szCs w:val="18"/>
              </w:rPr>
            </w:pPr>
          </w:p>
        </w:tc>
        <w:tc>
          <w:tcPr>
            <w:tcW w:w="3773" w:type="dxa"/>
            <w:vAlign w:val="center"/>
          </w:tcPr>
          <w:p w14:paraId="529B00C9">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节能设计</w:t>
            </w:r>
          </w:p>
        </w:tc>
        <w:tc>
          <w:tcPr>
            <w:tcW w:w="1207" w:type="dxa"/>
            <w:vAlign w:val="center"/>
          </w:tcPr>
          <w:p w14:paraId="1F79FD82">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25FF1994">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符合</w:t>
            </w:r>
            <w:bookmarkStart w:id="81" w:name="OLE_LINK28"/>
            <w:r>
              <w:rPr>
                <w:rFonts w:hint="eastAsia" w:ascii="宋体" w:hAnsi="宋体" w:cs="宋体"/>
                <w:color w:val="000000"/>
                <w:kern w:val="0"/>
                <w:sz w:val="18"/>
                <w:szCs w:val="18"/>
              </w:rPr>
              <w:t>现行国家标准</w:t>
            </w:r>
            <w:bookmarkEnd w:id="81"/>
            <w:r>
              <w:rPr>
                <w:rFonts w:hint="eastAsia" w:ascii="宋体" w:hAnsi="宋体" w:cs="宋体"/>
                <w:color w:val="000000"/>
                <w:kern w:val="0"/>
                <w:sz w:val="18"/>
                <w:szCs w:val="18"/>
              </w:rPr>
              <w:t>《公共建筑节能设计标准》的规定，得1分；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不符合，得0分。</w:t>
            </w:r>
          </w:p>
        </w:tc>
      </w:tr>
      <w:tr w14:paraId="58CFC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0" w:type="auto"/>
            <w:vMerge w:val="continue"/>
            <w:vAlign w:val="center"/>
          </w:tcPr>
          <w:p w14:paraId="77CA6477">
            <w:pPr>
              <w:widowControl/>
              <w:spacing w:line="240" w:lineRule="auto"/>
              <w:jc w:val="center"/>
              <w:rPr>
                <w:rFonts w:ascii="宋体" w:hAnsi="宋体" w:cs="宋体"/>
                <w:b/>
                <w:bCs/>
                <w:color w:val="000000"/>
                <w:kern w:val="0"/>
                <w:sz w:val="18"/>
                <w:szCs w:val="18"/>
              </w:rPr>
            </w:pPr>
          </w:p>
        </w:tc>
        <w:tc>
          <w:tcPr>
            <w:tcW w:w="3773" w:type="dxa"/>
            <w:vAlign w:val="center"/>
          </w:tcPr>
          <w:p w14:paraId="2A7D2730">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固体废弃物回收率 (%)</w:t>
            </w:r>
          </w:p>
        </w:tc>
        <w:tc>
          <w:tcPr>
            <w:tcW w:w="1207" w:type="dxa"/>
            <w:vAlign w:val="center"/>
          </w:tcPr>
          <w:p w14:paraId="1E551CF4">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42447F2D">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固体废弃物回收率≥ 50 % ，得1分；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固体废弃物回收率＜ 50 % ，得0分。</w:t>
            </w:r>
          </w:p>
        </w:tc>
      </w:tr>
      <w:tr w14:paraId="0A7B4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3601DE74">
            <w:pPr>
              <w:widowControl/>
              <w:spacing w:line="240" w:lineRule="auto"/>
              <w:jc w:val="center"/>
              <w:rPr>
                <w:rFonts w:ascii="宋体" w:hAnsi="宋体" w:cs="宋体"/>
                <w:b/>
                <w:bCs/>
                <w:color w:val="000000"/>
                <w:kern w:val="0"/>
                <w:sz w:val="18"/>
                <w:szCs w:val="18"/>
              </w:rPr>
            </w:pPr>
          </w:p>
        </w:tc>
        <w:tc>
          <w:tcPr>
            <w:tcW w:w="3773" w:type="dxa"/>
            <w:vAlign w:val="center"/>
          </w:tcPr>
          <w:p w14:paraId="00BFD4F2">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绿色展台 (%)</w:t>
            </w:r>
          </w:p>
        </w:tc>
        <w:tc>
          <w:tcPr>
            <w:tcW w:w="1207" w:type="dxa"/>
            <w:vAlign w:val="center"/>
          </w:tcPr>
          <w:p w14:paraId="5A59025B">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7D25F2C6">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符合现行国家标准《绿色展台评价指南》得1分；</w:t>
            </w:r>
          </w:p>
          <w:p w14:paraId="23BC50FA">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不符合，得0分。</w:t>
            </w:r>
          </w:p>
        </w:tc>
      </w:tr>
      <w:tr w14:paraId="6E51D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restart"/>
            <w:vAlign w:val="center"/>
          </w:tcPr>
          <w:p w14:paraId="362D33A0">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6 数字化水平 (5)</w:t>
            </w:r>
          </w:p>
        </w:tc>
        <w:tc>
          <w:tcPr>
            <w:tcW w:w="3773" w:type="dxa"/>
            <w:vAlign w:val="center"/>
          </w:tcPr>
          <w:p w14:paraId="7F224DEC">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基础智能化配置</w:t>
            </w:r>
          </w:p>
        </w:tc>
        <w:tc>
          <w:tcPr>
            <w:tcW w:w="1207" w:type="dxa"/>
            <w:vAlign w:val="center"/>
          </w:tcPr>
          <w:p w14:paraId="62145DE7">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42635AD5">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符合</w:t>
            </w:r>
            <w:bookmarkStart w:id="82" w:name="OLE_LINK29"/>
            <w:r>
              <w:rPr>
                <w:rFonts w:hint="eastAsia" w:ascii="宋体" w:hAnsi="宋体" w:cs="宋体"/>
                <w:color w:val="000000"/>
                <w:kern w:val="0"/>
                <w:sz w:val="18"/>
                <w:szCs w:val="18"/>
              </w:rPr>
              <w:t>智能建筑设计标准</w:t>
            </w:r>
            <w:bookmarkEnd w:id="82"/>
            <w:r>
              <w:rPr>
                <w:rFonts w:hint="eastAsia" w:ascii="宋体" w:hAnsi="宋体" w:cs="宋体"/>
                <w:color w:val="000000"/>
                <w:kern w:val="0"/>
                <w:sz w:val="18"/>
                <w:szCs w:val="18"/>
              </w:rPr>
              <w:t>中会展建筑对应的‘应配置’系统且建立智能运维系统，得2分。</w:t>
            </w:r>
          </w:p>
          <w:p w14:paraId="78A07724">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二者满足其一，得1分。</w:t>
            </w:r>
          </w:p>
          <w:p w14:paraId="20581607">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均不满足，得0分。</w:t>
            </w:r>
          </w:p>
        </w:tc>
      </w:tr>
      <w:tr w14:paraId="4A610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55F2BDF0">
            <w:pPr>
              <w:widowControl/>
              <w:spacing w:line="240" w:lineRule="auto"/>
              <w:jc w:val="center"/>
              <w:rPr>
                <w:rFonts w:ascii="宋体" w:hAnsi="宋体" w:cs="宋体"/>
                <w:b/>
                <w:bCs/>
                <w:color w:val="000000"/>
                <w:kern w:val="0"/>
                <w:sz w:val="18"/>
                <w:szCs w:val="18"/>
              </w:rPr>
            </w:pPr>
          </w:p>
        </w:tc>
        <w:tc>
          <w:tcPr>
            <w:tcW w:w="3773" w:type="dxa"/>
            <w:vAlign w:val="center"/>
          </w:tcPr>
          <w:p w14:paraId="5C6D8138">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数字运营平台功能 (模块)</w:t>
            </w:r>
          </w:p>
        </w:tc>
        <w:tc>
          <w:tcPr>
            <w:tcW w:w="1207" w:type="dxa"/>
            <w:vAlign w:val="center"/>
          </w:tcPr>
          <w:p w14:paraId="700323CC">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43813CE0">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场馆建成一站式数字会展平台，涵盖完备的策划与展陈、全流程运营、数字展陈及安全与运维等多模块功能的平台，得2分。</w:t>
            </w:r>
          </w:p>
          <w:p w14:paraId="50092947">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具备线上注册、票务、基本展示等核心功能，但缺少数据分析、或商务撮合等关键模块，场馆系统平台间集成度有限，得1分。</w:t>
            </w:r>
          </w:p>
          <w:p w14:paraId="20B49265">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无统一数字运营平台，或仅零散工具、人工流程，得0分。</w:t>
            </w:r>
          </w:p>
        </w:tc>
      </w:tr>
      <w:tr w14:paraId="320CE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vAlign w:val="center"/>
          </w:tcPr>
          <w:p w14:paraId="069508F9">
            <w:pPr>
              <w:widowControl/>
              <w:spacing w:line="240" w:lineRule="auto"/>
              <w:jc w:val="center"/>
              <w:rPr>
                <w:rFonts w:ascii="宋体" w:hAnsi="宋体" w:cs="宋体"/>
                <w:b/>
                <w:bCs/>
                <w:color w:val="000000"/>
                <w:kern w:val="0"/>
                <w:sz w:val="18"/>
                <w:szCs w:val="18"/>
              </w:rPr>
            </w:pPr>
          </w:p>
        </w:tc>
        <w:tc>
          <w:tcPr>
            <w:tcW w:w="3773" w:type="dxa"/>
            <w:vAlign w:val="center"/>
          </w:tcPr>
          <w:p w14:paraId="1E85DA54">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人流实时监测精度 (%)</w:t>
            </w:r>
          </w:p>
        </w:tc>
        <w:tc>
          <w:tcPr>
            <w:tcW w:w="1207" w:type="dxa"/>
            <w:vAlign w:val="center"/>
          </w:tcPr>
          <w:p w14:paraId="10157FE4">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23D80A39">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能够对进出人员实时准确地识别和记录，以实现有效的人流密度监控与安全管理。人流数据采集精度≥85%，得1分；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不符合，得0分。</w:t>
            </w:r>
          </w:p>
        </w:tc>
      </w:tr>
      <w:tr w14:paraId="3925D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0" w:type="auto"/>
            <w:vMerge w:val="restart"/>
            <w:vAlign w:val="center"/>
          </w:tcPr>
          <w:p w14:paraId="3551621B">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7 无障碍与社会责任 (5)</w:t>
            </w:r>
          </w:p>
        </w:tc>
        <w:tc>
          <w:tcPr>
            <w:tcW w:w="3773" w:type="dxa"/>
            <w:vAlign w:val="center"/>
          </w:tcPr>
          <w:p w14:paraId="0E2D7A42">
            <w:pPr>
              <w:widowControl/>
              <w:spacing w:line="240" w:lineRule="auto"/>
              <w:jc w:val="center"/>
              <w:rPr>
                <w:rFonts w:ascii="宋体" w:hAnsi="宋体" w:cs="宋体"/>
                <w:sz w:val="18"/>
                <w:szCs w:val="18"/>
              </w:rPr>
            </w:pPr>
            <w:r>
              <w:rPr>
                <w:rFonts w:hint="eastAsia" w:ascii="宋体" w:hAnsi="宋体" w:cs="宋体"/>
                <w:color w:val="000000"/>
                <w:kern w:val="0"/>
                <w:sz w:val="18"/>
                <w:szCs w:val="18"/>
              </w:rPr>
              <w:t>无障碍设施达标率 (%)</w:t>
            </w:r>
          </w:p>
        </w:tc>
        <w:tc>
          <w:tcPr>
            <w:tcW w:w="1207" w:type="dxa"/>
            <w:vAlign w:val="center"/>
          </w:tcPr>
          <w:p w14:paraId="01B7DE4B">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3</w:t>
            </w:r>
          </w:p>
        </w:tc>
        <w:tc>
          <w:tcPr>
            <w:tcW w:w="7063" w:type="dxa"/>
          </w:tcPr>
          <w:p w14:paraId="05D78C16">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应至少设置一处无障碍出入口，并在大厅等主要聚集区配备轮椅坡道和无障碍休息区，得3分；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满足一项，得2分；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无配套设施，得0分。</w:t>
            </w:r>
          </w:p>
        </w:tc>
      </w:tr>
      <w:tr w14:paraId="6C0C51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0" w:type="auto"/>
            <w:vMerge w:val="continue"/>
            <w:vAlign w:val="center"/>
          </w:tcPr>
          <w:p w14:paraId="7C58D3A5">
            <w:pPr>
              <w:widowControl/>
              <w:spacing w:line="240" w:lineRule="auto"/>
              <w:jc w:val="center"/>
              <w:rPr>
                <w:rFonts w:ascii="宋体" w:hAnsi="宋体" w:cs="宋体"/>
                <w:b/>
                <w:bCs/>
                <w:color w:val="000000"/>
                <w:kern w:val="0"/>
                <w:sz w:val="18"/>
                <w:szCs w:val="18"/>
              </w:rPr>
            </w:pPr>
          </w:p>
        </w:tc>
        <w:tc>
          <w:tcPr>
            <w:tcW w:w="3773" w:type="dxa"/>
            <w:vAlign w:val="center"/>
          </w:tcPr>
          <w:p w14:paraId="76BC54B4">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公益/文化活动</w:t>
            </w:r>
          </w:p>
        </w:tc>
        <w:tc>
          <w:tcPr>
            <w:tcW w:w="1207" w:type="dxa"/>
            <w:vAlign w:val="center"/>
          </w:tcPr>
          <w:p w14:paraId="320A6FA8">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556A5A05">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每年举行公益/文化活动，得1分；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不举行，得0分。</w:t>
            </w:r>
          </w:p>
        </w:tc>
      </w:tr>
      <w:tr w14:paraId="70A58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0" w:type="auto"/>
            <w:vMerge w:val="continue"/>
            <w:vAlign w:val="center"/>
          </w:tcPr>
          <w:p w14:paraId="2F9C93BF">
            <w:pPr>
              <w:widowControl/>
              <w:spacing w:line="240" w:lineRule="auto"/>
              <w:jc w:val="center"/>
              <w:rPr>
                <w:rFonts w:ascii="宋体" w:hAnsi="宋体" w:cs="宋体"/>
                <w:b/>
                <w:bCs/>
                <w:color w:val="000000"/>
                <w:kern w:val="0"/>
                <w:sz w:val="18"/>
                <w:szCs w:val="18"/>
              </w:rPr>
            </w:pPr>
          </w:p>
        </w:tc>
        <w:tc>
          <w:tcPr>
            <w:tcW w:w="3773" w:type="dxa"/>
            <w:vAlign w:val="center"/>
          </w:tcPr>
          <w:p w14:paraId="24DCD570">
            <w:pPr>
              <w:widowControl/>
              <w:spacing w:line="240" w:lineRule="auto"/>
              <w:jc w:val="center"/>
              <w:rPr>
                <w:rFonts w:ascii="宋体" w:hAnsi="宋体" w:cs="宋体"/>
                <w:color w:val="000000"/>
                <w:kern w:val="0"/>
                <w:sz w:val="18"/>
                <w:szCs w:val="18"/>
              </w:rPr>
            </w:pPr>
            <w:bookmarkStart w:id="89" w:name="_GoBack"/>
            <w:bookmarkEnd w:id="89"/>
            <w:r>
              <w:rPr>
                <w:rFonts w:hint="eastAsia" w:ascii="宋体" w:hAnsi="宋体" w:cs="宋体"/>
                <w:color w:val="000000"/>
                <w:kern w:val="0"/>
                <w:sz w:val="18"/>
                <w:szCs w:val="18"/>
              </w:rPr>
              <w:t>区域经济与就业带动</w:t>
            </w:r>
          </w:p>
        </w:tc>
        <w:tc>
          <w:tcPr>
            <w:tcW w:w="1207" w:type="dxa"/>
            <w:vAlign w:val="center"/>
          </w:tcPr>
          <w:p w14:paraId="46F4F55D">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3E75DC28">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对地区经济发展和社会进步有带动作用（综合效益），得1分；</w:t>
            </w:r>
          </w:p>
          <w:p w14:paraId="4A8BCF89">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不符合，得0分。</w:t>
            </w:r>
          </w:p>
        </w:tc>
      </w:tr>
      <w:tr w14:paraId="4EEE8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8" w:hRule="atLeast"/>
          <w:jc w:val="center"/>
        </w:trPr>
        <w:tc>
          <w:tcPr>
            <w:tcW w:w="0" w:type="auto"/>
            <w:vMerge w:val="restart"/>
          </w:tcPr>
          <w:p w14:paraId="1BF1B33F">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 xml:space="preserve">8 </w:t>
            </w:r>
            <w:bookmarkStart w:id="83" w:name="OLE_LINK31"/>
            <w:r>
              <w:rPr>
                <w:rFonts w:hint="eastAsia" w:ascii="宋体" w:hAnsi="宋体" w:cs="宋体"/>
                <w:b/>
                <w:bCs/>
                <w:color w:val="000000"/>
                <w:kern w:val="0"/>
                <w:sz w:val="18"/>
                <w:szCs w:val="18"/>
              </w:rPr>
              <w:t>经济与行业影响力</w:t>
            </w:r>
            <w:bookmarkEnd w:id="83"/>
            <w:r>
              <w:rPr>
                <w:rFonts w:hint="eastAsia" w:ascii="宋体" w:hAnsi="宋体" w:cs="宋体"/>
                <w:b/>
                <w:bCs/>
                <w:color w:val="000000"/>
                <w:kern w:val="0"/>
                <w:sz w:val="18"/>
                <w:szCs w:val="18"/>
              </w:rPr>
              <w:t xml:space="preserve"> (5)</w:t>
            </w:r>
          </w:p>
        </w:tc>
        <w:tc>
          <w:tcPr>
            <w:tcW w:w="3773" w:type="dxa"/>
          </w:tcPr>
          <w:p w14:paraId="2E6F7229">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年度直接经济产出强度</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(亿元 / 10  000 ㎡净展览面积)</w:t>
            </w:r>
          </w:p>
        </w:tc>
        <w:tc>
          <w:tcPr>
            <w:tcW w:w="1207" w:type="dxa"/>
          </w:tcPr>
          <w:p w14:paraId="047B56C1">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0ABBE503">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场馆单位面积产生的经济效益显著高于行业平均水平，得2分。</w:t>
            </w:r>
          </w:p>
          <w:p w14:paraId="654D4EB9">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场馆单位面积经济效益大体接近行业平均水平，得1分。</w:t>
            </w:r>
          </w:p>
          <w:p w14:paraId="61D1F69B">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场馆单位面积经济效益明显低于行业平均水平，得0分。</w:t>
            </w:r>
          </w:p>
        </w:tc>
      </w:tr>
      <w:tr w14:paraId="66EAB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0" w:type="auto"/>
            <w:vMerge w:val="continue"/>
          </w:tcPr>
          <w:p w14:paraId="306F4182">
            <w:pPr>
              <w:widowControl/>
              <w:spacing w:line="240" w:lineRule="auto"/>
              <w:jc w:val="center"/>
              <w:rPr>
                <w:rFonts w:ascii="宋体" w:hAnsi="宋体" w:cs="宋体"/>
                <w:b/>
                <w:bCs/>
                <w:color w:val="000000"/>
                <w:kern w:val="0"/>
                <w:sz w:val="18"/>
                <w:szCs w:val="18"/>
              </w:rPr>
            </w:pPr>
          </w:p>
        </w:tc>
        <w:tc>
          <w:tcPr>
            <w:tcW w:w="3773" w:type="dxa"/>
          </w:tcPr>
          <w:p w14:paraId="3730DD89">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品牌 / 高等级展会承载力</w:t>
            </w:r>
          </w:p>
          <w:p w14:paraId="68AFAB48">
            <w:pPr>
              <w:widowControl/>
              <w:spacing w:line="240" w:lineRule="auto"/>
              <w:jc w:val="center"/>
              <w:rPr>
                <w:rFonts w:ascii="宋体" w:hAnsi="宋体" w:cs="宋体"/>
                <w:color w:val="000000"/>
                <w:kern w:val="0"/>
                <w:sz w:val="18"/>
                <w:szCs w:val="18"/>
              </w:rPr>
            </w:pPr>
          </w:p>
        </w:tc>
        <w:tc>
          <w:tcPr>
            <w:tcW w:w="1207" w:type="dxa"/>
          </w:tcPr>
          <w:p w14:paraId="364AD32E">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2</w:t>
            </w:r>
          </w:p>
        </w:tc>
        <w:tc>
          <w:tcPr>
            <w:tcW w:w="7063" w:type="dxa"/>
          </w:tcPr>
          <w:p w14:paraId="6F94665F">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场馆在近三年持续承接多场 AAAAA 级及以上品牌展，得2分。</w:t>
            </w:r>
          </w:p>
          <w:p w14:paraId="2B284279">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场馆曾承接过 AAAAA 级及以上品牌展，但频次或规模有限，得1分。</w:t>
            </w:r>
          </w:p>
          <w:p w14:paraId="428AEE74">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近三年未承接 AAAAA 级及以上品牌展，得0分。</w:t>
            </w:r>
          </w:p>
        </w:tc>
      </w:tr>
      <w:tr w14:paraId="07301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 w:hRule="atLeast"/>
          <w:jc w:val="center"/>
        </w:trPr>
        <w:tc>
          <w:tcPr>
            <w:tcW w:w="0" w:type="auto"/>
            <w:vMerge w:val="continue"/>
          </w:tcPr>
          <w:p w14:paraId="54A69CC3">
            <w:pPr>
              <w:widowControl/>
              <w:spacing w:line="240" w:lineRule="auto"/>
              <w:jc w:val="center"/>
              <w:rPr>
                <w:rFonts w:ascii="宋体" w:hAnsi="宋体" w:cs="宋体"/>
                <w:b/>
                <w:bCs/>
                <w:color w:val="000000"/>
                <w:kern w:val="0"/>
                <w:sz w:val="18"/>
                <w:szCs w:val="18"/>
              </w:rPr>
            </w:pPr>
          </w:p>
        </w:tc>
        <w:tc>
          <w:tcPr>
            <w:tcW w:w="3773" w:type="dxa"/>
          </w:tcPr>
          <w:p w14:paraId="16D8B4B7">
            <w:pPr>
              <w:widowControl/>
              <w:spacing w:line="240" w:lineRule="auto"/>
              <w:jc w:val="center"/>
              <w:rPr>
                <w:rFonts w:ascii="宋体" w:hAnsi="宋体" w:cs="宋体"/>
                <w:color w:val="000000"/>
                <w:kern w:val="0"/>
                <w:sz w:val="18"/>
                <w:szCs w:val="18"/>
              </w:rPr>
            </w:pPr>
            <w:r>
              <w:rPr>
                <w:rFonts w:hint="eastAsia" w:ascii="宋体" w:hAnsi="宋体" w:cs="宋体"/>
                <w:color w:val="000000"/>
                <w:kern w:val="0"/>
                <w:sz w:val="18"/>
                <w:szCs w:val="18"/>
              </w:rPr>
              <w:t>国际化运营水平</w:t>
            </w:r>
          </w:p>
          <w:p w14:paraId="12999C16">
            <w:pPr>
              <w:widowControl/>
              <w:spacing w:line="240" w:lineRule="auto"/>
              <w:jc w:val="center"/>
              <w:rPr>
                <w:rFonts w:ascii="宋体" w:hAnsi="宋体" w:cs="宋体"/>
                <w:color w:val="000000"/>
                <w:kern w:val="0"/>
                <w:sz w:val="18"/>
                <w:szCs w:val="18"/>
              </w:rPr>
            </w:pPr>
          </w:p>
        </w:tc>
        <w:tc>
          <w:tcPr>
            <w:tcW w:w="1207" w:type="dxa"/>
          </w:tcPr>
          <w:p w14:paraId="2A05B609">
            <w:pPr>
              <w:widowControl/>
              <w:spacing w:line="240" w:lineRule="auto"/>
              <w:jc w:val="center"/>
              <w:rPr>
                <w:rFonts w:ascii="宋体" w:hAnsi="宋体" w:cs="宋体"/>
                <w:b/>
                <w:bCs/>
                <w:color w:val="000000"/>
                <w:kern w:val="0"/>
                <w:sz w:val="18"/>
                <w:szCs w:val="18"/>
              </w:rPr>
            </w:pPr>
            <w:r>
              <w:rPr>
                <w:rFonts w:hint="eastAsia" w:ascii="宋体" w:hAnsi="宋体" w:cs="宋体"/>
                <w:b/>
                <w:bCs/>
                <w:color w:val="000000"/>
                <w:kern w:val="0"/>
                <w:sz w:val="18"/>
                <w:szCs w:val="18"/>
              </w:rPr>
              <w:t>1</w:t>
            </w:r>
          </w:p>
        </w:tc>
        <w:tc>
          <w:tcPr>
            <w:tcW w:w="7063" w:type="dxa"/>
          </w:tcPr>
          <w:p w14:paraId="38253A08">
            <w:pPr>
              <w:widowControl/>
              <w:spacing w:line="240" w:lineRule="auto"/>
              <w:rPr>
                <w:rFonts w:ascii="宋体" w:hAnsi="宋体" w:cs="宋体"/>
                <w:color w:val="000000"/>
                <w:kern w:val="0"/>
                <w:sz w:val="18"/>
                <w:szCs w:val="18"/>
              </w:rPr>
            </w:pPr>
            <w:r>
              <w:rPr>
                <w:rFonts w:hint="eastAsia" w:ascii="宋体" w:hAnsi="宋体" w:cs="宋体"/>
                <w:color w:val="000000"/>
                <w:kern w:val="0"/>
                <w:sz w:val="18"/>
                <w:szCs w:val="18"/>
              </w:rPr>
              <w:t>近 3 年累计境外参展商净展览面积 / 场馆总净展览面积 ≥ 30 %或获得UFI认证，得1分；</w:t>
            </w:r>
            <w:r>
              <w:rPr>
                <w:rFonts w:hint="eastAsia" w:ascii="宋体" w:hAnsi="宋体" w:cs="宋体"/>
                <w:color w:val="000000"/>
                <w:kern w:val="0"/>
                <w:sz w:val="18"/>
                <w:szCs w:val="18"/>
              </w:rPr>
              <w:br w:type="textWrapping"/>
            </w:r>
            <w:r>
              <w:rPr>
                <w:rFonts w:hint="eastAsia" w:ascii="宋体" w:hAnsi="宋体" w:cs="宋体"/>
                <w:color w:val="000000"/>
                <w:kern w:val="0"/>
                <w:sz w:val="18"/>
                <w:szCs w:val="18"/>
              </w:rPr>
              <w:t>占比 &lt; 30 %，且无 UFI 认证，得0分。</w:t>
            </w:r>
          </w:p>
        </w:tc>
      </w:tr>
      <w:bookmarkEnd w:id="78"/>
    </w:tbl>
    <w:p w14:paraId="021DE4B4">
      <w:pPr>
        <w:tabs>
          <w:tab w:val="left" w:pos="10140"/>
        </w:tabs>
        <w:sectPr>
          <w:pgSz w:w="16838" w:h="11906" w:orient="landscape"/>
          <w:pgMar w:top="1134" w:right="1134" w:bottom="1134" w:left="1928" w:header="1418" w:footer="1134" w:gutter="284"/>
          <w:pgBorders>
            <w:top w:val="none" w:sz="0" w:space="0"/>
            <w:left w:val="none" w:sz="0" w:space="0"/>
            <w:bottom w:val="none" w:sz="0" w:space="0"/>
            <w:right w:val="none" w:sz="0" w:space="0"/>
          </w:pgBorders>
          <w:cols w:space="425" w:num="1"/>
          <w:formProt w:val="0"/>
          <w:docGrid w:linePitch="312" w:charSpace="0"/>
        </w:sectPr>
      </w:pPr>
      <w:bookmarkStart w:id="84" w:name="BookMark6"/>
    </w:p>
    <w:bookmarkEnd w:id="84"/>
    <w:p w14:paraId="771A1509">
      <w:pPr>
        <w:pStyle w:val="81"/>
        <w:numPr>
          <w:ilvl w:val="0"/>
          <w:numId w:val="0"/>
        </w:numPr>
        <w:spacing w:after="120"/>
      </w:pPr>
      <w:bookmarkStart w:id="85" w:name="_Toc201843303"/>
      <w:r>
        <w:rPr>
          <w:rFonts w:hint="eastAsia"/>
        </w:rPr>
        <w:t>附录B</w:t>
      </w:r>
      <w:r>
        <w:br w:type="textWrapping"/>
      </w:r>
      <w:r>
        <w:rPr>
          <w:rFonts w:hint="eastAsia"/>
        </w:rPr>
        <w:t>（规范性）</w:t>
      </w:r>
      <w:r>
        <w:br w:type="textWrapping"/>
      </w:r>
      <w:r>
        <w:rPr>
          <w:rFonts w:hint="eastAsia"/>
        </w:rPr>
        <w:t>会展场馆等级评定申请表</w:t>
      </w:r>
      <w:bookmarkEnd w:id="85"/>
    </w:p>
    <w:p w14:paraId="2A8C77C2">
      <w:pPr>
        <w:pStyle w:val="4"/>
        <w:ind w:firstLine="0" w:firstLineChars="0"/>
        <w:rPr>
          <w:rFonts w:hint="eastAsia"/>
        </w:rPr>
      </w:pPr>
      <w:r>
        <w:rPr>
          <w:rFonts w:hint="eastAsia"/>
        </w:rPr>
        <w:t>表 B.1 给出了会展场馆等级评定的申请表及格式。</w:t>
      </w:r>
    </w:p>
    <w:p w14:paraId="7D389865">
      <w:pPr>
        <w:pStyle w:val="82"/>
        <w:numPr>
          <w:ilvl w:val="1"/>
          <w:numId w:val="0"/>
        </w:numPr>
        <w:spacing w:before="120" w:after="120"/>
        <w:ind w:leftChars="0"/>
        <w:jc w:val="center"/>
        <w:rPr>
          <w:rFonts w:hint="eastAsia"/>
        </w:rPr>
      </w:pPr>
      <w:r>
        <w:rPr>
          <w:rFonts w:hint="eastAsia"/>
          <w:lang w:val="en-US" w:eastAsia="zh-CN"/>
        </w:rPr>
        <w:t xml:space="preserve">表B.1 </w:t>
      </w:r>
      <w:r>
        <w:rPr>
          <w:rFonts w:hint="eastAsia"/>
        </w:rPr>
        <w:t>会展场馆等级评定申请表</w:t>
      </w:r>
    </w:p>
    <w:tbl>
      <w:tblPr>
        <w:tblStyle w:val="23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35"/>
        <w:gridCol w:w="5335"/>
      </w:tblGrid>
      <w:tr w14:paraId="009524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14:paraId="3EA5FAD9">
            <w:pPr>
              <w:pStyle w:val="4"/>
              <w:widowControl w:val="0"/>
              <w:ind w:firstLine="0" w:firstLineChars="0"/>
              <w:jc w:val="center"/>
              <w:rPr>
                <w:rFonts w:hAnsi="宋体"/>
                <w:b/>
                <w:bCs/>
                <w:sz w:val="18"/>
                <w:szCs w:val="18"/>
              </w:rPr>
            </w:pPr>
            <w:r>
              <w:rPr>
                <w:rFonts w:hAnsi="宋体"/>
                <w:b/>
                <w:bCs/>
                <w:sz w:val="18"/>
                <w:szCs w:val="18"/>
              </w:rPr>
              <w:t>一、基本信息</w:t>
            </w:r>
          </w:p>
        </w:tc>
      </w:tr>
      <w:tr w14:paraId="1260BA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4B89C54">
            <w:pPr>
              <w:pStyle w:val="4"/>
              <w:widowControl w:val="0"/>
              <w:ind w:firstLine="0" w:firstLineChars="0"/>
              <w:rPr>
                <w:rFonts w:hAnsi="宋体" w:eastAsiaTheme="minorEastAsia"/>
                <w:sz w:val="18"/>
                <w:szCs w:val="18"/>
              </w:rPr>
            </w:pPr>
            <w:r>
              <w:rPr>
                <w:rFonts w:hAnsi="宋体"/>
                <w:sz w:val="18"/>
                <w:szCs w:val="18"/>
              </w:rPr>
              <w:t>场馆名称</w:t>
            </w:r>
          </w:p>
        </w:tc>
        <w:tc>
          <w:tcPr>
            <w:tcW w:w="0" w:type="auto"/>
          </w:tcPr>
          <w:p w14:paraId="695238FA">
            <w:pPr>
              <w:pStyle w:val="4"/>
              <w:widowControl w:val="0"/>
              <w:ind w:firstLine="0" w:firstLineChars="0"/>
              <w:rPr>
                <w:rFonts w:hAnsi="宋体"/>
                <w:sz w:val="18"/>
                <w:szCs w:val="18"/>
              </w:rPr>
            </w:pPr>
          </w:p>
        </w:tc>
      </w:tr>
      <w:tr w14:paraId="1BE0F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180745B5">
            <w:pPr>
              <w:pStyle w:val="4"/>
              <w:widowControl w:val="0"/>
              <w:ind w:firstLine="0" w:firstLineChars="0"/>
              <w:rPr>
                <w:rFonts w:hAnsi="宋体"/>
                <w:sz w:val="18"/>
                <w:szCs w:val="18"/>
              </w:rPr>
            </w:pPr>
            <w:r>
              <w:rPr>
                <w:rFonts w:hAnsi="宋体"/>
                <w:sz w:val="18"/>
                <w:szCs w:val="18"/>
              </w:rPr>
              <w:t>运营主体名称</w:t>
            </w:r>
          </w:p>
        </w:tc>
        <w:tc>
          <w:tcPr>
            <w:tcW w:w="0" w:type="auto"/>
          </w:tcPr>
          <w:p w14:paraId="6A09FAA2">
            <w:pPr>
              <w:pStyle w:val="4"/>
              <w:widowControl w:val="0"/>
              <w:ind w:firstLine="0" w:firstLineChars="0"/>
              <w:rPr>
                <w:rFonts w:hAnsi="宋体"/>
                <w:sz w:val="18"/>
                <w:szCs w:val="18"/>
              </w:rPr>
            </w:pPr>
          </w:p>
        </w:tc>
      </w:tr>
      <w:tr w14:paraId="17F6E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05AFB82">
            <w:pPr>
              <w:pStyle w:val="4"/>
              <w:widowControl w:val="0"/>
              <w:ind w:firstLine="0" w:firstLineChars="0"/>
              <w:rPr>
                <w:rFonts w:hAnsi="宋体"/>
                <w:sz w:val="18"/>
                <w:szCs w:val="18"/>
              </w:rPr>
            </w:pPr>
            <w:r>
              <w:rPr>
                <w:rFonts w:hAnsi="宋体"/>
                <w:sz w:val="18"/>
                <w:szCs w:val="18"/>
              </w:rPr>
              <w:t>场馆地址</w:t>
            </w:r>
          </w:p>
        </w:tc>
        <w:tc>
          <w:tcPr>
            <w:tcW w:w="0" w:type="auto"/>
          </w:tcPr>
          <w:p w14:paraId="5D6F7561">
            <w:pPr>
              <w:pStyle w:val="4"/>
              <w:widowControl w:val="0"/>
              <w:ind w:firstLine="0" w:firstLineChars="0"/>
              <w:rPr>
                <w:rFonts w:hAnsi="宋体"/>
                <w:sz w:val="18"/>
                <w:szCs w:val="18"/>
              </w:rPr>
            </w:pPr>
          </w:p>
        </w:tc>
      </w:tr>
      <w:tr w14:paraId="55FD1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6A9B8A6">
            <w:pPr>
              <w:pStyle w:val="4"/>
              <w:widowControl w:val="0"/>
              <w:ind w:firstLine="0" w:firstLineChars="0"/>
              <w:rPr>
                <w:rFonts w:hAnsi="宋体"/>
                <w:sz w:val="18"/>
                <w:szCs w:val="18"/>
              </w:rPr>
            </w:pPr>
            <w:r>
              <w:rPr>
                <w:rFonts w:hAnsi="宋体"/>
                <w:sz w:val="18"/>
                <w:szCs w:val="18"/>
              </w:rPr>
              <w:t>场馆性质</w:t>
            </w:r>
          </w:p>
        </w:tc>
        <w:tc>
          <w:tcPr>
            <w:tcW w:w="0" w:type="auto"/>
          </w:tcPr>
          <w:p w14:paraId="681DB030">
            <w:pPr>
              <w:pStyle w:val="4"/>
              <w:widowControl w:val="0"/>
              <w:ind w:firstLine="0" w:firstLineChars="0"/>
              <w:rPr>
                <w:rFonts w:hAnsi="宋体"/>
                <w:sz w:val="18"/>
                <w:szCs w:val="18"/>
              </w:rPr>
            </w:pPr>
            <w:r>
              <w:rPr>
                <w:rFonts w:hAnsi="宋体"/>
                <w:sz w:val="18"/>
                <w:szCs w:val="18"/>
              </w:rPr>
              <w:t>□ 国有 □ 民营 □ 合资 □ 其他</w:t>
            </w:r>
          </w:p>
        </w:tc>
      </w:tr>
      <w:tr w14:paraId="3756D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68D87B14">
            <w:pPr>
              <w:pStyle w:val="4"/>
              <w:widowControl w:val="0"/>
              <w:ind w:firstLine="0" w:firstLineChars="0"/>
              <w:rPr>
                <w:rFonts w:hAnsi="宋体"/>
                <w:sz w:val="18"/>
                <w:szCs w:val="18"/>
              </w:rPr>
            </w:pPr>
            <w:r>
              <w:rPr>
                <w:rFonts w:hAnsi="宋体"/>
                <w:sz w:val="18"/>
                <w:szCs w:val="18"/>
              </w:rPr>
              <w:t>主要功能</w:t>
            </w:r>
          </w:p>
        </w:tc>
        <w:tc>
          <w:tcPr>
            <w:tcW w:w="0" w:type="auto"/>
          </w:tcPr>
          <w:p w14:paraId="53F69FA2">
            <w:pPr>
              <w:pStyle w:val="4"/>
              <w:widowControl w:val="0"/>
              <w:ind w:firstLine="0" w:firstLineChars="0"/>
              <w:rPr>
                <w:rFonts w:hAnsi="宋体"/>
                <w:sz w:val="18"/>
                <w:szCs w:val="18"/>
              </w:rPr>
            </w:pPr>
            <w:r>
              <w:rPr>
                <w:rFonts w:hAnsi="宋体"/>
                <w:sz w:val="18"/>
                <w:szCs w:val="18"/>
              </w:rPr>
              <w:t>□ 展览 □ 会议 □ 综合 □ 其他</w:t>
            </w:r>
          </w:p>
        </w:tc>
      </w:tr>
      <w:tr w14:paraId="17847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1A643ABE">
            <w:pPr>
              <w:pStyle w:val="4"/>
              <w:widowControl w:val="0"/>
              <w:ind w:firstLine="0" w:firstLineChars="0"/>
              <w:rPr>
                <w:rFonts w:hAnsi="宋体"/>
                <w:sz w:val="18"/>
                <w:szCs w:val="18"/>
              </w:rPr>
            </w:pPr>
            <w:r>
              <w:rPr>
                <w:rFonts w:hAnsi="宋体"/>
                <w:sz w:val="18"/>
                <w:szCs w:val="18"/>
              </w:rPr>
              <w:t>室内净展览面积</w:t>
            </w:r>
          </w:p>
        </w:tc>
        <w:tc>
          <w:tcPr>
            <w:tcW w:w="0" w:type="auto"/>
          </w:tcPr>
          <w:p w14:paraId="122E5BCD">
            <w:pPr>
              <w:pStyle w:val="4"/>
              <w:widowControl w:val="0"/>
              <w:ind w:firstLine="0" w:firstLineChars="0"/>
              <w:rPr>
                <w:rFonts w:hAnsi="宋体"/>
                <w:sz w:val="18"/>
                <w:szCs w:val="18"/>
              </w:rPr>
            </w:pPr>
            <w:r>
              <w:rPr>
                <w:rFonts w:hAnsi="宋体"/>
                <w:sz w:val="18"/>
                <w:szCs w:val="18"/>
              </w:rPr>
              <w:t>______ ㎡</w:t>
            </w:r>
          </w:p>
        </w:tc>
      </w:tr>
      <w:tr w14:paraId="42E3C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4F53DA9F">
            <w:pPr>
              <w:pStyle w:val="4"/>
              <w:widowControl w:val="0"/>
              <w:ind w:firstLine="0" w:firstLineChars="0"/>
              <w:rPr>
                <w:rFonts w:hAnsi="宋体"/>
                <w:sz w:val="18"/>
                <w:szCs w:val="18"/>
              </w:rPr>
            </w:pPr>
            <w:r>
              <w:rPr>
                <w:rFonts w:hAnsi="宋体"/>
                <w:sz w:val="18"/>
                <w:szCs w:val="18"/>
              </w:rPr>
              <w:t>会议厅数量</w:t>
            </w:r>
          </w:p>
        </w:tc>
        <w:tc>
          <w:tcPr>
            <w:tcW w:w="0" w:type="auto"/>
          </w:tcPr>
          <w:p w14:paraId="5EF6F361">
            <w:pPr>
              <w:pStyle w:val="4"/>
              <w:widowControl w:val="0"/>
              <w:ind w:firstLine="0" w:firstLineChars="0"/>
              <w:rPr>
                <w:rFonts w:hAnsi="宋体"/>
                <w:sz w:val="18"/>
                <w:szCs w:val="18"/>
              </w:rPr>
            </w:pPr>
            <w:r>
              <w:rPr>
                <w:rFonts w:hAnsi="宋体"/>
                <w:sz w:val="18"/>
                <w:szCs w:val="18"/>
              </w:rPr>
              <w:t>______ 个</w:t>
            </w:r>
          </w:p>
        </w:tc>
      </w:tr>
      <w:tr w14:paraId="01F5E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374201EC">
            <w:pPr>
              <w:pStyle w:val="4"/>
              <w:widowControl w:val="0"/>
              <w:ind w:firstLine="0" w:firstLineChars="0"/>
              <w:rPr>
                <w:rFonts w:hAnsi="宋体"/>
                <w:sz w:val="18"/>
                <w:szCs w:val="18"/>
              </w:rPr>
            </w:pPr>
            <w:r>
              <w:rPr>
                <w:rFonts w:hAnsi="宋体"/>
                <w:sz w:val="18"/>
                <w:szCs w:val="18"/>
              </w:rPr>
              <w:t>最大瞬时安全容纳人数</w:t>
            </w:r>
          </w:p>
        </w:tc>
        <w:tc>
          <w:tcPr>
            <w:tcW w:w="0" w:type="auto"/>
          </w:tcPr>
          <w:p w14:paraId="7A509F23">
            <w:pPr>
              <w:pStyle w:val="4"/>
              <w:widowControl w:val="0"/>
              <w:ind w:firstLine="0" w:firstLineChars="0"/>
              <w:rPr>
                <w:rFonts w:hAnsi="宋体"/>
                <w:sz w:val="18"/>
                <w:szCs w:val="18"/>
              </w:rPr>
            </w:pPr>
            <w:r>
              <w:rPr>
                <w:rFonts w:hAnsi="宋体"/>
                <w:sz w:val="18"/>
                <w:szCs w:val="18"/>
              </w:rPr>
              <w:t>______ 人</w:t>
            </w:r>
          </w:p>
        </w:tc>
      </w:tr>
      <w:tr w14:paraId="20A1D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23F0DF3">
            <w:pPr>
              <w:pStyle w:val="4"/>
              <w:widowControl w:val="0"/>
              <w:ind w:firstLine="0" w:firstLineChars="0"/>
              <w:rPr>
                <w:rFonts w:hAnsi="宋体"/>
                <w:sz w:val="18"/>
                <w:szCs w:val="18"/>
              </w:rPr>
            </w:pPr>
            <w:r>
              <w:rPr>
                <w:rFonts w:hAnsi="宋体"/>
                <w:sz w:val="18"/>
                <w:szCs w:val="18"/>
              </w:rPr>
              <w:t>近三年年均活动数量</w:t>
            </w:r>
          </w:p>
        </w:tc>
        <w:tc>
          <w:tcPr>
            <w:tcW w:w="0" w:type="auto"/>
          </w:tcPr>
          <w:p w14:paraId="580706EF">
            <w:pPr>
              <w:pStyle w:val="4"/>
              <w:widowControl w:val="0"/>
              <w:ind w:firstLine="0" w:firstLineChars="0"/>
              <w:rPr>
                <w:rFonts w:hAnsi="宋体"/>
                <w:sz w:val="18"/>
                <w:szCs w:val="18"/>
              </w:rPr>
            </w:pPr>
            <w:r>
              <w:rPr>
                <w:rFonts w:hAnsi="宋体"/>
                <w:sz w:val="18"/>
                <w:szCs w:val="18"/>
              </w:rPr>
              <w:t>______ 场</w:t>
            </w:r>
          </w:p>
        </w:tc>
      </w:tr>
      <w:tr w14:paraId="7A47A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14:paraId="7D0D1766">
            <w:pPr>
              <w:widowControl/>
              <w:adjustRightInd/>
              <w:spacing w:line="240" w:lineRule="auto"/>
              <w:jc w:val="center"/>
              <w:rPr>
                <w:rFonts w:ascii="宋体" w:hAnsi="宋体" w:cs="宋体"/>
                <w:b/>
                <w:bCs/>
                <w:kern w:val="0"/>
                <w:sz w:val="18"/>
                <w:szCs w:val="18"/>
              </w:rPr>
            </w:pPr>
            <w:r>
              <w:rPr>
                <w:rFonts w:ascii="宋体" w:hAnsi="宋体" w:cs="宋体"/>
                <w:b/>
                <w:bCs/>
                <w:kern w:val="0"/>
                <w:sz w:val="18"/>
                <w:szCs w:val="18"/>
              </w:rPr>
              <w:t>二、申报信息</w:t>
            </w:r>
          </w:p>
        </w:tc>
      </w:tr>
      <w:tr w14:paraId="05906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97269EE">
            <w:pPr>
              <w:widowControl/>
              <w:adjustRightInd/>
              <w:spacing w:line="240" w:lineRule="auto"/>
              <w:rPr>
                <w:rFonts w:ascii="宋体" w:hAnsi="宋体" w:cs="宋体"/>
                <w:kern w:val="0"/>
                <w:sz w:val="18"/>
                <w:szCs w:val="18"/>
              </w:rPr>
            </w:pPr>
            <w:r>
              <w:rPr>
                <w:rFonts w:ascii="宋体" w:hAnsi="宋体" w:cs="宋体"/>
                <w:kern w:val="0"/>
                <w:sz w:val="18"/>
                <w:szCs w:val="18"/>
              </w:rPr>
              <w:t>申报等级</w:t>
            </w:r>
          </w:p>
        </w:tc>
        <w:tc>
          <w:tcPr>
            <w:tcW w:w="0" w:type="auto"/>
          </w:tcPr>
          <w:p w14:paraId="2556949F">
            <w:pPr>
              <w:widowControl/>
              <w:adjustRightInd/>
              <w:spacing w:line="240" w:lineRule="auto"/>
              <w:rPr>
                <w:rFonts w:ascii="宋体" w:hAnsi="宋体" w:cs="宋体"/>
                <w:kern w:val="0"/>
                <w:sz w:val="18"/>
                <w:szCs w:val="18"/>
              </w:rPr>
            </w:pPr>
            <w:r>
              <w:rPr>
                <w:rFonts w:hint="eastAsia" w:ascii="宋体" w:hAnsi="宋体" w:cs="宋体"/>
                <w:kern w:val="0"/>
                <w:sz w:val="18"/>
                <w:szCs w:val="18"/>
              </w:rPr>
              <w:t>□ 5A级 □ 4A级 □ 3A级 □ 2A级 □ A级</w:t>
            </w:r>
          </w:p>
        </w:tc>
      </w:tr>
      <w:tr w14:paraId="5CEA4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0F662983">
            <w:pPr>
              <w:widowControl/>
              <w:adjustRightInd/>
              <w:spacing w:line="240" w:lineRule="auto"/>
              <w:rPr>
                <w:rFonts w:ascii="宋体" w:hAnsi="宋体" w:cs="宋体"/>
                <w:kern w:val="0"/>
                <w:sz w:val="18"/>
                <w:szCs w:val="18"/>
              </w:rPr>
            </w:pPr>
            <w:r>
              <w:rPr>
                <w:rFonts w:ascii="宋体" w:hAnsi="宋体" w:cs="宋体"/>
                <w:kern w:val="0"/>
                <w:sz w:val="18"/>
                <w:szCs w:val="18"/>
              </w:rPr>
              <w:t>自评分</w:t>
            </w:r>
          </w:p>
        </w:tc>
        <w:tc>
          <w:tcPr>
            <w:tcW w:w="0" w:type="auto"/>
          </w:tcPr>
          <w:p w14:paraId="5D533A24">
            <w:pPr>
              <w:widowControl/>
              <w:adjustRightInd/>
              <w:spacing w:line="240" w:lineRule="auto"/>
              <w:rPr>
                <w:rFonts w:ascii="宋体" w:hAnsi="宋体" w:cs="宋体"/>
                <w:kern w:val="0"/>
                <w:sz w:val="18"/>
                <w:szCs w:val="18"/>
              </w:rPr>
            </w:pPr>
            <w:r>
              <w:rPr>
                <w:rFonts w:hint="eastAsia" w:ascii="宋体" w:hAnsi="宋体" w:cs="宋体"/>
                <w:kern w:val="0"/>
                <w:sz w:val="18"/>
                <w:szCs w:val="18"/>
                <w:lang w:eastAsia="zh-CN"/>
              </w:rPr>
              <w:t>主评定指标得分</w:t>
            </w:r>
            <w:r>
              <w:rPr>
                <w:rFonts w:ascii="宋体" w:hAnsi="宋体" w:cs="宋体"/>
                <w:kern w:val="0"/>
                <w:sz w:val="18"/>
                <w:szCs w:val="18"/>
              </w:rPr>
              <w:t xml:space="preserve"> ______ 分；</w:t>
            </w:r>
            <w:r>
              <w:rPr>
                <w:rFonts w:hint="eastAsia" w:ascii="宋体" w:hAnsi="宋体" w:cs="宋体"/>
                <w:kern w:val="0"/>
                <w:sz w:val="18"/>
                <w:szCs w:val="18"/>
                <w:lang w:eastAsia="zh-CN"/>
              </w:rPr>
              <w:t>辅助评定指标得分</w:t>
            </w:r>
            <w:r>
              <w:rPr>
                <w:rFonts w:ascii="宋体" w:hAnsi="宋体" w:cs="宋体"/>
                <w:kern w:val="0"/>
                <w:sz w:val="18"/>
                <w:szCs w:val="18"/>
              </w:rPr>
              <w:t xml:space="preserve"> ______ 分；总分 ______ 分</w:t>
            </w:r>
          </w:p>
        </w:tc>
      </w:tr>
      <w:tr w14:paraId="7F1F6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24011B1D">
            <w:pPr>
              <w:widowControl/>
              <w:adjustRightInd/>
              <w:spacing w:line="240" w:lineRule="auto"/>
              <w:rPr>
                <w:rFonts w:ascii="宋体" w:hAnsi="宋体" w:cs="宋体"/>
                <w:kern w:val="0"/>
                <w:sz w:val="18"/>
                <w:szCs w:val="18"/>
              </w:rPr>
            </w:pPr>
            <w:r>
              <w:rPr>
                <w:rFonts w:ascii="宋体" w:hAnsi="宋体" w:cs="宋体"/>
                <w:kern w:val="0"/>
                <w:sz w:val="18"/>
                <w:szCs w:val="18"/>
              </w:rPr>
              <w:t>申报理由简述（≤ 300 字）</w:t>
            </w:r>
          </w:p>
        </w:tc>
        <w:tc>
          <w:tcPr>
            <w:tcW w:w="0" w:type="auto"/>
          </w:tcPr>
          <w:p w14:paraId="5979F622">
            <w:pPr>
              <w:widowControl/>
              <w:adjustRightInd/>
              <w:spacing w:line="240" w:lineRule="auto"/>
              <w:rPr>
                <w:rFonts w:ascii="宋体" w:hAnsi="宋体" w:cs="宋体"/>
                <w:kern w:val="0"/>
                <w:sz w:val="18"/>
                <w:szCs w:val="18"/>
              </w:rPr>
            </w:pPr>
          </w:p>
          <w:p w14:paraId="36E464F2">
            <w:pPr>
              <w:widowControl/>
              <w:adjustRightInd/>
              <w:spacing w:line="240" w:lineRule="auto"/>
              <w:rPr>
                <w:rFonts w:ascii="宋体" w:hAnsi="宋体" w:cs="宋体"/>
                <w:kern w:val="0"/>
                <w:sz w:val="18"/>
                <w:szCs w:val="18"/>
              </w:rPr>
            </w:pPr>
          </w:p>
          <w:p w14:paraId="730175A6">
            <w:pPr>
              <w:widowControl/>
              <w:adjustRightInd/>
              <w:spacing w:line="240" w:lineRule="auto"/>
              <w:rPr>
                <w:rFonts w:ascii="宋体" w:hAnsi="宋体" w:cs="宋体"/>
                <w:kern w:val="0"/>
                <w:sz w:val="18"/>
                <w:szCs w:val="18"/>
              </w:rPr>
            </w:pPr>
          </w:p>
          <w:p w14:paraId="1A0B4410">
            <w:pPr>
              <w:widowControl/>
              <w:adjustRightInd/>
              <w:spacing w:line="240" w:lineRule="auto"/>
              <w:rPr>
                <w:rFonts w:ascii="宋体" w:hAnsi="宋体" w:cs="宋体"/>
                <w:kern w:val="0"/>
                <w:sz w:val="18"/>
                <w:szCs w:val="18"/>
              </w:rPr>
            </w:pPr>
          </w:p>
          <w:p w14:paraId="3D3EDCE0">
            <w:pPr>
              <w:widowControl/>
              <w:adjustRightInd/>
              <w:spacing w:line="240" w:lineRule="auto"/>
              <w:rPr>
                <w:rFonts w:ascii="宋体" w:hAnsi="宋体" w:cs="宋体"/>
                <w:kern w:val="0"/>
                <w:sz w:val="18"/>
                <w:szCs w:val="18"/>
              </w:rPr>
            </w:pPr>
          </w:p>
          <w:p w14:paraId="2FAC46A8">
            <w:pPr>
              <w:widowControl/>
              <w:adjustRightInd/>
              <w:spacing w:line="240" w:lineRule="auto"/>
              <w:rPr>
                <w:rFonts w:ascii="宋体" w:hAnsi="宋体" w:cs="宋体"/>
                <w:kern w:val="0"/>
                <w:sz w:val="18"/>
                <w:szCs w:val="18"/>
              </w:rPr>
            </w:pPr>
          </w:p>
        </w:tc>
      </w:tr>
      <w:tr w14:paraId="54A4B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2C83838">
            <w:pPr>
              <w:widowControl/>
              <w:adjustRightInd/>
              <w:spacing w:line="240" w:lineRule="auto"/>
              <w:rPr>
                <w:rFonts w:ascii="宋体" w:hAnsi="宋体" w:cs="宋体"/>
                <w:kern w:val="0"/>
                <w:sz w:val="18"/>
                <w:szCs w:val="18"/>
              </w:rPr>
            </w:pPr>
            <w:r>
              <w:rPr>
                <w:rFonts w:ascii="宋体" w:hAnsi="宋体" w:cs="宋体"/>
                <w:kern w:val="0"/>
                <w:sz w:val="18"/>
                <w:szCs w:val="18"/>
              </w:rPr>
              <w:t>附件清单（请在已提交项目前打 “√”）</w:t>
            </w:r>
          </w:p>
        </w:tc>
        <w:tc>
          <w:tcPr>
            <w:tcW w:w="0" w:type="auto"/>
          </w:tcPr>
          <w:p w14:paraId="0621AADE">
            <w:pPr>
              <w:widowControl/>
              <w:adjustRightInd/>
              <w:spacing w:line="240" w:lineRule="auto"/>
              <w:rPr>
                <w:rFonts w:ascii="宋体" w:hAnsi="宋体" w:cs="宋体"/>
                <w:kern w:val="0"/>
                <w:sz w:val="18"/>
                <w:szCs w:val="18"/>
              </w:rPr>
            </w:pPr>
            <w:r>
              <w:rPr>
                <w:rFonts w:ascii="宋体" w:hAnsi="宋体" w:cs="宋体"/>
                <w:kern w:val="0"/>
                <w:sz w:val="18"/>
                <w:szCs w:val="18"/>
              </w:rPr>
              <w:t>□</w:t>
            </w:r>
            <w:r>
              <w:rPr>
                <w:rFonts w:hint="eastAsia" w:ascii="宋体" w:hAnsi="宋体" w:cs="宋体"/>
                <w:kern w:val="0"/>
                <w:sz w:val="18"/>
                <w:szCs w:val="18"/>
              </w:rPr>
              <w:t xml:space="preserve">《会展场馆等级评定标准》自评分 </w:t>
            </w:r>
            <w:r>
              <w:rPr>
                <w:rFonts w:ascii="宋体" w:hAnsi="宋体" w:cs="宋体"/>
                <w:kern w:val="0"/>
                <w:sz w:val="18"/>
                <w:szCs w:val="18"/>
              </w:rPr>
              <w:t>□ 消防/环保/规划证明 □ 体系认证证书 □ 其他：________</w:t>
            </w:r>
          </w:p>
        </w:tc>
      </w:tr>
      <w:tr w14:paraId="2B73C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gridSpan w:val="2"/>
          </w:tcPr>
          <w:p w14:paraId="4E123478">
            <w:pPr>
              <w:widowControl/>
              <w:adjustRightInd/>
              <w:spacing w:line="240" w:lineRule="auto"/>
              <w:jc w:val="center"/>
              <w:rPr>
                <w:rFonts w:ascii="宋体" w:hAnsi="宋体" w:cs="宋体"/>
                <w:b/>
                <w:bCs/>
                <w:kern w:val="0"/>
                <w:sz w:val="18"/>
                <w:szCs w:val="18"/>
              </w:rPr>
            </w:pPr>
            <w:r>
              <w:rPr>
                <w:rFonts w:ascii="宋体" w:hAnsi="宋体" w:cs="宋体"/>
                <w:b/>
                <w:bCs/>
                <w:kern w:val="0"/>
                <w:sz w:val="18"/>
                <w:szCs w:val="18"/>
              </w:rPr>
              <w:t>三、承诺与签章</w:t>
            </w:r>
          </w:p>
        </w:tc>
      </w:tr>
      <w:tr w14:paraId="33DA1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1341561E">
            <w:pPr>
              <w:widowControl/>
              <w:adjustRightInd/>
              <w:spacing w:line="240" w:lineRule="auto"/>
              <w:rPr>
                <w:rFonts w:ascii="宋体" w:hAnsi="宋体" w:cs="宋体"/>
                <w:kern w:val="0"/>
                <w:sz w:val="18"/>
                <w:szCs w:val="18"/>
              </w:rPr>
            </w:pPr>
            <w:r>
              <w:rPr>
                <w:rFonts w:ascii="宋体" w:hAnsi="宋体" w:cs="宋体"/>
                <w:kern w:val="0"/>
                <w:sz w:val="18"/>
                <w:szCs w:val="18"/>
              </w:rPr>
              <w:t>本单位承诺所填信息及附件真实、准确、完整，并承担由此产生的法律责任。</w:t>
            </w:r>
          </w:p>
        </w:tc>
        <w:tc>
          <w:tcPr>
            <w:tcW w:w="0" w:type="auto"/>
          </w:tcPr>
          <w:p w14:paraId="4C917C10">
            <w:pPr>
              <w:widowControl/>
              <w:adjustRightInd/>
              <w:spacing w:line="240" w:lineRule="auto"/>
              <w:rPr>
                <w:rFonts w:ascii="宋体" w:hAnsi="宋体" w:cs="宋体"/>
                <w:kern w:val="0"/>
                <w:sz w:val="18"/>
                <w:szCs w:val="18"/>
              </w:rPr>
            </w:pPr>
          </w:p>
          <w:p w14:paraId="04515060">
            <w:pPr>
              <w:widowControl/>
              <w:adjustRightInd/>
              <w:spacing w:line="240" w:lineRule="auto"/>
              <w:rPr>
                <w:rFonts w:ascii="宋体" w:hAnsi="宋体" w:cs="宋体"/>
                <w:kern w:val="0"/>
                <w:sz w:val="18"/>
                <w:szCs w:val="18"/>
              </w:rPr>
            </w:pPr>
          </w:p>
          <w:p w14:paraId="3E852F31">
            <w:pPr>
              <w:widowControl/>
              <w:adjustRightInd/>
              <w:spacing w:line="240" w:lineRule="auto"/>
              <w:rPr>
                <w:rFonts w:ascii="宋体" w:hAnsi="宋体" w:cs="宋体"/>
                <w:kern w:val="0"/>
                <w:sz w:val="18"/>
                <w:szCs w:val="18"/>
              </w:rPr>
            </w:pPr>
          </w:p>
          <w:p w14:paraId="16704D1C">
            <w:pPr>
              <w:widowControl/>
              <w:adjustRightInd/>
              <w:spacing w:line="240" w:lineRule="auto"/>
              <w:rPr>
                <w:rFonts w:ascii="宋体" w:hAnsi="宋体" w:cs="宋体"/>
                <w:kern w:val="0"/>
                <w:sz w:val="18"/>
                <w:szCs w:val="18"/>
              </w:rPr>
            </w:pPr>
          </w:p>
          <w:p w14:paraId="6D4AEAA2">
            <w:pPr>
              <w:widowControl/>
              <w:adjustRightInd/>
              <w:spacing w:line="240" w:lineRule="auto"/>
              <w:rPr>
                <w:rFonts w:ascii="宋体" w:hAnsi="宋体" w:cs="宋体"/>
                <w:kern w:val="0"/>
                <w:sz w:val="18"/>
                <w:szCs w:val="18"/>
              </w:rPr>
            </w:pPr>
          </w:p>
          <w:p w14:paraId="6E184348">
            <w:pPr>
              <w:widowControl/>
              <w:adjustRightInd/>
              <w:spacing w:line="240" w:lineRule="auto"/>
              <w:rPr>
                <w:rFonts w:ascii="宋体" w:hAnsi="宋体" w:cs="宋体"/>
                <w:kern w:val="0"/>
                <w:sz w:val="18"/>
                <w:szCs w:val="18"/>
              </w:rPr>
            </w:pPr>
          </w:p>
        </w:tc>
      </w:tr>
      <w:tr w14:paraId="36CAD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511F251A">
            <w:pPr>
              <w:widowControl/>
              <w:adjustRightInd/>
              <w:spacing w:line="240" w:lineRule="auto"/>
              <w:rPr>
                <w:rFonts w:ascii="宋体" w:hAnsi="宋体" w:cs="宋体"/>
                <w:kern w:val="0"/>
                <w:sz w:val="18"/>
                <w:szCs w:val="18"/>
              </w:rPr>
            </w:pPr>
            <w:r>
              <w:rPr>
                <w:rFonts w:ascii="宋体" w:hAnsi="宋体" w:cs="宋体"/>
                <w:kern w:val="0"/>
                <w:sz w:val="18"/>
                <w:szCs w:val="18"/>
              </w:rPr>
              <w:t>负责人（签字）</w:t>
            </w:r>
          </w:p>
        </w:tc>
        <w:tc>
          <w:tcPr>
            <w:tcW w:w="0" w:type="auto"/>
          </w:tcPr>
          <w:p w14:paraId="32DF2CEA">
            <w:pPr>
              <w:widowControl/>
              <w:adjustRightInd/>
              <w:spacing w:line="240" w:lineRule="auto"/>
              <w:rPr>
                <w:rFonts w:ascii="宋体" w:hAnsi="宋体" w:cs="宋体"/>
                <w:kern w:val="0"/>
                <w:sz w:val="18"/>
                <w:szCs w:val="18"/>
              </w:rPr>
            </w:pPr>
            <w:r>
              <w:rPr>
                <w:rFonts w:ascii="宋体" w:hAnsi="宋体" w:cs="宋体"/>
                <w:kern w:val="0"/>
                <w:sz w:val="18"/>
                <w:szCs w:val="18"/>
              </w:rPr>
              <w:t>联系电话</w:t>
            </w:r>
          </w:p>
        </w:tc>
      </w:tr>
      <w:tr w14:paraId="50523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1ECDBE1D">
            <w:pPr>
              <w:widowControl/>
              <w:adjustRightInd/>
              <w:spacing w:line="240" w:lineRule="auto"/>
              <w:rPr>
                <w:rFonts w:ascii="宋体" w:hAnsi="宋体" w:cs="宋体"/>
                <w:kern w:val="0"/>
                <w:sz w:val="18"/>
                <w:szCs w:val="18"/>
              </w:rPr>
            </w:pPr>
            <w:r>
              <w:rPr>
                <w:rFonts w:ascii="宋体" w:hAnsi="宋体" w:cs="宋体"/>
                <w:kern w:val="0"/>
                <w:sz w:val="18"/>
                <w:szCs w:val="18"/>
              </w:rPr>
              <w:t>联系人</w:t>
            </w:r>
          </w:p>
        </w:tc>
        <w:tc>
          <w:tcPr>
            <w:tcW w:w="0" w:type="auto"/>
          </w:tcPr>
          <w:p w14:paraId="56031BE7">
            <w:pPr>
              <w:widowControl/>
              <w:adjustRightInd/>
              <w:spacing w:line="240" w:lineRule="auto"/>
              <w:rPr>
                <w:rFonts w:ascii="宋体" w:hAnsi="宋体" w:cs="宋体"/>
                <w:kern w:val="0"/>
                <w:sz w:val="18"/>
                <w:szCs w:val="18"/>
              </w:rPr>
            </w:pPr>
            <w:r>
              <w:rPr>
                <w:rFonts w:ascii="宋体" w:hAnsi="宋体" w:cs="宋体"/>
                <w:kern w:val="0"/>
                <w:sz w:val="18"/>
                <w:szCs w:val="18"/>
              </w:rPr>
              <w:t>邮箱</w:t>
            </w:r>
          </w:p>
        </w:tc>
      </w:tr>
      <w:tr w14:paraId="09E4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Pr>
          <w:p w14:paraId="7E1581CB">
            <w:pPr>
              <w:widowControl/>
              <w:adjustRightInd/>
              <w:spacing w:line="240" w:lineRule="auto"/>
              <w:rPr>
                <w:rFonts w:ascii="宋体" w:hAnsi="宋体" w:cs="宋体"/>
                <w:kern w:val="0"/>
                <w:sz w:val="18"/>
                <w:szCs w:val="18"/>
              </w:rPr>
            </w:pPr>
            <w:r>
              <w:rPr>
                <w:rFonts w:ascii="宋体" w:hAnsi="宋体" w:cs="宋体"/>
                <w:kern w:val="0"/>
                <w:sz w:val="18"/>
                <w:szCs w:val="18"/>
              </w:rPr>
              <w:t>申报单位（盖章）</w:t>
            </w:r>
          </w:p>
        </w:tc>
        <w:tc>
          <w:tcPr>
            <w:tcW w:w="0" w:type="auto"/>
          </w:tcPr>
          <w:p w14:paraId="1A21486D">
            <w:pPr>
              <w:widowControl/>
              <w:adjustRightInd/>
              <w:spacing w:line="240" w:lineRule="auto"/>
              <w:rPr>
                <w:rFonts w:ascii="宋体" w:hAnsi="宋体" w:cs="宋体"/>
                <w:kern w:val="0"/>
                <w:sz w:val="18"/>
                <w:szCs w:val="18"/>
              </w:rPr>
            </w:pPr>
            <w:r>
              <w:rPr>
                <w:rFonts w:ascii="宋体" w:hAnsi="宋体" w:cs="宋体"/>
                <w:kern w:val="0"/>
                <w:sz w:val="18"/>
                <w:szCs w:val="18"/>
              </w:rPr>
              <w:t>填表日期： 年 月 日</w:t>
            </w:r>
          </w:p>
        </w:tc>
      </w:tr>
    </w:tbl>
    <w:p w14:paraId="09524DA0">
      <w:pPr>
        <w:widowControl/>
        <w:adjustRightInd/>
        <w:spacing w:line="240" w:lineRule="auto"/>
        <w:jc w:val="left"/>
        <w:rPr>
          <w:rFonts w:ascii="黑体" w:eastAsia="黑体"/>
          <w:spacing w:val="105"/>
          <w:kern w:val="0"/>
        </w:rPr>
      </w:pPr>
    </w:p>
    <w:p w14:paraId="7ACE3ADB">
      <w:pPr>
        <w:pStyle w:val="4"/>
        <w:ind w:firstLine="0" w:firstLineChars="0"/>
        <w:jc w:val="center"/>
      </w:pPr>
      <w:bookmarkStart w:id="86" w:name="BookMark8"/>
    </w:p>
    <w:p w14:paraId="1AEB5DD5">
      <w:pPr>
        <w:pStyle w:val="4"/>
        <w:ind w:firstLine="0" w:firstLineChars="0"/>
        <w:jc w:val="center"/>
      </w:pPr>
    </w:p>
    <w:p w14:paraId="685190F1">
      <w:pPr>
        <w:pStyle w:val="4"/>
        <w:ind w:firstLine="0" w:firstLineChars="0"/>
        <w:jc w:val="center"/>
      </w:pPr>
    </w:p>
    <w:p w14:paraId="6C7E231A">
      <w:pPr>
        <w:pStyle w:val="4"/>
        <w:ind w:firstLine="0" w:firstLineChars="0"/>
      </w:pPr>
    </w:p>
    <w:p w14:paraId="7C704C2D">
      <w:pPr>
        <w:pStyle w:val="4"/>
        <w:ind w:firstLine="0" w:firstLineChars="0"/>
      </w:pPr>
    </w:p>
    <w:p w14:paraId="60808370">
      <w:pPr>
        <w:pStyle w:val="4"/>
        <w:ind w:firstLine="0" w:firstLineChars="0"/>
      </w:pPr>
    </w:p>
    <w:p w14:paraId="473146C8">
      <w:pPr>
        <w:pStyle w:val="4"/>
        <w:ind w:firstLine="0" w:firstLineChars="0"/>
      </w:pPr>
    </w:p>
    <w:p w14:paraId="7A2681EB">
      <w:r>
        <w:br w:type="page"/>
      </w:r>
    </w:p>
    <w:p w14:paraId="26E2D2B5">
      <w:pPr>
        <w:pStyle w:val="4"/>
        <w:ind w:firstLine="0" w:firstLineChars="0"/>
      </w:pPr>
    </w:p>
    <w:p w14:paraId="4C6170B1">
      <w:pPr>
        <w:pStyle w:val="81"/>
        <w:numPr>
          <w:ilvl w:val="0"/>
          <w:numId w:val="0"/>
        </w:numPr>
        <w:spacing w:after="120"/>
      </w:pPr>
      <w:bookmarkStart w:id="87" w:name="_Toc201843304"/>
      <w:r>
        <w:rPr>
          <w:rFonts w:hint="eastAsia"/>
        </w:rPr>
        <w:t>附录C</w:t>
      </w:r>
      <w:r>
        <w:br w:type="textWrapping"/>
      </w:r>
      <w:r>
        <w:rPr>
          <w:rFonts w:hint="eastAsia"/>
        </w:rPr>
        <w:t>（规范性）</w:t>
      </w:r>
      <w:r>
        <w:br w:type="textWrapping"/>
      </w:r>
      <w:r>
        <w:t>等级评定流程图</w:t>
      </w:r>
      <w:bookmarkEnd w:id="87"/>
    </w:p>
    <w:p w14:paraId="2C81A164">
      <w:pPr>
        <w:pStyle w:val="4"/>
        <w:ind w:firstLine="420"/>
      </w:pPr>
      <w:r>
        <w:drawing>
          <wp:inline distT="0" distB="0" distL="114300" distR="114300">
            <wp:extent cx="5937885" cy="5665470"/>
            <wp:effectExtent l="0" t="0" r="5715" b="1143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4"/>
                    <a:stretch>
                      <a:fillRect/>
                    </a:stretch>
                  </pic:blipFill>
                  <pic:spPr>
                    <a:xfrm>
                      <a:off x="0" y="0"/>
                      <a:ext cx="5937885" cy="5665470"/>
                    </a:xfrm>
                    <a:prstGeom prst="rect">
                      <a:avLst/>
                    </a:prstGeom>
                    <a:noFill/>
                    <a:ln>
                      <a:noFill/>
                    </a:ln>
                  </pic:spPr>
                </pic:pic>
              </a:graphicData>
            </a:graphic>
          </wp:inline>
        </w:drawing>
      </w:r>
    </w:p>
    <w:p w14:paraId="0C0869B5">
      <w:pPr>
        <w:pStyle w:val="4"/>
        <w:ind w:firstLine="420"/>
      </w:pPr>
    </w:p>
    <w:p w14:paraId="6CC93B51">
      <w:pPr>
        <w:pStyle w:val="69"/>
        <w:pageBreakBefore/>
        <w:spacing w:after="120"/>
      </w:pPr>
      <w:bookmarkStart w:id="88" w:name="_Toc203036652"/>
      <w:r>
        <w:rPr>
          <w:rFonts w:hint="eastAsia"/>
          <w:spacing w:val="105"/>
        </w:rPr>
        <w:t>参考文</w:t>
      </w:r>
      <w:r>
        <w:rPr>
          <w:rFonts w:hint="eastAsia"/>
        </w:rPr>
        <w:t>献</w:t>
      </w:r>
      <w:bookmarkEnd w:id="88"/>
    </w:p>
    <w:p w14:paraId="21C27671">
      <w:pPr>
        <w:pStyle w:val="70"/>
        <w:ind w:left="454" w:hanging="454"/>
      </w:pPr>
      <w:r>
        <w:t>GB/T 26165-2021 经济贸易展览会 术语</w:t>
      </w:r>
    </w:p>
    <w:p w14:paraId="3C468BD7">
      <w:pPr>
        <w:pStyle w:val="70"/>
        <w:ind w:left="454" w:hanging="454"/>
        <w:rPr>
          <w:rFonts w:hAnsi="宋体" w:cs="宋体"/>
        </w:rPr>
      </w:pPr>
      <w:r>
        <w:rPr>
          <w:rFonts w:hAnsi="宋体" w:cs="宋体"/>
        </w:rPr>
        <w:t xml:space="preserve">GB/T 34395-2017 </w:t>
      </w:r>
      <w:r>
        <w:rPr>
          <w:rFonts w:hint="eastAsia" w:hAnsi="宋体" w:cs="宋体"/>
        </w:rPr>
        <w:t>展览场馆功能性设计指南</w:t>
      </w:r>
    </w:p>
    <w:p w14:paraId="796F992F">
      <w:pPr>
        <w:pStyle w:val="70"/>
        <w:ind w:left="454" w:hanging="454"/>
        <w:rPr>
          <w:rFonts w:hAnsi="宋体" w:cs="宋体"/>
        </w:rPr>
      </w:pPr>
      <w:r>
        <w:rPr>
          <w:rFonts w:hAnsi="宋体" w:cs="宋体"/>
        </w:rPr>
        <w:t xml:space="preserve">GB/T 35654-2017 </w:t>
      </w:r>
      <w:r>
        <w:rPr>
          <w:rFonts w:hint="eastAsia" w:hAnsi="宋体" w:cs="宋体"/>
        </w:rPr>
        <w:t>城市公共交通发展水平</w:t>
      </w:r>
      <w:r>
        <w:rPr>
          <w:rFonts w:hint="eastAsia" w:hAnsi="宋体" w:cs="宋体"/>
          <w:lang w:eastAsia="zh-CN"/>
        </w:rPr>
        <w:t>评</w:t>
      </w:r>
      <w:r>
        <w:rPr>
          <w:rFonts w:hint="eastAsia" w:hAnsi="宋体" w:cs="宋体"/>
          <w:lang w:val="en-US" w:eastAsia="zh-CN"/>
        </w:rPr>
        <w:t>价</w:t>
      </w:r>
      <w:r>
        <w:rPr>
          <w:rFonts w:hint="eastAsia" w:hAnsi="宋体" w:cs="宋体"/>
          <w:lang w:eastAsia="zh-CN"/>
        </w:rPr>
        <w:t>指标体系</w:t>
      </w:r>
    </w:p>
    <w:p w14:paraId="4954975C">
      <w:pPr>
        <w:pStyle w:val="70"/>
        <w:ind w:left="454" w:hanging="454"/>
        <w:rPr>
          <w:rFonts w:hAnsi="宋体" w:cs="宋体"/>
        </w:rPr>
      </w:pPr>
      <w:r>
        <w:rPr>
          <w:rFonts w:hAnsi="宋体" w:cs="宋体"/>
        </w:rPr>
        <w:t xml:space="preserve">GB/T 35659-2017 </w:t>
      </w:r>
      <w:r>
        <w:rPr>
          <w:rFonts w:hint="eastAsia" w:hAnsi="宋体" w:cs="宋体"/>
        </w:rPr>
        <w:t>经济贸易展览会分级与评定准则</w:t>
      </w:r>
    </w:p>
    <w:p w14:paraId="4D3F84DB">
      <w:pPr>
        <w:pStyle w:val="70"/>
        <w:ind w:left="454" w:hanging="454"/>
        <w:rPr>
          <w:rFonts w:hAnsi="宋体" w:cs="宋体"/>
        </w:rPr>
      </w:pPr>
      <w:r>
        <w:rPr>
          <w:rFonts w:hAnsi="宋体" w:cs="宋体"/>
        </w:rPr>
        <w:t>GB/T 36681-2018 展览场馆服务管理规范</w:t>
      </w:r>
    </w:p>
    <w:p w14:paraId="18D896A2">
      <w:pPr>
        <w:pStyle w:val="70"/>
        <w:ind w:left="454" w:hanging="454"/>
        <w:rPr>
          <w:rFonts w:hAnsi="宋体" w:cs="宋体"/>
        </w:rPr>
      </w:pPr>
      <w:r>
        <w:rPr>
          <w:rFonts w:hAnsi="宋体" w:cs="宋体"/>
        </w:rPr>
        <w:t xml:space="preserve">GB/T 41130-2021 </w:t>
      </w:r>
      <w:r>
        <w:rPr>
          <w:rFonts w:hint="eastAsia" w:hAnsi="宋体" w:cs="宋体"/>
        </w:rPr>
        <w:t>展览场馆安全管理基本要求</w:t>
      </w:r>
    </w:p>
    <w:p w14:paraId="48178CDC">
      <w:pPr>
        <w:pStyle w:val="70"/>
        <w:ind w:left="454" w:hanging="454"/>
        <w:rPr>
          <w:rFonts w:hAnsi="宋体" w:cs="宋体"/>
        </w:rPr>
      </w:pPr>
      <w:r>
        <w:rPr>
          <w:rFonts w:hAnsi="宋体" w:cs="宋体"/>
        </w:rPr>
        <w:t>GB/T 44160-2024 大型活动可持续性评价指南</w:t>
      </w:r>
    </w:p>
    <w:p w14:paraId="4A839CC0">
      <w:pPr>
        <w:pStyle w:val="70"/>
        <w:ind w:left="454" w:hanging="454"/>
        <w:rPr>
          <w:rFonts w:hAnsi="宋体" w:cs="宋体"/>
        </w:rPr>
      </w:pPr>
      <w:r>
        <w:rPr>
          <w:rFonts w:hAnsi="宋体" w:cs="宋体"/>
        </w:rPr>
        <w:t>GB/T 45001-2020 职业健康安全管理体系要求及使用指南</w:t>
      </w:r>
    </w:p>
    <w:p w14:paraId="362160DF">
      <w:pPr>
        <w:pStyle w:val="70"/>
        <w:ind w:left="454" w:hanging="454"/>
        <w:rPr>
          <w:rFonts w:hAnsi="宋体" w:cs="宋体"/>
        </w:rPr>
      </w:pPr>
      <w:r>
        <w:rPr>
          <w:rFonts w:hAnsi="宋体" w:cs="宋体"/>
        </w:rPr>
        <w:t>GB 50016-2014 建筑设计防火规范（2018 年版）</w:t>
      </w:r>
    </w:p>
    <w:p w14:paraId="398E0CCD">
      <w:pPr>
        <w:pStyle w:val="70"/>
        <w:ind w:left="454" w:hanging="454"/>
        <w:rPr>
          <w:rFonts w:hAnsi="宋体" w:cs="宋体"/>
        </w:rPr>
      </w:pPr>
      <w:r>
        <w:rPr>
          <w:rFonts w:hAnsi="宋体" w:cs="宋体"/>
        </w:rPr>
        <w:t xml:space="preserve">GB/T 51328-2018 </w:t>
      </w:r>
      <w:r>
        <w:rPr>
          <w:rFonts w:hint="eastAsia" w:hAnsi="宋体" w:cs="宋体"/>
        </w:rPr>
        <w:t>城市综合交通体系规划标准</w:t>
      </w:r>
    </w:p>
    <w:p w14:paraId="198DDA62">
      <w:pPr>
        <w:pStyle w:val="70"/>
        <w:ind w:left="454" w:hanging="454"/>
        <w:rPr>
          <w:rFonts w:hAnsi="宋体" w:cs="宋体"/>
        </w:rPr>
      </w:pPr>
      <w:r>
        <w:rPr>
          <w:rFonts w:hAnsi="宋体" w:cs="宋体"/>
        </w:rPr>
        <w:t>JGJ 218-2010 展览建筑设计规范</w:t>
      </w:r>
    </w:p>
    <w:p w14:paraId="71FFA722">
      <w:pPr>
        <w:pStyle w:val="70"/>
        <w:ind w:left="454" w:hanging="454"/>
        <w:rPr>
          <w:rFonts w:hAnsi="宋体" w:cs="宋体"/>
        </w:rPr>
      </w:pPr>
      <w:r>
        <w:rPr>
          <w:rFonts w:hAnsi="宋体" w:cs="宋体"/>
        </w:rPr>
        <w:t xml:space="preserve">JT/T 1097-2016 </w:t>
      </w:r>
      <w:r>
        <w:rPr>
          <w:rFonts w:hint="eastAsia" w:hAnsi="宋体" w:cs="宋体"/>
        </w:rPr>
        <w:t>城市轨道交通公共区域客流数据采集规范</w:t>
      </w:r>
    </w:p>
    <w:p w14:paraId="77BBB2C4">
      <w:pPr>
        <w:pStyle w:val="70"/>
        <w:ind w:left="454" w:hanging="454"/>
        <w:rPr>
          <w:rFonts w:hAnsi="宋体" w:cs="宋体"/>
        </w:rPr>
      </w:pPr>
      <w:r>
        <w:rPr>
          <w:rFonts w:hAnsi="宋体" w:cs="宋体"/>
        </w:rPr>
        <w:t xml:space="preserve">SB/T 10358-2012 </w:t>
      </w:r>
      <w:r>
        <w:rPr>
          <w:rFonts w:hint="eastAsia" w:hAnsi="宋体" w:cs="宋体"/>
        </w:rPr>
        <w:t>专业性展览会等级的划分及评定</w:t>
      </w:r>
      <w:r>
        <w:rPr>
          <w:rFonts w:hAnsi="宋体" w:cs="宋体"/>
        </w:rPr>
        <w:t xml:space="preserve"> </w:t>
      </w:r>
    </w:p>
    <w:p w14:paraId="76C60D4C">
      <w:pPr>
        <w:pStyle w:val="70"/>
        <w:ind w:left="454" w:hanging="454"/>
        <w:rPr>
          <w:rFonts w:hAnsi="宋体" w:cs="宋体"/>
        </w:rPr>
      </w:pPr>
      <w:r>
        <w:rPr>
          <w:rFonts w:hAnsi="宋体" w:cs="宋体"/>
        </w:rPr>
        <w:t>T/CCPITCSC 066—2021线上展会服务规范</w:t>
      </w:r>
    </w:p>
    <w:p w14:paraId="23B72F78">
      <w:pPr>
        <w:pStyle w:val="4"/>
        <w:ind w:firstLine="420"/>
      </w:pPr>
    </w:p>
    <w:p w14:paraId="6D7EBF28">
      <w:pPr>
        <w:pStyle w:val="4"/>
        <w:ind w:firstLine="0" w:firstLineChars="0"/>
        <w:jc w:val="center"/>
      </w:pPr>
      <w:r>
        <w:drawing>
          <wp:inline distT="0" distB="0" distL="0" distR="0">
            <wp:extent cx="1485900" cy="317500"/>
            <wp:effectExtent l="0" t="0" r="0" b="6350"/>
            <wp:docPr id="384461954" name="图片 3"/>
            <wp:cNvGraphicFramePr/>
            <a:graphic xmlns:a="http://schemas.openxmlformats.org/drawingml/2006/main">
              <a:graphicData uri="http://schemas.openxmlformats.org/drawingml/2006/picture">
                <pic:pic xmlns:pic="http://schemas.openxmlformats.org/drawingml/2006/picture">
                  <pic:nvPicPr>
                    <pic:cNvPr id="384461954" name="图片 3"/>
                    <pic:cNvPicPr/>
                  </pic:nvPicPr>
                  <pic:blipFill>
                    <a:blip r:embed="rId1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0"/>
      <w:bookmarkEnd w:id="86"/>
    </w:p>
    <w:sectPr>
      <w:pgSz w:w="11906" w:h="16838"/>
      <w:pgMar w:top="1928" w:right="1134" w:bottom="1134" w:left="1134" w:header="1418" w:footer="1134" w:gutter="284"/>
      <w:pgBorders>
        <w:top w:val="none" w:sz="0" w:space="0"/>
        <w:left w:val="none" w:sz="0" w:space="0"/>
        <w:bottom w:val="none" w:sz="0" w:space="0"/>
        <w:right w:val="none" w:sz="0" w:space="0"/>
      </w:pgBorders>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5920C">
    <w:pPr>
      <w:pStyle w:val="21"/>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3405B9">
    <w:pPr>
      <w:pStyle w:val="21"/>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EA2A86">
    <w:pPr>
      <w:pStyle w:val="59"/>
    </w:pPr>
    <w:r>
      <w:fldChar w:fldCharType="begin"/>
    </w:r>
    <w:r>
      <w:instrText xml:space="preserve">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B801CB">
    <w:pPr>
      <w:pStyle w:val="22"/>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CF52C">
    <w:pPr>
      <w:pStyle w:val="22"/>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B2817">
    <w:pPr>
      <w:pStyle w:val="67"/>
    </w:pPr>
    <w:r>
      <w:fldChar w:fldCharType="begin"/>
    </w:r>
    <w:r>
      <w:instrText xml:space="preserve"> STYLEREF  标准文件_文件编号  \* MERGEFORMAT </w:instrText>
    </w:r>
    <w:r>
      <w:fldChar w:fldCharType="separate"/>
    </w:r>
    <w:r>
      <w:t>T/CCPITCSC XXXX—XXXX</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38B61">
    <w:pPr>
      <w:pStyle w:val="22"/>
      <w:jc w:val="right"/>
    </w:pPr>
    <w:r>
      <w:fldChar w:fldCharType="begin"/>
    </w:r>
    <w:r>
      <w:instrText xml:space="preserve"> STYLEREF  标准文件_文件编号  \* MERGEFORMAT </w:instrText>
    </w:r>
    <w:r>
      <w:fldChar w:fldCharType="separate"/>
    </w:r>
    <w:r>
      <w:t>T/CCPITCSC XXXX—XXXX</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70"/>
      <w:lvlText w:val="[%1]"/>
      <w:lvlJc w:val="left"/>
      <w:pPr>
        <w:tabs>
          <w:tab w:val="left" w:pos="2497"/>
        </w:tabs>
        <w:ind w:left="2497" w:hanging="648"/>
      </w:pPr>
    </w:lvl>
    <w:lvl w:ilvl="1" w:tentative="0">
      <w:start w:val="1"/>
      <w:numFmt w:val="lowerLetter"/>
      <w:lvlText w:val="%2)"/>
      <w:lvlJc w:val="left"/>
      <w:pPr>
        <w:tabs>
          <w:tab w:val="left" w:pos="2689"/>
        </w:tabs>
        <w:ind w:left="2689" w:hanging="420"/>
      </w:pPr>
    </w:lvl>
    <w:lvl w:ilvl="2" w:tentative="0">
      <w:start w:val="1"/>
      <w:numFmt w:val="lowerRoman"/>
      <w:lvlText w:val="%3."/>
      <w:lvlJc w:val="right"/>
      <w:pPr>
        <w:tabs>
          <w:tab w:val="left" w:pos="3109"/>
        </w:tabs>
        <w:ind w:left="3109" w:hanging="420"/>
      </w:pPr>
    </w:lvl>
    <w:lvl w:ilvl="3" w:tentative="0">
      <w:start w:val="1"/>
      <w:numFmt w:val="decimal"/>
      <w:lvlText w:val="%4."/>
      <w:lvlJc w:val="left"/>
      <w:pPr>
        <w:tabs>
          <w:tab w:val="left" w:pos="3529"/>
        </w:tabs>
        <w:ind w:left="3529" w:hanging="420"/>
      </w:pPr>
    </w:lvl>
    <w:lvl w:ilvl="4" w:tentative="0">
      <w:start w:val="1"/>
      <w:numFmt w:val="lowerLetter"/>
      <w:lvlText w:val="%5)"/>
      <w:lvlJc w:val="left"/>
      <w:pPr>
        <w:tabs>
          <w:tab w:val="left" w:pos="3949"/>
        </w:tabs>
        <w:ind w:left="3949" w:hanging="420"/>
      </w:pPr>
    </w:lvl>
    <w:lvl w:ilvl="5" w:tentative="0">
      <w:start w:val="1"/>
      <w:numFmt w:val="lowerRoman"/>
      <w:lvlText w:val="%6."/>
      <w:lvlJc w:val="right"/>
      <w:pPr>
        <w:tabs>
          <w:tab w:val="left" w:pos="4369"/>
        </w:tabs>
        <w:ind w:left="4369" w:hanging="420"/>
      </w:pPr>
    </w:lvl>
    <w:lvl w:ilvl="6" w:tentative="0">
      <w:start w:val="1"/>
      <w:numFmt w:val="decimal"/>
      <w:lvlText w:val="%7."/>
      <w:lvlJc w:val="left"/>
      <w:pPr>
        <w:tabs>
          <w:tab w:val="left" w:pos="4789"/>
        </w:tabs>
        <w:ind w:left="4789" w:hanging="420"/>
      </w:pPr>
    </w:lvl>
    <w:lvl w:ilvl="7" w:tentative="0">
      <w:start w:val="1"/>
      <w:numFmt w:val="lowerLetter"/>
      <w:lvlText w:val="%8)"/>
      <w:lvlJc w:val="left"/>
      <w:pPr>
        <w:tabs>
          <w:tab w:val="left" w:pos="5209"/>
        </w:tabs>
        <w:ind w:left="5209" w:hanging="420"/>
      </w:pPr>
    </w:lvl>
    <w:lvl w:ilvl="8" w:tentative="0">
      <w:start w:val="1"/>
      <w:numFmt w:val="lowerRoman"/>
      <w:lvlText w:val="%9."/>
      <w:lvlJc w:val="right"/>
      <w:pPr>
        <w:tabs>
          <w:tab w:val="left" w:pos="5629"/>
        </w:tabs>
        <w:ind w:left="5629"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3"/>
      <w:suff w:val="nothing"/>
      <w:lvlText w:val="%1%2.%3　"/>
      <w:lvlJc w:val="left"/>
      <w:pPr>
        <w:ind w:left="0" w:firstLine="0"/>
      </w:pPr>
    </w:lvl>
    <w:lvl w:ilvl="3" w:tentative="0">
      <w:start w:val="1"/>
      <w:numFmt w:val="decimal"/>
      <w:pStyle w:val="122"/>
      <w:suff w:val="nothing"/>
      <w:lvlText w:val="%1%2.%3.%4　"/>
      <w:lvlJc w:val="left"/>
      <w:pPr>
        <w:ind w:left="0" w:firstLine="0"/>
      </w:pPr>
    </w:lvl>
    <w:lvl w:ilvl="4" w:tentative="0">
      <w:start w:val="1"/>
      <w:numFmt w:val="decimal"/>
      <w:pStyle w:val="157"/>
      <w:suff w:val="nothing"/>
      <w:lvlText w:val="%1%2.%3.%4.%5　"/>
      <w:lvlJc w:val="left"/>
      <w:pPr>
        <w:ind w:left="0" w:firstLine="0"/>
      </w:pPr>
    </w:lvl>
    <w:lvl w:ilvl="5" w:tentative="0">
      <w:start w:val="1"/>
      <w:numFmt w:val="decimal"/>
      <w:pStyle w:val="159"/>
      <w:suff w:val="nothing"/>
      <w:lvlText w:val="%1%2.%3.%4.%5.%6　"/>
      <w:lvlJc w:val="left"/>
      <w:pPr>
        <w:ind w:left="0" w:firstLine="0"/>
      </w:pPr>
    </w:lvl>
    <w:lvl w:ilvl="6" w:tentative="0">
      <w:start w:val="1"/>
      <w:numFmt w:val="decimal"/>
      <w:pStyle w:val="162"/>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4"/>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4"/>
      <w:lvlText w:val="%1"/>
      <w:lvlJc w:val="left"/>
      <w:pPr>
        <w:ind w:left="425" w:hanging="425"/>
      </w:pPr>
      <w:rPr>
        <w:rFonts w:hint="eastAsia"/>
      </w:rPr>
    </w:lvl>
    <w:lvl w:ilvl="1" w:tentative="0">
      <w:start w:val="1"/>
      <w:numFmt w:val="decimal"/>
      <w:pStyle w:val="204"/>
      <w:suff w:val="nothing"/>
      <w:lvlText w:val="%10.%2 "/>
      <w:lvlJc w:val="left"/>
      <w:pPr>
        <w:ind w:left="0" w:firstLine="0"/>
      </w:pPr>
      <w:rPr>
        <w:rFonts w:hint="eastAsia" w:ascii="黑体" w:eastAsia="黑体" w:hAnsiTheme="minorHAnsi"/>
        <w:b w:val="0"/>
        <w:i w:val="0"/>
        <w:sz w:val="21"/>
      </w:rPr>
    </w:lvl>
    <w:lvl w:ilvl="2" w:tentative="0">
      <w:start w:val="1"/>
      <w:numFmt w:val="decimal"/>
      <w:pStyle w:val="205"/>
      <w:suff w:val="nothing"/>
      <w:lvlText w:val="%10.%2.%3 "/>
      <w:lvlJc w:val="left"/>
      <w:pPr>
        <w:ind w:left="0" w:firstLine="0"/>
      </w:pPr>
      <w:rPr>
        <w:rFonts w:hint="eastAsia" w:ascii="黑体" w:eastAsia="黑体" w:hAnsiTheme="minorHAnsi"/>
        <w:b w:val="0"/>
        <w:i w:val="0"/>
        <w:sz w:val="21"/>
      </w:rPr>
    </w:lvl>
    <w:lvl w:ilvl="3" w:tentative="0">
      <w:start w:val="1"/>
      <w:numFmt w:val="decimal"/>
      <w:pStyle w:val="206"/>
      <w:suff w:val="nothing"/>
      <w:lvlText w:val="%10.%2.%3.%4 "/>
      <w:lvlJc w:val="left"/>
      <w:pPr>
        <w:ind w:left="0" w:firstLine="0"/>
      </w:pPr>
      <w:rPr>
        <w:rFonts w:hint="eastAsia" w:ascii="黑体" w:eastAsia="黑体" w:hAnsiTheme="minorHAnsi"/>
        <w:b w:val="0"/>
        <w:i w:val="0"/>
        <w:sz w:val="21"/>
      </w:rPr>
    </w:lvl>
    <w:lvl w:ilvl="4" w:tentative="0">
      <w:start w:val="1"/>
      <w:numFmt w:val="decimal"/>
      <w:pStyle w:val="207"/>
      <w:suff w:val="nothing"/>
      <w:lvlText w:val="%10.%2.%3.%4.%5 "/>
      <w:lvlJc w:val="left"/>
      <w:pPr>
        <w:ind w:left="0" w:firstLine="0"/>
      </w:pPr>
      <w:rPr>
        <w:rFonts w:hint="eastAsia" w:ascii="黑体" w:eastAsia="黑体" w:hAnsiTheme="minorHAnsi"/>
        <w:b w:val="0"/>
        <w:i w:val="0"/>
        <w:sz w:val="21"/>
      </w:rPr>
    </w:lvl>
    <w:lvl w:ilvl="5" w:tentative="0">
      <w:start w:val="1"/>
      <w:numFmt w:val="decimal"/>
      <w:pStyle w:val="208"/>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5"/>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2"/>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4"/>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90"/>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7"/>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6"/>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1"/>
      <w:lvlText w:val=""/>
      <w:lvlJc w:val="left"/>
      <w:pPr>
        <w:ind w:left="851" w:hanging="431"/>
      </w:pPr>
      <w:rPr>
        <w:rFonts w:hint="default" w:ascii="Symbol" w:hAnsi="Symbol"/>
        <w:sz w:val="21"/>
      </w:rPr>
    </w:lvl>
    <w:lvl w:ilvl="2" w:tentative="0">
      <w:start w:val="1"/>
      <w:numFmt w:val="bullet"/>
      <w:pStyle w:val="176"/>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6"/>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8"/>
      <w:lvlText w:val="%1)"/>
      <w:lvlJc w:val="left"/>
      <w:pPr>
        <w:tabs>
          <w:tab w:val="left" w:pos="851"/>
        </w:tabs>
        <w:ind w:left="851" w:hanging="426"/>
      </w:pPr>
      <w:rPr>
        <w:rFonts w:hint="eastAsia" w:ascii="宋体" w:hAnsi="Times New Roman" w:eastAsia="宋体"/>
        <w:sz w:val="21"/>
      </w:rPr>
    </w:lvl>
    <w:lvl w:ilvl="1" w:tentative="0">
      <w:start w:val="1"/>
      <w:numFmt w:val="decimal"/>
      <w:pStyle w:val="113"/>
      <w:lvlText w:val="%2)"/>
      <w:lvlJc w:val="left"/>
      <w:pPr>
        <w:tabs>
          <w:tab w:val="left" w:pos="1276"/>
        </w:tabs>
        <w:ind w:left="1276" w:hanging="425"/>
      </w:pPr>
      <w:rPr>
        <w:rFonts w:hint="eastAsia" w:ascii="宋体" w:hAnsi="Times New Roman" w:eastAsia="宋体"/>
        <w:sz w:val="21"/>
      </w:rPr>
    </w:lvl>
    <w:lvl w:ilvl="2" w:tentative="0">
      <w:start w:val="1"/>
      <w:numFmt w:val="decimal"/>
      <w:pStyle w:val="121"/>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2"/>
      <w:lvlText w:val="%1"/>
      <w:lvlJc w:val="left"/>
      <w:pPr>
        <w:ind w:left="420" w:hanging="420"/>
      </w:pPr>
      <w:rPr>
        <w:rFonts w:hint="eastAsia"/>
      </w:rPr>
    </w:lvl>
    <w:lvl w:ilvl="1" w:tentative="0">
      <w:start w:val="1"/>
      <w:numFmt w:val="decimal"/>
      <w:pStyle w:val="88"/>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7"/>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20"/>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8"/>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8"/>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3"/>
      <w:suff w:val="space"/>
      <w:lvlText w:val="%1"/>
      <w:lvlJc w:val="left"/>
      <w:pPr>
        <w:ind w:left="425" w:hanging="425"/>
      </w:pPr>
      <w:rPr>
        <w:rFonts w:hint="eastAsia"/>
      </w:rPr>
    </w:lvl>
    <w:lvl w:ilvl="1" w:tentative="0">
      <w:start w:val="1"/>
      <w:numFmt w:val="decimal"/>
      <w:pStyle w:val="82"/>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5"/>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2"/>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6"/>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3"/>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81"/>
      <w:suff w:val="nothing"/>
      <w:lvlText w:val="附录%1"/>
      <w:lvlJc w:val="left"/>
      <w:pPr>
        <w:ind w:left="0" w:firstLine="0"/>
      </w:pPr>
      <w:rPr>
        <w:rFonts w:hint="eastAsia"/>
        <w:spacing w:val="100"/>
      </w:rPr>
    </w:lvl>
    <w:lvl w:ilvl="1" w:tentative="0">
      <w:start w:val="1"/>
      <w:numFmt w:val="decimal"/>
      <w:pStyle w:val="83"/>
      <w:suff w:val="nothing"/>
      <w:lvlText w:val="%1.%2　"/>
      <w:lvlJc w:val="left"/>
      <w:pPr>
        <w:ind w:left="0" w:firstLine="0"/>
      </w:pPr>
      <w:rPr>
        <w:rFonts w:hint="eastAsia" w:ascii="黑体" w:eastAsia="黑体"/>
        <w:b w:val="0"/>
        <w:i w:val="0"/>
        <w:sz w:val="21"/>
      </w:rPr>
    </w:lvl>
    <w:lvl w:ilvl="2" w:tentative="0">
      <w:start w:val="1"/>
      <w:numFmt w:val="decimal"/>
      <w:pStyle w:val="84"/>
      <w:suff w:val="nothing"/>
      <w:lvlText w:val="%1.%2.%3　"/>
      <w:lvlJc w:val="left"/>
      <w:pPr>
        <w:ind w:left="0" w:firstLine="0"/>
      </w:pPr>
      <w:rPr>
        <w:rFonts w:hint="eastAsia" w:ascii="黑体" w:eastAsia="黑体"/>
        <w:b w:val="0"/>
        <w:i w:val="0"/>
        <w:sz w:val="21"/>
      </w:rPr>
    </w:lvl>
    <w:lvl w:ilvl="3" w:tentative="0">
      <w:start w:val="1"/>
      <w:numFmt w:val="decimal"/>
      <w:pStyle w:val="86"/>
      <w:suff w:val="nothing"/>
      <w:lvlText w:val="%1.%2.%3.%4　"/>
      <w:lvlJc w:val="left"/>
      <w:pPr>
        <w:ind w:left="0" w:firstLine="0"/>
      </w:pPr>
      <w:rPr>
        <w:rFonts w:hint="eastAsia" w:ascii="黑体" w:eastAsia="黑体"/>
        <w:b w:val="0"/>
        <w:i w:val="0"/>
        <w:sz w:val="21"/>
      </w:rPr>
    </w:lvl>
    <w:lvl w:ilvl="4" w:tentative="0">
      <w:start w:val="1"/>
      <w:numFmt w:val="decimal"/>
      <w:pStyle w:val="87"/>
      <w:suff w:val="nothing"/>
      <w:lvlText w:val="%1.%2.%3.%4.%5　"/>
      <w:lvlJc w:val="left"/>
      <w:pPr>
        <w:ind w:left="0" w:firstLine="0"/>
      </w:pPr>
      <w:rPr>
        <w:rFonts w:hint="eastAsia" w:ascii="黑体" w:eastAsia="黑体"/>
        <w:b w:val="0"/>
        <w:i w:val="0"/>
        <w:sz w:val="21"/>
      </w:rPr>
    </w:lvl>
    <w:lvl w:ilvl="5" w:tentative="0">
      <w:start w:val="1"/>
      <w:numFmt w:val="decimal"/>
      <w:pStyle w:val="89"/>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2"/>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102"/>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7"/>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6"/>
      <w:suff w:val="nothing"/>
      <w:lvlText w:val="%1"/>
      <w:lvlJc w:val="left"/>
      <w:pPr>
        <w:ind w:left="0" w:firstLine="0"/>
      </w:pPr>
      <w:rPr>
        <w:rFonts w:hint="eastAsia"/>
      </w:rPr>
    </w:lvl>
    <w:lvl w:ilvl="1" w:tentative="0">
      <w:start w:val="1"/>
      <w:numFmt w:val="decimal"/>
      <w:pStyle w:val="3"/>
      <w:suff w:val="nothing"/>
      <w:lvlText w:val="%1%2　"/>
      <w:lvlJc w:val="left"/>
      <w:pPr>
        <w:ind w:left="850" w:firstLine="0"/>
      </w:pPr>
      <w:rPr>
        <w:rFonts w:hint="eastAsia" w:ascii="黑体" w:eastAsia="黑体"/>
        <w:b w:val="0"/>
        <w:i w:val="0"/>
        <w:sz w:val="21"/>
      </w:rPr>
    </w:lvl>
    <w:lvl w:ilvl="2" w:tentative="0">
      <w:start w:val="1"/>
      <w:numFmt w:val="decimal"/>
      <w:pStyle w:val="109"/>
      <w:suff w:val="nothing"/>
      <w:lvlText w:val="%1%2.%3　"/>
      <w:lvlJc w:val="left"/>
      <w:pPr>
        <w:ind w:left="3685"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
      <w:suff w:val="nothing"/>
      <w:lvlText w:val="%1%2.%3.%4　"/>
      <w:lvlJc w:val="left"/>
      <w:pPr>
        <w:ind w:left="0" w:firstLine="0"/>
      </w:pPr>
      <w:rPr>
        <w:rFonts w:hint="eastAsia" w:ascii="黑体" w:eastAsia="黑体"/>
        <w:b w:val="0"/>
        <w:i w:val="0"/>
        <w:sz w:val="21"/>
      </w:rPr>
    </w:lvl>
    <w:lvl w:ilvl="4" w:tentative="0">
      <w:start w:val="1"/>
      <w:numFmt w:val="decimal"/>
      <w:pStyle w:val="99"/>
      <w:suff w:val="nothing"/>
      <w:lvlText w:val="%1%2.%3.%4.%5　"/>
      <w:lvlJc w:val="left"/>
      <w:pPr>
        <w:ind w:left="0" w:firstLine="0"/>
      </w:pPr>
      <w:rPr>
        <w:rFonts w:hint="eastAsia" w:ascii="黑体" w:eastAsia="黑体"/>
        <w:b w:val="0"/>
        <w:i w:val="0"/>
        <w:sz w:val="21"/>
      </w:rPr>
    </w:lvl>
    <w:lvl w:ilvl="5" w:tentative="0">
      <w:start w:val="1"/>
      <w:numFmt w:val="decimal"/>
      <w:pStyle w:val="103"/>
      <w:suff w:val="nothing"/>
      <w:lvlText w:val="%1%2.%3.%4.%5.%6　"/>
      <w:lvlJc w:val="left"/>
      <w:pPr>
        <w:ind w:left="0" w:firstLine="0"/>
      </w:pPr>
      <w:rPr>
        <w:rFonts w:hint="eastAsia" w:ascii="黑体" w:eastAsia="黑体"/>
        <w:b w:val="0"/>
        <w:i w:val="0"/>
        <w:sz w:val="21"/>
      </w:rPr>
    </w:lvl>
    <w:lvl w:ilvl="6" w:tentative="0">
      <w:start w:val="1"/>
      <w:numFmt w:val="decimal"/>
      <w:pStyle w:val="108"/>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3"/>
      <w:lvlText w:val="%1注："/>
      <w:lvlJc w:val="left"/>
      <w:pPr>
        <w:ind w:left="799" w:hanging="374"/>
      </w:pPr>
      <w:rPr>
        <w:rFonts w:hint="eastAsia" w:ascii="黑体" w:eastAsia="黑体"/>
        <w:b w:val="0"/>
        <w:i w:val="0"/>
        <w:sz w:val="18"/>
      </w:rPr>
    </w:lvl>
    <w:lvl w:ilvl="1" w:tentative="0">
      <w:start w:val="1"/>
      <w:numFmt w:val="lowerLetter"/>
      <w:lvlText w:val="%2)"/>
      <w:lvlJc w:val="left"/>
      <w:pPr>
        <w:tabs>
          <w:tab w:val="left" w:pos="-1128"/>
        </w:tabs>
        <w:ind w:left="-1542" w:hanging="363"/>
      </w:pPr>
      <w:rPr>
        <w:rFonts w:hint="eastAsia"/>
      </w:rPr>
    </w:lvl>
    <w:lvl w:ilvl="2" w:tentative="0">
      <w:start w:val="1"/>
      <w:numFmt w:val="lowerRoman"/>
      <w:lvlText w:val="%3."/>
      <w:lvlJc w:val="right"/>
      <w:pPr>
        <w:tabs>
          <w:tab w:val="left" w:pos="-1128"/>
        </w:tabs>
        <w:ind w:left="-1542" w:hanging="363"/>
      </w:pPr>
      <w:rPr>
        <w:rFonts w:hint="eastAsia"/>
      </w:rPr>
    </w:lvl>
    <w:lvl w:ilvl="3" w:tentative="0">
      <w:start w:val="1"/>
      <w:numFmt w:val="decimal"/>
      <w:lvlText w:val="%4."/>
      <w:lvlJc w:val="left"/>
      <w:pPr>
        <w:tabs>
          <w:tab w:val="left" w:pos="-1128"/>
        </w:tabs>
        <w:ind w:left="-1542" w:hanging="363"/>
      </w:pPr>
      <w:rPr>
        <w:rFonts w:hint="eastAsia"/>
      </w:rPr>
    </w:lvl>
    <w:lvl w:ilvl="4" w:tentative="0">
      <w:start w:val="1"/>
      <w:numFmt w:val="lowerLetter"/>
      <w:lvlText w:val="%5)"/>
      <w:lvlJc w:val="left"/>
      <w:pPr>
        <w:tabs>
          <w:tab w:val="left" w:pos="-1128"/>
        </w:tabs>
        <w:ind w:left="-1542" w:hanging="363"/>
      </w:pPr>
      <w:rPr>
        <w:rFonts w:hint="eastAsia"/>
      </w:rPr>
    </w:lvl>
    <w:lvl w:ilvl="5" w:tentative="0">
      <w:start w:val="1"/>
      <w:numFmt w:val="lowerRoman"/>
      <w:lvlText w:val="%6."/>
      <w:lvlJc w:val="right"/>
      <w:pPr>
        <w:tabs>
          <w:tab w:val="left" w:pos="-1128"/>
        </w:tabs>
        <w:ind w:left="-1542" w:hanging="363"/>
      </w:pPr>
      <w:rPr>
        <w:rFonts w:hint="eastAsia"/>
      </w:rPr>
    </w:lvl>
    <w:lvl w:ilvl="6" w:tentative="0">
      <w:start w:val="1"/>
      <w:numFmt w:val="decimal"/>
      <w:lvlText w:val="%7."/>
      <w:lvlJc w:val="left"/>
      <w:pPr>
        <w:tabs>
          <w:tab w:val="left" w:pos="-1128"/>
        </w:tabs>
        <w:ind w:left="-1542" w:hanging="363"/>
      </w:pPr>
      <w:rPr>
        <w:rFonts w:hint="eastAsia"/>
      </w:rPr>
    </w:lvl>
    <w:lvl w:ilvl="7" w:tentative="0">
      <w:start w:val="1"/>
      <w:numFmt w:val="lowerLetter"/>
      <w:lvlText w:val="%8)"/>
      <w:lvlJc w:val="left"/>
      <w:pPr>
        <w:tabs>
          <w:tab w:val="left" w:pos="-1128"/>
        </w:tabs>
        <w:ind w:left="-1542" w:hanging="363"/>
      </w:pPr>
      <w:rPr>
        <w:rFonts w:hint="eastAsia"/>
      </w:rPr>
    </w:lvl>
    <w:lvl w:ilvl="8" w:tentative="0">
      <w:start w:val="1"/>
      <w:numFmt w:val="lowerRoman"/>
      <w:lvlText w:val="%9."/>
      <w:lvlJc w:val="right"/>
      <w:pPr>
        <w:tabs>
          <w:tab w:val="left" w:pos="-1128"/>
        </w:tabs>
        <w:ind w:left="-1542" w:hanging="363"/>
      </w:pPr>
      <w:rPr>
        <w:rFonts w:hint="eastAsia"/>
      </w:rPr>
    </w:lvl>
  </w:abstractNum>
  <w:abstractNum w:abstractNumId="29">
    <w:nsid w:val="6DF35F19"/>
    <w:multiLevelType w:val="multilevel"/>
    <w:tmpl w:val="6DF35F19"/>
    <w:lvl w:ilvl="0" w:tentative="0">
      <w:start w:val="1"/>
      <w:numFmt w:val="decimal"/>
      <w:pStyle w:val="119"/>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3"/>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27"/>
  </w:num>
  <w:num w:numId="2">
    <w:abstractNumId w:val="0"/>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bordersDoNotSurroundHeader w:val="0"/>
  <w:bordersDoNotSurroundFooter w:val="0"/>
  <w:attachedTemplate r:id="rId1"/>
  <w:documentProtection w:edit="forms" w:enforcement="0"/>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D56"/>
    <w:rsid w:val="0000040A"/>
    <w:rsid w:val="00000A94"/>
    <w:rsid w:val="00001972"/>
    <w:rsid w:val="00001D9A"/>
    <w:rsid w:val="000033CB"/>
    <w:rsid w:val="00007B3A"/>
    <w:rsid w:val="000105E9"/>
    <w:rsid w:val="000107E0"/>
    <w:rsid w:val="00011FDE"/>
    <w:rsid w:val="00012FFD"/>
    <w:rsid w:val="00014162"/>
    <w:rsid w:val="00014340"/>
    <w:rsid w:val="000149A4"/>
    <w:rsid w:val="00016A9C"/>
    <w:rsid w:val="00022184"/>
    <w:rsid w:val="00022762"/>
    <w:rsid w:val="000231A7"/>
    <w:rsid w:val="00023478"/>
    <w:rsid w:val="000238E0"/>
    <w:rsid w:val="000249DB"/>
    <w:rsid w:val="0002595E"/>
    <w:rsid w:val="000303C3"/>
    <w:rsid w:val="0003117F"/>
    <w:rsid w:val="000331D3"/>
    <w:rsid w:val="00033856"/>
    <w:rsid w:val="000346A5"/>
    <w:rsid w:val="000359C3"/>
    <w:rsid w:val="00035A7D"/>
    <w:rsid w:val="000365ED"/>
    <w:rsid w:val="00037BA0"/>
    <w:rsid w:val="00040247"/>
    <w:rsid w:val="00040AC7"/>
    <w:rsid w:val="0004249A"/>
    <w:rsid w:val="00043282"/>
    <w:rsid w:val="00044286"/>
    <w:rsid w:val="000467BF"/>
    <w:rsid w:val="00047048"/>
    <w:rsid w:val="00047F28"/>
    <w:rsid w:val="000503AA"/>
    <w:rsid w:val="000506A1"/>
    <w:rsid w:val="000514CA"/>
    <w:rsid w:val="000515DD"/>
    <w:rsid w:val="0005265A"/>
    <w:rsid w:val="000539DD"/>
    <w:rsid w:val="00053BD3"/>
    <w:rsid w:val="000556ED"/>
    <w:rsid w:val="00055FE2"/>
    <w:rsid w:val="0005616F"/>
    <w:rsid w:val="0005625C"/>
    <w:rsid w:val="00057D38"/>
    <w:rsid w:val="00060C2E"/>
    <w:rsid w:val="00061033"/>
    <w:rsid w:val="000619E9"/>
    <w:rsid w:val="000622D4"/>
    <w:rsid w:val="0006357D"/>
    <w:rsid w:val="00067F1E"/>
    <w:rsid w:val="0007096C"/>
    <w:rsid w:val="00071CC0"/>
    <w:rsid w:val="00071CFC"/>
    <w:rsid w:val="00073C8C"/>
    <w:rsid w:val="0007744A"/>
    <w:rsid w:val="00077B64"/>
    <w:rsid w:val="00080A1C"/>
    <w:rsid w:val="00082317"/>
    <w:rsid w:val="00083D2C"/>
    <w:rsid w:val="00086AA1"/>
    <w:rsid w:val="00087A77"/>
    <w:rsid w:val="00087B7B"/>
    <w:rsid w:val="0009015F"/>
    <w:rsid w:val="00090CA6"/>
    <w:rsid w:val="000914C3"/>
    <w:rsid w:val="00092B8A"/>
    <w:rsid w:val="00092FB0"/>
    <w:rsid w:val="000934C5"/>
    <w:rsid w:val="00093D25"/>
    <w:rsid w:val="00093DAB"/>
    <w:rsid w:val="00094D73"/>
    <w:rsid w:val="0009614A"/>
    <w:rsid w:val="00096D63"/>
    <w:rsid w:val="000A0AC1"/>
    <w:rsid w:val="000A0B60"/>
    <w:rsid w:val="000A0EB8"/>
    <w:rsid w:val="000A19FC"/>
    <w:rsid w:val="000A296B"/>
    <w:rsid w:val="000A3DEA"/>
    <w:rsid w:val="000A48AE"/>
    <w:rsid w:val="000A62D6"/>
    <w:rsid w:val="000A7311"/>
    <w:rsid w:val="000A7896"/>
    <w:rsid w:val="000B060F"/>
    <w:rsid w:val="000B1592"/>
    <w:rsid w:val="000B1FF2"/>
    <w:rsid w:val="000B250A"/>
    <w:rsid w:val="000B2DA4"/>
    <w:rsid w:val="000B3CDA"/>
    <w:rsid w:val="000B52F1"/>
    <w:rsid w:val="000B5FBE"/>
    <w:rsid w:val="000B6A0B"/>
    <w:rsid w:val="000C0F6C"/>
    <w:rsid w:val="000C11DB"/>
    <w:rsid w:val="000C1492"/>
    <w:rsid w:val="000C2FBD"/>
    <w:rsid w:val="000C4B41"/>
    <w:rsid w:val="000C57D6"/>
    <w:rsid w:val="000C6362"/>
    <w:rsid w:val="000C6552"/>
    <w:rsid w:val="000C6A75"/>
    <w:rsid w:val="000C7666"/>
    <w:rsid w:val="000C77E3"/>
    <w:rsid w:val="000D0A9C"/>
    <w:rsid w:val="000D0B8E"/>
    <w:rsid w:val="000D1795"/>
    <w:rsid w:val="000D1E6A"/>
    <w:rsid w:val="000D329A"/>
    <w:rsid w:val="000D4B9C"/>
    <w:rsid w:val="000D4EB6"/>
    <w:rsid w:val="000D753B"/>
    <w:rsid w:val="000E4C9E"/>
    <w:rsid w:val="000E6FD7"/>
    <w:rsid w:val="000E7144"/>
    <w:rsid w:val="000F06E1"/>
    <w:rsid w:val="000F06F1"/>
    <w:rsid w:val="000F0E3C"/>
    <w:rsid w:val="000F19D5"/>
    <w:rsid w:val="000F2739"/>
    <w:rsid w:val="000F4050"/>
    <w:rsid w:val="000F4AEA"/>
    <w:rsid w:val="000F5ED2"/>
    <w:rsid w:val="000F67E9"/>
    <w:rsid w:val="000F6C6C"/>
    <w:rsid w:val="00101D38"/>
    <w:rsid w:val="00104926"/>
    <w:rsid w:val="00113B1E"/>
    <w:rsid w:val="00116971"/>
    <w:rsid w:val="0011711C"/>
    <w:rsid w:val="00124E4F"/>
    <w:rsid w:val="001260B7"/>
    <w:rsid w:val="001265CB"/>
    <w:rsid w:val="001321C6"/>
    <w:rsid w:val="001325C4"/>
    <w:rsid w:val="00133010"/>
    <w:rsid w:val="001338EE"/>
    <w:rsid w:val="00133AAE"/>
    <w:rsid w:val="00133AF5"/>
    <w:rsid w:val="00135323"/>
    <w:rsid w:val="001356C4"/>
    <w:rsid w:val="00136B1E"/>
    <w:rsid w:val="00137565"/>
    <w:rsid w:val="00141114"/>
    <w:rsid w:val="00142748"/>
    <w:rsid w:val="00142969"/>
    <w:rsid w:val="001446C2"/>
    <w:rsid w:val="001457E7"/>
    <w:rsid w:val="00145D9D"/>
    <w:rsid w:val="00146388"/>
    <w:rsid w:val="00151BA1"/>
    <w:rsid w:val="001529E5"/>
    <w:rsid w:val="00152FB3"/>
    <w:rsid w:val="00153C7E"/>
    <w:rsid w:val="00153FCE"/>
    <w:rsid w:val="00156B25"/>
    <w:rsid w:val="00156B6A"/>
    <w:rsid w:val="00156E1A"/>
    <w:rsid w:val="00157894"/>
    <w:rsid w:val="00157B55"/>
    <w:rsid w:val="001613A5"/>
    <w:rsid w:val="00163ABF"/>
    <w:rsid w:val="001642FA"/>
    <w:rsid w:val="00164796"/>
    <w:rsid w:val="001649EB"/>
    <w:rsid w:val="00164BAF"/>
    <w:rsid w:val="00164FA8"/>
    <w:rsid w:val="00165065"/>
    <w:rsid w:val="00165434"/>
    <w:rsid w:val="0016580B"/>
    <w:rsid w:val="00165F49"/>
    <w:rsid w:val="00166B88"/>
    <w:rsid w:val="00166F66"/>
    <w:rsid w:val="0016770A"/>
    <w:rsid w:val="00170804"/>
    <w:rsid w:val="001708E9"/>
    <w:rsid w:val="00170D74"/>
    <w:rsid w:val="0017340B"/>
    <w:rsid w:val="00173FB1"/>
    <w:rsid w:val="00174157"/>
    <w:rsid w:val="0017554B"/>
    <w:rsid w:val="001760AF"/>
    <w:rsid w:val="00176DFD"/>
    <w:rsid w:val="00183647"/>
    <w:rsid w:val="001852C9"/>
    <w:rsid w:val="00185345"/>
    <w:rsid w:val="00185AC4"/>
    <w:rsid w:val="00187A0B"/>
    <w:rsid w:val="00190087"/>
    <w:rsid w:val="0019096D"/>
    <w:rsid w:val="001913C4"/>
    <w:rsid w:val="0019348F"/>
    <w:rsid w:val="00193A07"/>
    <w:rsid w:val="00194C95"/>
    <w:rsid w:val="00195C34"/>
    <w:rsid w:val="00196EF5"/>
    <w:rsid w:val="001A0321"/>
    <w:rsid w:val="001A1A53"/>
    <w:rsid w:val="001A2205"/>
    <w:rsid w:val="001A234A"/>
    <w:rsid w:val="001A268F"/>
    <w:rsid w:val="001A4CF3"/>
    <w:rsid w:val="001A6696"/>
    <w:rsid w:val="001B06E8"/>
    <w:rsid w:val="001B0C45"/>
    <w:rsid w:val="001B1952"/>
    <w:rsid w:val="001B2119"/>
    <w:rsid w:val="001B230F"/>
    <w:rsid w:val="001B27A2"/>
    <w:rsid w:val="001B5C0A"/>
    <w:rsid w:val="001B6DDE"/>
    <w:rsid w:val="001B71D0"/>
    <w:rsid w:val="001B71EE"/>
    <w:rsid w:val="001C04A8"/>
    <w:rsid w:val="001C2422"/>
    <w:rsid w:val="001C2C03"/>
    <w:rsid w:val="001C42F7"/>
    <w:rsid w:val="001C49E5"/>
    <w:rsid w:val="001C5B77"/>
    <w:rsid w:val="001C680C"/>
    <w:rsid w:val="001C7FEA"/>
    <w:rsid w:val="001D0499"/>
    <w:rsid w:val="001D0BBE"/>
    <w:rsid w:val="001D0ED4"/>
    <w:rsid w:val="001D212F"/>
    <w:rsid w:val="001D29D7"/>
    <w:rsid w:val="001D2DE7"/>
    <w:rsid w:val="001D32DE"/>
    <w:rsid w:val="001D411C"/>
    <w:rsid w:val="001E1B6A"/>
    <w:rsid w:val="001E2484"/>
    <w:rsid w:val="001E39D3"/>
    <w:rsid w:val="001E3CC4"/>
    <w:rsid w:val="001E447C"/>
    <w:rsid w:val="001E4882"/>
    <w:rsid w:val="001E73AB"/>
    <w:rsid w:val="001F092D"/>
    <w:rsid w:val="001F1315"/>
    <w:rsid w:val="001F143A"/>
    <w:rsid w:val="001F1605"/>
    <w:rsid w:val="001F2508"/>
    <w:rsid w:val="001F4816"/>
    <w:rsid w:val="001F621D"/>
    <w:rsid w:val="001F69B4"/>
    <w:rsid w:val="001F77C7"/>
    <w:rsid w:val="00200183"/>
    <w:rsid w:val="00200333"/>
    <w:rsid w:val="0020107D"/>
    <w:rsid w:val="00202AA4"/>
    <w:rsid w:val="00202B97"/>
    <w:rsid w:val="002031F7"/>
    <w:rsid w:val="002040E6"/>
    <w:rsid w:val="0020527B"/>
    <w:rsid w:val="00205F2C"/>
    <w:rsid w:val="00206477"/>
    <w:rsid w:val="00206991"/>
    <w:rsid w:val="00206D5E"/>
    <w:rsid w:val="00210B15"/>
    <w:rsid w:val="00213F95"/>
    <w:rsid w:val="002142EA"/>
    <w:rsid w:val="00214972"/>
    <w:rsid w:val="00215ADD"/>
    <w:rsid w:val="00217680"/>
    <w:rsid w:val="002204BB"/>
    <w:rsid w:val="00221B79"/>
    <w:rsid w:val="00221C6B"/>
    <w:rsid w:val="002253A1"/>
    <w:rsid w:val="00225CF8"/>
    <w:rsid w:val="0022772C"/>
    <w:rsid w:val="0022794E"/>
    <w:rsid w:val="00230255"/>
    <w:rsid w:val="00230887"/>
    <w:rsid w:val="00230AD8"/>
    <w:rsid w:val="00233D64"/>
    <w:rsid w:val="0023482A"/>
    <w:rsid w:val="002359CB"/>
    <w:rsid w:val="00243540"/>
    <w:rsid w:val="0024497B"/>
    <w:rsid w:val="00244F9F"/>
    <w:rsid w:val="0024515B"/>
    <w:rsid w:val="00246021"/>
    <w:rsid w:val="0024666E"/>
    <w:rsid w:val="002472BB"/>
    <w:rsid w:val="002478FC"/>
    <w:rsid w:val="00247F52"/>
    <w:rsid w:val="00250B25"/>
    <w:rsid w:val="00250BBE"/>
    <w:rsid w:val="002515C2"/>
    <w:rsid w:val="0025194F"/>
    <w:rsid w:val="002612AE"/>
    <w:rsid w:val="0026148A"/>
    <w:rsid w:val="00262696"/>
    <w:rsid w:val="00263D25"/>
    <w:rsid w:val="002643C3"/>
    <w:rsid w:val="00264A0C"/>
    <w:rsid w:val="00266EEB"/>
    <w:rsid w:val="00267EF4"/>
    <w:rsid w:val="0027068C"/>
    <w:rsid w:val="00270CB8"/>
    <w:rsid w:val="00270D56"/>
    <w:rsid w:val="00272B08"/>
    <w:rsid w:val="00272CB3"/>
    <w:rsid w:val="00273389"/>
    <w:rsid w:val="00276B3B"/>
    <w:rsid w:val="00281BB8"/>
    <w:rsid w:val="00281E9E"/>
    <w:rsid w:val="00282405"/>
    <w:rsid w:val="00285170"/>
    <w:rsid w:val="00285361"/>
    <w:rsid w:val="00291CA1"/>
    <w:rsid w:val="002920D3"/>
    <w:rsid w:val="00292D60"/>
    <w:rsid w:val="00293B30"/>
    <w:rsid w:val="00294D34"/>
    <w:rsid w:val="00294E3B"/>
    <w:rsid w:val="0029510E"/>
    <w:rsid w:val="00296193"/>
    <w:rsid w:val="00296C66"/>
    <w:rsid w:val="00296EBE"/>
    <w:rsid w:val="002972F3"/>
    <w:rsid w:val="002974E3"/>
    <w:rsid w:val="002A084B"/>
    <w:rsid w:val="002A1260"/>
    <w:rsid w:val="002A1589"/>
    <w:rsid w:val="002A1608"/>
    <w:rsid w:val="002A1F2D"/>
    <w:rsid w:val="002A25DC"/>
    <w:rsid w:val="002A32AC"/>
    <w:rsid w:val="002A3AAB"/>
    <w:rsid w:val="002A4468"/>
    <w:rsid w:val="002A44A1"/>
    <w:rsid w:val="002A4CEA"/>
    <w:rsid w:val="002A4FB0"/>
    <w:rsid w:val="002A542C"/>
    <w:rsid w:val="002A5977"/>
    <w:rsid w:val="002A5A13"/>
    <w:rsid w:val="002A6865"/>
    <w:rsid w:val="002A6FF4"/>
    <w:rsid w:val="002A757F"/>
    <w:rsid w:val="002A7F44"/>
    <w:rsid w:val="002B02D5"/>
    <w:rsid w:val="002B0C40"/>
    <w:rsid w:val="002B1966"/>
    <w:rsid w:val="002B1D2F"/>
    <w:rsid w:val="002B2F66"/>
    <w:rsid w:val="002B4508"/>
    <w:rsid w:val="002B5779"/>
    <w:rsid w:val="002B7332"/>
    <w:rsid w:val="002B7534"/>
    <w:rsid w:val="002B7F51"/>
    <w:rsid w:val="002C09E7"/>
    <w:rsid w:val="002C1391"/>
    <w:rsid w:val="002C1A91"/>
    <w:rsid w:val="002C1E06"/>
    <w:rsid w:val="002C27E6"/>
    <w:rsid w:val="002C3F07"/>
    <w:rsid w:val="002C5278"/>
    <w:rsid w:val="002C7D18"/>
    <w:rsid w:val="002C7EBB"/>
    <w:rsid w:val="002D06C1"/>
    <w:rsid w:val="002D1C7C"/>
    <w:rsid w:val="002D34B2"/>
    <w:rsid w:val="002D42B5"/>
    <w:rsid w:val="002D4F1A"/>
    <w:rsid w:val="002D6EC6"/>
    <w:rsid w:val="002D7706"/>
    <w:rsid w:val="002D79AC"/>
    <w:rsid w:val="002E039D"/>
    <w:rsid w:val="002E1540"/>
    <w:rsid w:val="002E23BC"/>
    <w:rsid w:val="002E4D5A"/>
    <w:rsid w:val="002E55DD"/>
    <w:rsid w:val="002E5E25"/>
    <w:rsid w:val="002E6326"/>
    <w:rsid w:val="002E726E"/>
    <w:rsid w:val="002F30E0"/>
    <w:rsid w:val="002F35E4"/>
    <w:rsid w:val="002F3730"/>
    <w:rsid w:val="002F38E1"/>
    <w:rsid w:val="002F3F53"/>
    <w:rsid w:val="002F7A52"/>
    <w:rsid w:val="002F7AF6"/>
    <w:rsid w:val="00300E63"/>
    <w:rsid w:val="00302C7A"/>
    <w:rsid w:val="00302F5F"/>
    <w:rsid w:val="0030441D"/>
    <w:rsid w:val="00305F80"/>
    <w:rsid w:val="00306063"/>
    <w:rsid w:val="0030622E"/>
    <w:rsid w:val="00306D75"/>
    <w:rsid w:val="00313B85"/>
    <w:rsid w:val="00316A0C"/>
    <w:rsid w:val="00316F6A"/>
    <w:rsid w:val="00317988"/>
    <w:rsid w:val="003221B4"/>
    <w:rsid w:val="0032250B"/>
    <w:rsid w:val="0032258D"/>
    <w:rsid w:val="003226D5"/>
    <w:rsid w:val="00322B01"/>
    <w:rsid w:val="00322E62"/>
    <w:rsid w:val="003247F9"/>
    <w:rsid w:val="00324D13"/>
    <w:rsid w:val="00324EDD"/>
    <w:rsid w:val="0032536D"/>
    <w:rsid w:val="00327D71"/>
    <w:rsid w:val="00330D1A"/>
    <w:rsid w:val="003331E4"/>
    <w:rsid w:val="00333FDB"/>
    <w:rsid w:val="00334947"/>
    <w:rsid w:val="00336553"/>
    <w:rsid w:val="00336C64"/>
    <w:rsid w:val="00337162"/>
    <w:rsid w:val="0034194F"/>
    <w:rsid w:val="00341A04"/>
    <w:rsid w:val="00344605"/>
    <w:rsid w:val="003474AA"/>
    <w:rsid w:val="00350D1D"/>
    <w:rsid w:val="0035172E"/>
    <w:rsid w:val="00352C83"/>
    <w:rsid w:val="00352F1A"/>
    <w:rsid w:val="0036107C"/>
    <w:rsid w:val="003615D2"/>
    <w:rsid w:val="00363874"/>
    <w:rsid w:val="0036429C"/>
    <w:rsid w:val="00364A53"/>
    <w:rsid w:val="00365349"/>
    <w:rsid w:val="003654CB"/>
    <w:rsid w:val="00365AA9"/>
    <w:rsid w:val="00365EB0"/>
    <w:rsid w:val="00365F86"/>
    <w:rsid w:val="00365F87"/>
    <w:rsid w:val="003661FC"/>
    <w:rsid w:val="00366E89"/>
    <w:rsid w:val="003705F4"/>
    <w:rsid w:val="00370D58"/>
    <w:rsid w:val="00371316"/>
    <w:rsid w:val="00376713"/>
    <w:rsid w:val="00377A14"/>
    <w:rsid w:val="00381815"/>
    <w:rsid w:val="003819AF"/>
    <w:rsid w:val="00382026"/>
    <w:rsid w:val="003820E9"/>
    <w:rsid w:val="00382DE7"/>
    <w:rsid w:val="00384FFC"/>
    <w:rsid w:val="003872FC"/>
    <w:rsid w:val="00387ADC"/>
    <w:rsid w:val="00390020"/>
    <w:rsid w:val="003903D6"/>
    <w:rsid w:val="003908B0"/>
    <w:rsid w:val="00390EE6"/>
    <w:rsid w:val="0039118F"/>
    <w:rsid w:val="00392AD7"/>
    <w:rsid w:val="003938D9"/>
    <w:rsid w:val="00394376"/>
    <w:rsid w:val="003943FF"/>
    <w:rsid w:val="003974EB"/>
    <w:rsid w:val="00397CC5"/>
    <w:rsid w:val="003A11D1"/>
    <w:rsid w:val="003A1582"/>
    <w:rsid w:val="003A3AEE"/>
    <w:rsid w:val="003A3D9C"/>
    <w:rsid w:val="003A4077"/>
    <w:rsid w:val="003A4AA7"/>
    <w:rsid w:val="003A53CD"/>
    <w:rsid w:val="003B09AD"/>
    <w:rsid w:val="003B12CB"/>
    <w:rsid w:val="003B1F18"/>
    <w:rsid w:val="003B5BF0"/>
    <w:rsid w:val="003B60BF"/>
    <w:rsid w:val="003B6BE3"/>
    <w:rsid w:val="003B7851"/>
    <w:rsid w:val="003C010C"/>
    <w:rsid w:val="003C0A6C"/>
    <w:rsid w:val="003C14F8"/>
    <w:rsid w:val="003C3046"/>
    <w:rsid w:val="003C5A43"/>
    <w:rsid w:val="003C675D"/>
    <w:rsid w:val="003C767F"/>
    <w:rsid w:val="003D0519"/>
    <w:rsid w:val="003D0FF6"/>
    <w:rsid w:val="003D21BA"/>
    <w:rsid w:val="003D2495"/>
    <w:rsid w:val="003D262C"/>
    <w:rsid w:val="003D3EA3"/>
    <w:rsid w:val="003D416D"/>
    <w:rsid w:val="003D640C"/>
    <w:rsid w:val="003D679D"/>
    <w:rsid w:val="003D6D61"/>
    <w:rsid w:val="003D6D9D"/>
    <w:rsid w:val="003D7EA1"/>
    <w:rsid w:val="003E019F"/>
    <w:rsid w:val="003E091D"/>
    <w:rsid w:val="003E139C"/>
    <w:rsid w:val="003E1C53"/>
    <w:rsid w:val="003E2A69"/>
    <w:rsid w:val="003E2D49"/>
    <w:rsid w:val="003E2FD4"/>
    <w:rsid w:val="003E49F6"/>
    <w:rsid w:val="003E5E08"/>
    <w:rsid w:val="003E660F"/>
    <w:rsid w:val="003E7D19"/>
    <w:rsid w:val="003F0841"/>
    <w:rsid w:val="003F14D1"/>
    <w:rsid w:val="003F23D3"/>
    <w:rsid w:val="003F3F08"/>
    <w:rsid w:val="003F49F1"/>
    <w:rsid w:val="003F6272"/>
    <w:rsid w:val="003F77F0"/>
    <w:rsid w:val="003F79DB"/>
    <w:rsid w:val="00400E72"/>
    <w:rsid w:val="00401400"/>
    <w:rsid w:val="004028AD"/>
    <w:rsid w:val="00403655"/>
    <w:rsid w:val="00403B01"/>
    <w:rsid w:val="00404350"/>
    <w:rsid w:val="00404869"/>
    <w:rsid w:val="00405884"/>
    <w:rsid w:val="0040775A"/>
    <w:rsid w:val="00407D39"/>
    <w:rsid w:val="00412DD1"/>
    <w:rsid w:val="00413DEB"/>
    <w:rsid w:val="0041477A"/>
    <w:rsid w:val="004167A3"/>
    <w:rsid w:val="00417354"/>
    <w:rsid w:val="00421CEA"/>
    <w:rsid w:val="00426904"/>
    <w:rsid w:val="00427865"/>
    <w:rsid w:val="00432DAA"/>
    <w:rsid w:val="00433E9B"/>
    <w:rsid w:val="00434305"/>
    <w:rsid w:val="004357B1"/>
    <w:rsid w:val="00435DF7"/>
    <w:rsid w:val="004364CB"/>
    <w:rsid w:val="0043741A"/>
    <w:rsid w:val="0044083F"/>
    <w:rsid w:val="00440B93"/>
    <w:rsid w:val="00441A5F"/>
    <w:rsid w:val="00441AE7"/>
    <w:rsid w:val="00442207"/>
    <w:rsid w:val="00442A30"/>
    <w:rsid w:val="00445574"/>
    <w:rsid w:val="004467FB"/>
    <w:rsid w:val="00446A92"/>
    <w:rsid w:val="004476BD"/>
    <w:rsid w:val="004525E6"/>
    <w:rsid w:val="00452D6B"/>
    <w:rsid w:val="00454415"/>
    <w:rsid w:val="00454484"/>
    <w:rsid w:val="0045517B"/>
    <w:rsid w:val="00457516"/>
    <w:rsid w:val="00461198"/>
    <w:rsid w:val="00462B41"/>
    <w:rsid w:val="00463699"/>
    <w:rsid w:val="00463B77"/>
    <w:rsid w:val="00463C7B"/>
    <w:rsid w:val="004644A6"/>
    <w:rsid w:val="00465676"/>
    <w:rsid w:val="004659BD"/>
    <w:rsid w:val="00470775"/>
    <w:rsid w:val="004746B1"/>
    <w:rsid w:val="0047583F"/>
    <w:rsid w:val="00475DE8"/>
    <w:rsid w:val="00480CD1"/>
    <w:rsid w:val="00481C44"/>
    <w:rsid w:val="00481E93"/>
    <w:rsid w:val="00484936"/>
    <w:rsid w:val="0048581C"/>
    <w:rsid w:val="00485BF9"/>
    <w:rsid w:val="00485C89"/>
    <w:rsid w:val="00486BE3"/>
    <w:rsid w:val="004905E4"/>
    <w:rsid w:val="00490A89"/>
    <w:rsid w:val="00490AB4"/>
    <w:rsid w:val="00492F02"/>
    <w:rsid w:val="00492F98"/>
    <w:rsid w:val="004939AE"/>
    <w:rsid w:val="004942DD"/>
    <w:rsid w:val="00494F74"/>
    <w:rsid w:val="00497C73"/>
    <w:rsid w:val="004A12DF"/>
    <w:rsid w:val="004A1BA8"/>
    <w:rsid w:val="004A4B57"/>
    <w:rsid w:val="004A63FA"/>
    <w:rsid w:val="004A6640"/>
    <w:rsid w:val="004A6A3D"/>
    <w:rsid w:val="004B0272"/>
    <w:rsid w:val="004B0E12"/>
    <w:rsid w:val="004B1CB1"/>
    <w:rsid w:val="004B2701"/>
    <w:rsid w:val="004B2E1B"/>
    <w:rsid w:val="004B3AA8"/>
    <w:rsid w:val="004B3E93"/>
    <w:rsid w:val="004B44E7"/>
    <w:rsid w:val="004B58F8"/>
    <w:rsid w:val="004C1FBC"/>
    <w:rsid w:val="004C25A2"/>
    <w:rsid w:val="004C348D"/>
    <w:rsid w:val="004C3F1D"/>
    <w:rsid w:val="004C458D"/>
    <w:rsid w:val="004C47CE"/>
    <w:rsid w:val="004C7556"/>
    <w:rsid w:val="004C7E8B"/>
    <w:rsid w:val="004C7E9D"/>
    <w:rsid w:val="004C7F67"/>
    <w:rsid w:val="004D076D"/>
    <w:rsid w:val="004D0EF1"/>
    <w:rsid w:val="004D2253"/>
    <w:rsid w:val="004D2AB9"/>
    <w:rsid w:val="004D4406"/>
    <w:rsid w:val="004D70D7"/>
    <w:rsid w:val="004D7C42"/>
    <w:rsid w:val="004E0465"/>
    <w:rsid w:val="004E09B6"/>
    <w:rsid w:val="004E104E"/>
    <w:rsid w:val="004E127B"/>
    <w:rsid w:val="004E1C0A"/>
    <w:rsid w:val="004E210F"/>
    <w:rsid w:val="004E30C5"/>
    <w:rsid w:val="004E3964"/>
    <w:rsid w:val="004E470D"/>
    <w:rsid w:val="004E4AA5"/>
    <w:rsid w:val="004E4AEE"/>
    <w:rsid w:val="004E59E3"/>
    <w:rsid w:val="004E67C0"/>
    <w:rsid w:val="004F1268"/>
    <w:rsid w:val="004F3355"/>
    <w:rsid w:val="004F391A"/>
    <w:rsid w:val="004F3AD4"/>
    <w:rsid w:val="004F3CFB"/>
    <w:rsid w:val="004F4C87"/>
    <w:rsid w:val="004F6456"/>
    <w:rsid w:val="004F696E"/>
    <w:rsid w:val="004F6C71"/>
    <w:rsid w:val="00501139"/>
    <w:rsid w:val="0050363E"/>
    <w:rsid w:val="005039BC"/>
    <w:rsid w:val="005043BB"/>
    <w:rsid w:val="00504A3D"/>
    <w:rsid w:val="00505767"/>
    <w:rsid w:val="0050638A"/>
    <w:rsid w:val="005073F0"/>
    <w:rsid w:val="00507AE0"/>
    <w:rsid w:val="00510335"/>
    <w:rsid w:val="0051068F"/>
    <w:rsid w:val="00510A7B"/>
    <w:rsid w:val="005129BF"/>
    <w:rsid w:val="00512F6E"/>
    <w:rsid w:val="00513038"/>
    <w:rsid w:val="00514174"/>
    <w:rsid w:val="00516088"/>
    <w:rsid w:val="00516B0B"/>
    <w:rsid w:val="005220EC"/>
    <w:rsid w:val="005230D4"/>
    <w:rsid w:val="00523F95"/>
    <w:rsid w:val="00524D65"/>
    <w:rsid w:val="00525B16"/>
    <w:rsid w:val="00526EE7"/>
    <w:rsid w:val="00533D04"/>
    <w:rsid w:val="00534804"/>
    <w:rsid w:val="00534A87"/>
    <w:rsid w:val="00534BDF"/>
    <w:rsid w:val="005354EA"/>
    <w:rsid w:val="0053585F"/>
    <w:rsid w:val="00535EC4"/>
    <w:rsid w:val="00535ED9"/>
    <w:rsid w:val="0053636A"/>
    <w:rsid w:val="0053692B"/>
    <w:rsid w:val="00541853"/>
    <w:rsid w:val="00541A5F"/>
    <w:rsid w:val="00541D95"/>
    <w:rsid w:val="0054258C"/>
    <w:rsid w:val="00543BDA"/>
    <w:rsid w:val="005441CC"/>
    <w:rsid w:val="005471F3"/>
    <w:rsid w:val="005479DA"/>
    <w:rsid w:val="00547BCC"/>
    <w:rsid w:val="0055013B"/>
    <w:rsid w:val="00551F6F"/>
    <w:rsid w:val="00552055"/>
    <w:rsid w:val="005528C6"/>
    <w:rsid w:val="00555044"/>
    <w:rsid w:val="0055753B"/>
    <w:rsid w:val="00560214"/>
    <w:rsid w:val="00561475"/>
    <w:rsid w:val="00562308"/>
    <w:rsid w:val="0056487B"/>
    <w:rsid w:val="00564FB9"/>
    <w:rsid w:val="00572EBE"/>
    <w:rsid w:val="00573D9E"/>
    <w:rsid w:val="005801E3"/>
    <w:rsid w:val="00581802"/>
    <w:rsid w:val="005836A8"/>
    <w:rsid w:val="0058409C"/>
    <w:rsid w:val="00584262"/>
    <w:rsid w:val="00586630"/>
    <w:rsid w:val="00586726"/>
    <w:rsid w:val="00587ADD"/>
    <w:rsid w:val="005919A9"/>
    <w:rsid w:val="00593A49"/>
    <w:rsid w:val="00593C7B"/>
    <w:rsid w:val="00595126"/>
    <w:rsid w:val="00596160"/>
    <w:rsid w:val="0059629B"/>
    <w:rsid w:val="005966E2"/>
    <w:rsid w:val="00597007"/>
    <w:rsid w:val="005A0966"/>
    <w:rsid w:val="005A11B7"/>
    <w:rsid w:val="005A260B"/>
    <w:rsid w:val="005A40C6"/>
    <w:rsid w:val="005A4A1B"/>
    <w:rsid w:val="005A5018"/>
    <w:rsid w:val="005A585D"/>
    <w:rsid w:val="005A5BD6"/>
    <w:rsid w:val="005A72BF"/>
    <w:rsid w:val="005A7830"/>
    <w:rsid w:val="005A7FCE"/>
    <w:rsid w:val="005B0F3F"/>
    <w:rsid w:val="005B191C"/>
    <w:rsid w:val="005B2890"/>
    <w:rsid w:val="005B4903"/>
    <w:rsid w:val="005B51CE"/>
    <w:rsid w:val="005B5323"/>
    <w:rsid w:val="005B5885"/>
    <w:rsid w:val="005B5CD7"/>
    <w:rsid w:val="005B6CF6"/>
    <w:rsid w:val="005B7422"/>
    <w:rsid w:val="005C29B8"/>
    <w:rsid w:val="005C580F"/>
    <w:rsid w:val="005C5F21"/>
    <w:rsid w:val="005C6D58"/>
    <w:rsid w:val="005C7156"/>
    <w:rsid w:val="005D0C75"/>
    <w:rsid w:val="005D4171"/>
    <w:rsid w:val="005D5EB6"/>
    <w:rsid w:val="005D6A95"/>
    <w:rsid w:val="005D6B2C"/>
    <w:rsid w:val="005D6D9C"/>
    <w:rsid w:val="005E00DF"/>
    <w:rsid w:val="005E2335"/>
    <w:rsid w:val="005E34CA"/>
    <w:rsid w:val="005E354B"/>
    <w:rsid w:val="005E3C18"/>
    <w:rsid w:val="005E4250"/>
    <w:rsid w:val="005E6812"/>
    <w:rsid w:val="005E69B1"/>
    <w:rsid w:val="005E7881"/>
    <w:rsid w:val="005E78E0"/>
    <w:rsid w:val="005F0D9C"/>
    <w:rsid w:val="005F22A8"/>
    <w:rsid w:val="005F284E"/>
    <w:rsid w:val="005F31D7"/>
    <w:rsid w:val="005F6AC9"/>
    <w:rsid w:val="005F7A5E"/>
    <w:rsid w:val="005F7BE5"/>
    <w:rsid w:val="006015CE"/>
    <w:rsid w:val="00604784"/>
    <w:rsid w:val="00606029"/>
    <w:rsid w:val="00606419"/>
    <w:rsid w:val="00607D29"/>
    <w:rsid w:val="00610672"/>
    <w:rsid w:val="00612952"/>
    <w:rsid w:val="00612C62"/>
    <w:rsid w:val="00614A68"/>
    <w:rsid w:val="00614CC1"/>
    <w:rsid w:val="006151C0"/>
    <w:rsid w:val="00615A9D"/>
    <w:rsid w:val="00617387"/>
    <w:rsid w:val="006205D6"/>
    <w:rsid w:val="006206CA"/>
    <w:rsid w:val="00623B22"/>
    <w:rsid w:val="006252D8"/>
    <w:rsid w:val="006259BC"/>
    <w:rsid w:val="006259F6"/>
    <w:rsid w:val="0062636B"/>
    <w:rsid w:val="006300CE"/>
    <w:rsid w:val="006311A6"/>
    <w:rsid w:val="00631F04"/>
    <w:rsid w:val="00632182"/>
    <w:rsid w:val="00632AE0"/>
    <w:rsid w:val="00633C17"/>
    <w:rsid w:val="00634D9E"/>
    <w:rsid w:val="00636E3E"/>
    <w:rsid w:val="006378D7"/>
    <w:rsid w:val="006379F7"/>
    <w:rsid w:val="00637E4D"/>
    <w:rsid w:val="00640100"/>
    <w:rsid w:val="00640620"/>
    <w:rsid w:val="006406A6"/>
    <w:rsid w:val="00641494"/>
    <w:rsid w:val="00641A1F"/>
    <w:rsid w:val="0064464C"/>
    <w:rsid w:val="00645904"/>
    <w:rsid w:val="00651ACB"/>
    <w:rsid w:val="00651C47"/>
    <w:rsid w:val="00652AB2"/>
    <w:rsid w:val="00653013"/>
    <w:rsid w:val="00653633"/>
    <w:rsid w:val="00653FED"/>
    <w:rsid w:val="00654CB3"/>
    <w:rsid w:val="00654EC0"/>
    <w:rsid w:val="0065523F"/>
    <w:rsid w:val="0065525B"/>
    <w:rsid w:val="00655D4F"/>
    <w:rsid w:val="00656D29"/>
    <w:rsid w:val="00657F46"/>
    <w:rsid w:val="006631B2"/>
    <w:rsid w:val="00663CE3"/>
    <w:rsid w:val="006640E5"/>
    <w:rsid w:val="006646F1"/>
    <w:rsid w:val="00664855"/>
    <w:rsid w:val="00664929"/>
    <w:rsid w:val="00664F62"/>
    <w:rsid w:val="006655E1"/>
    <w:rsid w:val="00666785"/>
    <w:rsid w:val="00672060"/>
    <w:rsid w:val="0067231D"/>
    <w:rsid w:val="00672BFD"/>
    <w:rsid w:val="00673969"/>
    <w:rsid w:val="00674A73"/>
    <w:rsid w:val="00675B08"/>
    <w:rsid w:val="00675D1D"/>
    <w:rsid w:val="006770F4"/>
    <w:rsid w:val="00677A84"/>
    <w:rsid w:val="0068026D"/>
    <w:rsid w:val="00680A27"/>
    <w:rsid w:val="006816A4"/>
    <w:rsid w:val="006819B8"/>
    <w:rsid w:val="00683B4B"/>
    <w:rsid w:val="006840A6"/>
    <w:rsid w:val="00684960"/>
    <w:rsid w:val="006850CD"/>
    <w:rsid w:val="00685AAB"/>
    <w:rsid w:val="00690BF1"/>
    <w:rsid w:val="00693962"/>
    <w:rsid w:val="006956BC"/>
    <w:rsid w:val="006A07AA"/>
    <w:rsid w:val="006A223D"/>
    <w:rsid w:val="006A25E5"/>
    <w:rsid w:val="006A2B46"/>
    <w:rsid w:val="006A336D"/>
    <w:rsid w:val="006A37B9"/>
    <w:rsid w:val="006B2672"/>
    <w:rsid w:val="006B54BF"/>
    <w:rsid w:val="006B58A2"/>
    <w:rsid w:val="006B5F44"/>
    <w:rsid w:val="006B5F90"/>
    <w:rsid w:val="006B62E4"/>
    <w:rsid w:val="006C1487"/>
    <w:rsid w:val="006C1BBA"/>
    <w:rsid w:val="006C2079"/>
    <w:rsid w:val="006C35E5"/>
    <w:rsid w:val="006C4C7F"/>
    <w:rsid w:val="006C5A62"/>
    <w:rsid w:val="006C5D68"/>
    <w:rsid w:val="006C6976"/>
    <w:rsid w:val="006C6DD0"/>
    <w:rsid w:val="006D04EA"/>
    <w:rsid w:val="006D16C4"/>
    <w:rsid w:val="006D2EDD"/>
    <w:rsid w:val="006D3E96"/>
    <w:rsid w:val="006D4136"/>
    <w:rsid w:val="006D4515"/>
    <w:rsid w:val="006D4BB1"/>
    <w:rsid w:val="006D59C9"/>
    <w:rsid w:val="006D6593"/>
    <w:rsid w:val="006D6B8B"/>
    <w:rsid w:val="006E04F4"/>
    <w:rsid w:val="006E2D55"/>
    <w:rsid w:val="006E6072"/>
    <w:rsid w:val="006F03A8"/>
    <w:rsid w:val="006F1A25"/>
    <w:rsid w:val="006F1E7D"/>
    <w:rsid w:val="006F2ACA"/>
    <w:rsid w:val="006F2ADC"/>
    <w:rsid w:val="006F2BFE"/>
    <w:rsid w:val="006F31E9"/>
    <w:rsid w:val="006F6284"/>
    <w:rsid w:val="007002C5"/>
    <w:rsid w:val="00704387"/>
    <w:rsid w:val="00707669"/>
    <w:rsid w:val="00711CBA"/>
    <w:rsid w:val="00711FB5"/>
    <w:rsid w:val="007123D7"/>
    <w:rsid w:val="00712A01"/>
    <w:rsid w:val="00714F58"/>
    <w:rsid w:val="00716DF6"/>
    <w:rsid w:val="00716F9B"/>
    <w:rsid w:val="00717075"/>
    <w:rsid w:val="007218D8"/>
    <w:rsid w:val="00721A50"/>
    <w:rsid w:val="00722FBF"/>
    <w:rsid w:val="00722FC2"/>
    <w:rsid w:val="00724E1B"/>
    <w:rsid w:val="00725949"/>
    <w:rsid w:val="00726E77"/>
    <w:rsid w:val="007279C6"/>
    <w:rsid w:val="00727FA2"/>
    <w:rsid w:val="007322D9"/>
    <w:rsid w:val="00732BC0"/>
    <w:rsid w:val="007331A1"/>
    <w:rsid w:val="0073527C"/>
    <w:rsid w:val="0073720F"/>
    <w:rsid w:val="00737796"/>
    <w:rsid w:val="0074165C"/>
    <w:rsid w:val="00742C35"/>
    <w:rsid w:val="007432CA"/>
    <w:rsid w:val="007439EB"/>
    <w:rsid w:val="00743CB4"/>
    <w:rsid w:val="00743F0A"/>
    <w:rsid w:val="007444E8"/>
    <w:rsid w:val="0074548E"/>
    <w:rsid w:val="00745773"/>
    <w:rsid w:val="00746800"/>
    <w:rsid w:val="00747044"/>
    <w:rsid w:val="00747E0D"/>
    <w:rsid w:val="007501A8"/>
    <w:rsid w:val="00750A80"/>
    <w:rsid w:val="00750D61"/>
    <w:rsid w:val="00750EE1"/>
    <w:rsid w:val="007516EA"/>
    <w:rsid w:val="00752B4D"/>
    <w:rsid w:val="00755402"/>
    <w:rsid w:val="00755544"/>
    <w:rsid w:val="00756084"/>
    <w:rsid w:val="00756B26"/>
    <w:rsid w:val="00756EDF"/>
    <w:rsid w:val="007600E3"/>
    <w:rsid w:val="007606ED"/>
    <w:rsid w:val="0076482D"/>
    <w:rsid w:val="00765C43"/>
    <w:rsid w:val="00765DE9"/>
    <w:rsid w:val="00765EFB"/>
    <w:rsid w:val="007671CA"/>
    <w:rsid w:val="00767C61"/>
    <w:rsid w:val="0077008A"/>
    <w:rsid w:val="00770C65"/>
    <w:rsid w:val="0077396D"/>
    <w:rsid w:val="00773C1F"/>
    <w:rsid w:val="00774DA4"/>
    <w:rsid w:val="00776000"/>
    <w:rsid w:val="00776599"/>
    <w:rsid w:val="0078114B"/>
    <w:rsid w:val="00781DD2"/>
    <w:rsid w:val="0078380E"/>
    <w:rsid w:val="00783ECF"/>
    <w:rsid w:val="0078413A"/>
    <w:rsid w:val="00791784"/>
    <w:rsid w:val="00792C27"/>
    <w:rsid w:val="00794A4F"/>
    <w:rsid w:val="0079555B"/>
    <w:rsid w:val="007959E8"/>
    <w:rsid w:val="00795E9C"/>
    <w:rsid w:val="007A0521"/>
    <w:rsid w:val="007A12C1"/>
    <w:rsid w:val="007A2E12"/>
    <w:rsid w:val="007A3475"/>
    <w:rsid w:val="007A38E6"/>
    <w:rsid w:val="007A41C8"/>
    <w:rsid w:val="007A4CDC"/>
    <w:rsid w:val="007A54CE"/>
    <w:rsid w:val="007A5D3A"/>
    <w:rsid w:val="007A6B97"/>
    <w:rsid w:val="007A6FD9"/>
    <w:rsid w:val="007A78A6"/>
    <w:rsid w:val="007A7FFA"/>
    <w:rsid w:val="007B04EB"/>
    <w:rsid w:val="007B0D4F"/>
    <w:rsid w:val="007B5A3D"/>
    <w:rsid w:val="007B5B95"/>
    <w:rsid w:val="007B6032"/>
    <w:rsid w:val="007B68EA"/>
    <w:rsid w:val="007B7453"/>
    <w:rsid w:val="007B74BF"/>
    <w:rsid w:val="007C25CA"/>
    <w:rsid w:val="007C2D89"/>
    <w:rsid w:val="007C4593"/>
    <w:rsid w:val="007C5309"/>
    <w:rsid w:val="007C6069"/>
    <w:rsid w:val="007C7409"/>
    <w:rsid w:val="007D06C4"/>
    <w:rsid w:val="007D1352"/>
    <w:rsid w:val="007D1CE1"/>
    <w:rsid w:val="007D2508"/>
    <w:rsid w:val="007D2757"/>
    <w:rsid w:val="007D346A"/>
    <w:rsid w:val="007D369E"/>
    <w:rsid w:val="007D6518"/>
    <w:rsid w:val="007D735C"/>
    <w:rsid w:val="007D76BD"/>
    <w:rsid w:val="007D7AA0"/>
    <w:rsid w:val="007D7AFB"/>
    <w:rsid w:val="007E0BF1"/>
    <w:rsid w:val="007E2051"/>
    <w:rsid w:val="007E22FF"/>
    <w:rsid w:val="007E5222"/>
    <w:rsid w:val="007F0C47"/>
    <w:rsid w:val="007F0ED8"/>
    <w:rsid w:val="007F0F63"/>
    <w:rsid w:val="007F3A00"/>
    <w:rsid w:val="007F5D26"/>
    <w:rsid w:val="007F64DD"/>
    <w:rsid w:val="007F75CE"/>
    <w:rsid w:val="00800AD8"/>
    <w:rsid w:val="00800E0F"/>
    <w:rsid w:val="008013A4"/>
    <w:rsid w:val="00801F46"/>
    <w:rsid w:val="008027CE"/>
    <w:rsid w:val="00802F42"/>
    <w:rsid w:val="00803E43"/>
    <w:rsid w:val="00804383"/>
    <w:rsid w:val="00804BB7"/>
    <w:rsid w:val="00804D41"/>
    <w:rsid w:val="00805592"/>
    <w:rsid w:val="008061BD"/>
    <w:rsid w:val="00806B95"/>
    <w:rsid w:val="00810257"/>
    <w:rsid w:val="008104F5"/>
    <w:rsid w:val="00811072"/>
    <w:rsid w:val="00811369"/>
    <w:rsid w:val="00815419"/>
    <w:rsid w:val="008163C8"/>
    <w:rsid w:val="008164A1"/>
    <w:rsid w:val="00817325"/>
    <w:rsid w:val="008209E6"/>
    <w:rsid w:val="00821D19"/>
    <w:rsid w:val="00821F4A"/>
    <w:rsid w:val="00823303"/>
    <w:rsid w:val="008233B2"/>
    <w:rsid w:val="00823A9F"/>
    <w:rsid w:val="00823C85"/>
    <w:rsid w:val="00824A6F"/>
    <w:rsid w:val="00825138"/>
    <w:rsid w:val="008255B9"/>
    <w:rsid w:val="00826765"/>
    <w:rsid w:val="008269DD"/>
    <w:rsid w:val="00830621"/>
    <w:rsid w:val="00831F90"/>
    <w:rsid w:val="0083348C"/>
    <w:rsid w:val="00834C7C"/>
    <w:rsid w:val="00834F02"/>
    <w:rsid w:val="00835CB3"/>
    <w:rsid w:val="00837399"/>
    <w:rsid w:val="008373D3"/>
    <w:rsid w:val="00840617"/>
    <w:rsid w:val="00840F84"/>
    <w:rsid w:val="00842A47"/>
    <w:rsid w:val="00843102"/>
    <w:rsid w:val="00843C13"/>
    <w:rsid w:val="00843DEF"/>
    <w:rsid w:val="00844C11"/>
    <w:rsid w:val="008454F8"/>
    <w:rsid w:val="00847C1E"/>
    <w:rsid w:val="00847EF7"/>
    <w:rsid w:val="0085173A"/>
    <w:rsid w:val="008603CE"/>
    <w:rsid w:val="00860F8D"/>
    <w:rsid w:val="008620FC"/>
    <w:rsid w:val="008627A5"/>
    <w:rsid w:val="00862924"/>
    <w:rsid w:val="00863E05"/>
    <w:rsid w:val="008648FF"/>
    <w:rsid w:val="00865ACA"/>
    <w:rsid w:val="00865D28"/>
    <w:rsid w:val="00865F85"/>
    <w:rsid w:val="00866832"/>
    <w:rsid w:val="00867C10"/>
    <w:rsid w:val="00867EF8"/>
    <w:rsid w:val="00870439"/>
    <w:rsid w:val="00870DA1"/>
    <w:rsid w:val="00880D6E"/>
    <w:rsid w:val="00883F93"/>
    <w:rsid w:val="00884DB3"/>
    <w:rsid w:val="00885A9D"/>
    <w:rsid w:val="008864F6"/>
    <w:rsid w:val="0089049D"/>
    <w:rsid w:val="008928C9"/>
    <w:rsid w:val="008930CB"/>
    <w:rsid w:val="008938DC"/>
    <w:rsid w:val="00893D85"/>
    <w:rsid w:val="00893FD1"/>
    <w:rsid w:val="00894836"/>
    <w:rsid w:val="00895172"/>
    <w:rsid w:val="00895680"/>
    <w:rsid w:val="00896DFF"/>
    <w:rsid w:val="0089762C"/>
    <w:rsid w:val="00897AA6"/>
    <w:rsid w:val="008A173B"/>
    <w:rsid w:val="008A1893"/>
    <w:rsid w:val="008A57E6"/>
    <w:rsid w:val="008A6F81"/>
    <w:rsid w:val="008A769A"/>
    <w:rsid w:val="008B0C9C"/>
    <w:rsid w:val="008B166D"/>
    <w:rsid w:val="008B17F4"/>
    <w:rsid w:val="008B2C62"/>
    <w:rsid w:val="008B3615"/>
    <w:rsid w:val="008B3F81"/>
    <w:rsid w:val="008B3FA6"/>
    <w:rsid w:val="008B4AC4"/>
    <w:rsid w:val="008B50C8"/>
    <w:rsid w:val="008B5281"/>
    <w:rsid w:val="008B7E05"/>
    <w:rsid w:val="008C0222"/>
    <w:rsid w:val="008C02A9"/>
    <w:rsid w:val="008C086E"/>
    <w:rsid w:val="008C1797"/>
    <w:rsid w:val="008C219C"/>
    <w:rsid w:val="008C4079"/>
    <w:rsid w:val="008C444A"/>
    <w:rsid w:val="008C475E"/>
    <w:rsid w:val="008C619A"/>
    <w:rsid w:val="008D0CE8"/>
    <w:rsid w:val="008D1265"/>
    <w:rsid w:val="008D2D1D"/>
    <w:rsid w:val="008D3538"/>
    <w:rsid w:val="008D37AB"/>
    <w:rsid w:val="008D453D"/>
    <w:rsid w:val="008D53AD"/>
    <w:rsid w:val="008D562B"/>
    <w:rsid w:val="008D5733"/>
    <w:rsid w:val="008D622B"/>
    <w:rsid w:val="008D666C"/>
    <w:rsid w:val="008D7B54"/>
    <w:rsid w:val="008D7CF5"/>
    <w:rsid w:val="008E0C9D"/>
    <w:rsid w:val="008E1648"/>
    <w:rsid w:val="008E1B3E"/>
    <w:rsid w:val="008E2319"/>
    <w:rsid w:val="008E4A44"/>
    <w:rsid w:val="008E4BB6"/>
    <w:rsid w:val="008E5518"/>
    <w:rsid w:val="008E6A84"/>
    <w:rsid w:val="008E7472"/>
    <w:rsid w:val="008F0CDC"/>
    <w:rsid w:val="008F17A3"/>
    <w:rsid w:val="008F186A"/>
    <w:rsid w:val="008F1C80"/>
    <w:rsid w:val="008F1ED3"/>
    <w:rsid w:val="008F4C29"/>
    <w:rsid w:val="008F70BD"/>
    <w:rsid w:val="008F788F"/>
    <w:rsid w:val="008F7EA2"/>
    <w:rsid w:val="00902722"/>
    <w:rsid w:val="009027BC"/>
    <w:rsid w:val="00902821"/>
    <w:rsid w:val="009062E6"/>
    <w:rsid w:val="00910046"/>
    <w:rsid w:val="00911BE5"/>
    <w:rsid w:val="00911D76"/>
    <w:rsid w:val="00912E44"/>
    <w:rsid w:val="00913CA9"/>
    <w:rsid w:val="009145AE"/>
    <w:rsid w:val="009146CE"/>
    <w:rsid w:val="00914CA7"/>
    <w:rsid w:val="00915C3E"/>
    <w:rsid w:val="009161A8"/>
    <w:rsid w:val="0092193C"/>
    <w:rsid w:val="00921DCA"/>
    <w:rsid w:val="00922708"/>
    <w:rsid w:val="0092348E"/>
    <w:rsid w:val="009245AE"/>
    <w:rsid w:val="009245F5"/>
    <w:rsid w:val="009249EC"/>
    <w:rsid w:val="009252DB"/>
    <w:rsid w:val="009253C0"/>
    <w:rsid w:val="009273B3"/>
    <w:rsid w:val="009305B5"/>
    <w:rsid w:val="009333CE"/>
    <w:rsid w:val="009378DD"/>
    <w:rsid w:val="009429D5"/>
    <w:rsid w:val="00942BF1"/>
    <w:rsid w:val="00942CC0"/>
    <w:rsid w:val="0094423B"/>
    <w:rsid w:val="0094426E"/>
    <w:rsid w:val="00945180"/>
    <w:rsid w:val="00945428"/>
    <w:rsid w:val="0094607B"/>
    <w:rsid w:val="0095071F"/>
    <w:rsid w:val="00953604"/>
    <w:rsid w:val="0095496B"/>
    <w:rsid w:val="00954B4F"/>
    <w:rsid w:val="00956E16"/>
    <w:rsid w:val="00960F1E"/>
    <w:rsid w:val="009610DC"/>
    <w:rsid w:val="00961490"/>
    <w:rsid w:val="00961524"/>
    <w:rsid w:val="0096381A"/>
    <w:rsid w:val="00964A78"/>
    <w:rsid w:val="00964B7F"/>
    <w:rsid w:val="009651DE"/>
    <w:rsid w:val="00965E04"/>
    <w:rsid w:val="00966002"/>
    <w:rsid w:val="009663C4"/>
    <w:rsid w:val="0096658B"/>
    <w:rsid w:val="009674AD"/>
    <w:rsid w:val="00967BC5"/>
    <w:rsid w:val="00970941"/>
    <w:rsid w:val="00970CDC"/>
    <w:rsid w:val="009711E0"/>
    <w:rsid w:val="00972714"/>
    <w:rsid w:val="00975727"/>
    <w:rsid w:val="009759B3"/>
    <w:rsid w:val="00976588"/>
    <w:rsid w:val="00977010"/>
    <w:rsid w:val="00977BC4"/>
    <w:rsid w:val="00977D02"/>
    <w:rsid w:val="00977FF9"/>
    <w:rsid w:val="009809BB"/>
    <w:rsid w:val="0098364B"/>
    <w:rsid w:val="00984F89"/>
    <w:rsid w:val="0098562A"/>
    <w:rsid w:val="00986D8A"/>
    <w:rsid w:val="009908A3"/>
    <w:rsid w:val="009911AF"/>
    <w:rsid w:val="00991875"/>
    <w:rsid w:val="00991F92"/>
    <w:rsid w:val="00992985"/>
    <w:rsid w:val="00993889"/>
    <w:rsid w:val="0099551B"/>
    <w:rsid w:val="00995A65"/>
    <w:rsid w:val="00996BD2"/>
    <w:rsid w:val="00996F1F"/>
    <w:rsid w:val="00997BF1"/>
    <w:rsid w:val="009A089C"/>
    <w:rsid w:val="009A118E"/>
    <w:rsid w:val="009A21CD"/>
    <w:rsid w:val="009A278C"/>
    <w:rsid w:val="009A2BC2"/>
    <w:rsid w:val="009A42C1"/>
    <w:rsid w:val="009A43B7"/>
    <w:rsid w:val="009A4467"/>
    <w:rsid w:val="009A5429"/>
    <w:rsid w:val="009A72AD"/>
    <w:rsid w:val="009B09E0"/>
    <w:rsid w:val="009B0BC5"/>
    <w:rsid w:val="009B1247"/>
    <w:rsid w:val="009B15DF"/>
    <w:rsid w:val="009B414C"/>
    <w:rsid w:val="009B6029"/>
    <w:rsid w:val="009B6971"/>
    <w:rsid w:val="009C0CB7"/>
    <w:rsid w:val="009C1BE8"/>
    <w:rsid w:val="009C27F1"/>
    <w:rsid w:val="009C2949"/>
    <w:rsid w:val="009C3152"/>
    <w:rsid w:val="009C3257"/>
    <w:rsid w:val="009C4CFA"/>
    <w:rsid w:val="009C5070"/>
    <w:rsid w:val="009D0DE0"/>
    <w:rsid w:val="009D112C"/>
    <w:rsid w:val="009D1385"/>
    <w:rsid w:val="009D1769"/>
    <w:rsid w:val="009D47FA"/>
    <w:rsid w:val="009D4C5B"/>
    <w:rsid w:val="009D50D2"/>
    <w:rsid w:val="009D6BCA"/>
    <w:rsid w:val="009E0F62"/>
    <w:rsid w:val="009E19CA"/>
    <w:rsid w:val="009E4A58"/>
    <w:rsid w:val="009E514F"/>
    <w:rsid w:val="009E5A2D"/>
    <w:rsid w:val="009E5AB2"/>
    <w:rsid w:val="009E6219"/>
    <w:rsid w:val="009E6696"/>
    <w:rsid w:val="009F03B3"/>
    <w:rsid w:val="009F56DE"/>
    <w:rsid w:val="00A0096C"/>
    <w:rsid w:val="00A01757"/>
    <w:rsid w:val="00A028C0"/>
    <w:rsid w:val="00A02BAE"/>
    <w:rsid w:val="00A04C7B"/>
    <w:rsid w:val="00A06432"/>
    <w:rsid w:val="00A06A6B"/>
    <w:rsid w:val="00A07E47"/>
    <w:rsid w:val="00A129D0"/>
    <w:rsid w:val="00A12C33"/>
    <w:rsid w:val="00A138BA"/>
    <w:rsid w:val="00A14B85"/>
    <w:rsid w:val="00A14C8E"/>
    <w:rsid w:val="00A153D9"/>
    <w:rsid w:val="00A15F09"/>
    <w:rsid w:val="00A169B6"/>
    <w:rsid w:val="00A16E8A"/>
    <w:rsid w:val="00A17513"/>
    <w:rsid w:val="00A205E0"/>
    <w:rsid w:val="00A22077"/>
    <w:rsid w:val="00A2271D"/>
    <w:rsid w:val="00A237D5"/>
    <w:rsid w:val="00A23899"/>
    <w:rsid w:val="00A241B1"/>
    <w:rsid w:val="00A24A00"/>
    <w:rsid w:val="00A25E35"/>
    <w:rsid w:val="00A25F7C"/>
    <w:rsid w:val="00A2719A"/>
    <w:rsid w:val="00A30EFC"/>
    <w:rsid w:val="00A31984"/>
    <w:rsid w:val="00A3278B"/>
    <w:rsid w:val="00A32D73"/>
    <w:rsid w:val="00A3367B"/>
    <w:rsid w:val="00A33C2C"/>
    <w:rsid w:val="00A33C67"/>
    <w:rsid w:val="00A34500"/>
    <w:rsid w:val="00A3566D"/>
    <w:rsid w:val="00A3597D"/>
    <w:rsid w:val="00A36DD1"/>
    <w:rsid w:val="00A4006C"/>
    <w:rsid w:val="00A40091"/>
    <w:rsid w:val="00A4030F"/>
    <w:rsid w:val="00A41C79"/>
    <w:rsid w:val="00A41CB5"/>
    <w:rsid w:val="00A42507"/>
    <w:rsid w:val="00A42CDF"/>
    <w:rsid w:val="00A4452E"/>
    <w:rsid w:val="00A4472C"/>
    <w:rsid w:val="00A44E69"/>
    <w:rsid w:val="00A4589D"/>
    <w:rsid w:val="00A4661E"/>
    <w:rsid w:val="00A531B6"/>
    <w:rsid w:val="00A55BD6"/>
    <w:rsid w:val="00A55D50"/>
    <w:rsid w:val="00A57142"/>
    <w:rsid w:val="00A611DE"/>
    <w:rsid w:val="00A62A3F"/>
    <w:rsid w:val="00A63BD3"/>
    <w:rsid w:val="00A648CD"/>
    <w:rsid w:val="00A6537A"/>
    <w:rsid w:val="00A65C7E"/>
    <w:rsid w:val="00A668D3"/>
    <w:rsid w:val="00A66BF1"/>
    <w:rsid w:val="00A67866"/>
    <w:rsid w:val="00A67C45"/>
    <w:rsid w:val="00A70B07"/>
    <w:rsid w:val="00A723F8"/>
    <w:rsid w:val="00A76508"/>
    <w:rsid w:val="00A77CCB"/>
    <w:rsid w:val="00A83667"/>
    <w:rsid w:val="00A83D8D"/>
    <w:rsid w:val="00A8446B"/>
    <w:rsid w:val="00A8473F"/>
    <w:rsid w:val="00A862D6"/>
    <w:rsid w:val="00A8715E"/>
    <w:rsid w:val="00A90D35"/>
    <w:rsid w:val="00A9295B"/>
    <w:rsid w:val="00A929D7"/>
    <w:rsid w:val="00A93B09"/>
    <w:rsid w:val="00A952D7"/>
    <w:rsid w:val="00A9536E"/>
    <w:rsid w:val="00A963F7"/>
    <w:rsid w:val="00A96AD8"/>
    <w:rsid w:val="00A9734F"/>
    <w:rsid w:val="00A97448"/>
    <w:rsid w:val="00AA052C"/>
    <w:rsid w:val="00AA1E45"/>
    <w:rsid w:val="00AA4286"/>
    <w:rsid w:val="00AA456B"/>
    <w:rsid w:val="00AA57F5"/>
    <w:rsid w:val="00AA672E"/>
    <w:rsid w:val="00AA6EC9"/>
    <w:rsid w:val="00AA7B95"/>
    <w:rsid w:val="00AB5BB9"/>
    <w:rsid w:val="00AB6309"/>
    <w:rsid w:val="00AB6C5F"/>
    <w:rsid w:val="00AB70B1"/>
    <w:rsid w:val="00AB7129"/>
    <w:rsid w:val="00AC0263"/>
    <w:rsid w:val="00AC27A6"/>
    <w:rsid w:val="00AC30F7"/>
    <w:rsid w:val="00AC3410"/>
    <w:rsid w:val="00AC3A5A"/>
    <w:rsid w:val="00AC3D8C"/>
    <w:rsid w:val="00AC4D95"/>
    <w:rsid w:val="00AC5DF4"/>
    <w:rsid w:val="00AC7B95"/>
    <w:rsid w:val="00AC7BED"/>
    <w:rsid w:val="00AD0AEF"/>
    <w:rsid w:val="00AD11B7"/>
    <w:rsid w:val="00AD1A94"/>
    <w:rsid w:val="00AD1C05"/>
    <w:rsid w:val="00AD3D78"/>
    <w:rsid w:val="00AD4126"/>
    <w:rsid w:val="00AD421C"/>
    <w:rsid w:val="00AD44FA"/>
    <w:rsid w:val="00AE070A"/>
    <w:rsid w:val="00AE101C"/>
    <w:rsid w:val="00AE2A69"/>
    <w:rsid w:val="00AE3011"/>
    <w:rsid w:val="00AE37E5"/>
    <w:rsid w:val="00AE5EB4"/>
    <w:rsid w:val="00AE6179"/>
    <w:rsid w:val="00AE64E8"/>
    <w:rsid w:val="00AF0C18"/>
    <w:rsid w:val="00AF47C5"/>
    <w:rsid w:val="00AF5398"/>
    <w:rsid w:val="00AF6478"/>
    <w:rsid w:val="00B01090"/>
    <w:rsid w:val="00B049AF"/>
    <w:rsid w:val="00B04BF3"/>
    <w:rsid w:val="00B07242"/>
    <w:rsid w:val="00B10534"/>
    <w:rsid w:val="00B113DB"/>
    <w:rsid w:val="00B11D8A"/>
    <w:rsid w:val="00B12981"/>
    <w:rsid w:val="00B13A95"/>
    <w:rsid w:val="00B147DD"/>
    <w:rsid w:val="00B156FD"/>
    <w:rsid w:val="00B157E7"/>
    <w:rsid w:val="00B204DA"/>
    <w:rsid w:val="00B20CD1"/>
    <w:rsid w:val="00B21F61"/>
    <w:rsid w:val="00B22CA2"/>
    <w:rsid w:val="00B261F1"/>
    <w:rsid w:val="00B265BC"/>
    <w:rsid w:val="00B3137C"/>
    <w:rsid w:val="00B31FB1"/>
    <w:rsid w:val="00B32885"/>
    <w:rsid w:val="00B33952"/>
    <w:rsid w:val="00B33C5E"/>
    <w:rsid w:val="00B342F4"/>
    <w:rsid w:val="00B34369"/>
    <w:rsid w:val="00B34DC2"/>
    <w:rsid w:val="00B359C4"/>
    <w:rsid w:val="00B378E5"/>
    <w:rsid w:val="00B4346D"/>
    <w:rsid w:val="00B440F4"/>
    <w:rsid w:val="00B447A5"/>
    <w:rsid w:val="00B4654C"/>
    <w:rsid w:val="00B46AE1"/>
    <w:rsid w:val="00B47293"/>
    <w:rsid w:val="00B50E50"/>
    <w:rsid w:val="00B51A34"/>
    <w:rsid w:val="00B52120"/>
    <w:rsid w:val="00B52351"/>
    <w:rsid w:val="00B52651"/>
    <w:rsid w:val="00B54ABC"/>
    <w:rsid w:val="00B5589E"/>
    <w:rsid w:val="00B56FBE"/>
    <w:rsid w:val="00B60ACF"/>
    <w:rsid w:val="00B61B95"/>
    <w:rsid w:val="00B62B58"/>
    <w:rsid w:val="00B6371F"/>
    <w:rsid w:val="00B65149"/>
    <w:rsid w:val="00B66567"/>
    <w:rsid w:val="00B66F52"/>
    <w:rsid w:val="00B66FE5"/>
    <w:rsid w:val="00B72880"/>
    <w:rsid w:val="00B758BF"/>
    <w:rsid w:val="00B76A72"/>
    <w:rsid w:val="00B76EFA"/>
    <w:rsid w:val="00B77237"/>
    <w:rsid w:val="00B77EC8"/>
    <w:rsid w:val="00B80EB0"/>
    <w:rsid w:val="00B827A6"/>
    <w:rsid w:val="00B831CE"/>
    <w:rsid w:val="00B8617E"/>
    <w:rsid w:val="00B86677"/>
    <w:rsid w:val="00B87131"/>
    <w:rsid w:val="00B90087"/>
    <w:rsid w:val="00B92E4A"/>
    <w:rsid w:val="00B939B1"/>
    <w:rsid w:val="00B95AAA"/>
    <w:rsid w:val="00B95BA8"/>
    <w:rsid w:val="00B96D40"/>
    <w:rsid w:val="00B97071"/>
    <w:rsid w:val="00B97386"/>
    <w:rsid w:val="00BA263B"/>
    <w:rsid w:val="00BA42B2"/>
    <w:rsid w:val="00BA58D4"/>
    <w:rsid w:val="00BA5B9E"/>
    <w:rsid w:val="00BA7C9A"/>
    <w:rsid w:val="00BB5F8F"/>
    <w:rsid w:val="00BB657A"/>
    <w:rsid w:val="00BB7E70"/>
    <w:rsid w:val="00BC1A4E"/>
    <w:rsid w:val="00BC450C"/>
    <w:rsid w:val="00BC52CF"/>
    <w:rsid w:val="00BC52F9"/>
    <w:rsid w:val="00BC597A"/>
    <w:rsid w:val="00BC5DC7"/>
    <w:rsid w:val="00BC6B8B"/>
    <w:rsid w:val="00BC73D8"/>
    <w:rsid w:val="00BD1CF6"/>
    <w:rsid w:val="00BD35BF"/>
    <w:rsid w:val="00BD3922"/>
    <w:rsid w:val="00BD52D7"/>
    <w:rsid w:val="00BD5AD2"/>
    <w:rsid w:val="00BE0593"/>
    <w:rsid w:val="00BE1D91"/>
    <w:rsid w:val="00BE22F3"/>
    <w:rsid w:val="00BE5B52"/>
    <w:rsid w:val="00BE7B8D"/>
    <w:rsid w:val="00BF0993"/>
    <w:rsid w:val="00BF10A9"/>
    <w:rsid w:val="00BF1703"/>
    <w:rsid w:val="00BF231C"/>
    <w:rsid w:val="00BF2473"/>
    <w:rsid w:val="00BF2FA7"/>
    <w:rsid w:val="00BF3725"/>
    <w:rsid w:val="00BF44ED"/>
    <w:rsid w:val="00BF51E5"/>
    <w:rsid w:val="00BF74A6"/>
    <w:rsid w:val="00C002CB"/>
    <w:rsid w:val="00C013AD"/>
    <w:rsid w:val="00C04904"/>
    <w:rsid w:val="00C056B3"/>
    <w:rsid w:val="00C103E5"/>
    <w:rsid w:val="00C11288"/>
    <w:rsid w:val="00C13319"/>
    <w:rsid w:val="00C13EE9"/>
    <w:rsid w:val="00C14473"/>
    <w:rsid w:val="00C16506"/>
    <w:rsid w:val="00C17932"/>
    <w:rsid w:val="00C21540"/>
    <w:rsid w:val="00C21906"/>
    <w:rsid w:val="00C21A1D"/>
    <w:rsid w:val="00C21BFA"/>
    <w:rsid w:val="00C2283A"/>
    <w:rsid w:val="00C24129"/>
    <w:rsid w:val="00C24C8D"/>
    <w:rsid w:val="00C24D56"/>
    <w:rsid w:val="00C25FE2"/>
    <w:rsid w:val="00C26B53"/>
    <w:rsid w:val="00C279B2"/>
    <w:rsid w:val="00C33E50"/>
    <w:rsid w:val="00C33E6F"/>
    <w:rsid w:val="00C34BFF"/>
    <w:rsid w:val="00C34C20"/>
    <w:rsid w:val="00C35A3E"/>
    <w:rsid w:val="00C35B44"/>
    <w:rsid w:val="00C42130"/>
    <w:rsid w:val="00C423A4"/>
    <w:rsid w:val="00C423E3"/>
    <w:rsid w:val="00C42D33"/>
    <w:rsid w:val="00C44BF5"/>
    <w:rsid w:val="00C45C8C"/>
    <w:rsid w:val="00C47625"/>
    <w:rsid w:val="00C521D6"/>
    <w:rsid w:val="00C55232"/>
    <w:rsid w:val="00C553A4"/>
    <w:rsid w:val="00C55A06"/>
    <w:rsid w:val="00C55D03"/>
    <w:rsid w:val="00C569F8"/>
    <w:rsid w:val="00C601BC"/>
    <w:rsid w:val="00C616EC"/>
    <w:rsid w:val="00C61C69"/>
    <w:rsid w:val="00C62152"/>
    <w:rsid w:val="00C6329F"/>
    <w:rsid w:val="00C63340"/>
    <w:rsid w:val="00C643F9"/>
    <w:rsid w:val="00C64C3A"/>
    <w:rsid w:val="00C64E95"/>
    <w:rsid w:val="00C65F43"/>
    <w:rsid w:val="00C6606B"/>
    <w:rsid w:val="00C71372"/>
    <w:rsid w:val="00C72410"/>
    <w:rsid w:val="00C7287F"/>
    <w:rsid w:val="00C77BAE"/>
    <w:rsid w:val="00C80CB8"/>
    <w:rsid w:val="00C819F8"/>
    <w:rsid w:val="00C8248C"/>
    <w:rsid w:val="00C83391"/>
    <w:rsid w:val="00C84752"/>
    <w:rsid w:val="00C84E33"/>
    <w:rsid w:val="00C86D6F"/>
    <w:rsid w:val="00C905FC"/>
    <w:rsid w:val="00C92D03"/>
    <w:rsid w:val="00C9319C"/>
    <w:rsid w:val="00C9435D"/>
    <w:rsid w:val="00C94DF2"/>
    <w:rsid w:val="00C95533"/>
    <w:rsid w:val="00C9625E"/>
    <w:rsid w:val="00C96741"/>
    <w:rsid w:val="00C96AD1"/>
    <w:rsid w:val="00CA2D1B"/>
    <w:rsid w:val="00CA375D"/>
    <w:rsid w:val="00CA562A"/>
    <w:rsid w:val="00CA662A"/>
    <w:rsid w:val="00CA7AFD"/>
    <w:rsid w:val="00CA7C3C"/>
    <w:rsid w:val="00CB0189"/>
    <w:rsid w:val="00CB0BA2"/>
    <w:rsid w:val="00CB1A42"/>
    <w:rsid w:val="00CB1B0C"/>
    <w:rsid w:val="00CB2C0B"/>
    <w:rsid w:val="00CB2F29"/>
    <w:rsid w:val="00CB2F41"/>
    <w:rsid w:val="00CB517D"/>
    <w:rsid w:val="00CB519E"/>
    <w:rsid w:val="00CB5AF3"/>
    <w:rsid w:val="00CC023F"/>
    <w:rsid w:val="00CC038D"/>
    <w:rsid w:val="00CC08DB"/>
    <w:rsid w:val="00CC2587"/>
    <w:rsid w:val="00CC39FF"/>
    <w:rsid w:val="00CC3C2F"/>
    <w:rsid w:val="00CC4AC8"/>
    <w:rsid w:val="00CC4C77"/>
    <w:rsid w:val="00CC5233"/>
    <w:rsid w:val="00CC5DE6"/>
    <w:rsid w:val="00CC6E4E"/>
    <w:rsid w:val="00CC6FE8"/>
    <w:rsid w:val="00CC7202"/>
    <w:rsid w:val="00CD117B"/>
    <w:rsid w:val="00CD2808"/>
    <w:rsid w:val="00CD28BF"/>
    <w:rsid w:val="00CD2B6C"/>
    <w:rsid w:val="00CD2C8D"/>
    <w:rsid w:val="00CD4092"/>
    <w:rsid w:val="00CD4A20"/>
    <w:rsid w:val="00CD50A1"/>
    <w:rsid w:val="00CD519E"/>
    <w:rsid w:val="00CE0C4F"/>
    <w:rsid w:val="00CE11F1"/>
    <w:rsid w:val="00CE14F2"/>
    <w:rsid w:val="00CE30EA"/>
    <w:rsid w:val="00CE4514"/>
    <w:rsid w:val="00CE7452"/>
    <w:rsid w:val="00CF048A"/>
    <w:rsid w:val="00CF155A"/>
    <w:rsid w:val="00CF2947"/>
    <w:rsid w:val="00CF686F"/>
    <w:rsid w:val="00CF6E60"/>
    <w:rsid w:val="00CF7BCA"/>
    <w:rsid w:val="00D0055D"/>
    <w:rsid w:val="00D008FD"/>
    <w:rsid w:val="00D019A7"/>
    <w:rsid w:val="00D029DC"/>
    <w:rsid w:val="00D0321C"/>
    <w:rsid w:val="00D035EC"/>
    <w:rsid w:val="00D048E5"/>
    <w:rsid w:val="00D05ABF"/>
    <w:rsid w:val="00D067C9"/>
    <w:rsid w:val="00D06AB1"/>
    <w:rsid w:val="00D06FC1"/>
    <w:rsid w:val="00D072ED"/>
    <w:rsid w:val="00D07A16"/>
    <w:rsid w:val="00D1067E"/>
    <w:rsid w:val="00D10F50"/>
    <w:rsid w:val="00D1109D"/>
    <w:rsid w:val="00D11272"/>
    <w:rsid w:val="00D11DF1"/>
    <w:rsid w:val="00D126F5"/>
    <w:rsid w:val="00D14567"/>
    <w:rsid w:val="00D1489E"/>
    <w:rsid w:val="00D206EB"/>
    <w:rsid w:val="00D20737"/>
    <w:rsid w:val="00D21E81"/>
    <w:rsid w:val="00D223DE"/>
    <w:rsid w:val="00D22B8F"/>
    <w:rsid w:val="00D22C7D"/>
    <w:rsid w:val="00D25E37"/>
    <w:rsid w:val="00D2661A"/>
    <w:rsid w:val="00D27582"/>
    <w:rsid w:val="00D27D03"/>
    <w:rsid w:val="00D27EC4"/>
    <w:rsid w:val="00D3183D"/>
    <w:rsid w:val="00D32719"/>
    <w:rsid w:val="00D3316C"/>
    <w:rsid w:val="00D33333"/>
    <w:rsid w:val="00D34E9C"/>
    <w:rsid w:val="00D352A2"/>
    <w:rsid w:val="00D403A7"/>
    <w:rsid w:val="00D4162B"/>
    <w:rsid w:val="00D4514F"/>
    <w:rsid w:val="00D451E2"/>
    <w:rsid w:val="00D45E89"/>
    <w:rsid w:val="00D45E8D"/>
    <w:rsid w:val="00D466AE"/>
    <w:rsid w:val="00D4734F"/>
    <w:rsid w:val="00D51BF3"/>
    <w:rsid w:val="00D531ED"/>
    <w:rsid w:val="00D66846"/>
    <w:rsid w:val="00D675FB"/>
    <w:rsid w:val="00D67A11"/>
    <w:rsid w:val="00D71F25"/>
    <w:rsid w:val="00D72A9C"/>
    <w:rsid w:val="00D75B93"/>
    <w:rsid w:val="00D77031"/>
    <w:rsid w:val="00D80234"/>
    <w:rsid w:val="00D807C2"/>
    <w:rsid w:val="00D81A4E"/>
    <w:rsid w:val="00D84377"/>
    <w:rsid w:val="00D84941"/>
    <w:rsid w:val="00D84FA1"/>
    <w:rsid w:val="00D851F0"/>
    <w:rsid w:val="00D85AD4"/>
    <w:rsid w:val="00D86093"/>
    <w:rsid w:val="00D86DB7"/>
    <w:rsid w:val="00D87BF5"/>
    <w:rsid w:val="00D90721"/>
    <w:rsid w:val="00D926D0"/>
    <w:rsid w:val="00D93030"/>
    <w:rsid w:val="00D93084"/>
    <w:rsid w:val="00D93B63"/>
    <w:rsid w:val="00D950E1"/>
    <w:rsid w:val="00D952A6"/>
    <w:rsid w:val="00D965F3"/>
    <w:rsid w:val="00D96C18"/>
    <w:rsid w:val="00D97BD3"/>
    <w:rsid w:val="00D97F99"/>
    <w:rsid w:val="00DA1E08"/>
    <w:rsid w:val="00DA24F8"/>
    <w:rsid w:val="00DA28E8"/>
    <w:rsid w:val="00DA38D3"/>
    <w:rsid w:val="00DA3932"/>
    <w:rsid w:val="00DA3AFC"/>
    <w:rsid w:val="00DA64F8"/>
    <w:rsid w:val="00DA6C15"/>
    <w:rsid w:val="00DB0258"/>
    <w:rsid w:val="00DB0FA3"/>
    <w:rsid w:val="00DB1266"/>
    <w:rsid w:val="00DB2D84"/>
    <w:rsid w:val="00DB38EE"/>
    <w:rsid w:val="00DB498B"/>
    <w:rsid w:val="00DB66CA"/>
    <w:rsid w:val="00DB6BCA"/>
    <w:rsid w:val="00DB6F54"/>
    <w:rsid w:val="00DB73F7"/>
    <w:rsid w:val="00DC0321"/>
    <w:rsid w:val="00DC0F66"/>
    <w:rsid w:val="00DC3067"/>
    <w:rsid w:val="00DC370B"/>
    <w:rsid w:val="00DC55A1"/>
    <w:rsid w:val="00DC5A9B"/>
    <w:rsid w:val="00DC5B90"/>
    <w:rsid w:val="00DC5F88"/>
    <w:rsid w:val="00DD00FF"/>
    <w:rsid w:val="00DD0619"/>
    <w:rsid w:val="00DD07FB"/>
    <w:rsid w:val="00DD25C6"/>
    <w:rsid w:val="00DD35D7"/>
    <w:rsid w:val="00DD40D4"/>
    <w:rsid w:val="00DD4FE5"/>
    <w:rsid w:val="00DD54B0"/>
    <w:rsid w:val="00DD57EE"/>
    <w:rsid w:val="00DD6BCC"/>
    <w:rsid w:val="00DE0A4B"/>
    <w:rsid w:val="00DE2410"/>
    <w:rsid w:val="00DE2939"/>
    <w:rsid w:val="00DE4BD3"/>
    <w:rsid w:val="00DE6E81"/>
    <w:rsid w:val="00DE703F"/>
    <w:rsid w:val="00DE7595"/>
    <w:rsid w:val="00DE779F"/>
    <w:rsid w:val="00DF037F"/>
    <w:rsid w:val="00DF1961"/>
    <w:rsid w:val="00DF233D"/>
    <w:rsid w:val="00DF3230"/>
    <w:rsid w:val="00DF384C"/>
    <w:rsid w:val="00DF3C4A"/>
    <w:rsid w:val="00DF3D71"/>
    <w:rsid w:val="00DF40FC"/>
    <w:rsid w:val="00DF44DE"/>
    <w:rsid w:val="00E01138"/>
    <w:rsid w:val="00E02DFB"/>
    <w:rsid w:val="00E030F9"/>
    <w:rsid w:val="00E0311A"/>
    <w:rsid w:val="00E03138"/>
    <w:rsid w:val="00E03B4A"/>
    <w:rsid w:val="00E045CD"/>
    <w:rsid w:val="00E06404"/>
    <w:rsid w:val="00E073F8"/>
    <w:rsid w:val="00E11A85"/>
    <w:rsid w:val="00E12495"/>
    <w:rsid w:val="00E13967"/>
    <w:rsid w:val="00E15CCD"/>
    <w:rsid w:val="00E1751D"/>
    <w:rsid w:val="00E202EF"/>
    <w:rsid w:val="00E210B5"/>
    <w:rsid w:val="00E22DC2"/>
    <w:rsid w:val="00E243E9"/>
    <w:rsid w:val="00E2552F"/>
    <w:rsid w:val="00E26EC4"/>
    <w:rsid w:val="00E3137A"/>
    <w:rsid w:val="00E3254E"/>
    <w:rsid w:val="00E32CCF"/>
    <w:rsid w:val="00E34A98"/>
    <w:rsid w:val="00E35BBF"/>
    <w:rsid w:val="00E35D1E"/>
    <w:rsid w:val="00E364F9"/>
    <w:rsid w:val="00E365FA"/>
    <w:rsid w:val="00E36789"/>
    <w:rsid w:val="00E44A83"/>
    <w:rsid w:val="00E467FD"/>
    <w:rsid w:val="00E502C1"/>
    <w:rsid w:val="00E502DD"/>
    <w:rsid w:val="00E50D3A"/>
    <w:rsid w:val="00E51387"/>
    <w:rsid w:val="00E51E68"/>
    <w:rsid w:val="00E52EFD"/>
    <w:rsid w:val="00E5408A"/>
    <w:rsid w:val="00E54FCA"/>
    <w:rsid w:val="00E55BD8"/>
    <w:rsid w:val="00E56800"/>
    <w:rsid w:val="00E60074"/>
    <w:rsid w:val="00E60B0F"/>
    <w:rsid w:val="00E60C63"/>
    <w:rsid w:val="00E62FF9"/>
    <w:rsid w:val="00E6353F"/>
    <w:rsid w:val="00E635D6"/>
    <w:rsid w:val="00E639BC"/>
    <w:rsid w:val="00E664CC"/>
    <w:rsid w:val="00E70388"/>
    <w:rsid w:val="00E70D0F"/>
    <w:rsid w:val="00E70F92"/>
    <w:rsid w:val="00E723CB"/>
    <w:rsid w:val="00E7388E"/>
    <w:rsid w:val="00E74313"/>
    <w:rsid w:val="00E74640"/>
    <w:rsid w:val="00E74815"/>
    <w:rsid w:val="00E74C54"/>
    <w:rsid w:val="00E77A03"/>
    <w:rsid w:val="00E822E8"/>
    <w:rsid w:val="00E82554"/>
    <w:rsid w:val="00E82606"/>
    <w:rsid w:val="00E831C1"/>
    <w:rsid w:val="00E83C1C"/>
    <w:rsid w:val="00E83D76"/>
    <w:rsid w:val="00E8460C"/>
    <w:rsid w:val="00E846C8"/>
    <w:rsid w:val="00E84957"/>
    <w:rsid w:val="00E84A55"/>
    <w:rsid w:val="00E85BFF"/>
    <w:rsid w:val="00E90391"/>
    <w:rsid w:val="00E906C2"/>
    <w:rsid w:val="00E9214A"/>
    <w:rsid w:val="00E923A1"/>
    <w:rsid w:val="00E9311F"/>
    <w:rsid w:val="00E934D1"/>
    <w:rsid w:val="00E9492B"/>
    <w:rsid w:val="00E94AF0"/>
    <w:rsid w:val="00E95C58"/>
    <w:rsid w:val="00E95D13"/>
    <w:rsid w:val="00E95DD3"/>
    <w:rsid w:val="00E969D5"/>
    <w:rsid w:val="00E974C2"/>
    <w:rsid w:val="00EA0398"/>
    <w:rsid w:val="00EA0E3F"/>
    <w:rsid w:val="00EA58D1"/>
    <w:rsid w:val="00EA61BC"/>
    <w:rsid w:val="00EA681A"/>
    <w:rsid w:val="00EA735B"/>
    <w:rsid w:val="00EA73C8"/>
    <w:rsid w:val="00EB1E69"/>
    <w:rsid w:val="00EB1F19"/>
    <w:rsid w:val="00EB2086"/>
    <w:rsid w:val="00EB2112"/>
    <w:rsid w:val="00EB31ED"/>
    <w:rsid w:val="00EB5EDF"/>
    <w:rsid w:val="00EB60FE"/>
    <w:rsid w:val="00EB65B3"/>
    <w:rsid w:val="00EB73BC"/>
    <w:rsid w:val="00EB74DB"/>
    <w:rsid w:val="00EC2D7A"/>
    <w:rsid w:val="00EC3BF7"/>
    <w:rsid w:val="00EC452D"/>
    <w:rsid w:val="00EC5359"/>
    <w:rsid w:val="00EC562A"/>
    <w:rsid w:val="00EC7EAB"/>
    <w:rsid w:val="00ED067A"/>
    <w:rsid w:val="00ED1F79"/>
    <w:rsid w:val="00ED2B50"/>
    <w:rsid w:val="00ED459C"/>
    <w:rsid w:val="00ED5552"/>
    <w:rsid w:val="00ED6498"/>
    <w:rsid w:val="00EE0350"/>
    <w:rsid w:val="00EE0719"/>
    <w:rsid w:val="00EE0E80"/>
    <w:rsid w:val="00EE50FC"/>
    <w:rsid w:val="00EE613F"/>
    <w:rsid w:val="00EE65B1"/>
    <w:rsid w:val="00EE70F0"/>
    <w:rsid w:val="00EE7295"/>
    <w:rsid w:val="00EE7869"/>
    <w:rsid w:val="00EE79D8"/>
    <w:rsid w:val="00EF054A"/>
    <w:rsid w:val="00EF0C92"/>
    <w:rsid w:val="00EF1823"/>
    <w:rsid w:val="00EF3235"/>
    <w:rsid w:val="00EF3768"/>
    <w:rsid w:val="00EF4AA3"/>
    <w:rsid w:val="00EF68D1"/>
    <w:rsid w:val="00EF6A58"/>
    <w:rsid w:val="00EF7E72"/>
    <w:rsid w:val="00F037F3"/>
    <w:rsid w:val="00F048BE"/>
    <w:rsid w:val="00F06D37"/>
    <w:rsid w:val="00F07B9D"/>
    <w:rsid w:val="00F11586"/>
    <w:rsid w:val="00F1183B"/>
    <w:rsid w:val="00F11C9F"/>
    <w:rsid w:val="00F12263"/>
    <w:rsid w:val="00F1409D"/>
    <w:rsid w:val="00F14214"/>
    <w:rsid w:val="00F15005"/>
    <w:rsid w:val="00F157A9"/>
    <w:rsid w:val="00F16F00"/>
    <w:rsid w:val="00F21EDF"/>
    <w:rsid w:val="00F23978"/>
    <w:rsid w:val="00F23F55"/>
    <w:rsid w:val="00F24919"/>
    <w:rsid w:val="00F25BB6"/>
    <w:rsid w:val="00F26B7E"/>
    <w:rsid w:val="00F27A3B"/>
    <w:rsid w:val="00F31F1E"/>
    <w:rsid w:val="00F32780"/>
    <w:rsid w:val="00F33817"/>
    <w:rsid w:val="00F420D5"/>
    <w:rsid w:val="00F4504E"/>
    <w:rsid w:val="00F451EA"/>
    <w:rsid w:val="00F45447"/>
    <w:rsid w:val="00F456C6"/>
    <w:rsid w:val="00F4577B"/>
    <w:rsid w:val="00F46496"/>
    <w:rsid w:val="00F474D0"/>
    <w:rsid w:val="00F50179"/>
    <w:rsid w:val="00F515EE"/>
    <w:rsid w:val="00F56511"/>
    <w:rsid w:val="00F60601"/>
    <w:rsid w:val="00F61672"/>
    <w:rsid w:val="00F6194E"/>
    <w:rsid w:val="00F623AC"/>
    <w:rsid w:val="00F6412A"/>
    <w:rsid w:val="00F65893"/>
    <w:rsid w:val="00F65FBD"/>
    <w:rsid w:val="00F66A4A"/>
    <w:rsid w:val="00F67A75"/>
    <w:rsid w:val="00F71E22"/>
    <w:rsid w:val="00F72142"/>
    <w:rsid w:val="00F7266A"/>
    <w:rsid w:val="00F72AE7"/>
    <w:rsid w:val="00F77065"/>
    <w:rsid w:val="00F81BD8"/>
    <w:rsid w:val="00F833BA"/>
    <w:rsid w:val="00F84FD0"/>
    <w:rsid w:val="00F859A8"/>
    <w:rsid w:val="00F86D87"/>
    <w:rsid w:val="00F875D9"/>
    <w:rsid w:val="00F87C84"/>
    <w:rsid w:val="00F9108B"/>
    <w:rsid w:val="00F91349"/>
    <w:rsid w:val="00F9174F"/>
    <w:rsid w:val="00F9218B"/>
    <w:rsid w:val="00F93A8A"/>
    <w:rsid w:val="00F95248"/>
    <w:rsid w:val="00F956A9"/>
    <w:rsid w:val="00F96175"/>
    <w:rsid w:val="00F963ED"/>
    <w:rsid w:val="00F966CF"/>
    <w:rsid w:val="00F96CAE"/>
    <w:rsid w:val="00F97C99"/>
    <w:rsid w:val="00FA159F"/>
    <w:rsid w:val="00FA4A48"/>
    <w:rsid w:val="00FA662D"/>
    <w:rsid w:val="00FA73B1"/>
    <w:rsid w:val="00FA762A"/>
    <w:rsid w:val="00FB0CB9"/>
    <w:rsid w:val="00FB231D"/>
    <w:rsid w:val="00FB3360"/>
    <w:rsid w:val="00FB4303"/>
    <w:rsid w:val="00FB45F1"/>
    <w:rsid w:val="00FB4A72"/>
    <w:rsid w:val="00FB54E8"/>
    <w:rsid w:val="00FB584B"/>
    <w:rsid w:val="00FB7054"/>
    <w:rsid w:val="00FB7B63"/>
    <w:rsid w:val="00FC17B7"/>
    <w:rsid w:val="00FC1994"/>
    <w:rsid w:val="00FC2CB7"/>
    <w:rsid w:val="00FC4090"/>
    <w:rsid w:val="00FC55B4"/>
    <w:rsid w:val="00FD00E6"/>
    <w:rsid w:val="00FD09A1"/>
    <w:rsid w:val="00FD163B"/>
    <w:rsid w:val="00FD2A7C"/>
    <w:rsid w:val="00FD55E4"/>
    <w:rsid w:val="00FD59EB"/>
    <w:rsid w:val="00FD7299"/>
    <w:rsid w:val="00FE075D"/>
    <w:rsid w:val="00FE0E8A"/>
    <w:rsid w:val="00FE1FBE"/>
    <w:rsid w:val="00FE3901"/>
    <w:rsid w:val="00FE39D3"/>
    <w:rsid w:val="00FE4BCE"/>
    <w:rsid w:val="00FE54AE"/>
    <w:rsid w:val="00FE576A"/>
    <w:rsid w:val="00FE7E79"/>
    <w:rsid w:val="00FF2459"/>
    <w:rsid w:val="00FF3E7D"/>
    <w:rsid w:val="00FF4CDC"/>
    <w:rsid w:val="00FF5B99"/>
    <w:rsid w:val="00FF6381"/>
    <w:rsid w:val="00FF730C"/>
    <w:rsid w:val="00FF73F4"/>
    <w:rsid w:val="00FF7BEE"/>
    <w:rsid w:val="00FF7CE4"/>
    <w:rsid w:val="00FF7E39"/>
    <w:rsid w:val="01487AED"/>
    <w:rsid w:val="032B023F"/>
    <w:rsid w:val="034B4BE6"/>
    <w:rsid w:val="04504BAA"/>
    <w:rsid w:val="061D6D0E"/>
    <w:rsid w:val="06293122"/>
    <w:rsid w:val="06542A65"/>
    <w:rsid w:val="08CE0713"/>
    <w:rsid w:val="09387FF0"/>
    <w:rsid w:val="0A0B1935"/>
    <w:rsid w:val="0A0F4BBF"/>
    <w:rsid w:val="0A8F392A"/>
    <w:rsid w:val="0B907B54"/>
    <w:rsid w:val="0DB6635F"/>
    <w:rsid w:val="0F5B0797"/>
    <w:rsid w:val="114C54EF"/>
    <w:rsid w:val="123E4294"/>
    <w:rsid w:val="14534B61"/>
    <w:rsid w:val="14830684"/>
    <w:rsid w:val="15897F1C"/>
    <w:rsid w:val="17CA4726"/>
    <w:rsid w:val="180B62BF"/>
    <w:rsid w:val="189A1E13"/>
    <w:rsid w:val="19AF7825"/>
    <w:rsid w:val="1B063DBD"/>
    <w:rsid w:val="1B0A7422"/>
    <w:rsid w:val="1CD65373"/>
    <w:rsid w:val="22AD4512"/>
    <w:rsid w:val="233431A6"/>
    <w:rsid w:val="252E70E8"/>
    <w:rsid w:val="257A0F75"/>
    <w:rsid w:val="25D801E9"/>
    <w:rsid w:val="2AFA0B1C"/>
    <w:rsid w:val="2C0F0959"/>
    <w:rsid w:val="2E222713"/>
    <w:rsid w:val="2E8570B6"/>
    <w:rsid w:val="2F407EDE"/>
    <w:rsid w:val="2FAF657A"/>
    <w:rsid w:val="318620C6"/>
    <w:rsid w:val="348D5B3F"/>
    <w:rsid w:val="351078BA"/>
    <w:rsid w:val="368A0327"/>
    <w:rsid w:val="36AA5AEC"/>
    <w:rsid w:val="386073B7"/>
    <w:rsid w:val="38FB681E"/>
    <w:rsid w:val="39E80634"/>
    <w:rsid w:val="3B8A07A5"/>
    <w:rsid w:val="3EE65A1C"/>
    <w:rsid w:val="3EFC5027"/>
    <w:rsid w:val="41434B73"/>
    <w:rsid w:val="41EE4ADF"/>
    <w:rsid w:val="41FA16D6"/>
    <w:rsid w:val="42AE6F5D"/>
    <w:rsid w:val="43217136"/>
    <w:rsid w:val="44F76200"/>
    <w:rsid w:val="469F0A9E"/>
    <w:rsid w:val="47346230"/>
    <w:rsid w:val="47775577"/>
    <w:rsid w:val="47856838"/>
    <w:rsid w:val="48D24C26"/>
    <w:rsid w:val="493F0316"/>
    <w:rsid w:val="49823749"/>
    <w:rsid w:val="49AF76DD"/>
    <w:rsid w:val="4CEB6BD1"/>
    <w:rsid w:val="4DF25DBA"/>
    <w:rsid w:val="4E0D09E3"/>
    <w:rsid w:val="50F1639A"/>
    <w:rsid w:val="51FB0A21"/>
    <w:rsid w:val="52154EE5"/>
    <w:rsid w:val="53F82CC7"/>
    <w:rsid w:val="553D07A0"/>
    <w:rsid w:val="57D53F10"/>
    <w:rsid w:val="58732703"/>
    <w:rsid w:val="5A0E58C7"/>
    <w:rsid w:val="5A4E0D41"/>
    <w:rsid w:val="5CDF354A"/>
    <w:rsid w:val="5E053485"/>
    <w:rsid w:val="61DA636A"/>
    <w:rsid w:val="62122B7E"/>
    <w:rsid w:val="632C3261"/>
    <w:rsid w:val="63D77671"/>
    <w:rsid w:val="64B15EFB"/>
    <w:rsid w:val="64D03DF2"/>
    <w:rsid w:val="6544413E"/>
    <w:rsid w:val="6594600F"/>
    <w:rsid w:val="670C7632"/>
    <w:rsid w:val="671343AC"/>
    <w:rsid w:val="6A1F63FC"/>
    <w:rsid w:val="6A38073E"/>
    <w:rsid w:val="6A4B2F01"/>
    <w:rsid w:val="6A9F59B1"/>
    <w:rsid w:val="6AB03CFC"/>
    <w:rsid w:val="6B000DA1"/>
    <w:rsid w:val="6CE33D88"/>
    <w:rsid w:val="6F206375"/>
    <w:rsid w:val="6F63684A"/>
    <w:rsid w:val="6F7E0EA7"/>
    <w:rsid w:val="6FF355E7"/>
    <w:rsid w:val="724E6D50"/>
    <w:rsid w:val="726A345E"/>
    <w:rsid w:val="742F7ABF"/>
    <w:rsid w:val="78504D9F"/>
    <w:rsid w:val="78B5353D"/>
    <w:rsid w:val="79D42B42"/>
    <w:rsid w:val="7BB73BB8"/>
    <w:rsid w:val="7BE64C61"/>
    <w:rsid w:val="7C597451"/>
    <w:rsid w:val="7ED22A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3"/>
    <w:next w:val="1"/>
    <w:link w:val="41"/>
    <w:qFormat/>
    <w:uiPriority w:val="0"/>
    <w:pPr>
      <w:spacing w:before="240" w:after="240"/>
      <w:ind w:left="0"/>
    </w:pPr>
  </w:style>
  <w:style w:type="paragraph" w:styleId="5">
    <w:name w:val="heading 2"/>
    <w:basedOn w:val="6"/>
    <w:next w:val="1"/>
    <w:link w:val="42"/>
    <w:qFormat/>
    <w:uiPriority w:val="0"/>
    <w:pPr>
      <w:spacing w:before="120" w:after="120"/>
      <w:outlineLvl w:val="1"/>
    </w:pPr>
  </w:style>
  <w:style w:type="paragraph" w:styleId="7">
    <w:name w:val="heading 3"/>
    <w:basedOn w:val="1"/>
    <w:next w:val="1"/>
    <w:link w:val="43"/>
    <w:qFormat/>
    <w:uiPriority w:val="0"/>
    <w:pPr>
      <w:keepNext/>
      <w:keepLines/>
      <w:spacing w:before="260" w:after="260" w:line="416" w:lineRule="auto"/>
      <w:outlineLvl w:val="2"/>
    </w:pPr>
    <w:rPr>
      <w:b/>
      <w:bCs/>
      <w:sz w:val="32"/>
      <w:szCs w:val="32"/>
    </w:rPr>
  </w:style>
  <w:style w:type="paragraph" w:styleId="8">
    <w:name w:val="heading 4"/>
    <w:basedOn w:val="1"/>
    <w:next w:val="1"/>
    <w:link w:val="44"/>
    <w:qFormat/>
    <w:uiPriority w:val="0"/>
    <w:pPr>
      <w:keepNext/>
      <w:keepLines/>
      <w:spacing w:before="280" w:after="290" w:line="376" w:lineRule="auto"/>
      <w:outlineLvl w:val="3"/>
    </w:pPr>
    <w:rPr>
      <w:rFonts w:ascii="Arial" w:hAnsi="Arial" w:eastAsia="黑体"/>
      <w:b/>
      <w:bCs/>
      <w:sz w:val="28"/>
      <w:szCs w:val="28"/>
    </w:rPr>
  </w:style>
  <w:style w:type="paragraph" w:styleId="9">
    <w:name w:val="heading 5"/>
    <w:basedOn w:val="1"/>
    <w:next w:val="1"/>
    <w:link w:val="45"/>
    <w:qFormat/>
    <w:uiPriority w:val="0"/>
    <w:pPr>
      <w:keepNext/>
      <w:keepLines/>
      <w:adjustRightInd/>
      <w:spacing w:before="280" w:after="290" w:line="376" w:lineRule="auto"/>
      <w:outlineLvl w:val="4"/>
    </w:pPr>
    <w:rPr>
      <w:b/>
      <w:bCs/>
      <w:sz w:val="28"/>
      <w:szCs w:val="28"/>
    </w:rPr>
  </w:style>
  <w:style w:type="paragraph" w:styleId="10">
    <w:name w:val="heading 6"/>
    <w:basedOn w:val="1"/>
    <w:next w:val="1"/>
    <w:link w:val="46"/>
    <w:qFormat/>
    <w:uiPriority w:val="0"/>
    <w:pPr>
      <w:keepNext/>
      <w:keepLines/>
      <w:adjustRightInd/>
      <w:spacing w:before="240" w:after="64" w:line="320" w:lineRule="auto"/>
      <w:outlineLvl w:val="5"/>
    </w:pPr>
    <w:rPr>
      <w:rFonts w:ascii="Arial" w:hAnsi="Arial" w:eastAsia="黑体"/>
      <w:b/>
      <w:bCs/>
      <w:sz w:val="24"/>
      <w:szCs w:val="24"/>
    </w:rPr>
  </w:style>
  <w:style w:type="paragraph" w:styleId="11">
    <w:name w:val="heading 7"/>
    <w:basedOn w:val="1"/>
    <w:next w:val="1"/>
    <w:link w:val="47"/>
    <w:qFormat/>
    <w:uiPriority w:val="0"/>
    <w:pPr>
      <w:keepNext/>
      <w:keepLines/>
      <w:adjustRightInd/>
      <w:spacing w:before="240" w:after="64" w:line="320" w:lineRule="auto"/>
      <w:outlineLvl w:val="6"/>
    </w:pPr>
    <w:rPr>
      <w:b/>
      <w:bCs/>
      <w:sz w:val="24"/>
      <w:szCs w:val="24"/>
    </w:rPr>
  </w:style>
  <w:style w:type="paragraph" w:styleId="12">
    <w:name w:val="heading 8"/>
    <w:basedOn w:val="1"/>
    <w:next w:val="1"/>
    <w:link w:val="48"/>
    <w:qFormat/>
    <w:uiPriority w:val="0"/>
    <w:pPr>
      <w:keepNext/>
      <w:keepLines/>
      <w:adjustRightInd/>
      <w:spacing w:before="240" w:after="64" w:line="320" w:lineRule="auto"/>
      <w:outlineLvl w:val="7"/>
    </w:pPr>
    <w:rPr>
      <w:rFonts w:ascii="Arial" w:hAnsi="Arial" w:eastAsia="黑体"/>
      <w:sz w:val="24"/>
      <w:szCs w:val="24"/>
    </w:rPr>
  </w:style>
  <w:style w:type="paragraph" w:styleId="13">
    <w:name w:val="heading 9"/>
    <w:basedOn w:val="1"/>
    <w:next w:val="1"/>
    <w:link w:val="49"/>
    <w:qFormat/>
    <w:uiPriority w:val="0"/>
    <w:pPr>
      <w:keepNext/>
      <w:keepLines/>
      <w:adjustRightInd/>
      <w:spacing w:before="240" w:after="64" w:line="320" w:lineRule="auto"/>
      <w:outlineLvl w:val="8"/>
    </w:pPr>
    <w:rPr>
      <w:rFonts w:ascii="Arial" w:hAnsi="Arial" w:eastAsia="黑体"/>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customStyle="1" w:styleId="3">
    <w:name w:val="标准文件_章标题"/>
    <w:next w:val="4"/>
    <w:qFormat/>
    <w:uiPriority w:val="0"/>
    <w:pPr>
      <w:numPr>
        <w:ilvl w:val="1"/>
        <w:numId w:val="1"/>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4">
    <w:name w:val="标准文件_段"/>
    <w:link w:val="188"/>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
    <w:name w:val="标准文件_二级条标题"/>
    <w:next w:val="4"/>
    <w:qFormat/>
    <w:uiPriority w:val="0"/>
    <w:pPr>
      <w:widowControl w:val="0"/>
      <w:numPr>
        <w:ilvl w:val="3"/>
        <w:numId w:val="1"/>
      </w:numPr>
      <w:spacing w:before="50" w:beforeLines="50" w:after="50" w:afterLines="50"/>
      <w:jc w:val="both"/>
      <w:outlineLvl w:val="2"/>
    </w:pPr>
    <w:rPr>
      <w:rFonts w:ascii="黑体" w:hAnsi="Times New Roman" w:eastAsia="黑体" w:cs="Times New Roman"/>
      <w:sz w:val="21"/>
      <w:lang w:val="en-US" w:eastAsia="zh-CN" w:bidi="ar-SA"/>
    </w:rPr>
  </w:style>
  <w:style w:type="paragraph" w:styleId="14">
    <w:name w:val="toc 7"/>
    <w:basedOn w:val="1"/>
    <w:next w:val="1"/>
    <w:autoRedefine/>
    <w:unhideWhenUsed/>
    <w:qFormat/>
    <w:uiPriority w:val="39"/>
    <w:pPr>
      <w:tabs>
        <w:tab w:val="right" w:leader="dot" w:pos="9344"/>
      </w:tabs>
      <w:spacing w:line="300" w:lineRule="exact"/>
      <w:ind w:left="1259"/>
    </w:pPr>
    <w:rPr>
      <w:rFonts w:ascii="宋体"/>
    </w:rPr>
  </w:style>
  <w:style w:type="paragraph" w:styleId="15">
    <w:name w:val="Normal Indent"/>
    <w:basedOn w:val="1"/>
    <w:qFormat/>
    <w:uiPriority w:val="0"/>
    <w:pPr>
      <w:ind w:firstLine="420"/>
    </w:pPr>
  </w:style>
  <w:style w:type="paragraph" w:styleId="16">
    <w:name w:val="annotation text"/>
    <w:basedOn w:val="1"/>
    <w:link w:val="242"/>
    <w:unhideWhenUsed/>
    <w:qFormat/>
    <w:uiPriority w:val="99"/>
    <w:pPr>
      <w:jc w:val="left"/>
    </w:pPr>
  </w:style>
  <w:style w:type="paragraph" w:styleId="17">
    <w:name w:val="Body Text"/>
    <w:basedOn w:val="1"/>
    <w:link w:val="91"/>
    <w:qFormat/>
    <w:uiPriority w:val="0"/>
    <w:pPr>
      <w:spacing w:after="120"/>
    </w:pPr>
  </w:style>
  <w:style w:type="paragraph" w:styleId="18">
    <w:name w:val="toc 5"/>
    <w:basedOn w:val="1"/>
    <w:next w:val="1"/>
    <w:autoRedefine/>
    <w:unhideWhenUsed/>
    <w:qFormat/>
    <w:uiPriority w:val="39"/>
    <w:pPr>
      <w:ind w:left="839"/>
    </w:pPr>
    <w:rPr>
      <w:rFonts w:ascii="宋体"/>
    </w:rPr>
  </w:style>
  <w:style w:type="paragraph" w:styleId="19">
    <w:name w:val="toc 3"/>
    <w:basedOn w:val="1"/>
    <w:next w:val="1"/>
    <w:autoRedefine/>
    <w:unhideWhenUsed/>
    <w:qFormat/>
    <w:uiPriority w:val="39"/>
    <w:pPr>
      <w:spacing w:line="300" w:lineRule="exact"/>
      <w:ind w:left="420"/>
    </w:pPr>
    <w:rPr>
      <w:rFonts w:ascii="宋体"/>
    </w:rPr>
  </w:style>
  <w:style w:type="paragraph" w:styleId="20">
    <w:name w:val="Balloon Text"/>
    <w:basedOn w:val="1"/>
    <w:link w:val="52"/>
    <w:semiHidden/>
    <w:unhideWhenUsed/>
    <w:qFormat/>
    <w:uiPriority w:val="99"/>
    <w:rPr>
      <w:sz w:val="18"/>
      <w:szCs w:val="18"/>
    </w:rPr>
  </w:style>
  <w:style w:type="paragraph" w:styleId="21">
    <w:name w:val="footer"/>
    <w:basedOn w:val="1"/>
    <w:link w:val="51"/>
    <w:qFormat/>
    <w:uiPriority w:val="99"/>
    <w:pPr>
      <w:tabs>
        <w:tab w:val="center" w:pos="4153"/>
        <w:tab w:val="right" w:pos="8306"/>
      </w:tabs>
      <w:adjustRightInd/>
      <w:snapToGrid w:val="0"/>
      <w:spacing w:line="240" w:lineRule="auto"/>
      <w:jc w:val="right"/>
    </w:pPr>
    <w:rPr>
      <w:rFonts w:ascii="宋体"/>
      <w:sz w:val="18"/>
      <w:szCs w:val="18"/>
    </w:rPr>
  </w:style>
  <w:style w:type="paragraph" w:styleId="22">
    <w:name w:val="header"/>
    <w:basedOn w:val="1"/>
    <w:link w:val="50"/>
    <w:qFormat/>
    <w:uiPriority w:val="99"/>
    <w:pPr>
      <w:tabs>
        <w:tab w:val="center" w:pos="4153"/>
        <w:tab w:val="right" w:pos="8306"/>
      </w:tabs>
      <w:adjustRightInd/>
      <w:snapToGrid w:val="0"/>
      <w:jc w:val="center"/>
    </w:pPr>
    <w:rPr>
      <w:sz w:val="18"/>
      <w:szCs w:val="18"/>
    </w:rPr>
  </w:style>
  <w:style w:type="paragraph" w:styleId="23">
    <w:name w:val="toc 1"/>
    <w:basedOn w:val="1"/>
    <w:next w:val="1"/>
    <w:autoRedefine/>
    <w:unhideWhenUsed/>
    <w:qFormat/>
    <w:uiPriority w:val="39"/>
    <w:rPr>
      <w:rFonts w:ascii="宋体"/>
    </w:rPr>
  </w:style>
  <w:style w:type="paragraph" w:styleId="24">
    <w:name w:val="toc 4"/>
    <w:basedOn w:val="1"/>
    <w:next w:val="1"/>
    <w:autoRedefine/>
    <w:unhideWhenUsed/>
    <w:qFormat/>
    <w:uiPriority w:val="39"/>
    <w:pPr>
      <w:tabs>
        <w:tab w:val="right" w:leader="dot" w:pos="9344"/>
      </w:tabs>
      <w:spacing w:line="300" w:lineRule="exact"/>
      <w:ind w:left="629"/>
    </w:pPr>
    <w:rPr>
      <w:rFonts w:ascii="宋体"/>
    </w:rPr>
  </w:style>
  <w:style w:type="paragraph" w:styleId="25">
    <w:name w:val="footnote text"/>
    <w:basedOn w:val="1"/>
    <w:next w:val="1"/>
    <w:link w:val="104"/>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6">
    <w:name w:val="toc 6"/>
    <w:basedOn w:val="1"/>
    <w:next w:val="1"/>
    <w:autoRedefine/>
    <w:unhideWhenUsed/>
    <w:qFormat/>
    <w:uiPriority w:val="39"/>
    <w:pPr>
      <w:spacing w:line="300" w:lineRule="exact"/>
      <w:ind w:left="1049"/>
    </w:pPr>
    <w:rPr>
      <w:rFonts w:ascii="宋体"/>
    </w:rPr>
  </w:style>
  <w:style w:type="paragraph" w:styleId="27">
    <w:name w:val="table of figures"/>
    <w:basedOn w:val="1"/>
    <w:next w:val="1"/>
    <w:semiHidden/>
    <w:qFormat/>
    <w:uiPriority w:val="0"/>
    <w:pPr>
      <w:adjustRightInd/>
      <w:spacing w:line="240" w:lineRule="auto"/>
      <w:jc w:val="left"/>
    </w:pPr>
    <w:rPr>
      <w:szCs w:val="24"/>
    </w:rPr>
  </w:style>
  <w:style w:type="paragraph" w:styleId="28">
    <w:name w:val="toc 2"/>
    <w:basedOn w:val="1"/>
    <w:next w:val="1"/>
    <w:autoRedefine/>
    <w:unhideWhenUsed/>
    <w:qFormat/>
    <w:uiPriority w:val="39"/>
    <w:pPr>
      <w:tabs>
        <w:tab w:val="right" w:leader="dot" w:pos="9344"/>
      </w:tabs>
      <w:spacing w:line="300" w:lineRule="exact"/>
      <w:ind w:left="210"/>
    </w:pPr>
    <w:rPr>
      <w:rFonts w:ascii="宋体"/>
    </w:rPr>
  </w:style>
  <w:style w:type="paragraph" w:styleId="29">
    <w:name w:val="Normal (Web)"/>
    <w:basedOn w:val="1"/>
    <w:semiHidden/>
    <w:unhideWhenUsed/>
    <w:qFormat/>
    <w:uiPriority w:val="99"/>
    <w:rPr>
      <w:rFonts w:ascii="Times New Roman" w:hAnsi="Times New Roman"/>
      <w:sz w:val="24"/>
      <w:szCs w:val="24"/>
    </w:rPr>
  </w:style>
  <w:style w:type="paragraph" w:styleId="30">
    <w:name w:val="Title"/>
    <w:basedOn w:val="1"/>
    <w:link w:val="55"/>
    <w:qFormat/>
    <w:uiPriority w:val="0"/>
    <w:pPr>
      <w:spacing w:before="240" w:after="60"/>
      <w:jc w:val="center"/>
      <w:outlineLvl w:val="0"/>
    </w:pPr>
    <w:rPr>
      <w:rFonts w:ascii="Arial" w:hAnsi="Arial" w:cs="Arial"/>
      <w:b/>
      <w:bCs/>
      <w:sz w:val="32"/>
      <w:szCs w:val="32"/>
    </w:rPr>
  </w:style>
  <w:style w:type="paragraph" w:styleId="31">
    <w:name w:val="annotation subject"/>
    <w:basedOn w:val="16"/>
    <w:next w:val="16"/>
    <w:link w:val="243"/>
    <w:semiHidden/>
    <w:unhideWhenUsed/>
    <w:qFormat/>
    <w:uiPriority w:val="99"/>
    <w:rPr>
      <w:b/>
      <w:bCs/>
    </w:rPr>
  </w:style>
  <w:style w:type="table" w:styleId="33">
    <w:name w:val="Table Grid"/>
    <w:basedOn w:val="3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22"/>
    <w:rPr>
      <w:b/>
      <w:bCs/>
    </w:rPr>
  </w:style>
  <w:style w:type="character" w:styleId="36">
    <w:name w:val="page number"/>
    <w:qFormat/>
    <w:uiPriority w:val="0"/>
    <w:rPr>
      <w:rFonts w:ascii="宋体" w:hAnsi="Times New Roman" w:eastAsia="宋体"/>
      <w:sz w:val="18"/>
    </w:rPr>
  </w:style>
  <w:style w:type="character" w:styleId="37">
    <w:name w:val="Emphasis"/>
    <w:qFormat/>
    <w:uiPriority w:val="20"/>
    <w:rPr>
      <w:i/>
      <w:iCs/>
    </w:rPr>
  </w:style>
  <w:style w:type="character" w:styleId="38">
    <w:name w:val="Hyperlink"/>
    <w:qFormat/>
    <w:uiPriority w:val="99"/>
    <w:rPr>
      <w:rFonts w:ascii="宋体" w:hAnsi="Times New Roman" w:eastAsia="宋体"/>
      <w:color w:val="auto"/>
      <w:spacing w:val="0"/>
      <w:w w:val="100"/>
      <w:position w:val="0"/>
      <w:sz w:val="21"/>
      <w:u w:val="none"/>
      <w:vertAlign w:val="baseline"/>
    </w:rPr>
  </w:style>
  <w:style w:type="character" w:styleId="39">
    <w:name w:val="annotation reference"/>
    <w:basedOn w:val="34"/>
    <w:semiHidden/>
    <w:unhideWhenUsed/>
    <w:qFormat/>
    <w:uiPriority w:val="99"/>
    <w:rPr>
      <w:sz w:val="21"/>
      <w:szCs w:val="21"/>
    </w:rPr>
  </w:style>
  <w:style w:type="character" w:styleId="40">
    <w:name w:val="footnote reference"/>
    <w:semiHidden/>
    <w:qFormat/>
    <w:uiPriority w:val="0"/>
    <w:rPr>
      <w:rFonts w:ascii="宋体" w:hAnsi="宋体" w:eastAsia="宋体" w:cs="Times New Roman"/>
      <w:spacing w:val="0"/>
      <w:sz w:val="18"/>
      <w:vertAlign w:val="superscript"/>
    </w:rPr>
  </w:style>
  <w:style w:type="character" w:customStyle="1" w:styleId="41">
    <w:name w:val="标题 1 字符"/>
    <w:link w:val="2"/>
    <w:qFormat/>
    <w:uiPriority w:val="0"/>
    <w:rPr>
      <w:rFonts w:ascii="黑体" w:hAnsi="Times New Roman" w:eastAsia="黑体"/>
      <w:sz w:val="21"/>
    </w:rPr>
  </w:style>
  <w:style w:type="character" w:customStyle="1" w:styleId="42">
    <w:name w:val="标题 2 字符"/>
    <w:link w:val="5"/>
    <w:qFormat/>
    <w:uiPriority w:val="0"/>
    <w:rPr>
      <w:rFonts w:ascii="黑体" w:hAnsi="Times New Roman" w:eastAsia="黑体"/>
      <w:sz w:val="21"/>
    </w:rPr>
  </w:style>
  <w:style w:type="character" w:customStyle="1" w:styleId="43">
    <w:name w:val="标题 3 字符"/>
    <w:link w:val="7"/>
    <w:qFormat/>
    <w:uiPriority w:val="0"/>
    <w:rPr>
      <w:b/>
      <w:bCs/>
      <w:kern w:val="2"/>
      <w:sz w:val="32"/>
      <w:szCs w:val="32"/>
    </w:rPr>
  </w:style>
  <w:style w:type="character" w:customStyle="1" w:styleId="44">
    <w:name w:val="标题 4 字符"/>
    <w:link w:val="8"/>
    <w:qFormat/>
    <w:uiPriority w:val="0"/>
    <w:rPr>
      <w:rFonts w:ascii="Arial" w:hAnsi="Arial" w:eastAsia="黑体"/>
      <w:b/>
      <w:bCs/>
      <w:kern w:val="2"/>
      <w:sz w:val="28"/>
      <w:szCs w:val="28"/>
    </w:rPr>
  </w:style>
  <w:style w:type="character" w:customStyle="1" w:styleId="45">
    <w:name w:val="标题 5 字符"/>
    <w:link w:val="9"/>
    <w:qFormat/>
    <w:uiPriority w:val="0"/>
    <w:rPr>
      <w:b/>
      <w:bCs/>
      <w:kern w:val="2"/>
      <w:sz w:val="28"/>
      <w:szCs w:val="28"/>
    </w:rPr>
  </w:style>
  <w:style w:type="character" w:customStyle="1" w:styleId="46">
    <w:name w:val="标题 6 字符"/>
    <w:link w:val="10"/>
    <w:qFormat/>
    <w:uiPriority w:val="0"/>
    <w:rPr>
      <w:rFonts w:ascii="Arial" w:hAnsi="Arial" w:eastAsia="黑体"/>
      <w:b/>
      <w:bCs/>
      <w:kern w:val="2"/>
      <w:sz w:val="24"/>
      <w:szCs w:val="24"/>
    </w:rPr>
  </w:style>
  <w:style w:type="character" w:customStyle="1" w:styleId="47">
    <w:name w:val="标题 7 字符"/>
    <w:link w:val="11"/>
    <w:qFormat/>
    <w:uiPriority w:val="0"/>
    <w:rPr>
      <w:b/>
      <w:bCs/>
      <w:kern w:val="2"/>
      <w:sz w:val="24"/>
      <w:szCs w:val="24"/>
    </w:rPr>
  </w:style>
  <w:style w:type="character" w:customStyle="1" w:styleId="48">
    <w:name w:val="标题 8 字符"/>
    <w:link w:val="12"/>
    <w:qFormat/>
    <w:uiPriority w:val="0"/>
    <w:rPr>
      <w:rFonts w:ascii="Arial" w:hAnsi="Arial" w:eastAsia="黑体"/>
      <w:kern w:val="2"/>
      <w:sz w:val="24"/>
      <w:szCs w:val="24"/>
    </w:rPr>
  </w:style>
  <w:style w:type="character" w:customStyle="1" w:styleId="49">
    <w:name w:val="标题 9 字符"/>
    <w:link w:val="13"/>
    <w:qFormat/>
    <w:uiPriority w:val="0"/>
    <w:rPr>
      <w:rFonts w:ascii="Arial" w:hAnsi="Arial" w:eastAsia="黑体"/>
      <w:kern w:val="2"/>
      <w:sz w:val="21"/>
      <w:szCs w:val="21"/>
    </w:rPr>
  </w:style>
  <w:style w:type="character" w:customStyle="1" w:styleId="50">
    <w:name w:val="页眉 字符"/>
    <w:link w:val="22"/>
    <w:qFormat/>
    <w:uiPriority w:val="99"/>
    <w:rPr>
      <w:kern w:val="2"/>
      <w:sz w:val="18"/>
      <w:szCs w:val="18"/>
    </w:rPr>
  </w:style>
  <w:style w:type="character" w:customStyle="1" w:styleId="51">
    <w:name w:val="页脚 字符"/>
    <w:link w:val="21"/>
    <w:qFormat/>
    <w:uiPriority w:val="99"/>
    <w:rPr>
      <w:rFonts w:ascii="宋体"/>
      <w:kern w:val="2"/>
      <w:sz w:val="18"/>
      <w:szCs w:val="18"/>
    </w:rPr>
  </w:style>
  <w:style w:type="character" w:customStyle="1" w:styleId="52">
    <w:name w:val="批注框文本 字符"/>
    <w:link w:val="20"/>
    <w:semiHidden/>
    <w:qFormat/>
    <w:uiPriority w:val="99"/>
    <w:rPr>
      <w:kern w:val="2"/>
      <w:sz w:val="18"/>
      <w:szCs w:val="18"/>
    </w:rPr>
  </w:style>
  <w:style w:type="paragraph" w:styleId="53">
    <w:name w:val="Quote"/>
    <w:basedOn w:val="1"/>
    <w:next w:val="1"/>
    <w:link w:val="54"/>
    <w:qFormat/>
    <w:uiPriority w:val="29"/>
    <w:rPr>
      <w:i/>
      <w:iCs/>
      <w:color w:val="000000"/>
    </w:rPr>
  </w:style>
  <w:style w:type="character" w:customStyle="1" w:styleId="54">
    <w:name w:val="引用 字符"/>
    <w:link w:val="53"/>
    <w:qFormat/>
    <w:uiPriority w:val="29"/>
    <w:rPr>
      <w:i/>
      <w:iCs/>
      <w:color w:val="000000"/>
      <w:kern w:val="2"/>
      <w:sz w:val="21"/>
      <w:szCs w:val="21"/>
    </w:rPr>
  </w:style>
  <w:style w:type="character" w:customStyle="1" w:styleId="55">
    <w:name w:val="标题 字符"/>
    <w:link w:val="30"/>
    <w:qFormat/>
    <w:uiPriority w:val="0"/>
    <w:rPr>
      <w:rFonts w:ascii="Arial" w:hAnsi="Arial" w:cs="Arial"/>
      <w:b/>
      <w:bCs/>
      <w:kern w:val="2"/>
      <w:sz w:val="32"/>
      <w:szCs w:val="32"/>
    </w:rPr>
  </w:style>
  <w:style w:type="paragraph" w:customStyle="1" w:styleId="56">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7">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8">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9">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60">
    <w:name w:val="标准书眉一"/>
    <w:qFormat/>
    <w:uiPriority w:val="0"/>
    <w:pPr>
      <w:jc w:val="both"/>
    </w:pPr>
    <w:rPr>
      <w:rFonts w:ascii="Times New Roman" w:hAnsi="Times New Roman" w:eastAsia="宋体" w:cs="Times New Roman"/>
      <w:lang w:val="en-US" w:eastAsia="zh-CN" w:bidi="ar-SA"/>
    </w:rPr>
  </w:style>
  <w:style w:type="paragraph" w:customStyle="1" w:styleId="61">
    <w:name w:val="标准文件_ICS"/>
    <w:basedOn w:val="1"/>
    <w:qFormat/>
    <w:uiPriority w:val="0"/>
    <w:pPr>
      <w:spacing w:line="0" w:lineRule="atLeast"/>
    </w:pPr>
    <w:rPr>
      <w:rFonts w:ascii="黑体" w:hAnsi="宋体" w:eastAsia="黑体"/>
    </w:rPr>
  </w:style>
  <w:style w:type="paragraph" w:customStyle="1" w:styleId="62">
    <w:name w:val="标准文件_标准正文"/>
    <w:basedOn w:val="1"/>
    <w:next w:val="4"/>
    <w:qFormat/>
    <w:uiPriority w:val="0"/>
    <w:pPr>
      <w:snapToGrid w:val="0"/>
      <w:ind w:firstLine="200" w:firstLineChars="200"/>
    </w:pPr>
    <w:rPr>
      <w:kern w:val="0"/>
    </w:rPr>
  </w:style>
  <w:style w:type="paragraph" w:customStyle="1" w:styleId="63">
    <w:name w:val="标准文件_版本"/>
    <w:basedOn w:val="62"/>
    <w:qFormat/>
    <w:uiPriority w:val="0"/>
    <w:pPr>
      <w:adjustRightInd/>
      <w:snapToGrid/>
      <w:ind w:firstLine="0" w:firstLineChars="0"/>
    </w:pPr>
    <w:rPr>
      <w:rFonts w:ascii="宋体" w:hAnsi="宋体"/>
      <w:kern w:val="2"/>
    </w:rPr>
  </w:style>
  <w:style w:type="paragraph" w:customStyle="1" w:styleId="64">
    <w:name w:val="标准文件_标准部门"/>
    <w:basedOn w:val="1"/>
    <w:qFormat/>
    <w:uiPriority w:val="0"/>
    <w:pPr>
      <w:jc w:val="center"/>
    </w:pPr>
    <w:rPr>
      <w:rFonts w:ascii="黑体" w:eastAsia="黑体"/>
      <w:kern w:val="0"/>
      <w:sz w:val="44"/>
    </w:rPr>
  </w:style>
  <w:style w:type="paragraph" w:customStyle="1" w:styleId="65">
    <w:name w:val="标准文件_标准代替"/>
    <w:basedOn w:val="1"/>
    <w:next w:val="1"/>
    <w:qFormat/>
    <w:uiPriority w:val="0"/>
    <w:pPr>
      <w:spacing w:line="310" w:lineRule="exact"/>
      <w:jc w:val="right"/>
    </w:pPr>
    <w:rPr>
      <w:rFonts w:ascii="宋体" w:hAnsi="宋体"/>
      <w:kern w:val="0"/>
    </w:rPr>
  </w:style>
  <w:style w:type="paragraph" w:customStyle="1" w:styleId="66">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7">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8">
    <w:name w:val="标准文件_页眉偶数页"/>
    <w:basedOn w:val="67"/>
    <w:next w:val="1"/>
    <w:qFormat/>
    <w:uiPriority w:val="0"/>
    <w:pPr>
      <w:jc w:val="left"/>
    </w:pPr>
  </w:style>
  <w:style w:type="paragraph" w:customStyle="1" w:styleId="69">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70">
    <w:name w:val="标准文件_参考文献条目"/>
    <w:qFormat/>
    <w:uiPriority w:val="0"/>
    <w:pPr>
      <w:numPr>
        <w:ilvl w:val="0"/>
        <w:numId w:val="2"/>
      </w:numPr>
    </w:pPr>
    <w:rPr>
      <w:rFonts w:ascii="宋体" w:hAnsi="Times New Roman" w:eastAsia="宋体" w:cs="Times New Roman"/>
      <w:lang w:val="en-US" w:eastAsia="zh-CN" w:bidi="ar-SA"/>
    </w:rPr>
  </w:style>
  <w:style w:type="character" w:customStyle="1" w:styleId="71">
    <w:name w:val="标准文件_发布"/>
    <w:qFormat/>
    <w:uiPriority w:val="0"/>
    <w:rPr>
      <w:rFonts w:ascii="黑体" w:eastAsia="黑体"/>
      <w:spacing w:val="0"/>
      <w:w w:val="100"/>
      <w:position w:val="3"/>
      <w:sz w:val="28"/>
    </w:rPr>
  </w:style>
  <w:style w:type="paragraph" w:customStyle="1" w:styleId="72">
    <w:name w:val="标准文件_方框数字列项"/>
    <w:basedOn w:val="4"/>
    <w:qFormat/>
    <w:uiPriority w:val="0"/>
    <w:pPr>
      <w:numPr>
        <w:ilvl w:val="0"/>
        <w:numId w:val="3"/>
      </w:numPr>
      <w:ind w:firstLine="0" w:firstLineChars="0"/>
    </w:pPr>
  </w:style>
  <w:style w:type="paragraph" w:customStyle="1" w:styleId="73">
    <w:name w:val="标准文件_封面标准编号"/>
    <w:basedOn w:val="1"/>
    <w:next w:val="65"/>
    <w:qFormat/>
    <w:uiPriority w:val="0"/>
    <w:pPr>
      <w:spacing w:line="310" w:lineRule="exact"/>
      <w:jc w:val="right"/>
    </w:pPr>
    <w:rPr>
      <w:rFonts w:ascii="黑体" w:eastAsia="黑体"/>
      <w:kern w:val="0"/>
      <w:sz w:val="28"/>
    </w:rPr>
  </w:style>
  <w:style w:type="paragraph" w:customStyle="1" w:styleId="74">
    <w:name w:val="标准文件_封面标准分类号"/>
    <w:basedOn w:val="1"/>
    <w:qFormat/>
    <w:uiPriority w:val="0"/>
    <w:rPr>
      <w:rFonts w:ascii="黑体" w:eastAsia="黑体"/>
      <w:b/>
      <w:kern w:val="0"/>
      <w:sz w:val="28"/>
    </w:rPr>
  </w:style>
  <w:style w:type="paragraph" w:customStyle="1" w:styleId="75">
    <w:name w:val="标准文件_封面标准名称"/>
    <w:basedOn w:val="1"/>
    <w:qFormat/>
    <w:uiPriority w:val="0"/>
    <w:pPr>
      <w:spacing w:line="240" w:lineRule="auto"/>
      <w:jc w:val="center"/>
    </w:pPr>
    <w:rPr>
      <w:rFonts w:ascii="黑体" w:eastAsia="黑体"/>
      <w:kern w:val="0"/>
      <w:sz w:val="52"/>
    </w:rPr>
  </w:style>
  <w:style w:type="paragraph" w:customStyle="1" w:styleId="76">
    <w:name w:val="标准文件_封面标准英文名称"/>
    <w:basedOn w:val="1"/>
    <w:qFormat/>
    <w:uiPriority w:val="0"/>
    <w:pPr>
      <w:spacing w:line="240" w:lineRule="auto"/>
      <w:jc w:val="center"/>
    </w:pPr>
    <w:rPr>
      <w:rFonts w:ascii="黑体" w:eastAsia="黑体"/>
      <w:b/>
      <w:sz w:val="28"/>
    </w:rPr>
  </w:style>
  <w:style w:type="paragraph" w:customStyle="1" w:styleId="77">
    <w:name w:val="标准文件_封面发布日期"/>
    <w:basedOn w:val="1"/>
    <w:qFormat/>
    <w:uiPriority w:val="0"/>
    <w:pPr>
      <w:spacing w:line="310" w:lineRule="exact"/>
    </w:pPr>
    <w:rPr>
      <w:rFonts w:ascii="黑体" w:eastAsia="黑体"/>
      <w:kern w:val="0"/>
      <w:sz w:val="28"/>
    </w:rPr>
  </w:style>
  <w:style w:type="paragraph" w:customStyle="1" w:styleId="78">
    <w:name w:val="标准文件_封面密级"/>
    <w:basedOn w:val="1"/>
    <w:qFormat/>
    <w:uiPriority w:val="0"/>
    <w:rPr>
      <w:rFonts w:eastAsia="黑体"/>
      <w:sz w:val="32"/>
    </w:rPr>
  </w:style>
  <w:style w:type="paragraph" w:customStyle="1" w:styleId="79">
    <w:name w:val="标准文件_封面实施日期"/>
    <w:basedOn w:val="1"/>
    <w:qFormat/>
    <w:uiPriority w:val="0"/>
    <w:pPr>
      <w:spacing w:line="310" w:lineRule="exact"/>
      <w:jc w:val="right"/>
    </w:pPr>
    <w:rPr>
      <w:rFonts w:ascii="黑体" w:eastAsia="黑体"/>
      <w:sz w:val="28"/>
    </w:rPr>
  </w:style>
  <w:style w:type="paragraph" w:customStyle="1" w:styleId="80">
    <w:name w:val="标准文件_封面抬头"/>
    <w:basedOn w:val="4"/>
    <w:qFormat/>
    <w:uiPriority w:val="0"/>
    <w:pPr>
      <w:adjustRightInd w:val="0"/>
      <w:spacing w:line="800" w:lineRule="exact"/>
      <w:ind w:firstLine="0" w:firstLineChars="0"/>
      <w:jc w:val="distribute"/>
    </w:pPr>
    <w:rPr>
      <w:rFonts w:ascii="黑体" w:eastAsia="黑体"/>
      <w:b/>
      <w:sz w:val="64"/>
    </w:rPr>
  </w:style>
  <w:style w:type="paragraph" w:customStyle="1" w:styleId="81">
    <w:name w:val="标准文件_附录标识"/>
    <w:next w:val="4"/>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2">
    <w:name w:val="标准文件_附录表标题"/>
    <w:next w:val="4"/>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3">
    <w:name w:val="标准文件_附录一级条标题"/>
    <w:next w:val="4"/>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4">
    <w:name w:val="标准文件_附录二级条标题"/>
    <w:basedOn w:val="83"/>
    <w:next w:val="4"/>
    <w:qFormat/>
    <w:uiPriority w:val="0"/>
    <w:pPr>
      <w:widowControl/>
      <w:numPr>
        <w:ilvl w:val="2"/>
      </w:numPr>
      <w:wordWrap w:val="0"/>
      <w:overflowPunct w:val="0"/>
      <w:autoSpaceDE w:val="0"/>
      <w:autoSpaceDN w:val="0"/>
      <w:textAlignment w:val="baseline"/>
      <w:outlineLvl w:val="3"/>
    </w:pPr>
  </w:style>
  <w:style w:type="paragraph" w:customStyle="1" w:styleId="85">
    <w:name w:val="标准文件_附录公式"/>
    <w:basedOn w:val="62"/>
    <w:next w:val="62"/>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6">
    <w:name w:val="标准文件_附录三级条标题"/>
    <w:next w:val="4"/>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7">
    <w:name w:val="标准文件_附录四级条标题"/>
    <w:next w:val="4"/>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8">
    <w:name w:val="标准文件_附录图标题"/>
    <w:next w:val="4"/>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9">
    <w:name w:val="标准文件_附录五级条标题"/>
    <w:next w:val="4"/>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90">
    <w:name w:val="标准文件_附录英文标识"/>
    <w:next w:val="17"/>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1">
    <w:name w:val="正文文本 字符"/>
    <w:link w:val="17"/>
    <w:qFormat/>
    <w:uiPriority w:val="0"/>
    <w:rPr>
      <w:kern w:val="2"/>
      <w:sz w:val="21"/>
      <w:szCs w:val="21"/>
    </w:rPr>
  </w:style>
  <w:style w:type="paragraph" w:customStyle="1" w:styleId="92">
    <w:name w:val="标准文件_附录章标题"/>
    <w:next w:val="4"/>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3">
    <w:name w:val="标准文件_公式后的破折号"/>
    <w:basedOn w:val="4"/>
    <w:next w:val="4"/>
    <w:qFormat/>
    <w:uiPriority w:val="0"/>
    <w:pPr>
      <w:ind w:left="488" w:leftChars="200" w:hanging="289" w:hangingChars="290"/>
    </w:pPr>
  </w:style>
  <w:style w:type="paragraph" w:customStyle="1" w:styleId="94">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5">
    <w:name w:val="标准文件_目次、标准名称标题"/>
    <w:basedOn w:val="94"/>
    <w:next w:val="4"/>
    <w:qFormat/>
    <w:uiPriority w:val="0"/>
    <w:pPr>
      <w:spacing w:line="460" w:lineRule="exact"/>
      <w:ind w:left="0" w:firstLine="0"/>
    </w:pPr>
  </w:style>
  <w:style w:type="paragraph" w:customStyle="1" w:styleId="96">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7">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8">
    <w:name w:val="标准文件_破折号列项（二级）"/>
    <w:basedOn w:val="97"/>
    <w:qFormat/>
    <w:uiPriority w:val="0"/>
    <w:pPr>
      <w:numPr>
        <w:numId w:val="10"/>
      </w:numPr>
    </w:pPr>
  </w:style>
  <w:style w:type="paragraph" w:customStyle="1" w:styleId="99">
    <w:name w:val="标准文件_三级条标题"/>
    <w:basedOn w:val="6"/>
    <w:next w:val="4"/>
    <w:qFormat/>
    <w:uiPriority w:val="0"/>
    <w:pPr>
      <w:widowControl/>
      <w:numPr>
        <w:ilvl w:val="4"/>
      </w:numPr>
      <w:outlineLvl w:val="3"/>
    </w:pPr>
  </w:style>
  <w:style w:type="character" w:customStyle="1" w:styleId="100">
    <w:name w:val="不明显参考1"/>
    <w:qFormat/>
    <w:uiPriority w:val="31"/>
    <w:rPr>
      <w:smallCaps/>
      <w:color w:val="C0504D"/>
      <w:u w:val="single"/>
    </w:rPr>
  </w:style>
  <w:style w:type="paragraph" w:customStyle="1" w:styleId="101">
    <w:name w:val="标准文件_示例后续"/>
    <w:basedOn w:val="1"/>
    <w:qFormat/>
    <w:uiPriority w:val="0"/>
    <w:pPr>
      <w:adjustRightInd/>
      <w:spacing w:line="240" w:lineRule="auto"/>
      <w:ind w:firstLine="200" w:firstLineChars="200"/>
    </w:pPr>
    <w:rPr>
      <w:sz w:val="18"/>
      <w:szCs w:val="24"/>
    </w:rPr>
  </w:style>
  <w:style w:type="paragraph" w:customStyle="1" w:styleId="102">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3">
    <w:name w:val="标准文件_四级条标题"/>
    <w:next w:val="4"/>
    <w:qFormat/>
    <w:uiPriority w:val="0"/>
    <w:pPr>
      <w:widowControl w:val="0"/>
      <w:numPr>
        <w:ilvl w:val="5"/>
        <w:numId w:val="1"/>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4">
    <w:name w:val="脚注文本 字符"/>
    <w:link w:val="25"/>
    <w:semiHidden/>
    <w:qFormat/>
    <w:uiPriority w:val="0"/>
    <w:rPr>
      <w:rFonts w:ascii="宋体"/>
      <w:kern w:val="2"/>
      <w:sz w:val="18"/>
      <w:szCs w:val="18"/>
    </w:rPr>
  </w:style>
  <w:style w:type="paragraph" w:customStyle="1" w:styleId="105">
    <w:name w:val="标准文件_条文脚注"/>
    <w:basedOn w:val="25"/>
    <w:qFormat/>
    <w:uiPriority w:val="0"/>
    <w:pPr>
      <w:adjustRightInd w:val="0"/>
      <w:spacing w:line="240" w:lineRule="auto"/>
      <w:ind w:left="0" w:leftChars="0" w:firstLine="200" w:firstLineChars="200"/>
      <w:jc w:val="both"/>
    </w:pPr>
    <w:rPr>
      <w:rFonts w:hAnsi="宋体"/>
    </w:rPr>
  </w:style>
  <w:style w:type="paragraph" w:customStyle="1" w:styleId="106">
    <w:name w:val="标准文件_图表脚注"/>
    <w:basedOn w:val="1"/>
    <w:next w:val="4"/>
    <w:qFormat/>
    <w:uiPriority w:val="0"/>
    <w:pPr>
      <w:numPr>
        <w:ilvl w:val="0"/>
        <w:numId w:val="12"/>
      </w:numPr>
      <w:spacing w:line="240" w:lineRule="auto"/>
      <w:jc w:val="left"/>
    </w:pPr>
    <w:rPr>
      <w:rFonts w:ascii="宋体" w:hAnsi="宋体"/>
      <w:sz w:val="18"/>
    </w:rPr>
  </w:style>
  <w:style w:type="character" w:customStyle="1" w:styleId="107">
    <w:name w:val="标准文件_图表脚注内容"/>
    <w:qFormat/>
    <w:uiPriority w:val="0"/>
    <w:rPr>
      <w:rFonts w:ascii="宋体" w:hAnsi="宋体" w:eastAsia="宋体" w:cs="Times New Roman"/>
      <w:spacing w:val="0"/>
      <w:sz w:val="18"/>
      <w:vertAlign w:val="superscript"/>
    </w:rPr>
  </w:style>
  <w:style w:type="paragraph" w:customStyle="1" w:styleId="108">
    <w:name w:val="标准文件_五级条标题"/>
    <w:next w:val="4"/>
    <w:qFormat/>
    <w:uiPriority w:val="0"/>
    <w:pPr>
      <w:widowControl w:val="0"/>
      <w:numPr>
        <w:ilvl w:val="6"/>
        <w:numId w:val="1"/>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9">
    <w:name w:val="标准文件_一级条标题"/>
    <w:basedOn w:val="3"/>
    <w:next w:val="4"/>
    <w:qFormat/>
    <w:uiPriority w:val="0"/>
    <w:pPr>
      <w:numPr>
        <w:ilvl w:val="2"/>
      </w:numPr>
      <w:spacing w:before="50" w:beforeLines="50" w:after="50" w:afterLines="50"/>
      <w:outlineLvl w:val="1"/>
    </w:pPr>
  </w:style>
  <w:style w:type="paragraph" w:customStyle="1" w:styleId="110">
    <w:name w:val="标准文件_一致程度"/>
    <w:basedOn w:val="1"/>
    <w:qFormat/>
    <w:uiPriority w:val="0"/>
    <w:pPr>
      <w:spacing w:line="440" w:lineRule="exact"/>
      <w:jc w:val="center"/>
    </w:pPr>
    <w:rPr>
      <w:sz w:val="28"/>
    </w:rPr>
  </w:style>
  <w:style w:type="paragraph" w:customStyle="1" w:styleId="111">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2">
    <w:name w:val="标准文件_英文图表脚注"/>
    <w:basedOn w:val="62"/>
    <w:qFormat/>
    <w:uiPriority w:val="0"/>
    <w:pPr>
      <w:widowControl/>
      <w:adjustRightInd/>
      <w:snapToGrid/>
      <w:spacing w:line="240" w:lineRule="auto"/>
      <w:ind w:left="79" w:hanging="79" w:hangingChars="80"/>
    </w:pPr>
    <w:rPr>
      <w:rFonts w:ascii="宋体" w:hAnsi="宋体"/>
    </w:rPr>
  </w:style>
  <w:style w:type="paragraph" w:customStyle="1" w:styleId="113">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4">
    <w:name w:val="标准文件_英文注："/>
    <w:basedOn w:val="1"/>
    <w:next w:val="4"/>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5">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6">
    <w:name w:val="标准文件_正文表标题"/>
    <w:next w:val="4"/>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7">
    <w:name w:val="标准文件_正文公式"/>
    <w:basedOn w:val="1"/>
    <w:next w:val="62"/>
    <w:qFormat/>
    <w:uiPriority w:val="0"/>
    <w:pPr>
      <w:tabs>
        <w:tab w:val="center" w:pos="4678"/>
        <w:tab w:val="right" w:leader="middleDot" w:pos="9356"/>
      </w:tabs>
      <w:spacing w:line="240" w:lineRule="auto"/>
    </w:pPr>
    <w:rPr>
      <w:rFonts w:ascii="宋体" w:hAnsi="宋体"/>
    </w:rPr>
  </w:style>
  <w:style w:type="paragraph" w:customStyle="1" w:styleId="118">
    <w:name w:val="标准文件_正文图标题"/>
    <w:next w:val="4"/>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9">
    <w:name w:val="标准文件_正文英文表标题"/>
    <w:next w:val="4"/>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0">
    <w:name w:val="标准文件_正文英文图标题"/>
    <w:next w:val="4"/>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1">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22">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3">
    <w:name w:val="发布部门"/>
    <w:next w:val="4"/>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4">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5">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6">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7">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8">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9">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0">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1">
    <w:name w:val="封面正文"/>
    <w:qFormat/>
    <w:uiPriority w:val="0"/>
    <w:pPr>
      <w:jc w:val="both"/>
    </w:pPr>
    <w:rPr>
      <w:rFonts w:ascii="Times New Roman" w:hAnsi="Times New Roman" w:eastAsia="宋体" w:cs="Times New Roman"/>
      <w:lang w:val="en-US" w:eastAsia="zh-CN" w:bidi="ar-SA"/>
    </w:rPr>
  </w:style>
  <w:style w:type="paragraph" w:customStyle="1" w:styleId="132">
    <w:name w:val="附录二级无标题条"/>
    <w:basedOn w:val="1"/>
    <w:next w:val="4"/>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3">
    <w:name w:val="附录三级无标题条"/>
    <w:basedOn w:val="132"/>
    <w:next w:val="4"/>
    <w:qFormat/>
    <w:uiPriority w:val="0"/>
    <w:pPr>
      <w:outlineLvl w:val="4"/>
    </w:pPr>
  </w:style>
  <w:style w:type="paragraph" w:customStyle="1" w:styleId="134">
    <w:name w:val="附录四级无标题条"/>
    <w:basedOn w:val="133"/>
    <w:next w:val="4"/>
    <w:qFormat/>
    <w:uiPriority w:val="0"/>
    <w:pPr>
      <w:outlineLvl w:val="5"/>
    </w:pPr>
  </w:style>
  <w:style w:type="paragraph" w:customStyle="1" w:styleId="135">
    <w:name w:val="附录图"/>
    <w:next w:val="4"/>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6">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7">
    <w:name w:val="附录五级无标题条"/>
    <w:basedOn w:val="134"/>
    <w:next w:val="4"/>
    <w:qFormat/>
    <w:uiPriority w:val="0"/>
    <w:pPr>
      <w:outlineLvl w:val="6"/>
    </w:pPr>
  </w:style>
  <w:style w:type="paragraph" w:customStyle="1" w:styleId="138">
    <w:name w:val="附录性质"/>
    <w:basedOn w:val="1"/>
    <w:qFormat/>
    <w:uiPriority w:val="0"/>
    <w:pPr>
      <w:widowControl/>
      <w:adjustRightInd/>
      <w:jc w:val="center"/>
    </w:pPr>
    <w:rPr>
      <w:rFonts w:ascii="黑体" w:eastAsia="黑体"/>
    </w:rPr>
  </w:style>
  <w:style w:type="paragraph" w:customStyle="1" w:styleId="139">
    <w:name w:val="附录一级无标题条"/>
    <w:basedOn w:val="92"/>
    <w:next w:val="4"/>
    <w:qFormat/>
    <w:uiPriority w:val="0"/>
    <w:pPr>
      <w:autoSpaceDN w:val="0"/>
      <w:outlineLvl w:val="2"/>
    </w:pPr>
    <w:rPr>
      <w:rFonts w:ascii="宋体" w:hAnsi="宋体" w:eastAsia="宋体"/>
    </w:rPr>
  </w:style>
  <w:style w:type="character" w:customStyle="1" w:styleId="140">
    <w:name w:val="个人答复风格"/>
    <w:qFormat/>
    <w:uiPriority w:val="0"/>
    <w:rPr>
      <w:rFonts w:ascii="Arial" w:hAnsi="Arial" w:eastAsia="宋体" w:cs="Arial"/>
      <w:color w:val="auto"/>
      <w:spacing w:val="0"/>
      <w:sz w:val="20"/>
    </w:rPr>
  </w:style>
  <w:style w:type="character" w:customStyle="1" w:styleId="141">
    <w:name w:val="个人撰写风格"/>
    <w:qFormat/>
    <w:uiPriority w:val="0"/>
    <w:rPr>
      <w:rFonts w:ascii="Arial" w:hAnsi="Arial" w:eastAsia="宋体" w:cs="Arial"/>
      <w:color w:val="auto"/>
      <w:spacing w:val="0"/>
      <w:sz w:val="20"/>
    </w:rPr>
  </w:style>
  <w:style w:type="paragraph" w:customStyle="1" w:styleId="142">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3">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4">
    <w:name w:val="列项·"/>
    <w:basedOn w:val="4"/>
    <w:qFormat/>
    <w:uiPriority w:val="0"/>
    <w:pPr>
      <w:tabs>
        <w:tab w:val="left" w:pos="840"/>
      </w:tabs>
    </w:pPr>
  </w:style>
  <w:style w:type="paragraph" w:customStyle="1" w:styleId="145">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6">
    <w:name w:val="目录 21"/>
    <w:basedOn w:val="1"/>
    <w:next w:val="1"/>
    <w:autoRedefine/>
    <w:semiHidden/>
    <w:qFormat/>
    <w:uiPriority w:val="0"/>
    <w:pPr>
      <w:adjustRightInd/>
      <w:spacing w:line="240" w:lineRule="auto"/>
      <w:jc w:val="left"/>
    </w:pPr>
    <w:rPr>
      <w:bCs/>
      <w:iCs/>
    </w:rPr>
  </w:style>
  <w:style w:type="paragraph" w:customStyle="1" w:styleId="147">
    <w:name w:val="目录 31"/>
    <w:basedOn w:val="1"/>
    <w:next w:val="1"/>
    <w:autoRedefine/>
    <w:semiHidden/>
    <w:qFormat/>
    <w:uiPriority w:val="0"/>
    <w:pPr>
      <w:spacing w:line="240" w:lineRule="auto"/>
    </w:pPr>
    <w:rPr>
      <w:rFonts w:ascii="宋体" w:hAnsi="宋体"/>
      <w:iCs/>
    </w:rPr>
  </w:style>
  <w:style w:type="paragraph" w:customStyle="1" w:styleId="148">
    <w:name w:val="目录 41"/>
    <w:basedOn w:val="1"/>
    <w:next w:val="1"/>
    <w:autoRedefine/>
    <w:semiHidden/>
    <w:qFormat/>
    <w:uiPriority w:val="0"/>
    <w:pPr>
      <w:adjustRightInd/>
      <w:spacing w:line="240" w:lineRule="auto"/>
      <w:jc w:val="left"/>
    </w:pPr>
  </w:style>
  <w:style w:type="paragraph" w:customStyle="1" w:styleId="149">
    <w:name w:val="目录 51"/>
    <w:basedOn w:val="1"/>
    <w:next w:val="1"/>
    <w:autoRedefine/>
    <w:semiHidden/>
    <w:qFormat/>
    <w:uiPriority w:val="0"/>
    <w:pPr>
      <w:spacing w:line="240" w:lineRule="auto"/>
    </w:pPr>
    <w:rPr>
      <w:rFonts w:ascii="宋体" w:hAnsi="宋体"/>
    </w:rPr>
  </w:style>
  <w:style w:type="paragraph" w:customStyle="1" w:styleId="150">
    <w:name w:val="目录 61"/>
    <w:basedOn w:val="1"/>
    <w:next w:val="1"/>
    <w:autoRedefine/>
    <w:semiHidden/>
    <w:qFormat/>
    <w:uiPriority w:val="0"/>
    <w:pPr>
      <w:adjustRightInd/>
      <w:spacing w:line="240" w:lineRule="auto"/>
      <w:jc w:val="left"/>
    </w:pPr>
  </w:style>
  <w:style w:type="paragraph" w:customStyle="1" w:styleId="151">
    <w:name w:val="目录 71"/>
    <w:basedOn w:val="150"/>
    <w:autoRedefine/>
    <w:semiHidden/>
    <w:qFormat/>
    <w:uiPriority w:val="0"/>
    <w:pPr>
      <w:ind w:left="1260"/>
    </w:pPr>
  </w:style>
  <w:style w:type="paragraph" w:customStyle="1" w:styleId="152">
    <w:name w:val="目录 81"/>
    <w:basedOn w:val="151"/>
    <w:autoRedefine/>
    <w:semiHidden/>
    <w:qFormat/>
    <w:uiPriority w:val="0"/>
    <w:pPr>
      <w:ind w:left="1470"/>
    </w:pPr>
  </w:style>
  <w:style w:type="paragraph" w:customStyle="1" w:styleId="153">
    <w:name w:val="目录 91"/>
    <w:basedOn w:val="152"/>
    <w:autoRedefine/>
    <w:semiHidden/>
    <w:qFormat/>
    <w:uiPriority w:val="0"/>
    <w:pPr>
      <w:ind w:left="1680"/>
    </w:pPr>
  </w:style>
  <w:style w:type="paragraph" w:customStyle="1" w:styleId="154">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5">
    <w:name w:val="其他发布部门"/>
    <w:basedOn w:val="123"/>
    <w:qFormat/>
    <w:uiPriority w:val="0"/>
    <w:pPr>
      <w:framePr w:wrap="around"/>
      <w:spacing w:line="0" w:lineRule="atLeast"/>
    </w:pPr>
    <w:rPr>
      <w:rFonts w:ascii="黑体" w:eastAsia="黑体"/>
      <w:b w:val="0"/>
    </w:rPr>
  </w:style>
  <w:style w:type="paragraph" w:customStyle="1" w:styleId="156">
    <w:name w:val="前言标题"/>
    <w:next w:val="1"/>
    <w:qFormat/>
    <w:uiPriority w:val="0"/>
    <w:pPr>
      <w:numPr>
        <w:ilvl w:val="0"/>
        <w:numId w:val="1"/>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7">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8">
    <w:name w:val="实施日期"/>
    <w:basedOn w:val="124"/>
    <w:qFormat/>
    <w:uiPriority w:val="0"/>
    <w:pPr>
      <w:framePr w:hSpace="0" w:wrap="around" w:xAlign="right"/>
      <w:jc w:val="right"/>
    </w:pPr>
  </w:style>
  <w:style w:type="paragraph" w:customStyle="1" w:styleId="159">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0">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1">
    <w:name w:val="无标题条"/>
    <w:next w:val="4"/>
    <w:qFormat/>
    <w:uiPriority w:val="0"/>
    <w:pPr>
      <w:jc w:val="both"/>
    </w:pPr>
    <w:rPr>
      <w:rFonts w:ascii="宋体" w:hAnsi="宋体" w:eastAsia="宋体" w:cs="Times New Roman"/>
      <w:sz w:val="21"/>
      <w:lang w:val="en-US" w:eastAsia="zh-CN" w:bidi="ar-SA"/>
    </w:rPr>
  </w:style>
  <w:style w:type="paragraph" w:customStyle="1" w:styleId="162">
    <w:name w:val="五级无标题条"/>
    <w:basedOn w:val="1"/>
    <w:qFormat/>
    <w:uiPriority w:val="0"/>
    <w:pPr>
      <w:numPr>
        <w:ilvl w:val="6"/>
        <w:numId w:val="20"/>
      </w:numPr>
      <w:adjustRightInd/>
    </w:pPr>
    <w:rPr>
      <w:szCs w:val="24"/>
    </w:rPr>
  </w:style>
  <w:style w:type="paragraph" w:customStyle="1" w:styleId="163">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4">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5">
    <w:name w:val="注×:后续"/>
    <w:basedOn w:val="164"/>
    <w:qFormat/>
    <w:uiPriority w:val="0"/>
    <w:pPr>
      <w:ind w:left="1406" w:leftChars="0" w:hanging="499" w:firstLineChars="0"/>
    </w:pPr>
  </w:style>
  <w:style w:type="paragraph" w:customStyle="1" w:styleId="166">
    <w:name w:val="标准文件_一级无标题"/>
    <w:basedOn w:val="109"/>
    <w:qFormat/>
    <w:uiPriority w:val="0"/>
    <w:pPr>
      <w:spacing w:before="0" w:beforeLines="0" w:after="0" w:afterLines="0"/>
      <w:outlineLvl w:val="9"/>
    </w:pPr>
    <w:rPr>
      <w:rFonts w:ascii="宋体" w:eastAsia="宋体"/>
    </w:rPr>
  </w:style>
  <w:style w:type="paragraph" w:customStyle="1" w:styleId="167">
    <w:name w:val="标准文件_五级无标题"/>
    <w:basedOn w:val="108"/>
    <w:qFormat/>
    <w:uiPriority w:val="0"/>
    <w:pPr>
      <w:spacing w:before="0" w:beforeLines="0" w:after="0" w:afterLines="0"/>
      <w:outlineLvl w:val="9"/>
    </w:pPr>
    <w:rPr>
      <w:rFonts w:ascii="宋体" w:eastAsia="宋体"/>
    </w:rPr>
  </w:style>
  <w:style w:type="paragraph" w:customStyle="1" w:styleId="168">
    <w:name w:val="标准文件_三级无标题"/>
    <w:basedOn w:val="99"/>
    <w:qFormat/>
    <w:uiPriority w:val="0"/>
    <w:pPr>
      <w:spacing w:before="0" w:beforeLines="0" w:after="0" w:afterLines="0"/>
      <w:outlineLvl w:val="9"/>
    </w:pPr>
    <w:rPr>
      <w:rFonts w:ascii="宋体" w:eastAsia="宋体"/>
    </w:rPr>
  </w:style>
  <w:style w:type="paragraph" w:customStyle="1" w:styleId="169">
    <w:name w:val="标准文件_二级无标题"/>
    <w:basedOn w:val="6"/>
    <w:qFormat/>
    <w:uiPriority w:val="0"/>
    <w:pPr>
      <w:spacing w:before="0" w:beforeLines="0" w:after="0" w:afterLines="0"/>
      <w:outlineLvl w:val="9"/>
    </w:pPr>
    <w:rPr>
      <w:rFonts w:ascii="宋体" w:eastAsia="宋体"/>
    </w:rPr>
  </w:style>
  <w:style w:type="paragraph" w:customStyle="1" w:styleId="170">
    <w:name w:val="标准_四级无标题"/>
    <w:basedOn w:val="103"/>
    <w:next w:val="4"/>
    <w:qFormat/>
    <w:uiPriority w:val="0"/>
    <w:rPr>
      <w:rFonts w:eastAsia="宋体"/>
    </w:rPr>
  </w:style>
  <w:style w:type="paragraph" w:customStyle="1" w:styleId="171">
    <w:name w:val="标准文件_四级无标题"/>
    <w:basedOn w:val="103"/>
    <w:qFormat/>
    <w:uiPriority w:val="0"/>
    <w:pPr>
      <w:spacing w:before="0" w:beforeLines="0" w:after="0" w:afterLines="0"/>
      <w:outlineLvl w:val="9"/>
    </w:pPr>
    <w:rPr>
      <w:rFonts w:ascii="宋体" w:hAnsi="黑体" w:eastAsia="宋体"/>
      <w:szCs w:val="52"/>
    </w:rPr>
  </w:style>
  <w:style w:type="paragraph" w:customStyle="1" w:styleId="172">
    <w:name w:val="标准文件_大写罗马数字编号列项"/>
    <w:basedOn w:val="4"/>
    <w:qFormat/>
    <w:uiPriority w:val="0"/>
    <w:pPr>
      <w:numPr>
        <w:ilvl w:val="0"/>
        <w:numId w:val="23"/>
      </w:numPr>
      <w:ind w:firstLine="0" w:firstLineChars="0"/>
    </w:pPr>
    <w:rPr>
      <w:rFonts w:ascii="Times New Roman" w:cs="Arial"/>
      <w:szCs w:val="28"/>
    </w:rPr>
  </w:style>
  <w:style w:type="paragraph" w:customStyle="1" w:styleId="173">
    <w:name w:val="标准文件_小写罗马数字编号列项"/>
    <w:basedOn w:val="4"/>
    <w:qFormat/>
    <w:uiPriority w:val="0"/>
    <w:pPr>
      <w:numPr>
        <w:ilvl w:val="0"/>
        <w:numId w:val="24"/>
      </w:numPr>
      <w:ind w:firstLine="0" w:firstLineChars="0"/>
    </w:pPr>
    <w:rPr>
      <w:rFonts w:cs="Arial"/>
      <w:szCs w:val="28"/>
    </w:rPr>
  </w:style>
  <w:style w:type="paragraph" w:customStyle="1" w:styleId="174">
    <w:name w:val="标准文件_附录标题"/>
    <w:basedOn w:val="81"/>
    <w:qFormat/>
    <w:uiPriority w:val="0"/>
    <w:pPr>
      <w:numPr>
        <w:numId w:val="0"/>
      </w:numPr>
      <w:spacing w:after="280"/>
      <w:outlineLvl w:val="9"/>
    </w:pPr>
  </w:style>
  <w:style w:type="paragraph" w:customStyle="1" w:styleId="175">
    <w:name w:val="标准文件_二级项"/>
    <w:qFormat/>
    <w:uiPriority w:val="0"/>
    <w:rPr>
      <w:rFonts w:ascii="宋体" w:hAnsi="Times New Roman" w:eastAsia="宋体" w:cs="Times New Roman"/>
      <w:sz w:val="21"/>
      <w:lang w:val="en-US" w:eastAsia="zh-CN" w:bidi="ar-SA"/>
    </w:rPr>
  </w:style>
  <w:style w:type="paragraph" w:customStyle="1" w:styleId="176">
    <w:name w:val="标准文件_三级项"/>
    <w:basedOn w:val="1"/>
    <w:qFormat/>
    <w:uiPriority w:val="0"/>
    <w:pPr>
      <w:numPr>
        <w:ilvl w:val="2"/>
        <w:numId w:val="21"/>
      </w:numPr>
      <w:spacing w:line="536870612" w:lineRule="auto"/>
    </w:pPr>
    <w:rPr>
      <w:rFonts w:ascii="Times New Roman" w:hAnsi="Times New Roman"/>
    </w:rPr>
  </w:style>
  <w:style w:type="paragraph" w:customStyle="1" w:styleId="177">
    <w:name w:val="图表脚注说明"/>
    <w:basedOn w:val="1"/>
    <w:next w:val="4"/>
    <w:qFormat/>
    <w:uiPriority w:val="0"/>
    <w:pPr>
      <w:numPr>
        <w:ilvl w:val="0"/>
        <w:numId w:val="25"/>
      </w:numPr>
      <w:adjustRightInd/>
      <w:spacing w:line="240" w:lineRule="auto"/>
    </w:pPr>
    <w:rPr>
      <w:rFonts w:ascii="宋体" w:hAnsi="Times New Roman"/>
      <w:sz w:val="18"/>
      <w:szCs w:val="18"/>
    </w:rPr>
  </w:style>
  <w:style w:type="paragraph" w:customStyle="1" w:styleId="178">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9">
    <w:name w:val="标准文件_索引字母"/>
    <w:next w:val="4"/>
    <w:qFormat/>
    <w:uiPriority w:val="0"/>
    <w:pPr>
      <w:jc w:val="center"/>
    </w:pPr>
    <w:rPr>
      <w:rFonts w:ascii="宋体" w:hAnsi="宋体" w:eastAsia="Times New Roman" w:cs="Times New Roman"/>
      <w:b/>
      <w:kern w:val="2"/>
      <w:sz w:val="21"/>
      <w:lang w:val="en-US" w:eastAsia="zh-CN" w:bidi="ar-SA"/>
    </w:rPr>
  </w:style>
  <w:style w:type="paragraph" w:customStyle="1" w:styleId="180">
    <w:name w:val="标准文件_附录前"/>
    <w:next w:val="4"/>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1">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2">
    <w:name w:val="标准文件_表格"/>
    <w:basedOn w:val="4"/>
    <w:qFormat/>
    <w:uiPriority w:val="0"/>
    <w:pPr>
      <w:ind w:firstLine="0" w:firstLineChars="0"/>
      <w:jc w:val="center"/>
    </w:pPr>
    <w:rPr>
      <w:sz w:val="18"/>
    </w:rPr>
  </w:style>
  <w:style w:type="paragraph" w:customStyle="1" w:styleId="183">
    <w:name w:val="标准文件_注："/>
    <w:next w:val="4"/>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4">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示例："/>
    <w:next w:val="186"/>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6">
    <w:name w:val="标准文件_示例内容"/>
    <w:basedOn w:val="4"/>
    <w:qFormat/>
    <w:uiPriority w:val="0"/>
    <w:pPr>
      <w:ind w:firstLine="420"/>
    </w:pPr>
    <w:rPr>
      <w:sz w:val="18"/>
    </w:rPr>
  </w:style>
  <w:style w:type="paragraph" w:customStyle="1" w:styleId="187">
    <w:name w:val="标准文件_示例×："/>
    <w:basedOn w:val="1"/>
    <w:next w:val="186"/>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8">
    <w:name w:val="标准文件_段 Char"/>
    <w:link w:val="4"/>
    <w:qFormat/>
    <w:uiPriority w:val="0"/>
    <w:rPr>
      <w:rFonts w:ascii="宋体" w:hAnsi="Times New Roman"/>
      <w:sz w:val="21"/>
    </w:rPr>
  </w:style>
  <w:style w:type="paragraph" w:customStyle="1" w:styleId="189">
    <w:name w:val="标准文件_表格续"/>
    <w:basedOn w:val="4"/>
    <w:next w:val="4"/>
    <w:qFormat/>
    <w:uiPriority w:val="0"/>
    <w:pPr>
      <w:jc w:val="center"/>
    </w:pPr>
    <w:rPr>
      <w:rFonts w:ascii="黑体" w:hAnsi="黑体" w:eastAsia="黑体"/>
    </w:rPr>
  </w:style>
  <w:style w:type="character" w:styleId="190">
    <w:name w:val="Placeholder Text"/>
    <w:basedOn w:val="34"/>
    <w:semiHidden/>
    <w:qFormat/>
    <w:uiPriority w:val="99"/>
    <w:rPr>
      <w:color w:val="808080"/>
    </w:rPr>
  </w:style>
  <w:style w:type="paragraph" w:customStyle="1" w:styleId="191">
    <w:name w:val="标准文件_二级项2"/>
    <w:basedOn w:val="4"/>
    <w:qFormat/>
    <w:uiPriority w:val="0"/>
    <w:pPr>
      <w:numPr>
        <w:ilvl w:val="1"/>
        <w:numId w:val="21"/>
      </w:numPr>
      <w:ind w:firstLine="0" w:firstLineChars="0"/>
    </w:pPr>
  </w:style>
  <w:style w:type="paragraph" w:customStyle="1" w:styleId="192">
    <w:name w:val="标准文件_三级项2"/>
    <w:basedOn w:val="4"/>
    <w:qFormat/>
    <w:uiPriority w:val="0"/>
    <w:pPr>
      <w:numPr>
        <w:ilvl w:val="0"/>
        <w:numId w:val="30"/>
      </w:numPr>
      <w:spacing w:line="300" w:lineRule="exact"/>
      <w:ind w:firstLineChars="0"/>
    </w:pPr>
    <w:rPr>
      <w:rFonts w:ascii="Times New Roman"/>
    </w:rPr>
  </w:style>
  <w:style w:type="paragraph" w:customStyle="1" w:styleId="193">
    <w:name w:val="标准文件_一级项2"/>
    <w:basedOn w:val="4"/>
    <w:qFormat/>
    <w:uiPriority w:val="0"/>
    <w:pPr>
      <w:numPr>
        <w:ilvl w:val="0"/>
        <w:numId w:val="31"/>
      </w:numPr>
      <w:spacing w:line="300" w:lineRule="exact"/>
      <w:ind w:firstLineChars="0"/>
    </w:pPr>
    <w:rPr>
      <w:rFonts w:ascii="Times New Roman"/>
    </w:rPr>
  </w:style>
  <w:style w:type="paragraph" w:customStyle="1" w:styleId="194">
    <w:name w:val="标准文件_提示"/>
    <w:basedOn w:val="4"/>
    <w:next w:val="4"/>
    <w:qFormat/>
    <w:uiPriority w:val="0"/>
    <w:pPr>
      <w:ind w:firstLine="420"/>
    </w:pPr>
    <w:rPr>
      <w:rFonts w:ascii="黑体" w:eastAsia="黑体"/>
    </w:rPr>
  </w:style>
  <w:style w:type="character" w:customStyle="1" w:styleId="195">
    <w:name w:val="标准文件_来源"/>
    <w:basedOn w:val="34"/>
    <w:qFormat/>
    <w:uiPriority w:val="1"/>
    <w:rPr>
      <w:rFonts w:eastAsia="宋体"/>
      <w:sz w:val="21"/>
    </w:rPr>
  </w:style>
  <w:style w:type="paragraph" w:customStyle="1" w:styleId="196">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7">
    <w:name w:val="其他发布日期"/>
    <w:basedOn w:val="124"/>
    <w:qFormat/>
    <w:uiPriority w:val="0"/>
    <w:pPr>
      <w:framePr w:w="3997" w:h="471" w:hRule="exact" w:hSpace="0" w:vSpace="181" w:wrap="around" w:vAnchor="page" w:hAnchor="page" w:x="1419" w:y="14097"/>
    </w:pPr>
  </w:style>
  <w:style w:type="paragraph" w:customStyle="1" w:styleId="198">
    <w:name w:val="其他实施日期"/>
    <w:basedOn w:val="158"/>
    <w:qFormat/>
    <w:uiPriority w:val="0"/>
    <w:pPr>
      <w:framePr w:w="3997" w:h="471" w:hRule="exact" w:vSpace="181" w:wrap="around" w:vAnchor="page" w:hAnchor="page" w:x="7089" w:y="14097"/>
    </w:pPr>
  </w:style>
  <w:style w:type="paragraph" w:customStyle="1" w:styleId="199">
    <w:name w:val="标准文件_文件编号"/>
    <w:basedOn w:val="4"/>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0">
    <w:name w:val="标准文件_替换文件编号"/>
    <w:basedOn w:val="199"/>
    <w:qFormat/>
    <w:uiPriority w:val="0"/>
    <w:pPr>
      <w:spacing w:before="57"/>
    </w:pPr>
    <w:rPr>
      <w:sz w:val="21"/>
    </w:rPr>
  </w:style>
  <w:style w:type="paragraph" w:customStyle="1" w:styleId="201">
    <w:name w:val="标准文件_文件名称"/>
    <w:basedOn w:val="4"/>
    <w:next w:val="4"/>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2">
    <w:name w:val="标准文件_附录图标号"/>
    <w:basedOn w:val="4"/>
    <w:next w:val="4"/>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3">
    <w:name w:val="标准文件_附录表标号"/>
    <w:basedOn w:val="4"/>
    <w:next w:val="4"/>
    <w:qFormat/>
    <w:uiPriority w:val="0"/>
    <w:pPr>
      <w:numPr>
        <w:ilvl w:val="0"/>
        <w:numId w:val="5"/>
      </w:numPr>
      <w:spacing w:line="14" w:lineRule="exact"/>
      <w:ind w:firstLine="0" w:firstLineChars="0"/>
      <w:jc w:val="center"/>
    </w:pPr>
    <w:rPr>
      <w:rFonts w:eastAsia="黑体"/>
      <w:vanish/>
      <w:sz w:val="2"/>
    </w:rPr>
  </w:style>
  <w:style w:type="paragraph" w:customStyle="1" w:styleId="204">
    <w:name w:val="标准文件_引言一级条标题"/>
    <w:basedOn w:val="4"/>
    <w:next w:val="4"/>
    <w:qFormat/>
    <w:uiPriority w:val="0"/>
    <w:pPr>
      <w:numPr>
        <w:ilvl w:val="1"/>
        <w:numId w:val="8"/>
      </w:numPr>
      <w:spacing w:before="50" w:beforeLines="50" w:after="50" w:afterLines="50"/>
      <w:ind w:firstLineChars="0"/>
    </w:pPr>
    <w:rPr>
      <w:rFonts w:ascii="黑体" w:eastAsia="黑体"/>
    </w:rPr>
  </w:style>
  <w:style w:type="paragraph" w:customStyle="1" w:styleId="205">
    <w:name w:val="标准文件_引言二级条标题"/>
    <w:basedOn w:val="4"/>
    <w:next w:val="4"/>
    <w:qFormat/>
    <w:uiPriority w:val="0"/>
    <w:pPr>
      <w:numPr>
        <w:ilvl w:val="2"/>
        <w:numId w:val="8"/>
      </w:numPr>
      <w:spacing w:before="50" w:beforeLines="50" w:after="50" w:afterLines="50"/>
      <w:ind w:firstLineChars="0"/>
    </w:pPr>
    <w:rPr>
      <w:rFonts w:ascii="黑体" w:eastAsia="黑体"/>
    </w:rPr>
  </w:style>
  <w:style w:type="paragraph" w:customStyle="1" w:styleId="206">
    <w:name w:val="标准文件_引言三级条标题"/>
    <w:basedOn w:val="4"/>
    <w:next w:val="4"/>
    <w:qFormat/>
    <w:uiPriority w:val="0"/>
    <w:pPr>
      <w:numPr>
        <w:ilvl w:val="3"/>
        <w:numId w:val="8"/>
      </w:numPr>
      <w:spacing w:before="50" w:beforeLines="50" w:after="50" w:afterLines="50"/>
      <w:ind w:firstLineChars="0"/>
    </w:pPr>
    <w:rPr>
      <w:rFonts w:ascii="黑体" w:eastAsia="黑体"/>
    </w:rPr>
  </w:style>
  <w:style w:type="paragraph" w:customStyle="1" w:styleId="207">
    <w:name w:val="标准文件_引言四级条标题"/>
    <w:basedOn w:val="4"/>
    <w:next w:val="4"/>
    <w:qFormat/>
    <w:uiPriority w:val="0"/>
    <w:pPr>
      <w:numPr>
        <w:ilvl w:val="4"/>
        <w:numId w:val="8"/>
      </w:numPr>
      <w:spacing w:before="50" w:beforeLines="50" w:after="50" w:afterLines="50"/>
      <w:ind w:firstLineChars="0"/>
    </w:pPr>
    <w:rPr>
      <w:rFonts w:ascii="黑体" w:eastAsia="黑体"/>
    </w:rPr>
  </w:style>
  <w:style w:type="paragraph" w:customStyle="1" w:styleId="208">
    <w:name w:val="标准文件_引言五级条标题"/>
    <w:basedOn w:val="4"/>
    <w:next w:val="4"/>
    <w:qFormat/>
    <w:uiPriority w:val="0"/>
    <w:pPr>
      <w:numPr>
        <w:ilvl w:val="5"/>
        <w:numId w:val="8"/>
      </w:numPr>
      <w:spacing w:before="50" w:beforeLines="50" w:after="50" w:afterLines="50"/>
      <w:ind w:firstLineChars="0"/>
    </w:pPr>
    <w:rPr>
      <w:rFonts w:ascii="黑体" w:eastAsia="黑体"/>
    </w:rPr>
  </w:style>
  <w:style w:type="paragraph" w:customStyle="1" w:styleId="209">
    <w:name w:val="标准文件_注后"/>
    <w:basedOn w:val="4"/>
    <w:qFormat/>
    <w:uiPriority w:val="0"/>
    <w:pPr>
      <w:ind w:left="811" w:firstLine="0" w:firstLineChars="0"/>
    </w:pPr>
    <w:rPr>
      <w:sz w:val="18"/>
    </w:rPr>
  </w:style>
  <w:style w:type="paragraph" w:customStyle="1" w:styleId="210">
    <w:name w:val="标准文件_注X后"/>
    <w:basedOn w:val="4"/>
    <w:qFormat/>
    <w:uiPriority w:val="0"/>
    <w:pPr>
      <w:ind w:left="811" w:firstLine="0" w:firstLineChars="0"/>
    </w:pPr>
    <w:rPr>
      <w:sz w:val="18"/>
    </w:rPr>
  </w:style>
  <w:style w:type="paragraph" w:customStyle="1" w:styleId="211">
    <w:name w:val="标准文件_示例后"/>
    <w:basedOn w:val="4"/>
    <w:qFormat/>
    <w:uiPriority w:val="0"/>
    <w:pPr>
      <w:ind w:left="964" w:firstLine="0" w:firstLineChars="0"/>
    </w:pPr>
    <w:rPr>
      <w:sz w:val="18"/>
    </w:rPr>
  </w:style>
  <w:style w:type="paragraph" w:customStyle="1" w:styleId="212">
    <w:name w:val="标准文件_示例X后"/>
    <w:basedOn w:val="4"/>
    <w:link w:val="213"/>
    <w:qFormat/>
    <w:uiPriority w:val="0"/>
    <w:pPr>
      <w:ind w:left="1049" w:firstLine="0" w:firstLineChars="0"/>
    </w:pPr>
    <w:rPr>
      <w:sz w:val="18"/>
    </w:rPr>
  </w:style>
  <w:style w:type="character" w:customStyle="1" w:styleId="213">
    <w:name w:val="标准文件_示例X后 字符"/>
    <w:basedOn w:val="188"/>
    <w:link w:val="212"/>
    <w:qFormat/>
    <w:uiPriority w:val="0"/>
    <w:rPr>
      <w:rFonts w:ascii="宋体" w:hAnsi="Times New Roman"/>
      <w:sz w:val="18"/>
    </w:rPr>
  </w:style>
  <w:style w:type="paragraph" w:customStyle="1" w:styleId="214">
    <w:name w:val="标准文件_索引项"/>
    <w:basedOn w:val="4"/>
    <w:next w:val="4"/>
    <w:qFormat/>
    <w:uiPriority w:val="0"/>
    <w:pPr>
      <w:tabs>
        <w:tab w:val="right" w:leader="dot" w:pos="9356"/>
      </w:tabs>
      <w:ind w:left="210" w:hanging="210" w:firstLineChars="0"/>
      <w:jc w:val="left"/>
    </w:pPr>
  </w:style>
  <w:style w:type="paragraph" w:customStyle="1" w:styleId="215">
    <w:name w:val="标准文件_附录一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二级无标题"/>
    <w:basedOn w:val="84"/>
    <w:qFormat/>
    <w:uiPriority w:val="0"/>
    <w:pPr>
      <w:spacing w:before="0" w:beforeLines="0" w:after="0" w:afterLines="0" w:line="276" w:lineRule="auto"/>
      <w:outlineLvl w:val="9"/>
    </w:pPr>
    <w:rPr>
      <w:rFonts w:ascii="宋体" w:eastAsia="宋体"/>
    </w:rPr>
  </w:style>
  <w:style w:type="paragraph" w:customStyle="1" w:styleId="217">
    <w:name w:val="标准文件_附录三级无标题"/>
    <w:basedOn w:val="86"/>
    <w:qFormat/>
    <w:uiPriority w:val="0"/>
    <w:pPr>
      <w:spacing w:before="0" w:beforeLines="0" w:after="0" w:afterLines="0" w:line="276" w:lineRule="auto"/>
      <w:outlineLvl w:val="9"/>
    </w:pPr>
    <w:rPr>
      <w:rFonts w:ascii="宋体" w:eastAsia="宋体"/>
    </w:rPr>
  </w:style>
  <w:style w:type="paragraph" w:customStyle="1" w:styleId="218">
    <w:name w:val="标准文件_附录四级无标题"/>
    <w:basedOn w:val="87"/>
    <w:qFormat/>
    <w:uiPriority w:val="0"/>
    <w:pPr>
      <w:spacing w:before="0" w:beforeLines="0" w:after="0" w:afterLines="0" w:line="276" w:lineRule="auto"/>
      <w:outlineLvl w:val="9"/>
    </w:pPr>
    <w:rPr>
      <w:rFonts w:ascii="宋体" w:eastAsia="宋体"/>
    </w:rPr>
  </w:style>
  <w:style w:type="paragraph" w:customStyle="1" w:styleId="219">
    <w:name w:val="标准文件_附录五级无标题"/>
    <w:basedOn w:val="89"/>
    <w:qFormat/>
    <w:uiPriority w:val="0"/>
    <w:pPr>
      <w:spacing w:before="0" w:beforeLines="0" w:after="0" w:afterLines="0" w:line="276" w:lineRule="auto"/>
      <w:outlineLvl w:val="9"/>
    </w:pPr>
    <w:rPr>
      <w:rFonts w:ascii="宋体" w:eastAsia="宋体"/>
    </w:rPr>
  </w:style>
  <w:style w:type="paragraph" w:customStyle="1" w:styleId="220">
    <w:name w:val="标准文件_引言一级无标题"/>
    <w:basedOn w:val="204"/>
    <w:next w:val="4"/>
    <w:qFormat/>
    <w:uiPriority w:val="0"/>
    <w:pPr>
      <w:spacing w:before="0" w:beforeLines="0" w:after="0" w:afterLines="0" w:line="276" w:lineRule="auto"/>
    </w:pPr>
    <w:rPr>
      <w:rFonts w:ascii="宋体" w:eastAsia="宋体"/>
    </w:rPr>
  </w:style>
  <w:style w:type="paragraph" w:customStyle="1" w:styleId="221">
    <w:name w:val="标准文件_引言二级无标题"/>
    <w:basedOn w:val="205"/>
    <w:next w:val="4"/>
    <w:qFormat/>
    <w:uiPriority w:val="0"/>
    <w:pPr>
      <w:spacing w:before="0" w:beforeLines="0" w:after="0" w:afterLines="0" w:line="276" w:lineRule="auto"/>
    </w:pPr>
    <w:rPr>
      <w:rFonts w:ascii="宋体" w:eastAsia="宋体"/>
    </w:rPr>
  </w:style>
  <w:style w:type="paragraph" w:customStyle="1" w:styleId="222">
    <w:name w:val="标准文件_引言三级无标题"/>
    <w:basedOn w:val="206"/>
    <w:qFormat/>
    <w:uiPriority w:val="0"/>
    <w:pPr>
      <w:spacing w:before="0" w:beforeLines="0" w:after="0" w:afterLines="0" w:line="276" w:lineRule="auto"/>
    </w:pPr>
    <w:rPr>
      <w:rFonts w:ascii="宋体" w:eastAsia="宋体"/>
    </w:rPr>
  </w:style>
  <w:style w:type="paragraph" w:customStyle="1" w:styleId="223">
    <w:name w:val="标准文件_引言四级无标题"/>
    <w:basedOn w:val="207"/>
    <w:next w:val="4"/>
    <w:qFormat/>
    <w:uiPriority w:val="0"/>
    <w:pPr>
      <w:spacing w:before="0" w:beforeLines="0" w:after="0" w:afterLines="0" w:line="276" w:lineRule="auto"/>
    </w:pPr>
    <w:rPr>
      <w:rFonts w:ascii="宋体" w:eastAsia="宋体"/>
    </w:rPr>
  </w:style>
  <w:style w:type="paragraph" w:customStyle="1" w:styleId="224">
    <w:name w:val="标准文件_引言五级无标题"/>
    <w:basedOn w:val="208"/>
    <w:next w:val="4"/>
    <w:qFormat/>
    <w:uiPriority w:val="0"/>
    <w:pPr>
      <w:spacing w:before="0" w:beforeLines="0" w:after="0" w:afterLines="0" w:line="276" w:lineRule="auto"/>
    </w:pPr>
    <w:rPr>
      <w:rFonts w:ascii="宋体" w:eastAsia="宋体"/>
    </w:rPr>
  </w:style>
  <w:style w:type="paragraph" w:customStyle="1" w:styleId="225">
    <w:name w:val="标准文件_索引标题"/>
    <w:basedOn w:val="69"/>
    <w:next w:val="4"/>
    <w:qFormat/>
    <w:uiPriority w:val="0"/>
    <w:rPr>
      <w:rFonts w:hAnsi="黑体"/>
    </w:rPr>
  </w:style>
  <w:style w:type="paragraph" w:customStyle="1" w:styleId="226">
    <w:name w:val="标准文件_脚注内容"/>
    <w:basedOn w:val="4"/>
    <w:qFormat/>
    <w:uiPriority w:val="0"/>
    <w:pPr>
      <w:ind w:left="400" w:leftChars="200" w:hanging="200" w:hangingChars="200"/>
    </w:pPr>
    <w:rPr>
      <w:sz w:val="15"/>
    </w:rPr>
  </w:style>
  <w:style w:type="paragraph" w:customStyle="1" w:styleId="227">
    <w:name w:val="标准文件_术语条一"/>
    <w:basedOn w:val="166"/>
    <w:next w:val="4"/>
    <w:qFormat/>
    <w:uiPriority w:val="0"/>
  </w:style>
  <w:style w:type="paragraph" w:customStyle="1" w:styleId="228">
    <w:name w:val="标准文件_术语条二"/>
    <w:basedOn w:val="169"/>
    <w:next w:val="4"/>
    <w:qFormat/>
    <w:uiPriority w:val="0"/>
  </w:style>
  <w:style w:type="paragraph" w:customStyle="1" w:styleId="229">
    <w:name w:val="标准文件_术语条三"/>
    <w:basedOn w:val="168"/>
    <w:next w:val="4"/>
    <w:qFormat/>
    <w:uiPriority w:val="0"/>
  </w:style>
  <w:style w:type="paragraph" w:customStyle="1" w:styleId="230">
    <w:name w:val="标准文件_术语条四"/>
    <w:basedOn w:val="171"/>
    <w:next w:val="4"/>
    <w:qFormat/>
    <w:uiPriority w:val="0"/>
  </w:style>
  <w:style w:type="paragraph" w:customStyle="1" w:styleId="231">
    <w:name w:val="标准文件_术语条五"/>
    <w:basedOn w:val="167"/>
    <w:next w:val="4"/>
    <w:qFormat/>
    <w:uiPriority w:val="0"/>
  </w:style>
  <w:style w:type="paragraph" w:customStyle="1" w:styleId="23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3">
    <w:name w:val="发布"/>
    <w:basedOn w:val="34"/>
    <w:qFormat/>
    <w:uiPriority w:val="0"/>
    <w:rPr>
      <w:rFonts w:ascii="黑体" w:eastAsia="黑体"/>
      <w:spacing w:val="85"/>
      <w:w w:val="100"/>
      <w:position w:val="3"/>
      <w:sz w:val="28"/>
      <w:szCs w:val="28"/>
    </w:rPr>
  </w:style>
  <w:style w:type="paragraph" w:customStyle="1" w:styleId="234">
    <w:name w:val="段"/>
    <w:link w:val="235"/>
    <w:qFormat/>
    <w:uiPriority w:val="0"/>
    <w:pPr>
      <w:autoSpaceDE w:val="0"/>
      <w:autoSpaceDN w:val="0"/>
      <w:ind w:firstLine="200" w:firstLineChars="200"/>
      <w:jc w:val="both"/>
    </w:pPr>
    <w:rPr>
      <w:rFonts w:ascii="宋体" w:hAnsi="Times New Roman" w:eastAsia="宋体" w:cs="宋体"/>
      <w:szCs w:val="21"/>
      <w:lang w:val="en-US" w:eastAsia="zh-CN" w:bidi="ar-SA"/>
    </w:rPr>
  </w:style>
  <w:style w:type="character" w:customStyle="1" w:styleId="235">
    <w:name w:val="段 Char"/>
    <w:basedOn w:val="34"/>
    <w:link w:val="234"/>
    <w:qFormat/>
    <w:uiPriority w:val="0"/>
    <w:rPr>
      <w:rFonts w:ascii="宋体" w:hAnsi="Times New Roman" w:cs="宋体"/>
      <w:szCs w:val="21"/>
    </w:rPr>
  </w:style>
  <w:style w:type="paragraph" w:customStyle="1" w:styleId="236">
    <w:name w:val="段落"/>
    <w:qFormat/>
    <w:uiPriority w:val="0"/>
    <w:pPr>
      <w:autoSpaceDE w:val="0"/>
      <w:autoSpaceDN w:val="0"/>
      <w:ind w:firstLine="420" w:firstLineChars="200"/>
    </w:pPr>
    <w:rPr>
      <w:rFonts w:ascii="宋体" w:hAnsi="Times New Roman" w:eastAsia="宋体" w:cs="Times New Roman"/>
      <w:sz w:val="21"/>
      <w:lang w:val="en-US" w:eastAsia="zh-CN" w:bidi="ar-SA"/>
    </w:rPr>
  </w:style>
  <w:style w:type="paragraph" w:customStyle="1" w:styleId="237">
    <w:name w:val="章节条款"/>
    <w:qFormat/>
    <w:uiPriority w:val="0"/>
    <w:pPr>
      <w:wordWrap w:val="0"/>
      <w:autoSpaceDE w:val="0"/>
      <w:autoSpaceDN w:val="0"/>
      <w:snapToGrid w:val="0"/>
      <w:spacing w:before="50" w:beforeLines="50" w:after="50" w:afterLines="50"/>
      <w:jc w:val="both"/>
    </w:pPr>
    <w:rPr>
      <w:rFonts w:ascii="黑体" w:hAnsi="黑体" w:eastAsia="黑体" w:cs="Times New Roman"/>
      <w:sz w:val="21"/>
      <w:lang w:val="en-US" w:eastAsia="zh-CN" w:bidi="ar-SA"/>
    </w:rPr>
  </w:style>
  <w:style w:type="paragraph" w:customStyle="1" w:styleId="238">
    <w:name w:val="一级首章标题"/>
    <w:qFormat/>
    <w:uiPriority w:val="0"/>
    <w:pPr>
      <w:wordWrap w:val="0"/>
      <w:autoSpaceDE w:val="0"/>
      <w:autoSpaceDN w:val="0"/>
      <w:snapToGrid w:val="0"/>
      <w:spacing w:after="100" w:afterLines="100"/>
      <w:jc w:val="both"/>
    </w:pPr>
    <w:rPr>
      <w:rFonts w:ascii="黑体" w:hAnsi="黑体" w:eastAsia="黑体" w:cs="Times New Roman"/>
      <w:sz w:val="21"/>
      <w:lang w:val="en-US" w:eastAsia="zh-CN" w:bidi="ar-SA"/>
    </w:rPr>
  </w:style>
  <w:style w:type="table" w:customStyle="1" w:styleId="239">
    <w:name w:val="网格型1"/>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40">
    <w:name w:val="TOC 标题1"/>
    <w:basedOn w:val="2"/>
    <w:next w:val="1"/>
    <w:unhideWhenUsed/>
    <w:qFormat/>
    <w:uiPriority w:val="39"/>
    <w:pPr>
      <w:spacing w:after="0" w:line="259" w:lineRule="auto"/>
      <w:jc w:val="left"/>
      <w:outlineLvl w:val="9"/>
    </w:pPr>
    <w:rPr>
      <w:rFonts w:asciiTheme="majorHAnsi" w:hAnsiTheme="majorHAnsi" w:eastAsiaTheme="majorEastAsia" w:cstheme="majorBidi"/>
      <w:b/>
      <w:bCs/>
      <w:color w:val="2F5597" w:themeColor="accent1" w:themeShade="BF"/>
      <w:sz w:val="32"/>
      <w:szCs w:val="32"/>
    </w:rPr>
  </w:style>
  <w:style w:type="paragraph" w:customStyle="1" w:styleId="241">
    <w:name w:val="修订1"/>
    <w:hidden/>
    <w:semiHidden/>
    <w:qFormat/>
    <w:uiPriority w:val="99"/>
    <w:rPr>
      <w:rFonts w:ascii="Calibri" w:hAnsi="Calibri" w:eastAsia="宋体" w:cs="Times New Roman"/>
      <w:kern w:val="2"/>
      <w:sz w:val="21"/>
      <w:szCs w:val="21"/>
      <w:lang w:val="en-US" w:eastAsia="zh-CN" w:bidi="ar-SA"/>
    </w:rPr>
  </w:style>
  <w:style w:type="character" w:customStyle="1" w:styleId="242">
    <w:name w:val="批注文字 字符"/>
    <w:basedOn w:val="34"/>
    <w:link w:val="16"/>
    <w:qFormat/>
    <w:uiPriority w:val="99"/>
    <w:rPr>
      <w:kern w:val="2"/>
      <w:sz w:val="21"/>
      <w:szCs w:val="21"/>
    </w:rPr>
  </w:style>
  <w:style w:type="character" w:customStyle="1" w:styleId="243">
    <w:name w:val="批注主题 字符"/>
    <w:basedOn w:val="242"/>
    <w:link w:val="31"/>
    <w:semiHidden/>
    <w:qFormat/>
    <w:uiPriority w:val="99"/>
    <w:rPr>
      <w:b/>
      <w:bCs/>
      <w:kern w:val="2"/>
      <w:sz w:val="21"/>
      <w:szCs w:val="21"/>
    </w:rPr>
  </w:style>
  <w:style w:type="paragraph" w:customStyle="1" w:styleId="244">
    <w:name w:val="Revision"/>
    <w:hidden/>
    <w:unhideWhenUsed/>
    <w:qFormat/>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B0BCEB1845254CD09FEE4E8C34EC6DF8"/>
        <w:style w:val=""/>
        <w:category>
          <w:name w:val="常规"/>
          <w:gallery w:val="placeholder"/>
        </w:category>
        <w:types>
          <w:type w:val="bbPlcHdr"/>
        </w:types>
        <w:behaviors>
          <w:behavior w:val="content"/>
        </w:behaviors>
        <w:description w:val=""/>
        <w:guid w:val="{43C901C8-6566-45BC-96C6-8F7313F27796}"/>
      </w:docPartPr>
      <w:docPartBody>
        <w:p w14:paraId="28B7A32F">
          <w:pPr>
            <w:pStyle w:val="5"/>
          </w:pPr>
          <w:r>
            <w:rPr>
              <w:rStyle w:val="4"/>
              <w:rFonts w:hint="eastAsia"/>
            </w:rPr>
            <w:t>单击或点击此处输入文字。</w:t>
          </w:r>
        </w:p>
      </w:docPartBody>
    </w:docPart>
    <w:docPart>
      <w:docPartPr>
        <w:name w:val="F7151BE4E4F44FF4A325BF7CD0C9C9DD"/>
        <w:style w:val=""/>
        <w:category>
          <w:name w:val="常规"/>
          <w:gallery w:val="placeholder"/>
        </w:category>
        <w:types>
          <w:type w:val="bbPlcHdr"/>
        </w:types>
        <w:behaviors>
          <w:behavior w:val="content"/>
        </w:behaviors>
        <w:description w:val=""/>
        <w:guid w:val="{2F571AAB-F107-492F-B181-A4062F4F3717}"/>
      </w:docPartPr>
      <w:docPartBody>
        <w:p w14:paraId="5C9C3F30">
          <w:pPr>
            <w:pStyle w:val="6"/>
          </w:pPr>
          <w:r>
            <w:rPr>
              <w:rStyle w:val="4"/>
              <w:rFonts w:hint="eastAsia"/>
            </w:rPr>
            <w:t>选择一项。</w:t>
          </w:r>
        </w:p>
      </w:docPartBody>
    </w:docPart>
    <w:docPart>
      <w:docPartPr>
        <w:name w:val="1BBB23461C044762B155F45E775876B0"/>
        <w:style w:val=""/>
        <w:category>
          <w:name w:val="常规"/>
          <w:gallery w:val="placeholder"/>
        </w:category>
        <w:types>
          <w:type w:val="bbPlcHdr"/>
        </w:types>
        <w:behaviors>
          <w:behavior w:val="content"/>
        </w:behaviors>
        <w:description w:val=""/>
        <w:guid w:val="{12907F6B-3ABE-45AA-9EF3-9C6D62723281}"/>
      </w:docPartPr>
      <w:docPartBody>
        <w:p w14:paraId="6875681D">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305"/>
    <w:rsid w:val="000B2DA4"/>
    <w:rsid w:val="000B5FBE"/>
    <w:rsid w:val="000E6415"/>
    <w:rsid w:val="00181A16"/>
    <w:rsid w:val="002203FA"/>
    <w:rsid w:val="002324A0"/>
    <w:rsid w:val="0025745C"/>
    <w:rsid w:val="00270D56"/>
    <w:rsid w:val="00273454"/>
    <w:rsid w:val="002972F3"/>
    <w:rsid w:val="002B02D5"/>
    <w:rsid w:val="002B7534"/>
    <w:rsid w:val="002D22DB"/>
    <w:rsid w:val="002F78C3"/>
    <w:rsid w:val="003618CD"/>
    <w:rsid w:val="003970D5"/>
    <w:rsid w:val="003E2003"/>
    <w:rsid w:val="004028AD"/>
    <w:rsid w:val="004829C6"/>
    <w:rsid w:val="004A60CC"/>
    <w:rsid w:val="004B42D1"/>
    <w:rsid w:val="004D1BB7"/>
    <w:rsid w:val="00537650"/>
    <w:rsid w:val="0059621A"/>
    <w:rsid w:val="005A4486"/>
    <w:rsid w:val="005F7A5E"/>
    <w:rsid w:val="00606ABA"/>
    <w:rsid w:val="00640100"/>
    <w:rsid w:val="00670F7A"/>
    <w:rsid w:val="006D59C9"/>
    <w:rsid w:val="006E4AAE"/>
    <w:rsid w:val="00770C65"/>
    <w:rsid w:val="0077487B"/>
    <w:rsid w:val="007A0E0A"/>
    <w:rsid w:val="007A12C1"/>
    <w:rsid w:val="007D2757"/>
    <w:rsid w:val="007E3780"/>
    <w:rsid w:val="007F3113"/>
    <w:rsid w:val="00877F77"/>
    <w:rsid w:val="00894B48"/>
    <w:rsid w:val="00907A29"/>
    <w:rsid w:val="00913933"/>
    <w:rsid w:val="0094247C"/>
    <w:rsid w:val="00955F0C"/>
    <w:rsid w:val="00986D8A"/>
    <w:rsid w:val="00A24A00"/>
    <w:rsid w:val="00A44F6A"/>
    <w:rsid w:val="00A929D7"/>
    <w:rsid w:val="00B6747B"/>
    <w:rsid w:val="00B97071"/>
    <w:rsid w:val="00BE1616"/>
    <w:rsid w:val="00C22A17"/>
    <w:rsid w:val="00C42D33"/>
    <w:rsid w:val="00C61431"/>
    <w:rsid w:val="00C77BAE"/>
    <w:rsid w:val="00CA3AD7"/>
    <w:rsid w:val="00D1109D"/>
    <w:rsid w:val="00D1338B"/>
    <w:rsid w:val="00D834AF"/>
    <w:rsid w:val="00D8487E"/>
    <w:rsid w:val="00D93B63"/>
    <w:rsid w:val="00DB2D84"/>
    <w:rsid w:val="00E83D76"/>
    <w:rsid w:val="00E91D95"/>
    <w:rsid w:val="00EF0C92"/>
    <w:rsid w:val="00F40FC2"/>
    <w:rsid w:val="00F53969"/>
    <w:rsid w:val="00F75DB3"/>
    <w:rsid w:val="00FA3D52"/>
    <w:rsid w:val="00FE3305"/>
    <w:rsid w:val="00FF4C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B0BCEB1845254CD09FEE4E8C34EC6DF8"/>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6">
    <w:name w:val="F7151BE4E4F44FF4A325BF7CD0C9C9DD"/>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customStyle="1" w:styleId="7">
    <w:name w:val="1BBB23461C044762B155F45E775876B0"/>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datastoreItem>
</file>

<file path=docProps/app.xml><?xml version="1.0" encoding="utf-8"?>
<Properties xmlns="http://schemas.openxmlformats.org/officeDocument/2006/extended-properties" xmlns:vt="http://schemas.openxmlformats.org/officeDocument/2006/docPropsVTypes">
  <Template>团体标准</Template>
  <Pages>14</Pages>
  <Words>3155</Words>
  <Characters>3534</Characters>
  <Lines>61</Lines>
  <Paragraphs>17</Paragraphs>
  <TotalTime>16</TotalTime>
  <ScaleCrop>false</ScaleCrop>
  <LinksUpToDate>false</LinksUpToDate>
  <CharactersWithSpaces>3625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2025-07-16T08:04:00Z</dcterms:created>
  <dc:creator>zyq</dc:creator>
  <cp:lastModifiedBy>特浓盐牛奶糖</cp:lastModifiedBy>
  <cp:lastPrinted>2025-06-24T05:52:00Z</cp:lastPrinted>
  <dcterms:modified xsi:type="dcterms:W3CDTF">2026-05-29T01:59:56Z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eyJoZGlkIjoiYjRjZDgxZmM2NTBmY2I2MjMyOTEyMmI3NDRhNjM5Y2QiLCJ1c2VySWQiOiIxMTQ4NjA0ODU1In0=</vt:lpwstr>
  </property>
  <property fmtid="{D5CDD505-2E9C-101B-9397-08002B2CF9AE}" pid="15" name="KSOProductBuildVer">
    <vt:lpwstr>2052-12.1.0.25865</vt:lpwstr>
  </property>
  <property fmtid="{D5CDD505-2E9C-101B-9397-08002B2CF9AE}" pid="16" name="ICV">
    <vt:lpwstr>61102B67E877446FB3E22DBBBED46557_13</vt:lpwstr>
  </property>
</Properties>
</file>