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1BBE219E">
      <w:pPr>
        <w:framePr w:wrap="auto" w:vAnchor="margin" w:hAnchor="text" w:yAlign="inline"/>
        <w:spacing w:before="120" w:beforeLines="50" w:after="120" w:afterLines="50" w:line="300" w:lineRule="auto"/>
        <w:jc w:val="center"/>
        <w:outlineLvl w:val="0"/>
        <w:rPr>
          <w:rFonts w:ascii="宋体" w:hAnsi="宋体" w:eastAsia="宋体" w:cs="宋体"/>
          <w:b/>
          <w:bCs/>
          <w:sz w:val="48"/>
          <w:szCs w:val="48"/>
          <w:lang w:val="zh-TW"/>
        </w:rPr>
      </w:pPr>
    </w:p>
    <w:p w14:paraId="681C6477">
      <w:pPr>
        <w:framePr w:wrap="auto" w:vAnchor="margin" w:hAnchor="text" w:yAlign="inline"/>
        <w:spacing w:before="120" w:beforeLines="50" w:after="120" w:afterLines="50" w:line="300" w:lineRule="auto"/>
        <w:jc w:val="center"/>
        <w:outlineLvl w:val="0"/>
        <w:rPr>
          <w:rFonts w:ascii="宋体" w:hAnsi="宋体" w:eastAsia="宋体" w:cs="宋体"/>
          <w:b/>
          <w:bCs/>
          <w:sz w:val="48"/>
          <w:szCs w:val="48"/>
          <w:lang w:val="zh-TW"/>
        </w:rPr>
      </w:pPr>
    </w:p>
    <w:p w14:paraId="244720AB">
      <w:pPr>
        <w:framePr w:wrap="auto" w:vAnchor="margin" w:hAnchor="text" w:yAlign="inline"/>
        <w:spacing w:before="120" w:beforeLines="50" w:after="120" w:afterLines="50" w:line="300" w:lineRule="auto"/>
        <w:jc w:val="center"/>
        <w:outlineLvl w:val="0"/>
        <w:rPr>
          <w:rFonts w:ascii="宋体" w:hAnsi="宋体" w:eastAsia="宋体" w:cs="宋体"/>
          <w:b/>
          <w:bCs/>
          <w:sz w:val="48"/>
          <w:szCs w:val="48"/>
          <w:lang w:val="zh-TW"/>
        </w:rPr>
      </w:pPr>
    </w:p>
    <w:p w14:paraId="57BD0820">
      <w:pPr>
        <w:framePr w:wrap="auto" w:vAnchor="margin" w:hAnchor="text" w:yAlign="inline"/>
        <w:spacing w:before="120" w:beforeLines="50" w:after="120" w:afterLines="50" w:line="300" w:lineRule="auto"/>
        <w:jc w:val="center"/>
        <w:outlineLvl w:val="0"/>
        <w:rPr>
          <w:rFonts w:ascii="宋体" w:hAnsi="宋体" w:eastAsia="宋体" w:cs="宋体"/>
          <w:b/>
          <w:bCs/>
          <w:sz w:val="48"/>
          <w:szCs w:val="48"/>
          <w:lang w:val="zh-TW"/>
        </w:rPr>
      </w:pPr>
    </w:p>
    <w:p w14:paraId="5D43AC48">
      <w:pPr>
        <w:framePr w:wrap="auto" w:vAnchor="margin" w:hAnchor="text" w:yAlign="inline"/>
        <w:spacing w:before="120" w:beforeLines="50" w:after="120" w:afterLines="50" w:line="300" w:lineRule="auto"/>
        <w:jc w:val="center"/>
        <w:outlineLvl w:val="0"/>
        <w:rPr>
          <w:rFonts w:ascii="黑体" w:hAnsi="黑体" w:eastAsia="黑体" w:cs="宋体"/>
          <w:sz w:val="48"/>
          <w:szCs w:val="48"/>
          <w:lang w:val="zh-TW"/>
        </w:rPr>
      </w:pPr>
      <w:r>
        <w:rPr>
          <w:rFonts w:ascii="黑体" w:hAnsi="黑体" w:eastAsia="黑体" w:cs="宋体"/>
          <w:sz w:val="48"/>
          <w:szCs w:val="48"/>
          <w:lang w:val="zh-TW"/>
        </w:rPr>
        <w:t>《</w:t>
      </w:r>
      <w:r>
        <w:rPr>
          <w:rFonts w:hint="eastAsia" w:ascii="黑体" w:hAnsi="黑体" w:eastAsia="黑体" w:cs="宋体"/>
          <w:sz w:val="48"/>
          <w:szCs w:val="48"/>
          <w:lang w:val="zh-TW"/>
        </w:rPr>
        <w:t>会展场馆等级划分与评定</w:t>
      </w:r>
      <w:r>
        <w:rPr>
          <w:rFonts w:ascii="黑体" w:hAnsi="黑体" w:eastAsia="黑体" w:cs="宋体"/>
          <w:sz w:val="48"/>
          <w:szCs w:val="48"/>
          <w:lang w:val="zh-TW"/>
        </w:rPr>
        <w:t>》</w:t>
      </w:r>
    </w:p>
    <w:p w14:paraId="09EDA2D2">
      <w:pPr>
        <w:framePr w:wrap="auto" w:vAnchor="margin" w:hAnchor="text" w:yAlign="inline"/>
        <w:spacing w:before="120" w:beforeLines="50" w:after="120" w:afterLines="50" w:line="300" w:lineRule="auto"/>
        <w:jc w:val="center"/>
        <w:outlineLvl w:val="0"/>
        <w:rPr>
          <w:rFonts w:ascii="黑体" w:hAnsi="黑体" w:eastAsia="黑体" w:cs="宋体"/>
          <w:sz w:val="48"/>
          <w:szCs w:val="48"/>
          <w:lang w:val="zh-TW"/>
        </w:rPr>
      </w:pPr>
      <w:r>
        <w:rPr>
          <w:rFonts w:ascii="黑体" w:hAnsi="黑体" w:eastAsia="黑体" w:cs="宋体"/>
          <w:sz w:val="48"/>
          <w:szCs w:val="48"/>
          <w:lang w:val="zh-TW"/>
        </w:rPr>
        <w:t>团体标准编制说明</w:t>
      </w:r>
    </w:p>
    <w:p w14:paraId="7C8C1B0B">
      <w:pPr>
        <w:framePr w:wrap="auto" w:vAnchor="margin" w:hAnchor="text" w:yAlign="inline"/>
        <w:spacing w:before="120" w:beforeLines="50" w:after="120" w:afterLines="50" w:line="300" w:lineRule="auto"/>
        <w:jc w:val="center"/>
        <w:outlineLvl w:val="0"/>
        <w:rPr>
          <w:rFonts w:ascii="黑体" w:hAnsi="黑体" w:eastAsia="黑体" w:cs="宋体"/>
          <w:sz w:val="48"/>
          <w:szCs w:val="48"/>
          <w:lang w:val="zh-TW"/>
        </w:rPr>
      </w:pPr>
      <w:r>
        <w:rPr>
          <w:rFonts w:ascii="黑体" w:hAnsi="黑体" w:eastAsia="黑体" w:cs="宋体"/>
          <w:sz w:val="48"/>
          <w:szCs w:val="48"/>
          <w:lang w:val="zh-TW"/>
        </w:rPr>
        <w:t>（</w:t>
      </w:r>
      <w:r>
        <w:rPr>
          <w:rFonts w:ascii="黑体" w:hAnsi="黑体" w:eastAsia="黑体" w:cs="宋体"/>
          <w:sz w:val="48"/>
          <w:szCs w:val="48"/>
        </w:rPr>
        <w:t>征求意见</w:t>
      </w:r>
      <w:r>
        <w:rPr>
          <w:rFonts w:ascii="黑体" w:hAnsi="黑体" w:eastAsia="黑体" w:cs="宋体"/>
          <w:sz w:val="48"/>
          <w:szCs w:val="48"/>
          <w:lang w:val="zh-TW"/>
        </w:rPr>
        <w:t>稿）</w:t>
      </w:r>
    </w:p>
    <w:p w14:paraId="25F65D26">
      <w:pPr>
        <w:framePr w:wrap="auto" w:vAnchor="margin" w:hAnchor="text" w:yAlign="inline"/>
        <w:spacing w:before="120" w:beforeLines="50" w:after="120" w:afterLines="50" w:line="300" w:lineRule="auto"/>
        <w:jc w:val="center"/>
        <w:outlineLvl w:val="0"/>
        <w:rPr>
          <w:rFonts w:ascii="宋体" w:hAnsi="宋体" w:eastAsia="宋体" w:cs="宋体"/>
          <w:b/>
          <w:bCs/>
          <w:sz w:val="48"/>
          <w:szCs w:val="48"/>
          <w:lang w:val="zh-TW"/>
        </w:rPr>
      </w:pPr>
    </w:p>
    <w:p w14:paraId="776040DC">
      <w:pPr>
        <w:framePr w:wrap="auto" w:vAnchor="margin" w:hAnchor="text" w:yAlign="inline"/>
        <w:spacing w:before="120" w:beforeLines="50" w:after="120" w:afterLines="50" w:line="300" w:lineRule="auto"/>
        <w:jc w:val="center"/>
        <w:outlineLvl w:val="0"/>
        <w:rPr>
          <w:rFonts w:ascii="宋体" w:hAnsi="宋体" w:eastAsia="宋体" w:cs="宋体"/>
          <w:b/>
          <w:bCs/>
          <w:sz w:val="48"/>
          <w:szCs w:val="48"/>
          <w:lang w:val="zh-TW"/>
        </w:rPr>
      </w:pPr>
    </w:p>
    <w:p w14:paraId="42A531C1">
      <w:pPr>
        <w:framePr w:wrap="auto" w:vAnchor="margin" w:hAnchor="text" w:yAlign="inline"/>
        <w:spacing w:before="120" w:beforeLines="50" w:after="120" w:afterLines="50" w:line="300" w:lineRule="auto"/>
        <w:outlineLvl w:val="0"/>
        <w:rPr>
          <w:rFonts w:ascii="宋体" w:hAnsi="宋体" w:eastAsia="宋体" w:cs="宋体"/>
          <w:b/>
          <w:bCs/>
          <w:sz w:val="48"/>
          <w:szCs w:val="48"/>
          <w:lang w:val="zh-TW"/>
        </w:rPr>
      </w:pPr>
    </w:p>
    <w:p w14:paraId="5672A070">
      <w:pPr>
        <w:framePr w:wrap="auto" w:vAnchor="margin" w:hAnchor="text" w:yAlign="inline"/>
        <w:spacing w:before="120" w:beforeLines="50" w:after="120" w:afterLines="50" w:line="300" w:lineRule="auto"/>
        <w:outlineLvl w:val="0"/>
        <w:rPr>
          <w:rFonts w:ascii="宋体" w:hAnsi="宋体" w:eastAsia="宋体" w:cs="宋体"/>
          <w:b/>
          <w:bCs/>
          <w:sz w:val="48"/>
          <w:szCs w:val="48"/>
          <w:lang w:val="zh-TW"/>
        </w:rPr>
      </w:pPr>
    </w:p>
    <w:p w14:paraId="0681D50A">
      <w:pPr>
        <w:framePr w:wrap="auto" w:vAnchor="margin" w:hAnchor="text" w:yAlign="inline"/>
        <w:spacing w:before="120" w:beforeLines="50" w:after="120" w:afterLines="50" w:line="300" w:lineRule="auto"/>
        <w:jc w:val="center"/>
        <w:outlineLvl w:val="0"/>
        <w:rPr>
          <w:rFonts w:ascii="宋体" w:hAnsi="宋体" w:eastAsia="宋体" w:cs="宋体"/>
          <w:b/>
          <w:bCs/>
          <w:sz w:val="48"/>
          <w:szCs w:val="48"/>
          <w:lang w:val="zh-TW"/>
        </w:rPr>
      </w:pPr>
    </w:p>
    <w:p w14:paraId="3DD686C6">
      <w:pPr>
        <w:framePr w:wrap="auto" w:vAnchor="margin" w:hAnchor="text" w:yAlign="inline"/>
        <w:spacing w:before="120" w:beforeLines="50" w:after="120" w:afterLines="50" w:line="300" w:lineRule="auto"/>
        <w:jc w:val="center"/>
        <w:outlineLvl w:val="0"/>
        <w:rPr>
          <w:rFonts w:ascii="宋体" w:hAnsi="宋体" w:eastAsia="宋体" w:cs="宋体"/>
          <w:b/>
          <w:bCs/>
          <w:sz w:val="48"/>
          <w:szCs w:val="48"/>
          <w:lang w:val="zh-TW"/>
        </w:rPr>
      </w:pPr>
    </w:p>
    <w:p w14:paraId="69FD1EDD">
      <w:pPr>
        <w:framePr w:wrap="auto" w:vAnchor="margin" w:hAnchor="text" w:yAlign="inline"/>
        <w:spacing w:before="120" w:beforeLines="50" w:after="120" w:afterLines="50" w:line="300" w:lineRule="auto"/>
        <w:jc w:val="center"/>
        <w:outlineLvl w:val="0"/>
        <w:rPr>
          <w:rFonts w:ascii="宋体" w:hAnsi="宋体" w:eastAsia="宋体" w:cs="宋体"/>
          <w:b/>
          <w:bCs/>
          <w:sz w:val="48"/>
          <w:szCs w:val="48"/>
          <w:lang w:val="zh-TW"/>
        </w:rPr>
      </w:pPr>
    </w:p>
    <w:p w14:paraId="2E95E252">
      <w:pPr>
        <w:framePr w:wrap="auto" w:vAnchor="margin" w:hAnchor="text" w:yAlign="inline"/>
        <w:spacing w:before="120" w:beforeLines="50" w:after="120" w:afterLines="50" w:line="300" w:lineRule="auto"/>
        <w:jc w:val="center"/>
        <w:outlineLvl w:val="0"/>
        <w:rPr>
          <w:rFonts w:ascii="宋体" w:hAnsi="宋体" w:eastAsia="宋体" w:cs="宋体"/>
          <w:b/>
          <w:bCs/>
          <w:sz w:val="28"/>
          <w:szCs w:val="28"/>
          <w:lang w:val="zh-TW"/>
        </w:rPr>
      </w:pPr>
      <w:r>
        <w:rPr>
          <w:rFonts w:hint="cs" w:ascii="宋体" w:hAnsi="宋体" w:eastAsia="宋体" w:cs="宋体"/>
          <w:b/>
          <w:bCs/>
          <w:sz w:val="28"/>
          <w:szCs w:val="28"/>
          <w:lang w:val="zh-TW"/>
        </w:rPr>
        <w:t>中国国际贸易促进委员会商业行业委员会</w:t>
      </w:r>
    </w:p>
    <w:p w14:paraId="47183C0E">
      <w:pPr>
        <w:framePr w:wrap="auto" w:vAnchor="margin" w:hAnchor="text" w:yAlign="inline"/>
        <w:spacing w:before="120" w:beforeLines="50" w:after="120" w:afterLines="50" w:line="300" w:lineRule="auto"/>
        <w:jc w:val="center"/>
        <w:outlineLvl w:val="0"/>
        <w:rPr>
          <w:rFonts w:ascii="宋体" w:hAnsi="宋体" w:eastAsia="宋体" w:cs="宋体"/>
          <w:sz w:val="28"/>
          <w:szCs w:val="28"/>
          <w:lang w:val="zh-TW" w:eastAsia="zh-TW"/>
        </w:rPr>
      </w:pPr>
      <w:r>
        <w:rPr>
          <w:rFonts w:ascii="宋体" w:hAnsi="宋体" w:eastAsia="宋体" w:cs="宋体"/>
          <w:sz w:val="28"/>
          <w:szCs w:val="28"/>
          <w:lang w:val="zh-TW" w:eastAsia="zh-TW"/>
        </w:rPr>
        <w:t>二〇</w:t>
      </w:r>
      <w:r>
        <w:rPr>
          <w:rFonts w:hint="eastAsia" w:ascii="宋体" w:hAnsi="宋体" w:eastAsia="宋体" w:cs="宋体"/>
          <w:sz w:val="28"/>
          <w:szCs w:val="28"/>
          <w:lang w:val="en-US" w:eastAsia="zh-CN"/>
        </w:rPr>
        <w:t>二六</w:t>
      </w:r>
      <w:r>
        <w:rPr>
          <w:rFonts w:ascii="宋体" w:hAnsi="宋体" w:eastAsia="宋体" w:cs="宋体"/>
          <w:sz w:val="28"/>
          <w:szCs w:val="28"/>
          <w:lang w:val="zh-TW" w:eastAsia="zh-TW"/>
        </w:rPr>
        <w:t>年</w:t>
      </w:r>
      <w:r>
        <w:rPr>
          <w:rFonts w:hint="eastAsia" w:ascii="宋体" w:hAnsi="宋体" w:eastAsia="宋体" w:cs="宋体"/>
          <w:sz w:val="28"/>
          <w:szCs w:val="28"/>
          <w:lang w:val="en-US" w:eastAsia="zh-CN"/>
        </w:rPr>
        <w:t>六</w:t>
      </w:r>
      <w:r>
        <w:rPr>
          <w:rFonts w:ascii="宋体" w:hAnsi="宋体" w:eastAsia="宋体" w:cs="宋体"/>
          <w:sz w:val="28"/>
          <w:szCs w:val="28"/>
          <w:lang w:val="zh-TW" w:eastAsia="zh-TW"/>
        </w:rPr>
        <w:t>月</w:t>
      </w:r>
      <w:r>
        <w:rPr>
          <w:rFonts w:hint="eastAsia" w:ascii="宋体" w:hAnsi="宋体" w:eastAsia="宋体" w:cs="宋体"/>
          <w:sz w:val="28"/>
          <w:szCs w:val="28"/>
          <w:lang w:val="en-US" w:eastAsia="zh-CN"/>
        </w:rPr>
        <w:t>一</w:t>
      </w:r>
      <w:r>
        <w:rPr>
          <w:rFonts w:ascii="宋体" w:hAnsi="宋体" w:eastAsia="宋体" w:cs="宋体"/>
          <w:sz w:val="28"/>
          <w:szCs w:val="28"/>
          <w:lang w:val="zh-TW" w:eastAsia="zh-TW"/>
        </w:rPr>
        <w:t>日</w:t>
      </w:r>
    </w:p>
    <w:p w14:paraId="07C4BDE1">
      <w:pPr>
        <w:framePr w:wrap="auto" w:vAnchor="margin" w:hAnchor="text" w:yAlign="inline"/>
        <w:spacing w:line="300" w:lineRule="auto"/>
        <w:jc w:val="center"/>
        <w:outlineLvl w:val="0"/>
        <w:rPr>
          <w:rFonts w:ascii="宋体" w:hAnsi="宋体" w:eastAsia="宋体" w:cs="宋体"/>
          <w:b/>
          <w:bCs/>
          <w:sz w:val="32"/>
          <w:szCs w:val="32"/>
          <w:lang w:val="zh-TW" w:eastAsia="zh-TW"/>
        </w:rPr>
        <w:sectPr>
          <w:headerReference r:id="rId3" w:type="default"/>
          <w:footerReference r:id="rId4" w:type="default"/>
          <w:pgSz w:w="11900" w:h="16840"/>
          <w:pgMar w:top="1440" w:right="1800" w:bottom="1440" w:left="1800" w:header="851" w:footer="992" w:gutter="0"/>
          <w:pgNumType w:start="1"/>
          <w:cols w:space="720" w:num="1"/>
        </w:sectPr>
      </w:pPr>
    </w:p>
    <w:p w14:paraId="21B51D95">
      <w:pPr>
        <w:framePr w:wrap="auto" w:vAnchor="margin" w:hAnchor="text" w:yAlign="inline"/>
        <w:spacing w:line="300" w:lineRule="auto"/>
        <w:jc w:val="center"/>
        <w:outlineLvl w:val="0"/>
        <w:rPr>
          <w:rFonts w:hint="default"/>
          <w:b/>
          <w:bCs/>
          <w:sz w:val="32"/>
          <w:szCs w:val="32"/>
          <w:lang w:val="zh-TW"/>
        </w:rPr>
      </w:pPr>
      <w:r>
        <w:rPr>
          <w:rFonts w:hint="cs" w:ascii="宋体" w:hAnsi="宋体" w:eastAsia="宋体" w:cs="宋体"/>
          <w:b/>
          <w:bCs/>
          <w:sz w:val="32"/>
          <w:szCs w:val="32"/>
          <w:lang w:val="zh-TW"/>
        </w:rPr>
        <w:t>《会展场馆等级划分与评定》</w:t>
      </w:r>
      <w:r>
        <w:rPr>
          <w:rFonts w:ascii="宋体" w:hAnsi="宋体" w:eastAsia="宋体" w:cs="宋体"/>
          <w:b/>
          <w:bCs/>
          <w:sz w:val="32"/>
          <w:szCs w:val="32"/>
          <w:lang w:val="zh-TW"/>
        </w:rPr>
        <w:t>团体标准编制说明</w:t>
      </w:r>
    </w:p>
    <w:p w14:paraId="3C3CA37D">
      <w:pPr>
        <w:framePr w:wrap="auto" w:vAnchor="margin" w:hAnchor="text" w:yAlign="inline"/>
        <w:spacing w:line="360" w:lineRule="auto"/>
        <w:ind w:firstLine="482"/>
        <w:rPr>
          <w:rFonts w:ascii="宋体" w:hAnsi="宋体" w:eastAsia="宋体" w:cs="宋体"/>
          <w:b/>
          <w:bCs/>
          <w:kern w:val="0"/>
          <w:sz w:val="24"/>
          <w:szCs w:val="24"/>
        </w:rPr>
      </w:pPr>
    </w:p>
    <w:p w14:paraId="7D58BB63">
      <w:pPr>
        <w:pStyle w:val="12"/>
        <w:framePr w:wrap="auto" w:vAnchor="margin" w:hAnchor="text" w:yAlign="inline"/>
        <w:numPr>
          <w:ilvl w:val="0"/>
          <w:numId w:val="2"/>
        </w:numPr>
        <w:spacing w:line="360" w:lineRule="auto"/>
        <w:rPr>
          <w:rFonts w:ascii="宋体" w:hAnsi="宋体" w:eastAsia="PMingLiU" w:cs="宋体"/>
          <w:b/>
          <w:bCs/>
          <w:color w:val="auto"/>
          <w:kern w:val="0"/>
          <w:sz w:val="24"/>
          <w:szCs w:val="24"/>
          <w:u w:color="0000FF"/>
          <w:lang w:val="zh-TW" w:eastAsia="zh-TW"/>
        </w:rPr>
      </w:pPr>
      <w:r>
        <w:rPr>
          <w:rFonts w:ascii="宋体" w:hAnsi="宋体" w:eastAsia="宋体" w:cs="宋体"/>
          <w:b/>
          <w:bCs/>
          <w:color w:val="auto"/>
          <w:kern w:val="0"/>
          <w:sz w:val="24"/>
          <w:szCs w:val="24"/>
          <w:u w:color="0000FF"/>
          <w:lang w:val="zh-TW" w:eastAsia="zh-TW"/>
        </w:rPr>
        <w:t>标准项目来源</w:t>
      </w:r>
    </w:p>
    <w:p w14:paraId="47B8DC82">
      <w:pPr>
        <w:framePr w:wrap="auto" w:vAnchor="margin" w:hAnchor="text" w:yAlign="inline"/>
        <w:spacing w:line="360" w:lineRule="auto"/>
        <w:ind w:firstLine="480"/>
        <w:rPr>
          <w:rFonts w:hint="eastAsia" w:ascii="宋体" w:hAnsi="宋体" w:eastAsia="宋体" w:cs="宋体"/>
          <w:color w:val="auto"/>
          <w:sz w:val="24"/>
          <w:szCs w:val="24"/>
          <w:lang w:val="zh-TW" w:eastAsia="zh-TW"/>
        </w:rPr>
      </w:pPr>
      <w:r>
        <w:rPr>
          <w:rFonts w:hint="eastAsia" w:ascii="宋体" w:hAnsi="宋体" w:eastAsia="宋体" w:cs="宋体"/>
          <w:color w:val="auto"/>
          <w:sz w:val="24"/>
          <w:szCs w:val="24"/>
          <w:lang w:val="zh-TW" w:eastAsia="zh-TW"/>
        </w:rPr>
        <w:t>会展业是现代服务业的重要组成部分，是促进贸易投资、扩大服务消费、推动产业协同、展示城市形象和服务高水平对外开放的重要平台。会展场馆作为会展活动的基础承载空间和综合服务平台，在展览展示、会议论坛、商务洽谈、产业交流、消费促进和重大活动保障等方面发挥着基础性作用。</w:t>
      </w:r>
    </w:p>
    <w:p w14:paraId="2843CACF">
      <w:pPr>
        <w:framePr w:wrap="auto" w:vAnchor="margin" w:hAnchor="text" w:yAlign="inline"/>
        <w:spacing w:line="360" w:lineRule="auto"/>
        <w:ind w:firstLine="480"/>
        <w:rPr>
          <w:rFonts w:hint="eastAsia" w:ascii="宋体" w:hAnsi="宋体" w:eastAsia="宋体" w:cs="宋体"/>
          <w:color w:val="auto"/>
          <w:sz w:val="24"/>
          <w:szCs w:val="24"/>
          <w:lang w:val="zh-TW" w:eastAsia="zh-TW"/>
        </w:rPr>
      </w:pPr>
      <w:r>
        <w:rPr>
          <w:rFonts w:hint="eastAsia" w:ascii="宋体" w:hAnsi="宋体" w:eastAsia="宋体" w:cs="宋体"/>
          <w:color w:val="auto"/>
          <w:sz w:val="24"/>
          <w:szCs w:val="24"/>
          <w:lang w:val="zh-TW" w:eastAsia="zh-TW"/>
        </w:rPr>
        <w:t>“十五五”时期，《中华人民共和国国民经济和社会发展第十五个五年规划纲要》《关于扩大服务消费的若干政策措施》《服务贸易标准化工作行动计划（2026—2030年）》等文件围绕现代服务业高质量发展、服务消费扩容提质、数字中国建设、绿色低碳转型和服务贸易标准化等方面作出系统部署，明确提出促进服务业优质高效发展，推进服务业数智化，加强服务标准和质量品牌建设，推动商旅文体健融合发展，培育服务消费新场景，提升服务贸易标准化水平。上述政策要求对会展场馆的综合承载能力、运营服务能力、安全保障能力、绿色低碳水平和数字化管理水平提出了更高要求。</w:t>
      </w:r>
    </w:p>
    <w:p w14:paraId="59BA0E52">
      <w:pPr>
        <w:framePr w:wrap="auto" w:vAnchor="margin" w:hAnchor="text" w:yAlign="inline"/>
        <w:spacing w:line="360" w:lineRule="auto"/>
        <w:ind w:firstLine="480"/>
        <w:rPr>
          <w:rFonts w:hint="eastAsia" w:ascii="宋体" w:hAnsi="宋体" w:eastAsia="宋体" w:cs="宋体"/>
          <w:color w:val="auto"/>
          <w:sz w:val="24"/>
          <w:szCs w:val="24"/>
          <w:lang w:val="zh-TW" w:eastAsia="zh-TW"/>
        </w:rPr>
      </w:pPr>
      <w:r>
        <w:rPr>
          <w:rFonts w:hint="eastAsia" w:ascii="宋体" w:hAnsi="宋体" w:eastAsia="宋体" w:cs="宋体"/>
          <w:color w:val="auto"/>
          <w:sz w:val="24"/>
          <w:szCs w:val="24"/>
          <w:lang w:val="zh-TW" w:eastAsia="zh-TW"/>
        </w:rPr>
        <w:t>随着我国会展场馆建设规模持续扩大，展览中心、会议中心和综合型会展场馆在不同区域、不同城市和不同运营主体之间，呈现出规模容量、功能布局、交通组织、安全保障、服务运营、绿色低碳、数字化水平和行业影响力等方面的发展差异。行业内亟需建立科学、统一、可操作的会展场馆等级划分与评定依据，引导会展场馆提升综合服务能力和可持续发展能力，为会展业高质量发展提供标准化支撑。</w:t>
      </w:r>
    </w:p>
    <w:p w14:paraId="1B2B9B1A">
      <w:pPr>
        <w:pStyle w:val="12"/>
        <w:framePr w:wrap="auto" w:vAnchor="margin" w:hAnchor="text" w:yAlign="inline"/>
        <w:spacing w:line="360" w:lineRule="auto"/>
        <w:ind w:left="482" w:firstLine="0"/>
        <w:rPr>
          <w:rFonts w:ascii="宋体" w:hAnsi="宋体" w:eastAsia="宋体" w:cs="宋体"/>
          <w:b/>
          <w:bCs/>
          <w:color w:val="auto"/>
          <w:kern w:val="0"/>
          <w:sz w:val="24"/>
          <w:szCs w:val="24"/>
          <w:u w:color="0000FF"/>
          <w:lang w:val="zh-TW"/>
        </w:rPr>
      </w:pPr>
      <w:r>
        <w:rPr>
          <w:rFonts w:ascii="宋体" w:hAnsi="宋体" w:eastAsia="宋体" w:cs="宋体"/>
          <w:b/>
          <w:bCs/>
          <w:color w:val="auto"/>
          <w:kern w:val="0"/>
          <w:sz w:val="24"/>
          <w:szCs w:val="24"/>
          <w:u w:color="0000FF"/>
          <w:lang w:val="zh-TW"/>
        </w:rPr>
        <w:t>二、标准制定的目的和意义</w:t>
      </w:r>
    </w:p>
    <w:p w14:paraId="74DD2E5F">
      <w:pPr>
        <w:framePr w:wrap="auto" w:vAnchor="margin" w:hAnchor="text" w:yAlign="inline"/>
        <w:spacing w:line="360" w:lineRule="auto"/>
        <w:ind w:firstLine="480"/>
        <w:rPr>
          <w:rFonts w:hint="cs" w:ascii="宋体" w:hAnsi="宋体" w:eastAsia="宋体" w:cs="宋体"/>
          <w:color w:val="auto"/>
          <w:sz w:val="24"/>
          <w:szCs w:val="24"/>
          <w:lang w:val="zh-TW"/>
        </w:rPr>
      </w:pPr>
      <w:r>
        <w:rPr>
          <w:rFonts w:hint="cs" w:ascii="宋体" w:hAnsi="宋体" w:eastAsia="宋体" w:cs="宋体"/>
          <w:color w:val="auto"/>
          <w:sz w:val="24"/>
          <w:szCs w:val="24"/>
          <w:lang w:val="zh-TW"/>
        </w:rPr>
        <w:t>本标准的研制，旨在建立科学、统一、可操作的会展场馆等级划分与评定体系，明确会展场馆等级划分、</w:t>
      </w:r>
      <w:r>
        <w:rPr>
          <w:rFonts w:hint="eastAsia" w:ascii="宋体" w:hAnsi="宋体" w:eastAsia="宋体" w:cs="宋体"/>
          <w:color w:val="auto"/>
          <w:sz w:val="24"/>
          <w:szCs w:val="24"/>
          <w:lang w:val="zh-TW" w:eastAsia="zh-CN"/>
        </w:rPr>
        <w:t>评定指标</w:t>
      </w:r>
      <w:r>
        <w:rPr>
          <w:rFonts w:hint="cs" w:ascii="宋体" w:hAnsi="宋体" w:eastAsia="宋体" w:cs="宋体"/>
          <w:color w:val="auto"/>
          <w:sz w:val="24"/>
          <w:szCs w:val="24"/>
          <w:lang w:val="zh-TW"/>
        </w:rPr>
        <w:t>、评定方法、评定程序和</w:t>
      </w:r>
      <w:r>
        <w:rPr>
          <w:rFonts w:hint="eastAsia" w:ascii="宋体" w:hAnsi="宋体" w:eastAsia="宋体" w:cs="宋体"/>
          <w:color w:val="auto"/>
          <w:sz w:val="24"/>
          <w:szCs w:val="24"/>
          <w:lang w:val="zh-TW" w:eastAsia="zh-CN"/>
        </w:rPr>
        <w:t>评定机构</w:t>
      </w:r>
      <w:r>
        <w:rPr>
          <w:rFonts w:hint="cs" w:ascii="宋体" w:hAnsi="宋体" w:eastAsia="宋体" w:cs="宋体"/>
          <w:color w:val="auto"/>
          <w:sz w:val="24"/>
          <w:szCs w:val="24"/>
          <w:lang w:val="zh-TW"/>
        </w:rPr>
        <w:t>要求，为境内新建、改扩建及已投入运营的展览中心、会议中心和综合型会展场馆开展等级评定提供依据。</w:t>
      </w:r>
    </w:p>
    <w:p w14:paraId="07A623BC">
      <w:pPr>
        <w:framePr w:wrap="auto" w:vAnchor="margin" w:hAnchor="text" w:yAlign="inline"/>
        <w:spacing w:line="360" w:lineRule="auto"/>
        <w:ind w:firstLine="480"/>
        <w:rPr>
          <w:rFonts w:hint="eastAsia" w:ascii="宋体" w:hAnsi="宋体" w:eastAsia="宋体" w:cs="宋体"/>
          <w:color w:val="auto"/>
          <w:sz w:val="24"/>
          <w:szCs w:val="24"/>
          <w:lang w:val="zh-TW" w:eastAsia="zh-CN"/>
        </w:rPr>
      </w:pPr>
      <w:r>
        <w:rPr>
          <w:rFonts w:hint="cs" w:ascii="宋体" w:hAnsi="宋体" w:eastAsia="宋体" w:cs="宋体"/>
          <w:color w:val="auto"/>
          <w:sz w:val="24"/>
          <w:szCs w:val="24"/>
          <w:lang w:val="zh-TW"/>
        </w:rPr>
        <w:t>本标准的制定具有以下意义：一是规范会展场馆等级评定工作，推动形成统一的</w:t>
      </w:r>
      <w:r>
        <w:rPr>
          <w:rFonts w:hint="eastAsia" w:ascii="宋体" w:hAnsi="宋体" w:eastAsia="宋体" w:cs="宋体"/>
          <w:color w:val="auto"/>
          <w:sz w:val="24"/>
          <w:szCs w:val="24"/>
          <w:lang w:val="zh-TW" w:eastAsia="zh-CN"/>
        </w:rPr>
        <w:t>评定尺度</w:t>
      </w:r>
      <w:r>
        <w:rPr>
          <w:rFonts w:hint="cs" w:ascii="宋体" w:hAnsi="宋体" w:eastAsia="宋体" w:cs="宋体"/>
          <w:color w:val="auto"/>
          <w:sz w:val="24"/>
          <w:szCs w:val="24"/>
          <w:lang w:val="zh-TW"/>
        </w:rPr>
        <w:t>和评定程序，提高会展场馆</w:t>
      </w:r>
      <w:r>
        <w:rPr>
          <w:rFonts w:hint="eastAsia" w:ascii="宋体" w:hAnsi="宋体" w:eastAsia="宋体" w:cs="宋体"/>
          <w:color w:val="auto"/>
          <w:sz w:val="24"/>
          <w:szCs w:val="24"/>
          <w:lang w:val="zh-TW" w:eastAsia="zh-CN"/>
        </w:rPr>
        <w:t>评定工作</w:t>
      </w:r>
      <w:r>
        <w:rPr>
          <w:rFonts w:hint="cs" w:ascii="宋体" w:hAnsi="宋体" w:eastAsia="宋体" w:cs="宋体"/>
          <w:color w:val="auto"/>
          <w:sz w:val="24"/>
          <w:szCs w:val="24"/>
          <w:lang w:val="zh-TW"/>
        </w:rPr>
        <w:t>的科学性、公正性和可比性；二是引导会展场馆提升综合承载能力、运营服务能力和安全保障能力，促进场馆在规模容量、功能布局、交通组织、服务质量、风险管理等方面持续改进；三是推动会展场馆绿色化、数字化和标准化发展，将绿色建筑、节能设计、数字运营平台、智能化配置、人流监测等内容纳入</w:t>
      </w:r>
      <w:r>
        <w:rPr>
          <w:rFonts w:hint="eastAsia" w:ascii="宋体" w:hAnsi="宋体" w:eastAsia="宋体" w:cs="宋体"/>
          <w:color w:val="auto"/>
          <w:sz w:val="24"/>
          <w:szCs w:val="24"/>
          <w:lang w:val="zh-TW" w:eastAsia="zh-CN"/>
        </w:rPr>
        <w:t>评定范围</w:t>
      </w:r>
      <w:r>
        <w:rPr>
          <w:rFonts w:hint="cs" w:ascii="宋体" w:hAnsi="宋体" w:eastAsia="宋体" w:cs="宋体"/>
          <w:color w:val="auto"/>
          <w:sz w:val="24"/>
          <w:szCs w:val="24"/>
          <w:lang w:val="zh-TW"/>
        </w:rPr>
        <w:t>，引导场馆提升绿色低碳和数字化管理水平；四是服务会展业高质量发展和服务消费场景拓展，为会展活动主承办单位选择场馆、场馆运营单位改进服务、行业组织</w:t>
      </w:r>
      <w:r>
        <w:rPr>
          <w:rFonts w:hint="eastAsia" w:ascii="宋体" w:hAnsi="宋体" w:eastAsia="宋体" w:cs="宋体"/>
          <w:color w:val="auto"/>
          <w:sz w:val="24"/>
          <w:szCs w:val="24"/>
          <w:lang w:val="zh-TW" w:eastAsia="zh-CN"/>
        </w:rPr>
        <w:t>开展等级评定</w:t>
      </w:r>
      <w:r>
        <w:rPr>
          <w:rFonts w:hint="cs" w:ascii="宋体" w:hAnsi="宋体" w:eastAsia="宋体" w:cs="宋体"/>
          <w:color w:val="auto"/>
          <w:sz w:val="24"/>
          <w:szCs w:val="24"/>
          <w:lang w:val="zh-TW"/>
        </w:rPr>
        <w:t>和有关方面加强行业引导提供参考，促进会展场馆分级分类管理和会展业规范有序发展</w:t>
      </w:r>
      <w:r>
        <w:rPr>
          <w:rFonts w:hint="eastAsia" w:ascii="宋体" w:hAnsi="宋体" w:eastAsia="宋体" w:cs="宋体"/>
          <w:color w:val="auto"/>
          <w:sz w:val="24"/>
          <w:szCs w:val="24"/>
          <w:lang w:val="zh-TW" w:eastAsia="zh-CN"/>
        </w:rPr>
        <w:t>。</w:t>
      </w:r>
    </w:p>
    <w:p w14:paraId="137B8E83">
      <w:pPr>
        <w:pStyle w:val="12"/>
        <w:framePr w:wrap="auto" w:vAnchor="margin" w:hAnchor="text" w:yAlign="inline"/>
        <w:spacing w:line="360" w:lineRule="auto"/>
        <w:ind w:left="482" w:firstLine="0"/>
        <w:rPr>
          <w:rFonts w:ascii="宋体" w:hAnsi="宋体" w:eastAsia="宋体" w:cs="宋体"/>
          <w:b/>
          <w:bCs/>
          <w:color w:val="auto"/>
          <w:kern w:val="0"/>
          <w:sz w:val="24"/>
          <w:szCs w:val="24"/>
          <w:u w:color="0000FF"/>
          <w:lang w:val="zh-TW"/>
        </w:rPr>
      </w:pPr>
      <w:r>
        <w:rPr>
          <w:rFonts w:ascii="宋体" w:hAnsi="宋体" w:eastAsia="宋体" w:cs="宋体"/>
          <w:b/>
          <w:bCs/>
          <w:color w:val="auto"/>
          <w:kern w:val="0"/>
          <w:sz w:val="24"/>
          <w:szCs w:val="24"/>
          <w:u w:color="0000FF"/>
          <w:lang w:val="zh-TW"/>
        </w:rPr>
        <w:t>三、标准起草的过程简述</w:t>
      </w:r>
    </w:p>
    <w:p w14:paraId="5F74D419">
      <w:pPr>
        <w:framePr w:wrap="auto" w:vAnchor="margin" w:hAnchor="text" w:yAlign="inline"/>
        <w:spacing w:line="360" w:lineRule="auto"/>
        <w:ind w:firstLine="236" w:firstLineChars="98"/>
        <w:rPr>
          <w:rFonts w:ascii="宋体" w:hAnsi="宋体" w:eastAsia="宋体" w:cs="宋体"/>
          <w:b/>
          <w:bCs/>
          <w:sz w:val="24"/>
          <w:szCs w:val="24"/>
          <w:lang w:val="zh-TW"/>
        </w:rPr>
      </w:pPr>
      <w:r>
        <w:rPr>
          <w:rFonts w:ascii="宋体" w:hAnsi="宋体" w:eastAsia="宋体" w:cs="宋体"/>
          <w:b/>
          <w:bCs/>
          <w:sz w:val="24"/>
          <w:szCs w:val="24"/>
          <w:lang w:val="zh-TW"/>
        </w:rPr>
        <w:t>（</w:t>
      </w:r>
      <w:r>
        <w:rPr>
          <w:rFonts w:hint="eastAsia" w:ascii="宋体" w:hAnsi="宋体" w:eastAsia="宋体" w:cs="宋体"/>
          <w:b/>
          <w:bCs/>
          <w:sz w:val="24"/>
          <w:szCs w:val="24"/>
          <w:lang w:val="en-US" w:eastAsia="zh-CN"/>
        </w:rPr>
        <w:t>一</w:t>
      </w:r>
      <w:r>
        <w:rPr>
          <w:rFonts w:ascii="宋体" w:hAnsi="宋体" w:eastAsia="宋体" w:cs="宋体"/>
          <w:b/>
          <w:bCs/>
          <w:sz w:val="24"/>
          <w:szCs w:val="24"/>
          <w:lang w:val="zh-TW"/>
        </w:rPr>
        <w:t>）立项阶段</w:t>
      </w:r>
    </w:p>
    <w:p w14:paraId="304B4FFF">
      <w:pPr>
        <w:framePr w:wrap="auto" w:vAnchor="margin" w:hAnchor="text" w:yAlign="inline"/>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202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年</w:t>
      </w:r>
      <w:r>
        <w:rPr>
          <w:rFonts w:hint="eastAsia" w:ascii="宋体" w:hAnsi="宋体" w:eastAsia="宋体" w:cs="宋体"/>
          <w:color w:val="auto"/>
          <w:sz w:val="24"/>
          <w:szCs w:val="24"/>
          <w:lang w:val="en-US" w:eastAsia="zh-CN"/>
        </w:rPr>
        <w:t>11月，</w:t>
      </w:r>
      <w:r>
        <w:rPr>
          <w:rFonts w:hint="eastAsia" w:ascii="宋体" w:hAnsi="宋体" w:eastAsia="宋体" w:cs="宋体"/>
          <w:color w:val="auto"/>
          <w:sz w:val="24"/>
          <w:szCs w:val="24"/>
        </w:rPr>
        <w:t>按照《中国贸促会商业行业委员会关于下达2023年第九批团体标准项目计划的通知》（商贸促字〔2023〕411号），中国国际贸易促进委员会商业行业委员会正式立项《会展场馆等级划分与评定》团体标准，明确标准的制定范围、等级划分框架、</w:t>
      </w:r>
      <w:r>
        <w:rPr>
          <w:rFonts w:hint="eastAsia" w:ascii="宋体" w:hAnsi="宋体" w:eastAsia="宋体" w:cs="宋体"/>
          <w:color w:val="auto"/>
          <w:sz w:val="24"/>
          <w:szCs w:val="24"/>
          <w:lang w:eastAsia="zh-CN"/>
        </w:rPr>
        <w:t>评定指标</w:t>
      </w:r>
      <w:r>
        <w:rPr>
          <w:rFonts w:hint="eastAsia" w:ascii="宋体" w:hAnsi="宋体" w:eastAsia="宋体" w:cs="宋体"/>
          <w:color w:val="auto"/>
          <w:sz w:val="24"/>
          <w:szCs w:val="24"/>
        </w:rPr>
        <w:t>体系和工作进度安排。</w:t>
      </w:r>
    </w:p>
    <w:p w14:paraId="5E1EC66C">
      <w:pPr>
        <w:framePr w:wrap="auto" w:vAnchor="margin" w:hAnchor="text" w:yAlign="inline"/>
        <w:spacing w:line="360" w:lineRule="auto"/>
        <w:ind w:firstLine="236" w:firstLineChars="98"/>
        <w:rPr>
          <w:rFonts w:ascii="宋体" w:hAnsi="宋体" w:eastAsia="宋体" w:cs="宋体"/>
          <w:b/>
          <w:bCs/>
          <w:sz w:val="24"/>
          <w:szCs w:val="24"/>
          <w:lang w:val="zh-TW"/>
        </w:rPr>
      </w:pPr>
      <w:r>
        <w:rPr>
          <w:rFonts w:ascii="宋体" w:hAnsi="宋体" w:eastAsia="宋体" w:cs="宋体"/>
          <w:b/>
          <w:bCs/>
          <w:sz w:val="24"/>
          <w:szCs w:val="24"/>
          <w:lang w:val="zh-TW"/>
        </w:rPr>
        <w:t>（</w:t>
      </w:r>
      <w:r>
        <w:rPr>
          <w:rFonts w:hint="eastAsia" w:ascii="宋体" w:hAnsi="宋体" w:eastAsia="宋体" w:cs="宋体"/>
          <w:b/>
          <w:bCs/>
          <w:sz w:val="24"/>
          <w:szCs w:val="24"/>
          <w:lang w:val="en-US" w:eastAsia="zh-CN"/>
        </w:rPr>
        <w:t>二</w:t>
      </w:r>
      <w:r>
        <w:rPr>
          <w:rFonts w:ascii="宋体" w:hAnsi="宋体" w:eastAsia="宋体" w:cs="宋体"/>
          <w:b/>
          <w:bCs/>
          <w:sz w:val="24"/>
          <w:szCs w:val="24"/>
          <w:lang w:val="zh-TW"/>
        </w:rPr>
        <w:t>）预研阶段</w:t>
      </w:r>
    </w:p>
    <w:p w14:paraId="2F0F2309">
      <w:pPr>
        <w:framePr w:wrap="auto" w:vAnchor="margin" w:hAnchor="text" w:yAlign="inline"/>
        <w:spacing w:line="360" w:lineRule="auto"/>
        <w:ind w:firstLine="480"/>
        <w:rPr>
          <w:rFonts w:hint="eastAsia" w:ascii="宋体" w:hAnsi="宋体" w:eastAsia="宋体" w:cs="宋体"/>
          <w:color w:val="auto"/>
          <w:sz w:val="24"/>
          <w:szCs w:val="24"/>
        </w:rPr>
      </w:pPr>
      <w:r>
        <w:rPr>
          <w:rFonts w:hint="cs" w:ascii="宋体" w:hAnsi="宋体" w:eastAsia="宋体" w:cs="宋体"/>
          <w:color w:val="auto"/>
          <w:sz w:val="24"/>
          <w:szCs w:val="24"/>
        </w:rPr>
        <w:t>2024年</w:t>
      </w:r>
      <w:r>
        <w:rPr>
          <w:rFonts w:hint="eastAsia" w:ascii="宋体" w:hAnsi="宋体" w:eastAsia="宋体" w:cs="宋体"/>
          <w:color w:val="auto"/>
          <w:sz w:val="24"/>
          <w:szCs w:val="24"/>
          <w:lang w:val="en-US" w:eastAsia="zh-CN"/>
        </w:rPr>
        <w:t>下</w:t>
      </w:r>
      <w:r>
        <w:rPr>
          <w:rFonts w:hint="cs" w:ascii="宋体" w:hAnsi="宋体" w:eastAsia="宋体" w:cs="宋体"/>
          <w:color w:val="auto"/>
          <w:sz w:val="24"/>
          <w:szCs w:val="24"/>
        </w:rPr>
        <w:t>半年，起草组围绕我国会展场馆建设与运营实际，梳理会展场馆服务管理、安全管理、功能设计、绿色建筑、智能建筑、无障碍设施、活动可持续性等相关标准规范和行业实践，分析展览中心、会议中心和综合型会展场馆在规模容量、功能布局、安全保障、服务运营、绿色低碳、数字化水平和行业影响力等方面的主要差异，研究会展场馆等级划分与评定的核心要素和指标框架，为标准研制奠定基础。</w:t>
      </w:r>
    </w:p>
    <w:p w14:paraId="476D2B3E">
      <w:pPr>
        <w:framePr w:wrap="auto" w:vAnchor="margin" w:hAnchor="text" w:yAlign="inline"/>
        <w:spacing w:line="360" w:lineRule="auto"/>
        <w:ind w:firstLine="236" w:firstLineChars="98"/>
        <w:rPr>
          <w:rFonts w:ascii="宋体" w:hAnsi="宋体" w:eastAsia="宋体" w:cs="宋体"/>
          <w:color w:val="FF0000"/>
          <w:sz w:val="24"/>
          <w:szCs w:val="24"/>
        </w:rPr>
      </w:pPr>
      <w:r>
        <w:rPr>
          <w:rFonts w:ascii="宋体" w:hAnsi="宋体" w:eastAsia="宋体" w:cs="宋体"/>
          <w:b/>
          <w:bCs/>
          <w:sz w:val="24"/>
          <w:szCs w:val="24"/>
          <w:lang w:val="zh-TW"/>
        </w:rPr>
        <w:t>（三）起草阶段</w:t>
      </w:r>
    </w:p>
    <w:p w14:paraId="2F3F7A98">
      <w:pPr>
        <w:framePr w:wrap="auto" w:vAnchor="margin" w:hAnchor="text" w:yAlign="inline"/>
        <w:spacing w:line="360" w:lineRule="auto"/>
        <w:ind w:firstLine="480"/>
        <w:rPr>
          <w:rFonts w:hint="default" w:ascii="宋体" w:hAnsi="宋体" w:eastAsia="宋体" w:cs="宋体"/>
          <w:color w:val="auto"/>
          <w:sz w:val="24"/>
          <w:szCs w:val="24"/>
        </w:rPr>
      </w:pPr>
      <w:r>
        <w:rPr>
          <w:rFonts w:hint="default" w:ascii="宋体" w:hAnsi="宋体" w:eastAsia="宋体" w:cs="宋体"/>
          <w:color w:val="auto"/>
          <w:sz w:val="24"/>
          <w:szCs w:val="24"/>
        </w:rPr>
        <w:t>202</w:t>
      </w:r>
      <w:r>
        <w:rPr>
          <w:rFonts w:hint="eastAsia" w:ascii="宋体" w:hAnsi="宋体" w:eastAsia="宋体" w:cs="宋体"/>
          <w:color w:val="auto"/>
          <w:sz w:val="24"/>
          <w:szCs w:val="24"/>
          <w:lang w:val="en-US" w:eastAsia="zh-CN"/>
        </w:rPr>
        <w:t>5</w:t>
      </w:r>
      <w:r>
        <w:rPr>
          <w:rFonts w:hint="default" w:ascii="宋体" w:hAnsi="宋体" w:eastAsia="宋体" w:cs="宋体"/>
          <w:color w:val="auto"/>
          <w:sz w:val="24"/>
          <w:szCs w:val="24"/>
        </w:rPr>
        <w:t>年</w:t>
      </w:r>
      <w:r>
        <w:rPr>
          <w:rFonts w:hint="eastAsia" w:ascii="宋体" w:hAnsi="宋体" w:eastAsia="宋体" w:cs="宋体"/>
          <w:color w:val="auto"/>
          <w:sz w:val="24"/>
          <w:szCs w:val="24"/>
          <w:lang w:val="en-US" w:eastAsia="zh-CN"/>
        </w:rPr>
        <w:t>上</w:t>
      </w:r>
      <w:r>
        <w:rPr>
          <w:rFonts w:hint="default" w:ascii="宋体" w:hAnsi="宋体" w:eastAsia="宋体" w:cs="宋体"/>
          <w:color w:val="auto"/>
          <w:sz w:val="24"/>
          <w:szCs w:val="24"/>
        </w:rPr>
        <w:t>半年</w:t>
      </w:r>
      <w:r>
        <w:rPr>
          <w:rFonts w:hint="eastAsia" w:ascii="宋体" w:hAnsi="宋体" w:eastAsia="宋体" w:cs="宋体"/>
          <w:color w:val="auto"/>
          <w:sz w:val="24"/>
          <w:szCs w:val="24"/>
          <w:lang w:val="en-US" w:eastAsia="zh-CN"/>
        </w:rPr>
        <w:t>起</w:t>
      </w:r>
      <w:r>
        <w:rPr>
          <w:rFonts w:hint="eastAsia" w:ascii="宋体" w:hAnsi="宋体" w:eastAsia="宋体" w:cs="宋体"/>
          <w:color w:val="auto"/>
          <w:sz w:val="24"/>
          <w:szCs w:val="24"/>
          <w:lang w:eastAsia="zh-CN"/>
        </w:rPr>
        <w:t>，由中国国际贸易促进委员会商业行业委员会</w:t>
      </w:r>
      <w:r>
        <w:rPr>
          <w:rFonts w:hint="eastAsia" w:ascii="宋体" w:hAnsi="宋体" w:eastAsia="宋体" w:cs="宋体"/>
          <w:color w:val="auto"/>
          <w:sz w:val="24"/>
          <w:szCs w:val="24"/>
          <w:lang w:val="en-US" w:eastAsia="zh-CN"/>
        </w:rPr>
        <w:t>牵头，</w:t>
      </w:r>
      <w:r>
        <w:rPr>
          <w:rFonts w:hint="eastAsia" w:ascii="宋体" w:hAnsi="宋体" w:eastAsia="宋体" w:cs="宋体"/>
          <w:color w:val="auto"/>
          <w:sz w:val="24"/>
          <w:szCs w:val="24"/>
          <w:lang w:eastAsia="zh-CN"/>
        </w:rPr>
        <w:t>组织相关会展场馆及会展企业共同参与起草，</w:t>
      </w:r>
      <w:r>
        <w:rPr>
          <w:rFonts w:hint="default" w:ascii="宋体" w:hAnsi="宋体" w:eastAsia="宋体" w:cs="宋体"/>
          <w:color w:val="auto"/>
          <w:sz w:val="24"/>
          <w:szCs w:val="24"/>
        </w:rPr>
        <w:t>参考GB/T 1.1—2020《标准化工作导则 第1部分：标准化文件的结构和起草规则》，结合会展场馆建设运营实际和相关标准要求，搭建标准框架，撰写标准草案。</w:t>
      </w:r>
      <w:r>
        <w:rPr>
          <w:rFonts w:hint="eastAsia" w:ascii="宋体" w:hAnsi="宋体" w:eastAsia="宋体" w:cs="宋体"/>
          <w:color w:val="auto"/>
          <w:sz w:val="24"/>
          <w:szCs w:val="24"/>
          <w:lang w:val="en-US" w:eastAsia="zh-CN"/>
        </w:rPr>
        <w:t>标准起草</w:t>
      </w:r>
      <w:r>
        <w:rPr>
          <w:rFonts w:hint="default" w:ascii="宋体" w:hAnsi="宋体" w:eastAsia="宋体" w:cs="宋体"/>
          <w:color w:val="auto"/>
          <w:sz w:val="24"/>
          <w:szCs w:val="24"/>
        </w:rPr>
        <w:t>期间多次召开研讨会，广泛吸纳</w:t>
      </w:r>
      <w:r>
        <w:rPr>
          <w:rFonts w:hint="eastAsia" w:ascii="宋体" w:hAnsi="宋体" w:eastAsia="宋体" w:cs="宋体"/>
          <w:color w:val="auto"/>
          <w:sz w:val="24"/>
          <w:szCs w:val="24"/>
          <w:lang w:val="en-US" w:eastAsia="zh-CN"/>
        </w:rPr>
        <w:t>行业</w:t>
      </w:r>
      <w:r>
        <w:rPr>
          <w:rFonts w:hint="default" w:ascii="宋体" w:hAnsi="宋体" w:eastAsia="宋体" w:cs="宋体"/>
          <w:color w:val="auto"/>
          <w:sz w:val="24"/>
          <w:szCs w:val="24"/>
        </w:rPr>
        <w:t>、</w:t>
      </w:r>
      <w:r>
        <w:rPr>
          <w:rFonts w:hint="eastAsia" w:ascii="宋体" w:hAnsi="宋体" w:eastAsia="宋体" w:cs="宋体"/>
          <w:color w:val="auto"/>
          <w:sz w:val="24"/>
          <w:szCs w:val="24"/>
          <w:lang w:val="en-US" w:eastAsia="zh-CN"/>
        </w:rPr>
        <w:t>场馆</w:t>
      </w:r>
      <w:r>
        <w:rPr>
          <w:rFonts w:hint="default" w:ascii="宋体" w:hAnsi="宋体" w:eastAsia="宋体" w:cs="宋体"/>
          <w:color w:val="auto"/>
          <w:sz w:val="24"/>
          <w:szCs w:val="24"/>
        </w:rPr>
        <w:t>、管理等领域专家意见，对草案进行反复修改完善。</w:t>
      </w:r>
    </w:p>
    <w:p w14:paraId="7B6CD58D">
      <w:pPr>
        <w:framePr w:wrap="auto" w:vAnchor="margin" w:hAnchor="text" w:yAlign="inline"/>
        <w:spacing w:line="360" w:lineRule="auto"/>
        <w:ind w:firstLine="236" w:firstLineChars="98"/>
        <w:rPr>
          <w:rFonts w:ascii="宋体" w:hAnsi="宋体" w:eastAsia="宋体" w:cs="宋体"/>
          <w:b/>
          <w:bCs/>
          <w:sz w:val="24"/>
          <w:szCs w:val="24"/>
          <w:lang w:val="zh-TW"/>
        </w:rPr>
      </w:pPr>
      <w:r>
        <w:rPr>
          <w:rFonts w:ascii="宋体" w:hAnsi="宋体" w:eastAsia="宋体" w:cs="宋体"/>
          <w:b/>
          <w:bCs/>
          <w:sz w:val="24"/>
          <w:szCs w:val="24"/>
          <w:lang w:val="zh-TW"/>
        </w:rPr>
        <w:t>（四）征求意见阶段</w:t>
      </w:r>
    </w:p>
    <w:p w14:paraId="2850AB2C">
      <w:pPr>
        <w:framePr w:wrap="auto" w:vAnchor="margin" w:hAnchor="text" w:yAlign="inline"/>
        <w:spacing w:line="360" w:lineRule="auto"/>
        <w:ind w:firstLine="480"/>
        <w:rPr>
          <w:rFonts w:ascii="宋体" w:hAnsi="宋体" w:eastAsia="宋体" w:cs="宋体"/>
          <w:sz w:val="24"/>
          <w:szCs w:val="24"/>
        </w:rPr>
      </w:pPr>
      <w:r>
        <w:rPr>
          <w:rFonts w:hint="default" w:ascii="宋体" w:hAnsi="宋体" w:eastAsia="宋体" w:cs="宋体"/>
          <w:sz w:val="24"/>
          <w:szCs w:val="24"/>
        </w:rPr>
        <w:t>2026年</w:t>
      </w:r>
      <w:r>
        <w:rPr>
          <w:rFonts w:hint="eastAsia" w:ascii="宋体" w:hAnsi="宋体" w:eastAsia="宋体" w:cs="宋体"/>
          <w:sz w:val="24"/>
          <w:szCs w:val="24"/>
          <w:lang w:val="en-US" w:eastAsia="zh-CN"/>
        </w:rPr>
        <w:t>6</w:t>
      </w:r>
      <w:r>
        <w:rPr>
          <w:rFonts w:hint="default" w:ascii="宋体" w:hAnsi="宋体" w:eastAsia="宋体" w:cs="宋体"/>
          <w:sz w:val="24"/>
          <w:szCs w:val="24"/>
        </w:rPr>
        <w:t>月，形成标准征求意见稿，通过线上线下结合的方式，面向相关</w:t>
      </w:r>
      <w:r>
        <w:rPr>
          <w:rFonts w:hint="eastAsia" w:ascii="宋体" w:hAnsi="宋体" w:eastAsia="宋体" w:cs="宋体"/>
          <w:sz w:val="24"/>
          <w:szCs w:val="24"/>
          <w:lang w:val="en-US" w:eastAsia="zh-CN"/>
        </w:rPr>
        <w:t>场馆</w:t>
      </w:r>
      <w:r>
        <w:rPr>
          <w:rFonts w:hint="default" w:ascii="宋体" w:hAnsi="宋体" w:eastAsia="宋体" w:cs="宋体"/>
          <w:sz w:val="24"/>
          <w:szCs w:val="24"/>
        </w:rPr>
        <w:t>、企业、行业组织及主管部门等广泛征求意见，进一步优化标准内容，确保其科学性、合理性和可操作性。</w:t>
      </w:r>
    </w:p>
    <w:p w14:paraId="350636CC">
      <w:pPr>
        <w:framePr w:wrap="auto" w:vAnchor="margin" w:hAnchor="text" w:yAlign="inline"/>
        <w:spacing w:line="360" w:lineRule="auto"/>
        <w:ind w:firstLine="482"/>
        <w:rPr>
          <w:rFonts w:ascii="宋体" w:hAnsi="宋体" w:eastAsia="宋体" w:cs="宋体"/>
          <w:b/>
          <w:bCs/>
          <w:kern w:val="0"/>
          <w:sz w:val="24"/>
          <w:szCs w:val="24"/>
          <w:lang w:val="zh-TW"/>
        </w:rPr>
      </w:pPr>
      <w:r>
        <w:rPr>
          <w:rFonts w:ascii="宋体" w:hAnsi="宋体" w:eastAsia="宋体" w:cs="宋体"/>
          <w:b/>
          <w:bCs/>
          <w:kern w:val="0"/>
          <w:sz w:val="24"/>
          <w:szCs w:val="24"/>
          <w:lang w:val="zh-TW"/>
        </w:rPr>
        <w:t>四、标准的主要内容和依据</w:t>
      </w:r>
    </w:p>
    <w:p w14:paraId="4A70EE99">
      <w:pPr>
        <w:framePr w:wrap="auto" w:vAnchor="margin" w:hAnchor="text" w:yAlign="inline"/>
        <w:spacing w:line="360" w:lineRule="auto"/>
        <w:ind w:firstLine="480"/>
        <w:rPr>
          <w:rFonts w:ascii="宋体" w:hAnsi="宋体" w:eastAsia="宋体" w:cs="宋体"/>
          <w:color w:val="auto"/>
          <w:sz w:val="24"/>
          <w:szCs w:val="24"/>
        </w:rPr>
      </w:pPr>
      <w:r>
        <w:rPr>
          <w:rFonts w:ascii="宋体" w:hAnsi="宋体" w:eastAsia="宋体" w:cs="宋体"/>
          <w:color w:val="auto"/>
          <w:sz w:val="24"/>
          <w:szCs w:val="24"/>
        </w:rPr>
        <w:t>1、</w:t>
      </w:r>
      <w:r>
        <w:rPr>
          <w:rFonts w:ascii="宋体" w:hAnsi="宋体" w:eastAsia="宋体" w:cs="宋体"/>
          <w:color w:val="auto"/>
          <w:sz w:val="24"/>
          <w:szCs w:val="24"/>
          <w:lang w:val="zh-TW"/>
        </w:rPr>
        <w:t>制定原则</w:t>
      </w:r>
    </w:p>
    <w:p w14:paraId="473FBEB1">
      <w:pPr>
        <w:framePr w:wrap="auto" w:vAnchor="margin" w:hAnchor="text" w:yAlign="inline"/>
        <w:spacing w:line="360" w:lineRule="auto"/>
        <w:ind w:firstLine="480"/>
        <w:rPr>
          <w:rFonts w:ascii="宋体" w:hAnsi="宋体" w:eastAsia="宋体" w:cs="宋体"/>
          <w:color w:val="auto"/>
          <w:sz w:val="24"/>
          <w:szCs w:val="24"/>
        </w:rPr>
      </w:pPr>
      <w:r>
        <w:rPr>
          <w:rFonts w:hint="eastAsia" w:ascii="宋体" w:hAnsi="宋体" w:eastAsia="宋体" w:cs="宋体"/>
          <w:color w:val="auto"/>
          <w:sz w:val="24"/>
          <w:szCs w:val="24"/>
          <w:lang w:val="zh-TW"/>
        </w:rPr>
        <w:t>本标准遵循科学规范、分类分级、主辅结合、</w:t>
      </w:r>
      <w:r>
        <w:rPr>
          <w:rFonts w:hint="eastAsia" w:ascii="宋体" w:hAnsi="宋体" w:eastAsia="宋体" w:cs="宋体"/>
          <w:color w:val="auto"/>
          <w:sz w:val="24"/>
          <w:szCs w:val="24"/>
          <w:lang w:val="en-US" w:eastAsia="zh-CN"/>
        </w:rPr>
        <w:t>便于实施</w:t>
      </w:r>
      <w:r>
        <w:rPr>
          <w:rFonts w:hint="eastAsia" w:ascii="宋体" w:hAnsi="宋体" w:eastAsia="宋体" w:cs="宋体"/>
          <w:color w:val="auto"/>
          <w:sz w:val="24"/>
          <w:szCs w:val="24"/>
          <w:lang w:val="zh-TW"/>
        </w:rPr>
        <w:t>、协调衔接的原则，既衔接国家有关现代服务业高质量发展、服务消费扩容提质、绿色低碳转型、数字化建设和服务贸易标准化等政策要求，又充分结合会展场馆建设运营和等级评</w:t>
      </w:r>
      <w:r>
        <w:rPr>
          <w:rFonts w:hint="eastAsia" w:ascii="宋体" w:hAnsi="宋体" w:eastAsia="宋体" w:cs="宋体"/>
          <w:color w:val="auto"/>
          <w:sz w:val="24"/>
          <w:szCs w:val="24"/>
          <w:lang w:val="en-US" w:eastAsia="zh-CN"/>
        </w:rPr>
        <w:t>定</w:t>
      </w:r>
      <w:r>
        <w:rPr>
          <w:rFonts w:hint="eastAsia" w:ascii="宋体" w:hAnsi="宋体" w:eastAsia="宋体" w:cs="宋体"/>
          <w:color w:val="auto"/>
          <w:sz w:val="24"/>
          <w:szCs w:val="24"/>
          <w:lang w:val="zh-TW"/>
        </w:rPr>
        <w:t>实践，兼顾规范性与可操作性、通用性与引导性。</w:t>
      </w:r>
    </w:p>
    <w:p w14:paraId="2DD5C994">
      <w:pPr>
        <w:pStyle w:val="8"/>
        <w:numPr>
          <w:ilvl w:val="0"/>
          <w:numId w:val="0"/>
        </w:numPr>
        <w:tabs>
          <w:tab w:val="left" w:pos="312"/>
        </w:tabs>
        <w:spacing w:before="240" w:after="240"/>
      </w:pPr>
      <w:r>
        <w:rPr>
          <w:rFonts w:hint="eastAsia" w:ascii="宋体" w:hAnsi="宋体" w:eastAsia="宋体" w:cs="宋体"/>
          <w:color w:val="FF0000"/>
          <w:sz w:val="24"/>
          <w:szCs w:val="24"/>
          <w:lang w:val="zh-TW"/>
        </w:rPr>
        <w:t xml:space="preserve">   </w:t>
      </w:r>
      <w:r>
        <w:rPr>
          <w:rFonts w:hint="eastAsia" w:ascii="宋体" w:hAnsi="宋体" w:eastAsia="宋体" w:cs="宋体"/>
          <w:sz w:val="24"/>
          <w:szCs w:val="24"/>
          <w:lang w:val="zh-TW"/>
        </w:rPr>
        <w:t xml:space="preserve"> 2、</w:t>
      </w:r>
      <w:r>
        <w:rPr>
          <w:rFonts w:ascii="宋体" w:hAnsi="宋体" w:eastAsia="宋体" w:cs="宋体"/>
          <w:sz w:val="24"/>
          <w:szCs w:val="24"/>
          <w:lang w:val="zh-TW"/>
        </w:rPr>
        <w:t>主要技术内容的说</w:t>
      </w:r>
      <w:r>
        <w:rPr>
          <w:rFonts w:hint="eastAsia" w:ascii="宋体" w:hAnsi="宋体" w:eastAsia="宋体" w:cs="宋体"/>
          <w:sz w:val="24"/>
          <w:szCs w:val="24"/>
          <w:lang w:val="zh-TW"/>
        </w:rPr>
        <w:t>明</w:t>
      </w:r>
    </w:p>
    <w:p w14:paraId="19C7D2EC">
      <w:pPr>
        <w:pStyle w:val="9"/>
        <w:spacing w:line="360" w:lineRule="auto"/>
        <w:ind w:firstLine="480"/>
        <w:rPr>
          <w:rFonts w:hint="cs" w:hAnsi="宋体" w:cs="宋体"/>
          <w:kern w:val="2"/>
          <w:sz w:val="24"/>
          <w:szCs w:val="24"/>
          <w:u w:color="000000"/>
          <w:lang w:val="zh-TW"/>
        </w:rPr>
      </w:pPr>
      <w:r>
        <w:rPr>
          <w:rFonts w:hint="cs" w:hAnsi="宋体" w:cs="宋体"/>
          <w:kern w:val="2"/>
          <w:sz w:val="24"/>
          <w:szCs w:val="24"/>
          <w:u w:color="000000"/>
          <w:lang w:val="zh-TW"/>
        </w:rPr>
        <w:t>本标准共分为5章及3个规范性附录，主要内容包括：</w:t>
      </w:r>
    </w:p>
    <w:p w14:paraId="479C8D8C">
      <w:pPr>
        <w:pStyle w:val="9"/>
        <w:spacing w:line="360" w:lineRule="auto"/>
        <w:ind w:firstLine="480"/>
        <w:rPr>
          <w:rFonts w:hint="cs" w:hAnsi="宋体" w:cs="宋体"/>
          <w:kern w:val="2"/>
          <w:sz w:val="24"/>
          <w:szCs w:val="24"/>
          <w:u w:color="000000"/>
          <w:lang w:val="zh-TW"/>
        </w:rPr>
      </w:pPr>
      <w:r>
        <w:rPr>
          <w:rFonts w:hint="cs" w:hAnsi="宋体" w:cs="宋体"/>
          <w:kern w:val="2"/>
          <w:sz w:val="24"/>
          <w:szCs w:val="24"/>
          <w:u w:color="000000"/>
          <w:lang w:val="zh-TW"/>
        </w:rPr>
        <w:t>范围：明确标准规定了会展场馆等级划分的基本条件、指标体系、评定方法，以及结果发布与复评要求，适用于境内新建、改扩建及已投入运营的展览中心、会议中心和综合型会展场馆的等级划分与评定。对于暂时性或移动式会展设施，可参照本</w:t>
      </w:r>
      <w:r>
        <w:rPr>
          <w:rFonts w:hint="eastAsia" w:hAnsi="宋体" w:cs="宋体"/>
          <w:kern w:val="2"/>
          <w:sz w:val="24"/>
          <w:szCs w:val="24"/>
          <w:u w:color="000000"/>
          <w:lang w:val="en-US" w:eastAsia="zh-CN"/>
        </w:rPr>
        <w:t>标准</w:t>
      </w:r>
      <w:bookmarkStart w:id="0" w:name="_GoBack"/>
      <w:bookmarkEnd w:id="0"/>
      <w:r>
        <w:rPr>
          <w:rFonts w:hint="cs" w:hAnsi="宋体" w:cs="宋体"/>
          <w:kern w:val="2"/>
          <w:sz w:val="24"/>
          <w:szCs w:val="24"/>
          <w:u w:color="000000"/>
          <w:lang w:val="zh-TW"/>
        </w:rPr>
        <w:t>执行，但不纳入正式等级评定范围。</w:t>
      </w:r>
    </w:p>
    <w:p w14:paraId="45F40005">
      <w:pPr>
        <w:pStyle w:val="9"/>
        <w:spacing w:line="360" w:lineRule="auto"/>
        <w:ind w:firstLine="480"/>
        <w:rPr>
          <w:rFonts w:hint="cs" w:hAnsi="宋体" w:cs="宋体"/>
          <w:kern w:val="2"/>
          <w:sz w:val="24"/>
          <w:szCs w:val="24"/>
          <w:u w:color="000000"/>
          <w:lang w:val="zh-TW"/>
        </w:rPr>
      </w:pPr>
      <w:r>
        <w:rPr>
          <w:rFonts w:hint="cs" w:hAnsi="宋体" w:cs="宋体"/>
          <w:kern w:val="2"/>
          <w:sz w:val="24"/>
          <w:szCs w:val="24"/>
          <w:u w:color="000000"/>
          <w:lang w:val="zh-TW"/>
        </w:rPr>
        <w:t>规范性引用文件：列出标准实施所需引用的相关标准文件，包括GB/T 41129—2021《绿色展台评价指南》、GB 50189—2015《公共建筑节能设计标准》、GB 50314—2015《智能建筑设计标准》、GB/T 50378—2019《绿色建筑评价标准》等，为绿色展台、节能设计、智能化配置和绿色建筑</w:t>
      </w:r>
      <w:r>
        <w:rPr>
          <w:rFonts w:hint="eastAsia" w:hAnsi="宋体" w:cs="宋体"/>
          <w:kern w:val="2"/>
          <w:sz w:val="24"/>
          <w:szCs w:val="24"/>
          <w:u w:color="000000"/>
          <w:lang w:val="en-US" w:eastAsia="zh-CN"/>
        </w:rPr>
        <w:t>相关指标</w:t>
      </w:r>
      <w:r>
        <w:rPr>
          <w:rFonts w:hint="cs" w:hAnsi="宋体" w:cs="宋体"/>
          <w:kern w:val="2"/>
          <w:sz w:val="24"/>
          <w:szCs w:val="24"/>
          <w:u w:color="000000"/>
          <w:lang w:val="zh-TW"/>
        </w:rPr>
        <w:t>设置提供依据。</w:t>
      </w:r>
    </w:p>
    <w:p w14:paraId="5FFA51FC">
      <w:pPr>
        <w:pStyle w:val="9"/>
        <w:spacing w:line="360" w:lineRule="auto"/>
        <w:ind w:firstLine="480"/>
        <w:rPr>
          <w:rFonts w:hint="cs" w:hAnsi="宋体" w:cs="宋体"/>
          <w:kern w:val="2"/>
          <w:sz w:val="24"/>
          <w:szCs w:val="24"/>
          <w:u w:color="000000"/>
          <w:lang w:val="zh-TW"/>
        </w:rPr>
      </w:pPr>
      <w:r>
        <w:rPr>
          <w:rFonts w:hint="cs" w:hAnsi="宋体" w:cs="宋体"/>
          <w:kern w:val="2"/>
          <w:sz w:val="24"/>
          <w:szCs w:val="24"/>
          <w:u w:color="000000"/>
          <w:lang w:val="zh-TW"/>
        </w:rPr>
        <w:t>术语和定义：界定会展、会展场馆、室内净展览面积、最大瞬时安全容纳人数、人流/物流动线分离等核心术语，统一行业认知</w:t>
      </w:r>
      <w:r>
        <w:rPr>
          <w:rFonts w:hint="eastAsia" w:hAnsi="宋体" w:cs="宋体"/>
          <w:kern w:val="2"/>
          <w:sz w:val="24"/>
          <w:szCs w:val="24"/>
          <w:u w:color="000000"/>
          <w:lang w:val="zh-TW" w:eastAsia="zh-CN"/>
        </w:rPr>
        <w:t>。</w:t>
      </w:r>
    </w:p>
    <w:p w14:paraId="4AE709A3">
      <w:pPr>
        <w:pStyle w:val="9"/>
        <w:spacing w:line="360" w:lineRule="auto"/>
        <w:ind w:firstLine="480"/>
        <w:rPr>
          <w:rFonts w:hint="cs" w:hAnsi="宋体" w:cs="宋体"/>
          <w:kern w:val="2"/>
          <w:sz w:val="24"/>
          <w:szCs w:val="24"/>
          <w:u w:color="000000"/>
          <w:lang w:val="zh-TW"/>
        </w:rPr>
      </w:pPr>
      <w:r>
        <w:rPr>
          <w:rFonts w:hint="cs" w:hAnsi="宋体" w:cs="宋体"/>
          <w:kern w:val="2"/>
          <w:sz w:val="24"/>
          <w:szCs w:val="24"/>
          <w:u w:color="000000"/>
          <w:lang w:val="zh-TW"/>
        </w:rPr>
        <w:t>会展场馆等级的划分和评定方式：规定会展场馆等级由高至低划分为AAAAA级（5A）、AAAA级（4A）、AAA级（3A）、AA级（2A）和A级五个等级；明确申请评定等级的会展场馆应满足依法取得建设工程竣工验收备案或消防验收合格证明、近三年内无安全事故、运营主体合法存续、场馆物业及设施管理责任主体明确、安全管理制度健全等基本条件；规定采用百分制评分方式，主</w:t>
      </w:r>
      <w:r>
        <w:rPr>
          <w:rFonts w:hint="eastAsia" w:hAnsi="宋体" w:cs="宋体"/>
          <w:kern w:val="2"/>
          <w:sz w:val="24"/>
          <w:szCs w:val="24"/>
          <w:u w:color="000000"/>
          <w:lang w:val="zh-TW" w:eastAsia="zh-CN"/>
        </w:rPr>
        <w:t>评定指标</w:t>
      </w:r>
      <w:r>
        <w:rPr>
          <w:rFonts w:hint="cs" w:hAnsi="宋体" w:cs="宋体"/>
          <w:kern w:val="2"/>
          <w:sz w:val="24"/>
          <w:szCs w:val="24"/>
          <w:u w:color="000000"/>
          <w:lang w:val="zh-TW"/>
        </w:rPr>
        <w:t>权重合计80%，辅助</w:t>
      </w:r>
      <w:r>
        <w:rPr>
          <w:rFonts w:hint="eastAsia" w:hAnsi="宋体" w:cs="宋体"/>
          <w:kern w:val="2"/>
          <w:sz w:val="24"/>
          <w:szCs w:val="24"/>
          <w:u w:color="000000"/>
          <w:lang w:val="zh-TW" w:eastAsia="zh-CN"/>
        </w:rPr>
        <w:t>评定指标</w:t>
      </w:r>
      <w:r>
        <w:rPr>
          <w:rFonts w:hint="cs" w:hAnsi="宋体" w:cs="宋体"/>
          <w:kern w:val="2"/>
          <w:sz w:val="24"/>
          <w:szCs w:val="24"/>
          <w:u w:color="000000"/>
          <w:lang w:val="zh-TW"/>
        </w:rPr>
        <w:t>权重合计20%</w:t>
      </w:r>
      <w:r>
        <w:rPr>
          <w:rFonts w:hint="eastAsia" w:hAnsi="宋体" w:cs="宋体"/>
          <w:kern w:val="2"/>
          <w:sz w:val="24"/>
          <w:szCs w:val="24"/>
          <w:u w:color="000000"/>
          <w:lang w:val="zh-TW" w:eastAsia="zh-CN"/>
        </w:rPr>
        <w:t>；</w:t>
      </w:r>
      <w:r>
        <w:rPr>
          <w:rFonts w:hint="cs" w:hAnsi="宋体" w:cs="宋体"/>
          <w:kern w:val="2"/>
          <w:sz w:val="24"/>
          <w:szCs w:val="24"/>
          <w:u w:color="000000"/>
          <w:lang w:val="zh-TW"/>
        </w:rPr>
        <w:t>明确各等级在主评分、辅评分和总分方面的最低要求，并对申请材料、文件审查、现场评定、专家评审、公示、证书与标识、有效期与复评、异议与申诉等程序性要求作出规定。</w:t>
      </w:r>
    </w:p>
    <w:p w14:paraId="2220A2B2">
      <w:pPr>
        <w:pStyle w:val="9"/>
        <w:spacing w:line="360" w:lineRule="auto"/>
        <w:ind w:firstLine="480"/>
        <w:rPr>
          <w:rFonts w:hint="cs" w:hAnsi="宋体" w:cs="宋体"/>
          <w:kern w:val="2"/>
          <w:sz w:val="24"/>
          <w:szCs w:val="24"/>
          <w:u w:color="000000"/>
          <w:lang w:val="zh-TW"/>
        </w:rPr>
      </w:pPr>
      <w:r>
        <w:rPr>
          <w:rFonts w:hint="eastAsia" w:hAnsi="宋体" w:cs="宋体"/>
          <w:kern w:val="2"/>
          <w:sz w:val="24"/>
          <w:szCs w:val="24"/>
          <w:u w:color="000000"/>
          <w:lang w:val="zh-TW" w:eastAsia="zh-CN"/>
        </w:rPr>
        <w:t>评定机构</w:t>
      </w:r>
      <w:r>
        <w:rPr>
          <w:rFonts w:hint="cs" w:hAnsi="宋体" w:cs="宋体"/>
          <w:kern w:val="2"/>
          <w:sz w:val="24"/>
          <w:szCs w:val="24"/>
          <w:u w:color="000000"/>
          <w:lang w:val="zh-TW"/>
        </w:rPr>
        <w:t>：规定</w:t>
      </w:r>
      <w:r>
        <w:rPr>
          <w:rFonts w:hint="eastAsia" w:hAnsi="宋体" w:cs="宋体"/>
          <w:kern w:val="2"/>
          <w:sz w:val="24"/>
          <w:szCs w:val="24"/>
          <w:u w:color="000000"/>
          <w:lang w:val="zh-TW" w:eastAsia="zh-CN"/>
        </w:rPr>
        <w:t>评定机构</w:t>
      </w:r>
      <w:r>
        <w:rPr>
          <w:rFonts w:hint="cs" w:hAnsi="宋体" w:cs="宋体"/>
          <w:kern w:val="2"/>
          <w:sz w:val="24"/>
          <w:szCs w:val="24"/>
          <w:u w:color="000000"/>
          <w:lang w:val="zh-TW"/>
        </w:rPr>
        <w:t>作为承担会展场馆等级评定的第三方主体，应保持技术独立、公正客观，并对评定结果的真实性和有效性负责；明确</w:t>
      </w:r>
      <w:r>
        <w:rPr>
          <w:rFonts w:hint="eastAsia" w:hAnsi="宋体" w:cs="宋体"/>
          <w:kern w:val="2"/>
          <w:sz w:val="24"/>
          <w:szCs w:val="24"/>
          <w:u w:color="000000"/>
          <w:lang w:val="zh-TW" w:eastAsia="zh-CN"/>
        </w:rPr>
        <w:t>评定机构</w:t>
      </w:r>
      <w:r>
        <w:rPr>
          <w:rFonts w:hint="cs" w:hAnsi="宋体" w:cs="宋体"/>
          <w:kern w:val="2"/>
          <w:sz w:val="24"/>
          <w:szCs w:val="24"/>
          <w:u w:color="000000"/>
          <w:lang w:val="zh-TW"/>
        </w:rPr>
        <w:t>的设立条件、人员要求、质量保证及监督管理要求，对</w:t>
      </w:r>
      <w:r>
        <w:rPr>
          <w:rFonts w:hint="eastAsia" w:hAnsi="宋体" w:cs="宋体"/>
          <w:kern w:val="2"/>
          <w:sz w:val="24"/>
          <w:szCs w:val="24"/>
          <w:u w:color="000000"/>
          <w:lang w:val="zh-TW" w:eastAsia="zh-CN"/>
        </w:rPr>
        <w:t>评定机构</w:t>
      </w:r>
      <w:r>
        <w:rPr>
          <w:rFonts w:hint="cs" w:hAnsi="宋体" w:cs="宋体"/>
          <w:kern w:val="2"/>
          <w:sz w:val="24"/>
          <w:szCs w:val="24"/>
          <w:u w:color="000000"/>
          <w:lang w:val="zh-TW"/>
        </w:rPr>
        <w:t>依法登记、专业能力、专家回避、公正性与保密声明、内部审核、外部监督审核和归口单位监督抽查等作出规定。</w:t>
      </w:r>
    </w:p>
    <w:p w14:paraId="4CB227EB">
      <w:pPr>
        <w:pStyle w:val="9"/>
        <w:spacing w:line="360" w:lineRule="auto"/>
        <w:ind w:firstLine="480"/>
        <w:rPr>
          <w:rFonts w:hint="cs" w:hAnsi="宋体" w:cs="宋体"/>
          <w:kern w:val="2"/>
          <w:sz w:val="24"/>
          <w:szCs w:val="24"/>
          <w:u w:color="000000"/>
          <w:lang w:val="zh-TW"/>
        </w:rPr>
      </w:pPr>
      <w:r>
        <w:rPr>
          <w:rFonts w:hint="cs" w:hAnsi="宋体" w:cs="宋体"/>
          <w:kern w:val="2"/>
          <w:sz w:val="24"/>
          <w:szCs w:val="24"/>
          <w:u w:color="000000"/>
          <w:lang w:val="zh-TW"/>
        </w:rPr>
        <w:t>附录A：规定会展场馆等级划分与评定评分表，对规模与容量、功能布局与交通组织、安全与风险管理、服务与运营效能、绿色与可持续发展、数字化水平、无障碍与社会责任、经济与行业影响力等指标的单项满分值和评分档位作出具体规定，是开展等级评定的主要操作依据。</w:t>
      </w:r>
    </w:p>
    <w:p w14:paraId="7BB2D738">
      <w:pPr>
        <w:pStyle w:val="9"/>
        <w:spacing w:line="360" w:lineRule="auto"/>
        <w:ind w:firstLine="480"/>
        <w:rPr>
          <w:rFonts w:hint="cs" w:hAnsi="宋体" w:cs="宋体"/>
          <w:kern w:val="2"/>
          <w:sz w:val="24"/>
          <w:szCs w:val="24"/>
          <w:u w:color="000000"/>
          <w:lang w:val="zh-TW"/>
        </w:rPr>
      </w:pPr>
      <w:r>
        <w:rPr>
          <w:rFonts w:hint="cs" w:hAnsi="宋体" w:cs="宋体"/>
          <w:kern w:val="2"/>
          <w:sz w:val="24"/>
          <w:szCs w:val="24"/>
          <w:u w:color="000000"/>
          <w:lang w:val="zh-TW"/>
        </w:rPr>
        <w:t>附录B：规定会展场馆等级评定申请表，为申请单位提交评定材料提供统一格式。</w:t>
      </w:r>
    </w:p>
    <w:p w14:paraId="64A7391F">
      <w:pPr>
        <w:pStyle w:val="9"/>
        <w:spacing w:line="360" w:lineRule="auto"/>
        <w:ind w:firstLine="480"/>
        <w:rPr>
          <w:rFonts w:hint="cs" w:hAnsi="宋体" w:cs="宋体"/>
          <w:kern w:val="2"/>
          <w:sz w:val="24"/>
          <w:szCs w:val="24"/>
          <w:u w:color="000000"/>
          <w:lang w:val="zh-TW"/>
        </w:rPr>
      </w:pPr>
      <w:r>
        <w:rPr>
          <w:rFonts w:hint="cs" w:hAnsi="宋体" w:cs="宋体"/>
          <w:kern w:val="2"/>
          <w:sz w:val="24"/>
          <w:szCs w:val="24"/>
          <w:u w:color="000000"/>
          <w:lang w:val="zh-TW"/>
        </w:rPr>
        <w:t>附录C：规定等级评定流程图，对会展场馆等级评定的基本流程进行图示化说明，提高评定工作的程序化、规范化和可操作性。</w:t>
      </w:r>
    </w:p>
    <w:p w14:paraId="794FA40F">
      <w:pPr>
        <w:pStyle w:val="9"/>
        <w:spacing w:line="360" w:lineRule="auto"/>
        <w:ind w:firstLine="480"/>
        <w:rPr>
          <w:rFonts w:hint="eastAsia" w:hAnsi="宋体" w:cs="宋体"/>
          <w:kern w:val="2"/>
          <w:sz w:val="24"/>
          <w:szCs w:val="24"/>
          <w:u w:color="000000"/>
          <w:lang w:val="en-US" w:eastAsia="zh-CN"/>
        </w:rPr>
      </w:pPr>
      <w:r>
        <w:rPr>
          <w:rFonts w:hint="eastAsia" w:hAnsi="宋体" w:cs="宋体"/>
          <w:kern w:val="2"/>
          <w:sz w:val="24"/>
          <w:szCs w:val="24"/>
          <w:u w:color="000000"/>
          <w:lang w:val="en-US" w:eastAsia="zh-CN"/>
        </w:rPr>
        <w:t>3、编写依据</w:t>
      </w:r>
    </w:p>
    <w:p w14:paraId="6111B773">
      <w:pPr>
        <w:pStyle w:val="9"/>
        <w:spacing w:line="360" w:lineRule="auto"/>
        <w:ind w:firstLine="480"/>
        <w:rPr>
          <w:rFonts w:hint="default" w:hAnsi="宋体" w:cs="宋体"/>
          <w:kern w:val="2"/>
          <w:sz w:val="24"/>
          <w:szCs w:val="24"/>
          <w:u w:color="000000"/>
          <w:lang w:val="en-US" w:eastAsia="zh-CN"/>
        </w:rPr>
      </w:pPr>
      <w:r>
        <w:rPr>
          <w:rFonts w:hint="eastAsia" w:hAnsi="宋体" w:cs="宋体"/>
          <w:kern w:val="2"/>
          <w:sz w:val="24"/>
          <w:szCs w:val="24"/>
          <w:u w:color="000000"/>
          <w:lang w:val="en-US" w:eastAsia="zh-CN"/>
        </w:rPr>
        <w:t>本标准严格遵循GB/T 1.1—2020《标准化工作导则 第1部分：标准化文件的结构和起草规则》编制，主要依据《中华人民共和国标准化法》《中华人民共和国国民经济和社会发展第十五个五年规划纲要》《关于扩大服务消费的若干政策措施》《服务贸易标准化工作行动计划（2026—2030年）》等国家政策文件，参考GB/T 26165—2021《经济贸易展览会 术语》、GB/T 34395—2017《展览场馆功能性设计指南》、GB/T 50378—2019《绿色建筑评价标准》、GB 50189—2015《公共建筑节能设计标准》、GB 50314—2015《智能建筑设计标准》、SB/T 10358—2012《专业性展览会等级的划分及评定》等相关国家标准和行业标准，结合会展场馆等级划分与评定实际编制而成。</w:t>
      </w:r>
    </w:p>
    <w:p w14:paraId="6E2B2166">
      <w:pPr>
        <w:framePr w:wrap="auto" w:vAnchor="margin" w:hAnchor="text" w:yAlign="inline"/>
        <w:spacing w:line="360" w:lineRule="auto"/>
        <w:ind w:firstLine="482"/>
        <w:rPr>
          <w:rFonts w:ascii="宋体" w:hAnsi="宋体" w:eastAsia="宋体" w:cs="宋体"/>
          <w:b/>
          <w:bCs/>
          <w:kern w:val="0"/>
          <w:sz w:val="24"/>
          <w:szCs w:val="24"/>
          <w:lang w:val="zh-TW"/>
        </w:rPr>
      </w:pPr>
      <w:r>
        <w:rPr>
          <w:rFonts w:ascii="宋体" w:hAnsi="宋体" w:eastAsia="宋体" w:cs="宋体"/>
          <w:b/>
          <w:bCs/>
          <w:kern w:val="0"/>
          <w:sz w:val="24"/>
          <w:szCs w:val="24"/>
          <w:lang w:val="zh-TW"/>
        </w:rPr>
        <w:t>五、标准的水平</w:t>
      </w:r>
    </w:p>
    <w:p w14:paraId="071F82C1">
      <w:pPr>
        <w:framePr w:wrap="auto" w:vAnchor="margin" w:hAnchor="text" w:yAlign="inline"/>
        <w:spacing w:line="360" w:lineRule="auto"/>
        <w:ind w:firstLine="480"/>
        <w:rPr>
          <w:rFonts w:hint="eastAsia" w:ascii="宋体" w:hAnsi="宋体" w:eastAsia="宋体" w:cs="宋体"/>
          <w:sz w:val="24"/>
          <w:szCs w:val="24"/>
          <w:lang w:val="zh-TW" w:eastAsia="zh-CN"/>
        </w:rPr>
      </w:pPr>
      <w:r>
        <w:rPr>
          <w:rFonts w:hint="eastAsia" w:ascii="宋体" w:hAnsi="宋体" w:eastAsia="宋体" w:cs="宋体"/>
          <w:sz w:val="24"/>
          <w:szCs w:val="24"/>
          <w:lang w:val="zh-TW"/>
        </w:rPr>
        <w:t>本标准围绕会展场馆等级划分与评定工作，建立了较为完整的</w:t>
      </w:r>
      <w:r>
        <w:rPr>
          <w:rFonts w:hint="eastAsia" w:ascii="宋体" w:hAnsi="宋体" w:eastAsia="宋体" w:cs="宋体"/>
          <w:sz w:val="24"/>
          <w:szCs w:val="24"/>
          <w:lang w:val="zh-TW" w:eastAsia="zh-CN"/>
        </w:rPr>
        <w:t>评定体系</w:t>
      </w:r>
      <w:r>
        <w:rPr>
          <w:rFonts w:hint="eastAsia" w:ascii="宋体" w:hAnsi="宋体" w:eastAsia="宋体" w:cs="宋体"/>
          <w:sz w:val="24"/>
          <w:szCs w:val="24"/>
          <w:lang w:val="zh-TW"/>
        </w:rPr>
        <w:t>，将会展场馆的规模容量、功能布局、交通组织、安全风险管理、服务运营效能、绿色可持续发展、数字化水平、无障碍与社会责任、经济与行业影响力等内容纳入</w:t>
      </w:r>
      <w:r>
        <w:rPr>
          <w:rFonts w:hint="eastAsia" w:ascii="宋体" w:hAnsi="宋体" w:eastAsia="宋体" w:cs="宋体"/>
          <w:sz w:val="24"/>
          <w:szCs w:val="24"/>
          <w:lang w:val="zh-TW" w:eastAsia="zh-CN"/>
        </w:rPr>
        <w:t>评定范围</w:t>
      </w:r>
      <w:r>
        <w:rPr>
          <w:rFonts w:hint="eastAsia" w:ascii="宋体" w:hAnsi="宋体" w:eastAsia="宋体" w:cs="宋体"/>
          <w:sz w:val="24"/>
          <w:szCs w:val="24"/>
          <w:lang w:val="zh-TW"/>
        </w:rPr>
        <w:t>，形成了涵盖基本条件、</w:t>
      </w:r>
      <w:r>
        <w:rPr>
          <w:rFonts w:hint="eastAsia" w:ascii="宋体" w:hAnsi="宋体" w:eastAsia="宋体" w:cs="宋体"/>
          <w:sz w:val="24"/>
          <w:szCs w:val="24"/>
          <w:lang w:val="zh-TW" w:eastAsia="zh-CN"/>
        </w:rPr>
        <w:t>评定指标</w:t>
      </w:r>
      <w:r>
        <w:rPr>
          <w:rFonts w:hint="eastAsia" w:ascii="宋体" w:hAnsi="宋体" w:eastAsia="宋体" w:cs="宋体"/>
          <w:sz w:val="24"/>
          <w:szCs w:val="24"/>
          <w:lang w:val="zh-TW"/>
        </w:rPr>
        <w:t>、等级判定、评定程序和</w:t>
      </w:r>
      <w:r>
        <w:rPr>
          <w:rFonts w:hint="eastAsia" w:ascii="宋体" w:hAnsi="宋体" w:eastAsia="宋体" w:cs="宋体"/>
          <w:sz w:val="24"/>
          <w:szCs w:val="24"/>
          <w:lang w:val="zh-TW" w:eastAsia="zh-CN"/>
        </w:rPr>
        <w:t>评定机构</w:t>
      </w:r>
      <w:r>
        <w:rPr>
          <w:rFonts w:hint="eastAsia" w:ascii="宋体" w:hAnsi="宋体" w:eastAsia="宋体" w:cs="宋体"/>
          <w:sz w:val="24"/>
          <w:szCs w:val="24"/>
          <w:lang w:val="zh-TW"/>
        </w:rPr>
        <w:t>管理等内容的系统性标准文件，具有较强的科学性、系统性和可操作性</w:t>
      </w:r>
      <w:r>
        <w:rPr>
          <w:rFonts w:hint="eastAsia" w:ascii="宋体" w:hAnsi="宋体" w:eastAsia="宋体" w:cs="宋体"/>
          <w:sz w:val="24"/>
          <w:szCs w:val="24"/>
          <w:lang w:val="zh-TW" w:eastAsia="zh-CN"/>
        </w:rPr>
        <w:t>，可为我国会展场馆分级分类管理和会展业规范有序发展提供标准支撑。</w:t>
      </w:r>
    </w:p>
    <w:p w14:paraId="1BA1386B">
      <w:pPr>
        <w:framePr w:wrap="auto" w:vAnchor="margin" w:hAnchor="text" w:yAlign="inline"/>
        <w:spacing w:line="360" w:lineRule="auto"/>
        <w:ind w:firstLine="482"/>
        <w:rPr>
          <w:rFonts w:ascii="宋体" w:hAnsi="宋体" w:eastAsia="宋体" w:cs="宋体"/>
          <w:b/>
          <w:bCs/>
          <w:kern w:val="0"/>
          <w:sz w:val="24"/>
          <w:szCs w:val="24"/>
          <w:lang w:val="zh-TW"/>
        </w:rPr>
      </w:pPr>
      <w:r>
        <w:rPr>
          <w:rFonts w:ascii="宋体" w:hAnsi="宋体" w:eastAsia="宋体" w:cs="宋体"/>
          <w:b/>
          <w:bCs/>
          <w:kern w:val="0"/>
          <w:sz w:val="24"/>
          <w:szCs w:val="24"/>
          <w:lang w:val="zh-TW"/>
        </w:rPr>
        <w:t>六、与有关的现行法律、法规和强制性国家标准的关系</w:t>
      </w:r>
    </w:p>
    <w:p w14:paraId="3885FDE5">
      <w:pPr>
        <w:framePr w:wrap="auto" w:vAnchor="margin" w:hAnchor="text" w:yAlign="inline"/>
        <w:spacing w:line="360" w:lineRule="auto"/>
        <w:ind w:firstLine="480"/>
        <w:rPr>
          <w:rFonts w:hint="eastAsia" w:ascii="宋体" w:hAnsi="宋体" w:eastAsia="宋体" w:cs="宋体"/>
          <w:color w:val="auto"/>
          <w:sz w:val="24"/>
          <w:szCs w:val="24"/>
          <w:lang w:val="zh-TW"/>
        </w:rPr>
      </w:pPr>
      <w:r>
        <w:rPr>
          <w:rFonts w:hint="eastAsia" w:ascii="宋体" w:hAnsi="宋体" w:eastAsia="宋体" w:cs="宋体"/>
          <w:color w:val="auto"/>
          <w:sz w:val="24"/>
          <w:szCs w:val="24"/>
          <w:lang w:val="zh-TW"/>
        </w:rPr>
        <w:t>本标准符合《中华人民共和国标准化法》的有关要求</w:t>
      </w:r>
      <w:r>
        <w:rPr>
          <w:rFonts w:hint="eastAsia" w:ascii="宋体" w:hAnsi="宋体" w:eastAsia="宋体" w:cs="宋体"/>
          <w:color w:val="auto"/>
          <w:sz w:val="24"/>
          <w:szCs w:val="24"/>
          <w:lang w:val="zh-TW" w:eastAsia="zh-CN"/>
        </w:rPr>
        <w:t>，并与</w:t>
      </w:r>
      <w:r>
        <w:rPr>
          <w:rFonts w:hint="eastAsia" w:ascii="宋体" w:hAnsi="宋体" w:eastAsia="宋体" w:cs="宋体"/>
          <w:color w:val="auto"/>
          <w:sz w:val="24"/>
          <w:szCs w:val="24"/>
          <w:lang w:val="zh-TW"/>
        </w:rPr>
        <w:t>GB/T 26165—2021《经济贸易展览会 术语》、GB/T 34395—2017《展览场馆功能性设计指南》、GB/T 50378—2019《绿色建筑评价标准》、GB 50189—2015《公共建筑节能设计标准》、GB 50314—2015《智能建筑设计标准》、SB/T 10358—2012《专业性展览会等级的划分及评定》等相关国家标准及行业规范保持一致，无冲突与抵触。标准的发布实施，将进一步完善会展场馆等级评</w:t>
      </w:r>
      <w:r>
        <w:rPr>
          <w:rFonts w:hint="eastAsia" w:ascii="宋体" w:hAnsi="宋体" w:eastAsia="宋体" w:cs="宋体"/>
          <w:color w:val="auto"/>
          <w:sz w:val="24"/>
          <w:szCs w:val="24"/>
          <w:lang w:val="en-US" w:eastAsia="zh-CN"/>
        </w:rPr>
        <w:t>定</w:t>
      </w:r>
      <w:r>
        <w:rPr>
          <w:rFonts w:hint="eastAsia" w:ascii="宋体" w:hAnsi="宋体" w:eastAsia="宋体" w:cs="宋体"/>
          <w:color w:val="auto"/>
          <w:sz w:val="24"/>
          <w:szCs w:val="24"/>
          <w:lang w:val="zh-TW"/>
        </w:rPr>
        <w:t>标准供给，促进相关法律法规和标准要求在会展场馆建设运营、服务管理、安全保障、绿色低碳和数字化转型中的落地应用。</w:t>
      </w:r>
    </w:p>
    <w:p w14:paraId="3A6D7457">
      <w:pPr>
        <w:framePr w:wrap="auto" w:vAnchor="margin" w:hAnchor="text" w:yAlign="inline"/>
        <w:spacing w:line="360" w:lineRule="auto"/>
        <w:ind w:firstLine="482"/>
        <w:rPr>
          <w:rFonts w:ascii="宋体" w:hAnsi="宋体" w:eastAsia="宋体" w:cs="宋体"/>
          <w:b/>
          <w:bCs/>
          <w:kern w:val="0"/>
          <w:sz w:val="24"/>
          <w:szCs w:val="24"/>
          <w:lang w:val="zh-TW"/>
        </w:rPr>
      </w:pPr>
      <w:r>
        <w:rPr>
          <w:rFonts w:ascii="宋体" w:hAnsi="宋体" w:eastAsia="宋体" w:cs="宋体"/>
          <w:b/>
          <w:bCs/>
          <w:kern w:val="0"/>
          <w:sz w:val="24"/>
          <w:szCs w:val="24"/>
          <w:lang w:val="zh-TW"/>
        </w:rPr>
        <w:t>七、贯彻标准的要求和措施建议</w:t>
      </w:r>
    </w:p>
    <w:p w14:paraId="06EDB6CF">
      <w:pPr>
        <w:framePr w:wrap="auto" w:vAnchor="margin" w:hAnchor="text" w:yAlign="inline"/>
        <w:spacing w:line="360" w:lineRule="auto"/>
        <w:ind w:firstLine="480"/>
        <w:rPr>
          <w:rFonts w:hint="eastAsia" w:ascii="宋体" w:hAnsi="宋体" w:eastAsia="宋体" w:cs="宋体"/>
          <w:sz w:val="24"/>
          <w:szCs w:val="24"/>
          <w:lang w:val="zh-TW"/>
        </w:rPr>
      </w:pPr>
      <w:r>
        <w:rPr>
          <w:rFonts w:hint="eastAsia" w:ascii="宋体" w:hAnsi="宋体" w:eastAsia="宋体" w:cs="宋体"/>
          <w:sz w:val="24"/>
          <w:szCs w:val="24"/>
          <w:lang w:val="zh-TW"/>
        </w:rPr>
        <w:t>加强宣贯培训：标准发布后，建议由归口单位会同起草单位，通过专题培训、标准解读、行业会议、线上宣贯等形式，面向会展场馆运营单位、会展活动主承办单位、</w:t>
      </w:r>
      <w:r>
        <w:rPr>
          <w:rFonts w:hint="eastAsia" w:ascii="宋体" w:hAnsi="宋体" w:eastAsia="宋体" w:cs="宋体"/>
          <w:sz w:val="24"/>
          <w:szCs w:val="24"/>
          <w:lang w:val="zh-TW" w:eastAsia="zh-CN"/>
        </w:rPr>
        <w:t>评定机构</w:t>
      </w:r>
      <w:r>
        <w:rPr>
          <w:rFonts w:hint="eastAsia" w:ascii="宋体" w:hAnsi="宋体" w:eastAsia="宋体" w:cs="宋体"/>
          <w:sz w:val="24"/>
          <w:szCs w:val="24"/>
          <w:lang w:val="zh-TW"/>
        </w:rPr>
        <w:t>、行业组织及主管部门开展标准宣贯，提升相关主体对标准内容和实施要求的理解。</w:t>
      </w:r>
    </w:p>
    <w:p w14:paraId="5BBD5177">
      <w:pPr>
        <w:framePr w:wrap="auto" w:vAnchor="margin" w:hAnchor="text" w:yAlign="inline"/>
        <w:spacing w:line="360" w:lineRule="auto"/>
        <w:ind w:firstLine="480"/>
        <w:rPr>
          <w:rFonts w:hint="eastAsia" w:ascii="宋体" w:hAnsi="宋体" w:eastAsia="宋体" w:cs="宋体"/>
          <w:sz w:val="24"/>
          <w:szCs w:val="24"/>
          <w:lang w:val="zh-TW"/>
        </w:rPr>
      </w:pPr>
      <w:r>
        <w:rPr>
          <w:rFonts w:hint="eastAsia" w:ascii="宋体" w:hAnsi="宋体" w:eastAsia="宋体" w:cs="宋体"/>
          <w:sz w:val="24"/>
          <w:szCs w:val="24"/>
          <w:lang w:val="zh-TW"/>
        </w:rPr>
        <w:t>开展试点应用：建议选择不同区域、不同规模、不同功能类型的会展场馆开展试点应用，检验</w:t>
      </w:r>
      <w:r>
        <w:rPr>
          <w:rFonts w:hint="eastAsia" w:ascii="宋体" w:hAnsi="宋体" w:eastAsia="宋体" w:cs="宋体"/>
          <w:sz w:val="24"/>
          <w:szCs w:val="24"/>
          <w:lang w:val="zh-TW" w:eastAsia="zh-CN"/>
        </w:rPr>
        <w:t>评定指标</w:t>
      </w:r>
      <w:r>
        <w:rPr>
          <w:rFonts w:hint="eastAsia" w:ascii="宋体" w:hAnsi="宋体" w:eastAsia="宋体" w:cs="宋体"/>
          <w:sz w:val="24"/>
          <w:szCs w:val="24"/>
          <w:lang w:val="zh-TW"/>
        </w:rPr>
        <w:t>、评分档位、申请材料、评定流程和</w:t>
      </w:r>
      <w:r>
        <w:rPr>
          <w:rFonts w:hint="eastAsia" w:ascii="宋体" w:hAnsi="宋体" w:eastAsia="宋体" w:cs="宋体"/>
          <w:sz w:val="24"/>
          <w:szCs w:val="24"/>
          <w:lang w:val="zh-TW" w:eastAsia="zh-CN"/>
        </w:rPr>
        <w:t>评定机构</w:t>
      </w:r>
      <w:r>
        <w:rPr>
          <w:rFonts w:hint="eastAsia" w:ascii="宋体" w:hAnsi="宋体" w:eastAsia="宋体" w:cs="宋体"/>
          <w:sz w:val="24"/>
          <w:szCs w:val="24"/>
          <w:lang w:val="zh-TW"/>
        </w:rPr>
        <w:t>管理要求的适用性。通过试点应用，及时总结实施经验，发现并解决标准应用中的问题，为标准后续修订完善提供实践依据。</w:t>
      </w:r>
    </w:p>
    <w:p w14:paraId="741830AD">
      <w:pPr>
        <w:framePr w:wrap="auto" w:vAnchor="margin" w:hAnchor="text" w:yAlign="inline"/>
        <w:spacing w:line="360" w:lineRule="auto"/>
        <w:ind w:firstLine="480"/>
        <w:rPr>
          <w:rFonts w:hint="eastAsia" w:ascii="宋体" w:hAnsi="宋体" w:eastAsia="宋体" w:cs="宋体"/>
          <w:sz w:val="24"/>
          <w:szCs w:val="24"/>
          <w:lang w:val="zh-TW"/>
        </w:rPr>
      </w:pPr>
      <w:r>
        <w:rPr>
          <w:rFonts w:hint="eastAsia" w:ascii="宋体" w:hAnsi="宋体" w:eastAsia="宋体" w:cs="宋体"/>
          <w:sz w:val="24"/>
          <w:szCs w:val="24"/>
          <w:lang w:val="zh-TW"/>
        </w:rPr>
        <w:t>规范评定实施：建议评定机构严格按照本标准规定的等级判定条件、申请材料要求、文件审查程序、现场评定要求、专家评审程序、公示要求、证书与标识管理要求开展评定工作。评定过程中应坚持独立、公正、客观原则，建立评定档案和质量控制机制，确保评定过程可追溯、评定结果可核查。</w:t>
      </w:r>
    </w:p>
    <w:p w14:paraId="456A066E">
      <w:pPr>
        <w:framePr w:wrap="auto" w:vAnchor="margin" w:hAnchor="text" w:yAlign="inline"/>
        <w:spacing w:line="360" w:lineRule="auto"/>
        <w:ind w:firstLine="480"/>
        <w:rPr>
          <w:rFonts w:hint="eastAsia" w:ascii="宋体" w:hAnsi="宋体" w:eastAsia="宋体" w:cs="宋体"/>
          <w:sz w:val="24"/>
          <w:szCs w:val="24"/>
          <w:lang w:val="zh-TW"/>
        </w:rPr>
      </w:pPr>
      <w:r>
        <w:rPr>
          <w:rFonts w:hint="eastAsia" w:ascii="宋体" w:hAnsi="宋体" w:eastAsia="宋体" w:cs="宋体"/>
          <w:sz w:val="24"/>
          <w:szCs w:val="24"/>
          <w:lang w:val="zh-TW"/>
        </w:rPr>
        <w:t>推动持续改进：建议会展场馆运营单位将标准要求融入场馆日常运营管理、设施设备维护、安全风险防控、客户服务提升、绿色低碳建设和数字化系统建设工作中，对照标准指标开展自评和改进。对于已取得等级评定结果的场馆，应在证书有效期内持续保持相应等级要求，并按照复评要求及时开展复评或等级变更。</w:t>
      </w:r>
    </w:p>
    <w:p w14:paraId="01F17E73">
      <w:pPr>
        <w:framePr w:wrap="auto" w:vAnchor="margin" w:hAnchor="text" w:yAlign="inline"/>
        <w:spacing w:line="360" w:lineRule="auto"/>
        <w:ind w:firstLine="482"/>
        <w:rPr>
          <w:rFonts w:ascii="宋体" w:hAnsi="宋体" w:eastAsia="宋体" w:cs="宋体"/>
          <w:b/>
          <w:bCs/>
          <w:kern w:val="0"/>
          <w:sz w:val="24"/>
          <w:szCs w:val="24"/>
          <w:lang w:val="zh-TW"/>
        </w:rPr>
      </w:pPr>
      <w:r>
        <w:rPr>
          <w:rFonts w:ascii="宋体" w:hAnsi="宋体" w:eastAsia="宋体" w:cs="宋体"/>
          <w:b/>
          <w:bCs/>
          <w:kern w:val="0"/>
          <w:sz w:val="24"/>
          <w:szCs w:val="24"/>
          <w:lang w:val="zh-TW"/>
        </w:rPr>
        <w:t>八、标准实施的预期效果</w:t>
      </w:r>
    </w:p>
    <w:p w14:paraId="001631C8">
      <w:pPr>
        <w:framePr w:wrap="auto" w:vAnchor="margin" w:hAnchor="text" w:yAlign="inline"/>
        <w:spacing w:line="360" w:lineRule="auto"/>
        <w:ind w:firstLine="480"/>
        <w:rPr>
          <w:rFonts w:hint="default"/>
          <w:color w:val="FF0000"/>
        </w:rPr>
      </w:pPr>
      <w:r>
        <w:rPr>
          <w:rFonts w:hint="cs" w:ascii="宋体" w:hAnsi="宋体" w:eastAsia="宋体" w:cs="宋体"/>
          <w:color w:val="auto"/>
          <w:sz w:val="24"/>
          <w:szCs w:val="24"/>
          <w:lang w:val="zh-TW" w:eastAsia="zh-TW"/>
        </w:rPr>
        <w:t>本标准实施后，将有效规范会展场馆等级划分与评定工作，建立统一、规范、透明的会展场馆等级评</w:t>
      </w:r>
      <w:r>
        <w:rPr>
          <w:rFonts w:hint="eastAsia" w:ascii="宋体" w:hAnsi="宋体" w:eastAsia="宋体" w:cs="宋体"/>
          <w:color w:val="auto"/>
          <w:sz w:val="24"/>
          <w:szCs w:val="24"/>
          <w:lang w:val="en-US" w:eastAsia="zh-CN"/>
        </w:rPr>
        <w:t>定</w:t>
      </w:r>
      <w:r>
        <w:rPr>
          <w:rFonts w:hint="cs" w:ascii="宋体" w:hAnsi="宋体" w:eastAsia="宋体" w:cs="宋体"/>
          <w:color w:val="auto"/>
          <w:sz w:val="24"/>
          <w:szCs w:val="24"/>
          <w:lang w:val="zh-TW" w:eastAsia="zh-TW"/>
        </w:rPr>
        <w:t>依据，提升</w:t>
      </w:r>
      <w:r>
        <w:rPr>
          <w:rFonts w:hint="eastAsia" w:ascii="宋体" w:hAnsi="宋体" w:eastAsia="宋体" w:cs="宋体"/>
          <w:color w:val="auto"/>
          <w:sz w:val="24"/>
          <w:szCs w:val="24"/>
          <w:lang w:val="zh-TW" w:eastAsia="zh-CN"/>
        </w:rPr>
        <w:t>评定工作</w:t>
      </w:r>
      <w:r>
        <w:rPr>
          <w:rFonts w:hint="cs" w:ascii="宋体" w:hAnsi="宋体" w:eastAsia="宋体" w:cs="宋体"/>
          <w:color w:val="auto"/>
          <w:sz w:val="24"/>
          <w:szCs w:val="24"/>
          <w:lang w:val="zh-TW" w:eastAsia="zh-TW"/>
        </w:rPr>
        <w:t>的科学性、公正性和可操作性；引导会展场馆运营单位对照</w:t>
      </w:r>
      <w:r>
        <w:rPr>
          <w:rFonts w:hint="eastAsia" w:ascii="宋体" w:hAnsi="宋体" w:eastAsia="宋体" w:cs="宋体"/>
          <w:color w:val="auto"/>
          <w:sz w:val="24"/>
          <w:szCs w:val="24"/>
          <w:lang w:val="zh-TW" w:eastAsia="zh-CN"/>
        </w:rPr>
        <w:t>评定指标</w:t>
      </w:r>
      <w:r>
        <w:rPr>
          <w:rFonts w:hint="cs" w:ascii="宋体" w:hAnsi="宋体" w:eastAsia="宋体" w:cs="宋体"/>
          <w:color w:val="auto"/>
          <w:sz w:val="24"/>
          <w:szCs w:val="24"/>
          <w:lang w:val="zh-TW" w:eastAsia="zh-TW"/>
        </w:rPr>
        <w:t>持续改进基础设施、功能布局、交通组织、安全保障、服务流程、绿色运营和数字化管理等方面能力，提升会展场馆综合运营管理水平；为会展活动主承办单位选择场馆、场馆运营单位改进服务、行业组织</w:t>
      </w:r>
      <w:r>
        <w:rPr>
          <w:rFonts w:hint="eastAsia" w:ascii="宋体" w:hAnsi="宋体" w:eastAsia="宋体" w:cs="宋体"/>
          <w:color w:val="auto"/>
          <w:sz w:val="24"/>
          <w:szCs w:val="24"/>
          <w:lang w:val="zh-TW" w:eastAsia="zh-CN"/>
        </w:rPr>
        <w:t>开展等级评定</w:t>
      </w:r>
      <w:r>
        <w:rPr>
          <w:rFonts w:hint="cs" w:ascii="宋体" w:hAnsi="宋体" w:eastAsia="宋体" w:cs="宋体"/>
          <w:color w:val="auto"/>
          <w:sz w:val="24"/>
          <w:szCs w:val="24"/>
          <w:lang w:val="zh-TW" w:eastAsia="zh-TW"/>
        </w:rPr>
        <w:t>和有关方面加强行业引导提供参考，促进活动规模、服务需求与场馆承载能力相匹配；推动会展场馆绿色低碳和数字化转型，提升会展场馆服务质量和市场竞争力，为会展业专业化、品牌化、国际化、绿色化、数智化和标准化发展提供支撑。</w:t>
      </w:r>
    </w:p>
    <w:sectPr>
      <w:headerReference r:id="rId5" w:type="default"/>
      <w:footerReference r:id="rId6" w:type="default"/>
      <w:pgSz w:w="11900" w:h="16840"/>
      <w:pgMar w:top="1440" w:right="1800" w:bottom="1440" w:left="1800" w:header="851" w:footer="992" w:gutter="0"/>
      <w:pgNumType w:start="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panose1 w:val="020B0604020202020204"/>
    <w:charset w:val="86"/>
    <w:family w:val="swiss"/>
    <w:pitch w:val="default"/>
    <w:sig w:usb0="F7FFAEFF" w:usb1="F9DFFFFF" w:usb2="0000007F" w:usb3="00000000" w:csb0="203F01FF" w:csb1="DFFF0000"/>
  </w:font>
  <w:font w:name="Helvetica Neue">
    <w:altName w:val="Arial"/>
    <w:panose1 w:val="00000000000000000000"/>
    <w:charset w:val="00"/>
    <w:family w:val="roman"/>
    <w:pitch w:val="default"/>
    <w:sig w:usb0="00000000" w:usb1="00000000" w:usb2="00000000" w:usb3="00000000" w:csb0="00000001" w:csb1="00000000"/>
  </w:font>
  <w:font w:name="PMingLiU">
    <w:altName w:val="Microsoft JhengHei UI"/>
    <w:panose1 w:val="02010601000101010101"/>
    <w:charset w:val="88"/>
    <w:family w:val="roman"/>
    <w:pitch w:val="default"/>
    <w:sig w:usb0="00000000" w:usb1="00000000" w:usb2="00000016" w:usb3="00000000" w:csb0="00100001" w:csb1="00000000"/>
  </w:font>
  <w:font w:name="Microsoft JhengHei UI">
    <w:panose1 w:val="020B0604030504040204"/>
    <w:charset w:val="88"/>
    <w:family w:val="auto"/>
    <w:pitch w:val="default"/>
    <w:sig w:usb0="000002A7" w:usb1="28CF4400" w:usb2="00000016" w:usb3="00000000" w:csb0="00100009"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869D24">
    <w:pPr>
      <w:pStyle w:val="2"/>
      <w:framePr w:wrap="auto" w:vAnchor="margin" w:hAnchor="text" w:yAlign="inline"/>
      <w:tabs>
        <w:tab w:val="right" w:pos="8280"/>
        <w:tab w:val="clear" w:pos="8306"/>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4DFB5F">
    <w:pPr>
      <w:pStyle w:val="2"/>
      <w:framePr w:wrap="auto" w:vAnchor="margin" w:hAnchor="text" w:yAlign="inline"/>
      <w:tabs>
        <w:tab w:val="right" w:pos="8280"/>
        <w:tab w:val="clear" w:pos="8306"/>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82DC37">
    <w:pPr>
      <w:pStyle w:val="11"/>
      <w:framePr w:wrap="auto" w:vAnchor="margin" w:hAnchor="text" w:yAlign="inline"/>
    </w:pPr>
    <w:r>
      <mc:AlternateContent>
        <mc:Choice Requires="wps">
          <w:drawing>
            <wp:anchor distT="152400" distB="152400" distL="152400" distR="152400" simplePos="0" relativeHeight="251659264" behindDoc="1" locked="0" layoutInCell="1" allowOverlap="1">
              <wp:simplePos x="0" y="0"/>
              <wp:positionH relativeFrom="page">
                <wp:posOffset>3750945</wp:posOffset>
              </wp:positionH>
              <wp:positionV relativeFrom="page">
                <wp:posOffset>9833610</wp:posOffset>
              </wp:positionV>
              <wp:extent cx="57785" cy="131445"/>
              <wp:effectExtent l="0" t="0" r="0" b="0"/>
              <wp:wrapNone/>
              <wp:docPr id="1" name="officeArt object" descr="文本框 1"/>
              <wp:cNvGraphicFramePr/>
              <a:graphic xmlns:a="http://schemas.openxmlformats.org/drawingml/2006/main">
                <a:graphicData uri="http://schemas.microsoft.com/office/word/2010/wordprocessingShape">
                  <wps:wsp>
                    <wps:cNvSpPr txBox="1"/>
                    <wps:spPr>
                      <a:xfrm>
                        <a:off x="0" y="0"/>
                        <a:ext cx="57785" cy="131445"/>
                      </a:xfrm>
                      <a:prstGeom prst="rect">
                        <a:avLst/>
                      </a:prstGeom>
                      <a:noFill/>
                      <a:ln w="12700" cap="flat">
                        <a:noFill/>
                        <a:miter lim="400000"/>
                      </a:ln>
                      <a:effectLst/>
                    </wps:spPr>
                    <wps:txbx>
                      <w:txbxContent>
                        <w:p w14:paraId="146ACB86">
                          <w:pPr>
                            <w:pStyle w:val="2"/>
                          </w:pPr>
                        </w:p>
                      </w:txbxContent>
                    </wps:txbx>
                    <wps:bodyPr wrap="square" lIns="0" tIns="0" rIns="0" bIns="0" numCol="1" anchor="t">
                      <a:noAutofit/>
                    </wps:bodyPr>
                  </wps:wsp>
                </a:graphicData>
              </a:graphic>
            </wp:anchor>
          </w:drawing>
        </mc:Choice>
        <mc:Fallback>
          <w:pict>
            <v:shape id="officeArt object" o:spid="_x0000_s1026" o:spt="202" alt="文本框 1" type="#_x0000_t202" style="position:absolute;left:0pt;margin-left:295.35pt;margin-top:774.3pt;height:10.35pt;width:4.55pt;mso-position-horizontal-relative:page;mso-position-vertical-relative:page;z-index:-251657216;mso-width-relative:page;mso-height-relative:page;" filled="f" stroked="f" coordsize="21600,21600" o:gfxdata="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MlTVBjaAAAADQEAAA8AAAAAAAAAAQAgAAAAIgAAAGRy&#10;cy9kb3ducmV2LnhtbFBLAQIUABQAAAAIAIdO4kBoGCiJAwIAAPUDAAAOAAAAAAAAAAEAIAAAACkB&#10;AABkcnMvZTJvRG9jLnhtbFBLBQYAAAAABgAGAFkBAACeBQAAAAA=&#10;">
              <v:fill on="f" focussize="0,0"/>
              <v:stroke on="f" weight="1pt" miterlimit="4" joinstyle="miter"/>
              <v:imagedata o:title=""/>
              <o:lock v:ext="edit" aspectratio="f"/>
              <v:textbox inset="0mm,0mm,0mm,0mm">
                <w:txbxContent>
                  <w:p w14:paraId="146ACB86">
                    <w:pPr>
                      <w:pStyle w:val="2"/>
                    </w:pPr>
                  </w:p>
                </w:txbxContent>
              </v:textbox>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3526DE">
    <w:pPr>
      <w:pStyle w:val="11"/>
      <w:framePr w:wrap="auto" w:vAnchor="margin" w:hAnchor="text" w:yAlign="inline"/>
    </w:pPr>
    <w:r>
      <mc:AlternateContent>
        <mc:Choice Requires="wps">
          <w:drawing>
            <wp:anchor distT="152400" distB="152400" distL="152400" distR="152400" simplePos="0" relativeHeight="251660288" behindDoc="1" locked="0" layoutInCell="1" allowOverlap="1">
              <wp:simplePos x="0" y="0"/>
              <wp:positionH relativeFrom="page">
                <wp:posOffset>3750945</wp:posOffset>
              </wp:positionH>
              <wp:positionV relativeFrom="page">
                <wp:posOffset>9833610</wp:posOffset>
              </wp:positionV>
              <wp:extent cx="57785" cy="131445"/>
              <wp:effectExtent l="0" t="0" r="0" b="0"/>
              <wp:wrapNone/>
              <wp:docPr id="1073741825" name="officeArt object" descr="文本框 1"/>
              <wp:cNvGraphicFramePr/>
              <a:graphic xmlns:a="http://schemas.openxmlformats.org/drawingml/2006/main">
                <a:graphicData uri="http://schemas.microsoft.com/office/word/2010/wordprocessingShape">
                  <wps:wsp>
                    <wps:cNvSpPr txBox="1"/>
                    <wps:spPr>
                      <a:xfrm>
                        <a:off x="0" y="0"/>
                        <a:ext cx="57785" cy="131445"/>
                      </a:xfrm>
                      <a:prstGeom prst="rect">
                        <a:avLst/>
                      </a:prstGeom>
                      <a:noFill/>
                      <a:ln w="12700" cap="flat">
                        <a:noFill/>
                        <a:miter lim="400000"/>
                      </a:ln>
                      <a:effectLst/>
                    </wps:spPr>
                    <wps:txbx>
                      <w:txbxContent>
                        <w:p w14:paraId="2AD0BF45">
                          <w:pPr>
                            <w:pStyle w:val="2"/>
                          </w:pPr>
                          <w:r>
                            <w:fldChar w:fldCharType="begin"/>
                          </w:r>
                          <w:r>
                            <w:instrText xml:space="preserve"> PAGE </w:instrText>
                          </w:r>
                          <w:r>
                            <w:fldChar w:fldCharType="separate"/>
                          </w:r>
                          <w:r>
                            <w:t>3</w:t>
                          </w:r>
                          <w:r>
                            <w:fldChar w:fldCharType="end"/>
                          </w:r>
                        </w:p>
                      </w:txbxContent>
                    </wps:txbx>
                    <wps:bodyPr wrap="square" lIns="0" tIns="0" rIns="0" bIns="0" numCol="1" anchor="t">
                      <a:noAutofit/>
                    </wps:bodyPr>
                  </wps:wsp>
                </a:graphicData>
              </a:graphic>
            </wp:anchor>
          </w:drawing>
        </mc:Choice>
        <mc:Fallback>
          <w:pict>
            <v:shape id="officeArt object" o:spid="_x0000_s1026" o:spt="202" alt="文本框 1" type="#_x0000_t202" style="position:absolute;left:0pt;margin-left:295.35pt;margin-top:774.3pt;height:10.35pt;width:4.55pt;mso-position-horizontal-relative:page;mso-position-vertical-relative:page;z-index:-251656192;mso-width-relative:page;mso-height-relative:page;" filled="f" stroked="f" coordsize="21600,21600" o:gfxdata="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DJU1QY2gAAAA0BAAAPAAAAAAAAAAEAIAAA&#10;ACIAAABkcnMvZG93bnJldi54bWxQSwECFAAUAAAACACHTuJA98QOIAoCAAD+AwAADgAAAAAAAAAB&#10;ACAAAAApAQAAZHJzL2Uyb0RvYy54bWxQSwUGAAAAAAYABgBZAQAApQUAAAAA&#10;">
              <v:fill on="f" focussize="0,0"/>
              <v:stroke on="f" weight="1pt" miterlimit="4" joinstyle="miter"/>
              <v:imagedata o:title=""/>
              <o:lock v:ext="edit" aspectratio="f"/>
              <v:textbox inset="0mm,0mm,0mm,0mm">
                <w:txbxContent>
                  <w:p w14:paraId="2AD0BF45">
                    <w:pPr>
                      <w:pStyle w:val="2"/>
                    </w:pPr>
                    <w:r>
                      <w:fldChar w:fldCharType="begin"/>
                    </w:r>
                    <w:r>
                      <w:instrText xml:space="preserve"> PAGE </w:instrText>
                    </w:r>
                    <w:r>
                      <w:fldChar w:fldCharType="separate"/>
                    </w:r>
                    <w:r>
                      <w:t>3</w:t>
                    </w:r>
                    <w:r>
                      <w:fldChar w:fldCharType="end"/>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C91163"/>
    <w:multiLevelType w:val="multilevel"/>
    <w:tmpl w:val="1FC91163"/>
    <w:lvl w:ilvl="0" w:tentative="0">
      <w:start w:val="1"/>
      <w:numFmt w:val="decimal"/>
      <w:pStyle w:val="8"/>
      <w:suff w:val="nothing"/>
      <w:lvlText w:val="%1　"/>
      <w:lvlJc w:val="left"/>
      <w:pPr>
        <w:ind w:left="0" w:firstLine="0"/>
      </w:pPr>
      <w:rPr>
        <w:rFonts w:hint="eastAsia" w:ascii="黑体" w:hAnsi="Times New Roman" w:eastAsia="黑体"/>
        <w:b w:val="0"/>
        <w:i w:val="0"/>
        <w:sz w:val="21"/>
        <w:szCs w:val="21"/>
      </w:rPr>
    </w:lvl>
    <w:lvl w:ilvl="1" w:tentative="0">
      <w:start w:val="1"/>
      <w:numFmt w:val="decimal"/>
      <w:suff w:val="nothing"/>
      <w:lvlText w:val="%1.%2　"/>
      <w:lvlJc w:val="left"/>
      <w:pPr>
        <w:ind w:left="425" w:firstLine="0"/>
      </w:pPr>
      <w:rPr>
        <w:rFonts w:hint="eastAsia" w:ascii="黑体" w:hAnsi="Times New Roman" w:eastAsia="黑体" w:cs="Times New Roman"/>
        <w:b w:val="0"/>
        <w:bCs w:val="0"/>
        <w:i w:val="0"/>
        <w:iCs w:val="0"/>
        <w:caps w:val="0"/>
        <w:strike w:val="0"/>
        <w:dstrike w:val="0"/>
        <w:vanish w:val="0"/>
        <w:color w:val="800000"/>
        <w:spacing w:val="0"/>
        <w:kern w:val="0"/>
        <w:position w:val="0"/>
        <w:sz w:val="21"/>
        <w:szCs w:val="21"/>
        <w:u w:val="none"/>
        <w:vertAlign w:val="baseline"/>
      </w:rPr>
    </w:lvl>
    <w:lvl w:ilvl="2" w:tentative="0">
      <w:start w:val="1"/>
      <w:numFmt w:val="decimal"/>
      <w:suff w:val="nothing"/>
      <w:lvlText w:val="%1.%2.%3　"/>
      <w:lvlJc w:val="left"/>
      <w:pPr>
        <w:ind w:left="2268"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
    <w:nsid w:val="37C542B2"/>
    <w:multiLevelType w:val="multilevel"/>
    <w:tmpl w:val="37C542B2"/>
    <w:lvl w:ilvl="0" w:tentative="0">
      <w:start w:val="1"/>
      <w:numFmt w:val="japaneseCounting"/>
      <w:lvlText w:val="%1、"/>
      <w:lvlJc w:val="left"/>
      <w:pPr>
        <w:ind w:left="992" w:hanging="510"/>
      </w:pPr>
      <w:rPr>
        <w:rFonts w:hint="default" w:eastAsia="宋体"/>
      </w:rPr>
    </w:lvl>
    <w:lvl w:ilvl="1" w:tentative="0">
      <w:start w:val="1"/>
      <w:numFmt w:val="lowerLetter"/>
      <w:lvlText w:val="%2)"/>
      <w:lvlJc w:val="left"/>
      <w:pPr>
        <w:ind w:left="1322" w:hanging="420"/>
      </w:pPr>
    </w:lvl>
    <w:lvl w:ilvl="2" w:tentative="0">
      <w:start w:val="1"/>
      <w:numFmt w:val="lowerRoman"/>
      <w:lvlText w:val="%3."/>
      <w:lvlJc w:val="right"/>
      <w:pPr>
        <w:ind w:left="1742" w:hanging="420"/>
      </w:pPr>
    </w:lvl>
    <w:lvl w:ilvl="3" w:tentative="0">
      <w:start w:val="1"/>
      <w:numFmt w:val="decimal"/>
      <w:lvlText w:val="%4."/>
      <w:lvlJc w:val="left"/>
      <w:pPr>
        <w:ind w:left="2162" w:hanging="420"/>
      </w:pPr>
    </w:lvl>
    <w:lvl w:ilvl="4" w:tentative="0">
      <w:start w:val="1"/>
      <w:numFmt w:val="lowerLetter"/>
      <w:lvlText w:val="%5)"/>
      <w:lvlJc w:val="left"/>
      <w:pPr>
        <w:ind w:left="2582" w:hanging="420"/>
      </w:pPr>
    </w:lvl>
    <w:lvl w:ilvl="5" w:tentative="0">
      <w:start w:val="1"/>
      <w:numFmt w:val="lowerRoman"/>
      <w:lvlText w:val="%6."/>
      <w:lvlJc w:val="right"/>
      <w:pPr>
        <w:ind w:left="3002" w:hanging="420"/>
      </w:pPr>
    </w:lvl>
    <w:lvl w:ilvl="6" w:tentative="0">
      <w:start w:val="1"/>
      <w:numFmt w:val="decimal"/>
      <w:lvlText w:val="%7."/>
      <w:lvlJc w:val="left"/>
      <w:pPr>
        <w:ind w:left="3422" w:hanging="420"/>
      </w:pPr>
    </w:lvl>
    <w:lvl w:ilvl="7" w:tentative="0">
      <w:start w:val="1"/>
      <w:numFmt w:val="lowerLetter"/>
      <w:lvlText w:val="%8)"/>
      <w:lvlJc w:val="left"/>
      <w:pPr>
        <w:ind w:left="3842" w:hanging="420"/>
      </w:pPr>
    </w:lvl>
    <w:lvl w:ilvl="8" w:tentative="0">
      <w:start w:val="1"/>
      <w:numFmt w:val="lowerRoman"/>
      <w:lvlText w:val="%9."/>
      <w:lvlJc w:val="right"/>
      <w:pPr>
        <w:ind w:left="4262"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3"/>
  <w:displayBackgroundShape w:val="1"/>
  <w:bordersDoNotSurroundHeader w:val="0"/>
  <w:bordersDoNotSurroundFooter w:val="0"/>
  <w:documentProtection w:enforcement="0"/>
  <w:defaultTabStop w:val="420"/>
  <w:displayHorizontalDrawingGridEvery w:val="1"/>
  <w:displayVerticalDrawingGridEvery w:val="1"/>
  <w:noPunctuationKerning w:val="1"/>
  <w:characterSpacingControl w:val="doNotCompress"/>
  <w:compat>
    <w:doNotExpandShiftReturn/>
    <w:doNotWrapTextWithPunct/>
    <w:doNotUseEastAsianBreakRules/>
    <w:useFELayout/>
    <w:compatSetting w:name="compatibilityMode" w:uri="http://schemas.microsoft.com/office/word" w:val="14"/>
  </w:compat>
  <w:docVars>
    <w:docVar w:name="commondata" w:val="eyJoZGlkIjoiZmFhOTEwOTA4M2RhMmU1NGE4Zjg4ZmY1NTkwZWFmMjUifQ=="/>
  </w:docVars>
  <w:rsids>
    <w:rsidRoot w:val="001C1971"/>
    <w:rsid w:val="0000007A"/>
    <w:rsid w:val="00001B5B"/>
    <w:rsid w:val="00010B53"/>
    <w:rsid w:val="000117FA"/>
    <w:rsid w:val="00015ECA"/>
    <w:rsid w:val="00021F88"/>
    <w:rsid w:val="00023AB0"/>
    <w:rsid w:val="00035B6D"/>
    <w:rsid w:val="00037A2E"/>
    <w:rsid w:val="00050AEC"/>
    <w:rsid w:val="00082FF1"/>
    <w:rsid w:val="00084859"/>
    <w:rsid w:val="000905AB"/>
    <w:rsid w:val="00094129"/>
    <w:rsid w:val="000B3167"/>
    <w:rsid w:val="000C006E"/>
    <w:rsid w:val="000F45D3"/>
    <w:rsid w:val="000F71FA"/>
    <w:rsid w:val="00102875"/>
    <w:rsid w:val="00136DC2"/>
    <w:rsid w:val="001445DA"/>
    <w:rsid w:val="001C1971"/>
    <w:rsid w:val="00204F84"/>
    <w:rsid w:val="00215DD7"/>
    <w:rsid w:val="00237697"/>
    <w:rsid w:val="002512F2"/>
    <w:rsid w:val="00264B72"/>
    <w:rsid w:val="002663D9"/>
    <w:rsid w:val="002665EC"/>
    <w:rsid w:val="0028709D"/>
    <w:rsid w:val="00295751"/>
    <w:rsid w:val="002B4CE6"/>
    <w:rsid w:val="002D4343"/>
    <w:rsid w:val="002F0B8B"/>
    <w:rsid w:val="002F3AA6"/>
    <w:rsid w:val="002F3F3E"/>
    <w:rsid w:val="0030564F"/>
    <w:rsid w:val="0031319C"/>
    <w:rsid w:val="0035380E"/>
    <w:rsid w:val="00377697"/>
    <w:rsid w:val="00391E44"/>
    <w:rsid w:val="00392AF6"/>
    <w:rsid w:val="0039677A"/>
    <w:rsid w:val="003A0FD7"/>
    <w:rsid w:val="003B30F9"/>
    <w:rsid w:val="003C6F12"/>
    <w:rsid w:val="003D652D"/>
    <w:rsid w:val="004005B0"/>
    <w:rsid w:val="004240F0"/>
    <w:rsid w:val="00435909"/>
    <w:rsid w:val="00453F8D"/>
    <w:rsid w:val="004B46F1"/>
    <w:rsid w:val="004B56C3"/>
    <w:rsid w:val="004D05EE"/>
    <w:rsid w:val="004D285A"/>
    <w:rsid w:val="00525B9B"/>
    <w:rsid w:val="00546C9F"/>
    <w:rsid w:val="00550AA3"/>
    <w:rsid w:val="00555768"/>
    <w:rsid w:val="0059365C"/>
    <w:rsid w:val="005A6EF5"/>
    <w:rsid w:val="005B13B2"/>
    <w:rsid w:val="005F7B08"/>
    <w:rsid w:val="00605F70"/>
    <w:rsid w:val="006123BD"/>
    <w:rsid w:val="00647AAD"/>
    <w:rsid w:val="00666AC0"/>
    <w:rsid w:val="00695C8A"/>
    <w:rsid w:val="006A4054"/>
    <w:rsid w:val="006A5904"/>
    <w:rsid w:val="006C3335"/>
    <w:rsid w:val="006D28E6"/>
    <w:rsid w:val="006E4EB5"/>
    <w:rsid w:val="006E7F2E"/>
    <w:rsid w:val="00713B38"/>
    <w:rsid w:val="00716D2A"/>
    <w:rsid w:val="007205D4"/>
    <w:rsid w:val="00720891"/>
    <w:rsid w:val="00753EC9"/>
    <w:rsid w:val="00791143"/>
    <w:rsid w:val="007A6EC1"/>
    <w:rsid w:val="007C78B9"/>
    <w:rsid w:val="007D7840"/>
    <w:rsid w:val="007F7367"/>
    <w:rsid w:val="00844A75"/>
    <w:rsid w:val="00852083"/>
    <w:rsid w:val="00872310"/>
    <w:rsid w:val="008A1E38"/>
    <w:rsid w:val="008D1A07"/>
    <w:rsid w:val="008E73B2"/>
    <w:rsid w:val="00903D18"/>
    <w:rsid w:val="009078BB"/>
    <w:rsid w:val="0092426D"/>
    <w:rsid w:val="0092709E"/>
    <w:rsid w:val="00951C47"/>
    <w:rsid w:val="00954AFB"/>
    <w:rsid w:val="009618BF"/>
    <w:rsid w:val="0096218D"/>
    <w:rsid w:val="00964B16"/>
    <w:rsid w:val="009936AB"/>
    <w:rsid w:val="009A2906"/>
    <w:rsid w:val="009A514C"/>
    <w:rsid w:val="009B4725"/>
    <w:rsid w:val="009C08DA"/>
    <w:rsid w:val="009C333D"/>
    <w:rsid w:val="009D2E05"/>
    <w:rsid w:val="009F19C0"/>
    <w:rsid w:val="00A14861"/>
    <w:rsid w:val="00A22E73"/>
    <w:rsid w:val="00A329F7"/>
    <w:rsid w:val="00A369F1"/>
    <w:rsid w:val="00A56255"/>
    <w:rsid w:val="00A7221A"/>
    <w:rsid w:val="00A72D65"/>
    <w:rsid w:val="00A76DB0"/>
    <w:rsid w:val="00AE5E92"/>
    <w:rsid w:val="00B0520A"/>
    <w:rsid w:val="00B06E28"/>
    <w:rsid w:val="00B154D0"/>
    <w:rsid w:val="00B33BF1"/>
    <w:rsid w:val="00B3497B"/>
    <w:rsid w:val="00B45AE7"/>
    <w:rsid w:val="00B5017B"/>
    <w:rsid w:val="00C01246"/>
    <w:rsid w:val="00C149D5"/>
    <w:rsid w:val="00C223EE"/>
    <w:rsid w:val="00C50B12"/>
    <w:rsid w:val="00C731C6"/>
    <w:rsid w:val="00C870A4"/>
    <w:rsid w:val="00C923B3"/>
    <w:rsid w:val="00CD3464"/>
    <w:rsid w:val="00CE51C9"/>
    <w:rsid w:val="00D20D5B"/>
    <w:rsid w:val="00D418D7"/>
    <w:rsid w:val="00D42091"/>
    <w:rsid w:val="00D42375"/>
    <w:rsid w:val="00D92B72"/>
    <w:rsid w:val="00D92D8A"/>
    <w:rsid w:val="00D9431E"/>
    <w:rsid w:val="00DA1793"/>
    <w:rsid w:val="00DB3344"/>
    <w:rsid w:val="00DC0655"/>
    <w:rsid w:val="00DD1545"/>
    <w:rsid w:val="00DF5A59"/>
    <w:rsid w:val="00E045F4"/>
    <w:rsid w:val="00E20101"/>
    <w:rsid w:val="00E21072"/>
    <w:rsid w:val="00E223F5"/>
    <w:rsid w:val="00E42EA4"/>
    <w:rsid w:val="00E476F5"/>
    <w:rsid w:val="00E66352"/>
    <w:rsid w:val="00E86919"/>
    <w:rsid w:val="00E95A59"/>
    <w:rsid w:val="00EA0E6F"/>
    <w:rsid w:val="00EA45A0"/>
    <w:rsid w:val="00EB7D2E"/>
    <w:rsid w:val="00ED4542"/>
    <w:rsid w:val="00ED6663"/>
    <w:rsid w:val="00EE0D56"/>
    <w:rsid w:val="00EE2BFC"/>
    <w:rsid w:val="00EF578C"/>
    <w:rsid w:val="00F06039"/>
    <w:rsid w:val="00F10349"/>
    <w:rsid w:val="00F379DE"/>
    <w:rsid w:val="00F4411B"/>
    <w:rsid w:val="00F52EE6"/>
    <w:rsid w:val="00F60ACD"/>
    <w:rsid w:val="00F707BF"/>
    <w:rsid w:val="00F770A2"/>
    <w:rsid w:val="00F91175"/>
    <w:rsid w:val="00F92653"/>
    <w:rsid w:val="00FB455B"/>
    <w:rsid w:val="02F50C20"/>
    <w:rsid w:val="03864CD3"/>
    <w:rsid w:val="05D16C32"/>
    <w:rsid w:val="062D0592"/>
    <w:rsid w:val="065007B6"/>
    <w:rsid w:val="06907B34"/>
    <w:rsid w:val="070A4300"/>
    <w:rsid w:val="07844F83"/>
    <w:rsid w:val="0A516F86"/>
    <w:rsid w:val="0C6B2020"/>
    <w:rsid w:val="0CEF76F2"/>
    <w:rsid w:val="0D7A2C98"/>
    <w:rsid w:val="0E7C495A"/>
    <w:rsid w:val="11813F2D"/>
    <w:rsid w:val="11C37011"/>
    <w:rsid w:val="137912FC"/>
    <w:rsid w:val="167B7F56"/>
    <w:rsid w:val="18D72D4C"/>
    <w:rsid w:val="18E60853"/>
    <w:rsid w:val="1AAE793C"/>
    <w:rsid w:val="1B851185"/>
    <w:rsid w:val="1C7114D7"/>
    <w:rsid w:val="1D0F3B8F"/>
    <w:rsid w:val="1D1F2F14"/>
    <w:rsid w:val="1D8B05A9"/>
    <w:rsid w:val="1E8D27EC"/>
    <w:rsid w:val="1EFD1033"/>
    <w:rsid w:val="211A46D4"/>
    <w:rsid w:val="21940426"/>
    <w:rsid w:val="21CA48AF"/>
    <w:rsid w:val="249C4E4A"/>
    <w:rsid w:val="24AC5E86"/>
    <w:rsid w:val="25215D4A"/>
    <w:rsid w:val="26F176CF"/>
    <w:rsid w:val="27223D2C"/>
    <w:rsid w:val="2A526D38"/>
    <w:rsid w:val="2CAA2BF1"/>
    <w:rsid w:val="2CD21EE0"/>
    <w:rsid w:val="2DCD4F31"/>
    <w:rsid w:val="2DD66AA1"/>
    <w:rsid w:val="2EBE2D7F"/>
    <w:rsid w:val="2F294924"/>
    <w:rsid w:val="2FC067ED"/>
    <w:rsid w:val="31886F99"/>
    <w:rsid w:val="31C81974"/>
    <w:rsid w:val="34C5283E"/>
    <w:rsid w:val="355B0433"/>
    <w:rsid w:val="3628761B"/>
    <w:rsid w:val="369F29ED"/>
    <w:rsid w:val="386A108F"/>
    <w:rsid w:val="38FD1F3E"/>
    <w:rsid w:val="39685D00"/>
    <w:rsid w:val="3B7A0F8F"/>
    <w:rsid w:val="3D9910E3"/>
    <w:rsid w:val="3F6C00D9"/>
    <w:rsid w:val="419454B5"/>
    <w:rsid w:val="43823F58"/>
    <w:rsid w:val="43A07649"/>
    <w:rsid w:val="48160ED6"/>
    <w:rsid w:val="48580610"/>
    <w:rsid w:val="485E04E5"/>
    <w:rsid w:val="488A4EC3"/>
    <w:rsid w:val="4C5F21E2"/>
    <w:rsid w:val="4C6C37B1"/>
    <w:rsid w:val="5038161B"/>
    <w:rsid w:val="506E7FDD"/>
    <w:rsid w:val="52312B91"/>
    <w:rsid w:val="536C2A87"/>
    <w:rsid w:val="53E3171A"/>
    <w:rsid w:val="5452177E"/>
    <w:rsid w:val="55454AA2"/>
    <w:rsid w:val="556E3DBC"/>
    <w:rsid w:val="55FA40F2"/>
    <w:rsid w:val="5A796958"/>
    <w:rsid w:val="5AC06077"/>
    <w:rsid w:val="5C541EA5"/>
    <w:rsid w:val="5DF37E23"/>
    <w:rsid w:val="619C2EE1"/>
    <w:rsid w:val="62A274F4"/>
    <w:rsid w:val="63B36F9D"/>
    <w:rsid w:val="64C80818"/>
    <w:rsid w:val="64DB13F3"/>
    <w:rsid w:val="660D7ED2"/>
    <w:rsid w:val="66537C45"/>
    <w:rsid w:val="68C335E9"/>
    <w:rsid w:val="69690D46"/>
    <w:rsid w:val="69881641"/>
    <w:rsid w:val="69CB4084"/>
    <w:rsid w:val="6A5769E5"/>
    <w:rsid w:val="6A8E20F3"/>
    <w:rsid w:val="6B421F06"/>
    <w:rsid w:val="6BA43AA1"/>
    <w:rsid w:val="6BCC3967"/>
    <w:rsid w:val="6BE160DB"/>
    <w:rsid w:val="6D1C60F5"/>
    <w:rsid w:val="6ED0700C"/>
    <w:rsid w:val="6FA02888"/>
    <w:rsid w:val="7036645C"/>
    <w:rsid w:val="70D2136A"/>
    <w:rsid w:val="70DC7322"/>
    <w:rsid w:val="7214383E"/>
    <w:rsid w:val="725E2B5B"/>
    <w:rsid w:val="72806927"/>
    <w:rsid w:val="73033BF3"/>
    <w:rsid w:val="73CA1308"/>
    <w:rsid w:val="791974F6"/>
    <w:rsid w:val="79E5228B"/>
    <w:rsid w:val="7BE256C8"/>
    <w:rsid w:val="7C6A0D04"/>
    <w:rsid w:val="7DDB6D31"/>
    <w:rsid w:val="7E0F7090"/>
    <w:rsid w:val="7E3F1E86"/>
    <w:rsid w:val="7E860185"/>
    <w:rsid w:val="7F267ABD"/>
    <w:rsid w:val="7F64085D"/>
    <w:rsid w:val="7FC85E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nhideWhenUsed="0" w:uiPriority="0" w:semiHidden="0" w:name="macro"/>
    <w:lsdException w:uiPriority="0" w:name="toa heading"/>
    <w:lsdException w:uiPriority="0" w:name="List"/>
    <w:lsdException w:unhideWhenUsed="0" w:uiPriority="0" w:semiHidden="0" w:name="List Bullet"/>
    <w:lsdException w:unhideWhenUsed="0" w:uiPriority="0" w:semiHidden="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0" w:semiHidden="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framePr w:wrap="around" w:vAnchor="margin" w:hAnchor="text" w:y="1"/>
      <w:widowControl w:val="0"/>
      <w:jc w:val="both"/>
    </w:pPr>
    <w:rPr>
      <w:rFonts w:hint="eastAsia" w:ascii="Arial Unicode MS" w:hAnsi="Arial Unicode MS" w:eastAsia="Times New Roman" w:cs="Arial Unicode MS"/>
      <w:color w:val="000000"/>
      <w:kern w:val="2"/>
      <w:sz w:val="21"/>
      <w:szCs w:val="21"/>
      <w:u w:color="000000"/>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qFormat/>
    <w:uiPriority w:val="0"/>
    <w:pPr>
      <w:framePr w:wrap="around" w:vAnchor="margin" w:hAnchor="text" w:y="1"/>
      <w:widowControl w:val="0"/>
      <w:tabs>
        <w:tab w:val="center" w:pos="4153"/>
        <w:tab w:val="right" w:pos="8306"/>
      </w:tabs>
    </w:pPr>
    <w:rPr>
      <w:rFonts w:ascii="Times New Roman" w:hAnsi="Times New Roman" w:eastAsia="Arial Unicode MS" w:cs="Arial Unicode MS"/>
      <w:color w:val="000000"/>
      <w:kern w:val="2"/>
      <w:sz w:val="18"/>
      <w:szCs w:val="18"/>
      <w:u w:color="000000"/>
      <w:lang w:val="en-US" w:eastAsia="zh-CN" w:bidi="ar-SA"/>
    </w:rPr>
  </w:style>
  <w:style w:type="paragraph" w:styleId="3">
    <w:name w:val="header"/>
    <w:basedOn w:val="1"/>
    <w:link w:val="13"/>
    <w:qFormat/>
    <w:uiPriority w:val="0"/>
    <w:pPr>
      <w:framePr w:wrap="around"/>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framePr w:wrap="around"/>
    </w:pPr>
    <w:rPr>
      <w:sz w:val="24"/>
    </w:rPr>
  </w:style>
  <w:style w:type="character" w:styleId="7">
    <w:name w:val="Hyperlink"/>
    <w:qFormat/>
    <w:uiPriority w:val="0"/>
    <w:rPr>
      <w:u w:val="single"/>
    </w:rPr>
  </w:style>
  <w:style w:type="paragraph" w:customStyle="1" w:styleId="8">
    <w:name w:val="章标题"/>
    <w:next w:val="9"/>
    <w:qFormat/>
    <w:uiPriority w:val="0"/>
    <w:pPr>
      <w:numPr>
        <w:ilvl w:val="0"/>
        <w:numId w:val="1"/>
      </w:numPr>
      <w:spacing w:before="312" w:beforeLines="100" w:after="312" w:afterLines="100"/>
      <w:jc w:val="both"/>
      <w:outlineLvl w:val="1"/>
    </w:pPr>
    <w:rPr>
      <w:rFonts w:ascii="黑体" w:hAnsi="Times New Roman" w:eastAsia="黑体" w:cs="Times New Roman"/>
      <w:sz w:val="21"/>
      <w:lang w:val="en-US" w:eastAsia="zh-CN" w:bidi="ar-SA"/>
    </w:rPr>
  </w:style>
  <w:style w:type="paragraph" w:customStyle="1" w:styleId="9">
    <w:name w:val="段"/>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table" w:customStyle="1" w:styleId="10">
    <w:name w:val="Table Normal"/>
    <w:qFormat/>
    <w:uiPriority w:val="0"/>
    <w:tblPr>
      <w:tblCellMar>
        <w:top w:w="0" w:type="dxa"/>
        <w:left w:w="0" w:type="dxa"/>
        <w:bottom w:w="0" w:type="dxa"/>
        <w:right w:w="0" w:type="dxa"/>
      </w:tblCellMar>
    </w:tblPr>
  </w:style>
  <w:style w:type="paragraph" w:customStyle="1" w:styleId="11">
    <w:name w:val="页眉与页脚"/>
    <w:qFormat/>
    <w:uiPriority w:val="0"/>
    <w:pPr>
      <w:framePr w:wrap="around" w:vAnchor="margin" w:hAnchor="text" w:y="1"/>
      <w:tabs>
        <w:tab w:val="right" w:pos="9020"/>
      </w:tabs>
    </w:pPr>
    <w:rPr>
      <w:rFonts w:ascii="Helvetica Neue" w:hAnsi="Helvetica Neue" w:eastAsia="Arial Unicode MS" w:cs="Arial Unicode MS"/>
      <w:color w:val="000000"/>
      <w:sz w:val="24"/>
      <w:szCs w:val="24"/>
      <w:lang w:val="en-US" w:eastAsia="zh-CN" w:bidi="ar-SA"/>
    </w:rPr>
  </w:style>
  <w:style w:type="paragraph" w:customStyle="1" w:styleId="12">
    <w:name w:val="列出段落1"/>
    <w:qFormat/>
    <w:uiPriority w:val="0"/>
    <w:pPr>
      <w:framePr w:wrap="around" w:vAnchor="margin" w:hAnchor="text" w:y="1"/>
      <w:widowControl w:val="0"/>
      <w:ind w:firstLine="420"/>
      <w:jc w:val="both"/>
    </w:pPr>
    <w:rPr>
      <w:rFonts w:hint="eastAsia" w:ascii="Arial Unicode MS" w:hAnsi="Arial Unicode MS" w:eastAsia="Times New Roman" w:cs="Arial Unicode MS"/>
      <w:color w:val="000000"/>
      <w:kern w:val="2"/>
      <w:sz w:val="21"/>
      <w:szCs w:val="21"/>
      <w:u w:color="000000"/>
      <w:lang w:val="en-US" w:eastAsia="zh-CN" w:bidi="ar-SA"/>
    </w:rPr>
  </w:style>
  <w:style w:type="character" w:customStyle="1" w:styleId="13">
    <w:name w:val="页眉 字符"/>
    <w:basedOn w:val="6"/>
    <w:link w:val="3"/>
    <w:qFormat/>
    <w:uiPriority w:val="0"/>
    <w:rPr>
      <w:rFonts w:ascii="Arial Unicode MS" w:hAnsi="Arial Unicode MS" w:eastAsia="Times New Roman" w:cs="Arial Unicode MS"/>
      <w:color w:val="000000"/>
      <w:kern w:val="2"/>
      <w:sz w:val="18"/>
      <w:szCs w:val="18"/>
      <w:u w:color="000000"/>
    </w:rPr>
  </w:style>
  <w:style w:type="paragraph" w:customStyle="1" w:styleId="14">
    <w:name w:val="列表段落1"/>
    <w:basedOn w:val="1"/>
    <w:qFormat/>
    <w:uiPriority w:val="99"/>
    <w:pPr>
      <w:framePr w:wrap="around"/>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Office 主题​​">
      <a:majorFont>
        <a:latin typeface="Helvetica Neue"/>
        <a:ea typeface="黑体"/>
        <a:cs typeface="Helvetica Neue"/>
      </a:majorFont>
      <a:minorFont>
        <a:latin typeface="Helvetica Neue"/>
        <a:ea typeface="宋体"/>
        <a:cs typeface="Helvetica Neu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spPr>
      <a:bodyPr rot="0" spcFirstLastPara="1" vertOverflow="overflow" horzOverflow="overflow" vert="horz" wrap="square" lIns="45719" tIns="45719" rIns="45719" bIns="45719" numCol="1" spcCol="38100" rtlCol="0" anchor="ctr">
        <a:spAutoFit/>
      </a:bodyPr>
      <a:lstStyle/>
      <a:style>
        <a:lnRef idx="0">
          <a:srgbClr val="FFFFFF"/>
        </a:lnRef>
        <a:fillRef idx="0">
          <a:srgbClr val="FFFFFF"/>
        </a:fillRef>
        <a:effectRef idx="0">
          <a:srgbClr val="FFFFFF"/>
        </a:effectRef>
        <a:fontRef idx="none"/>
      </a:style>
    </a:spDef>
    <a:lnDef>
      <a:spPr>
        <a:noFill/>
        <a:ln w="12700" cap="flat">
          <a:solidFill>
            <a:schemeClr val="accent1"/>
          </a:solidFill>
          <a:prstDash val="solid"/>
          <a:miter lim="800000"/>
        </a:ln>
      </a:spPr>
      <a:bodyPr rot="0" spcFirstLastPara="1" vertOverflow="overflow" horzOverflow="overflow" vert="horz" wrap="square" lIns="91439" tIns="45719" rIns="91439" bIns="45719" numCol="1" spcCol="38100" rtlCol="0" anchor="t">
        <a:noAutofit/>
      </a:bodyPr>
      <a:lstStyle/>
      <a:style>
        <a:lnRef idx="0">
          <a:srgbClr val="FFFFFF"/>
        </a:lnRef>
        <a:fillRef idx="0">
          <a:srgbClr val="FFFFFF"/>
        </a:fillRef>
        <a:effectRef idx="0">
          <a:srgbClr val="FFFFFF"/>
        </a:effectRef>
        <a:fontRef idx="none"/>
      </a:style>
    </a:lnDef>
    <a:txDef>
      <a:spPr>
        <a:noFill/>
        <a:ln w="12700" cap="flat">
          <a:noFill/>
          <a:miter lim="400000"/>
        </a:ln>
      </a:spPr>
      <a:bodyPr rot="0" spcFirstLastPara="1" vertOverflow="overflow" horzOverflow="overflow" vert="horz" wrap="square" lIns="45719" tIns="45719" rIns="45719" bIns="45719" numCol="1" spcCol="38100" rtlCol="0" anchor="t">
        <a:spAutoFit/>
      </a:bodyPr>
      <a:lstStyle/>
      <a:style>
        <a:lnRef idx="0">
          <a:srgbClr val="FFFFFF"/>
        </a:lnRef>
        <a:fillRef idx="0">
          <a:srgbClr val="FFFFFF"/>
        </a:fillRef>
        <a:effectRef idx="0">
          <a:srgbClr val="FFFFFF"/>
        </a:effectRef>
        <a:fontRef idx="none"/>
      </a:style>
    </a:tx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7</Pages>
  <Words>4324</Words>
  <Characters>4539</Characters>
  <Lines>2</Lines>
  <Paragraphs>1</Paragraphs>
  <TotalTime>22</TotalTime>
  <ScaleCrop>false</ScaleCrop>
  <LinksUpToDate>false</LinksUpToDate>
  <CharactersWithSpaces>4565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2019-03-19T02:01:00Z</dcterms:created>
  <dc:creator>HP</dc:creator>
  <cp:lastModifiedBy>特浓盐牛奶糖</cp:lastModifiedBy>
  <cp:lastPrinted>2019-06-17T03:57:00Z</cp:lastPrinted>
  <dcterms:modified xsi:type="dcterms:W3CDTF">2026-05-28T07:00:02Z</dcterms:modified>
  <cp:revision>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2EF287012E7042D7A7353FC2216727C2_12</vt:lpwstr>
  </property>
  <property fmtid="{D5CDD505-2E9C-101B-9397-08002B2CF9AE}" pid="4" name="KSOTemplateDocerSaveRecord">
    <vt:lpwstr>eyJoZGlkIjoiYjRjZDgxZmM2NTBmY2I2MjMyOTEyMmI3NDRhNjM5Y2QiLCJ1c2VySWQiOiIxMTQ4NjA0ODU1In0=</vt:lpwstr>
  </property>
</Properties>
</file>