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14FE3B8">
      <w:pPr>
        <w:jc w:val="center"/>
        <w:rPr>
          <w:rFonts w:ascii="宋体" w:hAnsi="宋体" w:eastAsia="宋体"/>
          <w:b/>
          <w:bCs/>
          <w:sz w:val="44"/>
          <w:szCs w:val="44"/>
        </w:rPr>
      </w:pPr>
      <w:r>
        <w:rPr>
          <w:rFonts w:hint="eastAsia" w:ascii="宋体" w:hAnsi="宋体" w:eastAsia="宋体"/>
          <w:b/>
          <w:bCs/>
          <w:sz w:val="44"/>
          <w:szCs w:val="44"/>
        </w:rPr>
        <w:t>《</w:t>
      </w:r>
      <w:r>
        <w:rPr>
          <w:rFonts w:hint="eastAsia" w:ascii="宋体" w:hAnsi="宋体" w:eastAsia="宋体"/>
          <w:b/>
          <w:bCs/>
          <w:sz w:val="44"/>
          <w:szCs w:val="44"/>
          <w:lang w:val="en-US" w:eastAsia="zh-CN"/>
        </w:rPr>
        <w:t>小麦族牧草种质资源评价鉴定技术规程</w:t>
      </w:r>
      <w:r>
        <w:rPr>
          <w:rFonts w:hint="eastAsia" w:ascii="宋体" w:hAnsi="宋体" w:eastAsia="宋体"/>
          <w:b/>
          <w:bCs/>
          <w:sz w:val="44"/>
          <w:szCs w:val="44"/>
        </w:rPr>
        <w:t>》</w:t>
      </w:r>
    </w:p>
    <w:p w14:paraId="40C045D1">
      <w:pPr>
        <w:jc w:val="center"/>
        <w:rPr>
          <w:rFonts w:ascii="宋体" w:hAnsi="宋体" w:eastAsia="宋体"/>
          <w:b/>
          <w:bCs/>
          <w:sz w:val="44"/>
          <w:szCs w:val="44"/>
        </w:rPr>
      </w:pPr>
      <w:r>
        <w:rPr>
          <w:rFonts w:ascii="宋体" w:hAnsi="宋体" w:eastAsia="宋体"/>
          <w:b/>
          <w:bCs/>
          <w:sz w:val="44"/>
          <w:szCs w:val="44"/>
        </w:rPr>
        <w:t>编制说明</w:t>
      </w:r>
    </w:p>
    <w:p w14:paraId="3925DBD3">
      <w:pPr>
        <w:pStyle w:val="9"/>
        <w:numPr>
          <w:ilvl w:val="0"/>
          <w:numId w:val="2"/>
        </w:numPr>
        <w:ind w:firstLineChars="0"/>
        <w:rPr>
          <w:rFonts w:ascii="仿宋" w:hAnsi="仿宋" w:eastAsia="仿宋"/>
          <w:sz w:val="32"/>
          <w:szCs w:val="32"/>
        </w:rPr>
      </w:pPr>
      <w:r>
        <w:rPr>
          <w:rFonts w:ascii="黑体" w:hAnsi="黑体" w:eastAsia="黑体"/>
          <w:sz w:val="32"/>
          <w:szCs w:val="32"/>
        </w:rPr>
        <w:t>工作简况</w:t>
      </w:r>
    </w:p>
    <w:p w14:paraId="79C26ECE">
      <w:pPr>
        <w:rPr>
          <w:rFonts w:ascii="仿宋" w:hAnsi="仿宋" w:eastAsia="仿宋"/>
          <w:b/>
          <w:bCs/>
          <w:sz w:val="32"/>
          <w:szCs w:val="32"/>
        </w:rPr>
      </w:pPr>
      <w:r>
        <w:rPr>
          <w:rFonts w:hint="eastAsia" w:ascii="仿宋" w:hAnsi="仿宋" w:eastAsia="仿宋"/>
          <w:b/>
          <w:bCs/>
          <w:sz w:val="32"/>
          <w:szCs w:val="32"/>
        </w:rPr>
        <w:t>（一）</w:t>
      </w:r>
      <w:r>
        <w:rPr>
          <w:rFonts w:ascii="仿宋" w:hAnsi="仿宋" w:eastAsia="仿宋"/>
          <w:b/>
          <w:bCs/>
          <w:sz w:val="32"/>
          <w:szCs w:val="32"/>
        </w:rPr>
        <w:t>立项情况</w:t>
      </w:r>
    </w:p>
    <w:p w14:paraId="4979DBC8">
      <w:pPr>
        <w:keepNext w:val="0"/>
        <w:keepLines w:val="0"/>
        <w:widowControl w:val="0"/>
        <w:suppressLineNumbers w:val="0"/>
        <w:spacing w:before="0" w:beforeAutospacing="0" w:after="100" w:afterAutospacing="0" w:line="560" w:lineRule="exact"/>
        <w:ind w:left="0" w:right="0" w:firstLine="640" w:firstLineChars="200"/>
        <w:jc w:val="left"/>
        <w:rPr>
          <w:rFonts w:hint="eastAsia" w:ascii="仿宋" w:hAnsi="仿宋" w:eastAsia="仿宋" w:cs="仿宋"/>
          <w:sz w:val="32"/>
          <w:szCs w:val="32"/>
          <w:lang w:val="en-US"/>
        </w:rPr>
      </w:pPr>
      <w:r>
        <w:rPr>
          <w:rFonts w:hint="eastAsia" w:ascii="仿宋" w:hAnsi="仿宋" w:eastAsia="仿宋"/>
          <w:sz w:val="32"/>
          <w:szCs w:val="32"/>
        </w:rPr>
        <w:t>202</w:t>
      </w:r>
      <w:r>
        <w:rPr>
          <w:rFonts w:hint="eastAsia" w:ascii="仿宋" w:hAnsi="仿宋" w:eastAsia="仿宋"/>
          <w:sz w:val="32"/>
          <w:szCs w:val="32"/>
          <w:lang w:val="en-US" w:eastAsia="zh-CN"/>
        </w:rPr>
        <w:t>6</w:t>
      </w:r>
      <w:r>
        <w:rPr>
          <w:rFonts w:hint="eastAsia" w:ascii="仿宋" w:hAnsi="仿宋" w:eastAsia="仿宋"/>
          <w:sz w:val="32"/>
          <w:szCs w:val="32"/>
        </w:rPr>
        <w:t>年1月</w:t>
      </w:r>
      <w:r>
        <w:rPr>
          <w:rFonts w:hint="eastAsia" w:ascii="仿宋" w:hAnsi="仿宋" w:eastAsia="仿宋"/>
          <w:sz w:val="32"/>
          <w:szCs w:val="32"/>
          <w:lang w:val="en-US" w:eastAsia="zh-CN"/>
        </w:rPr>
        <w:t>中国农业科学院草原研究所</w:t>
      </w:r>
      <w:r>
        <w:rPr>
          <w:rFonts w:hint="eastAsia" w:ascii="仿宋" w:hAnsi="仿宋" w:eastAsia="仿宋"/>
          <w:sz w:val="32"/>
          <w:szCs w:val="32"/>
        </w:rPr>
        <w:t>向内蒙古标准化协会提出《</w:t>
      </w:r>
      <w:r>
        <w:rPr>
          <w:rFonts w:hint="eastAsia" w:ascii="仿宋" w:hAnsi="仿宋" w:eastAsia="仿宋" w:cs="仿宋"/>
          <w:kern w:val="2"/>
          <w:sz w:val="32"/>
          <w:szCs w:val="32"/>
          <w:lang w:val="en-US" w:eastAsia="zh-CN" w:bidi="ar"/>
          <w14:ligatures w14:val="standardContextual"/>
        </w:rPr>
        <w:t>小麦族牧草种质资源评价鉴定技术规程</w:t>
      </w:r>
      <w:r>
        <w:rPr>
          <w:rFonts w:hint="eastAsia" w:ascii="仿宋" w:hAnsi="仿宋" w:eastAsia="仿宋"/>
          <w:sz w:val="32"/>
          <w:szCs w:val="32"/>
        </w:rPr>
        <w:t>》团体标准立项申请。202</w:t>
      </w:r>
      <w:r>
        <w:rPr>
          <w:rFonts w:hint="eastAsia" w:ascii="仿宋" w:hAnsi="仿宋" w:eastAsia="仿宋"/>
          <w:sz w:val="32"/>
          <w:szCs w:val="32"/>
          <w:lang w:val="en-US" w:eastAsia="zh-CN"/>
        </w:rPr>
        <w:t>6</w:t>
      </w:r>
      <w:r>
        <w:rPr>
          <w:rFonts w:hint="eastAsia" w:ascii="仿宋" w:hAnsi="仿宋" w:eastAsia="仿宋"/>
          <w:sz w:val="32"/>
          <w:szCs w:val="32"/>
        </w:rPr>
        <w:t>年1月，内蒙古标准化协会“关于下达202</w:t>
      </w:r>
      <w:r>
        <w:rPr>
          <w:rFonts w:hint="eastAsia" w:ascii="仿宋" w:hAnsi="仿宋" w:eastAsia="仿宋"/>
          <w:sz w:val="32"/>
          <w:szCs w:val="32"/>
          <w:lang w:val="en-US" w:eastAsia="zh-CN"/>
        </w:rPr>
        <w:t>6</w:t>
      </w:r>
      <w:r>
        <w:rPr>
          <w:rFonts w:hint="eastAsia" w:ascii="仿宋" w:hAnsi="仿宋" w:eastAsia="仿宋"/>
          <w:sz w:val="32"/>
          <w:szCs w:val="32"/>
        </w:rPr>
        <w:t>年第</w:t>
      </w:r>
      <w:r>
        <w:rPr>
          <w:rFonts w:hint="eastAsia" w:ascii="仿宋" w:hAnsi="仿宋" w:eastAsia="仿宋"/>
          <w:sz w:val="32"/>
          <w:szCs w:val="32"/>
          <w:lang w:val="en-US" w:eastAsia="zh-CN"/>
        </w:rPr>
        <w:t>2</w:t>
      </w:r>
      <w:r>
        <w:rPr>
          <w:rFonts w:hint="eastAsia" w:ascii="仿宋" w:hAnsi="仿宋" w:eastAsia="仿宋"/>
          <w:sz w:val="32"/>
          <w:szCs w:val="32"/>
        </w:rPr>
        <w:t>批</w:t>
      </w:r>
      <w:r>
        <w:rPr>
          <w:rFonts w:hint="eastAsia" w:ascii="仿宋" w:hAnsi="仿宋" w:eastAsia="仿宋"/>
          <w:sz w:val="32"/>
          <w:szCs w:val="32"/>
          <w:lang w:val="en-US" w:eastAsia="zh-CN"/>
        </w:rPr>
        <w:t>9</w:t>
      </w:r>
      <w:r>
        <w:rPr>
          <w:rFonts w:hint="eastAsia" w:ascii="仿宋" w:hAnsi="仿宋" w:eastAsia="仿宋"/>
          <w:sz w:val="32"/>
          <w:szCs w:val="32"/>
        </w:rPr>
        <w:t>项团体标准制修订项目的通知”（内标协(20</w:t>
      </w:r>
      <w:r>
        <w:rPr>
          <w:rFonts w:hint="eastAsia" w:ascii="仿宋" w:hAnsi="仿宋" w:eastAsia="仿宋"/>
          <w:sz w:val="32"/>
          <w:szCs w:val="32"/>
          <w:lang w:val="en-US" w:eastAsia="zh-CN"/>
        </w:rPr>
        <w:t>26</w:t>
      </w:r>
      <w:r>
        <w:rPr>
          <w:rFonts w:hint="eastAsia" w:ascii="仿宋" w:hAnsi="仿宋" w:eastAsia="仿宋"/>
          <w:sz w:val="32"/>
          <w:szCs w:val="32"/>
        </w:rPr>
        <w:t>)0</w:t>
      </w:r>
      <w:r>
        <w:rPr>
          <w:rFonts w:hint="eastAsia" w:ascii="仿宋" w:hAnsi="仿宋" w:eastAsia="仿宋"/>
          <w:sz w:val="32"/>
          <w:szCs w:val="32"/>
          <w:lang w:val="en-US" w:eastAsia="zh-CN"/>
        </w:rPr>
        <w:t>02</w:t>
      </w:r>
      <w:r>
        <w:rPr>
          <w:rFonts w:hint="eastAsia" w:ascii="仿宋" w:hAnsi="仿宋" w:eastAsia="仿宋"/>
          <w:sz w:val="32"/>
          <w:szCs w:val="32"/>
        </w:rPr>
        <w:t>号），《</w:t>
      </w:r>
      <w:r>
        <w:rPr>
          <w:rFonts w:hint="eastAsia" w:ascii="仿宋" w:hAnsi="仿宋" w:eastAsia="仿宋" w:cs="仿宋"/>
          <w:kern w:val="2"/>
          <w:sz w:val="32"/>
          <w:szCs w:val="32"/>
          <w:lang w:val="en-US" w:eastAsia="zh-CN" w:bidi="ar"/>
          <w14:ligatures w14:val="standardContextual"/>
        </w:rPr>
        <w:t>小麦族牧草种质资源评价鉴定技术规程</w:t>
      </w:r>
      <w:r>
        <w:rPr>
          <w:rFonts w:hint="eastAsia" w:ascii="仿宋" w:hAnsi="仿宋" w:eastAsia="仿宋"/>
          <w:sz w:val="32"/>
          <w:szCs w:val="32"/>
        </w:rPr>
        <w:t>》立项。</w:t>
      </w:r>
    </w:p>
    <w:p w14:paraId="513549F2">
      <w:pPr>
        <w:rPr>
          <w:rFonts w:ascii="仿宋" w:hAnsi="仿宋" w:eastAsia="仿宋"/>
          <w:b/>
          <w:bCs/>
          <w:sz w:val="32"/>
          <w:szCs w:val="32"/>
        </w:rPr>
      </w:pPr>
      <w:r>
        <w:rPr>
          <w:rFonts w:ascii="仿宋" w:hAnsi="仿宋" w:eastAsia="仿宋"/>
          <w:b/>
          <w:bCs/>
          <w:sz w:val="32"/>
          <w:szCs w:val="32"/>
        </w:rPr>
        <w:t>（</w:t>
      </w:r>
      <w:r>
        <w:rPr>
          <w:rFonts w:hint="eastAsia" w:ascii="仿宋" w:hAnsi="仿宋" w:eastAsia="仿宋"/>
          <w:b/>
          <w:bCs/>
          <w:sz w:val="32"/>
          <w:szCs w:val="32"/>
        </w:rPr>
        <w:t>二</w:t>
      </w:r>
      <w:r>
        <w:rPr>
          <w:rFonts w:ascii="仿宋" w:hAnsi="仿宋" w:eastAsia="仿宋"/>
          <w:b/>
          <w:bCs/>
          <w:sz w:val="32"/>
          <w:szCs w:val="32"/>
        </w:rPr>
        <w:t>）提出单位：</w:t>
      </w:r>
    </w:p>
    <w:p w14:paraId="408E0B2D">
      <w:pPr>
        <w:keepNext w:val="0"/>
        <w:keepLines w:val="0"/>
        <w:widowControl w:val="0"/>
        <w:suppressLineNumbers w:val="0"/>
        <w:spacing w:before="0" w:beforeAutospacing="0" w:after="100" w:afterAutospacing="0" w:line="560" w:lineRule="exact"/>
        <w:ind w:left="0" w:right="0" w:firstLine="640" w:firstLineChars="200"/>
        <w:jc w:val="left"/>
        <w:rPr>
          <w:rFonts w:hint="eastAsia" w:ascii="仿宋" w:hAnsi="仿宋" w:eastAsia="仿宋" w:cs="仿宋"/>
          <w:kern w:val="2"/>
          <w:sz w:val="32"/>
          <w:szCs w:val="32"/>
          <w:lang w:val="en-US" w:eastAsia="zh-CN" w:bidi="ar"/>
          <w14:ligatures w14:val="standardContextual"/>
        </w:rPr>
      </w:pPr>
      <w:r>
        <w:rPr>
          <w:rFonts w:hint="eastAsia" w:ascii="仿宋" w:hAnsi="仿宋" w:eastAsia="仿宋" w:cs="仿宋"/>
          <w:kern w:val="2"/>
          <w:sz w:val="32"/>
          <w:szCs w:val="32"/>
          <w:lang w:val="en-US" w:eastAsia="zh-CN" w:bidi="ar"/>
          <w14:ligatures w14:val="standardContextual"/>
        </w:rPr>
        <w:t>中国农业科学院草原研究所</w:t>
      </w:r>
    </w:p>
    <w:p w14:paraId="6592FC50">
      <w:pPr>
        <w:rPr>
          <w:rFonts w:ascii="仿宋" w:hAnsi="仿宋" w:eastAsia="仿宋"/>
          <w:b/>
          <w:bCs/>
          <w:sz w:val="32"/>
          <w:szCs w:val="32"/>
        </w:rPr>
      </w:pPr>
      <w:r>
        <w:rPr>
          <w:rFonts w:hint="eastAsia" w:ascii="仿宋" w:hAnsi="仿宋" w:eastAsia="仿宋"/>
          <w:b/>
          <w:bCs/>
          <w:sz w:val="32"/>
          <w:szCs w:val="32"/>
        </w:rPr>
        <w:t>（三）</w:t>
      </w:r>
      <w:r>
        <w:rPr>
          <w:rFonts w:ascii="仿宋" w:hAnsi="仿宋" w:eastAsia="仿宋"/>
          <w:b/>
          <w:bCs/>
          <w:sz w:val="32"/>
          <w:szCs w:val="32"/>
        </w:rPr>
        <w:t>归口单位：</w:t>
      </w:r>
    </w:p>
    <w:p w14:paraId="0779D0F3">
      <w:pPr>
        <w:keepNext w:val="0"/>
        <w:keepLines w:val="0"/>
        <w:widowControl w:val="0"/>
        <w:suppressLineNumbers w:val="0"/>
        <w:spacing w:before="0" w:beforeAutospacing="0" w:after="100" w:afterAutospacing="0" w:line="560" w:lineRule="exact"/>
        <w:ind w:left="0" w:right="0" w:firstLine="640" w:firstLineChars="200"/>
        <w:jc w:val="left"/>
        <w:rPr>
          <w:rFonts w:hint="default" w:ascii="仿宋" w:hAnsi="仿宋" w:eastAsia="仿宋" w:cs="仿宋"/>
          <w:kern w:val="2"/>
          <w:sz w:val="32"/>
          <w:szCs w:val="32"/>
          <w:lang w:val="en-US" w:eastAsia="zh-CN" w:bidi="ar"/>
          <w14:ligatures w14:val="standardContextual"/>
        </w:rPr>
      </w:pPr>
      <w:r>
        <w:rPr>
          <w:rFonts w:hint="eastAsia" w:ascii="仿宋" w:hAnsi="仿宋" w:eastAsia="仿宋" w:cs="仿宋"/>
          <w:kern w:val="2"/>
          <w:sz w:val="32"/>
          <w:szCs w:val="32"/>
          <w:lang w:val="en-US" w:eastAsia="zh-CN" w:bidi="ar"/>
          <w14:ligatures w14:val="standardContextual"/>
        </w:rPr>
        <w:t>内蒙古标准化协会</w:t>
      </w:r>
    </w:p>
    <w:p w14:paraId="734D80D8">
      <w:pPr>
        <w:rPr>
          <w:rFonts w:ascii="仿宋" w:hAnsi="仿宋" w:eastAsia="仿宋"/>
          <w:b/>
          <w:bCs/>
          <w:sz w:val="32"/>
          <w:szCs w:val="32"/>
        </w:rPr>
      </w:pPr>
      <w:r>
        <w:rPr>
          <w:rFonts w:hint="eastAsia" w:ascii="仿宋" w:hAnsi="仿宋" w:eastAsia="仿宋"/>
          <w:b/>
          <w:bCs/>
          <w:sz w:val="32"/>
          <w:szCs w:val="32"/>
        </w:rPr>
        <w:t>（四）</w:t>
      </w:r>
      <w:r>
        <w:rPr>
          <w:rFonts w:ascii="仿宋" w:hAnsi="仿宋" w:eastAsia="仿宋"/>
          <w:b/>
          <w:bCs/>
          <w:sz w:val="32"/>
          <w:szCs w:val="32"/>
        </w:rPr>
        <w:t>起草单位：</w:t>
      </w:r>
    </w:p>
    <w:p w14:paraId="7DB49A06">
      <w:pPr>
        <w:keepNext w:val="0"/>
        <w:keepLines w:val="0"/>
        <w:widowControl w:val="0"/>
        <w:suppressLineNumbers w:val="0"/>
        <w:spacing w:before="0" w:beforeAutospacing="0" w:after="100" w:afterAutospacing="0" w:line="560" w:lineRule="exact"/>
        <w:ind w:left="0" w:right="0" w:firstLine="640" w:firstLineChars="200"/>
        <w:jc w:val="left"/>
        <w:rPr>
          <w:rFonts w:hint="eastAsia" w:ascii="仿宋" w:hAnsi="仿宋" w:eastAsia="仿宋" w:cs="仿宋"/>
          <w:kern w:val="2"/>
          <w:sz w:val="32"/>
          <w:szCs w:val="32"/>
          <w:lang w:val="en-US" w:eastAsia="zh-CN" w:bidi="ar"/>
          <w14:ligatures w14:val="standardContextual"/>
        </w:rPr>
      </w:pPr>
      <w:r>
        <w:rPr>
          <w:rFonts w:hint="eastAsia" w:ascii="仿宋" w:hAnsi="仿宋" w:eastAsia="仿宋" w:cs="仿宋"/>
          <w:kern w:val="2"/>
          <w:sz w:val="32"/>
          <w:szCs w:val="32"/>
          <w:lang w:val="en-US" w:eastAsia="zh-CN" w:bidi="ar"/>
          <w14:ligatures w14:val="standardContextual"/>
        </w:rPr>
        <w:t>中国农业科学院草原研究所、内蒙古农业大学和鄂尔多斯市农牧业科学研究院</w:t>
      </w:r>
    </w:p>
    <w:p w14:paraId="5FC238A6">
      <w:pPr>
        <w:rPr>
          <w:rFonts w:hint="eastAsia" w:ascii="仿宋" w:hAnsi="仿宋" w:eastAsia="仿宋"/>
          <w:b/>
          <w:bCs/>
          <w:sz w:val="32"/>
          <w:szCs w:val="32"/>
        </w:rPr>
      </w:pPr>
      <w:r>
        <w:rPr>
          <w:rFonts w:hint="eastAsia" w:ascii="仿宋" w:hAnsi="仿宋" w:eastAsia="仿宋"/>
          <w:b/>
          <w:bCs/>
          <w:sz w:val="32"/>
          <w:szCs w:val="32"/>
        </w:rPr>
        <w:t>（五）</w:t>
      </w:r>
      <w:r>
        <w:rPr>
          <w:rFonts w:ascii="仿宋" w:hAnsi="仿宋" w:eastAsia="仿宋"/>
          <w:b/>
          <w:bCs/>
          <w:sz w:val="32"/>
          <w:szCs w:val="32"/>
        </w:rPr>
        <w:t>起草人</w:t>
      </w:r>
      <w:r>
        <w:rPr>
          <w:rFonts w:hint="eastAsia" w:ascii="仿宋" w:hAnsi="仿宋" w:eastAsia="仿宋"/>
          <w:b/>
          <w:bCs/>
          <w:sz w:val="32"/>
          <w:szCs w:val="32"/>
        </w:rPr>
        <w:t>：</w:t>
      </w:r>
    </w:p>
    <w:p w14:paraId="26AEC1BA">
      <w:pPr>
        <w:keepNext w:val="0"/>
        <w:keepLines w:val="0"/>
        <w:widowControl w:val="0"/>
        <w:suppressLineNumbers w:val="0"/>
        <w:spacing w:before="0" w:beforeAutospacing="0" w:after="100" w:afterAutospacing="0" w:line="560" w:lineRule="exact"/>
        <w:ind w:left="0" w:right="0" w:firstLine="640" w:firstLineChars="200"/>
        <w:jc w:val="left"/>
        <w:rPr>
          <w:rFonts w:hint="eastAsia" w:ascii="仿宋" w:hAnsi="仿宋" w:eastAsia="仿宋" w:cs="仿宋"/>
          <w:kern w:val="2"/>
          <w:sz w:val="32"/>
          <w:szCs w:val="32"/>
          <w:lang w:val="en-US" w:eastAsia="zh-CN" w:bidi="ar"/>
          <w14:ligatures w14:val="standardContextual"/>
        </w:rPr>
      </w:pPr>
      <w:r>
        <w:rPr>
          <w:rFonts w:hint="eastAsia" w:ascii="仿宋" w:hAnsi="仿宋" w:eastAsia="仿宋" w:cs="仿宋"/>
          <w:kern w:val="2"/>
          <w:sz w:val="32"/>
          <w:szCs w:val="32"/>
          <w:lang w:val="en-US" w:eastAsia="zh-CN" w:bidi="ar"/>
          <w14:ligatures w14:val="standardContextual"/>
        </w:rPr>
        <w:t>刘磊，王运涛，孟元发，栾忠贤，余奕东，杨政伟，田青松、倪苗，黄帆，强晓晶，李文轩</w:t>
      </w:r>
    </w:p>
    <w:p w14:paraId="399946CE">
      <w:pPr>
        <w:pStyle w:val="9"/>
        <w:numPr>
          <w:ilvl w:val="0"/>
          <w:numId w:val="2"/>
        </w:numPr>
        <w:ind w:firstLineChars="0"/>
        <w:rPr>
          <w:rFonts w:ascii="黑体" w:hAnsi="黑体" w:eastAsia="黑体"/>
          <w:sz w:val="32"/>
          <w:szCs w:val="32"/>
        </w:rPr>
      </w:pPr>
      <w:r>
        <w:rPr>
          <w:rFonts w:ascii="黑体" w:hAnsi="黑体" w:eastAsia="黑体"/>
          <w:sz w:val="32"/>
          <w:szCs w:val="32"/>
        </w:rPr>
        <w:t>制定标准的目的和意义</w:t>
      </w:r>
    </w:p>
    <w:p w14:paraId="1A22AE1B">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ascii="Times New Roman" w:hAnsi="Times New Roman" w:eastAsia="仿宋" w:cs="Times New Roman"/>
          <w:color w:val="000000"/>
          <w:sz w:val="32"/>
          <w:szCs w:val="32"/>
        </w:rPr>
      </w:pPr>
      <w:r>
        <w:rPr>
          <w:rFonts w:ascii="Times New Roman" w:hAnsi="Times New Roman" w:eastAsia="仿宋" w:cs="Times New Roman"/>
          <w:color w:val="000000"/>
          <w:sz w:val="32"/>
          <w:szCs w:val="32"/>
        </w:rPr>
        <w:t>小麦族（Triticeae）是禾本科（Poaceae）中分类体系最为复杂、物种多样性最为丰富的类群之一。全球范围内约有30属500余种，我国已记载12属150余种。该族植物形态变异</w:t>
      </w:r>
      <w:r>
        <w:rPr>
          <w:rFonts w:hint="eastAsia" w:ascii="Times New Roman" w:hAnsi="Times New Roman" w:eastAsia="仿宋" w:cs="Times New Roman"/>
          <w:color w:val="000000"/>
          <w:sz w:val="32"/>
          <w:szCs w:val="32"/>
          <w:lang w:eastAsia="zh-CN"/>
        </w:rPr>
        <w:t>显著</w:t>
      </w:r>
      <w:r>
        <w:rPr>
          <w:rFonts w:ascii="Times New Roman" w:hAnsi="Times New Roman" w:eastAsia="仿宋" w:cs="Times New Roman"/>
          <w:color w:val="000000"/>
          <w:sz w:val="32"/>
          <w:szCs w:val="32"/>
        </w:rPr>
        <w:t>，种间鉴别特征高度相似，加之属间及种间普遍存在天然杂交与多倍化现象，导致分类界限模糊。不同分类系统对属种范围存在广义与狭义之分，加之分子系统学研究中出现的基因树冲突及不完全谱系分选等现象，进一步揭示了该族系统发育过程中存在的网状演化本质，凸显了其分类学研究的复杂性与挑战</w:t>
      </w:r>
      <w:r>
        <w:rPr>
          <w:rFonts w:hint="eastAsia" w:ascii="Times New Roman" w:hAnsi="Times New Roman" w:eastAsia="仿宋" w:cs="Times New Roman"/>
          <w:color w:val="000000"/>
          <w:sz w:val="32"/>
          <w:szCs w:val="32"/>
          <w:lang w:eastAsia="zh-CN"/>
        </w:rPr>
        <w:t>性</w:t>
      </w:r>
      <w:r>
        <w:rPr>
          <w:rFonts w:ascii="Times New Roman" w:hAnsi="Times New Roman" w:eastAsia="仿宋" w:cs="Times New Roman"/>
          <w:color w:val="000000"/>
          <w:sz w:val="32"/>
          <w:szCs w:val="32"/>
        </w:rPr>
        <w:t>。</w:t>
      </w:r>
    </w:p>
    <w:p w14:paraId="3B5DFD0F">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default" w:ascii="Times New Roman" w:hAnsi="Times New Roman" w:eastAsia="仿宋" w:cs="Times New Roman"/>
          <w:color w:val="000000"/>
          <w:sz w:val="32"/>
          <w:szCs w:val="32"/>
        </w:rPr>
      </w:pPr>
      <w:r>
        <w:rPr>
          <w:rFonts w:ascii="Times New Roman" w:hAnsi="Times New Roman" w:eastAsia="仿宋" w:cs="Times New Roman"/>
          <w:color w:val="000000"/>
          <w:sz w:val="32"/>
          <w:szCs w:val="32"/>
        </w:rPr>
        <w:t>小麦族是禾本科中极具经济价值的重要类群。该族涵盖小麦、大麦、黑麦等主粮作物，是全球约40%人口的主要食物来源，堪称现代农业文明的基石。在生态层面，披碱草属（</w:t>
      </w:r>
      <w:r>
        <w:rPr>
          <w:rFonts w:hint="default" w:ascii="Times New Roman" w:hAnsi="Times New Roman" w:eastAsia="仿宋" w:cs="Times New Roman"/>
          <w:color w:val="000000"/>
          <w:sz w:val="32"/>
          <w:szCs w:val="32"/>
        </w:rPr>
        <w:t>Elymus）、冰草属（Agropyron）等小麦族植物作为温带草原的建群种，在固土保水、碳汇积累等方面发挥着不可替代的生态功能。在牧业领域，小麦族植物提供大量优质牧草资源，为草食畜牧业的高质量发展提供重要支撑。此外，小麦族中与主粮作物亲缘关系较近的野生种质资源，蕴藏着丰富的抗病、抗逆等优良基因，是作物遗传改良的战略性储备资源，对应对全球气候变化、保障国家粮食安全具有深远意义。</w:t>
      </w:r>
    </w:p>
    <w:p w14:paraId="4BA93D6C">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default" w:ascii="Times New Roman" w:hAnsi="Times New Roman" w:eastAsia="仿宋" w:cs="Times New Roman"/>
          <w:color w:val="000000"/>
          <w:sz w:val="32"/>
          <w:szCs w:val="32"/>
        </w:rPr>
      </w:pPr>
      <w:r>
        <w:rPr>
          <w:rFonts w:hint="default" w:ascii="Times New Roman" w:hAnsi="Times New Roman" w:eastAsia="仿宋" w:cs="Times New Roman"/>
          <w:color w:val="000000"/>
          <w:sz w:val="32"/>
          <w:szCs w:val="32"/>
        </w:rPr>
        <w:t>当前，尽管针对小麦族植物种质资源已初步建立相关评价标准，但现有标准仍存在数量有限、覆盖范围不全等问题，尤其在性状测定方法、评价指标体系及数据格式等方面尚未形成统一规范，难以系统支持该族数百种种质资源的全面、高效评价需求。标准体系的缺失导致种质资源评价工作呈现碎片化局面，并引发“数据孤岛”现象。更突出的是，现有不同标准对关键性状的评价方法存在明显差异，严重制约了资源数据的可比性与共享效率。许多具备潜在育种价值的种质因评价体系不兼容而无法被有效识别和跨项目利用，进而阻碍了现代基因组学技术与传统育种实践的深度融合。</w:t>
      </w:r>
    </w:p>
    <w:p w14:paraId="3B71E963">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default" w:ascii="Times New Roman" w:hAnsi="Times New Roman" w:eastAsia="仿宋" w:cs="Times New Roman"/>
          <w:color w:val="000000"/>
          <w:sz w:val="32"/>
          <w:szCs w:val="32"/>
        </w:rPr>
      </w:pPr>
      <w:r>
        <w:rPr>
          <w:rFonts w:hint="default" w:ascii="Times New Roman" w:hAnsi="Times New Roman" w:eastAsia="仿宋" w:cs="Times New Roman"/>
          <w:color w:val="000000"/>
          <w:sz w:val="32"/>
          <w:szCs w:val="32"/>
        </w:rPr>
        <w:t>然而，若为每一物种单独建立一套评价标准，则面临工作量大、成本高、实施难度高等现实困境，在科研资源有限的条件下难以全面推进。因此，亟需制定适用于小麦族种质资源评价与鉴定的统一标准，以解决当前评价工作规范性不足、系统性不强等问题。统一标准的建立，将推动种质资源从“材料保存”向“基因挖掘”的战略转型，通过标准化表型数据加速重要性状相关基因的定位与克隆。在育种实践层面，统一标准有助于构建性状—基因型关联数据库，为分子标记辅助选择提供技术支持。在资源管理层面，统一标准可为品种权保护提供技术依据，完善种质资源保护制度，有效防止优异种质的流失。本标准的制定，将为保障国家粮食安全与生态安全提供重要科技支撑。</w:t>
      </w:r>
    </w:p>
    <w:p w14:paraId="7AE6892F">
      <w:pPr>
        <w:pStyle w:val="9"/>
        <w:numPr>
          <w:ilvl w:val="0"/>
          <w:numId w:val="2"/>
        </w:numPr>
        <w:ind w:firstLineChars="0"/>
        <w:rPr>
          <w:rFonts w:ascii="黑体" w:hAnsi="黑体" w:eastAsia="黑体"/>
          <w:sz w:val="32"/>
          <w:szCs w:val="32"/>
        </w:rPr>
      </w:pPr>
      <w:r>
        <w:rPr>
          <w:rFonts w:ascii="黑体" w:hAnsi="黑体" w:eastAsia="黑体"/>
          <w:sz w:val="32"/>
          <w:szCs w:val="32"/>
        </w:rPr>
        <w:t>编制过程</w:t>
      </w:r>
    </w:p>
    <w:p w14:paraId="45722396">
      <w:pPr>
        <w:rPr>
          <w:rFonts w:ascii="仿宋" w:hAnsi="仿宋" w:eastAsia="仿宋"/>
          <w:b/>
          <w:bCs/>
          <w:sz w:val="32"/>
          <w:szCs w:val="32"/>
        </w:rPr>
      </w:pPr>
      <w:r>
        <w:rPr>
          <w:rFonts w:ascii="仿宋" w:hAnsi="仿宋" w:eastAsia="仿宋"/>
          <w:b/>
          <w:bCs/>
          <w:sz w:val="32"/>
          <w:szCs w:val="32"/>
        </w:rPr>
        <w:t>（一）分工情况</w:t>
      </w:r>
    </w:p>
    <w:p w14:paraId="526BF2A1">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Times New Roman" w:hAnsi="Times New Roman" w:eastAsia="仿宋" w:cs="Times New Roman"/>
          <w:color w:val="000000"/>
          <w:sz w:val="32"/>
          <w:szCs w:val="32"/>
          <w:lang w:val="en-US"/>
        </w:rPr>
      </w:pPr>
      <w:r>
        <w:rPr>
          <w:rFonts w:hint="eastAsia" w:ascii="Times New Roman" w:hAnsi="Times New Roman" w:eastAsia="仿宋" w:cs="Times New Roman"/>
          <w:color w:val="000000"/>
          <w:sz w:val="32"/>
          <w:szCs w:val="32"/>
          <w:lang w:val="en-US" w:eastAsia="zh-CN"/>
        </w:rPr>
        <w:t>《小麦族牧草种质资源评价鉴定技术规程》在内蒙古标准化协会立项后后，中国农业科学院草原研究所组织专业技术人员组建了《小麦族牧草种质资源评价鉴定技术规程》制定项目组，成立标准制定起草工作组，对标准起草工作进行分工，明确各自任务和职责。起草小组成员如表1。</w:t>
      </w:r>
    </w:p>
    <w:p w14:paraId="47850F8B">
      <w:pPr>
        <w:keepNext w:val="0"/>
        <w:keepLines w:val="0"/>
        <w:widowControl w:val="0"/>
        <w:suppressLineNumbers w:val="0"/>
        <w:spacing w:before="0" w:beforeAutospacing="0" w:after="100" w:afterAutospacing="0" w:line="560" w:lineRule="exact"/>
        <w:ind w:left="0" w:right="0"/>
        <w:jc w:val="center"/>
        <w:rPr>
          <w:rFonts w:hint="eastAsia" w:ascii="仿宋" w:hAnsi="仿宋" w:eastAsia="仿宋" w:cs="仿宋"/>
          <w:sz w:val="24"/>
          <w:szCs w:val="24"/>
          <w:lang w:val="en-US"/>
        </w:rPr>
      </w:pPr>
      <w:r>
        <w:rPr>
          <w:rFonts w:hint="eastAsia" w:ascii="仿宋" w:hAnsi="仿宋" w:eastAsia="仿宋" w:cs="仿宋"/>
          <w:kern w:val="2"/>
          <w:sz w:val="24"/>
          <w:szCs w:val="24"/>
          <w:lang w:val="en-US" w:eastAsia="zh-CN" w:bidi="ar"/>
          <w14:ligatures w14:val="standardContextual"/>
        </w:rPr>
        <w:t>表1 《小麦族牧草种质资源评价鉴定技术规程》起草人信息</w:t>
      </w:r>
    </w:p>
    <w:tbl>
      <w:tblPr>
        <w:tblStyle w:val="4"/>
        <w:tblW w:w="47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autofit"/>
        <w:tblCellMar>
          <w:top w:w="0" w:type="dxa"/>
          <w:left w:w="108" w:type="dxa"/>
          <w:bottom w:w="0" w:type="dxa"/>
          <w:right w:w="108" w:type="dxa"/>
        </w:tblCellMar>
      </w:tblPr>
      <w:tblGrid>
        <w:gridCol w:w="936"/>
        <w:gridCol w:w="740"/>
        <w:gridCol w:w="1188"/>
        <w:gridCol w:w="2136"/>
        <w:gridCol w:w="1281"/>
        <w:gridCol w:w="1517"/>
      </w:tblGrid>
      <w:tr w14:paraId="4B75FD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jc w:val="center"/>
        </w:trPr>
        <w:tc>
          <w:tcPr>
            <w:tcW w:w="600" w:type="pct"/>
            <w:tcBorders>
              <w:top w:val="single" w:color="auto" w:sz="4" w:space="0"/>
              <w:left w:val="single" w:color="auto" w:sz="4" w:space="0"/>
              <w:bottom w:val="single" w:color="auto" w:sz="4" w:space="0"/>
              <w:right w:val="single" w:color="auto" w:sz="4" w:space="0"/>
            </w:tcBorders>
            <w:shd w:val="clear" w:color="auto" w:fill="auto"/>
            <w:vAlign w:val="center"/>
          </w:tcPr>
          <w:p w14:paraId="4D92D54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rPr>
            </w:pPr>
            <w:r>
              <w:rPr>
                <w:rFonts w:hint="default" w:ascii="Times New Roman" w:hAnsi="Times New Roman" w:eastAsia="仿宋" w:cs="Times New Roman"/>
                <w:color w:val="auto"/>
                <w:kern w:val="2"/>
                <w:sz w:val="24"/>
                <w:szCs w:val="24"/>
                <w:lang w:val="en-US" w:eastAsia="zh-CN" w:bidi="ar"/>
                <w14:ligatures w14:val="standardContextual"/>
              </w:rPr>
              <w:t>姓名</w:t>
            </w:r>
          </w:p>
        </w:tc>
        <w:tc>
          <w:tcPr>
            <w:tcW w:w="474" w:type="pct"/>
            <w:tcBorders>
              <w:top w:val="single" w:color="auto" w:sz="4" w:space="0"/>
              <w:left w:val="single" w:color="auto" w:sz="4" w:space="0"/>
              <w:bottom w:val="single" w:color="auto" w:sz="4" w:space="0"/>
              <w:right w:val="single" w:color="auto" w:sz="4" w:space="0"/>
            </w:tcBorders>
            <w:shd w:val="clear" w:color="auto" w:fill="auto"/>
            <w:vAlign w:val="center"/>
          </w:tcPr>
          <w:p w14:paraId="09181B9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rPr>
            </w:pPr>
            <w:r>
              <w:rPr>
                <w:rFonts w:hint="default" w:ascii="Times New Roman" w:hAnsi="Times New Roman" w:eastAsia="仿宋" w:cs="Times New Roman"/>
                <w:color w:val="auto"/>
                <w:kern w:val="2"/>
                <w:sz w:val="24"/>
                <w:szCs w:val="24"/>
                <w:lang w:val="en-US" w:eastAsia="zh-CN" w:bidi="ar"/>
                <w14:ligatures w14:val="standardContextual"/>
              </w:rPr>
              <w:t>性别</w:t>
            </w:r>
          </w:p>
        </w:tc>
        <w:tc>
          <w:tcPr>
            <w:tcW w:w="761" w:type="pct"/>
            <w:tcBorders>
              <w:top w:val="single" w:color="auto" w:sz="4" w:space="0"/>
              <w:left w:val="single" w:color="auto" w:sz="4" w:space="0"/>
              <w:bottom w:val="single" w:color="auto" w:sz="4" w:space="0"/>
              <w:right w:val="single" w:color="auto" w:sz="4" w:space="0"/>
            </w:tcBorders>
            <w:shd w:val="clear" w:color="auto" w:fill="auto"/>
            <w:vAlign w:val="center"/>
          </w:tcPr>
          <w:p w14:paraId="0B12D26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rPr>
            </w:pPr>
            <w:r>
              <w:rPr>
                <w:rFonts w:hint="default" w:ascii="Times New Roman" w:hAnsi="Times New Roman" w:eastAsia="仿宋" w:cs="Times New Roman"/>
                <w:color w:val="auto"/>
                <w:kern w:val="2"/>
                <w:sz w:val="24"/>
                <w:szCs w:val="24"/>
                <w:lang w:val="en-US" w:eastAsia="zh-CN" w:bidi="ar"/>
                <w14:ligatures w14:val="standardContextual"/>
              </w:rPr>
              <w:t>专业</w:t>
            </w:r>
          </w:p>
        </w:tc>
        <w:tc>
          <w:tcPr>
            <w:tcW w:w="1369" w:type="pct"/>
            <w:tcBorders>
              <w:top w:val="single" w:color="auto" w:sz="4" w:space="0"/>
              <w:left w:val="single" w:color="auto" w:sz="4" w:space="0"/>
              <w:bottom w:val="single" w:color="auto" w:sz="4" w:space="0"/>
              <w:right w:val="single" w:color="auto" w:sz="4" w:space="0"/>
            </w:tcBorders>
            <w:shd w:val="clear" w:color="auto" w:fill="auto"/>
            <w:vAlign w:val="center"/>
          </w:tcPr>
          <w:p w14:paraId="5B552D2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rPr>
            </w:pPr>
            <w:r>
              <w:rPr>
                <w:rFonts w:hint="default" w:ascii="Times New Roman" w:hAnsi="Times New Roman" w:eastAsia="仿宋" w:cs="Times New Roman"/>
                <w:color w:val="auto"/>
                <w:kern w:val="2"/>
                <w:sz w:val="24"/>
                <w:szCs w:val="24"/>
                <w:lang w:val="en-US" w:eastAsia="zh-CN" w:bidi="ar"/>
                <w14:ligatures w14:val="standardContextual"/>
              </w:rPr>
              <w:t>所在单位</w:t>
            </w:r>
          </w:p>
        </w:tc>
        <w:tc>
          <w:tcPr>
            <w:tcW w:w="821" w:type="pct"/>
            <w:tcBorders>
              <w:top w:val="single" w:color="auto" w:sz="4" w:space="0"/>
              <w:left w:val="single" w:color="auto" w:sz="4" w:space="0"/>
              <w:bottom w:val="single" w:color="auto" w:sz="4" w:space="0"/>
              <w:right w:val="single" w:color="auto" w:sz="4" w:space="0"/>
            </w:tcBorders>
            <w:shd w:val="clear" w:color="auto" w:fill="auto"/>
            <w:vAlign w:val="center"/>
          </w:tcPr>
          <w:p w14:paraId="2AE2982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rPr>
            </w:pPr>
            <w:r>
              <w:rPr>
                <w:rFonts w:hint="default" w:ascii="Times New Roman" w:hAnsi="Times New Roman" w:eastAsia="仿宋" w:cs="Times New Roman"/>
                <w:color w:val="auto"/>
                <w:kern w:val="2"/>
                <w:sz w:val="24"/>
                <w:szCs w:val="24"/>
                <w:lang w:val="en-US" w:eastAsia="zh-CN" w:bidi="ar"/>
                <w14:ligatures w14:val="standardContextual"/>
              </w:rPr>
              <w:t>职务/职称</w:t>
            </w:r>
          </w:p>
        </w:tc>
        <w:tc>
          <w:tcPr>
            <w:tcW w:w="972" w:type="pct"/>
            <w:tcBorders>
              <w:top w:val="single" w:color="auto" w:sz="4" w:space="0"/>
              <w:left w:val="single" w:color="auto" w:sz="4" w:space="0"/>
              <w:bottom w:val="single" w:color="auto" w:sz="4" w:space="0"/>
              <w:right w:val="single" w:color="auto" w:sz="4" w:space="0"/>
            </w:tcBorders>
            <w:shd w:val="clear" w:color="auto" w:fill="auto"/>
            <w:vAlign w:val="center"/>
          </w:tcPr>
          <w:p w14:paraId="65024F1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rPr>
            </w:pPr>
            <w:r>
              <w:rPr>
                <w:rFonts w:hint="default" w:ascii="Times New Roman" w:hAnsi="Times New Roman" w:eastAsia="仿宋" w:cs="Times New Roman"/>
                <w:color w:val="auto"/>
                <w:kern w:val="2"/>
                <w:sz w:val="24"/>
                <w:szCs w:val="24"/>
                <w:lang w:val="en-US" w:eastAsia="zh-CN" w:bidi="ar"/>
                <w14:ligatures w14:val="standardContextual"/>
              </w:rPr>
              <w:t>分工</w:t>
            </w:r>
          </w:p>
        </w:tc>
      </w:tr>
      <w:tr w14:paraId="1BB8EA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jc w:val="center"/>
        </w:trPr>
        <w:tc>
          <w:tcPr>
            <w:tcW w:w="600" w:type="pct"/>
            <w:tcBorders>
              <w:top w:val="single" w:color="auto" w:sz="4" w:space="0"/>
              <w:left w:val="single" w:color="auto" w:sz="4" w:space="0"/>
              <w:bottom w:val="single" w:color="auto" w:sz="4" w:space="0"/>
              <w:right w:val="single" w:color="auto" w:sz="4" w:space="0"/>
            </w:tcBorders>
            <w:shd w:val="clear" w:color="auto" w:fill="auto"/>
            <w:vAlign w:val="center"/>
          </w:tcPr>
          <w:p w14:paraId="4B29DDF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rPr>
            </w:pPr>
            <w:r>
              <w:rPr>
                <w:rFonts w:hint="default" w:ascii="Times New Roman" w:hAnsi="Times New Roman" w:eastAsia="仿宋" w:cs="Times New Roman"/>
                <w:color w:val="auto"/>
                <w:kern w:val="2"/>
                <w:sz w:val="24"/>
                <w:szCs w:val="24"/>
                <w:lang w:val="en-US" w:eastAsia="zh-CN" w:bidi="ar"/>
                <w14:ligatures w14:val="standardContextual"/>
              </w:rPr>
              <w:t>刘磊</w:t>
            </w:r>
          </w:p>
        </w:tc>
        <w:tc>
          <w:tcPr>
            <w:tcW w:w="474" w:type="pct"/>
            <w:tcBorders>
              <w:top w:val="single" w:color="auto" w:sz="4" w:space="0"/>
              <w:left w:val="single" w:color="auto" w:sz="4" w:space="0"/>
              <w:bottom w:val="single" w:color="auto" w:sz="4" w:space="0"/>
              <w:right w:val="single" w:color="auto" w:sz="4" w:space="0"/>
            </w:tcBorders>
            <w:shd w:val="clear" w:color="auto" w:fill="auto"/>
            <w:vAlign w:val="center"/>
          </w:tcPr>
          <w:p w14:paraId="57CE14A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rPr>
            </w:pPr>
            <w:r>
              <w:rPr>
                <w:rFonts w:hint="default" w:ascii="Times New Roman" w:hAnsi="Times New Roman" w:eastAsia="仿宋" w:cs="Times New Roman"/>
                <w:color w:val="auto"/>
                <w:kern w:val="2"/>
                <w:sz w:val="24"/>
                <w:szCs w:val="24"/>
                <w:lang w:val="en-US" w:eastAsia="zh-CN" w:bidi="ar"/>
                <w14:ligatures w14:val="standardContextual"/>
              </w:rPr>
              <w:t>男</w:t>
            </w:r>
          </w:p>
        </w:tc>
        <w:tc>
          <w:tcPr>
            <w:tcW w:w="761" w:type="pct"/>
            <w:tcBorders>
              <w:top w:val="single" w:color="auto" w:sz="4" w:space="0"/>
              <w:left w:val="single" w:color="auto" w:sz="4" w:space="0"/>
              <w:bottom w:val="single" w:color="auto" w:sz="4" w:space="0"/>
              <w:right w:val="single" w:color="auto" w:sz="4" w:space="0"/>
            </w:tcBorders>
            <w:shd w:val="clear" w:color="auto" w:fill="auto"/>
            <w:vAlign w:val="center"/>
          </w:tcPr>
          <w:p w14:paraId="7D603F2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rPr>
            </w:pPr>
            <w:r>
              <w:rPr>
                <w:rFonts w:hint="default" w:ascii="Times New Roman" w:hAnsi="Times New Roman" w:eastAsia="仿宋" w:cs="Times New Roman"/>
                <w:color w:val="auto"/>
                <w:kern w:val="2"/>
                <w:sz w:val="24"/>
                <w:szCs w:val="24"/>
                <w:lang w:val="en-US" w:eastAsia="zh-CN" w:bidi="ar"/>
                <w14:ligatures w14:val="standardContextual"/>
              </w:rPr>
              <w:t>草学</w:t>
            </w:r>
          </w:p>
        </w:tc>
        <w:tc>
          <w:tcPr>
            <w:tcW w:w="1369" w:type="pct"/>
            <w:tcBorders>
              <w:top w:val="single" w:color="auto" w:sz="4" w:space="0"/>
              <w:left w:val="single" w:color="auto" w:sz="4" w:space="0"/>
              <w:bottom w:val="single" w:color="auto" w:sz="4" w:space="0"/>
              <w:right w:val="single" w:color="auto" w:sz="4" w:space="0"/>
            </w:tcBorders>
            <w:shd w:val="clear" w:color="auto" w:fill="auto"/>
            <w:vAlign w:val="center"/>
          </w:tcPr>
          <w:p w14:paraId="0796E11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rPr>
            </w:pPr>
            <w:r>
              <w:rPr>
                <w:rFonts w:hint="default" w:ascii="Times New Roman" w:hAnsi="Times New Roman" w:eastAsia="仿宋" w:cs="Times New Roman"/>
                <w:color w:val="auto"/>
                <w:kern w:val="2"/>
                <w:sz w:val="24"/>
                <w:szCs w:val="24"/>
                <w:lang w:val="en-US" w:eastAsia="zh-CN" w:bidi="ar"/>
                <w14:ligatures w14:val="standardContextual"/>
              </w:rPr>
              <w:t>中国农业科学院草原研究所</w:t>
            </w:r>
          </w:p>
        </w:tc>
        <w:tc>
          <w:tcPr>
            <w:tcW w:w="821" w:type="pct"/>
            <w:tcBorders>
              <w:top w:val="single" w:color="auto" w:sz="4" w:space="0"/>
              <w:left w:val="single" w:color="auto" w:sz="4" w:space="0"/>
              <w:bottom w:val="single" w:color="auto" w:sz="4" w:space="0"/>
              <w:right w:val="single" w:color="auto" w:sz="4" w:space="0"/>
            </w:tcBorders>
            <w:shd w:val="clear" w:color="auto" w:fill="auto"/>
            <w:vAlign w:val="center"/>
          </w:tcPr>
          <w:p w14:paraId="5E265F0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rPr>
            </w:pPr>
            <w:r>
              <w:rPr>
                <w:rFonts w:hint="default" w:ascii="Times New Roman" w:hAnsi="Times New Roman" w:eastAsia="仿宋" w:cs="Times New Roman"/>
                <w:color w:val="auto"/>
                <w:kern w:val="2"/>
                <w:sz w:val="24"/>
                <w:szCs w:val="24"/>
                <w:lang w:val="en-US" w:eastAsia="zh-CN" w:bidi="ar"/>
                <w14:ligatures w14:val="standardContextual"/>
              </w:rPr>
              <w:t>副研究员</w:t>
            </w:r>
          </w:p>
        </w:tc>
        <w:tc>
          <w:tcPr>
            <w:tcW w:w="972" w:type="pct"/>
            <w:tcBorders>
              <w:top w:val="single" w:color="auto" w:sz="4" w:space="0"/>
              <w:left w:val="single" w:color="auto" w:sz="4" w:space="0"/>
              <w:bottom w:val="single" w:color="auto" w:sz="4" w:space="0"/>
              <w:right w:val="single" w:color="auto" w:sz="4" w:space="0"/>
            </w:tcBorders>
            <w:shd w:val="clear" w:color="auto" w:fill="auto"/>
            <w:vAlign w:val="center"/>
          </w:tcPr>
          <w:p w14:paraId="202E725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rPr>
            </w:pPr>
            <w:r>
              <w:rPr>
                <w:rFonts w:hint="default" w:ascii="Times New Roman" w:hAnsi="Times New Roman" w:eastAsia="仿宋" w:cs="Times New Roman"/>
                <w:color w:val="auto"/>
                <w:kern w:val="2"/>
                <w:sz w:val="24"/>
                <w:szCs w:val="24"/>
                <w:lang w:val="en-US" w:eastAsia="zh-CN" w:bidi="ar"/>
                <w14:ligatures w14:val="standardContextual"/>
              </w:rPr>
              <w:t>项目负责人</w:t>
            </w:r>
          </w:p>
        </w:tc>
      </w:tr>
      <w:tr w14:paraId="2DB524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jc w:val="center"/>
        </w:trPr>
        <w:tc>
          <w:tcPr>
            <w:tcW w:w="600" w:type="pct"/>
            <w:tcBorders>
              <w:top w:val="single" w:color="auto" w:sz="4" w:space="0"/>
              <w:left w:val="single" w:color="auto" w:sz="4" w:space="0"/>
              <w:bottom w:val="single" w:color="auto" w:sz="4" w:space="0"/>
              <w:right w:val="single" w:color="auto" w:sz="4" w:space="0"/>
            </w:tcBorders>
            <w:shd w:val="clear" w:color="auto" w:fill="auto"/>
            <w:vAlign w:val="center"/>
          </w:tcPr>
          <w:p w14:paraId="499F8F3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rPr>
            </w:pPr>
            <w:r>
              <w:rPr>
                <w:rFonts w:hint="default" w:ascii="Times New Roman" w:hAnsi="Times New Roman" w:eastAsia="仿宋" w:cs="Times New Roman"/>
                <w:color w:val="auto"/>
                <w:kern w:val="2"/>
                <w:sz w:val="24"/>
                <w:szCs w:val="24"/>
                <w:lang w:val="en-US" w:eastAsia="zh-CN" w:bidi="ar"/>
                <w14:ligatures w14:val="standardContextual"/>
              </w:rPr>
              <w:t>王运涛</w:t>
            </w:r>
          </w:p>
        </w:tc>
        <w:tc>
          <w:tcPr>
            <w:tcW w:w="474" w:type="pct"/>
            <w:tcBorders>
              <w:top w:val="single" w:color="auto" w:sz="4" w:space="0"/>
              <w:left w:val="single" w:color="auto" w:sz="4" w:space="0"/>
              <w:bottom w:val="single" w:color="auto" w:sz="4" w:space="0"/>
              <w:right w:val="single" w:color="auto" w:sz="4" w:space="0"/>
            </w:tcBorders>
            <w:shd w:val="clear" w:color="auto" w:fill="auto"/>
            <w:vAlign w:val="center"/>
          </w:tcPr>
          <w:p w14:paraId="1BDA388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rPr>
            </w:pPr>
            <w:r>
              <w:rPr>
                <w:rFonts w:hint="default" w:ascii="Times New Roman" w:hAnsi="Times New Roman" w:eastAsia="仿宋" w:cs="Times New Roman"/>
                <w:color w:val="auto"/>
                <w:kern w:val="2"/>
                <w:sz w:val="24"/>
                <w:szCs w:val="24"/>
                <w:lang w:val="en-US" w:eastAsia="zh-CN" w:bidi="ar"/>
                <w14:ligatures w14:val="standardContextual"/>
              </w:rPr>
              <w:t>男</w:t>
            </w:r>
          </w:p>
        </w:tc>
        <w:tc>
          <w:tcPr>
            <w:tcW w:w="761" w:type="pct"/>
            <w:tcBorders>
              <w:top w:val="single" w:color="auto" w:sz="4" w:space="0"/>
              <w:left w:val="single" w:color="auto" w:sz="4" w:space="0"/>
              <w:bottom w:val="single" w:color="auto" w:sz="4" w:space="0"/>
              <w:right w:val="single" w:color="auto" w:sz="4" w:space="0"/>
            </w:tcBorders>
            <w:shd w:val="clear" w:color="auto" w:fill="auto"/>
            <w:vAlign w:val="center"/>
          </w:tcPr>
          <w:p w14:paraId="09B4580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rPr>
            </w:pPr>
            <w:r>
              <w:rPr>
                <w:rFonts w:hint="default" w:ascii="Times New Roman" w:hAnsi="Times New Roman" w:eastAsia="仿宋" w:cs="Times New Roman"/>
                <w:color w:val="auto"/>
                <w:kern w:val="2"/>
                <w:sz w:val="24"/>
                <w:szCs w:val="24"/>
                <w:lang w:val="en-US" w:eastAsia="zh-CN" w:bidi="ar"/>
                <w14:ligatures w14:val="standardContextual"/>
              </w:rPr>
              <w:t>草学</w:t>
            </w:r>
          </w:p>
        </w:tc>
        <w:tc>
          <w:tcPr>
            <w:tcW w:w="1369" w:type="pct"/>
            <w:tcBorders>
              <w:top w:val="single" w:color="auto" w:sz="4" w:space="0"/>
              <w:left w:val="single" w:color="auto" w:sz="4" w:space="0"/>
              <w:bottom w:val="single" w:color="auto" w:sz="4" w:space="0"/>
              <w:right w:val="single" w:color="auto" w:sz="4" w:space="0"/>
            </w:tcBorders>
            <w:shd w:val="clear" w:color="auto" w:fill="auto"/>
            <w:vAlign w:val="center"/>
          </w:tcPr>
          <w:p w14:paraId="113785F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rPr>
            </w:pPr>
            <w:r>
              <w:rPr>
                <w:rFonts w:hint="default" w:ascii="Times New Roman" w:hAnsi="Times New Roman" w:eastAsia="仿宋" w:cs="Times New Roman"/>
                <w:color w:val="auto"/>
                <w:kern w:val="2"/>
                <w:sz w:val="24"/>
                <w:szCs w:val="24"/>
                <w:lang w:val="en-US" w:eastAsia="zh-CN" w:bidi="ar"/>
                <w14:ligatures w14:val="standardContextual"/>
              </w:rPr>
              <w:t>内蒙古农业大学</w:t>
            </w:r>
          </w:p>
        </w:tc>
        <w:tc>
          <w:tcPr>
            <w:tcW w:w="821" w:type="pct"/>
            <w:tcBorders>
              <w:top w:val="single" w:color="auto" w:sz="4" w:space="0"/>
              <w:left w:val="single" w:color="auto" w:sz="4" w:space="0"/>
              <w:bottom w:val="single" w:color="auto" w:sz="4" w:space="0"/>
              <w:right w:val="single" w:color="auto" w:sz="4" w:space="0"/>
            </w:tcBorders>
            <w:shd w:val="clear" w:color="auto" w:fill="auto"/>
            <w:vAlign w:val="center"/>
          </w:tcPr>
          <w:p w14:paraId="4A75A0F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rPr>
            </w:pPr>
            <w:r>
              <w:rPr>
                <w:rFonts w:hint="default" w:ascii="Times New Roman" w:hAnsi="Times New Roman" w:eastAsia="仿宋" w:cs="Times New Roman"/>
                <w:color w:val="auto"/>
                <w:kern w:val="2"/>
                <w:sz w:val="24"/>
                <w:szCs w:val="24"/>
                <w:lang w:val="en-US" w:eastAsia="zh-CN" w:bidi="ar"/>
                <w14:ligatures w14:val="standardContextual"/>
              </w:rPr>
              <w:t>副教授</w:t>
            </w:r>
          </w:p>
        </w:tc>
        <w:tc>
          <w:tcPr>
            <w:tcW w:w="972" w:type="pct"/>
            <w:tcBorders>
              <w:top w:val="single" w:color="auto" w:sz="4" w:space="0"/>
              <w:left w:val="single" w:color="auto" w:sz="4" w:space="0"/>
              <w:bottom w:val="single" w:color="auto" w:sz="4" w:space="0"/>
              <w:right w:val="single" w:color="auto" w:sz="4" w:space="0"/>
            </w:tcBorders>
            <w:shd w:val="clear" w:color="auto" w:fill="auto"/>
            <w:vAlign w:val="center"/>
          </w:tcPr>
          <w:p w14:paraId="6ABF607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rPr>
            </w:pPr>
            <w:r>
              <w:rPr>
                <w:rFonts w:hint="default" w:ascii="Times New Roman" w:hAnsi="Times New Roman" w:eastAsia="仿宋" w:cs="Times New Roman"/>
                <w:color w:val="auto"/>
                <w:kern w:val="2"/>
                <w:sz w:val="24"/>
                <w:szCs w:val="24"/>
                <w:lang w:val="en-US" w:eastAsia="zh-CN" w:bidi="ar"/>
                <w14:ligatures w14:val="standardContextual"/>
              </w:rPr>
              <w:t>文本指导</w:t>
            </w:r>
          </w:p>
        </w:tc>
      </w:tr>
      <w:tr w14:paraId="1F75C9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5" w:hRule="atLeast"/>
          <w:jc w:val="center"/>
        </w:trPr>
        <w:tc>
          <w:tcPr>
            <w:tcW w:w="600" w:type="pct"/>
            <w:tcBorders>
              <w:top w:val="single" w:color="auto" w:sz="4" w:space="0"/>
              <w:left w:val="single" w:color="auto" w:sz="4" w:space="0"/>
              <w:bottom w:val="single" w:color="auto" w:sz="4" w:space="0"/>
              <w:right w:val="single" w:color="auto" w:sz="4" w:space="0"/>
            </w:tcBorders>
            <w:shd w:val="clear" w:color="auto" w:fill="auto"/>
            <w:vAlign w:val="center"/>
          </w:tcPr>
          <w:p w14:paraId="6F05027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rPr>
            </w:pPr>
            <w:r>
              <w:rPr>
                <w:rFonts w:hint="default" w:ascii="Times New Roman" w:hAnsi="Times New Roman" w:eastAsia="仿宋" w:cs="Times New Roman"/>
                <w:color w:val="auto"/>
                <w:kern w:val="2"/>
                <w:sz w:val="24"/>
                <w:szCs w:val="24"/>
                <w:lang w:val="en-US" w:eastAsia="zh-CN" w:bidi="ar"/>
                <w14:ligatures w14:val="standardContextual"/>
              </w:rPr>
              <w:t>孟元发</w:t>
            </w:r>
          </w:p>
        </w:tc>
        <w:tc>
          <w:tcPr>
            <w:tcW w:w="474" w:type="pct"/>
            <w:tcBorders>
              <w:top w:val="single" w:color="auto" w:sz="4" w:space="0"/>
              <w:left w:val="single" w:color="auto" w:sz="4" w:space="0"/>
              <w:bottom w:val="single" w:color="auto" w:sz="4" w:space="0"/>
              <w:right w:val="single" w:color="auto" w:sz="4" w:space="0"/>
            </w:tcBorders>
            <w:shd w:val="clear" w:color="auto" w:fill="auto"/>
            <w:vAlign w:val="center"/>
          </w:tcPr>
          <w:p w14:paraId="735854E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rPr>
            </w:pPr>
            <w:r>
              <w:rPr>
                <w:rFonts w:hint="default" w:ascii="Times New Roman" w:hAnsi="Times New Roman" w:eastAsia="仿宋" w:cs="Times New Roman"/>
                <w:color w:val="auto"/>
                <w:kern w:val="2"/>
                <w:sz w:val="24"/>
                <w:szCs w:val="24"/>
                <w:lang w:val="en-US" w:eastAsia="zh-CN" w:bidi="ar"/>
                <w14:ligatures w14:val="standardContextual"/>
              </w:rPr>
              <w:t>男</w:t>
            </w:r>
          </w:p>
        </w:tc>
        <w:tc>
          <w:tcPr>
            <w:tcW w:w="761" w:type="pct"/>
            <w:tcBorders>
              <w:top w:val="single" w:color="auto" w:sz="4" w:space="0"/>
              <w:left w:val="single" w:color="auto" w:sz="4" w:space="0"/>
              <w:bottom w:val="single" w:color="auto" w:sz="4" w:space="0"/>
              <w:right w:val="single" w:color="auto" w:sz="4" w:space="0"/>
            </w:tcBorders>
            <w:shd w:val="clear" w:color="auto" w:fill="auto"/>
            <w:vAlign w:val="center"/>
          </w:tcPr>
          <w:p w14:paraId="0B2470B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rPr>
            </w:pPr>
            <w:r>
              <w:rPr>
                <w:rFonts w:hint="default" w:ascii="Times New Roman" w:hAnsi="Times New Roman" w:eastAsia="仿宋" w:cs="Times New Roman"/>
                <w:color w:val="auto"/>
                <w:kern w:val="2"/>
                <w:sz w:val="24"/>
                <w:szCs w:val="24"/>
                <w:lang w:val="en-US" w:eastAsia="zh-CN" w:bidi="ar"/>
                <w14:ligatures w14:val="standardContextual"/>
              </w:rPr>
              <w:t>草学</w:t>
            </w:r>
          </w:p>
        </w:tc>
        <w:tc>
          <w:tcPr>
            <w:tcW w:w="1369" w:type="pct"/>
            <w:tcBorders>
              <w:top w:val="single" w:color="auto" w:sz="4" w:space="0"/>
              <w:left w:val="single" w:color="auto" w:sz="4" w:space="0"/>
              <w:bottom w:val="single" w:color="auto" w:sz="4" w:space="0"/>
              <w:right w:val="single" w:color="auto" w:sz="4" w:space="0"/>
            </w:tcBorders>
            <w:shd w:val="clear" w:color="auto" w:fill="auto"/>
            <w:vAlign w:val="center"/>
          </w:tcPr>
          <w:p w14:paraId="15C9BC2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rPr>
            </w:pPr>
            <w:r>
              <w:rPr>
                <w:rFonts w:hint="default" w:ascii="Times New Roman" w:hAnsi="Times New Roman" w:eastAsia="仿宋" w:cs="Times New Roman"/>
                <w:color w:val="auto"/>
                <w:kern w:val="2"/>
                <w:sz w:val="24"/>
                <w:szCs w:val="24"/>
                <w:lang w:val="en-US" w:eastAsia="zh-CN" w:bidi="ar"/>
                <w14:ligatures w14:val="standardContextual"/>
              </w:rPr>
              <w:t>中国农业科学院草原研究所</w:t>
            </w:r>
          </w:p>
        </w:tc>
        <w:tc>
          <w:tcPr>
            <w:tcW w:w="821" w:type="pct"/>
            <w:tcBorders>
              <w:top w:val="single" w:color="auto" w:sz="4" w:space="0"/>
              <w:left w:val="single" w:color="auto" w:sz="4" w:space="0"/>
              <w:bottom w:val="single" w:color="auto" w:sz="4" w:space="0"/>
              <w:right w:val="single" w:color="auto" w:sz="4" w:space="0"/>
            </w:tcBorders>
            <w:shd w:val="clear" w:color="auto" w:fill="auto"/>
            <w:vAlign w:val="center"/>
          </w:tcPr>
          <w:p w14:paraId="2389E6F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rPr>
            </w:pPr>
            <w:r>
              <w:rPr>
                <w:rFonts w:hint="default" w:ascii="Times New Roman" w:hAnsi="Times New Roman" w:eastAsia="仿宋" w:cs="Times New Roman"/>
                <w:color w:val="auto"/>
                <w:kern w:val="2"/>
                <w:sz w:val="24"/>
                <w:szCs w:val="24"/>
                <w:lang w:val="en-US" w:eastAsia="zh-CN" w:bidi="ar"/>
                <w14:ligatures w14:val="standardContextual"/>
              </w:rPr>
              <w:t>助理研究员</w:t>
            </w:r>
          </w:p>
        </w:tc>
        <w:tc>
          <w:tcPr>
            <w:tcW w:w="972" w:type="pct"/>
            <w:tcBorders>
              <w:top w:val="single" w:color="auto" w:sz="4" w:space="0"/>
              <w:left w:val="single" w:color="auto" w:sz="4" w:space="0"/>
              <w:bottom w:val="single" w:color="auto" w:sz="4" w:space="0"/>
              <w:right w:val="single" w:color="auto" w:sz="4" w:space="0"/>
            </w:tcBorders>
            <w:shd w:val="clear" w:color="auto" w:fill="auto"/>
            <w:vAlign w:val="center"/>
          </w:tcPr>
          <w:p w14:paraId="03482B7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rPr>
            </w:pPr>
            <w:r>
              <w:rPr>
                <w:rFonts w:hint="default" w:ascii="Times New Roman" w:hAnsi="Times New Roman" w:eastAsia="仿宋" w:cs="Times New Roman"/>
                <w:color w:val="auto"/>
                <w:kern w:val="2"/>
                <w:sz w:val="24"/>
                <w:szCs w:val="24"/>
                <w:lang w:val="en-US" w:eastAsia="zh-CN" w:bidi="ar"/>
                <w14:ligatures w14:val="standardContextual"/>
              </w:rPr>
              <w:t>文本指导</w:t>
            </w:r>
          </w:p>
        </w:tc>
      </w:tr>
      <w:tr w14:paraId="575691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6" w:hRule="atLeast"/>
          <w:jc w:val="center"/>
        </w:trPr>
        <w:tc>
          <w:tcPr>
            <w:tcW w:w="600" w:type="pct"/>
            <w:tcBorders>
              <w:top w:val="single" w:color="auto" w:sz="4" w:space="0"/>
              <w:left w:val="single" w:color="auto" w:sz="4" w:space="0"/>
              <w:bottom w:val="single" w:color="auto" w:sz="4" w:space="0"/>
              <w:right w:val="single" w:color="auto" w:sz="4" w:space="0"/>
            </w:tcBorders>
            <w:shd w:val="clear" w:color="auto" w:fill="auto"/>
            <w:vAlign w:val="center"/>
          </w:tcPr>
          <w:p w14:paraId="0AB3AF3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eastAsia="zh-CN"/>
              </w:rPr>
            </w:pPr>
            <w:r>
              <w:rPr>
                <w:rFonts w:hint="default" w:ascii="Times New Roman" w:hAnsi="Times New Roman" w:eastAsia="仿宋" w:cs="Times New Roman"/>
                <w:color w:val="auto"/>
                <w:sz w:val="24"/>
                <w:szCs w:val="24"/>
                <w:lang w:val="en-US" w:eastAsia="zh-CN"/>
              </w:rPr>
              <w:t>栾忠贤</w:t>
            </w:r>
          </w:p>
        </w:tc>
        <w:tc>
          <w:tcPr>
            <w:tcW w:w="474" w:type="pct"/>
            <w:tcBorders>
              <w:top w:val="single" w:color="auto" w:sz="4" w:space="0"/>
              <w:left w:val="single" w:color="auto" w:sz="4" w:space="0"/>
              <w:bottom w:val="single" w:color="auto" w:sz="4" w:space="0"/>
              <w:right w:val="single" w:color="auto" w:sz="4" w:space="0"/>
            </w:tcBorders>
            <w:shd w:val="clear" w:color="auto" w:fill="auto"/>
            <w:vAlign w:val="center"/>
          </w:tcPr>
          <w:p w14:paraId="4B99A88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eastAsia="zh-CN"/>
              </w:rPr>
            </w:pPr>
            <w:r>
              <w:rPr>
                <w:rFonts w:hint="default" w:ascii="Times New Roman" w:hAnsi="Times New Roman" w:eastAsia="仿宋" w:cs="Times New Roman"/>
                <w:color w:val="auto"/>
                <w:sz w:val="24"/>
                <w:szCs w:val="24"/>
                <w:lang w:val="en-US" w:eastAsia="zh-CN"/>
              </w:rPr>
              <w:t>男</w:t>
            </w:r>
          </w:p>
        </w:tc>
        <w:tc>
          <w:tcPr>
            <w:tcW w:w="761" w:type="pct"/>
            <w:tcBorders>
              <w:top w:val="single" w:color="auto" w:sz="4" w:space="0"/>
              <w:left w:val="single" w:color="auto" w:sz="4" w:space="0"/>
              <w:bottom w:val="single" w:color="auto" w:sz="4" w:space="0"/>
              <w:right w:val="single" w:color="auto" w:sz="4" w:space="0"/>
            </w:tcBorders>
            <w:shd w:val="clear" w:color="auto" w:fill="auto"/>
            <w:vAlign w:val="center"/>
          </w:tcPr>
          <w:p w14:paraId="77C588A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eastAsia" w:ascii="Times New Roman" w:hAnsi="Times New Roman" w:eastAsia="仿宋" w:cs="Times New Roman"/>
                <w:color w:val="auto"/>
                <w:sz w:val="24"/>
                <w:szCs w:val="24"/>
                <w:lang w:val="en-US" w:eastAsia="zh-CN"/>
              </w:rPr>
            </w:pPr>
            <w:r>
              <w:rPr>
                <w:rFonts w:hint="eastAsia" w:ascii="Times New Roman" w:hAnsi="Times New Roman" w:eastAsia="仿宋" w:cs="Times New Roman"/>
                <w:color w:val="auto"/>
                <w:sz w:val="24"/>
                <w:szCs w:val="24"/>
                <w:lang w:val="en-US" w:eastAsia="zh-CN"/>
              </w:rPr>
              <w:t>农学</w:t>
            </w:r>
          </w:p>
        </w:tc>
        <w:tc>
          <w:tcPr>
            <w:tcW w:w="1369" w:type="pct"/>
            <w:tcBorders>
              <w:top w:val="single" w:color="auto" w:sz="4" w:space="0"/>
              <w:left w:val="single" w:color="auto" w:sz="4" w:space="0"/>
              <w:bottom w:val="single" w:color="auto" w:sz="4" w:space="0"/>
              <w:right w:val="single" w:color="auto" w:sz="4" w:space="0"/>
            </w:tcBorders>
            <w:shd w:val="clear" w:color="auto" w:fill="auto"/>
            <w:vAlign w:val="center"/>
          </w:tcPr>
          <w:p w14:paraId="6B861D7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rPr>
            </w:pPr>
            <w:r>
              <w:rPr>
                <w:rFonts w:hint="default" w:ascii="Times New Roman" w:hAnsi="Times New Roman" w:eastAsia="仿宋" w:cs="Times New Roman"/>
                <w:color w:val="auto"/>
                <w:kern w:val="2"/>
                <w:sz w:val="24"/>
                <w:szCs w:val="24"/>
                <w:lang w:val="en-US" w:eastAsia="zh-CN" w:bidi="ar"/>
                <w14:ligatures w14:val="standardContextual"/>
              </w:rPr>
              <w:t>鄂尔多斯市农牧业科学研究院</w:t>
            </w:r>
          </w:p>
        </w:tc>
        <w:tc>
          <w:tcPr>
            <w:tcW w:w="821" w:type="pct"/>
            <w:tcBorders>
              <w:top w:val="single" w:color="auto" w:sz="4" w:space="0"/>
              <w:left w:val="single" w:color="auto" w:sz="4" w:space="0"/>
              <w:bottom w:val="single" w:color="auto" w:sz="4" w:space="0"/>
              <w:right w:val="single" w:color="auto" w:sz="4" w:space="0"/>
            </w:tcBorders>
            <w:shd w:val="clear" w:color="auto" w:fill="auto"/>
            <w:vAlign w:val="center"/>
          </w:tcPr>
          <w:p w14:paraId="1719B02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eastAsia="zh-CN"/>
              </w:rPr>
            </w:pPr>
            <w:r>
              <w:rPr>
                <w:rFonts w:hint="default" w:ascii="Times New Roman" w:hAnsi="Times New Roman" w:eastAsia="仿宋" w:cs="Times New Roman"/>
                <w:color w:val="auto"/>
                <w:sz w:val="24"/>
                <w:szCs w:val="24"/>
                <w:lang w:val="en-US" w:eastAsia="zh-CN"/>
              </w:rPr>
              <w:t>推广研究员</w:t>
            </w:r>
          </w:p>
        </w:tc>
        <w:tc>
          <w:tcPr>
            <w:tcW w:w="972" w:type="pct"/>
            <w:tcBorders>
              <w:top w:val="single" w:color="auto" w:sz="4" w:space="0"/>
              <w:left w:val="single" w:color="auto" w:sz="4" w:space="0"/>
              <w:bottom w:val="single" w:color="auto" w:sz="4" w:space="0"/>
              <w:right w:val="single" w:color="auto" w:sz="4" w:space="0"/>
            </w:tcBorders>
            <w:shd w:val="clear" w:color="auto" w:fill="auto"/>
            <w:vAlign w:val="center"/>
          </w:tcPr>
          <w:p w14:paraId="4B85FEB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rPr>
            </w:pPr>
            <w:r>
              <w:rPr>
                <w:rFonts w:hint="default" w:ascii="Times New Roman" w:hAnsi="Times New Roman" w:eastAsia="仿宋" w:cs="Times New Roman"/>
                <w:color w:val="auto"/>
                <w:kern w:val="2"/>
                <w:sz w:val="24"/>
                <w:szCs w:val="24"/>
                <w:lang w:val="en-US" w:eastAsia="zh-CN" w:bidi="ar"/>
                <w14:ligatures w14:val="standardContextual"/>
              </w:rPr>
              <w:t>文本起草</w:t>
            </w:r>
          </w:p>
        </w:tc>
      </w:tr>
      <w:tr w14:paraId="1B882F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jc w:val="center"/>
        </w:trPr>
        <w:tc>
          <w:tcPr>
            <w:tcW w:w="600" w:type="pct"/>
            <w:tcBorders>
              <w:top w:val="single" w:color="auto" w:sz="4" w:space="0"/>
              <w:left w:val="single" w:color="auto" w:sz="4" w:space="0"/>
              <w:bottom w:val="single" w:color="auto" w:sz="4" w:space="0"/>
              <w:right w:val="single" w:color="auto" w:sz="4" w:space="0"/>
            </w:tcBorders>
            <w:shd w:val="clear" w:color="auto" w:fill="auto"/>
            <w:vAlign w:val="center"/>
          </w:tcPr>
          <w:p w14:paraId="6C1F191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leftChars="0" w:right="0" w:rightChars="0"/>
              <w:jc w:val="center"/>
              <w:textAlignment w:val="auto"/>
              <w:rPr>
                <w:rFonts w:hint="default" w:ascii="Times New Roman" w:hAnsi="Times New Roman" w:eastAsia="仿宋" w:cs="Times New Roman"/>
                <w:color w:val="auto"/>
                <w:kern w:val="2"/>
                <w:sz w:val="24"/>
                <w:szCs w:val="24"/>
                <w:lang w:val="en-US" w:eastAsia="zh-CN" w:bidi="ar-SA"/>
                <w14:ligatures w14:val="standardContextual"/>
              </w:rPr>
            </w:pPr>
            <w:r>
              <w:rPr>
                <w:rFonts w:hint="default" w:ascii="Times New Roman" w:hAnsi="Times New Roman" w:eastAsia="仿宋" w:cs="Times New Roman"/>
                <w:color w:val="auto"/>
                <w:kern w:val="2"/>
                <w:sz w:val="24"/>
                <w:szCs w:val="24"/>
                <w:lang w:val="en-US" w:eastAsia="zh-CN" w:bidi="ar"/>
                <w14:ligatures w14:val="standardContextual"/>
              </w:rPr>
              <w:t>余亦东</w:t>
            </w:r>
          </w:p>
        </w:tc>
        <w:tc>
          <w:tcPr>
            <w:tcW w:w="474" w:type="pct"/>
            <w:tcBorders>
              <w:top w:val="single" w:color="auto" w:sz="4" w:space="0"/>
              <w:left w:val="single" w:color="auto" w:sz="4" w:space="0"/>
              <w:bottom w:val="single" w:color="auto" w:sz="4" w:space="0"/>
              <w:right w:val="single" w:color="auto" w:sz="4" w:space="0"/>
            </w:tcBorders>
            <w:shd w:val="clear" w:color="auto" w:fill="auto"/>
            <w:vAlign w:val="center"/>
          </w:tcPr>
          <w:p w14:paraId="19511B5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leftChars="0" w:right="0" w:rightChars="0"/>
              <w:jc w:val="center"/>
              <w:textAlignment w:val="auto"/>
              <w:rPr>
                <w:rFonts w:hint="default" w:ascii="Times New Roman" w:hAnsi="Times New Roman" w:eastAsia="仿宋" w:cs="Times New Roman"/>
                <w:color w:val="auto"/>
                <w:kern w:val="2"/>
                <w:sz w:val="24"/>
                <w:szCs w:val="24"/>
                <w:lang w:val="en-US" w:eastAsia="zh-CN" w:bidi="ar-SA"/>
                <w14:ligatures w14:val="standardContextual"/>
              </w:rPr>
            </w:pPr>
            <w:r>
              <w:rPr>
                <w:rFonts w:hint="default" w:ascii="Times New Roman" w:hAnsi="Times New Roman" w:eastAsia="仿宋" w:cs="Times New Roman"/>
                <w:color w:val="auto"/>
                <w:kern w:val="2"/>
                <w:sz w:val="24"/>
                <w:szCs w:val="24"/>
                <w:lang w:val="en-US" w:eastAsia="zh-CN" w:bidi="ar"/>
                <w14:ligatures w14:val="standardContextual"/>
              </w:rPr>
              <w:t>女</w:t>
            </w:r>
          </w:p>
        </w:tc>
        <w:tc>
          <w:tcPr>
            <w:tcW w:w="761" w:type="pct"/>
            <w:tcBorders>
              <w:top w:val="single" w:color="auto" w:sz="4" w:space="0"/>
              <w:left w:val="single" w:color="auto" w:sz="4" w:space="0"/>
              <w:bottom w:val="single" w:color="auto" w:sz="4" w:space="0"/>
              <w:right w:val="single" w:color="auto" w:sz="4" w:space="0"/>
            </w:tcBorders>
            <w:shd w:val="clear" w:color="auto" w:fill="auto"/>
            <w:vAlign w:val="center"/>
          </w:tcPr>
          <w:p w14:paraId="005518A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leftChars="0" w:right="0" w:rightChars="0"/>
              <w:jc w:val="center"/>
              <w:textAlignment w:val="auto"/>
              <w:rPr>
                <w:rFonts w:hint="default" w:ascii="Times New Roman" w:hAnsi="Times New Roman" w:eastAsia="仿宋" w:cs="Times New Roman"/>
                <w:color w:val="auto"/>
                <w:kern w:val="2"/>
                <w:sz w:val="24"/>
                <w:szCs w:val="24"/>
                <w:lang w:val="en-US" w:eastAsia="zh-CN" w:bidi="ar-SA"/>
                <w14:ligatures w14:val="standardContextual"/>
              </w:rPr>
            </w:pPr>
            <w:r>
              <w:rPr>
                <w:rFonts w:hint="default" w:ascii="Times New Roman" w:hAnsi="Times New Roman" w:eastAsia="仿宋" w:cs="Times New Roman"/>
                <w:color w:val="auto"/>
                <w:kern w:val="2"/>
                <w:sz w:val="24"/>
                <w:szCs w:val="24"/>
                <w:lang w:val="en-US" w:eastAsia="zh-CN" w:bidi="ar"/>
                <w14:ligatures w14:val="standardContextual"/>
              </w:rPr>
              <w:t>生态学</w:t>
            </w:r>
          </w:p>
        </w:tc>
        <w:tc>
          <w:tcPr>
            <w:tcW w:w="1369" w:type="pct"/>
            <w:tcBorders>
              <w:top w:val="single" w:color="auto" w:sz="4" w:space="0"/>
              <w:left w:val="single" w:color="auto" w:sz="4" w:space="0"/>
              <w:bottom w:val="single" w:color="auto" w:sz="4" w:space="0"/>
              <w:right w:val="single" w:color="auto" w:sz="4" w:space="0"/>
            </w:tcBorders>
            <w:shd w:val="clear" w:color="auto" w:fill="auto"/>
            <w:vAlign w:val="center"/>
          </w:tcPr>
          <w:p w14:paraId="62401FC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leftChars="0" w:right="0" w:rightChars="0"/>
              <w:jc w:val="center"/>
              <w:textAlignment w:val="auto"/>
              <w:rPr>
                <w:rFonts w:hint="default" w:ascii="Times New Roman" w:hAnsi="Times New Roman" w:eastAsia="仿宋" w:cs="Times New Roman"/>
                <w:color w:val="auto"/>
                <w:kern w:val="2"/>
                <w:sz w:val="24"/>
                <w:szCs w:val="24"/>
                <w:lang w:val="en-US" w:eastAsia="zh-CN" w:bidi="ar-SA"/>
                <w14:ligatures w14:val="standardContextual"/>
              </w:rPr>
            </w:pPr>
            <w:r>
              <w:rPr>
                <w:rFonts w:hint="default" w:ascii="Times New Roman" w:hAnsi="Times New Roman" w:eastAsia="仿宋" w:cs="Times New Roman"/>
                <w:color w:val="auto"/>
                <w:kern w:val="2"/>
                <w:sz w:val="24"/>
                <w:szCs w:val="24"/>
                <w:lang w:val="en-US" w:eastAsia="zh-CN" w:bidi="ar"/>
                <w14:ligatures w14:val="standardContextual"/>
              </w:rPr>
              <w:t>鄂尔多斯市农牧业科学研究院</w:t>
            </w:r>
          </w:p>
        </w:tc>
        <w:tc>
          <w:tcPr>
            <w:tcW w:w="821" w:type="pct"/>
            <w:tcBorders>
              <w:top w:val="single" w:color="auto" w:sz="4" w:space="0"/>
              <w:left w:val="single" w:color="auto" w:sz="4" w:space="0"/>
              <w:bottom w:val="single" w:color="auto" w:sz="4" w:space="0"/>
              <w:right w:val="single" w:color="auto" w:sz="4" w:space="0"/>
            </w:tcBorders>
            <w:shd w:val="clear" w:color="auto" w:fill="auto"/>
            <w:vAlign w:val="center"/>
          </w:tcPr>
          <w:p w14:paraId="4C674BD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leftChars="0" w:right="0" w:rightChars="0"/>
              <w:jc w:val="center"/>
              <w:textAlignment w:val="auto"/>
              <w:rPr>
                <w:rFonts w:hint="default" w:ascii="Times New Roman" w:hAnsi="Times New Roman" w:eastAsia="仿宋" w:cs="Times New Roman"/>
                <w:color w:val="auto"/>
                <w:kern w:val="2"/>
                <w:sz w:val="24"/>
                <w:szCs w:val="24"/>
                <w:lang w:val="en-US" w:eastAsia="zh-CN" w:bidi="ar-SA"/>
                <w14:ligatures w14:val="standardContextual"/>
              </w:rPr>
            </w:pPr>
            <w:r>
              <w:rPr>
                <w:rFonts w:hint="default" w:ascii="Times New Roman" w:hAnsi="Times New Roman" w:eastAsia="仿宋" w:cs="Times New Roman"/>
                <w:color w:val="auto"/>
                <w:kern w:val="0"/>
                <w:sz w:val="24"/>
                <w:szCs w:val="24"/>
              </w:rPr>
              <w:t>推广研究员</w:t>
            </w:r>
          </w:p>
        </w:tc>
        <w:tc>
          <w:tcPr>
            <w:tcW w:w="972" w:type="pct"/>
            <w:tcBorders>
              <w:top w:val="single" w:color="auto" w:sz="4" w:space="0"/>
              <w:left w:val="single" w:color="auto" w:sz="4" w:space="0"/>
              <w:bottom w:val="single" w:color="auto" w:sz="4" w:space="0"/>
              <w:right w:val="single" w:color="auto" w:sz="4" w:space="0"/>
            </w:tcBorders>
            <w:shd w:val="clear" w:color="auto" w:fill="auto"/>
            <w:vAlign w:val="center"/>
          </w:tcPr>
          <w:p w14:paraId="771D80A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rPr>
            </w:pPr>
            <w:r>
              <w:rPr>
                <w:rFonts w:hint="default" w:ascii="Times New Roman" w:hAnsi="Times New Roman" w:eastAsia="仿宋" w:cs="Times New Roman"/>
                <w:color w:val="auto"/>
                <w:kern w:val="2"/>
                <w:sz w:val="24"/>
                <w:szCs w:val="24"/>
                <w:lang w:val="en-US" w:eastAsia="zh-CN" w:bidi="ar"/>
                <w14:ligatures w14:val="standardContextual"/>
              </w:rPr>
              <w:t>文本起草</w:t>
            </w:r>
          </w:p>
        </w:tc>
      </w:tr>
      <w:tr w14:paraId="53F39C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jc w:val="center"/>
        </w:trPr>
        <w:tc>
          <w:tcPr>
            <w:tcW w:w="600" w:type="pct"/>
            <w:tcBorders>
              <w:top w:val="single" w:color="auto" w:sz="4" w:space="0"/>
              <w:left w:val="single" w:color="auto" w:sz="4" w:space="0"/>
              <w:bottom w:val="single" w:color="auto" w:sz="4" w:space="0"/>
              <w:right w:val="single" w:color="auto" w:sz="4" w:space="0"/>
            </w:tcBorders>
            <w:shd w:val="clear" w:color="auto" w:fill="auto"/>
            <w:vAlign w:val="center"/>
          </w:tcPr>
          <w:p w14:paraId="085D937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eastAsia="zh-CN"/>
              </w:rPr>
            </w:pPr>
            <w:r>
              <w:rPr>
                <w:rFonts w:hint="default" w:ascii="Times New Roman" w:hAnsi="Times New Roman" w:eastAsia="仿宋" w:cs="Times New Roman"/>
                <w:color w:val="auto"/>
                <w:sz w:val="24"/>
                <w:szCs w:val="24"/>
                <w:lang w:val="en-US" w:eastAsia="zh-CN"/>
              </w:rPr>
              <w:t>杨政伟</w:t>
            </w:r>
          </w:p>
        </w:tc>
        <w:tc>
          <w:tcPr>
            <w:tcW w:w="474" w:type="pct"/>
            <w:tcBorders>
              <w:top w:val="single" w:color="auto" w:sz="4" w:space="0"/>
              <w:left w:val="single" w:color="auto" w:sz="4" w:space="0"/>
              <w:bottom w:val="single" w:color="auto" w:sz="4" w:space="0"/>
              <w:right w:val="single" w:color="auto" w:sz="4" w:space="0"/>
            </w:tcBorders>
            <w:shd w:val="clear" w:color="auto" w:fill="auto"/>
            <w:vAlign w:val="center"/>
          </w:tcPr>
          <w:p w14:paraId="68D4FAC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eastAsia="zh-CN"/>
              </w:rPr>
            </w:pPr>
            <w:r>
              <w:rPr>
                <w:rFonts w:hint="default" w:ascii="Times New Roman" w:hAnsi="Times New Roman" w:eastAsia="仿宋" w:cs="Times New Roman"/>
                <w:color w:val="auto"/>
                <w:sz w:val="24"/>
                <w:szCs w:val="24"/>
                <w:lang w:val="en-US" w:eastAsia="zh-CN"/>
              </w:rPr>
              <w:t>男</w:t>
            </w:r>
          </w:p>
        </w:tc>
        <w:tc>
          <w:tcPr>
            <w:tcW w:w="761" w:type="pct"/>
            <w:tcBorders>
              <w:top w:val="single" w:color="auto" w:sz="4" w:space="0"/>
              <w:left w:val="single" w:color="auto" w:sz="4" w:space="0"/>
              <w:bottom w:val="single" w:color="auto" w:sz="4" w:space="0"/>
              <w:right w:val="single" w:color="auto" w:sz="4" w:space="0"/>
            </w:tcBorders>
            <w:shd w:val="clear" w:color="auto" w:fill="auto"/>
            <w:vAlign w:val="center"/>
          </w:tcPr>
          <w:p w14:paraId="4DEC6D7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eastAsia" w:ascii="Times New Roman" w:hAnsi="Times New Roman" w:eastAsia="仿宋" w:cs="Times New Roman"/>
                <w:color w:val="auto"/>
                <w:sz w:val="24"/>
                <w:szCs w:val="24"/>
                <w:lang w:val="en-US" w:eastAsia="zh-CN"/>
              </w:rPr>
            </w:pPr>
            <w:r>
              <w:rPr>
                <w:rFonts w:hint="eastAsia" w:ascii="Times New Roman" w:hAnsi="Times New Roman" w:eastAsia="仿宋" w:cs="Times New Roman"/>
                <w:color w:val="auto"/>
                <w:sz w:val="24"/>
                <w:szCs w:val="24"/>
                <w:lang w:val="en-US" w:eastAsia="zh-CN"/>
              </w:rPr>
              <w:t>农学</w:t>
            </w:r>
          </w:p>
        </w:tc>
        <w:tc>
          <w:tcPr>
            <w:tcW w:w="1369" w:type="pct"/>
            <w:tcBorders>
              <w:top w:val="single" w:color="auto" w:sz="4" w:space="0"/>
              <w:left w:val="single" w:color="auto" w:sz="4" w:space="0"/>
              <w:bottom w:val="single" w:color="auto" w:sz="4" w:space="0"/>
              <w:right w:val="single" w:color="auto" w:sz="4" w:space="0"/>
            </w:tcBorders>
            <w:shd w:val="clear" w:color="auto" w:fill="auto"/>
            <w:vAlign w:val="center"/>
          </w:tcPr>
          <w:p w14:paraId="6900EDF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rPr>
            </w:pPr>
            <w:r>
              <w:rPr>
                <w:rFonts w:hint="default" w:ascii="Times New Roman" w:hAnsi="Times New Roman" w:eastAsia="仿宋" w:cs="Times New Roman"/>
                <w:color w:val="auto"/>
                <w:kern w:val="2"/>
                <w:sz w:val="24"/>
                <w:szCs w:val="24"/>
                <w:lang w:val="en-US" w:eastAsia="zh-CN" w:bidi="ar"/>
                <w14:ligatures w14:val="standardContextual"/>
              </w:rPr>
              <w:t>鄂尔多斯市农牧业科学研究院</w:t>
            </w:r>
          </w:p>
        </w:tc>
        <w:tc>
          <w:tcPr>
            <w:tcW w:w="821" w:type="pct"/>
            <w:tcBorders>
              <w:top w:val="single" w:color="auto" w:sz="4" w:space="0"/>
              <w:left w:val="single" w:color="auto" w:sz="4" w:space="0"/>
              <w:bottom w:val="single" w:color="auto" w:sz="4" w:space="0"/>
              <w:right w:val="single" w:color="auto" w:sz="4" w:space="0"/>
            </w:tcBorders>
            <w:shd w:val="clear" w:color="auto" w:fill="auto"/>
            <w:vAlign w:val="center"/>
          </w:tcPr>
          <w:p w14:paraId="68A9532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eastAsia" w:ascii="Times New Roman" w:hAnsi="Times New Roman" w:eastAsia="仿宋" w:cs="Times New Roman"/>
                <w:color w:val="auto"/>
                <w:sz w:val="24"/>
                <w:szCs w:val="24"/>
                <w:lang w:val="en-US" w:eastAsia="zh-CN"/>
              </w:rPr>
            </w:pPr>
            <w:r>
              <w:rPr>
                <w:rFonts w:hint="eastAsia" w:ascii="Times New Roman" w:hAnsi="Times New Roman" w:eastAsia="仿宋" w:cs="Times New Roman"/>
                <w:color w:val="auto"/>
                <w:sz w:val="24"/>
                <w:szCs w:val="24"/>
                <w:lang w:val="en-US" w:eastAsia="zh-CN"/>
              </w:rPr>
              <w:t>高级工程师</w:t>
            </w:r>
          </w:p>
        </w:tc>
        <w:tc>
          <w:tcPr>
            <w:tcW w:w="972" w:type="pct"/>
            <w:tcBorders>
              <w:top w:val="single" w:color="auto" w:sz="4" w:space="0"/>
              <w:left w:val="single" w:color="auto" w:sz="4" w:space="0"/>
              <w:bottom w:val="single" w:color="auto" w:sz="4" w:space="0"/>
              <w:right w:val="single" w:color="auto" w:sz="4" w:space="0"/>
            </w:tcBorders>
            <w:shd w:val="clear" w:color="auto" w:fill="auto"/>
            <w:vAlign w:val="center"/>
          </w:tcPr>
          <w:p w14:paraId="23C687D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rPr>
            </w:pPr>
            <w:r>
              <w:rPr>
                <w:rFonts w:hint="default" w:ascii="Times New Roman" w:hAnsi="Times New Roman" w:eastAsia="仿宋" w:cs="Times New Roman"/>
                <w:color w:val="auto"/>
                <w:kern w:val="2"/>
                <w:sz w:val="24"/>
                <w:szCs w:val="24"/>
                <w:lang w:val="en-US" w:eastAsia="zh-CN" w:bidi="ar"/>
                <w14:ligatures w14:val="standardContextual"/>
              </w:rPr>
              <w:t>专家意见征求、文本整理</w:t>
            </w:r>
          </w:p>
        </w:tc>
      </w:tr>
      <w:tr w14:paraId="3E144D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jc w:val="center"/>
        </w:trPr>
        <w:tc>
          <w:tcPr>
            <w:tcW w:w="600" w:type="pct"/>
            <w:tcBorders>
              <w:top w:val="single" w:color="auto" w:sz="4" w:space="0"/>
              <w:left w:val="single" w:color="auto" w:sz="4" w:space="0"/>
              <w:bottom w:val="single" w:color="auto" w:sz="4" w:space="0"/>
              <w:right w:val="single" w:color="auto" w:sz="4" w:space="0"/>
            </w:tcBorders>
            <w:shd w:val="clear" w:color="auto" w:fill="auto"/>
            <w:vAlign w:val="center"/>
          </w:tcPr>
          <w:p w14:paraId="3B59C98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eastAsia="zh-CN"/>
              </w:rPr>
            </w:pPr>
            <w:r>
              <w:rPr>
                <w:rFonts w:hint="default" w:ascii="Times New Roman" w:hAnsi="Times New Roman" w:eastAsia="仿宋" w:cs="Times New Roman"/>
                <w:color w:val="auto"/>
                <w:sz w:val="24"/>
                <w:szCs w:val="24"/>
                <w:lang w:val="en-US" w:eastAsia="zh-CN"/>
              </w:rPr>
              <w:t>田青松</w:t>
            </w:r>
          </w:p>
        </w:tc>
        <w:tc>
          <w:tcPr>
            <w:tcW w:w="474" w:type="pct"/>
            <w:tcBorders>
              <w:top w:val="single" w:color="auto" w:sz="4" w:space="0"/>
              <w:left w:val="single" w:color="auto" w:sz="4" w:space="0"/>
              <w:bottom w:val="single" w:color="auto" w:sz="4" w:space="0"/>
              <w:right w:val="single" w:color="auto" w:sz="4" w:space="0"/>
            </w:tcBorders>
            <w:shd w:val="clear" w:color="auto" w:fill="auto"/>
            <w:vAlign w:val="center"/>
          </w:tcPr>
          <w:p w14:paraId="7DC7061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eastAsia="zh-CN"/>
              </w:rPr>
            </w:pPr>
            <w:r>
              <w:rPr>
                <w:rFonts w:hint="default" w:ascii="Times New Roman" w:hAnsi="Times New Roman" w:eastAsia="仿宋" w:cs="Times New Roman"/>
                <w:color w:val="auto"/>
                <w:sz w:val="24"/>
                <w:szCs w:val="24"/>
                <w:lang w:val="en-US" w:eastAsia="zh-CN"/>
              </w:rPr>
              <w:t>男</w:t>
            </w:r>
          </w:p>
        </w:tc>
        <w:tc>
          <w:tcPr>
            <w:tcW w:w="761" w:type="pct"/>
            <w:tcBorders>
              <w:top w:val="single" w:color="auto" w:sz="4" w:space="0"/>
              <w:left w:val="single" w:color="auto" w:sz="4" w:space="0"/>
              <w:bottom w:val="single" w:color="auto" w:sz="4" w:space="0"/>
              <w:right w:val="single" w:color="auto" w:sz="4" w:space="0"/>
            </w:tcBorders>
            <w:shd w:val="clear" w:color="auto" w:fill="auto"/>
            <w:vAlign w:val="center"/>
          </w:tcPr>
          <w:p w14:paraId="1D201E7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eastAsia="zh-CN"/>
              </w:rPr>
            </w:pPr>
            <w:r>
              <w:rPr>
                <w:rFonts w:hint="default" w:ascii="Times New Roman" w:hAnsi="Times New Roman" w:eastAsia="仿宋" w:cs="Times New Roman"/>
                <w:color w:val="auto"/>
                <w:sz w:val="24"/>
                <w:szCs w:val="24"/>
                <w:lang w:val="en-US" w:eastAsia="zh-CN"/>
              </w:rPr>
              <w:t>草学</w:t>
            </w:r>
          </w:p>
        </w:tc>
        <w:tc>
          <w:tcPr>
            <w:tcW w:w="1369" w:type="pct"/>
            <w:tcBorders>
              <w:top w:val="single" w:color="auto" w:sz="4" w:space="0"/>
              <w:left w:val="single" w:color="auto" w:sz="4" w:space="0"/>
              <w:bottom w:val="single" w:color="auto" w:sz="4" w:space="0"/>
              <w:right w:val="single" w:color="auto" w:sz="4" w:space="0"/>
            </w:tcBorders>
            <w:shd w:val="clear" w:color="auto" w:fill="auto"/>
            <w:vAlign w:val="center"/>
          </w:tcPr>
          <w:p w14:paraId="55B4215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rPr>
            </w:pPr>
            <w:r>
              <w:rPr>
                <w:rFonts w:hint="default" w:ascii="Times New Roman" w:hAnsi="Times New Roman" w:eastAsia="仿宋" w:cs="Times New Roman"/>
                <w:color w:val="auto"/>
                <w:kern w:val="2"/>
                <w:sz w:val="24"/>
                <w:szCs w:val="24"/>
                <w:lang w:val="en-US" w:eastAsia="zh-CN" w:bidi="ar"/>
                <w14:ligatures w14:val="standardContextual"/>
              </w:rPr>
              <w:t>中国农业科学院草原研究所</w:t>
            </w:r>
          </w:p>
        </w:tc>
        <w:tc>
          <w:tcPr>
            <w:tcW w:w="821" w:type="pct"/>
            <w:tcBorders>
              <w:top w:val="single" w:color="auto" w:sz="4" w:space="0"/>
              <w:left w:val="single" w:color="auto" w:sz="4" w:space="0"/>
              <w:bottom w:val="single" w:color="auto" w:sz="4" w:space="0"/>
              <w:right w:val="single" w:color="auto" w:sz="4" w:space="0"/>
            </w:tcBorders>
            <w:shd w:val="clear" w:color="auto" w:fill="auto"/>
            <w:vAlign w:val="center"/>
          </w:tcPr>
          <w:p w14:paraId="477912B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eastAsia="zh-CN"/>
              </w:rPr>
            </w:pPr>
            <w:r>
              <w:rPr>
                <w:rFonts w:hint="default" w:ascii="Times New Roman" w:hAnsi="Times New Roman" w:eastAsia="仿宋" w:cs="Times New Roman"/>
                <w:color w:val="auto"/>
                <w:sz w:val="24"/>
                <w:szCs w:val="24"/>
                <w:lang w:val="en-US" w:eastAsia="zh-CN"/>
              </w:rPr>
              <w:t>研究员</w:t>
            </w:r>
          </w:p>
        </w:tc>
        <w:tc>
          <w:tcPr>
            <w:tcW w:w="972" w:type="pct"/>
            <w:tcBorders>
              <w:top w:val="single" w:color="auto" w:sz="4" w:space="0"/>
              <w:left w:val="single" w:color="auto" w:sz="4" w:space="0"/>
              <w:bottom w:val="single" w:color="auto" w:sz="4" w:space="0"/>
              <w:right w:val="single" w:color="auto" w:sz="4" w:space="0"/>
            </w:tcBorders>
            <w:shd w:val="clear" w:color="auto" w:fill="auto"/>
            <w:vAlign w:val="center"/>
          </w:tcPr>
          <w:p w14:paraId="3F1D2B1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rPr>
            </w:pPr>
            <w:r>
              <w:rPr>
                <w:rFonts w:hint="default" w:ascii="Times New Roman" w:hAnsi="Times New Roman" w:eastAsia="仿宋" w:cs="Times New Roman"/>
                <w:color w:val="auto"/>
                <w:kern w:val="2"/>
                <w:sz w:val="24"/>
                <w:szCs w:val="24"/>
                <w:lang w:val="en-US" w:eastAsia="zh-CN" w:bidi="ar"/>
                <w14:ligatures w14:val="standardContextual"/>
              </w:rPr>
              <w:t>专家意见征求、文本整理</w:t>
            </w:r>
          </w:p>
        </w:tc>
      </w:tr>
      <w:tr w14:paraId="2A6A81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jc w:val="center"/>
        </w:trPr>
        <w:tc>
          <w:tcPr>
            <w:tcW w:w="600" w:type="pct"/>
            <w:tcBorders>
              <w:top w:val="single" w:color="auto" w:sz="4" w:space="0"/>
              <w:left w:val="single" w:color="auto" w:sz="4" w:space="0"/>
              <w:bottom w:val="single" w:color="auto" w:sz="4" w:space="0"/>
              <w:right w:val="single" w:color="auto" w:sz="4" w:space="0"/>
            </w:tcBorders>
            <w:shd w:val="clear" w:color="auto" w:fill="auto"/>
            <w:vAlign w:val="center"/>
          </w:tcPr>
          <w:p w14:paraId="65463D8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eastAsia="zh-CN"/>
              </w:rPr>
            </w:pPr>
            <w:r>
              <w:rPr>
                <w:rFonts w:hint="default" w:ascii="Times New Roman" w:hAnsi="Times New Roman" w:eastAsia="仿宋" w:cs="Times New Roman"/>
                <w:color w:val="auto"/>
                <w:sz w:val="24"/>
                <w:szCs w:val="24"/>
                <w:lang w:val="en-US" w:eastAsia="zh-CN"/>
              </w:rPr>
              <w:t>倪苗</w:t>
            </w:r>
          </w:p>
        </w:tc>
        <w:tc>
          <w:tcPr>
            <w:tcW w:w="474" w:type="pct"/>
            <w:tcBorders>
              <w:top w:val="single" w:color="auto" w:sz="4" w:space="0"/>
              <w:left w:val="single" w:color="auto" w:sz="4" w:space="0"/>
              <w:bottom w:val="single" w:color="auto" w:sz="4" w:space="0"/>
              <w:right w:val="single" w:color="auto" w:sz="4" w:space="0"/>
            </w:tcBorders>
            <w:shd w:val="clear" w:color="auto" w:fill="auto"/>
            <w:vAlign w:val="center"/>
          </w:tcPr>
          <w:p w14:paraId="7E8AC7B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eastAsia="zh-CN"/>
              </w:rPr>
            </w:pPr>
            <w:r>
              <w:rPr>
                <w:rFonts w:hint="default" w:ascii="Times New Roman" w:hAnsi="Times New Roman" w:eastAsia="仿宋" w:cs="Times New Roman"/>
                <w:color w:val="auto"/>
                <w:sz w:val="24"/>
                <w:szCs w:val="24"/>
                <w:lang w:val="en-US" w:eastAsia="zh-CN"/>
              </w:rPr>
              <w:t>女</w:t>
            </w:r>
          </w:p>
        </w:tc>
        <w:tc>
          <w:tcPr>
            <w:tcW w:w="761" w:type="pct"/>
            <w:tcBorders>
              <w:top w:val="single" w:color="auto" w:sz="4" w:space="0"/>
              <w:left w:val="single" w:color="auto" w:sz="4" w:space="0"/>
              <w:bottom w:val="single" w:color="auto" w:sz="4" w:space="0"/>
              <w:right w:val="single" w:color="auto" w:sz="4" w:space="0"/>
            </w:tcBorders>
            <w:shd w:val="clear" w:color="auto" w:fill="auto"/>
            <w:vAlign w:val="center"/>
          </w:tcPr>
          <w:p w14:paraId="418BCCA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eastAsia" w:ascii="Times New Roman" w:hAnsi="Times New Roman" w:eastAsia="仿宋" w:cs="Times New Roman"/>
                <w:color w:val="auto"/>
                <w:sz w:val="24"/>
                <w:szCs w:val="24"/>
                <w:lang w:val="en-US" w:eastAsia="zh-CN"/>
              </w:rPr>
            </w:pPr>
            <w:r>
              <w:rPr>
                <w:rFonts w:hint="eastAsia" w:ascii="Times New Roman" w:hAnsi="Times New Roman" w:eastAsia="仿宋" w:cs="Times New Roman"/>
                <w:color w:val="auto"/>
                <w:sz w:val="24"/>
                <w:szCs w:val="24"/>
                <w:lang w:val="en-US" w:eastAsia="zh-CN"/>
              </w:rPr>
              <w:t>草学</w:t>
            </w:r>
          </w:p>
        </w:tc>
        <w:tc>
          <w:tcPr>
            <w:tcW w:w="1369" w:type="pct"/>
            <w:tcBorders>
              <w:top w:val="single" w:color="auto" w:sz="4" w:space="0"/>
              <w:left w:val="single" w:color="auto" w:sz="4" w:space="0"/>
              <w:bottom w:val="single" w:color="auto" w:sz="4" w:space="0"/>
              <w:right w:val="single" w:color="auto" w:sz="4" w:space="0"/>
            </w:tcBorders>
            <w:shd w:val="clear" w:color="auto" w:fill="auto"/>
            <w:vAlign w:val="center"/>
          </w:tcPr>
          <w:p w14:paraId="17B17CE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rPr>
            </w:pPr>
            <w:r>
              <w:rPr>
                <w:rFonts w:hint="default" w:ascii="Times New Roman" w:hAnsi="Times New Roman" w:eastAsia="仿宋" w:cs="Times New Roman"/>
                <w:color w:val="auto"/>
                <w:kern w:val="2"/>
                <w:sz w:val="24"/>
                <w:szCs w:val="24"/>
                <w:lang w:val="en-US" w:eastAsia="zh-CN" w:bidi="ar"/>
                <w14:ligatures w14:val="standardContextual"/>
              </w:rPr>
              <w:t>鄂尔多斯市农牧业科学研究院</w:t>
            </w:r>
          </w:p>
        </w:tc>
        <w:tc>
          <w:tcPr>
            <w:tcW w:w="821" w:type="pct"/>
            <w:tcBorders>
              <w:top w:val="single" w:color="auto" w:sz="4" w:space="0"/>
              <w:left w:val="single" w:color="auto" w:sz="4" w:space="0"/>
              <w:bottom w:val="single" w:color="auto" w:sz="4" w:space="0"/>
              <w:right w:val="single" w:color="auto" w:sz="4" w:space="0"/>
            </w:tcBorders>
            <w:shd w:val="clear" w:color="auto" w:fill="auto"/>
            <w:vAlign w:val="center"/>
          </w:tcPr>
          <w:p w14:paraId="098E760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rPr>
            </w:pPr>
            <w:r>
              <w:rPr>
                <w:rFonts w:hint="default" w:ascii="Times New Roman" w:hAnsi="Times New Roman" w:eastAsia="仿宋" w:cs="Times New Roman"/>
                <w:color w:val="auto"/>
                <w:kern w:val="2"/>
                <w:sz w:val="24"/>
                <w:szCs w:val="24"/>
                <w:lang w:val="en-US" w:eastAsia="zh-CN" w:bidi="ar"/>
                <w14:ligatures w14:val="standardContextual"/>
              </w:rPr>
              <w:t>助理研究员</w:t>
            </w:r>
          </w:p>
        </w:tc>
        <w:tc>
          <w:tcPr>
            <w:tcW w:w="972" w:type="pct"/>
            <w:tcBorders>
              <w:top w:val="single" w:color="auto" w:sz="4" w:space="0"/>
              <w:left w:val="single" w:color="auto" w:sz="4" w:space="0"/>
              <w:bottom w:val="single" w:color="auto" w:sz="4" w:space="0"/>
              <w:right w:val="single" w:color="auto" w:sz="4" w:space="0"/>
            </w:tcBorders>
            <w:shd w:val="clear" w:color="auto" w:fill="auto"/>
            <w:vAlign w:val="center"/>
          </w:tcPr>
          <w:p w14:paraId="513DF0C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rPr>
            </w:pPr>
            <w:r>
              <w:rPr>
                <w:rFonts w:hint="default" w:ascii="Times New Roman" w:hAnsi="Times New Roman" w:eastAsia="仿宋" w:cs="Times New Roman"/>
                <w:color w:val="auto"/>
                <w:kern w:val="2"/>
                <w:sz w:val="24"/>
                <w:szCs w:val="24"/>
                <w:lang w:val="en-US" w:eastAsia="zh-CN" w:bidi="ar"/>
                <w14:ligatures w14:val="standardContextual"/>
              </w:rPr>
              <w:t>文本整理</w:t>
            </w:r>
          </w:p>
        </w:tc>
      </w:tr>
      <w:tr w14:paraId="50EED3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jc w:val="center"/>
        </w:trPr>
        <w:tc>
          <w:tcPr>
            <w:tcW w:w="600" w:type="pct"/>
            <w:tcBorders>
              <w:top w:val="single" w:color="auto" w:sz="4" w:space="0"/>
              <w:left w:val="single" w:color="auto" w:sz="4" w:space="0"/>
              <w:bottom w:val="single" w:color="auto" w:sz="4" w:space="0"/>
              <w:right w:val="single" w:color="auto" w:sz="4" w:space="0"/>
            </w:tcBorders>
            <w:shd w:val="clear" w:color="auto" w:fill="auto"/>
            <w:vAlign w:val="center"/>
          </w:tcPr>
          <w:p w14:paraId="1EA4C6F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eastAsia="zh-CN"/>
              </w:rPr>
            </w:pPr>
            <w:r>
              <w:rPr>
                <w:rFonts w:hint="default" w:ascii="Times New Roman" w:hAnsi="Times New Roman" w:eastAsia="仿宋" w:cs="Times New Roman"/>
                <w:color w:val="auto"/>
                <w:sz w:val="24"/>
                <w:szCs w:val="24"/>
                <w:lang w:val="en-US" w:eastAsia="zh-CN"/>
              </w:rPr>
              <w:t>黄帆</w:t>
            </w:r>
          </w:p>
        </w:tc>
        <w:tc>
          <w:tcPr>
            <w:tcW w:w="474" w:type="pct"/>
            <w:tcBorders>
              <w:top w:val="single" w:color="auto" w:sz="4" w:space="0"/>
              <w:left w:val="single" w:color="auto" w:sz="4" w:space="0"/>
              <w:bottom w:val="single" w:color="auto" w:sz="4" w:space="0"/>
              <w:right w:val="single" w:color="auto" w:sz="4" w:space="0"/>
            </w:tcBorders>
            <w:shd w:val="clear" w:color="auto" w:fill="auto"/>
            <w:vAlign w:val="center"/>
          </w:tcPr>
          <w:p w14:paraId="62C4CAB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eastAsia="zh-CN"/>
              </w:rPr>
            </w:pPr>
            <w:r>
              <w:rPr>
                <w:rFonts w:hint="default" w:ascii="Times New Roman" w:hAnsi="Times New Roman" w:eastAsia="仿宋" w:cs="Times New Roman"/>
                <w:color w:val="auto"/>
                <w:sz w:val="24"/>
                <w:szCs w:val="24"/>
                <w:lang w:val="en-US" w:eastAsia="zh-CN"/>
              </w:rPr>
              <w:t>女</w:t>
            </w:r>
          </w:p>
        </w:tc>
        <w:tc>
          <w:tcPr>
            <w:tcW w:w="761" w:type="pct"/>
            <w:tcBorders>
              <w:top w:val="single" w:color="auto" w:sz="4" w:space="0"/>
              <w:left w:val="single" w:color="auto" w:sz="4" w:space="0"/>
              <w:bottom w:val="single" w:color="auto" w:sz="4" w:space="0"/>
              <w:right w:val="single" w:color="auto" w:sz="4" w:space="0"/>
            </w:tcBorders>
            <w:shd w:val="clear" w:color="auto" w:fill="auto"/>
            <w:vAlign w:val="center"/>
          </w:tcPr>
          <w:p w14:paraId="291BCA1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eastAsia="zh-CN"/>
              </w:rPr>
            </w:pPr>
            <w:r>
              <w:rPr>
                <w:rFonts w:hint="default" w:ascii="Times New Roman" w:hAnsi="Times New Roman" w:eastAsia="仿宋" w:cs="Times New Roman"/>
                <w:color w:val="auto"/>
                <w:sz w:val="24"/>
                <w:szCs w:val="24"/>
                <w:lang w:val="en-US" w:eastAsia="zh-CN"/>
              </w:rPr>
              <w:t>草学</w:t>
            </w:r>
          </w:p>
        </w:tc>
        <w:tc>
          <w:tcPr>
            <w:tcW w:w="1369" w:type="pct"/>
            <w:tcBorders>
              <w:top w:val="single" w:color="auto" w:sz="4" w:space="0"/>
              <w:left w:val="single" w:color="auto" w:sz="4" w:space="0"/>
              <w:bottom w:val="single" w:color="auto" w:sz="4" w:space="0"/>
              <w:right w:val="single" w:color="auto" w:sz="4" w:space="0"/>
            </w:tcBorders>
            <w:shd w:val="clear" w:color="auto" w:fill="auto"/>
            <w:vAlign w:val="center"/>
          </w:tcPr>
          <w:p w14:paraId="5D91558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rPr>
            </w:pPr>
            <w:r>
              <w:rPr>
                <w:rFonts w:hint="default" w:ascii="Times New Roman" w:hAnsi="Times New Roman" w:eastAsia="仿宋" w:cs="Times New Roman"/>
                <w:color w:val="auto"/>
                <w:kern w:val="2"/>
                <w:sz w:val="24"/>
                <w:szCs w:val="24"/>
                <w:lang w:val="en-US" w:eastAsia="zh-CN" w:bidi="ar"/>
                <w14:ligatures w14:val="standardContextual"/>
              </w:rPr>
              <w:t>中国农业科学院草原研究所</w:t>
            </w:r>
          </w:p>
        </w:tc>
        <w:tc>
          <w:tcPr>
            <w:tcW w:w="821" w:type="pct"/>
            <w:tcBorders>
              <w:top w:val="single" w:color="auto" w:sz="4" w:space="0"/>
              <w:left w:val="single" w:color="auto" w:sz="4" w:space="0"/>
              <w:bottom w:val="single" w:color="auto" w:sz="4" w:space="0"/>
              <w:right w:val="single" w:color="auto" w:sz="4" w:space="0"/>
            </w:tcBorders>
            <w:shd w:val="clear" w:color="auto" w:fill="auto"/>
            <w:vAlign w:val="center"/>
          </w:tcPr>
          <w:p w14:paraId="124F3E0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eastAsia="zh-CN"/>
              </w:rPr>
            </w:pPr>
            <w:r>
              <w:rPr>
                <w:rFonts w:hint="default" w:ascii="Times New Roman" w:hAnsi="Times New Roman" w:eastAsia="仿宋" w:cs="Times New Roman"/>
                <w:color w:val="auto"/>
                <w:sz w:val="24"/>
                <w:szCs w:val="24"/>
                <w:lang w:val="en-US" w:eastAsia="zh-CN"/>
              </w:rPr>
              <w:t>副研究员</w:t>
            </w:r>
          </w:p>
        </w:tc>
        <w:tc>
          <w:tcPr>
            <w:tcW w:w="972" w:type="pct"/>
            <w:tcBorders>
              <w:top w:val="single" w:color="auto" w:sz="4" w:space="0"/>
              <w:left w:val="single" w:color="auto" w:sz="4" w:space="0"/>
              <w:bottom w:val="single" w:color="auto" w:sz="4" w:space="0"/>
              <w:right w:val="single" w:color="auto" w:sz="4" w:space="0"/>
            </w:tcBorders>
            <w:shd w:val="clear" w:color="auto" w:fill="auto"/>
            <w:vAlign w:val="center"/>
          </w:tcPr>
          <w:p w14:paraId="3C5B516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rPr>
            </w:pPr>
            <w:r>
              <w:rPr>
                <w:rFonts w:hint="default" w:ascii="Times New Roman" w:hAnsi="Times New Roman" w:eastAsia="仿宋" w:cs="Times New Roman"/>
                <w:color w:val="auto"/>
                <w:kern w:val="2"/>
                <w:sz w:val="24"/>
                <w:szCs w:val="24"/>
                <w:lang w:val="en-US" w:eastAsia="zh-CN" w:bidi="ar"/>
                <w14:ligatures w14:val="standardContextual"/>
              </w:rPr>
              <w:t>文本整理</w:t>
            </w:r>
          </w:p>
        </w:tc>
      </w:tr>
      <w:tr w14:paraId="02297B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jc w:val="center"/>
        </w:trPr>
        <w:tc>
          <w:tcPr>
            <w:tcW w:w="600" w:type="pct"/>
            <w:tcBorders>
              <w:top w:val="single" w:color="auto" w:sz="4" w:space="0"/>
              <w:left w:val="single" w:color="auto" w:sz="4" w:space="0"/>
              <w:bottom w:val="single" w:color="auto" w:sz="4" w:space="0"/>
              <w:right w:val="single" w:color="auto" w:sz="4" w:space="0"/>
            </w:tcBorders>
            <w:shd w:val="clear" w:color="auto" w:fill="auto"/>
            <w:vAlign w:val="center"/>
          </w:tcPr>
          <w:p w14:paraId="72BF421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eastAsia="zh-CN"/>
              </w:rPr>
            </w:pPr>
            <w:r>
              <w:rPr>
                <w:rFonts w:hint="default" w:ascii="Times New Roman" w:hAnsi="Times New Roman" w:eastAsia="仿宋" w:cs="Times New Roman"/>
                <w:color w:val="auto"/>
                <w:sz w:val="24"/>
                <w:szCs w:val="24"/>
                <w:lang w:val="en-US" w:eastAsia="zh-CN"/>
              </w:rPr>
              <w:t>强晓晶</w:t>
            </w:r>
          </w:p>
        </w:tc>
        <w:tc>
          <w:tcPr>
            <w:tcW w:w="474" w:type="pct"/>
            <w:tcBorders>
              <w:top w:val="single" w:color="auto" w:sz="4" w:space="0"/>
              <w:left w:val="single" w:color="auto" w:sz="4" w:space="0"/>
              <w:bottom w:val="single" w:color="auto" w:sz="4" w:space="0"/>
              <w:right w:val="single" w:color="auto" w:sz="4" w:space="0"/>
            </w:tcBorders>
            <w:shd w:val="clear" w:color="auto" w:fill="auto"/>
            <w:vAlign w:val="center"/>
          </w:tcPr>
          <w:p w14:paraId="477BA76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both"/>
              <w:textAlignment w:val="auto"/>
              <w:rPr>
                <w:rFonts w:hint="default" w:ascii="Times New Roman" w:hAnsi="Times New Roman" w:eastAsia="仿宋" w:cs="Times New Roman"/>
                <w:color w:val="auto"/>
                <w:sz w:val="24"/>
                <w:szCs w:val="24"/>
                <w:lang w:val="en-US" w:eastAsia="zh-CN"/>
              </w:rPr>
            </w:pPr>
            <w:r>
              <w:rPr>
                <w:rFonts w:hint="default" w:ascii="Times New Roman" w:hAnsi="Times New Roman" w:eastAsia="仿宋" w:cs="Times New Roman"/>
                <w:color w:val="auto"/>
                <w:sz w:val="24"/>
                <w:szCs w:val="24"/>
                <w:lang w:val="en-US" w:eastAsia="zh-CN"/>
              </w:rPr>
              <w:t>女</w:t>
            </w:r>
          </w:p>
        </w:tc>
        <w:tc>
          <w:tcPr>
            <w:tcW w:w="761" w:type="pct"/>
            <w:tcBorders>
              <w:top w:val="single" w:color="auto" w:sz="4" w:space="0"/>
              <w:left w:val="single" w:color="auto" w:sz="4" w:space="0"/>
              <w:bottom w:val="single" w:color="auto" w:sz="4" w:space="0"/>
              <w:right w:val="single" w:color="auto" w:sz="4" w:space="0"/>
            </w:tcBorders>
            <w:shd w:val="clear" w:color="auto" w:fill="auto"/>
            <w:vAlign w:val="center"/>
          </w:tcPr>
          <w:p w14:paraId="0CA78F7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eastAsia="zh-CN"/>
              </w:rPr>
            </w:pPr>
            <w:r>
              <w:rPr>
                <w:rFonts w:hint="default" w:ascii="Times New Roman" w:hAnsi="Times New Roman" w:eastAsia="仿宋" w:cs="Times New Roman"/>
                <w:color w:val="auto"/>
                <w:sz w:val="24"/>
                <w:szCs w:val="24"/>
                <w:lang w:val="en-US" w:eastAsia="zh-CN"/>
              </w:rPr>
              <w:t>草学</w:t>
            </w:r>
          </w:p>
        </w:tc>
        <w:tc>
          <w:tcPr>
            <w:tcW w:w="1369" w:type="pct"/>
            <w:tcBorders>
              <w:top w:val="single" w:color="auto" w:sz="4" w:space="0"/>
              <w:left w:val="single" w:color="auto" w:sz="4" w:space="0"/>
              <w:bottom w:val="single" w:color="auto" w:sz="4" w:space="0"/>
              <w:right w:val="single" w:color="auto" w:sz="4" w:space="0"/>
            </w:tcBorders>
            <w:shd w:val="clear" w:color="auto" w:fill="auto"/>
            <w:vAlign w:val="center"/>
          </w:tcPr>
          <w:p w14:paraId="2A81808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rPr>
            </w:pPr>
            <w:r>
              <w:rPr>
                <w:rFonts w:hint="default" w:ascii="Times New Roman" w:hAnsi="Times New Roman" w:eastAsia="仿宋" w:cs="Times New Roman"/>
                <w:color w:val="auto"/>
                <w:kern w:val="2"/>
                <w:sz w:val="24"/>
                <w:szCs w:val="24"/>
                <w:lang w:val="en-US" w:eastAsia="zh-CN" w:bidi="ar"/>
                <w14:ligatures w14:val="standardContextual"/>
              </w:rPr>
              <w:t>中国农业科学院草原研究所</w:t>
            </w:r>
          </w:p>
        </w:tc>
        <w:tc>
          <w:tcPr>
            <w:tcW w:w="821" w:type="pct"/>
            <w:tcBorders>
              <w:top w:val="single" w:color="auto" w:sz="4" w:space="0"/>
              <w:left w:val="single" w:color="auto" w:sz="4" w:space="0"/>
              <w:bottom w:val="single" w:color="auto" w:sz="4" w:space="0"/>
              <w:right w:val="single" w:color="auto" w:sz="4" w:space="0"/>
            </w:tcBorders>
            <w:shd w:val="clear" w:color="auto" w:fill="auto"/>
            <w:vAlign w:val="center"/>
          </w:tcPr>
          <w:p w14:paraId="5D252D9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eastAsia="zh-CN"/>
              </w:rPr>
            </w:pPr>
            <w:r>
              <w:rPr>
                <w:rFonts w:hint="default" w:ascii="Times New Roman" w:hAnsi="Times New Roman" w:eastAsia="仿宋" w:cs="Times New Roman"/>
                <w:color w:val="auto"/>
                <w:kern w:val="2"/>
                <w:sz w:val="24"/>
                <w:szCs w:val="24"/>
                <w:lang w:val="en-US" w:eastAsia="zh-CN" w:bidi="ar"/>
                <w14:ligatures w14:val="standardContextual"/>
              </w:rPr>
              <w:t>助理研究员</w:t>
            </w:r>
          </w:p>
        </w:tc>
        <w:tc>
          <w:tcPr>
            <w:tcW w:w="972" w:type="pct"/>
            <w:tcBorders>
              <w:top w:val="single" w:color="auto" w:sz="4" w:space="0"/>
              <w:left w:val="single" w:color="auto" w:sz="4" w:space="0"/>
              <w:bottom w:val="single" w:color="auto" w:sz="4" w:space="0"/>
              <w:right w:val="single" w:color="auto" w:sz="4" w:space="0"/>
            </w:tcBorders>
            <w:shd w:val="clear" w:color="auto" w:fill="auto"/>
            <w:vAlign w:val="center"/>
          </w:tcPr>
          <w:p w14:paraId="38E89A5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kern w:val="2"/>
                <w:sz w:val="24"/>
                <w:szCs w:val="24"/>
                <w:lang w:val="en-US" w:eastAsia="zh-CN" w:bidi="ar"/>
                <w14:ligatures w14:val="standardContextual"/>
              </w:rPr>
            </w:pPr>
            <w:r>
              <w:rPr>
                <w:rFonts w:hint="default" w:ascii="Times New Roman" w:hAnsi="Times New Roman" w:eastAsia="仿宋" w:cs="Times New Roman"/>
                <w:color w:val="auto"/>
                <w:kern w:val="2"/>
                <w:sz w:val="24"/>
                <w:szCs w:val="24"/>
                <w:lang w:val="en-US" w:eastAsia="zh-CN" w:bidi="ar"/>
                <w14:ligatures w14:val="standardContextual"/>
              </w:rPr>
              <w:t>文本整理</w:t>
            </w:r>
          </w:p>
        </w:tc>
      </w:tr>
      <w:tr w14:paraId="19012D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jc w:val="center"/>
        </w:trPr>
        <w:tc>
          <w:tcPr>
            <w:tcW w:w="600" w:type="pct"/>
            <w:tcBorders>
              <w:top w:val="single" w:color="auto" w:sz="4" w:space="0"/>
              <w:left w:val="single" w:color="auto" w:sz="4" w:space="0"/>
              <w:bottom w:val="single" w:color="auto" w:sz="4" w:space="0"/>
              <w:right w:val="single" w:color="auto" w:sz="4" w:space="0"/>
            </w:tcBorders>
            <w:shd w:val="clear" w:color="auto" w:fill="auto"/>
            <w:vAlign w:val="center"/>
          </w:tcPr>
          <w:p w14:paraId="40805E1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eastAsia="zh-CN"/>
              </w:rPr>
            </w:pPr>
            <w:r>
              <w:rPr>
                <w:rFonts w:hint="default" w:ascii="Times New Roman" w:hAnsi="Times New Roman" w:eastAsia="仿宋" w:cs="Times New Roman"/>
                <w:color w:val="auto"/>
                <w:sz w:val="24"/>
                <w:szCs w:val="24"/>
                <w:lang w:val="en-US" w:eastAsia="zh-CN"/>
              </w:rPr>
              <w:t>李文轩</w:t>
            </w:r>
          </w:p>
        </w:tc>
        <w:tc>
          <w:tcPr>
            <w:tcW w:w="474" w:type="pct"/>
            <w:tcBorders>
              <w:top w:val="single" w:color="auto" w:sz="4" w:space="0"/>
              <w:left w:val="single" w:color="auto" w:sz="4" w:space="0"/>
              <w:bottom w:val="single" w:color="auto" w:sz="4" w:space="0"/>
              <w:right w:val="single" w:color="auto" w:sz="4" w:space="0"/>
            </w:tcBorders>
            <w:shd w:val="clear" w:color="auto" w:fill="auto"/>
            <w:vAlign w:val="center"/>
          </w:tcPr>
          <w:p w14:paraId="47A5CBA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eastAsia="zh-CN"/>
              </w:rPr>
            </w:pPr>
            <w:r>
              <w:rPr>
                <w:rFonts w:hint="default" w:ascii="Times New Roman" w:hAnsi="Times New Roman" w:eastAsia="仿宋" w:cs="Times New Roman"/>
                <w:color w:val="auto"/>
                <w:sz w:val="24"/>
                <w:szCs w:val="24"/>
                <w:lang w:val="en-US" w:eastAsia="zh-CN"/>
              </w:rPr>
              <w:t>男</w:t>
            </w:r>
          </w:p>
        </w:tc>
        <w:tc>
          <w:tcPr>
            <w:tcW w:w="761" w:type="pct"/>
            <w:tcBorders>
              <w:top w:val="single" w:color="auto" w:sz="4" w:space="0"/>
              <w:left w:val="single" w:color="auto" w:sz="4" w:space="0"/>
              <w:bottom w:val="single" w:color="auto" w:sz="4" w:space="0"/>
              <w:right w:val="single" w:color="auto" w:sz="4" w:space="0"/>
            </w:tcBorders>
            <w:shd w:val="clear" w:color="auto" w:fill="auto"/>
            <w:vAlign w:val="center"/>
          </w:tcPr>
          <w:p w14:paraId="4C0E1CB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eastAsia="zh-CN"/>
              </w:rPr>
            </w:pPr>
            <w:r>
              <w:rPr>
                <w:rFonts w:hint="default" w:ascii="Times New Roman" w:hAnsi="Times New Roman" w:eastAsia="仿宋" w:cs="Times New Roman"/>
                <w:color w:val="auto"/>
                <w:sz w:val="24"/>
                <w:szCs w:val="24"/>
                <w:lang w:val="en-US" w:eastAsia="zh-CN"/>
              </w:rPr>
              <w:t>草学</w:t>
            </w:r>
          </w:p>
        </w:tc>
        <w:tc>
          <w:tcPr>
            <w:tcW w:w="1369" w:type="pct"/>
            <w:tcBorders>
              <w:top w:val="single" w:color="auto" w:sz="4" w:space="0"/>
              <w:left w:val="single" w:color="auto" w:sz="4" w:space="0"/>
              <w:bottom w:val="single" w:color="auto" w:sz="4" w:space="0"/>
              <w:right w:val="single" w:color="auto" w:sz="4" w:space="0"/>
            </w:tcBorders>
            <w:shd w:val="clear" w:color="auto" w:fill="auto"/>
            <w:vAlign w:val="center"/>
          </w:tcPr>
          <w:p w14:paraId="16B05D6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eastAsia="zh-CN"/>
              </w:rPr>
            </w:pPr>
            <w:r>
              <w:rPr>
                <w:rFonts w:hint="default" w:ascii="Times New Roman" w:hAnsi="Times New Roman" w:eastAsia="仿宋" w:cs="Times New Roman"/>
                <w:color w:val="auto"/>
                <w:sz w:val="24"/>
                <w:szCs w:val="24"/>
                <w:lang w:val="en-US" w:eastAsia="zh-CN"/>
              </w:rPr>
              <w:t>内蒙古农业大学</w:t>
            </w:r>
          </w:p>
        </w:tc>
        <w:tc>
          <w:tcPr>
            <w:tcW w:w="821" w:type="pct"/>
            <w:tcBorders>
              <w:top w:val="single" w:color="auto" w:sz="4" w:space="0"/>
              <w:left w:val="single" w:color="auto" w:sz="4" w:space="0"/>
              <w:bottom w:val="single" w:color="auto" w:sz="4" w:space="0"/>
              <w:right w:val="single" w:color="auto" w:sz="4" w:space="0"/>
            </w:tcBorders>
            <w:shd w:val="clear" w:color="auto" w:fill="auto"/>
            <w:vAlign w:val="center"/>
          </w:tcPr>
          <w:p w14:paraId="7DE0A4C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sz w:val="24"/>
                <w:szCs w:val="24"/>
                <w:lang w:val="en-US" w:eastAsia="zh-CN"/>
              </w:rPr>
            </w:pPr>
            <w:r>
              <w:rPr>
                <w:rFonts w:hint="default" w:ascii="Times New Roman" w:hAnsi="Times New Roman" w:eastAsia="仿宋" w:cs="Times New Roman"/>
                <w:color w:val="auto"/>
                <w:sz w:val="24"/>
                <w:szCs w:val="24"/>
                <w:lang w:val="en-US" w:eastAsia="zh-CN"/>
              </w:rPr>
              <w:t>学生</w:t>
            </w:r>
          </w:p>
        </w:tc>
        <w:tc>
          <w:tcPr>
            <w:tcW w:w="972" w:type="pct"/>
            <w:tcBorders>
              <w:top w:val="single" w:color="auto" w:sz="4" w:space="0"/>
              <w:left w:val="single" w:color="auto" w:sz="4" w:space="0"/>
              <w:bottom w:val="single" w:color="auto" w:sz="4" w:space="0"/>
              <w:right w:val="single" w:color="auto" w:sz="4" w:space="0"/>
            </w:tcBorders>
            <w:shd w:val="clear" w:color="auto" w:fill="auto"/>
            <w:vAlign w:val="center"/>
          </w:tcPr>
          <w:p w14:paraId="2AFF6FF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40" w:lineRule="exact"/>
              <w:ind w:left="0" w:right="0"/>
              <w:jc w:val="center"/>
              <w:textAlignment w:val="auto"/>
              <w:rPr>
                <w:rFonts w:hint="default" w:ascii="Times New Roman" w:hAnsi="Times New Roman" w:eastAsia="仿宋" w:cs="Times New Roman"/>
                <w:color w:val="auto"/>
                <w:kern w:val="2"/>
                <w:sz w:val="24"/>
                <w:szCs w:val="24"/>
                <w:lang w:val="en-US" w:eastAsia="zh-CN" w:bidi="ar"/>
                <w14:ligatures w14:val="standardContextual"/>
              </w:rPr>
            </w:pPr>
            <w:r>
              <w:rPr>
                <w:rFonts w:hint="default" w:ascii="Times New Roman" w:hAnsi="Times New Roman" w:eastAsia="仿宋" w:cs="Times New Roman"/>
                <w:color w:val="auto"/>
                <w:kern w:val="2"/>
                <w:sz w:val="24"/>
                <w:szCs w:val="24"/>
                <w:lang w:val="en-US" w:eastAsia="zh-CN" w:bidi="ar"/>
                <w14:ligatures w14:val="standardContextual"/>
              </w:rPr>
              <w:t>文本整理</w:t>
            </w:r>
          </w:p>
        </w:tc>
      </w:tr>
    </w:tbl>
    <w:p w14:paraId="3D1E7DED">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Times New Roman" w:hAnsi="Times New Roman" w:eastAsia="仿宋" w:cs="Times New Roman"/>
          <w:color w:val="000000"/>
          <w:sz w:val="32"/>
          <w:szCs w:val="32"/>
          <w:lang w:val="en-US" w:eastAsia="zh-CN"/>
        </w:rPr>
      </w:pPr>
    </w:p>
    <w:p w14:paraId="131C636A">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kern w:val="2"/>
          <w:sz w:val="32"/>
          <w:szCs w:val="32"/>
          <w:lang w:val="en-US" w:eastAsia="zh-CN" w:bidi="ar"/>
          <w14:ligatures w14:val="standardContextual"/>
        </w:rPr>
      </w:pPr>
      <w:r>
        <w:rPr>
          <w:rFonts w:hint="eastAsia" w:ascii="Times New Roman" w:hAnsi="Times New Roman" w:eastAsia="仿宋" w:cs="Times New Roman"/>
          <w:color w:val="000000"/>
          <w:sz w:val="32"/>
          <w:szCs w:val="32"/>
          <w:lang w:val="en-US" w:eastAsia="zh-CN"/>
        </w:rPr>
        <w:t>项目团队长期从事牧草种质资源的评价与鉴定工作。在相关项目的持续资助下，自2023年起，团队开始系统开展小麦族重要属种的评价与鉴定研究。具体工作包括：种质材料的种植与田间管理、评价指标的筛选与确定、实验数据的采集与处理、数据汇总与统计分析，以及相关研究报告的编制等。</w:t>
      </w:r>
    </w:p>
    <w:p w14:paraId="313D278A">
      <w:pPr>
        <w:rPr>
          <w:rFonts w:ascii="仿宋" w:hAnsi="仿宋" w:eastAsia="仿宋"/>
          <w:b/>
          <w:bCs/>
          <w:sz w:val="32"/>
          <w:szCs w:val="32"/>
        </w:rPr>
      </w:pPr>
      <w:r>
        <w:rPr>
          <w:rFonts w:ascii="仿宋" w:hAnsi="仿宋" w:eastAsia="仿宋"/>
          <w:b/>
          <w:bCs/>
          <w:sz w:val="32"/>
          <w:szCs w:val="32"/>
        </w:rPr>
        <w:t>（二）起草阶段</w:t>
      </w:r>
    </w:p>
    <w:p w14:paraId="66BBC115">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default" w:ascii="Times New Roman" w:hAnsi="Times New Roman" w:eastAsia="仿宋" w:cs="Times New Roman"/>
          <w:color w:val="000000"/>
          <w:sz w:val="32"/>
          <w:szCs w:val="32"/>
          <w:lang w:val="en-US" w:eastAsia="zh-CN"/>
        </w:rPr>
      </w:pPr>
      <w:r>
        <w:rPr>
          <w:rFonts w:hint="default" w:ascii="Times New Roman" w:hAnsi="Times New Roman" w:eastAsia="仿宋" w:cs="Times New Roman"/>
          <w:color w:val="000000"/>
          <w:sz w:val="32"/>
          <w:szCs w:val="32"/>
          <w:lang w:val="en-US" w:eastAsia="zh-CN"/>
        </w:rPr>
        <w:t>首先确定起草人员并组建标准起草工作组。在前期试验研究和文献调研的基础上，工作组系统收集并查阅了大量相关文献资料及本单位已发布实施的标准，深入理解标准编制的基本要求，梳理既往标准修订过程中存在的问题。同时，对相关调查与评价的资料和文献进行全面分析、系统归纳与整合，进一步详细解读国家、行业及地方颁布的相关标准，深入研究标准的格式、内容要求及术语表述方式。工作组各成员分工明确，由组长全面负责协调与组织，组员协助完成相关试验验证及资料整理等工作。</w:t>
      </w:r>
    </w:p>
    <w:p w14:paraId="6E80C25C">
      <w:pPr>
        <w:rPr>
          <w:rFonts w:ascii="仿宋" w:hAnsi="仿宋" w:eastAsia="仿宋"/>
          <w:b/>
          <w:bCs/>
          <w:sz w:val="32"/>
          <w:szCs w:val="32"/>
        </w:rPr>
      </w:pPr>
      <w:r>
        <w:rPr>
          <w:rFonts w:ascii="仿宋" w:hAnsi="仿宋" w:eastAsia="仿宋"/>
          <w:b/>
          <w:bCs/>
          <w:sz w:val="32"/>
          <w:szCs w:val="32"/>
        </w:rPr>
        <w:t>（三）征求意见阶段</w:t>
      </w:r>
    </w:p>
    <w:p w14:paraId="51D5B950">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default" w:ascii="Times New Roman" w:hAnsi="Times New Roman" w:eastAsia="仿宋" w:cs="Times New Roman"/>
          <w:color w:val="000000"/>
          <w:sz w:val="32"/>
          <w:szCs w:val="32"/>
          <w:lang w:val="en-US" w:eastAsia="zh-CN"/>
        </w:rPr>
      </w:pPr>
      <w:r>
        <w:rPr>
          <w:rFonts w:hint="default" w:ascii="Times New Roman" w:hAnsi="Times New Roman" w:eastAsia="仿宋" w:cs="Times New Roman"/>
          <w:color w:val="000000"/>
          <w:sz w:val="32"/>
          <w:szCs w:val="32"/>
          <w:lang w:val="en-US" w:eastAsia="zh-CN"/>
        </w:rPr>
        <w:t>在征求意见过程中，严格遵循民主性、代表性和专业性等原则，广泛征集了内蒙古自治区农牧业科学院、内蒙古自治区林业科学研究院、内蒙古大学、内蒙古农业大学等科研、管理及推广单位专家的意见和建议。在此基础上，对征集的专家意见进行系统梳理与汇总，据此对标准文本进行修改完善，最终形成标准的征求意见稿。</w:t>
      </w:r>
    </w:p>
    <w:p w14:paraId="35826A0D">
      <w:pPr>
        <w:numPr>
          <w:ilvl w:val="0"/>
          <w:numId w:val="3"/>
        </w:numPr>
        <w:rPr>
          <w:rFonts w:ascii="仿宋" w:hAnsi="仿宋" w:eastAsia="仿宋"/>
          <w:b/>
          <w:bCs/>
          <w:sz w:val="32"/>
          <w:szCs w:val="32"/>
        </w:rPr>
      </w:pPr>
      <w:r>
        <w:rPr>
          <w:rFonts w:ascii="仿宋" w:hAnsi="仿宋" w:eastAsia="仿宋"/>
          <w:b/>
          <w:bCs/>
          <w:sz w:val="32"/>
          <w:szCs w:val="32"/>
        </w:rPr>
        <w:t>送审阶段</w:t>
      </w:r>
    </w:p>
    <w:p w14:paraId="0C6D5878">
      <w:pPr>
        <w:ind w:firstLine="640" w:firstLineChars="200"/>
        <w:jc w:val="both"/>
        <w:rPr>
          <w:rFonts w:hint="eastAsia"/>
          <w:lang w:val="en-US"/>
        </w:rPr>
      </w:pPr>
      <w:r>
        <w:rPr>
          <w:rFonts w:hint="eastAsia" w:ascii="仿宋" w:hAnsi="仿宋" w:eastAsia="仿宋"/>
          <w:sz w:val="32"/>
          <w:szCs w:val="32"/>
        </w:rPr>
        <w:t>202</w:t>
      </w:r>
      <w:r>
        <w:rPr>
          <w:rFonts w:hint="eastAsia" w:ascii="仿宋" w:hAnsi="仿宋" w:eastAsia="仿宋"/>
          <w:sz w:val="32"/>
          <w:szCs w:val="32"/>
          <w:lang w:val="en-US" w:eastAsia="zh-CN"/>
        </w:rPr>
        <w:t>6</w:t>
      </w:r>
      <w:r>
        <w:rPr>
          <w:rFonts w:hint="eastAsia" w:ascii="仿宋" w:hAnsi="仿宋" w:eastAsia="仿宋"/>
          <w:sz w:val="32"/>
          <w:szCs w:val="32"/>
        </w:rPr>
        <w:t>年</w:t>
      </w:r>
      <w:r>
        <w:rPr>
          <w:rFonts w:hint="eastAsia" w:ascii="仿宋" w:hAnsi="仿宋" w:eastAsia="仿宋"/>
          <w:sz w:val="32"/>
          <w:szCs w:val="32"/>
          <w:lang w:val="en-US" w:eastAsia="zh-CN"/>
        </w:rPr>
        <w:t>X</w:t>
      </w:r>
      <w:r>
        <w:rPr>
          <w:rFonts w:hint="eastAsia" w:ascii="仿宋" w:hAnsi="仿宋" w:eastAsia="仿宋"/>
          <w:sz w:val="32"/>
          <w:szCs w:val="32"/>
        </w:rPr>
        <w:t>月，编制组征求了相关领域</w:t>
      </w:r>
      <w:r>
        <w:rPr>
          <w:rFonts w:hint="eastAsia" w:ascii="仿宋" w:hAnsi="仿宋" w:eastAsia="仿宋"/>
          <w:sz w:val="32"/>
          <w:szCs w:val="32"/>
          <w:lang w:val="en-US" w:eastAsia="zh-CN"/>
        </w:rPr>
        <w:t>XX</w:t>
      </w:r>
      <w:r>
        <w:rPr>
          <w:rFonts w:hint="eastAsia" w:ascii="仿宋" w:hAnsi="仿宋" w:eastAsia="仿宋"/>
          <w:sz w:val="32"/>
          <w:szCs w:val="32"/>
        </w:rPr>
        <w:t>等</w:t>
      </w:r>
      <w:r>
        <w:rPr>
          <w:rFonts w:hint="eastAsia" w:ascii="仿宋" w:hAnsi="仿宋" w:eastAsia="仿宋"/>
          <w:sz w:val="32"/>
          <w:szCs w:val="32"/>
          <w:lang w:val="en-US" w:eastAsia="zh-CN"/>
        </w:rPr>
        <w:t>X</w:t>
      </w:r>
      <w:r>
        <w:rPr>
          <w:rFonts w:hint="eastAsia" w:ascii="仿宋" w:hAnsi="仿宋" w:eastAsia="仿宋"/>
          <w:sz w:val="32"/>
          <w:szCs w:val="32"/>
        </w:rPr>
        <w:t>家单位的</w:t>
      </w:r>
      <w:r>
        <w:rPr>
          <w:rFonts w:hint="eastAsia" w:ascii="仿宋" w:hAnsi="仿宋" w:eastAsia="仿宋"/>
          <w:sz w:val="32"/>
          <w:szCs w:val="32"/>
          <w:lang w:val="en-US" w:eastAsia="zh-CN"/>
        </w:rPr>
        <w:t>X</w:t>
      </w:r>
      <w:r>
        <w:rPr>
          <w:rFonts w:hint="eastAsia" w:ascii="仿宋" w:hAnsi="仿宋" w:eastAsia="仿宋"/>
          <w:sz w:val="32"/>
          <w:szCs w:val="32"/>
        </w:rPr>
        <w:t>位专家的意见和建议。编制组按照专家们的意见，对标准征求意见稿进行了进一步修改。编制组共收到</w:t>
      </w:r>
      <w:r>
        <w:rPr>
          <w:rFonts w:hint="eastAsia" w:ascii="仿宋" w:hAnsi="仿宋" w:eastAsia="仿宋"/>
          <w:sz w:val="32"/>
          <w:szCs w:val="32"/>
          <w:lang w:val="en-US" w:eastAsia="zh-CN"/>
        </w:rPr>
        <w:t>X</w:t>
      </w:r>
      <w:r>
        <w:rPr>
          <w:rFonts w:hint="eastAsia" w:ascii="仿宋" w:hAnsi="仿宋" w:eastAsia="仿宋"/>
          <w:sz w:val="32"/>
          <w:szCs w:val="32"/>
        </w:rPr>
        <w:t>条修改意见，其中</w:t>
      </w:r>
      <w:r>
        <w:rPr>
          <w:rFonts w:hint="eastAsia" w:ascii="仿宋" w:hAnsi="仿宋" w:eastAsia="仿宋"/>
          <w:sz w:val="32"/>
          <w:szCs w:val="32"/>
          <w:lang w:val="en-US" w:eastAsia="zh-CN"/>
        </w:rPr>
        <w:t>X</w:t>
      </w:r>
      <w:r>
        <w:rPr>
          <w:rFonts w:hint="eastAsia" w:ascii="仿宋" w:hAnsi="仿宋" w:eastAsia="仿宋"/>
          <w:sz w:val="32"/>
          <w:szCs w:val="32"/>
        </w:rPr>
        <w:t>条予以采纳，</w:t>
      </w:r>
      <w:r>
        <w:rPr>
          <w:rFonts w:hint="eastAsia" w:ascii="仿宋" w:hAnsi="仿宋" w:eastAsia="仿宋"/>
          <w:sz w:val="32"/>
          <w:szCs w:val="32"/>
          <w:lang w:val="en-US" w:eastAsia="zh-CN"/>
        </w:rPr>
        <w:t>X</w:t>
      </w:r>
      <w:r>
        <w:rPr>
          <w:rFonts w:hint="eastAsia" w:ascii="仿宋" w:hAnsi="仿宋" w:eastAsia="仿宋"/>
          <w:sz w:val="32"/>
          <w:szCs w:val="32"/>
        </w:rPr>
        <w:t>条部分采纳，</w:t>
      </w:r>
      <w:r>
        <w:rPr>
          <w:rFonts w:hint="eastAsia" w:ascii="仿宋" w:hAnsi="仿宋" w:eastAsia="仿宋"/>
          <w:sz w:val="32"/>
          <w:szCs w:val="32"/>
          <w:lang w:val="en-US" w:eastAsia="zh-CN"/>
        </w:rPr>
        <w:t>X</w:t>
      </w:r>
      <w:r>
        <w:rPr>
          <w:rFonts w:hint="eastAsia" w:ascii="仿宋" w:hAnsi="仿宋" w:eastAsia="仿宋"/>
          <w:sz w:val="32"/>
          <w:szCs w:val="32"/>
        </w:rPr>
        <w:t>条未采纳，完成征求意见稿的修改，形成送审稿。</w:t>
      </w:r>
    </w:p>
    <w:p w14:paraId="7532D9C3">
      <w:pPr>
        <w:rPr>
          <w:rFonts w:ascii="仿宋" w:hAnsi="仿宋" w:eastAsia="仿宋"/>
          <w:b/>
          <w:bCs/>
          <w:sz w:val="32"/>
          <w:szCs w:val="32"/>
        </w:rPr>
      </w:pPr>
      <w:r>
        <w:rPr>
          <w:rFonts w:ascii="仿宋" w:hAnsi="仿宋" w:eastAsia="仿宋"/>
          <w:b/>
          <w:bCs/>
          <w:sz w:val="32"/>
          <w:szCs w:val="32"/>
        </w:rPr>
        <w:t>（五）报批阶段</w:t>
      </w:r>
    </w:p>
    <w:p w14:paraId="5EEFF9A3">
      <w:pPr>
        <w:ind w:firstLine="640" w:firstLineChars="200"/>
        <w:jc w:val="both"/>
        <w:rPr>
          <w:rFonts w:ascii="仿宋" w:hAnsi="仿宋" w:eastAsia="仿宋"/>
          <w:sz w:val="32"/>
          <w:szCs w:val="32"/>
        </w:rPr>
      </w:pPr>
      <w:r>
        <w:rPr>
          <w:rFonts w:hint="eastAsia" w:ascii="仿宋" w:hAnsi="仿宋" w:eastAsia="仿宋"/>
          <w:sz w:val="32"/>
          <w:szCs w:val="32"/>
        </w:rPr>
        <w:t>202</w:t>
      </w:r>
      <w:r>
        <w:rPr>
          <w:rFonts w:hint="eastAsia" w:ascii="仿宋" w:hAnsi="仿宋" w:eastAsia="仿宋"/>
          <w:sz w:val="32"/>
          <w:szCs w:val="32"/>
          <w:lang w:val="en-US" w:eastAsia="zh-CN"/>
        </w:rPr>
        <w:t>6</w:t>
      </w:r>
      <w:r>
        <w:rPr>
          <w:rFonts w:hint="eastAsia" w:ascii="仿宋" w:hAnsi="仿宋" w:eastAsia="仿宋"/>
          <w:sz w:val="32"/>
          <w:szCs w:val="32"/>
        </w:rPr>
        <w:t>年</w:t>
      </w:r>
      <w:r>
        <w:rPr>
          <w:rFonts w:hint="eastAsia" w:ascii="仿宋" w:hAnsi="仿宋" w:eastAsia="仿宋"/>
          <w:sz w:val="32"/>
          <w:szCs w:val="32"/>
          <w:lang w:val="en-US" w:eastAsia="zh-CN"/>
        </w:rPr>
        <w:t>X</w:t>
      </w:r>
      <w:r>
        <w:rPr>
          <w:rFonts w:hint="eastAsia" w:ascii="仿宋" w:hAnsi="仿宋" w:eastAsia="仿宋"/>
          <w:sz w:val="32"/>
          <w:szCs w:val="32"/>
        </w:rPr>
        <w:t>月</w:t>
      </w:r>
      <w:r>
        <w:rPr>
          <w:rFonts w:hint="eastAsia" w:ascii="仿宋" w:hAnsi="仿宋" w:eastAsia="仿宋"/>
          <w:sz w:val="32"/>
          <w:szCs w:val="32"/>
          <w:lang w:val="en-US" w:eastAsia="zh-CN"/>
        </w:rPr>
        <w:t>X</w:t>
      </w:r>
      <w:r>
        <w:rPr>
          <w:rFonts w:hint="eastAsia" w:ascii="仿宋" w:hAnsi="仿宋" w:eastAsia="仿宋"/>
          <w:sz w:val="32"/>
          <w:szCs w:val="32"/>
        </w:rPr>
        <w:t>日，由内蒙古标准化协会组织召开《</w:t>
      </w:r>
      <w:r>
        <w:rPr>
          <w:rFonts w:hint="eastAsia" w:ascii="Times New Roman" w:hAnsi="Times New Roman" w:eastAsia="仿宋" w:cs="Times New Roman"/>
          <w:color w:val="000000"/>
          <w:sz w:val="32"/>
          <w:szCs w:val="32"/>
          <w:lang w:val="en-US" w:eastAsia="zh-CN"/>
        </w:rPr>
        <w:t>小麦族牧草种质资源评价鉴定技术规程</w:t>
      </w:r>
      <w:r>
        <w:rPr>
          <w:rFonts w:hint="eastAsia" w:ascii="仿宋" w:hAnsi="仿宋" w:eastAsia="仿宋"/>
          <w:sz w:val="32"/>
          <w:szCs w:val="32"/>
        </w:rPr>
        <w:t>》团体标准审查会，审查委员会听取标准起草组介绍标准编制说明</w:t>
      </w:r>
      <w:bookmarkStart w:id="1" w:name="_GoBack"/>
      <w:bookmarkEnd w:id="1"/>
      <w:r>
        <w:rPr>
          <w:rFonts w:hint="eastAsia" w:ascii="仿宋" w:hAnsi="仿宋" w:eastAsia="仿宋"/>
          <w:sz w:val="32"/>
          <w:szCs w:val="32"/>
        </w:rPr>
        <w:t>，对标准文本逐条审查，并形成会议纪要。</w:t>
      </w:r>
    </w:p>
    <w:p w14:paraId="62AA8FB8">
      <w:pPr>
        <w:ind w:firstLine="640" w:firstLineChars="200"/>
        <w:jc w:val="both"/>
        <w:rPr>
          <w:rFonts w:hint="eastAsia"/>
          <w:lang w:val="en-US"/>
        </w:rPr>
      </w:pPr>
      <w:r>
        <w:rPr>
          <w:rFonts w:hint="eastAsia" w:ascii="仿宋" w:hAnsi="仿宋" w:eastAsia="仿宋"/>
          <w:sz w:val="32"/>
          <w:szCs w:val="32"/>
        </w:rPr>
        <w:t>工作组认真听取审查意见，仔细整理会议纪要和修改意见，完善送审材料，形成报批稿，报送内蒙古标准化协会审批发布。</w:t>
      </w:r>
    </w:p>
    <w:p w14:paraId="63227CEE">
      <w:pPr>
        <w:rPr>
          <w:rFonts w:ascii="黑体" w:hAnsi="黑体" w:eastAsia="黑体"/>
          <w:sz w:val="32"/>
          <w:szCs w:val="32"/>
        </w:rPr>
      </w:pPr>
      <w:r>
        <w:rPr>
          <w:rFonts w:ascii="黑体" w:hAnsi="黑体" w:eastAsia="黑体"/>
          <w:sz w:val="32"/>
          <w:szCs w:val="32"/>
        </w:rPr>
        <w:t>四、制定标准的原则和依据，与现行法律、法规、标准的关系</w:t>
      </w:r>
    </w:p>
    <w:p w14:paraId="5C67AA9F">
      <w:pPr>
        <w:rPr>
          <w:rFonts w:ascii="仿宋" w:hAnsi="仿宋" w:eastAsia="仿宋"/>
          <w:b/>
          <w:bCs/>
          <w:color w:val="000000" w:themeColor="text1"/>
          <w:sz w:val="32"/>
          <w:szCs w:val="32"/>
          <w14:textFill>
            <w14:solidFill>
              <w14:schemeClr w14:val="tx1"/>
            </w14:solidFill>
          </w14:textFill>
        </w:rPr>
      </w:pPr>
      <w:r>
        <w:rPr>
          <w:rFonts w:hint="eastAsia" w:ascii="仿宋" w:hAnsi="仿宋" w:eastAsia="仿宋"/>
          <w:b/>
          <w:bCs/>
          <w:color w:val="000000" w:themeColor="text1"/>
          <w:sz w:val="32"/>
          <w:szCs w:val="32"/>
          <w14:textFill>
            <w14:solidFill>
              <w14:schemeClr w14:val="tx1"/>
            </w14:solidFill>
          </w14:textFill>
        </w:rPr>
        <w:t>（一）</w:t>
      </w:r>
      <w:r>
        <w:rPr>
          <w:rFonts w:ascii="仿宋" w:hAnsi="仿宋" w:eastAsia="仿宋"/>
          <w:b/>
          <w:bCs/>
          <w:color w:val="000000" w:themeColor="text1"/>
          <w:sz w:val="32"/>
          <w:szCs w:val="32"/>
          <w14:textFill>
            <w14:solidFill>
              <w14:schemeClr w14:val="tx1"/>
            </w14:solidFill>
          </w14:textFill>
        </w:rPr>
        <w:t>原则和依据</w:t>
      </w:r>
    </w:p>
    <w:p w14:paraId="55A86744">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Times New Roman" w:hAnsi="Times New Roman" w:eastAsia="仿宋" w:cs="Times New Roman"/>
          <w:color w:val="000000"/>
          <w:sz w:val="32"/>
          <w:szCs w:val="32"/>
          <w:lang w:val="en-US" w:eastAsia="zh-CN"/>
        </w:rPr>
      </w:pPr>
      <w:r>
        <w:rPr>
          <w:rFonts w:hint="eastAsia" w:ascii="Times New Roman" w:hAnsi="Times New Roman" w:eastAsia="仿宋" w:cs="Times New Roman"/>
          <w:color w:val="000000"/>
          <w:sz w:val="32"/>
          <w:szCs w:val="32"/>
          <w:lang w:val="en-US" w:eastAsia="zh-CN"/>
        </w:rPr>
        <w:t>1.系统性原则</w:t>
      </w:r>
    </w:p>
    <w:p w14:paraId="5FB66410">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Times New Roman" w:hAnsi="Times New Roman" w:eastAsia="仿宋" w:cs="Times New Roman"/>
          <w:color w:val="000000"/>
          <w:sz w:val="32"/>
          <w:szCs w:val="32"/>
          <w:lang w:val="en-US" w:eastAsia="zh-CN"/>
        </w:rPr>
      </w:pPr>
      <w:r>
        <w:rPr>
          <w:rFonts w:hint="eastAsia" w:ascii="Times New Roman" w:hAnsi="Times New Roman" w:eastAsia="仿宋" w:cs="Times New Roman"/>
          <w:color w:val="000000"/>
          <w:sz w:val="32"/>
          <w:szCs w:val="32"/>
          <w:lang w:val="en-US" w:eastAsia="zh-CN"/>
        </w:rPr>
        <w:t>在评价鉴定过程中，对植物形态、农艺性状、生理特性、品质指标以及抗逆性能等多个维度进行综合评价，从而实现对评价材料整体价值与潜在利用前景的系统性判断。</w:t>
      </w:r>
    </w:p>
    <w:p w14:paraId="1DD3B7F9">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Times New Roman" w:hAnsi="Times New Roman" w:eastAsia="仿宋" w:cs="Times New Roman"/>
          <w:color w:val="000000"/>
          <w:sz w:val="32"/>
          <w:szCs w:val="32"/>
          <w:lang w:val="en-US" w:eastAsia="zh-CN"/>
        </w:rPr>
      </w:pPr>
      <w:r>
        <w:rPr>
          <w:rFonts w:hint="eastAsia" w:ascii="Times New Roman" w:hAnsi="Times New Roman" w:eastAsia="仿宋" w:cs="Times New Roman"/>
          <w:color w:val="000000"/>
          <w:sz w:val="32"/>
          <w:szCs w:val="32"/>
          <w:lang w:val="en-US" w:eastAsia="zh-CN"/>
        </w:rPr>
        <w:t>2.统一性原则</w:t>
      </w:r>
    </w:p>
    <w:p w14:paraId="572E63DD">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Times New Roman" w:hAnsi="Times New Roman" w:eastAsia="仿宋" w:cs="Times New Roman"/>
          <w:color w:val="000000"/>
          <w:sz w:val="32"/>
          <w:szCs w:val="32"/>
          <w:lang w:val="en-US" w:eastAsia="zh-CN"/>
        </w:rPr>
      </w:pPr>
      <w:r>
        <w:rPr>
          <w:rFonts w:hint="eastAsia" w:ascii="Times New Roman" w:hAnsi="Times New Roman" w:eastAsia="仿宋" w:cs="Times New Roman"/>
          <w:color w:val="000000"/>
          <w:sz w:val="32"/>
          <w:szCs w:val="32"/>
          <w:lang w:val="en-US" w:eastAsia="zh-CN"/>
        </w:rPr>
        <w:t>在评价鉴定工作中，必须确保所采用的指标体系、评价方法、关键时期以及操作人员遵循的技术规程均实现标准化与一致性，以从根本上保障评价结果具有良好的可比性和高度的可重复性。</w:t>
      </w:r>
    </w:p>
    <w:p w14:paraId="476A89B7">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Times New Roman" w:hAnsi="Times New Roman" w:eastAsia="仿宋" w:cs="Times New Roman"/>
          <w:color w:val="000000"/>
          <w:sz w:val="32"/>
          <w:szCs w:val="32"/>
          <w:lang w:val="en-US" w:eastAsia="zh-CN"/>
        </w:rPr>
      </w:pPr>
      <w:r>
        <w:rPr>
          <w:rFonts w:hint="eastAsia" w:ascii="Times New Roman" w:hAnsi="Times New Roman" w:eastAsia="仿宋" w:cs="Times New Roman"/>
          <w:color w:val="000000"/>
          <w:sz w:val="32"/>
          <w:szCs w:val="32"/>
          <w:lang w:val="en-US" w:eastAsia="zh-CN"/>
        </w:rPr>
        <w:t>3.实用性原则</w:t>
      </w:r>
    </w:p>
    <w:p w14:paraId="5014E75D">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Times New Roman" w:hAnsi="Times New Roman" w:eastAsia="仿宋" w:cs="Times New Roman"/>
          <w:color w:val="000000"/>
          <w:sz w:val="32"/>
          <w:szCs w:val="32"/>
          <w:lang w:val="en-US" w:eastAsia="zh-CN"/>
        </w:rPr>
      </w:pPr>
      <w:r>
        <w:rPr>
          <w:rFonts w:hint="eastAsia" w:ascii="Times New Roman" w:hAnsi="Times New Roman" w:eastAsia="仿宋" w:cs="Times New Roman"/>
          <w:color w:val="000000"/>
          <w:sz w:val="32"/>
          <w:szCs w:val="32"/>
          <w:lang w:val="en-US" w:eastAsia="zh-CN"/>
        </w:rPr>
        <w:t>评价性状及相关数据，不仅在理论上科学、客观地揭示材料的核心属性与内在规律，还应在实践层面紧密贴合行业现状、生产需求和具体应用场景，从而使评价结果能切实服务于品种选育、生产管理、技术推广与决策支持等现实目标，最终实现理论严密性与实际应用价值的高度统一。</w:t>
      </w:r>
    </w:p>
    <w:p w14:paraId="5CDC3C66">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Times New Roman" w:hAnsi="Times New Roman" w:eastAsia="仿宋" w:cs="Times New Roman"/>
          <w:color w:val="000000"/>
          <w:sz w:val="32"/>
          <w:szCs w:val="32"/>
          <w:lang w:val="en-US" w:eastAsia="zh-CN"/>
        </w:rPr>
      </w:pPr>
      <w:bookmarkStart w:id="0" w:name="_Toc215564212"/>
      <w:r>
        <w:rPr>
          <w:rFonts w:hint="eastAsia" w:ascii="Times New Roman" w:hAnsi="Times New Roman" w:eastAsia="仿宋" w:cs="Times New Roman"/>
          <w:color w:val="000000"/>
          <w:sz w:val="32"/>
          <w:szCs w:val="32"/>
          <w:lang w:val="en-US" w:eastAsia="zh-CN"/>
        </w:rPr>
        <w:t>4.可操作性</w:t>
      </w:r>
      <w:bookmarkEnd w:id="0"/>
      <w:r>
        <w:rPr>
          <w:rFonts w:hint="eastAsia" w:ascii="Times New Roman" w:hAnsi="Times New Roman" w:eastAsia="仿宋" w:cs="Times New Roman"/>
          <w:color w:val="000000"/>
          <w:sz w:val="32"/>
          <w:szCs w:val="32"/>
          <w:lang w:val="en-US" w:eastAsia="zh-CN"/>
        </w:rPr>
        <w:t>原则</w:t>
      </w:r>
    </w:p>
    <w:p w14:paraId="2F1F2F43">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Times New Roman" w:hAnsi="Times New Roman" w:eastAsia="仿宋" w:cs="Times New Roman"/>
          <w:color w:val="000000"/>
          <w:sz w:val="32"/>
          <w:szCs w:val="32"/>
          <w:lang w:val="en-US" w:eastAsia="zh-CN"/>
        </w:rPr>
      </w:pPr>
      <w:r>
        <w:rPr>
          <w:rFonts w:hint="eastAsia" w:ascii="Times New Roman" w:hAnsi="Times New Roman" w:eastAsia="仿宋" w:cs="Times New Roman"/>
          <w:color w:val="000000"/>
          <w:sz w:val="32"/>
          <w:szCs w:val="32"/>
          <w:lang w:val="en-US" w:eastAsia="zh-CN"/>
        </w:rPr>
        <w:t>在评价鉴定过程中，所涉及的评价内容、指标体系与工作方法，其定义应清晰明确、无歧义，便于实际观察、测量与数据获取，实施流程应规范统一、标准明确，并具备良好的可重复性。同时，应配备相应的技术条件、仪器设备、专业人员能力等条件，为鉴定工作提供充分支持。</w:t>
      </w:r>
    </w:p>
    <w:p w14:paraId="0DBF4142">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Times New Roman" w:hAnsi="Times New Roman" w:eastAsia="仿宋" w:cs="Times New Roman"/>
          <w:color w:val="000000"/>
          <w:sz w:val="32"/>
          <w:szCs w:val="32"/>
          <w:lang w:val="en-US" w:eastAsia="zh-CN"/>
        </w:rPr>
      </w:pPr>
      <w:r>
        <w:rPr>
          <w:rFonts w:hint="eastAsia" w:ascii="Times New Roman" w:hAnsi="Times New Roman" w:eastAsia="仿宋" w:cs="Times New Roman"/>
          <w:color w:val="000000"/>
          <w:sz w:val="32"/>
          <w:szCs w:val="32"/>
          <w:lang w:val="en-US" w:eastAsia="zh-CN"/>
        </w:rPr>
        <w:t>5.普适性原则</w:t>
      </w:r>
    </w:p>
    <w:p w14:paraId="6EE4A5E5">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Times New Roman" w:hAnsi="Times New Roman" w:eastAsia="仿宋" w:cs="Times New Roman"/>
          <w:color w:val="000000"/>
          <w:sz w:val="32"/>
          <w:szCs w:val="32"/>
          <w:lang w:val="en-US" w:eastAsia="zh-CN"/>
        </w:rPr>
      </w:pPr>
      <w:r>
        <w:rPr>
          <w:rFonts w:hint="eastAsia" w:ascii="Times New Roman" w:hAnsi="Times New Roman" w:eastAsia="仿宋" w:cs="Times New Roman"/>
          <w:color w:val="000000"/>
          <w:sz w:val="32"/>
          <w:szCs w:val="32"/>
          <w:lang w:val="en-US" w:eastAsia="zh-CN"/>
        </w:rPr>
        <w:t>在设计评价鉴定指标与方法时，各级科研单位、高等院校及企事业单位均可参与。相应地，不同背景和层次的研究人员也都能开展此项评价鉴定工作，整个领域不存在固有的行业壁垒，评价鉴定内容与指标体系具有广泛的适用性。</w:t>
      </w:r>
    </w:p>
    <w:p w14:paraId="51EBBA7E">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Times New Roman" w:hAnsi="Times New Roman" w:eastAsia="仿宋" w:cs="Times New Roman"/>
          <w:color w:val="000000"/>
          <w:sz w:val="32"/>
          <w:szCs w:val="32"/>
          <w:lang w:val="en-US" w:eastAsia="zh-CN"/>
        </w:rPr>
      </w:pPr>
      <w:r>
        <w:rPr>
          <w:rFonts w:hint="eastAsia" w:ascii="Times New Roman" w:hAnsi="Times New Roman" w:eastAsia="仿宋" w:cs="Times New Roman"/>
          <w:color w:val="000000"/>
          <w:sz w:val="32"/>
          <w:szCs w:val="32"/>
          <w:lang w:val="en-US" w:eastAsia="zh-CN"/>
        </w:rPr>
        <w:t>本文件按照GB/T 1.1－2020《标准化工作导则第1部分：标准化文件的结构和起草规则》的规定起草。</w:t>
      </w:r>
    </w:p>
    <w:p w14:paraId="2DBD5F77">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Times New Roman" w:hAnsi="Times New Roman" w:eastAsia="仿宋" w:cs="Times New Roman"/>
          <w:color w:val="000000"/>
          <w:sz w:val="32"/>
          <w:szCs w:val="32"/>
          <w:lang w:val="en-US" w:eastAsia="zh-CN"/>
        </w:rPr>
      </w:pPr>
      <w:r>
        <w:rPr>
          <w:rFonts w:hint="eastAsia" w:ascii="Times New Roman" w:hAnsi="Times New Roman" w:eastAsia="仿宋" w:cs="Times New Roman"/>
          <w:color w:val="000000"/>
          <w:sz w:val="32"/>
          <w:szCs w:val="32"/>
          <w:lang w:val="en-US" w:eastAsia="zh-CN"/>
        </w:rPr>
        <w:t>同时依据下列资料编制：</w:t>
      </w:r>
    </w:p>
    <w:p w14:paraId="0094D85F">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Times New Roman" w:hAnsi="Times New Roman" w:eastAsia="仿宋" w:cs="Times New Roman"/>
          <w:color w:val="000000"/>
          <w:sz w:val="32"/>
          <w:szCs w:val="32"/>
          <w:lang w:val="en-US" w:eastAsia="zh-CN"/>
        </w:rPr>
      </w:pPr>
      <w:r>
        <w:rPr>
          <w:rFonts w:hint="eastAsia" w:ascii="Times New Roman" w:hAnsi="Times New Roman" w:eastAsia="仿宋" w:cs="Times New Roman"/>
          <w:color w:val="000000"/>
          <w:sz w:val="32"/>
          <w:szCs w:val="32"/>
          <w:lang w:val="en-US" w:eastAsia="zh-CN"/>
        </w:rPr>
        <w:t>GB/T 2588 禾本科草种质资源描述与数据采集规范</w:t>
      </w:r>
    </w:p>
    <w:p w14:paraId="0AAE0DDD">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Times New Roman" w:hAnsi="Times New Roman" w:eastAsia="仿宋" w:cs="Times New Roman"/>
          <w:color w:val="000000"/>
          <w:sz w:val="32"/>
          <w:szCs w:val="32"/>
          <w:lang w:val="en-US" w:eastAsia="zh-CN"/>
        </w:rPr>
      </w:pPr>
      <w:r>
        <w:rPr>
          <w:rFonts w:hint="eastAsia" w:ascii="Times New Roman" w:hAnsi="Times New Roman" w:eastAsia="仿宋" w:cs="Times New Roman"/>
          <w:color w:val="000000"/>
          <w:sz w:val="32"/>
          <w:szCs w:val="32"/>
          <w:lang w:val="en-US" w:eastAsia="zh-CN"/>
        </w:rPr>
        <w:t>GB/T 6432 饲料中粗蛋白测定方法</w:t>
      </w:r>
    </w:p>
    <w:p w14:paraId="65A6EDB5">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Times New Roman" w:hAnsi="Times New Roman" w:eastAsia="仿宋" w:cs="Times New Roman"/>
          <w:color w:val="000000"/>
          <w:sz w:val="32"/>
          <w:szCs w:val="32"/>
          <w:lang w:val="en-US" w:eastAsia="zh-CN"/>
        </w:rPr>
      </w:pPr>
      <w:r>
        <w:rPr>
          <w:rFonts w:hint="eastAsia" w:ascii="Times New Roman" w:hAnsi="Times New Roman" w:eastAsia="仿宋" w:cs="Times New Roman"/>
          <w:color w:val="000000"/>
          <w:sz w:val="32"/>
          <w:szCs w:val="32"/>
          <w:lang w:val="en-US" w:eastAsia="zh-CN"/>
        </w:rPr>
        <w:t>GB/T 6433 饲料粗脂肪测定方法</w:t>
      </w:r>
    </w:p>
    <w:p w14:paraId="3D263049">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Times New Roman" w:hAnsi="Times New Roman" w:eastAsia="仿宋" w:cs="Times New Roman"/>
          <w:color w:val="000000"/>
          <w:sz w:val="32"/>
          <w:szCs w:val="32"/>
          <w:lang w:val="en-US" w:eastAsia="zh-CN"/>
        </w:rPr>
      </w:pPr>
      <w:r>
        <w:rPr>
          <w:rFonts w:hint="eastAsia" w:ascii="Times New Roman" w:hAnsi="Times New Roman" w:eastAsia="仿宋" w:cs="Times New Roman"/>
          <w:color w:val="000000"/>
          <w:sz w:val="32"/>
          <w:szCs w:val="32"/>
          <w:lang w:val="en-US" w:eastAsia="zh-CN"/>
        </w:rPr>
        <w:t>GB/T 6434 饲料中粗纤维测定方法 过滤法</w:t>
      </w:r>
    </w:p>
    <w:p w14:paraId="5351C36E">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Times New Roman" w:hAnsi="Times New Roman" w:eastAsia="仿宋" w:cs="Times New Roman"/>
          <w:color w:val="000000"/>
          <w:sz w:val="32"/>
          <w:szCs w:val="32"/>
          <w:lang w:val="en-US" w:eastAsia="zh-CN"/>
        </w:rPr>
      </w:pPr>
      <w:r>
        <w:rPr>
          <w:rFonts w:hint="eastAsia" w:ascii="Times New Roman" w:hAnsi="Times New Roman" w:eastAsia="仿宋" w:cs="Times New Roman"/>
          <w:color w:val="000000"/>
          <w:sz w:val="32"/>
          <w:szCs w:val="32"/>
          <w:lang w:val="en-US" w:eastAsia="zh-CN"/>
        </w:rPr>
        <w:t>GB/T 6435 饲料中水分的测定</w:t>
      </w:r>
    </w:p>
    <w:p w14:paraId="2BA8C89E">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Times New Roman" w:hAnsi="Times New Roman" w:eastAsia="仿宋" w:cs="Times New Roman"/>
          <w:color w:val="000000"/>
          <w:sz w:val="32"/>
          <w:szCs w:val="32"/>
          <w:lang w:val="en-US" w:eastAsia="zh-CN"/>
        </w:rPr>
      </w:pPr>
      <w:r>
        <w:rPr>
          <w:rFonts w:hint="eastAsia" w:ascii="Times New Roman" w:hAnsi="Times New Roman" w:eastAsia="仿宋" w:cs="Times New Roman"/>
          <w:color w:val="000000"/>
          <w:sz w:val="32"/>
          <w:szCs w:val="32"/>
          <w:lang w:val="en-US" w:eastAsia="zh-CN"/>
        </w:rPr>
        <w:t>GB/T 6438 饲料中粗灰分的测定</w:t>
      </w:r>
    </w:p>
    <w:p w14:paraId="77680E0C">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Times New Roman" w:hAnsi="Times New Roman" w:eastAsia="仿宋" w:cs="Times New Roman"/>
          <w:color w:val="000000"/>
          <w:sz w:val="32"/>
          <w:szCs w:val="32"/>
          <w:lang w:val="en-US" w:eastAsia="zh-CN"/>
        </w:rPr>
      </w:pPr>
      <w:r>
        <w:rPr>
          <w:rFonts w:hint="eastAsia" w:ascii="Times New Roman" w:hAnsi="Times New Roman" w:eastAsia="仿宋" w:cs="Times New Roman"/>
          <w:color w:val="000000"/>
          <w:sz w:val="32"/>
          <w:szCs w:val="32"/>
          <w:lang w:val="en-US" w:eastAsia="zh-CN"/>
        </w:rPr>
        <w:t>GB/T 20806 饲料中性洗涤纤维的测定</w:t>
      </w:r>
    </w:p>
    <w:p w14:paraId="5B24E995">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Times New Roman" w:hAnsi="Times New Roman" w:eastAsia="仿宋" w:cs="Times New Roman"/>
          <w:color w:val="000000"/>
          <w:sz w:val="32"/>
          <w:szCs w:val="32"/>
          <w:lang w:val="en-US" w:eastAsia="zh-CN"/>
        </w:rPr>
      </w:pPr>
      <w:r>
        <w:rPr>
          <w:rFonts w:hint="eastAsia" w:ascii="Times New Roman" w:hAnsi="Times New Roman" w:eastAsia="仿宋" w:cs="Times New Roman"/>
          <w:color w:val="000000"/>
          <w:sz w:val="32"/>
          <w:szCs w:val="32"/>
          <w:lang w:val="en-US" w:eastAsia="zh-CN"/>
        </w:rPr>
        <w:t>NY/T 1459 饲料中酸性洗涤纤维的测定</w:t>
      </w:r>
    </w:p>
    <w:p w14:paraId="15A78999">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Times New Roman" w:hAnsi="Times New Roman" w:eastAsia="仿宋" w:cs="Times New Roman"/>
          <w:color w:val="000000"/>
          <w:sz w:val="32"/>
          <w:szCs w:val="32"/>
          <w:lang w:val="en-US" w:eastAsia="zh-CN"/>
        </w:rPr>
      </w:pPr>
      <w:r>
        <w:rPr>
          <w:rFonts w:hint="eastAsia" w:ascii="Times New Roman" w:hAnsi="Times New Roman" w:eastAsia="仿宋" w:cs="Times New Roman"/>
          <w:color w:val="000000"/>
          <w:sz w:val="32"/>
          <w:szCs w:val="32"/>
          <w:lang w:val="en-US" w:eastAsia="zh-CN"/>
        </w:rPr>
        <w:t>NY/T 2127 牧草种质资源田间评价技术规程</w:t>
      </w:r>
    </w:p>
    <w:p w14:paraId="7756A676">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Times New Roman" w:hAnsi="Times New Roman" w:eastAsia="仿宋" w:cs="Times New Roman"/>
          <w:color w:val="000000"/>
          <w:sz w:val="32"/>
          <w:szCs w:val="32"/>
          <w:lang w:val="en-US" w:eastAsia="zh-CN"/>
        </w:rPr>
      </w:pPr>
      <w:r>
        <w:rPr>
          <w:rFonts w:hint="eastAsia" w:ascii="Times New Roman" w:hAnsi="Times New Roman" w:eastAsia="仿宋" w:cs="Times New Roman"/>
          <w:color w:val="000000"/>
          <w:sz w:val="32"/>
          <w:szCs w:val="32"/>
          <w:lang w:val="en-US" w:eastAsia="zh-CN"/>
        </w:rPr>
        <w:t>NY/T 2946 牧草种质资源田间评价技术规程</w:t>
      </w:r>
    </w:p>
    <w:p w14:paraId="31E6F530">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Times New Roman" w:hAnsi="Times New Roman" w:eastAsia="仿宋" w:cs="Times New Roman"/>
          <w:color w:val="000000"/>
          <w:sz w:val="32"/>
          <w:szCs w:val="32"/>
          <w:lang w:val="en-US" w:eastAsia="zh-CN"/>
        </w:rPr>
      </w:pPr>
      <w:r>
        <w:rPr>
          <w:rFonts w:hint="eastAsia" w:ascii="Times New Roman" w:hAnsi="Times New Roman" w:eastAsia="仿宋" w:cs="Times New Roman"/>
          <w:color w:val="000000"/>
          <w:sz w:val="32"/>
          <w:szCs w:val="32"/>
          <w:lang w:val="en-US" w:eastAsia="zh-CN"/>
        </w:rPr>
        <w:t>NB/T 10767  木质纤维素类生物质原料化学成分的测定 第4部分：可溶性糖的测定</w:t>
      </w:r>
    </w:p>
    <w:p w14:paraId="560AA01A">
      <w:pPr>
        <w:rPr>
          <w:rFonts w:ascii="仿宋" w:hAnsi="仿宋" w:eastAsia="仿宋"/>
          <w:b/>
          <w:bCs/>
          <w:color w:val="000000" w:themeColor="text1"/>
          <w:sz w:val="32"/>
          <w:szCs w:val="32"/>
          <w14:textFill>
            <w14:solidFill>
              <w14:schemeClr w14:val="tx1"/>
            </w14:solidFill>
          </w14:textFill>
        </w:rPr>
      </w:pPr>
      <w:r>
        <w:rPr>
          <w:rFonts w:hint="eastAsia" w:ascii="仿宋" w:hAnsi="仿宋" w:eastAsia="仿宋"/>
          <w:b/>
          <w:bCs/>
          <w:color w:val="000000" w:themeColor="text1"/>
          <w:sz w:val="32"/>
          <w:szCs w:val="32"/>
          <w14:textFill>
            <w14:solidFill>
              <w14:schemeClr w14:val="tx1"/>
            </w14:solidFill>
          </w14:textFill>
        </w:rPr>
        <w:t>（二）</w:t>
      </w:r>
      <w:r>
        <w:rPr>
          <w:rFonts w:ascii="仿宋" w:hAnsi="仿宋" w:eastAsia="仿宋"/>
          <w:b/>
          <w:bCs/>
          <w:color w:val="000000" w:themeColor="text1"/>
          <w:sz w:val="32"/>
          <w:szCs w:val="32"/>
          <w14:textFill>
            <w14:solidFill>
              <w14:schemeClr w14:val="tx1"/>
            </w14:solidFill>
          </w14:textFill>
        </w:rPr>
        <w:t>与现行法律、法规、标准的关系</w:t>
      </w:r>
    </w:p>
    <w:p w14:paraId="32763B4D">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Times New Roman" w:hAnsi="Times New Roman" w:eastAsia="仿宋" w:cs="Times New Roman"/>
          <w:color w:val="000000"/>
          <w:sz w:val="32"/>
          <w:szCs w:val="32"/>
          <w:lang w:val="en-US" w:eastAsia="zh-CN"/>
        </w:rPr>
      </w:pPr>
      <w:r>
        <w:rPr>
          <w:rFonts w:hint="default" w:ascii="Times New Roman" w:hAnsi="Times New Roman" w:eastAsia="仿宋" w:cs="Times New Roman"/>
          <w:color w:val="000000"/>
          <w:sz w:val="32"/>
          <w:szCs w:val="32"/>
          <w:lang w:val="en-US" w:eastAsia="zh-CN"/>
        </w:rPr>
        <w:t>本标准的制定，紧密契合国家关于农业种质资源保护与利用的战略部署。以《国务院办公厅关于加强农业种质资源保护和利用的意见》（国办发〔2019〕56号）等核心政策文件为根本遵循，全面落实种质资源精准鉴定与高效利用的工作要求，为小麦族植物种质资源的系统化评价鉴定提供了坚实的政策依据。</w:t>
      </w:r>
    </w:p>
    <w:p w14:paraId="1ACBFD02">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default" w:ascii="Times New Roman" w:hAnsi="Times New Roman" w:eastAsia="仿宋" w:cs="Times New Roman"/>
          <w:color w:val="000000"/>
          <w:sz w:val="32"/>
          <w:szCs w:val="32"/>
          <w:lang w:val="en-US" w:eastAsia="zh-CN"/>
        </w:rPr>
      </w:pPr>
      <w:r>
        <w:rPr>
          <w:rFonts w:hint="default" w:ascii="Times New Roman" w:hAnsi="Times New Roman" w:eastAsia="仿宋" w:cs="Times New Roman"/>
          <w:color w:val="000000"/>
          <w:sz w:val="32"/>
          <w:szCs w:val="32"/>
          <w:lang w:val="en-US" w:eastAsia="zh-CN"/>
        </w:rPr>
        <w:t>在技术内容上，本标准以现行国家标准和行业标准的通用技术要求为基础，构建协调统一的技术框架。其中，评价鉴定方法引用了NY/T 2127等相关技术规程，测定方法则依据GB/T 6432、GB/T 6433等现行标准，确保与现有标准体系形成有效衔接。针对当前标准在小麦族植物覆盖范围方面的不足，本标准进一步面向该族植物种质资源的共性评价鉴定需求，提供了上位技术参考，推动形成国家与地方标准协同发展的技术支撑体系，显著拓展了标准的适用对象范围。</w:t>
      </w:r>
    </w:p>
    <w:p w14:paraId="561AB141">
      <w:pPr>
        <w:rPr>
          <w:rFonts w:ascii="黑体" w:hAnsi="黑体" w:eastAsia="黑体"/>
          <w:sz w:val="32"/>
          <w:szCs w:val="32"/>
        </w:rPr>
      </w:pPr>
      <w:r>
        <w:rPr>
          <w:rFonts w:ascii="黑体" w:hAnsi="黑体" w:eastAsia="黑体"/>
          <w:sz w:val="32"/>
          <w:szCs w:val="32"/>
        </w:rPr>
        <w:t>五、主要条款的说明，主要技术指标、参数、试验验证的论述</w:t>
      </w:r>
    </w:p>
    <w:p w14:paraId="6ACDB41D">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Times New Roman" w:hAnsi="Times New Roman" w:eastAsia="仿宋" w:cs="Times New Roman"/>
          <w:color w:val="000000"/>
          <w:sz w:val="32"/>
          <w:szCs w:val="32"/>
          <w:lang w:val="en-US" w:eastAsia="zh-CN"/>
        </w:rPr>
      </w:pPr>
      <w:r>
        <w:rPr>
          <w:rFonts w:hint="eastAsia" w:ascii="Times New Roman" w:hAnsi="Times New Roman" w:eastAsia="仿宋" w:cs="Times New Roman"/>
          <w:color w:val="000000"/>
          <w:sz w:val="32"/>
          <w:szCs w:val="32"/>
          <w:lang w:val="en-US" w:eastAsia="zh-CN"/>
        </w:rPr>
        <w:t>1、主要条款说明</w:t>
      </w:r>
    </w:p>
    <w:p w14:paraId="248FB733">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default" w:ascii="Times New Roman" w:hAnsi="Times New Roman" w:eastAsia="仿宋" w:cs="Times New Roman"/>
          <w:color w:val="000000"/>
          <w:sz w:val="32"/>
          <w:szCs w:val="32"/>
          <w:lang w:val="en-US" w:eastAsia="zh-CN"/>
        </w:rPr>
      </w:pPr>
      <w:r>
        <w:rPr>
          <w:rFonts w:hint="default" w:ascii="Times New Roman" w:hAnsi="Times New Roman" w:eastAsia="仿宋" w:cs="Times New Roman"/>
          <w:color w:val="000000"/>
          <w:sz w:val="32"/>
          <w:szCs w:val="32"/>
          <w:lang w:val="en-US" w:eastAsia="zh-CN"/>
        </w:rPr>
        <w:t>本标准所包含的范围、规范性引用文件、术语和定义、测定内容、测定指标及技术要求，基于</w:t>
      </w:r>
      <w:r>
        <w:rPr>
          <w:rFonts w:hint="eastAsia" w:ascii="Times New Roman" w:hAnsi="Times New Roman" w:eastAsia="仿宋" w:cs="Times New Roman"/>
          <w:color w:val="000000"/>
          <w:sz w:val="32"/>
          <w:szCs w:val="32"/>
          <w:lang w:val="en-US" w:eastAsia="zh-CN"/>
        </w:rPr>
        <w:t>较为</w:t>
      </w:r>
      <w:r>
        <w:rPr>
          <w:rFonts w:hint="default" w:ascii="Times New Roman" w:hAnsi="Times New Roman" w:eastAsia="仿宋" w:cs="Times New Roman"/>
          <w:color w:val="000000"/>
          <w:sz w:val="32"/>
          <w:szCs w:val="32"/>
          <w:lang w:val="en-US" w:eastAsia="zh-CN"/>
        </w:rPr>
        <w:t>充分的田间实践，兼顾生产实际需求，力求</w:t>
      </w:r>
      <w:r>
        <w:rPr>
          <w:rFonts w:hint="eastAsia" w:ascii="Times New Roman" w:hAnsi="Times New Roman" w:eastAsia="仿宋" w:cs="Times New Roman"/>
          <w:color w:val="000000"/>
          <w:sz w:val="32"/>
          <w:szCs w:val="32"/>
          <w:lang w:val="en-US" w:eastAsia="zh-CN"/>
        </w:rPr>
        <w:t>简明</w:t>
      </w:r>
      <w:r>
        <w:rPr>
          <w:rFonts w:hint="default" w:ascii="Times New Roman" w:hAnsi="Times New Roman" w:eastAsia="仿宋" w:cs="Times New Roman"/>
          <w:color w:val="000000"/>
          <w:sz w:val="32"/>
          <w:szCs w:val="32"/>
          <w:lang w:val="en-US" w:eastAsia="zh-CN"/>
        </w:rPr>
        <w:t>准确地反映种质资源的特性，并经标准起草小组讨论、征求意见、预审后共同总结得出。</w:t>
      </w:r>
    </w:p>
    <w:p w14:paraId="64BA26E8">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default" w:ascii="Times New Roman" w:hAnsi="Times New Roman" w:eastAsia="仿宋" w:cs="Times New Roman"/>
          <w:color w:val="000000"/>
          <w:sz w:val="32"/>
          <w:szCs w:val="32"/>
          <w:lang w:val="en-US" w:eastAsia="zh-CN"/>
        </w:rPr>
      </w:pPr>
      <w:r>
        <w:rPr>
          <w:rFonts w:hint="eastAsia" w:ascii="Times New Roman" w:hAnsi="Times New Roman" w:eastAsia="仿宋" w:cs="Times New Roman"/>
          <w:color w:val="000000"/>
          <w:sz w:val="32"/>
          <w:szCs w:val="32"/>
          <w:lang w:val="en-US" w:eastAsia="zh-CN"/>
        </w:rPr>
        <w:t>植物学特征测定描述，</w:t>
      </w:r>
      <w:r>
        <w:rPr>
          <w:rFonts w:hint="default" w:ascii="Times New Roman" w:hAnsi="Times New Roman" w:eastAsia="仿宋" w:cs="Times New Roman"/>
          <w:color w:val="000000"/>
          <w:sz w:val="32"/>
          <w:szCs w:val="32"/>
          <w:lang w:val="en-US" w:eastAsia="zh-CN"/>
        </w:rPr>
        <w:t>在植物学特征测定描述中，综合</w:t>
      </w:r>
      <w:r>
        <w:rPr>
          <w:rFonts w:hint="eastAsia" w:ascii="Times New Roman" w:hAnsi="Times New Roman" w:eastAsia="仿宋" w:cs="Times New Roman"/>
          <w:color w:val="000000"/>
          <w:sz w:val="32"/>
          <w:szCs w:val="32"/>
          <w:lang w:val="en-US" w:eastAsia="zh-CN"/>
        </w:rPr>
        <w:t>确定</w:t>
      </w:r>
      <w:r>
        <w:rPr>
          <w:rFonts w:hint="default" w:ascii="Times New Roman" w:hAnsi="Times New Roman" w:eastAsia="仿宋" w:cs="Times New Roman"/>
          <w:color w:val="000000"/>
          <w:sz w:val="32"/>
          <w:szCs w:val="32"/>
          <w:lang w:val="en-US" w:eastAsia="zh-CN"/>
        </w:rPr>
        <w:t>，选取株高、叶长、叶宽、茎粗、花序长、花序宽、小穗长、小穗宽、小穗数及小花数共10个指标。通过对上述指标的测定与分析，即可全面、准确地</w:t>
      </w:r>
      <w:r>
        <w:rPr>
          <w:rFonts w:hint="eastAsia" w:ascii="Times New Roman" w:hAnsi="Times New Roman" w:eastAsia="仿宋" w:cs="Times New Roman"/>
          <w:color w:val="000000"/>
          <w:sz w:val="32"/>
          <w:szCs w:val="32"/>
          <w:lang w:val="en-US" w:eastAsia="zh-CN"/>
        </w:rPr>
        <w:t>掌握</w:t>
      </w:r>
      <w:r>
        <w:rPr>
          <w:rFonts w:hint="default" w:ascii="Times New Roman" w:hAnsi="Times New Roman" w:eastAsia="仿宋" w:cs="Times New Roman"/>
          <w:color w:val="000000"/>
          <w:sz w:val="32"/>
          <w:szCs w:val="32"/>
          <w:lang w:val="en-US" w:eastAsia="zh-CN"/>
        </w:rPr>
        <w:t>评价鉴定</w:t>
      </w:r>
      <w:r>
        <w:rPr>
          <w:rFonts w:hint="eastAsia" w:ascii="Times New Roman" w:hAnsi="Times New Roman" w:eastAsia="仿宋" w:cs="Times New Roman"/>
          <w:color w:val="000000"/>
          <w:sz w:val="32"/>
          <w:szCs w:val="32"/>
          <w:lang w:val="en-US" w:eastAsia="zh-CN"/>
        </w:rPr>
        <w:t>种类</w:t>
      </w:r>
      <w:r>
        <w:rPr>
          <w:rFonts w:hint="default" w:ascii="Times New Roman" w:hAnsi="Times New Roman" w:eastAsia="仿宋" w:cs="Times New Roman"/>
          <w:color w:val="000000"/>
          <w:sz w:val="32"/>
          <w:szCs w:val="32"/>
          <w:lang w:val="en-US" w:eastAsia="zh-CN"/>
        </w:rPr>
        <w:t>的植物学特征。以冰草为例，本研究在中国农业科学院草原研究所沙尔沁基地对205份冰草种质资源进行了植物学特征评价鉴定。结果表明，上述10个指标能够较好地反映种质资源的</w:t>
      </w:r>
      <w:r>
        <w:rPr>
          <w:rFonts w:hint="eastAsia" w:ascii="Times New Roman" w:hAnsi="Times New Roman" w:eastAsia="仿宋" w:cs="Times New Roman"/>
          <w:color w:val="000000"/>
          <w:sz w:val="32"/>
          <w:szCs w:val="32"/>
          <w:lang w:val="en-US" w:eastAsia="zh-CN"/>
        </w:rPr>
        <w:t>植物学</w:t>
      </w:r>
      <w:r>
        <w:rPr>
          <w:rFonts w:hint="default" w:ascii="Times New Roman" w:hAnsi="Times New Roman" w:eastAsia="仿宋" w:cs="Times New Roman"/>
          <w:color w:val="000000"/>
          <w:sz w:val="32"/>
          <w:szCs w:val="32"/>
          <w:lang w:val="en-US" w:eastAsia="zh-CN"/>
        </w:rPr>
        <w:t>特性。</w:t>
      </w:r>
    </w:p>
    <w:p w14:paraId="15E3FEB0">
      <w:pPr>
        <w:keepNext w:val="0"/>
        <w:keepLines w:val="0"/>
        <w:widowControl w:val="0"/>
        <w:suppressLineNumbers w:val="0"/>
        <w:spacing w:before="0" w:beforeAutospacing="0" w:after="0" w:afterAutospacing="0" w:line="360" w:lineRule="auto"/>
        <w:ind w:left="0" w:right="0" w:firstLine="300" w:firstLineChars="200"/>
        <w:jc w:val="center"/>
        <w:rPr>
          <w:rFonts w:hint="default" w:ascii="Times New Roman" w:hAnsi="Times New Roman" w:eastAsia="宋体" w:cs="Times New Roman"/>
          <w:sz w:val="15"/>
          <w:szCs w:val="15"/>
          <w:lang w:val="en-US"/>
        </w:rPr>
      </w:pPr>
      <w:r>
        <w:rPr>
          <w:rFonts w:hint="eastAsia" w:ascii="Times New Roman" w:hAnsi="Times New Roman" w:eastAsia="宋体" w:cs="Times New Roman"/>
          <w:kern w:val="2"/>
          <w:sz w:val="15"/>
          <w:szCs w:val="15"/>
          <w:lang w:val="en-US" w:eastAsia="zh-CN" w:bidi="ar"/>
          <w14:ligatures w14:val="standardContextual"/>
        </w:rPr>
        <w:t>表</w:t>
      </w:r>
      <w:r>
        <w:rPr>
          <w:rFonts w:hint="default" w:ascii="Times New Roman" w:hAnsi="Times New Roman" w:eastAsia="宋体" w:cs="Times New Roman"/>
          <w:kern w:val="2"/>
          <w:sz w:val="15"/>
          <w:szCs w:val="15"/>
          <w:lang w:val="en-US" w:eastAsia="zh-CN" w:bidi="ar"/>
          <w14:ligatures w14:val="standardContextual"/>
        </w:rPr>
        <w:t xml:space="preserve">1 </w:t>
      </w:r>
      <w:r>
        <w:rPr>
          <w:rFonts w:hint="eastAsia" w:ascii="Times New Roman" w:hAnsi="Times New Roman" w:eastAsia="宋体" w:cs="Times New Roman"/>
          <w:kern w:val="2"/>
          <w:sz w:val="15"/>
          <w:szCs w:val="15"/>
          <w:lang w:val="en-US" w:eastAsia="zh-CN" w:bidi="ar"/>
          <w14:ligatures w14:val="standardContextual"/>
        </w:rPr>
        <w:t>内蒙古</w:t>
      </w:r>
      <w:r>
        <w:rPr>
          <w:rFonts w:hint="default" w:ascii="Times New Roman" w:hAnsi="Times New Roman" w:eastAsia="宋体" w:cs="Times New Roman"/>
          <w:kern w:val="2"/>
          <w:sz w:val="15"/>
          <w:szCs w:val="15"/>
          <w:lang w:val="en-US" w:eastAsia="zh-CN" w:bidi="ar"/>
          <w14:ligatures w14:val="standardContextual"/>
        </w:rPr>
        <w:t>205</w:t>
      </w:r>
      <w:r>
        <w:rPr>
          <w:rFonts w:hint="eastAsia" w:ascii="Times New Roman" w:hAnsi="Times New Roman" w:eastAsia="宋体" w:cs="Times New Roman"/>
          <w:kern w:val="2"/>
          <w:sz w:val="15"/>
          <w:szCs w:val="15"/>
          <w:lang w:val="en-US" w:eastAsia="zh-CN" w:bidi="ar"/>
          <w14:ligatures w14:val="standardContextual"/>
        </w:rPr>
        <w:t>份冰草属种质资源</w:t>
      </w:r>
      <w:r>
        <w:rPr>
          <w:rFonts w:hint="default" w:ascii="Times New Roman" w:hAnsi="Times New Roman" w:eastAsia="宋体" w:cs="Times New Roman"/>
          <w:kern w:val="2"/>
          <w:sz w:val="15"/>
          <w:szCs w:val="15"/>
          <w:lang w:val="en-US" w:eastAsia="zh-CN" w:bidi="ar"/>
          <w14:ligatures w14:val="standardContextual"/>
        </w:rPr>
        <w:t>205</w:t>
      </w:r>
      <w:r>
        <w:rPr>
          <w:rFonts w:hint="eastAsia" w:ascii="Times New Roman" w:hAnsi="Times New Roman" w:eastAsia="宋体" w:cs="Times New Roman"/>
          <w:kern w:val="2"/>
          <w:sz w:val="15"/>
          <w:szCs w:val="15"/>
          <w:lang w:val="en-US" w:eastAsia="zh-CN" w:bidi="ar"/>
          <w14:ligatures w14:val="standardContextual"/>
        </w:rPr>
        <w:t>个数量性状的变异比较</w:t>
      </w:r>
    </w:p>
    <w:tbl>
      <w:tblPr>
        <w:tblStyle w:val="4"/>
        <w:tblW w:w="7453" w:type="dxa"/>
        <w:jc w:val="center"/>
        <w:tblBorders>
          <w:top w:val="single" w:color="auto" w:sz="8" w:space="0"/>
          <w:left w:val="none" w:color="auto" w:sz="6" w:space="0"/>
          <w:bottom w:val="single" w:color="auto" w:sz="8" w:space="0"/>
          <w:right w:val="none" w:color="auto" w:sz="6" w:space="0"/>
          <w:insideH w:val="outset" w:color="auto" w:sz="6" w:space="0"/>
          <w:insideV w:val="outset" w:color="auto" w:sz="6" w:space="0"/>
        </w:tblBorders>
        <w:shd w:val="clear" w:color="auto" w:fill="auto"/>
        <w:tblLayout w:type="fixed"/>
        <w:tblCellMar>
          <w:top w:w="0" w:type="dxa"/>
          <w:left w:w="108" w:type="dxa"/>
          <w:bottom w:w="0" w:type="dxa"/>
          <w:right w:w="108" w:type="dxa"/>
        </w:tblCellMar>
      </w:tblPr>
      <w:tblGrid>
        <w:gridCol w:w="1393"/>
        <w:gridCol w:w="828"/>
        <w:gridCol w:w="795"/>
        <w:gridCol w:w="796"/>
        <w:gridCol w:w="749"/>
        <w:gridCol w:w="532"/>
        <w:gridCol w:w="863"/>
        <w:gridCol w:w="1497"/>
      </w:tblGrid>
      <w:tr w14:paraId="650D1514">
        <w:tblPrEx>
          <w:tblBorders>
            <w:top w:val="single" w:color="auto" w:sz="8" w:space="0"/>
            <w:left w:val="none" w:color="auto" w:sz="6" w:space="0"/>
            <w:bottom w:val="single" w:color="auto" w:sz="8" w:space="0"/>
            <w:right w:val="none" w:color="auto" w:sz="6" w:space="0"/>
            <w:insideH w:val="outset" w:color="auto" w:sz="6" w:space="0"/>
            <w:insideV w:val="outset" w:color="auto" w:sz="6" w:space="0"/>
          </w:tblBorders>
          <w:shd w:val="clear" w:color="auto" w:fill="auto"/>
          <w:tblCellMar>
            <w:top w:w="0" w:type="dxa"/>
            <w:left w:w="108" w:type="dxa"/>
            <w:bottom w:w="0" w:type="dxa"/>
            <w:right w:w="108" w:type="dxa"/>
          </w:tblCellMar>
        </w:tblPrEx>
        <w:trPr>
          <w:trHeight w:val="710" w:hRule="atLeast"/>
          <w:tblHeader/>
          <w:jc w:val="center"/>
        </w:trPr>
        <w:tc>
          <w:tcPr>
            <w:tcW w:w="1393" w:type="dxa"/>
            <w:tcBorders>
              <w:top w:val="single" w:color="auto" w:sz="8" w:space="0"/>
              <w:left w:val="nil"/>
              <w:bottom w:val="single" w:color="auto" w:sz="8" w:space="0"/>
              <w:right w:val="nil"/>
            </w:tcBorders>
            <w:shd w:val="clear" w:color="auto" w:fill="auto"/>
            <w:vAlign w:val="center"/>
          </w:tcPr>
          <w:p w14:paraId="6B4D5037">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bCs/>
                <w:color w:val="000000"/>
                <w:kern w:val="0"/>
                <w:sz w:val="15"/>
                <w:szCs w:val="15"/>
                <w:lang w:val="en-US"/>
              </w:rPr>
            </w:pPr>
            <w:r>
              <w:rPr>
                <w:rFonts w:hint="eastAsia" w:ascii="Times New Roman" w:hAnsi="Times New Roman" w:eastAsia="宋体" w:cs="Times New Roman"/>
                <w:bCs/>
                <w:color w:val="000000"/>
                <w:kern w:val="0"/>
                <w:sz w:val="15"/>
                <w:szCs w:val="15"/>
                <w:lang w:val="en-US" w:eastAsia="zh-CN" w:bidi="ar"/>
                <w14:ligatures w14:val="standardContextual"/>
              </w:rPr>
              <w:t>数量性状</w:t>
            </w:r>
          </w:p>
        </w:tc>
        <w:tc>
          <w:tcPr>
            <w:tcW w:w="828" w:type="dxa"/>
            <w:tcBorders>
              <w:top w:val="single" w:color="auto" w:sz="8" w:space="0"/>
              <w:left w:val="nil"/>
              <w:bottom w:val="single" w:color="auto" w:sz="8" w:space="0"/>
              <w:right w:val="nil"/>
            </w:tcBorders>
            <w:shd w:val="clear" w:color="auto" w:fill="auto"/>
            <w:noWrap/>
            <w:vAlign w:val="center"/>
          </w:tcPr>
          <w:p w14:paraId="10FB6ED3">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15"/>
                <w:szCs w:val="15"/>
                <w:lang w:val="en-US"/>
              </w:rPr>
            </w:pPr>
            <w:r>
              <w:rPr>
                <w:rFonts w:hint="eastAsia" w:ascii="Times New Roman" w:hAnsi="Times New Roman" w:eastAsia="宋体" w:cs="Times New Roman"/>
                <w:color w:val="000000"/>
                <w:kern w:val="0"/>
                <w:sz w:val="15"/>
                <w:szCs w:val="15"/>
                <w:lang w:val="en-US" w:eastAsia="zh-CN" w:bidi="ar"/>
                <w14:ligatures w14:val="standardContextual"/>
              </w:rPr>
              <w:t>最小值</w:t>
            </w:r>
          </w:p>
        </w:tc>
        <w:tc>
          <w:tcPr>
            <w:tcW w:w="795" w:type="dxa"/>
            <w:tcBorders>
              <w:top w:val="single" w:color="auto" w:sz="8" w:space="0"/>
              <w:left w:val="nil"/>
              <w:bottom w:val="single" w:color="auto" w:sz="8" w:space="0"/>
              <w:right w:val="nil"/>
            </w:tcBorders>
            <w:shd w:val="clear" w:color="auto" w:fill="auto"/>
            <w:noWrap/>
            <w:vAlign w:val="center"/>
          </w:tcPr>
          <w:p w14:paraId="3E96B17E">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15"/>
                <w:szCs w:val="15"/>
                <w:lang w:val="en-US"/>
              </w:rPr>
            </w:pPr>
            <w:r>
              <w:rPr>
                <w:rFonts w:hint="eastAsia" w:ascii="Times New Roman" w:hAnsi="Times New Roman" w:eastAsia="宋体" w:cs="Times New Roman"/>
                <w:color w:val="000000"/>
                <w:kern w:val="0"/>
                <w:sz w:val="15"/>
                <w:szCs w:val="15"/>
                <w:lang w:val="en-US" w:eastAsia="zh-CN" w:bidi="ar"/>
                <w14:ligatures w14:val="standardContextual"/>
              </w:rPr>
              <w:t>最大值</w:t>
            </w:r>
          </w:p>
        </w:tc>
        <w:tc>
          <w:tcPr>
            <w:tcW w:w="796" w:type="dxa"/>
            <w:tcBorders>
              <w:top w:val="single" w:color="auto" w:sz="8" w:space="0"/>
              <w:left w:val="nil"/>
              <w:bottom w:val="single" w:color="auto" w:sz="8" w:space="0"/>
              <w:right w:val="nil"/>
            </w:tcBorders>
            <w:shd w:val="clear" w:color="auto" w:fill="auto"/>
            <w:noWrap/>
            <w:vAlign w:val="center"/>
          </w:tcPr>
          <w:p w14:paraId="225F0F0A">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15"/>
                <w:szCs w:val="15"/>
                <w:lang w:val="en-US"/>
              </w:rPr>
            </w:pPr>
            <w:r>
              <w:rPr>
                <w:rFonts w:hint="eastAsia" w:ascii="Times New Roman" w:hAnsi="Times New Roman" w:eastAsia="宋体" w:cs="Times New Roman"/>
                <w:color w:val="000000"/>
                <w:kern w:val="0"/>
                <w:sz w:val="15"/>
                <w:szCs w:val="15"/>
                <w:lang w:val="en-US" w:eastAsia="zh-CN" w:bidi="ar"/>
                <w14:ligatures w14:val="standardContextual"/>
              </w:rPr>
              <w:t>平均值</w:t>
            </w:r>
          </w:p>
        </w:tc>
        <w:tc>
          <w:tcPr>
            <w:tcW w:w="749" w:type="dxa"/>
            <w:tcBorders>
              <w:top w:val="single" w:color="auto" w:sz="8" w:space="0"/>
              <w:left w:val="nil"/>
              <w:bottom w:val="single" w:color="auto" w:sz="8" w:space="0"/>
              <w:right w:val="nil"/>
            </w:tcBorders>
            <w:shd w:val="clear" w:color="auto" w:fill="auto"/>
            <w:vAlign w:val="center"/>
          </w:tcPr>
          <w:p w14:paraId="7F9ECFA7">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15"/>
                <w:szCs w:val="15"/>
                <w:lang w:val="en-US"/>
              </w:rPr>
            </w:pPr>
            <w:r>
              <w:rPr>
                <w:rFonts w:hint="eastAsia" w:ascii="Times New Roman" w:hAnsi="Times New Roman" w:eastAsia="宋体" w:cs="Times New Roman"/>
                <w:color w:val="000000"/>
                <w:kern w:val="0"/>
                <w:sz w:val="15"/>
                <w:szCs w:val="15"/>
                <w:lang w:val="en-US" w:eastAsia="zh-CN" w:bidi="ar"/>
                <w14:ligatures w14:val="standardContextual"/>
              </w:rPr>
              <w:t>标准差</w:t>
            </w:r>
          </w:p>
        </w:tc>
        <w:tc>
          <w:tcPr>
            <w:tcW w:w="532" w:type="dxa"/>
            <w:tcBorders>
              <w:top w:val="single" w:color="auto" w:sz="8" w:space="0"/>
              <w:left w:val="nil"/>
              <w:bottom w:val="single" w:color="auto" w:sz="8" w:space="0"/>
              <w:right w:val="nil"/>
            </w:tcBorders>
            <w:shd w:val="clear" w:color="auto" w:fill="auto"/>
            <w:noWrap/>
            <w:vAlign w:val="center"/>
          </w:tcPr>
          <w:p w14:paraId="202B6B64">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15"/>
                <w:szCs w:val="15"/>
                <w:lang w:val="en-US"/>
              </w:rPr>
            </w:pPr>
            <w:r>
              <w:rPr>
                <w:rFonts w:hint="eastAsia" w:ascii="Times New Roman" w:hAnsi="Times New Roman" w:eastAsia="宋体" w:cs="Times New Roman"/>
                <w:color w:val="000000"/>
                <w:kern w:val="0"/>
                <w:sz w:val="15"/>
                <w:szCs w:val="15"/>
                <w:lang w:val="en-US" w:eastAsia="zh-CN" w:bidi="ar"/>
                <w14:ligatures w14:val="standardContextual"/>
              </w:rPr>
              <w:t>方差</w:t>
            </w:r>
          </w:p>
        </w:tc>
        <w:tc>
          <w:tcPr>
            <w:tcW w:w="863" w:type="dxa"/>
            <w:tcBorders>
              <w:top w:val="single" w:color="auto" w:sz="8" w:space="0"/>
              <w:left w:val="nil"/>
              <w:bottom w:val="single" w:color="auto" w:sz="8" w:space="0"/>
              <w:right w:val="nil"/>
            </w:tcBorders>
            <w:shd w:val="clear" w:color="auto" w:fill="auto"/>
            <w:vAlign w:val="center"/>
          </w:tcPr>
          <w:p w14:paraId="2DB8D1AB">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15"/>
                <w:szCs w:val="15"/>
                <w:lang w:val="en-US"/>
              </w:rPr>
            </w:pPr>
            <w:r>
              <w:rPr>
                <w:rFonts w:hint="eastAsia" w:ascii="Times New Roman" w:hAnsi="Times New Roman" w:eastAsia="宋体" w:cs="Times New Roman"/>
                <w:color w:val="000000"/>
                <w:kern w:val="0"/>
                <w:sz w:val="15"/>
                <w:szCs w:val="15"/>
                <w:lang w:val="en-US" w:eastAsia="zh-CN" w:bidi="ar"/>
                <w14:ligatures w14:val="standardContextual"/>
              </w:rPr>
              <w:t>变异系数（</w:t>
            </w:r>
            <w:r>
              <w:rPr>
                <w:rFonts w:hint="default" w:ascii="Times New Roman" w:hAnsi="Times New Roman" w:eastAsia="宋体" w:cs="Times New Roman"/>
                <w:color w:val="000000"/>
                <w:kern w:val="0"/>
                <w:sz w:val="15"/>
                <w:szCs w:val="15"/>
                <w:lang w:val="en-US" w:eastAsia="zh-CN" w:bidi="ar"/>
                <w14:ligatures w14:val="standardContextual"/>
              </w:rPr>
              <w:t>%</w:t>
            </w:r>
            <w:r>
              <w:rPr>
                <w:rFonts w:hint="eastAsia" w:ascii="Times New Roman" w:hAnsi="Times New Roman" w:eastAsia="宋体" w:cs="Times New Roman"/>
                <w:color w:val="000000"/>
                <w:kern w:val="0"/>
                <w:sz w:val="15"/>
                <w:szCs w:val="15"/>
                <w:lang w:val="en-US" w:eastAsia="zh-CN" w:bidi="ar"/>
                <w14:ligatures w14:val="standardContextual"/>
              </w:rPr>
              <w:t>）</w:t>
            </w:r>
          </w:p>
        </w:tc>
        <w:tc>
          <w:tcPr>
            <w:tcW w:w="1497" w:type="dxa"/>
            <w:tcBorders>
              <w:top w:val="single" w:color="auto" w:sz="8" w:space="0"/>
              <w:left w:val="nil"/>
              <w:bottom w:val="single" w:color="auto" w:sz="8" w:space="0"/>
              <w:right w:val="nil"/>
            </w:tcBorders>
            <w:shd w:val="clear" w:color="auto" w:fill="auto"/>
            <w:vAlign w:val="center"/>
          </w:tcPr>
          <w:p w14:paraId="26BF8DB0">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bCs/>
                <w:color w:val="000000"/>
                <w:kern w:val="0"/>
                <w:sz w:val="15"/>
                <w:szCs w:val="15"/>
                <w:lang w:val="en-US"/>
              </w:rPr>
            </w:pPr>
            <w:r>
              <w:rPr>
                <w:rFonts w:hint="default" w:ascii="Times New Roman" w:hAnsi="Times New Roman" w:eastAsia="宋体" w:cs="Times New Roman"/>
                <w:bCs/>
                <w:color w:val="000000"/>
                <w:kern w:val="0"/>
                <w:sz w:val="15"/>
                <w:szCs w:val="15"/>
                <w:lang w:val="en-US" w:eastAsia="zh-CN" w:bidi="ar"/>
                <w14:ligatures w14:val="standardContextual"/>
              </w:rPr>
              <w:t xml:space="preserve">Shannon-Wiener </w:t>
            </w:r>
            <w:r>
              <w:rPr>
                <w:rFonts w:hint="eastAsia" w:ascii="Times New Roman" w:hAnsi="Times New Roman" w:eastAsia="宋体" w:cs="Times New Roman"/>
                <w:bCs/>
                <w:color w:val="000000"/>
                <w:kern w:val="0"/>
                <w:sz w:val="15"/>
                <w:szCs w:val="15"/>
                <w:lang w:val="en-US" w:eastAsia="zh-CN" w:bidi="ar"/>
                <w14:ligatures w14:val="standardContextual"/>
              </w:rPr>
              <w:t>指数（</w:t>
            </w:r>
            <w:r>
              <w:rPr>
                <w:rFonts w:hint="default" w:ascii="Times New Roman" w:hAnsi="Times New Roman" w:eastAsia="宋体" w:cs="Times New Roman"/>
                <w:bCs/>
                <w:color w:val="000000"/>
                <w:kern w:val="0"/>
                <w:sz w:val="15"/>
                <w:szCs w:val="15"/>
                <w:lang w:val="en-US" w:eastAsia="zh-CN" w:bidi="ar"/>
                <w14:ligatures w14:val="standardContextual"/>
              </w:rPr>
              <w:t>H'</w:t>
            </w:r>
            <w:r>
              <w:rPr>
                <w:rFonts w:hint="eastAsia" w:ascii="Times New Roman" w:hAnsi="Times New Roman" w:eastAsia="宋体" w:cs="Times New Roman"/>
                <w:bCs/>
                <w:color w:val="000000"/>
                <w:kern w:val="0"/>
                <w:sz w:val="15"/>
                <w:szCs w:val="15"/>
                <w:lang w:val="en-US" w:eastAsia="zh-CN" w:bidi="ar"/>
                <w14:ligatures w14:val="standardContextual"/>
              </w:rPr>
              <w:t>）</w:t>
            </w:r>
          </w:p>
        </w:tc>
      </w:tr>
      <w:tr w14:paraId="192B974F">
        <w:tblPrEx>
          <w:tblBorders>
            <w:top w:val="single" w:color="auto" w:sz="8" w:space="0"/>
            <w:left w:val="none" w:color="auto" w:sz="6" w:space="0"/>
            <w:bottom w:val="single" w:color="auto" w:sz="8" w:space="0"/>
            <w:right w:val="none" w:color="auto" w:sz="6" w:space="0"/>
            <w:insideH w:val="outset" w:color="auto" w:sz="6" w:space="0"/>
            <w:insideV w:val="outset" w:color="auto" w:sz="6" w:space="0"/>
          </w:tblBorders>
          <w:tblCellMar>
            <w:top w:w="0" w:type="dxa"/>
            <w:left w:w="108" w:type="dxa"/>
            <w:bottom w:w="0" w:type="dxa"/>
            <w:right w:w="108" w:type="dxa"/>
          </w:tblCellMar>
        </w:tblPrEx>
        <w:trPr>
          <w:trHeight w:val="176" w:hRule="atLeast"/>
          <w:jc w:val="center"/>
        </w:trPr>
        <w:tc>
          <w:tcPr>
            <w:tcW w:w="1393" w:type="dxa"/>
            <w:tcBorders>
              <w:top w:val="single" w:color="auto" w:sz="8" w:space="0"/>
              <w:left w:val="nil"/>
              <w:bottom w:val="nil"/>
              <w:right w:val="nil"/>
            </w:tcBorders>
            <w:shd w:val="clear" w:color="auto" w:fill="auto"/>
            <w:vAlign w:val="center"/>
          </w:tcPr>
          <w:p w14:paraId="2C97629A">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15"/>
                <w:szCs w:val="15"/>
                <w:lang w:val="en-US"/>
              </w:rPr>
            </w:pPr>
            <w:r>
              <w:rPr>
                <w:rFonts w:hint="eastAsia" w:ascii="Times New Roman" w:hAnsi="Times New Roman" w:eastAsia="宋体" w:cs="Times New Roman"/>
                <w:color w:val="000000"/>
                <w:kern w:val="0"/>
                <w:sz w:val="15"/>
                <w:szCs w:val="15"/>
                <w:lang w:val="en-US" w:eastAsia="zh-CN" w:bidi="ar"/>
                <w14:ligatures w14:val="standardContextual"/>
              </w:rPr>
              <w:t>株高（</w:t>
            </w:r>
            <w:r>
              <w:rPr>
                <w:rFonts w:hint="default" w:ascii="Times New Roman" w:hAnsi="Times New Roman" w:eastAsia="宋体" w:cs="Times New Roman"/>
                <w:color w:val="000000"/>
                <w:kern w:val="0"/>
                <w:sz w:val="15"/>
                <w:szCs w:val="15"/>
                <w:lang w:val="en-US" w:eastAsia="zh-CN" w:bidi="ar"/>
                <w14:ligatures w14:val="standardContextual"/>
              </w:rPr>
              <w:t>cm</w:t>
            </w:r>
            <w:r>
              <w:rPr>
                <w:rFonts w:hint="eastAsia" w:ascii="Times New Roman" w:hAnsi="Times New Roman" w:eastAsia="宋体" w:cs="Times New Roman"/>
                <w:color w:val="000000"/>
                <w:kern w:val="0"/>
                <w:sz w:val="15"/>
                <w:szCs w:val="15"/>
                <w:lang w:val="en-US" w:eastAsia="zh-CN" w:bidi="ar"/>
                <w14:ligatures w14:val="standardContextual"/>
              </w:rPr>
              <w:t>）</w:t>
            </w:r>
          </w:p>
        </w:tc>
        <w:tc>
          <w:tcPr>
            <w:tcW w:w="828" w:type="dxa"/>
            <w:tcBorders>
              <w:top w:val="single" w:color="auto" w:sz="8" w:space="0"/>
              <w:left w:val="nil"/>
              <w:bottom w:val="nil"/>
              <w:right w:val="nil"/>
            </w:tcBorders>
            <w:shd w:val="clear" w:color="auto" w:fill="auto"/>
            <w:noWrap/>
            <w:vAlign w:val="center"/>
          </w:tcPr>
          <w:p w14:paraId="7B1FF53F">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15"/>
                <w:szCs w:val="15"/>
                <w:lang w:val="en-US"/>
              </w:rPr>
            </w:pPr>
            <w:r>
              <w:rPr>
                <w:rFonts w:hint="default" w:ascii="Times New Roman" w:hAnsi="Times New Roman" w:eastAsia="宋体" w:cs="Times New Roman"/>
                <w:color w:val="000000"/>
                <w:kern w:val="0"/>
                <w:sz w:val="15"/>
                <w:szCs w:val="15"/>
                <w:lang w:val="en-US" w:eastAsia="zh-CN" w:bidi="ar"/>
                <w14:ligatures w14:val="standardContextual"/>
              </w:rPr>
              <w:t>43.38</w:t>
            </w:r>
          </w:p>
        </w:tc>
        <w:tc>
          <w:tcPr>
            <w:tcW w:w="795" w:type="dxa"/>
            <w:tcBorders>
              <w:top w:val="single" w:color="auto" w:sz="8" w:space="0"/>
              <w:left w:val="nil"/>
              <w:bottom w:val="nil"/>
              <w:right w:val="nil"/>
            </w:tcBorders>
            <w:shd w:val="clear" w:color="auto" w:fill="auto"/>
            <w:noWrap/>
            <w:vAlign w:val="center"/>
          </w:tcPr>
          <w:p w14:paraId="64F3298A">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15"/>
                <w:szCs w:val="15"/>
                <w:lang w:val="en-US"/>
              </w:rPr>
            </w:pPr>
            <w:r>
              <w:rPr>
                <w:rFonts w:hint="default" w:ascii="Times New Roman" w:hAnsi="Times New Roman" w:eastAsia="宋体" w:cs="Times New Roman"/>
                <w:color w:val="000000"/>
                <w:kern w:val="0"/>
                <w:sz w:val="15"/>
                <w:szCs w:val="15"/>
                <w:lang w:val="en-US" w:eastAsia="zh-CN" w:bidi="ar"/>
                <w14:ligatures w14:val="standardContextual"/>
              </w:rPr>
              <w:t>120.23</w:t>
            </w:r>
          </w:p>
        </w:tc>
        <w:tc>
          <w:tcPr>
            <w:tcW w:w="796" w:type="dxa"/>
            <w:tcBorders>
              <w:top w:val="single" w:color="auto" w:sz="8" w:space="0"/>
              <w:left w:val="nil"/>
              <w:bottom w:val="nil"/>
              <w:right w:val="nil"/>
            </w:tcBorders>
            <w:shd w:val="clear" w:color="auto" w:fill="auto"/>
            <w:noWrap/>
            <w:vAlign w:val="center"/>
          </w:tcPr>
          <w:p w14:paraId="34FE3D2D">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15"/>
                <w:szCs w:val="15"/>
                <w:lang w:val="en-US"/>
              </w:rPr>
            </w:pPr>
            <w:r>
              <w:rPr>
                <w:rFonts w:hint="default" w:ascii="Times New Roman" w:hAnsi="Times New Roman" w:eastAsia="宋体" w:cs="Times New Roman"/>
                <w:color w:val="000000"/>
                <w:kern w:val="0"/>
                <w:sz w:val="15"/>
                <w:szCs w:val="15"/>
                <w:lang w:val="en-US" w:eastAsia="zh-CN" w:bidi="ar"/>
                <w14:ligatures w14:val="standardContextual"/>
              </w:rPr>
              <w:t>82.49</w:t>
            </w:r>
          </w:p>
        </w:tc>
        <w:tc>
          <w:tcPr>
            <w:tcW w:w="749" w:type="dxa"/>
            <w:tcBorders>
              <w:top w:val="single" w:color="auto" w:sz="8" w:space="0"/>
              <w:left w:val="nil"/>
              <w:bottom w:val="nil"/>
              <w:right w:val="nil"/>
            </w:tcBorders>
            <w:shd w:val="clear" w:color="auto" w:fill="auto"/>
            <w:noWrap/>
            <w:vAlign w:val="center"/>
          </w:tcPr>
          <w:p w14:paraId="3A27B410">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15"/>
                <w:szCs w:val="15"/>
                <w:lang w:val="en-US"/>
              </w:rPr>
            </w:pPr>
            <w:r>
              <w:rPr>
                <w:rFonts w:hint="default" w:ascii="Times New Roman" w:hAnsi="Times New Roman" w:eastAsia="宋体" w:cs="Times New Roman"/>
                <w:color w:val="000000"/>
                <w:kern w:val="0"/>
                <w:sz w:val="15"/>
                <w:szCs w:val="15"/>
                <w:lang w:val="en-US" w:eastAsia="zh-CN" w:bidi="ar"/>
                <w14:ligatures w14:val="standardContextual"/>
              </w:rPr>
              <w:t>14.28</w:t>
            </w:r>
          </w:p>
        </w:tc>
        <w:tc>
          <w:tcPr>
            <w:tcW w:w="532" w:type="dxa"/>
            <w:tcBorders>
              <w:top w:val="single" w:color="auto" w:sz="8" w:space="0"/>
              <w:left w:val="nil"/>
              <w:bottom w:val="nil"/>
              <w:right w:val="nil"/>
            </w:tcBorders>
            <w:shd w:val="clear" w:color="auto" w:fill="auto"/>
            <w:noWrap/>
            <w:vAlign w:val="center"/>
          </w:tcPr>
          <w:p w14:paraId="3C31EEBC">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15"/>
                <w:szCs w:val="15"/>
                <w:lang w:val="en-US"/>
              </w:rPr>
            </w:pPr>
            <w:r>
              <w:rPr>
                <w:rFonts w:hint="default" w:ascii="Times New Roman" w:hAnsi="Times New Roman" w:eastAsia="宋体" w:cs="Times New Roman"/>
                <w:color w:val="000000"/>
                <w:kern w:val="0"/>
                <w:sz w:val="15"/>
                <w:szCs w:val="15"/>
                <w:lang w:val="en-US" w:eastAsia="zh-CN" w:bidi="ar"/>
                <w14:ligatures w14:val="standardContextual"/>
              </w:rPr>
              <w:t>203.89</w:t>
            </w:r>
          </w:p>
        </w:tc>
        <w:tc>
          <w:tcPr>
            <w:tcW w:w="863" w:type="dxa"/>
            <w:tcBorders>
              <w:top w:val="single" w:color="auto" w:sz="8" w:space="0"/>
              <w:left w:val="nil"/>
              <w:bottom w:val="nil"/>
              <w:right w:val="nil"/>
            </w:tcBorders>
            <w:shd w:val="clear" w:color="auto" w:fill="auto"/>
            <w:noWrap/>
            <w:vAlign w:val="center"/>
          </w:tcPr>
          <w:p w14:paraId="43F667BC">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15"/>
                <w:szCs w:val="15"/>
                <w:lang w:val="en-US"/>
              </w:rPr>
            </w:pPr>
            <w:r>
              <w:rPr>
                <w:rFonts w:hint="default" w:ascii="Times New Roman" w:hAnsi="Times New Roman" w:eastAsia="宋体" w:cs="Times New Roman"/>
                <w:color w:val="000000"/>
                <w:kern w:val="0"/>
                <w:sz w:val="15"/>
                <w:szCs w:val="15"/>
                <w:lang w:val="en-US" w:eastAsia="zh-CN" w:bidi="ar"/>
                <w14:ligatures w14:val="standardContextual"/>
              </w:rPr>
              <w:t>17.31</w:t>
            </w:r>
          </w:p>
        </w:tc>
        <w:tc>
          <w:tcPr>
            <w:tcW w:w="1497" w:type="dxa"/>
            <w:tcBorders>
              <w:top w:val="single" w:color="auto" w:sz="8" w:space="0"/>
              <w:left w:val="nil"/>
              <w:bottom w:val="nil"/>
              <w:right w:val="nil"/>
            </w:tcBorders>
            <w:shd w:val="clear" w:color="auto" w:fill="auto"/>
            <w:vAlign w:val="center"/>
          </w:tcPr>
          <w:p w14:paraId="6916B9DA">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15"/>
                <w:szCs w:val="15"/>
                <w:lang w:val="en-US"/>
              </w:rPr>
            </w:pPr>
            <w:r>
              <w:rPr>
                <w:rFonts w:hint="default" w:ascii="Times New Roman" w:hAnsi="Times New Roman" w:eastAsia="宋体" w:cs="Times New Roman"/>
                <w:color w:val="000000"/>
                <w:kern w:val="0"/>
                <w:sz w:val="15"/>
                <w:szCs w:val="15"/>
                <w:lang w:val="en-US" w:eastAsia="zh-CN" w:bidi="ar"/>
                <w14:ligatures w14:val="standardContextual"/>
              </w:rPr>
              <w:t>1.37</w:t>
            </w:r>
          </w:p>
        </w:tc>
      </w:tr>
      <w:tr w14:paraId="7BF1BDCC">
        <w:tblPrEx>
          <w:tblBorders>
            <w:top w:val="single" w:color="auto" w:sz="8" w:space="0"/>
            <w:left w:val="none" w:color="auto" w:sz="6" w:space="0"/>
            <w:bottom w:val="single" w:color="auto" w:sz="8" w:space="0"/>
            <w:right w:val="none" w:color="auto" w:sz="6" w:space="0"/>
            <w:insideH w:val="outset" w:color="auto" w:sz="6" w:space="0"/>
            <w:insideV w:val="outset" w:color="auto" w:sz="6" w:space="0"/>
          </w:tblBorders>
          <w:tblCellMar>
            <w:top w:w="0" w:type="dxa"/>
            <w:left w:w="108" w:type="dxa"/>
            <w:bottom w:w="0" w:type="dxa"/>
            <w:right w:w="108" w:type="dxa"/>
          </w:tblCellMar>
        </w:tblPrEx>
        <w:trPr>
          <w:trHeight w:val="176" w:hRule="atLeast"/>
          <w:jc w:val="center"/>
        </w:trPr>
        <w:tc>
          <w:tcPr>
            <w:tcW w:w="1393" w:type="dxa"/>
            <w:tcBorders>
              <w:top w:val="nil"/>
              <w:left w:val="nil"/>
              <w:bottom w:val="nil"/>
              <w:right w:val="nil"/>
            </w:tcBorders>
            <w:shd w:val="clear" w:color="auto" w:fill="auto"/>
            <w:vAlign w:val="center"/>
          </w:tcPr>
          <w:p w14:paraId="34C956CF">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15"/>
                <w:szCs w:val="15"/>
                <w:lang w:val="en-US"/>
              </w:rPr>
            </w:pPr>
            <w:r>
              <w:rPr>
                <w:rFonts w:hint="eastAsia" w:ascii="Times New Roman" w:hAnsi="Times New Roman" w:eastAsia="宋体" w:cs="Times New Roman"/>
                <w:color w:val="000000"/>
                <w:kern w:val="0"/>
                <w:sz w:val="15"/>
                <w:szCs w:val="15"/>
                <w:lang w:val="en-US" w:eastAsia="zh-CN" w:bidi="ar"/>
                <w14:ligatures w14:val="standardContextual"/>
              </w:rPr>
              <w:t>叶长（</w:t>
            </w:r>
            <w:r>
              <w:rPr>
                <w:rFonts w:hint="default" w:ascii="Times New Roman" w:hAnsi="Times New Roman" w:eastAsia="宋体" w:cs="Times New Roman"/>
                <w:color w:val="000000"/>
                <w:kern w:val="0"/>
                <w:sz w:val="15"/>
                <w:szCs w:val="15"/>
                <w:lang w:val="en-US" w:eastAsia="zh-CN" w:bidi="ar"/>
                <w14:ligatures w14:val="standardContextual"/>
              </w:rPr>
              <w:t>cm</w:t>
            </w:r>
            <w:r>
              <w:rPr>
                <w:rFonts w:hint="eastAsia" w:ascii="Times New Roman" w:hAnsi="Times New Roman" w:eastAsia="宋体" w:cs="Times New Roman"/>
                <w:color w:val="000000"/>
                <w:kern w:val="0"/>
                <w:sz w:val="15"/>
                <w:szCs w:val="15"/>
                <w:lang w:val="en-US" w:eastAsia="zh-CN" w:bidi="ar"/>
                <w14:ligatures w14:val="standardContextual"/>
              </w:rPr>
              <w:t>）</w:t>
            </w:r>
          </w:p>
        </w:tc>
        <w:tc>
          <w:tcPr>
            <w:tcW w:w="828" w:type="dxa"/>
            <w:tcBorders>
              <w:top w:val="nil"/>
              <w:left w:val="nil"/>
              <w:bottom w:val="nil"/>
              <w:right w:val="nil"/>
            </w:tcBorders>
            <w:shd w:val="clear" w:color="auto" w:fill="auto"/>
            <w:noWrap/>
            <w:vAlign w:val="center"/>
          </w:tcPr>
          <w:p w14:paraId="4CE6912A">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15"/>
                <w:szCs w:val="15"/>
                <w:lang w:val="en-US"/>
              </w:rPr>
            </w:pPr>
            <w:r>
              <w:rPr>
                <w:rFonts w:hint="default" w:ascii="Times New Roman" w:hAnsi="Times New Roman" w:eastAsia="宋体" w:cs="Times New Roman"/>
                <w:color w:val="000000"/>
                <w:kern w:val="0"/>
                <w:sz w:val="15"/>
                <w:szCs w:val="15"/>
                <w:lang w:val="en-US" w:eastAsia="zh-CN" w:bidi="ar"/>
                <w14:ligatures w14:val="standardContextual"/>
              </w:rPr>
              <w:t>3.28</w:t>
            </w:r>
          </w:p>
        </w:tc>
        <w:tc>
          <w:tcPr>
            <w:tcW w:w="795" w:type="dxa"/>
            <w:tcBorders>
              <w:top w:val="nil"/>
              <w:left w:val="nil"/>
              <w:bottom w:val="nil"/>
              <w:right w:val="nil"/>
            </w:tcBorders>
            <w:shd w:val="clear" w:color="auto" w:fill="auto"/>
            <w:noWrap/>
            <w:vAlign w:val="center"/>
          </w:tcPr>
          <w:p w14:paraId="402BE87E">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15"/>
                <w:szCs w:val="15"/>
                <w:lang w:val="en-US"/>
              </w:rPr>
            </w:pPr>
            <w:r>
              <w:rPr>
                <w:rFonts w:hint="default" w:ascii="Times New Roman" w:hAnsi="Times New Roman" w:eastAsia="宋体" w:cs="Times New Roman"/>
                <w:color w:val="000000"/>
                <w:kern w:val="0"/>
                <w:sz w:val="15"/>
                <w:szCs w:val="15"/>
                <w:lang w:val="en-US" w:eastAsia="zh-CN" w:bidi="ar"/>
                <w14:ligatures w14:val="standardContextual"/>
              </w:rPr>
              <w:t>32.20</w:t>
            </w:r>
          </w:p>
        </w:tc>
        <w:tc>
          <w:tcPr>
            <w:tcW w:w="796" w:type="dxa"/>
            <w:tcBorders>
              <w:top w:val="nil"/>
              <w:left w:val="nil"/>
              <w:bottom w:val="nil"/>
              <w:right w:val="nil"/>
            </w:tcBorders>
            <w:shd w:val="clear" w:color="auto" w:fill="auto"/>
            <w:noWrap/>
            <w:vAlign w:val="center"/>
          </w:tcPr>
          <w:p w14:paraId="5AD81CAE">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15"/>
                <w:szCs w:val="15"/>
                <w:lang w:val="en-US"/>
              </w:rPr>
            </w:pPr>
            <w:r>
              <w:rPr>
                <w:rFonts w:hint="default" w:ascii="Times New Roman" w:hAnsi="Times New Roman" w:eastAsia="宋体" w:cs="Times New Roman"/>
                <w:color w:val="000000"/>
                <w:kern w:val="0"/>
                <w:sz w:val="15"/>
                <w:szCs w:val="15"/>
                <w:lang w:val="en-US" w:eastAsia="zh-CN" w:bidi="ar"/>
                <w14:ligatures w14:val="standardContextual"/>
              </w:rPr>
              <w:t>18.26</w:t>
            </w:r>
          </w:p>
        </w:tc>
        <w:tc>
          <w:tcPr>
            <w:tcW w:w="749" w:type="dxa"/>
            <w:tcBorders>
              <w:top w:val="nil"/>
              <w:left w:val="nil"/>
              <w:bottom w:val="nil"/>
              <w:right w:val="nil"/>
            </w:tcBorders>
            <w:shd w:val="clear" w:color="auto" w:fill="auto"/>
            <w:noWrap/>
            <w:vAlign w:val="center"/>
          </w:tcPr>
          <w:p w14:paraId="798A75F8">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15"/>
                <w:szCs w:val="15"/>
                <w:lang w:val="en-US"/>
              </w:rPr>
            </w:pPr>
            <w:r>
              <w:rPr>
                <w:rFonts w:hint="default" w:ascii="Times New Roman" w:hAnsi="Times New Roman" w:eastAsia="宋体" w:cs="Times New Roman"/>
                <w:color w:val="000000"/>
                <w:kern w:val="0"/>
                <w:sz w:val="15"/>
                <w:szCs w:val="15"/>
                <w:lang w:val="en-US" w:eastAsia="zh-CN" w:bidi="ar"/>
                <w14:ligatures w14:val="standardContextual"/>
              </w:rPr>
              <w:t>4.97</w:t>
            </w:r>
          </w:p>
        </w:tc>
        <w:tc>
          <w:tcPr>
            <w:tcW w:w="532" w:type="dxa"/>
            <w:tcBorders>
              <w:top w:val="nil"/>
              <w:left w:val="nil"/>
              <w:bottom w:val="nil"/>
              <w:right w:val="nil"/>
            </w:tcBorders>
            <w:shd w:val="clear" w:color="auto" w:fill="auto"/>
            <w:noWrap/>
            <w:vAlign w:val="center"/>
          </w:tcPr>
          <w:p w14:paraId="00F77D44">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15"/>
                <w:szCs w:val="15"/>
                <w:lang w:val="en-US"/>
              </w:rPr>
            </w:pPr>
            <w:r>
              <w:rPr>
                <w:rFonts w:hint="default" w:ascii="Times New Roman" w:hAnsi="Times New Roman" w:eastAsia="宋体" w:cs="Times New Roman"/>
                <w:color w:val="000000"/>
                <w:kern w:val="0"/>
                <w:sz w:val="15"/>
                <w:szCs w:val="15"/>
                <w:lang w:val="en-US" w:eastAsia="zh-CN" w:bidi="ar"/>
                <w14:ligatures w14:val="standardContextual"/>
              </w:rPr>
              <w:t>24.67</w:t>
            </w:r>
          </w:p>
        </w:tc>
        <w:tc>
          <w:tcPr>
            <w:tcW w:w="863" w:type="dxa"/>
            <w:tcBorders>
              <w:top w:val="nil"/>
              <w:left w:val="nil"/>
              <w:bottom w:val="nil"/>
              <w:right w:val="nil"/>
            </w:tcBorders>
            <w:shd w:val="clear" w:color="auto" w:fill="auto"/>
            <w:noWrap/>
            <w:vAlign w:val="center"/>
          </w:tcPr>
          <w:p w14:paraId="78D75842">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15"/>
                <w:szCs w:val="15"/>
                <w:lang w:val="en-US"/>
              </w:rPr>
            </w:pPr>
            <w:r>
              <w:rPr>
                <w:rFonts w:hint="default" w:ascii="Times New Roman" w:hAnsi="Times New Roman" w:eastAsia="宋体" w:cs="Times New Roman"/>
                <w:color w:val="000000"/>
                <w:kern w:val="0"/>
                <w:sz w:val="15"/>
                <w:szCs w:val="15"/>
                <w:lang w:val="en-US" w:eastAsia="zh-CN" w:bidi="ar"/>
                <w14:ligatures w14:val="standardContextual"/>
              </w:rPr>
              <w:t>27.20</w:t>
            </w:r>
          </w:p>
        </w:tc>
        <w:tc>
          <w:tcPr>
            <w:tcW w:w="1497" w:type="dxa"/>
            <w:tcBorders>
              <w:top w:val="nil"/>
              <w:left w:val="nil"/>
              <w:bottom w:val="nil"/>
              <w:right w:val="nil"/>
            </w:tcBorders>
            <w:shd w:val="clear" w:color="auto" w:fill="auto"/>
            <w:vAlign w:val="center"/>
          </w:tcPr>
          <w:p w14:paraId="04631BD0">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15"/>
                <w:szCs w:val="15"/>
                <w:lang w:val="en-US"/>
              </w:rPr>
            </w:pPr>
            <w:r>
              <w:rPr>
                <w:rFonts w:hint="default" w:ascii="Times New Roman" w:hAnsi="Times New Roman" w:eastAsia="宋体" w:cs="Times New Roman"/>
                <w:color w:val="000000"/>
                <w:kern w:val="0"/>
                <w:sz w:val="15"/>
                <w:szCs w:val="15"/>
                <w:lang w:val="en-US" w:eastAsia="zh-CN" w:bidi="ar"/>
                <w14:ligatures w14:val="standardContextual"/>
              </w:rPr>
              <w:t>1.27</w:t>
            </w:r>
          </w:p>
        </w:tc>
      </w:tr>
      <w:tr w14:paraId="0A6BE521">
        <w:tblPrEx>
          <w:tblBorders>
            <w:top w:val="single" w:color="auto" w:sz="8" w:space="0"/>
            <w:left w:val="none" w:color="auto" w:sz="6" w:space="0"/>
            <w:bottom w:val="single" w:color="auto" w:sz="8" w:space="0"/>
            <w:right w:val="none" w:color="auto" w:sz="6" w:space="0"/>
            <w:insideH w:val="outset" w:color="auto" w:sz="6" w:space="0"/>
            <w:insideV w:val="outset" w:color="auto" w:sz="6" w:space="0"/>
          </w:tblBorders>
          <w:tblCellMar>
            <w:top w:w="0" w:type="dxa"/>
            <w:left w:w="108" w:type="dxa"/>
            <w:bottom w:w="0" w:type="dxa"/>
            <w:right w:w="108" w:type="dxa"/>
          </w:tblCellMar>
        </w:tblPrEx>
        <w:trPr>
          <w:trHeight w:val="176" w:hRule="atLeast"/>
          <w:jc w:val="center"/>
        </w:trPr>
        <w:tc>
          <w:tcPr>
            <w:tcW w:w="1393" w:type="dxa"/>
            <w:tcBorders>
              <w:top w:val="nil"/>
              <w:left w:val="nil"/>
              <w:bottom w:val="nil"/>
              <w:right w:val="nil"/>
            </w:tcBorders>
            <w:shd w:val="clear" w:color="auto" w:fill="auto"/>
            <w:vAlign w:val="center"/>
          </w:tcPr>
          <w:p w14:paraId="5E1AC4E7">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15"/>
                <w:szCs w:val="15"/>
                <w:lang w:val="en-US"/>
              </w:rPr>
            </w:pPr>
            <w:r>
              <w:rPr>
                <w:rFonts w:hint="eastAsia" w:ascii="Times New Roman" w:hAnsi="Times New Roman" w:eastAsia="宋体" w:cs="Times New Roman"/>
                <w:color w:val="000000"/>
                <w:kern w:val="0"/>
                <w:sz w:val="15"/>
                <w:szCs w:val="15"/>
                <w:lang w:val="en-US" w:eastAsia="zh-CN" w:bidi="ar"/>
                <w14:ligatures w14:val="standardContextual"/>
              </w:rPr>
              <w:t>叶宽（</w:t>
            </w:r>
            <w:r>
              <w:rPr>
                <w:rFonts w:hint="default" w:ascii="Times New Roman" w:hAnsi="Times New Roman" w:eastAsia="宋体" w:cs="Times New Roman"/>
                <w:color w:val="000000"/>
                <w:kern w:val="0"/>
                <w:sz w:val="15"/>
                <w:szCs w:val="15"/>
                <w:lang w:val="en-US" w:eastAsia="zh-CN" w:bidi="ar"/>
                <w14:ligatures w14:val="standardContextual"/>
              </w:rPr>
              <w:t>mm</w:t>
            </w:r>
            <w:r>
              <w:rPr>
                <w:rFonts w:hint="eastAsia" w:ascii="Times New Roman" w:hAnsi="Times New Roman" w:eastAsia="宋体" w:cs="Times New Roman"/>
                <w:color w:val="000000"/>
                <w:kern w:val="0"/>
                <w:sz w:val="15"/>
                <w:szCs w:val="15"/>
                <w:lang w:val="en-US" w:eastAsia="zh-CN" w:bidi="ar"/>
                <w14:ligatures w14:val="standardContextual"/>
              </w:rPr>
              <w:t>）</w:t>
            </w:r>
          </w:p>
        </w:tc>
        <w:tc>
          <w:tcPr>
            <w:tcW w:w="828" w:type="dxa"/>
            <w:tcBorders>
              <w:top w:val="nil"/>
              <w:left w:val="nil"/>
              <w:bottom w:val="nil"/>
              <w:right w:val="nil"/>
            </w:tcBorders>
            <w:shd w:val="clear" w:color="auto" w:fill="auto"/>
            <w:noWrap/>
            <w:vAlign w:val="center"/>
          </w:tcPr>
          <w:p w14:paraId="23F34C82">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15"/>
                <w:szCs w:val="15"/>
                <w:lang w:val="en-US"/>
              </w:rPr>
            </w:pPr>
            <w:r>
              <w:rPr>
                <w:rFonts w:hint="default" w:ascii="Times New Roman" w:hAnsi="Times New Roman" w:eastAsia="宋体" w:cs="Times New Roman"/>
                <w:color w:val="000000"/>
                <w:kern w:val="0"/>
                <w:sz w:val="15"/>
                <w:szCs w:val="15"/>
                <w:lang w:val="en-US" w:eastAsia="zh-CN" w:bidi="ar"/>
                <w14:ligatures w14:val="standardContextual"/>
              </w:rPr>
              <w:t>2.42</w:t>
            </w:r>
          </w:p>
        </w:tc>
        <w:tc>
          <w:tcPr>
            <w:tcW w:w="795" w:type="dxa"/>
            <w:tcBorders>
              <w:top w:val="nil"/>
              <w:left w:val="nil"/>
              <w:bottom w:val="nil"/>
              <w:right w:val="nil"/>
            </w:tcBorders>
            <w:shd w:val="clear" w:color="auto" w:fill="auto"/>
            <w:noWrap/>
            <w:vAlign w:val="center"/>
          </w:tcPr>
          <w:p w14:paraId="55E1F7C6">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15"/>
                <w:szCs w:val="15"/>
                <w:lang w:val="en-US"/>
              </w:rPr>
            </w:pPr>
            <w:r>
              <w:rPr>
                <w:rFonts w:hint="default" w:ascii="Times New Roman" w:hAnsi="Times New Roman" w:eastAsia="宋体" w:cs="Times New Roman"/>
                <w:color w:val="000000"/>
                <w:kern w:val="0"/>
                <w:sz w:val="15"/>
                <w:szCs w:val="15"/>
                <w:lang w:val="en-US" w:eastAsia="zh-CN" w:bidi="ar"/>
                <w14:ligatures w14:val="standardContextual"/>
              </w:rPr>
              <w:t>13.23</w:t>
            </w:r>
          </w:p>
        </w:tc>
        <w:tc>
          <w:tcPr>
            <w:tcW w:w="796" w:type="dxa"/>
            <w:tcBorders>
              <w:top w:val="nil"/>
              <w:left w:val="nil"/>
              <w:bottom w:val="nil"/>
              <w:right w:val="nil"/>
            </w:tcBorders>
            <w:shd w:val="clear" w:color="auto" w:fill="auto"/>
            <w:noWrap/>
            <w:vAlign w:val="center"/>
          </w:tcPr>
          <w:p w14:paraId="57596027">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15"/>
                <w:szCs w:val="15"/>
                <w:lang w:val="en-US"/>
              </w:rPr>
            </w:pPr>
            <w:r>
              <w:rPr>
                <w:rFonts w:hint="default" w:ascii="Times New Roman" w:hAnsi="Times New Roman" w:eastAsia="宋体" w:cs="Times New Roman"/>
                <w:color w:val="000000"/>
                <w:kern w:val="0"/>
                <w:sz w:val="15"/>
                <w:szCs w:val="15"/>
                <w:lang w:val="en-US" w:eastAsia="zh-CN" w:bidi="ar"/>
                <w14:ligatures w14:val="standardContextual"/>
              </w:rPr>
              <w:t>7.47</w:t>
            </w:r>
          </w:p>
        </w:tc>
        <w:tc>
          <w:tcPr>
            <w:tcW w:w="749" w:type="dxa"/>
            <w:tcBorders>
              <w:top w:val="nil"/>
              <w:left w:val="nil"/>
              <w:bottom w:val="nil"/>
              <w:right w:val="nil"/>
            </w:tcBorders>
            <w:shd w:val="clear" w:color="auto" w:fill="auto"/>
            <w:noWrap/>
            <w:vAlign w:val="center"/>
          </w:tcPr>
          <w:p w14:paraId="65C1C8E3">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15"/>
                <w:szCs w:val="15"/>
                <w:lang w:val="en-US"/>
              </w:rPr>
            </w:pPr>
            <w:r>
              <w:rPr>
                <w:rFonts w:hint="default" w:ascii="Times New Roman" w:hAnsi="Times New Roman" w:eastAsia="宋体" w:cs="Times New Roman"/>
                <w:color w:val="000000"/>
                <w:kern w:val="0"/>
                <w:sz w:val="15"/>
                <w:szCs w:val="15"/>
                <w:lang w:val="en-US" w:eastAsia="zh-CN" w:bidi="ar"/>
                <w14:ligatures w14:val="standardContextual"/>
              </w:rPr>
              <w:t>1.84</w:t>
            </w:r>
          </w:p>
        </w:tc>
        <w:tc>
          <w:tcPr>
            <w:tcW w:w="532" w:type="dxa"/>
            <w:tcBorders>
              <w:top w:val="nil"/>
              <w:left w:val="nil"/>
              <w:bottom w:val="nil"/>
              <w:right w:val="nil"/>
            </w:tcBorders>
            <w:shd w:val="clear" w:color="auto" w:fill="auto"/>
            <w:noWrap/>
            <w:vAlign w:val="center"/>
          </w:tcPr>
          <w:p w14:paraId="1439093E">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15"/>
                <w:szCs w:val="15"/>
                <w:lang w:val="en-US"/>
              </w:rPr>
            </w:pPr>
            <w:r>
              <w:rPr>
                <w:rFonts w:hint="default" w:ascii="Times New Roman" w:hAnsi="Times New Roman" w:eastAsia="宋体" w:cs="Times New Roman"/>
                <w:color w:val="000000"/>
                <w:kern w:val="0"/>
                <w:sz w:val="15"/>
                <w:szCs w:val="15"/>
                <w:lang w:val="en-US" w:eastAsia="zh-CN" w:bidi="ar"/>
                <w14:ligatures w14:val="standardContextual"/>
              </w:rPr>
              <w:t>3.39</w:t>
            </w:r>
          </w:p>
        </w:tc>
        <w:tc>
          <w:tcPr>
            <w:tcW w:w="863" w:type="dxa"/>
            <w:tcBorders>
              <w:top w:val="nil"/>
              <w:left w:val="nil"/>
              <w:bottom w:val="nil"/>
              <w:right w:val="nil"/>
            </w:tcBorders>
            <w:shd w:val="clear" w:color="auto" w:fill="auto"/>
            <w:noWrap/>
            <w:vAlign w:val="center"/>
          </w:tcPr>
          <w:p w14:paraId="1435230F">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15"/>
                <w:szCs w:val="15"/>
                <w:lang w:val="en-US"/>
              </w:rPr>
            </w:pPr>
            <w:r>
              <w:rPr>
                <w:rFonts w:hint="default" w:ascii="Times New Roman" w:hAnsi="Times New Roman" w:eastAsia="宋体" w:cs="Times New Roman"/>
                <w:color w:val="000000"/>
                <w:kern w:val="0"/>
                <w:sz w:val="15"/>
                <w:szCs w:val="15"/>
                <w:lang w:val="en-US" w:eastAsia="zh-CN" w:bidi="ar"/>
                <w14:ligatures w14:val="standardContextual"/>
              </w:rPr>
              <w:t>24.64</w:t>
            </w:r>
          </w:p>
        </w:tc>
        <w:tc>
          <w:tcPr>
            <w:tcW w:w="1497" w:type="dxa"/>
            <w:tcBorders>
              <w:top w:val="nil"/>
              <w:left w:val="nil"/>
              <w:bottom w:val="nil"/>
              <w:right w:val="nil"/>
            </w:tcBorders>
            <w:shd w:val="clear" w:color="auto" w:fill="auto"/>
            <w:vAlign w:val="center"/>
          </w:tcPr>
          <w:p w14:paraId="24F6E72D">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15"/>
                <w:szCs w:val="15"/>
                <w:lang w:val="en-US"/>
              </w:rPr>
            </w:pPr>
            <w:r>
              <w:rPr>
                <w:rFonts w:hint="default" w:ascii="Times New Roman" w:hAnsi="Times New Roman" w:eastAsia="宋体" w:cs="Times New Roman"/>
                <w:color w:val="000000"/>
                <w:kern w:val="0"/>
                <w:sz w:val="15"/>
                <w:szCs w:val="15"/>
                <w:lang w:val="en-US" w:eastAsia="zh-CN" w:bidi="ar"/>
                <w14:ligatures w14:val="standardContextual"/>
              </w:rPr>
              <w:t>1.27</w:t>
            </w:r>
          </w:p>
        </w:tc>
      </w:tr>
      <w:tr w14:paraId="14DC0265">
        <w:tblPrEx>
          <w:tblBorders>
            <w:top w:val="single" w:color="auto" w:sz="8" w:space="0"/>
            <w:left w:val="none" w:color="auto" w:sz="6" w:space="0"/>
            <w:bottom w:val="single" w:color="auto" w:sz="8" w:space="0"/>
            <w:right w:val="none" w:color="auto" w:sz="6" w:space="0"/>
            <w:insideH w:val="outset" w:color="auto" w:sz="6" w:space="0"/>
            <w:insideV w:val="outset" w:color="auto" w:sz="6" w:space="0"/>
          </w:tblBorders>
          <w:tblCellMar>
            <w:top w:w="0" w:type="dxa"/>
            <w:left w:w="108" w:type="dxa"/>
            <w:bottom w:w="0" w:type="dxa"/>
            <w:right w:w="108" w:type="dxa"/>
          </w:tblCellMar>
        </w:tblPrEx>
        <w:trPr>
          <w:trHeight w:val="176" w:hRule="atLeast"/>
          <w:jc w:val="center"/>
        </w:trPr>
        <w:tc>
          <w:tcPr>
            <w:tcW w:w="1393" w:type="dxa"/>
            <w:tcBorders>
              <w:top w:val="nil"/>
              <w:left w:val="nil"/>
              <w:bottom w:val="nil"/>
              <w:right w:val="nil"/>
            </w:tcBorders>
            <w:shd w:val="clear" w:color="auto" w:fill="auto"/>
            <w:vAlign w:val="center"/>
          </w:tcPr>
          <w:p w14:paraId="6778BA4C">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15"/>
                <w:szCs w:val="15"/>
                <w:lang w:val="en-US"/>
              </w:rPr>
            </w:pPr>
            <w:r>
              <w:rPr>
                <w:rFonts w:hint="eastAsia" w:ascii="Times New Roman" w:hAnsi="Times New Roman" w:eastAsia="宋体" w:cs="Times New Roman"/>
                <w:color w:val="000000"/>
                <w:kern w:val="0"/>
                <w:sz w:val="15"/>
                <w:szCs w:val="15"/>
                <w:lang w:val="en-US" w:eastAsia="zh-CN" w:bidi="ar"/>
                <w14:ligatures w14:val="standardContextual"/>
              </w:rPr>
              <w:t>茎粗（</w:t>
            </w:r>
            <w:r>
              <w:rPr>
                <w:rFonts w:hint="default" w:ascii="Times New Roman" w:hAnsi="Times New Roman" w:eastAsia="宋体" w:cs="Times New Roman"/>
                <w:color w:val="000000"/>
                <w:kern w:val="0"/>
                <w:sz w:val="15"/>
                <w:szCs w:val="15"/>
                <w:lang w:val="en-US" w:eastAsia="zh-CN" w:bidi="ar"/>
                <w14:ligatures w14:val="standardContextual"/>
              </w:rPr>
              <w:t>mm</w:t>
            </w:r>
            <w:r>
              <w:rPr>
                <w:rFonts w:hint="eastAsia" w:ascii="Times New Roman" w:hAnsi="Times New Roman" w:eastAsia="宋体" w:cs="Times New Roman"/>
                <w:color w:val="000000"/>
                <w:kern w:val="0"/>
                <w:sz w:val="15"/>
                <w:szCs w:val="15"/>
                <w:lang w:val="en-US" w:eastAsia="zh-CN" w:bidi="ar"/>
                <w14:ligatures w14:val="standardContextual"/>
              </w:rPr>
              <w:t>）</w:t>
            </w:r>
          </w:p>
        </w:tc>
        <w:tc>
          <w:tcPr>
            <w:tcW w:w="828" w:type="dxa"/>
            <w:tcBorders>
              <w:top w:val="nil"/>
              <w:left w:val="nil"/>
              <w:bottom w:val="nil"/>
              <w:right w:val="nil"/>
            </w:tcBorders>
            <w:shd w:val="clear" w:color="auto" w:fill="auto"/>
            <w:noWrap/>
            <w:vAlign w:val="center"/>
          </w:tcPr>
          <w:p w14:paraId="3D968057">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15"/>
                <w:szCs w:val="15"/>
                <w:lang w:val="en-US"/>
              </w:rPr>
            </w:pPr>
            <w:r>
              <w:rPr>
                <w:rFonts w:hint="default" w:ascii="Times New Roman" w:hAnsi="Times New Roman" w:eastAsia="宋体" w:cs="Times New Roman"/>
                <w:color w:val="000000"/>
                <w:kern w:val="0"/>
                <w:sz w:val="15"/>
                <w:szCs w:val="15"/>
                <w:lang w:val="en-US" w:eastAsia="zh-CN" w:bidi="ar"/>
                <w14:ligatures w14:val="standardContextual"/>
              </w:rPr>
              <w:t>0.90</w:t>
            </w:r>
          </w:p>
        </w:tc>
        <w:tc>
          <w:tcPr>
            <w:tcW w:w="795" w:type="dxa"/>
            <w:tcBorders>
              <w:top w:val="nil"/>
              <w:left w:val="nil"/>
              <w:bottom w:val="nil"/>
              <w:right w:val="nil"/>
            </w:tcBorders>
            <w:shd w:val="clear" w:color="auto" w:fill="auto"/>
            <w:noWrap/>
            <w:vAlign w:val="center"/>
          </w:tcPr>
          <w:p w14:paraId="70E1C89F">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15"/>
                <w:szCs w:val="15"/>
                <w:lang w:val="en-US"/>
              </w:rPr>
            </w:pPr>
            <w:r>
              <w:rPr>
                <w:rFonts w:hint="default" w:ascii="Times New Roman" w:hAnsi="Times New Roman" w:eastAsia="宋体" w:cs="Times New Roman"/>
                <w:color w:val="000000"/>
                <w:kern w:val="0"/>
                <w:sz w:val="15"/>
                <w:szCs w:val="15"/>
                <w:lang w:val="en-US" w:eastAsia="zh-CN" w:bidi="ar"/>
                <w14:ligatures w14:val="standardContextual"/>
              </w:rPr>
              <w:t>3.35</w:t>
            </w:r>
          </w:p>
        </w:tc>
        <w:tc>
          <w:tcPr>
            <w:tcW w:w="796" w:type="dxa"/>
            <w:tcBorders>
              <w:top w:val="nil"/>
              <w:left w:val="nil"/>
              <w:bottom w:val="nil"/>
              <w:right w:val="nil"/>
            </w:tcBorders>
            <w:shd w:val="clear" w:color="auto" w:fill="auto"/>
            <w:noWrap/>
            <w:vAlign w:val="center"/>
          </w:tcPr>
          <w:p w14:paraId="6E24E15F">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15"/>
                <w:szCs w:val="15"/>
                <w:lang w:val="en-US"/>
              </w:rPr>
            </w:pPr>
            <w:r>
              <w:rPr>
                <w:rFonts w:hint="default" w:ascii="Times New Roman" w:hAnsi="Times New Roman" w:eastAsia="宋体" w:cs="Times New Roman"/>
                <w:color w:val="000000"/>
                <w:kern w:val="0"/>
                <w:sz w:val="15"/>
                <w:szCs w:val="15"/>
                <w:lang w:val="en-US" w:eastAsia="zh-CN" w:bidi="ar"/>
                <w14:ligatures w14:val="standardContextual"/>
              </w:rPr>
              <w:t>1.90</w:t>
            </w:r>
          </w:p>
        </w:tc>
        <w:tc>
          <w:tcPr>
            <w:tcW w:w="749" w:type="dxa"/>
            <w:tcBorders>
              <w:top w:val="nil"/>
              <w:left w:val="nil"/>
              <w:bottom w:val="nil"/>
              <w:right w:val="nil"/>
            </w:tcBorders>
            <w:shd w:val="clear" w:color="auto" w:fill="auto"/>
            <w:noWrap/>
            <w:vAlign w:val="center"/>
          </w:tcPr>
          <w:p w14:paraId="75F619CD">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15"/>
                <w:szCs w:val="15"/>
                <w:lang w:val="en-US"/>
              </w:rPr>
            </w:pPr>
            <w:r>
              <w:rPr>
                <w:rFonts w:hint="default" w:ascii="Times New Roman" w:hAnsi="Times New Roman" w:eastAsia="宋体" w:cs="Times New Roman"/>
                <w:color w:val="000000"/>
                <w:kern w:val="0"/>
                <w:sz w:val="15"/>
                <w:szCs w:val="15"/>
                <w:lang w:val="en-US" w:eastAsia="zh-CN" w:bidi="ar"/>
                <w14:ligatures w14:val="standardContextual"/>
              </w:rPr>
              <w:t>0.52</w:t>
            </w:r>
          </w:p>
        </w:tc>
        <w:tc>
          <w:tcPr>
            <w:tcW w:w="532" w:type="dxa"/>
            <w:tcBorders>
              <w:top w:val="nil"/>
              <w:left w:val="nil"/>
              <w:bottom w:val="nil"/>
              <w:right w:val="nil"/>
            </w:tcBorders>
            <w:shd w:val="clear" w:color="auto" w:fill="auto"/>
            <w:noWrap/>
            <w:vAlign w:val="center"/>
          </w:tcPr>
          <w:p w14:paraId="41635913">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15"/>
                <w:szCs w:val="15"/>
                <w:lang w:val="en-US"/>
              </w:rPr>
            </w:pPr>
            <w:r>
              <w:rPr>
                <w:rFonts w:hint="default" w:ascii="Times New Roman" w:hAnsi="Times New Roman" w:eastAsia="宋体" w:cs="Times New Roman"/>
                <w:color w:val="000000"/>
                <w:kern w:val="0"/>
                <w:sz w:val="15"/>
                <w:szCs w:val="15"/>
                <w:lang w:val="en-US" w:eastAsia="zh-CN" w:bidi="ar"/>
                <w14:ligatures w14:val="standardContextual"/>
              </w:rPr>
              <w:t>0.27</w:t>
            </w:r>
          </w:p>
        </w:tc>
        <w:tc>
          <w:tcPr>
            <w:tcW w:w="863" w:type="dxa"/>
            <w:tcBorders>
              <w:top w:val="nil"/>
              <w:left w:val="nil"/>
              <w:bottom w:val="nil"/>
              <w:right w:val="nil"/>
            </w:tcBorders>
            <w:shd w:val="clear" w:color="auto" w:fill="auto"/>
            <w:noWrap/>
            <w:vAlign w:val="center"/>
          </w:tcPr>
          <w:p w14:paraId="714458B0">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15"/>
                <w:szCs w:val="15"/>
                <w:lang w:val="en-US"/>
              </w:rPr>
            </w:pPr>
            <w:r>
              <w:rPr>
                <w:rFonts w:hint="default" w:ascii="Times New Roman" w:hAnsi="Times New Roman" w:eastAsia="宋体" w:cs="Times New Roman"/>
                <w:color w:val="000000"/>
                <w:kern w:val="0"/>
                <w:sz w:val="15"/>
                <w:szCs w:val="15"/>
                <w:lang w:val="en-US" w:eastAsia="zh-CN" w:bidi="ar"/>
                <w14:ligatures w14:val="standardContextual"/>
              </w:rPr>
              <w:t>27.54</w:t>
            </w:r>
          </w:p>
        </w:tc>
        <w:tc>
          <w:tcPr>
            <w:tcW w:w="1497" w:type="dxa"/>
            <w:tcBorders>
              <w:top w:val="nil"/>
              <w:left w:val="nil"/>
              <w:bottom w:val="nil"/>
              <w:right w:val="nil"/>
            </w:tcBorders>
            <w:shd w:val="clear" w:color="auto" w:fill="auto"/>
            <w:vAlign w:val="center"/>
          </w:tcPr>
          <w:p w14:paraId="5344E881">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15"/>
                <w:szCs w:val="15"/>
                <w:lang w:val="en-US"/>
              </w:rPr>
            </w:pPr>
            <w:r>
              <w:rPr>
                <w:rFonts w:hint="default" w:ascii="Times New Roman" w:hAnsi="Times New Roman" w:eastAsia="宋体" w:cs="Times New Roman"/>
                <w:color w:val="000000"/>
                <w:kern w:val="0"/>
                <w:sz w:val="15"/>
                <w:szCs w:val="15"/>
                <w:lang w:val="en-US" w:eastAsia="zh-CN" w:bidi="ar"/>
                <w14:ligatures w14:val="standardContextual"/>
              </w:rPr>
              <w:t>1.43</w:t>
            </w:r>
          </w:p>
        </w:tc>
      </w:tr>
      <w:tr w14:paraId="286F3788">
        <w:tblPrEx>
          <w:tblBorders>
            <w:top w:val="single" w:color="auto" w:sz="8" w:space="0"/>
            <w:left w:val="none" w:color="auto" w:sz="6" w:space="0"/>
            <w:bottom w:val="single" w:color="auto" w:sz="8" w:space="0"/>
            <w:right w:val="none" w:color="auto" w:sz="6" w:space="0"/>
            <w:insideH w:val="outset" w:color="auto" w:sz="6" w:space="0"/>
            <w:insideV w:val="outset" w:color="auto" w:sz="6" w:space="0"/>
          </w:tblBorders>
          <w:tblCellMar>
            <w:top w:w="0" w:type="dxa"/>
            <w:left w:w="108" w:type="dxa"/>
            <w:bottom w:w="0" w:type="dxa"/>
            <w:right w:w="108" w:type="dxa"/>
          </w:tblCellMar>
        </w:tblPrEx>
        <w:trPr>
          <w:trHeight w:val="353" w:hRule="atLeast"/>
          <w:jc w:val="center"/>
        </w:trPr>
        <w:tc>
          <w:tcPr>
            <w:tcW w:w="1393" w:type="dxa"/>
            <w:tcBorders>
              <w:top w:val="nil"/>
              <w:left w:val="nil"/>
              <w:bottom w:val="nil"/>
              <w:right w:val="nil"/>
            </w:tcBorders>
            <w:shd w:val="clear" w:color="auto" w:fill="auto"/>
            <w:vAlign w:val="center"/>
          </w:tcPr>
          <w:p w14:paraId="75182B3E">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15"/>
                <w:szCs w:val="15"/>
                <w:lang w:val="en-US"/>
              </w:rPr>
            </w:pPr>
            <w:r>
              <w:rPr>
                <w:rFonts w:hint="eastAsia" w:ascii="Times New Roman" w:hAnsi="Times New Roman" w:eastAsia="宋体" w:cs="Times New Roman"/>
                <w:color w:val="000000"/>
                <w:kern w:val="0"/>
                <w:sz w:val="15"/>
                <w:szCs w:val="15"/>
                <w:lang w:val="en-US" w:eastAsia="zh-CN" w:bidi="ar"/>
                <w14:ligatures w14:val="standardContextual"/>
              </w:rPr>
              <w:t>花序长（</w:t>
            </w:r>
            <w:r>
              <w:rPr>
                <w:rFonts w:hint="default" w:ascii="Times New Roman" w:hAnsi="Times New Roman" w:eastAsia="宋体" w:cs="Times New Roman"/>
                <w:color w:val="000000"/>
                <w:kern w:val="0"/>
                <w:sz w:val="15"/>
                <w:szCs w:val="15"/>
                <w:lang w:val="en-US" w:eastAsia="zh-CN" w:bidi="ar"/>
                <w14:ligatures w14:val="standardContextual"/>
              </w:rPr>
              <w:t>mm</w:t>
            </w:r>
            <w:r>
              <w:rPr>
                <w:rFonts w:hint="eastAsia" w:ascii="Times New Roman" w:hAnsi="Times New Roman" w:eastAsia="宋体" w:cs="Times New Roman"/>
                <w:color w:val="000000"/>
                <w:kern w:val="0"/>
                <w:sz w:val="15"/>
                <w:szCs w:val="15"/>
                <w:lang w:val="en-US" w:eastAsia="zh-CN" w:bidi="ar"/>
                <w14:ligatures w14:val="standardContextual"/>
              </w:rPr>
              <w:t>）</w:t>
            </w:r>
          </w:p>
        </w:tc>
        <w:tc>
          <w:tcPr>
            <w:tcW w:w="828" w:type="dxa"/>
            <w:tcBorders>
              <w:top w:val="nil"/>
              <w:left w:val="nil"/>
              <w:bottom w:val="nil"/>
              <w:right w:val="nil"/>
            </w:tcBorders>
            <w:shd w:val="clear" w:color="auto" w:fill="auto"/>
            <w:noWrap/>
            <w:vAlign w:val="center"/>
          </w:tcPr>
          <w:p w14:paraId="0914049E">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15"/>
                <w:szCs w:val="15"/>
                <w:lang w:val="en-US"/>
              </w:rPr>
            </w:pPr>
            <w:r>
              <w:rPr>
                <w:rFonts w:hint="default" w:ascii="Times New Roman" w:hAnsi="Times New Roman" w:eastAsia="宋体" w:cs="Times New Roman"/>
                <w:color w:val="000000"/>
                <w:kern w:val="0"/>
                <w:sz w:val="15"/>
                <w:szCs w:val="15"/>
                <w:lang w:val="en-US" w:eastAsia="zh-CN" w:bidi="ar"/>
                <w14:ligatures w14:val="standardContextual"/>
              </w:rPr>
              <w:t>4.94</w:t>
            </w:r>
          </w:p>
        </w:tc>
        <w:tc>
          <w:tcPr>
            <w:tcW w:w="795" w:type="dxa"/>
            <w:tcBorders>
              <w:top w:val="nil"/>
              <w:left w:val="nil"/>
              <w:bottom w:val="nil"/>
              <w:right w:val="nil"/>
            </w:tcBorders>
            <w:shd w:val="clear" w:color="auto" w:fill="auto"/>
            <w:noWrap/>
            <w:vAlign w:val="center"/>
          </w:tcPr>
          <w:p w14:paraId="7C145E0C">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15"/>
                <w:szCs w:val="15"/>
                <w:lang w:val="en-US"/>
              </w:rPr>
            </w:pPr>
            <w:r>
              <w:rPr>
                <w:rFonts w:hint="default" w:ascii="Times New Roman" w:hAnsi="Times New Roman" w:eastAsia="宋体" w:cs="Times New Roman"/>
                <w:color w:val="000000"/>
                <w:kern w:val="0"/>
                <w:sz w:val="15"/>
                <w:szCs w:val="15"/>
                <w:lang w:val="en-US" w:eastAsia="zh-CN" w:bidi="ar"/>
                <w14:ligatures w14:val="standardContextual"/>
              </w:rPr>
              <w:t>16.63</w:t>
            </w:r>
          </w:p>
        </w:tc>
        <w:tc>
          <w:tcPr>
            <w:tcW w:w="796" w:type="dxa"/>
            <w:tcBorders>
              <w:top w:val="nil"/>
              <w:left w:val="nil"/>
              <w:bottom w:val="nil"/>
              <w:right w:val="nil"/>
            </w:tcBorders>
            <w:shd w:val="clear" w:color="auto" w:fill="auto"/>
            <w:noWrap/>
            <w:vAlign w:val="center"/>
          </w:tcPr>
          <w:p w14:paraId="64A4B578">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15"/>
                <w:szCs w:val="15"/>
                <w:lang w:val="en-US"/>
              </w:rPr>
            </w:pPr>
            <w:r>
              <w:rPr>
                <w:rFonts w:hint="default" w:ascii="Times New Roman" w:hAnsi="Times New Roman" w:eastAsia="宋体" w:cs="Times New Roman"/>
                <w:color w:val="000000"/>
                <w:kern w:val="0"/>
                <w:sz w:val="15"/>
                <w:szCs w:val="15"/>
                <w:lang w:val="en-US" w:eastAsia="zh-CN" w:bidi="ar"/>
                <w14:ligatures w14:val="standardContextual"/>
              </w:rPr>
              <w:t>8.71</w:t>
            </w:r>
          </w:p>
        </w:tc>
        <w:tc>
          <w:tcPr>
            <w:tcW w:w="749" w:type="dxa"/>
            <w:tcBorders>
              <w:top w:val="nil"/>
              <w:left w:val="nil"/>
              <w:bottom w:val="nil"/>
              <w:right w:val="nil"/>
            </w:tcBorders>
            <w:shd w:val="clear" w:color="auto" w:fill="auto"/>
            <w:noWrap/>
            <w:vAlign w:val="center"/>
          </w:tcPr>
          <w:p w14:paraId="6EC443EC">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15"/>
                <w:szCs w:val="15"/>
                <w:lang w:val="en-US"/>
              </w:rPr>
            </w:pPr>
            <w:r>
              <w:rPr>
                <w:rFonts w:hint="default" w:ascii="Times New Roman" w:hAnsi="Times New Roman" w:eastAsia="宋体" w:cs="Times New Roman"/>
                <w:color w:val="000000"/>
                <w:kern w:val="0"/>
                <w:sz w:val="15"/>
                <w:szCs w:val="15"/>
                <w:lang w:val="en-US" w:eastAsia="zh-CN" w:bidi="ar"/>
                <w14:ligatures w14:val="standardContextual"/>
              </w:rPr>
              <w:t>1.79</w:t>
            </w:r>
          </w:p>
        </w:tc>
        <w:tc>
          <w:tcPr>
            <w:tcW w:w="532" w:type="dxa"/>
            <w:tcBorders>
              <w:top w:val="nil"/>
              <w:left w:val="nil"/>
              <w:bottom w:val="nil"/>
              <w:right w:val="nil"/>
            </w:tcBorders>
            <w:shd w:val="clear" w:color="auto" w:fill="auto"/>
            <w:noWrap/>
            <w:vAlign w:val="center"/>
          </w:tcPr>
          <w:p w14:paraId="6E857191">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15"/>
                <w:szCs w:val="15"/>
                <w:lang w:val="en-US"/>
              </w:rPr>
            </w:pPr>
            <w:r>
              <w:rPr>
                <w:rFonts w:hint="default" w:ascii="Times New Roman" w:hAnsi="Times New Roman" w:eastAsia="宋体" w:cs="Times New Roman"/>
                <w:color w:val="000000"/>
                <w:kern w:val="0"/>
                <w:sz w:val="15"/>
                <w:szCs w:val="15"/>
                <w:lang w:val="en-US" w:eastAsia="zh-CN" w:bidi="ar"/>
                <w14:ligatures w14:val="standardContextual"/>
              </w:rPr>
              <w:t>3.20</w:t>
            </w:r>
          </w:p>
        </w:tc>
        <w:tc>
          <w:tcPr>
            <w:tcW w:w="863" w:type="dxa"/>
            <w:tcBorders>
              <w:top w:val="nil"/>
              <w:left w:val="nil"/>
              <w:bottom w:val="nil"/>
              <w:right w:val="nil"/>
            </w:tcBorders>
            <w:shd w:val="clear" w:color="auto" w:fill="auto"/>
            <w:noWrap/>
            <w:vAlign w:val="center"/>
          </w:tcPr>
          <w:p w14:paraId="56E6F155">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15"/>
                <w:szCs w:val="15"/>
                <w:lang w:val="en-US"/>
              </w:rPr>
            </w:pPr>
            <w:r>
              <w:rPr>
                <w:rFonts w:hint="default" w:ascii="Times New Roman" w:hAnsi="Times New Roman" w:eastAsia="宋体" w:cs="Times New Roman"/>
                <w:color w:val="000000"/>
                <w:kern w:val="0"/>
                <w:sz w:val="15"/>
                <w:szCs w:val="15"/>
                <w:lang w:val="en-US" w:eastAsia="zh-CN" w:bidi="ar"/>
                <w14:ligatures w14:val="standardContextual"/>
              </w:rPr>
              <w:t>20.56</w:t>
            </w:r>
          </w:p>
        </w:tc>
        <w:tc>
          <w:tcPr>
            <w:tcW w:w="1497" w:type="dxa"/>
            <w:tcBorders>
              <w:top w:val="nil"/>
              <w:left w:val="nil"/>
              <w:bottom w:val="nil"/>
              <w:right w:val="nil"/>
            </w:tcBorders>
            <w:shd w:val="clear" w:color="auto" w:fill="auto"/>
            <w:vAlign w:val="center"/>
          </w:tcPr>
          <w:p w14:paraId="7FD1FA63">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15"/>
                <w:szCs w:val="15"/>
                <w:lang w:val="en-US"/>
              </w:rPr>
            </w:pPr>
            <w:r>
              <w:rPr>
                <w:rFonts w:hint="default" w:ascii="Times New Roman" w:hAnsi="Times New Roman" w:eastAsia="宋体" w:cs="Times New Roman"/>
                <w:color w:val="000000"/>
                <w:kern w:val="0"/>
                <w:sz w:val="15"/>
                <w:szCs w:val="15"/>
                <w:lang w:val="en-US" w:eastAsia="zh-CN" w:bidi="ar"/>
                <w14:ligatures w14:val="standardContextual"/>
              </w:rPr>
              <w:t>1.16</w:t>
            </w:r>
          </w:p>
        </w:tc>
      </w:tr>
      <w:tr w14:paraId="0F2408D7">
        <w:tblPrEx>
          <w:tblBorders>
            <w:top w:val="single" w:color="auto" w:sz="8" w:space="0"/>
            <w:left w:val="none" w:color="auto" w:sz="6" w:space="0"/>
            <w:bottom w:val="single" w:color="auto" w:sz="8" w:space="0"/>
            <w:right w:val="none" w:color="auto" w:sz="6" w:space="0"/>
            <w:insideH w:val="outset" w:color="auto" w:sz="6" w:space="0"/>
            <w:insideV w:val="outset" w:color="auto" w:sz="6" w:space="0"/>
          </w:tblBorders>
          <w:tblCellMar>
            <w:top w:w="0" w:type="dxa"/>
            <w:left w:w="108" w:type="dxa"/>
            <w:bottom w:w="0" w:type="dxa"/>
            <w:right w:w="108" w:type="dxa"/>
          </w:tblCellMar>
        </w:tblPrEx>
        <w:trPr>
          <w:trHeight w:val="353" w:hRule="atLeast"/>
          <w:jc w:val="center"/>
        </w:trPr>
        <w:tc>
          <w:tcPr>
            <w:tcW w:w="1393" w:type="dxa"/>
            <w:tcBorders>
              <w:top w:val="nil"/>
              <w:left w:val="nil"/>
              <w:bottom w:val="nil"/>
              <w:right w:val="nil"/>
            </w:tcBorders>
            <w:shd w:val="clear" w:color="auto" w:fill="auto"/>
            <w:vAlign w:val="center"/>
          </w:tcPr>
          <w:p w14:paraId="21CD16EB">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15"/>
                <w:szCs w:val="15"/>
                <w:lang w:val="en-US"/>
              </w:rPr>
            </w:pPr>
            <w:r>
              <w:rPr>
                <w:rFonts w:hint="eastAsia" w:ascii="Times New Roman" w:hAnsi="Times New Roman" w:eastAsia="宋体" w:cs="Times New Roman"/>
                <w:color w:val="000000"/>
                <w:kern w:val="0"/>
                <w:sz w:val="15"/>
                <w:szCs w:val="15"/>
                <w:lang w:val="en-US" w:eastAsia="zh-CN" w:bidi="ar"/>
                <w14:ligatures w14:val="standardContextual"/>
              </w:rPr>
              <w:t>花序宽（</w:t>
            </w:r>
            <w:r>
              <w:rPr>
                <w:rFonts w:hint="default" w:ascii="Times New Roman" w:hAnsi="Times New Roman" w:eastAsia="宋体" w:cs="Times New Roman"/>
                <w:color w:val="000000"/>
                <w:kern w:val="0"/>
                <w:sz w:val="15"/>
                <w:szCs w:val="15"/>
                <w:lang w:val="en-US" w:eastAsia="zh-CN" w:bidi="ar"/>
                <w14:ligatures w14:val="standardContextual"/>
              </w:rPr>
              <w:t>mm</w:t>
            </w:r>
            <w:r>
              <w:rPr>
                <w:rFonts w:hint="eastAsia" w:ascii="Times New Roman" w:hAnsi="Times New Roman" w:eastAsia="宋体" w:cs="Times New Roman"/>
                <w:color w:val="000000"/>
                <w:kern w:val="0"/>
                <w:sz w:val="15"/>
                <w:szCs w:val="15"/>
                <w:lang w:val="en-US" w:eastAsia="zh-CN" w:bidi="ar"/>
                <w14:ligatures w14:val="standardContextual"/>
              </w:rPr>
              <w:t>）</w:t>
            </w:r>
          </w:p>
        </w:tc>
        <w:tc>
          <w:tcPr>
            <w:tcW w:w="828" w:type="dxa"/>
            <w:tcBorders>
              <w:top w:val="nil"/>
              <w:left w:val="nil"/>
              <w:bottom w:val="nil"/>
              <w:right w:val="nil"/>
            </w:tcBorders>
            <w:shd w:val="clear" w:color="auto" w:fill="auto"/>
            <w:noWrap/>
            <w:vAlign w:val="center"/>
          </w:tcPr>
          <w:p w14:paraId="46E7BCF3">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15"/>
                <w:szCs w:val="15"/>
                <w:lang w:val="en-US"/>
              </w:rPr>
            </w:pPr>
            <w:r>
              <w:rPr>
                <w:rFonts w:hint="default" w:ascii="Times New Roman" w:hAnsi="Times New Roman" w:eastAsia="宋体" w:cs="Times New Roman"/>
                <w:color w:val="000000"/>
                <w:kern w:val="0"/>
                <w:sz w:val="15"/>
                <w:szCs w:val="15"/>
                <w:lang w:val="en-US" w:eastAsia="zh-CN" w:bidi="ar"/>
                <w14:ligatures w14:val="standardContextual"/>
              </w:rPr>
              <w:t>0.56</w:t>
            </w:r>
          </w:p>
        </w:tc>
        <w:tc>
          <w:tcPr>
            <w:tcW w:w="795" w:type="dxa"/>
            <w:tcBorders>
              <w:top w:val="nil"/>
              <w:left w:val="nil"/>
              <w:bottom w:val="nil"/>
              <w:right w:val="nil"/>
            </w:tcBorders>
            <w:shd w:val="clear" w:color="auto" w:fill="auto"/>
            <w:noWrap/>
            <w:vAlign w:val="center"/>
          </w:tcPr>
          <w:p w14:paraId="26E7B430">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15"/>
                <w:szCs w:val="15"/>
                <w:lang w:val="en-US"/>
              </w:rPr>
            </w:pPr>
            <w:r>
              <w:rPr>
                <w:rFonts w:hint="default" w:ascii="Times New Roman" w:hAnsi="Times New Roman" w:eastAsia="宋体" w:cs="Times New Roman"/>
                <w:color w:val="000000"/>
                <w:kern w:val="0"/>
                <w:sz w:val="15"/>
                <w:szCs w:val="15"/>
                <w:lang w:val="en-US" w:eastAsia="zh-CN" w:bidi="ar"/>
                <w14:ligatures w14:val="standardContextual"/>
              </w:rPr>
              <w:t>3.71</w:t>
            </w:r>
          </w:p>
        </w:tc>
        <w:tc>
          <w:tcPr>
            <w:tcW w:w="796" w:type="dxa"/>
            <w:tcBorders>
              <w:top w:val="nil"/>
              <w:left w:val="nil"/>
              <w:bottom w:val="nil"/>
              <w:right w:val="nil"/>
            </w:tcBorders>
            <w:shd w:val="clear" w:color="auto" w:fill="auto"/>
            <w:noWrap/>
            <w:vAlign w:val="center"/>
          </w:tcPr>
          <w:p w14:paraId="41371394">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15"/>
                <w:szCs w:val="15"/>
                <w:lang w:val="en-US"/>
              </w:rPr>
            </w:pPr>
            <w:r>
              <w:rPr>
                <w:rFonts w:hint="default" w:ascii="Times New Roman" w:hAnsi="Times New Roman" w:eastAsia="宋体" w:cs="Times New Roman"/>
                <w:color w:val="000000"/>
                <w:kern w:val="0"/>
                <w:sz w:val="15"/>
                <w:szCs w:val="15"/>
                <w:lang w:val="en-US" w:eastAsia="zh-CN" w:bidi="ar"/>
                <w14:ligatures w14:val="standardContextual"/>
              </w:rPr>
              <w:t>2.23</w:t>
            </w:r>
          </w:p>
        </w:tc>
        <w:tc>
          <w:tcPr>
            <w:tcW w:w="749" w:type="dxa"/>
            <w:tcBorders>
              <w:top w:val="nil"/>
              <w:left w:val="nil"/>
              <w:bottom w:val="nil"/>
              <w:right w:val="nil"/>
            </w:tcBorders>
            <w:shd w:val="clear" w:color="auto" w:fill="auto"/>
            <w:noWrap/>
            <w:vAlign w:val="center"/>
          </w:tcPr>
          <w:p w14:paraId="2F243842">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15"/>
                <w:szCs w:val="15"/>
                <w:lang w:val="en-US"/>
              </w:rPr>
            </w:pPr>
            <w:r>
              <w:rPr>
                <w:rFonts w:hint="default" w:ascii="Times New Roman" w:hAnsi="Times New Roman" w:eastAsia="宋体" w:cs="Times New Roman"/>
                <w:color w:val="000000"/>
                <w:kern w:val="0"/>
                <w:sz w:val="15"/>
                <w:szCs w:val="15"/>
                <w:lang w:val="en-US" w:eastAsia="zh-CN" w:bidi="ar"/>
                <w14:ligatures w14:val="standardContextual"/>
              </w:rPr>
              <w:t>0.64</w:t>
            </w:r>
          </w:p>
        </w:tc>
        <w:tc>
          <w:tcPr>
            <w:tcW w:w="532" w:type="dxa"/>
            <w:tcBorders>
              <w:top w:val="nil"/>
              <w:left w:val="nil"/>
              <w:bottom w:val="nil"/>
              <w:right w:val="nil"/>
            </w:tcBorders>
            <w:shd w:val="clear" w:color="auto" w:fill="auto"/>
            <w:noWrap/>
            <w:vAlign w:val="center"/>
          </w:tcPr>
          <w:p w14:paraId="5EA431E9">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15"/>
                <w:szCs w:val="15"/>
                <w:lang w:val="en-US"/>
              </w:rPr>
            </w:pPr>
            <w:r>
              <w:rPr>
                <w:rFonts w:hint="default" w:ascii="Times New Roman" w:hAnsi="Times New Roman" w:eastAsia="宋体" w:cs="Times New Roman"/>
                <w:color w:val="000000"/>
                <w:kern w:val="0"/>
                <w:sz w:val="15"/>
                <w:szCs w:val="15"/>
                <w:lang w:val="en-US" w:eastAsia="zh-CN" w:bidi="ar"/>
                <w14:ligatures w14:val="standardContextual"/>
              </w:rPr>
              <w:t>0.40</w:t>
            </w:r>
          </w:p>
        </w:tc>
        <w:tc>
          <w:tcPr>
            <w:tcW w:w="863" w:type="dxa"/>
            <w:tcBorders>
              <w:top w:val="nil"/>
              <w:left w:val="nil"/>
              <w:bottom w:val="nil"/>
              <w:right w:val="nil"/>
            </w:tcBorders>
            <w:shd w:val="clear" w:color="auto" w:fill="auto"/>
            <w:noWrap/>
            <w:vAlign w:val="center"/>
          </w:tcPr>
          <w:p w14:paraId="1248BF4A">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15"/>
                <w:szCs w:val="15"/>
                <w:lang w:val="en-US"/>
              </w:rPr>
            </w:pPr>
            <w:r>
              <w:rPr>
                <w:rFonts w:hint="default" w:ascii="Times New Roman" w:hAnsi="Times New Roman" w:eastAsia="宋体" w:cs="Times New Roman"/>
                <w:color w:val="000000"/>
                <w:kern w:val="0"/>
                <w:sz w:val="15"/>
                <w:szCs w:val="15"/>
                <w:lang w:val="en-US" w:eastAsia="zh-CN" w:bidi="ar"/>
                <w14:ligatures w14:val="standardContextual"/>
              </w:rPr>
              <w:t>28.50</w:t>
            </w:r>
          </w:p>
        </w:tc>
        <w:tc>
          <w:tcPr>
            <w:tcW w:w="1497" w:type="dxa"/>
            <w:tcBorders>
              <w:top w:val="nil"/>
              <w:left w:val="nil"/>
              <w:bottom w:val="nil"/>
              <w:right w:val="nil"/>
            </w:tcBorders>
            <w:shd w:val="clear" w:color="auto" w:fill="auto"/>
            <w:vAlign w:val="center"/>
          </w:tcPr>
          <w:p w14:paraId="573AB163">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15"/>
                <w:szCs w:val="15"/>
                <w:lang w:val="en-US"/>
              </w:rPr>
            </w:pPr>
            <w:r>
              <w:rPr>
                <w:rFonts w:hint="default" w:ascii="Times New Roman" w:hAnsi="Times New Roman" w:eastAsia="宋体" w:cs="Times New Roman"/>
                <w:color w:val="000000"/>
                <w:kern w:val="0"/>
                <w:sz w:val="15"/>
                <w:szCs w:val="15"/>
                <w:lang w:val="en-US" w:eastAsia="zh-CN" w:bidi="ar"/>
                <w14:ligatures w14:val="standardContextual"/>
              </w:rPr>
              <w:t>1.44</w:t>
            </w:r>
          </w:p>
        </w:tc>
      </w:tr>
      <w:tr w14:paraId="2673FBB2">
        <w:tblPrEx>
          <w:tblBorders>
            <w:top w:val="single" w:color="auto" w:sz="8" w:space="0"/>
            <w:left w:val="none" w:color="auto" w:sz="6" w:space="0"/>
            <w:bottom w:val="single" w:color="auto" w:sz="8" w:space="0"/>
            <w:right w:val="none" w:color="auto" w:sz="6" w:space="0"/>
            <w:insideH w:val="outset" w:color="auto" w:sz="6" w:space="0"/>
            <w:insideV w:val="outset" w:color="auto" w:sz="6" w:space="0"/>
          </w:tblBorders>
          <w:tblCellMar>
            <w:top w:w="0" w:type="dxa"/>
            <w:left w:w="108" w:type="dxa"/>
            <w:bottom w:w="0" w:type="dxa"/>
            <w:right w:w="108" w:type="dxa"/>
          </w:tblCellMar>
        </w:tblPrEx>
        <w:trPr>
          <w:trHeight w:val="176" w:hRule="atLeast"/>
          <w:jc w:val="center"/>
        </w:trPr>
        <w:tc>
          <w:tcPr>
            <w:tcW w:w="1393" w:type="dxa"/>
            <w:tcBorders>
              <w:top w:val="nil"/>
              <w:left w:val="nil"/>
              <w:bottom w:val="nil"/>
              <w:right w:val="nil"/>
            </w:tcBorders>
            <w:shd w:val="clear" w:color="auto" w:fill="auto"/>
            <w:vAlign w:val="center"/>
          </w:tcPr>
          <w:p w14:paraId="6C25126F">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15"/>
                <w:szCs w:val="15"/>
                <w:lang w:val="en-US"/>
              </w:rPr>
            </w:pPr>
            <w:r>
              <w:rPr>
                <w:rFonts w:hint="eastAsia" w:ascii="Times New Roman" w:hAnsi="Times New Roman" w:eastAsia="宋体" w:cs="Times New Roman"/>
                <w:color w:val="000000"/>
                <w:kern w:val="0"/>
                <w:sz w:val="15"/>
                <w:szCs w:val="15"/>
                <w:lang w:val="en-US" w:eastAsia="zh-CN" w:bidi="ar"/>
                <w14:ligatures w14:val="standardContextual"/>
              </w:rPr>
              <w:t>小穗长（</w:t>
            </w:r>
            <w:r>
              <w:rPr>
                <w:rFonts w:hint="default" w:ascii="Times New Roman" w:hAnsi="Times New Roman" w:eastAsia="宋体" w:cs="Times New Roman"/>
                <w:color w:val="000000"/>
                <w:kern w:val="0"/>
                <w:sz w:val="15"/>
                <w:szCs w:val="15"/>
                <w:lang w:val="en-US" w:eastAsia="zh-CN" w:bidi="ar"/>
                <w14:ligatures w14:val="standardContextual"/>
              </w:rPr>
              <w:t>mm</w:t>
            </w:r>
            <w:r>
              <w:rPr>
                <w:rFonts w:hint="eastAsia" w:ascii="Times New Roman" w:hAnsi="Times New Roman" w:eastAsia="宋体" w:cs="Times New Roman"/>
                <w:color w:val="000000"/>
                <w:kern w:val="0"/>
                <w:sz w:val="15"/>
                <w:szCs w:val="15"/>
                <w:lang w:val="en-US" w:eastAsia="zh-CN" w:bidi="ar"/>
                <w14:ligatures w14:val="standardContextual"/>
              </w:rPr>
              <w:t>）</w:t>
            </w:r>
          </w:p>
        </w:tc>
        <w:tc>
          <w:tcPr>
            <w:tcW w:w="828" w:type="dxa"/>
            <w:tcBorders>
              <w:top w:val="nil"/>
              <w:left w:val="nil"/>
              <w:bottom w:val="nil"/>
              <w:right w:val="nil"/>
            </w:tcBorders>
            <w:shd w:val="clear" w:color="auto" w:fill="auto"/>
            <w:noWrap/>
            <w:vAlign w:val="center"/>
          </w:tcPr>
          <w:p w14:paraId="7EE849ED">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15"/>
                <w:szCs w:val="15"/>
                <w:lang w:val="en-US"/>
              </w:rPr>
            </w:pPr>
            <w:r>
              <w:rPr>
                <w:rFonts w:hint="default" w:ascii="Times New Roman" w:hAnsi="Times New Roman" w:eastAsia="宋体" w:cs="Times New Roman"/>
                <w:color w:val="000000"/>
                <w:kern w:val="0"/>
                <w:sz w:val="15"/>
                <w:szCs w:val="15"/>
                <w:lang w:val="en-US" w:eastAsia="zh-CN" w:bidi="ar"/>
                <w14:ligatures w14:val="standardContextual"/>
              </w:rPr>
              <w:t>7.95</w:t>
            </w:r>
          </w:p>
        </w:tc>
        <w:tc>
          <w:tcPr>
            <w:tcW w:w="795" w:type="dxa"/>
            <w:tcBorders>
              <w:top w:val="nil"/>
              <w:left w:val="nil"/>
              <w:bottom w:val="nil"/>
              <w:right w:val="nil"/>
            </w:tcBorders>
            <w:shd w:val="clear" w:color="auto" w:fill="auto"/>
            <w:noWrap/>
            <w:vAlign w:val="center"/>
          </w:tcPr>
          <w:p w14:paraId="014A7423">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15"/>
                <w:szCs w:val="15"/>
                <w:lang w:val="en-US"/>
              </w:rPr>
            </w:pPr>
            <w:r>
              <w:rPr>
                <w:rFonts w:hint="default" w:ascii="Times New Roman" w:hAnsi="Times New Roman" w:eastAsia="宋体" w:cs="Times New Roman"/>
                <w:color w:val="000000"/>
                <w:kern w:val="0"/>
                <w:sz w:val="15"/>
                <w:szCs w:val="15"/>
                <w:lang w:val="en-US" w:eastAsia="zh-CN" w:bidi="ar"/>
                <w14:ligatures w14:val="standardContextual"/>
              </w:rPr>
              <w:t>23.92</w:t>
            </w:r>
          </w:p>
        </w:tc>
        <w:tc>
          <w:tcPr>
            <w:tcW w:w="796" w:type="dxa"/>
            <w:tcBorders>
              <w:top w:val="nil"/>
              <w:left w:val="nil"/>
              <w:bottom w:val="nil"/>
              <w:right w:val="nil"/>
            </w:tcBorders>
            <w:shd w:val="clear" w:color="auto" w:fill="auto"/>
            <w:noWrap/>
            <w:vAlign w:val="center"/>
          </w:tcPr>
          <w:p w14:paraId="346831AB">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15"/>
                <w:szCs w:val="15"/>
                <w:lang w:val="en-US"/>
              </w:rPr>
            </w:pPr>
            <w:r>
              <w:rPr>
                <w:rFonts w:hint="default" w:ascii="Times New Roman" w:hAnsi="Times New Roman" w:eastAsia="宋体" w:cs="Times New Roman"/>
                <w:color w:val="000000"/>
                <w:kern w:val="0"/>
                <w:sz w:val="15"/>
                <w:szCs w:val="15"/>
                <w:lang w:val="en-US" w:eastAsia="zh-CN" w:bidi="ar"/>
                <w14:ligatures w14:val="standardContextual"/>
              </w:rPr>
              <w:t>16.07</w:t>
            </w:r>
          </w:p>
        </w:tc>
        <w:tc>
          <w:tcPr>
            <w:tcW w:w="749" w:type="dxa"/>
            <w:tcBorders>
              <w:top w:val="nil"/>
              <w:left w:val="nil"/>
              <w:bottom w:val="nil"/>
              <w:right w:val="nil"/>
            </w:tcBorders>
            <w:shd w:val="clear" w:color="auto" w:fill="auto"/>
            <w:noWrap/>
            <w:vAlign w:val="center"/>
          </w:tcPr>
          <w:p w14:paraId="655826BE">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15"/>
                <w:szCs w:val="15"/>
                <w:lang w:val="en-US"/>
              </w:rPr>
            </w:pPr>
            <w:r>
              <w:rPr>
                <w:rFonts w:hint="default" w:ascii="Times New Roman" w:hAnsi="Times New Roman" w:eastAsia="宋体" w:cs="Times New Roman"/>
                <w:color w:val="000000"/>
                <w:kern w:val="0"/>
                <w:sz w:val="15"/>
                <w:szCs w:val="15"/>
                <w:lang w:val="en-US" w:eastAsia="zh-CN" w:bidi="ar"/>
                <w14:ligatures w14:val="standardContextual"/>
              </w:rPr>
              <w:t>2.91</w:t>
            </w:r>
          </w:p>
        </w:tc>
        <w:tc>
          <w:tcPr>
            <w:tcW w:w="532" w:type="dxa"/>
            <w:tcBorders>
              <w:top w:val="nil"/>
              <w:left w:val="nil"/>
              <w:bottom w:val="nil"/>
              <w:right w:val="nil"/>
            </w:tcBorders>
            <w:shd w:val="clear" w:color="auto" w:fill="auto"/>
            <w:noWrap/>
            <w:vAlign w:val="center"/>
          </w:tcPr>
          <w:p w14:paraId="0FE5B20B">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15"/>
                <w:szCs w:val="15"/>
                <w:lang w:val="en-US"/>
              </w:rPr>
            </w:pPr>
            <w:r>
              <w:rPr>
                <w:rFonts w:hint="default" w:ascii="Times New Roman" w:hAnsi="Times New Roman" w:eastAsia="宋体" w:cs="Times New Roman"/>
                <w:color w:val="000000"/>
                <w:kern w:val="0"/>
                <w:sz w:val="15"/>
                <w:szCs w:val="15"/>
                <w:lang w:val="en-US" w:eastAsia="zh-CN" w:bidi="ar"/>
                <w14:ligatures w14:val="standardContextual"/>
              </w:rPr>
              <w:t>8.49</w:t>
            </w:r>
          </w:p>
        </w:tc>
        <w:tc>
          <w:tcPr>
            <w:tcW w:w="863" w:type="dxa"/>
            <w:tcBorders>
              <w:top w:val="nil"/>
              <w:left w:val="nil"/>
              <w:bottom w:val="nil"/>
              <w:right w:val="nil"/>
            </w:tcBorders>
            <w:shd w:val="clear" w:color="auto" w:fill="auto"/>
            <w:noWrap/>
            <w:vAlign w:val="center"/>
          </w:tcPr>
          <w:p w14:paraId="7558F918">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15"/>
                <w:szCs w:val="15"/>
                <w:lang w:val="en-US"/>
              </w:rPr>
            </w:pPr>
            <w:r>
              <w:rPr>
                <w:rFonts w:hint="default" w:ascii="Times New Roman" w:hAnsi="Times New Roman" w:eastAsia="宋体" w:cs="Times New Roman"/>
                <w:color w:val="000000"/>
                <w:kern w:val="0"/>
                <w:sz w:val="15"/>
                <w:szCs w:val="15"/>
                <w:lang w:val="en-US" w:eastAsia="zh-CN" w:bidi="ar"/>
                <w14:ligatures w14:val="standardContextual"/>
              </w:rPr>
              <w:t>18.14</w:t>
            </w:r>
          </w:p>
        </w:tc>
        <w:tc>
          <w:tcPr>
            <w:tcW w:w="1497" w:type="dxa"/>
            <w:tcBorders>
              <w:top w:val="nil"/>
              <w:left w:val="nil"/>
              <w:bottom w:val="nil"/>
              <w:right w:val="nil"/>
            </w:tcBorders>
            <w:shd w:val="clear" w:color="auto" w:fill="auto"/>
            <w:vAlign w:val="center"/>
          </w:tcPr>
          <w:p w14:paraId="260A007D">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15"/>
                <w:szCs w:val="15"/>
                <w:lang w:val="en-US"/>
              </w:rPr>
            </w:pPr>
            <w:r>
              <w:rPr>
                <w:rFonts w:hint="default" w:ascii="Times New Roman" w:hAnsi="Times New Roman" w:eastAsia="宋体" w:cs="Times New Roman"/>
                <w:color w:val="000000"/>
                <w:kern w:val="0"/>
                <w:sz w:val="15"/>
                <w:szCs w:val="15"/>
                <w:lang w:val="en-US" w:eastAsia="zh-CN" w:bidi="ar"/>
                <w14:ligatures w14:val="standardContextual"/>
              </w:rPr>
              <w:t>1.31</w:t>
            </w:r>
          </w:p>
        </w:tc>
      </w:tr>
      <w:tr w14:paraId="641BC467">
        <w:tblPrEx>
          <w:tblBorders>
            <w:top w:val="single" w:color="auto" w:sz="8" w:space="0"/>
            <w:left w:val="none" w:color="auto" w:sz="6" w:space="0"/>
            <w:bottom w:val="single" w:color="auto" w:sz="8" w:space="0"/>
            <w:right w:val="none" w:color="auto" w:sz="6" w:space="0"/>
            <w:insideH w:val="outset" w:color="auto" w:sz="6" w:space="0"/>
            <w:insideV w:val="outset" w:color="auto" w:sz="6" w:space="0"/>
          </w:tblBorders>
          <w:tblCellMar>
            <w:top w:w="0" w:type="dxa"/>
            <w:left w:w="108" w:type="dxa"/>
            <w:bottom w:w="0" w:type="dxa"/>
            <w:right w:w="108" w:type="dxa"/>
          </w:tblCellMar>
        </w:tblPrEx>
        <w:trPr>
          <w:trHeight w:val="176" w:hRule="atLeast"/>
          <w:jc w:val="center"/>
        </w:trPr>
        <w:tc>
          <w:tcPr>
            <w:tcW w:w="1393" w:type="dxa"/>
            <w:tcBorders>
              <w:top w:val="nil"/>
              <w:left w:val="nil"/>
              <w:bottom w:val="nil"/>
              <w:right w:val="nil"/>
            </w:tcBorders>
            <w:shd w:val="clear" w:color="auto" w:fill="auto"/>
            <w:vAlign w:val="center"/>
          </w:tcPr>
          <w:p w14:paraId="0756BFFE">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15"/>
                <w:szCs w:val="15"/>
                <w:lang w:val="en-US"/>
              </w:rPr>
            </w:pPr>
            <w:r>
              <w:rPr>
                <w:rFonts w:hint="eastAsia" w:ascii="Times New Roman" w:hAnsi="Times New Roman" w:eastAsia="宋体" w:cs="Times New Roman"/>
                <w:color w:val="000000"/>
                <w:kern w:val="0"/>
                <w:sz w:val="15"/>
                <w:szCs w:val="15"/>
                <w:lang w:val="en-US" w:eastAsia="zh-CN" w:bidi="ar"/>
                <w14:ligatures w14:val="standardContextual"/>
              </w:rPr>
              <w:t>小穗宽（</w:t>
            </w:r>
            <w:r>
              <w:rPr>
                <w:rFonts w:hint="default" w:ascii="Times New Roman" w:hAnsi="Times New Roman" w:eastAsia="宋体" w:cs="Times New Roman"/>
                <w:color w:val="000000"/>
                <w:kern w:val="0"/>
                <w:sz w:val="15"/>
                <w:szCs w:val="15"/>
                <w:lang w:val="en-US" w:eastAsia="zh-CN" w:bidi="ar"/>
                <w14:ligatures w14:val="standardContextual"/>
              </w:rPr>
              <w:t>mm</w:t>
            </w:r>
            <w:r>
              <w:rPr>
                <w:rFonts w:hint="eastAsia" w:ascii="Times New Roman" w:hAnsi="Times New Roman" w:eastAsia="宋体" w:cs="Times New Roman"/>
                <w:color w:val="000000"/>
                <w:kern w:val="0"/>
                <w:sz w:val="15"/>
                <w:szCs w:val="15"/>
                <w:lang w:val="en-US" w:eastAsia="zh-CN" w:bidi="ar"/>
                <w14:ligatures w14:val="standardContextual"/>
              </w:rPr>
              <w:t>）</w:t>
            </w:r>
          </w:p>
        </w:tc>
        <w:tc>
          <w:tcPr>
            <w:tcW w:w="828" w:type="dxa"/>
            <w:tcBorders>
              <w:top w:val="nil"/>
              <w:left w:val="nil"/>
              <w:bottom w:val="nil"/>
              <w:right w:val="nil"/>
            </w:tcBorders>
            <w:shd w:val="clear" w:color="auto" w:fill="auto"/>
            <w:noWrap/>
            <w:vAlign w:val="center"/>
          </w:tcPr>
          <w:p w14:paraId="57FA13D1">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15"/>
                <w:szCs w:val="15"/>
                <w:lang w:val="en-US"/>
              </w:rPr>
            </w:pPr>
            <w:r>
              <w:rPr>
                <w:rFonts w:hint="default" w:ascii="Times New Roman" w:hAnsi="Times New Roman" w:eastAsia="宋体" w:cs="Times New Roman"/>
                <w:color w:val="000000"/>
                <w:kern w:val="0"/>
                <w:sz w:val="15"/>
                <w:szCs w:val="15"/>
                <w:lang w:val="en-US" w:eastAsia="zh-CN" w:bidi="ar"/>
                <w14:ligatures w14:val="standardContextual"/>
              </w:rPr>
              <w:t>2.90</w:t>
            </w:r>
          </w:p>
        </w:tc>
        <w:tc>
          <w:tcPr>
            <w:tcW w:w="795" w:type="dxa"/>
            <w:tcBorders>
              <w:top w:val="nil"/>
              <w:left w:val="nil"/>
              <w:bottom w:val="nil"/>
              <w:right w:val="nil"/>
            </w:tcBorders>
            <w:shd w:val="clear" w:color="auto" w:fill="auto"/>
            <w:noWrap/>
            <w:vAlign w:val="center"/>
          </w:tcPr>
          <w:p w14:paraId="377BE040">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15"/>
                <w:szCs w:val="15"/>
                <w:lang w:val="en-US"/>
              </w:rPr>
            </w:pPr>
            <w:r>
              <w:rPr>
                <w:rFonts w:hint="default" w:ascii="Times New Roman" w:hAnsi="Times New Roman" w:eastAsia="宋体" w:cs="Times New Roman"/>
                <w:color w:val="000000"/>
                <w:kern w:val="0"/>
                <w:sz w:val="15"/>
                <w:szCs w:val="15"/>
                <w:lang w:val="en-US" w:eastAsia="zh-CN" w:bidi="ar"/>
                <w14:ligatures w14:val="standardContextual"/>
              </w:rPr>
              <w:t>18.13</w:t>
            </w:r>
          </w:p>
        </w:tc>
        <w:tc>
          <w:tcPr>
            <w:tcW w:w="796" w:type="dxa"/>
            <w:tcBorders>
              <w:top w:val="nil"/>
              <w:left w:val="nil"/>
              <w:bottom w:val="nil"/>
              <w:right w:val="nil"/>
            </w:tcBorders>
            <w:shd w:val="clear" w:color="auto" w:fill="auto"/>
            <w:noWrap/>
            <w:vAlign w:val="center"/>
          </w:tcPr>
          <w:p w14:paraId="02E91544">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15"/>
                <w:szCs w:val="15"/>
                <w:lang w:val="en-US"/>
              </w:rPr>
            </w:pPr>
            <w:r>
              <w:rPr>
                <w:rFonts w:hint="default" w:ascii="Times New Roman" w:hAnsi="Times New Roman" w:eastAsia="宋体" w:cs="Times New Roman"/>
                <w:color w:val="000000"/>
                <w:kern w:val="0"/>
                <w:sz w:val="15"/>
                <w:szCs w:val="15"/>
                <w:lang w:val="en-US" w:eastAsia="zh-CN" w:bidi="ar"/>
                <w14:ligatures w14:val="standardContextual"/>
              </w:rPr>
              <w:t>6.16</w:t>
            </w:r>
          </w:p>
        </w:tc>
        <w:tc>
          <w:tcPr>
            <w:tcW w:w="749" w:type="dxa"/>
            <w:tcBorders>
              <w:top w:val="nil"/>
              <w:left w:val="nil"/>
              <w:bottom w:val="nil"/>
              <w:right w:val="nil"/>
            </w:tcBorders>
            <w:shd w:val="clear" w:color="auto" w:fill="auto"/>
            <w:noWrap/>
            <w:vAlign w:val="center"/>
          </w:tcPr>
          <w:p w14:paraId="5EA23944">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15"/>
                <w:szCs w:val="15"/>
                <w:lang w:val="en-US"/>
              </w:rPr>
            </w:pPr>
            <w:r>
              <w:rPr>
                <w:rFonts w:hint="default" w:ascii="Times New Roman" w:hAnsi="Times New Roman" w:eastAsia="宋体" w:cs="Times New Roman"/>
                <w:color w:val="000000"/>
                <w:kern w:val="0"/>
                <w:sz w:val="15"/>
                <w:szCs w:val="15"/>
                <w:lang w:val="en-US" w:eastAsia="zh-CN" w:bidi="ar"/>
                <w14:ligatures w14:val="standardContextual"/>
              </w:rPr>
              <w:t>1.63</w:t>
            </w:r>
          </w:p>
        </w:tc>
        <w:tc>
          <w:tcPr>
            <w:tcW w:w="532" w:type="dxa"/>
            <w:tcBorders>
              <w:top w:val="nil"/>
              <w:left w:val="nil"/>
              <w:bottom w:val="nil"/>
              <w:right w:val="nil"/>
            </w:tcBorders>
            <w:shd w:val="clear" w:color="auto" w:fill="auto"/>
            <w:noWrap/>
            <w:vAlign w:val="center"/>
          </w:tcPr>
          <w:p w14:paraId="41ACB5DB">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15"/>
                <w:szCs w:val="15"/>
                <w:lang w:val="en-US"/>
              </w:rPr>
            </w:pPr>
            <w:r>
              <w:rPr>
                <w:rFonts w:hint="default" w:ascii="Times New Roman" w:hAnsi="Times New Roman" w:eastAsia="宋体" w:cs="Times New Roman"/>
                <w:color w:val="000000"/>
                <w:kern w:val="0"/>
                <w:sz w:val="15"/>
                <w:szCs w:val="15"/>
                <w:lang w:val="en-US" w:eastAsia="zh-CN" w:bidi="ar"/>
                <w14:ligatures w14:val="standardContextual"/>
              </w:rPr>
              <w:t>2.66</w:t>
            </w:r>
          </w:p>
        </w:tc>
        <w:tc>
          <w:tcPr>
            <w:tcW w:w="863" w:type="dxa"/>
            <w:tcBorders>
              <w:top w:val="nil"/>
              <w:left w:val="nil"/>
              <w:bottom w:val="nil"/>
              <w:right w:val="nil"/>
            </w:tcBorders>
            <w:shd w:val="clear" w:color="auto" w:fill="auto"/>
            <w:noWrap/>
            <w:vAlign w:val="center"/>
          </w:tcPr>
          <w:p w14:paraId="57E6B480">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15"/>
                <w:szCs w:val="15"/>
                <w:lang w:val="en-US"/>
              </w:rPr>
            </w:pPr>
            <w:r>
              <w:rPr>
                <w:rFonts w:hint="default" w:ascii="Times New Roman" w:hAnsi="Times New Roman" w:eastAsia="宋体" w:cs="Times New Roman"/>
                <w:color w:val="000000"/>
                <w:kern w:val="0"/>
                <w:sz w:val="15"/>
                <w:szCs w:val="15"/>
                <w:lang w:val="en-US" w:eastAsia="zh-CN" w:bidi="ar"/>
                <w14:ligatures w14:val="standardContextual"/>
              </w:rPr>
              <w:t>26.45</w:t>
            </w:r>
          </w:p>
        </w:tc>
        <w:tc>
          <w:tcPr>
            <w:tcW w:w="1497" w:type="dxa"/>
            <w:tcBorders>
              <w:top w:val="nil"/>
              <w:left w:val="nil"/>
              <w:bottom w:val="nil"/>
              <w:right w:val="nil"/>
            </w:tcBorders>
            <w:shd w:val="clear" w:color="auto" w:fill="auto"/>
            <w:vAlign w:val="center"/>
          </w:tcPr>
          <w:p w14:paraId="6E60143E">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15"/>
                <w:szCs w:val="15"/>
                <w:lang w:val="en-US"/>
              </w:rPr>
            </w:pPr>
            <w:r>
              <w:rPr>
                <w:rFonts w:hint="default" w:ascii="Times New Roman" w:hAnsi="Times New Roman" w:eastAsia="宋体" w:cs="Times New Roman"/>
                <w:color w:val="000000"/>
                <w:kern w:val="0"/>
                <w:sz w:val="15"/>
                <w:szCs w:val="15"/>
                <w:lang w:val="en-US" w:eastAsia="zh-CN" w:bidi="ar"/>
                <w14:ligatures w14:val="standardContextual"/>
              </w:rPr>
              <w:t>0.80</w:t>
            </w:r>
          </w:p>
        </w:tc>
      </w:tr>
      <w:tr w14:paraId="3B141F49">
        <w:tblPrEx>
          <w:tblBorders>
            <w:top w:val="single" w:color="auto" w:sz="8" w:space="0"/>
            <w:left w:val="none" w:color="auto" w:sz="6" w:space="0"/>
            <w:bottom w:val="single" w:color="auto" w:sz="8" w:space="0"/>
            <w:right w:val="none" w:color="auto" w:sz="6" w:space="0"/>
            <w:insideH w:val="outset" w:color="auto" w:sz="6" w:space="0"/>
            <w:insideV w:val="outset" w:color="auto" w:sz="6" w:space="0"/>
          </w:tblBorders>
          <w:tblCellMar>
            <w:top w:w="0" w:type="dxa"/>
            <w:left w:w="108" w:type="dxa"/>
            <w:bottom w:w="0" w:type="dxa"/>
            <w:right w:w="108" w:type="dxa"/>
          </w:tblCellMar>
        </w:tblPrEx>
        <w:trPr>
          <w:trHeight w:val="176" w:hRule="atLeast"/>
          <w:jc w:val="center"/>
        </w:trPr>
        <w:tc>
          <w:tcPr>
            <w:tcW w:w="1393" w:type="dxa"/>
            <w:tcBorders>
              <w:top w:val="nil"/>
              <w:left w:val="nil"/>
              <w:bottom w:val="nil"/>
              <w:right w:val="nil"/>
            </w:tcBorders>
            <w:shd w:val="clear" w:color="auto" w:fill="auto"/>
            <w:vAlign w:val="center"/>
          </w:tcPr>
          <w:p w14:paraId="7C426917">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15"/>
                <w:szCs w:val="15"/>
                <w:lang w:val="en-US"/>
              </w:rPr>
            </w:pPr>
            <w:r>
              <w:rPr>
                <w:rFonts w:hint="eastAsia" w:ascii="Times New Roman" w:hAnsi="Times New Roman" w:eastAsia="宋体" w:cs="Times New Roman"/>
                <w:color w:val="000000"/>
                <w:kern w:val="0"/>
                <w:sz w:val="15"/>
                <w:szCs w:val="15"/>
                <w:lang w:val="en-US" w:eastAsia="zh-CN" w:bidi="ar"/>
                <w14:ligatures w14:val="standardContextual"/>
              </w:rPr>
              <w:t>小穗数（个）</w:t>
            </w:r>
          </w:p>
        </w:tc>
        <w:tc>
          <w:tcPr>
            <w:tcW w:w="828" w:type="dxa"/>
            <w:tcBorders>
              <w:top w:val="nil"/>
              <w:left w:val="nil"/>
              <w:bottom w:val="nil"/>
              <w:right w:val="nil"/>
            </w:tcBorders>
            <w:shd w:val="clear" w:color="auto" w:fill="auto"/>
            <w:noWrap/>
            <w:vAlign w:val="center"/>
          </w:tcPr>
          <w:p w14:paraId="0647F3CB">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15"/>
                <w:szCs w:val="15"/>
                <w:lang w:val="en-US"/>
              </w:rPr>
            </w:pPr>
            <w:r>
              <w:rPr>
                <w:rFonts w:hint="default" w:ascii="Times New Roman" w:hAnsi="Times New Roman" w:eastAsia="宋体" w:cs="Times New Roman"/>
                <w:color w:val="000000"/>
                <w:kern w:val="0"/>
                <w:sz w:val="15"/>
                <w:szCs w:val="15"/>
                <w:lang w:val="en-US" w:eastAsia="zh-CN" w:bidi="ar"/>
                <w14:ligatures w14:val="standardContextual"/>
              </w:rPr>
              <w:t>17.50</w:t>
            </w:r>
          </w:p>
        </w:tc>
        <w:tc>
          <w:tcPr>
            <w:tcW w:w="795" w:type="dxa"/>
            <w:tcBorders>
              <w:top w:val="nil"/>
              <w:left w:val="nil"/>
              <w:bottom w:val="nil"/>
              <w:right w:val="nil"/>
            </w:tcBorders>
            <w:shd w:val="clear" w:color="auto" w:fill="auto"/>
            <w:noWrap/>
            <w:vAlign w:val="center"/>
          </w:tcPr>
          <w:p w14:paraId="7A3EF03D">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15"/>
                <w:szCs w:val="15"/>
                <w:lang w:val="en-US"/>
              </w:rPr>
            </w:pPr>
            <w:r>
              <w:rPr>
                <w:rFonts w:hint="default" w:ascii="Times New Roman" w:hAnsi="Times New Roman" w:eastAsia="宋体" w:cs="Times New Roman"/>
                <w:color w:val="000000"/>
                <w:kern w:val="0"/>
                <w:sz w:val="15"/>
                <w:szCs w:val="15"/>
                <w:lang w:val="en-US" w:eastAsia="zh-CN" w:bidi="ar"/>
                <w14:ligatures w14:val="standardContextual"/>
              </w:rPr>
              <w:t>55.33</w:t>
            </w:r>
          </w:p>
        </w:tc>
        <w:tc>
          <w:tcPr>
            <w:tcW w:w="796" w:type="dxa"/>
            <w:tcBorders>
              <w:top w:val="nil"/>
              <w:left w:val="nil"/>
              <w:bottom w:val="nil"/>
              <w:right w:val="nil"/>
            </w:tcBorders>
            <w:shd w:val="clear" w:color="auto" w:fill="auto"/>
            <w:noWrap/>
            <w:vAlign w:val="center"/>
          </w:tcPr>
          <w:p w14:paraId="7568880B">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15"/>
                <w:szCs w:val="15"/>
                <w:lang w:val="en-US"/>
              </w:rPr>
            </w:pPr>
            <w:r>
              <w:rPr>
                <w:rFonts w:hint="default" w:ascii="Times New Roman" w:hAnsi="Times New Roman" w:eastAsia="宋体" w:cs="Times New Roman"/>
                <w:color w:val="000000"/>
                <w:kern w:val="0"/>
                <w:sz w:val="15"/>
                <w:szCs w:val="15"/>
                <w:lang w:val="en-US" w:eastAsia="zh-CN" w:bidi="ar"/>
                <w14:ligatures w14:val="standardContextual"/>
              </w:rPr>
              <w:t>38.36</w:t>
            </w:r>
          </w:p>
        </w:tc>
        <w:tc>
          <w:tcPr>
            <w:tcW w:w="749" w:type="dxa"/>
            <w:tcBorders>
              <w:top w:val="nil"/>
              <w:left w:val="nil"/>
              <w:bottom w:val="nil"/>
              <w:right w:val="nil"/>
            </w:tcBorders>
            <w:shd w:val="clear" w:color="auto" w:fill="auto"/>
            <w:noWrap/>
            <w:vAlign w:val="center"/>
          </w:tcPr>
          <w:p w14:paraId="78C47292">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15"/>
                <w:szCs w:val="15"/>
                <w:lang w:val="en-US"/>
              </w:rPr>
            </w:pPr>
            <w:r>
              <w:rPr>
                <w:rFonts w:hint="default" w:ascii="Times New Roman" w:hAnsi="Times New Roman" w:eastAsia="宋体" w:cs="Times New Roman"/>
                <w:color w:val="000000"/>
                <w:kern w:val="0"/>
                <w:sz w:val="15"/>
                <w:szCs w:val="15"/>
                <w:lang w:val="en-US" w:eastAsia="zh-CN" w:bidi="ar"/>
                <w14:ligatures w14:val="standardContextual"/>
              </w:rPr>
              <w:t>7.15</w:t>
            </w:r>
          </w:p>
        </w:tc>
        <w:tc>
          <w:tcPr>
            <w:tcW w:w="532" w:type="dxa"/>
            <w:tcBorders>
              <w:top w:val="nil"/>
              <w:left w:val="nil"/>
              <w:bottom w:val="nil"/>
              <w:right w:val="nil"/>
            </w:tcBorders>
            <w:shd w:val="clear" w:color="auto" w:fill="auto"/>
            <w:noWrap/>
            <w:vAlign w:val="center"/>
          </w:tcPr>
          <w:p w14:paraId="39BC21F9">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15"/>
                <w:szCs w:val="15"/>
                <w:lang w:val="en-US"/>
              </w:rPr>
            </w:pPr>
            <w:r>
              <w:rPr>
                <w:rFonts w:hint="default" w:ascii="Times New Roman" w:hAnsi="Times New Roman" w:eastAsia="宋体" w:cs="Times New Roman"/>
                <w:color w:val="000000"/>
                <w:kern w:val="0"/>
                <w:sz w:val="15"/>
                <w:szCs w:val="15"/>
                <w:lang w:val="en-US" w:eastAsia="zh-CN" w:bidi="ar"/>
                <w14:ligatures w14:val="standardContextual"/>
              </w:rPr>
              <w:t>51.19</w:t>
            </w:r>
          </w:p>
        </w:tc>
        <w:tc>
          <w:tcPr>
            <w:tcW w:w="863" w:type="dxa"/>
            <w:tcBorders>
              <w:top w:val="nil"/>
              <w:left w:val="nil"/>
              <w:bottom w:val="nil"/>
              <w:right w:val="nil"/>
            </w:tcBorders>
            <w:shd w:val="clear" w:color="auto" w:fill="auto"/>
            <w:noWrap/>
            <w:vAlign w:val="center"/>
          </w:tcPr>
          <w:p w14:paraId="1A163024">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15"/>
                <w:szCs w:val="15"/>
                <w:lang w:val="en-US"/>
              </w:rPr>
            </w:pPr>
            <w:r>
              <w:rPr>
                <w:rFonts w:hint="default" w:ascii="Times New Roman" w:hAnsi="Times New Roman" w:eastAsia="宋体" w:cs="Times New Roman"/>
                <w:color w:val="000000"/>
                <w:kern w:val="0"/>
                <w:sz w:val="15"/>
                <w:szCs w:val="15"/>
                <w:lang w:val="en-US" w:eastAsia="zh-CN" w:bidi="ar"/>
                <w14:ligatures w14:val="standardContextual"/>
              </w:rPr>
              <w:t>18.65</w:t>
            </w:r>
          </w:p>
        </w:tc>
        <w:tc>
          <w:tcPr>
            <w:tcW w:w="1497" w:type="dxa"/>
            <w:tcBorders>
              <w:top w:val="nil"/>
              <w:left w:val="nil"/>
              <w:bottom w:val="nil"/>
              <w:right w:val="nil"/>
            </w:tcBorders>
            <w:shd w:val="clear" w:color="auto" w:fill="auto"/>
            <w:vAlign w:val="center"/>
          </w:tcPr>
          <w:p w14:paraId="471469A4">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15"/>
                <w:szCs w:val="15"/>
                <w:lang w:val="en-US"/>
              </w:rPr>
            </w:pPr>
            <w:r>
              <w:rPr>
                <w:rFonts w:hint="default" w:ascii="Times New Roman" w:hAnsi="Times New Roman" w:eastAsia="宋体" w:cs="Times New Roman"/>
                <w:color w:val="000000"/>
                <w:kern w:val="0"/>
                <w:sz w:val="15"/>
                <w:szCs w:val="15"/>
                <w:lang w:val="en-US" w:eastAsia="zh-CN" w:bidi="ar"/>
                <w14:ligatures w14:val="standardContextual"/>
              </w:rPr>
              <w:t>1.37</w:t>
            </w:r>
          </w:p>
        </w:tc>
      </w:tr>
      <w:tr w14:paraId="0C56DFC6">
        <w:tblPrEx>
          <w:tblBorders>
            <w:top w:val="single" w:color="auto" w:sz="8" w:space="0"/>
            <w:left w:val="none" w:color="auto" w:sz="6" w:space="0"/>
            <w:bottom w:val="single" w:color="auto" w:sz="8" w:space="0"/>
            <w:right w:val="none" w:color="auto" w:sz="6" w:space="0"/>
            <w:insideH w:val="outset" w:color="auto" w:sz="6" w:space="0"/>
            <w:insideV w:val="outset" w:color="auto" w:sz="6" w:space="0"/>
          </w:tblBorders>
          <w:tblCellMar>
            <w:top w:w="0" w:type="dxa"/>
            <w:left w:w="108" w:type="dxa"/>
            <w:bottom w:w="0" w:type="dxa"/>
            <w:right w:w="108" w:type="dxa"/>
          </w:tblCellMar>
        </w:tblPrEx>
        <w:trPr>
          <w:trHeight w:val="176" w:hRule="atLeast"/>
          <w:jc w:val="center"/>
        </w:trPr>
        <w:tc>
          <w:tcPr>
            <w:tcW w:w="1393" w:type="dxa"/>
            <w:tcBorders>
              <w:top w:val="nil"/>
              <w:left w:val="nil"/>
              <w:bottom w:val="single" w:color="auto" w:sz="8" w:space="0"/>
              <w:right w:val="nil"/>
            </w:tcBorders>
            <w:shd w:val="clear" w:color="auto" w:fill="auto"/>
            <w:vAlign w:val="center"/>
          </w:tcPr>
          <w:p w14:paraId="37827304">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15"/>
                <w:szCs w:val="15"/>
                <w:lang w:val="en-US"/>
              </w:rPr>
            </w:pPr>
            <w:r>
              <w:rPr>
                <w:rFonts w:hint="eastAsia" w:ascii="Times New Roman" w:hAnsi="Times New Roman" w:eastAsia="宋体" w:cs="Times New Roman"/>
                <w:color w:val="000000"/>
                <w:kern w:val="0"/>
                <w:sz w:val="15"/>
                <w:szCs w:val="15"/>
                <w:lang w:val="en-US" w:eastAsia="zh-CN" w:bidi="ar"/>
                <w14:ligatures w14:val="standardContextual"/>
              </w:rPr>
              <w:t>小花数（个）</w:t>
            </w:r>
          </w:p>
        </w:tc>
        <w:tc>
          <w:tcPr>
            <w:tcW w:w="828" w:type="dxa"/>
            <w:tcBorders>
              <w:top w:val="nil"/>
              <w:left w:val="nil"/>
              <w:bottom w:val="single" w:color="auto" w:sz="8" w:space="0"/>
              <w:right w:val="nil"/>
            </w:tcBorders>
            <w:shd w:val="clear" w:color="auto" w:fill="auto"/>
            <w:noWrap/>
            <w:vAlign w:val="center"/>
          </w:tcPr>
          <w:p w14:paraId="69A343AF">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15"/>
                <w:szCs w:val="15"/>
                <w:lang w:val="en-US"/>
              </w:rPr>
            </w:pPr>
            <w:r>
              <w:rPr>
                <w:rFonts w:hint="default" w:ascii="Times New Roman" w:hAnsi="Times New Roman" w:eastAsia="宋体" w:cs="Times New Roman"/>
                <w:color w:val="000000"/>
                <w:kern w:val="0"/>
                <w:sz w:val="15"/>
                <w:szCs w:val="15"/>
                <w:lang w:val="en-US" w:eastAsia="zh-CN" w:bidi="ar"/>
                <w14:ligatures w14:val="standardContextual"/>
              </w:rPr>
              <w:t>4.00</w:t>
            </w:r>
          </w:p>
        </w:tc>
        <w:tc>
          <w:tcPr>
            <w:tcW w:w="795" w:type="dxa"/>
            <w:tcBorders>
              <w:top w:val="nil"/>
              <w:left w:val="nil"/>
              <w:bottom w:val="single" w:color="auto" w:sz="8" w:space="0"/>
              <w:right w:val="nil"/>
            </w:tcBorders>
            <w:shd w:val="clear" w:color="auto" w:fill="auto"/>
            <w:noWrap/>
            <w:vAlign w:val="center"/>
          </w:tcPr>
          <w:p w14:paraId="0A17ACD1">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15"/>
                <w:szCs w:val="15"/>
                <w:lang w:val="en-US"/>
              </w:rPr>
            </w:pPr>
            <w:r>
              <w:rPr>
                <w:rFonts w:hint="default" w:ascii="Times New Roman" w:hAnsi="Times New Roman" w:eastAsia="宋体" w:cs="Times New Roman"/>
                <w:color w:val="000000"/>
                <w:kern w:val="0"/>
                <w:sz w:val="15"/>
                <w:szCs w:val="15"/>
                <w:lang w:val="en-US" w:eastAsia="zh-CN" w:bidi="ar"/>
                <w14:ligatures w14:val="standardContextual"/>
              </w:rPr>
              <w:t>18.83</w:t>
            </w:r>
          </w:p>
        </w:tc>
        <w:tc>
          <w:tcPr>
            <w:tcW w:w="796" w:type="dxa"/>
            <w:tcBorders>
              <w:top w:val="nil"/>
              <w:left w:val="nil"/>
              <w:bottom w:val="single" w:color="auto" w:sz="8" w:space="0"/>
              <w:right w:val="nil"/>
            </w:tcBorders>
            <w:shd w:val="clear" w:color="auto" w:fill="auto"/>
            <w:noWrap/>
            <w:vAlign w:val="center"/>
          </w:tcPr>
          <w:p w14:paraId="651CF1DB">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15"/>
                <w:szCs w:val="15"/>
                <w:lang w:val="en-US"/>
              </w:rPr>
            </w:pPr>
            <w:r>
              <w:rPr>
                <w:rFonts w:hint="default" w:ascii="Times New Roman" w:hAnsi="Times New Roman" w:eastAsia="宋体" w:cs="Times New Roman"/>
                <w:color w:val="000000"/>
                <w:kern w:val="0"/>
                <w:sz w:val="15"/>
                <w:szCs w:val="15"/>
                <w:lang w:val="en-US" w:eastAsia="zh-CN" w:bidi="ar"/>
                <w14:ligatures w14:val="standardContextual"/>
              </w:rPr>
              <w:t>9.66</w:t>
            </w:r>
          </w:p>
        </w:tc>
        <w:tc>
          <w:tcPr>
            <w:tcW w:w="749" w:type="dxa"/>
            <w:tcBorders>
              <w:top w:val="nil"/>
              <w:left w:val="nil"/>
              <w:bottom w:val="single" w:color="auto" w:sz="8" w:space="0"/>
              <w:right w:val="nil"/>
            </w:tcBorders>
            <w:shd w:val="clear" w:color="auto" w:fill="auto"/>
            <w:noWrap/>
            <w:vAlign w:val="center"/>
          </w:tcPr>
          <w:p w14:paraId="2A1F8933">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15"/>
                <w:szCs w:val="15"/>
                <w:lang w:val="en-US"/>
              </w:rPr>
            </w:pPr>
            <w:r>
              <w:rPr>
                <w:rFonts w:hint="default" w:ascii="Times New Roman" w:hAnsi="Times New Roman" w:eastAsia="宋体" w:cs="Times New Roman"/>
                <w:color w:val="000000"/>
                <w:kern w:val="0"/>
                <w:sz w:val="15"/>
                <w:szCs w:val="15"/>
                <w:lang w:val="en-US" w:eastAsia="zh-CN" w:bidi="ar"/>
                <w14:ligatures w14:val="standardContextual"/>
              </w:rPr>
              <w:t>2.18</w:t>
            </w:r>
          </w:p>
        </w:tc>
        <w:tc>
          <w:tcPr>
            <w:tcW w:w="532" w:type="dxa"/>
            <w:tcBorders>
              <w:top w:val="nil"/>
              <w:left w:val="nil"/>
              <w:bottom w:val="single" w:color="auto" w:sz="8" w:space="0"/>
              <w:right w:val="nil"/>
            </w:tcBorders>
            <w:shd w:val="clear" w:color="auto" w:fill="auto"/>
            <w:noWrap/>
            <w:vAlign w:val="center"/>
          </w:tcPr>
          <w:p w14:paraId="48126758">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15"/>
                <w:szCs w:val="15"/>
                <w:lang w:val="en-US"/>
              </w:rPr>
            </w:pPr>
            <w:r>
              <w:rPr>
                <w:rFonts w:hint="default" w:ascii="Times New Roman" w:hAnsi="Times New Roman" w:eastAsia="宋体" w:cs="Times New Roman"/>
                <w:color w:val="000000"/>
                <w:kern w:val="0"/>
                <w:sz w:val="15"/>
                <w:szCs w:val="15"/>
                <w:lang w:val="en-US" w:eastAsia="zh-CN" w:bidi="ar"/>
                <w14:ligatures w14:val="standardContextual"/>
              </w:rPr>
              <w:t>4.76</w:t>
            </w:r>
          </w:p>
        </w:tc>
        <w:tc>
          <w:tcPr>
            <w:tcW w:w="863" w:type="dxa"/>
            <w:tcBorders>
              <w:top w:val="nil"/>
              <w:left w:val="nil"/>
              <w:bottom w:val="single" w:color="auto" w:sz="8" w:space="0"/>
              <w:right w:val="nil"/>
            </w:tcBorders>
            <w:shd w:val="clear" w:color="auto" w:fill="auto"/>
            <w:noWrap/>
            <w:vAlign w:val="center"/>
          </w:tcPr>
          <w:p w14:paraId="4DBDD9CD">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15"/>
                <w:szCs w:val="15"/>
                <w:lang w:val="en-US"/>
              </w:rPr>
            </w:pPr>
            <w:r>
              <w:rPr>
                <w:rFonts w:hint="default" w:ascii="Times New Roman" w:hAnsi="Times New Roman" w:eastAsia="宋体" w:cs="Times New Roman"/>
                <w:color w:val="000000"/>
                <w:kern w:val="0"/>
                <w:sz w:val="15"/>
                <w:szCs w:val="15"/>
                <w:lang w:val="en-US" w:eastAsia="zh-CN" w:bidi="ar"/>
                <w14:ligatures w14:val="standardContextual"/>
              </w:rPr>
              <w:t>22.58</w:t>
            </w:r>
          </w:p>
        </w:tc>
        <w:tc>
          <w:tcPr>
            <w:tcW w:w="1497" w:type="dxa"/>
            <w:tcBorders>
              <w:top w:val="nil"/>
              <w:left w:val="nil"/>
              <w:bottom w:val="single" w:color="auto" w:sz="8" w:space="0"/>
              <w:right w:val="nil"/>
            </w:tcBorders>
            <w:shd w:val="clear" w:color="auto" w:fill="auto"/>
            <w:vAlign w:val="center"/>
          </w:tcPr>
          <w:p w14:paraId="6EF8B9C6">
            <w:pPr>
              <w:keepNext w:val="0"/>
              <w:keepLines w:val="0"/>
              <w:widowControl/>
              <w:suppressLineNumbers w:val="0"/>
              <w:spacing w:before="0" w:beforeAutospacing="0" w:after="0" w:afterAutospacing="0"/>
              <w:ind w:left="0" w:right="0"/>
              <w:jc w:val="center"/>
              <w:rPr>
                <w:rFonts w:hint="default" w:ascii="Times New Roman" w:hAnsi="Times New Roman" w:eastAsia="宋体" w:cs="Times New Roman"/>
                <w:color w:val="000000"/>
                <w:kern w:val="0"/>
                <w:sz w:val="15"/>
                <w:szCs w:val="15"/>
                <w:lang w:val="en-US"/>
              </w:rPr>
            </w:pPr>
            <w:r>
              <w:rPr>
                <w:rFonts w:hint="default" w:ascii="Times New Roman" w:hAnsi="Times New Roman" w:eastAsia="宋体" w:cs="Times New Roman"/>
                <w:color w:val="000000"/>
                <w:kern w:val="0"/>
                <w:sz w:val="15"/>
                <w:szCs w:val="15"/>
                <w:lang w:val="en-US" w:eastAsia="zh-CN" w:bidi="ar"/>
                <w14:ligatures w14:val="standardContextual"/>
              </w:rPr>
              <w:t>1.13</w:t>
            </w:r>
          </w:p>
        </w:tc>
      </w:tr>
    </w:tbl>
    <w:p w14:paraId="5372277A">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default" w:ascii="Times New Roman" w:hAnsi="Times New Roman" w:eastAsia="仿宋" w:cs="Times New Roman"/>
          <w:color w:val="000000"/>
          <w:sz w:val="32"/>
          <w:szCs w:val="32"/>
          <w:lang w:val="en-US" w:eastAsia="zh-CN"/>
        </w:rPr>
      </w:pPr>
      <w:r>
        <w:rPr>
          <w:rFonts w:hint="default" w:ascii="Times New Roman" w:hAnsi="Times New Roman" w:eastAsia="仿宋" w:cs="Times New Roman"/>
          <w:color w:val="000000"/>
          <w:sz w:val="32"/>
          <w:szCs w:val="32"/>
          <w:lang w:val="en-US" w:eastAsia="zh-CN"/>
        </w:rPr>
        <w:t>在种质资源抗旱性评价鉴定中，选取操作简便且有效的叶片相对含水量（RWC）作为主要评价指标，同时将脯氨酸含量、可溶性糖含量、干旱减产率及干旱存活率测定设为备选指标。在耐盐性评价鉴定中，选取操作简便且有效的相对发芽率与发芽指数作为主要评价指标，同时将生物量下降率、存活率及相对产量测定设为备选指标。在抗寒性评价鉴定中，选取操作简便且有效的田间越冬率、返青率及返青速度观测作为评价指标。</w:t>
      </w:r>
    </w:p>
    <w:p w14:paraId="4AAA45D0">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default" w:ascii="Times New Roman" w:hAnsi="Times New Roman" w:eastAsia="仿宋" w:cs="Times New Roman"/>
          <w:color w:val="000000"/>
          <w:sz w:val="32"/>
          <w:szCs w:val="32"/>
          <w:lang w:val="en-US" w:eastAsia="zh-CN"/>
        </w:rPr>
      </w:pPr>
      <w:r>
        <w:rPr>
          <w:rFonts w:hint="default" w:ascii="Times New Roman" w:hAnsi="Times New Roman" w:eastAsia="仿宋" w:cs="Times New Roman"/>
          <w:color w:val="000000"/>
          <w:sz w:val="32"/>
          <w:szCs w:val="32"/>
          <w:lang w:val="en-US" w:eastAsia="zh-CN"/>
        </w:rPr>
        <w:t>在小麦族种质资源的评价鉴定过程中，本研究系统采集了环境数据，涵盖气象数据（温度、湿度、光照、降水、风速等）、土壤数据（类型、pH值、含水量等）以及地理信息（海拔、经纬度、坡度、坡向）。尽管环境数据的采集在以往评价鉴定工作中较少被提及，但实践表明，其对种质资源的评价鉴定具有重要影响，是全面、系统掌握种质资源特性的关键支撑。</w:t>
      </w:r>
    </w:p>
    <w:p w14:paraId="4DE7820D">
      <w:pPr>
        <w:rPr>
          <w:rFonts w:ascii="黑体" w:hAnsi="黑体" w:eastAsia="黑体"/>
          <w:sz w:val="32"/>
          <w:szCs w:val="32"/>
        </w:rPr>
      </w:pPr>
      <w:r>
        <w:rPr>
          <w:rFonts w:ascii="黑体" w:hAnsi="黑体" w:eastAsia="黑体"/>
          <w:sz w:val="32"/>
          <w:szCs w:val="32"/>
        </w:rPr>
        <w:t>六、重大意见分歧的处理依据和结果</w:t>
      </w:r>
    </w:p>
    <w:p w14:paraId="2D851EEC">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Times New Roman" w:hAnsi="Times New Roman" w:eastAsia="仿宋" w:cs="Times New Roman"/>
          <w:color w:val="000000"/>
          <w:sz w:val="32"/>
          <w:szCs w:val="32"/>
          <w:lang w:val="en-US" w:eastAsia="zh-CN"/>
        </w:rPr>
      </w:pPr>
      <w:r>
        <w:rPr>
          <w:rFonts w:hint="eastAsia" w:ascii="Times New Roman" w:hAnsi="Times New Roman" w:eastAsia="仿宋" w:cs="Times New Roman"/>
          <w:color w:val="000000"/>
          <w:sz w:val="32"/>
          <w:szCs w:val="32"/>
          <w:lang w:val="en-US" w:eastAsia="zh-CN"/>
        </w:rPr>
        <w:t>本文件在编写过程中没有重大意见分歧。</w:t>
      </w:r>
    </w:p>
    <w:p w14:paraId="23A9076B">
      <w:pPr>
        <w:rPr>
          <w:rFonts w:ascii="黑体" w:hAnsi="黑体" w:eastAsia="黑体"/>
          <w:sz w:val="32"/>
          <w:szCs w:val="32"/>
        </w:rPr>
      </w:pPr>
      <w:r>
        <w:rPr>
          <w:rFonts w:ascii="黑体" w:hAnsi="黑体" w:eastAsia="黑体"/>
          <w:sz w:val="32"/>
          <w:szCs w:val="32"/>
        </w:rPr>
        <w:t>七、采用国际标准或国外先进标准的，说明采标程度，以及国内外同类标准水平的对比情况</w:t>
      </w:r>
    </w:p>
    <w:p w14:paraId="49727094">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Times New Roman" w:hAnsi="Times New Roman" w:eastAsia="仿宋" w:cs="Times New Roman"/>
          <w:color w:val="000000"/>
          <w:sz w:val="32"/>
          <w:szCs w:val="32"/>
          <w:lang w:val="en-US" w:eastAsia="zh-CN"/>
        </w:rPr>
      </w:pPr>
      <w:r>
        <w:rPr>
          <w:rFonts w:hint="eastAsia" w:ascii="Times New Roman" w:hAnsi="Times New Roman" w:eastAsia="仿宋" w:cs="Times New Roman"/>
          <w:color w:val="000000"/>
          <w:sz w:val="32"/>
          <w:szCs w:val="32"/>
          <w:lang w:val="en-US" w:eastAsia="zh-CN"/>
        </w:rPr>
        <w:t>本文件未采用国际标准或国外先进标准。</w:t>
      </w:r>
    </w:p>
    <w:p w14:paraId="069CEC9C">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default" w:ascii="Times New Roman" w:hAnsi="Times New Roman" w:eastAsia="仿宋" w:cs="Times New Roman"/>
          <w:color w:val="000000"/>
          <w:sz w:val="32"/>
          <w:szCs w:val="32"/>
          <w:lang w:val="en-US" w:eastAsia="zh-CN"/>
        </w:rPr>
      </w:pPr>
      <w:r>
        <w:rPr>
          <w:rFonts w:hint="default" w:ascii="Times New Roman" w:hAnsi="Times New Roman" w:eastAsia="仿宋" w:cs="Times New Roman"/>
          <w:color w:val="000000"/>
          <w:sz w:val="32"/>
          <w:szCs w:val="32"/>
          <w:lang w:val="en-US" w:eastAsia="zh-CN"/>
        </w:rPr>
        <w:t>在标准编撰过程中，对国内国家级、行业及地方标准进行了系统梳理，共梳理饲草相关标准约110项，涵盖冰草、沙生冰草、披碱草、大麦等15个种。从种类分布来看，大麦属涉及2个种，标准数量最多，达42项，约占总数38.2%；披碱草属涉及5个种，共20项标准，其中老芒麦5项；赖草属标准15项，二者合计占比约31.8%，反映出其在生态修复与饲草生产中的重要地位。冰草属涵盖2个种，标准11项；鹅观草属涉及3个种，标准7项；新麦草属标准2项。值得注意的是，上述15个种仅占我国小麦族植物种类总数（约150种）的10%，其余绝大多数种类仍缺乏相应的技术标准，标准体系建设尚有较大拓展空间。</w:t>
      </w:r>
    </w:p>
    <w:p w14:paraId="40C200DA">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default" w:ascii="Times New Roman" w:hAnsi="Times New Roman" w:eastAsia="仿宋" w:cs="Times New Roman"/>
          <w:color w:val="000000"/>
          <w:sz w:val="32"/>
          <w:szCs w:val="32"/>
          <w:lang w:val="en-US" w:eastAsia="zh-CN"/>
        </w:rPr>
      </w:pPr>
      <w:r>
        <w:rPr>
          <w:rFonts w:hint="default" w:ascii="Times New Roman" w:hAnsi="Times New Roman" w:eastAsia="仿宋" w:cs="Times New Roman"/>
          <w:color w:val="000000"/>
          <w:sz w:val="32"/>
          <w:szCs w:val="32"/>
          <w:lang w:val="en-US" w:eastAsia="zh-CN"/>
        </w:rPr>
        <w:t>从标准类型来看，栽培技术规程数量最多，约45项，涵盖大麦、冰草、羊草等主要草种的田间管理规范；种子生产技术次之，约20项，涉及种子扩繁、良种繁殖及种子生产全流程；品种描述与测试指南约15项，主要包括DUS测试指南和品种特征描述；生态修复技术约8项，聚焦盐碱地种植、退化草地补播等应用场景；饲用与利用技术约5项，涵盖饲用大麦栽培及牛羊饲料化利用等内容；此外，质量评定、产地环境、检疫鉴定等其他类型标准约10项。尽管已覆盖多种类型，但在评价鉴定的系统性与全面性方面仍有不足，亟待进一步构建与完善，以提高种质资源的利用率。</w:t>
      </w:r>
    </w:p>
    <w:p w14:paraId="6933C69A">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default" w:ascii="Times New Roman" w:hAnsi="Times New Roman" w:eastAsia="仿宋" w:cs="Times New Roman"/>
          <w:color w:val="000000"/>
          <w:sz w:val="32"/>
          <w:szCs w:val="32"/>
          <w:lang w:val="en-US" w:eastAsia="zh-CN"/>
        </w:rPr>
      </w:pPr>
      <w:r>
        <w:rPr>
          <w:rFonts w:hint="default" w:ascii="Times New Roman" w:hAnsi="Times New Roman" w:eastAsia="仿宋" w:cs="Times New Roman"/>
          <w:color w:val="000000"/>
          <w:sz w:val="32"/>
          <w:szCs w:val="32"/>
          <w:lang w:val="en-US" w:eastAsia="zh-CN"/>
        </w:rPr>
        <w:t>从标准制定的区域分布来看，相关标准主要集中在内蒙古、黑龙江、新疆、青海、西藏等地区。其中，赖草属（15项）、披碱草属（20项）及鹅观草属（7项）等标准主要分布于内蒙古、青海、西藏、黑龙江等草原牧区，与各草种的生态适应性及主产区分布高度契合。相比之下，西南等地区的相关评价鉴定标准相对缺乏。随着我国“三北”工程的深入推进以及南方草山草坡的高效利用，现有标准体系已难以满足新形势下的发展需求。以青藏高原为例，该区域广泛分布的小麦族以礼草属种质资源，其评价鉴定标准仍严重缺乏。因此，亟需加快构建小麦族种质资源评价鉴定的上位标准，以填补空白、完善体系。</w:t>
      </w:r>
    </w:p>
    <w:p w14:paraId="45C5E2D2">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default" w:ascii="Times New Roman" w:hAnsi="Times New Roman" w:eastAsia="仿宋" w:cs="Times New Roman"/>
          <w:color w:val="000000"/>
          <w:sz w:val="32"/>
          <w:szCs w:val="32"/>
          <w:lang w:val="en-US" w:eastAsia="zh-CN"/>
        </w:rPr>
      </w:pPr>
      <w:r>
        <w:rPr>
          <w:rFonts w:hint="default" w:ascii="Times New Roman" w:hAnsi="Times New Roman" w:eastAsia="仿宋" w:cs="Times New Roman"/>
          <w:color w:val="000000"/>
          <w:sz w:val="32"/>
          <w:szCs w:val="32"/>
          <w:lang w:val="en-US" w:eastAsia="zh-CN"/>
        </w:rPr>
        <w:t>从种质资源种类、评价鉴定类型及分布区域三个维度来看，《小麦族牧草种质资源评价鉴定技术规程》的制定，有效补充和完善了现有标准体系，进一步拓展了评价鉴定的种类覆盖、类型划分与区域布局，为小麦族种质资源的科学评价与鉴定提供了系统的技术参考。</w:t>
      </w:r>
    </w:p>
    <w:p w14:paraId="5D0A518A">
      <w:pPr>
        <w:rPr>
          <w:rFonts w:ascii="黑体" w:hAnsi="黑体" w:eastAsia="黑体"/>
          <w:sz w:val="32"/>
          <w:szCs w:val="32"/>
        </w:rPr>
      </w:pPr>
      <w:r>
        <w:rPr>
          <w:rFonts w:ascii="黑体" w:hAnsi="黑体" w:eastAsia="黑体"/>
          <w:sz w:val="32"/>
          <w:szCs w:val="32"/>
        </w:rPr>
        <w:t>八、推广实施</w:t>
      </w:r>
    </w:p>
    <w:p w14:paraId="645A5C5A">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Times New Roman" w:hAnsi="Times New Roman" w:eastAsia="仿宋" w:cs="Times New Roman"/>
          <w:color w:val="000000"/>
          <w:sz w:val="32"/>
          <w:szCs w:val="32"/>
          <w:lang w:val="en-US" w:eastAsia="zh-CN"/>
        </w:rPr>
      </w:pPr>
      <w:r>
        <w:rPr>
          <w:rFonts w:hint="eastAsia" w:ascii="Times New Roman" w:hAnsi="Times New Roman" w:eastAsia="仿宋" w:cs="Times New Roman"/>
          <w:color w:val="000000"/>
          <w:sz w:val="32"/>
          <w:szCs w:val="32"/>
          <w:lang w:val="en-US" w:eastAsia="zh-CN"/>
        </w:rPr>
        <w:t>1、宣传推广</w:t>
      </w:r>
    </w:p>
    <w:p w14:paraId="7FC6EE96">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Times New Roman" w:hAnsi="Times New Roman" w:eastAsia="仿宋" w:cs="Times New Roman"/>
          <w:color w:val="000000"/>
          <w:sz w:val="32"/>
          <w:szCs w:val="32"/>
          <w:lang w:val="en-US" w:eastAsia="zh-CN"/>
        </w:rPr>
      </w:pPr>
      <w:r>
        <w:rPr>
          <w:rFonts w:hint="eastAsia" w:ascii="Times New Roman" w:hAnsi="Times New Roman" w:eastAsia="仿宋" w:cs="Times New Roman"/>
          <w:color w:val="000000"/>
          <w:sz w:val="32"/>
          <w:szCs w:val="32"/>
          <w:lang w:val="en-US" w:eastAsia="zh-CN"/>
        </w:rPr>
        <w:t>通过媒体、会议、培训等多元化渠道，向社会公众、企业及组织等利益相关方宣传标准的重要性及其实施意义，提升标准的认知度与接受度。</w:t>
      </w:r>
    </w:p>
    <w:p w14:paraId="034A8E1C">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Times New Roman" w:hAnsi="Times New Roman" w:eastAsia="仿宋" w:cs="Times New Roman"/>
          <w:color w:val="000000"/>
          <w:sz w:val="32"/>
          <w:szCs w:val="32"/>
          <w:lang w:val="en-US" w:eastAsia="zh-CN"/>
        </w:rPr>
      </w:pPr>
      <w:r>
        <w:rPr>
          <w:rFonts w:hint="eastAsia" w:ascii="Times New Roman" w:hAnsi="Times New Roman" w:eastAsia="仿宋" w:cs="Times New Roman"/>
          <w:color w:val="000000"/>
          <w:sz w:val="32"/>
          <w:szCs w:val="32"/>
          <w:lang w:val="en-US" w:eastAsia="zh-CN"/>
        </w:rPr>
        <w:t>2、制定推广计划</w:t>
      </w:r>
    </w:p>
    <w:p w14:paraId="416BB179">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Times New Roman" w:hAnsi="Times New Roman" w:eastAsia="仿宋" w:cs="Times New Roman"/>
          <w:color w:val="000000"/>
          <w:sz w:val="32"/>
          <w:szCs w:val="32"/>
          <w:lang w:val="en-US" w:eastAsia="zh-CN"/>
        </w:rPr>
      </w:pPr>
      <w:r>
        <w:rPr>
          <w:rFonts w:hint="eastAsia" w:ascii="Times New Roman" w:hAnsi="Times New Roman" w:eastAsia="仿宋" w:cs="Times New Roman"/>
          <w:color w:val="000000"/>
          <w:sz w:val="32"/>
          <w:szCs w:val="32"/>
          <w:lang w:val="en-US" w:eastAsia="zh-CN"/>
        </w:rPr>
        <w:t>制定并实施标准推广计划，具体包括发布标准解读文件、编制实施指南、开展认证培训、组织标准应用示范等活动，积极推进标准的实施与应用推广。</w:t>
      </w:r>
    </w:p>
    <w:p w14:paraId="6BD5CC98">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Times New Roman" w:hAnsi="Times New Roman" w:eastAsia="仿宋" w:cs="Times New Roman"/>
          <w:color w:val="000000"/>
          <w:sz w:val="32"/>
          <w:szCs w:val="32"/>
          <w:lang w:val="en-US" w:eastAsia="zh-CN"/>
        </w:rPr>
      </w:pPr>
      <w:r>
        <w:rPr>
          <w:rFonts w:hint="eastAsia" w:ascii="Times New Roman" w:hAnsi="Times New Roman" w:eastAsia="仿宋" w:cs="Times New Roman"/>
          <w:color w:val="000000"/>
          <w:sz w:val="32"/>
          <w:szCs w:val="32"/>
          <w:lang w:val="en-US" w:eastAsia="zh-CN"/>
        </w:rPr>
        <w:t>3、建立标准体系</w:t>
      </w:r>
    </w:p>
    <w:p w14:paraId="071853D2">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Times New Roman" w:hAnsi="Times New Roman" w:eastAsia="仿宋" w:cs="Times New Roman"/>
          <w:color w:val="000000"/>
          <w:sz w:val="32"/>
          <w:szCs w:val="32"/>
          <w:lang w:val="en-US" w:eastAsia="zh-CN"/>
        </w:rPr>
      </w:pPr>
      <w:r>
        <w:rPr>
          <w:rFonts w:hint="eastAsia" w:ascii="Times New Roman" w:hAnsi="Times New Roman" w:eastAsia="仿宋" w:cs="Times New Roman"/>
          <w:color w:val="000000"/>
          <w:sz w:val="32"/>
          <w:szCs w:val="32"/>
          <w:lang w:val="en-US" w:eastAsia="zh-CN"/>
        </w:rPr>
        <w:t>建立健全的标准体系，涵盖标准编制、发布、解读、审查、认证及监管等关键环节，确保标准的权威性、科学性与有效性。</w:t>
      </w:r>
    </w:p>
    <w:p w14:paraId="58DF0F74">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Times New Roman" w:hAnsi="Times New Roman" w:eastAsia="仿宋" w:cs="Times New Roman"/>
          <w:color w:val="000000"/>
          <w:sz w:val="32"/>
          <w:szCs w:val="32"/>
          <w:lang w:val="en-US" w:eastAsia="zh-CN"/>
        </w:rPr>
      </w:pPr>
      <w:r>
        <w:rPr>
          <w:rFonts w:hint="eastAsia" w:ascii="Times New Roman" w:hAnsi="Times New Roman" w:eastAsia="仿宋" w:cs="Times New Roman"/>
          <w:color w:val="000000"/>
          <w:sz w:val="32"/>
          <w:szCs w:val="32"/>
          <w:lang w:val="en-US" w:eastAsia="zh-CN"/>
        </w:rPr>
        <w:t>4、多方协同推进</w:t>
      </w:r>
    </w:p>
    <w:p w14:paraId="2DF9D4CB">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ascii="Times New Roman" w:hAnsi="Times New Roman" w:eastAsia="仿宋" w:cs="Times New Roman"/>
          <w:color w:val="000000"/>
          <w:sz w:val="32"/>
          <w:szCs w:val="32"/>
          <w:lang w:val="en-US" w:eastAsia="zh-CN"/>
        </w:rPr>
      </w:pPr>
      <w:r>
        <w:rPr>
          <w:rFonts w:hint="eastAsia" w:ascii="Times New Roman" w:hAnsi="Times New Roman" w:eastAsia="仿宋" w:cs="Times New Roman"/>
          <w:color w:val="000000"/>
          <w:sz w:val="32"/>
          <w:szCs w:val="32"/>
          <w:lang w:val="en-US" w:eastAsia="zh-CN"/>
        </w:rPr>
        <w:t>在标准实施过程中，需各方共同参与、积极协作，形成合力，以有效推动标准的落地与推广。</w:t>
      </w:r>
    </w:p>
    <w:p w14:paraId="7809AB69">
      <w:pPr>
        <w:rPr>
          <w:rFonts w:ascii="黑体" w:hAnsi="黑体" w:eastAsia="黑体"/>
          <w:sz w:val="32"/>
          <w:szCs w:val="32"/>
        </w:rPr>
      </w:pPr>
      <w:r>
        <w:rPr>
          <w:rFonts w:ascii="黑体" w:hAnsi="黑体" w:eastAsia="黑体"/>
          <w:sz w:val="32"/>
          <w:szCs w:val="32"/>
        </w:rPr>
        <w:t>九、其他应说明的事项</w:t>
      </w:r>
    </w:p>
    <w:p w14:paraId="78D726CE">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hint="eastAsia"/>
          <w:lang w:val="en-US"/>
        </w:rPr>
      </w:pPr>
      <w:r>
        <w:rPr>
          <w:rFonts w:hint="eastAsia" w:ascii="Times New Roman" w:hAnsi="Times New Roman" w:eastAsia="仿宋" w:cs="Times New Roman"/>
          <w:color w:val="000000"/>
          <w:sz w:val="32"/>
          <w:szCs w:val="32"/>
          <w:lang w:val="en-US" w:eastAsia="zh-CN"/>
        </w:rPr>
        <w:t>无。</w:t>
      </w:r>
    </w:p>
    <w:p w14:paraId="7FD6D050">
      <w:pPr>
        <w:numPr>
          <w:ilvl w:val="0"/>
          <w:numId w:val="4"/>
        </w:numPr>
        <w:rPr>
          <w:rFonts w:hint="eastAsia" w:ascii="黑体" w:hAnsi="黑体" w:eastAsia="黑体"/>
          <w:sz w:val="32"/>
          <w:szCs w:val="32"/>
        </w:rPr>
      </w:pPr>
      <w:r>
        <w:rPr>
          <w:rFonts w:hint="eastAsia" w:ascii="黑体" w:hAnsi="黑体" w:eastAsia="黑体"/>
          <w:sz w:val="32"/>
          <w:szCs w:val="32"/>
        </w:rPr>
        <w:t>征求意见说明</w:t>
      </w:r>
    </w:p>
    <w:p w14:paraId="164F576B">
      <w:pPr>
        <w:numPr>
          <w:ilvl w:val="0"/>
          <w:numId w:val="0"/>
        </w:numPr>
        <w:jc w:val="center"/>
        <w:rPr>
          <w:rFonts w:hint="eastAsia" w:ascii="仿宋" w:hAnsi="仿宋" w:eastAsia="仿宋"/>
          <w:sz w:val="28"/>
          <w:szCs w:val="28"/>
        </w:rPr>
      </w:pPr>
      <w:r>
        <w:rPr>
          <w:rFonts w:hint="eastAsia" w:ascii="仿宋" w:hAnsi="仿宋" w:eastAsia="仿宋"/>
          <w:sz w:val="28"/>
          <w:szCs w:val="28"/>
        </w:rPr>
        <w:t>《</w:t>
      </w:r>
      <w:r>
        <w:rPr>
          <w:rFonts w:hint="eastAsia" w:ascii="仿宋" w:hAnsi="仿宋" w:eastAsia="仿宋"/>
          <w:sz w:val="28"/>
          <w:szCs w:val="28"/>
          <w:lang w:val="en-US" w:eastAsia="zh-CN"/>
        </w:rPr>
        <w:t>小麦族牧草种质资源评价鉴定技术规程</w:t>
      </w:r>
      <w:r>
        <w:rPr>
          <w:rFonts w:hint="eastAsia" w:ascii="仿宋" w:hAnsi="仿宋" w:eastAsia="仿宋"/>
          <w:sz w:val="28"/>
          <w:szCs w:val="28"/>
        </w:rPr>
        <w:t>》征求意见汇总表</w:t>
      </w:r>
    </w:p>
    <w:p w14:paraId="2F9C0BD4">
      <w:pPr>
        <w:numPr>
          <w:ilvl w:val="0"/>
          <w:numId w:val="0"/>
        </w:numPr>
        <w:jc w:val="both"/>
        <w:rPr>
          <w:rFonts w:hint="eastAsia" w:ascii="Times New Roman" w:hAnsi="Times New Roman" w:eastAsia="仿宋" w:cs="Times New Roman"/>
          <w:sz w:val="28"/>
          <w:szCs w:val="28"/>
          <w:lang w:val="en-US" w:eastAsia="zh-CN"/>
        </w:rPr>
      </w:pPr>
      <w:r>
        <w:rPr>
          <w:rFonts w:hint="default" w:ascii="Times New Roman" w:hAnsi="Times New Roman" w:eastAsia="仿宋" w:cs="Times New Roman"/>
          <w:sz w:val="28"/>
          <w:szCs w:val="28"/>
          <w:lang w:eastAsia="zh-CN"/>
        </w:rPr>
        <w:t>起草单位：</w:t>
      </w:r>
      <w:r>
        <w:rPr>
          <w:rFonts w:hint="eastAsia" w:ascii="Times New Roman" w:hAnsi="Times New Roman" w:eastAsia="仿宋" w:cs="Times New Roman"/>
          <w:sz w:val="28"/>
          <w:szCs w:val="28"/>
          <w:lang w:val="en-US" w:eastAsia="zh-CN"/>
        </w:rPr>
        <w:t>中国农业科学院草原研究所</w:t>
      </w:r>
    </w:p>
    <w:p w14:paraId="1060DBAC">
      <w:pPr>
        <w:numPr>
          <w:ilvl w:val="0"/>
          <w:numId w:val="0"/>
        </w:numPr>
        <w:jc w:val="both"/>
        <w:rPr>
          <w:rFonts w:hint="default" w:ascii="Times New Roman" w:hAnsi="Times New Roman" w:eastAsia="仿宋" w:cs="Times New Roman"/>
          <w:sz w:val="28"/>
          <w:szCs w:val="28"/>
          <w:lang w:val="en-US" w:eastAsia="zh-CN"/>
        </w:rPr>
      </w:pPr>
      <w:r>
        <w:rPr>
          <w:rFonts w:hint="default" w:ascii="Times New Roman" w:hAnsi="Times New Roman" w:eastAsia="仿宋" w:cs="Times New Roman"/>
          <w:sz w:val="28"/>
          <w:szCs w:val="28"/>
          <w:lang w:eastAsia="zh-CN"/>
        </w:rPr>
        <w:t>联系人：</w:t>
      </w:r>
      <w:r>
        <w:rPr>
          <w:rFonts w:hint="eastAsia" w:ascii="Times New Roman" w:hAnsi="Times New Roman" w:eastAsia="仿宋" w:cs="Times New Roman"/>
          <w:sz w:val="28"/>
          <w:szCs w:val="28"/>
          <w:lang w:val="en-US" w:eastAsia="zh-CN"/>
        </w:rPr>
        <w:t>刘磊</w:t>
      </w:r>
    </w:p>
    <w:p w14:paraId="46103A8F">
      <w:pPr>
        <w:numPr>
          <w:ilvl w:val="0"/>
          <w:numId w:val="0"/>
        </w:numPr>
        <w:jc w:val="both"/>
        <w:rPr>
          <w:rFonts w:hint="default" w:ascii="Times New Roman" w:hAnsi="Times New Roman" w:eastAsia="仿宋" w:cs="Times New Roman"/>
          <w:sz w:val="28"/>
          <w:szCs w:val="28"/>
          <w:lang w:val="en-US" w:eastAsia="zh-CN"/>
        </w:rPr>
      </w:pPr>
      <w:r>
        <w:rPr>
          <w:rFonts w:hint="default" w:ascii="Times New Roman" w:hAnsi="Times New Roman" w:eastAsia="仿宋" w:cs="Times New Roman"/>
          <w:sz w:val="28"/>
          <w:szCs w:val="28"/>
          <w:lang w:eastAsia="zh-CN"/>
        </w:rPr>
        <w:t>联系电话：</w:t>
      </w:r>
      <w:r>
        <w:rPr>
          <w:rFonts w:hint="eastAsia" w:ascii="Times New Roman" w:hAnsi="Times New Roman" w:eastAsia="仿宋" w:cs="Times New Roman"/>
          <w:sz w:val="28"/>
          <w:szCs w:val="28"/>
          <w:lang w:val="en-US" w:eastAsia="zh-CN"/>
        </w:rPr>
        <w:t>13847162627</w:t>
      </w:r>
    </w:p>
    <w:tbl>
      <w:tblPr>
        <w:tblStyle w:val="4"/>
        <w:tblW w:w="9028" w:type="dxa"/>
        <w:tblInd w:w="-36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50"/>
        <w:gridCol w:w="1109"/>
        <w:gridCol w:w="3163"/>
        <w:gridCol w:w="1875"/>
        <w:gridCol w:w="914"/>
        <w:gridCol w:w="1317"/>
      </w:tblGrid>
      <w:tr w14:paraId="4BD6CC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6" w:hRule="exact"/>
        </w:trPr>
        <w:tc>
          <w:tcPr>
            <w:tcW w:w="650" w:type="dxa"/>
            <w:vAlign w:val="center"/>
          </w:tcPr>
          <w:p w14:paraId="0EE52CC7">
            <w:pPr>
              <w:keepNext w:val="0"/>
              <w:keepLines w:val="0"/>
              <w:pageBreakBefore w:val="0"/>
              <w:widowControl w:val="0"/>
              <w:suppressLineNumbers w:val="0"/>
              <w:kinsoku/>
              <w:wordWrap/>
              <w:overflowPunct/>
              <w:topLinePunct w:val="0"/>
              <w:autoSpaceDE/>
              <w:autoSpaceDN/>
              <w:bidi w:val="0"/>
              <w:adjustRightInd/>
              <w:snapToGrid/>
              <w:spacing w:before="0" w:beforeAutospacing="0" w:afterAutospacing="0" w:line="240" w:lineRule="auto"/>
              <w:ind w:left="0" w:right="0"/>
              <w:jc w:val="center"/>
              <w:textAlignment w:val="auto"/>
              <w:rPr>
                <w:rFonts w:hint="default" w:ascii="Times New Roman" w:hAnsi="Times New Roman" w:eastAsia="仿宋" w:cs="Times New Roman"/>
                <w:b/>
                <w:bCs/>
                <w:sz w:val="28"/>
                <w:szCs w:val="28"/>
              </w:rPr>
            </w:pPr>
            <w:r>
              <w:rPr>
                <w:rFonts w:hint="default" w:ascii="Times New Roman" w:hAnsi="Times New Roman" w:eastAsia="仿宋" w:cs="Times New Roman"/>
                <w:b/>
                <w:bCs/>
                <w:sz w:val="28"/>
                <w:szCs w:val="28"/>
              </w:rPr>
              <w:t>序号</w:t>
            </w:r>
          </w:p>
        </w:tc>
        <w:tc>
          <w:tcPr>
            <w:tcW w:w="1109" w:type="dxa"/>
            <w:vAlign w:val="center"/>
          </w:tcPr>
          <w:p w14:paraId="1B730CA9">
            <w:pPr>
              <w:keepNext w:val="0"/>
              <w:keepLines w:val="0"/>
              <w:pageBreakBefore w:val="0"/>
              <w:widowControl w:val="0"/>
              <w:suppressLineNumbers w:val="0"/>
              <w:kinsoku/>
              <w:wordWrap/>
              <w:overflowPunct/>
              <w:topLinePunct w:val="0"/>
              <w:autoSpaceDE/>
              <w:autoSpaceDN/>
              <w:bidi w:val="0"/>
              <w:adjustRightInd/>
              <w:snapToGrid/>
              <w:spacing w:before="0" w:beforeAutospacing="0" w:afterAutospacing="0" w:line="240" w:lineRule="auto"/>
              <w:ind w:left="0" w:right="0"/>
              <w:jc w:val="center"/>
              <w:textAlignment w:val="auto"/>
              <w:rPr>
                <w:rFonts w:hint="default" w:ascii="Times New Roman" w:hAnsi="Times New Roman" w:eastAsia="仿宋" w:cs="Times New Roman"/>
                <w:b/>
                <w:bCs/>
                <w:sz w:val="28"/>
                <w:szCs w:val="28"/>
              </w:rPr>
            </w:pPr>
            <w:r>
              <w:rPr>
                <w:rFonts w:hint="default" w:ascii="Times New Roman" w:hAnsi="Times New Roman" w:eastAsia="仿宋" w:cs="Times New Roman"/>
                <w:b/>
                <w:bCs/>
                <w:sz w:val="28"/>
                <w:szCs w:val="28"/>
              </w:rPr>
              <w:t>章节编号</w:t>
            </w:r>
          </w:p>
        </w:tc>
        <w:tc>
          <w:tcPr>
            <w:tcW w:w="3163" w:type="dxa"/>
            <w:vAlign w:val="center"/>
          </w:tcPr>
          <w:p w14:paraId="2D1CF4B9">
            <w:pPr>
              <w:keepNext w:val="0"/>
              <w:keepLines w:val="0"/>
              <w:pageBreakBefore w:val="0"/>
              <w:widowControl w:val="0"/>
              <w:suppressLineNumbers w:val="0"/>
              <w:kinsoku/>
              <w:wordWrap/>
              <w:overflowPunct/>
              <w:topLinePunct w:val="0"/>
              <w:autoSpaceDE/>
              <w:autoSpaceDN/>
              <w:bidi w:val="0"/>
              <w:adjustRightInd/>
              <w:snapToGrid/>
              <w:spacing w:before="0" w:beforeAutospacing="0" w:afterAutospacing="0" w:line="240" w:lineRule="auto"/>
              <w:ind w:left="0" w:right="0"/>
              <w:jc w:val="center"/>
              <w:textAlignment w:val="auto"/>
              <w:rPr>
                <w:rFonts w:hint="default" w:ascii="Times New Roman" w:hAnsi="Times New Roman" w:eastAsia="仿宋" w:cs="Times New Roman"/>
                <w:b/>
                <w:bCs/>
                <w:sz w:val="28"/>
                <w:szCs w:val="28"/>
              </w:rPr>
            </w:pPr>
            <w:r>
              <w:rPr>
                <w:rFonts w:hint="default" w:ascii="Times New Roman" w:hAnsi="Times New Roman" w:eastAsia="仿宋" w:cs="Times New Roman"/>
                <w:b/>
                <w:bCs/>
                <w:sz w:val="28"/>
                <w:szCs w:val="28"/>
              </w:rPr>
              <w:t>意见</w:t>
            </w:r>
          </w:p>
        </w:tc>
        <w:tc>
          <w:tcPr>
            <w:tcW w:w="1875" w:type="dxa"/>
            <w:vAlign w:val="center"/>
          </w:tcPr>
          <w:p w14:paraId="24E14934">
            <w:pPr>
              <w:keepNext w:val="0"/>
              <w:keepLines w:val="0"/>
              <w:pageBreakBefore w:val="0"/>
              <w:widowControl w:val="0"/>
              <w:suppressLineNumbers w:val="0"/>
              <w:kinsoku/>
              <w:wordWrap/>
              <w:overflowPunct/>
              <w:topLinePunct w:val="0"/>
              <w:autoSpaceDE/>
              <w:autoSpaceDN/>
              <w:bidi w:val="0"/>
              <w:adjustRightInd/>
              <w:snapToGrid/>
              <w:spacing w:before="0" w:beforeAutospacing="0" w:afterAutospacing="0" w:line="240" w:lineRule="auto"/>
              <w:ind w:left="0" w:right="0"/>
              <w:jc w:val="center"/>
              <w:textAlignment w:val="auto"/>
              <w:rPr>
                <w:rFonts w:hint="default" w:ascii="Times New Roman" w:hAnsi="Times New Roman" w:eastAsia="仿宋" w:cs="Times New Roman"/>
                <w:b/>
                <w:bCs/>
                <w:sz w:val="28"/>
                <w:szCs w:val="28"/>
              </w:rPr>
            </w:pPr>
            <w:r>
              <w:rPr>
                <w:rFonts w:hint="default" w:ascii="Times New Roman" w:hAnsi="Times New Roman" w:eastAsia="仿宋" w:cs="Times New Roman"/>
                <w:b/>
                <w:bCs/>
                <w:sz w:val="28"/>
                <w:szCs w:val="28"/>
              </w:rPr>
              <w:t>提出单位/专家</w:t>
            </w:r>
          </w:p>
        </w:tc>
        <w:tc>
          <w:tcPr>
            <w:tcW w:w="914" w:type="dxa"/>
            <w:vAlign w:val="center"/>
          </w:tcPr>
          <w:p w14:paraId="12370914">
            <w:pPr>
              <w:keepNext w:val="0"/>
              <w:keepLines w:val="0"/>
              <w:pageBreakBefore w:val="0"/>
              <w:widowControl w:val="0"/>
              <w:suppressLineNumbers w:val="0"/>
              <w:kinsoku/>
              <w:wordWrap/>
              <w:overflowPunct/>
              <w:topLinePunct w:val="0"/>
              <w:autoSpaceDE/>
              <w:autoSpaceDN/>
              <w:bidi w:val="0"/>
              <w:adjustRightInd/>
              <w:snapToGrid/>
              <w:spacing w:before="0" w:beforeAutospacing="0" w:afterAutospacing="0" w:line="240" w:lineRule="auto"/>
              <w:ind w:left="0" w:right="0"/>
              <w:jc w:val="center"/>
              <w:textAlignment w:val="auto"/>
              <w:rPr>
                <w:rFonts w:hint="default" w:ascii="Times New Roman" w:hAnsi="Times New Roman" w:eastAsia="仿宋" w:cs="Times New Roman"/>
                <w:b/>
                <w:bCs/>
                <w:sz w:val="28"/>
                <w:szCs w:val="28"/>
              </w:rPr>
            </w:pPr>
            <w:r>
              <w:rPr>
                <w:rFonts w:hint="default" w:ascii="Times New Roman" w:hAnsi="Times New Roman" w:eastAsia="仿宋" w:cs="Times New Roman"/>
                <w:b/>
                <w:bCs/>
                <w:sz w:val="28"/>
                <w:szCs w:val="28"/>
              </w:rPr>
              <w:t>是否</w:t>
            </w:r>
          </w:p>
          <w:p w14:paraId="75C6E4FA">
            <w:pPr>
              <w:keepNext w:val="0"/>
              <w:keepLines w:val="0"/>
              <w:pageBreakBefore w:val="0"/>
              <w:widowControl w:val="0"/>
              <w:suppressLineNumbers w:val="0"/>
              <w:kinsoku/>
              <w:wordWrap/>
              <w:overflowPunct/>
              <w:topLinePunct w:val="0"/>
              <w:autoSpaceDE/>
              <w:autoSpaceDN/>
              <w:bidi w:val="0"/>
              <w:adjustRightInd/>
              <w:snapToGrid/>
              <w:spacing w:before="0" w:beforeAutospacing="0" w:afterAutospacing="0" w:line="240" w:lineRule="auto"/>
              <w:ind w:left="0" w:right="0"/>
              <w:jc w:val="center"/>
              <w:textAlignment w:val="auto"/>
              <w:rPr>
                <w:rFonts w:hint="default" w:ascii="Times New Roman" w:hAnsi="Times New Roman" w:eastAsia="仿宋" w:cs="Times New Roman"/>
                <w:b/>
                <w:bCs/>
                <w:sz w:val="28"/>
                <w:szCs w:val="28"/>
              </w:rPr>
            </w:pPr>
            <w:r>
              <w:rPr>
                <w:rFonts w:hint="default" w:ascii="Times New Roman" w:hAnsi="Times New Roman" w:eastAsia="仿宋" w:cs="Times New Roman"/>
                <w:b/>
                <w:bCs/>
                <w:sz w:val="28"/>
                <w:szCs w:val="28"/>
              </w:rPr>
              <w:t>采纳</w:t>
            </w:r>
          </w:p>
        </w:tc>
        <w:tc>
          <w:tcPr>
            <w:tcW w:w="1317" w:type="dxa"/>
            <w:vAlign w:val="center"/>
          </w:tcPr>
          <w:p w14:paraId="2696FAF1">
            <w:pPr>
              <w:keepNext w:val="0"/>
              <w:keepLines w:val="0"/>
              <w:pageBreakBefore w:val="0"/>
              <w:widowControl w:val="0"/>
              <w:suppressLineNumbers w:val="0"/>
              <w:kinsoku/>
              <w:wordWrap/>
              <w:overflowPunct/>
              <w:topLinePunct w:val="0"/>
              <w:autoSpaceDE/>
              <w:autoSpaceDN/>
              <w:bidi w:val="0"/>
              <w:adjustRightInd/>
              <w:snapToGrid/>
              <w:spacing w:before="0" w:beforeAutospacing="0" w:afterAutospacing="0" w:line="240" w:lineRule="auto"/>
              <w:ind w:left="0" w:right="0"/>
              <w:jc w:val="center"/>
              <w:textAlignment w:val="auto"/>
              <w:rPr>
                <w:rFonts w:hint="default" w:ascii="Times New Roman" w:hAnsi="Times New Roman" w:eastAsia="仿宋" w:cs="Times New Roman"/>
                <w:b/>
                <w:bCs/>
                <w:sz w:val="28"/>
                <w:szCs w:val="28"/>
              </w:rPr>
            </w:pPr>
            <w:r>
              <w:rPr>
                <w:rFonts w:hint="default" w:ascii="Times New Roman" w:hAnsi="Times New Roman" w:eastAsia="仿宋" w:cs="Times New Roman"/>
                <w:b/>
                <w:bCs/>
                <w:sz w:val="28"/>
                <w:szCs w:val="28"/>
              </w:rPr>
              <w:t>不采纳（说明原因）</w:t>
            </w:r>
          </w:p>
        </w:tc>
      </w:tr>
      <w:tr w14:paraId="62FA29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1" w:hRule="exact"/>
        </w:trPr>
        <w:tc>
          <w:tcPr>
            <w:tcW w:w="650" w:type="dxa"/>
            <w:vAlign w:val="center"/>
          </w:tcPr>
          <w:p w14:paraId="1E1154EC">
            <w:pPr>
              <w:keepNext w:val="0"/>
              <w:keepLines w:val="0"/>
              <w:pageBreakBefore w:val="0"/>
              <w:widowControl w:val="0"/>
              <w:suppressLineNumbers w:val="0"/>
              <w:kinsoku/>
              <w:wordWrap/>
              <w:overflowPunct/>
              <w:topLinePunct w:val="0"/>
              <w:autoSpaceDE/>
              <w:autoSpaceDN/>
              <w:bidi w:val="0"/>
              <w:adjustRightInd/>
              <w:snapToGrid/>
              <w:spacing w:before="0" w:beforeAutospacing="0" w:afterAutospacing="0" w:line="240" w:lineRule="auto"/>
              <w:ind w:left="0" w:right="0"/>
              <w:jc w:val="center"/>
              <w:textAlignment w:val="auto"/>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1</w:t>
            </w:r>
          </w:p>
        </w:tc>
        <w:tc>
          <w:tcPr>
            <w:tcW w:w="1109" w:type="dxa"/>
            <w:vAlign w:val="center"/>
          </w:tcPr>
          <w:p w14:paraId="54E64651">
            <w:pPr>
              <w:keepNext w:val="0"/>
              <w:keepLines w:val="0"/>
              <w:pageBreakBefore w:val="0"/>
              <w:widowControl w:val="0"/>
              <w:suppressLineNumbers w:val="0"/>
              <w:kinsoku/>
              <w:wordWrap/>
              <w:overflowPunct/>
              <w:topLinePunct w:val="0"/>
              <w:autoSpaceDE/>
              <w:autoSpaceDN/>
              <w:bidi w:val="0"/>
              <w:adjustRightInd/>
              <w:snapToGrid/>
              <w:spacing w:before="0" w:beforeAutospacing="0" w:afterAutospacing="0" w:line="240" w:lineRule="auto"/>
              <w:ind w:left="0" w:right="0"/>
              <w:jc w:val="center"/>
              <w:textAlignment w:val="auto"/>
              <w:rPr>
                <w:rFonts w:hint="default" w:ascii="Times New Roman" w:hAnsi="Times New Roman" w:eastAsia="仿宋_GB2312" w:cs="Times New Roman"/>
                <w:sz w:val="28"/>
                <w:szCs w:val="28"/>
                <w:lang w:val="en-US" w:eastAsia="zh-CN"/>
              </w:rPr>
            </w:pPr>
          </w:p>
        </w:tc>
        <w:tc>
          <w:tcPr>
            <w:tcW w:w="3163" w:type="dxa"/>
            <w:vAlign w:val="center"/>
          </w:tcPr>
          <w:p w14:paraId="728CD66F">
            <w:pPr>
              <w:keepNext w:val="0"/>
              <w:keepLines w:val="0"/>
              <w:pageBreakBefore w:val="0"/>
              <w:widowControl w:val="0"/>
              <w:suppressLineNumbers w:val="0"/>
              <w:kinsoku/>
              <w:wordWrap/>
              <w:overflowPunct/>
              <w:topLinePunct w:val="0"/>
              <w:autoSpaceDE/>
              <w:autoSpaceDN/>
              <w:bidi w:val="0"/>
              <w:adjustRightInd/>
              <w:snapToGrid/>
              <w:spacing w:before="0" w:beforeAutospacing="0" w:afterAutospacing="0" w:line="240" w:lineRule="auto"/>
              <w:ind w:left="0" w:right="0"/>
              <w:jc w:val="center"/>
              <w:textAlignment w:val="auto"/>
              <w:rPr>
                <w:rFonts w:hint="default" w:ascii="Times New Roman" w:hAnsi="Times New Roman" w:eastAsia="仿宋_GB2312" w:cs="Times New Roman"/>
                <w:sz w:val="28"/>
                <w:szCs w:val="28"/>
                <w:lang w:val="en-US" w:eastAsia="zh-CN"/>
              </w:rPr>
            </w:pPr>
          </w:p>
        </w:tc>
        <w:tc>
          <w:tcPr>
            <w:tcW w:w="1875" w:type="dxa"/>
            <w:vAlign w:val="center"/>
          </w:tcPr>
          <w:p w14:paraId="27900593">
            <w:pPr>
              <w:keepNext w:val="0"/>
              <w:keepLines w:val="0"/>
              <w:pageBreakBefore w:val="0"/>
              <w:widowControl w:val="0"/>
              <w:suppressLineNumbers w:val="0"/>
              <w:kinsoku/>
              <w:wordWrap/>
              <w:overflowPunct/>
              <w:topLinePunct w:val="0"/>
              <w:autoSpaceDE/>
              <w:autoSpaceDN/>
              <w:bidi w:val="0"/>
              <w:adjustRightInd/>
              <w:snapToGrid/>
              <w:spacing w:before="0" w:beforeAutospacing="0" w:afterAutospacing="0" w:line="240" w:lineRule="auto"/>
              <w:ind w:left="0" w:right="0"/>
              <w:jc w:val="center"/>
              <w:textAlignment w:val="auto"/>
              <w:rPr>
                <w:rFonts w:hint="default" w:ascii="Times New Roman" w:hAnsi="Times New Roman" w:eastAsia="仿宋_GB2312" w:cs="Times New Roman"/>
                <w:kern w:val="2"/>
                <w:sz w:val="28"/>
                <w:szCs w:val="28"/>
                <w:lang w:val="en-US" w:eastAsia="zh-CN" w:bidi="ar-SA"/>
              </w:rPr>
            </w:pPr>
          </w:p>
        </w:tc>
        <w:tc>
          <w:tcPr>
            <w:tcW w:w="914" w:type="dxa"/>
            <w:vAlign w:val="center"/>
          </w:tcPr>
          <w:p w14:paraId="0BE02868">
            <w:pPr>
              <w:keepNext w:val="0"/>
              <w:keepLines w:val="0"/>
              <w:pageBreakBefore w:val="0"/>
              <w:widowControl w:val="0"/>
              <w:suppressLineNumbers w:val="0"/>
              <w:kinsoku/>
              <w:wordWrap/>
              <w:overflowPunct/>
              <w:topLinePunct w:val="0"/>
              <w:autoSpaceDE/>
              <w:autoSpaceDN/>
              <w:bidi w:val="0"/>
              <w:adjustRightInd/>
              <w:snapToGrid/>
              <w:spacing w:before="0" w:beforeAutospacing="0" w:afterAutospacing="0" w:line="240" w:lineRule="auto"/>
              <w:ind w:left="0" w:right="0"/>
              <w:jc w:val="center"/>
              <w:textAlignment w:val="auto"/>
              <w:rPr>
                <w:rFonts w:hint="default" w:ascii="Times New Roman" w:hAnsi="Times New Roman" w:eastAsia="仿宋" w:cs="Times New Roman"/>
                <w:sz w:val="28"/>
                <w:szCs w:val="28"/>
                <w:lang w:val="en-US" w:eastAsia="zh-CN"/>
              </w:rPr>
            </w:pPr>
          </w:p>
        </w:tc>
        <w:tc>
          <w:tcPr>
            <w:tcW w:w="1317" w:type="dxa"/>
            <w:vAlign w:val="center"/>
          </w:tcPr>
          <w:p w14:paraId="55349E0D">
            <w:pPr>
              <w:keepNext w:val="0"/>
              <w:keepLines w:val="0"/>
              <w:pageBreakBefore w:val="0"/>
              <w:widowControl w:val="0"/>
              <w:suppressLineNumbers w:val="0"/>
              <w:kinsoku/>
              <w:wordWrap/>
              <w:overflowPunct/>
              <w:topLinePunct w:val="0"/>
              <w:autoSpaceDE/>
              <w:autoSpaceDN/>
              <w:bidi w:val="0"/>
              <w:adjustRightInd/>
              <w:snapToGrid/>
              <w:spacing w:before="0" w:beforeAutospacing="0" w:afterAutospacing="0" w:line="240" w:lineRule="auto"/>
              <w:ind w:left="0" w:right="0"/>
              <w:jc w:val="center"/>
              <w:textAlignment w:val="auto"/>
              <w:rPr>
                <w:rFonts w:hint="default" w:ascii="Times New Roman" w:hAnsi="Times New Roman" w:eastAsia="仿宋" w:cs="Times New Roman"/>
                <w:sz w:val="28"/>
                <w:szCs w:val="28"/>
              </w:rPr>
            </w:pPr>
          </w:p>
        </w:tc>
      </w:tr>
    </w:tbl>
    <w:p w14:paraId="649FA3A5">
      <w:pPr>
        <w:numPr>
          <w:ilvl w:val="0"/>
          <w:numId w:val="0"/>
        </w:numPr>
        <w:rPr>
          <w:rFonts w:hint="default" w:ascii="Times New Roman" w:hAnsi="Times New Roman" w:eastAsia="黑体" w:cs="Times New Roman"/>
          <w:sz w:val="28"/>
          <w:szCs w:val="28"/>
        </w:rPr>
      </w:pPr>
    </w:p>
    <w:p w14:paraId="05516373">
      <w:pPr>
        <w:numPr>
          <w:ilvl w:val="0"/>
          <w:numId w:val="0"/>
        </w:numPr>
        <w:rPr>
          <w:rFonts w:hint="eastAsia" w:ascii="黑体" w:hAnsi="黑体" w:eastAsia="黑体"/>
          <w:sz w:val="32"/>
          <w:szCs w:val="32"/>
        </w:rPr>
      </w:pPr>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8" w:lineRule="auto"/>
      </w:pPr>
      <w:r>
        <w:separator/>
      </w:r>
    </w:p>
  </w:footnote>
  <w:footnote w:type="continuationSeparator" w:id="1">
    <w:p>
      <w:pPr>
        <w:spacing w:before="0" w:after="0" w:line="278"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8CC8DBD"/>
    <w:multiLevelType w:val="singleLevel"/>
    <w:tmpl w:val="88CC8DBD"/>
    <w:lvl w:ilvl="0" w:tentative="0">
      <w:start w:val="4"/>
      <w:numFmt w:val="chineseCounting"/>
      <w:suff w:val="nothing"/>
      <w:lvlText w:val="（%1）"/>
      <w:lvlJc w:val="left"/>
      <w:rPr>
        <w:rFonts w:hint="eastAsia"/>
      </w:rPr>
    </w:lvl>
  </w:abstractNum>
  <w:abstractNum w:abstractNumId="1">
    <w:nsid w:val="C226886B"/>
    <w:multiLevelType w:val="singleLevel"/>
    <w:tmpl w:val="C226886B"/>
    <w:lvl w:ilvl="0" w:tentative="0">
      <w:start w:val="10"/>
      <w:numFmt w:val="chineseCounting"/>
      <w:suff w:val="nothing"/>
      <w:lvlText w:val="%1、"/>
      <w:lvlJc w:val="left"/>
      <w:rPr>
        <w:rFonts w:hint="eastAsia"/>
      </w:rPr>
    </w:lvl>
  </w:abstractNum>
  <w:abstractNum w:abstractNumId="2">
    <w:nsid w:val="044FD8DB"/>
    <w:multiLevelType w:val="multilevel"/>
    <w:tmpl w:val="044FD8DB"/>
    <w:lvl w:ilvl="0" w:tentative="0">
      <w:start w:val="1"/>
      <w:numFmt w:val="none"/>
      <w:suff w:val="nothing"/>
      <w:lvlText w:val="%1"/>
      <w:lvlJc w:val="left"/>
      <w:pPr>
        <w:ind w:left="0" w:firstLine="0"/>
      </w:pPr>
    </w:lvl>
    <w:lvl w:ilvl="1" w:tentative="0">
      <w:start w:val="1"/>
      <w:numFmt w:val="decimal"/>
      <w:suff w:val="nothing"/>
      <w:lvlText w:val="%1%2　"/>
      <w:lvlJc w:val="left"/>
      <w:pPr>
        <w:ind w:left="284" w:firstLine="0"/>
      </w:pPr>
      <w:rPr>
        <w:rFonts w:hint="eastAsia" w:ascii="黑体" w:hAnsi="Times New Roman" w:eastAsia="黑体" w:cs="黑体"/>
        <w:b w:val="0"/>
        <w:i w:val="0"/>
        <w:sz w:val="21"/>
      </w:rPr>
    </w:lvl>
    <w:lvl w:ilvl="2" w:tentative="0">
      <w:start w:val="1"/>
      <w:numFmt w:val="decimal"/>
      <w:pStyle w:val="12"/>
      <w:suff w:val="nothing"/>
      <w:lvlText w:val="%1%2.%3　"/>
      <w:lvlJc w:val="left"/>
      <w:pPr>
        <w:ind w:left="1843" w:firstLine="0"/>
        <w:textAlignment w:val="baseline"/>
      </w:pPr>
      <w:rPr>
        <w:rFonts w:hint="eastAsia" w:ascii="黑体" w:hAnsi="Times New Roman" w:eastAsia="黑体" w:cs="Times New Roman"/>
        <w:b w:val="0"/>
        <w:bCs w:val="0"/>
        <w:i w:val="0"/>
        <w:iCs w:val="0"/>
        <w:caps w:val="0"/>
        <w:strike w:val="0"/>
        <w:dstrike w:val="0"/>
        <w:vanish w:val="0"/>
        <w:color w:val="000000"/>
        <w:spacing w:val="0"/>
        <w:kern w:val="0"/>
        <w:position w:val="0"/>
        <w:sz w:val="21"/>
        <w:u w:val="none"/>
      </w:rPr>
    </w:lvl>
    <w:lvl w:ilvl="3" w:tentative="0">
      <w:start w:val="1"/>
      <w:numFmt w:val="decimal"/>
      <w:suff w:val="nothing"/>
      <w:lvlText w:val="%1%2.%3.%4　"/>
      <w:lvlJc w:val="left"/>
      <w:pPr>
        <w:ind w:left="426" w:firstLine="0"/>
      </w:pPr>
      <w:rPr>
        <w:rFonts w:hint="eastAsia" w:ascii="黑体" w:hAnsi="Times New Roman" w:eastAsia="黑体" w:cs="黑体"/>
        <w:b w:val="0"/>
        <w:i w:val="0"/>
        <w:sz w:val="21"/>
      </w:rPr>
    </w:lvl>
    <w:lvl w:ilvl="4" w:tentative="0">
      <w:start w:val="1"/>
      <w:numFmt w:val="decimal"/>
      <w:suff w:val="nothing"/>
      <w:lvlText w:val="%1%2.%3.%4.%5　"/>
      <w:lvlJc w:val="left"/>
      <w:pPr>
        <w:ind w:left="426" w:firstLine="0"/>
      </w:pPr>
      <w:rPr>
        <w:rFonts w:hint="eastAsia" w:ascii="黑体" w:hAnsi="Times New Roman" w:eastAsia="黑体" w:cs="黑体"/>
        <w:b w:val="0"/>
        <w:i w:val="0"/>
        <w:sz w:val="21"/>
      </w:rPr>
    </w:lvl>
    <w:lvl w:ilvl="5" w:tentative="0">
      <w:start w:val="1"/>
      <w:numFmt w:val="decimal"/>
      <w:suff w:val="nothing"/>
      <w:lvlText w:val="%1%2.%3.%4.%5.%6　"/>
      <w:lvlJc w:val="left"/>
      <w:pPr>
        <w:ind w:left="0" w:firstLine="0"/>
      </w:pPr>
      <w:rPr>
        <w:rFonts w:hint="eastAsia" w:ascii="黑体" w:hAnsi="Times New Roman" w:eastAsia="黑体" w:cs="黑体"/>
        <w:b w:val="0"/>
        <w:i w:val="0"/>
        <w:sz w:val="21"/>
      </w:rPr>
    </w:lvl>
    <w:lvl w:ilvl="6" w:tentative="0">
      <w:start w:val="1"/>
      <w:numFmt w:val="decimal"/>
      <w:suff w:val="nothing"/>
      <w:lvlText w:val="%1%2.%3.%4.%5.%6.%7　"/>
      <w:lvlJc w:val="left"/>
      <w:pPr>
        <w:ind w:left="0" w:firstLine="0"/>
      </w:pPr>
      <w:rPr>
        <w:rFonts w:hint="eastAsia" w:ascii="黑体" w:hAnsi="Times New Roman" w:eastAsia="黑体" w:cs="黑体"/>
        <w:b w:val="0"/>
        <w:i w:val="0"/>
        <w:sz w:val="21"/>
      </w:rPr>
    </w:lvl>
    <w:lvl w:ilvl="7" w:tentative="0">
      <w:start w:val="1"/>
      <w:numFmt w:val="decimal"/>
      <w:lvlText w:val="%1.%2.%3.%4.%5.%6.%7.%8"/>
      <w:lvlJc w:val="left"/>
      <w:pPr>
        <w:tabs>
          <w:tab w:val="left" w:pos="4351"/>
        </w:tabs>
        <w:ind w:left="3972" w:hanging="1418"/>
      </w:pPr>
    </w:lvl>
    <w:lvl w:ilvl="8" w:tentative="0">
      <w:start w:val="1"/>
      <w:numFmt w:val="decimal"/>
      <w:lvlText w:val="%1.%2.%3.%4.%5.%6.%7.%8.%9"/>
      <w:lvlJc w:val="left"/>
      <w:pPr>
        <w:tabs>
          <w:tab w:val="left" w:pos="4777"/>
        </w:tabs>
        <w:ind w:left="4677" w:hanging="1700"/>
      </w:pPr>
    </w:lvl>
  </w:abstractNum>
  <w:abstractNum w:abstractNumId="3">
    <w:nsid w:val="168A52EC"/>
    <w:multiLevelType w:val="multilevel"/>
    <w:tmpl w:val="168A52EC"/>
    <w:lvl w:ilvl="0" w:tentative="0">
      <w:start w:val="1"/>
      <w:numFmt w:val="japaneseCounting"/>
      <w:lvlText w:val="%1、"/>
      <w:lvlJc w:val="left"/>
      <w:pPr>
        <w:ind w:left="720" w:hanging="720"/>
      </w:pPr>
      <w:rPr>
        <w:rFonts w:hint="default" w:ascii="黑体" w:hAnsi="黑体" w:eastAsia="黑体"/>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num w:numId="1">
    <w:abstractNumId w:val="2"/>
  </w:num>
  <w:num w:numId="2">
    <w:abstractNumId w:val="3"/>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13E3"/>
    <w:rsid w:val="00007E4A"/>
    <w:rsid w:val="00121F61"/>
    <w:rsid w:val="001E0388"/>
    <w:rsid w:val="002720DC"/>
    <w:rsid w:val="003764AD"/>
    <w:rsid w:val="00495D61"/>
    <w:rsid w:val="007002AA"/>
    <w:rsid w:val="00863994"/>
    <w:rsid w:val="008A6C2C"/>
    <w:rsid w:val="00995049"/>
    <w:rsid w:val="00A65D94"/>
    <w:rsid w:val="00B735D2"/>
    <w:rsid w:val="00DF1108"/>
    <w:rsid w:val="00E96815"/>
    <w:rsid w:val="00F16BD5"/>
    <w:rsid w:val="00FA48B5"/>
    <w:rsid w:val="00FB13E3"/>
    <w:rsid w:val="0DE1360B"/>
    <w:rsid w:val="10790FE5"/>
    <w:rsid w:val="113F77B7"/>
    <w:rsid w:val="14CA0061"/>
    <w:rsid w:val="18455C50"/>
    <w:rsid w:val="1881312C"/>
    <w:rsid w:val="1AA5227C"/>
    <w:rsid w:val="1DFE0D7B"/>
    <w:rsid w:val="2501161D"/>
    <w:rsid w:val="2B797C93"/>
    <w:rsid w:val="31AA6DF8"/>
    <w:rsid w:val="395D6E46"/>
    <w:rsid w:val="435B7A75"/>
    <w:rsid w:val="55A72503"/>
    <w:rsid w:val="5637484F"/>
    <w:rsid w:val="59101387"/>
    <w:rsid w:val="611A0FF5"/>
    <w:rsid w:val="62004431"/>
    <w:rsid w:val="667A01FC"/>
    <w:rsid w:val="672810DE"/>
    <w:rsid w:val="7141437C"/>
    <w:rsid w:val="77596CD9"/>
    <w:rsid w:val="7C507B6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paragraph" w:styleId="2">
    <w:name w:val="heading 2"/>
    <w:basedOn w:val="1"/>
    <w:next w:val="1"/>
    <w:link w:val="13"/>
    <w:unhideWhenUsed/>
    <w:qFormat/>
    <w:uiPriority w:val="0"/>
    <w:pPr>
      <w:keepNext/>
      <w:keepLines/>
      <w:spacing w:line="413" w:lineRule="auto"/>
      <w:outlineLvl w:val="1"/>
    </w:pPr>
    <w:rPr>
      <w:rFonts w:hint="eastAsia" w:ascii="Arial" w:hAnsi="Arial" w:eastAsia="黑体"/>
      <w:b/>
      <w:sz w:val="32"/>
    </w:rPr>
  </w:style>
  <w:style w:type="character" w:default="1" w:styleId="6">
    <w:name w:val="Default Paragraph Font"/>
    <w:semiHidden/>
    <w:unhideWhenUsed/>
    <w:qFormat/>
    <w:uiPriority w:val="1"/>
  </w:style>
  <w:style w:type="table" w:default="1" w:styleId="4">
    <w:name w:val="Normal Table"/>
    <w:semiHidden/>
    <w:unhideWhenUsed/>
    <w:qFormat/>
    <w:uiPriority w:val="99"/>
    <w:pPr>
      <w:keepNext w:val="0"/>
      <w:keepLines w:val="0"/>
      <w:widowControl/>
      <w:suppressLineNumbers w:val="0"/>
      <w:spacing w:before="0" w:beforeAutospacing="0" w:after="0" w:afterAutospacing="0"/>
      <w:ind w:left="0" w:right="0"/>
    </w:pPr>
    <w:rPr>
      <w:rFonts w:hint="eastAsia" w:ascii="等线" w:hAnsi="等线" w:eastAsia="等线" w:cs="等线"/>
      <w:sz w:val="20"/>
      <w:szCs w:val="20"/>
    </w:rPr>
    <w:tblPr>
      <w:tblCellMar>
        <w:top w:w="0" w:type="dxa"/>
        <w:left w:w="108" w:type="dxa"/>
        <w:bottom w:w="0" w:type="dxa"/>
        <w:right w:w="108" w:type="dxa"/>
      </w:tblCellMar>
    </w:tblPr>
  </w:style>
  <w:style w:type="paragraph" w:styleId="3">
    <w:name w:val="Normal (Web)"/>
    <w:basedOn w:val="1"/>
    <w:semiHidden/>
    <w:unhideWhenUsed/>
    <w:qFormat/>
    <w:uiPriority w:val="99"/>
    <w:rPr>
      <w:sz w:val="24"/>
    </w:rPr>
  </w:style>
  <w:style w:type="table" w:styleId="5">
    <w:name w:val="Table Grid"/>
    <w:basedOn w:val="4"/>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7">
    <w:name w:val="Strong"/>
    <w:basedOn w:val="6"/>
    <w:qFormat/>
    <w:uiPriority w:val="22"/>
    <w:rPr>
      <w:b/>
    </w:rPr>
  </w:style>
  <w:style w:type="character" w:styleId="8">
    <w:name w:val="Emphasis"/>
    <w:basedOn w:val="6"/>
    <w:qFormat/>
    <w:uiPriority w:val="20"/>
    <w:rPr>
      <w:i/>
    </w:rPr>
  </w:style>
  <w:style w:type="paragraph" w:styleId="9">
    <w:name w:val="List Paragraph"/>
    <w:basedOn w:val="1"/>
    <w:qFormat/>
    <w:uiPriority w:val="34"/>
    <w:pPr>
      <w:ind w:firstLine="420" w:firstLineChars="200"/>
    </w:pPr>
  </w:style>
  <w:style w:type="paragraph" w:customStyle="1" w:styleId="10">
    <w:name w:val="标准文件_段"/>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character" w:customStyle="1" w:styleId="11">
    <w:name w:val="标准文件_段 Char"/>
    <w:basedOn w:val="6"/>
    <w:qFormat/>
    <w:uiPriority w:val="0"/>
    <w:rPr>
      <w:rFonts w:hint="eastAsia" w:ascii="宋体" w:hAnsi="宋体" w:eastAsia="宋体" w:cs="宋体"/>
      <w:sz w:val="21"/>
    </w:rPr>
  </w:style>
  <w:style w:type="paragraph" w:customStyle="1" w:styleId="12">
    <w:name w:val="标准文件_一级条标题"/>
    <w:qFormat/>
    <w:uiPriority w:val="0"/>
    <w:pPr>
      <w:keepNext w:val="0"/>
      <w:keepLines w:val="0"/>
      <w:widowControl/>
      <w:numPr>
        <w:ilvl w:val="2"/>
        <w:numId w:val="1"/>
      </w:numPr>
      <w:suppressLineNumbers w:val="0"/>
      <w:spacing w:before="50" w:beforeLines="50" w:beforeAutospacing="0" w:after="50" w:afterLines="50" w:afterAutospacing="0"/>
      <w:ind w:left="0" w:right="0" w:firstLine="0"/>
      <w:jc w:val="both"/>
      <w:outlineLvl w:val="1"/>
    </w:pPr>
    <w:rPr>
      <w:rFonts w:hint="eastAsia" w:ascii="黑体" w:hAnsi="Times New Roman" w:eastAsia="黑体" w:cs="Times New Roman"/>
      <w:kern w:val="0"/>
      <w:sz w:val="21"/>
      <w:szCs w:val="20"/>
      <w:lang w:val="en-US" w:eastAsia="zh-CN" w:bidi="ar"/>
    </w:rPr>
  </w:style>
  <w:style w:type="character" w:customStyle="1" w:styleId="13">
    <w:name w:val="标题 2 Char"/>
    <w:basedOn w:val="6"/>
    <w:link w:val="2"/>
    <w:qFormat/>
    <w:uiPriority w:val="0"/>
    <w:rPr>
      <w:rFonts w:ascii="等线 Light" w:hAnsi="等线 Light" w:eastAsia="等线 Light" w:cs="Times New Roman"/>
      <w:b/>
      <w:bCs/>
      <w:kern w:val="2"/>
      <w:sz w:val="32"/>
      <w:szCs w:val="3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15</Pages>
  <Words>5655</Words>
  <Characters>6124</Characters>
  <Lines>2</Lines>
  <Paragraphs>1</Paragraphs>
  <TotalTime>0</TotalTime>
  <ScaleCrop>false</ScaleCrop>
  <LinksUpToDate>false</LinksUpToDate>
  <CharactersWithSpaces>6156</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2025-09-10T06:16:00Z</dcterms:created>
  <dc:creator>苑榕</dc:creator>
  <cp:lastModifiedBy>D-</cp:lastModifiedBy>
  <dcterms:modified xsi:type="dcterms:W3CDTF">2026-05-26T01:19:27Z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eyJoZGlkIjoiMzNiYjliNTIwYWUxZWFjNGFlYTA1NmQzNGFlNzc3MDQiLCJ1c2VySWQiOiIxNzIyNTYyMDMwIn0=</vt:lpwstr>
  </property>
  <property fmtid="{D5CDD505-2E9C-101B-9397-08002B2CF9AE}" pid="3" name="KSOProductBuildVer">
    <vt:lpwstr>2052-12.1.0.25865</vt:lpwstr>
  </property>
  <property fmtid="{D5CDD505-2E9C-101B-9397-08002B2CF9AE}" pid="4" name="ICV">
    <vt:lpwstr>E23EB718F10141E2B4DA7190E1FDC516_13</vt:lpwstr>
  </property>
</Properties>
</file>