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E7321B">
      <w:pPr>
        <w:pStyle w:val="3"/>
        <w:spacing w:line="295" w:lineRule="auto"/>
        <w:jc w:val="right"/>
        <w:rPr>
          <w:color w:val="000000" w:themeColor="text1"/>
          <w14:textFill>
            <w14:solidFill>
              <w14:schemeClr w14:val="tx1"/>
            </w14:solidFill>
          </w14:textFill>
        </w:rPr>
      </w:pPr>
      <w:r>
        <w:rPr>
          <w:rFonts w:hint="eastAsia" w:ascii="黑体" w:hAnsi="黑体" w:eastAsia="黑体" w:cs="黑体"/>
          <w:color w:val="000000" w:themeColor="text1"/>
          <w:position w:val="1"/>
          <w14:textFill>
            <w14:solidFill>
              <w14:schemeClr w14:val="tx1"/>
            </w14:solidFill>
          </w14:textFill>
        </w:rPr>
        <w:t>T</w:t>
      </w:r>
      <w:r>
        <w:rPr>
          <w:rFonts w:hint="eastAsia" w:ascii="黑体" w:hAnsi="黑体" w:eastAsia="黑体" w:cs="黑体"/>
          <w:color w:val="000000" w:themeColor="text1"/>
          <w:spacing w:val="13"/>
          <w:position w:val="1"/>
          <w14:textFill>
            <w14:solidFill>
              <w14:schemeClr w14:val="tx1"/>
            </w14:solidFill>
          </w14:textFill>
        </w:rPr>
        <w:t>/</w:t>
      </w:r>
      <w:r>
        <w:rPr>
          <w:rFonts w:hint="eastAsia" w:ascii="黑体" w:hAnsi="黑体" w:eastAsia="黑体" w:cs="黑体"/>
          <w:color w:val="000000" w:themeColor="text1"/>
          <w:position w:val="1"/>
          <w14:textFill>
            <w14:solidFill>
              <w14:schemeClr w14:val="tx1"/>
            </w14:solidFill>
          </w14:textFill>
        </w:rPr>
        <w:t>SHBX</w:t>
      </w:r>
      <w:r>
        <w:rPr>
          <w:rFonts w:hint="eastAsia" w:ascii="黑体" w:hAnsi="黑体" w:eastAsia="黑体" w:cs="黑体"/>
          <w:color w:val="000000" w:themeColor="text1"/>
          <w:spacing w:val="8"/>
          <w:position w:val="1"/>
          <w14:textFill>
            <w14:solidFill>
              <w14:schemeClr w14:val="tx1"/>
            </w14:solidFill>
          </w14:textFill>
        </w:rPr>
        <w:t xml:space="preserve"> ×—××××</w:t>
      </w:r>
    </w:p>
    <w:p w14:paraId="0E99F8F9">
      <w:pPr>
        <w:pStyle w:val="3"/>
        <w:spacing w:line="295" w:lineRule="auto"/>
        <w:rPr>
          <w:color w:val="000000" w:themeColor="text1"/>
          <w14:textFill>
            <w14:solidFill>
              <w14:schemeClr w14:val="tx1"/>
            </w14:solidFill>
          </w14:textFill>
        </w:rPr>
      </w:pPr>
    </w:p>
    <w:p w14:paraId="135D7107">
      <w:pPr>
        <w:spacing w:before="57" w:line="195" w:lineRule="auto"/>
        <w:ind w:left="5"/>
        <w:rPr>
          <w:rFonts w:ascii="Times New Roman" w:hAnsi="Times New Roman" w:eastAsia="Times New Roman" w:cs="Times New Roman"/>
          <w:color w:val="000000" w:themeColor="text1"/>
          <w:sz w:val="20"/>
          <w:szCs w:val="20"/>
          <w14:textFill>
            <w14:solidFill>
              <w14:schemeClr w14:val="tx1"/>
            </w14:solidFill>
          </w14:textFill>
        </w:rPr>
      </w:pPr>
      <w:r>
        <w:rPr>
          <w:rFonts w:ascii="Times New Roman" w:hAnsi="Times New Roman" w:eastAsia="Times New Roman" w:cs="Times New Roman"/>
          <w:color w:val="000000" w:themeColor="text1"/>
          <w:spacing w:val="2"/>
          <w:sz w:val="20"/>
          <w:szCs w:val="20"/>
          <w14:textFill>
            <w14:solidFill>
              <w14:schemeClr w14:val="tx1"/>
            </w14:solidFill>
          </w14:textFill>
        </w:rPr>
        <w:t>ICS</w:t>
      </w:r>
    </w:p>
    <w:p w14:paraId="101C3273">
      <w:pPr>
        <w:pStyle w:val="3"/>
        <w:spacing w:line="297" w:lineRule="auto"/>
        <w:rPr>
          <w:color w:val="000000" w:themeColor="text1"/>
          <w14:textFill>
            <w14:solidFill>
              <w14:schemeClr w14:val="tx1"/>
            </w14:solidFill>
          </w14:textFill>
        </w:rPr>
      </w:pPr>
    </w:p>
    <w:p w14:paraId="73C52FBD">
      <w:pPr>
        <w:spacing w:before="549" w:line="1289" w:lineRule="exact"/>
        <w:ind w:left="1193"/>
        <w:rPr>
          <w:rFonts w:ascii="微软雅黑" w:hAnsi="微软雅黑" w:eastAsia="微软雅黑" w:cs="微软雅黑"/>
          <w:color w:val="000000" w:themeColor="text1"/>
          <w:spacing w:val="211"/>
          <w:position w:val="-7"/>
          <w:sz w:val="128"/>
          <w:szCs w:val="128"/>
          <w14:textFill>
            <w14:solidFill>
              <w14:schemeClr w14:val="tx1"/>
            </w14:solidFill>
          </w14:textFill>
        </w:rPr>
      </w:pPr>
    </w:p>
    <w:p w14:paraId="03C5D107">
      <w:pPr>
        <w:spacing w:before="549" w:line="1289" w:lineRule="exact"/>
        <w:ind w:left="1193"/>
        <w:rPr>
          <w:rFonts w:ascii="微软雅黑" w:hAnsi="微软雅黑" w:eastAsia="微软雅黑" w:cs="微软雅黑"/>
          <w:color w:val="000000" w:themeColor="text1"/>
          <w:sz w:val="128"/>
          <w:szCs w:val="128"/>
          <w14:textFill>
            <w14:solidFill>
              <w14:schemeClr w14:val="tx1"/>
            </w14:solidFill>
          </w14:textFill>
        </w:rPr>
      </w:pPr>
      <w:r>
        <w:rPr>
          <w:rFonts w:ascii="微软雅黑" w:hAnsi="微软雅黑" w:eastAsia="微软雅黑" w:cs="微软雅黑"/>
          <w:color w:val="000000" w:themeColor="text1"/>
          <w:spacing w:val="211"/>
          <w:position w:val="-7"/>
          <w:sz w:val="128"/>
          <w:szCs w:val="128"/>
          <w14:textFill>
            <w14:solidFill>
              <w14:schemeClr w14:val="tx1"/>
            </w14:solidFill>
          </w14:textFill>
        </w:rPr>
        <w:t>团体标准</w:t>
      </w:r>
    </w:p>
    <w:p w14:paraId="6A7B2B8F">
      <w:pPr>
        <w:spacing w:before="77" w:line="426" w:lineRule="exact"/>
        <w:ind w:left="7361"/>
        <w:rPr>
          <w:rFonts w:ascii="Calibri" w:hAnsi="Calibri" w:eastAsia="Calibri" w:cs="Calibri"/>
          <w:color w:val="000000" w:themeColor="text1"/>
          <w:sz w:val="31"/>
          <w:szCs w:val="31"/>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309880</wp:posOffset>
                </wp:positionV>
                <wp:extent cx="5400040" cy="18415"/>
                <wp:effectExtent l="0" t="0" r="10160" b="635"/>
                <wp:wrapNone/>
                <wp:docPr id="2" name="任意多边形 2"/>
                <wp:cNvGraphicFramePr/>
                <a:graphic xmlns:a="http://schemas.openxmlformats.org/drawingml/2006/main">
                  <a:graphicData uri="http://schemas.microsoft.com/office/word/2010/wordprocessingShape">
                    <wps:wsp>
                      <wps:cNvSpPr/>
                      <wps:spPr>
                        <a:xfrm>
                          <a:off x="0" y="0"/>
                          <a:ext cx="5400040" cy="18415"/>
                        </a:xfrm>
                        <a:custGeom>
                          <a:avLst/>
                          <a:gdLst/>
                          <a:ahLst/>
                          <a:cxnLst/>
                          <a:pathLst>
                            <a:path w="8504" h="29">
                              <a:moveTo>
                                <a:pt x="0" y="0"/>
                              </a:moveTo>
                              <a:lnTo>
                                <a:pt x="8503" y="0"/>
                              </a:lnTo>
                              <a:lnTo>
                                <a:pt x="8503" y="28"/>
                              </a:lnTo>
                              <a:lnTo>
                                <a:pt x="0" y="28"/>
                              </a:lnTo>
                              <a:lnTo>
                                <a:pt x="0" y="0"/>
                              </a:lnTo>
                              <a:close/>
                            </a:path>
                          </a:pathLst>
                        </a:custGeom>
                        <a:solidFill>
                          <a:srgbClr val="000000"/>
                        </a:solidFill>
                        <a:ln>
                          <a:noFill/>
                        </a:ln>
                      </wps:spPr>
                      <wps:bodyPr upright="0"/>
                    </wps:wsp>
                  </a:graphicData>
                </a:graphic>
              </wp:anchor>
            </w:drawing>
          </mc:Choice>
          <mc:Fallback>
            <w:pict>
              <v:shape id="_x0000_s1026" o:spid="_x0000_s1026" o:spt="100" style="position:absolute;left:0pt;margin-left:0pt;margin-top:24.4pt;height:1.45pt;width:425.2pt;z-index:251660288;mso-width-relative:page;mso-height-relative:page;" fillcolor="#000000" filled="t" stroked="f" coordsize="8504,29" o:gfxdata="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Jh+pn3TAAAABgEAAA8AAAAAAAAAAQAg&#10;AAAAIgAAAGRycy9kb3ducmV2LnhtbFBLAQIUABQAAAAIAIdO4kCasOW1EwIAAHwEAAAOAAAAAAAA&#10;AAEAIAAAACIBAABkcnMvZTJvRG9jLnhtbFBLBQYAAAAABgAGAFkBAACnBQAAAAA=&#10;" path="m0,0l8503,0,8503,28,0,28,0,0xe">
                <v:fill on="t" focussize="0,0"/>
                <v:stroke on="f"/>
                <v:imagedata o:title=""/>
                <o:lock v:ext="edit" aspectratio="f"/>
              </v:shape>
            </w:pict>
          </mc:Fallback>
        </mc:AlternateContent>
      </w:r>
      <w:r>
        <w:rPr>
          <w:rFonts w:ascii="Calibri" w:hAnsi="Calibri" w:eastAsia="Calibri" w:cs="Calibri"/>
          <w:color w:val="000000" w:themeColor="text1"/>
          <w:spacing w:val="3"/>
          <w:position w:val="4"/>
          <w:sz w:val="31"/>
          <w:szCs w:val="31"/>
          <w14:textFill>
            <w14:solidFill>
              <w14:schemeClr w14:val="tx1"/>
            </w14:solidFill>
          </w14:textFill>
        </w:rPr>
        <w:t>T/</w:t>
      </w:r>
      <w:r>
        <w:rPr>
          <w:rFonts w:ascii="Calibri" w:hAnsi="Calibri" w:eastAsia="Calibri" w:cs="Calibri"/>
          <w:color w:val="000000" w:themeColor="text1"/>
          <w:position w:val="4"/>
          <w:sz w:val="31"/>
          <w:szCs w:val="31"/>
          <w14:textFill>
            <w14:solidFill>
              <w14:schemeClr w14:val="tx1"/>
            </w14:solidFill>
          </w14:textFill>
        </w:rPr>
        <w:t>SHBX</w:t>
      </w:r>
    </w:p>
    <w:p w14:paraId="294A3F84">
      <w:pPr>
        <w:pStyle w:val="3"/>
        <w:spacing w:line="271" w:lineRule="auto"/>
        <w:rPr>
          <w:color w:val="000000" w:themeColor="text1"/>
          <w14:textFill>
            <w14:solidFill>
              <w14:schemeClr w14:val="tx1"/>
            </w14:solidFill>
          </w14:textFill>
        </w:rPr>
      </w:pPr>
    </w:p>
    <w:p w14:paraId="35933A7E">
      <w:pPr>
        <w:pStyle w:val="3"/>
        <w:spacing w:line="271" w:lineRule="auto"/>
        <w:rPr>
          <w:color w:val="000000" w:themeColor="text1"/>
          <w14:textFill>
            <w14:solidFill>
              <w14:schemeClr w14:val="tx1"/>
            </w14:solidFill>
          </w14:textFill>
        </w:rPr>
      </w:pPr>
    </w:p>
    <w:p w14:paraId="3E0FBEDF">
      <w:pPr>
        <w:jc w:val="center"/>
        <w:rPr>
          <w:rFonts w:hint="eastAsia" w:ascii="黑体" w:hAnsi="黑体" w:eastAsia="黑体" w:cs="黑体"/>
          <w:color w:val="000000" w:themeColor="text1"/>
          <w:spacing w:val="-2"/>
          <w:kern w:val="2"/>
          <w:sz w:val="52"/>
          <w:szCs w:val="52"/>
          <w:lang w:val="en-US" w:eastAsia="en-US" w:bidi="ar-SA"/>
          <w14:textFill>
            <w14:solidFill>
              <w14:schemeClr w14:val="tx1"/>
            </w14:solidFill>
          </w14:textFill>
        </w:rPr>
      </w:pPr>
      <w:r>
        <w:rPr>
          <w:rFonts w:hint="eastAsia" w:ascii="黑体" w:hAnsi="黑体" w:eastAsia="黑体" w:cs="黑体"/>
          <w:color w:val="000000" w:themeColor="text1"/>
          <w:spacing w:val="-2"/>
          <w:kern w:val="2"/>
          <w:sz w:val="52"/>
          <w:szCs w:val="52"/>
          <w:lang w:val="en-US" w:eastAsia="en-US" w:bidi="ar-SA"/>
          <w14:textFill>
            <w14:solidFill>
              <w14:schemeClr w14:val="tx1"/>
            </w14:solidFill>
          </w14:textFill>
        </w:rPr>
        <w:t>纸制品包装碳排放核算方法与规则</w:t>
      </w:r>
    </w:p>
    <w:p w14:paraId="66643484">
      <w:pPr>
        <w:keepNext w:val="0"/>
        <w:keepLines w:val="0"/>
        <w:widowControl/>
        <w:suppressLineNumbers w:val="0"/>
        <w:pBdr>
          <w:top w:val="none" w:color="auto" w:sz="0" w:space="0"/>
          <w:left w:val="none" w:color="auto" w:sz="0" w:space="0"/>
          <w:bottom w:val="none" w:color="auto" w:sz="0" w:space="0"/>
          <w:right w:val="none" w:color="auto" w:sz="0" w:space="0"/>
        </w:pBdr>
        <w:bidi w:val="0"/>
        <w:spacing w:before="0" w:beforeAutospacing="0" w:after="0" w:afterAutospacing="0" w:line="240" w:lineRule="atLeast"/>
        <w:ind w:left="0" w:right="0"/>
        <w:jc w:val="center"/>
        <w:rPr>
          <w:rFonts w:hint="default" w:ascii="黑体" w:hAnsi="黑体" w:eastAsia="黑体" w:cs="黑体"/>
          <w:i w:val="0"/>
          <w:iCs w:val="0"/>
          <w:caps w:val="0"/>
          <w:color w:val="000000" w:themeColor="text1"/>
          <w:spacing w:val="0"/>
          <w:kern w:val="2"/>
          <w:sz w:val="28"/>
          <w:szCs w:val="28"/>
          <w:shd w:val="clear" w:fill="FFFFFF"/>
          <w:lang w:val="en-US" w:eastAsia="zh-CN" w:bidi="ar-SA"/>
          <w14:textFill>
            <w14:solidFill>
              <w14:schemeClr w14:val="tx1"/>
            </w14:solidFill>
          </w14:textFill>
        </w:rPr>
      </w:pPr>
      <w:r>
        <w:rPr>
          <w:rFonts w:hint="default" w:ascii="黑体" w:hAnsi="黑体" w:eastAsia="黑体" w:cs="黑体"/>
          <w:i w:val="0"/>
          <w:iCs w:val="0"/>
          <w:caps w:val="0"/>
          <w:color w:val="000000" w:themeColor="text1"/>
          <w:spacing w:val="0"/>
          <w:kern w:val="2"/>
          <w:sz w:val="28"/>
          <w:szCs w:val="28"/>
          <w:shd w:val="clear" w:fill="FFFFFF"/>
          <w:lang w:val="en-US" w:eastAsia="zh-CN" w:bidi="ar-SA"/>
          <w14:textFill>
            <w14:solidFill>
              <w14:schemeClr w14:val="tx1"/>
            </w14:solidFill>
          </w14:textFill>
        </w:rPr>
        <w:t>Calculation Methods and Rules for Carbon Emissions of Paper Product Packaging</w:t>
      </w:r>
    </w:p>
    <w:p w14:paraId="20FE1DC4">
      <w:pPr>
        <w:spacing w:line="360" w:lineRule="auto"/>
        <w:ind w:firstLine="3120" w:firstLineChars="1300"/>
        <w:jc w:val="both"/>
        <w:rPr>
          <w:rFonts w:hint="eastAsia"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（征求意见稿）</w:t>
      </w:r>
    </w:p>
    <w:p w14:paraId="359CF399">
      <w:pPr>
        <w:spacing w:line="360" w:lineRule="auto"/>
        <w:ind w:firstLine="240" w:firstLineChars="100"/>
        <w:jc w:val="both"/>
        <w:rPr>
          <w:rFonts w:hint="eastAsia"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在提交反馈意见时，请将您知道的相关专利连同支持性文件一并附上</w:t>
      </w:r>
    </w:p>
    <w:p w14:paraId="7284ED8A">
      <w:pPr>
        <w:pStyle w:val="3"/>
        <w:spacing w:line="246" w:lineRule="auto"/>
        <w:rPr>
          <w:color w:val="000000" w:themeColor="text1"/>
          <w14:textFill>
            <w14:solidFill>
              <w14:schemeClr w14:val="tx1"/>
            </w14:solidFill>
          </w14:textFill>
        </w:rPr>
      </w:pPr>
    </w:p>
    <w:p w14:paraId="2E2FE30C">
      <w:pPr>
        <w:pStyle w:val="3"/>
        <w:spacing w:line="247" w:lineRule="auto"/>
        <w:rPr>
          <w:color w:val="000000" w:themeColor="text1"/>
          <w14:textFill>
            <w14:solidFill>
              <w14:schemeClr w14:val="tx1"/>
            </w14:solidFill>
          </w14:textFill>
        </w:rPr>
      </w:pPr>
    </w:p>
    <w:p w14:paraId="23CB6662">
      <w:pPr>
        <w:pStyle w:val="3"/>
        <w:spacing w:line="247" w:lineRule="auto"/>
        <w:rPr>
          <w:color w:val="000000" w:themeColor="text1"/>
          <w14:textFill>
            <w14:solidFill>
              <w14:schemeClr w14:val="tx1"/>
            </w14:solidFill>
          </w14:textFill>
        </w:rPr>
      </w:pPr>
    </w:p>
    <w:p w14:paraId="0341A3E4">
      <w:pPr>
        <w:pStyle w:val="3"/>
        <w:spacing w:line="247" w:lineRule="auto"/>
        <w:rPr>
          <w:color w:val="000000" w:themeColor="text1"/>
          <w14:textFill>
            <w14:solidFill>
              <w14:schemeClr w14:val="tx1"/>
            </w14:solidFill>
          </w14:textFill>
        </w:rPr>
      </w:pPr>
    </w:p>
    <w:p w14:paraId="6239A1FA">
      <w:pPr>
        <w:pStyle w:val="3"/>
        <w:spacing w:line="247" w:lineRule="auto"/>
        <w:rPr>
          <w:color w:val="000000" w:themeColor="text1"/>
          <w14:textFill>
            <w14:solidFill>
              <w14:schemeClr w14:val="tx1"/>
            </w14:solidFill>
          </w14:textFill>
        </w:rPr>
      </w:pPr>
    </w:p>
    <w:p w14:paraId="3207D80A">
      <w:pPr>
        <w:pStyle w:val="3"/>
        <w:spacing w:line="247" w:lineRule="auto"/>
        <w:rPr>
          <w:color w:val="000000" w:themeColor="text1"/>
          <w14:textFill>
            <w14:solidFill>
              <w14:schemeClr w14:val="tx1"/>
            </w14:solidFill>
          </w14:textFill>
        </w:rPr>
      </w:pPr>
    </w:p>
    <w:p w14:paraId="4C253137">
      <w:pPr>
        <w:pStyle w:val="3"/>
        <w:spacing w:line="247" w:lineRule="auto"/>
        <w:rPr>
          <w:color w:val="000000" w:themeColor="text1"/>
          <w14:textFill>
            <w14:solidFill>
              <w14:schemeClr w14:val="tx1"/>
            </w14:solidFill>
          </w14:textFill>
        </w:rPr>
      </w:pPr>
    </w:p>
    <w:p w14:paraId="0CEDD694">
      <w:pPr>
        <w:pStyle w:val="3"/>
        <w:spacing w:line="247" w:lineRule="auto"/>
        <w:rPr>
          <w:color w:val="000000" w:themeColor="text1"/>
          <w14:textFill>
            <w14:solidFill>
              <w14:schemeClr w14:val="tx1"/>
            </w14:solidFill>
          </w14:textFill>
        </w:rPr>
      </w:pPr>
    </w:p>
    <w:p w14:paraId="6EAE282E">
      <w:pPr>
        <w:pStyle w:val="3"/>
        <w:spacing w:line="247" w:lineRule="auto"/>
        <w:rPr>
          <w:color w:val="000000" w:themeColor="text1"/>
          <w14:textFill>
            <w14:solidFill>
              <w14:schemeClr w14:val="tx1"/>
            </w14:solidFill>
          </w14:textFill>
        </w:rPr>
      </w:pPr>
    </w:p>
    <w:p w14:paraId="1EFEC003">
      <w:pPr>
        <w:pStyle w:val="3"/>
        <w:spacing w:line="247" w:lineRule="auto"/>
        <w:rPr>
          <w:color w:val="000000" w:themeColor="text1"/>
          <w14:textFill>
            <w14:solidFill>
              <w14:schemeClr w14:val="tx1"/>
            </w14:solidFill>
          </w14:textFill>
        </w:rPr>
      </w:pPr>
    </w:p>
    <w:p w14:paraId="0C7772F8">
      <w:pPr>
        <w:pStyle w:val="3"/>
        <w:spacing w:line="247" w:lineRule="auto"/>
        <w:rPr>
          <w:color w:val="000000" w:themeColor="text1"/>
          <w14:textFill>
            <w14:solidFill>
              <w14:schemeClr w14:val="tx1"/>
            </w14:solidFill>
          </w14:textFill>
        </w:rPr>
      </w:pPr>
    </w:p>
    <w:p w14:paraId="3BD12349">
      <w:pPr>
        <w:pStyle w:val="3"/>
        <w:spacing w:line="247" w:lineRule="auto"/>
        <w:rPr>
          <w:color w:val="000000" w:themeColor="text1"/>
          <w14:textFill>
            <w14:solidFill>
              <w14:schemeClr w14:val="tx1"/>
            </w14:solidFill>
          </w14:textFill>
        </w:rPr>
      </w:pPr>
    </w:p>
    <w:p w14:paraId="45C99ADD">
      <w:pPr>
        <w:pStyle w:val="3"/>
        <w:spacing w:line="247" w:lineRule="auto"/>
        <w:rPr>
          <w:color w:val="000000" w:themeColor="text1"/>
          <w14:textFill>
            <w14:solidFill>
              <w14:schemeClr w14:val="tx1"/>
            </w14:solidFill>
          </w14:textFill>
        </w:rPr>
      </w:pPr>
    </w:p>
    <w:p w14:paraId="7B60D53C">
      <w:pPr>
        <w:pStyle w:val="3"/>
        <w:spacing w:line="247" w:lineRule="auto"/>
        <w:rPr>
          <w:color w:val="000000" w:themeColor="text1"/>
          <w14:textFill>
            <w14:solidFill>
              <w14:schemeClr w14:val="tx1"/>
            </w14:solidFill>
          </w14:textFill>
        </w:rPr>
      </w:pPr>
    </w:p>
    <w:p w14:paraId="4C49CF81">
      <w:pPr>
        <w:pStyle w:val="3"/>
        <w:spacing w:line="247" w:lineRule="auto"/>
        <w:rPr>
          <w:color w:val="000000" w:themeColor="text1"/>
          <w14:textFill>
            <w14:solidFill>
              <w14:schemeClr w14:val="tx1"/>
            </w14:solidFill>
          </w14:textFill>
        </w:rPr>
      </w:pPr>
    </w:p>
    <w:p w14:paraId="46758BB6">
      <w:pPr>
        <w:pStyle w:val="3"/>
        <w:spacing w:line="247" w:lineRule="auto"/>
        <w:rPr>
          <w:color w:val="000000" w:themeColor="text1"/>
          <w14:textFill>
            <w14:solidFill>
              <w14:schemeClr w14:val="tx1"/>
            </w14:solidFill>
          </w14:textFill>
        </w:rPr>
      </w:pPr>
    </w:p>
    <w:p w14:paraId="1E783F82">
      <w:pPr>
        <w:pStyle w:val="3"/>
        <w:spacing w:line="247" w:lineRule="auto"/>
        <w:rPr>
          <w:color w:val="000000" w:themeColor="text1"/>
          <w14:textFill>
            <w14:solidFill>
              <w14:schemeClr w14:val="tx1"/>
            </w14:solidFill>
          </w14:textFill>
        </w:rPr>
      </w:pPr>
    </w:p>
    <w:p w14:paraId="45CE02FE">
      <w:pPr>
        <w:pStyle w:val="3"/>
        <w:spacing w:line="247" w:lineRule="auto"/>
        <w:rPr>
          <w:color w:val="000000" w:themeColor="text1"/>
          <w14:textFill>
            <w14:solidFill>
              <w14:schemeClr w14:val="tx1"/>
            </w14:solidFill>
          </w14:textFill>
        </w:rPr>
      </w:pPr>
    </w:p>
    <w:p w14:paraId="13567465">
      <w:pPr>
        <w:pStyle w:val="3"/>
        <w:spacing w:line="247" w:lineRule="auto"/>
        <w:rPr>
          <w:color w:val="000000" w:themeColor="text1"/>
          <w14:textFill>
            <w14:solidFill>
              <w14:schemeClr w14:val="tx1"/>
            </w14:solidFill>
          </w14:textFill>
        </w:rPr>
      </w:pPr>
    </w:p>
    <w:p w14:paraId="42339344">
      <w:pPr>
        <w:pStyle w:val="3"/>
        <w:spacing w:line="247" w:lineRule="auto"/>
        <w:rPr>
          <w:color w:val="000000" w:themeColor="text1"/>
          <w14:textFill>
            <w14:solidFill>
              <w14:schemeClr w14:val="tx1"/>
            </w14:solidFill>
          </w14:textFill>
        </w:rPr>
      </w:pPr>
    </w:p>
    <w:p w14:paraId="4BC40EE4">
      <w:pPr>
        <w:spacing w:before="91" w:line="208" w:lineRule="auto"/>
        <w:ind w:left="429"/>
        <w:rPr>
          <w:rFonts w:hint="eastAsia" w:ascii="黑体" w:hAnsi="黑体" w:eastAsia="黑体" w:cs="黑体"/>
          <w:color w:val="000000" w:themeColor="text1"/>
          <w:sz w:val="28"/>
          <w:szCs w:val="28"/>
          <w14:textFill>
            <w14:solidFill>
              <w14:schemeClr w14:val="tx1"/>
            </w14:solidFill>
          </w14:textFill>
        </w:rPr>
      </w:pPr>
      <w:r>
        <w:rPr>
          <w:rFonts w:hint="eastAsia" w:ascii="黑体" w:hAnsi="黑体" w:eastAsia="黑体" w:cs="黑体"/>
          <w:color w:val="000000" w:themeColor="text1"/>
          <w:sz w:val="28"/>
          <w:szCs w:val="28"/>
          <w:lang w:val="en-US" w:eastAsia="zh-CN"/>
          <w14:textFill>
            <w14:solidFill>
              <w14:schemeClr w14:val="tx1"/>
            </w14:solidFill>
          </w14:textFill>
        </w:rPr>
        <w:t>2026</w:t>
      </w:r>
      <w:r>
        <w:rPr>
          <w:rFonts w:hint="eastAsia" w:ascii="黑体" w:hAnsi="黑体" w:eastAsia="黑体" w:cs="黑体"/>
          <w:color w:val="000000" w:themeColor="text1"/>
          <w:sz w:val="28"/>
          <w:szCs w:val="28"/>
          <w14:textFill>
            <w14:solidFill>
              <w14:schemeClr w14:val="tx1"/>
            </w14:solidFill>
          </w14:textFill>
        </w:rPr>
        <w:t xml:space="preserve">-xx-xx 发布                          </w:t>
      </w:r>
      <w:r>
        <w:rPr>
          <w:rFonts w:hint="eastAsia" w:ascii="黑体" w:hAnsi="黑体" w:eastAsia="黑体" w:cs="黑体"/>
          <w:color w:val="000000" w:themeColor="text1"/>
          <w:sz w:val="28"/>
          <w:szCs w:val="28"/>
          <w:lang w:val="en-US" w:eastAsia="zh-CN"/>
          <w14:textFill>
            <w14:solidFill>
              <w14:schemeClr w14:val="tx1"/>
            </w14:solidFill>
          </w14:textFill>
        </w:rPr>
        <w:t>2026</w:t>
      </w:r>
      <w:r>
        <w:rPr>
          <w:rFonts w:hint="eastAsia" w:ascii="黑体" w:hAnsi="黑体" w:eastAsia="黑体" w:cs="黑体"/>
          <w:color w:val="000000" w:themeColor="text1"/>
          <w:sz w:val="28"/>
          <w:szCs w:val="28"/>
          <w14:textFill>
            <w14:solidFill>
              <w14:schemeClr w14:val="tx1"/>
            </w14:solidFill>
          </w14:textFill>
        </w:rPr>
        <w:t>-xx-x</w:t>
      </w:r>
      <w:r>
        <w:rPr>
          <w:rFonts w:hint="eastAsia" w:ascii="黑体" w:hAnsi="黑体" w:eastAsia="黑体" w:cs="黑体"/>
          <w:color w:val="000000" w:themeColor="text1"/>
          <w:spacing w:val="-1"/>
          <w:sz w:val="28"/>
          <w:szCs w:val="28"/>
          <w14:textFill>
            <w14:solidFill>
              <w14:schemeClr w14:val="tx1"/>
            </w14:solidFill>
          </w14:textFill>
        </w:rPr>
        <w:t>x 实施</w:t>
      </w:r>
    </w:p>
    <w:p w14:paraId="766EFF19">
      <w:pPr>
        <w:spacing w:line="29" w:lineRule="exact"/>
        <w:rPr>
          <w:color w:val="000000" w:themeColor="text1"/>
          <w14:textFill>
            <w14:solidFill>
              <w14:schemeClr w14:val="tx1"/>
            </w14:solidFill>
          </w14:textFill>
        </w:rPr>
      </w:pPr>
      <w:r>
        <w:rPr>
          <w:color w:val="000000" w:themeColor="text1"/>
          <w14:textFill>
            <w14:solidFill>
              <w14:schemeClr w14:val="tx1"/>
            </w14:solidFill>
          </w14:textFill>
        </w:rPr>
        <mc:AlternateContent>
          <mc:Choice Requires="wps">
            <w:drawing>
              <wp:inline distT="0" distB="0" distL="114300" distR="114300">
                <wp:extent cx="5400040" cy="18415"/>
                <wp:effectExtent l="0" t="0" r="10160" b="635"/>
                <wp:docPr id="1" name="任意多边形 1"/>
                <wp:cNvGraphicFramePr/>
                <a:graphic xmlns:a="http://schemas.openxmlformats.org/drawingml/2006/main">
                  <a:graphicData uri="http://schemas.microsoft.com/office/word/2010/wordprocessingShape">
                    <wps:wsp>
                      <wps:cNvSpPr/>
                      <wps:spPr>
                        <a:xfrm>
                          <a:off x="0" y="0"/>
                          <a:ext cx="5400040" cy="18415"/>
                        </a:xfrm>
                        <a:custGeom>
                          <a:avLst/>
                          <a:gdLst/>
                          <a:ahLst/>
                          <a:cxnLst/>
                          <a:pathLst>
                            <a:path w="8504" h="29">
                              <a:moveTo>
                                <a:pt x="0" y="0"/>
                              </a:moveTo>
                              <a:lnTo>
                                <a:pt x="8503" y="0"/>
                              </a:lnTo>
                              <a:lnTo>
                                <a:pt x="8503" y="28"/>
                              </a:lnTo>
                              <a:lnTo>
                                <a:pt x="0" y="28"/>
                              </a:lnTo>
                              <a:lnTo>
                                <a:pt x="0" y="0"/>
                              </a:lnTo>
                              <a:close/>
                            </a:path>
                          </a:pathLst>
                        </a:custGeom>
                        <a:solidFill>
                          <a:srgbClr val="000000"/>
                        </a:solidFill>
                        <a:ln>
                          <a:noFill/>
                        </a:ln>
                      </wps:spPr>
                      <wps:bodyPr upright="1"/>
                    </wps:wsp>
                  </a:graphicData>
                </a:graphic>
              </wp:inline>
            </w:drawing>
          </mc:Choice>
          <mc:Fallback>
            <w:pict>
              <v:shape id="_x0000_s1026" o:spid="_x0000_s1026" o:spt="100" style="height:1.45pt;width:425.2pt;" fillcolor="#000000" filled="t" stroked="f" coordsize="8504,29" o:gfxdata="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QYDV7SAAAAAwEAAA8AAAAAAAAAAQAg&#10;AAAAIgAAAGRycy9kb3ducmV2LnhtbFBLAQIUABQAAAAIAIdO4kCMGH/JFAIAAHwEAAAOAAAAAAAA&#10;AAEAIAAAACEBAABkcnMvZTJvRG9jLnhtbFBLBQYAAAAABgAGAFkBAACnBQAAAAA=&#10;" path="m0,0l8503,0,8503,28,0,28,0,0xe">
                <v:fill on="t" focussize="0,0"/>
                <v:stroke on="f"/>
                <v:imagedata o:title=""/>
                <o:lock v:ext="edit" aspectratio="f"/>
                <w10:wrap type="none"/>
                <w10:anchorlock/>
              </v:shape>
            </w:pict>
          </mc:Fallback>
        </mc:AlternateContent>
      </w:r>
    </w:p>
    <w:p w14:paraId="7E6E5649">
      <w:pPr>
        <w:pStyle w:val="3"/>
        <w:spacing w:line="338" w:lineRule="auto"/>
        <w:rPr>
          <w:color w:val="000000" w:themeColor="text1"/>
          <w14:textFill>
            <w14:solidFill>
              <w14:schemeClr w14:val="tx1"/>
            </w14:solidFill>
          </w14:textFill>
        </w:rPr>
      </w:pPr>
    </w:p>
    <w:p w14:paraId="47E099B5">
      <w:pPr>
        <w:spacing w:before="101" w:line="224" w:lineRule="auto"/>
        <w:ind w:left="2573"/>
        <w:rPr>
          <w:rFonts w:hint="eastAsia" w:ascii="黑体" w:hAnsi="黑体" w:eastAsia="黑体" w:cs="黑体"/>
          <w:color w:val="000000" w:themeColor="text1"/>
          <w:sz w:val="28"/>
          <w:szCs w:val="28"/>
          <w14:textFill>
            <w14:solidFill>
              <w14:schemeClr w14:val="tx1"/>
            </w14:solidFill>
          </w14:textFill>
        </w:rPr>
      </w:pPr>
      <w:r>
        <w:rPr>
          <w:rFonts w:hint="eastAsia" w:ascii="黑体" w:hAnsi="黑体" w:eastAsia="黑体" w:cs="黑体"/>
          <w:b/>
          <w:bCs/>
          <w:color w:val="000000" w:themeColor="text1"/>
          <w:spacing w:val="6"/>
          <w:sz w:val="28"/>
          <w:szCs w:val="28"/>
          <w14:textFill>
            <w14:solidFill>
              <w14:schemeClr w14:val="tx1"/>
            </w14:solidFill>
          </w14:textFill>
        </w:rPr>
        <w:t>上海市包装技术协会</w:t>
      </w:r>
      <w:r>
        <w:rPr>
          <w:rFonts w:hint="eastAsia" w:ascii="黑体" w:hAnsi="黑体" w:eastAsia="黑体" w:cs="黑体"/>
          <w:color w:val="000000" w:themeColor="text1"/>
          <w:spacing w:val="6"/>
          <w:sz w:val="28"/>
          <w:szCs w:val="28"/>
          <w14:textFill>
            <w14:solidFill>
              <w14:schemeClr w14:val="tx1"/>
            </w14:solidFill>
          </w14:textFill>
        </w:rPr>
        <w:t xml:space="preserve"> </w:t>
      </w:r>
      <w:r>
        <w:rPr>
          <w:rFonts w:hint="eastAsia" w:ascii="黑体" w:hAnsi="黑体" w:eastAsia="黑体" w:cs="黑体"/>
          <w:b/>
          <w:bCs/>
          <w:color w:val="000000" w:themeColor="text1"/>
          <w:spacing w:val="6"/>
          <w:sz w:val="28"/>
          <w:szCs w:val="28"/>
          <w14:textFill>
            <w14:solidFill>
              <w14:schemeClr w14:val="tx1"/>
            </w14:solidFill>
          </w14:textFill>
        </w:rPr>
        <w:t>发布</w:t>
      </w:r>
    </w:p>
    <w:p w14:paraId="12738ABB">
      <w:pPr>
        <w:autoSpaceDN/>
        <w:spacing w:before="48" w:line="242" w:lineRule="exact"/>
        <w:ind w:right="32"/>
        <w:jc w:val="right"/>
        <w:rPr>
          <w:rFonts w:hint="eastAsia" w:ascii="黑体" w:hAnsi="黑体" w:eastAsia="黑体" w:cs="黑体"/>
          <w:color w:val="000000" w:themeColor="text1"/>
          <w:position w:val="1"/>
          <w14:textFill>
            <w14:solidFill>
              <w14:schemeClr w14:val="tx1"/>
            </w14:solidFill>
          </w14:textFill>
        </w:rPr>
      </w:pPr>
    </w:p>
    <w:p w14:paraId="7B66F881">
      <w:pPr>
        <w:autoSpaceDN/>
        <w:spacing w:before="48" w:line="242" w:lineRule="exact"/>
        <w:ind w:right="32"/>
        <w:jc w:val="right"/>
        <w:rPr>
          <w:rFonts w:hint="eastAsia" w:ascii="黑体" w:hAnsi="黑体" w:eastAsia="黑体" w:cs="黑体"/>
          <w:color w:val="000000" w:themeColor="text1"/>
          <w:position w:val="1"/>
          <w14:textFill>
            <w14:solidFill>
              <w14:schemeClr w14:val="tx1"/>
            </w14:solidFill>
          </w14:textFill>
        </w:rPr>
      </w:pPr>
    </w:p>
    <w:p w14:paraId="178FEE0A">
      <w:pPr>
        <w:autoSpaceDN/>
        <w:spacing w:before="48" w:line="242" w:lineRule="exact"/>
        <w:ind w:right="32"/>
        <w:jc w:val="right"/>
        <w:rPr>
          <w:rFonts w:ascii="宋体" w:hAnsi="宋体" w:eastAsia="宋体"/>
          <w:color w:val="000000" w:themeColor="text1"/>
          <w14:textFill>
            <w14:solidFill>
              <w14:schemeClr w14:val="tx1"/>
            </w14:solidFill>
          </w14:textFill>
        </w:rPr>
      </w:pPr>
      <w:bookmarkStart w:id="13" w:name="_GoBack"/>
      <w:bookmarkEnd w:id="13"/>
      <w:r>
        <w:rPr>
          <w:rFonts w:hint="eastAsia" w:ascii="黑体" w:hAnsi="黑体" w:eastAsia="黑体" w:cs="黑体"/>
          <w:color w:val="000000" w:themeColor="text1"/>
          <w:position w:val="1"/>
          <w14:textFill>
            <w14:solidFill>
              <w14:schemeClr w14:val="tx1"/>
            </w14:solidFill>
          </w14:textFill>
        </w:rPr>
        <w:t>T</w:t>
      </w:r>
      <w:r>
        <w:rPr>
          <w:rFonts w:hint="eastAsia" w:ascii="黑体" w:hAnsi="黑体" w:eastAsia="黑体" w:cs="黑体"/>
          <w:color w:val="000000" w:themeColor="text1"/>
          <w:spacing w:val="13"/>
          <w:position w:val="1"/>
          <w14:textFill>
            <w14:solidFill>
              <w14:schemeClr w14:val="tx1"/>
            </w14:solidFill>
          </w14:textFill>
        </w:rPr>
        <w:t>/</w:t>
      </w:r>
      <w:r>
        <w:rPr>
          <w:rFonts w:hint="eastAsia" w:ascii="黑体" w:hAnsi="黑体" w:eastAsia="黑体" w:cs="黑体"/>
          <w:color w:val="000000" w:themeColor="text1"/>
          <w:position w:val="1"/>
          <w14:textFill>
            <w14:solidFill>
              <w14:schemeClr w14:val="tx1"/>
            </w14:solidFill>
          </w14:textFill>
        </w:rPr>
        <w:t>SHBX</w:t>
      </w:r>
      <w:r>
        <w:rPr>
          <w:rFonts w:hint="eastAsia" w:ascii="黑体" w:hAnsi="黑体" w:eastAsia="黑体" w:cs="黑体"/>
          <w:color w:val="000000" w:themeColor="text1"/>
          <w:spacing w:val="8"/>
          <w:position w:val="1"/>
          <w14:textFill>
            <w14:solidFill>
              <w14:schemeClr w14:val="tx1"/>
            </w14:solidFill>
          </w14:textFill>
        </w:rPr>
        <w:t xml:space="preserve"> ×—××××</w:t>
      </w:r>
    </w:p>
    <w:p w14:paraId="478722F3"/>
    <w:p w14:paraId="299B85DA">
      <w:pPr>
        <w:pStyle w:val="10"/>
        <w:spacing w:before="3" w:beforeLines="1" w:after="686" w:afterLines="220"/>
        <w:outlineLvl w:val="0"/>
        <w:rPr>
          <w:rFonts w:hint="eastAsia"/>
        </w:rPr>
      </w:pPr>
    </w:p>
    <w:p w14:paraId="6F7B79BB">
      <w:pPr>
        <w:autoSpaceDN/>
        <w:spacing w:before="101" w:line="228" w:lineRule="auto"/>
        <w:ind w:left="3615"/>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pacing w:val="7"/>
          <w:sz w:val="32"/>
          <w:szCs w:val="32"/>
          <w14:textFill>
            <w14:solidFill>
              <w14:schemeClr w14:val="tx1"/>
            </w14:solidFill>
          </w14:textFill>
        </w:rPr>
        <w:t>前    言</w:t>
      </w:r>
    </w:p>
    <w:p w14:paraId="1ACC317B">
      <w:pPr>
        <w:pStyle w:val="3"/>
        <w:spacing w:line="318" w:lineRule="auto"/>
        <w:rPr>
          <w:color w:val="000000" w:themeColor="text1"/>
          <w14:textFill>
            <w14:solidFill>
              <w14:schemeClr w14:val="tx1"/>
            </w14:solidFill>
          </w14:textFill>
        </w:rPr>
      </w:pPr>
    </w:p>
    <w:p w14:paraId="37A732EA">
      <w:pPr>
        <w:pStyle w:val="3"/>
        <w:spacing w:line="318" w:lineRule="auto"/>
        <w:rPr>
          <w:color w:val="000000" w:themeColor="text1"/>
          <w14:textFill>
            <w14:solidFill>
              <w14:schemeClr w14:val="tx1"/>
            </w14:solidFill>
          </w14:textFill>
        </w:rPr>
      </w:pPr>
    </w:p>
    <w:p w14:paraId="07F2E85F">
      <w:pPr>
        <w:autoSpaceDN/>
        <w:spacing w:before="65" w:line="240" w:lineRule="auto"/>
        <w:ind w:firstLine="452" w:firstLineChars="200"/>
        <w:rPr>
          <w:rFonts w:ascii="宋体" w:hAnsi="宋体" w:eastAsia="宋体" w:cs="宋体"/>
          <w:color w:val="000000" w:themeColor="text1"/>
          <w:spacing w:val="4"/>
          <w:position w:val="1"/>
          <w:sz w:val="21"/>
          <w:szCs w:val="21"/>
          <w14:textFill>
            <w14:solidFill>
              <w14:schemeClr w14:val="tx1"/>
            </w14:solidFill>
          </w14:textFill>
        </w:rPr>
      </w:pPr>
      <w:r>
        <w:rPr>
          <w:rFonts w:ascii="宋体" w:hAnsi="宋体" w:eastAsia="宋体" w:cs="宋体"/>
          <w:color w:val="000000" w:themeColor="text1"/>
          <w:spacing w:val="8"/>
          <w:position w:val="1"/>
          <w:sz w:val="21"/>
          <w:szCs w:val="21"/>
          <w14:textFill>
            <w14:solidFill>
              <w14:schemeClr w14:val="tx1"/>
            </w14:solidFill>
          </w14:textFill>
        </w:rPr>
        <w:t>本</w:t>
      </w:r>
      <w:r>
        <w:rPr>
          <w:rFonts w:hint="eastAsia" w:ascii="宋体" w:hAnsi="宋体" w:eastAsia="宋体" w:cs="宋体"/>
          <w:b/>
          <w:bCs/>
          <w:color w:val="000000" w:themeColor="text1"/>
          <w:spacing w:val="4"/>
          <w:position w:val="1"/>
          <w:sz w:val="21"/>
          <w:szCs w:val="21"/>
          <w:lang w:val="en-US" w:eastAsia="zh-CN"/>
          <w14:textFill>
            <w14:solidFill>
              <w14:schemeClr w14:val="tx1"/>
            </w14:solidFill>
          </w14:textFill>
        </w:rPr>
        <w:t>文件</w:t>
      </w:r>
      <w:r>
        <w:rPr>
          <w:rFonts w:ascii="宋体" w:hAnsi="宋体" w:eastAsia="宋体" w:cs="宋体"/>
          <w:color w:val="000000" w:themeColor="text1"/>
          <w:spacing w:val="8"/>
          <w:position w:val="1"/>
          <w:sz w:val="21"/>
          <w:szCs w:val="21"/>
          <w14:textFill>
            <w14:solidFill>
              <w14:schemeClr w14:val="tx1"/>
            </w14:solidFill>
          </w14:textFill>
        </w:rPr>
        <w:t>按</w:t>
      </w:r>
      <w:r>
        <w:rPr>
          <w:rFonts w:ascii="宋体" w:hAnsi="宋体" w:eastAsia="宋体" w:cs="宋体"/>
          <w:color w:val="000000" w:themeColor="text1"/>
          <w:spacing w:val="7"/>
          <w:position w:val="1"/>
          <w:sz w:val="21"/>
          <w:szCs w:val="21"/>
          <w14:textFill>
            <w14:solidFill>
              <w14:schemeClr w14:val="tx1"/>
            </w14:solidFill>
          </w14:textFill>
        </w:rPr>
        <w:t>照</w:t>
      </w:r>
      <w:r>
        <w:rPr>
          <w:rFonts w:ascii="宋体" w:hAnsi="宋体" w:eastAsia="宋体" w:cs="宋体"/>
          <w:color w:val="000000" w:themeColor="text1"/>
          <w:spacing w:val="4"/>
          <w:position w:val="1"/>
          <w:sz w:val="21"/>
          <w:szCs w:val="21"/>
          <w14:textFill>
            <w14:solidFill>
              <w14:schemeClr w14:val="tx1"/>
            </w14:solidFill>
          </w14:textFill>
        </w:rPr>
        <w:t xml:space="preserve"> </w:t>
      </w:r>
      <w:r>
        <w:rPr>
          <w:rFonts w:ascii="宋体" w:hAnsi="宋体" w:eastAsia="宋体" w:cs="Times New Roman"/>
          <w:color w:val="000000" w:themeColor="text1"/>
          <w:position w:val="1"/>
          <w:sz w:val="21"/>
          <w:szCs w:val="21"/>
          <w14:textFill>
            <w14:solidFill>
              <w14:schemeClr w14:val="tx1"/>
            </w14:solidFill>
          </w14:textFill>
        </w:rPr>
        <w:t>GB</w:t>
      </w:r>
      <w:r>
        <w:rPr>
          <w:rFonts w:ascii="宋体" w:hAnsi="宋体" w:eastAsia="宋体" w:cs="Times New Roman"/>
          <w:color w:val="000000" w:themeColor="text1"/>
          <w:spacing w:val="4"/>
          <w:position w:val="1"/>
          <w:sz w:val="21"/>
          <w:szCs w:val="21"/>
          <w14:textFill>
            <w14:solidFill>
              <w14:schemeClr w14:val="tx1"/>
            </w14:solidFill>
          </w14:textFill>
        </w:rPr>
        <w:t>/</w:t>
      </w:r>
      <w:r>
        <w:rPr>
          <w:rFonts w:ascii="宋体" w:hAnsi="宋体" w:eastAsia="宋体" w:cs="Times New Roman"/>
          <w:color w:val="000000" w:themeColor="text1"/>
          <w:position w:val="1"/>
          <w:sz w:val="21"/>
          <w:szCs w:val="21"/>
          <w14:textFill>
            <w14:solidFill>
              <w14:schemeClr w14:val="tx1"/>
            </w14:solidFill>
          </w14:textFill>
        </w:rPr>
        <w:t>T</w:t>
      </w:r>
      <w:r>
        <w:rPr>
          <w:rFonts w:ascii="宋体" w:hAnsi="宋体" w:eastAsia="宋体" w:cs="Times New Roman"/>
          <w:color w:val="000000" w:themeColor="text1"/>
          <w:spacing w:val="4"/>
          <w:position w:val="1"/>
          <w:sz w:val="21"/>
          <w:szCs w:val="21"/>
          <w14:textFill>
            <w14:solidFill>
              <w14:schemeClr w14:val="tx1"/>
            </w14:solidFill>
          </w14:textFill>
        </w:rPr>
        <w:t xml:space="preserve"> 1</w:t>
      </w:r>
      <w:r>
        <w:rPr>
          <w:rFonts w:hint="eastAsia" w:ascii="宋体" w:hAnsi="宋体" w:eastAsia="宋体" w:cs="Times New Roman"/>
          <w:color w:val="000000" w:themeColor="text1"/>
          <w:spacing w:val="4"/>
          <w:position w:val="1"/>
          <w:sz w:val="21"/>
          <w:szCs w:val="21"/>
          <w14:textFill>
            <w14:solidFill>
              <w14:schemeClr w14:val="tx1"/>
            </w14:solidFill>
          </w14:textFill>
        </w:rPr>
        <w:t>.</w:t>
      </w:r>
      <w:r>
        <w:rPr>
          <w:rFonts w:ascii="宋体" w:hAnsi="宋体" w:eastAsia="宋体" w:cs="Times New Roman"/>
          <w:color w:val="000000" w:themeColor="text1"/>
          <w:spacing w:val="4"/>
          <w:position w:val="1"/>
          <w:sz w:val="21"/>
          <w:szCs w:val="21"/>
          <w14:textFill>
            <w14:solidFill>
              <w14:schemeClr w14:val="tx1"/>
            </w14:solidFill>
          </w14:textFill>
        </w:rPr>
        <w:t>1</w:t>
      </w:r>
      <w:r>
        <w:rPr>
          <w:rFonts w:hint="eastAsia" w:ascii="宋体" w:hAnsi="宋体" w:eastAsia="宋体" w:cs="Times New Roman"/>
          <w:color w:val="000000" w:themeColor="text1"/>
          <w:spacing w:val="4"/>
          <w:position w:val="1"/>
          <w:sz w:val="21"/>
          <w:szCs w:val="21"/>
          <w:lang w:eastAsia="zh-CN"/>
          <w14:textFill>
            <w14:solidFill>
              <w14:schemeClr w14:val="tx1"/>
            </w14:solidFill>
          </w14:textFill>
        </w:rPr>
        <w:t>—</w:t>
      </w:r>
      <w:r>
        <w:rPr>
          <w:rFonts w:ascii="宋体" w:hAnsi="宋体" w:eastAsia="宋体" w:cs="Times New Roman"/>
          <w:color w:val="000000" w:themeColor="text1"/>
          <w:spacing w:val="4"/>
          <w:position w:val="1"/>
          <w:sz w:val="21"/>
          <w:szCs w:val="21"/>
          <w14:textFill>
            <w14:solidFill>
              <w14:schemeClr w14:val="tx1"/>
            </w14:solidFill>
          </w14:textFill>
        </w:rPr>
        <w:t>2020 《</w:t>
      </w:r>
      <w:r>
        <w:rPr>
          <w:rFonts w:hint="eastAsia" w:ascii="宋体" w:hAnsi="宋体" w:eastAsia="宋体" w:cs="Times New Roman"/>
          <w:color w:val="000000" w:themeColor="text1"/>
          <w:spacing w:val="4"/>
          <w:position w:val="1"/>
          <w:sz w:val="21"/>
          <w:szCs w:val="21"/>
          <w14:textFill>
            <w14:solidFill>
              <w14:schemeClr w14:val="tx1"/>
            </w14:solidFill>
          </w14:textFill>
        </w:rPr>
        <w:t>标准化工作导则 第1部分：标准化文件的结构和起草规则</w:t>
      </w:r>
      <w:r>
        <w:rPr>
          <w:rFonts w:ascii="宋体" w:hAnsi="宋体" w:eastAsia="宋体" w:cs="Times New Roman"/>
          <w:color w:val="000000" w:themeColor="text1"/>
          <w:spacing w:val="4"/>
          <w:position w:val="1"/>
          <w:sz w:val="21"/>
          <w:szCs w:val="21"/>
          <w14:textFill>
            <w14:solidFill>
              <w14:schemeClr w14:val="tx1"/>
            </w14:solidFill>
          </w14:textFill>
        </w:rPr>
        <w:t>》</w:t>
      </w:r>
      <w:r>
        <w:rPr>
          <w:rFonts w:ascii="宋体" w:hAnsi="宋体" w:eastAsia="宋体" w:cs="宋体"/>
          <w:color w:val="000000" w:themeColor="text1"/>
          <w:spacing w:val="4"/>
          <w:position w:val="1"/>
          <w:sz w:val="21"/>
          <w:szCs w:val="21"/>
          <w14:textFill>
            <w14:solidFill>
              <w14:schemeClr w14:val="tx1"/>
            </w14:solidFill>
          </w14:textFill>
        </w:rPr>
        <w:t>的规定起草。</w:t>
      </w:r>
    </w:p>
    <w:p w14:paraId="5F4E15BF">
      <w:pPr>
        <w:autoSpaceDN/>
        <w:spacing w:before="65" w:line="240" w:lineRule="auto"/>
        <w:ind w:firstLine="436"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pacing w:val="4"/>
          <w:position w:val="1"/>
          <w:sz w:val="21"/>
          <w:szCs w:val="21"/>
          <w14:textFill>
            <w14:solidFill>
              <w14:schemeClr w14:val="tx1"/>
            </w14:solidFill>
          </w14:textFill>
        </w:rPr>
        <w:t>请注意本</w:t>
      </w:r>
      <w:r>
        <w:rPr>
          <w:rFonts w:hint="eastAsia" w:ascii="宋体" w:hAnsi="宋体" w:eastAsia="宋体" w:cs="宋体"/>
          <w:b/>
          <w:bCs/>
          <w:color w:val="000000" w:themeColor="text1"/>
          <w:spacing w:val="4"/>
          <w:position w:val="1"/>
          <w:sz w:val="21"/>
          <w:szCs w:val="21"/>
          <w:lang w:val="en-US" w:eastAsia="zh-CN"/>
          <w14:textFill>
            <w14:solidFill>
              <w14:schemeClr w14:val="tx1"/>
            </w14:solidFill>
          </w14:textFill>
        </w:rPr>
        <w:t>文件</w:t>
      </w:r>
      <w:r>
        <w:rPr>
          <w:rFonts w:hint="eastAsia" w:ascii="宋体" w:hAnsi="宋体" w:eastAsia="宋体" w:cs="宋体"/>
          <w:color w:val="000000" w:themeColor="text1"/>
          <w:spacing w:val="4"/>
          <w:position w:val="1"/>
          <w:sz w:val="21"/>
          <w:szCs w:val="21"/>
          <w14:textFill>
            <w14:solidFill>
              <w14:schemeClr w14:val="tx1"/>
            </w14:solidFill>
          </w14:textFill>
        </w:rPr>
        <w:t>的某些内容可能涉及专利。本</w:t>
      </w:r>
      <w:r>
        <w:rPr>
          <w:rFonts w:hint="eastAsia" w:ascii="宋体" w:hAnsi="宋体" w:eastAsia="宋体" w:cs="宋体"/>
          <w:b/>
          <w:bCs/>
          <w:color w:val="000000" w:themeColor="text1"/>
          <w:spacing w:val="4"/>
          <w:position w:val="1"/>
          <w:sz w:val="21"/>
          <w:szCs w:val="21"/>
          <w:lang w:val="en-US" w:eastAsia="zh-CN"/>
          <w14:textFill>
            <w14:solidFill>
              <w14:schemeClr w14:val="tx1"/>
            </w14:solidFill>
          </w14:textFill>
        </w:rPr>
        <w:t>文件</w:t>
      </w:r>
      <w:r>
        <w:rPr>
          <w:rFonts w:hint="eastAsia" w:ascii="宋体" w:hAnsi="宋体" w:eastAsia="宋体" w:cs="宋体"/>
          <w:color w:val="000000" w:themeColor="text1"/>
          <w:spacing w:val="4"/>
          <w:position w:val="1"/>
          <w:sz w:val="21"/>
          <w:szCs w:val="21"/>
          <w14:textFill>
            <w14:solidFill>
              <w14:schemeClr w14:val="tx1"/>
            </w14:solidFill>
          </w14:textFill>
        </w:rPr>
        <w:t>的发布机构不承担识别专利的责任。</w:t>
      </w:r>
    </w:p>
    <w:p w14:paraId="36C6D603">
      <w:pPr>
        <w:autoSpaceDN/>
        <w:spacing w:before="65" w:line="240" w:lineRule="auto"/>
        <w:ind w:firstLine="484" w:firstLineChars="200"/>
        <w:rPr>
          <w:rFonts w:hint="eastAsia" w:ascii="宋体" w:hAnsi="宋体" w:eastAsia="宋体" w:cs="宋体"/>
          <w:color w:val="000000" w:themeColor="text1"/>
          <w:sz w:val="21"/>
          <w:szCs w:val="21"/>
          <w14:textFill>
            <w14:solidFill>
              <w14:schemeClr w14:val="tx1"/>
            </w14:solidFill>
          </w14:textFill>
        </w:rPr>
      </w:pPr>
      <w:r>
        <w:rPr>
          <w:rFonts w:ascii="宋体" w:hAnsi="宋体" w:eastAsia="宋体" w:cs="宋体"/>
          <w:color w:val="000000" w:themeColor="text1"/>
          <w:spacing w:val="16"/>
          <w:sz w:val="21"/>
          <w:szCs w:val="21"/>
          <w14:textFill>
            <w14:solidFill>
              <w14:schemeClr w14:val="tx1"/>
            </w14:solidFill>
          </w14:textFill>
        </w:rPr>
        <w:t>本</w:t>
      </w:r>
      <w:r>
        <w:rPr>
          <w:rFonts w:hint="eastAsia" w:ascii="宋体" w:hAnsi="宋体" w:eastAsia="宋体" w:cs="宋体"/>
          <w:b/>
          <w:bCs/>
          <w:color w:val="000000" w:themeColor="text1"/>
          <w:spacing w:val="4"/>
          <w:position w:val="1"/>
          <w:sz w:val="21"/>
          <w:szCs w:val="21"/>
          <w:lang w:val="en-US" w:eastAsia="zh-CN"/>
          <w14:textFill>
            <w14:solidFill>
              <w14:schemeClr w14:val="tx1"/>
            </w14:solidFill>
          </w14:textFill>
        </w:rPr>
        <w:t>文件</w:t>
      </w:r>
      <w:r>
        <w:rPr>
          <w:rFonts w:ascii="宋体" w:hAnsi="宋体" w:eastAsia="宋体" w:cs="宋体"/>
          <w:color w:val="000000" w:themeColor="text1"/>
          <w:spacing w:val="8"/>
          <w:sz w:val="21"/>
          <w:szCs w:val="21"/>
          <w14:textFill>
            <w14:solidFill>
              <w14:schemeClr w14:val="tx1"/>
            </w14:solidFill>
          </w14:textFill>
        </w:rPr>
        <w:t>由上海市包装技术协会提出并归口。</w:t>
      </w:r>
    </w:p>
    <w:p w14:paraId="1A3B79D8">
      <w:pPr>
        <w:spacing w:before="162" w:line="240" w:lineRule="auto"/>
        <w:ind w:firstLine="448" w:firstLineChars="200"/>
        <w:rPr>
          <w:rFonts w:ascii="宋体" w:hAnsi="宋体" w:eastAsia="宋体" w:cs="宋体"/>
          <w:color w:val="000000" w:themeColor="text1"/>
          <w:spacing w:val="7"/>
          <w:sz w:val="21"/>
          <w:szCs w:val="21"/>
          <w14:textFill>
            <w14:solidFill>
              <w14:schemeClr w14:val="tx1"/>
            </w14:solidFill>
          </w14:textFill>
        </w:rPr>
      </w:pPr>
      <w:r>
        <w:rPr>
          <w:rFonts w:ascii="宋体" w:hAnsi="宋体" w:eastAsia="宋体" w:cs="宋体"/>
          <w:color w:val="000000" w:themeColor="text1"/>
          <w:spacing w:val="7"/>
          <w:sz w:val="21"/>
          <w:szCs w:val="21"/>
          <w14:textFill>
            <w14:solidFill>
              <w14:schemeClr w14:val="tx1"/>
            </w14:solidFill>
          </w14:textFill>
        </w:rPr>
        <w:t>本</w:t>
      </w:r>
      <w:r>
        <w:rPr>
          <w:rFonts w:hint="eastAsia" w:ascii="宋体" w:hAnsi="宋体" w:eastAsia="宋体" w:cs="宋体"/>
          <w:b/>
          <w:bCs/>
          <w:color w:val="000000" w:themeColor="text1"/>
          <w:spacing w:val="4"/>
          <w:position w:val="1"/>
          <w:sz w:val="21"/>
          <w:szCs w:val="21"/>
          <w:lang w:val="en-US" w:eastAsia="zh-CN"/>
          <w14:textFill>
            <w14:solidFill>
              <w14:schemeClr w14:val="tx1"/>
            </w14:solidFill>
          </w14:textFill>
        </w:rPr>
        <w:t>文件</w:t>
      </w:r>
      <w:r>
        <w:rPr>
          <w:rFonts w:ascii="宋体" w:hAnsi="宋体" w:eastAsia="宋体" w:cs="宋体"/>
          <w:color w:val="000000" w:themeColor="text1"/>
          <w:spacing w:val="7"/>
          <w:sz w:val="21"/>
          <w:szCs w:val="21"/>
          <w14:textFill>
            <w14:solidFill>
              <w14:schemeClr w14:val="tx1"/>
            </w14:solidFill>
          </w14:textFill>
        </w:rPr>
        <w:t>起草单位：</w:t>
      </w:r>
    </w:p>
    <w:p w14:paraId="4C57D7E1">
      <w:pPr>
        <w:spacing w:before="162" w:line="240" w:lineRule="auto"/>
        <w:ind w:firstLine="448" w:firstLineChars="200"/>
        <w:rPr>
          <w:rFonts w:hint="default" w:ascii="宋体" w:hAnsi="宋体" w:eastAsia="宋体" w:cs="宋体"/>
          <w:color w:val="000000" w:themeColor="text1"/>
          <w:sz w:val="21"/>
          <w:szCs w:val="21"/>
          <w:lang w:val="en-US" w:eastAsia="zh-CN"/>
          <w14:textFill>
            <w14:solidFill>
              <w14:schemeClr w14:val="tx1"/>
            </w14:solidFill>
          </w14:textFill>
        </w:rPr>
      </w:pPr>
      <w:r>
        <w:rPr>
          <w:rFonts w:ascii="宋体" w:hAnsi="宋体" w:eastAsia="宋体" w:cs="宋体"/>
          <w:color w:val="000000" w:themeColor="text1"/>
          <w:spacing w:val="7"/>
          <w:sz w:val="21"/>
          <w:szCs w:val="21"/>
          <w14:textFill>
            <w14:solidFill>
              <w14:schemeClr w14:val="tx1"/>
            </w14:solidFill>
          </w14:textFill>
        </w:rPr>
        <w:t>本</w:t>
      </w:r>
      <w:r>
        <w:rPr>
          <w:rFonts w:hint="eastAsia" w:ascii="宋体" w:hAnsi="宋体" w:eastAsia="宋体" w:cs="宋体"/>
          <w:b/>
          <w:bCs/>
          <w:color w:val="000000" w:themeColor="text1"/>
          <w:spacing w:val="4"/>
          <w:position w:val="1"/>
          <w:sz w:val="21"/>
          <w:szCs w:val="21"/>
          <w:lang w:val="en-US" w:eastAsia="zh-CN"/>
          <w14:textFill>
            <w14:solidFill>
              <w14:schemeClr w14:val="tx1"/>
            </w14:solidFill>
          </w14:textFill>
        </w:rPr>
        <w:t>文件</w:t>
      </w:r>
      <w:r>
        <w:rPr>
          <w:rFonts w:ascii="宋体" w:hAnsi="宋体" w:eastAsia="宋体" w:cs="宋体"/>
          <w:color w:val="000000" w:themeColor="text1"/>
          <w:spacing w:val="7"/>
          <w:sz w:val="21"/>
          <w:szCs w:val="21"/>
          <w14:textFill>
            <w14:solidFill>
              <w14:schemeClr w14:val="tx1"/>
            </w14:solidFill>
          </w14:textFill>
        </w:rPr>
        <w:t>主要起草人：</w:t>
      </w:r>
    </w:p>
    <w:p w14:paraId="02B2166A">
      <w:pPr>
        <w:pStyle w:val="3"/>
        <w:spacing w:line="272" w:lineRule="auto"/>
        <w:rPr>
          <w:color w:val="000000" w:themeColor="text1"/>
          <w14:textFill>
            <w14:solidFill>
              <w14:schemeClr w14:val="tx1"/>
            </w14:solidFill>
          </w14:textFill>
        </w:rPr>
      </w:pPr>
    </w:p>
    <w:p w14:paraId="44B42513">
      <w:pPr>
        <w:pStyle w:val="3"/>
        <w:spacing w:line="272" w:lineRule="auto"/>
        <w:rPr>
          <w:color w:val="000000" w:themeColor="text1"/>
          <w14:textFill>
            <w14:solidFill>
              <w14:schemeClr w14:val="tx1"/>
            </w14:solidFill>
          </w14:textFill>
        </w:rPr>
      </w:pPr>
    </w:p>
    <w:p w14:paraId="44FAA02B">
      <w:pPr>
        <w:pStyle w:val="3"/>
        <w:spacing w:line="272" w:lineRule="auto"/>
        <w:rPr>
          <w:color w:val="000000" w:themeColor="text1"/>
          <w14:textFill>
            <w14:solidFill>
              <w14:schemeClr w14:val="tx1"/>
            </w14:solidFill>
          </w14:textFill>
        </w:rPr>
      </w:pPr>
    </w:p>
    <w:p w14:paraId="15E31972">
      <w:pPr>
        <w:pStyle w:val="3"/>
        <w:spacing w:line="272" w:lineRule="auto"/>
        <w:rPr>
          <w:color w:val="000000" w:themeColor="text1"/>
          <w14:textFill>
            <w14:solidFill>
              <w14:schemeClr w14:val="tx1"/>
            </w14:solidFill>
          </w14:textFill>
        </w:rPr>
      </w:pPr>
    </w:p>
    <w:p w14:paraId="4005D01F">
      <w:pPr>
        <w:autoSpaceDN/>
        <w:spacing w:before="124" w:line="389" w:lineRule="auto"/>
        <w:ind w:left="2" w:firstLine="492" w:firstLineChars="200"/>
        <w:rPr>
          <w:rFonts w:ascii="宋体" w:hAnsi="宋体" w:eastAsia="宋体" w:cs="宋体"/>
          <w:color w:val="000000" w:themeColor="text1"/>
          <w:spacing w:val="9"/>
          <w:sz w:val="20"/>
          <w:szCs w:val="20"/>
          <w14:textFill>
            <w14:solidFill>
              <w14:schemeClr w14:val="tx1"/>
            </w14:solidFill>
          </w14:textFill>
        </w:rPr>
      </w:pPr>
      <w:r>
        <w:rPr>
          <w:rFonts w:ascii="宋体" w:hAnsi="宋体" w:eastAsia="宋体" w:cs="宋体"/>
          <w:color w:val="000000" w:themeColor="text1"/>
          <w:spacing w:val="23"/>
          <w:sz w:val="20"/>
          <w:szCs w:val="20"/>
          <w14:textFill>
            <w14:solidFill>
              <w14:schemeClr w14:val="tx1"/>
            </w14:solidFill>
          </w14:textFill>
        </w:rPr>
        <w:t>本</w:t>
      </w:r>
      <w:r>
        <w:rPr>
          <w:rFonts w:hint="eastAsia" w:ascii="宋体" w:hAnsi="宋体" w:eastAsia="宋体" w:cs="宋体"/>
          <w:color w:val="000000" w:themeColor="text1"/>
          <w:spacing w:val="23"/>
          <w:sz w:val="20"/>
          <w:szCs w:val="20"/>
          <w:lang w:val="en-US" w:eastAsia="zh-CN"/>
          <w14:textFill>
            <w14:solidFill>
              <w14:schemeClr w14:val="tx1"/>
            </w14:solidFill>
          </w14:textFill>
        </w:rPr>
        <w:t>文件</w:t>
      </w:r>
      <w:r>
        <w:rPr>
          <w:rFonts w:ascii="宋体" w:hAnsi="宋体" w:eastAsia="宋体" w:cs="宋体"/>
          <w:color w:val="000000" w:themeColor="text1"/>
          <w:spacing w:val="12"/>
          <w:sz w:val="20"/>
          <w:szCs w:val="20"/>
          <w14:textFill>
            <w14:solidFill>
              <w14:schemeClr w14:val="tx1"/>
            </w14:solidFill>
          </w14:textFill>
        </w:rPr>
        <w:t>版权归上海市包装技术协会所有。未经事先书面许可，本文件的任何部分不得以任何</w:t>
      </w:r>
      <w:r>
        <w:rPr>
          <w:rFonts w:ascii="宋体" w:hAnsi="宋体" w:eastAsia="宋体" w:cs="宋体"/>
          <w:color w:val="000000" w:themeColor="text1"/>
          <w:spacing w:val="18"/>
          <w:sz w:val="20"/>
          <w:szCs w:val="20"/>
          <w14:textFill>
            <w14:solidFill>
              <w14:schemeClr w14:val="tx1"/>
            </w14:solidFill>
          </w14:textFill>
        </w:rPr>
        <w:t>形</w:t>
      </w:r>
      <w:r>
        <w:rPr>
          <w:rFonts w:ascii="宋体" w:hAnsi="宋体" w:eastAsia="宋体" w:cs="宋体"/>
          <w:color w:val="000000" w:themeColor="text1"/>
          <w:spacing w:val="17"/>
          <w:sz w:val="20"/>
          <w:szCs w:val="20"/>
          <w14:textFill>
            <w14:solidFill>
              <w14:schemeClr w14:val="tx1"/>
            </w14:solidFill>
          </w14:textFill>
        </w:rPr>
        <w:t>式</w:t>
      </w:r>
      <w:r>
        <w:rPr>
          <w:rFonts w:ascii="宋体" w:hAnsi="宋体" w:eastAsia="宋体" w:cs="宋体"/>
          <w:color w:val="000000" w:themeColor="text1"/>
          <w:spacing w:val="9"/>
          <w:sz w:val="20"/>
          <w:szCs w:val="20"/>
          <w14:textFill>
            <w14:solidFill>
              <w14:schemeClr w14:val="tx1"/>
            </w14:solidFill>
          </w14:textFill>
        </w:rPr>
        <w:t>或任何手段进行复制、发行、改编、翻译、汇编或将本文件用于其他任何商业目的。</w:t>
      </w:r>
    </w:p>
    <w:p w14:paraId="55463079">
      <w:pPr>
        <w:autoSpaceDN/>
        <w:spacing w:before="124" w:line="389" w:lineRule="auto"/>
        <w:ind w:left="2" w:firstLine="448" w:firstLineChars="200"/>
        <w:rPr>
          <w:rFonts w:hint="eastAsia" w:ascii="宋体" w:hAnsi="宋体" w:eastAsia="宋体" w:cs="宋体"/>
          <w:color w:val="000000" w:themeColor="text1"/>
          <w:spacing w:val="12"/>
          <w:sz w:val="20"/>
          <w:szCs w:val="20"/>
          <w14:textFill>
            <w14:solidFill>
              <w14:schemeClr w14:val="tx1"/>
            </w14:solidFill>
          </w14:textFill>
        </w:rPr>
      </w:pPr>
      <w:r>
        <w:rPr>
          <w:rFonts w:hint="eastAsia" w:ascii="宋体" w:hAnsi="宋体" w:eastAsia="宋体" w:cs="宋体"/>
          <w:color w:val="000000" w:themeColor="text1"/>
          <w:spacing w:val="12"/>
          <w:sz w:val="20"/>
          <w:szCs w:val="20"/>
          <w14:textFill>
            <w14:solidFill>
              <w14:schemeClr w14:val="tx1"/>
            </w14:solidFill>
          </w14:textFill>
        </w:rPr>
        <w:t>本规范的“附录A”以及“附录B”是本规范提示的指导性资料。</w:t>
      </w:r>
    </w:p>
    <w:p w14:paraId="1CC40BBB">
      <w:pPr>
        <w:autoSpaceDN/>
        <w:spacing w:before="124" w:line="389" w:lineRule="auto"/>
        <w:ind w:left="2" w:firstLine="448" w:firstLineChars="200"/>
        <w:rPr>
          <w:rFonts w:ascii="宋体" w:hAnsi="宋体" w:eastAsia="宋体" w:cs="宋体"/>
          <w:color w:val="000000" w:themeColor="text1"/>
          <w:spacing w:val="12"/>
          <w:sz w:val="20"/>
          <w:szCs w:val="20"/>
          <w14:textFill>
            <w14:solidFill>
              <w14:schemeClr w14:val="tx1"/>
            </w14:solidFill>
          </w14:textFill>
        </w:rPr>
        <w:sectPr>
          <w:headerReference r:id="rId3" w:type="default"/>
          <w:footerReference r:id="rId4" w:type="default"/>
          <w:pgSz w:w="11905" w:h="16839"/>
          <w:pgMar w:top="1126" w:right="1665" w:bottom="1165" w:left="1708" w:header="849" w:footer="1006" w:gutter="0"/>
          <w:cols w:space="720" w:num="1"/>
        </w:sectPr>
      </w:pPr>
    </w:p>
    <w:p w14:paraId="51E4DCE9"/>
    <w:p w14:paraId="69736272"/>
    <w:p w14:paraId="57947770">
      <w:pPr>
        <w:jc w:val="center"/>
        <w:outlineLvl w:val="0"/>
        <w:rPr>
          <w:rFonts w:hint="eastAsia" w:ascii="黑体" w:hAnsi="黑体" w:eastAsia="黑体" w:cs="黑体"/>
          <w:sz w:val="32"/>
          <w:szCs w:val="32"/>
        </w:rPr>
      </w:pPr>
      <w:r>
        <w:rPr>
          <w:rFonts w:hint="eastAsia" w:ascii="黑体" w:hAnsi="黑体" w:eastAsia="黑体" w:cs="黑体"/>
          <w:sz w:val="32"/>
          <w:szCs w:val="32"/>
        </w:rPr>
        <w:t>纸制品包装碳排放核算方法与规则</w:t>
      </w:r>
    </w:p>
    <w:p w14:paraId="75B6DC2D">
      <w:pPr>
        <w:jc w:val="center"/>
        <w:rPr>
          <w:rFonts w:asciiTheme="minorHAnsi" w:hAnsiTheme="minorHAnsi" w:eastAsiaTheme="minorEastAsia" w:cstheme="minorBidi"/>
          <w:sz w:val="44"/>
          <w:szCs w:val="44"/>
        </w:rPr>
      </w:pPr>
    </w:p>
    <w:p w14:paraId="0329980C">
      <w:pPr>
        <w:keepNext w:val="0"/>
        <w:keepLines w:val="0"/>
        <w:pageBreakBefore w:val="0"/>
        <w:widowControl/>
        <w:kinsoku w:val="0"/>
        <w:wordWrap/>
        <w:overflowPunct/>
        <w:topLinePunct w:val="0"/>
        <w:autoSpaceDE w:val="0"/>
        <w:autoSpaceDN/>
        <w:bidi w:val="0"/>
        <w:adjustRightInd w:val="0"/>
        <w:snapToGrid w:val="0"/>
        <w:spacing w:before="65" w:line="480" w:lineRule="auto"/>
        <w:ind w:left="0"/>
        <w:jc w:val="left"/>
        <w:textAlignment w:val="baseline"/>
        <w:outlineLvl w:val="0"/>
        <w:rPr>
          <w:rFonts w:hint="eastAsia" w:ascii="黑体" w:hAnsi="黑体" w:eastAsia="黑体" w:cs="黑体"/>
          <w:snapToGrid w:val="0"/>
          <w:color w:val="000000" w:themeColor="text1"/>
          <w:spacing w:val="4"/>
          <w:kern w:val="0"/>
          <w:szCs w:val="21"/>
          <w:lang w:eastAsia="en-US"/>
          <w14:textFill>
            <w14:solidFill>
              <w14:schemeClr w14:val="tx1"/>
            </w14:solidFill>
          </w14:textFill>
        </w:rPr>
      </w:pPr>
      <w:bookmarkStart w:id="0" w:name="_Toc31433"/>
      <w:r>
        <w:rPr>
          <w:rFonts w:hint="eastAsia" w:ascii="黑体" w:hAnsi="黑体" w:eastAsia="黑体" w:cs="黑体"/>
          <w:snapToGrid w:val="0"/>
          <w:color w:val="000000" w:themeColor="text1"/>
          <w:spacing w:val="4"/>
          <w:kern w:val="0"/>
          <w:szCs w:val="21"/>
          <w:lang w:val="en-US" w:eastAsia="zh-CN"/>
          <w14:textFill>
            <w14:solidFill>
              <w14:schemeClr w14:val="tx1"/>
            </w14:solidFill>
          </w14:textFill>
        </w:rPr>
        <w:t xml:space="preserve">1 </w:t>
      </w:r>
      <w:r>
        <w:rPr>
          <w:rFonts w:hint="eastAsia" w:ascii="黑体" w:hAnsi="黑体" w:eastAsia="黑体" w:cs="黑体"/>
          <w:snapToGrid w:val="0"/>
          <w:color w:val="000000" w:themeColor="text1"/>
          <w:spacing w:val="4"/>
          <w:kern w:val="0"/>
          <w:szCs w:val="21"/>
          <w:lang w:eastAsia="en-US"/>
          <w14:textFill>
            <w14:solidFill>
              <w14:schemeClr w14:val="tx1"/>
            </w14:solidFill>
          </w14:textFill>
        </w:rPr>
        <w:t>范围</w:t>
      </w:r>
      <w:bookmarkEnd w:id="0"/>
    </w:p>
    <w:p w14:paraId="6DBAB4D6">
      <w:pPr>
        <w:widowControl/>
        <w:kinsoku w:val="0"/>
        <w:autoSpaceDE w:val="0"/>
        <w:autoSpaceDN/>
        <w:adjustRightInd w:val="0"/>
        <w:snapToGrid w:val="0"/>
        <w:spacing w:before="65" w:line="240" w:lineRule="auto"/>
        <w:ind w:firstLine="432" w:firstLineChars="200"/>
        <w:jc w:val="left"/>
        <w:textAlignment w:val="baseline"/>
        <w:rPr>
          <w:rFonts w:hint="eastAsia" w:ascii="宋体" w:hAnsi="宋体" w:eastAsia="宋体" w:cs="宋体"/>
          <w:snapToGrid w:val="0"/>
          <w:color w:val="000000" w:themeColor="text1"/>
          <w:spacing w:val="3"/>
          <w:kern w:val="0"/>
          <w:position w:val="15"/>
          <w:szCs w:val="21"/>
          <w:lang w:eastAsia="zh-CN"/>
          <w14:textFill>
            <w14:solidFill>
              <w14:schemeClr w14:val="tx1"/>
            </w14:solidFill>
          </w14:textFill>
        </w:rPr>
      </w:pPr>
      <w:r>
        <w:rPr>
          <w:rFonts w:hint="eastAsia" w:ascii="宋体" w:hAnsi="宋体" w:eastAsia="宋体" w:cs="宋体"/>
          <w:snapToGrid w:val="0"/>
          <w:color w:val="000000" w:themeColor="text1"/>
          <w:spacing w:val="3"/>
          <w:kern w:val="0"/>
          <w:position w:val="15"/>
          <w:szCs w:val="21"/>
          <w:lang w:eastAsia="zh-CN"/>
          <w14:textFill>
            <w14:solidFill>
              <w14:schemeClr w14:val="tx1"/>
            </w14:solidFill>
          </w14:textFill>
        </w:rPr>
        <w:t>本文规定了纸制品包装碳排放核算方法与规则的目标、核算范围、功能单位、系统边界、数据收集与处理、核算等内容。</w:t>
      </w:r>
    </w:p>
    <w:p w14:paraId="2EB86397">
      <w:pPr>
        <w:widowControl/>
        <w:kinsoku w:val="0"/>
        <w:autoSpaceDE w:val="0"/>
        <w:autoSpaceDN/>
        <w:adjustRightInd w:val="0"/>
        <w:snapToGrid w:val="0"/>
        <w:spacing w:before="65" w:line="240" w:lineRule="auto"/>
        <w:ind w:firstLine="432" w:firstLineChars="200"/>
        <w:jc w:val="left"/>
        <w:textAlignment w:val="baseline"/>
        <w:rPr>
          <w:rFonts w:hint="eastAsia" w:ascii="宋体" w:hAnsi="宋体" w:eastAsia="宋体" w:cs="宋体"/>
          <w:snapToGrid w:val="0"/>
          <w:color w:val="000000" w:themeColor="text1"/>
          <w:spacing w:val="3"/>
          <w:kern w:val="0"/>
          <w:position w:val="15"/>
          <w:szCs w:val="21"/>
          <w:lang w:eastAsia="zh-CN"/>
          <w14:textFill>
            <w14:solidFill>
              <w14:schemeClr w14:val="tx1"/>
            </w14:solidFill>
          </w14:textFill>
        </w:rPr>
      </w:pPr>
      <w:r>
        <w:rPr>
          <w:rFonts w:hint="eastAsia" w:ascii="宋体" w:hAnsi="宋体" w:eastAsia="宋体" w:cs="宋体"/>
          <w:snapToGrid w:val="0"/>
          <w:color w:val="000000" w:themeColor="text1"/>
          <w:spacing w:val="3"/>
          <w:kern w:val="0"/>
          <w:position w:val="15"/>
          <w:szCs w:val="21"/>
          <w:lang w:eastAsia="zh-CN"/>
          <w14:textFill>
            <w14:solidFill>
              <w14:schemeClr w14:val="tx1"/>
            </w14:solidFill>
          </w14:textFill>
        </w:rPr>
        <w:t>本文件适用于指导纸制品包装碳排放核算活动。</w:t>
      </w:r>
    </w:p>
    <w:p w14:paraId="72D16D59">
      <w:pPr>
        <w:pStyle w:val="11"/>
        <w:numPr>
          <w:ilvl w:val="0"/>
          <w:numId w:val="0"/>
        </w:numPr>
        <w:spacing w:before="312" w:after="312"/>
        <w:ind w:leftChars="0"/>
        <w:outlineLvl w:val="0"/>
        <w:rPr>
          <w:rFonts w:hint="eastAsia" w:ascii="黑体" w:hAnsi="Arial" w:eastAsia="黑体" w:cs="Arial"/>
          <w:snapToGrid w:val="0"/>
          <w:color w:val="000000" w:themeColor="text1"/>
          <w:kern w:val="0"/>
          <w:sz w:val="21"/>
          <w:szCs w:val="21"/>
          <w:highlight w:val="none"/>
          <w:lang w:val="en-US" w:eastAsia="en-US" w:bidi="ar-SA"/>
          <w14:textFill>
            <w14:solidFill>
              <w14:schemeClr w14:val="tx1"/>
            </w14:solidFill>
          </w14:textFill>
        </w:rPr>
      </w:pPr>
      <w:bookmarkStart w:id="1" w:name="_Toc22811"/>
      <w:r>
        <w:rPr>
          <w:rFonts w:hint="eastAsia" w:ascii="黑体" w:hAnsi="Arial" w:eastAsia="黑体" w:cs="Arial"/>
          <w:snapToGrid w:val="0"/>
          <w:color w:val="000000" w:themeColor="text1"/>
          <w:kern w:val="0"/>
          <w:sz w:val="21"/>
          <w:szCs w:val="21"/>
          <w:highlight w:val="none"/>
          <w:lang w:val="en-US" w:eastAsia="zh-CN" w:bidi="ar-SA"/>
          <w14:textFill>
            <w14:solidFill>
              <w14:schemeClr w14:val="tx1"/>
            </w14:solidFill>
          </w14:textFill>
        </w:rPr>
        <w:t xml:space="preserve">2 </w:t>
      </w:r>
      <w:r>
        <w:rPr>
          <w:rFonts w:hint="eastAsia" w:ascii="黑体" w:hAnsi="Arial" w:eastAsia="黑体" w:cs="Arial"/>
          <w:snapToGrid w:val="0"/>
          <w:color w:val="000000" w:themeColor="text1"/>
          <w:kern w:val="0"/>
          <w:sz w:val="21"/>
          <w:szCs w:val="21"/>
          <w:highlight w:val="none"/>
          <w:lang w:val="en-US" w:eastAsia="en-US" w:bidi="ar-SA"/>
          <w14:textFill>
            <w14:solidFill>
              <w14:schemeClr w14:val="tx1"/>
            </w14:solidFill>
          </w14:textFill>
        </w:rPr>
        <w:t>规范性引用文件</w:t>
      </w:r>
      <w:bookmarkEnd w:id="1"/>
    </w:p>
    <w:p w14:paraId="675CD2D6">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6F113DF8">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 xml:space="preserve">GB/T 24025 环境标志和声明 </w:t>
      </w:r>
      <w:r>
        <w:rPr>
          <w:rFonts w:hint="eastAsia" w:ascii="Times New Roman" w:hAnsi="Times New Roman" w:eastAsia="宋体" w:cs="Times New Roman"/>
          <w:kern w:val="0"/>
          <w:szCs w:val="21"/>
        </w:rPr>
        <w:t>Ⅲ</w:t>
      </w:r>
      <w:r>
        <w:rPr>
          <w:rFonts w:hint="eastAsia" w:ascii="Times New Roman" w:hAnsi="Times New Roman"/>
          <w:kern w:val="0"/>
          <w:szCs w:val="21"/>
        </w:rPr>
        <w:t>型环境声明 原则和程序</w:t>
      </w:r>
    </w:p>
    <w:p w14:paraId="03835852">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GB/T 24040 环境管理  生命周期评价  原则与框架</w:t>
      </w:r>
    </w:p>
    <w:p w14:paraId="60DFF3C4">
      <w:pPr>
        <w:tabs>
          <w:tab w:val="left" w:pos="426"/>
        </w:tabs>
        <w:spacing w:line="360" w:lineRule="auto"/>
        <w:ind w:firstLine="420" w:firstLineChars="200"/>
        <w:jc w:val="left"/>
        <w:rPr>
          <w:rFonts w:ascii="Times New Roman" w:hAnsi="Times New Roman"/>
          <w:kern w:val="0"/>
          <w:szCs w:val="21"/>
        </w:rPr>
      </w:pPr>
      <w:r>
        <w:rPr>
          <w:rFonts w:hint="eastAsia" w:ascii="Times New Roman" w:hAnsi="Times New Roman"/>
          <w:kern w:val="0"/>
          <w:szCs w:val="21"/>
        </w:rPr>
        <w:t>ISO/TS 14067 温室气体 产品碳排放 量化与通报要求及指南（Greenhouse gases - Carbon footprint of products -- Requirements and guidelines for quantification and communication)</w:t>
      </w:r>
    </w:p>
    <w:p w14:paraId="0A9785F7">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PAS 2050 商品和服务的生命周期温室气体排放评价规范（Specification for the assessment of the life cycle greenhouse gas emissions of goods and services)</w:t>
      </w:r>
    </w:p>
    <w:p w14:paraId="71FB0D73">
      <w:pPr>
        <w:keepNext w:val="0"/>
        <w:keepLines w:val="0"/>
        <w:pageBreakBefore w:val="0"/>
        <w:widowControl/>
        <w:kinsoku/>
        <w:wordWrap/>
        <w:overflowPunct/>
        <w:topLinePunct w:val="0"/>
        <w:autoSpaceDE/>
        <w:autoSpaceDN/>
        <w:bidi w:val="0"/>
        <w:adjustRightInd w:val="0"/>
        <w:snapToGrid w:val="0"/>
        <w:spacing w:before="65" w:line="480" w:lineRule="auto"/>
        <w:jc w:val="both"/>
        <w:textAlignment w:val="baseline"/>
        <w:rPr>
          <w:rFonts w:ascii="黑体" w:hAnsi="Arial" w:eastAsia="黑体" w:cs="Arial"/>
          <w:snapToGrid w:val="0"/>
          <w:color w:val="000000" w:themeColor="text1"/>
          <w:kern w:val="0"/>
          <w:szCs w:val="21"/>
          <w:highlight w:val="none"/>
          <w:lang w:eastAsia="en-US"/>
          <w14:textFill>
            <w14:solidFill>
              <w14:schemeClr w14:val="tx1"/>
            </w14:solidFill>
          </w14:textFill>
        </w:rPr>
      </w:pPr>
      <w:bookmarkStart w:id="2" w:name="_Toc7171"/>
      <w:r>
        <w:rPr>
          <w:rFonts w:hint="eastAsia" w:ascii="黑体" w:hAnsi="Arial" w:eastAsia="黑体" w:cs="Arial"/>
          <w:snapToGrid w:val="0"/>
          <w:color w:val="000000" w:themeColor="text1"/>
          <w:kern w:val="0"/>
          <w:szCs w:val="21"/>
          <w:highlight w:val="none"/>
          <w:lang w:val="en-US" w:eastAsia="zh-CN"/>
          <w14:textFill>
            <w14:solidFill>
              <w14:schemeClr w14:val="tx1"/>
            </w14:solidFill>
          </w14:textFill>
        </w:rPr>
        <w:t xml:space="preserve">3 </w:t>
      </w:r>
      <w:r>
        <w:rPr>
          <w:rFonts w:hint="eastAsia" w:ascii="黑体" w:hAnsi="Arial" w:eastAsia="黑体" w:cs="Arial"/>
          <w:snapToGrid w:val="0"/>
          <w:color w:val="000000" w:themeColor="text1"/>
          <w:kern w:val="0"/>
          <w:szCs w:val="21"/>
          <w:highlight w:val="none"/>
          <w:lang w:eastAsia="en-US"/>
          <w14:textFill>
            <w14:solidFill>
              <w14:schemeClr w14:val="tx1"/>
            </w14:solidFill>
          </w14:textFill>
        </w:rPr>
        <w:t>术语和定义</w:t>
      </w:r>
      <w:bookmarkEnd w:id="2"/>
    </w:p>
    <w:p w14:paraId="473FE1DF">
      <w:pPr>
        <w:tabs>
          <w:tab w:val="left" w:pos="426"/>
        </w:tabs>
        <w:spacing w:line="360" w:lineRule="auto"/>
        <w:ind w:firstLine="420" w:firstLineChars="200"/>
        <w:rPr>
          <w:rFonts w:hint="eastAsia" w:ascii="Times New Roman" w:hAnsi="Times New Roman" w:eastAsia="宋体" w:cs="Times New Roman"/>
          <w:kern w:val="0"/>
          <w:szCs w:val="21"/>
        </w:rPr>
      </w:pPr>
      <w:r>
        <w:rPr>
          <w:rFonts w:hint="eastAsia" w:ascii="Times New Roman" w:hAnsi="Times New Roman" w:eastAsia="宋体" w:cs="Times New Roman"/>
          <w:kern w:val="0"/>
          <w:szCs w:val="21"/>
        </w:rPr>
        <w:t>下列术语和定义适用于本文件。</w:t>
      </w:r>
    </w:p>
    <w:p w14:paraId="78C913D5">
      <w:pPr>
        <w:pStyle w:val="11"/>
        <w:spacing w:before="312" w:after="312"/>
        <w:outlineLvl w:val="0"/>
        <w:rPr>
          <w:rFonts w:hint="eastAsia" w:ascii="黑体" w:hAnsi="Arial" w:eastAsia="黑体" w:cs="Arial"/>
          <w:snapToGrid w:val="0"/>
          <w:color w:val="000000" w:themeColor="text1"/>
          <w:kern w:val="0"/>
          <w:sz w:val="21"/>
          <w:szCs w:val="21"/>
          <w:highlight w:val="none"/>
          <w:lang w:val="en-US" w:eastAsia="zh-CN" w:bidi="ar-SA"/>
          <w14:textFill>
            <w14:solidFill>
              <w14:schemeClr w14:val="tx1"/>
            </w14:solidFill>
          </w14:textFill>
        </w:rPr>
      </w:pPr>
      <w:bookmarkStart w:id="3" w:name="_Toc20766"/>
      <w:r>
        <w:rPr>
          <w:rFonts w:hint="eastAsia" w:ascii="黑体" w:hAnsi="Arial" w:eastAsia="黑体" w:cs="Arial"/>
          <w:snapToGrid w:val="0"/>
          <w:color w:val="000000" w:themeColor="text1"/>
          <w:kern w:val="0"/>
          <w:sz w:val="21"/>
          <w:szCs w:val="21"/>
          <w:highlight w:val="none"/>
          <w:lang w:val="en-US" w:eastAsia="zh-CN" w:bidi="ar-SA"/>
          <w14:textFill>
            <w14:solidFill>
              <w14:schemeClr w14:val="tx1"/>
            </w14:solidFill>
          </w14:textFill>
        </w:rPr>
        <w:t>3.1 纸制品包装</w:t>
      </w:r>
      <w:bookmarkEnd w:id="3"/>
      <w:r>
        <w:rPr>
          <w:rFonts w:hint="eastAsia" w:ascii="黑体" w:hAnsi="Arial" w:eastAsia="黑体" w:cs="Arial"/>
          <w:snapToGrid w:val="0"/>
          <w:color w:val="000000" w:themeColor="text1"/>
          <w:kern w:val="0"/>
          <w:sz w:val="21"/>
          <w:szCs w:val="21"/>
          <w:highlight w:val="none"/>
          <w:lang w:val="en-US" w:eastAsia="zh-CN" w:bidi="ar-SA"/>
          <w14:textFill>
            <w14:solidFill>
              <w14:schemeClr w14:val="tx1"/>
            </w14:solidFill>
          </w14:textFill>
        </w:rPr>
        <w:t xml:space="preserve"> paper product packaging</w:t>
      </w:r>
    </w:p>
    <w:p w14:paraId="550ABAD4">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纸制品包装是以纸和纸浆为主要原料得包装材料制品，包含纸箱、纸盒、纸袋、纸筒、纸罐等纸</w:t>
      </w:r>
      <w:r>
        <w:rPr>
          <w:rFonts w:hint="eastAsia" w:ascii="Times New Roman" w:hAnsi="Times New Roman"/>
          <w:kern w:val="0"/>
          <w:szCs w:val="21"/>
          <w:lang w:val="en-US" w:eastAsia="zh-CN"/>
        </w:rPr>
        <w:t>质</w:t>
      </w:r>
      <w:r>
        <w:rPr>
          <w:rFonts w:hint="eastAsia" w:ascii="Times New Roman" w:hAnsi="Times New Roman"/>
          <w:kern w:val="0"/>
          <w:szCs w:val="21"/>
        </w:rPr>
        <w:t>容器；纸浆模塑蛋托、工业包装衬垫、纸托盘、纸护角等纸质衬垫材料或内包装材料制品；瓦楞纸板、蜂窝纸板等板材；以及纸饭盒、纸杯、纸盘等纸质一次性餐具。作为纸制品的基础原材料，专门用于包装的纸和纸板，也属于纸制品包装的范畴。</w:t>
      </w:r>
    </w:p>
    <w:p w14:paraId="17AE38F3">
      <w:pPr>
        <w:pStyle w:val="11"/>
        <w:spacing w:before="312" w:after="312"/>
        <w:outlineLvl w:val="0"/>
        <w:rPr>
          <w:rFonts w:ascii="Times New Roman"/>
        </w:rPr>
      </w:pPr>
      <w:bookmarkStart w:id="4" w:name="_Toc12807"/>
      <w:r>
        <w:rPr>
          <w:rFonts w:hint="eastAsia" w:ascii="Times New Roman"/>
        </w:rPr>
        <w:t>3.2  产品碳排放 carbon footprint of a product(CFP)</w:t>
      </w:r>
      <w:bookmarkEnd w:id="4"/>
    </w:p>
    <w:p w14:paraId="11CB8544">
      <w:pPr>
        <w:tabs>
          <w:tab w:val="left" w:pos="426"/>
        </w:tabs>
        <w:spacing w:line="360" w:lineRule="auto"/>
        <w:ind w:firstLine="420" w:firstLineChars="200"/>
        <w:jc w:val="left"/>
        <w:rPr>
          <w:rFonts w:ascii="Times New Roman" w:hAnsi="Times New Roman"/>
          <w:sz w:val="28"/>
          <w:szCs w:val="28"/>
        </w:rPr>
      </w:pPr>
      <w:r>
        <w:rPr>
          <w:rFonts w:hint="eastAsia" w:ascii="Times New Roman" w:hAnsi="Times New Roman"/>
          <w:kern w:val="0"/>
          <w:szCs w:val="21"/>
        </w:rPr>
        <w:t>基于生命周期评价，以CO</w:t>
      </w:r>
      <w:r>
        <w:rPr>
          <w:rFonts w:hint="eastAsia" w:ascii="Times New Roman" w:hAnsi="Times New Roman"/>
          <w:kern w:val="0"/>
          <w:szCs w:val="21"/>
          <w:vertAlign w:val="subscript"/>
        </w:rPr>
        <w:t>2</w:t>
      </w:r>
      <w:r>
        <w:rPr>
          <w:rFonts w:hint="eastAsia" w:ascii="Times New Roman" w:hAnsi="Times New Roman"/>
          <w:kern w:val="0"/>
          <w:szCs w:val="21"/>
        </w:rPr>
        <w:t>e表示的产品系统中温室气体排放和</w:t>
      </w:r>
      <w:r>
        <w:rPr>
          <w:rFonts w:hint="eastAsia" w:ascii="Times New Roman" w:hAnsi="Times New Roman"/>
          <w:kern w:val="0"/>
          <w:szCs w:val="21"/>
          <w:lang w:val="en-US" w:eastAsia="zh-CN"/>
        </w:rPr>
        <w:t>吸收</w:t>
      </w:r>
      <w:r>
        <w:rPr>
          <w:rFonts w:hint="eastAsia" w:ascii="Times New Roman" w:hAnsi="Times New Roman"/>
          <w:kern w:val="0"/>
          <w:szCs w:val="21"/>
        </w:rPr>
        <w:t xml:space="preserve">之和。                                                                                                                                                                                                                                                                                                                                                                                                                                                                                                                                                                                                                         </w:t>
      </w:r>
    </w:p>
    <w:p w14:paraId="47C44404">
      <w:pPr>
        <w:pStyle w:val="11"/>
        <w:spacing w:before="312" w:after="312" w:line="360" w:lineRule="auto"/>
        <w:outlineLvl w:val="0"/>
        <w:rPr>
          <w:rFonts w:ascii="Times New Roman"/>
        </w:rPr>
      </w:pPr>
      <w:bookmarkStart w:id="5" w:name="_Toc24980"/>
      <w:r>
        <w:rPr>
          <w:rFonts w:hint="eastAsia" w:ascii="Times New Roman"/>
        </w:rPr>
        <w:t>3.3 功能单位 functional unit</w:t>
      </w:r>
      <w:bookmarkEnd w:id="5"/>
    </w:p>
    <w:p w14:paraId="4F721DC7">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用来作为基准单位的量化的纸包装系统性能。</w:t>
      </w:r>
    </w:p>
    <w:p w14:paraId="67ED2A57">
      <w:pPr>
        <w:pStyle w:val="11"/>
        <w:spacing w:before="312" w:after="312"/>
        <w:outlineLvl w:val="0"/>
        <w:rPr>
          <w:rFonts w:ascii="Times New Roman"/>
        </w:rPr>
      </w:pPr>
      <w:bookmarkStart w:id="6" w:name="_Toc9028"/>
      <w:r>
        <w:rPr>
          <w:rFonts w:hint="eastAsia" w:ascii="Times New Roman"/>
        </w:rPr>
        <w:t>3.4 单元过程 unit process</w:t>
      </w:r>
      <w:bookmarkEnd w:id="6"/>
    </w:p>
    <w:p w14:paraId="107E3DA6">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进行生命周期清单分析时为量化输入和输出数据而确定的最基本部分。</w:t>
      </w:r>
    </w:p>
    <w:p w14:paraId="560FCE50">
      <w:pPr>
        <w:pStyle w:val="11"/>
        <w:spacing w:before="312" w:after="312"/>
        <w:outlineLvl w:val="0"/>
        <w:rPr>
          <w:rFonts w:ascii="Times New Roman"/>
        </w:rPr>
      </w:pPr>
      <w:r>
        <w:rPr>
          <w:rFonts w:hint="eastAsia" w:ascii="Times New Roman"/>
        </w:rPr>
        <w:t>3.5 取舍原则 cut-off criteria</w:t>
      </w:r>
    </w:p>
    <w:p w14:paraId="376AB811">
      <w:pPr>
        <w:pStyle w:val="11"/>
        <w:spacing w:before="312" w:after="312" w:line="360" w:lineRule="auto"/>
        <w:outlineLvl w:val="0"/>
        <w:rPr>
          <w:rFonts w:ascii="Times New Roman" w:eastAsia="宋体"/>
          <w:szCs w:val="21"/>
        </w:rPr>
      </w:pPr>
      <w:r>
        <w:rPr>
          <w:rFonts w:hint="eastAsia" w:ascii="Times New Roman"/>
        </w:rPr>
        <w:t xml:space="preserve">  </w:t>
      </w:r>
      <w:r>
        <w:rPr>
          <w:rFonts w:hint="eastAsia" w:ascii="Times New Roman" w:eastAsia="宋体"/>
          <w:szCs w:val="21"/>
        </w:rPr>
        <w:t xml:space="preserve"> 对与单元过程或产品系统相关的物质和能量流的数量或环境影响重要性程度是否</w:t>
      </w:r>
      <w:r>
        <w:rPr>
          <w:rFonts w:hint="eastAsia" w:ascii="Times New Roman" w:eastAsia="宋体"/>
          <w:szCs w:val="21"/>
          <w:lang w:val="en-US" w:eastAsia="zh-CN"/>
        </w:rPr>
        <w:t>被</w:t>
      </w:r>
      <w:r>
        <w:rPr>
          <w:rFonts w:hint="eastAsia" w:ascii="Times New Roman" w:eastAsia="宋体"/>
          <w:szCs w:val="21"/>
        </w:rPr>
        <w:t>排除在评价范围之外所作的规定。</w:t>
      </w:r>
    </w:p>
    <w:p w14:paraId="14243853">
      <w:pPr>
        <w:pStyle w:val="11"/>
        <w:spacing w:before="312" w:after="312"/>
        <w:outlineLvl w:val="0"/>
        <w:rPr>
          <w:rFonts w:hint="eastAsia" w:ascii="Times New Roman"/>
        </w:rPr>
      </w:pPr>
      <w:r>
        <w:rPr>
          <w:rFonts w:hint="eastAsia" w:ascii="Times New Roman"/>
        </w:rPr>
        <w:t xml:space="preserve">3.6 初级数据 primary data </w:t>
      </w:r>
    </w:p>
    <w:p w14:paraId="4C917AF4">
      <w:pPr>
        <w:pStyle w:val="11"/>
        <w:spacing w:before="312" w:after="312"/>
        <w:ind w:firstLine="420" w:firstLineChars="200"/>
        <w:outlineLvl w:val="0"/>
        <w:rPr>
          <w:rFonts w:ascii="Times New Roman" w:eastAsia="宋体"/>
          <w:szCs w:val="21"/>
        </w:rPr>
      </w:pPr>
      <w:r>
        <w:rPr>
          <w:rFonts w:hint="eastAsia" w:ascii="Times New Roman" w:eastAsia="宋体"/>
          <w:szCs w:val="21"/>
        </w:rPr>
        <w:t>通过直接测量或基于测量的计算而得到的过程或活动的量化值。</w:t>
      </w:r>
    </w:p>
    <w:p w14:paraId="0426C254">
      <w:pPr>
        <w:pStyle w:val="11"/>
        <w:spacing w:before="312" w:after="312"/>
        <w:outlineLvl w:val="0"/>
        <w:rPr>
          <w:rFonts w:ascii="Times New Roman"/>
        </w:rPr>
      </w:pPr>
      <w:r>
        <w:rPr>
          <w:rFonts w:hint="eastAsia" w:ascii="Times New Roman"/>
        </w:rPr>
        <w:t xml:space="preserve">3.7 次级数据 secondary data </w:t>
      </w:r>
    </w:p>
    <w:p w14:paraId="5DF9C244">
      <w:pPr>
        <w:pStyle w:val="11"/>
        <w:spacing w:before="312" w:after="312"/>
        <w:ind w:firstLine="420" w:firstLineChars="200"/>
        <w:outlineLvl w:val="0"/>
        <w:rPr>
          <w:rFonts w:ascii="Times New Roman" w:eastAsia="宋体"/>
          <w:szCs w:val="21"/>
        </w:rPr>
      </w:pPr>
      <w:r>
        <w:rPr>
          <w:rFonts w:hint="eastAsia" w:ascii="Times New Roman" w:eastAsia="宋体"/>
          <w:szCs w:val="21"/>
        </w:rPr>
        <w:t>不符合初级数据（3.6）要求的数据。</w:t>
      </w:r>
    </w:p>
    <w:p w14:paraId="519E9BEB">
      <w:pPr>
        <w:pStyle w:val="11"/>
        <w:spacing w:before="312" w:after="312"/>
        <w:outlineLvl w:val="0"/>
        <w:rPr>
          <w:rFonts w:ascii="Times New Roman" w:eastAsia="宋体"/>
          <w:szCs w:val="21"/>
        </w:rPr>
      </w:pPr>
      <w:r>
        <w:rPr>
          <w:rFonts w:hint="eastAsia" w:ascii="Times New Roman"/>
        </w:rPr>
        <w:t>3.8 分配 allocation</w:t>
      </w:r>
    </w:p>
    <w:p w14:paraId="4CD071D1">
      <w:pPr>
        <w:tabs>
          <w:tab w:val="left" w:pos="426"/>
        </w:tabs>
        <w:spacing w:line="360" w:lineRule="auto"/>
        <w:ind w:firstLine="420" w:firstLineChars="200"/>
        <w:rPr>
          <w:rFonts w:ascii="Times New Roman" w:hAnsi="Times New Roman"/>
          <w:kern w:val="0"/>
          <w:szCs w:val="21"/>
        </w:rPr>
      </w:pPr>
      <w:r>
        <w:rPr>
          <w:rFonts w:hint="eastAsia" w:ascii="Times New Roman" w:hAnsi="Times New Roman"/>
          <w:kern w:val="0"/>
          <w:szCs w:val="21"/>
        </w:rPr>
        <w:t xml:space="preserve"> 将过程或产品系统中输入和输出流划分到所评价或研究的产品系统以及一个或更多的其他产品系统中。</w:t>
      </w:r>
    </w:p>
    <w:p w14:paraId="73AB4AE5">
      <w:pPr>
        <w:pStyle w:val="11"/>
        <w:numPr>
          <w:ilvl w:val="0"/>
          <w:numId w:val="0"/>
        </w:numPr>
        <w:spacing w:before="312" w:after="312" w:line="360" w:lineRule="auto"/>
        <w:ind w:leftChars="0"/>
        <w:outlineLvl w:val="0"/>
        <w:rPr>
          <w:rFonts w:hint="eastAsia" w:ascii="Times New Roman"/>
          <w:lang w:val="en-US" w:eastAsia="zh-CN"/>
        </w:rPr>
      </w:pPr>
      <w:r>
        <w:rPr>
          <w:rFonts w:hint="eastAsia" w:ascii="Times New Roman"/>
          <w:lang w:val="en-US" w:eastAsia="zh-CN"/>
        </w:rPr>
        <w:t xml:space="preserve">4 功能单位 </w:t>
      </w:r>
    </w:p>
    <w:p w14:paraId="0D652995">
      <w:pPr>
        <w:pStyle w:val="12"/>
        <w:spacing w:line="360" w:lineRule="auto"/>
        <w:rPr>
          <w:rFonts w:ascii="Times New Roman" w:hAnsi="Times New Roman"/>
          <w:kern w:val="0"/>
          <w:szCs w:val="21"/>
        </w:rPr>
      </w:pPr>
      <w:r>
        <w:rPr>
          <w:rFonts w:hint="eastAsia" w:ascii="Times New Roman"/>
        </w:rPr>
        <w:t>纸制品包装的功能单位为一个纸制品包装，对功能单位的描</w:t>
      </w:r>
      <w:r>
        <w:rPr>
          <w:rFonts w:hint="eastAsia" w:ascii="Times New Roman" w:hAnsi="Times New Roman" w:eastAsia="宋体" w:cs="Times New Roman"/>
          <w:kern w:val="0"/>
          <w:sz w:val="21"/>
          <w:szCs w:val="21"/>
          <w:lang w:val="en-US" w:eastAsia="zh-CN" w:bidi="ar-SA"/>
        </w:rPr>
        <w:t>述包括应能显示产品特性的</w:t>
      </w:r>
      <w:r>
        <w:rPr>
          <w:rFonts w:hint="eastAsia" w:ascii="Times New Roman"/>
        </w:rPr>
        <w:t>技术规格，包括但不限于类别、材质、重量、尺寸等等。</w:t>
      </w:r>
    </w:p>
    <w:p w14:paraId="7CF8EC4D">
      <w:pPr>
        <w:pStyle w:val="11"/>
        <w:numPr>
          <w:ilvl w:val="0"/>
          <w:numId w:val="0"/>
        </w:numPr>
        <w:spacing w:before="312" w:after="312" w:line="360" w:lineRule="auto"/>
        <w:ind w:leftChars="0"/>
        <w:outlineLvl w:val="0"/>
        <w:rPr>
          <w:rFonts w:hint="eastAsia" w:ascii="Times New Roman" w:hAnsi="Times New Roman" w:cs="Times New Roman"/>
          <w:lang w:val="en-US" w:eastAsia="zh-CN"/>
        </w:rPr>
      </w:pPr>
      <w:r>
        <w:rPr>
          <w:rFonts w:hint="eastAsia" w:ascii="Times New Roman" w:hAnsi="Times New Roman" w:cs="Times New Roman"/>
          <w:lang w:val="en-US" w:eastAsia="zh-CN"/>
        </w:rPr>
        <w:t>5 系统边界</w:t>
      </w:r>
    </w:p>
    <w:p w14:paraId="748E487F">
      <w:pPr>
        <w:pStyle w:val="11"/>
        <w:spacing w:before="312" w:after="312"/>
        <w:outlineLvl w:val="0"/>
        <w:rPr>
          <w:rFonts w:ascii="Times New Roman"/>
        </w:rPr>
      </w:pPr>
      <w:r>
        <w:rPr>
          <w:rFonts w:hint="eastAsia" w:ascii="Times New Roman"/>
        </w:rPr>
        <w:t xml:space="preserve">5.1 </w:t>
      </w:r>
      <w:r>
        <w:rPr>
          <w:rFonts w:ascii="Times New Roman"/>
        </w:rPr>
        <w:t>总则</w:t>
      </w:r>
    </w:p>
    <w:p w14:paraId="11801A2A">
      <w:pPr>
        <w:pStyle w:val="12"/>
        <w:shd w:val="clear"/>
        <w:spacing w:line="360" w:lineRule="auto"/>
        <w:ind w:firstLine="0" w:firstLineChars="0"/>
        <w:rPr>
          <w:rFonts w:ascii="Times New Roman" w:hAnsi="Times New Roman"/>
          <w:kern w:val="0"/>
          <w:szCs w:val="21"/>
        </w:rPr>
      </w:pPr>
      <w:r>
        <w:rPr>
          <w:rFonts w:ascii="Times New Roman" w:hAnsi="Times New Roman"/>
          <w:kern w:val="0"/>
          <w:szCs w:val="21"/>
        </w:rPr>
        <w:t xml:space="preserve">     纸制品包装产品的系统边界原则上宜包括纸包装全生命周期的每个阶段，对于纸包装而言，包括原纸阶段、包装用纸阶段、包装加工阶段、包装使用阶段</w:t>
      </w:r>
      <w:r>
        <w:rPr>
          <w:rFonts w:ascii="Times New Roman" w:hAnsi="Times New Roman" w:eastAsia="宋体" w:cs="Times New Roman"/>
          <w:kern w:val="0"/>
          <w:szCs w:val="21"/>
        </w:rPr>
        <w:t>和包装后处理阶段</w:t>
      </w:r>
      <w:r>
        <w:rPr>
          <w:rFonts w:hint="eastAsia" w:ascii="Times New Roman" w:hAnsi="Times New Roman" w:eastAsia="宋体" w:cs="Times New Roman"/>
          <w:kern w:val="0"/>
          <w:szCs w:val="21"/>
          <w:lang w:eastAsia="zh-CN"/>
        </w:rPr>
        <w:t>；</w:t>
      </w:r>
      <w:r>
        <w:rPr>
          <w:rFonts w:ascii="Times New Roman" w:hAnsi="Times New Roman" w:eastAsia="宋体" w:cs="Times New Roman"/>
          <w:kern w:val="0"/>
          <w:szCs w:val="21"/>
        </w:rPr>
        <w:t>对</w:t>
      </w:r>
      <w:r>
        <w:rPr>
          <w:rFonts w:ascii="Times New Roman" w:hAnsi="Times New Roman"/>
          <w:kern w:val="0"/>
          <w:szCs w:val="21"/>
        </w:rPr>
        <w:t>于纸浆模塑包装而言，包括纸浆板过程、生产纸浆模塑制品阶段、纸浆模塑制品使用阶段和纸浆模塑制品后处理阶段。</w:t>
      </w:r>
    </w:p>
    <w:p w14:paraId="7A7871A1">
      <w:pPr>
        <w:pStyle w:val="11"/>
        <w:spacing w:before="312" w:after="312"/>
        <w:outlineLvl w:val="0"/>
        <w:rPr>
          <w:rFonts w:ascii="Times New Roman"/>
        </w:rPr>
      </w:pPr>
      <w:r>
        <w:rPr>
          <w:rFonts w:hint="eastAsia" w:ascii="Times New Roman"/>
        </w:rPr>
        <w:t>5.2 生命周期阶段</w:t>
      </w:r>
    </w:p>
    <w:p w14:paraId="79AC2C6A">
      <w:pPr>
        <w:pStyle w:val="12"/>
        <w:spacing w:line="360" w:lineRule="auto"/>
        <w:ind w:firstLine="0" w:firstLineChars="0"/>
        <w:rPr>
          <w:rFonts w:ascii="Times New Roman" w:hAnsi="Times New Roman"/>
        </w:rPr>
      </w:pPr>
      <w:r>
        <w:rPr>
          <w:rFonts w:ascii="Times New Roman" w:hAnsi="Times New Roman"/>
        </w:rPr>
        <w:t>5.2</w:t>
      </w:r>
      <w:r>
        <w:rPr>
          <w:rFonts w:hint="eastAsia" w:ascii="Times New Roman" w:hAnsi="Times New Roman"/>
        </w:rPr>
        <w:t>.1</w:t>
      </w:r>
      <w:r>
        <w:rPr>
          <w:rFonts w:ascii="Times New Roman" w:hAnsi="Times New Roman"/>
        </w:rPr>
        <w:t xml:space="preserve"> 纸包装生命周期阶段</w:t>
      </w:r>
    </w:p>
    <w:p w14:paraId="5D30D352">
      <w:pPr>
        <w:pStyle w:val="12"/>
        <w:spacing w:line="360" w:lineRule="auto"/>
        <w:ind w:firstLine="0" w:firstLineChars="0"/>
      </w:pPr>
      <w:r>
        <w:rPr>
          <w:rFonts w:ascii="Times New Roman" w:hAnsi="Times New Roman"/>
        </w:rPr>
        <w:t>5.2.1</w:t>
      </w:r>
      <w:r>
        <w:rPr>
          <w:rFonts w:hint="eastAsia" w:ascii="Times New Roman" w:hAnsi="Times New Roman"/>
        </w:rPr>
        <w:t>.1</w:t>
      </w:r>
      <w:r>
        <w:rPr>
          <w:rFonts w:ascii="Times New Roman" w:hAnsi="Times New Roman"/>
        </w:rPr>
        <w:t xml:space="preserve"> 原纸</w:t>
      </w:r>
      <w:r>
        <w:rPr>
          <w:rFonts w:hint="eastAsia"/>
        </w:rPr>
        <w:t>阶段</w:t>
      </w:r>
    </w:p>
    <w:p w14:paraId="3527D186">
      <w:pPr>
        <w:pStyle w:val="12"/>
        <w:spacing w:line="360" w:lineRule="auto"/>
      </w:pPr>
      <w:r>
        <w:rPr>
          <w:rFonts w:hint="eastAsia"/>
        </w:rPr>
        <w:t>原纸阶段包括生产原纸的所有原材料的获取和加工，在纸包装碳足迹评价中应纳入下列过程：</w:t>
      </w:r>
    </w:p>
    <w:p w14:paraId="539DC843">
      <w:pPr>
        <w:pStyle w:val="12"/>
        <w:spacing w:line="360" w:lineRule="auto"/>
        <w:ind w:firstLineChars="0"/>
      </w:pPr>
      <w:r>
        <w:rPr>
          <w:rFonts w:hint="eastAsia"/>
        </w:rPr>
        <w:t>a) 纤维素的生产与运输相关过程，包括树木种植、纸包装回收利用等；</w:t>
      </w:r>
    </w:p>
    <w:p w14:paraId="67189039">
      <w:pPr>
        <w:pStyle w:val="12"/>
        <w:spacing w:line="360" w:lineRule="auto"/>
        <w:ind w:firstLineChars="0"/>
      </w:pPr>
      <w:r>
        <w:rPr>
          <w:rFonts w:hint="eastAsia"/>
        </w:rPr>
        <w:t>b）辅助材料的生产与运输相关过程；</w:t>
      </w:r>
    </w:p>
    <w:p w14:paraId="3461CB66">
      <w:pPr>
        <w:pStyle w:val="12"/>
        <w:spacing w:line="360" w:lineRule="auto"/>
        <w:ind w:firstLineChars="0"/>
      </w:pPr>
      <w:r>
        <w:rPr>
          <w:rFonts w:hint="eastAsia"/>
        </w:rPr>
        <w:t>c) 能源（石油、电）的生产与输送过程；</w:t>
      </w:r>
    </w:p>
    <w:p w14:paraId="26C4E917">
      <w:pPr>
        <w:pStyle w:val="12"/>
        <w:spacing w:line="360" w:lineRule="auto"/>
        <w:ind w:firstLineChars="0"/>
      </w:pPr>
      <w:r>
        <w:rPr>
          <w:rFonts w:hint="eastAsia"/>
        </w:rPr>
        <w:t>d) 水的供应过程；</w:t>
      </w:r>
    </w:p>
    <w:p w14:paraId="6B2ED372">
      <w:pPr>
        <w:pStyle w:val="12"/>
        <w:spacing w:line="360" w:lineRule="auto"/>
        <w:ind w:firstLineChars="0"/>
      </w:pPr>
      <w:r>
        <w:rPr>
          <w:rFonts w:hint="eastAsia"/>
        </w:rPr>
        <w:t>e) 废弃物的排放。</w:t>
      </w:r>
    </w:p>
    <w:p w14:paraId="7E72B02D">
      <w:pPr>
        <w:pStyle w:val="12"/>
        <w:spacing w:line="360" w:lineRule="auto"/>
        <w:ind w:firstLine="0" w:firstLineChars="0"/>
        <w:rPr>
          <w:rFonts w:ascii="Times New Roman" w:hAnsi="Times New Roman"/>
        </w:rPr>
      </w:pPr>
      <w:r>
        <w:rPr>
          <w:rFonts w:ascii="Times New Roman" w:hAnsi="Times New Roman"/>
        </w:rPr>
        <w:t>5.2.</w:t>
      </w:r>
      <w:r>
        <w:rPr>
          <w:rFonts w:hint="eastAsia" w:ascii="Times New Roman" w:hAnsi="Times New Roman"/>
        </w:rPr>
        <w:t>1.</w:t>
      </w:r>
      <w:r>
        <w:rPr>
          <w:rFonts w:ascii="Times New Roman" w:hAnsi="Times New Roman"/>
        </w:rPr>
        <w:t>2 包装用纸阶段</w:t>
      </w:r>
    </w:p>
    <w:p w14:paraId="10DDA09E">
      <w:pPr>
        <w:pStyle w:val="12"/>
        <w:spacing w:line="360" w:lineRule="auto"/>
        <w:ind w:firstLine="0" w:firstLineChars="0"/>
        <w:rPr>
          <w:rFonts w:ascii="Times New Roman" w:hAnsi="Times New Roman"/>
        </w:rPr>
      </w:pPr>
      <w:r>
        <w:rPr>
          <w:rFonts w:ascii="Times New Roman" w:hAnsi="Times New Roman"/>
        </w:rPr>
        <w:t xml:space="preserve">      包装用纸阶段指的是由原纸生产包装用纸的过程，在纸包装碳足迹评价中应纳入下列过程：</w:t>
      </w:r>
    </w:p>
    <w:p w14:paraId="21678107">
      <w:pPr>
        <w:pStyle w:val="12"/>
        <w:spacing w:line="360" w:lineRule="auto"/>
        <w:ind w:firstLineChars="0"/>
        <w:rPr>
          <w:rFonts w:ascii="Times New Roman" w:hAnsi="Times New Roman"/>
        </w:rPr>
      </w:pPr>
      <w:r>
        <w:rPr>
          <w:rFonts w:ascii="Times New Roman" w:hAnsi="Times New Roman"/>
        </w:rPr>
        <w:t>a) 辅助材料的生产与运输相关过程；</w:t>
      </w:r>
    </w:p>
    <w:p w14:paraId="1ACDA2CA">
      <w:pPr>
        <w:pStyle w:val="12"/>
        <w:spacing w:line="360" w:lineRule="auto"/>
        <w:ind w:firstLineChars="0"/>
        <w:rPr>
          <w:rFonts w:ascii="Times New Roman" w:hAnsi="Times New Roman"/>
        </w:rPr>
      </w:pPr>
      <w:r>
        <w:rPr>
          <w:rFonts w:ascii="Times New Roman" w:hAnsi="Times New Roman"/>
        </w:rPr>
        <w:t>b）能源（石油、电）的生产与输送过程；</w:t>
      </w:r>
    </w:p>
    <w:p w14:paraId="5DEAF087">
      <w:pPr>
        <w:pStyle w:val="12"/>
        <w:spacing w:line="360" w:lineRule="auto"/>
        <w:ind w:firstLineChars="0"/>
        <w:rPr>
          <w:rFonts w:ascii="Times New Roman" w:hAnsi="Times New Roman"/>
        </w:rPr>
      </w:pPr>
      <w:r>
        <w:rPr>
          <w:rFonts w:ascii="Times New Roman" w:hAnsi="Times New Roman"/>
        </w:rPr>
        <w:t>c) 水的</w:t>
      </w:r>
      <w:r>
        <w:rPr>
          <w:rFonts w:hint="eastAsia" w:ascii="Times New Roman" w:hAnsi="Times New Roman"/>
        </w:rPr>
        <w:t>供应</w:t>
      </w:r>
      <w:r>
        <w:rPr>
          <w:rFonts w:ascii="Times New Roman" w:hAnsi="Times New Roman"/>
        </w:rPr>
        <w:t>过程；</w:t>
      </w:r>
    </w:p>
    <w:p w14:paraId="191A6062">
      <w:pPr>
        <w:pStyle w:val="12"/>
        <w:spacing w:line="360" w:lineRule="auto"/>
        <w:ind w:firstLineChars="0"/>
        <w:rPr>
          <w:rFonts w:ascii="Times New Roman" w:hAnsi="Times New Roman"/>
        </w:rPr>
      </w:pPr>
      <w:r>
        <w:rPr>
          <w:rFonts w:ascii="Times New Roman" w:hAnsi="Times New Roman"/>
        </w:rPr>
        <w:t>d) 废弃物的排放。</w:t>
      </w:r>
    </w:p>
    <w:p w14:paraId="23F05450">
      <w:pPr>
        <w:pStyle w:val="12"/>
        <w:spacing w:line="360" w:lineRule="auto"/>
        <w:ind w:firstLine="0" w:firstLineChars="0"/>
        <w:rPr>
          <w:rFonts w:ascii="Times New Roman" w:hAnsi="Times New Roman"/>
        </w:rPr>
      </w:pPr>
      <w:r>
        <w:rPr>
          <w:rFonts w:ascii="Times New Roman" w:hAnsi="Times New Roman"/>
        </w:rPr>
        <w:t>5.2.</w:t>
      </w:r>
      <w:r>
        <w:rPr>
          <w:rFonts w:hint="eastAsia" w:ascii="Times New Roman" w:hAnsi="Times New Roman"/>
        </w:rPr>
        <w:t>1.</w:t>
      </w:r>
      <w:r>
        <w:rPr>
          <w:rFonts w:ascii="Times New Roman" w:hAnsi="Times New Roman"/>
        </w:rPr>
        <w:t>3 加工阶段</w:t>
      </w:r>
    </w:p>
    <w:p w14:paraId="55DF4A31">
      <w:pPr>
        <w:pStyle w:val="12"/>
        <w:spacing w:line="360" w:lineRule="auto"/>
        <w:ind w:firstLine="0" w:firstLineChars="0"/>
        <w:rPr>
          <w:rFonts w:ascii="Times New Roman" w:hAnsi="Times New Roman"/>
        </w:rPr>
      </w:pPr>
      <w:r>
        <w:rPr>
          <w:rFonts w:ascii="Times New Roman" w:hAnsi="Times New Roman"/>
        </w:rPr>
        <w:t xml:space="preserve">     加工阶段指的是通过一系列加工得到纸包装的过程，在纸包装碳足迹评价中应纳入下列过程：</w:t>
      </w:r>
    </w:p>
    <w:p w14:paraId="722E1E6D">
      <w:pPr>
        <w:pStyle w:val="12"/>
        <w:spacing w:line="360" w:lineRule="auto"/>
        <w:ind w:firstLineChars="0"/>
        <w:rPr>
          <w:rFonts w:ascii="Times New Roman" w:hAnsi="Times New Roman"/>
        </w:rPr>
      </w:pPr>
      <w:r>
        <w:rPr>
          <w:rFonts w:ascii="Times New Roman" w:hAnsi="Times New Roman"/>
        </w:rPr>
        <w:t>a) 能源（石油、电）的开采生产与输送过程；</w:t>
      </w:r>
    </w:p>
    <w:p w14:paraId="6E5239A0">
      <w:pPr>
        <w:pStyle w:val="12"/>
        <w:spacing w:line="360" w:lineRule="auto"/>
        <w:ind w:firstLineChars="0"/>
        <w:rPr>
          <w:rFonts w:ascii="Times New Roman" w:hAnsi="Times New Roman"/>
        </w:rPr>
      </w:pPr>
      <w:r>
        <w:rPr>
          <w:rFonts w:ascii="Times New Roman" w:hAnsi="Times New Roman"/>
        </w:rPr>
        <w:t>b）水的</w:t>
      </w:r>
      <w:r>
        <w:rPr>
          <w:rFonts w:hint="eastAsia" w:ascii="Times New Roman" w:hAnsi="Times New Roman"/>
        </w:rPr>
        <w:t>供应</w:t>
      </w:r>
      <w:r>
        <w:rPr>
          <w:rFonts w:ascii="Times New Roman" w:hAnsi="Times New Roman"/>
        </w:rPr>
        <w:t>过程；</w:t>
      </w:r>
    </w:p>
    <w:p w14:paraId="63799D0B">
      <w:pPr>
        <w:pStyle w:val="12"/>
        <w:spacing w:line="360" w:lineRule="auto"/>
        <w:ind w:firstLineChars="0"/>
        <w:rPr>
          <w:rFonts w:ascii="Times New Roman" w:hAnsi="Times New Roman"/>
        </w:rPr>
      </w:pPr>
      <w:r>
        <w:rPr>
          <w:rFonts w:ascii="Times New Roman" w:hAnsi="Times New Roman"/>
        </w:rPr>
        <w:t>c) 废弃物的排放。</w:t>
      </w:r>
    </w:p>
    <w:p w14:paraId="4B8A9AD1">
      <w:pPr>
        <w:pStyle w:val="12"/>
        <w:spacing w:line="360" w:lineRule="auto"/>
        <w:ind w:firstLine="0" w:firstLineChars="0"/>
        <w:rPr>
          <w:rFonts w:ascii="Times New Roman" w:hAnsi="Times New Roman"/>
        </w:rPr>
      </w:pPr>
      <w:r>
        <w:rPr>
          <w:rFonts w:ascii="Times New Roman" w:hAnsi="Times New Roman"/>
        </w:rPr>
        <w:t>5.2.</w:t>
      </w:r>
      <w:r>
        <w:rPr>
          <w:rFonts w:hint="eastAsia" w:ascii="Times New Roman" w:hAnsi="Times New Roman"/>
        </w:rPr>
        <w:t>1.</w:t>
      </w:r>
      <w:r>
        <w:rPr>
          <w:rFonts w:ascii="Times New Roman" w:hAnsi="Times New Roman"/>
        </w:rPr>
        <w:t>4 使用阶段</w:t>
      </w:r>
    </w:p>
    <w:p w14:paraId="1F622C61">
      <w:pPr>
        <w:pStyle w:val="12"/>
        <w:spacing w:line="360" w:lineRule="auto"/>
        <w:ind w:firstLine="0" w:firstLineChars="0"/>
        <w:rPr>
          <w:rFonts w:ascii="Times New Roman" w:hAnsi="Times New Roman"/>
        </w:rPr>
      </w:pPr>
      <w:r>
        <w:rPr>
          <w:rFonts w:hint="eastAsia" w:ascii="Times New Roman" w:hAnsi="Times New Roman"/>
        </w:rPr>
        <w:t xml:space="preserve">    使用阶段是指包装使用阶段的碳排，本阶段可以不收集数据。</w:t>
      </w:r>
    </w:p>
    <w:p w14:paraId="144D40A9">
      <w:pPr>
        <w:pStyle w:val="12"/>
        <w:spacing w:line="360" w:lineRule="auto"/>
        <w:ind w:firstLine="0" w:firstLineChars="0"/>
        <w:rPr>
          <w:rFonts w:ascii="Times New Roman" w:hAnsi="Times New Roman"/>
        </w:rPr>
      </w:pPr>
      <w:r>
        <w:rPr>
          <w:rFonts w:ascii="Times New Roman" w:hAnsi="Times New Roman"/>
        </w:rPr>
        <w:t>5.2.</w:t>
      </w:r>
      <w:r>
        <w:rPr>
          <w:rFonts w:hint="eastAsia" w:ascii="Times New Roman" w:hAnsi="Times New Roman"/>
        </w:rPr>
        <w:t>1.</w:t>
      </w:r>
      <w:r>
        <w:rPr>
          <w:rFonts w:ascii="Times New Roman" w:hAnsi="Times New Roman"/>
        </w:rPr>
        <w:t>5 后处理阶段</w:t>
      </w:r>
    </w:p>
    <w:p w14:paraId="72B64871">
      <w:pPr>
        <w:pStyle w:val="12"/>
        <w:spacing w:line="360" w:lineRule="auto"/>
        <w:ind w:firstLine="0" w:firstLineChars="0"/>
        <w:rPr>
          <w:rFonts w:ascii="Times New Roman" w:hAnsi="Times New Roman"/>
        </w:rPr>
      </w:pPr>
      <w:r>
        <w:rPr>
          <w:rFonts w:hint="eastAsia" w:ascii="Times New Roman" w:hAnsi="Times New Roman"/>
        </w:rPr>
        <w:t xml:space="preserve">     纸包装后处理阶段指从包装废弃后开始，到产品回归到自然或者分配到另一产品的生命周期结束。在纸包装碳足迹评价中应纳入纸包装废弃物的处理相关过程。</w:t>
      </w:r>
    </w:p>
    <w:p w14:paraId="560607F7">
      <w:pPr>
        <w:pStyle w:val="12"/>
        <w:spacing w:line="360" w:lineRule="auto"/>
        <w:ind w:firstLine="0" w:firstLineChars="0"/>
        <w:rPr>
          <w:rFonts w:ascii="Times New Roman" w:hAnsi="Times New Roman"/>
        </w:rPr>
      </w:pPr>
      <w:r>
        <w:rPr>
          <w:rFonts w:ascii="Times New Roman" w:hAnsi="Times New Roman"/>
        </w:rPr>
        <w:t>5.</w:t>
      </w:r>
      <w:r>
        <w:rPr>
          <w:rFonts w:hint="eastAsia" w:ascii="Times New Roman" w:hAnsi="Times New Roman"/>
        </w:rPr>
        <w:t>2.2</w:t>
      </w:r>
      <w:r>
        <w:rPr>
          <w:rFonts w:ascii="Times New Roman" w:hAnsi="Times New Roman"/>
        </w:rPr>
        <w:t xml:space="preserve"> 纸浆模塑包装生命周期阶段</w:t>
      </w:r>
    </w:p>
    <w:p w14:paraId="406C84BE">
      <w:pPr>
        <w:pStyle w:val="12"/>
        <w:spacing w:line="360" w:lineRule="auto"/>
        <w:ind w:firstLine="0" w:firstLineChars="0"/>
      </w:pPr>
      <w:r>
        <w:rPr>
          <w:rFonts w:ascii="Times New Roman" w:hAnsi="Times New Roman"/>
        </w:rPr>
        <w:t>5.</w:t>
      </w:r>
      <w:r>
        <w:rPr>
          <w:rFonts w:hint="eastAsia" w:ascii="Times New Roman" w:hAnsi="Times New Roman"/>
        </w:rPr>
        <w:t>2.2</w:t>
      </w:r>
      <w:r>
        <w:rPr>
          <w:rFonts w:ascii="Times New Roman" w:hAnsi="Times New Roman"/>
        </w:rPr>
        <w:t xml:space="preserve">.1 </w:t>
      </w:r>
      <w:r>
        <w:rPr>
          <w:rFonts w:hint="eastAsia" w:ascii="Times New Roman" w:hAnsi="Times New Roman"/>
        </w:rPr>
        <w:t>纸浆板</w:t>
      </w:r>
      <w:r>
        <w:rPr>
          <w:rFonts w:hint="eastAsia"/>
        </w:rPr>
        <w:t>阶段</w:t>
      </w:r>
    </w:p>
    <w:p w14:paraId="1E2D4A16">
      <w:pPr>
        <w:pStyle w:val="12"/>
        <w:spacing w:line="360" w:lineRule="auto"/>
      </w:pPr>
      <w:r>
        <w:rPr>
          <w:rFonts w:hint="eastAsia"/>
        </w:rPr>
        <w:t>纸浆板阶段包括生产纸浆板的所有原材料的获取和加工，在纸包装碳足迹评价中应纳入下列过程：</w:t>
      </w:r>
    </w:p>
    <w:p w14:paraId="4A7FF865">
      <w:pPr>
        <w:pStyle w:val="12"/>
        <w:spacing w:line="360" w:lineRule="auto"/>
        <w:ind w:firstLineChars="0"/>
      </w:pPr>
      <w:r>
        <w:rPr>
          <w:rFonts w:hint="eastAsia"/>
        </w:rPr>
        <w:t>a) 纤维素的生产与运输相关过程，包括树木种植、纸包装回收利用等；</w:t>
      </w:r>
    </w:p>
    <w:p w14:paraId="2A6922B2">
      <w:pPr>
        <w:pStyle w:val="12"/>
        <w:spacing w:line="360" w:lineRule="auto"/>
        <w:ind w:firstLineChars="0"/>
      </w:pPr>
      <w:r>
        <w:rPr>
          <w:rFonts w:hint="eastAsia"/>
        </w:rPr>
        <w:t>b）辅助材料的生产与运输相关过程；</w:t>
      </w:r>
    </w:p>
    <w:p w14:paraId="1E64BEA3">
      <w:pPr>
        <w:pStyle w:val="12"/>
        <w:spacing w:line="360" w:lineRule="auto"/>
        <w:ind w:firstLineChars="0"/>
      </w:pPr>
      <w:r>
        <w:rPr>
          <w:rFonts w:hint="eastAsia"/>
        </w:rPr>
        <w:t>c) 能源（石油、电）的生产与输送过程；</w:t>
      </w:r>
    </w:p>
    <w:p w14:paraId="19F240FE">
      <w:pPr>
        <w:pStyle w:val="12"/>
        <w:spacing w:line="360" w:lineRule="auto"/>
        <w:ind w:firstLineChars="0"/>
      </w:pPr>
      <w:r>
        <w:rPr>
          <w:rFonts w:hint="eastAsia"/>
        </w:rPr>
        <w:t>d) 水的供应过程；</w:t>
      </w:r>
    </w:p>
    <w:p w14:paraId="7DB41893">
      <w:pPr>
        <w:pStyle w:val="12"/>
        <w:spacing w:line="360" w:lineRule="auto"/>
        <w:ind w:firstLineChars="0"/>
      </w:pPr>
      <w:r>
        <w:rPr>
          <w:rFonts w:hint="eastAsia"/>
        </w:rPr>
        <w:t>e) 废弃物的排放。</w:t>
      </w:r>
    </w:p>
    <w:p w14:paraId="011FCA79">
      <w:pPr>
        <w:pStyle w:val="12"/>
        <w:spacing w:line="360" w:lineRule="auto"/>
        <w:ind w:firstLine="0" w:firstLineChars="0"/>
        <w:rPr>
          <w:rFonts w:ascii="Times New Roman" w:hAnsi="Times New Roman"/>
        </w:rPr>
      </w:pPr>
      <w:r>
        <w:rPr>
          <w:rFonts w:ascii="Times New Roman" w:hAnsi="Times New Roman"/>
        </w:rPr>
        <w:t>5.</w:t>
      </w:r>
      <w:r>
        <w:rPr>
          <w:rFonts w:hint="eastAsia" w:ascii="Times New Roman" w:hAnsi="Times New Roman"/>
        </w:rPr>
        <w:t>2.2.</w:t>
      </w:r>
      <w:r>
        <w:rPr>
          <w:rFonts w:ascii="Times New Roman" w:hAnsi="Times New Roman"/>
        </w:rPr>
        <w:t xml:space="preserve">2 </w:t>
      </w:r>
      <w:r>
        <w:rPr>
          <w:rFonts w:hint="eastAsia" w:ascii="Times New Roman" w:hAnsi="Times New Roman"/>
        </w:rPr>
        <w:t>纸浆模塑制品</w:t>
      </w:r>
      <w:r>
        <w:rPr>
          <w:rFonts w:ascii="Times New Roman" w:hAnsi="Times New Roman"/>
        </w:rPr>
        <w:t>阶段</w:t>
      </w:r>
    </w:p>
    <w:p w14:paraId="3BA73C3B">
      <w:pPr>
        <w:pStyle w:val="12"/>
        <w:spacing w:line="360" w:lineRule="auto"/>
        <w:ind w:firstLine="0" w:firstLineChars="0"/>
        <w:rPr>
          <w:rFonts w:ascii="Times New Roman" w:hAnsi="Times New Roman"/>
        </w:rPr>
      </w:pPr>
      <w:r>
        <w:rPr>
          <w:rFonts w:ascii="Times New Roman" w:hAnsi="Times New Roman"/>
        </w:rPr>
        <w:t xml:space="preserve">      </w:t>
      </w:r>
      <w:r>
        <w:rPr>
          <w:rFonts w:hint="eastAsia" w:ascii="Times New Roman" w:hAnsi="Times New Roman"/>
        </w:rPr>
        <w:t>纸浆模塑制品</w:t>
      </w:r>
      <w:r>
        <w:rPr>
          <w:rFonts w:ascii="Times New Roman" w:hAnsi="Times New Roman"/>
        </w:rPr>
        <w:t>阶段指的是由</w:t>
      </w:r>
      <w:r>
        <w:rPr>
          <w:rFonts w:hint="eastAsia" w:ascii="Times New Roman" w:hAnsi="Times New Roman"/>
        </w:rPr>
        <w:t>纸浆板制备纸浆模塑制品的</w:t>
      </w:r>
      <w:r>
        <w:rPr>
          <w:rFonts w:ascii="Times New Roman" w:hAnsi="Times New Roman"/>
        </w:rPr>
        <w:t>过程，在</w:t>
      </w:r>
      <w:r>
        <w:rPr>
          <w:rFonts w:hint="eastAsia" w:ascii="Times New Roman" w:hAnsi="Times New Roman"/>
        </w:rPr>
        <w:t>纸浆模塑</w:t>
      </w:r>
      <w:r>
        <w:rPr>
          <w:rFonts w:ascii="Times New Roman" w:hAnsi="Times New Roman"/>
        </w:rPr>
        <w:t>包装碳足迹评价中应纳入下列过程：</w:t>
      </w:r>
    </w:p>
    <w:p w14:paraId="19BE66B9">
      <w:pPr>
        <w:pStyle w:val="12"/>
        <w:spacing w:line="360" w:lineRule="auto"/>
        <w:ind w:firstLineChars="0"/>
        <w:rPr>
          <w:rFonts w:ascii="Times New Roman" w:hAnsi="Times New Roman"/>
        </w:rPr>
      </w:pPr>
      <w:r>
        <w:rPr>
          <w:rFonts w:ascii="Times New Roman" w:hAnsi="Times New Roman"/>
        </w:rPr>
        <w:t>a) 辅助材料的生产与运输相关过程；</w:t>
      </w:r>
    </w:p>
    <w:p w14:paraId="38778A7E">
      <w:pPr>
        <w:pStyle w:val="12"/>
        <w:spacing w:line="360" w:lineRule="auto"/>
        <w:ind w:firstLineChars="0"/>
        <w:rPr>
          <w:rFonts w:ascii="Times New Roman" w:hAnsi="Times New Roman"/>
        </w:rPr>
      </w:pPr>
      <w:r>
        <w:rPr>
          <w:rFonts w:ascii="Times New Roman" w:hAnsi="Times New Roman"/>
        </w:rPr>
        <w:t>b）能源（石油、电）的生产与输送过程；</w:t>
      </w:r>
    </w:p>
    <w:p w14:paraId="5D08E1F5">
      <w:pPr>
        <w:pStyle w:val="12"/>
        <w:spacing w:line="360" w:lineRule="auto"/>
        <w:ind w:firstLineChars="0"/>
        <w:rPr>
          <w:rFonts w:ascii="Times New Roman" w:hAnsi="Times New Roman"/>
        </w:rPr>
      </w:pPr>
      <w:r>
        <w:rPr>
          <w:rFonts w:ascii="Times New Roman" w:hAnsi="Times New Roman"/>
        </w:rPr>
        <w:t>c) 水的</w:t>
      </w:r>
      <w:r>
        <w:rPr>
          <w:rFonts w:hint="eastAsia" w:ascii="Times New Roman" w:hAnsi="Times New Roman"/>
        </w:rPr>
        <w:t>供应</w:t>
      </w:r>
      <w:r>
        <w:rPr>
          <w:rFonts w:ascii="Times New Roman" w:hAnsi="Times New Roman"/>
        </w:rPr>
        <w:t>过程；</w:t>
      </w:r>
    </w:p>
    <w:p w14:paraId="38D15A35">
      <w:pPr>
        <w:pStyle w:val="12"/>
        <w:spacing w:line="360" w:lineRule="auto"/>
        <w:ind w:firstLineChars="0"/>
        <w:rPr>
          <w:rFonts w:ascii="Times New Roman" w:hAnsi="Times New Roman"/>
        </w:rPr>
      </w:pPr>
      <w:r>
        <w:rPr>
          <w:rFonts w:ascii="Times New Roman" w:hAnsi="Times New Roman"/>
        </w:rPr>
        <w:t>d) 废弃物的排放。</w:t>
      </w:r>
    </w:p>
    <w:p w14:paraId="527E73CD">
      <w:pPr>
        <w:pStyle w:val="12"/>
        <w:spacing w:line="360" w:lineRule="auto"/>
        <w:ind w:firstLine="0" w:firstLineChars="0"/>
        <w:rPr>
          <w:rFonts w:ascii="Times New Roman" w:hAnsi="Times New Roman"/>
        </w:rPr>
      </w:pPr>
      <w:r>
        <w:rPr>
          <w:rFonts w:ascii="Times New Roman" w:hAnsi="Times New Roman"/>
        </w:rPr>
        <w:t>5.</w:t>
      </w:r>
      <w:r>
        <w:rPr>
          <w:rFonts w:hint="eastAsia" w:ascii="Times New Roman" w:hAnsi="Times New Roman"/>
        </w:rPr>
        <w:t>2.2</w:t>
      </w:r>
      <w:r>
        <w:rPr>
          <w:rFonts w:ascii="Times New Roman" w:hAnsi="Times New Roman"/>
        </w:rPr>
        <w:t>.</w:t>
      </w:r>
      <w:r>
        <w:rPr>
          <w:rFonts w:hint="eastAsia" w:ascii="Times New Roman" w:hAnsi="Times New Roman"/>
        </w:rPr>
        <w:t>3</w:t>
      </w:r>
      <w:r>
        <w:rPr>
          <w:rFonts w:ascii="Times New Roman" w:hAnsi="Times New Roman"/>
        </w:rPr>
        <w:t xml:space="preserve"> 使用阶段</w:t>
      </w:r>
    </w:p>
    <w:p w14:paraId="582D636D">
      <w:pPr>
        <w:pStyle w:val="12"/>
        <w:spacing w:line="360" w:lineRule="auto"/>
        <w:ind w:firstLine="0" w:firstLineChars="0"/>
        <w:rPr>
          <w:rFonts w:ascii="Times New Roman" w:hAnsi="Times New Roman"/>
        </w:rPr>
      </w:pPr>
      <w:r>
        <w:rPr>
          <w:rFonts w:hint="eastAsia" w:ascii="Times New Roman" w:hAnsi="Times New Roman"/>
        </w:rPr>
        <w:t xml:space="preserve">    使用阶段是指纸浆模塑制品包装的使用相关过程。</w:t>
      </w:r>
    </w:p>
    <w:p w14:paraId="604C3246">
      <w:pPr>
        <w:pStyle w:val="12"/>
        <w:spacing w:line="360" w:lineRule="auto"/>
        <w:ind w:firstLine="0" w:firstLineChars="0"/>
        <w:rPr>
          <w:rFonts w:ascii="Times New Roman" w:hAnsi="Times New Roman"/>
        </w:rPr>
      </w:pPr>
      <w:r>
        <w:rPr>
          <w:rFonts w:ascii="Times New Roman" w:hAnsi="Times New Roman"/>
        </w:rPr>
        <w:t>5.</w:t>
      </w:r>
      <w:r>
        <w:rPr>
          <w:rFonts w:hint="eastAsia" w:ascii="Times New Roman" w:hAnsi="Times New Roman"/>
        </w:rPr>
        <w:t xml:space="preserve">2.2.4 </w:t>
      </w:r>
      <w:r>
        <w:rPr>
          <w:rFonts w:ascii="Times New Roman" w:hAnsi="Times New Roman"/>
        </w:rPr>
        <w:t>后处理阶段</w:t>
      </w:r>
    </w:p>
    <w:p w14:paraId="663193ED">
      <w:pPr>
        <w:pStyle w:val="12"/>
        <w:spacing w:line="360" w:lineRule="auto"/>
        <w:ind w:firstLine="0" w:firstLineChars="0"/>
        <w:rPr>
          <w:rFonts w:ascii="Times New Roman" w:hAnsi="Times New Roman"/>
        </w:rPr>
      </w:pPr>
      <w:r>
        <w:rPr>
          <w:rFonts w:hint="eastAsia" w:ascii="Times New Roman" w:hAnsi="Times New Roman"/>
        </w:rPr>
        <w:t xml:space="preserve">     纸浆模塑制品后处理阶段指从纸浆模塑包装废弃后开始，到包装回归到自然或者分配到另一产品的生命周期结束。在纸制品包装碳足迹评价中应纳入纸包装废弃物的处理相关过程。</w:t>
      </w:r>
    </w:p>
    <w:p w14:paraId="1704C58A">
      <w:pPr>
        <w:pStyle w:val="11"/>
        <w:spacing w:before="312" w:after="312"/>
        <w:outlineLvl w:val="0"/>
        <w:rPr>
          <w:rFonts w:ascii="Times New Roman"/>
        </w:rPr>
      </w:pPr>
      <w:r>
        <w:rPr>
          <w:rFonts w:ascii="Times New Roman"/>
        </w:rPr>
        <w:t>5</w:t>
      </w:r>
      <w:r>
        <w:rPr>
          <w:rFonts w:hint="eastAsia" w:ascii="Times New Roman"/>
        </w:rPr>
        <w:t>.3</w:t>
      </w:r>
      <w:r>
        <w:rPr>
          <w:rFonts w:ascii="Times New Roman"/>
        </w:rPr>
        <w:t xml:space="preserve"> </w:t>
      </w:r>
      <w:r>
        <w:rPr>
          <w:rFonts w:hint="eastAsia" w:ascii="Times New Roman"/>
        </w:rPr>
        <w:t>取舍原则</w:t>
      </w:r>
    </w:p>
    <w:p w14:paraId="2D1AFBD4">
      <w:pPr>
        <w:pStyle w:val="12"/>
        <w:spacing w:line="360" w:lineRule="auto"/>
        <w:ind w:firstLine="0" w:firstLineChars="0"/>
        <w:rPr>
          <w:rFonts w:ascii="Times New Roman" w:hAnsi="Times New Roman"/>
        </w:rPr>
      </w:pPr>
      <w:r>
        <w:rPr>
          <w:rFonts w:hint="eastAsia" w:ascii="Times New Roman" w:hAnsi="Times New Roman"/>
        </w:rPr>
        <w:t xml:space="preserve">5.3.1 不应将对纸制品包装碳足迹有实质性贡献的温室气体的排放与清除排除在外。应量化至少 95%与功能单位相关的生命周期内预计会产生的温室气体排放与清除，即温室气体排放或清除量小于所评价产品温室气体总排放或清除估测值1%的可予以舍去，但累计不应超过5%。取舍准则不适用于有毒有害物质，纸制品碳足迹评价应包含所有有毒有害的材料和物质。 </w:t>
      </w:r>
    </w:p>
    <w:p w14:paraId="7F3BAC6F">
      <w:pPr>
        <w:pStyle w:val="12"/>
        <w:spacing w:line="360" w:lineRule="auto"/>
        <w:ind w:firstLine="0" w:firstLineChars="0"/>
        <w:rPr>
          <w:rFonts w:ascii="Times New Roman" w:hAnsi="Times New Roman"/>
        </w:rPr>
      </w:pPr>
      <w:r>
        <w:rPr>
          <w:rFonts w:hint="eastAsia" w:ascii="Times New Roman" w:hAnsi="Times New Roman"/>
        </w:rPr>
        <w:t>5.3.2 舍去的温室气体排放与清除应有书面记录。所选择的取舍准则对评价结果产生的影响应在评价报告中做出解释。</w:t>
      </w:r>
    </w:p>
    <w:p w14:paraId="2F5315E9">
      <w:pPr>
        <w:pStyle w:val="11"/>
        <w:numPr>
          <w:ilvl w:val="0"/>
          <w:numId w:val="0"/>
        </w:numPr>
        <w:spacing w:before="312" w:after="312" w:line="360" w:lineRule="auto"/>
        <w:ind w:leftChars="0"/>
        <w:outlineLvl w:val="0"/>
      </w:pPr>
      <w:r>
        <w:rPr>
          <w:rFonts w:hint="eastAsia" w:ascii="Times New Roman"/>
          <w:lang w:val="en-US" w:eastAsia="zh-CN"/>
        </w:rPr>
        <w:t xml:space="preserve">6 </w:t>
      </w:r>
      <w:r>
        <w:rPr>
          <w:rFonts w:hint="eastAsia" w:ascii="Times New Roman"/>
        </w:rPr>
        <w:t>系统边界</w:t>
      </w:r>
    </w:p>
    <w:p w14:paraId="217C6197">
      <w:pPr>
        <w:pStyle w:val="11"/>
        <w:spacing w:before="312" w:after="312"/>
        <w:outlineLvl w:val="0"/>
        <w:rPr>
          <w:rFonts w:ascii="Times New Roman"/>
        </w:rPr>
      </w:pPr>
      <w:r>
        <w:rPr>
          <w:rFonts w:hint="eastAsia" w:ascii="Times New Roman"/>
        </w:rPr>
        <w:t>6.1数据质量要求</w:t>
      </w:r>
    </w:p>
    <w:p w14:paraId="5DF78C7E">
      <w:pPr>
        <w:pStyle w:val="12"/>
        <w:spacing w:line="360" w:lineRule="auto"/>
        <w:ind w:firstLine="0" w:firstLineChars="0"/>
        <w:rPr>
          <w:rFonts w:hint="eastAsia" w:ascii="Times New Roman" w:hAnsi="Times New Roman"/>
        </w:rPr>
      </w:pPr>
      <w:r>
        <w:rPr>
          <w:rFonts w:hint="eastAsia" w:ascii="Times New Roman" w:hAnsi="Times New Roman"/>
        </w:rPr>
        <w:t xml:space="preserve">6.1.1 数据质量要求应符合 </w:t>
      </w:r>
      <w:r>
        <w:rPr>
          <w:rFonts w:ascii="Times New Roman" w:hAnsi="Times New Roman"/>
        </w:rPr>
        <w:t>T/SHBX 006-2022《产品包装碳排放核算方法与规则》</w:t>
      </w:r>
      <w:r>
        <w:rPr>
          <w:rFonts w:hint="eastAsia" w:ascii="Times New Roman" w:hAnsi="Times New Roman"/>
        </w:rPr>
        <w:t xml:space="preserve"> 中的规定。数据收集</w:t>
      </w:r>
      <w:r>
        <w:rPr>
          <w:rFonts w:hint="eastAsia" w:ascii="Times New Roman" w:hAnsi="Times New Roman" w:eastAsia="宋体" w:cs="Times New Roman"/>
        </w:rPr>
        <w:t>表见附录 A。</w:t>
      </w:r>
    </w:p>
    <w:p w14:paraId="34A344EB">
      <w:pPr>
        <w:pStyle w:val="12"/>
        <w:spacing w:line="360" w:lineRule="auto"/>
        <w:ind w:firstLine="0" w:firstLineChars="0"/>
        <w:rPr>
          <w:rFonts w:ascii="Times New Roman" w:hAnsi="Times New Roman"/>
        </w:rPr>
      </w:pPr>
      <w:r>
        <w:rPr>
          <w:rFonts w:hint="eastAsia" w:ascii="Times New Roman" w:hAnsi="Times New Roman"/>
        </w:rPr>
        <w:t>6.1.2 纸制品包装碳足迹评价过程中使用的数据应满足以下要求：</w:t>
      </w:r>
    </w:p>
    <w:p w14:paraId="7697CC7A">
      <w:pPr>
        <w:pStyle w:val="12"/>
        <w:spacing w:line="360" w:lineRule="auto"/>
        <w:rPr>
          <w:rFonts w:ascii="Times New Roman" w:hAnsi="Times New Roman"/>
        </w:rPr>
      </w:pPr>
      <w:r>
        <w:rPr>
          <w:rFonts w:hint="eastAsia" w:ascii="Times New Roman" w:hAnsi="Times New Roman"/>
        </w:rPr>
        <w:t xml:space="preserve">a）完整性：涵盖对评价的产品系统有实质性贡献的所有温室气体的排放与清除； </w:t>
      </w:r>
    </w:p>
    <w:p w14:paraId="388C4DBF">
      <w:pPr>
        <w:pStyle w:val="12"/>
        <w:spacing w:line="360" w:lineRule="auto"/>
        <w:rPr>
          <w:rFonts w:ascii="Times New Roman" w:hAnsi="Times New Roman"/>
        </w:rPr>
      </w:pPr>
      <w:r>
        <w:rPr>
          <w:rFonts w:hint="eastAsia" w:ascii="Times New Roman" w:hAnsi="Times New Roman"/>
        </w:rPr>
        <w:t xml:space="preserve">b）代表性：使用对评价产品而言具有时间、地理及技术针对性的数据； </w:t>
      </w:r>
    </w:p>
    <w:p w14:paraId="798F61BD">
      <w:pPr>
        <w:pStyle w:val="12"/>
        <w:spacing w:line="360" w:lineRule="auto"/>
        <w:rPr>
          <w:rFonts w:ascii="Times New Roman" w:hAnsi="Times New Roman"/>
        </w:rPr>
      </w:pPr>
      <w:r>
        <w:rPr>
          <w:rFonts w:hint="eastAsia" w:ascii="Times New Roman" w:hAnsi="Times New Roman"/>
        </w:rPr>
        <w:t>c）准确性：避免非必要偏差和不确定度；</w:t>
      </w:r>
    </w:p>
    <w:p w14:paraId="0CA58933">
      <w:pPr>
        <w:pStyle w:val="12"/>
        <w:spacing w:line="360" w:lineRule="auto"/>
        <w:ind w:firstLine="0" w:firstLineChars="0"/>
        <w:rPr>
          <w:rFonts w:ascii="Times New Roman" w:hAnsi="Times New Roman"/>
        </w:rPr>
      </w:pPr>
      <w:r>
        <w:rPr>
          <w:rFonts w:hint="eastAsia" w:ascii="Times New Roman" w:hAnsi="Times New Roman"/>
        </w:rPr>
        <w:t xml:space="preserve">    d）使用最近至少一年的数据，若产品生产不足一年，使用从生产初始至评价前的累计数据；</w:t>
      </w:r>
    </w:p>
    <w:p w14:paraId="458D0E9E">
      <w:pPr>
        <w:pStyle w:val="12"/>
        <w:spacing w:line="360" w:lineRule="auto"/>
        <w:rPr>
          <w:rFonts w:ascii="Times New Roman" w:hAnsi="Times New Roman"/>
        </w:rPr>
      </w:pPr>
      <w:r>
        <w:rPr>
          <w:rFonts w:hint="eastAsia" w:ascii="Times New Roman" w:hAnsi="Times New Roman"/>
        </w:rPr>
        <w:t xml:space="preserve">e）优先使用初级数据，若无法获取初级数据，可使用次级数据，并进行书面记录，解释数据来源和使用理由。 </w:t>
      </w:r>
    </w:p>
    <w:p w14:paraId="4F7699DD">
      <w:pPr>
        <w:pStyle w:val="11"/>
        <w:spacing w:before="312" w:after="312"/>
        <w:outlineLvl w:val="0"/>
        <w:rPr>
          <w:rFonts w:ascii="Times New Roman"/>
        </w:rPr>
      </w:pPr>
      <w:r>
        <w:rPr>
          <w:rFonts w:hint="eastAsia" w:ascii="Times New Roman"/>
        </w:rPr>
        <w:t>6.2 数据抽样</w:t>
      </w:r>
    </w:p>
    <w:p w14:paraId="13F9A4A8">
      <w:pPr>
        <w:pStyle w:val="12"/>
        <w:spacing w:line="360" w:lineRule="auto"/>
        <w:ind w:firstLine="0" w:firstLineChars="0"/>
        <w:rPr>
          <w:rFonts w:ascii="Times New Roman" w:hAnsi="Times New Roman"/>
        </w:rPr>
      </w:pPr>
      <w:r>
        <w:rPr>
          <w:rFonts w:hint="eastAsia" w:ascii="Times New Roman" w:hAnsi="Times New Roman"/>
        </w:rPr>
        <w:t>6.2.1 若单元过程的输入数据来自多个源头，宜选择具有代表性的数据样本进行温室气体排放与清除 数据的收集。抽样数据应满足6.1 规定的数据质量要求。</w:t>
      </w:r>
    </w:p>
    <w:p w14:paraId="6B2E6DB0">
      <w:pPr>
        <w:pStyle w:val="12"/>
        <w:spacing w:line="360" w:lineRule="auto"/>
        <w:ind w:firstLine="0" w:firstLineChars="0"/>
        <w:rPr>
          <w:rFonts w:ascii="Times New Roman" w:hAnsi="Times New Roman"/>
        </w:rPr>
      </w:pPr>
      <w:r>
        <w:rPr>
          <w:rFonts w:hint="eastAsia" w:ascii="Times New Roman" w:hAnsi="Times New Roman"/>
        </w:rPr>
        <w:t>6.2.2 若单一原材料来自多个供应商时，宜收集所有供应商的初级数据。若收集所有初级数据存在困难，则宜收集供应原材料数量50 %以上的或具有代表性的供应商的初级数据，其加权平均值可作为无法取得数据的供应商的次级数据。</w:t>
      </w:r>
    </w:p>
    <w:p w14:paraId="6F32DCAA">
      <w:pPr>
        <w:pStyle w:val="12"/>
        <w:spacing w:line="360" w:lineRule="auto"/>
        <w:ind w:firstLine="0" w:firstLineChars="0"/>
      </w:pPr>
      <w:r>
        <w:rPr>
          <w:rFonts w:hint="eastAsia" w:ascii="Times New Roman" w:hAnsi="Times New Roman"/>
        </w:rPr>
        <w:t>6.2.3 若产品运输路线不止一条，宜收集所有路线的初级数据。若收集所有初级数据存在困难，则宜收集销售量占总销售量50%以上的或具有代表性的主要销售点的运输路线，其加权平均值可作为无法取得数据的路线的次级数据。</w:t>
      </w:r>
    </w:p>
    <w:p w14:paraId="0D485CF9">
      <w:pPr>
        <w:pStyle w:val="11"/>
        <w:spacing w:before="312" w:after="312"/>
        <w:outlineLvl w:val="0"/>
        <w:rPr>
          <w:rFonts w:ascii="Times New Roman"/>
        </w:rPr>
      </w:pPr>
      <w:r>
        <w:rPr>
          <w:rFonts w:hint="eastAsia" w:ascii="Times New Roman"/>
        </w:rPr>
        <w:t>6.3 数据搜集要求</w:t>
      </w:r>
    </w:p>
    <w:p w14:paraId="2C236FA2">
      <w:pPr>
        <w:pStyle w:val="12"/>
        <w:spacing w:line="360" w:lineRule="auto"/>
        <w:ind w:firstLine="0" w:firstLineChars="0"/>
        <w:rPr>
          <w:rFonts w:ascii="Times New Roman" w:hAnsi="Times New Roman"/>
        </w:rPr>
      </w:pPr>
      <w:r>
        <w:rPr>
          <w:rFonts w:hint="eastAsia" w:ascii="Times New Roman" w:hAnsi="Times New Roman"/>
        </w:rPr>
        <w:t>6.3.1 纸包装</w:t>
      </w:r>
    </w:p>
    <w:p w14:paraId="667E7603">
      <w:pPr>
        <w:pStyle w:val="12"/>
        <w:spacing w:line="360" w:lineRule="auto"/>
        <w:ind w:firstLine="0" w:firstLineChars="0"/>
        <w:rPr>
          <w:rFonts w:ascii="Times New Roman" w:hAnsi="Times New Roman"/>
        </w:rPr>
      </w:pPr>
      <w:r>
        <w:rPr>
          <w:rFonts w:hint="eastAsia" w:ascii="Times New Roman" w:hAnsi="Times New Roman"/>
        </w:rPr>
        <w:t>6.3.1.1 原纸阶段</w:t>
      </w:r>
    </w:p>
    <w:p w14:paraId="1C823AF7">
      <w:pPr>
        <w:pStyle w:val="12"/>
        <w:spacing w:line="360" w:lineRule="auto"/>
        <w:ind w:firstLine="0" w:firstLineChars="0"/>
        <w:rPr>
          <w:rFonts w:hint="eastAsia" w:hAnsi="宋体" w:cs="宋体"/>
          <w:sz w:val="24"/>
          <w:szCs w:val="24"/>
        </w:rPr>
      </w:pPr>
      <w:r>
        <w:rPr>
          <w:rFonts w:hint="eastAsia" w:ascii="Times New Roman" w:hAnsi="Times New Roman"/>
        </w:rPr>
        <w:t>6.3.1.1.1 以下项目应收集</w:t>
      </w:r>
      <w:r>
        <w:rPr>
          <w:rFonts w:hAnsi="宋体" w:cs="宋体"/>
          <w:sz w:val="24"/>
          <w:szCs w:val="24"/>
        </w:rPr>
        <w:t xml:space="preserve">初级数据： </w:t>
      </w:r>
    </w:p>
    <w:p w14:paraId="4B1CE275">
      <w:pPr>
        <w:pStyle w:val="12"/>
        <w:spacing w:line="360" w:lineRule="auto"/>
        <w:rPr>
          <w:rFonts w:ascii="Times New Roman" w:hAnsi="Times New Roman"/>
        </w:rPr>
      </w:pPr>
      <w:r>
        <w:rPr>
          <w:rFonts w:hint="eastAsia" w:ascii="Times New Roman" w:hAnsi="Times New Roman"/>
        </w:rPr>
        <w:t>a） 原纸生产相关数据，包括：</w:t>
      </w:r>
    </w:p>
    <w:p w14:paraId="2E287C58">
      <w:pPr>
        <w:pStyle w:val="12"/>
        <w:spacing w:line="360" w:lineRule="auto"/>
        <w:ind w:firstLine="0" w:firstLineChars="0"/>
        <w:rPr>
          <w:rFonts w:ascii="Times New Roman" w:hAnsi="Times New Roman"/>
        </w:rPr>
      </w:pPr>
      <w:r>
        <w:rPr>
          <w:rFonts w:hint="eastAsia" w:ascii="Times New Roman" w:hAnsi="Times New Roman"/>
        </w:rPr>
        <w:t xml:space="preserve">       1） 纤维素、辅助材料的投入量；</w:t>
      </w:r>
    </w:p>
    <w:p w14:paraId="62370DA4">
      <w:pPr>
        <w:pStyle w:val="12"/>
        <w:spacing w:line="360" w:lineRule="auto"/>
        <w:ind w:firstLine="840" w:firstLineChars="400"/>
        <w:rPr>
          <w:rFonts w:ascii="Times New Roman" w:hAnsi="Times New Roman"/>
        </w:rPr>
      </w:pPr>
      <w:r>
        <w:rPr>
          <w:rFonts w:hint="eastAsia" w:ascii="Times New Roman" w:hAnsi="Times New Roman"/>
        </w:rPr>
        <w:t>2） 电力、石油等能源投入量；</w:t>
      </w:r>
    </w:p>
    <w:p w14:paraId="751325F7">
      <w:pPr>
        <w:pStyle w:val="12"/>
        <w:spacing w:line="360" w:lineRule="auto"/>
        <w:ind w:firstLine="840" w:firstLineChars="400"/>
        <w:rPr>
          <w:rFonts w:ascii="Times New Roman" w:hAnsi="Times New Roman"/>
        </w:rPr>
      </w:pPr>
      <w:r>
        <w:rPr>
          <w:rFonts w:hint="eastAsia" w:ascii="Times New Roman" w:hAnsi="Times New Roman"/>
        </w:rPr>
        <w:t>3） 水消耗量；</w:t>
      </w:r>
    </w:p>
    <w:p w14:paraId="7AA46951">
      <w:pPr>
        <w:pStyle w:val="12"/>
        <w:spacing w:line="360" w:lineRule="auto"/>
        <w:ind w:firstLine="840" w:firstLineChars="400"/>
        <w:rPr>
          <w:rFonts w:ascii="Times New Roman" w:hAnsi="Times New Roman"/>
        </w:rPr>
      </w:pPr>
      <w:r>
        <w:rPr>
          <w:rFonts w:hint="eastAsia" w:ascii="Times New Roman" w:hAnsi="Times New Roman"/>
        </w:rPr>
        <w:t>4） 废弃物的产生量；</w:t>
      </w:r>
    </w:p>
    <w:p w14:paraId="10693A8B">
      <w:pPr>
        <w:pStyle w:val="12"/>
        <w:spacing w:line="360" w:lineRule="auto"/>
        <w:ind w:firstLine="840" w:firstLineChars="400"/>
        <w:rPr>
          <w:rFonts w:ascii="Times New Roman" w:hAnsi="Times New Roman"/>
        </w:rPr>
      </w:pPr>
      <w:r>
        <w:rPr>
          <w:rFonts w:hint="eastAsia" w:ascii="Times New Roman" w:hAnsi="Times New Roman"/>
        </w:rPr>
        <w:t>5） 原纸的产出量。</w:t>
      </w:r>
    </w:p>
    <w:p w14:paraId="2FF7B28D">
      <w:pPr>
        <w:pStyle w:val="12"/>
        <w:spacing w:line="360" w:lineRule="auto"/>
        <w:ind w:firstLine="0" w:firstLineChars="0"/>
        <w:rPr>
          <w:rFonts w:ascii="Times New Roman" w:hAnsi="Times New Roman"/>
        </w:rPr>
      </w:pPr>
      <w:r>
        <w:rPr>
          <w:rFonts w:hint="eastAsia" w:ascii="Times New Roman" w:hAnsi="Times New Roman"/>
        </w:rPr>
        <w:t xml:space="preserve">   b） 原纸的运输相关项目，包括：</w:t>
      </w:r>
    </w:p>
    <w:p w14:paraId="4C898CB6">
      <w:pPr>
        <w:pStyle w:val="12"/>
        <w:spacing w:line="360" w:lineRule="auto"/>
        <w:ind w:firstLine="0" w:firstLineChars="0"/>
        <w:rPr>
          <w:rFonts w:ascii="Times New Roman" w:hAnsi="Times New Roman"/>
        </w:rPr>
      </w:pPr>
      <w:r>
        <w:rPr>
          <w:rFonts w:hint="eastAsia" w:ascii="Times New Roman" w:hAnsi="Times New Roman"/>
        </w:rPr>
        <w:t xml:space="preserve">      1） 每种运输方式的运输的数量和重量；</w:t>
      </w:r>
    </w:p>
    <w:p w14:paraId="53E7F284">
      <w:pPr>
        <w:pStyle w:val="12"/>
        <w:spacing w:line="360" w:lineRule="auto"/>
        <w:ind w:firstLine="630" w:firstLineChars="300"/>
        <w:rPr>
          <w:rFonts w:ascii="Times New Roman" w:hAnsi="Times New Roman"/>
        </w:rPr>
      </w:pPr>
      <w:r>
        <w:rPr>
          <w:rFonts w:hint="eastAsia" w:ascii="Times New Roman" w:hAnsi="Times New Roman"/>
        </w:rPr>
        <w:t>2） 每种运输方式的能源消耗量，或其它可计算获得能源消耗量的数据；</w:t>
      </w:r>
    </w:p>
    <w:p w14:paraId="044F87FA">
      <w:pPr>
        <w:pStyle w:val="12"/>
        <w:spacing w:line="360" w:lineRule="auto"/>
        <w:ind w:firstLine="630" w:firstLineChars="300"/>
        <w:rPr>
          <w:rFonts w:ascii="Times New Roman" w:hAnsi="Times New Roman"/>
        </w:rPr>
      </w:pPr>
      <w:r>
        <w:rPr>
          <w:rFonts w:hint="eastAsia" w:ascii="Times New Roman" w:hAnsi="Times New Roman"/>
        </w:rPr>
        <w:t>3） 每种运输方式的吨公里数。</w:t>
      </w:r>
    </w:p>
    <w:p w14:paraId="7A202303">
      <w:pPr>
        <w:pStyle w:val="12"/>
        <w:spacing w:line="360" w:lineRule="auto"/>
        <w:ind w:firstLine="240" w:firstLineChars="100"/>
        <w:rPr>
          <w:rFonts w:hint="eastAsia" w:hAnsi="宋体" w:cs="宋体"/>
          <w:szCs w:val="21"/>
        </w:rPr>
      </w:pPr>
      <w:r>
        <w:rPr>
          <w:rFonts w:hAnsi="宋体" w:cs="宋体"/>
          <w:sz w:val="24"/>
          <w:szCs w:val="24"/>
        </w:rPr>
        <w:t xml:space="preserve"> </w:t>
      </w:r>
      <w:r>
        <w:rPr>
          <w:rFonts w:hAnsi="宋体" w:cs="宋体"/>
          <w:b/>
          <w:bCs/>
          <w:sz w:val="18"/>
          <w:szCs w:val="18"/>
        </w:rPr>
        <w:t>注：</w:t>
      </w:r>
      <w:r>
        <w:rPr>
          <w:rFonts w:hAnsi="宋体" w:cs="宋体"/>
          <w:sz w:val="18"/>
          <w:szCs w:val="18"/>
        </w:rPr>
        <w:t xml:space="preserve">其它可计算获得能源消耗量的数据包括单位距离能源消耗量和运输距离、运输费用和能源单价等。 </w:t>
      </w:r>
    </w:p>
    <w:p w14:paraId="3DEC15D6">
      <w:pPr>
        <w:pStyle w:val="12"/>
        <w:spacing w:line="360" w:lineRule="auto"/>
        <w:ind w:firstLine="0" w:firstLineChars="0"/>
        <w:rPr>
          <w:rFonts w:ascii="Times New Roman" w:hAnsi="Times New Roman"/>
        </w:rPr>
      </w:pPr>
      <w:r>
        <w:rPr>
          <w:rFonts w:hint="eastAsia" w:ascii="Times New Roman" w:hAnsi="Times New Roman"/>
        </w:rPr>
        <w:t>6.3.1.1.2 以下项目可收集次级数据：</w:t>
      </w:r>
    </w:p>
    <w:p w14:paraId="250E9460">
      <w:pPr>
        <w:pStyle w:val="12"/>
        <w:spacing w:line="360" w:lineRule="auto"/>
        <w:ind w:firstLine="240" w:firstLineChars="100"/>
        <w:rPr>
          <w:rFonts w:hint="eastAsia" w:hAnsi="宋体" w:cs="宋体"/>
          <w:szCs w:val="21"/>
        </w:rPr>
      </w:pPr>
      <w:r>
        <w:rPr>
          <w:rFonts w:hAnsi="宋体" w:cs="宋体"/>
          <w:sz w:val="24"/>
          <w:szCs w:val="24"/>
        </w:rPr>
        <w:t xml:space="preserve"> </w:t>
      </w:r>
      <w:r>
        <w:rPr>
          <w:rFonts w:hint="eastAsia" w:hAnsi="宋体" w:cs="宋体"/>
          <w:szCs w:val="21"/>
        </w:rPr>
        <w:t xml:space="preserve"> </w:t>
      </w:r>
      <w:r>
        <w:rPr>
          <w:rFonts w:hint="eastAsia" w:ascii="Times New Roman" w:hAnsi="Times New Roman"/>
          <w:szCs w:val="21"/>
        </w:rPr>
        <w:t>a）</w:t>
      </w:r>
      <w:r>
        <w:rPr>
          <w:rFonts w:hint="eastAsia" w:hAnsi="宋体" w:cs="宋体"/>
          <w:szCs w:val="21"/>
        </w:rPr>
        <w:t>原纸</w:t>
      </w:r>
      <w:r>
        <w:rPr>
          <w:rFonts w:hAnsi="宋体" w:cs="宋体"/>
          <w:szCs w:val="21"/>
        </w:rPr>
        <w:t>生产与运输相关的温室气体排放与清除因子；</w:t>
      </w:r>
    </w:p>
    <w:p w14:paraId="3B5EF45A">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int="eastAsia" w:ascii="Times New Roman" w:hAnsi="Times New Roman"/>
          <w:szCs w:val="21"/>
        </w:rPr>
        <w:t>b）</w:t>
      </w:r>
      <w:r>
        <w:rPr>
          <w:rFonts w:hint="eastAsia" w:hAnsi="宋体" w:cs="宋体"/>
          <w:szCs w:val="21"/>
        </w:rPr>
        <w:t>原纸和辅助材料的</w:t>
      </w:r>
      <w:r>
        <w:rPr>
          <w:rFonts w:hAnsi="宋体" w:cs="宋体"/>
          <w:szCs w:val="21"/>
        </w:rPr>
        <w:t xml:space="preserve">包装材料的生产相关的温室气体排放与清除因子； </w:t>
      </w:r>
    </w:p>
    <w:p w14:paraId="44D0F37E">
      <w:pPr>
        <w:pStyle w:val="12"/>
        <w:spacing w:line="360" w:lineRule="auto"/>
        <w:ind w:left="479" w:leftChars="228" w:firstLine="0" w:firstLineChars="0"/>
        <w:rPr>
          <w:rFonts w:hint="eastAsia" w:hAnsi="宋体" w:cs="宋体"/>
          <w:szCs w:val="21"/>
        </w:rPr>
      </w:pPr>
      <w:r>
        <w:rPr>
          <w:rFonts w:hint="eastAsia" w:ascii="Times New Roman" w:hAnsi="Times New Roman"/>
          <w:szCs w:val="21"/>
        </w:rPr>
        <w:t>c）</w:t>
      </w:r>
      <w:r>
        <w:rPr>
          <w:rFonts w:hint="eastAsia" w:hAnsi="宋体" w:cs="宋体"/>
          <w:szCs w:val="21"/>
        </w:rPr>
        <w:t>辅助材料</w:t>
      </w:r>
      <w:r>
        <w:rPr>
          <w:rFonts w:hAnsi="宋体" w:cs="宋体"/>
          <w:szCs w:val="21"/>
        </w:rPr>
        <w:t xml:space="preserve">的生产与运输相关的温室气体排放与清除因子； </w:t>
      </w:r>
    </w:p>
    <w:p w14:paraId="1F19F79A">
      <w:pPr>
        <w:pStyle w:val="12"/>
        <w:spacing w:line="360" w:lineRule="auto"/>
        <w:ind w:left="479" w:leftChars="228" w:firstLine="0" w:firstLineChars="0"/>
        <w:rPr>
          <w:rFonts w:hint="eastAsia" w:hAnsi="宋体" w:cs="宋体"/>
          <w:szCs w:val="21"/>
        </w:rPr>
      </w:pPr>
      <w:r>
        <w:rPr>
          <w:rFonts w:hint="eastAsia" w:ascii="Times New Roman" w:hAnsi="Times New Roman"/>
          <w:szCs w:val="21"/>
        </w:rPr>
        <w:t>d）</w:t>
      </w:r>
      <w:r>
        <w:rPr>
          <w:rFonts w:hAnsi="宋体" w:cs="宋体"/>
          <w:szCs w:val="21"/>
        </w:rPr>
        <w:t>能源、水的开采生产、消耗与输送相关的温室气体排放与清除因子；</w:t>
      </w:r>
    </w:p>
    <w:p w14:paraId="423C85B8">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int="eastAsia" w:ascii="Times New Roman" w:hAnsi="Times New Roman"/>
          <w:szCs w:val="21"/>
        </w:rPr>
        <w:t>e）</w:t>
      </w:r>
      <w:r>
        <w:rPr>
          <w:rFonts w:hAnsi="宋体" w:cs="宋体"/>
          <w:szCs w:val="21"/>
        </w:rPr>
        <w:t xml:space="preserve">废弃物处理相关的温室气体排放与清除因子。 </w:t>
      </w:r>
    </w:p>
    <w:p w14:paraId="26E2B538">
      <w:pPr>
        <w:pStyle w:val="12"/>
        <w:spacing w:line="360" w:lineRule="auto"/>
        <w:ind w:firstLine="0" w:firstLineChars="0"/>
        <w:rPr>
          <w:rFonts w:ascii="Times New Roman" w:hAnsi="Times New Roman"/>
        </w:rPr>
      </w:pPr>
      <w:r>
        <w:rPr>
          <w:rFonts w:hint="eastAsia" w:ascii="Times New Roman" w:hAnsi="Times New Roman"/>
        </w:rPr>
        <w:t>6.3.1.2 包装用纸阶段</w:t>
      </w:r>
    </w:p>
    <w:p w14:paraId="624EE2DC">
      <w:pPr>
        <w:pStyle w:val="12"/>
        <w:spacing w:line="360" w:lineRule="auto"/>
        <w:ind w:firstLine="0" w:firstLineChars="0"/>
        <w:rPr>
          <w:rFonts w:hint="eastAsia" w:hAnsi="宋体" w:cs="宋体"/>
          <w:szCs w:val="21"/>
        </w:rPr>
      </w:pPr>
      <w:r>
        <w:rPr>
          <w:rFonts w:hint="eastAsia" w:ascii="Times New Roman" w:hAnsi="Times New Roman"/>
        </w:rPr>
        <w:t xml:space="preserve"> 6.3.1.2.1 </w:t>
      </w:r>
      <w:r>
        <w:rPr>
          <w:rFonts w:hint="eastAsia" w:ascii="Times New Roman" w:hAnsi="Times New Roman"/>
          <w:szCs w:val="21"/>
        </w:rPr>
        <w:t>以</w:t>
      </w:r>
      <w:r>
        <w:rPr>
          <w:rFonts w:hAnsi="宋体" w:cs="宋体"/>
          <w:szCs w:val="21"/>
        </w:rPr>
        <w:t>下项目应收集初级数据：</w:t>
      </w:r>
    </w:p>
    <w:p w14:paraId="0761F0A3">
      <w:pPr>
        <w:pStyle w:val="12"/>
        <w:spacing w:line="360" w:lineRule="auto"/>
        <w:rPr>
          <w:rFonts w:hint="eastAsia" w:hAnsi="宋体" w:cs="宋体"/>
          <w:szCs w:val="21"/>
        </w:rPr>
      </w:pPr>
      <w:r>
        <w:rPr>
          <w:rFonts w:hint="eastAsia" w:ascii="Times New Roman" w:hAnsi="Times New Roman"/>
          <w:szCs w:val="21"/>
        </w:rPr>
        <w:t xml:space="preserve">  a）</w:t>
      </w:r>
      <w:r>
        <w:rPr>
          <w:rFonts w:hint="eastAsia" w:hAnsi="宋体" w:cs="宋体"/>
          <w:szCs w:val="21"/>
        </w:rPr>
        <w:t>包装用纸</w:t>
      </w:r>
      <w:r>
        <w:rPr>
          <w:rFonts w:hAnsi="宋体" w:cs="宋体"/>
          <w:szCs w:val="21"/>
        </w:rPr>
        <w:t>生产相关数据，包括：</w:t>
      </w:r>
    </w:p>
    <w:p w14:paraId="5359411B">
      <w:pPr>
        <w:pStyle w:val="12"/>
        <w:spacing w:line="360" w:lineRule="auto"/>
        <w:rPr>
          <w:rFonts w:hint="eastAsia" w:hAnsi="宋体" w:cs="宋体"/>
          <w:szCs w:val="21"/>
        </w:rPr>
      </w:pPr>
      <w:r>
        <w:rPr>
          <w:rFonts w:hAnsi="宋体" w:cs="宋体"/>
          <w:szCs w:val="21"/>
        </w:rPr>
        <w:t xml:space="preserve"> </w:t>
      </w:r>
      <w:r>
        <w:rPr>
          <w:rFonts w:hint="eastAsia" w:ascii="Times New Roman" w:hAnsi="Times New Roman"/>
          <w:szCs w:val="21"/>
        </w:rPr>
        <w:t xml:space="preserve">  1) </w:t>
      </w:r>
      <w:r>
        <w:rPr>
          <w:rFonts w:hint="eastAsia" w:hAnsi="宋体" w:cs="宋体"/>
          <w:szCs w:val="21"/>
        </w:rPr>
        <w:t>原纸、辅助材料的</w:t>
      </w:r>
      <w:r>
        <w:rPr>
          <w:rFonts w:hAnsi="宋体" w:cs="宋体"/>
          <w:szCs w:val="21"/>
        </w:rPr>
        <w:t>投入量；</w:t>
      </w:r>
    </w:p>
    <w:p w14:paraId="222382E0">
      <w:pPr>
        <w:pStyle w:val="12"/>
        <w:spacing w:line="360" w:lineRule="auto"/>
        <w:ind w:firstLine="840" w:firstLineChars="400"/>
        <w:rPr>
          <w:rFonts w:hint="eastAsia" w:hAnsi="宋体" w:cs="宋体"/>
          <w:szCs w:val="21"/>
        </w:rPr>
      </w:pPr>
      <w:r>
        <w:rPr>
          <w:rFonts w:hint="eastAsia" w:ascii="Times New Roman" w:hAnsi="Times New Roman"/>
          <w:szCs w:val="21"/>
        </w:rPr>
        <w:t>2) 电</w:t>
      </w:r>
      <w:r>
        <w:rPr>
          <w:rFonts w:hAnsi="宋体" w:cs="宋体"/>
          <w:szCs w:val="21"/>
        </w:rPr>
        <w:t>力、</w:t>
      </w:r>
      <w:r>
        <w:rPr>
          <w:rFonts w:hint="eastAsia" w:hAnsi="宋体" w:cs="宋体"/>
          <w:szCs w:val="21"/>
        </w:rPr>
        <w:t>石油</w:t>
      </w:r>
      <w:r>
        <w:rPr>
          <w:rFonts w:hAnsi="宋体" w:cs="宋体"/>
          <w:szCs w:val="21"/>
        </w:rPr>
        <w:t>等能源投入量；</w:t>
      </w:r>
    </w:p>
    <w:p w14:paraId="47608B97">
      <w:pPr>
        <w:pStyle w:val="12"/>
        <w:spacing w:line="360" w:lineRule="auto"/>
        <w:ind w:firstLine="840" w:firstLineChars="400"/>
        <w:rPr>
          <w:rFonts w:ascii="Times New Roman" w:hAnsi="Times New Roman"/>
          <w:szCs w:val="21"/>
        </w:rPr>
      </w:pPr>
      <w:r>
        <w:rPr>
          <w:rFonts w:hint="eastAsia" w:ascii="Times New Roman" w:hAnsi="Times New Roman"/>
          <w:szCs w:val="21"/>
        </w:rPr>
        <w:t>3）水消耗量；</w:t>
      </w:r>
    </w:p>
    <w:p w14:paraId="5DD7ECE1">
      <w:pPr>
        <w:pStyle w:val="12"/>
        <w:spacing w:line="360" w:lineRule="auto"/>
        <w:ind w:firstLine="840" w:firstLineChars="400"/>
        <w:rPr>
          <w:rFonts w:ascii="Times New Roman" w:hAnsi="Times New Roman"/>
          <w:szCs w:val="21"/>
        </w:rPr>
      </w:pPr>
      <w:r>
        <w:rPr>
          <w:rFonts w:hint="eastAsia" w:ascii="Times New Roman" w:hAnsi="Times New Roman"/>
          <w:szCs w:val="21"/>
        </w:rPr>
        <w:t>4）废弃物的产生量；</w:t>
      </w:r>
    </w:p>
    <w:p w14:paraId="3FA76973">
      <w:pPr>
        <w:pStyle w:val="12"/>
        <w:spacing w:line="360" w:lineRule="auto"/>
        <w:ind w:firstLine="840" w:firstLineChars="400"/>
        <w:rPr>
          <w:rFonts w:hint="eastAsia" w:hAnsi="宋体" w:cs="宋体"/>
          <w:szCs w:val="21"/>
        </w:rPr>
      </w:pPr>
      <w:r>
        <w:rPr>
          <w:rFonts w:hint="eastAsia" w:ascii="Times New Roman" w:hAnsi="Times New Roman"/>
          <w:szCs w:val="21"/>
        </w:rPr>
        <w:t>5）包装用</w:t>
      </w:r>
      <w:r>
        <w:rPr>
          <w:rFonts w:hint="eastAsia" w:hAnsi="宋体" w:cs="宋体"/>
          <w:szCs w:val="21"/>
        </w:rPr>
        <w:t>纸的</w:t>
      </w:r>
      <w:r>
        <w:rPr>
          <w:rFonts w:hAnsi="宋体" w:cs="宋体"/>
          <w:szCs w:val="21"/>
        </w:rPr>
        <w:t>产出量。</w:t>
      </w:r>
    </w:p>
    <w:p w14:paraId="14854855">
      <w:pPr>
        <w:pStyle w:val="12"/>
        <w:spacing w:line="360" w:lineRule="auto"/>
        <w:ind w:firstLine="210" w:firstLineChars="100"/>
        <w:rPr>
          <w:rFonts w:ascii="Times New Roman" w:hAnsi="Times New Roman"/>
          <w:szCs w:val="21"/>
        </w:rPr>
      </w:pPr>
      <w:r>
        <w:rPr>
          <w:rFonts w:hint="eastAsia" w:ascii="Times New Roman" w:hAnsi="Times New Roman"/>
          <w:szCs w:val="21"/>
        </w:rPr>
        <w:t xml:space="preserve">   b）</w:t>
      </w:r>
      <w:r>
        <w:rPr>
          <w:rFonts w:hint="eastAsia" w:hAnsi="宋体" w:cs="宋体"/>
          <w:szCs w:val="21"/>
        </w:rPr>
        <w:t>包装用纸</w:t>
      </w:r>
      <w:r>
        <w:rPr>
          <w:rFonts w:hAnsi="宋体" w:cs="宋体"/>
          <w:szCs w:val="21"/>
        </w:rPr>
        <w:t>的运输相关项目，包括：</w:t>
      </w:r>
    </w:p>
    <w:p w14:paraId="58349967">
      <w:pPr>
        <w:pStyle w:val="12"/>
        <w:spacing w:line="360" w:lineRule="auto"/>
        <w:ind w:firstLine="840" w:firstLineChars="400"/>
        <w:rPr>
          <w:rFonts w:ascii="Times New Roman" w:hAnsi="Times New Roman"/>
          <w:szCs w:val="21"/>
        </w:rPr>
      </w:pPr>
      <w:r>
        <w:rPr>
          <w:rFonts w:hint="eastAsia" w:ascii="Times New Roman" w:hAnsi="Times New Roman"/>
          <w:szCs w:val="21"/>
        </w:rPr>
        <w:t>1）每种运输方式的运输的数量和重量；</w:t>
      </w:r>
    </w:p>
    <w:p w14:paraId="74EDEAEB">
      <w:pPr>
        <w:pStyle w:val="12"/>
        <w:spacing w:line="360" w:lineRule="auto"/>
        <w:ind w:firstLine="840" w:firstLineChars="400"/>
        <w:rPr>
          <w:rFonts w:ascii="Times New Roman" w:hAnsi="Times New Roman"/>
          <w:szCs w:val="21"/>
        </w:rPr>
      </w:pPr>
      <w:r>
        <w:rPr>
          <w:rFonts w:hint="eastAsia" w:ascii="Times New Roman" w:hAnsi="Times New Roman"/>
          <w:szCs w:val="21"/>
        </w:rPr>
        <w:t>2）每种运输方式的能源消耗量，或其它可计算获得能源消耗量的数据；</w:t>
      </w:r>
    </w:p>
    <w:p w14:paraId="665A25CA">
      <w:pPr>
        <w:pStyle w:val="12"/>
        <w:spacing w:line="360" w:lineRule="auto"/>
        <w:ind w:firstLine="840" w:firstLineChars="400"/>
        <w:rPr>
          <w:rFonts w:hint="eastAsia" w:hAnsi="宋体" w:cs="宋体"/>
          <w:szCs w:val="21"/>
        </w:rPr>
      </w:pPr>
      <w:r>
        <w:rPr>
          <w:rFonts w:hint="eastAsia" w:ascii="Times New Roman" w:hAnsi="Times New Roman"/>
          <w:szCs w:val="21"/>
        </w:rPr>
        <w:t>3）</w:t>
      </w:r>
      <w:r>
        <w:rPr>
          <w:rFonts w:hAnsi="宋体" w:cs="宋体"/>
          <w:szCs w:val="21"/>
        </w:rPr>
        <w:t>每种运输方式的吨公里数。</w:t>
      </w:r>
    </w:p>
    <w:p w14:paraId="2B68B04B">
      <w:pPr>
        <w:pStyle w:val="12"/>
        <w:spacing w:line="360" w:lineRule="auto"/>
        <w:ind w:firstLine="180" w:firstLineChars="100"/>
        <w:rPr>
          <w:rFonts w:hint="eastAsia" w:hAnsi="宋体" w:cs="宋体"/>
          <w:sz w:val="18"/>
          <w:szCs w:val="18"/>
        </w:rPr>
      </w:pPr>
      <w:r>
        <w:rPr>
          <w:rFonts w:hAnsi="宋体" w:cs="宋体"/>
          <w:sz w:val="18"/>
          <w:szCs w:val="18"/>
        </w:rPr>
        <w:t xml:space="preserve"> </w:t>
      </w:r>
      <w:r>
        <w:rPr>
          <w:rFonts w:hAnsi="宋体" w:cs="宋体"/>
          <w:b/>
          <w:bCs/>
          <w:sz w:val="18"/>
          <w:szCs w:val="18"/>
        </w:rPr>
        <w:t>注：</w:t>
      </w:r>
      <w:r>
        <w:rPr>
          <w:rFonts w:hAnsi="宋体" w:cs="宋体"/>
          <w:sz w:val="18"/>
          <w:szCs w:val="18"/>
        </w:rPr>
        <w:t xml:space="preserve">其它可计算获得能源消耗量的数据包括单位距离能源消耗量和运输距离、运输费用和能源单价等。 </w:t>
      </w:r>
    </w:p>
    <w:p w14:paraId="6A3FF506">
      <w:pPr>
        <w:pStyle w:val="12"/>
        <w:spacing w:line="360" w:lineRule="auto"/>
        <w:ind w:firstLine="210" w:firstLineChars="100"/>
        <w:rPr>
          <w:rFonts w:hint="eastAsia" w:hAnsi="宋体" w:cs="宋体"/>
          <w:szCs w:val="21"/>
        </w:rPr>
      </w:pPr>
      <w:r>
        <w:rPr>
          <w:rFonts w:hint="eastAsia" w:ascii="Times New Roman" w:hAnsi="Times New Roman"/>
        </w:rPr>
        <w:t>6.3.1.2.2 以下</w:t>
      </w:r>
      <w:r>
        <w:rPr>
          <w:rFonts w:hAnsi="宋体" w:cs="宋体"/>
          <w:szCs w:val="21"/>
        </w:rPr>
        <w:t>项目可收集次级数据：</w:t>
      </w:r>
    </w:p>
    <w:p w14:paraId="32A7E7D5">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a）</w:t>
      </w:r>
      <w:r>
        <w:rPr>
          <w:rFonts w:hint="eastAsia" w:hAnsi="宋体" w:cs="宋体"/>
          <w:szCs w:val="21"/>
        </w:rPr>
        <w:t>包装用纸</w:t>
      </w:r>
      <w:r>
        <w:rPr>
          <w:rFonts w:hAnsi="宋体" w:cs="宋体"/>
          <w:szCs w:val="21"/>
        </w:rPr>
        <w:t>生产与运输相关的温室气体排放与清除因子；</w:t>
      </w:r>
    </w:p>
    <w:p w14:paraId="6E75AB7F">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b）</w:t>
      </w:r>
      <w:r>
        <w:rPr>
          <w:rFonts w:hint="eastAsia" w:hAnsi="宋体" w:cs="宋体"/>
          <w:szCs w:val="21"/>
        </w:rPr>
        <w:t>包装用纸和辅助材料的</w:t>
      </w:r>
      <w:r>
        <w:rPr>
          <w:rFonts w:hAnsi="宋体" w:cs="宋体"/>
          <w:szCs w:val="21"/>
        </w:rPr>
        <w:t xml:space="preserve">包装材料的生产相关的温室气体排放与清除因子； </w:t>
      </w:r>
    </w:p>
    <w:p w14:paraId="33410E2A">
      <w:pPr>
        <w:pStyle w:val="12"/>
        <w:spacing w:line="360" w:lineRule="auto"/>
        <w:rPr>
          <w:rFonts w:hint="eastAsia" w:hAnsi="宋体" w:cs="宋体"/>
          <w:szCs w:val="21"/>
        </w:rPr>
      </w:pPr>
      <w:r>
        <w:rPr>
          <w:rFonts w:hAnsi="宋体" w:cs="宋体"/>
          <w:szCs w:val="21"/>
        </w:rPr>
        <w:t>c）</w:t>
      </w:r>
      <w:r>
        <w:rPr>
          <w:rFonts w:hint="eastAsia" w:hAnsi="宋体" w:cs="宋体"/>
          <w:szCs w:val="21"/>
        </w:rPr>
        <w:t>辅助材料</w:t>
      </w:r>
      <w:r>
        <w:rPr>
          <w:rFonts w:hAnsi="宋体" w:cs="宋体"/>
          <w:szCs w:val="21"/>
        </w:rPr>
        <w:t xml:space="preserve">的生产与运输相关的温室气体排放与清除因子； </w:t>
      </w:r>
    </w:p>
    <w:p w14:paraId="61C931CE">
      <w:pPr>
        <w:pStyle w:val="12"/>
        <w:spacing w:line="360" w:lineRule="auto"/>
        <w:rPr>
          <w:rFonts w:hint="eastAsia" w:hAnsi="宋体" w:cs="宋体"/>
          <w:szCs w:val="21"/>
        </w:rPr>
      </w:pPr>
      <w:r>
        <w:rPr>
          <w:rFonts w:hAnsi="宋体" w:cs="宋体"/>
          <w:szCs w:val="21"/>
        </w:rPr>
        <w:t>d）能源、水的开采生产、消耗与输送相关的温室气体排放与清除因子；</w:t>
      </w:r>
    </w:p>
    <w:p w14:paraId="7E888FC9">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 xml:space="preserve">e）废弃物处理相关的温室气体排放与清除因子。 </w:t>
      </w:r>
    </w:p>
    <w:p w14:paraId="58011E0F">
      <w:pPr>
        <w:pStyle w:val="12"/>
        <w:spacing w:line="360" w:lineRule="auto"/>
        <w:ind w:firstLine="0" w:firstLineChars="0"/>
        <w:rPr>
          <w:rFonts w:ascii="Times New Roman" w:hAnsi="Times New Roman"/>
        </w:rPr>
      </w:pPr>
      <w:r>
        <w:rPr>
          <w:rFonts w:hint="eastAsia" w:ascii="Times New Roman" w:hAnsi="Times New Roman"/>
        </w:rPr>
        <w:t>6.3.1.3 加工阶段</w:t>
      </w:r>
    </w:p>
    <w:p w14:paraId="3DEB1205">
      <w:pPr>
        <w:pStyle w:val="12"/>
        <w:spacing w:line="360" w:lineRule="auto"/>
        <w:ind w:firstLine="0" w:firstLineChars="0"/>
        <w:rPr>
          <w:rFonts w:hint="eastAsia" w:hAnsi="宋体" w:cs="宋体"/>
          <w:sz w:val="24"/>
          <w:szCs w:val="24"/>
        </w:rPr>
      </w:pPr>
      <w:r>
        <w:rPr>
          <w:rFonts w:hint="eastAsia" w:ascii="Times New Roman" w:hAnsi="Times New Roman"/>
        </w:rPr>
        <w:t>6.3.1.3.1 以下项目应收集初级数据</w:t>
      </w:r>
      <w:r>
        <w:rPr>
          <w:rFonts w:hAnsi="宋体" w:cs="宋体"/>
          <w:sz w:val="24"/>
          <w:szCs w:val="24"/>
        </w:rPr>
        <w:t>：</w:t>
      </w:r>
    </w:p>
    <w:p w14:paraId="7E1F2B38">
      <w:pPr>
        <w:pStyle w:val="12"/>
        <w:spacing w:line="360" w:lineRule="auto"/>
        <w:ind w:firstLine="0" w:firstLineChars="0"/>
        <w:rPr>
          <w:rFonts w:hint="eastAsia" w:hAnsi="宋体" w:cs="宋体"/>
          <w:szCs w:val="21"/>
        </w:rPr>
      </w:pPr>
      <w:r>
        <w:rPr>
          <w:rFonts w:hAnsi="宋体" w:cs="宋体"/>
          <w:sz w:val="24"/>
          <w:szCs w:val="24"/>
        </w:rPr>
        <w:t xml:space="preserve"> </w:t>
      </w:r>
      <w:r>
        <w:rPr>
          <w:rFonts w:hint="eastAsia" w:hAnsi="宋体" w:cs="宋体"/>
          <w:sz w:val="24"/>
          <w:szCs w:val="24"/>
        </w:rPr>
        <w:t xml:space="preserve">    </w:t>
      </w:r>
      <w:r>
        <w:rPr>
          <w:rFonts w:hAnsi="宋体" w:cs="宋体"/>
          <w:szCs w:val="21"/>
        </w:rPr>
        <w:t>a）</w:t>
      </w:r>
      <w:r>
        <w:rPr>
          <w:rFonts w:hint="eastAsia" w:hAnsi="宋体" w:cs="宋体"/>
          <w:szCs w:val="21"/>
        </w:rPr>
        <w:t>包装用纸</w:t>
      </w:r>
      <w:r>
        <w:rPr>
          <w:rFonts w:hAnsi="宋体" w:cs="宋体"/>
          <w:szCs w:val="21"/>
        </w:rPr>
        <w:t>的投入量；</w:t>
      </w:r>
    </w:p>
    <w:p w14:paraId="0CCA08A5">
      <w:pPr>
        <w:pStyle w:val="12"/>
        <w:spacing w:line="360" w:lineRule="auto"/>
        <w:ind w:firstLine="630" w:firstLineChars="300"/>
        <w:rPr>
          <w:rFonts w:hint="eastAsia" w:hAnsi="宋体" w:cs="宋体"/>
          <w:szCs w:val="21"/>
        </w:rPr>
      </w:pPr>
      <w:r>
        <w:rPr>
          <w:rFonts w:hAnsi="宋体" w:cs="宋体"/>
          <w:szCs w:val="21"/>
        </w:rPr>
        <w:t>b）电力、</w:t>
      </w:r>
      <w:r>
        <w:rPr>
          <w:rFonts w:hint="eastAsia" w:hAnsi="宋体" w:cs="宋体"/>
          <w:szCs w:val="21"/>
        </w:rPr>
        <w:t>石油</w:t>
      </w:r>
      <w:r>
        <w:rPr>
          <w:rFonts w:hAnsi="宋体" w:cs="宋体"/>
          <w:szCs w:val="21"/>
        </w:rPr>
        <w:t xml:space="preserve">等能源投入量； </w:t>
      </w:r>
    </w:p>
    <w:p w14:paraId="3DBA5AD0">
      <w:pPr>
        <w:pStyle w:val="12"/>
        <w:spacing w:line="360" w:lineRule="auto"/>
        <w:ind w:firstLine="630" w:firstLineChars="300"/>
        <w:rPr>
          <w:rFonts w:hint="eastAsia" w:hAnsi="宋体" w:cs="宋体"/>
          <w:szCs w:val="21"/>
        </w:rPr>
      </w:pPr>
      <w:r>
        <w:rPr>
          <w:rFonts w:hAnsi="宋体" w:cs="宋体"/>
          <w:szCs w:val="21"/>
        </w:rPr>
        <w:t>c）水消耗量；</w:t>
      </w:r>
    </w:p>
    <w:p w14:paraId="313AB23C">
      <w:pPr>
        <w:pStyle w:val="12"/>
        <w:spacing w:line="360" w:lineRule="auto"/>
        <w:ind w:firstLine="0" w:firstLineChars="0"/>
        <w:rPr>
          <w:rFonts w:hint="eastAsia" w:hAnsi="宋体" w:cs="宋体"/>
          <w:sz w:val="24"/>
          <w:szCs w:val="24"/>
        </w:rPr>
      </w:pPr>
      <w:r>
        <w:rPr>
          <w:rFonts w:hAnsi="宋体" w:cs="宋体"/>
          <w:szCs w:val="21"/>
        </w:rPr>
        <w:t xml:space="preserve"> </w:t>
      </w:r>
      <w:r>
        <w:rPr>
          <w:rFonts w:hint="eastAsia" w:hAnsi="宋体" w:cs="宋体"/>
          <w:szCs w:val="21"/>
        </w:rPr>
        <w:t xml:space="preserve">     </w:t>
      </w:r>
      <w:r>
        <w:rPr>
          <w:rFonts w:hAnsi="宋体" w:cs="宋体"/>
          <w:szCs w:val="21"/>
        </w:rPr>
        <w:t>d）废弃物产生量</w:t>
      </w:r>
      <w:r>
        <w:rPr>
          <w:rFonts w:hAnsi="宋体" w:cs="宋体"/>
          <w:sz w:val="24"/>
          <w:szCs w:val="24"/>
        </w:rPr>
        <w:t>。</w:t>
      </w:r>
    </w:p>
    <w:p w14:paraId="33D46504">
      <w:pPr>
        <w:pStyle w:val="12"/>
        <w:spacing w:line="360" w:lineRule="auto"/>
        <w:ind w:firstLine="0" w:firstLineChars="0"/>
        <w:rPr>
          <w:rFonts w:hint="eastAsia" w:hAnsi="宋体" w:cs="宋体"/>
          <w:sz w:val="24"/>
          <w:szCs w:val="24"/>
        </w:rPr>
      </w:pPr>
      <w:r>
        <w:rPr>
          <w:rFonts w:hint="eastAsia" w:ascii="Times New Roman" w:hAnsi="Times New Roman"/>
        </w:rPr>
        <w:t xml:space="preserve"> 6.3.1.3.2 以下项目</w:t>
      </w:r>
      <w:r>
        <w:rPr>
          <w:rFonts w:hAnsi="宋体" w:cs="宋体"/>
          <w:sz w:val="24"/>
          <w:szCs w:val="24"/>
        </w:rPr>
        <w:t>可收集次级数据：</w:t>
      </w:r>
    </w:p>
    <w:p w14:paraId="76340D49">
      <w:pPr>
        <w:pStyle w:val="12"/>
        <w:spacing w:line="360" w:lineRule="auto"/>
        <w:rPr>
          <w:rFonts w:hint="eastAsia" w:hAnsi="宋体" w:cs="宋体"/>
          <w:szCs w:val="21"/>
        </w:rPr>
      </w:pPr>
      <w:r>
        <w:rPr>
          <w:rFonts w:hAnsi="宋体" w:cs="宋体"/>
          <w:szCs w:val="21"/>
        </w:rPr>
        <w:t xml:space="preserve"> a）能源、水消耗相关的温室气体排放与清除因子；</w:t>
      </w:r>
    </w:p>
    <w:p w14:paraId="45EEAA9F">
      <w:pPr>
        <w:pStyle w:val="12"/>
        <w:spacing w:line="360" w:lineRule="auto"/>
        <w:rPr>
          <w:rFonts w:hint="eastAsia" w:hAnsi="宋体" w:cs="宋体"/>
          <w:szCs w:val="21"/>
        </w:rPr>
      </w:pPr>
      <w:r>
        <w:rPr>
          <w:rFonts w:hAnsi="宋体" w:cs="宋体"/>
          <w:szCs w:val="21"/>
        </w:rPr>
        <w:t xml:space="preserve"> b）废弃物处理相关的温室气体排放与清除因子</w:t>
      </w:r>
      <w:r>
        <w:rPr>
          <w:rFonts w:hint="eastAsia" w:hAnsi="宋体" w:cs="宋体"/>
          <w:szCs w:val="21"/>
        </w:rPr>
        <w:t>；</w:t>
      </w:r>
    </w:p>
    <w:p w14:paraId="70146E66">
      <w:pPr>
        <w:pStyle w:val="12"/>
        <w:spacing w:line="360" w:lineRule="auto"/>
        <w:ind w:firstLine="630" w:firstLineChars="300"/>
        <w:rPr>
          <w:rFonts w:hint="eastAsia" w:hAnsi="宋体" w:cs="宋体"/>
          <w:szCs w:val="21"/>
        </w:rPr>
      </w:pPr>
      <w:r>
        <w:rPr>
          <w:rFonts w:hAnsi="宋体" w:cs="宋体"/>
          <w:szCs w:val="21"/>
        </w:rPr>
        <w:t>c）</w:t>
      </w:r>
      <w:r>
        <w:rPr>
          <w:rFonts w:hint="eastAsia" w:hAnsi="宋体" w:cs="宋体"/>
          <w:szCs w:val="21"/>
        </w:rPr>
        <w:t>运输相关的温室气体排放与清楚因子。</w:t>
      </w:r>
    </w:p>
    <w:p w14:paraId="5ADC3AAF">
      <w:pPr>
        <w:pStyle w:val="12"/>
        <w:spacing w:line="360" w:lineRule="auto"/>
        <w:ind w:firstLine="0" w:firstLineChars="0"/>
        <w:rPr>
          <w:rFonts w:ascii="Times New Roman" w:hAnsi="Times New Roman"/>
        </w:rPr>
      </w:pPr>
      <w:r>
        <w:rPr>
          <w:rFonts w:hint="eastAsia" w:ascii="Times New Roman" w:hAnsi="Times New Roman"/>
        </w:rPr>
        <w:t xml:space="preserve"> 6.3.1.4 使用阶段</w:t>
      </w:r>
    </w:p>
    <w:p w14:paraId="4DC440B0">
      <w:pPr>
        <w:pStyle w:val="12"/>
        <w:spacing w:line="360" w:lineRule="auto"/>
        <w:rPr>
          <w:rFonts w:hint="eastAsia" w:hAnsi="宋体" w:cs="宋体"/>
          <w:sz w:val="24"/>
          <w:szCs w:val="24"/>
        </w:rPr>
      </w:pPr>
      <w:r>
        <w:rPr>
          <w:rFonts w:hAnsi="宋体" w:cs="宋体"/>
          <w:szCs w:val="21"/>
        </w:rPr>
        <w:t>本阶段可不收集初级数据。</w:t>
      </w:r>
    </w:p>
    <w:p w14:paraId="7CF2761A">
      <w:pPr>
        <w:pStyle w:val="12"/>
        <w:spacing w:line="360" w:lineRule="auto"/>
        <w:ind w:firstLine="0" w:firstLineChars="0"/>
        <w:rPr>
          <w:rFonts w:ascii="Times New Roman" w:hAnsi="Times New Roman"/>
        </w:rPr>
      </w:pPr>
      <w:r>
        <w:rPr>
          <w:rFonts w:hint="eastAsia" w:ascii="Times New Roman" w:hAnsi="Times New Roman"/>
        </w:rPr>
        <w:t>6.3.1.5 后处理阶段</w:t>
      </w:r>
    </w:p>
    <w:p w14:paraId="7CA9BF4C">
      <w:pPr>
        <w:pStyle w:val="12"/>
        <w:spacing w:line="360" w:lineRule="auto"/>
        <w:ind w:firstLine="0" w:firstLineChars="0"/>
        <w:rPr>
          <w:rFonts w:ascii="Times New Roman" w:hAnsi="Times New Roman"/>
        </w:rPr>
      </w:pPr>
      <w:r>
        <w:rPr>
          <w:rFonts w:hint="eastAsia" w:ascii="Times New Roman" w:hAnsi="Times New Roman"/>
        </w:rPr>
        <w:t>6.3.1.5.1 本阶段可不收集初级数据。</w:t>
      </w:r>
    </w:p>
    <w:p w14:paraId="171CD08E">
      <w:pPr>
        <w:pStyle w:val="12"/>
        <w:spacing w:line="360" w:lineRule="auto"/>
        <w:ind w:firstLine="0" w:firstLineChars="0"/>
        <w:rPr>
          <w:rFonts w:ascii="Times New Roman" w:hAnsi="Times New Roman"/>
        </w:rPr>
      </w:pPr>
      <w:r>
        <w:rPr>
          <w:rFonts w:hint="eastAsia" w:ascii="Times New Roman" w:hAnsi="Times New Roman"/>
        </w:rPr>
        <w:t>6.3.1.5.2 以下项目可收集次级数据：</w:t>
      </w:r>
    </w:p>
    <w:p w14:paraId="47799A7F">
      <w:pPr>
        <w:pStyle w:val="12"/>
        <w:spacing w:line="360" w:lineRule="auto"/>
        <w:ind w:firstLine="0" w:firstLineChars="0"/>
        <w:rPr>
          <w:rFonts w:ascii="Times New Roman" w:hAnsi="Times New Roman"/>
        </w:rPr>
      </w:pPr>
      <w:r>
        <w:rPr>
          <w:rFonts w:hint="eastAsia" w:ascii="Times New Roman" w:hAnsi="Times New Roman"/>
        </w:rPr>
        <w:t xml:space="preserve">   a）纸包装的废弃处理方式、回收量、焚烧量和填埋量；</w:t>
      </w:r>
    </w:p>
    <w:p w14:paraId="1F28DBD8">
      <w:pPr>
        <w:pStyle w:val="12"/>
        <w:spacing w:line="360" w:lineRule="auto"/>
        <w:ind w:firstLine="0" w:firstLineChars="0"/>
        <w:rPr>
          <w:rFonts w:ascii="Times New Roman" w:hAnsi="Times New Roman"/>
        </w:rPr>
      </w:pPr>
      <w:r>
        <w:rPr>
          <w:rFonts w:hint="eastAsia" w:ascii="Times New Roman" w:hAnsi="Times New Roman"/>
        </w:rPr>
        <w:t xml:space="preserve">   b）废弃物处理相关的温室气体排放与清除因子；</w:t>
      </w:r>
    </w:p>
    <w:p w14:paraId="7D86C1E9">
      <w:pPr>
        <w:pStyle w:val="12"/>
        <w:spacing w:line="360" w:lineRule="auto"/>
        <w:rPr>
          <w:rFonts w:ascii="Times New Roman" w:hAnsi="Times New Roman"/>
        </w:rPr>
      </w:pPr>
      <w:r>
        <w:rPr>
          <w:rFonts w:hint="eastAsia" w:ascii="Times New Roman" w:hAnsi="Times New Roman"/>
        </w:rPr>
        <w:t>c）燃料、电力等能源、资源消耗相关的温室气体排放与清除因子。</w:t>
      </w:r>
    </w:p>
    <w:p w14:paraId="35C9FCAF">
      <w:pPr>
        <w:pStyle w:val="12"/>
        <w:spacing w:line="360" w:lineRule="auto"/>
        <w:ind w:firstLine="0" w:firstLineChars="0"/>
        <w:rPr>
          <w:rFonts w:hint="eastAsia" w:hAnsi="宋体" w:cs="宋体"/>
          <w:sz w:val="18"/>
          <w:szCs w:val="18"/>
        </w:rPr>
      </w:pPr>
      <w:r>
        <w:rPr>
          <w:rFonts w:hint="eastAsia" w:ascii="Times New Roman" w:hAnsi="Times New Roman" w:eastAsia="宋体" w:cs="Times New Roman"/>
        </w:rPr>
        <w:t>6.3</w:t>
      </w:r>
      <w:r>
        <w:rPr>
          <w:rFonts w:hint="eastAsia" w:ascii="Times New Roman" w:hAnsi="Times New Roman" w:eastAsia="宋体" w:cs="Times New Roman"/>
          <w:lang w:val="en-US" w:eastAsia="zh-CN"/>
        </w:rPr>
        <w:t>.1</w:t>
      </w:r>
      <w:r>
        <w:rPr>
          <w:rFonts w:hint="eastAsia" w:ascii="Times New Roman" w:hAnsi="Times New Roman" w:eastAsia="宋体" w:cs="Times New Roman"/>
        </w:rPr>
        <w:t xml:space="preserve">.5.3  </w:t>
      </w:r>
      <w:r>
        <w:rPr>
          <w:rFonts w:hint="eastAsia" w:ascii="Times New Roman" w:hAnsi="Times New Roman"/>
        </w:rPr>
        <w:t>纸包装废弃后运送至处理设施的运输以及纸包装的回收率、焚烧率、填埋率，可使用国家、行业或消费者行为调查的统计资料。当无法取得前述数据时，可进行情景假设。运输距离宜考虑现有资源处 置和回收体系。废弃物处理过程宜考虑产品废弃地的实际情况</w:t>
      </w:r>
      <w:r>
        <w:rPr>
          <w:rFonts w:hAnsi="宋体" w:cs="宋体"/>
          <w:sz w:val="24"/>
          <w:szCs w:val="24"/>
        </w:rPr>
        <w:t>。</w:t>
      </w:r>
    </w:p>
    <w:p w14:paraId="20EF94ED">
      <w:pPr>
        <w:pStyle w:val="12"/>
        <w:spacing w:line="360" w:lineRule="auto"/>
        <w:ind w:firstLine="0" w:firstLineChars="0"/>
        <w:rPr>
          <w:rFonts w:ascii="Times New Roman" w:hAnsi="Times New Roman"/>
        </w:rPr>
      </w:pPr>
      <w:r>
        <w:rPr>
          <w:rFonts w:hint="eastAsia" w:ascii="Times New Roman" w:hAnsi="Times New Roman"/>
        </w:rPr>
        <w:t>6.3.2  纸浆模塑包装</w:t>
      </w:r>
    </w:p>
    <w:p w14:paraId="2231094A">
      <w:pPr>
        <w:pStyle w:val="12"/>
        <w:spacing w:line="360" w:lineRule="auto"/>
        <w:ind w:firstLine="0" w:firstLineChars="0"/>
        <w:rPr>
          <w:rFonts w:ascii="Times New Roman" w:hAnsi="Times New Roman"/>
        </w:rPr>
      </w:pPr>
      <w:r>
        <w:rPr>
          <w:rFonts w:hint="eastAsia" w:ascii="Times New Roman" w:hAnsi="Times New Roman"/>
        </w:rPr>
        <w:t>6.3.2.1 纸浆板阶段</w:t>
      </w:r>
    </w:p>
    <w:p w14:paraId="4E3E1068">
      <w:pPr>
        <w:pStyle w:val="12"/>
        <w:spacing w:line="360" w:lineRule="auto"/>
        <w:ind w:firstLine="0" w:firstLineChars="0"/>
        <w:rPr>
          <w:rFonts w:ascii="Times New Roman" w:hAnsi="Times New Roman"/>
        </w:rPr>
      </w:pPr>
      <w:r>
        <w:rPr>
          <w:rFonts w:hint="eastAsia" w:ascii="Times New Roman" w:hAnsi="Times New Roman"/>
        </w:rPr>
        <w:t xml:space="preserve">6.3.2.1.1 以下项目应收集初级数据： </w:t>
      </w:r>
    </w:p>
    <w:p w14:paraId="3E084C49">
      <w:pPr>
        <w:pStyle w:val="12"/>
        <w:spacing w:line="360" w:lineRule="auto"/>
        <w:rPr>
          <w:rFonts w:ascii="Times New Roman" w:hAnsi="Times New Roman"/>
        </w:rPr>
      </w:pPr>
      <w:r>
        <w:rPr>
          <w:rFonts w:hint="eastAsia" w:ascii="Times New Roman" w:hAnsi="Times New Roman"/>
        </w:rPr>
        <w:t>a） 纸浆板生产相关数据，包括：</w:t>
      </w:r>
    </w:p>
    <w:p w14:paraId="5F635293">
      <w:pPr>
        <w:pStyle w:val="12"/>
        <w:spacing w:line="360" w:lineRule="auto"/>
        <w:ind w:firstLine="0" w:firstLineChars="0"/>
        <w:rPr>
          <w:rFonts w:ascii="Times New Roman" w:hAnsi="Times New Roman"/>
        </w:rPr>
      </w:pPr>
      <w:r>
        <w:rPr>
          <w:rFonts w:hint="eastAsia" w:ascii="Times New Roman" w:hAnsi="Times New Roman"/>
        </w:rPr>
        <w:t xml:space="preserve">       1）纤维素、辅助材料的投入量；</w:t>
      </w:r>
    </w:p>
    <w:p w14:paraId="0063CB3D">
      <w:pPr>
        <w:pStyle w:val="12"/>
        <w:spacing w:line="360" w:lineRule="auto"/>
        <w:ind w:firstLine="840" w:firstLineChars="400"/>
        <w:rPr>
          <w:rFonts w:ascii="Times New Roman" w:hAnsi="Times New Roman"/>
        </w:rPr>
      </w:pPr>
      <w:r>
        <w:rPr>
          <w:rFonts w:hint="eastAsia" w:ascii="Times New Roman" w:hAnsi="Times New Roman"/>
        </w:rPr>
        <w:t>2）电力、石油等能源投入量；</w:t>
      </w:r>
    </w:p>
    <w:p w14:paraId="0F78A3FA">
      <w:pPr>
        <w:pStyle w:val="12"/>
        <w:spacing w:line="360" w:lineRule="auto"/>
        <w:ind w:firstLine="840" w:firstLineChars="400"/>
        <w:rPr>
          <w:rFonts w:ascii="Times New Roman" w:hAnsi="Times New Roman"/>
        </w:rPr>
      </w:pPr>
      <w:r>
        <w:rPr>
          <w:rFonts w:hint="eastAsia" w:ascii="Times New Roman" w:hAnsi="Times New Roman"/>
        </w:rPr>
        <w:t>3）水消耗量；</w:t>
      </w:r>
    </w:p>
    <w:p w14:paraId="223765DF">
      <w:pPr>
        <w:pStyle w:val="12"/>
        <w:spacing w:line="360" w:lineRule="auto"/>
        <w:ind w:firstLine="840" w:firstLineChars="400"/>
        <w:rPr>
          <w:rFonts w:ascii="Times New Roman" w:hAnsi="Times New Roman"/>
        </w:rPr>
      </w:pPr>
      <w:r>
        <w:rPr>
          <w:rFonts w:hint="eastAsia" w:ascii="Times New Roman" w:hAnsi="Times New Roman"/>
        </w:rPr>
        <w:t>4）废弃物的产生量；</w:t>
      </w:r>
    </w:p>
    <w:p w14:paraId="424BD8C3">
      <w:pPr>
        <w:pStyle w:val="12"/>
        <w:spacing w:line="360" w:lineRule="auto"/>
        <w:ind w:firstLine="840" w:firstLineChars="400"/>
        <w:rPr>
          <w:rFonts w:ascii="Times New Roman" w:hAnsi="Times New Roman"/>
        </w:rPr>
      </w:pPr>
      <w:r>
        <w:rPr>
          <w:rFonts w:hint="eastAsia" w:ascii="Times New Roman" w:hAnsi="Times New Roman"/>
        </w:rPr>
        <w:t>5）原纸的产出量。</w:t>
      </w:r>
    </w:p>
    <w:p w14:paraId="72C77818">
      <w:pPr>
        <w:pStyle w:val="12"/>
        <w:spacing w:line="360" w:lineRule="auto"/>
        <w:ind w:firstLine="0" w:firstLineChars="0"/>
        <w:rPr>
          <w:rFonts w:ascii="Times New Roman" w:hAnsi="Times New Roman"/>
        </w:rPr>
      </w:pPr>
      <w:r>
        <w:rPr>
          <w:rFonts w:hint="eastAsia" w:ascii="Times New Roman" w:hAnsi="Times New Roman"/>
        </w:rPr>
        <w:t xml:space="preserve">    b） 纸浆板的运输相关项目，包括：</w:t>
      </w:r>
    </w:p>
    <w:p w14:paraId="695726F4">
      <w:pPr>
        <w:pStyle w:val="12"/>
        <w:spacing w:line="360" w:lineRule="auto"/>
        <w:ind w:firstLine="0" w:firstLineChars="0"/>
        <w:rPr>
          <w:rFonts w:ascii="Times New Roman" w:hAnsi="Times New Roman"/>
        </w:rPr>
      </w:pPr>
      <w:r>
        <w:rPr>
          <w:rFonts w:hint="eastAsia" w:ascii="Times New Roman" w:hAnsi="Times New Roman"/>
        </w:rPr>
        <w:t xml:space="preserve">       1） 每种运输方式的运输的数量和重量；</w:t>
      </w:r>
    </w:p>
    <w:p w14:paraId="4F7E50C1">
      <w:pPr>
        <w:pStyle w:val="12"/>
        <w:spacing w:line="360" w:lineRule="auto"/>
        <w:ind w:firstLine="840" w:firstLineChars="400"/>
        <w:rPr>
          <w:rFonts w:ascii="Times New Roman" w:hAnsi="Times New Roman"/>
        </w:rPr>
      </w:pPr>
      <w:r>
        <w:rPr>
          <w:rFonts w:hint="eastAsia" w:ascii="Times New Roman" w:hAnsi="Times New Roman"/>
        </w:rPr>
        <w:t>2） 每种运输方式的能源消耗量，或其它可计算获得能源消耗量的数据；</w:t>
      </w:r>
    </w:p>
    <w:p w14:paraId="3BECEE74">
      <w:pPr>
        <w:pStyle w:val="12"/>
        <w:spacing w:line="360" w:lineRule="auto"/>
        <w:ind w:firstLine="840" w:firstLineChars="400"/>
        <w:rPr>
          <w:rFonts w:ascii="Times New Roman" w:hAnsi="Times New Roman"/>
        </w:rPr>
      </w:pPr>
      <w:r>
        <w:rPr>
          <w:rFonts w:hint="eastAsia" w:ascii="Times New Roman" w:hAnsi="Times New Roman"/>
        </w:rPr>
        <w:t>3） 每种运输方式的吨公里数。</w:t>
      </w:r>
    </w:p>
    <w:p w14:paraId="0B84B907">
      <w:pPr>
        <w:pStyle w:val="12"/>
        <w:spacing w:line="360" w:lineRule="auto"/>
        <w:ind w:firstLine="180" w:firstLineChars="100"/>
        <w:rPr>
          <w:rFonts w:hint="eastAsia" w:hAnsi="宋体" w:cs="宋体"/>
          <w:sz w:val="18"/>
          <w:szCs w:val="18"/>
        </w:rPr>
      </w:pPr>
      <w:r>
        <w:rPr>
          <w:rFonts w:hAnsi="宋体" w:cs="宋体"/>
          <w:sz w:val="18"/>
          <w:szCs w:val="18"/>
        </w:rPr>
        <w:t xml:space="preserve"> </w:t>
      </w:r>
      <w:r>
        <w:rPr>
          <w:rFonts w:hAnsi="宋体" w:cs="宋体"/>
          <w:b/>
          <w:bCs/>
          <w:sz w:val="18"/>
          <w:szCs w:val="18"/>
        </w:rPr>
        <w:t>注</w:t>
      </w:r>
      <w:r>
        <w:rPr>
          <w:rFonts w:hAnsi="宋体" w:cs="宋体"/>
          <w:sz w:val="18"/>
          <w:szCs w:val="18"/>
        </w:rPr>
        <w:t xml:space="preserve">：其它可计算获得能源消耗量的数据包括单位距离能源消耗量和运输距离、运输费用和能源单价等。 </w:t>
      </w:r>
    </w:p>
    <w:p w14:paraId="7DBAEFB2">
      <w:pPr>
        <w:pStyle w:val="12"/>
        <w:spacing w:line="360" w:lineRule="auto"/>
        <w:ind w:firstLine="0" w:firstLineChars="0"/>
        <w:rPr>
          <w:rFonts w:ascii="Times New Roman" w:hAnsi="Times New Roman"/>
        </w:rPr>
      </w:pPr>
      <w:r>
        <w:rPr>
          <w:rFonts w:hint="eastAsia" w:ascii="Times New Roman" w:hAnsi="Times New Roman"/>
        </w:rPr>
        <w:t>6.3.2.1.2 以下项目可收集次级数据：</w:t>
      </w:r>
    </w:p>
    <w:p w14:paraId="078A7BAD">
      <w:pPr>
        <w:pStyle w:val="12"/>
        <w:spacing w:line="360" w:lineRule="auto"/>
        <w:ind w:firstLine="240" w:firstLineChars="100"/>
        <w:rPr>
          <w:rFonts w:hint="eastAsia" w:hAnsi="宋体" w:cs="宋体"/>
          <w:szCs w:val="21"/>
        </w:rPr>
      </w:pPr>
      <w:r>
        <w:rPr>
          <w:rFonts w:hAnsi="宋体" w:cs="宋体"/>
          <w:sz w:val="24"/>
          <w:szCs w:val="24"/>
        </w:rPr>
        <w:t xml:space="preserve"> </w:t>
      </w:r>
      <w:r>
        <w:rPr>
          <w:rFonts w:hint="eastAsia" w:hAnsi="宋体" w:cs="宋体"/>
          <w:szCs w:val="21"/>
        </w:rPr>
        <w:t xml:space="preserve"> </w:t>
      </w:r>
      <w:r>
        <w:rPr>
          <w:rFonts w:hAnsi="宋体" w:cs="宋体"/>
          <w:szCs w:val="21"/>
        </w:rPr>
        <w:t>a）</w:t>
      </w:r>
      <w:r>
        <w:rPr>
          <w:rFonts w:hint="eastAsia" w:hAnsi="宋体" w:cs="宋体"/>
          <w:szCs w:val="21"/>
        </w:rPr>
        <w:t>纸浆板</w:t>
      </w:r>
      <w:r>
        <w:rPr>
          <w:rFonts w:hAnsi="宋体" w:cs="宋体"/>
          <w:szCs w:val="21"/>
        </w:rPr>
        <w:t>生产与运输相关的温室气体排放与清除因子；</w:t>
      </w:r>
    </w:p>
    <w:p w14:paraId="66B740A3">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b）</w:t>
      </w:r>
      <w:r>
        <w:rPr>
          <w:rFonts w:hint="eastAsia" w:hAnsi="宋体" w:cs="宋体"/>
          <w:szCs w:val="21"/>
        </w:rPr>
        <w:t>纸浆板和辅助材料的</w:t>
      </w:r>
      <w:r>
        <w:rPr>
          <w:rFonts w:hAnsi="宋体" w:cs="宋体"/>
          <w:szCs w:val="21"/>
        </w:rPr>
        <w:t xml:space="preserve">包装材料的生产相关的温室气体排放与清除因子； </w:t>
      </w:r>
    </w:p>
    <w:p w14:paraId="1F378E2D">
      <w:pPr>
        <w:pStyle w:val="12"/>
        <w:spacing w:line="360" w:lineRule="auto"/>
        <w:ind w:left="479" w:leftChars="228" w:firstLine="0" w:firstLineChars="0"/>
        <w:rPr>
          <w:rFonts w:hint="eastAsia" w:hAnsi="宋体" w:cs="宋体"/>
          <w:szCs w:val="21"/>
        </w:rPr>
      </w:pPr>
      <w:r>
        <w:rPr>
          <w:rFonts w:hAnsi="宋体" w:cs="宋体"/>
          <w:szCs w:val="21"/>
        </w:rPr>
        <w:t>c）</w:t>
      </w:r>
      <w:r>
        <w:rPr>
          <w:rFonts w:hint="eastAsia" w:hAnsi="宋体" w:cs="宋体"/>
          <w:szCs w:val="21"/>
        </w:rPr>
        <w:t>辅助材料</w:t>
      </w:r>
      <w:r>
        <w:rPr>
          <w:rFonts w:hAnsi="宋体" w:cs="宋体"/>
          <w:szCs w:val="21"/>
        </w:rPr>
        <w:t xml:space="preserve">的生产与运输相关的温室气体排放与清除因子； </w:t>
      </w:r>
    </w:p>
    <w:p w14:paraId="31560979">
      <w:pPr>
        <w:pStyle w:val="12"/>
        <w:spacing w:line="360" w:lineRule="auto"/>
        <w:ind w:left="479" w:leftChars="228" w:firstLine="0" w:firstLineChars="0"/>
        <w:rPr>
          <w:rFonts w:hint="eastAsia" w:hAnsi="宋体" w:cs="宋体"/>
          <w:szCs w:val="21"/>
        </w:rPr>
      </w:pPr>
      <w:r>
        <w:rPr>
          <w:rFonts w:hAnsi="宋体" w:cs="宋体"/>
          <w:szCs w:val="21"/>
        </w:rPr>
        <w:t>d）能源、水的开采生产、消耗与输送相关的温室气体排放与清除因子；</w:t>
      </w:r>
    </w:p>
    <w:p w14:paraId="4CB6387B">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 xml:space="preserve">e）废弃物处理相关的温室气体排放与清除因子。 </w:t>
      </w:r>
    </w:p>
    <w:p w14:paraId="05A19224">
      <w:pPr>
        <w:pStyle w:val="12"/>
        <w:spacing w:line="360" w:lineRule="auto"/>
        <w:ind w:firstLine="0" w:firstLineChars="0"/>
        <w:rPr>
          <w:rFonts w:ascii="Times New Roman" w:hAnsi="Times New Roman"/>
        </w:rPr>
      </w:pPr>
      <w:r>
        <w:rPr>
          <w:rFonts w:hint="eastAsia" w:ascii="Times New Roman" w:hAnsi="Times New Roman"/>
        </w:rPr>
        <w:t>6.3.2.2 纸浆模塑包装生产阶段</w:t>
      </w:r>
    </w:p>
    <w:p w14:paraId="22701F2F">
      <w:pPr>
        <w:pStyle w:val="12"/>
        <w:spacing w:line="360" w:lineRule="auto"/>
        <w:ind w:firstLine="0" w:firstLineChars="0"/>
        <w:rPr>
          <w:rFonts w:ascii="Times New Roman" w:hAnsi="Times New Roman"/>
        </w:rPr>
      </w:pPr>
      <w:r>
        <w:rPr>
          <w:rFonts w:hint="eastAsia" w:ascii="Times New Roman" w:hAnsi="Times New Roman"/>
        </w:rPr>
        <w:t xml:space="preserve"> 6.3.2.2.1 以下项目应收集初级数据：</w:t>
      </w:r>
    </w:p>
    <w:p w14:paraId="42691914">
      <w:pPr>
        <w:pStyle w:val="12"/>
        <w:spacing w:line="360" w:lineRule="auto"/>
        <w:ind w:firstLine="480"/>
        <w:rPr>
          <w:rFonts w:hint="eastAsia" w:hAnsi="宋体" w:cs="宋体"/>
          <w:szCs w:val="21"/>
        </w:rPr>
      </w:pPr>
      <w:r>
        <w:rPr>
          <w:rFonts w:hAnsi="宋体" w:cs="宋体"/>
          <w:sz w:val="24"/>
          <w:szCs w:val="24"/>
        </w:rPr>
        <w:t xml:space="preserve"> </w:t>
      </w:r>
      <w:r>
        <w:rPr>
          <w:rFonts w:hint="eastAsia" w:hAnsi="宋体" w:cs="宋体"/>
          <w:szCs w:val="21"/>
        </w:rPr>
        <w:t xml:space="preserve"> </w:t>
      </w:r>
      <w:r>
        <w:rPr>
          <w:rFonts w:hAnsi="宋体" w:cs="宋体"/>
          <w:szCs w:val="21"/>
        </w:rPr>
        <w:t>a）</w:t>
      </w:r>
      <w:r>
        <w:rPr>
          <w:rFonts w:hint="eastAsia" w:hAnsi="宋体" w:cs="宋体"/>
          <w:szCs w:val="21"/>
        </w:rPr>
        <w:t>纸浆模塑包装</w:t>
      </w:r>
      <w:r>
        <w:rPr>
          <w:rFonts w:hAnsi="宋体" w:cs="宋体"/>
          <w:szCs w:val="21"/>
        </w:rPr>
        <w:t>生产</w:t>
      </w:r>
      <w:r>
        <w:rPr>
          <w:rFonts w:hint="eastAsia" w:hAnsi="宋体" w:cs="宋体"/>
          <w:szCs w:val="21"/>
        </w:rPr>
        <w:t>的</w:t>
      </w:r>
      <w:r>
        <w:rPr>
          <w:rFonts w:hAnsi="宋体" w:cs="宋体"/>
          <w:szCs w:val="21"/>
        </w:rPr>
        <w:t>相关数据，包括：</w:t>
      </w:r>
    </w:p>
    <w:p w14:paraId="54F3E749">
      <w:pPr>
        <w:pStyle w:val="12"/>
        <w:spacing w:line="360" w:lineRule="auto"/>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 xml:space="preserve">1） </w:t>
      </w:r>
      <w:r>
        <w:rPr>
          <w:rFonts w:hint="eastAsia" w:hAnsi="宋体" w:cs="宋体"/>
          <w:szCs w:val="21"/>
        </w:rPr>
        <w:t>纸浆板、辅助材料的</w:t>
      </w:r>
      <w:r>
        <w:rPr>
          <w:rFonts w:hAnsi="宋体" w:cs="宋体"/>
          <w:szCs w:val="21"/>
        </w:rPr>
        <w:t>投入量；</w:t>
      </w:r>
    </w:p>
    <w:p w14:paraId="2BFCBF40">
      <w:pPr>
        <w:pStyle w:val="12"/>
        <w:spacing w:line="360" w:lineRule="auto"/>
        <w:ind w:firstLine="1050" w:firstLineChars="500"/>
        <w:rPr>
          <w:rFonts w:hint="eastAsia" w:hAnsi="宋体" w:cs="宋体"/>
          <w:szCs w:val="21"/>
        </w:rPr>
      </w:pPr>
      <w:r>
        <w:rPr>
          <w:rFonts w:hAnsi="宋体" w:cs="宋体"/>
          <w:szCs w:val="21"/>
        </w:rPr>
        <w:t>2） 电力、</w:t>
      </w:r>
      <w:r>
        <w:rPr>
          <w:rFonts w:hint="eastAsia" w:hAnsi="宋体" w:cs="宋体"/>
          <w:szCs w:val="21"/>
        </w:rPr>
        <w:t>石油</w:t>
      </w:r>
      <w:r>
        <w:rPr>
          <w:rFonts w:hAnsi="宋体" w:cs="宋体"/>
          <w:szCs w:val="21"/>
        </w:rPr>
        <w:t>等能源投入量；</w:t>
      </w:r>
    </w:p>
    <w:p w14:paraId="1A41CB06">
      <w:pPr>
        <w:pStyle w:val="12"/>
        <w:spacing w:line="360" w:lineRule="auto"/>
        <w:ind w:firstLine="1050" w:firstLineChars="500"/>
        <w:rPr>
          <w:rFonts w:hint="eastAsia" w:hAnsi="宋体" w:cs="宋体"/>
          <w:szCs w:val="21"/>
        </w:rPr>
      </w:pPr>
      <w:r>
        <w:rPr>
          <w:rFonts w:hAnsi="宋体" w:cs="宋体"/>
          <w:szCs w:val="21"/>
        </w:rPr>
        <w:t>3） 水消耗量；</w:t>
      </w:r>
    </w:p>
    <w:p w14:paraId="691677AC">
      <w:pPr>
        <w:pStyle w:val="12"/>
        <w:spacing w:line="360" w:lineRule="auto"/>
        <w:ind w:firstLine="1050" w:firstLineChars="500"/>
        <w:rPr>
          <w:rFonts w:hint="eastAsia" w:hAnsi="宋体" w:cs="宋体"/>
          <w:szCs w:val="21"/>
        </w:rPr>
      </w:pPr>
      <w:r>
        <w:rPr>
          <w:rFonts w:hAnsi="宋体" w:cs="宋体"/>
          <w:szCs w:val="21"/>
        </w:rPr>
        <w:t>4） 废弃物的产生量；</w:t>
      </w:r>
    </w:p>
    <w:p w14:paraId="1DFA012A">
      <w:pPr>
        <w:pStyle w:val="12"/>
        <w:spacing w:line="360" w:lineRule="auto"/>
        <w:ind w:firstLine="1050" w:firstLineChars="500"/>
        <w:rPr>
          <w:rFonts w:hint="eastAsia" w:hAnsi="宋体" w:cs="宋体"/>
          <w:szCs w:val="21"/>
        </w:rPr>
      </w:pPr>
      <w:r>
        <w:rPr>
          <w:rFonts w:hAnsi="宋体" w:cs="宋体"/>
          <w:szCs w:val="21"/>
        </w:rPr>
        <w:t xml:space="preserve">5） </w:t>
      </w:r>
      <w:r>
        <w:rPr>
          <w:rFonts w:hint="eastAsia" w:hAnsi="宋体" w:cs="宋体"/>
          <w:szCs w:val="21"/>
        </w:rPr>
        <w:t>纸浆模塑包装的</w:t>
      </w:r>
      <w:r>
        <w:rPr>
          <w:rFonts w:hAnsi="宋体" w:cs="宋体"/>
          <w:szCs w:val="21"/>
        </w:rPr>
        <w:t>产出量。</w:t>
      </w:r>
    </w:p>
    <w:p w14:paraId="1B0B6F84">
      <w:pPr>
        <w:pStyle w:val="12"/>
        <w:spacing w:line="360" w:lineRule="auto"/>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 xml:space="preserve">b） </w:t>
      </w:r>
      <w:r>
        <w:rPr>
          <w:rFonts w:hint="eastAsia" w:hAnsi="宋体" w:cs="宋体"/>
          <w:szCs w:val="21"/>
        </w:rPr>
        <w:t>纸浆模塑包装</w:t>
      </w:r>
      <w:r>
        <w:rPr>
          <w:rFonts w:hAnsi="宋体" w:cs="宋体"/>
          <w:szCs w:val="21"/>
        </w:rPr>
        <w:t>的运输相关项目，包括：</w:t>
      </w:r>
    </w:p>
    <w:p w14:paraId="20C1EAD4">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1）每种运输方式的运输的数量和重量；</w:t>
      </w:r>
    </w:p>
    <w:p w14:paraId="4A5A929E">
      <w:pPr>
        <w:pStyle w:val="12"/>
        <w:spacing w:line="360" w:lineRule="auto"/>
        <w:ind w:firstLine="1050" w:firstLineChars="500"/>
        <w:rPr>
          <w:rFonts w:hint="eastAsia" w:hAnsi="宋体" w:cs="宋体"/>
          <w:szCs w:val="21"/>
        </w:rPr>
      </w:pPr>
      <w:r>
        <w:rPr>
          <w:rFonts w:hAnsi="宋体" w:cs="宋体"/>
          <w:szCs w:val="21"/>
        </w:rPr>
        <w:t>2）每种运输方式的能源消耗量，或其它可计算获得能源消耗量的数据；</w:t>
      </w:r>
    </w:p>
    <w:p w14:paraId="0FB79BCE">
      <w:pPr>
        <w:pStyle w:val="12"/>
        <w:spacing w:line="360" w:lineRule="auto"/>
        <w:ind w:firstLine="1050" w:firstLineChars="500"/>
        <w:rPr>
          <w:rFonts w:hint="eastAsia" w:hAnsi="宋体" w:cs="宋体"/>
          <w:szCs w:val="21"/>
        </w:rPr>
      </w:pPr>
      <w:r>
        <w:rPr>
          <w:rFonts w:hAnsi="宋体" w:cs="宋体"/>
          <w:szCs w:val="21"/>
        </w:rPr>
        <w:t>3）每种运输方式的吨公里数。</w:t>
      </w:r>
    </w:p>
    <w:p w14:paraId="11E0F09A">
      <w:pPr>
        <w:pStyle w:val="12"/>
        <w:spacing w:line="360" w:lineRule="auto"/>
        <w:ind w:firstLine="180" w:firstLineChars="100"/>
        <w:rPr>
          <w:rFonts w:hint="eastAsia" w:hAnsi="宋体" w:cs="宋体"/>
          <w:sz w:val="18"/>
          <w:szCs w:val="18"/>
        </w:rPr>
      </w:pPr>
      <w:r>
        <w:rPr>
          <w:rFonts w:hAnsi="宋体" w:cs="宋体"/>
          <w:sz w:val="18"/>
          <w:szCs w:val="18"/>
        </w:rPr>
        <w:t xml:space="preserve"> </w:t>
      </w:r>
      <w:r>
        <w:rPr>
          <w:rFonts w:hAnsi="宋体" w:cs="宋体"/>
          <w:b/>
          <w:bCs/>
          <w:sz w:val="18"/>
          <w:szCs w:val="18"/>
        </w:rPr>
        <w:t>注：</w:t>
      </w:r>
      <w:r>
        <w:rPr>
          <w:rFonts w:hAnsi="宋体" w:cs="宋体"/>
          <w:sz w:val="18"/>
          <w:szCs w:val="18"/>
        </w:rPr>
        <w:t xml:space="preserve">其它可计算获得能源消耗量的数据包括单位距离能源消耗量和运输距离、运输费用和能源单价等。 </w:t>
      </w:r>
    </w:p>
    <w:p w14:paraId="7D7AF159">
      <w:pPr>
        <w:pStyle w:val="12"/>
        <w:spacing w:line="360" w:lineRule="auto"/>
        <w:ind w:firstLine="0" w:firstLineChars="0"/>
        <w:rPr>
          <w:rFonts w:ascii="Times New Roman" w:hAnsi="Times New Roman"/>
        </w:rPr>
      </w:pPr>
      <w:r>
        <w:rPr>
          <w:rFonts w:hint="eastAsia" w:ascii="Times New Roman" w:hAnsi="Times New Roman"/>
        </w:rPr>
        <w:t>6.3.2.2.2 以下项目可收集次级数据：</w:t>
      </w:r>
    </w:p>
    <w:p w14:paraId="7089E661">
      <w:pPr>
        <w:pStyle w:val="12"/>
        <w:spacing w:line="360" w:lineRule="auto"/>
        <w:ind w:firstLine="240" w:firstLineChars="100"/>
        <w:rPr>
          <w:rFonts w:hint="eastAsia" w:hAnsi="宋体" w:cs="宋体"/>
          <w:szCs w:val="21"/>
        </w:rPr>
      </w:pPr>
      <w:r>
        <w:rPr>
          <w:rFonts w:hAnsi="宋体" w:cs="宋体"/>
          <w:sz w:val="24"/>
          <w:szCs w:val="24"/>
        </w:rPr>
        <w:t xml:space="preserve"> </w:t>
      </w:r>
      <w:r>
        <w:rPr>
          <w:rFonts w:hint="eastAsia" w:hAnsi="宋体" w:cs="宋体"/>
          <w:szCs w:val="21"/>
        </w:rPr>
        <w:t xml:space="preserve"> </w:t>
      </w:r>
      <w:r>
        <w:rPr>
          <w:rFonts w:hAnsi="宋体" w:cs="宋体"/>
          <w:szCs w:val="21"/>
        </w:rPr>
        <w:t>a）</w:t>
      </w:r>
      <w:r>
        <w:rPr>
          <w:rFonts w:hint="eastAsia" w:hAnsi="宋体" w:cs="宋体"/>
          <w:szCs w:val="21"/>
        </w:rPr>
        <w:t>包装用纸</w:t>
      </w:r>
      <w:r>
        <w:rPr>
          <w:rFonts w:hAnsi="宋体" w:cs="宋体"/>
          <w:szCs w:val="21"/>
        </w:rPr>
        <w:t>生产与运输相关的温室气体排放与清除因子；</w:t>
      </w:r>
    </w:p>
    <w:p w14:paraId="75580B99">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b）</w:t>
      </w:r>
      <w:r>
        <w:rPr>
          <w:rFonts w:hint="eastAsia" w:hAnsi="宋体" w:cs="宋体"/>
          <w:szCs w:val="21"/>
        </w:rPr>
        <w:t>包装用纸和辅助材料的</w:t>
      </w:r>
      <w:r>
        <w:rPr>
          <w:rFonts w:hAnsi="宋体" w:cs="宋体"/>
          <w:szCs w:val="21"/>
        </w:rPr>
        <w:t xml:space="preserve">包装材料的生产相关的温室气体排放与清除因子； </w:t>
      </w:r>
    </w:p>
    <w:p w14:paraId="4DC1F03B">
      <w:pPr>
        <w:pStyle w:val="12"/>
        <w:spacing w:line="360" w:lineRule="auto"/>
        <w:ind w:left="479" w:leftChars="228" w:firstLine="0" w:firstLineChars="0"/>
        <w:rPr>
          <w:rFonts w:hint="eastAsia" w:hAnsi="宋体" w:cs="宋体"/>
          <w:szCs w:val="21"/>
        </w:rPr>
      </w:pPr>
      <w:r>
        <w:rPr>
          <w:rFonts w:hAnsi="宋体" w:cs="宋体"/>
          <w:szCs w:val="21"/>
        </w:rPr>
        <w:t>c）</w:t>
      </w:r>
      <w:r>
        <w:rPr>
          <w:rFonts w:hint="eastAsia" w:hAnsi="宋体" w:cs="宋体"/>
          <w:szCs w:val="21"/>
        </w:rPr>
        <w:t>辅助材料</w:t>
      </w:r>
      <w:r>
        <w:rPr>
          <w:rFonts w:hAnsi="宋体" w:cs="宋体"/>
          <w:szCs w:val="21"/>
        </w:rPr>
        <w:t xml:space="preserve">的生产与运输相关的温室气体排放与清除因子； </w:t>
      </w:r>
    </w:p>
    <w:p w14:paraId="2429E6D2">
      <w:pPr>
        <w:pStyle w:val="12"/>
        <w:spacing w:line="360" w:lineRule="auto"/>
        <w:ind w:left="479" w:leftChars="228" w:firstLine="0" w:firstLineChars="0"/>
        <w:rPr>
          <w:rFonts w:hint="eastAsia" w:hAnsi="宋体" w:cs="宋体"/>
          <w:szCs w:val="21"/>
        </w:rPr>
      </w:pPr>
      <w:r>
        <w:rPr>
          <w:rFonts w:hAnsi="宋体" w:cs="宋体"/>
          <w:szCs w:val="21"/>
        </w:rPr>
        <w:t>d）能源、水的开采生产、消耗与输送相关的温室气体排放与清除因子；</w:t>
      </w:r>
    </w:p>
    <w:p w14:paraId="7688C287">
      <w:pPr>
        <w:pStyle w:val="12"/>
        <w:spacing w:line="360" w:lineRule="auto"/>
        <w:ind w:firstLine="210" w:firstLineChars="100"/>
        <w:rPr>
          <w:rFonts w:hint="eastAsia" w:hAnsi="宋体" w:cs="宋体"/>
          <w:szCs w:val="21"/>
        </w:rPr>
      </w:pPr>
      <w:r>
        <w:rPr>
          <w:rFonts w:hAnsi="宋体" w:cs="宋体"/>
          <w:szCs w:val="21"/>
        </w:rPr>
        <w:t xml:space="preserve"> </w:t>
      </w:r>
      <w:r>
        <w:rPr>
          <w:rFonts w:hint="eastAsia" w:hAnsi="宋体" w:cs="宋体"/>
          <w:szCs w:val="21"/>
        </w:rPr>
        <w:t xml:space="preserve">  </w:t>
      </w:r>
      <w:r>
        <w:rPr>
          <w:rFonts w:hAnsi="宋体" w:cs="宋体"/>
          <w:szCs w:val="21"/>
        </w:rPr>
        <w:t xml:space="preserve">e）废弃物处理相关的温室气体排放与清除因子。 </w:t>
      </w:r>
    </w:p>
    <w:p w14:paraId="779BB6BE">
      <w:pPr>
        <w:pStyle w:val="12"/>
        <w:spacing w:line="360" w:lineRule="auto"/>
        <w:ind w:firstLine="0" w:firstLineChars="0"/>
        <w:rPr>
          <w:rFonts w:hint="eastAsia" w:ascii="Times New Roman" w:hAnsi="Times New Roman" w:eastAsia="宋体" w:cs="Times New Roman"/>
        </w:rPr>
      </w:pPr>
      <w:r>
        <w:rPr>
          <w:rFonts w:hint="eastAsia" w:ascii="Times New Roman" w:hAnsi="Times New Roman" w:eastAsia="宋体" w:cs="Times New Roman"/>
        </w:rPr>
        <w:t>6.3.2.</w:t>
      </w:r>
      <w:r>
        <w:rPr>
          <w:rFonts w:hint="eastAsia" w:ascii="Times New Roman" w:hAnsi="Times New Roman" w:eastAsia="宋体" w:cs="Times New Roman"/>
          <w:lang w:val="en-US" w:eastAsia="zh-CN"/>
        </w:rPr>
        <w:t>3</w:t>
      </w:r>
      <w:r>
        <w:rPr>
          <w:rFonts w:hint="eastAsia" w:ascii="Times New Roman" w:hAnsi="Times New Roman" w:eastAsia="宋体" w:cs="Times New Roman"/>
        </w:rPr>
        <w:t xml:space="preserve"> 使用阶段</w:t>
      </w:r>
    </w:p>
    <w:p w14:paraId="2BBE810C">
      <w:pPr>
        <w:pStyle w:val="12"/>
        <w:spacing w:line="360" w:lineRule="auto"/>
        <w:rPr>
          <w:rFonts w:hint="eastAsia" w:hAnsi="宋体" w:cs="宋体"/>
          <w:sz w:val="24"/>
          <w:szCs w:val="24"/>
        </w:rPr>
      </w:pPr>
      <w:r>
        <w:rPr>
          <w:rFonts w:hAnsi="宋体" w:cs="宋体"/>
          <w:szCs w:val="21"/>
        </w:rPr>
        <w:t>本阶段可不收集初级数据。</w:t>
      </w:r>
    </w:p>
    <w:p w14:paraId="46698419">
      <w:pPr>
        <w:pStyle w:val="12"/>
        <w:spacing w:line="360" w:lineRule="auto"/>
        <w:ind w:firstLine="0" w:firstLineChars="0"/>
        <w:rPr>
          <w:rFonts w:hint="eastAsia" w:ascii="Times New Roman" w:hAnsi="Times New Roman" w:eastAsia="宋体" w:cs="Times New Roman"/>
        </w:rPr>
      </w:pPr>
      <w:r>
        <w:rPr>
          <w:rFonts w:hint="eastAsia" w:ascii="Times New Roman" w:hAnsi="Times New Roman" w:eastAsia="宋体" w:cs="Times New Roman"/>
        </w:rPr>
        <w:t>6.3.2.4 后处理阶段</w:t>
      </w:r>
    </w:p>
    <w:p w14:paraId="58FD8BA5">
      <w:pPr>
        <w:pStyle w:val="12"/>
        <w:spacing w:line="360" w:lineRule="auto"/>
        <w:ind w:firstLine="0" w:firstLineChars="0"/>
        <w:rPr>
          <w:rFonts w:ascii="Times New Roman" w:hAnsi="Times New Roman"/>
        </w:rPr>
      </w:pPr>
      <w:r>
        <w:rPr>
          <w:rFonts w:hint="eastAsia" w:ascii="Times New Roman" w:hAnsi="Times New Roman"/>
        </w:rPr>
        <w:t>6.3.2.4.1 本阶段可不收集初级数据。</w:t>
      </w:r>
    </w:p>
    <w:p w14:paraId="11E32D9C">
      <w:pPr>
        <w:pStyle w:val="12"/>
        <w:spacing w:line="360" w:lineRule="auto"/>
        <w:ind w:firstLine="0" w:firstLineChars="0"/>
        <w:rPr>
          <w:rFonts w:ascii="Times New Roman" w:hAnsi="Times New Roman"/>
        </w:rPr>
      </w:pPr>
      <w:r>
        <w:rPr>
          <w:rFonts w:hint="eastAsia" w:ascii="Times New Roman" w:hAnsi="Times New Roman"/>
        </w:rPr>
        <w:t>6.3.2.4.2 以下项目可收集次级数据：</w:t>
      </w:r>
    </w:p>
    <w:p w14:paraId="53596607">
      <w:pPr>
        <w:pStyle w:val="12"/>
        <w:spacing w:line="360" w:lineRule="auto"/>
        <w:rPr>
          <w:rFonts w:hint="eastAsia" w:hAnsi="宋体" w:cs="宋体"/>
          <w:szCs w:val="21"/>
        </w:rPr>
      </w:pPr>
      <w:r>
        <w:rPr>
          <w:rFonts w:hint="eastAsia" w:hAnsi="宋体" w:cs="宋体"/>
          <w:szCs w:val="21"/>
        </w:rPr>
        <w:t xml:space="preserve"> </w:t>
      </w:r>
      <w:r>
        <w:rPr>
          <w:rFonts w:hAnsi="宋体" w:cs="宋体"/>
          <w:szCs w:val="21"/>
        </w:rPr>
        <w:t>a）</w:t>
      </w:r>
      <w:r>
        <w:rPr>
          <w:rFonts w:hint="eastAsia" w:hAnsi="宋体" w:cs="宋体"/>
          <w:szCs w:val="21"/>
        </w:rPr>
        <w:t>纸浆模塑包装的废弃处理方式、回收量、焚烧量和填埋量；</w:t>
      </w:r>
    </w:p>
    <w:p w14:paraId="27AC08C4">
      <w:pPr>
        <w:pStyle w:val="12"/>
        <w:spacing w:line="360" w:lineRule="auto"/>
        <w:rPr>
          <w:rFonts w:hint="eastAsia" w:hAnsi="宋体" w:cs="宋体"/>
          <w:szCs w:val="21"/>
        </w:rPr>
      </w:pPr>
      <w:r>
        <w:rPr>
          <w:rFonts w:hAnsi="宋体" w:cs="宋体"/>
          <w:szCs w:val="21"/>
        </w:rPr>
        <w:t xml:space="preserve"> b）废弃物处理相关的温室气体排放与清除因子</w:t>
      </w:r>
      <w:r>
        <w:rPr>
          <w:rFonts w:hint="eastAsia" w:hAnsi="宋体" w:cs="宋体"/>
          <w:szCs w:val="21"/>
        </w:rPr>
        <w:t>；</w:t>
      </w:r>
    </w:p>
    <w:p w14:paraId="0DD9021A">
      <w:pPr>
        <w:pStyle w:val="12"/>
        <w:spacing w:line="360" w:lineRule="auto"/>
        <w:ind w:firstLine="630" w:firstLineChars="300"/>
        <w:rPr>
          <w:rFonts w:hint="eastAsia" w:hAnsi="宋体" w:cs="宋体"/>
          <w:szCs w:val="21"/>
        </w:rPr>
      </w:pPr>
      <w:r>
        <w:rPr>
          <w:rFonts w:hAnsi="宋体" w:cs="宋体"/>
          <w:szCs w:val="21"/>
        </w:rPr>
        <w:t>c）</w:t>
      </w:r>
      <w:r>
        <w:rPr>
          <w:rFonts w:hint="eastAsia" w:hAnsi="宋体" w:cs="宋体"/>
          <w:szCs w:val="21"/>
        </w:rPr>
        <w:t>石油、电力等能源、资源消耗相关的温室气体排放与清除因子。</w:t>
      </w:r>
    </w:p>
    <w:p w14:paraId="59324A14">
      <w:pPr>
        <w:pStyle w:val="12"/>
        <w:spacing w:line="360" w:lineRule="auto"/>
        <w:ind w:firstLine="0" w:firstLineChars="0"/>
        <w:rPr>
          <w:rFonts w:hint="eastAsia" w:hAnsi="宋体" w:cs="宋体"/>
          <w:szCs w:val="21"/>
        </w:rPr>
      </w:pPr>
      <w:r>
        <w:rPr>
          <w:rFonts w:hint="eastAsia" w:ascii="Times New Roman" w:hAnsi="Times New Roman" w:eastAsia="宋体" w:cs="Times New Roman"/>
        </w:rPr>
        <w:t xml:space="preserve">6.3.2.5 </w:t>
      </w:r>
      <w:r>
        <w:rPr>
          <w:rFonts w:hint="eastAsia" w:ascii="Times New Roman" w:hAnsi="Times New Roman"/>
        </w:rPr>
        <w:t xml:space="preserve"> </w:t>
      </w:r>
      <w:r>
        <w:rPr>
          <w:rFonts w:hint="eastAsia" w:ascii="Times New Roman" w:hAnsi="Times New Roman"/>
          <w:szCs w:val="21"/>
        </w:rPr>
        <w:t>纸</w:t>
      </w:r>
      <w:r>
        <w:rPr>
          <w:rFonts w:hint="eastAsia" w:hAnsi="宋体" w:cs="宋体"/>
          <w:szCs w:val="21"/>
        </w:rPr>
        <w:t>浆模塑包装废弃后运送至处理设施的运输以及纸浆模塑包装的回收率、焚烧率、填埋率，可使用国家、行业或消费者行为调查的统计资料。</w:t>
      </w:r>
      <w:r>
        <w:rPr>
          <w:rFonts w:hAnsi="宋体" w:cs="宋体"/>
          <w:szCs w:val="21"/>
        </w:rPr>
        <w:t>当无法取得前述数据时，可进行情景假设。运输距离宜考虑现有资源处置和回收体系。废弃物处理过程宜考虑产品废弃地的实际情况。</w:t>
      </w:r>
    </w:p>
    <w:p w14:paraId="7950C8AA">
      <w:pPr>
        <w:pStyle w:val="11"/>
        <w:spacing w:before="312" w:after="312"/>
        <w:outlineLvl w:val="0"/>
        <w:rPr>
          <w:rFonts w:ascii="Times New Roman"/>
        </w:rPr>
      </w:pPr>
      <w:r>
        <w:rPr>
          <w:rFonts w:hint="eastAsia" w:ascii="Times New Roman"/>
        </w:rPr>
        <w:t xml:space="preserve">7 分配与计算 </w:t>
      </w:r>
    </w:p>
    <w:p w14:paraId="2B2F1513">
      <w:pPr>
        <w:pStyle w:val="11"/>
        <w:spacing w:before="312" w:after="312"/>
        <w:outlineLvl w:val="0"/>
        <w:rPr>
          <w:rFonts w:ascii="Times New Roman"/>
        </w:rPr>
      </w:pPr>
      <w:r>
        <w:rPr>
          <w:rFonts w:hint="eastAsia" w:ascii="Times New Roman"/>
        </w:rPr>
        <w:t xml:space="preserve">7.1 分配 </w:t>
      </w:r>
    </w:p>
    <w:p w14:paraId="4848425C">
      <w:pPr>
        <w:pStyle w:val="12"/>
        <w:spacing w:line="360" w:lineRule="auto"/>
        <w:ind w:firstLine="0" w:firstLineChars="0"/>
        <w:rPr>
          <w:rFonts w:hint="eastAsia" w:hAnsi="宋体" w:cs="宋体"/>
          <w:szCs w:val="21"/>
        </w:rPr>
      </w:pPr>
      <w:r>
        <w:rPr>
          <w:rFonts w:hint="eastAsia" w:ascii="Times New Roman" w:hAnsi="Times New Roman"/>
          <w:szCs w:val="21"/>
        </w:rPr>
        <w:t>7.1.1 分</w:t>
      </w:r>
      <w:r>
        <w:rPr>
          <w:rFonts w:hAnsi="宋体" w:cs="宋体"/>
          <w:szCs w:val="21"/>
        </w:rPr>
        <w:t>配应根据</w:t>
      </w:r>
      <w:r>
        <w:rPr>
          <w:rFonts w:ascii="Times New Roman" w:hAnsi="Times New Roman"/>
          <w:szCs w:val="21"/>
        </w:rPr>
        <w:t xml:space="preserve"> GB/T 24040—2008 及 GB/T 24044—2008 中规定的分</w:t>
      </w:r>
      <w:r>
        <w:rPr>
          <w:rFonts w:hAnsi="宋体" w:cs="宋体"/>
          <w:szCs w:val="21"/>
        </w:rPr>
        <w:t>配程序。</w:t>
      </w:r>
    </w:p>
    <w:p w14:paraId="17268FB4">
      <w:pPr>
        <w:pStyle w:val="12"/>
        <w:spacing w:line="360" w:lineRule="auto"/>
        <w:ind w:firstLine="0" w:firstLineChars="0"/>
        <w:rPr>
          <w:rFonts w:hint="eastAsia" w:hAnsi="宋体" w:cs="宋体"/>
          <w:szCs w:val="21"/>
        </w:rPr>
      </w:pPr>
      <w:r>
        <w:rPr>
          <w:rFonts w:hint="eastAsia" w:ascii="Times New Roman" w:hAnsi="Times New Roman"/>
          <w:szCs w:val="21"/>
        </w:rPr>
        <w:t xml:space="preserve">7.1.2 </w:t>
      </w:r>
      <w:r>
        <w:rPr>
          <w:rFonts w:hAnsi="宋体" w:cs="宋体"/>
          <w:szCs w:val="21"/>
        </w:rPr>
        <w:t>对包含多个产品或循环体系的系统，宜避免分配。若分配无法避免，考虑以下方面：</w:t>
      </w:r>
    </w:p>
    <w:p w14:paraId="3D639C6C">
      <w:pPr>
        <w:pStyle w:val="12"/>
        <w:spacing w:line="360" w:lineRule="auto"/>
        <w:ind w:firstLine="0" w:firstLineChars="0"/>
        <w:rPr>
          <w:rFonts w:hint="eastAsia" w:hAnsi="宋体" w:cs="宋体"/>
          <w:szCs w:val="21"/>
        </w:rPr>
      </w:pPr>
      <w:r>
        <w:rPr>
          <w:rFonts w:hAnsi="宋体" w:cs="宋体"/>
          <w:szCs w:val="21"/>
        </w:rPr>
        <w:t xml:space="preserve"> a） 优先使用物理关系进行分配；</w:t>
      </w:r>
    </w:p>
    <w:p w14:paraId="31749F45">
      <w:pPr>
        <w:pStyle w:val="12"/>
        <w:spacing w:line="360" w:lineRule="auto"/>
        <w:ind w:firstLine="0" w:firstLineChars="0"/>
        <w:rPr>
          <w:rFonts w:hint="eastAsia" w:hAnsi="宋体" w:cs="宋体"/>
          <w:szCs w:val="21"/>
        </w:rPr>
      </w:pPr>
      <w:r>
        <w:rPr>
          <w:rFonts w:hAnsi="宋体" w:cs="宋体"/>
          <w:szCs w:val="21"/>
        </w:rPr>
        <w:t xml:space="preserve"> b） 若无法建立物理关系，宜根据经济价值或其它关系进行分配，且应提供所使用分配关系的</w:t>
      </w:r>
      <w:r>
        <w:rPr>
          <w:rFonts w:ascii="宋体" w:hAnsi="宋体" w:eastAsia="宋体" w:cs="宋体"/>
          <w:szCs w:val="21"/>
        </w:rPr>
        <w:t>依据及计</w:t>
      </w:r>
      <w:r>
        <w:rPr>
          <w:rFonts w:hAnsi="宋体" w:cs="宋体"/>
          <w:szCs w:val="21"/>
        </w:rPr>
        <w:t>算说明。</w:t>
      </w:r>
    </w:p>
    <w:p w14:paraId="620EF135">
      <w:pPr>
        <w:pStyle w:val="12"/>
        <w:spacing w:line="360" w:lineRule="auto"/>
        <w:ind w:firstLine="0" w:firstLineChars="0"/>
        <w:rPr>
          <w:rFonts w:hint="eastAsia" w:hAnsi="宋体" w:cs="宋体"/>
          <w:sz w:val="18"/>
          <w:szCs w:val="18"/>
        </w:rPr>
      </w:pPr>
      <w:r>
        <w:rPr>
          <w:rFonts w:hAnsi="宋体" w:cs="宋体"/>
          <w:b/>
          <w:bCs/>
          <w:sz w:val="18"/>
          <w:szCs w:val="18"/>
        </w:rPr>
        <w:t xml:space="preserve"> 注：</w:t>
      </w:r>
      <w:r>
        <w:rPr>
          <w:rFonts w:hAnsi="宋体" w:cs="宋体"/>
          <w:sz w:val="18"/>
          <w:szCs w:val="18"/>
        </w:rPr>
        <w:t>物理关系包括数量、质量、工时等。</w:t>
      </w:r>
    </w:p>
    <w:p w14:paraId="7248619B">
      <w:pPr>
        <w:pStyle w:val="11"/>
        <w:spacing w:before="312" w:after="312"/>
        <w:outlineLvl w:val="0"/>
        <w:rPr>
          <w:rFonts w:ascii="Times New Roman"/>
        </w:rPr>
      </w:pPr>
      <w:r>
        <w:rPr>
          <w:rFonts w:hint="eastAsia" w:ascii="Times New Roman"/>
        </w:rPr>
        <w:t xml:space="preserve"> 7.2 计算 </w:t>
      </w:r>
    </w:p>
    <w:p w14:paraId="5DD571F7">
      <w:pPr>
        <w:pStyle w:val="12"/>
        <w:spacing w:line="360" w:lineRule="auto"/>
        <w:rPr>
          <w:rFonts w:hint="eastAsia" w:hAnsi="宋体" w:cs="宋体"/>
          <w:szCs w:val="21"/>
        </w:rPr>
      </w:pPr>
      <w:r>
        <w:rPr>
          <w:rFonts w:hAnsi="宋体" w:cs="宋体"/>
          <w:szCs w:val="21"/>
        </w:rPr>
        <w:t>数据收集完成后，应对</w:t>
      </w:r>
      <w:r>
        <w:rPr>
          <w:rFonts w:hint="eastAsia" w:hAnsi="宋体" w:cs="宋体"/>
          <w:szCs w:val="21"/>
        </w:rPr>
        <w:t>纸制品包装</w:t>
      </w:r>
      <w:r>
        <w:rPr>
          <w:rFonts w:hAnsi="宋体" w:cs="宋体"/>
          <w:szCs w:val="21"/>
        </w:rPr>
        <w:t>系统中每一单元过程的温室气体排放与清除进行量化，汇总获得以二氧化碳当量</w:t>
      </w:r>
      <w:r>
        <w:rPr>
          <w:rFonts w:ascii="宋体" w:hAnsi="宋体" w:eastAsia="宋体" w:cs="宋体"/>
          <w:szCs w:val="21"/>
        </w:rPr>
        <w:t>（kgCO</w:t>
      </w:r>
      <w:r>
        <w:rPr>
          <w:rFonts w:ascii="宋体" w:hAnsi="宋体" w:eastAsia="宋体" w:cs="宋体"/>
          <w:szCs w:val="21"/>
          <w:vertAlign w:val="subscript"/>
        </w:rPr>
        <w:t>2</w:t>
      </w:r>
      <w:r>
        <w:rPr>
          <w:rFonts w:ascii="宋体" w:hAnsi="宋体" w:eastAsia="宋体" w:cs="宋体"/>
          <w:szCs w:val="21"/>
        </w:rPr>
        <w:t>e）表示的</w:t>
      </w:r>
      <w:r>
        <w:rPr>
          <w:rFonts w:hint="eastAsia" w:ascii="宋体" w:hAnsi="宋体" w:eastAsia="宋体" w:cs="宋体"/>
          <w:szCs w:val="21"/>
          <w:lang w:val="en-US" w:eastAsia="zh-CN"/>
        </w:rPr>
        <w:t>纸制品</w:t>
      </w:r>
      <w:r>
        <w:rPr>
          <w:rFonts w:ascii="宋体" w:hAnsi="宋体" w:eastAsia="宋体" w:cs="宋体"/>
          <w:szCs w:val="21"/>
        </w:rPr>
        <w:t>产品碳</w:t>
      </w:r>
      <w:r>
        <w:rPr>
          <w:rFonts w:hAnsi="宋体" w:cs="宋体"/>
          <w:szCs w:val="21"/>
        </w:rPr>
        <w:t>足迹。计算方法见公式（1）。</w:t>
      </w:r>
    </w:p>
    <w:p w14:paraId="6081F7E8">
      <w:pPr>
        <w:jc w:val="center"/>
        <w:rPr>
          <w:rFonts w:ascii="Times New Roman" w:hAnsi="Times New Roman"/>
        </w:rPr>
      </w:pPr>
      <w:r>
        <w:rPr>
          <w:rFonts w:hint="eastAsia" w:ascii="Times New Roman" w:hAnsi="Times New Roman"/>
          <w:kern w:val="0"/>
          <w:position w:val="-14"/>
          <w:szCs w:val="21"/>
        </w:rPr>
        <w:object>
          <v:shape id="_x0000_i1025" o:spt="75" type="#_x0000_t75" style="height:22.55pt;width:166.55pt;" o:ole="t" filled="f" o:preferrelative="t" stroked="f" coordsize="21600,21600">
            <v:path/>
            <v:fill on="f" focussize="0,0"/>
            <v:stroke on="f" joinstyle="miter"/>
            <v:imagedata r:id="rId7" o:title=""/>
            <o:lock v:ext="edit" aspectratio="t"/>
            <w10:wrap type="none"/>
            <w10:anchorlock/>
          </v:shape>
          <o:OLEObject Type="Embed" ProgID="Equation.KSEE3" ShapeID="_x0000_i1025" DrawAspect="Content" ObjectID="_1468075725" r:id="rId6">
            <o:LockedField>false</o:LockedField>
          </o:OLEObject>
        </w:object>
      </w:r>
      <w:r>
        <w:rPr>
          <w:rFonts w:hint="eastAsia"/>
        </w:rPr>
        <w:t>...............................</w:t>
      </w:r>
      <w:r>
        <w:rPr>
          <w:rFonts w:ascii="Times New Roman" w:hAnsi="Times New Roman"/>
        </w:rPr>
        <w:t>.（</w:t>
      </w:r>
      <w:r>
        <w:rPr>
          <w:rFonts w:hint="eastAsia" w:ascii="Times New Roman" w:hAnsi="Times New Roman"/>
        </w:rPr>
        <w:t>1</w:t>
      </w:r>
      <w:r>
        <w:rPr>
          <w:rFonts w:ascii="Times New Roman" w:hAnsi="Times New Roman"/>
        </w:rPr>
        <w:t>）</w:t>
      </w:r>
    </w:p>
    <w:p w14:paraId="75105DB0">
      <w:pPr>
        <w:rPr>
          <w:rFonts w:ascii="Times New Roman" w:hAnsi="Times New Roman"/>
        </w:rPr>
      </w:pPr>
      <w:r>
        <w:rPr>
          <w:rFonts w:hint="eastAsia" w:ascii="Times New Roman" w:hAnsi="Times New Roman"/>
        </w:rPr>
        <w:t xml:space="preserve">    </w:t>
      </w:r>
    </w:p>
    <w:p w14:paraId="0FE7240C">
      <w:pPr>
        <w:rPr>
          <w:rFonts w:hint="eastAsia" w:ascii="宋体" w:hAnsi="宋体" w:cs="宋体"/>
          <w:szCs w:val="21"/>
        </w:rPr>
      </w:pPr>
      <w:r>
        <w:rPr>
          <w:rFonts w:hint="eastAsia" w:ascii="宋体" w:hAnsi="宋体" w:cs="宋体"/>
          <w:szCs w:val="21"/>
        </w:rPr>
        <w:t>式中：</w:t>
      </w:r>
    </w:p>
    <w:p w14:paraId="315EA49F">
      <w:pPr>
        <w:spacing w:line="360" w:lineRule="auto"/>
        <w:ind w:firstLine="420" w:firstLineChars="200"/>
        <w:rPr>
          <w:rFonts w:ascii="Times New Roman" w:hAnsi="Times New Roman"/>
          <w:szCs w:val="21"/>
        </w:rPr>
      </w:pPr>
      <w:r>
        <w:rPr>
          <w:rFonts w:ascii="Times New Roman" w:hAnsi="Times New Roman"/>
          <w:szCs w:val="21"/>
        </w:rPr>
        <w:t>E</w:t>
      </w:r>
      <w:r>
        <w:rPr>
          <w:rFonts w:hint="eastAsia" w:ascii="Times New Roman" w:hAnsi="Times New Roman"/>
          <w:szCs w:val="21"/>
          <w:vertAlign w:val="subscript"/>
        </w:rPr>
        <w:t>GHG</w:t>
      </w:r>
      <w:r>
        <w:rPr>
          <w:rFonts w:ascii="Times New Roman" w:hAnsi="Times New Roman"/>
          <w:szCs w:val="21"/>
        </w:rPr>
        <w:t>--</w:t>
      </w:r>
      <w:r>
        <w:rPr>
          <w:rFonts w:hint="eastAsia" w:ascii="宋体" w:hAnsi="宋体" w:cs="宋体"/>
          <w:szCs w:val="21"/>
        </w:rPr>
        <w:t>纸制品包装碳足迹，单位为千克二氧化碳当量（kg</w:t>
      </w:r>
      <w:r>
        <w:rPr>
          <w:rFonts w:ascii="Times New Roman" w:hAnsi="Times New Roman"/>
          <w:szCs w:val="21"/>
        </w:rPr>
        <w:t>CO</w:t>
      </w:r>
      <w:r>
        <w:rPr>
          <w:rFonts w:ascii="Times New Roman" w:hAnsi="Times New Roman"/>
          <w:szCs w:val="21"/>
          <w:vertAlign w:val="subscript"/>
        </w:rPr>
        <w:t>2</w:t>
      </w:r>
      <w:r>
        <w:rPr>
          <w:rFonts w:ascii="Times New Roman" w:hAnsi="Times New Roman"/>
          <w:szCs w:val="21"/>
        </w:rPr>
        <w:t>e</w:t>
      </w:r>
      <w:r>
        <w:rPr>
          <w:rFonts w:hint="eastAsia" w:ascii="Times New Roman" w:hAnsi="Times New Roman"/>
          <w:szCs w:val="21"/>
        </w:rPr>
        <w:t>)；</w:t>
      </w:r>
    </w:p>
    <w:p w14:paraId="16DE2D73">
      <w:pPr>
        <w:spacing w:line="360" w:lineRule="auto"/>
        <w:ind w:firstLine="420" w:firstLineChars="200"/>
        <w:rPr>
          <w:rFonts w:ascii="Times New Roman" w:hAnsi="Times New Roman"/>
          <w:szCs w:val="21"/>
        </w:rPr>
      </w:pPr>
      <w:r>
        <w:rPr>
          <w:rFonts w:ascii="Times New Roman" w:hAnsi="Times New Roman"/>
          <w:szCs w:val="21"/>
        </w:rPr>
        <w:t>AD</w:t>
      </w:r>
      <w:r>
        <w:rPr>
          <w:rFonts w:ascii="Times New Roman" w:hAnsi="Times New Roman"/>
          <w:szCs w:val="21"/>
          <w:vertAlign w:val="subscript"/>
        </w:rPr>
        <w:t>i</w:t>
      </w:r>
      <w:r>
        <w:rPr>
          <w:rFonts w:ascii="Times New Roman" w:hAnsi="Times New Roman"/>
          <w:szCs w:val="21"/>
        </w:rPr>
        <w:t>---第i种活动</w:t>
      </w:r>
      <w:r>
        <w:rPr>
          <w:rFonts w:hint="eastAsia" w:ascii="Times New Roman" w:hAnsi="Times New Roman"/>
          <w:szCs w:val="21"/>
        </w:rPr>
        <w:t>的温室气体活动数据</w:t>
      </w:r>
      <w:r>
        <w:rPr>
          <w:rFonts w:ascii="Times New Roman" w:hAnsi="Times New Roman"/>
          <w:szCs w:val="21"/>
        </w:rPr>
        <w:t>，单位</w:t>
      </w:r>
      <w:r>
        <w:rPr>
          <w:rFonts w:hint="eastAsia" w:ascii="Times New Roman" w:hAnsi="Times New Roman"/>
          <w:szCs w:val="21"/>
        </w:rPr>
        <w:t>根据具体排放源确定；</w:t>
      </w:r>
    </w:p>
    <w:p w14:paraId="64824567">
      <w:pPr>
        <w:spacing w:line="360" w:lineRule="auto"/>
        <w:ind w:firstLine="420" w:firstLineChars="200"/>
        <w:rPr>
          <w:rFonts w:ascii="Times New Roman" w:hAnsi="Times New Roman"/>
          <w:szCs w:val="21"/>
        </w:rPr>
      </w:pPr>
      <w:r>
        <w:rPr>
          <w:rFonts w:ascii="Times New Roman" w:hAnsi="Times New Roman"/>
          <w:szCs w:val="21"/>
        </w:rPr>
        <w:t>EF</w:t>
      </w:r>
      <w:r>
        <w:rPr>
          <w:rFonts w:ascii="Times New Roman" w:hAnsi="Times New Roman"/>
          <w:szCs w:val="21"/>
          <w:vertAlign w:val="subscript"/>
        </w:rPr>
        <w:t>i</w:t>
      </w:r>
      <w:r>
        <w:rPr>
          <w:rFonts w:ascii="Times New Roman" w:hAnsi="Times New Roman"/>
          <w:szCs w:val="21"/>
        </w:rPr>
        <w:t>---第i种</w:t>
      </w:r>
      <w:r>
        <w:rPr>
          <w:rFonts w:hint="eastAsia" w:ascii="Times New Roman" w:hAnsi="Times New Roman"/>
          <w:szCs w:val="21"/>
        </w:rPr>
        <w:t>活动对应的温室气体排放因子，单位与温室气体活动数据的单位相匹配；</w:t>
      </w:r>
    </w:p>
    <w:p w14:paraId="74AD7C32">
      <w:pPr>
        <w:spacing w:line="360" w:lineRule="auto"/>
        <w:ind w:firstLine="420" w:firstLineChars="200"/>
        <w:rPr>
          <w:rFonts w:ascii="Times New Roman" w:hAnsi="Times New Roman"/>
          <w:szCs w:val="21"/>
        </w:rPr>
      </w:pPr>
      <w:r>
        <w:rPr>
          <w:rFonts w:hint="eastAsia" w:ascii="Times New Roman" w:hAnsi="Times New Roman"/>
          <w:szCs w:val="21"/>
        </w:rPr>
        <w:t>GWP</w:t>
      </w:r>
      <w:r>
        <w:rPr>
          <w:rFonts w:ascii="Times New Roman" w:hAnsi="Times New Roman"/>
          <w:szCs w:val="21"/>
          <w:vertAlign w:val="subscript"/>
        </w:rPr>
        <w:t>i</w:t>
      </w:r>
      <w:r>
        <w:rPr>
          <w:rFonts w:ascii="Times New Roman" w:hAnsi="Times New Roman"/>
          <w:szCs w:val="21"/>
        </w:rPr>
        <w:t>---</w:t>
      </w:r>
      <w:r>
        <w:rPr>
          <w:rFonts w:hint="eastAsia" w:ascii="Times New Roman" w:hAnsi="Times New Roman"/>
          <w:szCs w:val="21"/>
        </w:rPr>
        <w:t>第i种活动对应的全球增温潜势值，数值看参考政府间气候变化专门委员会（IPCC）第一工作组评价报告“自然科学基础”（The physical Science Basis）中提供的数据。</w:t>
      </w:r>
    </w:p>
    <w:p w14:paraId="3E828D10">
      <w:pPr>
        <w:pStyle w:val="11"/>
        <w:spacing w:before="312" w:after="312"/>
        <w:outlineLvl w:val="0"/>
        <w:rPr>
          <w:rFonts w:ascii="Times New Roman"/>
        </w:rPr>
      </w:pPr>
      <w:bookmarkStart w:id="7" w:name="_Toc12916"/>
      <w:r>
        <w:rPr>
          <w:rFonts w:hint="eastAsia" w:ascii="Times New Roman"/>
        </w:rPr>
        <w:t>8 纸制品包装碳排放报告</w:t>
      </w:r>
      <w:bookmarkEnd w:id="7"/>
    </w:p>
    <w:p w14:paraId="316A853E">
      <w:pPr>
        <w:pStyle w:val="11"/>
        <w:spacing w:before="312" w:after="312"/>
        <w:outlineLvl w:val="0"/>
        <w:rPr>
          <w:rFonts w:ascii="Times New Roman"/>
        </w:rPr>
      </w:pPr>
      <w:bookmarkStart w:id="8" w:name="_Toc1798"/>
      <w:r>
        <w:rPr>
          <w:rFonts w:hint="eastAsia" w:ascii="Times New Roman"/>
        </w:rPr>
        <w:t>8.1纸制品包装碳排放报告内容</w:t>
      </w:r>
      <w:bookmarkEnd w:id="8"/>
      <w:r>
        <w:rPr>
          <w:rFonts w:hint="eastAsia" w:ascii="Times New Roman"/>
        </w:rPr>
        <w:t xml:space="preserve"> </w:t>
      </w:r>
    </w:p>
    <w:p w14:paraId="5E865A9D">
      <w:pPr>
        <w:spacing w:line="360" w:lineRule="auto"/>
        <w:ind w:firstLine="420" w:firstLineChars="200"/>
        <w:rPr>
          <w:rFonts w:ascii="Times New Roman"/>
        </w:rPr>
      </w:pPr>
      <w:r>
        <w:rPr>
          <w:rFonts w:hint="eastAsia" w:ascii="Times New Roman"/>
        </w:rPr>
        <w:t>纸制品包装碳排放报告应该至少包含以下内容：</w:t>
      </w:r>
    </w:p>
    <w:p w14:paraId="634F10A0">
      <w:pPr>
        <w:spacing w:line="360" w:lineRule="auto"/>
        <w:ind w:firstLine="420" w:firstLineChars="200"/>
        <w:rPr>
          <w:rFonts w:ascii="Times New Roman"/>
        </w:rPr>
      </w:pPr>
      <w:r>
        <w:rPr>
          <w:rFonts w:hint="eastAsia" w:ascii="Times New Roman"/>
        </w:rPr>
        <w:t>----产品名称、规格、型号和功能描述；</w:t>
      </w:r>
    </w:p>
    <w:p w14:paraId="6B3DB0ED">
      <w:pPr>
        <w:spacing w:line="360" w:lineRule="auto"/>
        <w:ind w:firstLine="420" w:firstLineChars="200"/>
        <w:rPr>
          <w:rFonts w:ascii="Times New Roman"/>
        </w:rPr>
      </w:pPr>
      <w:r>
        <w:rPr>
          <w:rFonts w:hint="eastAsia" w:ascii="Times New Roman"/>
        </w:rPr>
        <w:t>----功能单位；</w:t>
      </w:r>
    </w:p>
    <w:p w14:paraId="38B95608">
      <w:pPr>
        <w:spacing w:line="360" w:lineRule="auto"/>
        <w:ind w:firstLine="420" w:firstLineChars="200"/>
        <w:rPr>
          <w:rFonts w:ascii="Times New Roman"/>
        </w:rPr>
      </w:pPr>
      <w:r>
        <w:rPr>
          <w:rFonts w:hint="eastAsia" w:ascii="Times New Roman"/>
        </w:rPr>
        <w:t>----核算期；</w:t>
      </w:r>
    </w:p>
    <w:p w14:paraId="392633F8">
      <w:pPr>
        <w:spacing w:line="360" w:lineRule="auto"/>
        <w:ind w:firstLine="420" w:firstLineChars="200"/>
        <w:rPr>
          <w:rFonts w:ascii="Times New Roman"/>
        </w:rPr>
      </w:pPr>
      <w:r>
        <w:rPr>
          <w:rFonts w:hint="eastAsia" w:ascii="Times New Roman"/>
        </w:rPr>
        <w:t>----生命周期阶段描述；</w:t>
      </w:r>
    </w:p>
    <w:p w14:paraId="09A47A61">
      <w:pPr>
        <w:spacing w:line="360" w:lineRule="auto"/>
        <w:ind w:firstLine="420" w:firstLineChars="200"/>
        <w:rPr>
          <w:rFonts w:ascii="Times New Roman"/>
        </w:rPr>
      </w:pPr>
      <w:r>
        <w:rPr>
          <w:rFonts w:hint="eastAsia" w:ascii="Times New Roman"/>
        </w:rPr>
        <w:t>----数据取舍准则描述；</w:t>
      </w:r>
    </w:p>
    <w:p w14:paraId="05F78115">
      <w:pPr>
        <w:spacing w:line="360" w:lineRule="auto"/>
        <w:ind w:firstLine="420" w:firstLineChars="200"/>
        <w:rPr>
          <w:rFonts w:ascii="Times New Roman"/>
        </w:rPr>
      </w:pPr>
      <w:r>
        <w:rPr>
          <w:rFonts w:hint="eastAsia" w:ascii="Times New Roman"/>
        </w:rPr>
        <w:t>---纸制品包装碳排放；</w:t>
      </w:r>
    </w:p>
    <w:p w14:paraId="031FABB2">
      <w:pPr>
        <w:spacing w:line="360" w:lineRule="auto"/>
        <w:ind w:firstLine="420" w:firstLineChars="200"/>
        <w:rPr>
          <w:rFonts w:ascii="Times New Roman"/>
        </w:rPr>
      </w:pPr>
      <w:r>
        <w:rPr>
          <w:rFonts w:hint="eastAsia" w:ascii="Times New Roman"/>
        </w:rPr>
        <w:t>----结论和不确定性说明；</w:t>
      </w:r>
    </w:p>
    <w:p w14:paraId="710A6D74">
      <w:pPr>
        <w:spacing w:line="360" w:lineRule="auto"/>
        <w:ind w:firstLine="420" w:firstLineChars="200"/>
        <w:rPr>
          <w:rFonts w:ascii="Times New Roman"/>
        </w:rPr>
      </w:pPr>
      <w:r>
        <w:rPr>
          <w:rFonts w:hint="eastAsia" w:ascii="Times New Roman"/>
        </w:rPr>
        <w:t>----其他需要说明的情况。</w:t>
      </w:r>
    </w:p>
    <w:p w14:paraId="3815F846">
      <w:pPr>
        <w:pStyle w:val="11"/>
        <w:spacing w:before="312" w:after="312"/>
        <w:outlineLvl w:val="0"/>
        <w:rPr>
          <w:rFonts w:ascii="Times New Roman"/>
        </w:rPr>
      </w:pPr>
      <w:bookmarkStart w:id="9" w:name="_Toc24611"/>
      <w:r>
        <w:rPr>
          <w:rFonts w:hint="eastAsia" w:ascii="Times New Roman"/>
        </w:rPr>
        <w:t>8.2 纸制品包装碳排放核算报告</w:t>
      </w:r>
      <w:bookmarkEnd w:id="9"/>
    </w:p>
    <w:p w14:paraId="3DE26D05">
      <w:pPr>
        <w:spacing w:line="360" w:lineRule="auto"/>
        <w:ind w:firstLine="420" w:firstLineChars="200"/>
        <w:rPr>
          <w:rFonts w:ascii="Times New Roman"/>
        </w:rPr>
      </w:pPr>
      <w:r>
        <w:rPr>
          <w:rFonts w:hint="eastAsia" w:ascii="Times New Roman"/>
        </w:rPr>
        <w:t>纸制品包装碳排放核算报告模板可参考附录A。</w:t>
      </w:r>
    </w:p>
    <w:p w14:paraId="327D3F9F">
      <w:pPr>
        <w:rPr>
          <w:rFonts w:ascii="Times New Roman" w:hAnsi="Times New Roman"/>
          <w:sz w:val="28"/>
          <w:szCs w:val="28"/>
        </w:rPr>
      </w:pPr>
    </w:p>
    <w:p w14:paraId="09FE7255">
      <w:pPr>
        <w:rPr>
          <w:rFonts w:ascii="Times New Roman" w:hAnsi="Times New Roman"/>
          <w:sz w:val="28"/>
          <w:szCs w:val="28"/>
        </w:rPr>
      </w:pPr>
    </w:p>
    <w:p w14:paraId="0174E9DE">
      <w:pPr>
        <w:rPr>
          <w:rFonts w:ascii="Times New Roman" w:hAnsi="Times New Roman"/>
          <w:sz w:val="28"/>
          <w:szCs w:val="28"/>
        </w:rPr>
      </w:pPr>
    </w:p>
    <w:p w14:paraId="7D3CABF5">
      <w:pPr>
        <w:rPr>
          <w:rFonts w:ascii="Times New Roman" w:hAnsi="Times New Roman"/>
          <w:sz w:val="28"/>
          <w:szCs w:val="28"/>
        </w:rPr>
      </w:pPr>
    </w:p>
    <w:p w14:paraId="1B9DCCB2">
      <w:pPr>
        <w:rPr>
          <w:rFonts w:ascii="Times New Roman" w:hAnsi="Times New Roman"/>
          <w:sz w:val="28"/>
          <w:szCs w:val="28"/>
        </w:rPr>
      </w:pPr>
      <w:r>
        <w:rPr>
          <w:rFonts w:hint="eastAsia" w:ascii="Times New Roman" w:hAnsi="Times New Roman"/>
          <w:sz w:val="28"/>
          <w:szCs w:val="28"/>
        </w:rPr>
        <w:br w:type="page"/>
      </w:r>
    </w:p>
    <w:p w14:paraId="0FC27CE4">
      <w:pPr>
        <w:jc w:val="center"/>
        <w:outlineLvl w:val="0"/>
        <w:rPr>
          <w:rFonts w:ascii="Times New Roman" w:hAnsi="Times New Roman"/>
          <w:sz w:val="30"/>
          <w:szCs w:val="30"/>
        </w:rPr>
      </w:pPr>
      <w:bookmarkStart w:id="10" w:name="_Toc13629"/>
      <w:r>
        <w:rPr>
          <w:rFonts w:hint="eastAsia" w:ascii="Times New Roman" w:hAnsi="Times New Roman"/>
          <w:sz w:val="30"/>
          <w:szCs w:val="30"/>
        </w:rPr>
        <w:t>附录A</w:t>
      </w:r>
      <w:bookmarkEnd w:id="10"/>
    </w:p>
    <w:p w14:paraId="333E0175">
      <w:pPr>
        <w:jc w:val="center"/>
        <w:rPr>
          <w:rFonts w:ascii="Times New Roman" w:hAnsi="Times New Roman"/>
          <w:szCs w:val="21"/>
        </w:rPr>
      </w:pPr>
      <w:r>
        <w:rPr>
          <w:rFonts w:hint="eastAsia" w:ascii="Times New Roman" w:hAnsi="Times New Roman"/>
          <w:szCs w:val="21"/>
        </w:rPr>
        <w:t>(资料性附录)</w:t>
      </w:r>
    </w:p>
    <w:p w14:paraId="6CCABC0B">
      <w:pPr>
        <w:jc w:val="center"/>
        <w:rPr>
          <w:rFonts w:ascii="Times New Roman" w:hAnsi="Times New Roman"/>
          <w:szCs w:val="21"/>
        </w:rPr>
      </w:pPr>
    </w:p>
    <w:p w14:paraId="389CEA55">
      <w:pPr>
        <w:jc w:val="center"/>
        <w:rPr>
          <w:rFonts w:ascii="Times New Roman" w:hAnsi="Times New Roman"/>
          <w:sz w:val="30"/>
          <w:szCs w:val="30"/>
        </w:rPr>
      </w:pPr>
    </w:p>
    <w:p w14:paraId="76D68DED">
      <w:pPr>
        <w:jc w:val="center"/>
        <w:rPr>
          <w:rFonts w:ascii="Times New Roman" w:hAnsi="Times New Roman"/>
          <w:sz w:val="36"/>
          <w:szCs w:val="36"/>
        </w:rPr>
      </w:pPr>
      <w:r>
        <w:rPr>
          <w:rFonts w:hint="eastAsia" w:ascii="Times New Roman" w:hAnsi="Times New Roman"/>
          <w:sz w:val="36"/>
          <w:szCs w:val="36"/>
        </w:rPr>
        <w:t>纸制品包装碳排放评价报告框架</w:t>
      </w:r>
    </w:p>
    <w:p w14:paraId="200FAF24">
      <w:pPr>
        <w:rPr>
          <w:rFonts w:ascii="Times New Roman" w:hAnsi="Times New Roman"/>
          <w:sz w:val="28"/>
          <w:szCs w:val="28"/>
        </w:rPr>
      </w:pPr>
    </w:p>
    <w:p w14:paraId="14BEBD3D">
      <w:pPr>
        <w:rPr>
          <w:rFonts w:ascii="Times New Roman" w:hAnsi="Times New Roman"/>
          <w:sz w:val="28"/>
          <w:szCs w:val="28"/>
        </w:rPr>
      </w:pPr>
    </w:p>
    <w:p w14:paraId="746E99BC">
      <w:pPr>
        <w:rPr>
          <w:rFonts w:ascii="Times New Roman" w:hAnsi="Times New Roman"/>
          <w:sz w:val="28"/>
          <w:szCs w:val="28"/>
        </w:rPr>
      </w:pPr>
    </w:p>
    <w:p w14:paraId="520CB390">
      <w:pPr>
        <w:rPr>
          <w:rFonts w:ascii="Times New Roman" w:hAnsi="Times New Roman"/>
          <w:sz w:val="28"/>
          <w:szCs w:val="28"/>
        </w:rPr>
      </w:pPr>
    </w:p>
    <w:p w14:paraId="4C51754D">
      <w:pPr>
        <w:rPr>
          <w:rFonts w:ascii="Times New Roman" w:hAnsi="Times New Roman"/>
          <w:sz w:val="28"/>
          <w:szCs w:val="28"/>
        </w:rPr>
      </w:pPr>
      <w:r>
        <w:rPr>
          <w:rFonts w:hint="eastAsia" w:ascii="Times New Roman" w:hAnsi="Times New Roman"/>
          <w:sz w:val="28"/>
          <w:szCs w:val="28"/>
        </w:rPr>
        <w:t xml:space="preserve">产品名称：____________________________  </w:t>
      </w:r>
    </w:p>
    <w:p w14:paraId="6C0DEA94">
      <w:pPr>
        <w:rPr>
          <w:rFonts w:ascii="Times New Roman" w:hAnsi="Times New Roman"/>
          <w:sz w:val="28"/>
          <w:szCs w:val="28"/>
        </w:rPr>
      </w:pPr>
      <w:r>
        <w:rPr>
          <w:rFonts w:hint="eastAsia" w:ascii="Times New Roman" w:hAnsi="Times New Roman"/>
          <w:sz w:val="28"/>
          <w:szCs w:val="28"/>
        </w:rPr>
        <w:t>委托单位名称：_____________________________</w:t>
      </w:r>
    </w:p>
    <w:p w14:paraId="6CED2746">
      <w:pPr>
        <w:rPr>
          <w:rFonts w:ascii="Times New Roman" w:hAnsi="Times New Roman"/>
          <w:sz w:val="28"/>
          <w:szCs w:val="28"/>
        </w:rPr>
      </w:pPr>
      <w:r>
        <w:rPr>
          <w:rFonts w:hint="eastAsia" w:ascii="Times New Roman" w:hAnsi="Times New Roman"/>
          <w:sz w:val="28"/>
          <w:szCs w:val="28"/>
        </w:rPr>
        <w:t>评价报告编号：_____________________________</w:t>
      </w:r>
    </w:p>
    <w:p w14:paraId="61089DD7">
      <w:pPr>
        <w:rPr>
          <w:rFonts w:ascii="Times New Roman" w:hAnsi="Times New Roman"/>
          <w:sz w:val="28"/>
          <w:szCs w:val="28"/>
        </w:rPr>
      </w:pPr>
      <w:r>
        <w:rPr>
          <w:rFonts w:hint="eastAsia" w:ascii="Times New Roman" w:hAnsi="Times New Roman"/>
          <w:sz w:val="28"/>
          <w:szCs w:val="28"/>
        </w:rPr>
        <w:t>评价依据：_____________________________</w:t>
      </w:r>
    </w:p>
    <w:p w14:paraId="229C3339">
      <w:pPr>
        <w:rPr>
          <w:rFonts w:ascii="Times New Roman" w:hAnsi="Times New Roman"/>
          <w:sz w:val="28"/>
          <w:szCs w:val="28"/>
        </w:rPr>
      </w:pPr>
    </w:p>
    <w:p w14:paraId="5D65DDAF">
      <w:pPr>
        <w:rPr>
          <w:rFonts w:ascii="Times New Roman" w:hAnsi="Times New Roman"/>
          <w:sz w:val="28"/>
          <w:szCs w:val="28"/>
        </w:rPr>
      </w:pPr>
    </w:p>
    <w:p w14:paraId="27F66375">
      <w:pPr>
        <w:rPr>
          <w:rFonts w:ascii="Times New Roman" w:hAnsi="Times New Roman"/>
          <w:sz w:val="28"/>
          <w:szCs w:val="28"/>
        </w:rPr>
      </w:pPr>
      <w:r>
        <w:rPr>
          <w:rFonts w:hint="eastAsia" w:ascii="Times New Roman" w:hAnsi="Times New Roman"/>
          <w:sz w:val="28"/>
          <w:szCs w:val="28"/>
        </w:rPr>
        <w:t>评价结论：__________公司（填写纸制品包装生产者的全名）生产（或填写“提供”）_____________的（填写所评价的纸制品包装名称），从制造阶段到使用阶段的碳排放为__________kg CO</w:t>
      </w:r>
      <w:r>
        <w:rPr>
          <w:rFonts w:hint="eastAsia" w:ascii="Times New Roman" w:hAnsi="Times New Roman"/>
          <w:sz w:val="28"/>
          <w:szCs w:val="28"/>
          <w:vertAlign w:val="subscript"/>
        </w:rPr>
        <w:t>2</w:t>
      </w:r>
      <w:r>
        <w:rPr>
          <w:rFonts w:hint="eastAsia" w:ascii="Times New Roman" w:hAnsi="Times New Roman"/>
          <w:sz w:val="28"/>
          <w:szCs w:val="28"/>
        </w:rPr>
        <w:t>e。</w:t>
      </w:r>
    </w:p>
    <w:p w14:paraId="32525406">
      <w:pPr>
        <w:rPr>
          <w:rFonts w:ascii="Times New Roman" w:hAnsi="Times New Roman"/>
          <w:sz w:val="28"/>
          <w:szCs w:val="28"/>
        </w:rPr>
      </w:pPr>
    </w:p>
    <w:p w14:paraId="1B6E3FD3">
      <w:pPr>
        <w:rPr>
          <w:rFonts w:ascii="Times New Roman" w:hAnsi="Times New Roman"/>
          <w:sz w:val="28"/>
          <w:szCs w:val="28"/>
        </w:rPr>
      </w:pPr>
    </w:p>
    <w:p w14:paraId="6F934CBA">
      <w:pPr>
        <w:rPr>
          <w:rFonts w:ascii="Times New Roman" w:hAnsi="Times New Roman"/>
          <w:sz w:val="28"/>
          <w:szCs w:val="28"/>
        </w:rPr>
      </w:pPr>
      <w:r>
        <w:rPr>
          <w:rFonts w:hint="eastAsia" w:ascii="Times New Roman" w:hAnsi="Times New Roman"/>
          <w:sz w:val="28"/>
          <w:szCs w:val="28"/>
        </w:rPr>
        <w:t>批准人：_____________________________（签名）</w:t>
      </w:r>
    </w:p>
    <w:p w14:paraId="00F37BED">
      <w:pPr>
        <w:rPr>
          <w:rFonts w:ascii="Times New Roman" w:hAnsi="Times New Roman"/>
          <w:sz w:val="28"/>
          <w:szCs w:val="28"/>
        </w:rPr>
      </w:pPr>
      <w:r>
        <w:rPr>
          <w:rFonts w:hint="eastAsia" w:ascii="Times New Roman" w:hAnsi="Times New Roman"/>
          <w:sz w:val="28"/>
          <w:szCs w:val="28"/>
        </w:rPr>
        <w:t>评价机构：_____________________________（盖章）</w:t>
      </w:r>
    </w:p>
    <w:p w14:paraId="17E5EC6C">
      <w:pPr>
        <w:rPr>
          <w:rFonts w:ascii="Times New Roman" w:hAnsi="Times New Roman"/>
          <w:sz w:val="28"/>
          <w:szCs w:val="28"/>
        </w:rPr>
      </w:pPr>
      <w:r>
        <w:rPr>
          <w:rFonts w:hint="eastAsia" w:ascii="Times New Roman" w:hAnsi="Times New Roman"/>
          <w:sz w:val="28"/>
          <w:szCs w:val="28"/>
        </w:rPr>
        <w:t>批准日期：________ 年_______ 月_______ 日</w:t>
      </w:r>
    </w:p>
    <w:p w14:paraId="6AAB9CFC">
      <w:pPr>
        <w:spacing w:line="360" w:lineRule="auto"/>
        <w:rPr>
          <w:rFonts w:hint="eastAsia" w:ascii="宋体" w:hAnsi="宋体"/>
          <w:sz w:val="28"/>
          <w:szCs w:val="28"/>
        </w:rPr>
      </w:pPr>
      <w:r>
        <w:rPr>
          <w:rFonts w:hint="eastAsia" w:ascii="宋体" w:hAnsi="宋体"/>
          <w:sz w:val="28"/>
          <w:szCs w:val="28"/>
        </w:rPr>
        <w:t>一、基本情况</w:t>
      </w:r>
    </w:p>
    <w:p w14:paraId="54B26C44">
      <w:pPr>
        <w:pStyle w:val="13"/>
        <w:spacing w:line="360" w:lineRule="auto"/>
        <w:ind w:left="432" w:firstLine="0" w:firstLineChars="0"/>
        <w:jc w:val="center"/>
        <w:rPr>
          <w:rFonts w:hint="eastAsia" w:ascii="宋体" w:hAnsi="宋体"/>
          <w:szCs w:val="21"/>
        </w:rPr>
      </w:pPr>
      <w:r>
        <w:rPr>
          <w:rFonts w:hint="eastAsia" w:ascii="宋体" w:hAnsi="宋体"/>
          <w:szCs w:val="21"/>
        </w:rPr>
        <w:t>表一 基本情况</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0"/>
        <w:gridCol w:w="2359"/>
        <w:gridCol w:w="787"/>
        <w:gridCol w:w="787"/>
        <w:gridCol w:w="787"/>
        <w:gridCol w:w="787"/>
        <w:gridCol w:w="787"/>
      </w:tblGrid>
      <w:tr w14:paraId="2F81F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restart"/>
            <w:vAlign w:val="center"/>
          </w:tcPr>
          <w:p w14:paraId="5BF04079">
            <w:pPr>
              <w:pStyle w:val="13"/>
              <w:spacing w:line="360" w:lineRule="auto"/>
              <w:ind w:firstLine="0" w:firstLineChars="0"/>
              <w:jc w:val="center"/>
              <w:rPr>
                <w:rFonts w:hint="eastAsia" w:ascii="宋体" w:hAnsi="宋体"/>
                <w:szCs w:val="21"/>
              </w:rPr>
            </w:pPr>
            <w:r>
              <w:rPr>
                <w:rFonts w:hint="eastAsia" w:ascii="宋体" w:hAnsi="宋体"/>
                <w:szCs w:val="21"/>
              </w:rPr>
              <w:t>生产单位</w:t>
            </w:r>
          </w:p>
        </w:tc>
        <w:tc>
          <w:tcPr>
            <w:tcW w:w="2359" w:type="dxa"/>
            <w:vAlign w:val="center"/>
          </w:tcPr>
          <w:p w14:paraId="2AE63EA5">
            <w:pPr>
              <w:pStyle w:val="13"/>
              <w:spacing w:line="360" w:lineRule="auto"/>
              <w:ind w:firstLine="0" w:firstLineChars="0"/>
              <w:jc w:val="center"/>
              <w:rPr>
                <w:rFonts w:hint="eastAsia" w:ascii="宋体" w:hAnsi="宋体"/>
                <w:szCs w:val="21"/>
              </w:rPr>
            </w:pPr>
            <w:r>
              <w:rPr>
                <w:rFonts w:hint="eastAsia" w:ascii="宋体" w:hAnsi="宋体"/>
                <w:szCs w:val="21"/>
              </w:rPr>
              <w:t>单位名称</w:t>
            </w:r>
          </w:p>
        </w:tc>
        <w:tc>
          <w:tcPr>
            <w:tcW w:w="787" w:type="dxa"/>
            <w:vAlign w:val="center"/>
          </w:tcPr>
          <w:p w14:paraId="5DFE0DDE">
            <w:pPr>
              <w:pStyle w:val="13"/>
              <w:spacing w:line="360" w:lineRule="auto"/>
              <w:ind w:firstLine="0" w:firstLineChars="0"/>
              <w:jc w:val="center"/>
              <w:rPr>
                <w:szCs w:val="21"/>
              </w:rPr>
            </w:pPr>
          </w:p>
        </w:tc>
        <w:tc>
          <w:tcPr>
            <w:tcW w:w="787" w:type="dxa"/>
            <w:vAlign w:val="center"/>
          </w:tcPr>
          <w:p w14:paraId="7666D3E3">
            <w:pPr>
              <w:pStyle w:val="13"/>
              <w:spacing w:line="360" w:lineRule="auto"/>
              <w:ind w:firstLine="0" w:firstLineChars="0"/>
              <w:jc w:val="center"/>
              <w:rPr>
                <w:szCs w:val="21"/>
              </w:rPr>
            </w:pPr>
          </w:p>
        </w:tc>
        <w:tc>
          <w:tcPr>
            <w:tcW w:w="787" w:type="dxa"/>
            <w:vAlign w:val="center"/>
          </w:tcPr>
          <w:p w14:paraId="61DBAE4A">
            <w:pPr>
              <w:pStyle w:val="13"/>
              <w:spacing w:line="360" w:lineRule="auto"/>
              <w:ind w:firstLine="0" w:firstLineChars="0"/>
              <w:jc w:val="center"/>
              <w:rPr>
                <w:szCs w:val="21"/>
              </w:rPr>
            </w:pPr>
          </w:p>
        </w:tc>
        <w:tc>
          <w:tcPr>
            <w:tcW w:w="787" w:type="dxa"/>
            <w:vAlign w:val="center"/>
          </w:tcPr>
          <w:p w14:paraId="43BA2C6B">
            <w:pPr>
              <w:pStyle w:val="13"/>
              <w:spacing w:line="360" w:lineRule="auto"/>
              <w:ind w:firstLine="0" w:firstLineChars="0"/>
              <w:jc w:val="center"/>
              <w:rPr>
                <w:szCs w:val="21"/>
              </w:rPr>
            </w:pPr>
          </w:p>
        </w:tc>
        <w:tc>
          <w:tcPr>
            <w:tcW w:w="787" w:type="dxa"/>
            <w:vAlign w:val="center"/>
          </w:tcPr>
          <w:p w14:paraId="5846CF0D">
            <w:pPr>
              <w:pStyle w:val="13"/>
              <w:spacing w:line="360" w:lineRule="auto"/>
              <w:ind w:firstLine="0" w:firstLineChars="0"/>
              <w:jc w:val="center"/>
              <w:rPr>
                <w:szCs w:val="21"/>
              </w:rPr>
            </w:pPr>
          </w:p>
        </w:tc>
      </w:tr>
      <w:tr w14:paraId="36D53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vAlign w:val="center"/>
          </w:tcPr>
          <w:p w14:paraId="283354A0">
            <w:pPr>
              <w:pStyle w:val="13"/>
              <w:spacing w:line="360" w:lineRule="auto"/>
              <w:ind w:firstLine="0" w:firstLineChars="0"/>
              <w:jc w:val="center"/>
              <w:rPr>
                <w:rFonts w:hint="eastAsia" w:ascii="宋体" w:hAnsi="宋体"/>
                <w:szCs w:val="21"/>
              </w:rPr>
            </w:pPr>
          </w:p>
        </w:tc>
        <w:tc>
          <w:tcPr>
            <w:tcW w:w="2359" w:type="dxa"/>
            <w:vAlign w:val="center"/>
          </w:tcPr>
          <w:p w14:paraId="54424AC7">
            <w:pPr>
              <w:pStyle w:val="13"/>
              <w:spacing w:line="360" w:lineRule="auto"/>
              <w:ind w:firstLine="0" w:firstLineChars="0"/>
              <w:jc w:val="center"/>
              <w:rPr>
                <w:rFonts w:hint="eastAsia" w:ascii="宋体" w:hAnsi="宋体"/>
                <w:szCs w:val="21"/>
              </w:rPr>
            </w:pPr>
            <w:r>
              <w:rPr>
                <w:rFonts w:hint="eastAsia" w:ascii="宋体" w:hAnsi="宋体"/>
                <w:szCs w:val="21"/>
              </w:rPr>
              <w:t>单位地址</w:t>
            </w:r>
          </w:p>
        </w:tc>
        <w:tc>
          <w:tcPr>
            <w:tcW w:w="787" w:type="dxa"/>
            <w:vAlign w:val="center"/>
          </w:tcPr>
          <w:p w14:paraId="0E3B872B">
            <w:pPr>
              <w:pStyle w:val="13"/>
              <w:spacing w:line="360" w:lineRule="auto"/>
              <w:ind w:firstLine="0" w:firstLineChars="0"/>
              <w:jc w:val="center"/>
              <w:rPr>
                <w:szCs w:val="21"/>
              </w:rPr>
            </w:pPr>
          </w:p>
        </w:tc>
        <w:tc>
          <w:tcPr>
            <w:tcW w:w="787" w:type="dxa"/>
            <w:vAlign w:val="center"/>
          </w:tcPr>
          <w:p w14:paraId="1CBD2C0E">
            <w:pPr>
              <w:pStyle w:val="13"/>
              <w:spacing w:line="360" w:lineRule="auto"/>
              <w:ind w:firstLine="0" w:firstLineChars="0"/>
              <w:jc w:val="center"/>
              <w:rPr>
                <w:szCs w:val="21"/>
              </w:rPr>
            </w:pPr>
          </w:p>
        </w:tc>
        <w:tc>
          <w:tcPr>
            <w:tcW w:w="787" w:type="dxa"/>
            <w:vAlign w:val="center"/>
          </w:tcPr>
          <w:p w14:paraId="204FC7BD">
            <w:pPr>
              <w:pStyle w:val="13"/>
              <w:spacing w:line="360" w:lineRule="auto"/>
              <w:ind w:firstLine="0" w:firstLineChars="0"/>
              <w:jc w:val="center"/>
              <w:rPr>
                <w:szCs w:val="21"/>
              </w:rPr>
            </w:pPr>
          </w:p>
        </w:tc>
        <w:tc>
          <w:tcPr>
            <w:tcW w:w="787" w:type="dxa"/>
            <w:vAlign w:val="center"/>
          </w:tcPr>
          <w:p w14:paraId="2FAE6F69">
            <w:pPr>
              <w:pStyle w:val="13"/>
              <w:spacing w:line="360" w:lineRule="auto"/>
              <w:ind w:firstLine="0" w:firstLineChars="0"/>
              <w:jc w:val="center"/>
              <w:rPr>
                <w:szCs w:val="21"/>
              </w:rPr>
            </w:pPr>
          </w:p>
        </w:tc>
        <w:tc>
          <w:tcPr>
            <w:tcW w:w="787" w:type="dxa"/>
            <w:vAlign w:val="center"/>
          </w:tcPr>
          <w:p w14:paraId="51F4C923">
            <w:pPr>
              <w:pStyle w:val="13"/>
              <w:spacing w:line="360" w:lineRule="auto"/>
              <w:ind w:firstLine="0" w:firstLineChars="0"/>
              <w:jc w:val="center"/>
              <w:rPr>
                <w:szCs w:val="21"/>
              </w:rPr>
            </w:pPr>
          </w:p>
        </w:tc>
      </w:tr>
      <w:tr w14:paraId="70F74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vAlign w:val="center"/>
          </w:tcPr>
          <w:p w14:paraId="2C3FBB34">
            <w:pPr>
              <w:pStyle w:val="13"/>
              <w:spacing w:line="360" w:lineRule="auto"/>
              <w:ind w:firstLine="0" w:firstLineChars="0"/>
              <w:jc w:val="center"/>
              <w:rPr>
                <w:rFonts w:hint="eastAsia" w:ascii="宋体" w:hAnsi="宋体"/>
                <w:szCs w:val="21"/>
              </w:rPr>
            </w:pPr>
          </w:p>
        </w:tc>
        <w:tc>
          <w:tcPr>
            <w:tcW w:w="2359" w:type="dxa"/>
            <w:vAlign w:val="center"/>
          </w:tcPr>
          <w:p w14:paraId="23FD8259">
            <w:pPr>
              <w:pStyle w:val="13"/>
              <w:spacing w:line="360" w:lineRule="auto"/>
              <w:ind w:firstLine="0" w:firstLineChars="0"/>
              <w:jc w:val="center"/>
              <w:rPr>
                <w:rFonts w:hint="eastAsia" w:ascii="宋体" w:hAnsi="宋体"/>
                <w:szCs w:val="21"/>
              </w:rPr>
            </w:pPr>
            <w:r>
              <w:rPr>
                <w:rFonts w:hint="eastAsia" w:ascii="宋体" w:hAnsi="宋体"/>
                <w:szCs w:val="21"/>
              </w:rPr>
              <w:t>法定代表人</w:t>
            </w:r>
          </w:p>
        </w:tc>
        <w:tc>
          <w:tcPr>
            <w:tcW w:w="787" w:type="dxa"/>
            <w:vAlign w:val="center"/>
          </w:tcPr>
          <w:p w14:paraId="4F7E5C9C">
            <w:pPr>
              <w:pStyle w:val="13"/>
              <w:spacing w:line="360" w:lineRule="auto"/>
              <w:ind w:firstLine="0" w:firstLineChars="0"/>
              <w:jc w:val="center"/>
              <w:rPr>
                <w:szCs w:val="21"/>
              </w:rPr>
            </w:pPr>
          </w:p>
        </w:tc>
        <w:tc>
          <w:tcPr>
            <w:tcW w:w="787" w:type="dxa"/>
            <w:vAlign w:val="center"/>
          </w:tcPr>
          <w:p w14:paraId="3DB3A311">
            <w:pPr>
              <w:pStyle w:val="13"/>
              <w:spacing w:line="360" w:lineRule="auto"/>
              <w:ind w:firstLine="0" w:firstLineChars="0"/>
              <w:jc w:val="center"/>
              <w:rPr>
                <w:szCs w:val="21"/>
              </w:rPr>
            </w:pPr>
          </w:p>
        </w:tc>
        <w:tc>
          <w:tcPr>
            <w:tcW w:w="787" w:type="dxa"/>
            <w:vAlign w:val="center"/>
          </w:tcPr>
          <w:p w14:paraId="2F838736">
            <w:pPr>
              <w:pStyle w:val="13"/>
              <w:spacing w:line="360" w:lineRule="auto"/>
              <w:ind w:firstLine="0" w:firstLineChars="0"/>
              <w:jc w:val="center"/>
              <w:rPr>
                <w:szCs w:val="21"/>
              </w:rPr>
            </w:pPr>
          </w:p>
        </w:tc>
        <w:tc>
          <w:tcPr>
            <w:tcW w:w="787" w:type="dxa"/>
            <w:vAlign w:val="center"/>
          </w:tcPr>
          <w:p w14:paraId="63E6F9C2">
            <w:pPr>
              <w:pStyle w:val="13"/>
              <w:spacing w:line="360" w:lineRule="auto"/>
              <w:ind w:firstLine="0" w:firstLineChars="0"/>
              <w:jc w:val="center"/>
              <w:rPr>
                <w:szCs w:val="21"/>
              </w:rPr>
            </w:pPr>
          </w:p>
        </w:tc>
        <w:tc>
          <w:tcPr>
            <w:tcW w:w="787" w:type="dxa"/>
            <w:vAlign w:val="center"/>
          </w:tcPr>
          <w:p w14:paraId="2F086AD5">
            <w:pPr>
              <w:pStyle w:val="13"/>
              <w:spacing w:line="360" w:lineRule="auto"/>
              <w:ind w:firstLine="0" w:firstLineChars="0"/>
              <w:jc w:val="center"/>
              <w:rPr>
                <w:szCs w:val="21"/>
              </w:rPr>
            </w:pPr>
          </w:p>
        </w:tc>
      </w:tr>
      <w:tr w14:paraId="2A851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vAlign w:val="center"/>
          </w:tcPr>
          <w:p w14:paraId="589F4A96">
            <w:pPr>
              <w:pStyle w:val="13"/>
              <w:spacing w:line="360" w:lineRule="auto"/>
              <w:ind w:firstLine="0" w:firstLineChars="0"/>
              <w:jc w:val="center"/>
              <w:rPr>
                <w:rFonts w:hint="eastAsia" w:ascii="宋体" w:hAnsi="宋体"/>
                <w:szCs w:val="21"/>
              </w:rPr>
            </w:pPr>
          </w:p>
        </w:tc>
        <w:tc>
          <w:tcPr>
            <w:tcW w:w="2359" w:type="dxa"/>
            <w:vAlign w:val="center"/>
          </w:tcPr>
          <w:p w14:paraId="71FD33EE">
            <w:pPr>
              <w:pStyle w:val="13"/>
              <w:spacing w:line="360" w:lineRule="auto"/>
              <w:ind w:firstLine="0" w:firstLineChars="0"/>
              <w:jc w:val="center"/>
              <w:rPr>
                <w:rFonts w:hint="eastAsia" w:ascii="宋体" w:hAnsi="宋体"/>
                <w:szCs w:val="21"/>
              </w:rPr>
            </w:pPr>
            <w:r>
              <w:rPr>
                <w:rFonts w:hint="eastAsia" w:ascii="宋体" w:hAnsi="宋体"/>
                <w:szCs w:val="21"/>
              </w:rPr>
              <w:t>联系人</w:t>
            </w:r>
          </w:p>
        </w:tc>
        <w:tc>
          <w:tcPr>
            <w:tcW w:w="787" w:type="dxa"/>
            <w:vAlign w:val="center"/>
          </w:tcPr>
          <w:p w14:paraId="19BE30B1">
            <w:pPr>
              <w:pStyle w:val="13"/>
              <w:spacing w:line="360" w:lineRule="auto"/>
              <w:ind w:firstLine="0" w:firstLineChars="0"/>
              <w:jc w:val="center"/>
              <w:rPr>
                <w:szCs w:val="21"/>
              </w:rPr>
            </w:pPr>
          </w:p>
        </w:tc>
        <w:tc>
          <w:tcPr>
            <w:tcW w:w="787" w:type="dxa"/>
            <w:vAlign w:val="center"/>
          </w:tcPr>
          <w:p w14:paraId="305EBA43">
            <w:pPr>
              <w:pStyle w:val="13"/>
              <w:spacing w:line="360" w:lineRule="auto"/>
              <w:ind w:firstLine="0" w:firstLineChars="0"/>
              <w:jc w:val="center"/>
              <w:rPr>
                <w:szCs w:val="21"/>
              </w:rPr>
            </w:pPr>
          </w:p>
        </w:tc>
        <w:tc>
          <w:tcPr>
            <w:tcW w:w="787" w:type="dxa"/>
            <w:vAlign w:val="center"/>
          </w:tcPr>
          <w:p w14:paraId="3D1C6C83">
            <w:pPr>
              <w:pStyle w:val="13"/>
              <w:spacing w:line="360" w:lineRule="auto"/>
              <w:ind w:firstLine="0" w:firstLineChars="0"/>
              <w:jc w:val="center"/>
              <w:rPr>
                <w:szCs w:val="21"/>
              </w:rPr>
            </w:pPr>
          </w:p>
        </w:tc>
        <w:tc>
          <w:tcPr>
            <w:tcW w:w="787" w:type="dxa"/>
            <w:vAlign w:val="center"/>
          </w:tcPr>
          <w:p w14:paraId="067BC512">
            <w:pPr>
              <w:pStyle w:val="13"/>
              <w:spacing w:line="360" w:lineRule="auto"/>
              <w:ind w:firstLine="0" w:firstLineChars="0"/>
              <w:jc w:val="center"/>
              <w:rPr>
                <w:szCs w:val="21"/>
              </w:rPr>
            </w:pPr>
          </w:p>
        </w:tc>
        <w:tc>
          <w:tcPr>
            <w:tcW w:w="787" w:type="dxa"/>
            <w:vAlign w:val="center"/>
          </w:tcPr>
          <w:p w14:paraId="5543F118">
            <w:pPr>
              <w:pStyle w:val="13"/>
              <w:spacing w:line="360" w:lineRule="auto"/>
              <w:ind w:firstLine="0" w:firstLineChars="0"/>
              <w:jc w:val="center"/>
              <w:rPr>
                <w:szCs w:val="21"/>
              </w:rPr>
            </w:pPr>
          </w:p>
        </w:tc>
      </w:tr>
      <w:tr w14:paraId="5E503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vAlign w:val="center"/>
          </w:tcPr>
          <w:p w14:paraId="4DD0C5A7">
            <w:pPr>
              <w:pStyle w:val="13"/>
              <w:spacing w:line="360" w:lineRule="auto"/>
              <w:ind w:firstLine="0" w:firstLineChars="0"/>
              <w:jc w:val="center"/>
              <w:rPr>
                <w:rFonts w:hint="eastAsia" w:ascii="宋体" w:hAnsi="宋体"/>
                <w:szCs w:val="21"/>
              </w:rPr>
            </w:pPr>
          </w:p>
        </w:tc>
        <w:tc>
          <w:tcPr>
            <w:tcW w:w="2359" w:type="dxa"/>
            <w:vAlign w:val="center"/>
          </w:tcPr>
          <w:p w14:paraId="5D3B6EA9">
            <w:pPr>
              <w:pStyle w:val="13"/>
              <w:spacing w:line="360" w:lineRule="auto"/>
              <w:ind w:firstLine="0" w:firstLineChars="0"/>
              <w:jc w:val="center"/>
              <w:rPr>
                <w:rFonts w:hint="eastAsia" w:ascii="宋体" w:hAnsi="宋体"/>
                <w:szCs w:val="21"/>
              </w:rPr>
            </w:pPr>
            <w:r>
              <w:rPr>
                <w:rFonts w:hint="eastAsia" w:ascii="宋体" w:hAnsi="宋体"/>
                <w:szCs w:val="21"/>
              </w:rPr>
              <w:t>联系方式</w:t>
            </w:r>
          </w:p>
        </w:tc>
        <w:tc>
          <w:tcPr>
            <w:tcW w:w="787" w:type="dxa"/>
            <w:vAlign w:val="center"/>
          </w:tcPr>
          <w:p w14:paraId="4C111ED0">
            <w:pPr>
              <w:pStyle w:val="13"/>
              <w:spacing w:line="360" w:lineRule="auto"/>
              <w:ind w:firstLine="0" w:firstLineChars="0"/>
              <w:jc w:val="center"/>
              <w:rPr>
                <w:szCs w:val="21"/>
              </w:rPr>
            </w:pPr>
          </w:p>
        </w:tc>
        <w:tc>
          <w:tcPr>
            <w:tcW w:w="787" w:type="dxa"/>
            <w:vAlign w:val="center"/>
          </w:tcPr>
          <w:p w14:paraId="47D7EE19">
            <w:pPr>
              <w:pStyle w:val="13"/>
              <w:spacing w:line="360" w:lineRule="auto"/>
              <w:ind w:firstLine="0" w:firstLineChars="0"/>
              <w:jc w:val="center"/>
              <w:rPr>
                <w:szCs w:val="21"/>
              </w:rPr>
            </w:pPr>
          </w:p>
        </w:tc>
        <w:tc>
          <w:tcPr>
            <w:tcW w:w="787" w:type="dxa"/>
            <w:vAlign w:val="center"/>
          </w:tcPr>
          <w:p w14:paraId="41D61B6F">
            <w:pPr>
              <w:pStyle w:val="13"/>
              <w:spacing w:line="360" w:lineRule="auto"/>
              <w:ind w:firstLine="0" w:firstLineChars="0"/>
              <w:jc w:val="center"/>
              <w:rPr>
                <w:szCs w:val="21"/>
              </w:rPr>
            </w:pPr>
          </w:p>
        </w:tc>
        <w:tc>
          <w:tcPr>
            <w:tcW w:w="787" w:type="dxa"/>
            <w:vAlign w:val="center"/>
          </w:tcPr>
          <w:p w14:paraId="4DE74FCF">
            <w:pPr>
              <w:pStyle w:val="13"/>
              <w:spacing w:line="360" w:lineRule="auto"/>
              <w:ind w:firstLine="0" w:firstLineChars="0"/>
              <w:jc w:val="center"/>
              <w:rPr>
                <w:szCs w:val="21"/>
              </w:rPr>
            </w:pPr>
          </w:p>
        </w:tc>
        <w:tc>
          <w:tcPr>
            <w:tcW w:w="787" w:type="dxa"/>
            <w:vAlign w:val="center"/>
          </w:tcPr>
          <w:p w14:paraId="3DED93E9">
            <w:pPr>
              <w:pStyle w:val="13"/>
              <w:spacing w:line="360" w:lineRule="auto"/>
              <w:ind w:firstLine="0" w:firstLineChars="0"/>
              <w:jc w:val="center"/>
              <w:rPr>
                <w:szCs w:val="21"/>
              </w:rPr>
            </w:pPr>
          </w:p>
        </w:tc>
      </w:tr>
      <w:tr w14:paraId="02398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restart"/>
            <w:vAlign w:val="center"/>
          </w:tcPr>
          <w:p w14:paraId="4683EFFE">
            <w:pPr>
              <w:pStyle w:val="13"/>
              <w:spacing w:line="360" w:lineRule="auto"/>
              <w:ind w:firstLine="0" w:firstLineChars="0"/>
              <w:jc w:val="center"/>
              <w:rPr>
                <w:rFonts w:hint="eastAsia" w:ascii="宋体" w:hAnsi="宋体"/>
                <w:szCs w:val="21"/>
              </w:rPr>
            </w:pPr>
            <w:r>
              <w:rPr>
                <w:rFonts w:hint="eastAsia" w:ascii="宋体" w:hAnsi="宋体"/>
                <w:szCs w:val="21"/>
              </w:rPr>
              <w:t>评价产品</w:t>
            </w:r>
          </w:p>
        </w:tc>
        <w:tc>
          <w:tcPr>
            <w:tcW w:w="2359" w:type="dxa"/>
            <w:vAlign w:val="center"/>
          </w:tcPr>
          <w:p w14:paraId="4E9ABADD">
            <w:pPr>
              <w:pStyle w:val="13"/>
              <w:spacing w:line="360" w:lineRule="auto"/>
              <w:ind w:firstLine="0" w:firstLineChars="0"/>
              <w:jc w:val="center"/>
              <w:rPr>
                <w:rFonts w:hint="eastAsia" w:ascii="宋体" w:hAnsi="宋体"/>
                <w:szCs w:val="21"/>
              </w:rPr>
            </w:pPr>
            <w:r>
              <w:rPr>
                <w:rFonts w:hint="eastAsia" w:ascii="宋体" w:hAnsi="宋体"/>
                <w:szCs w:val="21"/>
              </w:rPr>
              <w:t>产品名称</w:t>
            </w:r>
          </w:p>
        </w:tc>
        <w:tc>
          <w:tcPr>
            <w:tcW w:w="787" w:type="dxa"/>
            <w:vAlign w:val="center"/>
          </w:tcPr>
          <w:p w14:paraId="20FF9717">
            <w:pPr>
              <w:pStyle w:val="13"/>
              <w:spacing w:line="360" w:lineRule="auto"/>
              <w:ind w:firstLine="0" w:firstLineChars="0"/>
              <w:jc w:val="center"/>
              <w:rPr>
                <w:szCs w:val="21"/>
              </w:rPr>
            </w:pPr>
          </w:p>
        </w:tc>
        <w:tc>
          <w:tcPr>
            <w:tcW w:w="787" w:type="dxa"/>
            <w:vAlign w:val="center"/>
          </w:tcPr>
          <w:p w14:paraId="085408ED">
            <w:pPr>
              <w:pStyle w:val="13"/>
              <w:spacing w:line="360" w:lineRule="auto"/>
              <w:ind w:firstLine="0" w:firstLineChars="0"/>
              <w:jc w:val="center"/>
              <w:rPr>
                <w:szCs w:val="21"/>
              </w:rPr>
            </w:pPr>
          </w:p>
        </w:tc>
        <w:tc>
          <w:tcPr>
            <w:tcW w:w="787" w:type="dxa"/>
            <w:vAlign w:val="center"/>
          </w:tcPr>
          <w:p w14:paraId="1AE72F16">
            <w:pPr>
              <w:pStyle w:val="13"/>
              <w:spacing w:line="360" w:lineRule="auto"/>
              <w:ind w:firstLine="0" w:firstLineChars="0"/>
              <w:jc w:val="center"/>
              <w:rPr>
                <w:szCs w:val="21"/>
              </w:rPr>
            </w:pPr>
          </w:p>
        </w:tc>
        <w:tc>
          <w:tcPr>
            <w:tcW w:w="787" w:type="dxa"/>
            <w:vAlign w:val="center"/>
          </w:tcPr>
          <w:p w14:paraId="3206214E">
            <w:pPr>
              <w:pStyle w:val="13"/>
              <w:spacing w:line="360" w:lineRule="auto"/>
              <w:ind w:firstLine="0" w:firstLineChars="0"/>
              <w:jc w:val="center"/>
              <w:rPr>
                <w:szCs w:val="21"/>
              </w:rPr>
            </w:pPr>
          </w:p>
        </w:tc>
        <w:tc>
          <w:tcPr>
            <w:tcW w:w="787" w:type="dxa"/>
            <w:vAlign w:val="center"/>
          </w:tcPr>
          <w:p w14:paraId="30387DA9">
            <w:pPr>
              <w:pStyle w:val="13"/>
              <w:spacing w:line="360" w:lineRule="auto"/>
              <w:ind w:firstLine="0" w:firstLineChars="0"/>
              <w:jc w:val="center"/>
              <w:rPr>
                <w:szCs w:val="21"/>
              </w:rPr>
            </w:pPr>
          </w:p>
        </w:tc>
      </w:tr>
      <w:tr w14:paraId="76884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vAlign w:val="center"/>
          </w:tcPr>
          <w:p w14:paraId="74A76017">
            <w:pPr>
              <w:pStyle w:val="13"/>
              <w:spacing w:line="360" w:lineRule="auto"/>
              <w:ind w:firstLine="0" w:firstLineChars="0"/>
              <w:jc w:val="center"/>
              <w:rPr>
                <w:rFonts w:hint="eastAsia" w:ascii="宋体" w:hAnsi="宋体"/>
                <w:szCs w:val="21"/>
              </w:rPr>
            </w:pPr>
          </w:p>
        </w:tc>
        <w:tc>
          <w:tcPr>
            <w:tcW w:w="2359" w:type="dxa"/>
            <w:vAlign w:val="center"/>
          </w:tcPr>
          <w:p w14:paraId="541E3DBB">
            <w:pPr>
              <w:pStyle w:val="13"/>
              <w:spacing w:line="360" w:lineRule="auto"/>
              <w:ind w:firstLine="0" w:firstLineChars="0"/>
              <w:jc w:val="center"/>
              <w:rPr>
                <w:rFonts w:hint="eastAsia" w:ascii="宋体" w:hAnsi="宋体"/>
                <w:szCs w:val="21"/>
              </w:rPr>
            </w:pPr>
            <w:r>
              <w:rPr>
                <w:rFonts w:hint="eastAsia" w:ascii="宋体" w:hAnsi="宋体"/>
                <w:szCs w:val="21"/>
              </w:rPr>
              <w:t>功能单位</w:t>
            </w:r>
          </w:p>
        </w:tc>
        <w:tc>
          <w:tcPr>
            <w:tcW w:w="787" w:type="dxa"/>
            <w:vAlign w:val="center"/>
          </w:tcPr>
          <w:p w14:paraId="27330494">
            <w:pPr>
              <w:pStyle w:val="13"/>
              <w:spacing w:line="360" w:lineRule="auto"/>
              <w:ind w:firstLine="0" w:firstLineChars="0"/>
              <w:jc w:val="center"/>
              <w:rPr>
                <w:szCs w:val="21"/>
              </w:rPr>
            </w:pPr>
          </w:p>
        </w:tc>
        <w:tc>
          <w:tcPr>
            <w:tcW w:w="787" w:type="dxa"/>
            <w:vAlign w:val="center"/>
          </w:tcPr>
          <w:p w14:paraId="6B436CD7">
            <w:pPr>
              <w:pStyle w:val="13"/>
              <w:spacing w:line="360" w:lineRule="auto"/>
              <w:ind w:firstLine="0" w:firstLineChars="0"/>
              <w:jc w:val="center"/>
              <w:rPr>
                <w:szCs w:val="21"/>
              </w:rPr>
            </w:pPr>
          </w:p>
        </w:tc>
        <w:tc>
          <w:tcPr>
            <w:tcW w:w="787" w:type="dxa"/>
            <w:vAlign w:val="center"/>
          </w:tcPr>
          <w:p w14:paraId="14B37476">
            <w:pPr>
              <w:pStyle w:val="13"/>
              <w:spacing w:line="360" w:lineRule="auto"/>
              <w:ind w:firstLine="0" w:firstLineChars="0"/>
              <w:jc w:val="center"/>
              <w:rPr>
                <w:szCs w:val="21"/>
              </w:rPr>
            </w:pPr>
          </w:p>
        </w:tc>
        <w:tc>
          <w:tcPr>
            <w:tcW w:w="787" w:type="dxa"/>
            <w:vAlign w:val="center"/>
          </w:tcPr>
          <w:p w14:paraId="43878C30">
            <w:pPr>
              <w:pStyle w:val="13"/>
              <w:spacing w:line="360" w:lineRule="auto"/>
              <w:ind w:firstLine="0" w:firstLineChars="0"/>
              <w:jc w:val="center"/>
              <w:rPr>
                <w:szCs w:val="21"/>
              </w:rPr>
            </w:pPr>
          </w:p>
        </w:tc>
        <w:tc>
          <w:tcPr>
            <w:tcW w:w="787" w:type="dxa"/>
            <w:vAlign w:val="center"/>
          </w:tcPr>
          <w:p w14:paraId="4219E58E">
            <w:pPr>
              <w:pStyle w:val="13"/>
              <w:spacing w:line="360" w:lineRule="auto"/>
              <w:ind w:firstLine="0" w:firstLineChars="0"/>
              <w:jc w:val="center"/>
              <w:rPr>
                <w:szCs w:val="21"/>
              </w:rPr>
            </w:pPr>
          </w:p>
        </w:tc>
      </w:tr>
      <w:tr w14:paraId="47CD8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70" w:type="dxa"/>
            <w:vMerge w:val="continue"/>
            <w:vAlign w:val="center"/>
          </w:tcPr>
          <w:p w14:paraId="64900B22">
            <w:pPr>
              <w:pStyle w:val="13"/>
              <w:spacing w:line="360" w:lineRule="auto"/>
              <w:ind w:firstLine="0" w:firstLineChars="0"/>
              <w:jc w:val="center"/>
              <w:rPr>
                <w:rFonts w:hint="eastAsia" w:ascii="宋体" w:hAnsi="宋体"/>
                <w:szCs w:val="21"/>
              </w:rPr>
            </w:pPr>
          </w:p>
        </w:tc>
        <w:tc>
          <w:tcPr>
            <w:tcW w:w="2359" w:type="dxa"/>
            <w:vAlign w:val="center"/>
          </w:tcPr>
          <w:p w14:paraId="0508037A">
            <w:pPr>
              <w:pStyle w:val="13"/>
              <w:spacing w:line="360" w:lineRule="auto"/>
              <w:ind w:firstLine="0" w:firstLineChars="0"/>
              <w:jc w:val="center"/>
              <w:rPr>
                <w:rFonts w:hint="eastAsia" w:ascii="宋体" w:hAnsi="宋体"/>
                <w:szCs w:val="21"/>
              </w:rPr>
            </w:pPr>
            <w:r>
              <w:rPr>
                <w:rFonts w:hint="eastAsia" w:ascii="宋体" w:hAnsi="宋体"/>
                <w:szCs w:val="21"/>
              </w:rPr>
              <w:t>产品介绍</w:t>
            </w:r>
          </w:p>
        </w:tc>
        <w:tc>
          <w:tcPr>
            <w:tcW w:w="787" w:type="dxa"/>
            <w:vAlign w:val="center"/>
          </w:tcPr>
          <w:p w14:paraId="1F7A16EB">
            <w:pPr>
              <w:pStyle w:val="13"/>
              <w:spacing w:line="360" w:lineRule="auto"/>
              <w:ind w:firstLine="0" w:firstLineChars="0"/>
              <w:jc w:val="center"/>
              <w:rPr>
                <w:szCs w:val="21"/>
              </w:rPr>
            </w:pPr>
          </w:p>
        </w:tc>
        <w:tc>
          <w:tcPr>
            <w:tcW w:w="787" w:type="dxa"/>
            <w:vAlign w:val="center"/>
          </w:tcPr>
          <w:p w14:paraId="29CE06AC">
            <w:pPr>
              <w:pStyle w:val="13"/>
              <w:spacing w:line="360" w:lineRule="auto"/>
              <w:ind w:firstLine="0" w:firstLineChars="0"/>
              <w:jc w:val="center"/>
              <w:rPr>
                <w:szCs w:val="21"/>
              </w:rPr>
            </w:pPr>
          </w:p>
        </w:tc>
        <w:tc>
          <w:tcPr>
            <w:tcW w:w="787" w:type="dxa"/>
            <w:vAlign w:val="center"/>
          </w:tcPr>
          <w:p w14:paraId="5FE2AB08">
            <w:pPr>
              <w:pStyle w:val="13"/>
              <w:spacing w:line="360" w:lineRule="auto"/>
              <w:ind w:firstLine="0" w:firstLineChars="0"/>
              <w:jc w:val="center"/>
              <w:rPr>
                <w:szCs w:val="21"/>
              </w:rPr>
            </w:pPr>
          </w:p>
        </w:tc>
        <w:tc>
          <w:tcPr>
            <w:tcW w:w="787" w:type="dxa"/>
            <w:vAlign w:val="center"/>
          </w:tcPr>
          <w:p w14:paraId="15C834BD">
            <w:pPr>
              <w:pStyle w:val="13"/>
              <w:spacing w:line="360" w:lineRule="auto"/>
              <w:ind w:firstLine="0" w:firstLineChars="0"/>
              <w:jc w:val="center"/>
              <w:rPr>
                <w:szCs w:val="21"/>
              </w:rPr>
            </w:pPr>
          </w:p>
        </w:tc>
        <w:tc>
          <w:tcPr>
            <w:tcW w:w="787" w:type="dxa"/>
            <w:vAlign w:val="center"/>
          </w:tcPr>
          <w:p w14:paraId="3C9C008A">
            <w:pPr>
              <w:pStyle w:val="13"/>
              <w:spacing w:line="360" w:lineRule="auto"/>
              <w:ind w:firstLine="0" w:firstLineChars="0"/>
              <w:jc w:val="center"/>
              <w:rPr>
                <w:szCs w:val="21"/>
              </w:rPr>
            </w:pPr>
          </w:p>
        </w:tc>
      </w:tr>
    </w:tbl>
    <w:p w14:paraId="3375E6AA">
      <w:pPr>
        <w:pStyle w:val="13"/>
        <w:numPr>
          <w:ilvl w:val="0"/>
          <w:numId w:val="1"/>
        </w:numPr>
        <w:spacing w:line="360" w:lineRule="auto"/>
        <w:ind w:firstLineChars="0"/>
        <w:rPr>
          <w:rFonts w:hint="eastAsia" w:ascii="宋体" w:hAnsi="宋体"/>
          <w:sz w:val="28"/>
          <w:szCs w:val="28"/>
        </w:rPr>
      </w:pPr>
      <w:r>
        <w:rPr>
          <w:rFonts w:hint="eastAsia" w:ascii="宋体" w:hAnsi="宋体"/>
          <w:sz w:val="28"/>
          <w:szCs w:val="28"/>
        </w:rPr>
        <w:t>评价目标</w:t>
      </w:r>
    </w:p>
    <w:p w14:paraId="4D1ED2E9">
      <w:pPr>
        <w:pStyle w:val="13"/>
        <w:spacing w:line="360" w:lineRule="auto"/>
        <w:ind w:left="432" w:firstLine="480"/>
        <w:rPr>
          <w:rFonts w:hint="eastAsia" w:ascii="宋体" w:hAnsi="宋体"/>
          <w:sz w:val="24"/>
        </w:rPr>
      </w:pPr>
      <w:r>
        <w:rPr>
          <w:rFonts w:hint="eastAsia" w:ascii="宋体" w:hAnsi="宋体"/>
          <w:sz w:val="24"/>
        </w:rPr>
        <w:t>披露纸制品包装生命周期碳排放对于纸制品包装生产企业的发展而言具有重要意义。企业对纸制品包装生命周期温室气体排放进行评价后，可根据评价结果采取有效可行的措施来减少供应链中的碳排放，这样不仅可降低企业能耗，还可节约生产成本并提高企业效益。</w:t>
      </w:r>
    </w:p>
    <w:p w14:paraId="328E159A">
      <w:pPr>
        <w:spacing w:line="360" w:lineRule="auto"/>
        <w:rPr>
          <w:rFonts w:hint="eastAsia" w:ascii="宋体" w:hAnsi="宋体"/>
          <w:sz w:val="28"/>
          <w:szCs w:val="28"/>
        </w:rPr>
      </w:pPr>
      <w:r>
        <w:rPr>
          <w:rFonts w:hint="eastAsia" w:ascii="宋体" w:hAnsi="宋体"/>
          <w:sz w:val="28"/>
          <w:szCs w:val="28"/>
        </w:rPr>
        <w:t>三、系统边界及范围</w:t>
      </w:r>
    </w:p>
    <w:p w14:paraId="0FDF9070">
      <w:pPr>
        <w:spacing w:line="360" w:lineRule="auto"/>
        <w:ind w:firstLine="480" w:firstLineChars="200"/>
        <w:rPr>
          <w:rFonts w:hint="eastAsia" w:ascii="宋体" w:hAnsi="宋体"/>
          <w:sz w:val="24"/>
        </w:rPr>
      </w:pPr>
      <w:r>
        <w:rPr>
          <w:rFonts w:hint="eastAsia" w:ascii="宋体" w:hAnsi="宋体"/>
          <w:sz w:val="24"/>
        </w:rPr>
        <w:t>3</w:t>
      </w:r>
      <w:r>
        <w:rPr>
          <w:rFonts w:ascii="宋体" w:hAnsi="宋体"/>
          <w:sz w:val="24"/>
        </w:rPr>
        <w:t>.1</w:t>
      </w:r>
      <w:r>
        <w:rPr>
          <w:rFonts w:hint="eastAsia" w:ascii="宋体" w:hAnsi="宋体"/>
          <w:sz w:val="24"/>
        </w:rPr>
        <w:t>系统边界及范围描述</w:t>
      </w:r>
    </w:p>
    <w:p w14:paraId="0EB4C3D9">
      <w:pPr>
        <w:spacing w:line="360" w:lineRule="auto"/>
        <w:ind w:firstLine="480" w:firstLineChars="200"/>
        <w:rPr>
          <w:rFonts w:hint="eastAsia" w:ascii="宋体" w:hAnsi="宋体"/>
          <w:sz w:val="24"/>
        </w:rPr>
      </w:pPr>
      <w:r>
        <w:rPr>
          <w:rFonts w:hint="eastAsia" w:ascii="宋体" w:hAnsi="宋体"/>
          <w:sz w:val="24"/>
        </w:rPr>
        <w:t>XXXX</w:t>
      </w:r>
    </w:p>
    <w:p w14:paraId="47CA2749">
      <w:pPr>
        <w:spacing w:line="360" w:lineRule="auto"/>
        <w:ind w:firstLine="480" w:firstLineChars="200"/>
        <w:rPr>
          <w:rFonts w:hint="eastAsia" w:ascii="宋体" w:hAnsi="宋体"/>
          <w:sz w:val="24"/>
        </w:rPr>
      </w:pPr>
      <w:r>
        <w:rPr>
          <w:rFonts w:hint="eastAsia" w:ascii="宋体" w:hAnsi="宋体"/>
          <w:sz w:val="24"/>
        </w:rPr>
        <w:t>3</w:t>
      </w:r>
      <w:r>
        <w:rPr>
          <w:rFonts w:ascii="宋体" w:hAnsi="宋体"/>
          <w:sz w:val="24"/>
        </w:rPr>
        <w:t>.2</w:t>
      </w:r>
      <w:r>
        <w:rPr>
          <w:rFonts w:hint="eastAsia" w:ascii="宋体" w:hAnsi="宋体"/>
          <w:sz w:val="24"/>
        </w:rPr>
        <w:t>周边流程图</w:t>
      </w:r>
    </w:p>
    <w:p w14:paraId="3151F1FD">
      <w:pPr>
        <w:spacing w:line="360" w:lineRule="auto"/>
        <w:ind w:firstLine="480" w:firstLineChars="200"/>
        <w:rPr>
          <w:rFonts w:hint="eastAsia" w:ascii="宋体" w:hAnsi="宋体"/>
          <w:sz w:val="24"/>
        </w:rPr>
      </w:pPr>
      <w:r>
        <w:rPr>
          <w:rFonts w:ascii="宋体" w:hAnsi="宋体"/>
          <w:sz w:val="24"/>
        </w:rPr>
        <w:t>X</w:t>
      </w:r>
      <w:r>
        <w:rPr>
          <w:rFonts w:hint="eastAsia" w:ascii="宋体" w:hAnsi="宋体"/>
          <w:sz w:val="24"/>
        </w:rPr>
        <w:t>XXX</w:t>
      </w:r>
    </w:p>
    <w:p w14:paraId="2FBD41EA">
      <w:pPr>
        <w:spacing w:line="360" w:lineRule="auto"/>
        <w:rPr>
          <w:rFonts w:hint="eastAsia" w:ascii="宋体" w:hAnsi="宋体"/>
          <w:sz w:val="28"/>
          <w:szCs w:val="28"/>
        </w:rPr>
      </w:pPr>
      <w:r>
        <w:rPr>
          <w:rFonts w:hint="eastAsia" w:ascii="宋体" w:hAnsi="宋体"/>
          <w:sz w:val="28"/>
          <w:szCs w:val="28"/>
        </w:rPr>
        <w:t>四、计算方法</w:t>
      </w:r>
    </w:p>
    <w:p w14:paraId="0A968108">
      <w:pPr>
        <w:spacing w:line="360" w:lineRule="auto"/>
        <w:ind w:firstLine="480" w:firstLineChars="200"/>
        <w:rPr>
          <w:rFonts w:hint="eastAsia" w:ascii="宋体" w:hAnsi="宋体"/>
          <w:sz w:val="24"/>
        </w:rPr>
      </w:pPr>
      <w:r>
        <w:rPr>
          <w:rFonts w:hint="eastAsia" w:ascii="宋体" w:hAnsi="宋体"/>
          <w:sz w:val="24"/>
        </w:rPr>
        <w:t>XXXX</w:t>
      </w:r>
    </w:p>
    <w:p w14:paraId="4AE0CD46">
      <w:pPr>
        <w:spacing w:line="360" w:lineRule="auto"/>
        <w:rPr>
          <w:rFonts w:hint="eastAsia" w:ascii="宋体" w:hAnsi="宋体"/>
          <w:sz w:val="28"/>
          <w:szCs w:val="28"/>
        </w:rPr>
      </w:pPr>
      <w:r>
        <w:rPr>
          <w:rFonts w:hint="eastAsia" w:ascii="宋体" w:hAnsi="宋体"/>
          <w:sz w:val="28"/>
          <w:szCs w:val="28"/>
        </w:rPr>
        <w:t>五、纸制品包装碳排放计算</w:t>
      </w:r>
    </w:p>
    <w:p w14:paraId="2D2FC734">
      <w:pPr>
        <w:spacing w:line="360" w:lineRule="auto"/>
        <w:ind w:firstLine="480" w:firstLineChars="200"/>
        <w:rPr>
          <w:rFonts w:hint="eastAsia" w:ascii="宋体" w:hAnsi="宋体"/>
          <w:sz w:val="24"/>
        </w:rPr>
      </w:pPr>
      <w:r>
        <w:rPr>
          <w:rFonts w:hint="eastAsia" w:ascii="宋体" w:hAnsi="宋体"/>
          <w:sz w:val="24"/>
        </w:rPr>
        <w:t>5</w:t>
      </w:r>
      <w:r>
        <w:rPr>
          <w:rFonts w:ascii="宋体" w:hAnsi="宋体"/>
          <w:sz w:val="24"/>
        </w:rPr>
        <w:t>.1</w:t>
      </w:r>
      <w:r>
        <w:rPr>
          <w:rFonts w:hint="eastAsia" w:ascii="宋体" w:hAnsi="宋体"/>
          <w:sz w:val="24"/>
        </w:rPr>
        <w:t>各阶段活动数据及排放因子说明</w:t>
      </w:r>
    </w:p>
    <w:p w14:paraId="1CF9E864">
      <w:pPr>
        <w:spacing w:line="360" w:lineRule="auto"/>
        <w:ind w:firstLine="480" w:firstLineChars="200"/>
        <w:rPr>
          <w:rFonts w:hint="eastAsia" w:ascii="宋体" w:hAnsi="宋体"/>
          <w:sz w:val="24"/>
        </w:rPr>
      </w:pPr>
    </w:p>
    <w:p w14:paraId="3A54F748">
      <w:pPr>
        <w:pStyle w:val="13"/>
        <w:spacing w:line="360" w:lineRule="auto"/>
        <w:ind w:left="432" w:firstLine="0" w:firstLineChars="0"/>
        <w:jc w:val="center"/>
        <w:rPr>
          <w:rFonts w:hint="eastAsia" w:ascii="宋体" w:hAnsi="宋体"/>
          <w:szCs w:val="21"/>
        </w:rPr>
      </w:pPr>
    </w:p>
    <w:p w14:paraId="689F4C69">
      <w:pPr>
        <w:pStyle w:val="13"/>
        <w:spacing w:line="360" w:lineRule="auto"/>
        <w:ind w:left="432" w:firstLine="0" w:firstLineChars="0"/>
        <w:jc w:val="center"/>
        <w:rPr>
          <w:rFonts w:hint="eastAsia" w:ascii="宋体" w:hAnsi="宋体"/>
          <w:szCs w:val="21"/>
        </w:rPr>
      </w:pPr>
    </w:p>
    <w:p w14:paraId="42434E62">
      <w:pPr>
        <w:pStyle w:val="13"/>
        <w:spacing w:line="360" w:lineRule="auto"/>
        <w:ind w:left="432" w:firstLine="0" w:firstLineChars="0"/>
        <w:jc w:val="center"/>
        <w:rPr>
          <w:rFonts w:hint="eastAsia" w:ascii="宋体" w:hAnsi="宋体"/>
          <w:szCs w:val="21"/>
        </w:rPr>
      </w:pPr>
    </w:p>
    <w:p w14:paraId="2B22D135">
      <w:pPr>
        <w:pStyle w:val="13"/>
        <w:spacing w:line="360" w:lineRule="auto"/>
        <w:ind w:left="432" w:firstLine="0" w:firstLineChars="0"/>
        <w:jc w:val="center"/>
        <w:rPr>
          <w:rFonts w:hint="eastAsia" w:ascii="宋体" w:hAnsi="宋体"/>
          <w:szCs w:val="21"/>
        </w:rPr>
      </w:pPr>
      <w:r>
        <w:rPr>
          <w:rFonts w:hint="eastAsia" w:ascii="宋体" w:hAnsi="宋体"/>
          <w:szCs w:val="21"/>
        </w:rPr>
        <w:t>表二 纸制品包装各阶段活动数据说明</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74"/>
        <w:gridCol w:w="2074"/>
        <w:gridCol w:w="2074"/>
        <w:gridCol w:w="2074"/>
      </w:tblGrid>
      <w:tr w14:paraId="2AEA8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71C09C4B">
            <w:pPr>
              <w:pStyle w:val="13"/>
              <w:spacing w:line="360" w:lineRule="auto"/>
              <w:ind w:left="432" w:firstLine="0" w:firstLineChars="0"/>
              <w:jc w:val="center"/>
              <w:rPr>
                <w:rFonts w:hint="eastAsia" w:ascii="宋体" w:hAnsi="宋体"/>
                <w:szCs w:val="21"/>
              </w:rPr>
            </w:pPr>
            <w:r>
              <w:rPr>
                <w:rFonts w:hint="eastAsia" w:ascii="宋体" w:hAnsi="宋体"/>
                <w:szCs w:val="21"/>
              </w:rPr>
              <w:t>周期阶段</w:t>
            </w:r>
          </w:p>
        </w:tc>
        <w:tc>
          <w:tcPr>
            <w:tcW w:w="2074" w:type="dxa"/>
            <w:vAlign w:val="center"/>
          </w:tcPr>
          <w:p w14:paraId="0538D260">
            <w:pPr>
              <w:pStyle w:val="13"/>
              <w:spacing w:line="360" w:lineRule="auto"/>
              <w:ind w:left="432" w:firstLine="0" w:firstLineChars="0"/>
              <w:jc w:val="center"/>
              <w:rPr>
                <w:rFonts w:hint="eastAsia" w:ascii="宋体" w:hAnsi="宋体"/>
                <w:szCs w:val="21"/>
              </w:rPr>
            </w:pPr>
            <w:r>
              <w:rPr>
                <w:rFonts w:hint="eastAsia" w:ascii="宋体" w:hAnsi="宋体"/>
                <w:szCs w:val="21"/>
              </w:rPr>
              <w:t>活动数据</w:t>
            </w:r>
          </w:p>
        </w:tc>
        <w:tc>
          <w:tcPr>
            <w:tcW w:w="2074" w:type="dxa"/>
            <w:vAlign w:val="center"/>
          </w:tcPr>
          <w:p w14:paraId="6FEB5A5B">
            <w:pPr>
              <w:pStyle w:val="13"/>
              <w:spacing w:line="360" w:lineRule="auto"/>
              <w:ind w:left="432" w:firstLine="0" w:firstLineChars="0"/>
              <w:jc w:val="center"/>
              <w:rPr>
                <w:rFonts w:hint="eastAsia" w:ascii="宋体" w:hAnsi="宋体"/>
                <w:szCs w:val="21"/>
              </w:rPr>
            </w:pPr>
            <w:r>
              <w:rPr>
                <w:rFonts w:hint="eastAsia" w:ascii="宋体" w:hAnsi="宋体"/>
                <w:szCs w:val="21"/>
              </w:rPr>
              <w:t>单位</w:t>
            </w:r>
          </w:p>
        </w:tc>
        <w:tc>
          <w:tcPr>
            <w:tcW w:w="2074" w:type="dxa"/>
            <w:vAlign w:val="center"/>
          </w:tcPr>
          <w:p w14:paraId="32F638B7">
            <w:pPr>
              <w:pStyle w:val="13"/>
              <w:spacing w:line="360" w:lineRule="auto"/>
              <w:ind w:left="432" w:firstLine="0" w:firstLineChars="0"/>
              <w:jc w:val="center"/>
              <w:rPr>
                <w:rFonts w:hint="eastAsia" w:ascii="宋体" w:hAnsi="宋体"/>
                <w:szCs w:val="21"/>
              </w:rPr>
            </w:pPr>
            <w:r>
              <w:rPr>
                <w:rFonts w:hint="eastAsia" w:ascii="宋体" w:hAnsi="宋体"/>
                <w:szCs w:val="21"/>
              </w:rPr>
              <w:t>数据来源</w:t>
            </w:r>
          </w:p>
        </w:tc>
      </w:tr>
      <w:tr w14:paraId="5DE15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03671CE2">
            <w:pPr>
              <w:pStyle w:val="13"/>
              <w:spacing w:line="360" w:lineRule="auto"/>
              <w:ind w:left="432" w:firstLine="0" w:firstLineChars="0"/>
              <w:jc w:val="center"/>
              <w:rPr>
                <w:rFonts w:hint="eastAsia" w:ascii="宋体" w:hAnsi="宋体"/>
                <w:szCs w:val="21"/>
              </w:rPr>
            </w:pPr>
            <w:r>
              <w:rPr>
                <w:rFonts w:hint="eastAsia" w:ascii="宋体" w:hAnsi="宋体"/>
                <w:szCs w:val="21"/>
              </w:rPr>
              <w:t>材料</w:t>
            </w:r>
          </w:p>
        </w:tc>
        <w:tc>
          <w:tcPr>
            <w:tcW w:w="2074" w:type="dxa"/>
            <w:vAlign w:val="center"/>
          </w:tcPr>
          <w:p w14:paraId="25CBB470">
            <w:pPr>
              <w:pStyle w:val="13"/>
              <w:spacing w:line="360" w:lineRule="auto"/>
              <w:ind w:left="432" w:firstLine="0" w:firstLineChars="0"/>
              <w:jc w:val="center"/>
              <w:rPr>
                <w:rFonts w:hint="eastAsia" w:ascii="宋体" w:hAnsi="宋体"/>
                <w:szCs w:val="21"/>
              </w:rPr>
            </w:pPr>
          </w:p>
        </w:tc>
        <w:tc>
          <w:tcPr>
            <w:tcW w:w="2074" w:type="dxa"/>
            <w:vAlign w:val="center"/>
          </w:tcPr>
          <w:p w14:paraId="12D5F838">
            <w:pPr>
              <w:pStyle w:val="13"/>
              <w:spacing w:line="360" w:lineRule="auto"/>
              <w:ind w:left="432" w:firstLine="0" w:firstLineChars="0"/>
              <w:jc w:val="center"/>
              <w:rPr>
                <w:rFonts w:hint="eastAsia" w:ascii="宋体" w:hAnsi="宋体"/>
                <w:szCs w:val="21"/>
              </w:rPr>
            </w:pPr>
          </w:p>
        </w:tc>
        <w:tc>
          <w:tcPr>
            <w:tcW w:w="2074" w:type="dxa"/>
            <w:vAlign w:val="center"/>
          </w:tcPr>
          <w:p w14:paraId="35A0336B">
            <w:pPr>
              <w:pStyle w:val="13"/>
              <w:spacing w:line="360" w:lineRule="auto"/>
              <w:ind w:left="432" w:firstLine="0" w:firstLineChars="0"/>
              <w:jc w:val="center"/>
              <w:rPr>
                <w:rFonts w:hint="eastAsia" w:ascii="宋体" w:hAnsi="宋体"/>
                <w:szCs w:val="21"/>
              </w:rPr>
            </w:pPr>
          </w:p>
        </w:tc>
      </w:tr>
      <w:tr w14:paraId="53505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28C9FD83">
            <w:pPr>
              <w:pStyle w:val="13"/>
              <w:spacing w:line="360" w:lineRule="auto"/>
              <w:ind w:left="432" w:firstLine="0" w:firstLineChars="0"/>
              <w:jc w:val="center"/>
              <w:rPr>
                <w:rFonts w:hint="eastAsia" w:ascii="宋体" w:hAnsi="宋体"/>
                <w:szCs w:val="21"/>
              </w:rPr>
            </w:pPr>
            <w:r>
              <w:rPr>
                <w:rFonts w:hint="eastAsia" w:ascii="宋体" w:hAnsi="宋体"/>
                <w:szCs w:val="21"/>
              </w:rPr>
              <w:t>生产</w:t>
            </w:r>
          </w:p>
        </w:tc>
        <w:tc>
          <w:tcPr>
            <w:tcW w:w="2074" w:type="dxa"/>
            <w:vAlign w:val="center"/>
          </w:tcPr>
          <w:p w14:paraId="680F446F">
            <w:pPr>
              <w:pStyle w:val="13"/>
              <w:spacing w:line="360" w:lineRule="auto"/>
              <w:ind w:left="432" w:firstLine="0" w:firstLineChars="0"/>
              <w:jc w:val="center"/>
              <w:rPr>
                <w:rFonts w:hint="eastAsia" w:ascii="宋体" w:hAnsi="宋体"/>
                <w:szCs w:val="21"/>
              </w:rPr>
            </w:pPr>
          </w:p>
        </w:tc>
        <w:tc>
          <w:tcPr>
            <w:tcW w:w="2074" w:type="dxa"/>
            <w:vAlign w:val="center"/>
          </w:tcPr>
          <w:p w14:paraId="2CC138DB">
            <w:pPr>
              <w:pStyle w:val="13"/>
              <w:spacing w:line="360" w:lineRule="auto"/>
              <w:ind w:left="432" w:firstLine="0" w:firstLineChars="0"/>
              <w:jc w:val="center"/>
              <w:rPr>
                <w:rFonts w:hint="eastAsia" w:ascii="宋体" w:hAnsi="宋体"/>
                <w:szCs w:val="21"/>
              </w:rPr>
            </w:pPr>
          </w:p>
        </w:tc>
        <w:tc>
          <w:tcPr>
            <w:tcW w:w="2074" w:type="dxa"/>
            <w:vAlign w:val="center"/>
          </w:tcPr>
          <w:p w14:paraId="0BAEFDEE">
            <w:pPr>
              <w:pStyle w:val="13"/>
              <w:spacing w:line="360" w:lineRule="auto"/>
              <w:ind w:left="432" w:firstLine="0" w:firstLineChars="0"/>
              <w:jc w:val="center"/>
              <w:rPr>
                <w:rFonts w:hint="eastAsia" w:ascii="宋体" w:hAnsi="宋体"/>
                <w:szCs w:val="21"/>
              </w:rPr>
            </w:pPr>
          </w:p>
        </w:tc>
      </w:tr>
      <w:tr w14:paraId="75C63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4CC653F1">
            <w:pPr>
              <w:pStyle w:val="13"/>
              <w:spacing w:line="360" w:lineRule="auto"/>
              <w:ind w:left="432" w:firstLine="0" w:firstLineChars="0"/>
              <w:jc w:val="center"/>
              <w:rPr>
                <w:rFonts w:hint="eastAsia" w:ascii="宋体" w:hAnsi="宋体"/>
                <w:szCs w:val="21"/>
              </w:rPr>
            </w:pPr>
            <w:r>
              <w:rPr>
                <w:rFonts w:hint="eastAsia" w:ascii="宋体" w:hAnsi="宋体"/>
                <w:szCs w:val="21"/>
              </w:rPr>
              <w:t>废弃</w:t>
            </w:r>
          </w:p>
        </w:tc>
        <w:tc>
          <w:tcPr>
            <w:tcW w:w="2074" w:type="dxa"/>
            <w:vAlign w:val="center"/>
          </w:tcPr>
          <w:p w14:paraId="6F8F1DCA">
            <w:pPr>
              <w:pStyle w:val="13"/>
              <w:spacing w:line="360" w:lineRule="auto"/>
              <w:ind w:left="432" w:firstLine="0" w:firstLineChars="0"/>
              <w:jc w:val="center"/>
              <w:rPr>
                <w:rFonts w:hint="eastAsia" w:ascii="宋体" w:hAnsi="宋体"/>
                <w:szCs w:val="21"/>
              </w:rPr>
            </w:pPr>
          </w:p>
        </w:tc>
        <w:tc>
          <w:tcPr>
            <w:tcW w:w="2074" w:type="dxa"/>
            <w:vAlign w:val="center"/>
          </w:tcPr>
          <w:p w14:paraId="6076B508">
            <w:pPr>
              <w:pStyle w:val="13"/>
              <w:spacing w:line="360" w:lineRule="auto"/>
              <w:ind w:left="432" w:firstLine="0" w:firstLineChars="0"/>
              <w:jc w:val="center"/>
              <w:rPr>
                <w:rFonts w:hint="eastAsia" w:ascii="宋体" w:hAnsi="宋体"/>
                <w:szCs w:val="21"/>
              </w:rPr>
            </w:pPr>
          </w:p>
        </w:tc>
        <w:tc>
          <w:tcPr>
            <w:tcW w:w="2074" w:type="dxa"/>
            <w:vAlign w:val="center"/>
          </w:tcPr>
          <w:p w14:paraId="450BEE6A">
            <w:pPr>
              <w:pStyle w:val="13"/>
              <w:spacing w:line="360" w:lineRule="auto"/>
              <w:ind w:left="432" w:firstLine="0" w:firstLineChars="0"/>
              <w:jc w:val="center"/>
              <w:rPr>
                <w:rFonts w:hint="eastAsia" w:ascii="宋体" w:hAnsi="宋体"/>
                <w:szCs w:val="21"/>
              </w:rPr>
            </w:pPr>
          </w:p>
        </w:tc>
      </w:tr>
    </w:tbl>
    <w:p w14:paraId="4F6C732B">
      <w:pPr>
        <w:spacing w:line="360" w:lineRule="auto"/>
        <w:ind w:firstLine="420" w:firstLineChars="200"/>
        <w:jc w:val="center"/>
        <w:rPr>
          <w:rFonts w:hint="eastAsia" w:ascii="宋体" w:hAnsi="宋体"/>
          <w:szCs w:val="21"/>
        </w:rPr>
      </w:pPr>
    </w:p>
    <w:p w14:paraId="0E8B10D1">
      <w:pPr>
        <w:pStyle w:val="13"/>
        <w:spacing w:line="360" w:lineRule="auto"/>
        <w:ind w:left="432" w:firstLine="0" w:firstLineChars="0"/>
        <w:jc w:val="center"/>
        <w:rPr>
          <w:rFonts w:hint="eastAsia" w:ascii="宋体" w:hAnsi="宋体"/>
          <w:szCs w:val="21"/>
        </w:rPr>
      </w:pPr>
      <w:r>
        <w:rPr>
          <w:rFonts w:hint="eastAsia" w:ascii="宋体" w:hAnsi="宋体"/>
          <w:szCs w:val="21"/>
        </w:rPr>
        <w:t>表三 纸制品包装各阶段排放因子说明</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74"/>
        <w:gridCol w:w="2074"/>
        <w:gridCol w:w="2074"/>
        <w:gridCol w:w="2074"/>
      </w:tblGrid>
      <w:tr w14:paraId="3F14F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0810CD63">
            <w:pPr>
              <w:pStyle w:val="13"/>
              <w:spacing w:line="360" w:lineRule="auto"/>
              <w:ind w:left="432" w:firstLine="0" w:firstLineChars="0"/>
              <w:jc w:val="center"/>
              <w:rPr>
                <w:rFonts w:hint="eastAsia" w:ascii="宋体" w:hAnsi="宋体"/>
                <w:szCs w:val="21"/>
              </w:rPr>
            </w:pPr>
            <w:r>
              <w:rPr>
                <w:rFonts w:hint="eastAsia" w:ascii="宋体" w:hAnsi="宋体"/>
                <w:szCs w:val="21"/>
              </w:rPr>
              <w:t>周期阶段</w:t>
            </w:r>
          </w:p>
        </w:tc>
        <w:tc>
          <w:tcPr>
            <w:tcW w:w="2074" w:type="dxa"/>
            <w:vAlign w:val="center"/>
          </w:tcPr>
          <w:p w14:paraId="07A40FEE">
            <w:pPr>
              <w:pStyle w:val="13"/>
              <w:spacing w:line="360" w:lineRule="auto"/>
              <w:ind w:left="432" w:firstLine="0" w:firstLineChars="0"/>
              <w:jc w:val="center"/>
              <w:rPr>
                <w:rFonts w:hint="eastAsia" w:ascii="宋体" w:hAnsi="宋体"/>
                <w:szCs w:val="21"/>
              </w:rPr>
            </w:pPr>
            <w:r>
              <w:rPr>
                <w:rFonts w:hint="eastAsia" w:ascii="宋体" w:hAnsi="宋体"/>
                <w:szCs w:val="21"/>
              </w:rPr>
              <w:t>排放因子</w:t>
            </w:r>
          </w:p>
        </w:tc>
        <w:tc>
          <w:tcPr>
            <w:tcW w:w="2074" w:type="dxa"/>
            <w:vAlign w:val="center"/>
          </w:tcPr>
          <w:p w14:paraId="3C03E372">
            <w:pPr>
              <w:pStyle w:val="13"/>
              <w:spacing w:line="360" w:lineRule="auto"/>
              <w:ind w:left="432" w:firstLine="0" w:firstLineChars="0"/>
              <w:jc w:val="center"/>
              <w:rPr>
                <w:rFonts w:hint="eastAsia" w:ascii="宋体" w:hAnsi="宋体"/>
                <w:szCs w:val="21"/>
              </w:rPr>
            </w:pPr>
            <w:r>
              <w:rPr>
                <w:rFonts w:hint="eastAsia" w:ascii="宋体" w:hAnsi="宋体"/>
                <w:szCs w:val="21"/>
              </w:rPr>
              <w:t>单位</w:t>
            </w:r>
          </w:p>
        </w:tc>
        <w:tc>
          <w:tcPr>
            <w:tcW w:w="2074" w:type="dxa"/>
            <w:vAlign w:val="center"/>
          </w:tcPr>
          <w:p w14:paraId="7C3958EA">
            <w:pPr>
              <w:pStyle w:val="13"/>
              <w:spacing w:line="360" w:lineRule="auto"/>
              <w:ind w:left="432" w:firstLine="0" w:firstLineChars="0"/>
              <w:jc w:val="center"/>
              <w:rPr>
                <w:rFonts w:hint="eastAsia" w:ascii="宋体" w:hAnsi="宋体"/>
                <w:szCs w:val="21"/>
              </w:rPr>
            </w:pPr>
            <w:r>
              <w:rPr>
                <w:rFonts w:hint="eastAsia" w:ascii="宋体" w:hAnsi="宋体"/>
                <w:szCs w:val="21"/>
              </w:rPr>
              <w:t>数据来源</w:t>
            </w:r>
          </w:p>
        </w:tc>
      </w:tr>
      <w:tr w14:paraId="47DA3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21ED3260">
            <w:pPr>
              <w:pStyle w:val="13"/>
              <w:spacing w:line="360" w:lineRule="auto"/>
              <w:ind w:left="432" w:firstLine="0" w:firstLineChars="0"/>
              <w:jc w:val="center"/>
              <w:rPr>
                <w:rFonts w:hint="eastAsia" w:ascii="宋体" w:hAnsi="宋体"/>
                <w:szCs w:val="21"/>
              </w:rPr>
            </w:pPr>
            <w:r>
              <w:rPr>
                <w:rFonts w:hint="eastAsia" w:ascii="宋体" w:hAnsi="宋体"/>
                <w:szCs w:val="21"/>
              </w:rPr>
              <w:t>材料</w:t>
            </w:r>
          </w:p>
        </w:tc>
        <w:tc>
          <w:tcPr>
            <w:tcW w:w="2074" w:type="dxa"/>
            <w:vAlign w:val="center"/>
          </w:tcPr>
          <w:p w14:paraId="23B23EC8">
            <w:pPr>
              <w:pStyle w:val="13"/>
              <w:spacing w:line="360" w:lineRule="auto"/>
              <w:ind w:left="432" w:firstLine="0" w:firstLineChars="0"/>
              <w:jc w:val="center"/>
              <w:rPr>
                <w:rFonts w:hint="eastAsia" w:ascii="宋体" w:hAnsi="宋体"/>
                <w:szCs w:val="21"/>
              </w:rPr>
            </w:pPr>
          </w:p>
        </w:tc>
        <w:tc>
          <w:tcPr>
            <w:tcW w:w="2074" w:type="dxa"/>
            <w:vAlign w:val="center"/>
          </w:tcPr>
          <w:p w14:paraId="081F3116">
            <w:pPr>
              <w:pStyle w:val="13"/>
              <w:spacing w:line="360" w:lineRule="auto"/>
              <w:ind w:left="432" w:firstLine="0" w:firstLineChars="0"/>
              <w:jc w:val="center"/>
              <w:rPr>
                <w:rFonts w:hint="eastAsia" w:ascii="宋体" w:hAnsi="宋体"/>
                <w:szCs w:val="21"/>
              </w:rPr>
            </w:pPr>
          </w:p>
        </w:tc>
        <w:tc>
          <w:tcPr>
            <w:tcW w:w="2074" w:type="dxa"/>
            <w:vAlign w:val="center"/>
          </w:tcPr>
          <w:p w14:paraId="2FAAD5D6">
            <w:pPr>
              <w:pStyle w:val="13"/>
              <w:spacing w:line="360" w:lineRule="auto"/>
              <w:ind w:left="432" w:firstLine="0" w:firstLineChars="0"/>
              <w:jc w:val="center"/>
              <w:rPr>
                <w:rFonts w:hint="eastAsia" w:ascii="宋体" w:hAnsi="宋体"/>
                <w:szCs w:val="21"/>
              </w:rPr>
            </w:pPr>
          </w:p>
        </w:tc>
      </w:tr>
      <w:tr w14:paraId="0D1C5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19CD636E">
            <w:pPr>
              <w:pStyle w:val="13"/>
              <w:spacing w:line="360" w:lineRule="auto"/>
              <w:ind w:left="432" w:firstLine="0" w:firstLineChars="0"/>
              <w:jc w:val="center"/>
              <w:rPr>
                <w:rFonts w:hint="eastAsia" w:ascii="宋体" w:hAnsi="宋体"/>
                <w:szCs w:val="21"/>
              </w:rPr>
            </w:pPr>
            <w:r>
              <w:rPr>
                <w:rFonts w:hint="eastAsia" w:ascii="宋体" w:hAnsi="宋体"/>
                <w:szCs w:val="21"/>
              </w:rPr>
              <w:t>生产</w:t>
            </w:r>
          </w:p>
        </w:tc>
        <w:tc>
          <w:tcPr>
            <w:tcW w:w="2074" w:type="dxa"/>
            <w:vAlign w:val="center"/>
          </w:tcPr>
          <w:p w14:paraId="776C2349">
            <w:pPr>
              <w:pStyle w:val="13"/>
              <w:spacing w:line="360" w:lineRule="auto"/>
              <w:ind w:left="432" w:firstLine="0" w:firstLineChars="0"/>
              <w:jc w:val="center"/>
              <w:rPr>
                <w:rFonts w:hint="eastAsia" w:ascii="宋体" w:hAnsi="宋体"/>
                <w:szCs w:val="21"/>
              </w:rPr>
            </w:pPr>
          </w:p>
        </w:tc>
        <w:tc>
          <w:tcPr>
            <w:tcW w:w="2074" w:type="dxa"/>
            <w:vAlign w:val="center"/>
          </w:tcPr>
          <w:p w14:paraId="0A92ADCB">
            <w:pPr>
              <w:pStyle w:val="13"/>
              <w:spacing w:line="360" w:lineRule="auto"/>
              <w:ind w:left="432" w:firstLine="0" w:firstLineChars="0"/>
              <w:jc w:val="center"/>
              <w:rPr>
                <w:rFonts w:hint="eastAsia" w:ascii="宋体" w:hAnsi="宋体"/>
                <w:szCs w:val="21"/>
              </w:rPr>
            </w:pPr>
          </w:p>
        </w:tc>
        <w:tc>
          <w:tcPr>
            <w:tcW w:w="2074" w:type="dxa"/>
            <w:vAlign w:val="center"/>
          </w:tcPr>
          <w:p w14:paraId="38220B67">
            <w:pPr>
              <w:pStyle w:val="13"/>
              <w:spacing w:line="360" w:lineRule="auto"/>
              <w:ind w:left="432" w:firstLine="0" w:firstLineChars="0"/>
              <w:jc w:val="center"/>
              <w:rPr>
                <w:rFonts w:hint="eastAsia" w:ascii="宋体" w:hAnsi="宋体"/>
                <w:szCs w:val="21"/>
              </w:rPr>
            </w:pPr>
          </w:p>
        </w:tc>
      </w:tr>
      <w:tr w14:paraId="372FB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4" w:type="dxa"/>
            <w:vAlign w:val="center"/>
          </w:tcPr>
          <w:p w14:paraId="12B36AA4">
            <w:pPr>
              <w:pStyle w:val="13"/>
              <w:spacing w:line="360" w:lineRule="auto"/>
              <w:ind w:left="432" w:firstLine="0" w:firstLineChars="0"/>
              <w:jc w:val="center"/>
              <w:rPr>
                <w:rFonts w:hint="eastAsia" w:ascii="宋体" w:hAnsi="宋体"/>
                <w:szCs w:val="21"/>
              </w:rPr>
            </w:pPr>
            <w:r>
              <w:rPr>
                <w:rFonts w:hint="eastAsia" w:ascii="宋体" w:hAnsi="宋体"/>
                <w:szCs w:val="21"/>
              </w:rPr>
              <w:t>废弃</w:t>
            </w:r>
          </w:p>
        </w:tc>
        <w:tc>
          <w:tcPr>
            <w:tcW w:w="2074" w:type="dxa"/>
            <w:vAlign w:val="center"/>
          </w:tcPr>
          <w:p w14:paraId="080ED0A0">
            <w:pPr>
              <w:pStyle w:val="13"/>
              <w:spacing w:line="360" w:lineRule="auto"/>
              <w:ind w:left="432" w:firstLine="0" w:firstLineChars="0"/>
              <w:jc w:val="center"/>
              <w:rPr>
                <w:rFonts w:hint="eastAsia" w:ascii="宋体" w:hAnsi="宋体"/>
                <w:szCs w:val="21"/>
              </w:rPr>
            </w:pPr>
          </w:p>
        </w:tc>
        <w:tc>
          <w:tcPr>
            <w:tcW w:w="2074" w:type="dxa"/>
            <w:vAlign w:val="center"/>
          </w:tcPr>
          <w:p w14:paraId="3B6642B2">
            <w:pPr>
              <w:pStyle w:val="13"/>
              <w:spacing w:line="360" w:lineRule="auto"/>
              <w:ind w:left="432" w:firstLine="0" w:firstLineChars="0"/>
              <w:jc w:val="center"/>
              <w:rPr>
                <w:rFonts w:hint="eastAsia" w:ascii="宋体" w:hAnsi="宋体"/>
                <w:szCs w:val="21"/>
              </w:rPr>
            </w:pPr>
          </w:p>
        </w:tc>
        <w:tc>
          <w:tcPr>
            <w:tcW w:w="2074" w:type="dxa"/>
            <w:vAlign w:val="center"/>
          </w:tcPr>
          <w:p w14:paraId="5D1985D2">
            <w:pPr>
              <w:pStyle w:val="13"/>
              <w:spacing w:line="360" w:lineRule="auto"/>
              <w:ind w:left="432" w:firstLine="0" w:firstLineChars="0"/>
              <w:jc w:val="center"/>
              <w:rPr>
                <w:rFonts w:hint="eastAsia" w:ascii="宋体" w:hAnsi="宋体"/>
                <w:szCs w:val="21"/>
              </w:rPr>
            </w:pPr>
          </w:p>
        </w:tc>
      </w:tr>
    </w:tbl>
    <w:p w14:paraId="3D800D66">
      <w:pPr>
        <w:spacing w:line="360" w:lineRule="auto"/>
        <w:ind w:firstLine="480" w:firstLineChars="200"/>
        <w:rPr>
          <w:rFonts w:hint="eastAsia" w:ascii="宋体" w:hAnsi="宋体"/>
          <w:sz w:val="24"/>
        </w:rPr>
      </w:pPr>
    </w:p>
    <w:p w14:paraId="748EC483">
      <w:pPr>
        <w:spacing w:line="360" w:lineRule="auto"/>
        <w:ind w:firstLine="480" w:firstLineChars="200"/>
        <w:rPr>
          <w:rFonts w:hint="eastAsia" w:ascii="宋体" w:hAnsi="宋体"/>
          <w:sz w:val="24"/>
        </w:rPr>
      </w:pPr>
      <w:r>
        <w:rPr>
          <w:rFonts w:hint="eastAsia" w:ascii="宋体" w:hAnsi="宋体"/>
          <w:sz w:val="24"/>
        </w:rPr>
        <w:t>5.</w:t>
      </w:r>
      <w:r>
        <w:rPr>
          <w:rFonts w:ascii="宋体" w:hAnsi="宋体"/>
          <w:sz w:val="24"/>
        </w:rPr>
        <w:t>2</w:t>
      </w:r>
      <w:r>
        <w:rPr>
          <w:rFonts w:hint="eastAsia" w:ascii="宋体" w:hAnsi="宋体"/>
          <w:sz w:val="24"/>
        </w:rPr>
        <w:t xml:space="preserve"> 纸制品包装生命周期碳排放清单及说明</w:t>
      </w:r>
    </w:p>
    <w:p w14:paraId="2415DA37">
      <w:pPr>
        <w:spacing w:line="360" w:lineRule="auto"/>
        <w:ind w:firstLine="480" w:firstLineChars="200"/>
        <w:rPr>
          <w:rFonts w:hint="eastAsia" w:ascii="宋体" w:hAnsi="宋体"/>
          <w:sz w:val="24"/>
        </w:rPr>
      </w:pPr>
      <w:r>
        <w:rPr>
          <w:rFonts w:hint="eastAsia" w:ascii="宋体" w:hAnsi="宋体"/>
          <w:sz w:val="24"/>
        </w:rPr>
        <w:t>---（每功能单位的产品）从摇篮到坟墓的碳排放为---kg</w:t>
      </w:r>
      <w:r>
        <w:rPr>
          <w:rFonts w:ascii="宋体" w:hAnsi="宋体"/>
          <w:sz w:val="24"/>
        </w:rPr>
        <w:t>CO</w:t>
      </w:r>
      <w:r>
        <w:rPr>
          <w:rFonts w:ascii="宋体" w:hAnsi="宋体"/>
          <w:sz w:val="24"/>
          <w:vertAlign w:val="subscript"/>
        </w:rPr>
        <w:t>2</w:t>
      </w:r>
      <w:r>
        <w:rPr>
          <w:rFonts w:hint="eastAsia" w:ascii="宋体" w:hAnsi="宋体"/>
          <w:sz w:val="24"/>
        </w:rPr>
        <w:t>e。各阶段的排放情况及占比如下表。</w:t>
      </w:r>
    </w:p>
    <w:p w14:paraId="756136EF">
      <w:pPr>
        <w:spacing w:line="360" w:lineRule="auto"/>
        <w:ind w:firstLine="480" w:firstLineChars="200"/>
        <w:rPr>
          <w:rFonts w:hint="eastAsia" w:ascii="宋体" w:hAnsi="宋体"/>
          <w:sz w:val="24"/>
        </w:rPr>
      </w:pPr>
    </w:p>
    <w:p w14:paraId="2D856F8D">
      <w:pPr>
        <w:pStyle w:val="13"/>
        <w:spacing w:line="360" w:lineRule="auto"/>
        <w:ind w:left="432" w:firstLine="0" w:firstLineChars="0"/>
        <w:jc w:val="center"/>
        <w:rPr>
          <w:rFonts w:hint="eastAsia" w:ascii="宋体" w:hAnsi="宋体"/>
          <w:szCs w:val="21"/>
        </w:rPr>
      </w:pPr>
      <w:r>
        <w:rPr>
          <w:rFonts w:hint="eastAsia" w:ascii="宋体" w:hAnsi="宋体"/>
          <w:szCs w:val="21"/>
        </w:rPr>
        <w:t>表四 每功能单位的纸制品包装生命周期阶段排放情况及占比</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65"/>
        <w:gridCol w:w="2765"/>
        <w:gridCol w:w="2766"/>
      </w:tblGrid>
      <w:tr w14:paraId="3B540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vAlign w:val="center"/>
          </w:tcPr>
          <w:p w14:paraId="73155075">
            <w:pPr>
              <w:pStyle w:val="13"/>
              <w:spacing w:line="360" w:lineRule="auto"/>
              <w:ind w:left="432" w:firstLine="0" w:firstLineChars="0"/>
              <w:jc w:val="center"/>
              <w:rPr>
                <w:rFonts w:hint="eastAsia" w:ascii="宋体" w:hAnsi="宋体"/>
                <w:szCs w:val="21"/>
              </w:rPr>
            </w:pPr>
            <w:r>
              <w:rPr>
                <w:rFonts w:hint="eastAsia" w:ascii="宋体" w:hAnsi="宋体"/>
                <w:szCs w:val="21"/>
              </w:rPr>
              <w:t>周期阶段</w:t>
            </w:r>
          </w:p>
        </w:tc>
        <w:tc>
          <w:tcPr>
            <w:tcW w:w="2765" w:type="dxa"/>
            <w:vAlign w:val="center"/>
          </w:tcPr>
          <w:p w14:paraId="13BC8959">
            <w:pPr>
              <w:pStyle w:val="13"/>
              <w:spacing w:line="360" w:lineRule="auto"/>
              <w:ind w:left="432" w:firstLine="0" w:firstLineChars="0"/>
              <w:jc w:val="center"/>
              <w:rPr>
                <w:rFonts w:hint="eastAsia" w:ascii="宋体" w:hAnsi="宋体"/>
                <w:szCs w:val="21"/>
              </w:rPr>
            </w:pPr>
            <w:r>
              <w:rPr>
                <w:rFonts w:hint="eastAsia" w:ascii="宋体" w:hAnsi="宋体"/>
                <w:szCs w:val="21"/>
              </w:rPr>
              <w:t>碳排放（kgCO</w:t>
            </w:r>
            <w:r>
              <w:rPr>
                <w:rFonts w:hint="eastAsia" w:ascii="宋体" w:hAnsi="宋体"/>
                <w:szCs w:val="21"/>
                <w:vertAlign w:val="subscript"/>
              </w:rPr>
              <w:t>2</w:t>
            </w:r>
            <w:r>
              <w:rPr>
                <w:rFonts w:hint="eastAsia" w:ascii="宋体" w:hAnsi="宋体"/>
                <w:szCs w:val="21"/>
              </w:rPr>
              <w:t>e）</w:t>
            </w:r>
          </w:p>
        </w:tc>
        <w:tc>
          <w:tcPr>
            <w:tcW w:w="2766" w:type="dxa"/>
            <w:vAlign w:val="center"/>
          </w:tcPr>
          <w:p w14:paraId="42EDE416">
            <w:pPr>
              <w:pStyle w:val="13"/>
              <w:spacing w:line="360" w:lineRule="auto"/>
              <w:ind w:left="432" w:firstLine="0" w:firstLineChars="0"/>
              <w:jc w:val="center"/>
              <w:rPr>
                <w:rFonts w:hint="eastAsia" w:ascii="宋体" w:hAnsi="宋体"/>
                <w:szCs w:val="21"/>
              </w:rPr>
            </w:pPr>
            <w:r>
              <w:rPr>
                <w:rFonts w:hint="eastAsia" w:ascii="宋体" w:hAnsi="宋体"/>
                <w:szCs w:val="21"/>
              </w:rPr>
              <w:t>百分比（%）</w:t>
            </w:r>
          </w:p>
        </w:tc>
      </w:tr>
      <w:tr w14:paraId="6888A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vAlign w:val="center"/>
          </w:tcPr>
          <w:p w14:paraId="21C9395A">
            <w:pPr>
              <w:pStyle w:val="13"/>
              <w:spacing w:line="360" w:lineRule="auto"/>
              <w:ind w:left="432" w:firstLine="0" w:firstLineChars="0"/>
              <w:jc w:val="center"/>
              <w:rPr>
                <w:rFonts w:hint="eastAsia" w:ascii="宋体" w:hAnsi="宋体"/>
                <w:szCs w:val="21"/>
              </w:rPr>
            </w:pPr>
            <w:r>
              <w:rPr>
                <w:rFonts w:hint="eastAsia" w:ascii="宋体" w:hAnsi="宋体"/>
                <w:szCs w:val="21"/>
              </w:rPr>
              <w:t>制造</w:t>
            </w:r>
          </w:p>
        </w:tc>
        <w:tc>
          <w:tcPr>
            <w:tcW w:w="2765" w:type="dxa"/>
            <w:vAlign w:val="center"/>
          </w:tcPr>
          <w:p w14:paraId="3FA9F73B">
            <w:pPr>
              <w:pStyle w:val="13"/>
              <w:spacing w:line="360" w:lineRule="auto"/>
              <w:ind w:left="432" w:firstLine="0" w:firstLineChars="0"/>
              <w:jc w:val="center"/>
              <w:rPr>
                <w:rFonts w:hint="eastAsia" w:ascii="宋体" w:hAnsi="宋体"/>
                <w:szCs w:val="21"/>
              </w:rPr>
            </w:pPr>
          </w:p>
        </w:tc>
        <w:tc>
          <w:tcPr>
            <w:tcW w:w="2766" w:type="dxa"/>
            <w:vAlign w:val="center"/>
          </w:tcPr>
          <w:p w14:paraId="767E5B7C">
            <w:pPr>
              <w:pStyle w:val="13"/>
              <w:spacing w:line="360" w:lineRule="auto"/>
              <w:ind w:left="432" w:firstLine="0" w:firstLineChars="0"/>
              <w:jc w:val="center"/>
              <w:rPr>
                <w:rFonts w:hint="eastAsia" w:ascii="宋体" w:hAnsi="宋体"/>
                <w:szCs w:val="21"/>
              </w:rPr>
            </w:pPr>
          </w:p>
        </w:tc>
      </w:tr>
      <w:tr w14:paraId="729BA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vAlign w:val="center"/>
          </w:tcPr>
          <w:p w14:paraId="5DA49679">
            <w:pPr>
              <w:pStyle w:val="13"/>
              <w:spacing w:line="360" w:lineRule="auto"/>
              <w:ind w:left="432" w:firstLine="0" w:firstLineChars="0"/>
              <w:jc w:val="center"/>
              <w:rPr>
                <w:rFonts w:hint="eastAsia" w:ascii="宋体" w:hAnsi="宋体"/>
                <w:szCs w:val="21"/>
              </w:rPr>
            </w:pPr>
            <w:r>
              <w:rPr>
                <w:rFonts w:hint="eastAsia" w:ascii="宋体" w:hAnsi="宋体"/>
                <w:szCs w:val="21"/>
              </w:rPr>
              <w:t>使用</w:t>
            </w:r>
          </w:p>
        </w:tc>
        <w:tc>
          <w:tcPr>
            <w:tcW w:w="2765" w:type="dxa"/>
            <w:vAlign w:val="center"/>
          </w:tcPr>
          <w:p w14:paraId="0E2D9B4B">
            <w:pPr>
              <w:pStyle w:val="13"/>
              <w:spacing w:line="360" w:lineRule="auto"/>
              <w:ind w:left="432" w:firstLine="0" w:firstLineChars="0"/>
              <w:jc w:val="center"/>
              <w:rPr>
                <w:rFonts w:hint="eastAsia" w:ascii="宋体" w:hAnsi="宋体"/>
                <w:szCs w:val="21"/>
              </w:rPr>
            </w:pPr>
          </w:p>
        </w:tc>
        <w:tc>
          <w:tcPr>
            <w:tcW w:w="2766" w:type="dxa"/>
            <w:vAlign w:val="center"/>
          </w:tcPr>
          <w:p w14:paraId="06AB3EFA">
            <w:pPr>
              <w:pStyle w:val="13"/>
              <w:spacing w:line="360" w:lineRule="auto"/>
              <w:ind w:left="432" w:firstLine="0" w:firstLineChars="0"/>
              <w:jc w:val="center"/>
              <w:rPr>
                <w:rFonts w:hint="eastAsia" w:ascii="宋体" w:hAnsi="宋体"/>
                <w:szCs w:val="21"/>
              </w:rPr>
            </w:pPr>
          </w:p>
        </w:tc>
      </w:tr>
      <w:tr w14:paraId="2FB79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vAlign w:val="center"/>
          </w:tcPr>
          <w:p w14:paraId="599C0738">
            <w:pPr>
              <w:pStyle w:val="13"/>
              <w:spacing w:line="360" w:lineRule="auto"/>
              <w:ind w:left="432" w:firstLine="0" w:firstLineChars="0"/>
              <w:jc w:val="center"/>
              <w:rPr>
                <w:rFonts w:hint="eastAsia" w:ascii="宋体" w:hAnsi="宋体"/>
                <w:szCs w:val="21"/>
              </w:rPr>
            </w:pPr>
            <w:r>
              <w:rPr>
                <w:rFonts w:hint="eastAsia" w:ascii="宋体" w:hAnsi="宋体"/>
                <w:szCs w:val="21"/>
              </w:rPr>
              <w:t>废弃</w:t>
            </w:r>
          </w:p>
        </w:tc>
        <w:tc>
          <w:tcPr>
            <w:tcW w:w="2765" w:type="dxa"/>
            <w:vAlign w:val="center"/>
          </w:tcPr>
          <w:p w14:paraId="51CDE043">
            <w:pPr>
              <w:pStyle w:val="13"/>
              <w:spacing w:line="360" w:lineRule="auto"/>
              <w:ind w:left="432" w:firstLine="0" w:firstLineChars="0"/>
              <w:jc w:val="center"/>
              <w:rPr>
                <w:rFonts w:hint="eastAsia" w:ascii="宋体" w:hAnsi="宋体"/>
                <w:szCs w:val="21"/>
              </w:rPr>
            </w:pPr>
          </w:p>
        </w:tc>
        <w:tc>
          <w:tcPr>
            <w:tcW w:w="2766" w:type="dxa"/>
            <w:vAlign w:val="center"/>
          </w:tcPr>
          <w:p w14:paraId="622139E9">
            <w:pPr>
              <w:pStyle w:val="13"/>
              <w:spacing w:line="360" w:lineRule="auto"/>
              <w:ind w:left="432" w:firstLine="0" w:firstLineChars="0"/>
              <w:jc w:val="center"/>
              <w:rPr>
                <w:rFonts w:hint="eastAsia" w:ascii="宋体" w:hAnsi="宋体"/>
                <w:szCs w:val="21"/>
              </w:rPr>
            </w:pPr>
          </w:p>
        </w:tc>
      </w:tr>
      <w:tr w14:paraId="6AC40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5" w:type="dxa"/>
            <w:vAlign w:val="center"/>
          </w:tcPr>
          <w:p w14:paraId="31EC5FF9">
            <w:pPr>
              <w:pStyle w:val="13"/>
              <w:spacing w:line="360" w:lineRule="auto"/>
              <w:ind w:left="432" w:firstLine="0" w:firstLineChars="0"/>
              <w:jc w:val="center"/>
              <w:rPr>
                <w:rFonts w:hint="eastAsia" w:ascii="宋体" w:hAnsi="宋体"/>
                <w:szCs w:val="21"/>
              </w:rPr>
            </w:pPr>
            <w:r>
              <w:rPr>
                <w:rFonts w:hint="eastAsia" w:ascii="宋体" w:hAnsi="宋体"/>
                <w:szCs w:val="21"/>
              </w:rPr>
              <w:t>总计</w:t>
            </w:r>
          </w:p>
        </w:tc>
        <w:tc>
          <w:tcPr>
            <w:tcW w:w="2765" w:type="dxa"/>
            <w:vAlign w:val="center"/>
          </w:tcPr>
          <w:p w14:paraId="542A94B8">
            <w:pPr>
              <w:pStyle w:val="13"/>
              <w:spacing w:line="360" w:lineRule="auto"/>
              <w:ind w:left="432" w:firstLine="0" w:firstLineChars="0"/>
              <w:jc w:val="center"/>
              <w:rPr>
                <w:rFonts w:hint="eastAsia" w:ascii="宋体" w:hAnsi="宋体"/>
                <w:szCs w:val="21"/>
              </w:rPr>
            </w:pPr>
          </w:p>
        </w:tc>
        <w:tc>
          <w:tcPr>
            <w:tcW w:w="2766" w:type="dxa"/>
            <w:vAlign w:val="center"/>
          </w:tcPr>
          <w:p w14:paraId="009838B4">
            <w:pPr>
              <w:pStyle w:val="13"/>
              <w:spacing w:line="360" w:lineRule="auto"/>
              <w:ind w:left="432" w:firstLine="0" w:firstLineChars="0"/>
              <w:jc w:val="center"/>
              <w:rPr>
                <w:rFonts w:hint="eastAsia" w:ascii="宋体" w:hAnsi="宋体"/>
                <w:szCs w:val="21"/>
              </w:rPr>
            </w:pPr>
          </w:p>
        </w:tc>
      </w:tr>
    </w:tbl>
    <w:p w14:paraId="7E433B93">
      <w:pPr>
        <w:spacing w:line="360" w:lineRule="auto"/>
        <w:ind w:firstLine="480" w:firstLineChars="200"/>
        <w:rPr>
          <w:rFonts w:hint="eastAsia" w:ascii="宋体" w:hAnsi="宋体"/>
          <w:sz w:val="24"/>
        </w:rPr>
      </w:pPr>
    </w:p>
    <w:p w14:paraId="7451782D">
      <w:pPr>
        <w:spacing w:line="360" w:lineRule="auto"/>
        <w:ind w:firstLine="480" w:firstLineChars="200"/>
        <w:rPr>
          <w:rFonts w:hint="eastAsia" w:ascii="宋体" w:hAnsi="宋体"/>
          <w:sz w:val="24"/>
        </w:rPr>
      </w:pPr>
      <w:r>
        <w:rPr>
          <w:rFonts w:hint="eastAsia" w:ascii="宋体" w:hAnsi="宋体"/>
          <w:sz w:val="24"/>
        </w:rPr>
        <w:t>5</w:t>
      </w:r>
      <w:r>
        <w:rPr>
          <w:rFonts w:ascii="宋体" w:hAnsi="宋体"/>
          <w:sz w:val="24"/>
        </w:rPr>
        <w:t>.3</w:t>
      </w:r>
      <w:r>
        <w:rPr>
          <w:rFonts w:hint="eastAsia" w:ascii="宋体" w:hAnsi="宋体"/>
          <w:sz w:val="24"/>
        </w:rPr>
        <w:t>其他说明</w:t>
      </w:r>
    </w:p>
    <w:p w14:paraId="747C4743">
      <w:pPr>
        <w:spacing w:line="360" w:lineRule="auto"/>
        <w:ind w:firstLine="480" w:firstLineChars="200"/>
        <w:rPr>
          <w:rFonts w:hint="eastAsia" w:ascii="宋体" w:hAnsi="宋体"/>
          <w:sz w:val="24"/>
        </w:rPr>
      </w:pPr>
      <w:r>
        <w:rPr>
          <w:rFonts w:hint="eastAsia" w:ascii="宋体" w:hAnsi="宋体"/>
          <w:sz w:val="24"/>
        </w:rPr>
        <w:t>XXXX</w:t>
      </w:r>
    </w:p>
    <w:p w14:paraId="5EC6CB5A">
      <w:pPr>
        <w:spacing w:line="360" w:lineRule="auto"/>
        <w:ind w:firstLine="560" w:firstLineChars="200"/>
        <w:rPr>
          <w:rFonts w:hint="eastAsia" w:ascii="宋体" w:hAnsi="宋体"/>
          <w:sz w:val="28"/>
          <w:szCs w:val="28"/>
        </w:rPr>
      </w:pPr>
      <w:r>
        <w:rPr>
          <w:rFonts w:hint="eastAsia" w:ascii="宋体" w:hAnsi="宋体"/>
          <w:sz w:val="28"/>
          <w:szCs w:val="28"/>
        </w:rPr>
        <w:t>六、报告管理及保存</w:t>
      </w:r>
    </w:p>
    <w:p w14:paraId="0B7418D6">
      <w:pPr>
        <w:spacing w:line="360" w:lineRule="auto"/>
        <w:ind w:firstLine="480" w:firstLineChars="200"/>
        <w:rPr>
          <w:rFonts w:hint="eastAsia" w:ascii="宋体" w:hAnsi="宋体"/>
          <w:sz w:val="24"/>
        </w:rPr>
      </w:pPr>
      <w:r>
        <w:rPr>
          <w:rFonts w:hint="eastAsia" w:ascii="宋体" w:hAnsi="宋体"/>
          <w:sz w:val="24"/>
        </w:rPr>
        <w:t>本报告由xx单位xx部门以纸质版</w:t>
      </w:r>
      <w:r>
        <w:rPr>
          <w:rFonts w:ascii="宋体" w:hAnsi="宋体"/>
          <w:sz w:val="24"/>
        </w:rPr>
        <w:t>/</w:t>
      </w:r>
      <w:r>
        <w:rPr>
          <w:rFonts w:hint="eastAsia" w:ascii="宋体" w:hAnsi="宋体"/>
          <w:sz w:val="24"/>
        </w:rPr>
        <w:t>电子版的形式保管，保存年限为xx年；报告可用于xxx用途，报告中xxx为保密性信息，如须使用请联系相关方。</w:t>
      </w:r>
    </w:p>
    <w:p w14:paraId="7FE974BF">
      <w:pPr>
        <w:spacing w:line="360" w:lineRule="auto"/>
        <w:ind w:firstLine="560" w:firstLineChars="200"/>
        <w:rPr>
          <w:rFonts w:hint="eastAsia" w:ascii="宋体" w:hAnsi="宋体"/>
          <w:sz w:val="28"/>
          <w:szCs w:val="28"/>
        </w:rPr>
      </w:pPr>
      <w:r>
        <w:rPr>
          <w:rFonts w:hint="eastAsia" w:ascii="宋体" w:hAnsi="宋体"/>
          <w:sz w:val="28"/>
          <w:szCs w:val="28"/>
        </w:rPr>
        <w:t>七、参考文献</w:t>
      </w:r>
    </w:p>
    <w:p w14:paraId="3A30CDA1">
      <w:pPr>
        <w:spacing w:line="360" w:lineRule="auto"/>
        <w:ind w:firstLine="480" w:firstLineChars="200"/>
        <w:rPr>
          <w:rFonts w:hint="eastAsia" w:ascii="宋体" w:hAnsi="宋体"/>
          <w:sz w:val="24"/>
        </w:rPr>
      </w:pPr>
      <w:r>
        <w:rPr>
          <w:rFonts w:hint="eastAsia" w:ascii="宋体" w:hAnsi="宋体"/>
          <w:sz w:val="24"/>
        </w:rPr>
        <w:t>XXXX</w:t>
      </w:r>
    </w:p>
    <w:p w14:paraId="7D4D7845">
      <w:pPr>
        <w:spacing w:line="360" w:lineRule="auto"/>
        <w:ind w:firstLine="560" w:firstLineChars="200"/>
        <w:rPr>
          <w:rFonts w:hint="eastAsia" w:ascii="宋体" w:hAnsi="宋体"/>
          <w:sz w:val="28"/>
          <w:szCs w:val="28"/>
        </w:rPr>
      </w:pPr>
      <w:r>
        <w:rPr>
          <w:rFonts w:hint="eastAsia" w:ascii="宋体" w:hAnsi="宋体"/>
          <w:sz w:val="28"/>
          <w:szCs w:val="28"/>
        </w:rPr>
        <w:t>八、支持性文件</w:t>
      </w:r>
    </w:p>
    <w:p w14:paraId="200BE6A7">
      <w:pPr>
        <w:spacing w:line="360" w:lineRule="auto"/>
        <w:ind w:firstLine="480" w:firstLineChars="200"/>
        <w:rPr>
          <w:rFonts w:hint="eastAsia" w:ascii="宋体" w:hAnsi="宋体"/>
          <w:sz w:val="24"/>
        </w:rPr>
      </w:pPr>
      <w:r>
        <w:rPr>
          <w:rFonts w:hint="eastAsia" w:ascii="宋体" w:hAnsi="宋体"/>
          <w:sz w:val="24"/>
        </w:rPr>
        <w:t>（资料性附录）</w:t>
      </w:r>
    </w:p>
    <w:p w14:paraId="039C6A9D">
      <w:pPr>
        <w:spacing w:line="360" w:lineRule="auto"/>
        <w:rPr>
          <w:rFonts w:hint="eastAsia" w:ascii="宋体" w:hAnsi="宋体"/>
          <w:sz w:val="28"/>
          <w:szCs w:val="28"/>
        </w:rPr>
      </w:pPr>
      <w:r>
        <w:rPr>
          <w:rFonts w:hint="eastAsia" w:ascii="宋体" w:hAnsi="宋体"/>
          <w:sz w:val="28"/>
          <w:szCs w:val="28"/>
        </w:rPr>
        <w:br w:type="page"/>
      </w:r>
    </w:p>
    <w:p w14:paraId="22B2C9A0">
      <w:pPr>
        <w:jc w:val="center"/>
        <w:outlineLvl w:val="0"/>
        <w:rPr>
          <w:rFonts w:hint="eastAsia" w:ascii="宋体" w:hAnsi="宋体"/>
          <w:sz w:val="30"/>
          <w:szCs w:val="30"/>
        </w:rPr>
      </w:pPr>
      <w:bookmarkStart w:id="11" w:name="_Toc9672"/>
      <w:r>
        <w:rPr>
          <w:rFonts w:hint="eastAsia" w:ascii="宋体" w:hAnsi="宋体"/>
          <w:sz w:val="30"/>
          <w:szCs w:val="30"/>
        </w:rPr>
        <w:t>附录B</w:t>
      </w:r>
      <w:bookmarkEnd w:id="11"/>
    </w:p>
    <w:p w14:paraId="3FEDC8A1">
      <w:pPr>
        <w:jc w:val="center"/>
        <w:rPr>
          <w:rFonts w:ascii="Times New Roman" w:hAnsi="Times New Roman"/>
          <w:szCs w:val="21"/>
        </w:rPr>
      </w:pPr>
      <w:r>
        <w:rPr>
          <w:rFonts w:hint="eastAsia" w:ascii="Times New Roman" w:hAnsi="Times New Roman"/>
          <w:szCs w:val="21"/>
        </w:rPr>
        <w:t xml:space="preserve">(资料性附录) </w:t>
      </w:r>
    </w:p>
    <w:p w14:paraId="2036A999">
      <w:pPr>
        <w:jc w:val="center"/>
        <w:rPr>
          <w:rFonts w:ascii="Times New Roman" w:hAnsi="Times New Roman"/>
          <w:szCs w:val="21"/>
        </w:rPr>
      </w:pPr>
      <w:r>
        <w:rPr>
          <w:rFonts w:hint="eastAsia" w:ascii="Times New Roman" w:hAnsi="Times New Roman"/>
          <w:szCs w:val="21"/>
        </w:rPr>
        <w:t>全球变暖潜势（GWP）</w:t>
      </w:r>
    </w:p>
    <w:p w14:paraId="6C1515A4">
      <w:pPr>
        <w:rPr>
          <w:rFonts w:hint="eastAsia" w:ascii="宋体" w:hAnsi="宋体"/>
          <w:sz w:val="28"/>
          <w:szCs w:val="28"/>
        </w:rPr>
      </w:pPr>
    </w:p>
    <w:p w14:paraId="7FEC2438">
      <w:pPr>
        <w:jc w:val="center"/>
        <w:rPr>
          <w:rFonts w:ascii="Times New Roman" w:hAnsi="Times New Roman"/>
          <w:szCs w:val="21"/>
        </w:rPr>
      </w:pPr>
      <w:r>
        <w:rPr>
          <w:rFonts w:ascii="Times New Roman" w:hAnsi="Times New Roman"/>
          <w:szCs w:val="21"/>
        </w:rPr>
        <w:t>表B.1温室气体的全球增温潜势（GWP）</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5"/>
        <w:gridCol w:w="2088"/>
        <w:gridCol w:w="1429"/>
      </w:tblGrid>
      <w:tr w14:paraId="126CF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1366B10">
            <w:pPr>
              <w:jc w:val="center"/>
              <w:rPr>
                <w:rFonts w:ascii="Times New Roman" w:hAnsi="Times New Roman"/>
                <w:szCs w:val="21"/>
              </w:rPr>
            </w:pPr>
            <w:r>
              <w:rPr>
                <w:rFonts w:ascii="Times New Roman" w:hAnsi="Times New Roman"/>
                <w:szCs w:val="21"/>
              </w:rPr>
              <w:t>温室气体名称</w:t>
            </w:r>
          </w:p>
        </w:tc>
        <w:tc>
          <w:tcPr>
            <w:tcW w:w="2088" w:type="dxa"/>
            <w:vAlign w:val="center"/>
          </w:tcPr>
          <w:p w14:paraId="3FB5FBE3">
            <w:pPr>
              <w:jc w:val="center"/>
              <w:rPr>
                <w:rFonts w:ascii="Times New Roman" w:hAnsi="Times New Roman"/>
                <w:szCs w:val="21"/>
              </w:rPr>
            </w:pPr>
            <w:r>
              <w:rPr>
                <w:rFonts w:ascii="Times New Roman" w:hAnsi="Times New Roman"/>
                <w:szCs w:val="21"/>
              </w:rPr>
              <w:t>化学分子式</w:t>
            </w:r>
          </w:p>
        </w:tc>
        <w:tc>
          <w:tcPr>
            <w:tcW w:w="1429" w:type="dxa"/>
            <w:vAlign w:val="center"/>
          </w:tcPr>
          <w:p w14:paraId="438CFA59">
            <w:pPr>
              <w:jc w:val="center"/>
              <w:rPr>
                <w:rFonts w:ascii="Times New Roman" w:hAnsi="Times New Roman"/>
                <w:szCs w:val="21"/>
              </w:rPr>
            </w:pPr>
            <w:r>
              <w:rPr>
                <w:rFonts w:ascii="Times New Roman" w:hAnsi="Times New Roman"/>
                <w:szCs w:val="21"/>
              </w:rPr>
              <w:t>GWP(100-yr)</w:t>
            </w:r>
          </w:p>
        </w:tc>
      </w:tr>
      <w:tr w14:paraId="48AD4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7A01EEC6">
            <w:pPr>
              <w:jc w:val="center"/>
              <w:rPr>
                <w:rFonts w:ascii="Times New Roman" w:hAnsi="Times New Roman"/>
                <w:szCs w:val="21"/>
              </w:rPr>
            </w:pPr>
            <w:r>
              <w:rPr>
                <w:rFonts w:ascii="Times New Roman" w:hAnsi="Times New Roman"/>
                <w:szCs w:val="21"/>
              </w:rPr>
              <w:t>二氧化碳</w:t>
            </w:r>
          </w:p>
        </w:tc>
        <w:tc>
          <w:tcPr>
            <w:tcW w:w="2088" w:type="dxa"/>
            <w:vAlign w:val="center"/>
          </w:tcPr>
          <w:p w14:paraId="37322AD3">
            <w:pPr>
              <w:jc w:val="center"/>
              <w:rPr>
                <w:rFonts w:ascii="Times New Roman" w:hAnsi="Times New Roman"/>
                <w:szCs w:val="21"/>
              </w:rPr>
            </w:pPr>
            <w:r>
              <w:rPr>
                <w:rFonts w:ascii="Times New Roman" w:hAnsi="Times New Roman"/>
                <w:szCs w:val="21"/>
              </w:rPr>
              <w:t>CO</w:t>
            </w:r>
            <w:r>
              <w:rPr>
                <w:rFonts w:ascii="Times New Roman" w:hAnsi="Times New Roman"/>
                <w:szCs w:val="21"/>
                <w:vertAlign w:val="subscript"/>
              </w:rPr>
              <w:t>2</w:t>
            </w:r>
          </w:p>
        </w:tc>
        <w:tc>
          <w:tcPr>
            <w:tcW w:w="1429" w:type="dxa"/>
            <w:vAlign w:val="center"/>
          </w:tcPr>
          <w:p w14:paraId="1AA1B519">
            <w:pPr>
              <w:jc w:val="center"/>
              <w:rPr>
                <w:rFonts w:ascii="Times New Roman" w:hAnsi="Times New Roman"/>
                <w:szCs w:val="21"/>
              </w:rPr>
            </w:pPr>
            <w:r>
              <w:rPr>
                <w:rFonts w:ascii="Times New Roman" w:hAnsi="Times New Roman"/>
                <w:szCs w:val="21"/>
              </w:rPr>
              <w:t>1</w:t>
            </w:r>
          </w:p>
        </w:tc>
      </w:tr>
      <w:tr w14:paraId="2CEB5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3BB337AD">
            <w:pPr>
              <w:jc w:val="center"/>
              <w:rPr>
                <w:rFonts w:ascii="Times New Roman" w:hAnsi="Times New Roman"/>
                <w:szCs w:val="21"/>
              </w:rPr>
            </w:pPr>
            <w:r>
              <w:rPr>
                <w:rFonts w:ascii="Times New Roman" w:hAnsi="Times New Roman"/>
                <w:szCs w:val="21"/>
              </w:rPr>
              <w:t>甲烷</w:t>
            </w:r>
          </w:p>
        </w:tc>
        <w:tc>
          <w:tcPr>
            <w:tcW w:w="2088" w:type="dxa"/>
            <w:vAlign w:val="center"/>
          </w:tcPr>
          <w:p w14:paraId="656BC176">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4</w:t>
            </w:r>
          </w:p>
        </w:tc>
        <w:tc>
          <w:tcPr>
            <w:tcW w:w="1429" w:type="dxa"/>
            <w:vAlign w:val="center"/>
          </w:tcPr>
          <w:p w14:paraId="71E9AEFF">
            <w:pPr>
              <w:jc w:val="center"/>
              <w:rPr>
                <w:rFonts w:ascii="Times New Roman" w:hAnsi="Times New Roman"/>
                <w:szCs w:val="21"/>
              </w:rPr>
            </w:pPr>
            <w:r>
              <w:rPr>
                <w:rFonts w:ascii="Times New Roman" w:hAnsi="Times New Roman"/>
                <w:szCs w:val="21"/>
              </w:rPr>
              <w:t>28</w:t>
            </w:r>
          </w:p>
        </w:tc>
      </w:tr>
      <w:tr w14:paraId="16825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AC49394">
            <w:pPr>
              <w:jc w:val="center"/>
              <w:rPr>
                <w:rFonts w:ascii="Times New Roman" w:hAnsi="Times New Roman"/>
                <w:szCs w:val="21"/>
              </w:rPr>
            </w:pPr>
            <w:r>
              <w:rPr>
                <w:rFonts w:ascii="Times New Roman" w:hAnsi="Times New Roman"/>
                <w:szCs w:val="21"/>
              </w:rPr>
              <w:t>化石甲烷</w:t>
            </w:r>
          </w:p>
        </w:tc>
        <w:tc>
          <w:tcPr>
            <w:tcW w:w="2088" w:type="dxa"/>
            <w:vAlign w:val="center"/>
          </w:tcPr>
          <w:p w14:paraId="425E7905">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4</w:t>
            </w:r>
          </w:p>
        </w:tc>
        <w:tc>
          <w:tcPr>
            <w:tcW w:w="1429" w:type="dxa"/>
            <w:vAlign w:val="center"/>
          </w:tcPr>
          <w:p w14:paraId="3D559001">
            <w:pPr>
              <w:jc w:val="center"/>
              <w:rPr>
                <w:rFonts w:ascii="Times New Roman" w:hAnsi="Times New Roman"/>
                <w:szCs w:val="21"/>
              </w:rPr>
            </w:pPr>
            <w:r>
              <w:rPr>
                <w:rFonts w:ascii="Times New Roman" w:hAnsi="Times New Roman"/>
                <w:szCs w:val="21"/>
              </w:rPr>
              <w:t>30</w:t>
            </w:r>
          </w:p>
        </w:tc>
      </w:tr>
      <w:tr w14:paraId="2FB51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09F08D0">
            <w:pPr>
              <w:jc w:val="center"/>
              <w:rPr>
                <w:rFonts w:ascii="Times New Roman" w:hAnsi="Times New Roman"/>
                <w:szCs w:val="21"/>
              </w:rPr>
            </w:pPr>
            <w:r>
              <w:rPr>
                <w:rFonts w:ascii="Times New Roman" w:hAnsi="Times New Roman"/>
                <w:szCs w:val="21"/>
              </w:rPr>
              <w:t>氧化亚氮</w:t>
            </w:r>
          </w:p>
        </w:tc>
        <w:tc>
          <w:tcPr>
            <w:tcW w:w="2088" w:type="dxa"/>
            <w:vAlign w:val="center"/>
          </w:tcPr>
          <w:p w14:paraId="1021E889">
            <w:pPr>
              <w:jc w:val="center"/>
              <w:rPr>
                <w:rFonts w:ascii="Times New Roman" w:hAnsi="Times New Roman"/>
                <w:szCs w:val="21"/>
              </w:rPr>
            </w:pPr>
            <w:r>
              <w:rPr>
                <w:rFonts w:ascii="Times New Roman" w:hAnsi="Times New Roman"/>
                <w:szCs w:val="21"/>
              </w:rPr>
              <w:t>N</w:t>
            </w:r>
            <w:r>
              <w:rPr>
                <w:rFonts w:ascii="Times New Roman" w:hAnsi="Times New Roman"/>
                <w:szCs w:val="21"/>
                <w:vertAlign w:val="subscript"/>
              </w:rPr>
              <w:t>2</w:t>
            </w:r>
            <w:r>
              <w:rPr>
                <w:rFonts w:ascii="Times New Roman" w:hAnsi="Times New Roman"/>
                <w:szCs w:val="21"/>
              </w:rPr>
              <w:t>O</w:t>
            </w:r>
          </w:p>
        </w:tc>
        <w:tc>
          <w:tcPr>
            <w:tcW w:w="1429" w:type="dxa"/>
            <w:vAlign w:val="center"/>
          </w:tcPr>
          <w:p w14:paraId="7FE2827E">
            <w:pPr>
              <w:jc w:val="center"/>
              <w:rPr>
                <w:rFonts w:ascii="Times New Roman" w:hAnsi="Times New Roman"/>
                <w:szCs w:val="21"/>
              </w:rPr>
            </w:pPr>
            <w:r>
              <w:rPr>
                <w:rFonts w:ascii="Times New Roman" w:hAnsi="Times New Roman"/>
                <w:szCs w:val="21"/>
              </w:rPr>
              <w:t>265</w:t>
            </w:r>
          </w:p>
        </w:tc>
      </w:tr>
      <w:tr w14:paraId="4C14E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3"/>
            <w:vAlign w:val="center"/>
          </w:tcPr>
          <w:p w14:paraId="51D3F96E">
            <w:pPr>
              <w:jc w:val="center"/>
              <w:rPr>
                <w:rFonts w:ascii="Times New Roman" w:hAnsi="Times New Roman"/>
                <w:szCs w:val="21"/>
              </w:rPr>
            </w:pPr>
            <w:r>
              <w:rPr>
                <w:rFonts w:ascii="Times New Roman" w:hAnsi="Times New Roman"/>
                <w:szCs w:val="21"/>
              </w:rPr>
              <w:t>氢氟碳化合物</w:t>
            </w:r>
          </w:p>
        </w:tc>
      </w:tr>
      <w:tr w14:paraId="05E8A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8276471">
            <w:pPr>
              <w:jc w:val="center"/>
              <w:rPr>
                <w:rFonts w:ascii="Times New Roman" w:hAnsi="Times New Roman"/>
                <w:szCs w:val="21"/>
              </w:rPr>
            </w:pPr>
            <w:r>
              <w:rPr>
                <w:rFonts w:ascii="Times New Roman" w:hAnsi="Times New Roman"/>
                <w:szCs w:val="21"/>
              </w:rPr>
              <w:t>HFC-23</w:t>
            </w:r>
          </w:p>
        </w:tc>
        <w:tc>
          <w:tcPr>
            <w:tcW w:w="2088" w:type="dxa"/>
            <w:vAlign w:val="center"/>
          </w:tcPr>
          <w:p w14:paraId="7A451D43">
            <w:pPr>
              <w:jc w:val="center"/>
              <w:rPr>
                <w:rFonts w:ascii="Times New Roman" w:hAnsi="Times New Roman"/>
                <w:szCs w:val="21"/>
              </w:rPr>
            </w:pPr>
            <w:r>
              <w:rPr>
                <w:rFonts w:ascii="Times New Roman" w:hAnsi="Times New Roman"/>
                <w:szCs w:val="21"/>
              </w:rPr>
              <w:t>CHF</w:t>
            </w:r>
            <w:r>
              <w:rPr>
                <w:rFonts w:ascii="Times New Roman" w:hAnsi="Times New Roman"/>
                <w:szCs w:val="21"/>
                <w:vertAlign w:val="subscript"/>
              </w:rPr>
              <w:t>3</w:t>
            </w:r>
          </w:p>
        </w:tc>
        <w:tc>
          <w:tcPr>
            <w:tcW w:w="1429" w:type="dxa"/>
            <w:vAlign w:val="center"/>
          </w:tcPr>
          <w:p w14:paraId="488087DA">
            <w:pPr>
              <w:jc w:val="center"/>
              <w:rPr>
                <w:rFonts w:ascii="Times New Roman" w:hAnsi="Times New Roman"/>
                <w:szCs w:val="21"/>
              </w:rPr>
            </w:pPr>
            <w:r>
              <w:rPr>
                <w:rFonts w:ascii="Times New Roman" w:hAnsi="Times New Roman"/>
                <w:szCs w:val="21"/>
              </w:rPr>
              <w:t>12,400</w:t>
            </w:r>
          </w:p>
        </w:tc>
      </w:tr>
      <w:tr w14:paraId="6488B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48855CF0">
            <w:pPr>
              <w:jc w:val="center"/>
              <w:rPr>
                <w:rFonts w:ascii="Times New Roman" w:hAnsi="Times New Roman"/>
                <w:szCs w:val="21"/>
              </w:rPr>
            </w:pPr>
            <w:r>
              <w:rPr>
                <w:rFonts w:ascii="Times New Roman" w:hAnsi="Times New Roman"/>
                <w:szCs w:val="21"/>
              </w:rPr>
              <w:t>HFC-32</w:t>
            </w:r>
          </w:p>
        </w:tc>
        <w:tc>
          <w:tcPr>
            <w:tcW w:w="2088" w:type="dxa"/>
            <w:vAlign w:val="center"/>
          </w:tcPr>
          <w:p w14:paraId="3F4B3F93">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F</w:t>
            </w:r>
            <w:r>
              <w:rPr>
                <w:rFonts w:ascii="Times New Roman" w:hAnsi="Times New Roman"/>
                <w:szCs w:val="21"/>
                <w:vertAlign w:val="subscript"/>
              </w:rPr>
              <w:t>2</w:t>
            </w:r>
          </w:p>
        </w:tc>
        <w:tc>
          <w:tcPr>
            <w:tcW w:w="1429" w:type="dxa"/>
            <w:vAlign w:val="center"/>
          </w:tcPr>
          <w:p w14:paraId="44D2C2D1">
            <w:pPr>
              <w:jc w:val="center"/>
              <w:rPr>
                <w:rFonts w:ascii="Times New Roman" w:hAnsi="Times New Roman"/>
                <w:szCs w:val="21"/>
              </w:rPr>
            </w:pPr>
            <w:r>
              <w:rPr>
                <w:rFonts w:ascii="Times New Roman" w:hAnsi="Times New Roman"/>
                <w:szCs w:val="21"/>
              </w:rPr>
              <w:t>677</w:t>
            </w:r>
          </w:p>
        </w:tc>
      </w:tr>
      <w:tr w14:paraId="1D291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6B3A8BA1">
            <w:pPr>
              <w:jc w:val="center"/>
              <w:rPr>
                <w:rFonts w:ascii="Times New Roman" w:hAnsi="Times New Roman"/>
                <w:szCs w:val="21"/>
              </w:rPr>
            </w:pPr>
            <w:r>
              <w:rPr>
                <w:rFonts w:ascii="Times New Roman" w:hAnsi="Times New Roman"/>
                <w:szCs w:val="21"/>
              </w:rPr>
              <w:t>HFC-41</w:t>
            </w:r>
          </w:p>
        </w:tc>
        <w:tc>
          <w:tcPr>
            <w:tcW w:w="2088" w:type="dxa"/>
            <w:vAlign w:val="center"/>
          </w:tcPr>
          <w:p w14:paraId="400B8CF5">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3</w:t>
            </w:r>
            <w:r>
              <w:rPr>
                <w:rFonts w:ascii="Times New Roman" w:hAnsi="Times New Roman"/>
                <w:szCs w:val="21"/>
              </w:rPr>
              <w:t>F</w:t>
            </w:r>
          </w:p>
        </w:tc>
        <w:tc>
          <w:tcPr>
            <w:tcW w:w="1429" w:type="dxa"/>
            <w:vAlign w:val="center"/>
          </w:tcPr>
          <w:p w14:paraId="162B7B62">
            <w:pPr>
              <w:jc w:val="center"/>
              <w:rPr>
                <w:rFonts w:ascii="Times New Roman" w:hAnsi="Times New Roman"/>
                <w:szCs w:val="21"/>
              </w:rPr>
            </w:pPr>
            <w:r>
              <w:rPr>
                <w:rFonts w:ascii="Times New Roman" w:hAnsi="Times New Roman"/>
                <w:szCs w:val="21"/>
              </w:rPr>
              <w:t>116</w:t>
            </w:r>
          </w:p>
        </w:tc>
      </w:tr>
      <w:tr w14:paraId="77CD0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4BCCB941">
            <w:pPr>
              <w:jc w:val="center"/>
              <w:rPr>
                <w:rFonts w:ascii="Times New Roman" w:hAnsi="Times New Roman"/>
                <w:szCs w:val="21"/>
              </w:rPr>
            </w:pPr>
            <w:r>
              <w:rPr>
                <w:rFonts w:ascii="Times New Roman" w:hAnsi="Times New Roman"/>
                <w:szCs w:val="21"/>
              </w:rPr>
              <w:t>HFC-125</w:t>
            </w:r>
          </w:p>
        </w:tc>
        <w:tc>
          <w:tcPr>
            <w:tcW w:w="2088" w:type="dxa"/>
            <w:vAlign w:val="center"/>
          </w:tcPr>
          <w:p w14:paraId="07EBE329">
            <w:pPr>
              <w:jc w:val="center"/>
              <w:rPr>
                <w:rFonts w:ascii="Times New Roman" w:hAnsi="Times New Roman"/>
                <w:szCs w:val="21"/>
              </w:rPr>
            </w:pPr>
            <w:r>
              <w:rPr>
                <w:rFonts w:ascii="Times New Roman" w:hAnsi="Times New Roman"/>
                <w:szCs w:val="21"/>
              </w:rPr>
              <w:t>CHF</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3</w:t>
            </w:r>
          </w:p>
        </w:tc>
        <w:tc>
          <w:tcPr>
            <w:tcW w:w="1429" w:type="dxa"/>
            <w:vAlign w:val="center"/>
          </w:tcPr>
          <w:p w14:paraId="7F7648A0">
            <w:pPr>
              <w:jc w:val="center"/>
              <w:rPr>
                <w:rFonts w:ascii="Times New Roman" w:hAnsi="Times New Roman"/>
                <w:szCs w:val="21"/>
              </w:rPr>
            </w:pPr>
            <w:r>
              <w:rPr>
                <w:rFonts w:ascii="Times New Roman" w:hAnsi="Times New Roman"/>
                <w:szCs w:val="21"/>
              </w:rPr>
              <w:t>3,170</w:t>
            </w:r>
          </w:p>
        </w:tc>
      </w:tr>
      <w:tr w14:paraId="4C121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071C74F">
            <w:pPr>
              <w:jc w:val="center"/>
              <w:rPr>
                <w:rFonts w:ascii="Times New Roman" w:hAnsi="Times New Roman"/>
                <w:szCs w:val="21"/>
              </w:rPr>
            </w:pPr>
            <w:r>
              <w:rPr>
                <w:rFonts w:ascii="Times New Roman" w:hAnsi="Times New Roman"/>
                <w:szCs w:val="21"/>
              </w:rPr>
              <w:t>HFC-134</w:t>
            </w:r>
          </w:p>
        </w:tc>
        <w:tc>
          <w:tcPr>
            <w:tcW w:w="2088" w:type="dxa"/>
            <w:vAlign w:val="center"/>
          </w:tcPr>
          <w:p w14:paraId="77F7CE47">
            <w:pPr>
              <w:jc w:val="center"/>
              <w:rPr>
                <w:rFonts w:ascii="Times New Roman" w:hAnsi="Times New Roman"/>
                <w:szCs w:val="21"/>
              </w:rPr>
            </w:pPr>
            <w:r>
              <w:rPr>
                <w:rFonts w:ascii="Times New Roman" w:hAnsi="Times New Roman"/>
                <w:szCs w:val="21"/>
              </w:rPr>
              <w:t>CHF</w:t>
            </w:r>
            <w:r>
              <w:rPr>
                <w:rFonts w:ascii="Times New Roman" w:hAnsi="Times New Roman"/>
                <w:szCs w:val="21"/>
                <w:vertAlign w:val="subscript"/>
              </w:rPr>
              <w:t>2</w:t>
            </w:r>
            <w:r>
              <w:rPr>
                <w:rFonts w:ascii="Times New Roman" w:hAnsi="Times New Roman"/>
                <w:szCs w:val="21"/>
              </w:rPr>
              <w:t>CHF</w:t>
            </w:r>
            <w:r>
              <w:rPr>
                <w:rFonts w:ascii="Times New Roman" w:hAnsi="Times New Roman"/>
                <w:szCs w:val="21"/>
                <w:vertAlign w:val="subscript"/>
              </w:rPr>
              <w:t>2</w:t>
            </w:r>
          </w:p>
        </w:tc>
        <w:tc>
          <w:tcPr>
            <w:tcW w:w="1429" w:type="dxa"/>
            <w:vAlign w:val="center"/>
          </w:tcPr>
          <w:p w14:paraId="78B17CEA">
            <w:pPr>
              <w:jc w:val="center"/>
              <w:rPr>
                <w:rFonts w:ascii="Times New Roman" w:hAnsi="Times New Roman"/>
                <w:szCs w:val="21"/>
              </w:rPr>
            </w:pPr>
            <w:r>
              <w:rPr>
                <w:rFonts w:ascii="Times New Roman" w:hAnsi="Times New Roman"/>
                <w:szCs w:val="21"/>
              </w:rPr>
              <w:t>1120</w:t>
            </w:r>
          </w:p>
        </w:tc>
      </w:tr>
      <w:tr w14:paraId="31BB1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6D3F7AA3">
            <w:pPr>
              <w:jc w:val="center"/>
              <w:rPr>
                <w:rFonts w:ascii="Times New Roman" w:hAnsi="Times New Roman"/>
                <w:szCs w:val="21"/>
              </w:rPr>
            </w:pPr>
            <w:r>
              <w:rPr>
                <w:rFonts w:ascii="Times New Roman" w:hAnsi="Times New Roman"/>
                <w:szCs w:val="21"/>
              </w:rPr>
              <w:t>HFC-134a</w:t>
            </w:r>
          </w:p>
        </w:tc>
        <w:tc>
          <w:tcPr>
            <w:tcW w:w="2088" w:type="dxa"/>
            <w:vAlign w:val="center"/>
          </w:tcPr>
          <w:p w14:paraId="3750C124">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FCF</w:t>
            </w:r>
            <w:r>
              <w:rPr>
                <w:rFonts w:ascii="Times New Roman" w:hAnsi="Times New Roman"/>
                <w:szCs w:val="21"/>
                <w:vertAlign w:val="subscript"/>
              </w:rPr>
              <w:t>3</w:t>
            </w:r>
          </w:p>
        </w:tc>
        <w:tc>
          <w:tcPr>
            <w:tcW w:w="1429" w:type="dxa"/>
            <w:vAlign w:val="center"/>
          </w:tcPr>
          <w:p w14:paraId="300E5AB8">
            <w:pPr>
              <w:jc w:val="center"/>
              <w:rPr>
                <w:rFonts w:ascii="Times New Roman" w:hAnsi="Times New Roman"/>
                <w:szCs w:val="21"/>
              </w:rPr>
            </w:pPr>
            <w:r>
              <w:rPr>
                <w:rFonts w:ascii="Times New Roman" w:hAnsi="Times New Roman"/>
                <w:szCs w:val="21"/>
              </w:rPr>
              <w:t>1,300</w:t>
            </w:r>
          </w:p>
        </w:tc>
      </w:tr>
      <w:tr w14:paraId="047D7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71E59922">
            <w:pPr>
              <w:jc w:val="center"/>
              <w:rPr>
                <w:rFonts w:ascii="Times New Roman" w:hAnsi="Times New Roman"/>
                <w:szCs w:val="21"/>
              </w:rPr>
            </w:pPr>
            <w:r>
              <w:rPr>
                <w:rFonts w:ascii="Times New Roman" w:hAnsi="Times New Roman"/>
                <w:szCs w:val="21"/>
              </w:rPr>
              <w:t>HFC-143</w:t>
            </w:r>
          </w:p>
        </w:tc>
        <w:tc>
          <w:tcPr>
            <w:tcW w:w="2088" w:type="dxa"/>
            <w:vAlign w:val="center"/>
          </w:tcPr>
          <w:p w14:paraId="10309BF3">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FCHF</w:t>
            </w:r>
          </w:p>
        </w:tc>
        <w:tc>
          <w:tcPr>
            <w:tcW w:w="1429" w:type="dxa"/>
            <w:vAlign w:val="center"/>
          </w:tcPr>
          <w:p w14:paraId="33DB70A7">
            <w:pPr>
              <w:jc w:val="center"/>
              <w:rPr>
                <w:rFonts w:ascii="Times New Roman" w:hAnsi="Times New Roman"/>
                <w:szCs w:val="21"/>
              </w:rPr>
            </w:pPr>
            <w:r>
              <w:rPr>
                <w:rFonts w:ascii="Times New Roman" w:hAnsi="Times New Roman"/>
                <w:szCs w:val="21"/>
              </w:rPr>
              <w:t>328</w:t>
            </w:r>
          </w:p>
        </w:tc>
      </w:tr>
      <w:tr w14:paraId="2450F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BB3EFB9">
            <w:pPr>
              <w:jc w:val="center"/>
              <w:rPr>
                <w:rFonts w:ascii="Times New Roman" w:hAnsi="Times New Roman"/>
                <w:szCs w:val="21"/>
              </w:rPr>
            </w:pPr>
            <w:r>
              <w:rPr>
                <w:rFonts w:ascii="Times New Roman" w:hAnsi="Times New Roman"/>
                <w:szCs w:val="21"/>
              </w:rPr>
              <w:t>HFC-143a</w:t>
            </w:r>
          </w:p>
        </w:tc>
        <w:tc>
          <w:tcPr>
            <w:tcW w:w="2088" w:type="dxa"/>
            <w:vAlign w:val="center"/>
          </w:tcPr>
          <w:p w14:paraId="21006DEA">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3</w:t>
            </w:r>
            <w:r>
              <w:rPr>
                <w:rFonts w:ascii="Times New Roman" w:hAnsi="Times New Roman"/>
                <w:szCs w:val="21"/>
              </w:rPr>
              <w:t>CF</w:t>
            </w:r>
            <w:r>
              <w:rPr>
                <w:rFonts w:ascii="Times New Roman" w:hAnsi="Times New Roman"/>
                <w:szCs w:val="21"/>
                <w:vertAlign w:val="subscript"/>
              </w:rPr>
              <w:t>3</w:t>
            </w:r>
          </w:p>
        </w:tc>
        <w:tc>
          <w:tcPr>
            <w:tcW w:w="1429" w:type="dxa"/>
            <w:vAlign w:val="center"/>
          </w:tcPr>
          <w:p w14:paraId="28857E74">
            <w:pPr>
              <w:jc w:val="center"/>
              <w:rPr>
                <w:rFonts w:ascii="Times New Roman" w:hAnsi="Times New Roman"/>
                <w:szCs w:val="21"/>
              </w:rPr>
            </w:pPr>
            <w:r>
              <w:rPr>
                <w:rFonts w:ascii="Times New Roman" w:hAnsi="Times New Roman"/>
                <w:szCs w:val="21"/>
              </w:rPr>
              <w:t>4800</w:t>
            </w:r>
          </w:p>
        </w:tc>
      </w:tr>
      <w:tr w14:paraId="47858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1197F20">
            <w:pPr>
              <w:jc w:val="center"/>
              <w:rPr>
                <w:rFonts w:ascii="Times New Roman" w:hAnsi="Times New Roman"/>
                <w:szCs w:val="21"/>
              </w:rPr>
            </w:pPr>
            <w:r>
              <w:rPr>
                <w:rFonts w:ascii="Times New Roman" w:hAnsi="Times New Roman"/>
                <w:szCs w:val="21"/>
              </w:rPr>
              <w:t>HFC-152</w:t>
            </w:r>
          </w:p>
        </w:tc>
        <w:tc>
          <w:tcPr>
            <w:tcW w:w="2088" w:type="dxa"/>
            <w:vAlign w:val="center"/>
          </w:tcPr>
          <w:p w14:paraId="5A2EC83D">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FCH</w:t>
            </w:r>
            <w:r>
              <w:rPr>
                <w:rFonts w:ascii="Times New Roman" w:hAnsi="Times New Roman"/>
                <w:szCs w:val="21"/>
                <w:vertAlign w:val="subscript"/>
              </w:rPr>
              <w:t>2</w:t>
            </w:r>
            <w:r>
              <w:rPr>
                <w:rFonts w:ascii="Times New Roman" w:hAnsi="Times New Roman"/>
                <w:szCs w:val="21"/>
              </w:rPr>
              <w:t>F</w:t>
            </w:r>
          </w:p>
        </w:tc>
        <w:tc>
          <w:tcPr>
            <w:tcW w:w="1429" w:type="dxa"/>
            <w:vAlign w:val="center"/>
          </w:tcPr>
          <w:p w14:paraId="4FC4AF4A">
            <w:pPr>
              <w:jc w:val="center"/>
              <w:rPr>
                <w:rFonts w:ascii="Times New Roman" w:hAnsi="Times New Roman"/>
                <w:szCs w:val="21"/>
              </w:rPr>
            </w:pPr>
            <w:r>
              <w:rPr>
                <w:rFonts w:ascii="Times New Roman" w:hAnsi="Times New Roman"/>
                <w:szCs w:val="21"/>
              </w:rPr>
              <w:t>16</w:t>
            </w:r>
          </w:p>
        </w:tc>
      </w:tr>
      <w:tr w14:paraId="05DA0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69E42D50">
            <w:pPr>
              <w:jc w:val="center"/>
              <w:rPr>
                <w:rFonts w:ascii="Times New Roman" w:hAnsi="Times New Roman"/>
                <w:szCs w:val="21"/>
              </w:rPr>
            </w:pPr>
            <w:r>
              <w:rPr>
                <w:rFonts w:ascii="Times New Roman" w:hAnsi="Times New Roman"/>
                <w:szCs w:val="21"/>
              </w:rPr>
              <w:t>HFC-152a</w:t>
            </w:r>
          </w:p>
        </w:tc>
        <w:tc>
          <w:tcPr>
            <w:tcW w:w="2088" w:type="dxa"/>
            <w:vAlign w:val="center"/>
          </w:tcPr>
          <w:p w14:paraId="71AB52BE">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3</w:t>
            </w:r>
            <w:r>
              <w:rPr>
                <w:rFonts w:ascii="Times New Roman" w:hAnsi="Times New Roman"/>
                <w:szCs w:val="21"/>
              </w:rPr>
              <w:t>CHF</w:t>
            </w:r>
            <w:r>
              <w:rPr>
                <w:rFonts w:ascii="Times New Roman" w:hAnsi="Times New Roman"/>
                <w:szCs w:val="21"/>
                <w:vertAlign w:val="subscript"/>
              </w:rPr>
              <w:t>2</w:t>
            </w:r>
          </w:p>
        </w:tc>
        <w:tc>
          <w:tcPr>
            <w:tcW w:w="1429" w:type="dxa"/>
            <w:vAlign w:val="center"/>
          </w:tcPr>
          <w:p w14:paraId="54922674">
            <w:pPr>
              <w:jc w:val="center"/>
              <w:rPr>
                <w:rFonts w:ascii="Times New Roman" w:hAnsi="Times New Roman"/>
                <w:szCs w:val="21"/>
              </w:rPr>
            </w:pPr>
            <w:r>
              <w:rPr>
                <w:rFonts w:ascii="Times New Roman" w:hAnsi="Times New Roman"/>
                <w:szCs w:val="21"/>
              </w:rPr>
              <w:t>138</w:t>
            </w:r>
          </w:p>
        </w:tc>
      </w:tr>
      <w:tr w14:paraId="6ACB4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8F73146">
            <w:pPr>
              <w:jc w:val="center"/>
              <w:rPr>
                <w:rFonts w:ascii="Times New Roman" w:hAnsi="Times New Roman"/>
                <w:szCs w:val="21"/>
              </w:rPr>
            </w:pPr>
            <w:r>
              <w:rPr>
                <w:rFonts w:ascii="Times New Roman" w:hAnsi="Times New Roman"/>
                <w:szCs w:val="21"/>
              </w:rPr>
              <w:t>HFC-161</w:t>
            </w:r>
          </w:p>
        </w:tc>
        <w:tc>
          <w:tcPr>
            <w:tcW w:w="2088" w:type="dxa"/>
            <w:vAlign w:val="center"/>
          </w:tcPr>
          <w:p w14:paraId="5E29F7C3">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3</w:t>
            </w: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F</w:t>
            </w:r>
          </w:p>
        </w:tc>
        <w:tc>
          <w:tcPr>
            <w:tcW w:w="1429" w:type="dxa"/>
            <w:vAlign w:val="center"/>
          </w:tcPr>
          <w:p w14:paraId="0B12C990">
            <w:pPr>
              <w:jc w:val="center"/>
              <w:rPr>
                <w:rFonts w:ascii="Times New Roman" w:hAnsi="Times New Roman"/>
                <w:szCs w:val="21"/>
              </w:rPr>
            </w:pPr>
            <w:r>
              <w:rPr>
                <w:rFonts w:ascii="Times New Roman" w:hAnsi="Times New Roman"/>
                <w:szCs w:val="21"/>
              </w:rPr>
              <w:t>4</w:t>
            </w:r>
          </w:p>
        </w:tc>
      </w:tr>
      <w:tr w14:paraId="35A89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322C082">
            <w:pPr>
              <w:jc w:val="center"/>
              <w:rPr>
                <w:rFonts w:ascii="Times New Roman" w:hAnsi="Times New Roman"/>
                <w:szCs w:val="21"/>
              </w:rPr>
            </w:pPr>
            <w:r>
              <w:rPr>
                <w:rFonts w:ascii="Times New Roman" w:hAnsi="Times New Roman"/>
                <w:szCs w:val="21"/>
              </w:rPr>
              <w:t>HFC-227ca</w:t>
            </w:r>
          </w:p>
        </w:tc>
        <w:tc>
          <w:tcPr>
            <w:tcW w:w="2088" w:type="dxa"/>
            <w:vAlign w:val="center"/>
          </w:tcPr>
          <w:p w14:paraId="373FF4FF">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CHF</w:t>
            </w:r>
            <w:r>
              <w:rPr>
                <w:rFonts w:ascii="Times New Roman" w:hAnsi="Times New Roman"/>
                <w:szCs w:val="21"/>
                <w:vertAlign w:val="subscript"/>
              </w:rPr>
              <w:t>2</w:t>
            </w:r>
          </w:p>
        </w:tc>
        <w:tc>
          <w:tcPr>
            <w:tcW w:w="1429" w:type="dxa"/>
            <w:vAlign w:val="center"/>
          </w:tcPr>
          <w:p w14:paraId="2BA6B633">
            <w:pPr>
              <w:jc w:val="center"/>
              <w:rPr>
                <w:rFonts w:ascii="Times New Roman" w:hAnsi="Times New Roman"/>
                <w:szCs w:val="21"/>
              </w:rPr>
            </w:pPr>
            <w:r>
              <w:rPr>
                <w:rFonts w:ascii="Times New Roman" w:hAnsi="Times New Roman"/>
                <w:szCs w:val="21"/>
              </w:rPr>
              <w:t>2640</w:t>
            </w:r>
          </w:p>
        </w:tc>
      </w:tr>
      <w:tr w14:paraId="5956A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04FD627">
            <w:pPr>
              <w:jc w:val="center"/>
              <w:rPr>
                <w:rFonts w:ascii="Times New Roman" w:hAnsi="Times New Roman"/>
                <w:szCs w:val="21"/>
              </w:rPr>
            </w:pPr>
            <w:r>
              <w:rPr>
                <w:rFonts w:ascii="Times New Roman" w:hAnsi="Times New Roman"/>
                <w:szCs w:val="21"/>
              </w:rPr>
              <w:t>HFC-227ea</w:t>
            </w:r>
          </w:p>
        </w:tc>
        <w:tc>
          <w:tcPr>
            <w:tcW w:w="2088" w:type="dxa"/>
            <w:vAlign w:val="center"/>
          </w:tcPr>
          <w:p w14:paraId="31D746A6">
            <w:pPr>
              <w:jc w:val="center"/>
              <w:rPr>
                <w:rFonts w:ascii="Times New Roman" w:hAnsi="Times New Roman"/>
                <w:szCs w:val="21"/>
              </w:rPr>
            </w:pPr>
            <w:r>
              <w:rPr>
                <w:rFonts w:ascii="Times New Roman" w:hAnsi="Times New Roman"/>
                <w:szCs w:val="21"/>
              </w:rPr>
              <w:t>CF3CHFCF3</w:t>
            </w:r>
          </w:p>
        </w:tc>
        <w:tc>
          <w:tcPr>
            <w:tcW w:w="1429" w:type="dxa"/>
            <w:vAlign w:val="center"/>
          </w:tcPr>
          <w:p w14:paraId="2ABE15CA">
            <w:pPr>
              <w:jc w:val="center"/>
              <w:rPr>
                <w:rFonts w:ascii="Times New Roman" w:hAnsi="Times New Roman"/>
                <w:szCs w:val="21"/>
              </w:rPr>
            </w:pPr>
            <w:r>
              <w:rPr>
                <w:rFonts w:ascii="Times New Roman" w:hAnsi="Times New Roman"/>
                <w:szCs w:val="21"/>
              </w:rPr>
              <w:t>3350</w:t>
            </w:r>
          </w:p>
        </w:tc>
      </w:tr>
      <w:tr w14:paraId="792D2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6BFD0BB6">
            <w:pPr>
              <w:jc w:val="center"/>
              <w:rPr>
                <w:rFonts w:ascii="Times New Roman" w:hAnsi="Times New Roman"/>
                <w:szCs w:val="21"/>
              </w:rPr>
            </w:pPr>
            <w:r>
              <w:rPr>
                <w:rFonts w:hint="eastAsia" w:ascii="Times New Roman" w:hAnsi="Times New Roman"/>
                <w:szCs w:val="21"/>
              </w:rPr>
              <w:t xml:space="preserve">  </w:t>
            </w:r>
            <w:r>
              <w:rPr>
                <w:rFonts w:ascii="Times New Roman" w:hAnsi="Times New Roman"/>
                <w:szCs w:val="21"/>
              </w:rPr>
              <w:t>HFC-236ea</w:t>
            </w:r>
          </w:p>
        </w:tc>
        <w:tc>
          <w:tcPr>
            <w:tcW w:w="2088" w:type="dxa"/>
            <w:vAlign w:val="center"/>
          </w:tcPr>
          <w:p w14:paraId="65B72AA5">
            <w:pPr>
              <w:jc w:val="center"/>
              <w:rPr>
                <w:rFonts w:ascii="Times New Roman" w:hAnsi="Times New Roman"/>
                <w:szCs w:val="21"/>
              </w:rPr>
            </w:pPr>
            <w:r>
              <w:rPr>
                <w:rFonts w:ascii="Times New Roman" w:hAnsi="Times New Roman"/>
                <w:szCs w:val="21"/>
              </w:rPr>
              <w:t>CH2FCF2CF3</w:t>
            </w:r>
          </w:p>
        </w:tc>
        <w:tc>
          <w:tcPr>
            <w:tcW w:w="1429" w:type="dxa"/>
            <w:vAlign w:val="center"/>
          </w:tcPr>
          <w:p w14:paraId="3EEBDA94">
            <w:pPr>
              <w:jc w:val="center"/>
              <w:rPr>
                <w:rFonts w:ascii="Times New Roman" w:hAnsi="Times New Roman"/>
                <w:szCs w:val="21"/>
              </w:rPr>
            </w:pPr>
            <w:r>
              <w:rPr>
                <w:rFonts w:ascii="Times New Roman" w:hAnsi="Times New Roman"/>
                <w:szCs w:val="21"/>
              </w:rPr>
              <w:t>1210</w:t>
            </w:r>
          </w:p>
        </w:tc>
      </w:tr>
      <w:tr w14:paraId="6C76E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3A687E8">
            <w:pPr>
              <w:jc w:val="center"/>
              <w:rPr>
                <w:rFonts w:ascii="Times New Roman" w:hAnsi="Times New Roman"/>
                <w:szCs w:val="21"/>
              </w:rPr>
            </w:pPr>
            <w:r>
              <w:rPr>
                <w:rFonts w:ascii="Times New Roman" w:hAnsi="Times New Roman"/>
                <w:szCs w:val="21"/>
              </w:rPr>
              <w:t>HFC-236fa</w:t>
            </w:r>
          </w:p>
        </w:tc>
        <w:tc>
          <w:tcPr>
            <w:tcW w:w="2088" w:type="dxa"/>
            <w:vAlign w:val="center"/>
          </w:tcPr>
          <w:p w14:paraId="36B8B58F">
            <w:pPr>
              <w:jc w:val="center"/>
              <w:rPr>
                <w:rFonts w:ascii="Times New Roman" w:hAnsi="Times New Roman"/>
                <w:szCs w:val="21"/>
              </w:rPr>
            </w:pPr>
            <w:r>
              <w:rPr>
                <w:rFonts w:ascii="Times New Roman" w:hAnsi="Times New Roman"/>
                <w:szCs w:val="21"/>
              </w:rPr>
              <w:t>CHF2CHFCF3</w:t>
            </w:r>
          </w:p>
        </w:tc>
        <w:tc>
          <w:tcPr>
            <w:tcW w:w="1429" w:type="dxa"/>
            <w:vAlign w:val="center"/>
          </w:tcPr>
          <w:p w14:paraId="671A0677">
            <w:pPr>
              <w:jc w:val="center"/>
              <w:rPr>
                <w:rFonts w:ascii="Times New Roman" w:hAnsi="Times New Roman"/>
                <w:szCs w:val="21"/>
              </w:rPr>
            </w:pPr>
            <w:r>
              <w:rPr>
                <w:rFonts w:ascii="Times New Roman" w:hAnsi="Times New Roman"/>
                <w:szCs w:val="21"/>
              </w:rPr>
              <w:t>1330</w:t>
            </w:r>
          </w:p>
        </w:tc>
      </w:tr>
      <w:tr w14:paraId="4A612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7F1C2DE">
            <w:pPr>
              <w:jc w:val="center"/>
              <w:rPr>
                <w:rFonts w:ascii="Times New Roman" w:hAnsi="Times New Roman"/>
                <w:szCs w:val="21"/>
              </w:rPr>
            </w:pPr>
            <w:r>
              <w:rPr>
                <w:rFonts w:ascii="Times New Roman" w:hAnsi="Times New Roman"/>
                <w:szCs w:val="21"/>
              </w:rPr>
              <w:t>HFC-236fa</w:t>
            </w:r>
          </w:p>
        </w:tc>
        <w:tc>
          <w:tcPr>
            <w:tcW w:w="2088" w:type="dxa"/>
            <w:vAlign w:val="center"/>
          </w:tcPr>
          <w:p w14:paraId="00CD816A">
            <w:pPr>
              <w:jc w:val="center"/>
              <w:rPr>
                <w:rFonts w:ascii="Times New Roman" w:hAnsi="Times New Roman"/>
                <w:szCs w:val="21"/>
              </w:rPr>
            </w:pPr>
            <w:r>
              <w:rPr>
                <w:rFonts w:ascii="Times New Roman" w:hAnsi="Times New Roman"/>
                <w:szCs w:val="21"/>
              </w:rPr>
              <w:t>CF3CH2CF3</w:t>
            </w:r>
          </w:p>
        </w:tc>
        <w:tc>
          <w:tcPr>
            <w:tcW w:w="1429" w:type="dxa"/>
            <w:vAlign w:val="center"/>
          </w:tcPr>
          <w:p w14:paraId="66EA6CEA">
            <w:pPr>
              <w:jc w:val="center"/>
              <w:rPr>
                <w:rFonts w:ascii="Times New Roman" w:hAnsi="Times New Roman"/>
                <w:szCs w:val="21"/>
              </w:rPr>
            </w:pPr>
            <w:r>
              <w:rPr>
                <w:rFonts w:ascii="Times New Roman" w:hAnsi="Times New Roman"/>
                <w:szCs w:val="21"/>
              </w:rPr>
              <w:t>8060</w:t>
            </w:r>
          </w:p>
        </w:tc>
      </w:tr>
      <w:tr w14:paraId="04623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0C896B0F">
            <w:pPr>
              <w:jc w:val="center"/>
              <w:rPr>
                <w:rFonts w:ascii="Times New Roman" w:hAnsi="Times New Roman"/>
                <w:szCs w:val="21"/>
              </w:rPr>
            </w:pPr>
            <w:r>
              <w:rPr>
                <w:rFonts w:ascii="Times New Roman" w:hAnsi="Times New Roman"/>
                <w:szCs w:val="21"/>
              </w:rPr>
              <w:t>HFC-245ca</w:t>
            </w:r>
          </w:p>
        </w:tc>
        <w:tc>
          <w:tcPr>
            <w:tcW w:w="2088" w:type="dxa"/>
            <w:vAlign w:val="center"/>
          </w:tcPr>
          <w:p w14:paraId="0EDCC650">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FCF</w:t>
            </w:r>
            <w:r>
              <w:rPr>
                <w:rFonts w:ascii="Times New Roman" w:hAnsi="Times New Roman"/>
                <w:szCs w:val="21"/>
                <w:vertAlign w:val="subscript"/>
              </w:rPr>
              <w:t>2</w:t>
            </w:r>
            <w:r>
              <w:rPr>
                <w:rFonts w:ascii="Times New Roman" w:hAnsi="Times New Roman"/>
                <w:szCs w:val="21"/>
              </w:rPr>
              <w:t>CHF</w:t>
            </w:r>
            <w:r>
              <w:rPr>
                <w:rFonts w:ascii="Times New Roman" w:hAnsi="Times New Roman"/>
                <w:szCs w:val="21"/>
                <w:vertAlign w:val="subscript"/>
              </w:rPr>
              <w:t>2</w:t>
            </w:r>
          </w:p>
        </w:tc>
        <w:tc>
          <w:tcPr>
            <w:tcW w:w="1429" w:type="dxa"/>
            <w:vAlign w:val="center"/>
          </w:tcPr>
          <w:p w14:paraId="46B0B6D1">
            <w:pPr>
              <w:jc w:val="center"/>
              <w:rPr>
                <w:rFonts w:ascii="Times New Roman" w:hAnsi="Times New Roman"/>
                <w:szCs w:val="21"/>
              </w:rPr>
            </w:pPr>
            <w:r>
              <w:rPr>
                <w:rFonts w:ascii="Times New Roman" w:hAnsi="Times New Roman"/>
                <w:szCs w:val="21"/>
              </w:rPr>
              <w:t>716</w:t>
            </w:r>
          </w:p>
        </w:tc>
      </w:tr>
      <w:tr w14:paraId="7084C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47A0EDCD">
            <w:pPr>
              <w:jc w:val="center"/>
              <w:rPr>
                <w:rFonts w:ascii="Times New Roman" w:hAnsi="Times New Roman"/>
                <w:szCs w:val="21"/>
              </w:rPr>
            </w:pPr>
            <w:r>
              <w:rPr>
                <w:rFonts w:ascii="Times New Roman" w:hAnsi="Times New Roman"/>
                <w:szCs w:val="21"/>
              </w:rPr>
              <w:t>HFC-245cb</w:t>
            </w:r>
          </w:p>
        </w:tc>
        <w:tc>
          <w:tcPr>
            <w:tcW w:w="2088" w:type="dxa"/>
            <w:vAlign w:val="center"/>
          </w:tcPr>
          <w:p w14:paraId="03CFA5FF">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CH</w:t>
            </w:r>
            <w:r>
              <w:rPr>
                <w:rFonts w:ascii="Times New Roman" w:hAnsi="Times New Roman"/>
                <w:szCs w:val="21"/>
                <w:vertAlign w:val="subscript"/>
              </w:rPr>
              <w:t>3</w:t>
            </w:r>
          </w:p>
        </w:tc>
        <w:tc>
          <w:tcPr>
            <w:tcW w:w="1429" w:type="dxa"/>
            <w:vAlign w:val="center"/>
          </w:tcPr>
          <w:p w14:paraId="501FD6EA">
            <w:pPr>
              <w:jc w:val="center"/>
              <w:rPr>
                <w:rFonts w:ascii="Times New Roman" w:hAnsi="Times New Roman"/>
                <w:szCs w:val="21"/>
              </w:rPr>
            </w:pPr>
            <w:r>
              <w:rPr>
                <w:rFonts w:ascii="Times New Roman" w:hAnsi="Times New Roman"/>
                <w:szCs w:val="21"/>
              </w:rPr>
              <w:t>4620</w:t>
            </w:r>
          </w:p>
        </w:tc>
      </w:tr>
      <w:tr w14:paraId="5260E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FD7D5C4">
            <w:pPr>
              <w:jc w:val="center"/>
              <w:rPr>
                <w:rFonts w:ascii="Times New Roman" w:hAnsi="Times New Roman"/>
                <w:szCs w:val="21"/>
              </w:rPr>
            </w:pPr>
            <w:r>
              <w:rPr>
                <w:rFonts w:ascii="Times New Roman" w:hAnsi="Times New Roman"/>
                <w:szCs w:val="21"/>
              </w:rPr>
              <w:t>HFC-245ea</w:t>
            </w:r>
          </w:p>
        </w:tc>
        <w:tc>
          <w:tcPr>
            <w:tcW w:w="2088" w:type="dxa"/>
            <w:vAlign w:val="center"/>
          </w:tcPr>
          <w:p w14:paraId="06309FE4">
            <w:pPr>
              <w:jc w:val="center"/>
              <w:rPr>
                <w:rFonts w:ascii="Times New Roman" w:hAnsi="Times New Roman"/>
                <w:szCs w:val="21"/>
              </w:rPr>
            </w:pPr>
            <w:r>
              <w:rPr>
                <w:rFonts w:ascii="Times New Roman" w:hAnsi="Times New Roman"/>
                <w:szCs w:val="21"/>
              </w:rPr>
              <w:t>CHF</w:t>
            </w:r>
            <w:r>
              <w:rPr>
                <w:rFonts w:ascii="Times New Roman" w:hAnsi="Times New Roman"/>
                <w:szCs w:val="21"/>
                <w:vertAlign w:val="subscript"/>
              </w:rPr>
              <w:t>2</w:t>
            </w:r>
            <w:r>
              <w:rPr>
                <w:rFonts w:ascii="Times New Roman" w:hAnsi="Times New Roman"/>
                <w:szCs w:val="21"/>
              </w:rPr>
              <w:t>CHFCHF</w:t>
            </w:r>
            <w:r>
              <w:rPr>
                <w:rFonts w:ascii="Times New Roman" w:hAnsi="Times New Roman"/>
                <w:szCs w:val="21"/>
                <w:vertAlign w:val="subscript"/>
              </w:rPr>
              <w:t>2</w:t>
            </w:r>
          </w:p>
        </w:tc>
        <w:tc>
          <w:tcPr>
            <w:tcW w:w="1429" w:type="dxa"/>
            <w:vAlign w:val="center"/>
          </w:tcPr>
          <w:p w14:paraId="12729F95">
            <w:pPr>
              <w:jc w:val="center"/>
              <w:rPr>
                <w:rFonts w:ascii="Times New Roman" w:hAnsi="Times New Roman"/>
                <w:szCs w:val="21"/>
              </w:rPr>
            </w:pPr>
            <w:r>
              <w:rPr>
                <w:rFonts w:ascii="Times New Roman" w:hAnsi="Times New Roman"/>
                <w:szCs w:val="21"/>
              </w:rPr>
              <w:t>235</w:t>
            </w:r>
          </w:p>
        </w:tc>
      </w:tr>
      <w:tr w14:paraId="0FC48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69CA45A1">
            <w:pPr>
              <w:jc w:val="center"/>
              <w:rPr>
                <w:rFonts w:ascii="Times New Roman" w:hAnsi="Times New Roman"/>
                <w:szCs w:val="21"/>
              </w:rPr>
            </w:pPr>
            <w:r>
              <w:rPr>
                <w:rFonts w:ascii="Times New Roman" w:hAnsi="Times New Roman"/>
                <w:szCs w:val="21"/>
              </w:rPr>
              <w:t>HFC-245eb</w:t>
            </w:r>
          </w:p>
        </w:tc>
        <w:tc>
          <w:tcPr>
            <w:tcW w:w="2088" w:type="dxa"/>
            <w:vAlign w:val="center"/>
          </w:tcPr>
          <w:p w14:paraId="0FDE1D77">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FCHFCF</w:t>
            </w:r>
            <w:r>
              <w:rPr>
                <w:rFonts w:ascii="Times New Roman" w:hAnsi="Times New Roman"/>
                <w:szCs w:val="21"/>
                <w:vertAlign w:val="subscript"/>
              </w:rPr>
              <w:t>3</w:t>
            </w:r>
          </w:p>
        </w:tc>
        <w:tc>
          <w:tcPr>
            <w:tcW w:w="1429" w:type="dxa"/>
            <w:vAlign w:val="center"/>
          </w:tcPr>
          <w:p w14:paraId="571D07E4">
            <w:pPr>
              <w:jc w:val="center"/>
              <w:rPr>
                <w:rFonts w:ascii="Times New Roman" w:hAnsi="Times New Roman"/>
                <w:szCs w:val="21"/>
              </w:rPr>
            </w:pPr>
            <w:r>
              <w:rPr>
                <w:rFonts w:ascii="Times New Roman" w:hAnsi="Times New Roman"/>
                <w:szCs w:val="21"/>
              </w:rPr>
              <w:t>290</w:t>
            </w:r>
          </w:p>
        </w:tc>
      </w:tr>
      <w:tr w14:paraId="4DF81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02BCE550">
            <w:pPr>
              <w:jc w:val="center"/>
              <w:rPr>
                <w:rFonts w:ascii="Times New Roman" w:hAnsi="Times New Roman"/>
                <w:szCs w:val="21"/>
              </w:rPr>
            </w:pPr>
            <w:r>
              <w:rPr>
                <w:rFonts w:ascii="Times New Roman" w:hAnsi="Times New Roman"/>
                <w:szCs w:val="21"/>
              </w:rPr>
              <w:t>HFC-245fa</w:t>
            </w:r>
          </w:p>
        </w:tc>
        <w:tc>
          <w:tcPr>
            <w:tcW w:w="2088" w:type="dxa"/>
            <w:vAlign w:val="center"/>
          </w:tcPr>
          <w:p w14:paraId="23B5F193">
            <w:pPr>
              <w:jc w:val="center"/>
              <w:rPr>
                <w:rFonts w:ascii="Times New Roman" w:hAnsi="Times New Roman"/>
                <w:szCs w:val="21"/>
              </w:rPr>
            </w:pPr>
            <w:r>
              <w:rPr>
                <w:rFonts w:ascii="Times New Roman" w:hAnsi="Times New Roman"/>
                <w:szCs w:val="21"/>
              </w:rPr>
              <w:t>CHF</w:t>
            </w:r>
            <w:r>
              <w:rPr>
                <w:rFonts w:ascii="Times New Roman" w:hAnsi="Times New Roman"/>
                <w:szCs w:val="21"/>
                <w:vertAlign w:val="subscript"/>
              </w:rPr>
              <w:t>2</w:t>
            </w: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3</w:t>
            </w:r>
          </w:p>
        </w:tc>
        <w:tc>
          <w:tcPr>
            <w:tcW w:w="1429" w:type="dxa"/>
            <w:vAlign w:val="center"/>
          </w:tcPr>
          <w:p w14:paraId="16016122">
            <w:pPr>
              <w:jc w:val="center"/>
              <w:rPr>
                <w:rFonts w:ascii="Times New Roman" w:hAnsi="Times New Roman"/>
                <w:szCs w:val="21"/>
              </w:rPr>
            </w:pPr>
            <w:r>
              <w:rPr>
                <w:rFonts w:ascii="Times New Roman" w:hAnsi="Times New Roman"/>
                <w:szCs w:val="21"/>
              </w:rPr>
              <w:t>858</w:t>
            </w:r>
          </w:p>
        </w:tc>
      </w:tr>
      <w:tr w14:paraId="6AC31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42E9F6FC">
            <w:pPr>
              <w:jc w:val="center"/>
              <w:rPr>
                <w:rFonts w:ascii="Times New Roman" w:hAnsi="Times New Roman"/>
                <w:szCs w:val="21"/>
              </w:rPr>
            </w:pPr>
            <w:r>
              <w:rPr>
                <w:rFonts w:ascii="Times New Roman" w:hAnsi="Times New Roman"/>
                <w:szCs w:val="21"/>
              </w:rPr>
              <w:t>HFC-263fb</w:t>
            </w:r>
          </w:p>
        </w:tc>
        <w:tc>
          <w:tcPr>
            <w:tcW w:w="2088" w:type="dxa"/>
            <w:vAlign w:val="center"/>
          </w:tcPr>
          <w:p w14:paraId="24B4FBC3">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3</w:t>
            </w: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3</w:t>
            </w:r>
          </w:p>
        </w:tc>
        <w:tc>
          <w:tcPr>
            <w:tcW w:w="1429" w:type="dxa"/>
            <w:vAlign w:val="center"/>
          </w:tcPr>
          <w:p w14:paraId="4E2B35FD">
            <w:pPr>
              <w:jc w:val="center"/>
              <w:rPr>
                <w:rFonts w:ascii="Times New Roman" w:hAnsi="Times New Roman"/>
                <w:szCs w:val="21"/>
              </w:rPr>
            </w:pPr>
            <w:r>
              <w:rPr>
                <w:rFonts w:ascii="Times New Roman" w:hAnsi="Times New Roman"/>
                <w:szCs w:val="21"/>
              </w:rPr>
              <w:t>76</w:t>
            </w:r>
          </w:p>
        </w:tc>
      </w:tr>
      <w:tr w14:paraId="3396C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9320D8C">
            <w:pPr>
              <w:jc w:val="center"/>
              <w:rPr>
                <w:rFonts w:ascii="Times New Roman" w:hAnsi="Times New Roman"/>
                <w:szCs w:val="21"/>
              </w:rPr>
            </w:pPr>
            <w:r>
              <w:rPr>
                <w:rFonts w:ascii="Times New Roman" w:hAnsi="Times New Roman"/>
                <w:szCs w:val="21"/>
              </w:rPr>
              <w:t>HFC-272ca</w:t>
            </w:r>
          </w:p>
        </w:tc>
        <w:tc>
          <w:tcPr>
            <w:tcW w:w="2088" w:type="dxa"/>
            <w:vAlign w:val="center"/>
          </w:tcPr>
          <w:p w14:paraId="703E945D">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3</w:t>
            </w: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CH</w:t>
            </w:r>
            <w:r>
              <w:rPr>
                <w:rFonts w:ascii="Times New Roman" w:hAnsi="Times New Roman"/>
                <w:szCs w:val="21"/>
                <w:vertAlign w:val="subscript"/>
              </w:rPr>
              <w:t>3</w:t>
            </w:r>
          </w:p>
        </w:tc>
        <w:tc>
          <w:tcPr>
            <w:tcW w:w="1429" w:type="dxa"/>
            <w:vAlign w:val="center"/>
          </w:tcPr>
          <w:p w14:paraId="2BCEB231">
            <w:pPr>
              <w:jc w:val="center"/>
              <w:rPr>
                <w:rFonts w:ascii="Times New Roman" w:hAnsi="Times New Roman"/>
                <w:szCs w:val="21"/>
              </w:rPr>
            </w:pPr>
            <w:r>
              <w:rPr>
                <w:rFonts w:ascii="Times New Roman" w:hAnsi="Times New Roman"/>
                <w:szCs w:val="21"/>
              </w:rPr>
              <w:t>144</w:t>
            </w:r>
          </w:p>
        </w:tc>
      </w:tr>
      <w:tr w14:paraId="07E6F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3A2D9A04">
            <w:pPr>
              <w:jc w:val="center"/>
              <w:rPr>
                <w:rFonts w:ascii="Times New Roman" w:hAnsi="Times New Roman"/>
                <w:szCs w:val="21"/>
              </w:rPr>
            </w:pPr>
            <w:r>
              <w:rPr>
                <w:rFonts w:ascii="Times New Roman" w:hAnsi="Times New Roman"/>
                <w:szCs w:val="21"/>
              </w:rPr>
              <w:t>HFC-329p</w:t>
            </w:r>
          </w:p>
        </w:tc>
        <w:tc>
          <w:tcPr>
            <w:tcW w:w="2088" w:type="dxa"/>
            <w:vAlign w:val="center"/>
          </w:tcPr>
          <w:p w14:paraId="027A4C92">
            <w:pPr>
              <w:jc w:val="center"/>
              <w:rPr>
                <w:rFonts w:ascii="Times New Roman" w:hAnsi="Times New Roman"/>
                <w:szCs w:val="21"/>
              </w:rPr>
            </w:pPr>
            <w:r>
              <w:rPr>
                <w:rFonts w:ascii="Times New Roman" w:hAnsi="Times New Roman"/>
                <w:szCs w:val="21"/>
              </w:rPr>
              <w:t>CHF</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3</w:t>
            </w:r>
          </w:p>
        </w:tc>
        <w:tc>
          <w:tcPr>
            <w:tcW w:w="1429" w:type="dxa"/>
            <w:vAlign w:val="center"/>
          </w:tcPr>
          <w:p w14:paraId="28D82A99">
            <w:pPr>
              <w:jc w:val="center"/>
              <w:rPr>
                <w:rFonts w:ascii="Times New Roman" w:hAnsi="Times New Roman"/>
                <w:szCs w:val="21"/>
              </w:rPr>
            </w:pPr>
            <w:r>
              <w:rPr>
                <w:rFonts w:ascii="Times New Roman" w:hAnsi="Times New Roman"/>
                <w:szCs w:val="21"/>
              </w:rPr>
              <w:t>2360</w:t>
            </w:r>
          </w:p>
        </w:tc>
      </w:tr>
      <w:tr w14:paraId="0BCF5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42258228">
            <w:pPr>
              <w:jc w:val="center"/>
              <w:rPr>
                <w:rFonts w:ascii="Times New Roman" w:hAnsi="Times New Roman"/>
                <w:szCs w:val="21"/>
              </w:rPr>
            </w:pPr>
            <w:r>
              <w:rPr>
                <w:rFonts w:ascii="Times New Roman" w:hAnsi="Times New Roman"/>
                <w:szCs w:val="21"/>
              </w:rPr>
              <w:t>HFC-365mfc</w:t>
            </w:r>
          </w:p>
        </w:tc>
        <w:tc>
          <w:tcPr>
            <w:tcW w:w="2088" w:type="dxa"/>
            <w:vAlign w:val="center"/>
          </w:tcPr>
          <w:p w14:paraId="33FF0675">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3</w:t>
            </w: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3</w:t>
            </w:r>
          </w:p>
        </w:tc>
        <w:tc>
          <w:tcPr>
            <w:tcW w:w="1429" w:type="dxa"/>
            <w:vAlign w:val="center"/>
          </w:tcPr>
          <w:p w14:paraId="59A78CBF">
            <w:pPr>
              <w:jc w:val="center"/>
              <w:rPr>
                <w:rFonts w:ascii="Times New Roman" w:hAnsi="Times New Roman"/>
                <w:szCs w:val="21"/>
              </w:rPr>
            </w:pPr>
            <w:r>
              <w:rPr>
                <w:rFonts w:ascii="Times New Roman" w:hAnsi="Times New Roman"/>
                <w:szCs w:val="21"/>
              </w:rPr>
              <w:t>804</w:t>
            </w:r>
          </w:p>
        </w:tc>
      </w:tr>
      <w:tr w14:paraId="4C20A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C69FF38">
            <w:pPr>
              <w:jc w:val="center"/>
              <w:rPr>
                <w:rFonts w:ascii="Times New Roman" w:hAnsi="Times New Roman"/>
                <w:szCs w:val="21"/>
              </w:rPr>
            </w:pPr>
            <w:r>
              <w:rPr>
                <w:rFonts w:ascii="Times New Roman" w:hAnsi="Times New Roman"/>
                <w:szCs w:val="21"/>
              </w:rPr>
              <w:t>HFC-43-10mee</w:t>
            </w:r>
          </w:p>
        </w:tc>
        <w:tc>
          <w:tcPr>
            <w:tcW w:w="2088" w:type="dxa"/>
            <w:vAlign w:val="center"/>
          </w:tcPr>
          <w:p w14:paraId="7970C395">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CHFCHFCF</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3</w:t>
            </w:r>
          </w:p>
        </w:tc>
        <w:tc>
          <w:tcPr>
            <w:tcW w:w="1429" w:type="dxa"/>
            <w:vAlign w:val="center"/>
          </w:tcPr>
          <w:p w14:paraId="760C2CD4">
            <w:pPr>
              <w:jc w:val="center"/>
              <w:rPr>
                <w:rFonts w:ascii="Times New Roman" w:hAnsi="Times New Roman"/>
                <w:szCs w:val="21"/>
              </w:rPr>
            </w:pPr>
            <w:r>
              <w:rPr>
                <w:rFonts w:ascii="Times New Roman" w:hAnsi="Times New Roman"/>
                <w:szCs w:val="21"/>
              </w:rPr>
              <w:t>1650</w:t>
            </w:r>
          </w:p>
        </w:tc>
      </w:tr>
      <w:tr w14:paraId="5122E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C4E7960">
            <w:pPr>
              <w:jc w:val="center"/>
              <w:rPr>
                <w:rFonts w:ascii="Times New Roman" w:hAnsi="Times New Roman"/>
                <w:szCs w:val="21"/>
              </w:rPr>
            </w:pPr>
            <w:r>
              <w:rPr>
                <w:rFonts w:ascii="Times New Roman" w:hAnsi="Times New Roman"/>
                <w:szCs w:val="21"/>
              </w:rPr>
              <w:t>HFC-1132a</w:t>
            </w:r>
          </w:p>
        </w:tc>
        <w:tc>
          <w:tcPr>
            <w:tcW w:w="2088" w:type="dxa"/>
            <w:vAlign w:val="center"/>
          </w:tcPr>
          <w:p w14:paraId="09930A15">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2</w:t>
            </w:r>
          </w:p>
        </w:tc>
        <w:tc>
          <w:tcPr>
            <w:tcW w:w="1429" w:type="dxa"/>
            <w:vAlign w:val="center"/>
          </w:tcPr>
          <w:p w14:paraId="68F66F90">
            <w:pPr>
              <w:jc w:val="center"/>
              <w:rPr>
                <w:rFonts w:ascii="Times New Roman" w:hAnsi="Times New Roman"/>
                <w:szCs w:val="21"/>
              </w:rPr>
            </w:pPr>
            <w:r>
              <w:rPr>
                <w:rFonts w:ascii="Times New Roman" w:hAnsi="Times New Roman"/>
                <w:szCs w:val="21"/>
              </w:rPr>
              <w:t>&lt;1</w:t>
            </w:r>
          </w:p>
        </w:tc>
      </w:tr>
      <w:tr w14:paraId="05C98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420770E9">
            <w:pPr>
              <w:jc w:val="center"/>
              <w:rPr>
                <w:rFonts w:ascii="Times New Roman" w:hAnsi="Times New Roman"/>
                <w:szCs w:val="21"/>
              </w:rPr>
            </w:pPr>
            <w:r>
              <w:rPr>
                <w:rFonts w:ascii="Times New Roman" w:hAnsi="Times New Roman"/>
                <w:szCs w:val="21"/>
              </w:rPr>
              <w:t>HFC-1141</w:t>
            </w:r>
          </w:p>
        </w:tc>
        <w:tc>
          <w:tcPr>
            <w:tcW w:w="2088" w:type="dxa"/>
            <w:vAlign w:val="center"/>
          </w:tcPr>
          <w:p w14:paraId="32837BE7">
            <w:pPr>
              <w:jc w:val="center"/>
              <w:rPr>
                <w:rFonts w:ascii="Times New Roman" w:hAnsi="Times New Roman"/>
                <w:szCs w:val="21"/>
              </w:rPr>
            </w:pPr>
            <w:r>
              <w:rPr>
                <w:rFonts w:ascii="Times New Roman" w:hAnsi="Times New Roman"/>
                <w:szCs w:val="21"/>
              </w:rPr>
              <w:t>CH</w:t>
            </w:r>
            <w:r>
              <w:rPr>
                <w:rFonts w:ascii="Times New Roman" w:hAnsi="Times New Roman"/>
                <w:szCs w:val="21"/>
                <w:vertAlign w:val="subscript"/>
              </w:rPr>
              <w:t>2</w:t>
            </w:r>
            <w:r>
              <w:rPr>
                <w:rFonts w:ascii="Times New Roman" w:hAnsi="Times New Roman"/>
                <w:szCs w:val="21"/>
              </w:rPr>
              <w:t>=CHF</w:t>
            </w:r>
          </w:p>
        </w:tc>
        <w:tc>
          <w:tcPr>
            <w:tcW w:w="1429" w:type="dxa"/>
            <w:vAlign w:val="center"/>
          </w:tcPr>
          <w:p w14:paraId="79351DEA">
            <w:pPr>
              <w:jc w:val="center"/>
              <w:rPr>
                <w:rFonts w:ascii="Times New Roman" w:hAnsi="Times New Roman"/>
                <w:szCs w:val="21"/>
              </w:rPr>
            </w:pPr>
            <w:r>
              <w:rPr>
                <w:rFonts w:ascii="Times New Roman" w:hAnsi="Times New Roman"/>
                <w:szCs w:val="21"/>
              </w:rPr>
              <w:t>&lt;1</w:t>
            </w:r>
          </w:p>
        </w:tc>
      </w:tr>
      <w:tr w14:paraId="56C07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E766619">
            <w:pPr>
              <w:jc w:val="center"/>
              <w:rPr>
                <w:rFonts w:ascii="Times New Roman" w:hAnsi="Times New Roman"/>
                <w:szCs w:val="21"/>
              </w:rPr>
            </w:pPr>
            <w:r>
              <w:rPr>
                <w:rFonts w:ascii="Times New Roman" w:hAnsi="Times New Roman"/>
                <w:szCs w:val="21"/>
              </w:rPr>
              <w:t>（Z）-HFC-1225ye</w:t>
            </w:r>
          </w:p>
        </w:tc>
        <w:tc>
          <w:tcPr>
            <w:tcW w:w="2088" w:type="dxa"/>
            <w:vAlign w:val="center"/>
          </w:tcPr>
          <w:p w14:paraId="3F379577">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CF=CHF(Z)</w:t>
            </w:r>
          </w:p>
        </w:tc>
        <w:tc>
          <w:tcPr>
            <w:tcW w:w="1429" w:type="dxa"/>
            <w:vAlign w:val="center"/>
          </w:tcPr>
          <w:p w14:paraId="526DBB8A">
            <w:pPr>
              <w:jc w:val="center"/>
              <w:rPr>
                <w:rFonts w:ascii="Times New Roman" w:hAnsi="Times New Roman"/>
                <w:szCs w:val="21"/>
              </w:rPr>
            </w:pPr>
            <w:r>
              <w:rPr>
                <w:rFonts w:ascii="Times New Roman" w:hAnsi="Times New Roman"/>
                <w:szCs w:val="21"/>
              </w:rPr>
              <w:t>&lt;1</w:t>
            </w:r>
          </w:p>
        </w:tc>
      </w:tr>
      <w:tr w14:paraId="529B3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30BADEF7">
            <w:pPr>
              <w:jc w:val="center"/>
              <w:rPr>
                <w:rFonts w:ascii="Times New Roman" w:hAnsi="Times New Roman"/>
                <w:szCs w:val="21"/>
              </w:rPr>
            </w:pPr>
            <w:r>
              <w:rPr>
                <w:rFonts w:ascii="Times New Roman" w:hAnsi="Times New Roman"/>
                <w:szCs w:val="21"/>
              </w:rPr>
              <w:t>（E）-HFC-1225ye</w:t>
            </w:r>
          </w:p>
        </w:tc>
        <w:tc>
          <w:tcPr>
            <w:tcW w:w="2088" w:type="dxa"/>
            <w:vAlign w:val="center"/>
          </w:tcPr>
          <w:p w14:paraId="0C088466">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CF=CHF(E)</w:t>
            </w:r>
          </w:p>
        </w:tc>
        <w:tc>
          <w:tcPr>
            <w:tcW w:w="1429" w:type="dxa"/>
            <w:vAlign w:val="center"/>
          </w:tcPr>
          <w:p w14:paraId="3DCBE84A">
            <w:pPr>
              <w:jc w:val="center"/>
              <w:rPr>
                <w:rFonts w:ascii="Times New Roman" w:hAnsi="Times New Roman"/>
                <w:szCs w:val="21"/>
              </w:rPr>
            </w:pPr>
            <w:r>
              <w:rPr>
                <w:rFonts w:ascii="Times New Roman" w:hAnsi="Times New Roman"/>
                <w:szCs w:val="21"/>
              </w:rPr>
              <w:t>&lt;1</w:t>
            </w:r>
          </w:p>
        </w:tc>
      </w:tr>
      <w:tr w14:paraId="404CC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6BF4FAF">
            <w:pPr>
              <w:jc w:val="center"/>
              <w:rPr>
                <w:rFonts w:ascii="Times New Roman" w:hAnsi="Times New Roman"/>
                <w:szCs w:val="21"/>
              </w:rPr>
            </w:pPr>
            <w:r>
              <w:rPr>
                <w:rFonts w:ascii="Times New Roman" w:hAnsi="Times New Roman"/>
                <w:szCs w:val="21"/>
              </w:rPr>
              <w:t>(Z)-HFC-1234ze</w:t>
            </w:r>
          </w:p>
        </w:tc>
        <w:tc>
          <w:tcPr>
            <w:tcW w:w="2088" w:type="dxa"/>
            <w:vAlign w:val="center"/>
          </w:tcPr>
          <w:p w14:paraId="1460B7F4">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CH=CHF(Z)</w:t>
            </w:r>
          </w:p>
        </w:tc>
        <w:tc>
          <w:tcPr>
            <w:tcW w:w="1429" w:type="dxa"/>
            <w:vAlign w:val="center"/>
          </w:tcPr>
          <w:p w14:paraId="5D7DDB23">
            <w:pPr>
              <w:jc w:val="center"/>
              <w:rPr>
                <w:rFonts w:ascii="Times New Roman" w:hAnsi="Times New Roman"/>
                <w:szCs w:val="21"/>
              </w:rPr>
            </w:pPr>
            <w:r>
              <w:rPr>
                <w:rFonts w:ascii="Times New Roman" w:hAnsi="Times New Roman"/>
                <w:szCs w:val="21"/>
              </w:rPr>
              <w:t>&lt;1</w:t>
            </w:r>
          </w:p>
        </w:tc>
      </w:tr>
      <w:tr w14:paraId="0CE9A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BE97489">
            <w:pPr>
              <w:jc w:val="center"/>
              <w:rPr>
                <w:rFonts w:ascii="Times New Roman" w:hAnsi="Times New Roman"/>
                <w:szCs w:val="21"/>
              </w:rPr>
            </w:pPr>
            <w:r>
              <w:rPr>
                <w:rFonts w:ascii="Times New Roman" w:hAnsi="Times New Roman"/>
                <w:szCs w:val="21"/>
              </w:rPr>
              <w:t>HFC-1234yf</w:t>
            </w:r>
          </w:p>
        </w:tc>
        <w:tc>
          <w:tcPr>
            <w:tcW w:w="2088" w:type="dxa"/>
            <w:vAlign w:val="center"/>
          </w:tcPr>
          <w:p w14:paraId="26289306">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CF=CH</w:t>
            </w:r>
            <w:r>
              <w:rPr>
                <w:rFonts w:ascii="Times New Roman" w:hAnsi="Times New Roman"/>
                <w:szCs w:val="21"/>
                <w:vertAlign w:val="subscript"/>
              </w:rPr>
              <w:t>2</w:t>
            </w:r>
          </w:p>
        </w:tc>
        <w:tc>
          <w:tcPr>
            <w:tcW w:w="1429" w:type="dxa"/>
            <w:vAlign w:val="center"/>
          </w:tcPr>
          <w:p w14:paraId="7D9D0C31">
            <w:pPr>
              <w:jc w:val="center"/>
              <w:rPr>
                <w:rFonts w:ascii="Times New Roman" w:hAnsi="Times New Roman"/>
                <w:szCs w:val="21"/>
              </w:rPr>
            </w:pPr>
            <w:r>
              <w:rPr>
                <w:rFonts w:ascii="Times New Roman" w:hAnsi="Times New Roman"/>
                <w:szCs w:val="21"/>
              </w:rPr>
              <w:t>&lt;1</w:t>
            </w:r>
          </w:p>
        </w:tc>
      </w:tr>
      <w:tr w14:paraId="1BEAE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7B49CBF0">
            <w:pPr>
              <w:jc w:val="center"/>
              <w:rPr>
                <w:rFonts w:ascii="Times New Roman" w:hAnsi="Times New Roman"/>
                <w:szCs w:val="21"/>
              </w:rPr>
            </w:pPr>
            <w:r>
              <w:rPr>
                <w:rFonts w:ascii="Times New Roman" w:hAnsi="Times New Roman"/>
                <w:szCs w:val="21"/>
              </w:rPr>
              <w:t>(E)-HFC-1234ze</w:t>
            </w:r>
          </w:p>
        </w:tc>
        <w:tc>
          <w:tcPr>
            <w:tcW w:w="2088" w:type="dxa"/>
            <w:vAlign w:val="center"/>
          </w:tcPr>
          <w:p w14:paraId="5921BE1B">
            <w:pPr>
              <w:jc w:val="center"/>
              <w:rPr>
                <w:rFonts w:ascii="Times New Roman" w:hAnsi="Times New Roman"/>
                <w:szCs w:val="21"/>
              </w:rPr>
            </w:pPr>
            <w:r>
              <w:rPr>
                <w:rFonts w:ascii="Times New Roman" w:hAnsi="Times New Roman"/>
                <w:szCs w:val="21"/>
              </w:rPr>
              <w:t>Trans-CF</w:t>
            </w:r>
            <w:r>
              <w:rPr>
                <w:rFonts w:ascii="Times New Roman" w:hAnsi="Times New Roman"/>
                <w:szCs w:val="21"/>
                <w:vertAlign w:val="subscript"/>
              </w:rPr>
              <w:t>3</w:t>
            </w:r>
            <w:r>
              <w:rPr>
                <w:rFonts w:ascii="Times New Roman" w:hAnsi="Times New Roman"/>
                <w:szCs w:val="21"/>
              </w:rPr>
              <w:t>CH=CHF</w:t>
            </w:r>
          </w:p>
        </w:tc>
        <w:tc>
          <w:tcPr>
            <w:tcW w:w="1429" w:type="dxa"/>
            <w:vAlign w:val="center"/>
          </w:tcPr>
          <w:p w14:paraId="7E86FED3">
            <w:pPr>
              <w:jc w:val="center"/>
              <w:rPr>
                <w:rFonts w:ascii="Times New Roman" w:hAnsi="Times New Roman"/>
                <w:szCs w:val="21"/>
              </w:rPr>
            </w:pPr>
            <w:r>
              <w:rPr>
                <w:rFonts w:ascii="Times New Roman" w:hAnsi="Times New Roman"/>
                <w:szCs w:val="21"/>
              </w:rPr>
              <w:t>&lt;1</w:t>
            </w:r>
          </w:p>
        </w:tc>
      </w:tr>
      <w:tr w14:paraId="53018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F01045F">
            <w:pPr>
              <w:jc w:val="center"/>
              <w:rPr>
                <w:rFonts w:ascii="Times New Roman" w:hAnsi="Times New Roman"/>
                <w:szCs w:val="21"/>
              </w:rPr>
            </w:pPr>
            <w:r>
              <w:rPr>
                <w:rFonts w:ascii="Times New Roman" w:hAnsi="Times New Roman"/>
                <w:szCs w:val="21"/>
              </w:rPr>
              <w:t>（Z）-HFC-1336</w:t>
            </w:r>
          </w:p>
        </w:tc>
        <w:tc>
          <w:tcPr>
            <w:tcW w:w="2088" w:type="dxa"/>
            <w:vAlign w:val="center"/>
          </w:tcPr>
          <w:p w14:paraId="0511797F">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CH=CHCF</w:t>
            </w:r>
            <w:r>
              <w:rPr>
                <w:rFonts w:ascii="Times New Roman" w:hAnsi="Times New Roman"/>
                <w:szCs w:val="21"/>
                <w:vertAlign w:val="subscript"/>
              </w:rPr>
              <w:t>3</w:t>
            </w:r>
            <w:r>
              <w:rPr>
                <w:rFonts w:ascii="Times New Roman" w:hAnsi="Times New Roman"/>
                <w:szCs w:val="21"/>
              </w:rPr>
              <w:t>（Z）</w:t>
            </w:r>
          </w:p>
        </w:tc>
        <w:tc>
          <w:tcPr>
            <w:tcW w:w="1429" w:type="dxa"/>
            <w:vAlign w:val="center"/>
          </w:tcPr>
          <w:p w14:paraId="0A6EAD78">
            <w:pPr>
              <w:jc w:val="center"/>
              <w:rPr>
                <w:rFonts w:ascii="Times New Roman" w:hAnsi="Times New Roman"/>
                <w:szCs w:val="21"/>
              </w:rPr>
            </w:pPr>
            <w:r>
              <w:rPr>
                <w:rFonts w:ascii="Times New Roman" w:hAnsi="Times New Roman"/>
                <w:szCs w:val="21"/>
              </w:rPr>
              <w:t>2</w:t>
            </w:r>
          </w:p>
        </w:tc>
      </w:tr>
      <w:tr w14:paraId="567D8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7DB6C1BB">
            <w:pPr>
              <w:jc w:val="center"/>
              <w:rPr>
                <w:rFonts w:ascii="Times New Roman" w:hAnsi="Times New Roman"/>
                <w:szCs w:val="21"/>
              </w:rPr>
            </w:pPr>
            <w:r>
              <w:rPr>
                <w:rFonts w:ascii="Times New Roman" w:hAnsi="Times New Roman"/>
                <w:szCs w:val="21"/>
              </w:rPr>
              <w:t>HFC-1243zf</w:t>
            </w:r>
          </w:p>
        </w:tc>
        <w:tc>
          <w:tcPr>
            <w:tcW w:w="2088" w:type="dxa"/>
            <w:vAlign w:val="center"/>
          </w:tcPr>
          <w:p w14:paraId="67332E26">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CH=CH</w:t>
            </w:r>
            <w:r>
              <w:rPr>
                <w:rFonts w:ascii="Times New Roman" w:hAnsi="Times New Roman"/>
                <w:szCs w:val="21"/>
                <w:vertAlign w:val="subscript"/>
              </w:rPr>
              <w:t>2</w:t>
            </w:r>
          </w:p>
        </w:tc>
        <w:tc>
          <w:tcPr>
            <w:tcW w:w="1429" w:type="dxa"/>
            <w:vAlign w:val="center"/>
          </w:tcPr>
          <w:p w14:paraId="317E5487">
            <w:pPr>
              <w:jc w:val="center"/>
              <w:rPr>
                <w:rFonts w:ascii="Times New Roman" w:hAnsi="Times New Roman"/>
                <w:szCs w:val="21"/>
              </w:rPr>
            </w:pPr>
            <w:r>
              <w:rPr>
                <w:rFonts w:ascii="Times New Roman" w:hAnsi="Times New Roman"/>
                <w:szCs w:val="21"/>
              </w:rPr>
              <w:t>&lt;1</w:t>
            </w:r>
          </w:p>
        </w:tc>
      </w:tr>
      <w:tr w14:paraId="2F43C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8D824E0">
            <w:pPr>
              <w:jc w:val="center"/>
              <w:rPr>
                <w:rFonts w:ascii="Times New Roman" w:hAnsi="Times New Roman"/>
                <w:szCs w:val="21"/>
              </w:rPr>
            </w:pPr>
            <w:r>
              <w:rPr>
                <w:rFonts w:ascii="Times New Roman" w:hAnsi="Times New Roman"/>
                <w:szCs w:val="21"/>
              </w:rPr>
              <w:t>HFC-1345zfc</w:t>
            </w:r>
          </w:p>
        </w:tc>
        <w:tc>
          <w:tcPr>
            <w:tcW w:w="2088" w:type="dxa"/>
            <w:vAlign w:val="center"/>
          </w:tcPr>
          <w:p w14:paraId="070B5EEC">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2</w:t>
            </w:r>
            <w:r>
              <w:rPr>
                <w:rFonts w:ascii="Times New Roman" w:hAnsi="Times New Roman"/>
                <w:szCs w:val="21"/>
              </w:rPr>
              <w:t>F</w:t>
            </w:r>
            <w:r>
              <w:rPr>
                <w:rFonts w:ascii="Times New Roman" w:hAnsi="Times New Roman"/>
                <w:szCs w:val="21"/>
                <w:vertAlign w:val="subscript"/>
              </w:rPr>
              <w:t>5</w:t>
            </w:r>
            <w:r>
              <w:rPr>
                <w:rFonts w:ascii="Times New Roman" w:hAnsi="Times New Roman"/>
                <w:szCs w:val="21"/>
              </w:rPr>
              <w:t>CH=CH</w:t>
            </w:r>
            <w:r>
              <w:rPr>
                <w:rFonts w:ascii="Times New Roman" w:hAnsi="Times New Roman"/>
                <w:szCs w:val="21"/>
                <w:vertAlign w:val="subscript"/>
              </w:rPr>
              <w:t>2</w:t>
            </w:r>
          </w:p>
        </w:tc>
        <w:tc>
          <w:tcPr>
            <w:tcW w:w="1429" w:type="dxa"/>
            <w:vAlign w:val="center"/>
          </w:tcPr>
          <w:p w14:paraId="5A454A64">
            <w:pPr>
              <w:jc w:val="center"/>
              <w:rPr>
                <w:rFonts w:ascii="Times New Roman" w:hAnsi="Times New Roman"/>
                <w:szCs w:val="21"/>
              </w:rPr>
            </w:pPr>
            <w:r>
              <w:rPr>
                <w:rFonts w:ascii="Times New Roman" w:hAnsi="Times New Roman"/>
                <w:szCs w:val="21"/>
              </w:rPr>
              <w:t>&lt;1</w:t>
            </w:r>
          </w:p>
        </w:tc>
      </w:tr>
      <w:tr w14:paraId="66F2A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5A3A848">
            <w:pPr>
              <w:jc w:val="center"/>
              <w:rPr>
                <w:rFonts w:ascii="Times New Roman" w:hAnsi="Times New Roman"/>
                <w:szCs w:val="21"/>
              </w:rPr>
            </w:pPr>
            <w:r>
              <w:rPr>
                <w:rFonts w:ascii="Times New Roman" w:hAnsi="Times New Roman"/>
                <w:szCs w:val="21"/>
              </w:rPr>
              <w:t>3,3,4,4,5,5,6,6,6,-Nonafluorohex-1-ene</w:t>
            </w:r>
          </w:p>
        </w:tc>
        <w:tc>
          <w:tcPr>
            <w:tcW w:w="2088" w:type="dxa"/>
            <w:vAlign w:val="center"/>
          </w:tcPr>
          <w:p w14:paraId="027BB391">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4</w:t>
            </w:r>
            <w:r>
              <w:rPr>
                <w:rFonts w:ascii="Times New Roman" w:hAnsi="Times New Roman"/>
                <w:szCs w:val="21"/>
              </w:rPr>
              <w:t>F</w:t>
            </w:r>
            <w:r>
              <w:rPr>
                <w:rFonts w:ascii="Times New Roman" w:hAnsi="Times New Roman"/>
                <w:szCs w:val="21"/>
                <w:vertAlign w:val="subscript"/>
              </w:rPr>
              <w:t>9</w:t>
            </w:r>
            <w:r>
              <w:rPr>
                <w:rFonts w:ascii="Times New Roman" w:hAnsi="Times New Roman"/>
                <w:szCs w:val="21"/>
              </w:rPr>
              <w:t>CH=CH</w:t>
            </w:r>
            <w:r>
              <w:rPr>
                <w:rFonts w:ascii="Times New Roman" w:hAnsi="Times New Roman"/>
                <w:szCs w:val="21"/>
                <w:vertAlign w:val="subscript"/>
              </w:rPr>
              <w:t>2</w:t>
            </w:r>
          </w:p>
        </w:tc>
        <w:tc>
          <w:tcPr>
            <w:tcW w:w="1429" w:type="dxa"/>
            <w:vAlign w:val="center"/>
          </w:tcPr>
          <w:p w14:paraId="5EA47A3F">
            <w:pPr>
              <w:jc w:val="center"/>
              <w:rPr>
                <w:rFonts w:ascii="Times New Roman" w:hAnsi="Times New Roman"/>
                <w:szCs w:val="21"/>
              </w:rPr>
            </w:pPr>
            <w:r>
              <w:rPr>
                <w:rFonts w:ascii="Times New Roman" w:hAnsi="Times New Roman"/>
                <w:szCs w:val="21"/>
              </w:rPr>
              <w:t>&lt;1</w:t>
            </w:r>
          </w:p>
        </w:tc>
      </w:tr>
      <w:tr w14:paraId="78D50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053F8B11">
            <w:pPr>
              <w:jc w:val="center"/>
              <w:rPr>
                <w:rFonts w:ascii="Times New Roman" w:hAnsi="Times New Roman"/>
                <w:szCs w:val="21"/>
              </w:rPr>
            </w:pPr>
            <w:r>
              <w:rPr>
                <w:rFonts w:ascii="Times New Roman" w:hAnsi="Times New Roman"/>
                <w:szCs w:val="21"/>
              </w:rPr>
              <w:t>3,3,4,4,5,5,6,6,7,7,8,8,8-Tridecafluorooct-1-ene</w:t>
            </w:r>
          </w:p>
        </w:tc>
        <w:tc>
          <w:tcPr>
            <w:tcW w:w="2088" w:type="dxa"/>
            <w:vAlign w:val="center"/>
          </w:tcPr>
          <w:p w14:paraId="71C6C372">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6</w:t>
            </w:r>
            <w:r>
              <w:rPr>
                <w:rFonts w:ascii="Times New Roman" w:hAnsi="Times New Roman"/>
                <w:szCs w:val="21"/>
              </w:rPr>
              <w:t>F</w:t>
            </w:r>
            <w:r>
              <w:rPr>
                <w:rFonts w:ascii="Times New Roman" w:hAnsi="Times New Roman"/>
                <w:szCs w:val="21"/>
                <w:vertAlign w:val="subscript"/>
              </w:rPr>
              <w:t>13</w:t>
            </w:r>
            <w:r>
              <w:rPr>
                <w:rFonts w:ascii="Times New Roman" w:hAnsi="Times New Roman"/>
                <w:szCs w:val="21"/>
              </w:rPr>
              <w:t>CH=CH</w:t>
            </w:r>
            <w:r>
              <w:rPr>
                <w:rFonts w:ascii="Times New Roman" w:hAnsi="Times New Roman"/>
                <w:szCs w:val="21"/>
                <w:vertAlign w:val="subscript"/>
              </w:rPr>
              <w:t>2</w:t>
            </w:r>
          </w:p>
        </w:tc>
        <w:tc>
          <w:tcPr>
            <w:tcW w:w="1429" w:type="dxa"/>
            <w:vAlign w:val="center"/>
          </w:tcPr>
          <w:p w14:paraId="7144D60F">
            <w:pPr>
              <w:jc w:val="center"/>
              <w:rPr>
                <w:rFonts w:ascii="Times New Roman" w:hAnsi="Times New Roman"/>
                <w:szCs w:val="21"/>
              </w:rPr>
            </w:pPr>
            <w:r>
              <w:rPr>
                <w:rFonts w:ascii="Times New Roman" w:hAnsi="Times New Roman"/>
                <w:szCs w:val="21"/>
              </w:rPr>
              <w:t>&lt;1</w:t>
            </w:r>
          </w:p>
        </w:tc>
      </w:tr>
      <w:tr w14:paraId="27EAC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EC039A8">
            <w:pPr>
              <w:jc w:val="center"/>
              <w:rPr>
                <w:rFonts w:ascii="Times New Roman" w:hAnsi="Times New Roman"/>
                <w:szCs w:val="21"/>
              </w:rPr>
            </w:pPr>
            <w:r>
              <w:rPr>
                <w:rFonts w:ascii="Times New Roman" w:hAnsi="Times New Roman"/>
                <w:szCs w:val="21"/>
              </w:rPr>
              <w:t>3,3,4,4,5,5,6,6,7,7,8,8,9,9,10,10,10-Heptadecafluorodec-1-ene</w:t>
            </w:r>
          </w:p>
        </w:tc>
        <w:tc>
          <w:tcPr>
            <w:tcW w:w="2088" w:type="dxa"/>
            <w:vAlign w:val="center"/>
          </w:tcPr>
          <w:p w14:paraId="4F70B161">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8</w:t>
            </w:r>
            <w:r>
              <w:rPr>
                <w:rFonts w:ascii="Times New Roman" w:hAnsi="Times New Roman"/>
                <w:szCs w:val="21"/>
              </w:rPr>
              <w:t>F</w:t>
            </w:r>
            <w:r>
              <w:rPr>
                <w:rFonts w:ascii="Times New Roman" w:hAnsi="Times New Roman"/>
                <w:szCs w:val="21"/>
                <w:vertAlign w:val="subscript"/>
              </w:rPr>
              <w:t>17</w:t>
            </w:r>
            <w:r>
              <w:rPr>
                <w:rFonts w:ascii="Times New Roman" w:hAnsi="Times New Roman"/>
                <w:szCs w:val="21"/>
              </w:rPr>
              <w:t>CH=CH</w:t>
            </w:r>
            <w:r>
              <w:rPr>
                <w:rFonts w:ascii="Times New Roman" w:hAnsi="Times New Roman"/>
                <w:szCs w:val="21"/>
                <w:vertAlign w:val="subscript"/>
              </w:rPr>
              <w:t>2</w:t>
            </w:r>
          </w:p>
        </w:tc>
        <w:tc>
          <w:tcPr>
            <w:tcW w:w="1429" w:type="dxa"/>
            <w:vAlign w:val="center"/>
          </w:tcPr>
          <w:p w14:paraId="3151BDCA">
            <w:pPr>
              <w:jc w:val="center"/>
              <w:rPr>
                <w:rFonts w:ascii="Times New Roman" w:hAnsi="Times New Roman"/>
                <w:szCs w:val="21"/>
              </w:rPr>
            </w:pPr>
            <w:r>
              <w:rPr>
                <w:rFonts w:ascii="Times New Roman" w:hAnsi="Times New Roman"/>
                <w:szCs w:val="21"/>
              </w:rPr>
              <w:t>&lt;1</w:t>
            </w:r>
          </w:p>
        </w:tc>
      </w:tr>
      <w:tr w14:paraId="0A5EA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3"/>
            <w:vAlign w:val="center"/>
          </w:tcPr>
          <w:p w14:paraId="75384291">
            <w:pPr>
              <w:jc w:val="center"/>
              <w:rPr>
                <w:rFonts w:ascii="Times New Roman" w:hAnsi="Times New Roman"/>
                <w:szCs w:val="21"/>
              </w:rPr>
            </w:pPr>
            <w:r>
              <w:rPr>
                <w:rFonts w:ascii="Times New Roman" w:hAnsi="Times New Roman"/>
                <w:szCs w:val="21"/>
              </w:rPr>
              <w:t>全氟碳化物</w:t>
            </w:r>
          </w:p>
        </w:tc>
      </w:tr>
      <w:tr w14:paraId="04807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6B570FA0">
            <w:pPr>
              <w:jc w:val="center"/>
              <w:rPr>
                <w:rFonts w:ascii="Times New Roman" w:hAnsi="Times New Roman"/>
                <w:szCs w:val="21"/>
              </w:rPr>
            </w:pPr>
            <w:r>
              <w:rPr>
                <w:rFonts w:ascii="Times New Roman" w:hAnsi="Times New Roman"/>
                <w:szCs w:val="21"/>
              </w:rPr>
              <w:t>PFC-14</w:t>
            </w:r>
          </w:p>
        </w:tc>
        <w:tc>
          <w:tcPr>
            <w:tcW w:w="2088" w:type="dxa"/>
            <w:vAlign w:val="center"/>
          </w:tcPr>
          <w:p w14:paraId="05FF5B46">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4</w:t>
            </w:r>
          </w:p>
        </w:tc>
        <w:tc>
          <w:tcPr>
            <w:tcW w:w="1429" w:type="dxa"/>
            <w:vAlign w:val="center"/>
          </w:tcPr>
          <w:p w14:paraId="305D4082">
            <w:pPr>
              <w:jc w:val="center"/>
              <w:rPr>
                <w:rFonts w:ascii="Times New Roman" w:hAnsi="Times New Roman"/>
                <w:szCs w:val="21"/>
              </w:rPr>
            </w:pPr>
            <w:r>
              <w:rPr>
                <w:rFonts w:ascii="Times New Roman" w:hAnsi="Times New Roman"/>
                <w:szCs w:val="21"/>
              </w:rPr>
              <w:t>6630</w:t>
            </w:r>
          </w:p>
        </w:tc>
      </w:tr>
      <w:tr w14:paraId="39809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4F855128">
            <w:pPr>
              <w:jc w:val="center"/>
              <w:rPr>
                <w:rFonts w:ascii="Times New Roman" w:hAnsi="Times New Roman"/>
                <w:szCs w:val="21"/>
              </w:rPr>
            </w:pPr>
            <w:r>
              <w:rPr>
                <w:rFonts w:ascii="Times New Roman" w:hAnsi="Times New Roman"/>
                <w:szCs w:val="21"/>
              </w:rPr>
              <w:t>PFC-116</w:t>
            </w:r>
          </w:p>
        </w:tc>
        <w:tc>
          <w:tcPr>
            <w:tcW w:w="2088" w:type="dxa"/>
            <w:vAlign w:val="center"/>
          </w:tcPr>
          <w:p w14:paraId="48873CC1">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2</w:t>
            </w:r>
            <w:r>
              <w:rPr>
                <w:rFonts w:ascii="Times New Roman" w:hAnsi="Times New Roman"/>
                <w:szCs w:val="21"/>
              </w:rPr>
              <w:t>F</w:t>
            </w:r>
            <w:r>
              <w:rPr>
                <w:rFonts w:ascii="Times New Roman" w:hAnsi="Times New Roman"/>
                <w:szCs w:val="21"/>
                <w:vertAlign w:val="subscript"/>
              </w:rPr>
              <w:t>6</w:t>
            </w:r>
          </w:p>
        </w:tc>
        <w:tc>
          <w:tcPr>
            <w:tcW w:w="1429" w:type="dxa"/>
            <w:vAlign w:val="center"/>
          </w:tcPr>
          <w:p w14:paraId="07328E0F">
            <w:pPr>
              <w:jc w:val="center"/>
              <w:rPr>
                <w:rFonts w:ascii="Times New Roman" w:hAnsi="Times New Roman"/>
                <w:szCs w:val="21"/>
              </w:rPr>
            </w:pPr>
            <w:r>
              <w:rPr>
                <w:rFonts w:ascii="Times New Roman" w:hAnsi="Times New Roman"/>
                <w:szCs w:val="21"/>
              </w:rPr>
              <w:t>11100</w:t>
            </w:r>
          </w:p>
        </w:tc>
      </w:tr>
      <w:tr w14:paraId="1D6EA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508C724">
            <w:pPr>
              <w:jc w:val="center"/>
              <w:rPr>
                <w:rFonts w:ascii="Times New Roman" w:hAnsi="Times New Roman"/>
                <w:szCs w:val="21"/>
              </w:rPr>
            </w:pPr>
            <w:r>
              <w:rPr>
                <w:rFonts w:ascii="Times New Roman" w:hAnsi="Times New Roman"/>
                <w:szCs w:val="21"/>
              </w:rPr>
              <w:t>PFC-c216</w:t>
            </w:r>
          </w:p>
        </w:tc>
        <w:tc>
          <w:tcPr>
            <w:tcW w:w="2088" w:type="dxa"/>
            <w:vAlign w:val="center"/>
          </w:tcPr>
          <w:p w14:paraId="0CCC6AD3">
            <w:pPr>
              <w:jc w:val="center"/>
              <w:rPr>
                <w:rFonts w:ascii="Times New Roman" w:hAnsi="Times New Roman"/>
                <w:szCs w:val="21"/>
              </w:rPr>
            </w:pPr>
            <w:r>
              <w:rPr>
                <w:rFonts w:ascii="Times New Roman" w:hAnsi="Times New Roman"/>
                <w:szCs w:val="21"/>
              </w:rPr>
              <w:t>c-C</w:t>
            </w:r>
            <w:r>
              <w:rPr>
                <w:rFonts w:ascii="Times New Roman" w:hAnsi="Times New Roman"/>
                <w:szCs w:val="21"/>
                <w:vertAlign w:val="subscript"/>
              </w:rPr>
              <w:t>3</w:t>
            </w:r>
            <w:r>
              <w:rPr>
                <w:rFonts w:ascii="Times New Roman" w:hAnsi="Times New Roman"/>
                <w:szCs w:val="21"/>
              </w:rPr>
              <w:t>F</w:t>
            </w:r>
            <w:r>
              <w:rPr>
                <w:rFonts w:ascii="Times New Roman" w:hAnsi="Times New Roman"/>
                <w:szCs w:val="21"/>
                <w:vertAlign w:val="subscript"/>
              </w:rPr>
              <w:t>6</w:t>
            </w:r>
          </w:p>
        </w:tc>
        <w:tc>
          <w:tcPr>
            <w:tcW w:w="1429" w:type="dxa"/>
            <w:vAlign w:val="center"/>
          </w:tcPr>
          <w:p w14:paraId="192AE3B7">
            <w:pPr>
              <w:jc w:val="center"/>
              <w:rPr>
                <w:rFonts w:ascii="Times New Roman" w:hAnsi="Times New Roman"/>
                <w:szCs w:val="21"/>
              </w:rPr>
            </w:pPr>
            <w:r>
              <w:rPr>
                <w:rFonts w:ascii="Times New Roman" w:hAnsi="Times New Roman"/>
                <w:szCs w:val="21"/>
              </w:rPr>
              <w:t>9200</w:t>
            </w:r>
          </w:p>
        </w:tc>
      </w:tr>
      <w:tr w14:paraId="004EF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39E6810B">
            <w:pPr>
              <w:jc w:val="center"/>
              <w:rPr>
                <w:rFonts w:ascii="Times New Roman" w:hAnsi="Times New Roman"/>
                <w:szCs w:val="21"/>
              </w:rPr>
            </w:pPr>
            <w:r>
              <w:rPr>
                <w:rFonts w:ascii="Times New Roman" w:hAnsi="Times New Roman"/>
                <w:szCs w:val="21"/>
              </w:rPr>
              <w:t>PFC-218</w:t>
            </w:r>
          </w:p>
        </w:tc>
        <w:tc>
          <w:tcPr>
            <w:tcW w:w="2088" w:type="dxa"/>
            <w:vAlign w:val="center"/>
          </w:tcPr>
          <w:p w14:paraId="5AF1526B">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3</w:t>
            </w:r>
            <w:r>
              <w:rPr>
                <w:rFonts w:ascii="Times New Roman" w:hAnsi="Times New Roman"/>
                <w:szCs w:val="21"/>
              </w:rPr>
              <w:t>F</w:t>
            </w:r>
            <w:r>
              <w:rPr>
                <w:rFonts w:ascii="Times New Roman" w:hAnsi="Times New Roman"/>
                <w:szCs w:val="21"/>
                <w:vertAlign w:val="subscript"/>
              </w:rPr>
              <w:t>8</w:t>
            </w:r>
          </w:p>
        </w:tc>
        <w:tc>
          <w:tcPr>
            <w:tcW w:w="1429" w:type="dxa"/>
            <w:vAlign w:val="center"/>
          </w:tcPr>
          <w:p w14:paraId="76F3C163">
            <w:pPr>
              <w:jc w:val="center"/>
              <w:rPr>
                <w:rFonts w:ascii="Times New Roman" w:hAnsi="Times New Roman"/>
                <w:szCs w:val="21"/>
              </w:rPr>
            </w:pPr>
            <w:r>
              <w:rPr>
                <w:rFonts w:ascii="Times New Roman" w:hAnsi="Times New Roman"/>
                <w:szCs w:val="21"/>
              </w:rPr>
              <w:t>8900</w:t>
            </w:r>
          </w:p>
        </w:tc>
      </w:tr>
      <w:tr w14:paraId="207D2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6F5DAFBE">
            <w:pPr>
              <w:jc w:val="center"/>
              <w:rPr>
                <w:rFonts w:ascii="Times New Roman" w:hAnsi="Times New Roman"/>
                <w:szCs w:val="21"/>
              </w:rPr>
            </w:pPr>
            <w:r>
              <w:rPr>
                <w:rFonts w:ascii="Times New Roman" w:hAnsi="Times New Roman"/>
                <w:szCs w:val="21"/>
              </w:rPr>
              <w:t>PFC-318</w:t>
            </w:r>
          </w:p>
        </w:tc>
        <w:tc>
          <w:tcPr>
            <w:tcW w:w="2088" w:type="dxa"/>
            <w:vAlign w:val="center"/>
          </w:tcPr>
          <w:p w14:paraId="782C02DC">
            <w:pPr>
              <w:jc w:val="center"/>
              <w:rPr>
                <w:rFonts w:ascii="Times New Roman" w:hAnsi="Times New Roman"/>
                <w:szCs w:val="21"/>
              </w:rPr>
            </w:pPr>
            <w:r>
              <w:rPr>
                <w:rFonts w:ascii="Times New Roman" w:hAnsi="Times New Roman"/>
                <w:szCs w:val="21"/>
              </w:rPr>
              <w:t>c-C</w:t>
            </w:r>
            <w:r>
              <w:rPr>
                <w:rFonts w:ascii="Times New Roman" w:hAnsi="Times New Roman"/>
                <w:szCs w:val="21"/>
                <w:vertAlign w:val="subscript"/>
              </w:rPr>
              <w:t>4</w:t>
            </w:r>
            <w:r>
              <w:rPr>
                <w:rFonts w:ascii="Times New Roman" w:hAnsi="Times New Roman"/>
                <w:szCs w:val="21"/>
              </w:rPr>
              <w:t>F</w:t>
            </w:r>
            <w:r>
              <w:rPr>
                <w:rFonts w:ascii="Times New Roman" w:hAnsi="Times New Roman"/>
                <w:szCs w:val="21"/>
                <w:vertAlign w:val="subscript"/>
              </w:rPr>
              <w:t>8</w:t>
            </w:r>
          </w:p>
        </w:tc>
        <w:tc>
          <w:tcPr>
            <w:tcW w:w="1429" w:type="dxa"/>
            <w:vAlign w:val="center"/>
          </w:tcPr>
          <w:p w14:paraId="4B769D4B">
            <w:pPr>
              <w:jc w:val="center"/>
              <w:rPr>
                <w:rFonts w:ascii="Times New Roman" w:hAnsi="Times New Roman"/>
                <w:szCs w:val="21"/>
              </w:rPr>
            </w:pPr>
            <w:r>
              <w:rPr>
                <w:rFonts w:ascii="Times New Roman" w:hAnsi="Times New Roman"/>
                <w:szCs w:val="21"/>
              </w:rPr>
              <w:t>9540</w:t>
            </w:r>
          </w:p>
        </w:tc>
      </w:tr>
      <w:tr w14:paraId="7E656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7CF3EA43">
            <w:pPr>
              <w:jc w:val="center"/>
              <w:rPr>
                <w:rFonts w:ascii="Times New Roman" w:hAnsi="Times New Roman"/>
                <w:szCs w:val="21"/>
              </w:rPr>
            </w:pPr>
            <w:r>
              <w:rPr>
                <w:rFonts w:ascii="Times New Roman" w:hAnsi="Times New Roman"/>
                <w:szCs w:val="21"/>
              </w:rPr>
              <w:t>PFC-31-10</w:t>
            </w:r>
          </w:p>
        </w:tc>
        <w:tc>
          <w:tcPr>
            <w:tcW w:w="2088" w:type="dxa"/>
            <w:vAlign w:val="center"/>
          </w:tcPr>
          <w:p w14:paraId="346F07BF">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4</w:t>
            </w:r>
            <w:r>
              <w:rPr>
                <w:rFonts w:ascii="Times New Roman" w:hAnsi="Times New Roman"/>
                <w:szCs w:val="21"/>
              </w:rPr>
              <w:t>F</w:t>
            </w:r>
            <w:r>
              <w:rPr>
                <w:rFonts w:ascii="Times New Roman" w:hAnsi="Times New Roman"/>
                <w:szCs w:val="21"/>
                <w:vertAlign w:val="subscript"/>
              </w:rPr>
              <w:t>10</w:t>
            </w:r>
          </w:p>
        </w:tc>
        <w:tc>
          <w:tcPr>
            <w:tcW w:w="1429" w:type="dxa"/>
            <w:vAlign w:val="center"/>
          </w:tcPr>
          <w:p w14:paraId="22890A86">
            <w:pPr>
              <w:jc w:val="center"/>
              <w:rPr>
                <w:rFonts w:ascii="Times New Roman" w:hAnsi="Times New Roman"/>
                <w:szCs w:val="21"/>
              </w:rPr>
            </w:pPr>
            <w:r>
              <w:rPr>
                <w:rFonts w:ascii="Times New Roman" w:hAnsi="Times New Roman"/>
                <w:szCs w:val="21"/>
              </w:rPr>
              <w:t>9200</w:t>
            </w:r>
          </w:p>
        </w:tc>
      </w:tr>
      <w:tr w14:paraId="3E8FD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3E86F3B">
            <w:pPr>
              <w:jc w:val="center"/>
              <w:rPr>
                <w:rFonts w:ascii="Times New Roman" w:hAnsi="Times New Roman"/>
                <w:szCs w:val="21"/>
              </w:rPr>
            </w:pPr>
            <w:r>
              <w:rPr>
                <w:rFonts w:ascii="Times New Roman" w:hAnsi="Times New Roman"/>
                <w:szCs w:val="21"/>
              </w:rPr>
              <w:t>Perfluorocyclopentene</w:t>
            </w:r>
          </w:p>
        </w:tc>
        <w:tc>
          <w:tcPr>
            <w:tcW w:w="2088" w:type="dxa"/>
            <w:vAlign w:val="center"/>
          </w:tcPr>
          <w:p w14:paraId="56FFF1D7">
            <w:pPr>
              <w:jc w:val="center"/>
              <w:rPr>
                <w:rFonts w:ascii="Times New Roman" w:hAnsi="Times New Roman"/>
                <w:szCs w:val="21"/>
              </w:rPr>
            </w:pPr>
            <w:r>
              <w:rPr>
                <w:rFonts w:ascii="Times New Roman" w:hAnsi="Times New Roman"/>
                <w:szCs w:val="21"/>
              </w:rPr>
              <w:t>c-C</w:t>
            </w:r>
            <w:r>
              <w:rPr>
                <w:rFonts w:ascii="Times New Roman" w:hAnsi="Times New Roman"/>
                <w:szCs w:val="21"/>
                <w:vertAlign w:val="subscript"/>
              </w:rPr>
              <w:t>5</w:t>
            </w:r>
            <w:r>
              <w:rPr>
                <w:rFonts w:ascii="Times New Roman" w:hAnsi="Times New Roman"/>
                <w:szCs w:val="21"/>
              </w:rPr>
              <w:t>F</w:t>
            </w:r>
            <w:r>
              <w:rPr>
                <w:rFonts w:ascii="Times New Roman" w:hAnsi="Times New Roman"/>
                <w:szCs w:val="21"/>
                <w:vertAlign w:val="subscript"/>
              </w:rPr>
              <w:t>8</w:t>
            </w:r>
          </w:p>
        </w:tc>
        <w:tc>
          <w:tcPr>
            <w:tcW w:w="1429" w:type="dxa"/>
            <w:vAlign w:val="center"/>
          </w:tcPr>
          <w:p w14:paraId="33EDA2EB">
            <w:pPr>
              <w:jc w:val="center"/>
              <w:rPr>
                <w:rFonts w:ascii="Times New Roman" w:hAnsi="Times New Roman"/>
                <w:szCs w:val="21"/>
              </w:rPr>
            </w:pPr>
            <w:r>
              <w:rPr>
                <w:rFonts w:ascii="Times New Roman" w:hAnsi="Times New Roman"/>
                <w:szCs w:val="21"/>
              </w:rPr>
              <w:t>2</w:t>
            </w:r>
          </w:p>
        </w:tc>
      </w:tr>
      <w:tr w14:paraId="68B9A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EE0EF17">
            <w:pPr>
              <w:jc w:val="center"/>
              <w:rPr>
                <w:rFonts w:ascii="Times New Roman" w:hAnsi="Times New Roman"/>
                <w:szCs w:val="21"/>
              </w:rPr>
            </w:pPr>
            <w:r>
              <w:rPr>
                <w:rFonts w:ascii="Times New Roman" w:hAnsi="Times New Roman"/>
                <w:szCs w:val="21"/>
              </w:rPr>
              <w:t>PFC—41-12</w:t>
            </w:r>
          </w:p>
        </w:tc>
        <w:tc>
          <w:tcPr>
            <w:tcW w:w="2088" w:type="dxa"/>
            <w:vAlign w:val="center"/>
          </w:tcPr>
          <w:p w14:paraId="06410114">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5</w:t>
            </w:r>
            <w:r>
              <w:rPr>
                <w:rFonts w:ascii="Times New Roman" w:hAnsi="Times New Roman"/>
                <w:szCs w:val="21"/>
              </w:rPr>
              <w:t>F</w:t>
            </w:r>
            <w:r>
              <w:rPr>
                <w:rFonts w:ascii="Times New Roman" w:hAnsi="Times New Roman"/>
                <w:szCs w:val="21"/>
                <w:vertAlign w:val="subscript"/>
              </w:rPr>
              <w:t>12</w:t>
            </w:r>
          </w:p>
        </w:tc>
        <w:tc>
          <w:tcPr>
            <w:tcW w:w="1429" w:type="dxa"/>
            <w:vAlign w:val="center"/>
          </w:tcPr>
          <w:p w14:paraId="06D306D4">
            <w:pPr>
              <w:jc w:val="center"/>
              <w:rPr>
                <w:rFonts w:ascii="Times New Roman" w:hAnsi="Times New Roman"/>
                <w:szCs w:val="21"/>
              </w:rPr>
            </w:pPr>
            <w:r>
              <w:rPr>
                <w:rFonts w:ascii="Times New Roman" w:hAnsi="Times New Roman"/>
                <w:szCs w:val="21"/>
              </w:rPr>
              <w:t>8550</w:t>
            </w:r>
          </w:p>
        </w:tc>
      </w:tr>
      <w:tr w14:paraId="77EBF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3631F611">
            <w:pPr>
              <w:jc w:val="center"/>
              <w:rPr>
                <w:rFonts w:ascii="Times New Roman" w:hAnsi="Times New Roman"/>
                <w:szCs w:val="21"/>
              </w:rPr>
            </w:pPr>
            <w:r>
              <w:rPr>
                <w:rFonts w:ascii="Times New Roman" w:hAnsi="Times New Roman"/>
                <w:szCs w:val="21"/>
              </w:rPr>
              <w:t>PFC-51-14</w:t>
            </w:r>
          </w:p>
        </w:tc>
        <w:tc>
          <w:tcPr>
            <w:tcW w:w="2088" w:type="dxa"/>
            <w:vAlign w:val="center"/>
          </w:tcPr>
          <w:p w14:paraId="35B9B22F">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6</w:t>
            </w:r>
            <w:r>
              <w:rPr>
                <w:rFonts w:ascii="Times New Roman" w:hAnsi="Times New Roman"/>
                <w:szCs w:val="21"/>
              </w:rPr>
              <w:t>F</w:t>
            </w:r>
            <w:r>
              <w:rPr>
                <w:rFonts w:ascii="Times New Roman" w:hAnsi="Times New Roman"/>
                <w:szCs w:val="21"/>
                <w:vertAlign w:val="subscript"/>
              </w:rPr>
              <w:t>14</w:t>
            </w:r>
          </w:p>
        </w:tc>
        <w:tc>
          <w:tcPr>
            <w:tcW w:w="1429" w:type="dxa"/>
            <w:vAlign w:val="center"/>
          </w:tcPr>
          <w:p w14:paraId="2FF57DE8">
            <w:pPr>
              <w:jc w:val="center"/>
              <w:rPr>
                <w:rFonts w:ascii="Times New Roman" w:hAnsi="Times New Roman"/>
                <w:szCs w:val="21"/>
              </w:rPr>
            </w:pPr>
            <w:r>
              <w:rPr>
                <w:rFonts w:ascii="Times New Roman" w:hAnsi="Times New Roman"/>
                <w:szCs w:val="21"/>
              </w:rPr>
              <w:t>7910</w:t>
            </w:r>
          </w:p>
        </w:tc>
      </w:tr>
      <w:tr w14:paraId="4F909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324A9F6C">
            <w:pPr>
              <w:jc w:val="center"/>
              <w:rPr>
                <w:rFonts w:ascii="Times New Roman" w:hAnsi="Times New Roman"/>
                <w:szCs w:val="21"/>
              </w:rPr>
            </w:pPr>
            <w:r>
              <w:rPr>
                <w:rFonts w:ascii="Times New Roman" w:hAnsi="Times New Roman"/>
                <w:szCs w:val="21"/>
              </w:rPr>
              <w:t>PFC-61-16</w:t>
            </w:r>
          </w:p>
        </w:tc>
        <w:tc>
          <w:tcPr>
            <w:tcW w:w="2088" w:type="dxa"/>
            <w:vAlign w:val="center"/>
          </w:tcPr>
          <w:p w14:paraId="73D2B84A">
            <w:pPr>
              <w:jc w:val="center"/>
              <w:rPr>
                <w:rFonts w:ascii="Times New Roman" w:hAnsi="Times New Roman"/>
                <w:szCs w:val="21"/>
              </w:rPr>
            </w:pPr>
            <w:r>
              <w:rPr>
                <w:rFonts w:ascii="Times New Roman" w:hAnsi="Times New Roman"/>
                <w:szCs w:val="21"/>
              </w:rPr>
              <w:t>n-C</w:t>
            </w:r>
            <w:r>
              <w:rPr>
                <w:rFonts w:ascii="Times New Roman" w:hAnsi="Times New Roman"/>
                <w:szCs w:val="21"/>
                <w:vertAlign w:val="subscript"/>
              </w:rPr>
              <w:t>7</w:t>
            </w:r>
            <w:r>
              <w:rPr>
                <w:rFonts w:ascii="Times New Roman" w:hAnsi="Times New Roman"/>
                <w:szCs w:val="21"/>
              </w:rPr>
              <w:t>F</w:t>
            </w:r>
            <w:r>
              <w:rPr>
                <w:rFonts w:ascii="Times New Roman" w:hAnsi="Times New Roman"/>
                <w:szCs w:val="21"/>
                <w:vertAlign w:val="subscript"/>
              </w:rPr>
              <w:t>16</w:t>
            </w:r>
          </w:p>
        </w:tc>
        <w:tc>
          <w:tcPr>
            <w:tcW w:w="1429" w:type="dxa"/>
            <w:vAlign w:val="center"/>
          </w:tcPr>
          <w:p w14:paraId="75F4E8B7">
            <w:pPr>
              <w:jc w:val="center"/>
              <w:rPr>
                <w:rFonts w:ascii="Times New Roman" w:hAnsi="Times New Roman"/>
                <w:szCs w:val="21"/>
              </w:rPr>
            </w:pPr>
            <w:r>
              <w:rPr>
                <w:rFonts w:ascii="Times New Roman" w:hAnsi="Times New Roman"/>
                <w:szCs w:val="21"/>
              </w:rPr>
              <w:t>7820</w:t>
            </w:r>
          </w:p>
        </w:tc>
      </w:tr>
      <w:tr w14:paraId="0E44F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79B61A41">
            <w:pPr>
              <w:jc w:val="center"/>
              <w:rPr>
                <w:rFonts w:ascii="Times New Roman" w:hAnsi="Times New Roman"/>
                <w:szCs w:val="21"/>
              </w:rPr>
            </w:pPr>
            <w:r>
              <w:rPr>
                <w:rFonts w:ascii="Times New Roman" w:hAnsi="Times New Roman"/>
                <w:szCs w:val="21"/>
              </w:rPr>
              <w:t>PFC-71-18</w:t>
            </w:r>
          </w:p>
        </w:tc>
        <w:tc>
          <w:tcPr>
            <w:tcW w:w="2088" w:type="dxa"/>
            <w:vAlign w:val="center"/>
          </w:tcPr>
          <w:p w14:paraId="5A1A2972">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8</w:t>
            </w:r>
            <w:r>
              <w:rPr>
                <w:rFonts w:ascii="Times New Roman" w:hAnsi="Times New Roman"/>
                <w:szCs w:val="21"/>
              </w:rPr>
              <w:t>F</w:t>
            </w:r>
            <w:r>
              <w:rPr>
                <w:rFonts w:ascii="Times New Roman" w:hAnsi="Times New Roman"/>
                <w:szCs w:val="21"/>
                <w:vertAlign w:val="subscript"/>
              </w:rPr>
              <w:t>18</w:t>
            </w:r>
          </w:p>
        </w:tc>
        <w:tc>
          <w:tcPr>
            <w:tcW w:w="1429" w:type="dxa"/>
            <w:vAlign w:val="center"/>
          </w:tcPr>
          <w:p w14:paraId="38B4E1BE">
            <w:pPr>
              <w:jc w:val="center"/>
              <w:rPr>
                <w:rFonts w:ascii="Times New Roman" w:hAnsi="Times New Roman"/>
                <w:szCs w:val="21"/>
              </w:rPr>
            </w:pPr>
            <w:r>
              <w:rPr>
                <w:rFonts w:ascii="Times New Roman" w:hAnsi="Times New Roman"/>
                <w:szCs w:val="21"/>
              </w:rPr>
              <w:t>7620</w:t>
            </w:r>
          </w:p>
        </w:tc>
      </w:tr>
      <w:tr w14:paraId="55B93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0784A53B">
            <w:pPr>
              <w:jc w:val="center"/>
              <w:rPr>
                <w:rFonts w:ascii="Times New Roman" w:hAnsi="Times New Roman"/>
                <w:szCs w:val="21"/>
              </w:rPr>
            </w:pPr>
            <w:r>
              <w:rPr>
                <w:rFonts w:ascii="Times New Roman" w:hAnsi="Times New Roman"/>
                <w:szCs w:val="21"/>
              </w:rPr>
              <w:t>PFC-91-18</w:t>
            </w:r>
          </w:p>
        </w:tc>
        <w:tc>
          <w:tcPr>
            <w:tcW w:w="2088" w:type="dxa"/>
            <w:vAlign w:val="center"/>
          </w:tcPr>
          <w:p w14:paraId="06C38D5F">
            <w:pPr>
              <w:jc w:val="center"/>
              <w:rPr>
                <w:rFonts w:ascii="Times New Roman" w:hAnsi="Times New Roman"/>
                <w:szCs w:val="21"/>
              </w:rPr>
            </w:pPr>
            <w:r>
              <w:rPr>
                <w:rFonts w:ascii="Times New Roman" w:hAnsi="Times New Roman"/>
                <w:szCs w:val="21"/>
              </w:rPr>
              <w:t>C</w:t>
            </w:r>
            <w:r>
              <w:rPr>
                <w:rFonts w:ascii="Times New Roman" w:hAnsi="Times New Roman"/>
                <w:szCs w:val="21"/>
                <w:vertAlign w:val="subscript"/>
              </w:rPr>
              <w:t>10</w:t>
            </w:r>
            <w:r>
              <w:rPr>
                <w:rFonts w:ascii="Times New Roman" w:hAnsi="Times New Roman"/>
                <w:szCs w:val="21"/>
              </w:rPr>
              <w:t>F</w:t>
            </w:r>
            <w:r>
              <w:rPr>
                <w:rFonts w:ascii="Times New Roman" w:hAnsi="Times New Roman"/>
                <w:szCs w:val="21"/>
                <w:vertAlign w:val="subscript"/>
              </w:rPr>
              <w:t>18</w:t>
            </w:r>
          </w:p>
        </w:tc>
        <w:tc>
          <w:tcPr>
            <w:tcW w:w="1429" w:type="dxa"/>
            <w:vAlign w:val="center"/>
          </w:tcPr>
          <w:p w14:paraId="17132D30">
            <w:pPr>
              <w:jc w:val="center"/>
              <w:rPr>
                <w:rFonts w:ascii="Times New Roman" w:hAnsi="Times New Roman"/>
                <w:szCs w:val="21"/>
              </w:rPr>
            </w:pPr>
            <w:r>
              <w:rPr>
                <w:rFonts w:ascii="Times New Roman" w:hAnsi="Times New Roman"/>
                <w:szCs w:val="21"/>
              </w:rPr>
              <w:t>7190</w:t>
            </w:r>
          </w:p>
        </w:tc>
      </w:tr>
      <w:tr w14:paraId="3B875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3E4CAE65">
            <w:pPr>
              <w:jc w:val="center"/>
              <w:rPr>
                <w:rFonts w:ascii="Times New Roman" w:hAnsi="Times New Roman"/>
                <w:szCs w:val="21"/>
              </w:rPr>
            </w:pPr>
            <w:r>
              <w:rPr>
                <w:rFonts w:ascii="Times New Roman" w:hAnsi="Times New Roman"/>
                <w:szCs w:val="21"/>
              </w:rPr>
              <w:t>Perfluorodecalin(cis)</w:t>
            </w:r>
          </w:p>
        </w:tc>
        <w:tc>
          <w:tcPr>
            <w:tcW w:w="2088" w:type="dxa"/>
            <w:vAlign w:val="center"/>
          </w:tcPr>
          <w:p w14:paraId="1ECB3BE6">
            <w:pPr>
              <w:jc w:val="center"/>
              <w:rPr>
                <w:rFonts w:ascii="Times New Roman" w:hAnsi="Times New Roman"/>
                <w:szCs w:val="21"/>
              </w:rPr>
            </w:pPr>
            <w:r>
              <w:rPr>
                <w:rFonts w:ascii="Times New Roman" w:hAnsi="Times New Roman"/>
                <w:szCs w:val="21"/>
              </w:rPr>
              <w:t>Z-C</w:t>
            </w:r>
            <w:r>
              <w:rPr>
                <w:rFonts w:ascii="Times New Roman" w:hAnsi="Times New Roman"/>
                <w:szCs w:val="21"/>
                <w:vertAlign w:val="subscript"/>
              </w:rPr>
              <w:t>10</w:t>
            </w:r>
            <w:r>
              <w:rPr>
                <w:rFonts w:ascii="Times New Roman" w:hAnsi="Times New Roman"/>
                <w:szCs w:val="21"/>
              </w:rPr>
              <w:t>F</w:t>
            </w:r>
            <w:r>
              <w:rPr>
                <w:rFonts w:ascii="Times New Roman" w:hAnsi="Times New Roman"/>
                <w:szCs w:val="21"/>
                <w:vertAlign w:val="subscript"/>
              </w:rPr>
              <w:t>18</w:t>
            </w:r>
          </w:p>
        </w:tc>
        <w:tc>
          <w:tcPr>
            <w:tcW w:w="1429" w:type="dxa"/>
            <w:vAlign w:val="center"/>
          </w:tcPr>
          <w:p w14:paraId="75C5ACE9">
            <w:pPr>
              <w:jc w:val="center"/>
              <w:rPr>
                <w:rFonts w:ascii="Times New Roman" w:hAnsi="Times New Roman"/>
                <w:szCs w:val="21"/>
              </w:rPr>
            </w:pPr>
            <w:r>
              <w:rPr>
                <w:rFonts w:ascii="Times New Roman" w:hAnsi="Times New Roman"/>
                <w:szCs w:val="21"/>
              </w:rPr>
              <w:t>7240</w:t>
            </w:r>
          </w:p>
        </w:tc>
      </w:tr>
      <w:tr w14:paraId="071BE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1FAA1C0">
            <w:pPr>
              <w:jc w:val="center"/>
              <w:rPr>
                <w:rFonts w:ascii="Times New Roman" w:hAnsi="Times New Roman"/>
                <w:szCs w:val="21"/>
              </w:rPr>
            </w:pPr>
            <w:r>
              <w:rPr>
                <w:rFonts w:ascii="Times New Roman" w:hAnsi="Times New Roman"/>
                <w:szCs w:val="21"/>
              </w:rPr>
              <w:t>Prefluorodecalin(trans)</w:t>
            </w:r>
          </w:p>
        </w:tc>
        <w:tc>
          <w:tcPr>
            <w:tcW w:w="2088" w:type="dxa"/>
            <w:vAlign w:val="center"/>
          </w:tcPr>
          <w:p w14:paraId="171C3099">
            <w:pPr>
              <w:jc w:val="center"/>
              <w:rPr>
                <w:rFonts w:ascii="Times New Roman" w:hAnsi="Times New Roman"/>
                <w:szCs w:val="21"/>
              </w:rPr>
            </w:pPr>
            <w:r>
              <w:rPr>
                <w:rFonts w:ascii="Times New Roman" w:hAnsi="Times New Roman"/>
                <w:szCs w:val="21"/>
              </w:rPr>
              <w:t>E-C</w:t>
            </w:r>
            <w:r>
              <w:rPr>
                <w:rFonts w:ascii="Times New Roman" w:hAnsi="Times New Roman"/>
                <w:szCs w:val="21"/>
                <w:vertAlign w:val="subscript"/>
              </w:rPr>
              <w:t>10</w:t>
            </w:r>
            <w:r>
              <w:rPr>
                <w:rFonts w:ascii="Times New Roman" w:hAnsi="Times New Roman"/>
                <w:szCs w:val="21"/>
              </w:rPr>
              <w:t>F</w:t>
            </w:r>
            <w:r>
              <w:rPr>
                <w:rFonts w:ascii="Times New Roman" w:hAnsi="Times New Roman"/>
                <w:szCs w:val="21"/>
                <w:vertAlign w:val="subscript"/>
              </w:rPr>
              <w:t>18</w:t>
            </w:r>
          </w:p>
        </w:tc>
        <w:tc>
          <w:tcPr>
            <w:tcW w:w="1429" w:type="dxa"/>
            <w:vAlign w:val="center"/>
          </w:tcPr>
          <w:p w14:paraId="2F811C00">
            <w:pPr>
              <w:jc w:val="center"/>
              <w:rPr>
                <w:rFonts w:ascii="Times New Roman" w:hAnsi="Times New Roman"/>
                <w:szCs w:val="21"/>
              </w:rPr>
            </w:pPr>
            <w:r>
              <w:rPr>
                <w:rFonts w:ascii="Times New Roman" w:hAnsi="Times New Roman"/>
                <w:szCs w:val="21"/>
              </w:rPr>
              <w:t>6290</w:t>
            </w:r>
          </w:p>
        </w:tc>
      </w:tr>
      <w:tr w14:paraId="51E3E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51C68B0">
            <w:pPr>
              <w:jc w:val="center"/>
              <w:rPr>
                <w:rFonts w:ascii="Times New Roman" w:hAnsi="Times New Roman"/>
                <w:szCs w:val="21"/>
              </w:rPr>
            </w:pPr>
            <w:r>
              <w:rPr>
                <w:rFonts w:ascii="Times New Roman" w:hAnsi="Times New Roman"/>
                <w:szCs w:val="21"/>
              </w:rPr>
              <w:t>PFC-1114</w:t>
            </w:r>
          </w:p>
        </w:tc>
        <w:tc>
          <w:tcPr>
            <w:tcW w:w="2088" w:type="dxa"/>
            <w:vAlign w:val="center"/>
          </w:tcPr>
          <w:p w14:paraId="3DE9067F">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=CF</w:t>
            </w:r>
            <w:r>
              <w:rPr>
                <w:rFonts w:ascii="Times New Roman" w:hAnsi="Times New Roman"/>
                <w:szCs w:val="21"/>
                <w:vertAlign w:val="subscript"/>
              </w:rPr>
              <w:t>2</w:t>
            </w:r>
          </w:p>
        </w:tc>
        <w:tc>
          <w:tcPr>
            <w:tcW w:w="1429" w:type="dxa"/>
            <w:vAlign w:val="center"/>
          </w:tcPr>
          <w:p w14:paraId="2FAB18D2">
            <w:pPr>
              <w:jc w:val="center"/>
              <w:rPr>
                <w:rFonts w:ascii="Times New Roman" w:hAnsi="Times New Roman"/>
                <w:szCs w:val="21"/>
              </w:rPr>
            </w:pPr>
            <w:r>
              <w:rPr>
                <w:rFonts w:ascii="Times New Roman" w:hAnsi="Times New Roman"/>
                <w:szCs w:val="21"/>
              </w:rPr>
              <w:t>&lt;1</w:t>
            </w:r>
          </w:p>
        </w:tc>
      </w:tr>
      <w:tr w14:paraId="53842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2FEA7943">
            <w:pPr>
              <w:jc w:val="center"/>
              <w:rPr>
                <w:rFonts w:ascii="Times New Roman" w:hAnsi="Times New Roman"/>
                <w:szCs w:val="21"/>
              </w:rPr>
            </w:pPr>
            <w:r>
              <w:rPr>
                <w:rFonts w:ascii="Times New Roman" w:hAnsi="Times New Roman"/>
                <w:szCs w:val="21"/>
              </w:rPr>
              <w:t>PFC-1216</w:t>
            </w:r>
          </w:p>
        </w:tc>
        <w:tc>
          <w:tcPr>
            <w:tcW w:w="2088" w:type="dxa"/>
            <w:vAlign w:val="center"/>
          </w:tcPr>
          <w:p w14:paraId="513AD369">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CF=CF</w:t>
            </w:r>
            <w:r>
              <w:rPr>
                <w:rFonts w:ascii="Times New Roman" w:hAnsi="Times New Roman"/>
                <w:szCs w:val="21"/>
                <w:vertAlign w:val="subscript"/>
              </w:rPr>
              <w:t>2</w:t>
            </w:r>
          </w:p>
        </w:tc>
        <w:tc>
          <w:tcPr>
            <w:tcW w:w="1429" w:type="dxa"/>
            <w:vAlign w:val="center"/>
          </w:tcPr>
          <w:p w14:paraId="58CD3557">
            <w:pPr>
              <w:jc w:val="center"/>
              <w:rPr>
                <w:rFonts w:ascii="Times New Roman" w:hAnsi="Times New Roman"/>
                <w:szCs w:val="21"/>
              </w:rPr>
            </w:pPr>
            <w:r>
              <w:rPr>
                <w:rFonts w:ascii="Times New Roman" w:hAnsi="Times New Roman"/>
                <w:szCs w:val="21"/>
              </w:rPr>
              <w:t>&lt;1</w:t>
            </w:r>
          </w:p>
        </w:tc>
      </w:tr>
      <w:tr w14:paraId="62AFD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10F549E4">
            <w:pPr>
              <w:jc w:val="center"/>
              <w:rPr>
                <w:rFonts w:ascii="Times New Roman" w:hAnsi="Times New Roman"/>
                <w:szCs w:val="21"/>
              </w:rPr>
            </w:pPr>
            <w:r>
              <w:rPr>
                <w:rFonts w:ascii="Times New Roman" w:hAnsi="Times New Roman"/>
                <w:szCs w:val="21"/>
              </w:rPr>
              <w:t>Perfluorobuta-1,3-diene</w:t>
            </w:r>
          </w:p>
        </w:tc>
        <w:tc>
          <w:tcPr>
            <w:tcW w:w="2088" w:type="dxa"/>
            <w:vAlign w:val="center"/>
          </w:tcPr>
          <w:p w14:paraId="2D2057D7">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=CFCF=CF</w:t>
            </w:r>
            <w:r>
              <w:rPr>
                <w:rFonts w:ascii="Times New Roman" w:hAnsi="Times New Roman"/>
                <w:szCs w:val="21"/>
                <w:vertAlign w:val="subscript"/>
              </w:rPr>
              <w:t>2</w:t>
            </w:r>
          </w:p>
        </w:tc>
        <w:tc>
          <w:tcPr>
            <w:tcW w:w="1429" w:type="dxa"/>
            <w:vAlign w:val="center"/>
          </w:tcPr>
          <w:p w14:paraId="4CD6ACCB">
            <w:pPr>
              <w:jc w:val="center"/>
              <w:rPr>
                <w:rFonts w:ascii="Times New Roman" w:hAnsi="Times New Roman"/>
                <w:szCs w:val="21"/>
              </w:rPr>
            </w:pPr>
            <w:r>
              <w:rPr>
                <w:rFonts w:ascii="Times New Roman" w:hAnsi="Times New Roman"/>
                <w:szCs w:val="21"/>
              </w:rPr>
              <w:t>&lt;1</w:t>
            </w:r>
          </w:p>
        </w:tc>
      </w:tr>
      <w:tr w14:paraId="14CB4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0E122D1B">
            <w:pPr>
              <w:jc w:val="center"/>
              <w:rPr>
                <w:rFonts w:ascii="Times New Roman" w:hAnsi="Times New Roman"/>
                <w:szCs w:val="21"/>
              </w:rPr>
            </w:pPr>
            <w:r>
              <w:rPr>
                <w:rFonts w:ascii="Times New Roman" w:hAnsi="Times New Roman"/>
                <w:szCs w:val="21"/>
              </w:rPr>
              <w:t>Perfluorobut-1-ene</w:t>
            </w:r>
          </w:p>
        </w:tc>
        <w:tc>
          <w:tcPr>
            <w:tcW w:w="2088" w:type="dxa"/>
            <w:vAlign w:val="center"/>
          </w:tcPr>
          <w:p w14:paraId="6A590BEB">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w:t>
            </w:r>
            <w:r>
              <w:rPr>
                <w:rFonts w:ascii="Times New Roman" w:hAnsi="Times New Roman"/>
                <w:szCs w:val="21"/>
                <w:vertAlign w:val="subscript"/>
              </w:rPr>
              <w:t>2</w:t>
            </w:r>
            <w:r>
              <w:rPr>
                <w:rFonts w:ascii="Times New Roman" w:hAnsi="Times New Roman"/>
                <w:szCs w:val="21"/>
              </w:rPr>
              <w:t>CF=CF</w:t>
            </w:r>
            <w:r>
              <w:rPr>
                <w:rFonts w:ascii="Times New Roman" w:hAnsi="Times New Roman"/>
                <w:szCs w:val="21"/>
                <w:vertAlign w:val="subscript"/>
              </w:rPr>
              <w:t>2</w:t>
            </w:r>
          </w:p>
        </w:tc>
        <w:tc>
          <w:tcPr>
            <w:tcW w:w="1429" w:type="dxa"/>
            <w:vAlign w:val="center"/>
          </w:tcPr>
          <w:p w14:paraId="752B2F87">
            <w:pPr>
              <w:jc w:val="center"/>
              <w:rPr>
                <w:rFonts w:ascii="Times New Roman" w:hAnsi="Times New Roman"/>
                <w:szCs w:val="21"/>
              </w:rPr>
            </w:pPr>
            <w:r>
              <w:rPr>
                <w:rFonts w:ascii="Times New Roman" w:hAnsi="Times New Roman"/>
                <w:szCs w:val="21"/>
              </w:rPr>
              <w:t>&lt;1</w:t>
            </w:r>
          </w:p>
        </w:tc>
      </w:tr>
      <w:tr w14:paraId="67CED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54DF0B92">
            <w:pPr>
              <w:jc w:val="center"/>
              <w:rPr>
                <w:rFonts w:ascii="Times New Roman" w:hAnsi="Times New Roman"/>
                <w:szCs w:val="21"/>
              </w:rPr>
            </w:pPr>
            <w:r>
              <w:rPr>
                <w:rFonts w:ascii="Times New Roman" w:hAnsi="Times New Roman"/>
                <w:szCs w:val="21"/>
              </w:rPr>
              <w:t>Perfluorobut-2-ene</w:t>
            </w:r>
          </w:p>
        </w:tc>
        <w:tc>
          <w:tcPr>
            <w:tcW w:w="2088" w:type="dxa"/>
            <w:vAlign w:val="center"/>
          </w:tcPr>
          <w:p w14:paraId="0BCBB16A">
            <w:pPr>
              <w:jc w:val="center"/>
              <w:rPr>
                <w:rFonts w:ascii="Times New Roman" w:hAnsi="Times New Roman"/>
                <w:szCs w:val="21"/>
              </w:rPr>
            </w:pPr>
            <w:r>
              <w:rPr>
                <w:rFonts w:ascii="Times New Roman" w:hAnsi="Times New Roman"/>
                <w:szCs w:val="21"/>
              </w:rPr>
              <w:t>CF</w:t>
            </w:r>
            <w:r>
              <w:rPr>
                <w:rFonts w:ascii="Times New Roman" w:hAnsi="Times New Roman"/>
                <w:szCs w:val="21"/>
                <w:vertAlign w:val="subscript"/>
              </w:rPr>
              <w:t>3</w:t>
            </w:r>
            <w:r>
              <w:rPr>
                <w:rFonts w:ascii="Times New Roman" w:hAnsi="Times New Roman"/>
                <w:szCs w:val="21"/>
              </w:rPr>
              <w:t>CF=CFCF</w:t>
            </w:r>
            <w:r>
              <w:rPr>
                <w:rFonts w:ascii="Times New Roman" w:hAnsi="Times New Roman"/>
                <w:szCs w:val="21"/>
                <w:vertAlign w:val="subscript"/>
              </w:rPr>
              <w:t>3</w:t>
            </w:r>
          </w:p>
        </w:tc>
        <w:tc>
          <w:tcPr>
            <w:tcW w:w="1429" w:type="dxa"/>
            <w:vAlign w:val="center"/>
          </w:tcPr>
          <w:p w14:paraId="2061ED07">
            <w:pPr>
              <w:jc w:val="center"/>
              <w:rPr>
                <w:rFonts w:ascii="Times New Roman" w:hAnsi="Times New Roman"/>
                <w:szCs w:val="21"/>
              </w:rPr>
            </w:pPr>
            <w:r>
              <w:rPr>
                <w:rFonts w:ascii="Times New Roman" w:hAnsi="Times New Roman"/>
                <w:szCs w:val="21"/>
              </w:rPr>
              <w:t>2</w:t>
            </w:r>
          </w:p>
        </w:tc>
      </w:tr>
      <w:tr w14:paraId="637B2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5" w:type="dxa"/>
            <w:vAlign w:val="center"/>
          </w:tcPr>
          <w:p w14:paraId="06233E16">
            <w:pPr>
              <w:jc w:val="center"/>
              <w:rPr>
                <w:rFonts w:ascii="Times New Roman" w:hAnsi="Times New Roman"/>
                <w:szCs w:val="21"/>
              </w:rPr>
            </w:pPr>
            <w:r>
              <w:rPr>
                <w:rFonts w:ascii="Times New Roman" w:hAnsi="Times New Roman"/>
                <w:szCs w:val="21"/>
              </w:rPr>
              <w:t>六氟化硫</w:t>
            </w:r>
          </w:p>
        </w:tc>
        <w:tc>
          <w:tcPr>
            <w:tcW w:w="2088" w:type="dxa"/>
            <w:vAlign w:val="center"/>
          </w:tcPr>
          <w:p w14:paraId="111185B2">
            <w:pPr>
              <w:jc w:val="center"/>
              <w:rPr>
                <w:rFonts w:ascii="Times New Roman" w:hAnsi="Times New Roman"/>
                <w:szCs w:val="21"/>
              </w:rPr>
            </w:pPr>
            <w:r>
              <w:rPr>
                <w:rFonts w:ascii="Times New Roman" w:hAnsi="Times New Roman"/>
                <w:szCs w:val="21"/>
              </w:rPr>
              <w:t>SF</w:t>
            </w:r>
            <w:r>
              <w:rPr>
                <w:rFonts w:ascii="Times New Roman" w:hAnsi="Times New Roman"/>
                <w:szCs w:val="21"/>
                <w:vertAlign w:val="subscript"/>
              </w:rPr>
              <w:t>6</w:t>
            </w:r>
          </w:p>
        </w:tc>
        <w:tc>
          <w:tcPr>
            <w:tcW w:w="1429" w:type="dxa"/>
            <w:vAlign w:val="center"/>
          </w:tcPr>
          <w:p w14:paraId="6842BDE0">
            <w:pPr>
              <w:jc w:val="center"/>
              <w:rPr>
                <w:rFonts w:ascii="Times New Roman" w:hAnsi="Times New Roman"/>
                <w:szCs w:val="21"/>
              </w:rPr>
            </w:pPr>
            <w:r>
              <w:rPr>
                <w:rFonts w:ascii="Times New Roman" w:hAnsi="Times New Roman"/>
                <w:szCs w:val="21"/>
              </w:rPr>
              <w:t>23500</w:t>
            </w:r>
          </w:p>
        </w:tc>
      </w:tr>
    </w:tbl>
    <w:p w14:paraId="0797878E">
      <w:pPr>
        <w:ind w:firstLine="560" w:firstLineChars="200"/>
        <w:rPr>
          <w:rFonts w:hint="eastAsia" w:ascii="宋体" w:hAnsi="宋体"/>
          <w:sz w:val="28"/>
          <w:szCs w:val="28"/>
        </w:rPr>
      </w:pPr>
    </w:p>
    <w:p w14:paraId="5B3813C6">
      <w:pPr>
        <w:rPr>
          <w:rFonts w:ascii="Times New Roman" w:hAnsi="Times New Roman"/>
          <w:sz w:val="28"/>
          <w:szCs w:val="28"/>
        </w:rPr>
      </w:pPr>
    </w:p>
    <w:p w14:paraId="115B6DD2">
      <w:pPr>
        <w:rPr>
          <w:rFonts w:ascii="Times New Roman" w:hAnsi="Times New Roman"/>
          <w:sz w:val="28"/>
          <w:szCs w:val="28"/>
        </w:rPr>
      </w:pPr>
      <w:r>
        <w:rPr>
          <w:rFonts w:ascii="Times New Roman" w:hAnsi="Times New Roman"/>
          <w:sz w:val="28"/>
          <w:szCs w:val="28"/>
        </w:rPr>
        <w:br w:type="page"/>
      </w:r>
    </w:p>
    <w:p w14:paraId="7B90D16D">
      <w:pPr>
        <w:jc w:val="center"/>
        <w:outlineLvl w:val="0"/>
        <w:rPr>
          <w:rFonts w:ascii="Times New Roman" w:hAnsi="Times New Roman"/>
          <w:sz w:val="30"/>
          <w:szCs w:val="30"/>
        </w:rPr>
      </w:pPr>
      <w:bookmarkStart w:id="12" w:name="_Toc4368"/>
      <w:r>
        <w:rPr>
          <w:rFonts w:hint="eastAsia" w:ascii="Times New Roman" w:hAnsi="Times New Roman"/>
          <w:sz w:val="30"/>
          <w:szCs w:val="30"/>
        </w:rPr>
        <w:t>附录C</w:t>
      </w:r>
      <w:bookmarkEnd w:id="12"/>
    </w:p>
    <w:p w14:paraId="7DBF2F04">
      <w:pPr>
        <w:jc w:val="center"/>
        <w:rPr>
          <w:rFonts w:ascii="Times New Roman" w:hAnsi="Times New Roman"/>
          <w:szCs w:val="21"/>
        </w:rPr>
      </w:pPr>
      <w:r>
        <w:rPr>
          <w:rFonts w:hint="eastAsia" w:ascii="Times New Roman" w:hAnsi="Times New Roman"/>
          <w:szCs w:val="21"/>
        </w:rPr>
        <w:t>（资料性附录）</w:t>
      </w:r>
    </w:p>
    <w:p w14:paraId="2A7BA65D">
      <w:pPr>
        <w:ind w:firstLine="210" w:firstLineChars="100"/>
        <w:jc w:val="center"/>
        <w:rPr>
          <w:rFonts w:ascii="Times New Roman" w:hAnsi="Times New Roman"/>
          <w:szCs w:val="21"/>
        </w:rPr>
      </w:pPr>
    </w:p>
    <w:p w14:paraId="64AA05A4">
      <w:pPr>
        <w:ind w:firstLine="210" w:firstLineChars="100"/>
        <w:jc w:val="center"/>
        <w:rPr>
          <w:rFonts w:ascii="Times New Roman" w:hAnsi="Times New Roman"/>
          <w:szCs w:val="21"/>
        </w:rPr>
      </w:pPr>
      <w:r>
        <w:rPr>
          <w:rFonts w:hint="eastAsia" w:ascii="Times New Roman" w:hAnsi="Times New Roman"/>
          <w:szCs w:val="21"/>
        </w:rPr>
        <w:t>表C.1中国区域电力和热力平均CO</w:t>
      </w:r>
      <w:r>
        <w:rPr>
          <w:rFonts w:hint="eastAsia" w:ascii="Times New Roman" w:hAnsi="Times New Roman"/>
          <w:szCs w:val="21"/>
          <w:vertAlign w:val="subscript"/>
        </w:rPr>
        <w:t>2</w:t>
      </w:r>
      <w:r>
        <w:rPr>
          <w:rFonts w:hint="eastAsia" w:ascii="Times New Roman" w:hAnsi="Times New Roman"/>
          <w:szCs w:val="21"/>
        </w:rPr>
        <w:t>排放因子</w:t>
      </w:r>
    </w:p>
    <w:tbl>
      <w:tblPr>
        <w:tblStyle w:val="6"/>
        <w:tblpPr w:leftFromText="180" w:rightFromText="180" w:vertAnchor="text" w:horzAnchor="page" w:tblpXSpec="center" w:tblpY="2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1"/>
        <w:gridCol w:w="2841"/>
      </w:tblGrid>
      <w:tr w14:paraId="4BE90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840" w:type="dxa"/>
            <w:vAlign w:val="center"/>
          </w:tcPr>
          <w:p w14:paraId="69A745D5">
            <w:pPr>
              <w:jc w:val="center"/>
              <w:rPr>
                <w:rFonts w:ascii="Times New Roman" w:hAnsi="Times New Roman"/>
                <w:szCs w:val="21"/>
              </w:rPr>
            </w:pPr>
            <w:r>
              <w:rPr>
                <w:rFonts w:hint="eastAsia" w:ascii="Times New Roman" w:hAnsi="Times New Roman"/>
                <w:szCs w:val="21"/>
              </w:rPr>
              <w:t>名称</w:t>
            </w:r>
          </w:p>
        </w:tc>
        <w:tc>
          <w:tcPr>
            <w:tcW w:w="2841" w:type="dxa"/>
            <w:vAlign w:val="center"/>
          </w:tcPr>
          <w:p w14:paraId="512EF3BD">
            <w:pPr>
              <w:jc w:val="center"/>
              <w:rPr>
                <w:rFonts w:ascii="Times New Roman" w:hAnsi="Times New Roman"/>
                <w:szCs w:val="21"/>
              </w:rPr>
            </w:pPr>
            <w:r>
              <w:rPr>
                <w:rFonts w:hint="eastAsia" w:ascii="Times New Roman" w:hAnsi="Times New Roman"/>
                <w:szCs w:val="21"/>
              </w:rPr>
              <w:t>数值</w:t>
            </w:r>
          </w:p>
        </w:tc>
        <w:tc>
          <w:tcPr>
            <w:tcW w:w="2841" w:type="dxa"/>
            <w:vAlign w:val="center"/>
          </w:tcPr>
          <w:p w14:paraId="11498110">
            <w:pPr>
              <w:jc w:val="center"/>
              <w:rPr>
                <w:rFonts w:ascii="Times New Roman" w:hAnsi="Times New Roman"/>
                <w:szCs w:val="21"/>
              </w:rPr>
            </w:pPr>
            <w:r>
              <w:rPr>
                <w:rFonts w:hint="eastAsia" w:ascii="Times New Roman" w:hAnsi="Times New Roman"/>
                <w:szCs w:val="21"/>
              </w:rPr>
              <w:t>单位</w:t>
            </w:r>
          </w:p>
        </w:tc>
      </w:tr>
      <w:tr w14:paraId="007B3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40" w:type="dxa"/>
            <w:vAlign w:val="center"/>
          </w:tcPr>
          <w:p w14:paraId="470E9A95">
            <w:pPr>
              <w:jc w:val="center"/>
              <w:rPr>
                <w:rFonts w:ascii="Times New Roman" w:hAnsi="Times New Roman"/>
                <w:szCs w:val="21"/>
              </w:rPr>
            </w:pPr>
            <w:r>
              <w:rPr>
                <w:rFonts w:hint="eastAsia" w:ascii="Times New Roman" w:hAnsi="Times New Roman"/>
                <w:szCs w:val="21"/>
              </w:rPr>
              <w:t>电力排放因子</w:t>
            </w:r>
          </w:p>
        </w:tc>
        <w:tc>
          <w:tcPr>
            <w:tcW w:w="2841" w:type="dxa"/>
            <w:vAlign w:val="center"/>
          </w:tcPr>
          <w:p w14:paraId="164D31CE">
            <w:pPr>
              <w:jc w:val="center"/>
              <w:rPr>
                <w:rFonts w:ascii="Times New Roman" w:hAnsi="Times New Roman"/>
                <w:szCs w:val="21"/>
              </w:rPr>
            </w:pPr>
            <w:r>
              <w:rPr>
                <w:rFonts w:hint="eastAsia" w:ascii="Times New Roman" w:hAnsi="Times New Roman"/>
                <w:szCs w:val="21"/>
              </w:rPr>
              <w:t>0.6101</w:t>
            </w:r>
          </w:p>
        </w:tc>
        <w:tc>
          <w:tcPr>
            <w:tcW w:w="2841" w:type="dxa"/>
            <w:vAlign w:val="center"/>
          </w:tcPr>
          <w:p w14:paraId="2A7C5FFD">
            <w:pPr>
              <w:jc w:val="center"/>
              <w:rPr>
                <w:rFonts w:ascii="Times New Roman" w:hAnsi="Times New Roman"/>
                <w:szCs w:val="21"/>
              </w:rPr>
            </w:pPr>
            <w:r>
              <w:rPr>
                <w:rFonts w:hint="eastAsia" w:ascii="Times New Roman" w:hAnsi="Times New Roman"/>
                <w:szCs w:val="21"/>
              </w:rPr>
              <w:t>tCO</w:t>
            </w:r>
            <w:r>
              <w:rPr>
                <w:rFonts w:hint="eastAsia" w:ascii="Times New Roman" w:hAnsi="Times New Roman"/>
                <w:szCs w:val="21"/>
                <w:vertAlign w:val="subscript"/>
              </w:rPr>
              <w:t>2</w:t>
            </w:r>
            <w:r>
              <w:rPr>
                <w:rFonts w:hint="eastAsia" w:ascii="Times New Roman" w:hAnsi="Times New Roman"/>
                <w:szCs w:val="21"/>
              </w:rPr>
              <w:t>/MWh</w:t>
            </w:r>
          </w:p>
        </w:tc>
      </w:tr>
      <w:tr w14:paraId="2E308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40" w:type="dxa"/>
            <w:vAlign w:val="center"/>
          </w:tcPr>
          <w:p w14:paraId="11032BB5">
            <w:pPr>
              <w:jc w:val="center"/>
              <w:rPr>
                <w:rFonts w:ascii="Times New Roman" w:hAnsi="Times New Roman"/>
                <w:szCs w:val="21"/>
              </w:rPr>
            </w:pPr>
            <w:r>
              <w:rPr>
                <w:rFonts w:hint="eastAsia" w:ascii="Times New Roman" w:hAnsi="Times New Roman"/>
                <w:szCs w:val="21"/>
              </w:rPr>
              <w:t>热力排放因子</w:t>
            </w:r>
          </w:p>
        </w:tc>
        <w:tc>
          <w:tcPr>
            <w:tcW w:w="2841" w:type="dxa"/>
            <w:vAlign w:val="center"/>
          </w:tcPr>
          <w:p w14:paraId="41B069FD">
            <w:pPr>
              <w:jc w:val="center"/>
              <w:rPr>
                <w:rFonts w:ascii="Times New Roman" w:hAnsi="Times New Roman"/>
                <w:szCs w:val="21"/>
              </w:rPr>
            </w:pPr>
            <w:r>
              <w:rPr>
                <w:rFonts w:hint="eastAsia" w:ascii="Times New Roman" w:hAnsi="Times New Roman"/>
                <w:szCs w:val="21"/>
              </w:rPr>
              <w:t>0.11</w:t>
            </w:r>
          </w:p>
        </w:tc>
        <w:tc>
          <w:tcPr>
            <w:tcW w:w="2841" w:type="dxa"/>
            <w:vAlign w:val="center"/>
          </w:tcPr>
          <w:p w14:paraId="27DEECD6">
            <w:pPr>
              <w:jc w:val="center"/>
              <w:rPr>
                <w:rFonts w:ascii="Times New Roman" w:hAnsi="Times New Roman"/>
                <w:szCs w:val="21"/>
              </w:rPr>
            </w:pPr>
            <w:r>
              <w:rPr>
                <w:rFonts w:hint="eastAsia" w:ascii="Times New Roman" w:hAnsi="Times New Roman"/>
                <w:szCs w:val="21"/>
              </w:rPr>
              <w:t>tCO</w:t>
            </w:r>
            <w:r>
              <w:rPr>
                <w:rFonts w:hint="eastAsia" w:ascii="Times New Roman" w:hAnsi="Times New Roman"/>
                <w:szCs w:val="21"/>
                <w:vertAlign w:val="subscript"/>
              </w:rPr>
              <w:t>2</w:t>
            </w:r>
            <w:r>
              <w:rPr>
                <w:rFonts w:hint="eastAsia" w:ascii="Times New Roman" w:hAnsi="Times New Roman"/>
                <w:szCs w:val="21"/>
              </w:rPr>
              <w:t>/GJ</w:t>
            </w:r>
          </w:p>
        </w:tc>
      </w:tr>
    </w:tbl>
    <w:p w14:paraId="16EB26BC">
      <w:pPr>
        <w:rPr>
          <w:rFonts w:ascii="Times New Roman" w:hAnsi="Times New Roman"/>
          <w:sz w:val="28"/>
          <w:szCs w:val="28"/>
        </w:rPr>
      </w:pPr>
    </w:p>
    <w:p w14:paraId="5639A574">
      <w:pPr>
        <w:pStyle w:val="12"/>
        <w:ind w:firstLine="0" w:firstLineChars="0"/>
      </w:pPr>
    </w:p>
    <w:p w14:paraId="7C8D44F4">
      <w:pPr>
        <w:pStyle w:val="12"/>
        <w:ind w:firstLine="0" w:firstLineChars="0"/>
      </w:pPr>
    </w:p>
    <w:p w14:paraId="529B417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13F68">
    <w:pPr>
      <w:spacing w:line="173" w:lineRule="auto"/>
      <w:ind w:left="4219"/>
      <w:rPr>
        <w:rFonts w:ascii="Times New Roman" w:hAnsi="Times New Roman" w:eastAsia="Times New Roman" w:cs="Times New Roman"/>
        <w:sz w:val="18"/>
        <w:szCs w:val="18"/>
      </w:rPr>
    </w:pPr>
    <w:r>
      <w:rPr>
        <w:rFonts w:ascii="Times New Roman" w:hAnsi="Times New Roman" w:eastAsia="Times New Roman" w:cs="Times New Roman"/>
        <w:sz w:val="18"/>
        <w:szCs w:val="18"/>
      </w:rPr>
      <w:t>I</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8A6C2">
    <w:pPr>
      <w:spacing w:before="74" w:line="183" w:lineRule="auto"/>
      <w:ind w:left="7134"/>
      <w:rPr>
        <w:rFonts w:ascii="Times New Roman" w:hAnsi="Times New Roman" w:eastAsia="Times New Roman" w:cs="Times New Roman"/>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0614BE"/>
    <w:multiLevelType w:val="multilevel"/>
    <w:tmpl w:val="2C0614BE"/>
    <w:lvl w:ilvl="0" w:tentative="0">
      <w:start w:val="2"/>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5YzAxYTEwYmZkYjdhN2YzZjhkYWM4NGUwZWMwZjIifQ=="/>
  </w:docVars>
  <w:rsids>
    <w:rsidRoot w:val="1AF43A16"/>
    <w:rsid w:val="001B4374"/>
    <w:rsid w:val="004F015B"/>
    <w:rsid w:val="00542E53"/>
    <w:rsid w:val="005F248D"/>
    <w:rsid w:val="00A8448D"/>
    <w:rsid w:val="00B269EA"/>
    <w:rsid w:val="00DE45AD"/>
    <w:rsid w:val="00E8708D"/>
    <w:rsid w:val="00E9662E"/>
    <w:rsid w:val="00F4065E"/>
    <w:rsid w:val="0116655D"/>
    <w:rsid w:val="01510884"/>
    <w:rsid w:val="01741869"/>
    <w:rsid w:val="01A52705"/>
    <w:rsid w:val="01ED21BA"/>
    <w:rsid w:val="03C25E5B"/>
    <w:rsid w:val="04B213C1"/>
    <w:rsid w:val="04FD0162"/>
    <w:rsid w:val="06732DD2"/>
    <w:rsid w:val="09E267A0"/>
    <w:rsid w:val="09E5312A"/>
    <w:rsid w:val="0A52600B"/>
    <w:rsid w:val="0B4B4323"/>
    <w:rsid w:val="0BFA53FB"/>
    <w:rsid w:val="0D026B1B"/>
    <w:rsid w:val="0DDC0E92"/>
    <w:rsid w:val="0EDE712E"/>
    <w:rsid w:val="0EEF4054"/>
    <w:rsid w:val="0F2954D4"/>
    <w:rsid w:val="0FBE5710"/>
    <w:rsid w:val="104B608C"/>
    <w:rsid w:val="11100C88"/>
    <w:rsid w:val="12311946"/>
    <w:rsid w:val="127B54E8"/>
    <w:rsid w:val="138C7754"/>
    <w:rsid w:val="13DA4490"/>
    <w:rsid w:val="153B6C32"/>
    <w:rsid w:val="1560517C"/>
    <w:rsid w:val="15E278D1"/>
    <w:rsid w:val="1780677C"/>
    <w:rsid w:val="19975E89"/>
    <w:rsid w:val="1AF43A16"/>
    <w:rsid w:val="1B852F33"/>
    <w:rsid w:val="1CE8142D"/>
    <w:rsid w:val="1D021CA5"/>
    <w:rsid w:val="1E7352C5"/>
    <w:rsid w:val="1F6644B1"/>
    <w:rsid w:val="21022930"/>
    <w:rsid w:val="223E17E0"/>
    <w:rsid w:val="22682C67"/>
    <w:rsid w:val="22AC349C"/>
    <w:rsid w:val="24184243"/>
    <w:rsid w:val="242C5E03"/>
    <w:rsid w:val="24A65E5F"/>
    <w:rsid w:val="25107EF3"/>
    <w:rsid w:val="253E5884"/>
    <w:rsid w:val="299D422D"/>
    <w:rsid w:val="2C402593"/>
    <w:rsid w:val="2C6B1CD2"/>
    <w:rsid w:val="2D9B6E8C"/>
    <w:rsid w:val="2DDF4725"/>
    <w:rsid w:val="307A0735"/>
    <w:rsid w:val="32F45AF6"/>
    <w:rsid w:val="334D5D6F"/>
    <w:rsid w:val="36470388"/>
    <w:rsid w:val="368C252E"/>
    <w:rsid w:val="36C83C10"/>
    <w:rsid w:val="371735F5"/>
    <w:rsid w:val="390663CB"/>
    <w:rsid w:val="39B70A8E"/>
    <w:rsid w:val="3B5A714C"/>
    <w:rsid w:val="3B7010B2"/>
    <w:rsid w:val="3DEF43E9"/>
    <w:rsid w:val="3E486242"/>
    <w:rsid w:val="3F7A2DD4"/>
    <w:rsid w:val="43811983"/>
    <w:rsid w:val="459E2E05"/>
    <w:rsid w:val="467E5306"/>
    <w:rsid w:val="477D1319"/>
    <w:rsid w:val="482F19AD"/>
    <w:rsid w:val="48657848"/>
    <w:rsid w:val="49165DA6"/>
    <w:rsid w:val="499E503D"/>
    <w:rsid w:val="49AD0D9A"/>
    <w:rsid w:val="4C7A76C4"/>
    <w:rsid w:val="4CC04E87"/>
    <w:rsid w:val="4D571ED4"/>
    <w:rsid w:val="4FE112AF"/>
    <w:rsid w:val="4FF44BC5"/>
    <w:rsid w:val="521A3BC5"/>
    <w:rsid w:val="54B9397B"/>
    <w:rsid w:val="57210D7F"/>
    <w:rsid w:val="593E4146"/>
    <w:rsid w:val="5C026857"/>
    <w:rsid w:val="5C5D2E0C"/>
    <w:rsid w:val="5CCD7328"/>
    <w:rsid w:val="5D425588"/>
    <w:rsid w:val="5E196F30"/>
    <w:rsid w:val="5F2942CA"/>
    <w:rsid w:val="61047A23"/>
    <w:rsid w:val="62A05B2C"/>
    <w:rsid w:val="647A6B2C"/>
    <w:rsid w:val="68497966"/>
    <w:rsid w:val="68876717"/>
    <w:rsid w:val="68D92D19"/>
    <w:rsid w:val="69E15B32"/>
    <w:rsid w:val="6B28355C"/>
    <w:rsid w:val="6DE2733E"/>
    <w:rsid w:val="6F63000B"/>
    <w:rsid w:val="6F7F5DE4"/>
    <w:rsid w:val="6FC668AC"/>
    <w:rsid w:val="70931260"/>
    <w:rsid w:val="71A843FB"/>
    <w:rsid w:val="72345C8F"/>
    <w:rsid w:val="72C932EB"/>
    <w:rsid w:val="72E5400E"/>
    <w:rsid w:val="74806F69"/>
    <w:rsid w:val="75ED224A"/>
    <w:rsid w:val="764A20D9"/>
    <w:rsid w:val="767D5E56"/>
    <w:rsid w:val="772C5186"/>
    <w:rsid w:val="7A430427"/>
    <w:rsid w:val="7A6E2046"/>
    <w:rsid w:val="7A813FD2"/>
    <w:rsid w:val="7B09307B"/>
    <w:rsid w:val="7B5A110A"/>
    <w:rsid w:val="7B650743"/>
    <w:rsid w:val="7D0C5AA3"/>
    <w:rsid w:val="7D7D392C"/>
    <w:rsid w:val="7DA90991"/>
    <w:rsid w:val="7DE441E3"/>
    <w:rsid w:val="7EA87C09"/>
    <w:rsid w:val="7EAE5B2A"/>
    <w:rsid w:val="7F4C0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ody Text"/>
    <w:basedOn w:val="1"/>
    <w:semiHidden/>
    <w:qFormat/>
    <w:uiPriority w:val="0"/>
    <w:rPr>
      <w:rFonts w:ascii="Arial" w:hAnsi="Arial" w:eastAsia="Arial" w:cs="Arial"/>
      <w:sz w:val="21"/>
      <w:szCs w:val="21"/>
      <w:lang w:val="en-US" w:eastAsia="en-US" w:bidi="ar-SA"/>
    </w:rPr>
  </w:style>
  <w:style w:type="paragraph" w:styleId="4">
    <w:name w:val="footer"/>
    <w:basedOn w:val="1"/>
    <w:qFormat/>
    <w:uiPriority w:val="0"/>
    <w:pPr>
      <w:tabs>
        <w:tab w:val="center" w:pos="4153"/>
        <w:tab w:val="right" w:pos="8306"/>
      </w:tabs>
      <w:snapToGrid w:val="0"/>
      <w:jc w:val="left"/>
    </w:pPr>
    <w:rPr>
      <w:sz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 w:type="character" w:styleId="9">
    <w:name w:val="Hyperlink"/>
    <w:basedOn w:val="7"/>
    <w:qFormat/>
    <w:uiPriority w:val="0"/>
    <w:rPr>
      <w:color w:val="0000FF"/>
      <w:u w:val="single"/>
    </w:rPr>
  </w:style>
  <w:style w:type="paragraph" w:customStyle="1" w:styleId="10">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1">
    <w:name w:val="章标题"/>
    <w:next w:val="12"/>
    <w:qFormat/>
    <w:uiPriority w:val="0"/>
    <w:pPr>
      <w:spacing w:beforeLines="100" w:afterLines="100"/>
      <w:jc w:val="both"/>
      <w:outlineLvl w:val="1"/>
    </w:pPr>
    <w:rPr>
      <w:rFonts w:ascii="黑体" w:hAnsi="Times New Roman" w:eastAsia="黑体" w:cs="Times New Roman"/>
      <w:sz w:val="21"/>
      <w:lang w:val="en-US" w:eastAsia="zh-CN" w:bidi="ar-SA"/>
    </w:rPr>
  </w:style>
  <w:style w:type="paragraph" w:customStyle="1" w:styleId="12">
    <w:name w:val="段"/>
    <w:qFormat/>
    <w:uiPriority w:val="0"/>
    <w:pPr>
      <w:autoSpaceDE w:val="0"/>
      <w:autoSpaceDN w:val="0"/>
      <w:ind w:firstLine="420" w:firstLineChars="200"/>
      <w:jc w:val="both"/>
    </w:pPr>
    <w:rPr>
      <w:rFonts w:ascii="宋体" w:hAnsi="Calibri" w:eastAsia="宋体" w:cs="Times New Roman"/>
      <w:kern w:val="2"/>
      <w:sz w:val="21"/>
      <w:szCs w:val="22"/>
      <w:lang w:val="en-US" w:eastAsia="zh-CN" w:bidi="ar-SA"/>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w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6489</Words>
  <Characters>8898</Characters>
  <Lines>511</Lines>
  <Paragraphs>593</Paragraphs>
  <TotalTime>42</TotalTime>
  <ScaleCrop>false</ScaleCrop>
  <LinksUpToDate>false</LinksUpToDate>
  <CharactersWithSpaces>9961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2023-03-30T02:05:00Z</dcterms:created>
  <dc:creator>15301656129</dc:creator>
  <cp:lastModifiedBy>Lucy</cp:lastModifiedBy>
  <dcterms:modified xsi:type="dcterms:W3CDTF">2026-05-25T05:41:09Z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3F74FEDC20A54B41B365BC53AF9B003A_13</vt:lpwstr>
  </property>
  <property fmtid="{D5CDD505-2E9C-101B-9397-08002B2CF9AE}" pid="4" name="KSOTemplateDocerSaveRecord">
    <vt:lpwstr>eyJoZGlkIjoiN2ZhOTIzNmNjZDI3ZTRhYmIzZTM5MjY2MTEyMDgwYmIiLCJ1c2VySWQiOiI0NDUyMTA1NzcifQ==</vt:lpwstr>
  </property>
</Properties>
</file>