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27"/>
        <w:tblW w:w="936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09"/>
        <w:gridCol w:w="8855"/>
      </w:tblGrid>
      <w:tr w14:paraId="3EE71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c>
          <w:tcPr>
            <w:tcW w:w="509" w:type="dxa"/>
          </w:tcPr>
          <w:p w14:paraId="5419C6E4">
            <w:pPr>
              <w:pStyle w:val="18"/>
              <w:framePr w:wrap="notBeside" w:vAnchor="page" w:hAnchor="page" w:x="1372" w:y="568"/>
              <w:tabs>
                <w:tab w:val="clear" w:pos="4153"/>
                <w:tab w:val="clear" w:pos="8306"/>
              </w:tabs>
              <w:spacing w:line="240" w:lineRule="auto"/>
              <w:jc w:val="left"/>
              <w:rPr>
                <w:rFonts w:hint="eastAsia" w:ascii="黑体" w:hAnsi="黑体" w:eastAsia="黑体"/>
                <w:color w:val="auto"/>
                <w:sz w:val="21"/>
                <w:szCs w:val="21"/>
              </w:rPr>
            </w:pPr>
            <w:r>
              <w:rPr>
                <w:rFonts w:ascii="Times New Roman" w:hAnsi="Times New Roman" w:eastAsia="黑体"/>
                <w:color w:val="auto"/>
                <w:sz w:val="21"/>
                <w:szCs w:val="21"/>
              </w:rPr>
              <w:t>ICS</w:t>
            </w:r>
            <w:r>
              <w:rPr>
                <w:rFonts w:ascii="黑体" w:hAnsi="黑体" w:eastAsia="黑体"/>
                <w:color w:val="auto"/>
                <w:sz w:val="21"/>
                <w:szCs w:val="21"/>
              </w:rPr>
              <w:t xml:space="preserve">  </w:t>
            </w:r>
          </w:p>
        </w:tc>
        <w:tc>
          <w:tcPr>
            <w:tcW w:w="8855" w:type="dxa"/>
          </w:tcPr>
          <w:p w14:paraId="7BEFF06A">
            <w:pPr>
              <w:pStyle w:val="18"/>
              <w:framePr w:wrap="notBeside" w:vAnchor="page" w:hAnchor="page" w:x="1372" w:y="568"/>
              <w:tabs>
                <w:tab w:val="clear" w:pos="4153"/>
                <w:tab w:val="clear" w:pos="8306"/>
              </w:tabs>
              <w:spacing w:line="240" w:lineRule="auto"/>
              <w:jc w:val="both"/>
              <w:rPr>
                <w:rFonts w:hint="eastAsia" w:ascii="黑体" w:hAnsi="黑体" w:eastAsia="黑体"/>
                <w:color w:val="auto"/>
                <w:sz w:val="21"/>
                <w:szCs w:val="21"/>
              </w:rPr>
            </w:pPr>
            <w:r>
              <w:rPr>
                <w:rFonts w:ascii="黑体" w:hAnsi="黑体" w:eastAsia="黑体"/>
                <w:color w:val="auto"/>
                <w:sz w:val="21"/>
                <w:szCs w:val="21"/>
              </w:rPr>
              <w:fldChar w:fldCharType="begin">
                <w:ffData>
                  <w:name w:val="ICS"/>
                  <w:enabled/>
                  <w:calcOnExit w:val="0"/>
                  <w:textInput>
                    <w:default w:val="点击此处添加ICS号"/>
                  </w:textInput>
                </w:ffData>
              </w:fldChar>
            </w:r>
            <w:bookmarkStart w:id="0" w:name="ICS"/>
            <w:r>
              <w:rPr>
                <w:rFonts w:ascii="黑体" w:hAnsi="黑体" w:eastAsia="黑体"/>
                <w:color w:val="auto"/>
                <w:sz w:val="21"/>
                <w:szCs w:val="21"/>
              </w:rPr>
              <w:instrText xml:space="preserve"> FORMTEXT </w:instrText>
            </w:r>
            <w:r>
              <w:rPr>
                <w:rFonts w:ascii="黑体" w:hAnsi="黑体" w:eastAsia="黑体"/>
                <w:color w:val="auto"/>
                <w:sz w:val="21"/>
                <w:szCs w:val="21"/>
              </w:rPr>
              <w:fldChar w:fldCharType="separate"/>
            </w:r>
            <w:r>
              <w:rPr>
                <w:rFonts w:ascii="黑体" w:hAnsi="黑体" w:eastAsia="黑体"/>
                <w:color w:val="auto"/>
                <w:sz w:val="21"/>
                <w:szCs w:val="21"/>
              </w:rPr>
              <w:t>71.060.01</w:t>
            </w:r>
            <w:r>
              <w:rPr>
                <w:rFonts w:ascii="黑体" w:hAnsi="黑体" w:eastAsia="黑体"/>
                <w:color w:val="auto"/>
                <w:sz w:val="21"/>
                <w:szCs w:val="21"/>
              </w:rPr>
              <w:fldChar w:fldCharType="end"/>
            </w:r>
            <w:bookmarkEnd w:id="0"/>
          </w:p>
        </w:tc>
      </w:tr>
      <w:tr w14:paraId="25D526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c>
          <w:tcPr>
            <w:tcW w:w="509" w:type="dxa"/>
          </w:tcPr>
          <w:p w14:paraId="43B6EB6A">
            <w:pPr>
              <w:pStyle w:val="18"/>
              <w:framePr w:wrap="notBeside" w:vAnchor="page" w:hAnchor="page" w:x="1372" w:y="568"/>
              <w:tabs>
                <w:tab w:val="clear" w:pos="4153"/>
                <w:tab w:val="clear" w:pos="8306"/>
              </w:tabs>
              <w:spacing w:before="40" w:line="240" w:lineRule="auto"/>
              <w:jc w:val="left"/>
              <w:rPr>
                <w:rFonts w:hint="eastAsia" w:ascii="黑体" w:hAnsi="黑体" w:eastAsia="黑体"/>
                <w:color w:val="auto"/>
                <w:sz w:val="21"/>
                <w:szCs w:val="21"/>
              </w:rPr>
            </w:pPr>
            <w:r>
              <w:rPr>
                <w:rFonts w:ascii="Times New Roman" w:hAnsi="Times New Roman" w:eastAsia="黑体"/>
                <w:color w:val="auto"/>
                <w:sz w:val="21"/>
                <w:szCs w:val="21"/>
              </w:rPr>
              <w:t xml:space="preserve">CCS </w:t>
            </w:r>
            <w:r>
              <w:rPr>
                <w:rFonts w:ascii="黑体" w:hAnsi="黑体" w:eastAsia="黑体"/>
                <w:color w:val="auto"/>
                <w:sz w:val="21"/>
                <w:szCs w:val="21"/>
              </w:rPr>
              <w:t xml:space="preserve"> </w:t>
            </w:r>
          </w:p>
        </w:tc>
        <w:tc>
          <w:tcPr>
            <w:tcW w:w="8855" w:type="dxa"/>
          </w:tcPr>
          <w:tbl>
            <w:tblPr>
              <w:tblStyle w:val="27"/>
              <w:tblpPr w:vertAnchor="page" w:horzAnchor="margin" w:tblpX="1" w:tblpY="341"/>
              <w:tblOverlap w:val="never"/>
              <w:tblW w:w="0" w:type="auto"/>
              <w:tblInd w:w="0" w:type="dxa"/>
              <w:tblBorders>
                <w:top w:val="none" w:color="auto" w:sz="0" w:space="0"/>
                <w:left w:val="none" w:color="auto" w:sz="0" w:space="0"/>
                <w:bottom w:val="none" w:color="auto" w:sz="0" w:space="0"/>
                <w:right w:val="none" w:color="auto" w:sz="0" w:space="0"/>
                <w:insideH w:val="single" w:color="auto" w:sz="4" w:space="0"/>
                <w:insideV w:val="single" w:color="auto" w:sz="4" w:space="0"/>
              </w:tblBorders>
              <w:tblLayout w:type="fixed"/>
              <w:tblCellMar>
                <w:top w:w="0" w:type="dxa"/>
                <w:left w:w="0" w:type="dxa"/>
                <w:bottom w:w="0" w:type="dxa"/>
                <w:right w:w="113" w:type="dxa"/>
              </w:tblCellMar>
            </w:tblPr>
            <w:tblGrid>
              <w:gridCol w:w="9242"/>
            </w:tblGrid>
            <w:tr w14:paraId="45E2FC3C">
              <w:tblPrEx>
                <w:tblBorders>
                  <w:top w:val="none" w:color="auto" w:sz="0" w:space="0"/>
                  <w:left w:val="none" w:color="auto" w:sz="0" w:space="0"/>
                  <w:bottom w:val="none" w:color="auto" w:sz="0" w:space="0"/>
                  <w:right w:val="none" w:color="auto" w:sz="0" w:space="0"/>
                  <w:insideH w:val="single" w:color="auto" w:sz="4" w:space="0"/>
                  <w:insideV w:val="single" w:color="auto" w:sz="4" w:space="0"/>
                </w:tblBorders>
                <w:tblCellMar>
                  <w:top w:w="0" w:type="dxa"/>
                  <w:left w:w="0" w:type="dxa"/>
                  <w:bottom w:w="0" w:type="dxa"/>
                  <w:right w:w="113" w:type="dxa"/>
                </w:tblCellMar>
              </w:tblPrEx>
              <w:trPr>
                <w:trHeight w:val="1021" w:hRule="exact"/>
              </w:trPr>
              <w:tc>
                <w:tcPr>
                  <w:tcW w:w="9242" w:type="dxa"/>
                  <w:vAlign w:val="center"/>
                </w:tcPr>
                <w:p w14:paraId="5B722ADB">
                  <w:pPr>
                    <w:pStyle w:val="49"/>
                    <w:framePr w:wrap="notBeside" w:vAnchor="page" w:hAnchor="page" w:x="1372" w:y="568"/>
                    <w:ind w:left="420" w:right="624"/>
                    <w:rPr>
                      <w:rFonts w:hint="eastAsia" w:ascii="宋体" w:hAnsi="宋体"/>
                      <w:color w:val="auto"/>
                      <w:sz w:val="28"/>
                      <w:szCs w:val="28"/>
                    </w:rPr>
                  </w:pPr>
                  <w:r>
                    <w:rPr>
                      <w:color w:val="auto"/>
                    </w:rPr>
                    <w:drawing>
                      <wp:inline distT="0" distB="0" distL="0" distR="0">
                        <wp:extent cx="414655" cy="43053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D:\000000部门项目\09标准化插件开发\程序源代码\StandardEditor_ShanDongKeXieYuan\团标首页面字母T.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a:xfrm>
                                  <a:off x="0" y="0"/>
                                  <a:ext cx="414720" cy="430560"/>
                                </a:xfrm>
                                <a:prstGeom prst="rect">
                                  <a:avLst/>
                                </a:prstGeom>
                                <a:noFill/>
                                <a:ln>
                                  <a:noFill/>
                                </a:ln>
                              </pic:spPr>
                            </pic:pic>
                          </a:graphicData>
                        </a:graphic>
                      </wp:inline>
                    </w:drawing>
                  </w:r>
                  <w:r>
                    <w:rPr>
                      <w:color w:val="auto"/>
                    </w:rPr>
                    <w:drawing>
                      <wp:inline distT="0" distB="0" distL="0" distR="0">
                        <wp:extent cx="170815" cy="436245"/>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D:\000000部门项目\09标准化插件开发\程序源代码\StandardEditor_ShanDongKeXieYuan\团标首页面字母T后面的反斜杠.pn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a:xfrm>
                                  <a:off x="0" y="0"/>
                                  <a:ext cx="204571" cy="522509"/>
                                </a:xfrm>
                                <a:prstGeom prst="rect">
                                  <a:avLst/>
                                </a:prstGeom>
                                <a:noFill/>
                                <a:ln>
                                  <a:noFill/>
                                </a:ln>
                              </pic:spPr>
                            </pic:pic>
                          </a:graphicData>
                        </a:graphic>
                      </wp:inline>
                    </w:drawing>
                  </w:r>
                  <w:r>
                    <w:rPr>
                      <w:color w:val="auto"/>
                      <w:sz w:val="21"/>
                      <w:szCs w:val="21"/>
                    </w:rPr>
                    <w:t xml:space="preserve"> </w:t>
                  </w:r>
                  <w:r>
                    <w:rPr>
                      <w:color w:val="auto"/>
                    </w:rPr>
                    <w:fldChar w:fldCharType="begin">
                      <w:ffData>
                        <w:name w:val="c1"/>
                        <w:enabled/>
                        <w:calcOnExit w:val="0"/>
                        <w:textInput>
                          <w:maxLength w:val="7"/>
                        </w:textInput>
                      </w:ffData>
                    </w:fldChar>
                  </w:r>
                  <w:bookmarkStart w:id="1" w:name="c1"/>
                  <w:r>
                    <w:rPr>
                      <w:color w:val="auto"/>
                    </w:rPr>
                    <w:instrText xml:space="preserve"> FORMTEXT </w:instrText>
                  </w:r>
                  <w:r>
                    <w:rPr>
                      <w:color w:val="auto"/>
                    </w:rPr>
                    <w:fldChar w:fldCharType="separate"/>
                  </w:r>
                  <w:r>
                    <w:rPr>
                      <w:color w:val="auto"/>
                    </w:rPr>
                    <w:t>QAS</w:t>
                  </w:r>
                  <w:r>
                    <w:rPr>
                      <w:color w:val="auto"/>
                    </w:rPr>
                    <w:fldChar w:fldCharType="end"/>
                  </w:r>
                  <w:bookmarkEnd w:id="1"/>
                </w:p>
              </w:tc>
            </w:tr>
          </w:tbl>
          <w:p w14:paraId="2FF35A1F">
            <w:pPr>
              <w:pStyle w:val="18"/>
              <w:framePr w:wrap="notBeside" w:vAnchor="page" w:hAnchor="page" w:x="1372" w:y="568"/>
              <w:tabs>
                <w:tab w:val="clear" w:pos="4153"/>
                <w:tab w:val="clear" w:pos="8306"/>
              </w:tabs>
              <w:spacing w:before="40" w:line="240" w:lineRule="auto"/>
              <w:jc w:val="left"/>
              <w:rPr>
                <w:rFonts w:hint="eastAsia" w:ascii="黑体" w:hAnsi="黑体" w:eastAsia="黑体"/>
                <w:color w:val="auto"/>
                <w:sz w:val="21"/>
                <w:szCs w:val="21"/>
              </w:rPr>
            </w:pPr>
            <w:r>
              <w:rPr>
                <w:rFonts w:ascii="黑体" w:hAnsi="黑体" w:eastAsia="黑体"/>
                <w:color w:val="auto"/>
                <w:sz w:val="21"/>
                <w:szCs w:val="21"/>
              </w:rPr>
              <w:fldChar w:fldCharType="begin">
                <w:ffData>
                  <w:name w:val="CSDN"/>
                  <w:enabled/>
                  <w:calcOnExit w:val="0"/>
                  <w:textInput>
                    <w:default w:val="点击此处添加CCS号"/>
                  </w:textInput>
                </w:ffData>
              </w:fldChar>
            </w:r>
            <w:bookmarkStart w:id="2" w:name="CSDN"/>
            <w:r>
              <w:rPr>
                <w:rFonts w:ascii="黑体" w:hAnsi="黑体" w:eastAsia="黑体"/>
                <w:color w:val="auto"/>
                <w:sz w:val="21"/>
                <w:szCs w:val="21"/>
              </w:rPr>
              <w:instrText xml:space="preserve"> FORMTEXT </w:instrText>
            </w:r>
            <w:r>
              <w:rPr>
                <w:rFonts w:ascii="黑体" w:hAnsi="黑体" w:eastAsia="黑体"/>
                <w:color w:val="auto"/>
                <w:sz w:val="21"/>
                <w:szCs w:val="21"/>
              </w:rPr>
              <w:fldChar w:fldCharType="separate"/>
            </w:r>
            <w:r>
              <w:rPr>
                <w:rFonts w:ascii="黑体" w:hAnsi="黑体" w:eastAsia="黑体"/>
                <w:color w:val="auto"/>
                <w:sz w:val="21"/>
                <w:szCs w:val="21"/>
              </w:rPr>
              <w:t>G 10</w:t>
            </w:r>
            <w:r>
              <w:rPr>
                <w:rFonts w:ascii="黑体" w:hAnsi="黑体" w:eastAsia="黑体"/>
                <w:color w:val="auto"/>
                <w:sz w:val="21"/>
                <w:szCs w:val="21"/>
              </w:rPr>
              <w:fldChar w:fldCharType="end"/>
            </w:r>
            <w:bookmarkEnd w:id="2"/>
          </w:p>
        </w:tc>
      </w:tr>
    </w:tbl>
    <w:p w14:paraId="7D2B96BD">
      <w:pPr>
        <w:pStyle w:val="50"/>
        <w:framePr w:w="9639" w:h="624" w:hRule="exact" w:hSpace="181" w:vSpace="181" w:wrap="around" w:hAnchor="page" w:x="1305" w:y="2269"/>
        <w:rPr>
          <w:rFonts w:hint="eastAsia" w:ascii="黑体" w:hAnsi="黑体" w:eastAsia="黑体"/>
          <w:b w:val="0"/>
          <w:bCs w:val="0"/>
          <w:color w:val="auto"/>
          <w:w w:val="100"/>
          <w:sz w:val="48"/>
          <w:szCs w:val="48"/>
        </w:rPr>
      </w:pPr>
      <w:bookmarkStart w:id="3" w:name="_Hlk26473981"/>
      <w:r>
        <w:rPr>
          <w:rFonts w:ascii="黑体" w:eastAsia="黑体"/>
          <w:b w:val="0"/>
          <w:color w:val="auto"/>
          <w:w w:val="100"/>
          <w:sz w:val="48"/>
        </w:rPr>
        <w:fldChar w:fldCharType="begin">
          <w:ffData>
            <w:name w:val="c2"/>
            <w:enabled/>
            <w:calcOnExit w:val="0"/>
            <w:textInput/>
          </w:ffData>
        </w:fldChar>
      </w:r>
      <w:bookmarkStart w:id="4" w:name="c2"/>
      <w:r>
        <w:rPr>
          <w:rFonts w:ascii="黑体" w:eastAsia="黑体"/>
          <w:b w:val="0"/>
          <w:color w:val="auto"/>
          <w:w w:val="100"/>
          <w:sz w:val="48"/>
        </w:rPr>
        <w:instrText xml:space="preserve"> FORMTEXT </w:instrText>
      </w:r>
      <w:r>
        <w:rPr>
          <w:rFonts w:ascii="黑体" w:eastAsia="黑体"/>
          <w:b w:val="0"/>
          <w:color w:val="auto"/>
          <w:w w:val="100"/>
          <w:sz w:val="48"/>
        </w:rPr>
        <w:fldChar w:fldCharType="separate"/>
      </w:r>
      <w:r>
        <w:rPr>
          <w:rFonts w:hint="eastAsia" w:ascii="黑体" w:eastAsia="黑体"/>
          <w:b w:val="0"/>
          <w:color w:val="auto"/>
          <w:w w:val="100"/>
          <w:sz w:val="48"/>
        </w:rPr>
        <w:t xml:space="preserve"> </w:t>
      </w:r>
      <w:r>
        <w:rPr>
          <w:rFonts w:ascii="黑体" w:eastAsia="黑体"/>
          <w:b w:val="0"/>
          <w:color w:val="auto"/>
          <w:w w:val="100"/>
          <w:sz w:val="48"/>
        </w:rPr>
        <w:fldChar w:fldCharType="end"/>
      </w:r>
      <w:bookmarkEnd w:id="4"/>
      <w:r>
        <w:rPr>
          <w:rFonts w:hint="eastAsia" w:ascii="黑体" w:eastAsia="黑体"/>
          <w:b w:val="0"/>
          <w:color w:val="auto"/>
          <w:w w:val="100"/>
          <w:sz w:val="48"/>
        </w:rPr>
        <w:t>团体</w:t>
      </w:r>
      <w:r>
        <w:rPr>
          <w:rFonts w:hint="eastAsia" w:ascii="黑体" w:hAnsi="黑体" w:eastAsia="黑体"/>
          <w:b w:val="0"/>
          <w:bCs w:val="0"/>
          <w:color w:val="auto"/>
          <w:w w:val="100"/>
          <w:sz w:val="48"/>
          <w:szCs w:val="48"/>
        </w:rPr>
        <w:t>标准</w:t>
      </w:r>
    </w:p>
    <w:bookmarkEnd w:id="3"/>
    <w:p w14:paraId="0C42BC09">
      <w:pPr>
        <w:pStyle w:val="195"/>
        <w:framePr/>
        <w:rPr>
          <w:color w:val="auto"/>
        </w:rPr>
      </w:pPr>
      <w:r>
        <w:rPr>
          <w:color w:val="auto"/>
        </w:rPr>
        <w:t>T/</w:t>
      </w:r>
      <w:r>
        <w:rPr>
          <w:color w:val="auto"/>
        </w:rPr>
        <w:fldChar w:fldCharType="begin">
          <w:ffData>
            <w:name w:val="文字1"/>
            <w:enabled/>
            <w:calcOnExit w:val="0"/>
            <w:textInput>
              <w:default w:val="XXX"/>
            </w:textInput>
          </w:ffData>
        </w:fldChar>
      </w:r>
      <w:bookmarkStart w:id="5" w:name="文字1"/>
      <w:r>
        <w:rPr>
          <w:color w:val="auto"/>
        </w:rPr>
        <w:instrText xml:space="preserve"> FORMTEXT </w:instrText>
      </w:r>
      <w:r>
        <w:rPr>
          <w:color w:val="auto"/>
        </w:rPr>
        <w:fldChar w:fldCharType="separate"/>
      </w:r>
      <w:r>
        <w:rPr>
          <w:rFonts w:hint="eastAsia"/>
          <w:color w:val="auto"/>
        </w:rPr>
        <w:t>QAS</w:t>
      </w:r>
      <w:r>
        <w:rPr>
          <w:color w:val="auto"/>
        </w:rPr>
        <w:fldChar w:fldCharType="end"/>
      </w:r>
      <w:bookmarkEnd w:id="5"/>
      <w:r>
        <w:rPr>
          <w:color w:val="auto"/>
        </w:rPr>
        <w:t xml:space="preserve"> </w:t>
      </w:r>
      <w:r>
        <w:rPr>
          <w:color w:val="auto"/>
        </w:rPr>
        <w:fldChar w:fldCharType="begin">
          <w:ffData>
            <w:name w:val="NSTD_CODE_F"/>
            <w:enabled/>
            <w:calcOnExit w:val="0"/>
            <w:textInput>
              <w:default w:val="XXXX"/>
            </w:textInput>
          </w:ffData>
        </w:fldChar>
      </w:r>
      <w:bookmarkStart w:id="6" w:name="NSTD_CODE_F"/>
      <w:r>
        <w:rPr>
          <w:color w:val="auto"/>
        </w:rPr>
        <w:instrText xml:space="preserve"> FORMTEXT </w:instrText>
      </w:r>
      <w:r>
        <w:rPr>
          <w:color w:val="auto"/>
        </w:rPr>
        <w:fldChar w:fldCharType="separate"/>
      </w:r>
      <w:r>
        <w:rPr>
          <w:color w:val="auto"/>
        </w:rPr>
        <w:t>XXXX</w:t>
      </w:r>
      <w:r>
        <w:rPr>
          <w:color w:val="auto"/>
        </w:rPr>
        <w:fldChar w:fldCharType="end"/>
      </w:r>
      <w:bookmarkEnd w:id="6"/>
      <w:r>
        <w:rPr>
          <w:rFonts w:hAnsi="黑体"/>
          <w:color w:val="auto"/>
        </w:rPr>
        <w:t>—</w:t>
      </w:r>
      <w:r>
        <w:rPr>
          <w:color w:val="auto"/>
        </w:rPr>
        <w:fldChar w:fldCharType="begin">
          <w:ffData>
            <w:name w:val="NSTD_CODE_B"/>
            <w:enabled/>
            <w:calcOnExit w:val="0"/>
            <w:textInput>
              <w:default w:val="XXXX"/>
            </w:textInput>
          </w:ffData>
        </w:fldChar>
      </w:r>
      <w:bookmarkStart w:id="7" w:name="NSTD_CODE_B"/>
      <w:r>
        <w:rPr>
          <w:color w:val="auto"/>
        </w:rPr>
        <w:instrText xml:space="preserve"> FORMTEXT </w:instrText>
      </w:r>
      <w:r>
        <w:rPr>
          <w:color w:val="auto"/>
        </w:rPr>
        <w:fldChar w:fldCharType="separate"/>
      </w:r>
      <w:r>
        <w:rPr>
          <w:color w:val="auto"/>
        </w:rPr>
        <w:t>XXXX</w:t>
      </w:r>
      <w:r>
        <w:rPr>
          <w:color w:val="auto"/>
        </w:rPr>
        <w:fldChar w:fldCharType="end"/>
      </w:r>
      <w:bookmarkEnd w:id="7"/>
    </w:p>
    <w:p w14:paraId="773463FB">
      <w:pPr>
        <w:pStyle w:val="196"/>
        <w:framePr/>
        <w:rPr>
          <w:rFonts w:hint="eastAsia" w:hAnsi="黑体"/>
          <w:color w:val="auto"/>
        </w:rPr>
      </w:pPr>
      <w:r>
        <w:rPr>
          <w:rFonts w:hAnsi="黑体"/>
          <w:color w:val="auto"/>
        </w:rPr>
        <w:fldChar w:fldCharType="begin">
          <w:ffData>
            <w:name w:val="OSTD_CODE"/>
            <w:enabled/>
            <w:calcOnExit w:val="0"/>
            <w:textInput/>
          </w:ffData>
        </w:fldChar>
      </w:r>
      <w:bookmarkStart w:id="8" w:name="OSTD_CODE"/>
      <w:r>
        <w:rPr>
          <w:rFonts w:hAnsi="黑体"/>
          <w:color w:val="auto"/>
        </w:rPr>
        <w:instrText xml:space="preserve"> FORMTEXT </w:instrText>
      </w:r>
      <w:r>
        <w:rPr>
          <w:rFonts w:hAnsi="黑体"/>
          <w:color w:val="auto"/>
        </w:rPr>
        <w:fldChar w:fldCharType="separate"/>
      </w:r>
      <w:r>
        <w:rPr>
          <w:rFonts w:hAnsi="黑体"/>
          <w:color w:val="auto"/>
        </w:rPr>
        <w:t>     </w:t>
      </w:r>
      <w:r>
        <w:rPr>
          <w:rFonts w:hAnsi="黑体"/>
          <w:color w:val="auto"/>
        </w:rPr>
        <w:fldChar w:fldCharType="end"/>
      </w:r>
      <w:bookmarkEnd w:id="8"/>
    </w:p>
    <w:p w14:paraId="2FEC95A9">
      <w:pPr>
        <w:spacing w:line="240" w:lineRule="auto"/>
        <w:rPr>
          <w:rFonts w:hint="eastAsia" w:ascii="黑体" w:hAnsi="黑体" w:eastAsia="黑体"/>
          <w:color w:val="auto"/>
          <w:kern w:val="0"/>
          <w:sz w:val="10"/>
          <w:szCs w:val="10"/>
        </w:rPr>
      </w:pPr>
      <w:r>
        <w:rPr>
          <w:rFonts w:ascii="黑体" w:hAnsi="黑体" w:eastAsia="黑体"/>
          <w:color w:val="auto"/>
          <w:kern w:val="0"/>
          <w:sz w:val="10"/>
          <w:szCs w:val="10"/>
        </w:rPr>
        <mc:AlternateContent>
          <mc:Choice Requires="wps">
            <w:drawing>
              <wp:anchor distT="0" distB="0" distL="114300" distR="114300" simplePos="0" relativeHeight="251659264" behindDoc="0" locked="0" layoutInCell="1" allowOverlap="0">
                <wp:simplePos x="0" y="0"/>
                <wp:positionH relativeFrom="page">
                  <wp:posOffset>900430</wp:posOffset>
                </wp:positionH>
                <wp:positionV relativeFrom="page">
                  <wp:posOffset>2700655</wp:posOffset>
                </wp:positionV>
                <wp:extent cx="6120130" cy="0"/>
                <wp:effectExtent l="0" t="0" r="0" b="0"/>
                <wp:wrapNone/>
                <wp:docPr id="73" name="直接连接符 73"/>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9pt;margin-top:212.65pt;height:0pt;width:481.9pt;mso-position-horizontal-relative:page;mso-position-vertical-relative:page;z-index:251659264;mso-width-relative:page;mso-height-relative:page;" filled="f" stroked="t" coordsize="21600,21600" o:allowoverlap="f" o:gfxdata="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ng0mW2AAA&#10;AAwBAAAPAAAAAAAAAAEAIAAAACIAAABkcnMvZG93bnJldi54bWxQSwECFAAUAAAACACHTuJAu+DK&#10;ZuUBAACsAwAADgAAAAAAAAABACAAAAAnAQAAZHJzL2Uyb0RvYy54bWxQSwUGAAAAAAYABgBZAQAA&#10;fgUAAAAA&#10;">
                <v:fill on="f" focussize="0,0"/>
                <v:stroke color="#000000" joinstyle="round"/>
                <v:imagedata o:title=""/>
                <o:lock v:ext="edit" aspectratio="f"/>
              </v:line>
            </w:pict>
          </mc:Fallback>
        </mc:AlternateContent>
      </w:r>
    </w:p>
    <w:p w14:paraId="22364971">
      <w:pPr>
        <w:pStyle w:val="50"/>
        <w:framePr w:w="9639" w:h="6976" w:hRule="exact" w:hSpace="0" w:vSpace="0" w:wrap="around" w:hAnchor="page" w:y="6408"/>
        <w:jc w:val="center"/>
        <w:rPr>
          <w:rFonts w:hint="eastAsia" w:ascii="黑体" w:hAnsi="黑体" w:eastAsia="黑体"/>
          <w:b w:val="0"/>
          <w:bCs w:val="0"/>
          <w:color w:val="auto"/>
          <w:w w:val="100"/>
        </w:rPr>
      </w:pPr>
    </w:p>
    <w:p w14:paraId="17AC2DC0">
      <w:pPr>
        <w:pStyle w:val="197"/>
        <w:framePr w:h="6974" w:hRule="exact" w:wrap="around" w:x="1419" w:anchorLock="1"/>
        <w:rPr>
          <w:rFonts w:hint="eastAsia"/>
          <w:color w:val="auto"/>
        </w:rPr>
      </w:pPr>
      <w:r>
        <w:rPr>
          <w:rFonts w:hint="eastAsia"/>
          <w:color w:val="auto"/>
        </w:rPr>
        <w:t>卤水和盐中总碘和总磷酸盐的测定 电感耦合等离子体发射光谱法</w:t>
      </w:r>
    </w:p>
    <w:p w14:paraId="4363CCFB">
      <w:pPr>
        <w:framePr w:w="9639" w:h="6974" w:hRule="exact" w:wrap="around" w:vAnchor="page" w:hAnchor="page" w:x="1419" w:y="6408" w:anchorLock="1"/>
        <w:ind w:left="-1418"/>
        <w:rPr>
          <w:color w:val="auto"/>
        </w:rPr>
      </w:pPr>
    </w:p>
    <w:p w14:paraId="66BB95CB">
      <w:pPr>
        <w:pStyle w:val="125"/>
        <w:framePr w:w="9639" w:h="6974" w:hRule="exact" w:wrap="around" w:vAnchor="page" w:hAnchor="page" w:x="1419" w:y="6408" w:anchorLock="1"/>
        <w:textAlignment w:val="bottom"/>
        <w:rPr>
          <w:rFonts w:eastAsia="黑体"/>
          <w:color w:val="auto"/>
          <w:szCs w:val="28"/>
        </w:rPr>
      </w:pPr>
      <w:r>
        <w:rPr>
          <w:rFonts w:eastAsia="黑体"/>
          <w:color w:val="auto"/>
          <w:szCs w:val="28"/>
        </w:rPr>
        <w:fldChar w:fldCharType="begin">
          <w:ffData>
            <w:name w:val="ESTD_NAME"/>
            <w:enabled/>
            <w:calcOnExit w:val="0"/>
            <w:textInput>
              <w:default w:val="点击此处添加标准名称的英文译名"/>
            </w:textInput>
          </w:ffData>
        </w:fldChar>
      </w:r>
      <w:bookmarkStart w:id="9" w:name="ESTD_NAME"/>
      <w:r>
        <w:rPr>
          <w:rFonts w:eastAsia="黑体"/>
          <w:color w:val="auto"/>
          <w:szCs w:val="28"/>
        </w:rPr>
        <w:instrText xml:space="preserve"> FORMTEXT </w:instrText>
      </w:r>
      <w:r>
        <w:rPr>
          <w:rFonts w:eastAsia="黑体"/>
          <w:color w:val="auto"/>
          <w:szCs w:val="28"/>
        </w:rPr>
        <w:fldChar w:fldCharType="separate"/>
      </w:r>
      <w:r>
        <w:rPr>
          <w:rFonts w:eastAsia="黑体"/>
          <w:color w:val="auto"/>
          <w:szCs w:val="28"/>
        </w:rPr>
        <w:t xml:space="preserve">Determination of iodine and </w:t>
      </w:r>
      <w:r>
        <w:rPr>
          <w:rFonts w:hint="eastAsia" w:eastAsia="黑体"/>
          <w:color w:val="auto"/>
          <w:szCs w:val="28"/>
        </w:rPr>
        <w:t>p</w:t>
      </w:r>
      <w:r>
        <w:rPr>
          <w:rFonts w:eastAsia="黑体"/>
          <w:color w:val="auto"/>
          <w:szCs w:val="28"/>
        </w:rPr>
        <w:t>hosphate in brine and salt, Inductively coupled plasma emission spectrometric method</w:t>
      </w:r>
      <w:r>
        <w:rPr>
          <w:rFonts w:eastAsia="黑体"/>
          <w:color w:val="auto"/>
          <w:szCs w:val="28"/>
        </w:rPr>
        <w:fldChar w:fldCharType="end"/>
      </w:r>
      <w:bookmarkEnd w:id="9"/>
    </w:p>
    <w:p w14:paraId="456E7A11">
      <w:pPr>
        <w:framePr w:w="9639" w:h="6974" w:hRule="exact" w:wrap="around" w:vAnchor="page" w:hAnchor="page" w:x="1419" w:y="6408" w:anchorLock="1"/>
        <w:spacing w:line="760" w:lineRule="exact"/>
        <w:ind w:left="-1418"/>
        <w:rPr>
          <w:color w:val="auto"/>
        </w:rPr>
      </w:pPr>
    </w:p>
    <w:p w14:paraId="3A4DB88A">
      <w:pPr>
        <w:pStyle w:val="125"/>
        <w:framePr w:w="9639" w:h="6974" w:hRule="exact" w:wrap="around" w:vAnchor="page" w:hAnchor="page" w:x="1419" w:y="6408" w:anchorLock="1"/>
        <w:textAlignment w:val="bottom"/>
        <w:rPr>
          <w:rFonts w:eastAsia="黑体"/>
          <w:color w:val="auto"/>
          <w:szCs w:val="28"/>
        </w:rPr>
      </w:pPr>
    </w:p>
    <w:p w14:paraId="52AD6238">
      <w:pPr>
        <w:pStyle w:val="125"/>
        <w:framePr w:w="9639" w:h="6974" w:hRule="exact" w:wrap="around" w:vAnchor="page" w:hAnchor="page" w:x="1419" w:y="6408" w:anchorLock="1"/>
        <w:spacing w:before="440" w:after="160"/>
        <w:textAlignment w:val="bottom"/>
        <w:rPr>
          <w:color w:val="auto"/>
          <w:sz w:val="24"/>
          <w:szCs w:val="28"/>
        </w:rPr>
      </w:pPr>
      <w:bookmarkStart w:id="10" w:name="下拉1"/>
      <w:r>
        <w:rPr>
          <w:rFonts w:hint="eastAsia" w:cs="Times New Roman"/>
          <w:color w:val="auto"/>
          <w:sz w:val="24"/>
          <w:szCs w:val="28"/>
          <w:lang w:val="en-US" w:eastAsia="zh-CN" w:bidi="ar-SA"/>
        </w:rPr>
        <w:t>征求意见稿</w:t>
      </w:r>
      <w:r>
        <w:rPr>
          <w:rFonts w:ascii="Times New Roman" w:hAnsi="Times New Roman" w:eastAsia="宋体" w:cs="Times New Roman"/>
          <w:color w:val="auto"/>
          <w:sz w:val="24"/>
          <w:szCs w:val="28"/>
          <w:lang w:val="en-US" w:eastAsia="zh-CN" w:bidi="ar-SA"/>
        </w:rPr>
        <w:fldChar w:fldCharType="begin">
          <w:ffData>
            <w:name w:val="下拉1"/>
            <w:enabled/>
            <w:calcOnExit w:val="0"/>
            <w:ddList>
              <w:listEntry w:val=" "/>
              <w:listEntry w:val="草案版次选择"/>
              <w:listEntry w:val="（工作组讨论稿）"/>
              <w:listEntry w:val="（征求意见稿）"/>
              <w:listEntry w:val="（送审讨论稿）"/>
              <w:listEntry w:val="（送审稿）"/>
              <w:listEntry w:val="（报批稿）"/>
            </w:ddList>
          </w:ffData>
        </w:fldChar>
      </w:r>
      <w:r>
        <w:rPr>
          <w:rFonts w:ascii="Times New Roman" w:hAnsi="Times New Roman" w:eastAsia="宋体" w:cs="Times New Roman"/>
          <w:color w:val="auto"/>
          <w:sz w:val="24"/>
          <w:szCs w:val="28"/>
          <w:lang w:val="en-US" w:eastAsia="zh-CN" w:bidi="ar-SA"/>
        </w:rPr>
        <w:instrText xml:space="preserve">FORMDROPDOWN</w:instrText>
      </w:r>
      <w:r>
        <w:rPr>
          <w:rFonts w:ascii="Times New Roman" w:hAnsi="Times New Roman" w:eastAsia="宋体" w:cs="Times New Roman"/>
          <w:color w:val="auto"/>
          <w:sz w:val="24"/>
          <w:szCs w:val="28"/>
          <w:lang w:val="en-US" w:eastAsia="zh-CN" w:bidi="ar-SA"/>
        </w:rPr>
        <w:fldChar w:fldCharType="separate"/>
      </w:r>
      <w:r>
        <w:rPr>
          <w:rFonts w:ascii="Times New Roman" w:hAnsi="Times New Roman" w:eastAsia="宋体" w:cs="Times New Roman"/>
          <w:color w:val="auto"/>
          <w:sz w:val="24"/>
          <w:szCs w:val="28"/>
          <w:lang w:val="en-US" w:eastAsia="zh-CN" w:bidi="ar-SA"/>
        </w:rPr>
        <w:fldChar w:fldCharType="end"/>
      </w:r>
      <w:bookmarkEnd w:id="10"/>
    </w:p>
    <w:p w14:paraId="609DE13F">
      <w:pPr>
        <w:pStyle w:val="125"/>
        <w:framePr w:w="9639" w:h="6974" w:hRule="exact" w:wrap="around" w:vAnchor="page" w:hAnchor="page" w:x="1419" w:y="6408" w:anchorLock="1"/>
        <w:spacing w:before="180" w:line="240" w:lineRule="atLeast"/>
        <w:textAlignment w:val="bottom"/>
        <w:rPr>
          <w:color w:val="auto"/>
          <w:sz w:val="21"/>
          <w:szCs w:val="28"/>
        </w:rPr>
      </w:pPr>
      <w:r>
        <w:rPr>
          <w:color w:val="auto"/>
          <w:sz w:val="21"/>
          <w:szCs w:val="28"/>
        </w:rPr>
        <w:fldChar w:fldCharType="begin">
          <w:ffData>
            <w:name w:val="CMPLSH_DATE"/>
            <w:enabled/>
            <w:calcOnExit w:val="0"/>
            <w:textInput/>
          </w:ffData>
        </w:fldChar>
      </w:r>
      <w:bookmarkStart w:id="11" w:name="CMPLSH_DATE"/>
      <w:r>
        <w:rPr>
          <w:color w:val="auto"/>
          <w:sz w:val="21"/>
          <w:szCs w:val="28"/>
        </w:rPr>
        <w:instrText xml:space="preserve"> FORMTEXT </w:instrText>
      </w:r>
      <w:r>
        <w:rPr>
          <w:color w:val="auto"/>
          <w:sz w:val="21"/>
          <w:szCs w:val="28"/>
        </w:rPr>
        <w:fldChar w:fldCharType="separate"/>
      </w:r>
      <w:r>
        <w:rPr>
          <w:color w:val="auto"/>
          <w:sz w:val="21"/>
          <w:szCs w:val="28"/>
        </w:rPr>
        <w:t>     </w:t>
      </w:r>
      <w:r>
        <w:rPr>
          <w:color w:val="auto"/>
          <w:sz w:val="21"/>
          <w:szCs w:val="28"/>
        </w:rPr>
        <w:fldChar w:fldCharType="end"/>
      </w:r>
      <w:bookmarkEnd w:id="11"/>
    </w:p>
    <w:p w14:paraId="23D7251A">
      <w:pPr>
        <w:pStyle w:val="125"/>
        <w:framePr w:w="9639" w:h="6974" w:hRule="exact" w:wrap="around" w:vAnchor="page" w:hAnchor="page" w:x="1419" w:y="6408" w:anchorLock="1"/>
        <w:spacing w:before="720" w:beforeLines="300" w:after="72" w:afterLines="30" w:line="240" w:lineRule="auto"/>
        <w:textAlignment w:val="bottom"/>
        <w:rPr>
          <w:b/>
          <w:color w:val="auto"/>
          <w:sz w:val="21"/>
          <w:szCs w:val="28"/>
        </w:rPr>
      </w:pPr>
      <w:r>
        <w:rPr>
          <w:b/>
          <w:color w:val="auto"/>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2" w:name="下拉2"/>
      <w:r>
        <w:rPr>
          <w:b/>
          <w:color w:val="auto"/>
          <w:sz w:val="21"/>
          <w:szCs w:val="28"/>
        </w:rPr>
        <w:instrText xml:space="preserve"> FORMDROPDOWN </w:instrText>
      </w:r>
      <w:r>
        <w:rPr>
          <w:b/>
          <w:color w:val="auto"/>
          <w:sz w:val="21"/>
          <w:szCs w:val="28"/>
        </w:rPr>
        <w:fldChar w:fldCharType="separate"/>
      </w:r>
      <w:r>
        <w:rPr>
          <w:b/>
          <w:color w:val="auto"/>
          <w:sz w:val="21"/>
          <w:szCs w:val="28"/>
        </w:rPr>
        <w:fldChar w:fldCharType="end"/>
      </w:r>
      <w:bookmarkEnd w:id="12"/>
    </w:p>
    <w:p w14:paraId="0FB7098D">
      <w:pPr>
        <w:pStyle w:val="193"/>
        <w:framePr w:wrap="around" w:y="14176"/>
        <w:rPr>
          <w:color w:val="auto"/>
        </w:rPr>
      </w:pPr>
      <w:r>
        <w:rPr>
          <w:rFonts w:ascii="黑体"/>
          <w:color w:val="auto"/>
        </w:rPr>
        <w:fldChar w:fldCharType="begin">
          <w:ffData>
            <w:name w:val="PLSH_DATE_Y"/>
            <w:enabled/>
            <w:calcOnExit w:val="0"/>
            <w:textInput>
              <w:default w:val="XXXX"/>
              <w:maxLength w:val="4"/>
            </w:textInput>
          </w:ffData>
        </w:fldChar>
      </w:r>
      <w:bookmarkStart w:id="13" w:name="PLSH_DATE_Y"/>
      <w:r>
        <w:rPr>
          <w:rFonts w:ascii="黑体"/>
          <w:color w:val="auto"/>
        </w:rPr>
        <w:instrText xml:space="preserve"> FORMTEXT </w:instrText>
      </w:r>
      <w:r>
        <w:rPr>
          <w:rFonts w:ascii="黑体"/>
          <w:color w:val="auto"/>
        </w:rPr>
        <w:fldChar w:fldCharType="separate"/>
      </w:r>
      <w:r>
        <w:rPr>
          <w:rFonts w:ascii="黑体"/>
          <w:color w:val="auto"/>
        </w:rPr>
        <w:t>XXXX</w:t>
      </w:r>
      <w:r>
        <w:rPr>
          <w:rFonts w:ascii="黑体"/>
          <w:color w:val="auto"/>
        </w:rPr>
        <w:fldChar w:fldCharType="end"/>
      </w:r>
      <w:bookmarkEnd w:id="13"/>
      <w:r>
        <w:rPr>
          <w:color w:val="auto"/>
        </w:rPr>
        <w:t xml:space="preserve"> </w:t>
      </w:r>
      <w:r>
        <w:rPr>
          <w:rFonts w:ascii="黑体"/>
          <w:color w:val="auto"/>
        </w:rPr>
        <w:t>-</w:t>
      </w:r>
      <w:r>
        <w:rPr>
          <w:color w:val="auto"/>
        </w:rPr>
        <w:t xml:space="preserve"> </w:t>
      </w:r>
      <w:r>
        <w:rPr>
          <w:rFonts w:ascii="黑体"/>
          <w:color w:val="auto"/>
        </w:rPr>
        <w:fldChar w:fldCharType="begin">
          <w:ffData>
            <w:name w:val="PLSH_DATE_M"/>
            <w:enabled/>
            <w:calcOnExit w:val="0"/>
            <w:textInput>
              <w:default w:val="XX"/>
              <w:maxLength w:val="2"/>
            </w:textInput>
          </w:ffData>
        </w:fldChar>
      </w:r>
      <w:bookmarkStart w:id="14" w:name="PLSH_DATE_M"/>
      <w:r>
        <w:rPr>
          <w:rFonts w:ascii="黑体"/>
          <w:color w:val="auto"/>
        </w:rPr>
        <w:instrText xml:space="preserve"> FORMTEXT </w:instrText>
      </w:r>
      <w:r>
        <w:rPr>
          <w:rFonts w:ascii="黑体"/>
          <w:color w:val="auto"/>
        </w:rPr>
        <w:fldChar w:fldCharType="separate"/>
      </w:r>
      <w:r>
        <w:rPr>
          <w:rFonts w:ascii="黑体"/>
          <w:color w:val="auto"/>
        </w:rPr>
        <w:t>XX</w:t>
      </w:r>
      <w:r>
        <w:rPr>
          <w:rFonts w:ascii="黑体"/>
          <w:color w:val="auto"/>
        </w:rPr>
        <w:fldChar w:fldCharType="end"/>
      </w:r>
      <w:bookmarkEnd w:id="14"/>
      <w:r>
        <w:rPr>
          <w:color w:val="auto"/>
        </w:rPr>
        <w:t xml:space="preserve"> </w:t>
      </w:r>
      <w:r>
        <w:rPr>
          <w:rFonts w:ascii="黑体"/>
          <w:color w:val="auto"/>
        </w:rPr>
        <w:t>-</w:t>
      </w:r>
      <w:r>
        <w:rPr>
          <w:color w:val="auto"/>
        </w:rPr>
        <w:t xml:space="preserve"> </w:t>
      </w:r>
      <w:r>
        <w:rPr>
          <w:rFonts w:ascii="黑体"/>
          <w:color w:val="auto"/>
        </w:rPr>
        <w:fldChar w:fldCharType="begin">
          <w:ffData>
            <w:name w:val="PLSH_DATE_D"/>
            <w:enabled/>
            <w:calcOnExit w:val="0"/>
            <w:textInput>
              <w:default w:val="XX"/>
              <w:maxLength w:val="2"/>
            </w:textInput>
          </w:ffData>
        </w:fldChar>
      </w:r>
      <w:bookmarkStart w:id="15" w:name="PLSH_DATE_D"/>
      <w:r>
        <w:rPr>
          <w:rFonts w:ascii="黑体"/>
          <w:color w:val="auto"/>
        </w:rPr>
        <w:instrText xml:space="preserve"> FORMTEXT </w:instrText>
      </w:r>
      <w:r>
        <w:rPr>
          <w:rFonts w:ascii="黑体"/>
          <w:color w:val="auto"/>
        </w:rPr>
        <w:fldChar w:fldCharType="separate"/>
      </w:r>
      <w:r>
        <w:rPr>
          <w:rFonts w:ascii="黑体"/>
          <w:color w:val="auto"/>
        </w:rPr>
        <w:t>XX</w:t>
      </w:r>
      <w:r>
        <w:rPr>
          <w:rFonts w:ascii="黑体"/>
          <w:color w:val="auto"/>
        </w:rPr>
        <w:fldChar w:fldCharType="end"/>
      </w:r>
      <w:bookmarkEnd w:id="15"/>
      <w:r>
        <w:rPr>
          <w:rFonts w:hint="eastAsia"/>
          <w:color w:val="auto"/>
        </w:rPr>
        <w:t>发布</w:t>
      </w:r>
    </w:p>
    <w:p w14:paraId="7BF6150D">
      <w:pPr>
        <w:pStyle w:val="194"/>
        <w:framePr w:wrap="around" w:y="14176"/>
        <w:rPr>
          <w:color w:val="auto"/>
        </w:rPr>
      </w:pPr>
      <w:r>
        <w:rPr>
          <w:rFonts w:ascii="黑体"/>
          <w:color w:val="auto"/>
        </w:rPr>
        <w:fldChar w:fldCharType="begin">
          <w:ffData>
            <w:name w:val="CROT_DATE_Y"/>
            <w:enabled/>
            <w:calcOnExit w:val="0"/>
            <w:textInput>
              <w:default w:val="XXXX"/>
              <w:maxLength w:val="4"/>
            </w:textInput>
          </w:ffData>
        </w:fldChar>
      </w:r>
      <w:bookmarkStart w:id="16" w:name="CROT_DATE_Y"/>
      <w:r>
        <w:rPr>
          <w:rFonts w:ascii="黑体"/>
          <w:color w:val="auto"/>
        </w:rPr>
        <w:instrText xml:space="preserve"> FORMTEXT </w:instrText>
      </w:r>
      <w:r>
        <w:rPr>
          <w:rFonts w:ascii="黑体"/>
          <w:color w:val="auto"/>
        </w:rPr>
        <w:fldChar w:fldCharType="separate"/>
      </w:r>
      <w:r>
        <w:rPr>
          <w:rFonts w:ascii="黑体"/>
          <w:color w:val="auto"/>
        </w:rPr>
        <w:t>XXXX</w:t>
      </w:r>
      <w:r>
        <w:rPr>
          <w:rFonts w:ascii="黑体"/>
          <w:color w:val="auto"/>
        </w:rPr>
        <w:fldChar w:fldCharType="end"/>
      </w:r>
      <w:bookmarkEnd w:id="16"/>
      <w:r>
        <w:rPr>
          <w:color w:val="auto"/>
        </w:rPr>
        <w:t xml:space="preserve"> </w:t>
      </w:r>
      <w:r>
        <w:rPr>
          <w:rFonts w:ascii="黑体"/>
          <w:color w:val="auto"/>
        </w:rPr>
        <w:t>-</w:t>
      </w:r>
      <w:r>
        <w:rPr>
          <w:color w:val="auto"/>
        </w:rPr>
        <w:t xml:space="preserve"> </w:t>
      </w:r>
      <w:r>
        <w:rPr>
          <w:rFonts w:ascii="黑体"/>
          <w:color w:val="auto"/>
        </w:rPr>
        <w:fldChar w:fldCharType="begin">
          <w:ffData>
            <w:name w:val="CROT_DATE_M"/>
            <w:enabled/>
            <w:calcOnExit w:val="0"/>
            <w:textInput>
              <w:default w:val="XX"/>
              <w:maxLength w:val="2"/>
            </w:textInput>
          </w:ffData>
        </w:fldChar>
      </w:r>
      <w:bookmarkStart w:id="17" w:name="CROT_DATE_M"/>
      <w:r>
        <w:rPr>
          <w:rFonts w:ascii="黑体"/>
          <w:color w:val="auto"/>
        </w:rPr>
        <w:instrText xml:space="preserve"> FORMTEXT </w:instrText>
      </w:r>
      <w:r>
        <w:rPr>
          <w:rFonts w:ascii="黑体"/>
          <w:color w:val="auto"/>
        </w:rPr>
        <w:fldChar w:fldCharType="separate"/>
      </w:r>
      <w:r>
        <w:rPr>
          <w:rFonts w:ascii="黑体"/>
          <w:color w:val="auto"/>
        </w:rPr>
        <w:t>XX</w:t>
      </w:r>
      <w:r>
        <w:rPr>
          <w:rFonts w:ascii="黑体"/>
          <w:color w:val="auto"/>
        </w:rPr>
        <w:fldChar w:fldCharType="end"/>
      </w:r>
      <w:bookmarkEnd w:id="17"/>
      <w:r>
        <w:rPr>
          <w:color w:val="auto"/>
        </w:rPr>
        <w:t xml:space="preserve"> </w:t>
      </w:r>
      <w:r>
        <w:rPr>
          <w:rFonts w:ascii="黑体"/>
          <w:color w:val="auto"/>
        </w:rPr>
        <w:t>-</w:t>
      </w:r>
      <w:r>
        <w:rPr>
          <w:color w:val="auto"/>
        </w:rPr>
        <w:t xml:space="preserve"> </w:t>
      </w:r>
      <w:r>
        <w:rPr>
          <w:rFonts w:ascii="黑体"/>
          <w:color w:val="auto"/>
        </w:rPr>
        <w:fldChar w:fldCharType="begin">
          <w:ffData>
            <w:name w:val="CROT_DATE_D"/>
            <w:enabled/>
            <w:calcOnExit w:val="0"/>
            <w:textInput>
              <w:default w:val="XX"/>
              <w:maxLength w:val="2"/>
            </w:textInput>
          </w:ffData>
        </w:fldChar>
      </w:r>
      <w:bookmarkStart w:id="18" w:name="CROT_DATE_D"/>
      <w:r>
        <w:rPr>
          <w:rFonts w:ascii="黑体"/>
          <w:color w:val="auto"/>
        </w:rPr>
        <w:instrText xml:space="preserve"> FORMTEXT </w:instrText>
      </w:r>
      <w:r>
        <w:rPr>
          <w:rFonts w:ascii="黑体"/>
          <w:color w:val="auto"/>
        </w:rPr>
        <w:fldChar w:fldCharType="separate"/>
      </w:r>
      <w:r>
        <w:rPr>
          <w:rFonts w:ascii="黑体"/>
          <w:color w:val="auto"/>
        </w:rPr>
        <w:t>XX</w:t>
      </w:r>
      <w:r>
        <w:rPr>
          <w:rFonts w:ascii="黑体"/>
          <w:color w:val="auto"/>
        </w:rPr>
        <w:fldChar w:fldCharType="end"/>
      </w:r>
      <w:bookmarkEnd w:id="18"/>
      <w:r>
        <w:rPr>
          <w:rFonts w:hint="eastAsia"/>
          <w:color w:val="auto"/>
        </w:rPr>
        <w:t>实施</w:t>
      </w:r>
    </w:p>
    <w:p w14:paraId="2A9281B8">
      <w:pPr>
        <w:pStyle w:val="151"/>
        <w:framePr w:h="584" w:hRule="exact" w:hSpace="181" w:vSpace="181" w:wrap="around" w:y="14800"/>
        <w:rPr>
          <w:rFonts w:hint="eastAsia" w:hAnsi="黑体"/>
          <w:color w:val="auto"/>
        </w:rPr>
      </w:pPr>
      <w:r>
        <w:rPr>
          <w:rFonts w:hAnsi="黑体"/>
          <w:color w:val="auto"/>
          <w:w w:val="100"/>
          <w:sz w:val="28"/>
        </w:rPr>
        <w:fldChar w:fldCharType="begin">
          <w:ffData>
            <w:name w:val="fm"/>
            <w:enabled/>
            <w:calcOnExit w:val="0"/>
            <w:textInput/>
          </w:ffData>
        </w:fldChar>
      </w:r>
      <w:bookmarkStart w:id="19" w:name="fm"/>
      <w:r>
        <w:rPr>
          <w:rFonts w:hAnsi="黑体"/>
          <w:color w:val="auto"/>
          <w:w w:val="100"/>
          <w:sz w:val="28"/>
        </w:rPr>
        <w:instrText xml:space="preserve"> FORMTEXT </w:instrText>
      </w:r>
      <w:r>
        <w:rPr>
          <w:rFonts w:hAnsi="黑体"/>
          <w:color w:val="auto"/>
          <w:w w:val="100"/>
          <w:sz w:val="28"/>
        </w:rPr>
        <w:fldChar w:fldCharType="separate"/>
      </w:r>
      <w:r>
        <w:rPr>
          <w:rFonts w:hint="eastAsia" w:hAnsi="黑体"/>
          <w:color w:val="auto"/>
          <w:w w:val="100"/>
          <w:sz w:val="28"/>
        </w:rPr>
        <w:t>青海省标准化协会</w:t>
      </w:r>
      <w:r>
        <w:rPr>
          <w:rFonts w:hAnsi="黑体"/>
          <w:color w:val="auto"/>
          <w:w w:val="100"/>
          <w:sz w:val="28"/>
        </w:rPr>
        <w:fldChar w:fldCharType="end"/>
      </w:r>
      <w:bookmarkEnd w:id="19"/>
      <w:r>
        <w:rPr>
          <w:rFonts w:ascii="Times New Roman"/>
          <w:color w:val="auto"/>
          <w:w w:val="100"/>
          <w:sz w:val="28"/>
        </w:rPr>
        <w:t>  </w:t>
      </w:r>
      <w:r>
        <w:rPr>
          <w:rStyle w:val="229"/>
          <w:rFonts w:hint="eastAsia" w:hAnsi="黑体"/>
          <w:color w:val="auto"/>
          <w:position w:val="0"/>
        </w:rPr>
        <w:t>发</w:t>
      </w:r>
      <w:r>
        <w:rPr>
          <w:rStyle w:val="229"/>
          <w:rFonts w:hint="eastAsia" w:hAnsi="黑体"/>
          <w:color w:val="auto"/>
          <w:spacing w:val="0"/>
          <w:position w:val="0"/>
        </w:rPr>
        <w:t>布</w:t>
      </w:r>
    </w:p>
    <w:p w14:paraId="51873C32">
      <w:pPr>
        <w:rPr>
          <w:rFonts w:hint="eastAsia" w:ascii="宋体" w:hAnsi="宋体"/>
          <w:color w:val="auto"/>
          <w:sz w:val="28"/>
          <w:szCs w:val="28"/>
        </w:rPr>
        <w:sectPr>
          <w:headerReference r:id="rId6" w:type="first"/>
          <w:footerReference r:id="rId9" w:type="first"/>
          <w:headerReference r:id="rId5" w:type="default"/>
          <w:footerReference r:id="rId7" w:type="default"/>
          <w:footerReference r:id="rId8" w:type="even"/>
          <w:type w:val="continuous"/>
          <w:pgSz w:w="11906" w:h="16838"/>
          <w:pgMar w:top="567" w:right="1134" w:bottom="1134" w:left="1134" w:header="1418" w:footer="1134" w:gutter="284"/>
          <w:cols w:space="425" w:num="1"/>
          <w:titlePg/>
          <w:docGrid w:linePitch="312" w:charSpace="0"/>
        </w:sectPr>
      </w:pPr>
      <w:r>
        <w:rPr>
          <w:rFonts w:hint="eastAsia" w:ascii="宋体" w:hAnsi="宋体"/>
          <w:color w:val="auto"/>
          <w:sz w:val="28"/>
          <w:szCs w:val="28"/>
        </w:rPr>
        <mc:AlternateContent>
          <mc:Choice Requires="wps">
            <w:drawing>
              <wp:anchor distT="0" distB="0" distL="114300" distR="114300" simplePos="0" relativeHeight="251660288" behindDoc="0" locked="1" layoutInCell="1" allowOverlap="1">
                <wp:simplePos x="0" y="0"/>
                <wp:positionH relativeFrom="page">
                  <wp:posOffset>899795</wp:posOffset>
                </wp:positionH>
                <wp:positionV relativeFrom="page">
                  <wp:posOffset>9253220</wp:posOffset>
                </wp:positionV>
                <wp:extent cx="6120130" cy="0"/>
                <wp:effectExtent l="0" t="0" r="0" b="0"/>
                <wp:wrapNone/>
                <wp:docPr id="5" name="直接连接符 5"/>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70.85pt;margin-top:728.6pt;height:0pt;width:481.9pt;mso-position-horizontal-relative:page;mso-position-vertical-relative:page;z-index:251660288;mso-width-relative:page;mso-height-relative:page;" filled="f" stroked="t" coordsize="21600,21600" o:gfxdata="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rMxz71wAAAA4B&#10;AAAPAAAAAAAAAAEAIAAAACIAAABkcnMvZG93bnJldi54bWxQSwECFAAUAAAACACHTuJAWS4lmOMB&#10;AACqAwAADgAAAAAAAAABACAAAAAmAQAAZHJzL2Uyb0RvYy54bWxQSwUGAAAAAAYABgBZAQAAewUA&#10;AAAA&#10;">
                <v:fill on="f" focussize="0,0"/>
                <v:stroke color="#000000" joinstyle="round"/>
                <v:imagedata o:title=""/>
                <o:lock v:ext="edit" aspectratio="f"/>
                <w10:anchorlock/>
              </v:line>
            </w:pict>
          </mc:Fallback>
        </mc:AlternateContent>
      </w:r>
    </w:p>
    <w:p w14:paraId="4C1D2786">
      <w:pPr>
        <w:pStyle w:val="89"/>
        <w:spacing w:before="560" w:after="360"/>
        <w:rPr>
          <w:color w:val="auto"/>
        </w:rPr>
      </w:pPr>
      <w:bookmarkStart w:id="20" w:name="BookMark2"/>
      <w:r>
        <w:rPr>
          <w:rFonts w:hint="eastAsia"/>
          <w:color w:val="auto"/>
          <w:spacing w:val="320"/>
        </w:rPr>
        <w:t>前</w:t>
      </w:r>
      <w:r>
        <w:rPr>
          <w:rFonts w:hint="eastAsia"/>
          <w:color w:val="auto"/>
        </w:rPr>
        <w:t>言</w:t>
      </w:r>
    </w:p>
    <w:p w14:paraId="158225F6">
      <w:pPr>
        <w:pStyle w:val="56"/>
        <w:ind w:firstLine="420"/>
        <w:rPr>
          <w:color w:val="auto"/>
        </w:rPr>
      </w:pPr>
      <w:r>
        <w:rPr>
          <w:rFonts w:hint="eastAsia"/>
          <w:color w:val="auto"/>
        </w:rPr>
        <w:t>本文件按照GB/T 1.1—2020《标准化工作导则  第1部分：标准化文件的结构和起草规则》的规定起草。</w:t>
      </w:r>
    </w:p>
    <w:p w14:paraId="3CF6FF85">
      <w:pPr>
        <w:pStyle w:val="56"/>
        <w:ind w:firstLine="420"/>
        <w:rPr>
          <w:color w:val="auto"/>
        </w:rPr>
      </w:pPr>
      <w:r>
        <w:rPr>
          <w:rFonts w:hint="eastAsia"/>
          <w:color w:val="auto"/>
        </w:rPr>
        <w:t>请注意本文件的某些内容可能涉及专利。本文件的发布机构不承担识别专利的责任。</w:t>
      </w:r>
    </w:p>
    <w:p w14:paraId="6AB57126">
      <w:pPr>
        <w:pStyle w:val="56"/>
        <w:ind w:firstLine="420"/>
        <w:rPr>
          <w:color w:val="auto"/>
        </w:rPr>
      </w:pPr>
      <w:r>
        <w:rPr>
          <w:rFonts w:hint="eastAsia"/>
          <w:color w:val="auto"/>
        </w:rPr>
        <w:t>本文件由中国科学院青海盐湖研究所提出。</w:t>
      </w:r>
    </w:p>
    <w:p w14:paraId="4DC2A4DB">
      <w:pPr>
        <w:pStyle w:val="56"/>
        <w:ind w:firstLine="420"/>
        <w:rPr>
          <w:color w:val="auto"/>
        </w:rPr>
      </w:pPr>
      <w:r>
        <w:rPr>
          <w:rFonts w:hint="eastAsia"/>
          <w:color w:val="auto"/>
        </w:rPr>
        <w:t>本文件由青海标准化协会归口。</w:t>
      </w:r>
    </w:p>
    <w:p w14:paraId="3F3B4E89">
      <w:pPr>
        <w:pStyle w:val="56"/>
        <w:ind w:firstLine="420"/>
        <w:rPr>
          <w:color w:val="auto"/>
        </w:rPr>
      </w:pPr>
      <w:r>
        <w:rPr>
          <w:rFonts w:hint="eastAsia"/>
          <w:color w:val="auto"/>
        </w:rPr>
        <w:t>本文件起草单位：中国科学院青海盐湖研究所</w:t>
      </w:r>
    </w:p>
    <w:p w14:paraId="0E1A98BE">
      <w:pPr>
        <w:pStyle w:val="56"/>
        <w:ind w:firstLine="420"/>
        <w:rPr>
          <w:color w:val="auto"/>
        </w:rPr>
      </w:pPr>
      <w:r>
        <w:rPr>
          <w:rFonts w:hint="eastAsia"/>
          <w:color w:val="auto"/>
        </w:rPr>
        <w:t>本文件主要起草人：马修臻、马喆、李玉彬、刘鑫、朱国菁、朱广琴、李园、王懿萱、马云麒</w:t>
      </w:r>
    </w:p>
    <w:p w14:paraId="07D12FE1">
      <w:pPr>
        <w:pStyle w:val="56"/>
        <w:ind w:firstLine="420"/>
        <w:rPr>
          <w:color w:val="auto"/>
        </w:rPr>
      </w:pPr>
    </w:p>
    <w:p w14:paraId="7F26718C">
      <w:pPr>
        <w:pStyle w:val="56"/>
        <w:ind w:firstLine="420"/>
        <w:rPr>
          <w:color w:val="auto"/>
        </w:rPr>
        <w:sectPr>
          <w:headerReference r:id="rId10" w:type="default"/>
          <w:footerReference r:id="rId11" w:type="default"/>
          <w:pgSz w:w="11906" w:h="16838"/>
          <w:pgMar w:top="1928" w:right="1134" w:bottom="1134" w:left="1134" w:header="1418" w:footer="1134" w:gutter="284"/>
          <w:pgNumType w:start="1"/>
          <w:cols w:space="425" w:num="1"/>
          <w:formProt w:val="0"/>
          <w:docGrid w:linePitch="312" w:charSpace="0"/>
        </w:sectPr>
      </w:pPr>
    </w:p>
    <w:bookmarkEnd w:id="20"/>
    <w:p w14:paraId="00DF0B83">
      <w:pPr>
        <w:spacing w:line="20" w:lineRule="exact"/>
        <w:jc w:val="center"/>
        <w:rPr>
          <w:rFonts w:hint="eastAsia" w:ascii="黑体" w:hAnsi="黑体" w:eastAsia="黑体"/>
          <w:color w:val="auto"/>
          <w:sz w:val="32"/>
          <w:szCs w:val="32"/>
        </w:rPr>
      </w:pPr>
      <w:bookmarkStart w:id="21" w:name="BookMark4"/>
    </w:p>
    <w:p w14:paraId="07C9599D">
      <w:pPr>
        <w:spacing w:line="20" w:lineRule="exact"/>
        <w:jc w:val="center"/>
        <w:rPr>
          <w:rFonts w:hint="eastAsia" w:ascii="黑体" w:hAnsi="黑体" w:eastAsia="黑体"/>
          <w:color w:val="auto"/>
          <w:sz w:val="32"/>
          <w:szCs w:val="32"/>
        </w:rPr>
      </w:pPr>
    </w:p>
    <w:sdt>
      <w:sdtPr>
        <w:rPr>
          <w:color w:val="auto"/>
        </w:rPr>
        <w:tag w:val="NEW_STAND_NAME"/>
        <w:id w:val="595910757"/>
        <w:lock w:val="sdtLocked"/>
        <w:placeholder>
          <w:docPart w:val="5D2BCEEC75F34F9D8180C7790819FC69"/>
        </w:placeholder>
      </w:sdtPr>
      <w:sdtEndPr>
        <w:rPr>
          <w:color w:val="auto"/>
        </w:rPr>
      </w:sdtEndPr>
      <w:sdtContent>
        <w:p w14:paraId="527F9847">
          <w:pPr>
            <w:pStyle w:val="177"/>
            <w:spacing w:before="240" w:beforeLines="100" w:after="528" w:afterLines="220"/>
            <w:rPr>
              <w:rFonts w:hint="eastAsia"/>
              <w:color w:val="auto"/>
            </w:rPr>
          </w:pPr>
          <w:bookmarkStart w:id="22" w:name="OLE_LINK1"/>
          <w:bookmarkStart w:id="23" w:name="NEW_STAND_NAME"/>
          <w:r>
            <w:rPr>
              <w:rFonts w:hint="eastAsia"/>
              <w:color w:val="auto"/>
            </w:rPr>
            <w:t>卤水和盐中总碘和总磷酸盐的测定 电感耦合等离子体发射光谱法</w:t>
          </w:r>
        </w:p>
      </w:sdtContent>
    </w:sdt>
    <w:bookmarkEnd w:id="22"/>
    <w:bookmarkEnd w:id="23"/>
    <w:p w14:paraId="0401C2A3">
      <w:pPr>
        <w:pStyle w:val="104"/>
        <w:spacing w:before="240" w:after="240"/>
        <w:rPr>
          <w:color w:val="auto"/>
        </w:rPr>
      </w:pPr>
      <w:bookmarkStart w:id="24" w:name="_Toc26986771"/>
      <w:bookmarkStart w:id="25" w:name="_Toc24884218"/>
      <w:bookmarkStart w:id="26" w:name="_Toc97192964"/>
      <w:bookmarkStart w:id="27" w:name="_Toc24884211"/>
      <w:bookmarkStart w:id="28" w:name="_Toc17233333"/>
      <w:bookmarkStart w:id="29" w:name="_Toc17233325"/>
      <w:bookmarkStart w:id="30" w:name="_Toc26986530"/>
      <w:bookmarkStart w:id="31" w:name="_Toc26718930"/>
      <w:bookmarkStart w:id="32" w:name="_Toc26648465"/>
      <w:r>
        <w:rPr>
          <w:rFonts w:hint="eastAsia"/>
          <w:color w:val="auto"/>
        </w:rPr>
        <w:t>范围</w:t>
      </w:r>
      <w:bookmarkEnd w:id="24"/>
      <w:bookmarkEnd w:id="25"/>
      <w:bookmarkEnd w:id="26"/>
      <w:bookmarkEnd w:id="27"/>
      <w:bookmarkEnd w:id="28"/>
      <w:bookmarkEnd w:id="29"/>
      <w:bookmarkEnd w:id="30"/>
      <w:bookmarkEnd w:id="31"/>
      <w:bookmarkEnd w:id="32"/>
    </w:p>
    <w:p w14:paraId="5294931F">
      <w:pPr>
        <w:pStyle w:val="56"/>
        <w:ind w:firstLine="420"/>
        <w:rPr>
          <w:color w:val="auto"/>
        </w:rPr>
      </w:pPr>
      <w:bookmarkStart w:id="33" w:name="_Toc24884219"/>
      <w:bookmarkStart w:id="34" w:name="_Toc17233326"/>
      <w:bookmarkStart w:id="35" w:name="_Toc17233334"/>
      <w:bookmarkStart w:id="36" w:name="_Toc26648466"/>
      <w:bookmarkStart w:id="37" w:name="_Toc24884212"/>
      <w:r>
        <w:rPr>
          <w:rFonts w:hint="eastAsia"/>
          <w:color w:val="auto"/>
        </w:rPr>
        <w:t>本文件描述了电感耦合等离子体发射光谱法测定卤水和</w:t>
      </w:r>
      <w:r>
        <w:rPr>
          <w:rFonts w:hint="eastAsia"/>
          <w:color w:val="auto"/>
        </w:rPr>
        <w:t>盐</w:t>
      </w:r>
      <w:r>
        <w:rPr>
          <w:rFonts w:hint="eastAsia"/>
          <w:color w:val="auto"/>
        </w:rPr>
        <w:t>中总碘（I）和</w:t>
      </w:r>
      <w:bookmarkStart w:id="38" w:name="OLE_LINK8"/>
      <w:r>
        <w:rPr>
          <w:rFonts w:hint="eastAsia"/>
          <w:color w:val="auto"/>
        </w:rPr>
        <w:t>总磷酸盐</w:t>
      </w:r>
      <w:bookmarkEnd w:id="38"/>
      <w:r>
        <w:rPr>
          <w:rFonts w:hint="eastAsia"/>
          <w:color w:val="auto"/>
        </w:rPr>
        <w:t>（以PO</w:t>
      </w:r>
      <w:r>
        <w:rPr>
          <w:rFonts w:hint="eastAsia"/>
          <w:color w:val="auto"/>
          <w:vertAlign w:val="subscript"/>
        </w:rPr>
        <w:t>4</w:t>
      </w:r>
      <w:r>
        <w:rPr>
          <w:rFonts w:hint="eastAsia"/>
          <w:color w:val="auto"/>
          <w:vertAlign w:val="superscript"/>
        </w:rPr>
        <w:t>3-</w:t>
      </w:r>
      <w:r>
        <w:rPr>
          <w:rFonts w:hint="eastAsia"/>
          <w:color w:val="auto"/>
        </w:rPr>
        <w:t>计）含量的原理、测定范围、试验方法、准确度和回收率。</w:t>
      </w:r>
    </w:p>
    <w:p w14:paraId="28DCF709">
      <w:pPr>
        <w:pStyle w:val="56"/>
        <w:ind w:firstLine="420"/>
        <w:rPr>
          <w:color w:val="auto"/>
        </w:rPr>
      </w:pPr>
      <w:r>
        <w:rPr>
          <w:rFonts w:hint="eastAsia"/>
          <w:color w:val="auto"/>
        </w:rPr>
        <w:t>本文件适用于卤水中（质量分数）总碘（I）：0.00002%~2.0% ，总磷酸盐（以PO</w:t>
      </w:r>
      <w:r>
        <w:rPr>
          <w:rFonts w:hint="eastAsia"/>
          <w:color w:val="auto"/>
          <w:vertAlign w:val="subscript"/>
        </w:rPr>
        <w:t>4</w:t>
      </w:r>
      <w:r>
        <w:rPr>
          <w:rFonts w:hint="eastAsia"/>
          <w:color w:val="auto"/>
          <w:vertAlign w:val="superscript"/>
        </w:rPr>
        <w:t>3-</w:t>
      </w:r>
      <w:r>
        <w:rPr>
          <w:rFonts w:hint="eastAsia"/>
          <w:color w:val="auto"/>
        </w:rPr>
        <w:t>计）：0.00002%~2.0%含量的测定；盐矿产品</w:t>
      </w:r>
      <w:r>
        <w:rPr>
          <w:rFonts w:hint="eastAsia"/>
          <w:color w:val="auto"/>
        </w:rPr>
        <w:t>（工业盐、氯化钾、光卤石及泻利盐）</w:t>
      </w:r>
      <w:r>
        <w:rPr>
          <w:rFonts w:hint="eastAsia"/>
          <w:color w:val="auto"/>
        </w:rPr>
        <w:t>中总碘（I）：0.005%~1.0% ，总磷酸盐（以PO</w:t>
      </w:r>
      <w:r>
        <w:rPr>
          <w:rFonts w:hint="eastAsia"/>
          <w:color w:val="auto"/>
          <w:vertAlign w:val="subscript"/>
        </w:rPr>
        <w:t>4</w:t>
      </w:r>
      <w:r>
        <w:rPr>
          <w:rFonts w:hint="eastAsia"/>
          <w:color w:val="auto"/>
          <w:vertAlign w:val="superscript"/>
        </w:rPr>
        <w:t>3-</w:t>
      </w:r>
      <w:r>
        <w:rPr>
          <w:rFonts w:hint="eastAsia"/>
          <w:color w:val="auto"/>
        </w:rPr>
        <w:t>计）：0.005%~1.0%含量的测定。</w:t>
      </w:r>
    </w:p>
    <w:p w14:paraId="7E1A5CA4">
      <w:pPr>
        <w:pStyle w:val="56"/>
        <w:ind w:firstLine="420"/>
        <w:rPr>
          <w:color w:val="auto"/>
        </w:rPr>
      </w:pPr>
      <w:r>
        <w:rPr>
          <w:rFonts w:hint="eastAsia"/>
          <w:color w:val="auto"/>
        </w:rPr>
        <w:t>本文件适用于卤水和盐中总碘（I</w:t>
      </w:r>
      <w:r>
        <w:rPr>
          <w:rFonts w:hint="eastAsia"/>
          <w:color w:val="auto"/>
          <w:vertAlign w:val="superscript"/>
        </w:rPr>
        <w:t>-</w:t>
      </w:r>
      <w:r>
        <w:rPr>
          <w:rFonts w:hint="eastAsia"/>
          <w:color w:val="auto"/>
        </w:rPr>
        <w:t>）和总磷酸盐（以PO</w:t>
      </w:r>
      <w:r>
        <w:rPr>
          <w:rFonts w:hint="eastAsia"/>
          <w:color w:val="auto"/>
          <w:vertAlign w:val="subscript"/>
        </w:rPr>
        <w:t>4</w:t>
      </w:r>
      <w:r>
        <w:rPr>
          <w:rFonts w:hint="eastAsia"/>
          <w:color w:val="auto"/>
          <w:vertAlign w:val="superscript"/>
        </w:rPr>
        <w:t>3-</w:t>
      </w:r>
      <w:r>
        <w:rPr>
          <w:rFonts w:hint="eastAsia"/>
          <w:color w:val="auto"/>
        </w:rPr>
        <w:t>计）的含量测定，各元素的方法检出限和定量下限见表1。</w:t>
      </w:r>
    </w:p>
    <w:p w14:paraId="0AA46BB7">
      <w:pPr>
        <w:pStyle w:val="112"/>
        <w:spacing w:before="120" w:after="120"/>
        <w:rPr>
          <w:color w:val="auto"/>
        </w:rPr>
      </w:pPr>
      <w:r>
        <w:rPr>
          <w:rFonts w:hint="eastAsia"/>
          <w:color w:val="auto"/>
        </w:rPr>
        <w:t>各元素方法检出限及定量下限</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3114"/>
        <w:gridCol w:w="3115"/>
        <w:gridCol w:w="3115"/>
      </w:tblGrid>
      <w:tr w14:paraId="4F1E2D53">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3114" w:type="dxa"/>
            <w:tcBorders>
              <w:top w:val="single" w:color="auto" w:sz="8" w:space="0"/>
              <w:bottom w:val="single" w:color="auto" w:sz="8" w:space="0"/>
            </w:tcBorders>
            <w:vAlign w:val="center"/>
          </w:tcPr>
          <w:p w14:paraId="6DD81097">
            <w:pPr>
              <w:pStyle w:val="178"/>
              <w:rPr>
                <w:color w:val="auto"/>
              </w:rPr>
            </w:pPr>
            <w:r>
              <w:rPr>
                <w:rFonts w:hint="eastAsia"/>
                <w:color w:val="auto"/>
              </w:rPr>
              <w:t>元素</w:t>
            </w:r>
          </w:p>
        </w:tc>
        <w:tc>
          <w:tcPr>
            <w:tcW w:w="3115" w:type="dxa"/>
            <w:tcBorders>
              <w:top w:val="single" w:color="auto" w:sz="8" w:space="0"/>
              <w:bottom w:val="single" w:color="auto" w:sz="8" w:space="0"/>
            </w:tcBorders>
            <w:vAlign w:val="center"/>
          </w:tcPr>
          <w:p w14:paraId="15015A95">
            <w:pPr>
              <w:pStyle w:val="178"/>
              <w:rPr>
                <w:color w:val="auto"/>
              </w:rPr>
            </w:pPr>
            <w:r>
              <w:rPr>
                <w:rFonts w:hint="eastAsia"/>
                <w:color w:val="auto"/>
              </w:rPr>
              <w:t>检出限（</w:t>
            </w:r>
            <w:r>
              <w:rPr>
                <w:color w:val="auto"/>
              </w:rPr>
              <w:t>μ</w:t>
            </w:r>
            <w:r>
              <w:rPr>
                <w:rFonts w:hint="eastAsia"/>
                <w:color w:val="auto"/>
              </w:rPr>
              <w:t>g/mL）</w:t>
            </w:r>
          </w:p>
        </w:tc>
        <w:tc>
          <w:tcPr>
            <w:tcW w:w="3115" w:type="dxa"/>
            <w:tcBorders>
              <w:top w:val="single" w:color="auto" w:sz="8" w:space="0"/>
              <w:bottom w:val="single" w:color="auto" w:sz="8" w:space="0"/>
            </w:tcBorders>
            <w:vAlign w:val="center"/>
          </w:tcPr>
          <w:p w14:paraId="6FFCC4FE">
            <w:pPr>
              <w:pStyle w:val="178"/>
              <w:rPr>
                <w:color w:val="auto"/>
              </w:rPr>
            </w:pPr>
            <w:r>
              <w:rPr>
                <w:rFonts w:hint="eastAsia"/>
                <w:color w:val="auto"/>
              </w:rPr>
              <w:t>定量下限（</w:t>
            </w:r>
            <w:r>
              <w:rPr>
                <w:color w:val="auto"/>
              </w:rPr>
              <w:t>μ</w:t>
            </w:r>
            <w:r>
              <w:rPr>
                <w:rFonts w:hint="eastAsia"/>
                <w:color w:val="auto"/>
              </w:rPr>
              <w:t>g/mL）</w:t>
            </w:r>
          </w:p>
        </w:tc>
      </w:tr>
      <w:tr w14:paraId="284BF7B0">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4" w:type="dxa"/>
            <w:tcBorders>
              <w:top w:val="single" w:color="auto" w:sz="8" w:space="0"/>
            </w:tcBorders>
            <w:vAlign w:val="center"/>
          </w:tcPr>
          <w:p w14:paraId="53BD961A">
            <w:pPr>
              <w:pStyle w:val="178"/>
              <w:rPr>
                <w:color w:val="auto"/>
              </w:rPr>
            </w:pPr>
            <w:r>
              <w:rPr>
                <w:rFonts w:hint="eastAsia"/>
                <w:color w:val="auto"/>
              </w:rPr>
              <w:t>碘（I）</w:t>
            </w:r>
          </w:p>
        </w:tc>
        <w:tc>
          <w:tcPr>
            <w:tcW w:w="3115" w:type="dxa"/>
            <w:tcBorders>
              <w:top w:val="single" w:color="auto" w:sz="8" w:space="0"/>
            </w:tcBorders>
            <w:vAlign w:val="center"/>
          </w:tcPr>
          <w:p w14:paraId="2B345231">
            <w:pPr>
              <w:pStyle w:val="178"/>
              <w:rPr>
                <w:rFonts w:hint="eastAsia"/>
                <w:color w:val="auto"/>
              </w:rPr>
            </w:pPr>
            <w:r>
              <w:rPr>
                <w:rFonts w:hint="eastAsia"/>
                <w:color w:val="auto"/>
              </w:rPr>
              <w:t>0.05</w:t>
            </w:r>
          </w:p>
        </w:tc>
        <w:tc>
          <w:tcPr>
            <w:tcW w:w="3115" w:type="dxa"/>
            <w:tcBorders>
              <w:top w:val="single" w:color="auto" w:sz="8" w:space="0"/>
            </w:tcBorders>
            <w:vAlign w:val="center"/>
          </w:tcPr>
          <w:p w14:paraId="1141E71D">
            <w:pPr>
              <w:pStyle w:val="178"/>
              <w:rPr>
                <w:rFonts w:hint="eastAsia"/>
                <w:color w:val="auto"/>
              </w:rPr>
            </w:pPr>
            <w:r>
              <w:rPr>
                <w:rFonts w:hint="eastAsia"/>
                <w:color w:val="auto"/>
              </w:rPr>
              <w:t>0.15</w:t>
            </w:r>
          </w:p>
        </w:tc>
      </w:tr>
      <w:tr w14:paraId="7C42BF7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3114" w:type="dxa"/>
            <w:vAlign w:val="center"/>
          </w:tcPr>
          <w:p w14:paraId="0569DE9A">
            <w:pPr>
              <w:pStyle w:val="178"/>
              <w:rPr>
                <w:color w:val="auto"/>
              </w:rPr>
            </w:pPr>
            <w:r>
              <w:rPr>
                <w:rFonts w:hint="eastAsia"/>
                <w:color w:val="auto"/>
              </w:rPr>
              <w:t>磷酸根（PO</w:t>
            </w:r>
            <w:r>
              <w:rPr>
                <w:rFonts w:hint="eastAsia"/>
                <w:color w:val="auto"/>
                <w:vertAlign w:val="subscript"/>
              </w:rPr>
              <w:t>4</w:t>
            </w:r>
            <w:r>
              <w:rPr>
                <w:rFonts w:hint="eastAsia"/>
                <w:color w:val="auto"/>
                <w:vertAlign w:val="superscript"/>
              </w:rPr>
              <w:t>3-</w:t>
            </w:r>
            <w:r>
              <w:rPr>
                <w:rFonts w:hint="eastAsia"/>
                <w:color w:val="auto"/>
              </w:rPr>
              <w:t>）</w:t>
            </w:r>
          </w:p>
        </w:tc>
        <w:tc>
          <w:tcPr>
            <w:tcW w:w="3115" w:type="dxa"/>
            <w:vAlign w:val="center"/>
          </w:tcPr>
          <w:p w14:paraId="498D6E3F">
            <w:pPr>
              <w:pStyle w:val="178"/>
              <w:rPr>
                <w:rFonts w:hint="eastAsia"/>
                <w:color w:val="auto"/>
              </w:rPr>
            </w:pPr>
            <w:r>
              <w:rPr>
                <w:rFonts w:hint="eastAsia"/>
                <w:color w:val="auto"/>
              </w:rPr>
              <w:t>0.06</w:t>
            </w:r>
          </w:p>
        </w:tc>
        <w:tc>
          <w:tcPr>
            <w:tcW w:w="3115" w:type="dxa"/>
            <w:vAlign w:val="center"/>
          </w:tcPr>
          <w:p w14:paraId="51CB387C">
            <w:pPr>
              <w:pStyle w:val="178"/>
              <w:rPr>
                <w:color w:val="auto"/>
              </w:rPr>
            </w:pPr>
            <w:r>
              <w:rPr>
                <w:rFonts w:hint="eastAsia"/>
                <w:color w:val="auto"/>
              </w:rPr>
              <w:t>0.17</w:t>
            </w:r>
          </w:p>
        </w:tc>
      </w:tr>
    </w:tbl>
    <w:p w14:paraId="3FFDE7E4">
      <w:pPr>
        <w:pStyle w:val="104"/>
        <w:spacing w:before="240" w:after="240"/>
        <w:rPr>
          <w:color w:val="auto"/>
        </w:rPr>
      </w:pPr>
      <w:bookmarkStart w:id="39" w:name="_Toc97192965"/>
      <w:bookmarkStart w:id="40" w:name="_Toc26986772"/>
      <w:bookmarkStart w:id="41" w:name="_Toc26986531"/>
      <w:bookmarkStart w:id="42" w:name="_Toc26718931"/>
      <w:r>
        <w:rPr>
          <w:rFonts w:hint="eastAsia"/>
          <w:color w:val="auto"/>
        </w:rPr>
        <w:t>规范性引用文件</w:t>
      </w:r>
      <w:bookmarkEnd w:id="33"/>
      <w:bookmarkEnd w:id="34"/>
      <w:bookmarkEnd w:id="35"/>
      <w:bookmarkEnd w:id="36"/>
      <w:bookmarkEnd w:id="37"/>
      <w:bookmarkEnd w:id="39"/>
      <w:bookmarkEnd w:id="40"/>
      <w:bookmarkEnd w:id="41"/>
      <w:bookmarkEnd w:id="42"/>
    </w:p>
    <w:sdt>
      <w:sdtPr>
        <w:rPr>
          <w:rFonts w:hint="eastAsia"/>
          <w:color w:val="auto"/>
        </w:rPr>
        <w:id w:val="715848253"/>
        <w:placeholder>
          <w:docPart w:val="FCC37A7F376A4D4884F629A11FF8C684"/>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EndPr>
        <w:rPr>
          <w:rFonts w:hint="eastAsia"/>
          <w:color w:val="auto"/>
        </w:rPr>
      </w:sdtEndPr>
      <w:sdtContent>
        <w:p w14:paraId="0AB5E495">
          <w:pPr>
            <w:pStyle w:val="56"/>
            <w:ind w:firstLine="420"/>
            <w:rPr>
              <w:color w:val="auto"/>
            </w:rPr>
          </w:pPr>
          <w:r>
            <w:rPr>
              <w:rFonts w:hint="eastAsia"/>
              <w:color w:val="auto"/>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777EC150">
      <w:pPr>
        <w:pStyle w:val="56"/>
        <w:ind w:firstLine="420"/>
        <w:rPr>
          <w:color w:val="auto"/>
        </w:rPr>
      </w:pPr>
      <w:r>
        <w:rPr>
          <w:rFonts w:hint="eastAsia"/>
          <w:color w:val="auto"/>
        </w:rPr>
        <w:t>GB/T 602 化学试剂 杂质测定用标准溶液的制备</w:t>
      </w:r>
    </w:p>
    <w:p w14:paraId="54CB2401">
      <w:pPr>
        <w:pStyle w:val="56"/>
        <w:ind w:firstLine="420"/>
        <w:rPr>
          <w:color w:val="auto"/>
        </w:rPr>
      </w:pPr>
      <w:r>
        <w:rPr>
          <w:rFonts w:hint="eastAsia"/>
          <w:color w:val="auto"/>
        </w:rPr>
        <w:t>GB/T 6379.2 测量方法与结果的准确度（正确度与精密度）第2部分：确定标准测量方法重复性与再现性的基本方法</w:t>
      </w:r>
    </w:p>
    <w:p w14:paraId="103123A4">
      <w:pPr>
        <w:pStyle w:val="56"/>
        <w:ind w:firstLine="420"/>
        <w:rPr>
          <w:color w:val="auto"/>
        </w:rPr>
      </w:pPr>
      <w:r>
        <w:rPr>
          <w:rFonts w:hint="eastAsia"/>
          <w:color w:val="auto"/>
        </w:rPr>
        <w:t>GB/T 8170 数值修约规则与极限数值的表示和判定</w:t>
      </w:r>
    </w:p>
    <w:p w14:paraId="4F1D6624">
      <w:pPr>
        <w:pStyle w:val="56"/>
        <w:ind w:firstLine="420"/>
        <w:rPr>
          <w:color w:val="auto"/>
        </w:rPr>
      </w:pPr>
      <w:r>
        <w:rPr>
          <w:rFonts w:hint="eastAsia"/>
          <w:color w:val="auto"/>
        </w:rPr>
        <w:t>GB/T 6682 分析实验室用水规格和实验方法</w:t>
      </w:r>
    </w:p>
    <w:p w14:paraId="483105EC">
      <w:pPr>
        <w:pStyle w:val="104"/>
        <w:spacing w:before="240" w:after="240"/>
        <w:rPr>
          <w:color w:val="auto"/>
        </w:rPr>
      </w:pPr>
      <w:bookmarkStart w:id="43" w:name="_Toc97192966"/>
      <w:r>
        <w:rPr>
          <w:rFonts w:hint="eastAsia"/>
          <w:color w:val="auto"/>
          <w:szCs w:val="21"/>
        </w:rPr>
        <w:t>术语和定义</w:t>
      </w:r>
      <w:bookmarkEnd w:id="43"/>
    </w:p>
    <w:sdt>
      <w:sdtPr>
        <w:rPr>
          <w:color w:val="auto"/>
        </w:rPr>
        <w:id w:val="-1909835108"/>
        <w:placeholder>
          <w:docPart w:val="3A6FE3B55C684120B8DA2CF8128EEF35"/>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EndPr>
        <w:rPr>
          <w:color w:val="auto"/>
        </w:rPr>
      </w:sdtEndPr>
      <w:sdtContent>
        <w:p w14:paraId="1BBD032E">
          <w:pPr>
            <w:pStyle w:val="56"/>
            <w:ind w:firstLine="420"/>
            <w:rPr>
              <w:color w:val="auto"/>
            </w:rPr>
          </w:pPr>
          <w:bookmarkStart w:id="44" w:name="_Toc26986532"/>
          <w:bookmarkEnd w:id="44"/>
          <w:r>
            <w:rPr>
              <w:color w:val="auto"/>
            </w:rPr>
            <w:t>GB/T 30902 界定的术语和定义适用于本文件。</w:t>
          </w:r>
        </w:p>
      </w:sdtContent>
    </w:sdt>
    <w:p w14:paraId="3D2FCA63">
      <w:pPr>
        <w:pStyle w:val="104"/>
        <w:spacing w:before="240" w:after="240"/>
        <w:rPr>
          <w:color w:val="auto"/>
        </w:rPr>
      </w:pPr>
      <w:r>
        <w:rPr>
          <w:rFonts w:hint="eastAsia"/>
          <w:color w:val="auto"/>
        </w:rPr>
        <w:t>原理</w:t>
      </w:r>
    </w:p>
    <w:p w14:paraId="6D740729">
      <w:pPr>
        <w:pStyle w:val="56"/>
        <w:ind w:firstLine="420"/>
        <w:rPr>
          <w:rFonts w:ascii="黑体" w:eastAsia="黑体"/>
          <w:color w:val="auto"/>
        </w:rPr>
      </w:pPr>
      <w:r>
        <w:rPr>
          <w:rFonts w:hint="eastAsia"/>
          <w:color w:val="auto"/>
        </w:rPr>
        <w:t>试样经适当处理后，将溶液引入电感耦合等离子体光谱仪的ICP炬焰中，在高温下蒸发、解离、原子化并电离，发射出待测元素的特征谱线。谱线强度与元素浓度成正比，通过测量谱线强度，对照标准工作曲线，计算试样中待测元素的质量分数。</w:t>
      </w:r>
    </w:p>
    <w:p w14:paraId="1743AFE0">
      <w:pPr>
        <w:pStyle w:val="104"/>
        <w:spacing w:before="240" w:after="240"/>
        <w:rPr>
          <w:color w:val="auto"/>
        </w:rPr>
      </w:pPr>
      <w:r>
        <w:rPr>
          <w:rFonts w:hint="eastAsia"/>
          <w:color w:val="auto"/>
        </w:rPr>
        <w:t>试剂和水</w:t>
      </w:r>
    </w:p>
    <w:p w14:paraId="1ABEE125">
      <w:pPr>
        <w:pStyle w:val="162"/>
        <w:rPr>
          <w:rFonts w:ascii="Times New Roman"/>
          <w:color w:val="auto"/>
        </w:rPr>
      </w:pPr>
      <w:r>
        <w:rPr>
          <w:rFonts w:ascii="Times New Roman"/>
          <w:color w:val="auto"/>
        </w:rPr>
        <w:t>本文件所用试剂为优级纯试剂。</w:t>
      </w:r>
    </w:p>
    <w:p w14:paraId="77D8BD1D">
      <w:pPr>
        <w:pStyle w:val="162"/>
        <w:rPr>
          <w:rFonts w:ascii="Times New Roman"/>
          <w:color w:val="auto"/>
        </w:rPr>
      </w:pPr>
      <w:r>
        <w:rPr>
          <w:rFonts w:ascii="Times New Roman"/>
          <w:color w:val="auto"/>
        </w:rPr>
        <w:t>本文件用水均指</w:t>
      </w:r>
      <w:bookmarkStart w:id="45" w:name="OLE_LINK5"/>
      <w:r>
        <w:rPr>
          <w:rFonts w:ascii="Times New Roman"/>
          <w:color w:val="auto"/>
        </w:rPr>
        <w:t>GB/T 6682</w:t>
      </w:r>
      <w:bookmarkEnd w:id="45"/>
      <w:r>
        <w:rPr>
          <w:rFonts w:ascii="Times New Roman"/>
          <w:color w:val="auto"/>
        </w:rPr>
        <w:t>规定的一级水。</w:t>
      </w:r>
    </w:p>
    <w:p w14:paraId="27D007D5">
      <w:pPr>
        <w:pStyle w:val="162"/>
        <w:rPr>
          <w:color w:val="auto"/>
        </w:rPr>
      </w:pPr>
      <w:r>
        <w:rPr>
          <w:color w:val="auto"/>
        </w:rPr>
        <w:t>高纯氩气：氩</w:t>
      </w:r>
      <w:r>
        <w:rPr>
          <w:rFonts w:ascii="Times New Roman"/>
          <w:color w:val="auto"/>
        </w:rPr>
        <w:t>气含量≥99.999%。</w:t>
      </w:r>
    </w:p>
    <w:p w14:paraId="72C9437A">
      <w:pPr>
        <w:pStyle w:val="162"/>
        <w:rPr>
          <w:rFonts w:ascii="Times New Roman"/>
          <w:color w:val="auto"/>
        </w:rPr>
      </w:pPr>
      <w:r>
        <w:rPr>
          <w:rFonts w:ascii="Times New Roman"/>
          <w:color w:val="auto"/>
        </w:rPr>
        <w:t>硝酸（优级）。</w:t>
      </w:r>
    </w:p>
    <w:p w14:paraId="2E2E9C01">
      <w:pPr>
        <w:pStyle w:val="162"/>
        <w:rPr>
          <w:rFonts w:ascii="Times New Roman"/>
          <w:color w:val="auto"/>
        </w:rPr>
      </w:pPr>
      <w:r>
        <w:rPr>
          <w:rFonts w:ascii="Times New Roman"/>
          <w:color w:val="auto"/>
        </w:rPr>
        <w:t>氨水（优级）。</w:t>
      </w:r>
    </w:p>
    <w:p w14:paraId="4D238F6E">
      <w:pPr>
        <w:pStyle w:val="162"/>
        <w:rPr>
          <w:rFonts w:ascii="Times New Roman"/>
          <w:color w:val="auto"/>
        </w:rPr>
      </w:pPr>
      <w:r>
        <w:rPr>
          <w:rFonts w:ascii="Times New Roman"/>
          <w:color w:val="auto"/>
        </w:rPr>
        <w:t>碘标准溶液（1000μg/mL）：国家标准样品。</w:t>
      </w:r>
    </w:p>
    <w:p w14:paraId="68424A39">
      <w:pPr>
        <w:pStyle w:val="162"/>
        <w:rPr>
          <w:rFonts w:ascii="Times New Roman"/>
          <w:color w:val="auto"/>
        </w:rPr>
      </w:pPr>
      <w:r>
        <w:rPr>
          <w:rFonts w:ascii="Times New Roman"/>
          <w:color w:val="auto"/>
        </w:rPr>
        <w:t>磷酸标准溶液（1000μg/mL）：国家标准样品。</w:t>
      </w:r>
    </w:p>
    <w:p w14:paraId="52264FB0">
      <w:pPr>
        <w:pStyle w:val="162"/>
        <w:rPr>
          <w:rFonts w:ascii="Times New Roman"/>
          <w:color w:val="auto"/>
        </w:rPr>
      </w:pPr>
      <w:r>
        <w:rPr>
          <w:rFonts w:ascii="Times New Roman"/>
          <w:color w:val="auto"/>
        </w:rPr>
        <w:t>校准空白溶液：去离子水。</w:t>
      </w:r>
    </w:p>
    <w:p w14:paraId="22CBEAC1">
      <w:pPr>
        <w:pStyle w:val="162"/>
        <w:rPr>
          <w:rFonts w:ascii="Times New Roman"/>
          <w:color w:val="auto"/>
        </w:rPr>
      </w:pPr>
      <w:r>
        <w:rPr>
          <w:rFonts w:ascii="Times New Roman"/>
          <w:color w:val="auto"/>
        </w:rPr>
        <w:t>清洗空白溶液：硝酸稀释溶液（5+95），用硝酸（3.2）配制。</w:t>
      </w:r>
    </w:p>
    <w:p w14:paraId="03F9C376">
      <w:pPr>
        <w:pStyle w:val="162"/>
        <w:rPr>
          <w:rFonts w:ascii="Times New Roman"/>
          <w:color w:val="auto"/>
        </w:rPr>
      </w:pPr>
      <w:r>
        <w:rPr>
          <w:rFonts w:ascii="Times New Roman"/>
          <w:color w:val="auto"/>
        </w:rPr>
        <w:t>氨水清洗溶液：氨水稀释溶液（5+95），用氨水（3.3）配制。</w:t>
      </w:r>
    </w:p>
    <w:p w14:paraId="1FCC3513">
      <w:pPr>
        <w:pStyle w:val="162"/>
        <w:rPr>
          <w:rFonts w:ascii="Times New Roman"/>
          <w:color w:val="auto"/>
        </w:rPr>
      </w:pPr>
      <w:r>
        <w:rPr>
          <w:rFonts w:ascii="Times New Roman"/>
          <w:color w:val="auto"/>
        </w:rPr>
        <w:t>碘标准使用溶液（100μg/mL）：吸取标准溶液（3.4）用硝酸﹙3.2﹚溶液配制。</w:t>
      </w:r>
    </w:p>
    <w:p w14:paraId="781CDE02">
      <w:pPr>
        <w:pStyle w:val="162"/>
        <w:rPr>
          <w:rFonts w:ascii="Times New Roman"/>
          <w:color w:val="auto"/>
        </w:rPr>
      </w:pPr>
      <w:r>
        <w:rPr>
          <w:rFonts w:ascii="Times New Roman"/>
          <w:color w:val="auto"/>
        </w:rPr>
        <w:t>磷酸根标准使用溶液（100μg/mL）：吸取标准溶液（3.5）用硝酸配制。</w:t>
      </w:r>
    </w:p>
    <w:p w14:paraId="067DF734">
      <w:pPr>
        <w:pStyle w:val="162"/>
        <w:rPr>
          <w:rFonts w:ascii="Times New Roman"/>
          <w:color w:val="auto"/>
        </w:rPr>
      </w:pPr>
      <w:r>
        <w:rPr>
          <w:rFonts w:ascii="Times New Roman"/>
          <w:color w:val="auto"/>
        </w:rPr>
        <w:t>卤水标准质控溶液（GBW07591/GBW07592）:吸取该标准质控溶液稀释100倍。</w:t>
      </w:r>
    </w:p>
    <w:p w14:paraId="29813EC3">
      <w:pPr>
        <w:pStyle w:val="104"/>
        <w:spacing w:before="240" w:after="240"/>
        <w:rPr>
          <w:color w:val="auto"/>
        </w:rPr>
      </w:pPr>
      <w:r>
        <w:rPr>
          <w:rFonts w:hint="eastAsia"/>
          <w:color w:val="auto"/>
        </w:rPr>
        <w:t>仪器设备</w:t>
      </w:r>
    </w:p>
    <w:p w14:paraId="5E519382">
      <w:pPr>
        <w:pStyle w:val="162"/>
        <w:rPr>
          <w:rFonts w:ascii="Times New Roman"/>
          <w:color w:val="auto"/>
        </w:rPr>
      </w:pPr>
      <w:r>
        <w:rPr>
          <w:rFonts w:hint="eastAsia"/>
          <w:color w:val="auto"/>
        </w:rPr>
        <w:t>电感耦合等离子体发射光谱仪，仪器使用条件见附录表</w:t>
      </w:r>
      <w:r>
        <w:rPr>
          <w:rFonts w:ascii="Times New Roman"/>
          <w:color w:val="auto"/>
        </w:rPr>
        <w:t>A.1。</w:t>
      </w:r>
    </w:p>
    <w:p w14:paraId="7A94C5CE">
      <w:pPr>
        <w:pStyle w:val="162"/>
        <w:rPr>
          <w:rFonts w:ascii="Times New Roman"/>
          <w:color w:val="auto"/>
        </w:rPr>
      </w:pPr>
      <w:r>
        <w:rPr>
          <w:rFonts w:hint="eastAsia"/>
          <w:color w:val="auto"/>
        </w:rPr>
        <w:t>波长范围：（</w:t>
      </w:r>
      <w:r>
        <w:rPr>
          <w:rFonts w:ascii="Times New Roman"/>
          <w:color w:val="auto"/>
        </w:rPr>
        <w:t>195</w:t>
      </w:r>
      <w:r>
        <w:rPr>
          <w:color w:val="auto"/>
        </w:rPr>
        <w:t> </w:t>
      </w:r>
      <w:r>
        <w:rPr>
          <w:rFonts w:ascii="Times New Roman"/>
          <w:color w:val="auto"/>
        </w:rPr>
        <w:t xml:space="preserve"> </w:t>
      </w:r>
      <w:r>
        <w:rPr>
          <w:rFonts w:hint="eastAsia" w:ascii="Times New Roman"/>
          <w:color w:val="auto"/>
        </w:rPr>
        <w:t>~</w:t>
      </w:r>
      <w:r>
        <w:rPr>
          <w:rFonts w:ascii="Times New Roman"/>
          <w:color w:val="auto"/>
        </w:rPr>
        <w:t xml:space="preserve"> 900</w:t>
      </w:r>
      <w:r>
        <w:rPr>
          <w:rFonts w:hint="eastAsia"/>
          <w:color w:val="auto"/>
        </w:rPr>
        <w:t>）</w:t>
      </w:r>
      <w:r>
        <w:rPr>
          <w:color w:val="auto"/>
        </w:rPr>
        <w:t> </w:t>
      </w:r>
      <w:r>
        <w:rPr>
          <w:rFonts w:ascii="Times New Roman"/>
          <w:color w:val="auto"/>
        </w:rPr>
        <w:t>nm</w:t>
      </w:r>
    </w:p>
    <w:p w14:paraId="38755909">
      <w:pPr>
        <w:pStyle w:val="162"/>
        <w:rPr>
          <w:color w:val="auto"/>
        </w:rPr>
      </w:pPr>
      <w:r>
        <w:rPr>
          <w:rFonts w:hint="eastAsia"/>
          <w:color w:val="auto"/>
        </w:rPr>
        <w:t>光源：氩等离子体光源。</w:t>
      </w:r>
    </w:p>
    <w:p w14:paraId="08E58903">
      <w:pPr>
        <w:pStyle w:val="162"/>
        <w:rPr>
          <w:color w:val="auto"/>
        </w:rPr>
      </w:pPr>
      <w:r>
        <w:rPr>
          <w:rFonts w:hint="eastAsia"/>
          <w:color w:val="auto"/>
        </w:rPr>
        <w:t>温度（</w:t>
      </w:r>
      <w:r>
        <w:rPr>
          <w:rFonts w:ascii="Times New Roman"/>
          <w:color w:val="auto"/>
        </w:rPr>
        <w:t>20</w:t>
      </w:r>
      <w:r>
        <w:rPr>
          <w:color w:val="auto"/>
        </w:rPr>
        <w:t> </w:t>
      </w:r>
      <w:r>
        <w:rPr>
          <w:rFonts w:ascii="Times New Roman"/>
          <w:color w:val="auto"/>
        </w:rPr>
        <w:t>±</w:t>
      </w:r>
      <w:r>
        <w:rPr>
          <w:color w:val="auto"/>
        </w:rPr>
        <w:t> </w:t>
      </w:r>
      <w:r>
        <w:rPr>
          <w:rFonts w:ascii="Times New Roman"/>
          <w:color w:val="auto"/>
        </w:rPr>
        <w:t>2</w:t>
      </w:r>
      <w:r>
        <w:rPr>
          <w:rFonts w:hint="eastAsia"/>
          <w:color w:val="auto"/>
        </w:rPr>
        <w:t>）℃。</w:t>
      </w:r>
    </w:p>
    <w:p w14:paraId="68C5EA4A">
      <w:pPr>
        <w:pStyle w:val="162"/>
        <w:rPr>
          <w:color w:val="auto"/>
        </w:rPr>
      </w:pPr>
      <w:r>
        <w:rPr>
          <w:rFonts w:hint="eastAsia"/>
          <w:color w:val="auto"/>
        </w:rPr>
        <w:t>波长：各元素推荐测定波长见附录表</w:t>
      </w:r>
      <w:r>
        <w:rPr>
          <w:rFonts w:ascii="Times New Roman"/>
          <w:color w:val="auto"/>
        </w:rPr>
        <w:t>A.2。</w:t>
      </w:r>
    </w:p>
    <w:p w14:paraId="0BBA0D8D">
      <w:pPr>
        <w:pStyle w:val="104"/>
        <w:spacing w:before="240" w:after="240"/>
        <w:rPr>
          <w:color w:val="auto"/>
        </w:rPr>
      </w:pPr>
      <w:r>
        <w:rPr>
          <w:rFonts w:hint="eastAsia"/>
          <w:color w:val="auto"/>
        </w:rPr>
        <w:t>试验方法</w:t>
      </w:r>
    </w:p>
    <w:p w14:paraId="7BA68694">
      <w:pPr>
        <w:pStyle w:val="105"/>
        <w:spacing w:before="120" w:after="120"/>
        <w:rPr>
          <w:color w:val="auto"/>
        </w:rPr>
      </w:pPr>
      <w:r>
        <w:rPr>
          <w:rFonts w:hint="eastAsia"/>
          <w:color w:val="auto"/>
        </w:rPr>
        <w:t>样品的制备</w:t>
      </w:r>
    </w:p>
    <w:p w14:paraId="3E85C9FC">
      <w:pPr>
        <w:pStyle w:val="56"/>
        <w:ind w:firstLine="420"/>
        <w:rPr>
          <w:rFonts w:hint="eastAsia"/>
          <w:color w:val="auto"/>
        </w:rPr>
      </w:pPr>
      <w:r>
        <w:rPr>
          <w:rFonts w:hint="eastAsia"/>
          <w:color w:val="auto"/>
        </w:rPr>
        <w:t>盐样：称取5</w:t>
      </w:r>
      <w:r>
        <w:rPr>
          <w:color w:val="auto"/>
        </w:rPr>
        <w:t> </w:t>
      </w:r>
      <w:r>
        <w:rPr>
          <w:rFonts w:hint="eastAsia"/>
          <w:color w:val="auto"/>
        </w:rPr>
        <w:t>g试样，精确至0.0001</w:t>
      </w:r>
      <w:r>
        <w:rPr>
          <w:color w:val="auto"/>
        </w:rPr>
        <w:t> </w:t>
      </w:r>
      <w:r>
        <w:rPr>
          <w:rFonts w:hint="eastAsia"/>
          <w:color w:val="auto"/>
        </w:rPr>
        <w:t>g，置于烧杯中用水溶解，用水溶解后，移入250</w:t>
      </w:r>
      <w:r>
        <w:rPr>
          <w:color w:val="auto"/>
        </w:rPr>
        <w:t> </w:t>
      </w:r>
      <w:r>
        <w:rPr>
          <w:rFonts w:hint="eastAsia"/>
          <w:color w:val="auto"/>
        </w:rPr>
        <w:t>mL容量瓶中，用去离子水稀释至刻度，摇匀，待测。</w:t>
      </w:r>
      <w:r>
        <w:rPr>
          <w:color w:val="auto"/>
        </w:rPr>
        <w:t>准确移取该溶液25 mL于另一250 mL容量瓶中，用水定容，摇匀</w:t>
      </w:r>
      <w:r>
        <w:rPr>
          <w:rFonts w:hint="eastAsia"/>
          <w:color w:val="auto"/>
        </w:rPr>
        <w:t>，稀释因子</w:t>
      </w:r>
      <w:r>
        <w:rPr>
          <w:rFonts w:hint="eastAsia"/>
          <w:i/>
          <w:iCs/>
          <w:color w:val="auto"/>
        </w:rPr>
        <w:t>f</w:t>
      </w:r>
      <w:r>
        <w:rPr>
          <w:rFonts w:hint="eastAsia"/>
          <w:color w:val="auto"/>
        </w:rPr>
        <w:t>为10。</w:t>
      </w:r>
    </w:p>
    <w:p w14:paraId="545BF4B4">
      <w:pPr>
        <w:pStyle w:val="56"/>
        <w:ind w:firstLine="420"/>
        <w:rPr>
          <w:rFonts w:hint="eastAsia"/>
          <w:color w:val="auto"/>
        </w:rPr>
      </w:pPr>
      <w:r>
        <w:rPr>
          <w:rFonts w:hint="eastAsia"/>
          <w:color w:val="auto"/>
        </w:rPr>
        <w:t>卤水溶液：</w:t>
      </w:r>
      <w:bookmarkStart w:id="46" w:name="OLE_LINK3"/>
      <w:r>
        <w:rPr>
          <w:color w:val="auto"/>
        </w:rPr>
        <w:t>将卤水溶液静置至澄清，用中速滤纸过滤，弃去初滤液，收集后续滤液。用待测滤液润洗干燥洁净</w:t>
      </w:r>
      <w:r>
        <w:rPr>
          <w:rFonts w:hint="eastAsia"/>
          <w:color w:val="auto"/>
        </w:rPr>
        <w:t>的</w:t>
      </w:r>
      <w:r>
        <w:rPr>
          <w:color w:val="auto"/>
        </w:rPr>
        <w:t>移液管 2～3次</w:t>
      </w:r>
      <w:r>
        <w:rPr>
          <w:rFonts w:hint="eastAsia"/>
          <w:color w:val="auto"/>
        </w:rPr>
        <w:t>，</w:t>
      </w:r>
      <w:bookmarkEnd w:id="46"/>
      <w:r>
        <w:rPr>
          <w:color w:val="auto"/>
        </w:rPr>
        <w:t>准确移取一定体积的滤液</w:t>
      </w:r>
      <w:r>
        <w:rPr>
          <w:rFonts w:hint="eastAsia"/>
          <w:color w:val="auto"/>
        </w:rPr>
        <w:t>（</w:t>
      </w:r>
      <w:r>
        <w:rPr>
          <w:rFonts w:hint="eastAsia"/>
          <w:i/>
          <w:iCs/>
          <w:color w:val="auto"/>
        </w:rPr>
        <w:t>V</w:t>
      </w:r>
      <w:r>
        <w:rPr>
          <w:rFonts w:hint="eastAsia"/>
          <w:color w:val="auto"/>
          <w:vertAlign w:val="subscript"/>
        </w:rPr>
        <w:t>1</w:t>
      </w:r>
      <w:r>
        <w:rPr>
          <w:rFonts w:hint="eastAsia"/>
          <w:color w:val="auto"/>
        </w:rPr>
        <w:t>）</w:t>
      </w:r>
      <w:r>
        <w:rPr>
          <w:color w:val="auto"/>
        </w:rPr>
        <w:t>于容量瓶</w:t>
      </w:r>
      <w:r>
        <w:rPr>
          <w:rFonts w:hint="eastAsia"/>
          <w:color w:val="auto"/>
        </w:rPr>
        <w:t>（</w:t>
      </w:r>
      <w:r>
        <w:rPr>
          <w:rFonts w:hint="eastAsia"/>
          <w:i/>
          <w:iCs/>
          <w:color w:val="auto"/>
        </w:rPr>
        <w:t>V</w:t>
      </w:r>
      <w:r>
        <w:rPr>
          <w:rFonts w:hint="eastAsia"/>
          <w:color w:val="auto"/>
          <w:vertAlign w:val="subscript"/>
        </w:rPr>
        <w:t>2</w:t>
      </w:r>
      <w:r>
        <w:rPr>
          <w:rFonts w:hint="eastAsia"/>
          <w:color w:val="auto"/>
        </w:rPr>
        <w:t>）</w:t>
      </w:r>
      <w:r>
        <w:rPr>
          <w:color w:val="auto"/>
        </w:rPr>
        <w:t>中，</w:t>
      </w:r>
      <w:r>
        <w:rPr>
          <w:rFonts w:hint="eastAsia"/>
          <w:color w:val="auto"/>
        </w:rPr>
        <w:t>稀释</w:t>
      </w:r>
      <w:r>
        <w:rPr>
          <w:color w:val="auto"/>
        </w:rPr>
        <w:t>至刻度，摇匀</w:t>
      </w:r>
      <w:r>
        <w:rPr>
          <w:rFonts w:hint="eastAsia"/>
          <w:color w:val="auto"/>
        </w:rPr>
        <w:t>，应</w:t>
      </w:r>
      <w:r>
        <w:rPr>
          <w:color w:val="auto"/>
        </w:rPr>
        <w:t>确保稀释后待测组分</w:t>
      </w:r>
      <w:r>
        <w:rPr>
          <w:rFonts w:hint="eastAsia"/>
          <w:color w:val="auto"/>
        </w:rPr>
        <w:t>中总溶解固体量</w:t>
      </w:r>
      <w:r>
        <w:rPr>
          <w:color w:val="auto"/>
        </w:rPr>
        <w:t>低于2 g/L</w:t>
      </w:r>
      <w:r>
        <w:rPr>
          <w:rFonts w:hint="eastAsia"/>
          <w:color w:val="auto"/>
        </w:rPr>
        <w:t>。</w:t>
      </w:r>
      <w:r>
        <w:rPr>
          <w:rFonts w:ascii="Segoe UI" w:hAnsi="Segoe UI" w:cs="Segoe UI"/>
          <w:color w:val="auto"/>
          <w:shd w:val="clear" w:color="auto" w:fill="FFFFFF"/>
        </w:rPr>
        <w:t>稀释因子</w:t>
      </w:r>
      <w:r>
        <w:rPr>
          <w:i/>
          <w:iCs/>
          <w:color w:val="auto"/>
          <w:shd w:val="clear" w:color="auto" w:fill="FFFFFF"/>
        </w:rPr>
        <w:t>f</w:t>
      </w:r>
      <w:r>
        <w:rPr>
          <w:rFonts w:hint="eastAsia"/>
          <w:color w:val="auto"/>
          <w:shd w:val="clear" w:color="auto" w:fill="FFFFFF"/>
        </w:rPr>
        <w:t xml:space="preserve"> </w:t>
      </w:r>
      <w:r>
        <w:rPr>
          <w:color w:val="auto"/>
          <w:shd w:val="clear" w:color="auto" w:fill="FFFFFF"/>
        </w:rPr>
        <w:t xml:space="preserve">= </w:t>
      </w:r>
      <w:r>
        <w:rPr>
          <w:i/>
          <w:iCs/>
          <w:color w:val="auto"/>
          <w:shd w:val="clear" w:color="auto" w:fill="FFFFFF"/>
        </w:rPr>
        <w:t>V</w:t>
      </w:r>
      <w:r>
        <w:rPr>
          <w:color w:val="auto"/>
          <w:shd w:val="clear" w:color="auto" w:fill="FFFFFF"/>
        </w:rPr>
        <w:t xml:space="preserve">₂ / </w:t>
      </w:r>
      <w:r>
        <w:rPr>
          <w:i/>
          <w:iCs/>
          <w:color w:val="auto"/>
          <w:shd w:val="clear" w:color="auto" w:fill="FFFFFF"/>
        </w:rPr>
        <w:t>V</w:t>
      </w:r>
      <w:r>
        <w:rPr>
          <w:color w:val="auto"/>
          <w:shd w:val="clear" w:color="auto" w:fill="FFFFFF"/>
        </w:rPr>
        <w:t>₁。</w:t>
      </w:r>
    </w:p>
    <w:p w14:paraId="66C780AB">
      <w:pPr>
        <w:pStyle w:val="56"/>
        <w:ind w:firstLine="420"/>
        <w:rPr>
          <w:color w:val="auto"/>
        </w:rPr>
      </w:pPr>
      <w:r>
        <w:rPr>
          <w:rFonts w:hint="eastAsia"/>
          <w:color w:val="auto"/>
        </w:rPr>
        <w:t>将各元素标准使用溶液（5.9、5.10）按表1所示分别移入50</w:t>
      </w:r>
      <w:r>
        <w:rPr>
          <w:color w:val="auto"/>
        </w:rPr>
        <w:t> </w:t>
      </w:r>
      <w:r>
        <w:rPr>
          <w:rFonts w:hint="eastAsia"/>
          <w:color w:val="auto"/>
        </w:rPr>
        <w:t>mL的容量瓶中，用水稀释定容至刻度，混匀，配制标准工作曲线溶液。</w:t>
      </w:r>
    </w:p>
    <w:p w14:paraId="0EA013D0">
      <w:pPr>
        <w:pStyle w:val="112"/>
        <w:spacing w:before="120" w:after="120"/>
        <w:rPr>
          <w:color w:val="auto"/>
        </w:rPr>
      </w:pPr>
      <w:r>
        <w:rPr>
          <w:rFonts w:hint="eastAsia"/>
          <w:color w:val="auto"/>
        </w:rPr>
        <w:t>标准工作曲线溶液的配制</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983"/>
        <w:gridCol w:w="1090"/>
        <w:gridCol w:w="1745"/>
        <w:gridCol w:w="992"/>
        <w:gridCol w:w="992"/>
        <w:gridCol w:w="992"/>
        <w:gridCol w:w="851"/>
        <w:gridCol w:w="850"/>
        <w:gridCol w:w="839"/>
      </w:tblGrid>
      <w:tr w14:paraId="4EC845D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983" w:type="dxa"/>
            <w:tcBorders>
              <w:top w:val="single" w:color="auto" w:sz="8" w:space="0"/>
              <w:bottom w:val="single" w:color="auto" w:sz="8" w:space="0"/>
            </w:tcBorders>
            <w:vAlign w:val="center"/>
          </w:tcPr>
          <w:p w14:paraId="2E24D76C">
            <w:pPr>
              <w:spacing w:line="240" w:lineRule="auto"/>
              <w:jc w:val="center"/>
              <w:rPr>
                <w:rFonts w:ascii="Times New Roman" w:hAnsi="Times New Roman"/>
                <w:color w:val="auto"/>
                <w:sz w:val="18"/>
              </w:rPr>
            </w:pPr>
            <w:r>
              <w:rPr>
                <w:rFonts w:hint="eastAsia" w:ascii="Times New Roman" w:hAnsi="Times New Roman"/>
                <w:color w:val="auto"/>
                <w:sz w:val="18"/>
              </w:rPr>
              <w:t>标准溶液</w:t>
            </w:r>
            <w:r>
              <w:rPr>
                <w:rFonts w:ascii="Times New Roman" w:hAnsi="Times New Roman"/>
                <w:color w:val="auto"/>
                <w:sz w:val="18"/>
              </w:rPr>
              <w:t>名称</w:t>
            </w:r>
          </w:p>
        </w:tc>
        <w:tc>
          <w:tcPr>
            <w:tcW w:w="1090" w:type="dxa"/>
            <w:tcBorders>
              <w:top w:val="single" w:color="auto" w:sz="8" w:space="0"/>
              <w:bottom w:val="single" w:color="auto" w:sz="8" w:space="0"/>
            </w:tcBorders>
            <w:vAlign w:val="center"/>
          </w:tcPr>
          <w:p w14:paraId="5669214D">
            <w:pPr>
              <w:spacing w:line="240" w:lineRule="auto"/>
              <w:jc w:val="center"/>
              <w:rPr>
                <w:rFonts w:ascii="Times New Roman" w:hAnsi="Times New Roman"/>
                <w:color w:val="auto"/>
                <w:sz w:val="18"/>
              </w:rPr>
            </w:pPr>
            <w:r>
              <w:rPr>
                <w:rFonts w:ascii="Times New Roman" w:hAnsi="Times New Roman"/>
                <w:color w:val="auto"/>
                <w:sz w:val="18"/>
              </w:rPr>
              <w:t>标准使用溶液浓度</w:t>
            </w:r>
            <w:r>
              <w:rPr>
                <w:rFonts w:hint="eastAsia" w:ascii="Times New Roman" w:hAnsi="Times New Roman"/>
                <w:color w:val="auto"/>
                <w:sz w:val="18"/>
              </w:rPr>
              <w:t>／</w:t>
            </w:r>
            <w:r>
              <w:rPr>
                <w:rFonts w:ascii="Times New Roman" w:hAnsi="Times New Roman"/>
                <w:color w:val="auto"/>
                <w:sz w:val="18"/>
                <w:szCs w:val="18"/>
              </w:rPr>
              <w:t>μg/mL</w:t>
            </w:r>
          </w:p>
        </w:tc>
        <w:tc>
          <w:tcPr>
            <w:tcW w:w="1745" w:type="dxa"/>
            <w:tcBorders>
              <w:top w:val="single" w:color="auto" w:sz="8" w:space="0"/>
              <w:bottom w:val="single" w:color="auto" w:sz="8" w:space="0"/>
            </w:tcBorders>
            <w:vAlign w:val="center"/>
          </w:tcPr>
          <w:p w14:paraId="1A2F635D">
            <w:pPr>
              <w:spacing w:line="240" w:lineRule="auto"/>
              <w:jc w:val="center"/>
              <w:rPr>
                <w:rFonts w:ascii="Times New Roman" w:hAnsi="Times New Roman"/>
                <w:color w:val="auto"/>
                <w:sz w:val="18"/>
              </w:rPr>
            </w:pPr>
            <w:r>
              <w:rPr>
                <w:rFonts w:ascii="Times New Roman" w:hAnsi="Times New Roman"/>
                <w:color w:val="auto"/>
                <w:sz w:val="18"/>
              </w:rPr>
              <w:t>标准溶液</w:t>
            </w:r>
          </w:p>
        </w:tc>
        <w:tc>
          <w:tcPr>
            <w:tcW w:w="992" w:type="dxa"/>
            <w:tcBorders>
              <w:top w:val="single" w:color="auto" w:sz="8" w:space="0"/>
              <w:bottom w:val="single" w:color="auto" w:sz="8" w:space="0"/>
            </w:tcBorders>
            <w:vAlign w:val="center"/>
          </w:tcPr>
          <w:p w14:paraId="270398D7">
            <w:pPr>
              <w:spacing w:line="240" w:lineRule="auto"/>
              <w:jc w:val="center"/>
              <w:rPr>
                <w:rFonts w:ascii="Times New Roman" w:hAnsi="Times New Roman"/>
                <w:color w:val="auto"/>
                <w:sz w:val="18"/>
              </w:rPr>
            </w:pPr>
            <w:r>
              <w:rPr>
                <w:rFonts w:ascii="Times New Roman" w:hAnsi="Times New Roman"/>
                <w:color w:val="auto"/>
                <w:sz w:val="18"/>
              </w:rPr>
              <w:t>1</w:t>
            </w:r>
          </w:p>
        </w:tc>
        <w:tc>
          <w:tcPr>
            <w:tcW w:w="992" w:type="dxa"/>
            <w:tcBorders>
              <w:top w:val="single" w:color="auto" w:sz="8" w:space="0"/>
              <w:bottom w:val="single" w:color="auto" w:sz="8" w:space="0"/>
            </w:tcBorders>
            <w:vAlign w:val="center"/>
          </w:tcPr>
          <w:p w14:paraId="500B3078">
            <w:pPr>
              <w:spacing w:line="240" w:lineRule="auto"/>
              <w:jc w:val="center"/>
              <w:rPr>
                <w:rFonts w:ascii="Times New Roman" w:hAnsi="Times New Roman"/>
                <w:color w:val="auto"/>
                <w:sz w:val="18"/>
              </w:rPr>
            </w:pPr>
            <w:r>
              <w:rPr>
                <w:rFonts w:ascii="Times New Roman" w:hAnsi="Times New Roman"/>
                <w:color w:val="auto"/>
                <w:sz w:val="18"/>
              </w:rPr>
              <w:t>2</w:t>
            </w:r>
          </w:p>
        </w:tc>
        <w:tc>
          <w:tcPr>
            <w:tcW w:w="992" w:type="dxa"/>
            <w:tcBorders>
              <w:top w:val="single" w:color="auto" w:sz="8" w:space="0"/>
              <w:bottom w:val="single" w:color="auto" w:sz="8" w:space="0"/>
            </w:tcBorders>
            <w:vAlign w:val="center"/>
          </w:tcPr>
          <w:p w14:paraId="584F468E">
            <w:pPr>
              <w:spacing w:line="240" w:lineRule="auto"/>
              <w:jc w:val="center"/>
              <w:rPr>
                <w:rFonts w:ascii="Times New Roman" w:hAnsi="Times New Roman"/>
                <w:color w:val="auto"/>
                <w:sz w:val="18"/>
              </w:rPr>
            </w:pPr>
            <w:r>
              <w:rPr>
                <w:rFonts w:ascii="Times New Roman" w:hAnsi="Times New Roman"/>
                <w:color w:val="auto"/>
                <w:sz w:val="18"/>
              </w:rPr>
              <w:t>3</w:t>
            </w:r>
          </w:p>
        </w:tc>
        <w:tc>
          <w:tcPr>
            <w:tcW w:w="851" w:type="dxa"/>
            <w:tcBorders>
              <w:top w:val="single" w:color="auto" w:sz="8" w:space="0"/>
              <w:bottom w:val="single" w:color="auto" w:sz="8" w:space="0"/>
            </w:tcBorders>
            <w:vAlign w:val="center"/>
          </w:tcPr>
          <w:p w14:paraId="7452A30E">
            <w:pPr>
              <w:spacing w:line="240" w:lineRule="auto"/>
              <w:jc w:val="center"/>
              <w:rPr>
                <w:rFonts w:ascii="Times New Roman" w:hAnsi="Times New Roman"/>
                <w:color w:val="auto"/>
                <w:sz w:val="18"/>
              </w:rPr>
            </w:pPr>
            <w:r>
              <w:rPr>
                <w:rFonts w:ascii="Times New Roman" w:hAnsi="Times New Roman"/>
                <w:color w:val="auto"/>
                <w:sz w:val="18"/>
              </w:rPr>
              <w:t>4</w:t>
            </w:r>
          </w:p>
        </w:tc>
        <w:tc>
          <w:tcPr>
            <w:tcW w:w="850" w:type="dxa"/>
            <w:tcBorders>
              <w:top w:val="single" w:color="auto" w:sz="8" w:space="0"/>
              <w:bottom w:val="single" w:color="auto" w:sz="8" w:space="0"/>
            </w:tcBorders>
            <w:vAlign w:val="center"/>
          </w:tcPr>
          <w:p w14:paraId="21463863">
            <w:pPr>
              <w:spacing w:line="240" w:lineRule="auto"/>
              <w:jc w:val="center"/>
              <w:rPr>
                <w:rFonts w:ascii="Times New Roman" w:hAnsi="Times New Roman"/>
                <w:color w:val="auto"/>
                <w:sz w:val="18"/>
              </w:rPr>
            </w:pPr>
            <w:r>
              <w:rPr>
                <w:rFonts w:ascii="Times New Roman" w:hAnsi="Times New Roman"/>
                <w:color w:val="auto"/>
                <w:sz w:val="18"/>
              </w:rPr>
              <w:t>5</w:t>
            </w:r>
          </w:p>
        </w:tc>
        <w:tc>
          <w:tcPr>
            <w:tcW w:w="839" w:type="dxa"/>
            <w:tcBorders>
              <w:top w:val="single" w:color="auto" w:sz="8" w:space="0"/>
              <w:bottom w:val="single" w:color="auto" w:sz="8" w:space="0"/>
            </w:tcBorders>
            <w:vAlign w:val="center"/>
          </w:tcPr>
          <w:p w14:paraId="1DEE01D0">
            <w:pPr>
              <w:spacing w:line="240" w:lineRule="auto"/>
              <w:jc w:val="center"/>
              <w:rPr>
                <w:rFonts w:ascii="Times New Roman" w:hAnsi="Times New Roman"/>
                <w:color w:val="auto"/>
                <w:sz w:val="18"/>
              </w:rPr>
            </w:pPr>
            <w:r>
              <w:rPr>
                <w:rFonts w:ascii="Times New Roman" w:hAnsi="Times New Roman"/>
                <w:color w:val="auto"/>
                <w:sz w:val="18"/>
              </w:rPr>
              <w:t>6</w:t>
            </w:r>
          </w:p>
        </w:tc>
      </w:tr>
      <w:tr w14:paraId="5C72F7CD">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8" w:hRule="atLeast"/>
          <w:jc w:val="center"/>
        </w:trPr>
        <w:tc>
          <w:tcPr>
            <w:tcW w:w="983" w:type="dxa"/>
            <w:vMerge w:val="restart"/>
            <w:tcBorders>
              <w:top w:val="single" w:color="auto" w:sz="8" w:space="0"/>
            </w:tcBorders>
            <w:vAlign w:val="center"/>
          </w:tcPr>
          <w:p w14:paraId="742CAC5C">
            <w:pPr>
              <w:spacing w:line="240" w:lineRule="auto"/>
              <w:jc w:val="center"/>
              <w:rPr>
                <w:rFonts w:ascii="Times New Roman" w:hAnsi="Times New Roman"/>
                <w:color w:val="auto"/>
                <w:sz w:val="18"/>
              </w:rPr>
            </w:pPr>
            <w:r>
              <w:rPr>
                <w:rFonts w:ascii="Times New Roman" w:hAnsi="Times New Roman"/>
                <w:color w:val="auto"/>
                <w:sz w:val="18"/>
              </w:rPr>
              <w:t>碘（I</w:t>
            </w:r>
            <w:r>
              <w:rPr>
                <w:rFonts w:ascii="Times New Roman" w:hAnsi="Times New Roman"/>
                <w:color w:val="auto"/>
                <w:sz w:val="18"/>
                <w:vertAlign w:val="superscript"/>
              </w:rPr>
              <w:t>-</w:t>
            </w:r>
            <w:r>
              <w:rPr>
                <w:rFonts w:ascii="Times New Roman" w:hAnsi="Times New Roman"/>
                <w:color w:val="auto"/>
                <w:sz w:val="18"/>
              </w:rPr>
              <w:t>）</w:t>
            </w:r>
          </w:p>
        </w:tc>
        <w:tc>
          <w:tcPr>
            <w:tcW w:w="1090" w:type="dxa"/>
            <w:vMerge w:val="restart"/>
            <w:tcBorders>
              <w:top w:val="single" w:color="auto" w:sz="8" w:space="0"/>
            </w:tcBorders>
            <w:vAlign w:val="center"/>
          </w:tcPr>
          <w:p w14:paraId="70DD4266">
            <w:pPr>
              <w:spacing w:line="240" w:lineRule="auto"/>
              <w:jc w:val="center"/>
              <w:rPr>
                <w:rFonts w:ascii="Times New Roman" w:hAnsi="Times New Roman"/>
                <w:color w:val="auto"/>
                <w:sz w:val="18"/>
              </w:rPr>
            </w:pPr>
            <w:r>
              <w:rPr>
                <w:rFonts w:ascii="Times New Roman" w:hAnsi="Times New Roman"/>
                <w:color w:val="auto"/>
                <w:sz w:val="18"/>
              </w:rPr>
              <w:t>100</w:t>
            </w:r>
          </w:p>
        </w:tc>
        <w:tc>
          <w:tcPr>
            <w:tcW w:w="1745" w:type="dxa"/>
            <w:tcBorders>
              <w:top w:val="single" w:color="auto" w:sz="8" w:space="0"/>
            </w:tcBorders>
            <w:vAlign w:val="center"/>
          </w:tcPr>
          <w:p w14:paraId="7349425B">
            <w:pPr>
              <w:spacing w:line="240" w:lineRule="auto"/>
              <w:jc w:val="center"/>
              <w:rPr>
                <w:rFonts w:ascii="Times New Roman" w:hAnsi="Times New Roman"/>
                <w:color w:val="auto"/>
                <w:sz w:val="18"/>
              </w:rPr>
            </w:pPr>
            <w:r>
              <w:rPr>
                <w:rFonts w:ascii="Times New Roman" w:hAnsi="Times New Roman"/>
                <w:color w:val="auto"/>
                <w:sz w:val="18"/>
              </w:rPr>
              <w:t>工作曲线溶液浓度</w:t>
            </w:r>
            <w:r>
              <w:rPr>
                <w:rFonts w:hint="eastAsia" w:ascii="Times New Roman" w:hAnsi="Times New Roman"/>
                <w:color w:val="auto"/>
                <w:sz w:val="18"/>
              </w:rPr>
              <w:t>（</w:t>
            </w:r>
            <w:r>
              <w:rPr>
                <w:rFonts w:ascii="Times New Roman" w:hAnsi="Times New Roman"/>
                <w:color w:val="auto"/>
                <w:sz w:val="18"/>
                <w:szCs w:val="18"/>
              </w:rPr>
              <w:t>μg/mL</w:t>
            </w:r>
            <w:r>
              <w:rPr>
                <w:rFonts w:hint="eastAsia" w:ascii="Times New Roman" w:hAnsi="Times New Roman"/>
                <w:color w:val="auto"/>
                <w:sz w:val="18"/>
              </w:rPr>
              <w:t>）</w:t>
            </w:r>
          </w:p>
        </w:tc>
        <w:tc>
          <w:tcPr>
            <w:tcW w:w="992" w:type="dxa"/>
            <w:tcBorders>
              <w:top w:val="single" w:color="auto" w:sz="8" w:space="0"/>
            </w:tcBorders>
            <w:vAlign w:val="center"/>
          </w:tcPr>
          <w:p w14:paraId="5C838E46">
            <w:pPr>
              <w:spacing w:line="240" w:lineRule="auto"/>
              <w:jc w:val="center"/>
              <w:rPr>
                <w:rFonts w:ascii="Times New Roman" w:hAnsi="Times New Roman"/>
                <w:color w:val="auto"/>
                <w:sz w:val="18"/>
              </w:rPr>
            </w:pPr>
            <w:r>
              <w:rPr>
                <w:rFonts w:ascii="Times New Roman" w:hAnsi="Times New Roman"/>
                <w:color w:val="auto"/>
                <w:sz w:val="18"/>
              </w:rPr>
              <w:t>0.00</w:t>
            </w:r>
          </w:p>
        </w:tc>
        <w:tc>
          <w:tcPr>
            <w:tcW w:w="992" w:type="dxa"/>
            <w:tcBorders>
              <w:top w:val="single" w:color="auto" w:sz="8" w:space="0"/>
            </w:tcBorders>
            <w:vAlign w:val="center"/>
          </w:tcPr>
          <w:p w14:paraId="3DF5FEF4">
            <w:pPr>
              <w:spacing w:line="240" w:lineRule="auto"/>
              <w:jc w:val="center"/>
              <w:rPr>
                <w:rFonts w:ascii="Times New Roman" w:hAnsi="Times New Roman"/>
                <w:color w:val="auto"/>
                <w:sz w:val="18"/>
              </w:rPr>
            </w:pPr>
            <w:r>
              <w:rPr>
                <w:rFonts w:ascii="Times New Roman" w:hAnsi="Times New Roman"/>
                <w:color w:val="auto"/>
                <w:sz w:val="18"/>
              </w:rPr>
              <w:t>2.00</w:t>
            </w:r>
          </w:p>
        </w:tc>
        <w:tc>
          <w:tcPr>
            <w:tcW w:w="992" w:type="dxa"/>
            <w:tcBorders>
              <w:top w:val="single" w:color="auto" w:sz="8" w:space="0"/>
            </w:tcBorders>
            <w:vAlign w:val="center"/>
          </w:tcPr>
          <w:p w14:paraId="2142A338">
            <w:pPr>
              <w:spacing w:line="240" w:lineRule="auto"/>
              <w:jc w:val="center"/>
              <w:rPr>
                <w:rFonts w:ascii="Times New Roman" w:hAnsi="Times New Roman"/>
                <w:color w:val="auto"/>
                <w:sz w:val="18"/>
              </w:rPr>
            </w:pPr>
            <w:r>
              <w:rPr>
                <w:rFonts w:ascii="Times New Roman" w:hAnsi="Times New Roman"/>
                <w:color w:val="auto"/>
                <w:sz w:val="18"/>
              </w:rPr>
              <w:t>4.00</w:t>
            </w:r>
          </w:p>
        </w:tc>
        <w:tc>
          <w:tcPr>
            <w:tcW w:w="851" w:type="dxa"/>
            <w:tcBorders>
              <w:top w:val="single" w:color="auto" w:sz="8" w:space="0"/>
            </w:tcBorders>
            <w:vAlign w:val="center"/>
          </w:tcPr>
          <w:p w14:paraId="147C6740">
            <w:pPr>
              <w:spacing w:line="240" w:lineRule="auto"/>
              <w:jc w:val="center"/>
              <w:rPr>
                <w:rFonts w:ascii="Times New Roman" w:hAnsi="Times New Roman"/>
                <w:color w:val="auto"/>
                <w:sz w:val="18"/>
              </w:rPr>
            </w:pPr>
            <w:r>
              <w:rPr>
                <w:rFonts w:ascii="Times New Roman" w:hAnsi="Times New Roman"/>
                <w:color w:val="auto"/>
                <w:sz w:val="18"/>
              </w:rPr>
              <w:t>6.00</w:t>
            </w:r>
          </w:p>
        </w:tc>
        <w:tc>
          <w:tcPr>
            <w:tcW w:w="850" w:type="dxa"/>
            <w:tcBorders>
              <w:top w:val="single" w:color="auto" w:sz="8" w:space="0"/>
            </w:tcBorders>
            <w:vAlign w:val="center"/>
          </w:tcPr>
          <w:p w14:paraId="0391B5CE">
            <w:pPr>
              <w:spacing w:line="240" w:lineRule="auto"/>
              <w:jc w:val="center"/>
              <w:rPr>
                <w:rFonts w:ascii="Times New Roman" w:hAnsi="Times New Roman"/>
                <w:color w:val="auto"/>
                <w:sz w:val="18"/>
              </w:rPr>
            </w:pPr>
            <w:r>
              <w:rPr>
                <w:rFonts w:ascii="Times New Roman" w:hAnsi="Times New Roman"/>
                <w:color w:val="auto"/>
                <w:sz w:val="18"/>
              </w:rPr>
              <w:t>8.00</w:t>
            </w:r>
          </w:p>
        </w:tc>
        <w:tc>
          <w:tcPr>
            <w:tcW w:w="839" w:type="dxa"/>
            <w:tcBorders>
              <w:top w:val="single" w:color="auto" w:sz="8" w:space="0"/>
            </w:tcBorders>
            <w:vAlign w:val="center"/>
          </w:tcPr>
          <w:p w14:paraId="07F8521E">
            <w:pPr>
              <w:spacing w:line="240" w:lineRule="auto"/>
              <w:jc w:val="center"/>
              <w:rPr>
                <w:rFonts w:ascii="Times New Roman" w:hAnsi="Times New Roman"/>
                <w:color w:val="auto"/>
                <w:sz w:val="18"/>
              </w:rPr>
            </w:pPr>
            <w:r>
              <w:rPr>
                <w:rFonts w:ascii="Times New Roman" w:hAnsi="Times New Roman"/>
                <w:color w:val="auto"/>
                <w:sz w:val="18"/>
              </w:rPr>
              <w:t>10.00</w:t>
            </w:r>
          </w:p>
        </w:tc>
      </w:tr>
      <w:tr w14:paraId="0F1FB8D7">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08" w:hRule="atLeast"/>
          <w:jc w:val="center"/>
        </w:trPr>
        <w:tc>
          <w:tcPr>
            <w:tcW w:w="983" w:type="dxa"/>
            <w:vMerge w:val="continue"/>
            <w:vAlign w:val="center"/>
          </w:tcPr>
          <w:p w14:paraId="41996870">
            <w:pPr>
              <w:spacing w:line="240" w:lineRule="auto"/>
              <w:jc w:val="center"/>
              <w:rPr>
                <w:rFonts w:ascii="Times New Roman" w:hAnsi="Times New Roman"/>
                <w:color w:val="auto"/>
                <w:sz w:val="18"/>
              </w:rPr>
            </w:pPr>
          </w:p>
        </w:tc>
        <w:tc>
          <w:tcPr>
            <w:tcW w:w="1090" w:type="dxa"/>
            <w:vMerge w:val="continue"/>
            <w:vAlign w:val="center"/>
          </w:tcPr>
          <w:p w14:paraId="354858EB">
            <w:pPr>
              <w:spacing w:line="240" w:lineRule="auto"/>
              <w:jc w:val="center"/>
              <w:rPr>
                <w:rFonts w:ascii="Times New Roman" w:hAnsi="Times New Roman"/>
                <w:color w:val="auto"/>
                <w:sz w:val="18"/>
              </w:rPr>
            </w:pPr>
          </w:p>
        </w:tc>
        <w:tc>
          <w:tcPr>
            <w:tcW w:w="1745" w:type="dxa"/>
            <w:vAlign w:val="center"/>
          </w:tcPr>
          <w:p w14:paraId="33880D1C">
            <w:pPr>
              <w:spacing w:line="240" w:lineRule="auto"/>
              <w:jc w:val="center"/>
              <w:rPr>
                <w:rFonts w:ascii="Times New Roman" w:hAnsi="Times New Roman"/>
                <w:color w:val="auto"/>
                <w:sz w:val="18"/>
              </w:rPr>
            </w:pPr>
            <w:r>
              <w:rPr>
                <w:rFonts w:ascii="Times New Roman" w:hAnsi="Times New Roman"/>
                <w:color w:val="auto"/>
                <w:sz w:val="18"/>
              </w:rPr>
              <w:t>标准溶液体积</w:t>
            </w:r>
            <w:bookmarkStart w:id="47" w:name="OLE_LINK2"/>
            <w:r>
              <w:rPr>
                <w:rFonts w:hint="eastAsia" w:ascii="Times New Roman" w:hAnsi="Times New Roman"/>
                <w:color w:val="auto"/>
                <w:sz w:val="18"/>
              </w:rPr>
              <w:t>（</w:t>
            </w:r>
            <w:r>
              <w:rPr>
                <w:rFonts w:ascii="Times New Roman" w:hAnsi="Times New Roman"/>
                <w:color w:val="auto"/>
                <w:sz w:val="18"/>
              </w:rPr>
              <w:t>mL</w:t>
            </w:r>
            <w:r>
              <w:rPr>
                <w:rFonts w:hint="eastAsia" w:ascii="Times New Roman" w:hAnsi="Times New Roman"/>
                <w:color w:val="auto"/>
                <w:sz w:val="18"/>
              </w:rPr>
              <w:t>）</w:t>
            </w:r>
            <w:bookmarkEnd w:id="47"/>
          </w:p>
        </w:tc>
        <w:tc>
          <w:tcPr>
            <w:tcW w:w="992" w:type="dxa"/>
            <w:vAlign w:val="center"/>
          </w:tcPr>
          <w:p w14:paraId="056BA791">
            <w:pPr>
              <w:spacing w:line="240" w:lineRule="auto"/>
              <w:jc w:val="center"/>
              <w:rPr>
                <w:rFonts w:ascii="Times New Roman" w:hAnsi="Times New Roman"/>
                <w:color w:val="auto"/>
                <w:sz w:val="18"/>
              </w:rPr>
            </w:pPr>
            <w:r>
              <w:rPr>
                <w:rFonts w:ascii="Times New Roman" w:hAnsi="Times New Roman"/>
                <w:color w:val="auto"/>
                <w:sz w:val="18"/>
              </w:rPr>
              <w:t>0.00</w:t>
            </w:r>
          </w:p>
        </w:tc>
        <w:tc>
          <w:tcPr>
            <w:tcW w:w="992" w:type="dxa"/>
            <w:vAlign w:val="center"/>
          </w:tcPr>
          <w:p w14:paraId="0E082897">
            <w:pPr>
              <w:spacing w:line="240" w:lineRule="auto"/>
              <w:jc w:val="center"/>
              <w:rPr>
                <w:rFonts w:ascii="Times New Roman" w:hAnsi="Times New Roman"/>
                <w:color w:val="auto"/>
                <w:sz w:val="18"/>
              </w:rPr>
            </w:pPr>
            <w:r>
              <w:rPr>
                <w:rFonts w:ascii="Times New Roman" w:hAnsi="Times New Roman"/>
                <w:color w:val="auto"/>
                <w:sz w:val="18"/>
              </w:rPr>
              <w:t>0.50</w:t>
            </w:r>
          </w:p>
        </w:tc>
        <w:tc>
          <w:tcPr>
            <w:tcW w:w="992" w:type="dxa"/>
            <w:vAlign w:val="center"/>
          </w:tcPr>
          <w:p w14:paraId="6A09E432">
            <w:pPr>
              <w:spacing w:line="240" w:lineRule="auto"/>
              <w:jc w:val="center"/>
              <w:rPr>
                <w:rFonts w:ascii="Times New Roman" w:hAnsi="Times New Roman"/>
                <w:color w:val="auto"/>
                <w:sz w:val="18"/>
              </w:rPr>
            </w:pPr>
            <w:r>
              <w:rPr>
                <w:rFonts w:ascii="Times New Roman" w:hAnsi="Times New Roman"/>
                <w:color w:val="auto"/>
                <w:sz w:val="18"/>
              </w:rPr>
              <w:t>1.00</w:t>
            </w:r>
          </w:p>
        </w:tc>
        <w:tc>
          <w:tcPr>
            <w:tcW w:w="851" w:type="dxa"/>
            <w:vAlign w:val="center"/>
          </w:tcPr>
          <w:p w14:paraId="18844CF9">
            <w:pPr>
              <w:spacing w:line="240" w:lineRule="auto"/>
              <w:jc w:val="center"/>
              <w:rPr>
                <w:rFonts w:ascii="Times New Roman" w:hAnsi="Times New Roman"/>
                <w:color w:val="auto"/>
                <w:sz w:val="18"/>
              </w:rPr>
            </w:pPr>
            <w:r>
              <w:rPr>
                <w:rFonts w:ascii="Times New Roman" w:hAnsi="Times New Roman"/>
                <w:color w:val="auto"/>
                <w:sz w:val="18"/>
              </w:rPr>
              <w:t>1.50</w:t>
            </w:r>
          </w:p>
        </w:tc>
        <w:tc>
          <w:tcPr>
            <w:tcW w:w="850" w:type="dxa"/>
            <w:vAlign w:val="center"/>
          </w:tcPr>
          <w:p w14:paraId="2689BB22">
            <w:pPr>
              <w:spacing w:line="240" w:lineRule="auto"/>
              <w:jc w:val="center"/>
              <w:rPr>
                <w:rFonts w:ascii="Times New Roman" w:hAnsi="Times New Roman"/>
                <w:color w:val="auto"/>
                <w:sz w:val="18"/>
              </w:rPr>
            </w:pPr>
            <w:r>
              <w:rPr>
                <w:rFonts w:ascii="Times New Roman" w:hAnsi="Times New Roman"/>
                <w:color w:val="auto"/>
                <w:sz w:val="18"/>
              </w:rPr>
              <w:t>2.00</w:t>
            </w:r>
          </w:p>
        </w:tc>
        <w:tc>
          <w:tcPr>
            <w:tcW w:w="839" w:type="dxa"/>
            <w:vAlign w:val="center"/>
          </w:tcPr>
          <w:p w14:paraId="0CDCD68E">
            <w:pPr>
              <w:spacing w:line="240" w:lineRule="auto"/>
              <w:jc w:val="center"/>
              <w:rPr>
                <w:rFonts w:ascii="Times New Roman" w:hAnsi="Times New Roman"/>
                <w:color w:val="auto"/>
                <w:sz w:val="18"/>
              </w:rPr>
            </w:pPr>
            <w:r>
              <w:rPr>
                <w:rFonts w:ascii="Times New Roman" w:hAnsi="Times New Roman"/>
                <w:color w:val="auto"/>
                <w:sz w:val="18"/>
              </w:rPr>
              <w:t>2.50</w:t>
            </w:r>
          </w:p>
        </w:tc>
      </w:tr>
      <w:tr w14:paraId="0936576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340" w:hRule="atLeast"/>
          <w:jc w:val="center"/>
        </w:trPr>
        <w:tc>
          <w:tcPr>
            <w:tcW w:w="983" w:type="dxa"/>
            <w:vMerge w:val="restart"/>
            <w:vAlign w:val="center"/>
          </w:tcPr>
          <w:p w14:paraId="4F02CCDF">
            <w:pPr>
              <w:spacing w:line="240" w:lineRule="auto"/>
              <w:jc w:val="center"/>
              <w:rPr>
                <w:color w:val="auto"/>
                <w:sz w:val="18"/>
              </w:rPr>
            </w:pPr>
            <w:r>
              <w:rPr>
                <w:rFonts w:hint="eastAsia" w:ascii="Times New Roman" w:hAnsi="Times New Roman"/>
                <w:color w:val="auto"/>
                <w:sz w:val="18"/>
              </w:rPr>
              <w:t>磷酸根（PO</w:t>
            </w:r>
            <w:r>
              <w:rPr>
                <w:rFonts w:hint="eastAsia" w:ascii="Times New Roman" w:hAnsi="Times New Roman"/>
                <w:color w:val="auto"/>
                <w:sz w:val="18"/>
                <w:vertAlign w:val="subscript"/>
              </w:rPr>
              <w:t>4</w:t>
            </w:r>
            <w:r>
              <w:rPr>
                <w:rFonts w:hint="eastAsia" w:ascii="Times New Roman" w:hAnsi="Times New Roman"/>
                <w:color w:val="auto"/>
                <w:sz w:val="18"/>
                <w:vertAlign w:val="superscript"/>
              </w:rPr>
              <w:t>3-</w:t>
            </w:r>
            <w:r>
              <w:rPr>
                <w:rFonts w:hint="eastAsia" w:ascii="Times New Roman" w:hAnsi="Times New Roman"/>
                <w:color w:val="auto"/>
                <w:sz w:val="18"/>
              </w:rPr>
              <w:t>）</w:t>
            </w:r>
            <w:r>
              <w:rPr>
                <w:color w:val="auto"/>
                <w:sz w:val="18"/>
              </w:rPr>
              <w:t xml:space="preserve"> </w:t>
            </w:r>
          </w:p>
        </w:tc>
        <w:tc>
          <w:tcPr>
            <w:tcW w:w="1090" w:type="dxa"/>
            <w:vMerge w:val="restart"/>
            <w:vAlign w:val="center"/>
          </w:tcPr>
          <w:p w14:paraId="397A6CC4">
            <w:pPr>
              <w:spacing w:line="240" w:lineRule="auto"/>
              <w:jc w:val="center"/>
              <w:rPr>
                <w:rFonts w:ascii="Times New Roman" w:hAnsi="Times New Roman"/>
                <w:color w:val="auto"/>
                <w:sz w:val="18"/>
              </w:rPr>
            </w:pPr>
            <w:r>
              <w:rPr>
                <w:rFonts w:ascii="Times New Roman" w:hAnsi="Times New Roman"/>
                <w:color w:val="auto"/>
                <w:sz w:val="18"/>
              </w:rPr>
              <w:t>100</w:t>
            </w:r>
          </w:p>
        </w:tc>
        <w:tc>
          <w:tcPr>
            <w:tcW w:w="1745" w:type="dxa"/>
            <w:vAlign w:val="center"/>
          </w:tcPr>
          <w:p w14:paraId="28AB684E">
            <w:pPr>
              <w:spacing w:line="240" w:lineRule="auto"/>
              <w:jc w:val="center"/>
              <w:rPr>
                <w:rFonts w:ascii="Times New Roman" w:hAnsi="Times New Roman"/>
                <w:color w:val="auto"/>
                <w:sz w:val="18"/>
              </w:rPr>
            </w:pPr>
            <w:r>
              <w:rPr>
                <w:rFonts w:ascii="Times New Roman" w:hAnsi="Times New Roman"/>
                <w:color w:val="auto"/>
                <w:sz w:val="18"/>
              </w:rPr>
              <w:t>工作曲线溶液浓度</w:t>
            </w:r>
            <w:r>
              <w:rPr>
                <w:rFonts w:hint="eastAsia" w:ascii="Times New Roman" w:hAnsi="Times New Roman"/>
                <w:color w:val="auto"/>
                <w:sz w:val="18"/>
              </w:rPr>
              <w:t>（</w:t>
            </w:r>
            <w:r>
              <w:rPr>
                <w:rFonts w:ascii="Times New Roman" w:hAnsi="Times New Roman"/>
                <w:color w:val="auto"/>
                <w:sz w:val="18"/>
                <w:szCs w:val="18"/>
              </w:rPr>
              <w:t>μg/mL</w:t>
            </w:r>
            <w:r>
              <w:rPr>
                <w:rFonts w:hint="eastAsia" w:ascii="Times New Roman" w:hAnsi="Times New Roman"/>
                <w:color w:val="auto"/>
                <w:sz w:val="18"/>
              </w:rPr>
              <w:t>）</w:t>
            </w:r>
          </w:p>
        </w:tc>
        <w:tc>
          <w:tcPr>
            <w:tcW w:w="992" w:type="dxa"/>
            <w:vAlign w:val="center"/>
          </w:tcPr>
          <w:p w14:paraId="52CD4EA7">
            <w:pPr>
              <w:spacing w:line="240" w:lineRule="auto"/>
              <w:jc w:val="center"/>
              <w:rPr>
                <w:rFonts w:ascii="Times New Roman" w:hAnsi="Times New Roman"/>
                <w:color w:val="auto"/>
                <w:sz w:val="18"/>
              </w:rPr>
            </w:pPr>
            <w:r>
              <w:rPr>
                <w:rFonts w:ascii="Times New Roman" w:hAnsi="Times New Roman"/>
                <w:color w:val="auto"/>
                <w:sz w:val="18"/>
              </w:rPr>
              <w:t>0.00</w:t>
            </w:r>
          </w:p>
        </w:tc>
        <w:tc>
          <w:tcPr>
            <w:tcW w:w="992" w:type="dxa"/>
            <w:vAlign w:val="center"/>
          </w:tcPr>
          <w:p w14:paraId="294F4019">
            <w:pPr>
              <w:spacing w:line="240" w:lineRule="auto"/>
              <w:jc w:val="center"/>
              <w:rPr>
                <w:rFonts w:ascii="Times New Roman" w:hAnsi="Times New Roman"/>
                <w:color w:val="auto"/>
                <w:sz w:val="18"/>
              </w:rPr>
            </w:pPr>
            <w:r>
              <w:rPr>
                <w:rFonts w:ascii="Times New Roman" w:hAnsi="Times New Roman"/>
                <w:color w:val="auto"/>
                <w:sz w:val="18"/>
              </w:rPr>
              <w:t>2.00</w:t>
            </w:r>
          </w:p>
        </w:tc>
        <w:tc>
          <w:tcPr>
            <w:tcW w:w="992" w:type="dxa"/>
            <w:vAlign w:val="center"/>
          </w:tcPr>
          <w:p w14:paraId="605ADA58">
            <w:pPr>
              <w:spacing w:line="240" w:lineRule="auto"/>
              <w:jc w:val="center"/>
              <w:rPr>
                <w:rFonts w:ascii="Times New Roman" w:hAnsi="Times New Roman"/>
                <w:color w:val="auto"/>
                <w:sz w:val="18"/>
              </w:rPr>
            </w:pPr>
            <w:r>
              <w:rPr>
                <w:rFonts w:ascii="Times New Roman" w:hAnsi="Times New Roman"/>
                <w:color w:val="auto"/>
                <w:sz w:val="18"/>
              </w:rPr>
              <w:t>4.00</w:t>
            </w:r>
          </w:p>
        </w:tc>
        <w:tc>
          <w:tcPr>
            <w:tcW w:w="851" w:type="dxa"/>
            <w:vAlign w:val="center"/>
          </w:tcPr>
          <w:p w14:paraId="187744F4">
            <w:pPr>
              <w:spacing w:line="240" w:lineRule="auto"/>
              <w:jc w:val="center"/>
              <w:rPr>
                <w:rFonts w:ascii="Times New Roman" w:hAnsi="Times New Roman"/>
                <w:color w:val="auto"/>
                <w:sz w:val="18"/>
              </w:rPr>
            </w:pPr>
            <w:r>
              <w:rPr>
                <w:rFonts w:ascii="Times New Roman" w:hAnsi="Times New Roman"/>
                <w:color w:val="auto"/>
                <w:sz w:val="18"/>
              </w:rPr>
              <w:t>6.00</w:t>
            </w:r>
          </w:p>
        </w:tc>
        <w:tc>
          <w:tcPr>
            <w:tcW w:w="850" w:type="dxa"/>
            <w:vAlign w:val="center"/>
          </w:tcPr>
          <w:p w14:paraId="329CF618">
            <w:pPr>
              <w:spacing w:line="240" w:lineRule="auto"/>
              <w:jc w:val="center"/>
              <w:rPr>
                <w:rFonts w:ascii="Times New Roman" w:hAnsi="Times New Roman"/>
                <w:color w:val="auto"/>
                <w:sz w:val="18"/>
              </w:rPr>
            </w:pPr>
            <w:r>
              <w:rPr>
                <w:rFonts w:ascii="Times New Roman" w:hAnsi="Times New Roman"/>
                <w:color w:val="auto"/>
                <w:sz w:val="18"/>
              </w:rPr>
              <w:t>8.00</w:t>
            </w:r>
          </w:p>
        </w:tc>
        <w:tc>
          <w:tcPr>
            <w:tcW w:w="839" w:type="dxa"/>
            <w:vAlign w:val="center"/>
          </w:tcPr>
          <w:p w14:paraId="4A99CC10">
            <w:pPr>
              <w:spacing w:line="240" w:lineRule="auto"/>
              <w:jc w:val="center"/>
              <w:rPr>
                <w:rFonts w:ascii="Times New Roman" w:hAnsi="Times New Roman"/>
                <w:color w:val="auto"/>
                <w:sz w:val="18"/>
              </w:rPr>
            </w:pPr>
            <w:r>
              <w:rPr>
                <w:rFonts w:ascii="Times New Roman" w:hAnsi="Times New Roman"/>
                <w:color w:val="auto"/>
                <w:sz w:val="18"/>
              </w:rPr>
              <w:t>10.00</w:t>
            </w:r>
          </w:p>
        </w:tc>
      </w:tr>
      <w:tr w14:paraId="55486D5A">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rHeight w:val="484" w:hRule="atLeast"/>
          <w:jc w:val="center"/>
        </w:trPr>
        <w:tc>
          <w:tcPr>
            <w:tcW w:w="983" w:type="dxa"/>
            <w:vMerge w:val="continue"/>
            <w:tcBorders>
              <w:bottom w:val="single" w:color="auto" w:sz="8" w:space="0"/>
            </w:tcBorders>
            <w:vAlign w:val="center"/>
          </w:tcPr>
          <w:p w14:paraId="04C30EB7">
            <w:pPr>
              <w:spacing w:line="240" w:lineRule="auto"/>
              <w:jc w:val="center"/>
              <w:rPr>
                <w:rFonts w:ascii="Times New Roman" w:hAnsi="Times New Roman"/>
                <w:color w:val="auto"/>
                <w:sz w:val="18"/>
              </w:rPr>
            </w:pPr>
          </w:p>
        </w:tc>
        <w:tc>
          <w:tcPr>
            <w:tcW w:w="1090" w:type="dxa"/>
            <w:vMerge w:val="continue"/>
            <w:tcBorders>
              <w:bottom w:val="single" w:color="auto" w:sz="8" w:space="0"/>
            </w:tcBorders>
            <w:vAlign w:val="center"/>
          </w:tcPr>
          <w:p w14:paraId="4A183A3A">
            <w:pPr>
              <w:spacing w:line="240" w:lineRule="auto"/>
              <w:jc w:val="center"/>
              <w:rPr>
                <w:rFonts w:ascii="Times New Roman" w:hAnsi="Times New Roman"/>
                <w:color w:val="auto"/>
                <w:sz w:val="18"/>
              </w:rPr>
            </w:pPr>
          </w:p>
        </w:tc>
        <w:tc>
          <w:tcPr>
            <w:tcW w:w="1745" w:type="dxa"/>
            <w:tcBorders>
              <w:bottom w:val="single" w:color="auto" w:sz="8" w:space="0"/>
            </w:tcBorders>
            <w:vAlign w:val="center"/>
          </w:tcPr>
          <w:p w14:paraId="059E0F13">
            <w:pPr>
              <w:spacing w:line="240" w:lineRule="auto"/>
              <w:jc w:val="center"/>
              <w:rPr>
                <w:rFonts w:ascii="Times New Roman" w:hAnsi="Times New Roman"/>
                <w:color w:val="auto"/>
                <w:sz w:val="18"/>
              </w:rPr>
            </w:pPr>
            <w:r>
              <w:rPr>
                <w:rFonts w:ascii="Times New Roman" w:hAnsi="Times New Roman"/>
                <w:color w:val="auto"/>
                <w:sz w:val="18"/>
              </w:rPr>
              <w:t>标准溶液体积</w:t>
            </w:r>
          </w:p>
          <w:p w14:paraId="1E7EA24E">
            <w:pPr>
              <w:spacing w:line="240" w:lineRule="auto"/>
              <w:jc w:val="center"/>
              <w:rPr>
                <w:rFonts w:ascii="Times New Roman" w:hAnsi="Times New Roman"/>
                <w:color w:val="auto"/>
                <w:sz w:val="18"/>
              </w:rPr>
            </w:pPr>
            <w:r>
              <w:rPr>
                <w:rFonts w:hint="eastAsia" w:ascii="Times New Roman" w:hAnsi="Times New Roman"/>
                <w:color w:val="auto"/>
                <w:sz w:val="18"/>
              </w:rPr>
              <w:t>（</w:t>
            </w:r>
            <w:r>
              <w:rPr>
                <w:rFonts w:ascii="Times New Roman" w:hAnsi="Times New Roman"/>
                <w:color w:val="auto"/>
                <w:sz w:val="18"/>
              </w:rPr>
              <w:t>mL</w:t>
            </w:r>
            <w:r>
              <w:rPr>
                <w:rFonts w:hint="eastAsia" w:ascii="Times New Roman" w:hAnsi="Times New Roman"/>
                <w:color w:val="auto"/>
                <w:sz w:val="18"/>
              </w:rPr>
              <w:t>）</w:t>
            </w:r>
          </w:p>
        </w:tc>
        <w:tc>
          <w:tcPr>
            <w:tcW w:w="992" w:type="dxa"/>
            <w:tcBorders>
              <w:bottom w:val="single" w:color="auto" w:sz="8" w:space="0"/>
            </w:tcBorders>
            <w:vAlign w:val="center"/>
          </w:tcPr>
          <w:p w14:paraId="7B255F00">
            <w:pPr>
              <w:spacing w:line="240" w:lineRule="auto"/>
              <w:jc w:val="center"/>
              <w:rPr>
                <w:rFonts w:ascii="Times New Roman" w:hAnsi="Times New Roman"/>
                <w:color w:val="auto"/>
                <w:sz w:val="18"/>
              </w:rPr>
            </w:pPr>
            <w:r>
              <w:rPr>
                <w:rFonts w:ascii="Times New Roman" w:hAnsi="Times New Roman"/>
                <w:color w:val="auto"/>
                <w:sz w:val="18"/>
              </w:rPr>
              <w:t>0.00</w:t>
            </w:r>
          </w:p>
        </w:tc>
        <w:tc>
          <w:tcPr>
            <w:tcW w:w="992" w:type="dxa"/>
            <w:tcBorders>
              <w:bottom w:val="single" w:color="auto" w:sz="8" w:space="0"/>
            </w:tcBorders>
            <w:vAlign w:val="center"/>
          </w:tcPr>
          <w:p w14:paraId="63BA8CF1">
            <w:pPr>
              <w:spacing w:line="240" w:lineRule="auto"/>
              <w:jc w:val="center"/>
              <w:rPr>
                <w:rFonts w:ascii="Times New Roman" w:hAnsi="Times New Roman"/>
                <w:color w:val="auto"/>
                <w:sz w:val="18"/>
              </w:rPr>
            </w:pPr>
            <w:r>
              <w:rPr>
                <w:rFonts w:ascii="Times New Roman" w:hAnsi="Times New Roman"/>
                <w:color w:val="auto"/>
                <w:sz w:val="18"/>
              </w:rPr>
              <w:t>0.50</w:t>
            </w:r>
          </w:p>
        </w:tc>
        <w:tc>
          <w:tcPr>
            <w:tcW w:w="992" w:type="dxa"/>
            <w:tcBorders>
              <w:bottom w:val="single" w:color="auto" w:sz="8" w:space="0"/>
            </w:tcBorders>
            <w:vAlign w:val="center"/>
          </w:tcPr>
          <w:p w14:paraId="06BDE2D4">
            <w:pPr>
              <w:spacing w:line="240" w:lineRule="auto"/>
              <w:jc w:val="center"/>
              <w:rPr>
                <w:rFonts w:ascii="Times New Roman" w:hAnsi="Times New Roman"/>
                <w:color w:val="auto"/>
                <w:sz w:val="18"/>
              </w:rPr>
            </w:pPr>
            <w:r>
              <w:rPr>
                <w:rFonts w:ascii="Times New Roman" w:hAnsi="Times New Roman"/>
                <w:color w:val="auto"/>
                <w:sz w:val="18"/>
              </w:rPr>
              <w:t>1.00</w:t>
            </w:r>
          </w:p>
        </w:tc>
        <w:tc>
          <w:tcPr>
            <w:tcW w:w="851" w:type="dxa"/>
            <w:tcBorders>
              <w:bottom w:val="single" w:color="auto" w:sz="8" w:space="0"/>
            </w:tcBorders>
            <w:vAlign w:val="center"/>
          </w:tcPr>
          <w:p w14:paraId="3DB39A5C">
            <w:pPr>
              <w:spacing w:line="240" w:lineRule="auto"/>
              <w:jc w:val="center"/>
              <w:rPr>
                <w:rFonts w:ascii="Times New Roman" w:hAnsi="Times New Roman"/>
                <w:color w:val="auto"/>
                <w:sz w:val="18"/>
              </w:rPr>
            </w:pPr>
            <w:r>
              <w:rPr>
                <w:rFonts w:ascii="Times New Roman" w:hAnsi="Times New Roman"/>
                <w:color w:val="auto"/>
                <w:sz w:val="18"/>
              </w:rPr>
              <w:t>1.50</w:t>
            </w:r>
          </w:p>
        </w:tc>
        <w:tc>
          <w:tcPr>
            <w:tcW w:w="850" w:type="dxa"/>
            <w:tcBorders>
              <w:bottom w:val="single" w:color="auto" w:sz="8" w:space="0"/>
            </w:tcBorders>
            <w:vAlign w:val="center"/>
          </w:tcPr>
          <w:p w14:paraId="2E358FDE">
            <w:pPr>
              <w:spacing w:line="240" w:lineRule="auto"/>
              <w:jc w:val="center"/>
              <w:rPr>
                <w:rFonts w:ascii="Times New Roman" w:hAnsi="Times New Roman"/>
                <w:color w:val="auto"/>
                <w:sz w:val="18"/>
              </w:rPr>
            </w:pPr>
            <w:r>
              <w:rPr>
                <w:rFonts w:ascii="Times New Roman" w:hAnsi="Times New Roman"/>
                <w:color w:val="auto"/>
                <w:sz w:val="18"/>
              </w:rPr>
              <w:t>2.00</w:t>
            </w:r>
          </w:p>
        </w:tc>
        <w:tc>
          <w:tcPr>
            <w:tcW w:w="839" w:type="dxa"/>
            <w:tcBorders>
              <w:bottom w:val="single" w:color="auto" w:sz="8" w:space="0"/>
            </w:tcBorders>
            <w:vAlign w:val="center"/>
          </w:tcPr>
          <w:p w14:paraId="57DD0652">
            <w:pPr>
              <w:spacing w:line="240" w:lineRule="auto"/>
              <w:jc w:val="center"/>
              <w:rPr>
                <w:rFonts w:ascii="Times New Roman" w:hAnsi="Times New Roman"/>
                <w:color w:val="auto"/>
                <w:sz w:val="18"/>
              </w:rPr>
            </w:pPr>
            <w:r>
              <w:rPr>
                <w:rFonts w:ascii="Times New Roman" w:hAnsi="Times New Roman"/>
                <w:color w:val="auto"/>
                <w:sz w:val="18"/>
              </w:rPr>
              <w:t>2.50</w:t>
            </w:r>
          </w:p>
        </w:tc>
      </w:tr>
    </w:tbl>
    <w:p w14:paraId="5697EF4F">
      <w:pPr>
        <w:pStyle w:val="105"/>
        <w:spacing w:before="120" w:after="120"/>
        <w:rPr>
          <w:color w:val="auto"/>
        </w:rPr>
      </w:pPr>
      <w:r>
        <w:rPr>
          <w:rFonts w:hint="eastAsia"/>
          <w:color w:val="auto"/>
        </w:rPr>
        <w:t>试样的测定</w:t>
      </w:r>
    </w:p>
    <w:p w14:paraId="1DC48CD5">
      <w:pPr>
        <w:pStyle w:val="165"/>
        <w:rPr>
          <w:rFonts w:ascii="Times New Roman"/>
          <w:color w:val="auto"/>
        </w:rPr>
      </w:pPr>
      <w:r>
        <w:rPr>
          <w:rFonts w:ascii="Times New Roman"/>
          <w:color w:val="auto"/>
        </w:rPr>
        <w:t>仪器准备：按仪器说明书启动ICP-OES，预热至少30 min，用氩气吹扫气路。</w:t>
      </w:r>
    </w:p>
    <w:p w14:paraId="185B86C5">
      <w:pPr>
        <w:pStyle w:val="165"/>
        <w:rPr>
          <w:rFonts w:ascii="Times New Roman"/>
          <w:color w:val="auto"/>
        </w:rPr>
      </w:pPr>
      <w:bookmarkStart w:id="48" w:name="OLE_LINK4"/>
      <w:r>
        <w:rPr>
          <w:rFonts w:ascii="Times New Roman"/>
          <w:color w:val="auto"/>
        </w:rPr>
        <w:t>校准：以校准空白溶液调零，用系列标准溶液绘制工作曲线（每个浓度点测定3次，取平均值）</w:t>
      </w:r>
      <w:r>
        <w:rPr>
          <w:rFonts w:hint="eastAsia" w:ascii="Times New Roman"/>
          <w:color w:val="auto"/>
        </w:rPr>
        <w:t>，</w:t>
      </w:r>
      <w:r>
        <w:rPr>
          <w:rFonts w:ascii="Segoe UI" w:hAnsi="Segoe UI" w:cs="Segoe UI"/>
          <w:color w:val="auto"/>
          <w:shd w:val="clear" w:color="auto" w:fill="FFFFFF"/>
        </w:rPr>
        <w:t>计算线性回归方程，</w:t>
      </w:r>
      <w:r>
        <w:rPr>
          <w:rFonts w:ascii="Times New Roman"/>
          <w:color w:val="auto"/>
          <w:shd w:val="clear" w:color="auto" w:fill="FFFFFF"/>
        </w:rPr>
        <w:t>相关系数（r）应不小于0.999。</w:t>
      </w:r>
    </w:p>
    <w:bookmarkEnd w:id="48"/>
    <w:p w14:paraId="0A4E00AC">
      <w:pPr>
        <w:pStyle w:val="165"/>
        <w:rPr>
          <w:rFonts w:ascii="Times New Roman"/>
          <w:color w:val="auto"/>
        </w:rPr>
      </w:pPr>
      <w:r>
        <w:rPr>
          <w:rFonts w:ascii="Times New Roman"/>
          <w:color w:val="auto"/>
        </w:rPr>
        <w:t>样品测定：按与标准溶液相同条件测定试样溶液，每测10个样品后，用清洗溶液清洗系统，并测定质控样。</w:t>
      </w:r>
    </w:p>
    <w:p w14:paraId="6D7C7670">
      <w:pPr>
        <w:pStyle w:val="165"/>
        <w:rPr>
          <w:rFonts w:ascii="Times New Roman"/>
          <w:color w:val="auto"/>
        </w:rPr>
      </w:pPr>
      <w:r>
        <w:rPr>
          <w:rFonts w:ascii="Times New Roman"/>
          <w:color w:val="auto"/>
        </w:rPr>
        <w:t>结果读取：根据试验溶液测得的信号强度，在工作曲线上查出相应元素的质量浓度（μg/mL），取平行测定结果的算术平均值为最终测定结果。</w:t>
      </w:r>
    </w:p>
    <w:p w14:paraId="5AD88A1E">
      <w:pPr>
        <w:pStyle w:val="104"/>
        <w:spacing w:before="240" w:after="240"/>
        <w:rPr>
          <w:color w:val="auto"/>
        </w:rPr>
      </w:pPr>
      <w:r>
        <w:rPr>
          <w:rFonts w:hint="eastAsia"/>
          <w:color w:val="auto"/>
        </w:rPr>
        <w:t>结果计算</w:t>
      </w:r>
    </w:p>
    <w:p w14:paraId="40377C3D">
      <w:pPr>
        <w:pStyle w:val="56"/>
        <w:ind w:firstLine="420"/>
        <w:rPr>
          <w:color w:val="auto"/>
        </w:rPr>
      </w:pPr>
      <w:r>
        <w:rPr>
          <w:rFonts w:hint="eastAsia"/>
          <w:color w:val="auto"/>
        </w:rPr>
        <w:t>盐矿试样中各元素质量分数按公式(1)计算，数值以%表示：</w:t>
      </w:r>
    </w:p>
    <w:p w14:paraId="2BA5F3BF">
      <w:pPr>
        <w:pStyle w:val="113"/>
        <w:rPr>
          <w:rFonts w:hint="eastAsia"/>
          <w:color w:val="auto"/>
        </w:rPr>
      </w:pPr>
      <w:r>
        <w:rPr>
          <w:color w:val="auto"/>
        </w:rPr>
        <w:tab/>
      </w:r>
      <m:oMath>
        <m:r>
          <m:rPr>
            <m:sty m:val="p"/>
          </m:rPr>
          <w:rPr>
            <w:rFonts w:ascii="Cambria Math" w:hAnsi="Cambria Math"/>
            <w:color w:val="auto"/>
          </w:rPr>
          <m:t>ω=</m:t>
        </m:r>
        <m:f>
          <m:fPr>
            <m:ctrlPr>
              <w:rPr>
                <w:rFonts w:ascii="Cambria Math" w:hAnsi="Cambria Math"/>
                <w:color w:val="auto"/>
              </w:rPr>
            </m:ctrlPr>
          </m:fPr>
          <m:num>
            <m:r>
              <m:rPr/>
              <w:rPr>
                <w:rFonts w:hint="eastAsia" w:ascii="Cambria Math" w:hAnsi="Cambria Math"/>
                <w:color w:val="auto"/>
              </w:rPr>
              <m:t>c</m:t>
            </m:r>
            <m:r>
              <m:rPr/>
              <w:rPr>
                <w:rFonts w:ascii="Cambria Math" w:hAnsi="Cambria Math"/>
                <w:color w:val="auto"/>
              </w:rPr>
              <m:t>×10×250</m:t>
            </m:r>
            <m:ctrlPr>
              <w:rPr>
                <w:rFonts w:ascii="Cambria Math" w:hAnsi="Cambria Math"/>
                <w:color w:val="auto"/>
              </w:rPr>
            </m:ctrlPr>
          </m:num>
          <m:den>
            <m:sSup>
              <m:sSupPr>
                <m:ctrlPr>
                  <w:rPr>
                    <w:rFonts w:ascii="Cambria Math" w:hAnsi="Cambria Math"/>
                    <w:i/>
                    <w:color w:val="auto"/>
                  </w:rPr>
                </m:ctrlPr>
              </m:sSupPr>
              <m:e>
                <m:r>
                  <m:rPr/>
                  <w:rPr>
                    <w:rFonts w:ascii="Cambria Math" w:hAnsi="Cambria Math"/>
                    <w:color w:val="auto"/>
                  </w:rPr>
                  <m:t>10</m:t>
                </m:r>
                <m:ctrlPr>
                  <w:rPr>
                    <w:rFonts w:ascii="Cambria Math" w:hAnsi="Cambria Math"/>
                    <w:i/>
                    <w:color w:val="auto"/>
                  </w:rPr>
                </m:ctrlPr>
              </m:e>
              <m:sup>
                <m:r>
                  <m:rPr/>
                  <w:rPr>
                    <w:rFonts w:ascii="Cambria Math" w:hAnsi="Cambria Math"/>
                    <w:color w:val="auto"/>
                  </w:rPr>
                  <m:t>6</m:t>
                </m:r>
                <m:ctrlPr>
                  <w:rPr>
                    <w:rFonts w:ascii="Cambria Math" w:hAnsi="Cambria Math"/>
                    <w:i/>
                    <w:color w:val="auto"/>
                  </w:rPr>
                </m:ctrlPr>
              </m:sup>
            </m:sSup>
            <m:r>
              <m:rPr/>
              <w:rPr>
                <w:rFonts w:ascii="Cambria Math" w:hAnsi="Cambria Math"/>
                <w:color w:val="auto"/>
              </w:rPr>
              <m:t>×</m:t>
            </m:r>
            <m:r>
              <m:rPr/>
              <w:rPr>
                <w:rFonts w:hint="eastAsia" w:ascii="Cambria Math" w:hAnsi="Cambria Math"/>
                <w:color w:val="auto"/>
              </w:rPr>
              <m:t>m</m:t>
            </m:r>
            <m:ctrlPr>
              <w:rPr>
                <w:rFonts w:ascii="Cambria Math" w:hAnsi="Cambria Math"/>
                <w:color w:val="auto"/>
              </w:rPr>
            </m:ctrlPr>
          </m:den>
        </m:f>
        <m:r>
          <m:rPr/>
          <w:rPr>
            <w:rFonts w:ascii="Cambria Math" w:hAnsi="Cambria Math"/>
            <w:color w:val="auto"/>
          </w:rPr>
          <m:t>×100%</m:t>
        </m:r>
      </m:oMath>
      <w:r>
        <w:rPr>
          <w:rFonts w:ascii="微软雅黑" w:hAnsi="微软雅黑" w:eastAsia="微软雅黑"/>
          <w:color w:val="auto"/>
        </w:rPr>
        <w:tab/>
      </w:r>
      <w:r>
        <w:rPr>
          <w:color w:val="auto"/>
        </w:rPr>
        <w:t>(</w:t>
      </w:r>
      <w:r>
        <w:rPr>
          <w:color w:val="auto"/>
        </w:rPr>
        <w:fldChar w:fldCharType="begin"/>
      </w:r>
      <w:r>
        <w:rPr>
          <w:color w:val="auto"/>
        </w:rPr>
        <w:instrText xml:space="preserve"> AUTONUM </w:instrText>
      </w:r>
      <w:r>
        <w:rPr>
          <w:color w:val="auto"/>
        </w:rPr>
        <w:fldChar w:fldCharType="end"/>
      </w:r>
      <w:r>
        <w:rPr>
          <w:color w:val="auto"/>
        </w:rPr>
        <w:t>)</w:t>
      </w:r>
    </w:p>
    <w:p w14:paraId="1884BA16">
      <w:pPr>
        <w:pStyle w:val="56"/>
        <w:ind w:firstLine="420"/>
        <w:rPr>
          <w:color w:val="auto"/>
        </w:rPr>
      </w:pPr>
      <w:r>
        <w:rPr>
          <w:color w:val="auto"/>
        </w:rPr>
        <w:t>卤水试样中各元素质量分数按公式(</w:t>
      </w:r>
      <w:r>
        <w:rPr>
          <w:rFonts w:hint="eastAsia"/>
          <w:color w:val="auto"/>
        </w:rPr>
        <w:t>2</w:t>
      </w:r>
      <w:r>
        <w:rPr>
          <w:color w:val="auto"/>
        </w:rPr>
        <w:t>)计算，数值以%表示：</w:t>
      </w:r>
    </w:p>
    <w:p w14:paraId="36E38D59">
      <w:pPr>
        <w:pStyle w:val="113"/>
        <w:rPr>
          <w:rFonts w:hint="eastAsia"/>
          <w:color w:val="auto"/>
        </w:rPr>
      </w:pPr>
      <w:r>
        <w:rPr>
          <w:color w:val="auto"/>
        </w:rPr>
        <w:tab/>
      </w:r>
      <m:oMath>
        <m:r>
          <m:rPr>
            <m:sty m:val="p"/>
          </m:rPr>
          <w:rPr>
            <w:rFonts w:ascii="Cambria Math" w:hAnsi="Cambria Math"/>
            <w:color w:val="auto"/>
          </w:rPr>
          <m:t>ω=</m:t>
        </m:r>
        <m:f>
          <m:fPr>
            <m:ctrlPr>
              <w:rPr>
                <w:rFonts w:ascii="Cambria Math" w:hAnsi="Cambria Math"/>
                <w:color w:val="auto"/>
              </w:rPr>
            </m:ctrlPr>
          </m:fPr>
          <m:num>
            <m:r>
              <m:rPr/>
              <w:rPr>
                <w:rFonts w:ascii="Cambria Math" w:hAnsi="Cambria Math"/>
                <w:color w:val="auto"/>
              </w:rPr>
              <m:t>c×f</m:t>
            </m:r>
            <m:ctrlPr>
              <w:rPr>
                <w:rFonts w:ascii="Cambria Math" w:hAnsi="Cambria Math"/>
                <w:color w:val="auto"/>
              </w:rPr>
            </m:ctrlPr>
          </m:num>
          <m:den>
            <m:sSup>
              <m:sSupPr>
                <m:ctrlPr>
                  <w:rPr>
                    <w:rFonts w:ascii="Cambria Math" w:hAnsi="Cambria Math"/>
                    <w:i/>
                    <w:color w:val="auto"/>
                  </w:rPr>
                </m:ctrlPr>
              </m:sSupPr>
              <m:e>
                <m:r>
                  <m:rPr/>
                  <w:rPr>
                    <w:rFonts w:ascii="Cambria Math" w:hAnsi="Cambria Math"/>
                    <w:color w:val="auto"/>
                  </w:rPr>
                  <m:t>10</m:t>
                </m:r>
                <m:ctrlPr>
                  <w:rPr>
                    <w:rFonts w:ascii="Cambria Math" w:hAnsi="Cambria Math"/>
                    <w:i/>
                    <w:color w:val="auto"/>
                  </w:rPr>
                </m:ctrlPr>
              </m:e>
              <m:sup>
                <m:r>
                  <m:rPr/>
                  <w:rPr>
                    <w:rFonts w:ascii="Cambria Math" w:hAnsi="Cambria Math"/>
                    <w:color w:val="auto"/>
                  </w:rPr>
                  <m:t>6</m:t>
                </m:r>
                <m:ctrlPr>
                  <w:rPr>
                    <w:rFonts w:ascii="Cambria Math" w:hAnsi="Cambria Math"/>
                    <w:i/>
                    <w:color w:val="auto"/>
                  </w:rPr>
                </m:ctrlPr>
              </m:sup>
            </m:sSup>
            <m:r>
              <m:rPr/>
              <w:rPr>
                <w:rFonts w:ascii="Cambria Math" w:hAnsi="Cambria Math"/>
                <w:color w:val="auto"/>
              </w:rPr>
              <m:t>×ρ</m:t>
            </m:r>
            <m:ctrlPr>
              <w:rPr>
                <w:rFonts w:ascii="Cambria Math" w:hAnsi="Cambria Math"/>
                <w:color w:val="auto"/>
              </w:rPr>
            </m:ctrlPr>
          </m:den>
        </m:f>
        <m:r>
          <m:rPr/>
          <w:rPr>
            <w:rFonts w:ascii="Cambria Math" w:hAnsi="Cambria Math"/>
            <w:color w:val="auto"/>
          </w:rPr>
          <m:t>×100%</m:t>
        </m:r>
      </m:oMath>
      <w:r>
        <w:rPr>
          <w:rFonts w:ascii="微软雅黑" w:hAnsi="微软雅黑" w:eastAsia="微软雅黑"/>
          <w:color w:val="auto"/>
        </w:rPr>
        <w:tab/>
      </w:r>
      <w:r>
        <w:rPr>
          <w:color w:val="auto"/>
        </w:rPr>
        <w:t>(</w:t>
      </w:r>
      <w:r>
        <w:rPr>
          <w:color w:val="auto"/>
        </w:rPr>
        <w:fldChar w:fldCharType="begin"/>
      </w:r>
      <w:r>
        <w:rPr>
          <w:color w:val="auto"/>
        </w:rPr>
        <w:instrText xml:space="preserve"> AUTONUM </w:instrText>
      </w:r>
      <w:r>
        <w:rPr>
          <w:color w:val="auto"/>
        </w:rPr>
        <w:fldChar w:fldCharType="end"/>
      </w:r>
      <w:r>
        <w:rPr>
          <w:color w:val="auto"/>
        </w:rPr>
        <w:t>)</w:t>
      </w:r>
    </w:p>
    <w:p w14:paraId="52B26161">
      <w:pPr>
        <w:pStyle w:val="55"/>
        <w:ind w:firstLine="420"/>
        <w:rPr>
          <w:color w:val="auto"/>
        </w:rPr>
      </w:pPr>
      <w:r>
        <w:rPr>
          <w:rFonts w:hint="eastAsia"/>
          <w:color w:val="auto"/>
        </w:rPr>
        <w:t>式中：</w:t>
      </w:r>
    </w:p>
    <w:p w14:paraId="204E9C1C">
      <w:pPr>
        <w:pStyle w:val="56"/>
        <w:ind w:firstLine="420"/>
        <w:rPr>
          <w:color w:val="auto"/>
        </w:rPr>
      </w:pPr>
      <w:r>
        <w:rPr>
          <w:i/>
          <w:iCs/>
          <w:color w:val="auto"/>
        </w:rPr>
        <w:t>ω</w:t>
      </w:r>
      <w:r>
        <w:rPr>
          <w:color w:val="auto"/>
        </w:rPr>
        <w:t>——试样中各元素的质量分数，%；</w:t>
      </w:r>
    </w:p>
    <w:p w14:paraId="02C797CC">
      <w:pPr>
        <w:pStyle w:val="56"/>
        <w:ind w:firstLine="420"/>
        <w:rPr>
          <w:color w:val="auto"/>
        </w:rPr>
      </w:pPr>
      <w:r>
        <w:rPr>
          <w:i/>
          <w:iCs/>
          <w:color w:val="auto"/>
        </w:rPr>
        <w:t>c</w:t>
      </w:r>
      <w:r>
        <w:rPr>
          <w:color w:val="auto"/>
        </w:rPr>
        <w:t>——从标准工作曲线中读出的试样溶液中元素浓度，μg/mL；</w:t>
      </w:r>
    </w:p>
    <w:p w14:paraId="3E17145F">
      <w:pPr>
        <w:pStyle w:val="56"/>
        <w:ind w:firstLine="420"/>
        <w:rPr>
          <w:color w:val="auto"/>
        </w:rPr>
      </w:pPr>
      <w:r>
        <w:rPr>
          <w:i/>
          <w:iCs/>
          <w:color w:val="auto"/>
        </w:rPr>
        <w:t>f</w:t>
      </w:r>
      <w:r>
        <w:rPr>
          <w:color w:val="auto"/>
        </w:rPr>
        <w:t>——试样稀释</w:t>
      </w:r>
      <w:r>
        <w:rPr>
          <w:rFonts w:hint="eastAsia"/>
          <w:color w:val="auto"/>
        </w:rPr>
        <w:t>因子，</w:t>
      </w:r>
      <w:r>
        <w:rPr>
          <w:color w:val="auto"/>
        </w:rPr>
        <w:t>；</w:t>
      </w:r>
    </w:p>
    <w:p w14:paraId="30208B79">
      <w:pPr>
        <w:pStyle w:val="56"/>
        <w:ind w:firstLine="420"/>
        <w:rPr>
          <w:color w:val="auto"/>
        </w:rPr>
      </w:pPr>
      <w:r>
        <w:rPr>
          <w:i/>
          <w:color w:val="auto"/>
        </w:rPr>
        <w:t>ρ</w:t>
      </w:r>
      <w:r>
        <w:rPr>
          <w:color w:val="auto"/>
        </w:rPr>
        <w:t>——卤水的比重，g/cm</w:t>
      </w:r>
      <w:r>
        <w:rPr>
          <w:color w:val="auto"/>
          <w:vertAlign w:val="superscript"/>
        </w:rPr>
        <w:t>3</w:t>
      </w:r>
      <w:r>
        <w:rPr>
          <w:color w:val="auto"/>
        </w:rPr>
        <w:t>；</w:t>
      </w:r>
    </w:p>
    <w:p w14:paraId="6B9375C6">
      <w:pPr>
        <w:pStyle w:val="56"/>
        <w:ind w:firstLine="420"/>
        <w:rPr>
          <w:color w:val="auto"/>
        </w:rPr>
      </w:pPr>
      <w:r>
        <w:rPr>
          <w:i/>
          <w:color w:val="auto"/>
        </w:rPr>
        <w:t>m</w:t>
      </w:r>
      <w:r>
        <w:rPr>
          <w:color w:val="auto"/>
        </w:rPr>
        <w:t>——称取试样质量，g。</w:t>
      </w:r>
    </w:p>
    <w:p w14:paraId="131A1E73">
      <w:pPr>
        <w:pStyle w:val="56"/>
        <w:ind w:firstLine="420"/>
        <w:rPr>
          <w:color w:val="auto"/>
        </w:rPr>
      </w:pPr>
      <w:r>
        <w:rPr>
          <w:rFonts w:hint="eastAsia"/>
          <w:color w:val="auto"/>
        </w:rPr>
        <w:t>结果按GB/T 8170</w:t>
      </w:r>
      <w:r>
        <w:rPr>
          <w:color w:val="auto"/>
        </w:rPr>
        <w:t xml:space="preserve"> </w:t>
      </w:r>
      <w:r>
        <w:rPr>
          <w:rStyle w:val="29"/>
          <w:rFonts w:hint="eastAsia"/>
          <w:b w:val="0"/>
          <w:bCs w:val="0"/>
          <w:color w:val="auto"/>
        </w:rPr>
        <w:t>的规定进行数值修约。</w:t>
      </w:r>
      <w:bookmarkStart w:id="51" w:name="_GoBack"/>
      <w:bookmarkEnd w:id="51"/>
    </w:p>
    <w:p w14:paraId="6C0EDC72">
      <w:pPr>
        <w:pStyle w:val="104"/>
        <w:spacing w:before="240" w:after="240"/>
        <w:rPr>
          <w:color w:val="auto"/>
        </w:rPr>
      </w:pPr>
      <w:r>
        <w:rPr>
          <w:rFonts w:hint="eastAsia"/>
          <w:color w:val="auto"/>
        </w:rPr>
        <w:t>准确度</w:t>
      </w:r>
    </w:p>
    <w:p w14:paraId="112BE3DF">
      <w:pPr>
        <w:pStyle w:val="56"/>
        <w:ind w:firstLine="420"/>
        <w:rPr>
          <w:color w:val="auto"/>
        </w:rPr>
      </w:pPr>
      <w:r>
        <w:rPr>
          <w:rFonts w:hint="eastAsia"/>
          <w:color w:val="auto"/>
        </w:rPr>
        <w:t>按照GB/T 6379.2的规定确定。</w:t>
      </w:r>
    </w:p>
    <w:p w14:paraId="5BD1AF90">
      <w:pPr>
        <w:pStyle w:val="56"/>
        <w:ind w:firstLine="420"/>
        <w:rPr>
          <w:color w:val="auto"/>
        </w:rPr>
      </w:pPr>
      <w:r>
        <w:rPr>
          <w:rFonts w:hint="eastAsia"/>
          <w:color w:val="auto"/>
        </w:rPr>
        <w:t>同一实验室室内重复性精密度可在同一台仪器相同测定条件下，由同一人测定次数不少于6次的情况下，确定室内标准偏差和室内重复性。统计结果要求相对标准偏差（RSD）不大于5%。</w:t>
      </w:r>
    </w:p>
    <w:p w14:paraId="16490114">
      <w:pPr>
        <w:pStyle w:val="104"/>
        <w:spacing w:before="240" w:after="240"/>
        <w:rPr>
          <w:color w:val="auto"/>
        </w:rPr>
      </w:pPr>
      <w:r>
        <w:rPr>
          <w:rFonts w:hint="eastAsia"/>
          <w:color w:val="auto"/>
        </w:rPr>
        <w:t>回收率</w:t>
      </w:r>
    </w:p>
    <w:p w14:paraId="09BB26F9">
      <w:pPr>
        <w:pStyle w:val="56"/>
        <w:ind w:firstLine="420"/>
        <w:rPr>
          <w:color w:val="auto"/>
        </w:rPr>
      </w:pPr>
      <w:r>
        <w:rPr>
          <w:rFonts w:hint="eastAsia"/>
          <w:color w:val="auto"/>
        </w:rPr>
        <w:t>准确移取一定体积（</w:t>
      </w:r>
      <w:r>
        <w:rPr>
          <w:rFonts w:hint="eastAsia"/>
          <w:i/>
          <w:iCs/>
          <w:color w:val="auto"/>
        </w:rPr>
        <w:t>V</w:t>
      </w:r>
      <w:r>
        <w:rPr>
          <w:rFonts w:hint="eastAsia"/>
          <w:color w:val="auto"/>
          <w:vertAlign w:val="subscript"/>
        </w:rPr>
        <w:t>1</w:t>
      </w:r>
      <w:r>
        <w:rPr>
          <w:rFonts w:hint="eastAsia"/>
          <w:color w:val="auto"/>
        </w:rPr>
        <w:t>）的已测定待测元素</w:t>
      </w:r>
      <w:r>
        <w:rPr>
          <w:color w:val="auto"/>
        </w:rPr>
        <w:t>质量浓度</w:t>
      </w:r>
      <w:r>
        <w:rPr>
          <w:rFonts w:hint="eastAsia"/>
          <w:color w:val="auto"/>
        </w:rPr>
        <w:t>（</w:t>
      </w:r>
      <w:r>
        <w:rPr>
          <w:i/>
          <w:color w:val="auto"/>
        </w:rPr>
        <w:t>ρ</w:t>
      </w:r>
      <w:r>
        <w:rPr>
          <w:rFonts w:hint="eastAsia"/>
          <w:iCs/>
          <w:color w:val="auto"/>
          <w:vertAlign w:val="subscript"/>
        </w:rPr>
        <w:t>1</w:t>
      </w:r>
      <w:r>
        <w:rPr>
          <w:rFonts w:hint="eastAsia"/>
          <w:iCs/>
          <w:color w:val="auto"/>
        </w:rPr>
        <w:t>）</w:t>
      </w:r>
      <w:r>
        <w:rPr>
          <w:rFonts w:hint="eastAsia"/>
          <w:color w:val="auto"/>
        </w:rPr>
        <w:t>的盐湖卤水试样，置于一定体积（</w:t>
      </w:r>
      <w:r>
        <w:rPr>
          <w:rFonts w:hint="eastAsia"/>
          <w:i/>
          <w:iCs/>
          <w:color w:val="auto"/>
        </w:rPr>
        <w:t>V</w:t>
      </w:r>
      <w:r>
        <w:rPr>
          <w:rFonts w:hint="eastAsia"/>
          <w:color w:val="auto"/>
          <w:vertAlign w:val="subscript"/>
        </w:rPr>
        <w:t>2</w:t>
      </w:r>
      <w:r>
        <w:rPr>
          <w:rFonts w:hint="eastAsia"/>
          <w:color w:val="auto"/>
        </w:rPr>
        <w:t>）容量瓶中，再准确加入一定体积（</w:t>
      </w:r>
      <w:r>
        <w:rPr>
          <w:rFonts w:hint="eastAsia"/>
          <w:i/>
          <w:iCs/>
          <w:color w:val="auto"/>
        </w:rPr>
        <w:t>V</w:t>
      </w:r>
      <w:r>
        <w:rPr>
          <w:rFonts w:hint="eastAsia"/>
          <w:color w:val="auto"/>
          <w:vertAlign w:val="subscript"/>
        </w:rPr>
        <w:t>s</w:t>
      </w:r>
      <w:r>
        <w:rPr>
          <w:rFonts w:hint="eastAsia"/>
          <w:color w:val="auto"/>
        </w:rPr>
        <w:t>）的</w:t>
      </w:r>
      <w:r>
        <w:rPr>
          <w:rFonts w:hint="eastAsia" w:hAnsi="宋体" w:cs="宋体"/>
          <w:color w:val="auto"/>
          <w:szCs w:val="21"/>
          <w:lang w:bidi="ar"/>
        </w:rPr>
        <w:t>已知待测元素质量浓度（</w:t>
      </w:r>
      <w:r>
        <w:rPr>
          <w:i/>
          <w:color w:val="auto"/>
        </w:rPr>
        <w:t>ρ</w:t>
      </w:r>
      <w:r>
        <w:rPr>
          <w:rFonts w:hint="eastAsia"/>
          <w:iCs/>
          <w:color w:val="auto"/>
          <w:vertAlign w:val="subscript"/>
        </w:rPr>
        <w:t>s</w:t>
      </w:r>
      <w:r>
        <w:rPr>
          <w:rFonts w:hint="eastAsia" w:hAnsi="宋体" w:cs="宋体"/>
          <w:iCs/>
          <w:color w:val="auto"/>
          <w:szCs w:val="21"/>
          <w:lang w:bidi="ar"/>
        </w:rPr>
        <w:t>）</w:t>
      </w:r>
      <w:r>
        <w:rPr>
          <w:rFonts w:hint="eastAsia" w:hAnsi="宋体" w:cs="宋体"/>
          <w:color w:val="auto"/>
          <w:szCs w:val="21"/>
          <w:lang w:bidi="ar"/>
        </w:rPr>
        <w:t>的标准溶液</w:t>
      </w:r>
      <w:r>
        <w:rPr>
          <w:rFonts w:hint="eastAsia"/>
          <w:color w:val="auto"/>
        </w:rPr>
        <w:t>（加标量一般为盐湖卤水试样中待测元素</w:t>
      </w:r>
      <w:r>
        <w:rPr>
          <w:color w:val="auto"/>
        </w:rPr>
        <w:t>的质量</w:t>
      </w:r>
      <w:r>
        <w:rPr>
          <w:rFonts w:hint="eastAsia"/>
          <w:color w:val="auto"/>
        </w:rPr>
        <w:t>的</w:t>
      </w:r>
      <w:r>
        <w:rPr>
          <w:color w:val="auto"/>
        </w:rPr>
        <w:t>0.5</w:t>
      </w:r>
      <w:r>
        <w:rPr>
          <w:rFonts w:hint="eastAsia"/>
          <w:color w:val="auto"/>
        </w:rPr>
        <w:t>倍</w:t>
      </w:r>
      <w:r>
        <w:rPr>
          <w:rFonts w:hint="eastAsia" w:hAnsi="宋体" w:cs="宋体"/>
          <w:color w:val="auto"/>
        </w:rPr>
        <w:t>～</w:t>
      </w:r>
      <w:r>
        <w:rPr>
          <w:rFonts w:hint="eastAsia"/>
          <w:color w:val="auto"/>
        </w:rPr>
        <w:t>2倍），用去离子水</w:t>
      </w:r>
      <w:r>
        <w:rPr>
          <w:rFonts w:hint="eastAsia" w:hAnsi="宋体"/>
          <w:color w:val="auto"/>
        </w:rPr>
        <w:t>稀释至刻度，摇匀。</w:t>
      </w:r>
      <w:r>
        <w:rPr>
          <w:rFonts w:hint="eastAsia"/>
          <w:color w:val="auto"/>
        </w:rPr>
        <w:t>测定加标后试验溶液中待测元素的质量浓度（</w:t>
      </w:r>
      <w:r>
        <w:rPr>
          <w:i/>
          <w:color w:val="auto"/>
        </w:rPr>
        <w:t>ρ</w:t>
      </w:r>
      <w:r>
        <w:rPr>
          <w:rFonts w:hint="eastAsia"/>
          <w:iCs/>
          <w:color w:val="auto"/>
          <w:vertAlign w:val="subscript"/>
        </w:rPr>
        <w:t>2</w:t>
      </w:r>
      <w:r>
        <w:rPr>
          <w:rFonts w:hint="eastAsia"/>
          <w:iCs/>
          <w:color w:val="auto"/>
        </w:rPr>
        <w:t>）</w:t>
      </w:r>
      <w:r>
        <w:rPr>
          <w:rFonts w:hint="eastAsia"/>
          <w:color w:val="auto"/>
        </w:rPr>
        <w:t>，计算待测元素的加标回收率。</w:t>
      </w:r>
    </w:p>
    <w:p w14:paraId="6BD2D59A">
      <w:pPr>
        <w:pStyle w:val="56"/>
        <w:ind w:firstLine="420"/>
        <w:rPr>
          <w:color w:val="auto"/>
        </w:rPr>
      </w:pPr>
      <w:r>
        <w:rPr>
          <w:rFonts w:hint="eastAsia"/>
          <w:color w:val="auto"/>
        </w:rPr>
        <w:t>加标回收率以</w:t>
      </w:r>
      <w:r>
        <w:rPr>
          <w:rFonts w:hint="eastAsia"/>
          <w:i/>
          <w:iCs/>
          <w:color w:val="auto"/>
        </w:rPr>
        <w:t>A</w:t>
      </w:r>
      <w:r>
        <w:rPr>
          <w:rFonts w:hint="eastAsia"/>
          <w:color w:val="auto"/>
        </w:rPr>
        <w:t>计，按公式（3）计算：</w:t>
      </w:r>
    </w:p>
    <w:p w14:paraId="1259692A">
      <w:pPr>
        <w:pStyle w:val="113"/>
        <w:rPr>
          <w:rFonts w:ascii="Times New Roman" w:hAnsi="Times New Roman"/>
          <w:color w:val="auto"/>
        </w:rPr>
      </w:pPr>
      <w:r>
        <w:rPr>
          <w:color w:val="auto"/>
        </w:rPr>
        <w:tab/>
      </w:r>
      <m:oMath>
        <m:r>
          <m:rPr/>
          <w:rPr>
            <w:rFonts w:ascii="Cambria Math" w:hAnsi="Cambria Math"/>
            <w:color w:val="auto"/>
          </w:rPr>
          <m:t>A</m:t>
        </m:r>
        <m:r>
          <m:rPr>
            <m:sty m:val="p"/>
          </m:rPr>
          <w:rPr>
            <w:rFonts w:ascii="Cambria Math" w:hAnsi="Cambria Math"/>
            <w:color w:val="auto"/>
          </w:rPr>
          <m:t>=</m:t>
        </m:r>
        <m:f>
          <m:fPr>
            <m:ctrlPr>
              <w:rPr>
                <w:rFonts w:ascii="Cambria Math" w:hAnsi="Cambria Math"/>
                <w:color w:val="auto"/>
              </w:rPr>
            </m:ctrlPr>
          </m:fPr>
          <m:num>
            <m:sSub>
              <m:sSubPr>
                <m:ctrlPr>
                  <w:rPr>
                    <w:rFonts w:ascii="Cambria Math" w:hAnsi="Cambria Math"/>
                    <w:i/>
                    <w:color w:val="auto"/>
                  </w:rPr>
                </m:ctrlPr>
              </m:sSubPr>
              <m:e>
                <m:r>
                  <m:rPr/>
                  <w:rPr>
                    <w:rFonts w:ascii="Cambria Math" w:hAnsi="Cambria Math"/>
                    <w:color w:val="auto"/>
                  </w:rPr>
                  <m:t>ρ</m:t>
                </m:r>
                <m:ctrlPr>
                  <w:rPr>
                    <w:rFonts w:ascii="Cambria Math" w:hAnsi="Cambria Math"/>
                    <w:i/>
                    <w:color w:val="auto"/>
                  </w:rPr>
                </m:ctrlPr>
              </m:e>
              <m:sub>
                <m:r>
                  <m:rPr/>
                  <w:rPr>
                    <w:rFonts w:ascii="Cambria Math" w:hAnsi="Cambria Math"/>
                    <w:color w:val="auto"/>
                  </w:rPr>
                  <m:t>2</m:t>
                </m:r>
                <m:ctrlPr>
                  <w:rPr>
                    <w:rFonts w:ascii="Cambria Math" w:hAnsi="Cambria Math"/>
                    <w:i/>
                    <w:color w:val="auto"/>
                  </w:rPr>
                </m:ctrlPr>
              </m:sub>
            </m:sSub>
            <m:r>
              <m:rPr/>
              <w:rPr>
                <w:rFonts w:ascii="Cambria Math" w:hAnsi="Cambria Math"/>
                <w:color w:val="auto"/>
              </w:rPr>
              <m:t>×</m:t>
            </m:r>
            <m:sSub>
              <m:sSubPr>
                <m:ctrlPr>
                  <w:rPr>
                    <w:rFonts w:ascii="Cambria Math" w:hAnsi="Cambria Math"/>
                    <w:i/>
                    <w:color w:val="auto"/>
                  </w:rPr>
                </m:ctrlPr>
              </m:sSubPr>
              <m:e>
                <m:r>
                  <m:rPr/>
                  <w:rPr>
                    <w:rFonts w:ascii="Cambria Math" w:hAnsi="Cambria Math"/>
                    <w:color w:val="auto"/>
                  </w:rPr>
                  <m:t>V</m:t>
                </m:r>
                <m:ctrlPr>
                  <w:rPr>
                    <w:rFonts w:ascii="Cambria Math" w:hAnsi="Cambria Math"/>
                    <w:i/>
                    <w:color w:val="auto"/>
                  </w:rPr>
                </m:ctrlPr>
              </m:e>
              <m:sub>
                <m:r>
                  <m:rPr/>
                  <w:rPr>
                    <w:rFonts w:ascii="Cambria Math" w:hAnsi="Cambria Math"/>
                    <w:color w:val="auto"/>
                  </w:rPr>
                  <m:t>2</m:t>
                </m:r>
                <m:ctrlPr>
                  <w:rPr>
                    <w:rFonts w:ascii="Cambria Math" w:hAnsi="Cambria Math"/>
                    <w:i/>
                    <w:color w:val="auto"/>
                  </w:rPr>
                </m:ctrlPr>
              </m:sub>
            </m:sSub>
            <m:r>
              <m:rPr/>
              <w:rPr>
                <w:rFonts w:ascii="Cambria Math" w:hAnsi="Cambria Math"/>
                <w:color w:val="auto"/>
              </w:rPr>
              <m:t>−</m:t>
            </m:r>
            <m:sSub>
              <m:sSubPr>
                <m:ctrlPr>
                  <w:rPr>
                    <w:rFonts w:ascii="Cambria Math" w:hAnsi="Cambria Math"/>
                    <w:i/>
                    <w:color w:val="auto"/>
                  </w:rPr>
                </m:ctrlPr>
              </m:sSubPr>
              <m:e>
                <m:r>
                  <m:rPr/>
                  <w:rPr>
                    <w:rFonts w:ascii="Cambria Math" w:hAnsi="Cambria Math"/>
                    <w:color w:val="auto"/>
                  </w:rPr>
                  <m:t>ρ</m:t>
                </m:r>
                <m:ctrlPr>
                  <w:rPr>
                    <w:rFonts w:ascii="Cambria Math" w:hAnsi="Cambria Math"/>
                    <w:i/>
                    <w:color w:val="auto"/>
                  </w:rPr>
                </m:ctrlPr>
              </m:e>
              <m:sub>
                <m:r>
                  <m:rPr/>
                  <w:rPr>
                    <w:rFonts w:ascii="Cambria Math" w:hAnsi="Cambria Math"/>
                    <w:color w:val="auto"/>
                  </w:rPr>
                  <m:t>1</m:t>
                </m:r>
                <m:ctrlPr>
                  <w:rPr>
                    <w:rFonts w:ascii="Cambria Math" w:hAnsi="Cambria Math"/>
                    <w:i/>
                    <w:color w:val="auto"/>
                  </w:rPr>
                </m:ctrlPr>
              </m:sub>
            </m:sSub>
            <m:sSub>
              <m:sSubPr>
                <m:ctrlPr>
                  <w:rPr>
                    <w:rFonts w:ascii="Cambria Math" w:hAnsi="Cambria Math"/>
                    <w:i/>
                    <w:color w:val="auto"/>
                  </w:rPr>
                </m:ctrlPr>
              </m:sSubPr>
              <m:e>
                <m:r>
                  <m:rPr/>
                  <w:rPr>
                    <w:rFonts w:ascii="Cambria Math" w:hAnsi="Cambria Math"/>
                    <w:color w:val="auto"/>
                  </w:rPr>
                  <m:t>×V</m:t>
                </m:r>
                <m:ctrlPr>
                  <w:rPr>
                    <w:rFonts w:ascii="Cambria Math" w:hAnsi="Cambria Math"/>
                    <w:i/>
                    <w:color w:val="auto"/>
                  </w:rPr>
                </m:ctrlPr>
              </m:e>
              <m:sub>
                <m:r>
                  <m:rPr/>
                  <w:rPr>
                    <w:rFonts w:ascii="Cambria Math" w:hAnsi="Cambria Math"/>
                    <w:color w:val="auto"/>
                  </w:rPr>
                  <m:t>1</m:t>
                </m:r>
                <m:ctrlPr>
                  <w:rPr>
                    <w:rFonts w:ascii="Cambria Math" w:hAnsi="Cambria Math"/>
                    <w:i/>
                    <w:color w:val="auto"/>
                  </w:rPr>
                </m:ctrlPr>
              </m:sub>
            </m:sSub>
            <m:ctrlPr>
              <w:rPr>
                <w:rFonts w:ascii="Cambria Math" w:hAnsi="Cambria Math"/>
                <w:color w:val="auto"/>
              </w:rPr>
            </m:ctrlPr>
          </m:num>
          <m:den>
            <m:sSub>
              <m:sSubPr>
                <m:ctrlPr>
                  <w:rPr>
                    <w:rFonts w:ascii="Cambria Math" w:hAnsi="Cambria Math"/>
                    <w:i/>
                    <w:color w:val="auto"/>
                  </w:rPr>
                </m:ctrlPr>
              </m:sSubPr>
              <m:e>
                <m:r>
                  <m:rPr/>
                  <w:rPr>
                    <w:rFonts w:ascii="Cambria Math" w:hAnsi="Cambria Math"/>
                    <w:color w:val="auto"/>
                  </w:rPr>
                  <m:t>ρ</m:t>
                </m:r>
                <m:ctrlPr>
                  <w:rPr>
                    <w:rFonts w:ascii="Cambria Math" w:hAnsi="Cambria Math"/>
                    <w:i/>
                    <w:color w:val="auto"/>
                  </w:rPr>
                </m:ctrlPr>
              </m:e>
              <m:sub>
                <m:r>
                  <m:rPr/>
                  <w:rPr>
                    <w:rFonts w:hint="eastAsia" w:ascii="Cambria Math" w:hAnsi="Cambria Math"/>
                    <w:color w:val="auto"/>
                  </w:rPr>
                  <m:t>s</m:t>
                </m:r>
                <m:ctrlPr>
                  <w:rPr>
                    <w:rFonts w:ascii="Cambria Math" w:hAnsi="Cambria Math"/>
                    <w:i/>
                    <w:color w:val="auto"/>
                  </w:rPr>
                </m:ctrlPr>
              </m:sub>
            </m:sSub>
            <m:r>
              <m:rPr/>
              <w:rPr>
                <w:rFonts w:ascii="Cambria Math" w:hAnsi="Cambria Math"/>
                <w:color w:val="auto"/>
              </w:rPr>
              <m:t>×</m:t>
            </m:r>
            <m:sSub>
              <m:sSubPr>
                <m:ctrlPr>
                  <w:rPr>
                    <w:rFonts w:ascii="Cambria Math" w:hAnsi="Cambria Math"/>
                    <w:i/>
                    <w:color w:val="auto"/>
                  </w:rPr>
                </m:ctrlPr>
              </m:sSubPr>
              <m:e>
                <m:r>
                  <m:rPr/>
                  <w:rPr>
                    <w:rFonts w:ascii="Cambria Math" w:hAnsi="Cambria Math"/>
                    <w:color w:val="auto"/>
                  </w:rPr>
                  <m:t>V</m:t>
                </m:r>
                <m:ctrlPr>
                  <w:rPr>
                    <w:rFonts w:ascii="Cambria Math" w:hAnsi="Cambria Math"/>
                    <w:i/>
                    <w:color w:val="auto"/>
                  </w:rPr>
                </m:ctrlPr>
              </m:e>
              <m:sub>
                <m:r>
                  <m:rPr/>
                  <w:rPr>
                    <w:rFonts w:ascii="Cambria Math" w:hAnsi="Cambria Math"/>
                    <w:color w:val="auto"/>
                  </w:rPr>
                  <m:t>s</m:t>
                </m:r>
                <m:ctrlPr>
                  <w:rPr>
                    <w:rFonts w:ascii="Cambria Math" w:hAnsi="Cambria Math"/>
                    <w:i/>
                    <w:color w:val="auto"/>
                  </w:rPr>
                </m:ctrlPr>
              </m:sub>
            </m:sSub>
            <m:ctrlPr>
              <w:rPr>
                <w:rFonts w:ascii="Cambria Math" w:hAnsi="Cambria Math"/>
                <w:color w:val="auto"/>
              </w:rPr>
            </m:ctrlPr>
          </m:den>
        </m:f>
        <m:r>
          <m:rPr/>
          <w:rPr>
            <w:rFonts w:ascii="Cambria Math" w:hAnsi="Cambria Math"/>
            <w:color w:val="auto"/>
          </w:rPr>
          <m:t>×100%</m:t>
        </m:r>
      </m:oMath>
      <w:r>
        <w:rPr>
          <w:rFonts w:ascii="微软雅黑" w:hAnsi="微软雅黑" w:eastAsia="微软雅黑"/>
          <w:color w:val="auto"/>
        </w:rPr>
        <w:tab/>
      </w:r>
      <w:r>
        <w:rPr>
          <w:rFonts w:ascii="Times New Roman" w:hAnsi="Times New Roman"/>
          <w:color w:val="auto"/>
        </w:rPr>
        <w:t>(</w:t>
      </w:r>
      <w:r>
        <w:rPr>
          <w:rFonts w:ascii="Times New Roman" w:hAnsi="Times New Roman"/>
          <w:color w:val="auto"/>
        </w:rPr>
        <w:fldChar w:fldCharType="begin"/>
      </w:r>
      <w:r>
        <w:rPr>
          <w:rFonts w:ascii="Times New Roman" w:hAnsi="Times New Roman"/>
          <w:color w:val="auto"/>
        </w:rPr>
        <w:instrText xml:space="preserve"> AUTONUM </w:instrText>
      </w:r>
      <w:r>
        <w:rPr>
          <w:rFonts w:ascii="Times New Roman" w:hAnsi="Times New Roman"/>
          <w:color w:val="auto"/>
        </w:rPr>
        <w:fldChar w:fldCharType="end"/>
      </w:r>
      <w:r>
        <w:rPr>
          <w:rFonts w:ascii="Times New Roman" w:hAnsi="Times New Roman"/>
          <w:color w:val="auto"/>
        </w:rPr>
        <w:t>)</w:t>
      </w:r>
    </w:p>
    <w:p w14:paraId="0B24193F">
      <w:pPr>
        <w:pStyle w:val="55"/>
        <w:ind w:firstLine="420"/>
        <w:rPr>
          <w:color w:val="auto"/>
        </w:rPr>
      </w:pPr>
      <w:r>
        <w:rPr>
          <w:rFonts w:hint="eastAsia"/>
          <w:color w:val="auto"/>
        </w:rPr>
        <w:t>式中：</w:t>
      </w:r>
    </w:p>
    <w:p w14:paraId="02E94714">
      <w:pPr>
        <w:pStyle w:val="56"/>
        <w:ind w:firstLine="420"/>
        <w:rPr>
          <w:color w:val="auto"/>
        </w:rPr>
      </w:pPr>
      <w:r>
        <w:rPr>
          <w:i/>
          <w:color w:val="auto"/>
        </w:rPr>
        <w:t>A</w:t>
      </w:r>
      <w:r>
        <w:rPr>
          <w:color w:val="auto"/>
        </w:rPr>
        <w:t>——</w:t>
      </w:r>
      <w:r>
        <w:rPr>
          <w:rFonts w:hint="eastAsia"/>
          <w:color w:val="auto"/>
        </w:rPr>
        <w:t>加标回收率；</w:t>
      </w:r>
    </w:p>
    <w:p w14:paraId="4A587ECA">
      <w:pPr>
        <w:pStyle w:val="56"/>
        <w:ind w:firstLine="420"/>
        <w:rPr>
          <w:color w:val="auto"/>
        </w:rPr>
      </w:pPr>
      <m:oMath>
        <m:sSub>
          <m:sSubPr>
            <m:ctrlPr>
              <w:rPr>
                <w:rFonts w:ascii="Cambria Math" w:hAnsi="Cambria Math"/>
                <w:i/>
                <w:color w:val="auto"/>
              </w:rPr>
            </m:ctrlPr>
          </m:sSubPr>
          <m:e>
            <m:r>
              <m:rPr/>
              <w:rPr>
                <w:rFonts w:ascii="Cambria Math" w:hAnsi="Cambria Math"/>
                <w:color w:val="auto"/>
              </w:rPr>
              <m:t>ρ</m:t>
            </m:r>
            <m:ctrlPr>
              <w:rPr>
                <w:rFonts w:ascii="Cambria Math" w:hAnsi="Cambria Math"/>
                <w:i/>
                <w:color w:val="auto"/>
              </w:rPr>
            </m:ctrlPr>
          </m:e>
          <m:sub>
            <m:r>
              <m:rPr/>
              <w:rPr>
                <w:rFonts w:ascii="Cambria Math" w:hAnsi="Cambria Math"/>
                <w:color w:val="auto"/>
              </w:rPr>
              <m:t>2</m:t>
            </m:r>
            <m:ctrlPr>
              <w:rPr>
                <w:rFonts w:ascii="Cambria Math" w:hAnsi="Cambria Math"/>
                <w:i/>
                <w:color w:val="auto"/>
              </w:rPr>
            </m:ctrlPr>
          </m:sub>
        </m:sSub>
      </m:oMath>
      <w:r>
        <w:rPr>
          <w:color w:val="auto"/>
        </w:rPr>
        <w:t>——</w:t>
      </w:r>
      <w:r>
        <w:rPr>
          <w:rFonts w:hint="eastAsia"/>
          <w:color w:val="auto"/>
        </w:rPr>
        <w:t>加标后试样溶液中待测元素的质量浓度的数值，单位为微克每毫升（</w:t>
      </w:r>
      <w:r>
        <w:rPr>
          <w:color w:val="auto"/>
        </w:rPr>
        <w:t>μg/mL）；</w:t>
      </w:r>
    </w:p>
    <w:p w14:paraId="4004F1E3">
      <w:pPr>
        <w:pStyle w:val="56"/>
        <w:ind w:firstLine="420"/>
        <w:rPr>
          <w:color w:val="auto"/>
        </w:rPr>
      </w:pPr>
      <m:oMath>
        <m:sSub>
          <m:sSubPr>
            <m:ctrlPr>
              <w:rPr>
                <w:rFonts w:ascii="Cambria Math" w:hAnsi="Cambria Math"/>
                <w:i/>
                <w:color w:val="auto"/>
              </w:rPr>
            </m:ctrlPr>
          </m:sSubPr>
          <m:e>
            <m:r>
              <m:rPr/>
              <w:rPr>
                <w:rFonts w:ascii="Cambria Math" w:hAnsi="Cambria Math"/>
                <w:color w:val="auto"/>
              </w:rPr>
              <m:t>ρ</m:t>
            </m:r>
            <m:ctrlPr>
              <w:rPr>
                <w:rFonts w:ascii="Cambria Math" w:hAnsi="Cambria Math"/>
                <w:i/>
                <w:color w:val="auto"/>
              </w:rPr>
            </m:ctrlPr>
          </m:e>
          <m:sub>
            <m:r>
              <m:rPr/>
              <w:rPr>
                <w:rFonts w:ascii="Cambria Math" w:hAnsi="Cambria Math"/>
                <w:color w:val="auto"/>
              </w:rPr>
              <m:t>1</m:t>
            </m:r>
            <m:ctrlPr>
              <w:rPr>
                <w:rFonts w:ascii="Cambria Math" w:hAnsi="Cambria Math"/>
                <w:i/>
                <w:color w:val="auto"/>
              </w:rPr>
            </m:ctrlPr>
          </m:sub>
        </m:sSub>
      </m:oMath>
      <w:r>
        <w:rPr>
          <w:color w:val="auto"/>
        </w:rPr>
        <w:t>——加标前试样溶液中待测元素的质量浓度的数值，单位为微克每毫升（μg/mL）；</w:t>
      </w:r>
    </w:p>
    <w:p w14:paraId="18C06E87">
      <w:pPr>
        <w:pStyle w:val="56"/>
        <w:ind w:firstLine="420"/>
        <w:rPr>
          <w:color w:val="auto"/>
          <w:kern w:val="2"/>
          <w:szCs w:val="21"/>
        </w:rPr>
      </w:pPr>
      <m:oMath>
        <m:sSub>
          <m:sSubPr>
            <m:ctrlPr>
              <w:rPr>
                <w:rFonts w:ascii="Cambria Math" w:hAnsi="Cambria Math"/>
                <w:i/>
                <w:color w:val="auto"/>
                <w:kern w:val="2"/>
                <w:szCs w:val="21"/>
              </w:rPr>
            </m:ctrlPr>
          </m:sSubPr>
          <m:e>
            <m:r>
              <m:rPr/>
              <w:rPr>
                <w:rFonts w:ascii="Cambria Math" w:hAnsi="Cambria Math"/>
                <w:color w:val="auto"/>
              </w:rPr>
              <m:t>V</m:t>
            </m:r>
            <m:ctrlPr>
              <w:rPr>
                <w:rFonts w:ascii="Cambria Math" w:hAnsi="Cambria Math"/>
                <w:i/>
                <w:color w:val="auto"/>
                <w:kern w:val="2"/>
                <w:szCs w:val="21"/>
              </w:rPr>
            </m:ctrlPr>
          </m:e>
          <m:sub>
            <m:r>
              <m:rPr/>
              <w:rPr>
                <w:rFonts w:ascii="Cambria Math" w:hAnsi="Cambria Math"/>
                <w:color w:val="auto"/>
              </w:rPr>
              <m:t>2</m:t>
            </m:r>
            <m:ctrlPr>
              <w:rPr>
                <w:rFonts w:ascii="Cambria Math" w:hAnsi="Cambria Math"/>
                <w:i/>
                <w:color w:val="auto"/>
                <w:kern w:val="2"/>
                <w:szCs w:val="21"/>
              </w:rPr>
            </m:ctrlPr>
          </m:sub>
        </m:sSub>
      </m:oMath>
      <w:r>
        <w:rPr>
          <w:color w:val="auto"/>
        </w:rPr>
        <w:t>——</w:t>
      </w:r>
      <w:r>
        <w:rPr>
          <w:rFonts w:ascii="Segoe UI" w:hAnsi="Segoe UI" w:cs="Segoe UI"/>
          <w:color w:val="auto"/>
          <w:shd w:val="clear" w:color="auto" w:fill="FFFFFF"/>
        </w:rPr>
        <w:t>加标</w:t>
      </w:r>
      <w:r>
        <w:rPr>
          <w:rFonts w:hint="eastAsia" w:ascii="Segoe UI" w:hAnsi="Segoe UI" w:cs="Segoe UI"/>
          <w:color w:val="auto"/>
          <w:shd w:val="clear" w:color="auto" w:fill="FFFFFF"/>
        </w:rPr>
        <w:t>后</w:t>
      </w:r>
      <w:r>
        <w:rPr>
          <w:rFonts w:ascii="Segoe UI" w:hAnsi="Segoe UI" w:cs="Segoe UI"/>
          <w:color w:val="auto"/>
          <w:shd w:val="clear" w:color="auto" w:fill="FFFFFF"/>
        </w:rPr>
        <w:t>溶液体积</w:t>
      </w:r>
      <w:r>
        <w:rPr>
          <w:rFonts w:hint="eastAsia" w:ascii="Segoe UI" w:hAnsi="Segoe UI" w:cs="Segoe UI"/>
          <w:color w:val="auto"/>
          <w:shd w:val="clear" w:color="auto" w:fill="FFFFFF"/>
        </w:rPr>
        <w:t>的数值，单位为毫升</w:t>
      </w:r>
      <w:r>
        <w:rPr>
          <w:color w:val="auto"/>
          <w:shd w:val="clear" w:color="auto" w:fill="FFFFFF"/>
        </w:rPr>
        <w:t>（mL）</w:t>
      </w:r>
      <w:r>
        <w:rPr>
          <w:rFonts w:hint="eastAsia"/>
          <w:color w:val="auto"/>
          <w:shd w:val="clear" w:color="auto" w:fill="FFFFFF"/>
        </w:rPr>
        <w:t>;</w:t>
      </w:r>
    </w:p>
    <w:p w14:paraId="295CFB73">
      <w:pPr>
        <w:pStyle w:val="56"/>
        <w:ind w:firstLine="420"/>
        <w:rPr>
          <w:color w:val="auto"/>
          <w:kern w:val="2"/>
          <w:szCs w:val="21"/>
        </w:rPr>
      </w:pPr>
      <m:oMath>
        <m:sSub>
          <m:sSubPr>
            <m:ctrlPr>
              <w:rPr>
                <w:rFonts w:ascii="Cambria Math" w:hAnsi="Cambria Math"/>
                <w:i/>
                <w:color w:val="auto"/>
                <w:kern w:val="2"/>
                <w:szCs w:val="21"/>
              </w:rPr>
            </m:ctrlPr>
          </m:sSubPr>
          <m:e>
            <m:r>
              <m:rPr/>
              <w:rPr>
                <w:rFonts w:ascii="Cambria Math" w:hAnsi="Cambria Math"/>
                <w:color w:val="auto"/>
              </w:rPr>
              <m:t>V</m:t>
            </m:r>
            <m:ctrlPr>
              <w:rPr>
                <w:rFonts w:ascii="Cambria Math" w:hAnsi="Cambria Math"/>
                <w:i/>
                <w:color w:val="auto"/>
                <w:kern w:val="2"/>
                <w:szCs w:val="21"/>
              </w:rPr>
            </m:ctrlPr>
          </m:e>
          <m:sub>
            <m:r>
              <m:rPr/>
              <w:rPr>
                <w:rFonts w:ascii="Cambria Math" w:hAnsi="Cambria Math"/>
                <w:color w:val="auto"/>
              </w:rPr>
              <m:t>1</m:t>
            </m:r>
            <m:ctrlPr>
              <w:rPr>
                <w:rFonts w:ascii="Cambria Math" w:hAnsi="Cambria Math"/>
                <w:i/>
                <w:color w:val="auto"/>
                <w:kern w:val="2"/>
                <w:szCs w:val="21"/>
              </w:rPr>
            </m:ctrlPr>
          </m:sub>
        </m:sSub>
      </m:oMath>
      <w:r>
        <w:rPr>
          <w:color w:val="auto"/>
        </w:rPr>
        <w:t>——</w:t>
      </w:r>
      <w:r>
        <w:rPr>
          <w:rFonts w:ascii="Segoe UI" w:hAnsi="Segoe UI" w:cs="Segoe UI"/>
          <w:color w:val="auto"/>
          <w:shd w:val="clear" w:color="auto" w:fill="FFFFFF"/>
        </w:rPr>
        <w:t>加标前溶液体积</w:t>
      </w:r>
      <w:r>
        <w:rPr>
          <w:rFonts w:hint="eastAsia" w:ascii="Segoe UI" w:hAnsi="Segoe UI" w:cs="Segoe UI"/>
          <w:color w:val="auto"/>
          <w:shd w:val="clear" w:color="auto" w:fill="FFFFFF"/>
        </w:rPr>
        <w:t>的数值，单位为毫升</w:t>
      </w:r>
      <w:r>
        <w:rPr>
          <w:color w:val="auto"/>
          <w:shd w:val="clear" w:color="auto" w:fill="FFFFFF"/>
        </w:rPr>
        <w:t>（mL）</w:t>
      </w:r>
      <w:r>
        <w:rPr>
          <w:rFonts w:hint="eastAsia"/>
          <w:color w:val="auto"/>
          <w:shd w:val="clear" w:color="auto" w:fill="FFFFFF"/>
        </w:rPr>
        <w:t>;</w:t>
      </w:r>
    </w:p>
    <w:p w14:paraId="6F272C69">
      <w:pPr>
        <w:pStyle w:val="56"/>
        <w:ind w:firstLine="420"/>
        <w:rPr>
          <w:color w:val="auto"/>
        </w:rPr>
      </w:pPr>
      <m:oMath>
        <m:sSub>
          <m:sSubPr>
            <m:ctrlPr>
              <w:rPr>
                <w:rFonts w:ascii="Cambria Math" w:hAnsi="Cambria Math"/>
                <w:i/>
                <w:color w:val="auto"/>
                <w:kern w:val="2"/>
                <w:szCs w:val="21"/>
              </w:rPr>
            </m:ctrlPr>
          </m:sSubPr>
          <m:e>
            <m:r>
              <m:rPr/>
              <w:rPr>
                <w:rFonts w:ascii="Cambria Math" w:hAnsi="Cambria Math"/>
                <w:color w:val="auto"/>
              </w:rPr>
              <m:t>ρ</m:t>
            </m:r>
            <m:ctrlPr>
              <w:rPr>
                <w:rFonts w:ascii="Cambria Math" w:hAnsi="Cambria Math"/>
                <w:i/>
                <w:color w:val="auto"/>
                <w:kern w:val="2"/>
                <w:szCs w:val="21"/>
              </w:rPr>
            </m:ctrlPr>
          </m:e>
          <m:sub>
            <m:r>
              <m:rPr/>
              <w:rPr>
                <w:rFonts w:hint="eastAsia" w:ascii="Cambria Math" w:hAnsi="Cambria Math"/>
                <w:color w:val="auto"/>
              </w:rPr>
              <m:t>s</m:t>
            </m:r>
            <m:ctrlPr>
              <w:rPr>
                <w:rFonts w:ascii="Cambria Math" w:hAnsi="Cambria Math"/>
                <w:i/>
                <w:color w:val="auto"/>
                <w:kern w:val="2"/>
                <w:szCs w:val="21"/>
              </w:rPr>
            </m:ctrlPr>
          </m:sub>
        </m:sSub>
      </m:oMath>
      <w:r>
        <w:rPr>
          <w:color w:val="auto"/>
        </w:rPr>
        <w:t>——</w:t>
      </w:r>
      <w:r>
        <w:rPr>
          <w:rFonts w:ascii="Segoe UI" w:hAnsi="Segoe UI" w:cs="Segoe UI"/>
          <w:color w:val="auto"/>
          <w:shd w:val="clear" w:color="auto" w:fill="FFFFFF"/>
        </w:rPr>
        <w:t>加标用标准溶液</w:t>
      </w:r>
      <w:r>
        <w:rPr>
          <w:color w:val="auto"/>
        </w:rPr>
        <w:t>的质量浓度的数值，单位为微克每毫升（μg/mL）；</w:t>
      </w:r>
    </w:p>
    <w:p w14:paraId="4CDFBCD8">
      <w:pPr>
        <w:pStyle w:val="56"/>
        <w:ind w:firstLine="420"/>
        <w:rPr>
          <w:color w:val="auto"/>
        </w:rPr>
      </w:pPr>
      <m:oMath>
        <m:sSub>
          <m:sSubPr>
            <m:ctrlPr>
              <w:rPr>
                <w:rFonts w:ascii="Cambria Math" w:hAnsi="Cambria Math"/>
                <w:i/>
                <w:color w:val="auto"/>
                <w:kern w:val="2"/>
                <w:szCs w:val="21"/>
              </w:rPr>
            </m:ctrlPr>
          </m:sSubPr>
          <m:e>
            <m:r>
              <m:rPr/>
              <w:rPr>
                <w:rFonts w:ascii="Cambria Math" w:hAnsi="Cambria Math"/>
                <w:color w:val="auto"/>
              </w:rPr>
              <m:t>V</m:t>
            </m:r>
            <m:ctrlPr>
              <w:rPr>
                <w:rFonts w:ascii="Cambria Math" w:hAnsi="Cambria Math"/>
                <w:i/>
                <w:color w:val="auto"/>
                <w:kern w:val="2"/>
                <w:szCs w:val="21"/>
              </w:rPr>
            </m:ctrlPr>
          </m:e>
          <m:sub>
            <m:r>
              <m:rPr/>
              <w:rPr>
                <w:rFonts w:ascii="Cambria Math" w:hAnsi="Cambria Math"/>
                <w:color w:val="auto"/>
              </w:rPr>
              <m:t>s</m:t>
            </m:r>
            <m:ctrlPr>
              <w:rPr>
                <w:rFonts w:ascii="Cambria Math" w:hAnsi="Cambria Math"/>
                <w:i/>
                <w:color w:val="auto"/>
                <w:kern w:val="2"/>
                <w:szCs w:val="21"/>
              </w:rPr>
            </m:ctrlPr>
          </m:sub>
        </m:sSub>
      </m:oMath>
      <w:r>
        <w:rPr>
          <w:color w:val="auto"/>
        </w:rPr>
        <w:t>——</w:t>
      </w:r>
      <w:r>
        <w:rPr>
          <w:rFonts w:ascii="Segoe UI" w:hAnsi="Segoe UI" w:cs="Segoe UI"/>
          <w:color w:val="auto"/>
          <w:shd w:val="clear" w:color="auto" w:fill="FFFFFF"/>
        </w:rPr>
        <w:t>加标溶液体积</w:t>
      </w:r>
      <w:r>
        <w:rPr>
          <w:rFonts w:hint="eastAsia" w:ascii="Segoe UI" w:hAnsi="Segoe UI" w:cs="Segoe UI"/>
          <w:color w:val="auto"/>
          <w:shd w:val="clear" w:color="auto" w:fill="FFFFFF"/>
        </w:rPr>
        <w:t>的数值，单位为毫升</w:t>
      </w:r>
      <w:r>
        <w:rPr>
          <w:color w:val="auto"/>
          <w:shd w:val="clear" w:color="auto" w:fill="FFFFFF"/>
        </w:rPr>
        <w:t>（mL）</w:t>
      </w:r>
      <w:r>
        <w:rPr>
          <w:rFonts w:hint="eastAsia"/>
          <w:color w:val="auto"/>
          <w:shd w:val="clear" w:color="auto" w:fill="FFFFFF"/>
        </w:rPr>
        <w:t>;</w:t>
      </w:r>
    </w:p>
    <w:p w14:paraId="3E5C7852">
      <w:pPr>
        <w:pStyle w:val="56"/>
        <w:ind w:firstLine="420"/>
        <w:rPr>
          <w:color w:val="auto"/>
        </w:rPr>
      </w:pPr>
      <w:r>
        <w:rPr>
          <w:rFonts w:hint="eastAsia"/>
          <w:color w:val="auto"/>
        </w:rPr>
        <w:t>待测元素的加标回收率一般控制在80 %～120 %。</w:t>
      </w:r>
    </w:p>
    <w:p w14:paraId="7C80B10F">
      <w:pPr>
        <w:pStyle w:val="104"/>
        <w:spacing w:before="240" w:after="240"/>
        <w:rPr>
          <w:color w:val="auto"/>
        </w:rPr>
      </w:pPr>
      <w:r>
        <w:rPr>
          <w:rFonts w:hint="eastAsia"/>
          <w:color w:val="auto"/>
        </w:rPr>
        <w:t>质量保证与控制</w:t>
      </w:r>
    </w:p>
    <w:p w14:paraId="70159364">
      <w:pPr>
        <w:pStyle w:val="162"/>
        <w:rPr>
          <w:rFonts w:ascii="Times New Roman"/>
          <w:color w:val="auto"/>
        </w:rPr>
      </w:pPr>
      <w:r>
        <w:rPr>
          <w:rFonts w:ascii="Times New Roman"/>
          <w:color w:val="auto"/>
        </w:rPr>
        <w:t>随同每批样品至少做两个试剂空白溶液分析。</w:t>
      </w:r>
    </w:p>
    <w:p w14:paraId="06C468C7">
      <w:pPr>
        <w:pStyle w:val="162"/>
        <w:rPr>
          <w:rFonts w:ascii="Times New Roman"/>
          <w:color w:val="auto"/>
        </w:rPr>
      </w:pPr>
      <w:r>
        <w:rPr>
          <w:rFonts w:ascii="Times New Roman"/>
          <w:color w:val="auto"/>
        </w:rPr>
        <w:t>每批样品至少抽取两个做加标回收试验，加标回收率需在80%~120%之间。</w:t>
      </w:r>
    </w:p>
    <w:p w14:paraId="37F4611A">
      <w:pPr>
        <w:pStyle w:val="162"/>
        <w:rPr>
          <w:rFonts w:ascii="Times New Roman"/>
          <w:color w:val="auto"/>
        </w:rPr>
      </w:pPr>
      <w:r>
        <w:rPr>
          <w:rFonts w:ascii="Times New Roman"/>
          <w:color w:val="auto"/>
        </w:rPr>
        <w:t>每测定10个样品后，应测定卤水标准物质质控溶液，测定结果的相对偏差小于10%，否则应重新绘制标准工作曲线。</w:t>
      </w:r>
    </w:p>
    <w:p w14:paraId="353DEEE0">
      <w:pPr>
        <w:pStyle w:val="162"/>
        <w:rPr>
          <w:rFonts w:ascii="Times New Roman"/>
          <w:color w:val="auto"/>
        </w:rPr>
      </w:pPr>
      <w:r>
        <w:rPr>
          <w:rFonts w:ascii="Times New Roman"/>
          <w:color w:val="auto"/>
        </w:rPr>
        <w:t>每测</w:t>
      </w:r>
      <w:r>
        <w:rPr>
          <w:rFonts w:hint="eastAsia" w:ascii="Times New Roman"/>
          <w:color w:val="auto"/>
        </w:rPr>
        <w:t>定10</w:t>
      </w:r>
      <w:r>
        <w:rPr>
          <w:rFonts w:ascii="Times New Roman"/>
          <w:color w:val="auto"/>
        </w:rPr>
        <w:t>个样品后，需要测定校准空白溶液</w:t>
      </w:r>
      <w:r>
        <w:rPr>
          <w:rFonts w:hint="eastAsia" w:ascii="Times New Roman"/>
          <w:color w:val="auto"/>
        </w:rPr>
        <w:t>（</w:t>
      </w:r>
      <w:r>
        <w:rPr>
          <w:rFonts w:ascii="Times New Roman"/>
          <w:color w:val="auto"/>
        </w:rPr>
        <w:t>5.6</w:t>
      </w:r>
      <w:r>
        <w:rPr>
          <w:rFonts w:hint="eastAsia" w:ascii="Times New Roman"/>
          <w:color w:val="auto"/>
        </w:rPr>
        <w:t>）</w:t>
      </w:r>
      <w:r>
        <w:rPr>
          <w:rFonts w:ascii="Times New Roman"/>
          <w:color w:val="auto"/>
        </w:rPr>
        <w:t>，分析结果要与最近一次的空白溶液结果一致。</w:t>
      </w:r>
    </w:p>
    <w:bookmarkEnd w:id="21"/>
    <w:p w14:paraId="40F12FE4">
      <w:pPr>
        <w:pStyle w:val="199"/>
        <w:rPr>
          <w:vanish w:val="0"/>
          <w:color w:val="auto"/>
        </w:rPr>
      </w:pPr>
      <w:bookmarkStart w:id="49" w:name="BookMark5"/>
    </w:p>
    <w:p w14:paraId="7FC72620">
      <w:pPr>
        <w:pStyle w:val="76"/>
        <w:spacing w:after="120"/>
        <w:rPr>
          <w:color w:val="auto"/>
        </w:rPr>
      </w:pPr>
      <w:r>
        <w:rPr>
          <w:color w:val="auto"/>
        </w:rPr>
        <w:br w:type="textWrapping"/>
      </w:r>
      <w:r>
        <w:rPr>
          <w:rFonts w:hint="eastAsia"/>
          <w:color w:val="auto"/>
        </w:rPr>
        <w:t>（资料性）</w:t>
      </w:r>
      <w:r>
        <w:rPr>
          <w:color w:val="auto"/>
        </w:rPr>
        <w:br w:type="textWrapping"/>
      </w:r>
      <w:r>
        <w:rPr>
          <w:rFonts w:hint="eastAsia"/>
          <w:color w:val="auto"/>
        </w:rPr>
        <w:t>电感耦合等离子体发射光谱仪参考测试条件</w:t>
      </w:r>
    </w:p>
    <w:p w14:paraId="160E93D6">
      <w:pPr>
        <w:pStyle w:val="56"/>
        <w:ind w:firstLine="420"/>
        <w:rPr>
          <w:color w:val="auto"/>
        </w:rPr>
      </w:pPr>
      <w:r>
        <w:rPr>
          <w:rFonts w:hint="eastAsia"/>
          <w:color w:val="auto"/>
        </w:rPr>
        <w:t>本实验采用电感耦合等离子发射光谱仪进行测定分析，参考测试条件见表A.1。</w:t>
      </w:r>
    </w:p>
    <w:p w14:paraId="484A361C">
      <w:pPr>
        <w:pStyle w:val="77"/>
        <w:spacing w:before="120" w:after="120"/>
        <w:rPr>
          <w:color w:val="auto"/>
        </w:rPr>
      </w:pPr>
      <w:r>
        <w:rPr>
          <w:color w:val="auto"/>
        </w:rPr>
        <w:tab/>
      </w:r>
      <w:r>
        <w:rPr>
          <w:rFonts w:hint="eastAsia"/>
          <w:color w:val="auto"/>
        </w:rPr>
        <w:t>工作参数</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2334"/>
        <w:gridCol w:w="2334"/>
        <w:gridCol w:w="2333"/>
        <w:gridCol w:w="2333"/>
      </w:tblGrid>
      <w:tr w14:paraId="5D4A849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2334" w:type="dxa"/>
            <w:tcBorders>
              <w:top w:val="single" w:color="auto" w:sz="8" w:space="0"/>
              <w:bottom w:val="single" w:color="auto" w:sz="8" w:space="0"/>
            </w:tcBorders>
            <w:vAlign w:val="center"/>
          </w:tcPr>
          <w:p w14:paraId="620AA0F1">
            <w:pPr>
              <w:spacing w:line="240" w:lineRule="auto"/>
              <w:jc w:val="center"/>
              <w:rPr>
                <w:rFonts w:ascii="Times New Roman" w:hAnsi="Times New Roman"/>
                <w:color w:val="auto"/>
                <w:sz w:val="18"/>
              </w:rPr>
            </w:pPr>
            <w:r>
              <w:rPr>
                <w:rFonts w:ascii="Times New Roman" w:hAnsi="Times New Roman"/>
                <w:color w:val="auto"/>
                <w:sz w:val="18"/>
              </w:rPr>
              <w:t>项目</w:t>
            </w:r>
          </w:p>
        </w:tc>
        <w:tc>
          <w:tcPr>
            <w:tcW w:w="2334" w:type="dxa"/>
            <w:tcBorders>
              <w:top w:val="single" w:color="auto" w:sz="8" w:space="0"/>
              <w:bottom w:val="single" w:color="auto" w:sz="8" w:space="0"/>
            </w:tcBorders>
            <w:vAlign w:val="center"/>
          </w:tcPr>
          <w:p w14:paraId="4CCD3669">
            <w:pPr>
              <w:spacing w:line="240" w:lineRule="auto"/>
              <w:jc w:val="center"/>
              <w:rPr>
                <w:rFonts w:ascii="Times New Roman" w:hAnsi="Times New Roman"/>
                <w:color w:val="auto"/>
                <w:sz w:val="18"/>
              </w:rPr>
            </w:pPr>
            <w:r>
              <w:rPr>
                <w:rFonts w:ascii="Times New Roman" w:hAnsi="Times New Roman"/>
                <w:color w:val="auto"/>
                <w:sz w:val="18"/>
              </w:rPr>
              <w:t>参数</w:t>
            </w:r>
          </w:p>
        </w:tc>
        <w:tc>
          <w:tcPr>
            <w:tcW w:w="2333" w:type="dxa"/>
            <w:tcBorders>
              <w:top w:val="single" w:color="auto" w:sz="8" w:space="0"/>
              <w:bottom w:val="single" w:color="auto" w:sz="8" w:space="0"/>
            </w:tcBorders>
            <w:vAlign w:val="center"/>
          </w:tcPr>
          <w:p w14:paraId="77AD3375">
            <w:pPr>
              <w:spacing w:line="240" w:lineRule="auto"/>
              <w:jc w:val="center"/>
              <w:rPr>
                <w:rFonts w:ascii="Times New Roman" w:hAnsi="Times New Roman"/>
                <w:color w:val="auto"/>
                <w:sz w:val="18"/>
              </w:rPr>
            </w:pPr>
            <w:r>
              <w:rPr>
                <w:rFonts w:ascii="Times New Roman" w:hAnsi="Times New Roman"/>
                <w:color w:val="auto"/>
                <w:sz w:val="18"/>
              </w:rPr>
              <w:t>项目</w:t>
            </w:r>
          </w:p>
        </w:tc>
        <w:tc>
          <w:tcPr>
            <w:tcW w:w="2333" w:type="dxa"/>
            <w:tcBorders>
              <w:top w:val="single" w:color="auto" w:sz="8" w:space="0"/>
              <w:bottom w:val="single" w:color="auto" w:sz="8" w:space="0"/>
            </w:tcBorders>
            <w:vAlign w:val="center"/>
          </w:tcPr>
          <w:p w14:paraId="4A9BFD20">
            <w:pPr>
              <w:spacing w:line="240" w:lineRule="auto"/>
              <w:jc w:val="center"/>
              <w:rPr>
                <w:rFonts w:ascii="Times New Roman" w:hAnsi="Times New Roman"/>
                <w:color w:val="auto"/>
                <w:sz w:val="18"/>
              </w:rPr>
            </w:pPr>
            <w:r>
              <w:rPr>
                <w:rFonts w:ascii="Times New Roman" w:hAnsi="Times New Roman"/>
                <w:color w:val="auto"/>
                <w:sz w:val="18"/>
              </w:rPr>
              <w:t>参数</w:t>
            </w:r>
          </w:p>
        </w:tc>
      </w:tr>
      <w:tr w14:paraId="3328BD86">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tcBorders>
              <w:top w:val="single" w:color="auto" w:sz="8" w:space="0"/>
            </w:tcBorders>
            <w:vAlign w:val="center"/>
          </w:tcPr>
          <w:p w14:paraId="0ECCCDFA">
            <w:pPr>
              <w:spacing w:line="240" w:lineRule="auto"/>
              <w:jc w:val="center"/>
              <w:rPr>
                <w:rFonts w:ascii="Times New Roman" w:hAnsi="Times New Roman"/>
                <w:color w:val="auto"/>
                <w:sz w:val="18"/>
              </w:rPr>
            </w:pPr>
            <w:r>
              <w:rPr>
                <w:rFonts w:ascii="Times New Roman" w:hAnsi="Times New Roman"/>
                <w:color w:val="auto"/>
                <w:sz w:val="18"/>
              </w:rPr>
              <w:t>光源</w:t>
            </w:r>
          </w:p>
        </w:tc>
        <w:tc>
          <w:tcPr>
            <w:tcW w:w="2334" w:type="dxa"/>
            <w:tcBorders>
              <w:top w:val="single" w:color="auto" w:sz="8" w:space="0"/>
            </w:tcBorders>
            <w:vAlign w:val="center"/>
          </w:tcPr>
          <w:p w14:paraId="6206A9BD">
            <w:pPr>
              <w:spacing w:line="240" w:lineRule="auto"/>
              <w:jc w:val="center"/>
              <w:rPr>
                <w:rFonts w:ascii="Times New Roman" w:hAnsi="Times New Roman"/>
                <w:color w:val="auto"/>
                <w:sz w:val="18"/>
              </w:rPr>
            </w:pPr>
            <w:r>
              <w:rPr>
                <w:rFonts w:ascii="Times New Roman" w:hAnsi="Times New Roman"/>
                <w:color w:val="auto"/>
                <w:sz w:val="18"/>
              </w:rPr>
              <w:t>氩等离子体光源</w:t>
            </w:r>
          </w:p>
        </w:tc>
        <w:tc>
          <w:tcPr>
            <w:tcW w:w="2333" w:type="dxa"/>
            <w:tcBorders>
              <w:top w:val="single" w:color="auto" w:sz="8" w:space="0"/>
            </w:tcBorders>
            <w:vAlign w:val="center"/>
          </w:tcPr>
          <w:p w14:paraId="34AAA129">
            <w:pPr>
              <w:spacing w:line="240" w:lineRule="auto"/>
              <w:jc w:val="center"/>
              <w:rPr>
                <w:rFonts w:ascii="Times New Roman" w:hAnsi="Times New Roman"/>
                <w:color w:val="auto"/>
                <w:sz w:val="18"/>
              </w:rPr>
            </w:pPr>
            <w:r>
              <w:rPr>
                <w:rFonts w:ascii="Times New Roman" w:hAnsi="Times New Roman"/>
                <w:color w:val="auto"/>
                <w:sz w:val="18"/>
              </w:rPr>
              <w:t>雾化器气流量（L/min）</w:t>
            </w:r>
          </w:p>
        </w:tc>
        <w:tc>
          <w:tcPr>
            <w:tcW w:w="2333" w:type="dxa"/>
            <w:tcBorders>
              <w:top w:val="single" w:color="auto" w:sz="8" w:space="0"/>
            </w:tcBorders>
            <w:vAlign w:val="center"/>
          </w:tcPr>
          <w:p w14:paraId="10F57225">
            <w:pPr>
              <w:spacing w:line="240" w:lineRule="auto"/>
              <w:jc w:val="center"/>
              <w:rPr>
                <w:rFonts w:ascii="Times New Roman" w:hAnsi="Times New Roman"/>
                <w:color w:val="auto"/>
                <w:sz w:val="18"/>
              </w:rPr>
            </w:pPr>
            <w:r>
              <w:rPr>
                <w:rFonts w:ascii="Times New Roman" w:hAnsi="Times New Roman"/>
                <w:color w:val="auto"/>
                <w:sz w:val="18"/>
              </w:rPr>
              <w:t>0.6</w:t>
            </w:r>
          </w:p>
        </w:tc>
      </w:tr>
      <w:tr w14:paraId="56A0C9D5">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3CFB8D7B">
            <w:pPr>
              <w:spacing w:line="240" w:lineRule="auto"/>
              <w:jc w:val="center"/>
              <w:rPr>
                <w:rFonts w:ascii="Times New Roman" w:hAnsi="Times New Roman"/>
                <w:color w:val="auto"/>
                <w:sz w:val="18"/>
              </w:rPr>
            </w:pPr>
            <w:r>
              <w:rPr>
                <w:rFonts w:ascii="Times New Roman" w:hAnsi="Times New Roman"/>
                <w:color w:val="auto"/>
                <w:sz w:val="18"/>
              </w:rPr>
              <w:t>雾化器</w:t>
            </w:r>
          </w:p>
        </w:tc>
        <w:tc>
          <w:tcPr>
            <w:tcW w:w="2334" w:type="dxa"/>
            <w:vAlign w:val="center"/>
          </w:tcPr>
          <w:p w14:paraId="196F6C52">
            <w:pPr>
              <w:spacing w:line="240" w:lineRule="auto"/>
              <w:jc w:val="center"/>
              <w:rPr>
                <w:rFonts w:ascii="Times New Roman" w:hAnsi="Times New Roman"/>
                <w:color w:val="auto"/>
                <w:sz w:val="18"/>
              </w:rPr>
            </w:pPr>
            <w:r>
              <w:rPr>
                <w:rFonts w:ascii="Times New Roman" w:hAnsi="Times New Roman"/>
                <w:color w:val="auto"/>
                <w:sz w:val="18"/>
              </w:rPr>
              <w:t>高盐十字交叉雾化器</w:t>
            </w:r>
          </w:p>
        </w:tc>
        <w:tc>
          <w:tcPr>
            <w:tcW w:w="2333" w:type="dxa"/>
            <w:vAlign w:val="center"/>
          </w:tcPr>
          <w:p w14:paraId="629B47F3">
            <w:pPr>
              <w:spacing w:line="240" w:lineRule="auto"/>
              <w:jc w:val="center"/>
              <w:rPr>
                <w:rFonts w:ascii="Times New Roman" w:hAnsi="Times New Roman"/>
                <w:color w:val="auto"/>
                <w:sz w:val="18"/>
              </w:rPr>
            </w:pPr>
            <w:r>
              <w:rPr>
                <w:rFonts w:ascii="Times New Roman" w:hAnsi="Times New Roman"/>
                <w:color w:val="auto"/>
                <w:sz w:val="18"/>
              </w:rPr>
              <w:t>辅助气流量（L/min）</w:t>
            </w:r>
          </w:p>
        </w:tc>
        <w:tc>
          <w:tcPr>
            <w:tcW w:w="2333" w:type="dxa"/>
            <w:vAlign w:val="center"/>
          </w:tcPr>
          <w:p w14:paraId="7A241E06">
            <w:pPr>
              <w:spacing w:line="240" w:lineRule="auto"/>
              <w:jc w:val="center"/>
              <w:rPr>
                <w:rFonts w:ascii="Times New Roman" w:hAnsi="Times New Roman"/>
                <w:color w:val="auto"/>
                <w:sz w:val="18"/>
              </w:rPr>
            </w:pPr>
            <w:r>
              <w:rPr>
                <w:rFonts w:ascii="Times New Roman" w:hAnsi="Times New Roman"/>
                <w:color w:val="auto"/>
                <w:sz w:val="18"/>
              </w:rPr>
              <w:t>0.2</w:t>
            </w:r>
          </w:p>
        </w:tc>
      </w:tr>
      <w:tr w14:paraId="5BF91848">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vAlign w:val="center"/>
          </w:tcPr>
          <w:p w14:paraId="716BE1BE">
            <w:pPr>
              <w:spacing w:line="240" w:lineRule="auto"/>
              <w:jc w:val="center"/>
              <w:rPr>
                <w:rFonts w:ascii="Times New Roman" w:hAnsi="Times New Roman"/>
                <w:color w:val="auto"/>
                <w:sz w:val="18"/>
              </w:rPr>
            </w:pPr>
            <w:r>
              <w:rPr>
                <w:rFonts w:ascii="Times New Roman" w:hAnsi="Times New Roman"/>
                <w:color w:val="auto"/>
                <w:sz w:val="18"/>
              </w:rPr>
              <w:t>射频功率（W）</w:t>
            </w:r>
          </w:p>
        </w:tc>
        <w:tc>
          <w:tcPr>
            <w:tcW w:w="2334" w:type="dxa"/>
            <w:vAlign w:val="center"/>
          </w:tcPr>
          <w:p w14:paraId="52C02F68">
            <w:pPr>
              <w:spacing w:line="240" w:lineRule="auto"/>
              <w:jc w:val="center"/>
              <w:rPr>
                <w:rFonts w:ascii="Times New Roman" w:hAnsi="Times New Roman"/>
                <w:color w:val="auto"/>
                <w:sz w:val="18"/>
              </w:rPr>
            </w:pPr>
            <w:r>
              <w:rPr>
                <w:rFonts w:ascii="Times New Roman" w:hAnsi="Times New Roman"/>
                <w:color w:val="auto"/>
                <w:sz w:val="18"/>
              </w:rPr>
              <w:t>1300</w:t>
            </w:r>
          </w:p>
        </w:tc>
        <w:tc>
          <w:tcPr>
            <w:tcW w:w="2333" w:type="dxa"/>
            <w:vAlign w:val="center"/>
          </w:tcPr>
          <w:p w14:paraId="31E78C83">
            <w:pPr>
              <w:spacing w:line="240" w:lineRule="auto"/>
              <w:jc w:val="center"/>
              <w:rPr>
                <w:rFonts w:ascii="Times New Roman" w:hAnsi="Times New Roman"/>
                <w:color w:val="auto"/>
                <w:sz w:val="18"/>
              </w:rPr>
            </w:pPr>
            <w:r>
              <w:rPr>
                <w:rFonts w:ascii="Times New Roman" w:hAnsi="Times New Roman"/>
                <w:color w:val="auto"/>
                <w:sz w:val="18"/>
              </w:rPr>
              <w:t>等离子体气流量（L/min）</w:t>
            </w:r>
          </w:p>
        </w:tc>
        <w:tc>
          <w:tcPr>
            <w:tcW w:w="2333" w:type="dxa"/>
            <w:vAlign w:val="center"/>
          </w:tcPr>
          <w:p w14:paraId="1B064E5D">
            <w:pPr>
              <w:spacing w:line="240" w:lineRule="auto"/>
              <w:jc w:val="center"/>
              <w:rPr>
                <w:rFonts w:ascii="Times New Roman" w:hAnsi="Times New Roman"/>
                <w:color w:val="auto"/>
                <w:sz w:val="18"/>
              </w:rPr>
            </w:pPr>
            <w:r>
              <w:rPr>
                <w:rFonts w:ascii="Times New Roman" w:hAnsi="Times New Roman"/>
                <w:color w:val="auto"/>
                <w:sz w:val="18"/>
              </w:rPr>
              <w:t>13</w:t>
            </w:r>
          </w:p>
        </w:tc>
      </w:tr>
      <w:tr w14:paraId="4C1B690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2334" w:type="dxa"/>
            <w:tcBorders>
              <w:bottom w:val="single" w:color="auto" w:sz="8" w:space="0"/>
            </w:tcBorders>
            <w:vAlign w:val="center"/>
          </w:tcPr>
          <w:p w14:paraId="7E255B78">
            <w:pPr>
              <w:spacing w:line="240" w:lineRule="auto"/>
              <w:jc w:val="center"/>
              <w:rPr>
                <w:rFonts w:ascii="Times New Roman" w:hAnsi="Times New Roman"/>
                <w:color w:val="auto"/>
                <w:sz w:val="18"/>
              </w:rPr>
            </w:pPr>
            <w:r>
              <w:rPr>
                <w:rFonts w:ascii="Times New Roman" w:hAnsi="Times New Roman"/>
                <w:color w:val="auto"/>
                <w:sz w:val="18"/>
              </w:rPr>
              <w:t>泵速（mL/min）</w:t>
            </w:r>
          </w:p>
        </w:tc>
        <w:tc>
          <w:tcPr>
            <w:tcW w:w="2334" w:type="dxa"/>
            <w:tcBorders>
              <w:bottom w:val="single" w:color="auto" w:sz="8" w:space="0"/>
            </w:tcBorders>
            <w:vAlign w:val="center"/>
          </w:tcPr>
          <w:p w14:paraId="7A32F836">
            <w:pPr>
              <w:spacing w:line="240" w:lineRule="auto"/>
              <w:jc w:val="center"/>
              <w:rPr>
                <w:rFonts w:ascii="Times New Roman" w:hAnsi="Times New Roman"/>
                <w:color w:val="auto"/>
                <w:sz w:val="18"/>
              </w:rPr>
            </w:pPr>
            <w:r>
              <w:rPr>
                <w:rFonts w:ascii="Times New Roman" w:hAnsi="Times New Roman"/>
                <w:color w:val="auto"/>
                <w:sz w:val="18"/>
              </w:rPr>
              <w:t>1.5</w:t>
            </w:r>
          </w:p>
        </w:tc>
        <w:tc>
          <w:tcPr>
            <w:tcW w:w="2333" w:type="dxa"/>
            <w:tcBorders>
              <w:bottom w:val="single" w:color="auto" w:sz="8" w:space="0"/>
            </w:tcBorders>
            <w:vAlign w:val="center"/>
          </w:tcPr>
          <w:p w14:paraId="106925EF">
            <w:pPr>
              <w:spacing w:line="240" w:lineRule="auto"/>
              <w:jc w:val="center"/>
              <w:rPr>
                <w:rFonts w:ascii="Times New Roman" w:hAnsi="Times New Roman"/>
                <w:color w:val="auto"/>
                <w:sz w:val="18"/>
              </w:rPr>
            </w:pPr>
            <w:r>
              <w:rPr>
                <w:rFonts w:ascii="Times New Roman" w:hAnsi="Times New Roman"/>
                <w:color w:val="auto"/>
                <w:sz w:val="18"/>
              </w:rPr>
              <w:t>自动曝光时间（s）</w:t>
            </w:r>
          </w:p>
        </w:tc>
        <w:tc>
          <w:tcPr>
            <w:tcW w:w="2333" w:type="dxa"/>
            <w:tcBorders>
              <w:bottom w:val="single" w:color="auto" w:sz="8" w:space="0"/>
            </w:tcBorders>
            <w:vAlign w:val="center"/>
          </w:tcPr>
          <w:p w14:paraId="2CE0EE1C">
            <w:pPr>
              <w:spacing w:line="240" w:lineRule="auto"/>
              <w:jc w:val="center"/>
              <w:rPr>
                <w:rFonts w:ascii="Times New Roman" w:hAnsi="Times New Roman"/>
                <w:color w:val="auto"/>
                <w:sz w:val="18"/>
              </w:rPr>
            </w:pPr>
            <w:r>
              <w:rPr>
                <w:rFonts w:ascii="Times New Roman" w:hAnsi="Times New Roman"/>
                <w:color w:val="auto"/>
                <w:sz w:val="18"/>
              </w:rPr>
              <w:t>1-5</w:t>
            </w:r>
          </w:p>
        </w:tc>
      </w:tr>
    </w:tbl>
    <w:p w14:paraId="529A49D4">
      <w:pPr>
        <w:pStyle w:val="56"/>
        <w:ind w:firstLine="420"/>
        <w:rPr>
          <w:color w:val="auto"/>
        </w:rPr>
      </w:pPr>
      <w:r>
        <w:rPr>
          <w:rFonts w:hint="eastAsia"/>
          <w:color w:val="auto"/>
        </w:rPr>
        <w:t>测定元素的分析谱线，详见表A.2。</w:t>
      </w:r>
    </w:p>
    <w:p w14:paraId="040F1AA4">
      <w:pPr>
        <w:pStyle w:val="77"/>
        <w:spacing w:before="120" w:after="120"/>
        <w:rPr>
          <w:color w:val="auto"/>
        </w:rPr>
      </w:pPr>
      <w:r>
        <w:rPr>
          <w:rFonts w:hint="eastAsia"/>
          <w:color w:val="auto"/>
        </w:rPr>
        <w:t>分析谱线</w:t>
      </w:r>
    </w:p>
    <w:tbl>
      <w:tblPr>
        <w:tblStyle w:val="27"/>
        <w:tblW w:w="0" w:type="auto"/>
        <w:jc w:val="center"/>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autofit"/>
        <w:tblCellMar>
          <w:top w:w="0" w:type="dxa"/>
          <w:left w:w="100" w:type="dxa"/>
          <w:bottom w:w="0" w:type="dxa"/>
          <w:right w:w="100" w:type="dxa"/>
        </w:tblCellMar>
      </w:tblPr>
      <w:tblGrid>
        <w:gridCol w:w="4667"/>
        <w:gridCol w:w="4667"/>
      </w:tblGrid>
      <w:tr w14:paraId="7A527DEF">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tblHeader/>
          <w:jc w:val="center"/>
        </w:trPr>
        <w:tc>
          <w:tcPr>
            <w:tcW w:w="4667" w:type="dxa"/>
            <w:tcBorders>
              <w:top w:val="single" w:color="auto" w:sz="8" w:space="0"/>
              <w:bottom w:val="single" w:color="auto" w:sz="8" w:space="0"/>
            </w:tcBorders>
            <w:vAlign w:val="center"/>
          </w:tcPr>
          <w:p w14:paraId="527DCA23">
            <w:pPr>
              <w:spacing w:line="240" w:lineRule="auto"/>
              <w:jc w:val="center"/>
              <w:rPr>
                <w:rFonts w:ascii="Times New Roman" w:hAnsi="Times New Roman"/>
                <w:color w:val="auto"/>
                <w:sz w:val="18"/>
              </w:rPr>
            </w:pPr>
            <w:r>
              <w:rPr>
                <w:rFonts w:ascii="Times New Roman" w:hAnsi="Times New Roman"/>
                <w:color w:val="auto"/>
                <w:sz w:val="18"/>
              </w:rPr>
              <w:t>测定元素</w:t>
            </w:r>
          </w:p>
        </w:tc>
        <w:tc>
          <w:tcPr>
            <w:tcW w:w="4667" w:type="dxa"/>
            <w:tcBorders>
              <w:top w:val="single" w:color="auto" w:sz="8" w:space="0"/>
              <w:bottom w:val="single" w:color="auto" w:sz="8" w:space="0"/>
            </w:tcBorders>
            <w:vAlign w:val="center"/>
          </w:tcPr>
          <w:p w14:paraId="3EC08246">
            <w:pPr>
              <w:spacing w:line="240" w:lineRule="auto"/>
              <w:jc w:val="center"/>
              <w:rPr>
                <w:rFonts w:ascii="Times New Roman" w:hAnsi="Times New Roman"/>
                <w:color w:val="auto"/>
                <w:sz w:val="18"/>
              </w:rPr>
            </w:pPr>
            <w:r>
              <w:rPr>
                <w:rFonts w:ascii="Times New Roman" w:hAnsi="Times New Roman"/>
                <w:color w:val="auto"/>
                <w:sz w:val="18"/>
              </w:rPr>
              <w:t>波长（nm）</w:t>
            </w:r>
          </w:p>
        </w:tc>
      </w:tr>
      <w:tr w14:paraId="603E25A2">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top w:val="single" w:color="auto" w:sz="8" w:space="0"/>
            </w:tcBorders>
            <w:vAlign w:val="center"/>
          </w:tcPr>
          <w:p w14:paraId="49B6371B">
            <w:pPr>
              <w:spacing w:line="240" w:lineRule="auto"/>
              <w:jc w:val="center"/>
              <w:rPr>
                <w:rFonts w:ascii="Times New Roman" w:hAnsi="Times New Roman"/>
                <w:color w:val="auto"/>
                <w:sz w:val="18"/>
              </w:rPr>
            </w:pPr>
            <w:r>
              <w:rPr>
                <w:rFonts w:ascii="Times New Roman" w:hAnsi="Times New Roman"/>
                <w:color w:val="auto"/>
                <w:sz w:val="18"/>
              </w:rPr>
              <w:t>I</w:t>
            </w:r>
          </w:p>
        </w:tc>
        <w:tc>
          <w:tcPr>
            <w:tcW w:w="4667" w:type="dxa"/>
            <w:tcBorders>
              <w:top w:val="single" w:color="auto" w:sz="8" w:space="0"/>
            </w:tcBorders>
            <w:vAlign w:val="center"/>
          </w:tcPr>
          <w:p w14:paraId="6E6CD542">
            <w:pPr>
              <w:spacing w:line="240" w:lineRule="auto"/>
              <w:jc w:val="center"/>
              <w:rPr>
                <w:rFonts w:ascii="Times New Roman" w:hAnsi="Times New Roman"/>
                <w:color w:val="auto"/>
                <w:sz w:val="18"/>
              </w:rPr>
            </w:pPr>
            <w:r>
              <w:rPr>
                <w:rFonts w:ascii="Times New Roman" w:hAnsi="Times New Roman"/>
                <w:color w:val="auto"/>
                <w:sz w:val="18"/>
              </w:rPr>
              <w:t>178.215</w:t>
            </w:r>
          </w:p>
        </w:tc>
      </w:tr>
      <w:tr w14:paraId="7A6773E9">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CellMar>
            <w:top w:w="0" w:type="dxa"/>
            <w:left w:w="100" w:type="dxa"/>
            <w:bottom w:w="0" w:type="dxa"/>
            <w:right w:w="100" w:type="dxa"/>
          </w:tblCellMar>
        </w:tblPrEx>
        <w:trPr>
          <w:jc w:val="center"/>
        </w:trPr>
        <w:tc>
          <w:tcPr>
            <w:tcW w:w="4667" w:type="dxa"/>
            <w:tcBorders>
              <w:bottom w:val="single" w:color="auto" w:sz="8" w:space="0"/>
            </w:tcBorders>
            <w:vAlign w:val="center"/>
          </w:tcPr>
          <w:p w14:paraId="4B369DFA">
            <w:pPr>
              <w:spacing w:line="240" w:lineRule="auto"/>
              <w:jc w:val="center"/>
              <w:rPr>
                <w:rFonts w:ascii="Times New Roman" w:hAnsi="Times New Roman"/>
                <w:color w:val="auto"/>
                <w:sz w:val="18"/>
              </w:rPr>
            </w:pPr>
            <w:r>
              <w:rPr>
                <w:rFonts w:ascii="Times New Roman" w:hAnsi="Times New Roman"/>
                <w:color w:val="auto"/>
                <w:sz w:val="18"/>
              </w:rPr>
              <w:t>PO</w:t>
            </w:r>
            <w:r>
              <w:rPr>
                <w:rFonts w:ascii="Times New Roman" w:hAnsi="Times New Roman"/>
                <w:color w:val="auto"/>
                <w:sz w:val="18"/>
                <w:vertAlign w:val="subscript"/>
              </w:rPr>
              <w:t>4</w:t>
            </w:r>
            <w:r>
              <w:rPr>
                <w:rFonts w:ascii="Times New Roman" w:hAnsi="Times New Roman"/>
                <w:color w:val="auto"/>
                <w:sz w:val="18"/>
                <w:vertAlign w:val="superscript"/>
              </w:rPr>
              <w:t>3-</w:t>
            </w:r>
          </w:p>
        </w:tc>
        <w:tc>
          <w:tcPr>
            <w:tcW w:w="4667" w:type="dxa"/>
            <w:tcBorders>
              <w:bottom w:val="single" w:color="auto" w:sz="8" w:space="0"/>
            </w:tcBorders>
            <w:vAlign w:val="center"/>
          </w:tcPr>
          <w:p w14:paraId="09576FC4">
            <w:pPr>
              <w:spacing w:line="240" w:lineRule="auto"/>
              <w:jc w:val="center"/>
              <w:rPr>
                <w:rFonts w:ascii="Times New Roman" w:hAnsi="Times New Roman"/>
                <w:color w:val="auto"/>
                <w:sz w:val="18"/>
              </w:rPr>
            </w:pPr>
            <w:r>
              <w:rPr>
                <w:rFonts w:ascii="Times New Roman" w:hAnsi="Times New Roman"/>
                <w:color w:val="auto"/>
                <w:sz w:val="18"/>
              </w:rPr>
              <w:t>213.617</w:t>
            </w:r>
          </w:p>
        </w:tc>
      </w:tr>
      <w:bookmarkEnd w:id="49"/>
    </w:tbl>
    <w:p w14:paraId="6DD6BD4F">
      <w:pPr>
        <w:pStyle w:val="56"/>
        <w:ind w:firstLine="0" w:firstLineChars="0"/>
        <w:jc w:val="center"/>
        <w:rPr>
          <w:color w:val="auto"/>
        </w:rPr>
      </w:pPr>
      <w:bookmarkStart w:id="50" w:name="BookMark8"/>
      <w:r>
        <w:rPr>
          <w:color w:val="auto"/>
        </w:rPr>
        <w:drawing>
          <wp:inline distT="0" distB="0" distL="0" distR="0">
            <wp:extent cx="1485900" cy="317500"/>
            <wp:effectExtent l="0" t="0" r="0" b="6350"/>
            <wp:docPr id="1783371074" name="图片 3"/>
            <wp:cNvGraphicFramePr/>
            <a:graphic xmlns:a="http://schemas.openxmlformats.org/drawingml/2006/main">
              <a:graphicData uri="http://schemas.openxmlformats.org/drawingml/2006/picture">
                <pic:pic xmlns:pic="http://schemas.openxmlformats.org/drawingml/2006/picture">
                  <pic:nvPicPr>
                    <pic:cNvPr id="1783371074" name="图片 3"/>
                    <pic:cNvPicPr/>
                  </pic:nvPicPr>
                  <pic:blipFill>
                    <a:blip r:embed="rId15">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50"/>
    </w:p>
    <w:sectPr>
      <w:pgSz w:w="11906" w:h="16838"/>
      <w:pgMar w:top="1928" w:right="1134" w:bottom="1134" w:left="1134" w:header="1418" w:footer="1134" w:gutter="284"/>
      <w:cols w:space="425" w:num="1"/>
      <w:formProt w:val="0"/>
      <w:docGrid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swiss"/>
    <w:pitch w:val="default"/>
    <w:sig w:usb0="E0002EFF" w:usb1="C000785B" w:usb2="00000009" w:usb3="00000000" w:csb0="400001FF" w:csb1="FFFF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Segoe UI">
    <w:panose1 w:val="020B0502040204020203"/>
    <w:charset w:val="00"/>
    <w:family w:val="swiss"/>
    <w:pitch w:val="default"/>
    <w:sig w:usb0="E4002EFF" w:usb1="C000E47F" w:usb2="00000009" w:usb3="00000000" w:csb0="200001FF" w:csb1="00000000"/>
  </w:font>
  <w:font w:name="Cambria Math">
    <w:panose1 w:val="02040503050406030204"/>
    <w:charset w:val="00"/>
    <w:family w:val="roman"/>
    <w:pitch w:val="default"/>
    <w:sig w:usb0="E00006FF" w:usb1="420024FF" w:usb2="02000000" w:usb3="00000000" w:csb0="2000019F" w:csb1="00000000"/>
  </w:font>
  <w:font w:name="微软雅黑">
    <w:panose1 w:val="020B0503020204020204"/>
    <w:charset w:val="86"/>
    <w:family w:val="swiss"/>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8D745F">
    <w:pPr>
      <w:pStyle w:val="17"/>
    </w:pPr>
    <w:r>
      <w:rPr>
        <w:rFonts w:hint="eastAsia"/>
      </w:rPr>
      <w:t>1</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0A81CBA">
    <w:pPr>
      <w:pStyle w:val="17"/>
    </w:pPr>
    <w:r>
      <w:fldChar w:fldCharType="begin"/>
    </w:r>
    <w:r>
      <w:instrText xml:space="preserve">PAGE   \* MERGEFORMAT</w:instrText>
    </w:r>
    <w:r>
      <w:fldChar w:fldCharType="separate"/>
    </w:r>
    <w:r>
      <w:rPr>
        <w:lang w:val="zh-CN"/>
      </w:rPr>
      <w:t>2</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D99F50">
    <w:pPr>
      <w:pStyle w:val="17"/>
      <w:ind w:right="720"/>
      <w:jc w:val="both"/>
      <w:rPr>
        <w:sz w:val="2"/>
        <w:szCs w:val="2"/>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10491510"/>
      <w:docPartObj>
        <w:docPartGallery w:val="AutoText"/>
      </w:docPartObj>
    </w:sdtPr>
    <w:sdtContent>
      <w:p w14:paraId="369B8C52">
        <w:pPr>
          <w:pStyle w:val="17"/>
        </w:pPr>
        <w:r>
          <w:fldChar w:fldCharType="begin"/>
        </w:r>
        <w:r>
          <w:instrText xml:space="preserve">PAGE   \* MERGEFORMAT</w:instrText>
        </w:r>
        <w:r>
          <w:fldChar w:fldCharType="separate"/>
        </w:r>
        <w:r>
          <w:rPr>
            <w:lang w:val="zh-CN"/>
          </w:rPr>
          <w:t>2</w:t>
        </w:r>
        <w:r>
          <w:fldChar w:fldCharType="end"/>
        </w:r>
      </w:p>
    </w:sdtContent>
  </w:sdt>
  <w:p w14:paraId="3EF1A389">
    <w:pPr>
      <w:pStyle w:val="1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14742079"/>
      <w:docPartObj>
        <w:docPartGallery w:val="AutoText"/>
      </w:docPartObj>
    </w:sdtPr>
    <w:sdtContent>
      <w:p w14:paraId="14C64EE9">
        <w:pPr>
          <w:pStyle w:val="18"/>
          <w:jc w:val="right"/>
        </w:pPr>
        <w:r>
          <w:fldChar w:fldCharType="begin"/>
        </w:r>
        <w:r>
          <w:instrText xml:space="preserve">PAGE   \* MERGEFORMAT</w:instrText>
        </w:r>
        <w:r>
          <w:fldChar w:fldCharType="separate"/>
        </w:r>
        <w:r>
          <w:rPr>
            <w:lang w:val="zh-CN"/>
          </w:rPr>
          <w:t>2</w:t>
        </w:r>
        <w:r>
          <w:fldChar w:fldCharType="end"/>
        </w:r>
      </w:p>
    </w:sdtContent>
  </w:sdt>
  <w:p w14:paraId="60E86D46">
    <w:pPr>
      <w:pStyle w:val="18"/>
      <w:wordWrap w:val="0"/>
      <w:jc w:val="right"/>
      <w:rPr>
        <w:rFonts w:ascii="Times New Roman" w:hAnsi="Times New Roman" w:eastAsia="黑体"/>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9C331A">
    <w:pPr>
      <w:pStyle w:val="18"/>
      <w:jc w:val="both"/>
      <w:rPr>
        <w:sz w:val="2"/>
        <w:szCs w:val="2"/>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D6A60A">
    <w:pPr>
      <w:pStyle w:val="18"/>
      <w:wordWrap w:val="0"/>
      <w:jc w:val="right"/>
      <w:rPr>
        <w:rFonts w:ascii="Times New Roman" w:hAnsi="Times New Roman" w:eastAsia="黑体"/>
      </w:rPr>
    </w:pPr>
    <w:r>
      <w:rPr>
        <w:rFonts w:ascii="Times New Roman" w:hAnsi="Times New Roman" w:eastAsia="黑体"/>
      </w:rPr>
      <w:t>T/QAS XXX-XXXX</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837933"/>
    <w:multiLevelType w:val="multilevel"/>
    <w:tmpl w:val="02837933"/>
    <w:lvl w:ilvl="0" w:tentative="0">
      <w:start w:val="1"/>
      <w:numFmt w:val="decimal"/>
      <w:pStyle w:val="64"/>
      <w:lvlText w:val="[%1]"/>
      <w:lvlJc w:val="left"/>
      <w:pPr>
        <w:tabs>
          <w:tab w:val="left" w:pos="1646"/>
        </w:tabs>
        <w:ind w:left="1646" w:hanging="648"/>
      </w:pPr>
    </w:lvl>
    <w:lvl w:ilvl="1" w:tentative="0">
      <w:start w:val="1"/>
      <w:numFmt w:val="lowerLetter"/>
      <w:lvlText w:val="%2)"/>
      <w:lvlJc w:val="left"/>
      <w:pPr>
        <w:tabs>
          <w:tab w:val="left" w:pos="1838"/>
        </w:tabs>
        <w:ind w:left="1838" w:hanging="420"/>
      </w:pPr>
    </w:lvl>
    <w:lvl w:ilvl="2" w:tentative="0">
      <w:start w:val="1"/>
      <w:numFmt w:val="lowerRoman"/>
      <w:lvlText w:val="%3."/>
      <w:lvlJc w:val="right"/>
      <w:pPr>
        <w:tabs>
          <w:tab w:val="left" w:pos="2258"/>
        </w:tabs>
        <w:ind w:left="2258" w:hanging="420"/>
      </w:pPr>
    </w:lvl>
    <w:lvl w:ilvl="3" w:tentative="0">
      <w:start w:val="1"/>
      <w:numFmt w:val="decimal"/>
      <w:lvlText w:val="%4."/>
      <w:lvlJc w:val="left"/>
      <w:pPr>
        <w:tabs>
          <w:tab w:val="left" w:pos="2678"/>
        </w:tabs>
        <w:ind w:left="2678" w:hanging="420"/>
      </w:pPr>
    </w:lvl>
    <w:lvl w:ilvl="4" w:tentative="0">
      <w:start w:val="1"/>
      <w:numFmt w:val="lowerLetter"/>
      <w:lvlText w:val="%5)"/>
      <w:lvlJc w:val="left"/>
      <w:pPr>
        <w:tabs>
          <w:tab w:val="left" w:pos="3098"/>
        </w:tabs>
        <w:ind w:left="3098" w:hanging="420"/>
      </w:pPr>
    </w:lvl>
    <w:lvl w:ilvl="5" w:tentative="0">
      <w:start w:val="1"/>
      <w:numFmt w:val="lowerRoman"/>
      <w:lvlText w:val="%6."/>
      <w:lvlJc w:val="right"/>
      <w:pPr>
        <w:tabs>
          <w:tab w:val="left" w:pos="3518"/>
        </w:tabs>
        <w:ind w:left="3518" w:hanging="420"/>
      </w:pPr>
    </w:lvl>
    <w:lvl w:ilvl="6" w:tentative="0">
      <w:start w:val="1"/>
      <w:numFmt w:val="decimal"/>
      <w:lvlText w:val="%7."/>
      <w:lvlJc w:val="left"/>
      <w:pPr>
        <w:tabs>
          <w:tab w:val="left" w:pos="3938"/>
        </w:tabs>
        <w:ind w:left="3938" w:hanging="420"/>
      </w:pPr>
    </w:lvl>
    <w:lvl w:ilvl="7" w:tentative="0">
      <w:start w:val="1"/>
      <w:numFmt w:val="lowerLetter"/>
      <w:lvlText w:val="%8)"/>
      <w:lvlJc w:val="left"/>
      <w:pPr>
        <w:tabs>
          <w:tab w:val="left" w:pos="4358"/>
        </w:tabs>
        <w:ind w:left="4358" w:hanging="420"/>
      </w:pPr>
    </w:lvl>
    <w:lvl w:ilvl="8" w:tentative="0">
      <w:start w:val="1"/>
      <w:numFmt w:val="lowerRoman"/>
      <w:lvlText w:val="%9."/>
      <w:lvlJc w:val="right"/>
      <w:pPr>
        <w:tabs>
          <w:tab w:val="left" w:pos="4778"/>
        </w:tabs>
        <w:ind w:left="4778" w:hanging="420"/>
      </w:pPr>
    </w:lvl>
  </w:abstractNum>
  <w:abstractNum w:abstractNumId="1">
    <w:nsid w:val="040A15CD"/>
    <w:multiLevelType w:val="multilevel"/>
    <w:tmpl w:val="040A15CD"/>
    <w:lvl w:ilvl="0" w:tentative="0">
      <w:start w:val="1"/>
      <w:numFmt w:val="none"/>
      <w:suff w:val="nothing"/>
      <w:lvlText w:val="　"/>
      <w:lvlJc w:val="left"/>
      <w:pPr>
        <w:ind w:left="0" w:firstLine="0"/>
      </w:pPr>
    </w:lvl>
    <w:lvl w:ilvl="1" w:tentative="0">
      <w:start w:val="1"/>
      <w:numFmt w:val="decimal"/>
      <w:isLgl/>
      <w:suff w:val="nothing"/>
      <w:lvlText w:val="%2　"/>
      <w:lvlJc w:val="left"/>
      <w:pPr>
        <w:ind w:left="0" w:firstLine="0"/>
      </w:pPr>
    </w:lvl>
    <w:lvl w:ilvl="2" w:tentative="0">
      <w:start w:val="1"/>
      <w:numFmt w:val="decimal"/>
      <w:pStyle w:val="159"/>
      <w:suff w:val="nothing"/>
      <w:lvlText w:val="%1%2.%3　"/>
      <w:lvlJc w:val="left"/>
      <w:pPr>
        <w:ind w:left="0" w:firstLine="0"/>
      </w:pPr>
    </w:lvl>
    <w:lvl w:ilvl="3" w:tentative="0">
      <w:start w:val="1"/>
      <w:numFmt w:val="decimal"/>
      <w:pStyle w:val="118"/>
      <w:suff w:val="nothing"/>
      <w:lvlText w:val="%1%2.%3.%4　"/>
      <w:lvlJc w:val="left"/>
      <w:pPr>
        <w:ind w:left="0" w:firstLine="0"/>
      </w:pPr>
    </w:lvl>
    <w:lvl w:ilvl="4" w:tentative="0">
      <w:start w:val="1"/>
      <w:numFmt w:val="decimal"/>
      <w:pStyle w:val="153"/>
      <w:suff w:val="nothing"/>
      <w:lvlText w:val="%1%2.%3.%4.%5　"/>
      <w:lvlJc w:val="left"/>
      <w:pPr>
        <w:ind w:left="0" w:firstLine="0"/>
      </w:pPr>
    </w:lvl>
    <w:lvl w:ilvl="5" w:tentative="0">
      <w:start w:val="1"/>
      <w:numFmt w:val="decimal"/>
      <w:pStyle w:val="155"/>
      <w:suff w:val="nothing"/>
      <w:lvlText w:val="%1%2.%3.%4.%5.%6　"/>
      <w:lvlJc w:val="left"/>
      <w:pPr>
        <w:ind w:left="0" w:firstLine="0"/>
      </w:pPr>
    </w:lvl>
    <w:lvl w:ilvl="6" w:tentative="0">
      <w:start w:val="1"/>
      <w:numFmt w:val="decimal"/>
      <w:pStyle w:val="158"/>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
    <w:nsid w:val="079102AD"/>
    <w:multiLevelType w:val="multilevel"/>
    <w:tmpl w:val="079102AD"/>
    <w:lvl w:ilvl="0" w:tentative="0">
      <w:start w:val="1"/>
      <w:numFmt w:val="decimal"/>
      <w:pStyle w:val="180"/>
      <w:suff w:val="nothing"/>
      <w:lvlText w:val="注%1："/>
      <w:lvlJc w:val="left"/>
      <w:pPr>
        <w:ind w:left="811" w:hanging="448"/>
      </w:pPr>
      <w:rPr>
        <w:rFonts w:hint="eastAsia" w:ascii="黑体" w:eastAsia="黑体"/>
        <w:b w:val="0"/>
        <w:i w:val="0"/>
        <w:sz w:val="18"/>
      </w:rPr>
    </w:lvl>
    <w:lvl w:ilvl="1" w:tentative="0">
      <w:start w:val="1"/>
      <w:numFmt w:val="lowerLetter"/>
      <w:lvlText w:val="%2)"/>
      <w:lvlJc w:val="left"/>
      <w:pPr>
        <w:tabs>
          <w:tab w:val="left" w:pos="0"/>
        </w:tabs>
        <w:ind w:left="992" w:hanging="629"/>
      </w:pPr>
      <w:rPr>
        <w:rFonts w:hint="eastAsia"/>
      </w:rPr>
    </w:lvl>
    <w:lvl w:ilvl="2" w:tentative="0">
      <w:start w:val="1"/>
      <w:numFmt w:val="lowerRoman"/>
      <w:lvlText w:val="%3."/>
      <w:lvlJc w:val="right"/>
      <w:pPr>
        <w:tabs>
          <w:tab w:val="left" w:pos="0"/>
        </w:tabs>
        <w:ind w:left="992" w:hanging="629"/>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3">
    <w:nsid w:val="07ED3FEA"/>
    <w:multiLevelType w:val="multilevel"/>
    <w:tmpl w:val="07ED3FEA"/>
    <w:lvl w:ilvl="0" w:tentative="0">
      <w:start w:val="1"/>
      <w:numFmt w:val="none"/>
      <w:pStyle w:val="89"/>
      <w:lvlText w:val="%1"/>
      <w:lvlJc w:val="left"/>
      <w:pPr>
        <w:ind w:left="425" w:hanging="425"/>
      </w:pPr>
      <w:rPr>
        <w:rFonts w:hint="eastAsia"/>
      </w:rPr>
    </w:lvl>
    <w:lvl w:ilvl="1" w:tentative="0">
      <w:start w:val="1"/>
      <w:numFmt w:val="decimal"/>
      <w:pStyle w:val="200"/>
      <w:suff w:val="nothing"/>
      <w:lvlText w:val="%10.%2 "/>
      <w:lvlJc w:val="left"/>
      <w:pPr>
        <w:ind w:left="0" w:firstLine="0"/>
      </w:pPr>
      <w:rPr>
        <w:rFonts w:hint="eastAsia" w:ascii="黑体" w:eastAsia="黑体" w:hAnsiTheme="minorHAnsi"/>
        <w:b w:val="0"/>
        <w:i w:val="0"/>
        <w:sz w:val="21"/>
      </w:rPr>
    </w:lvl>
    <w:lvl w:ilvl="2" w:tentative="0">
      <w:start w:val="1"/>
      <w:numFmt w:val="decimal"/>
      <w:pStyle w:val="201"/>
      <w:suff w:val="nothing"/>
      <w:lvlText w:val="%10.%2.%3 "/>
      <w:lvlJc w:val="left"/>
      <w:pPr>
        <w:ind w:left="0" w:firstLine="0"/>
      </w:pPr>
      <w:rPr>
        <w:rFonts w:hint="eastAsia" w:ascii="黑体" w:eastAsia="黑体" w:hAnsiTheme="minorHAnsi"/>
        <w:b w:val="0"/>
        <w:i w:val="0"/>
        <w:sz w:val="21"/>
      </w:rPr>
    </w:lvl>
    <w:lvl w:ilvl="3" w:tentative="0">
      <w:start w:val="1"/>
      <w:numFmt w:val="decimal"/>
      <w:pStyle w:val="202"/>
      <w:suff w:val="nothing"/>
      <w:lvlText w:val="%10.%2.%3.%4 "/>
      <w:lvlJc w:val="left"/>
      <w:pPr>
        <w:ind w:left="0" w:firstLine="0"/>
      </w:pPr>
      <w:rPr>
        <w:rFonts w:hint="eastAsia" w:ascii="黑体" w:eastAsia="黑体" w:hAnsiTheme="minorHAnsi"/>
        <w:b w:val="0"/>
        <w:i w:val="0"/>
        <w:sz w:val="21"/>
      </w:rPr>
    </w:lvl>
    <w:lvl w:ilvl="4" w:tentative="0">
      <w:start w:val="1"/>
      <w:numFmt w:val="decimal"/>
      <w:pStyle w:val="203"/>
      <w:suff w:val="nothing"/>
      <w:lvlText w:val="%10.%2.%3.%4.%5 "/>
      <w:lvlJc w:val="left"/>
      <w:pPr>
        <w:ind w:left="0" w:firstLine="0"/>
      </w:pPr>
      <w:rPr>
        <w:rFonts w:hint="eastAsia" w:ascii="黑体" w:eastAsia="黑体" w:hAnsiTheme="minorHAnsi"/>
        <w:b w:val="0"/>
        <w:i w:val="0"/>
        <w:sz w:val="21"/>
      </w:rPr>
    </w:lvl>
    <w:lvl w:ilvl="5" w:tentative="0">
      <w:start w:val="1"/>
      <w:numFmt w:val="decimal"/>
      <w:pStyle w:val="204"/>
      <w:suff w:val="nothing"/>
      <w:lvlText w:val="%10.%2.%3.%4.%5.%6 "/>
      <w:lvlJc w:val="left"/>
      <w:pPr>
        <w:ind w:left="0" w:firstLine="0"/>
      </w:pPr>
      <w:rPr>
        <w:rFonts w:hint="eastAsia" w:ascii="黑体" w:eastAsia="黑体" w:hAnsiTheme="minorHAnsi"/>
        <w:b w:val="0"/>
        <w:i w:val="0"/>
        <w:sz w:val="21"/>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4">
    <w:nsid w:val="0AE367E9"/>
    <w:multiLevelType w:val="multilevel"/>
    <w:tmpl w:val="0AE367E9"/>
    <w:lvl w:ilvl="0" w:tentative="0">
      <w:start w:val="1"/>
      <w:numFmt w:val="none"/>
      <w:pStyle w:val="181"/>
      <w:suff w:val="nothing"/>
      <w:lvlText w:val="%1示例："/>
      <w:lvlJc w:val="left"/>
      <w:pPr>
        <w:ind w:left="0" w:firstLine="363"/>
      </w:pPr>
      <w:rPr>
        <w:rFonts w:hint="eastAsia" w:ascii="黑体" w:eastAsia="黑体"/>
        <w:b w:val="0"/>
        <w:i w:val="0"/>
        <w:sz w:val="18"/>
      </w:rPr>
    </w:lvl>
    <w:lvl w:ilvl="1" w:tentative="0">
      <w:start w:val="1"/>
      <w:numFmt w:val="lowerLetter"/>
      <w:lvlText w:val="%2)"/>
      <w:lvlJc w:val="left"/>
      <w:pPr>
        <w:tabs>
          <w:tab w:val="left" w:pos="363"/>
        </w:tabs>
        <w:ind w:left="0" w:firstLine="363"/>
      </w:pPr>
      <w:rPr>
        <w:rFonts w:hint="eastAsia"/>
      </w:rPr>
    </w:lvl>
    <w:lvl w:ilvl="2" w:tentative="0">
      <w:start w:val="1"/>
      <w:numFmt w:val="lowerRoman"/>
      <w:lvlText w:val="%3."/>
      <w:lvlJc w:val="right"/>
      <w:pPr>
        <w:tabs>
          <w:tab w:val="left" w:pos="363"/>
        </w:tabs>
        <w:ind w:left="0" w:firstLine="363"/>
      </w:pPr>
      <w:rPr>
        <w:rFonts w:hint="eastAsia"/>
      </w:rPr>
    </w:lvl>
    <w:lvl w:ilvl="3" w:tentative="0">
      <w:start w:val="1"/>
      <w:numFmt w:val="decimal"/>
      <w:lvlText w:val="%4."/>
      <w:lvlJc w:val="left"/>
      <w:pPr>
        <w:tabs>
          <w:tab w:val="left" w:pos="363"/>
        </w:tabs>
        <w:ind w:left="0" w:firstLine="363"/>
      </w:pPr>
      <w:rPr>
        <w:rFonts w:hint="eastAsia"/>
      </w:rPr>
    </w:lvl>
    <w:lvl w:ilvl="4" w:tentative="0">
      <w:start w:val="1"/>
      <w:numFmt w:val="lowerLetter"/>
      <w:lvlText w:val="%5)"/>
      <w:lvlJc w:val="left"/>
      <w:pPr>
        <w:tabs>
          <w:tab w:val="left" w:pos="363"/>
        </w:tabs>
        <w:ind w:left="0" w:firstLine="363"/>
      </w:pPr>
      <w:rPr>
        <w:rFonts w:hint="eastAsia"/>
      </w:rPr>
    </w:lvl>
    <w:lvl w:ilvl="5" w:tentative="0">
      <w:start w:val="1"/>
      <w:numFmt w:val="lowerRoman"/>
      <w:lvlText w:val="%6."/>
      <w:lvlJc w:val="right"/>
      <w:pPr>
        <w:tabs>
          <w:tab w:val="left" w:pos="363"/>
        </w:tabs>
        <w:ind w:left="0" w:firstLine="363"/>
      </w:pPr>
      <w:rPr>
        <w:rFonts w:hint="eastAsia"/>
      </w:rPr>
    </w:lvl>
    <w:lvl w:ilvl="6" w:tentative="0">
      <w:start w:val="1"/>
      <w:numFmt w:val="decimal"/>
      <w:lvlText w:val="%7."/>
      <w:lvlJc w:val="left"/>
      <w:pPr>
        <w:tabs>
          <w:tab w:val="left" w:pos="363"/>
        </w:tabs>
        <w:ind w:left="0" w:firstLine="363"/>
      </w:pPr>
      <w:rPr>
        <w:rFonts w:hint="eastAsia"/>
      </w:rPr>
    </w:lvl>
    <w:lvl w:ilvl="7" w:tentative="0">
      <w:start w:val="1"/>
      <w:numFmt w:val="lowerLetter"/>
      <w:lvlText w:val="%8)"/>
      <w:lvlJc w:val="left"/>
      <w:pPr>
        <w:tabs>
          <w:tab w:val="left" w:pos="363"/>
        </w:tabs>
        <w:ind w:left="0" w:firstLine="363"/>
      </w:pPr>
      <w:rPr>
        <w:rFonts w:hint="eastAsia"/>
      </w:rPr>
    </w:lvl>
    <w:lvl w:ilvl="8" w:tentative="0">
      <w:start w:val="1"/>
      <w:numFmt w:val="lowerRoman"/>
      <w:lvlText w:val="%9."/>
      <w:lvlJc w:val="right"/>
      <w:pPr>
        <w:tabs>
          <w:tab w:val="left" w:pos="363"/>
        </w:tabs>
        <w:ind w:left="0" w:firstLine="363"/>
      </w:pPr>
      <w:rPr>
        <w:rFonts w:hint="eastAsia"/>
      </w:rPr>
    </w:lvl>
  </w:abstractNum>
  <w:abstractNum w:abstractNumId="5">
    <w:nsid w:val="0BDC1670"/>
    <w:multiLevelType w:val="multilevel"/>
    <w:tmpl w:val="0BDC1670"/>
    <w:lvl w:ilvl="0" w:tentative="0">
      <w:start w:val="1"/>
      <w:numFmt w:val="decimal"/>
      <w:pStyle w:val="67"/>
      <w:lvlText w:val="[%1]"/>
      <w:lvlJc w:val="left"/>
      <w:pPr>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6">
    <w:nsid w:val="0D051F45"/>
    <w:multiLevelType w:val="multilevel"/>
    <w:tmpl w:val="0D051F45"/>
    <w:lvl w:ilvl="0" w:tentative="0">
      <w:start w:val="1"/>
      <w:numFmt w:val="lowerRoman"/>
      <w:pStyle w:val="169"/>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543"/>
        </w:tabs>
        <w:ind w:left="1543" w:hanging="420"/>
      </w:pPr>
      <w:rPr>
        <w:rFonts w:hint="eastAsia"/>
      </w:rPr>
    </w:lvl>
    <w:lvl w:ilvl="2" w:tentative="0">
      <w:start w:val="1"/>
      <w:numFmt w:val="lowerRoman"/>
      <w:lvlText w:val="%3."/>
      <w:lvlJc w:val="right"/>
      <w:pPr>
        <w:tabs>
          <w:tab w:val="left" w:pos="1963"/>
        </w:tabs>
        <w:ind w:left="1963" w:hanging="420"/>
      </w:pPr>
      <w:rPr>
        <w:rFonts w:hint="eastAsia"/>
      </w:rPr>
    </w:lvl>
    <w:lvl w:ilvl="3" w:tentative="0">
      <w:start w:val="1"/>
      <w:numFmt w:val="decimal"/>
      <w:lvlText w:val="%4."/>
      <w:lvlJc w:val="left"/>
      <w:pPr>
        <w:tabs>
          <w:tab w:val="left" w:pos="2383"/>
        </w:tabs>
        <w:ind w:left="2383" w:hanging="420"/>
      </w:pPr>
      <w:rPr>
        <w:rFonts w:hint="eastAsia"/>
      </w:rPr>
    </w:lvl>
    <w:lvl w:ilvl="4" w:tentative="0">
      <w:start w:val="1"/>
      <w:numFmt w:val="lowerLetter"/>
      <w:lvlText w:val="%5)"/>
      <w:lvlJc w:val="left"/>
      <w:pPr>
        <w:tabs>
          <w:tab w:val="left" w:pos="2803"/>
        </w:tabs>
        <w:ind w:left="2803" w:hanging="420"/>
      </w:pPr>
      <w:rPr>
        <w:rFonts w:hint="eastAsia"/>
      </w:rPr>
    </w:lvl>
    <w:lvl w:ilvl="5" w:tentative="0">
      <w:start w:val="1"/>
      <w:numFmt w:val="lowerRoman"/>
      <w:lvlText w:val="%6."/>
      <w:lvlJc w:val="right"/>
      <w:pPr>
        <w:tabs>
          <w:tab w:val="left" w:pos="3223"/>
        </w:tabs>
        <w:ind w:left="3223" w:hanging="420"/>
      </w:pPr>
      <w:rPr>
        <w:rFonts w:hint="eastAsia"/>
      </w:rPr>
    </w:lvl>
    <w:lvl w:ilvl="6" w:tentative="0">
      <w:start w:val="1"/>
      <w:numFmt w:val="decimal"/>
      <w:lvlText w:val="%7."/>
      <w:lvlJc w:val="left"/>
      <w:pPr>
        <w:tabs>
          <w:tab w:val="left" w:pos="3643"/>
        </w:tabs>
        <w:ind w:left="3643" w:hanging="420"/>
      </w:pPr>
      <w:rPr>
        <w:rFonts w:hint="eastAsia"/>
      </w:rPr>
    </w:lvl>
    <w:lvl w:ilvl="7" w:tentative="0">
      <w:start w:val="1"/>
      <w:numFmt w:val="lowerLetter"/>
      <w:lvlText w:val="%8)"/>
      <w:lvlJc w:val="left"/>
      <w:pPr>
        <w:tabs>
          <w:tab w:val="left" w:pos="4063"/>
        </w:tabs>
        <w:ind w:left="4063" w:hanging="420"/>
      </w:pPr>
      <w:rPr>
        <w:rFonts w:hint="eastAsia"/>
      </w:rPr>
    </w:lvl>
    <w:lvl w:ilvl="8" w:tentative="0">
      <w:start w:val="1"/>
      <w:numFmt w:val="lowerRoman"/>
      <w:lvlText w:val="%9."/>
      <w:lvlJc w:val="right"/>
      <w:pPr>
        <w:tabs>
          <w:tab w:val="left" w:pos="4483"/>
        </w:tabs>
        <w:ind w:left="4483" w:hanging="420"/>
      </w:pPr>
      <w:rPr>
        <w:rFonts w:hint="eastAsia"/>
      </w:rPr>
    </w:lvl>
  </w:abstractNum>
  <w:abstractNum w:abstractNumId="7">
    <w:nsid w:val="1AD20F90"/>
    <w:multiLevelType w:val="multilevel"/>
    <w:tmpl w:val="1AD20F90"/>
    <w:lvl w:ilvl="0" w:tentative="0">
      <w:start w:val="1"/>
      <w:numFmt w:val="none"/>
      <w:pStyle w:val="110"/>
      <w:lvlText w:val="%1注："/>
      <w:lvlJc w:val="left"/>
      <w:pPr>
        <w:tabs>
          <w:tab w:val="left" w:pos="845"/>
        </w:tabs>
        <w:ind w:left="-102" w:firstLine="419"/>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1AF15012"/>
    <w:multiLevelType w:val="multilevel"/>
    <w:tmpl w:val="1AF15012"/>
    <w:lvl w:ilvl="0" w:tentative="0">
      <w:start w:val="1"/>
      <w:numFmt w:val="upperLetter"/>
      <w:pStyle w:val="85"/>
      <w:suff w:val="nothing"/>
      <w:lvlText w:val="附 录(Annex) %1"/>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9">
    <w:nsid w:val="1EAA1992"/>
    <w:multiLevelType w:val="multilevel"/>
    <w:tmpl w:val="1EAA1992"/>
    <w:lvl w:ilvl="0" w:tentative="0">
      <w:start w:val="1"/>
      <w:numFmt w:val="none"/>
      <w:pStyle w:val="92"/>
      <w:suff w:val="nothing"/>
      <w:lvlText w:val="——"/>
      <w:lvlJc w:val="left"/>
      <w:pPr>
        <w:ind w:left="794" w:hanging="397"/>
      </w:pPr>
    </w:lvl>
    <w:lvl w:ilvl="1" w:tentative="0">
      <w:start w:val="1"/>
      <w:numFmt w:val="decimal"/>
      <w:suff w:val="nothing"/>
      <w:lvlText w:val="%1.%2　"/>
      <w:lvlJc w:val="left"/>
      <w:pPr>
        <w:ind w:left="397" w:firstLine="0"/>
      </w:pPr>
    </w:lvl>
    <w:lvl w:ilvl="2" w:tentative="0">
      <w:start w:val="1"/>
      <w:numFmt w:val="decimal"/>
      <w:suff w:val="nothing"/>
      <w:lvlText w:val="%1.%2.%3　"/>
      <w:lvlJc w:val="left"/>
      <w:pPr>
        <w:ind w:left="397" w:firstLine="0"/>
      </w:pPr>
    </w:lvl>
    <w:lvl w:ilvl="3" w:tentative="0">
      <w:start w:val="1"/>
      <w:numFmt w:val="decimal"/>
      <w:suff w:val="nothing"/>
      <w:lvlText w:val="%1.%2.%3.%4　"/>
      <w:lvlJc w:val="left"/>
      <w:pPr>
        <w:ind w:left="397" w:firstLine="0"/>
      </w:pPr>
    </w:lvl>
    <w:lvl w:ilvl="4" w:tentative="0">
      <w:start w:val="1"/>
      <w:numFmt w:val="decimal"/>
      <w:suff w:val="nothing"/>
      <w:lvlText w:val="%1.%2.%3.%4.%5　"/>
      <w:lvlJc w:val="left"/>
      <w:pPr>
        <w:ind w:left="397" w:firstLine="0"/>
      </w:pPr>
    </w:lvl>
    <w:lvl w:ilvl="5" w:tentative="0">
      <w:start w:val="1"/>
      <w:numFmt w:val="decimal"/>
      <w:suff w:val="nothing"/>
      <w:lvlText w:val="%1.%2.%3.%4.%5.%6　"/>
      <w:lvlJc w:val="left"/>
      <w:pPr>
        <w:ind w:left="397" w:firstLine="0"/>
      </w:pPr>
    </w:lvl>
    <w:lvl w:ilvl="6" w:tentative="0">
      <w:start w:val="1"/>
      <w:numFmt w:val="decimal"/>
      <w:suff w:val="nothing"/>
      <w:lvlText w:val="%1.%2.%3.%4.%5.%6.%7　"/>
      <w:lvlJc w:val="left"/>
      <w:pPr>
        <w:ind w:left="397" w:firstLine="0"/>
      </w:pPr>
    </w:lvl>
    <w:lvl w:ilvl="7" w:tentative="0">
      <w:start w:val="1"/>
      <w:numFmt w:val="decimal"/>
      <w:lvlText w:val="%1.%2.%3.%4.%5.%6.%7.%8"/>
      <w:lvlJc w:val="left"/>
      <w:pPr>
        <w:tabs>
          <w:tab w:val="left" w:pos="4791"/>
        </w:tabs>
        <w:ind w:left="4791" w:hanging="1418"/>
      </w:pPr>
    </w:lvl>
    <w:lvl w:ilvl="8" w:tentative="0">
      <w:start w:val="1"/>
      <w:numFmt w:val="decimal"/>
      <w:lvlText w:val="%1.%2.%3.%4.%5.%6.%7.%8.%9"/>
      <w:lvlJc w:val="left"/>
      <w:pPr>
        <w:tabs>
          <w:tab w:val="left" w:pos="5499"/>
        </w:tabs>
        <w:ind w:left="5499" w:hanging="1700"/>
      </w:pPr>
    </w:lvl>
  </w:abstractNum>
  <w:abstractNum w:abstractNumId="10">
    <w:nsid w:val="2C5917C3"/>
    <w:multiLevelType w:val="multilevel"/>
    <w:tmpl w:val="2C5917C3"/>
    <w:lvl w:ilvl="0" w:tentative="0">
      <w:start w:val="1"/>
      <w:numFmt w:val="none"/>
      <w:pStyle w:val="132"/>
      <w:lvlText w:val="%1——"/>
      <w:lvlJc w:val="left"/>
      <w:pPr>
        <w:tabs>
          <w:tab w:val="left" w:pos="851"/>
        </w:tabs>
        <w:ind w:left="851" w:hanging="426"/>
      </w:pPr>
      <w:rPr>
        <w:rFonts w:hint="eastAsia" w:ascii="宋体" w:hAnsi="Times New Roman" w:eastAsia="宋体"/>
        <w:b w:val="0"/>
        <w:i w:val="0"/>
        <w:sz w:val="21"/>
      </w:rPr>
    </w:lvl>
    <w:lvl w:ilvl="1" w:tentative="0">
      <w:start w:val="1"/>
      <w:numFmt w:val="none"/>
      <w:pStyle w:val="187"/>
      <w:lvlText w:val=""/>
      <w:lvlJc w:val="left"/>
      <w:pPr>
        <w:ind w:left="851" w:hanging="431"/>
      </w:pPr>
      <w:rPr>
        <w:rFonts w:hint="default" w:ascii="Symbol" w:hAnsi="Symbol"/>
        <w:sz w:val="21"/>
      </w:rPr>
    </w:lvl>
    <w:lvl w:ilvl="2" w:tentative="0">
      <w:start w:val="1"/>
      <w:numFmt w:val="bullet"/>
      <w:pStyle w:val="172"/>
      <w:lvlText w:val=""/>
      <w:lvlJc w:val="left"/>
      <w:pPr>
        <w:ind w:left="851" w:hanging="426"/>
      </w:pPr>
      <w:rPr>
        <w:rFonts w:hint="default" w:ascii="Wingdings" w:hAnsi="Wingdings"/>
        <w:sz w:val="21"/>
      </w:rPr>
    </w:lvl>
    <w:lvl w:ilvl="3" w:tentative="0">
      <w:start w:val="1"/>
      <w:numFmt w:val="decimal"/>
      <w:lvlText w:val="%4."/>
      <w:lvlJc w:val="left"/>
      <w:pPr>
        <w:tabs>
          <w:tab w:val="left" w:pos="2071"/>
        </w:tabs>
        <w:ind w:left="1884" w:hanging="528"/>
      </w:pPr>
      <w:rPr>
        <w:rFonts w:hint="eastAsia"/>
      </w:rPr>
    </w:lvl>
    <w:lvl w:ilvl="4" w:tentative="0">
      <w:start w:val="1"/>
      <w:numFmt w:val="lowerLetter"/>
      <w:lvlText w:val="%5)"/>
      <w:lvlJc w:val="left"/>
      <w:pPr>
        <w:tabs>
          <w:tab w:val="left" w:pos="2383"/>
        </w:tabs>
        <w:ind w:left="2196" w:hanging="528"/>
      </w:pPr>
      <w:rPr>
        <w:rFonts w:hint="eastAsia"/>
      </w:rPr>
    </w:lvl>
    <w:lvl w:ilvl="5" w:tentative="0">
      <w:start w:val="1"/>
      <w:numFmt w:val="lowerRoman"/>
      <w:lvlText w:val="%6."/>
      <w:lvlJc w:val="right"/>
      <w:pPr>
        <w:tabs>
          <w:tab w:val="left" w:pos="2695"/>
        </w:tabs>
        <w:ind w:left="2508" w:hanging="528"/>
      </w:pPr>
      <w:rPr>
        <w:rFonts w:hint="eastAsia"/>
      </w:rPr>
    </w:lvl>
    <w:lvl w:ilvl="6" w:tentative="0">
      <w:start w:val="1"/>
      <w:numFmt w:val="decimal"/>
      <w:lvlText w:val="%7."/>
      <w:lvlJc w:val="left"/>
      <w:pPr>
        <w:tabs>
          <w:tab w:val="left" w:pos="3007"/>
        </w:tabs>
        <w:ind w:left="2820" w:hanging="528"/>
      </w:pPr>
      <w:rPr>
        <w:rFonts w:hint="eastAsia"/>
      </w:rPr>
    </w:lvl>
    <w:lvl w:ilvl="7" w:tentative="0">
      <w:start w:val="1"/>
      <w:numFmt w:val="lowerLetter"/>
      <w:lvlText w:val="%8)"/>
      <w:lvlJc w:val="left"/>
      <w:pPr>
        <w:tabs>
          <w:tab w:val="left" w:pos="3319"/>
        </w:tabs>
        <w:ind w:left="3132" w:hanging="528"/>
      </w:pPr>
      <w:rPr>
        <w:rFonts w:hint="eastAsia"/>
      </w:rPr>
    </w:lvl>
    <w:lvl w:ilvl="8" w:tentative="0">
      <w:start w:val="1"/>
      <w:numFmt w:val="lowerRoman"/>
      <w:lvlText w:val="%9."/>
      <w:lvlJc w:val="right"/>
      <w:pPr>
        <w:tabs>
          <w:tab w:val="left" w:pos="3631"/>
        </w:tabs>
        <w:ind w:left="3444" w:hanging="528"/>
      </w:pPr>
      <w:rPr>
        <w:rFonts w:hint="eastAsia"/>
      </w:rPr>
    </w:lvl>
  </w:abstractNum>
  <w:abstractNum w:abstractNumId="11">
    <w:nsid w:val="32F04FB2"/>
    <w:multiLevelType w:val="multilevel"/>
    <w:tmpl w:val="32F04FB2"/>
    <w:lvl w:ilvl="0" w:tentative="0">
      <w:start w:val="1"/>
      <w:numFmt w:val="lowerLetter"/>
      <w:pStyle w:val="101"/>
      <w:lvlText w:val="%1"/>
      <w:lvlJc w:val="left"/>
      <w:pPr>
        <w:tabs>
          <w:tab w:val="left" w:pos="539"/>
        </w:tabs>
        <w:ind w:left="539" w:hanging="119"/>
      </w:pPr>
      <w:rPr>
        <w:rFonts w:hint="eastAsia"/>
        <w:caps w:val="0"/>
        <w:strike w:val="0"/>
        <w:dstrike w:val="0"/>
        <w:vanish w:val="0"/>
        <w:vertAlign w:val="superscript"/>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12">
    <w:nsid w:val="44C50F90"/>
    <w:multiLevelType w:val="multilevel"/>
    <w:tmpl w:val="44C50F90"/>
    <w:lvl w:ilvl="0" w:tentative="0">
      <w:start w:val="1"/>
      <w:numFmt w:val="lowerLetter"/>
      <w:pStyle w:val="174"/>
      <w:lvlText w:val="%1)"/>
      <w:lvlJc w:val="left"/>
      <w:pPr>
        <w:tabs>
          <w:tab w:val="left" w:pos="851"/>
        </w:tabs>
        <w:ind w:left="851" w:hanging="426"/>
      </w:pPr>
      <w:rPr>
        <w:rFonts w:hint="eastAsia" w:ascii="宋体" w:hAnsi="Times New Roman" w:eastAsia="宋体"/>
        <w:sz w:val="21"/>
      </w:rPr>
    </w:lvl>
    <w:lvl w:ilvl="1" w:tentative="0">
      <w:start w:val="1"/>
      <w:numFmt w:val="decimal"/>
      <w:pStyle w:val="109"/>
      <w:lvlText w:val="%2)"/>
      <w:lvlJc w:val="left"/>
      <w:pPr>
        <w:tabs>
          <w:tab w:val="left" w:pos="1276"/>
        </w:tabs>
        <w:ind w:left="1276" w:hanging="425"/>
      </w:pPr>
      <w:rPr>
        <w:rFonts w:hint="eastAsia" w:ascii="宋体" w:hAnsi="Times New Roman" w:eastAsia="宋体"/>
        <w:sz w:val="21"/>
      </w:rPr>
    </w:lvl>
    <w:lvl w:ilvl="2" w:tentative="0">
      <w:start w:val="1"/>
      <w:numFmt w:val="decimal"/>
      <w:pStyle w:val="117"/>
      <w:lvlText w:val="(%3)"/>
      <w:lvlJc w:val="left"/>
      <w:pPr>
        <w:ind w:left="1701" w:hanging="425"/>
      </w:pPr>
      <w:rPr>
        <w:rFonts w:hint="eastAsia" w:ascii="宋体" w:hAnsi="Times New Roman" w:eastAsia="宋体"/>
        <w:sz w:val="21"/>
      </w:rPr>
    </w:lvl>
    <w:lvl w:ilvl="3" w:tentative="0">
      <w:start w:val="1"/>
      <w:numFmt w:val="decimal"/>
      <w:lvlText w:val="%4."/>
      <w:lvlJc w:val="left"/>
      <w:pPr>
        <w:tabs>
          <w:tab w:val="left" w:pos="2100"/>
        </w:tabs>
        <w:ind w:left="2099" w:hanging="419"/>
      </w:pPr>
      <w:rPr>
        <w:rFonts w:hint="eastAsia"/>
      </w:rPr>
    </w:lvl>
    <w:lvl w:ilvl="4" w:tentative="0">
      <w:start w:val="1"/>
      <w:numFmt w:val="lowerLetter"/>
      <w:lvlText w:val="%5)"/>
      <w:lvlJc w:val="left"/>
      <w:pPr>
        <w:tabs>
          <w:tab w:val="left" w:pos="2520"/>
        </w:tabs>
        <w:ind w:left="2519" w:hanging="419"/>
      </w:pPr>
      <w:rPr>
        <w:rFonts w:hint="eastAsia"/>
      </w:rPr>
    </w:lvl>
    <w:lvl w:ilvl="5" w:tentative="0">
      <w:start w:val="1"/>
      <w:numFmt w:val="lowerRoman"/>
      <w:lvlText w:val="%6."/>
      <w:lvlJc w:val="right"/>
      <w:pPr>
        <w:tabs>
          <w:tab w:val="left" w:pos="2940"/>
        </w:tabs>
        <w:ind w:left="2939" w:hanging="419"/>
      </w:pPr>
      <w:rPr>
        <w:rFonts w:hint="eastAsia"/>
      </w:rPr>
    </w:lvl>
    <w:lvl w:ilvl="6" w:tentative="0">
      <w:start w:val="1"/>
      <w:numFmt w:val="decimal"/>
      <w:lvlText w:val="%7."/>
      <w:lvlJc w:val="left"/>
      <w:pPr>
        <w:tabs>
          <w:tab w:val="left" w:pos="3360"/>
        </w:tabs>
        <w:ind w:left="3359" w:hanging="419"/>
      </w:pPr>
      <w:rPr>
        <w:rFonts w:hint="eastAsia"/>
      </w:rPr>
    </w:lvl>
    <w:lvl w:ilvl="7" w:tentative="0">
      <w:start w:val="1"/>
      <w:numFmt w:val="lowerLetter"/>
      <w:lvlText w:val="%8)"/>
      <w:lvlJc w:val="left"/>
      <w:pPr>
        <w:tabs>
          <w:tab w:val="left" w:pos="3780"/>
        </w:tabs>
        <w:ind w:left="3779" w:hanging="419"/>
      </w:pPr>
      <w:rPr>
        <w:rFonts w:hint="eastAsia"/>
      </w:rPr>
    </w:lvl>
    <w:lvl w:ilvl="8" w:tentative="0">
      <w:start w:val="1"/>
      <w:numFmt w:val="lowerRoman"/>
      <w:lvlText w:val="%9."/>
      <w:lvlJc w:val="right"/>
      <w:pPr>
        <w:tabs>
          <w:tab w:val="left" w:pos="4200"/>
        </w:tabs>
        <w:ind w:left="4199" w:hanging="419"/>
      </w:pPr>
      <w:rPr>
        <w:rFonts w:hint="eastAsia"/>
      </w:rPr>
    </w:lvl>
  </w:abstractNum>
  <w:abstractNum w:abstractNumId="13">
    <w:nsid w:val="48802D1C"/>
    <w:multiLevelType w:val="multilevel"/>
    <w:tmpl w:val="48802D1C"/>
    <w:lvl w:ilvl="0" w:tentative="0">
      <w:start w:val="1"/>
      <w:numFmt w:val="upperLetter"/>
      <w:pStyle w:val="198"/>
      <w:lvlText w:val="%1"/>
      <w:lvlJc w:val="left"/>
      <w:pPr>
        <w:ind w:left="420" w:hanging="420"/>
      </w:pPr>
      <w:rPr>
        <w:rFonts w:hint="eastAsia"/>
      </w:rPr>
    </w:lvl>
    <w:lvl w:ilvl="1" w:tentative="0">
      <w:start w:val="1"/>
      <w:numFmt w:val="decimal"/>
      <w:pStyle w:val="83"/>
      <w:suff w:val="space"/>
      <w:lvlText w:val="图%1.%2 "/>
      <w:lvlJc w:val="center"/>
      <w:pPr>
        <w:ind w:left="0" w:firstLine="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14">
    <w:nsid w:val="4B733A5F"/>
    <w:multiLevelType w:val="multilevel"/>
    <w:tmpl w:val="4B733A5F"/>
    <w:lvl w:ilvl="0" w:tentative="0">
      <w:start w:val="1"/>
      <w:numFmt w:val="decimal"/>
      <w:pStyle w:val="183"/>
      <w:suff w:val="nothing"/>
      <w:lvlText w:val="示例%1："/>
      <w:lvlJc w:val="left"/>
      <w:pPr>
        <w:ind w:left="0" w:firstLine="363"/>
      </w:pPr>
      <w:rPr>
        <w:rFonts w:hint="eastAsia" w:ascii="黑体" w:eastAsia="黑体"/>
        <w:b w:val="0"/>
        <w:i w:val="0"/>
        <w:sz w:val="18"/>
      </w:rPr>
    </w:lvl>
    <w:lvl w:ilvl="1" w:tentative="0">
      <w:start w:val="1"/>
      <w:numFmt w:val="none"/>
      <w:suff w:val="space"/>
      <w:lvlText w:val=""/>
      <w:lvlJc w:val="left"/>
      <w:pPr>
        <w:ind w:left="0" w:firstLine="0"/>
      </w:pPr>
      <w:rPr>
        <w:rFonts w:hint="eastAsia"/>
      </w:rPr>
    </w:lvl>
    <w:lvl w:ilvl="2" w:tentative="0">
      <w:start w:val="1"/>
      <w:numFmt w:val="decimal"/>
      <w:suff w:val="space"/>
      <w:lvlText w:val="2.2.%3"/>
      <w:lvlJc w:val="left"/>
      <w:pPr>
        <w:ind w:left="0" w:firstLine="0"/>
      </w:pPr>
      <w:rPr>
        <w:rFonts w:hint="eastAsia"/>
      </w:rPr>
    </w:lvl>
    <w:lvl w:ilvl="3" w:tentative="0">
      <w:start w:val="1"/>
      <w:numFmt w:val="decimal"/>
      <w:lvlText w:val="%4."/>
      <w:lvlJc w:val="left"/>
      <w:pPr>
        <w:tabs>
          <w:tab w:val="left" w:pos="0"/>
        </w:tabs>
        <w:ind w:left="992" w:hanging="629"/>
      </w:pPr>
      <w:rPr>
        <w:rFonts w:hint="eastAsia"/>
      </w:rPr>
    </w:lvl>
    <w:lvl w:ilvl="4" w:tentative="0">
      <w:start w:val="1"/>
      <w:numFmt w:val="lowerLetter"/>
      <w:lvlText w:val="%5)"/>
      <w:lvlJc w:val="left"/>
      <w:pPr>
        <w:tabs>
          <w:tab w:val="left" w:pos="0"/>
        </w:tabs>
        <w:ind w:left="992" w:hanging="629"/>
      </w:pPr>
      <w:rPr>
        <w:rFonts w:hint="eastAsia"/>
      </w:rPr>
    </w:lvl>
    <w:lvl w:ilvl="5" w:tentative="0">
      <w:start w:val="1"/>
      <w:numFmt w:val="lowerRoman"/>
      <w:lvlText w:val="%6."/>
      <w:lvlJc w:val="right"/>
      <w:pPr>
        <w:tabs>
          <w:tab w:val="left" w:pos="0"/>
        </w:tabs>
        <w:ind w:left="992" w:hanging="629"/>
      </w:pPr>
      <w:rPr>
        <w:rFonts w:hint="eastAsia"/>
      </w:rPr>
    </w:lvl>
    <w:lvl w:ilvl="6" w:tentative="0">
      <w:start w:val="1"/>
      <w:numFmt w:val="decimal"/>
      <w:lvlText w:val="%7."/>
      <w:lvlJc w:val="left"/>
      <w:pPr>
        <w:tabs>
          <w:tab w:val="left" w:pos="0"/>
        </w:tabs>
        <w:ind w:left="992" w:hanging="629"/>
      </w:pPr>
      <w:rPr>
        <w:rFonts w:hint="eastAsia"/>
      </w:rPr>
    </w:lvl>
    <w:lvl w:ilvl="7" w:tentative="0">
      <w:start w:val="1"/>
      <w:numFmt w:val="lowerLetter"/>
      <w:lvlText w:val="%8)"/>
      <w:lvlJc w:val="left"/>
      <w:pPr>
        <w:tabs>
          <w:tab w:val="left" w:pos="0"/>
        </w:tabs>
        <w:ind w:left="992" w:hanging="629"/>
      </w:pPr>
      <w:rPr>
        <w:rFonts w:hint="eastAsia"/>
      </w:rPr>
    </w:lvl>
    <w:lvl w:ilvl="8" w:tentative="0">
      <w:start w:val="1"/>
      <w:numFmt w:val="lowerRoman"/>
      <w:lvlText w:val="%9."/>
      <w:lvlJc w:val="right"/>
      <w:pPr>
        <w:tabs>
          <w:tab w:val="left" w:pos="0"/>
        </w:tabs>
        <w:ind w:left="992" w:hanging="629"/>
      </w:pPr>
      <w:rPr>
        <w:rFonts w:hint="eastAsia"/>
      </w:rPr>
    </w:lvl>
  </w:abstractNum>
  <w:abstractNum w:abstractNumId="15">
    <w:nsid w:val="4E5D0534"/>
    <w:multiLevelType w:val="multilevel"/>
    <w:tmpl w:val="4E5D0534"/>
    <w:lvl w:ilvl="0" w:tentative="0">
      <w:start w:val="1"/>
      <w:numFmt w:val="decimal"/>
      <w:pStyle w:val="116"/>
      <w:suff w:val="nothing"/>
      <w:lvlText w:val="Figur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6">
    <w:nsid w:val="54632751"/>
    <w:multiLevelType w:val="multilevel"/>
    <w:tmpl w:val="54632751"/>
    <w:lvl w:ilvl="0" w:tentative="0">
      <w:start w:val="1"/>
      <w:numFmt w:val="none"/>
      <w:pStyle w:val="93"/>
      <w:suff w:val="nothing"/>
      <w:lvlText w:val="——"/>
      <w:lvlJc w:val="left"/>
      <w:pPr>
        <w:ind w:left="1588" w:firstLine="0"/>
      </w:pPr>
    </w:lvl>
    <w:lvl w:ilvl="1" w:tentative="0">
      <w:start w:val="1"/>
      <w:numFmt w:val="decimal"/>
      <w:suff w:val="nothing"/>
      <w:lvlText w:val="%1.%2　"/>
      <w:lvlJc w:val="left"/>
      <w:pPr>
        <w:ind w:left="1588" w:firstLine="0"/>
      </w:pPr>
    </w:lvl>
    <w:lvl w:ilvl="2" w:tentative="0">
      <w:start w:val="1"/>
      <w:numFmt w:val="decimal"/>
      <w:suff w:val="nothing"/>
      <w:lvlText w:val="%1.%2.%3　"/>
      <w:lvlJc w:val="left"/>
      <w:pPr>
        <w:ind w:left="1588" w:firstLine="0"/>
      </w:pPr>
    </w:lvl>
    <w:lvl w:ilvl="3" w:tentative="0">
      <w:start w:val="1"/>
      <w:numFmt w:val="decimal"/>
      <w:suff w:val="nothing"/>
      <w:lvlText w:val="%1.%2.%3.%4　"/>
      <w:lvlJc w:val="left"/>
      <w:pPr>
        <w:ind w:left="1588" w:firstLine="0"/>
      </w:pPr>
    </w:lvl>
    <w:lvl w:ilvl="4" w:tentative="0">
      <w:start w:val="1"/>
      <w:numFmt w:val="decimal"/>
      <w:suff w:val="nothing"/>
      <w:lvlText w:val="%1.%2.%3.%4.%5　"/>
      <w:lvlJc w:val="left"/>
      <w:pPr>
        <w:ind w:left="1588" w:firstLine="0"/>
      </w:pPr>
    </w:lvl>
    <w:lvl w:ilvl="5" w:tentative="0">
      <w:start w:val="1"/>
      <w:numFmt w:val="decimal"/>
      <w:suff w:val="nothing"/>
      <w:lvlText w:val="%1.%2.%3.%4.%5.%6　"/>
      <w:lvlJc w:val="left"/>
      <w:pPr>
        <w:ind w:left="1588" w:firstLine="0"/>
      </w:pPr>
    </w:lvl>
    <w:lvl w:ilvl="6" w:tentative="0">
      <w:start w:val="1"/>
      <w:numFmt w:val="decimal"/>
      <w:suff w:val="nothing"/>
      <w:lvlText w:val="%1.%2.%3.%4.%5.%6.%7　"/>
      <w:lvlJc w:val="left"/>
      <w:pPr>
        <w:ind w:left="1588" w:firstLine="0"/>
      </w:pPr>
    </w:lvl>
    <w:lvl w:ilvl="7" w:tentative="0">
      <w:start w:val="1"/>
      <w:numFmt w:val="decimal"/>
      <w:lvlText w:val="%1.%2.%3.%4.%5.%6.%7.%8"/>
      <w:lvlJc w:val="left"/>
      <w:pPr>
        <w:tabs>
          <w:tab w:val="left" w:pos="5982"/>
        </w:tabs>
        <w:ind w:left="5982" w:hanging="1418"/>
      </w:pPr>
    </w:lvl>
    <w:lvl w:ilvl="8" w:tentative="0">
      <w:start w:val="1"/>
      <w:numFmt w:val="decimal"/>
      <w:lvlText w:val="%1.%2.%3.%4.%5.%6.%7.%8.%9"/>
      <w:lvlJc w:val="left"/>
      <w:pPr>
        <w:tabs>
          <w:tab w:val="left" w:pos="6690"/>
        </w:tabs>
        <w:ind w:left="6690" w:hanging="1700"/>
      </w:pPr>
    </w:lvl>
  </w:abstractNum>
  <w:abstractNum w:abstractNumId="17">
    <w:nsid w:val="557C2AF5"/>
    <w:multiLevelType w:val="multilevel"/>
    <w:tmpl w:val="557C2AF5"/>
    <w:lvl w:ilvl="0" w:tentative="0">
      <w:start w:val="1"/>
      <w:numFmt w:val="decimal"/>
      <w:pStyle w:val="114"/>
      <w:suff w:val="nothing"/>
      <w:lvlText w:val="图%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18">
    <w:nsid w:val="5603797C"/>
    <w:multiLevelType w:val="multilevel"/>
    <w:tmpl w:val="5603797C"/>
    <w:lvl w:ilvl="0" w:tentative="0">
      <w:start w:val="1"/>
      <w:numFmt w:val="upperLetter"/>
      <w:pStyle w:val="199"/>
      <w:suff w:val="space"/>
      <w:lvlText w:val="%1"/>
      <w:lvlJc w:val="left"/>
      <w:pPr>
        <w:ind w:left="425" w:hanging="425"/>
      </w:pPr>
      <w:rPr>
        <w:rFonts w:hint="eastAsia"/>
      </w:rPr>
    </w:lvl>
    <w:lvl w:ilvl="1" w:tentative="0">
      <w:start w:val="1"/>
      <w:numFmt w:val="decimal"/>
      <w:pStyle w:val="77"/>
      <w:suff w:val="space"/>
      <w:lvlText w:val="表%1.%2 "/>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19">
    <w:nsid w:val="564D2089"/>
    <w:multiLevelType w:val="multilevel"/>
    <w:tmpl w:val="564D2089"/>
    <w:lvl w:ilvl="0" w:tentative="0">
      <w:start w:val="1"/>
      <w:numFmt w:val="none"/>
      <w:pStyle w:val="111"/>
      <w:lvlText w:val="%1注"/>
      <w:lvlJc w:val="left"/>
      <w:pPr>
        <w:tabs>
          <w:tab w:val="left" w:pos="760"/>
        </w:tabs>
        <w:ind w:left="760" w:hanging="284"/>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0">
    <w:nsid w:val="644622F9"/>
    <w:multiLevelType w:val="multilevel"/>
    <w:tmpl w:val="644622F9"/>
    <w:lvl w:ilvl="0" w:tentative="0">
      <w:start w:val="1"/>
      <w:numFmt w:val="upperRoman"/>
      <w:pStyle w:val="168"/>
      <w:lvlText w:val="%1)"/>
      <w:lvlJc w:val="left"/>
      <w:pPr>
        <w:tabs>
          <w:tab w:val="left" w:pos="851"/>
        </w:tabs>
        <w:ind w:left="851" w:hanging="426"/>
      </w:pPr>
      <w:rPr>
        <w:rFonts w:hint="eastAsia" w:ascii="宋体" w:hAnsi="Times New Roman" w:eastAsia="宋体"/>
        <w:sz w:val="21"/>
      </w:rPr>
    </w:lvl>
    <w:lvl w:ilvl="1" w:tentative="0">
      <w:start w:val="1"/>
      <w:numFmt w:val="lowerLetter"/>
      <w:lvlText w:val="%2)"/>
      <w:lvlJc w:val="left"/>
      <w:pPr>
        <w:tabs>
          <w:tab w:val="left" w:pos="1310"/>
        </w:tabs>
        <w:ind w:left="1310" w:hanging="420"/>
      </w:pPr>
      <w:rPr>
        <w:rFonts w:hint="eastAsia"/>
      </w:rPr>
    </w:lvl>
    <w:lvl w:ilvl="2" w:tentative="0">
      <w:start w:val="1"/>
      <w:numFmt w:val="lowerRoman"/>
      <w:lvlText w:val="%3."/>
      <w:lvlJc w:val="right"/>
      <w:pPr>
        <w:tabs>
          <w:tab w:val="left" w:pos="1730"/>
        </w:tabs>
        <w:ind w:left="1730" w:hanging="420"/>
      </w:pPr>
      <w:rPr>
        <w:rFonts w:hint="eastAsia"/>
      </w:rPr>
    </w:lvl>
    <w:lvl w:ilvl="3" w:tentative="0">
      <w:start w:val="1"/>
      <w:numFmt w:val="decimal"/>
      <w:lvlText w:val="%4."/>
      <w:lvlJc w:val="left"/>
      <w:pPr>
        <w:tabs>
          <w:tab w:val="left" w:pos="2150"/>
        </w:tabs>
        <w:ind w:left="2150" w:hanging="420"/>
      </w:pPr>
      <w:rPr>
        <w:rFonts w:hint="eastAsia"/>
      </w:rPr>
    </w:lvl>
    <w:lvl w:ilvl="4" w:tentative="0">
      <w:start w:val="1"/>
      <w:numFmt w:val="lowerLetter"/>
      <w:lvlText w:val="%5)"/>
      <w:lvlJc w:val="left"/>
      <w:pPr>
        <w:tabs>
          <w:tab w:val="left" w:pos="2570"/>
        </w:tabs>
        <w:ind w:left="2570" w:hanging="420"/>
      </w:pPr>
      <w:rPr>
        <w:rFonts w:hint="eastAsia"/>
      </w:rPr>
    </w:lvl>
    <w:lvl w:ilvl="5" w:tentative="0">
      <w:start w:val="1"/>
      <w:numFmt w:val="lowerRoman"/>
      <w:lvlText w:val="%6."/>
      <w:lvlJc w:val="right"/>
      <w:pPr>
        <w:tabs>
          <w:tab w:val="left" w:pos="2990"/>
        </w:tabs>
        <w:ind w:left="2990" w:hanging="420"/>
      </w:pPr>
      <w:rPr>
        <w:rFonts w:hint="eastAsia"/>
      </w:rPr>
    </w:lvl>
    <w:lvl w:ilvl="6" w:tentative="0">
      <w:start w:val="1"/>
      <w:numFmt w:val="decimal"/>
      <w:lvlText w:val="%7."/>
      <w:lvlJc w:val="left"/>
      <w:pPr>
        <w:tabs>
          <w:tab w:val="left" w:pos="3410"/>
        </w:tabs>
        <w:ind w:left="3410" w:hanging="420"/>
      </w:pPr>
      <w:rPr>
        <w:rFonts w:hint="eastAsia"/>
      </w:rPr>
    </w:lvl>
    <w:lvl w:ilvl="7" w:tentative="0">
      <w:start w:val="1"/>
      <w:numFmt w:val="lowerLetter"/>
      <w:lvlText w:val="%8)"/>
      <w:lvlJc w:val="left"/>
      <w:pPr>
        <w:tabs>
          <w:tab w:val="left" w:pos="3830"/>
        </w:tabs>
        <w:ind w:left="3830" w:hanging="420"/>
      </w:pPr>
      <w:rPr>
        <w:rFonts w:hint="eastAsia"/>
      </w:rPr>
    </w:lvl>
    <w:lvl w:ilvl="8" w:tentative="0">
      <w:start w:val="1"/>
      <w:numFmt w:val="lowerRoman"/>
      <w:lvlText w:val="%9."/>
      <w:lvlJc w:val="right"/>
      <w:pPr>
        <w:tabs>
          <w:tab w:val="left" w:pos="4250"/>
        </w:tabs>
        <w:ind w:left="4250" w:hanging="420"/>
      </w:pPr>
      <w:rPr>
        <w:rFonts w:hint="eastAsia"/>
      </w:rPr>
    </w:lvl>
  </w:abstractNum>
  <w:abstractNum w:abstractNumId="21">
    <w:nsid w:val="646260FA"/>
    <w:multiLevelType w:val="multilevel"/>
    <w:tmpl w:val="646260FA"/>
    <w:lvl w:ilvl="0" w:tentative="0">
      <w:start w:val="1"/>
      <w:numFmt w:val="decimal"/>
      <w:pStyle w:val="112"/>
      <w:suff w:val="nothing"/>
      <w:lvlText w:val="表%1　"/>
      <w:lvlJc w:val="left"/>
      <w:pPr>
        <w:ind w:left="0" w:firstLine="0"/>
      </w:pPr>
    </w:lvl>
    <w:lvl w:ilvl="1" w:tentative="0">
      <w:start w:val="1"/>
      <w:numFmt w:val="decimal"/>
      <w:lvlText w:val="%1.%2"/>
      <w:lvlJc w:val="left"/>
      <w:pPr>
        <w:tabs>
          <w:tab w:val="left" w:pos="992"/>
        </w:tabs>
        <w:ind w:left="992" w:hanging="567"/>
      </w:pPr>
    </w:lvl>
    <w:lvl w:ilvl="2" w:tentative="0">
      <w:start w:val="1"/>
      <w:numFmt w:val="decimal"/>
      <w:lvlText w:val="%1.%2.%3"/>
      <w:lvlJc w:val="left"/>
      <w:pPr>
        <w:tabs>
          <w:tab w:val="left" w:pos="1417"/>
        </w:tabs>
        <w:ind w:left="1417" w:hanging="567"/>
      </w:pPr>
    </w:lvl>
    <w:lvl w:ilvl="3" w:tentative="0">
      <w:start w:val="1"/>
      <w:numFmt w:val="decimal"/>
      <w:lvlText w:val="%1.%2.%3.%4"/>
      <w:lvlJc w:val="left"/>
      <w:pPr>
        <w:tabs>
          <w:tab w:val="left" w:pos="1984"/>
        </w:tabs>
        <w:ind w:left="1984" w:hanging="708"/>
      </w:pPr>
    </w:lvl>
    <w:lvl w:ilvl="4" w:tentative="0">
      <w:start w:val="1"/>
      <w:numFmt w:val="decimal"/>
      <w:lvlText w:val="%1.%2.%3.%4.%5"/>
      <w:lvlJc w:val="left"/>
      <w:pPr>
        <w:tabs>
          <w:tab w:val="left" w:pos="2551"/>
        </w:tabs>
        <w:ind w:left="2551" w:hanging="850"/>
      </w:pPr>
    </w:lvl>
    <w:lvl w:ilvl="5" w:tentative="0">
      <w:start w:val="1"/>
      <w:numFmt w:val="decimal"/>
      <w:lvlText w:val="%1.%2.%3.%4.%5.%6"/>
      <w:lvlJc w:val="left"/>
      <w:pPr>
        <w:tabs>
          <w:tab w:val="left" w:pos="3260"/>
        </w:tabs>
        <w:ind w:left="3260" w:hanging="1134"/>
      </w:pPr>
    </w:lvl>
    <w:lvl w:ilvl="6" w:tentative="0">
      <w:start w:val="1"/>
      <w:numFmt w:val="decimal"/>
      <w:lvlText w:val="%1.%2.%3.%4.%5.%6.%7"/>
      <w:lvlJc w:val="left"/>
      <w:pPr>
        <w:tabs>
          <w:tab w:val="left" w:pos="3827"/>
        </w:tabs>
        <w:ind w:left="3827" w:hanging="1276"/>
      </w:pPr>
    </w:lvl>
    <w:lvl w:ilvl="7" w:tentative="0">
      <w:start w:val="1"/>
      <w:numFmt w:val="decimal"/>
      <w:lvlText w:val="%1.%2.%3.%4.%5.%6.%7.%8"/>
      <w:lvlJc w:val="left"/>
      <w:pPr>
        <w:tabs>
          <w:tab w:val="left" w:pos="4394"/>
        </w:tabs>
        <w:ind w:left="4394" w:hanging="1418"/>
      </w:pPr>
    </w:lvl>
    <w:lvl w:ilvl="8" w:tentative="0">
      <w:start w:val="1"/>
      <w:numFmt w:val="decimal"/>
      <w:lvlText w:val="%1.%2.%3.%4.%5.%6.%7.%8.%9"/>
      <w:lvlJc w:val="left"/>
      <w:pPr>
        <w:tabs>
          <w:tab w:val="left" w:pos="5102"/>
        </w:tabs>
        <w:ind w:left="5102" w:hanging="1700"/>
      </w:pPr>
    </w:lvl>
  </w:abstractNum>
  <w:abstractNum w:abstractNumId="22">
    <w:nsid w:val="654A26C9"/>
    <w:multiLevelType w:val="multilevel"/>
    <w:tmpl w:val="654A26C9"/>
    <w:lvl w:ilvl="0" w:tentative="0">
      <w:start w:val="1"/>
      <w:numFmt w:val="none"/>
      <w:pStyle w:val="189"/>
      <w:lvlText w:val="──"/>
      <w:lvlJc w:val="left"/>
      <w:pPr>
        <w:ind w:left="851" w:firstLine="0"/>
      </w:pPr>
      <w:rPr>
        <w:rFonts w:hint="eastAsia" w:ascii="宋体" w:eastAsia="宋体" w:hAnsiTheme="majorHAnsi"/>
        <w:b w:val="0"/>
        <w:i w:val="0"/>
        <w:sz w:val="21"/>
      </w:rPr>
    </w:lvl>
    <w:lvl w:ilvl="1" w:tentative="0">
      <w:start w:val="1"/>
      <w:numFmt w:val="bullet"/>
      <w:lvlText w:val=""/>
      <w:lvlJc w:val="left"/>
      <w:pPr>
        <w:ind w:left="1276" w:hanging="425"/>
      </w:pPr>
      <w:rPr>
        <w:rFonts w:hint="default" w:ascii="Wingdings" w:hAnsi="Wingdings"/>
      </w:rPr>
    </w:lvl>
    <w:lvl w:ilvl="2" w:tentative="0">
      <w:start w:val="1"/>
      <w:numFmt w:val="bullet"/>
      <w:lvlText w:val=""/>
      <w:lvlJc w:val="left"/>
      <w:pPr>
        <w:ind w:left="1276" w:hanging="236"/>
      </w:pPr>
      <w:rPr>
        <w:rFonts w:hint="default" w:ascii="Wingdings" w:hAnsi="Wingdings"/>
      </w:rPr>
    </w:lvl>
    <w:lvl w:ilvl="3" w:tentative="0">
      <w:start w:val="1"/>
      <w:numFmt w:val="bullet"/>
      <w:lvlText w:val=""/>
      <w:lvlJc w:val="left"/>
      <w:pPr>
        <w:ind w:left="1880" w:hanging="420"/>
      </w:pPr>
      <w:rPr>
        <w:rFonts w:hint="default" w:ascii="Wingdings" w:hAnsi="Wingdings"/>
      </w:rPr>
    </w:lvl>
    <w:lvl w:ilvl="4" w:tentative="0">
      <w:start w:val="1"/>
      <w:numFmt w:val="bullet"/>
      <w:lvlText w:val=""/>
      <w:lvlJc w:val="left"/>
      <w:pPr>
        <w:ind w:left="2300" w:hanging="420"/>
      </w:pPr>
      <w:rPr>
        <w:rFonts w:hint="default" w:ascii="Wingdings" w:hAnsi="Wingdings"/>
      </w:rPr>
    </w:lvl>
    <w:lvl w:ilvl="5" w:tentative="0">
      <w:start w:val="1"/>
      <w:numFmt w:val="bullet"/>
      <w:lvlText w:val=""/>
      <w:lvlJc w:val="left"/>
      <w:pPr>
        <w:ind w:left="2720" w:hanging="420"/>
      </w:pPr>
      <w:rPr>
        <w:rFonts w:hint="default" w:ascii="Wingdings" w:hAnsi="Wingdings"/>
      </w:rPr>
    </w:lvl>
    <w:lvl w:ilvl="6" w:tentative="0">
      <w:start w:val="1"/>
      <w:numFmt w:val="bullet"/>
      <w:lvlText w:val=""/>
      <w:lvlJc w:val="left"/>
      <w:pPr>
        <w:ind w:left="3140" w:hanging="420"/>
      </w:pPr>
      <w:rPr>
        <w:rFonts w:hint="default" w:ascii="Wingdings" w:hAnsi="Wingdings"/>
      </w:rPr>
    </w:lvl>
    <w:lvl w:ilvl="7" w:tentative="0">
      <w:start w:val="1"/>
      <w:numFmt w:val="bullet"/>
      <w:lvlText w:val=""/>
      <w:lvlJc w:val="left"/>
      <w:pPr>
        <w:ind w:left="3560" w:hanging="420"/>
      </w:pPr>
      <w:rPr>
        <w:rFonts w:hint="default" w:ascii="Wingdings" w:hAnsi="Wingdings"/>
      </w:rPr>
    </w:lvl>
    <w:lvl w:ilvl="8" w:tentative="0">
      <w:start w:val="1"/>
      <w:numFmt w:val="bullet"/>
      <w:lvlText w:val=""/>
      <w:lvlJc w:val="left"/>
      <w:pPr>
        <w:ind w:left="3980" w:hanging="420"/>
      </w:pPr>
      <w:rPr>
        <w:rFonts w:hint="default" w:ascii="Wingdings" w:hAnsi="Wingdings"/>
      </w:rPr>
    </w:lvl>
  </w:abstractNum>
  <w:abstractNum w:abstractNumId="23">
    <w:nsid w:val="657D3FBC"/>
    <w:multiLevelType w:val="multilevel"/>
    <w:tmpl w:val="657D3FBC"/>
    <w:lvl w:ilvl="0" w:tentative="0">
      <w:start w:val="1"/>
      <w:numFmt w:val="upperLetter"/>
      <w:pStyle w:val="76"/>
      <w:suff w:val="nothing"/>
      <w:lvlText w:val="附录%1"/>
      <w:lvlJc w:val="left"/>
      <w:pPr>
        <w:ind w:left="0" w:firstLine="0"/>
      </w:pPr>
      <w:rPr>
        <w:rFonts w:hint="eastAsia"/>
        <w:spacing w:val="100"/>
      </w:rPr>
    </w:lvl>
    <w:lvl w:ilvl="1" w:tentative="0">
      <w:start w:val="1"/>
      <w:numFmt w:val="decimal"/>
      <w:pStyle w:val="78"/>
      <w:suff w:val="nothing"/>
      <w:lvlText w:val="%1.%2　"/>
      <w:lvlJc w:val="left"/>
      <w:pPr>
        <w:ind w:left="0" w:firstLine="0"/>
      </w:pPr>
      <w:rPr>
        <w:rFonts w:hint="eastAsia" w:ascii="黑体" w:eastAsia="黑体"/>
        <w:b w:val="0"/>
        <w:i w:val="0"/>
        <w:sz w:val="21"/>
      </w:rPr>
    </w:lvl>
    <w:lvl w:ilvl="2" w:tentative="0">
      <w:start w:val="1"/>
      <w:numFmt w:val="decimal"/>
      <w:pStyle w:val="79"/>
      <w:suff w:val="nothing"/>
      <w:lvlText w:val="%1.%2.%3　"/>
      <w:lvlJc w:val="left"/>
      <w:pPr>
        <w:ind w:left="0" w:firstLine="0"/>
      </w:pPr>
      <w:rPr>
        <w:rFonts w:hint="eastAsia" w:ascii="黑体" w:eastAsia="黑体"/>
        <w:b w:val="0"/>
        <w:i w:val="0"/>
        <w:sz w:val="21"/>
      </w:rPr>
    </w:lvl>
    <w:lvl w:ilvl="3" w:tentative="0">
      <w:start w:val="1"/>
      <w:numFmt w:val="decimal"/>
      <w:pStyle w:val="81"/>
      <w:suff w:val="nothing"/>
      <w:lvlText w:val="%1.%2.%3.%4　"/>
      <w:lvlJc w:val="left"/>
      <w:pPr>
        <w:ind w:left="0" w:firstLine="0"/>
      </w:pPr>
      <w:rPr>
        <w:rFonts w:hint="eastAsia" w:ascii="黑体" w:eastAsia="黑体"/>
        <w:b w:val="0"/>
        <w:i w:val="0"/>
        <w:sz w:val="21"/>
      </w:rPr>
    </w:lvl>
    <w:lvl w:ilvl="4" w:tentative="0">
      <w:start w:val="1"/>
      <w:numFmt w:val="decimal"/>
      <w:pStyle w:val="82"/>
      <w:suff w:val="nothing"/>
      <w:lvlText w:val="%1.%2.%3.%4.%5　"/>
      <w:lvlJc w:val="left"/>
      <w:pPr>
        <w:ind w:left="0" w:firstLine="0"/>
      </w:pPr>
      <w:rPr>
        <w:rFonts w:hint="eastAsia" w:ascii="黑体" w:eastAsia="黑体"/>
        <w:b w:val="0"/>
        <w:i w:val="0"/>
        <w:sz w:val="21"/>
      </w:rPr>
    </w:lvl>
    <w:lvl w:ilvl="5" w:tentative="0">
      <w:start w:val="1"/>
      <w:numFmt w:val="decimal"/>
      <w:pStyle w:val="84"/>
      <w:suff w:val="nothing"/>
      <w:lvlText w:val="%1.%2.%3.%4.%5.%6　"/>
      <w:lvlJc w:val="left"/>
      <w:pPr>
        <w:ind w:left="0" w:firstLine="0"/>
      </w:pPr>
      <w:rPr>
        <w:rFonts w:hint="eastAsia" w:ascii="黑体" w:eastAsia="黑体"/>
        <w:b w:val="0"/>
        <w:i w:val="0"/>
        <w:sz w:val="21"/>
      </w:rPr>
    </w:lvl>
    <w:lvl w:ilvl="6" w:tentative="0">
      <w:start w:val="1"/>
      <w:numFmt w:val="decimal"/>
      <w:suff w:val="nothing"/>
      <w:lvlText w:val="%1.%2.%3.%4.%5.%6.%7　"/>
      <w:lvlJc w:val="left"/>
      <w:pPr>
        <w:ind w:left="0" w:firstLine="0"/>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24">
    <w:nsid w:val="69506ABF"/>
    <w:multiLevelType w:val="multilevel"/>
    <w:tmpl w:val="69506ABF"/>
    <w:lvl w:ilvl="0" w:tentative="0">
      <w:start w:val="1"/>
      <w:numFmt w:val="bullet"/>
      <w:pStyle w:val="188"/>
      <w:lvlText w:val=""/>
      <w:lvlJc w:val="left"/>
      <w:pPr>
        <w:ind w:left="851" w:firstLine="0"/>
      </w:pPr>
      <w:rPr>
        <w:rFonts w:hint="default" w:ascii="Wingdings" w:hAnsi="Wingdings"/>
        <w:color w:val="auto"/>
      </w:rPr>
    </w:lvl>
    <w:lvl w:ilvl="1" w:tentative="0">
      <w:start w:val="1"/>
      <w:numFmt w:val="lowerLetter"/>
      <w:lvlText w:val="%2)"/>
      <w:lvlJc w:val="left"/>
      <w:pPr>
        <w:ind w:left="1040" w:hanging="420"/>
      </w:pPr>
      <w:rPr>
        <w:rFonts w:hint="eastAsia"/>
      </w:rPr>
    </w:lvl>
    <w:lvl w:ilvl="2" w:tentative="0">
      <w:start w:val="1"/>
      <w:numFmt w:val="lowerRoman"/>
      <w:lvlText w:val="%3."/>
      <w:lvlJc w:val="right"/>
      <w:pPr>
        <w:ind w:left="1460" w:hanging="420"/>
      </w:pPr>
      <w:rPr>
        <w:rFonts w:hint="eastAsia"/>
      </w:rPr>
    </w:lvl>
    <w:lvl w:ilvl="3" w:tentative="0">
      <w:start w:val="1"/>
      <w:numFmt w:val="decimal"/>
      <w:lvlText w:val="%4."/>
      <w:lvlJc w:val="left"/>
      <w:pPr>
        <w:ind w:left="1880" w:hanging="420"/>
      </w:pPr>
      <w:rPr>
        <w:rFonts w:hint="eastAsia"/>
      </w:rPr>
    </w:lvl>
    <w:lvl w:ilvl="4" w:tentative="0">
      <w:start w:val="1"/>
      <w:numFmt w:val="lowerLetter"/>
      <w:lvlText w:val="%5)"/>
      <w:lvlJc w:val="left"/>
      <w:pPr>
        <w:ind w:left="2300" w:hanging="420"/>
      </w:pPr>
      <w:rPr>
        <w:rFonts w:hint="eastAsia"/>
      </w:rPr>
    </w:lvl>
    <w:lvl w:ilvl="5" w:tentative="0">
      <w:start w:val="1"/>
      <w:numFmt w:val="lowerRoman"/>
      <w:lvlText w:val="%6."/>
      <w:lvlJc w:val="right"/>
      <w:pPr>
        <w:ind w:left="2720" w:hanging="420"/>
      </w:pPr>
      <w:rPr>
        <w:rFonts w:hint="eastAsia"/>
      </w:rPr>
    </w:lvl>
    <w:lvl w:ilvl="6" w:tentative="0">
      <w:start w:val="1"/>
      <w:numFmt w:val="decimal"/>
      <w:lvlText w:val="%7."/>
      <w:lvlJc w:val="left"/>
      <w:pPr>
        <w:ind w:left="3140" w:hanging="420"/>
      </w:pPr>
      <w:rPr>
        <w:rFonts w:hint="eastAsia"/>
      </w:rPr>
    </w:lvl>
    <w:lvl w:ilvl="7" w:tentative="0">
      <w:start w:val="1"/>
      <w:numFmt w:val="lowerLetter"/>
      <w:lvlText w:val="%8)"/>
      <w:lvlJc w:val="left"/>
      <w:pPr>
        <w:ind w:left="3560" w:hanging="420"/>
      </w:pPr>
      <w:rPr>
        <w:rFonts w:hint="eastAsia"/>
      </w:rPr>
    </w:lvl>
    <w:lvl w:ilvl="8" w:tentative="0">
      <w:start w:val="1"/>
      <w:numFmt w:val="lowerRoman"/>
      <w:lvlText w:val="%9."/>
      <w:lvlJc w:val="right"/>
      <w:pPr>
        <w:ind w:left="3980" w:hanging="420"/>
      </w:pPr>
      <w:rPr>
        <w:rFonts w:hint="eastAsia"/>
      </w:rPr>
    </w:lvl>
  </w:abstractNum>
  <w:abstractNum w:abstractNumId="25">
    <w:nsid w:val="6CA41985"/>
    <w:multiLevelType w:val="multilevel"/>
    <w:tmpl w:val="6CA41985"/>
    <w:lvl w:ilvl="0" w:tentative="0">
      <w:start w:val="1"/>
      <w:numFmt w:val="decimal"/>
      <w:pStyle w:val="97"/>
      <w:lvlText w:val="%1)"/>
      <w:lvlJc w:val="left"/>
      <w:pPr>
        <w:tabs>
          <w:tab w:val="left" w:pos="823"/>
        </w:tabs>
        <w:ind w:left="823"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6">
    <w:nsid w:val="6CE42AC1"/>
    <w:multiLevelType w:val="multilevel"/>
    <w:tmpl w:val="6CE42AC1"/>
    <w:lvl w:ilvl="0" w:tentative="0">
      <w:start w:val="1"/>
      <w:numFmt w:val="lowerLetter"/>
      <w:pStyle w:val="173"/>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7">
    <w:nsid w:val="6CEA2025"/>
    <w:multiLevelType w:val="multilevel"/>
    <w:tmpl w:val="6CEA2025"/>
    <w:lvl w:ilvl="0" w:tentative="0">
      <w:start w:val="1"/>
      <w:numFmt w:val="none"/>
      <w:pStyle w:val="152"/>
      <w:suff w:val="nothing"/>
      <w:lvlText w:val="%1"/>
      <w:lvlJc w:val="left"/>
      <w:pPr>
        <w:ind w:left="0" w:firstLine="0"/>
      </w:pPr>
      <w:rPr>
        <w:rFonts w:hint="eastAsia"/>
      </w:rPr>
    </w:lvl>
    <w:lvl w:ilvl="1" w:tentative="0">
      <w:start w:val="1"/>
      <w:numFmt w:val="decimal"/>
      <w:pStyle w:val="104"/>
      <w:suff w:val="nothing"/>
      <w:lvlText w:val="%1%2　"/>
      <w:lvlJc w:val="left"/>
      <w:pPr>
        <w:ind w:left="0" w:firstLine="0"/>
      </w:pPr>
      <w:rPr>
        <w:rFonts w:hint="eastAsia" w:ascii="黑体" w:eastAsia="黑体"/>
        <w:b w:val="0"/>
        <w:i w:val="0"/>
        <w:sz w:val="21"/>
      </w:rPr>
    </w:lvl>
    <w:lvl w:ilvl="2" w:tentative="0">
      <w:start w:val="1"/>
      <w:numFmt w:val="decimal"/>
      <w:pStyle w:val="105"/>
      <w:suff w:val="nothing"/>
      <w:lvlText w:val="%1%2.%3　"/>
      <w:lvlJc w:val="left"/>
      <w:pPr>
        <w:ind w:left="709" w:firstLine="0"/>
      </w:pPr>
      <w:rPr>
        <w:rFonts w:hint="eastAsia" w:ascii="黑体" w:hAnsi="Times New Roman" w:eastAsia="黑体" w:cs="Times New Roman"/>
        <w:b w:val="0"/>
        <w:bCs w:val="0"/>
        <w:i w:val="0"/>
        <w:iCs w:val="0"/>
        <w:caps w:val="0"/>
        <w:smallCaps w:val="0"/>
        <w:strike w:val="0"/>
        <w:dstrike w:val="0"/>
        <w:vanish w:val="0"/>
        <w:color w:val="000000"/>
        <w:spacing w:val="0"/>
        <w:kern w:val="0"/>
        <w:position w:val="0"/>
        <w:sz w:val="21"/>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prst="orthographicFront">
          <w14:lightRig w14:rig="threePt" w14:dir="t">
            <w14:rot w14:lat="0" w14:lon="0" w14:rev="0"/>
          </w14:lightRig>
        </w14:scene3d>
        <w14:ligatures w14:val="none"/>
        <w14:numForm w14:val="default"/>
        <w14:numSpacing w14:val="default"/>
      </w:rPr>
    </w:lvl>
    <w:lvl w:ilvl="3" w:tentative="0">
      <w:start w:val="1"/>
      <w:numFmt w:val="decimal"/>
      <w:pStyle w:val="65"/>
      <w:suff w:val="nothing"/>
      <w:lvlText w:val="%1%2.%3.%4　"/>
      <w:lvlJc w:val="left"/>
      <w:pPr>
        <w:ind w:left="2410" w:firstLine="0"/>
      </w:pPr>
      <w:rPr>
        <w:rFonts w:hint="eastAsia" w:ascii="黑体" w:eastAsia="黑体"/>
        <w:b w:val="0"/>
        <w:i w:val="0"/>
        <w:sz w:val="21"/>
      </w:rPr>
    </w:lvl>
    <w:lvl w:ilvl="4" w:tentative="0">
      <w:start w:val="1"/>
      <w:numFmt w:val="decimal"/>
      <w:pStyle w:val="94"/>
      <w:suff w:val="nothing"/>
      <w:lvlText w:val="%1%2.%3.%4.%5　"/>
      <w:lvlJc w:val="left"/>
      <w:pPr>
        <w:ind w:left="0" w:firstLine="0"/>
      </w:pPr>
      <w:rPr>
        <w:rFonts w:hint="eastAsia" w:ascii="黑体" w:eastAsia="黑体"/>
        <w:b w:val="0"/>
        <w:i w:val="0"/>
        <w:sz w:val="21"/>
      </w:rPr>
    </w:lvl>
    <w:lvl w:ilvl="5" w:tentative="0">
      <w:start w:val="1"/>
      <w:numFmt w:val="decimal"/>
      <w:pStyle w:val="98"/>
      <w:suff w:val="nothing"/>
      <w:lvlText w:val="%1%2.%3.%4.%5.%6　"/>
      <w:lvlJc w:val="left"/>
      <w:pPr>
        <w:ind w:left="0" w:firstLine="0"/>
      </w:pPr>
      <w:rPr>
        <w:rFonts w:hint="eastAsia" w:ascii="黑体" w:eastAsia="黑体"/>
        <w:b w:val="0"/>
        <w:i w:val="0"/>
        <w:sz w:val="21"/>
      </w:rPr>
    </w:lvl>
    <w:lvl w:ilvl="6" w:tentative="0">
      <w:start w:val="1"/>
      <w:numFmt w:val="decimal"/>
      <w:pStyle w:val="103"/>
      <w:suff w:val="nothing"/>
      <w:lvlText w:val="%1%2.%3.%4.%5.%6.%7　"/>
      <w:lvlJc w:val="left"/>
      <w:pPr>
        <w:ind w:left="0" w:firstLine="0"/>
      </w:pPr>
      <w:rPr>
        <w:rFonts w:hint="eastAsia" w:ascii="黑体"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28">
    <w:nsid w:val="6DBF04F4"/>
    <w:multiLevelType w:val="multilevel"/>
    <w:tmpl w:val="6DBF04F4"/>
    <w:lvl w:ilvl="0" w:tentative="0">
      <w:start w:val="1"/>
      <w:numFmt w:val="none"/>
      <w:pStyle w:val="179"/>
      <w:lvlText w:val="%1注："/>
      <w:lvlJc w:val="left"/>
      <w:pPr>
        <w:ind w:left="737" w:hanging="374"/>
      </w:pPr>
      <w:rPr>
        <w:rFonts w:hint="eastAsia" w:ascii="黑体" w:eastAsia="黑体"/>
        <w:b w:val="0"/>
        <w:i w:val="0"/>
        <w:sz w:val="18"/>
      </w:rPr>
    </w:lvl>
    <w:lvl w:ilvl="1" w:tentative="0">
      <w:start w:val="1"/>
      <w:numFmt w:val="lowerLetter"/>
      <w:lvlText w:val="%2)"/>
      <w:lvlJc w:val="left"/>
      <w:pPr>
        <w:tabs>
          <w:tab w:val="left" w:pos="1140"/>
        </w:tabs>
        <w:ind w:left="726" w:hanging="363"/>
      </w:pPr>
      <w:rPr>
        <w:rFonts w:hint="eastAsia"/>
      </w:rPr>
    </w:lvl>
    <w:lvl w:ilvl="2" w:tentative="0">
      <w:start w:val="1"/>
      <w:numFmt w:val="lowerRoman"/>
      <w:lvlText w:val="%3."/>
      <w:lvlJc w:val="right"/>
      <w:pPr>
        <w:tabs>
          <w:tab w:val="left" w:pos="1140"/>
        </w:tabs>
        <w:ind w:left="726" w:hanging="363"/>
      </w:pPr>
      <w:rPr>
        <w:rFonts w:hint="eastAsia"/>
      </w:rPr>
    </w:lvl>
    <w:lvl w:ilvl="3" w:tentative="0">
      <w:start w:val="1"/>
      <w:numFmt w:val="decimal"/>
      <w:lvlText w:val="%4."/>
      <w:lvlJc w:val="left"/>
      <w:pPr>
        <w:tabs>
          <w:tab w:val="left" w:pos="1140"/>
        </w:tabs>
        <w:ind w:left="726" w:hanging="363"/>
      </w:pPr>
      <w:rPr>
        <w:rFonts w:hint="eastAsia"/>
      </w:rPr>
    </w:lvl>
    <w:lvl w:ilvl="4" w:tentative="0">
      <w:start w:val="1"/>
      <w:numFmt w:val="lowerLetter"/>
      <w:lvlText w:val="%5)"/>
      <w:lvlJc w:val="left"/>
      <w:pPr>
        <w:tabs>
          <w:tab w:val="left" w:pos="1140"/>
        </w:tabs>
        <w:ind w:left="726" w:hanging="363"/>
      </w:pPr>
      <w:rPr>
        <w:rFonts w:hint="eastAsia"/>
      </w:rPr>
    </w:lvl>
    <w:lvl w:ilvl="5" w:tentative="0">
      <w:start w:val="1"/>
      <w:numFmt w:val="lowerRoman"/>
      <w:lvlText w:val="%6."/>
      <w:lvlJc w:val="right"/>
      <w:pPr>
        <w:tabs>
          <w:tab w:val="left" w:pos="1140"/>
        </w:tabs>
        <w:ind w:left="726" w:hanging="363"/>
      </w:pPr>
      <w:rPr>
        <w:rFonts w:hint="eastAsia"/>
      </w:rPr>
    </w:lvl>
    <w:lvl w:ilvl="6" w:tentative="0">
      <w:start w:val="1"/>
      <w:numFmt w:val="decimal"/>
      <w:lvlText w:val="%7."/>
      <w:lvlJc w:val="left"/>
      <w:pPr>
        <w:tabs>
          <w:tab w:val="left" w:pos="1140"/>
        </w:tabs>
        <w:ind w:left="726" w:hanging="363"/>
      </w:pPr>
      <w:rPr>
        <w:rFonts w:hint="eastAsia"/>
      </w:rPr>
    </w:lvl>
    <w:lvl w:ilvl="7" w:tentative="0">
      <w:start w:val="1"/>
      <w:numFmt w:val="lowerLetter"/>
      <w:lvlText w:val="%8)"/>
      <w:lvlJc w:val="left"/>
      <w:pPr>
        <w:tabs>
          <w:tab w:val="left" w:pos="1140"/>
        </w:tabs>
        <w:ind w:left="726" w:hanging="363"/>
      </w:pPr>
      <w:rPr>
        <w:rFonts w:hint="eastAsia"/>
      </w:rPr>
    </w:lvl>
    <w:lvl w:ilvl="8" w:tentative="0">
      <w:start w:val="1"/>
      <w:numFmt w:val="lowerRoman"/>
      <w:lvlText w:val="%9."/>
      <w:lvlJc w:val="right"/>
      <w:pPr>
        <w:tabs>
          <w:tab w:val="left" w:pos="1140"/>
        </w:tabs>
        <w:ind w:left="726" w:hanging="363"/>
      </w:pPr>
      <w:rPr>
        <w:rFonts w:hint="eastAsia"/>
      </w:rPr>
    </w:lvl>
  </w:abstractNum>
  <w:abstractNum w:abstractNumId="29">
    <w:nsid w:val="6DF35F19"/>
    <w:multiLevelType w:val="multilevel"/>
    <w:tmpl w:val="6DF35F19"/>
    <w:lvl w:ilvl="0" w:tentative="0">
      <w:start w:val="1"/>
      <w:numFmt w:val="decimal"/>
      <w:pStyle w:val="115"/>
      <w:suff w:val="nothing"/>
      <w:lvlText w:val="Table %1　"/>
      <w:lvlJc w:val="left"/>
      <w:pPr>
        <w:ind w:left="0" w:firstLine="0"/>
      </w:pPr>
    </w:lvl>
    <w:lvl w:ilvl="1" w:tentative="0">
      <w:start w:val="1"/>
      <w:numFmt w:val="decimal"/>
      <w:suff w:val="nothing"/>
      <w:lvlText w:val="%1%2　"/>
      <w:lvlJc w:val="left"/>
      <w:pPr>
        <w:ind w:left="0" w:firstLine="0"/>
      </w:pPr>
    </w:lvl>
    <w:lvl w:ilvl="2" w:tentative="0">
      <w:start w:val="1"/>
      <w:numFmt w:val="decimal"/>
      <w:suff w:val="nothing"/>
      <w:lvlText w:val="%1%2.%3　"/>
      <w:lvlJc w:val="left"/>
      <w:pPr>
        <w:ind w:left="0" w:firstLine="0"/>
      </w:pPr>
    </w:lvl>
    <w:lvl w:ilvl="3" w:tentative="0">
      <w:start w:val="1"/>
      <w:numFmt w:val="decimal"/>
      <w:suff w:val="nothing"/>
      <w:lvlText w:val="%1%2.%3.%4　"/>
      <w:lvlJc w:val="left"/>
      <w:pPr>
        <w:ind w:left="0" w:firstLine="0"/>
      </w:pPr>
    </w:lvl>
    <w:lvl w:ilvl="4" w:tentative="0">
      <w:start w:val="1"/>
      <w:numFmt w:val="decimal"/>
      <w:suff w:val="nothing"/>
      <w:lvlText w:val="%1%2.%3.%4.%5　"/>
      <w:lvlJc w:val="left"/>
      <w:pPr>
        <w:ind w:left="0" w:firstLine="0"/>
      </w:pPr>
    </w:lvl>
    <w:lvl w:ilvl="5" w:tentative="0">
      <w:start w:val="1"/>
      <w:numFmt w:val="decimal"/>
      <w:suff w:val="nothing"/>
      <w:lvlText w:val="%1%2.%3.%4.%5.%6　"/>
      <w:lvlJc w:val="left"/>
      <w:pPr>
        <w:ind w:left="0" w:firstLine="0"/>
      </w:pPr>
    </w:lvl>
    <w:lvl w:ilvl="6" w:tentative="0">
      <w:start w:val="1"/>
      <w:numFmt w:val="decimal"/>
      <w:suff w:val="nothing"/>
      <w:lvlText w:val="%1%2.%3.%4.%5.%6.%7　"/>
      <w:lvlJc w:val="left"/>
      <w:pPr>
        <w:ind w:left="0" w:firstLine="0"/>
      </w:pPr>
    </w:lvl>
    <w:lvl w:ilvl="7" w:tentative="0">
      <w:start w:val="1"/>
      <w:numFmt w:val="decimal"/>
      <w:lvlText w:val="%1.%2.%3.%4.%5.%6.%7.%8"/>
      <w:lvlJc w:val="left"/>
      <w:pPr>
        <w:tabs>
          <w:tab w:val="left" w:pos="4348"/>
        </w:tabs>
        <w:ind w:left="3969" w:hanging="1418"/>
      </w:pPr>
    </w:lvl>
    <w:lvl w:ilvl="8" w:tentative="0">
      <w:start w:val="1"/>
      <w:numFmt w:val="decimal"/>
      <w:lvlText w:val="%1.%2.%3.%4.%5.%6.%7.%8.%9"/>
      <w:lvlJc w:val="left"/>
      <w:pPr>
        <w:tabs>
          <w:tab w:val="left" w:pos="4774"/>
        </w:tabs>
        <w:ind w:left="4677" w:hanging="1701"/>
      </w:pPr>
    </w:lvl>
  </w:abstractNum>
  <w:abstractNum w:abstractNumId="30">
    <w:nsid w:val="76933334"/>
    <w:multiLevelType w:val="multilevel"/>
    <w:tmpl w:val="76933334"/>
    <w:lvl w:ilvl="0" w:tentative="0">
      <w:start w:val="1"/>
      <w:numFmt w:val="none"/>
      <w:pStyle w:val="139"/>
      <w:lvlText w:val="%1——"/>
      <w:lvlJc w:val="left"/>
      <w:pPr>
        <w:tabs>
          <w:tab w:val="left" w:pos="330"/>
        </w:tabs>
        <w:ind w:left="948"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27"/>
  </w:num>
  <w:num w:numId="3">
    <w:abstractNumId w:val="5"/>
  </w:num>
  <w:num w:numId="4">
    <w:abstractNumId w:val="23"/>
  </w:num>
  <w:num w:numId="5">
    <w:abstractNumId w:val="18"/>
  </w:num>
  <w:num w:numId="6">
    <w:abstractNumId w:val="13"/>
  </w:num>
  <w:num w:numId="7">
    <w:abstractNumId w:val="8"/>
  </w:num>
  <w:num w:numId="8">
    <w:abstractNumId w:val="3"/>
  </w:num>
  <w:num w:numId="9">
    <w:abstractNumId w:val="9"/>
  </w:num>
  <w:num w:numId="10">
    <w:abstractNumId w:val="16"/>
  </w:num>
  <w:num w:numId="11">
    <w:abstractNumId w:val="25"/>
  </w:num>
  <w:num w:numId="12">
    <w:abstractNumId w:val="11"/>
  </w:num>
  <w:num w:numId="13">
    <w:abstractNumId w:val="12"/>
  </w:num>
  <w:num w:numId="14">
    <w:abstractNumId w:val="7"/>
  </w:num>
  <w:num w:numId="15">
    <w:abstractNumId w:val="19"/>
  </w:num>
  <w:num w:numId="16">
    <w:abstractNumId w:val="21"/>
  </w:num>
  <w:num w:numId="17">
    <w:abstractNumId w:val="17"/>
  </w:num>
  <w:num w:numId="18">
    <w:abstractNumId w:val="29"/>
  </w:num>
  <w:num w:numId="19">
    <w:abstractNumId w:val="15"/>
  </w:num>
  <w:num w:numId="20">
    <w:abstractNumId w:val="1"/>
  </w:num>
  <w:num w:numId="21">
    <w:abstractNumId w:val="10"/>
  </w:num>
  <w:num w:numId="22">
    <w:abstractNumId w:val="30"/>
  </w:num>
  <w:num w:numId="23">
    <w:abstractNumId w:val="20"/>
  </w:num>
  <w:num w:numId="24">
    <w:abstractNumId w:val="6"/>
  </w:num>
  <w:num w:numId="25">
    <w:abstractNumId w:val="26"/>
  </w:num>
  <w:num w:numId="26">
    <w:abstractNumId w:val="28"/>
  </w:num>
  <w:num w:numId="27">
    <w:abstractNumId w:val="2"/>
  </w:num>
  <w:num w:numId="28">
    <w:abstractNumId w:val="4"/>
  </w:num>
  <w:num w:numId="29">
    <w:abstractNumId w:val="14"/>
  </w:num>
  <w:num w:numId="30">
    <w:abstractNumId w:val="24"/>
  </w:num>
  <w:num w:numId="31">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attachedTemplate r:id="rId1"/>
  <w:documentProtection w:edit="forms" w:enforcement="0"/>
  <w:defaultTabStop w:val="420"/>
  <w:drawingGridHorizontalSpacing w:val="105"/>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4D79"/>
    <w:rsid w:val="0000040A"/>
    <w:rsid w:val="00000A94"/>
    <w:rsid w:val="00001972"/>
    <w:rsid w:val="00001D9A"/>
    <w:rsid w:val="00002D44"/>
    <w:rsid w:val="00007B3A"/>
    <w:rsid w:val="000107E0"/>
    <w:rsid w:val="00011FDE"/>
    <w:rsid w:val="00012FFD"/>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4249A"/>
    <w:rsid w:val="00043282"/>
    <w:rsid w:val="00044286"/>
    <w:rsid w:val="00047F28"/>
    <w:rsid w:val="000503AA"/>
    <w:rsid w:val="000506A1"/>
    <w:rsid w:val="000515DD"/>
    <w:rsid w:val="0005265A"/>
    <w:rsid w:val="000539DD"/>
    <w:rsid w:val="00053BD3"/>
    <w:rsid w:val="000556ED"/>
    <w:rsid w:val="00055FE2"/>
    <w:rsid w:val="0005616F"/>
    <w:rsid w:val="00060C2E"/>
    <w:rsid w:val="00061033"/>
    <w:rsid w:val="000619E9"/>
    <w:rsid w:val="000622D4"/>
    <w:rsid w:val="0006357D"/>
    <w:rsid w:val="00064E92"/>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21F9"/>
    <w:rsid w:val="000B3CDA"/>
    <w:rsid w:val="000B6A0B"/>
    <w:rsid w:val="000C0F6C"/>
    <w:rsid w:val="000C11DB"/>
    <w:rsid w:val="000C1492"/>
    <w:rsid w:val="000C2FBD"/>
    <w:rsid w:val="000C4B41"/>
    <w:rsid w:val="000C57D6"/>
    <w:rsid w:val="000C6362"/>
    <w:rsid w:val="000C7666"/>
    <w:rsid w:val="000D0A9C"/>
    <w:rsid w:val="000D1795"/>
    <w:rsid w:val="000D329A"/>
    <w:rsid w:val="000D4B9C"/>
    <w:rsid w:val="000D4EB6"/>
    <w:rsid w:val="000D753B"/>
    <w:rsid w:val="000E4C9E"/>
    <w:rsid w:val="000E6FD7"/>
    <w:rsid w:val="000E7144"/>
    <w:rsid w:val="000F06E1"/>
    <w:rsid w:val="000F0E3C"/>
    <w:rsid w:val="000F19D5"/>
    <w:rsid w:val="000F4050"/>
    <w:rsid w:val="000F4AEA"/>
    <w:rsid w:val="000F67E9"/>
    <w:rsid w:val="00104926"/>
    <w:rsid w:val="00113B1E"/>
    <w:rsid w:val="0011711C"/>
    <w:rsid w:val="001214E8"/>
    <w:rsid w:val="00124E4F"/>
    <w:rsid w:val="001260B7"/>
    <w:rsid w:val="001265CB"/>
    <w:rsid w:val="001321C6"/>
    <w:rsid w:val="001325C4"/>
    <w:rsid w:val="00133010"/>
    <w:rsid w:val="001338EE"/>
    <w:rsid w:val="00133AAE"/>
    <w:rsid w:val="00135323"/>
    <w:rsid w:val="001356C4"/>
    <w:rsid w:val="00137565"/>
    <w:rsid w:val="00141114"/>
    <w:rsid w:val="001428C9"/>
    <w:rsid w:val="00142969"/>
    <w:rsid w:val="001446C2"/>
    <w:rsid w:val="001457E7"/>
    <w:rsid w:val="00145D9D"/>
    <w:rsid w:val="00146388"/>
    <w:rsid w:val="001529E5"/>
    <w:rsid w:val="00152FB3"/>
    <w:rsid w:val="00153C7E"/>
    <w:rsid w:val="00156B25"/>
    <w:rsid w:val="00156E1A"/>
    <w:rsid w:val="00157894"/>
    <w:rsid w:val="00157B55"/>
    <w:rsid w:val="001642FA"/>
    <w:rsid w:val="0016444E"/>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1A53"/>
    <w:rsid w:val="001A234A"/>
    <w:rsid w:val="001A4CF3"/>
    <w:rsid w:val="001A6696"/>
    <w:rsid w:val="001B06E8"/>
    <w:rsid w:val="001B188A"/>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D6A60"/>
    <w:rsid w:val="001E1B6A"/>
    <w:rsid w:val="001E2484"/>
    <w:rsid w:val="001E3CC4"/>
    <w:rsid w:val="001E4882"/>
    <w:rsid w:val="001E73AB"/>
    <w:rsid w:val="001F092D"/>
    <w:rsid w:val="001F143A"/>
    <w:rsid w:val="001F1605"/>
    <w:rsid w:val="001F2508"/>
    <w:rsid w:val="001F4816"/>
    <w:rsid w:val="001F69B4"/>
    <w:rsid w:val="001F77C7"/>
    <w:rsid w:val="00200183"/>
    <w:rsid w:val="00200333"/>
    <w:rsid w:val="0020107D"/>
    <w:rsid w:val="00202AA4"/>
    <w:rsid w:val="002031F7"/>
    <w:rsid w:val="002040E6"/>
    <w:rsid w:val="0020527B"/>
    <w:rsid w:val="00205F2C"/>
    <w:rsid w:val="00210B15"/>
    <w:rsid w:val="002142EA"/>
    <w:rsid w:val="00215ADD"/>
    <w:rsid w:val="002204BB"/>
    <w:rsid w:val="00220E35"/>
    <w:rsid w:val="00221B79"/>
    <w:rsid w:val="00221C6B"/>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C40"/>
    <w:rsid w:val="002B1966"/>
    <w:rsid w:val="002B1EFB"/>
    <w:rsid w:val="002B4508"/>
    <w:rsid w:val="002B4FE3"/>
    <w:rsid w:val="002B5779"/>
    <w:rsid w:val="002B7332"/>
    <w:rsid w:val="002B7F51"/>
    <w:rsid w:val="002C09E7"/>
    <w:rsid w:val="002C1E06"/>
    <w:rsid w:val="002C3F07"/>
    <w:rsid w:val="002C5278"/>
    <w:rsid w:val="002C75EE"/>
    <w:rsid w:val="002C7EBB"/>
    <w:rsid w:val="002D06C1"/>
    <w:rsid w:val="002D42B5"/>
    <w:rsid w:val="002D4F1A"/>
    <w:rsid w:val="002D6EC6"/>
    <w:rsid w:val="002D79AC"/>
    <w:rsid w:val="002E039D"/>
    <w:rsid w:val="002E4D5A"/>
    <w:rsid w:val="002E6326"/>
    <w:rsid w:val="002E6641"/>
    <w:rsid w:val="002E6E10"/>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429C"/>
    <w:rsid w:val="00364A53"/>
    <w:rsid w:val="003654CB"/>
    <w:rsid w:val="00365AA9"/>
    <w:rsid w:val="00365F86"/>
    <w:rsid w:val="00365F87"/>
    <w:rsid w:val="00366E89"/>
    <w:rsid w:val="003705F4"/>
    <w:rsid w:val="0037078C"/>
    <w:rsid w:val="00370D58"/>
    <w:rsid w:val="00371316"/>
    <w:rsid w:val="00372B61"/>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2B08"/>
    <w:rsid w:val="003A3D9C"/>
    <w:rsid w:val="003A4077"/>
    <w:rsid w:val="003A4AA7"/>
    <w:rsid w:val="003A6972"/>
    <w:rsid w:val="003B09AD"/>
    <w:rsid w:val="003B1F18"/>
    <w:rsid w:val="003B5BF0"/>
    <w:rsid w:val="003B60BF"/>
    <w:rsid w:val="003B6BE3"/>
    <w:rsid w:val="003C010C"/>
    <w:rsid w:val="003C0A6C"/>
    <w:rsid w:val="003C14F8"/>
    <w:rsid w:val="003C495C"/>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23D3"/>
    <w:rsid w:val="003F3F08"/>
    <w:rsid w:val="003F49F1"/>
    <w:rsid w:val="003F6272"/>
    <w:rsid w:val="00400E72"/>
    <w:rsid w:val="00401400"/>
    <w:rsid w:val="00404869"/>
    <w:rsid w:val="00405884"/>
    <w:rsid w:val="00407D39"/>
    <w:rsid w:val="0041477A"/>
    <w:rsid w:val="004167A3"/>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65C30"/>
    <w:rsid w:val="00470775"/>
    <w:rsid w:val="004746B1"/>
    <w:rsid w:val="0047583F"/>
    <w:rsid w:val="00475DE8"/>
    <w:rsid w:val="00476365"/>
    <w:rsid w:val="00481C44"/>
    <w:rsid w:val="00484936"/>
    <w:rsid w:val="00485C89"/>
    <w:rsid w:val="00486BE3"/>
    <w:rsid w:val="004905E4"/>
    <w:rsid w:val="00490A89"/>
    <w:rsid w:val="00490AB4"/>
    <w:rsid w:val="00492F02"/>
    <w:rsid w:val="004939AE"/>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2011"/>
    <w:rsid w:val="005B4903"/>
    <w:rsid w:val="005B51CE"/>
    <w:rsid w:val="005B5885"/>
    <w:rsid w:val="005B5CD7"/>
    <w:rsid w:val="005B6CF6"/>
    <w:rsid w:val="005B7422"/>
    <w:rsid w:val="005C29B8"/>
    <w:rsid w:val="005C507E"/>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6015CE"/>
    <w:rsid w:val="00604784"/>
    <w:rsid w:val="00606419"/>
    <w:rsid w:val="00607D29"/>
    <w:rsid w:val="00612952"/>
    <w:rsid w:val="00614CC1"/>
    <w:rsid w:val="00615A9D"/>
    <w:rsid w:val="00617387"/>
    <w:rsid w:val="006205D6"/>
    <w:rsid w:val="006252D8"/>
    <w:rsid w:val="006259BC"/>
    <w:rsid w:val="0062636B"/>
    <w:rsid w:val="00632182"/>
    <w:rsid w:val="00632AE0"/>
    <w:rsid w:val="00633C17"/>
    <w:rsid w:val="00634D9E"/>
    <w:rsid w:val="00636E3E"/>
    <w:rsid w:val="006379F7"/>
    <w:rsid w:val="00637E4D"/>
    <w:rsid w:val="00640620"/>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119"/>
    <w:rsid w:val="006D04EA"/>
    <w:rsid w:val="006D16C4"/>
    <w:rsid w:val="006D3E96"/>
    <w:rsid w:val="006D4515"/>
    <w:rsid w:val="006D4BB1"/>
    <w:rsid w:val="006D6593"/>
    <w:rsid w:val="006E28E0"/>
    <w:rsid w:val="006F03A8"/>
    <w:rsid w:val="006F2ACA"/>
    <w:rsid w:val="006F2ADC"/>
    <w:rsid w:val="006F2BFE"/>
    <w:rsid w:val="006F31E9"/>
    <w:rsid w:val="006F6284"/>
    <w:rsid w:val="007002C5"/>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548E"/>
    <w:rsid w:val="00745773"/>
    <w:rsid w:val="00746800"/>
    <w:rsid w:val="007501A8"/>
    <w:rsid w:val="00750D61"/>
    <w:rsid w:val="00750EE1"/>
    <w:rsid w:val="00751DE2"/>
    <w:rsid w:val="00752B4D"/>
    <w:rsid w:val="00755402"/>
    <w:rsid w:val="00756B26"/>
    <w:rsid w:val="00756EDF"/>
    <w:rsid w:val="007600E3"/>
    <w:rsid w:val="00765C43"/>
    <w:rsid w:val="00765EFB"/>
    <w:rsid w:val="007671CA"/>
    <w:rsid w:val="00767C61"/>
    <w:rsid w:val="0077008A"/>
    <w:rsid w:val="0077321F"/>
    <w:rsid w:val="00773C1F"/>
    <w:rsid w:val="00774DA4"/>
    <w:rsid w:val="00776599"/>
    <w:rsid w:val="0078114B"/>
    <w:rsid w:val="00781DD2"/>
    <w:rsid w:val="00783ECF"/>
    <w:rsid w:val="0078413A"/>
    <w:rsid w:val="007959E8"/>
    <w:rsid w:val="00795E9C"/>
    <w:rsid w:val="007A0521"/>
    <w:rsid w:val="007A2E12"/>
    <w:rsid w:val="007A30B3"/>
    <w:rsid w:val="007A3475"/>
    <w:rsid w:val="007A41C8"/>
    <w:rsid w:val="007A54CE"/>
    <w:rsid w:val="007A5D3A"/>
    <w:rsid w:val="007A6FD9"/>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F0ED8"/>
    <w:rsid w:val="007F0F63"/>
    <w:rsid w:val="007F75CE"/>
    <w:rsid w:val="008013A4"/>
    <w:rsid w:val="008027CE"/>
    <w:rsid w:val="00802F42"/>
    <w:rsid w:val="00804383"/>
    <w:rsid w:val="00804BB7"/>
    <w:rsid w:val="00804D41"/>
    <w:rsid w:val="00810257"/>
    <w:rsid w:val="008104F5"/>
    <w:rsid w:val="00811072"/>
    <w:rsid w:val="00811369"/>
    <w:rsid w:val="0081328A"/>
    <w:rsid w:val="00815419"/>
    <w:rsid w:val="008163C8"/>
    <w:rsid w:val="008164A1"/>
    <w:rsid w:val="00817325"/>
    <w:rsid w:val="008209E6"/>
    <w:rsid w:val="00821D19"/>
    <w:rsid w:val="00823303"/>
    <w:rsid w:val="008233B2"/>
    <w:rsid w:val="00823A9F"/>
    <w:rsid w:val="00823C85"/>
    <w:rsid w:val="00825138"/>
    <w:rsid w:val="008269DD"/>
    <w:rsid w:val="00830621"/>
    <w:rsid w:val="0083348C"/>
    <w:rsid w:val="008336D6"/>
    <w:rsid w:val="00835CBF"/>
    <w:rsid w:val="008373D3"/>
    <w:rsid w:val="00840617"/>
    <w:rsid w:val="00840F84"/>
    <w:rsid w:val="00841FC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77608"/>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1B6"/>
    <w:rsid w:val="008B166D"/>
    <w:rsid w:val="008B17F4"/>
    <w:rsid w:val="008B3615"/>
    <w:rsid w:val="008B4AC4"/>
    <w:rsid w:val="008B50C8"/>
    <w:rsid w:val="008B5281"/>
    <w:rsid w:val="008B7E05"/>
    <w:rsid w:val="008C1797"/>
    <w:rsid w:val="008C219C"/>
    <w:rsid w:val="008C475E"/>
    <w:rsid w:val="008C619A"/>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2372"/>
    <w:rsid w:val="008F4C29"/>
    <w:rsid w:val="008F70BD"/>
    <w:rsid w:val="008F788F"/>
    <w:rsid w:val="008F7EA2"/>
    <w:rsid w:val="0090174A"/>
    <w:rsid w:val="00902722"/>
    <w:rsid w:val="009027BC"/>
    <w:rsid w:val="009062E6"/>
    <w:rsid w:val="00911BE5"/>
    <w:rsid w:val="00913CA9"/>
    <w:rsid w:val="009145AE"/>
    <w:rsid w:val="009146CE"/>
    <w:rsid w:val="00914CA7"/>
    <w:rsid w:val="00915C3E"/>
    <w:rsid w:val="009161A8"/>
    <w:rsid w:val="009245AE"/>
    <w:rsid w:val="009245F5"/>
    <w:rsid w:val="009249EC"/>
    <w:rsid w:val="009273B3"/>
    <w:rsid w:val="009305B5"/>
    <w:rsid w:val="00936002"/>
    <w:rsid w:val="009378DD"/>
    <w:rsid w:val="009429D5"/>
    <w:rsid w:val="00942BF1"/>
    <w:rsid w:val="00945180"/>
    <w:rsid w:val="00945428"/>
    <w:rsid w:val="0094607B"/>
    <w:rsid w:val="00953604"/>
    <w:rsid w:val="00953700"/>
    <w:rsid w:val="0095496B"/>
    <w:rsid w:val="0095609D"/>
    <w:rsid w:val="00960F1E"/>
    <w:rsid w:val="009610DC"/>
    <w:rsid w:val="00961490"/>
    <w:rsid w:val="0096381A"/>
    <w:rsid w:val="00965E04"/>
    <w:rsid w:val="009674AD"/>
    <w:rsid w:val="00970CDC"/>
    <w:rsid w:val="00972363"/>
    <w:rsid w:val="00975727"/>
    <w:rsid w:val="00977010"/>
    <w:rsid w:val="00977D02"/>
    <w:rsid w:val="00977FF9"/>
    <w:rsid w:val="009809BB"/>
    <w:rsid w:val="0098364B"/>
    <w:rsid w:val="009908A3"/>
    <w:rsid w:val="009911AF"/>
    <w:rsid w:val="00991875"/>
    <w:rsid w:val="00991F92"/>
    <w:rsid w:val="00992985"/>
    <w:rsid w:val="00993889"/>
    <w:rsid w:val="009949CB"/>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2ECC"/>
    <w:rsid w:val="00A237D5"/>
    <w:rsid w:val="00A24479"/>
    <w:rsid w:val="00A24FCA"/>
    <w:rsid w:val="00A30EFC"/>
    <w:rsid w:val="00A31984"/>
    <w:rsid w:val="00A32D73"/>
    <w:rsid w:val="00A3367B"/>
    <w:rsid w:val="00A33C67"/>
    <w:rsid w:val="00A3597D"/>
    <w:rsid w:val="00A36DD1"/>
    <w:rsid w:val="00A4006C"/>
    <w:rsid w:val="00A40091"/>
    <w:rsid w:val="00A4030F"/>
    <w:rsid w:val="00A41C79"/>
    <w:rsid w:val="00A41CB5"/>
    <w:rsid w:val="00A42CDF"/>
    <w:rsid w:val="00A4452E"/>
    <w:rsid w:val="00A4472C"/>
    <w:rsid w:val="00A44E69"/>
    <w:rsid w:val="00A4661E"/>
    <w:rsid w:val="00A55BD6"/>
    <w:rsid w:val="00A55D50"/>
    <w:rsid w:val="00A57142"/>
    <w:rsid w:val="00A648CD"/>
    <w:rsid w:val="00A6537A"/>
    <w:rsid w:val="00A67866"/>
    <w:rsid w:val="00A70B07"/>
    <w:rsid w:val="00A723F8"/>
    <w:rsid w:val="00A77CCB"/>
    <w:rsid w:val="00A83D8D"/>
    <w:rsid w:val="00A8446B"/>
    <w:rsid w:val="00A8473F"/>
    <w:rsid w:val="00A862D6"/>
    <w:rsid w:val="00A8715E"/>
    <w:rsid w:val="00A9295B"/>
    <w:rsid w:val="00A93B09"/>
    <w:rsid w:val="00A94D41"/>
    <w:rsid w:val="00A952D7"/>
    <w:rsid w:val="00A963F7"/>
    <w:rsid w:val="00A96AD8"/>
    <w:rsid w:val="00AA052C"/>
    <w:rsid w:val="00AA1E45"/>
    <w:rsid w:val="00AA4286"/>
    <w:rsid w:val="00AA456B"/>
    <w:rsid w:val="00AA57F5"/>
    <w:rsid w:val="00AA672E"/>
    <w:rsid w:val="00AA6EC9"/>
    <w:rsid w:val="00AB6309"/>
    <w:rsid w:val="00AB6C5F"/>
    <w:rsid w:val="00AB7129"/>
    <w:rsid w:val="00AC27A6"/>
    <w:rsid w:val="00AC30F7"/>
    <w:rsid w:val="00AC3A5A"/>
    <w:rsid w:val="00AC4D95"/>
    <w:rsid w:val="00AC5DF4"/>
    <w:rsid w:val="00AD07B7"/>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AF7015"/>
    <w:rsid w:val="00B049AF"/>
    <w:rsid w:val="00B07242"/>
    <w:rsid w:val="00B10534"/>
    <w:rsid w:val="00B113DB"/>
    <w:rsid w:val="00B11D8A"/>
    <w:rsid w:val="00B12981"/>
    <w:rsid w:val="00B147DD"/>
    <w:rsid w:val="00B156FD"/>
    <w:rsid w:val="00B21F61"/>
    <w:rsid w:val="00B261F1"/>
    <w:rsid w:val="00B265BC"/>
    <w:rsid w:val="00B30984"/>
    <w:rsid w:val="00B30C38"/>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7C9A"/>
    <w:rsid w:val="00BB5F8F"/>
    <w:rsid w:val="00BB657A"/>
    <w:rsid w:val="00BC1A4E"/>
    <w:rsid w:val="00BC4D79"/>
    <w:rsid w:val="00BC5DC7"/>
    <w:rsid w:val="00BC6B8B"/>
    <w:rsid w:val="00BC73D8"/>
    <w:rsid w:val="00BD1D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3319"/>
    <w:rsid w:val="00C13EE9"/>
    <w:rsid w:val="00C21540"/>
    <w:rsid w:val="00C21906"/>
    <w:rsid w:val="00C21BFA"/>
    <w:rsid w:val="00C227B9"/>
    <w:rsid w:val="00C24C8D"/>
    <w:rsid w:val="00C25FE2"/>
    <w:rsid w:val="00C26B53"/>
    <w:rsid w:val="00C279B2"/>
    <w:rsid w:val="00C33E50"/>
    <w:rsid w:val="00C34C20"/>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7F0"/>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22C"/>
    <w:rsid w:val="00D035EC"/>
    <w:rsid w:val="00D06AB1"/>
    <w:rsid w:val="00D06FC1"/>
    <w:rsid w:val="00D072ED"/>
    <w:rsid w:val="00D07A16"/>
    <w:rsid w:val="00D1067E"/>
    <w:rsid w:val="00D10F50"/>
    <w:rsid w:val="00D11272"/>
    <w:rsid w:val="00D126F5"/>
    <w:rsid w:val="00D1489E"/>
    <w:rsid w:val="00D20737"/>
    <w:rsid w:val="00D21E81"/>
    <w:rsid w:val="00D223DE"/>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FE5"/>
    <w:rsid w:val="00DD54B0"/>
    <w:rsid w:val="00DD57EE"/>
    <w:rsid w:val="00DD6BCC"/>
    <w:rsid w:val="00DE0A4B"/>
    <w:rsid w:val="00DE2410"/>
    <w:rsid w:val="00DE2939"/>
    <w:rsid w:val="00DE31CD"/>
    <w:rsid w:val="00DE6E81"/>
    <w:rsid w:val="00DE703F"/>
    <w:rsid w:val="00DE7595"/>
    <w:rsid w:val="00DF1961"/>
    <w:rsid w:val="00DF3C2C"/>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1DC1"/>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3B2"/>
    <w:rsid w:val="00E70F92"/>
    <w:rsid w:val="00E74313"/>
    <w:rsid w:val="00E74C54"/>
    <w:rsid w:val="00E77A03"/>
    <w:rsid w:val="00E822E8"/>
    <w:rsid w:val="00E82554"/>
    <w:rsid w:val="00E82606"/>
    <w:rsid w:val="00E831C1"/>
    <w:rsid w:val="00E846C8"/>
    <w:rsid w:val="00E84957"/>
    <w:rsid w:val="00E84A55"/>
    <w:rsid w:val="00E85BFF"/>
    <w:rsid w:val="00E90391"/>
    <w:rsid w:val="00E906C2"/>
    <w:rsid w:val="00E91E4C"/>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1299"/>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7A9"/>
    <w:rsid w:val="00F16F00"/>
    <w:rsid w:val="00F25BB6"/>
    <w:rsid w:val="00F26B7E"/>
    <w:rsid w:val="00F27A3B"/>
    <w:rsid w:val="00F32780"/>
    <w:rsid w:val="00F33817"/>
    <w:rsid w:val="00F420D5"/>
    <w:rsid w:val="00F42435"/>
    <w:rsid w:val="00F451EA"/>
    <w:rsid w:val="00F45447"/>
    <w:rsid w:val="00F456C6"/>
    <w:rsid w:val="00F4577B"/>
    <w:rsid w:val="00F46496"/>
    <w:rsid w:val="00F474D0"/>
    <w:rsid w:val="00F50179"/>
    <w:rsid w:val="00F515EE"/>
    <w:rsid w:val="00F56511"/>
    <w:rsid w:val="00F6194E"/>
    <w:rsid w:val="00F623AC"/>
    <w:rsid w:val="00F6412A"/>
    <w:rsid w:val="00F65893"/>
    <w:rsid w:val="00F66A4A"/>
    <w:rsid w:val="00F71E22"/>
    <w:rsid w:val="00F72142"/>
    <w:rsid w:val="00F72AE7"/>
    <w:rsid w:val="00F833BA"/>
    <w:rsid w:val="00F84FD0"/>
    <w:rsid w:val="00F859A8"/>
    <w:rsid w:val="00F86D87"/>
    <w:rsid w:val="00F9108B"/>
    <w:rsid w:val="00F9134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 w:val="17556BD0"/>
    <w:rsid w:val="1E9A4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semiHidden="0" w:name="toc 4"/>
    <w:lsdException w:qFormat="1" w:uiPriority="39" w:semiHidden="0" w:name="toc 5"/>
    <w:lsdException w:uiPriority="39" w:semiHidden="0" w:name="toc 6"/>
    <w:lsdException w:qFormat="1" w:uiPriority="39" w:semiHidden="0" w:name="toc 7"/>
    <w:lsdException w:uiPriority="0" w:name="toc 8"/>
    <w:lsdException w:uiPriority="0" w:name="toc 9"/>
    <w:lsdException w:qFormat="1" w:unhideWhenUsed="0" w:uiPriority="0" w:semiHidden="0" w:name="Normal Indent"/>
    <w:lsdException w:qFormat="1" w:unhideWhenUsed="0" w:uiPriority="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nhideWhenUsed="0" w:uiPriority="0" w:name="table of figures"/>
    <w:lsdException w:uiPriority="99" w:name="envelope address"/>
    <w:lsdException w:uiPriority="99" w:name="envelope return"/>
    <w:lsdException w:qFormat="1" w:unhideWhenUsed="0" w:uiPriority="0" w:name="footnote reference"/>
    <w:lsdException w:uiPriority="99" w:name="annotation reference"/>
    <w:lsdException w:uiPriority="99" w:name="line number"/>
    <w:lsdException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39" w:semiHidden="0" w:name="Table Grid"/>
    <w:lsdException w:uiPriority="99" w:name="Table Theme"/>
    <w:lsdException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adjustRightInd w:val="0"/>
      <w:spacing w:line="400" w:lineRule="exact"/>
      <w:jc w:val="both"/>
    </w:pPr>
    <w:rPr>
      <w:rFonts w:ascii="Calibri" w:hAnsi="Calibri" w:eastAsia="宋体" w:cs="Times New Roman"/>
      <w:kern w:val="2"/>
      <w:sz w:val="21"/>
      <w:szCs w:val="21"/>
      <w:lang w:val="en-US" w:eastAsia="zh-CN" w:bidi="ar-SA"/>
    </w:rPr>
  </w:style>
  <w:style w:type="paragraph" w:styleId="2">
    <w:name w:val="heading 1"/>
    <w:basedOn w:val="1"/>
    <w:next w:val="1"/>
    <w:link w:val="34"/>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35"/>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36"/>
    <w:qFormat/>
    <w:uiPriority w:val="0"/>
    <w:pPr>
      <w:keepNext/>
      <w:keepLines/>
      <w:spacing w:before="260" w:after="260" w:line="416" w:lineRule="auto"/>
      <w:outlineLvl w:val="2"/>
    </w:pPr>
    <w:rPr>
      <w:b/>
      <w:bCs/>
      <w:sz w:val="32"/>
      <w:szCs w:val="32"/>
    </w:rPr>
  </w:style>
  <w:style w:type="paragraph" w:styleId="5">
    <w:name w:val="heading 4"/>
    <w:basedOn w:val="1"/>
    <w:next w:val="1"/>
    <w:link w:val="37"/>
    <w:qFormat/>
    <w:uiPriority w:val="0"/>
    <w:pPr>
      <w:keepNext/>
      <w:keepLines/>
      <w:spacing w:before="280" w:after="290" w:line="376" w:lineRule="auto"/>
      <w:outlineLvl w:val="3"/>
    </w:pPr>
    <w:rPr>
      <w:rFonts w:ascii="Arial" w:hAnsi="Arial" w:eastAsia="黑体"/>
      <w:b/>
      <w:bCs/>
      <w:sz w:val="28"/>
      <w:szCs w:val="28"/>
    </w:rPr>
  </w:style>
  <w:style w:type="paragraph" w:styleId="6">
    <w:name w:val="heading 5"/>
    <w:basedOn w:val="1"/>
    <w:next w:val="1"/>
    <w:link w:val="38"/>
    <w:qFormat/>
    <w:uiPriority w:val="0"/>
    <w:pPr>
      <w:keepNext/>
      <w:keepLines/>
      <w:adjustRightInd/>
      <w:spacing w:before="280" w:after="290" w:line="376" w:lineRule="auto"/>
      <w:outlineLvl w:val="4"/>
    </w:pPr>
    <w:rPr>
      <w:b/>
      <w:bCs/>
      <w:sz w:val="28"/>
      <w:szCs w:val="28"/>
    </w:rPr>
  </w:style>
  <w:style w:type="paragraph" w:styleId="7">
    <w:name w:val="heading 6"/>
    <w:basedOn w:val="1"/>
    <w:next w:val="1"/>
    <w:link w:val="39"/>
    <w:qFormat/>
    <w:uiPriority w:val="0"/>
    <w:pPr>
      <w:keepNext/>
      <w:keepLines/>
      <w:adjustRightInd/>
      <w:spacing w:before="240" w:after="64" w:line="320" w:lineRule="auto"/>
      <w:outlineLvl w:val="5"/>
    </w:pPr>
    <w:rPr>
      <w:rFonts w:ascii="Arial" w:hAnsi="Arial" w:eastAsia="黑体"/>
      <w:b/>
      <w:bCs/>
      <w:sz w:val="24"/>
      <w:szCs w:val="24"/>
    </w:rPr>
  </w:style>
  <w:style w:type="paragraph" w:styleId="8">
    <w:name w:val="heading 7"/>
    <w:basedOn w:val="1"/>
    <w:next w:val="1"/>
    <w:link w:val="40"/>
    <w:qFormat/>
    <w:uiPriority w:val="0"/>
    <w:pPr>
      <w:keepNext/>
      <w:keepLines/>
      <w:adjustRightInd/>
      <w:spacing w:before="240" w:after="64" w:line="320" w:lineRule="auto"/>
      <w:outlineLvl w:val="6"/>
    </w:pPr>
    <w:rPr>
      <w:b/>
      <w:bCs/>
      <w:sz w:val="24"/>
      <w:szCs w:val="24"/>
    </w:rPr>
  </w:style>
  <w:style w:type="paragraph" w:styleId="9">
    <w:name w:val="heading 8"/>
    <w:basedOn w:val="1"/>
    <w:next w:val="1"/>
    <w:link w:val="41"/>
    <w:qFormat/>
    <w:uiPriority w:val="0"/>
    <w:pPr>
      <w:keepNext/>
      <w:keepLines/>
      <w:adjustRightInd/>
      <w:spacing w:before="240" w:after="64" w:line="320" w:lineRule="auto"/>
      <w:outlineLvl w:val="7"/>
    </w:pPr>
    <w:rPr>
      <w:rFonts w:ascii="Arial" w:hAnsi="Arial" w:eastAsia="黑体"/>
      <w:sz w:val="24"/>
      <w:szCs w:val="24"/>
    </w:rPr>
  </w:style>
  <w:style w:type="paragraph" w:styleId="10">
    <w:name w:val="heading 9"/>
    <w:basedOn w:val="1"/>
    <w:next w:val="1"/>
    <w:link w:val="42"/>
    <w:qFormat/>
    <w:uiPriority w:val="0"/>
    <w:pPr>
      <w:keepNext/>
      <w:keepLines/>
      <w:adjustRightInd/>
      <w:spacing w:before="240" w:after="64" w:line="320" w:lineRule="auto"/>
      <w:outlineLvl w:val="8"/>
    </w:pPr>
    <w:rPr>
      <w:rFonts w:ascii="Arial" w:hAnsi="Arial" w:eastAsia="黑体"/>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11">
    <w:name w:val="toc 7"/>
    <w:basedOn w:val="1"/>
    <w:next w:val="1"/>
    <w:autoRedefine/>
    <w:unhideWhenUsed/>
    <w:qFormat/>
    <w:uiPriority w:val="39"/>
    <w:pPr>
      <w:tabs>
        <w:tab w:val="right" w:leader="dot" w:pos="9344"/>
      </w:tabs>
      <w:spacing w:line="300" w:lineRule="exact"/>
      <w:ind w:left="1259"/>
    </w:pPr>
    <w:rPr>
      <w:rFonts w:ascii="宋体"/>
    </w:rPr>
  </w:style>
  <w:style w:type="paragraph" w:styleId="12">
    <w:name w:val="Normal Indent"/>
    <w:basedOn w:val="1"/>
    <w:qFormat/>
    <w:uiPriority w:val="0"/>
    <w:pPr>
      <w:ind w:firstLine="420"/>
    </w:pPr>
  </w:style>
  <w:style w:type="paragraph" w:styleId="13">
    <w:name w:val="Body Text"/>
    <w:basedOn w:val="1"/>
    <w:link w:val="86"/>
    <w:qFormat/>
    <w:uiPriority w:val="0"/>
    <w:pPr>
      <w:spacing w:after="120"/>
    </w:pPr>
  </w:style>
  <w:style w:type="paragraph" w:styleId="14">
    <w:name w:val="toc 5"/>
    <w:basedOn w:val="1"/>
    <w:next w:val="1"/>
    <w:autoRedefine/>
    <w:unhideWhenUsed/>
    <w:qFormat/>
    <w:uiPriority w:val="39"/>
    <w:pPr>
      <w:ind w:left="839"/>
    </w:pPr>
    <w:rPr>
      <w:rFonts w:ascii="宋体"/>
    </w:rPr>
  </w:style>
  <w:style w:type="paragraph" w:styleId="15">
    <w:name w:val="toc 3"/>
    <w:basedOn w:val="1"/>
    <w:next w:val="1"/>
    <w:autoRedefine/>
    <w:unhideWhenUsed/>
    <w:qFormat/>
    <w:uiPriority w:val="39"/>
    <w:pPr>
      <w:spacing w:line="300" w:lineRule="exact"/>
      <w:ind w:left="420"/>
    </w:pPr>
    <w:rPr>
      <w:rFonts w:ascii="宋体"/>
    </w:rPr>
  </w:style>
  <w:style w:type="paragraph" w:styleId="16">
    <w:name w:val="Balloon Text"/>
    <w:basedOn w:val="1"/>
    <w:link w:val="45"/>
    <w:semiHidden/>
    <w:unhideWhenUsed/>
    <w:qFormat/>
    <w:uiPriority w:val="99"/>
    <w:rPr>
      <w:sz w:val="18"/>
      <w:szCs w:val="18"/>
    </w:rPr>
  </w:style>
  <w:style w:type="paragraph" w:styleId="17">
    <w:name w:val="footer"/>
    <w:basedOn w:val="1"/>
    <w:link w:val="44"/>
    <w:qFormat/>
    <w:uiPriority w:val="99"/>
    <w:pPr>
      <w:tabs>
        <w:tab w:val="center" w:pos="4153"/>
        <w:tab w:val="right" w:pos="8306"/>
      </w:tabs>
      <w:adjustRightInd/>
      <w:snapToGrid w:val="0"/>
      <w:spacing w:line="240" w:lineRule="auto"/>
      <w:jc w:val="right"/>
    </w:pPr>
    <w:rPr>
      <w:rFonts w:ascii="宋体"/>
      <w:sz w:val="18"/>
      <w:szCs w:val="18"/>
    </w:rPr>
  </w:style>
  <w:style w:type="paragraph" w:styleId="18">
    <w:name w:val="header"/>
    <w:basedOn w:val="1"/>
    <w:link w:val="43"/>
    <w:qFormat/>
    <w:uiPriority w:val="99"/>
    <w:pPr>
      <w:tabs>
        <w:tab w:val="center" w:pos="4153"/>
        <w:tab w:val="right" w:pos="8306"/>
      </w:tabs>
      <w:adjustRightInd/>
      <w:snapToGrid w:val="0"/>
      <w:jc w:val="center"/>
    </w:pPr>
    <w:rPr>
      <w:sz w:val="18"/>
      <w:szCs w:val="18"/>
    </w:rPr>
  </w:style>
  <w:style w:type="paragraph" w:styleId="19">
    <w:name w:val="toc 1"/>
    <w:basedOn w:val="1"/>
    <w:next w:val="1"/>
    <w:autoRedefine/>
    <w:unhideWhenUsed/>
    <w:qFormat/>
    <w:uiPriority w:val="39"/>
    <w:rPr>
      <w:rFonts w:ascii="宋体"/>
    </w:rPr>
  </w:style>
  <w:style w:type="paragraph" w:styleId="20">
    <w:name w:val="toc 4"/>
    <w:basedOn w:val="1"/>
    <w:next w:val="1"/>
    <w:autoRedefine/>
    <w:unhideWhenUsed/>
    <w:uiPriority w:val="39"/>
    <w:pPr>
      <w:tabs>
        <w:tab w:val="right" w:leader="dot" w:pos="9344"/>
      </w:tabs>
      <w:spacing w:line="300" w:lineRule="exact"/>
      <w:ind w:left="629"/>
    </w:pPr>
    <w:rPr>
      <w:rFonts w:ascii="宋体"/>
    </w:rPr>
  </w:style>
  <w:style w:type="paragraph" w:styleId="21">
    <w:name w:val="footnote text"/>
    <w:basedOn w:val="1"/>
    <w:next w:val="1"/>
    <w:link w:val="99"/>
    <w:semiHidden/>
    <w:qFormat/>
    <w:uiPriority w:val="0"/>
    <w:pPr>
      <w:adjustRightInd/>
      <w:snapToGrid w:val="0"/>
      <w:spacing w:line="300" w:lineRule="exact"/>
      <w:ind w:left="400" w:leftChars="200" w:hanging="200" w:hangingChars="200"/>
      <w:jc w:val="left"/>
    </w:pPr>
    <w:rPr>
      <w:rFonts w:ascii="宋体"/>
      <w:sz w:val="18"/>
      <w:szCs w:val="18"/>
    </w:rPr>
  </w:style>
  <w:style w:type="paragraph" w:styleId="22">
    <w:name w:val="toc 6"/>
    <w:basedOn w:val="1"/>
    <w:next w:val="1"/>
    <w:autoRedefine/>
    <w:unhideWhenUsed/>
    <w:uiPriority w:val="39"/>
    <w:pPr>
      <w:spacing w:line="300" w:lineRule="exact"/>
      <w:ind w:left="1049"/>
    </w:pPr>
    <w:rPr>
      <w:rFonts w:ascii="宋体"/>
    </w:rPr>
  </w:style>
  <w:style w:type="paragraph" w:styleId="23">
    <w:name w:val="table of figures"/>
    <w:basedOn w:val="1"/>
    <w:next w:val="1"/>
    <w:semiHidden/>
    <w:uiPriority w:val="0"/>
    <w:pPr>
      <w:adjustRightInd/>
      <w:spacing w:line="240" w:lineRule="auto"/>
      <w:jc w:val="left"/>
    </w:pPr>
    <w:rPr>
      <w:szCs w:val="24"/>
    </w:rPr>
  </w:style>
  <w:style w:type="paragraph" w:styleId="24">
    <w:name w:val="toc 2"/>
    <w:basedOn w:val="1"/>
    <w:next w:val="1"/>
    <w:autoRedefine/>
    <w:unhideWhenUsed/>
    <w:qFormat/>
    <w:uiPriority w:val="39"/>
    <w:pPr>
      <w:tabs>
        <w:tab w:val="right" w:leader="dot" w:pos="9344"/>
      </w:tabs>
      <w:spacing w:line="300" w:lineRule="exact"/>
      <w:ind w:left="210"/>
    </w:pPr>
    <w:rPr>
      <w:rFonts w:ascii="宋体"/>
    </w:rPr>
  </w:style>
  <w:style w:type="paragraph" w:styleId="25">
    <w:name w:val="Title"/>
    <w:basedOn w:val="1"/>
    <w:link w:val="48"/>
    <w:qFormat/>
    <w:uiPriority w:val="0"/>
    <w:pPr>
      <w:spacing w:before="240" w:after="60"/>
      <w:jc w:val="center"/>
      <w:outlineLvl w:val="0"/>
    </w:pPr>
    <w:rPr>
      <w:rFonts w:ascii="Arial" w:hAnsi="Arial" w:cs="Arial"/>
      <w:b/>
      <w:bCs/>
      <w:sz w:val="32"/>
      <w:szCs w:val="32"/>
    </w:rPr>
  </w:style>
  <w:style w:type="table" w:styleId="27">
    <w:name w:val="Table Grid"/>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qFormat/>
    <w:uiPriority w:val="22"/>
    <w:rPr>
      <w:b/>
      <w:bCs/>
    </w:rPr>
  </w:style>
  <w:style w:type="character" w:styleId="30">
    <w:name w:val="page number"/>
    <w:uiPriority w:val="0"/>
    <w:rPr>
      <w:rFonts w:ascii="宋体" w:hAnsi="Times New Roman" w:eastAsia="宋体"/>
      <w:sz w:val="18"/>
    </w:rPr>
  </w:style>
  <w:style w:type="character" w:styleId="31">
    <w:name w:val="Emphasis"/>
    <w:qFormat/>
    <w:uiPriority w:val="20"/>
    <w:rPr>
      <w:i/>
      <w:iCs/>
    </w:rPr>
  </w:style>
  <w:style w:type="character" w:styleId="32">
    <w:name w:val="Hyperlink"/>
    <w:qFormat/>
    <w:uiPriority w:val="99"/>
    <w:rPr>
      <w:rFonts w:ascii="宋体" w:hAnsi="Times New Roman" w:eastAsia="宋体"/>
      <w:color w:val="auto"/>
      <w:spacing w:val="0"/>
      <w:w w:val="100"/>
      <w:position w:val="0"/>
      <w:sz w:val="21"/>
      <w:u w:val="none"/>
      <w:vertAlign w:val="baseline"/>
    </w:rPr>
  </w:style>
  <w:style w:type="character" w:styleId="33">
    <w:name w:val="footnote reference"/>
    <w:semiHidden/>
    <w:qFormat/>
    <w:uiPriority w:val="0"/>
    <w:rPr>
      <w:rFonts w:ascii="宋体" w:hAnsi="宋体" w:eastAsia="宋体" w:cs="Times New Roman"/>
      <w:spacing w:val="0"/>
      <w:sz w:val="18"/>
      <w:vertAlign w:val="superscript"/>
    </w:rPr>
  </w:style>
  <w:style w:type="character" w:customStyle="1" w:styleId="34">
    <w:name w:val="标题 1 字符"/>
    <w:link w:val="2"/>
    <w:qFormat/>
    <w:uiPriority w:val="0"/>
    <w:rPr>
      <w:b/>
      <w:bCs/>
      <w:kern w:val="44"/>
      <w:sz w:val="44"/>
      <w:szCs w:val="44"/>
    </w:rPr>
  </w:style>
  <w:style w:type="character" w:customStyle="1" w:styleId="35">
    <w:name w:val="标题 2 字符"/>
    <w:link w:val="3"/>
    <w:qFormat/>
    <w:uiPriority w:val="0"/>
    <w:rPr>
      <w:rFonts w:ascii="Arial" w:hAnsi="Arial" w:eastAsia="黑体"/>
      <w:b/>
      <w:bCs/>
      <w:kern w:val="2"/>
      <w:sz w:val="32"/>
      <w:szCs w:val="32"/>
    </w:rPr>
  </w:style>
  <w:style w:type="character" w:customStyle="1" w:styleId="36">
    <w:name w:val="标题 3 字符"/>
    <w:link w:val="4"/>
    <w:qFormat/>
    <w:uiPriority w:val="0"/>
    <w:rPr>
      <w:b/>
      <w:bCs/>
      <w:kern w:val="2"/>
      <w:sz w:val="32"/>
      <w:szCs w:val="32"/>
    </w:rPr>
  </w:style>
  <w:style w:type="character" w:customStyle="1" w:styleId="37">
    <w:name w:val="标题 4 字符"/>
    <w:link w:val="5"/>
    <w:qFormat/>
    <w:uiPriority w:val="0"/>
    <w:rPr>
      <w:rFonts w:ascii="Arial" w:hAnsi="Arial" w:eastAsia="黑体"/>
      <w:b/>
      <w:bCs/>
      <w:kern w:val="2"/>
      <w:sz w:val="28"/>
      <w:szCs w:val="28"/>
    </w:rPr>
  </w:style>
  <w:style w:type="character" w:customStyle="1" w:styleId="38">
    <w:name w:val="标题 5 字符"/>
    <w:link w:val="6"/>
    <w:qFormat/>
    <w:uiPriority w:val="0"/>
    <w:rPr>
      <w:b/>
      <w:bCs/>
      <w:kern w:val="2"/>
      <w:sz w:val="28"/>
      <w:szCs w:val="28"/>
    </w:rPr>
  </w:style>
  <w:style w:type="character" w:customStyle="1" w:styleId="39">
    <w:name w:val="标题 6 字符"/>
    <w:link w:val="7"/>
    <w:qFormat/>
    <w:uiPriority w:val="0"/>
    <w:rPr>
      <w:rFonts w:ascii="Arial" w:hAnsi="Arial" w:eastAsia="黑体"/>
      <w:b/>
      <w:bCs/>
      <w:kern w:val="2"/>
      <w:sz w:val="24"/>
      <w:szCs w:val="24"/>
    </w:rPr>
  </w:style>
  <w:style w:type="character" w:customStyle="1" w:styleId="40">
    <w:name w:val="标题 7 字符"/>
    <w:link w:val="8"/>
    <w:qFormat/>
    <w:uiPriority w:val="0"/>
    <w:rPr>
      <w:b/>
      <w:bCs/>
      <w:kern w:val="2"/>
      <w:sz w:val="24"/>
      <w:szCs w:val="24"/>
    </w:rPr>
  </w:style>
  <w:style w:type="character" w:customStyle="1" w:styleId="41">
    <w:name w:val="标题 8 字符"/>
    <w:link w:val="9"/>
    <w:qFormat/>
    <w:uiPriority w:val="0"/>
    <w:rPr>
      <w:rFonts w:ascii="Arial" w:hAnsi="Arial" w:eastAsia="黑体"/>
      <w:kern w:val="2"/>
      <w:sz w:val="24"/>
      <w:szCs w:val="24"/>
    </w:rPr>
  </w:style>
  <w:style w:type="character" w:customStyle="1" w:styleId="42">
    <w:name w:val="标题 9 字符"/>
    <w:link w:val="10"/>
    <w:qFormat/>
    <w:uiPriority w:val="0"/>
    <w:rPr>
      <w:rFonts w:ascii="Arial" w:hAnsi="Arial" w:eastAsia="黑体"/>
      <w:kern w:val="2"/>
      <w:sz w:val="21"/>
      <w:szCs w:val="21"/>
    </w:rPr>
  </w:style>
  <w:style w:type="character" w:customStyle="1" w:styleId="43">
    <w:name w:val="页眉 字符"/>
    <w:link w:val="18"/>
    <w:qFormat/>
    <w:uiPriority w:val="99"/>
    <w:rPr>
      <w:kern w:val="2"/>
      <w:sz w:val="18"/>
      <w:szCs w:val="18"/>
    </w:rPr>
  </w:style>
  <w:style w:type="character" w:customStyle="1" w:styleId="44">
    <w:name w:val="页脚 字符"/>
    <w:link w:val="17"/>
    <w:qFormat/>
    <w:uiPriority w:val="99"/>
    <w:rPr>
      <w:rFonts w:ascii="宋体"/>
      <w:kern w:val="2"/>
      <w:sz w:val="18"/>
      <w:szCs w:val="18"/>
    </w:rPr>
  </w:style>
  <w:style w:type="character" w:customStyle="1" w:styleId="45">
    <w:name w:val="批注框文本 字符"/>
    <w:link w:val="16"/>
    <w:semiHidden/>
    <w:qFormat/>
    <w:uiPriority w:val="99"/>
    <w:rPr>
      <w:kern w:val="2"/>
      <w:sz w:val="18"/>
      <w:szCs w:val="18"/>
    </w:rPr>
  </w:style>
  <w:style w:type="paragraph" w:styleId="46">
    <w:name w:val="Quote"/>
    <w:basedOn w:val="1"/>
    <w:next w:val="1"/>
    <w:link w:val="47"/>
    <w:qFormat/>
    <w:uiPriority w:val="29"/>
    <w:rPr>
      <w:i/>
      <w:iCs/>
      <w:color w:val="000000"/>
    </w:rPr>
  </w:style>
  <w:style w:type="character" w:customStyle="1" w:styleId="47">
    <w:name w:val="引用 字符"/>
    <w:link w:val="46"/>
    <w:qFormat/>
    <w:uiPriority w:val="29"/>
    <w:rPr>
      <w:i/>
      <w:iCs/>
      <w:color w:val="000000"/>
      <w:kern w:val="2"/>
      <w:sz w:val="21"/>
      <w:szCs w:val="21"/>
    </w:rPr>
  </w:style>
  <w:style w:type="character" w:customStyle="1" w:styleId="48">
    <w:name w:val="标题 字符"/>
    <w:link w:val="25"/>
    <w:qFormat/>
    <w:uiPriority w:val="0"/>
    <w:rPr>
      <w:rFonts w:ascii="Arial" w:hAnsi="Arial" w:cs="Arial"/>
      <w:b/>
      <w:bCs/>
      <w:kern w:val="2"/>
      <w:sz w:val="32"/>
      <w:szCs w:val="32"/>
    </w:rPr>
  </w:style>
  <w:style w:type="paragraph" w:customStyle="1" w:styleId="49">
    <w:name w:val="标准标志"/>
    <w:next w:val="1"/>
    <w:qFormat/>
    <w:uiPriority w:val="0"/>
    <w:pPr>
      <w:framePr w:w="2268" w:h="1392" w:hRule="exact" w:wrap="around" w:vAnchor="margin" w:hAnchor="margin" w:x="6748" w:y="171" w:anchorLock="1"/>
      <w:shd w:val="solid" w:color="FFFFFF" w:fill="FFFFFF"/>
      <w:spacing w:line="0" w:lineRule="atLeast"/>
      <w:jc w:val="right"/>
    </w:pPr>
    <w:rPr>
      <w:rFonts w:ascii="Times New Roman" w:hAnsi="Times New Roman" w:eastAsia="宋体" w:cs="Times New Roman"/>
      <w:b/>
      <w:w w:val="130"/>
      <w:sz w:val="96"/>
      <w:lang w:val="en-US" w:eastAsia="zh-CN" w:bidi="ar-SA"/>
    </w:rPr>
  </w:style>
  <w:style w:type="paragraph" w:customStyle="1" w:styleId="50">
    <w:name w:val="标准称谓"/>
    <w:next w:val="1"/>
    <w:qFormat/>
    <w:uiPriority w:val="0"/>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eastAsia="宋体" w:cs="Times New Roman"/>
      <w:b/>
      <w:bCs/>
      <w:w w:val="148"/>
      <w:sz w:val="52"/>
      <w:lang w:val="en-US" w:eastAsia="zh-CN" w:bidi="ar-SA"/>
    </w:rPr>
  </w:style>
  <w:style w:type="paragraph" w:customStyle="1" w:styleId="51">
    <w:name w:val="标准文件_页脚偶数页"/>
    <w:qFormat/>
    <w:uiPriority w:val="0"/>
    <w:pPr>
      <w:ind w:left="198"/>
    </w:pPr>
    <w:rPr>
      <w:rFonts w:ascii="宋体" w:hAnsi="Times New Roman" w:eastAsia="宋体" w:cs="Times New Roman"/>
      <w:sz w:val="18"/>
      <w:lang w:val="en-US" w:eastAsia="zh-CN" w:bidi="ar-SA"/>
    </w:rPr>
  </w:style>
  <w:style w:type="paragraph" w:customStyle="1" w:styleId="52">
    <w:name w:val="标准文件_页脚奇数页"/>
    <w:qFormat/>
    <w:uiPriority w:val="0"/>
    <w:pPr>
      <w:ind w:right="227"/>
      <w:jc w:val="right"/>
    </w:pPr>
    <w:rPr>
      <w:rFonts w:ascii="宋体" w:hAnsi="Times New Roman" w:eastAsia="宋体" w:cs="Times New Roman"/>
      <w:sz w:val="18"/>
      <w:lang w:val="en-US" w:eastAsia="zh-CN" w:bidi="ar-SA"/>
    </w:rPr>
  </w:style>
  <w:style w:type="paragraph" w:customStyle="1" w:styleId="53">
    <w:name w:val="标准书眉一"/>
    <w:qFormat/>
    <w:uiPriority w:val="0"/>
    <w:pPr>
      <w:jc w:val="both"/>
    </w:pPr>
    <w:rPr>
      <w:rFonts w:ascii="Times New Roman" w:hAnsi="Times New Roman" w:eastAsia="宋体" w:cs="Times New Roman"/>
      <w:lang w:val="en-US" w:eastAsia="zh-CN" w:bidi="ar-SA"/>
    </w:rPr>
  </w:style>
  <w:style w:type="paragraph" w:customStyle="1" w:styleId="54">
    <w:name w:val="标准文件_ICS"/>
    <w:basedOn w:val="1"/>
    <w:qFormat/>
    <w:uiPriority w:val="0"/>
    <w:pPr>
      <w:spacing w:line="0" w:lineRule="atLeast"/>
    </w:pPr>
    <w:rPr>
      <w:rFonts w:ascii="黑体" w:hAnsi="宋体" w:eastAsia="黑体"/>
    </w:rPr>
  </w:style>
  <w:style w:type="paragraph" w:customStyle="1" w:styleId="55">
    <w:name w:val="标准文件_标准正文"/>
    <w:basedOn w:val="1"/>
    <w:next w:val="56"/>
    <w:qFormat/>
    <w:uiPriority w:val="0"/>
    <w:pPr>
      <w:snapToGrid w:val="0"/>
      <w:ind w:firstLine="200" w:firstLineChars="200"/>
    </w:pPr>
    <w:rPr>
      <w:kern w:val="0"/>
    </w:rPr>
  </w:style>
  <w:style w:type="paragraph" w:customStyle="1" w:styleId="56">
    <w:name w:val="标准文件_段"/>
    <w:link w:val="184"/>
    <w:qFormat/>
    <w:uiPriority w:val="0"/>
    <w:pPr>
      <w:autoSpaceDE w:val="0"/>
      <w:autoSpaceDN w:val="0"/>
      <w:ind w:firstLine="200" w:firstLineChars="200"/>
      <w:jc w:val="both"/>
    </w:pPr>
    <w:rPr>
      <w:rFonts w:ascii="Times New Roman" w:hAnsi="Times New Roman" w:eastAsia="宋体" w:cs="Times New Roman"/>
      <w:sz w:val="21"/>
      <w:lang w:val="en-US" w:eastAsia="zh-CN" w:bidi="ar-SA"/>
    </w:rPr>
  </w:style>
  <w:style w:type="paragraph" w:customStyle="1" w:styleId="57">
    <w:name w:val="标准文件_版本"/>
    <w:basedOn w:val="55"/>
    <w:qFormat/>
    <w:uiPriority w:val="0"/>
    <w:pPr>
      <w:adjustRightInd/>
      <w:snapToGrid/>
      <w:ind w:firstLine="0" w:firstLineChars="0"/>
    </w:pPr>
    <w:rPr>
      <w:rFonts w:ascii="宋体" w:hAnsi="宋体"/>
      <w:kern w:val="2"/>
    </w:rPr>
  </w:style>
  <w:style w:type="paragraph" w:customStyle="1" w:styleId="58">
    <w:name w:val="标准文件_标准部门"/>
    <w:basedOn w:val="1"/>
    <w:qFormat/>
    <w:uiPriority w:val="0"/>
    <w:pPr>
      <w:jc w:val="center"/>
    </w:pPr>
    <w:rPr>
      <w:rFonts w:ascii="黑体" w:eastAsia="黑体"/>
      <w:kern w:val="0"/>
      <w:sz w:val="44"/>
    </w:rPr>
  </w:style>
  <w:style w:type="paragraph" w:customStyle="1" w:styleId="59">
    <w:name w:val="标准文件_标准代替"/>
    <w:basedOn w:val="1"/>
    <w:next w:val="1"/>
    <w:qFormat/>
    <w:uiPriority w:val="0"/>
    <w:pPr>
      <w:spacing w:line="310" w:lineRule="exact"/>
      <w:jc w:val="right"/>
    </w:pPr>
    <w:rPr>
      <w:rFonts w:ascii="宋体" w:hAnsi="宋体"/>
      <w:kern w:val="0"/>
    </w:rPr>
  </w:style>
  <w:style w:type="paragraph" w:customStyle="1" w:styleId="60">
    <w:name w:val="标准文件_标准名称标题"/>
    <w:basedOn w:val="1"/>
    <w:next w:val="1"/>
    <w:qFormat/>
    <w:uiPriority w:val="0"/>
    <w:pPr>
      <w:widowControl/>
      <w:shd w:val="clear" w:color="FFFFFF" w:fill="FFFFFF"/>
      <w:adjustRightInd/>
      <w:spacing w:before="640" w:after="100"/>
      <w:jc w:val="center"/>
    </w:pPr>
    <w:rPr>
      <w:rFonts w:ascii="黑体" w:eastAsia="黑体"/>
      <w:kern w:val="0"/>
      <w:sz w:val="32"/>
    </w:rPr>
  </w:style>
  <w:style w:type="paragraph" w:customStyle="1" w:styleId="61">
    <w:name w:val="标准文件_页眉奇数页"/>
    <w:next w:val="1"/>
    <w:qFormat/>
    <w:uiPriority w:val="0"/>
    <w:pPr>
      <w:tabs>
        <w:tab w:val="center" w:pos="4154"/>
        <w:tab w:val="right" w:pos="8306"/>
      </w:tabs>
      <w:spacing w:after="120"/>
      <w:jc w:val="right"/>
    </w:pPr>
    <w:rPr>
      <w:rFonts w:ascii="黑体" w:hAnsi="宋体" w:eastAsia="黑体" w:cs="Times New Roman"/>
      <w:sz w:val="21"/>
      <w:lang w:val="en-US" w:eastAsia="zh-CN" w:bidi="ar-SA"/>
    </w:rPr>
  </w:style>
  <w:style w:type="paragraph" w:customStyle="1" w:styleId="62">
    <w:name w:val="标准文件_页眉偶数页"/>
    <w:basedOn w:val="61"/>
    <w:next w:val="1"/>
    <w:qFormat/>
    <w:uiPriority w:val="0"/>
    <w:pPr>
      <w:jc w:val="left"/>
    </w:pPr>
  </w:style>
  <w:style w:type="paragraph" w:customStyle="1" w:styleId="63">
    <w:name w:val="标准文件_参考文献标题"/>
    <w:basedOn w:val="1"/>
    <w:next w:val="1"/>
    <w:qFormat/>
    <w:uiPriority w:val="0"/>
    <w:pPr>
      <w:widowControl/>
      <w:shd w:val="clear" w:color="FFFFFF" w:fill="FFFFFF"/>
      <w:adjustRightInd/>
      <w:spacing w:before="560" w:after="50" w:afterLines="50" w:line="240" w:lineRule="auto"/>
      <w:jc w:val="center"/>
      <w:outlineLvl w:val="0"/>
    </w:pPr>
    <w:rPr>
      <w:rFonts w:ascii="黑体" w:eastAsia="黑体"/>
      <w:kern w:val="0"/>
    </w:rPr>
  </w:style>
  <w:style w:type="paragraph" w:customStyle="1" w:styleId="64">
    <w:name w:val="标准文件_参考文献条目"/>
    <w:qFormat/>
    <w:uiPriority w:val="0"/>
    <w:pPr>
      <w:numPr>
        <w:ilvl w:val="0"/>
        <w:numId w:val="1"/>
      </w:numPr>
    </w:pPr>
    <w:rPr>
      <w:rFonts w:ascii="宋体" w:hAnsi="Times New Roman" w:eastAsia="宋体" w:cs="Times New Roman"/>
      <w:lang w:val="en-US" w:eastAsia="zh-CN" w:bidi="ar-SA"/>
    </w:rPr>
  </w:style>
  <w:style w:type="paragraph" w:customStyle="1" w:styleId="65">
    <w:name w:val="标准文件_二级条标题"/>
    <w:next w:val="56"/>
    <w:qFormat/>
    <w:uiPriority w:val="0"/>
    <w:pPr>
      <w:widowControl w:val="0"/>
      <w:numPr>
        <w:ilvl w:val="3"/>
        <w:numId w:val="2"/>
      </w:numPr>
      <w:spacing w:before="50" w:beforeLines="50" w:after="50" w:afterLines="50"/>
      <w:ind w:left="0"/>
      <w:jc w:val="both"/>
      <w:outlineLvl w:val="2"/>
    </w:pPr>
    <w:rPr>
      <w:rFonts w:ascii="黑体" w:hAnsi="Times New Roman" w:eastAsia="黑体" w:cs="Times New Roman"/>
      <w:sz w:val="21"/>
      <w:lang w:val="en-US" w:eastAsia="zh-CN" w:bidi="ar-SA"/>
    </w:rPr>
  </w:style>
  <w:style w:type="character" w:customStyle="1" w:styleId="66">
    <w:name w:val="标准文件_发布"/>
    <w:qFormat/>
    <w:uiPriority w:val="0"/>
    <w:rPr>
      <w:rFonts w:ascii="黑体" w:eastAsia="黑体"/>
      <w:spacing w:val="0"/>
      <w:w w:val="100"/>
      <w:position w:val="3"/>
      <w:sz w:val="28"/>
    </w:rPr>
  </w:style>
  <w:style w:type="paragraph" w:customStyle="1" w:styleId="67">
    <w:name w:val="标准文件_方框数字列项"/>
    <w:basedOn w:val="56"/>
    <w:qFormat/>
    <w:uiPriority w:val="0"/>
    <w:pPr>
      <w:numPr>
        <w:ilvl w:val="0"/>
        <w:numId w:val="3"/>
      </w:numPr>
      <w:ind w:firstLine="0" w:firstLineChars="0"/>
    </w:pPr>
  </w:style>
  <w:style w:type="paragraph" w:customStyle="1" w:styleId="68">
    <w:name w:val="标准文件_封面标准编号"/>
    <w:basedOn w:val="1"/>
    <w:next w:val="59"/>
    <w:qFormat/>
    <w:uiPriority w:val="0"/>
    <w:pPr>
      <w:spacing w:line="310" w:lineRule="exact"/>
      <w:jc w:val="right"/>
    </w:pPr>
    <w:rPr>
      <w:rFonts w:ascii="黑体" w:eastAsia="黑体"/>
      <w:kern w:val="0"/>
      <w:sz w:val="28"/>
    </w:rPr>
  </w:style>
  <w:style w:type="paragraph" w:customStyle="1" w:styleId="69">
    <w:name w:val="标准文件_封面标准分类号"/>
    <w:basedOn w:val="1"/>
    <w:qFormat/>
    <w:uiPriority w:val="0"/>
    <w:rPr>
      <w:rFonts w:ascii="黑体" w:eastAsia="黑体"/>
      <w:b/>
      <w:kern w:val="0"/>
      <w:sz w:val="28"/>
    </w:rPr>
  </w:style>
  <w:style w:type="paragraph" w:customStyle="1" w:styleId="70">
    <w:name w:val="标准文件_封面标准名称"/>
    <w:basedOn w:val="1"/>
    <w:qFormat/>
    <w:uiPriority w:val="0"/>
    <w:pPr>
      <w:spacing w:line="240" w:lineRule="auto"/>
      <w:jc w:val="center"/>
    </w:pPr>
    <w:rPr>
      <w:rFonts w:ascii="黑体" w:eastAsia="黑体"/>
      <w:kern w:val="0"/>
      <w:sz w:val="52"/>
    </w:rPr>
  </w:style>
  <w:style w:type="paragraph" w:customStyle="1" w:styleId="71">
    <w:name w:val="标准文件_封面标准英文名称"/>
    <w:basedOn w:val="1"/>
    <w:qFormat/>
    <w:uiPriority w:val="0"/>
    <w:pPr>
      <w:spacing w:line="240" w:lineRule="auto"/>
      <w:jc w:val="center"/>
    </w:pPr>
    <w:rPr>
      <w:rFonts w:ascii="黑体" w:eastAsia="黑体"/>
      <w:b/>
      <w:sz w:val="28"/>
    </w:rPr>
  </w:style>
  <w:style w:type="paragraph" w:customStyle="1" w:styleId="72">
    <w:name w:val="标准文件_封面发布日期"/>
    <w:basedOn w:val="1"/>
    <w:qFormat/>
    <w:uiPriority w:val="0"/>
    <w:pPr>
      <w:spacing w:line="310" w:lineRule="exact"/>
    </w:pPr>
    <w:rPr>
      <w:rFonts w:ascii="黑体" w:eastAsia="黑体"/>
      <w:kern w:val="0"/>
      <w:sz w:val="28"/>
    </w:rPr>
  </w:style>
  <w:style w:type="paragraph" w:customStyle="1" w:styleId="73">
    <w:name w:val="标准文件_封面密级"/>
    <w:basedOn w:val="1"/>
    <w:qFormat/>
    <w:uiPriority w:val="0"/>
    <w:rPr>
      <w:rFonts w:eastAsia="黑体"/>
      <w:sz w:val="32"/>
    </w:rPr>
  </w:style>
  <w:style w:type="paragraph" w:customStyle="1" w:styleId="74">
    <w:name w:val="标准文件_封面实施日期"/>
    <w:basedOn w:val="1"/>
    <w:qFormat/>
    <w:uiPriority w:val="0"/>
    <w:pPr>
      <w:spacing w:line="310" w:lineRule="exact"/>
      <w:jc w:val="right"/>
    </w:pPr>
    <w:rPr>
      <w:rFonts w:ascii="黑体" w:eastAsia="黑体"/>
      <w:sz w:val="28"/>
    </w:rPr>
  </w:style>
  <w:style w:type="paragraph" w:customStyle="1" w:styleId="75">
    <w:name w:val="标准文件_封面抬头"/>
    <w:basedOn w:val="56"/>
    <w:qFormat/>
    <w:uiPriority w:val="0"/>
    <w:pPr>
      <w:adjustRightInd w:val="0"/>
      <w:spacing w:line="800" w:lineRule="exact"/>
      <w:ind w:firstLine="0" w:firstLineChars="0"/>
      <w:jc w:val="distribute"/>
    </w:pPr>
    <w:rPr>
      <w:rFonts w:ascii="黑体" w:eastAsia="黑体"/>
      <w:b/>
      <w:sz w:val="64"/>
    </w:rPr>
  </w:style>
  <w:style w:type="paragraph" w:customStyle="1" w:styleId="76">
    <w:name w:val="标准文件_附录标识"/>
    <w:next w:val="56"/>
    <w:qFormat/>
    <w:uiPriority w:val="0"/>
    <w:pPr>
      <w:numPr>
        <w:ilvl w:val="0"/>
        <w:numId w:val="4"/>
      </w:numPr>
      <w:shd w:val="clear" w:color="FFFFFF" w:fill="FFFFFF"/>
      <w:tabs>
        <w:tab w:val="left" w:pos="6406"/>
      </w:tabs>
      <w:spacing w:before="560" w:after="50" w:afterLines="50"/>
      <w:jc w:val="center"/>
      <w:outlineLvl w:val="0"/>
    </w:pPr>
    <w:rPr>
      <w:rFonts w:ascii="黑体" w:hAnsi="Times New Roman" w:eastAsia="黑体" w:cs="Times New Roman"/>
      <w:sz w:val="21"/>
      <w:lang w:val="en-US" w:eastAsia="zh-CN" w:bidi="ar-SA"/>
    </w:rPr>
  </w:style>
  <w:style w:type="paragraph" w:customStyle="1" w:styleId="77">
    <w:name w:val="标准文件_附录表标题"/>
    <w:next w:val="56"/>
    <w:qFormat/>
    <w:uiPriority w:val="0"/>
    <w:pPr>
      <w:numPr>
        <w:ilvl w:val="1"/>
        <w:numId w:val="5"/>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78">
    <w:name w:val="标准文件_附录一级条标题"/>
    <w:next w:val="56"/>
    <w:qFormat/>
    <w:uiPriority w:val="0"/>
    <w:pPr>
      <w:widowControl w:val="0"/>
      <w:numPr>
        <w:ilvl w:val="1"/>
        <w:numId w:val="4"/>
      </w:numPr>
      <w:spacing w:before="50" w:beforeLines="50" w:after="50" w:afterLines="50"/>
      <w:jc w:val="both"/>
      <w:outlineLvl w:val="2"/>
    </w:pPr>
    <w:rPr>
      <w:rFonts w:ascii="黑体" w:hAnsi="Times New Roman" w:eastAsia="黑体" w:cs="Times New Roman"/>
      <w:kern w:val="21"/>
      <w:sz w:val="21"/>
      <w:lang w:val="en-US" w:eastAsia="zh-CN" w:bidi="ar-SA"/>
    </w:rPr>
  </w:style>
  <w:style w:type="paragraph" w:customStyle="1" w:styleId="79">
    <w:name w:val="标准文件_附录二级条标题"/>
    <w:basedOn w:val="78"/>
    <w:next w:val="56"/>
    <w:qFormat/>
    <w:uiPriority w:val="0"/>
    <w:pPr>
      <w:widowControl/>
      <w:numPr>
        <w:ilvl w:val="2"/>
      </w:numPr>
      <w:wordWrap w:val="0"/>
      <w:overflowPunct w:val="0"/>
      <w:autoSpaceDE w:val="0"/>
      <w:autoSpaceDN w:val="0"/>
      <w:textAlignment w:val="baseline"/>
      <w:outlineLvl w:val="3"/>
    </w:pPr>
  </w:style>
  <w:style w:type="paragraph" w:customStyle="1" w:styleId="80">
    <w:name w:val="标准文件_附录公式"/>
    <w:basedOn w:val="55"/>
    <w:next w:val="55"/>
    <w:qFormat/>
    <w:uiPriority w:val="0"/>
    <w:pPr>
      <w:tabs>
        <w:tab w:val="center" w:pos="4678"/>
        <w:tab w:val="right" w:leader="middleDot" w:pos="9356"/>
      </w:tabs>
      <w:spacing w:line="240" w:lineRule="auto"/>
      <w:ind w:right="-51" w:firstLine="0" w:firstLineChars="0"/>
    </w:pPr>
    <w:rPr>
      <w:rFonts w:ascii="宋体" w:hAnsi="宋体"/>
    </w:rPr>
  </w:style>
  <w:style w:type="paragraph" w:customStyle="1" w:styleId="81">
    <w:name w:val="标准文件_附录三级条标题"/>
    <w:next w:val="56"/>
    <w:qFormat/>
    <w:uiPriority w:val="0"/>
    <w:pPr>
      <w:widowControl w:val="0"/>
      <w:numPr>
        <w:ilvl w:val="3"/>
        <w:numId w:val="4"/>
      </w:numPr>
      <w:spacing w:before="50" w:beforeLines="50" w:after="50" w:afterLines="50"/>
      <w:jc w:val="both"/>
      <w:outlineLvl w:val="4"/>
    </w:pPr>
    <w:rPr>
      <w:rFonts w:ascii="黑体" w:hAnsi="Times New Roman" w:eastAsia="黑体" w:cs="Times New Roman"/>
      <w:kern w:val="21"/>
      <w:sz w:val="21"/>
      <w:lang w:val="en-US" w:eastAsia="zh-CN" w:bidi="ar-SA"/>
    </w:rPr>
  </w:style>
  <w:style w:type="paragraph" w:customStyle="1" w:styleId="82">
    <w:name w:val="标准文件_附录四级条标题"/>
    <w:next w:val="56"/>
    <w:qFormat/>
    <w:uiPriority w:val="0"/>
    <w:pPr>
      <w:widowControl w:val="0"/>
      <w:numPr>
        <w:ilvl w:val="4"/>
        <w:numId w:val="4"/>
      </w:numPr>
      <w:spacing w:before="50" w:beforeLines="50" w:after="50" w:afterLines="50"/>
      <w:jc w:val="both"/>
      <w:outlineLvl w:val="5"/>
    </w:pPr>
    <w:rPr>
      <w:rFonts w:ascii="黑体" w:hAnsi="Times New Roman" w:eastAsia="黑体" w:cs="Times New Roman"/>
      <w:kern w:val="21"/>
      <w:sz w:val="21"/>
      <w:lang w:val="en-US" w:eastAsia="zh-CN" w:bidi="ar-SA"/>
    </w:rPr>
  </w:style>
  <w:style w:type="paragraph" w:customStyle="1" w:styleId="83">
    <w:name w:val="标准文件_附录图标题"/>
    <w:next w:val="56"/>
    <w:qFormat/>
    <w:uiPriority w:val="0"/>
    <w:pPr>
      <w:numPr>
        <w:ilvl w:val="1"/>
        <w:numId w:val="6"/>
      </w:numPr>
      <w:adjustRightInd w:val="0"/>
      <w:snapToGrid w:val="0"/>
      <w:spacing w:before="50" w:beforeLines="50" w:after="50" w:afterLines="50"/>
      <w:jc w:val="center"/>
    </w:pPr>
    <w:rPr>
      <w:rFonts w:ascii="黑体" w:hAnsi="Times New Roman" w:eastAsia="黑体" w:cs="Times New Roman"/>
      <w:sz w:val="21"/>
      <w:lang w:val="en-US" w:eastAsia="zh-CN" w:bidi="ar-SA"/>
    </w:rPr>
  </w:style>
  <w:style w:type="paragraph" w:customStyle="1" w:styleId="84">
    <w:name w:val="标准文件_附录五级条标题"/>
    <w:next w:val="56"/>
    <w:qFormat/>
    <w:uiPriority w:val="0"/>
    <w:pPr>
      <w:widowControl w:val="0"/>
      <w:numPr>
        <w:ilvl w:val="5"/>
        <w:numId w:val="4"/>
      </w:numPr>
      <w:spacing w:before="50" w:beforeLines="50" w:after="50" w:afterLines="50"/>
      <w:jc w:val="both"/>
      <w:outlineLvl w:val="6"/>
    </w:pPr>
    <w:rPr>
      <w:rFonts w:ascii="黑体" w:hAnsi="Times New Roman" w:eastAsia="黑体" w:cs="Times New Roman"/>
      <w:kern w:val="21"/>
      <w:sz w:val="21"/>
      <w:lang w:val="en-US" w:eastAsia="zh-CN" w:bidi="ar-SA"/>
    </w:rPr>
  </w:style>
  <w:style w:type="paragraph" w:customStyle="1" w:styleId="85">
    <w:name w:val="标准文件_附录英文标识"/>
    <w:next w:val="13"/>
    <w:qFormat/>
    <w:uiPriority w:val="0"/>
    <w:pPr>
      <w:numPr>
        <w:ilvl w:val="0"/>
        <w:numId w:val="7"/>
      </w:numPr>
      <w:tabs>
        <w:tab w:val="left" w:pos="6406"/>
      </w:tabs>
      <w:spacing w:before="220" w:after="320"/>
      <w:jc w:val="center"/>
      <w:outlineLvl w:val="0"/>
    </w:pPr>
    <w:rPr>
      <w:rFonts w:ascii="黑体" w:hAnsi="Times New Roman" w:eastAsia="黑体" w:cs="Times New Roman"/>
      <w:sz w:val="21"/>
      <w:lang w:val="en-US" w:eastAsia="zh-CN" w:bidi="ar-SA"/>
    </w:rPr>
  </w:style>
  <w:style w:type="character" w:customStyle="1" w:styleId="86">
    <w:name w:val="正文文本 字符"/>
    <w:link w:val="13"/>
    <w:qFormat/>
    <w:uiPriority w:val="0"/>
    <w:rPr>
      <w:kern w:val="2"/>
      <w:sz w:val="21"/>
      <w:szCs w:val="21"/>
    </w:rPr>
  </w:style>
  <w:style w:type="paragraph" w:customStyle="1" w:styleId="87">
    <w:name w:val="标准文件_附录章标题"/>
    <w:next w:val="56"/>
    <w:qFormat/>
    <w:uiPriority w:val="0"/>
    <w:pPr>
      <w:wordWrap w:val="0"/>
      <w:overflowPunct w:val="0"/>
      <w:autoSpaceDE w:val="0"/>
      <w:spacing w:beforeLines="50" w:afterLines="50"/>
      <w:jc w:val="both"/>
      <w:textAlignment w:val="baseline"/>
      <w:outlineLvl w:val="1"/>
    </w:pPr>
    <w:rPr>
      <w:rFonts w:ascii="黑体" w:hAnsi="Times New Roman" w:eastAsia="黑体" w:cs="Times New Roman"/>
      <w:kern w:val="21"/>
      <w:sz w:val="21"/>
      <w:lang w:val="en-US" w:eastAsia="zh-CN" w:bidi="ar-SA"/>
    </w:rPr>
  </w:style>
  <w:style w:type="paragraph" w:customStyle="1" w:styleId="88">
    <w:name w:val="标准文件_公式后的破折号"/>
    <w:basedOn w:val="56"/>
    <w:next w:val="56"/>
    <w:qFormat/>
    <w:uiPriority w:val="0"/>
    <w:pPr>
      <w:ind w:left="488" w:leftChars="200" w:hanging="289" w:hangingChars="290"/>
    </w:pPr>
  </w:style>
  <w:style w:type="paragraph" w:customStyle="1" w:styleId="89">
    <w:name w:val="标准文件_前言、引言标题"/>
    <w:next w:val="1"/>
    <w:qFormat/>
    <w:uiPriority w:val="0"/>
    <w:pPr>
      <w:numPr>
        <w:ilvl w:val="0"/>
        <w:numId w:val="8"/>
      </w:numPr>
      <w:shd w:val="clear" w:color="FFFFFF" w:fill="FFFFFF"/>
      <w:spacing w:before="480" w:after="150" w:afterLines="150"/>
      <w:jc w:val="center"/>
      <w:outlineLvl w:val="0"/>
    </w:pPr>
    <w:rPr>
      <w:rFonts w:ascii="黑体" w:hAnsi="Times New Roman" w:eastAsia="黑体" w:cs="Times New Roman"/>
      <w:sz w:val="32"/>
      <w:lang w:val="en-US" w:eastAsia="zh-CN" w:bidi="ar-SA"/>
    </w:rPr>
  </w:style>
  <w:style w:type="paragraph" w:customStyle="1" w:styleId="90">
    <w:name w:val="标准文件_目次、标准名称标题"/>
    <w:basedOn w:val="89"/>
    <w:next w:val="56"/>
    <w:qFormat/>
    <w:uiPriority w:val="0"/>
    <w:pPr>
      <w:spacing w:line="460" w:lineRule="exact"/>
      <w:ind w:left="0" w:firstLine="0"/>
    </w:pPr>
  </w:style>
  <w:style w:type="paragraph" w:customStyle="1" w:styleId="91">
    <w:name w:val="标准文件_目录标题"/>
    <w:basedOn w:val="1"/>
    <w:qFormat/>
    <w:uiPriority w:val="0"/>
    <w:pPr>
      <w:spacing w:before="480" w:after="150" w:afterLines="150" w:line="240" w:lineRule="auto"/>
      <w:jc w:val="center"/>
    </w:pPr>
    <w:rPr>
      <w:rFonts w:ascii="黑体" w:eastAsia="黑体"/>
      <w:sz w:val="32"/>
    </w:rPr>
  </w:style>
  <w:style w:type="paragraph" w:customStyle="1" w:styleId="92">
    <w:name w:val="标准文件_破折号列项"/>
    <w:qFormat/>
    <w:uiPriority w:val="0"/>
    <w:pPr>
      <w:numPr>
        <w:ilvl w:val="0"/>
        <w:numId w:val="9"/>
      </w:numPr>
      <w:adjustRightInd w:val="0"/>
      <w:snapToGrid w:val="0"/>
      <w:ind w:firstLine="200" w:firstLineChars="200"/>
    </w:pPr>
    <w:rPr>
      <w:rFonts w:ascii="Times New Roman" w:hAnsi="Times New Roman" w:eastAsia="宋体" w:cs="Times New Roman"/>
      <w:sz w:val="21"/>
      <w:lang w:val="en-US" w:eastAsia="zh-CN" w:bidi="ar-SA"/>
    </w:rPr>
  </w:style>
  <w:style w:type="paragraph" w:customStyle="1" w:styleId="93">
    <w:name w:val="标准文件_破折号列项（二级）"/>
    <w:basedOn w:val="92"/>
    <w:qFormat/>
    <w:uiPriority w:val="0"/>
    <w:pPr>
      <w:numPr>
        <w:numId w:val="10"/>
      </w:numPr>
    </w:pPr>
  </w:style>
  <w:style w:type="paragraph" w:customStyle="1" w:styleId="94">
    <w:name w:val="标准文件_三级条标题"/>
    <w:basedOn w:val="65"/>
    <w:next w:val="56"/>
    <w:qFormat/>
    <w:uiPriority w:val="0"/>
    <w:pPr>
      <w:widowControl/>
      <w:numPr>
        <w:ilvl w:val="4"/>
      </w:numPr>
      <w:outlineLvl w:val="3"/>
    </w:pPr>
  </w:style>
  <w:style w:type="character" w:customStyle="1" w:styleId="95">
    <w:name w:val="不明显参考1"/>
    <w:qFormat/>
    <w:uiPriority w:val="31"/>
    <w:rPr>
      <w:smallCaps/>
      <w:color w:val="C0504D"/>
      <w:u w:val="single"/>
    </w:rPr>
  </w:style>
  <w:style w:type="paragraph" w:customStyle="1" w:styleId="96">
    <w:name w:val="标准文件_示例后续"/>
    <w:basedOn w:val="1"/>
    <w:qFormat/>
    <w:uiPriority w:val="0"/>
    <w:pPr>
      <w:adjustRightInd/>
      <w:spacing w:line="240" w:lineRule="auto"/>
      <w:ind w:firstLine="200" w:firstLineChars="200"/>
    </w:pPr>
    <w:rPr>
      <w:sz w:val="18"/>
      <w:szCs w:val="24"/>
    </w:rPr>
  </w:style>
  <w:style w:type="paragraph" w:customStyle="1" w:styleId="97">
    <w:name w:val="标准文件_数字编号列项"/>
    <w:qFormat/>
    <w:uiPriority w:val="0"/>
    <w:pPr>
      <w:numPr>
        <w:ilvl w:val="0"/>
        <w:numId w:val="11"/>
      </w:numPr>
      <w:jc w:val="both"/>
    </w:pPr>
    <w:rPr>
      <w:rFonts w:ascii="宋体" w:hAnsi="宋体" w:eastAsia="宋体" w:cs="Times New Roman"/>
      <w:sz w:val="21"/>
      <w:lang w:val="en-US" w:eastAsia="zh-CN" w:bidi="ar-SA"/>
    </w:rPr>
  </w:style>
  <w:style w:type="paragraph" w:customStyle="1" w:styleId="98">
    <w:name w:val="标准文件_四级条标题"/>
    <w:next w:val="56"/>
    <w:qFormat/>
    <w:uiPriority w:val="0"/>
    <w:pPr>
      <w:widowControl w:val="0"/>
      <w:numPr>
        <w:ilvl w:val="5"/>
        <w:numId w:val="2"/>
      </w:numPr>
      <w:spacing w:before="50" w:beforeLines="50" w:after="50" w:afterLines="50"/>
      <w:jc w:val="both"/>
      <w:outlineLvl w:val="4"/>
    </w:pPr>
    <w:rPr>
      <w:rFonts w:ascii="黑体" w:hAnsi="Times New Roman" w:eastAsia="黑体" w:cs="Times New Roman"/>
      <w:sz w:val="21"/>
      <w:lang w:val="en-US" w:eastAsia="zh-CN" w:bidi="ar-SA"/>
    </w:rPr>
  </w:style>
  <w:style w:type="character" w:customStyle="1" w:styleId="99">
    <w:name w:val="脚注文本 字符"/>
    <w:link w:val="21"/>
    <w:semiHidden/>
    <w:qFormat/>
    <w:uiPriority w:val="0"/>
    <w:rPr>
      <w:rFonts w:ascii="宋体"/>
      <w:kern w:val="2"/>
      <w:sz w:val="18"/>
      <w:szCs w:val="18"/>
    </w:rPr>
  </w:style>
  <w:style w:type="paragraph" w:customStyle="1" w:styleId="100">
    <w:name w:val="标准文件_条文脚注"/>
    <w:basedOn w:val="21"/>
    <w:qFormat/>
    <w:uiPriority w:val="0"/>
    <w:pPr>
      <w:adjustRightInd w:val="0"/>
      <w:spacing w:line="240" w:lineRule="auto"/>
      <w:ind w:left="0" w:leftChars="0" w:firstLine="200" w:firstLineChars="200"/>
      <w:jc w:val="both"/>
    </w:pPr>
    <w:rPr>
      <w:rFonts w:hAnsi="宋体"/>
    </w:rPr>
  </w:style>
  <w:style w:type="paragraph" w:customStyle="1" w:styleId="101">
    <w:name w:val="标准文件_图表脚注"/>
    <w:basedOn w:val="1"/>
    <w:next w:val="56"/>
    <w:qFormat/>
    <w:uiPriority w:val="0"/>
    <w:pPr>
      <w:numPr>
        <w:ilvl w:val="0"/>
        <w:numId w:val="12"/>
      </w:numPr>
      <w:spacing w:line="240" w:lineRule="auto"/>
      <w:jc w:val="left"/>
    </w:pPr>
    <w:rPr>
      <w:rFonts w:ascii="宋体" w:hAnsi="宋体"/>
      <w:sz w:val="18"/>
    </w:rPr>
  </w:style>
  <w:style w:type="character" w:customStyle="1" w:styleId="102">
    <w:name w:val="标准文件_图表脚注内容"/>
    <w:qFormat/>
    <w:uiPriority w:val="0"/>
    <w:rPr>
      <w:rFonts w:ascii="宋体" w:hAnsi="宋体" w:eastAsia="宋体" w:cs="Times New Roman"/>
      <w:spacing w:val="0"/>
      <w:sz w:val="18"/>
      <w:vertAlign w:val="superscript"/>
    </w:rPr>
  </w:style>
  <w:style w:type="paragraph" w:customStyle="1" w:styleId="103">
    <w:name w:val="标准文件_五级条标题"/>
    <w:next w:val="56"/>
    <w:qFormat/>
    <w:uiPriority w:val="0"/>
    <w:pPr>
      <w:widowControl w:val="0"/>
      <w:numPr>
        <w:ilvl w:val="6"/>
        <w:numId w:val="2"/>
      </w:numPr>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104">
    <w:name w:val="标准文件_章标题"/>
    <w:next w:val="56"/>
    <w:qFormat/>
    <w:uiPriority w:val="0"/>
    <w:pPr>
      <w:numPr>
        <w:ilvl w:val="1"/>
        <w:numId w:val="2"/>
      </w:num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105">
    <w:name w:val="标准文件_一级条标题"/>
    <w:basedOn w:val="104"/>
    <w:next w:val="56"/>
    <w:qFormat/>
    <w:uiPriority w:val="0"/>
    <w:pPr>
      <w:numPr>
        <w:ilvl w:val="2"/>
      </w:numPr>
      <w:spacing w:before="50" w:beforeLines="50" w:after="50" w:afterLines="50"/>
      <w:ind w:left="0"/>
      <w:outlineLvl w:val="1"/>
    </w:pPr>
  </w:style>
  <w:style w:type="paragraph" w:customStyle="1" w:styleId="106">
    <w:name w:val="标准文件_一致程度"/>
    <w:basedOn w:val="1"/>
    <w:qFormat/>
    <w:uiPriority w:val="0"/>
    <w:pPr>
      <w:spacing w:line="440" w:lineRule="exact"/>
      <w:jc w:val="center"/>
    </w:pPr>
    <w:rPr>
      <w:sz w:val="28"/>
    </w:rPr>
  </w:style>
  <w:style w:type="paragraph" w:customStyle="1" w:styleId="107">
    <w:name w:val="标准文件_引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08">
    <w:name w:val="标准文件_英文图表脚注"/>
    <w:basedOn w:val="55"/>
    <w:qFormat/>
    <w:uiPriority w:val="0"/>
    <w:pPr>
      <w:widowControl/>
      <w:adjustRightInd/>
      <w:snapToGrid/>
      <w:spacing w:line="240" w:lineRule="auto"/>
      <w:ind w:left="79" w:hanging="79" w:hangingChars="80"/>
    </w:pPr>
    <w:rPr>
      <w:rFonts w:ascii="宋体" w:hAnsi="宋体"/>
    </w:rPr>
  </w:style>
  <w:style w:type="paragraph" w:customStyle="1" w:styleId="109">
    <w:name w:val="标准文件_数字编号列项（二级）"/>
    <w:qFormat/>
    <w:uiPriority w:val="0"/>
    <w:pPr>
      <w:numPr>
        <w:ilvl w:val="1"/>
        <w:numId w:val="13"/>
      </w:numPr>
      <w:jc w:val="both"/>
    </w:pPr>
    <w:rPr>
      <w:rFonts w:ascii="宋体" w:hAnsi="Times New Roman" w:eastAsia="宋体" w:cs="Times New Roman"/>
      <w:sz w:val="21"/>
      <w:lang w:val="en-US" w:eastAsia="zh-CN" w:bidi="ar-SA"/>
    </w:rPr>
  </w:style>
  <w:style w:type="paragraph" w:customStyle="1" w:styleId="110">
    <w:name w:val="标准文件_英文注："/>
    <w:basedOn w:val="1"/>
    <w:next w:val="56"/>
    <w:qFormat/>
    <w:uiPriority w:val="0"/>
    <w:pPr>
      <w:numPr>
        <w:ilvl w:val="0"/>
        <w:numId w:val="14"/>
      </w:numPr>
      <w:tabs>
        <w:tab w:val="left" w:pos="420"/>
      </w:tabs>
      <w:autoSpaceDE w:val="0"/>
      <w:autoSpaceDN w:val="0"/>
      <w:spacing w:line="240" w:lineRule="auto"/>
    </w:pPr>
    <w:rPr>
      <w:rFonts w:ascii="宋体" w:hAnsi="宋体"/>
      <w:kern w:val="0"/>
      <w:sz w:val="18"/>
      <w:szCs w:val="20"/>
    </w:rPr>
  </w:style>
  <w:style w:type="paragraph" w:customStyle="1" w:styleId="111">
    <w:name w:val="标准文件_英文注×："/>
    <w:basedOn w:val="1"/>
    <w:qFormat/>
    <w:uiPriority w:val="0"/>
    <w:pPr>
      <w:numPr>
        <w:ilvl w:val="0"/>
        <w:numId w:val="15"/>
      </w:numPr>
      <w:tabs>
        <w:tab w:val="left" w:pos="210"/>
      </w:tabs>
      <w:autoSpaceDE w:val="0"/>
      <w:autoSpaceDN w:val="0"/>
      <w:spacing w:line="240" w:lineRule="auto"/>
    </w:pPr>
    <w:rPr>
      <w:rFonts w:ascii="宋体" w:hAnsi="宋体"/>
      <w:kern w:val="0"/>
      <w:szCs w:val="20"/>
    </w:rPr>
  </w:style>
  <w:style w:type="paragraph" w:customStyle="1" w:styleId="112">
    <w:name w:val="标准文件_正文表标题"/>
    <w:next w:val="56"/>
    <w:qFormat/>
    <w:uiPriority w:val="0"/>
    <w:pPr>
      <w:numPr>
        <w:ilvl w:val="0"/>
        <w:numId w:val="16"/>
      </w:numPr>
      <w:tabs>
        <w:tab w:val="left" w:pos="0"/>
      </w:tabs>
      <w:spacing w:before="50" w:beforeLines="50" w:after="50" w:afterLines="50"/>
      <w:jc w:val="center"/>
    </w:pPr>
    <w:rPr>
      <w:rFonts w:ascii="黑体" w:hAnsi="Times New Roman" w:eastAsia="黑体" w:cs="Times New Roman"/>
      <w:sz w:val="21"/>
      <w:lang w:val="en-US" w:eastAsia="zh-CN" w:bidi="ar-SA"/>
    </w:rPr>
  </w:style>
  <w:style w:type="paragraph" w:customStyle="1" w:styleId="113">
    <w:name w:val="标准文件_正文公式"/>
    <w:basedOn w:val="1"/>
    <w:next w:val="55"/>
    <w:qFormat/>
    <w:uiPriority w:val="0"/>
    <w:pPr>
      <w:tabs>
        <w:tab w:val="center" w:pos="4678"/>
        <w:tab w:val="right" w:leader="middleDot" w:pos="9356"/>
      </w:tabs>
      <w:spacing w:line="240" w:lineRule="auto"/>
    </w:pPr>
    <w:rPr>
      <w:rFonts w:ascii="宋体" w:hAnsi="宋体"/>
    </w:rPr>
  </w:style>
  <w:style w:type="paragraph" w:customStyle="1" w:styleId="114">
    <w:name w:val="标准文件_正文图标题"/>
    <w:next w:val="56"/>
    <w:qFormat/>
    <w:uiPriority w:val="0"/>
    <w:pPr>
      <w:numPr>
        <w:ilvl w:val="0"/>
        <w:numId w:val="17"/>
      </w:numPr>
      <w:spacing w:before="50" w:beforeLines="50" w:after="50" w:afterLines="50"/>
      <w:jc w:val="center"/>
    </w:pPr>
    <w:rPr>
      <w:rFonts w:ascii="黑体" w:hAnsi="Times New Roman" w:eastAsia="黑体" w:cs="Times New Roman"/>
      <w:sz w:val="21"/>
      <w:lang w:val="en-US" w:eastAsia="zh-CN" w:bidi="ar-SA"/>
    </w:rPr>
  </w:style>
  <w:style w:type="paragraph" w:customStyle="1" w:styleId="115">
    <w:name w:val="标准文件_正文英文表标题"/>
    <w:next w:val="56"/>
    <w:qFormat/>
    <w:uiPriority w:val="0"/>
    <w:pPr>
      <w:numPr>
        <w:ilvl w:val="0"/>
        <w:numId w:val="18"/>
      </w:numPr>
      <w:jc w:val="center"/>
    </w:pPr>
    <w:rPr>
      <w:rFonts w:ascii="黑体" w:hAnsi="Times New Roman" w:eastAsia="黑体" w:cs="Times New Roman"/>
      <w:sz w:val="21"/>
      <w:lang w:val="en-US" w:eastAsia="zh-CN" w:bidi="ar-SA"/>
    </w:rPr>
  </w:style>
  <w:style w:type="paragraph" w:customStyle="1" w:styleId="116">
    <w:name w:val="标准文件_正文英文图标题"/>
    <w:next w:val="56"/>
    <w:qFormat/>
    <w:uiPriority w:val="0"/>
    <w:pPr>
      <w:numPr>
        <w:ilvl w:val="0"/>
        <w:numId w:val="19"/>
      </w:numPr>
      <w:jc w:val="center"/>
    </w:pPr>
    <w:rPr>
      <w:rFonts w:ascii="黑体" w:hAnsi="Times New Roman" w:eastAsia="黑体" w:cs="Times New Roman"/>
      <w:sz w:val="21"/>
      <w:lang w:val="en-US" w:eastAsia="zh-CN" w:bidi="ar-SA"/>
    </w:rPr>
  </w:style>
  <w:style w:type="paragraph" w:customStyle="1" w:styleId="117">
    <w:name w:val="标准文件_编号列项（三级）"/>
    <w:qFormat/>
    <w:uiPriority w:val="0"/>
    <w:pPr>
      <w:numPr>
        <w:ilvl w:val="2"/>
        <w:numId w:val="13"/>
      </w:numPr>
    </w:pPr>
    <w:rPr>
      <w:rFonts w:ascii="宋体" w:hAnsi="Times New Roman" w:eastAsia="宋体" w:cs="Times New Roman"/>
      <w:sz w:val="21"/>
      <w:lang w:val="en-US" w:eastAsia="zh-CN" w:bidi="ar-SA"/>
    </w:rPr>
  </w:style>
  <w:style w:type="paragraph" w:customStyle="1" w:styleId="118">
    <w:name w:val="二级无标题条"/>
    <w:basedOn w:val="1"/>
    <w:qFormat/>
    <w:uiPriority w:val="0"/>
    <w:pPr>
      <w:numPr>
        <w:ilvl w:val="3"/>
        <w:numId w:val="20"/>
      </w:numPr>
      <w:adjustRightInd/>
      <w:spacing w:line="240" w:lineRule="auto"/>
    </w:pPr>
    <w:rPr>
      <w:rFonts w:ascii="宋体" w:hAnsi="宋体"/>
      <w:szCs w:val="24"/>
    </w:rPr>
  </w:style>
  <w:style w:type="paragraph" w:customStyle="1" w:styleId="119">
    <w:name w:val="发布部门"/>
    <w:next w:val="56"/>
    <w:qFormat/>
    <w:uiPriority w:val="0"/>
    <w:pPr>
      <w:framePr w:w="7433" w:h="585" w:hRule="exact" w:hSpace="180" w:vSpace="180" w:wrap="around" w:vAnchor="margin" w:hAnchor="margin" w:xAlign="center" w:y="14401" w:anchorLock="1"/>
      <w:jc w:val="center"/>
    </w:pPr>
    <w:rPr>
      <w:rFonts w:ascii="宋体" w:hAnsi="Times New Roman" w:eastAsia="宋体" w:cs="Times New Roman"/>
      <w:b/>
      <w:w w:val="135"/>
      <w:sz w:val="36"/>
      <w:lang w:val="en-US" w:eastAsia="zh-CN" w:bidi="ar-SA"/>
    </w:rPr>
  </w:style>
  <w:style w:type="paragraph" w:customStyle="1" w:styleId="120">
    <w:name w:val="发布日期"/>
    <w:qFormat/>
    <w:uiPriority w:val="0"/>
    <w:pPr>
      <w:framePr w:w="4000" w:h="473" w:hRule="exact" w:hSpace="180" w:vSpace="180" w:wrap="around" w:vAnchor="margin" w:hAnchor="margin" w:y="13511" w:anchorLock="1"/>
    </w:pPr>
    <w:rPr>
      <w:rFonts w:ascii="Times New Roman" w:hAnsi="Times New Roman" w:eastAsia="黑体" w:cs="Times New Roman"/>
      <w:sz w:val="28"/>
      <w:lang w:val="en-US" w:eastAsia="zh-CN" w:bidi="ar-SA"/>
    </w:rPr>
  </w:style>
  <w:style w:type="paragraph" w:customStyle="1" w:styleId="121">
    <w:name w:val="封面标准代替信息"/>
    <w:basedOn w:val="1"/>
    <w:qFormat/>
    <w:uiPriority w:val="0"/>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122">
    <w:name w:val="封面标准名称"/>
    <w:qFormat/>
    <w:uiPriority w:val="0"/>
    <w:pPr>
      <w:framePr w:w="9638" w:h="6917" w:hRule="exact" w:wrap="around" w:vAnchor="margin" w:hAnchor="margin" w:xAlign="center" w:y="5955" w:anchorLock="1"/>
      <w:widowControl w:val="0"/>
      <w:spacing w:line="680" w:lineRule="exact"/>
      <w:jc w:val="center"/>
      <w:textAlignment w:val="center"/>
    </w:pPr>
    <w:rPr>
      <w:rFonts w:ascii="黑体" w:hAnsi="Times New Roman" w:eastAsia="黑体" w:cs="Times New Roman"/>
      <w:sz w:val="52"/>
      <w:lang w:val="en-US" w:eastAsia="zh-CN" w:bidi="ar-SA"/>
    </w:rPr>
  </w:style>
  <w:style w:type="paragraph" w:customStyle="1" w:styleId="123">
    <w:name w:val="封面标准文稿编辑信息"/>
    <w:qFormat/>
    <w:uiPriority w:val="0"/>
    <w:pPr>
      <w:spacing w:before="180" w:line="180" w:lineRule="exact"/>
      <w:jc w:val="center"/>
    </w:pPr>
    <w:rPr>
      <w:rFonts w:ascii="宋体" w:hAnsi="Times New Roman" w:eastAsia="宋体" w:cs="Times New Roman"/>
      <w:sz w:val="21"/>
      <w:lang w:val="en-US" w:eastAsia="zh-CN" w:bidi="ar-SA"/>
    </w:rPr>
  </w:style>
  <w:style w:type="paragraph" w:customStyle="1" w:styleId="124">
    <w:name w:val="封面标准文稿类别"/>
    <w:qFormat/>
    <w:uiPriority w:val="0"/>
    <w:pPr>
      <w:spacing w:before="440" w:line="400" w:lineRule="exact"/>
      <w:jc w:val="center"/>
    </w:pPr>
    <w:rPr>
      <w:rFonts w:ascii="宋体" w:hAnsi="Times New Roman" w:eastAsia="宋体" w:cs="Times New Roman"/>
      <w:sz w:val="24"/>
      <w:lang w:val="en-US" w:eastAsia="zh-CN" w:bidi="ar-SA"/>
    </w:rPr>
  </w:style>
  <w:style w:type="paragraph" w:customStyle="1" w:styleId="125">
    <w:name w:val="封面标准英文名称"/>
    <w:qFormat/>
    <w:uiPriority w:val="0"/>
    <w:pPr>
      <w:widowControl w:val="0"/>
      <w:spacing w:line="360" w:lineRule="exact"/>
      <w:jc w:val="center"/>
    </w:pPr>
    <w:rPr>
      <w:rFonts w:ascii="Times New Roman" w:hAnsi="Times New Roman" w:eastAsia="宋体" w:cs="Times New Roman"/>
      <w:sz w:val="28"/>
      <w:lang w:val="en-US" w:eastAsia="zh-CN" w:bidi="ar-SA"/>
    </w:rPr>
  </w:style>
  <w:style w:type="paragraph" w:customStyle="1" w:styleId="126">
    <w:name w:val="封面一致性程度标识"/>
    <w:qFormat/>
    <w:uiPriority w:val="0"/>
    <w:pPr>
      <w:spacing w:before="440" w:line="440" w:lineRule="exact"/>
      <w:jc w:val="center"/>
    </w:pPr>
    <w:rPr>
      <w:rFonts w:ascii="Times New Roman" w:hAnsi="Times New Roman" w:eastAsia="宋体" w:cs="Times New Roman"/>
      <w:sz w:val="28"/>
      <w:lang w:val="en-US" w:eastAsia="zh-CN" w:bidi="ar-SA"/>
    </w:rPr>
  </w:style>
  <w:style w:type="paragraph" w:customStyle="1" w:styleId="127">
    <w:name w:val="封面正文"/>
    <w:uiPriority w:val="0"/>
    <w:pPr>
      <w:jc w:val="both"/>
    </w:pPr>
    <w:rPr>
      <w:rFonts w:ascii="Times New Roman" w:hAnsi="Times New Roman" w:eastAsia="宋体" w:cs="Times New Roman"/>
      <w:lang w:val="en-US" w:eastAsia="zh-CN" w:bidi="ar-SA"/>
    </w:rPr>
  </w:style>
  <w:style w:type="paragraph" w:customStyle="1" w:styleId="128">
    <w:name w:val="附录二级无标题条"/>
    <w:basedOn w:val="1"/>
    <w:next w:val="56"/>
    <w:uiPriority w:val="0"/>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129">
    <w:name w:val="附录三级无标题条"/>
    <w:basedOn w:val="128"/>
    <w:next w:val="56"/>
    <w:uiPriority w:val="0"/>
    <w:pPr>
      <w:outlineLvl w:val="4"/>
    </w:pPr>
  </w:style>
  <w:style w:type="paragraph" w:customStyle="1" w:styleId="130">
    <w:name w:val="附录四级无标题条"/>
    <w:basedOn w:val="129"/>
    <w:next w:val="56"/>
    <w:uiPriority w:val="0"/>
    <w:pPr>
      <w:outlineLvl w:val="5"/>
    </w:pPr>
  </w:style>
  <w:style w:type="paragraph" w:customStyle="1" w:styleId="131">
    <w:name w:val="附录图"/>
    <w:next w:val="56"/>
    <w:uiPriority w:val="0"/>
    <w:pPr>
      <w:wordWrap w:val="0"/>
      <w:overflowPunct w:val="0"/>
      <w:autoSpaceDE w:val="0"/>
      <w:spacing w:before="50" w:beforeLines="50" w:after="50" w:afterLines="50"/>
      <w:jc w:val="center"/>
      <w:textAlignment w:val="baseline"/>
      <w:outlineLvl w:val="1"/>
    </w:pPr>
    <w:rPr>
      <w:rFonts w:ascii="黑体" w:hAnsi="Times New Roman" w:eastAsia="黑体" w:cs="Times New Roman"/>
      <w:kern w:val="21"/>
      <w:sz w:val="21"/>
      <w:lang w:val="en-US" w:eastAsia="zh-CN" w:bidi="ar-SA"/>
    </w:rPr>
  </w:style>
  <w:style w:type="paragraph" w:customStyle="1" w:styleId="132">
    <w:name w:val="标准文件_一级项"/>
    <w:uiPriority w:val="0"/>
    <w:pPr>
      <w:numPr>
        <w:ilvl w:val="0"/>
        <w:numId w:val="21"/>
      </w:numPr>
    </w:pPr>
    <w:rPr>
      <w:rFonts w:ascii="宋体" w:hAnsi="Times New Roman" w:eastAsia="宋体" w:cs="Times New Roman"/>
      <w:sz w:val="21"/>
      <w:lang w:val="en-US" w:eastAsia="zh-CN" w:bidi="ar-SA"/>
    </w:rPr>
  </w:style>
  <w:style w:type="paragraph" w:customStyle="1" w:styleId="133">
    <w:name w:val="附录五级无标题条"/>
    <w:basedOn w:val="130"/>
    <w:next w:val="56"/>
    <w:uiPriority w:val="0"/>
    <w:pPr>
      <w:outlineLvl w:val="6"/>
    </w:pPr>
  </w:style>
  <w:style w:type="paragraph" w:customStyle="1" w:styleId="134">
    <w:name w:val="附录性质"/>
    <w:basedOn w:val="1"/>
    <w:uiPriority w:val="0"/>
    <w:pPr>
      <w:widowControl/>
      <w:adjustRightInd/>
      <w:jc w:val="center"/>
    </w:pPr>
    <w:rPr>
      <w:rFonts w:ascii="黑体" w:eastAsia="黑体"/>
    </w:rPr>
  </w:style>
  <w:style w:type="paragraph" w:customStyle="1" w:styleId="135">
    <w:name w:val="附录一级无标题条"/>
    <w:basedOn w:val="87"/>
    <w:next w:val="56"/>
    <w:uiPriority w:val="0"/>
    <w:pPr>
      <w:autoSpaceDN w:val="0"/>
      <w:outlineLvl w:val="2"/>
    </w:pPr>
    <w:rPr>
      <w:rFonts w:ascii="宋体" w:hAnsi="宋体" w:eastAsia="宋体"/>
    </w:rPr>
  </w:style>
  <w:style w:type="character" w:customStyle="1" w:styleId="136">
    <w:name w:val="个人答复风格"/>
    <w:uiPriority w:val="0"/>
    <w:rPr>
      <w:rFonts w:ascii="Arial" w:hAnsi="Arial" w:eastAsia="宋体" w:cs="Arial"/>
      <w:color w:val="auto"/>
      <w:spacing w:val="0"/>
      <w:sz w:val="20"/>
    </w:rPr>
  </w:style>
  <w:style w:type="character" w:customStyle="1" w:styleId="137">
    <w:name w:val="个人撰写风格"/>
    <w:uiPriority w:val="0"/>
    <w:rPr>
      <w:rFonts w:ascii="Arial" w:hAnsi="Arial" w:eastAsia="宋体" w:cs="Arial"/>
      <w:color w:val="auto"/>
      <w:spacing w:val="0"/>
      <w:sz w:val="20"/>
    </w:rPr>
  </w:style>
  <w:style w:type="paragraph" w:customStyle="1" w:styleId="138">
    <w:name w:val="脚注后续"/>
    <w:uiPriority w:val="0"/>
    <w:pPr>
      <w:ind w:left="350" w:leftChars="350"/>
      <w:jc w:val="both"/>
    </w:pPr>
    <w:rPr>
      <w:rFonts w:ascii="宋体" w:hAnsi="Times New Roman" w:eastAsia="宋体" w:cs="Times New Roman"/>
      <w:sz w:val="18"/>
      <w:lang w:val="en-US" w:eastAsia="zh-CN" w:bidi="ar-SA"/>
    </w:rPr>
  </w:style>
  <w:style w:type="paragraph" w:customStyle="1" w:styleId="139">
    <w:name w:val="列项——"/>
    <w:uiPriority w:val="0"/>
    <w:pPr>
      <w:widowControl w:val="0"/>
      <w:numPr>
        <w:ilvl w:val="0"/>
        <w:numId w:val="22"/>
      </w:numPr>
      <w:jc w:val="both"/>
    </w:pPr>
    <w:rPr>
      <w:rFonts w:ascii="宋体" w:hAnsi="宋体" w:eastAsia="宋体" w:cs="Times New Roman"/>
      <w:sz w:val="21"/>
      <w:lang w:val="en-US" w:eastAsia="zh-CN" w:bidi="ar-SA"/>
    </w:rPr>
  </w:style>
  <w:style w:type="paragraph" w:customStyle="1" w:styleId="140">
    <w:name w:val="列项·"/>
    <w:basedOn w:val="56"/>
    <w:uiPriority w:val="0"/>
    <w:pPr>
      <w:tabs>
        <w:tab w:val="left" w:pos="840"/>
      </w:tabs>
    </w:pPr>
  </w:style>
  <w:style w:type="paragraph" w:customStyle="1" w:styleId="141">
    <w:name w:val="目次、索引正文"/>
    <w:uiPriority w:val="0"/>
    <w:pPr>
      <w:spacing w:line="320" w:lineRule="exact"/>
      <w:jc w:val="both"/>
    </w:pPr>
    <w:rPr>
      <w:rFonts w:ascii="宋体" w:hAnsi="Times New Roman" w:eastAsia="宋体" w:cs="Times New Roman"/>
      <w:sz w:val="21"/>
      <w:lang w:val="en-US" w:eastAsia="zh-CN" w:bidi="ar-SA"/>
    </w:rPr>
  </w:style>
  <w:style w:type="paragraph" w:customStyle="1" w:styleId="142">
    <w:name w:val="目录 21"/>
    <w:basedOn w:val="1"/>
    <w:next w:val="1"/>
    <w:autoRedefine/>
    <w:semiHidden/>
    <w:uiPriority w:val="0"/>
    <w:pPr>
      <w:adjustRightInd/>
      <w:spacing w:line="240" w:lineRule="auto"/>
      <w:jc w:val="left"/>
    </w:pPr>
    <w:rPr>
      <w:bCs/>
      <w:iCs/>
    </w:rPr>
  </w:style>
  <w:style w:type="paragraph" w:customStyle="1" w:styleId="143">
    <w:name w:val="目录 31"/>
    <w:basedOn w:val="1"/>
    <w:next w:val="1"/>
    <w:autoRedefine/>
    <w:semiHidden/>
    <w:uiPriority w:val="0"/>
    <w:pPr>
      <w:spacing w:line="240" w:lineRule="auto"/>
    </w:pPr>
    <w:rPr>
      <w:rFonts w:ascii="宋体" w:hAnsi="宋体"/>
      <w:iCs/>
    </w:rPr>
  </w:style>
  <w:style w:type="paragraph" w:customStyle="1" w:styleId="144">
    <w:name w:val="目录 41"/>
    <w:basedOn w:val="1"/>
    <w:next w:val="1"/>
    <w:autoRedefine/>
    <w:semiHidden/>
    <w:uiPriority w:val="0"/>
    <w:pPr>
      <w:adjustRightInd/>
      <w:spacing w:line="240" w:lineRule="auto"/>
      <w:jc w:val="left"/>
    </w:pPr>
  </w:style>
  <w:style w:type="paragraph" w:customStyle="1" w:styleId="145">
    <w:name w:val="目录 51"/>
    <w:basedOn w:val="1"/>
    <w:next w:val="1"/>
    <w:autoRedefine/>
    <w:semiHidden/>
    <w:uiPriority w:val="0"/>
    <w:pPr>
      <w:spacing w:line="240" w:lineRule="auto"/>
    </w:pPr>
    <w:rPr>
      <w:rFonts w:ascii="宋体" w:hAnsi="宋体"/>
    </w:rPr>
  </w:style>
  <w:style w:type="paragraph" w:customStyle="1" w:styleId="146">
    <w:name w:val="目录 61"/>
    <w:basedOn w:val="1"/>
    <w:next w:val="1"/>
    <w:autoRedefine/>
    <w:semiHidden/>
    <w:uiPriority w:val="0"/>
    <w:pPr>
      <w:adjustRightInd/>
      <w:spacing w:line="240" w:lineRule="auto"/>
      <w:jc w:val="left"/>
    </w:pPr>
  </w:style>
  <w:style w:type="paragraph" w:customStyle="1" w:styleId="147">
    <w:name w:val="目录 71"/>
    <w:basedOn w:val="146"/>
    <w:autoRedefine/>
    <w:semiHidden/>
    <w:uiPriority w:val="0"/>
    <w:pPr>
      <w:ind w:left="1260"/>
    </w:pPr>
  </w:style>
  <w:style w:type="paragraph" w:customStyle="1" w:styleId="148">
    <w:name w:val="目录 81"/>
    <w:basedOn w:val="147"/>
    <w:autoRedefine/>
    <w:semiHidden/>
    <w:uiPriority w:val="0"/>
    <w:pPr>
      <w:ind w:left="1470"/>
    </w:pPr>
  </w:style>
  <w:style w:type="paragraph" w:customStyle="1" w:styleId="149">
    <w:name w:val="目录 91"/>
    <w:basedOn w:val="148"/>
    <w:autoRedefine/>
    <w:semiHidden/>
    <w:uiPriority w:val="0"/>
    <w:pPr>
      <w:ind w:left="1680"/>
    </w:pPr>
  </w:style>
  <w:style w:type="paragraph" w:customStyle="1" w:styleId="150">
    <w:name w:val="其他标准称谓"/>
    <w:uiPriority w:val="0"/>
    <w:pPr>
      <w:spacing w:line="0" w:lineRule="atLeast"/>
      <w:jc w:val="distribute"/>
    </w:pPr>
    <w:rPr>
      <w:rFonts w:ascii="黑体" w:hAnsi="宋体" w:eastAsia="黑体" w:cs="Times New Roman"/>
      <w:sz w:val="52"/>
      <w:lang w:val="en-US" w:eastAsia="zh-CN" w:bidi="ar-SA"/>
    </w:rPr>
  </w:style>
  <w:style w:type="paragraph" w:customStyle="1" w:styleId="151">
    <w:name w:val="其他发布部门"/>
    <w:basedOn w:val="119"/>
    <w:uiPriority w:val="0"/>
    <w:pPr>
      <w:framePr w:wrap="around"/>
      <w:spacing w:line="0" w:lineRule="atLeast"/>
    </w:pPr>
    <w:rPr>
      <w:rFonts w:ascii="黑体" w:eastAsia="黑体"/>
      <w:b w:val="0"/>
    </w:rPr>
  </w:style>
  <w:style w:type="paragraph" w:customStyle="1" w:styleId="152">
    <w:name w:val="前言标题"/>
    <w:next w:val="1"/>
    <w:uiPriority w:val="0"/>
    <w:pPr>
      <w:numPr>
        <w:ilvl w:val="0"/>
        <w:numId w:val="2"/>
      </w:numPr>
      <w:shd w:val="clear" w:color="FFFFFF" w:fill="FFFFFF"/>
      <w:spacing w:before="540" w:after="600"/>
      <w:jc w:val="center"/>
      <w:outlineLvl w:val="0"/>
    </w:pPr>
    <w:rPr>
      <w:rFonts w:ascii="黑体" w:hAnsi="Times New Roman" w:eastAsia="黑体" w:cs="Times New Roman"/>
      <w:sz w:val="32"/>
      <w:lang w:val="en-US" w:eastAsia="zh-CN" w:bidi="ar-SA"/>
    </w:rPr>
  </w:style>
  <w:style w:type="paragraph" w:customStyle="1" w:styleId="153">
    <w:name w:val="三级无标题条"/>
    <w:basedOn w:val="1"/>
    <w:uiPriority w:val="0"/>
    <w:pPr>
      <w:numPr>
        <w:ilvl w:val="4"/>
        <w:numId w:val="20"/>
      </w:numPr>
      <w:adjustRightInd/>
      <w:spacing w:line="240" w:lineRule="auto"/>
    </w:pPr>
    <w:rPr>
      <w:rFonts w:ascii="宋体" w:hAnsi="宋体"/>
      <w:szCs w:val="24"/>
    </w:rPr>
  </w:style>
  <w:style w:type="paragraph" w:customStyle="1" w:styleId="154">
    <w:name w:val="实施日期"/>
    <w:basedOn w:val="120"/>
    <w:uiPriority w:val="0"/>
    <w:pPr>
      <w:framePr w:hSpace="0" w:wrap="around" w:xAlign="right"/>
      <w:jc w:val="right"/>
    </w:pPr>
  </w:style>
  <w:style w:type="paragraph" w:customStyle="1" w:styleId="155">
    <w:name w:val="四级无标题条"/>
    <w:basedOn w:val="1"/>
    <w:uiPriority w:val="0"/>
    <w:pPr>
      <w:numPr>
        <w:ilvl w:val="5"/>
        <w:numId w:val="20"/>
      </w:numPr>
      <w:adjustRightInd/>
      <w:spacing w:line="240" w:lineRule="auto"/>
    </w:pPr>
    <w:rPr>
      <w:rFonts w:ascii="宋体" w:hAnsi="宋体"/>
      <w:szCs w:val="24"/>
    </w:rPr>
  </w:style>
  <w:style w:type="paragraph" w:customStyle="1" w:styleId="156">
    <w:name w:val="文献分类号"/>
    <w:uiPriority w:val="0"/>
    <w:pPr>
      <w:framePr w:hSpace="180" w:vSpace="180" w:wrap="around" w:vAnchor="margin" w:hAnchor="margin" w:y="1" w:anchorLock="1"/>
      <w:widowControl w:val="0"/>
      <w:textAlignment w:val="center"/>
    </w:pPr>
    <w:rPr>
      <w:rFonts w:ascii="Times New Roman" w:hAnsi="Times New Roman" w:eastAsia="黑体" w:cs="Times New Roman"/>
      <w:sz w:val="21"/>
      <w:lang w:val="en-US" w:eastAsia="zh-CN" w:bidi="ar-SA"/>
    </w:rPr>
  </w:style>
  <w:style w:type="paragraph" w:customStyle="1" w:styleId="157">
    <w:name w:val="无标题条"/>
    <w:next w:val="56"/>
    <w:uiPriority w:val="0"/>
    <w:pPr>
      <w:jc w:val="both"/>
    </w:pPr>
    <w:rPr>
      <w:rFonts w:ascii="宋体" w:hAnsi="宋体" w:eastAsia="宋体" w:cs="Times New Roman"/>
      <w:sz w:val="21"/>
      <w:lang w:val="en-US" w:eastAsia="zh-CN" w:bidi="ar-SA"/>
    </w:rPr>
  </w:style>
  <w:style w:type="paragraph" w:customStyle="1" w:styleId="158">
    <w:name w:val="五级无标题条"/>
    <w:basedOn w:val="1"/>
    <w:uiPriority w:val="0"/>
    <w:pPr>
      <w:numPr>
        <w:ilvl w:val="6"/>
        <w:numId w:val="20"/>
      </w:numPr>
      <w:adjustRightInd/>
    </w:pPr>
    <w:rPr>
      <w:szCs w:val="24"/>
    </w:rPr>
  </w:style>
  <w:style w:type="paragraph" w:customStyle="1" w:styleId="159">
    <w:name w:val="一级无标题条"/>
    <w:basedOn w:val="1"/>
    <w:uiPriority w:val="0"/>
    <w:pPr>
      <w:numPr>
        <w:ilvl w:val="2"/>
        <w:numId w:val="20"/>
      </w:numPr>
      <w:adjustRightInd/>
      <w:spacing w:before="10" w:after="10" w:line="240" w:lineRule="auto"/>
    </w:pPr>
    <w:rPr>
      <w:rFonts w:ascii="宋体" w:hAnsi="宋体"/>
      <w:szCs w:val="24"/>
    </w:rPr>
  </w:style>
  <w:style w:type="paragraph" w:customStyle="1" w:styleId="160">
    <w:name w:val="注:后续"/>
    <w:uiPriority w:val="0"/>
    <w:pPr>
      <w:spacing w:line="300" w:lineRule="exact"/>
      <w:ind w:left="600" w:leftChars="400" w:hanging="200" w:hangingChars="200"/>
      <w:jc w:val="both"/>
    </w:pPr>
    <w:rPr>
      <w:rFonts w:ascii="宋体" w:hAnsi="Times New Roman" w:eastAsia="宋体" w:cs="Times New Roman"/>
      <w:sz w:val="18"/>
      <w:lang w:val="en-US" w:eastAsia="zh-CN" w:bidi="ar-SA"/>
    </w:rPr>
  </w:style>
  <w:style w:type="paragraph" w:customStyle="1" w:styleId="161">
    <w:name w:val="注×:后续"/>
    <w:basedOn w:val="160"/>
    <w:uiPriority w:val="0"/>
    <w:pPr>
      <w:ind w:left="1406" w:leftChars="0" w:hanging="499" w:firstLineChars="0"/>
    </w:pPr>
  </w:style>
  <w:style w:type="paragraph" w:customStyle="1" w:styleId="162">
    <w:name w:val="标准文件_一级无标题"/>
    <w:basedOn w:val="105"/>
    <w:qFormat/>
    <w:uiPriority w:val="0"/>
    <w:pPr>
      <w:spacing w:before="0" w:beforeLines="0" w:after="0" w:afterLines="0"/>
      <w:outlineLvl w:val="9"/>
    </w:pPr>
    <w:rPr>
      <w:rFonts w:ascii="宋体" w:eastAsia="宋体"/>
    </w:rPr>
  </w:style>
  <w:style w:type="paragraph" w:customStyle="1" w:styleId="163">
    <w:name w:val="标准文件_五级无标题"/>
    <w:basedOn w:val="103"/>
    <w:qFormat/>
    <w:uiPriority w:val="0"/>
    <w:pPr>
      <w:spacing w:before="0" w:beforeLines="0" w:after="0" w:afterLines="0"/>
      <w:outlineLvl w:val="9"/>
    </w:pPr>
    <w:rPr>
      <w:rFonts w:ascii="宋体" w:eastAsia="宋体"/>
    </w:rPr>
  </w:style>
  <w:style w:type="paragraph" w:customStyle="1" w:styleId="164">
    <w:name w:val="标准文件_三级无标题"/>
    <w:basedOn w:val="94"/>
    <w:qFormat/>
    <w:uiPriority w:val="0"/>
    <w:pPr>
      <w:spacing w:before="0" w:beforeLines="0" w:after="0" w:afterLines="0"/>
      <w:outlineLvl w:val="9"/>
    </w:pPr>
    <w:rPr>
      <w:rFonts w:ascii="宋体" w:eastAsia="宋体"/>
    </w:rPr>
  </w:style>
  <w:style w:type="paragraph" w:customStyle="1" w:styleId="165">
    <w:name w:val="标准文件_二级无标题"/>
    <w:basedOn w:val="65"/>
    <w:qFormat/>
    <w:uiPriority w:val="0"/>
    <w:pPr>
      <w:spacing w:before="0" w:beforeLines="0" w:after="0" w:afterLines="0"/>
      <w:outlineLvl w:val="9"/>
    </w:pPr>
    <w:rPr>
      <w:rFonts w:ascii="宋体" w:eastAsia="宋体"/>
    </w:rPr>
  </w:style>
  <w:style w:type="paragraph" w:customStyle="1" w:styleId="166">
    <w:name w:val="标准_四级无标题"/>
    <w:basedOn w:val="98"/>
    <w:next w:val="56"/>
    <w:qFormat/>
    <w:uiPriority w:val="0"/>
    <w:rPr>
      <w:rFonts w:eastAsia="宋体"/>
    </w:rPr>
  </w:style>
  <w:style w:type="paragraph" w:customStyle="1" w:styleId="167">
    <w:name w:val="标准文件_四级无标题"/>
    <w:basedOn w:val="98"/>
    <w:qFormat/>
    <w:uiPriority w:val="0"/>
    <w:pPr>
      <w:spacing w:before="0" w:beforeLines="0" w:after="0" w:afterLines="0"/>
      <w:outlineLvl w:val="9"/>
    </w:pPr>
    <w:rPr>
      <w:rFonts w:ascii="宋体" w:hAnsi="黑体" w:eastAsia="宋体"/>
      <w:szCs w:val="52"/>
    </w:rPr>
  </w:style>
  <w:style w:type="paragraph" w:customStyle="1" w:styleId="168">
    <w:name w:val="标准文件_大写罗马数字编号列项"/>
    <w:basedOn w:val="56"/>
    <w:uiPriority w:val="0"/>
    <w:pPr>
      <w:numPr>
        <w:ilvl w:val="0"/>
        <w:numId w:val="23"/>
      </w:numPr>
      <w:ind w:firstLine="0" w:firstLineChars="0"/>
    </w:pPr>
    <w:rPr>
      <w:rFonts w:cs="Arial"/>
      <w:szCs w:val="28"/>
    </w:rPr>
  </w:style>
  <w:style w:type="paragraph" w:customStyle="1" w:styleId="169">
    <w:name w:val="标准文件_小写罗马数字编号列项"/>
    <w:basedOn w:val="56"/>
    <w:uiPriority w:val="0"/>
    <w:pPr>
      <w:numPr>
        <w:ilvl w:val="0"/>
        <w:numId w:val="24"/>
      </w:numPr>
      <w:ind w:firstLine="0" w:firstLineChars="0"/>
    </w:pPr>
    <w:rPr>
      <w:rFonts w:cs="Arial"/>
      <w:szCs w:val="28"/>
    </w:rPr>
  </w:style>
  <w:style w:type="paragraph" w:customStyle="1" w:styleId="170">
    <w:name w:val="标准文件_附录标题"/>
    <w:basedOn w:val="76"/>
    <w:qFormat/>
    <w:uiPriority w:val="0"/>
    <w:pPr>
      <w:numPr>
        <w:numId w:val="0"/>
      </w:numPr>
      <w:spacing w:after="280"/>
      <w:outlineLvl w:val="9"/>
    </w:pPr>
  </w:style>
  <w:style w:type="paragraph" w:customStyle="1" w:styleId="171">
    <w:name w:val="标准文件_二级项"/>
    <w:uiPriority w:val="0"/>
    <w:rPr>
      <w:rFonts w:ascii="宋体" w:hAnsi="Times New Roman" w:eastAsia="宋体" w:cs="Times New Roman"/>
      <w:sz w:val="21"/>
      <w:lang w:val="en-US" w:eastAsia="zh-CN" w:bidi="ar-SA"/>
    </w:rPr>
  </w:style>
  <w:style w:type="paragraph" w:customStyle="1" w:styleId="172">
    <w:name w:val="标准文件_三级项"/>
    <w:basedOn w:val="1"/>
    <w:uiPriority w:val="0"/>
    <w:pPr>
      <w:numPr>
        <w:ilvl w:val="2"/>
        <w:numId w:val="21"/>
      </w:numPr>
      <w:spacing w:line="536870612" w:lineRule="auto"/>
    </w:pPr>
    <w:rPr>
      <w:rFonts w:ascii="Times New Roman" w:hAnsi="Times New Roman"/>
    </w:rPr>
  </w:style>
  <w:style w:type="paragraph" w:customStyle="1" w:styleId="173">
    <w:name w:val="图表脚注说明"/>
    <w:basedOn w:val="1"/>
    <w:next w:val="56"/>
    <w:uiPriority w:val="0"/>
    <w:pPr>
      <w:numPr>
        <w:ilvl w:val="0"/>
        <w:numId w:val="25"/>
      </w:numPr>
      <w:adjustRightInd/>
      <w:spacing w:line="240" w:lineRule="auto"/>
    </w:pPr>
    <w:rPr>
      <w:rFonts w:ascii="宋体" w:hAnsi="Times New Roman"/>
      <w:sz w:val="18"/>
      <w:szCs w:val="18"/>
    </w:rPr>
  </w:style>
  <w:style w:type="paragraph" w:customStyle="1" w:styleId="174">
    <w:name w:val="标准文件_字母编号列项（一级）"/>
    <w:uiPriority w:val="0"/>
    <w:pPr>
      <w:numPr>
        <w:ilvl w:val="0"/>
        <w:numId w:val="13"/>
      </w:numPr>
      <w:jc w:val="both"/>
    </w:pPr>
    <w:rPr>
      <w:rFonts w:ascii="宋体" w:hAnsi="Times New Roman" w:eastAsia="宋体" w:cs="Times New Roman"/>
      <w:sz w:val="21"/>
      <w:lang w:val="en-US" w:eastAsia="zh-CN" w:bidi="ar-SA"/>
    </w:rPr>
  </w:style>
  <w:style w:type="paragraph" w:customStyle="1" w:styleId="175">
    <w:name w:val="标准文件_索引字母"/>
    <w:next w:val="56"/>
    <w:qFormat/>
    <w:uiPriority w:val="0"/>
    <w:pPr>
      <w:jc w:val="center"/>
    </w:pPr>
    <w:rPr>
      <w:rFonts w:ascii="宋体" w:hAnsi="宋体" w:eastAsia="Times New Roman" w:cs="Times New Roman"/>
      <w:b/>
      <w:kern w:val="2"/>
      <w:sz w:val="21"/>
      <w:lang w:val="en-US" w:eastAsia="zh-CN" w:bidi="ar-SA"/>
    </w:rPr>
  </w:style>
  <w:style w:type="paragraph" w:customStyle="1" w:styleId="176">
    <w:name w:val="标准文件_附录前"/>
    <w:next w:val="56"/>
    <w:qFormat/>
    <w:uiPriority w:val="0"/>
    <w:pPr>
      <w:spacing w:line="20" w:lineRule="atLeast"/>
      <w:ind w:firstLine="200"/>
    </w:pPr>
    <w:rPr>
      <w:rFonts w:ascii="宋体" w:hAnsi="宋体" w:eastAsia="宋体" w:cs="Times New Roman"/>
      <w:kern w:val="2"/>
      <w:sz w:val="10"/>
      <w:lang w:val="en-US" w:eastAsia="zh-CN" w:bidi="ar-SA"/>
    </w:rPr>
  </w:style>
  <w:style w:type="paragraph" w:customStyle="1" w:styleId="177">
    <w:name w:val="标准文件_正文标准名称"/>
    <w:qFormat/>
    <w:uiPriority w:val="0"/>
    <w:pPr>
      <w:spacing w:before="560" w:after="640" w:line="400" w:lineRule="exact"/>
      <w:jc w:val="center"/>
    </w:pPr>
    <w:rPr>
      <w:rFonts w:ascii="黑体" w:hAnsi="黑体" w:eastAsia="黑体" w:cs="Times New Roman"/>
      <w:kern w:val="2"/>
      <w:sz w:val="32"/>
      <w:szCs w:val="32"/>
      <w:lang w:val="en-US" w:eastAsia="zh-CN" w:bidi="ar-SA"/>
    </w:rPr>
  </w:style>
  <w:style w:type="paragraph" w:customStyle="1" w:styleId="178">
    <w:name w:val="标准文件_表格"/>
    <w:basedOn w:val="56"/>
    <w:qFormat/>
    <w:uiPriority w:val="0"/>
    <w:pPr>
      <w:ind w:firstLine="0" w:firstLineChars="0"/>
      <w:jc w:val="center"/>
    </w:pPr>
    <w:rPr>
      <w:sz w:val="18"/>
    </w:rPr>
  </w:style>
  <w:style w:type="paragraph" w:customStyle="1" w:styleId="179">
    <w:name w:val="标准文件_注："/>
    <w:next w:val="56"/>
    <w:uiPriority w:val="0"/>
    <w:pPr>
      <w:widowControl w:val="0"/>
      <w:numPr>
        <w:ilvl w:val="0"/>
        <w:numId w:val="26"/>
      </w:numPr>
      <w:autoSpaceDE w:val="0"/>
      <w:autoSpaceDN w:val="0"/>
      <w:jc w:val="both"/>
    </w:pPr>
    <w:rPr>
      <w:rFonts w:ascii="宋体" w:hAnsi="Times New Roman" w:eastAsia="宋体" w:cs="Times New Roman"/>
      <w:sz w:val="18"/>
      <w:szCs w:val="18"/>
      <w:lang w:val="en-US" w:eastAsia="zh-CN" w:bidi="ar-SA"/>
    </w:rPr>
  </w:style>
  <w:style w:type="paragraph" w:customStyle="1" w:styleId="180">
    <w:name w:val="标准文件_注×："/>
    <w:uiPriority w:val="0"/>
    <w:pPr>
      <w:widowControl w:val="0"/>
      <w:numPr>
        <w:ilvl w:val="0"/>
        <w:numId w:val="27"/>
      </w:numPr>
      <w:autoSpaceDE w:val="0"/>
      <w:autoSpaceDN w:val="0"/>
      <w:jc w:val="both"/>
    </w:pPr>
    <w:rPr>
      <w:rFonts w:ascii="宋体" w:hAnsi="Times New Roman" w:eastAsia="宋体" w:cs="Times New Roman"/>
      <w:sz w:val="18"/>
      <w:szCs w:val="18"/>
      <w:lang w:val="en-US" w:eastAsia="zh-CN" w:bidi="ar-SA"/>
    </w:rPr>
  </w:style>
  <w:style w:type="paragraph" w:customStyle="1" w:styleId="181">
    <w:name w:val="标准文件_示例："/>
    <w:next w:val="182"/>
    <w:uiPriority w:val="0"/>
    <w:pPr>
      <w:widowControl w:val="0"/>
      <w:numPr>
        <w:ilvl w:val="0"/>
        <w:numId w:val="28"/>
      </w:numPr>
      <w:jc w:val="both"/>
    </w:pPr>
    <w:rPr>
      <w:rFonts w:ascii="宋体" w:hAnsi="Times New Roman" w:eastAsia="宋体" w:cs="Times New Roman"/>
      <w:sz w:val="18"/>
      <w:szCs w:val="18"/>
      <w:lang w:val="en-US" w:eastAsia="zh-CN" w:bidi="ar-SA"/>
    </w:rPr>
  </w:style>
  <w:style w:type="paragraph" w:customStyle="1" w:styleId="182">
    <w:name w:val="标准文件_示例内容"/>
    <w:basedOn w:val="56"/>
    <w:qFormat/>
    <w:uiPriority w:val="0"/>
    <w:pPr>
      <w:ind w:firstLine="420"/>
    </w:pPr>
    <w:rPr>
      <w:sz w:val="18"/>
    </w:rPr>
  </w:style>
  <w:style w:type="paragraph" w:customStyle="1" w:styleId="183">
    <w:name w:val="标准文件_示例×："/>
    <w:basedOn w:val="1"/>
    <w:next w:val="182"/>
    <w:qFormat/>
    <w:uiPriority w:val="0"/>
    <w:pPr>
      <w:widowControl/>
      <w:numPr>
        <w:ilvl w:val="0"/>
        <w:numId w:val="29"/>
      </w:numPr>
      <w:adjustRightInd/>
      <w:spacing w:line="240" w:lineRule="auto"/>
    </w:pPr>
    <w:rPr>
      <w:rFonts w:ascii="宋体" w:hAnsi="Times New Roman"/>
      <w:kern w:val="0"/>
      <w:sz w:val="18"/>
      <w:szCs w:val="18"/>
    </w:rPr>
  </w:style>
  <w:style w:type="character" w:customStyle="1" w:styleId="184">
    <w:name w:val="标准文件_段 Char"/>
    <w:link w:val="56"/>
    <w:uiPriority w:val="0"/>
    <w:rPr>
      <w:rFonts w:ascii="Times New Roman" w:hAnsi="Times New Roman"/>
      <w:sz w:val="21"/>
    </w:rPr>
  </w:style>
  <w:style w:type="paragraph" w:customStyle="1" w:styleId="185">
    <w:name w:val="标准文件_表格续"/>
    <w:basedOn w:val="56"/>
    <w:next w:val="56"/>
    <w:qFormat/>
    <w:uiPriority w:val="0"/>
    <w:pPr>
      <w:jc w:val="center"/>
    </w:pPr>
    <w:rPr>
      <w:rFonts w:ascii="黑体" w:hAnsi="黑体" w:eastAsia="黑体"/>
    </w:rPr>
  </w:style>
  <w:style w:type="character" w:styleId="186">
    <w:name w:val="Placeholder Text"/>
    <w:basedOn w:val="28"/>
    <w:semiHidden/>
    <w:uiPriority w:val="99"/>
    <w:rPr>
      <w:color w:val="808080"/>
    </w:rPr>
  </w:style>
  <w:style w:type="paragraph" w:customStyle="1" w:styleId="187">
    <w:name w:val="标准文件_二级项2"/>
    <w:basedOn w:val="56"/>
    <w:qFormat/>
    <w:uiPriority w:val="0"/>
    <w:pPr>
      <w:numPr>
        <w:ilvl w:val="1"/>
        <w:numId w:val="21"/>
      </w:numPr>
      <w:ind w:firstLine="0" w:firstLineChars="0"/>
    </w:pPr>
  </w:style>
  <w:style w:type="paragraph" w:customStyle="1" w:styleId="188">
    <w:name w:val="标准文件_三级项2"/>
    <w:basedOn w:val="56"/>
    <w:qFormat/>
    <w:uiPriority w:val="0"/>
    <w:pPr>
      <w:numPr>
        <w:ilvl w:val="0"/>
        <w:numId w:val="30"/>
      </w:numPr>
      <w:spacing w:line="300" w:lineRule="exact"/>
      <w:ind w:firstLineChars="0"/>
    </w:pPr>
  </w:style>
  <w:style w:type="paragraph" w:customStyle="1" w:styleId="189">
    <w:name w:val="标准文件_一级项2"/>
    <w:basedOn w:val="56"/>
    <w:qFormat/>
    <w:uiPriority w:val="0"/>
    <w:pPr>
      <w:numPr>
        <w:ilvl w:val="0"/>
        <w:numId w:val="31"/>
      </w:numPr>
      <w:spacing w:line="300" w:lineRule="exact"/>
      <w:ind w:firstLineChars="0"/>
    </w:pPr>
  </w:style>
  <w:style w:type="paragraph" w:customStyle="1" w:styleId="190">
    <w:name w:val="标准文件_提示"/>
    <w:basedOn w:val="56"/>
    <w:next w:val="56"/>
    <w:qFormat/>
    <w:uiPriority w:val="0"/>
    <w:pPr>
      <w:ind w:firstLine="420"/>
    </w:pPr>
    <w:rPr>
      <w:rFonts w:ascii="黑体" w:eastAsia="黑体"/>
    </w:rPr>
  </w:style>
  <w:style w:type="character" w:customStyle="1" w:styleId="191">
    <w:name w:val="标准文件_来源"/>
    <w:basedOn w:val="28"/>
    <w:qFormat/>
    <w:uiPriority w:val="1"/>
    <w:rPr>
      <w:rFonts w:eastAsia="宋体"/>
      <w:sz w:val="21"/>
    </w:rPr>
  </w:style>
  <w:style w:type="paragraph" w:customStyle="1" w:styleId="192">
    <w:name w:val="标准文件_图表说明"/>
    <w:qFormat/>
    <w:uiPriority w:val="0"/>
    <w:pPr>
      <w:spacing w:line="276" w:lineRule="auto"/>
      <w:ind w:firstLine="420"/>
    </w:pPr>
    <w:rPr>
      <w:rFonts w:ascii="宋体" w:hAnsi="宋体" w:eastAsia="宋体" w:cs="Times New Roman"/>
      <w:kern w:val="2"/>
      <w:sz w:val="18"/>
      <w:lang w:val="en-US" w:eastAsia="zh-CN" w:bidi="ar-SA"/>
    </w:rPr>
  </w:style>
  <w:style w:type="paragraph" w:customStyle="1" w:styleId="193">
    <w:name w:val="其他发布日期"/>
    <w:basedOn w:val="120"/>
    <w:uiPriority w:val="0"/>
    <w:pPr>
      <w:framePr w:w="3997" w:h="471" w:hRule="exact" w:hSpace="0" w:vSpace="181" w:wrap="around" w:vAnchor="page" w:hAnchor="page" w:x="1419" w:y="14097"/>
    </w:pPr>
  </w:style>
  <w:style w:type="paragraph" w:customStyle="1" w:styleId="194">
    <w:name w:val="其他实施日期"/>
    <w:basedOn w:val="154"/>
    <w:uiPriority w:val="0"/>
    <w:pPr>
      <w:framePr w:w="3997" w:h="471" w:hRule="exact" w:vSpace="181" w:wrap="around" w:vAnchor="page" w:hAnchor="page" w:x="7089" w:y="14097"/>
    </w:pPr>
  </w:style>
  <w:style w:type="paragraph" w:customStyle="1" w:styleId="195">
    <w:name w:val="标准文件_文件编号"/>
    <w:basedOn w:val="56"/>
    <w:qFormat/>
    <w:uiPriority w:val="0"/>
    <w:pPr>
      <w:framePr w:w="9356" w:h="624" w:hRule="exact" w:hSpace="181" w:vSpace="181" w:wrap="auto" w:vAnchor="page" w:hAnchor="page" w:x="1419" w:y="3284"/>
      <w:wordWrap w:val="0"/>
      <w:spacing w:line="280" w:lineRule="exact"/>
      <w:ind w:firstLine="0" w:firstLineChars="0"/>
      <w:jc w:val="right"/>
    </w:pPr>
    <w:rPr>
      <w:rFonts w:ascii="黑体" w:eastAsia="黑体"/>
      <w:bCs/>
      <w:sz w:val="28"/>
      <w:szCs w:val="28"/>
    </w:rPr>
  </w:style>
  <w:style w:type="paragraph" w:customStyle="1" w:styleId="196">
    <w:name w:val="标准文件_替换文件编号"/>
    <w:basedOn w:val="195"/>
    <w:qFormat/>
    <w:uiPriority w:val="0"/>
    <w:pPr>
      <w:framePr/>
      <w:spacing w:before="57"/>
    </w:pPr>
    <w:rPr>
      <w:sz w:val="21"/>
    </w:rPr>
  </w:style>
  <w:style w:type="paragraph" w:customStyle="1" w:styleId="197">
    <w:name w:val="标准文件_文件名称"/>
    <w:basedOn w:val="56"/>
    <w:next w:val="56"/>
    <w:qFormat/>
    <w:uiPriority w:val="0"/>
    <w:pPr>
      <w:framePr w:w="9639" w:h="6976" w:hRule="exact" w:wrap="auto" w:vAnchor="page" w:hAnchor="page" w:y="6408"/>
      <w:autoSpaceDE/>
      <w:autoSpaceDN/>
      <w:spacing w:line="700" w:lineRule="exact"/>
      <w:ind w:firstLine="0" w:firstLineChars="0"/>
      <w:jc w:val="center"/>
    </w:pPr>
    <w:rPr>
      <w:rFonts w:ascii="黑体" w:hAnsi="黑体" w:eastAsia="黑体"/>
      <w:bCs/>
      <w:sz w:val="52"/>
    </w:rPr>
  </w:style>
  <w:style w:type="paragraph" w:customStyle="1" w:styleId="198">
    <w:name w:val="标准文件_附录图标号"/>
    <w:basedOn w:val="56"/>
    <w:next w:val="56"/>
    <w:qFormat/>
    <w:uiPriority w:val="0"/>
    <w:pPr>
      <w:numPr>
        <w:ilvl w:val="0"/>
        <w:numId w:val="6"/>
      </w:numPr>
      <w:spacing w:line="14" w:lineRule="exact"/>
      <w:ind w:firstLine="0" w:firstLineChars="0"/>
      <w:jc w:val="center"/>
    </w:pPr>
    <w:rPr>
      <w:rFonts w:ascii="黑体" w:hAnsi="黑体" w:eastAsia="黑体"/>
      <w:vanish/>
      <w:sz w:val="2"/>
      <w:szCs w:val="21"/>
    </w:rPr>
  </w:style>
  <w:style w:type="paragraph" w:customStyle="1" w:styleId="199">
    <w:name w:val="标准文件_附录表标号"/>
    <w:basedOn w:val="56"/>
    <w:next w:val="56"/>
    <w:qFormat/>
    <w:uiPriority w:val="0"/>
    <w:pPr>
      <w:numPr>
        <w:ilvl w:val="0"/>
        <w:numId w:val="5"/>
      </w:numPr>
      <w:spacing w:line="14" w:lineRule="exact"/>
      <w:ind w:firstLine="0" w:firstLineChars="0"/>
      <w:jc w:val="center"/>
    </w:pPr>
    <w:rPr>
      <w:rFonts w:eastAsia="黑体"/>
      <w:vanish/>
      <w:sz w:val="2"/>
    </w:rPr>
  </w:style>
  <w:style w:type="paragraph" w:customStyle="1" w:styleId="200">
    <w:name w:val="标准文件_引言一级条标题"/>
    <w:basedOn w:val="56"/>
    <w:next w:val="56"/>
    <w:qFormat/>
    <w:uiPriority w:val="0"/>
    <w:pPr>
      <w:numPr>
        <w:ilvl w:val="1"/>
        <w:numId w:val="8"/>
      </w:numPr>
      <w:spacing w:before="50" w:beforeLines="50" w:after="50" w:afterLines="50"/>
      <w:ind w:firstLineChars="0"/>
    </w:pPr>
    <w:rPr>
      <w:rFonts w:ascii="黑体" w:eastAsia="黑体"/>
    </w:rPr>
  </w:style>
  <w:style w:type="paragraph" w:customStyle="1" w:styleId="201">
    <w:name w:val="标准文件_引言二级条标题"/>
    <w:basedOn w:val="56"/>
    <w:next w:val="56"/>
    <w:qFormat/>
    <w:uiPriority w:val="0"/>
    <w:pPr>
      <w:numPr>
        <w:ilvl w:val="2"/>
        <w:numId w:val="8"/>
      </w:numPr>
      <w:spacing w:before="50" w:beforeLines="50" w:after="50" w:afterLines="50"/>
      <w:ind w:firstLineChars="0"/>
    </w:pPr>
    <w:rPr>
      <w:rFonts w:ascii="黑体" w:eastAsia="黑体"/>
    </w:rPr>
  </w:style>
  <w:style w:type="paragraph" w:customStyle="1" w:styleId="202">
    <w:name w:val="标准文件_引言三级条标题"/>
    <w:basedOn w:val="56"/>
    <w:next w:val="56"/>
    <w:qFormat/>
    <w:uiPriority w:val="0"/>
    <w:pPr>
      <w:numPr>
        <w:ilvl w:val="3"/>
        <w:numId w:val="8"/>
      </w:numPr>
      <w:spacing w:before="50" w:beforeLines="50" w:after="50" w:afterLines="50"/>
      <w:ind w:firstLineChars="0"/>
    </w:pPr>
    <w:rPr>
      <w:rFonts w:ascii="黑体" w:eastAsia="黑体"/>
    </w:rPr>
  </w:style>
  <w:style w:type="paragraph" w:customStyle="1" w:styleId="203">
    <w:name w:val="标准文件_引言四级条标题"/>
    <w:basedOn w:val="56"/>
    <w:next w:val="56"/>
    <w:qFormat/>
    <w:uiPriority w:val="0"/>
    <w:pPr>
      <w:numPr>
        <w:ilvl w:val="4"/>
        <w:numId w:val="8"/>
      </w:numPr>
      <w:spacing w:before="50" w:beforeLines="50" w:after="50" w:afterLines="50"/>
      <w:ind w:firstLineChars="0"/>
    </w:pPr>
    <w:rPr>
      <w:rFonts w:ascii="黑体" w:eastAsia="黑体"/>
    </w:rPr>
  </w:style>
  <w:style w:type="paragraph" w:customStyle="1" w:styleId="204">
    <w:name w:val="标准文件_引言五级条标题"/>
    <w:basedOn w:val="56"/>
    <w:next w:val="56"/>
    <w:qFormat/>
    <w:uiPriority w:val="0"/>
    <w:pPr>
      <w:numPr>
        <w:ilvl w:val="5"/>
        <w:numId w:val="8"/>
      </w:numPr>
      <w:spacing w:before="50" w:beforeLines="50" w:after="50" w:afterLines="50"/>
      <w:ind w:firstLineChars="0"/>
    </w:pPr>
    <w:rPr>
      <w:rFonts w:ascii="黑体" w:eastAsia="黑体"/>
    </w:rPr>
  </w:style>
  <w:style w:type="paragraph" w:customStyle="1" w:styleId="205">
    <w:name w:val="标准文件_注后"/>
    <w:basedOn w:val="56"/>
    <w:qFormat/>
    <w:uiPriority w:val="0"/>
    <w:pPr>
      <w:ind w:left="811" w:firstLine="0" w:firstLineChars="0"/>
    </w:pPr>
    <w:rPr>
      <w:sz w:val="18"/>
    </w:rPr>
  </w:style>
  <w:style w:type="paragraph" w:customStyle="1" w:styleId="206">
    <w:name w:val="标准文件_注X后"/>
    <w:basedOn w:val="56"/>
    <w:qFormat/>
    <w:uiPriority w:val="0"/>
    <w:pPr>
      <w:ind w:left="811" w:firstLine="0" w:firstLineChars="0"/>
    </w:pPr>
    <w:rPr>
      <w:sz w:val="18"/>
    </w:rPr>
  </w:style>
  <w:style w:type="paragraph" w:customStyle="1" w:styleId="207">
    <w:name w:val="标准文件_示例后"/>
    <w:basedOn w:val="56"/>
    <w:qFormat/>
    <w:uiPriority w:val="0"/>
    <w:pPr>
      <w:ind w:left="964" w:firstLine="0" w:firstLineChars="0"/>
    </w:pPr>
    <w:rPr>
      <w:sz w:val="18"/>
    </w:rPr>
  </w:style>
  <w:style w:type="paragraph" w:customStyle="1" w:styleId="208">
    <w:name w:val="标准文件_示例X后"/>
    <w:basedOn w:val="56"/>
    <w:link w:val="209"/>
    <w:qFormat/>
    <w:uiPriority w:val="0"/>
    <w:pPr>
      <w:ind w:left="1049" w:firstLine="0" w:firstLineChars="0"/>
    </w:pPr>
    <w:rPr>
      <w:sz w:val="18"/>
    </w:rPr>
  </w:style>
  <w:style w:type="character" w:customStyle="1" w:styleId="209">
    <w:name w:val="标准文件_示例X后 字符"/>
    <w:basedOn w:val="184"/>
    <w:link w:val="208"/>
    <w:uiPriority w:val="0"/>
    <w:rPr>
      <w:rFonts w:ascii="宋体" w:hAnsi="Times New Roman"/>
      <w:sz w:val="18"/>
    </w:rPr>
  </w:style>
  <w:style w:type="paragraph" w:customStyle="1" w:styleId="210">
    <w:name w:val="标准文件_索引项"/>
    <w:basedOn w:val="56"/>
    <w:next w:val="56"/>
    <w:qFormat/>
    <w:uiPriority w:val="0"/>
    <w:pPr>
      <w:tabs>
        <w:tab w:val="right" w:leader="dot" w:pos="9356"/>
      </w:tabs>
      <w:ind w:left="210" w:hanging="210" w:firstLineChars="0"/>
      <w:jc w:val="left"/>
    </w:pPr>
  </w:style>
  <w:style w:type="paragraph" w:customStyle="1" w:styleId="211">
    <w:name w:val="标准文件_附录一级无标题"/>
    <w:basedOn w:val="78"/>
    <w:qFormat/>
    <w:uiPriority w:val="0"/>
    <w:pPr>
      <w:spacing w:before="0" w:beforeLines="0" w:after="0" w:afterLines="0" w:line="276" w:lineRule="auto"/>
      <w:outlineLvl w:val="9"/>
    </w:pPr>
    <w:rPr>
      <w:rFonts w:ascii="宋体" w:eastAsia="宋体"/>
    </w:rPr>
  </w:style>
  <w:style w:type="paragraph" w:customStyle="1" w:styleId="212">
    <w:name w:val="标准文件_附录二级无标题"/>
    <w:basedOn w:val="79"/>
    <w:uiPriority w:val="0"/>
    <w:pPr>
      <w:spacing w:before="0" w:beforeLines="0" w:after="0" w:afterLines="0" w:line="276" w:lineRule="auto"/>
      <w:outlineLvl w:val="9"/>
    </w:pPr>
    <w:rPr>
      <w:rFonts w:ascii="宋体" w:eastAsia="宋体"/>
    </w:rPr>
  </w:style>
  <w:style w:type="paragraph" w:customStyle="1" w:styleId="213">
    <w:name w:val="标准文件_附录三级无标题"/>
    <w:basedOn w:val="81"/>
    <w:qFormat/>
    <w:uiPriority w:val="0"/>
    <w:pPr>
      <w:spacing w:before="0" w:beforeLines="0" w:after="0" w:afterLines="0" w:line="276" w:lineRule="auto"/>
      <w:outlineLvl w:val="9"/>
    </w:pPr>
    <w:rPr>
      <w:rFonts w:ascii="宋体" w:eastAsia="宋体"/>
    </w:rPr>
  </w:style>
  <w:style w:type="paragraph" w:customStyle="1" w:styleId="214">
    <w:name w:val="标准文件_附录四级无标题"/>
    <w:basedOn w:val="82"/>
    <w:qFormat/>
    <w:uiPriority w:val="0"/>
    <w:pPr>
      <w:spacing w:before="0" w:beforeLines="0" w:after="0" w:afterLines="0" w:line="276" w:lineRule="auto"/>
      <w:outlineLvl w:val="9"/>
    </w:pPr>
    <w:rPr>
      <w:rFonts w:ascii="宋体" w:eastAsia="宋体"/>
    </w:rPr>
  </w:style>
  <w:style w:type="paragraph" w:customStyle="1" w:styleId="215">
    <w:name w:val="标准文件_附录五级无标题"/>
    <w:basedOn w:val="84"/>
    <w:qFormat/>
    <w:uiPriority w:val="0"/>
    <w:pPr>
      <w:spacing w:before="0" w:beforeLines="0" w:after="0" w:afterLines="0" w:line="276" w:lineRule="auto"/>
      <w:outlineLvl w:val="9"/>
    </w:pPr>
    <w:rPr>
      <w:rFonts w:ascii="宋体" w:eastAsia="宋体"/>
    </w:rPr>
  </w:style>
  <w:style w:type="paragraph" w:customStyle="1" w:styleId="216">
    <w:name w:val="标准文件_引言一级无标题"/>
    <w:basedOn w:val="200"/>
    <w:next w:val="56"/>
    <w:qFormat/>
    <w:uiPriority w:val="0"/>
    <w:pPr>
      <w:spacing w:before="0" w:beforeLines="0" w:after="0" w:afterLines="0" w:line="276" w:lineRule="auto"/>
    </w:pPr>
    <w:rPr>
      <w:rFonts w:ascii="宋体" w:eastAsia="宋体"/>
    </w:rPr>
  </w:style>
  <w:style w:type="paragraph" w:customStyle="1" w:styleId="217">
    <w:name w:val="标准文件_引言二级无标题"/>
    <w:basedOn w:val="201"/>
    <w:next w:val="56"/>
    <w:qFormat/>
    <w:uiPriority w:val="0"/>
    <w:pPr>
      <w:spacing w:before="0" w:beforeLines="0" w:after="0" w:afterLines="0" w:line="276" w:lineRule="auto"/>
    </w:pPr>
    <w:rPr>
      <w:rFonts w:ascii="宋体" w:eastAsia="宋体"/>
    </w:rPr>
  </w:style>
  <w:style w:type="paragraph" w:customStyle="1" w:styleId="218">
    <w:name w:val="标准文件_引言三级无标题"/>
    <w:basedOn w:val="202"/>
    <w:qFormat/>
    <w:uiPriority w:val="0"/>
    <w:pPr>
      <w:spacing w:before="0" w:beforeLines="0" w:after="0" w:afterLines="0" w:line="276" w:lineRule="auto"/>
    </w:pPr>
    <w:rPr>
      <w:rFonts w:ascii="宋体" w:eastAsia="宋体"/>
    </w:rPr>
  </w:style>
  <w:style w:type="paragraph" w:customStyle="1" w:styleId="219">
    <w:name w:val="标准文件_引言四级无标题"/>
    <w:basedOn w:val="203"/>
    <w:next w:val="56"/>
    <w:qFormat/>
    <w:uiPriority w:val="0"/>
    <w:pPr>
      <w:spacing w:before="0" w:beforeLines="0" w:after="0" w:afterLines="0" w:line="276" w:lineRule="auto"/>
    </w:pPr>
    <w:rPr>
      <w:rFonts w:ascii="宋体" w:eastAsia="宋体"/>
    </w:rPr>
  </w:style>
  <w:style w:type="paragraph" w:customStyle="1" w:styleId="220">
    <w:name w:val="标准文件_引言五级无标题"/>
    <w:basedOn w:val="204"/>
    <w:next w:val="56"/>
    <w:qFormat/>
    <w:uiPriority w:val="0"/>
    <w:pPr>
      <w:spacing w:before="0" w:beforeLines="0" w:after="0" w:afterLines="0" w:line="276" w:lineRule="auto"/>
    </w:pPr>
    <w:rPr>
      <w:rFonts w:ascii="宋体" w:eastAsia="宋体"/>
    </w:rPr>
  </w:style>
  <w:style w:type="paragraph" w:customStyle="1" w:styleId="221">
    <w:name w:val="标准文件_索引标题"/>
    <w:basedOn w:val="63"/>
    <w:next w:val="56"/>
    <w:qFormat/>
    <w:uiPriority w:val="0"/>
    <w:rPr>
      <w:rFonts w:hAnsi="黑体"/>
    </w:rPr>
  </w:style>
  <w:style w:type="paragraph" w:customStyle="1" w:styleId="222">
    <w:name w:val="标准文件_脚注内容"/>
    <w:basedOn w:val="56"/>
    <w:qFormat/>
    <w:uiPriority w:val="0"/>
    <w:pPr>
      <w:ind w:left="400" w:leftChars="200" w:hanging="200" w:hangingChars="200"/>
    </w:pPr>
    <w:rPr>
      <w:sz w:val="15"/>
    </w:rPr>
  </w:style>
  <w:style w:type="paragraph" w:customStyle="1" w:styleId="223">
    <w:name w:val="标准文件_术语条一"/>
    <w:basedOn w:val="162"/>
    <w:next w:val="56"/>
    <w:qFormat/>
    <w:uiPriority w:val="0"/>
  </w:style>
  <w:style w:type="paragraph" w:customStyle="1" w:styleId="224">
    <w:name w:val="标准文件_术语条二"/>
    <w:basedOn w:val="165"/>
    <w:next w:val="56"/>
    <w:qFormat/>
    <w:uiPriority w:val="0"/>
  </w:style>
  <w:style w:type="paragraph" w:customStyle="1" w:styleId="225">
    <w:name w:val="标准文件_术语条三"/>
    <w:basedOn w:val="164"/>
    <w:next w:val="56"/>
    <w:qFormat/>
    <w:uiPriority w:val="0"/>
  </w:style>
  <w:style w:type="paragraph" w:customStyle="1" w:styleId="226">
    <w:name w:val="标准文件_术语条四"/>
    <w:basedOn w:val="167"/>
    <w:next w:val="56"/>
    <w:qFormat/>
    <w:uiPriority w:val="0"/>
  </w:style>
  <w:style w:type="paragraph" w:customStyle="1" w:styleId="227">
    <w:name w:val="标准文件_术语条五"/>
    <w:basedOn w:val="163"/>
    <w:next w:val="56"/>
    <w:qFormat/>
    <w:uiPriority w:val="0"/>
  </w:style>
  <w:style w:type="paragraph" w:customStyle="1" w:styleId="228">
    <w:name w:val="Default"/>
    <w:uiPriority w:val="0"/>
    <w:pPr>
      <w:widowControl w:val="0"/>
      <w:autoSpaceDE w:val="0"/>
      <w:autoSpaceDN w:val="0"/>
      <w:adjustRightInd w:val="0"/>
    </w:pPr>
    <w:rPr>
      <w:rFonts w:ascii="宋体" w:hAnsi="Calibri" w:eastAsia="宋体" w:cs="宋体"/>
      <w:color w:val="000000"/>
      <w:sz w:val="24"/>
      <w:szCs w:val="24"/>
      <w:lang w:val="en-US" w:eastAsia="zh-CN" w:bidi="ar-SA"/>
    </w:rPr>
  </w:style>
  <w:style w:type="character" w:customStyle="1" w:styleId="229">
    <w:name w:val="发布"/>
    <w:basedOn w:val="28"/>
    <w:uiPriority w:val="0"/>
    <w:rPr>
      <w:rFonts w:ascii="黑体" w:eastAsia="黑体"/>
      <w:spacing w:val="85"/>
      <w:w w:val="100"/>
      <w:position w:val="3"/>
      <w:sz w:val="28"/>
      <w:szCs w:val="28"/>
    </w:rPr>
  </w:style>
  <w:style w:type="paragraph" w:customStyle="1" w:styleId="230">
    <w:name w:val="段"/>
    <w:link w:val="231"/>
    <w:qFormat/>
    <w:uiPriority w:val="0"/>
    <w:pPr>
      <w:tabs>
        <w:tab w:val="center" w:pos="4201"/>
        <w:tab w:val="right" w:leader="dot" w:pos="9298"/>
      </w:tabs>
      <w:autoSpaceDE w:val="0"/>
      <w:autoSpaceDN w:val="0"/>
      <w:ind w:firstLine="420" w:firstLineChars="200"/>
      <w:jc w:val="both"/>
    </w:pPr>
    <w:rPr>
      <w:rFonts w:ascii="宋体" w:hAnsi="Times New Roman" w:eastAsia="宋体" w:cs="Times New Roman"/>
      <w:sz w:val="21"/>
      <w:lang w:val="en-US" w:eastAsia="zh-CN" w:bidi="ar-SA"/>
    </w:rPr>
  </w:style>
  <w:style w:type="character" w:customStyle="1" w:styleId="231">
    <w:name w:val="段 Char"/>
    <w:link w:val="230"/>
    <w:qFormat/>
    <w:uiPriority w:val="0"/>
    <w:rPr>
      <w:rFonts w:ascii="宋体" w:hAnsi="Times New Roman"/>
      <w:sz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footer" Target="footer2.xml"/><Relationship Id="rId7" Type="http://schemas.openxmlformats.org/officeDocument/2006/relationships/footer" Target="footer1.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glossaryDocument" Target="glossary/document.xml"/><Relationship Id="rId2" Type="http://schemas.openxmlformats.org/officeDocument/2006/relationships/settings" Target="settings.xml"/><Relationship Id="rId19" Type="http://schemas.openxmlformats.org/officeDocument/2006/relationships/fontTable" Target="fontTable.xml"/><Relationship Id="rId18" Type="http://schemas.openxmlformats.org/officeDocument/2006/relationships/customXml" Target="../customXml/item2.xml"/><Relationship Id="rId17" Type="http://schemas.openxmlformats.org/officeDocument/2006/relationships/numbering" Target="numbering.xml"/><Relationship Id="rId16" Type="http://schemas.openxmlformats.org/officeDocument/2006/relationships/customXml" Target="../customXml/item1.xml"/><Relationship Id="rId15" Type="http://schemas.openxmlformats.org/officeDocument/2006/relationships/image" Target="media/image3.jpeg"/><Relationship Id="rId14" Type="http://schemas.openxmlformats.org/officeDocument/2006/relationships/image" Target="media/image2.png"/><Relationship Id="rId13" Type="http://schemas.openxmlformats.org/officeDocument/2006/relationships/image" Target="media/image1.png"/><Relationship Id="rId12" Type="http://schemas.openxmlformats.org/officeDocument/2006/relationships/theme" Target="theme/theme1.xml"/><Relationship Id="rId11" Type="http://schemas.openxmlformats.org/officeDocument/2006/relationships/footer" Target="footer4.xml"/><Relationship Id="rId10" Type="http://schemas.openxmlformats.org/officeDocument/2006/relationships/header" Target="header3.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5D2BCEEC75F34F9D8180C7790819FC69"/>
        <w:style w:val=""/>
        <w:category>
          <w:name w:val="常规"/>
          <w:gallery w:val="placeholder"/>
        </w:category>
        <w:types>
          <w:type w:val="bbPlcHdr"/>
        </w:types>
        <w:behaviors>
          <w:behavior w:val="content"/>
        </w:behaviors>
        <w:description w:val=""/>
        <w:guid w:val="{EEB0CD44-5C5C-461E-B56D-67D5339F0BA9}"/>
      </w:docPartPr>
      <w:docPartBody>
        <w:p w14:paraId="7E48E271">
          <w:pPr>
            <w:pStyle w:val="5"/>
            <w:rPr>
              <w:rFonts w:hint="eastAsia"/>
            </w:rPr>
          </w:pPr>
          <w:r>
            <w:rPr>
              <w:rStyle w:val="4"/>
              <w:rFonts w:hint="eastAsia"/>
            </w:rPr>
            <w:t>单击或点击此处输入文字。</w:t>
          </w:r>
        </w:p>
      </w:docPartBody>
    </w:docPart>
    <w:docPart>
      <w:docPartPr>
        <w:name w:val="FCC37A7F376A4D4884F629A11FF8C684"/>
        <w:style w:val=""/>
        <w:category>
          <w:name w:val="常规"/>
          <w:gallery w:val="placeholder"/>
        </w:category>
        <w:types>
          <w:type w:val="bbPlcHdr"/>
        </w:types>
        <w:behaviors>
          <w:behavior w:val="content"/>
        </w:behaviors>
        <w:description w:val=""/>
        <w:guid w:val="{925B9D52-3829-4826-855B-D76E70926F87}"/>
      </w:docPartPr>
      <w:docPartBody>
        <w:p w14:paraId="6546797F">
          <w:pPr>
            <w:pStyle w:val="6"/>
            <w:rPr>
              <w:rFonts w:hint="eastAsia"/>
            </w:rPr>
          </w:pPr>
          <w:r>
            <w:rPr>
              <w:rStyle w:val="4"/>
              <w:rFonts w:hint="eastAsia"/>
            </w:rPr>
            <w:t>选择一项。</w:t>
          </w:r>
        </w:p>
      </w:docPartBody>
    </w:docPart>
    <w:docPart>
      <w:docPartPr>
        <w:name w:val="3A6FE3B55C684120B8DA2CF8128EEF35"/>
        <w:style w:val=""/>
        <w:category>
          <w:name w:val="常规"/>
          <w:gallery w:val="placeholder"/>
        </w:category>
        <w:types>
          <w:type w:val="bbPlcHdr"/>
        </w:types>
        <w:behaviors>
          <w:behavior w:val="content"/>
        </w:behaviors>
        <w:description w:val=""/>
        <w:guid w:val="{016203A5-A870-4DD6-ADBF-E7C4B5F7C9C4}"/>
      </w:docPartPr>
      <w:docPartBody>
        <w:p w14:paraId="34BB19E3">
          <w:pPr>
            <w:pStyle w:val="7"/>
            <w:rPr>
              <w:rFonts w:hint="eastAsia"/>
            </w:rPr>
          </w:pPr>
          <w:r>
            <w:rPr>
              <w:rStyle w:val="4"/>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bordersDoNotSurroundHeader w:val="1"/>
  <w:bordersDoNotSurroundFooter w:val="1"/>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0B66"/>
    <w:rsid w:val="001B0B66"/>
    <w:rsid w:val="001D6A60"/>
    <w:rsid w:val="002E6641"/>
    <w:rsid w:val="002E6E10"/>
    <w:rsid w:val="002F7C63"/>
    <w:rsid w:val="00314F88"/>
    <w:rsid w:val="00465C30"/>
    <w:rsid w:val="00872B4B"/>
    <w:rsid w:val="00A94D41"/>
    <w:rsid w:val="00B30C38"/>
    <w:rsid w:val="00D17C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iPriority="1" w:name="Default Paragraph Font"/>
    <w:lsdException w:uiPriority="99" w:name="Normal Table"/>
    <w:lsdException w:unhideWhenUsed="0" w:uiPriority="99" w:name="Placeholder Text"/>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2">
    <w:name w:val="Default Paragraph Font"/>
    <w:semiHidden/>
    <w:unhideWhenUsed/>
    <w:qFormat/>
    <w:uiPriority w:val="1"/>
  </w:style>
  <w:style w:type="table" w:default="1" w:styleId="3">
    <w:name w:val="Normal Table"/>
    <w:semiHidden/>
    <w:unhideWhenUsed/>
    <w:uiPriority w:val="99"/>
    <w:tblPr>
      <w:tblCellMar>
        <w:top w:w="0" w:type="dxa"/>
        <w:left w:w="108" w:type="dxa"/>
        <w:bottom w:w="0" w:type="dxa"/>
        <w:right w:w="108" w:type="dxa"/>
      </w:tblCellMar>
    </w:tblPr>
  </w:style>
  <w:style w:type="character" w:styleId="4">
    <w:name w:val="Placeholder Text"/>
    <w:basedOn w:val="2"/>
    <w:semiHidden/>
    <w:uiPriority w:val="99"/>
    <w:rPr>
      <w:color w:val="808080"/>
    </w:rPr>
  </w:style>
  <w:style w:type="paragraph" w:customStyle="1" w:styleId="5">
    <w:name w:val="5D2BCEEC75F34F9D8180C7790819FC69"/>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6">
    <w:name w:val="FCC37A7F376A4D4884F629A11FF8C684"/>
    <w:uiPriority w:val="0"/>
    <w:pPr>
      <w:widowControl w:val="0"/>
      <w:jc w:val="both"/>
    </w:pPr>
    <w:rPr>
      <w:rFonts w:asciiTheme="minorHAnsi" w:hAnsiTheme="minorHAnsi" w:eastAsiaTheme="minorEastAsia" w:cstheme="minorBidi"/>
      <w:kern w:val="2"/>
      <w:sz w:val="21"/>
      <w:szCs w:val="22"/>
      <w:lang w:val="en-US" w:eastAsia="zh-CN" w:bidi="ar-SA"/>
    </w:rPr>
  </w:style>
  <w:style w:type="paragraph" w:customStyle="1" w:styleId="7">
    <w:name w:val="3A6FE3B55C684120B8DA2CF8128EEF35"/>
    <w:qFormat/>
    <w:uiPriority w:val="0"/>
    <w:pPr>
      <w:widowControl w:val="0"/>
      <w:jc w:val="both"/>
    </w:pPr>
    <w:rPr>
      <w:rFonts w:asciiTheme="minorHAnsi" w:hAnsiTheme="minorHAnsi" w:eastAsiaTheme="minorEastAsia" w:cstheme="minorBidi"/>
      <w:kern w:val="2"/>
      <w:sz w:val="21"/>
      <w:szCs w:val="22"/>
      <w:lang w:val="en-US" w:eastAsia="zh-CN" w:bidi="ar-SA"/>
    </w:rPr>
  </w:style>
</w:style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ln>
      </a:spPr>
      <a:bodyPr/>
      <a:lst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C22C5CF-ABB4-4421-9C2C-D12B89524E03}">
  <ds:schemaRefs/>
</ds:datastoreItem>
</file>

<file path=docProps/app.xml><?xml version="1.0" encoding="utf-8"?>
<Properties xmlns="http://schemas.openxmlformats.org/officeDocument/2006/extended-properties" xmlns:vt="http://schemas.openxmlformats.org/officeDocument/2006/docPropsVTypes">
  <Template>团体标准</Template>
  <Pages>6</Pages>
  <Words>1813</Words>
  <Characters>2330</Characters>
  <Lines>29</Lines>
  <Paragraphs>8</Paragraphs>
  <TotalTime>615</TotalTime>
  <ScaleCrop>false</ScaleCrop>
  <LinksUpToDate>false</LinksUpToDate>
  <CharactersWithSpaces>2392</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2026-03-16T06:56:00Z</dcterms:created>
  <dc:creator>DELL</dc:creator>
  <cp:lastModifiedBy>。</cp:lastModifiedBy>
  <cp:lastPrinted>2021-02-02T08:22:00Z</cp:lastPrinted>
  <dcterms:modified xsi:type="dcterms:W3CDTF">2026-05-18T07:28:46Z</dcterms:modified>
  <cp:revision>11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KSOTemplateDocerSaveRecord">
    <vt:lpwstr>eyJoZGlkIjoiYzkwYzJmZDNiMmRhZjM0NTlkZDY1MmFlNDljZjQ0NWEiLCJ1c2VySWQiOiIyNDIyMjUwNzQifQ==</vt:lpwstr>
  </property>
  <property fmtid="{D5CDD505-2E9C-101B-9397-08002B2CF9AE}" pid="15" name="KSOProductBuildVer">
    <vt:lpwstr>2052-12.1.0.26375</vt:lpwstr>
  </property>
  <property fmtid="{D5CDD505-2E9C-101B-9397-08002B2CF9AE}" pid="16" name="ICV">
    <vt:lpwstr>11AA7685F7C34E8F9288F8AC8D78BCF3_12</vt:lpwstr>
  </property>
</Properties>
</file>