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0</w:t>
            </w:r>
            <w:r>
              <w:rPr>
                <w:rFonts w:hint="eastAsia" w:ascii="黑体" w:hAnsi="黑体" w:eastAsia="黑体"/>
                <w:sz w:val="21"/>
                <w:szCs w:val="21"/>
                <w:lang w:val="en-US" w:eastAsia="zh-CN"/>
              </w:rPr>
              <w:t>3.140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A</w:t>
            </w:r>
            <w:r>
              <w:rPr>
                <w:rFonts w:hint="eastAsia" w:ascii="黑体" w:hAnsi="黑体" w:eastAsia="黑体"/>
                <w:sz w:val="21"/>
                <w:szCs w:val="21"/>
                <w:lang w:val="en-US" w:eastAsia="zh-CN"/>
              </w:rPr>
              <w:t xml:space="preserve"> 16</w:t>
            </w:r>
            <w:r>
              <w:rPr>
                <w:rFonts w:ascii="黑体" w:hAnsi="黑体" w:eastAsia="黑体"/>
                <w:sz w:val="21"/>
                <w:szCs w:val="21"/>
              </w:rPr>
              <w:fldChar w:fldCharType="end"/>
            </w:r>
            <w:bookmarkEnd w:id="2"/>
          </w:p>
        </w:tc>
      </w:tr>
    </w:tbl>
    <w:p w14:paraId="161BCF4A">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6"/>
        <w:framePr/>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0"/>
        <w:framePr w:w="9639" w:h="6976" w:hRule="exact" w:hSpace="0" w:vSpace="0" w:wrap="around" w:hAnchor="page" w:y="6408"/>
        <w:jc w:val="center"/>
        <w:rPr>
          <w:rFonts w:hint="eastAsia" w:ascii="黑体" w:hAnsi="黑体" w:eastAsia="黑体"/>
          <w:b w:val="0"/>
          <w:bCs w:val="0"/>
          <w:w w:val="100"/>
        </w:rPr>
      </w:pPr>
    </w:p>
    <w:p w14:paraId="02A223D2">
      <w:pPr>
        <w:pStyle w:val="197"/>
        <w:framePr w:h="6974" w:hRule="exact" w:wrap="around" w:x="1419" w:anchorLock="1"/>
        <w:rPr>
          <w:rFonts w:hint="eastAsia"/>
        </w:rPr>
      </w:pPr>
      <w:bookmarkStart w:id="45" w:name="_GoBack"/>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西宁市知识产权公共服务规范</w:t>
      </w:r>
      <w:r>
        <w:fldChar w:fldCharType="end"/>
      </w:r>
      <w:bookmarkEnd w:id="9"/>
      <w:bookmarkEnd w:id="45"/>
    </w:p>
    <w:p w14:paraId="2144DE0C">
      <w:pPr>
        <w:framePr w:w="9639" w:h="6974" w:hRule="exact" w:wrap="around" w:vAnchor="page" w:hAnchor="page" w:x="1419" w:y="6408" w:anchorLock="1"/>
        <w:ind w:left="-1418"/>
      </w:pPr>
    </w:p>
    <w:p w14:paraId="6A073306">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5"/>
        <w:framePr w:w="9639" w:h="6974" w:hRule="exact" w:wrap="around" w:vAnchor="page" w:hAnchor="page" w:x="1419" w:y="6408" w:anchorLock="1"/>
        <w:textAlignment w:val="bottom"/>
        <w:rPr>
          <w:rFonts w:eastAsia="黑体"/>
          <w:szCs w:val="28"/>
        </w:rPr>
      </w:pPr>
    </w:p>
    <w:p w14:paraId="382A48E7">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89"/>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718AB564">
      <w:pPr>
        <w:pStyle w:val="56"/>
        <w:bidi w:val="0"/>
        <w:rPr>
          <w:rFonts w:hint="eastAsia"/>
          <w:lang w:eastAsia="zh-CN"/>
        </w:rPr>
      </w:pPr>
      <w:r>
        <w:rPr>
          <w:rFonts w:hint="eastAsia"/>
          <w:lang w:eastAsia="zh-CN"/>
        </w:rPr>
        <w:t>本文件按照GB/T 1.1—2020《标准化工作导则  第1部分：标准化文件的结构和起草规则》的规定起草。</w:t>
      </w:r>
    </w:p>
    <w:p w14:paraId="46960FCC">
      <w:pPr>
        <w:pStyle w:val="56"/>
        <w:bidi w:val="0"/>
        <w:rPr>
          <w:rFonts w:hint="eastAsia"/>
          <w:lang w:eastAsia="zh-CN"/>
        </w:rPr>
      </w:pPr>
      <w:r>
        <w:rPr>
          <w:rFonts w:hint="eastAsia"/>
          <w:lang w:eastAsia="zh-CN"/>
        </w:rPr>
        <w:t>请注意本文件的某些内容可能涉及专利。本文件的发布机构不承担识别专利的责任。</w:t>
      </w:r>
    </w:p>
    <w:p w14:paraId="7B8D250D">
      <w:pPr>
        <w:pStyle w:val="56"/>
        <w:bidi w:val="0"/>
        <w:rPr>
          <w:rFonts w:hint="eastAsia"/>
          <w:lang w:eastAsia="zh-CN"/>
        </w:rPr>
      </w:pPr>
      <w:r>
        <w:rPr>
          <w:rFonts w:hint="eastAsia"/>
          <w:lang w:eastAsia="zh-CN"/>
        </w:rPr>
        <w:t>本文件由西宁市市场监督管理局提出。</w:t>
      </w:r>
    </w:p>
    <w:p w14:paraId="2E210CA5">
      <w:pPr>
        <w:pStyle w:val="56"/>
        <w:bidi w:val="0"/>
        <w:rPr>
          <w:rFonts w:hint="eastAsia"/>
          <w:lang w:eastAsia="zh-CN"/>
        </w:rPr>
      </w:pPr>
      <w:r>
        <w:rPr>
          <w:rFonts w:hint="eastAsia"/>
          <w:lang w:eastAsia="zh-CN"/>
        </w:rPr>
        <w:t>本文件由青海省标准化协会归口。</w:t>
      </w:r>
    </w:p>
    <w:p w14:paraId="492D0BCC">
      <w:pPr>
        <w:pStyle w:val="56"/>
        <w:bidi w:val="0"/>
        <w:rPr>
          <w:rFonts w:hint="eastAsia"/>
          <w:lang w:eastAsia="zh-CN"/>
        </w:rPr>
      </w:pPr>
      <w:r>
        <w:rPr>
          <w:rFonts w:hint="eastAsia"/>
          <w:lang w:eastAsia="zh-CN"/>
        </w:rPr>
        <w:t>本文件起草单位：西宁市市场监督管理局……</w:t>
      </w:r>
    </w:p>
    <w:p w14:paraId="38B66961">
      <w:pPr>
        <w:pStyle w:val="56"/>
        <w:bidi w:val="0"/>
        <w:rPr>
          <w:rFonts w:hint="eastAsia"/>
          <w:lang w:eastAsia="zh-CN"/>
        </w:rPr>
      </w:pPr>
      <w:r>
        <w:rPr>
          <w:rFonts w:hint="eastAsia"/>
          <w:lang w:eastAsia="zh-CN"/>
        </w:rPr>
        <w:t>本文件主要起草人：……</w:t>
      </w:r>
    </w:p>
    <w:p w14:paraId="46173ECC">
      <w:pPr>
        <w:pStyle w:val="56"/>
        <w:bidi w:val="0"/>
        <w:rPr>
          <w:rFonts w:hint="eastAsia"/>
          <w:lang w:eastAsia="zh-CN"/>
        </w:rPr>
      </w:pPr>
    </w:p>
    <w:p w14:paraId="230B87C6">
      <w:pPr>
        <w:pStyle w:val="56"/>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10D9A599">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7"/>
            <w:bidi w:val="0"/>
            <w:spacing w:before="313" w:beforeLines="100" w:after="687" w:afterLines="220"/>
            <w:rPr>
              <w:rFonts w:hint="eastAsia"/>
            </w:rPr>
          </w:pPr>
          <w:bookmarkStart w:id="23" w:name="NEW_STAND_NAME"/>
          <w:r>
            <w:rPr>
              <w:rFonts w:hint="eastAsia"/>
              <w:lang w:eastAsia="zh-CN"/>
            </w:rPr>
            <w:t>西宁市知识产权公共服务规范</w:t>
          </w:r>
        </w:p>
      </w:sdtContent>
    </w:sdt>
    <w:bookmarkEnd w:id="23"/>
    <w:p w14:paraId="58FB4D92">
      <w:pPr>
        <w:pStyle w:val="104"/>
        <w:spacing w:before="240" w:after="240"/>
      </w:pPr>
      <w:bookmarkStart w:id="24" w:name="_Toc17233325"/>
      <w:bookmarkStart w:id="25" w:name="_Toc24884211"/>
      <w:bookmarkStart w:id="26" w:name="_Toc17233333"/>
      <w:bookmarkStart w:id="27" w:name="_Toc26718930"/>
      <w:bookmarkStart w:id="28" w:name="_Toc26986530"/>
      <w:bookmarkStart w:id="29" w:name="_Toc24884218"/>
      <w:bookmarkStart w:id="30" w:name="_Toc26648465"/>
      <w:bookmarkStart w:id="31" w:name="_Toc97192964"/>
      <w:bookmarkStart w:id="32" w:name="_Toc26986771"/>
      <w:r>
        <w:rPr>
          <w:rFonts w:hint="eastAsia"/>
        </w:rPr>
        <w:t>范围</w:t>
      </w:r>
      <w:bookmarkEnd w:id="24"/>
      <w:bookmarkEnd w:id="25"/>
      <w:bookmarkEnd w:id="26"/>
      <w:bookmarkEnd w:id="27"/>
      <w:bookmarkEnd w:id="28"/>
      <w:bookmarkEnd w:id="29"/>
      <w:bookmarkEnd w:id="30"/>
      <w:bookmarkEnd w:id="31"/>
      <w:bookmarkEnd w:id="32"/>
    </w:p>
    <w:p w14:paraId="1554E14A">
      <w:pPr>
        <w:pStyle w:val="56"/>
        <w:ind w:firstLine="420"/>
        <w:rPr>
          <w:rFonts w:hint="eastAsia" w:eastAsia="宋体"/>
          <w:lang w:val="en-US" w:eastAsia="zh-CN"/>
        </w:rPr>
      </w:pPr>
      <w:bookmarkStart w:id="33" w:name="_Toc17233334"/>
      <w:bookmarkStart w:id="34" w:name="_Toc24884212"/>
      <w:bookmarkStart w:id="35" w:name="_Toc17233326"/>
      <w:bookmarkStart w:id="36" w:name="_Toc26648466"/>
      <w:bookmarkStart w:id="37" w:name="_Toc24884219"/>
      <w:r>
        <w:rPr>
          <w:rFonts w:hint="eastAsia" w:eastAsia="宋体"/>
          <w:lang w:val="en-US" w:eastAsia="zh-CN"/>
        </w:rPr>
        <w:t>本文件规定知识产权公共服务的术语和定义、基本原则、服务内容、服务保障、服务评价与改进等内容。</w:t>
      </w:r>
    </w:p>
    <w:p w14:paraId="6F010F08">
      <w:pPr>
        <w:pStyle w:val="56"/>
        <w:ind w:firstLine="420"/>
        <w:rPr>
          <w:rFonts w:hint="eastAsia" w:eastAsia="宋体"/>
          <w:lang w:eastAsia="zh-CN"/>
        </w:rPr>
      </w:pPr>
      <w:r>
        <w:rPr>
          <w:rFonts w:hint="eastAsia" w:eastAsia="宋体"/>
          <w:lang w:val="en-US" w:eastAsia="zh-CN"/>
        </w:rPr>
        <w:t>本文件适用于依托西宁市各类公共服务机构（如知识产权保护中心、维权援助中心、高校国家知识产权信息服务中心、技术与创新支持中心（TISC）及知识产权公共服务工作站等），向社会公众和创新主体提供的，涉及专利、著作权、集成电路布图设计、商业秘密等知识产权的基础性、公益性、全链条信息服务及事务服务服务的行为。</w:t>
      </w:r>
    </w:p>
    <w:p w14:paraId="767F512F">
      <w:pPr>
        <w:pStyle w:val="104"/>
        <w:spacing w:before="240" w:after="240"/>
      </w:pPr>
      <w:bookmarkStart w:id="38" w:name="_Toc97192965"/>
      <w:bookmarkStart w:id="39" w:name="_Toc26986531"/>
      <w:bookmarkStart w:id="40" w:name="_Toc26718931"/>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6"/>
            <w:ind w:firstLine="420"/>
          </w:pPr>
          <w:r>
            <w:rPr>
              <w:rFonts w:hint="eastAsia" w:ascii="Times New Roman" w:hAnsi="Times New Roman" w:eastAsia="宋体" w:cs="Times New Roman"/>
              <w:sz w:val="21"/>
              <w:lang w:val="en-US" w:eastAsia="zh-CN" w:bidi="ar-SA"/>
            </w:rPr>
            <w:t>本文件没有规范性引用文件。</w:t>
          </w:r>
        </w:p>
      </w:sdtContent>
    </w:sdt>
    <w:p w14:paraId="40EF840C">
      <w:pPr>
        <w:pStyle w:val="104"/>
        <w:spacing w:before="240" w:after="240"/>
      </w:pPr>
      <w:bookmarkStart w:id="42" w:name="_Toc97192966"/>
      <w:r>
        <w:rPr>
          <w:rFonts w:hint="eastAsia"/>
          <w:szCs w:val="21"/>
        </w:rPr>
        <w:t>术语和定义</w:t>
      </w:r>
      <w:bookmarkEnd w:id="42"/>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6"/>
            <w:ind w:firstLine="420"/>
          </w:pPr>
          <w:bookmarkStart w:id="43" w:name="_Toc26986532"/>
          <w:bookmarkEnd w:id="43"/>
          <w:r>
            <w:rPr>
              <w:rFonts w:ascii="Times New Roman" w:hAnsi="Times New Roman" w:eastAsia="宋体" w:cs="Times New Roman"/>
              <w:sz w:val="21"/>
              <w:lang w:val="en-US" w:eastAsia="zh-CN" w:bidi="ar-SA"/>
            </w:rPr>
            <w:t>下列术语和定义适用于本文件。</w:t>
          </w:r>
        </w:p>
      </w:sdtContent>
    </w:sdt>
    <w:p w14:paraId="5860A275">
      <w:pPr>
        <w:pStyle w:val="22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ascii="黑体" w:hAnsi="黑体" w:eastAsia="黑体" w:cs="黑体"/>
          <w:lang w:val="en-US" w:eastAsia="zh-CN"/>
        </w:rPr>
        <w:t>知识产权公共服务</w:t>
      </w:r>
    </w:p>
    <w:p w14:paraId="03DF1518">
      <w:pPr>
        <w:pStyle w:val="56"/>
        <w:ind w:firstLine="420"/>
      </w:pPr>
      <w:r>
        <w:rPr>
          <w:rFonts w:hint="eastAsia"/>
          <w:lang w:val="en-US" w:eastAsia="zh-CN"/>
        </w:rPr>
        <w:t>依托西宁市各类公共服务机构（如知识产权保护中心、维权援助中心、高校国家知识产权信息服务中心、技术与创新支持中心（TISC）及知识产权公共服务工作站等），向社会公众和创新主体提供识产权创造、运用、保护、管理等主要环节涉及专利、著作权、集成电路布图设计、商业秘密等知识产权的基础性、公益性、全链条信息服务及事务服务行为。</w:t>
      </w:r>
    </w:p>
    <w:p w14:paraId="06812E52">
      <w:pPr>
        <w:pStyle w:val="104"/>
        <w:bidi w:val="0"/>
        <w:rPr>
          <w:rFonts w:hint="eastAsia"/>
          <w:lang w:val="en-US" w:eastAsia="zh-CN"/>
        </w:rPr>
      </w:pPr>
      <w:r>
        <w:rPr>
          <w:rFonts w:hint="eastAsia"/>
          <w:lang w:val="en-US" w:eastAsia="zh-CN"/>
        </w:rPr>
        <w:t>基本原则</w:t>
      </w:r>
    </w:p>
    <w:p w14:paraId="3DBA5A90">
      <w:pPr>
        <w:pStyle w:val="105"/>
        <w:bidi w:val="0"/>
        <w:rPr>
          <w:rFonts w:hint="eastAsia"/>
          <w:lang w:val="en-US" w:eastAsia="zh-CN"/>
        </w:rPr>
      </w:pPr>
      <w:r>
        <w:rPr>
          <w:rFonts w:hint="eastAsia"/>
          <w:lang w:val="en-US" w:eastAsia="zh-CN"/>
        </w:rPr>
        <w:t>标准性</w:t>
      </w:r>
    </w:p>
    <w:p w14:paraId="3DDC621E">
      <w:pPr>
        <w:pStyle w:val="56"/>
        <w:ind w:left="0" w:leftChars="0" w:firstLine="420" w:firstLineChars="200"/>
        <w:rPr>
          <w:rFonts w:hint="eastAsia"/>
          <w:lang w:val="en-US" w:eastAsia="zh-CN"/>
        </w:rPr>
      </w:pPr>
      <w:r>
        <w:rPr>
          <w:rFonts w:hint="eastAsia"/>
          <w:lang w:val="en-US" w:eastAsia="zh-CN"/>
        </w:rPr>
        <w:t>建立健全公共服务工作制度与规范，完善知识产权公共服务效果反馈机制，全面提升知识产权公共服务的制度化、标准化水平。</w:t>
      </w:r>
    </w:p>
    <w:p w14:paraId="54E046F3">
      <w:pPr>
        <w:pStyle w:val="105"/>
        <w:bidi w:val="0"/>
        <w:rPr>
          <w:rFonts w:hint="eastAsia"/>
          <w:lang w:val="en-US" w:eastAsia="zh-CN"/>
        </w:rPr>
      </w:pPr>
      <w:r>
        <w:rPr>
          <w:rFonts w:hint="eastAsia"/>
          <w:lang w:val="en-US" w:eastAsia="zh-CN"/>
        </w:rPr>
        <w:t>高效性</w:t>
      </w:r>
    </w:p>
    <w:p w14:paraId="56D4C319">
      <w:pPr>
        <w:pStyle w:val="56"/>
        <w:ind w:left="0" w:leftChars="0" w:firstLine="420" w:firstLineChars="200"/>
        <w:rPr>
          <w:rFonts w:hint="eastAsia"/>
          <w:lang w:val="en-US" w:eastAsia="zh-CN"/>
        </w:rPr>
      </w:pPr>
      <w:r>
        <w:rPr>
          <w:rFonts w:hint="eastAsia"/>
          <w:lang w:val="en-US" w:eastAsia="zh-CN"/>
        </w:rPr>
        <w:t>统梳理知识产权公共服务事项清单，精准对接服务对象发展现状与实际需求，着力解决其在知识产权领域面临的现实问题与困难，统筹整合涉知识产权政府公共服务与市场化服务资源，全面提升服务供给的可及性与实效性。。</w:t>
      </w:r>
    </w:p>
    <w:p w14:paraId="381BFC70">
      <w:pPr>
        <w:pStyle w:val="105"/>
        <w:bidi w:val="0"/>
        <w:rPr>
          <w:rFonts w:hint="eastAsia"/>
          <w:lang w:val="en-US" w:eastAsia="zh-CN"/>
        </w:rPr>
      </w:pPr>
      <w:r>
        <w:rPr>
          <w:rFonts w:hint="eastAsia"/>
          <w:lang w:val="en-US" w:eastAsia="zh-CN"/>
        </w:rPr>
        <w:t>科学性</w:t>
      </w:r>
    </w:p>
    <w:p w14:paraId="7DC370B3">
      <w:pPr>
        <w:pStyle w:val="56"/>
        <w:ind w:left="0" w:leftChars="0" w:firstLine="420" w:firstLineChars="200"/>
        <w:rPr>
          <w:rFonts w:hint="eastAsia"/>
          <w:lang w:val="en-US" w:eastAsia="zh-CN"/>
        </w:rPr>
      </w:pPr>
      <w:r>
        <w:rPr>
          <w:rFonts w:hint="eastAsia"/>
          <w:lang w:val="en-US" w:eastAsia="zh-CN"/>
        </w:rPr>
        <w:t>立足区域发展特点，充分发挥知识产权服务资源效能，全面摸排梳理服务需求，精准高效开展靶向服务，以知识产权赋能区域高质量发展。</w:t>
      </w:r>
    </w:p>
    <w:p w14:paraId="6125390F">
      <w:pPr>
        <w:pStyle w:val="105"/>
        <w:bidi w:val="0"/>
        <w:rPr>
          <w:rFonts w:hint="eastAsia"/>
          <w:lang w:val="en-US" w:eastAsia="zh-CN"/>
        </w:rPr>
      </w:pPr>
      <w:r>
        <w:rPr>
          <w:rFonts w:hint="eastAsia"/>
          <w:lang w:val="en-US" w:eastAsia="zh-CN"/>
        </w:rPr>
        <w:t>普惠性</w:t>
      </w:r>
    </w:p>
    <w:p w14:paraId="0CF06901">
      <w:pPr>
        <w:pStyle w:val="56"/>
        <w:rPr>
          <w:rFonts w:hint="eastAsia"/>
          <w:lang w:val="en-US" w:eastAsia="zh-CN"/>
        </w:rPr>
      </w:pPr>
      <w:r>
        <w:rPr>
          <w:rFonts w:hint="eastAsia"/>
          <w:lang w:val="en-US" w:eastAsia="zh-CN"/>
        </w:rPr>
        <w:t>积极构建多元化服务主体体系，推动服务供给均等化布局，拓展多样化服务领域，打造专业化服务人才队伍。</w:t>
      </w:r>
    </w:p>
    <w:p w14:paraId="6C8E6965">
      <w:pPr>
        <w:pStyle w:val="104"/>
        <w:bidi w:val="0"/>
        <w:rPr>
          <w:rFonts w:hint="eastAsia"/>
          <w:lang w:val="en-US" w:eastAsia="zh-CN"/>
        </w:rPr>
      </w:pPr>
      <w:r>
        <w:rPr>
          <w:rFonts w:hint="eastAsia"/>
          <w:lang w:val="en-US" w:eastAsia="zh-CN"/>
        </w:rPr>
        <w:t>服务内容</w:t>
      </w:r>
    </w:p>
    <w:p w14:paraId="22D19102">
      <w:pPr>
        <w:pStyle w:val="105"/>
        <w:bidi w:val="0"/>
        <w:rPr>
          <w:rFonts w:hint="eastAsia"/>
          <w:lang w:val="en-US" w:eastAsia="zh-CN"/>
        </w:rPr>
      </w:pPr>
      <w:r>
        <w:rPr>
          <w:rFonts w:hint="eastAsia"/>
          <w:lang w:val="en-US" w:eastAsia="zh-CN"/>
        </w:rPr>
        <w:t>基础服务</w:t>
      </w:r>
    </w:p>
    <w:p w14:paraId="46A5234C">
      <w:pPr>
        <w:pStyle w:val="65"/>
        <w:bidi w:val="0"/>
        <w:rPr>
          <w:rFonts w:hint="eastAsia"/>
          <w:lang w:val="en-US" w:eastAsia="zh-CN"/>
        </w:rPr>
      </w:pPr>
      <w:r>
        <w:rPr>
          <w:rFonts w:hint="eastAsia"/>
          <w:lang w:val="en-US" w:eastAsia="zh-CN"/>
        </w:rPr>
        <w:t>概述</w:t>
      </w:r>
    </w:p>
    <w:p w14:paraId="125BB788">
      <w:pPr>
        <w:pStyle w:val="56"/>
        <w:bidi w:val="0"/>
        <w:rPr>
          <w:rFonts w:hint="eastAsia"/>
          <w:lang w:val="en-US" w:eastAsia="zh-CN"/>
        </w:rPr>
      </w:pPr>
      <w:r>
        <w:rPr>
          <w:rFonts w:hint="eastAsia"/>
          <w:lang w:val="en-US" w:eastAsia="zh-CN"/>
        </w:rPr>
        <w:t>各单位立足西宁产业发展与公共服务资源布局，面向创新主体、社会公众提供适配性基础公共服务。</w:t>
      </w:r>
    </w:p>
    <w:p w14:paraId="7B589E15">
      <w:pPr>
        <w:pStyle w:val="56"/>
        <w:bidi w:val="0"/>
      </w:pPr>
      <w:r>
        <w:rPr>
          <w:rFonts w:hint="eastAsia"/>
          <w:lang w:val="en-US" w:eastAsia="zh-CN"/>
        </w:rPr>
        <w:t>基础服务包括但不限于：知识产权政策宣贯、风险防控、维权援助、快速预审与优先审查对接、申请引导、业务咨询、纠纷应对指导、信息查询检索、信息分析利用、基础培训、知识宣传、合规管理引导、知识产权金融、转让许可、数据知识产权登记引导、电子存证指导、涉青特色产业知识产权帮扶等服务；基础服务排序按照西宁市知识产权公共服务工作重心依次排列。</w:t>
      </w:r>
    </w:p>
    <w:p w14:paraId="177CE37F">
      <w:pPr>
        <w:pStyle w:val="65"/>
        <w:bidi w:val="0"/>
        <w:rPr>
          <w:rFonts w:hint="eastAsia"/>
          <w:lang w:val="en-US" w:eastAsia="zh-CN"/>
        </w:rPr>
      </w:pPr>
      <w:r>
        <w:rPr>
          <w:rFonts w:hint="eastAsia"/>
          <w:lang w:val="en-US" w:eastAsia="zh-CN"/>
        </w:rPr>
        <w:t>知识产权政策宣贯服务</w:t>
      </w:r>
    </w:p>
    <w:p w14:paraId="6D148710">
      <w:pPr>
        <w:pStyle w:val="56"/>
        <w:bidi w:val="0"/>
        <w:rPr>
          <w:rFonts w:hint="eastAsia"/>
          <w:lang w:val="en-US" w:eastAsia="zh-CN"/>
        </w:rPr>
      </w:pPr>
      <w:r>
        <w:rPr>
          <w:rFonts w:hint="eastAsia"/>
          <w:lang w:val="en-US" w:eastAsia="zh-CN"/>
        </w:rPr>
        <w:t>各单位应精准掌握国家、省、市知识产权政策，面向全市创新主体与社会公众开展常态化宣贯，宜按以下方式开展：</w:t>
      </w:r>
    </w:p>
    <w:p w14:paraId="2853A498">
      <w:pPr>
        <w:pStyle w:val="174"/>
        <w:bidi w:val="0"/>
        <w:ind w:left="851" w:leftChars="0" w:hanging="426" w:firstLineChars="0"/>
        <w:rPr>
          <w:rFonts w:hint="eastAsia"/>
          <w:lang w:val="en-US" w:eastAsia="zh-CN"/>
        </w:rPr>
      </w:pPr>
      <w:r>
        <w:rPr>
          <w:rFonts w:hint="eastAsia"/>
          <w:lang w:val="en-US" w:eastAsia="zh-CN"/>
        </w:rPr>
        <w:t>归集梳理国家、青海省及西宁市各级知识产权扶持、奖励、试点申报等政策；</w:t>
      </w:r>
    </w:p>
    <w:p w14:paraId="6AEC7095">
      <w:pPr>
        <w:pStyle w:val="174"/>
        <w:bidi w:val="0"/>
        <w:ind w:left="851" w:leftChars="0" w:hanging="426" w:firstLineChars="0"/>
        <w:rPr>
          <w:rFonts w:hint="eastAsia"/>
          <w:lang w:val="en-US" w:eastAsia="zh-CN"/>
        </w:rPr>
      </w:pPr>
      <w:r>
        <w:rPr>
          <w:rFonts w:hint="eastAsia"/>
          <w:lang w:val="en-US" w:eastAsia="zh-CN"/>
        </w:rPr>
        <w:t>编制本地化政策汇编并动态更新，通过政务平台、服务网点、园区窗口定向推送；</w:t>
      </w:r>
    </w:p>
    <w:p w14:paraId="0A276134">
      <w:pPr>
        <w:pStyle w:val="174"/>
        <w:bidi w:val="0"/>
        <w:ind w:left="851" w:leftChars="0" w:hanging="426" w:firstLineChars="0"/>
        <w:rPr>
          <w:rFonts w:hint="eastAsia"/>
          <w:lang w:val="en-US" w:eastAsia="zh-CN"/>
        </w:rPr>
      </w:pPr>
      <w:r>
        <w:rPr>
          <w:rFonts w:hint="eastAsia"/>
          <w:lang w:val="en-US" w:eastAsia="zh-CN"/>
        </w:rPr>
        <w:t>跟踪光伏锂电、生物医药、绿色算力等西宁重点产业政策，联合专家开展专题解读；</w:t>
      </w:r>
    </w:p>
    <w:p w14:paraId="39666F57">
      <w:pPr>
        <w:pStyle w:val="174"/>
        <w:bidi w:val="0"/>
        <w:ind w:left="851" w:leftChars="0" w:hanging="426" w:firstLineChars="0"/>
      </w:pPr>
      <w:r>
        <w:rPr>
          <w:rFonts w:hint="eastAsia"/>
          <w:lang w:val="en-US" w:eastAsia="zh-CN"/>
        </w:rPr>
        <w:t>协助落实省市知识产权惠企政策，指导企业与创新主体完成项目申报、材料报送。</w:t>
      </w:r>
    </w:p>
    <w:p w14:paraId="4EA864EB">
      <w:pPr>
        <w:pStyle w:val="65"/>
        <w:bidi w:val="0"/>
        <w:rPr>
          <w:rFonts w:hint="eastAsia"/>
          <w:lang w:val="en-US" w:eastAsia="zh-CN"/>
        </w:rPr>
      </w:pPr>
      <w:r>
        <w:rPr>
          <w:rFonts w:hint="eastAsia"/>
          <w:lang w:val="en-US" w:eastAsia="zh-CN"/>
        </w:rPr>
        <w:t>知识产权风险防控服务</w:t>
      </w:r>
    </w:p>
    <w:p w14:paraId="3CAAAC3D">
      <w:pPr>
        <w:pStyle w:val="56"/>
        <w:bidi w:val="0"/>
        <w:rPr>
          <w:rFonts w:hint="eastAsia"/>
          <w:lang w:val="en-US" w:eastAsia="zh-CN"/>
        </w:rPr>
      </w:pPr>
      <w:r>
        <w:rPr>
          <w:rFonts w:hint="eastAsia"/>
          <w:lang w:val="en-US" w:eastAsia="zh-CN"/>
        </w:rPr>
        <w:t>各单位应助力西宁企业构建全流程风险防控体系，提升创新主体风险防范能力，宜按以下方式开展：</w:t>
      </w:r>
    </w:p>
    <w:p w14:paraId="23ED6D44">
      <w:pPr>
        <w:pStyle w:val="174"/>
        <w:numPr>
          <w:numId w:val="32"/>
        </w:numPr>
        <w:bidi w:val="0"/>
        <w:ind w:left="851" w:leftChars="0" w:hanging="426" w:firstLineChars="0"/>
        <w:rPr>
          <w:rFonts w:hint="eastAsia"/>
          <w:lang w:val="en-US" w:eastAsia="zh-CN"/>
        </w:rPr>
      </w:pPr>
      <w:r>
        <w:rPr>
          <w:rFonts w:hint="eastAsia"/>
          <w:lang w:val="en-US" w:eastAsia="zh-CN"/>
        </w:rPr>
        <w:t>协助企业完善知识产权保护、保密管理、合规运营等制度，适配西宁产业发展需求；</w:t>
      </w:r>
    </w:p>
    <w:p w14:paraId="0437654E">
      <w:pPr>
        <w:pStyle w:val="174"/>
        <w:numPr>
          <w:numId w:val="32"/>
        </w:numPr>
        <w:bidi w:val="0"/>
        <w:ind w:left="851" w:leftChars="0" w:hanging="426" w:firstLineChars="0"/>
      </w:pPr>
      <w:r>
        <w:rPr>
          <w:rFonts w:hint="eastAsia"/>
          <w:lang w:val="en-US" w:eastAsia="zh-CN"/>
        </w:rPr>
        <w:t>联动 TISC 机构、公共服务网点，面向企业管理人员、研发团队开展风险防控培训；</w:t>
      </w:r>
    </w:p>
    <w:p w14:paraId="1FE6021E">
      <w:pPr>
        <w:pStyle w:val="174"/>
        <w:numPr>
          <w:numId w:val="32"/>
        </w:numPr>
        <w:bidi w:val="0"/>
        <w:ind w:left="851" w:leftChars="0" w:hanging="426" w:firstLineChars="0"/>
      </w:pPr>
      <w:r>
        <w:rPr>
          <w:rFonts w:hint="eastAsia"/>
          <w:lang w:val="en-US" w:eastAsia="zh-CN"/>
        </w:rPr>
        <w:t>为中小微企业免费提供知识产权风险检索与预警分析服务；</w:t>
      </w:r>
    </w:p>
    <w:p w14:paraId="6FCBD70A">
      <w:pPr>
        <w:pStyle w:val="174"/>
        <w:numPr>
          <w:numId w:val="32"/>
        </w:numPr>
        <w:bidi w:val="0"/>
        <w:ind w:left="851" w:leftChars="0" w:hanging="426" w:firstLineChars="0"/>
      </w:pPr>
      <w:r>
        <w:rPr>
          <w:rFonts w:hint="eastAsia"/>
          <w:lang w:val="en-US" w:eastAsia="zh-CN"/>
        </w:rPr>
        <w:t>对接本地专利代理、法律服务机构，为企业提供专业化风险防控支撑。</w:t>
      </w:r>
    </w:p>
    <w:p w14:paraId="3145F15A">
      <w:pPr>
        <w:pStyle w:val="65"/>
        <w:bidi w:val="0"/>
        <w:rPr>
          <w:rFonts w:hint="eastAsia"/>
          <w:lang w:val="en-US" w:eastAsia="zh-CN"/>
        </w:rPr>
      </w:pPr>
      <w:r>
        <w:rPr>
          <w:rFonts w:hint="eastAsia"/>
          <w:lang w:val="en-US" w:eastAsia="zh-CN"/>
        </w:rPr>
        <w:t>知识产权维权援助服务</w:t>
      </w:r>
    </w:p>
    <w:p w14:paraId="478CB97B">
      <w:pPr>
        <w:pStyle w:val="56"/>
        <w:bidi w:val="0"/>
        <w:rPr>
          <w:rFonts w:hint="eastAsia"/>
          <w:lang w:val="en-US" w:eastAsia="zh-CN"/>
        </w:rPr>
      </w:pPr>
      <w:r>
        <w:rPr>
          <w:rFonts w:hint="eastAsia"/>
          <w:lang w:val="en-US" w:eastAsia="zh-CN"/>
        </w:rPr>
        <w:t>各单位依托西宁市维权援助工作站、纠纷人民调解组织，为社会公众与创新主体提供全流程维权援助，宜按以下方式开展：</w:t>
      </w:r>
    </w:p>
    <w:p w14:paraId="3F24BD15">
      <w:pPr>
        <w:pStyle w:val="174"/>
        <w:numPr>
          <w:numId w:val="33"/>
        </w:numPr>
        <w:bidi w:val="0"/>
        <w:ind w:left="851" w:leftChars="0" w:hanging="426" w:firstLineChars="0"/>
        <w:rPr>
          <w:rFonts w:hint="eastAsia"/>
          <w:lang w:val="en-US" w:eastAsia="zh-CN"/>
        </w:rPr>
      </w:pPr>
      <w:r>
        <w:rPr>
          <w:rFonts w:hint="eastAsia"/>
          <w:lang w:val="en-US" w:eastAsia="zh-CN"/>
        </w:rPr>
        <w:t>常态化收集企业知识产权维权与纠纷处置需求；</w:t>
      </w:r>
    </w:p>
    <w:p w14:paraId="69B0A20B">
      <w:pPr>
        <w:pStyle w:val="174"/>
        <w:numPr>
          <w:numId w:val="33"/>
        </w:numPr>
        <w:bidi w:val="0"/>
        <w:ind w:left="851" w:leftChars="0" w:hanging="426" w:firstLineChars="0"/>
      </w:pPr>
      <w:r>
        <w:rPr>
          <w:rFonts w:hint="eastAsia"/>
          <w:lang w:val="en-US" w:eastAsia="zh-CN"/>
        </w:rPr>
        <w:t>统筹公共服务资源，指导开展维权取证、程序咨询、纠纷调解；</w:t>
      </w:r>
    </w:p>
    <w:p w14:paraId="58F01FE7">
      <w:pPr>
        <w:pStyle w:val="174"/>
        <w:numPr>
          <w:numId w:val="33"/>
        </w:numPr>
        <w:bidi w:val="0"/>
        <w:ind w:left="851" w:leftChars="0" w:hanging="426" w:firstLineChars="0"/>
      </w:pPr>
      <w:r>
        <w:rPr>
          <w:rFonts w:hint="eastAsia"/>
          <w:lang w:val="en-US" w:eastAsia="zh-CN"/>
        </w:rPr>
        <w:t>针对疑难案件组织专家研讨论证，提供法律咨询与应对建议；</w:t>
      </w:r>
    </w:p>
    <w:p w14:paraId="3BD66447">
      <w:pPr>
        <w:pStyle w:val="174"/>
        <w:numPr>
          <w:numId w:val="33"/>
        </w:numPr>
        <w:bidi w:val="0"/>
        <w:ind w:left="851" w:leftChars="0" w:hanging="426" w:firstLineChars="0"/>
      </w:pPr>
      <w:r>
        <w:rPr>
          <w:rFonts w:hint="eastAsia"/>
          <w:lang w:val="en-US" w:eastAsia="zh-CN"/>
        </w:rPr>
        <w:t>对接知识产权律师团、仲裁机构与专业服务机构，提供跨区域协同援助；</w:t>
      </w:r>
    </w:p>
    <w:p w14:paraId="6992BD44">
      <w:pPr>
        <w:pStyle w:val="174"/>
        <w:numPr>
          <w:numId w:val="33"/>
        </w:numPr>
        <w:bidi w:val="0"/>
        <w:ind w:left="851" w:leftChars="0" w:hanging="426" w:firstLineChars="0"/>
      </w:pPr>
      <w:r>
        <w:rPr>
          <w:rFonts w:hint="eastAsia"/>
          <w:lang w:val="en-US" w:eastAsia="zh-CN"/>
        </w:rPr>
        <w:t>建立服务回访机制，跟踪对接成效，提升维权援助满意度。</w:t>
      </w:r>
    </w:p>
    <w:p w14:paraId="009034B6">
      <w:pPr>
        <w:pStyle w:val="65"/>
        <w:bidi w:val="0"/>
        <w:rPr>
          <w:rFonts w:hint="eastAsia"/>
          <w:lang w:val="en-US" w:eastAsia="zh-CN"/>
        </w:rPr>
      </w:pPr>
      <w:r>
        <w:rPr>
          <w:rFonts w:hint="eastAsia"/>
          <w:lang w:val="en-US" w:eastAsia="zh-CN"/>
        </w:rPr>
        <w:t>知识产权申请引导服务</w:t>
      </w:r>
    </w:p>
    <w:p w14:paraId="183794BC">
      <w:pPr>
        <w:pStyle w:val="56"/>
        <w:rPr>
          <w:rFonts w:hint="eastAsia"/>
          <w:lang w:val="en-US" w:eastAsia="zh-CN"/>
        </w:rPr>
      </w:pPr>
      <w:r>
        <w:rPr>
          <w:rFonts w:hint="eastAsia"/>
          <w:lang w:val="en-US" w:eastAsia="zh-CN"/>
        </w:rPr>
        <w:t>各单位应引导社会公众和创新主体开展知识产权申请，建立知识产权储备。宜按照以下方式开展工</w:t>
      </w:r>
    </w:p>
    <w:p w14:paraId="056E0B73">
      <w:pPr>
        <w:pStyle w:val="56"/>
        <w:ind w:left="0" w:leftChars="0" w:firstLine="0" w:firstLineChars="0"/>
        <w:rPr>
          <w:rFonts w:hint="default"/>
          <w:lang w:val="en-US" w:eastAsia="zh-CN"/>
        </w:rPr>
      </w:pPr>
      <w:r>
        <w:rPr>
          <w:rFonts w:hint="eastAsia"/>
          <w:lang w:val="en-US" w:eastAsia="zh-CN"/>
        </w:rPr>
        <w:t>作：</w:t>
      </w:r>
    </w:p>
    <w:p w14:paraId="5B190F15">
      <w:pPr>
        <w:pStyle w:val="174"/>
        <w:numPr>
          <w:ilvl w:val="0"/>
          <w:numId w:val="34"/>
        </w:numPr>
        <w:tabs>
          <w:tab w:val="left" w:pos="839"/>
        </w:tabs>
        <w:bidi w:val="0"/>
        <w:ind w:left="851" w:leftChars="0" w:hanging="426" w:firstLineChars="0"/>
        <w:rPr>
          <w:rFonts w:hint="eastAsia"/>
          <w:lang w:val="en-US" w:eastAsia="zh-CN"/>
        </w:rPr>
      </w:pPr>
      <w:r>
        <w:rPr>
          <w:rFonts w:hint="eastAsia"/>
          <w:lang w:val="en-US" w:eastAsia="zh-CN"/>
        </w:rPr>
        <w:t>建立社会公众和创新主体知识产权管理台账，记录知识产权基本信息；</w:t>
      </w:r>
    </w:p>
    <w:p w14:paraId="55175391">
      <w:pPr>
        <w:pStyle w:val="174"/>
        <w:numPr>
          <w:ilvl w:val="0"/>
          <w:numId w:val="34"/>
        </w:numPr>
        <w:tabs>
          <w:tab w:val="left" w:pos="839"/>
        </w:tabs>
        <w:bidi w:val="0"/>
        <w:ind w:left="851" w:leftChars="0" w:hanging="426" w:firstLineChars="0"/>
        <w:rPr>
          <w:rFonts w:hint="eastAsia"/>
          <w:lang w:val="en-US" w:eastAsia="zh-CN"/>
        </w:rPr>
      </w:pPr>
      <w:r>
        <w:rPr>
          <w:rFonts w:hint="eastAsia"/>
          <w:lang w:val="en-US" w:eastAsia="zh-CN"/>
        </w:rPr>
        <w:t>根据实际情况，引导社会公众和创新主体申请知识产权；</w:t>
      </w:r>
    </w:p>
    <w:p w14:paraId="1B11939A">
      <w:pPr>
        <w:pStyle w:val="174"/>
        <w:numPr>
          <w:ilvl w:val="0"/>
          <w:numId w:val="34"/>
        </w:numPr>
        <w:tabs>
          <w:tab w:val="left" w:pos="839"/>
        </w:tabs>
        <w:bidi w:val="0"/>
        <w:ind w:left="851" w:leftChars="0" w:hanging="426" w:firstLineChars="0"/>
        <w:rPr>
          <w:rFonts w:hint="eastAsia"/>
          <w:lang w:val="en-US" w:eastAsia="zh-CN"/>
        </w:rPr>
      </w:pPr>
      <w:r>
        <w:rPr>
          <w:rFonts w:hint="eastAsia"/>
          <w:lang w:val="en-US" w:eastAsia="zh-CN"/>
        </w:rPr>
        <w:t>针对未开展知识产权创造活动的社会公众和创新主体，开展知识产权基础知识普及培训；</w:t>
      </w:r>
    </w:p>
    <w:p w14:paraId="280C8939">
      <w:pPr>
        <w:pStyle w:val="174"/>
        <w:numPr>
          <w:ilvl w:val="0"/>
          <w:numId w:val="34"/>
        </w:numPr>
        <w:tabs>
          <w:tab w:val="left" w:pos="839"/>
        </w:tabs>
        <w:bidi w:val="0"/>
        <w:ind w:left="851" w:leftChars="0" w:hanging="426" w:firstLineChars="0"/>
        <w:rPr>
          <w:rFonts w:hint="eastAsia"/>
          <w:lang w:val="en-US" w:eastAsia="zh-CN"/>
        </w:rPr>
      </w:pPr>
      <w:r>
        <w:rPr>
          <w:rFonts w:hint="eastAsia"/>
          <w:lang w:val="en-US" w:eastAsia="zh-CN"/>
        </w:rPr>
        <w:t>根据社会公众和创新主体需求，协助对接专业知识产权服务机构；</w:t>
      </w:r>
    </w:p>
    <w:p w14:paraId="2798B0F6">
      <w:pPr>
        <w:pStyle w:val="174"/>
        <w:numPr>
          <w:ilvl w:val="0"/>
          <w:numId w:val="34"/>
        </w:numPr>
        <w:tabs>
          <w:tab w:val="left" w:pos="839"/>
        </w:tabs>
        <w:bidi w:val="0"/>
        <w:rPr>
          <w:rFonts w:hint="eastAsia"/>
          <w:lang w:val="en-US" w:eastAsia="zh-CN"/>
        </w:rPr>
      </w:pPr>
      <w:r>
        <w:rPr>
          <w:rFonts w:hint="eastAsia"/>
          <w:lang w:val="en-US" w:eastAsia="zh-CN"/>
        </w:rPr>
        <w:t>协助完成对接后，定期联系社会公众和创新主体了解服务机构服务情况。</w:t>
      </w:r>
    </w:p>
    <w:p w14:paraId="61925B52">
      <w:pPr>
        <w:pStyle w:val="65"/>
        <w:bidi w:val="0"/>
        <w:rPr>
          <w:rFonts w:hint="eastAsia"/>
          <w:lang w:val="en-US" w:eastAsia="zh-CN"/>
        </w:rPr>
      </w:pPr>
      <w:r>
        <w:rPr>
          <w:rFonts w:hint="eastAsia"/>
          <w:lang w:val="en-US" w:eastAsia="zh-CN"/>
        </w:rPr>
        <w:t>知识产权业务办理咨询服务</w:t>
      </w:r>
    </w:p>
    <w:p w14:paraId="41382628">
      <w:pPr>
        <w:pStyle w:val="56"/>
        <w:rPr>
          <w:rFonts w:hint="eastAsia"/>
          <w:lang w:val="en-US" w:eastAsia="zh-CN"/>
        </w:rPr>
      </w:pPr>
      <w:r>
        <w:rPr>
          <w:rFonts w:hint="eastAsia"/>
          <w:lang w:val="en-US" w:eastAsia="zh-CN"/>
        </w:rPr>
        <w:t>各单位应就社会公众和创新主体在知识产权申请、保护、运用、纠纷解决等环节遇到的各类知识产</w:t>
      </w:r>
    </w:p>
    <w:p w14:paraId="77ADE274">
      <w:pPr>
        <w:pStyle w:val="56"/>
        <w:ind w:left="0" w:leftChars="0" w:firstLine="0" w:firstLineChars="0"/>
        <w:rPr>
          <w:rFonts w:hint="eastAsia"/>
          <w:lang w:val="en-US" w:eastAsia="zh-CN"/>
        </w:rPr>
      </w:pPr>
      <w:r>
        <w:rPr>
          <w:rFonts w:hint="eastAsia"/>
          <w:lang w:val="en-US" w:eastAsia="zh-CN"/>
        </w:rPr>
        <w:t>权法律问题和难题，提供咨询解答服务。宜按照以下方式开展工作：</w:t>
      </w:r>
    </w:p>
    <w:p w14:paraId="5F87FBA0">
      <w:pPr>
        <w:pStyle w:val="174"/>
        <w:numPr>
          <w:ilvl w:val="0"/>
          <w:numId w:val="35"/>
        </w:numPr>
        <w:tabs>
          <w:tab w:val="left" w:pos="839"/>
        </w:tabs>
        <w:bidi w:val="0"/>
        <w:ind w:left="851" w:leftChars="0" w:hanging="426" w:firstLineChars="0"/>
        <w:rPr>
          <w:rFonts w:hint="eastAsia"/>
          <w:lang w:val="en-US" w:eastAsia="zh-CN"/>
        </w:rPr>
      </w:pPr>
      <w:r>
        <w:rPr>
          <w:rFonts w:hint="eastAsia"/>
          <w:lang w:val="en-US" w:eastAsia="zh-CN"/>
        </w:rPr>
        <w:t>建立专门的线上线下咨询渠道，包括设置固定咨询电话、网络网站线上窗口、线下面对面咨询室或社交软件平台咨询入口等；</w:t>
      </w:r>
    </w:p>
    <w:p w14:paraId="12A7D771">
      <w:pPr>
        <w:pStyle w:val="174"/>
        <w:numPr>
          <w:ilvl w:val="0"/>
          <w:numId w:val="35"/>
        </w:numPr>
        <w:tabs>
          <w:tab w:val="left" w:pos="839"/>
        </w:tabs>
        <w:bidi w:val="0"/>
        <w:ind w:left="851" w:leftChars="0" w:hanging="426" w:firstLineChars="0"/>
        <w:rPr>
          <w:rFonts w:hint="eastAsia"/>
          <w:lang w:val="en-US" w:eastAsia="zh-CN"/>
        </w:rPr>
      </w:pPr>
      <w:r>
        <w:rPr>
          <w:rFonts w:hint="eastAsia"/>
          <w:lang w:val="en-US" w:eastAsia="zh-CN"/>
        </w:rPr>
        <w:t>记录社会公众和创新主体提出的各类知识产权问题，形成咨询档案；</w:t>
      </w:r>
    </w:p>
    <w:p w14:paraId="14D95ADD">
      <w:pPr>
        <w:pStyle w:val="174"/>
        <w:numPr>
          <w:ilvl w:val="0"/>
          <w:numId w:val="35"/>
        </w:numPr>
        <w:tabs>
          <w:tab w:val="left" w:pos="839"/>
        </w:tabs>
        <w:bidi w:val="0"/>
        <w:ind w:left="851" w:leftChars="0" w:hanging="426" w:firstLineChars="0"/>
        <w:rPr>
          <w:rFonts w:hint="eastAsia"/>
          <w:lang w:val="en-US" w:eastAsia="zh-CN"/>
        </w:rPr>
      </w:pPr>
      <w:r>
        <w:rPr>
          <w:rFonts w:hint="eastAsia"/>
          <w:lang w:val="en-US" w:eastAsia="zh-CN"/>
        </w:rPr>
        <w:t>针对社会公众和创新主体提出的问题，提供咨询解答服务，并开展满意度评价；</w:t>
      </w:r>
    </w:p>
    <w:p w14:paraId="51518AD4">
      <w:pPr>
        <w:pStyle w:val="174"/>
        <w:numPr>
          <w:ilvl w:val="0"/>
          <w:numId w:val="35"/>
        </w:numPr>
        <w:tabs>
          <w:tab w:val="left" w:pos="839"/>
        </w:tabs>
        <w:bidi w:val="0"/>
        <w:rPr>
          <w:rFonts w:hint="eastAsia"/>
          <w:lang w:val="en-US" w:eastAsia="zh-CN"/>
        </w:rPr>
      </w:pPr>
      <w:r>
        <w:rPr>
          <w:rFonts w:hint="eastAsia"/>
          <w:lang w:val="en-US" w:eastAsia="zh-CN"/>
        </w:rPr>
        <w:t>定期分析社会公众和创新主体咨询问题情况，针对具体情况安排培训、座谈、实地走访等活动，必要时联系专业服务机构提供知识产权咨询服务。</w:t>
      </w:r>
    </w:p>
    <w:p w14:paraId="2A99F11B">
      <w:pPr>
        <w:pStyle w:val="65"/>
        <w:bidi w:val="0"/>
        <w:rPr>
          <w:rFonts w:hint="eastAsia"/>
          <w:lang w:val="en-US" w:eastAsia="zh-CN"/>
        </w:rPr>
      </w:pPr>
      <w:r>
        <w:rPr>
          <w:rFonts w:hint="eastAsia"/>
          <w:lang w:val="en-US" w:eastAsia="zh-CN"/>
        </w:rPr>
        <w:t>知识产权纠纷应对指导服务</w:t>
      </w:r>
    </w:p>
    <w:p w14:paraId="3A736589">
      <w:pPr>
        <w:pStyle w:val="56"/>
        <w:rPr>
          <w:rFonts w:hint="eastAsia"/>
          <w:lang w:val="en-US" w:eastAsia="zh-CN"/>
        </w:rPr>
      </w:pPr>
      <w:r>
        <w:rPr>
          <w:rFonts w:hint="eastAsia"/>
          <w:lang w:val="en-US" w:eastAsia="zh-CN"/>
        </w:rPr>
        <w:t>各单位应为社会公众和创新主体提供知识产权纠纷应对服务，包括知识产权侵权纠纷、合同纠纷、</w:t>
      </w:r>
    </w:p>
    <w:p w14:paraId="302035AD">
      <w:pPr>
        <w:pStyle w:val="56"/>
        <w:ind w:left="0" w:leftChars="0" w:firstLine="0" w:firstLineChars="0"/>
        <w:rPr>
          <w:rFonts w:hint="eastAsia"/>
          <w:lang w:val="en-US" w:eastAsia="zh-CN"/>
        </w:rPr>
      </w:pPr>
      <w:r>
        <w:rPr>
          <w:rFonts w:hint="eastAsia"/>
          <w:lang w:val="en-US" w:eastAsia="zh-CN"/>
        </w:rPr>
        <w:t>权属纠纷等。宜按照以下方式开展工作：</w:t>
      </w:r>
    </w:p>
    <w:p w14:paraId="5F9774C6">
      <w:pPr>
        <w:pStyle w:val="174"/>
        <w:numPr>
          <w:ilvl w:val="0"/>
          <w:numId w:val="36"/>
        </w:numPr>
        <w:tabs>
          <w:tab w:val="left" w:pos="839"/>
        </w:tabs>
        <w:bidi w:val="0"/>
        <w:ind w:left="851" w:leftChars="0" w:hanging="426" w:firstLineChars="0"/>
        <w:rPr>
          <w:rFonts w:hint="eastAsia"/>
          <w:lang w:val="en-US" w:eastAsia="zh-CN"/>
        </w:rPr>
      </w:pPr>
      <w:r>
        <w:rPr>
          <w:rFonts w:hint="eastAsia"/>
          <w:lang w:val="en-US" w:eastAsia="zh-CN"/>
        </w:rPr>
        <w:t>提供行政、司法、调解、和解、仲裁等纠纷解决途径的介绍；</w:t>
      </w:r>
    </w:p>
    <w:p w14:paraId="5D04A6D1">
      <w:pPr>
        <w:pStyle w:val="174"/>
        <w:numPr>
          <w:ilvl w:val="0"/>
          <w:numId w:val="36"/>
        </w:numPr>
        <w:tabs>
          <w:tab w:val="left" w:pos="839"/>
        </w:tabs>
        <w:bidi w:val="0"/>
        <w:ind w:left="851" w:leftChars="0" w:hanging="426" w:firstLineChars="0"/>
        <w:rPr>
          <w:rFonts w:hint="eastAsia"/>
          <w:lang w:val="en-US" w:eastAsia="zh-CN"/>
        </w:rPr>
      </w:pPr>
      <w:r>
        <w:rPr>
          <w:rFonts w:hint="eastAsia"/>
          <w:lang w:val="en-US" w:eastAsia="zh-CN"/>
        </w:rPr>
        <w:t>设立调解工作室，调解社会公众和创新主体遇到的知识产权纠纷问题；</w:t>
      </w:r>
    </w:p>
    <w:p w14:paraId="37ECBBC5">
      <w:pPr>
        <w:pStyle w:val="174"/>
        <w:numPr>
          <w:ilvl w:val="0"/>
          <w:numId w:val="36"/>
        </w:numPr>
        <w:tabs>
          <w:tab w:val="left" w:pos="839"/>
        </w:tabs>
        <w:bidi w:val="0"/>
        <w:ind w:left="851" w:leftChars="0" w:hanging="426" w:firstLineChars="0"/>
        <w:rPr>
          <w:rFonts w:hint="eastAsia"/>
          <w:lang w:val="en-US" w:eastAsia="zh-CN"/>
        </w:rPr>
      </w:pPr>
      <w:r>
        <w:rPr>
          <w:rFonts w:hint="eastAsia"/>
          <w:lang w:val="en-US" w:eastAsia="zh-CN"/>
        </w:rPr>
        <w:t>组织专家进行问题会诊，研究应对策略，引导纠纷当事人优选调解方式化解纠纷：</w:t>
      </w:r>
    </w:p>
    <w:p w14:paraId="37489B6A">
      <w:pPr>
        <w:pStyle w:val="174"/>
        <w:numPr>
          <w:ilvl w:val="0"/>
          <w:numId w:val="36"/>
        </w:numPr>
        <w:tabs>
          <w:tab w:val="left" w:pos="839"/>
        </w:tabs>
        <w:bidi w:val="0"/>
        <w:ind w:left="851" w:leftChars="0" w:hanging="426" w:firstLineChars="0"/>
        <w:rPr>
          <w:rFonts w:hint="eastAsia"/>
          <w:lang w:val="en-US" w:eastAsia="zh-CN"/>
        </w:rPr>
      </w:pPr>
      <w:r>
        <w:rPr>
          <w:rFonts w:hint="eastAsia"/>
          <w:lang w:val="en-US" w:eastAsia="zh-CN"/>
        </w:rPr>
        <w:t>联系对接知识产权纠纷人民调解委员会，配合人民调解委员会开展知识产权纠纷调解，帮助社会公众和创新主体应对知识产权纠纷；</w:t>
      </w:r>
    </w:p>
    <w:p w14:paraId="1747A152">
      <w:pPr>
        <w:pStyle w:val="174"/>
        <w:numPr>
          <w:ilvl w:val="0"/>
          <w:numId w:val="36"/>
        </w:numPr>
        <w:tabs>
          <w:tab w:val="left" w:pos="839"/>
        </w:tabs>
        <w:bidi w:val="0"/>
        <w:ind w:left="851" w:leftChars="0" w:hanging="426" w:firstLineChars="0"/>
        <w:rPr>
          <w:rFonts w:hint="eastAsia"/>
          <w:lang w:val="en-US" w:eastAsia="zh-CN"/>
        </w:rPr>
      </w:pPr>
      <w:r>
        <w:rPr>
          <w:rFonts w:hint="eastAsia"/>
          <w:lang w:val="en-US" w:eastAsia="zh-CN"/>
        </w:rPr>
        <w:t>联系对接仲裁机构、公证机构协助调查取证，提供诉讼指导服务；</w:t>
      </w:r>
    </w:p>
    <w:p w14:paraId="1B0E4DE9">
      <w:pPr>
        <w:pStyle w:val="174"/>
        <w:numPr>
          <w:ilvl w:val="0"/>
          <w:numId w:val="36"/>
        </w:numPr>
        <w:tabs>
          <w:tab w:val="left" w:pos="839"/>
        </w:tabs>
        <w:bidi w:val="0"/>
        <w:rPr>
          <w:rFonts w:hint="eastAsia"/>
          <w:lang w:val="en-US" w:eastAsia="zh-CN"/>
        </w:rPr>
      </w:pPr>
      <w:r>
        <w:rPr>
          <w:rFonts w:hint="eastAsia"/>
          <w:lang w:val="en-US" w:eastAsia="zh-CN"/>
        </w:rPr>
        <w:t>联系当事人了解纠纷处理情况，记录服务过程并归档，对于典型的纠纷案件，撰写形成案例。</w:t>
      </w:r>
    </w:p>
    <w:p w14:paraId="0FFBA16E">
      <w:pPr>
        <w:pStyle w:val="65"/>
        <w:bidi w:val="0"/>
        <w:rPr>
          <w:rFonts w:hint="eastAsia"/>
          <w:lang w:val="en-US" w:eastAsia="zh-CN"/>
        </w:rPr>
      </w:pPr>
      <w:r>
        <w:rPr>
          <w:rFonts w:hint="eastAsia"/>
          <w:lang w:val="en-US" w:eastAsia="zh-CN"/>
        </w:rPr>
        <w:t>知识产权信息查询检索服务</w:t>
      </w:r>
    </w:p>
    <w:p w14:paraId="3DCACFBC">
      <w:pPr>
        <w:pStyle w:val="56"/>
        <w:rPr>
          <w:rFonts w:hint="eastAsia"/>
          <w:lang w:val="en-US" w:eastAsia="zh-CN"/>
        </w:rPr>
      </w:pPr>
      <w:r>
        <w:rPr>
          <w:rFonts w:hint="eastAsia"/>
          <w:lang w:val="en-US" w:eastAsia="zh-CN"/>
        </w:rPr>
        <w:t>各单位应利用知识产权基础信息资源为社会公众和创新主体提供免费或低成本的基础知识产权信</w:t>
      </w:r>
    </w:p>
    <w:p w14:paraId="7E5A25DA">
      <w:pPr>
        <w:pStyle w:val="56"/>
        <w:ind w:left="0" w:leftChars="0" w:firstLine="0" w:firstLineChars="0"/>
        <w:rPr>
          <w:rFonts w:hint="eastAsia"/>
          <w:lang w:val="en-US" w:eastAsia="zh-CN"/>
        </w:rPr>
      </w:pPr>
      <w:r>
        <w:rPr>
          <w:rFonts w:hint="eastAsia"/>
          <w:lang w:val="en-US" w:eastAsia="zh-CN"/>
        </w:rPr>
        <w:t>息检索服务。宜按照以下方式开展工作：</w:t>
      </w:r>
    </w:p>
    <w:p w14:paraId="3A3AF5C0">
      <w:pPr>
        <w:pStyle w:val="174"/>
        <w:numPr>
          <w:ilvl w:val="0"/>
          <w:numId w:val="37"/>
        </w:numPr>
        <w:tabs>
          <w:tab w:val="left" w:pos="839"/>
        </w:tabs>
        <w:bidi w:val="0"/>
        <w:ind w:left="851" w:leftChars="0" w:hanging="426" w:firstLineChars="0"/>
        <w:rPr>
          <w:rFonts w:hint="eastAsia"/>
          <w:lang w:val="en-US" w:eastAsia="zh-CN"/>
        </w:rPr>
      </w:pPr>
      <w:r>
        <w:rPr>
          <w:rFonts w:hint="eastAsia"/>
          <w:lang w:val="en-US" w:eastAsia="zh-CN"/>
        </w:rPr>
        <w:t>对常用知识产权检索平台进行整理、收录，常用知识产权检索平台详见附录A；</w:t>
      </w:r>
    </w:p>
    <w:p w14:paraId="04594AC2">
      <w:pPr>
        <w:pStyle w:val="174"/>
        <w:numPr>
          <w:ilvl w:val="0"/>
          <w:numId w:val="37"/>
        </w:numPr>
        <w:tabs>
          <w:tab w:val="left" w:pos="839"/>
        </w:tabs>
        <w:bidi w:val="0"/>
        <w:ind w:left="851" w:leftChars="0" w:hanging="426" w:firstLineChars="0"/>
        <w:rPr>
          <w:rFonts w:hint="eastAsia"/>
          <w:lang w:val="en-US" w:eastAsia="zh-CN"/>
        </w:rPr>
      </w:pPr>
      <w:r>
        <w:rPr>
          <w:rFonts w:hint="eastAsia"/>
          <w:lang w:val="en-US" w:eastAsia="zh-CN"/>
        </w:rPr>
        <w:t>熟悉知识产权信息检索的基础知识，并掌握实操技能；</w:t>
      </w:r>
    </w:p>
    <w:p w14:paraId="60618266">
      <w:pPr>
        <w:pStyle w:val="174"/>
        <w:numPr>
          <w:ilvl w:val="0"/>
          <w:numId w:val="37"/>
        </w:numPr>
        <w:tabs>
          <w:tab w:val="left" w:pos="839"/>
        </w:tabs>
        <w:bidi w:val="0"/>
        <w:ind w:left="851" w:leftChars="0" w:hanging="426" w:firstLineChars="0"/>
        <w:rPr>
          <w:rFonts w:hint="eastAsia"/>
          <w:lang w:val="en-US" w:eastAsia="zh-CN"/>
        </w:rPr>
      </w:pPr>
      <w:r>
        <w:rPr>
          <w:rFonts w:hint="eastAsia"/>
          <w:lang w:val="en-US" w:eastAsia="zh-CN"/>
        </w:rPr>
        <w:t>为社会公众和创新主体免费提供基础知识产权信息检索服务；</w:t>
      </w:r>
    </w:p>
    <w:p w14:paraId="38B472C1">
      <w:pPr>
        <w:pStyle w:val="174"/>
        <w:numPr>
          <w:ilvl w:val="0"/>
          <w:numId w:val="37"/>
        </w:numPr>
        <w:tabs>
          <w:tab w:val="left" w:pos="839"/>
        </w:tabs>
        <w:bidi w:val="0"/>
        <w:rPr>
          <w:rFonts w:hint="eastAsia"/>
          <w:lang w:val="en-US" w:eastAsia="zh-CN"/>
        </w:rPr>
      </w:pPr>
      <w:r>
        <w:rPr>
          <w:rFonts w:hint="eastAsia"/>
          <w:lang w:val="en-US" w:eastAsia="zh-CN"/>
        </w:rPr>
        <w:t>联合专业服务机构为社会公众和创新主体提供检索服务。</w:t>
      </w:r>
    </w:p>
    <w:p w14:paraId="44EA5BB3">
      <w:pPr>
        <w:pStyle w:val="65"/>
        <w:bidi w:val="0"/>
        <w:rPr>
          <w:rFonts w:hint="eastAsia"/>
          <w:lang w:val="en-US" w:eastAsia="zh-CN"/>
        </w:rPr>
      </w:pPr>
      <w:r>
        <w:rPr>
          <w:rFonts w:hint="eastAsia"/>
          <w:lang w:val="en-US" w:eastAsia="zh-CN"/>
        </w:rPr>
        <w:t>知识产权信息分析利用服务</w:t>
      </w:r>
    </w:p>
    <w:p w14:paraId="32938027">
      <w:pPr>
        <w:pStyle w:val="56"/>
        <w:rPr>
          <w:rFonts w:hint="eastAsia"/>
          <w:lang w:val="en-US" w:eastAsia="zh-CN"/>
        </w:rPr>
      </w:pPr>
      <w:r>
        <w:rPr>
          <w:rFonts w:hint="eastAsia"/>
          <w:lang w:val="en-US" w:eastAsia="zh-CN"/>
        </w:rPr>
        <w:t>各单位应利用知识产权基础信息资源为社会公众和创新主体提供免费或低成本的基础知识产权信</w:t>
      </w:r>
    </w:p>
    <w:p w14:paraId="3C39A7C6">
      <w:pPr>
        <w:pStyle w:val="56"/>
        <w:ind w:left="0" w:leftChars="0" w:firstLine="0" w:firstLineChars="0"/>
        <w:rPr>
          <w:rFonts w:hint="eastAsia"/>
          <w:lang w:val="en-US" w:eastAsia="zh-CN"/>
        </w:rPr>
      </w:pPr>
      <w:r>
        <w:rPr>
          <w:rFonts w:hint="eastAsia"/>
          <w:lang w:val="en-US" w:eastAsia="zh-CN"/>
        </w:rPr>
        <w:t>息分析利用服务。宜按照以下方式开展工作：</w:t>
      </w:r>
    </w:p>
    <w:p w14:paraId="0E8ECE5F">
      <w:pPr>
        <w:pStyle w:val="174"/>
        <w:numPr>
          <w:ilvl w:val="0"/>
          <w:numId w:val="38"/>
        </w:numPr>
        <w:tabs>
          <w:tab w:val="left" w:pos="839"/>
        </w:tabs>
        <w:bidi w:val="0"/>
        <w:ind w:left="851" w:leftChars="0" w:hanging="426" w:firstLineChars="0"/>
        <w:rPr>
          <w:rFonts w:hint="eastAsia"/>
          <w:lang w:val="en-US" w:eastAsia="zh-CN"/>
        </w:rPr>
      </w:pPr>
      <w:r>
        <w:rPr>
          <w:rFonts w:hint="eastAsia"/>
          <w:lang w:val="en-US" w:eastAsia="zh-CN"/>
        </w:rPr>
        <w:t>对知识产权信息进行分类、整理；</w:t>
      </w:r>
    </w:p>
    <w:p w14:paraId="19672B81">
      <w:pPr>
        <w:pStyle w:val="174"/>
        <w:numPr>
          <w:ilvl w:val="0"/>
          <w:numId w:val="38"/>
        </w:numPr>
        <w:tabs>
          <w:tab w:val="left" w:pos="839"/>
        </w:tabs>
        <w:bidi w:val="0"/>
        <w:ind w:left="851" w:leftChars="0" w:hanging="426" w:firstLineChars="0"/>
        <w:rPr>
          <w:rFonts w:hint="eastAsia"/>
          <w:lang w:val="en-US" w:eastAsia="zh-CN"/>
        </w:rPr>
      </w:pPr>
      <w:r>
        <w:rPr>
          <w:rFonts w:hint="eastAsia"/>
          <w:lang w:val="en-US" w:eastAsia="zh-CN"/>
        </w:rPr>
        <w:t>了解掌握各类知识产权信息获取方法；</w:t>
      </w:r>
    </w:p>
    <w:p w14:paraId="7FFBDA0E">
      <w:pPr>
        <w:pStyle w:val="174"/>
        <w:numPr>
          <w:ilvl w:val="0"/>
          <w:numId w:val="38"/>
        </w:numPr>
        <w:tabs>
          <w:tab w:val="left" w:pos="839"/>
        </w:tabs>
        <w:bidi w:val="0"/>
        <w:ind w:left="851" w:leftChars="0" w:hanging="426" w:firstLineChars="0"/>
        <w:rPr>
          <w:rFonts w:hint="eastAsia"/>
          <w:lang w:val="en-US" w:eastAsia="zh-CN"/>
        </w:rPr>
      </w:pPr>
      <w:r>
        <w:rPr>
          <w:rFonts w:hint="eastAsia"/>
          <w:lang w:val="en-US" w:eastAsia="zh-CN"/>
        </w:rPr>
        <w:t>为社会公众和创新主体免费提供基础知识产权信息分析利用服务；</w:t>
      </w:r>
    </w:p>
    <w:p w14:paraId="52C02F15">
      <w:pPr>
        <w:pStyle w:val="174"/>
        <w:numPr>
          <w:ilvl w:val="0"/>
          <w:numId w:val="38"/>
        </w:numPr>
        <w:tabs>
          <w:tab w:val="left" w:pos="839"/>
        </w:tabs>
        <w:bidi w:val="0"/>
        <w:rPr>
          <w:rFonts w:hint="eastAsia"/>
          <w:lang w:val="en-US" w:eastAsia="zh-CN"/>
        </w:rPr>
      </w:pPr>
      <w:r>
        <w:rPr>
          <w:rFonts w:hint="eastAsia"/>
          <w:lang w:val="en-US" w:eastAsia="zh-CN"/>
        </w:rPr>
        <w:t>联合专业服务机构为社会公众和创新主体提供信息分析利用服务。</w:t>
      </w:r>
    </w:p>
    <w:p w14:paraId="72741147">
      <w:pPr>
        <w:pStyle w:val="65"/>
        <w:bidi w:val="0"/>
        <w:rPr>
          <w:rFonts w:hint="eastAsia"/>
          <w:lang w:val="en-US" w:eastAsia="zh-CN"/>
        </w:rPr>
      </w:pPr>
      <w:r>
        <w:rPr>
          <w:rFonts w:hint="eastAsia"/>
          <w:lang w:val="en-US" w:eastAsia="zh-CN"/>
        </w:rPr>
        <w:t>知识产权基础知识培训服务</w:t>
      </w:r>
    </w:p>
    <w:p w14:paraId="5F920F5E">
      <w:pPr>
        <w:pStyle w:val="56"/>
        <w:rPr>
          <w:rFonts w:hint="eastAsia"/>
          <w:lang w:val="en-US" w:eastAsia="zh-CN"/>
        </w:rPr>
      </w:pPr>
      <w:r>
        <w:rPr>
          <w:rFonts w:hint="eastAsia"/>
          <w:lang w:val="en-US" w:eastAsia="zh-CN"/>
        </w:rPr>
        <w:t>各单位应根据社会公众和创新主体需求，组织专业服务人员，提供知识产权基础知识系列培训，部</w:t>
      </w:r>
    </w:p>
    <w:p w14:paraId="12F3FBB5">
      <w:pPr>
        <w:pStyle w:val="56"/>
        <w:ind w:left="0" w:leftChars="0" w:firstLine="0" w:firstLineChars="0"/>
        <w:rPr>
          <w:rFonts w:hint="eastAsia"/>
          <w:lang w:val="en-US" w:eastAsia="zh-CN"/>
        </w:rPr>
      </w:pPr>
      <w:r>
        <w:rPr>
          <w:rFonts w:hint="eastAsia"/>
          <w:lang w:val="en-US" w:eastAsia="zh-CN"/>
        </w:rPr>
        <w:t>分推荐培训课程详见附录B。宜按照以下方式开展工作：</w:t>
      </w:r>
    </w:p>
    <w:p w14:paraId="69BC5336">
      <w:pPr>
        <w:pStyle w:val="174"/>
        <w:numPr>
          <w:ilvl w:val="0"/>
          <w:numId w:val="39"/>
        </w:numPr>
        <w:tabs>
          <w:tab w:val="left" w:pos="839"/>
        </w:tabs>
        <w:bidi w:val="0"/>
        <w:ind w:left="851" w:leftChars="0" w:hanging="426" w:firstLineChars="0"/>
        <w:rPr>
          <w:rFonts w:hint="eastAsia"/>
          <w:lang w:val="en-US" w:eastAsia="zh-CN"/>
        </w:rPr>
      </w:pPr>
      <w:r>
        <w:rPr>
          <w:rFonts w:hint="eastAsia"/>
          <w:lang w:val="en-US" w:eastAsia="zh-CN"/>
        </w:rPr>
        <w:t>通过调查问卷、定期走访等方式，了解社会公众和创新主体的知识产权需求：</w:t>
      </w:r>
    </w:p>
    <w:p w14:paraId="1D1B299A">
      <w:pPr>
        <w:pStyle w:val="174"/>
        <w:numPr>
          <w:ilvl w:val="0"/>
          <w:numId w:val="39"/>
        </w:numPr>
        <w:tabs>
          <w:tab w:val="left" w:pos="839"/>
        </w:tabs>
        <w:bidi w:val="0"/>
        <w:ind w:left="851" w:leftChars="0" w:hanging="426" w:firstLineChars="0"/>
        <w:rPr>
          <w:rFonts w:hint="eastAsia"/>
          <w:lang w:val="en-US" w:eastAsia="zh-CN"/>
        </w:rPr>
      </w:pPr>
      <w:r>
        <w:rPr>
          <w:rFonts w:hint="eastAsia"/>
          <w:lang w:val="en-US" w:eastAsia="zh-CN"/>
        </w:rPr>
        <w:t>针对社会公众和创新主体的实际需求，邀请专业服务人员，制定培训方案并与讲师确认培训课件；</w:t>
      </w:r>
    </w:p>
    <w:p w14:paraId="7D804314">
      <w:pPr>
        <w:pStyle w:val="174"/>
        <w:numPr>
          <w:ilvl w:val="0"/>
          <w:numId w:val="39"/>
        </w:numPr>
        <w:tabs>
          <w:tab w:val="left" w:pos="839"/>
        </w:tabs>
        <w:bidi w:val="0"/>
        <w:ind w:left="851" w:leftChars="0" w:hanging="426" w:firstLineChars="0"/>
        <w:rPr>
          <w:rFonts w:hint="eastAsia"/>
          <w:lang w:val="en-US" w:eastAsia="zh-CN"/>
        </w:rPr>
      </w:pPr>
      <w:r>
        <w:rPr>
          <w:rFonts w:hint="eastAsia"/>
          <w:lang w:val="en-US" w:eastAsia="zh-CN"/>
        </w:rPr>
        <w:t>组织社会公众和创新主体参加知识产权培训，会后以问卷的方式进行培训满意度调查；</w:t>
      </w:r>
    </w:p>
    <w:p w14:paraId="6C0F863C">
      <w:pPr>
        <w:pStyle w:val="174"/>
        <w:numPr>
          <w:ilvl w:val="0"/>
          <w:numId w:val="39"/>
        </w:numPr>
        <w:tabs>
          <w:tab w:val="left" w:pos="839"/>
        </w:tabs>
        <w:bidi w:val="0"/>
        <w:rPr>
          <w:rFonts w:hint="eastAsia"/>
          <w:lang w:val="en-US" w:eastAsia="zh-CN"/>
        </w:rPr>
      </w:pPr>
      <w:r>
        <w:rPr>
          <w:rFonts w:hint="eastAsia"/>
          <w:lang w:val="en-US" w:eastAsia="zh-CN"/>
        </w:rPr>
        <w:t>留存培训及参会的基本信息记录，整理社会公众和创新主体咨询信息及后续培训需求。</w:t>
      </w:r>
    </w:p>
    <w:p w14:paraId="05F74387">
      <w:pPr>
        <w:pStyle w:val="65"/>
        <w:bidi w:val="0"/>
        <w:rPr>
          <w:rFonts w:hint="eastAsia"/>
          <w:lang w:val="en-US" w:eastAsia="zh-CN"/>
        </w:rPr>
      </w:pPr>
      <w:r>
        <w:rPr>
          <w:rFonts w:hint="eastAsia"/>
          <w:lang w:val="en-US" w:eastAsia="zh-CN"/>
        </w:rPr>
        <w:t>知识产权知识宣传服务</w:t>
      </w:r>
    </w:p>
    <w:p w14:paraId="56F992F2">
      <w:pPr>
        <w:pStyle w:val="56"/>
        <w:rPr>
          <w:rFonts w:hint="eastAsia"/>
          <w:lang w:val="en-US" w:eastAsia="zh-CN"/>
        </w:rPr>
      </w:pPr>
      <w:r>
        <w:rPr>
          <w:rFonts w:hint="eastAsia"/>
          <w:lang w:val="en-US" w:eastAsia="zh-CN"/>
        </w:rPr>
        <w:t>各单位应开展知识产权知识集中宣传与日常宣传服务工作。宜按照以下方式开展工作：</w:t>
      </w:r>
    </w:p>
    <w:p w14:paraId="7A1EE744">
      <w:pPr>
        <w:pStyle w:val="174"/>
        <w:numPr>
          <w:ilvl w:val="0"/>
          <w:numId w:val="40"/>
        </w:numPr>
        <w:tabs>
          <w:tab w:val="left" w:pos="839"/>
        </w:tabs>
        <w:bidi w:val="0"/>
        <w:ind w:left="851" w:leftChars="0" w:hanging="426" w:firstLineChars="0"/>
        <w:rPr>
          <w:rFonts w:hint="eastAsia"/>
          <w:lang w:val="en-US" w:eastAsia="zh-CN"/>
        </w:rPr>
      </w:pPr>
      <w:r>
        <w:rPr>
          <w:rFonts w:hint="eastAsia"/>
          <w:lang w:val="en-US" w:eastAsia="zh-CN"/>
        </w:rPr>
        <w:t>策划宣传方案；</w:t>
      </w:r>
    </w:p>
    <w:p w14:paraId="1DE4DB0E">
      <w:pPr>
        <w:pStyle w:val="174"/>
        <w:numPr>
          <w:ilvl w:val="0"/>
          <w:numId w:val="40"/>
        </w:numPr>
        <w:tabs>
          <w:tab w:val="left" w:pos="839"/>
        </w:tabs>
        <w:bidi w:val="0"/>
        <w:ind w:left="851" w:leftChars="0" w:hanging="426" w:firstLineChars="0"/>
        <w:rPr>
          <w:rFonts w:hint="eastAsia"/>
          <w:lang w:val="en-US" w:eastAsia="zh-CN"/>
        </w:rPr>
      </w:pPr>
      <w:r>
        <w:rPr>
          <w:rFonts w:hint="eastAsia"/>
          <w:lang w:val="en-US" w:eastAsia="zh-CN"/>
        </w:rPr>
        <w:t>制作宣传物料；</w:t>
      </w:r>
    </w:p>
    <w:p w14:paraId="7F0F3E1C">
      <w:pPr>
        <w:pStyle w:val="174"/>
        <w:numPr>
          <w:ilvl w:val="0"/>
          <w:numId w:val="40"/>
        </w:numPr>
        <w:tabs>
          <w:tab w:val="left" w:pos="839"/>
        </w:tabs>
        <w:bidi w:val="0"/>
        <w:ind w:left="851" w:leftChars="0" w:hanging="426" w:firstLineChars="0"/>
        <w:rPr>
          <w:rFonts w:hint="eastAsia"/>
          <w:lang w:val="en-US" w:eastAsia="zh-CN"/>
        </w:rPr>
      </w:pPr>
      <w:r>
        <w:rPr>
          <w:rFonts w:hint="eastAsia"/>
          <w:lang w:val="en-US" w:eastAsia="zh-CN"/>
        </w:rPr>
        <w:t>选择“4.26”知识产权宣传周、专利周、中国品牌日、双创周等时间节点和重大展会活动期间进行集中宣传；</w:t>
      </w:r>
    </w:p>
    <w:p w14:paraId="7FFBFD1A">
      <w:pPr>
        <w:pStyle w:val="174"/>
        <w:numPr>
          <w:ilvl w:val="0"/>
          <w:numId w:val="40"/>
        </w:numPr>
        <w:tabs>
          <w:tab w:val="left" w:pos="839"/>
        </w:tabs>
        <w:bidi w:val="0"/>
        <w:ind w:left="851" w:leftChars="0" w:hanging="426" w:firstLineChars="0"/>
        <w:rPr>
          <w:rFonts w:hint="eastAsia"/>
          <w:lang w:val="en-US" w:eastAsia="zh-CN"/>
        </w:rPr>
      </w:pPr>
      <w:r>
        <w:rPr>
          <w:rFonts w:hint="eastAsia"/>
          <w:lang w:val="en-US" w:eastAsia="zh-CN"/>
        </w:rPr>
        <w:t>通过网站、新媒体平台、海报栏等线上或线下多渠道对知识产权保护相关法律法规、政策及知识产权热点新闻等进行日常宣传；</w:t>
      </w:r>
    </w:p>
    <w:p w14:paraId="0F518139">
      <w:pPr>
        <w:pStyle w:val="174"/>
        <w:numPr>
          <w:ilvl w:val="0"/>
          <w:numId w:val="40"/>
        </w:numPr>
        <w:tabs>
          <w:tab w:val="left" w:pos="839"/>
        </w:tabs>
        <w:bidi w:val="0"/>
        <w:ind w:left="851" w:leftChars="0" w:hanging="426" w:firstLineChars="0"/>
        <w:rPr>
          <w:rFonts w:hint="eastAsia"/>
          <w:lang w:val="en-US" w:eastAsia="zh-CN"/>
        </w:rPr>
      </w:pPr>
      <w:r>
        <w:rPr>
          <w:rFonts w:hint="eastAsia"/>
          <w:lang w:val="en-US" w:eastAsia="zh-CN"/>
        </w:rPr>
        <w:t>收集整理活动信息资料，包括活动照片、音像资料等；</w:t>
      </w:r>
    </w:p>
    <w:p w14:paraId="1444CE08">
      <w:pPr>
        <w:pStyle w:val="174"/>
        <w:numPr>
          <w:ilvl w:val="0"/>
          <w:numId w:val="40"/>
        </w:numPr>
        <w:tabs>
          <w:tab w:val="left" w:pos="839"/>
        </w:tabs>
        <w:bidi w:val="0"/>
        <w:rPr>
          <w:rFonts w:hint="eastAsia"/>
          <w:lang w:val="en-US" w:eastAsia="zh-CN"/>
        </w:rPr>
      </w:pPr>
      <w:r>
        <w:rPr>
          <w:rFonts w:hint="eastAsia"/>
          <w:lang w:val="en-US" w:eastAsia="zh-CN"/>
        </w:rPr>
        <w:t>对宣传活动进行报道。</w:t>
      </w:r>
    </w:p>
    <w:p w14:paraId="4BB61D32">
      <w:pPr>
        <w:pStyle w:val="65"/>
        <w:bidi w:val="0"/>
        <w:rPr>
          <w:rFonts w:hint="eastAsia"/>
          <w:lang w:val="en-US" w:eastAsia="zh-CN"/>
        </w:rPr>
      </w:pPr>
      <w:r>
        <w:rPr>
          <w:rFonts w:hint="eastAsia"/>
          <w:lang w:val="en-US" w:eastAsia="zh-CN"/>
        </w:rPr>
        <w:t>知识产权合规管理引导服务</w:t>
      </w:r>
    </w:p>
    <w:p w14:paraId="1AAC50DE">
      <w:pPr>
        <w:pStyle w:val="56"/>
        <w:rPr>
          <w:rFonts w:hint="eastAsia"/>
          <w:lang w:val="en-US" w:eastAsia="zh-CN"/>
        </w:rPr>
      </w:pPr>
      <w:r>
        <w:rPr>
          <w:rFonts w:hint="eastAsia"/>
          <w:lang w:val="en-US" w:eastAsia="zh-CN"/>
        </w:rPr>
        <w:t>各单位宜引导创新主体开展知识产权合规管理，提高知识产权意识和管理水平，防范知识产权风险，</w:t>
      </w:r>
    </w:p>
    <w:p w14:paraId="5B41EE7C">
      <w:pPr>
        <w:pStyle w:val="56"/>
        <w:ind w:left="0" w:leftChars="0" w:firstLine="0" w:firstLineChars="0"/>
        <w:rPr>
          <w:rFonts w:hint="eastAsia"/>
          <w:lang w:val="en-US" w:eastAsia="zh-CN"/>
        </w:rPr>
      </w:pPr>
      <w:r>
        <w:rPr>
          <w:rFonts w:hint="eastAsia"/>
          <w:lang w:val="en-US" w:eastAsia="zh-CN"/>
        </w:rPr>
        <w:t>实现知识产权价值。宜按照以下方式开展工作；</w:t>
      </w:r>
    </w:p>
    <w:p w14:paraId="4F81FDEE">
      <w:pPr>
        <w:pStyle w:val="174"/>
        <w:numPr>
          <w:ilvl w:val="0"/>
          <w:numId w:val="41"/>
        </w:numPr>
        <w:tabs>
          <w:tab w:val="left" w:pos="839"/>
        </w:tabs>
        <w:bidi w:val="0"/>
        <w:ind w:left="851" w:leftChars="0" w:hanging="426" w:firstLineChars="0"/>
        <w:rPr>
          <w:rFonts w:hint="eastAsia"/>
          <w:lang w:val="en-US" w:eastAsia="zh-CN"/>
        </w:rPr>
      </w:pPr>
      <w:r>
        <w:rPr>
          <w:rFonts w:hint="eastAsia"/>
          <w:lang w:val="en-US" w:eastAsia="zh-CN"/>
        </w:rPr>
        <w:t>对创新主体知识产权合规化管理情况进行摸底排查；</w:t>
      </w:r>
    </w:p>
    <w:p w14:paraId="6A3DFD27">
      <w:pPr>
        <w:pStyle w:val="174"/>
        <w:numPr>
          <w:ilvl w:val="0"/>
          <w:numId w:val="41"/>
        </w:numPr>
        <w:tabs>
          <w:tab w:val="left" w:pos="839"/>
        </w:tabs>
        <w:bidi w:val="0"/>
        <w:ind w:left="851" w:leftChars="0" w:hanging="426" w:firstLineChars="0"/>
        <w:rPr>
          <w:rFonts w:hint="eastAsia"/>
          <w:lang w:val="en-US" w:eastAsia="zh-CN"/>
        </w:rPr>
      </w:pPr>
      <w:r>
        <w:rPr>
          <w:rFonts w:hint="eastAsia"/>
          <w:lang w:val="en-US" w:eastAsia="zh-CN"/>
        </w:rPr>
        <w:t>对排查结果进行分析、整理，了解创新主体知识产权合规管理体系建设难题；</w:t>
      </w:r>
    </w:p>
    <w:p w14:paraId="35EBE6D4">
      <w:pPr>
        <w:pStyle w:val="174"/>
        <w:numPr>
          <w:ilvl w:val="0"/>
          <w:numId w:val="41"/>
        </w:numPr>
        <w:tabs>
          <w:tab w:val="left" w:pos="839"/>
        </w:tabs>
        <w:bidi w:val="0"/>
        <w:ind w:left="851" w:leftChars="0" w:hanging="426" w:firstLineChars="0"/>
        <w:rPr>
          <w:rFonts w:hint="eastAsia"/>
          <w:lang w:val="en-US" w:eastAsia="zh-CN"/>
        </w:rPr>
      </w:pPr>
      <w:r>
        <w:rPr>
          <w:rFonts w:hint="eastAsia"/>
          <w:lang w:val="en-US" w:eastAsia="zh-CN"/>
        </w:rPr>
        <w:t>引导创新主体建立知识产权合规管理体系；</w:t>
      </w:r>
    </w:p>
    <w:p w14:paraId="7E3460CA">
      <w:pPr>
        <w:pStyle w:val="174"/>
        <w:numPr>
          <w:ilvl w:val="0"/>
          <w:numId w:val="41"/>
        </w:numPr>
        <w:tabs>
          <w:tab w:val="left" w:pos="839"/>
        </w:tabs>
        <w:bidi w:val="0"/>
        <w:rPr>
          <w:rFonts w:hint="eastAsia"/>
          <w:lang w:val="en-US" w:eastAsia="zh-CN"/>
        </w:rPr>
      </w:pPr>
      <w:r>
        <w:rPr>
          <w:rFonts w:hint="eastAsia"/>
          <w:lang w:val="en-US" w:eastAsia="zh-CN"/>
        </w:rPr>
        <w:t>定期跟进创新主体知识产权合规化体系运行情况。</w:t>
      </w:r>
    </w:p>
    <w:p w14:paraId="4D9C4C3B">
      <w:pPr>
        <w:pStyle w:val="65"/>
        <w:bidi w:val="0"/>
        <w:rPr>
          <w:rFonts w:hint="eastAsia"/>
          <w:lang w:val="en-US" w:eastAsia="zh-CN"/>
        </w:rPr>
      </w:pPr>
      <w:r>
        <w:rPr>
          <w:rFonts w:hint="eastAsia"/>
          <w:lang w:val="en-US" w:eastAsia="zh-CN"/>
        </w:rPr>
        <w:t>知识产权金融服务</w:t>
      </w:r>
    </w:p>
    <w:p w14:paraId="126A4CAB">
      <w:pPr>
        <w:pStyle w:val="56"/>
        <w:rPr>
          <w:rFonts w:hint="eastAsia"/>
          <w:lang w:val="en-US" w:eastAsia="zh-CN"/>
        </w:rPr>
      </w:pPr>
      <w:r>
        <w:rPr>
          <w:rFonts w:hint="eastAsia"/>
          <w:lang w:val="en-US" w:eastAsia="zh-CN"/>
        </w:rPr>
        <w:t>各单位宜为创新主体的知识产权提供金融化服务，包括知识产权投资、信贷、担保、证券、保险等</w:t>
      </w:r>
    </w:p>
    <w:p w14:paraId="243C17B3">
      <w:pPr>
        <w:pStyle w:val="56"/>
        <w:ind w:left="0" w:leftChars="0" w:firstLine="0" w:firstLineChars="0"/>
        <w:rPr>
          <w:rFonts w:hint="eastAsia"/>
          <w:lang w:val="en-US" w:eastAsia="zh-CN"/>
        </w:rPr>
      </w:pPr>
      <w:r>
        <w:rPr>
          <w:rFonts w:hint="eastAsia"/>
          <w:lang w:val="en-US" w:eastAsia="zh-CN"/>
        </w:rPr>
        <w:t>服务。宜按照以下方式开展工作：</w:t>
      </w:r>
    </w:p>
    <w:p w14:paraId="4FB0A233">
      <w:pPr>
        <w:pStyle w:val="174"/>
        <w:numPr>
          <w:ilvl w:val="0"/>
          <w:numId w:val="42"/>
        </w:numPr>
        <w:tabs>
          <w:tab w:val="left" w:pos="839"/>
        </w:tabs>
        <w:bidi w:val="0"/>
        <w:ind w:left="851" w:leftChars="0" w:hanging="426" w:firstLineChars="0"/>
        <w:rPr>
          <w:rFonts w:hint="eastAsia"/>
          <w:lang w:val="en-US" w:eastAsia="zh-CN"/>
        </w:rPr>
      </w:pPr>
      <w:r>
        <w:rPr>
          <w:rFonts w:hint="eastAsia"/>
          <w:lang w:val="en-US" w:eastAsia="zh-CN"/>
        </w:rPr>
        <w:t>定期深入创新主体，主动与创新主体交流，了解是否有投资、信贷、担保、投保等需求；</w:t>
      </w:r>
    </w:p>
    <w:p w14:paraId="5EFAF0B1">
      <w:pPr>
        <w:pStyle w:val="174"/>
        <w:numPr>
          <w:ilvl w:val="0"/>
          <w:numId w:val="42"/>
        </w:numPr>
        <w:tabs>
          <w:tab w:val="left" w:pos="839"/>
        </w:tabs>
        <w:bidi w:val="0"/>
        <w:ind w:left="851" w:leftChars="0" w:hanging="426" w:firstLineChars="0"/>
        <w:rPr>
          <w:rFonts w:hint="eastAsia"/>
          <w:lang w:val="en-US" w:eastAsia="zh-CN"/>
        </w:rPr>
      </w:pPr>
      <w:r>
        <w:rPr>
          <w:rFonts w:hint="eastAsia"/>
          <w:lang w:val="en-US" w:eastAsia="zh-CN"/>
        </w:rPr>
        <w:t>对有需求的创新主体，邀约金融服务机构，举办专场培训，普及知识产权金融基础知识；</w:t>
      </w:r>
    </w:p>
    <w:p w14:paraId="0A6ED840">
      <w:pPr>
        <w:pStyle w:val="174"/>
        <w:numPr>
          <w:ilvl w:val="0"/>
          <w:numId w:val="42"/>
        </w:numPr>
        <w:tabs>
          <w:tab w:val="left" w:pos="839"/>
        </w:tabs>
        <w:bidi w:val="0"/>
        <w:rPr>
          <w:rFonts w:hint="eastAsia"/>
          <w:lang w:val="en-US" w:eastAsia="zh-CN"/>
        </w:rPr>
      </w:pPr>
      <w:r>
        <w:rPr>
          <w:rFonts w:hint="eastAsia"/>
          <w:lang w:val="en-US" w:eastAsia="zh-CN"/>
        </w:rPr>
        <w:t>根据创新主体需求，协助对接金融服务机构，进行点对点服务，并对创新主体融资服务进行跟踪管理。</w:t>
      </w:r>
    </w:p>
    <w:p w14:paraId="0DC750EC">
      <w:pPr>
        <w:pStyle w:val="65"/>
        <w:bidi w:val="0"/>
        <w:rPr>
          <w:rFonts w:hint="eastAsia"/>
          <w:lang w:val="en-US" w:eastAsia="zh-CN"/>
        </w:rPr>
      </w:pPr>
      <w:r>
        <w:rPr>
          <w:rFonts w:hint="eastAsia"/>
          <w:lang w:val="en-US" w:eastAsia="zh-CN"/>
        </w:rPr>
        <w:t>知识产权转让、许可服务</w:t>
      </w:r>
    </w:p>
    <w:p w14:paraId="23AC3304">
      <w:pPr>
        <w:pStyle w:val="56"/>
        <w:rPr>
          <w:rFonts w:hint="eastAsia"/>
          <w:lang w:val="en-US" w:eastAsia="zh-CN"/>
        </w:rPr>
      </w:pPr>
      <w:r>
        <w:rPr>
          <w:rFonts w:hint="eastAsia"/>
          <w:lang w:val="en-US" w:eastAsia="zh-CN"/>
        </w:rPr>
        <w:t>各单位宜为社会公众和创新主体提供知识产权转让、许可的服务，推动转让、许可双方合规合法开</w:t>
      </w:r>
    </w:p>
    <w:p w14:paraId="72A1FBCE">
      <w:pPr>
        <w:pStyle w:val="56"/>
        <w:ind w:left="0" w:leftChars="0" w:firstLine="0" w:firstLineChars="0"/>
        <w:rPr>
          <w:rFonts w:hint="eastAsia"/>
          <w:lang w:val="en-US" w:eastAsia="zh-CN"/>
        </w:rPr>
      </w:pPr>
      <w:r>
        <w:rPr>
          <w:rFonts w:hint="eastAsia"/>
          <w:lang w:val="en-US" w:eastAsia="zh-CN"/>
        </w:rPr>
        <w:t>展知识产权运营工作。宜按照以下方式开展工作：</w:t>
      </w:r>
    </w:p>
    <w:p w14:paraId="53DE9CA1">
      <w:pPr>
        <w:pStyle w:val="174"/>
        <w:numPr>
          <w:ilvl w:val="0"/>
          <w:numId w:val="43"/>
        </w:numPr>
        <w:tabs>
          <w:tab w:val="left" w:pos="839"/>
        </w:tabs>
        <w:bidi w:val="0"/>
        <w:ind w:left="851" w:leftChars="0" w:hanging="426" w:firstLineChars="0"/>
        <w:rPr>
          <w:rFonts w:hint="eastAsia"/>
          <w:lang w:val="en-US" w:eastAsia="zh-CN"/>
        </w:rPr>
      </w:pPr>
      <w:r>
        <w:rPr>
          <w:rFonts w:hint="eastAsia"/>
          <w:lang w:val="en-US" w:eastAsia="zh-CN"/>
        </w:rPr>
        <w:t>在进行专利转让、许可交易之前，协助社会公众和创新主体对接专业评估机构，对知识产权价值进行评估；</w:t>
      </w:r>
    </w:p>
    <w:p w14:paraId="557B9B17">
      <w:pPr>
        <w:pStyle w:val="174"/>
        <w:numPr>
          <w:ilvl w:val="0"/>
          <w:numId w:val="43"/>
        </w:numPr>
        <w:tabs>
          <w:tab w:val="left" w:pos="839"/>
        </w:tabs>
        <w:bidi w:val="0"/>
        <w:ind w:left="851" w:leftChars="0" w:hanging="426" w:firstLineChars="0"/>
        <w:rPr>
          <w:rFonts w:hint="eastAsia"/>
          <w:lang w:val="en-US" w:eastAsia="zh-CN"/>
        </w:rPr>
      </w:pPr>
      <w:r>
        <w:rPr>
          <w:rFonts w:hint="eastAsia"/>
          <w:lang w:val="en-US" w:eastAsia="zh-CN"/>
        </w:rPr>
        <w:t>指导社会公众和创新主体起草和完善合同条款，保障双方权益；</w:t>
      </w:r>
    </w:p>
    <w:p w14:paraId="21C9F6B8">
      <w:pPr>
        <w:pStyle w:val="174"/>
        <w:numPr>
          <w:ilvl w:val="0"/>
          <w:numId w:val="43"/>
        </w:numPr>
        <w:tabs>
          <w:tab w:val="left" w:pos="839"/>
        </w:tabs>
        <w:bidi w:val="0"/>
        <w:rPr>
          <w:rFonts w:hint="eastAsia"/>
          <w:lang w:val="en-US" w:eastAsia="zh-CN"/>
        </w:rPr>
      </w:pPr>
      <w:r>
        <w:rPr>
          <w:rFonts w:hint="eastAsia"/>
          <w:lang w:val="en-US" w:eastAsia="zh-CN"/>
        </w:rPr>
        <w:t>对于典型的转让、许可案件，撰写形成案例，为相关工作进行指导。</w:t>
      </w:r>
    </w:p>
    <w:p w14:paraId="15DCDE4F">
      <w:pPr>
        <w:pStyle w:val="105"/>
        <w:bidi w:val="0"/>
        <w:rPr>
          <w:rFonts w:hint="eastAsia"/>
          <w:lang w:val="en-US" w:eastAsia="zh-CN"/>
        </w:rPr>
      </w:pPr>
      <w:r>
        <w:rPr>
          <w:rFonts w:hint="eastAsia"/>
          <w:lang w:val="en-US" w:eastAsia="zh-CN"/>
        </w:rPr>
        <w:t>特色服务</w:t>
      </w:r>
    </w:p>
    <w:p w14:paraId="1A8DC6B5">
      <w:pPr>
        <w:pStyle w:val="65"/>
        <w:bidi w:val="0"/>
        <w:rPr>
          <w:rFonts w:hint="eastAsia"/>
          <w:lang w:val="en-US" w:eastAsia="zh-CN"/>
        </w:rPr>
      </w:pPr>
      <w:r>
        <w:rPr>
          <w:rFonts w:hint="eastAsia"/>
          <w:lang w:val="en-US" w:eastAsia="zh-CN"/>
        </w:rPr>
        <w:t>概述</w:t>
      </w:r>
    </w:p>
    <w:p w14:paraId="7D6E0A3E">
      <w:pPr>
        <w:pStyle w:val="56"/>
        <w:rPr>
          <w:rFonts w:hint="eastAsia"/>
          <w:lang w:val="en-US" w:eastAsia="zh-CN"/>
        </w:rPr>
      </w:pPr>
      <w:r>
        <w:rPr>
          <w:rFonts w:hint="eastAsia"/>
          <w:lang w:val="en-US" w:eastAsia="zh-CN"/>
        </w:rPr>
        <w:t>各单位宜根据机构性质、资源优势、服务能力和服务对象需求，提供特色服务。特色服务包括但不</w:t>
      </w:r>
    </w:p>
    <w:p w14:paraId="11B2FE1E">
      <w:pPr>
        <w:pStyle w:val="56"/>
        <w:ind w:left="0" w:leftChars="0" w:firstLine="0" w:firstLineChars="0"/>
        <w:rPr>
          <w:rFonts w:hint="eastAsia"/>
          <w:lang w:val="en-US" w:eastAsia="zh-CN"/>
        </w:rPr>
      </w:pPr>
      <w:r>
        <w:rPr>
          <w:rFonts w:hint="eastAsia"/>
          <w:lang w:val="en-US" w:eastAsia="zh-CN"/>
        </w:rPr>
        <w:t>限于：重点产业服务、重点企业服务、数字经济领域服务、其他新领域新业态服务。</w:t>
      </w:r>
    </w:p>
    <w:p w14:paraId="72DFFD7D">
      <w:pPr>
        <w:pStyle w:val="65"/>
        <w:bidi w:val="0"/>
        <w:rPr>
          <w:rFonts w:hint="eastAsia"/>
          <w:lang w:val="en-US" w:eastAsia="zh-CN"/>
        </w:rPr>
      </w:pPr>
      <w:r>
        <w:rPr>
          <w:rFonts w:hint="eastAsia"/>
          <w:lang w:val="en-US" w:eastAsia="zh-CN"/>
        </w:rPr>
        <w:t>重点产业特色服务</w:t>
      </w:r>
    </w:p>
    <w:p w14:paraId="12BFD7F0">
      <w:pPr>
        <w:pStyle w:val="56"/>
        <w:rPr>
          <w:rFonts w:hint="eastAsia"/>
          <w:lang w:val="en-US" w:eastAsia="zh-CN"/>
        </w:rPr>
      </w:pPr>
      <w:r>
        <w:rPr>
          <w:rFonts w:hint="eastAsia"/>
          <w:lang w:val="en-US" w:eastAsia="zh-CN"/>
        </w:rPr>
        <w:t>各单位宜结合本区域重点发展产业的特点，充分利用公共服务资源推进创新主体知识产权高质量</w:t>
      </w:r>
    </w:p>
    <w:p w14:paraId="0BA0D220">
      <w:pPr>
        <w:pStyle w:val="56"/>
        <w:ind w:left="0" w:leftChars="0" w:firstLine="0" w:firstLineChars="0"/>
        <w:rPr>
          <w:rFonts w:hint="eastAsia"/>
          <w:lang w:val="en-US" w:eastAsia="zh-CN"/>
        </w:rPr>
      </w:pPr>
      <w:r>
        <w:rPr>
          <w:rFonts w:hint="eastAsia"/>
          <w:lang w:val="en-US" w:eastAsia="zh-CN"/>
        </w:rPr>
        <w:t>创造、高效能运用，开展专利导航、数据库建设、高价值专利培育等工作。宜按照以下方式开展工作：</w:t>
      </w:r>
    </w:p>
    <w:p w14:paraId="2C9F8099">
      <w:pPr>
        <w:pStyle w:val="174"/>
        <w:numPr>
          <w:ilvl w:val="0"/>
          <w:numId w:val="44"/>
        </w:numPr>
        <w:tabs>
          <w:tab w:val="left" w:pos="839"/>
        </w:tabs>
        <w:bidi w:val="0"/>
        <w:ind w:left="851" w:leftChars="0" w:hanging="426" w:firstLineChars="0"/>
        <w:rPr>
          <w:rFonts w:hint="eastAsia"/>
          <w:lang w:val="en-US" w:eastAsia="zh-CN"/>
        </w:rPr>
      </w:pPr>
      <w:r>
        <w:rPr>
          <w:rFonts w:hint="eastAsia"/>
          <w:lang w:val="en-US" w:eastAsia="zh-CN"/>
        </w:rPr>
        <w:t>对重点产业的创新主体进行调研，了解产业发展现状及问题，开展专利导航工作；</w:t>
      </w:r>
    </w:p>
    <w:p w14:paraId="5E7B8687">
      <w:pPr>
        <w:pStyle w:val="174"/>
        <w:numPr>
          <w:ilvl w:val="0"/>
          <w:numId w:val="44"/>
        </w:numPr>
        <w:tabs>
          <w:tab w:val="left" w:pos="839"/>
        </w:tabs>
        <w:bidi w:val="0"/>
        <w:ind w:left="851" w:leftChars="0" w:hanging="426" w:firstLineChars="0"/>
        <w:rPr>
          <w:rFonts w:hint="eastAsia"/>
          <w:lang w:val="en-US" w:eastAsia="zh-CN"/>
        </w:rPr>
      </w:pPr>
      <w:r>
        <w:rPr>
          <w:rFonts w:hint="eastAsia"/>
          <w:lang w:val="en-US" w:eastAsia="zh-CN"/>
        </w:rPr>
        <w:t>对产业数据进行标引，建立产业专利数据库；</w:t>
      </w:r>
    </w:p>
    <w:p w14:paraId="0FCECB87">
      <w:pPr>
        <w:pStyle w:val="174"/>
        <w:numPr>
          <w:ilvl w:val="0"/>
          <w:numId w:val="44"/>
        </w:numPr>
        <w:tabs>
          <w:tab w:val="left" w:pos="839"/>
        </w:tabs>
        <w:bidi w:val="0"/>
        <w:ind w:left="851" w:leftChars="0" w:hanging="426" w:firstLineChars="0"/>
        <w:rPr>
          <w:rFonts w:hint="eastAsia"/>
          <w:lang w:val="en-US" w:eastAsia="zh-CN"/>
        </w:rPr>
      </w:pPr>
      <w:r>
        <w:rPr>
          <w:rFonts w:hint="eastAsia"/>
          <w:lang w:val="en-US" w:eastAsia="zh-CN"/>
        </w:rPr>
        <w:t>根据产业导航分析结果，制定产业培训课程；</w:t>
      </w:r>
    </w:p>
    <w:p w14:paraId="5CB88508">
      <w:pPr>
        <w:pStyle w:val="174"/>
        <w:numPr>
          <w:ilvl w:val="0"/>
          <w:numId w:val="44"/>
        </w:numPr>
        <w:tabs>
          <w:tab w:val="left" w:pos="839"/>
        </w:tabs>
        <w:bidi w:val="0"/>
        <w:ind w:left="851" w:leftChars="0" w:hanging="426" w:firstLineChars="0"/>
        <w:rPr>
          <w:rFonts w:hint="eastAsia"/>
          <w:lang w:val="en-US" w:eastAsia="zh-CN"/>
        </w:rPr>
      </w:pPr>
      <w:r>
        <w:rPr>
          <w:rFonts w:hint="eastAsia"/>
          <w:lang w:val="en-US" w:eastAsia="zh-CN"/>
        </w:rPr>
        <w:t>引导创新主体开展产业专利布局和高价值专利培育相关工作；</w:t>
      </w:r>
    </w:p>
    <w:p w14:paraId="6D269516">
      <w:pPr>
        <w:pStyle w:val="174"/>
        <w:numPr>
          <w:ilvl w:val="0"/>
          <w:numId w:val="44"/>
        </w:numPr>
        <w:tabs>
          <w:tab w:val="left" w:pos="839"/>
        </w:tabs>
        <w:bidi w:val="0"/>
        <w:ind w:left="851" w:leftChars="0" w:hanging="426" w:firstLineChars="0"/>
        <w:rPr>
          <w:rFonts w:hint="eastAsia"/>
          <w:lang w:val="en-US" w:eastAsia="zh-CN"/>
        </w:rPr>
      </w:pPr>
      <w:r>
        <w:rPr>
          <w:rFonts w:hint="eastAsia"/>
          <w:lang w:val="en-US" w:eastAsia="zh-CN"/>
        </w:rPr>
        <w:t>帮助创新主体解决标准必要专利申请、许可条件确定、是否符合公平合理非歧视（Frand）承诺以及国际裁判管辖、公平合理非歧视（Frand)许可费率计算等问题；</w:t>
      </w:r>
    </w:p>
    <w:p w14:paraId="0CB62DE8">
      <w:pPr>
        <w:pStyle w:val="174"/>
        <w:numPr>
          <w:ilvl w:val="0"/>
          <w:numId w:val="44"/>
        </w:numPr>
        <w:tabs>
          <w:tab w:val="left" w:pos="839"/>
        </w:tabs>
        <w:bidi w:val="0"/>
        <w:rPr>
          <w:rFonts w:hint="eastAsia"/>
          <w:lang w:val="en-US" w:eastAsia="zh-CN"/>
        </w:rPr>
      </w:pPr>
      <w:r>
        <w:rPr>
          <w:rFonts w:hint="eastAsia"/>
          <w:lang w:val="en-US" w:eastAsia="zh-CN"/>
        </w:rPr>
        <w:t>构建商标品牌培育服务体系，建立健全商标品牌管理体系，分类指导创新主体实施商标品牌战略。</w:t>
      </w:r>
    </w:p>
    <w:p w14:paraId="05255694">
      <w:pPr>
        <w:pStyle w:val="65"/>
        <w:bidi w:val="0"/>
        <w:rPr>
          <w:rFonts w:hint="eastAsia"/>
          <w:lang w:val="en-US" w:eastAsia="zh-CN"/>
        </w:rPr>
      </w:pPr>
      <w:r>
        <w:rPr>
          <w:rFonts w:hint="eastAsia"/>
          <w:lang w:val="en-US" w:eastAsia="zh-CN"/>
        </w:rPr>
        <w:t>区域重点企业的精准服务</w:t>
      </w:r>
    </w:p>
    <w:p w14:paraId="1EE34602">
      <w:pPr>
        <w:pStyle w:val="56"/>
        <w:rPr>
          <w:rFonts w:hint="eastAsia"/>
          <w:lang w:val="en-US" w:eastAsia="zh-CN"/>
        </w:rPr>
      </w:pPr>
      <w:r>
        <w:rPr>
          <w:rFonts w:hint="eastAsia"/>
          <w:lang w:val="en-US" w:eastAsia="zh-CN"/>
        </w:rPr>
        <w:t>各单位宜遴选出区域内重点企业，并对重点企业提供精准服务，优先选择“专精特新”中小企业、</w:t>
      </w:r>
    </w:p>
    <w:p w14:paraId="18FC40F0">
      <w:pPr>
        <w:pStyle w:val="56"/>
        <w:ind w:left="0" w:leftChars="0" w:firstLine="0" w:firstLineChars="0"/>
        <w:rPr>
          <w:rFonts w:hint="eastAsia"/>
          <w:lang w:val="en-US" w:eastAsia="zh-CN"/>
        </w:rPr>
      </w:pPr>
      <w:r>
        <w:rPr>
          <w:rFonts w:hint="eastAsia"/>
          <w:lang w:val="en-US" w:eastAsia="zh-CN"/>
        </w:rPr>
        <w:t>“走出去”企业、国家知识产权示范企业、国家知识产权优势企业、省市级知识产权重点示范企业、重</w:t>
      </w:r>
    </w:p>
    <w:p w14:paraId="0C5419BA">
      <w:pPr>
        <w:pStyle w:val="56"/>
        <w:ind w:left="0" w:leftChars="0" w:firstLine="0" w:firstLineChars="0"/>
        <w:rPr>
          <w:rFonts w:hint="eastAsia"/>
          <w:lang w:val="en-US" w:eastAsia="zh-CN"/>
        </w:rPr>
      </w:pPr>
      <w:r>
        <w:rPr>
          <w:rFonts w:hint="eastAsia"/>
          <w:lang w:val="en-US" w:eastAsia="zh-CN"/>
        </w:rPr>
        <w:t>点人才所在企业等纳入重点服务对象。宜按照以下方式开展工作：</w:t>
      </w:r>
    </w:p>
    <w:p w14:paraId="1389AB5E">
      <w:pPr>
        <w:pStyle w:val="174"/>
        <w:numPr>
          <w:ilvl w:val="0"/>
          <w:numId w:val="45"/>
        </w:numPr>
        <w:tabs>
          <w:tab w:val="left" w:pos="839"/>
        </w:tabs>
        <w:bidi w:val="0"/>
        <w:ind w:left="851" w:leftChars="0" w:hanging="426" w:firstLineChars="0"/>
        <w:rPr>
          <w:rFonts w:hint="eastAsia"/>
          <w:lang w:val="en-US" w:eastAsia="zh-CN"/>
        </w:rPr>
      </w:pPr>
      <w:r>
        <w:rPr>
          <w:rFonts w:hint="eastAsia"/>
          <w:lang w:val="en-US" w:eastAsia="zh-CN"/>
        </w:rPr>
        <w:t>结合重点产业发展情况，建立年度重点服务企业名录；</w:t>
      </w:r>
    </w:p>
    <w:p w14:paraId="1D719745">
      <w:pPr>
        <w:pStyle w:val="174"/>
        <w:numPr>
          <w:ilvl w:val="0"/>
          <w:numId w:val="45"/>
        </w:numPr>
        <w:tabs>
          <w:tab w:val="left" w:pos="839"/>
        </w:tabs>
        <w:bidi w:val="0"/>
        <w:rPr>
          <w:rFonts w:hint="eastAsia"/>
          <w:lang w:val="en-US" w:eastAsia="zh-CN"/>
        </w:rPr>
      </w:pPr>
      <w:r>
        <w:rPr>
          <w:rFonts w:hint="eastAsia"/>
          <w:lang w:val="en-US" w:eastAsia="zh-CN"/>
        </w:rPr>
        <w:t>主动对接、走访并了解重点企业需求，开展知识产权“点对点”服务。</w:t>
      </w:r>
    </w:p>
    <w:p w14:paraId="489AF28C">
      <w:pPr>
        <w:pStyle w:val="65"/>
        <w:bidi w:val="0"/>
        <w:rPr>
          <w:rFonts w:hint="eastAsia"/>
          <w:lang w:val="en-US" w:eastAsia="zh-CN"/>
        </w:rPr>
      </w:pPr>
      <w:r>
        <w:rPr>
          <w:rFonts w:hint="eastAsia"/>
          <w:lang w:val="en-US" w:eastAsia="zh-CN"/>
        </w:rPr>
        <w:t>“四地”产业服务</w:t>
      </w:r>
    </w:p>
    <w:p w14:paraId="1AAA607E">
      <w:pPr>
        <w:pStyle w:val="56"/>
        <w:rPr>
          <w:rFonts w:hint="eastAsia"/>
          <w:lang w:val="en-US" w:eastAsia="zh-CN"/>
        </w:rPr>
      </w:pPr>
      <w:r>
        <w:rPr>
          <w:rFonts w:hint="eastAsia"/>
          <w:lang w:val="en-US" w:eastAsia="zh-CN"/>
        </w:rPr>
        <w:t>各单位宜为本区域内“四地”产业社会公众和创新主体提供精准服务，面对四地”产业存</w:t>
      </w:r>
    </w:p>
    <w:p w14:paraId="03D22006">
      <w:pPr>
        <w:pStyle w:val="56"/>
        <w:ind w:left="0" w:leftChars="0" w:firstLine="0" w:firstLineChars="0"/>
        <w:rPr>
          <w:rFonts w:hint="eastAsia"/>
          <w:lang w:val="en-US" w:eastAsia="zh-CN"/>
        </w:rPr>
      </w:pPr>
      <w:r>
        <w:rPr>
          <w:rFonts w:hint="eastAsia"/>
          <w:lang w:val="en-US" w:eastAsia="zh-CN"/>
        </w:rPr>
        <w:t>在新需求、新技术、新模式的发展特点。宜按照以下方式开展工作：</w:t>
      </w:r>
    </w:p>
    <w:p w14:paraId="7700C4D6">
      <w:pPr>
        <w:pStyle w:val="174"/>
        <w:numPr>
          <w:ilvl w:val="0"/>
          <w:numId w:val="46"/>
        </w:numPr>
        <w:tabs>
          <w:tab w:val="left" w:pos="839"/>
        </w:tabs>
        <w:bidi w:val="0"/>
        <w:ind w:left="851" w:leftChars="0" w:hanging="426" w:firstLineChars="0"/>
        <w:rPr>
          <w:rFonts w:hint="eastAsia"/>
          <w:lang w:val="en-US" w:eastAsia="zh-CN"/>
        </w:rPr>
      </w:pPr>
      <w:r>
        <w:rPr>
          <w:rFonts w:hint="eastAsia"/>
          <w:lang w:val="en-US" w:eastAsia="zh-CN"/>
        </w:rPr>
        <w:t>根据“四地”产业的发展特点，不断完善和强化自身能力，增加知识产权知识储备量；</w:t>
      </w:r>
    </w:p>
    <w:p w14:paraId="6669E0E4">
      <w:pPr>
        <w:pStyle w:val="174"/>
        <w:numPr>
          <w:ilvl w:val="0"/>
          <w:numId w:val="46"/>
        </w:numPr>
        <w:tabs>
          <w:tab w:val="left" w:pos="839"/>
        </w:tabs>
        <w:bidi w:val="0"/>
        <w:ind w:left="851" w:leftChars="0" w:hanging="426" w:firstLineChars="0"/>
        <w:rPr>
          <w:rFonts w:hint="eastAsia"/>
          <w:lang w:val="en-US" w:eastAsia="zh-CN"/>
        </w:rPr>
      </w:pPr>
      <w:r>
        <w:rPr>
          <w:rFonts w:hint="eastAsia"/>
          <w:lang w:val="en-US" w:eastAsia="zh-CN"/>
        </w:rPr>
        <w:t>根据“四地”产业社会公众和创新主体的知识产权需求，设计针对性的服务方案；</w:t>
      </w:r>
    </w:p>
    <w:p w14:paraId="5B7F0863">
      <w:pPr>
        <w:pStyle w:val="174"/>
        <w:numPr>
          <w:ilvl w:val="0"/>
          <w:numId w:val="46"/>
        </w:numPr>
        <w:tabs>
          <w:tab w:val="left" w:pos="839"/>
        </w:tabs>
        <w:bidi w:val="0"/>
        <w:rPr>
          <w:rFonts w:hint="eastAsia"/>
          <w:lang w:val="en-US" w:eastAsia="zh-CN"/>
        </w:rPr>
      </w:pPr>
      <w:r>
        <w:rPr>
          <w:rFonts w:hint="eastAsia"/>
          <w:lang w:val="en-US" w:eastAsia="zh-CN"/>
        </w:rPr>
        <w:t>根据“四地”产业社会公众和创新主体的个性化知识产权需求，协助对接专业服务机构，提供解决方案。</w:t>
      </w:r>
    </w:p>
    <w:p w14:paraId="1D1605D1">
      <w:pPr>
        <w:pStyle w:val="104"/>
        <w:bidi w:val="0"/>
        <w:rPr>
          <w:rFonts w:hint="eastAsia"/>
          <w:lang w:val="en-US" w:eastAsia="zh-CN"/>
        </w:rPr>
      </w:pPr>
      <w:r>
        <w:rPr>
          <w:rFonts w:hint="eastAsia"/>
          <w:lang w:val="en-US" w:eastAsia="zh-CN"/>
        </w:rPr>
        <w:t>服务保障</w:t>
      </w:r>
    </w:p>
    <w:p w14:paraId="253636AE">
      <w:pPr>
        <w:pStyle w:val="105"/>
        <w:bidi w:val="0"/>
        <w:rPr>
          <w:rFonts w:hint="eastAsia"/>
          <w:lang w:val="en-US" w:eastAsia="zh-CN"/>
        </w:rPr>
      </w:pPr>
      <w:r>
        <w:rPr>
          <w:rFonts w:hint="eastAsia"/>
          <w:lang w:val="en-US" w:eastAsia="zh-CN"/>
        </w:rPr>
        <w:t>服务人员</w:t>
      </w:r>
    </w:p>
    <w:p w14:paraId="2B10A29A">
      <w:pPr>
        <w:pStyle w:val="65"/>
        <w:bidi w:val="0"/>
        <w:rPr>
          <w:rFonts w:hint="eastAsia"/>
          <w:lang w:val="en-US" w:eastAsia="zh-CN"/>
        </w:rPr>
      </w:pPr>
      <w:r>
        <w:rPr>
          <w:rFonts w:hint="eastAsia"/>
          <w:lang w:val="en-US" w:eastAsia="zh-CN"/>
        </w:rPr>
        <w:t>岗位设置</w:t>
      </w:r>
    </w:p>
    <w:p w14:paraId="119B7B88">
      <w:pPr>
        <w:pStyle w:val="56"/>
        <w:rPr>
          <w:rFonts w:hint="eastAsia"/>
          <w:lang w:val="en-US" w:eastAsia="zh-CN"/>
        </w:rPr>
      </w:pPr>
      <w:r>
        <w:rPr>
          <w:rFonts w:hint="eastAsia"/>
          <w:lang w:val="en-US" w:eastAsia="zh-CN"/>
        </w:rPr>
        <w:t>各单位应配备1名及以上专职从事知识产权服务的人员或2名及以上兼职从事知识产权服务的人员，</w:t>
      </w:r>
    </w:p>
    <w:p w14:paraId="7657D54D">
      <w:pPr>
        <w:pStyle w:val="56"/>
        <w:ind w:left="0" w:leftChars="0" w:firstLine="0" w:firstLineChars="0"/>
        <w:rPr>
          <w:rFonts w:hint="eastAsia"/>
          <w:lang w:val="en-US" w:eastAsia="zh-CN"/>
        </w:rPr>
      </w:pPr>
      <w:r>
        <w:rPr>
          <w:rFonts w:hint="eastAsia"/>
          <w:lang w:val="en-US" w:eastAsia="zh-CN"/>
        </w:rPr>
        <w:t>明确工作人员的工作职责、任职条件，加强工作人员培训。</w:t>
      </w:r>
    </w:p>
    <w:p w14:paraId="13419F1D">
      <w:pPr>
        <w:pStyle w:val="65"/>
        <w:bidi w:val="0"/>
        <w:rPr>
          <w:rFonts w:hint="eastAsia"/>
          <w:lang w:val="en-US" w:eastAsia="zh-CN"/>
        </w:rPr>
      </w:pPr>
      <w:r>
        <w:rPr>
          <w:rFonts w:hint="eastAsia"/>
          <w:lang w:val="en-US" w:eastAsia="zh-CN"/>
        </w:rPr>
        <w:t>人员素质</w:t>
      </w:r>
    </w:p>
    <w:p w14:paraId="67C5DA9C">
      <w:pPr>
        <w:pStyle w:val="56"/>
        <w:rPr>
          <w:rFonts w:hint="eastAsia"/>
          <w:lang w:val="en-US" w:eastAsia="zh-CN"/>
        </w:rPr>
      </w:pPr>
      <w:r>
        <w:rPr>
          <w:rFonts w:hint="eastAsia"/>
          <w:lang w:val="en-US" w:eastAsia="zh-CN"/>
        </w:rPr>
        <w:t>各单位从事知识产权服务的人员应有大专以上学历，熟悉知识产权相关法律、法规及政策，具有法</w:t>
      </w:r>
    </w:p>
    <w:p w14:paraId="256BB6D6">
      <w:pPr>
        <w:pStyle w:val="56"/>
        <w:ind w:left="0" w:leftChars="0" w:firstLine="0" w:firstLineChars="0"/>
        <w:rPr>
          <w:rFonts w:hint="eastAsia"/>
          <w:lang w:val="en-US" w:eastAsia="zh-CN"/>
        </w:rPr>
      </w:pPr>
      <w:r>
        <w:rPr>
          <w:rFonts w:hint="eastAsia"/>
          <w:lang w:val="en-US" w:eastAsia="zh-CN"/>
        </w:rPr>
        <w:t>律或知识产权等专业知识，并定期参加各类能力提升培训，宜取得专业资格证书。</w:t>
      </w:r>
    </w:p>
    <w:p w14:paraId="092E2C8A">
      <w:pPr>
        <w:pStyle w:val="65"/>
        <w:bidi w:val="0"/>
        <w:rPr>
          <w:rFonts w:hint="eastAsia"/>
          <w:lang w:val="en-US" w:eastAsia="zh-CN"/>
        </w:rPr>
      </w:pPr>
      <w:r>
        <w:rPr>
          <w:rFonts w:hint="eastAsia"/>
          <w:lang w:val="en-US" w:eastAsia="zh-CN"/>
        </w:rPr>
        <w:t>人员培训</w:t>
      </w:r>
    </w:p>
    <w:p w14:paraId="46BCC09D">
      <w:pPr>
        <w:pStyle w:val="56"/>
        <w:rPr>
          <w:rFonts w:hint="eastAsia"/>
          <w:lang w:val="en-US" w:eastAsia="zh-CN"/>
        </w:rPr>
      </w:pPr>
      <w:r>
        <w:rPr>
          <w:rFonts w:hint="eastAsia"/>
          <w:lang w:val="en-US" w:eastAsia="zh-CN"/>
        </w:rPr>
        <w:t>各单位应全面加强自身能力建设，提升服务人员水平，包括但不限于：</w:t>
      </w:r>
    </w:p>
    <w:p w14:paraId="21C5EFDC">
      <w:pPr>
        <w:pStyle w:val="174"/>
        <w:numPr>
          <w:ilvl w:val="0"/>
          <w:numId w:val="47"/>
        </w:numPr>
        <w:tabs>
          <w:tab w:val="left" w:pos="839"/>
        </w:tabs>
        <w:bidi w:val="0"/>
        <w:ind w:left="851" w:leftChars="0" w:hanging="426" w:firstLineChars="0"/>
        <w:rPr>
          <w:rFonts w:hint="eastAsia"/>
          <w:lang w:val="en-US" w:eastAsia="zh-CN"/>
        </w:rPr>
      </w:pPr>
      <w:r>
        <w:rPr>
          <w:rFonts w:hint="eastAsia"/>
          <w:lang w:val="en-US" w:eastAsia="zh-CN"/>
        </w:rPr>
        <w:t>组织上岗前培训；</w:t>
      </w:r>
    </w:p>
    <w:p w14:paraId="207552DB">
      <w:pPr>
        <w:pStyle w:val="174"/>
        <w:numPr>
          <w:ilvl w:val="0"/>
          <w:numId w:val="47"/>
        </w:numPr>
        <w:tabs>
          <w:tab w:val="left" w:pos="839"/>
        </w:tabs>
        <w:bidi w:val="0"/>
        <w:ind w:left="851" w:leftChars="0" w:hanging="426" w:firstLineChars="0"/>
        <w:rPr>
          <w:rFonts w:hint="eastAsia"/>
          <w:lang w:val="en-US" w:eastAsia="zh-CN"/>
        </w:rPr>
      </w:pPr>
      <w:r>
        <w:rPr>
          <w:rFonts w:hint="eastAsia"/>
          <w:lang w:val="en-US" w:eastAsia="zh-CN"/>
        </w:rPr>
        <w:t>组织服务人员定期参加能力提升专题培训及交流会、庭审旁听等实践性学习活动：</w:t>
      </w:r>
    </w:p>
    <w:p w14:paraId="44B11E3C">
      <w:pPr>
        <w:pStyle w:val="174"/>
        <w:numPr>
          <w:ilvl w:val="0"/>
          <w:numId w:val="47"/>
        </w:numPr>
        <w:tabs>
          <w:tab w:val="left" w:pos="839"/>
        </w:tabs>
        <w:bidi w:val="0"/>
        <w:rPr>
          <w:rFonts w:hint="eastAsia"/>
          <w:lang w:val="en-US" w:eastAsia="zh-CN"/>
        </w:rPr>
      </w:pPr>
      <w:r>
        <w:rPr>
          <w:rFonts w:hint="eastAsia"/>
          <w:lang w:val="en-US" w:eastAsia="zh-CN"/>
        </w:rPr>
        <w:t>加强知识产权法律法规、政策文件、专业知识的学习。</w:t>
      </w:r>
    </w:p>
    <w:p w14:paraId="1CCB0CF8">
      <w:pPr>
        <w:pStyle w:val="105"/>
        <w:bidi w:val="0"/>
        <w:rPr>
          <w:rFonts w:hint="eastAsia"/>
          <w:lang w:val="en-US" w:eastAsia="zh-CN"/>
        </w:rPr>
      </w:pPr>
      <w:r>
        <w:rPr>
          <w:rFonts w:hint="eastAsia"/>
          <w:lang w:val="en-US" w:eastAsia="zh-CN"/>
        </w:rPr>
        <w:t>基础设施</w:t>
      </w:r>
    </w:p>
    <w:p w14:paraId="2B53E09D">
      <w:pPr>
        <w:pStyle w:val="56"/>
        <w:rPr>
          <w:rFonts w:hint="eastAsia"/>
          <w:lang w:val="en-US" w:eastAsia="zh-CN"/>
        </w:rPr>
      </w:pPr>
      <w:r>
        <w:rPr>
          <w:rFonts w:hint="eastAsia"/>
          <w:lang w:val="en-US" w:eastAsia="zh-CN"/>
        </w:rPr>
        <w:t>各单位应具备场地、网络环境、硬件设备、系统软件等基础设施。</w:t>
      </w:r>
    </w:p>
    <w:p w14:paraId="520C823B">
      <w:pPr>
        <w:pStyle w:val="105"/>
        <w:bidi w:val="0"/>
        <w:rPr>
          <w:rFonts w:hint="eastAsia"/>
          <w:lang w:val="en-US" w:eastAsia="zh-CN"/>
        </w:rPr>
      </w:pPr>
      <w:r>
        <w:rPr>
          <w:rFonts w:hint="eastAsia"/>
          <w:lang w:val="en-US" w:eastAsia="zh-CN"/>
        </w:rPr>
        <w:t>服务资源</w:t>
      </w:r>
    </w:p>
    <w:p w14:paraId="67A375D4">
      <w:pPr>
        <w:pStyle w:val="56"/>
        <w:rPr>
          <w:rFonts w:hint="eastAsia"/>
          <w:lang w:val="en-US" w:eastAsia="zh-CN"/>
        </w:rPr>
      </w:pPr>
      <w:r>
        <w:rPr>
          <w:rFonts w:hint="eastAsia"/>
          <w:lang w:val="en-US" w:eastAsia="zh-CN"/>
        </w:rPr>
        <w:t>各单位应对接或引入各类知识产权服务资源：</w:t>
      </w:r>
    </w:p>
    <w:p w14:paraId="18239E64">
      <w:pPr>
        <w:pStyle w:val="174"/>
        <w:numPr>
          <w:ilvl w:val="0"/>
          <w:numId w:val="48"/>
        </w:numPr>
        <w:tabs>
          <w:tab w:val="left" w:pos="839"/>
        </w:tabs>
        <w:bidi w:val="0"/>
        <w:ind w:left="851" w:leftChars="0" w:hanging="426" w:firstLineChars="0"/>
        <w:rPr>
          <w:rFonts w:hint="eastAsia"/>
          <w:lang w:val="en-US" w:eastAsia="zh-CN"/>
        </w:rPr>
      </w:pPr>
      <w:r>
        <w:rPr>
          <w:rFonts w:hint="eastAsia"/>
          <w:lang w:val="en-US" w:eastAsia="zh-CN"/>
        </w:rPr>
        <w:t>对接知识产权公共服务部门，承接或引入相关公共服务项目；</w:t>
      </w:r>
    </w:p>
    <w:p w14:paraId="0DCA9505">
      <w:pPr>
        <w:pStyle w:val="174"/>
        <w:numPr>
          <w:ilvl w:val="0"/>
          <w:numId w:val="48"/>
        </w:numPr>
        <w:tabs>
          <w:tab w:val="left" w:pos="839"/>
        </w:tabs>
        <w:bidi w:val="0"/>
        <w:ind w:left="851" w:leftChars="0" w:hanging="426" w:firstLineChars="0"/>
        <w:rPr>
          <w:rFonts w:hint="eastAsia"/>
          <w:lang w:val="en-US" w:eastAsia="zh-CN"/>
        </w:rPr>
      </w:pPr>
      <w:r>
        <w:rPr>
          <w:rFonts w:hint="eastAsia"/>
          <w:lang w:val="en-US" w:eastAsia="zh-CN"/>
        </w:rPr>
        <w:t>对接知识产权市场化服务机构，聘请知识产权专业服务人员，建立知识产权专家库；</w:t>
      </w:r>
    </w:p>
    <w:p w14:paraId="30F3896A">
      <w:pPr>
        <w:pStyle w:val="174"/>
        <w:numPr>
          <w:ilvl w:val="0"/>
          <w:numId w:val="48"/>
        </w:numPr>
        <w:tabs>
          <w:tab w:val="left" w:pos="839"/>
        </w:tabs>
        <w:bidi w:val="0"/>
        <w:ind w:left="851" w:leftChars="0" w:hanging="426" w:firstLineChars="0"/>
        <w:rPr>
          <w:rFonts w:hint="eastAsia"/>
          <w:lang w:val="en-US" w:eastAsia="zh-CN"/>
        </w:rPr>
      </w:pPr>
      <w:r>
        <w:rPr>
          <w:rFonts w:hint="eastAsia"/>
          <w:lang w:val="en-US" w:eastAsia="zh-CN"/>
        </w:rPr>
        <w:t>引进知识产权数据库平台以及各类知识产权管理软件；</w:t>
      </w:r>
    </w:p>
    <w:p w14:paraId="6DFD7143">
      <w:pPr>
        <w:pStyle w:val="174"/>
        <w:numPr>
          <w:ilvl w:val="0"/>
          <w:numId w:val="48"/>
        </w:numPr>
        <w:tabs>
          <w:tab w:val="left" w:pos="839"/>
        </w:tabs>
        <w:bidi w:val="0"/>
        <w:rPr>
          <w:rFonts w:hint="eastAsia"/>
          <w:lang w:val="en-US" w:eastAsia="zh-CN"/>
        </w:rPr>
      </w:pPr>
      <w:r>
        <w:rPr>
          <w:rFonts w:hint="eastAsia"/>
          <w:lang w:val="en-US" w:eastAsia="zh-CN"/>
        </w:rPr>
        <w:t>收集知识产权相关信息，形成知识库。</w:t>
      </w:r>
    </w:p>
    <w:p w14:paraId="672A96D4">
      <w:pPr>
        <w:pStyle w:val="105"/>
        <w:bidi w:val="0"/>
        <w:rPr>
          <w:rFonts w:hint="eastAsia"/>
          <w:lang w:val="en-US" w:eastAsia="zh-CN"/>
        </w:rPr>
      </w:pPr>
      <w:r>
        <w:rPr>
          <w:rFonts w:hint="eastAsia"/>
          <w:lang w:val="en-US" w:eastAsia="zh-CN"/>
        </w:rPr>
        <w:t>建立服务管理机制</w:t>
      </w:r>
    </w:p>
    <w:p w14:paraId="0CD039F1">
      <w:pPr>
        <w:pStyle w:val="56"/>
        <w:rPr>
          <w:rFonts w:hint="eastAsia"/>
          <w:lang w:val="en-US" w:eastAsia="zh-CN"/>
        </w:rPr>
      </w:pPr>
      <w:r>
        <w:rPr>
          <w:rFonts w:hint="eastAsia"/>
          <w:lang w:val="en-US" w:eastAsia="zh-CN"/>
        </w:rPr>
        <w:t>各单位宜结合自身特点，建立符合本文件要求的服务管理机制。</w:t>
      </w:r>
    </w:p>
    <w:p w14:paraId="22C7F0F4">
      <w:pPr>
        <w:pStyle w:val="104"/>
        <w:bidi w:val="0"/>
        <w:rPr>
          <w:rFonts w:hint="eastAsia"/>
          <w:lang w:val="en-US" w:eastAsia="zh-CN"/>
        </w:rPr>
      </w:pPr>
      <w:r>
        <w:rPr>
          <w:rFonts w:hint="eastAsia"/>
          <w:lang w:val="en-US" w:eastAsia="zh-CN"/>
        </w:rPr>
        <w:t>服务评价与改进</w:t>
      </w:r>
    </w:p>
    <w:p w14:paraId="69CDC1FC">
      <w:pPr>
        <w:pStyle w:val="105"/>
        <w:bidi w:val="0"/>
        <w:rPr>
          <w:rFonts w:hint="eastAsia"/>
          <w:lang w:val="en-US" w:eastAsia="zh-CN"/>
        </w:rPr>
      </w:pPr>
      <w:r>
        <w:rPr>
          <w:rFonts w:hint="eastAsia"/>
          <w:lang w:val="en-US" w:eastAsia="zh-CN"/>
        </w:rPr>
        <w:t>服务评价</w:t>
      </w:r>
    </w:p>
    <w:p w14:paraId="3C60DD4C">
      <w:pPr>
        <w:pStyle w:val="56"/>
        <w:rPr>
          <w:rFonts w:hint="eastAsia"/>
          <w:lang w:val="en-US" w:eastAsia="zh-CN"/>
        </w:rPr>
      </w:pPr>
      <w:r>
        <w:rPr>
          <w:rFonts w:hint="eastAsia"/>
          <w:lang w:val="en-US" w:eastAsia="zh-CN"/>
        </w:rPr>
        <w:t>各单位应建立服务评价机制，定期收集服务对象评价信息。评价指标包括专业水平、服务态度、服</w:t>
      </w:r>
    </w:p>
    <w:p w14:paraId="2460B5DF">
      <w:pPr>
        <w:pStyle w:val="56"/>
        <w:ind w:left="0" w:leftChars="0" w:firstLine="0" w:firstLineChars="0"/>
        <w:rPr>
          <w:rFonts w:hint="eastAsia"/>
          <w:lang w:val="en-US" w:eastAsia="zh-CN"/>
        </w:rPr>
      </w:pPr>
      <w:r>
        <w:rPr>
          <w:rFonts w:hint="eastAsia"/>
          <w:lang w:val="en-US" w:eastAsia="zh-CN"/>
        </w:rPr>
        <w:t>务内容、服务质量、服务满意度。</w:t>
      </w:r>
    </w:p>
    <w:p w14:paraId="5AEA9E3E">
      <w:pPr>
        <w:pStyle w:val="105"/>
        <w:bidi w:val="0"/>
        <w:rPr>
          <w:rFonts w:hint="eastAsia"/>
          <w:lang w:val="en-US" w:eastAsia="zh-CN"/>
        </w:rPr>
      </w:pPr>
      <w:r>
        <w:rPr>
          <w:rFonts w:hint="eastAsia"/>
          <w:lang w:val="en-US" w:eastAsia="zh-CN"/>
        </w:rPr>
        <w:t>服务改进</w:t>
      </w:r>
    </w:p>
    <w:p w14:paraId="5664DCE4">
      <w:pPr>
        <w:pStyle w:val="56"/>
        <w:rPr>
          <w:rFonts w:hint="eastAsia"/>
          <w:lang w:val="en-US" w:eastAsia="zh-CN"/>
        </w:rPr>
      </w:pPr>
      <w:r>
        <w:rPr>
          <w:rFonts w:hint="eastAsia"/>
          <w:lang w:val="en-US" w:eastAsia="zh-CN"/>
        </w:rPr>
        <w:t>各单位应对服务评价中发现的问题进行改进，制定纠正措施和实施计划，并跟踪措施的实际情况及效果。</w:t>
      </w:r>
    </w:p>
    <w:p w14:paraId="27CE77E5">
      <w:pPr>
        <w:pStyle w:val="56"/>
        <w:jc w:val="center"/>
        <w:rPr>
          <w:rFonts w:hint="default"/>
          <w:lang w:val="en-US" w:eastAsia="zh-CN"/>
        </w:rPr>
      </w:pPr>
      <w:bookmarkStart w:id="44" w:name="EndLine"/>
      <w:r>
        <w:rPr>
          <w:rFonts w:hint="default"/>
          <w:lang w:val="en-US" w:eastAsia="zh-CN"/>
        </w:rPr>
        <w:drawing>
          <wp:inline distT="0" distB="0" distL="114300" distR="114300">
            <wp:extent cx="1485900" cy="317500"/>
            <wp:effectExtent l="0" t="0" r="0" b="6350"/>
            <wp:docPr id="3" name="图片 3" descr="EndLine"/>
            <wp:cNvGraphicFramePr/>
            <a:graphic xmlns:a="http://schemas.openxmlformats.org/drawingml/2006/main">
              <a:graphicData uri="http://schemas.openxmlformats.org/drawingml/2006/picture">
                <pic:pic xmlns:pic="http://schemas.openxmlformats.org/drawingml/2006/picture">
                  <pic:nvPicPr>
                    <pic:cNvPr id="3" name="图片 3" descr="EndLine"/>
                    <pic:cNvPicPr/>
                  </pic:nvPicPr>
                  <pic:blipFill>
                    <a:blip r:embed="rId15"/>
                    <a:stretch>
                      <a:fillRect/>
                    </a:stretch>
                  </pic:blipFill>
                  <pic:spPr>
                    <a:xfrm>
                      <a:off x="0" y="0"/>
                      <a:ext cx="1485900" cy="317500"/>
                    </a:xfrm>
                    <a:prstGeom prst="rect">
                      <a:avLst/>
                    </a:prstGeom>
                  </pic:spPr>
                </pic:pic>
              </a:graphicData>
            </a:graphic>
          </wp:inline>
        </w:drawing>
      </w:r>
      <w:bookmarkEnd w:id="44"/>
    </w:p>
    <w:p w14:paraId="6E300050">
      <w:pPr>
        <w:pStyle w:val="56"/>
        <w:ind w:firstLine="420"/>
      </w:pPr>
    </w:p>
    <w:p w14:paraId="4288F266">
      <w:pPr>
        <w:pStyle w:val="56"/>
        <w:ind w:firstLine="420"/>
      </w:pPr>
    </w:p>
    <w:bookmarkEnd w:id="22"/>
    <w:p w14:paraId="1AC81E48">
      <w:pPr>
        <w:pStyle w:val="56"/>
        <w:bidi w:val="0"/>
      </w:pPr>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1"/>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B79F0E"/>
    <w:multiLevelType w:val="multilevel"/>
    <w:tmpl w:val="88B79F0E"/>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
    <w:nsid w:val="8A71060E"/>
    <w:multiLevelType w:val="multilevel"/>
    <w:tmpl w:val="8A71060E"/>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2">
    <w:nsid w:val="92EB4A45"/>
    <w:multiLevelType w:val="multilevel"/>
    <w:tmpl w:val="92EB4A45"/>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9458BED9"/>
    <w:multiLevelType w:val="multilevel"/>
    <w:tmpl w:val="9458BED9"/>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B74BC129"/>
    <w:multiLevelType w:val="multilevel"/>
    <w:tmpl w:val="B74BC129"/>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5">
    <w:nsid w:val="D2AC0D82"/>
    <w:multiLevelType w:val="multilevel"/>
    <w:tmpl w:val="D2AC0D82"/>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6">
    <w:nsid w:val="E319485D"/>
    <w:multiLevelType w:val="multilevel"/>
    <w:tmpl w:val="E319485D"/>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7">
    <w:nsid w:val="F6F4C1EF"/>
    <w:multiLevelType w:val="multilevel"/>
    <w:tmpl w:val="F6F4C1EF"/>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8">
    <w:nsid w:val="00C11E9C"/>
    <w:multiLevelType w:val="multilevel"/>
    <w:tmpl w:val="00C11E9C"/>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9">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0">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2">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4">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6">
    <w:nsid w:val="0F41A638"/>
    <w:multiLevelType w:val="multilevel"/>
    <w:tmpl w:val="0F41A638"/>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2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2">
    <w:nsid w:val="4174D78F"/>
    <w:multiLevelType w:val="multilevel"/>
    <w:tmpl w:val="4174D78F"/>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2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4A1E2398"/>
    <w:multiLevelType w:val="multilevel"/>
    <w:tmpl w:val="4A1E2398"/>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25">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6">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7">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8">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9">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0">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1">
    <w:nsid w:val="5E5809FF"/>
    <w:multiLevelType w:val="multilevel"/>
    <w:tmpl w:val="5E5809FF"/>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2">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33">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4">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5">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6">
    <w:nsid w:val="68D46D8D"/>
    <w:multiLevelType w:val="multilevel"/>
    <w:tmpl w:val="68D46D8D"/>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7">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8">
    <w:nsid w:val="6A75A311"/>
    <w:multiLevelType w:val="multilevel"/>
    <w:tmpl w:val="6A75A311"/>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9">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0">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1">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2">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43">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44">
    <w:nsid w:val="6FE54608"/>
    <w:multiLevelType w:val="multilevel"/>
    <w:tmpl w:val="6FE54608"/>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45">
    <w:nsid w:val="737C0233"/>
    <w:multiLevelType w:val="multilevel"/>
    <w:tmpl w:val="737C0233"/>
    <w:lvl w:ilvl="0" w:tentative="0">
      <w:start w:val="1"/>
      <w:numFmt w:val="lowerLetter"/>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46">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9"/>
  </w:num>
  <w:num w:numId="2">
    <w:abstractNumId w:val="41"/>
  </w:num>
  <w:num w:numId="3">
    <w:abstractNumId w:val="14"/>
  </w:num>
  <w:num w:numId="4">
    <w:abstractNumId w:val="35"/>
  </w:num>
  <w:num w:numId="5">
    <w:abstractNumId w:val="29"/>
  </w:num>
  <w:num w:numId="6">
    <w:abstractNumId w:val="23"/>
  </w:num>
  <w:num w:numId="7">
    <w:abstractNumId w:val="18"/>
  </w:num>
  <w:num w:numId="8">
    <w:abstractNumId w:val="12"/>
  </w:num>
  <w:num w:numId="9">
    <w:abstractNumId w:val="19"/>
  </w:num>
  <w:num w:numId="10">
    <w:abstractNumId w:val="27"/>
  </w:num>
  <w:num w:numId="11">
    <w:abstractNumId w:val="39"/>
  </w:num>
  <w:num w:numId="12">
    <w:abstractNumId w:val="21"/>
  </w:num>
  <w:num w:numId="13">
    <w:abstractNumId w:val="2"/>
  </w:num>
  <w:num w:numId="14">
    <w:abstractNumId w:val="17"/>
  </w:num>
  <w:num w:numId="15">
    <w:abstractNumId w:val="30"/>
  </w:num>
  <w:num w:numId="16">
    <w:abstractNumId w:val="33"/>
  </w:num>
  <w:num w:numId="17">
    <w:abstractNumId w:val="28"/>
  </w:num>
  <w:num w:numId="18">
    <w:abstractNumId w:val="43"/>
  </w:num>
  <w:num w:numId="19">
    <w:abstractNumId w:val="26"/>
  </w:num>
  <w:num w:numId="20">
    <w:abstractNumId w:val="10"/>
  </w:num>
  <w:num w:numId="21">
    <w:abstractNumId w:val="20"/>
  </w:num>
  <w:num w:numId="22">
    <w:abstractNumId w:val="46"/>
  </w:num>
  <w:num w:numId="23">
    <w:abstractNumId w:val="32"/>
  </w:num>
  <w:num w:numId="24">
    <w:abstractNumId w:val="15"/>
  </w:num>
  <w:num w:numId="25">
    <w:abstractNumId w:val="40"/>
  </w:num>
  <w:num w:numId="26">
    <w:abstractNumId w:val="42"/>
  </w:num>
  <w:num w:numId="27">
    <w:abstractNumId w:val="11"/>
  </w:num>
  <w:num w:numId="28">
    <w:abstractNumId w:val="13"/>
  </w:num>
  <w:num w:numId="29">
    <w:abstractNumId w:val="25"/>
  </w:num>
  <w:num w:numId="30">
    <w:abstractNumId w:val="37"/>
  </w:num>
  <w:num w:numId="31">
    <w:abstractNumId w:val="34"/>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attachedTemplate r:id="rId1"/>
  <w:documentProtection w:edit="forms" w:enforcement="1" w:cryptProviderType="rsaFull" w:cryptAlgorithmClass="hash" w:cryptAlgorithmType="typeAny" w:cryptAlgorithmSid="4" w:cryptSpinCount="0" w:hash="iog6aexD3nqslHrazQFEGHBpwds=" w:salt="mBA1L8eANu14ous8lgFG2Q=="/>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6D7030E"/>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76D70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uiPriority w:val="0"/>
    <w:pPr>
      <w:numPr>
        <w:ilvl w:val="0"/>
        <w:numId w:val="12"/>
      </w:numPr>
      <w:spacing w:line="240" w:lineRule="auto"/>
      <w:jc w:val="left"/>
    </w:pPr>
    <w:rPr>
      <w:rFonts w:ascii="宋体" w:hAnsi="宋体"/>
      <w:sz w:val="18"/>
    </w:rPr>
  </w:style>
  <w:style w:type="character" w:customStyle="1" w:styleId="102">
    <w:name w:val="标准文件_图表脚注内容"/>
    <w:uiPriority w:val="0"/>
    <w:rPr>
      <w:rFonts w:ascii="宋体" w:hAnsi="宋体" w:eastAsia="宋体" w:cs="Times New Roman"/>
      <w:spacing w:val="0"/>
      <w:sz w:val="18"/>
      <w:vertAlign w:val="superscript"/>
    </w:rPr>
  </w:style>
  <w:style w:type="paragraph" w:customStyle="1" w:styleId="103">
    <w:name w:val="标准文件_五级条标题"/>
    <w:next w:val="56"/>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cs="Arial"/>
      <w:szCs w:val="28"/>
    </w:rPr>
  </w:style>
  <w:style w:type="paragraph" w:customStyle="1" w:styleId="169">
    <w:name w:val="标准文件_小写罗马数字编号列项"/>
    <w:basedOn w:val="56"/>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next w:val="56"/>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32D5455C">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1DE7C161">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1AE40AEC">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9B3BEDB4F2724F9D81F4444A5CCE266D"/>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7</Pages>
  <Words>252</Words>
  <Characters>317</Characters>
  <Lines>4</Lines>
  <Paragraphs>1</Paragraphs>
  <TotalTime>11</TotalTime>
  <ScaleCrop>false</ScaleCrop>
  <LinksUpToDate>false</LinksUpToDate>
  <CharactersWithSpaces>331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2026-05-21T09:02:00Z</dcterms:created>
  <dc:creator>。</dc:creator>
  <cp:lastModifiedBy>。</cp:lastModifiedBy>
  <dcterms:modified xsi:type="dcterms:W3CDTF">2026-05-21T09:18:09Z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A9D60A261B6B47F8BAEAC1BDCA326A7A_11</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2052-12.1.0.26375</vt:lpwstr>
  </property>
</Properties>
</file>