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9"/>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A9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E4D54D">
            <w:pPr>
              <w:pStyle w:val="19"/>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6D7A9EA">
            <w:pPr>
              <w:pStyle w:val="19"/>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0</w:t>
            </w:r>
            <w:r>
              <w:rPr>
                <w:rFonts w:hint="eastAsia" w:ascii="黑体" w:hAnsi="黑体" w:eastAsia="黑体"/>
                <w:sz w:val="21"/>
                <w:szCs w:val="21"/>
                <w:lang w:val="en-US" w:eastAsia="zh-CN"/>
              </w:rPr>
              <w:t>3.080</w:t>
            </w:r>
            <w:r>
              <w:rPr>
                <w:rFonts w:ascii="黑体" w:hAnsi="黑体" w:eastAsia="黑体"/>
                <w:sz w:val="21"/>
                <w:szCs w:val="21"/>
              </w:rPr>
              <w:fldChar w:fldCharType="end"/>
            </w:r>
            <w:bookmarkEnd w:id="0"/>
          </w:p>
        </w:tc>
      </w:tr>
      <w:tr w14:paraId="2CC4D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FD2570">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9"/>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D1DA7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1921AE0">
                  <w:pPr>
                    <w:pStyle w:val="51"/>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lang w:eastAsia="zh-CN"/>
                    </w:rPr>
                    <w:t>Q</w:t>
                  </w:r>
                  <w:r>
                    <w:rPr>
                      <w:rFonts w:hint="eastAsia"/>
                      <w:lang w:val="en-US" w:eastAsia="zh-CN"/>
                    </w:rPr>
                    <w:t>AS</w:t>
                  </w:r>
                  <w:r>
                    <w:fldChar w:fldCharType="end"/>
                  </w:r>
                  <w:bookmarkEnd w:id="1"/>
                </w:p>
              </w:tc>
            </w:tr>
          </w:tbl>
          <w:p w14:paraId="559E1628">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A</w:t>
            </w:r>
            <w:r>
              <w:rPr>
                <w:rFonts w:hint="eastAsia" w:ascii="黑体" w:hAnsi="黑体" w:eastAsia="黑体"/>
                <w:sz w:val="21"/>
                <w:szCs w:val="21"/>
                <w:lang w:val="en-US" w:eastAsia="zh-CN"/>
              </w:rPr>
              <w:t xml:space="preserve"> 12</w:t>
            </w:r>
            <w:r>
              <w:rPr>
                <w:rFonts w:ascii="黑体" w:hAnsi="黑体" w:eastAsia="黑体"/>
                <w:sz w:val="21"/>
                <w:szCs w:val="21"/>
              </w:rPr>
              <w:fldChar w:fldCharType="end"/>
            </w:r>
            <w:bookmarkEnd w:id="2"/>
          </w:p>
        </w:tc>
      </w:tr>
    </w:tbl>
    <w:p w14:paraId="161BCF4A">
      <w:pPr>
        <w:pStyle w:val="52"/>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3EC1316">
      <w:pPr>
        <w:pStyle w:val="197"/>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Q</w:t>
      </w:r>
      <w:r>
        <w:rPr>
          <w:rFonts w:hint="eastAsia"/>
          <w:lang w:val="en-US" w:eastAsia="zh-CN"/>
        </w:rPr>
        <w:t>AS</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2A51E97">
      <w:pPr>
        <w:pStyle w:val="198"/>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3935A6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6FFE932">
      <w:pPr>
        <w:pStyle w:val="52"/>
        <w:framePr w:w="9639" w:h="6976" w:hRule="exact" w:hSpace="0" w:vSpace="0" w:wrap="around" w:hAnchor="page" w:y="6408"/>
        <w:jc w:val="center"/>
        <w:rPr>
          <w:rFonts w:hint="eastAsia" w:ascii="黑体" w:hAnsi="黑体" w:eastAsia="黑体"/>
          <w:b w:val="0"/>
          <w:bCs w:val="0"/>
          <w:w w:val="100"/>
        </w:rPr>
      </w:pPr>
    </w:p>
    <w:p w14:paraId="02A223D2">
      <w:pPr>
        <w:pStyle w:val="199"/>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w:t>
      </w:r>
      <w:r>
        <w:rPr>
          <w:rFonts w:hint="eastAsia"/>
        </w:rPr>
        <w:t>一站式</w:t>
      </w:r>
      <w:r>
        <w:rPr>
          <w:rFonts w:hint="eastAsia"/>
          <w:lang w:eastAsia="zh-CN"/>
        </w:rPr>
        <w:t>”</w:t>
      </w:r>
      <w:r>
        <w:rPr>
          <w:rFonts w:hint="eastAsia"/>
        </w:rPr>
        <w:t>科技包保服务规范</w:t>
      </w:r>
      <w:r>
        <w:fldChar w:fldCharType="end"/>
      </w:r>
      <w:bookmarkEnd w:id="9"/>
    </w:p>
    <w:p w14:paraId="2144DE0C">
      <w:pPr>
        <w:framePr w:w="9639" w:h="6974" w:hRule="exact" w:wrap="around" w:vAnchor="page" w:hAnchor="page" w:x="1419" w:y="6408" w:anchorLock="1"/>
        <w:ind w:left="-1418"/>
      </w:pPr>
    </w:p>
    <w:p w14:paraId="6A073306">
      <w:pPr>
        <w:pStyle w:val="127"/>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lang w:eastAsia="zh-CN"/>
        </w:rPr>
        <w:t xml:space="preserve"> </w:t>
      </w:r>
      <w:r>
        <w:rPr>
          <w:rFonts w:eastAsia="黑体"/>
          <w:szCs w:val="28"/>
        </w:rPr>
        <w:fldChar w:fldCharType="end"/>
      </w:r>
      <w:bookmarkEnd w:id="10"/>
    </w:p>
    <w:p w14:paraId="313D54A8">
      <w:pPr>
        <w:framePr w:w="9639" w:h="6974" w:hRule="exact" w:wrap="around" w:vAnchor="page" w:hAnchor="page" w:x="1419" w:y="6408" w:anchorLock="1"/>
        <w:spacing w:line="760" w:lineRule="exact"/>
        <w:ind w:left="-1418"/>
      </w:pPr>
    </w:p>
    <w:p w14:paraId="18E584F4">
      <w:pPr>
        <w:pStyle w:val="127"/>
        <w:framePr w:w="9639" w:h="6974" w:hRule="exact" w:wrap="around" w:vAnchor="page" w:hAnchor="page" w:x="1419" w:y="6408" w:anchorLock="1"/>
        <w:textAlignment w:val="bottom"/>
        <w:rPr>
          <w:rFonts w:eastAsia="黑体"/>
          <w:szCs w:val="28"/>
        </w:rPr>
      </w:pPr>
    </w:p>
    <w:p w14:paraId="382A48E7">
      <w:pPr>
        <w:pStyle w:val="127"/>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93B8B9A">
      <w:pPr>
        <w:pStyle w:val="127"/>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0C6769F1">
      <w:pPr>
        <w:pStyle w:val="127"/>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7657F19A">
      <w:pPr>
        <w:pStyle w:val="195"/>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26DCA3D9">
      <w:pPr>
        <w:pStyle w:val="196"/>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79867BE4">
      <w:pPr>
        <w:pStyle w:val="153"/>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青海省标准化协会</w:t>
      </w:r>
      <w:r>
        <w:rPr>
          <w:rFonts w:hAnsi="黑体"/>
          <w:w w:val="100"/>
          <w:sz w:val="28"/>
        </w:rPr>
        <w:fldChar w:fldCharType="end"/>
      </w:r>
      <w:bookmarkEnd w:id="20"/>
      <w:r>
        <w:rPr>
          <w:rFonts w:ascii="Times New Roman"/>
          <w:w w:val="100"/>
          <w:sz w:val="28"/>
        </w:rPr>
        <w:t>  </w:t>
      </w:r>
      <w:r>
        <w:rPr>
          <w:rStyle w:val="231"/>
          <w:rFonts w:hint="eastAsia" w:hAnsi="黑体"/>
          <w:position w:val="0"/>
        </w:rPr>
        <w:t>发</w:t>
      </w:r>
      <w:r>
        <w:rPr>
          <w:rStyle w:val="231"/>
          <w:rFonts w:hint="eastAsia" w:hAnsi="黑体"/>
          <w:spacing w:val="0"/>
          <w:position w:val="0"/>
        </w:rPr>
        <w:t>布</w:t>
      </w:r>
    </w:p>
    <w:p w14:paraId="374BE5A5">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5B5C2AE">
      <w:pPr>
        <w:pStyle w:val="91"/>
        <w:bidi w:val="0"/>
        <w:spacing w:before="560"/>
        <w:rPr>
          <w:rFonts w:hint="eastAsia"/>
          <w:lang w:eastAsia="zh-CN"/>
        </w:rPr>
      </w:pPr>
      <w:bookmarkStart w:id="21" w:name="BookMark2"/>
      <w:r>
        <w:rPr>
          <w:rFonts w:hint="eastAsia"/>
          <w:spacing w:val="320"/>
          <w:lang w:eastAsia="zh-CN"/>
        </w:rPr>
        <w:t>前</w:t>
      </w:r>
      <w:r>
        <w:rPr>
          <w:rFonts w:hint="eastAsia"/>
          <w:lang w:eastAsia="zh-CN"/>
        </w:rPr>
        <w:t>言</w:t>
      </w:r>
    </w:p>
    <w:p w14:paraId="428ACE98">
      <w:pPr>
        <w:pStyle w:val="58"/>
        <w:bidi w:val="0"/>
        <w:rPr>
          <w:rFonts w:hint="eastAsia"/>
          <w:color w:val="auto"/>
          <w:lang w:eastAsia="zh-CN"/>
        </w:rPr>
      </w:pPr>
      <w:r>
        <w:rPr>
          <w:rFonts w:hint="eastAsia"/>
          <w:color w:val="auto"/>
          <w:lang w:eastAsia="zh-CN"/>
        </w:rPr>
        <w:t>本文件按照GB/T1.1—2020《标准化工作导则第1部分：标准化文件的结构和起草规则》的规定起草。</w:t>
      </w:r>
    </w:p>
    <w:p w14:paraId="153C55C8">
      <w:pPr>
        <w:pStyle w:val="58"/>
        <w:bidi w:val="0"/>
        <w:rPr>
          <w:rFonts w:hint="eastAsia"/>
          <w:color w:val="auto"/>
          <w:lang w:eastAsia="zh-CN"/>
        </w:rPr>
      </w:pPr>
      <w:r>
        <w:rPr>
          <w:rFonts w:hint="eastAsia"/>
          <w:color w:val="auto"/>
          <w:lang w:eastAsia="zh-CN"/>
        </w:rPr>
        <w:t>请注意本文件的某些内容可能涉及专利。本文件的发布机构不承担识别专利的责任。</w:t>
      </w:r>
    </w:p>
    <w:p w14:paraId="648197B0">
      <w:pPr>
        <w:pStyle w:val="58"/>
        <w:bidi w:val="0"/>
        <w:rPr>
          <w:rFonts w:hint="eastAsia"/>
          <w:color w:val="auto"/>
          <w:lang w:eastAsia="zh-CN"/>
        </w:rPr>
      </w:pPr>
      <w:r>
        <w:rPr>
          <w:rFonts w:hint="eastAsia"/>
          <w:color w:val="auto"/>
          <w:lang w:eastAsia="zh-CN"/>
        </w:rPr>
        <w:t>本文件由西宁市科技创新促进中心提出。</w:t>
      </w:r>
    </w:p>
    <w:p w14:paraId="116F671B">
      <w:pPr>
        <w:pStyle w:val="58"/>
        <w:bidi w:val="0"/>
        <w:rPr>
          <w:rFonts w:hint="eastAsia"/>
          <w:color w:val="auto"/>
          <w:lang w:eastAsia="zh-CN"/>
        </w:rPr>
      </w:pPr>
      <w:r>
        <w:rPr>
          <w:rFonts w:hint="eastAsia"/>
          <w:color w:val="auto"/>
          <w:lang w:eastAsia="zh-CN"/>
        </w:rPr>
        <w:t>本文件由青海省标准化协会归口。</w:t>
      </w:r>
    </w:p>
    <w:p w14:paraId="1EE39FC4">
      <w:pPr>
        <w:pStyle w:val="58"/>
        <w:bidi w:val="0"/>
        <w:rPr>
          <w:rFonts w:hint="eastAsia"/>
          <w:color w:val="auto"/>
          <w:lang w:eastAsia="zh-CN"/>
        </w:rPr>
      </w:pPr>
      <w:r>
        <w:rPr>
          <w:rFonts w:hint="eastAsia"/>
          <w:color w:val="auto"/>
          <w:lang w:eastAsia="zh-CN"/>
        </w:rPr>
        <w:t>本文件起草单位：西宁市科技创新促进中心、青咨咨询集团（青海）有限公司、</w:t>
      </w:r>
      <w:r>
        <w:rPr>
          <w:rFonts w:hint="eastAsia"/>
          <w:color w:val="auto"/>
          <w:lang w:val="en-US" w:eastAsia="zh-CN"/>
        </w:rPr>
        <w:t>青海之也科技咨询服务有限公司。</w:t>
      </w:r>
    </w:p>
    <w:p w14:paraId="417C62CE">
      <w:pPr>
        <w:pStyle w:val="58"/>
        <w:bidi w:val="0"/>
        <w:rPr>
          <w:rFonts w:hint="eastAsia"/>
          <w:color w:val="auto"/>
          <w:lang w:eastAsia="zh-CN"/>
        </w:rPr>
      </w:pPr>
      <w:r>
        <w:rPr>
          <w:rFonts w:hint="eastAsia"/>
          <w:color w:val="auto"/>
          <w:lang w:eastAsia="zh-CN"/>
        </w:rPr>
        <w:t>本文件主要起草人：李一凰、白成芳、邓娟、张丽娟、郭富城、李咨莹、韩蓉、韩德军、白雅琪、武汉鹏、叶松雨、白俊琴、王文珺、张鹏、朵艳斌。</w:t>
      </w:r>
    </w:p>
    <w:p w14:paraId="756348DC">
      <w:pPr>
        <w:pStyle w:val="58"/>
        <w:bidi w:val="0"/>
        <w:rPr>
          <w:rFonts w:hint="eastAsia"/>
          <w:color w:val="auto"/>
          <w:lang w:eastAsia="zh-CN"/>
        </w:rPr>
      </w:pPr>
    </w:p>
    <w:p w14:paraId="60164C53">
      <w:pPr>
        <w:pStyle w:val="58"/>
        <w:bidi w:val="0"/>
        <w:rPr>
          <w:rFonts w:hint="eastAsia"/>
          <w:color w:val="auto"/>
          <w:lang w:eastAsia="zh-CN"/>
        </w:rPr>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00445FF7">
      <w:pPr>
        <w:spacing w:line="20" w:lineRule="exact"/>
        <w:jc w:val="center"/>
        <w:rPr>
          <w:rFonts w:hint="eastAsia" w:ascii="黑体" w:hAnsi="黑体" w:eastAsia="黑体"/>
          <w:color w:val="auto"/>
          <w:sz w:val="32"/>
          <w:szCs w:val="32"/>
        </w:rPr>
      </w:pPr>
      <w:bookmarkStart w:id="22" w:name="BookMark4"/>
    </w:p>
    <w:p w14:paraId="58FA81F3">
      <w:pPr>
        <w:spacing w:line="20" w:lineRule="exact"/>
        <w:jc w:val="center"/>
        <w:rPr>
          <w:rFonts w:hint="eastAsia" w:ascii="黑体" w:hAnsi="黑体" w:eastAsia="黑体"/>
          <w:color w:val="auto"/>
          <w:sz w:val="32"/>
          <w:szCs w:val="32"/>
        </w:rPr>
      </w:pPr>
    </w:p>
    <w:sdt>
      <w:sdtPr>
        <w:rPr>
          <w:color w:val="auto"/>
        </w:rPr>
        <w:tag w:val="NEW_STAND_NAME"/>
        <w:id w:val="595910757"/>
        <w:lock w:val="sdtLocked"/>
        <w:placeholder>
          <w:docPart w:val="9B3BEDB4F2724F9D81F4444A5CCE266D"/>
        </w:placeholder>
      </w:sdtPr>
      <w:sdtEndPr>
        <w:rPr>
          <w:color w:val="auto"/>
        </w:rPr>
      </w:sdtEndPr>
      <w:sdtContent>
        <w:p w14:paraId="1D58211E">
          <w:pPr>
            <w:pStyle w:val="179"/>
            <w:bidi w:val="0"/>
            <w:spacing w:before="313" w:beforeLines="100" w:after="687" w:afterLines="220"/>
            <w:rPr>
              <w:rFonts w:hint="eastAsia"/>
              <w:color w:val="auto"/>
            </w:rPr>
          </w:pPr>
          <w:bookmarkStart w:id="23" w:name="NEW_STAND_NAME"/>
          <w:r>
            <w:rPr>
              <w:rFonts w:hint="eastAsia"/>
              <w:color w:val="auto"/>
              <w:lang w:eastAsia="zh-CN"/>
            </w:rPr>
            <w:t>“一站式”科技包保服务规范</w:t>
          </w:r>
        </w:p>
      </w:sdtContent>
    </w:sdt>
    <w:bookmarkEnd w:id="23"/>
    <w:p w14:paraId="58FB4D92">
      <w:pPr>
        <w:pStyle w:val="106"/>
        <w:spacing w:before="240" w:after="240"/>
        <w:rPr>
          <w:color w:val="auto"/>
        </w:rPr>
      </w:pPr>
      <w:bookmarkStart w:id="24" w:name="_Toc97192964"/>
      <w:bookmarkStart w:id="25" w:name="_Toc26648465"/>
      <w:bookmarkStart w:id="26" w:name="_Toc24884211"/>
      <w:bookmarkStart w:id="27" w:name="_Toc17233333"/>
      <w:bookmarkStart w:id="28" w:name="_Toc26986771"/>
      <w:bookmarkStart w:id="29" w:name="_Toc26986530"/>
      <w:bookmarkStart w:id="30" w:name="_Toc26718930"/>
      <w:bookmarkStart w:id="31" w:name="_Toc17233325"/>
      <w:bookmarkStart w:id="32" w:name="_Toc24884218"/>
      <w:r>
        <w:rPr>
          <w:rFonts w:hint="eastAsia"/>
          <w:color w:val="auto"/>
        </w:rPr>
        <w:t>范围</w:t>
      </w:r>
      <w:bookmarkEnd w:id="24"/>
      <w:bookmarkEnd w:id="25"/>
      <w:bookmarkEnd w:id="26"/>
      <w:bookmarkEnd w:id="27"/>
      <w:bookmarkEnd w:id="28"/>
      <w:bookmarkEnd w:id="29"/>
      <w:bookmarkEnd w:id="30"/>
      <w:bookmarkEnd w:id="31"/>
      <w:bookmarkEnd w:id="32"/>
    </w:p>
    <w:p w14:paraId="2C36B4E7">
      <w:pPr>
        <w:pStyle w:val="58"/>
        <w:ind w:firstLine="420"/>
        <w:rPr>
          <w:rFonts w:hint="eastAsia" w:eastAsia="宋体"/>
          <w:color w:val="auto"/>
          <w:lang w:val="en-US" w:eastAsia="zh-CN"/>
        </w:rPr>
      </w:pPr>
      <w:bookmarkStart w:id="33" w:name="_Toc17233334"/>
      <w:bookmarkStart w:id="34" w:name="_Toc24884219"/>
      <w:bookmarkStart w:id="35" w:name="_Toc24884212"/>
      <w:bookmarkStart w:id="36" w:name="_Toc17233326"/>
      <w:bookmarkStart w:id="37" w:name="_Toc26648466"/>
      <w:r>
        <w:rPr>
          <w:rFonts w:hint="eastAsia" w:eastAsia="宋体"/>
          <w:color w:val="auto"/>
          <w:lang w:val="en-US" w:eastAsia="zh-CN"/>
        </w:rPr>
        <w:t>本文件规定了一站式科技包保服务的术语和定义、服务目标、服务内容、服务流程、服务要求、保障措施、考核评价与服务档案管理等内容。</w:t>
      </w:r>
    </w:p>
    <w:p w14:paraId="3BDBB36E">
      <w:pPr>
        <w:pStyle w:val="58"/>
        <w:ind w:firstLine="420"/>
        <w:rPr>
          <w:rFonts w:hint="eastAsia" w:eastAsia="宋体"/>
          <w:color w:val="auto"/>
          <w:lang w:eastAsia="zh-CN"/>
        </w:rPr>
      </w:pPr>
      <w:r>
        <w:rPr>
          <w:rFonts w:hint="eastAsia" w:eastAsia="宋体"/>
          <w:color w:val="auto"/>
          <w:lang w:val="en-US" w:eastAsia="zh-CN"/>
        </w:rPr>
        <w:t>本文件适用于西宁</w:t>
      </w:r>
      <w:r>
        <w:rPr>
          <w:rFonts w:hint="eastAsia"/>
          <w:color w:val="auto"/>
          <w:lang w:val="en-US" w:eastAsia="zh-CN"/>
        </w:rPr>
        <w:t>市范围内的科技服务机构</w:t>
      </w:r>
      <w:r>
        <w:rPr>
          <w:rFonts w:hint="eastAsia" w:eastAsia="宋体"/>
          <w:color w:val="auto"/>
          <w:lang w:val="en-US" w:eastAsia="zh-CN"/>
        </w:rPr>
        <w:t>开展“一站式”科技包保服务工作，各县区、园区科技管理部门及相关科技服务机构可参照执行。</w:t>
      </w:r>
    </w:p>
    <w:p w14:paraId="767F512F">
      <w:pPr>
        <w:pStyle w:val="106"/>
        <w:spacing w:before="240" w:after="240"/>
        <w:rPr>
          <w:color w:val="auto"/>
        </w:rPr>
      </w:pPr>
      <w:bookmarkStart w:id="38" w:name="_Toc26718931"/>
      <w:bookmarkStart w:id="39" w:name="_Toc26986772"/>
      <w:bookmarkStart w:id="40" w:name="_Toc97192965"/>
      <w:bookmarkStart w:id="41" w:name="_Toc26986531"/>
      <w:r>
        <w:rPr>
          <w:rFonts w:hint="eastAsia"/>
          <w:color w:val="auto"/>
        </w:rPr>
        <w:t>规范性引用文件</w:t>
      </w:r>
      <w:bookmarkEnd w:id="33"/>
      <w:bookmarkEnd w:id="34"/>
      <w:bookmarkEnd w:id="35"/>
      <w:bookmarkEnd w:id="36"/>
      <w:bookmarkEnd w:id="37"/>
      <w:bookmarkEnd w:id="38"/>
      <w:bookmarkEnd w:id="39"/>
      <w:bookmarkEnd w:id="40"/>
      <w:bookmarkEnd w:id="41"/>
    </w:p>
    <w:sdt>
      <w:sdtPr>
        <w:rPr>
          <w:rFonts w:hint="eastAsia"/>
          <w:color w:val="auto"/>
        </w:rPr>
        <w:id w:val="715848253"/>
        <w:placeholder>
          <w:docPart w:val="78956B8278AF41489B4C226600D2E8C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color w:val="auto"/>
        </w:rPr>
      </w:sdtEndPr>
      <w:sdtContent>
        <w:p w14:paraId="0D5A6A32">
          <w:pPr>
            <w:pStyle w:val="58"/>
            <w:ind w:firstLine="420"/>
            <w:rPr>
              <w:color w:val="auto"/>
            </w:rPr>
          </w:pPr>
          <w:r>
            <w:rPr>
              <w:rFonts w:hint="eastAsia" w:ascii="Times New Roman" w:hAnsi="Times New Roman" w:eastAsia="宋体" w:cs="Times New Roman"/>
              <w:color w:val="auto"/>
              <w:sz w:val="21"/>
              <w:lang w:val="en-US" w:eastAsia="zh-CN" w:bidi="ar-SA"/>
            </w:rPr>
            <w:t>本文件没有规范性引用文件。</w:t>
          </w:r>
        </w:p>
      </w:sdtContent>
    </w:sdt>
    <w:p w14:paraId="40EF840C">
      <w:pPr>
        <w:pStyle w:val="106"/>
        <w:spacing w:before="240" w:after="240"/>
        <w:rPr>
          <w:color w:val="auto"/>
        </w:rPr>
      </w:pPr>
      <w:bookmarkStart w:id="42" w:name="_Toc97192966"/>
      <w:r>
        <w:rPr>
          <w:rFonts w:hint="eastAsia"/>
          <w:color w:val="auto"/>
          <w:szCs w:val="21"/>
        </w:rPr>
        <w:t>术语和定义</w:t>
      </w:r>
      <w:bookmarkEnd w:id="42"/>
    </w:p>
    <w:sdt>
      <w:sdtPr>
        <w:rPr>
          <w:color w:val="auto"/>
        </w:rPr>
        <w:id w:val="-1"/>
        <w:placeholder>
          <w:docPart w:val="DD487E154D8B46B1811108614A11313A"/>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rPr>
      </w:sdtEndPr>
      <w:sdtContent>
        <w:p w14:paraId="3FA990C2">
          <w:pPr>
            <w:pStyle w:val="58"/>
            <w:ind w:firstLine="420"/>
            <w:rPr>
              <w:color w:val="auto"/>
            </w:rPr>
          </w:pPr>
          <w:bookmarkStart w:id="43" w:name="_Toc26986532"/>
          <w:bookmarkEnd w:id="43"/>
          <w:r>
            <w:rPr>
              <w:rFonts w:ascii="Times New Roman" w:hAnsi="Times New Roman" w:eastAsia="宋体" w:cs="Times New Roman"/>
              <w:color w:val="auto"/>
              <w:sz w:val="21"/>
              <w:lang w:val="en-US" w:eastAsia="zh-CN" w:bidi="ar-SA"/>
            </w:rPr>
            <w:t>下列术语和定义适用于本文件。</w:t>
          </w:r>
        </w:p>
      </w:sdtContent>
    </w:sdt>
    <w:p w14:paraId="63B59B2F">
      <w:pPr>
        <w:pStyle w:val="225"/>
        <w:bidi w:val="0"/>
        <w:spacing w:after="0" w:afterLines="0"/>
        <w:ind w:left="480" w:hanging="480" w:hangingChars="200"/>
        <w:rPr>
          <w:rFonts w:hint="eastAsia" w:ascii="黑体" w:hAnsi="黑体" w:eastAsia="黑体" w:cs="黑体"/>
          <w:color w:val="auto"/>
          <w:sz w:val="24"/>
          <w:szCs w:val="24"/>
        </w:rPr>
      </w:pPr>
      <w:r>
        <w:rPr>
          <w:rFonts w:hint="eastAsia" w:ascii="黑体" w:hAnsi="黑体" w:eastAsia="黑体" w:cs="黑体"/>
          <w:color w:val="auto"/>
          <w:sz w:val="24"/>
          <w:szCs w:val="24"/>
        </w:rPr>
        <w:br w:type="textWrapping"/>
      </w:r>
      <w:r>
        <w:rPr>
          <w:rFonts w:hint="eastAsia" w:ascii="黑体" w:hAnsi="黑体" w:eastAsia="黑体" w:cs="黑体"/>
          <w:color w:val="auto"/>
          <w:sz w:val="21"/>
          <w:szCs w:val="21"/>
          <w:lang w:eastAsia="zh-CN"/>
        </w:rPr>
        <w:t>包保</w:t>
      </w:r>
    </w:p>
    <w:p w14:paraId="590251C7">
      <w:pPr>
        <w:pStyle w:val="58"/>
        <w:rPr>
          <w:rFonts w:hint="eastAsia"/>
        </w:rPr>
      </w:pPr>
      <w:r>
        <w:rPr>
          <w:rFonts w:hint="eastAsia"/>
        </w:rPr>
        <w:t>将某项任务、责任或区域明确分配给个人或单位，由其全权负责推进、落实并保证完成目标的责任制度。</w:t>
      </w:r>
    </w:p>
    <w:p w14:paraId="668207EE">
      <w:pPr>
        <w:pStyle w:val="225"/>
        <w:bidi w:val="0"/>
        <w:spacing w:after="0" w:afterLines="0"/>
        <w:ind w:left="480" w:hanging="480" w:hangingChars="200"/>
        <w:rPr>
          <w:rFonts w:hint="eastAsia" w:ascii="黑体" w:hAnsi="黑体" w:eastAsia="黑体" w:cs="黑体"/>
          <w:color w:val="auto"/>
          <w:sz w:val="24"/>
          <w:szCs w:val="24"/>
        </w:rPr>
      </w:pPr>
      <w:r>
        <w:rPr>
          <w:rFonts w:hint="eastAsia" w:ascii="黑体" w:hAnsi="黑体" w:eastAsia="黑体" w:cs="黑体"/>
          <w:color w:val="auto"/>
          <w:sz w:val="24"/>
          <w:szCs w:val="24"/>
          <w:lang w:eastAsia="zh-CN"/>
        </w:rPr>
        <w:br w:type="textWrapping"/>
      </w:r>
      <w:r>
        <w:rPr>
          <w:rFonts w:hint="eastAsia" w:ascii="黑体" w:hAnsi="黑体" w:eastAsia="黑体" w:cs="黑体"/>
          <w:color w:val="auto"/>
          <w:sz w:val="24"/>
          <w:szCs w:val="24"/>
          <w:lang w:eastAsia="zh-CN"/>
        </w:rPr>
        <w:t>“</w:t>
      </w:r>
      <w:r>
        <w:rPr>
          <w:rFonts w:hint="eastAsia" w:ascii="黑体" w:hAnsi="黑体" w:eastAsia="黑体" w:cs="黑体"/>
          <w:color w:val="auto"/>
          <w:sz w:val="21"/>
          <w:szCs w:val="21"/>
        </w:rPr>
        <w:t>一站式</w:t>
      </w:r>
      <w:r>
        <w:rPr>
          <w:rFonts w:hint="eastAsia" w:ascii="黑体" w:hAnsi="黑体" w:eastAsia="黑体" w:cs="黑体"/>
          <w:color w:val="auto"/>
          <w:sz w:val="21"/>
          <w:szCs w:val="21"/>
          <w:lang w:eastAsia="zh-CN"/>
        </w:rPr>
        <w:t>”</w:t>
      </w:r>
      <w:r>
        <w:rPr>
          <w:rFonts w:hint="eastAsia" w:ascii="黑体" w:hAnsi="黑体" w:eastAsia="黑体" w:cs="黑体"/>
          <w:color w:val="auto"/>
          <w:sz w:val="21"/>
          <w:szCs w:val="21"/>
        </w:rPr>
        <w:t>科技包保服务</w:t>
      </w:r>
    </w:p>
    <w:p w14:paraId="7C2A2426">
      <w:pPr>
        <w:pStyle w:val="58"/>
        <w:bidi w:val="0"/>
        <w:rPr>
          <w:color w:val="auto"/>
        </w:rPr>
      </w:pPr>
      <w:r>
        <w:rPr>
          <w:color w:val="auto"/>
          <w:lang w:val="en-US" w:eastAsia="zh-CN"/>
        </w:rPr>
        <w:t>科技服务机构以</w:t>
      </w:r>
      <w:r>
        <w:rPr>
          <w:rFonts w:hint="eastAsia"/>
          <w:color w:val="auto"/>
          <w:lang w:val="en-US" w:eastAsia="zh-CN"/>
        </w:rPr>
        <w:t>服务单元为主</w:t>
      </w:r>
      <w:r>
        <w:rPr>
          <w:color w:val="auto"/>
          <w:lang w:val="en-US" w:eastAsia="zh-CN"/>
        </w:rPr>
        <w:t>，对县区、园区、企业实行包保负责，整合政策、项目、成果、人才、金融等科技资源，提供全链条、闭环式科技服务的工作模式。</w:t>
      </w:r>
    </w:p>
    <w:p w14:paraId="48AF76FF">
      <w:pPr>
        <w:pStyle w:val="225"/>
        <w:bidi w:val="0"/>
        <w:spacing w:after="0" w:afterLines="0"/>
        <w:ind w:left="480" w:hanging="480" w:hangingChars="200"/>
        <w:rPr>
          <w:rFonts w:hint="eastAsia" w:ascii="黑体" w:hAnsi="黑体" w:eastAsia="黑体" w:cs="黑体"/>
          <w:color w:val="auto"/>
          <w:sz w:val="24"/>
          <w:szCs w:val="24"/>
        </w:rPr>
      </w:pPr>
      <w:r>
        <w:rPr>
          <w:rFonts w:hint="eastAsia" w:ascii="黑体" w:hAnsi="黑体" w:eastAsia="黑体" w:cs="黑体"/>
          <w:color w:val="auto"/>
          <w:sz w:val="24"/>
          <w:szCs w:val="24"/>
        </w:rPr>
        <w:br w:type="textWrapping"/>
      </w:r>
      <w:r>
        <w:rPr>
          <w:rFonts w:hint="eastAsia" w:ascii="黑体" w:hAnsi="黑体" w:eastAsia="黑体" w:cs="黑体"/>
          <w:color w:val="auto"/>
          <w:sz w:val="21"/>
          <w:szCs w:val="21"/>
        </w:rPr>
        <w:t>企业点单</w:t>
      </w:r>
    </w:p>
    <w:p w14:paraId="2C134C45">
      <w:pPr>
        <w:pStyle w:val="58"/>
        <w:bidi w:val="0"/>
        <w:rPr>
          <w:color w:val="auto"/>
          <w:szCs w:val="24"/>
        </w:rPr>
      </w:pPr>
      <w:r>
        <w:rPr>
          <w:color w:val="auto"/>
          <w:lang w:val="en-US" w:eastAsia="zh-CN"/>
        </w:rPr>
        <w:t>企业结合自身科技创新、生产经营需求，向包保服务机构提出定向服务需求的方式。</w:t>
      </w:r>
    </w:p>
    <w:p w14:paraId="29217376">
      <w:pPr>
        <w:pStyle w:val="225"/>
        <w:bidi w:val="0"/>
        <w:spacing w:after="0" w:afterLines="0"/>
        <w:ind w:left="420" w:hanging="420" w:hangingChars="200"/>
        <w:rPr>
          <w:rFonts w:hint="eastAsia" w:ascii="黑体" w:hAnsi="黑体" w:eastAsia="黑体" w:cs="黑体"/>
          <w:color w:val="auto"/>
          <w:sz w:val="21"/>
          <w:szCs w:val="21"/>
        </w:rPr>
      </w:pPr>
      <w:r>
        <w:rPr>
          <w:rFonts w:hint="eastAsia" w:ascii="黑体" w:hAnsi="黑体" w:eastAsia="黑体" w:cs="黑体"/>
          <w:color w:val="auto"/>
          <w:sz w:val="21"/>
          <w:szCs w:val="21"/>
        </w:rPr>
        <w:br w:type="textWrapping"/>
      </w:r>
      <w:r>
        <w:rPr>
          <w:rFonts w:hint="eastAsia" w:ascii="黑体" w:hAnsi="黑体" w:eastAsia="黑体" w:cs="黑体"/>
          <w:color w:val="auto"/>
          <w:sz w:val="21"/>
          <w:szCs w:val="21"/>
        </w:rPr>
        <w:t>服务进企</w:t>
      </w:r>
    </w:p>
    <w:p w14:paraId="3B70607E">
      <w:pPr>
        <w:pStyle w:val="58"/>
        <w:bidi w:val="0"/>
        <w:rPr>
          <w:color w:val="auto"/>
        </w:rPr>
      </w:pPr>
      <w:r>
        <w:rPr>
          <w:color w:val="auto"/>
          <w:lang w:val="en-US" w:eastAsia="zh-CN"/>
        </w:rPr>
        <w:t>包保服务人员按固定频次主动深入企业，开展政策宣讲、需求摸排、难题解决、资源对接等现场科技服务活动。</w:t>
      </w:r>
    </w:p>
    <w:p w14:paraId="1B7D686C">
      <w:pPr>
        <w:pStyle w:val="106"/>
        <w:bidi w:val="0"/>
        <w:rPr>
          <w:color w:val="auto"/>
        </w:rPr>
      </w:pPr>
      <w:r>
        <w:rPr>
          <w:color w:val="auto"/>
        </w:rPr>
        <w:t>服务流程</w:t>
      </w:r>
    </w:p>
    <w:p w14:paraId="36FDA2C3">
      <w:pPr>
        <w:pStyle w:val="107"/>
        <w:bidi w:val="0"/>
        <w:rPr>
          <w:color w:val="auto"/>
        </w:rPr>
      </w:pPr>
      <w:r>
        <w:rPr>
          <w:color w:val="auto"/>
        </w:rPr>
        <w:t>服务对接</w:t>
      </w:r>
    </w:p>
    <w:p w14:paraId="594879D5">
      <w:pPr>
        <w:pStyle w:val="167"/>
        <w:bidi w:val="0"/>
        <w:rPr>
          <w:color w:val="auto"/>
        </w:rPr>
      </w:pPr>
      <w:r>
        <w:rPr>
          <w:color w:val="auto"/>
          <w:lang w:val="en-US" w:eastAsia="zh-CN"/>
        </w:rPr>
        <w:t>建立包保服务联络体系，明确责任部室、包保县区/园区、联络人员、联系方式及固定服务时间。</w:t>
      </w:r>
    </w:p>
    <w:p w14:paraId="512BF30E">
      <w:pPr>
        <w:pStyle w:val="167"/>
        <w:bidi w:val="0"/>
        <w:rPr>
          <w:color w:val="auto"/>
        </w:rPr>
      </w:pPr>
      <w:r>
        <w:rPr>
          <w:color w:val="auto"/>
          <w:lang w:val="en-US" w:eastAsia="zh-CN"/>
        </w:rPr>
        <w:t>公开服务清单与联络渠道，畅通企业需求提报途径。</w:t>
      </w:r>
    </w:p>
    <w:p w14:paraId="0C364F75">
      <w:pPr>
        <w:pStyle w:val="107"/>
        <w:bidi w:val="0"/>
        <w:rPr>
          <w:color w:val="auto"/>
        </w:rPr>
      </w:pPr>
      <w:r>
        <w:rPr>
          <w:color w:val="auto"/>
        </w:rPr>
        <w:t>需求摸排</w:t>
      </w:r>
    </w:p>
    <w:p w14:paraId="226EAB8E">
      <w:pPr>
        <w:pStyle w:val="167"/>
        <w:bidi w:val="0"/>
        <w:rPr>
          <w:color w:val="auto"/>
          <w:lang w:val="en-US" w:eastAsia="zh-CN"/>
        </w:rPr>
      </w:pPr>
      <w:r>
        <w:rPr>
          <w:color w:val="auto"/>
          <w:lang w:val="en-US" w:eastAsia="zh-CN"/>
        </w:rPr>
        <w:t>实行</w:t>
      </w:r>
      <w:r>
        <w:rPr>
          <w:rFonts w:hint="eastAsia"/>
          <w:color w:val="auto"/>
          <w:lang w:val="en-US" w:eastAsia="zh-CN"/>
        </w:rPr>
        <w:t>“</w:t>
      </w:r>
      <w:r>
        <w:rPr>
          <w:color w:val="auto"/>
          <w:lang w:val="en-US" w:eastAsia="zh-CN"/>
        </w:rPr>
        <w:t>企业点单</w:t>
      </w:r>
      <w:r>
        <w:rPr>
          <w:rFonts w:hint="eastAsia"/>
          <w:color w:val="auto"/>
          <w:lang w:val="en-US" w:eastAsia="zh-CN"/>
        </w:rPr>
        <w:t>”“</w:t>
      </w:r>
      <w:r>
        <w:rPr>
          <w:color w:val="auto"/>
          <w:lang w:val="en-US" w:eastAsia="zh-CN"/>
        </w:rPr>
        <w:t>服务进企</w:t>
      </w:r>
      <w:r>
        <w:rPr>
          <w:rFonts w:hint="eastAsia"/>
          <w:color w:val="auto"/>
          <w:lang w:val="en-US" w:eastAsia="zh-CN"/>
        </w:rPr>
        <w:t>”</w:t>
      </w:r>
      <w:r>
        <w:rPr>
          <w:color w:val="auto"/>
          <w:lang w:val="en-US" w:eastAsia="zh-CN"/>
        </w:rPr>
        <w:t>双向服务模式。</w:t>
      </w:r>
    </w:p>
    <w:p w14:paraId="25384E19">
      <w:pPr>
        <w:pStyle w:val="167"/>
        <w:bidi w:val="0"/>
        <w:rPr>
          <w:color w:val="auto"/>
        </w:rPr>
      </w:pPr>
      <w:r>
        <w:rPr>
          <w:color w:val="auto"/>
          <w:lang w:val="en-US" w:eastAsia="zh-CN"/>
        </w:rPr>
        <w:t>联合县区、园区科技管理部门开展“科技体检”，建立并动态更新企业需求清单。</w:t>
      </w:r>
    </w:p>
    <w:p w14:paraId="5191F275">
      <w:pPr>
        <w:pStyle w:val="107"/>
        <w:bidi w:val="0"/>
        <w:rPr>
          <w:color w:val="auto"/>
        </w:rPr>
      </w:pPr>
      <w:r>
        <w:rPr>
          <w:color w:val="auto"/>
        </w:rPr>
        <w:t>服务实施</w:t>
      </w:r>
    </w:p>
    <w:p w14:paraId="346A5435">
      <w:pPr>
        <w:pStyle w:val="167"/>
        <w:bidi w:val="0"/>
        <w:rPr>
          <w:color w:val="auto"/>
          <w:lang w:val="en-US" w:eastAsia="zh-CN"/>
        </w:rPr>
      </w:pPr>
      <w:r>
        <w:rPr>
          <w:color w:val="auto"/>
          <w:lang w:val="en-US" w:eastAsia="zh-CN"/>
        </w:rPr>
        <w:t>简易问题</w:t>
      </w:r>
      <w:r>
        <w:rPr>
          <w:rFonts w:hint="eastAsia"/>
          <w:color w:val="auto"/>
          <w:lang w:val="en-US" w:eastAsia="zh-CN"/>
        </w:rPr>
        <w:t>应在现场及时</w:t>
      </w:r>
      <w:r>
        <w:rPr>
          <w:color w:val="auto"/>
          <w:lang w:val="en-US" w:eastAsia="zh-CN"/>
        </w:rPr>
        <w:t>解决。</w:t>
      </w:r>
    </w:p>
    <w:p w14:paraId="6F05590F">
      <w:pPr>
        <w:pStyle w:val="167"/>
        <w:bidi w:val="0"/>
        <w:rPr>
          <w:color w:val="auto"/>
          <w:lang w:val="en-US" w:eastAsia="zh-CN"/>
        </w:rPr>
      </w:pPr>
      <w:r>
        <w:rPr>
          <w:color w:val="auto"/>
          <w:lang w:val="en-US" w:eastAsia="zh-CN"/>
        </w:rPr>
        <w:t>一般问题</w:t>
      </w:r>
      <w:r>
        <w:rPr>
          <w:rFonts w:hint="eastAsia"/>
          <w:color w:val="auto"/>
          <w:lang w:val="en-US" w:eastAsia="zh-CN"/>
        </w:rPr>
        <w:t>应</w:t>
      </w:r>
      <w:r>
        <w:rPr>
          <w:color w:val="auto"/>
          <w:lang w:val="en-US" w:eastAsia="zh-CN"/>
        </w:rPr>
        <w:t>限时办结并反馈。</w:t>
      </w:r>
    </w:p>
    <w:p w14:paraId="435804C7">
      <w:pPr>
        <w:pStyle w:val="167"/>
        <w:bidi w:val="0"/>
        <w:rPr>
          <w:color w:val="auto"/>
          <w:lang w:val="en-US" w:eastAsia="zh-CN"/>
        </w:rPr>
      </w:pPr>
      <w:r>
        <w:rPr>
          <w:color w:val="auto"/>
          <w:lang w:val="en-US" w:eastAsia="zh-CN"/>
        </w:rPr>
        <w:t>复杂问题</w:t>
      </w:r>
      <w:r>
        <w:rPr>
          <w:rFonts w:hint="eastAsia"/>
          <w:color w:val="auto"/>
          <w:lang w:val="en-US" w:eastAsia="zh-CN"/>
        </w:rPr>
        <w:t>应</w:t>
      </w:r>
      <w:r>
        <w:rPr>
          <w:color w:val="auto"/>
          <w:lang w:val="en-US" w:eastAsia="zh-CN"/>
        </w:rPr>
        <w:t>协调多部门、科研单位、专家资源联合处置。</w:t>
      </w:r>
    </w:p>
    <w:p w14:paraId="270632D9">
      <w:pPr>
        <w:pStyle w:val="167"/>
        <w:bidi w:val="0"/>
        <w:rPr>
          <w:color w:val="auto"/>
        </w:rPr>
      </w:pPr>
      <w:r>
        <w:rPr>
          <w:color w:val="auto"/>
          <w:lang w:val="en-US" w:eastAsia="zh-CN"/>
        </w:rPr>
        <w:t>推动校企、院企合作，促进科技成果供需对接与落地转化。</w:t>
      </w:r>
    </w:p>
    <w:p w14:paraId="70A44C40">
      <w:pPr>
        <w:pStyle w:val="107"/>
        <w:bidi w:val="0"/>
        <w:rPr>
          <w:color w:val="auto"/>
        </w:rPr>
      </w:pPr>
      <w:r>
        <w:rPr>
          <w:color w:val="auto"/>
        </w:rPr>
        <w:t>跟踪服务</w:t>
      </w:r>
    </w:p>
    <w:p w14:paraId="3089DDF0">
      <w:pPr>
        <w:pStyle w:val="167"/>
        <w:bidi w:val="0"/>
        <w:rPr>
          <w:color w:val="auto"/>
          <w:lang w:val="en-US" w:eastAsia="zh-CN"/>
        </w:rPr>
      </w:pPr>
      <w:r>
        <w:rPr>
          <w:rFonts w:hint="eastAsia"/>
          <w:color w:val="auto"/>
          <w:lang w:val="en-US" w:eastAsia="zh-CN"/>
        </w:rPr>
        <w:t>应</w:t>
      </w:r>
      <w:r>
        <w:rPr>
          <w:color w:val="auto"/>
          <w:lang w:val="en-US" w:eastAsia="zh-CN"/>
        </w:rPr>
        <w:t>建立服务工作台账，全程记录服务过程与结果。</w:t>
      </w:r>
    </w:p>
    <w:p w14:paraId="2EE17B55">
      <w:pPr>
        <w:pStyle w:val="167"/>
        <w:bidi w:val="0"/>
        <w:rPr>
          <w:color w:val="auto"/>
        </w:rPr>
      </w:pPr>
      <w:r>
        <w:rPr>
          <w:rFonts w:hint="eastAsia"/>
          <w:color w:val="auto"/>
          <w:lang w:val="en-US" w:eastAsia="zh-CN"/>
        </w:rPr>
        <w:t>应</w:t>
      </w:r>
      <w:r>
        <w:rPr>
          <w:color w:val="auto"/>
          <w:lang w:val="en-US" w:eastAsia="zh-CN"/>
        </w:rPr>
        <w:t>不定期跟踪企业需求解决情况，汇总研判共性问题。</w:t>
      </w:r>
    </w:p>
    <w:p w14:paraId="43FEBF6B">
      <w:pPr>
        <w:pStyle w:val="107"/>
        <w:bidi w:val="0"/>
        <w:rPr>
          <w:color w:val="auto"/>
        </w:rPr>
      </w:pPr>
      <w:r>
        <w:rPr>
          <w:color w:val="auto"/>
        </w:rPr>
        <w:t>闭环管理</w:t>
      </w:r>
    </w:p>
    <w:p w14:paraId="4014F055">
      <w:pPr>
        <w:pStyle w:val="167"/>
        <w:bidi w:val="0"/>
        <w:rPr>
          <w:lang w:val="en-US" w:eastAsia="zh-CN"/>
        </w:rPr>
      </w:pPr>
      <w:r>
        <w:rPr>
          <w:lang w:val="en-US" w:eastAsia="zh-CN"/>
        </w:rPr>
        <w:t>形成</w:t>
      </w:r>
      <w:r>
        <w:rPr>
          <w:rFonts w:hint="eastAsia"/>
          <w:lang w:val="en-US" w:eastAsia="zh-CN"/>
        </w:rPr>
        <w:t>“</w:t>
      </w:r>
      <w:r>
        <w:rPr>
          <w:lang w:val="en-US" w:eastAsia="zh-CN"/>
        </w:rPr>
        <w:t>受理—办理—反馈—跟踪—办结</w:t>
      </w:r>
      <w:r>
        <w:rPr>
          <w:rFonts w:hint="eastAsia"/>
          <w:lang w:val="en-US" w:eastAsia="zh-CN"/>
        </w:rPr>
        <w:t>”</w:t>
      </w:r>
      <w:r>
        <w:rPr>
          <w:lang w:val="en-US" w:eastAsia="zh-CN"/>
        </w:rPr>
        <w:t>全闭环工作机制。</w:t>
      </w:r>
    </w:p>
    <w:p w14:paraId="33D6D533">
      <w:pPr>
        <w:pStyle w:val="167"/>
        <w:bidi w:val="0"/>
      </w:pPr>
      <w:r>
        <w:rPr>
          <w:lang w:val="en-US" w:eastAsia="zh-CN"/>
        </w:rPr>
        <w:t>对共性问题从机制层面优化解决，提升整体服务效能。</w:t>
      </w:r>
    </w:p>
    <w:p w14:paraId="7FA7B41E">
      <w:pPr>
        <w:pStyle w:val="106"/>
        <w:bidi w:val="0"/>
        <w:rPr>
          <w:color w:val="auto"/>
        </w:rPr>
      </w:pPr>
      <w:r>
        <w:rPr>
          <w:color w:val="auto"/>
        </w:rPr>
        <w:t>服务内容</w:t>
      </w:r>
    </w:p>
    <w:p w14:paraId="18C4BFED">
      <w:pPr>
        <w:pStyle w:val="107"/>
        <w:bidi w:val="0"/>
        <w:rPr>
          <w:rFonts w:hint="eastAsia"/>
        </w:rPr>
      </w:pPr>
      <w:r>
        <w:rPr>
          <w:rFonts w:hint="eastAsia"/>
        </w:rPr>
        <w:t>科技政策宣传与解读</w:t>
      </w:r>
    </w:p>
    <w:p w14:paraId="2C642FCA">
      <w:pPr>
        <w:pStyle w:val="67"/>
        <w:bidi w:val="0"/>
        <w:rPr>
          <w:rFonts w:hint="eastAsia"/>
        </w:rPr>
      </w:pPr>
      <w:r>
        <w:rPr>
          <w:rFonts w:hint="eastAsia"/>
        </w:rPr>
        <w:t>政策收集与整理</w:t>
      </w:r>
    </w:p>
    <w:p w14:paraId="098AC691">
      <w:pPr>
        <w:pStyle w:val="166"/>
        <w:bidi w:val="0"/>
        <w:rPr>
          <w:rFonts w:hint="eastAsia"/>
        </w:rPr>
      </w:pPr>
      <w:r>
        <w:rPr>
          <w:rFonts w:hint="eastAsia"/>
          <w:lang w:eastAsia="zh-CN"/>
        </w:rPr>
        <w:t>应</w:t>
      </w:r>
      <w:r>
        <w:rPr>
          <w:rFonts w:hint="eastAsia"/>
        </w:rPr>
        <w:t>定期收集国家和青海省、</w:t>
      </w:r>
      <w:r>
        <w:rPr>
          <w:rFonts w:hint="eastAsia"/>
          <w:lang w:val="en-US" w:eastAsia="zh-CN"/>
        </w:rPr>
        <w:t>各</w:t>
      </w:r>
      <w:r>
        <w:rPr>
          <w:rFonts w:hint="eastAsia"/>
        </w:rPr>
        <w:t>市</w:t>
      </w:r>
      <w:r>
        <w:rPr>
          <w:rFonts w:hint="eastAsia"/>
          <w:lang w:val="en-US" w:eastAsia="zh-CN"/>
        </w:rPr>
        <w:t>州</w:t>
      </w:r>
      <w:r>
        <w:rPr>
          <w:rFonts w:hint="eastAsia"/>
        </w:rPr>
        <w:t>出台的科技创新相关政策，包括但不限于科技计划项目管理、科技成果转化、高新技术企业认定、科技型企业培育、研发费用加计扣除、科技创新券、技术合同认定登记、科技人才引进等方面的政策法规。</w:t>
      </w:r>
    </w:p>
    <w:p w14:paraId="3FF2E627">
      <w:pPr>
        <w:pStyle w:val="166"/>
        <w:bidi w:val="0"/>
        <w:rPr>
          <w:rFonts w:hint="eastAsia"/>
        </w:rPr>
      </w:pPr>
      <w:r>
        <w:rPr>
          <w:rFonts w:hint="eastAsia"/>
          <w:lang w:eastAsia="zh-CN"/>
        </w:rPr>
        <w:t>应</w:t>
      </w:r>
      <w:r>
        <w:rPr>
          <w:rFonts w:hint="eastAsia"/>
        </w:rPr>
        <w:t>对收集的政策进行分类整理，编制科技政策清单，并及时更新，确保信息的准确性和时效性。</w:t>
      </w:r>
    </w:p>
    <w:p w14:paraId="626F6486">
      <w:pPr>
        <w:pStyle w:val="67"/>
        <w:bidi w:val="0"/>
        <w:rPr>
          <w:rFonts w:hint="eastAsia"/>
        </w:rPr>
      </w:pPr>
      <w:r>
        <w:rPr>
          <w:rFonts w:hint="eastAsia"/>
        </w:rPr>
        <w:t>政策宣传</w:t>
      </w:r>
    </w:p>
    <w:p w14:paraId="27B5F4EB">
      <w:pPr>
        <w:pStyle w:val="166"/>
        <w:bidi w:val="0"/>
        <w:rPr>
          <w:rFonts w:hint="eastAsia"/>
        </w:rPr>
      </w:pPr>
      <w:r>
        <w:rPr>
          <w:rFonts w:hint="eastAsia"/>
          <w:lang w:eastAsia="zh-CN"/>
        </w:rPr>
        <w:t>应</w:t>
      </w:r>
      <w:r>
        <w:rPr>
          <w:rFonts w:hint="eastAsia"/>
        </w:rPr>
        <w:t>通过线上线下相结合的方式开展科技政策宣传。线上宣传包括利用西宁科技大市场网站、科技项目网络管理系统、微信公众号等平台发布政策信息。线下宣传包括在一站式服务窗口设置政策宣传专区，发放政策宣传资料。</w:t>
      </w:r>
    </w:p>
    <w:p w14:paraId="29BA4F92">
      <w:pPr>
        <w:pStyle w:val="166"/>
        <w:bidi w:val="0"/>
        <w:rPr>
          <w:rFonts w:hint="eastAsia"/>
        </w:rPr>
      </w:pPr>
      <w:r>
        <w:rPr>
          <w:rFonts w:hint="eastAsia"/>
          <w:lang w:eastAsia="zh-CN"/>
        </w:rPr>
        <w:t>应</w:t>
      </w:r>
      <w:r>
        <w:rPr>
          <w:rFonts w:hint="eastAsia"/>
        </w:rPr>
        <w:t>结合西宁科技大市场的综合服务平台功能，运用“展示、交易、交流、共享、服务”五位一体的核心功能优势，向创新主体推送科技政策信息。</w:t>
      </w:r>
    </w:p>
    <w:p w14:paraId="16AB5E3B">
      <w:pPr>
        <w:pStyle w:val="67"/>
        <w:bidi w:val="0"/>
        <w:rPr>
          <w:rFonts w:hint="eastAsia"/>
        </w:rPr>
      </w:pPr>
      <w:r>
        <w:rPr>
          <w:rFonts w:hint="eastAsia"/>
        </w:rPr>
        <w:t>政策解读</w:t>
      </w:r>
    </w:p>
    <w:p w14:paraId="155F8C7C">
      <w:pPr>
        <w:pStyle w:val="166"/>
        <w:bidi w:val="0"/>
        <w:rPr>
          <w:rFonts w:hint="eastAsia"/>
        </w:rPr>
      </w:pPr>
      <w:r>
        <w:rPr>
          <w:rFonts w:hint="eastAsia"/>
          <w:lang w:eastAsia="zh-CN"/>
        </w:rPr>
        <w:t>应</w:t>
      </w:r>
      <w:r>
        <w:rPr>
          <w:rFonts w:hint="eastAsia"/>
        </w:rPr>
        <w:t>采取集中宣讲和“一对一”咨询指导相结合的方式，对科技政策进行解读。</w:t>
      </w:r>
    </w:p>
    <w:p w14:paraId="138901AC">
      <w:pPr>
        <w:pStyle w:val="166"/>
        <w:bidi w:val="0"/>
        <w:rPr>
          <w:rFonts w:hint="eastAsia"/>
        </w:rPr>
      </w:pPr>
      <w:r>
        <w:rPr>
          <w:rFonts w:hint="eastAsia"/>
        </w:rPr>
        <w:t>政策解读的重点内容应包括但不限于：</w:t>
      </w:r>
    </w:p>
    <w:p w14:paraId="2FE408E3">
      <w:pPr>
        <w:pStyle w:val="176"/>
        <w:bidi w:val="0"/>
        <w:ind w:left="851" w:leftChars="0" w:hanging="426" w:firstLineChars="0"/>
        <w:rPr>
          <w:rFonts w:hint="eastAsia"/>
        </w:rPr>
      </w:pPr>
      <w:r>
        <w:rPr>
          <w:rFonts w:hint="eastAsia"/>
        </w:rPr>
        <w:t>高新技术企业、科技型企业认定支持政策；</w:t>
      </w:r>
    </w:p>
    <w:p w14:paraId="3EEAF473">
      <w:pPr>
        <w:pStyle w:val="176"/>
        <w:bidi w:val="0"/>
        <w:ind w:left="851" w:leftChars="0" w:hanging="426" w:firstLineChars="0"/>
        <w:rPr>
          <w:rFonts w:hint="eastAsia"/>
        </w:rPr>
      </w:pPr>
      <w:r>
        <w:rPr>
          <w:rFonts w:hint="eastAsia"/>
        </w:rPr>
        <w:t>工程技术研究中心、技术创新中心、科技企业孵化器、众创空间等平台载体认定、建设、管理相关政策；</w:t>
      </w:r>
    </w:p>
    <w:p w14:paraId="0C8AE3A9">
      <w:pPr>
        <w:pStyle w:val="176"/>
        <w:bidi w:val="0"/>
        <w:ind w:left="851" w:leftChars="0" w:hanging="426" w:firstLineChars="0"/>
        <w:rPr>
          <w:rFonts w:hint="eastAsia"/>
        </w:rPr>
      </w:pPr>
      <w:r>
        <w:rPr>
          <w:rFonts w:hint="eastAsia"/>
        </w:rPr>
        <w:t>科技计划项目申报指南与管理办法；</w:t>
      </w:r>
    </w:p>
    <w:p w14:paraId="4FCBA2E3">
      <w:pPr>
        <w:pStyle w:val="176"/>
        <w:bidi w:val="0"/>
        <w:ind w:left="851" w:leftChars="0" w:hanging="426" w:firstLineChars="0"/>
        <w:rPr>
          <w:rFonts w:hint="eastAsia"/>
        </w:rPr>
      </w:pPr>
      <w:r>
        <w:rPr>
          <w:rFonts w:hint="eastAsia"/>
        </w:rPr>
        <w:t>研发费用加计扣除和后补助政策；</w:t>
      </w:r>
    </w:p>
    <w:p w14:paraId="746B5824">
      <w:pPr>
        <w:pStyle w:val="176"/>
        <w:bidi w:val="0"/>
        <w:ind w:left="851" w:leftChars="0" w:hanging="426" w:firstLineChars="0"/>
        <w:rPr>
          <w:rFonts w:hint="eastAsia"/>
        </w:rPr>
      </w:pPr>
      <w:r>
        <w:rPr>
          <w:rFonts w:hint="eastAsia"/>
        </w:rPr>
        <w:t>技术合同认定登记政策及操作流程；</w:t>
      </w:r>
    </w:p>
    <w:p w14:paraId="65798D0B">
      <w:pPr>
        <w:pStyle w:val="176"/>
        <w:bidi w:val="0"/>
        <w:ind w:left="851" w:leftChars="0" w:hanging="426" w:firstLineChars="0"/>
        <w:rPr>
          <w:rFonts w:hint="eastAsia"/>
        </w:rPr>
      </w:pPr>
      <w:r>
        <w:rPr>
          <w:rFonts w:hint="eastAsia"/>
        </w:rPr>
        <w:t>科技创新券的申领、兑付政策；</w:t>
      </w:r>
    </w:p>
    <w:p w14:paraId="5D649B87">
      <w:pPr>
        <w:pStyle w:val="176"/>
        <w:bidi w:val="0"/>
        <w:ind w:left="851" w:leftChars="0" w:hanging="426" w:firstLineChars="0"/>
        <w:rPr>
          <w:rFonts w:hint="eastAsia"/>
        </w:rPr>
      </w:pPr>
      <w:r>
        <w:rPr>
          <w:rFonts w:hint="eastAsia"/>
        </w:rPr>
        <w:t>科技成果转化奖补政策；</w:t>
      </w:r>
    </w:p>
    <w:p w14:paraId="23738F16">
      <w:pPr>
        <w:pStyle w:val="176"/>
        <w:bidi w:val="0"/>
        <w:ind w:left="851" w:leftChars="0" w:hanging="426" w:firstLineChars="0"/>
        <w:rPr>
          <w:rFonts w:hint="eastAsia"/>
        </w:rPr>
      </w:pPr>
      <w:r>
        <w:rPr>
          <w:rFonts w:hint="eastAsia"/>
        </w:rPr>
        <w:t>科技人才培养引进政策；</w:t>
      </w:r>
    </w:p>
    <w:p w14:paraId="7BEE6126">
      <w:pPr>
        <w:pStyle w:val="176"/>
        <w:bidi w:val="0"/>
        <w:ind w:left="851" w:leftChars="0" w:hanging="426" w:firstLineChars="0"/>
        <w:rPr>
          <w:rFonts w:hint="eastAsia"/>
        </w:rPr>
      </w:pPr>
      <w:r>
        <w:rPr>
          <w:rFonts w:hint="eastAsia"/>
        </w:rPr>
        <w:t>科技金融相关支持政策。</w:t>
      </w:r>
    </w:p>
    <w:p w14:paraId="56A1DB2B">
      <w:pPr>
        <w:pStyle w:val="166"/>
        <w:bidi w:val="0"/>
        <w:rPr>
          <w:rFonts w:hint="eastAsia"/>
        </w:rPr>
      </w:pPr>
      <w:r>
        <w:rPr>
          <w:rFonts w:hint="eastAsia"/>
        </w:rPr>
        <w:t>解读方式应通俗易懂，结合本地企业实际案例，帮助创新主体准确理解政策内容及适用条件。</w:t>
      </w:r>
    </w:p>
    <w:p w14:paraId="1ABE2752">
      <w:pPr>
        <w:pStyle w:val="67"/>
        <w:bidi w:val="0"/>
        <w:rPr>
          <w:rFonts w:hint="eastAsia"/>
        </w:rPr>
      </w:pPr>
      <w:r>
        <w:rPr>
          <w:rFonts w:hint="eastAsia"/>
        </w:rPr>
        <w:t>政策咨询服务</w:t>
      </w:r>
    </w:p>
    <w:p w14:paraId="0F573A31">
      <w:pPr>
        <w:pStyle w:val="166"/>
        <w:bidi w:val="0"/>
        <w:rPr>
          <w:rFonts w:hint="eastAsia"/>
        </w:rPr>
      </w:pPr>
      <w:r>
        <w:rPr>
          <w:rFonts w:hint="eastAsia"/>
          <w:lang w:eastAsia="zh-CN"/>
        </w:rPr>
        <w:t>应</w:t>
      </w:r>
      <w:r>
        <w:rPr>
          <w:rFonts w:hint="eastAsia"/>
        </w:rPr>
        <w:t>在一站式服务窗口设立政策咨询服务岗位，接受创新主体的现场咨询。</w:t>
      </w:r>
    </w:p>
    <w:p w14:paraId="42041901">
      <w:pPr>
        <w:pStyle w:val="166"/>
        <w:bidi w:val="0"/>
        <w:rPr>
          <w:rFonts w:hint="eastAsia"/>
        </w:rPr>
      </w:pPr>
      <w:r>
        <w:rPr>
          <w:rFonts w:hint="eastAsia"/>
          <w:lang w:eastAsia="zh-CN"/>
        </w:rPr>
        <w:t>应</w:t>
      </w:r>
      <w:r>
        <w:rPr>
          <w:rFonts w:hint="eastAsia"/>
        </w:rPr>
        <w:t>设立咨询服务热线，通过电话、网络等多种渠道提供政策咨询服务。</w:t>
      </w:r>
    </w:p>
    <w:p w14:paraId="7A6A6A71">
      <w:pPr>
        <w:pStyle w:val="166"/>
        <w:bidi w:val="0"/>
        <w:rPr>
          <w:rFonts w:hint="eastAsia"/>
        </w:rPr>
      </w:pPr>
      <w:r>
        <w:rPr>
          <w:rFonts w:hint="eastAsia"/>
        </w:rPr>
        <w:t>对创新主体提出的政策咨询问题，</w:t>
      </w:r>
      <w:r>
        <w:rPr>
          <w:rFonts w:hint="eastAsia"/>
          <w:lang w:eastAsia="zh-CN"/>
        </w:rPr>
        <w:t>应</w:t>
      </w:r>
      <w:r>
        <w:rPr>
          <w:rFonts w:hint="eastAsia"/>
        </w:rPr>
        <w:t>及时予以答复；对复杂问题可转交相关部门或专家给予专业指导。</w:t>
      </w:r>
    </w:p>
    <w:p w14:paraId="3D77FC91">
      <w:pPr>
        <w:pStyle w:val="166"/>
        <w:bidi w:val="0"/>
        <w:rPr>
          <w:rFonts w:hint="eastAsia"/>
        </w:rPr>
      </w:pPr>
      <w:r>
        <w:rPr>
          <w:rFonts w:hint="eastAsia"/>
          <w:lang w:eastAsia="zh-CN"/>
        </w:rPr>
        <w:t>应</w:t>
      </w:r>
      <w:r>
        <w:rPr>
          <w:rFonts w:hint="eastAsia"/>
        </w:rPr>
        <w:t>做好政策咨询台账记录，对常见问题进行分类汇总，定期更新政策答疑清单。</w:t>
      </w:r>
    </w:p>
    <w:p w14:paraId="5E3FF70C">
      <w:pPr>
        <w:pStyle w:val="67"/>
        <w:bidi w:val="0"/>
        <w:rPr>
          <w:rFonts w:hint="eastAsia"/>
        </w:rPr>
      </w:pPr>
      <w:r>
        <w:rPr>
          <w:rFonts w:hint="eastAsia"/>
        </w:rPr>
        <w:t>政策落实情况跟踪</w:t>
      </w:r>
    </w:p>
    <w:p w14:paraId="39BF060C">
      <w:pPr>
        <w:pStyle w:val="166"/>
        <w:bidi w:val="0"/>
        <w:rPr>
          <w:rFonts w:hint="eastAsia"/>
        </w:rPr>
      </w:pPr>
      <w:r>
        <w:rPr>
          <w:rFonts w:hint="eastAsia"/>
          <w:lang w:eastAsia="zh-CN"/>
        </w:rPr>
        <w:t>应</w:t>
      </w:r>
      <w:r>
        <w:rPr>
          <w:rFonts w:hint="eastAsia"/>
        </w:rPr>
        <w:t>对科技政策的落实效果进行跟踪调研，了解创新主体享受政策过程中的困难和问题。</w:t>
      </w:r>
    </w:p>
    <w:p w14:paraId="68AD4EBA">
      <w:pPr>
        <w:pStyle w:val="166"/>
        <w:bidi w:val="0"/>
        <w:rPr>
          <w:rFonts w:hint="eastAsia"/>
        </w:rPr>
      </w:pPr>
      <w:r>
        <w:rPr>
          <w:rFonts w:hint="eastAsia"/>
          <w:lang w:eastAsia="zh-CN"/>
        </w:rPr>
        <w:t>应</w:t>
      </w:r>
      <w:r>
        <w:rPr>
          <w:rFonts w:hint="eastAsia"/>
        </w:rPr>
        <w:t>及时收集创新主体对政策的意见和建议，梳理后反馈至相关部门。</w:t>
      </w:r>
    </w:p>
    <w:p w14:paraId="455949B4">
      <w:pPr>
        <w:pStyle w:val="107"/>
        <w:bidi w:val="0"/>
        <w:rPr>
          <w:rFonts w:hint="eastAsia"/>
        </w:rPr>
      </w:pPr>
      <w:r>
        <w:rPr>
          <w:rFonts w:hint="eastAsia"/>
        </w:rPr>
        <w:t>创新主体培育</w:t>
      </w:r>
    </w:p>
    <w:p w14:paraId="5F59541A">
      <w:pPr>
        <w:pStyle w:val="67"/>
        <w:bidi w:val="0"/>
        <w:rPr>
          <w:rFonts w:hint="eastAsia"/>
        </w:rPr>
      </w:pPr>
      <w:r>
        <w:rPr>
          <w:rFonts w:hint="eastAsia"/>
        </w:rPr>
        <w:t>创新主体摸排与建档</w:t>
      </w:r>
    </w:p>
    <w:p w14:paraId="7C502FA4">
      <w:pPr>
        <w:pStyle w:val="166"/>
        <w:bidi w:val="0"/>
        <w:rPr>
          <w:rFonts w:hint="eastAsia"/>
        </w:rPr>
      </w:pPr>
      <w:r>
        <w:rPr>
          <w:rFonts w:hint="eastAsia"/>
          <w:lang w:eastAsia="zh-CN"/>
        </w:rPr>
        <w:t>应</w:t>
      </w:r>
      <w:r>
        <w:rPr>
          <w:rFonts w:hint="eastAsia"/>
        </w:rPr>
        <w:t>对</w:t>
      </w:r>
      <w:r>
        <w:rPr>
          <w:rFonts w:hint="eastAsia"/>
          <w:lang w:val="en-US" w:eastAsia="zh-CN"/>
        </w:rPr>
        <w:t>青海省</w:t>
      </w:r>
      <w:r>
        <w:rPr>
          <w:rFonts w:hint="eastAsia"/>
        </w:rPr>
        <w:t>范围内的企业进行摸底调查，了解和掌握企业基本信息、技术领域、研发投入、知识产权、创新需求等情况。</w:t>
      </w:r>
    </w:p>
    <w:p w14:paraId="5DD32AFC">
      <w:pPr>
        <w:pStyle w:val="166"/>
        <w:bidi w:val="0"/>
        <w:rPr>
          <w:rFonts w:hint="eastAsia"/>
        </w:rPr>
      </w:pPr>
      <w:r>
        <w:rPr>
          <w:rFonts w:hint="eastAsia"/>
          <w:lang w:eastAsia="zh-CN"/>
        </w:rPr>
        <w:t>应</w:t>
      </w:r>
      <w:r>
        <w:rPr>
          <w:rFonts w:hint="eastAsia"/>
        </w:rPr>
        <w:t>对科技型中小企业、高新技术企业、专精特新企业等各类创新主体进行分类建档，建立动态更新的创新主体信息库。</w:t>
      </w:r>
    </w:p>
    <w:p w14:paraId="51D10DFF">
      <w:pPr>
        <w:pStyle w:val="67"/>
        <w:bidi w:val="0"/>
        <w:rPr>
          <w:rFonts w:hint="eastAsia"/>
        </w:rPr>
      </w:pPr>
      <w:r>
        <w:rPr>
          <w:rFonts w:hint="eastAsia"/>
        </w:rPr>
        <w:t>科技型中小企业培育</w:t>
      </w:r>
    </w:p>
    <w:p w14:paraId="0F6A5072">
      <w:pPr>
        <w:pStyle w:val="166"/>
        <w:bidi w:val="0"/>
        <w:rPr>
          <w:rFonts w:hint="eastAsia"/>
        </w:rPr>
      </w:pPr>
      <w:r>
        <w:rPr>
          <w:rFonts w:hint="eastAsia"/>
          <w:lang w:eastAsia="zh-CN"/>
        </w:rPr>
        <w:t>应</w:t>
      </w:r>
      <w:r>
        <w:rPr>
          <w:rFonts w:hint="eastAsia"/>
        </w:rPr>
        <w:t>引导符合条件的企业申报国家科技型中小企业评价入库，指导企业完善相关申报材料。</w:t>
      </w:r>
    </w:p>
    <w:p w14:paraId="4A5BEDB5">
      <w:pPr>
        <w:pStyle w:val="166"/>
        <w:bidi w:val="0"/>
        <w:rPr>
          <w:rFonts w:hint="eastAsia"/>
        </w:rPr>
      </w:pPr>
      <w:r>
        <w:rPr>
          <w:rFonts w:hint="eastAsia"/>
          <w:lang w:eastAsia="zh-CN"/>
        </w:rPr>
        <w:t>应</w:t>
      </w:r>
      <w:r>
        <w:rPr>
          <w:rFonts w:hint="eastAsia"/>
        </w:rPr>
        <w:t>对企业进行研发费用归集与会计核算指导，帮助企业规范研发活动管理。</w:t>
      </w:r>
    </w:p>
    <w:p w14:paraId="11A8ABCC">
      <w:pPr>
        <w:pStyle w:val="166"/>
        <w:bidi w:val="0"/>
        <w:rPr>
          <w:rFonts w:hint="eastAsia"/>
        </w:rPr>
      </w:pPr>
      <w:r>
        <w:rPr>
          <w:rFonts w:hint="eastAsia"/>
          <w:lang w:eastAsia="zh-CN"/>
        </w:rPr>
        <w:t>应</w:t>
      </w:r>
      <w:r>
        <w:rPr>
          <w:rFonts w:hint="eastAsia"/>
        </w:rPr>
        <w:t>定期举办科技型中小企业申报培训，解读申报条件和流程。</w:t>
      </w:r>
    </w:p>
    <w:p w14:paraId="46183F8B">
      <w:pPr>
        <w:pStyle w:val="67"/>
        <w:bidi w:val="0"/>
        <w:rPr>
          <w:rFonts w:hint="eastAsia"/>
        </w:rPr>
      </w:pPr>
      <w:r>
        <w:rPr>
          <w:rFonts w:hint="eastAsia"/>
        </w:rPr>
        <w:t>高新技术企业培育</w:t>
      </w:r>
    </w:p>
    <w:p w14:paraId="6DA5B06D">
      <w:pPr>
        <w:pStyle w:val="166"/>
        <w:bidi w:val="0"/>
        <w:rPr>
          <w:rFonts w:hint="eastAsia"/>
        </w:rPr>
      </w:pPr>
      <w:r>
        <w:rPr>
          <w:rFonts w:hint="eastAsia"/>
          <w:lang w:eastAsia="zh-CN"/>
        </w:rPr>
        <w:t>应</w:t>
      </w:r>
      <w:r>
        <w:rPr>
          <w:rFonts w:hint="eastAsia"/>
        </w:rPr>
        <w:t>筛选有潜力的科技型企业，建立高新技术企业培育后备库。</w:t>
      </w:r>
    </w:p>
    <w:p w14:paraId="26C8867D">
      <w:pPr>
        <w:pStyle w:val="166"/>
        <w:bidi w:val="0"/>
        <w:rPr>
          <w:rFonts w:hint="eastAsia"/>
        </w:rPr>
      </w:pPr>
      <w:r>
        <w:rPr>
          <w:rFonts w:hint="eastAsia"/>
          <w:lang w:eastAsia="zh-CN"/>
        </w:rPr>
        <w:t>应</w:t>
      </w:r>
      <w:r>
        <w:rPr>
          <w:rFonts w:hint="eastAsia"/>
        </w:rPr>
        <w:t>针对高新技术企业认定的核心指标（知识产权、科技成果转化能力、研发组织管理水平、企业成长性等）为企业提供诊断分析和提升指导。</w:t>
      </w:r>
    </w:p>
    <w:p w14:paraId="06E0F085">
      <w:pPr>
        <w:pStyle w:val="166"/>
        <w:bidi w:val="0"/>
        <w:rPr>
          <w:rFonts w:hint="eastAsia"/>
        </w:rPr>
      </w:pPr>
      <w:r>
        <w:rPr>
          <w:rFonts w:hint="eastAsia"/>
          <w:lang w:eastAsia="zh-CN"/>
        </w:rPr>
        <w:t>应</w:t>
      </w:r>
      <w:r>
        <w:rPr>
          <w:rFonts w:hint="eastAsia"/>
        </w:rPr>
        <w:t>组织高新技术企业认定申报专题培训，邀请专家对申报材料进行预审和辅导。</w:t>
      </w:r>
    </w:p>
    <w:p w14:paraId="34462F6F">
      <w:pPr>
        <w:pStyle w:val="67"/>
        <w:bidi w:val="0"/>
        <w:rPr>
          <w:rFonts w:hint="eastAsia"/>
        </w:rPr>
      </w:pPr>
      <w:r>
        <w:rPr>
          <w:rFonts w:hint="eastAsia"/>
        </w:rPr>
        <w:t>科技企业孵化与成长辅导</w:t>
      </w:r>
    </w:p>
    <w:p w14:paraId="2E04935E">
      <w:pPr>
        <w:pStyle w:val="166"/>
        <w:bidi w:val="0"/>
        <w:rPr>
          <w:rFonts w:hint="eastAsia"/>
        </w:rPr>
      </w:pPr>
      <w:r>
        <w:rPr>
          <w:rFonts w:hint="eastAsia"/>
          <w:lang w:eastAsia="zh-CN"/>
        </w:rPr>
        <w:t>应</w:t>
      </w:r>
      <w:r>
        <w:rPr>
          <w:rFonts w:hint="eastAsia"/>
        </w:rPr>
        <w:t>依托西宁科技大市场资源优势和入驻的专业科技服务机构，为初创企业提供创业孵化服务。</w:t>
      </w:r>
    </w:p>
    <w:p w14:paraId="1AF00B54">
      <w:pPr>
        <w:pStyle w:val="166"/>
        <w:bidi w:val="0"/>
        <w:rPr>
          <w:rFonts w:hint="eastAsia"/>
        </w:rPr>
      </w:pPr>
      <w:r>
        <w:rPr>
          <w:rFonts w:hint="eastAsia"/>
          <w:lang w:eastAsia="zh-CN"/>
        </w:rPr>
        <w:t>应</w:t>
      </w:r>
      <w:r>
        <w:rPr>
          <w:rFonts w:hint="eastAsia"/>
        </w:rPr>
        <w:t>针对企业发展不同阶段提供差异化服务，包括战略规划指导、商业模式优化、市场拓展对接等。</w:t>
      </w:r>
    </w:p>
    <w:p w14:paraId="2AD5E960">
      <w:pPr>
        <w:pStyle w:val="166"/>
        <w:bidi w:val="0"/>
        <w:rPr>
          <w:rFonts w:hint="eastAsia"/>
        </w:rPr>
      </w:pPr>
      <w:r>
        <w:rPr>
          <w:rFonts w:hint="eastAsia"/>
          <w:lang w:eastAsia="zh-CN"/>
        </w:rPr>
        <w:t>应</w:t>
      </w:r>
      <w:r>
        <w:rPr>
          <w:rFonts w:hint="eastAsia"/>
        </w:rPr>
        <w:t>推动科技服务业企业的发展，帮助科技服务业企业解决经营困难，指导科技服务业规范运营。</w:t>
      </w:r>
    </w:p>
    <w:p w14:paraId="1A4BDCD8">
      <w:pPr>
        <w:pStyle w:val="67"/>
        <w:bidi w:val="0"/>
        <w:rPr>
          <w:rFonts w:hint="eastAsia"/>
        </w:rPr>
      </w:pPr>
      <w:r>
        <w:rPr>
          <w:rFonts w:hint="eastAsia"/>
        </w:rPr>
        <w:t>创新平台与研发机构培育</w:t>
      </w:r>
    </w:p>
    <w:p w14:paraId="3247AD3A">
      <w:pPr>
        <w:pStyle w:val="166"/>
        <w:bidi w:val="0"/>
        <w:rPr>
          <w:rFonts w:hint="eastAsia"/>
        </w:rPr>
      </w:pPr>
      <w:r>
        <w:rPr>
          <w:rFonts w:hint="eastAsia"/>
          <w:lang w:eastAsia="zh-CN"/>
        </w:rPr>
        <w:t>应</w:t>
      </w:r>
      <w:r>
        <w:rPr>
          <w:rFonts w:hint="eastAsia"/>
        </w:rPr>
        <w:t>引导和支持企业建设各类研发机构，如工程技术研究中心、企业技术中心、重点实验室等。</w:t>
      </w:r>
    </w:p>
    <w:p w14:paraId="6F997ACC">
      <w:pPr>
        <w:pStyle w:val="166"/>
        <w:bidi w:val="0"/>
        <w:rPr>
          <w:rFonts w:hint="eastAsia"/>
        </w:rPr>
      </w:pPr>
      <w:r>
        <w:rPr>
          <w:rFonts w:hint="eastAsia"/>
          <w:lang w:eastAsia="zh-CN"/>
        </w:rPr>
        <w:t>应</w:t>
      </w:r>
      <w:r>
        <w:rPr>
          <w:rFonts w:hint="eastAsia"/>
        </w:rPr>
        <w:t>提供企业研发中心、技术创新中心等平台的申报指导服务，包括政策解读、材料准备和申报流程辅导。</w:t>
      </w:r>
    </w:p>
    <w:p w14:paraId="49013B35">
      <w:pPr>
        <w:pStyle w:val="166"/>
        <w:bidi w:val="0"/>
        <w:rPr>
          <w:rFonts w:hint="eastAsia"/>
        </w:rPr>
      </w:pPr>
      <w:r>
        <w:rPr>
          <w:rFonts w:hint="eastAsia"/>
          <w:lang w:eastAsia="zh-CN"/>
        </w:rPr>
        <w:t>应</w:t>
      </w:r>
      <w:r>
        <w:rPr>
          <w:rFonts w:hint="eastAsia"/>
        </w:rPr>
        <w:t>协助企业对接高校、科研院所资源，推动产学研合作平台建设。</w:t>
      </w:r>
    </w:p>
    <w:p w14:paraId="7554309B">
      <w:pPr>
        <w:pStyle w:val="67"/>
        <w:bidi w:val="0"/>
        <w:rPr>
          <w:rFonts w:hint="eastAsia"/>
        </w:rPr>
      </w:pPr>
      <w:r>
        <w:rPr>
          <w:rFonts w:hint="eastAsia"/>
        </w:rPr>
        <w:t>创新人才培育</w:t>
      </w:r>
    </w:p>
    <w:p w14:paraId="54FAE587">
      <w:pPr>
        <w:pStyle w:val="166"/>
        <w:bidi w:val="0"/>
        <w:rPr>
          <w:rFonts w:hint="eastAsia"/>
        </w:rPr>
      </w:pPr>
      <w:r>
        <w:rPr>
          <w:rFonts w:hint="eastAsia"/>
          <w:lang w:eastAsia="zh-CN"/>
        </w:rPr>
        <w:t>应</w:t>
      </w:r>
      <w:r>
        <w:rPr>
          <w:rFonts w:hint="eastAsia"/>
        </w:rPr>
        <w:t>开展科技人才培养培训工作，举办产业发展前沿、技术创新热点、创新人才培养等专题培训。</w:t>
      </w:r>
    </w:p>
    <w:p w14:paraId="55B8AD61">
      <w:pPr>
        <w:pStyle w:val="166"/>
        <w:bidi w:val="0"/>
        <w:rPr>
          <w:rFonts w:hint="eastAsia"/>
        </w:rPr>
      </w:pPr>
      <w:r>
        <w:rPr>
          <w:rFonts w:hint="eastAsia"/>
          <w:lang w:eastAsia="zh-CN"/>
        </w:rPr>
        <w:t>应</w:t>
      </w:r>
      <w:r>
        <w:rPr>
          <w:rFonts w:hint="eastAsia"/>
        </w:rPr>
        <w:t>协助企业对接和引进高层次人才，选派企业专员深入企业开展技术需求分析和研发指导。</w:t>
      </w:r>
    </w:p>
    <w:p w14:paraId="7077E733">
      <w:pPr>
        <w:pStyle w:val="166"/>
        <w:bidi w:val="0"/>
        <w:rPr>
          <w:rFonts w:hint="eastAsia"/>
        </w:rPr>
      </w:pPr>
      <w:r>
        <w:rPr>
          <w:rFonts w:hint="eastAsia"/>
          <w:lang w:eastAsia="zh-CN"/>
        </w:rPr>
        <w:t>应</w:t>
      </w:r>
      <w:r>
        <w:rPr>
          <w:rFonts w:hint="eastAsia"/>
        </w:rPr>
        <w:t>推进科研助理工作，协助企业提升科研项目管理水平。</w:t>
      </w:r>
    </w:p>
    <w:p w14:paraId="12943FF9">
      <w:pPr>
        <w:pStyle w:val="67"/>
        <w:bidi w:val="0"/>
        <w:rPr>
          <w:rFonts w:hint="eastAsia"/>
        </w:rPr>
      </w:pPr>
      <w:r>
        <w:rPr>
          <w:rFonts w:hint="eastAsia"/>
        </w:rPr>
        <w:t>培育效果跟踪</w:t>
      </w:r>
    </w:p>
    <w:p w14:paraId="1A3ED536">
      <w:pPr>
        <w:pStyle w:val="166"/>
        <w:bidi w:val="0"/>
        <w:rPr>
          <w:rFonts w:hint="eastAsia"/>
        </w:rPr>
      </w:pPr>
      <w:r>
        <w:rPr>
          <w:rFonts w:hint="eastAsia"/>
          <w:lang w:eastAsia="zh-CN"/>
        </w:rPr>
        <w:t>应</w:t>
      </w:r>
      <w:r>
        <w:rPr>
          <w:rFonts w:hint="eastAsia"/>
        </w:rPr>
        <w:t>对纳入培育体系的创新主体进行动态跟踪，定期评估培育效果。</w:t>
      </w:r>
    </w:p>
    <w:p w14:paraId="0B58DB8E">
      <w:pPr>
        <w:pStyle w:val="166"/>
        <w:bidi w:val="0"/>
        <w:rPr>
          <w:rFonts w:hint="eastAsia"/>
        </w:rPr>
      </w:pPr>
      <w:r>
        <w:rPr>
          <w:rFonts w:hint="eastAsia"/>
          <w:lang w:eastAsia="zh-CN"/>
        </w:rPr>
        <w:t>应</w:t>
      </w:r>
      <w:r>
        <w:rPr>
          <w:rFonts w:hint="eastAsia"/>
        </w:rPr>
        <w:t>根据企业成长情况及时调整培育方案和服务内容，确保培育工作的针对性和有效性。</w:t>
      </w:r>
    </w:p>
    <w:p w14:paraId="685BD810">
      <w:pPr>
        <w:pStyle w:val="107"/>
        <w:bidi w:val="0"/>
        <w:rPr>
          <w:rFonts w:hint="eastAsia"/>
        </w:rPr>
      </w:pPr>
      <w:r>
        <w:rPr>
          <w:rFonts w:hint="eastAsia"/>
        </w:rPr>
        <w:t>需求征集</w:t>
      </w:r>
    </w:p>
    <w:p w14:paraId="681C1931">
      <w:pPr>
        <w:pStyle w:val="67"/>
        <w:bidi w:val="0"/>
        <w:rPr>
          <w:rFonts w:hint="eastAsia"/>
        </w:rPr>
      </w:pPr>
      <w:r>
        <w:rPr>
          <w:rFonts w:hint="eastAsia"/>
        </w:rPr>
        <w:t>需求征集方式</w:t>
      </w:r>
    </w:p>
    <w:p w14:paraId="6373A36E">
      <w:pPr>
        <w:pStyle w:val="58"/>
        <w:bidi w:val="0"/>
        <w:rPr>
          <w:rFonts w:hint="eastAsia"/>
        </w:rPr>
      </w:pPr>
      <w:r>
        <w:rPr>
          <w:rFonts w:hint="eastAsia"/>
          <w:lang w:eastAsia="zh-CN"/>
        </w:rPr>
        <w:t>应</w:t>
      </w:r>
      <w:r>
        <w:rPr>
          <w:rFonts w:hint="eastAsia"/>
        </w:rPr>
        <w:t>采取多种方式开展企业需求征集，包括但不限于：</w:t>
      </w:r>
    </w:p>
    <w:p w14:paraId="3140D452">
      <w:pPr>
        <w:pStyle w:val="176"/>
        <w:numPr>
          <w:ilvl w:val="0"/>
          <w:numId w:val="32"/>
        </w:numPr>
        <w:bidi w:val="0"/>
        <w:ind w:left="851" w:leftChars="0" w:hanging="426" w:firstLineChars="0"/>
        <w:rPr>
          <w:rFonts w:hint="eastAsia"/>
        </w:rPr>
      </w:pPr>
      <w:r>
        <w:rPr>
          <w:rFonts w:hint="eastAsia"/>
        </w:rPr>
        <w:t>通过西宁科技大市场一站式服务窗口现场征集；</w:t>
      </w:r>
    </w:p>
    <w:p w14:paraId="1FBCDC29">
      <w:pPr>
        <w:pStyle w:val="176"/>
        <w:numPr>
          <w:ilvl w:val="0"/>
          <w:numId w:val="32"/>
        </w:numPr>
        <w:bidi w:val="0"/>
        <w:ind w:left="851" w:leftChars="0" w:hanging="426" w:firstLineChars="0"/>
        <w:rPr>
          <w:rFonts w:hint="eastAsia"/>
        </w:rPr>
      </w:pPr>
      <w:r>
        <w:rPr>
          <w:rFonts w:hint="eastAsia"/>
        </w:rPr>
        <w:t>通过科技项目网络管理系统线上征集；</w:t>
      </w:r>
    </w:p>
    <w:p w14:paraId="66313689">
      <w:pPr>
        <w:pStyle w:val="176"/>
        <w:numPr>
          <w:ilvl w:val="0"/>
          <w:numId w:val="32"/>
        </w:numPr>
        <w:bidi w:val="0"/>
        <w:ind w:left="851" w:leftChars="0" w:hanging="426" w:firstLineChars="0"/>
        <w:rPr>
          <w:rFonts w:hint="eastAsia"/>
        </w:rPr>
      </w:pPr>
      <w:r>
        <w:rPr>
          <w:rFonts w:hint="eastAsia"/>
        </w:rPr>
        <w:t>组织服务团队深入企业实地走访征集；</w:t>
      </w:r>
    </w:p>
    <w:p w14:paraId="103BD840">
      <w:pPr>
        <w:pStyle w:val="176"/>
        <w:numPr>
          <w:ilvl w:val="0"/>
          <w:numId w:val="32"/>
        </w:numPr>
        <w:bidi w:val="0"/>
        <w:ind w:left="851" w:leftChars="0" w:hanging="426" w:firstLineChars="0"/>
        <w:rPr>
          <w:rFonts w:hint="eastAsia"/>
        </w:rPr>
      </w:pPr>
      <w:r>
        <w:rPr>
          <w:rFonts w:hint="eastAsia"/>
        </w:rPr>
        <w:t>召开需求对接座谈会或专题调研会征集；</w:t>
      </w:r>
    </w:p>
    <w:p w14:paraId="42CB40B2">
      <w:pPr>
        <w:pStyle w:val="176"/>
        <w:numPr>
          <w:ilvl w:val="0"/>
          <w:numId w:val="32"/>
        </w:numPr>
        <w:bidi w:val="0"/>
        <w:ind w:left="851" w:leftChars="0" w:hanging="426" w:firstLineChars="0"/>
        <w:rPr>
          <w:rFonts w:hint="eastAsia"/>
        </w:rPr>
      </w:pPr>
      <w:r>
        <w:rPr>
          <w:rFonts w:hint="eastAsia"/>
        </w:rPr>
        <w:t>通过电话、邮件等渠道接受创新主体自主申报；</w:t>
      </w:r>
    </w:p>
    <w:p w14:paraId="238A687E">
      <w:pPr>
        <w:pStyle w:val="176"/>
        <w:numPr>
          <w:ilvl w:val="0"/>
          <w:numId w:val="32"/>
        </w:numPr>
        <w:bidi w:val="0"/>
        <w:ind w:left="851" w:leftChars="0" w:hanging="426" w:firstLineChars="0"/>
        <w:rPr>
          <w:rFonts w:hint="eastAsia"/>
        </w:rPr>
      </w:pPr>
      <w:r>
        <w:rPr>
          <w:rFonts w:hint="eastAsia"/>
        </w:rPr>
        <w:t>依托高原科创场景清单发布机制，主动挖掘场景需求。</w:t>
      </w:r>
    </w:p>
    <w:p w14:paraId="06632738">
      <w:pPr>
        <w:pStyle w:val="67"/>
        <w:bidi w:val="0"/>
        <w:rPr>
          <w:rFonts w:hint="eastAsia"/>
        </w:rPr>
      </w:pPr>
      <w:r>
        <w:rPr>
          <w:rFonts w:hint="eastAsia"/>
        </w:rPr>
        <w:t>需求类型分类</w:t>
      </w:r>
    </w:p>
    <w:p w14:paraId="64582933">
      <w:pPr>
        <w:pStyle w:val="58"/>
        <w:bidi w:val="0"/>
        <w:rPr>
          <w:rFonts w:hint="eastAsia"/>
        </w:rPr>
      </w:pPr>
      <w:r>
        <w:rPr>
          <w:rFonts w:hint="eastAsia"/>
        </w:rPr>
        <w:t>企业需求按照内容分为以下类别：</w:t>
      </w:r>
    </w:p>
    <w:p w14:paraId="61CF3C12">
      <w:pPr>
        <w:pStyle w:val="176"/>
        <w:numPr>
          <w:ilvl w:val="0"/>
          <w:numId w:val="33"/>
        </w:numPr>
        <w:bidi w:val="0"/>
        <w:ind w:left="851" w:leftChars="0" w:hanging="426" w:firstLineChars="0"/>
        <w:rPr>
          <w:rFonts w:hint="eastAsia"/>
        </w:rPr>
      </w:pPr>
      <w:r>
        <w:rPr>
          <w:rFonts w:hint="eastAsia"/>
        </w:rPr>
        <w:t>技术需求：包括</w:t>
      </w:r>
      <w:r>
        <w:rPr>
          <w:rFonts w:hint="eastAsia"/>
          <w:lang w:eastAsia="zh-CN"/>
        </w:rPr>
        <w:t>项目申报、</w:t>
      </w:r>
      <w:bookmarkStart w:id="46" w:name="_GoBack"/>
      <w:bookmarkEnd w:id="46"/>
      <w:r>
        <w:rPr>
          <w:rFonts w:hint="eastAsia"/>
        </w:rPr>
        <w:t>技术攻关、工艺改进、产品研发、检验检测等方面的需求；</w:t>
      </w:r>
    </w:p>
    <w:p w14:paraId="0E2997F2">
      <w:pPr>
        <w:pStyle w:val="176"/>
        <w:numPr>
          <w:ilvl w:val="0"/>
          <w:numId w:val="33"/>
        </w:numPr>
        <w:bidi w:val="0"/>
        <w:ind w:left="851" w:leftChars="0" w:hanging="426" w:firstLineChars="0"/>
        <w:rPr>
          <w:rFonts w:hint="eastAsia"/>
        </w:rPr>
      </w:pPr>
      <w:r>
        <w:rPr>
          <w:rFonts w:hint="eastAsia"/>
        </w:rPr>
        <w:t>人才需求：包括人才引进、人才培养、专家咨询等方面的需求；</w:t>
      </w:r>
    </w:p>
    <w:p w14:paraId="500DFF63">
      <w:pPr>
        <w:pStyle w:val="176"/>
        <w:numPr>
          <w:ilvl w:val="0"/>
          <w:numId w:val="33"/>
        </w:numPr>
        <w:bidi w:val="0"/>
        <w:ind w:left="851" w:leftChars="0" w:hanging="426" w:firstLineChars="0"/>
        <w:rPr>
          <w:rFonts w:hint="eastAsia"/>
        </w:rPr>
      </w:pPr>
      <w:r>
        <w:rPr>
          <w:rFonts w:hint="eastAsia"/>
        </w:rPr>
        <w:t>资金需求：包括科技金融对接等方面的需求；</w:t>
      </w:r>
    </w:p>
    <w:p w14:paraId="19D38EA7">
      <w:pPr>
        <w:pStyle w:val="176"/>
        <w:numPr>
          <w:ilvl w:val="0"/>
          <w:numId w:val="33"/>
        </w:numPr>
        <w:bidi w:val="0"/>
        <w:ind w:left="851" w:leftChars="0" w:hanging="426" w:firstLineChars="0"/>
        <w:rPr>
          <w:rFonts w:hint="eastAsia"/>
        </w:rPr>
      </w:pPr>
      <w:r>
        <w:rPr>
          <w:rFonts w:hint="eastAsia"/>
        </w:rPr>
        <w:t>成果转化需求：包括技术引进、成果转化、专利应用等方面的需求；</w:t>
      </w:r>
    </w:p>
    <w:p w14:paraId="3A8843A1">
      <w:pPr>
        <w:pStyle w:val="176"/>
        <w:numPr>
          <w:ilvl w:val="0"/>
          <w:numId w:val="33"/>
        </w:numPr>
        <w:bidi w:val="0"/>
        <w:ind w:left="851" w:leftChars="0" w:hanging="426" w:firstLineChars="0"/>
        <w:rPr>
          <w:rFonts w:hint="eastAsia"/>
        </w:rPr>
      </w:pPr>
      <w:r>
        <w:rPr>
          <w:rFonts w:hint="eastAsia"/>
        </w:rPr>
        <w:t>知识产权需求：包括专利申请、专利布局、知识产权保护等方面的需求；</w:t>
      </w:r>
    </w:p>
    <w:p w14:paraId="14A42E46">
      <w:pPr>
        <w:pStyle w:val="176"/>
        <w:numPr>
          <w:ilvl w:val="0"/>
          <w:numId w:val="33"/>
        </w:numPr>
        <w:bidi w:val="0"/>
        <w:ind w:left="851" w:leftChars="0" w:hanging="426" w:firstLineChars="0"/>
        <w:rPr>
          <w:rFonts w:hint="eastAsia"/>
        </w:rPr>
      </w:pPr>
      <w:r>
        <w:rPr>
          <w:rFonts w:hint="eastAsia"/>
        </w:rPr>
        <w:t>其他创新服务需求。</w:t>
      </w:r>
    </w:p>
    <w:p w14:paraId="55FC3A3E">
      <w:pPr>
        <w:pStyle w:val="67"/>
        <w:bidi w:val="0"/>
        <w:rPr>
          <w:rFonts w:hint="eastAsia"/>
        </w:rPr>
      </w:pPr>
      <w:r>
        <w:rPr>
          <w:rFonts w:hint="eastAsia"/>
        </w:rPr>
        <w:t>需求记录与台账管理</w:t>
      </w:r>
    </w:p>
    <w:p w14:paraId="4C7A9157">
      <w:pPr>
        <w:pStyle w:val="166"/>
        <w:bidi w:val="0"/>
        <w:rPr>
          <w:rFonts w:hint="eastAsia"/>
        </w:rPr>
      </w:pPr>
      <w:r>
        <w:rPr>
          <w:rFonts w:hint="eastAsia"/>
          <w:lang w:eastAsia="zh-CN"/>
        </w:rPr>
        <w:t>应</w:t>
      </w:r>
      <w:r>
        <w:rPr>
          <w:rFonts w:hint="eastAsia"/>
        </w:rPr>
        <w:t>建立企业需求台账，对征集到的各类需求进行分类登记，详细记录企业名称、联系方式、需求内容、需求来源、征集时间等信息。</w:t>
      </w:r>
    </w:p>
    <w:p w14:paraId="2CE05397">
      <w:pPr>
        <w:pStyle w:val="166"/>
        <w:bidi w:val="0"/>
        <w:rPr>
          <w:rFonts w:hint="eastAsia"/>
        </w:rPr>
      </w:pPr>
      <w:r>
        <w:rPr>
          <w:rFonts w:hint="eastAsia"/>
          <w:lang w:eastAsia="zh-CN"/>
        </w:rPr>
        <w:t>应</w:t>
      </w:r>
      <w:r>
        <w:rPr>
          <w:rFonts w:hint="eastAsia"/>
        </w:rPr>
        <w:t>对需求信息进行统一编码，实现需求的电子化管理。</w:t>
      </w:r>
    </w:p>
    <w:p w14:paraId="0FAFF557">
      <w:pPr>
        <w:pStyle w:val="166"/>
        <w:bidi w:val="0"/>
        <w:rPr>
          <w:rFonts w:hint="eastAsia"/>
        </w:rPr>
      </w:pPr>
      <w:r>
        <w:rPr>
          <w:rFonts w:hint="eastAsia"/>
          <w:lang w:eastAsia="zh-CN"/>
        </w:rPr>
        <w:t>应</w:t>
      </w:r>
      <w:r>
        <w:rPr>
          <w:rFonts w:hint="eastAsia"/>
        </w:rPr>
        <w:t>做好需求信息的保密管理工作，未经企业同意不得泄露需求相关信息。</w:t>
      </w:r>
    </w:p>
    <w:p w14:paraId="5941A27C">
      <w:pPr>
        <w:pStyle w:val="67"/>
        <w:bidi w:val="0"/>
        <w:rPr>
          <w:rFonts w:hint="eastAsia"/>
        </w:rPr>
      </w:pPr>
      <w:r>
        <w:rPr>
          <w:rFonts w:hint="eastAsia"/>
        </w:rPr>
        <w:t>需求筛选与分析</w:t>
      </w:r>
    </w:p>
    <w:p w14:paraId="7B2BF070">
      <w:pPr>
        <w:pStyle w:val="166"/>
        <w:bidi w:val="0"/>
        <w:rPr>
          <w:rFonts w:hint="eastAsia"/>
        </w:rPr>
      </w:pPr>
      <w:r>
        <w:rPr>
          <w:rFonts w:hint="eastAsia"/>
          <w:lang w:eastAsia="zh-CN"/>
        </w:rPr>
        <w:t>应</w:t>
      </w:r>
      <w:r>
        <w:rPr>
          <w:rFonts w:hint="eastAsia"/>
        </w:rPr>
        <w:t>对征集到的需求进行初步筛选，剔除已解决的问题或不符合服务范围的需求。</w:t>
      </w:r>
    </w:p>
    <w:p w14:paraId="58612499">
      <w:pPr>
        <w:pStyle w:val="166"/>
        <w:bidi w:val="0"/>
        <w:rPr>
          <w:rFonts w:hint="eastAsia"/>
        </w:rPr>
      </w:pPr>
      <w:r>
        <w:rPr>
          <w:rFonts w:hint="eastAsia"/>
          <w:lang w:eastAsia="zh-CN"/>
        </w:rPr>
        <w:t>应</w:t>
      </w:r>
      <w:r>
        <w:rPr>
          <w:rFonts w:hint="eastAsia"/>
        </w:rPr>
        <w:t>对有效需求进行分析评估，判断需求的合理性、紧迫性和可行性。</w:t>
      </w:r>
    </w:p>
    <w:p w14:paraId="6C8638C0">
      <w:pPr>
        <w:pStyle w:val="166"/>
        <w:bidi w:val="0"/>
        <w:rPr>
          <w:rFonts w:hint="eastAsia"/>
        </w:rPr>
      </w:pPr>
      <w:r>
        <w:rPr>
          <w:rFonts w:hint="eastAsia"/>
          <w:lang w:eastAsia="zh-CN"/>
        </w:rPr>
        <w:t>应</w:t>
      </w:r>
      <w:r>
        <w:rPr>
          <w:rFonts w:hint="eastAsia"/>
        </w:rPr>
        <w:t>对需求进行分类汇总和统计分析，定期形成需求分析报告，作为服务优化和政策制定的参考依据。</w:t>
      </w:r>
    </w:p>
    <w:p w14:paraId="1B6460E4">
      <w:pPr>
        <w:pStyle w:val="67"/>
        <w:bidi w:val="0"/>
        <w:rPr>
          <w:rFonts w:hint="eastAsia"/>
        </w:rPr>
      </w:pPr>
      <w:r>
        <w:rPr>
          <w:rFonts w:hint="eastAsia"/>
        </w:rPr>
        <w:t>需求对接与解决</w:t>
      </w:r>
    </w:p>
    <w:p w14:paraId="77547B31">
      <w:pPr>
        <w:pStyle w:val="166"/>
        <w:bidi w:val="0"/>
        <w:rPr>
          <w:rFonts w:hint="eastAsia"/>
        </w:rPr>
      </w:pPr>
      <w:r>
        <w:rPr>
          <w:rFonts w:hint="eastAsia"/>
          <w:lang w:eastAsia="zh-CN"/>
        </w:rPr>
        <w:t>应</w:t>
      </w:r>
      <w:r>
        <w:rPr>
          <w:rFonts w:hint="eastAsia"/>
        </w:rPr>
        <w:t>通过清单制管理，对梳理出的企业需求建立工作台账，明确责任部门和解决时限，实行闭环管理。</w:t>
      </w:r>
    </w:p>
    <w:p w14:paraId="0B84F20B">
      <w:pPr>
        <w:pStyle w:val="166"/>
        <w:bidi w:val="0"/>
        <w:rPr>
          <w:rFonts w:hint="eastAsia"/>
        </w:rPr>
      </w:pPr>
      <w:r>
        <w:rPr>
          <w:rFonts w:hint="eastAsia"/>
          <w:lang w:eastAsia="zh-CN"/>
        </w:rPr>
        <w:t>应</w:t>
      </w:r>
      <w:r>
        <w:rPr>
          <w:rFonts w:hint="eastAsia"/>
        </w:rPr>
        <w:t>依托西宁科技大市场引进的专业科技服务机构资源，精准匹配企业的技术需求和服务需求。</w:t>
      </w:r>
    </w:p>
    <w:p w14:paraId="48963559">
      <w:pPr>
        <w:pStyle w:val="166"/>
        <w:bidi w:val="0"/>
        <w:rPr>
          <w:rFonts w:hint="eastAsia"/>
        </w:rPr>
      </w:pPr>
      <w:r>
        <w:rPr>
          <w:rFonts w:hint="eastAsia"/>
          <w:lang w:eastAsia="zh-CN"/>
        </w:rPr>
        <w:t>应</w:t>
      </w:r>
      <w:r>
        <w:rPr>
          <w:rFonts w:hint="eastAsia"/>
        </w:rPr>
        <w:t>通过科技成果转移转化对接会、技术需求推介会等方式，组织企业与高校院所、科研机构、金融机构开展对接。</w:t>
      </w:r>
    </w:p>
    <w:p w14:paraId="1AE0D67F">
      <w:pPr>
        <w:pStyle w:val="166"/>
        <w:bidi w:val="0"/>
        <w:rPr>
          <w:rFonts w:hint="eastAsia"/>
        </w:rPr>
      </w:pPr>
      <w:r>
        <w:rPr>
          <w:rFonts w:hint="eastAsia"/>
          <w:lang w:eastAsia="zh-CN"/>
        </w:rPr>
        <w:t>应</w:t>
      </w:r>
      <w:r>
        <w:rPr>
          <w:rFonts w:hint="eastAsia"/>
        </w:rPr>
        <w:t>积极运用大数据技术，探索“需求牵引—数据驱动—精准匹配”的智慧服务新模式，提升需求对接的精准度和效率。</w:t>
      </w:r>
    </w:p>
    <w:p w14:paraId="18C54BDB">
      <w:pPr>
        <w:pStyle w:val="67"/>
        <w:bidi w:val="0"/>
        <w:rPr>
          <w:rFonts w:hint="eastAsia"/>
        </w:rPr>
      </w:pPr>
      <w:r>
        <w:rPr>
          <w:rFonts w:hint="eastAsia"/>
        </w:rPr>
        <w:t>需求反馈与跟踪</w:t>
      </w:r>
    </w:p>
    <w:p w14:paraId="6333B045">
      <w:pPr>
        <w:pStyle w:val="166"/>
        <w:bidi w:val="0"/>
        <w:rPr>
          <w:rFonts w:hint="eastAsia"/>
        </w:rPr>
      </w:pPr>
      <w:r>
        <w:rPr>
          <w:rFonts w:hint="eastAsia"/>
          <w:lang w:eastAsia="zh-CN"/>
        </w:rPr>
        <w:t>应</w:t>
      </w:r>
      <w:r>
        <w:rPr>
          <w:rFonts w:hint="eastAsia"/>
        </w:rPr>
        <w:t>及时向需求提供企业反馈需求处理进度和结果。</w:t>
      </w:r>
    </w:p>
    <w:p w14:paraId="117DCA22">
      <w:pPr>
        <w:pStyle w:val="166"/>
        <w:bidi w:val="0"/>
        <w:rPr>
          <w:rFonts w:hint="eastAsia"/>
        </w:rPr>
      </w:pPr>
      <w:r>
        <w:rPr>
          <w:rFonts w:hint="eastAsia"/>
          <w:lang w:eastAsia="zh-CN"/>
        </w:rPr>
        <w:t>应</w:t>
      </w:r>
      <w:r>
        <w:rPr>
          <w:rFonts w:hint="eastAsia"/>
        </w:rPr>
        <w:t>对已解决的需求进行满意度回访，了解服务效果。</w:t>
      </w:r>
    </w:p>
    <w:p w14:paraId="4AB9DA2A">
      <w:pPr>
        <w:pStyle w:val="166"/>
        <w:bidi w:val="0"/>
      </w:pPr>
      <w:r>
        <w:rPr>
          <w:rFonts w:hint="eastAsia"/>
          <w:lang w:eastAsia="zh-CN"/>
        </w:rPr>
        <w:t>应</w:t>
      </w:r>
      <w:r>
        <w:rPr>
          <w:rFonts w:hint="eastAsia"/>
        </w:rPr>
        <w:t>对未解决或暂未满足的需求保持持续跟踪，条件成熟时继续推动解决。</w:t>
      </w:r>
    </w:p>
    <w:p w14:paraId="2B3A44FC">
      <w:pPr>
        <w:pStyle w:val="167"/>
        <w:bidi w:val="0"/>
        <w:rPr>
          <w:color w:val="auto"/>
        </w:rPr>
      </w:pPr>
    </w:p>
    <w:p w14:paraId="166AFC81">
      <w:pPr>
        <w:pStyle w:val="106"/>
        <w:bidi w:val="0"/>
        <w:rPr>
          <w:color w:val="auto"/>
        </w:rPr>
      </w:pPr>
      <w:r>
        <w:rPr>
          <w:color w:val="auto"/>
        </w:rPr>
        <w:t>服务要求</w:t>
      </w:r>
    </w:p>
    <w:p w14:paraId="2F0B3C7A">
      <w:pPr>
        <w:pStyle w:val="107"/>
        <w:bidi w:val="0"/>
        <w:rPr>
          <w:color w:val="auto"/>
        </w:rPr>
      </w:pPr>
      <w:r>
        <w:rPr>
          <w:color w:val="auto"/>
        </w:rPr>
        <w:t>人员与频次要求</w:t>
      </w:r>
    </w:p>
    <w:p w14:paraId="6FA5DC95">
      <w:pPr>
        <w:pStyle w:val="167"/>
        <w:bidi w:val="0"/>
        <w:rPr>
          <w:rFonts w:hint="eastAsia"/>
          <w:color w:val="auto"/>
          <w:lang w:val="en-US" w:eastAsia="zh-CN"/>
        </w:rPr>
      </w:pPr>
      <w:r>
        <w:rPr>
          <w:color w:val="auto"/>
          <w:lang w:val="en-US" w:eastAsia="zh-CN"/>
        </w:rPr>
        <w:t>服务人员</w:t>
      </w:r>
      <w:r>
        <w:rPr>
          <w:rFonts w:hint="eastAsia"/>
          <w:color w:val="auto"/>
          <w:lang w:val="en-US" w:eastAsia="zh-CN"/>
        </w:rPr>
        <w:t>应熟悉主要产业发展以及高新技术企业管理、科技企业孵化器等创新创业政策；应定期归纳、分析企业发展状况，制订或调整相应的管理制度</w:t>
      </w:r>
      <w:r>
        <w:rPr>
          <w:color w:val="auto"/>
          <w:lang w:val="en-US" w:eastAsia="zh-CN"/>
        </w:rPr>
        <w:t>，固定包保责任区域</w:t>
      </w:r>
      <w:r>
        <w:rPr>
          <w:rFonts w:hint="eastAsia"/>
          <w:color w:val="auto"/>
          <w:lang w:val="en-US" w:eastAsia="zh-CN"/>
        </w:rPr>
        <w:t>。</w:t>
      </w:r>
    </w:p>
    <w:p w14:paraId="21924A6E">
      <w:pPr>
        <w:pStyle w:val="167"/>
        <w:bidi w:val="0"/>
        <w:rPr>
          <w:color w:val="auto"/>
          <w:lang w:val="en-US" w:eastAsia="zh-CN"/>
        </w:rPr>
      </w:pPr>
      <w:r>
        <w:rPr>
          <w:color w:val="auto"/>
          <w:lang w:val="en-US" w:eastAsia="zh-CN"/>
        </w:rPr>
        <w:t>各责任部室每周入企服务</w:t>
      </w:r>
      <w:r>
        <w:rPr>
          <w:rFonts w:hint="eastAsia"/>
          <w:color w:val="auto"/>
          <w:lang w:val="en-US" w:eastAsia="zh-CN"/>
        </w:rPr>
        <w:t>应不少于1次</w:t>
      </w:r>
      <w:r>
        <w:rPr>
          <w:color w:val="auto"/>
          <w:lang w:val="en-US" w:eastAsia="zh-CN"/>
        </w:rPr>
        <w:t>。</w:t>
      </w:r>
    </w:p>
    <w:p w14:paraId="53606B59">
      <w:pPr>
        <w:pStyle w:val="167"/>
        <w:bidi w:val="0"/>
        <w:rPr>
          <w:color w:val="auto"/>
        </w:rPr>
      </w:pPr>
      <w:r>
        <w:rPr>
          <w:color w:val="auto"/>
          <w:lang w:val="en-US" w:eastAsia="zh-CN"/>
        </w:rPr>
        <w:t>重大事项可开展集中服务、专项服务。</w:t>
      </w:r>
    </w:p>
    <w:p w14:paraId="14EF779F">
      <w:pPr>
        <w:pStyle w:val="107"/>
        <w:bidi w:val="0"/>
        <w:rPr>
          <w:color w:val="auto"/>
        </w:rPr>
      </w:pPr>
      <w:r>
        <w:rPr>
          <w:color w:val="auto"/>
        </w:rPr>
        <w:t>服务效率要求</w:t>
      </w:r>
    </w:p>
    <w:p w14:paraId="3938BFC8">
      <w:pPr>
        <w:pStyle w:val="58"/>
        <w:bidi w:val="0"/>
        <w:rPr>
          <w:color w:val="auto"/>
          <w:lang w:val="en-US" w:eastAsia="zh-CN"/>
        </w:rPr>
      </w:pPr>
      <w:r>
        <w:rPr>
          <w:rFonts w:hint="eastAsia"/>
          <w:color w:val="auto"/>
          <w:lang w:val="en-US" w:eastAsia="zh-CN"/>
        </w:rPr>
        <w:t>应建立企业档案，跟踪、提供针对性的科技服务和管理，并对过程中出现的问题及时协调解决。</w:t>
      </w:r>
    </w:p>
    <w:p w14:paraId="6FEA65D3">
      <w:pPr>
        <w:pStyle w:val="106"/>
        <w:bidi w:val="0"/>
        <w:rPr>
          <w:color w:val="auto"/>
        </w:rPr>
      </w:pPr>
      <w:r>
        <w:rPr>
          <w:color w:val="auto"/>
        </w:rPr>
        <w:t>保障措施</w:t>
      </w:r>
    </w:p>
    <w:p w14:paraId="75B06BBA">
      <w:pPr>
        <w:pStyle w:val="107"/>
        <w:bidi w:val="0"/>
        <w:rPr>
          <w:color w:val="auto"/>
        </w:rPr>
      </w:pPr>
      <w:r>
        <w:rPr>
          <w:color w:val="auto"/>
        </w:rPr>
        <w:t>组织保障</w:t>
      </w:r>
    </w:p>
    <w:p w14:paraId="6F489897">
      <w:pPr>
        <w:pStyle w:val="167"/>
        <w:bidi w:val="0"/>
        <w:rPr>
          <w:color w:val="auto"/>
          <w:lang w:val="en-US" w:eastAsia="zh-CN"/>
        </w:rPr>
      </w:pPr>
      <w:r>
        <w:rPr>
          <w:color w:val="auto"/>
          <w:lang w:val="en-US" w:eastAsia="zh-CN"/>
        </w:rPr>
        <w:t>设立总负责人、责任领导，统筹推进包保服务工作。</w:t>
      </w:r>
    </w:p>
    <w:p w14:paraId="723DB117">
      <w:pPr>
        <w:pStyle w:val="167"/>
        <w:bidi w:val="0"/>
        <w:rPr>
          <w:color w:val="auto"/>
        </w:rPr>
      </w:pPr>
      <w:r>
        <w:rPr>
          <w:color w:val="auto"/>
          <w:lang w:val="en-US" w:eastAsia="zh-CN"/>
        </w:rPr>
        <w:t>将服务企业满意度、问题解决率纳入部室及个人年度考核。</w:t>
      </w:r>
    </w:p>
    <w:p w14:paraId="1AD3605D">
      <w:pPr>
        <w:pStyle w:val="107"/>
        <w:bidi w:val="0"/>
        <w:rPr>
          <w:color w:val="auto"/>
        </w:rPr>
      </w:pPr>
      <w:r>
        <w:rPr>
          <w:color w:val="auto"/>
        </w:rPr>
        <w:t>联动保障</w:t>
      </w:r>
    </w:p>
    <w:p w14:paraId="17A28F64">
      <w:pPr>
        <w:pStyle w:val="167"/>
        <w:bidi w:val="0"/>
        <w:rPr>
          <w:color w:val="auto"/>
          <w:lang w:val="en-US" w:eastAsia="zh-CN"/>
        </w:rPr>
      </w:pPr>
      <w:r>
        <w:rPr>
          <w:color w:val="auto"/>
          <w:lang w:val="en-US" w:eastAsia="zh-CN"/>
        </w:rPr>
        <w:t>建立市县（区）、园区科技管理部门协调联动机制。</w:t>
      </w:r>
    </w:p>
    <w:p w14:paraId="6FDA4861">
      <w:pPr>
        <w:pStyle w:val="167"/>
        <w:bidi w:val="0"/>
        <w:rPr>
          <w:color w:val="auto"/>
        </w:rPr>
      </w:pPr>
      <w:r>
        <w:rPr>
          <w:color w:val="auto"/>
          <w:lang w:val="en-US" w:eastAsia="zh-CN"/>
        </w:rPr>
        <w:t>定期召开工作对接会议，明确服务重点，整合资源力量。</w:t>
      </w:r>
    </w:p>
    <w:p w14:paraId="561E30AA">
      <w:pPr>
        <w:pStyle w:val="107"/>
        <w:bidi w:val="0"/>
        <w:rPr>
          <w:color w:val="auto"/>
        </w:rPr>
      </w:pPr>
      <w:r>
        <w:rPr>
          <w:color w:val="auto"/>
        </w:rPr>
        <w:t>资源保障</w:t>
      </w:r>
    </w:p>
    <w:p w14:paraId="1C8810BB">
      <w:pPr>
        <w:pStyle w:val="167"/>
        <w:bidi w:val="0"/>
        <w:rPr>
          <w:color w:val="auto"/>
          <w:lang w:val="en-US" w:eastAsia="zh-CN"/>
        </w:rPr>
      </w:pPr>
      <w:r>
        <w:rPr>
          <w:color w:val="auto"/>
          <w:lang w:val="en-US" w:eastAsia="zh-CN"/>
        </w:rPr>
        <w:t>服务中促成的项目合作、人才引进，优先纳入西宁市科研、人才项目储备库。</w:t>
      </w:r>
    </w:p>
    <w:p w14:paraId="0ECCDD84">
      <w:pPr>
        <w:pStyle w:val="167"/>
        <w:bidi w:val="0"/>
        <w:rPr>
          <w:color w:val="auto"/>
        </w:rPr>
      </w:pPr>
      <w:r>
        <w:rPr>
          <w:color w:val="auto"/>
          <w:lang w:val="en-US" w:eastAsia="zh-CN"/>
        </w:rPr>
        <w:t>对落地实施的合作项目</w:t>
      </w:r>
      <w:r>
        <w:rPr>
          <w:rFonts w:hint="eastAsia"/>
          <w:color w:val="auto"/>
          <w:lang w:val="en-US" w:eastAsia="zh-CN"/>
        </w:rPr>
        <w:t>推荐</w:t>
      </w:r>
      <w:r>
        <w:rPr>
          <w:color w:val="auto"/>
          <w:lang w:val="en-US" w:eastAsia="zh-CN"/>
        </w:rPr>
        <w:t>给予资金支持。</w:t>
      </w:r>
    </w:p>
    <w:p w14:paraId="7C28E07C">
      <w:pPr>
        <w:pStyle w:val="106"/>
        <w:bidi w:val="0"/>
        <w:rPr>
          <w:color w:val="auto"/>
        </w:rPr>
      </w:pPr>
      <w:r>
        <w:rPr>
          <w:color w:val="auto"/>
        </w:rPr>
        <w:t>考核评价</w:t>
      </w:r>
    </w:p>
    <w:p w14:paraId="0AF5E47D">
      <w:pPr>
        <w:pStyle w:val="107"/>
        <w:bidi w:val="0"/>
        <w:rPr>
          <w:color w:val="auto"/>
        </w:rPr>
      </w:pPr>
      <w:r>
        <w:rPr>
          <w:color w:val="auto"/>
        </w:rPr>
        <w:t>评价原则</w:t>
      </w:r>
    </w:p>
    <w:p w14:paraId="085C3387">
      <w:pPr>
        <w:pStyle w:val="58"/>
        <w:bidi w:val="0"/>
        <w:rPr>
          <w:color w:val="auto"/>
        </w:rPr>
      </w:pPr>
      <w:r>
        <w:rPr>
          <w:color w:val="auto"/>
          <w:lang w:val="en-US" w:eastAsia="zh-CN"/>
        </w:rPr>
        <w:t>公平、公正、公开、量化考核、注重实效。</w:t>
      </w:r>
    </w:p>
    <w:p w14:paraId="2D91E8D1">
      <w:pPr>
        <w:pStyle w:val="107"/>
        <w:bidi w:val="0"/>
        <w:rPr>
          <w:color w:val="auto"/>
        </w:rPr>
      </w:pPr>
      <w:r>
        <w:rPr>
          <w:color w:val="auto"/>
        </w:rPr>
        <w:t>评价指标体系</w:t>
      </w:r>
    </w:p>
    <w:p w14:paraId="1051D4CF">
      <w:pPr>
        <w:pStyle w:val="58"/>
        <w:rPr>
          <w:rFonts w:hint="default" w:eastAsia="宋体"/>
          <w:color w:val="auto"/>
          <w:lang w:val="en-US" w:eastAsia="zh-CN"/>
        </w:rPr>
      </w:pPr>
      <w:r>
        <w:rPr>
          <w:rFonts w:hint="eastAsia"/>
          <w:color w:val="auto"/>
          <w:lang w:val="en-US" w:eastAsia="zh-CN"/>
        </w:rPr>
        <w:t>指标体系分为工作作风、服务次数与频率、服务满意度、创新主体与平台申报、解决企业需求、协助企业科研活动6部分，总分100分。具体评价</w:t>
      </w:r>
      <w:r>
        <w:rPr>
          <w:rFonts w:hint="eastAsia"/>
          <w:color w:val="auto"/>
          <w:lang w:eastAsia="zh-CN"/>
        </w:rPr>
        <w:t>按</w:t>
      </w:r>
      <w:r>
        <w:rPr>
          <w:rFonts w:hint="eastAsia"/>
          <w:color w:val="auto"/>
          <w:lang w:val="en-US" w:eastAsia="zh-CN"/>
        </w:rPr>
        <w:t>附录A执行。</w:t>
      </w:r>
    </w:p>
    <w:p w14:paraId="7F16AECA">
      <w:pPr>
        <w:pStyle w:val="107"/>
        <w:bidi w:val="0"/>
        <w:rPr>
          <w:color w:val="auto"/>
        </w:rPr>
      </w:pPr>
      <w:r>
        <w:rPr>
          <w:color w:val="auto"/>
        </w:rPr>
        <w:t>评价应用</w:t>
      </w:r>
    </w:p>
    <w:p w14:paraId="1FC8828E">
      <w:pPr>
        <w:pStyle w:val="58"/>
        <w:bidi w:val="0"/>
        <w:rPr>
          <w:color w:val="auto"/>
        </w:rPr>
      </w:pPr>
      <w:r>
        <w:rPr>
          <w:color w:val="auto"/>
          <w:lang w:val="en-US" w:eastAsia="zh-CN"/>
        </w:rPr>
        <w:t>考核结果作为部室与个人年度考核、评优评先、资源配置的重要依据。</w:t>
      </w:r>
    </w:p>
    <w:p w14:paraId="43716169">
      <w:pPr>
        <w:pStyle w:val="106"/>
        <w:bidi w:val="0"/>
        <w:rPr>
          <w:color w:val="auto"/>
        </w:rPr>
      </w:pPr>
      <w:r>
        <w:rPr>
          <w:color w:val="auto"/>
        </w:rPr>
        <w:t>服务档案</w:t>
      </w:r>
    </w:p>
    <w:p w14:paraId="7B63DFBD">
      <w:pPr>
        <w:pStyle w:val="164"/>
        <w:bidi w:val="0"/>
        <w:rPr>
          <w:color w:val="auto"/>
          <w:lang w:val="en-US" w:eastAsia="zh-CN"/>
        </w:rPr>
      </w:pPr>
      <w:r>
        <w:rPr>
          <w:color w:val="auto"/>
          <w:lang w:val="en-US" w:eastAsia="zh-CN"/>
        </w:rPr>
        <w:t>建立完整服务档案，包括包保联络名单、企业需求清单、服务台账、考核评价记录等。</w:t>
      </w:r>
    </w:p>
    <w:p w14:paraId="52940785">
      <w:pPr>
        <w:pStyle w:val="164"/>
        <w:bidi w:val="0"/>
        <w:rPr>
          <w:rFonts w:hint="eastAsia"/>
          <w:color w:val="auto"/>
          <w:lang w:eastAsia="zh-CN"/>
        </w:rPr>
      </w:pPr>
      <w:r>
        <w:rPr>
          <w:color w:val="auto"/>
          <w:lang w:val="en-US" w:eastAsia="zh-CN"/>
        </w:rPr>
        <w:t>档案应真实、完整、规范，可查询、可追溯。</w:t>
      </w:r>
    </w:p>
    <w:p w14:paraId="4D3B27B1">
      <w:pPr>
        <w:pStyle w:val="58"/>
        <w:ind w:firstLine="420"/>
        <w:rPr>
          <w:color w:val="auto"/>
        </w:rPr>
      </w:pPr>
    </w:p>
    <w:p w14:paraId="716E9D0C">
      <w:pPr>
        <w:pStyle w:val="58"/>
        <w:ind w:firstLine="420"/>
        <w:rPr>
          <w:color w:val="auto"/>
        </w:rPr>
      </w:pPr>
    </w:p>
    <w:p w14:paraId="797B9D8D">
      <w:pPr>
        <w:pStyle w:val="58"/>
        <w:ind w:firstLine="420"/>
      </w:pPr>
    </w:p>
    <w:p w14:paraId="1658112D">
      <w:pPr>
        <w:pStyle w:val="58"/>
        <w:ind w:firstLine="420"/>
      </w:pPr>
    </w:p>
    <w:p w14:paraId="4B97B500">
      <w:pPr>
        <w:pStyle w:val="58"/>
        <w:ind w:firstLine="420"/>
      </w:pPr>
    </w:p>
    <w:p w14:paraId="1607B00C">
      <w:pPr>
        <w:pStyle w:val="58"/>
        <w:ind w:firstLine="420"/>
      </w:pPr>
    </w:p>
    <w:p w14:paraId="3FF9772E">
      <w:pPr>
        <w:pStyle w:val="58"/>
        <w:ind w:firstLine="420"/>
      </w:pPr>
    </w:p>
    <w:p w14:paraId="605DE9BD">
      <w:pPr>
        <w:pStyle w:val="58"/>
        <w:ind w:firstLine="420"/>
      </w:pPr>
    </w:p>
    <w:p w14:paraId="0DDCE330">
      <w:pPr>
        <w:pStyle w:val="58"/>
        <w:ind w:firstLine="420"/>
      </w:pPr>
    </w:p>
    <w:p w14:paraId="6E044EA6">
      <w:pPr>
        <w:pStyle w:val="58"/>
        <w:ind w:firstLine="420"/>
      </w:pPr>
    </w:p>
    <w:p w14:paraId="364A2892">
      <w:pPr>
        <w:pStyle w:val="58"/>
        <w:ind w:firstLine="420"/>
      </w:pPr>
    </w:p>
    <w:p w14:paraId="56034307">
      <w:pPr>
        <w:pStyle w:val="58"/>
        <w:ind w:firstLine="420"/>
      </w:pPr>
    </w:p>
    <w:p w14:paraId="2D0D6F02">
      <w:pPr>
        <w:pStyle w:val="58"/>
        <w:ind w:firstLine="420"/>
        <w:sectPr>
          <w:pgSz w:w="11906" w:h="16838"/>
          <w:pgMar w:top="1928" w:right="1134" w:bottom="1134" w:left="1134" w:header="1418" w:footer="1134" w:gutter="284"/>
          <w:pgNumType w:fmt="decimal"/>
          <w:cols w:space="425" w:num="1"/>
          <w:formProt w:val="0"/>
          <w:docGrid w:linePitch="312" w:charSpace="0"/>
        </w:sectPr>
      </w:pPr>
    </w:p>
    <w:bookmarkEnd w:id="22"/>
    <w:p w14:paraId="159F22DA">
      <w:pPr>
        <w:pStyle w:val="78"/>
        <w:bidi w:val="0"/>
      </w:pPr>
      <w:bookmarkStart w:id="44" w:name="BookMark5"/>
      <w:r>
        <w:br w:type="textWrapping"/>
      </w:r>
      <w:r>
        <w:rPr>
          <w:rFonts w:hint="eastAsia"/>
          <w:lang w:eastAsia="zh-CN"/>
        </w:rPr>
        <w:t>（规范性）</w:t>
      </w:r>
      <w:r>
        <w:rPr>
          <w:rFonts w:hint="eastAsia"/>
          <w:lang w:eastAsia="zh-CN"/>
        </w:rPr>
        <w:br w:type="textWrapping"/>
      </w:r>
      <w:r>
        <w:rPr>
          <w:rFonts w:hint="eastAsia"/>
          <w:lang w:eastAsia="zh-CN"/>
        </w:rPr>
        <w:t>“一站式”科技包保服务考核评价表</w:t>
      </w:r>
    </w:p>
    <w:p w14:paraId="3FD9869B">
      <w:pPr>
        <w:pStyle w:val="58"/>
        <w:rPr>
          <w:rFonts w:hint="eastAsia"/>
          <w:lang w:val="en-US" w:eastAsia="zh-CN"/>
        </w:rPr>
      </w:pPr>
      <w:r>
        <w:rPr>
          <w:rFonts w:hint="eastAsia"/>
          <w:lang w:eastAsia="zh-CN"/>
        </w:rPr>
        <w:t>“一站式”科技包保服务考核评价</w:t>
      </w:r>
      <w:r>
        <w:rPr>
          <w:rFonts w:hint="eastAsia"/>
          <w:lang w:val="en-US" w:eastAsia="zh-CN"/>
        </w:rPr>
        <w:t>见表A.1。</w:t>
      </w:r>
    </w:p>
    <w:p w14:paraId="531B9F99">
      <w:pPr>
        <w:pStyle w:val="79"/>
        <w:bidi w:val="0"/>
        <w:rPr>
          <w:rFonts w:hint="default"/>
          <w:lang w:val="en-US" w:eastAsia="zh-CN"/>
        </w:rPr>
      </w:pPr>
      <w:r>
        <w:rPr>
          <w:rFonts w:hint="default"/>
          <w:lang w:val="en-US" w:eastAsia="zh-CN"/>
        </w:rPr>
        <w:t>“一站式”科技包保服务考核评价表</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936"/>
        <w:gridCol w:w="1281"/>
        <w:gridCol w:w="3947"/>
        <w:gridCol w:w="2387"/>
      </w:tblGrid>
      <w:tr w14:paraId="6C95A4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936" w:type="dxa"/>
            <w:tcBorders>
              <w:bottom w:val="single" w:color="auto" w:sz="8" w:space="0"/>
            </w:tcBorders>
            <w:vAlign w:val="center"/>
          </w:tcPr>
          <w:p w14:paraId="7825C3EB">
            <w:pPr>
              <w:pStyle w:val="180"/>
              <w:bidi w:val="0"/>
              <w:spacing w:line="240" w:lineRule="auto"/>
              <w:jc w:val="center"/>
              <w:rPr>
                <w:rFonts w:hint="default"/>
                <w:sz w:val="18"/>
                <w:lang w:val="en-US" w:eastAsia="zh-CN"/>
              </w:rPr>
            </w:pPr>
            <w:r>
              <w:rPr>
                <w:rFonts w:hint="eastAsia"/>
                <w:sz w:val="18"/>
                <w:lang w:val="en-US" w:eastAsia="zh-CN"/>
              </w:rPr>
              <w:t>一级指标</w:t>
            </w:r>
          </w:p>
        </w:tc>
        <w:tc>
          <w:tcPr>
            <w:tcW w:w="1281" w:type="dxa"/>
            <w:tcBorders>
              <w:bottom w:val="single" w:color="auto" w:sz="8" w:space="0"/>
            </w:tcBorders>
            <w:vAlign w:val="center"/>
          </w:tcPr>
          <w:p w14:paraId="4BE0119E">
            <w:pPr>
              <w:pStyle w:val="180"/>
              <w:bidi w:val="0"/>
              <w:spacing w:line="240" w:lineRule="auto"/>
              <w:jc w:val="center"/>
              <w:rPr>
                <w:rFonts w:hint="eastAsia"/>
                <w:sz w:val="18"/>
                <w:lang w:val="en-US" w:eastAsia="zh-CN"/>
              </w:rPr>
            </w:pPr>
            <w:r>
              <w:rPr>
                <w:rFonts w:hint="eastAsia"/>
                <w:sz w:val="18"/>
                <w:lang w:val="en-US" w:eastAsia="zh-CN"/>
              </w:rPr>
              <w:t>二级指标</w:t>
            </w:r>
          </w:p>
        </w:tc>
        <w:tc>
          <w:tcPr>
            <w:tcW w:w="3947" w:type="dxa"/>
            <w:tcBorders>
              <w:bottom w:val="single" w:color="auto" w:sz="8" w:space="0"/>
            </w:tcBorders>
            <w:vAlign w:val="center"/>
          </w:tcPr>
          <w:p w14:paraId="3F8E9A2C">
            <w:pPr>
              <w:pStyle w:val="180"/>
              <w:bidi w:val="0"/>
              <w:spacing w:line="240" w:lineRule="auto"/>
              <w:jc w:val="center"/>
              <w:rPr>
                <w:rFonts w:hint="default"/>
                <w:sz w:val="18"/>
                <w:lang w:val="en-US" w:eastAsia="zh-CN"/>
              </w:rPr>
            </w:pPr>
            <w:r>
              <w:rPr>
                <w:rFonts w:hint="eastAsia"/>
                <w:sz w:val="18"/>
                <w:lang w:val="en-US" w:eastAsia="zh-CN"/>
              </w:rPr>
              <w:t>三级指标</w:t>
            </w:r>
          </w:p>
        </w:tc>
        <w:tc>
          <w:tcPr>
            <w:tcW w:w="2387" w:type="dxa"/>
            <w:tcBorders>
              <w:bottom w:val="single" w:color="auto" w:sz="8" w:space="0"/>
            </w:tcBorders>
            <w:vAlign w:val="center"/>
          </w:tcPr>
          <w:p w14:paraId="5DD4AF5C">
            <w:pPr>
              <w:pStyle w:val="180"/>
              <w:bidi w:val="0"/>
              <w:spacing w:line="240" w:lineRule="auto"/>
              <w:jc w:val="center"/>
              <w:rPr>
                <w:rFonts w:hint="default"/>
                <w:sz w:val="18"/>
                <w:lang w:val="en-US" w:eastAsia="zh-CN"/>
              </w:rPr>
            </w:pPr>
            <w:r>
              <w:rPr>
                <w:rFonts w:hint="eastAsia"/>
                <w:sz w:val="18"/>
                <w:lang w:val="en-US" w:eastAsia="zh-CN"/>
              </w:rPr>
              <w:t>评分标准</w:t>
            </w:r>
          </w:p>
        </w:tc>
      </w:tr>
      <w:tr w14:paraId="6424BC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restart"/>
            <w:tcBorders>
              <w:top w:val="single" w:color="auto" w:sz="8" w:space="0"/>
            </w:tcBorders>
            <w:vAlign w:val="center"/>
          </w:tcPr>
          <w:p w14:paraId="680CA540">
            <w:pPr>
              <w:pStyle w:val="180"/>
              <w:bidi w:val="0"/>
              <w:spacing w:line="240" w:lineRule="auto"/>
              <w:jc w:val="center"/>
              <w:rPr>
                <w:rFonts w:hint="default"/>
                <w:sz w:val="18"/>
                <w:lang w:val="en-US" w:eastAsia="zh-CN"/>
              </w:rPr>
            </w:pPr>
            <w:r>
              <w:rPr>
                <w:rFonts w:hint="default"/>
                <w:sz w:val="18"/>
                <w:lang w:val="en-US" w:eastAsia="zh-CN"/>
              </w:rPr>
              <w:t>工作作风</w:t>
            </w:r>
          </w:p>
          <w:p w14:paraId="2594B747">
            <w:pPr>
              <w:pStyle w:val="180"/>
              <w:bidi w:val="0"/>
              <w:spacing w:line="240" w:lineRule="auto"/>
              <w:jc w:val="center"/>
              <w:rPr>
                <w:rFonts w:hint="default"/>
                <w:sz w:val="18"/>
                <w:lang w:val="en-US" w:eastAsia="zh-CN"/>
              </w:rPr>
            </w:pPr>
            <w:r>
              <w:rPr>
                <w:rFonts w:hint="default"/>
                <w:sz w:val="18"/>
                <w:lang w:val="en-US" w:eastAsia="zh-CN"/>
              </w:rPr>
              <w:t>（权重：10%）</w:t>
            </w:r>
          </w:p>
        </w:tc>
        <w:tc>
          <w:tcPr>
            <w:tcW w:w="1281" w:type="dxa"/>
            <w:tcBorders>
              <w:top w:val="single" w:color="auto" w:sz="8" w:space="0"/>
            </w:tcBorders>
            <w:vAlign w:val="center"/>
          </w:tcPr>
          <w:p w14:paraId="67E238FE">
            <w:pPr>
              <w:pStyle w:val="180"/>
              <w:bidi w:val="0"/>
              <w:spacing w:line="240" w:lineRule="auto"/>
              <w:jc w:val="center"/>
              <w:rPr>
                <w:rFonts w:hint="default"/>
                <w:sz w:val="18"/>
                <w:lang w:val="en-US" w:eastAsia="zh-CN"/>
              </w:rPr>
            </w:pPr>
            <w:r>
              <w:rPr>
                <w:rFonts w:hint="default"/>
                <w:sz w:val="18"/>
                <w:lang w:val="en-US" w:eastAsia="zh-CN"/>
              </w:rPr>
              <w:t>廉洁服务</w:t>
            </w:r>
          </w:p>
        </w:tc>
        <w:tc>
          <w:tcPr>
            <w:tcW w:w="3947" w:type="dxa"/>
            <w:tcBorders>
              <w:top w:val="single" w:color="auto" w:sz="8" w:space="0"/>
            </w:tcBorders>
            <w:vAlign w:val="center"/>
          </w:tcPr>
          <w:p w14:paraId="6D0BC821">
            <w:pPr>
              <w:pStyle w:val="180"/>
              <w:bidi w:val="0"/>
              <w:spacing w:line="240" w:lineRule="auto"/>
              <w:jc w:val="both"/>
              <w:rPr>
                <w:rFonts w:hint="default"/>
                <w:sz w:val="18"/>
                <w:lang w:val="en-US" w:eastAsia="zh-CN"/>
              </w:rPr>
            </w:pPr>
            <w:r>
              <w:rPr>
                <w:rFonts w:hint="default"/>
                <w:sz w:val="18"/>
                <w:lang w:val="en-US" w:eastAsia="zh-CN"/>
              </w:rPr>
              <w:t>是否严格落实中央八项规定及其实施细则精神和省市若干措施，做到廉洁服务、实事求是</w:t>
            </w:r>
          </w:p>
        </w:tc>
        <w:tc>
          <w:tcPr>
            <w:tcW w:w="2387" w:type="dxa"/>
            <w:tcBorders>
              <w:top w:val="single" w:color="auto" w:sz="8" w:space="0"/>
            </w:tcBorders>
            <w:vAlign w:val="center"/>
          </w:tcPr>
          <w:p w14:paraId="1FB6426A">
            <w:pPr>
              <w:pStyle w:val="180"/>
              <w:bidi w:val="0"/>
              <w:spacing w:line="240" w:lineRule="auto"/>
              <w:jc w:val="center"/>
              <w:rPr>
                <w:rFonts w:hint="default"/>
                <w:sz w:val="18"/>
                <w:lang w:val="en-US" w:eastAsia="zh-CN"/>
              </w:rPr>
            </w:pPr>
            <w:r>
              <w:rPr>
                <w:rFonts w:hint="default"/>
                <w:sz w:val="18"/>
                <w:lang w:val="en-US" w:eastAsia="zh-CN"/>
              </w:rPr>
              <w:t>0-5分</w:t>
            </w:r>
          </w:p>
        </w:tc>
      </w:tr>
      <w:tr w14:paraId="730017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continue"/>
            <w:vAlign w:val="center"/>
          </w:tcPr>
          <w:p w14:paraId="08DF765A">
            <w:pPr>
              <w:pStyle w:val="180"/>
              <w:bidi w:val="0"/>
              <w:spacing w:line="240" w:lineRule="auto"/>
              <w:jc w:val="center"/>
              <w:rPr>
                <w:rFonts w:hint="default"/>
                <w:sz w:val="18"/>
                <w:lang w:val="en-US" w:eastAsia="zh-CN"/>
              </w:rPr>
            </w:pPr>
          </w:p>
        </w:tc>
        <w:tc>
          <w:tcPr>
            <w:tcW w:w="1281" w:type="dxa"/>
            <w:vAlign w:val="center"/>
          </w:tcPr>
          <w:p w14:paraId="531FC10C">
            <w:pPr>
              <w:pStyle w:val="180"/>
              <w:bidi w:val="0"/>
              <w:spacing w:line="240" w:lineRule="auto"/>
              <w:jc w:val="center"/>
              <w:rPr>
                <w:rFonts w:hint="default"/>
                <w:sz w:val="18"/>
                <w:lang w:val="en-US" w:eastAsia="zh-CN"/>
              </w:rPr>
            </w:pPr>
            <w:r>
              <w:rPr>
                <w:rFonts w:hint="default"/>
                <w:sz w:val="18"/>
                <w:lang w:val="en-US" w:eastAsia="zh-CN"/>
              </w:rPr>
              <w:t>服务态度</w:t>
            </w:r>
          </w:p>
        </w:tc>
        <w:tc>
          <w:tcPr>
            <w:tcW w:w="3947" w:type="dxa"/>
            <w:vAlign w:val="center"/>
          </w:tcPr>
          <w:p w14:paraId="73C55B2A">
            <w:pPr>
              <w:pStyle w:val="180"/>
              <w:bidi w:val="0"/>
              <w:spacing w:line="240" w:lineRule="auto"/>
              <w:jc w:val="both"/>
              <w:rPr>
                <w:rFonts w:hint="default"/>
                <w:sz w:val="18"/>
                <w:lang w:val="en-US" w:eastAsia="zh-CN"/>
              </w:rPr>
            </w:pPr>
            <w:r>
              <w:rPr>
                <w:rFonts w:hint="default"/>
                <w:sz w:val="18"/>
                <w:lang w:val="en-US" w:eastAsia="zh-CN"/>
              </w:rPr>
              <w:t>服务过程中是否热情、耐心，是否积极为企业解决问题</w:t>
            </w:r>
          </w:p>
        </w:tc>
        <w:tc>
          <w:tcPr>
            <w:tcW w:w="2387" w:type="dxa"/>
            <w:vAlign w:val="center"/>
          </w:tcPr>
          <w:p w14:paraId="7C896468">
            <w:pPr>
              <w:pStyle w:val="180"/>
              <w:bidi w:val="0"/>
              <w:spacing w:line="240" w:lineRule="auto"/>
              <w:jc w:val="center"/>
              <w:rPr>
                <w:rFonts w:hint="default"/>
                <w:sz w:val="18"/>
                <w:lang w:val="en-US" w:eastAsia="zh-CN"/>
              </w:rPr>
            </w:pPr>
            <w:r>
              <w:rPr>
                <w:rFonts w:hint="default"/>
                <w:sz w:val="18"/>
                <w:lang w:val="en-US" w:eastAsia="zh-CN"/>
              </w:rPr>
              <w:t>0-5分</w:t>
            </w:r>
          </w:p>
        </w:tc>
      </w:tr>
      <w:tr w14:paraId="08D11F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restart"/>
            <w:vAlign w:val="center"/>
          </w:tcPr>
          <w:p w14:paraId="4258195B">
            <w:pPr>
              <w:pStyle w:val="180"/>
              <w:bidi w:val="0"/>
              <w:spacing w:line="240" w:lineRule="auto"/>
              <w:jc w:val="center"/>
              <w:rPr>
                <w:rFonts w:hint="default"/>
                <w:sz w:val="18"/>
                <w:lang w:val="en-US" w:eastAsia="zh-CN"/>
              </w:rPr>
            </w:pPr>
            <w:r>
              <w:rPr>
                <w:rFonts w:hint="default"/>
                <w:sz w:val="18"/>
                <w:lang w:val="en-US" w:eastAsia="zh-CN"/>
              </w:rPr>
              <w:t>服务次数与效率</w:t>
            </w:r>
          </w:p>
          <w:p w14:paraId="21A440AA">
            <w:pPr>
              <w:pStyle w:val="180"/>
              <w:bidi w:val="0"/>
              <w:spacing w:line="240" w:lineRule="auto"/>
              <w:jc w:val="center"/>
              <w:rPr>
                <w:rFonts w:hint="default"/>
                <w:sz w:val="18"/>
                <w:lang w:val="en-US" w:eastAsia="zh-CN"/>
              </w:rPr>
            </w:pPr>
            <w:r>
              <w:rPr>
                <w:rFonts w:hint="default"/>
                <w:sz w:val="18"/>
                <w:lang w:val="en-US" w:eastAsia="zh-CN"/>
              </w:rPr>
              <w:t>（权重：30%）</w:t>
            </w:r>
          </w:p>
        </w:tc>
        <w:tc>
          <w:tcPr>
            <w:tcW w:w="1281" w:type="dxa"/>
            <w:vAlign w:val="center"/>
          </w:tcPr>
          <w:p w14:paraId="10C0598D">
            <w:pPr>
              <w:pStyle w:val="180"/>
              <w:bidi w:val="0"/>
              <w:spacing w:line="240" w:lineRule="auto"/>
              <w:jc w:val="center"/>
              <w:rPr>
                <w:rFonts w:hint="default"/>
                <w:sz w:val="18"/>
                <w:lang w:val="en-US" w:eastAsia="zh-CN"/>
              </w:rPr>
            </w:pPr>
            <w:r>
              <w:rPr>
                <w:rFonts w:hint="default"/>
                <w:sz w:val="18"/>
                <w:lang w:val="en-US" w:eastAsia="zh-CN"/>
              </w:rPr>
              <w:t>服务次数</w:t>
            </w:r>
          </w:p>
        </w:tc>
        <w:tc>
          <w:tcPr>
            <w:tcW w:w="3947" w:type="dxa"/>
            <w:shd w:val="clear" w:color="auto" w:fill="auto"/>
            <w:vAlign w:val="center"/>
          </w:tcPr>
          <w:p w14:paraId="07F974FD">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是否按照方案要求定期入企服务，记录服务次数</w:t>
            </w:r>
          </w:p>
        </w:tc>
        <w:tc>
          <w:tcPr>
            <w:tcW w:w="2387" w:type="dxa"/>
            <w:shd w:val="clear" w:color="auto" w:fill="auto"/>
            <w:vAlign w:val="center"/>
          </w:tcPr>
          <w:p w14:paraId="062CD480">
            <w:pPr>
              <w:keepNext w:val="0"/>
              <w:keepLines w:val="0"/>
              <w:pageBreakBefore w:val="0"/>
              <w:widowControl/>
              <w:suppressLineNumbers w:val="0"/>
              <w:kinsoku/>
              <w:wordWrap/>
              <w:overflowPunct/>
              <w:topLinePunct w:val="0"/>
              <w:autoSpaceDE/>
              <w:autoSpaceDN/>
              <w:bidi w:val="0"/>
              <w:adjustRightInd/>
              <w:snapToGrid w:val="0"/>
              <w:spacing w:line="240" w:lineRule="auto"/>
              <w:jc w:val="left"/>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30次及以上：</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5分；每少一次扣</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分，15次以下不得分</w:t>
            </w:r>
          </w:p>
        </w:tc>
      </w:tr>
      <w:tr w14:paraId="4DA67E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continue"/>
            <w:vAlign w:val="center"/>
          </w:tcPr>
          <w:p w14:paraId="7B6F4D80">
            <w:pPr>
              <w:pStyle w:val="180"/>
              <w:bidi w:val="0"/>
              <w:spacing w:line="240" w:lineRule="auto"/>
              <w:jc w:val="center"/>
              <w:rPr>
                <w:rFonts w:hint="default"/>
                <w:sz w:val="18"/>
                <w:lang w:val="en-US" w:eastAsia="zh-CN"/>
              </w:rPr>
            </w:pPr>
          </w:p>
        </w:tc>
        <w:tc>
          <w:tcPr>
            <w:tcW w:w="1281" w:type="dxa"/>
            <w:vAlign w:val="center"/>
          </w:tcPr>
          <w:p w14:paraId="222208D9">
            <w:pPr>
              <w:pStyle w:val="180"/>
              <w:bidi w:val="0"/>
              <w:spacing w:line="240" w:lineRule="auto"/>
              <w:jc w:val="center"/>
              <w:rPr>
                <w:rFonts w:hint="default"/>
                <w:sz w:val="18"/>
                <w:lang w:val="en-US" w:eastAsia="zh-CN"/>
              </w:rPr>
            </w:pPr>
            <w:r>
              <w:rPr>
                <w:rFonts w:hint="default"/>
                <w:sz w:val="18"/>
                <w:lang w:val="en-US" w:eastAsia="zh-CN"/>
              </w:rPr>
              <w:t>服务效率</w:t>
            </w:r>
          </w:p>
        </w:tc>
        <w:tc>
          <w:tcPr>
            <w:tcW w:w="3947" w:type="dxa"/>
            <w:shd w:val="clear" w:color="auto" w:fill="auto"/>
            <w:vAlign w:val="center"/>
          </w:tcPr>
          <w:p w14:paraId="638E5C2B">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服务过程中是否高效解决问题，是否及时响应企业需求</w:t>
            </w:r>
          </w:p>
        </w:tc>
        <w:tc>
          <w:tcPr>
            <w:tcW w:w="2387" w:type="dxa"/>
            <w:shd w:val="clear" w:color="auto" w:fill="auto"/>
            <w:vAlign w:val="center"/>
          </w:tcPr>
          <w:p w14:paraId="2FCC8671">
            <w:pPr>
              <w:keepNext w:val="0"/>
              <w:keepLines w:val="0"/>
              <w:pageBreakBefore w:val="0"/>
              <w:widowControl/>
              <w:suppressLineNumbers w:val="0"/>
              <w:kinsoku/>
              <w:wordWrap/>
              <w:overflowPunct/>
              <w:topLinePunct w:val="0"/>
              <w:autoSpaceDE/>
              <w:autoSpaceDN/>
              <w:bidi w:val="0"/>
              <w:adjustRightInd/>
              <w:snapToGrid w:val="0"/>
              <w:spacing w:line="240" w:lineRule="auto"/>
              <w:jc w:val="center"/>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0-</w:t>
            </w:r>
            <w:r>
              <w:rPr>
                <w:rFonts w:hint="eastAsia" w:ascii="Times New Roman" w:hAnsi="Times New Roman" w:cs="Times New Roman"/>
                <w:kern w:val="0"/>
                <w:sz w:val="18"/>
                <w:szCs w:val="20"/>
                <w:lang w:val="en-US" w:eastAsia="zh-CN" w:bidi="ar-SA"/>
              </w:rPr>
              <w:t>15</w:t>
            </w:r>
            <w:r>
              <w:rPr>
                <w:rFonts w:hint="default" w:ascii="Times New Roman" w:hAnsi="Times New Roman" w:eastAsia="宋体" w:cs="Times New Roman"/>
                <w:kern w:val="0"/>
                <w:sz w:val="18"/>
                <w:szCs w:val="20"/>
                <w:lang w:val="en-US" w:eastAsia="zh-CN" w:bidi="ar-SA"/>
              </w:rPr>
              <w:t>分</w:t>
            </w:r>
          </w:p>
        </w:tc>
      </w:tr>
      <w:tr w14:paraId="72DD29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Align w:val="center"/>
          </w:tcPr>
          <w:p w14:paraId="711BB39D">
            <w:pPr>
              <w:pStyle w:val="180"/>
              <w:bidi w:val="0"/>
              <w:spacing w:line="240" w:lineRule="auto"/>
              <w:jc w:val="center"/>
              <w:rPr>
                <w:rFonts w:hint="default"/>
                <w:sz w:val="18"/>
                <w:lang w:val="en-US" w:eastAsia="zh-CN"/>
              </w:rPr>
            </w:pPr>
            <w:r>
              <w:rPr>
                <w:rFonts w:hint="default"/>
                <w:sz w:val="18"/>
                <w:lang w:val="en-US" w:eastAsia="zh-CN"/>
              </w:rPr>
              <w:t>服务满意度</w:t>
            </w:r>
          </w:p>
          <w:p w14:paraId="65685903">
            <w:pPr>
              <w:pStyle w:val="180"/>
              <w:bidi w:val="0"/>
              <w:spacing w:line="240" w:lineRule="auto"/>
              <w:jc w:val="center"/>
              <w:rPr>
                <w:rFonts w:hint="default"/>
                <w:sz w:val="18"/>
                <w:lang w:val="en-US" w:eastAsia="zh-CN"/>
              </w:rPr>
            </w:pPr>
            <w:r>
              <w:rPr>
                <w:rFonts w:hint="default"/>
                <w:sz w:val="18"/>
                <w:lang w:val="en-US" w:eastAsia="zh-CN"/>
              </w:rPr>
              <w:t>（权重：20%）</w:t>
            </w:r>
          </w:p>
        </w:tc>
        <w:tc>
          <w:tcPr>
            <w:tcW w:w="1281" w:type="dxa"/>
            <w:shd w:val="clear" w:color="auto" w:fill="auto"/>
            <w:vAlign w:val="center"/>
          </w:tcPr>
          <w:p w14:paraId="467535DA">
            <w:pPr>
              <w:pStyle w:val="180"/>
              <w:bidi w:val="0"/>
              <w:spacing w:line="240" w:lineRule="auto"/>
              <w:jc w:val="center"/>
              <w:rPr>
                <w:rFonts w:hint="default"/>
                <w:sz w:val="18"/>
                <w:lang w:val="en-US" w:eastAsia="zh-CN"/>
              </w:rPr>
            </w:pPr>
            <w:r>
              <w:rPr>
                <w:rFonts w:hint="default"/>
                <w:sz w:val="18"/>
                <w:lang w:val="en-US" w:eastAsia="zh-CN"/>
              </w:rPr>
              <w:t>企业满意度</w:t>
            </w:r>
          </w:p>
        </w:tc>
        <w:tc>
          <w:tcPr>
            <w:tcW w:w="3947" w:type="dxa"/>
            <w:shd w:val="clear" w:color="auto" w:fill="auto"/>
            <w:vAlign w:val="center"/>
          </w:tcPr>
          <w:p w14:paraId="20301AE5">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通过问卷调查、座谈会等方式收集企业对服务的满意度评价</w:t>
            </w:r>
          </w:p>
        </w:tc>
        <w:tc>
          <w:tcPr>
            <w:tcW w:w="2387" w:type="dxa"/>
            <w:shd w:val="clear" w:color="auto" w:fill="auto"/>
            <w:vAlign w:val="center"/>
          </w:tcPr>
          <w:p w14:paraId="52474AD3">
            <w:pPr>
              <w:keepNext w:val="0"/>
              <w:keepLines w:val="0"/>
              <w:pageBreakBefore w:val="0"/>
              <w:widowControl/>
              <w:suppressLineNumbers w:val="0"/>
              <w:kinsoku/>
              <w:wordWrap/>
              <w:overflowPunct/>
              <w:topLinePunct w:val="0"/>
              <w:autoSpaceDE/>
              <w:autoSpaceDN/>
              <w:bidi w:val="0"/>
              <w:adjustRightInd/>
              <w:snapToGrid w:val="0"/>
              <w:spacing w:line="240" w:lineRule="auto"/>
              <w:jc w:val="center"/>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0-</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0分</w:t>
            </w:r>
          </w:p>
        </w:tc>
      </w:tr>
      <w:tr w14:paraId="73DF15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Align w:val="center"/>
          </w:tcPr>
          <w:p w14:paraId="6B0EA49B">
            <w:pPr>
              <w:pStyle w:val="180"/>
              <w:bidi w:val="0"/>
              <w:spacing w:line="240" w:lineRule="auto"/>
              <w:jc w:val="center"/>
              <w:rPr>
                <w:rFonts w:hint="default"/>
                <w:sz w:val="18"/>
                <w:lang w:val="en-US" w:eastAsia="zh-CN"/>
              </w:rPr>
            </w:pPr>
            <w:r>
              <w:rPr>
                <w:rFonts w:hint="default"/>
                <w:sz w:val="18"/>
                <w:lang w:val="en-US" w:eastAsia="zh-CN"/>
              </w:rPr>
              <w:t>创新主体与平台申报</w:t>
            </w:r>
          </w:p>
          <w:p w14:paraId="4EBD517D">
            <w:pPr>
              <w:pStyle w:val="180"/>
              <w:bidi w:val="0"/>
              <w:spacing w:line="240" w:lineRule="auto"/>
              <w:jc w:val="center"/>
              <w:rPr>
                <w:rFonts w:hint="default"/>
                <w:sz w:val="18"/>
                <w:lang w:val="en-US" w:eastAsia="zh-CN"/>
              </w:rPr>
            </w:pPr>
            <w:r>
              <w:rPr>
                <w:rFonts w:hint="default"/>
                <w:sz w:val="18"/>
                <w:lang w:val="en-US" w:eastAsia="zh-CN"/>
              </w:rPr>
              <w:t>（权重：10%）</w:t>
            </w:r>
          </w:p>
        </w:tc>
        <w:tc>
          <w:tcPr>
            <w:tcW w:w="1281" w:type="dxa"/>
            <w:shd w:val="clear" w:color="auto" w:fill="auto"/>
            <w:vAlign w:val="center"/>
          </w:tcPr>
          <w:p w14:paraId="060C409F">
            <w:pPr>
              <w:pStyle w:val="180"/>
              <w:bidi w:val="0"/>
              <w:spacing w:line="240" w:lineRule="auto"/>
              <w:jc w:val="center"/>
              <w:rPr>
                <w:rFonts w:hint="default"/>
                <w:sz w:val="18"/>
                <w:lang w:val="en-US" w:eastAsia="zh-CN"/>
              </w:rPr>
            </w:pPr>
            <w:r>
              <w:rPr>
                <w:rFonts w:hint="default"/>
                <w:sz w:val="18"/>
                <w:lang w:val="en-US" w:eastAsia="zh-CN"/>
              </w:rPr>
              <w:t>协助申报</w:t>
            </w:r>
          </w:p>
        </w:tc>
        <w:tc>
          <w:tcPr>
            <w:tcW w:w="3947" w:type="dxa"/>
            <w:shd w:val="clear" w:color="auto" w:fill="auto"/>
            <w:vAlign w:val="center"/>
          </w:tcPr>
          <w:p w14:paraId="20723F25">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协助企业申报科技型企业、高新技术企业、科技小巨人企业等创新主体及企业研发中心等国家、省市创新平台的数量及成功率</w:t>
            </w:r>
          </w:p>
        </w:tc>
        <w:tc>
          <w:tcPr>
            <w:tcW w:w="2387" w:type="dxa"/>
            <w:shd w:val="clear" w:color="auto" w:fill="auto"/>
            <w:vAlign w:val="center"/>
          </w:tcPr>
          <w:p w14:paraId="21F14D3B">
            <w:pPr>
              <w:keepNext w:val="0"/>
              <w:keepLines w:val="0"/>
              <w:pageBreakBefore w:val="0"/>
              <w:widowControl/>
              <w:suppressLineNumbers w:val="0"/>
              <w:kinsoku/>
              <w:wordWrap/>
              <w:overflowPunct/>
              <w:topLinePunct w:val="0"/>
              <w:autoSpaceDE/>
              <w:autoSpaceDN/>
              <w:bidi w:val="0"/>
              <w:adjustRightInd/>
              <w:snapToGrid w:val="0"/>
              <w:spacing w:line="240" w:lineRule="auto"/>
              <w:jc w:val="left"/>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每协助申报1家</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1</w:t>
            </w:r>
            <w:r>
              <w:rPr>
                <w:rFonts w:hint="eastAsia" w:ascii="Times New Roman" w:hAnsi="Times New Roman" w:cs="Times New Roman"/>
                <w:kern w:val="0"/>
                <w:sz w:val="18"/>
                <w:szCs w:val="20"/>
                <w:lang w:val="en-US" w:eastAsia="zh-CN" w:bidi="ar-SA"/>
              </w:rPr>
              <w:t>0</w:t>
            </w:r>
            <w:r>
              <w:rPr>
                <w:rFonts w:hint="default" w:ascii="Times New Roman" w:hAnsi="Times New Roman" w:eastAsia="宋体" w:cs="Times New Roman"/>
                <w:kern w:val="0"/>
                <w:sz w:val="18"/>
                <w:szCs w:val="20"/>
                <w:lang w:val="en-US" w:eastAsia="zh-CN" w:bidi="ar-SA"/>
              </w:rPr>
              <w:t>分；每成功申报1家</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5分，最高10分</w:t>
            </w:r>
          </w:p>
        </w:tc>
      </w:tr>
      <w:tr w14:paraId="7922FE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restart"/>
            <w:vAlign w:val="center"/>
          </w:tcPr>
          <w:p w14:paraId="64413E26">
            <w:pPr>
              <w:pStyle w:val="180"/>
              <w:bidi w:val="0"/>
              <w:spacing w:line="240" w:lineRule="auto"/>
              <w:jc w:val="center"/>
              <w:rPr>
                <w:rFonts w:hint="default"/>
                <w:sz w:val="18"/>
                <w:lang w:val="en-US" w:eastAsia="zh-CN"/>
              </w:rPr>
            </w:pPr>
            <w:r>
              <w:rPr>
                <w:rFonts w:hint="default"/>
                <w:sz w:val="18"/>
                <w:lang w:val="en-US" w:eastAsia="zh-CN"/>
              </w:rPr>
              <w:t>解决企业需求</w:t>
            </w:r>
          </w:p>
          <w:p w14:paraId="03F4E257">
            <w:pPr>
              <w:pStyle w:val="180"/>
              <w:bidi w:val="0"/>
              <w:spacing w:line="240" w:lineRule="auto"/>
              <w:jc w:val="center"/>
              <w:rPr>
                <w:rFonts w:hint="default"/>
                <w:sz w:val="18"/>
                <w:lang w:val="en-US" w:eastAsia="zh-CN"/>
              </w:rPr>
            </w:pPr>
            <w:r>
              <w:rPr>
                <w:rFonts w:hint="default"/>
                <w:sz w:val="18"/>
                <w:lang w:val="en-US" w:eastAsia="zh-CN"/>
              </w:rPr>
              <w:t>（权重：30%）</w:t>
            </w:r>
          </w:p>
        </w:tc>
        <w:tc>
          <w:tcPr>
            <w:tcW w:w="1281" w:type="dxa"/>
            <w:shd w:val="clear" w:color="auto" w:fill="auto"/>
            <w:vAlign w:val="center"/>
          </w:tcPr>
          <w:p w14:paraId="17FFAB23">
            <w:pPr>
              <w:pStyle w:val="180"/>
              <w:bidi w:val="0"/>
              <w:spacing w:line="240" w:lineRule="auto"/>
              <w:jc w:val="center"/>
              <w:rPr>
                <w:rFonts w:hint="default"/>
                <w:sz w:val="18"/>
                <w:lang w:val="en-US" w:eastAsia="zh-CN"/>
              </w:rPr>
            </w:pPr>
            <w:r>
              <w:rPr>
                <w:rFonts w:hint="default"/>
                <w:sz w:val="18"/>
                <w:lang w:val="en-US" w:eastAsia="zh-CN"/>
              </w:rPr>
              <w:t>一般需求解决</w:t>
            </w:r>
          </w:p>
        </w:tc>
        <w:tc>
          <w:tcPr>
            <w:tcW w:w="3947" w:type="dxa"/>
            <w:shd w:val="clear" w:color="auto" w:fill="auto"/>
            <w:vAlign w:val="center"/>
          </w:tcPr>
          <w:p w14:paraId="2BBD9E98">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帮助企业解决研发费用归集、知识产权、政策宣传等一般需求的数量</w:t>
            </w:r>
          </w:p>
        </w:tc>
        <w:tc>
          <w:tcPr>
            <w:tcW w:w="2387" w:type="dxa"/>
            <w:shd w:val="clear" w:color="auto" w:fill="auto"/>
            <w:vAlign w:val="center"/>
          </w:tcPr>
          <w:p w14:paraId="77966B4F">
            <w:pPr>
              <w:keepNext w:val="0"/>
              <w:keepLines w:val="0"/>
              <w:pageBreakBefore w:val="0"/>
              <w:widowControl/>
              <w:suppressLineNumbers w:val="0"/>
              <w:kinsoku/>
              <w:wordWrap/>
              <w:overflowPunct/>
              <w:topLinePunct w:val="0"/>
              <w:autoSpaceDE/>
              <w:autoSpaceDN/>
              <w:bidi w:val="0"/>
              <w:adjustRightInd/>
              <w:snapToGrid w:val="0"/>
              <w:spacing w:line="240" w:lineRule="auto"/>
              <w:jc w:val="left"/>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每解决1项</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分，最高</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0分</w:t>
            </w:r>
          </w:p>
        </w:tc>
      </w:tr>
      <w:tr w14:paraId="0C300C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Merge w:val="continue"/>
            <w:vAlign w:val="center"/>
          </w:tcPr>
          <w:p w14:paraId="2E520C7C">
            <w:pPr>
              <w:pStyle w:val="180"/>
              <w:bidi w:val="0"/>
              <w:spacing w:line="240" w:lineRule="auto"/>
              <w:jc w:val="center"/>
              <w:rPr>
                <w:rFonts w:hint="default"/>
                <w:sz w:val="18"/>
                <w:lang w:val="en-US" w:eastAsia="zh-CN"/>
              </w:rPr>
            </w:pPr>
          </w:p>
        </w:tc>
        <w:tc>
          <w:tcPr>
            <w:tcW w:w="1281" w:type="dxa"/>
            <w:shd w:val="clear" w:color="auto" w:fill="auto"/>
            <w:vAlign w:val="center"/>
          </w:tcPr>
          <w:p w14:paraId="04D019AC">
            <w:pPr>
              <w:pStyle w:val="180"/>
              <w:bidi w:val="0"/>
              <w:spacing w:line="240" w:lineRule="auto"/>
              <w:jc w:val="center"/>
              <w:rPr>
                <w:rFonts w:hint="default"/>
                <w:sz w:val="18"/>
                <w:lang w:val="en-US" w:eastAsia="zh-CN"/>
              </w:rPr>
            </w:pPr>
            <w:r>
              <w:rPr>
                <w:rFonts w:hint="default"/>
                <w:sz w:val="18"/>
                <w:lang w:val="en-US" w:eastAsia="zh-CN"/>
              </w:rPr>
              <w:t>技术需求解决</w:t>
            </w:r>
          </w:p>
        </w:tc>
        <w:tc>
          <w:tcPr>
            <w:tcW w:w="3947" w:type="dxa"/>
            <w:shd w:val="clear" w:color="auto" w:fill="auto"/>
            <w:vAlign w:val="center"/>
          </w:tcPr>
          <w:p w14:paraId="5B3A5E03">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征集、分析、凝练、发布企业技术需求，成功对接技术需求并帮助企业解决技术难题的数量</w:t>
            </w:r>
          </w:p>
        </w:tc>
        <w:tc>
          <w:tcPr>
            <w:tcW w:w="2387" w:type="dxa"/>
            <w:shd w:val="clear" w:color="auto" w:fill="auto"/>
            <w:vAlign w:val="center"/>
          </w:tcPr>
          <w:p w14:paraId="5C46DD94">
            <w:pPr>
              <w:keepNext w:val="0"/>
              <w:keepLines w:val="0"/>
              <w:pageBreakBefore w:val="0"/>
              <w:widowControl/>
              <w:suppressLineNumbers w:val="0"/>
              <w:kinsoku/>
              <w:wordWrap/>
              <w:overflowPunct/>
              <w:topLinePunct w:val="0"/>
              <w:autoSpaceDE/>
              <w:autoSpaceDN/>
              <w:bidi w:val="0"/>
              <w:adjustRightInd/>
              <w:snapToGrid w:val="0"/>
              <w:spacing w:line="240" w:lineRule="auto"/>
              <w:jc w:val="left"/>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每征集1项</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分；每分析/凝练1项</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2</w:t>
            </w:r>
            <w:r>
              <w:rPr>
                <w:rFonts w:hint="default" w:ascii="Times New Roman" w:hAnsi="Times New Roman" w:eastAsia="宋体" w:cs="Times New Roman"/>
                <w:kern w:val="0"/>
                <w:sz w:val="18"/>
                <w:szCs w:val="20"/>
                <w:lang w:val="en-US" w:eastAsia="zh-CN" w:bidi="ar-SA"/>
              </w:rPr>
              <w:t>分；每发布1项</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3</w:t>
            </w:r>
            <w:r>
              <w:rPr>
                <w:rFonts w:hint="default" w:ascii="Times New Roman" w:hAnsi="Times New Roman" w:eastAsia="宋体" w:cs="Times New Roman"/>
                <w:kern w:val="0"/>
                <w:sz w:val="18"/>
                <w:szCs w:val="20"/>
                <w:lang w:val="en-US" w:eastAsia="zh-CN" w:bidi="ar-SA"/>
              </w:rPr>
              <w:t>分；每成功对接1项</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1</w:t>
            </w:r>
            <w:r>
              <w:rPr>
                <w:rFonts w:hint="default" w:ascii="Times New Roman" w:hAnsi="Times New Roman" w:eastAsia="宋体" w:cs="Times New Roman"/>
                <w:kern w:val="0"/>
                <w:sz w:val="18"/>
                <w:szCs w:val="20"/>
                <w:lang w:val="en-US" w:eastAsia="zh-CN" w:bidi="ar-SA"/>
              </w:rPr>
              <w:t>0分；每解决1项技术难题</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2</w:t>
            </w:r>
            <w:r>
              <w:rPr>
                <w:rFonts w:hint="default" w:ascii="Times New Roman" w:hAnsi="Times New Roman" w:eastAsia="宋体" w:cs="Times New Roman"/>
                <w:kern w:val="0"/>
                <w:sz w:val="18"/>
                <w:szCs w:val="20"/>
                <w:lang w:val="en-US" w:eastAsia="zh-CN" w:bidi="ar-SA"/>
              </w:rPr>
              <w:t>0分，最高</w:t>
            </w:r>
            <w:r>
              <w:rPr>
                <w:rFonts w:hint="eastAsia" w:ascii="Times New Roman" w:hAnsi="Times New Roman" w:eastAsia="宋体" w:cs="Times New Roman"/>
                <w:kern w:val="0"/>
                <w:sz w:val="18"/>
                <w:szCs w:val="20"/>
                <w:lang w:val="en-US" w:eastAsia="zh-CN" w:bidi="ar-SA"/>
              </w:rPr>
              <w:t>得</w:t>
            </w:r>
            <w:r>
              <w:rPr>
                <w:rFonts w:hint="eastAsia" w:ascii="Times New Roman" w:hAnsi="Times New Roman" w:cs="Times New Roman"/>
                <w:kern w:val="0"/>
                <w:sz w:val="18"/>
                <w:szCs w:val="20"/>
                <w:lang w:val="en-US" w:eastAsia="zh-CN" w:bidi="ar-SA"/>
              </w:rPr>
              <w:t>2</w:t>
            </w:r>
            <w:r>
              <w:rPr>
                <w:rFonts w:hint="default" w:ascii="Times New Roman" w:hAnsi="Times New Roman" w:eastAsia="宋体" w:cs="Times New Roman"/>
                <w:kern w:val="0"/>
                <w:sz w:val="18"/>
                <w:szCs w:val="20"/>
                <w:lang w:val="en-US" w:eastAsia="zh-CN" w:bidi="ar-SA"/>
              </w:rPr>
              <w:t>0分</w:t>
            </w:r>
          </w:p>
        </w:tc>
      </w:tr>
      <w:tr w14:paraId="78D318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936" w:type="dxa"/>
            <w:vAlign w:val="center"/>
          </w:tcPr>
          <w:p w14:paraId="37784FCF">
            <w:pPr>
              <w:pStyle w:val="180"/>
              <w:bidi w:val="0"/>
              <w:spacing w:line="240" w:lineRule="auto"/>
              <w:jc w:val="center"/>
              <w:rPr>
                <w:rFonts w:hint="default"/>
                <w:sz w:val="18"/>
                <w:lang w:val="en-US" w:eastAsia="zh-CN"/>
              </w:rPr>
            </w:pPr>
            <w:r>
              <w:rPr>
                <w:rFonts w:hint="default"/>
                <w:sz w:val="18"/>
                <w:lang w:val="en-US" w:eastAsia="zh-CN"/>
              </w:rPr>
              <w:t>协助企业科研活动</w:t>
            </w:r>
          </w:p>
          <w:p w14:paraId="77F57658">
            <w:pPr>
              <w:pStyle w:val="180"/>
              <w:bidi w:val="0"/>
              <w:spacing w:line="240" w:lineRule="auto"/>
              <w:jc w:val="center"/>
              <w:rPr>
                <w:rFonts w:hint="default"/>
                <w:sz w:val="18"/>
                <w:lang w:val="en-US" w:eastAsia="zh-CN"/>
              </w:rPr>
            </w:pPr>
            <w:r>
              <w:rPr>
                <w:rFonts w:hint="default"/>
                <w:sz w:val="18"/>
                <w:lang w:val="en-US" w:eastAsia="zh-CN"/>
              </w:rPr>
              <w:t>（加分项）</w:t>
            </w:r>
          </w:p>
        </w:tc>
        <w:tc>
          <w:tcPr>
            <w:tcW w:w="1281" w:type="dxa"/>
            <w:shd w:val="clear" w:color="auto" w:fill="auto"/>
            <w:vAlign w:val="center"/>
          </w:tcPr>
          <w:p w14:paraId="78110DDE">
            <w:pPr>
              <w:pStyle w:val="180"/>
              <w:bidi w:val="0"/>
              <w:spacing w:line="240" w:lineRule="auto"/>
              <w:jc w:val="center"/>
              <w:rPr>
                <w:rFonts w:hint="default"/>
                <w:sz w:val="18"/>
                <w:lang w:val="en-US" w:eastAsia="zh-CN"/>
              </w:rPr>
            </w:pPr>
            <w:r>
              <w:rPr>
                <w:rFonts w:hint="default"/>
                <w:sz w:val="18"/>
                <w:lang w:val="en-US" w:eastAsia="zh-CN"/>
              </w:rPr>
              <w:t>协助科研</w:t>
            </w:r>
          </w:p>
        </w:tc>
        <w:tc>
          <w:tcPr>
            <w:tcW w:w="3947" w:type="dxa"/>
            <w:shd w:val="clear" w:color="auto" w:fill="auto"/>
            <w:vAlign w:val="center"/>
          </w:tcPr>
          <w:p w14:paraId="38FDE403">
            <w:pPr>
              <w:keepNext w:val="0"/>
              <w:keepLines w:val="0"/>
              <w:pageBreakBefore w:val="0"/>
              <w:widowControl/>
              <w:suppressLineNumbers w:val="0"/>
              <w:kinsoku/>
              <w:wordWrap/>
              <w:overflowPunct/>
              <w:topLinePunct w:val="0"/>
              <w:autoSpaceDE/>
              <w:autoSpaceDN/>
              <w:bidi w:val="0"/>
              <w:adjustRightInd/>
              <w:snapToGrid w:val="0"/>
              <w:spacing w:line="240" w:lineRule="auto"/>
              <w:jc w:val="both"/>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协助企业发表论文、完成科研项目、取得科技成果、获得专利等</w:t>
            </w:r>
          </w:p>
        </w:tc>
        <w:tc>
          <w:tcPr>
            <w:tcW w:w="2387" w:type="dxa"/>
            <w:shd w:val="clear" w:color="auto" w:fill="auto"/>
            <w:vAlign w:val="center"/>
          </w:tcPr>
          <w:p w14:paraId="2A4E4335">
            <w:pPr>
              <w:keepNext w:val="0"/>
              <w:keepLines w:val="0"/>
              <w:pageBreakBefore w:val="0"/>
              <w:widowControl/>
              <w:suppressLineNumbers w:val="0"/>
              <w:kinsoku/>
              <w:wordWrap/>
              <w:overflowPunct/>
              <w:topLinePunct w:val="0"/>
              <w:autoSpaceDE/>
              <w:autoSpaceDN/>
              <w:bidi w:val="0"/>
              <w:adjustRightInd/>
              <w:snapToGrid w:val="0"/>
              <w:spacing w:line="240" w:lineRule="auto"/>
              <w:jc w:val="left"/>
              <w:textAlignment w:val="center"/>
              <w:rPr>
                <w:rFonts w:hint="default" w:ascii="Times New Roman" w:hAnsi="Times New Roman" w:eastAsia="宋体" w:cs="Times New Roman"/>
                <w:kern w:val="0"/>
                <w:sz w:val="18"/>
                <w:szCs w:val="20"/>
                <w:lang w:val="en-US" w:eastAsia="zh-CN" w:bidi="ar-SA"/>
              </w:rPr>
            </w:pPr>
            <w:r>
              <w:rPr>
                <w:rFonts w:hint="default" w:ascii="Times New Roman" w:hAnsi="Times New Roman" w:eastAsia="宋体" w:cs="Times New Roman"/>
                <w:kern w:val="0"/>
                <w:sz w:val="18"/>
                <w:szCs w:val="20"/>
                <w:lang w:val="en-US" w:eastAsia="zh-CN" w:bidi="ar-SA"/>
              </w:rPr>
              <w:t>每协助发表论文1篇</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2分；每协助完成科研项目1个</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5分；每协助取得科技成果1项</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2分；每协助获得发明专利1项</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5分；每协助获得实用新型专利、软件著作权1项</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2分；每协助获得地方、企业标准等1项</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3分，最高</w:t>
            </w:r>
            <w:r>
              <w:rPr>
                <w:rFonts w:hint="eastAsia" w:ascii="Times New Roman" w:hAnsi="Times New Roman" w:eastAsia="宋体" w:cs="Times New Roman"/>
                <w:kern w:val="0"/>
                <w:sz w:val="18"/>
                <w:szCs w:val="20"/>
                <w:lang w:val="en-US" w:eastAsia="zh-CN" w:bidi="ar-SA"/>
              </w:rPr>
              <w:t>得</w:t>
            </w:r>
            <w:r>
              <w:rPr>
                <w:rFonts w:hint="default" w:ascii="Times New Roman" w:hAnsi="Times New Roman" w:eastAsia="宋体" w:cs="Times New Roman"/>
                <w:kern w:val="0"/>
                <w:sz w:val="18"/>
                <w:szCs w:val="20"/>
                <w:lang w:val="en-US" w:eastAsia="zh-CN" w:bidi="ar-SA"/>
              </w:rPr>
              <w:t>10分</w:t>
            </w:r>
          </w:p>
        </w:tc>
      </w:tr>
    </w:tbl>
    <w:p w14:paraId="0F77C72A">
      <w:pPr>
        <w:pStyle w:val="58"/>
        <w:bidi w:val="0"/>
        <w:rPr>
          <w:rFonts w:hint="default"/>
          <w:lang w:val="en-US" w:eastAsia="zh-CN"/>
        </w:rPr>
      </w:pPr>
    </w:p>
    <w:p w14:paraId="2F1608A5">
      <w:pPr>
        <w:pStyle w:val="58"/>
        <w:bidi w:val="0"/>
        <w:rPr>
          <w:rFonts w:hint="default"/>
          <w:lang w:val="en-US" w:eastAsia="zh-CN"/>
        </w:rPr>
      </w:pPr>
    </w:p>
    <w:p w14:paraId="0C98133C">
      <w:pPr>
        <w:pStyle w:val="58"/>
        <w:bidi w:val="0"/>
      </w:pPr>
    </w:p>
    <w:p w14:paraId="20D485A0">
      <w:pPr>
        <w:pStyle w:val="58"/>
        <w:bidi w:val="0"/>
      </w:pPr>
    </w:p>
    <w:p w14:paraId="77722335">
      <w:pPr>
        <w:pStyle w:val="58"/>
        <w:bidi w:val="0"/>
      </w:pPr>
    </w:p>
    <w:bookmarkEnd w:id="44"/>
    <w:p w14:paraId="06B49C27">
      <w:pPr>
        <w:pStyle w:val="58"/>
        <w:bidi w:val="0"/>
        <w:ind w:firstLine="0" w:firstLineChars="0"/>
        <w:jc w:val="center"/>
        <w:rPr>
          <w:rFonts w:hint="eastAsia" w:eastAsia="宋体"/>
          <w:lang w:eastAsia="zh-CN"/>
        </w:rPr>
      </w:pPr>
      <w:bookmarkStart w:id="45" w:name="BookMark8"/>
      <w:r>
        <w:rPr>
          <w:rFonts w:hint="eastAsia" w:eastAsia="宋体"/>
          <w:lang w:eastAsia="zh-CN"/>
        </w:rPr>
        <w:drawing>
          <wp:inline distT="0" distB="0" distL="114300" distR="114300">
            <wp:extent cx="1485900" cy="317500"/>
            <wp:effectExtent l="0" t="0" r="0" b="6350"/>
            <wp:docPr id="3" name="图片 3" descr="1"/>
            <wp:cNvGraphicFramePr/>
            <a:graphic xmlns:a="http://schemas.openxmlformats.org/drawingml/2006/main">
              <a:graphicData uri="http://schemas.openxmlformats.org/drawingml/2006/picture">
                <pic:pic xmlns:pic="http://schemas.openxmlformats.org/drawingml/2006/picture">
                  <pic:nvPicPr>
                    <pic:cNvPr id="3" name="图片 3" descr="1"/>
                    <pic:cNvPicPr/>
                  </pic:nvPicPr>
                  <pic:blipFill>
                    <a:blip r:embed="rId15"/>
                    <a:stretch>
                      <a:fillRect/>
                    </a:stretch>
                  </pic:blipFill>
                  <pic:spPr>
                    <a:xfrm>
                      <a:off x="0" y="0"/>
                      <a:ext cx="1485900" cy="317500"/>
                    </a:xfrm>
                    <a:prstGeom prst="rect">
                      <a:avLst/>
                    </a:prstGeom>
                  </pic:spPr>
                </pic:pic>
              </a:graphicData>
            </a:graphic>
          </wp:inline>
        </w:drawing>
      </w:r>
      <w:bookmarkEnd w:id="45"/>
    </w:p>
    <w:sectPr>
      <w:pgSz w:w="11906" w:h="16838"/>
      <w:pgMar w:top="1928" w:right="1134" w:bottom="1134" w:left="1134" w:header="1418" w:footer="1134" w:gutter="284"/>
      <w:pgNumType w:fmt="decimal"/>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6B6D">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8E29D">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2EF22">
    <w:pPr>
      <w:pStyle w:val="54"/>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61CD1">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3CA2E">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13336">
    <w:pPr>
      <w:pStyle w:val="63"/>
      <w:rPr>
        <w:rFonts w:hint="eastAsia"/>
      </w:rPr>
    </w:pPr>
    <w:r>
      <w:fldChar w:fldCharType="begin"/>
    </w:r>
    <w:r>
      <w:instrText xml:space="preserve"> STYLEREF  标准文件_文件编号  \* MERGEFORMAT </w:instrText>
    </w:r>
    <w:r>
      <w:fldChar w:fldCharType="separate"/>
    </w:r>
    <w:r>
      <w:t>T/QAS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36B88">
    <w:pPr>
      <w:pStyle w:val="19"/>
      <w:jc w:val="right"/>
    </w:pPr>
    <w:r>
      <w:fldChar w:fldCharType="begin"/>
    </w:r>
    <w:r>
      <w:instrText xml:space="preserve"> STYLEREF  标准文件_文件编号  \* MERGEFORMAT </w:instrText>
    </w:r>
    <w:r>
      <w:fldChar w:fldCharType="separate"/>
    </w:r>
    <w:r>
      <w:t>T/QAS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6"/>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1"/>
      <w:suff w:val="nothing"/>
      <w:lvlText w:val="%1%2.%3　"/>
      <w:lvlJc w:val="left"/>
      <w:pPr>
        <w:ind w:left="0" w:firstLine="0"/>
      </w:pPr>
    </w:lvl>
    <w:lvl w:ilvl="3" w:tentative="0">
      <w:start w:val="1"/>
      <w:numFmt w:val="decimal"/>
      <w:pStyle w:val="120"/>
      <w:suff w:val="nothing"/>
      <w:lvlText w:val="%1%2.%3.%4　"/>
      <w:lvlJc w:val="left"/>
      <w:pPr>
        <w:ind w:left="0" w:firstLine="0"/>
      </w:pPr>
    </w:lvl>
    <w:lvl w:ilvl="4" w:tentative="0">
      <w:start w:val="1"/>
      <w:numFmt w:val="decimal"/>
      <w:pStyle w:val="155"/>
      <w:suff w:val="nothing"/>
      <w:lvlText w:val="%1%2.%3.%4.%5　"/>
      <w:lvlJc w:val="left"/>
      <w:pPr>
        <w:ind w:left="0" w:firstLine="0"/>
      </w:pPr>
    </w:lvl>
    <w:lvl w:ilvl="5" w:tentative="0">
      <w:start w:val="1"/>
      <w:numFmt w:val="decimal"/>
      <w:pStyle w:val="157"/>
      <w:suff w:val="nothing"/>
      <w:lvlText w:val="%1%2.%3.%4.%5.%6　"/>
      <w:lvlJc w:val="left"/>
      <w:pPr>
        <w:ind w:left="0" w:firstLine="0"/>
      </w:pPr>
    </w:lvl>
    <w:lvl w:ilvl="6" w:tentative="0">
      <w:start w:val="1"/>
      <w:numFmt w:val="decimal"/>
      <w:pStyle w:val="160"/>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2"/>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2"/>
      <w:suff w:val="nothing"/>
      <w:lvlText w:val="%10.%2 "/>
      <w:lvlJc w:val="left"/>
      <w:pPr>
        <w:ind w:left="0" w:firstLine="0"/>
      </w:pPr>
      <w:rPr>
        <w:rFonts w:hint="eastAsia" w:ascii="黑体" w:eastAsia="黑体" w:hAnsiTheme="minorHAnsi"/>
        <w:b w:val="0"/>
        <w:i w:val="0"/>
        <w:sz w:val="21"/>
      </w:rPr>
    </w:lvl>
    <w:lvl w:ilvl="2" w:tentative="0">
      <w:start w:val="1"/>
      <w:numFmt w:val="decimal"/>
      <w:pStyle w:val="203"/>
      <w:suff w:val="nothing"/>
      <w:lvlText w:val="%10.%2.%3 "/>
      <w:lvlJc w:val="left"/>
      <w:pPr>
        <w:ind w:left="0" w:firstLine="0"/>
      </w:pPr>
      <w:rPr>
        <w:rFonts w:hint="eastAsia" w:ascii="黑体" w:eastAsia="黑体" w:hAnsiTheme="minorHAnsi"/>
        <w:b w:val="0"/>
        <w:i w:val="0"/>
        <w:sz w:val="21"/>
      </w:rPr>
    </w:lvl>
    <w:lvl w:ilvl="3" w:tentative="0">
      <w:start w:val="1"/>
      <w:numFmt w:val="decimal"/>
      <w:pStyle w:val="204"/>
      <w:suff w:val="nothing"/>
      <w:lvlText w:val="%10.%2.%3.%4 "/>
      <w:lvlJc w:val="left"/>
      <w:pPr>
        <w:ind w:left="0" w:firstLine="0"/>
      </w:pPr>
      <w:rPr>
        <w:rFonts w:hint="eastAsia" w:ascii="黑体" w:eastAsia="黑体" w:hAnsiTheme="minorHAnsi"/>
        <w:b w:val="0"/>
        <w:i w:val="0"/>
        <w:sz w:val="21"/>
      </w:rPr>
    </w:lvl>
    <w:lvl w:ilvl="4" w:tentative="0">
      <w:start w:val="1"/>
      <w:numFmt w:val="decimal"/>
      <w:pStyle w:val="205"/>
      <w:suff w:val="nothing"/>
      <w:lvlText w:val="%10.%2.%3.%4.%5 "/>
      <w:lvlJc w:val="left"/>
      <w:pPr>
        <w:ind w:left="0" w:firstLine="0"/>
      </w:pPr>
      <w:rPr>
        <w:rFonts w:hint="eastAsia" w:ascii="黑体" w:eastAsia="黑体" w:hAnsiTheme="minorHAnsi"/>
        <w:b w:val="0"/>
        <w:i w:val="0"/>
        <w:sz w:val="21"/>
      </w:rPr>
    </w:lvl>
    <w:lvl w:ilvl="5" w:tentative="0">
      <w:start w:val="1"/>
      <w:numFmt w:val="decimal"/>
      <w:pStyle w:val="206"/>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3"/>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9"/>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9EB7011"/>
    <w:multiLevelType w:val="multilevel"/>
    <w:tmpl w:val="19EB7011"/>
    <w:lvl w:ilvl="0" w:tentative="0">
      <w:start w:val="1"/>
      <w:numFmt w:val="lowerLetter"/>
      <w:pStyle w:val="176"/>
      <w:lvlText w:val="%1)"/>
      <w:lvlJc w:val="left"/>
      <w:pPr>
        <w:tabs>
          <w:tab w:val="left" w:pos="851"/>
        </w:tabs>
        <w:ind w:left="851" w:hanging="426"/>
      </w:pPr>
      <w:rPr>
        <w:rFonts w:hint="eastAsia" w:ascii="宋体" w:hAnsi="Times New Roman" w:eastAsia="宋体"/>
        <w:sz w:val="21"/>
      </w:rPr>
    </w:lvl>
    <w:lvl w:ilvl="1" w:tentative="0">
      <w:start w:val="1"/>
      <w:numFmt w:val="decimal"/>
      <w:pStyle w:val="111"/>
      <w:lvlText w:val="%2)"/>
      <w:lvlJc w:val="left"/>
      <w:pPr>
        <w:tabs>
          <w:tab w:val="left" w:pos="1276"/>
        </w:tabs>
        <w:ind w:left="1276" w:hanging="425"/>
      </w:pPr>
      <w:rPr>
        <w:rFonts w:hint="eastAsia" w:ascii="宋体" w:hAnsi="Times New Roman" w:eastAsia="宋体"/>
        <w:sz w:val="21"/>
      </w:rPr>
    </w:lvl>
    <w:lvl w:ilvl="2" w:tentative="0">
      <w:start w:val="1"/>
      <w:numFmt w:val="decimal"/>
      <w:pStyle w:val="119"/>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8">
    <w:nsid w:val="1AD20F90"/>
    <w:multiLevelType w:val="multilevel"/>
    <w:tmpl w:val="1AD20F90"/>
    <w:lvl w:ilvl="0" w:tentative="0">
      <w:start w:val="1"/>
      <w:numFmt w:val="none"/>
      <w:pStyle w:val="112"/>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7"/>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4"/>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9"/>
      <w:lvlText w:val=""/>
      <w:lvlJc w:val="left"/>
      <w:pPr>
        <w:ind w:left="851" w:hanging="431"/>
      </w:pPr>
      <w:rPr>
        <w:rFonts w:hint="default" w:ascii="Symbol" w:hAnsi="Symbol"/>
        <w:sz w:val="21"/>
      </w:rPr>
    </w:lvl>
    <w:lvl w:ilvl="2" w:tentative="0">
      <w:start w:val="1"/>
      <w:numFmt w:val="bullet"/>
      <w:pStyle w:val="174"/>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3"/>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3C54F81D"/>
    <w:multiLevelType w:val="multilevel"/>
    <w:tmpl w:val="3C54F81D"/>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0"/>
      <w:lvlText w:val="%1"/>
      <w:lvlJc w:val="left"/>
      <w:pPr>
        <w:ind w:left="420" w:hanging="420"/>
      </w:pPr>
      <w:rPr>
        <w:rFonts w:hint="eastAsia"/>
      </w:rPr>
    </w:lvl>
    <w:lvl w:ilvl="1" w:tentative="0">
      <w:start w:val="1"/>
      <w:numFmt w:val="decimal"/>
      <w:pStyle w:val="85"/>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5"/>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8"/>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6"/>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1"/>
      <w:suff w:val="space"/>
      <w:lvlText w:val="%1"/>
      <w:lvlJc w:val="left"/>
      <w:pPr>
        <w:ind w:left="425" w:hanging="425"/>
      </w:pPr>
      <w:rPr>
        <w:rFonts w:hint="eastAsia"/>
      </w:rPr>
    </w:lvl>
    <w:lvl w:ilvl="1" w:tentative="0">
      <w:start w:val="1"/>
      <w:numFmt w:val="decimal"/>
      <w:pStyle w:val="79"/>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3"/>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1"/>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8"/>
      <w:suff w:val="nothing"/>
      <w:lvlText w:val="附录%1"/>
      <w:lvlJc w:val="left"/>
      <w:pPr>
        <w:ind w:left="0" w:firstLine="0"/>
      </w:pPr>
      <w:rPr>
        <w:rFonts w:hint="eastAsia"/>
        <w:spacing w:val="100"/>
      </w:rPr>
    </w:lvl>
    <w:lvl w:ilvl="1" w:tentative="0">
      <w:start w:val="1"/>
      <w:numFmt w:val="decimal"/>
      <w:pStyle w:val="80"/>
      <w:suff w:val="nothing"/>
      <w:lvlText w:val="%1.%2　"/>
      <w:lvlJc w:val="left"/>
      <w:pPr>
        <w:ind w:left="0" w:firstLine="0"/>
      </w:pPr>
      <w:rPr>
        <w:rFonts w:hint="eastAsia" w:ascii="黑体" w:eastAsia="黑体"/>
        <w:b w:val="0"/>
        <w:i w:val="0"/>
        <w:sz w:val="21"/>
      </w:rPr>
    </w:lvl>
    <w:lvl w:ilvl="2" w:tentative="0">
      <w:start w:val="1"/>
      <w:numFmt w:val="decimal"/>
      <w:pStyle w:val="81"/>
      <w:suff w:val="nothing"/>
      <w:lvlText w:val="%1.%2.%3　"/>
      <w:lvlJc w:val="left"/>
      <w:pPr>
        <w:ind w:left="0" w:firstLine="0"/>
      </w:pPr>
      <w:rPr>
        <w:rFonts w:hint="eastAsia" w:ascii="黑体" w:eastAsia="黑体"/>
        <w:b w:val="0"/>
        <w:i w:val="0"/>
        <w:sz w:val="21"/>
      </w:rPr>
    </w:lvl>
    <w:lvl w:ilvl="3" w:tentative="0">
      <w:start w:val="1"/>
      <w:numFmt w:val="decimal"/>
      <w:pStyle w:val="83"/>
      <w:suff w:val="nothing"/>
      <w:lvlText w:val="%1.%2.%3.%4　"/>
      <w:lvlJc w:val="left"/>
      <w:pPr>
        <w:ind w:left="0" w:firstLine="0"/>
      </w:pPr>
      <w:rPr>
        <w:rFonts w:hint="eastAsia" w:ascii="黑体" w:eastAsia="黑体"/>
        <w:b w:val="0"/>
        <w:i w:val="0"/>
        <w:sz w:val="21"/>
      </w:rPr>
    </w:lvl>
    <w:lvl w:ilvl="4" w:tentative="0">
      <w:start w:val="1"/>
      <w:numFmt w:val="decimal"/>
      <w:pStyle w:val="84"/>
      <w:suff w:val="nothing"/>
      <w:lvlText w:val="%1.%2.%3.%4.%5　"/>
      <w:lvlJc w:val="left"/>
      <w:pPr>
        <w:ind w:left="0" w:firstLine="0"/>
      </w:pPr>
      <w:rPr>
        <w:rFonts w:hint="eastAsia" w:ascii="黑体" w:eastAsia="黑体"/>
        <w:b w:val="0"/>
        <w:i w:val="0"/>
        <w:sz w:val="21"/>
      </w:rPr>
    </w:lvl>
    <w:lvl w:ilvl="5" w:tentative="0">
      <w:start w:val="1"/>
      <w:numFmt w:val="decimal"/>
      <w:pStyle w:val="86"/>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0"/>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4"/>
      <w:suff w:val="nothing"/>
      <w:lvlText w:val="%1"/>
      <w:lvlJc w:val="left"/>
      <w:pPr>
        <w:ind w:left="0" w:firstLine="0"/>
      </w:pPr>
      <w:rPr>
        <w:rFonts w:hint="eastAsia"/>
      </w:rPr>
    </w:lvl>
    <w:lvl w:ilvl="1" w:tentative="0">
      <w:start w:val="1"/>
      <w:numFmt w:val="decimal"/>
      <w:pStyle w:val="106"/>
      <w:suff w:val="nothing"/>
      <w:lvlText w:val="%1%2　"/>
      <w:lvlJc w:val="left"/>
      <w:pPr>
        <w:ind w:left="0" w:firstLine="0"/>
      </w:pPr>
      <w:rPr>
        <w:rFonts w:hint="eastAsia" w:ascii="黑体" w:eastAsia="黑体"/>
        <w:b w:val="0"/>
        <w:i w:val="0"/>
        <w:sz w:val="21"/>
      </w:rPr>
    </w:lvl>
    <w:lvl w:ilvl="2" w:tentative="0">
      <w:start w:val="1"/>
      <w:numFmt w:val="decimal"/>
      <w:pStyle w:val="10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7"/>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5"/>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1"/>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7"/>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1"/>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9"/>
  </w:num>
  <w:num w:numId="8">
    <w:abstractNumId w:val="3"/>
  </w:num>
  <w:num w:numId="9">
    <w:abstractNumId w:val="10"/>
  </w:num>
  <w:num w:numId="10">
    <w:abstractNumId w:val="17"/>
  </w:num>
  <w:num w:numId="11">
    <w:abstractNumId w:val="26"/>
  </w:num>
  <w:num w:numId="12">
    <w:abstractNumId w:val="12"/>
  </w:num>
  <w:num w:numId="13">
    <w:abstractNumId w:val="7"/>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Full" w:cryptAlgorithmClass="hash" w:cryptAlgorithmType="typeAny" w:cryptAlgorithmSid="4" w:cryptSpinCount="0" w:hash="wUP7gC7PMHMX0vriWrkpsn7K4qY=" w:salt="9v51IynATKZ5NqTrmuqau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D0C75A0"/>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E0F472E"/>
    <w:rsid w:val="0FF23D95"/>
    <w:rsid w:val="1D572BC2"/>
    <w:rsid w:val="23FD60E4"/>
    <w:rsid w:val="29F2495E"/>
    <w:rsid w:val="57415864"/>
    <w:rsid w:val="5D0C75A0"/>
    <w:rsid w:val="5EFF5F4E"/>
    <w:rsid w:val="64121815"/>
    <w:rsid w:val="71DE03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3">
    <w:name w:val="heading 1"/>
    <w:basedOn w:val="1"/>
    <w:next w:val="1"/>
    <w:link w:val="36"/>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link w:val="38"/>
    <w:qFormat/>
    <w:uiPriority w:val="0"/>
    <w:pPr>
      <w:keepNext/>
      <w:keepLines/>
      <w:spacing w:before="260" w:after="260" w:line="416" w:lineRule="auto"/>
      <w:outlineLvl w:val="2"/>
    </w:pPr>
    <w:rPr>
      <w:b/>
      <w:bCs/>
      <w:sz w:val="32"/>
      <w:szCs w:val="32"/>
    </w:rPr>
  </w:style>
  <w:style w:type="paragraph" w:styleId="6">
    <w:name w:val="heading 4"/>
    <w:basedOn w:val="1"/>
    <w:next w:val="1"/>
    <w:link w:val="3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40"/>
    <w:qFormat/>
    <w:uiPriority w:val="0"/>
    <w:pPr>
      <w:keepNext/>
      <w:keepLines/>
      <w:adjustRightInd/>
      <w:spacing w:before="280" w:after="290" w:line="376" w:lineRule="auto"/>
      <w:outlineLvl w:val="4"/>
    </w:pPr>
    <w:rPr>
      <w:b/>
      <w:bCs/>
      <w:sz w:val="28"/>
      <w:szCs w:val="28"/>
    </w:rPr>
  </w:style>
  <w:style w:type="paragraph" w:styleId="8">
    <w:name w:val="heading 6"/>
    <w:basedOn w:val="1"/>
    <w:next w:val="1"/>
    <w:link w:val="41"/>
    <w:qFormat/>
    <w:uiPriority w:val="0"/>
    <w:pPr>
      <w:keepNext/>
      <w:keepLines/>
      <w:adjustRightInd/>
      <w:spacing w:before="240" w:after="64" w:line="320" w:lineRule="auto"/>
      <w:outlineLvl w:val="5"/>
    </w:pPr>
    <w:rPr>
      <w:rFonts w:ascii="Arial" w:hAnsi="Arial" w:eastAsia="黑体"/>
      <w:b/>
      <w:bCs/>
      <w:sz w:val="24"/>
      <w:szCs w:val="24"/>
    </w:rPr>
  </w:style>
  <w:style w:type="paragraph" w:styleId="9">
    <w:name w:val="heading 7"/>
    <w:basedOn w:val="1"/>
    <w:next w:val="1"/>
    <w:link w:val="42"/>
    <w:qFormat/>
    <w:uiPriority w:val="0"/>
    <w:pPr>
      <w:keepNext/>
      <w:keepLines/>
      <w:adjustRightInd/>
      <w:spacing w:before="240" w:after="64" w:line="320" w:lineRule="auto"/>
      <w:outlineLvl w:val="6"/>
    </w:pPr>
    <w:rPr>
      <w:b/>
      <w:bCs/>
      <w:sz w:val="24"/>
      <w:szCs w:val="24"/>
    </w:rPr>
  </w:style>
  <w:style w:type="paragraph" w:styleId="10">
    <w:name w:val="heading 8"/>
    <w:basedOn w:val="1"/>
    <w:next w:val="1"/>
    <w:link w:val="43"/>
    <w:qFormat/>
    <w:uiPriority w:val="0"/>
    <w:pPr>
      <w:keepNext/>
      <w:keepLines/>
      <w:adjustRightInd/>
      <w:spacing w:before="240" w:after="64" w:line="320" w:lineRule="auto"/>
      <w:outlineLvl w:val="7"/>
    </w:pPr>
    <w:rPr>
      <w:rFonts w:ascii="Arial" w:hAnsi="Arial" w:eastAsia="黑体"/>
      <w:sz w:val="24"/>
      <w:szCs w:val="24"/>
    </w:rPr>
  </w:style>
  <w:style w:type="paragraph" w:styleId="11">
    <w:name w:val="heading 9"/>
    <w:basedOn w:val="1"/>
    <w:next w:val="1"/>
    <w:link w:val="44"/>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2">
    <w:name w:val="BodyText"/>
    <w:basedOn w:val="1"/>
    <w:qFormat/>
    <w:uiPriority w:val="0"/>
    <w:pPr>
      <w:spacing w:after="120"/>
    </w:pPr>
  </w:style>
  <w:style w:type="paragraph" w:styleId="12">
    <w:name w:val="toc 7"/>
    <w:basedOn w:val="1"/>
    <w:next w:val="1"/>
    <w:autoRedefine/>
    <w:unhideWhenUsed/>
    <w:qFormat/>
    <w:uiPriority w:val="39"/>
    <w:pPr>
      <w:tabs>
        <w:tab w:val="right" w:leader="dot" w:pos="9344"/>
      </w:tabs>
      <w:spacing w:line="300" w:lineRule="exact"/>
      <w:ind w:left="1259"/>
    </w:pPr>
    <w:rPr>
      <w:rFonts w:ascii="宋体"/>
    </w:rPr>
  </w:style>
  <w:style w:type="paragraph" w:styleId="13">
    <w:name w:val="Normal Indent"/>
    <w:basedOn w:val="1"/>
    <w:qFormat/>
    <w:uiPriority w:val="0"/>
    <w:pPr>
      <w:ind w:firstLine="420"/>
    </w:pPr>
  </w:style>
  <w:style w:type="paragraph" w:styleId="14">
    <w:name w:val="Body Text"/>
    <w:basedOn w:val="1"/>
    <w:link w:val="88"/>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7"/>
    <w:semiHidden/>
    <w:unhideWhenUsed/>
    <w:qFormat/>
    <w:uiPriority w:val="99"/>
    <w:rPr>
      <w:sz w:val="18"/>
      <w:szCs w:val="18"/>
    </w:rPr>
  </w:style>
  <w:style w:type="paragraph" w:styleId="18">
    <w:name w:val="footer"/>
    <w:basedOn w:val="1"/>
    <w:link w:val="46"/>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5"/>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1"/>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semiHidden/>
    <w:unhideWhenUsed/>
    <w:qFormat/>
    <w:uiPriority w:val="99"/>
    <w:rPr>
      <w:sz w:val="24"/>
    </w:rPr>
  </w:style>
  <w:style w:type="paragraph" w:styleId="27">
    <w:name w:val="Title"/>
    <w:basedOn w:val="1"/>
    <w:link w:val="50"/>
    <w:qFormat/>
    <w:uiPriority w:val="0"/>
    <w:pPr>
      <w:spacing w:before="240" w:after="60"/>
      <w:jc w:val="center"/>
      <w:outlineLvl w:val="0"/>
    </w:pPr>
    <w:rPr>
      <w:rFonts w:ascii="Arial" w:hAnsi="Arial" w:cs="Arial"/>
      <w:b/>
      <w:bCs/>
      <w:sz w:val="32"/>
      <w:szCs w:val="32"/>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footnote reference"/>
    <w:semiHidden/>
    <w:qFormat/>
    <w:uiPriority w:val="0"/>
    <w:rPr>
      <w:rFonts w:ascii="宋体" w:hAnsi="宋体" w:eastAsia="宋体" w:cs="Times New Roman"/>
      <w:spacing w:val="0"/>
      <w:sz w:val="18"/>
      <w:vertAlign w:val="superscript"/>
    </w:rPr>
  </w:style>
  <w:style w:type="character" w:customStyle="1" w:styleId="36">
    <w:name w:val="标题 1 字符"/>
    <w:link w:val="3"/>
    <w:qFormat/>
    <w:uiPriority w:val="0"/>
    <w:rPr>
      <w:b/>
      <w:bCs/>
      <w:kern w:val="44"/>
      <w:sz w:val="44"/>
      <w:szCs w:val="44"/>
    </w:rPr>
  </w:style>
  <w:style w:type="character" w:customStyle="1" w:styleId="37">
    <w:name w:val="标题 2 字符"/>
    <w:link w:val="4"/>
    <w:qFormat/>
    <w:uiPriority w:val="0"/>
    <w:rPr>
      <w:rFonts w:ascii="Arial" w:hAnsi="Arial" w:eastAsia="黑体"/>
      <w:b/>
      <w:bCs/>
      <w:kern w:val="2"/>
      <w:sz w:val="32"/>
      <w:szCs w:val="32"/>
    </w:rPr>
  </w:style>
  <w:style w:type="character" w:customStyle="1" w:styleId="38">
    <w:name w:val="标题 3 字符"/>
    <w:link w:val="5"/>
    <w:qFormat/>
    <w:uiPriority w:val="0"/>
    <w:rPr>
      <w:b/>
      <w:bCs/>
      <w:kern w:val="2"/>
      <w:sz w:val="32"/>
      <w:szCs w:val="32"/>
    </w:rPr>
  </w:style>
  <w:style w:type="character" w:customStyle="1" w:styleId="39">
    <w:name w:val="标题 4 字符"/>
    <w:link w:val="6"/>
    <w:qFormat/>
    <w:uiPriority w:val="0"/>
    <w:rPr>
      <w:rFonts w:ascii="Arial" w:hAnsi="Arial" w:eastAsia="黑体"/>
      <w:b/>
      <w:bCs/>
      <w:kern w:val="2"/>
      <w:sz w:val="28"/>
      <w:szCs w:val="28"/>
    </w:rPr>
  </w:style>
  <w:style w:type="character" w:customStyle="1" w:styleId="40">
    <w:name w:val="标题 5 字符"/>
    <w:link w:val="7"/>
    <w:qFormat/>
    <w:uiPriority w:val="0"/>
    <w:rPr>
      <w:b/>
      <w:bCs/>
      <w:kern w:val="2"/>
      <w:sz w:val="28"/>
      <w:szCs w:val="28"/>
    </w:rPr>
  </w:style>
  <w:style w:type="character" w:customStyle="1" w:styleId="41">
    <w:name w:val="标题 6 字符"/>
    <w:link w:val="8"/>
    <w:qFormat/>
    <w:uiPriority w:val="0"/>
    <w:rPr>
      <w:rFonts w:ascii="Arial" w:hAnsi="Arial" w:eastAsia="黑体"/>
      <w:b/>
      <w:bCs/>
      <w:kern w:val="2"/>
      <w:sz w:val="24"/>
      <w:szCs w:val="24"/>
    </w:rPr>
  </w:style>
  <w:style w:type="character" w:customStyle="1" w:styleId="42">
    <w:name w:val="标题 7 字符"/>
    <w:link w:val="9"/>
    <w:qFormat/>
    <w:uiPriority w:val="0"/>
    <w:rPr>
      <w:b/>
      <w:bCs/>
      <w:kern w:val="2"/>
      <w:sz w:val="24"/>
      <w:szCs w:val="24"/>
    </w:rPr>
  </w:style>
  <w:style w:type="character" w:customStyle="1" w:styleId="43">
    <w:name w:val="标题 8 字符"/>
    <w:link w:val="10"/>
    <w:qFormat/>
    <w:uiPriority w:val="0"/>
    <w:rPr>
      <w:rFonts w:ascii="Arial" w:hAnsi="Arial" w:eastAsia="黑体"/>
      <w:kern w:val="2"/>
      <w:sz w:val="24"/>
      <w:szCs w:val="24"/>
    </w:rPr>
  </w:style>
  <w:style w:type="character" w:customStyle="1" w:styleId="44">
    <w:name w:val="标题 9 字符"/>
    <w:link w:val="11"/>
    <w:qFormat/>
    <w:uiPriority w:val="0"/>
    <w:rPr>
      <w:rFonts w:ascii="Arial" w:hAnsi="Arial" w:eastAsia="黑体"/>
      <w:kern w:val="2"/>
      <w:sz w:val="21"/>
      <w:szCs w:val="21"/>
    </w:rPr>
  </w:style>
  <w:style w:type="character" w:customStyle="1" w:styleId="45">
    <w:name w:val="页眉 字符"/>
    <w:link w:val="19"/>
    <w:qFormat/>
    <w:uiPriority w:val="99"/>
    <w:rPr>
      <w:kern w:val="2"/>
      <w:sz w:val="18"/>
      <w:szCs w:val="18"/>
    </w:rPr>
  </w:style>
  <w:style w:type="character" w:customStyle="1" w:styleId="46">
    <w:name w:val="页脚 字符"/>
    <w:link w:val="18"/>
    <w:qFormat/>
    <w:uiPriority w:val="99"/>
    <w:rPr>
      <w:rFonts w:ascii="宋体"/>
      <w:kern w:val="2"/>
      <w:sz w:val="18"/>
      <w:szCs w:val="18"/>
    </w:rPr>
  </w:style>
  <w:style w:type="character" w:customStyle="1" w:styleId="47">
    <w:name w:val="批注框文本 字符"/>
    <w:link w:val="17"/>
    <w:semiHidden/>
    <w:qFormat/>
    <w:uiPriority w:val="99"/>
    <w:rPr>
      <w:kern w:val="2"/>
      <w:sz w:val="18"/>
      <w:szCs w:val="18"/>
    </w:rPr>
  </w:style>
  <w:style w:type="paragraph" w:styleId="48">
    <w:name w:val="Quote"/>
    <w:basedOn w:val="1"/>
    <w:next w:val="1"/>
    <w:link w:val="49"/>
    <w:qFormat/>
    <w:uiPriority w:val="29"/>
    <w:rPr>
      <w:i/>
      <w:iCs/>
      <w:color w:val="000000"/>
    </w:rPr>
  </w:style>
  <w:style w:type="character" w:customStyle="1" w:styleId="49">
    <w:name w:val="引用 字符"/>
    <w:link w:val="48"/>
    <w:qFormat/>
    <w:uiPriority w:val="29"/>
    <w:rPr>
      <w:i/>
      <w:iCs/>
      <w:color w:val="000000"/>
      <w:kern w:val="2"/>
      <w:sz w:val="21"/>
      <w:szCs w:val="21"/>
    </w:rPr>
  </w:style>
  <w:style w:type="character" w:customStyle="1" w:styleId="50">
    <w:name w:val="标题 字符"/>
    <w:link w:val="27"/>
    <w:qFormat/>
    <w:uiPriority w:val="0"/>
    <w:rPr>
      <w:rFonts w:ascii="Arial" w:hAnsi="Arial" w:cs="Arial"/>
      <w:b/>
      <w:bCs/>
      <w:kern w:val="2"/>
      <w:sz w:val="32"/>
      <w:szCs w:val="32"/>
    </w:rPr>
  </w:style>
  <w:style w:type="paragraph" w:customStyle="1" w:styleId="51">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qFormat/>
    <w:uiPriority w:val="0"/>
    <w:pPr>
      <w:spacing w:line="0" w:lineRule="atLeast"/>
    </w:pPr>
    <w:rPr>
      <w:rFonts w:ascii="黑体" w:hAnsi="宋体" w:eastAsia="黑体"/>
    </w:rPr>
  </w:style>
  <w:style w:type="paragraph" w:customStyle="1" w:styleId="57">
    <w:name w:val="标准文件_标准正文"/>
    <w:basedOn w:val="1"/>
    <w:next w:val="58"/>
    <w:qFormat/>
    <w:uiPriority w:val="0"/>
    <w:pPr>
      <w:snapToGrid w:val="0"/>
      <w:ind w:firstLine="200" w:firstLineChars="200"/>
    </w:pPr>
    <w:rPr>
      <w:kern w:val="0"/>
    </w:rPr>
  </w:style>
  <w:style w:type="paragraph" w:customStyle="1" w:styleId="58">
    <w:name w:val="标准文件_段"/>
    <w:link w:val="186"/>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9">
    <w:name w:val="标准文件_版本"/>
    <w:basedOn w:val="57"/>
    <w:qFormat/>
    <w:uiPriority w:val="0"/>
    <w:pPr>
      <w:adjustRightInd/>
      <w:snapToGrid/>
      <w:ind w:firstLine="0" w:firstLineChars="0"/>
    </w:pPr>
    <w:rPr>
      <w:rFonts w:ascii="宋体" w:hAnsi="宋体"/>
      <w:kern w:val="2"/>
    </w:rPr>
  </w:style>
  <w:style w:type="paragraph" w:customStyle="1" w:styleId="60">
    <w:name w:val="标准文件_标准部门"/>
    <w:basedOn w:val="1"/>
    <w:qFormat/>
    <w:uiPriority w:val="0"/>
    <w:pPr>
      <w:jc w:val="center"/>
    </w:pPr>
    <w:rPr>
      <w:rFonts w:ascii="黑体" w:eastAsia="黑体"/>
      <w:kern w:val="0"/>
      <w:sz w:val="44"/>
    </w:rPr>
  </w:style>
  <w:style w:type="paragraph" w:customStyle="1" w:styleId="61">
    <w:name w:val="标准文件_标准代替"/>
    <w:basedOn w:val="1"/>
    <w:next w:val="1"/>
    <w:qFormat/>
    <w:uiPriority w:val="0"/>
    <w:pPr>
      <w:spacing w:line="310" w:lineRule="exact"/>
      <w:jc w:val="right"/>
    </w:pPr>
    <w:rPr>
      <w:rFonts w:ascii="宋体" w:hAnsi="宋体"/>
      <w:kern w:val="0"/>
    </w:rPr>
  </w:style>
  <w:style w:type="paragraph" w:customStyle="1" w:styleId="62">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3">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4">
    <w:name w:val="标准文件_页眉偶数页"/>
    <w:basedOn w:val="63"/>
    <w:next w:val="1"/>
    <w:qFormat/>
    <w:uiPriority w:val="0"/>
    <w:pPr>
      <w:jc w:val="left"/>
    </w:pPr>
  </w:style>
  <w:style w:type="paragraph" w:customStyle="1" w:styleId="65">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6">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7">
    <w:name w:val="标准文件_二级条标题"/>
    <w:next w:val="58"/>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8">
    <w:name w:val="标准文件_发布"/>
    <w:qFormat/>
    <w:uiPriority w:val="0"/>
    <w:rPr>
      <w:rFonts w:ascii="黑体" w:eastAsia="黑体"/>
      <w:spacing w:val="0"/>
      <w:w w:val="100"/>
      <w:position w:val="3"/>
      <w:sz w:val="28"/>
    </w:rPr>
  </w:style>
  <w:style w:type="paragraph" w:customStyle="1" w:styleId="69">
    <w:name w:val="标准文件_方框数字列项"/>
    <w:basedOn w:val="58"/>
    <w:qFormat/>
    <w:uiPriority w:val="0"/>
    <w:pPr>
      <w:numPr>
        <w:ilvl w:val="0"/>
        <w:numId w:val="3"/>
      </w:numPr>
      <w:ind w:firstLine="0" w:firstLineChars="0"/>
    </w:pPr>
  </w:style>
  <w:style w:type="paragraph" w:customStyle="1" w:styleId="70">
    <w:name w:val="标准文件_封面标准编号"/>
    <w:basedOn w:val="1"/>
    <w:next w:val="61"/>
    <w:qFormat/>
    <w:uiPriority w:val="0"/>
    <w:pPr>
      <w:spacing w:line="310" w:lineRule="exact"/>
      <w:jc w:val="right"/>
    </w:pPr>
    <w:rPr>
      <w:rFonts w:ascii="黑体" w:eastAsia="黑体"/>
      <w:kern w:val="0"/>
      <w:sz w:val="28"/>
    </w:rPr>
  </w:style>
  <w:style w:type="paragraph" w:customStyle="1" w:styleId="71">
    <w:name w:val="标准文件_封面标准分类号"/>
    <w:basedOn w:val="1"/>
    <w:qFormat/>
    <w:uiPriority w:val="0"/>
    <w:rPr>
      <w:rFonts w:ascii="黑体" w:eastAsia="黑体"/>
      <w:b/>
      <w:kern w:val="0"/>
      <w:sz w:val="28"/>
    </w:rPr>
  </w:style>
  <w:style w:type="paragraph" w:customStyle="1" w:styleId="72">
    <w:name w:val="标准文件_封面标准名称"/>
    <w:basedOn w:val="1"/>
    <w:qFormat/>
    <w:uiPriority w:val="0"/>
    <w:pPr>
      <w:spacing w:line="240" w:lineRule="auto"/>
      <w:jc w:val="center"/>
    </w:pPr>
    <w:rPr>
      <w:rFonts w:ascii="黑体" w:eastAsia="黑体"/>
      <w:kern w:val="0"/>
      <w:sz w:val="52"/>
    </w:rPr>
  </w:style>
  <w:style w:type="paragraph" w:customStyle="1" w:styleId="73">
    <w:name w:val="标准文件_封面标准英文名称"/>
    <w:basedOn w:val="1"/>
    <w:qFormat/>
    <w:uiPriority w:val="0"/>
    <w:pPr>
      <w:spacing w:line="240" w:lineRule="auto"/>
      <w:jc w:val="center"/>
    </w:pPr>
    <w:rPr>
      <w:rFonts w:ascii="黑体" w:eastAsia="黑体"/>
      <w:b/>
      <w:sz w:val="28"/>
    </w:rPr>
  </w:style>
  <w:style w:type="paragraph" w:customStyle="1" w:styleId="74">
    <w:name w:val="标准文件_封面发布日期"/>
    <w:basedOn w:val="1"/>
    <w:qFormat/>
    <w:uiPriority w:val="0"/>
    <w:pPr>
      <w:spacing w:line="310" w:lineRule="exact"/>
    </w:pPr>
    <w:rPr>
      <w:rFonts w:ascii="黑体" w:eastAsia="黑体"/>
      <w:kern w:val="0"/>
      <w:sz w:val="28"/>
    </w:rPr>
  </w:style>
  <w:style w:type="paragraph" w:customStyle="1" w:styleId="75">
    <w:name w:val="标准文件_封面密级"/>
    <w:basedOn w:val="1"/>
    <w:qFormat/>
    <w:uiPriority w:val="0"/>
    <w:rPr>
      <w:rFonts w:eastAsia="黑体"/>
      <w:sz w:val="32"/>
    </w:rPr>
  </w:style>
  <w:style w:type="paragraph" w:customStyle="1" w:styleId="76">
    <w:name w:val="标准文件_封面实施日期"/>
    <w:basedOn w:val="1"/>
    <w:qFormat/>
    <w:uiPriority w:val="0"/>
    <w:pPr>
      <w:spacing w:line="310" w:lineRule="exact"/>
      <w:jc w:val="right"/>
    </w:pPr>
    <w:rPr>
      <w:rFonts w:ascii="黑体" w:eastAsia="黑体"/>
      <w:sz w:val="28"/>
    </w:rPr>
  </w:style>
  <w:style w:type="paragraph" w:customStyle="1" w:styleId="77">
    <w:name w:val="标准文件_封面抬头"/>
    <w:basedOn w:val="58"/>
    <w:qFormat/>
    <w:uiPriority w:val="0"/>
    <w:pPr>
      <w:adjustRightInd w:val="0"/>
      <w:spacing w:line="800" w:lineRule="exact"/>
      <w:ind w:firstLine="0" w:firstLineChars="0"/>
      <w:jc w:val="distribute"/>
    </w:pPr>
    <w:rPr>
      <w:rFonts w:ascii="黑体" w:eastAsia="黑体"/>
      <w:b/>
      <w:sz w:val="64"/>
    </w:rPr>
  </w:style>
  <w:style w:type="paragraph" w:customStyle="1" w:styleId="78">
    <w:name w:val="标准文件_附录标识"/>
    <w:next w:val="58"/>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9">
    <w:name w:val="标准文件_附录表标题"/>
    <w:next w:val="58"/>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0">
    <w:name w:val="标准文件_附录一级条标题"/>
    <w:next w:val="58"/>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1">
    <w:name w:val="标准文件_附录二级条标题"/>
    <w:basedOn w:val="80"/>
    <w:next w:val="58"/>
    <w:qFormat/>
    <w:uiPriority w:val="0"/>
    <w:pPr>
      <w:widowControl/>
      <w:numPr>
        <w:ilvl w:val="2"/>
      </w:numPr>
      <w:wordWrap w:val="0"/>
      <w:overflowPunct w:val="0"/>
      <w:autoSpaceDE w:val="0"/>
      <w:autoSpaceDN w:val="0"/>
      <w:textAlignment w:val="baseline"/>
      <w:outlineLvl w:val="3"/>
    </w:pPr>
  </w:style>
  <w:style w:type="paragraph" w:customStyle="1" w:styleId="82">
    <w:name w:val="标准文件_附录公式"/>
    <w:basedOn w:val="57"/>
    <w:next w:val="57"/>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3">
    <w:name w:val="标准文件_附录三级条标题"/>
    <w:next w:val="58"/>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4">
    <w:name w:val="标准文件_附录四级条标题"/>
    <w:next w:val="58"/>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5">
    <w:name w:val="标准文件_附录图标题"/>
    <w:next w:val="58"/>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6">
    <w:name w:val="标准文件_附录五级条标题"/>
    <w:next w:val="58"/>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7">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8">
    <w:name w:val="正文文本 字符"/>
    <w:link w:val="14"/>
    <w:qFormat/>
    <w:uiPriority w:val="0"/>
    <w:rPr>
      <w:kern w:val="2"/>
      <w:sz w:val="21"/>
      <w:szCs w:val="21"/>
    </w:rPr>
  </w:style>
  <w:style w:type="paragraph" w:customStyle="1" w:styleId="89">
    <w:name w:val="标准文件_附录章标题"/>
    <w:next w:val="58"/>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qFormat/>
    <w:uiPriority w:val="0"/>
    <w:pPr>
      <w:ind w:left="488" w:leftChars="200" w:hanging="289" w:hangingChars="290"/>
    </w:pPr>
  </w:style>
  <w:style w:type="paragraph" w:customStyle="1" w:styleId="91">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qFormat/>
    <w:uiPriority w:val="0"/>
    <w:pPr>
      <w:spacing w:line="460" w:lineRule="exact"/>
      <w:ind w:left="0" w:firstLine="0"/>
    </w:pPr>
  </w:style>
  <w:style w:type="paragraph" w:customStyle="1" w:styleId="93">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4">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qFormat/>
    <w:uiPriority w:val="0"/>
    <w:pPr>
      <w:numPr>
        <w:numId w:val="10"/>
      </w:numPr>
    </w:pPr>
  </w:style>
  <w:style w:type="paragraph" w:customStyle="1" w:styleId="96">
    <w:name w:val="标准文件_三级条标题"/>
    <w:basedOn w:val="67"/>
    <w:next w:val="58"/>
    <w:qFormat/>
    <w:uiPriority w:val="0"/>
    <w:pPr>
      <w:widowControl/>
      <w:numPr>
        <w:ilvl w:val="4"/>
      </w:numPr>
      <w:outlineLvl w:val="3"/>
    </w:pPr>
  </w:style>
  <w:style w:type="character" w:customStyle="1" w:styleId="97">
    <w:name w:val="Subtle Reference"/>
    <w:qFormat/>
    <w:uiPriority w:val="31"/>
    <w:rPr>
      <w:smallCaps/>
      <w:color w:val="C0504D"/>
      <w:u w:val="single"/>
    </w:rPr>
  </w:style>
  <w:style w:type="paragraph" w:customStyle="1" w:styleId="98">
    <w:name w:val="标准文件_示例后续"/>
    <w:basedOn w:val="1"/>
    <w:qFormat/>
    <w:uiPriority w:val="0"/>
    <w:pPr>
      <w:adjustRightInd/>
      <w:spacing w:line="240" w:lineRule="auto"/>
      <w:ind w:firstLine="200" w:firstLineChars="200"/>
    </w:pPr>
    <w:rPr>
      <w:sz w:val="18"/>
      <w:szCs w:val="24"/>
    </w:rPr>
  </w:style>
  <w:style w:type="paragraph" w:customStyle="1" w:styleId="99">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1">
    <w:name w:val="脚注文本 字符"/>
    <w:link w:val="22"/>
    <w:semiHidden/>
    <w:qFormat/>
    <w:uiPriority w:val="0"/>
    <w:rPr>
      <w:rFonts w:ascii="宋体"/>
      <w:kern w:val="2"/>
      <w:sz w:val="18"/>
      <w:szCs w:val="18"/>
    </w:rPr>
  </w:style>
  <w:style w:type="paragraph" w:customStyle="1" w:styleId="102">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3">
    <w:name w:val="标准文件_图表脚注"/>
    <w:basedOn w:val="1"/>
    <w:next w:val="58"/>
    <w:qFormat/>
    <w:uiPriority w:val="0"/>
    <w:pPr>
      <w:numPr>
        <w:ilvl w:val="0"/>
        <w:numId w:val="12"/>
      </w:numPr>
      <w:spacing w:line="240" w:lineRule="auto"/>
      <w:jc w:val="left"/>
    </w:pPr>
    <w:rPr>
      <w:rFonts w:ascii="宋体" w:hAnsi="宋体"/>
      <w:sz w:val="18"/>
    </w:rPr>
  </w:style>
  <w:style w:type="character" w:customStyle="1" w:styleId="104">
    <w:name w:val="标准文件_图表脚注内容"/>
    <w:qFormat/>
    <w:uiPriority w:val="0"/>
    <w:rPr>
      <w:rFonts w:ascii="宋体" w:hAnsi="宋体" w:eastAsia="宋体" w:cs="Times New Roman"/>
      <w:spacing w:val="0"/>
      <w:sz w:val="18"/>
      <w:vertAlign w:val="superscript"/>
    </w:rPr>
  </w:style>
  <w:style w:type="paragraph" w:customStyle="1" w:styleId="105">
    <w:name w:val="标准文件_五级条标题"/>
    <w:next w:val="58"/>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6">
    <w:name w:val="标准文件_章标题"/>
    <w:next w:val="5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7">
    <w:name w:val="标准文件_一级条标题"/>
    <w:basedOn w:val="106"/>
    <w:next w:val="58"/>
    <w:qFormat/>
    <w:uiPriority w:val="0"/>
    <w:pPr>
      <w:numPr>
        <w:ilvl w:val="2"/>
      </w:numPr>
      <w:spacing w:before="50" w:beforeLines="50" w:after="50" w:afterLines="50"/>
      <w:outlineLvl w:val="1"/>
    </w:pPr>
  </w:style>
  <w:style w:type="paragraph" w:customStyle="1" w:styleId="108">
    <w:name w:val="标准文件_一致程度"/>
    <w:basedOn w:val="1"/>
    <w:qFormat/>
    <w:uiPriority w:val="0"/>
    <w:pPr>
      <w:spacing w:line="440" w:lineRule="exact"/>
      <w:jc w:val="center"/>
    </w:pPr>
    <w:rPr>
      <w:sz w:val="28"/>
    </w:rPr>
  </w:style>
  <w:style w:type="paragraph" w:customStyle="1" w:styleId="109">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0">
    <w:name w:val="标准文件_英文图表脚注"/>
    <w:basedOn w:val="57"/>
    <w:qFormat/>
    <w:uiPriority w:val="0"/>
    <w:pPr>
      <w:widowControl/>
      <w:adjustRightInd/>
      <w:snapToGrid/>
      <w:spacing w:line="240" w:lineRule="auto"/>
      <w:ind w:left="79" w:hanging="79" w:hangingChars="80"/>
    </w:pPr>
    <w:rPr>
      <w:rFonts w:ascii="宋体" w:hAnsi="宋体"/>
    </w:rPr>
  </w:style>
  <w:style w:type="paragraph" w:customStyle="1" w:styleId="111">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2">
    <w:name w:val="标准文件_英文注："/>
    <w:basedOn w:val="1"/>
    <w:next w:val="58"/>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3">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4">
    <w:name w:val="标准文件_正文表标题"/>
    <w:next w:val="58"/>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公式"/>
    <w:basedOn w:val="1"/>
    <w:next w:val="57"/>
    <w:qFormat/>
    <w:uiPriority w:val="0"/>
    <w:pPr>
      <w:tabs>
        <w:tab w:val="center" w:pos="4678"/>
        <w:tab w:val="right" w:leader="middleDot" w:pos="9356"/>
      </w:tabs>
      <w:spacing w:line="240" w:lineRule="auto"/>
    </w:pPr>
    <w:rPr>
      <w:rFonts w:ascii="宋体" w:hAnsi="宋体"/>
    </w:rPr>
  </w:style>
  <w:style w:type="paragraph" w:customStyle="1" w:styleId="116">
    <w:name w:val="标准文件_正文图标题"/>
    <w:next w:val="58"/>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英文表标题"/>
    <w:next w:val="58"/>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8">
    <w:name w:val="标准文件_正文英文图标题"/>
    <w:next w:val="58"/>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9">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0">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1">
    <w:name w:val="发布部门"/>
    <w:next w:val="58"/>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2">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3">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4">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7">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8">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9">
    <w:name w:val="封面正文"/>
    <w:qFormat/>
    <w:uiPriority w:val="0"/>
    <w:pPr>
      <w:jc w:val="both"/>
    </w:pPr>
    <w:rPr>
      <w:rFonts w:ascii="Times New Roman" w:hAnsi="Times New Roman" w:eastAsia="宋体" w:cs="Times New Roman"/>
      <w:lang w:val="en-US" w:eastAsia="zh-CN" w:bidi="ar-SA"/>
    </w:rPr>
  </w:style>
  <w:style w:type="paragraph" w:customStyle="1" w:styleId="130">
    <w:name w:val="附录二级无标题条"/>
    <w:basedOn w:val="1"/>
    <w:next w:val="58"/>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1">
    <w:name w:val="附录三级无标题条"/>
    <w:basedOn w:val="130"/>
    <w:next w:val="58"/>
    <w:qFormat/>
    <w:uiPriority w:val="0"/>
    <w:pPr>
      <w:outlineLvl w:val="4"/>
    </w:pPr>
  </w:style>
  <w:style w:type="paragraph" w:customStyle="1" w:styleId="132">
    <w:name w:val="附录四级无标题条"/>
    <w:basedOn w:val="131"/>
    <w:next w:val="58"/>
    <w:qFormat/>
    <w:uiPriority w:val="0"/>
    <w:pPr>
      <w:outlineLvl w:val="5"/>
    </w:pPr>
  </w:style>
  <w:style w:type="paragraph" w:customStyle="1" w:styleId="133">
    <w:name w:val="附录图"/>
    <w:next w:val="58"/>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4">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5">
    <w:name w:val="附录五级无标题条"/>
    <w:basedOn w:val="132"/>
    <w:next w:val="58"/>
    <w:qFormat/>
    <w:uiPriority w:val="0"/>
    <w:pPr>
      <w:outlineLvl w:val="6"/>
    </w:pPr>
  </w:style>
  <w:style w:type="paragraph" w:customStyle="1" w:styleId="136">
    <w:name w:val="附录性质"/>
    <w:basedOn w:val="1"/>
    <w:qFormat/>
    <w:uiPriority w:val="0"/>
    <w:pPr>
      <w:widowControl/>
      <w:adjustRightInd/>
      <w:jc w:val="center"/>
    </w:pPr>
    <w:rPr>
      <w:rFonts w:ascii="黑体" w:eastAsia="黑体"/>
    </w:rPr>
  </w:style>
  <w:style w:type="paragraph" w:customStyle="1" w:styleId="137">
    <w:name w:val="附录一级无标题条"/>
    <w:basedOn w:val="89"/>
    <w:next w:val="58"/>
    <w:qFormat/>
    <w:uiPriority w:val="0"/>
    <w:pPr>
      <w:autoSpaceDN w:val="0"/>
      <w:outlineLvl w:val="2"/>
    </w:pPr>
    <w:rPr>
      <w:rFonts w:ascii="宋体" w:hAnsi="宋体" w:eastAsia="宋体"/>
    </w:rPr>
  </w:style>
  <w:style w:type="character" w:customStyle="1" w:styleId="138">
    <w:name w:val="个人答复风格"/>
    <w:qFormat/>
    <w:uiPriority w:val="0"/>
    <w:rPr>
      <w:rFonts w:ascii="Arial" w:hAnsi="Arial" w:eastAsia="宋体" w:cs="Arial"/>
      <w:color w:val="auto"/>
      <w:spacing w:val="0"/>
      <w:sz w:val="20"/>
    </w:rPr>
  </w:style>
  <w:style w:type="character" w:customStyle="1" w:styleId="139">
    <w:name w:val="个人撰写风格"/>
    <w:qFormat/>
    <w:uiPriority w:val="0"/>
    <w:rPr>
      <w:rFonts w:ascii="Arial" w:hAnsi="Arial" w:eastAsia="宋体" w:cs="Arial"/>
      <w:color w:val="auto"/>
      <w:spacing w:val="0"/>
      <w:sz w:val="20"/>
    </w:rPr>
  </w:style>
  <w:style w:type="paragraph" w:customStyle="1" w:styleId="140">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1">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2">
    <w:name w:val="列项·"/>
    <w:basedOn w:val="58"/>
    <w:qFormat/>
    <w:uiPriority w:val="0"/>
    <w:pPr>
      <w:tabs>
        <w:tab w:val="left" w:pos="840"/>
      </w:tabs>
    </w:pPr>
  </w:style>
  <w:style w:type="paragraph" w:customStyle="1" w:styleId="143">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4">
    <w:name w:val="目录 21"/>
    <w:basedOn w:val="1"/>
    <w:next w:val="1"/>
    <w:autoRedefine/>
    <w:semiHidden/>
    <w:qFormat/>
    <w:uiPriority w:val="0"/>
    <w:pPr>
      <w:adjustRightInd/>
      <w:spacing w:line="240" w:lineRule="auto"/>
      <w:jc w:val="left"/>
    </w:pPr>
    <w:rPr>
      <w:bCs/>
      <w:iCs/>
    </w:rPr>
  </w:style>
  <w:style w:type="paragraph" w:customStyle="1" w:styleId="145">
    <w:name w:val="目录 31"/>
    <w:basedOn w:val="1"/>
    <w:next w:val="1"/>
    <w:autoRedefine/>
    <w:semiHidden/>
    <w:qFormat/>
    <w:uiPriority w:val="0"/>
    <w:pPr>
      <w:spacing w:line="240" w:lineRule="auto"/>
    </w:pPr>
    <w:rPr>
      <w:rFonts w:ascii="宋体" w:hAnsi="宋体"/>
      <w:iCs/>
    </w:rPr>
  </w:style>
  <w:style w:type="paragraph" w:customStyle="1" w:styleId="146">
    <w:name w:val="目录 41"/>
    <w:basedOn w:val="1"/>
    <w:next w:val="1"/>
    <w:autoRedefine/>
    <w:semiHidden/>
    <w:qFormat/>
    <w:uiPriority w:val="0"/>
    <w:pPr>
      <w:adjustRightInd/>
      <w:spacing w:line="240" w:lineRule="auto"/>
      <w:jc w:val="left"/>
    </w:pPr>
  </w:style>
  <w:style w:type="paragraph" w:customStyle="1" w:styleId="147">
    <w:name w:val="目录 51"/>
    <w:basedOn w:val="1"/>
    <w:next w:val="1"/>
    <w:autoRedefine/>
    <w:semiHidden/>
    <w:qFormat/>
    <w:uiPriority w:val="0"/>
    <w:pPr>
      <w:spacing w:line="240" w:lineRule="auto"/>
    </w:pPr>
    <w:rPr>
      <w:rFonts w:ascii="宋体" w:hAnsi="宋体"/>
    </w:rPr>
  </w:style>
  <w:style w:type="paragraph" w:customStyle="1" w:styleId="148">
    <w:name w:val="目录 61"/>
    <w:basedOn w:val="1"/>
    <w:next w:val="1"/>
    <w:autoRedefine/>
    <w:semiHidden/>
    <w:qFormat/>
    <w:uiPriority w:val="0"/>
    <w:pPr>
      <w:adjustRightInd/>
      <w:spacing w:line="240" w:lineRule="auto"/>
      <w:jc w:val="left"/>
    </w:pPr>
  </w:style>
  <w:style w:type="paragraph" w:customStyle="1" w:styleId="149">
    <w:name w:val="目录 71"/>
    <w:basedOn w:val="148"/>
    <w:autoRedefine/>
    <w:semiHidden/>
    <w:qFormat/>
    <w:uiPriority w:val="0"/>
    <w:pPr>
      <w:ind w:left="1260"/>
    </w:pPr>
  </w:style>
  <w:style w:type="paragraph" w:customStyle="1" w:styleId="150">
    <w:name w:val="目录 81"/>
    <w:basedOn w:val="149"/>
    <w:autoRedefine/>
    <w:semiHidden/>
    <w:qFormat/>
    <w:uiPriority w:val="0"/>
    <w:pPr>
      <w:ind w:left="1470"/>
    </w:pPr>
  </w:style>
  <w:style w:type="paragraph" w:customStyle="1" w:styleId="151">
    <w:name w:val="目录 91"/>
    <w:basedOn w:val="150"/>
    <w:autoRedefine/>
    <w:semiHidden/>
    <w:qFormat/>
    <w:uiPriority w:val="0"/>
    <w:pPr>
      <w:ind w:left="1680"/>
    </w:pPr>
  </w:style>
  <w:style w:type="paragraph" w:customStyle="1" w:styleId="152">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3">
    <w:name w:val="其他发布部门"/>
    <w:basedOn w:val="121"/>
    <w:qFormat/>
    <w:uiPriority w:val="0"/>
    <w:pPr>
      <w:framePr w:wrap="around"/>
      <w:spacing w:line="0" w:lineRule="atLeast"/>
    </w:pPr>
    <w:rPr>
      <w:rFonts w:ascii="黑体" w:eastAsia="黑体"/>
      <w:b w:val="0"/>
    </w:rPr>
  </w:style>
  <w:style w:type="paragraph" w:customStyle="1" w:styleId="154">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5">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6">
    <w:name w:val="实施日期"/>
    <w:basedOn w:val="122"/>
    <w:qFormat/>
    <w:uiPriority w:val="0"/>
    <w:pPr>
      <w:framePr w:hSpace="0" w:wrap="around" w:xAlign="right"/>
      <w:jc w:val="right"/>
    </w:pPr>
  </w:style>
  <w:style w:type="paragraph" w:customStyle="1" w:styleId="157">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8">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9">
    <w:name w:val="无标题条"/>
    <w:next w:val="58"/>
    <w:qFormat/>
    <w:uiPriority w:val="0"/>
    <w:pPr>
      <w:jc w:val="both"/>
    </w:pPr>
    <w:rPr>
      <w:rFonts w:ascii="宋体" w:hAnsi="宋体" w:eastAsia="宋体" w:cs="Times New Roman"/>
      <w:sz w:val="21"/>
      <w:lang w:val="en-US" w:eastAsia="zh-CN" w:bidi="ar-SA"/>
    </w:rPr>
  </w:style>
  <w:style w:type="paragraph" w:customStyle="1" w:styleId="160">
    <w:name w:val="五级无标题条"/>
    <w:basedOn w:val="1"/>
    <w:qFormat/>
    <w:uiPriority w:val="0"/>
    <w:pPr>
      <w:numPr>
        <w:ilvl w:val="6"/>
        <w:numId w:val="20"/>
      </w:numPr>
      <w:adjustRightInd/>
    </w:pPr>
    <w:rPr>
      <w:szCs w:val="24"/>
    </w:rPr>
  </w:style>
  <w:style w:type="paragraph" w:customStyle="1" w:styleId="161">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2">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3">
    <w:name w:val="注×:后续"/>
    <w:basedOn w:val="162"/>
    <w:qFormat/>
    <w:uiPriority w:val="0"/>
    <w:pPr>
      <w:ind w:left="1406" w:leftChars="0" w:hanging="499" w:firstLineChars="0"/>
    </w:pPr>
  </w:style>
  <w:style w:type="paragraph" w:customStyle="1" w:styleId="164">
    <w:name w:val="标准文件_一级无标题"/>
    <w:basedOn w:val="107"/>
    <w:qFormat/>
    <w:uiPriority w:val="0"/>
    <w:pPr>
      <w:spacing w:before="0" w:beforeLines="0" w:after="0" w:afterLines="0"/>
      <w:outlineLvl w:val="9"/>
    </w:pPr>
    <w:rPr>
      <w:rFonts w:ascii="宋体" w:eastAsia="宋体"/>
    </w:rPr>
  </w:style>
  <w:style w:type="paragraph" w:customStyle="1" w:styleId="165">
    <w:name w:val="标准文件_五级无标题"/>
    <w:basedOn w:val="105"/>
    <w:qFormat/>
    <w:uiPriority w:val="0"/>
    <w:pPr>
      <w:spacing w:before="0" w:beforeLines="0" w:after="0" w:afterLines="0"/>
      <w:outlineLvl w:val="9"/>
    </w:pPr>
    <w:rPr>
      <w:rFonts w:ascii="宋体" w:eastAsia="宋体"/>
    </w:rPr>
  </w:style>
  <w:style w:type="paragraph" w:customStyle="1" w:styleId="166">
    <w:name w:val="标准文件_三级无标题"/>
    <w:basedOn w:val="96"/>
    <w:qFormat/>
    <w:uiPriority w:val="0"/>
    <w:pPr>
      <w:spacing w:before="0" w:beforeLines="0" w:after="0" w:afterLines="0"/>
      <w:outlineLvl w:val="9"/>
    </w:pPr>
    <w:rPr>
      <w:rFonts w:ascii="宋体" w:eastAsia="宋体"/>
    </w:rPr>
  </w:style>
  <w:style w:type="paragraph" w:customStyle="1" w:styleId="167">
    <w:name w:val="标准文件_二级无标题"/>
    <w:basedOn w:val="67"/>
    <w:qFormat/>
    <w:uiPriority w:val="0"/>
    <w:pPr>
      <w:spacing w:before="0" w:beforeLines="0" w:after="0" w:afterLines="0"/>
      <w:outlineLvl w:val="9"/>
    </w:pPr>
    <w:rPr>
      <w:rFonts w:ascii="宋体" w:eastAsia="宋体"/>
    </w:rPr>
  </w:style>
  <w:style w:type="paragraph" w:customStyle="1" w:styleId="168">
    <w:name w:val="标准_四级无标题"/>
    <w:basedOn w:val="100"/>
    <w:next w:val="58"/>
    <w:qFormat/>
    <w:uiPriority w:val="0"/>
    <w:rPr>
      <w:rFonts w:eastAsia="宋体"/>
    </w:rPr>
  </w:style>
  <w:style w:type="paragraph" w:customStyle="1" w:styleId="169">
    <w:name w:val="标准文件_四级无标题"/>
    <w:basedOn w:val="100"/>
    <w:qFormat/>
    <w:uiPriority w:val="0"/>
    <w:pPr>
      <w:spacing w:before="0" w:beforeLines="0" w:after="0" w:afterLines="0"/>
      <w:outlineLvl w:val="9"/>
    </w:pPr>
    <w:rPr>
      <w:rFonts w:ascii="宋体" w:hAnsi="黑体" w:eastAsia="宋体"/>
      <w:szCs w:val="52"/>
    </w:rPr>
  </w:style>
  <w:style w:type="paragraph" w:customStyle="1" w:styleId="170">
    <w:name w:val="标准文件_大写罗马数字编号列项"/>
    <w:basedOn w:val="58"/>
    <w:qFormat/>
    <w:uiPriority w:val="0"/>
    <w:pPr>
      <w:numPr>
        <w:ilvl w:val="0"/>
        <w:numId w:val="23"/>
      </w:numPr>
      <w:ind w:firstLine="0" w:firstLineChars="0"/>
    </w:pPr>
    <w:rPr>
      <w:rFonts w:cs="Arial"/>
      <w:szCs w:val="28"/>
    </w:rPr>
  </w:style>
  <w:style w:type="paragraph" w:customStyle="1" w:styleId="171">
    <w:name w:val="标准文件_小写罗马数字编号列项"/>
    <w:basedOn w:val="58"/>
    <w:qFormat/>
    <w:uiPriority w:val="0"/>
    <w:pPr>
      <w:numPr>
        <w:ilvl w:val="0"/>
        <w:numId w:val="24"/>
      </w:numPr>
      <w:ind w:firstLine="0" w:firstLineChars="0"/>
    </w:pPr>
    <w:rPr>
      <w:rFonts w:cs="Arial"/>
      <w:szCs w:val="28"/>
    </w:rPr>
  </w:style>
  <w:style w:type="paragraph" w:customStyle="1" w:styleId="172">
    <w:name w:val="标准文件_附录标题"/>
    <w:basedOn w:val="78"/>
    <w:qFormat/>
    <w:uiPriority w:val="0"/>
    <w:pPr>
      <w:numPr>
        <w:numId w:val="0"/>
      </w:numPr>
      <w:spacing w:after="280"/>
      <w:outlineLvl w:val="9"/>
    </w:pPr>
  </w:style>
  <w:style w:type="paragraph" w:customStyle="1" w:styleId="173">
    <w:name w:val="标准文件_二级项"/>
    <w:qFormat/>
    <w:uiPriority w:val="0"/>
    <w:rPr>
      <w:rFonts w:ascii="宋体" w:hAnsi="Times New Roman" w:eastAsia="宋体" w:cs="Times New Roman"/>
      <w:sz w:val="21"/>
      <w:lang w:val="en-US" w:eastAsia="zh-CN" w:bidi="ar-SA"/>
    </w:rPr>
  </w:style>
  <w:style w:type="paragraph" w:customStyle="1" w:styleId="174">
    <w:name w:val="标准文件_三级项"/>
    <w:basedOn w:val="1"/>
    <w:qFormat/>
    <w:uiPriority w:val="0"/>
    <w:pPr>
      <w:numPr>
        <w:ilvl w:val="2"/>
        <w:numId w:val="21"/>
      </w:numPr>
      <w:spacing w:line="536870612" w:lineRule="auto"/>
    </w:pPr>
    <w:rPr>
      <w:rFonts w:ascii="Times New Roman" w:hAnsi="Times New Roman"/>
    </w:rPr>
  </w:style>
  <w:style w:type="paragraph" w:customStyle="1" w:styleId="175">
    <w:name w:val="图表脚注说明"/>
    <w:basedOn w:val="1"/>
    <w:next w:val="58"/>
    <w:qFormat/>
    <w:uiPriority w:val="0"/>
    <w:pPr>
      <w:numPr>
        <w:ilvl w:val="0"/>
        <w:numId w:val="25"/>
      </w:numPr>
      <w:adjustRightInd/>
      <w:spacing w:line="240" w:lineRule="auto"/>
    </w:pPr>
    <w:rPr>
      <w:rFonts w:ascii="宋体" w:hAnsi="Times New Roman"/>
      <w:sz w:val="18"/>
      <w:szCs w:val="18"/>
    </w:rPr>
  </w:style>
  <w:style w:type="paragraph" w:customStyle="1" w:styleId="176">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7">
    <w:name w:val="标准文件_索引字母"/>
    <w:next w:val="58"/>
    <w:qFormat/>
    <w:uiPriority w:val="0"/>
    <w:pPr>
      <w:jc w:val="center"/>
    </w:pPr>
    <w:rPr>
      <w:rFonts w:ascii="宋体" w:hAnsi="宋体" w:eastAsia="Times New Roman" w:cs="Times New Roman"/>
      <w:b/>
      <w:kern w:val="2"/>
      <w:sz w:val="21"/>
      <w:lang w:val="en-US" w:eastAsia="zh-CN" w:bidi="ar-SA"/>
    </w:rPr>
  </w:style>
  <w:style w:type="paragraph" w:customStyle="1" w:styleId="178">
    <w:name w:val="标准文件_附录前"/>
    <w:next w:val="58"/>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9">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0">
    <w:name w:val="标准文件_表格"/>
    <w:basedOn w:val="58"/>
    <w:qFormat/>
    <w:uiPriority w:val="0"/>
    <w:pPr>
      <w:ind w:firstLine="0" w:firstLineChars="0"/>
      <w:jc w:val="center"/>
    </w:pPr>
    <w:rPr>
      <w:sz w:val="18"/>
    </w:rPr>
  </w:style>
  <w:style w:type="paragraph" w:customStyle="1" w:styleId="181">
    <w:name w:val="标准文件_注："/>
    <w:next w:val="58"/>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示例："/>
    <w:next w:val="184"/>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4">
    <w:name w:val="标准文件_示例内容"/>
    <w:basedOn w:val="58"/>
    <w:qFormat/>
    <w:uiPriority w:val="0"/>
    <w:pPr>
      <w:ind w:firstLine="420"/>
    </w:pPr>
    <w:rPr>
      <w:sz w:val="18"/>
    </w:rPr>
  </w:style>
  <w:style w:type="paragraph" w:customStyle="1" w:styleId="185">
    <w:name w:val="标准文件_示例×："/>
    <w:basedOn w:val="1"/>
    <w:next w:val="184"/>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6">
    <w:name w:val="标准文件_段 Char"/>
    <w:link w:val="58"/>
    <w:qFormat/>
    <w:uiPriority w:val="0"/>
    <w:rPr>
      <w:rFonts w:ascii="Times New Roman" w:hAnsi="Times New Roman"/>
      <w:sz w:val="21"/>
    </w:rPr>
  </w:style>
  <w:style w:type="paragraph" w:customStyle="1" w:styleId="187">
    <w:name w:val="标准文件_表格续"/>
    <w:basedOn w:val="58"/>
    <w:next w:val="58"/>
    <w:qFormat/>
    <w:uiPriority w:val="0"/>
    <w:pPr>
      <w:jc w:val="center"/>
    </w:pPr>
    <w:rPr>
      <w:rFonts w:ascii="黑体" w:hAnsi="黑体" w:eastAsia="黑体"/>
    </w:rPr>
  </w:style>
  <w:style w:type="character" w:styleId="188">
    <w:name w:val="Placeholder Text"/>
    <w:basedOn w:val="30"/>
    <w:semiHidden/>
    <w:qFormat/>
    <w:uiPriority w:val="99"/>
    <w:rPr>
      <w:color w:val="808080"/>
    </w:rPr>
  </w:style>
  <w:style w:type="paragraph" w:customStyle="1" w:styleId="189">
    <w:name w:val="标准文件_二级项2"/>
    <w:basedOn w:val="58"/>
    <w:qFormat/>
    <w:uiPriority w:val="0"/>
    <w:pPr>
      <w:numPr>
        <w:ilvl w:val="1"/>
        <w:numId w:val="21"/>
      </w:numPr>
      <w:ind w:firstLine="0" w:firstLineChars="0"/>
    </w:pPr>
  </w:style>
  <w:style w:type="paragraph" w:customStyle="1" w:styleId="190">
    <w:name w:val="标准文件_三级项2"/>
    <w:basedOn w:val="58"/>
    <w:qFormat/>
    <w:uiPriority w:val="0"/>
    <w:pPr>
      <w:numPr>
        <w:ilvl w:val="0"/>
        <w:numId w:val="30"/>
      </w:numPr>
      <w:spacing w:line="300" w:lineRule="exact"/>
      <w:ind w:firstLineChars="0"/>
    </w:pPr>
  </w:style>
  <w:style w:type="paragraph" w:customStyle="1" w:styleId="191">
    <w:name w:val="标准文件_一级项2"/>
    <w:basedOn w:val="58"/>
    <w:qFormat/>
    <w:uiPriority w:val="0"/>
    <w:pPr>
      <w:numPr>
        <w:ilvl w:val="0"/>
        <w:numId w:val="31"/>
      </w:numPr>
      <w:spacing w:line="300" w:lineRule="exact"/>
      <w:ind w:firstLineChars="0"/>
    </w:pPr>
  </w:style>
  <w:style w:type="paragraph" w:customStyle="1" w:styleId="192">
    <w:name w:val="标准文件_提示"/>
    <w:basedOn w:val="58"/>
    <w:next w:val="58"/>
    <w:qFormat/>
    <w:uiPriority w:val="0"/>
    <w:pPr>
      <w:ind w:firstLine="420"/>
    </w:pPr>
    <w:rPr>
      <w:rFonts w:ascii="黑体" w:eastAsia="黑体"/>
    </w:rPr>
  </w:style>
  <w:style w:type="character" w:customStyle="1" w:styleId="193">
    <w:name w:val="标准文件_来源"/>
    <w:basedOn w:val="30"/>
    <w:qFormat/>
    <w:uiPriority w:val="1"/>
    <w:rPr>
      <w:rFonts w:eastAsia="宋体"/>
      <w:sz w:val="21"/>
    </w:rPr>
  </w:style>
  <w:style w:type="paragraph" w:customStyle="1" w:styleId="194">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5">
    <w:name w:val="其他发布日期"/>
    <w:basedOn w:val="122"/>
    <w:qFormat/>
    <w:uiPriority w:val="0"/>
    <w:pPr>
      <w:framePr w:w="3997" w:h="471" w:hRule="exact" w:hSpace="0" w:vSpace="181" w:wrap="around" w:vAnchor="page" w:hAnchor="page" w:x="1419" w:y="14097"/>
    </w:pPr>
  </w:style>
  <w:style w:type="paragraph" w:customStyle="1" w:styleId="196">
    <w:name w:val="其他实施日期"/>
    <w:basedOn w:val="156"/>
    <w:qFormat/>
    <w:uiPriority w:val="0"/>
    <w:pPr>
      <w:framePr w:w="3997" w:h="471" w:hRule="exact" w:vSpace="181" w:wrap="around" w:vAnchor="page" w:hAnchor="page" w:x="7089" w:y="14097"/>
    </w:pPr>
  </w:style>
  <w:style w:type="paragraph" w:customStyle="1" w:styleId="197">
    <w:name w:val="标准文件_文件编号"/>
    <w:basedOn w:val="58"/>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8">
    <w:name w:val="标准文件_替换文件编号"/>
    <w:basedOn w:val="197"/>
    <w:qFormat/>
    <w:uiPriority w:val="0"/>
    <w:pPr>
      <w:spacing w:before="57"/>
    </w:pPr>
    <w:rPr>
      <w:sz w:val="21"/>
    </w:rPr>
  </w:style>
  <w:style w:type="paragraph" w:customStyle="1" w:styleId="199">
    <w:name w:val="标准文件_文件名称"/>
    <w:basedOn w:val="58"/>
    <w:next w:val="58"/>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0">
    <w:name w:val="标准文件_附录图标号"/>
    <w:basedOn w:val="58"/>
    <w:next w:val="58"/>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1">
    <w:name w:val="标准文件_附录表标号"/>
    <w:basedOn w:val="58"/>
    <w:next w:val="58"/>
    <w:qFormat/>
    <w:uiPriority w:val="0"/>
    <w:pPr>
      <w:numPr>
        <w:ilvl w:val="0"/>
        <w:numId w:val="5"/>
      </w:numPr>
      <w:spacing w:line="14" w:lineRule="exact"/>
      <w:ind w:firstLine="0" w:firstLineChars="0"/>
      <w:jc w:val="center"/>
    </w:pPr>
    <w:rPr>
      <w:rFonts w:eastAsia="黑体"/>
      <w:vanish/>
      <w:sz w:val="2"/>
    </w:rPr>
  </w:style>
  <w:style w:type="paragraph" w:customStyle="1" w:styleId="202">
    <w:name w:val="标准文件_引言一级条标题"/>
    <w:basedOn w:val="58"/>
    <w:next w:val="58"/>
    <w:qFormat/>
    <w:uiPriority w:val="0"/>
    <w:pPr>
      <w:numPr>
        <w:ilvl w:val="1"/>
        <w:numId w:val="8"/>
      </w:numPr>
      <w:spacing w:before="50" w:beforeLines="50" w:after="50" w:afterLines="50"/>
      <w:ind w:firstLineChars="0"/>
    </w:pPr>
    <w:rPr>
      <w:rFonts w:ascii="黑体" w:eastAsia="黑体"/>
    </w:rPr>
  </w:style>
  <w:style w:type="paragraph" w:customStyle="1" w:styleId="203">
    <w:name w:val="标准文件_引言二级条标题"/>
    <w:basedOn w:val="58"/>
    <w:next w:val="58"/>
    <w:qFormat/>
    <w:uiPriority w:val="0"/>
    <w:pPr>
      <w:numPr>
        <w:ilvl w:val="2"/>
        <w:numId w:val="8"/>
      </w:numPr>
      <w:spacing w:before="50" w:beforeLines="50" w:after="50" w:afterLines="50"/>
      <w:ind w:firstLineChars="0"/>
    </w:pPr>
    <w:rPr>
      <w:rFonts w:ascii="黑体" w:eastAsia="黑体"/>
    </w:rPr>
  </w:style>
  <w:style w:type="paragraph" w:customStyle="1" w:styleId="204">
    <w:name w:val="标准文件_引言三级条标题"/>
    <w:basedOn w:val="58"/>
    <w:next w:val="58"/>
    <w:qFormat/>
    <w:uiPriority w:val="0"/>
    <w:pPr>
      <w:numPr>
        <w:ilvl w:val="3"/>
        <w:numId w:val="8"/>
      </w:numPr>
      <w:spacing w:before="50" w:beforeLines="50" w:after="50" w:afterLines="50"/>
      <w:ind w:firstLineChars="0"/>
    </w:pPr>
    <w:rPr>
      <w:rFonts w:ascii="黑体" w:eastAsia="黑体"/>
    </w:rPr>
  </w:style>
  <w:style w:type="paragraph" w:customStyle="1" w:styleId="205">
    <w:name w:val="标准文件_引言四级条标题"/>
    <w:basedOn w:val="58"/>
    <w:next w:val="58"/>
    <w:qFormat/>
    <w:uiPriority w:val="0"/>
    <w:pPr>
      <w:numPr>
        <w:ilvl w:val="4"/>
        <w:numId w:val="8"/>
      </w:numPr>
      <w:spacing w:before="50" w:beforeLines="50" w:after="50" w:afterLines="50"/>
      <w:ind w:firstLineChars="0"/>
    </w:pPr>
    <w:rPr>
      <w:rFonts w:ascii="黑体" w:eastAsia="黑体"/>
    </w:rPr>
  </w:style>
  <w:style w:type="paragraph" w:customStyle="1" w:styleId="206">
    <w:name w:val="标准文件_引言五级条标题"/>
    <w:basedOn w:val="58"/>
    <w:next w:val="58"/>
    <w:qFormat/>
    <w:uiPriority w:val="0"/>
    <w:pPr>
      <w:numPr>
        <w:ilvl w:val="5"/>
        <w:numId w:val="8"/>
      </w:numPr>
      <w:spacing w:before="50" w:beforeLines="50" w:after="50" w:afterLines="50"/>
      <w:ind w:firstLineChars="0"/>
    </w:pPr>
    <w:rPr>
      <w:rFonts w:ascii="黑体" w:eastAsia="黑体"/>
    </w:rPr>
  </w:style>
  <w:style w:type="paragraph" w:customStyle="1" w:styleId="207">
    <w:name w:val="标准文件_注后"/>
    <w:basedOn w:val="58"/>
    <w:qFormat/>
    <w:uiPriority w:val="0"/>
    <w:pPr>
      <w:ind w:left="811" w:firstLine="0" w:firstLineChars="0"/>
    </w:pPr>
    <w:rPr>
      <w:sz w:val="18"/>
    </w:rPr>
  </w:style>
  <w:style w:type="paragraph" w:customStyle="1" w:styleId="208">
    <w:name w:val="标准文件_注X后"/>
    <w:basedOn w:val="58"/>
    <w:qFormat/>
    <w:uiPriority w:val="0"/>
    <w:pPr>
      <w:ind w:left="811" w:firstLine="0" w:firstLineChars="0"/>
    </w:pPr>
    <w:rPr>
      <w:sz w:val="18"/>
    </w:rPr>
  </w:style>
  <w:style w:type="paragraph" w:customStyle="1" w:styleId="209">
    <w:name w:val="标准文件_示例后"/>
    <w:basedOn w:val="58"/>
    <w:qFormat/>
    <w:uiPriority w:val="0"/>
    <w:pPr>
      <w:ind w:left="964" w:firstLine="0" w:firstLineChars="0"/>
    </w:pPr>
    <w:rPr>
      <w:sz w:val="18"/>
    </w:rPr>
  </w:style>
  <w:style w:type="paragraph" w:customStyle="1" w:styleId="210">
    <w:name w:val="标准文件_示例X后"/>
    <w:basedOn w:val="58"/>
    <w:link w:val="211"/>
    <w:qFormat/>
    <w:uiPriority w:val="0"/>
    <w:pPr>
      <w:ind w:left="1049" w:firstLine="0" w:firstLineChars="0"/>
    </w:pPr>
    <w:rPr>
      <w:sz w:val="18"/>
    </w:rPr>
  </w:style>
  <w:style w:type="character" w:customStyle="1" w:styleId="211">
    <w:name w:val="标准文件_示例X后 字符"/>
    <w:basedOn w:val="186"/>
    <w:link w:val="210"/>
    <w:qFormat/>
    <w:uiPriority w:val="0"/>
    <w:rPr>
      <w:rFonts w:ascii="宋体" w:hAnsi="Times New Roman"/>
      <w:sz w:val="18"/>
    </w:rPr>
  </w:style>
  <w:style w:type="paragraph" w:customStyle="1" w:styleId="212">
    <w:name w:val="标准文件_索引项"/>
    <w:basedOn w:val="58"/>
    <w:next w:val="58"/>
    <w:qFormat/>
    <w:uiPriority w:val="0"/>
    <w:pPr>
      <w:tabs>
        <w:tab w:val="right" w:leader="dot" w:pos="9356"/>
      </w:tabs>
      <w:ind w:left="210" w:hanging="210" w:firstLineChars="0"/>
      <w:jc w:val="left"/>
    </w:pPr>
  </w:style>
  <w:style w:type="paragraph" w:customStyle="1" w:styleId="213">
    <w:name w:val="标准文件_附录一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二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三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四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五级无标题"/>
    <w:basedOn w:val="86"/>
    <w:qFormat/>
    <w:uiPriority w:val="0"/>
    <w:pPr>
      <w:spacing w:before="0" w:beforeLines="0" w:after="0" w:afterLines="0" w:line="276" w:lineRule="auto"/>
      <w:outlineLvl w:val="9"/>
    </w:pPr>
    <w:rPr>
      <w:rFonts w:ascii="宋体" w:eastAsia="宋体"/>
    </w:rPr>
  </w:style>
  <w:style w:type="paragraph" w:customStyle="1" w:styleId="218">
    <w:name w:val="标准文件_引言一级无标题"/>
    <w:basedOn w:val="202"/>
    <w:next w:val="58"/>
    <w:qFormat/>
    <w:uiPriority w:val="0"/>
    <w:pPr>
      <w:spacing w:before="0" w:beforeLines="0" w:after="0" w:afterLines="0" w:line="276" w:lineRule="auto"/>
    </w:pPr>
    <w:rPr>
      <w:rFonts w:ascii="宋体" w:eastAsia="宋体"/>
    </w:rPr>
  </w:style>
  <w:style w:type="paragraph" w:customStyle="1" w:styleId="219">
    <w:name w:val="标准文件_引言二级无标题"/>
    <w:basedOn w:val="203"/>
    <w:next w:val="58"/>
    <w:qFormat/>
    <w:uiPriority w:val="0"/>
    <w:pPr>
      <w:spacing w:before="0" w:beforeLines="0" w:after="0" w:afterLines="0" w:line="276" w:lineRule="auto"/>
    </w:pPr>
    <w:rPr>
      <w:rFonts w:ascii="宋体" w:eastAsia="宋体"/>
    </w:rPr>
  </w:style>
  <w:style w:type="paragraph" w:customStyle="1" w:styleId="220">
    <w:name w:val="标准文件_引言三级无标题"/>
    <w:basedOn w:val="204"/>
    <w:qFormat/>
    <w:uiPriority w:val="0"/>
    <w:pPr>
      <w:spacing w:before="0" w:beforeLines="0" w:after="0" w:afterLines="0" w:line="276" w:lineRule="auto"/>
    </w:pPr>
    <w:rPr>
      <w:rFonts w:ascii="宋体" w:eastAsia="宋体"/>
    </w:rPr>
  </w:style>
  <w:style w:type="paragraph" w:customStyle="1" w:styleId="221">
    <w:name w:val="标准文件_引言四级无标题"/>
    <w:basedOn w:val="205"/>
    <w:next w:val="58"/>
    <w:qFormat/>
    <w:uiPriority w:val="0"/>
    <w:pPr>
      <w:spacing w:before="0" w:beforeLines="0" w:after="0" w:afterLines="0" w:line="276" w:lineRule="auto"/>
    </w:pPr>
    <w:rPr>
      <w:rFonts w:ascii="宋体" w:eastAsia="宋体"/>
    </w:rPr>
  </w:style>
  <w:style w:type="paragraph" w:customStyle="1" w:styleId="222">
    <w:name w:val="标准文件_引言五级无标题"/>
    <w:basedOn w:val="206"/>
    <w:next w:val="58"/>
    <w:qFormat/>
    <w:uiPriority w:val="0"/>
    <w:pPr>
      <w:spacing w:before="0" w:beforeLines="0" w:after="0" w:afterLines="0" w:line="276" w:lineRule="auto"/>
    </w:pPr>
    <w:rPr>
      <w:rFonts w:ascii="宋体" w:eastAsia="宋体"/>
    </w:rPr>
  </w:style>
  <w:style w:type="paragraph" w:customStyle="1" w:styleId="223">
    <w:name w:val="标准文件_索引标题"/>
    <w:basedOn w:val="65"/>
    <w:next w:val="58"/>
    <w:qFormat/>
    <w:uiPriority w:val="0"/>
    <w:rPr>
      <w:rFonts w:hAnsi="黑体"/>
    </w:rPr>
  </w:style>
  <w:style w:type="paragraph" w:customStyle="1" w:styleId="224">
    <w:name w:val="标准文件_脚注内容"/>
    <w:basedOn w:val="58"/>
    <w:qFormat/>
    <w:uiPriority w:val="0"/>
    <w:pPr>
      <w:ind w:left="400" w:leftChars="200" w:hanging="200" w:hangingChars="200"/>
    </w:pPr>
    <w:rPr>
      <w:sz w:val="15"/>
    </w:rPr>
  </w:style>
  <w:style w:type="paragraph" w:customStyle="1" w:styleId="225">
    <w:name w:val="标准文件_术语条一"/>
    <w:basedOn w:val="164"/>
    <w:next w:val="58"/>
    <w:qFormat/>
    <w:uiPriority w:val="0"/>
  </w:style>
  <w:style w:type="paragraph" w:customStyle="1" w:styleId="226">
    <w:name w:val="标准文件_术语条二"/>
    <w:basedOn w:val="167"/>
    <w:next w:val="58"/>
    <w:qFormat/>
    <w:uiPriority w:val="0"/>
  </w:style>
  <w:style w:type="paragraph" w:customStyle="1" w:styleId="227">
    <w:name w:val="标准文件_术语条三"/>
    <w:basedOn w:val="166"/>
    <w:next w:val="58"/>
    <w:qFormat/>
    <w:uiPriority w:val="0"/>
  </w:style>
  <w:style w:type="paragraph" w:customStyle="1" w:styleId="228">
    <w:name w:val="标准文件_术语条四"/>
    <w:basedOn w:val="169"/>
    <w:next w:val="58"/>
    <w:qFormat/>
    <w:uiPriority w:val="0"/>
  </w:style>
  <w:style w:type="paragraph" w:customStyle="1" w:styleId="229">
    <w:name w:val="标准文件_术语条五"/>
    <w:basedOn w:val="165"/>
    <w:next w:val="58"/>
    <w:qFormat/>
    <w:uiPriority w:val="0"/>
  </w:style>
  <w:style w:type="paragraph" w:customStyle="1" w:styleId="2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1">
    <w:name w:val="发布"/>
    <w:basedOn w:val="30"/>
    <w:qFormat/>
    <w:uiPriority w:val="0"/>
    <w:rPr>
      <w:rFonts w:ascii="黑体" w:eastAsia="黑体"/>
      <w:spacing w:val="85"/>
      <w:w w:val="100"/>
      <w:position w:val="3"/>
      <w:sz w:val="28"/>
      <w:szCs w:val="28"/>
    </w:rPr>
  </w:style>
  <w:style w:type="character" w:customStyle="1" w:styleId="232">
    <w:name w:val="font81"/>
    <w:basedOn w:val="30"/>
    <w:qFormat/>
    <w:uiPriority w:val="0"/>
    <w:rPr>
      <w:rFonts w:hint="default" w:ascii="Times New Roman" w:hAnsi="Times New Roman" w:cs="Times New Roman"/>
      <w:b/>
      <w:bCs/>
      <w:color w:val="000000"/>
      <w:sz w:val="22"/>
      <w:szCs w:val="22"/>
      <w:u w:val="none"/>
    </w:rPr>
  </w:style>
  <w:style w:type="character" w:customStyle="1" w:styleId="233">
    <w:name w:val="font11"/>
    <w:basedOn w:val="30"/>
    <w:qFormat/>
    <w:uiPriority w:val="0"/>
    <w:rPr>
      <w:rFonts w:hint="eastAsia" w:ascii="方正仿宋_GB2312" w:hAnsi="方正仿宋_GB2312" w:eastAsia="方正仿宋_GB2312" w:cs="方正仿宋_GB2312"/>
      <w:b/>
      <w:bCs/>
      <w:color w:val="000000"/>
      <w:sz w:val="22"/>
      <w:szCs w:val="22"/>
      <w:u w:val="none"/>
    </w:rPr>
  </w:style>
  <w:style w:type="character" w:customStyle="1" w:styleId="234">
    <w:name w:val="font71"/>
    <w:basedOn w:val="30"/>
    <w:qFormat/>
    <w:uiPriority w:val="0"/>
    <w:rPr>
      <w:rFonts w:hint="eastAsia" w:ascii="方正仿宋_GB2312" w:hAnsi="方正仿宋_GB2312" w:eastAsia="方正仿宋_GB2312" w:cs="方正仿宋_GB2312"/>
      <w:color w:val="0000FF"/>
      <w:sz w:val="22"/>
      <w:szCs w:val="22"/>
      <w:u w:val="none"/>
    </w:rPr>
  </w:style>
  <w:style w:type="character" w:customStyle="1" w:styleId="235">
    <w:name w:val="font51"/>
    <w:basedOn w:val="30"/>
    <w:qFormat/>
    <w:uiPriority w:val="0"/>
    <w:rPr>
      <w:rFonts w:hint="default" w:ascii="Times New Roman" w:hAnsi="Times New Roman" w:cs="Times New Roman"/>
      <w:color w:val="0000FF"/>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home\xn\D:\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3BEDB4F2724F9D81F4444A5CCE266D"/>
        <w:style w:val=""/>
        <w:category>
          <w:name w:val="常规"/>
          <w:gallery w:val="placeholder"/>
        </w:category>
        <w:types>
          <w:type w:val="bbPlcHdr"/>
        </w:types>
        <w:behaviors>
          <w:behavior w:val="content"/>
        </w:behaviors>
        <w:description w:val=""/>
        <w:guid w:val="{9A791DFB-56F6-4B85-997E-8EF3CEE1C2DA}"/>
      </w:docPartPr>
      <w:docPartBody>
        <w:p w14:paraId="6B7181D8">
          <w:pPr>
            <w:pStyle w:val="5"/>
          </w:pPr>
          <w:r>
            <w:rPr>
              <w:rStyle w:val="4"/>
              <w:rFonts w:hint="eastAsia"/>
            </w:rPr>
            <w:t>单击或点击此处输入文字。</w:t>
          </w:r>
        </w:p>
      </w:docPartBody>
    </w:docPart>
    <w:docPart>
      <w:docPartPr>
        <w:name w:val="78956B8278AF41489B4C226600D2E8C4"/>
        <w:style w:val=""/>
        <w:category>
          <w:name w:val="常规"/>
          <w:gallery w:val="placeholder"/>
        </w:category>
        <w:types>
          <w:type w:val="bbPlcHdr"/>
        </w:types>
        <w:behaviors>
          <w:behavior w:val="content"/>
        </w:behaviors>
        <w:description w:val=""/>
        <w:guid w:val="{35D7B9DB-82B3-43EC-9478-2F4253E62990}"/>
      </w:docPartPr>
      <w:docPartBody>
        <w:p w14:paraId="723DCE26">
          <w:pPr>
            <w:pStyle w:val="6"/>
          </w:pPr>
          <w:r>
            <w:rPr>
              <w:rStyle w:val="4"/>
              <w:rFonts w:hint="eastAsia"/>
            </w:rPr>
            <w:t>选择一项。</w:t>
          </w:r>
        </w:p>
      </w:docPartBody>
    </w:docPart>
    <w:docPart>
      <w:docPartPr>
        <w:name w:val="DD487E154D8B46B1811108614A11313A"/>
        <w:style w:val=""/>
        <w:category>
          <w:name w:val="常规"/>
          <w:gallery w:val="placeholder"/>
        </w:category>
        <w:types>
          <w:type w:val="bbPlcHdr"/>
        </w:types>
        <w:behaviors>
          <w:behavior w:val="content"/>
        </w:behaviors>
        <w:description w:val=""/>
        <w:guid w:val="{BDA84726-025B-4CC9-AFA0-B8C5A34685AA}"/>
      </w:docPartPr>
      <w:docPartBody>
        <w:p w14:paraId="3A06A082">
          <w:pPr>
            <w:pStyle w:val="7"/>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0EA"/>
    <w:rsid w:val="005D70EA"/>
    <w:rsid w:val="006E2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3BEDB4F2724F9D81F4444A5CCE266D"/>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78956B8278AF41489B4C226600D2E8C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D487E154D8B46B1811108614A11313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团体标准.dotx</Template>
  <Pages>8</Pages>
  <Words>4723</Words>
  <Characters>4807</Characters>
  <Lines>4</Lines>
  <Paragraphs>1</Paragraphs>
  <TotalTime>322</TotalTime>
  <ScaleCrop>false</ScaleCrop>
  <LinksUpToDate>false</LinksUpToDate>
  <CharactersWithSpaces>4824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2026-03-26T15:59:00Z</dcterms:created>
  <dc:creator>qhas</dc:creator>
  <cp:lastModifiedBy>。</cp:lastModifiedBy>
  <dcterms:modified xsi:type="dcterms:W3CDTF">2026-05-22T05:49:16Z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ICV">
    <vt:lpwstr>66AD63E8D40B414889A313DB07C577B4_13</vt:lpwstr>
  </property>
  <property fmtid="{D5CDD505-2E9C-101B-9397-08002B2CF9AE}" pid="15" name="KSOTemplateDocerSaveRecord">
    <vt:lpwstr>eyJoZGlkIjoiYzkwYzJmZDNiMmRhZjM0NTlkZDY1MmFlNDljZjQ0NWEiLCJ1c2VySWQiOiIyNDIyMjUwNzQifQ==</vt:lpwstr>
  </property>
  <property fmtid="{D5CDD505-2E9C-101B-9397-08002B2CF9AE}" pid="16" name="KSOProductBuildVer">
    <vt:lpwstr>2052-12.1.0.26375</vt:lpwstr>
  </property>
</Properties>
</file>