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7B067">
      <w:pPr>
        <w:jc w:val="center"/>
        <w:rPr>
          <w:rFonts w:hint="default" w:ascii="Times New Roman" w:hAnsi="Times New Roman" w:eastAsia="宋体" w:cs="Times New Roman"/>
          <w:color w:val="010101"/>
          <w:sz w:val="32"/>
          <w:szCs w:val="32"/>
          <w:lang w:val="en-US" w:eastAsia="zh-CN"/>
        </w:rPr>
      </w:pPr>
      <w:r>
        <w:rPr>
          <w:rFonts w:hint="default" w:ascii="Times New Roman" w:hAnsi="Times New Roman" w:eastAsia="宋体" w:cs="Times New Roman"/>
          <w:bCs/>
          <w:kern w:val="0"/>
          <w:sz w:val="28"/>
          <w:szCs w:val="28"/>
        </w:rPr>
        <w:t>黔东南州凯里酸汤产业发展协会</w:t>
      </w:r>
    </w:p>
    <w:p w14:paraId="6138B97B">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color w:val="010101"/>
          <w:sz w:val="32"/>
          <w:szCs w:val="32"/>
        </w:rPr>
        <w:t>团体标准</w:t>
      </w:r>
      <w:r>
        <w:rPr>
          <w:rFonts w:hint="default" w:ascii="Times New Roman" w:hAnsi="Times New Roman" w:eastAsia="宋体" w:cs="Times New Roman"/>
          <w:color w:val="000000"/>
          <w:sz w:val="32"/>
          <w:szCs w:val="32"/>
        </w:rPr>
        <w:t>《</w:t>
      </w:r>
      <w:r>
        <w:rPr>
          <w:rFonts w:hint="eastAsia" w:ascii="Times New Roman" w:hAnsi="Times New Roman" w:cs="Times New Roman"/>
          <w:sz w:val="32"/>
          <w:szCs w:val="32"/>
          <w:lang w:val="en-US" w:eastAsia="zh-CN"/>
        </w:rPr>
        <w:t>凯里酸汤品牌管理与评价</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lang w:val="en-US" w:eastAsia="zh-CN"/>
        </w:rPr>
        <w:t>修订</w:t>
      </w:r>
      <w:r>
        <w:rPr>
          <w:rFonts w:hint="default" w:ascii="Times New Roman" w:hAnsi="Times New Roman" w:eastAsia="宋体" w:cs="Times New Roman"/>
          <w:sz w:val="32"/>
          <w:szCs w:val="32"/>
        </w:rPr>
        <w:t>说明</w:t>
      </w:r>
    </w:p>
    <w:p w14:paraId="35B9980D">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t>征求意见稿</w:t>
      </w:r>
    </w:p>
    <w:p w14:paraId="3CBF27E2">
      <w:pPr>
        <w:spacing w:line="360" w:lineRule="exact"/>
        <w:rPr>
          <w:rFonts w:hint="default" w:ascii="Times New Roman" w:hAnsi="Times New Roman" w:eastAsia="宋体" w:cs="Times New Roman"/>
          <w:b/>
          <w:bCs/>
        </w:rPr>
      </w:pPr>
    </w:p>
    <w:p w14:paraId="5BC83B21">
      <w:pPr>
        <w:spacing w:line="360" w:lineRule="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一、工作简况</w:t>
      </w:r>
    </w:p>
    <w:p w14:paraId="2C185373">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（一）任务来源</w:t>
      </w:r>
    </w:p>
    <w:p w14:paraId="3B37A24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bookmarkStart w:id="0" w:name="_Hlk5215804"/>
      <w:r>
        <w:rPr>
          <w:rFonts w:hint="default" w:ascii="Times New Roman" w:hAnsi="Times New Roman" w:eastAsia="宋体" w:cs="Times New Roman"/>
          <w:sz w:val="24"/>
        </w:rPr>
        <w:t>酸汤</w:t>
      </w:r>
      <w:r>
        <w:rPr>
          <w:rFonts w:hint="default" w:ascii="Times New Roman" w:hAnsi="Times New Roman" w:eastAsia="宋体" w:cs="Times New Roman"/>
          <w:sz w:val="24"/>
          <w:lang w:val="en-US" w:eastAsia="zh-CN"/>
        </w:rPr>
        <w:t>作为黔东南</w:t>
      </w:r>
      <w:r>
        <w:rPr>
          <w:rFonts w:hint="default" w:ascii="Times New Roman" w:hAnsi="Times New Roman" w:eastAsia="宋体" w:cs="Times New Roman"/>
          <w:sz w:val="24"/>
        </w:rPr>
        <w:t>苗</w:t>
      </w:r>
      <w:r>
        <w:rPr>
          <w:rFonts w:hint="default" w:ascii="Times New Roman" w:hAnsi="Times New Roman" w:eastAsia="宋体" w:cs="Times New Roman"/>
          <w:sz w:val="24"/>
          <w:lang w:val="en-US" w:eastAsia="zh-CN"/>
        </w:rPr>
        <w:t>侗</w:t>
      </w:r>
      <w:r>
        <w:rPr>
          <w:rFonts w:hint="default" w:ascii="Times New Roman" w:hAnsi="Times New Roman" w:eastAsia="宋体" w:cs="Times New Roman"/>
          <w:sz w:val="24"/>
        </w:rPr>
        <w:t>族人民的传统风味菜肴</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是</w:t>
      </w:r>
      <w:r>
        <w:rPr>
          <w:rFonts w:hint="default" w:ascii="Times New Roman" w:hAnsi="Times New Roman" w:eastAsia="宋体" w:cs="Times New Roman"/>
          <w:sz w:val="24"/>
        </w:rPr>
        <w:t>黔东南舌尖上的名片</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黔东南州制作酸汤的历史已逾千年，以凯里为主要集聚区的酸汤美食蕴含着丰富的食用价值、养生价值、经济价值与文化价值，打响</w:t>
      </w:r>
      <w:r>
        <w:rPr>
          <w:rFonts w:hint="default" w:ascii="Times New Roman" w:hAnsi="Times New Roman" w:eastAsia="宋体" w:cs="Times New Roman"/>
          <w:sz w:val="24"/>
          <w:lang w:val="en-US" w:eastAsia="zh-CN"/>
        </w:rPr>
        <w:t>凯里</w:t>
      </w:r>
      <w:r>
        <w:rPr>
          <w:rFonts w:hint="default" w:ascii="Times New Roman" w:hAnsi="Times New Roman" w:eastAsia="宋体" w:cs="Times New Roman"/>
          <w:sz w:val="24"/>
        </w:rPr>
        <w:t>酸汤品牌、做强酸汤产业是加强地方特色食品产业发展、带动农民脱贫致富的迫切要求和强大抓手。</w:t>
      </w:r>
      <w:bookmarkEnd w:id="0"/>
    </w:p>
    <w:p w14:paraId="0450C5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val="en-US" w:eastAsia="zh-CN"/>
        </w:rPr>
        <w:t>州委州政府高度重视，专门成立了黔东南州</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产业发展工作领导小组，推动</w:t>
      </w:r>
      <w:r>
        <w:rPr>
          <w:rFonts w:hint="eastAsia" w:ascii="Times New Roman" w:hAnsi="Times New Roman"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cs="Times New Roman"/>
          <w:sz w:val="24"/>
          <w:lang w:val="en-US" w:eastAsia="zh-CN"/>
        </w:rPr>
        <w:t>”</w:t>
      </w:r>
      <w:r>
        <w:rPr>
          <w:rFonts w:hint="default" w:ascii="Times New Roman" w:hAnsi="Times New Roman" w:eastAsia="宋体" w:cs="Times New Roman"/>
          <w:sz w:val="24"/>
          <w:lang w:val="en-US" w:eastAsia="zh-CN"/>
        </w:rPr>
        <w:t>区域品牌打造。以抱团发展的方式，打造统一品牌、制定统一标准，进行统一管理是做好酸汤文化、打响酸汤品牌、做强酸汤产业，提高产品竞争力的睿智选择。为进一步适应酸汤产业发展，黔东南州凯里酸汤产业发展协会于2025年12月与凯里学院签订了《酸汤系列团体标准制定(修订)》项目合同，内容包括：</w:t>
      </w:r>
      <w:r>
        <w:rPr>
          <w:rFonts w:hint="default" w:ascii="Times New Roman" w:hAnsi="Times New Roman" w:eastAsia="宋体" w:cs="Times New Roman"/>
          <w:sz w:val="24"/>
          <w:szCs w:val="24"/>
        </w:rPr>
        <w:t>《凯里酸汤 红酸汤》、《凯里酸汤 白酸汤》</w:t>
      </w:r>
      <w:r>
        <w:rPr>
          <w:rFonts w:hint="default" w:ascii="Times New Roman" w:hAnsi="Times New Roman" w:eastAsia="宋体" w:cs="Times New Roman"/>
          <w:sz w:val="24"/>
          <w:szCs w:val="24"/>
          <w:lang w:val="en-US" w:eastAsia="zh-CN"/>
        </w:rPr>
        <w:t>两项团体标准修订</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金酸汤调味料</w:t>
      </w:r>
      <w:r>
        <w:rPr>
          <w:rFonts w:hint="default" w:ascii="Times New Roman" w:hAnsi="Times New Roman" w:eastAsia="宋体" w:cs="Times New Roman"/>
          <w:sz w:val="24"/>
          <w:szCs w:val="24"/>
          <w:lang w:eastAsia="zh-CN"/>
        </w:rPr>
        <w:t>》、《凯里酸汤品牌管理与评价》</w:t>
      </w:r>
      <w:r>
        <w:rPr>
          <w:rFonts w:hint="default" w:ascii="Times New Roman" w:hAnsi="Times New Roman" w:eastAsia="宋体" w:cs="Times New Roman"/>
          <w:sz w:val="24"/>
          <w:lang w:val="en-US" w:eastAsia="zh-CN"/>
        </w:rPr>
        <w:t>三项团体标准编制。为</w:t>
      </w:r>
      <w:r>
        <w:rPr>
          <w:rFonts w:hint="default" w:ascii="Times New Roman" w:hAnsi="Times New Roman" w:eastAsia="宋体" w:cs="Times New Roman"/>
          <w:sz w:val="24"/>
        </w:rPr>
        <w:t>做好</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凯里酸汤</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团体标准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工作，提高团体标准的科学性，有效性和针对性，</w:t>
      </w:r>
      <w:r>
        <w:rPr>
          <w:rFonts w:hint="default" w:ascii="Times New Roman" w:hAnsi="Times New Roman" w:eastAsia="宋体" w:cs="Times New Roman"/>
          <w:sz w:val="24"/>
          <w:lang w:val="en-US" w:eastAsia="zh-CN"/>
        </w:rPr>
        <w:t>凯里学院及时制定了项目实施方案，</w:t>
      </w:r>
      <w:r>
        <w:rPr>
          <w:rFonts w:hint="default" w:ascii="Times New Roman" w:hAnsi="Times New Roman" w:eastAsia="宋体" w:cs="Times New Roman"/>
          <w:sz w:val="24"/>
        </w:rPr>
        <w:t>明确了各部门的工作职责。</w:t>
      </w:r>
    </w:p>
    <w:p w14:paraId="24DE42CB">
      <w:pPr>
        <w:keepNext w:val="0"/>
        <w:keepLines w:val="0"/>
        <w:pageBreakBefore w:val="0"/>
        <w:widowControl w:val="0"/>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w:t>
      </w:r>
      <w:r>
        <w:rPr>
          <w:rFonts w:hint="default" w:ascii="Times New Roman" w:hAnsi="Times New Roman" w:eastAsia="宋体" w:cs="Times New Roman"/>
          <w:b/>
          <w:bCs/>
          <w:sz w:val="24"/>
          <w:szCs w:val="24"/>
        </w:rPr>
        <w:t>协作单位</w:t>
      </w:r>
    </w:p>
    <w:p w14:paraId="12B91A05">
      <w:pPr>
        <w:keepNext w:val="0"/>
        <w:keepLines w:val="0"/>
        <w:pageBreakBefore w:val="0"/>
        <w:widowControl w:val="0"/>
        <w:kinsoku/>
        <w:wordWrap/>
        <w:overflowPunct/>
        <w:topLinePunct w:val="0"/>
        <w:autoSpaceDE/>
        <w:autoSpaceDN/>
        <w:bidi w:val="0"/>
        <w:adjustRightInd w:val="0"/>
        <w:snapToGrid/>
        <w:spacing w:line="360" w:lineRule="auto"/>
        <w:ind w:firstLine="540"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黔东南州工业和信息化局</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黔东南州凯里酸汤产业发展协会协会</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凯里学院</w:t>
      </w:r>
      <w:r>
        <w:rPr>
          <w:rFonts w:hint="default" w:ascii="Times New Roman" w:hAnsi="Times New Roman" w:eastAsia="宋体" w:cs="Times New Roman"/>
          <w:sz w:val="24"/>
          <w:lang w:eastAsia="zh-CN"/>
        </w:rPr>
        <w:t>、</w:t>
      </w:r>
      <w:r>
        <w:rPr>
          <w:rFonts w:hint="default" w:ascii="Times New Roman" w:hAnsi="Times New Roman" w:eastAsia="宋体" w:cs="Times New Roman"/>
          <w:sz w:val="24"/>
          <w:szCs w:val="24"/>
        </w:rPr>
        <w:t>××公司</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企业)</w:t>
      </w:r>
      <w:r>
        <w:rPr>
          <w:rFonts w:hint="default" w:ascii="Times New Roman" w:hAnsi="Times New Roman" w:eastAsia="宋体" w:cs="Times New Roman"/>
          <w:sz w:val="24"/>
          <w:lang w:eastAsia="zh-CN"/>
        </w:rPr>
        <w:t>。</w:t>
      </w:r>
    </w:p>
    <w:p w14:paraId="4AE76D93">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bCs/>
          <w:kern w:val="0"/>
          <w:sz w:val="24"/>
          <w:szCs w:val="24"/>
        </w:rPr>
        <w:t>主要工作过程和内容</w:t>
      </w:r>
    </w:p>
    <w:p w14:paraId="0CCE8E55">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80" w:firstLineChars="200"/>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本文件的编制期限为2025年10月</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2026年5月，期限8个月，工作分以下几个阶段开展：</w:t>
      </w:r>
    </w:p>
    <w:p w14:paraId="58EA4FDB">
      <w:pPr>
        <w:pStyle w:val="25"/>
        <w:numPr>
          <w:ilvl w:val="0"/>
          <w:numId w:val="0"/>
        </w:numPr>
        <w:tabs>
          <w:tab w:val="center" w:pos="4201"/>
          <w:tab w:val="right" w:leader="dot" w:pos="9298"/>
        </w:tabs>
        <w:spacing w:line="360" w:lineRule="auto"/>
        <w:ind w:firstLine="482" w:firstLineChars="2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（1）资料收集阶段</w:t>
      </w:r>
    </w:p>
    <w:p w14:paraId="286C2B57">
      <w:pPr>
        <w:pStyle w:val="25"/>
        <w:numPr>
          <w:ilvl w:val="0"/>
          <w:numId w:val="0"/>
        </w:numPr>
        <w:tabs>
          <w:tab w:val="center" w:pos="4201"/>
          <w:tab w:val="right" w:leader="dot" w:pos="9298"/>
        </w:tabs>
        <w:spacing w:line="360" w:lineRule="auto"/>
        <w:ind w:firstLine="720" w:firstLineChars="300"/>
        <w:rPr>
          <w:rFonts w:hint="default" w:ascii="Times New Roman" w:hAnsi="Times New Roman" w:eastAsia="宋体" w:cs="Times New Roman"/>
          <w:sz w:val="24"/>
        </w:rPr>
      </w:pPr>
      <w:r>
        <w:rPr>
          <w:rFonts w:hint="default" w:ascii="Times New Roman" w:hAnsi="Times New Roman" w:eastAsia="宋体" w:cs="Times New Roman"/>
          <w:sz w:val="24"/>
          <w:szCs w:val="24"/>
          <w:lang w:val="en-US" w:eastAsia="zh-CN"/>
        </w:rPr>
        <w:t>2025年10月1日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10日，</w:t>
      </w:r>
      <w:r>
        <w:rPr>
          <w:rFonts w:hint="default" w:ascii="Times New Roman" w:hAnsi="Times New Roman" w:eastAsia="宋体" w:cs="Times New Roman"/>
          <w:sz w:val="24"/>
          <w:szCs w:val="21"/>
        </w:rPr>
        <w:t>组建</w:t>
      </w:r>
      <w:r>
        <w:rPr>
          <w:rFonts w:hint="default" w:ascii="Times New Roman" w:hAnsi="Times New Roman" w:eastAsia="宋体" w:cs="Times New Roman"/>
          <w:sz w:val="24"/>
          <w:szCs w:val="21"/>
          <w:lang w:val="en-US" w:eastAsia="zh-CN"/>
        </w:rPr>
        <w:t>团体</w:t>
      </w:r>
      <w:r>
        <w:rPr>
          <w:rFonts w:hint="default" w:ascii="Times New Roman" w:hAnsi="Times New Roman" w:eastAsia="宋体" w:cs="Times New Roman"/>
          <w:sz w:val="24"/>
        </w:rPr>
        <w:t>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小组，收集标准编制的背景材料和有关标准编制的参考、引用资料，</w:t>
      </w:r>
      <w:r>
        <w:rPr>
          <w:rFonts w:hint="default" w:ascii="Times New Roman" w:hAnsi="Times New Roman" w:eastAsia="宋体" w:cs="Times New Roman"/>
          <w:sz w:val="24"/>
          <w:lang w:val="en-US" w:eastAsia="zh-CN"/>
        </w:rPr>
        <w:t>并</w:t>
      </w:r>
      <w:r>
        <w:rPr>
          <w:rFonts w:hint="default" w:ascii="Times New Roman" w:hAnsi="Times New Roman" w:eastAsia="宋体" w:cs="Times New Roman"/>
          <w:sz w:val="24"/>
        </w:rPr>
        <w:t>进行归纳整理。</w:t>
      </w:r>
    </w:p>
    <w:p w14:paraId="4D7AE250">
      <w:pPr>
        <w:keepNext w:val="0"/>
        <w:keepLines w:val="0"/>
        <w:pageBreakBefore w:val="0"/>
        <w:widowControl w:val="0"/>
        <w:kinsoku/>
        <w:wordWrap/>
        <w:overflowPunct/>
        <w:topLinePunct w:val="0"/>
        <w:autoSpaceDE/>
        <w:autoSpaceDN/>
        <w:bidi w:val="0"/>
        <w:snapToGrid/>
        <w:spacing w:line="360" w:lineRule="auto"/>
        <w:ind w:firstLine="482" w:firstLineChars="200"/>
        <w:rPr>
          <w:rFonts w:hint="eastAsia"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（2）项目启动</w:t>
      </w:r>
    </w:p>
    <w:p w14:paraId="7B8AF3CA">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团体标准起草</w:t>
      </w:r>
      <w:r>
        <w:rPr>
          <w:rFonts w:hint="eastAsia" w:ascii="Times New Roman" w:hAnsi="Times New Roman" w:eastAsia="宋体" w:cs="Times New Roman"/>
          <w:sz w:val="24"/>
          <w:szCs w:val="24"/>
          <w:lang w:val="en-US" w:eastAsia="zh-CN"/>
        </w:rPr>
        <w:t>组</w:t>
      </w:r>
      <w:r>
        <w:rPr>
          <w:rFonts w:hint="eastAsia" w:ascii="Times New Roman" w:hAnsi="Times New Roman" w:cs="Times New Roman"/>
          <w:sz w:val="24"/>
          <w:szCs w:val="24"/>
          <w:lang w:val="en-US" w:eastAsia="zh-CN"/>
        </w:rPr>
        <w:t>和黔东南州凯里酸汤产业发展协会</w:t>
      </w:r>
      <w:r>
        <w:rPr>
          <w:rFonts w:hint="eastAsia" w:ascii="Times New Roman" w:hAnsi="Times New Roman" w:eastAsia="宋体" w:cs="Times New Roman"/>
          <w:sz w:val="24"/>
          <w:szCs w:val="24"/>
          <w:lang w:val="en-US" w:eastAsia="zh-CN"/>
        </w:rPr>
        <w:t>召开了项目启动会，</w:t>
      </w:r>
      <w:r>
        <w:rPr>
          <w:rFonts w:hint="eastAsia" w:ascii="Times New Roman" w:hAnsi="Times New Roman" w:cs="Times New Roman"/>
          <w:sz w:val="24"/>
          <w:szCs w:val="24"/>
          <w:lang w:val="en-US" w:eastAsia="zh-CN"/>
        </w:rPr>
        <w:t>一致</w:t>
      </w:r>
      <w:r>
        <w:rPr>
          <w:rFonts w:hint="eastAsia" w:ascii="Times New Roman" w:hAnsi="Times New Roman" w:eastAsia="宋体" w:cs="Times New Roman"/>
          <w:sz w:val="24"/>
          <w:szCs w:val="24"/>
          <w:lang w:val="en-US" w:eastAsia="zh-CN"/>
        </w:rPr>
        <w:t>明确了标准定位为一项旨在规范“</w:t>
      </w:r>
      <w:r>
        <w:rPr>
          <w:rFonts w:hint="eastAsia" w:ascii="Times New Roman" w:hAnsi="Times New Roman" w:cs="Times New Roman"/>
          <w:sz w:val="24"/>
          <w:szCs w:val="24"/>
          <w:lang w:val="en-US" w:eastAsia="zh-CN"/>
        </w:rPr>
        <w:t>凯里酸汤</w:t>
      </w:r>
      <w:r>
        <w:rPr>
          <w:rFonts w:hint="eastAsia" w:ascii="Times New Roman" w:hAnsi="Times New Roman" w:eastAsia="宋体" w:cs="Times New Roman"/>
          <w:sz w:val="24"/>
          <w:szCs w:val="24"/>
          <w:lang w:val="en-US" w:eastAsia="zh-CN"/>
        </w:rPr>
        <w:t>”区域公用品牌建设、使用、管理和评价的管理类规范</w:t>
      </w:r>
      <w:r>
        <w:rPr>
          <w:rFonts w:hint="eastAsia" w:ascii="Times New Roman" w:hAnsi="Times New Roman" w:cs="Times New Roman"/>
          <w:sz w:val="24"/>
          <w:szCs w:val="24"/>
          <w:lang w:val="en-US" w:eastAsia="zh-CN"/>
        </w:rPr>
        <w:t>文件</w:t>
      </w:r>
      <w:r>
        <w:rPr>
          <w:rFonts w:hint="eastAsia" w:ascii="Times New Roman" w:hAnsi="Times New Roman" w:eastAsia="宋体" w:cs="Times New Roman"/>
          <w:sz w:val="24"/>
          <w:szCs w:val="24"/>
          <w:lang w:val="en-US" w:eastAsia="zh-CN"/>
        </w:rPr>
        <w:t>，并确定了标准的核心框架应涵盖品牌战略、组织管理、授权使用、监督评估等关键板块</w:t>
      </w:r>
      <w:r>
        <w:rPr>
          <w:rFonts w:hint="eastAsia" w:ascii="Times New Roman" w:hAnsi="Times New Roman" w:cs="Times New Roman"/>
          <w:sz w:val="24"/>
          <w:szCs w:val="24"/>
          <w:lang w:val="en-US" w:eastAsia="zh-CN"/>
        </w:rPr>
        <w:t>。</w:t>
      </w:r>
    </w:p>
    <w:p w14:paraId="2BF3A550">
      <w:pPr>
        <w:keepNext w:val="0"/>
        <w:keepLines w:val="0"/>
        <w:pageBreakBefore w:val="0"/>
        <w:widowControl w:val="0"/>
        <w:kinsoku/>
        <w:wordWrap/>
        <w:overflowPunct/>
        <w:topLinePunct w:val="0"/>
        <w:autoSpaceDE/>
        <w:autoSpaceDN/>
        <w:bidi w:val="0"/>
        <w:snapToGrid/>
        <w:spacing w:line="360" w:lineRule="auto"/>
        <w:ind w:firstLine="482" w:firstLineChars="200"/>
        <w:rPr>
          <w:rFonts w:hint="eastAsia"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（3）调研优化</w:t>
      </w:r>
    </w:p>
    <w:p w14:paraId="021A2C0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为确保标准内容紧贴产区实际和市场需求，起草组深入</w:t>
      </w:r>
      <w:r>
        <w:rPr>
          <w:rFonts w:hint="eastAsia" w:ascii="Times New Roman" w:hAnsi="Times New Roman" w:cs="Times New Roman"/>
          <w:sz w:val="24"/>
          <w:szCs w:val="24"/>
          <w:lang w:val="en-US" w:eastAsia="zh-CN"/>
        </w:rPr>
        <w:t>市场、</w:t>
      </w:r>
      <w:r>
        <w:rPr>
          <w:rFonts w:hint="eastAsia" w:ascii="Times New Roman" w:hAnsi="Times New Roman" w:eastAsia="宋体" w:cs="Times New Roman"/>
          <w:sz w:val="24"/>
          <w:szCs w:val="24"/>
          <w:lang w:val="en-US" w:eastAsia="zh-CN"/>
        </w:rPr>
        <w:t>企业开展了广泛调研。调研采用实地走访、座谈交流与案例分析相结合的方式，覆盖了</w:t>
      </w:r>
      <w:r>
        <w:rPr>
          <w:rFonts w:hint="eastAsia" w:ascii="Times New Roman" w:hAnsi="Times New Roman" w:cs="Times New Roman"/>
          <w:sz w:val="24"/>
          <w:szCs w:val="24"/>
          <w:lang w:val="en-US" w:eastAsia="zh-CN"/>
        </w:rPr>
        <w:t>规上企业</w:t>
      </w:r>
      <w:r>
        <w:rPr>
          <w:rFonts w:hint="eastAsia" w:ascii="Times New Roman" w:hAnsi="Times New Roman" w:eastAsia="宋体" w:cs="Times New Roman"/>
          <w:sz w:val="24"/>
          <w:szCs w:val="24"/>
          <w:lang w:val="en-US" w:eastAsia="zh-CN"/>
        </w:rPr>
        <w:t>、</w:t>
      </w:r>
      <w:r>
        <w:rPr>
          <w:rFonts w:hint="eastAsia" w:ascii="Times New Roman" w:hAnsi="Times New Roman" w:cs="Times New Roman"/>
          <w:sz w:val="24"/>
          <w:szCs w:val="24"/>
          <w:lang w:val="en-US" w:eastAsia="zh-CN"/>
        </w:rPr>
        <w:t>作坊、农户、餐饮店</w:t>
      </w:r>
      <w:r>
        <w:rPr>
          <w:rFonts w:hint="eastAsia" w:ascii="Times New Roman" w:hAnsi="Times New Roman" w:eastAsia="宋体" w:cs="Times New Roman"/>
          <w:sz w:val="24"/>
          <w:szCs w:val="24"/>
          <w:lang w:val="en-US" w:eastAsia="zh-CN"/>
        </w:rPr>
        <w:t>等不同环节的经营主体。通过调研，</w:t>
      </w:r>
      <w:r>
        <w:rPr>
          <w:rFonts w:hint="eastAsia" w:ascii="Times New Roman" w:hAnsi="Times New Roman" w:cs="Times New Roman"/>
          <w:sz w:val="24"/>
          <w:szCs w:val="24"/>
          <w:lang w:val="en-US" w:eastAsia="zh-CN"/>
        </w:rPr>
        <w:t>起草</w:t>
      </w:r>
      <w:r>
        <w:rPr>
          <w:rFonts w:hint="eastAsia" w:ascii="Times New Roman" w:hAnsi="Times New Roman" w:eastAsia="宋体" w:cs="Times New Roman"/>
          <w:sz w:val="24"/>
          <w:szCs w:val="24"/>
          <w:lang w:val="en-US" w:eastAsia="zh-CN"/>
        </w:rPr>
        <w:t>组深入了解了</w:t>
      </w:r>
      <w:r>
        <w:rPr>
          <w:rFonts w:hint="eastAsia" w:ascii="Times New Roman" w:hAnsi="Times New Roman" w:cs="Times New Roman"/>
          <w:sz w:val="24"/>
          <w:szCs w:val="24"/>
          <w:lang w:val="en-US" w:eastAsia="zh-CN"/>
        </w:rPr>
        <w:t>不同</w:t>
      </w:r>
      <w:r>
        <w:rPr>
          <w:rFonts w:hint="eastAsia" w:ascii="Times New Roman" w:hAnsi="Times New Roman" w:eastAsia="宋体" w:cs="Times New Roman"/>
          <w:sz w:val="24"/>
          <w:szCs w:val="24"/>
          <w:lang w:val="en-US" w:eastAsia="zh-CN"/>
        </w:rPr>
        <w:t>主体对于“</w:t>
      </w:r>
      <w:r>
        <w:rPr>
          <w:rFonts w:hint="eastAsia" w:ascii="Times New Roman" w:hAnsi="Times New Roman" w:cs="Times New Roman"/>
          <w:sz w:val="24"/>
          <w:szCs w:val="24"/>
          <w:lang w:val="en-US" w:eastAsia="zh-CN"/>
        </w:rPr>
        <w:t>凯里酸汤</w:t>
      </w:r>
      <w:r>
        <w:rPr>
          <w:rFonts w:hint="eastAsia" w:ascii="Times New Roman" w:hAnsi="Times New Roman" w:eastAsia="宋体" w:cs="Times New Roman"/>
          <w:sz w:val="24"/>
          <w:szCs w:val="24"/>
          <w:lang w:val="en-US" w:eastAsia="zh-CN"/>
        </w:rPr>
        <w:t>”</w:t>
      </w:r>
      <w:r>
        <w:rPr>
          <w:rFonts w:hint="eastAsia" w:ascii="Times New Roman" w:hAnsi="Times New Roman" w:cs="Times New Roman"/>
          <w:sz w:val="24"/>
          <w:szCs w:val="24"/>
          <w:lang w:val="en-US" w:eastAsia="zh-CN"/>
        </w:rPr>
        <w:t>的</w:t>
      </w:r>
      <w:r>
        <w:rPr>
          <w:rFonts w:hint="eastAsia" w:ascii="Times New Roman" w:hAnsi="Times New Roman" w:eastAsia="宋体" w:cs="Times New Roman"/>
          <w:sz w:val="24"/>
          <w:szCs w:val="24"/>
          <w:lang w:val="en-US" w:eastAsia="zh-CN"/>
        </w:rPr>
        <w:t>品牌认知、使用意愿、管理诉求和现存问题，掌握了品牌管理实践经验和行业的共性问题，并对标准框架进行了多轮优化，重点明确了以下设计方向：一是确定“区域公用品牌”的定位，采取“统一授权、统一标识、统一标准”的管理模式；二是设计申请条件，既保证准入门槛的严肃性，又兼顾中小主体的参与机会；三是建立强制退出机制，列出强制退出情形，确保品牌管理的刚性约束；四是设置专章规范品牌保护与维权，回应调研中广泛反映的“怕假冒、维权难”关切</w:t>
      </w:r>
      <w:r>
        <w:rPr>
          <w:rFonts w:hint="eastAsia" w:ascii="Times New Roman" w:hAnsi="Times New Roman" w:cs="Times New Roman"/>
          <w:sz w:val="24"/>
          <w:szCs w:val="24"/>
          <w:lang w:val="en-US" w:eastAsia="zh-CN"/>
        </w:rPr>
        <w:t>；五是建设评价机制，保证品牌授权使用的良性循环</w:t>
      </w:r>
      <w:r>
        <w:rPr>
          <w:rFonts w:hint="eastAsia" w:ascii="Times New Roman" w:hAnsi="Times New Roman" w:eastAsia="宋体" w:cs="Times New Roman"/>
          <w:sz w:val="24"/>
          <w:szCs w:val="24"/>
          <w:lang w:val="en-US" w:eastAsia="zh-CN"/>
        </w:rPr>
        <w:t>。</w:t>
      </w:r>
    </w:p>
    <w:p w14:paraId="2AE218BD">
      <w:pPr>
        <w:keepNext w:val="0"/>
        <w:keepLines w:val="0"/>
        <w:pageBreakBefore w:val="0"/>
        <w:widowControl w:val="0"/>
        <w:kinsoku/>
        <w:wordWrap/>
        <w:overflowPunct/>
        <w:topLinePunct w:val="0"/>
        <w:autoSpaceDE/>
        <w:autoSpaceDN/>
        <w:bidi w:val="0"/>
        <w:snapToGrid/>
        <w:spacing w:line="360" w:lineRule="auto"/>
        <w:ind w:firstLine="482" w:firstLineChars="200"/>
        <w:rPr>
          <w:rFonts w:hint="eastAsia" w:ascii="Times New Roman" w:hAnsi="Times New Roman" w:eastAsia="宋体" w:cs="Times New Roman"/>
          <w:b/>
          <w:bCs/>
          <w:sz w:val="24"/>
          <w:szCs w:val="24"/>
          <w:lang w:val="en-US" w:eastAsia="zh-CN"/>
        </w:rPr>
      </w:pPr>
      <w:r>
        <w:rPr>
          <w:rFonts w:hint="eastAsia" w:ascii="Times New Roman" w:hAnsi="Times New Roman" w:eastAsia="宋体" w:cs="Times New Roman"/>
          <w:b/>
          <w:bCs/>
          <w:sz w:val="24"/>
          <w:szCs w:val="24"/>
          <w:lang w:val="en-US" w:eastAsia="zh-CN"/>
        </w:rPr>
        <w:t>（4）完善标准文本</w:t>
      </w:r>
    </w:p>
    <w:p w14:paraId="2FC38E70">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起草组召开了研讨会，重点围绕品牌定位与权属安排、申请条件的宽严尺度、强制退出情形的全面性与合理性、品牌标识使用规范的精细度、</w:t>
      </w:r>
      <w:r>
        <w:rPr>
          <w:rFonts w:hint="eastAsia" w:ascii="Times New Roman" w:hAnsi="Times New Roman" w:cs="Times New Roman"/>
          <w:sz w:val="24"/>
          <w:szCs w:val="24"/>
          <w:lang w:val="en-US" w:eastAsia="zh-CN"/>
        </w:rPr>
        <w:t>品牌评价</w:t>
      </w:r>
      <w:r>
        <w:rPr>
          <w:rFonts w:hint="eastAsia" w:ascii="Times New Roman" w:hAnsi="Times New Roman" w:eastAsia="宋体" w:cs="Times New Roman"/>
          <w:sz w:val="24"/>
          <w:szCs w:val="24"/>
          <w:lang w:val="en-US" w:eastAsia="zh-CN"/>
        </w:rPr>
        <w:t>等核心问题进行了深入讨论</w:t>
      </w:r>
      <w:r>
        <w:rPr>
          <w:rFonts w:hint="eastAsia" w:ascii="Times New Roman" w:hAnsi="Times New Roman" w:cs="Times New Roman"/>
          <w:sz w:val="24"/>
          <w:szCs w:val="24"/>
          <w:lang w:val="en-US" w:eastAsia="zh-CN"/>
        </w:rPr>
        <w:t>，并</w:t>
      </w:r>
      <w:r>
        <w:rPr>
          <w:rFonts w:hint="eastAsia" w:ascii="Times New Roman" w:hAnsi="Times New Roman" w:eastAsia="宋体" w:cs="Times New Roman"/>
          <w:sz w:val="24"/>
          <w:szCs w:val="24"/>
          <w:lang w:val="en-US" w:eastAsia="zh-CN"/>
        </w:rPr>
        <w:t>根据研讨会意见，</w:t>
      </w:r>
      <w:r>
        <w:rPr>
          <w:rFonts w:hint="eastAsia" w:ascii="Times New Roman" w:hAnsi="Times New Roman" w:cs="Times New Roman"/>
          <w:sz w:val="24"/>
          <w:szCs w:val="24"/>
          <w:lang w:val="en-US" w:eastAsia="zh-CN"/>
        </w:rPr>
        <w:t>起草</w:t>
      </w:r>
      <w:r>
        <w:rPr>
          <w:rFonts w:hint="eastAsia" w:ascii="Times New Roman" w:hAnsi="Times New Roman" w:eastAsia="宋体" w:cs="Times New Roman"/>
          <w:sz w:val="24"/>
          <w:szCs w:val="24"/>
          <w:lang w:val="en-US" w:eastAsia="zh-CN"/>
        </w:rPr>
        <w:t>组对标准文本进行了逐条修改完善。</w:t>
      </w:r>
    </w:p>
    <w:p w14:paraId="16EB1D9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color w:val="auto"/>
          <w:sz w:val="24"/>
          <w:lang w:val="en-US"/>
        </w:rPr>
      </w:pPr>
      <w:r>
        <w:rPr>
          <w:rFonts w:hint="default" w:ascii="Times New Roman" w:hAnsi="Times New Roman" w:eastAsia="宋体" w:cs="Times New Roman"/>
          <w:color w:val="auto"/>
          <w:sz w:val="24"/>
          <w:lang w:val="en-US" w:eastAsia="zh-CN"/>
        </w:rPr>
        <w:t>2025年11月7日，邀请酸汤生产加工企业</w:t>
      </w:r>
      <w:r>
        <w:rPr>
          <w:rFonts w:hint="eastAsia" w:ascii="Times New Roman" w:hAnsi="Times New Roman" w:cs="Times New Roman"/>
          <w:color w:val="auto"/>
          <w:sz w:val="24"/>
          <w:lang w:val="en-US" w:eastAsia="zh-CN"/>
        </w:rPr>
        <w:t>、餐饮业</w:t>
      </w:r>
      <w:r>
        <w:rPr>
          <w:rFonts w:hint="default" w:ascii="Times New Roman" w:hAnsi="Times New Roman" w:eastAsia="宋体" w:cs="Times New Roman"/>
          <w:color w:val="auto"/>
          <w:sz w:val="24"/>
          <w:lang w:val="en-US" w:eastAsia="zh-CN"/>
        </w:rPr>
        <w:t>技术专家参加标准修订初稿的线上意见征集；11月28日，邀请酸汤生产加工企业</w:t>
      </w:r>
      <w:r>
        <w:rPr>
          <w:rFonts w:hint="eastAsia" w:ascii="Times New Roman" w:hAnsi="Times New Roman" w:cs="Times New Roman"/>
          <w:color w:val="auto"/>
          <w:sz w:val="24"/>
          <w:lang w:val="en-US" w:eastAsia="zh-CN"/>
        </w:rPr>
        <w:t>和餐饮业</w:t>
      </w:r>
      <w:r>
        <w:rPr>
          <w:rFonts w:hint="default" w:ascii="Times New Roman" w:hAnsi="Times New Roman" w:eastAsia="宋体" w:cs="Times New Roman"/>
          <w:color w:val="auto"/>
          <w:sz w:val="24"/>
          <w:lang w:val="en-US" w:eastAsia="zh-CN"/>
        </w:rPr>
        <w:t>技术专家参加标准修订初稿（修改版征求意见稿）讨论会，对标准内容逐条进行讨论；2026年1月4日，组织专家对团体标准进行讨论，</w:t>
      </w:r>
      <w:r>
        <w:rPr>
          <w:rFonts w:hint="default" w:ascii="Times New Roman" w:hAnsi="Times New Roman" w:eastAsia="宋体" w:cs="Times New Roman"/>
          <w:color w:val="auto"/>
          <w:sz w:val="24"/>
        </w:rPr>
        <w:t>编写组根据讨论会</w:t>
      </w:r>
      <w:r>
        <w:rPr>
          <w:rFonts w:hint="default" w:ascii="Times New Roman" w:hAnsi="Times New Roman" w:eastAsia="宋体" w:cs="Times New Roman"/>
          <w:color w:val="auto"/>
          <w:sz w:val="24"/>
          <w:lang w:val="en-US" w:eastAsia="zh-CN"/>
        </w:rPr>
        <w:t>上大家</w:t>
      </w:r>
      <w:r>
        <w:rPr>
          <w:rFonts w:hint="default" w:ascii="Times New Roman" w:hAnsi="Times New Roman" w:eastAsia="宋体" w:cs="Times New Roman"/>
          <w:color w:val="auto"/>
          <w:sz w:val="24"/>
        </w:rPr>
        <w:t>的意见和建议，</w:t>
      </w:r>
      <w:r>
        <w:rPr>
          <w:rFonts w:hint="eastAsia" w:ascii="Times New Roman" w:hAnsi="Times New Roman" w:cs="Times New Roman"/>
          <w:color w:val="auto"/>
          <w:sz w:val="24"/>
          <w:lang w:val="en-US" w:eastAsia="zh-CN"/>
        </w:rPr>
        <w:t>2026年1月5日至5月22日集中对标准稿件进行修改与完善。</w:t>
      </w:r>
      <w:r>
        <w:rPr>
          <w:rFonts w:hint="default" w:ascii="Times New Roman" w:hAnsi="Times New Roman" w:eastAsia="宋体" w:cs="Times New Roman"/>
          <w:color w:val="auto"/>
          <w:sz w:val="24"/>
        </w:rPr>
        <w:t>修改形成《</w:t>
      </w:r>
      <w:r>
        <w:rPr>
          <w:rFonts w:hint="eastAsia" w:ascii="Times New Roman" w:hAnsi="Times New Roman" w:cs="Times New Roman"/>
          <w:color w:val="auto"/>
          <w:sz w:val="24"/>
          <w:lang w:val="en-US" w:eastAsia="zh-CN"/>
        </w:rPr>
        <w:t>凯里酸汤品牌管理与评价</w:t>
      </w:r>
      <w:r>
        <w:rPr>
          <w:rFonts w:hint="default" w:ascii="Times New Roman" w:hAnsi="Times New Roman" w:eastAsia="宋体" w:cs="Times New Roman"/>
          <w:color w:val="auto"/>
          <w:sz w:val="24"/>
        </w:rPr>
        <w:t>（征求意见稿）》</w:t>
      </w:r>
      <w:r>
        <w:rPr>
          <w:rFonts w:hint="default" w:ascii="Times New Roman" w:hAnsi="Times New Roman" w:eastAsia="宋体" w:cs="Times New Roman"/>
          <w:color w:val="auto"/>
          <w:sz w:val="24"/>
          <w:lang w:val="en-US" w:eastAsia="zh-CN"/>
        </w:rPr>
        <w:t>文本及编制说明</w:t>
      </w:r>
      <w:r>
        <w:rPr>
          <w:rFonts w:hint="default" w:ascii="Times New Roman" w:hAnsi="Times New Roman" w:eastAsia="宋体" w:cs="Times New Roman"/>
          <w:color w:val="auto"/>
          <w:sz w:val="24"/>
          <w:lang w:eastAsia="zh-CN"/>
        </w:rPr>
        <w:t>。</w:t>
      </w:r>
    </w:p>
    <w:p w14:paraId="192997A6">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（4）</w:t>
      </w:r>
      <w:r>
        <w:rPr>
          <w:rFonts w:hint="default" w:ascii="Times New Roman" w:hAnsi="Times New Roman" w:eastAsia="宋体" w:cs="Times New Roman"/>
          <w:b/>
          <w:bCs/>
          <w:sz w:val="24"/>
        </w:rPr>
        <w:t>征求意见阶段</w:t>
      </w:r>
    </w:p>
    <w:p w14:paraId="0625C864">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color w:val="0000FF"/>
          <w:sz w:val="24"/>
        </w:rPr>
        <w:t>202</w:t>
      </w:r>
      <w:r>
        <w:rPr>
          <w:rFonts w:hint="default" w:ascii="Times New Roman" w:hAnsi="Times New Roman" w:eastAsia="宋体" w:cs="Times New Roman"/>
          <w:color w:val="0000FF"/>
          <w:sz w:val="24"/>
          <w:lang w:val="en-US" w:eastAsia="zh-CN"/>
        </w:rPr>
        <w:t>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5</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22</w:t>
      </w:r>
      <w:r>
        <w:rPr>
          <w:rFonts w:hint="default" w:ascii="Times New Roman" w:hAnsi="Times New Roman" w:eastAsia="宋体" w:cs="Times New Roman"/>
          <w:color w:val="0000FF"/>
          <w:sz w:val="24"/>
        </w:rPr>
        <w:t>日至</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21</w:t>
      </w:r>
      <w:bookmarkStart w:id="23" w:name="_GoBack"/>
      <w:bookmarkEnd w:id="23"/>
      <w:r>
        <w:rPr>
          <w:rFonts w:hint="default" w:ascii="Times New Roman" w:hAnsi="Times New Roman" w:eastAsia="宋体" w:cs="Times New Roman"/>
          <w:color w:val="0000FF"/>
          <w:sz w:val="24"/>
        </w:rPr>
        <w:t>日，在全国团体标准信息平台上对标准文本和编制说明公开向社会各界征求意见，</w:t>
      </w:r>
      <w:r>
        <w:rPr>
          <w:rFonts w:hint="default" w:ascii="Times New Roman" w:hAnsi="Times New Roman" w:eastAsia="宋体" w:cs="Times New Roman"/>
          <w:color w:val="0000FF"/>
          <w:sz w:val="24"/>
          <w:lang w:val="en-US" w:eastAsia="zh-CN"/>
        </w:rPr>
        <w:t>同时</w:t>
      </w:r>
      <w:r>
        <w:rPr>
          <w:rFonts w:hint="default" w:ascii="Times New Roman" w:hAnsi="Times New Roman" w:eastAsia="宋体" w:cs="Times New Roman"/>
          <w:color w:val="0000FF"/>
          <w:sz w:val="24"/>
        </w:rPr>
        <w:t>组织前往相关企业和有关部门征求意见，编制</w:t>
      </w:r>
      <w:r>
        <w:rPr>
          <w:rFonts w:hint="default" w:ascii="Times New Roman" w:hAnsi="Times New Roman" w:eastAsia="宋体" w:cs="Times New Roman"/>
          <w:color w:val="0000FF"/>
          <w:sz w:val="24"/>
          <w:lang w:val="en-US" w:eastAsia="zh-CN"/>
        </w:rPr>
        <w:t>组结合收集的意见建议，</w:t>
      </w:r>
      <w:r>
        <w:rPr>
          <w:rFonts w:hint="default" w:ascii="Times New Roman" w:hAnsi="Times New Roman" w:eastAsia="宋体" w:cs="Times New Roman"/>
          <w:color w:val="0000FF"/>
          <w:sz w:val="24"/>
        </w:rPr>
        <w:t>对标准文本</w:t>
      </w:r>
      <w:r>
        <w:rPr>
          <w:rFonts w:hint="default" w:ascii="Times New Roman" w:hAnsi="Times New Roman" w:eastAsia="宋体" w:cs="Times New Roman"/>
          <w:color w:val="0000FF"/>
          <w:sz w:val="24"/>
          <w:lang w:val="en-US" w:eastAsia="zh-CN"/>
        </w:rPr>
        <w:t>作</w:t>
      </w:r>
      <w:r>
        <w:rPr>
          <w:rFonts w:hint="default" w:ascii="Times New Roman" w:hAnsi="Times New Roman" w:eastAsia="宋体" w:cs="Times New Roman"/>
          <w:color w:val="0000FF"/>
          <w:sz w:val="24"/>
        </w:rPr>
        <w:t>进一步修改、完善，完成本团体标准送审稿。</w:t>
      </w:r>
    </w:p>
    <w:p w14:paraId="3719E041">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color w:val="0000FF"/>
          <w:sz w:val="24"/>
        </w:rPr>
      </w:pPr>
      <w:r>
        <w:rPr>
          <w:rFonts w:hint="default" w:ascii="Times New Roman" w:hAnsi="Times New Roman" w:eastAsia="宋体" w:cs="Times New Roman"/>
          <w:b/>
          <w:bCs/>
          <w:sz w:val="24"/>
          <w:szCs w:val="24"/>
          <w:lang w:val="en-US" w:eastAsia="zh-CN"/>
        </w:rPr>
        <w:t>（5）</w:t>
      </w:r>
      <w:r>
        <w:rPr>
          <w:rFonts w:hint="default" w:ascii="Times New Roman" w:hAnsi="Times New Roman" w:eastAsia="宋体" w:cs="Times New Roman"/>
          <w:b/>
          <w:bCs/>
          <w:color w:val="0000FF"/>
          <w:sz w:val="24"/>
        </w:rPr>
        <w:t>审定阶段</w:t>
      </w:r>
    </w:p>
    <w:p w14:paraId="09B6115C">
      <w:pPr>
        <w:adjustRightInd w:val="0"/>
        <w:spacing w:line="360" w:lineRule="exact"/>
        <w:ind w:firstLine="537" w:firstLineChars="224"/>
        <w:textAlignment w:val="baseline"/>
        <w:rPr>
          <w:rFonts w:hint="default" w:ascii="Times New Roman" w:hAnsi="Times New Roman" w:eastAsia="宋体" w:cs="Times New Roman"/>
          <w:sz w:val="24"/>
        </w:rPr>
      </w:pPr>
      <w:r>
        <w:rPr>
          <w:rFonts w:hint="default" w:ascii="Times New Roman" w:hAnsi="Times New Roman" w:eastAsia="宋体" w:cs="Times New Roman"/>
          <w:color w:val="0000FF"/>
          <w:sz w:val="24"/>
        </w:rPr>
        <w:t>20</w:t>
      </w:r>
      <w:r>
        <w:rPr>
          <w:rFonts w:hint="default" w:ascii="Times New Roman" w:hAnsi="Times New Roman" w:eastAsia="宋体" w:cs="Times New Roman"/>
          <w:color w:val="0000FF"/>
          <w:sz w:val="24"/>
          <w:lang w:val="en-US" w:eastAsia="zh-CN"/>
        </w:rPr>
        <w:t>26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default" w:ascii="Times New Roman" w:hAnsi="Times New Roman" w:eastAsia="宋体" w:cs="Times New Roman"/>
          <w:color w:val="0000FF"/>
          <w:sz w:val="24"/>
          <w:lang w:val="en-US" w:eastAsia="zh-CN"/>
        </w:rPr>
        <w:t>XX</w:t>
      </w:r>
      <w:r>
        <w:rPr>
          <w:rFonts w:hint="default" w:ascii="Times New Roman" w:hAnsi="Times New Roman" w:eastAsia="宋体" w:cs="Times New Roman"/>
          <w:color w:val="0000FF"/>
          <w:sz w:val="24"/>
        </w:rPr>
        <w:t>日，</w:t>
      </w:r>
      <w:r>
        <w:rPr>
          <w:rFonts w:hint="default" w:ascii="Times New Roman" w:hAnsi="Times New Roman" w:eastAsia="宋体" w:cs="Times New Roman"/>
          <w:color w:val="0000FF"/>
          <w:sz w:val="24"/>
          <w:lang w:val="en-US" w:eastAsia="zh-CN"/>
        </w:rPr>
        <w:t>凯里酸汤产业发展协会</w:t>
      </w:r>
      <w:r>
        <w:rPr>
          <w:rFonts w:hint="default" w:ascii="Times New Roman" w:hAnsi="Times New Roman" w:eastAsia="宋体" w:cs="Times New Roman"/>
          <w:color w:val="0000FF"/>
          <w:sz w:val="24"/>
        </w:rPr>
        <w:t>邀请</w:t>
      </w:r>
      <w:r>
        <w:rPr>
          <w:rFonts w:hint="default" w:ascii="Times New Roman" w:hAnsi="Times New Roman" w:eastAsia="宋体" w:cs="Times New Roman"/>
          <w:color w:val="0000FF"/>
          <w:sz w:val="24"/>
          <w:lang w:val="en-US" w:eastAsia="zh-CN"/>
        </w:rPr>
        <w:t>XXX</w:t>
      </w:r>
      <w:r>
        <w:rPr>
          <w:rFonts w:hint="default" w:ascii="Times New Roman" w:hAnsi="Times New Roman" w:eastAsia="宋体" w:cs="Times New Roman"/>
          <w:color w:val="0000FF"/>
          <w:sz w:val="24"/>
        </w:rPr>
        <w:t>等单位专家对本</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标准进行审定，与会专家一致同意通过《</w:t>
      </w:r>
      <w:r>
        <w:rPr>
          <w:rFonts w:hint="eastAsia" w:ascii="Times New Roman" w:hAnsi="Times New Roman" w:cs="Times New Roman"/>
          <w:color w:val="0000FF"/>
          <w:sz w:val="24"/>
          <w:lang w:val="en-US" w:eastAsia="zh-CN"/>
        </w:rPr>
        <w:t>凯里酸汤品牌管理与评价</w:t>
      </w:r>
      <w:r>
        <w:rPr>
          <w:rFonts w:hint="default" w:ascii="Times New Roman" w:hAnsi="Times New Roman" w:eastAsia="宋体" w:cs="Times New Roman"/>
          <w:color w:val="0000FF"/>
          <w:sz w:val="24"/>
        </w:rPr>
        <w:t>》</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标准的审定。</w:t>
      </w:r>
      <w:r>
        <w:rPr>
          <w:rFonts w:hint="default" w:ascii="Times New Roman" w:hAnsi="Times New Roman" w:eastAsia="宋体" w:cs="Times New Roman"/>
          <w:color w:val="0000FF"/>
          <w:sz w:val="24"/>
          <w:lang w:val="en-US" w:eastAsia="zh-CN"/>
        </w:rPr>
        <w:t>会</w:t>
      </w:r>
      <w:r>
        <w:rPr>
          <w:rFonts w:hint="default" w:ascii="Times New Roman" w:hAnsi="Times New Roman" w:eastAsia="宋体" w:cs="Times New Roman"/>
          <w:color w:val="0000FF"/>
          <w:sz w:val="24"/>
        </w:rPr>
        <w:t>后编制单位根据与会专家的提出的意见和建议，进一步修改完善，形成</w:t>
      </w:r>
      <w:r>
        <w:rPr>
          <w:rFonts w:hint="default" w:ascii="Times New Roman" w:hAnsi="Times New Roman" w:eastAsia="宋体" w:cs="Times New Roman"/>
          <w:color w:val="0000FF"/>
          <w:sz w:val="24"/>
          <w:lang w:val="en-US" w:eastAsia="zh-CN"/>
        </w:rPr>
        <w:t>本团体</w:t>
      </w:r>
      <w:r>
        <w:rPr>
          <w:rFonts w:hint="default" w:ascii="Times New Roman" w:hAnsi="Times New Roman" w:eastAsia="宋体" w:cs="Times New Roman"/>
          <w:color w:val="0000FF"/>
          <w:sz w:val="24"/>
        </w:rPr>
        <w:t>标准报批稿</w:t>
      </w:r>
      <w:r>
        <w:rPr>
          <w:rFonts w:hint="default" w:ascii="Times New Roman" w:hAnsi="Times New Roman" w:eastAsia="宋体" w:cs="Times New Roman"/>
          <w:sz w:val="24"/>
        </w:rPr>
        <w:t>。</w:t>
      </w:r>
    </w:p>
    <w:p w14:paraId="3119D274">
      <w:pPr>
        <w:adjustRightInd w:val="0"/>
        <w:spacing w:line="360" w:lineRule="exact"/>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（四）主要起草人及其所做的工作</w:t>
      </w:r>
    </w:p>
    <w:p w14:paraId="384198DF">
      <w:pPr>
        <w:adjustRightInd w:val="0"/>
        <w:spacing w:line="360" w:lineRule="exact"/>
        <w:ind w:firstLine="537" w:firstLineChars="224"/>
        <w:jc w:val="center"/>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主要起草人及其工作内容一览表</w:t>
      </w:r>
    </w:p>
    <w:tbl>
      <w:tblPr>
        <w:tblStyle w:val="13"/>
        <w:tblW w:w="875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3260"/>
        <w:gridCol w:w="1630"/>
        <w:gridCol w:w="2906"/>
      </w:tblGrid>
      <w:tr w14:paraId="2EE0E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tcPr>
          <w:p w14:paraId="5C722A62">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姓名</w:t>
            </w:r>
          </w:p>
        </w:tc>
        <w:tc>
          <w:tcPr>
            <w:tcW w:w="3260" w:type="dxa"/>
          </w:tcPr>
          <w:p w14:paraId="6124C0A6">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单位</w:t>
            </w:r>
          </w:p>
        </w:tc>
        <w:tc>
          <w:tcPr>
            <w:tcW w:w="1630" w:type="dxa"/>
          </w:tcPr>
          <w:p w14:paraId="3D7C4778">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职务职称</w:t>
            </w:r>
          </w:p>
        </w:tc>
        <w:tc>
          <w:tcPr>
            <w:tcW w:w="2906" w:type="dxa"/>
          </w:tcPr>
          <w:p w14:paraId="00B42BBC">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主要工作内容</w:t>
            </w:r>
          </w:p>
        </w:tc>
      </w:tr>
      <w:tr w14:paraId="55D2B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4E42B61">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佀胜利</w:t>
            </w:r>
          </w:p>
        </w:tc>
        <w:tc>
          <w:tcPr>
            <w:tcW w:w="3260" w:type="dxa"/>
            <w:shd w:val="clear" w:color="auto" w:fill="auto"/>
            <w:vAlign w:val="center"/>
          </w:tcPr>
          <w:p w14:paraId="26C5F7F9">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726D7ADB">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474A9211">
            <w:pPr>
              <w:spacing w:line="360" w:lineRule="exact"/>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标准前期调研、抽样</w:t>
            </w:r>
          </w:p>
        </w:tc>
      </w:tr>
      <w:tr w14:paraId="1570D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4EE1A494">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张玉龙</w:t>
            </w:r>
          </w:p>
        </w:tc>
        <w:tc>
          <w:tcPr>
            <w:tcW w:w="3260" w:type="dxa"/>
            <w:shd w:val="clear" w:color="auto" w:fill="auto"/>
            <w:vAlign w:val="center"/>
          </w:tcPr>
          <w:p w14:paraId="248EBD7E">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40C0E72B">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41412818">
            <w:pPr>
              <w:spacing w:line="240" w:lineRule="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标准前期调研、资料查阅，制定编制计划、人员分工、检测数据分析、标准编制。</w:t>
            </w:r>
          </w:p>
        </w:tc>
      </w:tr>
      <w:tr w14:paraId="11F30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22CD2D73">
            <w:pPr>
              <w:spacing w:line="360" w:lineRule="exact"/>
              <w:jc w:val="center"/>
              <w:rPr>
                <w:rFonts w:hint="default" w:ascii="Times New Roman" w:hAnsi="Times New Roman" w:eastAsia="宋体" w:cs="Times New Roman"/>
                <w:kern w:val="0"/>
                <w:sz w:val="21"/>
                <w:szCs w:val="21"/>
                <w:lang w:val="en-US" w:eastAsia="zh-CN" w:bidi="ar-SA"/>
              </w:rPr>
            </w:pPr>
            <w:r>
              <w:rPr>
                <w:rFonts w:hint="eastAsia" w:ascii="Times New Roman" w:hAnsi="Times New Roman" w:cs="Times New Roman"/>
                <w:kern w:val="0"/>
                <w:sz w:val="21"/>
                <w:szCs w:val="21"/>
                <w:lang w:val="en-US" w:eastAsia="zh-CN" w:bidi="ar-SA"/>
              </w:rPr>
              <w:t>周敏</w:t>
            </w:r>
          </w:p>
        </w:tc>
        <w:tc>
          <w:tcPr>
            <w:tcW w:w="3260" w:type="dxa"/>
            <w:shd w:val="clear" w:color="auto" w:fill="auto"/>
            <w:vAlign w:val="center"/>
          </w:tcPr>
          <w:p w14:paraId="61CC3FAA">
            <w:pPr>
              <w:spacing w:line="360" w:lineRule="exact"/>
              <w:jc w:val="center"/>
              <w:rPr>
                <w:rFonts w:hint="default" w:ascii="Times New Roman" w:hAnsi="Times New Roman" w:eastAsia="宋体" w:cs="Times New Roman"/>
                <w:kern w:val="0"/>
                <w:sz w:val="21"/>
                <w:szCs w:val="21"/>
                <w:lang w:val="en-US" w:eastAsia="zh-CN" w:bidi="ar-SA"/>
              </w:rPr>
            </w:pPr>
            <w:r>
              <w:rPr>
                <w:rFonts w:hint="eastAsia" w:ascii="Times New Roman" w:hAnsi="Times New Roman" w:cs="Times New Roman"/>
                <w:kern w:val="0"/>
                <w:sz w:val="21"/>
                <w:szCs w:val="21"/>
                <w:lang w:val="en-US" w:eastAsia="zh-CN" w:bidi="ar-SA"/>
              </w:rPr>
              <w:t>凯里学院</w:t>
            </w:r>
          </w:p>
        </w:tc>
        <w:tc>
          <w:tcPr>
            <w:tcW w:w="1630" w:type="dxa"/>
            <w:shd w:val="clear" w:color="auto" w:fill="auto"/>
            <w:vAlign w:val="center"/>
          </w:tcPr>
          <w:p w14:paraId="13654940">
            <w:pPr>
              <w:spacing w:line="360" w:lineRule="exact"/>
              <w:jc w:val="center"/>
              <w:rPr>
                <w:rFonts w:hint="default" w:ascii="Times New Roman" w:hAnsi="Times New Roman" w:eastAsia="宋体" w:cs="Times New Roman"/>
                <w:kern w:val="0"/>
                <w:sz w:val="21"/>
                <w:szCs w:val="21"/>
                <w:lang w:val="en-US" w:eastAsia="zh-CN" w:bidi="ar-SA"/>
              </w:rPr>
            </w:pPr>
            <w:r>
              <w:rPr>
                <w:rFonts w:hint="eastAsia" w:ascii="Times New Roman" w:hAnsi="Times New Roman" w:cs="Times New Roman"/>
                <w:kern w:val="0"/>
                <w:sz w:val="21"/>
                <w:szCs w:val="21"/>
                <w:lang w:val="en-US" w:eastAsia="zh-CN" w:bidi="ar-SA"/>
              </w:rPr>
              <w:t>讲师</w:t>
            </w:r>
          </w:p>
        </w:tc>
        <w:tc>
          <w:tcPr>
            <w:tcW w:w="2906" w:type="dxa"/>
            <w:shd w:val="clear" w:color="auto" w:fill="auto"/>
            <w:vAlign w:val="top"/>
          </w:tcPr>
          <w:p w14:paraId="7A562292">
            <w:pPr>
              <w:spacing w:line="360" w:lineRule="exact"/>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745F5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E93041C">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bidi="ar-SA"/>
              </w:rPr>
              <w:t>严红光</w:t>
            </w:r>
          </w:p>
        </w:tc>
        <w:tc>
          <w:tcPr>
            <w:tcW w:w="3260" w:type="dxa"/>
            <w:shd w:val="clear" w:color="auto" w:fill="auto"/>
            <w:vAlign w:val="center"/>
          </w:tcPr>
          <w:p w14:paraId="1AAA1813">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bidi="ar-SA"/>
              </w:rPr>
              <w:t>凯里学院</w:t>
            </w:r>
          </w:p>
        </w:tc>
        <w:tc>
          <w:tcPr>
            <w:tcW w:w="1630" w:type="dxa"/>
            <w:shd w:val="clear" w:color="auto" w:fill="auto"/>
            <w:vAlign w:val="center"/>
          </w:tcPr>
          <w:p w14:paraId="0BB62DC2">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bidi="ar-SA"/>
              </w:rPr>
              <w:t>教授</w:t>
            </w:r>
          </w:p>
        </w:tc>
        <w:tc>
          <w:tcPr>
            <w:tcW w:w="2906" w:type="dxa"/>
            <w:shd w:val="clear" w:color="auto" w:fill="auto"/>
            <w:vAlign w:val="top"/>
          </w:tcPr>
          <w:p w14:paraId="2D3F6BB7">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bidi="ar-SA"/>
              </w:rPr>
              <w:t>标准前期调研、抽样、检测</w:t>
            </w:r>
          </w:p>
        </w:tc>
      </w:tr>
      <w:tr w14:paraId="65578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52FDAC3">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3260" w:type="dxa"/>
            <w:shd w:val="clear" w:color="auto" w:fill="auto"/>
            <w:vAlign w:val="center"/>
          </w:tcPr>
          <w:p w14:paraId="46FE6BE7">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1630" w:type="dxa"/>
            <w:shd w:val="clear" w:color="auto" w:fill="auto"/>
            <w:vAlign w:val="center"/>
          </w:tcPr>
          <w:p w14:paraId="577368EE">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2906" w:type="dxa"/>
            <w:shd w:val="clear" w:color="auto" w:fill="auto"/>
            <w:vAlign w:val="top"/>
          </w:tcPr>
          <w:p w14:paraId="66363F72">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r>
    </w:tbl>
    <w:p w14:paraId="5E69E8D8">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二、标准</w:t>
      </w:r>
      <w:r>
        <w:rPr>
          <w:rFonts w:hint="eastAsia" w:ascii="Times New Roman" w:hAnsi="Times New Roman" w:eastAsia="宋体" w:cs="Times New Roman"/>
          <w:b/>
          <w:bCs/>
          <w:kern w:val="0"/>
          <w:sz w:val="24"/>
          <w:szCs w:val="24"/>
          <w:lang w:val="en-US" w:eastAsia="zh-CN"/>
        </w:rPr>
        <w:t>编制</w:t>
      </w:r>
      <w:r>
        <w:rPr>
          <w:rFonts w:hint="default" w:ascii="Times New Roman" w:hAnsi="Times New Roman" w:eastAsia="宋体" w:cs="Times New Roman"/>
          <w:b/>
          <w:bCs/>
          <w:kern w:val="0"/>
          <w:sz w:val="24"/>
          <w:szCs w:val="24"/>
        </w:rPr>
        <w:t>原则和主要内容</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的原则与依据</w:t>
      </w:r>
    </w:p>
    <w:p w14:paraId="1656B65F">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w:t>
      </w:r>
    </w:p>
    <w:p w14:paraId="227F9F2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（1）准确性  标准所规定的条款力求明确而无歧义。</w:t>
      </w:r>
    </w:p>
    <w:p w14:paraId="7E676159">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（2）统一性  标准结构、文体和术语力求统一。按照GB/T 1.1-2020《标准化工作导则 第1部分：标准化文件的结构和起草规则》的规定起草。</w:t>
      </w:r>
    </w:p>
    <w:p w14:paraId="219E01B7">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en-US"/>
        </w:rPr>
        <w:t>3）</w:t>
      </w:r>
      <w:r>
        <w:rPr>
          <w:rFonts w:hint="eastAsia" w:ascii="Times New Roman" w:hAnsi="Times New Roman" w:cs="Times New Roman"/>
          <w:sz w:val="24"/>
          <w:szCs w:val="24"/>
          <w:lang w:val="en-US" w:eastAsia="zh-CN"/>
        </w:rPr>
        <w:t xml:space="preserve">系统性  </w:t>
      </w:r>
      <w:r>
        <w:rPr>
          <w:rFonts w:hint="eastAsia" w:ascii="Times New Roman" w:hAnsi="Times New Roman" w:eastAsia="宋体" w:cs="Times New Roman"/>
          <w:sz w:val="24"/>
          <w:szCs w:val="24"/>
          <w:lang w:val="en-US" w:eastAsia="en-US"/>
        </w:rPr>
        <w:t>构建了覆盖品牌战略定位、组织管理架构、</w:t>
      </w:r>
      <w:r>
        <w:rPr>
          <w:rFonts w:hint="eastAsia" w:ascii="Times New Roman" w:hAnsi="Times New Roman" w:cs="Times New Roman"/>
          <w:sz w:val="24"/>
          <w:szCs w:val="24"/>
          <w:lang w:val="en-US" w:eastAsia="zh-CN"/>
        </w:rPr>
        <w:t>品牌管理、品牌认定、</w:t>
      </w:r>
      <w:r>
        <w:rPr>
          <w:rFonts w:hint="eastAsia" w:ascii="Times New Roman" w:hAnsi="Times New Roman" w:eastAsia="宋体" w:cs="Times New Roman"/>
          <w:sz w:val="24"/>
          <w:szCs w:val="24"/>
          <w:lang w:val="en-US" w:eastAsia="en-US"/>
        </w:rPr>
        <w:t>申请授权流程、标识使用规范、</w:t>
      </w:r>
      <w:r>
        <w:rPr>
          <w:rFonts w:hint="eastAsia" w:ascii="Times New Roman" w:hAnsi="Times New Roman" w:cs="Times New Roman"/>
          <w:sz w:val="24"/>
          <w:szCs w:val="24"/>
          <w:lang w:val="en-US" w:eastAsia="zh-CN"/>
        </w:rPr>
        <w:t>品牌使用权注销、</w:t>
      </w:r>
      <w:r>
        <w:rPr>
          <w:rFonts w:hint="eastAsia" w:ascii="Times New Roman" w:hAnsi="Times New Roman" w:eastAsia="宋体" w:cs="Times New Roman"/>
          <w:sz w:val="24"/>
          <w:szCs w:val="24"/>
          <w:lang w:val="en-US" w:eastAsia="en-US"/>
        </w:rPr>
        <w:t>品牌维权保护、监督评价改进的全过程品牌管理体系。</w:t>
      </w:r>
    </w:p>
    <w:p w14:paraId="7CD39DCB">
      <w:pPr>
        <w:spacing w:line="360" w:lineRule="auto"/>
        <w:ind w:firstLine="480" w:firstLineChars="200"/>
        <w:rPr>
          <w:rFonts w:hint="default" w:ascii="Times New Roman" w:hAnsi="Times New Roman" w:eastAsia="宋体"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协调性  充分结合现有基础标准的有关条款，达到标准间的相互协调。</w:t>
      </w:r>
    </w:p>
    <w:p w14:paraId="2390B27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ascii="Times New Roman" w:hAnsi="Times New Roman" w:cs="Times New Roman"/>
          <w:sz w:val="24"/>
          <w:szCs w:val="24"/>
          <w:lang w:val="en-US" w:eastAsia="zh-CN"/>
        </w:rPr>
        <w:t>5</w:t>
      </w:r>
      <w:r>
        <w:rPr>
          <w:rFonts w:hint="default" w:ascii="Times New Roman" w:hAnsi="Times New Roman" w:eastAsia="宋体" w:cs="Times New Roman"/>
          <w:sz w:val="24"/>
          <w:szCs w:val="24"/>
        </w:rPr>
        <w:t>）适用性  标准内容易于实施，便于被其它文件所引用且具可操作性。</w:t>
      </w:r>
    </w:p>
    <w:p w14:paraId="00FBDBB2">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ascii="Times New Roman" w:hAnsi="Times New Roman" w:cs="Times New Roman"/>
          <w:sz w:val="24"/>
          <w:szCs w:val="24"/>
          <w:lang w:val="en-US" w:eastAsia="zh-CN"/>
        </w:rPr>
        <w:t>6</w:t>
      </w:r>
      <w:r>
        <w:rPr>
          <w:rFonts w:hint="default" w:ascii="Times New Roman" w:hAnsi="Times New Roman" w:eastAsia="宋体" w:cs="Times New Roman"/>
          <w:sz w:val="24"/>
          <w:szCs w:val="24"/>
        </w:rPr>
        <w:t>）</w:t>
      </w:r>
      <w:r>
        <w:rPr>
          <w:rFonts w:hint="eastAsia" w:ascii="Times New Roman" w:hAnsi="Times New Roman" w:eastAsia="宋体" w:cs="Times New Roman"/>
          <w:sz w:val="24"/>
          <w:szCs w:val="24"/>
          <w:lang w:val="en-US" w:eastAsia="en-US"/>
        </w:rPr>
        <w:t>可操作性</w:t>
      </w:r>
      <w:r>
        <w:rPr>
          <w:rFonts w:hint="eastAsia" w:ascii="Times New Roman" w:hAnsi="Times New Roman" w:cs="Times New Roman"/>
          <w:sz w:val="24"/>
          <w:szCs w:val="24"/>
          <w:lang w:val="en-US" w:eastAsia="zh-CN"/>
        </w:rPr>
        <w:t xml:space="preserve">  </w:t>
      </w:r>
      <w:r>
        <w:rPr>
          <w:rFonts w:hint="eastAsia" w:ascii="Times New Roman" w:hAnsi="Times New Roman" w:eastAsia="宋体" w:cs="Times New Roman"/>
          <w:sz w:val="24"/>
          <w:szCs w:val="24"/>
          <w:lang w:val="en-US" w:eastAsia="en-US"/>
        </w:rPr>
        <w:t>标准逐条规定了申请材料清单、评审程序步骤、授权期限（3年）等具体参数，使品牌管理方和使用主体均能清晰把握各自职责和操作流程，便于标准的落地执行。</w:t>
      </w:r>
    </w:p>
    <w:p w14:paraId="4F65A7D6">
      <w:pPr>
        <w:spacing w:line="360" w:lineRule="auto"/>
        <w:ind w:firstLine="480" w:firstLineChars="200"/>
        <w:rPr>
          <w:rFonts w:hint="default" w:ascii="Times New Roman" w:hAnsi="Times New Roman" w:eastAsia="宋体" w:cs="Times New Roman"/>
          <w:sz w:val="24"/>
          <w:szCs w:val="24"/>
        </w:rPr>
      </w:pP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7</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 xml:space="preserve">特殊性  </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既遵循相关国家标准的要求，又体现我州凯里酸汤</w:t>
      </w:r>
      <w:r>
        <w:rPr>
          <w:rFonts w:hint="eastAsia" w:ascii="Times New Roman" w:hAnsi="Times New Roman" w:cs="Times New Roman"/>
          <w:sz w:val="24"/>
          <w:szCs w:val="24"/>
          <w:lang w:val="en-US" w:eastAsia="zh-CN"/>
        </w:rPr>
        <w:t>品牌</w:t>
      </w:r>
      <w:r>
        <w:rPr>
          <w:rFonts w:hint="default" w:ascii="Times New Roman" w:hAnsi="Times New Roman" w:eastAsia="宋体" w:cs="Times New Roman"/>
          <w:sz w:val="24"/>
          <w:szCs w:val="24"/>
        </w:rPr>
        <w:t>特点，注重实用性。</w:t>
      </w:r>
    </w:p>
    <w:p w14:paraId="40B9B09C">
      <w:pPr>
        <w:spacing w:line="360" w:lineRule="auto"/>
        <w:ind w:firstLine="614" w:firstLineChars="255"/>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的依据与内容</w:t>
      </w:r>
    </w:p>
    <w:p w14:paraId="63455B4A">
      <w:pPr>
        <w:spacing w:line="360" w:lineRule="auto"/>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国家标准化发展纲要》提出“实施品牌战略，培育具有国际影响力的品牌”；《知识产权强国建设纲要（2021—2035年）》明确“推进商标品牌建设”。起草组总结提炼了黔东南州多年来的品牌运营实践经验，重点对标分析了省内较为成熟的区域公用品牌管理模式，吸收了其在授权管理、标识统一、宣传推广、维权打假等方面的成功做法</w:t>
      </w:r>
      <w:r>
        <w:rPr>
          <w:rFonts w:hint="eastAsia" w:ascii="Times New Roman" w:hAnsi="Times New Roman" w:cs="Times New Roman"/>
          <w:sz w:val="24"/>
          <w:szCs w:val="24"/>
          <w:lang w:val="en-US" w:eastAsia="zh-CN"/>
        </w:rPr>
        <w:t>，并</w:t>
      </w:r>
      <w:r>
        <w:rPr>
          <w:rFonts w:hint="eastAsia" w:ascii="Times New Roman" w:hAnsi="Times New Roman" w:eastAsia="宋体" w:cs="Times New Roman"/>
          <w:sz w:val="24"/>
          <w:szCs w:val="24"/>
          <w:lang w:val="en-US" w:eastAsia="zh-CN"/>
        </w:rPr>
        <w:t>充分考虑了酸汤产业在经营主体规模差异大、品牌基础较弱、产区分散等方面的</w:t>
      </w:r>
      <w:r>
        <w:rPr>
          <w:rFonts w:hint="eastAsia" w:ascii="Times New Roman" w:hAnsi="Times New Roman" w:cs="Times New Roman"/>
          <w:sz w:val="24"/>
          <w:szCs w:val="24"/>
          <w:lang w:val="en-US" w:eastAsia="zh-CN"/>
        </w:rPr>
        <w:t>现状</w:t>
      </w:r>
      <w:r>
        <w:rPr>
          <w:rFonts w:hint="eastAsia" w:ascii="Times New Roman" w:hAnsi="Times New Roman" w:eastAsia="宋体" w:cs="Times New Roman"/>
          <w:sz w:val="24"/>
          <w:szCs w:val="24"/>
          <w:lang w:val="en-US" w:eastAsia="zh-CN"/>
        </w:rPr>
        <w:t>，</w:t>
      </w:r>
      <w:r>
        <w:rPr>
          <w:rFonts w:hint="eastAsia" w:ascii="Times New Roman" w:hAnsi="Times New Roman" w:cs="Times New Roman"/>
          <w:sz w:val="24"/>
          <w:szCs w:val="24"/>
          <w:lang w:val="en-US" w:eastAsia="zh-CN"/>
        </w:rPr>
        <w:t>保证标准“既瞄准高标准，又符合区域实际”</w:t>
      </w:r>
      <w:r>
        <w:rPr>
          <w:rFonts w:hint="eastAsia" w:ascii="Times New Roman" w:hAnsi="Times New Roman" w:eastAsia="宋体" w:cs="Times New Roman"/>
          <w:sz w:val="24"/>
          <w:szCs w:val="24"/>
          <w:lang w:val="en-US" w:eastAsia="zh-CN"/>
        </w:rPr>
        <w:t>。</w:t>
      </w:r>
    </w:p>
    <w:p w14:paraId="68B22F41">
      <w:pPr>
        <w:spacing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广泛参考和引用了现行国家标准。其中，</w:t>
      </w:r>
      <w:r>
        <w:rPr>
          <w:rFonts w:hint="eastAsia" w:ascii="Times New Roman" w:hAnsi="Times New Roman" w:cs="Times New Roman"/>
          <w:color w:val="auto"/>
          <w:sz w:val="24"/>
          <w:lang w:val="en-US" w:eastAsia="zh-CN"/>
        </w:rPr>
        <w:t>术语方面依据</w:t>
      </w:r>
      <w:r>
        <w:rPr>
          <w:rFonts w:hint="eastAsia" w:ascii="Times New Roman" w:hAnsi="Times New Roman" w:eastAsia="宋体" w:cs="Times New Roman"/>
          <w:color w:val="auto"/>
          <w:sz w:val="24"/>
          <w:lang w:val="en-US" w:eastAsia="zh-CN"/>
        </w:rPr>
        <w:t>GB/T 29185</w:t>
      </w:r>
      <w:r>
        <w:rPr>
          <w:rFonts w:hint="eastAsia" w:ascii="Times New Roman" w:hAnsi="Times New Roman" w:cs="Times New Roman"/>
          <w:color w:val="auto"/>
          <w:sz w:val="24"/>
          <w:lang w:val="en-US" w:eastAsia="zh-CN"/>
        </w:rPr>
        <w:t>《</w:t>
      </w:r>
      <w:r>
        <w:rPr>
          <w:rFonts w:hint="eastAsia" w:ascii="Times New Roman" w:hAnsi="Times New Roman" w:eastAsia="宋体" w:cs="Times New Roman"/>
          <w:color w:val="auto"/>
          <w:sz w:val="24"/>
          <w:lang w:val="en-US" w:eastAsia="zh-CN"/>
        </w:rPr>
        <w:t>品牌 术语</w:t>
      </w:r>
      <w:r>
        <w:rPr>
          <w:rFonts w:hint="eastAsia" w:ascii="Times New Roman" w:hAnsi="Times New Roman" w:cs="Times New Roman"/>
          <w:color w:val="auto"/>
          <w:sz w:val="24"/>
          <w:lang w:val="en-US" w:eastAsia="zh-CN"/>
        </w:rPr>
        <w:t>》，该标准界定了品牌基础术语、品牌评价术语、品牌培育与管理术语及有关品牌的其他术语；</w:t>
      </w:r>
      <w:r>
        <w:rPr>
          <w:rFonts w:hint="eastAsia" w:ascii="Times New Roman" w:hAnsi="Times New Roman" w:eastAsia="宋体" w:cs="Times New Roman"/>
          <w:sz w:val="24"/>
          <w:szCs w:val="24"/>
          <w:lang w:val="en-US" w:eastAsia="zh-CN"/>
        </w:rPr>
        <w:t>依据GB/T 39906-2021《品牌管理要求》，该标准为组织开展品牌管理活动提供了通用框架，强调了品牌策划、实施、监测与改进的动态管理循环；品牌评价方面依据GB/T 39654-2020《品牌评价 原则与基础》，该标准提供了包含有形要素、质量要素、创新要素、服务要素和无形要素在内的五维度评价框架</w:t>
      </w:r>
      <w:r>
        <w:rPr>
          <w:rFonts w:hint="eastAsia" w:ascii="Times New Roman" w:hAnsi="Times New Roman" w:cs="Times New Roman"/>
          <w:sz w:val="24"/>
          <w:szCs w:val="24"/>
          <w:lang w:val="en-US" w:eastAsia="zh-CN"/>
        </w:rPr>
        <w:t>；</w:t>
      </w:r>
      <w:r>
        <w:rPr>
          <w:rFonts w:hint="eastAsia" w:ascii="Times New Roman" w:hAnsi="Times New Roman" w:cs="Times New Roman"/>
          <w:color w:val="auto"/>
          <w:sz w:val="24"/>
          <w:lang w:val="en-US" w:eastAsia="zh-CN"/>
        </w:rPr>
        <w:t>品牌价值的要素方面依据</w:t>
      </w:r>
      <w:r>
        <w:rPr>
          <w:rFonts w:hint="eastAsia" w:ascii="Times New Roman" w:hAnsi="Times New Roman" w:eastAsia="宋体" w:cs="Times New Roman"/>
          <w:color w:val="auto"/>
          <w:sz w:val="24"/>
          <w:lang w:val="en-US" w:eastAsia="zh-CN"/>
        </w:rPr>
        <w:t>GB/T 29186</w:t>
      </w:r>
      <w:r>
        <w:rPr>
          <w:rFonts w:hint="eastAsia" w:ascii="Times New Roman" w:hAnsi="Times New Roman" w:cs="Times New Roman"/>
          <w:color w:val="auto"/>
          <w:sz w:val="24"/>
          <w:lang w:val="en-US" w:eastAsia="zh-CN"/>
        </w:rPr>
        <w:t>.1《</w:t>
      </w:r>
      <w:r>
        <w:rPr>
          <w:rFonts w:hint="eastAsia" w:ascii="Times New Roman" w:hAnsi="Times New Roman" w:eastAsia="宋体" w:cs="Times New Roman"/>
          <w:color w:val="auto"/>
          <w:sz w:val="24"/>
          <w:lang w:val="en-US" w:eastAsia="zh-CN"/>
        </w:rPr>
        <w:t>品牌价值要素评价 第1部分：通则</w:t>
      </w:r>
      <w:r>
        <w:rPr>
          <w:rFonts w:hint="eastAsia" w:ascii="Times New Roman" w:hAnsi="Times New Roman" w:cs="Times New Roman"/>
          <w:color w:val="auto"/>
          <w:sz w:val="24"/>
          <w:lang w:val="en-US" w:eastAsia="zh-CN"/>
        </w:rPr>
        <w:t>》，该标准界定了品牌价值要素评价的总体原则、评价指标体系、评价数据获取、评价实施、评价程序和评价报告；依据</w:t>
      </w:r>
      <w:r>
        <w:rPr>
          <w:rFonts w:hint="eastAsia" w:ascii="Times New Roman" w:hAnsi="Times New Roman" w:eastAsia="宋体" w:cs="Times New Roman"/>
          <w:color w:val="auto"/>
          <w:sz w:val="24"/>
          <w:lang w:val="en-US" w:eastAsia="zh-CN"/>
        </w:rPr>
        <w:t>GB/T 29187</w:t>
      </w:r>
      <w:r>
        <w:rPr>
          <w:rFonts w:hint="eastAsia" w:ascii="Times New Roman" w:hAnsi="Times New Roman" w:cs="Times New Roman"/>
          <w:color w:val="auto"/>
          <w:sz w:val="24"/>
          <w:lang w:val="en-US" w:eastAsia="zh-CN"/>
        </w:rPr>
        <w:t>《</w:t>
      </w:r>
      <w:r>
        <w:rPr>
          <w:rFonts w:hint="eastAsia" w:ascii="Times New Roman" w:hAnsi="Times New Roman" w:eastAsia="宋体" w:cs="Times New Roman"/>
          <w:color w:val="auto"/>
          <w:sz w:val="24"/>
          <w:lang w:val="en-US" w:eastAsia="zh-CN"/>
        </w:rPr>
        <w:t>品牌评价 品牌价值评价要求</w:t>
      </w:r>
      <w:r>
        <w:rPr>
          <w:rFonts w:hint="eastAsia" w:ascii="Times New Roman" w:hAnsi="Times New Roman" w:cs="Times New Roman"/>
          <w:color w:val="auto"/>
          <w:sz w:val="24"/>
          <w:lang w:val="en-US" w:eastAsia="zh-CN"/>
        </w:rPr>
        <w:t>》，该标准界定了评价方法</w:t>
      </w:r>
      <w:r>
        <w:rPr>
          <w:rFonts w:hint="default" w:ascii="Times New Roman" w:hAnsi="Times New Roman" w:eastAsia="宋体" w:cs="Times New Roman"/>
          <w:color w:val="auto"/>
          <w:sz w:val="24"/>
        </w:rPr>
        <w:t>。</w:t>
      </w:r>
    </w:p>
    <w:p w14:paraId="00814383">
      <w:pPr>
        <w:numPr>
          <w:ilvl w:val="0"/>
          <w:numId w:val="2"/>
        </w:numPr>
        <w:adjustRightInd w:val="0"/>
        <w:spacing w:line="360" w:lineRule="auto"/>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主要</w:t>
      </w:r>
      <w:r>
        <w:rPr>
          <w:rFonts w:hint="eastAsia" w:ascii="Times New Roman" w:hAnsi="Times New Roman" w:cs="Times New Roman"/>
          <w:b/>
          <w:bCs/>
          <w:kern w:val="0"/>
          <w:sz w:val="24"/>
          <w:szCs w:val="24"/>
          <w:lang w:val="en-US" w:eastAsia="zh-CN"/>
        </w:rPr>
        <w:t>技术内容</w:t>
      </w:r>
    </w:p>
    <w:p w14:paraId="5DBCC4B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ascii="Times New Roman" w:hAnsi="Times New Roman" w:eastAsia="黑体"/>
          <w:color w:val="auto"/>
          <w:sz w:val="24"/>
        </w:rPr>
      </w:pPr>
      <w:bookmarkStart w:id="1" w:name="_Toc31389"/>
      <w:bookmarkStart w:id="2" w:name="_Toc10177"/>
      <w:r>
        <w:rPr>
          <w:rFonts w:ascii="Times New Roman" w:hAnsi="Times New Roman" w:eastAsia="黑体"/>
          <w:color w:val="auto"/>
          <w:sz w:val="24"/>
        </w:rPr>
        <w:t>1 范围</w:t>
      </w:r>
      <w:bookmarkEnd w:id="1"/>
      <w:bookmarkEnd w:id="2"/>
    </w:p>
    <w:p w14:paraId="5F7D6939">
      <w:pPr>
        <w:pStyle w:val="11"/>
        <w:keepNext w:val="0"/>
        <w:keepLines w:val="0"/>
        <w:pageBreakBefore w:val="0"/>
        <w:kinsoku/>
        <w:wordWrap/>
        <w:overflowPunct/>
        <w:topLinePunct w:val="0"/>
        <w:autoSpaceDE/>
        <w:autoSpaceDN/>
        <w:bidi w:val="0"/>
        <w:adjustRightInd/>
        <w:snapToGrid/>
        <w:ind w:firstLine="420" w:firstLineChars="200"/>
        <w:textAlignment w:val="auto"/>
        <w:rPr>
          <w:rFonts w:hint="default"/>
          <w:color w:val="auto"/>
          <w:lang w:val="en-US" w:eastAsia="zh-CN"/>
        </w:rPr>
      </w:pPr>
      <w:r>
        <w:rPr>
          <w:rFonts w:ascii="Times New Roman" w:hAnsi="Times New Roman"/>
          <w:color w:val="auto"/>
          <w:kern w:val="0"/>
          <w:szCs w:val="21"/>
        </w:rPr>
        <w:t>本文件</w:t>
      </w:r>
      <w:r>
        <w:rPr>
          <w:rFonts w:hint="eastAsia" w:ascii="Times New Roman" w:hAnsi="Times New Roman"/>
          <w:color w:val="auto"/>
          <w:kern w:val="0"/>
          <w:szCs w:val="21"/>
          <w:lang w:val="en-US" w:eastAsia="zh-CN"/>
        </w:rPr>
        <w:t>界定了“凯里酸汤”品牌管理所涉及的术语和定义，规定了“凯里酸汤”品牌管理的总则、基本要求，品牌管理机构、品牌认定、品牌管理策划、申报程序、监督与保护、品牌使用权注销、品牌评价。</w:t>
      </w:r>
    </w:p>
    <w:p w14:paraId="0F7E96D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ascii="Times New Roman" w:hAnsi="Times New Roman"/>
          <w:color w:val="auto"/>
          <w:kern w:val="0"/>
          <w:szCs w:val="21"/>
        </w:rPr>
      </w:pPr>
      <w:r>
        <w:rPr>
          <w:rFonts w:hint="eastAsia" w:ascii="Times New Roman" w:hAnsi="Times New Roman"/>
          <w:color w:val="auto"/>
          <w:kern w:val="0"/>
          <w:szCs w:val="21"/>
        </w:rPr>
        <w:t>本文件适用于</w:t>
      </w:r>
      <w:r>
        <w:rPr>
          <w:rFonts w:hint="eastAsia" w:ascii="Times New Roman" w:hAnsi="Times New Roman"/>
          <w:color w:val="auto"/>
          <w:kern w:val="0"/>
          <w:szCs w:val="21"/>
          <w:lang w:eastAsia="zh-CN"/>
        </w:rPr>
        <w:t>“</w:t>
      </w:r>
      <w:r>
        <w:rPr>
          <w:rFonts w:hint="eastAsia" w:ascii="Times New Roman" w:hAnsi="Times New Roman"/>
          <w:color w:val="auto"/>
          <w:kern w:val="0"/>
          <w:szCs w:val="21"/>
          <w:lang w:val="en-US" w:eastAsia="zh-CN"/>
        </w:rPr>
        <w:t>凯里酸汤</w:t>
      </w:r>
      <w:r>
        <w:rPr>
          <w:rFonts w:hint="eastAsia" w:ascii="Times New Roman" w:hAnsi="Times New Roman"/>
          <w:color w:val="auto"/>
          <w:kern w:val="0"/>
          <w:szCs w:val="21"/>
          <w:lang w:eastAsia="zh-CN"/>
        </w:rPr>
        <w:t>”</w:t>
      </w:r>
      <w:r>
        <w:rPr>
          <w:rFonts w:hint="eastAsia" w:ascii="Times New Roman" w:hAnsi="Times New Roman"/>
          <w:color w:val="auto"/>
          <w:kern w:val="0"/>
          <w:szCs w:val="21"/>
          <w:lang w:val="en-US" w:eastAsia="zh-CN"/>
        </w:rPr>
        <w:t>公用品牌和品牌</w:t>
      </w:r>
      <w:r>
        <w:rPr>
          <w:rFonts w:hint="default" w:ascii="Times New Roman" w:hAnsi="Times New Roman"/>
          <w:color w:val="auto"/>
          <w:kern w:val="0"/>
          <w:szCs w:val="21"/>
          <w:lang w:val="en-US" w:eastAsia="zh-CN"/>
        </w:rPr>
        <w:t>评价</w:t>
      </w:r>
      <w:r>
        <w:rPr>
          <w:rFonts w:hint="eastAsia" w:ascii="Times New Roman" w:hAnsi="Times New Roman"/>
          <w:color w:val="auto"/>
          <w:kern w:val="0"/>
          <w:szCs w:val="21"/>
        </w:rPr>
        <w:t>。</w:t>
      </w:r>
    </w:p>
    <w:p w14:paraId="6D791DB9">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ascii="Times New Roman" w:hAnsi="Times New Roman" w:eastAsia="黑体"/>
          <w:color w:val="auto"/>
          <w:sz w:val="24"/>
        </w:rPr>
      </w:pPr>
      <w:bookmarkStart w:id="3" w:name="_Toc29575"/>
      <w:bookmarkStart w:id="4" w:name="_Toc10461"/>
      <w:r>
        <w:rPr>
          <w:rFonts w:ascii="Times New Roman" w:hAnsi="Times New Roman" w:eastAsia="黑体"/>
          <w:color w:val="auto"/>
          <w:sz w:val="24"/>
        </w:rPr>
        <w:t>2 规范性引用文件</w:t>
      </w:r>
      <w:bookmarkEnd w:id="3"/>
      <w:bookmarkEnd w:id="4"/>
    </w:p>
    <w:p w14:paraId="4A3B085B">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ascii="Times New Roman" w:hAnsi="Times New Roman"/>
          <w:color w:val="auto"/>
          <w:kern w:val="0"/>
          <w:szCs w:val="21"/>
        </w:rPr>
      </w:pPr>
      <w:r>
        <w:rPr>
          <w:rFonts w:ascii="Times New Roman" w:hAnsi="Times New Roman"/>
          <w:color w:val="auto"/>
        </w:rPr>
        <w:t>下</w:t>
      </w:r>
      <w:r>
        <w:rPr>
          <w:rFonts w:ascii="Times New Roman" w:hAnsi="Times New Roman"/>
          <w:color w:val="auto"/>
          <w:kern w:val="0"/>
          <w:szCs w:val="21"/>
        </w:rPr>
        <w:t>列文件</w:t>
      </w:r>
      <w:r>
        <w:rPr>
          <w:rFonts w:hint="eastAsia" w:ascii="Times New Roman" w:hAnsi="Times New Roman"/>
          <w:color w:val="auto"/>
          <w:kern w:val="0"/>
          <w:szCs w:val="21"/>
          <w:lang w:val="en-US" w:eastAsia="zh-CN"/>
        </w:rPr>
        <w:t>中的内容通过文中的规范性引用而构成</w:t>
      </w:r>
      <w:r>
        <w:rPr>
          <w:rFonts w:ascii="Times New Roman" w:hAnsi="Times New Roman"/>
          <w:color w:val="auto"/>
          <w:kern w:val="0"/>
          <w:szCs w:val="21"/>
        </w:rPr>
        <w:t>本文件必不可少的</w:t>
      </w:r>
      <w:r>
        <w:rPr>
          <w:rFonts w:hint="eastAsia" w:ascii="Times New Roman" w:hAnsi="Times New Roman"/>
          <w:color w:val="auto"/>
          <w:kern w:val="0"/>
          <w:szCs w:val="21"/>
          <w:lang w:val="en-US" w:eastAsia="zh-CN"/>
        </w:rPr>
        <w:t>条款</w:t>
      </w:r>
      <w:r>
        <w:rPr>
          <w:rFonts w:ascii="Times New Roman" w:hAnsi="Times New Roman"/>
          <w:color w:val="auto"/>
          <w:kern w:val="0"/>
          <w:szCs w:val="21"/>
        </w:rPr>
        <w:t>，凡是注日期的引用文</w:t>
      </w:r>
      <w:r>
        <w:rPr>
          <w:rFonts w:hint="eastAsia" w:ascii="Times New Roman" w:hAnsi="Times New Roman"/>
          <w:color w:val="auto"/>
          <w:kern w:val="0"/>
          <w:szCs w:val="21"/>
          <w:lang w:val="en-US" w:eastAsia="zh-CN"/>
        </w:rPr>
        <w:t>件</w:t>
      </w:r>
      <w:r>
        <w:rPr>
          <w:rFonts w:ascii="Times New Roman" w:hAnsi="Times New Roman"/>
          <w:color w:val="auto"/>
          <w:kern w:val="0"/>
          <w:szCs w:val="21"/>
        </w:rPr>
        <w:t>，仅注日期的版本</w:t>
      </w:r>
      <w:r>
        <w:rPr>
          <w:rFonts w:hint="eastAsia" w:ascii="Times New Roman" w:hAnsi="Times New Roman"/>
          <w:color w:val="auto"/>
          <w:kern w:val="0"/>
          <w:szCs w:val="21"/>
          <w:lang w:val="en-US" w:eastAsia="zh-CN"/>
        </w:rPr>
        <w:t>适用</w:t>
      </w:r>
      <w:r>
        <w:rPr>
          <w:rFonts w:ascii="Times New Roman" w:hAnsi="Times New Roman"/>
          <w:color w:val="auto"/>
          <w:kern w:val="0"/>
          <w:szCs w:val="21"/>
        </w:rPr>
        <w:t>于本文件。凡是不注日期的引用文件，其最新版本（包括所有的修改单）适用于本文件。</w:t>
      </w:r>
    </w:p>
    <w:p w14:paraId="2247C587">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29185 品牌 术语</w:t>
      </w:r>
    </w:p>
    <w:p w14:paraId="44494847">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29186.1《品牌价值要素评价 第1部分：通则》</w:t>
      </w:r>
    </w:p>
    <w:p w14:paraId="299A4DE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29187 品牌评价 品牌价值评价要求</w:t>
      </w:r>
    </w:p>
    <w:p w14:paraId="3429ADA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39654 品牌评价 原则与基础</w:t>
      </w:r>
    </w:p>
    <w:p w14:paraId="7D3D000B">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39904 区域品牌培育与建设指南</w:t>
      </w:r>
    </w:p>
    <w:p w14:paraId="7BE827A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39906 品牌管理要求</w:t>
      </w:r>
    </w:p>
    <w:p w14:paraId="5D0D637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rPr>
      </w:pPr>
      <w:bookmarkStart w:id="5" w:name="_Toc1242"/>
      <w:bookmarkStart w:id="6" w:name="_Toc623"/>
      <w:r>
        <w:rPr>
          <w:rFonts w:hint="eastAsia" w:ascii="Times New Roman" w:hAnsi="Times New Roman" w:eastAsia="黑体" w:cs="Times New Roman"/>
          <w:color w:val="auto"/>
          <w:sz w:val="24"/>
          <w:lang w:val="en-US" w:eastAsia="zh-CN"/>
        </w:rPr>
        <w:t>3 术语和定义</w:t>
      </w:r>
      <w:bookmarkEnd w:id="5"/>
      <w:bookmarkEnd w:id="6"/>
    </w:p>
    <w:p w14:paraId="6D65E98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color w:val="auto"/>
          <w:lang w:val="en-US" w:eastAsia="zh-CN"/>
        </w:rPr>
      </w:pPr>
      <w:r>
        <w:rPr>
          <w:rFonts w:hint="eastAsia"/>
          <w:color w:val="auto"/>
          <w:lang w:val="en-US" w:eastAsia="zh-CN"/>
        </w:rPr>
        <w:t xml:space="preserve">GB/T 29185、GB/T 29186、GB/T 29187、GB/T 39654、GB/T </w:t>
      </w:r>
      <w:r>
        <w:rPr>
          <w:rFonts w:hint="eastAsia" w:ascii="Times New Roman" w:hAnsi="Times New Roman" w:eastAsia="宋体" w:cs="Times New Roman"/>
          <w:color w:val="auto"/>
          <w:kern w:val="0"/>
          <w:szCs w:val="21"/>
          <w:lang w:val="en-US" w:eastAsia="zh-CN"/>
        </w:rPr>
        <w:t>39904</w:t>
      </w:r>
      <w:r>
        <w:rPr>
          <w:rFonts w:hint="eastAsia"/>
          <w:color w:val="auto"/>
          <w:lang w:val="en-US" w:eastAsia="zh-CN"/>
        </w:rPr>
        <w:t>和GB/T 39906界定的术语和定义适用于本文件。</w:t>
      </w:r>
    </w:p>
    <w:p w14:paraId="0BDA33C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3.1 品牌</w:t>
      </w:r>
    </w:p>
    <w:p w14:paraId="4220D598">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与营销相关的无形资产，包括（但不限于）名称、用语、符号、形象、标识、设计或其组合，用于区分产品、服务和（或）实体，或兼而有之，能够在利益相关方意识中形成独特印象和联想，从而产生经济利益（价值）。</w:t>
      </w:r>
    </w:p>
    <w:p w14:paraId="5587E488">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[来源：GB/T 29187-2012，2.2]</w:t>
      </w:r>
    </w:p>
    <w:p w14:paraId="053C563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3.2 “凯里酸汤”品牌</w:t>
      </w:r>
    </w:p>
    <w:p w14:paraId="26C74918">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color w:val="auto"/>
          <w:lang w:val="en-US" w:eastAsia="zh-CN"/>
        </w:rPr>
      </w:pPr>
      <w:r>
        <w:rPr>
          <w:rFonts w:hint="eastAsia"/>
          <w:color w:val="auto"/>
        </w:rPr>
        <w:t>在</w:t>
      </w:r>
      <w:r>
        <w:rPr>
          <w:rFonts w:hint="eastAsia"/>
          <w:color w:val="auto"/>
          <w:lang w:val="en-US" w:eastAsia="zh-CN"/>
        </w:rPr>
        <w:t>具有</w:t>
      </w:r>
      <w:r>
        <w:rPr>
          <w:rFonts w:hint="eastAsia" w:ascii="Times New Roman" w:hAnsi="Times New Roman" w:eastAsia="宋体" w:cs="Times New Roman"/>
          <w:color w:val="auto"/>
          <w:lang w:val="en-US" w:eastAsia="zh-CN"/>
        </w:rPr>
        <w:t>特定自然生态环境、历史人文因素的黔东南州内，依托特色番茄、辣椒等种质资源及其果实优势在酸汤产业发展的基础上形成的具有市场声誉和影响力的，由相关机构共同使用的，在品牌效益等方面具有共同诉求与行动，使黔东南州形象与黔东南州酸汤产品共同发展的品牌。</w:t>
      </w:r>
    </w:p>
    <w:p w14:paraId="648642D7">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rPr>
      </w:pPr>
      <w:bookmarkStart w:id="7" w:name="_Toc7386"/>
      <w:bookmarkStart w:id="8" w:name="_Toc20410"/>
      <w:r>
        <w:rPr>
          <w:rFonts w:hint="eastAsia" w:ascii="Times New Roman" w:hAnsi="Times New Roman" w:eastAsia="黑体" w:cs="Times New Roman"/>
          <w:color w:val="auto"/>
          <w:sz w:val="24"/>
          <w:lang w:val="en-US" w:eastAsia="zh-CN"/>
        </w:rPr>
        <w:t>4 总则</w:t>
      </w:r>
      <w:bookmarkEnd w:id="7"/>
      <w:bookmarkEnd w:id="8"/>
    </w:p>
    <w:p w14:paraId="6DD2D7DF">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color w:val="auto"/>
          <w:lang w:val="en-US" w:eastAsia="zh-CN"/>
        </w:rPr>
      </w:pPr>
      <w:r>
        <w:rPr>
          <w:rFonts w:hint="eastAsia"/>
          <w:color w:val="auto"/>
          <w:lang w:val="en-US" w:eastAsia="zh-CN"/>
        </w:rPr>
        <w:t>按“凯里酸汤”品牌全面发展战略，通过使用“凯里酸汤”品牌提升市场经营主体品牌影响力、发展市场经营主体品牌，增强凯里酸汤品牌生命力的路径，实现“凯里酸汤”品牌与市场经营主体品牌共生、共享、共融，推动“凯里酸汤”品牌和市场经营主体品牌共同发展。注重保护凯里酸汤非物质文化遗产形象，促进非物质文化遗产传承和“凯里酸汤”品牌塑造。</w:t>
      </w:r>
    </w:p>
    <w:p w14:paraId="5F3BBA8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rPr>
      </w:pPr>
      <w:bookmarkStart w:id="9" w:name="_Toc18370"/>
      <w:bookmarkStart w:id="10" w:name="_Toc28767"/>
      <w:r>
        <w:rPr>
          <w:rFonts w:hint="eastAsia" w:ascii="Times New Roman" w:hAnsi="Times New Roman" w:eastAsia="黑体" w:cs="Times New Roman"/>
          <w:color w:val="auto"/>
          <w:sz w:val="24"/>
          <w:lang w:val="en-US" w:eastAsia="zh-CN"/>
        </w:rPr>
        <w:t>5 基本要求</w:t>
      </w:r>
      <w:bookmarkEnd w:id="9"/>
      <w:bookmarkEnd w:id="10"/>
    </w:p>
    <w:p w14:paraId="5A124174">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color w:val="auto"/>
          <w:lang w:val="en-US" w:eastAsia="zh-CN"/>
        </w:rPr>
      </w:pPr>
      <w:r>
        <w:rPr>
          <w:rFonts w:hint="eastAsia"/>
          <w:color w:val="auto"/>
          <w:lang w:val="en-US" w:eastAsia="zh-CN"/>
        </w:rPr>
        <w:t>基本要求包括但不限于以下方面：</w:t>
      </w:r>
    </w:p>
    <w:p w14:paraId="1C06E4F4">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color w:val="auto"/>
          <w:lang w:val="en-US" w:eastAsia="zh-CN"/>
        </w:rPr>
      </w:pPr>
      <w:r>
        <w:rPr>
          <w:rFonts w:hint="eastAsia"/>
          <w:color w:val="auto"/>
          <w:lang w:val="en-US" w:eastAsia="zh-CN"/>
        </w:rPr>
        <w:t>——依托黔东南州的自然资源、农业、工业发展实际，充分挖掘凯里酸汤的质量特色与自然因素、人文因素的关联性，发挥凯里酸汤原产地的地域优势，大力发展“凯里酸汤”品牌；</w:t>
      </w:r>
    </w:p>
    <w:p w14:paraId="7EF4138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color w:val="auto"/>
          <w:lang w:val="en-US" w:eastAsia="zh-CN"/>
        </w:rPr>
        <w:t>——引导生产规模大、带动</w:t>
      </w:r>
      <w:r>
        <w:rPr>
          <w:rFonts w:hint="eastAsia" w:ascii="Times New Roman" w:hAnsi="Times New Roman" w:eastAsia="宋体" w:cs="Times New Roman"/>
          <w:color w:val="auto"/>
          <w:lang w:val="en-US" w:eastAsia="zh-CN"/>
        </w:rPr>
        <w:t>能力</w:t>
      </w:r>
      <w:r>
        <w:rPr>
          <w:rFonts w:hint="eastAsia"/>
          <w:color w:val="auto"/>
          <w:lang w:val="en-US" w:eastAsia="zh-CN"/>
        </w:rPr>
        <w:t>强的龙头市场经营主体强化自身管理，构建原料品种推广、原料种植、原料采购控制、生产管理、产品质量安全追溯等全产业链条的生产技术和管</w:t>
      </w:r>
      <w:r>
        <w:rPr>
          <w:rFonts w:hint="eastAsia" w:ascii="Times New Roman" w:hAnsi="Times New Roman" w:eastAsia="宋体" w:cs="Times New Roman"/>
          <w:color w:val="auto"/>
          <w:lang w:val="en-US" w:eastAsia="zh-CN"/>
        </w:rPr>
        <w:t>理规范；</w:t>
      </w:r>
    </w:p>
    <w:p w14:paraId="1C5041D8">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——以质量安全为基础，积极推动</w:t>
      </w:r>
      <w:r>
        <w:rPr>
          <w:rFonts w:hint="eastAsia"/>
          <w:color w:val="auto"/>
          <w:lang w:val="en-US" w:eastAsia="zh-CN"/>
        </w:rPr>
        <w:t>“凯里酸汤”</w:t>
      </w:r>
      <w:r>
        <w:rPr>
          <w:rFonts w:hint="eastAsia" w:ascii="Times New Roman" w:hAnsi="Times New Roman" w:eastAsia="宋体" w:cs="Times New Roman"/>
          <w:color w:val="auto"/>
          <w:lang w:val="en-US" w:eastAsia="zh-CN"/>
        </w:rPr>
        <w:t>品牌标准的制定和实施，提升品牌整体质量和影响力；</w:t>
      </w:r>
    </w:p>
    <w:p w14:paraId="3CA89B50">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——严格</w:t>
      </w:r>
      <w:r>
        <w:rPr>
          <w:rFonts w:hint="eastAsia"/>
          <w:color w:val="auto"/>
          <w:lang w:val="en-US" w:eastAsia="zh-CN"/>
        </w:rPr>
        <w:t>“凯里酸汤”</w:t>
      </w:r>
      <w:r>
        <w:rPr>
          <w:rFonts w:hint="eastAsia" w:ascii="Times New Roman" w:hAnsi="Times New Roman" w:eastAsia="宋体" w:cs="Times New Roman"/>
          <w:color w:val="auto"/>
          <w:lang w:val="en-US" w:eastAsia="zh-CN"/>
        </w:rPr>
        <w:t>品牌的申请、审批、授权、使用管理等，保障品牌质量；</w:t>
      </w:r>
    </w:p>
    <w:p w14:paraId="4A76B72F">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——依托</w:t>
      </w:r>
      <w:r>
        <w:rPr>
          <w:rFonts w:hint="eastAsia"/>
          <w:color w:val="auto"/>
          <w:lang w:val="en-US" w:eastAsia="zh-CN"/>
        </w:rPr>
        <w:t>“凯里酸汤”</w:t>
      </w:r>
      <w:r>
        <w:rPr>
          <w:rFonts w:hint="eastAsia" w:ascii="Times New Roman" w:hAnsi="Times New Roman" w:eastAsia="宋体" w:cs="Times New Roman"/>
          <w:color w:val="auto"/>
          <w:lang w:val="en-US" w:eastAsia="zh-CN"/>
        </w:rPr>
        <w:t>品牌的多重监督主体，完善品牌的监管体系，维护品牌形象；</w:t>
      </w:r>
    </w:p>
    <w:p w14:paraId="57015EF2">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——依托不同的载体和渠道，完善品牌推广体系，提高品牌知名度；</w:t>
      </w:r>
    </w:p>
    <w:p w14:paraId="4D77C0C8">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——加强文化融合，提升品牌文化内涵。</w:t>
      </w:r>
    </w:p>
    <w:p w14:paraId="08AB7B3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lang w:val="en-US" w:eastAsia="zh-CN"/>
        </w:rPr>
        <w:t>——本标准提及的市场经营主体主要是指凯里酸汤用原料生产的单位和个人、</w:t>
      </w:r>
      <w:r>
        <w:rPr>
          <w:rFonts w:hint="eastAsia" w:ascii="Times New Roman" w:hAnsi="Times New Roman" w:eastAsia="宋体" w:cs="Times New Roman"/>
          <w:color w:val="auto"/>
          <w:highlight w:val="none"/>
          <w:lang w:val="en-US" w:eastAsia="zh-CN"/>
        </w:rPr>
        <w:t>凯里酸汤生产的单位和个人、凯里酸汤餐饮单位和个人、凯里酸汤宣传的文化媒体单位和个人。</w:t>
      </w:r>
    </w:p>
    <w:p w14:paraId="4615772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——黔东南州域内、外原料种植（含种植基地）、酸汤生产、餐饮、文化媒体应符合“凯里酸汤”品牌要求。</w:t>
      </w:r>
    </w:p>
    <w:p w14:paraId="082C9E7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——凯里酸汤生产的单位和个人有且仅限于黔东南州域内的酸汤生产的单位和个人。</w:t>
      </w:r>
    </w:p>
    <w:p w14:paraId="5A143A60">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rPr>
      </w:pPr>
      <w:bookmarkStart w:id="11" w:name="_Toc25842"/>
      <w:bookmarkStart w:id="12" w:name="_Toc13857"/>
      <w:r>
        <w:rPr>
          <w:rFonts w:hint="eastAsia" w:ascii="Times New Roman" w:hAnsi="Times New Roman" w:eastAsia="黑体" w:cs="Times New Roman"/>
          <w:color w:val="auto"/>
          <w:sz w:val="24"/>
          <w:lang w:val="en-US" w:eastAsia="zh-CN"/>
        </w:rPr>
        <w:t>6 品牌管理机构</w:t>
      </w:r>
      <w:bookmarkEnd w:id="11"/>
      <w:bookmarkEnd w:id="12"/>
    </w:p>
    <w:p w14:paraId="7BFE50F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6.1 品牌管理机构</w:t>
      </w:r>
    </w:p>
    <w:p w14:paraId="0F6C100E">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凯里酸汤”公用品牌由黔东南州工业和信息化局持有，并牵头对“凯里酸汤”公用品牌实施管理。黔东南州酸汤产业发展协会负责“凯里酸汤”公用品牌的管理、组织和保护工作。在黔东南州工业和信息化局的领导下，由黔东南州酸汤产业发展协会、各县区酸汤协会、市场监督管理局等单位组成“凯里酸汤”公用品牌的管理工作小组，负责品牌日常管理工作。</w:t>
      </w:r>
    </w:p>
    <w:p w14:paraId="6798689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6.2 品牌管理机构职能</w:t>
      </w:r>
    </w:p>
    <w:p w14:paraId="39611FAE">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机构的职能包括但不限于以下方面：</w:t>
      </w:r>
    </w:p>
    <w:p w14:paraId="28260BA1">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——制定品牌战略，包括品牌定位、架构等；</w:t>
      </w:r>
    </w:p>
    <w:p w14:paraId="6E0B1725">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——负责工作策划、部署、品牌管理活动；</w:t>
      </w:r>
    </w:p>
    <w:p w14:paraId="594F094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——保障品牌管理活动所必需的资源；</w:t>
      </w:r>
    </w:p>
    <w:p w14:paraId="5ABB4B3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——建立人才资源管理体系，组建管理人才队伍；</w:t>
      </w:r>
    </w:p>
    <w:p w14:paraId="6D43A4F1">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——建立工作协调机制，促进品牌管理工作的开展；</w:t>
      </w:r>
    </w:p>
    <w:p w14:paraId="3704849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——建立品牌管理制度体系，明确品牌管理的职责、权限；</w:t>
      </w:r>
    </w:p>
    <w:p w14:paraId="1FB47D0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——识别品牌管理相关风险。</w:t>
      </w:r>
    </w:p>
    <w:p w14:paraId="24F33708">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rPr>
      </w:pPr>
      <w:bookmarkStart w:id="13" w:name="_Toc17675"/>
      <w:bookmarkStart w:id="14" w:name="_Toc13507"/>
      <w:r>
        <w:rPr>
          <w:rFonts w:hint="eastAsia" w:ascii="Times New Roman" w:hAnsi="Times New Roman" w:eastAsia="黑体" w:cs="Times New Roman"/>
          <w:color w:val="auto"/>
          <w:sz w:val="24"/>
          <w:lang w:val="en-US" w:eastAsia="zh-CN"/>
        </w:rPr>
        <w:t>7 品牌认定</w:t>
      </w:r>
      <w:bookmarkEnd w:id="13"/>
      <w:bookmarkEnd w:id="14"/>
    </w:p>
    <w:p w14:paraId="204CAF75">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7.1 认定条件</w:t>
      </w:r>
    </w:p>
    <w:p w14:paraId="1652B25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lang w:val="en-US" w:eastAsia="zh-CN"/>
        </w:rPr>
      </w:pPr>
      <w:r>
        <w:rPr>
          <w:rFonts w:hint="eastAsia" w:ascii="Times New Roman" w:hAnsi="Times New Roman" w:eastAsia="宋体" w:cs="Times New Roman"/>
          <w:color w:val="auto"/>
          <w:sz w:val="21"/>
          <w:lang w:val="en-US" w:eastAsia="zh-CN"/>
        </w:rPr>
        <w:t>“凯里酸汤”品牌的认定对象仅限符合“凯里酸汤”品牌要求的市场经营主体。</w:t>
      </w:r>
    </w:p>
    <w:p w14:paraId="6266C7E1">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default" w:ascii="Times New Roman" w:hAnsi="Times New Roman" w:eastAsia="黑体" w:cs="Times New Roman"/>
          <w:color w:val="auto"/>
          <w:sz w:val="24"/>
          <w:lang w:val="en-US" w:eastAsia="zh-CN"/>
        </w:rPr>
      </w:pPr>
      <w:bookmarkStart w:id="15" w:name="_Toc3041"/>
      <w:bookmarkStart w:id="16" w:name="_Toc12778"/>
      <w:r>
        <w:rPr>
          <w:rFonts w:hint="eastAsia" w:ascii="Times New Roman" w:hAnsi="Times New Roman" w:eastAsia="黑体" w:cs="Times New Roman"/>
          <w:color w:val="auto"/>
          <w:sz w:val="24"/>
          <w:lang w:val="en-US" w:eastAsia="zh-CN"/>
        </w:rPr>
        <w:t>8 品牌管理策划</w:t>
      </w:r>
      <w:bookmarkEnd w:id="15"/>
      <w:bookmarkEnd w:id="16"/>
    </w:p>
    <w:p w14:paraId="5E3A037B">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8.1 品牌文化建设</w:t>
      </w:r>
    </w:p>
    <w:p w14:paraId="29B52DF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应挖掘凯里酸汤的文化内涵，将饮食文化、历史故事、非物质文化遗产等元素融入凯里酸汤品牌推广与文化建设。注重相关非物质文化遗产的保护和传承。</w:t>
      </w:r>
    </w:p>
    <w:p w14:paraId="6C76A78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8.2 品牌推广</w:t>
      </w:r>
    </w:p>
    <w:p w14:paraId="79FF73F1">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黑体" w:hAnsi="宋体" w:eastAsia="黑体" w:cs="黑体"/>
          <w:color w:val="auto"/>
          <w:kern w:val="0"/>
          <w:sz w:val="21"/>
          <w:szCs w:val="21"/>
          <w:lang w:val="en-US" w:eastAsia="zh-CN" w:bidi="ar"/>
        </w:rPr>
      </w:pPr>
      <w:r>
        <w:rPr>
          <w:rFonts w:hint="eastAsia" w:ascii="Times New Roman" w:hAnsi="Times New Roman" w:eastAsia="宋体" w:cs="Times New Roman"/>
          <w:color w:val="auto"/>
          <w:kern w:val="2"/>
          <w:sz w:val="21"/>
          <w:szCs w:val="24"/>
          <w:lang w:val="en-US" w:eastAsia="zh-CN" w:bidi="ar"/>
        </w:rPr>
        <w:t>品牌推广包括但不限于以下方面</w:t>
      </w:r>
      <w:r>
        <w:rPr>
          <w:rFonts w:hint="eastAsia" w:ascii="黑体" w:hAnsi="宋体" w:eastAsia="黑体" w:cs="黑体"/>
          <w:color w:val="auto"/>
          <w:kern w:val="0"/>
          <w:sz w:val="21"/>
          <w:szCs w:val="21"/>
          <w:lang w:val="en-US" w:eastAsia="zh-CN" w:bidi="ar"/>
        </w:rPr>
        <w:t>：</w:t>
      </w:r>
    </w:p>
    <w:p w14:paraId="1AD1F201">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——明确推广的方案及内容、渠道和需要的资源；</w:t>
      </w:r>
    </w:p>
    <w:p w14:paraId="31F0B942">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——结合产品特点、品牌文化、品牌定位等因素，采用主流媒体、新媒体、自媒体、电商平台、展会、直播带货、“凯里酸汤”项目等推广“凯里酸汤”品牌；</w:t>
      </w:r>
    </w:p>
    <w:p w14:paraId="3458D5A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——建立科学的推广效果评价体系，并量化分析和评价推广效果，依据评估结果，优化品牌推广方案和内容。</w:t>
      </w:r>
    </w:p>
    <w:p w14:paraId="432D6C6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8.3 品牌资产维护</w:t>
      </w:r>
    </w:p>
    <w:p w14:paraId="22B10D2F">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应对“凯里酸汤”品牌的资产和潜在风险进行识别，加强相关维护工作，包括但不限于品牌知识产权维护、品牌使用管理、品牌风险管理。</w:t>
      </w:r>
    </w:p>
    <w:p w14:paraId="70F760F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8.4 品牌价值提升</w:t>
      </w:r>
    </w:p>
    <w:p w14:paraId="09A62735">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“凯里酸汤”品牌价值提升应从产品质量、服务水平、科技创新能力等要素进行策划、实施等品牌管理活动。</w:t>
      </w:r>
    </w:p>
    <w:p w14:paraId="5678FB7A">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kern w:val="2"/>
          <w:sz w:val="24"/>
          <w:szCs w:val="24"/>
          <w:lang w:val="en-US" w:eastAsia="zh-CN" w:bidi="ar"/>
        </w:rPr>
      </w:pPr>
      <w:bookmarkStart w:id="17" w:name="_Toc26471"/>
      <w:bookmarkStart w:id="18" w:name="_Toc1346"/>
      <w:r>
        <w:rPr>
          <w:rFonts w:hint="eastAsia" w:ascii="Times New Roman" w:hAnsi="Times New Roman" w:eastAsia="黑体" w:cs="Times New Roman"/>
          <w:color w:val="auto"/>
          <w:kern w:val="2"/>
          <w:sz w:val="24"/>
          <w:szCs w:val="24"/>
          <w:lang w:val="en-US" w:eastAsia="zh-CN" w:bidi="ar"/>
        </w:rPr>
        <w:t>9 申报程序</w:t>
      </w:r>
      <w:bookmarkEnd w:id="17"/>
      <w:bookmarkEnd w:id="18"/>
    </w:p>
    <w:p w14:paraId="642A20DE">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Times New Roman" w:hAnsi="Times New Roman" w:eastAsia="宋体" w:cs="Times New Roman"/>
          <w:color w:val="auto"/>
          <w:kern w:val="2"/>
          <w:sz w:val="21"/>
          <w:szCs w:val="24"/>
          <w:lang w:val="en-US" w:eastAsia="zh-CN" w:bidi="ar"/>
        </w:rPr>
      </w:pPr>
      <w:r>
        <w:rPr>
          <w:rFonts w:hint="eastAsia" w:ascii="黑体" w:hAnsi="宋体" w:eastAsia="黑体" w:cs="黑体"/>
          <w:color w:val="auto"/>
          <w:kern w:val="0"/>
          <w:sz w:val="21"/>
          <w:szCs w:val="21"/>
          <w:lang w:val="en-US" w:eastAsia="zh-CN" w:bidi="ar"/>
        </w:rPr>
        <w:t>9.1 申请材料</w:t>
      </w:r>
    </w:p>
    <w:p w14:paraId="68F80874">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应包括《凯里酸汤公用品牌使用申请书》、法定代表人身份证明、食品生产许可证（小作坊备案证）或食品经营许可证、营业执照复印件各1份和按照相应凯里酸汤团体标准检测的第三方检验检测报告。</w:t>
      </w:r>
    </w:p>
    <w:p w14:paraId="6DD54FC0">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9.2 评审</w:t>
      </w:r>
    </w:p>
    <w:p w14:paraId="23F3968B">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品牌管理机构组织评选专家按照凯里酸汤相关团体标准的相关规定对提出申请的市场经营主体和产品进行评选、审核，形成审核意见。</w:t>
      </w:r>
    </w:p>
    <w:p w14:paraId="4EDF8D2A">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 w:val="21"/>
          <w:szCs w:val="21"/>
          <w:lang w:val="en-US" w:eastAsia="zh-CN" w:bidi="ar"/>
        </w:rPr>
      </w:pPr>
      <w:r>
        <w:rPr>
          <w:rFonts w:hint="eastAsia" w:ascii="黑体" w:hAnsi="宋体" w:eastAsia="黑体" w:cs="黑体"/>
          <w:color w:val="auto"/>
          <w:kern w:val="0"/>
          <w:sz w:val="21"/>
          <w:szCs w:val="21"/>
          <w:lang w:val="en-US" w:eastAsia="zh-CN" w:bidi="ar"/>
        </w:rPr>
        <w:t>9.3 授权</w:t>
      </w:r>
    </w:p>
    <w:p w14:paraId="536FD71A">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9.3.1 品牌管理机构授权市场经营主体使用“凯里酸汤”公用品牌，明确使用期限、双方权利、法律责任等内容。</w:t>
      </w:r>
    </w:p>
    <w:p w14:paraId="03CEA4CA">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9.3.2 品牌授权有效期为三年，届满前三个月提出申请，获得延续授权。</w:t>
      </w:r>
    </w:p>
    <w:p w14:paraId="7ADA09AF">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9.3.3 获得授权使用“凯里酸汤”公用品牌的市场经营主体，不得倒卖、转让、馈赠使用权等方式变更主体。</w:t>
      </w:r>
    </w:p>
    <w:p w14:paraId="4FCF217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kern w:val="2"/>
          <w:sz w:val="21"/>
          <w:szCs w:val="24"/>
          <w:lang w:val="en-US" w:eastAsia="zh-CN" w:bidi="ar"/>
        </w:rPr>
      </w:pPr>
      <w:r>
        <w:rPr>
          <w:rFonts w:hint="eastAsia" w:ascii="Times New Roman" w:hAnsi="Times New Roman" w:eastAsia="宋体" w:cs="Times New Roman"/>
          <w:color w:val="auto"/>
          <w:kern w:val="2"/>
          <w:sz w:val="21"/>
          <w:szCs w:val="24"/>
          <w:lang w:val="en-US" w:eastAsia="zh-CN" w:bidi="ar"/>
        </w:rPr>
        <w:t>9.3.4 未获得“凯里酸汤”公用品牌授权的市场经营主体等主体严禁使用“凯里酸汤”公用品牌，否则，依法追究。</w:t>
      </w:r>
    </w:p>
    <w:p w14:paraId="5E59DCE9">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kern w:val="2"/>
          <w:sz w:val="24"/>
          <w:szCs w:val="24"/>
          <w:lang w:val="en-US" w:eastAsia="zh-CN" w:bidi="ar"/>
        </w:rPr>
      </w:pPr>
      <w:bookmarkStart w:id="19" w:name="_Toc14297"/>
      <w:bookmarkStart w:id="20" w:name="_Toc26015"/>
      <w:r>
        <w:rPr>
          <w:rFonts w:hint="eastAsia" w:ascii="Times New Roman" w:hAnsi="Times New Roman" w:eastAsia="黑体" w:cs="Times New Roman"/>
          <w:color w:val="auto"/>
          <w:kern w:val="2"/>
          <w:sz w:val="24"/>
          <w:szCs w:val="24"/>
          <w:lang w:val="en-US" w:eastAsia="zh-CN" w:bidi="ar"/>
        </w:rPr>
        <w:t>10 监督与保护</w:t>
      </w:r>
      <w:bookmarkEnd w:id="19"/>
      <w:bookmarkEnd w:id="20"/>
    </w:p>
    <w:p w14:paraId="06D90EF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10.1 监督</w:t>
      </w:r>
    </w:p>
    <w:p w14:paraId="1CA25FF4">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10.1.1 品牌管理机构应建立健全品牌监督管理制度，并开展日常监督管理。</w:t>
      </w:r>
    </w:p>
    <w:p w14:paraId="7681A8CD">
      <w:pPr>
        <w:pStyle w:val="11"/>
        <w:keepNext w:val="0"/>
        <w:keepLines w:val="0"/>
        <w:pageBreakBefore w:val="0"/>
        <w:kinsoku/>
        <w:wordWrap/>
        <w:overflowPunct/>
        <w:topLinePunct w:val="0"/>
        <w:autoSpaceDE/>
        <w:autoSpaceDN/>
        <w:bidi w:val="0"/>
        <w:adjustRightInd/>
        <w:snapToGrid/>
        <w:ind w:firstLine="420" w:firstLineChars="200"/>
        <w:textAlignment w:val="auto"/>
        <w:outlineLvl w:val="2"/>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10.1.2 市场经营主体不可扩大公用品牌标志的使用范围。</w:t>
      </w:r>
    </w:p>
    <w:p w14:paraId="6EE6BDB4">
      <w:pPr>
        <w:pStyle w:val="11"/>
        <w:keepNext w:val="0"/>
        <w:keepLines w:val="0"/>
        <w:pageBreakBefore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10.1.3 品牌管理机构应定期调查消费者对品牌产品的接受度和满意度，并实施评价。</w:t>
      </w:r>
    </w:p>
    <w:p w14:paraId="18BA458C">
      <w:pPr>
        <w:pStyle w:val="11"/>
        <w:keepNext w:val="0"/>
        <w:keepLines w:val="0"/>
        <w:pageBreakBefore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10.1.4 应对品牌危机突发事件，涉及市场经营主体应及时处理和上报说明，并报品牌管理机构备案。</w:t>
      </w:r>
    </w:p>
    <w:p w14:paraId="2281659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10.2 保护</w:t>
      </w:r>
    </w:p>
    <w:p w14:paraId="54E02096">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10.2.1 品牌管理机构应通过商标注册等途径保护“凯里酸汤”公用品牌的知识产权。</w:t>
      </w:r>
    </w:p>
    <w:p w14:paraId="5A88A9D0">
      <w:pPr>
        <w:pStyle w:val="11"/>
        <w:keepNext w:val="0"/>
        <w:keepLines w:val="0"/>
        <w:pageBreakBefore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10.2.2 对侵权“凯里酸汤”公用品牌的相关行为，品牌管理机构应通过法律途径依法维权。</w:t>
      </w:r>
    </w:p>
    <w:p w14:paraId="047E2F31">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0"/>
        <w:rPr>
          <w:rFonts w:hint="eastAsia" w:ascii="Times New Roman" w:hAnsi="Times New Roman" w:eastAsia="黑体" w:cs="Times New Roman"/>
          <w:color w:val="auto"/>
          <w:sz w:val="24"/>
          <w:lang w:val="en-US" w:eastAsia="zh-CN" w:bidi="ar"/>
        </w:rPr>
      </w:pPr>
      <w:bookmarkStart w:id="21" w:name="_Toc1078"/>
      <w:bookmarkStart w:id="22" w:name="_Toc17655"/>
      <w:r>
        <w:rPr>
          <w:rFonts w:hint="eastAsia" w:ascii="Times New Roman" w:hAnsi="Times New Roman" w:eastAsia="黑体" w:cs="Times New Roman"/>
          <w:color w:val="auto"/>
          <w:sz w:val="24"/>
          <w:lang w:val="en-US" w:eastAsia="zh-CN" w:bidi="ar"/>
        </w:rPr>
        <w:t>11 品牌使用权注销</w:t>
      </w:r>
      <w:bookmarkEnd w:id="21"/>
      <w:bookmarkEnd w:id="22"/>
    </w:p>
    <w:p w14:paraId="112FD58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11.1 被动注销</w:t>
      </w:r>
    </w:p>
    <w:p w14:paraId="2E579782">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授权使用“凯里酸汤”公用品牌的市场经营主体，发生一下情形之一时，应被取消品牌使用权：</w:t>
      </w:r>
    </w:p>
    <w:p w14:paraId="1D0B1FB2">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——拒不接受监督</w:t>
      </w:r>
      <w:r>
        <w:rPr>
          <w:rFonts w:hint="eastAsia" w:ascii="Times New Roman" w:hAnsi="Times New Roman" w:eastAsia="宋体" w:cs="Times New Roman"/>
          <w:color w:val="auto"/>
          <w:lang w:val="en-US" w:eastAsia="zh-CN" w:bidi="ar"/>
        </w:rPr>
        <w:t>检查</w:t>
      </w:r>
      <w:r>
        <w:rPr>
          <w:rFonts w:hint="eastAsia" w:ascii="Times New Roman" w:hAnsi="Times New Roman" w:eastAsia="宋体" w:cs="Times New Roman"/>
          <w:color w:val="auto"/>
          <w:lang w:val="en-US" w:eastAsia="zh-CN"/>
        </w:rPr>
        <w:t>的；</w:t>
      </w:r>
    </w:p>
    <w:p w14:paraId="7D4A89B6">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——被检查市场经营主体不符合“凯里酸汤”品牌相关规定，且复检仍不合格的；</w:t>
      </w:r>
    </w:p>
    <w:p w14:paraId="40A553AE">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——产品被县级及以上人民政府食品药品监督管理、质量监督、行业行政部门监督管理中公布为不合格产品时；</w:t>
      </w:r>
    </w:p>
    <w:p w14:paraId="42C3E4B3">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——不按要求整改，或者整改后仍不达标，或者拒绝整改的；</w:t>
      </w:r>
    </w:p>
    <w:p w14:paraId="2BB751C5">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——被官方曝光不良行为的；</w:t>
      </w:r>
    </w:p>
    <w:p w14:paraId="4F650561">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——受到行政处罚的；</w:t>
      </w:r>
    </w:p>
    <w:p w14:paraId="49E99D5D">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——其他严重影响“凯里酸汤”公用品牌声誉行为的。</w:t>
      </w:r>
    </w:p>
    <w:p w14:paraId="16727186">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default" w:ascii="Times New Roman" w:hAnsi="Times New Roman" w:eastAsia="宋体" w:cs="Times New Roman"/>
          <w:color w:val="auto"/>
          <w:lang w:val="en-US" w:eastAsia="zh-CN"/>
        </w:rPr>
      </w:pPr>
      <w:r>
        <w:rPr>
          <w:rFonts w:hint="eastAsia" w:ascii="黑体" w:hAnsi="宋体" w:eastAsia="黑体" w:cs="黑体"/>
          <w:color w:val="auto"/>
          <w:kern w:val="0"/>
          <w:szCs w:val="21"/>
          <w:lang w:val="en-US" w:eastAsia="zh-CN" w:bidi="ar"/>
        </w:rPr>
        <w:t>11.2 主动注销</w:t>
      </w:r>
    </w:p>
    <w:p w14:paraId="5C906C71">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授权市场经营主体主动放弃“凯里酸汤”公用品牌使用权的，应向品牌管理机构申请注销。</w:t>
      </w:r>
    </w:p>
    <w:p w14:paraId="78D8AF93">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11.3 终止授权</w:t>
      </w:r>
    </w:p>
    <w:p w14:paraId="61271254">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主动注销和被动注销“凯里酸汤”公用品牌使用授权的市场经营主体，自取消之日起，停止使用“凯里酸汤”公用品牌。</w:t>
      </w:r>
    </w:p>
    <w:p w14:paraId="748004C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黑体" w:cs="Times New Roman"/>
          <w:color w:val="auto"/>
          <w:sz w:val="24"/>
          <w:lang w:val="en-US" w:eastAsia="zh-CN" w:bidi="ar"/>
        </w:rPr>
      </w:pPr>
      <w:r>
        <w:rPr>
          <w:rFonts w:hint="eastAsia" w:ascii="Times New Roman" w:hAnsi="Times New Roman" w:eastAsia="黑体" w:cs="Times New Roman"/>
          <w:color w:val="auto"/>
          <w:sz w:val="24"/>
          <w:lang w:val="en-US" w:eastAsia="zh-CN" w:bidi="ar"/>
        </w:rPr>
        <w:t>12 品牌评价</w:t>
      </w:r>
    </w:p>
    <w:p w14:paraId="583E7892">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12.1 评价机构</w:t>
      </w:r>
    </w:p>
    <w:p w14:paraId="59E53886">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应由品牌管理机构组织开展评价。</w:t>
      </w:r>
    </w:p>
    <w:p w14:paraId="5B9D16EF">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12.2 评价对象</w:t>
      </w:r>
    </w:p>
    <w:p w14:paraId="6F1997AC">
      <w:pPr>
        <w:pStyle w:val="11"/>
        <w:keepNext w:val="0"/>
        <w:keepLines w:val="0"/>
        <w:pageBreakBefore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授权使用“凯里酸汤”公用品牌使用权的市场经营主体。</w:t>
      </w:r>
    </w:p>
    <w:p w14:paraId="5ED01053">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12.3 评价原则</w:t>
      </w:r>
    </w:p>
    <w:p w14:paraId="2EDC190B">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应遵循自愿申报与推荐相结合、以客观和事实证据为依据和公平、公正、公开、透明、科学规范的原则。</w:t>
      </w:r>
    </w:p>
    <w:p w14:paraId="72A8EC54">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12.4 评价周期</w:t>
      </w:r>
    </w:p>
    <w:p w14:paraId="6AFAD759">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评价周期为3年。</w:t>
      </w:r>
    </w:p>
    <w:p w14:paraId="0A143D23">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12.5 评价方法</w:t>
      </w:r>
    </w:p>
    <w:p w14:paraId="63580483">
      <w:pPr>
        <w:pStyle w:val="11"/>
        <w:keepNext w:val="0"/>
        <w:keepLines w:val="0"/>
        <w:pageBreakBefore w:val="0"/>
        <w:kinsoku/>
        <w:wordWrap/>
        <w:overflowPunct/>
        <w:topLinePunct w:val="0"/>
        <w:autoSpaceDE/>
        <w:autoSpaceDN/>
        <w:bidi w:val="0"/>
        <w:adjustRightInd/>
        <w:snapToGrid/>
        <w:ind w:firstLine="42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品牌管理机构组织专家成立评委会，按本标准中5和8要求制定评价细则，展开对自愿申报使用“凯里酸汤”品牌的个人和单位。</w:t>
      </w:r>
    </w:p>
    <w:p w14:paraId="6730F0C6">
      <w:pPr>
        <w:pStyle w:val="11"/>
        <w:keepNext w:val="0"/>
        <w:keepLines w:val="0"/>
        <w:pageBreakBefore w:val="0"/>
        <w:kinsoku/>
        <w:wordWrap/>
        <w:overflowPunct/>
        <w:topLinePunct w:val="0"/>
        <w:autoSpaceDE/>
        <w:autoSpaceDN/>
        <w:bidi w:val="0"/>
        <w:adjustRightInd/>
        <w:snapToGrid/>
        <w:ind w:firstLine="420" w:firstLineChars="200"/>
        <w:textAlignment w:val="auto"/>
        <w:outlineLvl w:val="1"/>
        <w:rPr>
          <w:rFonts w:hint="eastAsia" w:ascii="黑体" w:hAnsi="宋体" w:eastAsia="黑体" w:cs="黑体"/>
          <w:color w:val="auto"/>
          <w:kern w:val="0"/>
          <w:szCs w:val="21"/>
          <w:lang w:val="en-US" w:eastAsia="zh-CN" w:bidi="ar"/>
        </w:rPr>
      </w:pPr>
      <w:r>
        <w:rPr>
          <w:rFonts w:hint="eastAsia" w:ascii="黑体" w:hAnsi="宋体" w:eastAsia="黑体" w:cs="黑体"/>
          <w:color w:val="auto"/>
          <w:kern w:val="0"/>
          <w:szCs w:val="21"/>
          <w:lang w:val="en-US" w:eastAsia="zh-CN" w:bidi="ar"/>
        </w:rPr>
        <w:t>12.6 评价结果发布</w:t>
      </w:r>
    </w:p>
    <w:p w14:paraId="733A9373">
      <w:pPr>
        <w:keepNext w:val="0"/>
        <w:keepLines w:val="0"/>
        <w:pageBreakBefore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b/>
          <w:bCs/>
          <w:kern w:val="0"/>
          <w:sz w:val="24"/>
          <w:szCs w:val="24"/>
        </w:rPr>
      </w:pPr>
      <w:r>
        <w:rPr>
          <w:rFonts w:hint="eastAsia" w:ascii="Times New Roman" w:hAnsi="Times New Roman" w:eastAsia="宋体" w:cs="Times New Roman"/>
          <w:color w:val="auto"/>
          <w:lang w:val="en-US" w:eastAsia="zh-CN"/>
        </w:rPr>
        <w:t>向参与评价的酸汤原料生产单位和个人、酸汤生产单位和个人、餐饮单位和个人、文化媒体单位和个人发布评价结果。</w:t>
      </w:r>
    </w:p>
    <w:p w14:paraId="377E7536">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sz w:val="24"/>
          <w:lang w:val="en-US" w:eastAsia="zh-CN"/>
        </w:rPr>
        <w:t>标准水平分析</w:t>
      </w:r>
    </w:p>
    <w:p w14:paraId="49288E3E">
      <w:pPr>
        <w:spacing w:line="360" w:lineRule="auto"/>
        <w:ind w:firstLine="480"/>
        <w:jc w:val="left"/>
        <w:rPr>
          <w:rFonts w:hint="default" w:ascii="Times New Roman" w:hAnsi="Times New Roman" w:eastAsia="宋体" w:cs="Times New Roman"/>
          <w:color w:val="0000FF"/>
          <w:sz w:val="24"/>
          <w:szCs w:val="24"/>
        </w:rPr>
      </w:pPr>
      <w:r>
        <w:rPr>
          <w:rFonts w:hint="default" w:ascii="Times New Roman" w:hAnsi="Times New Roman" w:eastAsia="宋体" w:cs="Times New Roman"/>
          <w:color w:val="0000FF"/>
          <w:sz w:val="24"/>
          <w:szCs w:val="24"/>
        </w:rPr>
        <w:t>目前，省内</w:t>
      </w:r>
      <w:r>
        <w:rPr>
          <w:rFonts w:hint="eastAsia" w:ascii="Times New Roman" w:hAnsi="Times New Roman" w:cs="Times New Roman"/>
          <w:color w:val="0000FF"/>
          <w:sz w:val="24"/>
          <w:szCs w:val="24"/>
          <w:lang w:val="en-US" w:eastAsia="zh-CN"/>
        </w:rPr>
        <w:t>尚且无</w:t>
      </w:r>
      <w:r>
        <w:rPr>
          <w:rFonts w:hint="default" w:ascii="Times New Roman" w:hAnsi="Times New Roman" w:eastAsia="宋体" w:cs="Times New Roman"/>
          <w:color w:val="0000FF"/>
          <w:sz w:val="24"/>
          <w:szCs w:val="24"/>
        </w:rPr>
        <w:t>酸汤相关的</w:t>
      </w:r>
      <w:r>
        <w:rPr>
          <w:rFonts w:hint="eastAsia" w:ascii="Times New Roman" w:hAnsi="Times New Roman" w:cs="Times New Roman"/>
          <w:color w:val="0000FF"/>
          <w:sz w:val="24"/>
          <w:szCs w:val="24"/>
          <w:lang w:val="en-US" w:eastAsia="zh-CN"/>
        </w:rPr>
        <w:t>品牌管理与评价的</w:t>
      </w:r>
      <w:r>
        <w:rPr>
          <w:rFonts w:hint="default" w:ascii="Times New Roman" w:hAnsi="Times New Roman" w:eastAsia="宋体" w:cs="Times New Roman"/>
          <w:color w:val="0000FF"/>
          <w:sz w:val="24"/>
          <w:szCs w:val="24"/>
        </w:rPr>
        <w:t>团体标准。</w:t>
      </w:r>
      <w:r>
        <w:rPr>
          <w:rFonts w:hint="eastAsia" w:ascii="Times New Roman" w:hAnsi="Times New Roman" w:cs="Times New Roman"/>
          <w:color w:val="0000FF"/>
          <w:sz w:val="24"/>
          <w:szCs w:val="24"/>
          <w:lang w:val="en-US" w:eastAsia="zh-CN"/>
        </w:rPr>
        <w:t>为助力酸汤</w:t>
      </w:r>
      <w:r>
        <w:rPr>
          <w:rFonts w:hint="eastAsia" w:ascii="Times New Roman" w:hAnsi="Times New Roman" w:eastAsia="宋体" w:cs="Times New Roman"/>
          <w:color w:val="0000FF"/>
          <w:sz w:val="24"/>
          <w:szCs w:val="24"/>
          <w:lang w:val="en-US" w:eastAsia="zh-CN"/>
        </w:rPr>
        <w:t>产业</w:t>
      </w:r>
      <w:r>
        <w:rPr>
          <w:rFonts w:hint="eastAsia" w:ascii="Times New Roman" w:hAnsi="Times New Roman" w:cs="Times New Roman"/>
          <w:color w:val="0000FF"/>
          <w:sz w:val="24"/>
          <w:szCs w:val="24"/>
          <w:lang w:val="en-US" w:eastAsia="zh-CN"/>
        </w:rPr>
        <w:t>发展，建设“凯里酸汤”公用品牌，</w:t>
      </w:r>
      <w:r>
        <w:rPr>
          <w:rFonts w:hint="default" w:ascii="Times New Roman" w:hAnsi="Times New Roman" w:eastAsia="宋体" w:cs="Times New Roman"/>
          <w:color w:val="0000FF"/>
          <w:sz w:val="24"/>
          <w:szCs w:val="24"/>
        </w:rPr>
        <w:t>专门</w:t>
      </w:r>
      <w:r>
        <w:rPr>
          <w:rFonts w:hint="eastAsia" w:ascii="Times New Roman" w:hAnsi="Times New Roman" w:cs="Times New Roman"/>
          <w:color w:val="0000FF"/>
          <w:sz w:val="24"/>
          <w:szCs w:val="24"/>
          <w:lang w:val="en-US" w:eastAsia="zh-CN"/>
        </w:rPr>
        <w:t>编制</w:t>
      </w:r>
      <w:r>
        <w:rPr>
          <w:rFonts w:hint="default" w:ascii="Times New Roman" w:hAnsi="Times New Roman" w:eastAsia="宋体" w:cs="Times New Roman"/>
          <w:color w:val="0000FF"/>
          <w:sz w:val="24"/>
          <w:szCs w:val="24"/>
        </w:rPr>
        <w:t>《</w:t>
      </w:r>
      <w:r>
        <w:rPr>
          <w:rFonts w:hint="eastAsia" w:ascii="Times New Roman" w:hAnsi="Times New Roman" w:cs="Times New Roman"/>
          <w:color w:val="0000FF"/>
          <w:sz w:val="24"/>
          <w:szCs w:val="24"/>
          <w:lang w:val="en-US" w:eastAsia="zh-CN"/>
        </w:rPr>
        <w:t>凯里酸汤品牌管理与评价</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eastAsia="zh-CN"/>
        </w:rPr>
        <w:t>本文件</w:t>
      </w:r>
      <w:r>
        <w:rPr>
          <w:rFonts w:hint="default" w:ascii="Times New Roman" w:hAnsi="Times New Roman" w:eastAsia="宋体" w:cs="Times New Roman"/>
          <w:color w:val="0000FF"/>
          <w:sz w:val="24"/>
          <w:szCs w:val="24"/>
        </w:rPr>
        <w:t>水平为省内先进</w:t>
      </w:r>
      <w:r>
        <w:rPr>
          <w:rFonts w:hint="default" w:ascii="Times New Roman" w:hAnsi="Times New Roman" w:eastAsia="宋体" w:cs="Times New Roman"/>
          <w:color w:val="0000FF"/>
          <w:sz w:val="24"/>
          <w:szCs w:val="24"/>
          <w:lang w:val="en-US" w:eastAsia="zh-CN"/>
        </w:rPr>
        <w:t>水平</w:t>
      </w:r>
      <w:r>
        <w:rPr>
          <w:rFonts w:hint="default" w:ascii="Times New Roman" w:hAnsi="Times New Roman" w:eastAsia="宋体" w:cs="Times New Roman"/>
          <w:color w:val="0000FF"/>
          <w:sz w:val="24"/>
          <w:szCs w:val="24"/>
        </w:rPr>
        <w:t>。</w:t>
      </w:r>
    </w:p>
    <w:p w14:paraId="407894A5">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与有关的现行法律、法规和强制性国家标准的关系</w:t>
      </w:r>
    </w:p>
    <w:p w14:paraId="2BD96AF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本文件符合相关现行法律、法规和强制性国家标准的要求。本文件主要引用以下国家标准、行业标准和规范性文件：</w:t>
      </w:r>
    </w:p>
    <w:p w14:paraId="173F2B99">
      <w:pPr>
        <w:widowControl/>
        <w:spacing w:line="360" w:lineRule="auto"/>
        <w:ind w:firstLine="420" w:firstLineChars="200"/>
        <w:jc w:val="left"/>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29185 品牌 术语</w:t>
      </w:r>
    </w:p>
    <w:p w14:paraId="2E11BB28">
      <w:pPr>
        <w:widowControl/>
        <w:spacing w:line="360" w:lineRule="auto"/>
        <w:ind w:firstLine="420" w:firstLineChars="200"/>
        <w:jc w:val="left"/>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29186.1《品牌价值要素评价 第1部分：通则》</w:t>
      </w:r>
    </w:p>
    <w:p w14:paraId="392A747E">
      <w:pPr>
        <w:widowControl/>
        <w:spacing w:line="360" w:lineRule="auto"/>
        <w:ind w:firstLine="420" w:firstLineChars="200"/>
        <w:jc w:val="left"/>
        <w:rPr>
          <w:rFonts w:hint="default"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29187 品牌评价 品牌价值评价要求</w:t>
      </w:r>
    </w:p>
    <w:p w14:paraId="2247B8A9">
      <w:pPr>
        <w:widowControl/>
        <w:spacing w:line="360" w:lineRule="auto"/>
        <w:ind w:firstLine="420" w:firstLineChars="200"/>
        <w:jc w:val="left"/>
        <w:rPr>
          <w:rFonts w:hint="default"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39654 品牌评价 原则与基础</w:t>
      </w:r>
    </w:p>
    <w:p w14:paraId="4ECB724B">
      <w:pPr>
        <w:widowControl/>
        <w:spacing w:line="360" w:lineRule="auto"/>
        <w:ind w:firstLine="420" w:firstLineChars="200"/>
        <w:jc w:val="left"/>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39904 区域品牌培育与建设指南</w:t>
      </w:r>
    </w:p>
    <w:p w14:paraId="48EA7183">
      <w:pPr>
        <w:keepNext w:val="0"/>
        <w:keepLines w:val="0"/>
        <w:pageBreakBefore w:val="0"/>
        <w:widowControl w:val="0"/>
        <w:kinsoku/>
        <w:wordWrap/>
        <w:overflowPunct/>
        <w:topLinePunct w:val="0"/>
        <w:autoSpaceDE/>
        <w:autoSpaceDN/>
        <w:bidi w:val="0"/>
        <w:snapToGrid/>
        <w:spacing w:line="360" w:lineRule="auto"/>
        <w:ind w:firstLine="420" w:firstLineChars="200"/>
        <w:rPr>
          <w:rFonts w:hint="eastAsia" w:ascii="Times New Roman" w:hAnsi="Times New Roman" w:eastAsia="宋体" w:cs="Times New Roman"/>
          <w:color w:val="auto"/>
          <w:kern w:val="0"/>
          <w:szCs w:val="21"/>
          <w:lang w:val="en-US" w:eastAsia="zh-CN"/>
        </w:rPr>
      </w:pPr>
      <w:r>
        <w:rPr>
          <w:rFonts w:hint="eastAsia" w:ascii="Times New Roman" w:hAnsi="Times New Roman" w:eastAsia="宋体" w:cs="Times New Roman"/>
          <w:color w:val="auto"/>
          <w:kern w:val="0"/>
          <w:szCs w:val="21"/>
          <w:lang w:val="en-US" w:eastAsia="zh-CN"/>
        </w:rPr>
        <w:t>GB/T 39906 品牌管理要求</w:t>
      </w:r>
    </w:p>
    <w:p w14:paraId="2358264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六、重大分歧意见的处理经过和依据</w:t>
      </w:r>
    </w:p>
    <w:p w14:paraId="1CE7546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在该标准的审议过程中，对送审稿提出的意见，经各相关方认真讨论，达成了一致意见，无重大分歧。</w:t>
      </w:r>
    </w:p>
    <w:p w14:paraId="48BE985A">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七、标准作为强制性或推荐性标准的建议</w:t>
      </w:r>
    </w:p>
    <w:p w14:paraId="68413E2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本文件作为团体标准，供需要单位使用。</w:t>
      </w:r>
    </w:p>
    <w:p w14:paraId="5A95568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八、贯彻标准的要求和措施建议</w:t>
      </w:r>
    </w:p>
    <w:p w14:paraId="473E16C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建议本文件批准发布日与实施一致。</w:t>
      </w:r>
    </w:p>
    <w:p w14:paraId="45BD54E7">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九、废止现行有关标准的建议</w:t>
      </w:r>
    </w:p>
    <w:p w14:paraId="3FF35CB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无。</w:t>
      </w:r>
    </w:p>
    <w:p w14:paraId="781756EB">
      <w:pPr>
        <w:adjustRightInd w:val="0"/>
        <w:spacing w:line="400" w:lineRule="exact"/>
        <w:ind w:firstLine="540"/>
        <w:jc w:val="left"/>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b/>
          <w:bCs/>
          <w:sz w:val="24"/>
          <w:lang w:val="en-US" w:eastAsia="zh-CN"/>
        </w:rPr>
        <w:t>十、其他应予说明的事项</w:t>
      </w:r>
    </w:p>
    <w:p w14:paraId="7AF9FBCC">
      <w:pPr>
        <w:adjustRightInd w:val="0"/>
        <w:spacing w:line="400" w:lineRule="exact"/>
        <w:jc w:val="left"/>
        <w:textAlignment w:val="baseline"/>
        <w:rPr>
          <w:rFonts w:hint="default" w:ascii="Times New Roman" w:hAnsi="Times New Roman" w:eastAsia="宋体" w:cs="Times New Roman"/>
          <w:kern w:val="0"/>
          <w:sz w:val="24"/>
          <w:szCs w:val="24"/>
        </w:rPr>
      </w:pPr>
    </w:p>
    <w:p w14:paraId="76130A38">
      <w:pPr>
        <w:keepNext w:val="0"/>
        <w:keepLines w:val="0"/>
        <w:pageBreakBefore w:val="0"/>
        <w:widowControl w:val="0"/>
        <w:kinsoku/>
        <w:wordWrap/>
        <w:overflowPunct/>
        <w:topLinePunct w:val="0"/>
        <w:autoSpaceDE/>
        <w:autoSpaceDN/>
        <w:bidi w:val="0"/>
        <w:snapToGrid/>
        <w:spacing w:line="360" w:lineRule="auto"/>
        <w:ind w:firstLine="2160" w:firstLineChars="9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w:t>
      </w:r>
      <w:r>
        <w:rPr>
          <w:rFonts w:hint="eastAsia" w:ascii="Times New Roman" w:hAnsi="Times New Roman" w:cs="Times New Roman"/>
          <w:sz w:val="24"/>
          <w:lang w:val="en-US" w:eastAsia="zh-CN"/>
        </w:rPr>
        <w:t>凯里酸汤品牌管理与评价</w:t>
      </w:r>
      <w:r>
        <w:rPr>
          <w:rFonts w:hint="default" w:ascii="Times New Roman" w:hAnsi="Times New Roman" w:eastAsia="宋体" w:cs="Times New Roman"/>
          <w:sz w:val="24"/>
          <w:lang w:val="en-US" w:eastAsia="zh-CN"/>
        </w:rPr>
        <w:t>》团体标准编制小组</w:t>
      </w:r>
    </w:p>
    <w:p w14:paraId="06094273">
      <w:pPr>
        <w:keepNext w:val="0"/>
        <w:keepLines w:val="0"/>
        <w:pageBreakBefore w:val="0"/>
        <w:widowControl w:val="0"/>
        <w:kinsoku/>
        <w:wordWrap/>
        <w:overflowPunct/>
        <w:topLinePunct w:val="0"/>
        <w:autoSpaceDE/>
        <w:autoSpaceDN/>
        <w:bidi w:val="0"/>
        <w:snapToGrid/>
        <w:spacing w:line="360" w:lineRule="auto"/>
        <w:ind w:firstLine="3600" w:firstLineChars="1500"/>
        <w:rPr>
          <w:rFonts w:hint="default" w:ascii="Times New Roman" w:hAnsi="Times New Roman" w:eastAsia="宋体" w:cs="Times New Roman"/>
          <w:kern w:val="0"/>
          <w:sz w:val="24"/>
          <w:szCs w:val="24"/>
        </w:rPr>
      </w:pPr>
      <w:r>
        <w:rPr>
          <w:rFonts w:hint="default" w:ascii="Times New Roman" w:hAnsi="Times New Roman" w:eastAsia="宋体" w:cs="Times New Roman"/>
          <w:sz w:val="24"/>
          <w:lang w:val="en-US" w:eastAsia="zh-CN"/>
        </w:rPr>
        <w:t>2026年</w:t>
      </w:r>
      <w:r>
        <w:rPr>
          <w:rFonts w:hint="eastAsia" w:ascii="Times New Roman" w:hAnsi="Times New Roman" w:cs="Times New Roman"/>
          <w:sz w:val="24"/>
          <w:lang w:val="en-US" w:eastAsia="zh-CN"/>
        </w:rPr>
        <w:t>5</w:t>
      </w:r>
      <w:r>
        <w:rPr>
          <w:rFonts w:hint="default" w:ascii="Times New Roman" w:hAnsi="Times New Roman" w:eastAsia="宋体" w:cs="Times New Roman"/>
          <w:sz w:val="24"/>
          <w:lang w:val="en-US" w:eastAsia="zh-CN"/>
        </w:rPr>
        <w:t>月2</w:t>
      </w:r>
      <w:r>
        <w:rPr>
          <w:rFonts w:hint="eastAsia" w:ascii="Times New Roman" w:hAnsi="Times New Roman" w:cs="Times New Roman"/>
          <w:sz w:val="24"/>
          <w:lang w:val="en-US" w:eastAsia="zh-CN"/>
        </w:rPr>
        <w:t>2</w:t>
      </w:r>
      <w:r>
        <w:rPr>
          <w:rFonts w:hint="default" w:ascii="Times New Roman" w:hAnsi="Times New Roman" w:eastAsia="宋体" w:cs="Times New Roman"/>
          <w:sz w:val="24"/>
          <w:lang w:val="en-US"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863663"/>
    <w:multiLevelType w:val="singleLevel"/>
    <w:tmpl w:val="F6863663"/>
    <w:lvl w:ilvl="0" w:tentative="0">
      <w:start w:val="3"/>
      <w:numFmt w:val="chineseCounting"/>
      <w:suff w:val="nothing"/>
      <w:lvlText w:val="（%1）"/>
      <w:lvlJc w:val="left"/>
      <w:rPr>
        <w:rFonts w:hint="eastAsia"/>
      </w:rPr>
    </w:lvl>
  </w:abstractNum>
  <w:abstractNum w:abstractNumId="1">
    <w:nsid w:val="75D7B4AF"/>
    <w:multiLevelType w:val="singleLevel"/>
    <w:tmpl w:val="75D7B4A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213805BF"/>
    <w:rsid w:val="00003E86"/>
    <w:rsid w:val="0000534F"/>
    <w:rsid w:val="0001312C"/>
    <w:rsid w:val="0001355F"/>
    <w:rsid w:val="00033CBC"/>
    <w:rsid w:val="00040F31"/>
    <w:rsid w:val="00050BC1"/>
    <w:rsid w:val="0007457C"/>
    <w:rsid w:val="00085370"/>
    <w:rsid w:val="000913C1"/>
    <w:rsid w:val="0010509E"/>
    <w:rsid w:val="00135E16"/>
    <w:rsid w:val="00150098"/>
    <w:rsid w:val="00175D7E"/>
    <w:rsid w:val="002156FE"/>
    <w:rsid w:val="002220E0"/>
    <w:rsid w:val="00280219"/>
    <w:rsid w:val="0029532F"/>
    <w:rsid w:val="002A0685"/>
    <w:rsid w:val="002A1098"/>
    <w:rsid w:val="0030739D"/>
    <w:rsid w:val="00367B4F"/>
    <w:rsid w:val="00385F52"/>
    <w:rsid w:val="00396DFE"/>
    <w:rsid w:val="003A50FD"/>
    <w:rsid w:val="003E0610"/>
    <w:rsid w:val="003E1BBE"/>
    <w:rsid w:val="00413FE4"/>
    <w:rsid w:val="00417EF4"/>
    <w:rsid w:val="00446294"/>
    <w:rsid w:val="00490F08"/>
    <w:rsid w:val="004E4C0B"/>
    <w:rsid w:val="004E6FDE"/>
    <w:rsid w:val="00500D0F"/>
    <w:rsid w:val="00526EF1"/>
    <w:rsid w:val="00544BA1"/>
    <w:rsid w:val="005751DC"/>
    <w:rsid w:val="005762FA"/>
    <w:rsid w:val="00594538"/>
    <w:rsid w:val="005E0C23"/>
    <w:rsid w:val="00601C3C"/>
    <w:rsid w:val="00603BB6"/>
    <w:rsid w:val="00603CAA"/>
    <w:rsid w:val="00617AFF"/>
    <w:rsid w:val="006302E9"/>
    <w:rsid w:val="0068341D"/>
    <w:rsid w:val="006D1DE8"/>
    <w:rsid w:val="006E0565"/>
    <w:rsid w:val="006F2F49"/>
    <w:rsid w:val="00777444"/>
    <w:rsid w:val="007B7B37"/>
    <w:rsid w:val="007D62A1"/>
    <w:rsid w:val="007E3924"/>
    <w:rsid w:val="007F5948"/>
    <w:rsid w:val="00821FD0"/>
    <w:rsid w:val="008510EA"/>
    <w:rsid w:val="008679CD"/>
    <w:rsid w:val="00876762"/>
    <w:rsid w:val="008901B8"/>
    <w:rsid w:val="00894430"/>
    <w:rsid w:val="008A2FBE"/>
    <w:rsid w:val="008A5B0D"/>
    <w:rsid w:val="008C6C69"/>
    <w:rsid w:val="008F55C1"/>
    <w:rsid w:val="009066CA"/>
    <w:rsid w:val="0093561A"/>
    <w:rsid w:val="00964C05"/>
    <w:rsid w:val="00993A90"/>
    <w:rsid w:val="009A414E"/>
    <w:rsid w:val="009C17CE"/>
    <w:rsid w:val="009F2283"/>
    <w:rsid w:val="00A07387"/>
    <w:rsid w:val="00A45E33"/>
    <w:rsid w:val="00A57D5F"/>
    <w:rsid w:val="00A95EF9"/>
    <w:rsid w:val="00AA267B"/>
    <w:rsid w:val="00AB3C34"/>
    <w:rsid w:val="00AC7200"/>
    <w:rsid w:val="00AF0E07"/>
    <w:rsid w:val="00B00A51"/>
    <w:rsid w:val="00B0467E"/>
    <w:rsid w:val="00B11906"/>
    <w:rsid w:val="00B42296"/>
    <w:rsid w:val="00B6169D"/>
    <w:rsid w:val="00BA318D"/>
    <w:rsid w:val="00BC00AF"/>
    <w:rsid w:val="00C34167"/>
    <w:rsid w:val="00C35C1C"/>
    <w:rsid w:val="00C620CD"/>
    <w:rsid w:val="00C7354E"/>
    <w:rsid w:val="00C7616C"/>
    <w:rsid w:val="00CC70AA"/>
    <w:rsid w:val="00CD5AE0"/>
    <w:rsid w:val="00D50EF9"/>
    <w:rsid w:val="00D52931"/>
    <w:rsid w:val="00D8466C"/>
    <w:rsid w:val="00DB3CD9"/>
    <w:rsid w:val="00DC59E0"/>
    <w:rsid w:val="00DD67F1"/>
    <w:rsid w:val="00DE1897"/>
    <w:rsid w:val="00DF1A5B"/>
    <w:rsid w:val="00DF1E09"/>
    <w:rsid w:val="00E05284"/>
    <w:rsid w:val="00E23847"/>
    <w:rsid w:val="00E41868"/>
    <w:rsid w:val="00E442D1"/>
    <w:rsid w:val="00E55A2C"/>
    <w:rsid w:val="00E84300"/>
    <w:rsid w:val="00EA1298"/>
    <w:rsid w:val="00EC7D77"/>
    <w:rsid w:val="00EE02D8"/>
    <w:rsid w:val="00EE15DE"/>
    <w:rsid w:val="00EF5790"/>
    <w:rsid w:val="00F141B6"/>
    <w:rsid w:val="00F34470"/>
    <w:rsid w:val="00F51998"/>
    <w:rsid w:val="00F6303D"/>
    <w:rsid w:val="00F6612E"/>
    <w:rsid w:val="00F86F0D"/>
    <w:rsid w:val="00FB4D20"/>
    <w:rsid w:val="00FB7008"/>
    <w:rsid w:val="00FC691D"/>
    <w:rsid w:val="00FD2042"/>
    <w:rsid w:val="00FE5DB4"/>
    <w:rsid w:val="03597303"/>
    <w:rsid w:val="046224BE"/>
    <w:rsid w:val="047535C2"/>
    <w:rsid w:val="04BE6643"/>
    <w:rsid w:val="05E36FAE"/>
    <w:rsid w:val="07E86EA8"/>
    <w:rsid w:val="088147B8"/>
    <w:rsid w:val="099217C1"/>
    <w:rsid w:val="11203B56"/>
    <w:rsid w:val="12F232D0"/>
    <w:rsid w:val="160762F9"/>
    <w:rsid w:val="16331C36"/>
    <w:rsid w:val="16EB42BE"/>
    <w:rsid w:val="19045B0B"/>
    <w:rsid w:val="1A095287"/>
    <w:rsid w:val="1A0B6417"/>
    <w:rsid w:val="1CF46DC5"/>
    <w:rsid w:val="1D581F12"/>
    <w:rsid w:val="1DCD471E"/>
    <w:rsid w:val="1EC645F1"/>
    <w:rsid w:val="1F751511"/>
    <w:rsid w:val="1F9279CD"/>
    <w:rsid w:val="20F23C61"/>
    <w:rsid w:val="213805BF"/>
    <w:rsid w:val="246D27B7"/>
    <w:rsid w:val="268F6E32"/>
    <w:rsid w:val="27D83740"/>
    <w:rsid w:val="27DA0163"/>
    <w:rsid w:val="288E20FA"/>
    <w:rsid w:val="2BB07E13"/>
    <w:rsid w:val="2E3E6220"/>
    <w:rsid w:val="321F70A7"/>
    <w:rsid w:val="32AE3085"/>
    <w:rsid w:val="338C29AB"/>
    <w:rsid w:val="350A7B3B"/>
    <w:rsid w:val="35574975"/>
    <w:rsid w:val="360C25E2"/>
    <w:rsid w:val="36785717"/>
    <w:rsid w:val="36BD4907"/>
    <w:rsid w:val="372A28D8"/>
    <w:rsid w:val="385F678F"/>
    <w:rsid w:val="386D3BA5"/>
    <w:rsid w:val="38D1110E"/>
    <w:rsid w:val="38F30E52"/>
    <w:rsid w:val="39944DBD"/>
    <w:rsid w:val="39CA390A"/>
    <w:rsid w:val="39F508D0"/>
    <w:rsid w:val="3B9052B1"/>
    <w:rsid w:val="3C487939"/>
    <w:rsid w:val="3EB017C6"/>
    <w:rsid w:val="40146F81"/>
    <w:rsid w:val="41384420"/>
    <w:rsid w:val="433B1193"/>
    <w:rsid w:val="435C016E"/>
    <w:rsid w:val="44236F42"/>
    <w:rsid w:val="448C2F90"/>
    <w:rsid w:val="4517259F"/>
    <w:rsid w:val="47F40975"/>
    <w:rsid w:val="48362D3C"/>
    <w:rsid w:val="49BA799D"/>
    <w:rsid w:val="4AE03F6F"/>
    <w:rsid w:val="4B40174E"/>
    <w:rsid w:val="4BC65163"/>
    <w:rsid w:val="4D105959"/>
    <w:rsid w:val="4DF21D83"/>
    <w:rsid w:val="4F4E2A2E"/>
    <w:rsid w:val="520A3291"/>
    <w:rsid w:val="52DA5B06"/>
    <w:rsid w:val="52E1438A"/>
    <w:rsid w:val="53E06C81"/>
    <w:rsid w:val="54876A71"/>
    <w:rsid w:val="54DC4C6B"/>
    <w:rsid w:val="582B242F"/>
    <w:rsid w:val="584C035A"/>
    <w:rsid w:val="585C67EF"/>
    <w:rsid w:val="588D38A4"/>
    <w:rsid w:val="596A34ED"/>
    <w:rsid w:val="5B4A6BB0"/>
    <w:rsid w:val="5B59233F"/>
    <w:rsid w:val="5BCF4442"/>
    <w:rsid w:val="5D0D4B74"/>
    <w:rsid w:val="5DCD7847"/>
    <w:rsid w:val="5E824AD5"/>
    <w:rsid w:val="5F383FB3"/>
    <w:rsid w:val="5F4B136B"/>
    <w:rsid w:val="5F9A105E"/>
    <w:rsid w:val="60216B05"/>
    <w:rsid w:val="60593614"/>
    <w:rsid w:val="61306A6A"/>
    <w:rsid w:val="64972A85"/>
    <w:rsid w:val="65842EE1"/>
    <w:rsid w:val="65E436C4"/>
    <w:rsid w:val="677636A5"/>
    <w:rsid w:val="678C42CF"/>
    <w:rsid w:val="685C6CDA"/>
    <w:rsid w:val="69795089"/>
    <w:rsid w:val="6AD9240D"/>
    <w:rsid w:val="6D972D84"/>
    <w:rsid w:val="6E0B322F"/>
    <w:rsid w:val="6FB65230"/>
    <w:rsid w:val="70061763"/>
    <w:rsid w:val="704B11CB"/>
    <w:rsid w:val="708879DC"/>
    <w:rsid w:val="7840538D"/>
    <w:rsid w:val="7B380CEA"/>
    <w:rsid w:val="7BA45C33"/>
    <w:rsid w:val="7BC77B74"/>
    <w:rsid w:val="7C6E356C"/>
    <w:rsid w:val="7CF31F6F"/>
    <w:rsid w:val="7D763762"/>
    <w:rsid w:val="7EAB1087"/>
    <w:rsid w:val="7F1D207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qFormat="1" w:unhideWhenUsed="0" w:uiPriority="0" w:name="toc 3" w:locked="1"/>
    <w:lsdException w:qFormat="1" w:unhideWhenUsed="0" w:uiPriority="0"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7"/>
    <w:qFormat/>
    <w:uiPriority w:val="99"/>
    <w:pPr>
      <w:keepNext/>
      <w:keepLines/>
      <w:spacing w:before="340" w:after="330" w:line="576" w:lineRule="auto"/>
      <w:outlineLvl w:val="0"/>
    </w:pPr>
    <w:rPr>
      <w:rFonts w:ascii="Times New Roman" w:hAnsi="Times New Roman" w:cs="Times New Roman"/>
      <w:b/>
      <w:bCs/>
      <w:kern w:val="44"/>
    </w:rPr>
  </w:style>
  <w:style w:type="paragraph" w:styleId="3">
    <w:name w:val="heading 2"/>
    <w:basedOn w:val="1"/>
    <w:next w:val="1"/>
    <w:link w:val="18"/>
    <w:qFormat/>
    <w:uiPriority w:val="99"/>
    <w:pPr>
      <w:keepNext/>
      <w:keepLines/>
      <w:spacing w:before="260" w:after="260" w:line="415" w:lineRule="auto"/>
      <w:outlineLvl w:val="1"/>
    </w:pPr>
    <w:rPr>
      <w:rFonts w:ascii="Calibri Light" w:hAnsi="Calibri Light" w:cs="Calibri Light"/>
      <w:b/>
      <w:bCs/>
      <w:kern w:val="24"/>
    </w:rPr>
  </w:style>
  <w:style w:type="paragraph" w:styleId="4">
    <w:name w:val="heading 4"/>
    <w:basedOn w:val="1"/>
    <w:next w:val="1"/>
    <w:link w:val="19"/>
    <w:qFormat/>
    <w:uiPriority w:val="99"/>
    <w:pPr>
      <w:keepNext/>
      <w:keepLines/>
      <w:spacing w:before="280" w:after="290" w:line="376" w:lineRule="auto"/>
      <w:outlineLvl w:val="3"/>
    </w:pPr>
    <w:rPr>
      <w:rFonts w:ascii="Arial" w:hAnsi="Arial" w:eastAsia="黑体" w:cs="Arial"/>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semiHidden/>
    <w:qFormat/>
    <w:locked/>
    <w:uiPriority w:val="0"/>
    <w:pPr>
      <w:ind w:left="840" w:leftChars="400"/>
    </w:pPr>
  </w:style>
  <w:style w:type="paragraph" w:styleId="6">
    <w:name w:val="Date"/>
    <w:basedOn w:val="1"/>
    <w:next w:val="1"/>
    <w:link w:val="20"/>
    <w:qFormat/>
    <w:uiPriority w:val="99"/>
    <w:pPr>
      <w:ind w:left="100" w:leftChars="2500"/>
    </w:pPr>
  </w:style>
  <w:style w:type="paragraph" w:styleId="7">
    <w:name w:val="Body Text Indent 2"/>
    <w:basedOn w:val="1"/>
    <w:link w:val="21"/>
    <w:qFormat/>
    <w:uiPriority w:val="99"/>
    <w:pPr>
      <w:spacing w:after="120" w:line="480" w:lineRule="auto"/>
      <w:ind w:left="420" w:leftChars="200"/>
    </w:pPr>
    <w:rPr>
      <w:rFonts w:ascii="Times New Roman" w:hAnsi="Times New Roman" w:cs="Times New Roman"/>
      <w:sz w:val="24"/>
      <w:szCs w:val="24"/>
    </w:rPr>
  </w:style>
  <w:style w:type="paragraph" w:styleId="8">
    <w:name w:val="footer"/>
    <w:basedOn w:val="1"/>
    <w:link w:val="22"/>
    <w:qFormat/>
    <w:uiPriority w:val="99"/>
    <w:pPr>
      <w:tabs>
        <w:tab w:val="center" w:pos="4153"/>
        <w:tab w:val="right" w:pos="8306"/>
      </w:tabs>
      <w:snapToGrid w:val="0"/>
      <w:jc w:val="left"/>
    </w:pPr>
    <w:rPr>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0">
    <w:name w:val="toc 4"/>
    <w:basedOn w:val="5"/>
    <w:next w:val="1"/>
    <w:semiHidden/>
    <w:qFormat/>
    <w:locked/>
    <w:uiPriority w:val="0"/>
    <w:pPr>
      <w:widowControl/>
      <w:ind w:left="0" w:leftChars="0"/>
    </w:pPr>
    <w:rPr>
      <w:rFonts w:ascii="宋体"/>
      <w:kern w:val="0"/>
      <w:szCs w:val="20"/>
    </w:rPr>
  </w:style>
  <w:style w:type="paragraph" w:styleId="11">
    <w:name w:val="Body Text 2"/>
    <w:basedOn w:val="1"/>
    <w:qFormat/>
    <w:locked/>
    <w:uiPriority w:val="0"/>
    <w:pPr>
      <w:spacing w:line="480" w:lineRule="auto"/>
    </w:p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14">
    <w:name w:val="Table Grid"/>
    <w:basedOn w:val="13"/>
    <w:qFormat/>
    <w:uiPriority w:val="99"/>
    <w:rPr>
      <w:rFonts w:ascii="宋体" w:hAnsi="宋体" w:cs="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locked/>
    <w:uiPriority w:val="0"/>
    <w:rPr>
      <w:b/>
    </w:rPr>
  </w:style>
  <w:style w:type="character" w:customStyle="1" w:styleId="17">
    <w:name w:val="标题 1 Char"/>
    <w:basedOn w:val="15"/>
    <w:link w:val="2"/>
    <w:qFormat/>
    <w:locked/>
    <w:uiPriority w:val="99"/>
    <w:rPr>
      <w:rFonts w:ascii="Times New Roman" w:hAnsi="Times New Roman" w:eastAsia="宋体" w:cs="Times New Roman"/>
      <w:b/>
      <w:bCs/>
      <w:kern w:val="44"/>
      <w:sz w:val="21"/>
      <w:szCs w:val="21"/>
    </w:rPr>
  </w:style>
  <w:style w:type="character" w:customStyle="1" w:styleId="18">
    <w:name w:val="标题 2 Char"/>
    <w:basedOn w:val="15"/>
    <w:link w:val="3"/>
    <w:qFormat/>
    <w:locked/>
    <w:uiPriority w:val="99"/>
    <w:rPr>
      <w:rFonts w:ascii="Calibri Light" w:hAnsi="Calibri Light" w:eastAsia="宋体" w:cs="Calibri Light"/>
      <w:b/>
      <w:bCs/>
      <w:kern w:val="24"/>
      <w:sz w:val="21"/>
      <w:szCs w:val="21"/>
    </w:rPr>
  </w:style>
  <w:style w:type="character" w:customStyle="1" w:styleId="19">
    <w:name w:val="标题 4 Char"/>
    <w:basedOn w:val="15"/>
    <w:link w:val="4"/>
    <w:qFormat/>
    <w:locked/>
    <w:uiPriority w:val="99"/>
    <w:rPr>
      <w:rFonts w:ascii="Arial" w:hAnsi="Arial" w:eastAsia="黑体" w:cs="Arial"/>
      <w:b/>
      <w:bCs/>
      <w:kern w:val="2"/>
      <w:sz w:val="28"/>
      <w:szCs w:val="28"/>
    </w:rPr>
  </w:style>
  <w:style w:type="character" w:customStyle="1" w:styleId="20">
    <w:name w:val="日期 Char"/>
    <w:basedOn w:val="15"/>
    <w:link w:val="6"/>
    <w:qFormat/>
    <w:locked/>
    <w:uiPriority w:val="99"/>
    <w:rPr>
      <w:kern w:val="2"/>
      <w:sz w:val="21"/>
      <w:szCs w:val="21"/>
    </w:rPr>
  </w:style>
  <w:style w:type="character" w:customStyle="1" w:styleId="21">
    <w:name w:val="正文文本缩进 2 Char"/>
    <w:basedOn w:val="15"/>
    <w:link w:val="7"/>
    <w:qFormat/>
    <w:locked/>
    <w:uiPriority w:val="99"/>
    <w:rPr>
      <w:rFonts w:ascii="Times New Roman" w:hAnsi="Times New Roman" w:eastAsia="宋体" w:cs="Times New Roman"/>
      <w:kern w:val="2"/>
      <w:sz w:val="24"/>
      <w:szCs w:val="24"/>
    </w:rPr>
  </w:style>
  <w:style w:type="character" w:customStyle="1" w:styleId="22">
    <w:name w:val="页脚 Char"/>
    <w:basedOn w:val="15"/>
    <w:link w:val="8"/>
    <w:qFormat/>
    <w:locked/>
    <w:uiPriority w:val="99"/>
    <w:rPr>
      <w:kern w:val="2"/>
      <w:sz w:val="18"/>
      <w:szCs w:val="18"/>
    </w:rPr>
  </w:style>
  <w:style w:type="character" w:customStyle="1" w:styleId="23">
    <w:name w:val="页眉 Char"/>
    <w:basedOn w:val="15"/>
    <w:link w:val="9"/>
    <w:qFormat/>
    <w:locked/>
    <w:uiPriority w:val="99"/>
    <w:rPr>
      <w:kern w:val="2"/>
      <w:sz w:val="18"/>
      <w:szCs w:val="18"/>
    </w:rPr>
  </w:style>
  <w:style w:type="paragraph" w:customStyle="1" w:styleId="24">
    <w:name w:val="正文表标题"/>
    <w:basedOn w:val="1"/>
    <w:next w:val="25"/>
    <w:qFormat/>
    <w:uiPriority w:val="99"/>
    <w:pPr>
      <w:widowControl/>
      <w:spacing w:beforeLines="50" w:afterLines="50"/>
      <w:ind w:left="3780"/>
      <w:jc w:val="center"/>
    </w:pPr>
    <w:rPr>
      <w:rFonts w:ascii="黑体" w:hAnsi="宋体" w:eastAsia="黑体" w:cs="黑体"/>
      <w:kern w:val="0"/>
    </w:rPr>
  </w:style>
  <w:style w:type="paragraph" w:customStyle="1" w:styleId="25">
    <w:name w:val="段"/>
    <w:basedOn w:val="1"/>
    <w:link w:val="28"/>
    <w:qFormat/>
    <w:uiPriority w:val="0"/>
    <w:pPr>
      <w:widowControl/>
      <w:autoSpaceDE w:val="0"/>
      <w:autoSpaceDN w:val="0"/>
      <w:ind w:firstLine="420" w:firstLineChars="200"/>
    </w:pPr>
    <w:rPr>
      <w:rFonts w:ascii="宋体" w:cs="宋体"/>
      <w:kern w:val="0"/>
    </w:rPr>
  </w:style>
  <w:style w:type="paragraph" w:customStyle="1" w:styleId="26">
    <w:name w:val="二级条标题"/>
    <w:basedOn w:val="27"/>
    <w:next w:val="25"/>
    <w:qFormat/>
    <w:uiPriority w:val="99"/>
    <w:pPr>
      <w:ind w:left="0"/>
      <w:outlineLvl w:val="3"/>
    </w:pPr>
  </w:style>
  <w:style w:type="paragraph" w:customStyle="1" w:styleId="27">
    <w:name w:val="一级条标题"/>
    <w:basedOn w:val="1"/>
    <w:next w:val="25"/>
    <w:link w:val="29"/>
    <w:qFormat/>
    <w:uiPriority w:val="99"/>
    <w:pPr>
      <w:widowControl/>
      <w:spacing w:beforeLines="50" w:afterLines="50"/>
      <w:ind w:left="105"/>
      <w:jc w:val="left"/>
      <w:outlineLvl w:val="2"/>
    </w:pPr>
    <w:rPr>
      <w:rFonts w:ascii="黑体" w:hAnsi="宋体" w:eastAsia="黑体" w:cs="黑体"/>
      <w:kern w:val="0"/>
    </w:rPr>
  </w:style>
  <w:style w:type="character" w:customStyle="1" w:styleId="28">
    <w:name w:val="段 Char"/>
    <w:link w:val="25"/>
    <w:qFormat/>
    <w:locked/>
    <w:uiPriority w:val="0"/>
    <w:rPr>
      <w:rFonts w:ascii="宋体" w:eastAsia="宋体" w:cs="宋体"/>
      <w:sz w:val="21"/>
      <w:szCs w:val="21"/>
    </w:rPr>
  </w:style>
  <w:style w:type="character" w:customStyle="1" w:styleId="29">
    <w:name w:val="一级条标题 Char"/>
    <w:link w:val="27"/>
    <w:qFormat/>
    <w:locked/>
    <w:uiPriority w:val="99"/>
    <w:rPr>
      <w:rFonts w:ascii="黑体" w:hAnsi="宋体" w:eastAsia="黑体" w:cs="黑体"/>
      <w:sz w:val="21"/>
      <w:szCs w:val="21"/>
    </w:rPr>
  </w:style>
  <w:style w:type="paragraph" w:customStyle="1" w:styleId="30">
    <w:name w:val="三级条标题"/>
    <w:basedOn w:val="26"/>
    <w:next w:val="25"/>
    <w:qFormat/>
    <w:uiPriority w:val="99"/>
    <w:pPr>
      <w:tabs>
        <w:tab w:val="left" w:pos="2551"/>
      </w:tabs>
      <w:spacing w:beforeLines="0" w:afterLines="0"/>
      <w:ind w:left="2551" w:hanging="850"/>
      <w:outlineLvl w:val="4"/>
    </w:pPr>
    <w:rPr>
      <w:rFonts w:ascii="Times New Roman" w:hAnsi="Times New Roman" w:cs="Times New Roman"/>
    </w:rPr>
  </w:style>
  <w:style w:type="paragraph" w:customStyle="1" w:styleId="31">
    <w:name w:val="章标题"/>
    <w:next w:val="25"/>
    <w:qFormat/>
    <w:uiPriority w:val="99"/>
    <w:pPr>
      <w:tabs>
        <w:tab w:val="left" w:pos="992"/>
      </w:tabs>
      <w:spacing w:beforeLines="50" w:afterLines="50"/>
      <w:ind w:left="992" w:hanging="567"/>
      <w:jc w:val="both"/>
      <w:outlineLvl w:val="1"/>
    </w:pPr>
    <w:rPr>
      <w:rFonts w:ascii="黑体" w:hAnsi="Times New Roman" w:eastAsia="黑体" w:cs="黑体"/>
      <w:sz w:val="21"/>
      <w:szCs w:val="21"/>
      <w:lang w:val="en-US" w:eastAsia="zh-CN" w:bidi="ar-SA"/>
    </w:rPr>
  </w:style>
  <w:style w:type="paragraph" w:customStyle="1" w:styleId="32">
    <w:name w:val="reader-word-layer"/>
    <w:basedOn w:val="1"/>
    <w:qFormat/>
    <w:uiPriority w:val="99"/>
    <w:pPr>
      <w:spacing w:before="100" w:beforeAutospacing="1" w:after="100" w:afterAutospacing="1"/>
    </w:pPr>
    <w:rPr>
      <w:rFonts w:ascii="宋体" w:hAnsi="宋体" w:cs="宋体"/>
      <w:sz w:val="24"/>
      <w:szCs w:val="24"/>
    </w:rPr>
  </w:style>
  <w:style w:type="paragraph" w:customStyle="1" w:styleId="33">
    <w:name w:val="四级条标题"/>
    <w:basedOn w:val="30"/>
    <w:next w:val="25"/>
    <w:qFormat/>
    <w:uiPriority w:val="99"/>
    <w:pPr>
      <w:tabs>
        <w:tab w:val="clear" w:pos="2551"/>
      </w:tabs>
      <w:spacing w:beforeLines="50" w:afterLines="50"/>
      <w:ind w:left="0" w:firstLine="0"/>
      <w:outlineLvl w:val="5"/>
    </w:pPr>
    <w:rPr>
      <w:rFonts w:ascii="黑体" w:cs="黑体"/>
    </w:rPr>
  </w:style>
  <w:style w:type="paragraph" w:customStyle="1" w:styleId="34">
    <w:name w:val="五级条标题"/>
    <w:basedOn w:val="33"/>
    <w:next w:val="25"/>
    <w:qFormat/>
    <w:uiPriority w:val="99"/>
    <w:pPr>
      <w:outlineLvl w:val="6"/>
    </w:pPr>
  </w:style>
  <w:style w:type="character" w:customStyle="1" w:styleId="35">
    <w:name w:val="font21"/>
    <w:basedOn w:val="15"/>
    <w:qFormat/>
    <w:uiPriority w:val="0"/>
    <w:rPr>
      <w:rFonts w:ascii="宋体" w:hAnsi="宋体" w:eastAsia="宋体" w:cs="宋体"/>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6255</Words>
  <Characters>6624</Characters>
  <Lines>27</Lines>
  <Paragraphs>7</Paragraphs>
  <TotalTime>20</TotalTime>
  <ScaleCrop>false</ScaleCrop>
  <LinksUpToDate>false</LinksUpToDate>
  <CharactersWithSpaces>6733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2020-11-19T03:02:00Z</dcterms:created>
  <dc:creator>Administrator</dc:creator>
  <cp:lastModifiedBy>Dr. Zhang</cp:lastModifiedBy>
  <dcterms:modified xsi:type="dcterms:W3CDTF">2026-05-21T17:00:17Z</dcterms:modified>
  <dc:title>推荐性国家标准《太子参种子、种根》编制说明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eyJoZGlkIjoiM2YxOTBhMjkzY2U3NThhZmQ1NDZhMWJjODdjYWZhZjUiLCJ1c2VySWQiOiI1NTQyMzMxMDcifQ==</vt:lpwstr>
  </property>
  <property fmtid="{D5CDD505-2E9C-101B-9397-08002B2CF9AE}" pid="4" name="ICV">
    <vt:lpwstr>A469C9C1DC364FF88F688B2AE54D8F6C_12</vt:lpwstr>
  </property>
</Properties>
</file>