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B7B067">
      <w:pPr>
        <w:jc w:val="center"/>
        <w:rPr>
          <w:rFonts w:hint="default" w:ascii="Times New Roman" w:hAnsi="Times New Roman" w:eastAsia="宋体" w:cs="Times New Roman"/>
          <w:color w:val="010101"/>
          <w:sz w:val="32"/>
          <w:szCs w:val="32"/>
          <w:lang w:val="en-US" w:eastAsia="zh-CN"/>
        </w:rPr>
      </w:pPr>
      <w:r>
        <w:rPr>
          <w:rFonts w:hint="default" w:ascii="Times New Roman" w:hAnsi="Times New Roman" w:eastAsia="宋体" w:cs="Times New Roman"/>
          <w:bCs/>
          <w:kern w:val="0"/>
          <w:sz w:val="28"/>
          <w:szCs w:val="28"/>
        </w:rPr>
        <w:t>黔东南州凯里酸汤产业发展协会</w:t>
      </w:r>
    </w:p>
    <w:p w14:paraId="6138B97B">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color w:val="010101"/>
          <w:sz w:val="32"/>
          <w:szCs w:val="32"/>
        </w:rPr>
        <w:t>团体标准</w:t>
      </w:r>
      <w:r>
        <w:rPr>
          <w:rFonts w:hint="default" w:ascii="Times New Roman" w:hAnsi="Times New Roman" w:eastAsia="宋体" w:cs="Times New Roman"/>
          <w:color w:val="000000"/>
          <w:sz w:val="32"/>
          <w:szCs w:val="32"/>
        </w:rPr>
        <w:t>《</w:t>
      </w:r>
      <w:r>
        <w:rPr>
          <w:rFonts w:hint="eastAsia" w:ascii="Times New Roman" w:hAnsi="Times New Roman" w:eastAsia="宋体" w:cs="Times New Roman"/>
          <w:sz w:val="32"/>
          <w:szCs w:val="32"/>
          <w:lang w:val="en-US" w:eastAsia="zh-CN"/>
        </w:rPr>
        <w:t>复合酸汤调味料</w:t>
      </w:r>
      <w:r>
        <w:rPr>
          <w:rFonts w:hint="default" w:ascii="Times New Roman" w:hAnsi="Times New Roman" w:eastAsia="宋体" w:cs="Times New Roman"/>
          <w:color w:val="000000"/>
          <w:sz w:val="32"/>
          <w:szCs w:val="32"/>
        </w:rPr>
        <w:t>》</w:t>
      </w:r>
      <w:r>
        <w:rPr>
          <w:rFonts w:hint="default" w:ascii="Times New Roman" w:hAnsi="Times New Roman" w:eastAsia="宋体" w:cs="Times New Roman"/>
          <w:sz w:val="32"/>
          <w:szCs w:val="32"/>
          <w:lang w:val="en-US" w:eastAsia="zh-CN"/>
        </w:rPr>
        <w:t>修订</w:t>
      </w:r>
      <w:r>
        <w:rPr>
          <w:rFonts w:hint="default" w:ascii="Times New Roman" w:hAnsi="Times New Roman" w:eastAsia="宋体" w:cs="Times New Roman"/>
          <w:sz w:val="32"/>
          <w:szCs w:val="32"/>
        </w:rPr>
        <w:t>说明</w:t>
      </w:r>
    </w:p>
    <w:p w14:paraId="35B9980D">
      <w:pPr>
        <w:spacing w:line="360" w:lineRule="auto"/>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t>征求意见稿</w:t>
      </w:r>
    </w:p>
    <w:p w14:paraId="3CBF27E2">
      <w:pPr>
        <w:spacing w:line="360" w:lineRule="exact"/>
        <w:rPr>
          <w:rFonts w:hint="default" w:ascii="Times New Roman" w:hAnsi="Times New Roman" w:eastAsia="宋体" w:cs="Times New Roman"/>
          <w:b/>
          <w:bCs/>
        </w:rPr>
      </w:pPr>
    </w:p>
    <w:p w14:paraId="5BC83B21">
      <w:pPr>
        <w:spacing w:line="360" w:lineRule="auto"/>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一、工作简况</w:t>
      </w:r>
    </w:p>
    <w:p w14:paraId="2C185373">
      <w:pPr>
        <w:spacing w:line="360" w:lineRule="auto"/>
        <w:rPr>
          <w:rFonts w:hint="default" w:ascii="Times New Roman" w:hAnsi="Times New Roman" w:eastAsia="宋体" w:cs="Times New Roman"/>
          <w:b/>
          <w:bCs/>
          <w:sz w:val="24"/>
        </w:rPr>
      </w:pPr>
      <w:r>
        <w:rPr>
          <w:rFonts w:hint="default" w:ascii="Times New Roman" w:hAnsi="Times New Roman" w:eastAsia="宋体" w:cs="Times New Roman"/>
          <w:b/>
          <w:bCs/>
          <w:sz w:val="24"/>
        </w:rPr>
        <w:t>（一）任务来源</w:t>
      </w:r>
    </w:p>
    <w:p w14:paraId="3B37A242">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bookmarkStart w:id="0" w:name="_Hlk5215804"/>
      <w:r>
        <w:rPr>
          <w:rFonts w:hint="default" w:ascii="Times New Roman" w:hAnsi="Times New Roman" w:eastAsia="宋体" w:cs="Times New Roman"/>
          <w:sz w:val="24"/>
        </w:rPr>
        <w:t>酸汤</w:t>
      </w:r>
      <w:r>
        <w:rPr>
          <w:rFonts w:hint="default" w:ascii="Times New Roman" w:hAnsi="Times New Roman" w:eastAsia="宋体" w:cs="Times New Roman"/>
          <w:sz w:val="24"/>
          <w:lang w:val="en-US" w:eastAsia="zh-CN"/>
        </w:rPr>
        <w:t>作为黔东南</w:t>
      </w:r>
      <w:r>
        <w:rPr>
          <w:rFonts w:hint="default" w:ascii="Times New Roman" w:hAnsi="Times New Roman" w:eastAsia="宋体" w:cs="Times New Roman"/>
          <w:sz w:val="24"/>
        </w:rPr>
        <w:t>苗</w:t>
      </w:r>
      <w:r>
        <w:rPr>
          <w:rFonts w:hint="default" w:ascii="Times New Roman" w:hAnsi="Times New Roman" w:eastAsia="宋体" w:cs="Times New Roman"/>
          <w:sz w:val="24"/>
          <w:lang w:val="en-US" w:eastAsia="zh-CN"/>
        </w:rPr>
        <w:t>侗</w:t>
      </w:r>
      <w:r>
        <w:rPr>
          <w:rFonts w:hint="default" w:ascii="Times New Roman" w:hAnsi="Times New Roman" w:eastAsia="宋体" w:cs="Times New Roman"/>
          <w:sz w:val="24"/>
        </w:rPr>
        <w:t>族人民的传统风味菜肴</w:t>
      </w:r>
      <w:r>
        <w:rPr>
          <w:rFonts w:hint="default" w:ascii="Times New Roman" w:hAnsi="Times New Roman" w:eastAsia="宋体" w:cs="Times New Roman"/>
          <w:sz w:val="24"/>
          <w:lang w:eastAsia="zh-CN"/>
        </w:rPr>
        <w:t>，</w:t>
      </w:r>
      <w:r>
        <w:rPr>
          <w:rFonts w:hint="default" w:ascii="Times New Roman" w:hAnsi="Times New Roman" w:eastAsia="宋体" w:cs="Times New Roman"/>
          <w:sz w:val="24"/>
          <w:lang w:val="en-US" w:eastAsia="zh-CN"/>
        </w:rPr>
        <w:t>是</w:t>
      </w:r>
      <w:r>
        <w:rPr>
          <w:rFonts w:hint="default" w:ascii="Times New Roman" w:hAnsi="Times New Roman" w:eastAsia="宋体" w:cs="Times New Roman"/>
          <w:sz w:val="24"/>
        </w:rPr>
        <w:t>黔东南舌尖上的名片</w:t>
      </w:r>
      <w:r>
        <w:rPr>
          <w:rFonts w:hint="default" w:ascii="Times New Roman" w:hAnsi="Times New Roman" w:eastAsia="宋体" w:cs="Times New Roman"/>
          <w:sz w:val="24"/>
          <w:lang w:eastAsia="zh-CN"/>
        </w:rPr>
        <w:t>。</w:t>
      </w:r>
      <w:r>
        <w:rPr>
          <w:rFonts w:hint="default" w:ascii="Times New Roman" w:hAnsi="Times New Roman" w:eastAsia="宋体" w:cs="Times New Roman"/>
          <w:sz w:val="24"/>
        </w:rPr>
        <w:t>黔东南州制作酸汤的历史已逾千年，以凯里为主要集聚区的酸汤美食蕴含着丰富的食用价值、养生价值、经济价值与文化价值，打响</w:t>
      </w:r>
      <w:r>
        <w:rPr>
          <w:rFonts w:hint="default" w:ascii="Times New Roman" w:hAnsi="Times New Roman" w:eastAsia="宋体" w:cs="Times New Roman"/>
          <w:sz w:val="24"/>
          <w:lang w:val="en-US" w:eastAsia="zh-CN"/>
        </w:rPr>
        <w:t>凯里</w:t>
      </w:r>
      <w:r>
        <w:rPr>
          <w:rFonts w:hint="default" w:ascii="Times New Roman" w:hAnsi="Times New Roman" w:eastAsia="宋体" w:cs="Times New Roman"/>
          <w:sz w:val="24"/>
        </w:rPr>
        <w:t>酸汤品牌、做强酸汤产业是加强地方特色食品产业发展、带动农民脱贫致富的迫切要求和强大抓手。</w:t>
      </w:r>
      <w:bookmarkEnd w:id="0"/>
    </w:p>
    <w:p w14:paraId="0450C5AA">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lang w:val="en-US" w:eastAsia="zh-CN"/>
        </w:rPr>
        <w:t>州委州政府高度重视，专门成立了黔东南州</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凯里酸汤</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lang w:val="en-US" w:eastAsia="zh-CN"/>
        </w:rPr>
        <w:t>产业发展工作领导小组，推动“凯里酸汤”区域品牌打造。以抱团发展的方式，打造统一品牌、制定统一标准，进行统一管理是做好酸汤文化、打响酸汤品牌、做强酸汤产业，提高产品竞争力的睿智选择。为进一步适应酸汤产业发展，黔东南州凯里酸汤产业发展协会于2025年12月与凯里学院签订了《酸汤系列团体标准制定(修订)》项目合同，内容包括：</w:t>
      </w:r>
      <w:r>
        <w:rPr>
          <w:rFonts w:hint="default" w:ascii="Times New Roman" w:hAnsi="Times New Roman" w:eastAsia="宋体" w:cs="Times New Roman"/>
          <w:sz w:val="24"/>
          <w:szCs w:val="24"/>
        </w:rPr>
        <w:t>《凯里酸汤 红酸汤》、《凯里酸汤 白酸汤》</w:t>
      </w:r>
      <w:r>
        <w:rPr>
          <w:rFonts w:hint="default" w:ascii="Times New Roman" w:hAnsi="Times New Roman" w:eastAsia="宋体" w:cs="Times New Roman"/>
          <w:sz w:val="24"/>
          <w:szCs w:val="24"/>
          <w:lang w:val="en-US" w:eastAsia="zh-CN"/>
        </w:rPr>
        <w:t>两项团体标准修订</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金酸汤调味料</w:t>
      </w:r>
      <w:r>
        <w:rPr>
          <w:rFonts w:hint="default" w:ascii="Times New Roman" w:hAnsi="Times New Roman" w:eastAsia="宋体" w:cs="Times New Roman"/>
          <w:sz w:val="24"/>
          <w:szCs w:val="24"/>
          <w:lang w:eastAsia="zh-CN"/>
        </w:rPr>
        <w:t>》、《凯里酸汤品牌管理与评价》</w:t>
      </w:r>
      <w:r>
        <w:rPr>
          <w:rFonts w:hint="default" w:ascii="Times New Roman" w:hAnsi="Times New Roman" w:eastAsia="宋体" w:cs="Times New Roman"/>
          <w:sz w:val="24"/>
          <w:lang w:val="en-US" w:eastAsia="zh-CN"/>
        </w:rPr>
        <w:t>三项团体标准编制。为</w:t>
      </w:r>
      <w:r>
        <w:rPr>
          <w:rFonts w:hint="default" w:ascii="Times New Roman" w:hAnsi="Times New Roman" w:eastAsia="宋体" w:cs="Times New Roman"/>
          <w:sz w:val="24"/>
        </w:rPr>
        <w:t>做好</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凯里酸汤</w:t>
      </w:r>
      <w:r>
        <w:rPr>
          <w:rFonts w:hint="eastAsia" w:ascii="Times New Roman" w:hAnsi="Times New Roman" w:eastAsia="宋体" w:cs="Times New Roman"/>
          <w:sz w:val="24"/>
          <w:lang w:eastAsia="zh-CN"/>
        </w:rPr>
        <w:t>”</w:t>
      </w:r>
      <w:r>
        <w:rPr>
          <w:rFonts w:hint="default" w:ascii="Times New Roman" w:hAnsi="Times New Roman" w:eastAsia="宋体" w:cs="Times New Roman"/>
          <w:sz w:val="24"/>
        </w:rPr>
        <w:t>团体标准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工作，提高团体标准的科学性，有效性和针对性，</w:t>
      </w:r>
      <w:r>
        <w:rPr>
          <w:rFonts w:hint="default" w:ascii="Times New Roman" w:hAnsi="Times New Roman" w:eastAsia="宋体" w:cs="Times New Roman"/>
          <w:sz w:val="24"/>
          <w:lang w:val="en-US" w:eastAsia="zh-CN"/>
        </w:rPr>
        <w:t>凯里学院及时制定了项目实施方案，</w:t>
      </w:r>
      <w:r>
        <w:rPr>
          <w:rFonts w:hint="default" w:ascii="Times New Roman" w:hAnsi="Times New Roman" w:eastAsia="宋体" w:cs="Times New Roman"/>
          <w:sz w:val="24"/>
        </w:rPr>
        <w:t>明确了各部门的工作职责。</w:t>
      </w:r>
    </w:p>
    <w:p w14:paraId="24DE42CB">
      <w:pPr>
        <w:keepNext w:val="0"/>
        <w:keepLines w:val="0"/>
        <w:pageBreakBefore w:val="0"/>
        <w:widowControl w:val="0"/>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w:t>
      </w:r>
      <w:r>
        <w:rPr>
          <w:rFonts w:hint="default" w:ascii="Times New Roman" w:hAnsi="Times New Roman" w:eastAsia="宋体" w:cs="Times New Roman"/>
          <w:b/>
          <w:bCs/>
          <w:sz w:val="24"/>
          <w:szCs w:val="24"/>
        </w:rPr>
        <w:t>协作单位</w:t>
      </w:r>
    </w:p>
    <w:p w14:paraId="12B91A05">
      <w:pPr>
        <w:keepNext w:val="0"/>
        <w:keepLines w:val="0"/>
        <w:pageBreakBefore w:val="0"/>
        <w:widowControl w:val="0"/>
        <w:kinsoku/>
        <w:wordWrap/>
        <w:overflowPunct/>
        <w:topLinePunct w:val="0"/>
        <w:autoSpaceDE/>
        <w:autoSpaceDN/>
        <w:bidi w:val="0"/>
        <w:adjustRightInd w:val="0"/>
        <w:snapToGrid/>
        <w:spacing w:line="360" w:lineRule="auto"/>
        <w:ind w:firstLine="540"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黔东南州工业和信息化局</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黔东南州凯里酸汤产业发展协会协会</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凯里学院</w:t>
      </w:r>
      <w:r>
        <w:rPr>
          <w:rFonts w:hint="default" w:ascii="Times New Roman" w:hAnsi="Times New Roman" w:eastAsia="宋体" w:cs="Times New Roman"/>
          <w:sz w:val="24"/>
          <w:lang w:eastAsia="zh-CN"/>
        </w:rPr>
        <w:t>、</w:t>
      </w:r>
      <w:r>
        <w:rPr>
          <w:rFonts w:hint="default" w:ascii="Times New Roman" w:hAnsi="Times New Roman" w:eastAsia="宋体" w:cs="Times New Roman"/>
          <w:sz w:val="24"/>
          <w:szCs w:val="24"/>
        </w:rPr>
        <w:t>××公司</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lang w:val="en-US" w:eastAsia="zh-CN"/>
        </w:rPr>
        <w:t>企业)</w:t>
      </w:r>
      <w:r>
        <w:rPr>
          <w:rFonts w:hint="default" w:ascii="Times New Roman" w:hAnsi="Times New Roman" w:eastAsia="宋体" w:cs="Times New Roman"/>
          <w:sz w:val="24"/>
          <w:lang w:eastAsia="zh-CN"/>
        </w:rPr>
        <w:t>。</w:t>
      </w:r>
    </w:p>
    <w:p w14:paraId="4AE76D93">
      <w:pPr>
        <w:keepNext w:val="0"/>
        <w:keepLines w:val="0"/>
        <w:pageBreakBefore w:val="0"/>
        <w:widowControl w:val="0"/>
        <w:numPr>
          <w:ilvl w:val="0"/>
          <w:numId w:val="1"/>
        </w:numPr>
        <w:kinsoku/>
        <w:wordWrap/>
        <w:overflowPunct/>
        <w:topLinePunct w:val="0"/>
        <w:autoSpaceDE/>
        <w:autoSpaceDN/>
        <w:bidi w:val="0"/>
        <w:adjustRightInd w:val="0"/>
        <w:snapToGrid/>
        <w:spacing w:line="360" w:lineRule="auto"/>
        <w:ind w:firstLine="542" w:firstLineChars="225"/>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b/>
          <w:bCs/>
          <w:kern w:val="0"/>
          <w:sz w:val="24"/>
          <w:szCs w:val="24"/>
        </w:rPr>
        <w:t>主要工作过程和内容</w:t>
      </w:r>
    </w:p>
    <w:p w14:paraId="0CCE8E55">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firstLine="480" w:firstLineChars="200"/>
        <w:textAlignment w:val="baseline"/>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本文件的编制期限为2025年10月</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2026年5月，期限8个月，工作分以下几个阶段开展：</w:t>
      </w:r>
    </w:p>
    <w:p w14:paraId="58EA4FDB">
      <w:pPr>
        <w:pStyle w:val="25"/>
        <w:numPr>
          <w:ilvl w:val="0"/>
          <w:numId w:val="0"/>
        </w:numPr>
        <w:tabs>
          <w:tab w:val="center" w:pos="4201"/>
          <w:tab w:val="right" w:leader="dot" w:pos="9298"/>
        </w:tabs>
        <w:spacing w:line="360" w:lineRule="auto"/>
        <w:ind w:firstLine="482" w:firstLineChars="200"/>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（1）资料收集阶段</w:t>
      </w:r>
    </w:p>
    <w:p w14:paraId="286C2B57">
      <w:pPr>
        <w:pStyle w:val="25"/>
        <w:numPr>
          <w:ilvl w:val="0"/>
          <w:numId w:val="0"/>
        </w:numPr>
        <w:tabs>
          <w:tab w:val="center" w:pos="4201"/>
          <w:tab w:val="right" w:leader="dot" w:pos="9298"/>
        </w:tabs>
        <w:spacing w:line="360" w:lineRule="auto"/>
        <w:ind w:firstLine="720" w:firstLineChars="300"/>
        <w:rPr>
          <w:rFonts w:hint="default" w:ascii="Times New Roman" w:hAnsi="Times New Roman" w:eastAsia="宋体" w:cs="Times New Roman"/>
          <w:sz w:val="24"/>
        </w:rPr>
      </w:pPr>
      <w:r>
        <w:rPr>
          <w:rFonts w:hint="default" w:ascii="Times New Roman" w:hAnsi="Times New Roman" w:eastAsia="宋体" w:cs="Times New Roman"/>
          <w:sz w:val="24"/>
          <w:szCs w:val="24"/>
          <w:lang w:val="en-US" w:eastAsia="zh-CN"/>
        </w:rPr>
        <w:t>2025年10月1日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10日，</w:t>
      </w:r>
      <w:r>
        <w:rPr>
          <w:rFonts w:hint="default" w:ascii="Times New Roman" w:hAnsi="Times New Roman" w:eastAsia="宋体" w:cs="Times New Roman"/>
          <w:sz w:val="24"/>
          <w:szCs w:val="21"/>
        </w:rPr>
        <w:t>组建</w:t>
      </w:r>
      <w:r>
        <w:rPr>
          <w:rFonts w:hint="default" w:ascii="Times New Roman" w:hAnsi="Times New Roman" w:eastAsia="宋体" w:cs="Times New Roman"/>
          <w:sz w:val="24"/>
          <w:szCs w:val="21"/>
          <w:lang w:val="en-US" w:eastAsia="zh-CN"/>
        </w:rPr>
        <w:t>团体</w:t>
      </w:r>
      <w:r>
        <w:rPr>
          <w:rFonts w:hint="default" w:ascii="Times New Roman" w:hAnsi="Times New Roman" w:eastAsia="宋体" w:cs="Times New Roman"/>
          <w:sz w:val="24"/>
        </w:rPr>
        <w:t>标准</w:t>
      </w:r>
      <w:r>
        <w:rPr>
          <w:rFonts w:hint="default" w:ascii="Times New Roman" w:hAnsi="Times New Roman" w:eastAsia="宋体" w:cs="Times New Roman"/>
          <w:sz w:val="24"/>
          <w:lang w:val="en-US" w:eastAsia="zh-CN"/>
        </w:rPr>
        <w:t>编制</w:t>
      </w:r>
      <w:r>
        <w:rPr>
          <w:rFonts w:hint="default" w:ascii="Times New Roman" w:hAnsi="Times New Roman" w:eastAsia="宋体" w:cs="Times New Roman"/>
          <w:sz w:val="24"/>
        </w:rPr>
        <w:t>小组，收集标准编制的背景材料和有关标准编制的参考、引用资料，</w:t>
      </w:r>
      <w:r>
        <w:rPr>
          <w:rFonts w:hint="default" w:ascii="Times New Roman" w:hAnsi="Times New Roman" w:eastAsia="宋体" w:cs="Times New Roman"/>
          <w:sz w:val="24"/>
          <w:lang w:val="en-US" w:eastAsia="zh-CN"/>
        </w:rPr>
        <w:t>并</w:t>
      </w:r>
      <w:r>
        <w:rPr>
          <w:rFonts w:hint="default" w:ascii="Times New Roman" w:hAnsi="Times New Roman" w:eastAsia="宋体" w:cs="Times New Roman"/>
          <w:sz w:val="24"/>
        </w:rPr>
        <w:t>进行归纳整理。</w:t>
      </w:r>
    </w:p>
    <w:p w14:paraId="50C4A6B0">
      <w:pPr>
        <w:keepNext w:val="0"/>
        <w:keepLines w:val="0"/>
        <w:pageBreakBefore w:val="0"/>
        <w:widowControl w:val="0"/>
        <w:numPr>
          <w:ilvl w:val="0"/>
          <w:numId w:val="0"/>
        </w:numPr>
        <w:kinsoku/>
        <w:wordWrap/>
        <w:overflowPunct/>
        <w:topLinePunct w:val="0"/>
        <w:autoSpaceDE/>
        <w:autoSpaceDN/>
        <w:bidi w:val="0"/>
        <w:adjustRightInd w:val="0"/>
        <w:snapToGrid/>
        <w:spacing w:line="360" w:lineRule="auto"/>
        <w:ind w:leftChars="200"/>
        <w:textAlignment w:val="baseline"/>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（2）</w:t>
      </w:r>
      <w:r>
        <w:rPr>
          <w:rFonts w:hint="default" w:ascii="Times New Roman" w:hAnsi="Times New Roman" w:eastAsia="宋体" w:cs="Times New Roman"/>
          <w:b/>
          <w:bCs/>
          <w:sz w:val="24"/>
        </w:rPr>
        <w:t>实地调研阶段</w:t>
      </w:r>
    </w:p>
    <w:p w14:paraId="42FF760C">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rPr>
      </w:pPr>
      <w:r>
        <w:rPr>
          <w:rFonts w:hint="default" w:ascii="Times New Roman" w:hAnsi="Times New Roman" w:eastAsia="宋体" w:cs="Times New Roman"/>
          <w:sz w:val="24"/>
          <w:szCs w:val="24"/>
        </w:rPr>
        <w:t>202</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年10月</w:t>
      </w:r>
      <w:r>
        <w:rPr>
          <w:rFonts w:hint="default" w:ascii="Times New Roman" w:hAnsi="Times New Roman" w:eastAsia="宋体" w:cs="Times New Roman"/>
          <w:sz w:val="24"/>
          <w:szCs w:val="24"/>
          <w:lang w:val="en-US" w:eastAsia="zh-CN"/>
        </w:rPr>
        <w:t>11日</w:t>
      </w:r>
      <w:r>
        <w:rPr>
          <w:rFonts w:hint="default" w:ascii="Times New Roman" w:hAnsi="Times New Roman" w:eastAsia="宋体" w:cs="Times New Roman"/>
          <w:sz w:val="24"/>
          <w:szCs w:val="21"/>
        </w:rPr>
        <w:t>~</w:t>
      </w:r>
      <w:r>
        <w:rPr>
          <w:rFonts w:hint="default" w:ascii="Times New Roman" w:hAnsi="Times New Roman" w:eastAsia="宋体" w:cs="Times New Roman"/>
          <w:sz w:val="24"/>
          <w:szCs w:val="24"/>
          <w:lang w:val="en-US" w:eastAsia="zh-CN"/>
        </w:rPr>
        <w:t>20日</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编制组</w:t>
      </w:r>
      <w:r>
        <w:rPr>
          <w:rFonts w:hint="default" w:ascii="Times New Roman" w:hAnsi="Times New Roman" w:eastAsia="宋体" w:cs="Times New Roman"/>
          <w:sz w:val="24"/>
        </w:rPr>
        <w:t>分别前往</w:t>
      </w:r>
      <w:r>
        <w:rPr>
          <w:rFonts w:hint="default" w:ascii="Times New Roman" w:hAnsi="Times New Roman" w:eastAsia="宋体" w:cs="Times New Roman"/>
          <w:sz w:val="24"/>
          <w:szCs w:val="24"/>
          <w:lang w:val="en-US" w:eastAsia="zh-CN"/>
        </w:rPr>
        <w:t>黔东南各县市调研全州酸汤生产企业、餐饮业</w:t>
      </w:r>
      <w:r>
        <w:rPr>
          <w:rFonts w:hint="default" w:ascii="Times New Roman" w:hAnsi="Times New Roman" w:eastAsia="宋体" w:cs="Times New Roman"/>
          <w:sz w:val="24"/>
          <w:lang w:val="en-US" w:eastAsia="zh-CN"/>
        </w:rPr>
        <w:t>进行</w:t>
      </w:r>
      <w:r>
        <w:rPr>
          <w:rFonts w:hint="default" w:ascii="Times New Roman" w:hAnsi="Times New Roman" w:eastAsia="宋体" w:cs="Times New Roman"/>
          <w:sz w:val="24"/>
        </w:rPr>
        <w:t>实地调研，</w:t>
      </w:r>
      <w:r>
        <w:rPr>
          <w:rFonts w:hint="default" w:ascii="Times New Roman" w:hAnsi="Times New Roman" w:eastAsia="宋体" w:cs="Times New Roman"/>
          <w:sz w:val="24"/>
          <w:szCs w:val="24"/>
        </w:rPr>
        <w:t>了解生产工艺流程、生产加工</w:t>
      </w:r>
      <w:r>
        <w:rPr>
          <w:rFonts w:hint="default" w:ascii="Times New Roman" w:hAnsi="Times New Roman" w:eastAsia="宋体" w:cs="Times New Roman"/>
          <w:sz w:val="24"/>
          <w:szCs w:val="24"/>
          <w:lang w:val="en-US" w:eastAsia="zh-CN"/>
        </w:rPr>
        <w:t>状况</w:t>
      </w:r>
      <w:r>
        <w:rPr>
          <w:rFonts w:hint="default" w:ascii="Times New Roman" w:hAnsi="Times New Roman" w:eastAsia="宋体" w:cs="Times New Roman"/>
          <w:sz w:val="24"/>
          <w:szCs w:val="24"/>
        </w:rPr>
        <w:t>、产品品种、销售情况等，收集相关技术资料</w:t>
      </w:r>
      <w:r>
        <w:rPr>
          <w:rFonts w:hint="default" w:ascii="Times New Roman" w:hAnsi="Times New Roman" w:eastAsia="宋体" w:cs="Times New Roman"/>
          <w:sz w:val="24"/>
          <w:szCs w:val="24"/>
          <w:lang w:val="en-US" w:eastAsia="zh-CN"/>
        </w:rPr>
        <w:t>。调研组一行先后走访了12家获酸汤调味料食品生产许可证生产企业、2家酸汤生产小作坊</w:t>
      </w:r>
      <w:r>
        <w:rPr>
          <w:rFonts w:hint="default" w:ascii="Times New Roman" w:hAnsi="Times New Roman" w:eastAsia="宋体" w:cs="Times New Roman"/>
          <w:sz w:val="24"/>
          <w:lang w:val="en-US" w:eastAsia="zh-CN"/>
        </w:rPr>
        <w:t>，同时抽取酸汤样品42份（其中红酸汤样品29份，白酸汤样品11份，金酸汤2份）。</w:t>
      </w:r>
    </w:p>
    <w:p w14:paraId="21C52BF5">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（3）</w:t>
      </w:r>
      <w:r>
        <w:rPr>
          <w:rFonts w:hint="default" w:ascii="Times New Roman" w:hAnsi="Times New Roman" w:eastAsia="宋体" w:cs="Times New Roman"/>
          <w:b/>
          <w:bCs/>
          <w:sz w:val="24"/>
        </w:rPr>
        <w:t>分析、论证和标准编写阶段</w:t>
      </w:r>
    </w:p>
    <w:p w14:paraId="16EB1D9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202</w:t>
      </w:r>
      <w:r>
        <w:rPr>
          <w:rFonts w:hint="default" w:ascii="Times New Roman" w:hAnsi="Times New Roman" w:eastAsia="宋体" w:cs="Times New Roman"/>
          <w:color w:val="auto"/>
          <w:sz w:val="24"/>
          <w:lang w:val="en-US" w:eastAsia="zh-CN"/>
        </w:rPr>
        <w:t>5</w:t>
      </w:r>
      <w:r>
        <w:rPr>
          <w:rFonts w:hint="default" w:ascii="Times New Roman" w:hAnsi="Times New Roman" w:eastAsia="宋体" w:cs="Times New Roman"/>
          <w:color w:val="auto"/>
          <w:sz w:val="24"/>
        </w:rPr>
        <w:t>年1</w:t>
      </w:r>
      <w:r>
        <w:rPr>
          <w:rFonts w:hint="default" w:ascii="Times New Roman" w:hAnsi="Times New Roman" w:eastAsia="宋体" w:cs="Times New Roman"/>
          <w:color w:val="auto"/>
          <w:sz w:val="24"/>
          <w:lang w:val="en-US" w:eastAsia="zh-CN"/>
        </w:rPr>
        <w:t>0</w:t>
      </w:r>
      <w:r>
        <w:rPr>
          <w:rFonts w:hint="default" w:ascii="Times New Roman" w:hAnsi="Times New Roman" w:eastAsia="宋体" w:cs="Times New Roman"/>
          <w:color w:val="auto"/>
          <w:sz w:val="24"/>
        </w:rPr>
        <w:t>月</w:t>
      </w:r>
      <w:r>
        <w:rPr>
          <w:rFonts w:hint="default" w:ascii="Times New Roman" w:hAnsi="Times New Roman" w:eastAsia="宋体" w:cs="Times New Roman"/>
          <w:color w:val="auto"/>
          <w:sz w:val="24"/>
          <w:lang w:val="en-US" w:eastAsia="zh-CN"/>
        </w:rPr>
        <w:t>2</w:t>
      </w:r>
      <w:r>
        <w:rPr>
          <w:rFonts w:hint="default" w:ascii="Times New Roman" w:hAnsi="Times New Roman" w:eastAsia="宋体" w:cs="Times New Roman"/>
          <w:color w:val="auto"/>
          <w:sz w:val="24"/>
        </w:rPr>
        <w:t>1日</w:t>
      </w:r>
      <w:r>
        <w:rPr>
          <w:rFonts w:hint="default" w:ascii="Times New Roman" w:hAnsi="Times New Roman" w:eastAsia="宋体" w:cs="Times New Roman"/>
          <w:color w:val="auto"/>
          <w:sz w:val="24"/>
          <w:lang w:val="en-US" w:eastAsia="zh-CN"/>
        </w:rPr>
        <w:t>至11月06日</w:t>
      </w:r>
      <w:r>
        <w:rPr>
          <w:rFonts w:hint="default" w:ascii="Times New Roman" w:hAnsi="Times New Roman" w:eastAsia="宋体" w:cs="Times New Roman"/>
          <w:color w:val="auto"/>
          <w:sz w:val="24"/>
        </w:rPr>
        <w:t>，完成红酸汤</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lang w:val="en-US" w:eastAsia="zh-CN"/>
        </w:rPr>
        <w:t>白酸汤、金酸汤</w:t>
      </w:r>
      <w:r>
        <w:rPr>
          <w:rFonts w:hint="default" w:ascii="Times New Roman" w:hAnsi="Times New Roman" w:eastAsia="宋体" w:cs="Times New Roman"/>
          <w:color w:val="auto"/>
          <w:sz w:val="24"/>
        </w:rPr>
        <w:t>产品的检测</w:t>
      </w:r>
      <w:r>
        <w:rPr>
          <w:rFonts w:hint="default" w:ascii="Times New Roman" w:hAnsi="Times New Roman" w:eastAsia="宋体" w:cs="Times New Roman"/>
          <w:color w:val="auto"/>
          <w:sz w:val="24"/>
          <w:lang w:val="en-US" w:eastAsia="zh-CN"/>
        </w:rPr>
        <w:t>分析</w:t>
      </w:r>
      <w:r>
        <w:rPr>
          <w:rFonts w:hint="default" w:ascii="Times New Roman" w:hAnsi="Times New Roman" w:eastAsia="宋体" w:cs="Times New Roman"/>
          <w:color w:val="auto"/>
          <w:sz w:val="24"/>
        </w:rPr>
        <w:t>工作</w:t>
      </w:r>
      <w:r>
        <w:rPr>
          <w:rFonts w:hint="default" w:ascii="Times New Roman" w:hAnsi="Times New Roman" w:eastAsia="宋体" w:cs="Times New Roman"/>
          <w:color w:val="auto"/>
          <w:sz w:val="24"/>
          <w:lang w:val="en-US" w:eastAsia="zh-CN"/>
        </w:rPr>
        <w:t>，</w:t>
      </w:r>
      <w:r>
        <w:rPr>
          <w:rFonts w:hint="default" w:ascii="Times New Roman" w:hAnsi="Times New Roman" w:eastAsia="宋体" w:cs="Times New Roman"/>
          <w:color w:val="auto"/>
          <w:sz w:val="24"/>
        </w:rPr>
        <w:t>对标准的主要内容进行综合分析和充分论证的基础上，按照GB/T 1.1-2020</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标准化工作导则 第1部分：标准化文件的结构和起草规则</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和《团体标准管理规定》编写本</w:t>
      </w:r>
      <w:r>
        <w:rPr>
          <w:rFonts w:hint="default" w:ascii="Times New Roman" w:hAnsi="Times New Roman" w:eastAsia="宋体" w:cs="Times New Roman"/>
          <w:color w:val="auto"/>
          <w:sz w:val="24"/>
          <w:lang w:val="en-US" w:eastAsia="zh-CN"/>
        </w:rPr>
        <w:t>团体</w:t>
      </w:r>
      <w:r>
        <w:rPr>
          <w:rFonts w:hint="default" w:ascii="Times New Roman" w:hAnsi="Times New Roman" w:eastAsia="宋体" w:cs="Times New Roman"/>
          <w:color w:val="auto"/>
          <w:sz w:val="24"/>
        </w:rPr>
        <w:t>标准的讨论稿。</w:t>
      </w:r>
      <w:r>
        <w:rPr>
          <w:rFonts w:hint="default" w:ascii="Times New Roman" w:hAnsi="Times New Roman" w:eastAsia="宋体" w:cs="Times New Roman"/>
          <w:color w:val="auto"/>
          <w:sz w:val="24"/>
          <w:lang w:val="en-US" w:eastAsia="zh-CN"/>
        </w:rPr>
        <w:t>2025年11月7日，邀请酸汤生产加工企业技术专家参加标准修订初稿的线上意见征集；11月28日，邀请酸汤生产加工企业技术专家参加标准修订初稿（修改版征求意见稿）讨论会，对标准内容逐条进行讨论；2026年1月4日，组织专家对团体标准进行讨论，</w:t>
      </w:r>
      <w:r>
        <w:rPr>
          <w:rFonts w:hint="default" w:ascii="Times New Roman" w:hAnsi="Times New Roman" w:eastAsia="宋体" w:cs="Times New Roman"/>
          <w:color w:val="auto"/>
          <w:sz w:val="24"/>
        </w:rPr>
        <w:t>编写组根据讨论会</w:t>
      </w:r>
      <w:r>
        <w:rPr>
          <w:rFonts w:hint="default" w:ascii="Times New Roman" w:hAnsi="Times New Roman" w:eastAsia="宋体" w:cs="Times New Roman"/>
          <w:color w:val="auto"/>
          <w:sz w:val="24"/>
          <w:lang w:val="en-US" w:eastAsia="zh-CN"/>
        </w:rPr>
        <w:t>上大家</w:t>
      </w:r>
      <w:r>
        <w:rPr>
          <w:rFonts w:hint="default" w:ascii="Times New Roman" w:hAnsi="Times New Roman" w:eastAsia="宋体" w:cs="Times New Roman"/>
          <w:color w:val="auto"/>
          <w:sz w:val="24"/>
        </w:rPr>
        <w:t>的意见和建议，</w:t>
      </w:r>
      <w:r>
        <w:rPr>
          <w:rFonts w:hint="eastAsia" w:ascii="Times New Roman" w:hAnsi="Times New Roman" w:cs="Times New Roman"/>
          <w:color w:val="auto"/>
          <w:sz w:val="24"/>
          <w:lang w:val="en-US" w:eastAsia="zh-CN"/>
        </w:rPr>
        <w:t>2026年1月5日至5月22日集中对标准稿件进行修改与完善。</w:t>
      </w:r>
      <w:r>
        <w:rPr>
          <w:rFonts w:hint="default" w:ascii="Times New Roman" w:hAnsi="Times New Roman" w:eastAsia="宋体" w:cs="Times New Roman"/>
          <w:color w:val="auto"/>
          <w:sz w:val="24"/>
        </w:rPr>
        <w:t>修改形成《</w:t>
      </w:r>
      <w:r>
        <w:rPr>
          <w:rFonts w:hint="eastAsia" w:ascii="Times New Roman" w:hAnsi="Times New Roman" w:eastAsia="宋体" w:cs="Times New Roman"/>
          <w:color w:val="auto"/>
          <w:sz w:val="24"/>
          <w:lang w:val="en-US" w:eastAsia="zh-CN"/>
        </w:rPr>
        <w:t>复合酸汤调味料</w:t>
      </w:r>
      <w:r>
        <w:rPr>
          <w:rFonts w:hint="default" w:ascii="Times New Roman" w:hAnsi="Times New Roman" w:eastAsia="宋体" w:cs="Times New Roman"/>
          <w:color w:val="auto"/>
          <w:sz w:val="24"/>
        </w:rPr>
        <w:t>（征求意见稿）》</w:t>
      </w:r>
      <w:r>
        <w:rPr>
          <w:rFonts w:hint="default" w:ascii="Times New Roman" w:hAnsi="Times New Roman" w:eastAsia="宋体" w:cs="Times New Roman"/>
          <w:color w:val="auto"/>
          <w:sz w:val="24"/>
          <w:lang w:val="en-US" w:eastAsia="zh-CN"/>
        </w:rPr>
        <w:t>文本及编制说明</w:t>
      </w:r>
      <w:r>
        <w:rPr>
          <w:rFonts w:hint="default" w:ascii="Times New Roman" w:hAnsi="Times New Roman" w:eastAsia="宋体" w:cs="Times New Roman"/>
          <w:color w:val="auto"/>
          <w:sz w:val="24"/>
          <w:lang w:eastAsia="zh-CN"/>
        </w:rPr>
        <w:t>。</w:t>
      </w:r>
    </w:p>
    <w:p w14:paraId="192997A6">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rPr>
      </w:pPr>
      <w:r>
        <w:rPr>
          <w:rFonts w:hint="default" w:ascii="Times New Roman" w:hAnsi="Times New Roman" w:eastAsia="宋体" w:cs="Times New Roman"/>
          <w:b/>
          <w:bCs/>
          <w:sz w:val="24"/>
          <w:szCs w:val="24"/>
          <w:lang w:val="en-US" w:eastAsia="zh-CN"/>
        </w:rPr>
        <w:t>（4）</w:t>
      </w:r>
      <w:r>
        <w:rPr>
          <w:rFonts w:hint="default" w:ascii="Times New Roman" w:hAnsi="Times New Roman" w:eastAsia="宋体" w:cs="Times New Roman"/>
          <w:b/>
          <w:bCs/>
          <w:sz w:val="24"/>
        </w:rPr>
        <w:t>征求意见阶段</w:t>
      </w:r>
    </w:p>
    <w:p w14:paraId="0625C864">
      <w:pPr>
        <w:spacing w:line="360" w:lineRule="auto"/>
        <w:ind w:firstLine="480" w:firstLineChars="200"/>
        <w:rPr>
          <w:rFonts w:hint="default" w:ascii="Times New Roman" w:hAnsi="Times New Roman" w:eastAsia="宋体" w:cs="Times New Roman"/>
          <w:sz w:val="24"/>
        </w:rPr>
      </w:pPr>
      <w:r>
        <w:rPr>
          <w:rFonts w:hint="default" w:ascii="Times New Roman" w:hAnsi="Times New Roman" w:eastAsia="宋体" w:cs="Times New Roman"/>
          <w:color w:val="0000FF"/>
          <w:sz w:val="24"/>
        </w:rPr>
        <w:t>202</w:t>
      </w:r>
      <w:r>
        <w:rPr>
          <w:rFonts w:hint="default" w:ascii="Times New Roman" w:hAnsi="Times New Roman" w:eastAsia="宋体" w:cs="Times New Roman"/>
          <w:color w:val="0000FF"/>
          <w:sz w:val="24"/>
          <w:lang w:val="en-US" w:eastAsia="zh-CN"/>
        </w:rPr>
        <w:t>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5</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22</w:t>
      </w:r>
      <w:r>
        <w:rPr>
          <w:rFonts w:hint="default" w:ascii="Times New Roman" w:hAnsi="Times New Roman" w:eastAsia="宋体" w:cs="Times New Roman"/>
          <w:color w:val="0000FF"/>
          <w:sz w:val="24"/>
        </w:rPr>
        <w:t>日至</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eastAsia" w:ascii="Times New Roman" w:hAnsi="Times New Roman" w:cs="Times New Roman"/>
          <w:color w:val="0000FF"/>
          <w:sz w:val="24"/>
          <w:lang w:val="en-US" w:eastAsia="zh-CN"/>
        </w:rPr>
        <w:t>21</w:t>
      </w:r>
      <w:bookmarkStart w:id="1" w:name="_GoBack"/>
      <w:bookmarkEnd w:id="1"/>
      <w:r>
        <w:rPr>
          <w:rFonts w:hint="default" w:ascii="Times New Roman" w:hAnsi="Times New Roman" w:eastAsia="宋体" w:cs="Times New Roman"/>
          <w:color w:val="0000FF"/>
          <w:sz w:val="24"/>
        </w:rPr>
        <w:t>日，在全国团体标准信息平台上对标准文本和编制说明公开向社会各界征求意见，</w:t>
      </w:r>
      <w:r>
        <w:rPr>
          <w:rFonts w:hint="default" w:ascii="Times New Roman" w:hAnsi="Times New Roman" w:eastAsia="宋体" w:cs="Times New Roman"/>
          <w:color w:val="0000FF"/>
          <w:sz w:val="24"/>
          <w:lang w:val="en-US" w:eastAsia="zh-CN"/>
        </w:rPr>
        <w:t>同时</w:t>
      </w:r>
      <w:r>
        <w:rPr>
          <w:rFonts w:hint="default" w:ascii="Times New Roman" w:hAnsi="Times New Roman" w:eastAsia="宋体" w:cs="Times New Roman"/>
          <w:color w:val="0000FF"/>
          <w:sz w:val="24"/>
        </w:rPr>
        <w:t>组织前往相关企业和有关部门征求意见，编制</w:t>
      </w:r>
      <w:r>
        <w:rPr>
          <w:rFonts w:hint="default" w:ascii="Times New Roman" w:hAnsi="Times New Roman" w:eastAsia="宋体" w:cs="Times New Roman"/>
          <w:color w:val="0000FF"/>
          <w:sz w:val="24"/>
          <w:lang w:val="en-US" w:eastAsia="zh-CN"/>
        </w:rPr>
        <w:t>组结合收集的意见建议，</w:t>
      </w:r>
      <w:r>
        <w:rPr>
          <w:rFonts w:hint="default" w:ascii="Times New Roman" w:hAnsi="Times New Roman" w:eastAsia="宋体" w:cs="Times New Roman"/>
          <w:color w:val="0000FF"/>
          <w:sz w:val="24"/>
        </w:rPr>
        <w:t>对标准文本</w:t>
      </w:r>
      <w:r>
        <w:rPr>
          <w:rFonts w:hint="default" w:ascii="Times New Roman" w:hAnsi="Times New Roman" w:eastAsia="宋体" w:cs="Times New Roman"/>
          <w:color w:val="0000FF"/>
          <w:sz w:val="24"/>
          <w:lang w:val="en-US" w:eastAsia="zh-CN"/>
        </w:rPr>
        <w:t>作</w:t>
      </w:r>
      <w:r>
        <w:rPr>
          <w:rFonts w:hint="default" w:ascii="Times New Roman" w:hAnsi="Times New Roman" w:eastAsia="宋体" w:cs="Times New Roman"/>
          <w:color w:val="0000FF"/>
          <w:sz w:val="24"/>
        </w:rPr>
        <w:t>进一步修改、完善，完成本团体标准送审稿。</w:t>
      </w:r>
    </w:p>
    <w:p w14:paraId="3719E041">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color w:val="0000FF"/>
          <w:sz w:val="24"/>
        </w:rPr>
      </w:pPr>
      <w:r>
        <w:rPr>
          <w:rFonts w:hint="default" w:ascii="Times New Roman" w:hAnsi="Times New Roman" w:eastAsia="宋体" w:cs="Times New Roman"/>
          <w:b/>
          <w:bCs/>
          <w:sz w:val="24"/>
          <w:szCs w:val="24"/>
          <w:lang w:val="en-US" w:eastAsia="zh-CN"/>
        </w:rPr>
        <w:t>（5）</w:t>
      </w:r>
      <w:r>
        <w:rPr>
          <w:rFonts w:hint="default" w:ascii="Times New Roman" w:hAnsi="Times New Roman" w:eastAsia="宋体" w:cs="Times New Roman"/>
          <w:b/>
          <w:bCs/>
          <w:color w:val="0000FF"/>
          <w:sz w:val="24"/>
        </w:rPr>
        <w:t>审定阶段</w:t>
      </w:r>
    </w:p>
    <w:p w14:paraId="09B6115C">
      <w:pPr>
        <w:adjustRightInd w:val="0"/>
        <w:spacing w:line="360" w:lineRule="exact"/>
        <w:ind w:firstLine="537" w:firstLineChars="224"/>
        <w:textAlignment w:val="baseline"/>
        <w:rPr>
          <w:rFonts w:hint="default" w:ascii="Times New Roman" w:hAnsi="Times New Roman" w:eastAsia="宋体" w:cs="Times New Roman"/>
          <w:sz w:val="24"/>
        </w:rPr>
      </w:pPr>
      <w:r>
        <w:rPr>
          <w:rFonts w:hint="default" w:ascii="Times New Roman" w:hAnsi="Times New Roman" w:eastAsia="宋体" w:cs="Times New Roman"/>
          <w:color w:val="0000FF"/>
          <w:sz w:val="24"/>
        </w:rPr>
        <w:t>20</w:t>
      </w:r>
      <w:r>
        <w:rPr>
          <w:rFonts w:hint="default" w:ascii="Times New Roman" w:hAnsi="Times New Roman" w:eastAsia="宋体" w:cs="Times New Roman"/>
          <w:color w:val="0000FF"/>
          <w:sz w:val="24"/>
          <w:lang w:val="en-US" w:eastAsia="zh-CN"/>
        </w:rPr>
        <w:t>26</w:t>
      </w:r>
      <w:r>
        <w:rPr>
          <w:rFonts w:hint="default" w:ascii="Times New Roman" w:hAnsi="Times New Roman" w:eastAsia="宋体" w:cs="Times New Roman"/>
          <w:color w:val="0000FF"/>
          <w:sz w:val="24"/>
        </w:rPr>
        <w:t>年</w:t>
      </w:r>
      <w:r>
        <w:rPr>
          <w:rFonts w:hint="eastAsia" w:ascii="Times New Roman" w:hAnsi="Times New Roman" w:cs="Times New Roman"/>
          <w:color w:val="0000FF"/>
          <w:sz w:val="24"/>
          <w:lang w:val="en-US" w:eastAsia="zh-CN"/>
        </w:rPr>
        <w:t>6</w:t>
      </w:r>
      <w:r>
        <w:rPr>
          <w:rFonts w:hint="default" w:ascii="Times New Roman" w:hAnsi="Times New Roman" w:eastAsia="宋体" w:cs="Times New Roman"/>
          <w:color w:val="0000FF"/>
          <w:sz w:val="24"/>
        </w:rPr>
        <w:t>月</w:t>
      </w:r>
      <w:r>
        <w:rPr>
          <w:rFonts w:hint="default" w:ascii="Times New Roman" w:hAnsi="Times New Roman" w:eastAsia="宋体" w:cs="Times New Roman"/>
          <w:color w:val="0000FF"/>
          <w:sz w:val="24"/>
          <w:lang w:val="en-US" w:eastAsia="zh-CN"/>
        </w:rPr>
        <w:t>XX</w:t>
      </w:r>
      <w:r>
        <w:rPr>
          <w:rFonts w:hint="default" w:ascii="Times New Roman" w:hAnsi="Times New Roman" w:eastAsia="宋体" w:cs="Times New Roman"/>
          <w:color w:val="0000FF"/>
          <w:sz w:val="24"/>
        </w:rPr>
        <w:t>日，</w:t>
      </w:r>
      <w:r>
        <w:rPr>
          <w:rFonts w:hint="default" w:ascii="Times New Roman" w:hAnsi="Times New Roman" w:eastAsia="宋体" w:cs="Times New Roman"/>
          <w:color w:val="0000FF"/>
          <w:sz w:val="24"/>
          <w:lang w:val="en-US" w:eastAsia="zh-CN"/>
        </w:rPr>
        <w:t>凯里酸汤产业发展协会</w:t>
      </w:r>
      <w:r>
        <w:rPr>
          <w:rFonts w:hint="default" w:ascii="Times New Roman" w:hAnsi="Times New Roman" w:eastAsia="宋体" w:cs="Times New Roman"/>
          <w:color w:val="0000FF"/>
          <w:sz w:val="24"/>
        </w:rPr>
        <w:t>邀请</w:t>
      </w:r>
      <w:r>
        <w:rPr>
          <w:rFonts w:hint="default" w:ascii="Times New Roman" w:hAnsi="Times New Roman" w:eastAsia="宋体" w:cs="Times New Roman"/>
          <w:color w:val="0000FF"/>
          <w:sz w:val="24"/>
          <w:lang w:val="en-US" w:eastAsia="zh-CN"/>
        </w:rPr>
        <w:t>XXX</w:t>
      </w:r>
      <w:r>
        <w:rPr>
          <w:rFonts w:hint="default" w:ascii="Times New Roman" w:hAnsi="Times New Roman" w:eastAsia="宋体" w:cs="Times New Roman"/>
          <w:color w:val="0000FF"/>
          <w:sz w:val="24"/>
        </w:rPr>
        <w:t>等单位专家对本</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标准进行审定，与会专家一致同意通过《</w:t>
      </w:r>
      <w:r>
        <w:rPr>
          <w:rFonts w:hint="eastAsia" w:ascii="Times New Roman" w:hAnsi="Times New Roman" w:eastAsia="宋体" w:cs="Times New Roman"/>
          <w:color w:val="0000FF"/>
          <w:sz w:val="24"/>
          <w:lang w:val="en-US" w:eastAsia="zh-CN"/>
        </w:rPr>
        <w:t>复合酸汤调味料</w:t>
      </w:r>
      <w:r>
        <w:rPr>
          <w:rFonts w:hint="default" w:ascii="Times New Roman" w:hAnsi="Times New Roman" w:eastAsia="宋体" w:cs="Times New Roman"/>
          <w:color w:val="0000FF"/>
          <w:sz w:val="24"/>
        </w:rPr>
        <w:t>》</w:t>
      </w:r>
      <w:r>
        <w:rPr>
          <w:rFonts w:hint="default" w:ascii="Times New Roman" w:hAnsi="Times New Roman" w:eastAsia="宋体" w:cs="Times New Roman"/>
          <w:color w:val="0000FF"/>
          <w:sz w:val="24"/>
          <w:lang w:val="en-US" w:eastAsia="zh-CN"/>
        </w:rPr>
        <w:t>团体</w:t>
      </w:r>
      <w:r>
        <w:rPr>
          <w:rFonts w:hint="default" w:ascii="Times New Roman" w:hAnsi="Times New Roman" w:eastAsia="宋体" w:cs="Times New Roman"/>
          <w:color w:val="0000FF"/>
          <w:sz w:val="24"/>
        </w:rPr>
        <w:t>标准的审定。</w:t>
      </w:r>
      <w:r>
        <w:rPr>
          <w:rFonts w:hint="default" w:ascii="Times New Roman" w:hAnsi="Times New Roman" w:eastAsia="宋体" w:cs="Times New Roman"/>
          <w:color w:val="0000FF"/>
          <w:sz w:val="24"/>
          <w:lang w:val="en-US" w:eastAsia="zh-CN"/>
        </w:rPr>
        <w:t>会</w:t>
      </w:r>
      <w:r>
        <w:rPr>
          <w:rFonts w:hint="default" w:ascii="Times New Roman" w:hAnsi="Times New Roman" w:eastAsia="宋体" w:cs="Times New Roman"/>
          <w:color w:val="0000FF"/>
          <w:sz w:val="24"/>
        </w:rPr>
        <w:t>后编制单位根据与会专家的提出的意见和建议，进一步修改完善，形成</w:t>
      </w:r>
      <w:r>
        <w:rPr>
          <w:rFonts w:hint="default" w:ascii="Times New Roman" w:hAnsi="Times New Roman" w:eastAsia="宋体" w:cs="Times New Roman"/>
          <w:color w:val="0000FF"/>
          <w:sz w:val="24"/>
          <w:lang w:val="en-US" w:eastAsia="zh-CN"/>
        </w:rPr>
        <w:t>本团体</w:t>
      </w:r>
      <w:r>
        <w:rPr>
          <w:rFonts w:hint="default" w:ascii="Times New Roman" w:hAnsi="Times New Roman" w:eastAsia="宋体" w:cs="Times New Roman"/>
          <w:color w:val="0000FF"/>
          <w:sz w:val="24"/>
        </w:rPr>
        <w:t>标准报批稿</w:t>
      </w:r>
      <w:r>
        <w:rPr>
          <w:rFonts w:hint="default" w:ascii="Times New Roman" w:hAnsi="Times New Roman" w:eastAsia="宋体" w:cs="Times New Roman"/>
          <w:sz w:val="24"/>
        </w:rPr>
        <w:t>。</w:t>
      </w:r>
    </w:p>
    <w:p w14:paraId="3119D274">
      <w:pPr>
        <w:adjustRightInd w:val="0"/>
        <w:spacing w:line="360" w:lineRule="exact"/>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（四）主要起草人及其所做的工作</w:t>
      </w:r>
    </w:p>
    <w:p w14:paraId="384198DF">
      <w:pPr>
        <w:adjustRightInd w:val="0"/>
        <w:spacing w:line="360" w:lineRule="exact"/>
        <w:ind w:firstLine="537" w:firstLineChars="224"/>
        <w:jc w:val="center"/>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sz w:val="24"/>
          <w:szCs w:val="24"/>
        </w:rPr>
        <w:t>主要起草人及其工作内容一览表</w:t>
      </w:r>
    </w:p>
    <w:tbl>
      <w:tblPr>
        <w:tblStyle w:val="13"/>
        <w:tblW w:w="8755"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
        <w:gridCol w:w="3260"/>
        <w:gridCol w:w="1630"/>
        <w:gridCol w:w="2906"/>
      </w:tblGrid>
      <w:tr w14:paraId="2EE0E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tcPr>
          <w:p w14:paraId="5C722A62">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姓名</w:t>
            </w:r>
          </w:p>
        </w:tc>
        <w:tc>
          <w:tcPr>
            <w:tcW w:w="3260" w:type="dxa"/>
          </w:tcPr>
          <w:p w14:paraId="6124C0A6">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单位</w:t>
            </w:r>
          </w:p>
        </w:tc>
        <w:tc>
          <w:tcPr>
            <w:tcW w:w="1630" w:type="dxa"/>
          </w:tcPr>
          <w:p w14:paraId="3D7C4778">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职务职称</w:t>
            </w:r>
          </w:p>
        </w:tc>
        <w:tc>
          <w:tcPr>
            <w:tcW w:w="2906" w:type="dxa"/>
          </w:tcPr>
          <w:p w14:paraId="00B42BBC">
            <w:pPr>
              <w:spacing w:line="360" w:lineRule="exact"/>
              <w:jc w:val="center"/>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主要工作内容</w:t>
            </w:r>
          </w:p>
        </w:tc>
      </w:tr>
      <w:tr w14:paraId="7C729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vAlign w:val="center"/>
          </w:tcPr>
          <w:p w14:paraId="1EF40C9E">
            <w:pPr>
              <w:spacing w:line="360" w:lineRule="exact"/>
              <w:jc w:val="center"/>
              <w:rPr>
                <w:rFonts w:hint="default" w:ascii="Times New Roman" w:hAnsi="Times New Roman" w:eastAsia="宋体" w:cs="Times New Roman"/>
                <w:kern w:val="0"/>
                <w:sz w:val="21"/>
                <w:szCs w:val="21"/>
                <w:lang w:val="en-US" w:eastAsia="zh-CN"/>
              </w:rPr>
            </w:pPr>
            <w:r>
              <w:rPr>
                <w:rFonts w:hint="eastAsia" w:ascii="Times New Roman" w:hAnsi="Times New Roman" w:eastAsia="宋体" w:cs="Times New Roman"/>
                <w:kern w:val="0"/>
                <w:sz w:val="21"/>
                <w:szCs w:val="21"/>
                <w:lang w:val="en-US" w:eastAsia="zh-CN"/>
              </w:rPr>
              <w:t>袁玮</w:t>
            </w:r>
          </w:p>
        </w:tc>
        <w:tc>
          <w:tcPr>
            <w:tcW w:w="3260" w:type="dxa"/>
            <w:vAlign w:val="center"/>
          </w:tcPr>
          <w:p w14:paraId="64CA6921">
            <w:pPr>
              <w:spacing w:line="360" w:lineRule="exact"/>
              <w:jc w:val="center"/>
              <w:rPr>
                <w:rFonts w:hint="default" w:ascii="Times New Roman" w:hAnsi="Times New Roman" w:eastAsia="宋体" w:cs="Times New Roman"/>
                <w:kern w:val="0"/>
                <w:sz w:val="21"/>
                <w:szCs w:val="21"/>
                <w:lang w:val="en-US" w:eastAsia="zh-CN"/>
              </w:rPr>
            </w:pPr>
            <w:r>
              <w:rPr>
                <w:rFonts w:hint="eastAsia" w:ascii="Times New Roman" w:hAnsi="Times New Roman" w:eastAsia="宋体" w:cs="Times New Roman"/>
                <w:kern w:val="0"/>
                <w:sz w:val="21"/>
                <w:szCs w:val="21"/>
                <w:lang w:val="en-US" w:eastAsia="zh-CN"/>
              </w:rPr>
              <w:t>凯里学院</w:t>
            </w:r>
          </w:p>
        </w:tc>
        <w:tc>
          <w:tcPr>
            <w:tcW w:w="1630" w:type="dxa"/>
            <w:vAlign w:val="center"/>
          </w:tcPr>
          <w:p w14:paraId="12D78601">
            <w:pPr>
              <w:spacing w:line="360" w:lineRule="exact"/>
              <w:jc w:val="center"/>
              <w:rPr>
                <w:rFonts w:hint="default" w:ascii="Times New Roman" w:hAnsi="Times New Roman" w:eastAsia="宋体" w:cs="Times New Roman"/>
                <w:kern w:val="0"/>
                <w:sz w:val="21"/>
                <w:szCs w:val="21"/>
                <w:lang w:val="en-US" w:eastAsia="zh-CN"/>
              </w:rPr>
            </w:pPr>
            <w:r>
              <w:rPr>
                <w:rFonts w:hint="eastAsia" w:ascii="Times New Roman" w:hAnsi="Times New Roman" w:eastAsia="宋体" w:cs="Times New Roman"/>
                <w:kern w:val="0"/>
                <w:sz w:val="21"/>
                <w:szCs w:val="21"/>
                <w:lang w:val="en-US" w:eastAsia="zh-CN"/>
              </w:rPr>
              <w:t>讲师</w:t>
            </w:r>
          </w:p>
        </w:tc>
        <w:tc>
          <w:tcPr>
            <w:tcW w:w="2906" w:type="dxa"/>
          </w:tcPr>
          <w:p w14:paraId="45953E09">
            <w:pPr>
              <w:spacing w:line="240" w:lineRule="auto"/>
              <w:rPr>
                <w:rFonts w:hint="default" w:ascii="Times New Roman" w:hAnsi="Times New Roman" w:eastAsia="宋体" w:cs="Times New Roman"/>
                <w:kern w:val="0"/>
                <w:sz w:val="21"/>
                <w:szCs w:val="21"/>
              </w:rPr>
            </w:pPr>
            <w:r>
              <w:rPr>
                <w:rFonts w:hint="default" w:ascii="Times New Roman" w:hAnsi="Times New Roman" w:eastAsia="宋体" w:cs="Times New Roman"/>
                <w:kern w:val="0"/>
                <w:sz w:val="21"/>
                <w:szCs w:val="21"/>
              </w:rPr>
              <w:t>抽样</w:t>
            </w:r>
            <w:r>
              <w:rPr>
                <w:rFonts w:hint="default" w:ascii="Times New Roman" w:hAnsi="Times New Roman" w:eastAsia="宋体" w:cs="Times New Roman"/>
                <w:kern w:val="0"/>
                <w:sz w:val="21"/>
                <w:szCs w:val="21"/>
                <w:lang w:eastAsia="zh-CN"/>
              </w:rPr>
              <w:t>、</w:t>
            </w:r>
            <w:r>
              <w:rPr>
                <w:rFonts w:hint="default" w:ascii="Times New Roman" w:hAnsi="Times New Roman" w:eastAsia="宋体" w:cs="Times New Roman"/>
                <w:kern w:val="0"/>
                <w:sz w:val="21"/>
                <w:szCs w:val="21"/>
                <w:lang w:val="en-US" w:eastAsia="zh-CN"/>
              </w:rPr>
              <w:t>检测</w:t>
            </w:r>
          </w:p>
        </w:tc>
      </w:tr>
      <w:tr w14:paraId="55D2B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4E42B61">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张玉龙</w:t>
            </w:r>
          </w:p>
        </w:tc>
        <w:tc>
          <w:tcPr>
            <w:tcW w:w="3260" w:type="dxa"/>
            <w:shd w:val="clear" w:color="auto" w:fill="auto"/>
            <w:vAlign w:val="center"/>
          </w:tcPr>
          <w:p w14:paraId="26C5F7F9">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凯里学院</w:t>
            </w:r>
          </w:p>
        </w:tc>
        <w:tc>
          <w:tcPr>
            <w:tcW w:w="1630" w:type="dxa"/>
            <w:shd w:val="clear" w:color="auto" w:fill="auto"/>
            <w:vAlign w:val="center"/>
          </w:tcPr>
          <w:p w14:paraId="726D7ADB">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副教授</w:t>
            </w:r>
          </w:p>
        </w:tc>
        <w:tc>
          <w:tcPr>
            <w:tcW w:w="2906" w:type="dxa"/>
            <w:shd w:val="clear" w:color="auto" w:fill="auto"/>
            <w:vAlign w:val="top"/>
          </w:tcPr>
          <w:p w14:paraId="474A9211">
            <w:pPr>
              <w:spacing w:line="240" w:lineRule="auto"/>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标准前期调研、资料查阅，制定编制计划、人员分工、检测数据分析、标准编制。</w:t>
            </w:r>
          </w:p>
        </w:tc>
      </w:tr>
      <w:tr w14:paraId="11F301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22CD2D73">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佀胜利</w:t>
            </w:r>
          </w:p>
        </w:tc>
        <w:tc>
          <w:tcPr>
            <w:tcW w:w="3260" w:type="dxa"/>
            <w:shd w:val="clear" w:color="auto" w:fill="auto"/>
            <w:vAlign w:val="center"/>
          </w:tcPr>
          <w:p w14:paraId="61CC3FAA">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凯里学院</w:t>
            </w:r>
          </w:p>
        </w:tc>
        <w:tc>
          <w:tcPr>
            <w:tcW w:w="1630" w:type="dxa"/>
            <w:shd w:val="clear" w:color="auto" w:fill="auto"/>
            <w:vAlign w:val="center"/>
          </w:tcPr>
          <w:p w14:paraId="13654940">
            <w:pPr>
              <w:spacing w:line="360" w:lineRule="exact"/>
              <w:jc w:val="center"/>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lang w:val="en-US" w:eastAsia="zh-CN"/>
              </w:rPr>
              <w:t>副教授</w:t>
            </w:r>
          </w:p>
        </w:tc>
        <w:tc>
          <w:tcPr>
            <w:tcW w:w="2906" w:type="dxa"/>
            <w:shd w:val="clear" w:color="auto" w:fill="auto"/>
            <w:vAlign w:val="top"/>
          </w:tcPr>
          <w:p w14:paraId="7A562292">
            <w:pPr>
              <w:spacing w:line="360" w:lineRule="exact"/>
              <w:rPr>
                <w:rFonts w:hint="default" w:ascii="Times New Roman" w:hAnsi="Times New Roman" w:eastAsia="宋体" w:cs="Times New Roman"/>
                <w:kern w:val="0"/>
                <w:sz w:val="21"/>
                <w:szCs w:val="21"/>
                <w:lang w:val="en-US" w:eastAsia="zh-CN" w:bidi="ar-SA"/>
              </w:rPr>
            </w:pPr>
            <w:r>
              <w:rPr>
                <w:rFonts w:hint="default" w:ascii="Times New Roman" w:hAnsi="Times New Roman" w:eastAsia="宋体" w:cs="Times New Roman"/>
                <w:kern w:val="0"/>
                <w:sz w:val="21"/>
                <w:szCs w:val="21"/>
              </w:rPr>
              <w:t>标准前期调研、抽样</w:t>
            </w:r>
          </w:p>
        </w:tc>
      </w:tr>
      <w:tr w14:paraId="745F5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E93041C">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rPr>
              <w:t>严红光</w:t>
            </w:r>
          </w:p>
        </w:tc>
        <w:tc>
          <w:tcPr>
            <w:tcW w:w="3260" w:type="dxa"/>
            <w:shd w:val="clear" w:color="auto" w:fill="auto"/>
            <w:vAlign w:val="center"/>
          </w:tcPr>
          <w:p w14:paraId="1AAA1813">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rPr>
              <w:t>凯里学院</w:t>
            </w:r>
          </w:p>
        </w:tc>
        <w:tc>
          <w:tcPr>
            <w:tcW w:w="1630" w:type="dxa"/>
            <w:shd w:val="clear" w:color="auto" w:fill="auto"/>
            <w:vAlign w:val="center"/>
          </w:tcPr>
          <w:p w14:paraId="0BB62DC2">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lang w:val="en-US" w:eastAsia="zh-CN"/>
              </w:rPr>
              <w:t>教授</w:t>
            </w:r>
          </w:p>
        </w:tc>
        <w:tc>
          <w:tcPr>
            <w:tcW w:w="2906" w:type="dxa"/>
            <w:shd w:val="clear" w:color="auto" w:fill="auto"/>
            <w:vAlign w:val="top"/>
          </w:tcPr>
          <w:p w14:paraId="2D3F6BB7">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1"/>
                <w:szCs w:val="21"/>
              </w:rPr>
              <w:t>标准前期调研、抽样</w:t>
            </w:r>
            <w:r>
              <w:rPr>
                <w:rFonts w:hint="default" w:ascii="Times New Roman" w:hAnsi="Times New Roman" w:eastAsia="宋体" w:cs="Times New Roman"/>
                <w:kern w:val="0"/>
                <w:sz w:val="21"/>
                <w:szCs w:val="21"/>
                <w:lang w:eastAsia="zh-CN"/>
              </w:rPr>
              <w:t>、</w:t>
            </w:r>
            <w:r>
              <w:rPr>
                <w:rFonts w:hint="default" w:ascii="Times New Roman" w:hAnsi="Times New Roman" w:eastAsia="宋体" w:cs="Times New Roman"/>
                <w:kern w:val="0"/>
                <w:sz w:val="21"/>
                <w:szCs w:val="21"/>
                <w:lang w:val="en-US" w:eastAsia="zh-CN"/>
              </w:rPr>
              <w:t>检测</w:t>
            </w:r>
          </w:p>
        </w:tc>
      </w:tr>
      <w:tr w14:paraId="65578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59" w:type="dxa"/>
            <w:shd w:val="clear" w:color="auto" w:fill="auto"/>
            <w:vAlign w:val="center"/>
          </w:tcPr>
          <w:p w14:paraId="352FDAC3">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3260" w:type="dxa"/>
            <w:shd w:val="clear" w:color="auto" w:fill="auto"/>
            <w:vAlign w:val="center"/>
          </w:tcPr>
          <w:p w14:paraId="46FE6BE7">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1630" w:type="dxa"/>
            <w:shd w:val="clear" w:color="auto" w:fill="auto"/>
            <w:vAlign w:val="center"/>
          </w:tcPr>
          <w:p w14:paraId="577368EE">
            <w:pPr>
              <w:spacing w:line="360" w:lineRule="exact"/>
              <w:jc w:val="center"/>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c>
          <w:tcPr>
            <w:tcW w:w="2906" w:type="dxa"/>
            <w:shd w:val="clear" w:color="auto" w:fill="auto"/>
            <w:vAlign w:val="top"/>
          </w:tcPr>
          <w:p w14:paraId="66363F72">
            <w:pPr>
              <w:spacing w:line="360" w:lineRule="exact"/>
              <w:rPr>
                <w:rFonts w:hint="default" w:ascii="Times New Roman" w:hAnsi="Times New Roman" w:eastAsia="宋体" w:cs="Times New Roman"/>
                <w:kern w:val="0"/>
                <w:sz w:val="24"/>
                <w:szCs w:val="24"/>
                <w:lang w:val="en-US" w:eastAsia="zh-CN" w:bidi="ar-SA"/>
              </w:rPr>
            </w:pPr>
            <w:r>
              <w:rPr>
                <w:rFonts w:hint="default" w:ascii="Times New Roman" w:hAnsi="Times New Roman" w:eastAsia="宋体" w:cs="Times New Roman"/>
                <w:kern w:val="0"/>
                <w:sz w:val="24"/>
                <w:szCs w:val="24"/>
              </w:rPr>
              <w:t>...</w:t>
            </w:r>
          </w:p>
        </w:tc>
      </w:tr>
    </w:tbl>
    <w:p w14:paraId="5E69E8D8">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二、标准</w:t>
      </w:r>
      <w:r>
        <w:rPr>
          <w:rFonts w:hint="eastAsia" w:ascii="Times New Roman" w:hAnsi="Times New Roman" w:eastAsia="宋体" w:cs="Times New Roman"/>
          <w:b/>
          <w:bCs/>
          <w:kern w:val="0"/>
          <w:sz w:val="24"/>
          <w:szCs w:val="24"/>
          <w:lang w:val="en-US" w:eastAsia="zh-CN"/>
        </w:rPr>
        <w:t>编制</w:t>
      </w:r>
      <w:r>
        <w:rPr>
          <w:rFonts w:hint="default" w:ascii="Times New Roman" w:hAnsi="Times New Roman" w:eastAsia="宋体" w:cs="Times New Roman"/>
          <w:b/>
          <w:bCs/>
          <w:kern w:val="0"/>
          <w:sz w:val="24"/>
          <w:szCs w:val="24"/>
        </w:rPr>
        <w:t>原则和主要内容</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的原则与依据</w:t>
      </w:r>
    </w:p>
    <w:p w14:paraId="1656B65F">
      <w:pPr>
        <w:adjustRightInd w:val="0"/>
        <w:spacing w:line="360" w:lineRule="auto"/>
        <w:ind w:firstLine="540" w:firstLineChars="224"/>
        <w:textAlignment w:val="baseline"/>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（一）</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的原则</w:t>
      </w:r>
    </w:p>
    <w:p w14:paraId="227F9F2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（1）准确性  标准所规定的条款力求明确而无歧义。</w:t>
      </w:r>
    </w:p>
    <w:p w14:paraId="7E676159">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（2）统一性  标准结构、文体和术语力求统一。按照GB/T 1.1-2020《标准化工作导则 第1部分：标准化文件的结构和起草规则》的规定起草。</w:t>
      </w:r>
    </w:p>
    <w:p w14:paraId="7CD39DCB">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（3）协调性  充分结合现有基础标准的有关条款，达到标准间的相互协调。</w:t>
      </w:r>
    </w:p>
    <w:p w14:paraId="2390B271">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（4）适用性  标准内容易于实施，便于被其它文件所引用且具可操作性。</w:t>
      </w:r>
    </w:p>
    <w:p w14:paraId="4F65A7D6">
      <w:pPr>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（5）特殊性  </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既遵循相关食品安全国家标准的要求，又体现我州凯里酸汤 红酸汤产品特点，注重实用性。</w:t>
      </w:r>
    </w:p>
    <w:p w14:paraId="40B9B09C">
      <w:pPr>
        <w:spacing w:line="360" w:lineRule="auto"/>
        <w:ind w:firstLine="614" w:firstLineChars="255"/>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（二）</w:t>
      </w:r>
      <w:r>
        <w:rPr>
          <w:rFonts w:hint="eastAsia" w:ascii="Times New Roman" w:hAnsi="Times New Roman" w:eastAsia="宋体" w:cs="Times New Roman"/>
          <w:b/>
          <w:bCs/>
          <w:sz w:val="24"/>
          <w:szCs w:val="24"/>
          <w:lang w:val="en-US" w:eastAsia="zh-CN"/>
        </w:rPr>
        <w:t>编制</w:t>
      </w:r>
      <w:r>
        <w:rPr>
          <w:rFonts w:hint="default" w:ascii="Times New Roman" w:hAnsi="Times New Roman" w:eastAsia="宋体" w:cs="Times New Roman"/>
          <w:b/>
          <w:bCs/>
          <w:sz w:val="24"/>
          <w:szCs w:val="24"/>
        </w:rPr>
        <w:t>的依据与内容</w:t>
      </w:r>
    </w:p>
    <w:p w14:paraId="3009D990">
      <w:pPr>
        <w:snapToGrid w:val="0"/>
        <w:spacing w:line="360" w:lineRule="auto"/>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基于黔东南州</w:t>
      </w:r>
      <w:r>
        <w:rPr>
          <w:rFonts w:hint="eastAsia"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rPr>
        <w:t>生产企业、餐饮企业和小作坊的调研</w:t>
      </w:r>
      <w:r>
        <w:rPr>
          <w:rFonts w:hint="default" w:ascii="Times New Roman" w:hAnsi="Times New Roman" w:eastAsia="宋体" w:cs="Times New Roman"/>
          <w:sz w:val="24"/>
          <w:szCs w:val="24"/>
          <w:lang w:val="en-US" w:eastAsia="zh-CN"/>
        </w:rPr>
        <w:t>数</w:t>
      </w:r>
      <w:r>
        <w:rPr>
          <w:rFonts w:hint="default" w:ascii="Times New Roman" w:hAnsi="Times New Roman" w:eastAsia="宋体" w:cs="Times New Roman"/>
          <w:sz w:val="24"/>
          <w:szCs w:val="24"/>
        </w:rPr>
        <w:t>据</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结合实际样品检测数据，并广泛征求专家学者、同行意见，参考GB 2760《食品安全国家标准 食品添加剂使用标准》、GB 2762《食品安全国家标准 食品中污染物限量》、GB 29921《食品安全国家标准 食品中致病菌限量》、GB 31644《食品安全国家标准 复合调味料》等国家标准和T/GZSX 025-2018《贵州酸汤调味料》、T/CNFIA 118-2020《酸汤调味料》团体标准以及多个企业标准，结合黔东南州</w:t>
      </w:r>
      <w:r>
        <w:rPr>
          <w:rFonts w:hint="eastAsia" w:ascii="Times New Roman" w:hAnsi="Times New Roman" w:eastAsia="宋体" w:cs="Times New Roman"/>
          <w:sz w:val="24"/>
          <w:szCs w:val="24"/>
          <w:lang w:val="en-US" w:eastAsia="zh-CN"/>
        </w:rPr>
        <w:t>复合酸汤调味料的</w:t>
      </w:r>
      <w:r>
        <w:rPr>
          <w:rFonts w:hint="default" w:ascii="Times New Roman" w:hAnsi="Times New Roman" w:eastAsia="宋体" w:cs="Times New Roman"/>
          <w:sz w:val="24"/>
          <w:szCs w:val="24"/>
        </w:rPr>
        <w:t>生产、销售实际情况进行</w:t>
      </w:r>
      <w:r>
        <w:rPr>
          <w:rFonts w:hint="eastAsia" w:ascii="Times New Roman" w:hAnsi="Times New Roman" w:eastAsia="宋体" w:cs="Times New Roman"/>
          <w:sz w:val="24"/>
          <w:szCs w:val="24"/>
          <w:lang w:val="en-US" w:eastAsia="zh-CN"/>
        </w:rPr>
        <w:t>编制</w:t>
      </w:r>
      <w:r>
        <w:rPr>
          <w:rFonts w:hint="default" w:ascii="Times New Roman" w:hAnsi="Times New Roman" w:eastAsia="宋体" w:cs="Times New Roman"/>
          <w:sz w:val="24"/>
          <w:szCs w:val="24"/>
          <w:lang w:val="en-US" w:eastAsia="zh-CN"/>
        </w:rPr>
        <w:t>团体标准《</w:t>
      </w:r>
      <w:r>
        <w:rPr>
          <w:rFonts w:hint="eastAsia"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w:t>
      </w:r>
    </w:p>
    <w:p w14:paraId="47E02931">
      <w:pPr>
        <w:snapToGrid w:val="0"/>
        <w:spacing w:line="360" w:lineRule="auto"/>
        <w:ind w:firstLine="480" w:firstLineChars="200"/>
        <w:rPr>
          <w:rFonts w:hint="default" w:ascii="Times New Roman" w:hAnsi="Times New Roman" w:eastAsia="宋体" w:cs="Times New Roman"/>
          <w:color w:val="0000FF"/>
          <w:sz w:val="24"/>
          <w:szCs w:val="24"/>
        </w:rPr>
      </w:pPr>
      <w:r>
        <w:rPr>
          <w:rFonts w:hint="default" w:ascii="Times New Roman" w:hAnsi="Times New Roman" w:eastAsia="宋体" w:cs="Times New Roman"/>
          <w:sz w:val="24"/>
          <w:szCs w:val="24"/>
        </w:rPr>
        <w:t>标准</w:t>
      </w:r>
      <w:r>
        <w:rPr>
          <w:rFonts w:hint="default" w:ascii="Times New Roman" w:hAnsi="Times New Roman" w:eastAsia="宋体" w:cs="Times New Roman"/>
          <w:sz w:val="24"/>
          <w:szCs w:val="24"/>
          <w:lang w:val="en-US" w:eastAsia="zh-CN"/>
        </w:rPr>
        <w:t>的修订</w:t>
      </w:r>
      <w:r>
        <w:rPr>
          <w:rFonts w:hint="default" w:ascii="Times New Roman" w:hAnsi="Times New Roman" w:eastAsia="宋体" w:cs="Times New Roman"/>
          <w:sz w:val="24"/>
          <w:szCs w:val="24"/>
        </w:rPr>
        <w:t>内容包括</w:t>
      </w:r>
      <w:r>
        <w:rPr>
          <w:rFonts w:hint="eastAsia" w:ascii="Times New Roman" w:hAnsi="Times New Roman" w:eastAsia="宋体" w:cs="Times New Roman"/>
          <w:color w:val="0000FF"/>
          <w:sz w:val="24"/>
          <w:szCs w:val="24"/>
          <w:lang w:val="en-US" w:eastAsia="zh-CN"/>
        </w:rPr>
        <w:t>复合酸汤调味料</w:t>
      </w:r>
      <w:r>
        <w:rPr>
          <w:rFonts w:hint="default" w:ascii="Times New Roman" w:hAnsi="Times New Roman" w:eastAsia="宋体" w:cs="Times New Roman"/>
          <w:color w:val="0000FF"/>
          <w:sz w:val="24"/>
          <w:lang w:val="en-US" w:eastAsia="zh-CN"/>
        </w:rPr>
        <w:t>的范围、规范性引用文件、凯里酸汤和</w:t>
      </w:r>
      <w:r>
        <w:rPr>
          <w:rFonts w:hint="eastAsia" w:ascii="Times New Roman" w:hAnsi="Times New Roman" w:eastAsia="宋体" w:cs="Times New Roman"/>
          <w:color w:val="0000FF"/>
          <w:sz w:val="24"/>
          <w:szCs w:val="24"/>
          <w:lang w:val="en-US" w:eastAsia="zh-CN"/>
        </w:rPr>
        <w:t>复合酸汤调味料和含油型复合酸汤调味料</w:t>
      </w:r>
      <w:r>
        <w:rPr>
          <w:rFonts w:hint="default" w:ascii="Times New Roman" w:hAnsi="Times New Roman" w:eastAsia="宋体" w:cs="Times New Roman"/>
          <w:color w:val="0000FF"/>
          <w:sz w:val="24"/>
          <w:szCs w:val="24"/>
          <w:lang w:val="en-US" w:eastAsia="zh-CN"/>
        </w:rPr>
        <w:t>的术语和定义、分类、技术要求、</w:t>
      </w:r>
      <w:r>
        <w:rPr>
          <w:rFonts w:hint="eastAsia" w:ascii="Times New Roman" w:hAnsi="Times New Roman" w:eastAsia="宋体" w:cs="Times New Roman"/>
          <w:color w:val="0000FF"/>
          <w:sz w:val="24"/>
          <w:szCs w:val="24"/>
          <w:lang w:val="en-US" w:eastAsia="zh-CN"/>
        </w:rPr>
        <w:t>检验规则及标签、标志、包装、运输、贮存要求。</w:t>
      </w:r>
    </w:p>
    <w:p w14:paraId="00814383">
      <w:pPr>
        <w:numPr>
          <w:ilvl w:val="0"/>
          <w:numId w:val="2"/>
        </w:numPr>
        <w:adjustRightInd w:val="0"/>
        <w:spacing w:line="360" w:lineRule="auto"/>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主要试验（或验证）的分析、综述</w:t>
      </w:r>
    </w:p>
    <w:p w14:paraId="4CDD9C7F">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1、范围</w:t>
      </w:r>
    </w:p>
    <w:p w14:paraId="430F87DD">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参考相关标准，并到生产企业、餐饮企业和小作坊调研，广泛征求生产企业、餐饮企业和小作坊、专家学者及同行意见，根据需要</w:t>
      </w:r>
      <w:r>
        <w:rPr>
          <w:rFonts w:hint="eastAsia" w:ascii="Times New Roman" w:hAnsi="Times New Roman" w:cs="Times New Roman"/>
          <w:sz w:val="24"/>
          <w:szCs w:val="24"/>
          <w:lang w:val="en-US" w:eastAsia="zh-CN"/>
        </w:rPr>
        <w:t>编制</w:t>
      </w:r>
      <w:r>
        <w:rPr>
          <w:rFonts w:hint="default" w:ascii="Times New Roman" w:hAnsi="Times New Roman" w:eastAsia="宋体" w:cs="Times New Roman"/>
          <w:sz w:val="24"/>
          <w:szCs w:val="24"/>
          <w:lang w:val="en-US" w:eastAsia="zh-CN"/>
        </w:rPr>
        <w:t>了</w:t>
      </w:r>
      <w:r>
        <w:rPr>
          <w:rFonts w:hint="default" w:ascii="Times New Roman" w:hAnsi="Times New Roman" w:eastAsia="宋体" w:cs="Times New Roman"/>
          <w:sz w:val="24"/>
          <w:szCs w:val="24"/>
          <w:lang w:eastAsia="zh-CN"/>
        </w:rPr>
        <w:t>《</w:t>
      </w:r>
      <w:r>
        <w:rPr>
          <w:rFonts w:hint="eastAsia" w:ascii="Times New Roman" w:hAnsi="Times New Roman" w:cs="Times New Roman"/>
          <w:sz w:val="24"/>
          <w:szCs w:val="24"/>
          <w:lang w:val="en-US" w:eastAsia="zh-CN"/>
        </w:rPr>
        <w:t>复合酸汤调味料</w:t>
      </w:r>
      <w:r>
        <w:rPr>
          <w:rFonts w:hint="default" w:ascii="Times New Roman" w:hAnsi="Times New Roman" w:eastAsia="宋体" w:cs="Times New Roman"/>
          <w:sz w:val="24"/>
          <w:szCs w:val="24"/>
          <w:lang w:val="en-US" w:eastAsia="zh-CN"/>
        </w:rPr>
        <w:t>（征求意见稿）</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的主要内容：</w:t>
      </w:r>
      <w:r>
        <w:rPr>
          <w:rFonts w:hint="eastAsia" w:ascii="Times New Roman" w:hAnsi="Times New Roman" w:eastAsia="宋体" w:cs="Times New Roman"/>
          <w:color w:val="0000FF"/>
          <w:sz w:val="24"/>
          <w:szCs w:val="24"/>
          <w:lang w:val="en-US" w:eastAsia="zh-CN"/>
        </w:rPr>
        <w:t>复合酸汤调味料</w:t>
      </w:r>
      <w:r>
        <w:rPr>
          <w:rFonts w:hint="default" w:ascii="Times New Roman" w:hAnsi="Times New Roman" w:eastAsia="宋体" w:cs="Times New Roman"/>
          <w:color w:val="0000FF"/>
          <w:sz w:val="24"/>
          <w:lang w:val="en-US" w:eastAsia="zh-CN"/>
        </w:rPr>
        <w:t>的范围、规范性引用文件、凯里酸汤和</w:t>
      </w:r>
      <w:r>
        <w:rPr>
          <w:rFonts w:hint="eastAsia" w:ascii="Times New Roman" w:hAnsi="Times New Roman" w:eastAsia="宋体" w:cs="Times New Roman"/>
          <w:color w:val="0000FF"/>
          <w:sz w:val="24"/>
          <w:szCs w:val="24"/>
          <w:lang w:val="en-US" w:eastAsia="zh-CN"/>
        </w:rPr>
        <w:t>复合酸汤调味料和含油型复合酸汤调味料</w:t>
      </w:r>
      <w:r>
        <w:rPr>
          <w:rFonts w:hint="default" w:ascii="Times New Roman" w:hAnsi="Times New Roman" w:eastAsia="宋体" w:cs="Times New Roman"/>
          <w:color w:val="0000FF"/>
          <w:sz w:val="24"/>
          <w:szCs w:val="24"/>
          <w:lang w:val="en-US" w:eastAsia="zh-CN"/>
        </w:rPr>
        <w:t>的术语和定义、分类、技术要求、</w:t>
      </w:r>
      <w:r>
        <w:rPr>
          <w:rFonts w:hint="eastAsia" w:ascii="Times New Roman" w:hAnsi="Times New Roman" w:eastAsia="宋体" w:cs="Times New Roman"/>
          <w:color w:val="0000FF"/>
          <w:sz w:val="24"/>
          <w:szCs w:val="24"/>
          <w:lang w:val="en-US" w:eastAsia="zh-CN"/>
        </w:rPr>
        <w:t>检验规则及标签、标志、包装、运输、贮存要求</w:t>
      </w:r>
      <w:r>
        <w:rPr>
          <w:rFonts w:hint="default" w:ascii="Times New Roman" w:hAnsi="Times New Roman" w:eastAsia="宋体" w:cs="Times New Roman"/>
          <w:color w:val="auto"/>
          <w:sz w:val="24"/>
          <w:szCs w:val="24"/>
        </w:rPr>
        <w:t>。</w:t>
      </w:r>
    </w:p>
    <w:p w14:paraId="476CD0ED">
      <w:pPr>
        <w:spacing w:line="360" w:lineRule="auto"/>
        <w:ind w:firstLine="480" w:firstLineChars="200"/>
        <w:contextualSpacing/>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根据实际使用需求，规定</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适用于黔东南</w:t>
      </w:r>
      <w:r>
        <w:rPr>
          <w:rFonts w:hint="default" w:ascii="Times New Roman" w:hAnsi="Times New Roman" w:eastAsia="宋体" w:cs="Times New Roman"/>
          <w:sz w:val="24"/>
          <w:szCs w:val="24"/>
          <w:lang w:val="en-US" w:eastAsia="zh-CN"/>
        </w:rPr>
        <w:t>苗族侗族自治州</w:t>
      </w:r>
      <w:r>
        <w:rPr>
          <w:rFonts w:hint="default" w:ascii="Times New Roman" w:hAnsi="Times New Roman" w:eastAsia="宋体" w:cs="Times New Roman"/>
          <w:sz w:val="24"/>
          <w:szCs w:val="24"/>
        </w:rPr>
        <w:t>行政区域内生产</w:t>
      </w:r>
      <w:r>
        <w:rPr>
          <w:rFonts w:hint="default" w:ascii="Times New Roman" w:hAnsi="Times New Roman" w:eastAsia="宋体" w:cs="Times New Roman"/>
          <w:sz w:val="24"/>
          <w:szCs w:val="24"/>
          <w:lang w:val="en-US" w:eastAsia="zh-CN"/>
        </w:rPr>
        <w:t>加工的酸汤</w:t>
      </w:r>
      <w:r>
        <w:rPr>
          <w:rFonts w:hint="default" w:ascii="Times New Roman" w:hAnsi="Times New Roman" w:eastAsia="宋体" w:cs="Times New Roman"/>
          <w:sz w:val="24"/>
          <w:szCs w:val="24"/>
        </w:rPr>
        <w:t>。</w:t>
      </w:r>
    </w:p>
    <w:p w14:paraId="203F0D0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2、规范性引用文件</w:t>
      </w:r>
    </w:p>
    <w:p w14:paraId="1BF11957">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为保证与其他标准特别是基础标准的一致性</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协调性</w:t>
      </w: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lang w:val="en-US" w:eastAsia="zh-CN"/>
        </w:rPr>
        <w:t>修订了</w:t>
      </w:r>
      <w:r>
        <w:rPr>
          <w:rFonts w:hint="default" w:ascii="Times New Roman" w:hAnsi="Times New Roman" w:eastAsia="宋体" w:cs="Times New Roman"/>
          <w:sz w:val="24"/>
          <w:szCs w:val="24"/>
        </w:rPr>
        <w:t>规范性文件引用</w:t>
      </w:r>
      <w:r>
        <w:rPr>
          <w:rFonts w:hint="default" w:ascii="Times New Roman" w:hAnsi="Times New Roman" w:eastAsia="宋体" w:cs="Times New Roman"/>
          <w:sz w:val="24"/>
          <w:szCs w:val="24"/>
          <w:lang w:val="en-US" w:eastAsia="zh-CN"/>
        </w:rPr>
        <w:t>的</w:t>
      </w:r>
      <w:r>
        <w:rPr>
          <w:rFonts w:hint="default" w:ascii="Times New Roman" w:hAnsi="Times New Roman" w:eastAsia="宋体" w:cs="Times New Roman"/>
          <w:sz w:val="24"/>
          <w:szCs w:val="24"/>
        </w:rPr>
        <w:t>相关标准、文件。</w:t>
      </w:r>
    </w:p>
    <w:p w14:paraId="6371FF3C">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3、术语和定义</w:t>
      </w:r>
    </w:p>
    <w:p w14:paraId="58A8A8B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术语和定义的表述对标准的</w:t>
      </w:r>
      <w:r>
        <w:rPr>
          <w:rFonts w:hint="default" w:ascii="Times New Roman" w:hAnsi="Times New Roman" w:eastAsia="宋体" w:cs="Times New Roman"/>
          <w:sz w:val="24"/>
          <w:szCs w:val="24"/>
          <w:lang w:val="en-US" w:eastAsia="zh-CN"/>
        </w:rPr>
        <w:t>修订</w:t>
      </w:r>
      <w:r>
        <w:rPr>
          <w:rFonts w:hint="default" w:ascii="Times New Roman" w:hAnsi="Times New Roman" w:eastAsia="宋体" w:cs="Times New Roman"/>
          <w:sz w:val="24"/>
          <w:szCs w:val="24"/>
        </w:rPr>
        <w:t>的规范、精简，内涵、外延及逻辑性及发布实施后的推广应用都有很大影响，为了保证标准的科学性、适宜性和可操作性；</w:t>
      </w:r>
    </w:p>
    <w:p w14:paraId="79F3A120">
      <w:pPr>
        <w:spacing w:line="360" w:lineRule="auto"/>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同时也确保标准的准确性，根据需要</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对</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凯里酸汤</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和</w:t>
      </w:r>
      <w:r>
        <w:rPr>
          <w:rFonts w:hint="eastAsia" w:ascii="Times New Roman" w:hAnsi="Times New Roman" w:cs="Times New Roman"/>
          <w:sz w:val="24"/>
          <w:szCs w:val="24"/>
          <w:lang w:val="en-US" w:eastAsia="zh-CN"/>
        </w:rPr>
        <w:t>复合酸汤调味料</w:t>
      </w:r>
      <w:r>
        <w:rPr>
          <w:rFonts w:hint="default" w:ascii="Times New Roman" w:hAnsi="Times New Roman" w:eastAsia="宋体" w:cs="Times New Roman"/>
          <w:sz w:val="24"/>
          <w:szCs w:val="24"/>
        </w:rPr>
        <w:t>作如下定义：</w:t>
      </w:r>
    </w:p>
    <w:p w14:paraId="7D482B4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color w:val="0000FF"/>
          <w:sz w:val="24"/>
          <w:lang w:val="en-US" w:eastAsia="zh-CN"/>
        </w:rPr>
        <w:t>凯里酸汤：凯里市及周边地区一种具有独特风味的传统食品，以番茄、鲜红辣椒或以大米、小麦粉等为主要原料，采用民间传统发酵工艺或者现代发酵工艺，经微生物发酵而成。</w:t>
      </w:r>
    </w:p>
    <w:p w14:paraId="0D5206C8">
      <w:pPr>
        <w:spacing w:line="360" w:lineRule="auto"/>
        <w:ind w:firstLine="480" w:firstLineChars="200"/>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lang w:eastAsia="zh-CN"/>
        </w:rPr>
        <w:t>：</w:t>
      </w:r>
      <w:r>
        <w:rPr>
          <w:rFonts w:hint="eastAsia" w:ascii="Times New Roman" w:hAnsi="Times New Roman" w:eastAsia="宋体" w:cs="Times New Roman"/>
          <w:sz w:val="24"/>
          <w:szCs w:val="24"/>
          <w:lang w:val="en-US" w:eastAsia="zh-CN"/>
        </w:rPr>
        <w:t>根据企业实际加工需要，以在黔东南州区域内生产的红酸汤与白酸汤为原料进行调配，添加或不添加辅料，经炒制或不炒制而成的液态调味料。</w:t>
      </w:r>
    </w:p>
    <w:p w14:paraId="2B07DD48">
      <w:pPr>
        <w:spacing w:line="360" w:lineRule="auto"/>
        <w:ind w:firstLine="480" w:firstLineChars="200"/>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含油型复合酸汤调味料：经调配后的复合酸汤，添加食用植物油和（或）食用动物油脂、香辛料等辅料，经炒制等加工工艺而成的液态调味料。</w:t>
      </w:r>
    </w:p>
    <w:p w14:paraId="0FA2CFC1">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产品分类</w:t>
      </w:r>
    </w:p>
    <w:p w14:paraId="029385D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复合酸汤调味料可分为含油型和非含油型。</w:t>
      </w:r>
    </w:p>
    <w:p w14:paraId="613B5384">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、技术要求</w:t>
      </w:r>
    </w:p>
    <w:p w14:paraId="2069C59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为规范控制</w:t>
      </w:r>
      <w:r>
        <w:rPr>
          <w:rFonts w:hint="eastAsia"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lang w:val="en-US" w:eastAsia="zh-CN"/>
        </w:rPr>
        <w:t>的生产过程和产品质量，同时为了规范市场，保护消费者饮食安全，引导</w:t>
      </w:r>
      <w:r>
        <w:rPr>
          <w:rFonts w:hint="eastAsia"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lang w:val="en-US" w:eastAsia="zh-CN"/>
        </w:rPr>
        <w:t>的生产标准化、规范化，促进和提升产品质量，编制组通过召开会议、查阅资料，并到生产企业与小作坊调研，及广泛征求专家学者、同行意见，参考GB 2762《食品安全国家标准 食品中污染物限量》、GB 29921《食品安全国家标准 食品中致病菌限量》、GB 31644《食品安全国家标准 复合调味料》等相关标准，结合黔东南州</w:t>
      </w:r>
      <w:r>
        <w:rPr>
          <w:rFonts w:hint="eastAsia" w:ascii="Times New Roman" w:hAnsi="Times New Roman" w:eastAsia="宋体" w:cs="Times New Roman"/>
          <w:sz w:val="24"/>
          <w:szCs w:val="24"/>
          <w:lang w:val="en-US" w:eastAsia="zh-CN"/>
        </w:rPr>
        <w:t>复合酸汤调味料</w:t>
      </w:r>
      <w:r>
        <w:rPr>
          <w:rFonts w:hint="default" w:ascii="Times New Roman" w:hAnsi="Times New Roman" w:eastAsia="宋体" w:cs="Times New Roman"/>
          <w:sz w:val="24"/>
          <w:szCs w:val="24"/>
          <w:lang w:val="en-US" w:eastAsia="zh-CN"/>
        </w:rPr>
        <w:t>生产、销售实际情况，经充分讨论、协商、取得最终一致意见，对</w:t>
      </w:r>
      <w:r>
        <w:rPr>
          <w:rFonts w:hint="eastAsia" w:ascii="Times New Roman" w:hAnsi="Times New Roman" w:cs="Times New Roman"/>
          <w:sz w:val="24"/>
          <w:szCs w:val="24"/>
          <w:lang w:val="en-US" w:eastAsia="zh-CN"/>
        </w:rPr>
        <w:t>复合酸汤调味料</w:t>
      </w:r>
      <w:r>
        <w:rPr>
          <w:rFonts w:hint="default" w:ascii="Times New Roman" w:hAnsi="Times New Roman" w:eastAsia="宋体" w:cs="Times New Roman"/>
          <w:sz w:val="24"/>
          <w:szCs w:val="24"/>
          <w:lang w:val="en-US" w:eastAsia="zh-CN"/>
        </w:rPr>
        <w:t>做以下技术要求：</w:t>
      </w:r>
    </w:p>
    <w:p w14:paraId="3922621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5.1原辅料</w:t>
      </w:r>
    </w:p>
    <w:p w14:paraId="3B25FAF4">
      <w:pPr>
        <w:widowControl/>
        <w:spacing w:line="360" w:lineRule="auto"/>
        <w:ind w:firstLine="420" w:firstLineChars="200"/>
        <w:jc w:val="left"/>
        <w:rPr>
          <w:rFonts w:hint="default" w:ascii="Times New Roman" w:hAnsi="Times New Roman" w:eastAsia="宋体" w:cs="Times New Roman"/>
          <w:sz w:val="24"/>
          <w:szCs w:val="24"/>
          <w:lang w:val="en-US" w:eastAsia="zh-CN"/>
        </w:rPr>
      </w:pPr>
      <w:r>
        <w:rPr>
          <w:rFonts w:hint="eastAsia" w:ascii="Times New Roman" w:hAnsi="Times New Roman" w:eastAsia="宋体" w:cs="宋体"/>
          <w:b w:val="0"/>
          <w:bCs w:val="0"/>
          <w:color w:val="auto"/>
          <w:kern w:val="0"/>
          <w:sz w:val="21"/>
          <w:szCs w:val="21"/>
          <w:lang w:val="en-US" w:eastAsia="zh-CN" w:bidi="ar"/>
        </w:rPr>
        <w:t>番茄、辣椒、生姜</w:t>
      </w:r>
      <w:r>
        <w:rPr>
          <w:rFonts w:hint="eastAsia" w:ascii="Times New Roman" w:hAnsi="Times New Roman" w:eastAsia="宋体" w:cs="宋体"/>
          <w:color w:val="auto"/>
          <w:kern w:val="0"/>
          <w:sz w:val="21"/>
          <w:szCs w:val="21"/>
          <w:lang w:val="en-US" w:eastAsia="zh-CN" w:bidi="ar"/>
        </w:rPr>
        <w:t>应满足新鲜、成熟、无虫害、无腐烂、无霉变、无杂质，并符合国家相关标准规定；大米应符合GB/T 1354的规定；</w:t>
      </w:r>
      <w:r>
        <w:rPr>
          <w:rFonts w:hint="eastAsia" w:ascii="Times New Roman" w:hAnsi="Times New Roman" w:eastAsia="宋体" w:cs="Times New Roman"/>
          <w:color w:val="auto"/>
          <w:lang w:val="en-US" w:eastAsia="zh-CN"/>
        </w:rPr>
        <w:t>小麦粉</w:t>
      </w:r>
      <w:r>
        <w:rPr>
          <w:rFonts w:hint="eastAsia" w:ascii="Times New Roman" w:hAnsi="Times New Roman" w:eastAsia="宋体" w:cs="Times New Roman"/>
          <w:color w:val="auto"/>
          <w:kern w:val="0"/>
          <w:szCs w:val="21"/>
          <w:lang w:val="en-US" w:eastAsia="zh-CN"/>
        </w:rPr>
        <w:t>应符合GB/T 1355的规定；</w:t>
      </w:r>
      <w:r>
        <w:rPr>
          <w:rFonts w:hint="eastAsia" w:ascii="Times New Roman" w:hAnsi="Times New Roman" w:eastAsia="宋体" w:cs="宋体"/>
          <w:color w:val="auto"/>
          <w:kern w:val="0"/>
          <w:sz w:val="21"/>
          <w:szCs w:val="21"/>
          <w:lang w:val="en-US" w:eastAsia="zh-CN" w:bidi="ar"/>
        </w:rPr>
        <w:t>植物油应符合</w:t>
      </w:r>
      <w:r>
        <w:rPr>
          <w:rFonts w:hint="default" w:ascii="Times New Roman" w:hAnsi="Times New Roman" w:eastAsia="宋体" w:cs="宋体"/>
          <w:color w:val="auto"/>
          <w:kern w:val="0"/>
          <w:sz w:val="21"/>
          <w:szCs w:val="21"/>
          <w:lang w:val="en-US" w:eastAsia="zh-CN" w:bidi="ar"/>
        </w:rPr>
        <w:t>GB 2716</w:t>
      </w:r>
      <w:r>
        <w:rPr>
          <w:rFonts w:hint="eastAsia" w:ascii="Times New Roman" w:hAnsi="Times New Roman" w:eastAsia="宋体" w:cs="宋体"/>
          <w:color w:val="auto"/>
          <w:kern w:val="0"/>
          <w:sz w:val="21"/>
          <w:szCs w:val="21"/>
          <w:lang w:val="en-US" w:eastAsia="zh-CN" w:bidi="ar"/>
        </w:rPr>
        <w:t>的规定；食用盐应符合</w:t>
      </w:r>
      <w:r>
        <w:rPr>
          <w:rFonts w:hint="default" w:ascii="Times New Roman" w:hAnsi="Times New Roman" w:eastAsia="宋体" w:cs="宋体"/>
          <w:color w:val="auto"/>
          <w:kern w:val="0"/>
          <w:sz w:val="21"/>
          <w:szCs w:val="21"/>
          <w:lang w:val="en-US" w:eastAsia="zh-CN" w:bidi="ar"/>
        </w:rPr>
        <w:t>GB 2721</w:t>
      </w:r>
      <w:r>
        <w:rPr>
          <w:rFonts w:hint="eastAsia" w:ascii="Times New Roman" w:hAnsi="Times New Roman" w:eastAsia="宋体" w:cs="宋体"/>
          <w:color w:val="auto"/>
          <w:kern w:val="0"/>
          <w:sz w:val="21"/>
          <w:szCs w:val="21"/>
          <w:lang w:val="en-US" w:eastAsia="zh-CN" w:bidi="ar"/>
        </w:rPr>
        <w:t>的规定；白酒应符合</w:t>
      </w:r>
      <w:r>
        <w:rPr>
          <w:rFonts w:hint="default" w:ascii="Times New Roman" w:hAnsi="Times New Roman" w:eastAsia="宋体" w:cs="宋体"/>
          <w:color w:val="auto"/>
          <w:kern w:val="0"/>
          <w:sz w:val="21"/>
          <w:szCs w:val="21"/>
          <w:lang w:val="en-US" w:eastAsia="zh-CN" w:bidi="ar"/>
        </w:rPr>
        <w:t>GB 2757</w:t>
      </w:r>
      <w:r>
        <w:rPr>
          <w:rFonts w:hint="eastAsia" w:ascii="Times New Roman" w:hAnsi="Times New Roman" w:eastAsia="宋体" w:cs="宋体"/>
          <w:color w:val="auto"/>
          <w:kern w:val="0"/>
          <w:sz w:val="21"/>
          <w:szCs w:val="21"/>
          <w:lang w:val="en-US" w:eastAsia="zh-CN" w:bidi="ar"/>
        </w:rPr>
        <w:t>的规定；生产用水应符合</w:t>
      </w:r>
      <w:r>
        <w:rPr>
          <w:rFonts w:hint="default" w:ascii="Times New Roman" w:hAnsi="Times New Roman" w:eastAsia="宋体" w:cs="宋体"/>
          <w:color w:val="auto"/>
          <w:kern w:val="0"/>
          <w:sz w:val="21"/>
          <w:szCs w:val="21"/>
          <w:lang w:val="en-US" w:eastAsia="zh-CN" w:bidi="ar"/>
        </w:rPr>
        <w:t>GB 5749</w:t>
      </w:r>
      <w:r>
        <w:rPr>
          <w:rFonts w:hint="eastAsia" w:ascii="Times New Roman" w:hAnsi="Times New Roman" w:eastAsia="宋体" w:cs="宋体"/>
          <w:color w:val="auto"/>
          <w:kern w:val="0"/>
          <w:sz w:val="21"/>
          <w:szCs w:val="21"/>
          <w:lang w:val="en-US" w:eastAsia="zh-CN" w:bidi="ar"/>
        </w:rPr>
        <w:t>的规定；</w:t>
      </w:r>
      <w:r>
        <w:rPr>
          <w:rFonts w:hint="default" w:ascii="Times New Roman" w:hAnsi="Times New Roman" w:eastAsia="宋体" w:cs="Times New Roman"/>
          <w:sz w:val="24"/>
          <w:szCs w:val="24"/>
          <w:lang w:val="en-US" w:eastAsia="zh-CN"/>
        </w:rPr>
        <w:t>其他原辅料应符合相应的食品标准及相关规定。</w:t>
      </w:r>
    </w:p>
    <w:p w14:paraId="6AB7A16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5.2感官要求</w:t>
      </w:r>
    </w:p>
    <w:p w14:paraId="00C852D1">
      <w:pPr>
        <w:widowControl/>
        <w:spacing w:line="360" w:lineRule="auto"/>
        <w:ind w:firstLine="420" w:firstLineChars="200"/>
        <w:jc w:val="left"/>
        <w:rPr>
          <w:rFonts w:hint="default" w:ascii="宋体" w:hAnsi="宋体" w:eastAsia="宋体" w:cs="宋体"/>
          <w:color w:val="auto"/>
          <w:kern w:val="0"/>
          <w:sz w:val="21"/>
          <w:szCs w:val="21"/>
          <w:lang w:val="en-US" w:eastAsia="zh-CN" w:bidi="ar"/>
        </w:rPr>
      </w:pPr>
      <w:r>
        <w:rPr>
          <w:rFonts w:hint="default" w:ascii="宋体" w:hAnsi="宋体" w:eastAsia="宋体" w:cs="宋体"/>
          <w:color w:val="auto"/>
          <w:kern w:val="0"/>
          <w:sz w:val="21"/>
          <w:szCs w:val="21"/>
          <w:lang w:val="en-US" w:eastAsia="zh-CN" w:bidi="ar"/>
        </w:rPr>
        <w:t>应符合表1的规定。</w:t>
      </w:r>
    </w:p>
    <w:p w14:paraId="19A82243">
      <w:pPr>
        <w:widowControl/>
        <w:jc w:val="center"/>
        <w:rPr>
          <w:rFonts w:ascii="Times New Roman" w:hAnsi="Times New Roman"/>
          <w:b/>
          <w:bCs/>
          <w:color w:val="auto"/>
          <w:szCs w:val="21"/>
        </w:rPr>
      </w:pPr>
      <w:r>
        <w:rPr>
          <w:rFonts w:ascii="Times New Roman" w:hAnsi="Times New Roman"/>
          <w:b/>
          <w:bCs/>
          <w:color w:val="auto"/>
          <w:szCs w:val="21"/>
        </w:rPr>
        <w:t>表1 感官要求</w:t>
      </w:r>
    </w:p>
    <w:tbl>
      <w:tblPr>
        <w:tblStyle w:val="1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348"/>
        <w:gridCol w:w="2252"/>
        <w:gridCol w:w="2247"/>
        <w:gridCol w:w="2585"/>
      </w:tblGrid>
      <w:tr w14:paraId="423F2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jc w:val="center"/>
        </w:trPr>
        <w:tc>
          <w:tcPr>
            <w:tcW w:w="1348" w:type="dxa"/>
            <w:vMerge w:val="restart"/>
            <w:tcBorders>
              <w:top w:val="single" w:color="000000" w:sz="4" w:space="0"/>
              <w:left w:val="single" w:color="000000" w:sz="4" w:space="0"/>
              <w:bottom w:val="single" w:color="000000" w:sz="4" w:space="0"/>
              <w:right w:val="single" w:color="000000" w:sz="4" w:space="0"/>
            </w:tcBorders>
            <w:noWrap w:val="0"/>
            <w:vAlign w:val="center"/>
          </w:tcPr>
          <w:p w14:paraId="288BF351">
            <w:pPr>
              <w:keepNext w:val="0"/>
              <w:keepLines w:val="0"/>
              <w:widowControl/>
              <w:suppressLineNumbers w:val="0"/>
              <w:jc w:val="center"/>
              <w:textAlignment w:val="center"/>
              <w:rPr>
                <w:rFonts w:ascii="Arial" w:hAnsi="Arial" w:cs="Arial"/>
                <w:i w:val="0"/>
                <w:iCs w:val="0"/>
                <w:color w:val="auto"/>
                <w:sz w:val="21"/>
                <w:szCs w:val="21"/>
                <w:u w:val="none"/>
              </w:rPr>
            </w:pPr>
            <w:r>
              <w:rPr>
                <w:rStyle w:val="35"/>
                <w:color w:val="auto"/>
                <w:sz w:val="21"/>
                <w:szCs w:val="21"/>
                <w:lang w:val="en-US" w:eastAsia="zh-CN" w:bidi="ar"/>
              </w:rPr>
              <w:t>项</w:t>
            </w:r>
            <w:r>
              <w:rPr>
                <w:rStyle w:val="35"/>
                <w:rFonts w:hint="eastAsia"/>
                <w:color w:val="auto"/>
                <w:sz w:val="21"/>
                <w:szCs w:val="21"/>
                <w:lang w:val="en-US" w:eastAsia="zh-CN" w:bidi="ar"/>
              </w:rPr>
              <w:t xml:space="preserve">  </w:t>
            </w:r>
            <w:r>
              <w:rPr>
                <w:rStyle w:val="35"/>
                <w:color w:val="auto"/>
                <w:sz w:val="21"/>
                <w:szCs w:val="21"/>
                <w:lang w:val="en-US" w:eastAsia="zh-CN" w:bidi="ar"/>
              </w:rPr>
              <w:t>目</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7CC27405">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技术要求</w:t>
            </w:r>
          </w:p>
        </w:tc>
        <w:tc>
          <w:tcPr>
            <w:tcW w:w="2585" w:type="dxa"/>
            <w:vMerge w:val="restart"/>
            <w:tcBorders>
              <w:top w:val="single" w:color="000000" w:sz="4" w:space="0"/>
              <w:left w:val="single" w:color="000000" w:sz="4" w:space="0"/>
              <w:bottom w:val="single" w:color="000000" w:sz="4" w:space="0"/>
              <w:right w:val="single" w:color="000000" w:sz="4" w:space="0"/>
            </w:tcBorders>
            <w:noWrap w:val="0"/>
            <w:vAlign w:val="center"/>
          </w:tcPr>
          <w:p w14:paraId="18F726FA">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检验方法</w:t>
            </w:r>
          </w:p>
        </w:tc>
      </w:tr>
      <w:tr w14:paraId="5814D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148384">
            <w:pPr>
              <w:jc w:val="center"/>
              <w:rPr>
                <w:rFonts w:hint="default" w:ascii="Arial" w:hAnsi="Arial" w:cs="Arial"/>
                <w:i w:val="0"/>
                <w:iCs w:val="0"/>
                <w:color w:val="auto"/>
                <w:sz w:val="21"/>
                <w:szCs w:val="21"/>
                <w:u w:val="none"/>
              </w:rPr>
            </w:pP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4D1C1411">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含油型</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3BC0FFFB">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非含油型</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709F4C7">
            <w:pPr>
              <w:jc w:val="center"/>
              <w:rPr>
                <w:rFonts w:hint="default" w:ascii="Arial" w:hAnsi="Arial" w:cs="Arial"/>
                <w:i w:val="0"/>
                <w:iCs w:val="0"/>
                <w:color w:val="auto"/>
                <w:sz w:val="21"/>
                <w:szCs w:val="21"/>
                <w:u w:val="none"/>
              </w:rPr>
            </w:pPr>
          </w:p>
        </w:tc>
      </w:tr>
      <w:tr w14:paraId="171CB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707A435F">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色</w:t>
            </w:r>
            <w:r>
              <w:rPr>
                <w:rStyle w:val="35"/>
                <w:rFonts w:hint="eastAsia"/>
                <w:color w:val="auto"/>
                <w:sz w:val="21"/>
                <w:szCs w:val="21"/>
                <w:lang w:val="en-US" w:eastAsia="zh-CN" w:bidi="ar"/>
              </w:rPr>
              <w:t xml:space="preserve">  </w:t>
            </w:r>
            <w:r>
              <w:rPr>
                <w:rStyle w:val="35"/>
                <w:color w:val="auto"/>
                <w:sz w:val="21"/>
                <w:szCs w:val="21"/>
                <w:lang w:val="en-US" w:eastAsia="zh-CN" w:bidi="ar"/>
              </w:rPr>
              <w:t>泽</w:t>
            </w: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75882572">
            <w:pPr>
              <w:keepNext w:val="0"/>
              <w:keepLines w:val="0"/>
              <w:widowControl/>
              <w:suppressLineNumbers w:val="0"/>
              <w:jc w:val="both"/>
              <w:textAlignment w:val="center"/>
              <w:rPr>
                <w:rFonts w:hint="default" w:ascii="Arial" w:hAnsi="Arial" w:cs="Arial"/>
                <w:i w:val="0"/>
                <w:iCs w:val="0"/>
                <w:color w:val="auto"/>
                <w:sz w:val="21"/>
                <w:szCs w:val="21"/>
                <w:u w:val="none"/>
              </w:rPr>
            </w:pPr>
            <w:r>
              <w:rPr>
                <w:rStyle w:val="35"/>
                <w:color w:val="auto"/>
                <w:sz w:val="21"/>
                <w:szCs w:val="21"/>
                <w:lang w:val="en-US" w:eastAsia="zh-CN" w:bidi="ar"/>
              </w:rPr>
              <w:t>呈</w:t>
            </w:r>
            <w:r>
              <w:rPr>
                <w:rStyle w:val="35"/>
                <w:rFonts w:hint="eastAsia"/>
                <w:color w:val="auto"/>
                <w:sz w:val="21"/>
                <w:szCs w:val="21"/>
                <w:lang w:val="en-US" w:eastAsia="zh-CN" w:bidi="ar"/>
              </w:rPr>
              <w:t>红色或淡红色</w:t>
            </w:r>
            <w:r>
              <w:rPr>
                <w:rStyle w:val="35"/>
                <w:color w:val="auto"/>
                <w:sz w:val="21"/>
                <w:szCs w:val="21"/>
                <w:lang w:val="en-US" w:eastAsia="zh-CN" w:bidi="ar"/>
              </w:rPr>
              <w:t>，允许</w:t>
            </w:r>
            <w:r>
              <w:rPr>
                <w:rStyle w:val="35"/>
                <w:rFonts w:hint="eastAsia"/>
                <w:color w:val="auto"/>
                <w:sz w:val="21"/>
                <w:szCs w:val="21"/>
                <w:lang w:val="en-US" w:eastAsia="zh-CN" w:bidi="ar"/>
              </w:rPr>
              <w:t>汤</w:t>
            </w:r>
            <w:r>
              <w:rPr>
                <w:rStyle w:val="35"/>
                <w:color w:val="auto"/>
                <w:sz w:val="21"/>
                <w:szCs w:val="21"/>
                <w:lang w:val="en-US" w:eastAsia="zh-CN" w:bidi="ar"/>
              </w:rPr>
              <w:t>体表面有轻</w:t>
            </w:r>
            <w:r>
              <w:rPr>
                <w:rStyle w:val="35"/>
                <w:rFonts w:hint="eastAsia"/>
                <w:color w:val="auto"/>
                <w:sz w:val="21"/>
                <w:szCs w:val="21"/>
                <w:lang w:val="en-US" w:eastAsia="zh-CN" w:bidi="ar"/>
              </w:rPr>
              <w:t>微褐</w:t>
            </w:r>
            <w:r>
              <w:rPr>
                <w:rStyle w:val="35"/>
                <w:color w:val="auto"/>
                <w:sz w:val="21"/>
                <w:szCs w:val="21"/>
                <w:lang w:val="en-US" w:eastAsia="zh-CN" w:bidi="ar"/>
              </w:rPr>
              <w:t>色</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630DFAE6">
            <w:pPr>
              <w:keepNext w:val="0"/>
              <w:keepLines w:val="0"/>
              <w:widowControl/>
              <w:suppressLineNumbers w:val="0"/>
              <w:jc w:val="both"/>
              <w:textAlignment w:val="center"/>
              <w:rPr>
                <w:rFonts w:hint="default" w:ascii="Arial" w:hAnsi="Arial" w:cs="Arial"/>
                <w:i w:val="0"/>
                <w:iCs w:val="0"/>
                <w:color w:val="auto"/>
                <w:sz w:val="21"/>
                <w:szCs w:val="21"/>
                <w:u w:val="none"/>
              </w:rPr>
            </w:pPr>
            <w:r>
              <w:rPr>
                <w:rStyle w:val="35"/>
                <w:color w:val="auto"/>
                <w:sz w:val="21"/>
                <w:szCs w:val="21"/>
                <w:lang w:val="en-US" w:eastAsia="zh-CN" w:bidi="ar"/>
              </w:rPr>
              <w:t>呈</w:t>
            </w:r>
            <w:r>
              <w:rPr>
                <w:rStyle w:val="35"/>
                <w:rFonts w:hint="eastAsia"/>
                <w:color w:val="auto"/>
                <w:sz w:val="21"/>
                <w:szCs w:val="21"/>
                <w:lang w:val="en-US" w:eastAsia="zh-CN" w:bidi="ar"/>
              </w:rPr>
              <w:t>红色或淡红色</w:t>
            </w:r>
            <w:r>
              <w:rPr>
                <w:rStyle w:val="35"/>
                <w:color w:val="auto"/>
                <w:sz w:val="21"/>
                <w:szCs w:val="21"/>
                <w:lang w:val="en-US" w:eastAsia="zh-CN" w:bidi="ar"/>
              </w:rPr>
              <w:t>，允许</w:t>
            </w:r>
            <w:r>
              <w:rPr>
                <w:rStyle w:val="35"/>
                <w:rFonts w:hint="eastAsia"/>
                <w:color w:val="auto"/>
                <w:sz w:val="21"/>
                <w:szCs w:val="21"/>
                <w:lang w:val="en-US" w:eastAsia="zh-CN" w:bidi="ar"/>
              </w:rPr>
              <w:t>汤</w:t>
            </w:r>
            <w:r>
              <w:rPr>
                <w:rStyle w:val="35"/>
                <w:color w:val="auto"/>
                <w:sz w:val="21"/>
                <w:szCs w:val="21"/>
                <w:lang w:val="en-US" w:eastAsia="zh-CN" w:bidi="ar"/>
              </w:rPr>
              <w:t>体表面有轻</w:t>
            </w:r>
            <w:r>
              <w:rPr>
                <w:rStyle w:val="35"/>
                <w:rFonts w:hint="eastAsia"/>
                <w:color w:val="auto"/>
                <w:sz w:val="21"/>
                <w:szCs w:val="21"/>
                <w:lang w:val="en-US" w:eastAsia="zh-CN" w:bidi="ar"/>
              </w:rPr>
              <w:t>微褐</w:t>
            </w:r>
            <w:r>
              <w:rPr>
                <w:rStyle w:val="35"/>
                <w:color w:val="auto"/>
                <w:sz w:val="21"/>
                <w:szCs w:val="21"/>
                <w:lang w:val="en-US" w:eastAsia="zh-CN" w:bidi="ar"/>
              </w:rPr>
              <w:t>色</w:t>
            </w:r>
          </w:p>
        </w:tc>
        <w:tc>
          <w:tcPr>
            <w:tcW w:w="25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180F924">
            <w:pPr>
              <w:keepNext w:val="0"/>
              <w:keepLines w:val="0"/>
              <w:widowControl/>
              <w:suppressLineNumbers w:val="0"/>
              <w:jc w:val="both"/>
              <w:textAlignment w:val="center"/>
              <w:rPr>
                <w:rFonts w:hint="default" w:ascii="Arial" w:hAnsi="Arial" w:cs="Arial"/>
                <w:i w:val="0"/>
                <w:iCs w:val="0"/>
                <w:color w:val="auto"/>
                <w:sz w:val="21"/>
                <w:szCs w:val="21"/>
                <w:u w:val="none"/>
              </w:rPr>
            </w:pPr>
            <w:r>
              <w:rPr>
                <w:rStyle w:val="35"/>
                <w:color w:val="auto"/>
                <w:sz w:val="21"/>
                <w:szCs w:val="21"/>
                <w:lang w:val="en-US" w:eastAsia="zh-CN" w:bidi="ar"/>
              </w:rPr>
              <w:t>取</w:t>
            </w:r>
            <w:r>
              <w:rPr>
                <w:rStyle w:val="35"/>
                <w:rFonts w:hint="eastAsia"/>
                <w:color w:val="auto"/>
                <w:sz w:val="21"/>
                <w:szCs w:val="21"/>
                <w:lang w:val="en-US" w:eastAsia="zh-CN" w:bidi="ar"/>
              </w:rPr>
              <w:t>混合均匀的适量</w:t>
            </w:r>
            <w:r>
              <w:rPr>
                <w:rStyle w:val="35"/>
                <w:color w:val="auto"/>
                <w:sz w:val="21"/>
                <w:szCs w:val="21"/>
                <w:lang w:val="en-US" w:eastAsia="zh-CN" w:bidi="ar"/>
              </w:rPr>
              <w:t>试样置于</w:t>
            </w:r>
            <w:r>
              <w:rPr>
                <w:rStyle w:val="35"/>
                <w:rFonts w:hint="eastAsia"/>
                <w:color w:val="auto"/>
                <w:sz w:val="21"/>
                <w:szCs w:val="21"/>
                <w:lang w:val="en-US" w:eastAsia="zh-CN" w:bidi="ar"/>
              </w:rPr>
              <w:t>60</w:t>
            </w:r>
            <w:r>
              <w:rPr>
                <w:rFonts w:hint="eastAsia" w:ascii="宋体" w:hAnsi="宋体" w:eastAsia="宋体" w:cs="宋体"/>
                <w:color w:val="auto"/>
                <w:kern w:val="0"/>
                <w:sz w:val="21"/>
                <w:szCs w:val="21"/>
                <w:lang w:val="en-US" w:eastAsia="zh-CN" w:bidi="ar"/>
              </w:rPr>
              <w:t>～</w:t>
            </w:r>
            <w:r>
              <w:rPr>
                <w:rStyle w:val="35"/>
                <w:rFonts w:hint="eastAsia"/>
                <w:color w:val="auto"/>
                <w:sz w:val="21"/>
                <w:szCs w:val="21"/>
                <w:lang w:val="en-US" w:eastAsia="zh-CN" w:bidi="ar"/>
              </w:rPr>
              <w:t>90 mm的</w:t>
            </w:r>
            <w:r>
              <w:rPr>
                <w:rStyle w:val="35"/>
                <w:color w:val="auto"/>
                <w:sz w:val="21"/>
                <w:szCs w:val="21"/>
                <w:lang w:val="en-US" w:eastAsia="zh-CN" w:bidi="ar"/>
              </w:rPr>
              <w:t>洁净白色瓷盘中，在自然光</w:t>
            </w:r>
            <w:r>
              <w:rPr>
                <w:rStyle w:val="35"/>
                <w:rFonts w:hint="eastAsia"/>
                <w:color w:val="auto"/>
                <w:sz w:val="21"/>
                <w:szCs w:val="21"/>
                <w:lang w:val="en-US" w:eastAsia="zh-CN" w:bidi="ar"/>
              </w:rPr>
              <w:t>线或相当于自然光线的感官评定条件下，采用视觉法鉴别色泽、体态和杂质；采用嗅觉法鉴别气味，采用味觉法鉴别滋味。</w:t>
            </w:r>
          </w:p>
        </w:tc>
      </w:tr>
      <w:tr w14:paraId="5553C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69853FA1">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气味、滋味</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2FB8FC7A">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具有本品</w:t>
            </w:r>
            <w:r>
              <w:rPr>
                <w:rStyle w:val="35"/>
                <w:rFonts w:hint="eastAsia"/>
                <w:color w:val="auto"/>
                <w:sz w:val="21"/>
                <w:szCs w:val="21"/>
                <w:lang w:val="en-US" w:eastAsia="zh-CN" w:bidi="ar"/>
              </w:rPr>
              <w:t>应</w:t>
            </w:r>
            <w:r>
              <w:rPr>
                <w:rStyle w:val="35"/>
                <w:color w:val="auto"/>
                <w:sz w:val="21"/>
                <w:szCs w:val="21"/>
                <w:lang w:val="en-US" w:eastAsia="zh-CN" w:bidi="ar"/>
              </w:rPr>
              <w:t>有的</w:t>
            </w:r>
            <w:r>
              <w:rPr>
                <w:rStyle w:val="35"/>
                <w:rFonts w:hint="eastAsia"/>
                <w:color w:val="auto"/>
                <w:sz w:val="21"/>
                <w:szCs w:val="21"/>
                <w:lang w:val="en-US" w:eastAsia="zh-CN" w:bidi="ar"/>
              </w:rPr>
              <w:t>气味或滋味</w:t>
            </w:r>
            <w:r>
              <w:rPr>
                <w:rStyle w:val="35"/>
                <w:color w:val="auto"/>
                <w:sz w:val="21"/>
                <w:szCs w:val="21"/>
                <w:lang w:val="en-US" w:eastAsia="zh-CN" w:bidi="ar"/>
              </w:rPr>
              <w:t>，无异味</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254023">
            <w:pPr>
              <w:jc w:val="center"/>
              <w:rPr>
                <w:rFonts w:hint="default" w:ascii="Arial" w:hAnsi="Arial" w:cs="Arial"/>
                <w:i w:val="0"/>
                <w:iCs w:val="0"/>
                <w:color w:val="auto"/>
                <w:sz w:val="21"/>
                <w:szCs w:val="21"/>
                <w:u w:val="none"/>
              </w:rPr>
            </w:pPr>
          </w:p>
        </w:tc>
      </w:tr>
      <w:tr w14:paraId="6E64A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618A1EFD">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组织形态</w:t>
            </w:r>
          </w:p>
        </w:tc>
        <w:tc>
          <w:tcPr>
            <w:tcW w:w="2252" w:type="dxa"/>
            <w:tcBorders>
              <w:top w:val="single" w:color="000000" w:sz="4" w:space="0"/>
              <w:left w:val="single" w:color="000000" w:sz="4" w:space="0"/>
              <w:bottom w:val="single" w:color="000000" w:sz="4" w:space="0"/>
              <w:right w:val="single" w:color="000000" w:sz="4" w:space="0"/>
            </w:tcBorders>
            <w:noWrap w:val="0"/>
            <w:vAlign w:val="center"/>
          </w:tcPr>
          <w:p w14:paraId="4DC6ACA0">
            <w:pPr>
              <w:keepNext w:val="0"/>
              <w:keepLines w:val="0"/>
              <w:widowControl/>
              <w:suppressLineNumbers w:val="0"/>
              <w:jc w:val="both"/>
              <w:textAlignment w:val="center"/>
              <w:rPr>
                <w:rFonts w:hint="default" w:ascii="Arial" w:hAnsi="Arial" w:cs="Arial"/>
                <w:i w:val="0"/>
                <w:iCs w:val="0"/>
                <w:color w:val="auto"/>
                <w:sz w:val="21"/>
                <w:szCs w:val="21"/>
                <w:u w:val="none"/>
                <w:lang w:val="en-US"/>
              </w:rPr>
            </w:pPr>
            <w:r>
              <w:rPr>
                <w:rStyle w:val="35"/>
                <w:rFonts w:hint="eastAsia"/>
                <w:color w:val="auto"/>
                <w:sz w:val="21"/>
                <w:szCs w:val="21"/>
                <w:lang w:val="en-US" w:eastAsia="zh-CN" w:bidi="ar"/>
              </w:rPr>
              <w:t>汤体</w:t>
            </w:r>
            <w:r>
              <w:rPr>
                <w:rStyle w:val="35"/>
                <w:color w:val="auto"/>
                <w:sz w:val="21"/>
                <w:szCs w:val="21"/>
                <w:lang w:val="en-US" w:eastAsia="zh-CN" w:bidi="ar"/>
              </w:rPr>
              <w:t>均匀一致</w:t>
            </w:r>
            <w:r>
              <w:rPr>
                <w:rStyle w:val="35"/>
                <w:rFonts w:hint="eastAsia"/>
                <w:color w:val="auto"/>
                <w:sz w:val="21"/>
                <w:szCs w:val="21"/>
                <w:lang w:val="en-US" w:eastAsia="zh-CN" w:bidi="ar"/>
              </w:rPr>
              <w:t>，黏稠</w:t>
            </w:r>
            <w:r>
              <w:rPr>
                <w:rStyle w:val="35"/>
                <w:color w:val="auto"/>
                <w:sz w:val="21"/>
                <w:szCs w:val="21"/>
                <w:lang w:val="en-US" w:eastAsia="zh-CN" w:bidi="ar"/>
              </w:rPr>
              <w:t>适度</w:t>
            </w:r>
            <w:r>
              <w:rPr>
                <w:rStyle w:val="35"/>
                <w:rFonts w:hint="eastAsia"/>
                <w:color w:val="auto"/>
                <w:sz w:val="21"/>
                <w:szCs w:val="21"/>
                <w:lang w:val="en-US" w:eastAsia="zh-CN" w:bidi="ar"/>
              </w:rPr>
              <w:t>，允许表面有油层覆盖</w:t>
            </w:r>
          </w:p>
        </w:tc>
        <w:tc>
          <w:tcPr>
            <w:tcW w:w="2247" w:type="dxa"/>
            <w:tcBorders>
              <w:top w:val="single" w:color="000000" w:sz="4" w:space="0"/>
              <w:left w:val="single" w:color="000000" w:sz="4" w:space="0"/>
              <w:bottom w:val="single" w:color="000000" w:sz="4" w:space="0"/>
              <w:right w:val="single" w:color="000000" w:sz="4" w:space="0"/>
            </w:tcBorders>
            <w:noWrap w:val="0"/>
            <w:vAlign w:val="center"/>
          </w:tcPr>
          <w:p w14:paraId="62FC9934">
            <w:pPr>
              <w:keepNext w:val="0"/>
              <w:keepLines w:val="0"/>
              <w:widowControl/>
              <w:suppressLineNumbers w:val="0"/>
              <w:jc w:val="both"/>
              <w:textAlignment w:val="center"/>
              <w:rPr>
                <w:rFonts w:hint="default" w:ascii="Arial" w:hAnsi="Arial" w:cs="Arial"/>
                <w:i w:val="0"/>
                <w:iCs w:val="0"/>
                <w:color w:val="auto"/>
                <w:sz w:val="21"/>
                <w:szCs w:val="21"/>
                <w:u w:val="none"/>
                <w:lang w:val="en-US"/>
              </w:rPr>
            </w:pPr>
            <w:r>
              <w:rPr>
                <w:rStyle w:val="35"/>
                <w:rFonts w:hint="eastAsia"/>
                <w:color w:val="auto"/>
                <w:sz w:val="21"/>
                <w:szCs w:val="21"/>
                <w:lang w:val="en-US" w:eastAsia="zh-CN" w:bidi="ar"/>
              </w:rPr>
              <w:t>汤体</w:t>
            </w:r>
            <w:r>
              <w:rPr>
                <w:rStyle w:val="35"/>
                <w:color w:val="auto"/>
                <w:sz w:val="21"/>
                <w:szCs w:val="21"/>
                <w:lang w:val="en-US" w:eastAsia="zh-CN" w:bidi="ar"/>
              </w:rPr>
              <w:t>均匀一致</w:t>
            </w:r>
            <w:r>
              <w:rPr>
                <w:rStyle w:val="35"/>
                <w:rFonts w:hint="eastAsia"/>
                <w:color w:val="auto"/>
                <w:sz w:val="21"/>
                <w:szCs w:val="21"/>
                <w:lang w:val="en-US" w:eastAsia="zh-CN" w:bidi="ar"/>
              </w:rPr>
              <w:t>，黏稠</w:t>
            </w:r>
            <w:r>
              <w:rPr>
                <w:rStyle w:val="35"/>
                <w:color w:val="auto"/>
                <w:sz w:val="21"/>
                <w:szCs w:val="21"/>
                <w:lang w:val="en-US" w:eastAsia="zh-CN" w:bidi="ar"/>
              </w:rPr>
              <w:t>适度</w:t>
            </w:r>
            <w:r>
              <w:rPr>
                <w:rStyle w:val="35"/>
                <w:rFonts w:hint="eastAsia"/>
                <w:color w:val="auto"/>
                <w:sz w:val="21"/>
                <w:szCs w:val="21"/>
                <w:lang w:val="en-US" w:eastAsia="zh-CN" w:bidi="ar"/>
              </w:rPr>
              <w:t>，</w:t>
            </w:r>
            <w:r>
              <w:rPr>
                <w:rStyle w:val="35"/>
                <w:color w:val="auto"/>
                <w:sz w:val="21"/>
                <w:szCs w:val="21"/>
                <w:lang w:val="en-US" w:eastAsia="zh-CN" w:bidi="ar"/>
              </w:rPr>
              <w:t>无霉花浮膜</w:t>
            </w:r>
            <w:r>
              <w:rPr>
                <w:rStyle w:val="35"/>
                <w:rFonts w:hint="eastAsia"/>
                <w:color w:val="auto"/>
                <w:sz w:val="21"/>
                <w:szCs w:val="21"/>
                <w:lang w:val="en-US" w:eastAsia="zh-CN" w:bidi="ar"/>
              </w:rPr>
              <w:t>，允许表面有少量析水；针对稀汤体，还允许有少量悬浮物或沉淀</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60DFDE">
            <w:pPr>
              <w:jc w:val="center"/>
              <w:rPr>
                <w:rFonts w:hint="default" w:ascii="Arial" w:hAnsi="Arial" w:cs="Arial"/>
                <w:i w:val="0"/>
                <w:iCs w:val="0"/>
                <w:color w:val="auto"/>
                <w:sz w:val="21"/>
                <w:szCs w:val="21"/>
                <w:u w:val="none"/>
              </w:rPr>
            </w:pPr>
          </w:p>
        </w:tc>
      </w:tr>
      <w:tr w14:paraId="76EDA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jc w:val="center"/>
        </w:trPr>
        <w:tc>
          <w:tcPr>
            <w:tcW w:w="1348" w:type="dxa"/>
            <w:tcBorders>
              <w:top w:val="single" w:color="000000" w:sz="4" w:space="0"/>
              <w:left w:val="single" w:color="000000" w:sz="4" w:space="0"/>
              <w:bottom w:val="single" w:color="000000" w:sz="4" w:space="0"/>
              <w:right w:val="single" w:color="000000" w:sz="4" w:space="0"/>
            </w:tcBorders>
            <w:noWrap w:val="0"/>
            <w:vAlign w:val="center"/>
          </w:tcPr>
          <w:p w14:paraId="5CFD380F">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杂</w:t>
            </w:r>
            <w:r>
              <w:rPr>
                <w:rStyle w:val="35"/>
                <w:rFonts w:hint="eastAsia"/>
                <w:color w:val="auto"/>
                <w:sz w:val="21"/>
                <w:szCs w:val="21"/>
                <w:lang w:val="en-US" w:eastAsia="zh-CN" w:bidi="ar"/>
              </w:rPr>
              <w:t xml:space="preserve">  </w:t>
            </w:r>
            <w:r>
              <w:rPr>
                <w:rStyle w:val="35"/>
                <w:color w:val="auto"/>
                <w:sz w:val="21"/>
                <w:szCs w:val="21"/>
                <w:lang w:val="en-US" w:eastAsia="zh-CN" w:bidi="ar"/>
              </w:rPr>
              <w:t>质</w:t>
            </w:r>
          </w:p>
        </w:tc>
        <w:tc>
          <w:tcPr>
            <w:tcW w:w="4499" w:type="dxa"/>
            <w:gridSpan w:val="2"/>
            <w:tcBorders>
              <w:top w:val="single" w:color="000000" w:sz="4" w:space="0"/>
              <w:left w:val="single" w:color="000000" w:sz="4" w:space="0"/>
              <w:bottom w:val="single" w:color="000000" w:sz="4" w:space="0"/>
              <w:right w:val="single" w:color="000000" w:sz="4" w:space="0"/>
            </w:tcBorders>
            <w:noWrap w:val="0"/>
            <w:vAlign w:val="center"/>
          </w:tcPr>
          <w:p w14:paraId="1019F604">
            <w:pPr>
              <w:keepNext w:val="0"/>
              <w:keepLines w:val="0"/>
              <w:widowControl/>
              <w:suppressLineNumbers w:val="0"/>
              <w:jc w:val="center"/>
              <w:textAlignment w:val="center"/>
              <w:rPr>
                <w:rFonts w:hint="default" w:ascii="Arial" w:hAnsi="Arial" w:cs="Arial"/>
                <w:i w:val="0"/>
                <w:iCs w:val="0"/>
                <w:color w:val="auto"/>
                <w:sz w:val="21"/>
                <w:szCs w:val="21"/>
                <w:u w:val="none"/>
              </w:rPr>
            </w:pPr>
            <w:r>
              <w:rPr>
                <w:rStyle w:val="35"/>
                <w:color w:val="auto"/>
                <w:sz w:val="21"/>
                <w:szCs w:val="21"/>
                <w:lang w:val="en-US" w:eastAsia="zh-CN" w:bidi="ar"/>
              </w:rPr>
              <w:t>无肉眼可见外来杂质</w:t>
            </w:r>
          </w:p>
        </w:tc>
        <w:tc>
          <w:tcPr>
            <w:tcW w:w="25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E4EA41">
            <w:pPr>
              <w:jc w:val="center"/>
              <w:rPr>
                <w:rFonts w:hint="default" w:ascii="Arial" w:hAnsi="Arial" w:cs="Arial"/>
                <w:i w:val="0"/>
                <w:iCs w:val="0"/>
                <w:color w:val="auto"/>
                <w:sz w:val="21"/>
                <w:szCs w:val="21"/>
                <w:u w:val="none"/>
              </w:rPr>
            </w:pPr>
          </w:p>
        </w:tc>
      </w:tr>
    </w:tbl>
    <w:p w14:paraId="7A16C120">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5.3理化指标</w:t>
      </w:r>
    </w:p>
    <w:p w14:paraId="0BE4C24F">
      <w:pPr>
        <w:widowControl/>
        <w:spacing w:line="360" w:lineRule="auto"/>
        <w:ind w:firstLine="420" w:firstLineChars="200"/>
        <w:jc w:val="left"/>
        <w:rPr>
          <w:rFonts w:hint="default" w:ascii="宋体" w:hAnsi="宋体" w:eastAsia="宋体" w:cs="宋体"/>
          <w:color w:val="auto"/>
          <w:kern w:val="0"/>
          <w:sz w:val="21"/>
          <w:szCs w:val="21"/>
          <w:lang w:val="en-US" w:eastAsia="zh-CN" w:bidi="ar"/>
        </w:rPr>
      </w:pPr>
      <w:r>
        <w:rPr>
          <w:rFonts w:hint="default" w:ascii="宋体" w:hAnsi="宋体" w:eastAsia="宋体" w:cs="宋体"/>
          <w:color w:val="auto"/>
          <w:kern w:val="0"/>
          <w:sz w:val="21"/>
          <w:szCs w:val="21"/>
          <w:lang w:val="en-US" w:eastAsia="zh-CN" w:bidi="ar"/>
        </w:rPr>
        <w:t>应符合表</w:t>
      </w:r>
      <w:r>
        <w:rPr>
          <w:rFonts w:hint="eastAsia" w:ascii="宋体" w:hAnsi="宋体" w:eastAsia="宋体" w:cs="宋体"/>
          <w:color w:val="auto"/>
          <w:kern w:val="0"/>
          <w:sz w:val="21"/>
          <w:szCs w:val="21"/>
          <w:lang w:val="en-US" w:eastAsia="zh-CN" w:bidi="ar"/>
        </w:rPr>
        <w:t>2</w:t>
      </w:r>
      <w:r>
        <w:rPr>
          <w:rFonts w:hint="default" w:ascii="宋体" w:hAnsi="宋体" w:eastAsia="宋体" w:cs="宋体"/>
          <w:color w:val="auto"/>
          <w:kern w:val="0"/>
          <w:sz w:val="21"/>
          <w:szCs w:val="21"/>
          <w:lang w:val="en-US" w:eastAsia="zh-CN" w:bidi="ar"/>
        </w:rPr>
        <w:t>的规定。</w:t>
      </w:r>
    </w:p>
    <w:p w14:paraId="69E4DB2F">
      <w:pPr>
        <w:widowControl/>
        <w:jc w:val="center"/>
        <w:rPr>
          <w:rFonts w:hint="default" w:ascii="Times New Roman" w:hAnsi="Times New Roman"/>
          <w:b/>
          <w:bCs/>
          <w:color w:val="auto"/>
          <w:szCs w:val="21"/>
          <w:lang w:val="en-US"/>
        </w:rPr>
      </w:pPr>
      <w:r>
        <w:rPr>
          <w:rFonts w:ascii="Times New Roman" w:hAnsi="Times New Roman"/>
          <w:b/>
          <w:bCs/>
          <w:color w:val="auto"/>
          <w:szCs w:val="21"/>
        </w:rPr>
        <w:t>表</w:t>
      </w:r>
      <w:r>
        <w:rPr>
          <w:rFonts w:hint="eastAsia" w:ascii="Times New Roman" w:hAnsi="Times New Roman"/>
          <w:b/>
          <w:bCs/>
          <w:color w:val="auto"/>
          <w:szCs w:val="21"/>
          <w:lang w:val="en-US" w:eastAsia="zh-CN"/>
        </w:rPr>
        <w:t>2</w:t>
      </w:r>
      <w:r>
        <w:rPr>
          <w:rFonts w:ascii="Times New Roman" w:hAnsi="Times New Roman"/>
          <w:b/>
          <w:bCs/>
          <w:color w:val="auto"/>
          <w:szCs w:val="21"/>
        </w:rPr>
        <w:t xml:space="preserve"> </w:t>
      </w:r>
      <w:r>
        <w:rPr>
          <w:rFonts w:hint="eastAsia" w:ascii="Times New Roman" w:hAnsi="Times New Roman"/>
          <w:b/>
          <w:bCs/>
          <w:color w:val="auto"/>
          <w:szCs w:val="21"/>
          <w:lang w:val="en-US" w:eastAsia="zh-CN"/>
        </w:rPr>
        <w:t>理化指标</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08"/>
        <w:gridCol w:w="1401"/>
        <w:gridCol w:w="1220"/>
        <w:gridCol w:w="1890"/>
      </w:tblGrid>
      <w:tr w14:paraId="76B05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 w:hRule="atLeast"/>
          <w:jc w:val="center"/>
        </w:trPr>
        <w:tc>
          <w:tcPr>
            <w:tcW w:w="2352" w:type="pct"/>
            <w:vMerge w:val="restart"/>
            <w:tcBorders>
              <w:top w:val="single" w:color="000000" w:sz="4" w:space="0"/>
              <w:left w:val="single" w:color="000000" w:sz="4" w:space="0"/>
              <w:bottom w:val="single" w:color="000000" w:sz="4" w:space="0"/>
              <w:right w:val="single" w:color="000000" w:sz="4" w:space="0"/>
            </w:tcBorders>
            <w:noWrap w:val="0"/>
            <w:vAlign w:val="center"/>
          </w:tcPr>
          <w:p w14:paraId="0105E82C">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项 目</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47EDBC23">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技术要求</w:t>
            </w:r>
          </w:p>
        </w:tc>
        <w:tc>
          <w:tcPr>
            <w:tcW w:w="1109" w:type="pct"/>
            <w:vMerge w:val="restart"/>
            <w:tcBorders>
              <w:top w:val="single" w:color="000000" w:sz="4" w:space="0"/>
              <w:left w:val="single" w:color="000000" w:sz="4" w:space="0"/>
              <w:bottom w:val="single" w:color="000000" w:sz="4" w:space="0"/>
              <w:right w:val="single" w:color="000000" w:sz="4" w:space="0"/>
            </w:tcBorders>
            <w:noWrap w:val="0"/>
            <w:vAlign w:val="center"/>
          </w:tcPr>
          <w:p w14:paraId="18221229">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检验方法</w:t>
            </w:r>
          </w:p>
        </w:tc>
      </w:tr>
      <w:tr w14:paraId="46725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2" w:type="pct"/>
            <w:vMerge w:val="continue"/>
            <w:tcBorders>
              <w:top w:val="single" w:color="000000" w:sz="4" w:space="0"/>
              <w:left w:val="single" w:color="000000" w:sz="4" w:space="0"/>
              <w:bottom w:val="single" w:color="000000" w:sz="4" w:space="0"/>
              <w:right w:val="single" w:color="000000" w:sz="4" w:space="0"/>
            </w:tcBorders>
            <w:noWrap w:val="0"/>
            <w:vAlign w:val="center"/>
          </w:tcPr>
          <w:p w14:paraId="250F7BF5">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5D8C553F">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含油型</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5CC4BCB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非含油型</w:t>
            </w:r>
          </w:p>
        </w:tc>
        <w:tc>
          <w:tcPr>
            <w:tcW w:w="1109" w:type="pct"/>
            <w:vMerge w:val="continue"/>
            <w:tcBorders>
              <w:top w:val="single" w:color="000000" w:sz="4" w:space="0"/>
              <w:left w:val="single" w:color="000000" w:sz="4" w:space="0"/>
              <w:bottom w:val="single" w:color="000000" w:sz="4" w:space="0"/>
              <w:right w:val="single" w:color="000000" w:sz="4" w:space="0"/>
            </w:tcBorders>
            <w:noWrap w:val="0"/>
            <w:vAlign w:val="center"/>
          </w:tcPr>
          <w:p w14:paraId="04F2F75C">
            <w:pPr>
              <w:keepNext w:val="0"/>
              <w:keepLines w:val="0"/>
              <w:widowControl/>
              <w:suppressLineNumbers w:val="0"/>
              <w:jc w:val="center"/>
              <w:textAlignment w:val="center"/>
              <w:rPr>
                <w:rFonts w:hint="eastAsia" w:ascii="宋体" w:hAnsi="宋体" w:eastAsia="宋体" w:cs="宋体"/>
                <w:i w:val="0"/>
                <w:iCs w:val="0"/>
                <w:color w:val="auto"/>
                <w:kern w:val="0"/>
                <w:sz w:val="21"/>
                <w:szCs w:val="21"/>
                <w:u w:val="none"/>
                <w:lang w:val="en-US" w:eastAsia="zh-CN" w:bidi="ar"/>
              </w:rPr>
            </w:pPr>
          </w:p>
        </w:tc>
      </w:tr>
      <w:tr w14:paraId="1430F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2" w:type="pct"/>
            <w:tcBorders>
              <w:top w:val="single" w:color="000000" w:sz="4" w:space="0"/>
              <w:left w:val="single" w:color="000000" w:sz="4" w:space="0"/>
              <w:bottom w:val="single" w:color="000000" w:sz="4" w:space="0"/>
              <w:right w:val="single" w:color="000000" w:sz="4" w:space="0"/>
            </w:tcBorders>
            <w:noWrap w:val="0"/>
            <w:vAlign w:val="center"/>
          </w:tcPr>
          <w:p w14:paraId="7A77F1CD">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过氧化值(以脂肪计)/(g/100g)≤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3EA3E01E">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0.25</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6092198A">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w:t>
            </w:r>
          </w:p>
        </w:tc>
        <w:tc>
          <w:tcPr>
            <w:tcW w:w="1109" w:type="pct"/>
            <w:tcBorders>
              <w:top w:val="single" w:color="000000" w:sz="4" w:space="0"/>
              <w:left w:val="single" w:color="000000" w:sz="4" w:space="0"/>
              <w:bottom w:val="single" w:color="000000" w:sz="4" w:space="0"/>
              <w:right w:val="single" w:color="000000" w:sz="4" w:space="0"/>
            </w:tcBorders>
            <w:noWrap w:val="0"/>
            <w:vAlign w:val="center"/>
          </w:tcPr>
          <w:p w14:paraId="5C2EA861">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5009.227</w:t>
            </w:r>
          </w:p>
        </w:tc>
      </w:tr>
      <w:tr w14:paraId="1D28E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2" w:type="pct"/>
            <w:tcBorders>
              <w:top w:val="single" w:color="000000" w:sz="4" w:space="0"/>
              <w:left w:val="single" w:color="000000" w:sz="4" w:space="0"/>
              <w:bottom w:val="single" w:color="000000" w:sz="4" w:space="0"/>
              <w:right w:val="single" w:color="000000" w:sz="4" w:space="0"/>
            </w:tcBorders>
            <w:noWrap w:val="0"/>
            <w:vAlign w:val="center"/>
          </w:tcPr>
          <w:p w14:paraId="27D02723">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氯化物</w:t>
            </w:r>
            <w:r>
              <w:rPr>
                <w:rFonts w:ascii="宋体" w:hAnsi="宋体" w:eastAsia="宋体" w:cs="宋体"/>
                <w:i w:val="0"/>
                <w:iCs w:val="0"/>
                <w:color w:val="auto"/>
                <w:kern w:val="0"/>
                <w:sz w:val="21"/>
                <w:szCs w:val="21"/>
                <w:u w:val="none"/>
                <w:lang w:val="en-US" w:eastAsia="zh-CN" w:bidi="ar"/>
              </w:rPr>
              <w:t>(以</w:t>
            </w:r>
            <w:r>
              <w:rPr>
                <w:rFonts w:hint="eastAsia" w:ascii="宋体" w:hAnsi="宋体" w:eastAsia="宋体" w:cs="宋体"/>
                <w:i w:val="0"/>
                <w:iCs w:val="0"/>
                <w:color w:val="auto"/>
                <w:kern w:val="0"/>
                <w:sz w:val="21"/>
                <w:szCs w:val="21"/>
                <w:u w:val="none"/>
                <w:lang w:val="en-US" w:eastAsia="zh-CN" w:bidi="ar"/>
              </w:rPr>
              <w:t>Cl</w:t>
            </w:r>
            <w:r>
              <w:rPr>
                <w:rFonts w:hint="eastAsia" w:ascii="宋体" w:hAnsi="宋体" w:eastAsia="宋体" w:cs="宋体"/>
                <w:i w:val="0"/>
                <w:iCs w:val="0"/>
                <w:color w:val="auto"/>
                <w:kern w:val="0"/>
                <w:sz w:val="21"/>
                <w:szCs w:val="21"/>
                <w:u w:val="none"/>
                <w:vertAlign w:val="superscript"/>
                <w:lang w:val="en-US" w:eastAsia="zh-CN" w:bidi="ar"/>
              </w:rPr>
              <w:t>-</w:t>
            </w:r>
            <w:r>
              <w:rPr>
                <w:rFonts w:ascii="宋体" w:hAnsi="宋体" w:eastAsia="宋体" w:cs="宋体"/>
                <w:i w:val="0"/>
                <w:iCs w:val="0"/>
                <w:color w:val="auto"/>
                <w:kern w:val="0"/>
                <w:sz w:val="21"/>
                <w:szCs w:val="21"/>
                <w:u w:val="none"/>
                <w:lang w:val="en-US" w:eastAsia="zh-CN" w:bidi="ar"/>
              </w:rPr>
              <w:t>计)/(g/</w:t>
            </w:r>
            <w:r>
              <w:rPr>
                <w:rFonts w:hint="eastAsia" w:ascii="宋体" w:hAnsi="宋体" w:eastAsia="宋体" w:cs="宋体"/>
                <w:i w:val="0"/>
                <w:iCs w:val="0"/>
                <w:color w:val="auto"/>
                <w:kern w:val="0"/>
                <w:sz w:val="21"/>
                <w:szCs w:val="21"/>
                <w:u w:val="none"/>
                <w:lang w:val="en-US" w:eastAsia="zh-CN" w:bidi="ar"/>
              </w:rPr>
              <w:t>100</w:t>
            </w:r>
            <w:r>
              <w:rPr>
                <w:rFonts w:ascii="宋体" w:hAnsi="宋体" w:eastAsia="宋体" w:cs="宋体"/>
                <w:i w:val="0"/>
                <w:iCs w:val="0"/>
                <w:color w:val="auto"/>
                <w:kern w:val="0"/>
                <w:sz w:val="21"/>
                <w:szCs w:val="21"/>
                <w:u w:val="none"/>
                <w:lang w:val="en-US" w:eastAsia="zh-CN" w:bidi="ar"/>
              </w:rPr>
              <w:t>g)≤</w:t>
            </w:r>
          </w:p>
        </w:tc>
        <w:tc>
          <w:tcPr>
            <w:tcW w:w="822" w:type="pct"/>
            <w:tcBorders>
              <w:top w:val="single" w:color="000000" w:sz="4" w:space="0"/>
              <w:left w:val="single" w:color="000000" w:sz="4" w:space="0"/>
              <w:bottom w:val="single" w:color="000000" w:sz="4" w:space="0"/>
              <w:right w:val="single" w:color="000000" w:sz="4" w:space="0"/>
            </w:tcBorders>
            <w:noWrap w:val="0"/>
            <w:vAlign w:val="center"/>
          </w:tcPr>
          <w:p w14:paraId="3EC77BF7">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9.0</w:t>
            </w:r>
          </w:p>
        </w:tc>
        <w:tc>
          <w:tcPr>
            <w:tcW w:w="716" w:type="pct"/>
            <w:tcBorders>
              <w:top w:val="single" w:color="000000" w:sz="4" w:space="0"/>
              <w:left w:val="single" w:color="000000" w:sz="4" w:space="0"/>
              <w:bottom w:val="single" w:color="000000" w:sz="4" w:space="0"/>
              <w:right w:val="single" w:color="000000" w:sz="4" w:space="0"/>
            </w:tcBorders>
            <w:noWrap w:val="0"/>
            <w:vAlign w:val="center"/>
          </w:tcPr>
          <w:p w14:paraId="6BB47EB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highlight w:val="none"/>
                <w:u w:val="none"/>
                <w:shd w:val="clear" w:color="auto" w:fill="auto"/>
                <w:lang w:val="en-US" w:eastAsia="zh-CN" w:bidi="ar"/>
              </w:rPr>
              <w:t>5.0</w:t>
            </w:r>
          </w:p>
        </w:tc>
        <w:tc>
          <w:tcPr>
            <w:tcW w:w="1109" w:type="pct"/>
            <w:tcBorders>
              <w:top w:val="single" w:color="000000" w:sz="4" w:space="0"/>
              <w:left w:val="single" w:color="000000" w:sz="4" w:space="0"/>
              <w:bottom w:val="single" w:color="000000" w:sz="4" w:space="0"/>
              <w:right w:val="single" w:color="000000" w:sz="4" w:space="0"/>
            </w:tcBorders>
            <w:noWrap w:val="0"/>
            <w:vAlign w:val="center"/>
          </w:tcPr>
          <w:p w14:paraId="4239ECD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eastAsia" w:ascii="Times New Roman" w:hAnsi="Times New Roman" w:eastAsia="宋体" w:cs="Times New Roman"/>
                <w:color w:val="auto"/>
                <w:kern w:val="0"/>
                <w:szCs w:val="21"/>
                <w:lang w:val="en-US" w:eastAsia="zh-CN"/>
              </w:rPr>
              <w:t>GB 5009.44</w:t>
            </w:r>
          </w:p>
        </w:tc>
      </w:tr>
      <w:tr w14:paraId="28D8D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2" w:type="pct"/>
            <w:tcBorders>
              <w:top w:val="single" w:color="000000" w:sz="4" w:space="0"/>
              <w:left w:val="single" w:color="000000" w:sz="4" w:space="0"/>
              <w:bottom w:val="single" w:color="000000" w:sz="4" w:space="0"/>
              <w:right w:val="single" w:color="000000" w:sz="4" w:space="0"/>
            </w:tcBorders>
            <w:noWrap w:val="0"/>
            <w:vAlign w:val="center"/>
          </w:tcPr>
          <w:p w14:paraId="7F33E7E5">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总酸(以乳酸计)/(g/</w:t>
            </w:r>
            <w:r>
              <w:rPr>
                <w:rFonts w:hint="eastAsia" w:ascii="宋体" w:hAnsi="宋体" w:eastAsia="宋体" w:cs="宋体"/>
                <w:i w:val="0"/>
                <w:iCs w:val="0"/>
                <w:color w:val="auto"/>
                <w:kern w:val="0"/>
                <w:sz w:val="21"/>
                <w:szCs w:val="21"/>
                <w:u w:val="none"/>
                <w:lang w:val="en-US" w:eastAsia="zh-CN" w:bidi="ar"/>
              </w:rPr>
              <w:t xml:space="preserve">100 </w:t>
            </w:r>
            <w:r>
              <w:rPr>
                <w:rFonts w:ascii="宋体" w:hAnsi="宋体" w:eastAsia="宋体" w:cs="宋体"/>
                <w:i w:val="0"/>
                <w:iCs w:val="0"/>
                <w:color w:val="auto"/>
                <w:kern w:val="0"/>
                <w:sz w:val="21"/>
                <w:szCs w:val="21"/>
                <w:u w:val="none"/>
                <w:lang w:val="en-US" w:eastAsia="zh-CN" w:bidi="ar"/>
              </w:rPr>
              <w:t>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top"/>
          </w:tcPr>
          <w:p w14:paraId="4224C1CF">
            <w:pPr>
              <w:keepNext w:val="0"/>
              <w:keepLines w:val="0"/>
              <w:widowControl/>
              <w:suppressLineNumbers w:val="0"/>
              <w:jc w:val="center"/>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0.3</w:t>
            </w:r>
          </w:p>
        </w:tc>
        <w:tc>
          <w:tcPr>
            <w:tcW w:w="1109" w:type="pct"/>
            <w:tcBorders>
              <w:top w:val="single" w:color="000000" w:sz="4" w:space="0"/>
              <w:left w:val="single" w:color="000000" w:sz="4" w:space="0"/>
              <w:bottom w:val="single" w:color="000000" w:sz="4" w:space="0"/>
              <w:right w:val="single" w:color="000000" w:sz="4" w:space="0"/>
            </w:tcBorders>
            <w:noWrap w:val="0"/>
            <w:vAlign w:val="top"/>
          </w:tcPr>
          <w:p w14:paraId="570E683E">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12456</w:t>
            </w:r>
          </w:p>
        </w:tc>
      </w:tr>
      <w:tr w14:paraId="2E13B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2" w:type="pct"/>
            <w:tcBorders>
              <w:top w:val="single" w:color="000000" w:sz="4" w:space="0"/>
              <w:left w:val="single" w:color="000000" w:sz="4" w:space="0"/>
              <w:bottom w:val="single" w:color="000000" w:sz="4" w:space="0"/>
              <w:right w:val="single" w:color="000000" w:sz="4" w:space="0"/>
            </w:tcBorders>
            <w:noWrap w:val="0"/>
            <w:vAlign w:val="center"/>
          </w:tcPr>
          <w:p w14:paraId="1DB27BA7">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乳酸/(g/kg)</w:t>
            </w:r>
            <w:r>
              <w:rPr>
                <w:rFonts w:hint="eastAsia" w:ascii="宋体" w:hAnsi="宋体" w:eastAsia="宋体" w:cs="宋体"/>
                <w:i w:val="0"/>
                <w:iCs w:val="0"/>
                <w:color w:val="auto"/>
                <w:kern w:val="0"/>
                <w:sz w:val="21"/>
                <w:szCs w:val="21"/>
                <w:u w:val="none"/>
                <w:lang w:val="en-US" w:eastAsia="zh-CN" w:bidi="ar"/>
              </w:rPr>
              <w:t>＞</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17B49DCB">
            <w:pPr>
              <w:keepNext w:val="0"/>
              <w:keepLines w:val="0"/>
              <w:widowControl/>
              <w:suppressLineNumbers w:val="0"/>
              <w:jc w:val="center"/>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0.8</w:t>
            </w:r>
          </w:p>
        </w:tc>
        <w:tc>
          <w:tcPr>
            <w:tcW w:w="1109" w:type="pct"/>
            <w:tcBorders>
              <w:top w:val="single" w:color="000000" w:sz="4" w:space="0"/>
              <w:left w:val="single" w:color="000000" w:sz="4" w:space="0"/>
              <w:bottom w:val="single" w:color="000000" w:sz="4" w:space="0"/>
              <w:right w:val="single" w:color="000000" w:sz="4" w:space="0"/>
            </w:tcBorders>
            <w:noWrap w:val="0"/>
            <w:vAlign w:val="center"/>
          </w:tcPr>
          <w:p w14:paraId="5A51977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5009.157</w:t>
            </w:r>
          </w:p>
        </w:tc>
      </w:tr>
      <w:tr w14:paraId="52197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352" w:type="pct"/>
            <w:tcBorders>
              <w:top w:val="single" w:color="000000" w:sz="4" w:space="0"/>
              <w:left w:val="single" w:color="000000" w:sz="4" w:space="0"/>
              <w:bottom w:val="single" w:color="000000" w:sz="4" w:space="0"/>
              <w:right w:val="single" w:color="000000" w:sz="4" w:space="0"/>
            </w:tcBorders>
            <w:noWrap w:val="0"/>
            <w:vAlign w:val="center"/>
          </w:tcPr>
          <w:p w14:paraId="33298822">
            <w:pPr>
              <w:keepNext w:val="0"/>
              <w:keepLines w:val="0"/>
              <w:widowControl/>
              <w:suppressLineNumbers w:val="0"/>
              <w:jc w:val="center"/>
              <w:textAlignment w:val="center"/>
              <w:rPr>
                <w:rFonts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亚硝酸盐(以NaNO₂计)/(mg/kg)≤</w:t>
            </w:r>
          </w:p>
        </w:tc>
        <w:tc>
          <w:tcPr>
            <w:tcW w:w="1538" w:type="pct"/>
            <w:gridSpan w:val="2"/>
            <w:tcBorders>
              <w:top w:val="single" w:color="000000" w:sz="4" w:space="0"/>
              <w:left w:val="single" w:color="000000" w:sz="4" w:space="0"/>
              <w:bottom w:val="single" w:color="000000" w:sz="4" w:space="0"/>
              <w:right w:val="single" w:color="000000" w:sz="4" w:space="0"/>
            </w:tcBorders>
            <w:noWrap w:val="0"/>
            <w:vAlign w:val="center"/>
          </w:tcPr>
          <w:p w14:paraId="3129F54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10.0</w:t>
            </w:r>
          </w:p>
        </w:tc>
        <w:tc>
          <w:tcPr>
            <w:tcW w:w="1109" w:type="pct"/>
            <w:tcBorders>
              <w:top w:val="single" w:color="000000" w:sz="4" w:space="0"/>
              <w:left w:val="single" w:color="000000" w:sz="4" w:space="0"/>
              <w:bottom w:val="single" w:color="000000" w:sz="4" w:space="0"/>
              <w:right w:val="single" w:color="000000" w:sz="4" w:space="0"/>
            </w:tcBorders>
            <w:noWrap w:val="0"/>
            <w:vAlign w:val="center"/>
          </w:tcPr>
          <w:p w14:paraId="68B26B39">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GB 5009.33</w:t>
            </w:r>
          </w:p>
        </w:tc>
      </w:tr>
    </w:tbl>
    <w:p w14:paraId="442C327B">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5.4微生物限量</w:t>
      </w:r>
    </w:p>
    <w:p w14:paraId="3218E5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color w:val="0C0C0C"/>
          <w:kern w:val="0"/>
          <w:sz w:val="21"/>
          <w:szCs w:val="21"/>
          <w:lang w:val="en-US" w:eastAsia="zh-CN" w:bidi="ar"/>
        </w:rPr>
      </w:pPr>
      <w:r>
        <w:rPr>
          <w:rFonts w:hint="default" w:ascii="Times New Roman" w:hAnsi="Times New Roman" w:eastAsia="宋体" w:cs="Times New Roman"/>
          <w:sz w:val="24"/>
          <w:szCs w:val="24"/>
          <w:lang w:val="en-US" w:eastAsia="zh-CN"/>
        </w:rPr>
        <w:t>本文件对即食类的</w:t>
      </w:r>
      <w:r>
        <w:rPr>
          <w:rFonts w:hint="eastAsia" w:ascii="Times New Roman" w:hAnsi="Times New Roman" w:cs="Times New Roman"/>
          <w:sz w:val="24"/>
          <w:szCs w:val="24"/>
          <w:lang w:val="en-US" w:eastAsia="zh-CN"/>
        </w:rPr>
        <w:t>复合酸汤调味料</w:t>
      </w:r>
      <w:r>
        <w:rPr>
          <w:rFonts w:hint="default" w:ascii="Times New Roman" w:hAnsi="Times New Roman" w:eastAsia="宋体" w:cs="Times New Roman"/>
          <w:sz w:val="24"/>
          <w:szCs w:val="24"/>
          <w:lang w:val="en-US" w:eastAsia="zh-CN"/>
        </w:rPr>
        <w:t>，结合检测数据，参考T/GZSX 025-2018《贵州酸汤调味料》、T/CNFIA 118-2020《酸汤调味料》对于红酸汤的要求制定了微生物限量，致病菌限量应符合GB 29921的规定，即食类酸汤产品的大肠菌群限量见表3。</w:t>
      </w:r>
    </w:p>
    <w:p w14:paraId="272DE737">
      <w:pPr>
        <w:widowControl/>
        <w:jc w:val="center"/>
        <w:rPr>
          <w:rFonts w:ascii="Times New Roman" w:hAnsi="Times New Roman" w:eastAsia="宋体" w:cs="Times New Roman"/>
          <w:b/>
          <w:bCs/>
          <w:color w:val="auto"/>
          <w:szCs w:val="21"/>
        </w:rPr>
      </w:pPr>
      <w:r>
        <w:rPr>
          <w:rFonts w:hint="eastAsia" w:ascii="Times New Roman" w:hAnsi="Times New Roman" w:eastAsia="宋体" w:cs="Times New Roman"/>
          <w:b/>
          <w:bCs/>
          <w:color w:val="auto"/>
          <w:szCs w:val="21"/>
          <w:lang w:val="en-US" w:eastAsia="zh-CN"/>
        </w:rPr>
        <w:t>表3 微生物限量</w:t>
      </w:r>
    </w:p>
    <w:tbl>
      <w:tblPr>
        <w:tblStyle w:val="13"/>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02"/>
        <w:gridCol w:w="1044"/>
        <w:gridCol w:w="966"/>
        <w:gridCol w:w="1036"/>
        <w:gridCol w:w="1063"/>
        <w:gridCol w:w="2408"/>
      </w:tblGrid>
      <w:tr w14:paraId="399EA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 w:hRule="atLeast"/>
          <w:jc w:val="center"/>
        </w:trPr>
        <w:tc>
          <w:tcPr>
            <w:tcW w:w="1175" w:type="pct"/>
            <w:vMerge w:val="restart"/>
            <w:tcBorders>
              <w:top w:val="single" w:color="000000" w:sz="4" w:space="0"/>
              <w:left w:val="single" w:color="000000" w:sz="4" w:space="0"/>
              <w:bottom w:val="single" w:color="000000" w:sz="4" w:space="0"/>
              <w:right w:val="single" w:color="000000" w:sz="4" w:space="0"/>
            </w:tcBorders>
            <w:noWrap w:val="0"/>
            <w:vAlign w:val="center"/>
          </w:tcPr>
          <w:p w14:paraId="22F746C4">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项  目</w:t>
            </w:r>
          </w:p>
        </w:tc>
        <w:tc>
          <w:tcPr>
            <w:tcW w:w="2412" w:type="pct"/>
            <w:gridSpan w:val="4"/>
            <w:tcBorders>
              <w:top w:val="single" w:color="000000" w:sz="4" w:space="0"/>
              <w:left w:val="single" w:color="000000" w:sz="4" w:space="0"/>
              <w:bottom w:val="single" w:color="000000" w:sz="4" w:space="0"/>
              <w:right w:val="single" w:color="000000" w:sz="4" w:space="0"/>
            </w:tcBorders>
            <w:noWrap w:val="0"/>
            <w:vAlign w:val="center"/>
          </w:tcPr>
          <w:p w14:paraId="169DF5F8">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采样方案</w:t>
            </w:r>
            <w:r>
              <w:rPr>
                <w:rFonts w:hint="eastAsia" w:ascii="宋体" w:hAnsi="宋体" w:eastAsia="宋体" w:cs="宋体"/>
                <w:i w:val="0"/>
                <w:iCs w:val="0"/>
                <w:color w:val="auto"/>
                <w:kern w:val="0"/>
                <w:sz w:val="21"/>
                <w:szCs w:val="21"/>
                <w:u w:val="none"/>
                <w:vertAlign w:val="superscript"/>
                <w:lang w:val="en-US" w:eastAsia="zh-CN" w:bidi="ar"/>
              </w:rPr>
              <w:t>a</w:t>
            </w:r>
            <w:r>
              <w:rPr>
                <w:rFonts w:ascii="宋体" w:hAnsi="宋体" w:eastAsia="宋体" w:cs="宋体"/>
                <w:i w:val="0"/>
                <w:iCs w:val="0"/>
                <w:color w:val="auto"/>
                <w:kern w:val="0"/>
                <w:sz w:val="21"/>
                <w:szCs w:val="21"/>
                <w:u w:val="none"/>
                <w:lang w:val="en-US" w:eastAsia="zh-CN" w:bidi="ar"/>
              </w:rPr>
              <w:t>及限量</w:t>
            </w:r>
          </w:p>
        </w:tc>
        <w:tc>
          <w:tcPr>
            <w:tcW w:w="1412" w:type="pct"/>
            <w:vMerge w:val="restart"/>
            <w:tcBorders>
              <w:top w:val="single" w:color="000000" w:sz="4" w:space="0"/>
              <w:left w:val="single" w:color="000000" w:sz="4" w:space="0"/>
              <w:right w:val="single" w:color="000000" w:sz="4" w:space="0"/>
            </w:tcBorders>
            <w:noWrap w:val="0"/>
            <w:vAlign w:val="center"/>
          </w:tcPr>
          <w:p w14:paraId="2A1AE4C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检验方法</w:t>
            </w:r>
          </w:p>
        </w:tc>
      </w:tr>
      <w:tr w14:paraId="29090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vMerge w:val="continue"/>
            <w:tcBorders>
              <w:top w:val="single" w:color="000000" w:sz="4" w:space="0"/>
              <w:left w:val="single" w:color="000000" w:sz="4" w:space="0"/>
              <w:bottom w:val="single" w:color="000000" w:sz="4" w:space="0"/>
              <w:right w:val="single" w:color="000000" w:sz="4" w:space="0"/>
            </w:tcBorders>
            <w:noWrap w:val="0"/>
            <w:vAlign w:val="center"/>
          </w:tcPr>
          <w:p w14:paraId="44E45C46">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p>
        </w:tc>
        <w:tc>
          <w:tcPr>
            <w:tcW w:w="613" w:type="pct"/>
            <w:tcBorders>
              <w:top w:val="single" w:color="000000" w:sz="4" w:space="0"/>
              <w:left w:val="single" w:color="000000" w:sz="4" w:space="0"/>
              <w:bottom w:val="single" w:color="000000" w:sz="4" w:space="0"/>
              <w:right w:val="single" w:color="000000" w:sz="4" w:space="0"/>
            </w:tcBorders>
            <w:noWrap w:val="0"/>
            <w:vAlign w:val="center"/>
          </w:tcPr>
          <w:p w14:paraId="57CCFD99">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n</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14:paraId="176FB60E">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C</w:t>
            </w:r>
          </w:p>
        </w:tc>
        <w:tc>
          <w:tcPr>
            <w:tcW w:w="608" w:type="pct"/>
            <w:tcBorders>
              <w:top w:val="single" w:color="000000" w:sz="4" w:space="0"/>
              <w:left w:val="single" w:color="000000" w:sz="4" w:space="0"/>
              <w:bottom w:val="single" w:color="000000" w:sz="4" w:space="0"/>
              <w:right w:val="single" w:color="000000" w:sz="4" w:space="0"/>
            </w:tcBorders>
            <w:noWrap w:val="0"/>
            <w:vAlign w:val="center"/>
          </w:tcPr>
          <w:p w14:paraId="5D185071">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m</w:t>
            </w:r>
          </w:p>
        </w:tc>
        <w:tc>
          <w:tcPr>
            <w:tcW w:w="622" w:type="pct"/>
            <w:tcBorders>
              <w:top w:val="single" w:color="000000" w:sz="4" w:space="0"/>
              <w:left w:val="single" w:color="000000" w:sz="4" w:space="0"/>
              <w:bottom w:val="single" w:color="000000" w:sz="4" w:space="0"/>
              <w:right w:val="single" w:color="000000" w:sz="4" w:space="0"/>
            </w:tcBorders>
            <w:noWrap w:val="0"/>
            <w:vAlign w:val="center"/>
          </w:tcPr>
          <w:p w14:paraId="28D031A3">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M</w:t>
            </w:r>
          </w:p>
        </w:tc>
        <w:tc>
          <w:tcPr>
            <w:tcW w:w="1412" w:type="pct"/>
            <w:vMerge w:val="continue"/>
            <w:tcBorders>
              <w:left w:val="single" w:color="000000" w:sz="4" w:space="0"/>
              <w:right w:val="single" w:color="000000" w:sz="4" w:space="0"/>
            </w:tcBorders>
            <w:noWrap w:val="0"/>
            <w:vAlign w:val="center"/>
          </w:tcPr>
          <w:p w14:paraId="5DD596A9">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p>
        </w:tc>
      </w:tr>
      <w:tr w14:paraId="0B45D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175" w:type="pct"/>
            <w:tcBorders>
              <w:top w:val="single" w:color="000000" w:sz="4" w:space="0"/>
              <w:left w:val="single" w:color="000000" w:sz="4" w:space="0"/>
              <w:bottom w:val="single" w:color="000000" w:sz="4" w:space="0"/>
              <w:right w:val="single" w:color="000000" w:sz="4" w:space="0"/>
            </w:tcBorders>
            <w:noWrap w:val="0"/>
            <w:vAlign w:val="center"/>
          </w:tcPr>
          <w:p w14:paraId="691BF9EE">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大肠菌群/(CFU/g)</w:t>
            </w:r>
          </w:p>
        </w:tc>
        <w:tc>
          <w:tcPr>
            <w:tcW w:w="613" w:type="pct"/>
            <w:tcBorders>
              <w:top w:val="single" w:color="000000" w:sz="4" w:space="0"/>
              <w:left w:val="single" w:color="000000" w:sz="4" w:space="0"/>
              <w:bottom w:val="single" w:color="000000" w:sz="4" w:space="0"/>
              <w:right w:val="single" w:color="000000" w:sz="4" w:space="0"/>
            </w:tcBorders>
            <w:noWrap w:val="0"/>
            <w:vAlign w:val="top"/>
          </w:tcPr>
          <w:p w14:paraId="4A3DDDE3">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5</w:t>
            </w:r>
          </w:p>
        </w:tc>
        <w:tc>
          <w:tcPr>
            <w:tcW w:w="567" w:type="pct"/>
            <w:tcBorders>
              <w:top w:val="single" w:color="000000" w:sz="4" w:space="0"/>
              <w:left w:val="single" w:color="000000" w:sz="4" w:space="0"/>
              <w:bottom w:val="single" w:color="000000" w:sz="4" w:space="0"/>
              <w:right w:val="single" w:color="000000" w:sz="4" w:space="0"/>
            </w:tcBorders>
            <w:noWrap w:val="0"/>
            <w:vAlign w:val="top"/>
          </w:tcPr>
          <w:p w14:paraId="2A8E5582">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2</w:t>
            </w:r>
          </w:p>
        </w:tc>
        <w:tc>
          <w:tcPr>
            <w:tcW w:w="608" w:type="pct"/>
            <w:tcBorders>
              <w:top w:val="single" w:color="000000" w:sz="4" w:space="0"/>
              <w:left w:val="single" w:color="000000" w:sz="4" w:space="0"/>
              <w:bottom w:val="single" w:color="000000" w:sz="4" w:space="0"/>
              <w:right w:val="single" w:color="000000" w:sz="4" w:space="0"/>
            </w:tcBorders>
            <w:noWrap w:val="0"/>
            <w:vAlign w:val="top"/>
          </w:tcPr>
          <w:p w14:paraId="0F4FAAF7">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hint="default" w:ascii="宋体" w:hAnsi="宋体" w:eastAsia="宋体" w:cs="宋体"/>
                <w:i w:val="0"/>
                <w:iCs w:val="0"/>
                <w:color w:val="auto"/>
                <w:kern w:val="0"/>
                <w:sz w:val="21"/>
                <w:szCs w:val="21"/>
                <w:u w:val="none"/>
                <w:lang w:val="en-US" w:eastAsia="zh-CN" w:bidi="ar"/>
              </w:rPr>
              <w:t>10</w:t>
            </w:r>
          </w:p>
        </w:tc>
        <w:tc>
          <w:tcPr>
            <w:tcW w:w="622" w:type="pct"/>
            <w:tcBorders>
              <w:top w:val="single" w:color="000000" w:sz="4" w:space="0"/>
              <w:left w:val="single" w:color="000000" w:sz="4" w:space="0"/>
              <w:bottom w:val="single" w:color="000000" w:sz="4" w:space="0"/>
              <w:right w:val="single" w:color="000000" w:sz="4" w:space="0"/>
            </w:tcBorders>
            <w:noWrap w:val="0"/>
            <w:vAlign w:val="top"/>
          </w:tcPr>
          <w:p w14:paraId="6765220B">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10²</w:t>
            </w:r>
          </w:p>
        </w:tc>
        <w:tc>
          <w:tcPr>
            <w:tcW w:w="1412" w:type="pct"/>
            <w:tcBorders>
              <w:top w:val="single" w:color="000000" w:sz="4" w:space="0"/>
              <w:left w:val="single" w:color="000000" w:sz="4" w:space="0"/>
              <w:bottom w:val="single" w:color="000000" w:sz="4" w:space="0"/>
              <w:right w:val="single" w:color="000000" w:sz="4" w:space="0"/>
            </w:tcBorders>
            <w:noWrap w:val="0"/>
            <w:vAlign w:val="center"/>
          </w:tcPr>
          <w:p w14:paraId="316057F3">
            <w:pPr>
              <w:keepNext w:val="0"/>
              <w:keepLines w:val="0"/>
              <w:widowControl/>
              <w:suppressLineNumbers w:val="0"/>
              <w:jc w:val="center"/>
              <w:textAlignment w:val="center"/>
              <w:rPr>
                <w:rFonts w:hint="default" w:ascii="宋体" w:hAnsi="宋体" w:eastAsia="宋体" w:cs="宋体"/>
                <w:i w:val="0"/>
                <w:iCs w:val="0"/>
                <w:color w:val="auto"/>
                <w:kern w:val="0"/>
                <w:sz w:val="21"/>
                <w:szCs w:val="21"/>
                <w:u w:val="none"/>
                <w:lang w:val="en-US" w:eastAsia="zh-CN" w:bidi="ar"/>
              </w:rPr>
            </w:pPr>
            <w:r>
              <w:rPr>
                <w:rFonts w:ascii="宋体" w:hAnsi="宋体" w:eastAsia="宋体" w:cs="宋体"/>
                <w:i w:val="0"/>
                <w:iCs w:val="0"/>
                <w:color w:val="auto"/>
                <w:kern w:val="0"/>
                <w:sz w:val="21"/>
                <w:szCs w:val="21"/>
                <w:u w:val="none"/>
                <w:lang w:val="en-US" w:eastAsia="zh-CN" w:bidi="ar"/>
              </w:rPr>
              <w:t>GB 4789.3平板计数法</w:t>
            </w:r>
          </w:p>
        </w:tc>
      </w:tr>
      <w:tr w14:paraId="27FAA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noWrap w:val="0"/>
            <w:vAlign w:val="center"/>
          </w:tcPr>
          <w:p w14:paraId="5A4BB604">
            <w:pPr>
              <w:keepNext w:val="0"/>
              <w:keepLines w:val="0"/>
              <w:widowControl/>
              <w:suppressLineNumbers w:val="0"/>
              <w:jc w:val="left"/>
              <w:textAlignment w:val="center"/>
              <w:rPr>
                <w:rFonts w:hint="default"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vertAlign w:val="superscript"/>
                <w:lang w:val="en-US" w:eastAsia="zh-CN" w:bidi="ar"/>
              </w:rPr>
              <w:t>a</w:t>
            </w:r>
            <w:r>
              <w:rPr>
                <w:rFonts w:ascii="宋体" w:hAnsi="宋体" w:eastAsia="宋体" w:cs="宋体"/>
                <w:i w:val="0"/>
                <w:iCs w:val="0"/>
                <w:color w:val="auto"/>
                <w:kern w:val="0"/>
                <w:sz w:val="21"/>
                <w:szCs w:val="21"/>
                <w:u w:val="none"/>
                <w:lang w:val="en-US" w:eastAsia="zh-CN" w:bidi="ar"/>
              </w:rPr>
              <w:t>样品的采样及处理按GB 4789.1执行。</w:t>
            </w:r>
          </w:p>
        </w:tc>
      </w:tr>
    </w:tbl>
    <w:p w14:paraId="2EE3C4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 xml:space="preserve">5.5 </w:t>
      </w:r>
      <w:r>
        <w:rPr>
          <w:rFonts w:hint="default" w:ascii="Times New Roman" w:hAnsi="Times New Roman" w:eastAsia="宋体" w:cs="Times New Roman"/>
          <w:sz w:val="24"/>
          <w:szCs w:val="24"/>
          <w:lang w:val="en-US" w:eastAsia="zh-CN"/>
        </w:rPr>
        <w:t>污染物限量</w:t>
      </w:r>
    </w:p>
    <w:p w14:paraId="158112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应符合GB 2762的规定。</w:t>
      </w:r>
    </w:p>
    <w:p w14:paraId="25A95C7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5.6 食品</w:t>
      </w:r>
      <w:r>
        <w:rPr>
          <w:rFonts w:hint="default" w:ascii="Times New Roman" w:hAnsi="Times New Roman" w:eastAsia="宋体" w:cs="Times New Roman"/>
          <w:sz w:val="24"/>
          <w:szCs w:val="24"/>
          <w:lang w:val="en-US" w:eastAsia="zh-CN"/>
        </w:rPr>
        <w:t>添加剂</w:t>
      </w:r>
    </w:p>
    <w:p w14:paraId="6FEBD33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食品添加剂的使用应符合GB 2760的规定。酸度调节剂不可用于该产品。</w:t>
      </w:r>
    </w:p>
    <w:p w14:paraId="4CF9EC6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5.7其他要求</w:t>
      </w:r>
    </w:p>
    <w:p w14:paraId="34DD25AE">
      <w:pPr>
        <w:spacing w:line="360" w:lineRule="auto"/>
        <w:ind w:firstLine="480"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规定了净含量应符合相应的标准要求，生产加工过程中的卫生要求应符合GB 14881的规定。</w:t>
      </w:r>
    </w:p>
    <w:p w14:paraId="219E966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r>
        <w:rPr>
          <w:rFonts w:hint="default" w:ascii="Times New Roman" w:hAnsi="Times New Roman" w:eastAsia="宋体" w:cs="Times New Roman"/>
          <w:sz w:val="24"/>
          <w:szCs w:val="24"/>
          <w:lang w:eastAsia="zh-CN"/>
        </w:rPr>
        <w:t>本文件</w:t>
      </w:r>
      <w:r>
        <w:rPr>
          <w:rFonts w:hint="default" w:ascii="Times New Roman" w:hAnsi="Times New Roman" w:eastAsia="宋体" w:cs="Times New Roman"/>
          <w:sz w:val="24"/>
          <w:szCs w:val="24"/>
        </w:rPr>
        <w:t>根据需要规定了检验规则。</w:t>
      </w:r>
    </w:p>
    <w:p w14:paraId="066A91A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7、标签、标志、包装、运输、贮存和销售</w:t>
      </w:r>
    </w:p>
    <w:p w14:paraId="0768E6BC">
      <w:pPr>
        <w:spacing w:line="360" w:lineRule="auto"/>
        <w:ind w:firstLine="480"/>
        <w:jc w:val="left"/>
        <w:rPr>
          <w:rFonts w:hint="default" w:ascii="Times New Roman" w:hAnsi="Times New Roman" w:eastAsia="宋体" w:cs="Times New Roman"/>
          <w:b/>
          <w:bCs/>
          <w:kern w:val="0"/>
          <w:sz w:val="24"/>
          <w:szCs w:val="24"/>
        </w:rPr>
      </w:pPr>
      <w:r>
        <w:rPr>
          <w:rFonts w:hint="default" w:ascii="Times New Roman" w:hAnsi="Times New Roman" w:eastAsia="宋体" w:cs="Times New Roman"/>
          <w:sz w:val="24"/>
          <w:szCs w:val="24"/>
        </w:rPr>
        <w:t>规定了产品的标签、标志、包装、运输、贮存，除了按相关规定要求外还作了非即食产品标签应注明</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非即食</w:t>
      </w:r>
      <w:r>
        <w:rPr>
          <w:rFonts w:hint="eastAsia" w:ascii="Times New Roman" w:hAnsi="Times New Roman" w:eastAsia="宋体" w:cs="Times New Roman"/>
          <w:sz w:val="24"/>
          <w:szCs w:val="24"/>
          <w:lang w:eastAsia="zh-CN"/>
        </w:rPr>
        <w:t>”</w:t>
      </w:r>
      <w:r>
        <w:rPr>
          <w:rFonts w:hint="default" w:ascii="Times New Roman" w:hAnsi="Times New Roman" w:eastAsia="宋体" w:cs="Times New Roman"/>
          <w:sz w:val="24"/>
          <w:szCs w:val="24"/>
        </w:rPr>
        <w:t>或标注食用方法的要求。</w:t>
      </w:r>
    </w:p>
    <w:p w14:paraId="377E7536">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sz w:val="24"/>
          <w:lang w:val="en-US" w:eastAsia="zh-CN"/>
        </w:rPr>
        <w:t>标准水平分析</w:t>
      </w:r>
    </w:p>
    <w:p w14:paraId="49288E3E">
      <w:pPr>
        <w:spacing w:line="360" w:lineRule="auto"/>
        <w:ind w:firstLine="480"/>
        <w:jc w:val="left"/>
        <w:rPr>
          <w:rFonts w:hint="default" w:ascii="Times New Roman" w:hAnsi="Times New Roman" w:eastAsia="宋体" w:cs="Times New Roman"/>
          <w:color w:val="0000FF"/>
          <w:sz w:val="24"/>
          <w:szCs w:val="24"/>
        </w:rPr>
      </w:pPr>
      <w:r>
        <w:rPr>
          <w:rFonts w:hint="default" w:ascii="Times New Roman" w:hAnsi="Times New Roman" w:eastAsia="宋体" w:cs="Times New Roman"/>
          <w:color w:val="0000FF"/>
          <w:sz w:val="24"/>
          <w:szCs w:val="24"/>
        </w:rPr>
        <w:t>目前，省内有与酸汤调味料相关的团体标准。但</w:t>
      </w:r>
      <w:r>
        <w:rPr>
          <w:rFonts w:hint="eastAsia" w:ascii="Times New Roman" w:hAnsi="Times New Roman" w:cs="Times New Roman"/>
          <w:color w:val="0000FF"/>
          <w:sz w:val="24"/>
          <w:szCs w:val="24"/>
          <w:lang w:val="en-US" w:eastAsia="zh-CN"/>
        </w:rPr>
        <w:t>复合酸汤调味料</w:t>
      </w:r>
      <w:r>
        <w:rPr>
          <w:rFonts w:hint="default" w:ascii="Times New Roman" w:hAnsi="Times New Roman" w:eastAsia="宋体" w:cs="Times New Roman"/>
          <w:color w:val="0000FF"/>
          <w:sz w:val="24"/>
          <w:szCs w:val="24"/>
        </w:rPr>
        <w:t>是以黔东南良好生态环境种植的原料为主、采用传统工艺生产的</w:t>
      </w:r>
      <w:r>
        <w:rPr>
          <w:rFonts w:hint="eastAsia" w:ascii="Times New Roman" w:hAnsi="Times New Roman" w:cs="Times New Roman"/>
          <w:color w:val="0000FF"/>
          <w:sz w:val="24"/>
          <w:szCs w:val="24"/>
          <w:lang w:val="en-US" w:eastAsia="zh-CN"/>
        </w:rPr>
        <w:t>红酸汤、白酸汤，按照需要比例调配而成的</w:t>
      </w:r>
      <w:r>
        <w:rPr>
          <w:rFonts w:hint="eastAsia" w:ascii="Times New Roman" w:hAnsi="Times New Roman" w:eastAsia="宋体" w:cs="Times New Roman"/>
          <w:color w:val="0000FF"/>
          <w:sz w:val="24"/>
          <w:szCs w:val="24"/>
          <w:lang w:eastAsia="zh-CN"/>
        </w:rPr>
        <w:t>。</w:t>
      </w:r>
      <w:r>
        <w:rPr>
          <w:rFonts w:hint="eastAsia" w:ascii="Times New Roman" w:hAnsi="Times New Roman" w:eastAsia="宋体" w:cs="Times New Roman"/>
          <w:color w:val="0000FF"/>
          <w:sz w:val="24"/>
          <w:szCs w:val="24"/>
          <w:lang w:val="en-US" w:eastAsia="zh-CN"/>
        </w:rPr>
        <w:t>且适应产业需要而</w:t>
      </w:r>
      <w:r>
        <w:rPr>
          <w:rFonts w:hint="default" w:ascii="Times New Roman" w:hAnsi="Times New Roman" w:eastAsia="宋体" w:cs="Times New Roman"/>
          <w:color w:val="0000FF"/>
          <w:sz w:val="24"/>
          <w:szCs w:val="24"/>
        </w:rPr>
        <w:t>专门</w:t>
      </w:r>
      <w:r>
        <w:rPr>
          <w:rFonts w:hint="eastAsia" w:ascii="Times New Roman" w:hAnsi="Times New Roman" w:cs="Times New Roman"/>
          <w:color w:val="0000FF"/>
          <w:sz w:val="24"/>
          <w:szCs w:val="24"/>
          <w:lang w:val="en-US" w:eastAsia="zh-CN"/>
        </w:rPr>
        <w:t>编制</w:t>
      </w:r>
      <w:r>
        <w:rPr>
          <w:rFonts w:hint="default" w:ascii="Times New Roman" w:hAnsi="Times New Roman" w:eastAsia="宋体" w:cs="Times New Roman"/>
          <w:color w:val="0000FF"/>
          <w:sz w:val="24"/>
          <w:szCs w:val="24"/>
        </w:rPr>
        <w:t>《</w:t>
      </w:r>
      <w:r>
        <w:rPr>
          <w:rFonts w:hint="eastAsia" w:ascii="Times New Roman" w:hAnsi="Times New Roman" w:cs="Times New Roman"/>
          <w:color w:val="0000FF"/>
          <w:sz w:val="24"/>
          <w:szCs w:val="24"/>
          <w:lang w:val="en-US" w:eastAsia="zh-CN"/>
        </w:rPr>
        <w:t>复合酸汤调味料</w:t>
      </w:r>
      <w:r>
        <w:rPr>
          <w:rFonts w:hint="default" w:ascii="Times New Roman" w:hAnsi="Times New Roman" w:eastAsia="宋体" w:cs="Times New Roman"/>
          <w:color w:val="0000FF"/>
          <w:sz w:val="24"/>
          <w:szCs w:val="24"/>
        </w:rPr>
        <w:t>》，</w:t>
      </w:r>
      <w:r>
        <w:rPr>
          <w:rFonts w:hint="default" w:ascii="Times New Roman" w:hAnsi="Times New Roman" w:eastAsia="宋体" w:cs="Times New Roman"/>
          <w:color w:val="0000FF"/>
          <w:sz w:val="24"/>
          <w:szCs w:val="24"/>
          <w:lang w:eastAsia="zh-CN"/>
        </w:rPr>
        <w:t>本文件</w:t>
      </w:r>
      <w:r>
        <w:rPr>
          <w:rFonts w:hint="default" w:ascii="Times New Roman" w:hAnsi="Times New Roman" w:eastAsia="宋体" w:cs="Times New Roman"/>
          <w:color w:val="0000FF"/>
          <w:sz w:val="24"/>
          <w:szCs w:val="24"/>
        </w:rPr>
        <w:t>水平为省内先进</w:t>
      </w:r>
      <w:r>
        <w:rPr>
          <w:rFonts w:hint="default" w:ascii="Times New Roman" w:hAnsi="Times New Roman" w:eastAsia="宋体" w:cs="Times New Roman"/>
          <w:color w:val="0000FF"/>
          <w:sz w:val="24"/>
          <w:szCs w:val="24"/>
          <w:lang w:val="en-US" w:eastAsia="zh-CN"/>
        </w:rPr>
        <w:t>水平</w:t>
      </w:r>
      <w:r>
        <w:rPr>
          <w:rFonts w:hint="default" w:ascii="Times New Roman" w:hAnsi="Times New Roman" w:eastAsia="宋体" w:cs="Times New Roman"/>
          <w:color w:val="0000FF"/>
          <w:sz w:val="24"/>
          <w:szCs w:val="24"/>
        </w:rPr>
        <w:t>。</w:t>
      </w:r>
    </w:p>
    <w:p w14:paraId="407894A5">
      <w:pPr>
        <w:numPr>
          <w:ilvl w:val="0"/>
          <w:numId w:val="2"/>
        </w:numPr>
        <w:adjustRightInd w:val="0"/>
        <w:spacing w:line="400" w:lineRule="exact"/>
        <w:ind w:firstLine="537" w:firstLineChars="223"/>
        <w:jc w:val="left"/>
        <w:textAlignment w:val="baseline"/>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与有关的现行法律、法规和强制性国家标准的关系</w:t>
      </w:r>
    </w:p>
    <w:p w14:paraId="2BD96AFF">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本文件符合相关现行法律、法规和强制性国家标准的要求。本文件主要引用以下国家标准、行业标准和规范性文件：</w:t>
      </w:r>
    </w:p>
    <w:p w14:paraId="6EA06A81">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191 包装储运图示标志</w:t>
      </w:r>
    </w:p>
    <w:p w14:paraId="53D8B53A">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 xml:space="preserve">GB/T 1354 </w:t>
      </w:r>
      <w:r>
        <w:rPr>
          <w:rFonts w:hint="eastAsia" w:ascii="Times New Roman" w:hAnsi="Times New Roman" w:eastAsia="宋体" w:cs="Times New Roman"/>
          <w:sz w:val="24"/>
          <w:lang w:val="en-US" w:eastAsia="zh-CN"/>
        </w:rPr>
        <w:t>大米</w:t>
      </w:r>
    </w:p>
    <w:p w14:paraId="2679EC70">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1355 小麦粉</w:t>
      </w:r>
    </w:p>
    <w:p w14:paraId="32CC8D1B">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2716 食品安全国家标准 植物油</w:t>
      </w:r>
    </w:p>
    <w:p w14:paraId="325EE325">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 xml:space="preserve">GB 2757 </w:t>
      </w:r>
      <w:r>
        <w:rPr>
          <w:rFonts w:hint="eastAsia" w:ascii="Times New Roman" w:hAnsi="Times New Roman" w:eastAsia="宋体" w:cs="Times New Roman"/>
          <w:sz w:val="24"/>
          <w:lang w:val="en-US" w:eastAsia="zh-CN"/>
        </w:rPr>
        <w:t>食品安全国家标准 蒸馏酒及其配制酒</w:t>
      </w:r>
    </w:p>
    <w:p w14:paraId="7BDBE469">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2760 食品安全国家标准 食品添加剂使用标准</w:t>
      </w:r>
    </w:p>
    <w:p w14:paraId="580FBAA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2762 食品安全国家标准 食品中污染物限量</w:t>
      </w:r>
    </w:p>
    <w:p w14:paraId="427D67AC">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4789.1 食品安全国家标准 食品微生物学检验 总则</w:t>
      </w:r>
    </w:p>
    <w:p w14:paraId="6B330023">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4789.3 食品安全国家标准 食品微生物学检验 大肠菌群计数</w:t>
      </w:r>
    </w:p>
    <w:p w14:paraId="1CB26E25">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5009.33 食品安全国家标准 食品中亚硝酸盐与硝酸盐的测定</w:t>
      </w:r>
    </w:p>
    <w:p w14:paraId="378BEBB9">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5009.44 食品安全国家标准 食品中氯化物的测定</w:t>
      </w:r>
    </w:p>
    <w:p w14:paraId="6CAEB23C">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5009.157 食品安全国家标准 食品中有机酸的测定</w:t>
      </w:r>
    </w:p>
    <w:p w14:paraId="64B48041">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5009.227 食品安全国家标准 食品中过氧化值的测定</w:t>
      </w:r>
    </w:p>
    <w:p w14:paraId="06F221CF">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5749 生活饮用水卫生标准</w:t>
      </w:r>
    </w:p>
    <w:p w14:paraId="76D8CF78">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7718 食品安全国家标准 预包装食品标签通则</w:t>
      </w:r>
    </w:p>
    <w:p w14:paraId="456620FB">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10146 食品安全国家标准 食用动物油脂</w:t>
      </w:r>
    </w:p>
    <w:p w14:paraId="6A7EEBCC">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12456 食品安全国家标准 食品中总酸的测定</w:t>
      </w:r>
    </w:p>
    <w:p w14:paraId="53D5352D">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14881 食品安全国家标准 食品生产通用卫生规范</w:t>
      </w:r>
    </w:p>
    <w:p w14:paraId="7F332817">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GB/T 15691 香辛料调味品通用技术条件</w:t>
      </w:r>
    </w:p>
    <w:p w14:paraId="04F78AD6">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28050 食品安全国家标准 预包装食品营养标签通则</w:t>
      </w:r>
    </w:p>
    <w:p w14:paraId="1AB609AF">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GB 29921 食品安全国家标准 食品中致病菌限量</w:t>
      </w:r>
    </w:p>
    <w:p w14:paraId="2EEFBB73">
      <w:pPr>
        <w:keepNext w:val="0"/>
        <w:keepLines w:val="0"/>
        <w:pageBreakBefore w:val="0"/>
        <w:widowControl w:val="0"/>
        <w:kinsoku/>
        <w:wordWrap/>
        <w:overflowPunct/>
        <w:topLinePunct w:val="0"/>
        <w:autoSpaceDE/>
        <w:autoSpaceDN/>
        <w:bidi w:val="0"/>
        <w:snapToGrid/>
        <w:spacing w:line="360" w:lineRule="auto"/>
        <w:ind w:firstLine="480" w:firstLineChars="200"/>
        <w:rPr>
          <w:rFonts w:hint="eastAsia" w:ascii="Times New Roman" w:hAnsi="Times New Roman" w:eastAsia="宋体" w:cs="Times New Roman"/>
          <w:sz w:val="24"/>
          <w:lang w:val="en-US" w:eastAsia="zh-CN"/>
        </w:rPr>
      </w:pPr>
      <w:r>
        <w:rPr>
          <w:rFonts w:hint="eastAsia" w:ascii="Times New Roman" w:hAnsi="Times New Roman" w:eastAsia="宋体" w:cs="Times New Roman"/>
          <w:sz w:val="24"/>
          <w:lang w:val="en-US" w:eastAsia="zh-CN"/>
        </w:rPr>
        <w:t>JJF 1070 定量包装商品净含量计量检验规则</w:t>
      </w:r>
    </w:p>
    <w:p w14:paraId="2358264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六、重大分歧意见的处理经过和依据</w:t>
      </w:r>
    </w:p>
    <w:p w14:paraId="1CE7546D">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在该标准的审议过程中，对送审稿提出的意见，经各相关方认真讨论，达成了一致意见，无重大分歧。</w:t>
      </w:r>
    </w:p>
    <w:p w14:paraId="48BE985A">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七、标准作为强制性或推荐性标准的建议</w:t>
      </w:r>
    </w:p>
    <w:p w14:paraId="68413E26">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本文件作为团体标准，供需要单位使用。</w:t>
      </w:r>
    </w:p>
    <w:p w14:paraId="5A955683">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八、贯彻标准的要求和措施建议</w:t>
      </w:r>
    </w:p>
    <w:p w14:paraId="473E16C8">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建议本文件批准发布日与实施一致。</w:t>
      </w:r>
    </w:p>
    <w:p w14:paraId="45BD54E7">
      <w:pPr>
        <w:keepNext w:val="0"/>
        <w:keepLines w:val="0"/>
        <w:pageBreakBefore w:val="0"/>
        <w:widowControl w:val="0"/>
        <w:kinsoku/>
        <w:wordWrap/>
        <w:overflowPunct/>
        <w:topLinePunct w:val="0"/>
        <w:autoSpaceDE/>
        <w:autoSpaceDN/>
        <w:bidi w:val="0"/>
        <w:snapToGrid/>
        <w:spacing w:line="360" w:lineRule="auto"/>
        <w:ind w:firstLine="482" w:firstLineChars="200"/>
        <w:rPr>
          <w:rFonts w:hint="default" w:ascii="Times New Roman" w:hAnsi="Times New Roman" w:eastAsia="宋体" w:cs="Times New Roman"/>
          <w:b/>
          <w:bCs/>
          <w:sz w:val="24"/>
          <w:lang w:val="en-US" w:eastAsia="zh-CN"/>
        </w:rPr>
      </w:pPr>
      <w:r>
        <w:rPr>
          <w:rFonts w:hint="default" w:ascii="Times New Roman" w:hAnsi="Times New Roman" w:eastAsia="宋体" w:cs="Times New Roman"/>
          <w:b/>
          <w:bCs/>
          <w:sz w:val="24"/>
          <w:lang w:val="en-US" w:eastAsia="zh-CN"/>
        </w:rPr>
        <w:t>九、废止现行有关标准的建议</w:t>
      </w:r>
    </w:p>
    <w:p w14:paraId="3FF35CBE">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无。</w:t>
      </w:r>
    </w:p>
    <w:p w14:paraId="781756EB">
      <w:pPr>
        <w:adjustRightInd w:val="0"/>
        <w:spacing w:line="400" w:lineRule="exact"/>
        <w:ind w:firstLine="540"/>
        <w:jc w:val="left"/>
        <w:textAlignment w:val="baseline"/>
        <w:rPr>
          <w:rFonts w:hint="default" w:ascii="Times New Roman" w:hAnsi="Times New Roman" w:eastAsia="宋体" w:cs="Times New Roman"/>
          <w:kern w:val="0"/>
          <w:sz w:val="24"/>
          <w:szCs w:val="24"/>
        </w:rPr>
      </w:pPr>
      <w:r>
        <w:rPr>
          <w:rFonts w:hint="default" w:ascii="Times New Roman" w:hAnsi="Times New Roman" w:eastAsia="宋体" w:cs="Times New Roman"/>
          <w:b/>
          <w:bCs/>
          <w:sz w:val="24"/>
          <w:lang w:val="en-US" w:eastAsia="zh-CN"/>
        </w:rPr>
        <w:t>十、其他应予说明的事项</w:t>
      </w:r>
    </w:p>
    <w:p w14:paraId="7AF9FBCC">
      <w:pPr>
        <w:adjustRightInd w:val="0"/>
        <w:spacing w:line="400" w:lineRule="exact"/>
        <w:jc w:val="left"/>
        <w:textAlignment w:val="baseline"/>
        <w:rPr>
          <w:rFonts w:hint="default" w:ascii="Times New Roman" w:hAnsi="Times New Roman" w:eastAsia="宋体" w:cs="Times New Roman"/>
          <w:kern w:val="0"/>
          <w:sz w:val="24"/>
          <w:szCs w:val="24"/>
        </w:rPr>
      </w:pPr>
    </w:p>
    <w:p w14:paraId="76130A38">
      <w:pPr>
        <w:keepNext w:val="0"/>
        <w:keepLines w:val="0"/>
        <w:pageBreakBefore w:val="0"/>
        <w:widowControl w:val="0"/>
        <w:kinsoku/>
        <w:wordWrap/>
        <w:overflowPunct/>
        <w:topLinePunct w:val="0"/>
        <w:autoSpaceDE/>
        <w:autoSpaceDN/>
        <w:bidi w:val="0"/>
        <w:snapToGrid/>
        <w:spacing w:line="360" w:lineRule="auto"/>
        <w:ind w:firstLine="2160" w:firstLineChars="900"/>
        <w:rPr>
          <w:rFonts w:hint="default" w:ascii="Times New Roman" w:hAnsi="Times New Roman" w:eastAsia="宋体" w:cs="Times New Roman"/>
          <w:sz w:val="24"/>
          <w:lang w:val="en-US" w:eastAsia="zh-CN"/>
        </w:rPr>
      </w:pPr>
      <w:r>
        <w:rPr>
          <w:rFonts w:hint="default" w:ascii="Times New Roman" w:hAnsi="Times New Roman" w:eastAsia="宋体" w:cs="Times New Roman"/>
          <w:sz w:val="24"/>
          <w:lang w:val="en-US" w:eastAsia="zh-CN"/>
        </w:rPr>
        <w:t>《</w:t>
      </w:r>
      <w:r>
        <w:rPr>
          <w:rFonts w:hint="eastAsia" w:ascii="Times New Roman" w:hAnsi="Times New Roman" w:cs="Times New Roman"/>
          <w:sz w:val="24"/>
          <w:lang w:val="en-US" w:eastAsia="zh-CN"/>
        </w:rPr>
        <w:t>复合酸汤调味料</w:t>
      </w:r>
      <w:r>
        <w:rPr>
          <w:rFonts w:hint="default" w:ascii="Times New Roman" w:hAnsi="Times New Roman" w:eastAsia="宋体" w:cs="Times New Roman"/>
          <w:sz w:val="24"/>
          <w:lang w:val="en-US" w:eastAsia="zh-CN"/>
        </w:rPr>
        <w:t>》团体标准编制小组</w:t>
      </w:r>
    </w:p>
    <w:p w14:paraId="06094273">
      <w:pPr>
        <w:keepNext w:val="0"/>
        <w:keepLines w:val="0"/>
        <w:pageBreakBefore w:val="0"/>
        <w:widowControl w:val="0"/>
        <w:kinsoku/>
        <w:wordWrap/>
        <w:overflowPunct/>
        <w:topLinePunct w:val="0"/>
        <w:autoSpaceDE/>
        <w:autoSpaceDN/>
        <w:bidi w:val="0"/>
        <w:snapToGrid/>
        <w:spacing w:line="360" w:lineRule="auto"/>
        <w:ind w:firstLine="480" w:firstLineChars="200"/>
        <w:rPr>
          <w:rFonts w:hint="default" w:ascii="Times New Roman" w:hAnsi="Times New Roman" w:eastAsia="宋体" w:cs="Times New Roman"/>
          <w:kern w:val="0"/>
          <w:sz w:val="24"/>
          <w:szCs w:val="24"/>
        </w:rPr>
      </w:pPr>
      <w:r>
        <w:rPr>
          <w:rFonts w:hint="default" w:ascii="Times New Roman" w:hAnsi="Times New Roman" w:eastAsia="宋体" w:cs="Times New Roman"/>
          <w:sz w:val="24"/>
          <w:lang w:val="en-US" w:eastAsia="zh-CN"/>
        </w:rPr>
        <w:t xml:space="preserve">                         2026年4月28日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863663"/>
    <w:multiLevelType w:val="singleLevel"/>
    <w:tmpl w:val="F6863663"/>
    <w:lvl w:ilvl="0" w:tentative="0">
      <w:start w:val="3"/>
      <w:numFmt w:val="chineseCounting"/>
      <w:suff w:val="nothing"/>
      <w:lvlText w:val="（%1）"/>
      <w:lvlJc w:val="left"/>
      <w:rPr>
        <w:rFonts w:hint="eastAsia"/>
      </w:rPr>
    </w:lvl>
  </w:abstractNum>
  <w:abstractNum w:abstractNumId="1">
    <w:nsid w:val="75D7B4AF"/>
    <w:multiLevelType w:val="singleLevel"/>
    <w:tmpl w:val="75D7B4AF"/>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213805BF"/>
    <w:rsid w:val="00003E86"/>
    <w:rsid w:val="0000534F"/>
    <w:rsid w:val="0001312C"/>
    <w:rsid w:val="0001355F"/>
    <w:rsid w:val="00033CBC"/>
    <w:rsid w:val="00040F31"/>
    <w:rsid w:val="00050BC1"/>
    <w:rsid w:val="0007457C"/>
    <w:rsid w:val="00085370"/>
    <w:rsid w:val="000913C1"/>
    <w:rsid w:val="0010509E"/>
    <w:rsid w:val="00135E16"/>
    <w:rsid w:val="00150098"/>
    <w:rsid w:val="00175D7E"/>
    <w:rsid w:val="002156FE"/>
    <w:rsid w:val="002220E0"/>
    <w:rsid w:val="00280219"/>
    <w:rsid w:val="0029532F"/>
    <w:rsid w:val="002A0685"/>
    <w:rsid w:val="002A1098"/>
    <w:rsid w:val="0030739D"/>
    <w:rsid w:val="00367B4F"/>
    <w:rsid w:val="00385F52"/>
    <w:rsid w:val="00396DFE"/>
    <w:rsid w:val="003A50FD"/>
    <w:rsid w:val="003E0610"/>
    <w:rsid w:val="003E1BBE"/>
    <w:rsid w:val="00413FE4"/>
    <w:rsid w:val="00417EF4"/>
    <w:rsid w:val="00446294"/>
    <w:rsid w:val="00490F08"/>
    <w:rsid w:val="004E4C0B"/>
    <w:rsid w:val="004E6FDE"/>
    <w:rsid w:val="00500D0F"/>
    <w:rsid w:val="00526EF1"/>
    <w:rsid w:val="00544BA1"/>
    <w:rsid w:val="005751DC"/>
    <w:rsid w:val="005762FA"/>
    <w:rsid w:val="00594538"/>
    <w:rsid w:val="005E0C23"/>
    <w:rsid w:val="00601C3C"/>
    <w:rsid w:val="00603BB6"/>
    <w:rsid w:val="00603CAA"/>
    <w:rsid w:val="00617AFF"/>
    <w:rsid w:val="006302E9"/>
    <w:rsid w:val="0068341D"/>
    <w:rsid w:val="006D1DE8"/>
    <w:rsid w:val="006E0565"/>
    <w:rsid w:val="006F2F49"/>
    <w:rsid w:val="00777444"/>
    <w:rsid w:val="007B7B37"/>
    <w:rsid w:val="007D62A1"/>
    <w:rsid w:val="007E3924"/>
    <w:rsid w:val="007F5948"/>
    <w:rsid w:val="00821FD0"/>
    <w:rsid w:val="008510EA"/>
    <w:rsid w:val="008679CD"/>
    <w:rsid w:val="00876762"/>
    <w:rsid w:val="008901B8"/>
    <w:rsid w:val="00894430"/>
    <w:rsid w:val="008A2FBE"/>
    <w:rsid w:val="008A5B0D"/>
    <w:rsid w:val="008C6C69"/>
    <w:rsid w:val="008F55C1"/>
    <w:rsid w:val="009066CA"/>
    <w:rsid w:val="0093561A"/>
    <w:rsid w:val="00964C05"/>
    <w:rsid w:val="00993A90"/>
    <w:rsid w:val="009A414E"/>
    <w:rsid w:val="009C17CE"/>
    <w:rsid w:val="009F2283"/>
    <w:rsid w:val="00A07387"/>
    <w:rsid w:val="00A45E33"/>
    <w:rsid w:val="00A57D5F"/>
    <w:rsid w:val="00A95EF9"/>
    <w:rsid w:val="00AA267B"/>
    <w:rsid w:val="00AB3C34"/>
    <w:rsid w:val="00AC7200"/>
    <w:rsid w:val="00AF0E07"/>
    <w:rsid w:val="00B00A51"/>
    <w:rsid w:val="00B0467E"/>
    <w:rsid w:val="00B11906"/>
    <w:rsid w:val="00B42296"/>
    <w:rsid w:val="00B6169D"/>
    <w:rsid w:val="00BA318D"/>
    <w:rsid w:val="00BC00AF"/>
    <w:rsid w:val="00C34167"/>
    <w:rsid w:val="00C35C1C"/>
    <w:rsid w:val="00C620CD"/>
    <w:rsid w:val="00C7354E"/>
    <w:rsid w:val="00C7616C"/>
    <w:rsid w:val="00CC70AA"/>
    <w:rsid w:val="00CD5AE0"/>
    <w:rsid w:val="00D50EF9"/>
    <w:rsid w:val="00D52931"/>
    <w:rsid w:val="00D8466C"/>
    <w:rsid w:val="00DB3CD9"/>
    <w:rsid w:val="00DC59E0"/>
    <w:rsid w:val="00DD67F1"/>
    <w:rsid w:val="00DE1897"/>
    <w:rsid w:val="00DF1A5B"/>
    <w:rsid w:val="00DF1E09"/>
    <w:rsid w:val="00E05284"/>
    <w:rsid w:val="00E23847"/>
    <w:rsid w:val="00E41868"/>
    <w:rsid w:val="00E442D1"/>
    <w:rsid w:val="00E55A2C"/>
    <w:rsid w:val="00E84300"/>
    <w:rsid w:val="00EA1298"/>
    <w:rsid w:val="00EC7D77"/>
    <w:rsid w:val="00EE02D8"/>
    <w:rsid w:val="00EE15DE"/>
    <w:rsid w:val="00EF5790"/>
    <w:rsid w:val="00F141B6"/>
    <w:rsid w:val="00F34470"/>
    <w:rsid w:val="00F51998"/>
    <w:rsid w:val="00F6303D"/>
    <w:rsid w:val="00F6612E"/>
    <w:rsid w:val="00F86F0D"/>
    <w:rsid w:val="00FB4D20"/>
    <w:rsid w:val="00FB7008"/>
    <w:rsid w:val="00FC691D"/>
    <w:rsid w:val="00FD2042"/>
    <w:rsid w:val="00FE5DB4"/>
    <w:rsid w:val="01A90516"/>
    <w:rsid w:val="046224BE"/>
    <w:rsid w:val="047535C2"/>
    <w:rsid w:val="05E36FAE"/>
    <w:rsid w:val="099217C1"/>
    <w:rsid w:val="11203B56"/>
    <w:rsid w:val="12F232D0"/>
    <w:rsid w:val="160762F9"/>
    <w:rsid w:val="16331C36"/>
    <w:rsid w:val="16EB42BE"/>
    <w:rsid w:val="19045B0B"/>
    <w:rsid w:val="1A095287"/>
    <w:rsid w:val="1CF46DC5"/>
    <w:rsid w:val="1D581F12"/>
    <w:rsid w:val="1D7005D6"/>
    <w:rsid w:val="1DCD471E"/>
    <w:rsid w:val="1EC645F1"/>
    <w:rsid w:val="1F751511"/>
    <w:rsid w:val="20F23C61"/>
    <w:rsid w:val="213805BF"/>
    <w:rsid w:val="246D27B7"/>
    <w:rsid w:val="27D83740"/>
    <w:rsid w:val="2A3E7076"/>
    <w:rsid w:val="2CE82775"/>
    <w:rsid w:val="2E3E6220"/>
    <w:rsid w:val="321F70A7"/>
    <w:rsid w:val="32AE3085"/>
    <w:rsid w:val="338C29AB"/>
    <w:rsid w:val="350A7B3B"/>
    <w:rsid w:val="36785717"/>
    <w:rsid w:val="36BD4907"/>
    <w:rsid w:val="372A28D8"/>
    <w:rsid w:val="386D3BA5"/>
    <w:rsid w:val="38D1110E"/>
    <w:rsid w:val="38F30E52"/>
    <w:rsid w:val="39944DBD"/>
    <w:rsid w:val="39CA390A"/>
    <w:rsid w:val="39F508D0"/>
    <w:rsid w:val="3B9052B1"/>
    <w:rsid w:val="3C487939"/>
    <w:rsid w:val="3EB017C6"/>
    <w:rsid w:val="40146F81"/>
    <w:rsid w:val="41384420"/>
    <w:rsid w:val="435C016E"/>
    <w:rsid w:val="44236F42"/>
    <w:rsid w:val="448C2F90"/>
    <w:rsid w:val="4517259F"/>
    <w:rsid w:val="47F40975"/>
    <w:rsid w:val="49BA799D"/>
    <w:rsid w:val="4AE03F6F"/>
    <w:rsid w:val="4B40174E"/>
    <w:rsid w:val="4BC65163"/>
    <w:rsid w:val="4DF21D83"/>
    <w:rsid w:val="4F4E2A2E"/>
    <w:rsid w:val="52DA5B06"/>
    <w:rsid w:val="52E1438A"/>
    <w:rsid w:val="54876A71"/>
    <w:rsid w:val="54DC4C6B"/>
    <w:rsid w:val="579A1D17"/>
    <w:rsid w:val="582B242F"/>
    <w:rsid w:val="584C035A"/>
    <w:rsid w:val="585C67EF"/>
    <w:rsid w:val="588D38A4"/>
    <w:rsid w:val="596A34ED"/>
    <w:rsid w:val="5B4A6BB0"/>
    <w:rsid w:val="5B59233F"/>
    <w:rsid w:val="5BCF4442"/>
    <w:rsid w:val="5D0D4B74"/>
    <w:rsid w:val="5E824AD5"/>
    <w:rsid w:val="5F4B136B"/>
    <w:rsid w:val="5F9A105E"/>
    <w:rsid w:val="60216B05"/>
    <w:rsid w:val="60593614"/>
    <w:rsid w:val="61306A6A"/>
    <w:rsid w:val="64972A85"/>
    <w:rsid w:val="65842EE1"/>
    <w:rsid w:val="65E436C4"/>
    <w:rsid w:val="678C42CF"/>
    <w:rsid w:val="685C6CDA"/>
    <w:rsid w:val="69795089"/>
    <w:rsid w:val="6AD9240D"/>
    <w:rsid w:val="6D972D84"/>
    <w:rsid w:val="6E0B322F"/>
    <w:rsid w:val="6FB65230"/>
    <w:rsid w:val="70061763"/>
    <w:rsid w:val="704B11CB"/>
    <w:rsid w:val="708879DC"/>
    <w:rsid w:val="7840538D"/>
    <w:rsid w:val="7B380CEA"/>
    <w:rsid w:val="7BC77B74"/>
    <w:rsid w:val="7CF31F6F"/>
    <w:rsid w:val="7D76376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iPriority="9" w:name="heading 3" w:locked="1"/>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qFormat="1" w:unhideWhenUsed="0" w:uiPriority="0" w:name="toc 3" w:locked="1"/>
    <w:lsdException w:qFormat="1" w:unhideWhenUsed="0" w:uiPriority="0"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qFormat="1" w:unhideWhenUsed="0" w:uiPriority="0" w:semiHidden="0" w:name="Body Text 2" w:locked="1"/>
    <w:lsdException w:uiPriority="99" w:name="Body Text 3" w:locked="1"/>
    <w:lsdException w:qFormat="1" w:unhideWhenUsed="0" w:uiPriority="99" w:semiHidden="0" w:name="Body Text Indent 2"/>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1"/>
    <w:basedOn w:val="1"/>
    <w:next w:val="1"/>
    <w:link w:val="17"/>
    <w:qFormat/>
    <w:uiPriority w:val="99"/>
    <w:pPr>
      <w:keepNext/>
      <w:keepLines/>
      <w:spacing w:before="340" w:after="330" w:line="576" w:lineRule="auto"/>
      <w:outlineLvl w:val="0"/>
    </w:pPr>
    <w:rPr>
      <w:rFonts w:ascii="Times New Roman" w:hAnsi="Times New Roman" w:cs="Times New Roman"/>
      <w:b/>
      <w:bCs/>
      <w:kern w:val="44"/>
    </w:rPr>
  </w:style>
  <w:style w:type="paragraph" w:styleId="4">
    <w:name w:val="heading 2"/>
    <w:basedOn w:val="1"/>
    <w:next w:val="1"/>
    <w:link w:val="18"/>
    <w:qFormat/>
    <w:uiPriority w:val="99"/>
    <w:pPr>
      <w:keepNext/>
      <w:keepLines/>
      <w:spacing w:before="260" w:after="260" w:line="415" w:lineRule="auto"/>
      <w:outlineLvl w:val="1"/>
    </w:pPr>
    <w:rPr>
      <w:rFonts w:ascii="Calibri Light" w:hAnsi="Calibri Light" w:cs="Calibri Light"/>
      <w:b/>
      <w:bCs/>
      <w:kern w:val="24"/>
    </w:rPr>
  </w:style>
  <w:style w:type="paragraph" w:styleId="5">
    <w:name w:val="heading 4"/>
    <w:basedOn w:val="1"/>
    <w:next w:val="1"/>
    <w:link w:val="19"/>
    <w:qFormat/>
    <w:uiPriority w:val="99"/>
    <w:pPr>
      <w:keepNext/>
      <w:keepLines/>
      <w:spacing w:before="280" w:after="290" w:line="376" w:lineRule="auto"/>
      <w:outlineLvl w:val="3"/>
    </w:pPr>
    <w:rPr>
      <w:rFonts w:ascii="Arial" w:hAnsi="Arial" w:eastAsia="黑体" w:cs="Arial"/>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2"/>
    <w:basedOn w:val="1"/>
    <w:qFormat/>
    <w:locked/>
    <w:uiPriority w:val="0"/>
    <w:pPr>
      <w:spacing w:line="480" w:lineRule="auto"/>
    </w:pPr>
  </w:style>
  <w:style w:type="paragraph" w:styleId="6">
    <w:name w:val="toc 3"/>
    <w:basedOn w:val="1"/>
    <w:next w:val="1"/>
    <w:semiHidden/>
    <w:qFormat/>
    <w:locked/>
    <w:uiPriority w:val="0"/>
    <w:pPr>
      <w:ind w:left="840" w:leftChars="400"/>
    </w:pPr>
  </w:style>
  <w:style w:type="paragraph" w:styleId="7">
    <w:name w:val="Date"/>
    <w:basedOn w:val="1"/>
    <w:next w:val="1"/>
    <w:link w:val="20"/>
    <w:qFormat/>
    <w:uiPriority w:val="99"/>
    <w:pPr>
      <w:ind w:left="100" w:leftChars="2500"/>
    </w:pPr>
  </w:style>
  <w:style w:type="paragraph" w:styleId="8">
    <w:name w:val="Body Text Indent 2"/>
    <w:basedOn w:val="1"/>
    <w:link w:val="21"/>
    <w:qFormat/>
    <w:uiPriority w:val="99"/>
    <w:pPr>
      <w:spacing w:after="120" w:line="480" w:lineRule="auto"/>
      <w:ind w:left="420" w:leftChars="200"/>
    </w:pPr>
    <w:rPr>
      <w:rFonts w:ascii="Times New Roman" w:hAnsi="Times New Roman" w:cs="Times New Roman"/>
      <w:sz w:val="24"/>
      <w:szCs w:val="24"/>
    </w:rPr>
  </w:style>
  <w:style w:type="paragraph" w:styleId="9">
    <w:name w:val="footer"/>
    <w:basedOn w:val="1"/>
    <w:link w:val="22"/>
    <w:qFormat/>
    <w:uiPriority w:val="99"/>
    <w:pPr>
      <w:tabs>
        <w:tab w:val="center" w:pos="4153"/>
        <w:tab w:val="right" w:pos="8306"/>
      </w:tabs>
      <w:snapToGrid w:val="0"/>
      <w:jc w:val="left"/>
    </w:pPr>
    <w:rPr>
      <w:sz w:val="18"/>
      <w:szCs w:val="18"/>
    </w:rPr>
  </w:style>
  <w:style w:type="paragraph" w:styleId="10">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1">
    <w:name w:val="toc 4"/>
    <w:basedOn w:val="6"/>
    <w:next w:val="1"/>
    <w:semiHidden/>
    <w:qFormat/>
    <w:locked/>
    <w:uiPriority w:val="0"/>
    <w:pPr>
      <w:widowControl/>
      <w:ind w:left="0" w:leftChars="0"/>
    </w:pPr>
    <w:rPr>
      <w:rFonts w:ascii="宋体"/>
      <w:kern w:val="0"/>
      <w:szCs w:val="20"/>
    </w:rPr>
  </w:style>
  <w:style w:type="paragraph" w:styleId="1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14">
    <w:name w:val="Table Grid"/>
    <w:basedOn w:val="13"/>
    <w:qFormat/>
    <w:uiPriority w:val="99"/>
    <w:rPr>
      <w:rFonts w:ascii="宋体" w:hAnsi="宋体" w:cs="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locked/>
    <w:uiPriority w:val="0"/>
    <w:rPr>
      <w:b/>
    </w:rPr>
  </w:style>
  <w:style w:type="character" w:customStyle="1" w:styleId="17">
    <w:name w:val="标题 1 Char"/>
    <w:basedOn w:val="15"/>
    <w:link w:val="3"/>
    <w:qFormat/>
    <w:locked/>
    <w:uiPriority w:val="99"/>
    <w:rPr>
      <w:rFonts w:ascii="Times New Roman" w:hAnsi="Times New Roman" w:eastAsia="宋体" w:cs="Times New Roman"/>
      <w:b/>
      <w:bCs/>
      <w:kern w:val="44"/>
      <w:sz w:val="21"/>
      <w:szCs w:val="21"/>
    </w:rPr>
  </w:style>
  <w:style w:type="character" w:customStyle="1" w:styleId="18">
    <w:name w:val="标题 2 Char"/>
    <w:basedOn w:val="15"/>
    <w:link w:val="4"/>
    <w:qFormat/>
    <w:locked/>
    <w:uiPriority w:val="99"/>
    <w:rPr>
      <w:rFonts w:ascii="Calibri Light" w:hAnsi="Calibri Light" w:eastAsia="宋体" w:cs="Calibri Light"/>
      <w:b/>
      <w:bCs/>
      <w:kern w:val="24"/>
      <w:sz w:val="21"/>
      <w:szCs w:val="21"/>
    </w:rPr>
  </w:style>
  <w:style w:type="character" w:customStyle="1" w:styleId="19">
    <w:name w:val="标题 4 Char"/>
    <w:basedOn w:val="15"/>
    <w:link w:val="5"/>
    <w:qFormat/>
    <w:locked/>
    <w:uiPriority w:val="99"/>
    <w:rPr>
      <w:rFonts w:ascii="Arial" w:hAnsi="Arial" w:eastAsia="黑体" w:cs="Arial"/>
      <w:b/>
      <w:bCs/>
      <w:kern w:val="2"/>
      <w:sz w:val="28"/>
      <w:szCs w:val="28"/>
    </w:rPr>
  </w:style>
  <w:style w:type="character" w:customStyle="1" w:styleId="20">
    <w:name w:val="日期 Char"/>
    <w:basedOn w:val="15"/>
    <w:link w:val="7"/>
    <w:qFormat/>
    <w:locked/>
    <w:uiPriority w:val="99"/>
    <w:rPr>
      <w:kern w:val="2"/>
      <w:sz w:val="21"/>
      <w:szCs w:val="21"/>
    </w:rPr>
  </w:style>
  <w:style w:type="character" w:customStyle="1" w:styleId="21">
    <w:name w:val="正文文本缩进 2 Char"/>
    <w:basedOn w:val="15"/>
    <w:link w:val="8"/>
    <w:qFormat/>
    <w:locked/>
    <w:uiPriority w:val="99"/>
    <w:rPr>
      <w:rFonts w:ascii="Times New Roman" w:hAnsi="Times New Roman" w:eastAsia="宋体" w:cs="Times New Roman"/>
      <w:kern w:val="2"/>
      <w:sz w:val="24"/>
      <w:szCs w:val="24"/>
    </w:rPr>
  </w:style>
  <w:style w:type="character" w:customStyle="1" w:styleId="22">
    <w:name w:val="页脚 Char"/>
    <w:basedOn w:val="15"/>
    <w:link w:val="9"/>
    <w:qFormat/>
    <w:locked/>
    <w:uiPriority w:val="99"/>
    <w:rPr>
      <w:kern w:val="2"/>
      <w:sz w:val="18"/>
      <w:szCs w:val="18"/>
    </w:rPr>
  </w:style>
  <w:style w:type="character" w:customStyle="1" w:styleId="23">
    <w:name w:val="页眉 Char"/>
    <w:basedOn w:val="15"/>
    <w:link w:val="10"/>
    <w:qFormat/>
    <w:locked/>
    <w:uiPriority w:val="99"/>
    <w:rPr>
      <w:kern w:val="2"/>
      <w:sz w:val="18"/>
      <w:szCs w:val="18"/>
    </w:rPr>
  </w:style>
  <w:style w:type="paragraph" w:customStyle="1" w:styleId="24">
    <w:name w:val="正文表标题"/>
    <w:basedOn w:val="1"/>
    <w:next w:val="25"/>
    <w:qFormat/>
    <w:uiPriority w:val="99"/>
    <w:pPr>
      <w:widowControl/>
      <w:spacing w:beforeLines="50" w:afterLines="50"/>
      <w:ind w:left="3780"/>
      <w:jc w:val="center"/>
    </w:pPr>
    <w:rPr>
      <w:rFonts w:ascii="黑体" w:hAnsi="宋体" w:eastAsia="黑体" w:cs="黑体"/>
      <w:kern w:val="0"/>
    </w:rPr>
  </w:style>
  <w:style w:type="paragraph" w:customStyle="1" w:styleId="25">
    <w:name w:val="段"/>
    <w:basedOn w:val="1"/>
    <w:link w:val="28"/>
    <w:qFormat/>
    <w:uiPriority w:val="0"/>
    <w:pPr>
      <w:widowControl/>
      <w:autoSpaceDE w:val="0"/>
      <w:autoSpaceDN w:val="0"/>
      <w:ind w:firstLine="420" w:firstLineChars="200"/>
    </w:pPr>
    <w:rPr>
      <w:rFonts w:ascii="宋体" w:cs="宋体"/>
      <w:kern w:val="0"/>
    </w:rPr>
  </w:style>
  <w:style w:type="paragraph" w:customStyle="1" w:styleId="26">
    <w:name w:val="二级条标题"/>
    <w:basedOn w:val="27"/>
    <w:next w:val="25"/>
    <w:qFormat/>
    <w:uiPriority w:val="99"/>
    <w:pPr>
      <w:ind w:left="0"/>
      <w:outlineLvl w:val="3"/>
    </w:pPr>
  </w:style>
  <w:style w:type="paragraph" w:customStyle="1" w:styleId="27">
    <w:name w:val="一级条标题"/>
    <w:basedOn w:val="1"/>
    <w:next w:val="25"/>
    <w:link w:val="29"/>
    <w:qFormat/>
    <w:uiPriority w:val="99"/>
    <w:pPr>
      <w:widowControl/>
      <w:spacing w:beforeLines="50" w:afterLines="50"/>
      <w:ind w:left="105"/>
      <w:jc w:val="left"/>
      <w:outlineLvl w:val="2"/>
    </w:pPr>
    <w:rPr>
      <w:rFonts w:ascii="黑体" w:hAnsi="宋体" w:eastAsia="黑体" w:cs="黑体"/>
      <w:kern w:val="0"/>
    </w:rPr>
  </w:style>
  <w:style w:type="character" w:customStyle="1" w:styleId="28">
    <w:name w:val="段 Char"/>
    <w:link w:val="25"/>
    <w:qFormat/>
    <w:locked/>
    <w:uiPriority w:val="0"/>
    <w:rPr>
      <w:rFonts w:ascii="宋体" w:eastAsia="宋体" w:cs="宋体"/>
      <w:sz w:val="21"/>
      <w:szCs w:val="21"/>
    </w:rPr>
  </w:style>
  <w:style w:type="character" w:customStyle="1" w:styleId="29">
    <w:name w:val="一级条标题 Char"/>
    <w:link w:val="27"/>
    <w:qFormat/>
    <w:locked/>
    <w:uiPriority w:val="99"/>
    <w:rPr>
      <w:rFonts w:ascii="黑体" w:hAnsi="宋体" w:eastAsia="黑体" w:cs="黑体"/>
      <w:sz w:val="21"/>
      <w:szCs w:val="21"/>
    </w:rPr>
  </w:style>
  <w:style w:type="paragraph" w:customStyle="1" w:styleId="30">
    <w:name w:val="三级条标题"/>
    <w:basedOn w:val="26"/>
    <w:next w:val="25"/>
    <w:qFormat/>
    <w:uiPriority w:val="99"/>
    <w:pPr>
      <w:tabs>
        <w:tab w:val="left" w:pos="2551"/>
      </w:tabs>
      <w:spacing w:beforeLines="0" w:afterLines="0"/>
      <w:ind w:left="2551" w:hanging="850"/>
      <w:outlineLvl w:val="4"/>
    </w:pPr>
    <w:rPr>
      <w:rFonts w:ascii="Times New Roman" w:hAnsi="Times New Roman" w:cs="Times New Roman"/>
    </w:rPr>
  </w:style>
  <w:style w:type="paragraph" w:customStyle="1" w:styleId="31">
    <w:name w:val="章标题"/>
    <w:next w:val="25"/>
    <w:qFormat/>
    <w:uiPriority w:val="99"/>
    <w:pPr>
      <w:tabs>
        <w:tab w:val="left" w:pos="992"/>
      </w:tabs>
      <w:spacing w:beforeLines="50" w:afterLines="50"/>
      <w:ind w:left="992" w:hanging="567"/>
      <w:jc w:val="both"/>
      <w:outlineLvl w:val="1"/>
    </w:pPr>
    <w:rPr>
      <w:rFonts w:ascii="黑体" w:hAnsi="Times New Roman" w:eastAsia="黑体" w:cs="黑体"/>
      <w:sz w:val="21"/>
      <w:szCs w:val="21"/>
      <w:lang w:val="en-US" w:eastAsia="zh-CN" w:bidi="ar-SA"/>
    </w:rPr>
  </w:style>
  <w:style w:type="paragraph" w:customStyle="1" w:styleId="32">
    <w:name w:val="reader-word-layer"/>
    <w:basedOn w:val="1"/>
    <w:qFormat/>
    <w:uiPriority w:val="99"/>
    <w:pPr>
      <w:spacing w:before="100" w:beforeAutospacing="1" w:after="100" w:afterAutospacing="1"/>
    </w:pPr>
    <w:rPr>
      <w:rFonts w:ascii="宋体" w:hAnsi="宋体" w:cs="宋体"/>
      <w:sz w:val="24"/>
      <w:szCs w:val="24"/>
    </w:rPr>
  </w:style>
  <w:style w:type="paragraph" w:customStyle="1" w:styleId="33">
    <w:name w:val="四级条标题"/>
    <w:basedOn w:val="30"/>
    <w:next w:val="25"/>
    <w:qFormat/>
    <w:uiPriority w:val="99"/>
    <w:pPr>
      <w:tabs>
        <w:tab w:val="clear" w:pos="2551"/>
      </w:tabs>
      <w:spacing w:beforeLines="50" w:afterLines="50"/>
      <w:ind w:left="0" w:firstLine="0"/>
      <w:outlineLvl w:val="5"/>
    </w:pPr>
    <w:rPr>
      <w:rFonts w:ascii="黑体" w:cs="黑体"/>
    </w:rPr>
  </w:style>
  <w:style w:type="paragraph" w:customStyle="1" w:styleId="34">
    <w:name w:val="五级条标题"/>
    <w:basedOn w:val="33"/>
    <w:next w:val="25"/>
    <w:qFormat/>
    <w:uiPriority w:val="99"/>
    <w:pPr>
      <w:outlineLvl w:val="6"/>
    </w:pPr>
  </w:style>
  <w:style w:type="character" w:customStyle="1" w:styleId="35">
    <w:name w:val="font21"/>
    <w:basedOn w:val="15"/>
    <w:qFormat/>
    <w:uiPriority w:val="0"/>
    <w:rPr>
      <w:rFonts w:ascii="宋体" w:hAnsi="宋体" w:eastAsia="宋体" w:cs="宋体"/>
      <w:color w:val="000000"/>
      <w:sz w:val="30"/>
      <w:szCs w:val="3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4502</Words>
  <Characters>4977</Characters>
  <Lines>27</Lines>
  <Paragraphs>7</Paragraphs>
  <TotalTime>0</TotalTime>
  <ScaleCrop>false</ScaleCrop>
  <LinksUpToDate>false</LinksUpToDate>
  <CharactersWithSpaces>5132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2020-11-19T03:02:00Z</dcterms:created>
  <dc:creator>Administrator</dc:creator>
  <cp:lastModifiedBy>Dr. Zhang</cp:lastModifiedBy>
  <dcterms:modified xsi:type="dcterms:W3CDTF">2026-05-21T16:59:16Z</dcterms:modified>
  <dc:title>推荐性国家标准《太子参种子、种根》编制说明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eyJoZGlkIjoiM2YxOTBhMjkzY2U3NThhZmQ1NDZhMWJjODdjYWZhZjUiLCJ1c2VySWQiOiI1NTQyMzMxMDcifQ==</vt:lpwstr>
  </property>
  <property fmtid="{D5CDD505-2E9C-101B-9397-08002B2CF9AE}" pid="4" name="ICV">
    <vt:lpwstr>A469C9C1DC364FF88F688B2AE54D8F6C_12</vt:lpwstr>
  </property>
</Properties>
</file>