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7FE905">
      <w:pPr>
        <w:pStyle w:val="27"/>
        <w:bidi w:val="0"/>
        <w:rPr>
          <w:rFonts w:hint="eastAsia" w:eastAsia="方正小标宋简体"/>
          <w:lang w:eastAsia="zh-CN"/>
        </w:rPr>
      </w:pPr>
      <w:r>
        <w:rPr>
          <w:rFonts w:hint="eastAsia"/>
        </w:rPr>
        <w:t>碳普惠项目减排量核算技术规范</w:t>
      </w:r>
      <w:r>
        <w:rPr>
          <w:rFonts w:hint="eastAsia"/>
        </w:rPr>
        <w:br w:type="textWrapping"/>
      </w:r>
      <w:r>
        <w:rPr>
          <w:rFonts w:hint="eastAsia"/>
        </w:rPr>
        <w:t>低碳出行</w:t>
      </w:r>
      <w:r>
        <w:rPr>
          <w:rFonts w:hint="eastAsia"/>
          <w:lang w:val="en-US" w:eastAsia="zh-CN"/>
        </w:rPr>
        <w:t xml:space="preserve">  </w:t>
      </w:r>
      <w:r>
        <w:rPr>
          <w:rFonts w:hint="eastAsia"/>
        </w:rPr>
        <w:t>编制说明</w:t>
      </w:r>
      <w:r>
        <w:rPr>
          <w:rFonts w:hint="eastAsia"/>
          <w:lang w:eastAsia="zh-CN"/>
        </w:rPr>
        <w:t>（</w:t>
      </w:r>
      <w:r>
        <w:rPr>
          <w:rFonts w:hint="eastAsia"/>
          <w:lang w:val="en-US" w:eastAsia="zh-CN"/>
        </w:rPr>
        <w:t>初稿</w:t>
      </w:r>
      <w:r>
        <w:rPr>
          <w:rFonts w:hint="eastAsia"/>
          <w:lang w:eastAsia="zh-CN"/>
        </w:rPr>
        <w:t>）</w:t>
      </w:r>
    </w:p>
    <w:p w14:paraId="4D22E8B1">
      <w:pPr>
        <w:pStyle w:val="5"/>
        <w:rPr>
          <w:rFonts w:hint="eastAsia"/>
        </w:rPr>
      </w:pPr>
    </w:p>
    <w:p w14:paraId="2EAA0B1B">
      <w:pPr>
        <w:pStyle w:val="5"/>
        <w:rPr>
          <w:rFonts w:hint="eastAsia"/>
        </w:rPr>
      </w:pPr>
    </w:p>
    <w:p w14:paraId="3E28DA11">
      <w:pPr>
        <w:pStyle w:val="5"/>
        <w:rPr>
          <w:rFonts w:hint="eastAsia"/>
        </w:rPr>
      </w:pPr>
    </w:p>
    <w:p w14:paraId="142FB896">
      <w:pPr>
        <w:pStyle w:val="5"/>
        <w:rPr>
          <w:rFonts w:hint="eastAsia"/>
        </w:rPr>
      </w:pPr>
    </w:p>
    <w:p w14:paraId="6C342A72">
      <w:pPr>
        <w:pStyle w:val="5"/>
        <w:rPr>
          <w:rFonts w:hint="eastAsia"/>
        </w:rPr>
      </w:pPr>
    </w:p>
    <w:p w14:paraId="25FE1C87">
      <w:pPr>
        <w:pStyle w:val="5"/>
        <w:rPr>
          <w:rFonts w:hint="eastAsia"/>
        </w:rPr>
      </w:pPr>
    </w:p>
    <w:p w14:paraId="5417D30D">
      <w:pPr>
        <w:pStyle w:val="5"/>
        <w:rPr>
          <w:rFonts w:hint="eastAsia"/>
        </w:rPr>
      </w:pPr>
    </w:p>
    <w:p w14:paraId="6AF120D4">
      <w:pPr>
        <w:pStyle w:val="5"/>
        <w:rPr>
          <w:rFonts w:hint="eastAsia"/>
        </w:rPr>
      </w:pPr>
    </w:p>
    <w:p w14:paraId="16F37511">
      <w:pPr>
        <w:pStyle w:val="5"/>
        <w:rPr>
          <w:rFonts w:hint="eastAsia"/>
        </w:rPr>
      </w:pPr>
    </w:p>
    <w:p w14:paraId="1360D88D">
      <w:pPr>
        <w:pStyle w:val="5"/>
        <w:rPr>
          <w:rFonts w:hint="eastAsia"/>
        </w:rPr>
      </w:pPr>
    </w:p>
    <w:p w14:paraId="15952DC6">
      <w:pPr>
        <w:pStyle w:val="5"/>
        <w:rPr>
          <w:rFonts w:hint="eastAsia"/>
        </w:rPr>
      </w:pPr>
    </w:p>
    <w:p w14:paraId="44ECF384">
      <w:pPr>
        <w:pStyle w:val="5"/>
        <w:rPr>
          <w:rFonts w:hint="eastAsia"/>
        </w:rPr>
      </w:pPr>
    </w:p>
    <w:p w14:paraId="58A1D8D4">
      <w:pPr>
        <w:pStyle w:val="5"/>
        <w:rPr>
          <w:rFonts w:hint="eastAsia"/>
        </w:rPr>
      </w:pPr>
    </w:p>
    <w:p w14:paraId="3A86FF92">
      <w:pPr>
        <w:pStyle w:val="5"/>
        <w:rPr>
          <w:rFonts w:hint="eastAsia"/>
        </w:rPr>
      </w:pPr>
    </w:p>
    <w:p w14:paraId="46801B9B">
      <w:pPr>
        <w:pStyle w:val="5"/>
        <w:rPr>
          <w:rFonts w:hint="eastAsia"/>
        </w:rPr>
      </w:pPr>
    </w:p>
    <w:p w14:paraId="73DD8CA6">
      <w:pPr>
        <w:pStyle w:val="5"/>
        <w:jc w:val="center"/>
        <w:rPr>
          <w:rFonts w:hint="eastAsia" w:ascii="黑体" w:hAnsi="黑体" w:eastAsia="黑体" w:cs="黑体"/>
          <w:lang w:val="en-US" w:eastAsia="zh-CN"/>
        </w:rPr>
      </w:pPr>
      <w:r>
        <w:rPr>
          <w:rFonts w:hint="eastAsia" w:ascii="黑体" w:hAnsi="黑体" w:eastAsia="黑体" w:cs="黑体"/>
          <w:lang w:eastAsia="zh-CN"/>
        </w:rPr>
        <w:t>《碳普惠项目减排量核算技术规范</w:t>
      </w:r>
      <w:r>
        <w:rPr>
          <w:rFonts w:hint="eastAsia" w:ascii="黑体" w:hAnsi="黑体" w:eastAsia="黑体" w:cs="黑体"/>
          <w:lang w:val="en-US" w:eastAsia="zh-CN"/>
        </w:rPr>
        <w:t xml:space="preserve">  </w:t>
      </w:r>
      <w:r>
        <w:rPr>
          <w:rFonts w:hint="eastAsia" w:ascii="黑体" w:hAnsi="黑体" w:eastAsia="黑体" w:cs="黑体"/>
          <w:lang w:eastAsia="zh-CN"/>
        </w:rPr>
        <w:t>低碳</w:t>
      </w:r>
      <w:r>
        <w:rPr>
          <w:rFonts w:hint="eastAsia" w:ascii="黑体" w:hAnsi="黑体" w:eastAsia="黑体" w:cs="黑体"/>
          <w:lang w:val="en-US" w:eastAsia="zh-CN"/>
        </w:rPr>
        <w:t>出行</w:t>
      </w:r>
      <w:bookmarkStart w:id="1" w:name="_GoBack"/>
      <w:bookmarkEnd w:id="1"/>
      <w:r>
        <w:rPr>
          <w:rFonts w:hint="eastAsia" w:ascii="黑体" w:hAnsi="黑体" w:eastAsia="黑体" w:cs="黑体"/>
          <w:lang w:eastAsia="zh-CN"/>
        </w:rPr>
        <w:t>》</w:t>
      </w:r>
      <w:r>
        <w:rPr>
          <w:rFonts w:hint="eastAsia" w:ascii="黑体" w:hAnsi="黑体" w:eastAsia="黑体" w:cs="黑体"/>
          <w:lang w:val="en-US" w:eastAsia="zh-CN"/>
        </w:rPr>
        <w:t>编制组</w:t>
      </w:r>
    </w:p>
    <w:p w14:paraId="77ED0535">
      <w:pPr>
        <w:pStyle w:val="5"/>
        <w:jc w:val="center"/>
        <w:rPr>
          <w:rFonts w:hint="eastAsia" w:ascii="黑体" w:hAnsi="黑体" w:eastAsia="黑体" w:cs="黑体"/>
          <w:lang w:val="en-US" w:eastAsia="zh-CN"/>
        </w:rPr>
      </w:pPr>
      <w:r>
        <w:rPr>
          <w:rFonts w:hint="eastAsia" w:ascii="黑体" w:hAnsi="黑体" w:eastAsia="黑体" w:cs="黑体"/>
          <w:lang w:val="en-US" w:eastAsia="zh-CN"/>
        </w:rPr>
        <w:t>二〇二六年五月</w:t>
      </w:r>
    </w:p>
    <w:p w14:paraId="7C9E53B9">
      <w:pPr>
        <w:rPr>
          <w:rFonts w:hint="eastAsia" w:ascii="黑体" w:hAnsi="黑体" w:eastAsia="黑体" w:cs="黑体"/>
          <w:lang w:val="en-US" w:eastAsia="zh-CN"/>
        </w:rPr>
        <w:sectPr>
          <w:footerReference r:id="rId6" w:type="default"/>
          <w:headerReference r:id="rId5" w:type="even"/>
          <w:footerReference r:id="rId7" w:type="even"/>
          <w:pgSz w:w="11906" w:h="16838"/>
          <w:pgMar w:top="2098" w:right="1247" w:bottom="1758" w:left="1588" w:header="1134" w:footer="1503" w:gutter="0"/>
          <w:cols w:space="425" w:num="1"/>
          <w:titlePg/>
          <w:docGrid w:type="linesAndChars" w:linePitch="312" w:charSpace="0"/>
        </w:sectPr>
      </w:pPr>
    </w:p>
    <w:p w14:paraId="3FDE8760">
      <w:pPr>
        <w:pStyle w:val="2"/>
        <w:bidi w:val="0"/>
        <w:rPr>
          <w:rFonts w:hint="eastAsia"/>
          <w:lang w:val="en-US" w:eastAsia="zh-CN"/>
        </w:rPr>
      </w:pPr>
      <w:r>
        <w:rPr>
          <w:rFonts w:hint="eastAsia"/>
          <w:lang w:val="en-US" w:eastAsia="zh-CN"/>
        </w:rPr>
        <w:t>任务来源</w:t>
      </w:r>
    </w:p>
    <w:p w14:paraId="361C8965">
      <w:pPr>
        <w:pStyle w:val="5"/>
        <w:bidi w:val="0"/>
        <w:rPr>
          <w:rFonts w:hint="eastAsia"/>
          <w:lang w:val="en-US" w:eastAsia="zh-CN"/>
        </w:rPr>
      </w:pPr>
      <w:r>
        <w:rPr>
          <w:rFonts w:hint="eastAsia"/>
          <w:lang w:val="en-US" w:eastAsia="zh-CN"/>
        </w:rPr>
        <w:t>长岛国际零碳岛是全国首个以“国际零碳”为定位的海岛示范区，其《长岛国际零碳岛发展规划（2023—2035年）》明确提出“2027年碳排放较2023年下降20%、2030年主导产业与碳排放脱钩、2035年全域净零排放”三阶段目标。数据显示，2022年长岛温室气体排放总量达23.11万吨二氧化碳当量，碳汇量仅9.25万吨，净零排放缺口13.86万吨。</w:t>
      </w:r>
    </w:p>
    <w:p w14:paraId="5E12B62A">
      <w:pPr>
        <w:pStyle w:val="5"/>
        <w:bidi w:val="0"/>
        <w:rPr>
          <w:rFonts w:hint="eastAsia"/>
          <w:lang w:val="en-US" w:eastAsia="zh-CN"/>
        </w:rPr>
      </w:pPr>
      <w:r>
        <w:rPr>
          <w:rFonts w:hint="eastAsia"/>
          <w:lang w:val="en-US" w:eastAsia="zh-CN"/>
        </w:rPr>
        <w:t>当前，长岛已启动碳普惠平台小程序建设，但缺乏覆盖居民、游客及经营主体的具体场景方法学，无法精准核算低碳行为减排量，难以有效引导全社会参与。亟需开发适配长岛实际的碳普惠方法学，支撑规划目标落地，打造“国际零碳岛”碳普惠样板。</w:t>
      </w:r>
    </w:p>
    <w:p w14:paraId="6EC4308D">
      <w:pPr>
        <w:pStyle w:val="5"/>
        <w:bidi w:val="0"/>
        <w:rPr>
          <w:rFonts w:hint="default"/>
          <w:lang w:val="en-US" w:eastAsia="zh-CN"/>
        </w:rPr>
      </w:pPr>
      <w:r>
        <w:rPr>
          <w:rFonts w:hint="eastAsia"/>
          <w:lang w:val="en-US" w:eastAsia="zh-CN"/>
        </w:rPr>
        <w:t>根据以上情况，深圳市绿色低碳科技促进会发起《</w:t>
      </w:r>
      <w:r>
        <w:rPr>
          <w:rFonts w:hint="eastAsia"/>
        </w:rPr>
        <w:t>碳普惠项目减排量核算技术规范</w:t>
      </w:r>
      <w:r>
        <w:rPr>
          <w:rFonts w:hint="eastAsia"/>
          <w:lang w:val="en-US" w:eastAsia="zh-CN"/>
        </w:rPr>
        <w:t>》系列团体标准立项，本标准是其中之一。</w:t>
      </w:r>
    </w:p>
    <w:p w14:paraId="1D513200">
      <w:pPr>
        <w:pStyle w:val="2"/>
        <w:bidi w:val="0"/>
        <w:rPr>
          <w:rFonts w:hint="eastAsia"/>
          <w:lang w:val="en-US" w:eastAsia="zh-CN"/>
        </w:rPr>
      </w:pPr>
      <w:r>
        <w:rPr>
          <w:rFonts w:hint="eastAsia"/>
          <w:lang w:val="en-US" w:eastAsia="zh-CN"/>
        </w:rPr>
        <w:t>编制原则</w:t>
      </w:r>
    </w:p>
    <w:p w14:paraId="1840C454">
      <w:pPr>
        <w:pStyle w:val="5"/>
        <w:bidi w:val="0"/>
        <w:rPr>
          <w:rFonts w:hint="eastAsia"/>
          <w:lang w:val="en-US" w:eastAsia="zh-CN"/>
        </w:rPr>
      </w:pPr>
      <w:r>
        <w:rPr>
          <w:rFonts w:hint="eastAsia"/>
          <w:lang w:val="en-US" w:eastAsia="zh-CN"/>
        </w:rPr>
        <w:t>原则性：根据《中华人民共和国标准法》及其《实施细则》、《团体标准的结构和编写指南》（T/CAS 1.1-2017）进行编制。</w:t>
      </w:r>
    </w:p>
    <w:p w14:paraId="253AEAAF">
      <w:pPr>
        <w:pStyle w:val="5"/>
        <w:bidi w:val="0"/>
        <w:rPr>
          <w:rFonts w:hint="eastAsia"/>
          <w:lang w:val="en-US" w:eastAsia="zh-CN"/>
        </w:rPr>
      </w:pPr>
      <w:r>
        <w:rPr>
          <w:rFonts w:hint="eastAsia"/>
          <w:lang w:val="en-US" w:eastAsia="zh-CN"/>
        </w:rPr>
        <w:t>相关性：方法学需紧密贴合政策目标、产业需求及实际场景。</w:t>
      </w:r>
    </w:p>
    <w:p w14:paraId="35E1E7CF">
      <w:pPr>
        <w:pStyle w:val="5"/>
        <w:bidi w:val="0"/>
        <w:rPr>
          <w:rFonts w:hint="eastAsia"/>
          <w:lang w:val="en-US" w:eastAsia="zh-CN"/>
        </w:rPr>
      </w:pPr>
      <w:r>
        <w:rPr>
          <w:rFonts w:hint="eastAsia"/>
          <w:lang w:val="en-US" w:eastAsia="zh-CN"/>
        </w:rPr>
        <w:t>完整性：完整性要求方法学覆盖所有影响碳减排的关键环节和边界，避免因遗漏导致核算偏差。</w:t>
      </w:r>
    </w:p>
    <w:p w14:paraId="1F21CDE7">
      <w:pPr>
        <w:pStyle w:val="5"/>
        <w:bidi w:val="0"/>
        <w:rPr>
          <w:rFonts w:hint="eastAsia"/>
          <w:lang w:val="en-US" w:eastAsia="zh-CN"/>
        </w:rPr>
      </w:pPr>
      <w:r>
        <w:rPr>
          <w:rFonts w:hint="eastAsia"/>
          <w:lang w:val="en-US" w:eastAsia="zh-CN"/>
        </w:rPr>
        <w:t>准确性：强调核算方法的科学性与数据来源的可靠性，确保结果可验证、误差可控。</w:t>
      </w:r>
    </w:p>
    <w:p w14:paraId="0794EFC9">
      <w:pPr>
        <w:pStyle w:val="5"/>
        <w:bidi w:val="0"/>
        <w:rPr>
          <w:rFonts w:hint="eastAsia"/>
          <w:lang w:val="en-US" w:eastAsia="zh-CN"/>
        </w:rPr>
      </w:pPr>
      <w:r>
        <w:rPr>
          <w:rFonts w:hint="eastAsia"/>
          <w:lang w:val="en-US" w:eastAsia="zh-CN"/>
        </w:rPr>
        <w:t>透明性：要求方法学的核算逻辑、数据来源可追溯，确保第三方可复现核算过程并验证结果。</w:t>
      </w:r>
    </w:p>
    <w:p w14:paraId="22D987E7">
      <w:pPr>
        <w:pStyle w:val="5"/>
        <w:bidi w:val="0"/>
        <w:rPr>
          <w:rFonts w:hint="eastAsia"/>
          <w:lang w:val="en-US" w:eastAsia="zh-CN"/>
        </w:rPr>
      </w:pPr>
      <w:r>
        <w:rPr>
          <w:rFonts w:hint="eastAsia"/>
          <w:lang w:val="en-US" w:eastAsia="zh-CN"/>
        </w:rPr>
        <w:t>一致性：确保方法学在不同项目、不同时间中的应用逻辑统一，结果可比。</w:t>
      </w:r>
    </w:p>
    <w:p w14:paraId="6F33317C">
      <w:pPr>
        <w:pStyle w:val="2"/>
        <w:bidi w:val="0"/>
        <w:rPr>
          <w:rFonts w:hint="eastAsia"/>
          <w:lang w:val="en-US" w:eastAsia="zh-CN"/>
        </w:rPr>
      </w:pPr>
      <w:r>
        <w:rPr>
          <w:rFonts w:hint="eastAsia"/>
          <w:lang w:val="en-US" w:eastAsia="zh-CN"/>
        </w:rPr>
        <w:t>编制思路</w:t>
      </w:r>
    </w:p>
    <w:p w14:paraId="54C3BA1B">
      <w:pPr>
        <w:pStyle w:val="3"/>
        <w:bidi w:val="0"/>
        <w:rPr>
          <w:rFonts w:hint="eastAsia"/>
          <w:lang w:val="en-US" w:eastAsia="zh-CN"/>
        </w:rPr>
      </w:pPr>
      <w:r>
        <w:rPr>
          <w:rFonts w:hint="eastAsia"/>
          <w:lang w:val="en-US" w:eastAsia="zh-CN"/>
        </w:rPr>
        <w:t>系统边界</w:t>
      </w:r>
    </w:p>
    <w:p w14:paraId="7833B798">
      <w:pPr>
        <w:pStyle w:val="5"/>
        <w:rPr>
          <w:rFonts w:hint="eastAsia"/>
          <w:lang w:val="en-US" w:eastAsia="zh-CN"/>
        </w:rPr>
      </w:pPr>
      <w:r>
        <w:rPr>
          <w:rFonts w:hint="eastAsia"/>
        </w:rPr>
        <w:t>为科学评估低碳出行措施的减排效益，本研究划定了聚焦于城市常见的个人机动化与非机动化出行方式。综合考虑数据可得性、出行代表性及政策相关性，分析范围限定为</w:t>
      </w:r>
      <w:r>
        <w:rPr>
          <w:rFonts w:hint="eastAsia"/>
          <w:lang w:val="en-US" w:eastAsia="zh-CN"/>
        </w:rPr>
        <w:t>四</w:t>
      </w:r>
      <w:r>
        <w:rPr>
          <w:rFonts w:hint="eastAsia"/>
        </w:rPr>
        <w:t>类</w:t>
      </w:r>
      <w:r>
        <w:rPr>
          <w:rFonts w:hint="eastAsia"/>
          <w:lang w:val="en-US" w:eastAsia="zh-CN"/>
        </w:rPr>
        <w:t>基准</w:t>
      </w:r>
      <w:r>
        <w:rPr>
          <w:rFonts w:hint="eastAsia"/>
        </w:rPr>
        <w:t>出行方式，包括燃油私人小汽车、电动私人小汽车、纯电动公共汽车、电动出租车；同时涵盖四类项目情景出行方式，即步行、骑行、公共汽车、电动出租车合乘以及电动观光车。该系统边界覆盖了从高碳到低碳、从私人使用到共享共乘、从传统燃油到新能源的主要交通选择，既反映了当前居民的实际出行结构，也契合绿色交通发展的总体方向，能够确保评估结果具有现实意义和政策参考价值。</w:t>
      </w:r>
    </w:p>
    <w:p w14:paraId="0003C968">
      <w:pPr>
        <w:pStyle w:val="3"/>
        <w:bidi w:val="0"/>
        <w:rPr>
          <w:rFonts w:hint="eastAsia"/>
          <w:lang w:val="en-US" w:eastAsia="zh-CN"/>
        </w:rPr>
      </w:pPr>
      <w:r>
        <w:rPr>
          <w:rFonts w:hint="eastAsia"/>
          <w:lang w:val="en-US" w:eastAsia="zh-CN"/>
        </w:rPr>
        <w:t>基准线情景</w:t>
      </w:r>
    </w:p>
    <w:p w14:paraId="209560DD">
      <w:pPr>
        <w:pStyle w:val="5"/>
        <w:rPr>
          <w:rFonts w:hint="eastAsia"/>
          <w:lang w:val="en-US" w:eastAsia="zh-CN"/>
        </w:rPr>
      </w:pPr>
      <w:r>
        <w:rPr>
          <w:rFonts w:hint="eastAsia"/>
        </w:rPr>
        <w:t>基准线情景代表在未实施本项目干预措施前，公众在同类出行需求下可能采用的常规交通方式及其碳排放水平。选取燃油私人小汽车、电动私人小汽车、纯电动公共汽车、电动出租车</w:t>
      </w:r>
      <w:r>
        <w:rPr>
          <w:rFonts w:hint="eastAsia"/>
          <w:lang w:val="en-US" w:eastAsia="zh-CN"/>
        </w:rPr>
        <w:t>四</w:t>
      </w:r>
      <w:r>
        <w:rPr>
          <w:rFonts w:hint="eastAsia"/>
        </w:rPr>
        <w:t>类方式，并以其碳排放因子按实际出行分担率进行加权平均，旨在真实还原当前混合交通环境下的平均碳排放强度。该设定充分考虑了现实中私人小汽车仍占主导地位、新能源车辆逐步渗透等实际情况，避免单一高估或低估基准排放。</w:t>
      </w:r>
    </w:p>
    <w:p w14:paraId="12D0DCC2">
      <w:pPr>
        <w:pStyle w:val="3"/>
        <w:bidi w:val="0"/>
        <w:rPr>
          <w:rFonts w:hint="eastAsia"/>
          <w:lang w:val="en-US" w:eastAsia="zh-CN"/>
        </w:rPr>
      </w:pPr>
      <w:r>
        <w:rPr>
          <w:rFonts w:hint="eastAsia"/>
          <w:lang w:val="en-US" w:eastAsia="zh-CN"/>
        </w:rPr>
        <w:t>项目情景</w:t>
      </w:r>
    </w:p>
    <w:p w14:paraId="526DD368">
      <w:pPr>
        <w:pStyle w:val="5"/>
        <w:rPr>
          <w:rFonts w:hint="eastAsia"/>
        </w:rPr>
      </w:pPr>
      <w:r>
        <w:rPr>
          <w:rFonts w:hint="eastAsia"/>
        </w:rPr>
        <w:t>项目情景反映在低碳出行相关政策引导和配套设施完善背景下，公众实际选择的更为环保的出行方式。本情景主要包括步行、骑行等不产生碳排放的慢行方式，以及公共汽车、电动出租车合乘等公共交通或共享出行形式。该设定基于当前各地推进人行道与自行车道建设、优化公交服务、鼓励顺风合乘等具体工作，符合居民日常出行习惯的转变趋势，有助于真实反映项目实施后的减排成效，并为后续评估提供可靠依据。</w:t>
      </w:r>
    </w:p>
    <w:p w14:paraId="07D6B6ED">
      <w:pPr>
        <w:pStyle w:val="2"/>
        <w:bidi w:val="0"/>
        <w:rPr>
          <w:rFonts w:hint="eastAsia"/>
          <w:lang w:val="en-US" w:eastAsia="zh-CN"/>
        </w:rPr>
      </w:pPr>
      <w:r>
        <w:rPr>
          <w:rFonts w:hint="eastAsia"/>
          <w:lang w:val="en-US" w:eastAsia="zh-CN"/>
        </w:rPr>
        <w:t>参数说明和数据来源</w:t>
      </w:r>
    </w:p>
    <w:p w14:paraId="075F78D7">
      <w:pPr>
        <w:pStyle w:val="3"/>
        <w:bidi w:val="0"/>
        <w:rPr>
          <w:rFonts w:hint="eastAsia"/>
          <w:lang w:val="en-US" w:eastAsia="zh-CN"/>
        </w:rPr>
      </w:pPr>
      <m:oMath>
        <m:sSub>
          <m:sSubPr>
            <m:ctrlPr>
              <w:rPr>
                <w:rFonts w:hint="eastAsia" w:ascii="Cambria Math" w:hAnsi="Cambria Math"/>
                <w:lang w:val="en-US"/>
              </w:rPr>
            </m:ctrlPr>
          </m:sSubPr>
          <m:e>
            <m:r>
              <m:rPr>
                <m:sty m:val="p"/>
              </m:rPr>
              <w:rPr>
                <w:rFonts w:hint="eastAsia" w:ascii="Cambria Math" w:hAnsi="Cambria Math"/>
                <w:lang w:val="en-US" w:eastAsia="zh-CN"/>
              </w:rPr>
              <m:t>EF</m:t>
            </m:r>
            <m:ctrlPr>
              <w:rPr>
                <w:rFonts w:hint="eastAsia" w:ascii="Cambria Math" w:hAnsi="Cambria Math"/>
                <w:lang w:val="en-US"/>
              </w:rPr>
            </m:ctrlPr>
          </m:e>
          <m:sub>
            <m:r>
              <m:rPr>
                <m:sty m:val="p"/>
              </m:rPr>
              <w:rPr>
                <w:rFonts w:hint="eastAsia" w:ascii="Cambria Math" w:hAnsi="Cambria Math"/>
                <w:lang w:val="en-US" w:eastAsia="zh-CN"/>
              </w:rPr>
              <m:t>y</m:t>
            </m:r>
            <m:ctrlPr>
              <w:rPr>
                <w:rFonts w:hint="eastAsia" w:ascii="Cambria Math" w:hAnsi="Cambria Math"/>
                <w:lang w:val="en-US"/>
              </w:rPr>
            </m:ctrlPr>
          </m:sub>
        </m:sSub>
      </m:oMath>
      <w:r>
        <w:rPr>
          <w:rFonts w:hint="eastAsia"/>
          <w:lang w:val="en-US" w:eastAsia="zh-CN"/>
        </w:rPr>
        <w:t>：中国区域电网碳排放因子</w:t>
      </w:r>
    </w:p>
    <w:p w14:paraId="50E6E400">
      <w:pPr>
        <w:pStyle w:val="5"/>
        <w:rPr>
          <w:rFonts w:hint="eastAsia"/>
          <w:lang w:val="en-US" w:eastAsia="zh-CN"/>
        </w:rPr>
      </w:pPr>
      <w:r>
        <w:rPr>
          <w:rFonts w:hint="eastAsia"/>
          <w:lang w:val="en-US" w:eastAsia="zh-CN"/>
        </w:rPr>
        <w:t>由于山东省在《</w:t>
      </w:r>
      <w:r>
        <w:rPr>
          <w:rFonts w:hint="eastAsia"/>
        </w:rPr>
        <w:t>202</w:t>
      </w:r>
      <w:r>
        <w:rPr>
          <w:rFonts w:hint="eastAsia"/>
          <w:lang w:val="en-US" w:eastAsia="zh-CN"/>
        </w:rPr>
        <w:t>4</w:t>
      </w:r>
      <w:r>
        <w:rPr>
          <w:rFonts w:hint="eastAsia"/>
        </w:rPr>
        <w:t>年减排项目中国区域电网基准线排放因子</w:t>
      </w:r>
      <w:r>
        <w:rPr>
          <w:rFonts w:hint="eastAsia"/>
          <w:lang w:val="en-US" w:eastAsia="zh-CN"/>
        </w:rPr>
        <w:t>》中归属于华北区域，所以2024年山东省区域电网基准线排放因子OM、BM的数值采用华北区域电网的数据。</w:t>
      </w:r>
    </w:p>
    <w:p w14:paraId="5EB2E819">
      <w:pPr>
        <w:pStyle w:val="5"/>
        <w:rPr>
          <w:rFonts w:hint="eastAsia"/>
          <w:lang w:val="en-US" w:eastAsia="zh-CN"/>
        </w:rPr>
      </w:pPr>
      <m:oMathPara>
        <m:oMathParaPr>
          <m:jc m:val="left"/>
        </m:oMathParaPr>
        <m:oMath>
          <m:sSub>
            <m:sSubPr>
              <m:ctrlPr>
                <w:rPr>
                  <w:rFonts w:hint="eastAsia" w:ascii="Cambria Math" w:hAnsi="Cambria Math"/>
                  <w:lang w:val="en-US"/>
                </w:rPr>
              </m:ctrlPr>
            </m:sSubPr>
            <m:e>
              <m:r>
                <m:rPr>
                  <m:sty m:val="p"/>
                </m:rPr>
                <w:rPr>
                  <w:rFonts w:hint="eastAsia" w:ascii="Cambria Math" w:hAnsi="Cambria Math"/>
                  <w:lang w:val="en-US" w:eastAsia="zh-CN"/>
                </w:rPr>
                <m:t>EF</m:t>
              </m:r>
              <m:ctrlPr>
                <w:rPr>
                  <w:rFonts w:hint="eastAsia" w:ascii="Cambria Math" w:hAnsi="Cambria Math"/>
                  <w:lang w:val="en-US"/>
                </w:rPr>
              </m:ctrlPr>
            </m:e>
            <m:sub>
              <m:r>
                <m:rPr>
                  <m:sty m:val="p"/>
                </m:rPr>
                <w:rPr>
                  <w:rFonts w:hint="eastAsia" w:ascii="Cambria Math" w:hAnsi="Cambria Math"/>
                  <w:lang w:val="en-US" w:eastAsia="zh-CN"/>
                </w:rPr>
                <m:t>y</m:t>
              </m:r>
              <m:ctrlPr>
                <w:rPr>
                  <w:rFonts w:hint="eastAsia" w:ascii="Cambria Math" w:hAnsi="Cambria Math"/>
                  <w:lang w:val="en-US"/>
                </w:rPr>
              </m:ctrlPr>
            </m:sub>
          </m:sSub>
          <m:r>
            <m:rPr>
              <m:sty m:val="p"/>
            </m:rPr>
            <w:rPr>
              <w:rFonts w:hint="eastAsia" w:ascii="Cambria Math" w:hAnsi="Cambria Math"/>
              <w:lang w:val="en-US" w:eastAsia="zh-CN"/>
            </w:rPr>
            <m:t>=0.5</m:t>
          </m:r>
          <m:r>
            <m:rPr>
              <m:sty m:val="p"/>
            </m:rPr>
            <w:rPr>
              <w:rFonts w:hint="eastAsia" w:ascii="Cambria Math" w:hAnsi="Cambria Math"/>
              <w:lang w:val="en-US"/>
            </w:rPr>
            <m:t>×</m:t>
          </m:r>
          <m:r>
            <m:rPr>
              <m:sty m:val="p"/>
            </m:rPr>
            <w:rPr>
              <w:rFonts w:hint="eastAsia" w:ascii="Cambria Math" w:hAnsi="Cambria Math"/>
              <w:lang w:val="en-US" w:eastAsia="zh-CN"/>
            </w:rPr>
            <m:t>OM+0.5</m:t>
          </m:r>
          <m:r>
            <m:rPr>
              <m:sty m:val="p"/>
            </m:rPr>
            <w:rPr>
              <w:rFonts w:hint="eastAsia" w:ascii="Cambria Math" w:hAnsi="Cambria Math"/>
              <w:lang w:val="en-US"/>
            </w:rPr>
            <m:t>×</m:t>
          </m:r>
          <m:r>
            <m:rPr>
              <m:sty m:val="p"/>
            </m:rPr>
            <w:rPr>
              <w:rFonts w:hint="eastAsia" w:ascii="Cambria Math" w:hAnsi="Cambria Math"/>
              <w:lang w:val="en-US" w:eastAsia="zh-CN"/>
            </w:rPr>
            <m:t>BM</m:t>
          </m:r>
        </m:oMath>
      </m:oMathPara>
    </w:p>
    <w:p w14:paraId="3E833909">
      <w:pPr>
        <w:pStyle w:val="5"/>
        <w:rPr>
          <w:rFonts w:hint="eastAsia"/>
          <w:lang w:val="en-US" w:eastAsia="zh-CN"/>
        </w:rPr>
      </w:pPr>
      <m:oMathPara>
        <m:oMathParaPr>
          <m:jc m:val="left"/>
        </m:oMathParaPr>
        <m:oMath>
          <m:r>
            <m:rPr>
              <m:sty m:val="p"/>
            </m:rPr>
            <w:rPr>
              <w:rFonts w:hint="eastAsia" w:ascii="Cambria Math" w:hAnsi="Cambria Math"/>
              <w:lang w:val="en-US" w:eastAsia="zh-CN"/>
            </w:rPr>
            <m:t>=</m:t>
          </m:r>
          <m:d>
            <m:dPr>
              <m:ctrlPr>
                <w:rPr>
                  <w:rFonts w:hint="eastAsia" w:ascii="Cambria Math" w:hAnsi="Cambria Math"/>
                  <w:lang w:val="en-US" w:eastAsia="zh-CN"/>
                </w:rPr>
              </m:ctrlPr>
            </m:dPr>
            <m:e>
              <m:r>
                <m:rPr>
                  <m:sty m:val="p"/>
                </m:rPr>
                <w:rPr>
                  <w:rFonts w:hint="eastAsia" w:ascii="Cambria Math" w:hAnsi="Cambria Math"/>
                  <w:lang w:val="en-US" w:eastAsia="zh-CN"/>
                </w:rPr>
                <m:t>0.5×0.9531+0.5×0.3095</m:t>
              </m:r>
              <m:ctrlPr>
                <w:rPr>
                  <w:rFonts w:hint="eastAsia" w:ascii="Cambria Math" w:hAnsi="Cambria Math"/>
                  <w:lang w:val="en-US" w:eastAsia="zh-CN"/>
                </w:rPr>
              </m:ctrlPr>
            </m:e>
          </m:d>
          <m:r>
            <m:rPr>
              <m:sty m:val="p"/>
            </m:rPr>
            <w:rPr>
              <w:rFonts w:hint="eastAsia" w:ascii="Cambria Math" w:hAnsi="Cambria Math"/>
              <w:lang w:val="en-US" w:eastAsia="zh-CN"/>
            </w:rPr>
            <m:t>t</m:t>
          </m:r>
          <m:sSub>
            <m:sSubPr>
              <m:ctrlPr>
                <w:rPr>
                  <w:rFonts w:hint="eastAsia" w:ascii="Cambria Math" w:hAnsi="Cambria Math"/>
                  <w:lang w:val="en-US" w:eastAsia="zh-CN"/>
                </w:rPr>
              </m:ctrlPr>
            </m:sSubPr>
            <m:e>
              <m:r>
                <m:rPr>
                  <m:sty m:val="p"/>
                </m:rPr>
                <w:rPr>
                  <w:rFonts w:hint="eastAsia" w:ascii="Cambria Math" w:hAnsi="Cambria Math"/>
                  <w:lang w:val="en-US" w:eastAsia="zh-CN"/>
                </w:rPr>
                <m:t>CO</m:t>
              </m:r>
              <m:ctrlPr>
                <w:rPr>
                  <w:rFonts w:hint="eastAsia" w:ascii="Cambria Math" w:hAnsi="Cambria Math"/>
                  <w:lang w:val="en-US" w:eastAsia="zh-CN"/>
                </w:rPr>
              </m:ctrlPr>
            </m:e>
            <m:sub>
              <m:r>
                <m:rPr>
                  <m:sty m:val="p"/>
                </m:rPr>
                <w:rPr>
                  <w:rFonts w:hint="eastAsia" w:ascii="Cambria Math" w:hAnsi="Cambria Math"/>
                  <w:lang w:val="en-US" w:eastAsia="zh-CN"/>
                </w:rPr>
                <m:t>2</m:t>
              </m:r>
              <m:ctrlPr>
                <w:rPr>
                  <w:rFonts w:hint="eastAsia" w:ascii="Cambria Math" w:hAnsi="Cambria Math"/>
                  <w:lang w:val="en-US" w:eastAsia="zh-CN"/>
                </w:rPr>
              </m:ctrlPr>
            </m:sub>
          </m:sSub>
          <m:r>
            <m:rPr>
              <m:sty m:val="p"/>
            </m:rPr>
            <w:rPr>
              <w:rFonts w:hint="eastAsia" w:ascii="Cambria Math" w:hAnsi="Cambria Math"/>
              <w:lang w:val="en-US" w:eastAsia="zh-CN"/>
            </w:rPr>
            <m:t>/MWh</m:t>
          </m:r>
        </m:oMath>
      </m:oMathPara>
    </w:p>
    <w:p w14:paraId="5D4309A7">
      <w:pPr>
        <w:pStyle w:val="5"/>
        <w:rPr>
          <w:rFonts w:hint="eastAsia"/>
          <w:lang w:val="en-US" w:eastAsia="zh-CN"/>
        </w:rPr>
      </w:pPr>
      <m:oMathPara>
        <m:oMathParaPr>
          <m:jc m:val="left"/>
        </m:oMathParaPr>
        <m:oMath>
          <m:r>
            <m:rPr>
              <m:sty m:val="p"/>
            </m:rPr>
            <w:rPr>
              <w:rFonts w:hint="eastAsia" w:ascii="Cambria Math" w:hAnsi="Cambria Math"/>
              <w:lang w:val="en-US" w:eastAsia="zh-CN"/>
            </w:rPr>
            <m:t>=0.6313t</m:t>
          </m:r>
          <m:sSub>
            <m:sSubPr>
              <m:ctrlPr>
                <w:rPr>
                  <w:rFonts w:hint="eastAsia" w:ascii="Cambria Math" w:hAnsi="Cambria Math"/>
                  <w:lang w:val="en-US" w:eastAsia="zh-CN"/>
                </w:rPr>
              </m:ctrlPr>
            </m:sSubPr>
            <m:e>
              <m:r>
                <m:rPr>
                  <m:sty m:val="p"/>
                </m:rPr>
                <w:rPr>
                  <w:rFonts w:hint="eastAsia" w:ascii="Cambria Math" w:hAnsi="Cambria Math"/>
                  <w:lang w:val="en-US" w:eastAsia="zh-CN"/>
                </w:rPr>
                <m:t>CO</m:t>
              </m:r>
              <m:ctrlPr>
                <w:rPr>
                  <w:rFonts w:hint="eastAsia" w:ascii="Cambria Math" w:hAnsi="Cambria Math"/>
                  <w:lang w:val="en-US" w:eastAsia="zh-CN"/>
                </w:rPr>
              </m:ctrlPr>
            </m:e>
            <m:sub>
              <m:r>
                <m:rPr>
                  <m:sty m:val="p"/>
                </m:rPr>
                <w:rPr>
                  <w:rFonts w:hint="eastAsia" w:ascii="Cambria Math" w:hAnsi="Cambria Math"/>
                  <w:lang w:val="en-US" w:eastAsia="zh-CN"/>
                </w:rPr>
                <m:t>2</m:t>
              </m:r>
              <m:ctrlPr>
                <w:rPr>
                  <w:rFonts w:hint="eastAsia" w:ascii="Cambria Math" w:hAnsi="Cambria Math"/>
                  <w:lang w:val="en-US" w:eastAsia="zh-CN"/>
                </w:rPr>
              </m:ctrlPr>
            </m:sub>
          </m:sSub>
          <m:r>
            <m:rPr>
              <m:sty m:val="p"/>
            </m:rPr>
            <w:rPr>
              <w:rFonts w:hint="eastAsia" w:ascii="Cambria Math" w:hAnsi="Cambria Math"/>
              <w:lang w:val="en-US" w:eastAsia="zh-CN"/>
            </w:rPr>
            <m:t>/MWh=0.6313kg</m:t>
          </m:r>
          <m:sSub>
            <m:sSubPr>
              <m:ctrlPr>
                <w:rPr>
                  <w:rFonts w:hint="eastAsia" w:ascii="Cambria Math" w:hAnsi="Cambria Math"/>
                  <w:lang w:val="en-US" w:eastAsia="zh-CN"/>
                </w:rPr>
              </m:ctrlPr>
            </m:sSubPr>
            <m:e>
              <m:r>
                <m:rPr>
                  <m:sty m:val="p"/>
                </m:rPr>
                <w:rPr>
                  <w:rFonts w:hint="eastAsia" w:ascii="Cambria Math" w:hAnsi="Cambria Math"/>
                  <w:lang w:val="en-US" w:eastAsia="zh-CN"/>
                </w:rPr>
                <m:t>CO</m:t>
              </m:r>
              <m:ctrlPr>
                <w:rPr>
                  <w:rFonts w:hint="eastAsia" w:ascii="Cambria Math" w:hAnsi="Cambria Math"/>
                  <w:lang w:val="en-US" w:eastAsia="zh-CN"/>
                </w:rPr>
              </m:ctrlPr>
            </m:e>
            <m:sub>
              <m:r>
                <m:rPr>
                  <m:sty m:val="p"/>
                </m:rPr>
                <w:rPr>
                  <w:rFonts w:hint="eastAsia" w:ascii="Cambria Math" w:hAnsi="Cambria Math"/>
                  <w:lang w:val="en-US" w:eastAsia="zh-CN"/>
                </w:rPr>
                <m:t>2</m:t>
              </m:r>
              <m:ctrlPr>
                <w:rPr>
                  <w:rFonts w:hint="eastAsia" w:ascii="Cambria Math" w:hAnsi="Cambria Math"/>
                  <w:lang w:val="en-US" w:eastAsia="zh-CN"/>
                </w:rPr>
              </m:ctrlPr>
            </m:sub>
          </m:sSub>
          <m:r>
            <m:rPr>
              <m:sty m:val="p"/>
            </m:rPr>
            <w:rPr>
              <w:rFonts w:hint="eastAsia" w:ascii="Cambria Math" w:hAnsi="Cambria Math"/>
              <w:lang w:val="en-US" w:eastAsia="zh-CN"/>
            </w:rPr>
            <m:t>/kWh</m:t>
          </m:r>
        </m:oMath>
      </m:oMathPara>
    </w:p>
    <w:p w14:paraId="78F71BF9">
      <w:pPr>
        <w:pStyle w:val="13"/>
        <w:rPr>
          <w:rFonts w:hint="eastAsia" w:eastAsia="黑体"/>
          <w:lang w:val="en-US" w:eastAsia="zh-CN"/>
        </w:rPr>
      </w:pPr>
      <w:r>
        <w:t xml:space="preserve">表 </w:t>
      </w:r>
      <w:r>
        <w:fldChar w:fldCharType="begin"/>
      </w:r>
      <w:r>
        <w:instrText xml:space="preserve"> SEQ 表 \* ARABIC </w:instrText>
      </w:r>
      <w:r>
        <w:fldChar w:fldCharType="separate"/>
      </w:r>
      <w:r>
        <w:t>1</w:t>
      </w:r>
      <w:r>
        <w:fldChar w:fldCharType="end"/>
      </w:r>
      <w:r>
        <w:rPr>
          <w:rFonts w:hint="eastAsia"/>
          <w:lang w:val="en-US" w:eastAsia="zh-CN"/>
        </w:rPr>
        <w:t xml:space="preserve"> </w:t>
      </w:r>
      <w:r>
        <w:t>区域电网覆盖省份表</w:t>
      </w:r>
    </w:p>
    <w:tbl>
      <w:tblPr>
        <w:tblStyle w:val="28"/>
        <w:tblW w:w="92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892"/>
        <w:gridCol w:w="7391"/>
      </w:tblGrid>
      <w:tr w14:paraId="76613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blHeader/>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B58EB5E">
            <w:pPr>
              <w:keepNext/>
              <w:snapToGrid w:val="0"/>
              <w:spacing w:line="240" w:lineRule="auto"/>
              <w:ind w:left="0" w:leftChars="0" w:right="0" w:rightChars="0" w:firstLine="0" w:firstLineChars="0"/>
              <w:jc w:val="center"/>
              <w:rPr>
                <w:b/>
              </w:rPr>
            </w:pPr>
            <w:r>
              <w:rPr>
                <w:b/>
              </w:rPr>
              <w:t>电网名称</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BA536C">
            <w:pPr>
              <w:keepNext/>
              <w:snapToGrid w:val="0"/>
              <w:spacing w:line="240" w:lineRule="auto"/>
              <w:ind w:left="0" w:leftChars="0" w:right="0" w:rightChars="0" w:firstLine="0" w:firstLineChars="0"/>
              <w:jc w:val="center"/>
              <w:rPr>
                <w:b/>
              </w:rPr>
            </w:pPr>
            <w:r>
              <w:rPr>
                <w:b/>
              </w:rPr>
              <w:t>覆盖省市</w:t>
            </w:r>
          </w:p>
        </w:tc>
      </w:tr>
      <w:tr w14:paraId="21AFB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E32B750">
            <w:pPr>
              <w:keepNext/>
              <w:snapToGrid w:val="0"/>
              <w:spacing w:line="240" w:lineRule="auto"/>
              <w:ind w:left="0" w:leftChars="0" w:right="0" w:rightChars="0" w:firstLine="0" w:firstLineChars="0"/>
              <w:jc w:val="center"/>
            </w:pPr>
            <w:r>
              <w:t>华北区域电网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17A2D5">
            <w:pPr>
              <w:keepNext/>
              <w:snapToGrid w:val="0"/>
              <w:spacing w:line="240" w:lineRule="auto"/>
              <w:ind w:left="0" w:leftChars="0" w:right="0" w:rightChars="0" w:firstLine="0" w:firstLineChars="0"/>
              <w:jc w:val="center"/>
            </w:pPr>
            <w:r>
              <w:t>北京市、天津市、河北省、山西省、山东省、内蒙古自治区</w:t>
            </w:r>
          </w:p>
        </w:tc>
      </w:tr>
      <w:tr w14:paraId="79EB3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C97118">
            <w:pPr>
              <w:keepNext/>
              <w:snapToGrid w:val="0"/>
              <w:spacing w:line="240" w:lineRule="auto"/>
              <w:ind w:left="0" w:leftChars="0" w:right="0" w:rightChars="0" w:firstLine="0" w:firstLineChars="0"/>
              <w:jc w:val="center"/>
            </w:pPr>
            <w:r>
              <w:t>东北区域电网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F1BAC73">
            <w:pPr>
              <w:keepNext/>
              <w:snapToGrid w:val="0"/>
              <w:spacing w:line="240" w:lineRule="auto"/>
              <w:ind w:left="0" w:leftChars="0" w:right="0" w:rightChars="0" w:firstLine="0" w:firstLineChars="0"/>
              <w:jc w:val="center"/>
            </w:pPr>
            <w:r>
              <w:t>辽宁省、吉林省、黑龙江省</w:t>
            </w:r>
          </w:p>
        </w:tc>
      </w:tr>
      <w:tr w14:paraId="55B13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512E4B2">
            <w:pPr>
              <w:keepNext/>
              <w:snapToGrid w:val="0"/>
              <w:spacing w:line="240" w:lineRule="auto"/>
              <w:ind w:left="0" w:leftChars="0" w:right="0" w:rightChars="0" w:firstLine="0" w:firstLineChars="0"/>
              <w:jc w:val="center"/>
            </w:pPr>
            <w:r>
              <w:t>华东区域电网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439891">
            <w:pPr>
              <w:keepNext/>
              <w:snapToGrid w:val="0"/>
              <w:spacing w:line="240" w:lineRule="auto"/>
              <w:ind w:left="0" w:leftChars="0" w:right="0" w:rightChars="0" w:firstLine="0" w:firstLineChars="0"/>
              <w:jc w:val="center"/>
            </w:pPr>
            <w:r>
              <w:t>上海市、江苏省、浙江省、安徽省、福建省</w:t>
            </w:r>
          </w:p>
        </w:tc>
      </w:tr>
      <w:tr w14:paraId="03183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7BDD808">
            <w:pPr>
              <w:keepNext/>
              <w:snapToGrid w:val="0"/>
              <w:spacing w:line="240" w:lineRule="auto"/>
              <w:ind w:left="0" w:leftChars="0" w:right="0" w:rightChars="0" w:firstLine="0" w:firstLineChars="0"/>
              <w:jc w:val="center"/>
            </w:pPr>
            <w:r>
              <w:t>华中区域电网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7B9982">
            <w:pPr>
              <w:keepNext/>
              <w:snapToGrid w:val="0"/>
              <w:spacing w:line="240" w:lineRule="auto"/>
              <w:ind w:left="0" w:leftChars="0" w:right="0" w:rightChars="0" w:firstLine="0" w:firstLineChars="0"/>
              <w:jc w:val="center"/>
            </w:pPr>
            <w:r>
              <w:t>河南省、湖北省、湖南省、江西省</w:t>
            </w:r>
          </w:p>
        </w:tc>
      </w:tr>
      <w:tr w14:paraId="42950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79756D1">
            <w:pPr>
              <w:keepNext/>
              <w:snapToGrid w:val="0"/>
              <w:spacing w:line="240" w:lineRule="auto"/>
              <w:ind w:left="0" w:leftChars="0" w:right="0" w:rightChars="0" w:firstLine="0" w:firstLineChars="0"/>
              <w:jc w:val="center"/>
            </w:pPr>
            <w:r>
              <w:t>西北区域电网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E7BF9E">
            <w:pPr>
              <w:keepNext/>
              <w:snapToGrid w:val="0"/>
              <w:spacing w:line="240" w:lineRule="auto"/>
              <w:ind w:left="0" w:leftChars="0" w:right="0" w:rightChars="0" w:firstLine="0" w:firstLineChars="0"/>
              <w:jc w:val="center"/>
            </w:pPr>
            <w:r>
              <w:t>陕西省、甘肃省、青海省、宁夏自治区、新疆自治区</w:t>
            </w:r>
          </w:p>
        </w:tc>
      </w:tr>
      <w:tr w14:paraId="37200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6FB1D14">
            <w:pPr>
              <w:keepNext/>
              <w:snapToGrid w:val="0"/>
              <w:spacing w:line="240" w:lineRule="auto"/>
              <w:ind w:left="0" w:leftChars="0" w:right="0" w:rightChars="0" w:firstLine="0" w:firstLineChars="0"/>
              <w:jc w:val="center"/>
            </w:pPr>
            <w:r>
              <w:t>南方区域电网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BF1156C">
            <w:pPr>
              <w:keepNext/>
              <w:snapToGrid w:val="0"/>
              <w:spacing w:line="240" w:lineRule="auto"/>
              <w:ind w:left="0" w:leftChars="0" w:right="0" w:rightChars="0" w:firstLine="0" w:firstLineChars="0"/>
              <w:jc w:val="center"/>
            </w:pPr>
            <w:r>
              <w:t>广东省、广西自治区、云南省、贵州省、海南省</w:t>
            </w:r>
          </w:p>
        </w:tc>
      </w:tr>
      <w:tr w14:paraId="1912E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8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E1DF8D2">
            <w:pPr>
              <w:keepNext/>
              <w:snapToGrid w:val="0"/>
              <w:spacing w:line="240" w:lineRule="auto"/>
              <w:ind w:left="0" w:leftChars="0" w:right="0" w:rightChars="0" w:firstLine="0" w:firstLineChars="0"/>
              <w:jc w:val="center"/>
            </w:pPr>
            <w:r>
              <w:t>西南区域电网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0BDD06">
            <w:pPr>
              <w:keepNext/>
              <w:snapToGrid w:val="0"/>
              <w:spacing w:line="240" w:lineRule="auto"/>
              <w:ind w:left="0" w:leftChars="0" w:right="0" w:rightChars="0" w:firstLine="0" w:firstLineChars="0"/>
              <w:jc w:val="center"/>
            </w:pPr>
            <w:r>
              <w:t>四川省、重庆市</w:t>
            </w:r>
          </w:p>
        </w:tc>
      </w:tr>
    </w:tbl>
    <w:p w14:paraId="73D6793F">
      <w:pPr>
        <w:pStyle w:val="13"/>
        <w:rPr>
          <w:rFonts w:hint="eastAsia" w:eastAsia="宋体"/>
          <w:lang w:eastAsia="zh-CN"/>
        </w:rPr>
      </w:pPr>
      <w:r>
        <w:t xml:space="preserve">表 </w:t>
      </w:r>
      <w:r>
        <w:fldChar w:fldCharType="begin"/>
      </w:r>
      <w:r>
        <w:instrText xml:space="preserve"> SEQ 表 \* ARABIC </w:instrText>
      </w:r>
      <w:r>
        <w:fldChar w:fldCharType="separate"/>
      </w:r>
      <w:r>
        <w:t>2</w:t>
      </w:r>
      <w:r>
        <w:fldChar w:fldCharType="end"/>
      </w:r>
      <w:r>
        <w:rPr>
          <w:rFonts w:hint="eastAsia"/>
          <w:lang w:eastAsia="zh-CN"/>
        </w:rPr>
        <w:t xml:space="preserve"> 2024年减排项目中国区域电网二氧化碳基准线排放因子</w:t>
      </w:r>
    </w:p>
    <w:tbl>
      <w:tblPr>
        <w:tblStyle w:val="28"/>
        <w:tblW w:w="92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018"/>
        <w:gridCol w:w="3647"/>
        <w:gridCol w:w="3616"/>
      </w:tblGrid>
      <w:tr w14:paraId="010D1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blHeader/>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34D621">
            <w:pPr>
              <w:snapToGrid w:val="0"/>
              <w:spacing w:line="240" w:lineRule="auto"/>
              <w:ind w:left="0" w:leftChars="0" w:right="0" w:rightChars="0" w:firstLine="0" w:firstLineChars="0"/>
              <w:jc w:val="center"/>
              <w:rPr>
                <w:b/>
              </w:rPr>
            </w:pPr>
            <w:r>
              <w:rPr>
                <w:b/>
              </w:rPr>
              <w:t>电网名称</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DC0765">
            <w:pPr>
              <w:snapToGrid w:val="0"/>
              <w:spacing w:line="240" w:lineRule="auto"/>
              <w:ind w:left="0" w:leftChars="0" w:right="0" w:rightChars="0" w:firstLine="0" w:firstLineChars="0"/>
              <w:jc w:val="center"/>
              <w:rPr>
                <w:b/>
              </w:rPr>
            </w:pPr>
            <w:r>
              <w:rPr>
                <w:b/>
              </w:rPr>
              <w:t>OM排放因子(tCO₂/MWh)</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E53DB0">
            <w:pPr>
              <w:snapToGrid w:val="0"/>
              <w:spacing w:line="240" w:lineRule="auto"/>
              <w:ind w:left="0" w:leftChars="0" w:right="0" w:rightChars="0" w:firstLine="0" w:firstLineChars="0"/>
              <w:jc w:val="center"/>
              <w:rPr>
                <w:b/>
              </w:rPr>
            </w:pPr>
            <w:r>
              <w:rPr>
                <w:b/>
              </w:rPr>
              <w:t>BM排放因子(tCO₂/MWh)</w:t>
            </w:r>
          </w:p>
        </w:tc>
      </w:tr>
      <w:tr w14:paraId="59127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72C4D6">
            <w:pPr>
              <w:snapToGrid w:val="0"/>
              <w:spacing w:line="240" w:lineRule="auto"/>
              <w:ind w:left="0" w:leftChars="0" w:right="0" w:rightChars="0" w:firstLine="0" w:firstLineChars="0"/>
              <w:jc w:val="center"/>
            </w:pPr>
            <w:r>
              <w:t>华北区域电网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4AF311">
            <w:pPr>
              <w:snapToGrid w:val="0"/>
              <w:spacing w:line="240" w:lineRule="auto"/>
              <w:ind w:left="0" w:leftChars="0" w:right="0" w:rightChars="0" w:firstLine="0" w:firstLineChars="0"/>
              <w:jc w:val="center"/>
            </w:pPr>
            <w:r>
              <w:t>0.9531</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052475">
            <w:pPr>
              <w:snapToGrid w:val="0"/>
              <w:spacing w:line="240" w:lineRule="auto"/>
              <w:ind w:left="0" w:leftChars="0" w:right="0" w:rightChars="0" w:firstLine="0" w:firstLineChars="0"/>
              <w:jc w:val="center"/>
            </w:pPr>
            <w:r>
              <w:t>0.3095</w:t>
            </w:r>
          </w:p>
        </w:tc>
      </w:tr>
      <w:tr w14:paraId="1C1EE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5303316">
            <w:pPr>
              <w:snapToGrid w:val="0"/>
              <w:spacing w:line="240" w:lineRule="auto"/>
              <w:ind w:left="0" w:leftChars="0" w:right="0" w:rightChars="0" w:firstLine="0" w:firstLineChars="0"/>
              <w:jc w:val="center"/>
            </w:pPr>
            <w:r>
              <w:t>东北区域电网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E4E4447">
            <w:pPr>
              <w:snapToGrid w:val="0"/>
              <w:spacing w:line="240" w:lineRule="auto"/>
              <w:ind w:left="0" w:leftChars="0" w:right="0" w:rightChars="0" w:firstLine="0" w:firstLineChars="0"/>
              <w:jc w:val="center"/>
            </w:pPr>
            <w:r>
              <w:t>1.0368</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473369D">
            <w:pPr>
              <w:snapToGrid w:val="0"/>
              <w:spacing w:line="240" w:lineRule="auto"/>
              <w:ind w:left="0" w:leftChars="0" w:right="0" w:rightChars="0" w:firstLine="0" w:firstLineChars="0"/>
              <w:jc w:val="center"/>
            </w:pPr>
            <w:r>
              <w:t>0.1184</w:t>
            </w:r>
          </w:p>
        </w:tc>
      </w:tr>
      <w:tr w14:paraId="20145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7F0F53">
            <w:pPr>
              <w:snapToGrid w:val="0"/>
              <w:spacing w:line="240" w:lineRule="auto"/>
              <w:ind w:left="0" w:leftChars="0" w:right="0" w:rightChars="0" w:firstLine="0" w:firstLineChars="0"/>
              <w:jc w:val="center"/>
            </w:pPr>
            <w:r>
              <w:t>华东区域电网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F15443">
            <w:pPr>
              <w:snapToGrid w:val="0"/>
              <w:spacing w:line="240" w:lineRule="auto"/>
              <w:ind w:left="0" w:leftChars="0" w:right="0" w:rightChars="0" w:firstLine="0" w:firstLineChars="0"/>
              <w:jc w:val="center"/>
            </w:pPr>
            <w:r>
              <w:t>0.7782</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C7AC851">
            <w:pPr>
              <w:snapToGrid w:val="0"/>
              <w:spacing w:line="240" w:lineRule="auto"/>
              <w:ind w:left="0" w:leftChars="0" w:right="0" w:rightChars="0" w:firstLine="0" w:firstLineChars="0"/>
              <w:jc w:val="center"/>
            </w:pPr>
            <w:r>
              <w:t>0.1951</w:t>
            </w:r>
          </w:p>
        </w:tc>
      </w:tr>
      <w:tr w14:paraId="77279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80C31B">
            <w:pPr>
              <w:snapToGrid w:val="0"/>
              <w:spacing w:line="240" w:lineRule="auto"/>
              <w:ind w:left="0" w:leftChars="0" w:right="0" w:rightChars="0" w:firstLine="0" w:firstLineChars="0"/>
              <w:jc w:val="center"/>
            </w:pPr>
            <w:r>
              <w:t>华中区域电网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440E0E1">
            <w:pPr>
              <w:snapToGrid w:val="0"/>
              <w:spacing w:line="240" w:lineRule="auto"/>
              <w:ind w:left="0" w:leftChars="0" w:right="0" w:rightChars="0" w:firstLine="0" w:firstLineChars="0"/>
              <w:jc w:val="center"/>
            </w:pPr>
            <w:r>
              <w:t>0.8597</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3CE75C6">
            <w:pPr>
              <w:snapToGrid w:val="0"/>
              <w:spacing w:line="240" w:lineRule="auto"/>
              <w:ind w:left="0" w:leftChars="0" w:right="0" w:rightChars="0" w:firstLine="0" w:firstLineChars="0"/>
              <w:jc w:val="center"/>
            </w:pPr>
            <w:r>
              <w:t>0.2726</w:t>
            </w:r>
          </w:p>
        </w:tc>
      </w:tr>
      <w:tr w14:paraId="2CE70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DA9BEC4">
            <w:pPr>
              <w:snapToGrid w:val="0"/>
              <w:spacing w:line="240" w:lineRule="auto"/>
              <w:ind w:left="0" w:leftChars="0" w:right="0" w:rightChars="0" w:firstLine="0" w:firstLineChars="0"/>
              <w:jc w:val="center"/>
            </w:pPr>
            <w:r>
              <w:t>西北区域电网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D959D08">
            <w:pPr>
              <w:snapToGrid w:val="0"/>
              <w:spacing w:line="240" w:lineRule="auto"/>
              <w:ind w:left="0" w:leftChars="0" w:right="0" w:rightChars="0" w:firstLine="0" w:firstLineChars="0"/>
              <w:jc w:val="center"/>
            </w:pPr>
            <w:r>
              <w:t>0.8990</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10628BE">
            <w:pPr>
              <w:snapToGrid w:val="0"/>
              <w:spacing w:line="240" w:lineRule="auto"/>
              <w:ind w:left="0" w:leftChars="0" w:right="0" w:rightChars="0" w:firstLine="0" w:firstLineChars="0"/>
              <w:jc w:val="center"/>
            </w:pPr>
            <w:r>
              <w:t>0.3441</w:t>
            </w:r>
          </w:p>
        </w:tc>
      </w:tr>
      <w:tr w14:paraId="1FFB0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E152B7">
            <w:pPr>
              <w:snapToGrid w:val="0"/>
              <w:spacing w:line="240" w:lineRule="auto"/>
              <w:ind w:left="0" w:leftChars="0" w:right="0" w:rightChars="0" w:firstLine="0" w:firstLineChars="0"/>
              <w:jc w:val="center"/>
            </w:pPr>
            <w:r>
              <w:t>南方区域电网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2CB2D5">
            <w:pPr>
              <w:snapToGrid w:val="0"/>
              <w:spacing w:line="240" w:lineRule="auto"/>
              <w:ind w:left="0" w:leftChars="0" w:right="0" w:rightChars="0" w:firstLine="0" w:firstLineChars="0"/>
              <w:jc w:val="center"/>
            </w:pPr>
            <w:r>
              <w:t>0.7906</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882CE2">
            <w:pPr>
              <w:snapToGrid w:val="0"/>
              <w:spacing w:line="240" w:lineRule="auto"/>
              <w:ind w:left="0" w:leftChars="0" w:right="0" w:rightChars="0" w:firstLine="0" w:firstLineChars="0"/>
              <w:jc w:val="center"/>
            </w:pPr>
            <w:r>
              <w:t>0.1816</w:t>
            </w:r>
          </w:p>
        </w:tc>
      </w:tr>
      <w:tr w14:paraId="4DF80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201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4CFE818">
            <w:pPr>
              <w:snapToGrid w:val="0"/>
              <w:spacing w:line="240" w:lineRule="auto"/>
              <w:ind w:left="0" w:leftChars="0" w:right="0" w:rightChars="0" w:firstLine="0" w:firstLineChars="0"/>
              <w:jc w:val="center"/>
            </w:pPr>
            <w:r>
              <w:t>西南区域电网</w:t>
            </w:r>
          </w:p>
        </w:tc>
        <w:tc>
          <w:tcPr>
            <w:tcW w:w="364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0886E2F">
            <w:pPr>
              <w:snapToGrid w:val="0"/>
              <w:spacing w:line="240" w:lineRule="auto"/>
              <w:ind w:left="0" w:leftChars="0" w:right="0" w:rightChars="0" w:firstLine="0" w:firstLineChars="0"/>
              <w:jc w:val="center"/>
            </w:pPr>
            <w:r>
              <w:t>0.5909</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945DB2">
            <w:pPr>
              <w:snapToGrid w:val="0"/>
              <w:spacing w:line="240" w:lineRule="auto"/>
              <w:ind w:left="0" w:leftChars="0" w:right="0" w:rightChars="0" w:firstLine="0" w:firstLineChars="0"/>
              <w:jc w:val="center"/>
            </w:pPr>
            <w:r>
              <w:t>0.0603</w:t>
            </w:r>
          </w:p>
        </w:tc>
      </w:tr>
    </w:tbl>
    <w:p w14:paraId="1FB90B9B">
      <w:pPr>
        <w:jc w:val="left"/>
      </w:pPr>
      <w:r>
        <w:t>注：（1）表中OM为2020-2022年电量边际排放因子的加权平均值；BM为截至2022年统计数据的容量边际排放因子；（2）本结果以公开的上网电厂的汇总数据为基础计算得出。</w:t>
      </w:r>
    </w:p>
    <w:p w14:paraId="5842C48A">
      <w:pPr>
        <w:pStyle w:val="3"/>
        <w:bidi w:val="0"/>
        <w:rPr>
          <w:rFonts w:hint="eastAsia"/>
          <w:lang w:val="en-US" w:eastAsia="zh-CN"/>
        </w:rPr>
      </w:pPr>
      <m:oMath>
        <m:sSub>
          <m:sSubPr>
            <m:ctrlPr>
              <w:rPr>
                <w:rFonts w:hint="eastAsia" w:ascii="Cambria Math" w:hAnsi="Cambria Math"/>
                <w:lang w:val="en-US" w:eastAsia="zh-CN"/>
              </w:rPr>
            </m:ctrlPr>
          </m:sSubPr>
          <m:e>
            <m:r>
              <m:rPr>
                <m:nor/>
                <m:sty m:val="p"/>
              </m:rPr>
              <w:rPr>
                <w:rFonts w:hint="eastAsia" w:ascii="Cambria Math" w:hAnsi="Cambria Math"/>
                <w:b w:val="0"/>
                <w:i w:val="0"/>
                <w:lang w:val="en-US" w:eastAsia="zh-CN"/>
              </w:rPr>
              <m:t>E</m:t>
            </m:r>
            <m:ctrlPr>
              <w:rPr>
                <w:rFonts w:hint="eastAsia" w:ascii="Cambria Math" w:hAnsi="Cambria Math"/>
                <w:lang w:val="en-US" w:eastAsia="zh-CN"/>
              </w:rPr>
            </m:ctrlPr>
          </m:e>
          <m:sub>
            <m:r>
              <m:rPr>
                <m:nor/>
                <m:sty m:val="p"/>
              </m:rPr>
              <w:rPr>
                <w:rFonts w:hint="eastAsia" w:ascii="Cambria Math" w:hAnsi="Cambria Math"/>
                <w:b w:val="0"/>
                <w:i w:val="0"/>
                <w:lang w:val="en-US" w:eastAsia="zh-CN"/>
              </w:rPr>
              <m:t>b</m:t>
            </m:r>
            <m:ctrlPr>
              <w:rPr>
                <w:rFonts w:hint="eastAsia" w:ascii="Cambria Math" w:hAnsi="Cambria Math"/>
                <w:lang w:val="en-US" w:eastAsia="zh-CN"/>
              </w:rPr>
            </m:ctrlPr>
          </m:sub>
        </m:sSub>
      </m:oMath>
      <w:r>
        <w:rPr>
          <w:rFonts w:hint="eastAsia" w:hAnsi="Cambria Math"/>
          <w:i w:val="0"/>
          <w:lang w:val="en-US" w:eastAsia="zh-CN"/>
        </w:rPr>
        <w:t>：</w:t>
      </w:r>
      <w:r>
        <w:rPr>
          <w:rFonts w:hint="eastAsia"/>
          <w:lang w:val="en-US" w:eastAsia="zh-CN"/>
        </w:rPr>
        <w:t>人公里排放因子</w:t>
      </w:r>
    </w:p>
    <w:p w14:paraId="4A26A2B0">
      <w:pPr>
        <w:pStyle w:val="5"/>
        <w:rPr>
          <w:rFonts w:hint="eastAsia"/>
          <w:lang w:val="en-US" w:eastAsia="zh-CN"/>
        </w:rPr>
      </w:pPr>
      <w:r>
        <w:rPr>
          <w:rFonts w:hint="eastAsia"/>
          <w:lang w:val="en-US" w:eastAsia="zh-CN"/>
        </w:rPr>
        <w:t>由于真实数据难以统计得到，从</w:t>
      </w:r>
      <w:r>
        <w:rPr>
          <w:rFonts w:hint="eastAsia"/>
        </w:rPr>
        <w:t>中国产品全生命周期温室气体排放系数库</w:t>
      </w:r>
      <w:r>
        <w:rPr>
          <w:rFonts w:hint="eastAsia"/>
          <w:lang w:val="en-US" w:eastAsia="zh-CN"/>
        </w:rPr>
        <w:t>中查询：</w:t>
      </w:r>
    </w:p>
    <w:p w14:paraId="1A8D0273">
      <w:pPr>
        <w:pStyle w:val="5"/>
        <w:rPr>
          <w:rFonts w:hint="eastAsia" w:eastAsia="仿宋_GB2312"/>
          <w:lang w:val="en-US" w:eastAsia="zh-CN"/>
        </w:rPr>
      </w:pPr>
      <w:r>
        <w:rPr>
          <w:rFonts w:hint="eastAsia"/>
          <w:lang w:val="en-US" w:eastAsia="zh-CN"/>
        </w:rPr>
        <w:t>当公交出行时，值为：0.102kg</w:t>
      </w:r>
      <w:r>
        <w:rPr>
          <w:rFonts w:hint="eastAsia"/>
        </w:rPr>
        <w:t>CO</w:t>
      </w:r>
      <w:r>
        <w:rPr>
          <w:rFonts w:hint="default" w:ascii="Times New Roman" w:hAnsi="Times New Roman" w:cs="Times New Roman"/>
        </w:rPr>
        <w:t>₂</w:t>
      </w:r>
      <w:r>
        <w:rPr>
          <w:rFonts w:hint="eastAsia"/>
        </w:rPr>
        <w:t>/pkm</w:t>
      </w:r>
      <w:r>
        <w:rPr>
          <w:rFonts w:hint="eastAsia"/>
          <w:lang w:eastAsia="zh-CN"/>
        </w:rPr>
        <w:t>。</w:t>
      </w:r>
    </w:p>
    <w:p w14:paraId="1644E5BE">
      <w:pPr>
        <w:pStyle w:val="44"/>
        <w:bidi w:val="0"/>
        <w:rPr>
          <w:rFonts w:hint="eastAsia"/>
          <w:lang w:val="en-US" w:eastAsia="zh-CN"/>
        </w:rPr>
      </w:pPr>
      <w:r>
        <w:rPr>
          <w:rFonts w:hint="eastAsia"/>
          <w:lang w:val="en-US" w:eastAsia="zh-CN"/>
        </w:rPr>
        <w:drawing>
          <wp:inline distT="0" distB="0" distL="114300" distR="114300">
            <wp:extent cx="3599815" cy="2252980"/>
            <wp:effectExtent l="0" t="0" r="635" b="4445"/>
            <wp:docPr id="3" name="图片 3" descr="e29a031b6fccb727921aae423bbaec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e29a031b6fccb727921aae423bbaec59"/>
                    <pic:cNvPicPr>
                      <a:picLocks noChangeAspect="1"/>
                    </pic:cNvPicPr>
                  </pic:nvPicPr>
                  <pic:blipFill>
                    <a:blip r:embed="rId11"/>
                    <a:stretch>
                      <a:fillRect/>
                    </a:stretch>
                  </pic:blipFill>
                  <pic:spPr>
                    <a:xfrm>
                      <a:off x="0" y="0"/>
                      <a:ext cx="3599815" cy="2252980"/>
                    </a:xfrm>
                    <a:prstGeom prst="rect">
                      <a:avLst/>
                    </a:prstGeom>
                  </pic:spPr>
                </pic:pic>
              </a:graphicData>
            </a:graphic>
          </wp:inline>
        </w:drawing>
      </w:r>
    </w:p>
    <w:p w14:paraId="10390451">
      <w:pPr>
        <w:pStyle w:val="13"/>
        <w:bidi w:val="0"/>
        <w:rPr>
          <w:rFonts w:hint="default" w:eastAsia="黑体"/>
          <w:lang w:val="en-US" w:eastAsia="zh-CN"/>
        </w:rPr>
      </w:pPr>
      <w:r>
        <w:t xml:space="preserve">图 </w:t>
      </w:r>
      <w:r>
        <w:fldChar w:fldCharType="begin"/>
      </w:r>
      <w:r>
        <w:instrText xml:space="preserve"> SEQ 图 \* ARABIC </w:instrText>
      </w:r>
      <w:r>
        <w:fldChar w:fldCharType="separate"/>
      </w:r>
      <w:r>
        <w:t>1</w:t>
      </w:r>
      <w:r>
        <w:fldChar w:fldCharType="end"/>
      </w:r>
      <w:r>
        <w:rPr>
          <w:rFonts w:hint="eastAsia"/>
          <w:lang w:val="en-US" w:eastAsia="zh-CN"/>
        </w:rPr>
        <w:t xml:space="preserve"> 公交出行人公里排放因子</w:t>
      </w:r>
    </w:p>
    <w:p w14:paraId="088B0DDF">
      <w:pPr>
        <w:pStyle w:val="5"/>
        <w:rPr>
          <w:rFonts w:hint="eastAsia" w:eastAsia="仿宋_GB2312"/>
          <w:lang w:val="en-US" w:eastAsia="zh-CN"/>
        </w:rPr>
      </w:pPr>
      <w:r>
        <w:rPr>
          <w:rFonts w:hint="eastAsia"/>
          <w:lang w:val="en-US" w:eastAsia="zh-CN"/>
        </w:rPr>
        <w:t>当小客车（电）出行时，值为：0.091kg</w:t>
      </w:r>
      <w:r>
        <w:rPr>
          <w:rFonts w:hint="eastAsia"/>
        </w:rPr>
        <w:t>CO</w:t>
      </w:r>
      <w:r>
        <w:rPr>
          <w:rFonts w:hint="default" w:ascii="Times New Roman" w:hAnsi="Times New Roman" w:cs="Times New Roman"/>
        </w:rPr>
        <w:t>₂</w:t>
      </w:r>
      <w:r>
        <w:rPr>
          <w:rFonts w:hint="eastAsia"/>
        </w:rPr>
        <w:t>/pkm</w:t>
      </w:r>
      <w:r>
        <w:rPr>
          <w:rFonts w:hint="eastAsia"/>
          <w:lang w:eastAsia="zh-CN"/>
        </w:rPr>
        <w:t>。</w:t>
      </w:r>
    </w:p>
    <w:p w14:paraId="666FBC02">
      <w:pPr>
        <w:pStyle w:val="44"/>
        <w:bidi w:val="0"/>
        <w:rPr>
          <w:rFonts w:hint="eastAsia"/>
          <w:lang w:val="en-US" w:eastAsia="zh-CN"/>
        </w:rPr>
      </w:pPr>
      <w:r>
        <w:rPr>
          <w:rFonts w:hint="eastAsia"/>
          <w:lang w:val="en-US" w:eastAsia="zh-CN"/>
        </w:rPr>
        <w:drawing>
          <wp:inline distT="0" distB="0" distL="114300" distR="114300">
            <wp:extent cx="3599815" cy="2261870"/>
            <wp:effectExtent l="0" t="0" r="635" b="5080"/>
            <wp:docPr id="4" name="图片 4" descr="c9007a353ae8817d90106941bb4a5e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c9007a353ae8817d90106941bb4a5edc"/>
                    <pic:cNvPicPr>
                      <a:picLocks noChangeAspect="1"/>
                    </pic:cNvPicPr>
                  </pic:nvPicPr>
                  <pic:blipFill>
                    <a:blip r:embed="rId12"/>
                    <a:stretch>
                      <a:fillRect/>
                    </a:stretch>
                  </pic:blipFill>
                  <pic:spPr>
                    <a:xfrm>
                      <a:off x="0" y="0"/>
                      <a:ext cx="3599815" cy="2261870"/>
                    </a:xfrm>
                    <a:prstGeom prst="rect">
                      <a:avLst/>
                    </a:prstGeom>
                  </pic:spPr>
                </pic:pic>
              </a:graphicData>
            </a:graphic>
          </wp:inline>
        </w:drawing>
      </w:r>
    </w:p>
    <w:p w14:paraId="4A75787A">
      <w:pPr>
        <w:pStyle w:val="13"/>
        <w:bidi w:val="0"/>
        <w:rPr>
          <w:rFonts w:hint="default" w:eastAsia="黑体"/>
          <w:lang w:val="en-US" w:eastAsia="zh-CN"/>
        </w:rPr>
      </w:pPr>
      <w:r>
        <w:t xml:space="preserve">图 </w:t>
      </w:r>
      <w:r>
        <w:fldChar w:fldCharType="begin"/>
      </w:r>
      <w:r>
        <w:instrText xml:space="preserve"> SEQ 图 \* ARABIC </w:instrText>
      </w:r>
      <w:r>
        <w:fldChar w:fldCharType="separate"/>
      </w:r>
      <w:r>
        <w:t>2</w:t>
      </w:r>
      <w:r>
        <w:fldChar w:fldCharType="end"/>
      </w:r>
      <w:r>
        <w:rPr>
          <w:rFonts w:hint="eastAsia"/>
          <w:lang w:val="en-US" w:eastAsia="zh-CN"/>
        </w:rPr>
        <w:t xml:space="preserve"> 小客车（电）出行人公里排放因子</w:t>
      </w:r>
    </w:p>
    <w:p w14:paraId="05A87000">
      <w:pPr>
        <w:pStyle w:val="5"/>
        <w:rPr>
          <w:rFonts w:hint="eastAsia" w:eastAsia="仿宋_GB2312"/>
          <w:lang w:val="en-US" w:eastAsia="zh-CN"/>
        </w:rPr>
      </w:pPr>
      <w:r>
        <w:rPr>
          <w:rFonts w:hint="eastAsia"/>
          <w:lang w:val="en-US" w:eastAsia="zh-CN"/>
        </w:rPr>
        <w:t>当小客车（燃油）出行时，值为：0.167kg</w:t>
      </w:r>
      <w:r>
        <w:rPr>
          <w:rFonts w:hint="eastAsia"/>
        </w:rPr>
        <w:t>CO</w:t>
      </w:r>
      <w:r>
        <w:rPr>
          <w:rFonts w:hint="default" w:ascii="Times New Roman" w:hAnsi="Times New Roman" w:cs="Times New Roman"/>
        </w:rPr>
        <w:t>₂</w:t>
      </w:r>
      <w:r>
        <w:rPr>
          <w:rFonts w:hint="eastAsia"/>
        </w:rPr>
        <w:t>/pkm</w:t>
      </w:r>
      <w:r>
        <w:rPr>
          <w:rFonts w:hint="eastAsia"/>
          <w:lang w:eastAsia="zh-CN"/>
        </w:rPr>
        <w:t>。</w:t>
      </w:r>
    </w:p>
    <w:p w14:paraId="0E955909">
      <w:pPr>
        <w:pStyle w:val="44"/>
        <w:bidi w:val="0"/>
        <w:rPr>
          <w:rFonts w:hint="eastAsia"/>
          <w:lang w:val="en-US" w:eastAsia="zh-CN"/>
        </w:rPr>
      </w:pPr>
      <w:r>
        <w:rPr>
          <w:rFonts w:hint="eastAsia"/>
          <w:lang w:val="en-US" w:eastAsia="zh-CN"/>
        </w:rPr>
        <w:drawing>
          <wp:inline distT="0" distB="0" distL="114300" distR="114300">
            <wp:extent cx="3599815" cy="2272665"/>
            <wp:effectExtent l="0" t="0" r="635" b="3810"/>
            <wp:docPr id="5" name="图片 5" descr="0ba5d260d59098e8edeb71f0af003f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0ba5d260d59098e8edeb71f0af003f00"/>
                    <pic:cNvPicPr>
                      <a:picLocks noChangeAspect="1"/>
                    </pic:cNvPicPr>
                  </pic:nvPicPr>
                  <pic:blipFill>
                    <a:blip r:embed="rId13"/>
                    <a:stretch>
                      <a:fillRect/>
                    </a:stretch>
                  </pic:blipFill>
                  <pic:spPr>
                    <a:xfrm>
                      <a:off x="0" y="0"/>
                      <a:ext cx="3599815" cy="2272665"/>
                    </a:xfrm>
                    <a:prstGeom prst="rect">
                      <a:avLst/>
                    </a:prstGeom>
                  </pic:spPr>
                </pic:pic>
              </a:graphicData>
            </a:graphic>
          </wp:inline>
        </w:drawing>
      </w:r>
    </w:p>
    <w:p w14:paraId="128E4720">
      <w:pPr>
        <w:pStyle w:val="13"/>
        <w:bidi w:val="0"/>
        <w:rPr>
          <w:rFonts w:hint="default" w:eastAsia="黑体"/>
          <w:lang w:val="en-US" w:eastAsia="zh-CN"/>
        </w:rPr>
      </w:pPr>
      <w:r>
        <w:t xml:space="preserve">图 </w:t>
      </w:r>
      <w:r>
        <w:fldChar w:fldCharType="begin"/>
      </w:r>
      <w:r>
        <w:instrText xml:space="preserve"> SEQ 图 \* ARABIC </w:instrText>
      </w:r>
      <w:r>
        <w:fldChar w:fldCharType="separate"/>
      </w:r>
      <w:r>
        <w:t>3</w:t>
      </w:r>
      <w:r>
        <w:fldChar w:fldCharType="end"/>
      </w:r>
      <w:r>
        <w:rPr>
          <w:rFonts w:hint="eastAsia"/>
          <w:lang w:val="en-US" w:eastAsia="zh-CN"/>
        </w:rPr>
        <w:t xml:space="preserve"> 小客车（燃油）出行人公里排放因子</w:t>
      </w:r>
    </w:p>
    <w:p w14:paraId="42A9D1F7">
      <w:pPr>
        <w:pStyle w:val="3"/>
        <w:bidi w:val="0"/>
        <w:rPr>
          <w:rFonts w:hint="eastAsia"/>
          <w:lang w:val="en-US" w:eastAsia="zh-CN"/>
        </w:rPr>
      </w:pPr>
      <m:oMath>
        <m:sSub>
          <m:sSubPr>
            <m:ctrlPr>
              <w:rPr>
                <w:rFonts w:hint="eastAsia" w:ascii="Cambria Math" w:hAnsi="Cambria Math"/>
                <w:lang w:val="en-US" w:eastAsia="zh-CN"/>
              </w:rPr>
            </m:ctrlPr>
          </m:sSubPr>
          <m:e>
            <m:r>
              <m:rPr>
                <m:sty m:val="p"/>
              </m:rPr>
              <w:rPr>
                <w:rFonts w:hint="eastAsia" w:ascii="Cambria Math" w:hAnsi="Cambria Math"/>
                <w:lang w:val="en-US" w:eastAsia="zh-CN"/>
              </w:rPr>
              <m:t>S</m:t>
            </m:r>
            <m:ctrlPr>
              <w:rPr>
                <w:rFonts w:hint="eastAsia" w:ascii="Cambria Math" w:hAnsi="Cambria Math"/>
                <w:lang w:val="en-US" w:eastAsia="zh-CN"/>
              </w:rPr>
            </m:ctrlPr>
          </m:e>
          <m:sub>
            <m:r>
              <m:rPr>
                <m:sty m:val="p"/>
              </m:rPr>
              <w:rPr>
                <w:rFonts w:hint="eastAsia" w:ascii="Cambria Math" w:hAnsi="Cambria Math"/>
                <w:lang w:val="en-US" w:eastAsia="zh-CN"/>
              </w:rPr>
              <m:t>e,t</m:t>
            </m:r>
            <m:ctrlPr>
              <w:rPr>
                <w:rFonts w:hint="eastAsia" w:ascii="Cambria Math" w:hAnsi="Cambria Math"/>
                <w:lang w:val="en-US" w:eastAsia="zh-CN"/>
              </w:rPr>
            </m:ctrlPr>
          </m:sub>
        </m:sSub>
      </m:oMath>
      <w:r>
        <w:rPr>
          <w:rFonts w:hint="eastAsia" w:hAnsi="Cambria Math"/>
          <w:i w:val="0"/>
          <w:lang w:val="en-US" w:eastAsia="zh-CN"/>
        </w:rPr>
        <w:t>：基准年交通工具t对燃料类型k的单位行驶里程消耗量</w:t>
      </w:r>
    </w:p>
    <w:p w14:paraId="4A77EDA1">
      <w:pPr>
        <w:pStyle w:val="5"/>
        <w:rPr>
          <w:rFonts w:hint="default"/>
          <w:lang w:val="en-US" w:eastAsia="zh-CN"/>
        </w:rPr>
      </w:pPr>
      <w:r>
        <w:rPr>
          <w:rFonts w:hint="eastAsia"/>
          <w:lang w:val="en-US" w:eastAsia="zh-CN"/>
        </w:rPr>
        <w:t>根据不同</w:t>
      </w:r>
      <w:r>
        <w:rPr>
          <w:rFonts w:hint="eastAsia" w:ascii="Times New Roman" w:hAnsi="Times New Roman" w:cs="Times New Roman"/>
          <w:lang w:val="en-US" w:eastAsia="zh-CN"/>
        </w:rPr>
        <w:t>最大设计总质量GVW（kg）、车身长度L（m）客车</w:t>
      </w:r>
      <w:r>
        <w:rPr>
          <w:rFonts w:hint="eastAsia"/>
          <w:lang w:val="en-US" w:eastAsia="zh-CN"/>
        </w:rPr>
        <w:t>，选取</w:t>
      </w: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轻型商用车辆燃料消耗量限值及评价指标</w:t>
      </w:r>
      <w:r>
        <w:rPr>
          <w:rFonts w:hint="eastAsia" w:ascii="Times New Roman" w:hAnsi="Times New Roman" w:eastAsia="宋体" w:cs="Times New Roman"/>
          <w:lang w:val="en-US" w:eastAsia="zh-CN"/>
        </w:rPr>
        <w:t>》（</w:t>
      </w:r>
      <w:r>
        <w:rPr>
          <w:rFonts w:hint="default" w:ascii="Times New Roman" w:hAnsi="Times New Roman" w:eastAsia="宋体" w:cs="Times New Roman"/>
          <w:lang w:val="en-US" w:eastAsia="zh-CN"/>
        </w:rPr>
        <w:t>GB 20997-2024</w:t>
      </w:r>
      <w:r>
        <w:rPr>
          <w:rFonts w:hint="eastAsia" w:ascii="Times New Roman" w:hAnsi="Times New Roman" w:eastAsia="宋体" w:cs="Times New Roman"/>
          <w:lang w:val="en-US" w:eastAsia="zh-CN"/>
        </w:rPr>
        <w:t>）、《重型商用车辆燃料消耗量限值》（GB 30510-2024）、《天然气营运客车燃料消耗量限值及测量方法》（JT/T 1444-2022）等标准取相应的</w:t>
      </w:r>
      <w:r>
        <w:rPr>
          <w:rFonts w:hint="eastAsia" w:ascii="Times New Roman" w:hAnsi="Times New Roman" w:cs="Times New Roman"/>
          <w:lang w:val="en-US" w:eastAsia="zh-CN"/>
        </w:rPr>
        <w:t>百公里燃料消耗</w:t>
      </w:r>
      <w:r>
        <w:rPr>
          <w:rFonts w:hint="eastAsia" w:ascii="Times New Roman" w:hAnsi="Times New Roman" w:eastAsia="宋体" w:cs="Times New Roman"/>
          <w:lang w:val="en-US" w:eastAsia="zh-CN"/>
        </w:rPr>
        <w:t>值。</w:t>
      </w:r>
    </w:p>
    <w:p w14:paraId="456DD7C9">
      <w:pPr>
        <w:pStyle w:val="13"/>
        <w:rPr>
          <w:rFonts w:hint="eastAsia" w:eastAsia="宋体"/>
          <w:lang w:eastAsia="zh-CN"/>
        </w:rPr>
      </w:pPr>
      <w:r>
        <w:t xml:space="preserve">表 </w:t>
      </w:r>
      <w:r>
        <w:fldChar w:fldCharType="begin"/>
      </w:r>
      <w:r>
        <w:instrText xml:space="preserve"> SEQ 表 \* ARABIC </w:instrText>
      </w:r>
      <w:r>
        <w:fldChar w:fldCharType="separate"/>
      </w:r>
      <w:r>
        <w:t>3</w:t>
      </w:r>
      <w:r>
        <w:fldChar w:fldCharType="end"/>
      </w:r>
      <w:r>
        <w:rPr>
          <w:rFonts w:hint="eastAsia"/>
          <w:lang w:eastAsia="zh-CN"/>
        </w:rPr>
        <w:t xml:space="preserve"> 客车化石燃料消耗量参数推荐值</w:t>
      </w:r>
      <w:r>
        <w:rPr>
          <w:rStyle w:val="33"/>
          <w:rFonts w:hint="eastAsia"/>
          <w:lang w:eastAsia="zh-CN"/>
        </w:rPr>
        <w:footnoteReference w:id="0"/>
      </w:r>
    </w:p>
    <w:tbl>
      <w:tblPr>
        <w:tblStyle w:val="74"/>
        <w:tblW w:w="10612"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558"/>
        <w:gridCol w:w="960"/>
        <w:gridCol w:w="662"/>
        <w:gridCol w:w="452"/>
        <w:gridCol w:w="350"/>
        <w:gridCol w:w="2697"/>
        <w:gridCol w:w="1924"/>
        <w:gridCol w:w="850"/>
        <w:gridCol w:w="980"/>
        <w:gridCol w:w="1179"/>
      </w:tblGrid>
      <w:tr w14:paraId="40FD891D">
        <w:tblPrEx>
          <w:tblCellMar>
            <w:top w:w="0" w:type="dxa"/>
            <w:left w:w="0" w:type="dxa"/>
            <w:bottom w:w="0" w:type="dxa"/>
            <w:right w:w="0" w:type="dxa"/>
          </w:tblCellMar>
        </w:tblPrEx>
        <w:trPr>
          <w:trHeight w:val="0" w:hRule="atLeast"/>
          <w:tblHeader/>
          <w:jc w:val="center"/>
        </w:trPr>
        <w:tc>
          <w:tcPr>
            <w:tcW w:w="0" w:type="auto"/>
            <w:vAlign w:val="center"/>
          </w:tcPr>
          <w:p w14:paraId="140E798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宋体" w:cs="Times New Roman"/>
                <w:b/>
                <w:snapToGrid w:val="0"/>
                <w:color w:val="000000"/>
                <w:spacing w:val="0"/>
                <w:kern w:val="0"/>
                <w:position w:val="0"/>
                <w:sz w:val="24"/>
                <w:szCs w:val="24"/>
                <w:lang w:eastAsia="en-US"/>
              </w:rPr>
            </w:pPr>
            <w:r>
              <w:rPr>
                <w:rFonts w:hint="default" w:ascii="Times New Roman" w:hAnsi="Times New Roman" w:eastAsia="宋体" w:cs="Times New Roman"/>
                <w:b/>
                <w:snapToGrid w:val="0"/>
                <w:color w:val="000000"/>
                <w:spacing w:val="0"/>
                <w:kern w:val="0"/>
                <w:position w:val="0"/>
                <w:sz w:val="24"/>
                <w:szCs w:val="24"/>
                <w:lang w:eastAsia="en-US"/>
              </w:rPr>
              <w:t>参数</w:t>
            </w:r>
          </w:p>
        </w:tc>
        <w:tc>
          <w:tcPr>
            <w:tcW w:w="960" w:type="dxa"/>
            <w:vAlign w:val="center"/>
          </w:tcPr>
          <w:p w14:paraId="0A59359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宋体" w:cs="Times New Roman"/>
                <w:b/>
                <w:snapToGrid w:val="0"/>
                <w:color w:val="000000"/>
                <w:spacing w:val="0"/>
                <w:kern w:val="0"/>
                <w:position w:val="0"/>
                <w:sz w:val="24"/>
                <w:szCs w:val="24"/>
                <w:lang w:eastAsia="en-US"/>
              </w:rPr>
            </w:pPr>
            <w:r>
              <w:rPr>
                <w:rFonts w:hint="default" w:ascii="Times New Roman" w:hAnsi="Times New Roman" w:eastAsia="宋体" w:cs="Times New Roman"/>
                <w:b/>
                <w:snapToGrid w:val="0"/>
                <w:color w:val="000000"/>
                <w:spacing w:val="0"/>
                <w:kern w:val="0"/>
                <w:position w:val="0"/>
                <w:sz w:val="24"/>
                <w:szCs w:val="24"/>
                <w:lang w:eastAsia="en-US"/>
              </w:rPr>
              <w:t>含义</w:t>
            </w:r>
          </w:p>
        </w:tc>
        <w:tc>
          <w:tcPr>
            <w:tcW w:w="0" w:type="auto"/>
            <w:gridSpan w:val="2"/>
            <w:vAlign w:val="center"/>
          </w:tcPr>
          <w:p w14:paraId="1B68C96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宋体" w:cs="Times New Roman"/>
                <w:b/>
                <w:snapToGrid w:val="0"/>
                <w:color w:val="000000"/>
                <w:spacing w:val="0"/>
                <w:kern w:val="0"/>
                <w:position w:val="0"/>
                <w:sz w:val="24"/>
                <w:szCs w:val="24"/>
                <w:lang w:eastAsia="en-US"/>
              </w:rPr>
            </w:pPr>
            <w:r>
              <w:rPr>
                <w:rFonts w:hint="default" w:ascii="Times New Roman" w:hAnsi="Times New Roman" w:eastAsia="宋体" w:cs="Times New Roman"/>
                <w:b/>
                <w:snapToGrid w:val="0"/>
                <w:color w:val="000000"/>
                <w:spacing w:val="0"/>
                <w:kern w:val="0"/>
                <w:position w:val="0"/>
                <w:sz w:val="24"/>
                <w:szCs w:val="24"/>
                <w:lang w:eastAsia="en-US"/>
              </w:rPr>
              <w:t>车辆分类</w:t>
            </w:r>
          </w:p>
        </w:tc>
        <w:tc>
          <w:tcPr>
            <w:tcW w:w="0" w:type="auto"/>
            <w:vAlign w:val="center"/>
          </w:tcPr>
          <w:p w14:paraId="1E024F9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宋体" w:cs="Times New Roman"/>
                <w:b/>
                <w:snapToGrid w:val="0"/>
                <w:color w:val="000000"/>
                <w:spacing w:val="0"/>
                <w:kern w:val="0"/>
                <w:position w:val="0"/>
                <w:sz w:val="24"/>
                <w:szCs w:val="15"/>
                <w:lang w:eastAsia="en-US"/>
              </w:rPr>
            </w:pPr>
            <w:r>
              <w:rPr>
                <w:rFonts w:hint="default" w:ascii="Times New Roman" w:hAnsi="Times New Roman" w:eastAsia="宋体" w:cs="Times New Roman"/>
                <w:b/>
                <w:snapToGrid w:val="0"/>
                <w:color w:val="000000"/>
                <w:spacing w:val="0"/>
                <w:kern w:val="0"/>
                <w:position w:val="0"/>
                <w:sz w:val="24"/>
                <w:szCs w:val="24"/>
                <w:lang w:eastAsia="en-US"/>
              </w:rPr>
              <w:t>燃料</w:t>
            </w:r>
          </w:p>
        </w:tc>
        <w:tc>
          <w:tcPr>
            <w:tcW w:w="0" w:type="auto"/>
            <w:vAlign w:val="center"/>
          </w:tcPr>
          <w:p w14:paraId="59B3A33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宋体" w:cs="Times New Roman"/>
                <w:b/>
                <w:snapToGrid w:val="0"/>
                <w:color w:val="000000"/>
                <w:spacing w:val="0"/>
                <w:kern w:val="0"/>
                <w:position w:val="0"/>
                <w:sz w:val="24"/>
                <w:szCs w:val="24"/>
              </w:rPr>
            </w:pPr>
            <w:r>
              <w:rPr>
                <w:rFonts w:hint="default" w:ascii="Times New Roman" w:hAnsi="Times New Roman" w:eastAsia="宋体" w:cs="Times New Roman"/>
                <w:b/>
                <w:snapToGrid w:val="0"/>
                <w:color w:val="000000"/>
                <w:spacing w:val="0"/>
                <w:kern w:val="0"/>
                <w:position w:val="0"/>
                <w:sz w:val="24"/>
                <w:szCs w:val="24"/>
              </w:rPr>
              <w:t>最大设计总质量GVW（kg）、</w:t>
            </w:r>
            <w:r>
              <w:rPr>
                <w:rFonts w:hint="default" w:ascii="Times New Roman" w:hAnsi="Times New Roman" w:eastAsia="宋体" w:cs="Times New Roman"/>
                <w:b/>
                <w:snapToGrid w:val="0"/>
                <w:color w:val="000000"/>
                <w:spacing w:val="0"/>
                <w:kern w:val="0"/>
                <w:position w:val="0"/>
                <w:sz w:val="24"/>
                <w:szCs w:val="24"/>
                <w:lang w:val="en-US" w:eastAsia="zh-CN"/>
              </w:rPr>
              <w:t>车身长度</w:t>
            </w:r>
            <w:r>
              <w:rPr>
                <w:rFonts w:hint="default" w:ascii="Times New Roman" w:hAnsi="Times New Roman" w:eastAsia="宋体" w:cs="Times New Roman"/>
                <w:b/>
                <w:snapToGrid w:val="0"/>
                <w:color w:val="000000"/>
                <w:spacing w:val="0"/>
                <w:kern w:val="0"/>
                <w:position w:val="0"/>
                <w:sz w:val="24"/>
                <w:szCs w:val="24"/>
              </w:rPr>
              <w:t>L（m）</w:t>
            </w:r>
          </w:p>
        </w:tc>
        <w:tc>
          <w:tcPr>
            <w:tcW w:w="2774" w:type="dxa"/>
            <w:gridSpan w:val="2"/>
            <w:vAlign w:val="center"/>
          </w:tcPr>
          <w:p w14:paraId="5B89C65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宋体" w:cs="Times New Roman"/>
                <w:b/>
                <w:snapToGrid w:val="0"/>
                <w:color w:val="000000"/>
                <w:spacing w:val="0"/>
                <w:kern w:val="0"/>
                <w:position w:val="0"/>
                <w:sz w:val="24"/>
                <w:szCs w:val="24"/>
                <w:lang w:eastAsia="en-US"/>
              </w:rPr>
            </w:pPr>
            <w:r>
              <w:rPr>
                <w:rFonts w:hint="default" w:ascii="Times New Roman" w:hAnsi="Times New Roman" w:eastAsia="宋体" w:cs="Times New Roman"/>
                <w:b/>
                <w:snapToGrid w:val="0"/>
                <w:color w:val="000000"/>
                <w:spacing w:val="0"/>
                <w:kern w:val="0"/>
                <w:position w:val="0"/>
                <w:sz w:val="24"/>
                <w:szCs w:val="24"/>
                <w:lang w:eastAsia="en-US"/>
              </w:rPr>
              <w:t>数值</w:t>
            </w:r>
          </w:p>
        </w:tc>
        <w:tc>
          <w:tcPr>
            <w:tcW w:w="0" w:type="auto"/>
            <w:vAlign w:val="center"/>
          </w:tcPr>
          <w:p w14:paraId="4F8A71A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宋体" w:cs="Times New Roman"/>
                <w:b/>
                <w:snapToGrid w:val="0"/>
                <w:color w:val="000000"/>
                <w:spacing w:val="0"/>
                <w:kern w:val="0"/>
                <w:position w:val="0"/>
                <w:sz w:val="24"/>
                <w:szCs w:val="24"/>
                <w:lang w:eastAsia="en-US"/>
              </w:rPr>
            </w:pPr>
            <w:r>
              <w:rPr>
                <w:rFonts w:hint="default" w:ascii="Times New Roman" w:hAnsi="Times New Roman" w:eastAsia="宋体" w:cs="Times New Roman"/>
                <w:b/>
                <w:snapToGrid w:val="0"/>
                <w:color w:val="000000"/>
                <w:spacing w:val="0"/>
                <w:kern w:val="0"/>
                <w:position w:val="0"/>
                <w:sz w:val="24"/>
                <w:szCs w:val="24"/>
                <w:lang w:eastAsia="en-US"/>
              </w:rPr>
              <w:t>单位</w:t>
            </w:r>
          </w:p>
        </w:tc>
        <w:tc>
          <w:tcPr>
            <w:tcW w:w="1179" w:type="dxa"/>
            <w:vAlign w:val="center"/>
          </w:tcPr>
          <w:p w14:paraId="0D38395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宋体" w:cs="Times New Roman"/>
                <w:b/>
                <w:snapToGrid w:val="0"/>
                <w:color w:val="000000"/>
                <w:spacing w:val="0"/>
                <w:kern w:val="0"/>
                <w:position w:val="0"/>
                <w:sz w:val="24"/>
                <w:szCs w:val="24"/>
                <w:lang w:eastAsia="en-US"/>
              </w:rPr>
            </w:pPr>
            <w:r>
              <w:rPr>
                <w:rFonts w:hint="default" w:ascii="Times New Roman" w:hAnsi="Times New Roman" w:eastAsia="宋体" w:cs="Times New Roman"/>
                <w:b/>
                <w:snapToGrid w:val="0"/>
                <w:color w:val="000000"/>
                <w:spacing w:val="0"/>
                <w:kern w:val="0"/>
                <w:position w:val="0"/>
                <w:sz w:val="24"/>
                <w:szCs w:val="24"/>
                <w:lang w:eastAsia="en-US"/>
              </w:rPr>
              <w:t>数据来源</w:t>
            </w:r>
          </w:p>
        </w:tc>
      </w:tr>
      <w:tr w14:paraId="3370C6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restart"/>
            <w:vAlign w:val="center"/>
          </w:tcPr>
          <w:p w14:paraId="5981FFB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SFC</w:t>
            </w:r>
            <w:r>
              <w:rPr>
                <w:rFonts w:hint="default" w:ascii="Times New Roman" w:hAnsi="Times New Roman" w:eastAsia="Times New Roman" w:cs="Times New Roman"/>
                <w:snapToGrid w:val="0"/>
                <w:color w:val="000000"/>
                <w:spacing w:val="0"/>
                <w:kern w:val="0"/>
                <w:position w:val="0"/>
                <w:sz w:val="24"/>
                <w:szCs w:val="24"/>
                <w:vertAlign w:val="subscript"/>
                <w:lang w:val="en-US" w:eastAsia="zh-CN"/>
              </w:rPr>
              <w:t>i,j</w:t>
            </w:r>
          </w:p>
        </w:tc>
        <w:tc>
          <w:tcPr>
            <w:tcW w:w="960" w:type="dxa"/>
            <w:vMerge w:val="restart"/>
            <w:vAlign w:val="center"/>
          </w:tcPr>
          <w:p w14:paraId="6B3B013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rPr>
            </w:pPr>
            <w:r>
              <w:rPr>
                <w:rFonts w:hint="default" w:ascii="Times New Roman" w:hAnsi="Times New Roman" w:eastAsia="Times New Roman" w:cs="Times New Roman"/>
                <w:snapToGrid w:val="0"/>
                <w:color w:val="000000"/>
                <w:spacing w:val="0"/>
                <w:kern w:val="0"/>
                <w:position w:val="0"/>
                <w:sz w:val="24"/>
                <w:szCs w:val="24"/>
              </w:rPr>
              <w:t>消耗第j种燃油的第i种</w:t>
            </w:r>
            <w:r>
              <w:rPr>
                <w:rFonts w:hint="default" w:ascii="Times New Roman" w:hAnsi="Times New Roman" w:eastAsia="Times New Roman" w:cs="Times New Roman"/>
                <w:snapToGrid w:val="0"/>
                <w:color w:val="000000"/>
                <w:spacing w:val="0"/>
                <w:kern w:val="0"/>
                <w:position w:val="0"/>
                <w:sz w:val="24"/>
                <w:szCs w:val="24"/>
                <w:lang w:eastAsia="zh-CN"/>
              </w:rPr>
              <w:t>基准线</w:t>
            </w:r>
            <w:r>
              <w:rPr>
                <w:rFonts w:hint="default" w:ascii="Times New Roman" w:hAnsi="Times New Roman" w:eastAsia="Times New Roman" w:cs="Times New Roman"/>
                <w:snapToGrid w:val="0"/>
                <w:color w:val="000000"/>
                <w:spacing w:val="0"/>
                <w:kern w:val="0"/>
                <w:position w:val="0"/>
                <w:sz w:val="24"/>
                <w:szCs w:val="24"/>
              </w:rPr>
              <w:t>车辆的燃料消耗</w:t>
            </w:r>
            <w:bookmarkStart w:id="0" w:name="bookmark19"/>
            <w:bookmarkEnd w:id="0"/>
            <w:r>
              <w:rPr>
                <w:rFonts w:hint="default" w:ascii="Times New Roman" w:hAnsi="Times New Roman" w:eastAsia="Times New Roman" w:cs="Times New Roman"/>
                <w:snapToGrid w:val="0"/>
                <w:color w:val="000000"/>
                <w:spacing w:val="0"/>
                <w:kern w:val="0"/>
                <w:position w:val="0"/>
                <w:sz w:val="24"/>
                <w:szCs w:val="24"/>
              </w:rPr>
              <w:t>量</w:t>
            </w:r>
          </w:p>
        </w:tc>
        <w:tc>
          <w:tcPr>
            <w:tcW w:w="0" w:type="auto"/>
            <w:gridSpan w:val="2"/>
            <w:vMerge w:val="restart"/>
            <w:vAlign w:val="center"/>
          </w:tcPr>
          <w:p w14:paraId="7130D6F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M</w:t>
            </w:r>
            <w:r>
              <w:rPr>
                <w:rFonts w:hint="default" w:ascii="Times New Roman" w:hAnsi="Times New Roman" w:eastAsia="Times New Roman" w:cs="Times New Roman"/>
                <w:snapToGrid w:val="0"/>
                <w:color w:val="000000"/>
                <w:spacing w:val="0"/>
                <w:kern w:val="0"/>
                <w:position w:val="0"/>
                <w:sz w:val="24"/>
                <w:szCs w:val="24"/>
                <w:vertAlign w:val="subscript"/>
              </w:rPr>
              <w:t>2</w:t>
            </w:r>
            <w:r>
              <w:rPr>
                <w:rFonts w:hint="default" w:ascii="Times New Roman" w:hAnsi="Times New Roman" w:eastAsia="Times New Roman" w:cs="Times New Roman"/>
                <w:snapToGrid w:val="0"/>
                <w:color w:val="000000"/>
                <w:spacing w:val="0"/>
                <w:kern w:val="0"/>
                <w:position w:val="0"/>
                <w:sz w:val="24"/>
                <w:szCs w:val="24"/>
                <w:lang w:eastAsia="en-US"/>
              </w:rPr>
              <w:t>类</w:t>
            </w:r>
          </w:p>
        </w:tc>
        <w:tc>
          <w:tcPr>
            <w:tcW w:w="0" w:type="auto"/>
            <w:vMerge w:val="restart"/>
            <w:vAlign w:val="center"/>
          </w:tcPr>
          <w:p w14:paraId="79B4460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rPr>
              <w:t>汽油</w:t>
            </w:r>
          </w:p>
        </w:tc>
        <w:tc>
          <w:tcPr>
            <w:tcW w:w="0" w:type="auto"/>
            <w:vAlign w:val="center"/>
          </w:tcPr>
          <w:p w14:paraId="13EF7BA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GVW≤1190</w:t>
            </w:r>
          </w:p>
        </w:tc>
        <w:tc>
          <w:tcPr>
            <w:tcW w:w="2774" w:type="dxa"/>
            <w:gridSpan w:val="2"/>
            <w:vAlign w:val="center"/>
          </w:tcPr>
          <w:p w14:paraId="6567419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rPr>
              <w:t>5.85</w:t>
            </w:r>
          </w:p>
        </w:tc>
        <w:tc>
          <w:tcPr>
            <w:tcW w:w="0" w:type="auto"/>
            <w:vMerge w:val="restart"/>
            <w:vAlign w:val="center"/>
          </w:tcPr>
          <w:p w14:paraId="454BC66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L/100km</w:t>
            </w:r>
          </w:p>
        </w:tc>
        <w:tc>
          <w:tcPr>
            <w:tcW w:w="1179" w:type="dxa"/>
            <w:vMerge w:val="restart"/>
            <w:vAlign w:val="center"/>
          </w:tcPr>
          <w:p w14:paraId="070705A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GB</w:t>
            </w:r>
            <w:r>
              <w:rPr>
                <w:rFonts w:hint="eastAsia" w:ascii="Times New Roman" w:eastAsia="Times New Roman" w:cs="Times New Roman"/>
                <w:snapToGrid w:val="0"/>
                <w:color w:val="000000"/>
                <w:spacing w:val="0"/>
                <w:kern w:val="0"/>
                <w:position w:val="0"/>
                <w:sz w:val="24"/>
                <w:szCs w:val="24"/>
                <w:lang w:val="en-US" w:eastAsia="zh-CN"/>
              </w:rPr>
              <w:t xml:space="preserve"> </w:t>
            </w:r>
            <w:r>
              <w:rPr>
                <w:rFonts w:hint="default" w:ascii="Times New Roman" w:hAnsi="Times New Roman" w:eastAsia="Times New Roman" w:cs="Times New Roman"/>
                <w:snapToGrid w:val="0"/>
                <w:color w:val="000000"/>
                <w:spacing w:val="0"/>
                <w:kern w:val="0"/>
                <w:position w:val="0"/>
                <w:sz w:val="24"/>
                <w:szCs w:val="24"/>
                <w:lang w:eastAsia="en-US"/>
              </w:rPr>
              <w:t>20997-2024</w:t>
            </w:r>
          </w:p>
        </w:tc>
      </w:tr>
      <w:tr w14:paraId="2C19CD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0872D61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960" w:type="dxa"/>
            <w:vMerge w:val="continue"/>
            <w:vAlign w:val="center"/>
          </w:tcPr>
          <w:p w14:paraId="388B79A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gridSpan w:val="2"/>
            <w:vMerge w:val="continue"/>
            <w:vAlign w:val="center"/>
          </w:tcPr>
          <w:p w14:paraId="4409910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vMerge w:val="continue"/>
            <w:vAlign w:val="center"/>
          </w:tcPr>
          <w:p w14:paraId="3E0E277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vAlign w:val="center"/>
          </w:tcPr>
          <w:p w14:paraId="400BE8B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1190</w:t>
            </w:r>
            <w:r>
              <w:rPr>
                <w:rFonts w:hint="eastAsia" w:ascii="Times New Roman" w:eastAsia="Times New Roman" w:cs="Times New Roman"/>
                <w:snapToGrid w:val="0"/>
                <w:color w:val="000000"/>
                <w:spacing w:val="0"/>
                <w:kern w:val="0"/>
                <w:position w:val="0"/>
                <w:sz w:val="24"/>
                <w:szCs w:val="24"/>
                <w:lang w:eastAsia="zh-CN"/>
              </w:rPr>
              <w:t>&lt;</w:t>
            </w:r>
            <w:r>
              <w:rPr>
                <w:rFonts w:hint="default" w:ascii="Times New Roman" w:hAnsi="Times New Roman" w:eastAsia="Times New Roman" w:cs="Times New Roman"/>
                <w:snapToGrid w:val="0"/>
                <w:color w:val="000000"/>
                <w:spacing w:val="0"/>
                <w:kern w:val="0"/>
                <w:position w:val="0"/>
                <w:sz w:val="24"/>
                <w:szCs w:val="24"/>
                <w:lang w:eastAsia="en-US"/>
              </w:rPr>
              <w:t>GVW≤2850</w:t>
            </w:r>
          </w:p>
        </w:tc>
        <w:tc>
          <w:tcPr>
            <w:tcW w:w="2774" w:type="dxa"/>
            <w:gridSpan w:val="2"/>
            <w:vAlign w:val="center"/>
          </w:tcPr>
          <w:p w14:paraId="23EBF6C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0.00</w:t>
            </w:r>
            <w:r>
              <w:rPr>
                <w:rFonts w:hint="default" w:ascii="Times New Roman" w:hAnsi="Times New Roman" w:eastAsia="Times New Roman" w:cs="Times New Roman"/>
                <w:snapToGrid w:val="0"/>
                <w:color w:val="000000"/>
                <w:spacing w:val="0"/>
                <w:kern w:val="0"/>
                <w:position w:val="0"/>
                <w:sz w:val="24"/>
                <w:szCs w:val="24"/>
              </w:rPr>
              <w:t>385</w:t>
            </w:r>
            <w:r>
              <w:rPr>
                <w:rFonts w:hint="default" w:ascii="Times New Roman" w:hAnsi="Times New Roman" w:eastAsia="Times New Roman" w:cs="Times New Roman"/>
                <w:snapToGrid w:val="0"/>
                <w:color w:val="000000"/>
                <w:spacing w:val="0"/>
                <w:kern w:val="0"/>
                <w:position w:val="0"/>
                <w:sz w:val="24"/>
                <w:szCs w:val="24"/>
                <w:lang w:eastAsia="en-US"/>
              </w:rPr>
              <w:t>×</w:t>
            </w:r>
            <w:r>
              <w:rPr>
                <w:rFonts w:hint="eastAsia" w:ascii="Times New Roman" w:eastAsia="Times New Roman" w:cs="Times New Roman"/>
                <w:snapToGrid w:val="0"/>
                <w:color w:val="000000"/>
                <w:spacing w:val="0"/>
                <w:kern w:val="0"/>
                <w:position w:val="0"/>
                <w:sz w:val="24"/>
                <w:szCs w:val="24"/>
                <w:lang w:val="en-US" w:eastAsia="zh-CN"/>
              </w:rPr>
              <w:t>(</w:t>
            </w:r>
            <w:r>
              <w:rPr>
                <w:rFonts w:hint="default" w:ascii="Times New Roman" w:hAnsi="Times New Roman" w:eastAsia="Times New Roman" w:cs="Times New Roman"/>
                <w:snapToGrid w:val="0"/>
                <w:color w:val="000000"/>
                <w:spacing w:val="0"/>
                <w:kern w:val="0"/>
                <w:position w:val="0"/>
                <w:sz w:val="24"/>
                <w:szCs w:val="24"/>
                <w:lang w:eastAsia="en-US"/>
              </w:rPr>
              <w:t>GVW</w:t>
            </w:r>
            <w:r>
              <w:rPr>
                <w:rFonts w:hint="eastAsia" w:ascii="Times New Roman" w:eastAsia="Times New Roman" w:cs="Times New Roman"/>
                <w:snapToGrid w:val="0"/>
                <w:color w:val="000000"/>
                <w:spacing w:val="0"/>
                <w:kern w:val="0"/>
                <w:position w:val="0"/>
                <w:sz w:val="24"/>
                <w:szCs w:val="24"/>
                <w:lang w:val="en-US" w:eastAsia="zh-CN"/>
              </w:rPr>
              <w:t>-</w:t>
            </w:r>
            <w:r>
              <w:rPr>
                <w:rFonts w:hint="default" w:ascii="Times New Roman" w:hAnsi="Times New Roman" w:eastAsia="Times New Roman" w:cs="Times New Roman"/>
                <w:snapToGrid w:val="0"/>
                <w:color w:val="000000"/>
                <w:spacing w:val="0"/>
                <w:kern w:val="0"/>
                <w:position w:val="0"/>
                <w:sz w:val="24"/>
                <w:szCs w:val="24"/>
              </w:rPr>
              <w:t>2098</w:t>
            </w:r>
            <w:r>
              <w:rPr>
                <w:rFonts w:hint="eastAsia" w:ascii="Times New Roman" w:eastAsia="Times New Roman" w:cs="Times New Roman"/>
                <w:snapToGrid w:val="0"/>
                <w:color w:val="000000"/>
                <w:spacing w:val="0"/>
                <w:kern w:val="0"/>
                <w:position w:val="0"/>
                <w:sz w:val="24"/>
                <w:szCs w:val="24"/>
                <w:lang w:val="en-US" w:eastAsia="zh-CN"/>
              </w:rPr>
              <w:t>)</w:t>
            </w:r>
            <w:r>
              <w:rPr>
                <w:rFonts w:hint="default" w:ascii="Times New Roman" w:hAnsi="Times New Roman" w:eastAsia="Times New Roman" w:cs="Times New Roman"/>
                <w:snapToGrid w:val="0"/>
                <w:color w:val="000000"/>
                <w:spacing w:val="0"/>
                <w:kern w:val="0"/>
                <w:position w:val="0"/>
                <w:sz w:val="24"/>
                <w:szCs w:val="24"/>
                <w:lang w:eastAsia="en-US"/>
              </w:rPr>
              <w:t>+</w:t>
            </w:r>
            <w:r>
              <w:rPr>
                <w:rFonts w:hint="default" w:ascii="Times New Roman" w:hAnsi="Times New Roman" w:eastAsia="Times New Roman" w:cs="Times New Roman"/>
                <w:snapToGrid w:val="0"/>
                <w:color w:val="000000"/>
                <w:spacing w:val="0"/>
                <w:kern w:val="0"/>
                <w:position w:val="0"/>
                <w:sz w:val="24"/>
                <w:szCs w:val="24"/>
              </w:rPr>
              <w:t>9.35</w:t>
            </w:r>
          </w:p>
        </w:tc>
        <w:tc>
          <w:tcPr>
            <w:tcW w:w="0" w:type="auto"/>
            <w:vMerge w:val="continue"/>
            <w:vAlign w:val="center"/>
          </w:tcPr>
          <w:p w14:paraId="2E66BD2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1179" w:type="dxa"/>
            <w:vMerge w:val="continue"/>
            <w:vAlign w:val="center"/>
          </w:tcPr>
          <w:p w14:paraId="367470D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r>
      <w:tr w14:paraId="53273E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74FB3E0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960" w:type="dxa"/>
            <w:vMerge w:val="continue"/>
            <w:vAlign w:val="center"/>
          </w:tcPr>
          <w:p w14:paraId="6587427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gridSpan w:val="2"/>
            <w:vMerge w:val="continue"/>
            <w:vAlign w:val="center"/>
          </w:tcPr>
          <w:p w14:paraId="0389C6F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vMerge w:val="continue"/>
            <w:vAlign w:val="center"/>
          </w:tcPr>
          <w:p w14:paraId="57A1C82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vAlign w:val="center"/>
          </w:tcPr>
          <w:p w14:paraId="7488F16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GVW≥2850</w:t>
            </w:r>
          </w:p>
        </w:tc>
        <w:tc>
          <w:tcPr>
            <w:tcW w:w="2774" w:type="dxa"/>
            <w:gridSpan w:val="2"/>
            <w:vAlign w:val="center"/>
          </w:tcPr>
          <w:p w14:paraId="44A32B0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rPr>
              <w:t>12.25</w:t>
            </w:r>
          </w:p>
        </w:tc>
        <w:tc>
          <w:tcPr>
            <w:tcW w:w="0" w:type="auto"/>
            <w:vMerge w:val="continue"/>
            <w:vAlign w:val="center"/>
          </w:tcPr>
          <w:p w14:paraId="42B6A78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1179" w:type="dxa"/>
            <w:vMerge w:val="continue"/>
            <w:vAlign w:val="center"/>
          </w:tcPr>
          <w:p w14:paraId="7446974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r>
      <w:tr w14:paraId="261DFC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23A7430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960" w:type="dxa"/>
            <w:vMerge w:val="continue"/>
            <w:vAlign w:val="center"/>
          </w:tcPr>
          <w:p w14:paraId="62C421D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gridSpan w:val="2"/>
            <w:vMerge w:val="continue"/>
            <w:vAlign w:val="center"/>
          </w:tcPr>
          <w:p w14:paraId="2032457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vMerge w:val="restart"/>
            <w:vAlign w:val="center"/>
          </w:tcPr>
          <w:p w14:paraId="439F38C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rPr>
              <w:t>柴油</w:t>
            </w:r>
          </w:p>
        </w:tc>
        <w:tc>
          <w:tcPr>
            <w:tcW w:w="0" w:type="auto"/>
            <w:vAlign w:val="center"/>
          </w:tcPr>
          <w:p w14:paraId="4E50EDC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GVW≤1190</w:t>
            </w:r>
          </w:p>
        </w:tc>
        <w:tc>
          <w:tcPr>
            <w:tcW w:w="2774" w:type="dxa"/>
            <w:gridSpan w:val="2"/>
            <w:vAlign w:val="center"/>
          </w:tcPr>
          <w:p w14:paraId="11BE9E7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rPr>
              <w:t>5.03</w:t>
            </w:r>
          </w:p>
        </w:tc>
        <w:tc>
          <w:tcPr>
            <w:tcW w:w="0" w:type="auto"/>
            <w:vMerge w:val="continue"/>
            <w:vAlign w:val="center"/>
          </w:tcPr>
          <w:p w14:paraId="58D23DC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1179" w:type="dxa"/>
            <w:vMerge w:val="continue"/>
            <w:vAlign w:val="center"/>
          </w:tcPr>
          <w:p w14:paraId="1497FEF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r>
      <w:tr w14:paraId="401CB2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6771D30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960" w:type="dxa"/>
            <w:vMerge w:val="continue"/>
            <w:vAlign w:val="center"/>
          </w:tcPr>
          <w:p w14:paraId="14BA91C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gridSpan w:val="2"/>
            <w:vMerge w:val="continue"/>
            <w:vAlign w:val="center"/>
          </w:tcPr>
          <w:p w14:paraId="64D34AD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vMerge w:val="continue"/>
            <w:vAlign w:val="center"/>
          </w:tcPr>
          <w:p w14:paraId="18EC3F2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vAlign w:val="center"/>
          </w:tcPr>
          <w:p w14:paraId="3A3EA0F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1190</w:t>
            </w:r>
            <w:r>
              <w:rPr>
                <w:rFonts w:hint="eastAsia" w:ascii="Times New Roman" w:eastAsia="Times New Roman" w:cs="Times New Roman"/>
                <w:snapToGrid w:val="0"/>
                <w:color w:val="000000"/>
                <w:spacing w:val="0"/>
                <w:kern w:val="0"/>
                <w:position w:val="0"/>
                <w:sz w:val="24"/>
                <w:szCs w:val="24"/>
                <w:lang w:eastAsia="zh-CN"/>
              </w:rPr>
              <w:t>&lt;</w:t>
            </w:r>
            <w:r>
              <w:rPr>
                <w:rFonts w:hint="default" w:ascii="Times New Roman" w:hAnsi="Times New Roman" w:eastAsia="Times New Roman" w:cs="Times New Roman"/>
                <w:snapToGrid w:val="0"/>
                <w:color w:val="000000"/>
                <w:spacing w:val="0"/>
                <w:kern w:val="0"/>
                <w:position w:val="0"/>
                <w:sz w:val="24"/>
                <w:szCs w:val="24"/>
                <w:lang w:eastAsia="en-US"/>
              </w:rPr>
              <w:t>GVW≤2850</w:t>
            </w:r>
          </w:p>
        </w:tc>
        <w:tc>
          <w:tcPr>
            <w:tcW w:w="2774" w:type="dxa"/>
            <w:gridSpan w:val="2"/>
            <w:vAlign w:val="center"/>
          </w:tcPr>
          <w:p w14:paraId="0FB2049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0.00</w:t>
            </w:r>
            <w:r>
              <w:rPr>
                <w:rFonts w:hint="default" w:ascii="Times New Roman" w:hAnsi="Times New Roman" w:eastAsia="Times New Roman" w:cs="Times New Roman"/>
                <w:snapToGrid w:val="0"/>
                <w:color w:val="000000"/>
                <w:spacing w:val="0"/>
                <w:kern w:val="0"/>
                <w:position w:val="0"/>
                <w:sz w:val="24"/>
                <w:szCs w:val="24"/>
              </w:rPr>
              <w:t>288</w:t>
            </w:r>
            <w:r>
              <w:rPr>
                <w:rFonts w:hint="default" w:ascii="Times New Roman" w:hAnsi="Times New Roman" w:eastAsia="Times New Roman" w:cs="Times New Roman"/>
                <w:snapToGrid w:val="0"/>
                <w:color w:val="000000"/>
                <w:spacing w:val="0"/>
                <w:kern w:val="0"/>
                <w:position w:val="0"/>
                <w:sz w:val="24"/>
                <w:szCs w:val="24"/>
                <w:lang w:eastAsia="en-US"/>
              </w:rPr>
              <w:t>×</w:t>
            </w:r>
            <w:r>
              <w:rPr>
                <w:rFonts w:hint="eastAsia" w:ascii="Times New Roman" w:eastAsia="Times New Roman" w:cs="Times New Roman"/>
                <w:snapToGrid w:val="0"/>
                <w:color w:val="000000"/>
                <w:spacing w:val="0"/>
                <w:kern w:val="0"/>
                <w:position w:val="0"/>
                <w:sz w:val="24"/>
                <w:szCs w:val="24"/>
                <w:lang w:val="en-US" w:eastAsia="zh-CN"/>
              </w:rPr>
              <w:t>(</w:t>
            </w:r>
            <w:r>
              <w:rPr>
                <w:rFonts w:hint="default" w:ascii="Times New Roman" w:hAnsi="Times New Roman" w:eastAsia="Times New Roman" w:cs="Times New Roman"/>
                <w:snapToGrid w:val="0"/>
                <w:color w:val="000000"/>
                <w:spacing w:val="0"/>
                <w:kern w:val="0"/>
                <w:position w:val="0"/>
                <w:sz w:val="24"/>
                <w:szCs w:val="24"/>
                <w:lang w:eastAsia="en-US"/>
              </w:rPr>
              <w:t>GVW</w:t>
            </w:r>
            <w:r>
              <w:rPr>
                <w:rFonts w:hint="eastAsia" w:ascii="Times New Roman" w:hAnsi="宋体" w:eastAsia="Times New Roman" w:cs="宋体"/>
                <w:snapToGrid w:val="0"/>
                <w:color w:val="000000"/>
                <w:spacing w:val="0"/>
                <w:kern w:val="0"/>
                <w:position w:val="0"/>
                <w:sz w:val="24"/>
                <w:szCs w:val="24"/>
                <w:lang w:val="en-US" w:eastAsia="zh-CN"/>
              </w:rPr>
              <w:t>-</w:t>
            </w:r>
            <w:r>
              <w:rPr>
                <w:rFonts w:hint="default" w:ascii="Times New Roman" w:hAnsi="Times New Roman" w:eastAsia="Times New Roman" w:cs="Times New Roman"/>
                <w:snapToGrid w:val="0"/>
                <w:color w:val="000000"/>
                <w:spacing w:val="0"/>
                <w:kern w:val="0"/>
                <w:position w:val="0"/>
                <w:sz w:val="24"/>
                <w:szCs w:val="24"/>
              </w:rPr>
              <w:t>2098</w:t>
            </w:r>
            <w:r>
              <w:rPr>
                <w:rFonts w:hint="eastAsia" w:ascii="Times New Roman" w:eastAsia="Times New Roman" w:cs="Times New Roman"/>
                <w:snapToGrid w:val="0"/>
                <w:color w:val="000000"/>
                <w:spacing w:val="0"/>
                <w:kern w:val="0"/>
                <w:position w:val="0"/>
                <w:sz w:val="24"/>
                <w:szCs w:val="24"/>
                <w:lang w:val="en-US" w:eastAsia="zh-CN"/>
              </w:rPr>
              <w:t>)</w:t>
            </w:r>
            <w:r>
              <w:rPr>
                <w:rFonts w:hint="default" w:ascii="Times New Roman" w:hAnsi="Times New Roman" w:eastAsia="Times New Roman" w:cs="Times New Roman"/>
                <w:snapToGrid w:val="0"/>
                <w:color w:val="000000"/>
                <w:spacing w:val="0"/>
                <w:kern w:val="0"/>
                <w:position w:val="0"/>
                <w:sz w:val="24"/>
                <w:szCs w:val="24"/>
                <w:lang w:eastAsia="en-US"/>
              </w:rPr>
              <w:t>+</w:t>
            </w:r>
            <w:r>
              <w:rPr>
                <w:rFonts w:hint="default" w:ascii="Times New Roman" w:hAnsi="Times New Roman" w:eastAsia="Times New Roman" w:cs="Times New Roman"/>
                <w:snapToGrid w:val="0"/>
                <w:color w:val="000000"/>
                <w:spacing w:val="0"/>
                <w:kern w:val="0"/>
                <w:position w:val="0"/>
                <w:sz w:val="24"/>
                <w:szCs w:val="24"/>
              </w:rPr>
              <w:t>7.65</w:t>
            </w:r>
          </w:p>
        </w:tc>
        <w:tc>
          <w:tcPr>
            <w:tcW w:w="0" w:type="auto"/>
            <w:vMerge w:val="continue"/>
            <w:vAlign w:val="center"/>
          </w:tcPr>
          <w:p w14:paraId="3B67CF8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1179" w:type="dxa"/>
            <w:vMerge w:val="continue"/>
            <w:vAlign w:val="center"/>
          </w:tcPr>
          <w:p w14:paraId="1892503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r>
      <w:tr w14:paraId="14F084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27F9259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960" w:type="dxa"/>
            <w:vMerge w:val="continue"/>
            <w:vAlign w:val="center"/>
          </w:tcPr>
          <w:p w14:paraId="1C237E6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gridSpan w:val="2"/>
            <w:vMerge w:val="continue"/>
            <w:vAlign w:val="center"/>
          </w:tcPr>
          <w:p w14:paraId="4B8B872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vMerge w:val="continue"/>
            <w:vAlign w:val="center"/>
          </w:tcPr>
          <w:p w14:paraId="42CCCE3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0" w:type="auto"/>
            <w:vAlign w:val="center"/>
          </w:tcPr>
          <w:p w14:paraId="4610E9A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GVW≥2850</w:t>
            </w:r>
          </w:p>
        </w:tc>
        <w:tc>
          <w:tcPr>
            <w:tcW w:w="2774" w:type="dxa"/>
            <w:gridSpan w:val="2"/>
            <w:vAlign w:val="center"/>
          </w:tcPr>
          <w:p w14:paraId="11E0904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rPr>
            </w:pPr>
            <w:r>
              <w:rPr>
                <w:rFonts w:hint="default" w:ascii="Times New Roman" w:hAnsi="Times New Roman" w:eastAsia="Times New Roman" w:cs="Times New Roman"/>
                <w:snapToGrid w:val="0"/>
                <w:color w:val="000000"/>
                <w:spacing w:val="0"/>
                <w:kern w:val="0"/>
                <w:position w:val="0"/>
                <w:sz w:val="24"/>
                <w:szCs w:val="24"/>
              </w:rPr>
              <w:t>9.82</w:t>
            </w:r>
          </w:p>
        </w:tc>
        <w:tc>
          <w:tcPr>
            <w:tcW w:w="0" w:type="auto"/>
            <w:vMerge w:val="continue"/>
            <w:vAlign w:val="center"/>
          </w:tcPr>
          <w:p w14:paraId="6F0C8B4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1179" w:type="dxa"/>
            <w:vMerge w:val="continue"/>
            <w:vAlign w:val="center"/>
          </w:tcPr>
          <w:p w14:paraId="4F47EA3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r>
      <w:tr w14:paraId="6BC5F1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6A14A0D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p>
        </w:tc>
        <w:tc>
          <w:tcPr>
            <w:tcW w:w="960" w:type="dxa"/>
            <w:vMerge w:val="continue"/>
            <w:vAlign w:val="center"/>
          </w:tcPr>
          <w:p w14:paraId="346B12C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rPr>
            </w:pPr>
          </w:p>
        </w:tc>
        <w:tc>
          <w:tcPr>
            <w:tcW w:w="0" w:type="auto"/>
            <w:vMerge w:val="restart"/>
            <w:vAlign w:val="center"/>
          </w:tcPr>
          <w:p w14:paraId="0ABC186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M</w:t>
            </w:r>
            <w:r>
              <w:rPr>
                <w:rFonts w:hint="default" w:ascii="Times New Roman" w:hAnsi="Times New Roman" w:eastAsia="Times New Roman" w:cs="Times New Roman"/>
                <w:snapToGrid w:val="0"/>
                <w:color w:val="000000"/>
                <w:spacing w:val="0"/>
                <w:kern w:val="0"/>
                <w:position w:val="0"/>
                <w:sz w:val="24"/>
                <w:szCs w:val="24"/>
                <w:vertAlign w:val="subscript"/>
                <w:lang w:eastAsia="en-US"/>
              </w:rPr>
              <w:t>2</w:t>
            </w:r>
            <w:r>
              <w:rPr>
                <w:rFonts w:hint="default" w:ascii="Times New Roman" w:hAnsi="Times New Roman" w:eastAsia="Times New Roman" w:cs="Times New Roman"/>
                <w:snapToGrid w:val="0"/>
                <w:color w:val="000000"/>
                <w:spacing w:val="0"/>
                <w:kern w:val="0"/>
                <w:position w:val="0"/>
                <w:sz w:val="24"/>
                <w:szCs w:val="24"/>
                <w:lang w:eastAsia="en-US"/>
              </w:rPr>
              <w:t>类、M</w:t>
            </w:r>
            <w:r>
              <w:rPr>
                <w:rFonts w:hint="default" w:ascii="Times New Roman" w:hAnsi="Times New Roman" w:eastAsia="Times New Roman" w:cs="Times New Roman"/>
                <w:snapToGrid w:val="0"/>
                <w:color w:val="000000"/>
                <w:spacing w:val="0"/>
                <w:kern w:val="0"/>
                <w:position w:val="0"/>
                <w:sz w:val="24"/>
                <w:szCs w:val="24"/>
                <w:vertAlign w:val="subscript"/>
                <w:lang w:eastAsia="en-US"/>
              </w:rPr>
              <w:t>3</w:t>
            </w:r>
            <w:r>
              <w:rPr>
                <w:rFonts w:hint="default" w:ascii="Times New Roman" w:hAnsi="Times New Roman" w:eastAsia="Times New Roman" w:cs="Times New Roman"/>
                <w:snapToGrid w:val="0"/>
                <w:color w:val="000000"/>
                <w:spacing w:val="0"/>
                <w:kern w:val="0"/>
                <w:position w:val="0"/>
                <w:sz w:val="24"/>
                <w:szCs w:val="24"/>
                <w:lang w:eastAsia="en-US"/>
              </w:rPr>
              <w:t>类</w:t>
            </w:r>
          </w:p>
        </w:tc>
        <w:tc>
          <w:tcPr>
            <w:tcW w:w="0" w:type="auto"/>
            <w:vMerge w:val="restart"/>
            <w:vAlign w:val="center"/>
          </w:tcPr>
          <w:p w14:paraId="6D005B5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普通客车</w:t>
            </w:r>
          </w:p>
        </w:tc>
        <w:tc>
          <w:tcPr>
            <w:tcW w:w="0" w:type="auto"/>
            <w:vMerge w:val="restart"/>
            <w:vAlign w:val="center"/>
          </w:tcPr>
          <w:p w14:paraId="41BDF0F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柴油</w:t>
            </w:r>
          </w:p>
        </w:tc>
        <w:tc>
          <w:tcPr>
            <w:tcW w:w="0" w:type="auto"/>
            <w:vAlign w:val="center"/>
          </w:tcPr>
          <w:p w14:paraId="2ED279C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3500&lt;GVW≤4500</w:t>
            </w:r>
          </w:p>
        </w:tc>
        <w:tc>
          <w:tcPr>
            <w:tcW w:w="2774" w:type="dxa"/>
            <w:gridSpan w:val="2"/>
            <w:vAlign w:val="center"/>
          </w:tcPr>
          <w:p w14:paraId="5B9630F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9.7</w:t>
            </w:r>
          </w:p>
        </w:tc>
        <w:tc>
          <w:tcPr>
            <w:tcW w:w="0" w:type="auto"/>
            <w:vMerge w:val="restart"/>
            <w:vAlign w:val="center"/>
          </w:tcPr>
          <w:p w14:paraId="2BE148A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L/100km</w:t>
            </w:r>
          </w:p>
        </w:tc>
        <w:tc>
          <w:tcPr>
            <w:tcW w:w="1179" w:type="dxa"/>
            <w:vMerge w:val="restart"/>
            <w:vAlign w:val="center"/>
          </w:tcPr>
          <w:p w14:paraId="7CABF43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GB</w:t>
            </w:r>
            <w:r>
              <w:rPr>
                <w:rFonts w:hint="eastAsia" w:ascii="Times New Roman" w:eastAsia="Times New Roman" w:cs="Times New Roman"/>
                <w:snapToGrid w:val="0"/>
                <w:color w:val="000000"/>
                <w:spacing w:val="0"/>
                <w:kern w:val="0"/>
                <w:position w:val="0"/>
                <w:sz w:val="24"/>
                <w:szCs w:val="24"/>
                <w:lang w:val="en-US" w:eastAsia="zh-CN"/>
              </w:rPr>
              <w:t xml:space="preserve"> </w:t>
            </w:r>
            <w:r>
              <w:rPr>
                <w:rFonts w:hint="default" w:ascii="Times New Roman" w:hAnsi="Times New Roman" w:eastAsia="Times New Roman" w:cs="Times New Roman"/>
                <w:snapToGrid w:val="0"/>
                <w:color w:val="000000"/>
                <w:spacing w:val="0"/>
                <w:kern w:val="0"/>
                <w:position w:val="0"/>
                <w:sz w:val="24"/>
                <w:szCs w:val="24"/>
                <w:lang w:eastAsia="en-US"/>
              </w:rPr>
              <w:t>30510-2024</w:t>
            </w:r>
          </w:p>
        </w:tc>
      </w:tr>
      <w:tr w14:paraId="7941D4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23D7222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0F45BA7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110071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EED6B6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53E2B0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4D05A45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4500&lt;GVW≤5500</w:t>
            </w:r>
          </w:p>
        </w:tc>
        <w:tc>
          <w:tcPr>
            <w:tcW w:w="2774" w:type="dxa"/>
            <w:gridSpan w:val="2"/>
            <w:vAlign w:val="center"/>
          </w:tcPr>
          <w:p w14:paraId="6C7DFCD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11.4</w:t>
            </w:r>
          </w:p>
        </w:tc>
        <w:tc>
          <w:tcPr>
            <w:tcW w:w="0" w:type="auto"/>
            <w:vMerge w:val="continue"/>
            <w:vAlign w:val="center"/>
          </w:tcPr>
          <w:p w14:paraId="385A75A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0160CA6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52F2F4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6D8F2CD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28B95AA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9D6907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770944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4F5FF8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4C57ADD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5500&lt;GVW≤7000</w:t>
            </w:r>
          </w:p>
        </w:tc>
        <w:tc>
          <w:tcPr>
            <w:tcW w:w="2774" w:type="dxa"/>
            <w:gridSpan w:val="2"/>
            <w:vAlign w:val="center"/>
          </w:tcPr>
          <w:p w14:paraId="5AB3D60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13.1</w:t>
            </w:r>
          </w:p>
        </w:tc>
        <w:tc>
          <w:tcPr>
            <w:tcW w:w="0" w:type="auto"/>
            <w:vMerge w:val="continue"/>
            <w:vAlign w:val="center"/>
          </w:tcPr>
          <w:p w14:paraId="4025F59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0B4AE2F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25B7ED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0" w:hRule="atLeast"/>
          <w:jc w:val="center"/>
        </w:trPr>
        <w:tc>
          <w:tcPr>
            <w:tcW w:w="0" w:type="auto"/>
            <w:vMerge w:val="continue"/>
            <w:vAlign w:val="center"/>
          </w:tcPr>
          <w:p w14:paraId="4DAA187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117938D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2865F0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7F78D7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EFB01D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5E829FB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7000&lt;GVW≤8500</w:t>
            </w:r>
          </w:p>
        </w:tc>
        <w:tc>
          <w:tcPr>
            <w:tcW w:w="2774" w:type="dxa"/>
            <w:gridSpan w:val="2"/>
            <w:vAlign w:val="center"/>
          </w:tcPr>
          <w:p w14:paraId="5436576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14.3</w:t>
            </w:r>
          </w:p>
        </w:tc>
        <w:tc>
          <w:tcPr>
            <w:tcW w:w="0" w:type="auto"/>
            <w:vMerge w:val="continue"/>
            <w:vAlign w:val="center"/>
          </w:tcPr>
          <w:p w14:paraId="43C399B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41EC6A5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6E3369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1C1E872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5A33226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6BCB23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400D190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1852A7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7CBB98D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8500&lt;GVW≤10500</w:t>
            </w:r>
          </w:p>
        </w:tc>
        <w:tc>
          <w:tcPr>
            <w:tcW w:w="2774" w:type="dxa"/>
            <w:gridSpan w:val="2"/>
            <w:vAlign w:val="center"/>
          </w:tcPr>
          <w:p w14:paraId="43E30FA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15.8</w:t>
            </w:r>
          </w:p>
        </w:tc>
        <w:tc>
          <w:tcPr>
            <w:tcW w:w="0" w:type="auto"/>
            <w:vMerge w:val="continue"/>
            <w:vAlign w:val="center"/>
          </w:tcPr>
          <w:p w14:paraId="78DC3F4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347456D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1017CC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4561D66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556AA45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72FEB5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464FA0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30D8645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788D2A6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10500&lt;GVW≤12500</w:t>
            </w:r>
          </w:p>
        </w:tc>
        <w:tc>
          <w:tcPr>
            <w:tcW w:w="2774" w:type="dxa"/>
            <w:gridSpan w:val="2"/>
            <w:vAlign w:val="center"/>
          </w:tcPr>
          <w:p w14:paraId="5A9F927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17.8</w:t>
            </w:r>
          </w:p>
        </w:tc>
        <w:tc>
          <w:tcPr>
            <w:tcW w:w="0" w:type="auto"/>
            <w:vMerge w:val="continue"/>
            <w:vAlign w:val="center"/>
          </w:tcPr>
          <w:p w14:paraId="36C3E21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13C5389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0507F8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7C10CCB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2B8A7F1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B3A83D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EE1FF2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F05EF1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71B2AF4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12500&lt;GVW≤14500</w:t>
            </w:r>
          </w:p>
        </w:tc>
        <w:tc>
          <w:tcPr>
            <w:tcW w:w="2774" w:type="dxa"/>
            <w:gridSpan w:val="2"/>
            <w:vAlign w:val="center"/>
          </w:tcPr>
          <w:p w14:paraId="6EFB3A2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19.4</w:t>
            </w:r>
          </w:p>
        </w:tc>
        <w:tc>
          <w:tcPr>
            <w:tcW w:w="0" w:type="auto"/>
            <w:vMerge w:val="continue"/>
            <w:vAlign w:val="center"/>
          </w:tcPr>
          <w:p w14:paraId="36F260F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0B7E3D7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5726A3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1DE2DD7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235744B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5F437E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511C32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578A36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3020B5E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14500&lt;GVW≤16500</w:t>
            </w:r>
          </w:p>
        </w:tc>
        <w:tc>
          <w:tcPr>
            <w:tcW w:w="2774" w:type="dxa"/>
            <w:gridSpan w:val="2"/>
            <w:vAlign w:val="center"/>
          </w:tcPr>
          <w:p w14:paraId="71EE331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20.6</w:t>
            </w:r>
          </w:p>
        </w:tc>
        <w:tc>
          <w:tcPr>
            <w:tcW w:w="0" w:type="auto"/>
            <w:vMerge w:val="continue"/>
            <w:vAlign w:val="center"/>
          </w:tcPr>
          <w:p w14:paraId="5A2B7FC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51D0ED2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171D01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004AC25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4F0DF3B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54BC69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70D800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4BF5F7E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3633D42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16500&lt;GVW≤18000</w:t>
            </w:r>
          </w:p>
        </w:tc>
        <w:tc>
          <w:tcPr>
            <w:tcW w:w="2774" w:type="dxa"/>
            <w:gridSpan w:val="2"/>
            <w:vAlign w:val="center"/>
          </w:tcPr>
          <w:p w14:paraId="7D5D917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21.9</w:t>
            </w:r>
          </w:p>
        </w:tc>
        <w:tc>
          <w:tcPr>
            <w:tcW w:w="0" w:type="auto"/>
            <w:vMerge w:val="continue"/>
            <w:vAlign w:val="center"/>
          </w:tcPr>
          <w:p w14:paraId="09A3354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5540197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528D43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4EDA278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222C3A8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5CDC22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19F2B9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258014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25357D8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18000&lt;GVW≤22000</w:t>
            </w:r>
          </w:p>
        </w:tc>
        <w:tc>
          <w:tcPr>
            <w:tcW w:w="2774" w:type="dxa"/>
            <w:gridSpan w:val="2"/>
            <w:vAlign w:val="center"/>
          </w:tcPr>
          <w:p w14:paraId="101C4B4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23.1</w:t>
            </w:r>
          </w:p>
        </w:tc>
        <w:tc>
          <w:tcPr>
            <w:tcW w:w="0" w:type="auto"/>
            <w:vMerge w:val="continue"/>
            <w:vAlign w:val="center"/>
          </w:tcPr>
          <w:p w14:paraId="2880A9F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6B05A4B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3256C6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0" w:hRule="atLeast"/>
          <w:jc w:val="center"/>
        </w:trPr>
        <w:tc>
          <w:tcPr>
            <w:tcW w:w="0" w:type="auto"/>
            <w:vMerge w:val="continue"/>
            <w:vAlign w:val="center"/>
          </w:tcPr>
          <w:p w14:paraId="105B784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2022021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3B67B4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AA42D9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77672D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062092A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22000&lt;GVW≤25000</w:t>
            </w:r>
          </w:p>
        </w:tc>
        <w:tc>
          <w:tcPr>
            <w:tcW w:w="2774" w:type="dxa"/>
            <w:gridSpan w:val="2"/>
            <w:vAlign w:val="center"/>
          </w:tcPr>
          <w:p w14:paraId="2AA6BD6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25.0</w:t>
            </w:r>
          </w:p>
        </w:tc>
        <w:tc>
          <w:tcPr>
            <w:tcW w:w="0" w:type="auto"/>
            <w:vMerge w:val="continue"/>
            <w:vAlign w:val="center"/>
          </w:tcPr>
          <w:p w14:paraId="59BCDCC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3D6DA4C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5C2CDC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45F99CB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13FD31A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367B1F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C22E45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19F8E0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3118EFC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25000&lt;GVW</w:t>
            </w:r>
          </w:p>
        </w:tc>
        <w:tc>
          <w:tcPr>
            <w:tcW w:w="2774" w:type="dxa"/>
            <w:gridSpan w:val="2"/>
            <w:vAlign w:val="center"/>
          </w:tcPr>
          <w:p w14:paraId="24B3461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26.2</w:t>
            </w:r>
          </w:p>
        </w:tc>
        <w:tc>
          <w:tcPr>
            <w:tcW w:w="0" w:type="auto"/>
            <w:vMerge w:val="continue"/>
            <w:vAlign w:val="center"/>
          </w:tcPr>
          <w:p w14:paraId="0C958F7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60ACB1C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025605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40258FA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7C04BBA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CA0DD0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vAlign w:val="center"/>
          </w:tcPr>
          <w:p w14:paraId="224C0EB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城市客车</w:t>
            </w:r>
          </w:p>
        </w:tc>
        <w:tc>
          <w:tcPr>
            <w:tcW w:w="0" w:type="auto"/>
            <w:vMerge w:val="restart"/>
            <w:vAlign w:val="center"/>
          </w:tcPr>
          <w:p w14:paraId="5ADD4CA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柴油</w:t>
            </w:r>
          </w:p>
        </w:tc>
        <w:tc>
          <w:tcPr>
            <w:tcW w:w="0" w:type="auto"/>
            <w:vAlign w:val="center"/>
          </w:tcPr>
          <w:p w14:paraId="76D2C27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3500&lt;GVW≤4500</w:t>
            </w:r>
          </w:p>
        </w:tc>
        <w:tc>
          <w:tcPr>
            <w:tcW w:w="2774" w:type="dxa"/>
            <w:gridSpan w:val="2"/>
            <w:vAlign w:val="center"/>
          </w:tcPr>
          <w:p w14:paraId="0E7C201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10.9</w:t>
            </w:r>
          </w:p>
        </w:tc>
        <w:tc>
          <w:tcPr>
            <w:tcW w:w="0" w:type="auto"/>
            <w:vMerge w:val="restart"/>
            <w:vAlign w:val="center"/>
          </w:tcPr>
          <w:p w14:paraId="4AE89ED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L/100km</w:t>
            </w:r>
          </w:p>
        </w:tc>
        <w:tc>
          <w:tcPr>
            <w:tcW w:w="1179" w:type="dxa"/>
            <w:vMerge w:val="continue"/>
            <w:vAlign w:val="center"/>
          </w:tcPr>
          <w:p w14:paraId="5921D78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7C7EAA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391CCBF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20C9E13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BD17F4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F0BA1A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C45509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3A32AC2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4500&lt;GVW≤5500</w:t>
            </w:r>
          </w:p>
        </w:tc>
        <w:tc>
          <w:tcPr>
            <w:tcW w:w="2774" w:type="dxa"/>
            <w:gridSpan w:val="2"/>
            <w:vAlign w:val="center"/>
          </w:tcPr>
          <w:p w14:paraId="4502CCE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12.5</w:t>
            </w:r>
          </w:p>
        </w:tc>
        <w:tc>
          <w:tcPr>
            <w:tcW w:w="0" w:type="auto"/>
            <w:vMerge w:val="continue"/>
            <w:vAlign w:val="center"/>
          </w:tcPr>
          <w:p w14:paraId="177B7C0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7751142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74E594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226D5E1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58C04E2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4843E2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40508F1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D8F59E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2F78AAE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5500&lt;GVW≤7000</w:t>
            </w:r>
          </w:p>
        </w:tc>
        <w:tc>
          <w:tcPr>
            <w:tcW w:w="2774" w:type="dxa"/>
            <w:gridSpan w:val="2"/>
            <w:vAlign w:val="center"/>
          </w:tcPr>
          <w:p w14:paraId="4340BAA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14.3</w:t>
            </w:r>
          </w:p>
        </w:tc>
        <w:tc>
          <w:tcPr>
            <w:tcW w:w="0" w:type="auto"/>
            <w:vMerge w:val="continue"/>
            <w:vAlign w:val="center"/>
          </w:tcPr>
          <w:p w14:paraId="2546747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1AEF99A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4D51F6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267EB24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6589A45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C73261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88994A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117AE9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3491C95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7000&lt;GVW≤8500</w:t>
            </w:r>
          </w:p>
        </w:tc>
        <w:tc>
          <w:tcPr>
            <w:tcW w:w="2774" w:type="dxa"/>
            <w:gridSpan w:val="2"/>
            <w:vAlign w:val="center"/>
          </w:tcPr>
          <w:p w14:paraId="57E623C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16.5</w:t>
            </w:r>
          </w:p>
        </w:tc>
        <w:tc>
          <w:tcPr>
            <w:tcW w:w="0" w:type="auto"/>
            <w:vMerge w:val="continue"/>
            <w:vAlign w:val="center"/>
          </w:tcPr>
          <w:p w14:paraId="32F7C8A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66D9D1C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29D93F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5C673E0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7FC2DC7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18FD5B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360667E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ECDF3F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2E1466A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8500&lt;GVW≤10500</w:t>
            </w:r>
          </w:p>
        </w:tc>
        <w:tc>
          <w:tcPr>
            <w:tcW w:w="2774" w:type="dxa"/>
            <w:gridSpan w:val="2"/>
            <w:vAlign w:val="center"/>
          </w:tcPr>
          <w:p w14:paraId="5FB1EE8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19.4</w:t>
            </w:r>
          </w:p>
        </w:tc>
        <w:tc>
          <w:tcPr>
            <w:tcW w:w="0" w:type="auto"/>
            <w:vMerge w:val="continue"/>
            <w:vAlign w:val="center"/>
          </w:tcPr>
          <w:p w14:paraId="48197CA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14D0D07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308A4F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0E65805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66F972F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ABBE35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50C6AB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86816C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3C3F822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10500&lt;GVW≤12500</w:t>
            </w:r>
          </w:p>
        </w:tc>
        <w:tc>
          <w:tcPr>
            <w:tcW w:w="2774" w:type="dxa"/>
            <w:gridSpan w:val="2"/>
            <w:vAlign w:val="center"/>
          </w:tcPr>
          <w:p w14:paraId="6B70D72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22.6</w:t>
            </w:r>
          </w:p>
        </w:tc>
        <w:tc>
          <w:tcPr>
            <w:tcW w:w="0" w:type="auto"/>
            <w:vMerge w:val="continue"/>
            <w:vAlign w:val="center"/>
          </w:tcPr>
          <w:p w14:paraId="62FBBE5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6EC256D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6BDA43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450FE9E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0E8D029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2A9DD4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99AFF5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A4304A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68153B4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12500&lt;GVW≤14500</w:t>
            </w:r>
          </w:p>
        </w:tc>
        <w:tc>
          <w:tcPr>
            <w:tcW w:w="2774" w:type="dxa"/>
            <w:gridSpan w:val="2"/>
            <w:vAlign w:val="center"/>
          </w:tcPr>
          <w:p w14:paraId="1190D64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26.1</w:t>
            </w:r>
          </w:p>
        </w:tc>
        <w:tc>
          <w:tcPr>
            <w:tcW w:w="0" w:type="auto"/>
            <w:vMerge w:val="continue"/>
            <w:vAlign w:val="center"/>
          </w:tcPr>
          <w:p w14:paraId="7C78814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3604A92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372E1E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2F4BAD5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05464F4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55D359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3DE661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5FF075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33C8D0D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14500&lt;GVW≤16500</w:t>
            </w:r>
          </w:p>
        </w:tc>
        <w:tc>
          <w:tcPr>
            <w:tcW w:w="2774" w:type="dxa"/>
            <w:gridSpan w:val="2"/>
            <w:vAlign w:val="center"/>
          </w:tcPr>
          <w:p w14:paraId="3A01CD0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29.0</w:t>
            </w:r>
          </w:p>
        </w:tc>
        <w:tc>
          <w:tcPr>
            <w:tcW w:w="0" w:type="auto"/>
            <w:vMerge w:val="continue"/>
            <w:vAlign w:val="center"/>
          </w:tcPr>
          <w:p w14:paraId="72248E5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7F74996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4B7539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7F622C3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7448365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1589B9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F54D0F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43E030B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0AB90EA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16500&lt;GVW≤18000</w:t>
            </w:r>
          </w:p>
        </w:tc>
        <w:tc>
          <w:tcPr>
            <w:tcW w:w="2774" w:type="dxa"/>
            <w:gridSpan w:val="2"/>
            <w:vAlign w:val="center"/>
          </w:tcPr>
          <w:p w14:paraId="78731AE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32.5</w:t>
            </w:r>
          </w:p>
        </w:tc>
        <w:tc>
          <w:tcPr>
            <w:tcW w:w="0" w:type="auto"/>
            <w:vMerge w:val="continue"/>
            <w:vAlign w:val="center"/>
          </w:tcPr>
          <w:p w14:paraId="72DB85F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6AAEB57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38260F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6B36581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1EDD56A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C52DDE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216A89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3A4EE7B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001B8A0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18000&lt;GVW≤22000</w:t>
            </w:r>
          </w:p>
        </w:tc>
        <w:tc>
          <w:tcPr>
            <w:tcW w:w="2774" w:type="dxa"/>
            <w:gridSpan w:val="2"/>
            <w:vAlign w:val="center"/>
          </w:tcPr>
          <w:p w14:paraId="3B8A404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36.5</w:t>
            </w:r>
          </w:p>
        </w:tc>
        <w:tc>
          <w:tcPr>
            <w:tcW w:w="0" w:type="auto"/>
            <w:vMerge w:val="continue"/>
            <w:vAlign w:val="center"/>
          </w:tcPr>
          <w:p w14:paraId="41CFA2B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55A1B83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69ADD3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271DED2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421EC38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3141241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B1313E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5EE39B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6F28E3F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22000&lt;GVW≤25000</w:t>
            </w:r>
          </w:p>
        </w:tc>
        <w:tc>
          <w:tcPr>
            <w:tcW w:w="2774" w:type="dxa"/>
            <w:gridSpan w:val="2"/>
            <w:vAlign w:val="center"/>
          </w:tcPr>
          <w:p w14:paraId="0EBD72D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41.2</w:t>
            </w:r>
          </w:p>
        </w:tc>
        <w:tc>
          <w:tcPr>
            <w:tcW w:w="0" w:type="auto"/>
            <w:vMerge w:val="continue"/>
            <w:vAlign w:val="center"/>
          </w:tcPr>
          <w:p w14:paraId="14EA5C8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7DEC34A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625E0F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0" w:hRule="atLeast"/>
          <w:jc w:val="center"/>
        </w:trPr>
        <w:tc>
          <w:tcPr>
            <w:tcW w:w="0" w:type="auto"/>
            <w:vMerge w:val="continue"/>
            <w:vAlign w:val="center"/>
          </w:tcPr>
          <w:p w14:paraId="4C8FED9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489A91A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CD348D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09DC29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3F3EB8C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Align w:val="center"/>
          </w:tcPr>
          <w:p w14:paraId="644289C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25000&lt;GVW</w:t>
            </w:r>
          </w:p>
        </w:tc>
        <w:tc>
          <w:tcPr>
            <w:tcW w:w="2774" w:type="dxa"/>
            <w:gridSpan w:val="2"/>
            <w:vAlign w:val="center"/>
          </w:tcPr>
          <w:p w14:paraId="67AD399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44.9</w:t>
            </w:r>
          </w:p>
        </w:tc>
        <w:tc>
          <w:tcPr>
            <w:tcW w:w="0" w:type="auto"/>
            <w:vMerge w:val="continue"/>
            <w:vAlign w:val="center"/>
          </w:tcPr>
          <w:p w14:paraId="7B863D1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67E1F41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1B2589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4D8BC98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06BEC83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01391B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vAlign w:val="center"/>
          </w:tcPr>
          <w:p w14:paraId="69CADC7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特大型客车</w:t>
            </w:r>
          </w:p>
        </w:tc>
        <w:tc>
          <w:tcPr>
            <w:tcW w:w="0" w:type="auto"/>
            <w:vMerge w:val="restart"/>
            <w:vAlign w:val="center"/>
          </w:tcPr>
          <w:p w14:paraId="2679D00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highlight w:val="none"/>
                <w:lang w:eastAsia="en-US"/>
              </w:rPr>
              <w:t>天然气</w:t>
            </w:r>
          </w:p>
        </w:tc>
        <w:tc>
          <w:tcPr>
            <w:tcW w:w="0" w:type="auto"/>
            <w:vMerge w:val="restart"/>
            <w:vAlign w:val="center"/>
          </w:tcPr>
          <w:p w14:paraId="2A2D5E0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L</w:t>
            </w:r>
            <w:r>
              <w:rPr>
                <w:rFonts w:hint="eastAsia" w:ascii="Times New Roman" w:eastAsia="Times New Roman" w:cs="Times New Roman"/>
                <w:snapToGrid w:val="0"/>
                <w:color w:val="000000"/>
                <w:spacing w:val="0"/>
                <w:kern w:val="0"/>
                <w:position w:val="0"/>
                <w:sz w:val="24"/>
                <w:szCs w:val="24"/>
                <w:lang w:eastAsia="zh-CN"/>
              </w:rPr>
              <w:t>&gt;</w:t>
            </w:r>
            <w:r>
              <w:rPr>
                <w:rFonts w:hint="default" w:ascii="Times New Roman" w:hAnsi="Times New Roman" w:eastAsia="Times New Roman" w:cs="Times New Roman"/>
                <w:snapToGrid w:val="0"/>
                <w:color w:val="000000"/>
                <w:spacing w:val="0"/>
                <w:kern w:val="0"/>
                <w:position w:val="0"/>
                <w:sz w:val="24"/>
                <w:szCs w:val="24"/>
                <w:lang w:eastAsia="en-US"/>
              </w:rPr>
              <w:t>12</w:t>
            </w:r>
          </w:p>
        </w:tc>
        <w:tc>
          <w:tcPr>
            <w:tcW w:w="1924" w:type="dxa"/>
            <w:vAlign w:val="center"/>
          </w:tcPr>
          <w:p w14:paraId="297C033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高级车</w:t>
            </w:r>
          </w:p>
        </w:tc>
        <w:tc>
          <w:tcPr>
            <w:tcW w:w="850" w:type="dxa"/>
            <w:vAlign w:val="center"/>
          </w:tcPr>
          <w:p w14:paraId="159406F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30.2</w:t>
            </w:r>
          </w:p>
        </w:tc>
        <w:tc>
          <w:tcPr>
            <w:tcW w:w="0" w:type="auto"/>
            <w:vMerge w:val="restart"/>
            <w:vAlign w:val="center"/>
          </w:tcPr>
          <w:p w14:paraId="6ADBC4C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kg/100km</w:t>
            </w:r>
          </w:p>
        </w:tc>
        <w:tc>
          <w:tcPr>
            <w:tcW w:w="1179" w:type="dxa"/>
            <w:vMerge w:val="restart"/>
            <w:vAlign w:val="center"/>
          </w:tcPr>
          <w:p w14:paraId="0C184BE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JT/T</w:t>
            </w:r>
            <w:r>
              <w:rPr>
                <w:rFonts w:hint="eastAsia" w:ascii="Times New Roman" w:eastAsia="Times New Roman" w:cs="Times New Roman"/>
                <w:snapToGrid w:val="0"/>
                <w:color w:val="000000"/>
                <w:spacing w:val="0"/>
                <w:kern w:val="0"/>
                <w:position w:val="0"/>
                <w:sz w:val="24"/>
                <w:szCs w:val="24"/>
                <w:lang w:val="en-US" w:eastAsia="zh-CN"/>
              </w:rPr>
              <w:t xml:space="preserve"> </w:t>
            </w:r>
            <w:r>
              <w:rPr>
                <w:rFonts w:hint="default" w:ascii="Times New Roman" w:hAnsi="Times New Roman" w:eastAsia="Times New Roman" w:cs="Times New Roman"/>
                <w:snapToGrid w:val="0"/>
                <w:color w:val="000000"/>
                <w:spacing w:val="0"/>
                <w:kern w:val="0"/>
                <w:position w:val="0"/>
                <w:sz w:val="24"/>
                <w:szCs w:val="24"/>
                <w:lang w:eastAsia="en-US"/>
              </w:rPr>
              <w:t>1444-2022</w:t>
            </w:r>
          </w:p>
        </w:tc>
      </w:tr>
      <w:tr w14:paraId="77CB23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0A2855B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486CE51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49D38C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E984EE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4181CF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C1BB47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924" w:type="dxa"/>
            <w:vAlign w:val="center"/>
          </w:tcPr>
          <w:p w14:paraId="1DE68AA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中级及普通轿车</w:t>
            </w:r>
          </w:p>
        </w:tc>
        <w:tc>
          <w:tcPr>
            <w:tcW w:w="850" w:type="dxa"/>
            <w:vAlign w:val="center"/>
          </w:tcPr>
          <w:p w14:paraId="3060F6B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28.3</w:t>
            </w:r>
          </w:p>
        </w:tc>
        <w:tc>
          <w:tcPr>
            <w:tcW w:w="0" w:type="auto"/>
            <w:vMerge w:val="continue"/>
            <w:vAlign w:val="center"/>
          </w:tcPr>
          <w:p w14:paraId="12E5951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0C9629B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09593E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471BE80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14A1ABD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9491EC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tcBorders>
              <w:bottom w:val="nil"/>
            </w:tcBorders>
            <w:vAlign w:val="center"/>
          </w:tcPr>
          <w:p w14:paraId="252EBEC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大型客车</w:t>
            </w:r>
          </w:p>
        </w:tc>
        <w:tc>
          <w:tcPr>
            <w:tcW w:w="0" w:type="auto"/>
            <w:vMerge w:val="continue"/>
            <w:vAlign w:val="center"/>
          </w:tcPr>
          <w:p w14:paraId="0D5A26F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tcBorders>
              <w:bottom w:val="nil"/>
            </w:tcBorders>
            <w:vAlign w:val="center"/>
          </w:tcPr>
          <w:p w14:paraId="5694EA6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11&lt;L≤12</w:t>
            </w:r>
          </w:p>
        </w:tc>
        <w:tc>
          <w:tcPr>
            <w:tcW w:w="1924" w:type="dxa"/>
            <w:vAlign w:val="center"/>
          </w:tcPr>
          <w:p w14:paraId="29F15F1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高级车</w:t>
            </w:r>
          </w:p>
        </w:tc>
        <w:tc>
          <w:tcPr>
            <w:tcW w:w="850" w:type="dxa"/>
            <w:vAlign w:val="center"/>
          </w:tcPr>
          <w:p w14:paraId="2BDAB26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27.7</w:t>
            </w:r>
          </w:p>
        </w:tc>
        <w:tc>
          <w:tcPr>
            <w:tcW w:w="0" w:type="auto"/>
            <w:vMerge w:val="continue"/>
            <w:vAlign w:val="center"/>
          </w:tcPr>
          <w:p w14:paraId="7FF9FAB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341449A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2F110B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3FBD3B2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5994548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A7B08A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bottom w:val="nil"/>
            </w:tcBorders>
            <w:vAlign w:val="center"/>
          </w:tcPr>
          <w:p w14:paraId="4D0780B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33E230C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tcBorders>
            <w:vAlign w:val="center"/>
          </w:tcPr>
          <w:p w14:paraId="0776B1B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924" w:type="dxa"/>
            <w:vAlign w:val="center"/>
          </w:tcPr>
          <w:p w14:paraId="6F8B93E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中级及普通轿车</w:t>
            </w:r>
          </w:p>
        </w:tc>
        <w:tc>
          <w:tcPr>
            <w:tcW w:w="850" w:type="dxa"/>
            <w:vAlign w:val="center"/>
          </w:tcPr>
          <w:p w14:paraId="58B55B5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25.8</w:t>
            </w:r>
          </w:p>
        </w:tc>
        <w:tc>
          <w:tcPr>
            <w:tcW w:w="0" w:type="auto"/>
            <w:vMerge w:val="continue"/>
            <w:vAlign w:val="center"/>
          </w:tcPr>
          <w:p w14:paraId="407DAD1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306508D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590397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3BF7EC1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3128141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9971D2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bottom w:val="nil"/>
            </w:tcBorders>
            <w:vAlign w:val="center"/>
          </w:tcPr>
          <w:p w14:paraId="6547465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A62BFF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tcBorders>
              <w:bottom w:val="nil"/>
            </w:tcBorders>
            <w:vAlign w:val="center"/>
          </w:tcPr>
          <w:p w14:paraId="396B355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10&lt;L≤11</w:t>
            </w:r>
          </w:p>
        </w:tc>
        <w:tc>
          <w:tcPr>
            <w:tcW w:w="1924" w:type="dxa"/>
            <w:vAlign w:val="center"/>
          </w:tcPr>
          <w:p w14:paraId="60E9C62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高级车</w:t>
            </w:r>
          </w:p>
        </w:tc>
        <w:tc>
          <w:tcPr>
            <w:tcW w:w="850" w:type="dxa"/>
            <w:vAlign w:val="center"/>
          </w:tcPr>
          <w:p w14:paraId="0364DDC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25.4</w:t>
            </w:r>
          </w:p>
        </w:tc>
        <w:tc>
          <w:tcPr>
            <w:tcW w:w="0" w:type="auto"/>
            <w:vMerge w:val="continue"/>
            <w:vAlign w:val="center"/>
          </w:tcPr>
          <w:p w14:paraId="4F9CF9E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542CE2B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049F7A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79DAA23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538EF51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E5C979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bottom w:val="nil"/>
            </w:tcBorders>
            <w:vAlign w:val="center"/>
          </w:tcPr>
          <w:p w14:paraId="312F825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6A76C2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tcBorders>
            <w:vAlign w:val="center"/>
          </w:tcPr>
          <w:p w14:paraId="5FED621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924" w:type="dxa"/>
            <w:vAlign w:val="center"/>
          </w:tcPr>
          <w:p w14:paraId="30D82C1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中级及普通轿车</w:t>
            </w:r>
          </w:p>
        </w:tc>
        <w:tc>
          <w:tcPr>
            <w:tcW w:w="850" w:type="dxa"/>
            <w:vAlign w:val="center"/>
          </w:tcPr>
          <w:p w14:paraId="701F9F1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23.7</w:t>
            </w:r>
          </w:p>
        </w:tc>
        <w:tc>
          <w:tcPr>
            <w:tcW w:w="0" w:type="auto"/>
            <w:vMerge w:val="continue"/>
            <w:vAlign w:val="center"/>
          </w:tcPr>
          <w:p w14:paraId="0826BBB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50FC92F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381B39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0" w:hRule="atLeast"/>
          <w:jc w:val="center"/>
        </w:trPr>
        <w:tc>
          <w:tcPr>
            <w:tcW w:w="0" w:type="auto"/>
            <w:vMerge w:val="continue"/>
            <w:vAlign w:val="center"/>
          </w:tcPr>
          <w:p w14:paraId="7536FF9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59F7F3A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184B700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bottom w:val="nil"/>
            </w:tcBorders>
            <w:vAlign w:val="center"/>
          </w:tcPr>
          <w:p w14:paraId="2115FAB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633FF21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tcBorders>
              <w:bottom w:val="nil"/>
            </w:tcBorders>
            <w:vAlign w:val="center"/>
          </w:tcPr>
          <w:p w14:paraId="2737D56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9&lt;L≤10</w:t>
            </w:r>
          </w:p>
        </w:tc>
        <w:tc>
          <w:tcPr>
            <w:tcW w:w="1924" w:type="dxa"/>
            <w:vAlign w:val="center"/>
          </w:tcPr>
          <w:p w14:paraId="24033B0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高级车</w:t>
            </w:r>
          </w:p>
        </w:tc>
        <w:tc>
          <w:tcPr>
            <w:tcW w:w="850" w:type="dxa"/>
            <w:vAlign w:val="center"/>
          </w:tcPr>
          <w:p w14:paraId="2AFBFDC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23.9</w:t>
            </w:r>
          </w:p>
        </w:tc>
        <w:tc>
          <w:tcPr>
            <w:tcW w:w="0" w:type="auto"/>
            <w:vMerge w:val="continue"/>
            <w:vAlign w:val="center"/>
          </w:tcPr>
          <w:p w14:paraId="2044197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6F9166A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4DDBBC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0" w:hRule="atLeast"/>
          <w:jc w:val="center"/>
        </w:trPr>
        <w:tc>
          <w:tcPr>
            <w:tcW w:w="0" w:type="auto"/>
            <w:vMerge w:val="continue"/>
            <w:vAlign w:val="center"/>
          </w:tcPr>
          <w:p w14:paraId="0778FB6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475252F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3C45F42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tcBorders>
            <w:vAlign w:val="center"/>
          </w:tcPr>
          <w:p w14:paraId="62B4198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3244A4C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tcBorders>
            <w:vAlign w:val="center"/>
          </w:tcPr>
          <w:p w14:paraId="0E71C0A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924" w:type="dxa"/>
            <w:vAlign w:val="center"/>
          </w:tcPr>
          <w:p w14:paraId="3CF9A60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中级及普通轿车</w:t>
            </w:r>
          </w:p>
        </w:tc>
        <w:tc>
          <w:tcPr>
            <w:tcW w:w="850" w:type="dxa"/>
            <w:vAlign w:val="center"/>
          </w:tcPr>
          <w:p w14:paraId="5062698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20.3</w:t>
            </w:r>
          </w:p>
        </w:tc>
        <w:tc>
          <w:tcPr>
            <w:tcW w:w="0" w:type="auto"/>
            <w:vMerge w:val="continue"/>
            <w:vAlign w:val="center"/>
          </w:tcPr>
          <w:p w14:paraId="6A78235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1DF151C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6365D4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01E024D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0EF1F00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290E3B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tcBorders>
              <w:bottom w:val="nil"/>
            </w:tcBorders>
            <w:vAlign w:val="center"/>
          </w:tcPr>
          <w:p w14:paraId="3B7C479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中型客车</w:t>
            </w:r>
          </w:p>
        </w:tc>
        <w:tc>
          <w:tcPr>
            <w:tcW w:w="0" w:type="auto"/>
            <w:vMerge w:val="continue"/>
            <w:vAlign w:val="center"/>
          </w:tcPr>
          <w:p w14:paraId="29D3EFA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tcBorders>
              <w:bottom w:val="nil"/>
            </w:tcBorders>
            <w:vAlign w:val="center"/>
          </w:tcPr>
          <w:p w14:paraId="429CEA0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8&lt;L≤9</w:t>
            </w:r>
          </w:p>
        </w:tc>
        <w:tc>
          <w:tcPr>
            <w:tcW w:w="1924" w:type="dxa"/>
            <w:vAlign w:val="center"/>
          </w:tcPr>
          <w:p w14:paraId="18CACFA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高级车</w:t>
            </w:r>
          </w:p>
        </w:tc>
        <w:tc>
          <w:tcPr>
            <w:tcW w:w="850" w:type="dxa"/>
            <w:vAlign w:val="center"/>
          </w:tcPr>
          <w:p w14:paraId="378D33F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20.8</w:t>
            </w:r>
          </w:p>
        </w:tc>
        <w:tc>
          <w:tcPr>
            <w:tcW w:w="0" w:type="auto"/>
            <w:vMerge w:val="continue"/>
            <w:vAlign w:val="center"/>
          </w:tcPr>
          <w:p w14:paraId="3F0EDBE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3816F29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6598CC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0" w:hRule="atLeast"/>
          <w:jc w:val="center"/>
        </w:trPr>
        <w:tc>
          <w:tcPr>
            <w:tcW w:w="0" w:type="auto"/>
            <w:vMerge w:val="continue"/>
            <w:vAlign w:val="center"/>
          </w:tcPr>
          <w:p w14:paraId="54A6D09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1E9DA6D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11692D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bottom w:val="nil"/>
            </w:tcBorders>
            <w:vAlign w:val="center"/>
          </w:tcPr>
          <w:p w14:paraId="7A0B60C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18C67A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tcBorders>
            <w:vAlign w:val="center"/>
          </w:tcPr>
          <w:p w14:paraId="2270E50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924" w:type="dxa"/>
            <w:vAlign w:val="center"/>
          </w:tcPr>
          <w:p w14:paraId="600E3CD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中级及普通轿车</w:t>
            </w:r>
          </w:p>
        </w:tc>
        <w:tc>
          <w:tcPr>
            <w:tcW w:w="850" w:type="dxa"/>
            <w:vAlign w:val="center"/>
          </w:tcPr>
          <w:p w14:paraId="1D3FF58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17.9</w:t>
            </w:r>
          </w:p>
        </w:tc>
        <w:tc>
          <w:tcPr>
            <w:tcW w:w="0" w:type="auto"/>
            <w:vMerge w:val="continue"/>
            <w:vAlign w:val="center"/>
          </w:tcPr>
          <w:p w14:paraId="39BAAFC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49F5610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5F48E4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31E434A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1AC46E4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CC6F5C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bottom w:val="nil"/>
            </w:tcBorders>
            <w:vAlign w:val="center"/>
          </w:tcPr>
          <w:p w14:paraId="77CEB8CA">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509408E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tcBorders>
              <w:bottom w:val="nil"/>
            </w:tcBorders>
            <w:vAlign w:val="center"/>
          </w:tcPr>
          <w:p w14:paraId="5A2678E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7&lt;L≤8</w:t>
            </w:r>
          </w:p>
        </w:tc>
        <w:tc>
          <w:tcPr>
            <w:tcW w:w="1924" w:type="dxa"/>
            <w:vAlign w:val="center"/>
          </w:tcPr>
          <w:p w14:paraId="10FA3BB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高级车</w:t>
            </w:r>
          </w:p>
        </w:tc>
        <w:tc>
          <w:tcPr>
            <w:tcW w:w="850" w:type="dxa"/>
            <w:vAlign w:val="center"/>
          </w:tcPr>
          <w:p w14:paraId="6AD0F17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18.6</w:t>
            </w:r>
          </w:p>
        </w:tc>
        <w:tc>
          <w:tcPr>
            <w:tcW w:w="0" w:type="auto"/>
            <w:vMerge w:val="continue"/>
            <w:vAlign w:val="center"/>
          </w:tcPr>
          <w:p w14:paraId="6CCBEE8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668A361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33E985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0A6915F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7C7C465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46A499B5">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bottom w:val="nil"/>
            </w:tcBorders>
            <w:vAlign w:val="center"/>
          </w:tcPr>
          <w:p w14:paraId="33A97D8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0840CC6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tcBorders>
            <w:vAlign w:val="center"/>
          </w:tcPr>
          <w:p w14:paraId="38ED6B2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924" w:type="dxa"/>
            <w:vAlign w:val="center"/>
          </w:tcPr>
          <w:p w14:paraId="0734565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中级及普通轿车</w:t>
            </w:r>
          </w:p>
        </w:tc>
        <w:tc>
          <w:tcPr>
            <w:tcW w:w="850" w:type="dxa"/>
            <w:vAlign w:val="center"/>
          </w:tcPr>
          <w:p w14:paraId="7DE110A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rPr>
            </w:pPr>
            <w:r>
              <w:rPr>
                <w:rFonts w:hint="default" w:ascii="Times New Roman" w:hAnsi="Times New Roman" w:eastAsia="Times New Roman" w:cs="Times New Roman"/>
                <w:snapToGrid w:val="0"/>
                <w:color w:val="000000"/>
                <w:spacing w:val="0"/>
                <w:kern w:val="0"/>
                <w:position w:val="0"/>
                <w:sz w:val="24"/>
                <w:szCs w:val="24"/>
                <w:lang w:eastAsia="en-US"/>
              </w:rPr>
              <w:t>16</w:t>
            </w:r>
            <w:r>
              <w:rPr>
                <w:rFonts w:hint="default" w:ascii="Times New Roman" w:hAnsi="Times New Roman" w:eastAsia="Times New Roman" w:cs="Times New Roman"/>
                <w:snapToGrid w:val="0"/>
                <w:color w:val="000000"/>
                <w:spacing w:val="0"/>
                <w:kern w:val="0"/>
                <w:position w:val="0"/>
                <w:sz w:val="24"/>
                <w:szCs w:val="24"/>
              </w:rPr>
              <w:t>.0</w:t>
            </w:r>
          </w:p>
        </w:tc>
        <w:tc>
          <w:tcPr>
            <w:tcW w:w="0" w:type="auto"/>
            <w:vMerge w:val="continue"/>
            <w:vAlign w:val="center"/>
          </w:tcPr>
          <w:p w14:paraId="3E49010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11BA520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1787BF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20A5DBE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15F1B8E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754F788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bottom w:val="nil"/>
            </w:tcBorders>
            <w:vAlign w:val="center"/>
          </w:tcPr>
          <w:p w14:paraId="04CF50C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05B6AD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tcBorders>
              <w:bottom w:val="nil"/>
            </w:tcBorders>
            <w:vAlign w:val="center"/>
          </w:tcPr>
          <w:p w14:paraId="6E1F886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6&lt;L≤7</w:t>
            </w:r>
          </w:p>
        </w:tc>
        <w:tc>
          <w:tcPr>
            <w:tcW w:w="1924" w:type="dxa"/>
            <w:vAlign w:val="center"/>
          </w:tcPr>
          <w:p w14:paraId="4AC1F698">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高级车</w:t>
            </w:r>
          </w:p>
        </w:tc>
        <w:tc>
          <w:tcPr>
            <w:tcW w:w="850" w:type="dxa"/>
            <w:vAlign w:val="center"/>
          </w:tcPr>
          <w:p w14:paraId="0E1E113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15.7</w:t>
            </w:r>
          </w:p>
        </w:tc>
        <w:tc>
          <w:tcPr>
            <w:tcW w:w="0" w:type="auto"/>
            <w:vMerge w:val="continue"/>
            <w:vAlign w:val="center"/>
          </w:tcPr>
          <w:p w14:paraId="328654D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6670FC3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7031A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4DDC2A3E">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124D5941">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3C65C61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tcBorders>
            <w:vAlign w:val="center"/>
          </w:tcPr>
          <w:p w14:paraId="276D320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3250FE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tcBorders>
              <w:top w:val="nil"/>
            </w:tcBorders>
            <w:vAlign w:val="center"/>
          </w:tcPr>
          <w:p w14:paraId="5FE1120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924" w:type="dxa"/>
            <w:vAlign w:val="center"/>
          </w:tcPr>
          <w:p w14:paraId="587E4879">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中级及普通轿车</w:t>
            </w:r>
          </w:p>
        </w:tc>
        <w:tc>
          <w:tcPr>
            <w:tcW w:w="850" w:type="dxa"/>
            <w:vAlign w:val="center"/>
          </w:tcPr>
          <w:p w14:paraId="7FAF3C4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14.7</w:t>
            </w:r>
          </w:p>
        </w:tc>
        <w:tc>
          <w:tcPr>
            <w:tcW w:w="0" w:type="auto"/>
            <w:vMerge w:val="continue"/>
            <w:vAlign w:val="center"/>
          </w:tcPr>
          <w:p w14:paraId="00A9107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70EA865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182FF8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0" w:type="auto"/>
            <w:vMerge w:val="continue"/>
            <w:vAlign w:val="center"/>
          </w:tcPr>
          <w:p w14:paraId="3AF12B5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51185BA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continue"/>
            <w:vAlign w:val="center"/>
          </w:tcPr>
          <w:p w14:paraId="2E80241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vAlign w:val="center"/>
          </w:tcPr>
          <w:p w14:paraId="04F4DF0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小型客车</w:t>
            </w:r>
          </w:p>
        </w:tc>
        <w:tc>
          <w:tcPr>
            <w:tcW w:w="0" w:type="auto"/>
            <w:vMerge w:val="continue"/>
            <w:vAlign w:val="center"/>
          </w:tcPr>
          <w:p w14:paraId="411C8EC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0" w:type="auto"/>
            <w:vMerge w:val="restart"/>
            <w:vAlign w:val="center"/>
          </w:tcPr>
          <w:p w14:paraId="7F9EE2A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L≤6</w:t>
            </w:r>
          </w:p>
        </w:tc>
        <w:tc>
          <w:tcPr>
            <w:tcW w:w="1924" w:type="dxa"/>
            <w:vAlign w:val="center"/>
          </w:tcPr>
          <w:p w14:paraId="0D690F0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高级车</w:t>
            </w:r>
          </w:p>
        </w:tc>
        <w:tc>
          <w:tcPr>
            <w:tcW w:w="850" w:type="dxa"/>
            <w:vAlign w:val="center"/>
          </w:tcPr>
          <w:p w14:paraId="1271955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14.9</w:t>
            </w:r>
          </w:p>
        </w:tc>
        <w:tc>
          <w:tcPr>
            <w:tcW w:w="0" w:type="auto"/>
            <w:vMerge w:val="continue"/>
            <w:vAlign w:val="center"/>
          </w:tcPr>
          <w:p w14:paraId="2A7C289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782E02D7">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r w14:paraId="7300A7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791" w:type="dxa"/>
            <w:vMerge w:val="continue"/>
            <w:vAlign w:val="center"/>
          </w:tcPr>
          <w:p w14:paraId="034CE86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960" w:type="dxa"/>
            <w:vMerge w:val="continue"/>
            <w:vAlign w:val="center"/>
          </w:tcPr>
          <w:p w14:paraId="387CF97C">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509" w:type="dxa"/>
            <w:vMerge w:val="continue"/>
            <w:vAlign w:val="center"/>
          </w:tcPr>
          <w:p w14:paraId="2D7BCEC3">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200" w:type="dxa"/>
            <w:vMerge w:val="continue"/>
            <w:vAlign w:val="center"/>
          </w:tcPr>
          <w:p w14:paraId="01B7C89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720" w:type="dxa"/>
            <w:vMerge w:val="continue"/>
            <w:vAlign w:val="center"/>
          </w:tcPr>
          <w:p w14:paraId="0297E43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2146" w:type="dxa"/>
            <w:vMerge w:val="continue"/>
            <w:vAlign w:val="center"/>
          </w:tcPr>
          <w:p w14:paraId="181BAA4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924" w:type="dxa"/>
            <w:vAlign w:val="center"/>
          </w:tcPr>
          <w:p w14:paraId="7860B736">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中级及普通轿车</w:t>
            </w:r>
          </w:p>
        </w:tc>
        <w:tc>
          <w:tcPr>
            <w:tcW w:w="850" w:type="dxa"/>
            <w:vAlign w:val="center"/>
          </w:tcPr>
          <w:p w14:paraId="31617F22">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szCs w:val="24"/>
                <w:lang w:eastAsia="en-US"/>
              </w:rPr>
            </w:pPr>
            <w:r>
              <w:rPr>
                <w:rFonts w:hint="default" w:ascii="Times New Roman" w:hAnsi="Times New Roman" w:eastAsia="Times New Roman" w:cs="Times New Roman"/>
                <w:snapToGrid w:val="0"/>
                <w:color w:val="000000"/>
                <w:spacing w:val="0"/>
                <w:kern w:val="0"/>
                <w:position w:val="0"/>
                <w:sz w:val="24"/>
                <w:szCs w:val="24"/>
                <w:lang w:eastAsia="en-US"/>
              </w:rPr>
              <w:t>13.5</w:t>
            </w:r>
          </w:p>
        </w:tc>
        <w:tc>
          <w:tcPr>
            <w:tcW w:w="981" w:type="dxa"/>
            <w:vMerge w:val="continue"/>
            <w:vAlign w:val="center"/>
          </w:tcPr>
          <w:p w14:paraId="04570E0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c>
          <w:tcPr>
            <w:tcW w:w="1179" w:type="dxa"/>
            <w:vMerge w:val="continue"/>
            <w:vAlign w:val="center"/>
          </w:tcPr>
          <w:p w14:paraId="1AC0D6E4">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default" w:ascii="Times New Roman" w:hAnsi="Times New Roman" w:eastAsia="Times New Roman" w:cs="Times New Roman"/>
                <w:snapToGrid w:val="0"/>
                <w:color w:val="000000"/>
                <w:spacing w:val="0"/>
                <w:kern w:val="0"/>
                <w:position w:val="0"/>
                <w:sz w:val="24"/>
                <w:lang w:eastAsia="en-US"/>
              </w:rPr>
            </w:pPr>
          </w:p>
        </w:tc>
      </w:tr>
    </w:tbl>
    <w:p w14:paraId="4487643F">
      <w:pPr>
        <w:pStyle w:val="2"/>
        <w:bidi w:val="0"/>
        <w:rPr>
          <w:rFonts w:hint="eastAsia"/>
        </w:rPr>
      </w:pPr>
      <w:r>
        <w:rPr>
          <w:rFonts w:hint="eastAsia"/>
          <w:lang w:val="en-US" w:eastAsia="zh-CN"/>
        </w:rPr>
        <w:t>事项说明</w:t>
      </w:r>
    </w:p>
    <w:p w14:paraId="2C4280F6">
      <w:pPr>
        <w:pStyle w:val="3"/>
        <w:bidi w:val="0"/>
        <w:rPr>
          <w:rFonts w:hint="eastAsia"/>
        </w:rPr>
      </w:pPr>
      <w:r>
        <w:rPr>
          <w:rFonts w:hint="eastAsia"/>
        </w:rPr>
        <w:t>主要试验（或验证）情况分析</w:t>
      </w:r>
    </w:p>
    <w:p w14:paraId="2578E90E">
      <w:pPr>
        <w:pStyle w:val="5"/>
        <w:bidi w:val="0"/>
        <w:rPr>
          <w:rFonts w:hint="eastAsia"/>
        </w:rPr>
      </w:pPr>
      <w:r>
        <w:rPr>
          <w:rFonts w:hint="eastAsia"/>
        </w:rPr>
        <w:t>暂无。</w:t>
      </w:r>
    </w:p>
    <w:p w14:paraId="0CF05F7C">
      <w:pPr>
        <w:pStyle w:val="3"/>
        <w:bidi w:val="0"/>
        <w:rPr>
          <w:rFonts w:hint="eastAsia"/>
        </w:rPr>
      </w:pPr>
      <w:r>
        <w:rPr>
          <w:rFonts w:hint="eastAsia"/>
        </w:rPr>
        <w:t>标准中涉及专利的情况</w:t>
      </w:r>
    </w:p>
    <w:p w14:paraId="153C3EB3">
      <w:pPr>
        <w:pStyle w:val="5"/>
        <w:bidi w:val="0"/>
        <w:rPr>
          <w:rFonts w:hint="eastAsia"/>
        </w:rPr>
      </w:pPr>
      <w:r>
        <w:rPr>
          <w:rFonts w:hint="eastAsia"/>
        </w:rPr>
        <w:t>暂无。</w:t>
      </w:r>
    </w:p>
    <w:p w14:paraId="477018FD">
      <w:pPr>
        <w:pStyle w:val="3"/>
        <w:bidi w:val="0"/>
        <w:rPr>
          <w:rFonts w:hint="eastAsia"/>
        </w:rPr>
      </w:pPr>
      <w:r>
        <w:rPr>
          <w:rFonts w:hint="eastAsia"/>
        </w:rPr>
        <w:t>预期达到的社会效益、对产业发展的作用的情况</w:t>
      </w:r>
    </w:p>
    <w:p w14:paraId="3AE46EB3">
      <w:pPr>
        <w:pStyle w:val="5"/>
        <w:bidi w:val="0"/>
        <w:rPr>
          <w:rFonts w:hint="eastAsia"/>
        </w:rPr>
      </w:pPr>
      <w:r>
        <w:rPr>
          <w:rFonts w:hint="eastAsia"/>
        </w:rPr>
        <w:t>本标准的制定参考了已经发布的国标和该专业领域内重点关注行业的标准，结合对减排场景的调研和收集相关数据，通过该标准能够较为公正、客观的反应公交出行行为碳减排量化。遵循本标准可以对公交出行行为碳减排相关方提供温室气体减排量核算的依据，也可提供给公民自我监测、管理的手段。</w:t>
      </w:r>
    </w:p>
    <w:p w14:paraId="0CDC5C26">
      <w:pPr>
        <w:pStyle w:val="3"/>
        <w:bidi w:val="0"/>
        <w:rPr>
          <w:rFonts w:hint="eastAsia"/>
        </w:rPr>
      </w:pPr>
      <w:r>
        <w:rPr>
          <w:rFonts w:hint="eastAsia"/>
        </w:rPr>
        <w:t>采用国际标准和国外先进标准情况，与国际、国外同类标准水平的对比情况，国内外关键指标对比分析或与测试的国外样品、样机的相关数据对比情况</w:t>
      </w:r>
    </w:p>
    <w:p w14:paraId="46D317EA">
      <w:pPr>
        <w:pStyle w:val="5"/>
        <w:bidi w:val="0"/>
        <w:rPr>
          <w:rFonts w:hint="eastAsia"/>
          <w:lang w:eastAsia="zh-CN"/>
        </w:rPr>
      </w:pPr>
      <w:r>
        <w:rPr>
          <w:rFonts w:hint="eastAsia"/>
        </w:rPr>
        <w:t>无</w:t>
      </w:r>
      <w:r>
        <w:rPr>
          <w:rFonts w:hint="eastAsia"/>
          <w:lang w:eastAsia="zh-CN"/>
        </w:rPr>
        <w:t>。</w:t>
      </w:r>
    </w:p>
    <w:p w14:paraId="4AAA6CA8">
      <w:pPr>
        <w:pStyle w:val="3"/>
        <w:bidi w:val="0"/>
        <w:rPr>
          <w:rFonts w:hint="eastAsia"/>
          <w:lang w:eastAsia="zh-CN"/>
        </w:rPr>
      </w:pPr>
      <w:r>
        <w:rPr>
          <w:rFonts w:hint="eastAsia"/>
          <w:lang w:eastAsia="zh-CN"/>
        </w:rPr>
        <w:t>在标准体系中的位置，与现行相关法律、法规、规章及相关标准，特别是强制性标准的协调性</w:t>
      </w:r>
    </w:p>
    <w:p w14:paraId="7D8DB0D5">
      <w:pPr>
        <w:pStyle w:val="5"/>
        <w:bidi w:val="0"/>
        <w:rPr>
          <w:rFonts w:hint="eastAsia"/>
          <w:lang w:eastAsia="zh-CN"/>
        </w:rPr>
      </w:pPr>
      <w:r>
        <w:rPr>
          <w:rFonts w:hint="eastAsia"/>
          <w:lang w:eastAsia="zh-CN"/>
        </w:rPr>
        <w:t>本标准属于团体标准，与现行法律、法规、规章和政策以及有关基础和相关标准不矛盾。</w:t>
      </w:r>
    </w:p>
    <w:p w14:paraId="5C84279D">
      <w:pPr>
        <w:pStyle w:val="3"/>
        <w:bidi w:val="0"/>
        <w:rPr>
          <w:rFonts w:hint="eastAsia"/>
          <w:lang w:eastAsia="zh-CN"/>
        </w:rPr>
      </w:pPr>
      <w:r>
        <w:rPr>
          <w:rFonts w:hint="eastAsia"/>
          <w:lang w:eastAsia="zh-CN"/>
        </w:rPr>
        <w:t>重大分歧意见的处理经过和依据</w:t>
      </w:r>
    </w:p>
    <w:p w14:paraId="41C9CF81">
      <w:pPr>
        <w:pStyle w:val="5"/>
        <w:bidi w:val="0"/>
        <w:rPr>
          <w:rFonts w:hint="eastAsia"/>
          <w:lang w:eastAsia="zh-CN"/>
        </w:rPr>
      </w:pPr>
      <w:r>
        <w:rPr>
          <w:rFonts w:hint="eastAsia"/>
          <w:lang w:eastAsia="zh-CN"/>
        </w:rPr>
        <w:t>本标准未产生重大分歧意见。</w:t>
      </w:r>
    </w:p>
    <w:p w14:paraId="6BCA01E5">
      <w:pPr>
        <w:pStyle w:val="3"/>
        <w:bidi w:val="0"/>
        <w:rPr>
          <w:rFonts w:hint="eastAsia"/>
          <w:lang w:eastAsia="zh-CN"/>
        </w:rPr>
      </w:pPr>
      <w:r>
        <w:rPr>
          <w:rFonts w:hint="eastAsia"/>
          <w:lang w:eastAsia="zh-CN"/>
        </w:rPr>
        <w:t>标准性质的建议说明</w:t>
      </w:r>
    </w:p>
    <w:p w14:paraId="5729DD74">
      <w:pPr>
        <w:pStyle w:val="5"/>
        <w:bidi w:val="0"/>
        <w:rPr>
          <w:rFonts w:hint="eastAsia"/>
          <w:lang w:eastAsia="zh-CN"/>
        </w:rPr>
      </w:pPr>
      <w:r>
        <w:rPr>
          <w:rFonts w:hint="eastAsia"/>
          <w:lang w:eastAsia="zh-CN"/>
        </w:rPr>
        <w:t>本标准属于团体标准，供协会会员和社会自愿使用。</w:t>
      </w:r>
    </w:p>
    <w:p w14:paraId="37982788">
      <w:pPr>
        <w:pStyle w:val="3"/>
        <w:bidi w:val="0"/>
        <w:rPr>
          <w:rFonts w:hint="eastAsia"/>
          <w:lang w:eastAsia="zh-CN"/>
        </w:rPr>
      </w:pPr>
      <w:r>
        <w:rPr>
          <w:rFonts w:hint="eastAsia"/>
          <w:lang w:eastAsia="zh-CN"/>
        </w:rPr>
        <w:t>贯彻标准的要求和措施建议</w:t>
      </w:r>
    </w:p>
    <w:p w14:paraId="6B1B1669">
      <w:pPr>
        <w:pStyle w:val="5"/>
        <w:bidi w:val="0"/>
        <w:rPr>
          <w:rFonts w:hint="eastAsia"/>
          <w:lang w:eastAsia="zh-CN"/>
        </w:rPr>
      </w:pPr>
      <w:r>
        <w:rPr>
          <w:rFonts w:hint="eastAsia"/>
          <w:lang w:eastAsia="zh-CN"/>
        </w:rPr>
        <w:t>本标准为首次发布。</w:t>
      </w:r>
    </w:p>
    <w:p w14:paraId="632BD23E">
      <w:pPr>
        <w:pStyle w:val="3"/>
        <w:bidi w:val="0"/>
        <w:rPr>
          <w:rFonts w:hint="eastAsia"/>
          <w:lang w:eastAsia="zh-CN"/>
        </w:rPr>
      </w:pPr>
      <w:r>
        <w:rPr>
          <w:rFonts w:hint="eastAsia"/>
          <w:lang w:eastAsia="zh-CN"/>
        </w:rPr>
        <w:t>废止现行相关标准的建议</w:t>
      </w:r>
    </w:p>
    <w:p w14:paraId="0CF21BE7">
      <w:pPr>
        <w:pStyle w:val="5"/>
        <w:bidi w:val="0"/>
        <w:rPr>
          <w:rFonts w:hint="eastAsia"/>
          <w:lang w:eastAsia="zh-CN"/>
        </w:rPr>
      </w:pPr>
      <w:r>
        <w:rPr>
          <w:rFonts w:hint="eastAsia"/>
          <w:lang w:eastAsia="zh-CN"/>
        </w:rPr>
        <w:t>无。</w:t>
      </w:r>
    </w:p>
    <w:sectPr>
      <w:footerReference r:id="rId8" w:type="default"/>
      <w:footerReference r:id="rId9" w:type="even"/>
      <w:pgSz w:w="11906" w:h="16838"/>
      <w:pgMar w:top="2098" w:right="1247" w:bottom="1758" w:left="1588" w:header="1134" w:footer="1503" w:gutter="0"/>
      <w:pgNumType w:start="1"/>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200247B" w:usb2="00000009" w:usb3="00000000" w:csb0="200001FF"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9850149"/>
      <w:docPartObj>
        <w:docPartGallery w:val="autotext"/>
      </w:docPartObj>
    </w:sdtPr>
    <w:sdtContent>
      <w:sdt>
        <w:sdtPr>
          <w:id w:val="840666827"/>
          <w:docPartObj>
            <w:docPartGallery w:val="autotext"/>
          </w:docPartObj>
        </w:sdtPr>
        <w:sdtContent>
          <w:p w14:paraId="409E5F20">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0696592"/>
      <w:docPartObj>
        <w:docPartGallery w:val="autotext"/>
      </w:docPartObj>
    </w:sdtPr>
    <w:sdtContent>
      <w:p w14:paraId="021B5B35">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- 1 -</w:t>
        </w:r>
        <w:r>
          <w:rPr>
            <w:rFonts w:ascii="宋体" w:hAnsi="宋体" w:eastAsia="宋体"/>
            <w:sz w:val="28"/>
            <w:szCs w:val="2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1949"/>
      <w:docPartObj>
        <w:docPartGallery w:val="autotext"/>
      </w:docPartObj>
    </w:sdtPr>
    <w:sdtContent>
      <w:sdt>
        <w:sdtPr>
          <w:id w:val="147473470"/>
          <w:docPartObj>
            <w:docPartGallery w:val="autotext"/>
          </w:docPartObj>
        </w:sdtPr>
        <w:sdtContent>
          <w:p w14:paraId="103DBF2E">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2242"/>
      <w:docPartObj>
        <w:docPartGallery w:val="autotext"/>
      </w:docPartObj>
    </w:sdtPr>
    <w:sdtContent>
      <w:p w14:paraId="55DA3FA1">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- 1 -</w:t>
        </w:r>
        <w:r>
          <w:rPr>
            <w:rFonts w:ascii="宋体" w:hAnsi="宋体" w:eastAsia="宋体"/>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pPr>
        <w:spacing w:line="360" w:lineRule="auto"/>
        <w:ind w:firstLine="480"/>
      </w:pPr>
      <w:r>
        <w:separator/>
      </w:r>
    </w:p>
  </w:footnote>
  <w:footnote w:type="continuationSeparator" w:id="3">
    <w:p>
      <w:pPr>
        <w:spacing w:line="360" w:lineRule="auto"/>
        <w:ind w:firstLine="480"/>
      </w:pPr>
      <w:r>
        <w:continuationSeparator/>
      </w:r>
    </w:p>
  </w:footnote>
  <w:footnote w:id="0">
    <w:p w14:paraId="7FB3A05D">
      <w:pPr>
        <w:pStyle w:val="23"/>
        <w:snapToGrid w:val="0"/>
      </w:pPr>
      <w:r>
        <w:rPr>
          <w:rStyle w:val="33"/>
        </w:rPr>
        <w:footnoteRef/>
      </w:r>
      <w:r>
        <w:t xml:space="preserve"> </w:t>
      </w:r>
      <w:r>
        <w:rPr>
          <w:rFonts w:hint="default"/>
        </w:rPr>
        <w:t>注：</w:t>
      </w:r>
      <w:r>
        <w:rPr>
          <w:rFonts w:hint="eastAsia"/>
          <w:lang w:val="en-US" w:eastAsia="zh-CN"/>
        </w:rPr>
        <w:t>1.车辆分类</w:t>
      </w:r>
      <w:r>
        <w:rPr>
          <w:rFonts w:hint="default"/>
        </w:rPr>
        <w:t>按照GB/T 15089-2001，M</w:t>
      </w:r>
      <w:r>
        <w:rPr>
          <w:rFonts w:hint="default"/>
          <w:lang w:val="en-US" w:eastAsia="zh-CN"/>
        </w:rPr>
        <w:t>2</w:t>
      </w:r>
      <w:r>
        <w:rPr>
          <w:rFonts w:hint="default"/>
        </w:rPr>
        <w:t>类车辆为包括驾驶员座位在内座位数超过九个，最大设计总质量不超过5000kg载客车辆；M</w:t>
      </w:r>
      <w:r>
        <w:rPr>
          <w:rFonts w:hint="default"/>
          <w:lang w:val="en-US" w:eastAsia="zh-CN"/>
        </w:rPr>
        <w:t>3</w:t>
      </w:r>
      <w:r>
        <w:rPr>
          <w:rFonts w:hint="default"/>
        </w:rPr>
        <w:t>类车辆为包括驾驶员座位在内座位数超过九个，且最大设计总质量超过5000kg的载客车辆。</w:t>
      </w:r>
      <w:r>
        <w:rPr>
          <w:rFonts w:hint="eastAsia"/>
          <w:lang w:val="en-US" w:eastAsia="zh-CN"/>
        </w:rPr>
        <w:t>2.</w:t>
      </w:r>
      <w:r>
        <w:rPr>
          <w:rFonts w:hint="default"/>
        </w:rPr>
        <w:t>对于柴油车</w:t>
      </w:r>
      <w:r>
        <w:rPr>
          <w:rFonts w:hint="eastAsia"/>
          <w:lang w:eastAsia="zh-CN"/>
        </w:rPr>
        <w:t>，</w:t>
      </w:r>
      <w:r>
        <w:rPr>
          <w:rFonts w:hint="default"/>
        </w:rPr>
        <w:t>其限值是表中相应限值；对于汽油车，其限值是表中相应限值乘以1.3；每1kg液化天然气燃料消耗量相当于1.4m³压缩天然气的燃料消耗量</w:t>
      </w:r>
      <w:r>
        <w:rPr>
          <w:rFonts w:hint="eastAsia"/>
          <w:lang w:eastAsia="zh-C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74F98">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410C92"/>
    <w:multiLevelType w:val="multilevel"/>
    <w:tmpl w:val="41410C92"/>
    <w:lvl w:ilvl="0" w:tentative="0">
      <w:start w:val="1"/>
      <w:numFmt w:val="chineseCountingThousand"/>
      <w:pStyle w:val="2"/>
      <w:suff w:val="nothing"/>
      <w:lvlText w:val="%1、"/>
      <w:lvlJc w:val="left"/>
      <w:pPr>
        <w:ind w:left="420" w:firstLine="0"/>
      </w:pPr>
      <w:rPr>
        <w:rFonts w:hint="eastAsia"/>
      </w:rPr>
    </w:lvl>
    <w:lvl w:ilvl="1" w:tentative="0">
      <w:start w:val="1"/>
      <w:numFmt w:val="chineseCountingThousand"/>
      <w:pStyle w:val="3"/>
      <w:suff w:val="nothing"/>
      <w:lvlText w:val="（%2）"/>
      <w:lvlJc w:val="left"/>
      <w:pPr>
        <w:ind w:left="420" w:firstLine="0"/>
      </w:pPr>
      <w:rPr>
        <w:rFonts w:hint="eastAsia"/>
      </w:rPr>
    </w:lvl>
    <w:lvl w:ilvl="2" w:tentative="0">
      <w:start w:val="1"/>
      <w:numFmt w:val="decimal"/>
      <w:pStyle w:val="4"/>
      <w:suff w:val="nothing"/>
      <w:lvlText w:val="%3."/>
      <w:lvlJc w:val="left"/>
      <w:pPr>
        <w:ind w:left="420" w:firstLine="0"/>
      </w:pPr>
      <w:rPr>
        <w:rFonts w:hint="eastAsia"/>
      </w:rPr>
    </w:lvl>
    <w:lvl w:ilvl="3" w:tentative="0">
      <w:start w:val="1"/>
      <w:numFmt w:val="decimal"/>
      <w:pStyle w:val="6"/>
      <w:suff w:val="nothing"/>
      <w:lvlText w:val="（%4）"/>
      <w:lvlJc w:val="left"/>
      <w:pPr>
        <w:ind w:left="420" w:firstLine="0"/>
      </w:pPr>
    </w:lvl>
    <w:lvl w:ilvl="4" w:tentative="0">
      <w:start w:val="1"/>
      <w:numFmt w:val="upperLetter"/>
      <w:suff w:val="nothing"/>
      <w:lvlText w:val="%5."/>
      <w:lvlJc w:val="left"/>
      <w:pPr>
        <w:ind w:left="420" w:firstLine="0"/>
      </w:pPr>
      <w:rPr>
        <w:rFonts w:hint="eastAsia"/>
      </w:rPr>
    </w:lvl>
    <w:lvl w:ilvl="5" w:tentative="0">
      <w:start w:val="1"/>
      <w:numFmt w:val="lowerLetter"/>
      <w:suff w:val="nothing"/>
      <w:lvlText w:val="%6."/>
      <w:lvlJc w:val="left"/>
      <w:pPr>
        <w:ind w:left="420" w:firstLine="0"/>
      </w:pPr>
      <w:rPr>
        <w:rFonts w:hint="eastAsia"/>
      </w:rPr>
    </w:lvl>
    <w:lvl w:ilvl="6" w:tentative="0">
      <w:start w:val="1"/>
      <w:numFmt w:val="upperRoman"/>
      <w:suff w:val="nothing"/>
      <w:lvlText w:val="%7."/>
      <w:lvlJc w:val="left"/>
      <w:pPr>
        <w:ind w:left="420" w:firstLine="0"/>
      </w:pPr>
      <w:rPr>
        <w:rFonts w:hint="eastAsia"/>
      </w:rPr>
    </w:lvl>
    <w:lvl w:ilvl="7" w:tentative="0">
      <w:start w:val="1"/>
      <w:numFmt w:val="lowerRoman"/>
      <w:suff w:val="nothing"/>
      <w:lvlText w:val="%8)"/>
      <w:lvlJc w:val="left"/>
      <w:pPr>
        <w:ind w:left="420" w:firstLine="0"/>
      </w:pPr>
      <w:rPr>
        <w:rFonts w:hint="eastAsia"/>
      </w:rPr>
    </w:lvl>
    <w:lvl w:ilvl="8" w:tentative="0">
      <w:start w:val="1"/>
      <w:numFmt w:val="bullet"/>
      <w:suff w:val="nothing"/>
      <w:lvlText w:val=""/>
      <w:lvlJc w:val="left"/>
      <w:pPr>
        <w:ind w:left="420" w:firstLine="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2"/>
    <w:footnote w:id="3"/>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02B"/>
    <w:rsid w:val="00000E11"/>
    <w:rsid w:val="00000E24"/>
    <w:rsid w:val="00000EDC"/>
    <w:rsid w:val="00006BB1"/>
    <w:rsid w:val="00007AD4"/>
    <w:rsid w:val="00007FA2"/>
    <w:rsid w:val="00011068"/>
    <w:rsid w:val="00011386"/>
    <w:rsid w:val="00013F65"/>
    <w:rsid w:val="0001598E"/>
    <w:rsid w:val="00015F49"/>
    <w:rsid w:val="000160D8"/>
    <w:rsid w:val="0001650D"/>
    <w:rsid w:val="000224A8"/>
    <w:rsid w:val="000240FF"/>
    <w:rsid w:val="000268DF"/>
    <w:rsid w:val="0002790D"/>
    <w:rsid w:val="00032B5A"/>
    <w:rsid w:val="0004226E"/>
    <w:rsid w:val="00042A11"/>
    <w:rsid w:val="0004470D"/>
    <w:rsid w:val="000468B5"/>
    <w:rsid w:val="000477A5"/>
    <w:rsid w:val="00056066"/>
    <w:rsid w:val="00056417"/>
    <w:rsid w:val="000572F0"/>
    <w:rsid w:val="00061E0F"/>
    <w:rsid w:val="00062E1D"/>
    <w:rsid w:val="00064A66"/>
    <w:rsid w:val="00067F92"/>
    <w:rsid w:val="00071320"/>
    <w:rsid w:val="00072A4B"/>
    <w:rsid w:val="00072D50"/>
    <w:rsid w:val="00073AE3"/>
    <w:rsid w:val="00073CC2"/>
    <w:rsid w:val="0007438D"/>
    <w:rsid w:val="00076803"/>
    <w:rsid w:val="000777F6"/>
    <w:rsid w:val="000804E9"/>
    <w:rsid w:val="00084770"/>
    <w:rsid w:val="00085E2A"/>
    <w:rsid w:val="000860A7"/>
    <w:rsid w:val="000872C5"/>
    <w:rsid w:val="000902F8"/>
    <w:rsid w:val="000910FD"/>
    <w:rsid w:val="00093543"/>
    <w:rsid w:val="00095674"/>
    <w:rsid w:val="00095C84"/>
    <w:rsid w:val="0009704C"/>
    <w:rsid w:val="00097BE6"/>
    <w:rsid w:val="000A04F5"/>
    <w:rsid w:val="000A369C"/>
    <w:rsid w:val="000A3890"/>
    <w:rsid w:val="000A4D10"/>
    <w:rsid w:val="000A5FA0"/>
    <w:rsid w:val="000B1EB5"/>
    <w:rsid w:val="000B37FC"/>
    <w:rsid w:val="000B3A03"/>
    <w:rsid w:val="000B412B"/>
    <w:rsid w:val="000B6E02"/>
    <w:rsid w:val="000B7360"/>
    <w:rsid w:val="000C015D"/>
    <w:rsid w:val="000C1494"/>
    <w:rsid w:val="000C24B4"/>
    <w:rsid w:val="000C3279"/>
    <w:rsid w:val="000C366E"/>
    <w:rsid w:val="000C4D83"/>
    <w:rsid w:val="000C4EE0"/>
    <w:rsid w:val="000D165B"/>
    <w:rsid w:val="000D41DA"/>
    <w:rsid w:val="000D57DB"/>
    <w:rsid w:val="000E102A"/>
    <w:rsid w:val="000E2357"/>
    <w:rsid w:val="000E30E1"/>
    <w:rsid w:val="000E3F90"/>
    <w:rsid w:val="000E4E52"/>
    <w:rsid w:val="000E7251"/>
    <w:rsid w:val="000F0020"/>
    <w:rsid w:val="000F13BA"/>
    <w:rsid w:val="000F1B88"/>
    <w:rsid w:val="000F3789"/>
    <w:rsid w:val="000F4A1A"/>
    <w:rsid w:val="000F5041"/>
    <w:rsid w:val="000F5FFF"/>
    <w:rsid w:val="000F6D02"/>
    <w:rsid w:val="000F7345"/>
    <w:rsid w:val="0010251F"/>
    <w:rsid w:val="00103C64"/>
    <w:rsid w:val="00104AD8"/>
    <w:rsid w:val="00106A49"/>
    <w:rsid w:val="00110ABA"/>
    <w:rsid w:val="00111FBE"/>
    <w:rsid w:val="00112B0B"/>
    <w:rsid w:val="0011354A"/>
    <w:rsid w:val="00113FD8"/>
    <w:rsid w:val="00114AA0"/>
    <w:rsid w:val="00115923"/>
    <w:rsid w:val="0011593B"/>
    <w:rsid w:val="001159C5"/>
    <w:rsid w:val="00120A74"/>
    <w:rsid w:val="001214DD"/>
    <w:rsid w:val="00121EE3"/>
    <w:rsid w:val="00122582"/>
    <w:rsid w:val="00122EFD"/>
    <w:rsid w:val="00123C0F"/>
    <w:rsid w:val="0012431B"/>
    <w:rsid w:val="001256DF"/>
    <w:rsid w:val="00126293"/>
    <w:rsid w:val="001274F9"/>
    <w:rsid w:val="00127C25"/>
    <w:rsid w:val="0013072B"/>
    <w:rsid w:val="0013286C"/>
    <w:rsid w:val="001333AC"/>
    <w:rsid w:val="00134B18"/>
    <w:rsid w:val="001351F2"/>
    <w:rsid w:val="00136ABF"/>
    <w:rsid w:val="00137245"/>
    <w:rsid w:val="00141031"/>
    <w:rsid w:val="001434E5"/>
    <w:rsid w:val="00145478"/>
    <w:rsid w:val="00146BDB"/>
    <w:rsid w:val="0014768B"/>
    <w:rsid w:val="0015072A"/>
    <w:rsid w:val="00150C6D"/>
    <w:rsid w:val="00152962"/>
    <w:rsid w:val="00153016"/>
    <w:rsid w:val="001550F0"/>
    <w:rsid w:val="00157AF2"/>
    <w:rsid w:val="00160647"/>
    <w:rsid w:val="001608DB"/>
    <w:rsid w:val="001609A7"/>
    <w:rsid w:val="00162AC3"/>
    <w:rsid w:val="00163E71"/>
    <w:rsid w:val="0016702B"/>
    <w:rsid w:val="0016715A"/>
    <w:rsid w:val="00170377"/>
    <w:rsid w:val="001746D3"/>
    <w:rsid w:val="00174D18"/>
    <w:rsid w:val="00175A36"/>
    <w:rsid w:val="00175F8A"/>
    <w:rsid w:val="00181402"/>
    <w:rsid w:val="001823EC"/>
    <w:rsid w:val="00182BAE"/>
    <w:rsid w:val="0018410D"/>
    <w:rsid w:val="00186CB5"/>
    <w:rsid w:val="0018758B"/>
    <w:rsid w:val="00190735"/>
    <w:rsid w:val="001908C3"/>
    <w:rsid w:val="00191F28"/>
    <w:rsid w:val="001951BD"/>
    <w:rsid w:val="001A00C1"/>
    <w:rsid w:val="001A1B37"/>
    <w:rsid w:val="001A2A68"/>
    <w:rsid w:val="001A711F"/>
    <w:rsid w:val="001B03BA"/>
    <w:rsid w:val="001B0B31"/>
    <w:rsid w:val="001B1AC7"/>
    <w:rsid w:val="001B3BCB"/>
    <w:rsid w:val="001B45EF"/>
    <w:rsid w:val="001B5A99"/>
    <w:rsid w:val="001B6141"/>
    <w:rsid w:val="001C2E49"/>
    <w:rsid w:val="001D0E93"/>
    <w:rsid w:val="001D1B9C"/>
    <w:rsid w:val="001D23B2"/>
    <w:rsid w:val="001D2C0F"/>
    <w:rsid w:val="001D3B12"/>
    <w:rsid w:val="001D3D1A"/>
    <w:rsid w:val="001E1333"/>
    <w:rsid w:val="001E26C3"/>
    <w:rsid w:val="001E557A"/>
    <w:rsid w:val="001E612A"/>
    <w:rsid w:val="001E6574"/>
    <w:rsid w:val="001E7349"/>
    <w:rsid w:val="001F3C0E"/>
    <w:rsid w:val="001F5D1F"/>
    <w:rsid w:val="00202B09"/>
    <w:rsid w:val="002035DA"/>
    <w:rsid w:val="002041EF"/>
    <w:rsid w:val="002076C6"/>
    <w:rsid w:val="00212CCF"/>
    <w:rsid w:val="002132DF"/>
    <w:rsid w:val="002141BD"/>
    <w:rsid w:val="00214D27"/>
    <w:rsid w:val="002314E9"/>
    <w:rsid w:val="00237374"/>
    <w:rsid w:val="00237A15"/>
    <w:rsid w:val="0024380E"/>
    <w:rsid w:val="0024447F"/>
    <w:rsid w:val="00244D0A"/>
    <w:rsid w:val="00246DE6"/>
    <w:rsid w:val="0025034E"/>
    <w:rsid w:val="00251D76"/>
    <w:rsid w:val="002523F3"/>
    <w:rsid w:val="0025269B"/>
    <w:rsid w:val="00253DA2"/>
    <w:rsid w:val="002547AB"/>
    <w:rsid w:val="00254A6E"/>
    <w:rsid w:val="00255014"/>
    <w:rsid w:val="00256502"/>
    <w:rsid w:val="00256D14"/>
    <w:rsid w:val="00260E68"/>
    <w:rsid w:val="002647C2"/>
    <w:rsid w:val="00265745"/>
    <w:rsid w:val="00266B0C"/>
    <w:rsid w:val="002712A8"/>
    <w:rsid w:val="00273EDF"/>
    <w:rsid w:val="0027550F"/>
    <w:rsid w:val="002760E3"/>
    <w:rsid w:val="0029289D"/>
    <w:rsid w:val="00292AC9"/>
    <w:rsid w:val="002937BB"/>
    <w:rsid w:val="00293AD3"/>
    <w:rsid w:val="0029491D"/>
    <w:rsid w:val="002953DE"/>
    <w:rsid w:val="00296266"/>
    <w:rsid w:val="00296FBC"/>
    <w:rsid w:val="00297C90"/>
    <w:rsid w:val="002A4630"/>
    <w:rsid w:val="002A6469"/>
    <w:rsid w:val="002B00FC"/>
    <w:rsid w:val="002B0A5E"/>
    <w:rsid w:val="002B172D"/>
    <w:rsid w:val="002B37A1"/>
    <w:rsid w:val="002B5B4E"/>
    <w:rsid w:val="002C29AF"/>
    <w:rsid w:val="002C33F1"/>
    <w:rsid w:val="002C3E2C"/>
    <w:rsid w:val="002C5B9C"/>
    <w:rsid w:val="002C611A"/>
    <w:rsid w:val="002C6A71"/>
    <w:rsid w:val="002D483A"/>
    <w:rsid w:val="002D6DFF"/>
    <w:rsid w:val="002E10EA"/>
    <w:rsid w:val="002E18D2"/>
    <w:rsid w:val="002E18D6"/>
    <w:rsid w:val="002E27FD"/>
    <w:rsid w:val="002E5F02"/>
    <w:rsid w:val="002E73EF"/>
    <w:rsid w:val="002E7834"/>
    <w:rsid w:val="002F35E8"/>
    <w:rsid w:val="00301267"/>
    <w:rsid w:val="003014C6"/>
    <w:rsid w:val="00301FCA"/>
    <w:rsid w:val="003051E0"/>
    <w:rsid w:val="0030739E"/>
    <w:rsid w:val="0031024F"/>
    <w:rsid w:val="00311980"/>
    <w:rsid w:val="003124F0"/>
    <w:rsid w:val="00313141"/>
    <w:rsid w:val="00313624"/>
    <w:rsid w:val="003138D4"/>
    <w:rsid w:val="003158DA"/>
    <w:rsid w:val="00316498"/>
    <w:rsid w:val="00317007"/>
    <w:rsid w:val="00317445"/>
    <w:rsid w:val="00317871"/>
    <w:rsid w:val="00321CB1"/>
    <w:rsid w:val="00322503"/>
    <w:rsid w:val="003225DA"/>
    <w:rsid w:val="0032309B"/>
    <w:rsid w:val="00325A5B"/>
    <w:rsid w:val="00326BD5"/>
    <w:rsid w:val="003301F2"/>
    <w:rsid w:val="00330B9F"/>
    <w:rsid w:val="003321BF"/>
    <w:rsid w:val="0033277B"/>
    <w:rsid w:val="003336F1"/>
    <w:rsid w:val="0033399A"/>
    <w:rsid w:val="0033449A"/>
    <w:rsid w:val="00335B4B"/>
    <w:rsid w:val="00336AE1"/>
    <w:rsid w:val="00342C3E"/>
    <w:rsid w:val="00343594"/>
    <w:rsid w:val="00343806"/>
    <w:rsid w:val="003442DA"/>
    <w:rsid w:val="00345867"/>
    <w:rsid w:val="0034591F"/>
    <w:rsid w:val="00347918"/>
    <w:rsid w:val="003504B2"/>
    <w:rsid w:val="003543B5"/>
    <w:rsid w:val="0035496C"/>
    <w:rsid w:val="003570F0"/>
    <w:rsid w:val="00357911"/>
    <w:rsid w:val="00362651"/>
    <w:rsid w:val="00367A1E"/>
    <w:rsid w:val="003709E4"/>
    <w:rsid w:val="00370A69"/>
    <w:rsid w:val="00370C46"/>
    <w:rsid w:val="00372953"/>
    <w:rsid w:val="0037488E"/>
    <w:rsid w:val="00375CC0"/>
    <w:rsid w:val="00375E47"/>
    <w:rsid w:val="00377721"/>
    <w:rsid w:val="00377CA0"/>
    <w:rsid w:val="0038017A"/>
    <w:rsid w:val="0038320C"/>
    <w:rsid w:val="00383232"/>
    <w:rsid w:val="00383E4C"/>
    <w:rsid w:val="00385759"/>
    <w:rsid w:val="00387403"/>
    <w:rsid w:val="003879F4"/>
    <w:rsid w:val="00387CFB"/>
    <w:rsid w:val="0039021B"/>
    <w:rsid w:val="00392D19"/>
    <w:rsid w:val="003954C8"/>
    <w:rsid w:val="003961BC"/>
    <w:rsid w:val="00396818"/>
    <w:rsid w:val="003A0D6B"/>
    <w:rsid w:val="003A3AB3"/>
    <w:rsid w:val="003A5104"/>
    <w:rsid w:val="003A5753"/>
    <w:rsid w:val="003A61F2"/>
    <w:rsid w:val="003B1A8F"/>
    <w:rsid w:val="003B5057"/>
    <w:rsid w:val="003B5404"/>
    <w:rsid w:val="003B5531"/>
    <w:rsid w:val="003C0081"/>
    <w:rsid w:val="003C3172"/>
    <w:rsid w:val="003C4646"/>
    <w:rsid w:val="003C4C97"/>
    <w:rsid w:val="003C56CC"/>
    <w:rsid w:val="003C58DC"/>
    <w:rsid w:val="003C6A6C"/>
    <w:rsid w:val="003C7C24"/>
    <w:rsid w:val="003C7EAA"/>
    <w:rsid w:val="003D31F1"/>
    <w:rsid w:val="003D55F9"/>
    <w:rsid w:val="003D6216"/>
    <w:rsid w:val="003D75A5"/>
    <w:rsid w:val="003E02C3"/>
    <w:rsid w:val="003E20EC"/>
    <w:rsid w:val="003E2F2C"/>
    <w:rsid w:val="003E3099"/>
    <w:rsid w:val="003E3895"/>
    <w:rsid w:val="003E5229"/>
    <w:rsid w:val="003E79BB"/>
    <w:rsid w:val="003F0898"/>
    <w:rsid w:val="003F0995"/>
    <w:rsid w:val="003F484C"/>
    <w:rsid w:val="003F50DD"/>
    <w:rsid w:val="003F78C9"/>
    <w:rsid w:val="00401C7F"/>
    <w:rsid w:val="00402B6D"/>
    <w:rsid w:val="0040318C"/>
    <w:rsid w:val="00403E0F"/>
    <w:rsid w:val="00404EFD"/>
    <w:rsid w:val="00405F6A"/>
    <w:rsid w:val="004130EA"/>
    <w:rsid w:val="004164D4"/>
    <w:rsid w:val="004170B7"/>
    <w:rsid w:val="004171FD"/>
    <w:rsid w:val="0041778F"/>
    <w:rsid w:val="00417C63"/>
    <w:rsid w:val="004208E4"/>
    <w:rsid w:val="00422572"/>
    <w:rsid w:val="00422822"/>
    <w:rsid w:val="004245EB"/>
    <w:rsid w:val="00425459"/>
    <w:rsid w:val="004263BC"/>
    <w:rsid w:val="0042736E"/>
    <w:rsid w:val="0042786F"/>
    <w:rsid w:val="004301A4"/>
    <w:rsid w:val="0043140A"/>
    <w:rsid w:val="004368BF"/>
    <w:rsid w:val="00436D5C"/>
    <w:rsid w:val="00442EB0"/>
    <w:rsid w:val="0044388D"/>
    <w:rsid w:val="0044510A"/>
    <w:rsid w:val="00445B54"/>
    <w:rsid w:val="0044649D"/>
    <w:rsid w:val="004478DF"/>
    <w:rsid w:val="00447F65"/>
    <w:rsid w:val="004501A9"/>
    <w:rsid w:val="0045041C"/>
    <w:rsid w:val="00450C2F"/>
    <w:rsid w:val="0045131A"/>
    <w:rsid w:val="00452182"/>
    <w:rsid w:val="00452C24"/>
    <w:rsid w:val="00453DA7"/>
    <w:rsid w:val="00453F8B"/>
    <w:rsid w:val="00454E66"/>
    <w:rsid w:val="00461CD6"/>
    <w:rsid w:val="00464007"/>
    <w:rsid w:val="00465780"/>
    <w:rsid w:val="00470934"/>
    <w:rsid w:val="004747F7"/>
    <w:rsid w:val="00475E43"/>
    <w:rsid w:val="00476B27"/>
    <w:rsid w:val="00480D4E"/>
    <w:rsid w:val="00481C7C"/>
    <w:rsid w:val="00481DB1"/>
    <w:rsid w:val="004826BB"/>
    <w:rsid w:val="004837C7"/>
    <w:rsid w:val="00492712"/>
    <w:rsid w:val="00496807"/>
    <w:rsid w:val="00497B3F"/>
    <w:rsid w:val="00497FB9"/>
    <w:rsid w:val="004A1476"/>
    <w:rsid w:val="004A2137"/>
    <w:rsid w:val="004A3010"/>
    <w:rsid w:val="004A5EB5"/>
    <w:rsid w:val="004A778D"/>
    <w:rsid w:val="004B1DB6"/>
    <w:rsid w:val="004B3436"/>
    <w:rsid w:val="004B60AC"/>
    <w:rsid w:val="004C1A69"/>
    <w:rsid w:val="004C1D4B"/>
    <w:rsid w:val="004C27D6"/>
    <w:rsid w:val="004C3E49"/>
    <w:rsid w:val="004C46EB"/>
    <w:rsid w:val="004C5E52"/>
    <w:rsid w:val="004C76BA"/>
    <w:rsid w:val="004D26BD"/>
    <w:rsid w:val="004D2C6C"/>
    <w:rsid w:val="004D550D"/>
    <w:rsid w:val="004E0CA1"/>
    <w:rsid w:val="004E0D68"/>
    <w:rsid w:val="004E5A9E"/>
    <w:rsid w:val="004E770E"/>
    <w:rsid w:val="004E7C27"/>
    <w:rsid w:val="004F0807"/>
    <w:rsid w:val="004F237B"/>
    <w:rsid w:val="004F4047"/>
    <w:rsid w:val="004F73D5"/>
    <w:rsid w:val="004F78DF"/>
    <w:rsid w:val="005005B6"/>
    <w:rsid w:val="0050192B"/>
    <w:rsid w:val="00507015"/>
    <w:rsid w:val="00507343"/>
    <w:rsid w:val="00510CAF"/>
    <w:rsid w:val="0051264F"/>
    <w:rsid w:val="0051383B"/>
    <w:rsid w:val="00517431"/>
    <w:rsid w:val="005207C8"/>
    <w:rsid w:val="005242E3"/>
    <w:rsid w:val="00526789"/>
    <w:rsid w:val="00526953"/>
    <w:rsid w:val="00527989"/>
    <w:rsid w:val="00530E55"/>
    <w:rsid w:val="0053146D"/>
    <w:rsid w:val="00531941"/>
    <w:rsid w:val="0053300A"/>
    <w:rsid w:val="0053695D"/>
    <w:rsid w:val="00537187"/>
    <w:rsid w:val="00537449"/>
    <w:rsid w:val="005406B8"/>
    <w:rsid w:val="00540FCB"/>
    <w:rsid w:val="0054299F"/>
    <w:rsid w:val="005436DC"/>
    <w:rsid w:val="00545937"/>
    <w:rsid w:val="00546F64"/>
    <w:rsid w:val="00547570"/>
    <w:rsid w:val="00551374"/>
    <w:rsid w:val="00551F6E"/>
    <w:rsid w:val="005522A4"/>
    <w:rsid w:val="00552C56"/>
    <w:rsid w:val="00553DE4"/>
    <w:rsid w:val="00555A7C"/>
    <w:rsid w:val="00556013"/>
    <w:rsid w:val="00557DA2"/>
    <w:rsid w:val="00560E38"/>
    <w:rsid w:val="0056347C"/>
    <w:rsid w:val="005644F8"/>
    <w:rsid w:val="0056499F"/>
    <w:rsid w:val="00564C4E"/>
    <w:rsid w:val="005671FE"/>
    <w:rsid w:val="005676E1"/>
    <w:rsid w:val="00571DBA"/>
    <w:rsid w:val="00571DEC"/>
    <w:rsid w:val="005726E7"/>
    <w:rsid w:val="0057321D"/>
    <w:rsid w:val="00573383"/>
    <w:rsid w:val="005740A1"/>
    <w:rsid w:val="00576FA2"/>
    <w:rsid w:val="00580976"/>
    <w:rsid w:val="00580D5E"/>
    <w:rsid w:val="00581EDF"/>
    <w:rsid w:val="005853B5"/>
    <w:rsid w:val="00586430"/>
    <w:rsid w:val="0059049C"/>
    <w:rsid w:val="00591BD0"/>
    <w:rsid w:val="005938D0"/>
    <w:rsid w:val="00595A1B"/>
    <w:rsid w:val="00596ADE"/>
    <w:rsid w:val="005A0416"/>
    <w:rsid w:val="005A1ACD"/>
    <w:rsid w:val="005A273D"/>
    <w:rsid w:val="005A3E80"/>
    <w:rsid w:val="005A403B"/>
    <w:rsid w:val="005A7934"/>
    <w:rsid w:val="005B67A4"/>
    <w:rsid w:val="005C1538"/>
    <w:rsid w:val="005C2522"/>
    <w:rsid w:val="005C2C4D"/>
    <w:rsid w:val="005C577A"/>
    <w:rsid w:val="005C729E"/>
    <w:rsid w:val="005C7D33"/>
    <w:rsid w:val="005D13C1"/>
    <w:rsid w:val="005D468E"/>
    <w:rsid w:val="005D4CC4"/>
    <w:rsid w:val="005D4EAA"/>
    <w:rsid w:val="005D6461"/>
    <w:rsid w:val="005D7AF0"/>
    <w:rsid w:val="005E03B6"/>
    <w:rsid w:val="005E235C"/>
    <w:rsid w:val="005E4671"/>
    <w:rsid w:val="005E6E3B"/>
    <w:rsid w:val="005E70A4"/>
    <w:rsid w:val="005F1A02"/>
    <w:rsid w:val="005F63A1"/>
    <w:rsid w:val="005F64AA"/>
    <w:rsid w:val="006014BB"/>
    <w:rsid w:val="00606276"/>
    <w:rsid w:val="006069B4"/>
    <w:rsid w:val="006074FF"/>
    <w:rsid w:val="00610C11"/>
    <w:rsid w:val="00610D07"/>
    <w:rsid w:val="00611183"/>
    <w:rsid w:val="006125C7"/>
    <w:rsid w:val="0061298F"/>
    <w:rsid w:val="006133F2"/>
    <w:rsid w:val="00614436"/>
    <w:rsid w:val="00615A75"/>
    <w:rsid w:val="00616B7B"/>
    <w:rsid w:val="006200FE"/>
    <w:rsid w:val="006207B5"/>
    <w:rsid w:val="006219A6"/>
    <w:rsid w:val="00627E60"/>
    <w:rsid w:val="0063043D"/>
    <w:rsid w:val="00630C5E"/>
    <w:rsid w:val="00632219"/>
    <w:rsid w:val="006376C2"/>
    <w:rsid w:val="0064061C"/>
    <w:rsid w:val="00646DE5"/>
    <w:rsid w:val="0064738C"/>
    <w:rsid w:val="00650552"/>
    <w:rsid w:val="006521AF"/>
    <w:rsid w:val="00653343"/>
    <w:rsid w:val="00653434"/>
    <w:rsid w:val="00654072"/>
    <w:rsid w:val="00654498"/>
    <w:rsid w:val="006552DE"/>
    <w:rsid w:val="00656F90"/>
    <w:rsid w:val="00661049"/>
    <w:rsid w:val="006677CB"/>
    <w:rsid w:val="00667AC5"/>
    <w:rsid w:val="006701A0"/>
    <w:rsid w:val="00671F57"/>
    <w:rsid w:val="00672913"/>
    <w:rsid w:val="006760CB"/>
    <w:rsid w:val="00676FA6"/>
    <w:rsid w:val="006802FC"/>
    <w:rsid w:val="0068266B"/>
    <w:rsid w:val="00682DEC"/>
    <w:rsid w:val="00685275"/>
    <w:rsid w:val="00686486"/>
    <w:rsid w:val="00686EBD"/>
    <w:rsid w:val="006879F6"/>
    <w:rsid w:val="006905F9"/>
    <w:rsid w:val="00690FF9"/>
    <w:rsid w:val="00693FAF"/>
    <w:rsid w:val="00695E44"/>
    <w:rsid w:val="00696FD9"/>
    <w:rsid w:val="006A07F7"/>
    <w:rsid w:val="006A3C75"/>
    <w:rsid w:val="006A554B"/>
    <w:rsid w:val="006A5F3B"/>
    <w:rsid w:val="006A7B47"/>
    <w:rsid w:val="006A7DFE"/>
    <w:rsid w:val="006B02D6"/>
    <w:rsid w:val="006B218A"/>
    <w:rsid w:val="006B55A5"/>
    <w:rsid w:val="006B5CF6"/>
    <w:rsid w:val="006B7D05"/>
    <w:rsid w:val="006C1130"/>
    <w:rsid w:val="006C19CA"/>
    <w:rsid w:val="006C5071"/>
    <w:rsid w:val="006D2279"/>
    <w:rsid w:val="006D418C"/>
    <w:rsid w:val="006D595E"/>
    <w:rsid w:val="006F17FB"/>
    <w:rsid w:val="006F1D23"/>
    <w:rsid w:val="006F1DF0"/>
    <w:rsid w:val="006F1F05"/>
    <w:rsid w:val="006F2F22"/>
    <w:rsid w:val="006F411B"/>
    <w:rsid w:val="006F52AA"/>
    <w:rsid w:val="006F6347"/>
    <w:rsid w:val="006F71A5"/>
    <w:rsid w:val="006F74F3"/>
    <w:rsid w:val="006F75B8"/>
    <w:rsid w:val="006F7DB7"/>
    <w:rsid w:val="007000D5"/>
    <w:rsid w:val="0070082C"/>
    <w:rsid w:val="00705BCC"/>
    <w:rsid w:val="007064EE"/>
    <w:rsid w:val="00707CAF"/>
    <w:rsid w:val="007106F6"/>
    <w:rsid w:val="0071582C"/>
    <w:rsid w:val="00716A5D"/>
    <w:rsid w:val="00720600"/>
    <w:rsid w:val="0072358D"/>
    <w:rsid w:val="00724EAC"/>
    <w:rsid w:val="0072544C"/>
    <w:rsid w:val="0072601F"/>
    <w:rsid w:val="007264A7"/>
    <w:rsid w:val="0072706D"/>
    <w:rsid w:val="00727F0B"/>
    <w:rsid w:val="007339D7"/>
    <w:rsid w:val="00733BC9"/>
    <w:rsid w:val="007361FA"/>
    <w:rsid w:val="007366FE"/>
    <w:rsid w:val="007367AA"/>
    <w:rsid w:val="00736B5F"/>
    <w:rsid w:val="007409CF"/>
    <w:rsid w:val="00744364"/>
    <w:rsid w:val="007448BA"/>
    <w:rsid w:val="00746C25"/>
    <w:rsid w:val="007516A9"/>
    <w:rsid w:val="00751721"/>
    <w:rsid w:val="007553CC"/>
    <w:rsid w:val="00755A4E"/>
    <w:rsid w:val="00757214"/>
    <w:rsid w:val="00763743"/>
    <w:rsid w:val="00763B58"/>
    <w:rsid w:val="00764338"/>
    <w:rsid w:val="00764462"/>
    <w:rsid w:val="00764F84"/>
    <w:rsid w:val="00765C1F"/>
    <w:rsid w:val="007668DA"/>
    <w:rsid w:val="00770B5F"/>
    <w:rsid w:val="0077113E"/>
    <w:rsid w:val="0077315F"/>
    <w:rsid w:val="00774250"/>
    <w:rsid w:val="007745A2"/>
    <w:rsid w:val="007750FD"/>
    <w:rsid w:val="00775AB7"/>
    <w:rsid w:val="00775B9B"/>
    <w:rsid w:val="00776819"/>
    <w:rsid w:val="00781077"/>
    <w:rsid w:val="0078145B"/>
    <w:rsid w:val="00781596"/>
    <w:rsid w:val="00786623"/>
    <w:rsid w:val="00790204"/>
    <w:rsid w:val="0079600B"/>
    <w:rsid w:val="007A4D05"/>
    <w:rsid w:val="007A7A8C"/>
    <w:rsid w:val="007B0CE3"/>
    <w:rsid w:val="007B1E35"/>
    <w:rsid w:val="007B26A1"/>
    <w:rsid w:val="007B2AD2"/>
    <w:rsid w:val="007B2F6C"/>
    <w:rsid w:val="007B388F"/>
    <w:rsid w:val="007B5620"/>
    <w:rsid w:val="007C025F"/>
    <w:rsid w:val="007C2216"/>
    <w:rsid w:val="007C31B0"/>
    <w:rsid w:val="007C5CA2"/>
    <w:rsid w:val="007C7966"/>
    <w:rsid w:val="007D122D"/>
    <w:rsid w:val="007D144A"/>
    <w:rsid w:val="007D6962"/>
    <w:rsid w:val="007D703B"/>
    <w:rsid w:val="007D7682"/>
    <w:rsid w:val="007E0EAA"/>
    <w:rsid w:val="007E24FB"/>
    <w:rsid w:val="007E3923"/>
    <w:rsid w:val="007E66AF"/>
    <w:rsid w:val="007E68C3"/>
    <w:rsid w:val="007E6D0D"/>
    <w:rsid w:val="007E6D42"/>
    <w:rsid w:val="007E7B24"/>
    <w:rsid w:val="007F2BE9"/>
    <w:rsid w:val="007F2F92"/>
    <w:rsid w:val="007F3079"/>
    <w:rsid w:val="007F60E6"/>
    <w:rsid w:val="007F6941"/>
    <w:rsid w:val="007F73DF"/>
    <w:rsid w:val="008159BE"/>
    <w:rsid w:val="00816530"/>
    <w:rsid w:val="008200FE"/>
    <w:rsid w:val="00820321"/>
    <w:rsid w:val="00826CEE"/>
    <w:rsid w:val="008319F5"/>
    <w:rsid w:val="008330D4"/>
    <w:rsid w:val="00834D97"/>
    <w:rsid w:val="00835468"/>
    <w:rsid w:val="008369D0"/>
    <w:rsid w:val="008370D4"/>
    <w:rsid w:val="00841DFB"/>
    <w:rsid w:val="00843375"/>
    <w:rsid w:val="008440A5"/>
    <w:rsid w:val="008441A7"/>
    <w:rsid w:val="00845E55"/>
    <w:rsid w:val="00845F27"/>
    <w:rsid w:val="00847F02"/>
    <w:rsid w:val="008505FE"/>
    <w:rsid w:val="00852948"/>
    <w:rsid w:val="0085433A"/>
    <w:rsid w:val="00854BC3"/>
    <w:rsid w:val="00854E58"/>
    <w:rsid w:val="00863371"/>
    <w:rsid w:val="0086378A"/>
    <w:rsid w:val="00865625"/>
    <w:rsid w:val="00866B32"/>
    <w:rsid w:val="00871068"/>
    <w:rsid w:val="0087120C"/>
    <w:rsid w:val="008741DB"/>
    <w:rsid w:val="0087454C"/>
    <w:rsid w:val="00874910"/>
    <w:rsid w:val="00875102"/>
    <w:rsid w:val="008756E6"/>
    <w:rsid w:val="0087628D"/>
    <w:rsid w:val="0088119B"/>
    <w:rsid w:val="00883694"/>
    <w:rsid w:val="00887607"/>
    <w:rsid w:val="00891BB7"/>
    <w:rsid w:val="00894C50"/>
    <w:rsid w:val="00895271"/>
    <w:rsid w:val="00895D85"/>
    <w:rsid w:val="00895DD9"/>
    <w:rsid w:val="00896DA9"/>
    <w:rsid w:val="008A0A52"/>
    <w:rsid w:val="008A2208"/>
    <w:rsid w:val="008A3FE5"/>
    <w:rsid w:val="008A4567"/>
    <w:rsid w:val="008A61A4"/>
    <w:rsid w:val="008A6C14"/>
    <w:rsid w:val="008B1A94"/>
    <w:rsid w:val="008B3213"/>
    <w:rsid w:val="008B3DDB"/>
    <w:rsid w:val="008B609B"/>
    <w:rsid w:val="008B67D9"/>
    <w:rsid w:val="008B7AE7"/>
    <w:rsid w:val="008C1FDF"/>
    <w:rsid w:val="008C3643"/>
    <w:rsid w:val="008C4326"/>
    <w:rsid w:val="008C5AE0"/>
    <w:rsid w:val="008C5DB5"/>
    <w:rsid w:val="008C7AD2"/>
    <w:rsid w:val="008D1A16"/>
    <w:rsid w:val="008D1AED"/>
    <w:rsid w:val="008D3B0E"/>
    <w:rsid w:val="008D4499"/>
    <w:rsid w:val="008E14A1"/>
    <w:rsid w:val="008E78C5"/>
    <w:rsid w:val="008F1EFE"/>
    <w:rsid w:val="008F273C"/>
    <w:rsid w:val="008F275A"/>
    <w:rsid w:val="008F2CCD"/>
    <w:rsid w:val="008F384B"/>
    <w:rsid w:val="008F4EBC"/>
    <w:rsid w:val="008F6944"/>
    <w:rsid w:val="00900E46"/>
    <w:rsid w:val="009010D0"/>
    <w:rsid w:val="009039E3"/>
    <w:rsid w:val="00903F51"/>
    <w:rsid w:val="00903F76"/>
    <w:rsid w:val="00906E8C"/>
    <w:rsid w:val="00907336"/>
    <w:rsid w:val="009119E5"/>
    <w:rsid w:val="00912A5C"/>
    <w:rsid w:val="00912EE7"/>
    <w:rsid w:val="00913CF1"/>
    <w:rsid w:val="0091445B"/>
    <w:rsid w:val="00920A0D"/>
    <w:rsid w:val="009219EF"/>
    <w:rsid w:val="009236CC"/>
    <w:rsid w:val="00923CD1"/>
    <w:rsid w:val="00926787"/>
    <w:rsid w:val="00926D25"/>
    <w:rsid w:val="00927F08"/>
    <w:rsid w:val="00931465"/>
    <w:rsid w:val="00931826"/>
    <w:rsid w:val="00932CFA"/>
    <w:rsid w:val="009343AD"/>
    <w:rsid w:val="009353D7"/>
    <w:rsid w:val="00936CEB"/>
    <w:rsid w:val="00942211"/>
    <w:rsid w:val="009457D4"/>
    <w:rsid w:val="009459B3"/>
    <w:rsid w:val="0094752E"/>
    <w:rsid w:val="009479DA"/>
    <w:rsid w:val="00947CEC"/>
    <w:rsid w:val="00956A5F"/>
    <w:rsid w:val="0095779D"/>
    <w:rsid w:val="0096073C"/>
    <w:rsid w:val="00960A85"/>
    <w:rsid w:val="00960ACA"/>
    <w:rsid w:val="0096200B"/>
    <w:rsid w:val="00962946"/>
    <w:rsid w:val="00965F19"/>
    <w:rsid w:val="009708E8"/>
    <w:rsid w:val="0097298B"/>
    <w:rsid w:val="00973378"/>
    <w:rsid w:val="00973960"/>
    <w:rsid w:val="0097404A"/>
    <w:rsid w:val="009746FF"/>
    <w:rsid w:val="00976784"/>
    <w:rsid w:val="009778BE"/>
    <w:rsid w:val="009830E5"/>
    <w:rsid w:val="0098655E"/>
    <w:rsid w:val="00987226"/>
    <w:rsid w:val="00992272"/>
    <w:rsid w:val="00994879"/>
    <w:rsid w:val="00995367"/>
    <w:rsid w:val="00996CB7"/>
    <w:rsid w:val="009A12F5"/>
    <w:rsid w:val="009A7DAA"/>
    <w:rsid w:val="009B0B93"/>
    <w:rsid w:val="009B0C25"/>
    <w:rsid w:val="009B133A"/>
    <w:rsid w:val="009B3A2E"/>
    <w:rsid w:val="009C3575"/>
    <w:rsid w:val="009C3F22"/>
    <w:rsid w:val="009C46B4"/>
    <w:rsid w:val="009C539B"/>
    <w:rsid w:val="009C6668"/>
    <w:rsid w:val="009D0BA9"/>
    <w:rsid w:val="009D2B19"/>
    <w:rsid w:val="009E1021"/>
    <w:rsid w:val="009E1D6A"/>
    <w:rsid w:val="009E34A4"/>
    <w:rsid w:val="009E567D"/>
    <w:rsid w:val="009E61C3"/>
    <w:rsid w:val="009F0492"/>
    <w:rsid w:val="009F1E4C"/>
    <w:rsid w:val="009F20C1"/>
    <w:rsid w:val="009F3205"/>
    <w:rsid w:val="009F3B84"/>
    <w:rsid w:val="009F459B"/>
    <w:rsid w:val="009F515A"/>
    <w:rsid w:val="009F61D9"/>
    <w:rsid w:val="009F658A"/>
    <w:rsid w:val="009F66A4"/>
    <w:rsid w:val="00A010FF"/>
    <w:rsid w:val="00A0117A"/>
    <w:rsid w:val="00A10628"/>
    <w:rsid w:val="00A11F61"/>
    <w:rsid w:val="00A1296C"/>
    <w:rsid w:val="00A135BF"/>
    <w:rsid w:val="00A141C9"/>
    <w:rsid w:val="00A157D6"/>
    <w:rsid w:val="00A15C0E"/>
    <w:rsid w:val="00A16152"/>
    <w:rsid w:val="00A16817"/>
    <w:rsid w:val="00A16D5B"/>
    <w:rsid w:val="00A226AC"/>
    <w:rsid w:val="00A2613D"/>
    <w:rsid w:val="00A27B04"/>
    <w:rsid w:val="00A366DD"/>
    <w:rsid w:val="00A36A01"/>
    <w:rsid w:val="00A37D63"/>
    <w:rsid w:val="00A40326"/>
    <w:rsid w:val="00A40FA5"/>
    <w:rsid w:val="00A42C75"/>
    <w:rsid w:val="00A43C0A"/>
    <w:rsid w:val="00A44E00"/>
    <w:rsid w:val="00A465C7"/>
    <w:rsid w:val="00A50FDB"/>
    <w:rsid w:val="00A52A37"/>
    <w:rsid w:val="00A53D8C"/>
    <w:rsid w:val="00A55C59"/>
    <w:rsid w:val="00A562DF"/>
    <w:rsid w:val="00A60C40"/>
    <w:rsid w:val="00A62190"/>
    <w:rsid w:val="00A62BF3"/>
    <w:rsid w:val="00A64F83"/>
    <w:rsid w:val="00A662D0"/>
    <w:rsid w:val="00A7242F"/>
    <w:rsid w:val="00A73878"/>
    <w:rsid w:val="00A73DB2"/>
    <w:rsid w:val="00A73FD7"/>
    <w:rsid w:val="00A743FB"/>
    <w:rsid w:val="00A747F6"/>
    <w:rsid w:val="00A74B6E"/>
    <w:rsid w:val="00A771C6"/>
    <w:rsid w:val="00A80B1F"/>
    <w:rsid w:val="00A80DEC"/>
    <w:rsid w:val="00A841F1"/>
    <w:rsid w:val="00A842C2"/>
    <w:rsid w:val="00A85CD2"/>
    <w:rsid w:val="00A873FA"/>
    <w:rsid w:val="00A905D2"/>
    <w:rsid w:val="00A906ED"/>
    <w:rsid w:val="00A974DB"/>
    <w:rsid w:val="00A97F99"/>
    <w:rsid w:val="00AA050B"/>
    <w:rsid w:val="00AA1372"/>
    <w:rsid w:val="00AA18BE"/>
    <w:rsid w:val="00AA2FBA"/>
    <w:rsid w:val="00AA3AAC"/>
    <w:rsid w:val="00AA6A15"/>
    <w:rsid w:val="00AA6D37"/>
    <w:rsid w:val="00AB0329"/>
    <w:rsid w:val="00AB2864"/>
    <w:rsid w:val="00AB40F8"/>
    <w:rsid w:val="00AB635D"/>
    <w:rsid w:val="00AB6634"/>
    <w:rsid w:val="00AB6E65"/>
    <w:rsid w:val="00AB6E72"/>
    <w:rsid w:val="00AC2180"/>
    <w:rsid w:val="00AC53D7"/>
    <w:rsid w:val="00AC635A"/>
    <w:rsid w:val="00AC6702"/>
    <w:rsid w:val="00AC7D9C"/>
    <w:rsid w:val="00AC7DF3"/>
    <w:rsid w:val="00AD00D9"/>
    <w:rsid w:val="00AD0A58"/>
    <w:rsid w:val="00AD2DA3"/>
    <w:rsid w:val="00AD6FEB"/>
    <w:rsid w:val="00AD7423"/>
    <w:rsid w:val="00AE03B0"/>
    <w:rsid w:val="00AE3F8F"/>
    <w:rsid w:val="00AE4066"/>
    <w:rsid w:val="00AE70BB"/>
    <w:rsid w:val="00AF100C"/>
    <w:rsid w:val="00AF7D40"/>
    <w:rsid w:val="00B00178"/>
    <w:rsid w:val="00B003FB"/>
    <w:rsid w:val="00B00514"/>
    <w:rsid w:val="00B01082"/>
    <w:rsid w:val="00B02A9C"/>
    <w:rsid w:val="00B0341E"/>
    <w:rsid w:val="00B05979"/>
    <w:rsid w:val="00B069E1"/>
    <w:rsid w:val="00B06B49"/>
    <w:rsid w:val="00B108A5"/>
    <w:rsid w:val="00B11E04"/>
    <w:rsid w:val="00B1335E"/>
    <w:rsid w:val="00B13401"/>
    <w:rsid w:val="00B13F20"/>
    <w:rsid w:val="00B20AB6"/>
    <w:rsid w:val="00B21EF2"/>
    <w:rsid w:val="00B22B19"/>
    <w:rsid w:val="00B240B0"/>
    <w:rsid w:val="00B27A48"/>
    <w:rsid w:val="00B323A5"/>
    <w:rsid w:val="00B32FA5"/>
    <w:rsid w:val="00B3459B"/>
    <w:rsid w:val="00B349D7"/>
    <w:rsid w:val="00B34DDB"/>
    <w:rsid w:val="00B357EF"/>
    <w:rsid w:val="00B3783E"/>
    <w:rsid w:val="00B409ED"/>
    <w:rsid w:val="00B42CC6"/>
    <w:rsid w:val="00B4408D"/>
    <w:rsid w:val="00B448C0"/>
    <w:rsid w:val="00B4515D"/>
    <w:rsid w:val="00B460B3"/>
    <w:rsid w:val="00B46B01"/>
    <w:rsid w:val="00B47CCA"/>
    <w:rsid w:val="00B50EF1"/>
    <w:rsid w:val="00B512C1"/>
    <w:rsid w:val="00B51A4F"/>
    <w:rsid w:val="00B52898"/>
    <w:rsid w:val="00B52C19"/>
    <w:rsid w:val="00B5322D"/>
    <w:rsid w:val="00B548AA"/>
    <w:rsid w:val="00B57A17"/>
    <w:rsid w:val="00B61375"/>
    <w:rsid w:val="00B6163A"/>
    <w:rsid w:val="00B61FBD"/>
    <w:rsid w:val="00B63728"/>
    <w:rsid w:val="00B63E21"/>
    <w:rsid w:val="00B64697"/>
    <w:rsid w:val="00B648D1"/>
    <w:rsid w:val="00B66FA9"/>
    <w:rsid w:val="00B710BA"/>
    <w:rsid w:val="00B77A16"/>
    <w:rsid w:val="00B80613"/>
    <w:rsid w:val="00B831C3"/>
    <w:rsid w:val="00B84A6E"/>
    <w:rsid w:val="00B85F0D"/>
    <w:rsid w:val="00B86DE1"/>
    <w:rsid w:val="00B90AE8"/>
    <w:rsid w:val="00B91B4E"/>
    <w:rsid w:val="00B93328"/>
    <w:rsid w:val="00B94D98"/>
    <w:rsid w:val="00B95129"/>
    <w:rsid w:val="00B952FF"/>
    <w:rsid w:val="00B959E3"/>
    <w:rsid w:val="00B97BC4"/>
    <w:rsid w:val="00BA0AA3"/>
    <w:rsid w:val="00BA1D7A"/>
    <w:rsid w:val="00BA228B"/>
    <w:rsid w:val="00BA2DF4"/>
    <w:rsid w:val="00BA35BA"/>
    <w:rsid w:val="00BA3FE5"/>
    <w:rsid w:val="00BA5545"/>
    <w:rsid w:val="00BA7363"/>
    <w:rsid w:val="00BB0625"/>
    <w:rsid w:val="00BB1BD7"/>
    <w:rsid w:val="00BB33FC"/>
    <w:rsid w:val="00BB4B74"/>
    <w:rsid w:val="00BB7849"/>
    <w:rsid w:val="00BB7ED8"/>
    <w:rsid w:val="00BC1621"/>
    <w:rsid w:val="00BC16E8"/>
    <w:rsid w:val="00BC1F48"/>
    <w:rsid w:val="00BC2C5F"/>
    <w:rsid w:val="00BC37F7"/>
    <w:rsid w:val="00BC4109"/>
    <w:rsid w:val="00BC41BC"/>
    <w:rsid w:val="00BC514F"/>
    <w:rsid w:val="00BC6764"/>
    <w:rsid w:val="00BC7D89"/>
    <w:rsid w:val="00BD0235"/>
    <w:rsid w:val="00BD054F"/>
    <w:rsid w:val="00BD4734"/>
    <w:rsid w:val="00BD4873"/>
    <w:rsid w:val="00BD60E5"/>
    <w:rsid w:val="00BD7EAB"/>
    <w:rsid w:val="00BE20ED"/>
    <w:rsid w:val="00BE46BD"/>
    <w:rsid w:val="00BF0008"/>
    <w:rsid w:val="00BF06A7"/>
    <w:rsid w:val="00BF1E0D"/>
    <w:rsid w:val="00BF2455"/>
    <w:rsid w:val="00BF24D2"/>
    <w:rsid w:val="00BF3A21"/>
    <w:rsid w:val="00BF481B"/>
    <w:rsid w:val="00BF5F72"/>
    <w:rsid w:val="00C00246"/>
    <w:rsid w:val="00C012CE"/>
    <w:rsid w:val="00C01318"/>
    <w:rsid w:val="00C023D4"/>
    <w:rsid w:val="00C03AB4"/>
    <w:rsid w:val="00C03AEE"/>
    <w:rsid w:val="00C102BB"/>
    <w:rsid w:val="00C109D5"/>
    <w:rsid w:val="00C12EC2"/>
    <w:rsid w:val="00C21615"/>
    <w:rsid w:val="00C21934"/>
    <w:rsid w:val="00C22424"/>
    <w:rsid w:val="00C226CD"/>
    <w:rsid w:val="00C22EF9"/>
    <w:rsid w:val="00C247FE"/>
    <w:rsid w:val="00C259D0"/>
    <w:rsid w:val="00C31108"/>
    <w:rsid w:val="00C34D35"/>
    <w:rsid w:val="00C3516F"/>
    <w:rsid w:val="00C360F8"/>
    <w:rsid w:val="00C42B2E"/>
    <w:rsid w:val="00C43366"/>
    <w:rsid w:val="00C433F6"/>
    <w:rsid w:val="00C43E15"/>
    <w:rsid w:val="00C448D4"/>
    <w:rsid w:val="00C45004"/>
    <w:rsid w:val="00C45253"/>
    <w:rsid w:val="00C476C6"/>
    <w:rsid w:val="00C526B3"/>
    <w:rsid w:val="00C52F8D"/>
    <w:rsid w:val="00C53D59"/>
    <w:rsid w:val="00C54499"/>
    <w:rsid w:val="00C549DE"/>
    <w:rsid w:val="00C57073"/>
    <w:rsid w:val="00C57EED"/>
    <w:rsid w:val="00C607B5"/>
    <w:rsid w:val="00C61F97"/>
    <w:rsid w:val="00C62EF6"/>
    <w:rsid w:val="00C62F60"/>
    <w:rsid w:val="00C66450"/>
    <w:rsid w:val="00C666BB"/>
    <w:rsid w:val="00C70945"/>
    <w:rsid w:val="00C71307"/>
    <w:rsid w:val="00C745BD"/>
    <w:rsid w:val="00C7475A"/>
    <w:rsid w:val="00C74D3A"/>
    <w:rsid w:val="00C75C00"/>
    <w:rsid w:val="00C766B9"/>
    <w:rsid w:val="00C76AD5"/>
    <w:rsid w:val="00C7702D"/>
    <w:rsid w:val="00C8008B"/>
    <w:rsid w:val="00C82459"/>
    <w:rsid w:val="00C8297A"/>
    <w:rsid w:val="00C90385"/>
    <w:rsid w:val="00C95254"/>
    <w:rsid w:val="00C960CD"/>
    <w:rsid w:val="00CA39E7"/>
    <w:rsid w:val="00CA5771"/>
    <w:rsid w:val="00CB2DE6"/>
    <w:rsid w:val="00CC133B"/>
    <w:rsid w:val="00CC2F21"/>
    <w:rsid w:val="00CC3D26"/>
    <w:rsid w:val="00CC677E"/>
    <w:rsid w:val="00CC7478"/>
    <w:rsid w:val="00CC7F17"/>
    <w:rsid w:val="00CD0020"/>
    <w:rsid w:val="00CD0F14"/>
    <w:rsid w:val="00CD13C8"/>
    <w:rsid w:val="00CE3E35"/>
    <w:rsid w:val="00CE4A80"/>
    <w:rsid w:val="00CF28ED"/>
    <w:rsid w:val="00CF5986"/>
    <w:rsid w:val="00CF6ADA"/>
    <w:rsid w:val="00D00790"/>
    <w:rsid w:val="00D0099F"/>
    <w:rsid w:val="00D01B1A"/>
    <w:rsid w:val="00D025A5"/>
    <w:rsid w:val="00D02CB0"/>
    <w:rsid w:val="00D0682A"/>
    <w:rsid w:val="00D10317"/>
    <w:rsid w:val="00D11439"/>
    <w:rsid w:val="00D117A4"/>
    <w:rsid w:val="00D1189B"/>
    <w:rsid w:val="00D127A1"/>
    <w:rsid w:val="00D1532E"/>
    <w:rsid w:val="00D15872"/>
    <w:rsid w:val="00D160FA"/>
    <w:rsid w:val="00D170AA"/>
    <w:rsid w:val="00D21320"/>
    <w:rsid w:val="00D21F6D"/>
    <w:rsid w:val="00D22E08"/>
    <w:rsid w:val="00D236A3"/>
    <w:rsid w:val="00D24DC4"/>
    <w:rsid w:val="00D2542E"/>
    <w:rsid w:val="00D27949"/>
    <w:rsid w:val="00D30FDA"/>
    <w:rsid w:val="00D31BAE"/>
    <w:rsid w:val="00D31EB1"/>
    <w:rsid w:val="00D33FDE"/>
    <w:rsid w:val="00D35D32"/>
    <w:rsid w:val="00D35D40"/>
    <w:rsid w:val="00D379D4"/>
    <w:rsid w:val="00D40C09"/>
    <w:rsid w:val="00D42AC8"/>
    <w:rsid w:val="00D44533"/>
    <w:rsid w:val="00D44F00"/>
    <w:rsid w:val="00D4552B"/>
    <w:rsid w:val="00D466F6"/>
    <w:rsid w:val="00D500BF"/>
    <w:rsid w:val="00D51006"/>
    <w:rsid w:val="00D51568"/>
    <w:rsid w:val="00D5447F"/>
    <w:rsid w:val="00D55A82"/>
    <w:rsid w:val="00D616D6"/>
    <w:rsid w:val="00D65940"/>
    <w:rsid w:val="00D65DE4"/>
    <w:rsid w:val="00D67240"/>
    <w:rsid w:val="00D67431"/>
    <w:rsid w:val="00D70DC7"/>
    <w:rsid w:val="00D741FE"/>
    <w:rsid w:val="00D74BB9"/>
    <w:rsid w:val="00D762DE"/>
    <w:rsid w:val="00D765C0"/>
    <w:rsid w:val="00D76DA1"/>
    <w:rsid w:val="00D7708E"/>
    <w:rsid w:val="00D7735A"/>
    <w:rsid w:val="00D81DD7"/>
    <w:rsid w:val="00D82718"/>
    <w:rsid w:val="00D82BF8"/>
    <w:rsid w:val="00D83828"/>
    <w:rsid w:val="00D838AB"/>
    <w:rsid w:val="00D849CD"/>
    <w:rsid w:val="00D8543E"/>
    <w:rsid w:val="00D85C87"/>
    <w:rsid w:val="00D87454"/>
    <w:rsid w:val="00D909F1"/>
    <w:rsid w:val="00D92735"/>
    <w:rsid w:val="00D92A61"/>
    <w:rsid w:val="00D92B83"/>
    <w:rsid w:val="00D95941"/>
    <w:rsid w:val="00D95B01"/>
    <w:rsid w:val="00DA2EC1"/>
    <w:rsid w:val="00DA4177"/>
    <w:rsid w:val="00DA486E"/>
    <w:rsid w:val="00DB2A50"/>
    <w:rsid w:val="00DB3595"/>
    <w:rsid w:val="00DB6D9D"/>
    <w:rsid w:val="00DB6F8E"/>
    <w:rsid w:val="00DB74DA"/>
    <w:rsid w:val="00DC2A97"/>
    <w:rsid w:val="00DC2C7C"/>
    <w:rsid w:val="00DC3AF9"/>
    <w:rsid w:val="00DC6812"/>
    <w:rsid w:val="00DD36F6"/>
    <w:rsid w:val="00DD4B24"/>
    <w:rsid w:val="00DD54E3"/>
    <w:rsid w:val="00DD5924"/>
    <w:rsid w:val="00DD6276"/>
    <w:rsid w:val="00DD7E4E"/>
    <w:rsid w:val="00DE0E93"/>
    <w:rsid w:val="00DE272E"/>
    <w:rsid w:val="00DE32F2"/>
    <w:rsid w:val="00DE333A"/>
    <w:rsid w:val="00DE40EF"/>
    <w:rsid w:val="00DE4545"/>
    <w:rsid w:val="00DE6BBF"/>
    <w:rsid w:val="00DF0AE1"/>
    <w:rsid w:val="00DF760A"/>
    <w:rsid w:val="00E023CF"/>
    <w:rsid w:val="00E053ED"/>
    <w:rsid w:val="00E05FAC"/>
    <w:rsid w:val="00E11549"/>
    <w:rsid w:val="00E130EB"/>
    <w:rsid w:val="00E1503A"/>
    <w:rsid w:val="00E159BF"/>
    <w:rsid w:val="00E20E62"/>
    <w:rsid w:val="00E20F54"/>
    <w:rsid w:val="00E21122"/>
    <w:rsid w:val="00E262B5"/>
    <w:rsid w:val="00E262F6"/>
    <w:rsid w:val="00E26B53"/>
    <w:rsid w:val="00E31C62"/>
    <w:rsid w:val="00E3388C"/>
    <w:rsid w:val="00E366A1"/>
    <w:rsid w:val="00E40109"/>
    <w:rsid w:val="00E41555"/>
    <w:rsid w:val="00E430D2"/>
    <w:rsid w:val="00E47917"/>
    <w:rsid w:val="00E525E0"/>
    <w:rsid w:val="00E527C3"/>
    <w:rsid w:val="00E5289D"/>
    <w:rsid w:val="00E53A00"/>
    <w:rsid w:val="00E57C60"/>
    <w:rsid w:val="00E622C1"/>
    <w:rsid w:val="00E62E5F"/>
    <w:rsid w:val="00E674CD"/>
    <w:rsid w:val="00E67A62"/>
    <w:rsid w:val="00E764D6"/>
    <w:rsid w:val="00E77F2B"/>
    <w:rsid w:val="00E77FCB"/>
    <w:rsid w:val="00E80E81"/>
    <w:rsid w:val="00E8179E"/>
    <w:rsid w:val="00E82072"/>
    <w:rsid w:val="00E86DD6"/>
    <w:rsid w:val="00E86F55"/>
    <w:rsid w:val="00E8777E"/>
    <w:rsid w:val="00E8799A"/>
    <w:rsid w:val="00E90485"/>
    <w:rsid w:val="00E9102C"/>
    <w:rsid w:val="00E9260D"/>
    <w:rsid w:val="00E9274A"/>
    <w:rsid w:val="00E96072"/>
    <w:rsid w:val="00E96F14"/>
    <w:rsid w:val="00E97053"/>
    <w:rsid w:val="00EA13B1"/>
    <w:rsid w:val="00EA1697"/>
    <w:rsid w:val="00EA3756"/>
    <w:rsid w:val="00EA3A8C"/>
    <w:rsid w:val="00EA7A59"/>
    <w:rsid w:val="00EB3EAD"/>
    <w:rsid w:val="00EB445E"/>
    <w:rsid w:val="00EB5FAB"/>
    <w:rsid w:val="00EB7143"/>
    <w:rsid w:val="00EC0D9E"/>
    <w:rsid w:val="00EC13CC"/>
    <w:rsid w:val="00EC148B"/>
    <w:rsid w:val="00EC3729"/>
    <w:rsid w:val="00EC5660"/>
    <w:rsid w:val="00EC5ABF"/>
    <w:rsid w:val="00EC5E1D"/>
    <w:rsid w:val="00EC6CAF"/>
    <w:rsid w:val="00EC770C"/>
    <w:rsid w:val="00EC7DD6"/>
    <w:rsid w:val="00ED0B94"/>
    <w:rsid w:val="00ED18D9"/>
    <w:rsid w:val="00ED1C07"/>
    <w:rsid w:val="00ED2414"/>
    <w:rsid w:val="00EE2433"/>
    <w:rsid w:val="00EE2DF1"/>
    <w:rsid w:val="00EE41CB"/>
    <w:rsid w:val="00EE4723"/>
    <w:rsid w:val="00EE5DBD"/>
    <w:rsid w:val="00EE6565"/>
    <w:rsid w:val="00EF064C"/>
    <w:rsid w:val="00EF0E19"/>
    <w:rsid w:val="00EF1311"/>
    <w:rsid w:val="00EF2C85"/>
    <w:rsid w:val="00EF45A4"/>
    <w:rsid w:val="00EF4D48"/>
    <w:rsid w:val="00EF6CA6"/>
    <w:rsid w:val="00EF7454"/>
    <w:rsid w:val="00EF7B57"/>
    <w:rsid w:val="00F00B0B"/>
    <w:rsid w:val="00F02861"/>
    <w:rsid w:val="00F0407D"/>
    <w:rsid w:val="00F07110"/>
    <w:rsid w:val="00F07CE7"/>
    <w:rsid w:val="00F12316"/>
    <w:rsid w:val="00F12B77"/>
    <w:rsid w:val="00F1419D"/>
    <w:rsid w:val="00F207AB"/>
    <w:rsid w:val="00F213FC"/>
    <w:rsid w:val="00F22DD7"/>
    <w:rsid w:val="00F24C82"/>
    <w:rsid w:val="00F2589D"/>
    <w:rsid w:val="00F30712"/>
    <w:rsid w:val="00F31325"/>
    <w:rsid w:val="00F32405"/>
    <w:rsid w:val="00F32A79"/>
    <w:rsid w:val="00F32FE6"/>
    <w:rsid w:val="00F343ED"/>
    <w:rsid w:val="00F360C8"/>
    <w:rsid w:val="00F404CC"/>
    <w:rsid w:val="00F40584"/>
    <w:rsid w:val="00F41BDD"/>
    <w:rsid w:val="00F4260A"/>
    <w:rsid w:val="00F4344E"/>
    <w:rsid w:val="00F4392D"/>
    <w:rsid w:val="00F4635B"/>
    <w:rsid w:val="00F50E7C"/>
    <w:rsid w:val="00F513BC"/>
    <w:rsid w:val="00F518D2"/>
    <w:rsid w:val="00F5206B"/>
    <w:rsid w:val="00F5551A"/>
    <w:rsid w:val="00F55B47"/>
    <w:rsid w:val="00F56A20"/>
    <w:rsid w:val="00F5755D"/>
    <w:rsid w:val="00F60A16"/>
    <w:rsid w:val="00F706A8"/>
    <w:rsid w:val="00F75CD2"/>
    <w:rsid w:val="00F777C2"/>
    <w:rsid w:val="00F80224"/>
    <w:rsid w:val="00F804F9"/>
    <w:rsid w:val="00F81155"/>
    <w:rsid w:val="00F8195D"/>
    <w:rsid w:val="00F83BAB"/>
    <w:rsid w:val="00F83E4D"/>
    <w:rsid w:val="00F87BF6"/>
    <w:rsid w:val="00F87CAB"/>
    <w:rsid w:val="00F912B8"/>
    <w:rsid w:val="00F95B49"/>
    <w:rsid w:val="00F97AED"/>
    <w:rsid w:val="00FA0607"/>
    <w:rsid w:val="00FA1A01"/>
    <w:rsid w:val="00FA34E8"/>
    <w:rsid w:val="00FA3D53"/>
    <w:rsid w:val="00FB0645"/>
    <w:rsid w:val="00FB1B8E"/>
    <w:rsid w:val="00FB1CDE"/>
    <w:rsid w:val="00FB20CE"/>
    <w:rsid w:val="00FB2B6E"/>
    <w:rsid w:val="00FB2FA6"/>
    <w:rsid w:val="00FB44B5"/>
    <w:rsid w:val="00FB7794"/>
    <w:rsid w:val="00FC09BA"/>
    <w:rsid w:val="00FC1551"/>
    <w:rsid w:val="00FC2CB0"/>
    <w:rsid w:val="00FC67FD"/>
    <w:rsid w:val="00FC6E8E"/>
    <w:rsid w:val="00FD36EA"/>
    <w:rsid w:val="00FD4BEB"/>
    <w:rsid w:val="00FD7331"/>
    <w:rsid w:val="00FE012A"/>
    <w:rsid w:val="00FE6C0B"/>
    <w:rsid w:val="00FE7DE8"/>
    <w:rsid w:val="00FF4852"/>
    <w:rsid w:val="00FF5546"/>
    <w:rsid w:val="00FF5D57"/>
    <w:rsid w:val="00FF6BCC"/>
    <w:rsid w:val="00FF6E53"/>
    <w:rsid w:val="022074B1"/>
    <w:rsid w:val="02B50111"/>
    <w:rsid w:val="061169ED"/>
    <w:rsid w:val="07200B4F"/>
    <w:rsid w:val="08312E2C"/>
    <w:rsid w:val="087757A8"/>
    <w:rsid w:val="09372E76"/>
    <w:rsid w:val="0A6C7C49"/>
    <w:rsid w:val="0B2E020D"/>
    <w:rsid w:val="0B3472F8"/>
    <w:rsid w:val="0C344A88"/>
    <w:rsid w:val="0C4E4BA2"/>
    <w:rsid w:val="0D653C5B"/>
    <w:rsid w:val="0F91202A"/>
    <w:rsid w:val="10A34BFE"/>
    <w:rsid w:val="10C06BA6"/>
    <w:rsid w:val="10EC1976"/>
    <w:rsid w:val="13004D61"/>
    <w:rsid w:val="13463B66"/>
    <w:rsid w:val="15631AD4"/>
    <w:rsid w:val="16544574"/>
    <w:rsid w:val="16AF6782"/>
    <w:rsid w:val="17385430"/>
    <w:rsid w:val="17BE4CB0"/>
    <w:rsid w:val="19CA60BB"/>
    <w:rsid w:val="1ACE7747"/>
    <w:rsid w:val="1AF85403"/>
    <w:rsid w:val="1B2742FF"/>
    <w:rsid w:val="1F412AD3"/>
    <w:rsid w:val="216929AF"/>
    <w:rsid w:val="217B3AFE"/>
    <w:rsid w:val="220345CB"/>
    <w:rsid w:val="228361E4"/>
    <w:rsid w:val="23875AF1"/>
    <w:rsid w:val="23BD3742"/>
    <w:rsid w:val="23D61A38"/>
    <w:rsid w:val="25234D63"/>
    <w:rsid w:val="272F5EAE"/>
    <w:rsid w:val="2813707B"/>
    <w:rsid w:val="28792247"/>
    <w:rsid w:val="28891615"/>
    <w:rsid w:val="28E05122"/>
    <w:rsid w:val="28E2121A"/>
    <w:rsid w:val="28F24A7E"/>
    <w:rsid w:val="2A2F21FB"/>
    <w:rsid w:val="2AF71A2D"/>
    <w:rsid w:val="2C893AB4"/>
    <w:rsid w:val="2DAF6932"/>
    <w:rsid w:val="2EF86BFD"/>
    <w:rsid w:val="30FA2F9E"/>
    <w:rsid w:val="31180DDD"/>
    <w:rsid w:val="31961813"/>
    <w:rsid w:val="33CF694A"/>
    <w:rsid w:val="376D5B2B"/>
    <w:rsid w:val="379637CE"/>
    <w:rsid w:val="3C653C4C"/>
    <w:rsid w:val="40443C5D"/>
    <w:rsid w:val="409E2D31"/>
    <w:rsid w:val="418C24DE"/>
    <w:rsid w:val="41A1365E"/>
    <w:rsid w:val="43B54D50"/>
    <w:rsid w:val="441F380E"/>
    <w:rsid w:val="4455757A"/>
    <w:rsid w:val="44F3200D"/>
    <w:rsid w:val="45B07F29"/>
    <w:rsid w:val="46612135"/>
    <w:rsid w:val="46A43C96"/>
    <w:rsid w:val="46B13137"/>
    <w:rsid w:val="476379B2"/>
    <w:rsid w:val="47870865"/>
    <w:rsid w:val="4945719B"/>
    <w:rsid w:val="4A3023D5"/>
    <w:rsid w:val="4D0C7402"/>
    <w:rsid w:val="4E1C42DE"/>
    <w:rsid w:val="4E952414"/>
    <w:rsid w:val="505274F3"/>
    <w:rsid w:val="50746AF7"/>
    <w:rsid w:val="51F13AD3"/>
    <w:rsid w:val="52943AB8"/>
    <w:rsid w:val="529D0EFA"/>
    <w:rsid w:val="538364F8"/>
    <w:rsid w:val="540826F9"/>
    <w:rsid w:val="544E169B"/>
    <w:rsid w:val="54AD787B"/>
    <w:rsid w:val="54F53CA3"/>
    <w:rsid w:val="558372D7"/>
    <w:rsid w:val="592011C1"/>
    <w:rsid w:val="59B45B02"/>
    <w:rsid w:val="5A5E23C8"/>
    <w:rsid w:val="5B2A5BF7"/>
    <w:rsid w:val="5B3832CB"/>
    <w:rsid w:val="5BAD7361"/>
    <w:rsid w:val="5D1E095A"/>
    <w:rsid w:val="5D771551"/>
    <w:rsid w:val="5E0854AF"/>
    <w:rsid w:val="5EE72CE0"/>
    <w:rsid w:val="5F2C5A2B"/>
    <w:rsid w:val="5FC73B94"/>
    <w:rsid w:val="601E2073"/>
    <w:rsid w:val="60580512"/>
    <w:rsid w:val="60E13429"/>
    <w:rsid w:val="61915C6E"/>
    <w:rsid w:val="61DE011B"/>
    <w:rsid w:val="63CE5C88"/>
    <w:rsid w:val="65906D42"/>
    <w:rsid w:val="663A6B91"/>
    <w:rsid w:val="66A00E53"/>
    <w:rsid w:val="67FF4FBE"/>
    <w:rsid w:val="682D2927"/>
    <w:rsid w:val="6AB46DC1"/>
    <w:rsid w:val="6C0C2038"/>
    <w:rsid w:val="6C292A34"/>
    <w:rsid w:val="6C336899"/>
    <w:rsid w:val="6C565905"/>
    <w:rsid w:val="71D93127"/>
    <w:rsid w:val="724D02B1"/>
    <w:rsid w:val="72805304"/>
    <w:rsid w:val="7522739C"/>
    <w:rsid w:val="761C50EF"/>
    <w:rsid w:val="7692010D"/>
    <w:rsid w:val="769A799B"/>
    <w:rsid w:val="77276508"/>
    <w:rsid w:val="78DB50B6"/>
    <w:rsid w:val="79236C2F"/>
    <w:rsid w:val="794A2942"/>
    <w:rsid w:val="79975B54"/>
    <w:rsid w:val="79E806A4"/>
    <w:rsid w:val="7A1A3806"/>
    <w:rsid w:val="7BC82417"/>
    <w:rsid w:val="7D770174"/>
    <w:rsid w:val="7EBF9E57"/>
    <w:rsid w:val="BCF751E9"/>
    <w:rsid w:val="FEE58B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622" w:firstLineChars="200"/>
      <w:jc w:val="left"/>
    </w:pPr>
    <w:rPr>
      <w:rFonts w:ascii="Times New Roman" w:hAnsi="Times New Roman" w:eastAsia="宋体" w:cstheme="minorBidi"/>
      <w:kern w:val="2"/>
      <w:sz w:val="24"/>
      <w:szCs w:val="24"/>
      <w:lang w:val="en-US" w:eastAsia="zh-CN" w:bidi="ar-SA"/>
    </w:rPr>
  </w:style>
  <w:style w:type="paragraph" w:styleId="2">
    <w:name w:val="heading 1"/>
    <w:basedOn w:val="1"/>
    <w:next w:val="1"/>
    <w:link w:val="34"/>
    <w:qFormat/>
    <w:uiPriority w:val="9"/>
    <w:pPr>
      <w:widowControl w:val="0"/>
      <w:numPr>
        <w:ilvl w:val="0"/>
        <w:numId w:val="1"/>
      </w:numPr>
      <w:spacing w:line="590" w:lineRule="exact"/>
      <w:ind w:left="0" w:firstLine="200" w:firstLineChars="200"/>
      <w:outlineLvl w:val="0"/>
    </w:pPr>
    <w:rPr>
      <w:rFonts w:ascii="Times New Roman" w:hAnsi="Times New Roman" w:eastAsia="黑体" w:cs="Times New Roman"/>
      <w:kern w:val="2"/>
      <w:sz w:val="32"/>
      <w:szCs w:val="32"/>
      <w:lang w:val="en-US" w:eastAsia="zh-CN" w:bidi="ar-SA"/>
    </w:rPr>
  </w:style>
  <w:style w:type="paragraph" w:styleId="3">
    <w:name w:val="heading 2"/>
    <w:basedOn w:val="1"/>
    <w:next w:val="1"/>
    <w:link w:val="36"/>
    <w:unhideWhenUsed/>
    <w:qFormat/>
    <w:uiPriority w:val="9"/>
    <w:pPr>
      <w:widowControl w:val="0"/>
      <w:numPr>
        <w:ilvl w:val="1"/>
        <w:numId w:val="1"/>
      </w:numPr>
      <w:autoSpaceDE w:val="0"/>
      <w:autoSpaceDN w:val="0"/>
      <w:adjustRightInd w:val="0"/>
      <w:spacing w:line="590" w:lineRule="exact"/>
      <w:ind w:left="0" w:firstLine="200" w:firstLineChars="200"/>
      <w:outlineLvl w:val="1"/>
    </w:pPr>
    <w:rPr>
      <w:rFonts w:ascii="Times New Roman" w:hAnsi="Times New Roman" w:eastAsia="楷体_GB2312" w:cs="Times New Roman"/>
      <w:bCs/>
      <w:kern w:val="2"/>
      <w:sz w:val="32"/>
      <w:szCs w:val="32"/>
      <w:lang w:val="en-US" w:eastAsia="zh-CN" w:bidi="ar-SA"/>
    </w:rPr>
  </w:style>
  <w:style w:type="paragraph" w:styleId="4">
    <w:name w:val="heading 3"/>
    <w:next w:val="5"/>
    <w:link w:val="37"/>
    <w:unhideWhenUsed/>
    <w:qFormat/>
    <w:uiPriority w:val="9"/>
    <w:pPr>
      <w:widowControl w:val="0"/>
      <w:numPr>
        <w:ilvl w:val="2"/>
        <w:numId w:val="1"/>
      </w:numPr>
      <w:spacing w:line="590" w:lineRule="exact"/>
      <w:ind w:left="0" w:firstLine="200" w:firstLineChars="200"/>
      <w:jc w:val="both"/>
      <w:outlineLvl w:val="2"/>
    </w:pPr>
    <w:rPr>
      <w:rFonts w:ascii="Times New Roman" w:hAnsi="Times New Roman" w:eastAsia="仿宋_GB2312" w:cs="Times New Roman"/>
      <w:bCs/>
      <w:kern w:val="2"/>
      <w:sz w:val="32"/>
      <w:szCs w:val="32"/>
      <w:lang w:val="en-US" w:eastAsia="zh-CN" w:bidi="ar-SA"/>
    </w:rPr>
  </w:style>
  <w:style w:type="paragraph" w:styleId="6">
    <w:name w:val="heading 4"/>
    <w:next w:val="5"/>
    <w:link w:val="38"/>
    <w:unhideWhenUsed/>
    <w:qFormat/>
    <w:uiPriority w:val="9"/>
    <w:pPr>
      <w:widowControl w:val="0"/>
      <w:numPr>
        <w:ilvl w:val="3"/>
        <w:numId w:val="1"/>
      </w:numPr>
      <w:autoSpaceDE w:val="0"/>
      <w:autoSpaceDN w:val="0"/>
      <w:adjustRightInd w:val="0"/>
      <w:spacing w:line="590" w:lineRule="exact"/>
      <w:ind w:left="0" w:firstLine="200" w:firstLineChars="200"/>
      <w:outlineLvl w:val="3"/>
    </w:pPr>
    <w:rPr>
      <w:rFonts w:ascii="Times New Roman" w:hAnsi="Times New Roman" w:eastAsia="仿宋_GB2312" w:cs="Times New Roman"/>
      <w:kern w:val="2"/>
      <w:sz w:val="32"/>
      <w:szCs w:val="32"/>
      <w:lang w:val="en-US" w:eastAsia="zh-CN" w:bidi="ar-SA"/>
    </w:rPr>
  </w:style>
  <w:style w:type="paragraph" w:styleId="7">
    <w:name w:val="heading 5"/>
    <w:next w:val="5"/>
    <w:link w:val="39"/>
    <w:unhideWhenUsed/>
    <w:qFormat/>
    <w:uiPriority w:val="9"/>
    <w:pPr>
      <w:spacing w:line="590" w:lineRule="exact"/>
      <w:ind w:firstLine="200" w:firstLineChars="200"/>
      <w:outlineLvl w:val="4"/>
    </w:pPr>
    <w:rPr>
      <w:rFonts w:ascii="Times New Roman" w:hAnsi="Times New Roman" w:eastAsia="仿宋_GB2312" w:cs="Times New Roman"/>
      <w:kern w:val="2"/>
      <w:sz w:val="32"/>
      <w:szCs w:val="32"/>
      <w:lang w:val="en-US" w:eastAsia="zh-CN" w:bidi="ar-SA"/>
    </w:rPr>
  </w:style>
  <w:style w:type="paragraph" w:styleId="8">
    <w:name w:val="heading 6"/>
    <w:next w:val="5"/>
    <w:link w:val="41"/>
    <w:unhideWhenUsed/>
    <w:qFormat/>
    <w:uiPriority w:val="9"/>
    <w:pPr>
      <w:spacing w:line="590" w:lineRule="exact"/>
      <w:ind w:firstLine="200" w:firstLineChars="200"/>
      <w:outlineLvl w:val="5"/>
    </w:pPr>
    <w:rPr>
      <w:rFonts w:ascii="Times New Roman" w:hAnsi="Times New Roman" w:eastAsia="仿宋_GB2312" w:cs="宋体"/>
      <w:kern w:val="2"/>
      <w:sz w:val="32"/>
      <w:szCs w:val="32"/>
      <w:lang w:val="en-US" w:eastAsia="zh-CN" w:bidi="ar-SA"/>
    </w:rPr>
  </w:style>
  <w:style w:type="paragraph" w:styleId="9">
    <w:name w:val="heading 7"/>
    <w:next w:val="5"/>
    <w:link w:val="50"/>
    <w:unhideWhenUsed/>
    <w:qFormat/>
    <w:uiPriority w:val="9"/>
    <w:pPr>
      <w:keepNext/>
      <w:keepLines/>
      <w:spacing w:line="590" w:lineRule="exact"/>
      <w:ind w:firstLine="200" w:firstLineChars="200"/>
      <w:outlineLvl w:val="6"/>
    </w:pPr>
    <w:rPr>
      <w:rFonts w:ascii="Times New Roman" w:hAnsi="Times New Roman" w:eastAsia="仿宋_GB2312" w:cs="Times New Roman"/>
      <w:bCs/>
      <w:kern w:val="2"/>
      <w:sz w:val="32"/>
      <w:szCs w:val="24"/>
      <w:lang w:val="en-US" w:eastAsia="zh-CN" w:bidi="ar-SA"/>
    </w:rPr>
  </w:style>
  <w:style w:type="paragraph" w:styleId="10">
    <w:name w:val="heading 8"/>
    <w:next w:val="5"/>
    <w:link w:val="51"/>
    <w:unhideWhenUsed/>
    <w:qFormat/>
    <w:uiPriority w:val="9"/>
    <w:pPr>
      <w:keepNext/>
      <w:keepLines/>
      <w:spacing w:line="590" w:lineRule="exact"/>
      <w:ind w:firstLine="200" w:firstLineChars="200"/>
      <w:outlineLvl w:val="7"/>
    </w:pPr>
    <w:rPr>
      <w:rFonts w:ascii="Times New Roman" w:hAnsi="Times New Roman" w:eastAsia="仿宋_GB2312" w:cstheme="majorBidi"/>
      <w:kern w:val="2"/>
      <w:sz w:val="32"/>
      <w:szCs w:val="24"/>
      <w:lang w:val="en-US" w:eastAsia="zh-CN" w:bidi="ar-SA"/>
    </w:rPr>
  </w:style>
  <w:style w:type="paragraph" w:styleId="11">
    <w:name w:val="heading 9"/>
    <w:next w:val="5"/>
    <w:link w:val="52"/>
    <w:semiHidden/>
    <w:unhideWhenUsed/>
    <w:qFormat/>
    <w:uiPriority w:val="9"/>
    <w:pPr>
      <w:keepNext/>
      <w:keepLines/>
      <w:spacing w:line="590" w:lineRule="exact"/>
      <w:ind w:firstLine="200" w:firstLineChars="200"/>
      <w:outlineLvl w:val="8"/>
    </w:pPr>
    <w:rPr>
      <w:rFonts w:ascii="Times New Roman" w:hAnsi="Times New Roman" w:eastAsia="仿宋_GB2312" w:cstheme="majorBidi"/>
      <w:kern w:val="2"/>
      <w:sz w:val="32"/>
      <w:szCs w:val="21"/>
      <w:lang w:val="en-US" w:eastAsia="zh-CN" w:bidi="ar-SA"/>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customStyle="1" w:styleId="5">
    <w:name w:val="我的正文"/>
    <w:link w:val="49"/>
    <w:qFormat/>
    <w:uiPriority w:val="0"/>
    <w:pPr>
      <w:widowControl w:val="0"/>
      <w:snapToGrid w:val="0"/>
      <w:spacing w:line="590" w:lineRule="exact"/>
      <w:ind w:firstLine="200" w:firstLineChars="200"/>
      <w:jc w:val="both"/>
    </w:pPr>
    <w:rPr>
      <w:rFonts w:ascii="Times New Roman" w:hAnsi="Times New Roman" w:eastAsia="仿宋_GB2312" w:cs="Times New Roman"/>
      <w:kern w:val="2"/>
      <w:sz w:val="32"/>
      <w:szCs w:val="24"/>
      <w:lang w:val="en-US" w:eastAsia="zh-CN" w:bidi="ar-SA"/>
    </w:rPr>
  </w:style>
  <w:style w:type="paragraph" w:styleId="12">
    <w:name w:val="toc 7"/>
    <w:basedOn w:val="1"/>
    <w:next w:val="1"/>
    <w:autoRedefine/>
    <w:unhideWhenUsed/>
    <w:qFormat/>
    <w:uiPriority w:val="39"/>
    <w:pPr>
      <w:ind w:left="2520" w:leftChars="1200"/>
    </w:pPr>
  </w:style>
  <w:style w:type="paragraph" w:styleId="13">
    <w:name w:val="caption"/>
    <w:next w:val="1"/>
    <w:unhideWhenUsed/>
    <w:qFormat/>
    <w:uiPriority w:val="35"/>
    <w:pPr>
      <w:spacing w:before="50" w:beforeLines="50" w:after="50" w:afterLines="50"/>
      <w:jc w:val="center"/>
    </w:pPr>
    <w:rPr>
      <w:rFonts w:ascii="Times New Roman" w:hAnsi="Times New Roman" w:eastAsia="黑体" w:cstheme="majorBidi"/>
      <w:kern w:val="2"/>
      <w:sz w:val="24"/>
      <w:szCs w:val="20"/>
      <w:lang w:val="en-US" w:eastAsia="zh-CN" w:bidi="ar-SA"/>
    </w:rPr>
  </w:style>
  <w:style w:type="paragraph" w:styleId="14">
    <w:name w:val="Body Text"/>
    <w:qFormat/>
    <w:uiPriority w:val="0"/>
    <w:pPr>
      <w:bidi w:val="0"/>
      <w:spacing w:line="240" w:lineRule="auto"/>
      <w:ind w:left="0" w:leftChars="0" w:firstLine="412" w:firstLineChars="200"/>
      <w:jc w:val="both"/>
    </w:pPr>
    <w:rPr>
      <w:rFonts w:ascii="Times New Roman" w:hAnsi="Times New Roman" w:eastAsia="宋体" w:cs="宋体"/>
      <w:spacing w:val="-2"/>
      <w:sz w:val="21"/>
    </w:rPr>
  </w:style>
  <w:style w:type="paragraph" w:styleId="15">
    <w:name w:val="toc 5"/>
    <w:basedOn w:val="1"/>
    <w:next w:val="1"/>
    <w:autoRedefine/>
    <w:unhideWhenUsed/>
    <w:qFormat/>
    <w:uiPriority w:val="39"/>
    <w:pPr>
      <w:ind w:left="1680" w:leftChars="800"/>
    </w:pPr>
  </w:style>
  <w:style w:type="paragraph" w:styleId="16">
    <w:name w:val="toc 3"/>
    <w:basedOn w:val="1"/>
    <w:next w:val="1"/>
    <w:autoRedefine/>
    <w:unhideWhenUsed/>
    <w:qFormat/>
    <w:uiPriority w:val="39"/>
    <w:pPr>
      <w:tabs>
        <w:tab w:val="right" w:leader="dot" w:pos="8222"/>
      </w:tabs>
      <w:spacing w:line="590" w:lineRule="exact"/>
      <w:ind w:left="840" w:leftChars="400" w:right="840" w:rightChars="400"/>
    </w:pPr>
    <w:rPr>
      <w:rFonts w:ascii="Times New Roman" w:hAnsi="Times New Roman" w:eastAsia="仿宋_GB2312"/>
      <w:sz w:val="24"/>
      <w:szCs w:val="24"/>
    </w:rPr>
  </w:style>
  <w:style w:type="paragraph" w:styleId="17">
    <w:name w:val="toc 8"/>
    <w:basedOn w:val="1"/>
    <w:next w:val="1"/>
    <w:autoRedefine/>
    <w:unhideWhenUsed/>
    <w:qFormat/>
    <w:uiPriority w:val="39"/>
    <w:pPr>
      <w:ind w:left="2940" w:leftChars="1400"/>
    </w:pPr>
  </w:style>
  <w:style w:type="paragraph" w:styleId="18">
    <w:name w:val="footer"/>
    <w:basedOn w:val="1"/>
    <w:link w:val="55"/>
    <w:unhideWhenUsed/>
    <w:qFormat/>
    <w:uiPriority w:val="99"/>
    <w:pPr>
      <w:tabs>
        <w:tab w:val="center" w:pos="4153"/>
        <w:tab w:val="right" w:pos="8306"/>
      </w:tabs>
      <w:snapToGrid w:val="0"/>
      <w:jc w:val="left"/>
    </w:pPr>
    <w:rPr>
      <w:sz w:val="18"/>
      <w:szCs w:val="18"/>
    </w:rPr>
  </w:style>
  <w:style w:type="paragraph" w:styleId="19">
    <w:name w:val="header"/>
    <w:basedOn w:val="1"/>
    <w:link w:val="54"/>
    <w:unhideWhenUsed/>
    <w:qFormat/>
    <w:uiPriority w:val="99"/>
    <w:pPr>
      <w:pBdr>
        <w:bottom w:val="single" w:color="auto" w:sz="6" w:space="1"/>
      </w:pBdr>
      <w:tabs>
        <w:tab w:val="center" w:pos="4153"/>
        <w:tab w:val="right" w:pos="8306"/>
      </w:tabs>
      <w:snapToGrid w:val="0"/>
      <w:jc w:val="center"/>
    </w:pPr>
    <w:rPr>
      <w:sz w:val="18"/>
      <w:szCs w:val="18"/>
    </w:rPr>
  </w:style>
  <w:style w:type="paragraph" w:styleId="20">
    <w:name w:val="toc 1"/>
    <w:basedOn w:val="1"/>
    <w:next w:val="1"/>
    <w:autoRedefine/>
    <w:unhideWhenUsed/>
    <w:qFormat/>
    <w:uiPriority w:val="39"/>
    <w:pPr>
      <w:tabs>
        <w:tab w:val="left" w:pos="840"/>
        <w:tab w:val="right" w:leader="dot" w:pos="8296"/>
      </w:tabs>
      <w:spacing w:line="590" w:lineRule="exact"/>
      <w:ind w:right="840" w:rightChars="400"/>
    </w:pPr>
    <w:rPr>
      <w:rFonts w:ascii="Times New Roman" w:hAnsi="Times New Roman" w:eastAsia="黑体"/>
      <w:sz w:val="24"/>
      <w:szCs w:val="24"/>
    </w:rPr>
  </w:style>
  <w:style w:type="paragraph" w:styleId="21">
    <w:name w:val="toc 4"/>
    <w:basedOn w:val="1"/>
    <w:next w:val="1"/>
    <w:autoRedefine/>
    <w:unhideWhenUsed/>
    <w:qFormat/>
    <w:uiPriority w:val="39"/>
    <w:pPr>
      <w:ind w:left="1260" w:leftChars="600"/>
    </w:pPr>
  </w:style>
  <w:style w:type="paragraph" w:styleId="22">
    <w:name w:val="Subtitle"/>
    <w:next w:val="5"/>
    <w:link w:val="53"/>
    <w:qFormat/>
    <w:uiPriority w:val="11"/>
    <w:pPr>
      <w:spacing w:before="240" w:after="60" w:line="312" w:lineRule="auto"/>
      <w:jc w:val="center"/>
      <w:outlineLvl w:val="1"/>
    </w:pPr>
    <w:rPr>
      <w:rFonts w:asciiTheme="minorHAnsi" w:hAnsiTheme="minorHAnsi" w:eastAsiaTheme="minorEastAsia" w:cstheme="minorBidi"/>
      <w:b/>
      <w:bCs/>
      <w:kern w:val="28"/>
      <w:sz w:val="32"/>
      <w:szCs w:val="32"/>
      <w:lang w:val="en-US" w:eastAsia="zh-CN" w:bidi="ar-SA"/>
    </w:rPr>
  </w:style>
  <w:style w:type="paragraph" w:styleId="23">
    <w:name w:val="footnote text"/>
    <w:basedOn w:val="1"/>
    <w:semiHidden/>
    <w:unhideWhenUsed/>
    <w:qFormat/>
    <w:uiPriority w:val="99"/>
    <w:pPr>
      <w:snapToGrid w:val="0"/>
      <w:jc w:val="left"/>
    </w:pPr>
    <w:rPr>
      <w:sz w:val="18"/>
    </w:rPr>
  </w:style>
  <w:style w:type="paragraph" w:styleId="24">
    <w:name w:val="toc 6"/>
    <w:basedOn w:val="1"/>
    <w:next w:val="1"/>
    <w:autoRedefine/>
    <w:unhideWhenUsed/>
    <w:qFormat/>
    <w:uiPriority w:val="39"/>
    <w:pPr>
      <w:ind w:left="2100" w:leftChars="1000"/>
    </w:pPr>
  </w:style>
  <w:style w:type="paragraph" w:styleId="25">
    <w:name w:val="toc 2"/>
    <w:basedOn w:val="1"/>
    <w:next w:val="1"/>
    <w:autoRedefine/>
    <w:unhideWhenUsed/>
    <w:qFormat/>
    <w:uiPriority w:val="39"/>
    <w:pPr>
      <w:tabs>
        <w:tab w:val="left" w:pos="426"/>
        <w:tab w:val="right" w:leader="dot" w:pos="8296"/>
      </w:tabs>
      <w:spacing w:line="590" w:lineRule="exact"/>
      <w:ind w:left="420" w:leftChars="200" w:right="840" w:rightChars="400"/>
    </w:pPr>
    <w:rPr>
      <w:rFonts w:ascii="Times New Roman" w:hAnsi="Times New Roman" w:eastAsia="楷体_GB2312"/>
      <w:sz w:val="24"/>
      <w:szCs w:val="24"/>
    </w:rPr>
  </w:style>
  <w:style w:type="paragraph" w:styleId="26">
    <w:name w:val="toc 9"/>
    <w:basedOn w:val="1"/>
    <w:next w:val="1"/>
    <w:autoRedefine/>
    <w:unhideWhenUsed/>
    <w:qFormat/>
    <w:uiPriority w:val="39"/>
    <w:pPr>
      <w:ind w:left="3360" w:leftChars="1600"/>
    </w:pPr>
  </w:style>
  <w:style w:type="paragraph" w:styleId="27">
    <w:name w:val="Title"/>
    <w:next w:val="5"/>
    <w:link w:val="35"/>
    <w:qFormat/>
    <w:uiPriority w:val="10"/>
    <w:pPr>
      <w:spacing w:line="564" w:lineRule="exact"/>
      <w:jc w:val="center"/>
    </w:pPr>
    <w:rPr>
      <w:rFonts w:ascii="方正小标宋简体" w:hAnsi="Times New Roman" w:eastAsia="方正小标宋简体" w:cs="Times New Roman"/>
      <w:kern w:val="2"/>
      <w:sz w:val="44"/>
      <w:szCs w:val="44"/>
      <w:lang w:val="en-US" w:eastAsia="zh-CN" w:bidi="ar-SA"/>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Hyperlink"/>
    <w:basedOn w:val="30"/>
    <w:unhideWhenUsed/>
    <w:qFormat/>
    <w:uiPriority w:val="99"/>
    <w:rPr>
      <w:color w:val="0026E5" w:themeColor="hyperlink"/>
      <w:u w:val="single"/>
      <w14:textFill>
        <w14:solidFill>
          <w14:schemeClr w14:val="hlink"/>
        </w14:solidFill>
      </w14:textFill>
    </w:rPr>
  </w:style>
  <w:style w:type="character" w:styleId="33">
    <w:name w:val="footnote reference"/>
    <w:basedOn w:val="30"/>
    <w:semiHidden/>
    <w:unhideWhenUsed/>
    <w:qFormat/>
    <w:uiPriority w:val="99"/>
    <w:rPr>
      <w:vertAlign w:val="superscript"/>
    </w:rPr>
  </w:style>
  <w:style w:type="character" w:customStyle="1" w:styleId="34">
    <w:name w:val="标题 1 字符"/>
    <w:basedOn w:val="30"/>
    <w:link w:val="2"/>
    <w:qFormat/>
    <w:uiPriority w:val="9"/>
    <w:rPr>
      <w:rFonts w:ascii="Times New Roman" w:hAnsi="Times New Roman" w:eastAsia="黑体" w:cs="Times New Roman"/>
      <w:sz w:val="32"/>
      <w:szCs w:val="32"/>
    </w:rPr>
  </w:style>
  <w:style w:type="character" w:customStyle="1" w:styleId="35">
    <w:name w:val="标题 字符"/>
    <w:basedOn w:val="30"/>
    <w:link w:val="27"/>
    <w:qFormat/>
    <w:uiPriority w:val="10"/>
    <w:rPr>
      <w:rFonts w:ascii="方正小标宋简体" w:hAnsi="Times New Roman" w:eastAsia="方正小标宋简体" w:cs="Times New Roman"/>
      <w:sz w:val="44"/>
      <w:szCs w:val="44"/>
    </w:rPr>
  </w:style>
  <w:style w:type="character" w:customStyle="1" w:styleId="36">
    <w:name w:val="标题 2 字符"/>
    <w:basedOn w:val="30"/>
    <w:link w:val="3"/>
    <w:qFormat/>
    <w:uiPriority w:val="9"/>
    <w:rPr>
      <w:rFonts w:ascii="Times New Roman" w:hAnsi="Times New Roman" w:eastAsia="楷体_GB2312" w:cs="Times New Roman"/>
      <w:bCs/>
      <w:sz w:val="32"/>
      <w:szCs w:val="32"/>
    </w:rPr>
  </w:style>
  <w:style w:type="character" w:customStyle="1" w:styleId="37">
    <w:name w:val="标题 3 字符"/>
    <w:basedOn w:val="30"/>
    <w:link w:val="4"/>
    <w:qFormat/>
    <w:uiPriority w:val="9"/>
    <w:rPr>
      <w:rFonts w:ascii="Times New Roman" w:hAnsi="Times New Roman" w:eastAsia="仿宋_GB2312" w:cs="Times New Roman"/>
      <w:bCs/>
      <w:sz w:val="32"/>
      <w:szCs w:val="32"/>
    </w:rPr>
  </w:style>
  <w:style w:type="character" w:customStyle="1" w:styleId="38">
    <w:name w:val="标题 4 字符"/>
    <w:basedOn w:val="30"/>
    <w:link w:val="6"/>
    <w:qFormat/>
    <w:uiPriority w:val="9"/>
    <w:rPr>
      <w:rFonts w:ascii="Times New Roman" w:hAnsi="Times New Roman" w:eastAsia="仿宋_GB2312" w:cs="Times New Roman"/>
      <w:sz w:val="32"/>
      <w:szCs w:val="32"/>
    </w:rPr>
  </w:style>
  <w:style w:type="character" w:customStyle="1" w:styleId="39">
    <w:name w:val="标题 5 字符"/>
    <w:basedOn w:val="30"/>
    <w:link w:val="7"/>
    <w:qFormat/>
    <w:uiPriority w:val="9"/>
    <w:rPr>
      <w:rFonts w:ascii="Times New Roman" w:hAnsi="Times New Roman" w:eastAsia="仿宋_GB2312" w:cs="Times New Roman"/>
      <w:sz w:val="32"/>
      <w:szCs w:val="32"/>
    </w:rPr>
  </w:style>
  <w:style w:type="paragraph" w:styleId="40">
    <w:name w:val="List Paragraph"/>
    <w:basedOn w:val="1"/>
    <w:qFormat/>
    <w:uiPriority w:val="34"/>
    <w:pPr>
      <w:ind w:firstLine="420" w:firstLineChars="200"/>
    </w:pPr>
  </w:style>
  <w:style w:type="character" w:customStyle="1" w:styleId="41">
    <w:name w:val="标题 6 字符"/>
    <w:basedOn w:val="30"/>
    <w:link w:val="8"/>
    <w:qFormat/>
    <w:uiPriority w:val="9"/>
    <w:rPr>
      <w:rFonts w:ascii="Times New Roman" w:hAnsi="Times New Roman" w:eastAsia="仿宋_GB2312" w:cs="宋体"/>
      <w:sz w:val="32"/>
      <w:szCs w:val="32"/>
    </w:rPr>
  </w:style>
  <w:style w:type="paragraph" w:customStyle="1" w:styleId="42">
    <w:name w:val="表"/>
    <w:link w:val="43"/>
    <w:qFormat/>
    <w:uiPriority w:val="0"/>
    <w:pPr>
      <w:spacing w:line="0" w:lineRule="atLeast"/>
    </w:pPr>
    <w:rPr>
      <w:rFonts w:ascii="Times New Roman" w:hAnsi="Times New Roman" w:eastAsia="宋体" w:cs="宋体"/>
      <w:color w:val="000000"/>
      <w:kern w:val="2"/>
      <w:sz w:val="24"/>
      <w:szCs w:val="22"/>
      <w:lang w:val="en-US" w:eastAsia="zh-CN" w:bidi="ar-SA"/>
    </w:rPr>
  </w:style>
  <w:style w:type="character" w:customStyle="1" w:styleId="43">
    <w:name w:val="表 字符"/>
    <w:basedOn w:val="30"/>
    <w:link w:val="42"/>
    <w:qFormat/>
    <w:uiPriority w:val="0"/>
    <w:rPr>
      <w:rFonts w:ascii="Times New Roman" w:hAnsi="Times New Roman" w:eastAsia="宋体" w:cs="宋体"/>
      <w:color w:val="000000"/>
      <w:sz w:val="24"/>
    </w:rPr>
  </w:style>
  <w:style w:type="paragraph" w:customStyle="1" w:styleId="44">
    <w:name w:val="图"/>
    <w:link w:val="45"/>
    <w:qFormat/>
    <w:uiPriority w:val="0"/>
    <w:pPr>
      <w:keepNext/>
      <w:jc w:val="center"/>
    </w:pPr>
    <w:rPr>
      <w:rFonts w:ascii="Times New Roman" w:hAnsi="Times New Roman" w:eastAsia="仿宋_GB2312" w:cs="Times New Roman"/>
      <w:kern w:val="2"/>
      <w:sz w:val="32"/>
      <w:szCs w:val="32"/>
      <w:lang w:val="en-US" w:eastAsia="zh-CN" w:bidi="ar-SA"/>
    </w:rPr>
  </w:style>
  <w:style w:type="character" w:customStyle="1" w:styleId="45">
    <w:name w:val="图 字符"/>
    <w:basedOn w:val="30"/>
    <w:link w:val="44"/>
    <w:qFormat/>
    <w:uiPriority w:val="0"/>
    <w:rPr>
      <w:rFonts w:ascii="Times New Roman" w:hAnsi="Times New Roman" w:eastAsia="仿宋_GB2312" w:cs="Times New Roman"/>
      <w:sz w:val="32"/>
      <w:szCs w:val="32"/>
    </w:rPr>
  </w:style>
  <w:style w:type="paragraph" w:customStyle="1" w:styleId="46">
    <w:name w:val="图表"/>
    <w:basedOn w:val="1"/>
    <w:link w:val="47"/>
    <w:qFormat/>
    <w:uiPriority w:val="0"/>
    <w:rPr>
      <w:rFonts w:ascii="宋体" w:hAnsi="宋体"/>
      <w:szCs w:val="21"/>
    </w:rPr>
  </w:style>
  <w:style w:type="character" w:customStyle="1" w:styleId="47">
    <w:name w:val="图表 Char"/>
    <w:link w:val="46"/>
    <w:qFormat/>
    <w:uiPriority w:val="0"/>
    <w:rPr>
      <w:rFonts w:ascii="宋体" w:hAnsi="宋体"/>
      <w:szCs w:val="21"/>
    </w:rPr>
  </w:style>
  <w:style w:type="table" w:customStyle="1" w:styleId="48">
    <w:name w:val="我的表格"/>
    <w:basedOn w:val="28"/>
    <w:qFormat/>
    <w:uiPriority w:val="39"/>
    <w:pPr>
      <w:jc w:val="center"/>
    </w:pPr>
    <w:tblPr>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jc w:val="center"/>
    </w:trPr>
    <w:tcPr>
      <w:shd w:val="clear" w:color="auto" w:fill="auto"/>
      <w:vAlign w:val="center"/>
    </w:tcPr>
    <w:tblStylePr w:type="firstRow">
      <w:pPr>
        <w:jc w:val="center"/>
      </w:pPr>
      <w:rPr>
        <w:rFonts w:eastAsiaTheme="minorEastAsia"/>
        <w:b/>
      </w:rPr>
      <w:tblPr/>
      <w:trPr>
        <w:tblHeader/>
      </w:trPr>
      <w:tcPr>
        <w:shd w:val="clear" w:color="auto" w:fill="BEBEBE" w:themeFill="background1" w:themeFillShade="BF"/>
      </w:tcPr>
    </w:tblStylePr>
  </w:style>
  <w:style w:type="character" w:customStyle="1" w:styleId="49">
    <w:name w:val="我的正文 字符"/>
    <w:basedOn w:val="30"/>
    <w:link w:val="5"/>
    <w:qFormat/>
    <w:uiPriority w:val="0"/>
    <w:rPr>
      <w:rFonts w:ascii="Times New Roman" w:hAnsi="Times New Roman" w:eastAsia="仿宋_GB2312" w:cs="Times New Roman"/>
      <w:sz w:val="32"/>
      <w:szCs w:val="24"/>
    </w:rPr>
  </w:style>
  <w:style w:type="character" w:customStyle="1" w:styleId="50">
    <w:name w:val="标题 7 字符"/>
    <w:basedOn w:val="30"/>
    <w:link w:val="9"/>
    <w:qFormat/>
    <w:uiPriority w:val="9"/>
    <w:rPr>
      <w:rFonts w:ascii="Times New Roman" w:hAnsi="Times New Roman" w:eastAsia="仿宋_GB2312" w:cs="Times New Roman"/>
      <w:bCs/>
      <w:sz w:val="32"/>
      <w:szCs w:val="24"/>
    </w:rPr>
  </w:style>
  <w:style w:type="character" w:customStyle="1" w:styleId="51">
    <w:name w:val="标题 8 字符"/>
    <w:basedOn w:val="30"/>
    <w:link w:val="10"/>
    <w:qFormat/>
    <w:uiPriority w:val="9"/>
    <w:rPr>
      <w:rFonts w:ascii="Times New Roman" w:hAnsi="Times New Roman" w:eastAsia="仿宋_GB2312" w:cstheme="majorBidi"/>
      <w:sz w:val="32"/>
      <w:szCs w:val="24"/>
    </w:rPr>
  </w:style>
  <w:style w:type="character" w:customStyle="1" w:styleId="52">
    <w:name w:val="标题 9 字符"/>
    <w:basedOn w:val="30"/>
    <w:link w:val="11"/>
    <w:semiHidden/>
    <w:qFormat/>
    <w:uiPriority w:val="9"/>
    <w:rPr>
      <w:rFonts w:ascii="Times New Roman" w:hAnsi="Times New Roman" w:eastAsia="仿宋_GB2312" w:cstheme="majorBidi"/>
      <w:sz w:val="32"/>
      <w:szCs w:val="21"/>
    </w:rPr>
  </w:style>
  <w:style w:type="character" w:customStyle="1" w:styleId="53">
    <w:name w:val="副标题 字符"/>
    <w:basedOn w:val="30"/>
    <w:link w:val="22"/>
    <w:qFormat/>
    <w:uiPriority w:val="11"/>
    <w:rPr>
      <w:b/>
      <w:bCs/>
      <w:kern w:val="28"/>
      <w:sz w:val="32"/>
      <w:szCs w:val="32"/>
    </w:rPr>
  </w:style>
  <w:style w:type="character" w:customStyle="1" w:styleId="54">
    <w:name w:val="页眉 字符"/>
    <w:basedOn w:val="30"/>
    <w:link w:val="19"/>
    <w:qFormat/>
    <w:uiPriority w:val="99"/>
    <w:rPr>
      <w:sz w:val="18"/>
      <w:szCs w:val="18"/>
    </w:rPr>
  </w:style>
  <w:style w:type="character" w:customStyle="1" w:styleId="55">
    <w:name w:val="页脚 字符"/>
    <w:basedOn w:val="30"/>
    <w:link w:val="18"/>
    <w:qFormat/>
    <w:uiPriority w:val="99"/>
    <w:rPr>
      <w:sz w:val="18"/>
      <w:szCs w:val="18"/>
    </w:rPr>
  </w:style>
  <w:style w:type="paragraph" w:customStyle="1" w:styleId="56">
    <w:name w:val="删除内容"/>
    <w:link w:val="58"/>
    <w:qFormat/>
    <w:uiPriority w:val="0"/>
    <w:pPr>
      <w:jc w:val="center"/>
    </w:pPr>
    <w:rPr>
      <w:rFonts w:ascii="宋体" w:hAnsi="宋体" w:eastAsia="楷体" w:cs="宋体"/>
      <w:strike/>
      <w:color w:val="FF0000"/>
      <w:kern w:val="2"/>
      <w:sz w:val="21"/>
      <w:szCs w:val="22"/>
      <w:lang w:val="en-US" w:eastAsia="zh-CN" w:bidi="ar-SA"/>
    </w:rPr>
  </w:style>
  <w:style w:type="paragraph" w:customStyle="1" w:styleId="57">
    <w:name w:val="新增内容"/>
    <w:link w:val="60"/>
    <w:qFormat/>
    <w:uiPriority w:val="0"/>
    <w:pPr>
      <w:jc w:val="both"/>
    </w:pPr>
    <w:rPr>
      <w:rFonts w:ascii="宋体" w:hAnsi="宋体" w:eastAsia="黑体" w:cs="宋体"/>
      <w:b/>
      <w:color w:val="0070C0"/>
      <w:kern w:val="2"/>
      <w:sz w:val="21"/>
      <w:szCs w:val="22"/>
      <w:lang w:val="en-US" w:eastAsia="zh-CN" w:bidi="ar-SA"/>
    </w:rPr>
  </w:style>
  <w:style w:type="character" w:customStyle="1" w:styleId="58">
    <w:name w:val="删除内容 字符"/>
    <w:basedOn w:val="43"/>
    <w:link w:val="56"/>
    <w:qFormat/>
    <w:uiPriority w:val="0"/>
    <w:rPr>
      <w:rFonts w:ascii="宋体" w:hAnsi="宋体" w:eastAsia="楷体" w:cs="宋体"/>
      <w:strike/>
      <w:color w:val="FF0000"/>
      <w:sz w:val="24"/>
    </w:rPr>
  </w:style>
  <w:style w:type="character" w:customStyle="1" w:styleId="59">
    <w:name w:val="Intense Reference"/>
    <w:basedOn w:val="30"/>
    <w:qFormat/>
    <w:uiPriority w:val="32"/>
    <w:rPr>
      <w:b/>
      <w:bCs/>
      <w:smallCaps/>
      <w:color w:val="4874CB" w:themeColor="accent1"/>
      <w:spacing w:val="5"/>
      <w14:textFill>
        <w14:solidFill>
          <w14:schemeClr w14:val="accent1"/>
        </w14:solidFill>
      </w14:textFill>
    </w:rPr>
  </w:style>
  <w:style w:type="character" w:customStyle="1" w:styleId="60">
    <w:name w:val="新增内容 字符"/>
    <w:basedOn w:val="43"/>
    <w:link w:val="57"/>
    <w:qFormat/>
    <w:uiPriority w:val="0"/>
    <w:rPr>
      <w:rFonts w:ascii="宋体" w:hAnsi="宋体" w:eastAsia="黑体" w:cs="宋体"/>
      <w:b/>
      <w:color w:val="0070C0"/>
      <w:sz w:val="24"/>
    </w:rPr>
  </w:style>
  <w:style w:type="paragraph" w:customStyle="1" w:styleId="61">
    <w:name w:val="公文正文"/>
    <w:basedOn w:val="5"/>
    <w:link w:val="63"/>
    <w:qFormat/>
    <w:uiPriority w:val="0"/>
    <w:pPr>
      <w:ind w:firstLine="480"/>
    </w:pPr>
  </w:style>
  <w:style w:type="paragraph" w:customStyle="1" w:styleId="62">
    <w:name w:val="H2"/>
    <w:basedOn w:val="1"/>
    <w:next w:val="1"/>
    <w:qFormat/>
    <w:uiPriority w:val="0"/>
    <w:pPr>
      <w:spacing w:line="590" w:lineRule="exact"/>
      <w:ind w:firstLine="640"/>
    </w:pPr>
    <w:rPr>
      <w:rFonts w:ascii="Times New Roman" w:hAnsi="Times New Roman" w:eastAsia="楷体_GB2312" w:cs="宋体"/>
      <w:sz w:val="32"/>
      <w:szCs w:val="20"/>
    </w:rPr>
  </w:style>
  <w:style w:type="character" w:customStyle="1" w:styleId="63">
    <w:name w:val="公文正文 字符"/>
    <w:basedOn w:val="49"/>
    <w:link w:val="61"/>
    <w:qFormat/>
    <w:uiPriority w:val="0"/>
    <w:rPr>
      <w:rFonts w:ascii="宋体" w:hAnsi="宋体" w:eastAsia="仿宋_GB2312" w:cs="Times New Roman"/>
      <w:sz w:val="32"/>
      <w:szCs w:val="24"/>
    </w:rPr>
  </w:style>
  <w:style w:type="paragraph" w:customStyle="1" w:styleId="64">
    <w:name w:val="TOC Heading"/>
    <w:basedOn w:val="2"/>
    <w:next w:val="1"/>
    <w:unhideWhenUsed/>
    <w:qFormat/>
    <w:uiPriority w:val="39"/>
    <w:pPr>
      <w:keepLines/>
      <w:numPr>
        <w:numId w:val="0"/>
      </w:numPr>
      <w:spacing w:before="240" w:line="259" w:lineRule="auto"/>
      <w:outlineLvl w:val="9"/>
    </w:pPr>
    <w:rPr>
      <w:rFonts w:asciiTheme="majorHAnsi" w:hAnsiTheme="majorHAnsi" w:eastAsiaTheme="majorEastAsia" w:cstheme="majorBidi"/>
      <w:color w:val="2E54A1" w:themeColor="accent1" w:themeShade="BF"/>
      <w:kern w:val="0"/>
    </w:rPr>
  </w:style>
  <w:style w:type="character" w:customStyle="1" w:styleId="65">
    <w:name w:val="Unresolved Mention"/>
    <w:basedOn w:val="30"/>
    <w:semiHidden/>
    <w:unhideWhenUsed/>
    <w:qFormat/>
    <w:uiPriority w:val="99"/>
    <w:rPr>
      <w:color w:val="605E5C"/>
      <w:shd w:val="clear" w:color="auto" w:fill="E1DFDD"/>
    </w:rPr>
  </w:style>
  <w:style w:type="paragraph" w:customStyle="1" w:styleId="66">
    <w:name w:val="Revision"/>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67">
    <w:name w:val="段内标题"/>
    <w:basedOn w:val="5"/>
    <w:link w:val="68"/>
    <w:qFormat/>
    <w:uiPriority w:val="0"/>
    <w:pPr>
      <w:ind w:firstLine="643"/>
    </w:pPr>
    <w:rPr>
      <w:b/>
    </w:rPr>
  </w:style>
  <w:style w:type="character" w:customStyle="1" w:styleId="68">
    <w:name w:val="段内标题 字符"/>
    <w:basedOn w:val="49"/>
    <w:link w:val="67"/>
    <w:qFormat/>
    <w:uiPriority w:val="0"/>
    <w:rPr>
      <w:rFonts w:ascii="Times New Roman" w:hAnsi="Times New Roman" w:eastAsia="仿宋_GB2312" w:cs="Times New Roman"/>
      <w:b/>
      <w:sz w:val="32"/>
      <w:szCs w:val="24"/>
    </w:rPr>
  </w:style>
  <w:style w:type="paragraph" w:styleId="69">
    <w:name w:val="Quote"/>
    <w:basedOn w:val="1"/>
    <w:next w:val="1"/>
    <w:link w:val="70"/>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70">
    <w:name w:val="引用 字符"/>
    <w:basedOn w:val="30"/>
    <w:link w:val="69"/>
    <w:qFormat/>
    <w:uiPriority w:val="29"/>
    <w:rPr>
      <w:i/>
      <w:iCs/>
      <w:color w:val="404040" w:themeColor="text1" w:themeTint="BF"/>
      <w14:textFill>
        <w14:solidFill>
          <w14:schemeClr w14:val="tx1">
            <w14:lumMod w14:val="75000"/>
            <w14:lumOff w14:val="25000"/>
          </w14:schemeClr>
        </w14:solidFill>
      </w14:textFill>
    </w:rPr>
  </w:style>
  <w:style w:type="character" w:customStyle="1" w:styleId="71">
    <w:name w:val="Intense Emphasis"/>
    <w:basedOn w:val="30"/>
    <w:qFormat/>
    <w:uiPriority w:val="21"/>
    <w:rPr>
      <w:i/>
      <w:iCs/>
      <w:color w:val="2E54A1" w:themeColor="accent1" w:themeShade="BF"/>
    </w:rPr>
  </w:style>
  <w:style w:type="paragraph" w:styleId="72">
    <w:name w:val="Intense Quote"/>
    <w:basedOn w:val="1"/>
    <w:next w:val="1"/>
    <w:link w:val="73"/>
    <w:qFormat/>
    <w:uiPriority w:val="30"/>
    <w:pPr>
      <w:pBdr>
        <w:top w:val="single" w:color="2D54A0" w:themeColor="accent1" w:themeShade="BF" w:sz="4" w:space="10"/>
        <w:bottom w:val="single" w:color="2D54A0" w:themeColor="accent1" w:themeShade="BF" w:sz="4" w:space="10"/>
      </w:pBdr>
      <w:spacing w:before="360" w:after="360"/>
      <w:ind w:left="864" w:right="864"/>
      <w:jc w:val="center"/>
    </w:pPr>
    <w:rPr>
      <w:i/>
      <w:iCs/>
      <w:color w:val="2E54A1" w:themeColor="accent1" w:themeShade="BF"/>
    </w:rPr>
  </w:style>
  <w:style w:type="character" w:customStyle="1" w:styleId="73">
    <w:name w:val="明显引用 字符"/>
    <w:basedOn w:val="30"/>
    <w:link w:val="72"/>
    <w:qFormat/>
    <w:uiPriority w:val="30"/>
    <w:rPr>
      <w:i/>
      <w:iCs/>
      <w:color w:val="2E54A1" w:themeColor="accent1" w:themeShade="BF"/>
    </w:rPr>
  </w:style>
  <w:style w:type="table" w:customStyle="1" w:styleId="7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numbering" Target="numbering.xml"/><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15E72401-377D-48AD-9F43-F350C0C41213}">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2681</Words>
  <Characters>3629</Characters>
  <Lines>1</Lines>
  <Paragraphs>1</Paragraphs>
  <TotalTime>0</TotalTime>
  <ScaleCrop>false</ScaleCrop>
  <LinksUpToDate>false</LinksUpToDate>
  <CharactersWithSpaces>3650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2026-01-13T07:01:00Z</dcterms:created>
  <dc:creator>Jin Wang</dc:creator>
  <cp:lastModifiedBy>.Carol</cp:lastModifiedBy>
  <cp:lastPrinted>2022-09-21T06:51:00Z</cp:lastPrinted>
  <dcterms:modified xsi:type="dcterms:W3CDTF">2026-05-22T00:45:22Z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eyJoZGlkIjoiYTVmODJjYWQ4ZGU4M2M5NTUwOWYwOGE1NTI1MTM1MmIiLCJ1c2VySWQiOiIzMTc5Mzg3MzUifQ==</vt:lpwstr>
  </property>
  <property fmtid="{D5CDD505-2E9C-101B-9397-08002B2CF9AE}" pid="3" name="KSOProductBuildVer">
    <vt:lpwstr>2052-12.1.0.25865</vt:lpwstr>
  </property>
  <property fmtid="{D5CDD505-2E9C-101B-9397-08002B2CF9AE}" pid="4" name="ICV">
    <vt:lpwstr>10F2163CB2165239F1170F6ADD37D885_43</vt:lpwstr>
  </property>
</Properties>
</file>