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7FE905">
      <w:pPr>
        <w:pStyle w:val="27"/>
        <w:bidi w:val="0"/>
        <w:rPr>
          <w:rFonts w:hint="eastAsia" w:eastAsia="方正小标宋简体"/>
          <w:lang w:eastAsia="zh-CN"/>
        </w:rPr>
      </w:pPr>
      <w:r>
        <w:rPr>
          <w:rFonts w:hint="eastAsia"/>
        </w:rPr>
        <w:t>碳普惠项目减排量核算技术规范</w:t>
      </w:r>
      <w:r>
        <w:rPr>
          <w:rFonts w:hint="eastAsia"/>
        </w:rPr>
        <w:br w:type="textWrapping"/>
      </w:r>
      <w:r>
        <w:rPr>
          <w:rFonts w:hint="eastAsia"/>
        </w:rPr>
        <w:t>低碳</w:t>
      </w:r>
      <w:r>
        <w:rPr>
          <w:rFonts w:hint="eastAsia"/>
          <w:lang w:val="en-US" w:eastAsia="zh-CN"/>
        </w:rPr>
        <w:t xml:space="preserve">住宿  </w:t>
      </w:r>
      <w:r>
        <w:rPr>
          <w:rFonts w:hint="eastAsia"/>
        </w:rPr>
        <w:t>编制说明</w:t>
      </w:r>
      <w:r>
        <w:rPr>
          <w:rFonts w:hint="eastAsia"/>
          <w:lang w:eastAsia="zh-CN"/>
        </w:rPr>
        <w:t>（</w:t>
      </w:r>
      <w:r>
        <w:rPr>
          <w:rFonts w:hint="eastAsia"/>
          <w:lang w:val="en-US" w:eastAsia="zh-CN"/>
        </w:rPr>
        <w:t>初稿</w:t>
      </w:r>
      <w:r>
        <w:rPr>
          <w:rFonts w:hint="eastAsia"/>
          <w:lang w:eastAsia="zh-CN"/>
        </w:rPr>
        <w:t>）</w:t>
      </w:r>
    </w:p>
    <w:p w14:paraId="7C989AAB">
      <w:pPr>
        <w:pStyle w:val="5"/>
        <w:rPr>
          <w:rFonts w:hint="eastAsia"/>
        </w:rPr>
      </w:pPr>
    </w:p>
    <w:p w14:paraId="7B273AF9">
      <w:pPr>
        <w:pStyle w:val="5"/>
        <w:rPr>
          <w:rFonts w:hint="eastAsia"/>
        </w:rPr>
      </w:pPr>
    </w:p>
    <w:p w14:paraId="3E85B217">
      <w:pPr>
        <w:pStyle w:val="5"/>
        <w:rPr>
          <w:rFonts w:hint="eastAsia"/>
        </w:rPr>
      </w:pPr>
    </w:p>
    <w:p w14:paraId="416A4E85">
      <w:pPr>
        <w:pStyle w:val="5"/>
        <w:rPr>
          <w:rFonts w:hint="eastAsia"/>
        </w:rPr>
      </w:pPr>
    </w:p>
    <w:p w14:paraId="0D572FBA">
      <w:pPr>
        <w:pStyle w:val="5"/>
        <w:rPr>
          <w:rFonts w:hint="eastAsia"/>
        </w:rPr>
      </w:pPr>
    </w:p>
    <w:p w14:paraId="303B4094">
      <w:pPr>
        <w:pStyle w:val="5"/>
        <w:rPr>
          <w:rFonts w:hint="eastAsia"/>
        </w:rPr>
      </w:pPr>
    </w:p>
    <w:p w14:paraId="03039AA4">
      <w:pPr>
        <w:pStyle w:val="5"/>
        <w:rPr>
          <w:rFonts w:hint="eastAsia"/>
        </w:rPr>
      </w:pPr>
    </w:p>
    <w:p w14:paraId="6C538BC0">
      <w:pPr>
        <w:pStyle w:val="5"/>
        <w:rPr>
          <w:rFonts w:hint="eastAsia"/>
        </w:rPr>
      </w:pPr>
    </w:p>
    <w:p w14:paraId="531DE52A">
      <w:pPr>
        <w:pStyle w:val="5"/>
        <w:rPr>
          <w:rFonts w:hint="eastAsia"/>
        </w:rPr>
      </w:pPr>
    </w:p>
    <w:p w14:paraId="6F4788D3">
      <w:pPr>
        <w:pStyle w:val="5"/>
        <w:rPr>
          <w:rFonts w:hint="eastAsia"/>
        </w:rPr>
      </w:pPr>
    </w:p>
    <w:p w14:paraId="1023F162">
      <w:pPr>
        <w:pStyle w:val="5"/>
        <w:rPr>
          <w:rFonts w:hint="eastAsia"/>
        </w:rPr>
      </w:pPr>
    </w:p>
    <w:p w14:paraId="76795758">
      <w:pPr>
        <w:pStyle w:val="5"/>
        <w:rPr>
          <w:rFonts w:hint="eastAsia"/>
        </w:rPr>
      </w:pPr>
    </w:p>
    <w:p w14:paraId="3D45E5D1">
      <w:pPr>
        <w:pStyle w:val="5"/>
        <w:rPr>
          <w:rFonts w:hint="eastAsia"/>
        </w:rPr>
      </w:pPr>
    </w:p>
    <w:p w14:paraId="58E4F418">
      <w:pPr>
        <w:pStyle w:val="5"/>
        <w:rPr>
          <w:rFonts w:hint="eastAsia"/>
        </w:rPr>
      </w:pPr>
    </w:p>
    <w:p w14:paraId="7AA1DC06">
      <w:pPr>
        <w:pStyle w:val="5"/>
        <w:rPr>
          <w:rFonts w:hint="eastAsia"/>
        </w:rPr>
      </w:pPr>
    </w:p>
    <w:p w14:paraId="66D5F68F">
      <w:pPr>
        <w:pStyle w:val="5"/>
        <w:jc w:val="center"/>
        <w:rPr>
          <w:rFonts w:hint="eastAsia" w:ascii="黑体" w:hAnsi="黑体" w:eastAsia="黑体" w:cs="黑体"/>
          <w:lang w:val="en-US" w:eastAsia="zh-CN"/>
        </w:rPr>
      </w:pPr>
      <w:r>
        <w:rPr>
          <w:rFonts w:hint="eastAsia" w:ascii="黑体" w:hAnsi="黑体" w:eastAsia="黑体" w:cs="黑体"/>
          <w:lang w:eastAsia="zh-CN"/>
        </w:rPr>
        <w:t>《碳普惠项目减排量核算技术规范</w:t>
      </w:r>
      <w:r>
        <w:rPr>
          <w:rFonts w:hint="eastAsia" w:ascii="黑体" w:hAnsi="黑体" w:eastAsia="黑体" w:cs="黑体"/>
          <w:lang w:val="en-US" w:eastAsia="zh-CN"/>
        </w:rPr>
        <w:t xml:space="preserve">  </w:t>
      </w:r>
      <w:r>
        <w:rPr>
          <w:rFonts w:hint="eastAsia" w:ascii="黑体" w:hAnsi="黑体" w:eastAsia="黑体" w:cs="黑体"/>
          <w:lang w:eastAsia="zh-CN"/>
        </w:rPr>
        <w:t>低碳</w:t>
      </w:r>
      <w:r>
        <w:rPr>
          <w:rFonts w:hint="eastAsia" w:ascii="黑体" w:hAnsi="黑体" w:eastAsia="黑体" w:cs="黑体"/>
          <w:lang w:val="en-US" w:eastAsia="zh-CN"/>
        </w:rPr>
        <w:t>住宿</w:t>
      </w:r>
      <w:r>
        <w:rPr>
          <w:rFonts w:hint="eastAsia" w:ascii="黑体" w:hAnsi="黑体" w:eastAsia="黑体" w:cs="黑体"/>
          <w:lang w:eastAsia="zh-CN"/>
        </w:rPr>
        <w:t>》</w:t>
      </w:r>
      <w:r>
        <w:rPr>
          <w:rFonts w:hint="eastAsia" w:ascii="黑体" w:hAnsi="黑体" w:eastAsia="黑体" w:cs="黑体"/>
          <w:lang w:val="en-US" w:eastAsia="zh-CN"/>
        </w:rPr>
        <w:t>编制组</w:t>
      </w:r>
    </w:p>
    <w:p w14:paraId="77ED0535">
      <w:pPr>
        <w:pStyle w:val="5"/>
        <w:jc w:val="center"/>
        <w:rPr>
          <w:rFonts w:hint="eastAsia" w:ascii="黑体" w:hAnsi="黑体" w:eastAsia="黑体" w:cs="黑体"/>
          <w:lang w:val="en-US" w:eastAsia="zh-CN"/>
        </w:rPr>
      </w:pPr>
      <w:r>
        <w:rPr>
          <w:rFonts w:hint="eastAsia" w:ascii="黑体" w:hAnsi="黑体" w:eastAsia="黑体" w:cs="黑体"/>
          <w:lang w:val="en-US" w:eastAsia="zh-CN"/>
        </w:rPr>
        <w:t>二〇二六年五月</w:t>
      </w:r>
    </w:p>
    <w:p w14:paraId="7C9E53B9">
      <w:pPr>
        <w:rPr>
          <w:rFonts w:hint="eastAsia" w:ascii="黑体" w:hAnsi="黑体" w:eastAsia="黑体" w:cs="黑体"/>
          <w:lang w:val="en-US" w:eastAsia="zh-CN"/>
        </w:rPr>
        <w:sectPr>
          <w:footerReference r:id="rId6" w:type="default"/>
          <w:headerReference r:id="rId5" w:type="even"/>
          <w:footerReference r:id="rId7" w:type="even"/>
          <w:pgSz w:w="11906" w:h="16838"/>
          <w:pgMar w:top="2098" w:right="1247" w:bottom="1758" w:left="1588" w:header="1134" w:footer="1503" w:gutter="0"/>
          <w:cols w:space="425" w:num="1"/>
          <w:titlePg/>
          <w:docGrid w:type="linesAndChars" w:linePitch="312" w:charSpace="0"/>
        </w:sectPr>
      </w:pPr>
    </w:p>
    <w:p w14:paraId="3FDE8760">
      <w:pPr>
        <w:pStyle w:val="2"/>
        <w:bidi w:val="0"/>
        <w:rPr>
          <w:rFonts w:hint="eastAsia"/>
          <w:lang w:val="en-US" w:eastAsia="zh-CN"/>
        </w:rPr>
      </w:pPr>
      <w:r>
        <w:rPr>
          <w:rFonts w:hint="eastAsia"/>
          <w:lang w:val="en-US" w:eastAsia="zh-CN"/>
        </w:rPr>
        <w:t>任务来源</w:t>
      </w:r>
    </w:p>
    <w:p w14:paraId="361C8965">
      <w:pPr>
        <w:pStyle w:val="5"/>
        <w:bidi w:val="0"/>
        <w:rPr>
          <w:rFonts w:hint="eastAsia"/>
          <w:lang w:val="en-US" w:eastAsia="zh-CN"/>
        </w:rPr>
      </w:pPr>
      <w:r>
        <w:rPr>
          <w:rFonts w:hint="eastAsia"/>
          <w:lang w:val="en-US" w:eastAsia="zh-CN"/>
        </w:rPr>
        <w:t>长岛国际零碳岛是全国首个以“国际零碳”为定位的海岛示范区，其《长岛国际零碳岛发展规划（2023—2035年）》明确提出“2027年碳排放较2023年下降20%、2030年主导产业与碳排放脱钩、2035年全域净零排放”三阶段目标。数据显示，2022年长岛温室气体排放总量达23.11万吨二氧化碳当量，碳汇量仅9.25万吨，净零排放缺口13.86万吨。</w:t>
      </w:r>
    </w:p>
    <w:p w14:paraId="5E12B62A">
      <w:pPr>
        <w:pStyle w:val="5"/>
        <w:bidi w:val="0"/>
        <w:rPr>
          <w:rFonts w:hint="eastAsia"/>
          <w:lang w:val="en-US" w:eastAsia="zh-CN"/>
        </w:rPr>
      </w:pPr>
      <w:r>
        <w:rPr>
          <w:rFonts w:hint="eastAsia"/>
          <w:lang w:val="en-US" w:eastAsia="zh-CN"/>
        </w:rPr>
        <w:t>当前，长岛已启动碳普惠平台小程序建设，但缺乏覆盖居民、游客及经营主体的具体场景方法学，无法精准核算低碳行为减排量，难以有效引导全社会参与。亟需开发适配长岛实际的碳普惠方法学，支撑规划目标落地，打造“国际零碳岛”碳普惠样板。</w:t>
      </w:r>
    </w:p>
    <w:p w14:paraId="6EC4308D">
      <w:pPr>
        <w:pStyle w:val="5"/>
        <w:bidi w:val="0"/>
        <w:rPr>
          <w:rFonts w:hint="default"/>
          <w:lang w:val="en-US" w:eastAsia="zh-CN"/>
        </w:rPr>
      </w:pPr>
      <w:r>
        <w:rPr>
          <w:rFonts w:hint="eastAsia"/>
          <w:lang w:val="en-US" w:eastAsia="zh-CN"/>
        </w:rPr>
        <w:t>根据以上情况，深圳市绿色低碳科技促进会发起《</w:t>
      </w:r>
      <w:r>
        <w:rPr>
          <w:rFonts w:hint="eastAsia"/>
        </w:rPr>
        <w:t>碳普惠项目减排量核算技术规范</w:t>
      </w:r>
      <w:r>
        <w:rPr>
          <w:rFonts w:hint="eastAsia"/>
          <w:lang w:val="en-US" w:eastAsia="zh-CN"/>
        </w:rPr>
        <w:t>》系列团体标准立项，本标准是其中之一。</w:t>
      </w:r>
    </w:p>
    <w:p w14:paraId="1D513200">
      <w:pPr>
        <w:pStyle w:val="2"/>
        <w:bidi w:val="0"/>
        <w:rPr>
          <w:rFonts w:hint="eastAsia"/>
          <w:lang w:val="en-US" w:eastAsia="zh-CN"/>
        </w:rPr>
      </w:pPr>
      <w:r>
        <w:rPr>
          <w:rFonts w:hint="eastAsia"/>
          <w:lang w:val="en-US" w:eastAsia="zh-CN"/>
        </w:rPr>
        <w:t>编制原则</w:t>
      </w:r>
    </w:p>
    <w:p w14:paraId="1840C454">
      <w:pPr>
        <w:pStyle w:val="5"/>
        <w:bidi w:val="0"/>
        <w:rPr>
          <w:rFonts w:hint="eastAsia"/>
          <w:lang w:val="en-US" w:eastAsia="zh-CN"/>
        </w:rPr>
      </w:pPr>
      <w:r>
        <w:rPr>
          <w:rFonts w:hint="eastAsia"/>
          <w:lang w:val="en-US" w:eastAsia="zh-CN"/>
        </w:rPr>
        <w:t>原则性：根据《中华人民共和国标准法》及其《实施细则》、《团体标准的结构和编写指南》（T/CAS 1.1-2017）进行编制。</w:t>
      </w:r>
    </w:p>
    <w:p w14:paraId="253AEAAF">
      <w:pPr>
        <w:pStyle w:val="5"/>
        <w:bidi w:val="0"/>
        <w:rPr>
          <w:rFonts w:hint="eastAsia"/>
          <w:lang w:val="en-US" w:eastAsia="zh-CN"/>
        </w:rPr>
      </w:pPr>
      <w:r>
        <w:rPr>
          <w:rFonts w:hint="eastAsia"/>
          <w:lang w:val="en-US" w:eastAsia="zh-CN"/>
        </w:rPr>
        <w:t>相关性：方法学需紧密贴合政策目标、产业需求及实际场景。</w:t>
      </w:r>
    </w:p>
    <w:p w14:paraId="35E1E7CF">
      <w:pPr>
        <w:pStyle w:val="5"/>
        <w:bidi w:val="0"/>
        <w:rPr>
          <w:rFonts w:hint="eastAsia"/>
          <w:lang w:val="en-US" w:eastAsia="zh-CN"/>
        </w:rPr>
      </w:pPr>
      <w:r>
        <w:rPr>
          <w:rFonts w:hint="eastAsia"/>
          <w:lang w:val="en-US" w:eastAsia="zh-CN"/>
        </w:rPr>
        <w:t>完整性：完整性要求方法学覆盖所有影响碳减排的关键环节和边界，避免因遗漏导致核算偏差。</w:t>
      </w:r>
    </w:p>
    <w:p w14:paraId="1F21CDE7">
      <w:pPr>
        <w:pStyle w:val="5"/>
        <w:bidi w:val="0"/>
        <w:rPr>
          <w:rFonts w:hint="eastAsia"/>
          <w:lang w:val="en-US" w:eastAsia="zh-CN"/>
        </w:rPr>
      </w:pPr>
      <w:r>
        <w:rPr>
          <w:rFonts w:hint="eastAsia"/>
          <w:lang w:val="en-US" w:eastAsia="zh-CN"/>
        </w:rPr>
        <w:t>准确性：强调核算方法的科学性与数据来源的可靠性，确保结果可验证、误差可控。</w:t>
      </w:r>
    </w:p>
    <w:p w14:paraId="0794EFC9">
      <w:pPr>
        <w:pStyle w:val="5"/>
        <w:bidi w:val="0"/>
        <w:rPr>
          <w:rFonts w:hint="eastAsia"/>
          <w:lang w:val="en-US" w:eastAsia="zh-CN"/>
        </w:rPr>
      </w:pPr>
      <w:r>
        <w:rPr>
          <w:rFonts w:hint="eastAsia"/>
          <w:lang w:val="en-US" w:eastAsia="zh-CN"/>
        </w:rPr>
        <w:t>透明性：要求方法学的核算逻辑、数据来源可追溯，确保第三方可复现核算过程并验证结果。</w:t>
      </w:r>
    </w:p>
    <w:p w14:paraId="22D987E7">
      <w:pPr>
        <w:pStyle w:val="5"/>
        <w:bidi w:val="0"/>
        <w:rPr>
          <w:rFonts w:hint="eastAsia"/>
          <w:lang w:val="en-US" w:eastAsia="zh-CN"/>
        </w:rPr>
      </w:pPr>
      <w:r>
        <w:rPr>
          <w:rFonts w:hint="eastAsia"/>
          <w:lang w:val="en-US" w:eastAsia="zh-CN"/>
        </w:rPr>
        <w:t>一致性：确保方法学在不同项目、不同时间中的应用逻辑统一，结果可比。</w:t>
      </w:r>
    </w:p>
    <w:p w14:paraId="6C634757">
      <w:pPr>
        <w:pStyle w:val="2"/>
        <w:bidi w:val="0"/>
        <w:rPr>
          <w:rFonts w:hint="eastAsia"/>
          <w:lang w:val="en-US" w:eastAsia="zh-CN"/>
        </w:rPr>
      </w:pPr>
      <w:r>
        <w:rPr>
          <w:rFonts w:hint="eastAsia"/>
          <w:lang w:val="en-US" w:eastAsia="zh-CN"/>
        </w:rPr>
        <w:t>编制思路</w:t>
      </w:r>
    </w:p>
    <w:p w14:paraId="6280C2E3">
      <w:pPr>
        <w:pStyle w:val="3"/>
        <w:bidi w:val="0"/>
        <w:rPr>
          <w:rFonts w:hint="eastAsia"/>
          <w:lang w:val="en-US" w:eastAsia="zh-CN"/>
        </w:rPr>
      </w:pPr>
      <w:r>
        <w:rPr>
          <w:rFonts w:hint="eastAsia"/>
          <w:lang w:val="en-US" w:eastAsia="zh-CN"/>
        </w:rPr>
        <w:t>系统边界</w:t>
      </w:r>
    </w:p>
    <w:p w14:paraId="46B38E1E">
      <w:pPr>
        <w:pStyle w:val="5"/>
        <w:rPr>
          <w:rFonts w:hint="eastAsia"/>
          <w:lang w:val="en-US" w:eastAsia="zh-CN"/>
        </w:rPr>
      </w:pPr>
      <w:r>
        <w:rPr>
          <w:rFonts w:hint="eastAsia"/>
          <w:lang w:val="en-US" w:eastAsia="zh-CN"/>
        </w:rPr>
        <w:t>在界定住宿环节的碳排放核算边界时，本项目同时考虑“住宿场景”与“用户行为”双个维度：</w:t>
      </w:r>
    </w:p>
    <w:p w14:paraId="61977073">
      <w:pPr>
        <w:pStyle w:val="5"/>
        <w:rPr>
          <w:rFonts w:hint="eastAsia"/>
          <w:lang w:val="en-US" w:eastAsia="zh-CN"/>
        </w:rPr>
      </w:pPr>
      <w:r>
        <w:rPr>
          <w:rFonts w:hint="eastAsia"/>
          <w:lang w:val="en-US" w:eastAsia="zh-CN"/>
        </w:rPr>
        <w:t>住宿场景维度（运营端），指酒店基础设施及公共区域运行产生的碳排放。酒店为满足星级评定标准，需按标准配置中央空调、景观照明、健身娱乐及大型厨房等设施，此类设施无论实际使用率高低均处于持续运行状态，其能耗将分摊至单个客房。随着酒店星级提升，其公共区域面积与配套设施豪华度增加，基础能耗与碳排放相应上升。</w:t>
      </w:r>
    </w:p>
    <w:p w14:paraId="73D9A68D">
      <w:pPr>
        <w:pStyle w:val="5"/>
        <w:rPr>
          <w:rFonts w:hint="eastAsia"/>
          <w:lang w:val="en-US" w:eastAsia="zh-CN"/>
        </w:rPr>
      </w:pPr>
      <w:r>
        <w:rPr>
          <w:rFonts w:hint="eastAsia"/>
          <w:lang w:val="en-US" w:eastAsia="zh-CN"/>
        </w:rPr>
        <w:t>用户行为维度（消费端），指入住期间消费者个人选择产生的碳排放。消费者入住酒店后的某些具体行为，如床单更换频率、一次性用品使用等，虽单次排放量微小，但在庞大的客流量基数下，其累积总量不容忽视。</w:t>
      </w:r>
    </w:p>
    <w:p w14:paraId="758C0E13">
      <w:pPr>
        <w:pStyle w:val="5"/>
        <w:rPr>
          <w:rFonts w:hint="eastAsia"/>
          <w:lang w:val="en-US" w:eastAsia="zh-CN"/>
        </w:rPr>
      </w:pPr>
      <w:r>
        <w:rPr>
          <w:rFonts w:hint="eastAsia"/>
          <w:lang w:val="en-US" w:eastAsia="zh-CN"/>
        </w:rPr>
        <w:t>综上，本研究通过核算运营端排放与消费端排放，旨在确保核算边界的完整性，客观反映住宿环节的碳排放水平。</w:t>
      </w:r>
    </w:p>
    <w:p w14:paraId="222F86B9">
      <w:pPr>
        <w:pStyle w:val="3"/>
        <w:bidi w:val="0"/>
        <w:rPr>
          <w:rFonts w:hint="eastAsia"/>
          <w:lang w:val="en-US" w:eastAsia="zh-CN"/>
        </w:rPr>
      </w:pPr>
      <w:r>
        <w:rPr>
          <w:rFonts w:hint="eastAsia"/>
          <w:lang w:val="en-US" w:eastAsia="zh-CN"/>
        </w:rPr>
        <w:t>基准线情景</w:t>
      </w:r>
    </w:p>
    <w:p w14:paraId="733674FD">
      <w:pPr>
        <w:pStyle w:val="5"/>
        <w:rPr>
          <w:rFonts w:hint="eastAsia"/>
          <w:lang w:val="en-US" w:eastAsia="zh-CN"/>
        </w:rPr>
      </w:pPr>
      <w:r>
        <w:rPr>
          <w:rFonts w:hint="eastAsia"/>
          <w:lang w:val="en-US" w:eastAsia="zh-CN"/>
        </w:rPr>
        <w:t>基准线情景是核算低碳住宿碳普惠行为减排量的重要参照。科学、合理地确定基准线情景，是确保减排量计算准确、项目环境效益真实可靠。</w:t>
      </w:r>
    </w:p>
    <w:p w14:paraId="39208FC7">
      <w:pPr>
        <w:pStyle w:val="5"/>
        <w:rPr>
          <w:rFonts w:hint="eastAsia"/>
          <w:lang w:val="en-US" w:eastAsia="zh-CN"/>
        </w:rPr>
      </w:pPr>
      <w:r>
        <w:rPr>
          <w:rFonts w:hint="eastAsia"/>
          <w:lang w:val="en-US" w:eastAsia="zh-CN"/>
        </w:rPr>
        <w:t>住宿场景维度（运营端）采用三、四、五星级酒店排放因子数据的加权平均结果。该设定主要基于对市场现状与数据质量的综合考量。不同星级酒店对客房面积、配套设施及服务质量均有明确量化要求，其能耗数据具备较高的可比性</w:t>
      </w:r>
      <w:r>
        <w:rPr>
          <w:rStyle w:val="33"/>
          <w:rFonts w:hint="eastAsia"/>
          <w:lang w:val="en-US" w:eastAsia="zh-CN"/>
        </w:rPr>
        <w:footnoteReference w:id="0"/>
      </w:r>
      <w:r>
        <w:rPr>
          <w:rFonts w:hint="eastAsia"/>
          <w:lang w:val="en-US" w:eastAsia="zh-CN"/>
        </w:rPr>
        <w:t>；相比之下，民宿、快捷酒店等业态虽有国家标准，但且运营模式差异较大，难以获取具有代表性的数据。</w:t>
      </w:r>
    </w:p>
    <w:p w14:paraId="2494365C">
      <w:pPr>
        <w:pStyle w:val="5"/>
        <w:rPr>
          <w:rFonts w:hint="eastAsia"/>
          <w:lang w:val="en-US" w:eastAsia="zh-CN"/>
        </w:rPr>
      </w:pPr>
      <w:r>
        <w:rPr>
          <w:rFonts w:hint="eastAsia"/>
          <w:lang w:val="en-US" w:eastAsia="zh-CN"/>
        </w:rPr>
        <w:t>用户行为维度（消费端），将入住后消费者主动选择常规服务行为（包括每日更换床单、毛巾、拖鞋及使用一次性用品等）的碳排放量作为基准线二。</w:t>
      </w:r>
    </w:p>
    <w:p w14:paraId="3E1BE21F">
      <w:pPr>
        <w:pStyle w:val="3"/>
        <w:bidi w:val="0"/>
        <w:rPr>
          <w:rFonts w:hint="eastAsia"/>
          <w:lang w:val="en-US" w:eastAsia="zh-CN"/>
        </w:rPr>
      </w:pPr>
      <w:r>
        <w:rPr>
          <w:rFonts w:hint="eastAsia"/>
          <w:lang w:val="en-US" w:eastAsia="zh-CN"/>
        </w:rPr>
        <w:t>项目活动情景</w:t>
      </w:r>
    </w:p>
    <w:p w14:paraId="1D6ADA68">
      <w:pPr>
        <w:pStyle w:val="5"/>
        <w:rPr>
          <w:rFonts w:hint="eastAsia"/>
          <w:lang w:val="en-US" w:eastAsia="zh-CN"/>
        </w:rPr>
      </w:pPr>
      <w:r>
        <w:rPr>
          <w:rFonts w:hint="eastAsia"/>
          <w:lang w:val="en-US" w:eastAsia="zh-CN"/>
        </w:rPr>
        <w:t>在确定具体项目活动碳排放时，首先依据用户选定的酒店星级，确定对应的碳排放基准水平作为项目活动碳排放的主要部分。在此基础上，叠加用户在入住期间可能采取的低碳行为，额外降低碳排放，构成项目活动的次要部分。这些低碳行为包括：在连续入住期间选择床品免更换、重复使用毛巾浴巾，减少洗涤频次实现节水节电，以及主动拒绝使用酒店提供的一次性洗漱用品与拖鞋，或选择自带洗漱用品。</w:t>
      </w:r>
    </w:p>
    <w:p w14:paraId="4A00383E">
      <w:pPr>
        <w:pStyle w:val="5"/>
        <w:rPr>
          <w:rFonts w:hint="eastAsia"/>
          <w:lang w:val="en-US" w:eastAsia="zh-CN"/>
        </w:rPr>
        <w:sectPr>
          <w:footerReference r:id="rId8" w:type="default"/>
          <w:pgSz w:w="11906" w:h="16838"/>
          <w:pgMar w:top="1440" w:right="1800" w:bottom="1440" w:left="1800" w:header="851" w:footer="992" w:gutter="0"/>
          <w:pgNumType w:start="1"/>
          <w:cols w:space="425" w:num="1"/>
          <w:docGrid w:type="lines" w:linePitch="312" w:charSpace="0"/>
        </w:sectPr>
      </w:pPr>
    </w:p>
    <w:p w14:paraId="591C03D0">
      <w:pPr>
        <w:pStyle w:val="2"/>
        <w:bidi w:val="0"/>
        <w:rPr>
          <w:rFonts w:hint="eastAsia"/>
          <w:lang w:val="en-US" w:eastAsia="zh-CN"/>
        </w:rPr>
      </w:pPr>
      <w:r>
        <w:rPr>
          <w:rFonts w:hint="eastAsia"/>
          <w:lang w:val="en-US" w:eastAsia="zh-CN"/>
        </w:rPr>
        <w:t>参数说明和数据来源</w:t>
      </w:r>
    </w:p>
    <w:p w14:paraId="7F26AD0F">
      <w:pPr>
        <w:pStyle w:val="3"/>
        <w:bidi w:val="0"/>
        <w:rPr>
          <w:rFonts w:hint="eastAsia"/>
          <w:lang w:val="en-US" w:eastAsia="zh-C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EF</m:t>
            </m:r>
            <m:ctrlPr>
              <w:rPr>
                <w:rFonts w:hint="default" w:ascii="Cambria Math" w:hAnsi="Cambria Math" w:cs="Cambria Math"/>
              </w:rPr>
            </m:ctrlPr>
          </m:e>
          <m:sub>
            <m:r>
              <m:rPr>
                <m:sty m:val="p"/>
              </m:rPr>
              <w:rPr>
                <w:rFonts w:hint="default" w:ascii="Cambria Math" w:hAnsi="Cambria Math" w:cs="Cambria Math"/>
                <w:lang w:val="en-US" w:eastAsia="zh-CN"/>
              </w:rPr>
              <m:t>ws</m:t>
            </m:r>
            <m:ctrlPr>
              <w:rPr>
                <w:rFonts w:hint="default" w:ascii="Cambria Math" w:hAnsi="Cambria Math" w:cs="Cambria Math"/>
              </w:rPr>
            </m:ctrlPr>
          </m:sub>
        </m:sSub>
      </m:oMath>
      <w:r>
        <w:rPr>
          <w:rFonts w:hint="eastAsia" w:hAnsi="Cambria Math" w:cs="Cambria Math"/>
          <w:i w:val="0"/>
          <w:lang w:eastAsia="zh-CN"/>
        </w:rPr>
        <w:t>：</w:t>
      </w:r>
      <w:r>
        <w:rPr>
          <w:rFonts w:hint="eastAsia" w:hAnsi="Cambria Math" w:cs="Cambria Math"/>
          <w:i w:val="0"/>
          <w:lang w:val="en-US" w:eastAsia="zh-CN"/>
        </w:rPr>
        <w:t>酒店</w:t>
      </w:r>
      <w:r>
        <w:rPr>
          <w:rFonts w:hint="eastAsia"/>
          <w:lang w:val="en-US" w:eastAsia="zh-CN"/>
        </w:rPr>
        <w:t>平均碳排放水平</w:t>
      </w:r>
    </w:p>
    <w:p w14:paraId="26F62233">
      <w:pPr>
        <w:pStyle w:val="5"/>
        <w:rPr>
          <w:rFonts w:hint="eastAsia"/>
          <w:lang w:val="en-US" w:eastAsia="zh-CN"/>
        </w:rPr>
      </w:pPr>
      <w:r>
        <w:rPr>
          <w:rFonts w:hint="eastAsia"/>
          <w:lang w:val="en-US" w:eastAsia="zh-CN"/>
        </w:rPr>
        <w:t>通过将全国i星级酒店建筑年均电耗按客房面积与房间数量折算为总用电量，再除以全年床位使用天数（床位数×365），最终得出单位床位每晚平均电力消耗量，单位为kWh/（床·晚），之后乘以不同星级酒店的数量（单位：家）的权重来计算。</w:t>
      </w:r>
    </w:p>
    <w:p w14:paraId="5E2C33E3">
      <w:pPr>
        <w:pStyle w:val="5"/>
        <w:rPr>
          <w:rFonts w:hint="eastAsia" w:hAnsi="Cambria Math"/>
          <w:i w:val="0"/>
          <w:sz w:val="30"/>
          <w:szCs w:val="30"/>
          <w:lang w:val="en-US" w:eastAsia="zh-CN"/>
        </w:rPr>
      </w:pPr>
      <m:oMathPara>
        <m:oMathParaPr>
          <m:jc m:val="left"/>
        </m:oMathParaPr>
        <m:oMath>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EF</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ws</m:t>
              </m:r>
              <m:ctrlPr>
                <w:rPr>
                  <w:rFonts w:hint="eastAsia" w:ascii="Cambria Math" w:hAnsi="Cambria Math"/>
                  <w:sz w:val="30"/>
                  <w:szCs w:val="30"/>
                  <w:lang w:val="en-US" w:eastAsia="zh-CN"/>
                </w:rPr>
              </m:ctrlPr>
            </m:sub>
          </m:sSub>
          <m:r>
            <m:rPr>
              <m:sty m:val="p"/>
            </m:rPr>
            <w:rPr>
              <w:rFonts w:hint="eastAsia" w:ascii="Cambria Math" w:hAnsi="Cambria Math"/>
              <w:sz w:val="30"/>
              <w:szCs w:val="30"/>
              <w:lang w:val="en-US" w:eastAsia="zh-CN"/>
            </w:rPr>
            <m:t>=</m:t>
          </m:r>
          <m:nary>
            <m:naryPr>
              <m:chr m:val="∑"/>
              <m:limLoc m:val="undOvr"/>
              <m:subHide m:val="1"/>
              <m:supHide m:val="1"/>
              <m:ctrlPr>
                <w:rPr>
                  <w:rFonts w:hint="eastAsia" w:ascii="Cambria Math" w:hAnsi="Cambria Math"/>
                  <w:sz w:val="30"/>
                  <w:szCs w:val="30"/>
                  <w:lang w:val="en-US" w:eastAsia="zh-CN"/>
                </w:rPr>
              </m:ctrlPr>
            </m:naryPr>
            <m:sub>
              <m:ctrlPr>
                <w:rPr>
                  <w:rFonts w:hint="eastAsia" w:ascii="Cambria Math" w:hAnsi="Cambria Math"/>
                  <w:sz w:val="30"/>
                  <w:szCs w:val="30"/>
                  <w:lang w:val="en-US" w:eastAsia="zh-CN"/>
                </w:rPr>
              </m:ctrlPr>
            </m:sub>
            <m:sup>
              <m:ctrlPr>
                <w:rPr>
                  <w:rFonts w:hint="eastAsia" w:ascii="Cambria Math" w:hAnsi="Cambria Math"/>
                  <w:sz w:val="30"/>
                  <w:szCs w:val="30"/>
                  <w:lang w:val="en-US" w:eastAsia="zh-CN"/>
                </w:rPr>
              </m:ctrlPr>
            </m:sup>
            <m:e>
              <m:d>
                <m:dPr>
                  <m:ctrlPr>
                    <w:rPr>
                      <w:rFonts w:hint="eastAsia" w:ascii="Cambria Math" w:hAnsi="Cambria Math"/>
                      <w:sz w:val="30"/>
                      <w:szCs w:val="30"/>
                      <w:lang w:val="en-US" w:eastAsia="zh-CN"/>
                    </w:rPr>
                  </m:ctrlPr>
                </m:dPr>
                <m:e>
                  <m:f>
                    <m:fPr>
                      <m:ctrlPr>
                        <w:rPr>
                          <w:rFonts w:hint="eastAsia" w:ascii="Cambria Math" w:hAnsi="Cambria Math"/>
                          <w:sz w:val="30"/>
                          <w:szCs w:val="30"/>
                          <w:lang w:val="en-US" w:eastAsia="zh-CN"/>
                        </w:rPr>
                      </m:ctrlPr>
                    </m:fPr>
                    <m:num>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E</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i</m:t>
                          </m:r>
                          <m:ctrlPr>
                            <w:rPr>
                              <w:rFonts w:hint="eastAsia" w:ascii="Cambria Math" w:hAnsi="Cambria Math"/>
                              <w:sz w:val="30"/>
                              <w:szCs w:val="30"/>
                              <w:lang w:val="en-US" w:eastAsia="zh-CN"/>
                            </w:rPr>
                          </m:ctrlPr>
                        </m:sub>
                      </m:sSub>
                      <m:r>
                        <m:rPr>
                          <m:sty m:val="p"/>
                        </m:rPr>
                        <w:rPr>
                          <w:rFonts w:hint="eastAsia" w:ascii="Cambria Math" w:hAnsi="Cambria Math"/>
                          <w:sz w:val="30"/>
                          <w:szCs w:val="30"/>
                          <w:lang w:val="en-US" w:eastAsia="zh-CN"/>
                        </w:rPr>
                        <m:t>×</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A</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i</m:t>
                          </m:r>
                          <m:ctrlPr>
                            <w:rPr>
                              <w:rFonts w:hint="eastAsia" w:ascii="Cambria Math" w:hAnsi="Cambria Math"/>
                              <w:sz w:val="30"/>
                              <w:szCs w:val="30"/>
                              <w:lang w:val="en-US" w:eastAsia="zh-CN"/>
                            </w:rPr>
                          </m:ctrlPr>
                        </m:sub>
                      </m:sSub>
                      <m:r>
                        <m:rPr>
                          <m:sty m:val="p"/>
                        </m:rPr>
                        <w:rPr>
                          <w:rFonts w:hint="eastAsia" w:ascii="Cambria Math" w:hAnsi="Cambria Math"/>
                          <w:sz w:val="30"/>
                          <w:szCs w:val="30"/>
                          <w:lang w:val="en-US" w:eastAsia="zh-CN"/>
                        </w:rPr>
                        <m:t>×</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R</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i</m:t>
                          </m:r>
                          <m:ctrlPr>
                            <w:rPr>
                              <w:rFonts w:hint="eastAsia" w:ascii="Cambria Math" w:hAnsi="Cambria Math"/>
                              <w:sz w:val="30"/>
                              <w:szCs w:val="30"/>
                              <w:lang w:val="en-US" w:eastAsia="zh-CN"/>
                            </w:rPr>
                          </m:ctrlPr>
                        </m:sub>
                      </m:sSub>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365×</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B</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i</m:t>
                          </m:r>
                          <m:ctrlPr>
                            <w:rPr>
                              <w:rFonts w:hint="eastAsia" w:ascii="Cambria Math" w:hAnsi="Cambria Math"/>
                              <w:sz w:val="30"/>
                              <w:szCs w:val="30"/>
                              <w:lang w:val="en-US" w:eastAsia="zh-CN"/>
                            </w:rPr>
                          </m:ctrlPr>
                        </m:sub>
                      </m:sSub>
                      <m:ctrlPr>
                        <w:rPr>
                          <w:rFonts w:hint="eastAsia" w:ascii="Cambria Math" w:hAnsi="Cambria Math"/>
                          <w:sz w:val="30"/>
                          <w:szCs w:val="30"/>
                          <w:lang w:val="en-US" w:eastAsia="zh-CN"/>
                        </w:rPr>
                      </m:ctrlPr>
                    </m:den>
                  </m:f>
                  <m:r>
                    <m:rPr>
                      <m:sty m:val="p"/>
                    </m:rPr>
                    <w:rPr>
                      <w:rFonts w:hint="eastAsia" w:ascii="Cambria Math" w:hAnsi="Cambria Math"/>
                      <w:sz w:val="30"/>
                      <w:szCs w:val="30"/>
                      <w:lang w:val="en-US" w:eastAsia="zh-CN"/>
                    </w:rPr>
                    <m:t>×</m:t>
                  </m:r>
                  <m:f>
                    <m:fPr>
                      <m:ctrlPr>
                        <w:rPr>
                          <w:rFonts w:hint="eastAsia" w:ascii="Cambria Math" w:hAnsi="Cambria Math"/>
                          <w:sz w:val="30"/>
                          <w:szCs w:val="30"/>
                          <w:lang w:val="en-US" w:eastAsia="zh-CN"/>
                        </w:rPr>
                      </m:ctrlPr>
                    </m:fPr>
                    <m:num>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N</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i</m:t>
                          </m:r>
                          <m:ctrlPr>
                            <w:rPr>
                              <w:rFonts w:hint="eastAsia" w:ascii="Cambria Math" w:hAnsi="Cambria Math"/>
                              <w:sz w:val="30"/>
                              <w:szCs w:val="30"/>
                              <w:lang w:val="en-US" w:eastAsia="zh-CN"/>
                            </w:rPr>
                          </m:ctrlPr>
                        </m:sub>
                      </m:sSub>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N</m:t>
                      </m:r>
                      <m:ctrlPr>
                        <w:rPr>
                          <w:rFonts w:hint="eastAsia" w:ascii="Cambria Math" w:hAnsi="Cambria Math"/>
                          <w:sz w:val="30"/>
                          <w:szCs w:val="30"/>
                          <w:lang w:val="en-US" w:eastAsia="zh-CN"/>
                        </w:rPr>
                      </m:ctrlPr>
                    </m:den>
                  </m:f>
                  <m:ctrlPr>
                    <w:rPr>
                      <w:rFonts w:hint="eastAsia" w:ascii="Cambria Math" w:hAnsi="Cambria Math"/>
                      <w:sz w:val="30"/>
                      <w:szCs w:val="30"/>
                      <w:lang w:val="en-US" w:eastAsia="zh-CN"/>
                    </w:rPr>
                  </m:ctrlPr>
                </m:e>
              </m:d>
              <m:r>
                <m:rPr>
                  <m:sty m:val="p"/>
                </m:rPr>
                <w:rPr>
                  <w:rFonts w:hint="eastAsia" w:ascii="Cambria Math" w:hAnsi="Cambria Math"/>
                  <w:sz w:val="30"/>
                  <w:szCs w:val="30"/>
                  <w:lang w:val="en-US" w:eastAsia="zh-CN"/>
                </w:rPr>
                <m:t>×</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EF</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EC</m:t>
                  </m:r>
                  <m:ctrlPr>
                    <w:rPr>
                      <w:rFonts w:hint="eastAsia" w:ascii="Cambria Math" w:hAnsi="Cambria Math"/>
                      <w:sz w:val="30"/>
                      <w:szCs w:val="30"/>
                      <w:lang w:val="en-US" w:eastAsia="zh-CN"/>
                    </w:rPr>
                  </m:ctrlPr>
                </m:sub>
              </m:sSub>
              <m:ctrlPr>
                <w:rPr>
                  <w:rFonts w:hint="eastAsia" w:ascii="Cambria Math" w:hAnsi="Cambria Math"/>
                  <w:sz w:val="30"/>
                  <w:szCs w:val="30"/>
                  <w:lang w:val="en-US" w:eastAsia="zh-CN"/>
                </w:rPr>
              </m:ctrlPr>
            </m:e>
          </m:nary>
        </m:oMath>
      </m:oMathPara>
    </w:p>
    <w:p w14:paraId="349CF895">
      <w:pPr>
        <w:pStyle w:val="5"/>
        <w:rPr>
          <w:rFonts w:hint="eastAsia" w:hAnsi="Cambria Math"/>
          <w:i w:val="0"/>
          <w:sz w:val="30"/>
          <w:szCs w:val="30"/>
          <w:lang w:val="en-US" w:eastAsia="zh-CN"/>
        </w:rPr>
      </w:pPr>
    </w:p>
    <w:p w14:paraId="6A529D05">
      <w:pPr>
        <w:pStyle w:val="5"/>
        <w:rPr>
          <w:rFonts w:hint="eastAsia" w:hAnsi="Cambria Math"/>
          <w:i w:val="0"/>
          <w:sz w:val="30"/>
          <w:szCs w:val="30"/>
          <w:lang w:val="en-US" w:eastAsia="zh-CN"/>
        </w:rPr>
      </w:pPr>
      <m:oMathPara>
        <m:oMathParaPr>
          <m:jc m:val="left"/>
        </m:oMathParaPr>
        <m:oMath>
          <m:r>
            <m:rPr>
              <m:sty m:val="p"/>
            </m:rPr>
            <w:rPr>
              <w:rFonts w:hint="eastAsia" w:ascii="Cambria Math" w:hAnsi="Cambria Math"/>
              <w:sz w:val="30"/>
              <w:szCs w:val="30"/>
              <w:lang w:val="en-US" w:eastAsia="zh-CN"/>
            </w:rPr>
            <m:t>=</m:t>
          </m:r>
          <m:d>
            <m:dPr>
              <m:ctrlPr>
                <w:rPr>
                  <w:rFonts w:hint="eastAsia" w:ascii="Cambria Math" w:hAnsi="Cambria Math"/>
                  <w:sz w:val="30"/>
                  <w:szCs w:val="30"/>
                  <w:lang w:val="en-US" w:eastAsia="zh-CN"/>
                </w:rPr>
              </m:ctrlPr>
            </m:dPr>
            <m:e>
              <m:f>
                <m:fPr>
                  <m:ctrlPr>
                    <w:rPr>
                      <w:rFonts w:hint="eastAsia" w:ascii="Cambria Math" w:hAnsi="Cambria Math"/>
                      <w:sz w:val="30"/>
                      <w:szCs w:val="30"/>
                      <w:lang w:val="en-US" w:eastAsia="zh-CN"/>
                    </w:rPr>
                  </m:ctrlPr>
                </m:fPr>
                <m:num>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E</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3</m:t>
                      </m:r>
                      <m:ctrlPr>
                        <w:rPr>
                          <w:rFonts w:hint="eastAsia" w:ascii="Cambria Math" w:hAnsi="Cambria Math"/>
                          <w:sz w:val="30"/>
                          <w:szCs w:val="30"/>
                          <w:lang w:val="en-US" w:eastAsia="zh-CN"/>
                        </w:rPr>
                      </m:ctrlPr>
                    </m:sub>
                  </m:sSub>
                  <m:r>
                    <m:rPr>
                      <m:sty m:val="p"/>
                    </m:rPr>
                    <w:rPr>
                      <w:rFonts w:hint="eastAsia" w:ascii="Cambria Math" w:hAnsi="Cambria Math"/>
                      <w:sz w:val="30"/>
                      <w:szCs w:val="30"/>
                      <w:lang w:val="en-US" w:eastAsia="zh-CN"/>
                    </w:rPr>
                    <m:t>×</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A</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3</m:t>
                      </m:r>
                      <m:ctrlPr>
                        <w:rPr>
                          <w:rFonts w:hint="eastAsia" w:ascii="Cambria Math" w:hAnsi="Cambria Math"/>
                          <w:sz w:val="30"/>
                          <w:szCs w:val="30"/>
                          <w:lang w:val="en-US" w:eastAsia="zh-CN"/>
                        </w:rPr>
                      </m:ctrlPr>
                    </m:sub>
                  </m:sSub>
                  <m:r>
                    <m:rPr>
                      <m:sty m:val="p"/>
                    </m:rPr>
                    <w:rPr>
                      <w:rFonts w:hint="eastAsia" w:ascii="Cambria Math" w:hAnsi="Cambria Math"/>
                      <w:sz w:val="30"/>
                      <w:szCs w:val="30"/>
                      <w:lang w:val="en-US" w:eastAsia="zh-CN"/>
                    </w:rPr>
                    <m:t>×</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R</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3</m:t>
                      </m:r>
                      <m:ctrlPr>
                        <w:rPr>
                          <w:rFonts w:hint="eastAsia" w:ascii="Cambria Math" w:hAnsi="Cambria Math"/>
                          <w:sz w:val="30"/>
                          <w:szCs w:val="30"/>
                          <w:lang w:val="en-US" w:eastAsia="zh-CN"/>
                        </w:rPr>
                      </m:ctrlPr>
                    </m:sub>
                  </m:sSub>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365×</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B</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3</m:t>
                      </m:r>
                      <m:ctrlPr>
                        <w:rPr>
                          <w:rFonts w:hint="eastAsia" w:ascii="Cambria Math" w:hAnsi="Cambria Math"/>
                          <w:sz w:val="30"/>
                          <w:szCs w:val="30"/>
                          <w:lang w:val="en-US" w:eastAsia="zh-CN"/>
                        </w:rPr>
                      </m:ctrlPr>
                    </m:sub>
                  </m:sSub>
                  <m:ctrlPr>
                    <w:rPr>
                      <w:rFonts w:hint="eastAsia" w:ascii="Cambria Math" w:hAnsi="Cambria Math"/>
                      <w:sz w:val="30"/>
                      <w:szCs w:val="30"/>
                      <w:lang w:val="en-US" w:eastAsia="zh-CN"/>
                    </w:rPr>
                  </m:ctrlPr>
                </m:den>
              </m:f>
              <m:r>
                <m:rPr>
                  <m:sty m:val="p"/>
                </m:rPr>
                <w:rPr>
                  <w:rFonts w:hint="eastAsia" w:ascii="Cambria Math" w:hAnsi="Cambria Math"/>
                  <w:sz w:val="30"/>
                  <w:szCs w:val="30"/>
                  <w:lang w:val="en-US" w:eastAsia="zh-CN"/>
                </w:rPr>
                <m:t>×</m:t>
              </m:r>
              <m:f>
                <m:fPr>
                  <m:ctrlPr>
                    <w:rPr>
                      <w:rFonts w:hint="eastAsia" w:ascii="Cambria Math" w:hAnsi="Cambria Math"/>
                      <w:sz w:val="30"/>
                      <w:szCs w:val="30"/>
                      <w:lang w:val="en-US" w:eastAsia="zh-CN"/>
                    </w:rPr>
                  </m:ctrlPr>
                </m:fPr>
                <m:num>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N</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3</m:t>
                      </m:r>
                      <m:ctrlPr>
                        <w:rPr>
                          <w:rFonts w:hint="eastAsia" w:ascii="Cambria Math" w:hAnsi="Cambria Math"/>
                          <w:sz w:val="30"/>
                          <w:szCs w:val="30"/>
                          <w:lang w:val="en-US" w:eastAsia="zh-CN"/>
                        </w:rPr>
                      </m:ctrlPr>
                    </m:sub>
                  </m:sSub>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N</m:t>
                  </m:r>
                  <m:ctrlPr>
                    <w:rPr>
                      <w:rFonts w:hint="eastAsia" w:ascii="Cambria Math" w:hAnsi="Cambria Math"/>
                      <w:sz w:val="30"/>
                      <w:szCs w:val="30"/>
                      <w:lang w:val="en-US" w:eastAsia="zh-CN"/>
                    </w:rPr>
                  </m:ctrlPr>
                </m:den>
              </m:f>
              <m:r>
                <m:rPr>
                  <m:sty m:val="p"/>
                </m:rPr>
                <w:rPr>
                  <w:rFonts w:hint="eastAsia" w:ascii="Cambria Math" w:hAnsi="Cambria Math"/>
                  <w:sz w:val="30"/>
                  <w:szCs w:val="30"/>
                  <w:lang w:val="en-US" w:eastAsia="zh-CN"/>
                </w:rPr>
                <m:t>+</m:t>
              </m:r>
              <m:f>
                <m:fPr>
                  <m:ctrlPr>
                    <w:rPr>
                      <w:rFonts w:hint="eastAsia" w:ascii="Cambria Math" w:hAnsi="Cambria Math"/>
                      <w:sz w:val="30"/>
                      <w:szCs w:val="30"/>
                      <w:lang w:val="en-US" w:eastAsia="zh-CN"/>
                    </w:rPr>
                  </m:ctrlPr>
                </m:fPr>
                <m:num>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E</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4</m:t>
                      </m:r>
                      <m:ctrlPr>
                        <w:rPr>
                          <w:rFonts w:hint="eastAsia" w:ascii="Cambria Math" w:hAnsi="Cambria Math"/>
                          <w:sz w:val="30"/>
                          <w:szCs w:val="30"/>
                          <w:lang w:val="en-US" w:eastAsia="zh-CN"/>
                        </w:rPr>
                      </m:ctrlPr>
                    </m:sub>
                  </m:sSub>
                  <m:r>
                    <m:rPr>
                      <m:sty m:val="p"/>
                    </m:rPr>
                    <w:rPr>
                      <w:rFonts w:hint="eastAsia" w:ascii="Cambria Math" w:hAnsi="Cambria Math"/>
                      <w:sz w:val="30"/>
                      <w:szCs w:val="30"/>
                      <w:lang w:val="en-US" w:eastAsia="zh-CN"/>
                    </w:rPr>
                    <m:t>×</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A</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4</m:t>
                      </m:r>
                      <m:ctrlPr>
                        <w:rPr>
                          <w:rFonts w:hint="eastAsia" w:ascii="Cambria Math" w:hAnsi="Cambria Math"/>
                          <w:sz w:val="30"/>
                          <w:szCs w:val="30"/>
                          <w:lang w:val="en-US" w:eastAsia="zh-CN"/>
                        </w:rPr>
                      </m:ctrlPr>
                    </m:sub>
                  </m:sSub>
                  <m:r>
                    <m:rPr>
                      <m:sty m:val="p"/>
                    </m:rPr>
                    <w:rPr>
                      <w:rFonts w:hint="eastAsia" w:ascii="Cambria Math" w:hAnsi="Cambria Math"/>
                      <w:sz w:val="30"/>
                      <w:szCs w:val="30"/>
                      <w:lang w:val="en-US" w:eastAsia="zh-CN"/>
                    </w:rPr>
                    <m:t>×</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R</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4</m:t>
                      </m:r>
                      <m:ctrlPr>
                        <w:rPr>
                          <w:rFonts w:hint="eastAsia" w:ascii="Cambria Math" w:hAnsi="Cambria Math"/>
                          <w:sz w:val="30"/>
                          <w:szCs w:val="30"/>
                          <w:lang w:val="en-US" w:eastAsia="zh-CN"/>
                        </w:rPr>
                      </m:ctrlPr>
                    </m:sub>
                  </m:sSub>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365×</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B</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4</m:t>
                      </m:r>
                      <m:ctrlPr>
                        <w:rPr>
                          <w:rFonts w:hint="eastAsia" w:ascii="Cambria Math" w:hAnsi="Cambria Math"/>
                          <w:sz w:val="30"/>
                          <w:szCs w:val="30"/>
                          <w:lang w:val="en-US" w:eastAsia="zh-CN"/>
                        </w:rPr>
                      </m:ctrlPr>
                    </m:sub>
                  </m:sSub>
                  <m:ctrlPr>
                    <w:rPr>
                      <w:rFonts w:hint="eastAsia" w:ascii="Cambria Math" w:hAnsi="Cambria Math"/>
                      <w:sz w:val="30"/>
                      <w:szCs w:val="30"/>
                      <w:lang w:val="en-US" w:eastAsia="zh-CN"/>
                    </w:rPr>
                  </m:ctrlPr>
                </m:den>
              </m:f>
              <m:r>
                <m:rPr>
                  <m:sty m:val="p"/>
                </m:rPr>
                <w:rPr>
                  <w:rFonts w:hint="eastAsia" w:ascii="Cambria Math" w:hAnsi="Cambria Math"/>
                  <w:sz w:val="30"/>
                  <w:szCs w:val="30"/>
                  <w:lang w:val="en-US" w:eastAsia="zh-CN"/>
                </w:rPr>
                <m:t>×</m:t>
              </m:r>
              <m:f>
                <m:fPr>
                  <m:ctrlPr>
                    <w:rPr>
                      <w:rFonts w:hint="eastAsia" w:ascii="Cambria Math" w:hAnsi="Cambria Math"/>
                      <w:sz w:val="30"/>
                      <w:szCs w:val="30"/>
                      <w:lang w:val="en-US" w:eastAsia="zh-CN"/>
                    </w:rPr>
                  </m:ctrlPr>
                </m:fPr>
                <m:num>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N</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4</m:t>
                      </m:r>
                      <m:ctrlPr>
                        <w:rPr>
                          <w:rFonts w:hint="eastAsia" w:ascii="Cambria Math" w:hAnsi="Cambria Math"/>
                          <w:sz w:val="30"/>
                          <w:szCs w:val="30"/>
                          <w:lang w:val="en-US" w:eastAsia="zh-CN"/>
                        </w:rPr>
                      </m:ctrlPr>
                    </m:sub>
                  </m:sSub>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N</m:t>
                  </m:r>
                  <m:ctrlPr>
                    <w:rPr>
                      <w:rFonts w:hint="eastAsia" w:ascii="Cambria Math" w:hAnsi="Cambria Math"/>
                      <w:sz w:val="30"/>
                      <w:szCs w:val="30"/>
                      <w:lang w:val="en-US" w:eastAsia="zh-CN"/>
                    </w:rPr>
                  </m:ctrlPr>
                </m:den>
              </m:f>
              <m:r>
                <m:rPr>
                  <m:sty m:val="p"/>
                </m:rPr>
                <w:rPr>
                  <w:rFonts w:hint="eastAsia" w:ascii="Cambria Math" w:hAnsi="Cambria Math"/>
                  <w:sz w:val="30"/>
                  <w:szCs w:val="30"/>
                  <w:lang w:val="en-US" w:eastAsia="zh-CN"/>
                </w:rPr>
                <m:t>+</m:t>
              </m:r>
              <m:f>
                <m:fPr>
                  <m:ctrlPr>
                    <w:rPr>
                      <w:rFonts w:hint="eastAsia" w:ascii="Cambria Math" w:hAnsi="Cambria Math"/>
                      <w:sz w:val="30"/>
                      <w:szCs w:val="30"/>
                      <w:lang w:val="en-US" w:eastAsia="zh-CN"/>
                    </w:rPr>
                  </m:ctrlPr>
                </m:fPr>
                <m:num>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E</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5</m:t>
                      </m:r>
                      <m:ctrlPr>
                        <w:rPr>
                          <w:rFonts w:hint="eastAsia" w:ascii="Cambria Math" w:hAnsi="Cambria Math"/>
                          <w:sz w:val="30"/>
                          <w:szCs w:val="30"/>
                          <w:lang w:val="en-US" w:eastAsia="zh-CN"/>
                        </w:rPr>
                      </m:ctrlPr>
                    </m:sub>
                  </m:sSub>
                  <m:r>
                    <m:rPr>
                      <m:sty m:val="p"/>
                    </m:rPr>
                    <w:rPr>
                      <w:rFonts w:hint="eastAsia" w:ascii="Cambria Math" w:hAnsi="Cambria Math"/>
                      <w:sz w:val="30"/>
                      <w:szCs w:val="30"/>
                      <w:lang w:val="en-US" w:eastAsia="zh-CN"/>
                    </w:rPr>
                    <m:t>×</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A</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5</m:t>
                      </m:r>
                      <m:ctrlPr>
                        <w:rPr>
                          <w:rFonts w:hint="eastAsia" w:ascii="Cambria Math" w:hAnsi="Cambria Math"/>
                          <w:sz w:val="30"/>
                          <w:szCs w:val="30"/>
                          <w:lang w:val="en-US" w:eastAsia="zh-CN"/>
                        </w:rPr>
                      </m:ctrlPr>
                    </m:sub>
                  </m:sSub>
                  <m:r>
                    <m:rPr>
                      <m:sty m:val="p"/>
                    </m:rPr>
                    <w:rPr>
                      <w:rFonts w:hint="eastAsia" w:ascii="Cambria Math" w:hAnsi="Cambria Math"/>
                      <w:sz w:val="30"/>
                      <w:szCs w:val="30"/>
                      <w:lang w:val="en-US" w:eastAsia="zh-CN"/>
                    </w:rPr>
                    <m:t>×</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R</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5</m:t>
                      </m:r>
                      <m:ctrlPr>
                        <w:rPr>
                          <w:rFonts w:hint="eastAsia" w:ascii="Cambria Math" w:hAnsi="Cambria Math"/>
                          <w:sz w:val="30"/>
                          <w:szCs w:val="30"/>
                          <w:lang w:val="en-US" w:eastAsia="zh-CN"/>
                        </w:rPr>
                      </m:ctrlPr>
                    </m:sub>
                  </m:sSub>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365×</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B</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5</m:t>
                      </m:r>
                      <m:ctrlPr>
                        <w:rPr>
                          <w:rFonts w:hint="eastAsia" w:ascii="Cambria Math" w:hAnsi="Cambria Math"/>
                          <w:sz w:val="30"/>
                          <w:szCs w:val="30"/>
                          <w:lang w:val="en-US" w:eastAsia="zh-CN"/>
                        </w:rPr>
                      </m:ctrlPr>
                    </m:sub>
                  </m:sSub>
                  <m:ctrlPr>
                    <w:rPr>
                      <w:rFonts w:hint="eastAsia" w:ascii="Cambria Math" w:hAnsi="Cambria Math"/>
                      <w:sz w:val="30"/>
                      <w:szCs w:val="30"/>
                      <w:lang w:val="en-US" w:eastAsia="zh-CN"/>
                    </w:rPr>
                  </m:ctrlPr>
                </m:den>
              </m:f>
              <m:r>
                <m:rPr>
                  <m:sty m:val="p"/>
                </m:rPr>
                <w:rPr>
                  <w:rFonts w:hint="eastAsia" w:ascii="Cambria Math" w:hAnsi="Cambria Math"/>
                  <w:sz w:val="30"/>
                  <w:szCs w:val="30"/>
                  <w:lang w:val="en-US" w:eastAsia="zh-CN"/>
                </w:rPr>
                <m:t>×</m:t>
              </m:r>
              <m:f>
                <m:fPr>
                  <m:ctrlPr>
                    <w:rPr>
                      <w:rFonts w:hint="eastAsia" w:ascii="Cambria Math" w:hAnsi="Cambria Math"/>
                      <w:sz w:val="30"/>
                      <w:szCs w:val="30"/>
                      <w:lang w:val="en-US" w:eastAsia="zh-CN"/>
                    </w:rPr>
                  </m:ctrlPr>
                </m:fPr>
                <m:num>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N</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5</m:t>
                      </m:r>
                      <m:ctrlPr>
                        <w:rPr>
                          <w:rFonts w:hint="eastAsia" w:ascii="Cambria Math" w:hAnsi="Cambria Math"/>
                          <w:sz w:val="30"/>
                          <w:szCs w:val="30"/>
                          <w:lang w:val="en-US" w:eastAsia="zh-CN"/>
                        </w:rPr>
                      </m:ctrlPr>
                    </m:sub>
                  </m:sSub>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N</m:t>
                  </m:r>
                  <m:ctrlPr>
                    <w:rPr>
                      <w:rFonts w:hint="eastAsia" w:ascii="Cambria Math" w:hAnsi="Cambria Math"/>
                      <w:sz w:val="30"/>
                      <w:szCs w:val="30"/>
                      <w:lang w:val="en-US" w:eastAsia="zh-CN"/>
                    </w:rPr>
                  </m:ctrlPr>
                </m:den>
              </m:f>
              <m:ctrlPr>
                <w:rPr>
                  <w:rFonts w:hint="eastAsia" w:ascii="Cambria Math" w:hAnsi="Cambria Math"/>
                  <w:sz w:val="30"/>
                  <w:szCs w:val="30"/>
                  <w:lang w:val="en-US" w:eastAsia="zh-CN"/>
                </w:rPr>
              </m:ctrlPr>
            </m:e>
          </m:d>
          <m:r>
            <m:rPr>
              <m:sty m:val="p"/>
            </m:rPr>
            <w:rPr>
              <w:rFonts w:hint="eastAsia" w:ascii="Cambria Math" w:hAnsi="Cambria Math"/>
              <w:sz w:val="30"/>
              <w:szCs w:val="30"/>
              <w:lang w:val="en-US" w:eastAsia="zh-CN"/>
            </w:rPr>
            <m:t>×</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EF</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EC</m:t>
              </m:r>
              <m:ctrlPr>
                <w:rPr>
                  <w:rFonts w:hint="eastAsia" w:ascii="Cambria Math" w:hAnsi="Cambria Math"/>
                  <w:sz w:val="30"/>
                  <w:szCs w:val="30"/>
                  <w:lang w:val="en-US" w:eastAsia="zh-CN"/>
                </w:rPr>
              </m:ctrlPr>
            </m:sub>
          </m:sSub>
        </m:oMath>
      </m:oMathPara>
    </w:p>
    <w:p w14:paraId="577240FC">
      <w:pPr>
        <w:pStyle w:val="5"/>
        <w:rPr>
          <w:rFonts w:hint="eastAsia" w:hAnsi="Cambria Math"/>
          <w:i w:val="0"/>
          <w:sz w:val="30"/>
          <w:szCs w:val="30"/>
          <w:lang w:val="en-US" w:eastAsia="zh-CN"/>
        </w:rPr>
      </w:pPr>
    </w:p>
    <w:p w14:paraId="75620F1D">
      <w:pPr>
        <w:pStyle w:val="5"/>
        <w:rPr>
          <w:rFonts w:hint="eastAsia" w:hAnsi="Cambria Math"/>
          <w:i w:val="0"/>
          <w:sz w:val="30"/>
          <w:szCs w:val="30"/>
          <w:lang w:val="en-US" w:eastAsia="zh-CN"/>
        </w:rPr>
      </w:pPr>
      <m:oMathPara>
        <m:oMathParaPr>
          <m:jc m:val="left"/>
        </m:oMathParaPr>
        <m:oMath>
          <m:r>
            <m:rPr>
              <m:sty m:val="p"/>
            </m:rPr>
            <w:rPr>
              <w:rFonts w:hint="eastAsia" w:ascii="Cambria Math" w:hAnsi="Cambria Math"/>
              <w:sz w:val="30"/>
              <w:szCs w:val="30"/>
              <w:lang w:val="en-US" w:eastAsia="zh-CN"/>
            </w:rPr>
            <m:t>=（</m:t>
          </m:r>
          <m:f>
            <m:fPr>
              <m:ctrlPr>
                <w:rPr>
                  <w:rFonts w:hint="eastAsia" w:ascii="Cambria Math" w:hAnsi="Cambria Math"/>
                  <w:sz w:val="30"/>
                  <w:szCs w:val="30"/>
                  <w:lang w:val="en-US" w:eastAsia="zh-CN"/>
                </w:rPr>
              </m:ctrlPr>
            </m:fPr>
            <m:num>
              <m:r>
                <m:rPr>
                  <m:sty m:val="p"/>
                </m:rPr>
                <w:rPr>
                  <w:rFonts w:hint="eastAsia" w:ascii="Cambria Math" w:hAnsi="Cambria Math"/>
                  <w:sz w:val="30"/>
                  <w:szCs w:val="30"/>
                  <w:lang w:val="en-US" w:eastAsia="zh-CN"/>
                </w:rPr>
                <m:t>137.6×12×3.464×</m:t>
              </m:r>
              <m:sSup>
                <m:sSupPr>
                  <m:ctrlPr>
                    <w:rPr>
                      <w:rFonts w:hint="eastAsia" w:ascii="Cambria Math" w:hAnsi="Cambria Math"/>
                      <w:sz w:val="30"/>
                      <w:szCs w:val="30"/>
                      <w:lang w:val="en-US" w:eastAsia="zh-CN"/>
                    </w:rPr>
                  </m:ctrlPr>
                </m:sSupPr>
                <m:e>
                  <m:r>
                    <m:rPr>
                      <m:sty m:val="p"/>
                    </m:rPr>
                    <w:rPr>
                      <w:rFonts w:hint="eastAsia" w:ascii="Cambria Math" w:hAnsi="Cambria Math"/>
                      <w:sz w:val="30"/>
                      <w:szCs w:val="30"/>
                      <w:lang w:val="en-US" w:eastAsia="zh-CN"/>
                    </w:rPr>
                    <m:t>10</m:t>
                  </m:r>
                  <m:ctrlPr>
                    <w:rPr>
                      <w:rFonts w:hint="eastAsia" w:ascii="Cambria Math" w:hAnsi="Cambria Math"/>
                      <w:sz w:val="30"/>
                      <w:szCs w:val="30"/>
                      <w:lang w:val="en-US" w:eastAsia="zh-CN"/>
                    </w:rPr>
                  </m:ctrlPr>
                </m:e>
                <m:sup>
                  <m:r>
                    <m:rPr>
                      <m:sty m:val="p"/>
                    </m:rPr>
                    <w:rPr>
                      <w:rFonts w:hint="eastAsia" w:ascii="Cambria Math" w:hAnsi="Cambria Math"/>
                      <w:sz w:val="30"/>
                      <w:szCs w:val="30"/>
                      <w:lang w:val="en-US" w:eastAsia="zh-CN"/>
                    </w:rPr>
                    <m:t>5</m:t>
                  </m:r>
                  <m:ctrlPr>
                    <w:rPr>
                      <w:rFonts w:hint="eastAsia" w:ascii="Cambria Math" w:hAnsi="Cambria Math"/>
                      <w:sz w:val="30"/>
                      <w:szCs w:val="30"/>
                      <w:lang w:val="en-US" w:eastAsia="zh-CN"/>
                    </w:rPr>
                  </m:ctrlPr>
                </m:sup>
              </m:sSup>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365×5.935×</m:t>
              </m:r>
              <m:sSup>
                <m:sSupPr>
                  <m:ctrlPr>
                    <w:rPr>
                      <w:rFonts w:hint="eastAsia" w:ascii="Cambria Math" w:hAnsi="Cambria Math"/>
                      <w:sz w:val="30"/>
                      <w:szCs w:val="30"/>
                      <w:lang w:val="en-US" w:eastAsia="zh-CN"/>
                    </w:rPr>
                  </m:ctrlPr>
                </m:sSupPr>
                <m:e>
                  <m:r>
                    <m:rPr>
                      <m:sty m:val="p"/>
                    </m:rPr>
                    <w:rPr>
                      <w:rFonts w:hint="eastAsia" w:ascii="Cambria Math" w:hAnsi="Cambria Math"/>
                      <w:sz w:val="30"/>
                      <w:szCs w:val="30"/>
                      <w:lang w:val="en-US" w:eastAsia="zh-CN"/>
                    </w:rPr>
                    <m:t>10</m:t>
                  </m:r>
                  <m:ctrlPr>
                    <w:rPr>
                      <w:rFonts w:hint="eastAsia" w:ascii="Cambria Math" w:hAnsi="Cambria Math"/>
                      <w:sz w:val="30"/>
                      <w:szCs w:val="30"/>
                      <w:lang w:val="en-US" w:eastAsia="zh-CN"/>
                    </w:rPr>
                  </m:ctrlPr>
                </m:e>
                <m:sup>
                  <m:r>
                    <m:rPr>
                      <m:sty m:val="p"/>
                    </m:rPr>
                    <w:rPr>
                      <w:rFonts w:hint="eastAsia" w:ascii="Cambria Math" w:hAnsi="Cambria Math"/>
                      <w:sz w:val="30"/>
                      <w:szCs w:val="30"/>
                      <w:lang w:val="en-US" w:eastAsia="zh-CN"/>
                    </w:rPr>
                    <m:t>5</m:t>
                  </m:r>
                  <m:ctrlPr>
                    <w:rPr>
                      <w:rFonts w:hint="eastAsia" w:ascii="Cambria Math" w:hAnsi="Cambria Math"/>
                      <w:sz w:val="30"/>
                      <w:szCs w:val="30"/>
                      <w:lang w:val="en-US" w:eastAsia="zh-CN"/>
                    </w:rPr>
                  </m:ctrlPr>
                </m:sup>
              </m:sSup>
              <m:ctrlPr>
                <w:rPr>
                  <w:rFonts w:hint="eastAsia" w:ascii="Cambria Math" w:hAnsi="Cambria Math"/>
                  <w:sz w:val="30"/>
                  <w:szCs w:val="30"/>
                  <w:lang w:val="en-US" w:eastAsia="zh-CN"/>
                </w:rPr>
              </m:ctrlPr>
            </m:den>
          </m:f>
          <m:r>
            <m:rPr>
              <m:sty m:val="p"/>
            </m:rPr>
            <w:rPr>
              <w:rFonts w:hint="eastAsia" w:ascii="Cambria Math" w:hAnsi="Cambria Math"/>
              <w:sz w:val="30"/>
              <w:szCs w:val="30"/>
              <w:lang w:val="en-US" w:eastAsia="zh-CN"/>
            </w:rPr>
            <m:t>×</m:t>
          </m:r>
          <m:f>
            <m:fPr>
              <m:ctrlPr>
                <w:rPr>
                  <w:rFonts w:hint="eastAsia" w:ascii="Cambria Math" w:hAnsi="Cambria Math"/>
                  <w:sz w:val="30"/>
                  <w:szCs w:val="30"/>
                  <w:lang w:val="en-US" w:eastAsia="zh-CN"/>
                </w:rPr>
              </m:ctrlPr>
            </m:fPr>
            <m:num>
              <m:r>
                <m:rPr>
                  <m:sty m:val="p"/>
                </m:rPr>
                <w:rPr>
                  <w:rFonts w:hint="eastAsia" w:ascii="Cambria Math" w:hAnsi="Cambria Math"/>
                  <w:sz w:val="30"/>
                  <w:szCs w:val="30"/>
                  <w:lang w:val="en-US" w:eastAsia="zh-CN"/>
                </w:rPr>
                <m:t>3471</m:t>
              </m:r>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772+2325+3471</m:t>
              </m:r>
              <m:ctrlPr>
                <w:rPr>
                  <w:rFonts w:hint="eastAsia" w:ascii="Cambria Math" w:hAnsi="Cambria Math"/>
                  <w:sz w:val="30"/>
                  <w:szCs w:val="30"/>
                  <w:lang w:val="en-US" w:eastAsia="zh-CN"/>
                </w:rPr>
              </m:ctrlPr>
            </m:den>
          </m:f>
        </m:oMath>
      </m:oMathPara>
    </w:p>
    <w:p w14:paraId="20FB1C8B">
      <w:pPr>
        <w:pStyle w:val="5"/>
        <w:rPr>
          <w:rFonts w:hint="eastAsia" w:hAnsi="Cambria Math"/>
          <w:i w:val="0"/>
          <w:sz w:val="30"/>
          <w:szCs w:val="30"/>
          <w:lang w:val="en-US" w:eastAsia="zh-CN"/>
        </w:rPr>
      </w:pPr>
    </w:p>
    <w:p w14:paraId="5CBE9500">
      <w:pPr>
        <w:pStyle w:val="5"/>
        <w:rPr>
          <w:rFonts w:hint="eastAsia" w:hAnsi="Cambria Math"/>
          <w:i w:val="0"/>
          <w:sz w:val="30"/>
          <w:szCs w:val="30"/>
          <w:lang w:val="en-US" w:eastAsia="zh-CN"/>
        </w:rPr>
      </w:pPr>
      <m:oMathPara>
        <m:oMathParaPr>
          <m:jc m:val="left"/>
        </m:oMathParaPr>
        <m:oMath>
          <m:r>
            <m:rPr>
              <m:sty m:val="p"/>
            </m:rPr>
            <w:rPr>
              <w:rFonts w:hint="eastAsia" w:ascii="Cambria Math" w:hAnsi="Cambria Math"/>
              <w:sz w:val="30"/>
              <w:szCs w:val="30"/>
              <w:lang w:val="en-US" w:eastAsia="zh-CN"/>
            </w:rPr>
            <m:t>+</m:t>
          </m:r>
          <m:f>
            <m:fPr>
              <m:ctrlPr>
                <w:rPr>
                  <w:rFonts w:hint="eastAsia" w:ascii="Cambria Math" w:hAnsi="Cambria Math"/>
                  <w:sz w:val="30"/>
                  <w:szCs w:val="30"/>
                  <w:lang w:val="en-US" w:eastAsia="zh-CN"/>
                </w:rPr>
              </m:ctrlPr>
            </m:fPr>
            <m:num>
              <m:r>
                <m:rPr>
                  <m:sty m:val="p"/>
                </m:rPr>
                <w:rPr>
                  <w:rFonts w:hint="eastAsia" w:ascii="Cambria Math" w:hAnsi="Cambria Math"/>
                  <w:sz w:val="30"/>
                  <w:szCs w:val="30"/>
                  <w:lang w:val="en-US" w:eastAsia="zh-CN"/>
                </w:rPr>
                <m:t>150.3×14×4.323×</m:t>
              </m:r>
              <m:sSup>
                <m:sSupPr>
                  <m:ctrlPr>
                    <w:rPr>
                      <w:rFonts w:hint="eastAsia" w:ascii="Cambria Math" w:hAnsi="Cambria Math"/>
                      <w:sz w:val="30"/>
                      <w:szCs w:val="30"/>
                      <w:lang w:val="en-US" w:eastAsia="zh-CN"/>
                    </w:rPr>
                  </m:ctrlPr>
                </m:sSupPr>
                <m:e>
                  <m:r>
                    <m:rPr>
                      <m:sty m:val="p"/>
                    </m:rPr>
                    <w:rPr>
                      <w:rFonts w:hint="eastAsia" w:ascii="Cambria Math" w:hAnsi="Cambria Math"/>
                      <w:sz w:val="30"/>
                      <w:szCs w:val="30"/>
                      <w:lang w:val="en-US" w:eastAsia="zh-CN"/>
                    </w:rPr>
                    <m:t>10</m:t>
                  </m:r>
                  <m:ctrlPr>
                    <w:rPr>
                      <w:rFonts w:hint="eastAsia" w:ascii="Cambria Math" w:hAnsi="Cambria Math"/>
                      <w:sz w:val="30"/>
                      <w:szCs w:val="30"/>
                      <w:lang w:val="en-US" w:eastAsia="zh-CN"/>
                    </w:rPr>
                  </m:ctrlPr>
                </m:e>
                <m:sup>
                  <m:r>
                    <m:rPr>
                      <m:sty m:val="p"/>
                    </m:rPr>
                    <w:rPr>
                      <w:rFonts w:hint="eastAsia" w:ascii="Cambria Math" w:hAnsi="Cambria Math"/>
                      <w:sz w:val="30"/>
                      <w:szCs w:val="30"/>
                      <w:lang w:val="en-US" w:eastAsia="zh-CN"/>
                    </w:rPr>
                    <m:t>5</m:t>
                  </m:r>
                  <m:ctrlPr>
                    <w:rPr>
                      <w:rFonts w:hint="eastAsia" w:ascii="Cambria Math" w:hAnsi="Cambria Math"/>
                      <w:sz w:val="30"/>
                      <w:szCs w:val="30"/>
                      <w:lang w:val="en-US" w:eastAsia="zh-CN"/>
                    </w:rPr>
                  </m:ctrlPr>
                </m:sup>
              </m:sSup>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365×6.978×</m:t>
              </m:r>
              <m:sSup>
                <m:sSupPr>
                  <m:ctrlPr>
                    <w:rPr>
                      <w:rFonts w:hint="eastAsia" w:ascii="Cambria Math" w:hAnsi="Cambria Math"/>
                      <w:sz w:val="30"/>
                      <w:szCs w:val="30"/>
                      <w:lang w:val="en-US" w:eastAsia="zh-CN"/>
                    </w:rPr>
                  </m:ctrlPr>
                </m:sSupPr>
                <m:e>
                  <m:r>
                    <m:rPr>
                      <m:sty m:val="p"/>
                    </m:rPr>
                    <w:rPr>
                      <w:rFonts w:hint="eastAsia" w:ascii="Cambria Math" w:hAnsi="Cambria Math"/>
                      <w:sz w:val="30"/>
                      <w:szCs w:val="30"/>
                      <w:lang w:val="en-US" w:eastAsia="zh-CN"/>
                    </w:rPr>
                    <m:t>10</m:t>
                  </m:r>
                  <m:ctrlPr>
                    <w:rPr>
                      <w:rFonts w:hint="eastAsia" w:ascii="Cambria Math" w:hAnsi="Cambria Math"/>
                      <w:sz w:val="30"/>
                      <w:szCs w:val="30"/>
                      <w:lang w:val="en-US" w:eastAsia="zh-CN"/>
                    </w:rPr>
                  </m:ctrlPr>
                </m:e>
                <m:sup>
                  <m:r>
                    <m:rPr>
                      <m:sty m:val="p"/>
                    </m:rPr>
                    <w:rPr>
                      <w:rFonts w:hint="eastAsia" w:ascii="Cambria Math" w:hAnsi="Cambria Math"/>
                      <w:sz w:val="30"/>
                      <w:szCs w:val="30"/>
                      <w:lang w:val="en-US" w:eastAsia="zh-CN"/>
                    </w:rPr>
                    <m:t>5</m:t>
                  </m:r>
                  <m:ctrlPr>
                    <w:rPr>
                      <w:rFonts w:hint="eastAsia" w:ascii="Cambria Math" w:hAnsi="Cambria Math"/>
                      <w:sz w:val="30"/>
                      <w:szCs w:val="30"/>
                      <w:lang w:val="en-US" w:eastAsia="zh-CN"/>
                    </w:rPr>
                  </m:ctrlPr>
                </m:sup>
              </m:sSup>
              <m:ctrlPr>
                <w:rPr>
                  <w:rFonts w:hint="eastAsia" w:ascii="Cambria Math" w:hAnsi="Cambria Math"/>
                  <w:sz w:val="30"/>
                  <w:szCs w:val="30"/>
                  <w:lang w:val="en-US" w:eastAsia="zh-CN"/>
                </w:rPr>
              </m:ctrlPr>
            </m:den>
          </m:f>
          <m:r>
            <m:rPr>
              <m:sty m:val="p"/>
            </m:rPr>
            <w:rPr>
              <w:rFonts w:hint="eastAsia" w:ascii="Cambria Math" w:hAnsi="Cambria Math"/>
              <w:sz w:val="30"/>
              <w:szCs w:val="30"/>
              <w:lang w:val="en-US" w:eastAsia="zh-CN"/>
            </w:rPr>
            <m:t>×</m:t>
          </m:r>
          <m:f>
            <m:fPr>
              <m:ctrlPr>
                <w:rPr>
                  <w:rFonts w:hint="eastAsia" w:ascii="Cambria Math" w:hAnsi="Cambria Math"/>
                  <w:sz w:val="30"/>
                  <w:szCs w:val="30"/>
                  <w:lang w:val="en-US" w:eastAsia="zh-CN"/>
                </w:rPr>
              </m:ctrlPr>
            </m:fPr>
            <m:num>
              <m:r>
                <m:rPr>
                  <m:sty m:val="p"/>
                </m:rPr>
                <w:rPr>
                  <w:rFonts w:hint="eastAsia" w:ascii="Cambria Math" w:hAnsi="Cambria Math"/>
                  <w:sz w:val="30"/>
                  <w:szCs w:val="30"/>
                  <w:lang w:val="en-US" w:eastAsia="zh-CN"/>
                </w:rPr>
                <m:t>2325</m:t>
              </m:r>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772+2325+3471</m:t>
              </m:r>
              <m:ctrlPr>
                <w:rPr>
                  <w:rFonts w:hint="eastAsia" w:ascii="Cambria Math" w:hAnsi="Cambria Math"/>
                  <w:sz w:val="30"/>
                  <w:szCs w:val="30"/>
                  <w:lang w:val="en-US" w:eastAsia="zh-CN"/>
                </w:rPr>
              </m:ctrlPr>
            </m:den>
          </m:f>
        </m:oMath>
      </m:oMathPara>
    </w:p>
    <w:p w14:paraId="60CF5637">
      <w:pPr>
        <w:pStyle w:val="5"/>
        <w:rPr>
          <w:rFonts w:hint="eastAsia" w:hAnsi="Cambria Math"/>
          <w:i w:val="0"/>
          <w:sz w:val="30"/>
          <w:szCs w:val="30"/>
          <w:lang w:val="en-US" w:eastAsia="zh-CN"/>
        </w:rPr>
      </w:pPr>
    </w:p>
    <w:p w14:paraId="14840CF1">
      <w:pPr>
        <w:pStyle w:val="5"/>
        <w:rPr>
          <w:rFonts w:hint="eastAsia" w:hAnsi="Cambria Math"/>
          <w:b w:val="0"/>
          <w:i w:val="0"/>
          <w:sz w:val="30"/>
          <w:szCs w:val="30"/>
          <w:lang w:val="en-US" w:eastAsia="zh-CN"/>
        </w:rPr>
      </w:pPr>
      <m:oMathPara>
        <m:oMathParaPr>
          <m:jc m:val="left"/>
        </m:oMathParaPr>
        <m:oMath>
          <m:r>
            <m:rPr>
              <m:sty m:val="p"/>
            </m:rPr>
            <w:rPr>
              <w:rFonts w:hint="eastAsia" w:ascii="Cambria Math" w:hAnsi="Cambria Math"/>
              <w:sz w:val="30"/>
              <w:szCs w:val="30"/>
              <w:lang w:val="en-US" w:eastAsia="zh-CN"/>
            </w:rPr>
            <m:t>+</m:t>
          </m:r>
          <m:f>
            <m:fPr>
              <m:ctrlPr>
                <w:rPr>
                  <w:rFonts w:hint="eastAsia" w:ascii="Cambria Math" w:hAnsi="Cambria Math"/>
                  <w:sz w:val="30"/>
                  <w:szCs w:val="30"/>
                  <w:lang w:val="en-US" w:eastAsia="zh-CN"/>
                </w:rPr>
              </m:ctrlPr>
            </m:fPr>
            <m:num>
              <m:r>
                <m:rPr>
                  <m:sty m:val="p"/>
                </m:rPr>
                <w:rPr>
                  <w:rFonts w:hint="eastAsia" w:ascii="Cambria Math" w:hAnsi="Cambria Math"/>
                  <w:sz w:val="30"/>
                  <w:szCs w:val="30"/>
                  <w:lang w:val="en-US" w:eastAsia="zh-CN"/>
                </w:rPr>
                <m:t>204.2×17×2.580×</m:t>
              </m:r>
              <m:sSup>
                <m:sSupPr>
                  <m:ctrlPr>
                    <w:rPr>
                      <w:rFonts w:hint="eastAsia" w:ascii="Cambria Math" w:hAnsi="Cambria Math"/>
                      <w:sz w:val="30"/>
                      <w:szCs w:val="30"/>
                      <w:lang w:val="en-US" w:eastAsia="zh-CN"/>
                    </w:rPr>
                  </m:ctrlPr>
                </m:sSupPr>
                <m:e>
                  <m:r>
                    <m:rPr>
                      <m:sty m:val="p"/>
                    </m:rPr>
                    <w:rPr>
                      <w:rFonts w:hint="eastAsia" w:ascii="Cambria Math" w:hAnsi="Cambria Math"/>
                      <w:sz w:val="30"/>
                      <w:szCs w:val="30"/>
                      <w:lang w:val="en-US" w:eastAsia="zh-CN"/>
                    </w:rPr>
                    <m:t>10</m:t>
                  </m:r>
                  <m:ctrlPr>
                    <w:rPr>
                      <w:rFonts w:hint="eastAsia" w:ascii="Cambria Math" w:hAnsi="Cambria Math"/>
                      <w:sz w:val="30"/>
                      <w:szCs w:val="30"/>
                      <w:lang w:val="en-US" w:eastAsia="zh-CN"/>
                    </w:rPr>
                  </m:ctrlPr>
                </m:e>
                <m:sup>
                  <m:r>
                    <m:rPr>
                      <m:sty m:val="p"/>
                    </m:rPr>
                    <w:rPr>
                      <w:rFonts w:hint="eastAsia" w:ascii="Cambria Math" w:hAnsi="Cambria Math"/>
                      <w:sz w:val="30"/>
                      <w:szCs w:val="30"/>
                      <w:lang w:val="en-US" w:eastAsia="zh-CN"/>
                    </w:rPr>
                    <m:t>5</m:t>
                  </m:r>
                  <m:ctrlPr>
                    <w:rPr>
                      <w:rFonts w:hint="eastAsia" w:ascii="Cambria Math" w:hAnsi="Cambria Math"/>
                      <w:sz w:val="30"/>
                      <w:szCs w:val="30"/>
                      <w:lang w:val="en-US" w:eastAsia="zh-CN"/>
                    </w:rPr>
                  </m:ctrlPr>
                </m:sup>
              </m:sSup>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365×3.803×</m:t>
              </m:r>
              <m:sSup>
                <m:sSupPr>
                  <m:ctrlPr>
                    <w:rPr>
                      <w:rFonts w:hint="eastAsia" w:ascii="Cambria Math" w:hAnsi="Cambria Math"/>
                      <w:sz w:val="30"/>
                      <w:szCs w:val="30"/>
                      <w:lang w:val="en-US" w:eastAsia="zh-CN"/>
                    </w:rPr>
                  </m:ctrlPr>
                </m:sSupPr>
                <m:e>
                  <m:r>
                    <m:rPr>
                      <m:sty m:val="p"/>
                    </m:rPr>
                    <w:rPr>
                      <w:rFonts w:hint="eastAsia" w:ascii="Cambria Math" w:hAnsi="Cambria Math"/>
                      <w:sz w:val="30"/>
                      <w:szCs w:val="30"/>
                      <w:lang w:val="en-US" w:eastAsia="zh-CN"/>
                    </w:rPr>
                    <m:t>10</m:t>
                  </m:r>
                  <m:ctrlPr>
                    <w:rPr>
                      <w:rFonts w:hint="eastAsia" w:ascii="Cambria Math" w:hAnsi="Cambria Math"/>
                      <w:sz w:val="30"/>
                      <w:szCs w:val="30"/>
                      <w:lang w:val="en-US" w:eastAsia="zh-CN"/>
                    </w:rPr>
                  </m:ctrlPr>
                </m:e>
                <m:sup>
                  <m:r>
                    <m:rPr>
                      <m:sty m:val="p"/>
                    </m:rPr>
                    <w:rPr>
                      <w:rFonts w:hint="eastAsia" w:ascii="Cambria Math" w:hAnsi="Cambria Math"/>
                      <w:sz w:val="30"/>
                      <w:szCs w:val="30"/>
                      <w:lang w:val="en-US" w:eastAsia="zh-CN"/>
                    </w:rPr>
                    <m:t>5</m:t>
                  </m:r>
                  <m:ctrlPr>
                    <w:rPr>
                      <w:rFonts w:hint="eastAsia" w:ascii="Cambria Math" w:hAnsi="Cambria Math"/>
                      <w:sz w:val="30"/>
                      <w:szCs w:val="30"/>
                      <w:lang w:val="en-US" w:eastAsia="zh-CN"/>
                    </w:rPr>
                  </m:ctrlPr>
                </m:sup>
              </m:sSup>
              <m:ctrlPr>
                <w:rPr>
                  <w:rFonts w:hint="eastAsia" w:ascii="Cambria Math" w:hAnsi="Cambria Math"/>
                  <w:sz w:val="30"/>
                  <w:szCs w:val="30"/>
                  <w:lang w:val="en-US" w:eastAsia="zh-CN"/>
                </w:rPr>
              </m:ctrlPr>
            </m:den>
          </m:f>
          <m:r>
            <m:rPr>
              <m:sty m:val="p"/>
            </m:rPr>
            <w:rPr>
              <w:rFonts w:hint="eastAsia" w:ascii="Cambria Math" w:hAnsi="Cambria Math"/>
              <w:sz w:val="30"/>
              <w:szCs w:val="30"/>
              <w:lang w:val="en-US" w:eastAsia="zh-CN"/>
            </w:rPr>
            <m:t>×</m:t>
          </m:r>
          <m:f>
            <m:fPr>
              <m:ctrlPr>
                <w:rPr>
                  <w:rFonts w:hint="eastAsia" w:ascii="Cambria Math" w:hAnsi="Cambria Math"/>
                  <w:sz w:val="30"/>
                  <w:szCs w:val="30"/>
                  <w:lang w:val="en-US" w:eastAsia="zh-CN"/>
                </w:rPr>
              </m:ctrlPr>
            </m:fPr>
            <m:num>
              <m:r>
                <m:rPr>
                  <m:sty m:val="p"/>
                </m:rPr>
                <w:rPr>
                  <w:rFonts w:hint="eastAsia" w:ascii="Cambria Math" w:hAnsi="Cambria Math"/>
                  <w:sz w:val="30"/>
                  <w:szCs w:val="30"/>
                  <w:lang w:val="en-US" w:eastAsia="zh-CN"/>
                </w:rPr>
                <m:t>772</m:t>
              </m:r>
              <m:ctrlPr>
                <w:rPr>
                  <w:rFonts w:hint="eastAsia" w:ascii="Cambria Math" w:hAnsi="Cambria Math"/>
                  <w:sz w:val="30"/>
                  <w:szCs w:val="30"/>
                  <w:lang w:val="en-US" w:eastAsia="zh-CN"/>
                </w:rPr>
              </m:ctrlPr>
            </m:num>
            <m:den>
              <m:r>
                <m:rPr>
                  <m:sty m:val="p"/>
                </m:rPr>
                <w:rPr>
                  <w:rFonts w:hint="eastAsia" w:ascii="Cambria Math" w:hAnsi="Cambria Math"/>
                  <w:sz w:val="30"/>
                  <w:szCs w:val="30"/>
                  <w:lang w:val="en-US" w:eastAsia="zh-CN"/>
                </w:rPr>
                <m:t>772+2325+3471</m:t>
              </m:r>
              <m:ctrlPr>
                <w:rPr>
                  <w:rFonts w:hint="eastAsia" w:ascii="Cambria Math" w:hAnsi="Cambria Math"/>
                  <w:sz w:val="30"/>
                  <w:szCs w:val="30"/>
                  <w:lang w:val="en-US" w:eastAsia="zh-CN"/>
                </w:rPr>
              </m:ctrlPr>
            </m:den>
          </m:f>
          <m:r>
            <m:rPr>
              <m:sty m:val="p"/>
            </m:rPr>
            <w:rPr>
              <w:rFonts w:hint="eastAsia" w:ascii="Cambria Math" w:hAnsi="Cambria Math"/>
              <w:sz w:val="30"/>
              <w:szCs w:val="30"/>
              <w:lang w:val="en-US" w:eastAsia="zh-CN"/>
            </w:rPr>
            <m:t>）</m:t>
          </m:r>
        </m:oMath>
      </m:oMathPara>
    </w:p>
    <w:p w14:paraId="59B35876">
      <w:pPr>
        <w:pStyle w:val="5"/>
        <w:rPr>
          <w:rFonts w:hint="eastAsia" w:hAnsi="Cambria Math"/>
          <w:b w:val="0"/>
          <w:i w:val="0"/>
          <w:sz w:val="30"/>
          <w:szCs w:val="30"/>
          <w:lang w:val="en-US" w:eastAsia="zh-CN"/>
        </w:rPr>
      </w:pPr>
    </w:p>
    <w:p w14:paraId="40B3D403">
      <w:pPr>
        <w:pStyle w:val="5"/>
        <w:ind w:left="0" w:leftChars="0" w:firstLine="0" w:firstLineChars="0"/>
        <w:rPr>
          <w:rFonts w:hint="eastAsia"/>
          <w:sz w:val="30"/>
          <w:szCs w:val="30"/>
          <w:lang w:val="en-US" w:eastAsia="zh-CN"/>
        </w:rPr>
      </w:pPr>
      <m:oMathPara>
        <m:oMathParaPr>
          <m:jc m:val="left"/>
        </m:oMathParaPr>
        <m:oMath>
          <m:r>
            <m:rPr>
              <m:sty m:val="p"/>
            </m:rPr>
            <w:rPr>
              <w:rFonts w:hint="eastAsia" w:ascii="Cambria Math" w:hAnsi="Cambria Math"/>
              <w:sz w:val="30"/>
              <w:szCs w:val="30"/>
              <w:lang w:val="en-US" w:eastAsia="zh-CN"/>
            </w:rPr>
            <m:t>×0.6313kg</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CO</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2</m:t>
              </m:r>
              <m:ctrlPr>
                <w:rPr>
                  <w:rFonts w:hint="eastAsia" w:ascii="Cambria Math" w:hAnsi="Cambria Math"/>
                  <w:sz w:val="30"/>
                  <w:szCs w:val="30"/>
                  <w:lang w:val="en-US" w:eastAsia="zh-CN"/>
                </w:rPr>
              </m:ctrlPr>
            </m:sub>
          </m:sSub>
          <m:r>
            <m:rPr>
              <m:sty m:val="p"/>
            </m:rPr>
            <w:rPr>
              <w:rFonts w:hint="eastAsia" w:ascii="Cambria Math" w:hAnsi="Cambria Math"/>
              <w:sz w:val="30"/>
              <w:szCs w:val="30"/>
              <w:lang w:val="en-US" w:eastAsia="zh-CN"/>
            </w:rPr>
            <m:t>/(</m:t>
          </m:r>
          <m:r>
            <m:rPr>
              <m:sty m:val="p"/>
            </m:rPr>
            <w:rPr>
              <w:rFonts w:hint="eastAsia" w:ascii="Cambria Math" w:hAnsi="Cambria Math"/>
              <w:sz w:val="30"/>
              <w:szCs w:val="30"/>
              <w:lang w:eastAsia="zh-CN"/>
            </w:rPr>
            <m:t>床·晚</m:t>
          </m:r>
          <m:r>
            <m:rPr>
              <m:sty m:val="p"/>
            </m:rPr>
            <w:rPr>
              <w:rFonts w:hint="eastAsia" w:ascii="Cambria Math" w:hAnsi="Cambria Math"/>
              <w:sz w:val="30"/>
              <w:szCs w:val="30"/>
              <w:lang w:val="en-US" w:eastAsia="zh-CN"/>
            </w:rPr>
            <m:t>)</m:t>
          </m:r>
          <m:r>
            <m:rPr>
              <m:sty m:val="p"/>
            </m:rPr>
            <w:rPr>
              <w:rFonts w:hint="default" w:ascii="DejaVu Math TeX Gyre" w:hAnsi="DejaVu Math TeX Gyre"/>
              <w:sz w:val="30"/>
              <w:szCs w:val="30"/>
              <w:lang w:val="en-US" w:eastAsia="zh-CN"/>
            </w:rPr>
            <m:t xml:space="preserve"> </m:t>
          </m:r>
          <m:r>
            <m:rPr>
              <m:sty m:val="p"/>
            </m:rPr>
            <w:rPr>
              <w:rFonts w:hint="eastAsia" w:ascii="Cambria Math" w:hAnsi="Cambria Math"/>
              <w:sz w:val="30"/>
              <w:szCs w:val="30"/>
              <w:lang w:val="en-US" w:eastAsia="zh-CN"/>
            </w:rPr>
            <m:t>=2.158kg</m:t>
          </m:r>
          <m:sSub>
            <m:sSubPr>
              <m:ctrlPr>
                <w:rPr>
                  <w:rFonts w:hint="eastAsia" w:ascii="Cambria Math" w:hAnsi="Cambria Math"/>
                  <w:sz w:val="30"/>
                  <w:szCs w:val="30"/>
                  <w:lang w:val="en-US" w:eastAsia="zh-CN"/>
                </w:rPr>
              </m:ctrlPr>
            </m:sSubPr>
            <m:e>
              <m:r>
                <m:rPr>
                  <m:sty m:val="p"/>
                </m:rPr>
                <w:rPr>
                  <w:rFonts w:hint="eastAsia" w:ascii="Cambria Math" w:hAnsi="Cambria Math"/>
                  <w:sz w:val="30"/>
                  <w:szCs w:val="30"/>
                  <w:lang w:val="en-US" w:eastAsia="zh-CN"/>
                </w:rPr>
                <m:t>CO</m:t>
              </m:r>
              <m:ctrlPr>
                <w:rPr>
                  <w:rFonts w:hint="eastAsia" w:ascii="Cambria Math" w:hAnsi="Cambria Math"/>
                  <w:sz w:val="30"/>
                  <w:szCs w:val="30"/>
                  <w:lang w:val="en-US" w:eastAsia="zh-CN"/>
                </w:rPr>
              </m:ctrlPr>
            </m:e>
            <m:sub>
              <m:r>
                <m:rPr>
                  <m:sty m:val="p"/>
                </m:rPr>
                <w:rPr>
                  <w:rFonts w:hint="eastAsia" w:ascii="Cambria Math" w:hAnsi="Cambria Math"/>
                  <w:sz w:val="30"/>
                  <w:szCs w:val="30"/>
                  <w:lang w:val="en-US" w:eastAsia="zh-CN"/>
                </w:rPr>
                <m:t>2</m:t>
              </m:r>
              <m:ctrlPr>
                <w:rPr>
                  <w:rFonts w:hint="eastAsia" w:ascii="Cambria Math" w:hAnsi="Cambria Math"/>
                  <w:sz w:val="30"/>
                  <w:szCs w:val="30"/>
                  <w:lang w:val="en-US" w:eastAsia="zh-CN"/>
                </w:rPr>
              </m:ctrlPr>
            </m:sub>
          </m:sSub>
          <m:r>
            <m:rPr>
              <m:sty m:val="p"/>
            </m:rPr>
            <w:rPr>
              <w:rFonts w:hint="eastAsia" w:ascii="Cambria Math" w:hAnsi="Cambria Math"/>
              <w:sz w:val="30"/>
              <w:szCs w:val="30"/>
              <w:lang w:val="en-US" w:eastAsia="zh-CN"/>
            </w:rPr>
            <m:t>/(</m:t>
          </m:r>
          <m:r>
            <m:rPr>
              <m:sty m:val="p"/>
            </m:rPr>
            <w:rPr>
              <w:rFonts w:hint="eastAsia" w:ascii="Cambria Math" w:hAnsi="Cambria Math"/>
              <w:sz w:val="30"/>
              <w:szCs w:val="30"/>
              <w:lang w:eastAsia="zh-CN"/>
            </w:rPr>
            <m:t>床·晚</m:t>
          </m:r>
          <m:r>
            <m:rPr>
              <m:sty m:val="p"/>
            </m:rPr>
            <w:rPr>
              <w:rFonts w:hint="eastAsia" w:ascii="Cambria Math" w:hAnsi="Cambria Math"/>
              <w:sz w:val="30"/>
              <w:szCs w:val="30"/>
              <w:lang w:val="en-US" w:eastAsia="zh-CN"/>
            </w:rPr>
            <m:t>)</m:t>
          </m:r>
        </m:oMath>
      </m:oMathPara>
    </w:p>
    <w:p w14:paraId="7BF8CC04">
      <w:pPr>
        <w:pStyle w:val="5"/>
        <w:rPr>
          <w:rFonts w:hint="eastAsia"/>
          <w:lang w:val="en-US" w:eastAsia="zh-CN"/>
        </w:rPr>
      </w:pPr>
      <w:r>
        <w:rPr>
          <w:rFonts w:hint="eastAsia"/>
          <w:lang w:val="en-US" w:eastAsia="zh-CN"/>
        </w:rPr>
        <w:t>式中：</w:t>
      </w:r>
    </w:p>
    <w:p w14:paraId="4EBDEA9D">
      <w:pPr>
        <w:pStyle w:val="5"/>
        <w:rPr>
          <w:rFonts w:hint="eastAsia"/>
          <w:lang w:val="en-US" w:eastAsia="zh-CN"/>
        </w:rPr>
      </w:pPr>
      <m:oMath>
        <m:sSub>
          <m:sSubPr>
            <m:ctrlPr>
              <w:rPr>
                <w:rFonts w:hint="eastAsia" w:ascii="Cambria Math" w:hAnsi="Cambria Math"/>
                <w:lang w:val="en-US" w:eastAsia="zh-CN"/>
              </w:rPr>
            </m:ctrlPr>
          </m:sSubPr>
          <m:e>
            <m:r>
              <m:rPr>
                <m:sty m:val="p"/>
              </m:rPr>
              <w:rPr>
                <w:rFonts w:hint="eastAsia" w:ascii="Cambria Math" w:hAnsi="Cambria Math"/>
                <w:lang w:val="en-US" w:eastAsia="zh-CN"/>
              </w:rPr>
              <m:t>E</m:t>
            </m:r>
            <m:ctrlPr>
              <w:rPr>
                <w:rFonts w:hint="eastAsia" w:ascii="Cambria Math" w:hAnsi="Cambria Math"/>
                <w:lang w:val="en-US" w:eastAsia="zh-CN"/>
              </w:rPr>
            </m:ctrlPr>
          </m:e>
          <m:sub>
            <m:r>
              <m:rPr>
                <m:sty m:val="p"/>
              </m:rPr>
              <w:rPr>
                <w:rFonts w:hint="eastAsia" w:ascii="Cambria Math" w:hAnsi="Cambria Math"/>
                <w:lang w:val="en-US" w:eastAsia="zh-CN"/>
              </w:rPr>
              <m:t>i</m:t>
            </m:r>
            <m:ctrlPr>
              <w:rPr>
                <w:rFonts w:hint="eastAsia" w:ascii="Cambria Math" w:hAnsi="Cambria Math"/>
                <w:lang w:val="en-US" w:eastAsia="zh-CN"/>
              </w:rPr>
            </m:ctrlPr>
          </m:sub>
        </m:sSub>
      </m:oMath>
      <w:r>
        <w:rPr>
          <w:rFonts w:hint="eastAsia"/>
          <w:lang w:val="en-US" w:eastAsia="zh-CN"/>
        </w:rPr>
        <w:t>——第y年i星级酒店单位建筑面积年均电能消耗量（单位：kW</w:t>
      </w:r>
      <w:r>
        <w:rPr>
          <w:rFonts w:hint="default" w:ascii="Times New Roman" w:hAnsi="Times New Roman" w:cs="Times New Roman"/>
          <w:lang w:val="en-US" w:eastAsia="zh-CN"/>
        </w:rPr>
        <w:t>h/（m²·a</w:t>
      </w:r>
      <w:r>
        <w:rPr>
          <w:rFonts w:hint="eastAsia"/>
          <w:lang w:val="en-US" w:eastAsia="zh-CN"/>
        </w:rPr>
        <w:t>））；</w:t>
      </w:r>
    </w:p>
    <w:p w14:paraId="7BE1F8C0">
      <w:pPr>
        <w:pStyle w:val="5"/>
        <w:rPr>
          <w:rFonts w:hint="eastAsia"/>
          <w:lang w:val="en-US" w:eastAsia="zh-CN"/>
        </w:rPr>
      </w:pPr>
      <m:oMath>
        <m:sSub>
          <m:sSubPr>
            <m:ctrlPr>
              <w:rPr>
                <w:rFonts w:hint="eastAsia" w:ascii="Cambria Math" w:hAnsi="Cambria Math"/>
                <w:lang w:val="en-US" w:eastAsia="zh-CN"/>
              </w:rPr>
            </m:ctrlPr>
          </m:sSubPr>
          <m:e>
            <m:r>
              <m:rPr>
                <m:sty m:val="p"/>
              </m:rPr>
              <w:rPr>
                <w:rFonts w:hint="eastAsia" w:ascii="Cambria Math" w:hAnsi="Cambria Math"/>
                <w:lang w:val="en-US" w:eastAsia="zh-CN"/>
              </w:rPr>
              <m:t>A</m:t>
            </m:r>
            <m:ctrlPr>
              <w:rPr>
                <w:rFonts w:hint="eastAsia" w:ascii="Cambria Math" w:hAnsi="Cambria Math"/>
                <w:lang w:val="en-US" w:eastAsia="zh-CN"/>
              </w:rPr>
            </m:ctrlPr>
          </m:e>
          <m:sub>
            <m:r>
              <m:rPr>
                <m:sty m:val="p"/>
              </m:rPr>
              <w:rPr>
                <w:rFonts w:hint="eastAsia" w:ascii="Cambria Math" w:hAnsi="Cambria Math"/>
                <w:lang w:val="en-US" w:eastAsia="zh-CN"/>
              </w:rPr>
              <m:t>i</m:t>
            </m:r>
            <m:ctrlPr>
              <w:rPr>
                <w:rFonts w:hint="eastAsia" w:ascii="Cambria Math" w:hAnsi="Cambria Math"/>
                <w:lang w:val="en-US" w:eastAsia="zh-CN"/>
              </w:rPr>
            </m:ctrlPr>
          </m:sub>
        </m:sSub>
      </m:oMath>
      <w:r>
        <w:rPr>
          <w:rFonts w:hint="eastAsia"/>
          <w:lang w:val="en-US" w:eastAsia="zh-CN"/>
        </w:rPr>
        <w:t>——i星级酒店单人客房净面积，指可供租住单人客房的有效使用空间面积（单位：</w:t>
      </w:r>
      <w:r>
        <w:rPr>
          <w:rFonts w:hint="default" w:ascii="Times New Roman" w:hAnsi="Times New Roman" w:cs="Times New Roman"/>
          <w:lang w:val="en-US" w:eastAsia="zh-CN"/>
        </w:rPr>
        <w:t>m²</w:t>
      </w:r>
      <w:r>
        <w:rPr>
          <w:rFonts w:hint="eastAsia"/>
          <w:lang w:val="en-US" w:eastAsia="zh-CN"/>
        </w:rPr>
        <w:t>）；</w:t>
      </w:r>
    </w:p>
    <w:p w14:paraId="1DA70B06">
      <w:pPr>
        <w:pStyle w:val="5"/>
        <w:rPr>
          <w:rFonts w:hint="eastAsia"/>
          <w:lang w:val="en-US" w:eastAsia="zh-CN"/>
        </w:rPr>
      </w:pPr>
      <m:oMath>
        <m:sSub>
          <m:sSubPr>
            <m:ctrlPr>
              <w:rPr>
                <w:rFonts w:hint="eastAsia" w:ascii="Cambria Math" w:hAnsi="Cambria Math"/>
                <w:lang w:val="en-US" w:eastAsia="zh-CN"/>
              </w:rPr>
            </m:ctrlPr>
          </m:sSubPr>
          <m:e>
            <m:r>
              <m:rPr>
                <m:sty m:val="p"/>
              </m:rPr>
              <w:rPr>
                <w:rFonts w:hint="eastAsia" w:ascii="Cambria Math" w:hAnsi="Cambria Math"/>
                <w:lang w:val="en-US" w:eastAsia="zh-CN"/>
              </w:rPr>
              <m:t>R</m:t>
            </m:r>
            <m:ctrlPr>
              <w:rPr>
                <w:rFonts w:hint="eastAsia" w:ascii="Cambria Math" w:hAnsi="Cambria Math"/>
                <w:lang w:val="en-US" w:eastAsia="zh-CN"/>
              </w:rPr>
            </m:ctrlPr>
          </m:e>
          <m:sub>
            <m:r>
              <m:rPr>
                <m:sty m:val="p"/>
              </m:rPr>
              <w:rPr>
                <w:rFonts w:hint="eastAsia" w:ascii="Cambria Math" w:hAnsi="Cambria Math"/>
                <w:lang w:val="en-US" w:eastAsia="zh-CN"/>
              </w:rPr>
              <m:t>i</m:t>
            </m:r>
            <m:ctrlPr>
              <w:rPr>
                <w:rFonts w:hint="eastAsia" w:ascii="Cambria Math" w:hAnsi="Cambria Math"/>
                <w:lang w:val="en-US" w:eastAsia="zh-CN"/>
              </w:rPr>
            </m:ctrlPr>
          </m:sub>
        </m:sSub>
      </m:oMath>
      <w:r>
        <w:rPr>
          <w:rFonts w:hint="eastAsia"/>
          <w:lang w:val="en-US" w:eastAsia="zh-CN"/>
        </w:rPr>
        <w:t>——全国范围内登记在册的i星级酒店客房数量（单位：间）；</w:t>
      </w:r>
    </w:p>
    <w:p w14:paraId="1C1B02D1">
      <w:pPr>
        <w:pStyle w:val="5"/>
        <w:rPr>
          <w:rFonts w:hint="eastAsia"/>
          <w:lang w:val="en-US" w:eastAsia="zh-CN"/>
        </w:rPr>
      </w:pPr>
      <m:oMath>
        <m:sSub>
          <m:sSubPr>
            <m:ctrlPr>
              <w:rPr>
                <w:rFonts w:hint="eastAsia" w:ascii="Cambria Math" w:hAnsi="Cambria Math"/>
                <w:lang w:val="en-US" w:eastAsia="zh-CN"/>
              </w:rPr>
            </m:ctrlPr>
          </m:sSubPr>
          <m:e>
            <m:r>
              <m:rPr>
                <m:sty m:val="p"/>
              </m:rPr>
              <w:rPr>
                <w:rFonts w:hint="eastAsia" w:ascii="Cambria Math" w:hAnsi="Cambria Math"/>
                <w:lang w:val="en-US" w:eastAsia="zh-CN"/>
              </w:rPr>
              <m:t>B</m:t>
            </m:r>
            <m:ctrlPr>
              <w:rPr>
                <w:rFonts w:hint="eastAsia" w:ascii="Cambria Math" w:hAnsi="Cambria Math"/>
                <w:lang w:val="en-US" w:eastAsia="zh-CN"/>
              </w:rPr>
            </m:ctrlPr>
          </m:e>
          <m:sub>
            <m:r>
              <m:rPr>
                <m:sty m:val="p"/>
              </m:rPr>
              <w:rPr>
                <w:rFonts w:hint="eastAsia" w:ascii="Cambria Math" w:hAnsi="Cambria Math"/>
                <w:lang w:val="en-US" w:eastAsia="zh-CN"/>
              </w:rPr>
              <m:t>i</m:t>
            </m:r>
            <m:ctrlPr>
              <w:rPr>
                <w:rFonts w:hint="eastAsia" w:ascii="Cambria Math" w:hAnsi="Cambria Math"/>
                <w:lang w:val="en-US" w:eastAsia="zh-CN"/>
              </w:rPr>
            </m:ctrlPr>
          </m:sub>
        </m:sSub>
      </m:oMath>
      <w:r>
        <w:rPr>
          <w:rFonts w:hint="eastAsia"/>
          <w:lang w:val="en-US" w:eastAsia="zh-CN"/>
        </w:rPr>
        <w:t>——全国i星级酒店备案床位总数（单位：个）；</w:t>
      </w:r>
    </w:p>
    <w:p w14:paraId="5A1CC57E">
      <w:pPr>
        <w:pStyle w:val="5"/>
        <w:rPr>
          <w:rFonts w:hint="eastAsia"/>
          <w:lang w:val="en-US" w:eastAsia="zh-CN"/>
        </w:rPr>
      </w:pPr>
      <m:oMath>
        <m:sSub>
          <m:sSubPr>
            <m:ctrlPr>
              <w:rPr>
                <w:rFonts w:hint="eastAsia" w:ascii="Cambria Math" w:hAnsi="Cambria Math"/>
                <w:lang w:val="en-US" w:eastAsia="zh-CN"/>
              </w:rPr>
            </m:ctrlPr>
          </m:sSubPr>
          <m:e>
            <m:r>
              <m:rPr>
                <m:sty m:val="p"/>
              </m:rPr>
              <w:rPr>
                <w:rFonts w:hint="eastAsia" w:ascii="Cambria Math" w:hAnsi="Cambria Math"/>
                <w:lang w:val="en-US" w:eastAsia="zh-CN"/>
              </w:rPr>
              <m:t>EF</m:t>
            </m:r>
            <m:ctrlPr>
              <w:rPr>
                <w:rFonts w:hint="eastAsia" w:ascii="Cambria Math" w:hAnsi="Cambria Math"/>
                <w:lang w:val="en-US" w:eastAsia="zh-CN"/>
              </w:rPr>
            </m:ctrlPr>
          </m:e>
          <m:sub>
            <m:r>
              <m:rPr>
                <m:sty m:val="p"/>
              </m:rPr>
              <w:rPr>
                <w:rFonts w:hint="eastAsia" w:ascii="Cambria Math" w:hAnsi="Cambria Math"/>
                <w:lang w:val="en-US" w:eastAsia="zh-CN"/>
              </w:rPr>
              <m:t>EC</m:t>
            </m:r>
            <m:ctrlPr>
              <w:rPr>
                <w:rFonts w:hint="eastAsia" w:ascii="Cambria Math" w:hAnsi="Cambria Math"/>
                <w:lang w:val="en-US" w:eastAsia="zh-CN"/>
              </w:rPr>
            </m:ctrlPr>
          </m:sub>
        </m:sSub>
      </m:oMath>
      <w:r>
        <w:rPr>
          <w:rFonts w:hint="eastAsia"/>
          <w:lang w:val="en-US" w:eastAsia="zh-CN"/>
        </w:rPr>
        <w:t>——2023年华北区域电网排放因子为0.6313</w:t>
      </w:r>
      <w:r>
        <w:rPr>
          <w:rFonts w:hint="default" w:ascii="Times New Roman" w:hAnsi="Times New Roman" w:cs="Times New Roman"/>
          <w:lang w:val="en-US" w:eastAsia="zh-CN"/>
        </w:rPr>
        <w:t>kgCO</w:t>
      </w:r>
      <w:r>
        <w:rPr>
          <w:rFonts w:hint="default" w:ascii="Times New Roman" w:hAnsi="Times New Roman" w:eastAsia="微软雅黑" w:cs="Times New Roman"/>
          <w:lang w:val="en-US" w:eastAsia="zh-CN"/>
        </w:rPr>
        <w:t>₂</w:t>
      </w:r>
      <w:r>
        <w:rPr>
          <w:rFonts w:hint="default" w:ascii="Times New Roman" w:hAnsi="Times New Roman" w:cs="Times New Roman"/>
          <w:lang w:val="en-US" w:eastAsia="zh-CN"/>
        </w:rPr>
        <w:t>/kWh</w:t>
      </w:r>
      <w:r>
        <w:rPr>
          <w:rFonts w:hint="eastAsia"/>
          <w:lang w:val="en-US" w:eastAsia="zh-CN"/>
        </w:rPr>
        <w:t>，数据来源于《2024年减排项目中国区域电网基准线排放因子》。</w:t>
      </w:r>
    </w:p>
    <w:p w14:paraId="28B251D7">
      <w:pPr>
        <w:pStyle w:val="5"/>
        <w:rPr>
          <w:rFonts w:hint="eastAsia"/>
          <w:lang w:val="en-US" w:eastAsia="zh-CN"/>
        </w:rPr>
      </w:pPr>
      <w:r>
        <w:rPr>
          <w:rFonts w:hint="eastAsia"/>
          <w:lang w:val="en-US" w:eastAsia="zh-CN"/>
        </w:rPr>
        <w:t>数据参考及来源：</w:t>
      </w:r>
    </w:p>
    <w:p w14:paraId="7DFE847A">
      <w:pPr>
        <w:pStyle w:val="13"/>
        <w:rPr>
          <w:rFonts w:hint="default" w:eastAsia="黑体"/>
          <w:lang w:val="en-US" w:eastAsia="zh-CN"/>
        </w:rPr>
      </w:pPr>
      <w:r>
        <w:t xml:space="preserve">表 </w:t>
      </w:r>
      <w:r>
        <w:fldChar w:fldCharType="begin"/>
      </w:r>
      <w:r>
        <w:instrText xml:space="preserve"> SEQ 表 \* ARABIC </w:instrText>
      </w:r>
      <w:r>
        <w:fldChar w:fldCharType="separate"/>
      </w:r>
      <w:r>
        <w:t>1</w:t>
      </w:r>
      <w:r>
        <w:fldChar w:fldCharType="end"/>
      </w:r>
      <w:r>
        <w:rPr>
          <w:rFonts w:hint="eastAsia"/>
          <w:lang w:val="en-US" w:eastAsia="zh-CN"/>
        </w:rPr>
        <w:t xml:space="preserve"> 酒店平均碳排放水平计算数据来源</w:t>
      </w:r>
    </w:p>
    <w:tbl>
      <w:tblPr>
        <w:tblStyle w:val="29"/>
        <w:tblW w:w="96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4"/>
        <w:gridCol w:w="2599"/>
        <w:gridCol w:w="1444"/>
        <w:gridCol w:w="1476"/>
        <w:gridCol w:w="1476"/>
        <w:gridCol w:w="1365"/>
      </w:tblGrid>
      <w:tr w14:paraId="5967A758">
        <w:trPr>
          <w:trHeight w:val="0" w:hRule="atLeast"/>
          <w:tblHeader/>
          <w:jc w:val="center"/>
        </w:trPr>
        <w:tc>
          <w:tcPr>
            <w:tcW w:w="1304" w:type="dxa"/>
            <w:vAlign w:val="center"/>
          </w:tcPr>
          <w:p w14:paraId="185CA146">
            <w:pPr>
              <w:pStyle w:val="42"/>
              <w:bidi w:val="0"/>
              <w:snapToGrid w:val="0"/>
              <w:spacing w:line="240" w:lineRule="auto"/>
              <w:ind w:left="0" w:leftChars="0" w:right="0" w:rightChars="0" w:firstLine="0" w:firstLineChars="0"/>
              <w:jc w:val="center"/>
              <w:rPr>
                <w:rFonts w:hint="eastAsia"/>
                <w:b/>
                <w:lang w:val="en-US" w:eastAsia="zh-CN"/>
              </w:rPr>
            </w:pPr>
            <w:r>
              <w:rPr>
                <w:rFonts w:hint="eastAsia"/>
                <w:b/>
                <w:lang w:val="en-US" w:eastAsia="zh-CN"/>
              </w:rPr>
              <w:t>酒店星级</w:t>
            </w:r>
          </w:p>
        </w:tc>
        <w:tc>
          <w:tcPr>
            <w:tcW w:w="2599" w:type="dxa"/>
            <w:vAlign w:val="center"/>
          </w:tcPr>
          <w:p w14:paraId="1EBA8B7C">
            <w:pPr>
              <w:pStyle w:val="42"/>
              <w:bidi w:val="0"/>
              <w:snapToGrid w:val="0"/>
              <w:spacing w:line="240" w:lineRule="auto"/>
              <w:ind w:left="0" w:leftChars="0" w:right="0" w:rightChars="0" w:firstLine="0" w:firstLineChars="0"/>
              <w:jc w:val="center"/>
              <w:rPr>
                <w:rFonts w:hint="eastAsia"/>
                <w:b/>
                <w:lang w:val="en-US" w:eastAsia="zh-CN"/>
              </w:rPr>
            </w:pPr>
            <w:r>
              <w:rPr>
                <w:rFonts w:hint="eastAsia"/>
                <w:b/>
                <w:lang w:val="en-US" w:eastAsia="zh-CN"/>
              </w:rPr>
              <w:t>Ei/（kWh/（m²·a））</w:t>
            </w:r>
          </w:p>
        </w:tc>
        <w:tc>
          <w:tcPr>
            <w:tcW w:w="1444" w:type="dxa"/>
            <w:vAlign w:val="center"/>
          </w:tcPr>
          <w:p w14:paraId="539A00D0">
            <w:pPr>
              <w:pStyle w:val="42"/>
              <w:bidi w:val="0"/>
              <w:snapToGrid w:val="0"/>
              <w:spacing w:line="240" w:lineRule="auto"/>
              <w:ind w:left="0" w:leftChars="0" w:right="0" w:rightChars="0" w:firstLine="0" w:firstLineChars="0"/>
              <w:jc w:val="center"/>
              <w:rPr>
                <w:rFonts w:hint="eastAsia"/>
                <w:b/>
                <w:lang w:val="en-US" w:eastAsia="zh-CN"/>
              </w:rPr>
            </w:pPr>
            <w:r>
              <w:rPr>
                <w:rFonts w:hint="eastAsia"/>
                <w:b/>
                <w:lang w:val="en-US" w:eastAsia="zh-CN"/>
              </w:rPr>
              <w:t>Ai/（m²）</w:t>
            </w:r>
          </w:p>
        </w:tc>
        <w:tc>
          <w:tcPr>
            <w:tcW w:w="1476" w:type="dxa"/>
            <w:vAlign w:val="center"/>
          </w:tcPr>
          <w:p w14:paraId="40140F57">
            <w:pPr>
              <w:pStyle w:val="42"/>
              <w:bidi w:val="0"/>
              <w:snapToGrid w:val="0"/>
              <w:spacing w:line="240" w:lineRule="auto"/>
              <w:ind w:left="0" w:leftChars="0" w:right="0" w:rightChars="0" w:firstLine="0" w:firstLineChars="0"/>
              <w:jc w:val="center"/>
              <w:rPr>
                <w:rFonts w:hint="eastAsia"/>
                <w:b/>
                <w:lang w:val="en-US" w:eastAsia="zh-CN"/>
              </w:rPr>
            </w:pPr>
            <w:r>
              <w:rPr>
                <w:rFonts w:hint="eastAsia"/>
                <w:b/>
                <w:lang w:val="en-US" w:eastAsia="zh-CN"/>
              </w:rPr>
              <w:t>Ri/（间）</w:t>
            </w:r>
          </w:p>
        </w:tc>
        <w:tc>
          <w:tcPr>
            <w:tcW w:w="1476" w:type="dxa"/>
            <w:vAlign w:val="center"/>
          </w:tcPr>
          <w:p w14:paraId="70587614">
            <w:pPr>
              <w:pStyle w:val="42"/>
              <w:bidi w:val="0"/>
              <w:snapToGrid w:val="0"/>
              <w:spacing w:line="240" w:lineRule="auto"/>
              <w:ind w:left="0" w:leftChars="0" w:right="0" w:rightChars="0" w:firstLine="0" w:firstLineChars="0"/>
              <w:jc w:val="center"/>
              <w:rPr>
                <w:rFonts w:hint="eastAsia"/>
                <w:b/>
                <w:lang w:val="en-US" w:eastAsia="zh-CN"/>
              </w:rPr>
            </w:pPr>
            <w:r>
              <w:rPr>
                <w:rFonts w:hint="eastAsia"/>
                <w:b/>
                <w:lang w:val="en-US" w:eastAsia="zh-CN"/>
              </w:rPr>
              <w:t>Bi/（个）</w:t>
            </w:r>
          </w:p>
        </w:tc>
        <w:tc>
          <w:tcPr>
            <w:tcW w:w="1365" w:type="dxa"/>
            <w:vAlign w:val="center"/>
          </w:tcPr>
          <w:p w14:paraId="4214E981">
            <w:pPr>
              <w:pStyle w:val="42"/>
              <w:bidi w:val="0"/>
              <w:snapToGrid w:val="0"/>
              <w:spacing w:line="240" w:lineRule="auto"/>
              <w:ind w:left="0" w:leftChars="0" w:right="0" w:rightChars="0" w:firstLine="0" w:firstLineChars="0"/>
              <w:jc w:val="center"/>
              <w:rPr>
                <w:rFonts w:hint="eastAsia"/>
                <w:b/>
                <w:lang w:val="en-US" w:eastAsia="zh-CN"/>
              </w:rPr>
            </w:pPr>
            <w:r>
              <w:rPr>
                <w:rFonts w:hint="eastAsia"/>
                <w:b/>
                <w:lang w:val="en-US" w:eastAsia="zh-CN"/>
              </w:rPr>
              <w:t>Ni/（家）</w:t>
            </w:r>
          </w:p>
        </w:tc>
      </w:tr>
      <w:tr w14:paraId="22C5FCB3">
        <w:trPr>
          <w:trHeight w:val="0" w:hRule="atLeast"/>
          <w:jc w:val="center"/>
        </w:trPr>
        <w:tc>
          <w:tcPr>
            <w:tcW w:w="1304" w:type="dxa"/>
            <w:vAlign w:val="center"/>
          </w:tcPr>
          <w:p w14:paraId="49B32909">
            <w:pPr>
              <w:pStyle w:val="42"/>
              <w:bidi w:val="0"/>
              <w:snapToGrid w:val="0"/>
              <w:spacing w:line="240" w:lineRule="auto"/>
              <w:ind w:left="0" w:leftChars="0" w:right="0" w:rightChars="0" w:firstLine="0" w:firstLineChars="0"/>
              <w:jc w:val="center"/>
              <w:rPr>
                <w:rFonts w:hint="eastAsia"/>
                <w:lang w:val="en-US" w:eastAsia="zh-CN"/>
              </w:rPr>
            </w:pPr>
            <w:r>
              <w:rPr>
                <w:rFonts w:hint="eastAsia"/>
                <w:lang w:val="en-US" w:eastAsia="zh-CN"/>
              </w:rPr>
              <w:t>三星级</w:t>
            </w:r>
          </w:p>
        </w:tc>
        <w:tc>
          <w:tcPr>
            <w:tcW w:w="2599" w:type="dxa"/>
            <w:vAlign w:val="center"/>
          </w:tcPr>
          <w:p w14:paraId="4DB94A56">
            <w:pPr>
              <w:pStyle w:val="42"/>
              <w:bidi w:val="0"/>
              <w:snapToGrid w:val="0"/>
              <w:spacing w:line="240" w:lineRule="auto"/>
              <w:ind w:left="0" w:leftChars="0" w:right="0" w:rightChars="0" w:firstLine="0" w:firstLineChars="0"/>
              <w:jc w:val="center"/>
              <w:rPr>
                <w:rFonts w:hint="eastAsia"/>
                <w:lang w:val="en-US" w:eastAsia="zh-CN"/>
              </w:rPr>
            </w:pPr>
            <w:r>
              <w:rPr>
                <w:rFonts w:hint="eastAsia"/>
                <w:lang w:val="en-US" w:eastAsia="zh-CN"/>
              </w:rPr>
              <w:t>137.6</w:t>
            </w:r>
          </w:p>
        </w:tc>
        <w:tc>
          <w:tcPr>
            <w:tcW w:w="1444" w:type="dxa"/>
            <w:vAlign w:val="center"/>
          </w:tcPr>
          <w:p w14:paraId="698CAE0C">
            <w:pPr>
              <w:pStyle w:val="42"/>
              <w:bidi w:val="0"/>
              <w:snapToGrid w:val="0"/>
              <w:spacing w:line="240" w:lineRule="auto"/>
              <w:ind w:left="0" w:leftChars="0" w:right="0" w:rightChars="0" w:firstLine="0" w:firstLineChars="0"/>
              <w:jc w:val="right"/>
              <w:rPr>
                <w:rFonts w:hint="eastAsia"/>
                <w:lang w:val="en-US" w:eastAsia="zh-CN"/>
              </w:rPr>
            </w:pPr>
            <w:r>
              <w:rPr>
                <w:rFonts w:hint="eastAsia"/>
                <w:lang w:val="en-US" w:eastAsia="zh-CN"/>
              </w:rPr>
              <w:t>12</w:t>
            </w:r>
          </w:p>
        </w:tc>
        <w:tc>
          <w:tcPr>
            <w:tcW w:w="1476" w:type="dxa"/>
            <w:vAlign w:val="center"/>
          </w:tcPr>
          <w:p w14:paraId="592E3F00">
            <w:pPr>
              <w:pStyle w:val="42"/>
              <w:bidi w:val="0"/>
              <w:snapToGrid w:val="0"/>
              <w:spacing w:line="240" w:lineRule="auto"/>
              <w:ind w:left="0" w:leftChars="0" w:right="0" w:rightChars="0" w:firstLine="0" w:firstLineChars="0"/>
              <w:jc w:val="right"/>
              <w:rPr>
                <w:rFonts w:hint="eastAsia"/>
                <w:lang w:val="en-US" w:eastAsia="zh-CN"/>
              </w:rPr>
            </w:pPr>
            <w:r>
              <w:rPr>
                <w:rFonts w:hint="eastAsia"/>
                <w:lang w:val="en-US" w:eastAsia="zh-CN"/>
              </w:rPr>
              <w:t>3.464×1</w:t>
            </w:r>
            <w:r>
              <w:rPr>
                <w:rFonts w:hint="eastAsia" w:ascii="Times New Roman" w:hAnsi="Times New Roman" w:eastAsia="宋体" w:cs="宋体"/>
                <w:lang w:val="en-US" w:eastAsia="zh-CN"/>
              </w:rPr>
              <w:t>0⁵</w:t>
            </w:r>
          </w:p>
        </w:tc>
        <w:tc>
          <w:tcPr>
            <w:tcW w:w="1476" w:type="dxa"/>
            <w:vAlign w:val="center"/>
          </w:tcPr>
          <w:p w14:paraId="4DF13E78">
            <w:pPr>
              <w:pStyle w:val="42"/>
              <w:bidi w:val="0"/>
              <w:snapToGrid w:val="0"/>
              <w:spacing w:line="240" w:lineRule="auto"/>
              <w:ind w:left="0" w:leftChars="0" w:right="0" w:rightChars="0" w:firstLine="0" w:firstLineChars="0"/>
              <w:jc w:val="right"/>
              <w:rPr>
                <w:rFonts w:hint="eastAsia"/>
                <w:lang w:val="en-US" w:eastAsia="zh-CN"/>
              </w:rPr>
            </w:pPr>
            <w:r>
              <w:rPr>
                <w:rFonts w:hint="eastAsia"/>
                <w:lang w:val="en-US" w:eastAsia="zh-CN"/>
              </w:rPr>
              <w:t>5.935×10</w:t>
            </w:r>
            <w:r>
              <w:rPr>
                <w:rFonts w:hint="eastAsia" w:ascii="Times New Roman" w:hAnsi="Times New Roman" w:eastAsia="宋体" w:cs="宋体"/>
                <w:lang w:val="en-US" w:eastAsia="zh-CN"/>
              </w:rPr>
              <w:t>⁵</w:t>
            </w:r>
          </w:p>
        </w:tc>
        <w:tc>
          <w:tcPr>
            <w:tcW w:w="1365" w:type="dxa"/>
            <w:vAlign w:val="center"/>
          </w:tcPr>
          <w:p w14:paraId="1501DE2B">
            <w:pPr>
              <w:pStyle w:val="42"/>
              <w:bidi w:val="0"/>
              <w:snapToGrid w:val="0"/>
              <w:spacing w:line="240" w:lineRule="auto"/>
              <w:ind w:left="0" w:leftChars="0" w:right="0" w:rightChars="0" w:firstLine="0" w:firstLineChars="0"/>
              <w:jc w:val="right"/>
              <w:rPr>
                <w:rFonts w:hint="eastAsia"/>
                <w:lang w:val="en-US" w:eastAsia="zh-CN"/>
              </w:rPr>
            </w:pPr>
            <w:r>
              <w:rPr>
                <w:rFonts w:hint="eastAsia"/>
                <w:lang w:val="en-US" w:eastAsia="zh-CN"/>
              </w:rPr>
              <w:t>3471</w:t>
            </w:r>
          </w:p>
        </w:tc>
      </w:tr>
      <w:tr w14:paraId="5F253550">
        <w:trPr>
          <w:trHeight w:val="0" w:hRule="atLeast"/>
          <w:jc w:val="center"/>
        </w:trPr>
        <w:tc>
          <w:tcPr>
            <w:tcW w:w="1304" w:type="dxa"/>
            <w:vAlign w:val="center"/>
          </w:tcPr>
          <w:p w14:paraId="3C120E3D">
            <w:pPr>
              <w:pStyle w:val="42"/>
              <w:bidi w:val="0"/>
              <w:snapToGrid w:val="0"/>
              <w:spacing w:line="240" w:lineRule="auto"/>
              <w:ind w:left="0" w:leftChars="0" w:right="0" w:rightChars="0" w:firstLine="0" w:firstLineChars="0"/>
              <w:jc w:val="center"/>
              <w:rPr>
                <w:rFonts w:hint="eastAsia"/>
                <w:lang w:val="en-US" w:eastAsia="zh-CN"/>
              </w:rPr>
            </w:pPr>
            <w:r>
              <w:rPr>
                <w:rFonts w:hint="eastAsia"/>
                <w:lang w:val="en-US" w:eastAsia="zh-CN"/>
              </w:rPr>
              <w:t>四星级</w:t>
            </w:r>
          </w:p>
        </w:tc>
        <w:tc>
          <w:tcPr>
            <w:tcW w:w="2599" w:type="dxa"/>
            <w:vAlign w:val="center"/>
          </w:tcPr>
          <w:p w14:paraId="5B97AE60">
            <w:pPr>
              <w:pStyle w:val="42"/>
              <w:bidi w:val="0"/>
              <w:snapToGrid w:val="0"/>
              <w:spacing w:line="240" w:lineRule="auto"/>
              <w:ind w:left="0" w:leftChars="0" w:right="0" w:rightChars="0" w:firstLine="0" w:firstLineChars="0"/>
              <w:jc w:val="center"/>
              <w:rPr>
                <w:rFonts w:hint="eastAsia"/>
                <w:lang w:val="en-US" w:eastAsia="zh-CN"/>
              </w:rPr>
            </w:pPr>
            <w:r>
              <w:rPr>
                <w:rFonts w:hint="eastAsia"/>
                <w:lang w:val="en-US" w:eastAsia="zh-CN"/>
              </w:rPr>
              <w:t>150.3</w:t>
            </w:r>
          </w:p>
        </w:tc>
        <w:tc>
          <w:tcPr>
            <w:tcW w:w="1444" w:type="dxa"/>
            <w:vAlign w:val="center"/>
          </w:tcPr>
          <w:p w14:paraId="614D7CF8">
            <w:pPr>
              <w:pStyle w:val="42"/>
              <w:bidi w:val="0"/>
              <w:snapToGrid w:val="0"/>
              <w:spacing w:line="240" w:lineRule="auto"/>
              <w:ind w:left="0" w:leftChars="0" w:right="0" w:rightChars="0" w:firstLine="0" w:firstLineChars="0"/>
              <w:jc w:val="right"/>
              <w:rPr>
                <w:rFonts w:hint="eastAsia"/>
                <w:lang w:val="en-US" w:eastAsia="zh-CN"/>
              </w:rPr>
            </w:pPr>
            <w:r>
              <w:rPr>
                <w:rFonts w:hint="eastAsia"/>
                <w:lang w:val="en-US" w:eastAsia="zh-CN"/>
              </w:rPr>
              <w:t>14</w:t>
            </w:r>
          </w:p>
        </w:tc>
        <w:tc>
          <w:tcPr>
            <w:tcW w:w="1476" w:type="dxa"/>
            <w:vAlign w:val="center"/>
          </w:tcPr>
          <w:p w14:paraId="60D8582E">
            <w:pPr>
              <w:pStyle w:val="42"/>
              <w:bidi w:val="0"/>
              <w:snapToGrid w:val="0"/>
              <w:spacing w:line="240" w:lineRule="auto"/>
              <w:ind w:left="0" w:leftChars="0" w:right="0" w:rightChars="0" w:firstLine="0" w:firstLineChars="0"/>
              <w:jc w:val="right"/>
              <w:rPr>
                <w:rFonts w:hint="eastAsia"/>
                <w:lang w:val="en-US" w:eastAsia="zh-CN"/>
              </w:rPr>
            </w:pPr>
            <w:r>
              <w:rPr>
                <w:rFonts w:hint="eastAsia"/>
                <w:lang w:val="en-US" w:eastAsia="zh-CN"/>
              </w:rPr>
              <w:t>4.323×10</w:t>
            </w:r>
            <w:r>
              <w:rPr>
                <w:rFonts w:hint="eastAsia" w:ascii="Times New Roman" w:hAnsi="Times New Roman" w:eastAsia="宋体" w:cs="宋体"/>
                <w:lang w:val="en-US" w:eastAsia="zh-CN"/>
              </w:rPr>
              <w:t>⁵</w:t>
            </w:r>
          </w:p>
        </w:tc>
        <w:tc>
          <w:tcPr>
            <w:tcW w:w="1476" w:type="dxa"/>
            <w:vAlign w:val="center"/>
          </w:tcPr>
          <w:p w14:paraId="60228208">
            <w:pPr>
              <w:pStyle w:val="42"/>
              <w:bidi w:val="0"/>
              <w:snapToGrid w:val="0"/>
              <w:spacing w:line="240" w:lineRule="auto"/>
              <w:ind w:left="0" w:leftChars="0" w:right="0" w:rightChars="0" w:firstLine="0" w:firstLineChars="0"/>
              <w:jc w:val="right"/>
              <w:rPr>
                <w:rFonts w:hint="eastAsia"/>
                <w:lang w:val="en-US" w:eastAsia="zh-CN"/>
              </w:rPr>
            </w:pPr>
            <w:r>
              <w:rPr>
                <w:rFonts w:hint="eastAsia"/>
                <w:lang w:val="en-US" w:eastAsia="zh-CN"/>
              </w:rPr>
              <w:t>6.978×10</w:t>
            </w:r>
            <w:r>
              <w:rPr>
                <w:rFonts w:hint="eastAsia" w:ascii="Times New Roman" w:hAnsi="Times New Roman" w:eastAsia="宋体" w:cs="宋体"/>
                <w:lang w:val="en-US" w:eastAsia="zh-CN"/>
              </w:rPr>
              <w:t>⁵</w:t>
            </w:r>
          </w:p>
        </w:tc>
        <w:tc>
          <w:tcPr>
            <w:tcW w:w="1365" w:type="dxa"/>
            <w:vAlign w:val="center"/>
          </w:tcPr>
          <w:p w14:paraId="26C889F8">
            <w:pPr>
              <w:pStyle w:val="42"/>
              <w:bidi w:val="0"/>
              <w:snapToGrid w:val="0"/>
              <w:spacing w:line="240" w:lineRule="auto"/>
              <w:ind w:left="0" w:leftChars="0" w:right="0" w:rightChars="0" w:firstLine="0" w:firstLineChars="0"/>
              <w:jc w:val="right"/>
              <w:rPr>
                <w:rFonts w:hint="eastAsia"/>
                <w:lang w:val="en-US" w:eastAsia="zh-CN"/>
              </w:rPr>
            </w:pPr>
            <w:r>
              <w:rPr>
                <w:rFonts w:hint="eastAsia"/>
                <w:lang w:val="en-US" w:eastAsia="zh-CN"/>
              </w:rPr>
              <w:t>2325</w:t>
            </w:r>
          </w:p>
        </w:tc>
      </w:tr>
      <w:tr w14:paraId="45D3B3CF">
        <w:trPr>
          <w:trHeight w:val="0" w:hRule="atLeast"/>
          <w:jc w:val="center"/>
        </w:trPr>
        <w:tc>
          <w:tcPr>
            <w:tcW w:w="1304" w:type="dxa"/>
            <w:vAlign w:val="center"/>
          </w:tcPr>
          <w:p w14:paraId="1E600992">
            <w:pPr>
              <w:pStyle w:val="42"/>
              <w:bidi w:val="0"/>
              <w:snapToGrid w:val="0"/>
              <w:spacing w:line="240" w:lineRule="auto"/>
              <w:ind w:left="0" w:leftChars="0" w:right="0" w:rightChars="0" w:firstLine="0" w:firstLineChars="0"/>
              <w:jc w:val="center"/>
              <w:rPr>
                <w:rFonts w:hint="eastAsia"/>
                <w:lang w:val="en-US" w:eastAsia="zh-CN"/>
              </w:rPr>
            </w:pPr>
            <w:r>
              <w:rPr>
                <w:rFonts w:hint="eastAsia"/>
                <w:lang w:val="en-US" w:eastAsia="zh-CN"/>
              </w:rPr>
              <w:t>五星级</w:t>
            </w:r>
          </w:p>
        </w:tc>
        <w:tc>
          <w:tcPr>
            <w:tcW w:w="2599" w:type="dxa"/>
            <w:vAlign w:val="center"/>
          </w:tcPr>
          <w:p w14:paraId="18D50FB3">
            <w:pPr>
              <w:pStyle w:val="42"/>
              <w:bidi w:val="0"/>
              <w:snapToGrid w:val="0"/>
              <w:spacing w:line="240" w:lineRule="auto"/>
              <w:ind w:left="0" w:leftChars="0" w:right="0" w:rightChars="0" w:firstLine="0" w:firstLineChars="0"/>
              <w:jc w:val="center"/>
              <w:rPr>
                <w:rFonts w:hint="eastAsia"/>
                <w:lang w:val="en-US" w:eastAsia="zh-CN"/>
              </w:rPr>
            </w:pPr>
            <w:r>
              <w:rPr>
                <w:rFonts w:hint="eastAsia"/>
                <w:lang w:val="en-US" w:eastAsia="zh-CN"/>
              </w:rPr>
              <w:t>204.2</w:t>
            </w:r>
          </w:p>
        </w:tc>
        <w:tc>
          <w:tcPr>
            <w:tcW w:w="1444" w:type="dxa"/>
            <w:vAlign w:val="center"/>
          </w:tcPr>
          <w:p w14:paraId="0239C142">
            <w:pPr>
              <w:pStyle w:val="42"/>
              <w:bidi w:val="0"/>
              <w:snapToGrid w:val="0"/>
              <w:spacing w:line="240" w:lineRule="auto"/>
              <w:ind w:left="0" w:leftChars="0" w:right="0" w:rightChars="0" w:firstLine="0" w:firstLineChars="0"/>
              <w:jc w:val="right"/>
              <w:rPr>
                <w:rFonts w:hint="eastAsia"/>
                <w:lang w:val="en-US" w:eastAsia="zh-CN"/>
              </w:rPr>
            </w:pPr>
            <w:r>
              <w:rPr>
                <w:rFonts w:hint="eastAsia"/>
                <w:lang w:val="en-US" w:eastAsia="zh-CN"/>
              </w:rPr>
              <w:t>17</w:t>
            </w:r>
          </w:p>
        </w:tc>
        <w:tc>
          <w:tcPr>
            <w:tcW w:w="1476" w:type="dxa"/>
            <w:vAlign w:val="center"/>
          </w:tcPr>
          <w:p w14:paraId="225241A8">
            <w:pPr>
              <w:pStyle w:val="42"/>
              <w:bidi w:val="0"/>
              <w:snapToGrid w:val="0"/>
              <w:spacing w:line="240" w:lineRule="auto"/>
              <w:ind w:left="0" w:leftChars="0" w:right="0" w:rightChars="0" w:firstLine="0" w:firstLineChars="0"/>
              <w:jc w:val="right"/>
              <w:rPr>
                <w:rFonts w:hint="eastAsia"/>
                <w:lang w:val="en-US" w:eastAsia="zh-CN"/>
              </w:rPr>
            </w:pPr>
            <w:r>
              <w:rPr>
                <w:rFonts w:hint="eastAsia"/>
                <w:lang w:val="en-US" w:eastAsia="zh-CN"/>
              </w:rPr>
              <w:t>2.580×10</w:t>
            </w:r>
            <w:r>
              <w:rPr>
                <w:rFonts w:hint="eastAsia" w:ascii="Times New Roman" w:hAnsi="Times New Roman" w:eastAsia="宋体" w:cs="宋体"/>
                <w:lang w:val="en-US" w:eastAsia="zh-CN"/>
              </w:rPr>
              <w:t>⁵</w:t>
            </w:r>
          </w:p>
        </w:tc>
        <w:tc>
          <w:tcPr>
            <w:tcW w:w="1476" w:type="dxa"/>
            <w:vAlign w:val="center"/>
          </w:tcPr>
          <w:p w14:paraId="18918A8F">
            <w:pPr>
              <w:pStyle w:val="42"/>
              <w:bidi w:val="0"/>
              <w:snapToGrid w:val="0"/>
              <w:spacing w:line="240" w:lineRule="auto"/>
              <w:ind w:left="0" w:leftChars="0" w:right="0" w:rightChars="0" w:firstLine="0" w:firstLineChars="0"/>
              <w:jc w:val="right"/>
              <w:rPr>
                <w:rFonts w:hint="eastAsia"/>
                <w:lang w:val="en-US" w:eastAsia="zh-CN"/>
              </w:rPr>
            </w:pPr>
            <w:r>
              <w:rPr>
                <w:rFonts w:hint="eastAsia"/>
                <w:lang w:val="en-US" w:eastAsia="zh-CN"/>
              </w:rPr>
              <w:t>3.803×10</w:t>
            </w:r>
            <w:r>
              <w:rPr>
                <w:rFonts w:hint="eastAsia" w:ascii="Times New Roman" w:hAnsi="Times New Roman" w:eastAsia="宋体" w:cs="宋体"/>
                <w:lang w:val="en-US" w:eastAsia="zh-CN"/>
              </w:rPr>
              <w:t>⁵</w:t>
            </w:r>
          </w:p>
        </w:tc>
        <w:tc>
          <w:tcPr>
            <w:tcW w:w="1365" w:type="dxa"/>
            <w:vAlign w:val="center"/>
          </w:tcPr>
          <w:p w14:paraId="31F395A7">
            <w:pPr>
              <w:pStyle w:val="42"/>
              <w:bidi w:val="0"/>
              <w:snapToGrid w:val="0"/>
              <w:spacing w:line="240" w:lineRule="auto"/>
              <w:ind w:left="0" w:leftChars="0" w:right="0" w:rightChars="0" w:firstLine="0" w:firstLineChars="0"/>
              <w:jc w:val="right"/>
              <w:rPr>
                <w:rFonts w:hint="eastAsia"/>
                <w:lang w:val="en-US" w:eastAsia="zh-CN"/>
              </w:rPr>
            </w:pPr>
            <w:r>
              <w:rPr>
                <w:rFonts w:hint="eastAsia"/>
                <w:lang w:val="en-US" w:eastAsia="zh-CN"/>
              </w:rPr>
              <w:t>772</w:t>
            </w:r>
          </w:p>
        </w:tc>
      </w:tr>
      <w:tr w14:paraId="29FEFA75">
        <w:trPr>
          <w:trHeight w:val="0" w:hRule="atLeast"/>
          <w:jc w:val="center"/>
        </w:trPr>
        <w:tc>
          <w:tcPr>
            <w:tcW w:w="1304" w:type="dxa"/>
            <w:vAlign w:val="center"/>
          </w:tcPr>
          <w:p w14:paraId="6E049A3C">
            <w:pPr>
              <w:pStyle w:val="42"/>
              <w:bidi w:val="0"/>
              <w:snapToGrid w:val="0"/>
              <w:spacing w:line="240" w:lineRule="auto"/>
              <w:ind w:left="0" w:leftChars="0" w:right="0" w:rightChars="0" w:firstLine="0" w:firstLineChars="0"/>
              <w:jc w:val="center"/>
              <w:rPr>
                <w:rFonts w:hint="eastAsia"/>
                <w:lang w:val="en-US" w:eastAsia="zh-CN"/>
              </w:rPr>
            </w:pPr>
            <w:r>
              <w:rPr>
                <w:rFonts w:hint="eastAsia"/>
                <w:lang w:val="en-US" w:eastAsia="zh-CN"/>
              </w:rPr>
              <w:t>数据来源</w:t>
            </w:r>
          </w:p>
        </w:tc>
        <w:tc>
          <w:tcPr>
            <w:tcW w:w="8360" w:type="dxa"/>
            <w:gridSpan w:val="5"/>
            <w:vAlign w:val="center"/>
          </w:tcPr>
          <w:p w14:paraId="5594031C">
            <w:pPr>
              <w:pStyle w:val="42"/>
              <w:bidi w:val="0"/>
              <w:snapToGrid w:val="0"/>
              <w:spacing w:line="240" w:lineRule="auto"/>
              <w:ind w:left="0" w:leftChars="0" w:right="0" w:rightChars="0" w:firstLine="0" w:firstLineChars="0"/>
              <w:jc w:val="both"/>
              <w:rPr>
                <w:rFonts w:hint="eastAsia"/>
                <w:lang w:val="en-US" w:eastAsia="zh-CN"/>
              </w:rPr>
            </w:pPr>
            <w:r>
              <w:rPr>
                <w:rFonts w:hint="eastAsia"/>
                <w:lang w:val="en-US" w:eastAsia="zh-CN"/>
              </w:rPr>
              <w:t>1、Ei来源于：田顺.山东地区既有公共建筑节能改造及节能率的研究[D].山东建筑大学,2017.。</w:t>
            </w:r>
          </w:p>
          <w:p w14:paraId="361820C8">
            <w:pPr>
              <w:pStyle w:val="42"/>
              <w:bidi w:val="0"/>
              <w:snapToGrid w:val="0"/>
              <w:spacing w:line="240" w:lineRule="auto"/>
              <w:ind w:left="0" w:leftChars="0" w:right="0" w:rightChars="0" w:firstLine="0" w:firstLineChars="0"/>
              <w:jc w:val="both"/>
              <w:rPr>
                <w:rFonts w:hint="eastAsia"/>
                <w:lang w:val="en-US" w:eastAsia="zh-CN"/>
              </w:rPr>
            </w:pPr>
            <w:r>
              <w:rPr>
                <w:rFonts w:hint="eastAsia"/>
                <w:lang w:val="en-US" w:eastAsia="zh-CN"/>
              </w:rPr>
              <w:t>2、Ai、Ri、Bi、Ni来源于：文化和旅游部市场管理司，《2023年度全国星级旅游饭店统计调查报告》。</w:t>
            </w:r>
          </w:p>
        </w:tc>
      </w:tr>
    </w:tbl>
    <w:p w14:paraId="31630586">
      <w:pPr>
        <w:pStyle w:val="3"/>
        <w:bidi w:val="0"/>
        <w:rPr>
          <w:rFonts w:hint="eastAsia"/>
          <w:lang w:val="en-US" w:eastAsia="zh-CN"/>
        </w:rPr>
      </w:pPr>
      <m:oMath>
        <m:sSub>
          <m:sSubPr>
            <m:ctrlPr>
              <w:rPr>
                <w:rFonts w:hint="eastAsia" w:ascii="Cambria Math" w:hAnsi="Cambria Math"/>
                <w:lang w:val="en-US" w:eastAsia="zh-CN"/>
              </w:rPr>
            </m:ctrlPr>
          </m:sSubPr>
          <m:e>
            <m:r>
              <m:rPr>
                <m:sty m:val="p"/>
              </m:rPr>
              <w:rPr>
                <w:rFonts w:hint="eastAsia" w:ascii="Times New Roman" w:hAnsi="Times New Roman"/>
                <w:lang w:val="en-US" w:eastAsia="zh-CN"/>
              </w:rPr>
              <m:t>EF</m:t>
            </m:r>
            <m:ctrlPr>
              <w:rPr>
                <w:rFonts w:hint="eastAsia" w:ascii="Cambria Math" w:hAnsi="Cambria Math"/>
                <w:lang w:val="en-US" w:eastAsia="zh-CN"/>
              </w:rPr>
            </m:ctrlPr>
          </m:e>
          <m:sub>
            <m:r>
              <m:rPr>
                <m:sty m:val="p"/>
              </m:rPr>
              <w:rPr>
                <w:rFonts w:hint="eastAsia" w:ascii="Times New Roman" w:hAnsi="Times New Roman"/>
                <w:lang w:val="en-US" w:eastAsia="zh-CN"/>
              </w:rPr>
              <m:t>serve</m:t>
            </m:r>
            <m:ctrlPr>
              <w:rPr>
                <w:rFonts w:hint="eastAsia" w:ascii="Cambria Math" w:hAnsi="Cambria Math"/>
                <w:lang w:val="en-US" w:eastAsia="zh-CN"/>
              </w:rPr>
            </m:ctrlPr>
          </m:sub>
        </m:sSub>
      </m:oMath>
      <w:r>
        <w:rPr>
          <w:rFonts w:hint="eastAsia" w:hAnsi="Cambria Math"/>
          <w:i w:val="0"/>
          <w:lang w:val="en-US" w:eastAsia="zh-CN"/>
        </w:rPr>
        <w:t>：</w:t>
      </w:r>
      <w:r>
        <w:rPr>
          <w:rFonts w:hint="eastAsia"/>
          <w:lang w:val="en-US" w:eastAsia="zh-CN"/>
        </w:rPr>
        <w:t>单位客房服务碳排放因子</w:t>
      </w:r>
    </w:p>
    <w:p w14:paraId="75224F94">
      <w:pPr>
        <w:pStyle w:val="5"/>
        <w:rPr>
          <w:rFonts w:hint="eastAsia"/>
          <w:lang w:val="en-US" w:eastAsia="zh-CN"/>
        </w:rPr>
      </w:pPr>
      <w:r>
        <w:rPr>
          <w:rFonts w:hint="eastAsia"/>
          <w:lang w:val="en-US" w:eastAsia="zh-CN"/>
        </w:rPr>
        <w:t>此数据来自</w:t>
      </w:r>
      <w:r>
        <w:rPr>
          <w:rFonts w:hint="eastAsia"/>
          <w:lang w:eastAsia="zh-CN"/>
        </w:rPr>
        <w:t>“碳</w:t>
      </w:r>
      <w:r>
        <w:rPr>
          <w:rFonts w:hint="eastAsia"/>
          <w:lang w:val="en-US" w:eastAsia="zh-CN"/>
        </w:rPr>
        <w:t>惠</w:t>
      </w:r>
      <w:r>
        <w:rPr>
          <w:rFonts w:hint="eastAsia"/>
          <w:lang w:eastAsia="zh-CN"/>
        </w:rPr>
        <w:t>山东”山东官方碳普惠平台，</w:t>
      </w:r>
      <w:r>
        <w:rPr>
          <w:rFonts w:hint="eastAsia"/>
          <w:lang w:val="en-US" w:eastAsia="zh-CN"/>
        </w:rPr>
        <w:t>较为贴合本地真实数据，故采用：</w:t>
      </w:r>
    </w:p>
    <w:p w14:paraId="7F262950">
      <w:pPr>
        <w:pStyle w:val="5"/>
        <w:rPr>
          <w:rFonts w:hint="eastAsia"/>
          <w:lang w:val="en-US" w:eastAsia="zh-CN"/>
        </w:rPr>
      </w:pPr>
      <w:r>
        <w:rPr>
          <w:rFonts w:hint="eastAsia"/>
          <w:lang w:val="en-US" w:eastAsia="zh-CN"/>
        </w:rPr>
        <w:t>EF1,y=1.530kg/（床·晚）</w:t>
      </w:r>
      <w:r>
        <w:rPr>
          <w:rFonts w:hint="eastAsia"/>
          <w:lang w:val="en-US" w:eastAsia="zh-CN"/>
        </w:rPr>
        <w:tab/>
      </w:r>
      <w:r>
        <w:rPr>
          <w:rFonts w:hint="eastAsia"/>
          <w:lang w:val="en-US" w:eastAsia="zh-CN"/>
        </w:rPr>
        <w:tab/>
      </w:r>
    </w:p>
    <w:p w14:paraId="11F9AFC3">
      <w:pPr>
        <w:pStyle w:val="5"/>
        <w:rPr>
          <w:rFonts w:hint="eastAsia"/>
          <w:lang w:val="en-US" w:eastAsia="zh-CN"/>
        </w:rPr>
      </w:pPr>
      <w:r>
        <w:rPr>
          <w:rFonts w:hint="eastAsia"/>
          <w:lang w:val="en-US" w:eastAsia="zh-CN"/>
        </w:rPr>
        <w:t>EF2,y=0.871kg/（床·晚）</w:t>
      </w:r>
    </w:p>
    <w:p w14:paraId="3DC554A5">
      <w:pPr>
        <w:pStyle w:val="5"/>
        <w:rPr>
          <w:rFonts w:hint="eastAsia"/>
          <w:lang w:val="en-US" w:eastAsia="zh-CN"/>
        </w:rPr>
      </w:pPr>
      <w:r>
        <w:rPr>
          <w:rFonts w:hint="eastAsia"/>
          <w:lang w:val="en-US" w:eastAsia="zh-CN"/>
        </w:rPr>
        <w:t>EF3,y=0.684kg/（床·晚）</w:t>
      </w:r>
      <w:r>
        <w:rPr>
          <w:rFonts w:hint="eastAsia"/>
          <w:lang w:val="en-US" w:eastAsia="zh-CN"/>
        </w:rPr>
        <w:tab/>
      </w:r>
      <w:r>
        <w:rPr>
          <w:rFonts w:hint="eastAsia"/>
          <w:lang w:val="en-US" w:eastAsia="zh-CN"/>
        </w:rPr>
        <w:tab/>
      </w:r>
    </w:p>
    <w:p w14:paraId="3EF370F2">
      <w:pPr>
        <w:pStyle w:val="5"/>
        <w:rPr>
          <w:rFonts w:hint="eastAsia"/>
          <w:lang w:val="en-US" w:eastAsia="zh-CN"/>
        </w:rPr>
      </w:pPr>
      <w:bookmarkStart w:id="0" w:name="_GoBack"/>
      <w:bookmarkEnd w:id="0"/>
      <w:r>
        <w:rPr>
          <w:rFonts w:hint="eastAsia"/>
          <w:lang w:val="en-US" w:eastAsia="zh-CN"/>
        </w:rPr>
        <w:t>EF4,y=0.634kg/（床·晚）</w:t>
      </w:r>
    </w:p>
    <w:p w14:paraId="3DC35905">
      <w:pPr>
        <w:pStyle w:val="5"/>
        <w:rPr>
          <w:rFonts w:hint="eastAsia"/>
          <w:lang w:val="en-US" w:eastAsia="zh-CN"/>
        </w:rPr>
      </w:pPr>
      <w:r>
        <w:rPr>
          <w:rFonts w:hint="default" w:ascii="Times New Roman" w:hAnsi="Times New Roman" w:cs="Times New Roman"/>
          <w:lang w:val="en-US" w:eastAsia="zh-CN"/>
        </w:rPr>
        <w:t>不使用一次性洗漱用品</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1,y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=1.530kg/（床·晚）</w:t>
      </w:r>
      <w:r>
        <w:rPr>
          <w:rFonts w:hint="eastAsia"/>
          <w:lang w:val="en-US" w:eastAsia="zh-CN"/>
        </w:rPr>
        <w:t>——第y年因住客入住时不使用一次性洗漱用品（如牙刷、梳子、剃须刀等）产生的碳减排因子，该因子表征了在该年度内，因住客选择不使用一次性洗漱用品这一行为，所实现相关资源消耗减少带来的碳减排绩效水平。</w:t>
      </w:r>
    </w:p>
    <w:p w14:paraId="093E9FE3">
      <w:pPr>
        <w:pStyle w:val="5"/>
        <w:rPr>
          <w:rFonts w:hint="eastAsia"/>
          <w:lang w:val="en-US" w:eastAsia="zh-CN"/>
        </w:rPr>
      </w:pPr>
      <w:r>
        <w:rPr>
          <w:rFonts w:hint="default" w:ascii="Times New Roman" w:hAnsi="Times New Roman" w:cs="Times New Roman"/>
          <w:lang w:val="en-US" w:eastAsia="zh-CN"/>
        </w:rPr>
        <w:t>不更换床单、被套</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2,y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=0.871kg/（床·晚）</w:t>
      </w:r>
      <w:r>
        <w:rPr>
          <w:rFonts w:hint="eastAsia"/>
          <w:lang w:val="en-US" w:eastAsia="zh-CN"/>
        </w:rPr>
        <w:t>——第y年因住客在连续入住期间不更换床单、被套产生的碳减排因子，该因子体现了在该年度内，住客通过减少床品更换次数，从而降低洗涤等环节能源消耗与碳排放的减排效果。</w:t>
      </w:r>
    </w:p>
    <w:p w14:paraId="7CDD42D0">
      <w:pPr>
        <w:pStyle w:val="5"/>
        <w:rPr>
          <w:rFonts w:hint="eastAsia"/>
          <w:lang w:val="en-US" w:eastAsia="zh-CN"/>
        </w:rPr>
      </w:pPr>
      <w:r>
        <w:rPr>
          <w:rFonts w:hint="default" w:ascii="Times New Roman" w:hAnsi="Times New Roman" w:cs="Times New Roman"/>
          <w:lang w:val="en-US" w:eastAsia="zh-CN"/>
        </w:rPr>
        <w:t>不更换毛巾、浴巾、浴袍</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3,y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=0.684kg/（床·晚）</w:t>
      </w:r>
      <w:r>
        <w:rPr>
          <w:rFonts w:hint="eastAsia"/>
          <w:lang w:val="en-US" w:eastAsia="zh-CN"/>
        </w:rPr>
        <w:t>——第y年因住客在连续入住期间不更换毛巾、浴巾、浴袍产生的碳减排因子，它反映了住客延长毛巾等纺织品使用周期，减少洗涤频率所带来的碳减排贡献。</w:t>
      </w:r>
    </w:p>
    <w:p w14:paraId="0673B73F">
      <w:pPr>
        <w:pStyle w:val="5"/>
        <w:rPr>
          <w:rFonts w:hint="eastAsia"/>
          <w:lang w:val="en-US" w:eastAsia="zh-CN"/>
        </w:rPr>
      </w:pPr>
      <w:r>
        <w:rPr>
          <w:rFonts w:hint="default" w:ascii="Times New Roman" w:hAnsi="Times New Roman" w:cs="Times New Roman"/>
          <w:lang w:val="en-US" w:eastAsia="zh-CN"/>
        </w:rPr>
        <w:t>不新增一次性拖鞋</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4,y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=0.634kg/（床·晚）</w:t>
      </w:r>
      <w:r>
        <w:rPr>
          <w:rFonts w:hint="eastAsia"/>
          <w:lang w:val="en-US" w:eastAsia="zh-CN"/>
        </w:rPr>
        <w:t>——第y年因住客在连续入住期间不新增一次性拖鞋产生的碳减排因子，该因子表征了通过减少一次性拖鞋的使用，降低其生产、运输等环节的碳排放效果。</w:t>
      </w:r>
    </w:p>
    <w:p w14:paraId="1E985CB1">
      <w:pPr>
        <w:pStyle w:val="3"/>
        <w:bidi w:val="0"/>
        <w:rPr>
          <w:rFonts w:hint="eastAsia"/>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EC</m:t>
            </m:r>
            <m:ctrlPr>
              <w:rPr>
                <w:rFonts w:hint="default" w:ascii="Cambria Math" w:hAnsi="Cambria Math" w:cs="Cambria Math"/>
                <w:lang w:val="en-US" w:eastAsia="zh-CN"/>
              </w:rPr>
            </m:ctrlPr>
          </m:sub>
        </m:sSub>
      </m:oMath>
      <w:r>
        <w:rPr>
          <w:rFonts w:hint="eastAsia" w:hAnsi="Cambria Math" w:cs="Cambria Math"/>
          <w:i w:val="0"/>
          <w:lang w:val="en-US" w:eastAsia="zh-CN"/>
        </w:rPr>
        <w:t>：</w:t>
      </w:r>
      <w:r>
        <w:rPr>
          <w:rFonts w:hint="eastAsia"/>
          <w:lang w:val="en-US" w:eastAsia="zh-CN"/>
        </w:rPr>
        <w:t>电力碳排放因子</w:t>
      </w:r>
    </w:p>
    <w:p w14:paraId="4A809BE8">
      <w:pPr>
        <w:pStyle w:val="5"/>
        <w:rPr>
          <w:rFonts w:hint="eastAsia"/>
          <w:lang w:val="en-US" w:eastAsia="zh-CN"/>
        </w:rPr>
      </w:pPr>
      <w:r>
        <w:rPr>
          <w:rFonts w:hint="eastAsia"/>
          <w:lang w:val="en-US" w:eastAsia="zh-CN"/>
        </w:rPr>
        <w:t>依据《</w:t>
      </w:r>
      <w:r>
        <w:rPr>
          <w:rFonts w:hint="eastAsia"/>
          <w:lang w:eastAsia="zh-CN"/>
        </w:rPr>
        <w:t>202</w:t>
      </w:r>
      <w:r>
        <w:rPr>
          <w:rFonts w:hint="eastAsia"/>
          <w:lang w:val="en-US" w:eastAsia="zh-CN"/>
        </w:rPr>
        <w:t>4</w:t>
      </w:r>
      <w:r>
        <w:rPr>
          <w:rFonts w:hint="eastAsia"/>
          <w:lang w:eastAsia="zh-CN"/>
        </w:rPr>
        <w:t>年减排项目中国区域电网基准线排放因子</w:t>
      </w:r>
      <w:r>
        <w:rPr>
          <w:rFonts w:hint="eastAsia"/>
          <w:lang w:val="en-US" w:eastAsia="zh-CN"/>
        </w:rPr>
        <w:t>》，选取山东省所在华北区域的电网基准线排放因子OM、BM的数值计算。</w:t>
      </w:r>
    </w:p>
    <w:p w14:paraId="1F83DA14">
      <w:pPr>
        <w:pStyle w:val="5"/>
        <w:rPr>
          <w:rFonts w:hint="eastAsia"/>
          <w:lang w:val="en-US" w:eastAsia="zh-CN"/>
        </w:rPr>
      </w:pPr>
      <m:oMathPara>
        <m:oMathParaPr>
          <m:jc m:val="left"/>
        </m:oMathParaPr>
        <m:oMath>
          <m:sSub>
            <m:sSubPr>
              <m:ctrlPr>
                <w:rPr>
                  <w:rFonts w:hint="eastAsia" w:ascii="Cambria Math" w:hAnsi="Cambria Math"/>
                  <w:lang w:val="en-US" w:eastAsia="zh-CN"/>
                </w:rPr>
              </m:ctrlPr>
            </m:sSubPr>
            <m:e>
              <m:r>
                <m:rPr>
                  <m:sty m:val="p"/>
                </m:rPr>
                <w:rPr>
                  <w:rFonts w:hint="eastAsia" w:ascii="Cambria Math" w:hAnsi="Cambria Math"/>
                  <w:lang w:val="en-US" w:eastAsia="zh-CN"/>
                </w:rPr>
                <m:t>EF</m:t>
              </m:r>
              <m:ctrlPr>
                <w:rPr>
                  <w:rFonts w:hint="eastAsia" w:ascii="Cambria Math" w:hAnsi="Cambria Math"/>
                  <w:lang w:val="en-US" w:eastAsia="zh-CN"/>
                </w:rPr>
              </m:ctrlPr>
            </m:e>
            <m:sub>
              <m:r>
                <m:rPr>
                  <m:sty m:val="p"/>
                </m:rPr>
                <w:rPr>
                  <w:rFonts w:hint="eastAsia" w:ascii="Cambria Math" w:hAnsi="Cambria Math"/>
                  <w:lang w:val="en-US" w:eastAsia="zh-CN"/>
                </w:rPr>
                <m:t>EC</m:t>
              </m:r>
              <m:ctrlPr>
                <w:rPr>
                  <w:rFonts w:hint="eastAsia" w:ascii="Cambria Math" w:hAnsi="Cambria Math"/>
                  <w:lang w:val="en-US" w:eastAsia="zh-CN"/>
                </w:rPr>
              </m:ctrlPr>
            </m:sub>
          </m:sSub>
          <m:r>
            <m:rPr>
              <m:sty m:val="p"/>
            </m:rPr>
            <w:rPr>
              <w:rFonts w:hint="eastAsia" w:ascii="Cambria Math" w:hAnsi="Cambria Math"/>
              <w:lang w:val="en-US" w:eastAsia="zh-CN"/>
            </w:rPr>
            <m:t>=0.5×OM+0.5×BM</m:t>
          </m:r>
        </m:oMath>
      </m:oMathPara>
    </w:p>
    <w:p w14:paraId="5FB6B339">
      <w:pPr>
        <w:pStyle w:val="5"/>
        <w:rPr>
          <w:rFonts w:hint="eastAsia"/>
          <w:lang w:val="en-US" w:eastAsia="zh-CN"/>
        </w:rPr>
      </w:pPr>
      <m:oMathPara>
        <m:oMathParaPr>
          <m:jc m:val="left"/>
        </m:oMathParaPr>
        <m:oMath>
          <m:r>
            <m:rPr>
              <m:sty m:val="p"/>
            </m:rPr>
            <w:rPr>
              <w:rFonts w:hint="eastAsia" w:ascii="Cambria Math" w:hAnsi="Cambria Math"/>
              <w:lang w:val="en-US" w:eastAsia="zh-CN"/>
            </w:rPr>
            <m:t>=</m:t>
          </m:r>
          <m:d>
            <m:dPr>
              <m:ctrlPr>
                <w:rPr>
                  <w:rFonts w:hint="eastAsia" w:ascii="Cambria Math" w:hAnsi="Cambria Math"/>
                  <w:lang w:val="en-US" w:eastAsia="zh-CN"/>
                </w:rPr>
              </m:ctrlPr>
            </m:dPr>
            <m:e>
              <m:r>
                <m:rPr>
                  <m:sty m:val="p"/>
                </m:rPr>
                <w:rPr>
                  <w:rFonts w:hint="eastAsia" w:ascii="Cambria Math" w:hAnsi="Cambria Math"/>
                  <w:lang w:val="en-US" w:eastAsia="zh-CN"/>
                </w:rPr>
                <m:t>0.5×0.9531+0.5×0.3095</m:t>
              </m:r>
              <m:ctrlPr>
                <w:rPr>
                  <w:rFonts w:hint="eastAsia" w:ascii="Cambria Math" w:hAnsi="Cambria Math"/>
                  <w:lang w:val="en-US" w:eastAsia="zh-CN"/>
                </w:rPr>
              </m:ctrlPr>
            </m:e>
          </m:d>
          <m:r>
            <m:rPr>
              <m:sty m:val="p"/>
            </m:rPr>
            <w:rPr>
              <w:rFonts w:hint="eastAsia" w:ascii="Cambria Math" w:hAnsi="Cambria Math"/>
              <w:lang w:val="en-US" w:eastAsia="zh-CN"/>
            </w:rPr>
            <m:t>t</m:t>
          </m:r>
          <m:sSub>
            <m:sSubPr>
              <m:ctrlPr>
                <w:rPr>
                  <w:rFonts w:hint="eastAsia" w:ascii="Cambria Math" w:hAnsi="Cambria Math"/>
                  <w:lang w:val="en-US" w:eastAsia="zh-CN"/>
                </w:rPr>
              </m:ctrlPr>
            </m:sSubPr>
            <m:e>
              <m:r>
                <m:rPr>
                  <m:sty m:val="p"/>
                </m:rPr>
                <w:rPr>
                  <w:rFonts w:hint="eastAsia" w:ascii="Cambria Math" w:hAnsi="Cambria Math"/>
                  <w:lang w:val="en-US" w:eastAsia="zh-CN"/>
                </w:rPr>
                <m:t>CO</m:t>
              </m:r>
              <m:ctrlPr>
                <w:rPr>
                  <w:rFonts w:hint="eastAsia" w:ascii="Cambria Math" w:hAnsi="Cambria Math"/>
                  <w:lang w:val="en-US" w:eastAsia="zh-CN"/>
                </w:rPr>
              </m:ctrlPr>
            </m:e>
            <m:sub>
              <m:r>
                <m:rPr>
                  <m:sty m:val="p"/>
                </m:rPr>
                <w:rPr>
                  <w:rFonts w:hint="eastAsia" w:ascii="Cambria Math" w:hAnsi="Cambria Math"/>
                  <w:lang w:val="en-US" w:eastAsia="zh-CN"/>
                </w:rPr>
                <m:t>2</m:t>
              </m:r>
              <m:ctrlPr>
                <w:rPr>
                  <w:rFonts w:hint="eastAsia" w:ascii="Cambria Math" w:hAnsi="Cambria Math"/>
                  <w:lang w:val="en-US" w:eastAsia="zh-CN"/>
                </w:rPr>
              </m:ctrlPr>
            </m:sub>
          </m:sSub>
          <m:r>
            <m:rPr>
              <m:sty m:val="p"/>
            </m:rPr>
            <w:rPr>
              <w:rFonts w:hint="eastAsia" w:ascii="Cambria Math" w:hAnsi="Cambria Math"/>
              <w:lang w:val="en-US" w:eastAsia="zh-CN"/>
            </w:rPr>
            <m:t>/MWh</m:t>
          </m:r>
        </m:oMath>
      </m:oMathPara>
    </w:p>
    <w:p w14:paraId="300B677B">
      <w:pPr>
        <w:pStyle w:val="5"/>
        <w:rPr>
          <w:rFonts w:hint="eastAsia"/>
          <w:lang w:val="en-US" w:eastAsia="zh-CN"/>
        </w:rPr>
      </w:pPr>
      <m:oMathPara>
        <m:oMathParaPr>
          <m:jc m:val="left"/>
        </m:oMathParaPr>
        <m:oMath>
          <m:r>
            <m:rPr>
              <m:sty m:val="p"/>
            </m:rPr>
            <w:rPr>
              <w:rFonts w:hint="eastAsia" w:ascii="Cambria Math" w:hAnsi="Cambria Math"/>
              <w:lang w:val="en-US" w:eastAsia="zh-CN"/>
            </w:rPr>
            <m:t>=0.6313t</m:t>
          </m:r>
          <m:sSub>
            <m:sSubPr>
              <m:ctrlPr>
                <w:rPr>
                  <w:rFonts w:hint="eastAsia" w:ascii="Cambria Math" w:hAnsi="Cambria Math"/>
                  <w:lang w:val="en-US" w:eastAsia="zh-CN"/>
                </w:rPr>
              </m:ctrlPr>
            </m:sSubPr>
            <m:e>
              <m:r>
                <m:rPr>
                  <m:sty m:val="p"/>
                </m:rPr>
                <w:rPr>
                  <w:rFonts w:hint="eastAsia" w:ascii="Cambria Math" w:hAnsi="Cambria Math"/>
                  <w:lang w:val="en-US" w:eastAsia="zh-CN"/>
                </w:rPr>
                <m:t>CO</m:t>
              </m:r>
              <m:ctrlPr>
                <w:rPr>
                  <w:rFonts w:hint="eastAsia" w:ascii="Cambria Math" w:hAnsi="Cambria Math"/>
                  <w:lang w:val="en-US" w:eastAsia="zh-CN"/>
                </w:rPr>
              </m:ctrlPr>
            </m:e>
            <m:sub>
              <m:r>
                <m:rPr>
                  <m:sty m:val="p"/>
                </m:rPr>
                <w:rPr>
                  <w:rFonts w:hint="eastAsia" w:ascii="Cambria Math" w:hAnsi="Cambria Math"/>
                  <w:lang w:val="en-US" w:eastAsia="zh-CN"/>
                </w:rPr>
                <m:t>2</m:t>
              </m:r>
              <m:ctrlPr>
                <w:rPr>
                  <w:rFonts w:hint="eastAsia" w:ascii="Cambria Math" w:hAnsi="Cambria Math"/>
                  <w:lang w:val="en-US" w:eastAsia="zh-CN"/>
                </w:rPr>
              </m:ctrlPr>
            </m:sub>
          </m:sSub>
          <m:r>
            <m:rPr>
              <m:sty m:val="p"/>
            </m:rPr>
            <w:rPr>
              <w:rFonts w:hint="eastAsia" w:ascii="Cambria Math" w:hAnsi="Cambria Math"/>
              <w:lang w:val="en-US" w:eastAsia="zh-CN"/>
            </w:rPr>
            <m:t>/MWh=0.6313kg</m:t>
          </m:r>
          <m:sSub>
            <m:sSubPr>
              <m:ctrlPr>
                <w:rPr>
                  <w:rFonts w:hint="eastAsia" w:ascii="Cambria Math" w:hAnsi="Cambria Math"/>
                  <w:lang w:val="en-US" w:eastAsia="zh-CN"/>
                </w:rPr>
              </m:ctrlPr>
            </m:sSubPr>
            <m:e>
              <m:r>
                <m:rPr>
                  <m:sty m:val="p"/>
                </m:rPr>
                <w:rPr>
                  <w:rFonts w:hint="eastAsia" w:ascii="Cambria Math" w:hAnsi="Cambria Math"/>
                  <w:lang w:val="en-US" w:eastAsia="zh-CN"/>
                </w:rPr>
                <m:t>CO</m:t>
              </m:r>
              <m:ctrlPr>
                <w:rPr>
                  <w:rFonts w:hint="eastAsia" w:ascii="Cambria Math" w:hAnsi="Cambria Math"/>
                  <w:lang w:val="en-US" w:eastAsia="zh-CN"/>
                </w:rPr>
              </m:ctrlPr>
            </m:e>
            <m:sub>
              <m:r>
                <m:rPr>
                  <m:sty m:val="p"/>
                </m:rPr>
                <w:rPr>
                  <w:rFonts w:hint="eastAsia" w:ascii="Cambria Math" w:hAnsi="Cambria Math"/>
                  <w:lang w:val="en-US" w:eastAsia="zh-CN"/>
                </w:rPr>
                <m:t>2</m:t>
              </m:r>
              <m:ctrlPr>
                <w:rPr>
                  <w:rFonts w:hint="eastAsia" w:ascii="Cambria Math" w:hAnsi="Cambria Math"/>
                  <w:lang w:val="en-US" w:eastAsia="zh-CN"/>
                </w:rPr>
              </m:ctrlPr>
            </m:sub>
          </m:sSub>
          <m:r>
            <m:rPr>
              <m:sty m:val="p"/>
            </m:rPr>
            <w:rPr>
              <w:rFonts w:hint="eastAsia" w:ascii="Cambria Math" w:hAnsi="Cambria Math"/>
              <w:lang w:val="en-US" w:eastAsia="zh-CN"/>
            </w:rPr>
            <m:t>/kWh</m:t>
          </m:r>
        </m:oMath>
      </m:oMathPara>
    </w:p>
    <w:p w14:paraId="78F71BF9">
      <w:pPr>
        <w:pStyle w:val="13"/>
        <w:rPr>
          <w:rFonts w:hint="eastAsia" w:eastAsia="黑体"/>
          <w:lang w:val="en-US" w:eastAsia="zh-CN"/>
        </w:rPr>
      </w:pPr>
      <w:r>
        <w:t xml:space="preserve">表 </w:t>
      </w:r>
      <w:r>
        <w:fldChar w:fldCharType="begin"/>
      </w:r>
      <w:r>
        <w:instrText xml:space="preserve"> SEQ 表 \* ARABIC </w:instrText>
      </w:r>
      <w:r>
        <w:fldChar w:fldCharType="separate"/>
      </w:r>
      <w:r>
        <w:t>1</w:t>
      </w:r>
      <w:r>
        <w:fldChar w:fldCharType="end"/>
      </w:r>
      <w:r>
        <w:rPr>
          <w:rFonts w:hint="eastAsia"/>
          <w:lang w:val="en-US" w:eastAsia="zh-CN"/>
        </w:rPr>
        <w:t xml:space="preserve"> </w:t>
      </w:r>
      <w:r>
        <w:t>区域电网覆盖省份表</w:t>
      </w:r>
    </w:p>
    <w:tbl>
      <w:tblPr>
        <w:tblStyle w:val="28"/>
        <w:tblW w:w="92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892"/>
        <w:gridCol w:w="7391"/>
      </w:tblGrid>
      <w:tr w14:paraId="76613EFE">
        <w:trPr>
          <w:trHeight w:val="0" w:hRule="atLeast"/>
          <w:tblHeader/>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B58EB5E">
            <w:pPr>
              <w:keepNext/>
              <w:snapToGrid w:val="0"/>
              <w:spacing w:line="240" w:lineRule="auto"/>
              <w:ind w:left="0" w:leftChars="0" w:right="0" w:rightChars="0" w:firstLine="0" w:firstLineChars="0"/>
              <w:jc w:val="center"/>
              <w:rPr>
                <w:b/>
              </w:rPr>
            </w:pPr>
            <w:r>
              <w:rPr>
                <w:b/>
              </w:rPr>
              <w:t>电网名称</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BA536C">
            <w:pPr>
              <w:keepNext/>
              <w:snapToGrid w:val="0"/>
              <w:spacing w:line="240" w:lineRule="auto"/>
              <w:ind w:left="0" w:leftChars="0" w:right="0" w:rightChars="0" w:firstLine="0" w:firstLineChars="0"/>
              <w:jc w:val="center"/>
              <w:rPr>
                <w:b/>
              </w:rPr>
            </w:pPr>
            <w:r>
              <w:rPr>
                <w:b/>
              </w:rPr>
              <w:t>覆盖省市</w:t>
            </w:r>
          </w:p>
        </w:tc>
      </w:tr>
      <w:tr w14:paraId="21AFB764">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E32B750">
            <w:pPr>
              <w:keepNext/>
              <w:snapToGrid w:val="0"/>
              <w:spacing w:line="240" w:lineRule="auto"/>
              <w:ind w:left="0" w:leftChars="0" w:right="0" w:rightChars="0" w:firstLine="0" w:firstLineChars="0"/>
              <w:jc w:val="center"/>
            </w:pPr>
            <w:r>
              <w:t>华北区域电网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D17A2D5">
            <w:pPr>
              <w:keepNext/>
              <w:snapToGrid w:val="0"/>
              <w:spacing w:line="240" w:lineRule="auto"/>
              <w:ind w:left="0" w:leftChars="0" w:right="0" w:rightChars="0" w:firstLine="0" w:firstLineChars="0"/>
              <w:jc w:val="center"/>
            </w:pPr>
            <w:r>
              <w:t>北京市、天津市、河北省、山西省、山东省、内蒙古自治区</w:t>
            </w:r>
          </w:p>
        </w:tc>
      </w:tr>
      <w:tr w14:paraId="79EB3D7E">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C97118">
            <w:pPr>
              <w:keepNext/>
              <w:snapToGrid w:val="0"/>
              <w:spacing w:line="240" w:lineRule="auto"/>
              <w:ind w:left="0" w:leftChars="0" w:right="0" w:rightChars="0" w:firstLine="0" w:firstLineChars="0"/>
              <w:jc w:val="center"/>
            </w:pPr>
            <w:r>
              <w:t>东北区域电网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F1BAC73">
            <w:pPr>
              <w:keepNext/>
              <w:snapToGrid w:val="0"/>
              <w:spacing w:line="240" w:lineRule="auto"/>
              <w:ind w:left="0" w:leftChars="0" w:right="0" w:rightChars="0" w:firstLine="0" w:firstLineChars="0"/>
              <w:jc w:val="center"/>
            </w:pPr>
            <w:r>
              <w:t>辽宁省、吉林省、黑龙江省</w:t>
            </w:r>
          </w:p>
        </w:tc>
      </w:tr>
      <w:tr w14:paraId="55B13316">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512E4B2">
            <w:pPr>
              <w:keepNext/>
              <w:snapToGrid w:val="0"/>
              <w:spacing w:line="240" w:lineRule="auto"/>
              <w:ind w:left="0" w:leftChars="0" w:right="0" w:rightChars="0" w:firstLine="0" w:firstLineChars="0"/>
              <w:jc w:val="center"/>
            </w:pPr>
            <w:r>
              <w:t>华东区域电网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439891">
            <w:pPr>
              <w:keepNext/>
              <w:snapToGrid w:val="0"/>
              <w:spacing w:line="240" w:lineRule="auto"/>
              <w:ind w:left="0" w:leftChars="0" w:right="0" w:rightChars="0" w:firstLine="0" w:firstLineChars="0"/>
              <w:jc w:val="center"/>
            </w:pPr>
            <w:r>
              <w:t>上海市、江苏省、浙江省、安徽省、福建省</w:t>
            </w:r>
          </w:p>
        </w:tc>
      </w:tr>
      <w:tr w14:paraId="03183F6F">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7BDD808">
            <w:pPr>
              <w:keepNext/>
              <w:snapToGrid w:val="0"/>
              <w:spacing w:line="240" w:lineRule="auto"/>
              <w:ind w:left="0" w:leftChars="0" w:right="0" w:rightChars="0" w:firstLine="0" w:firstLineChars="0"/>
              <w:jc w:val="center"/>
            </w:pPr>
            <w:r>
              <w:t>华中区域电网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47B9982">
            <w:pPr>
              <w:keepNext/>
              <w:snapToGrid w:val="0"/>
              <w:spacing w:line="240" w:lineRule="auto"/>
              <w:ind w:left="0" w:leftChars="0" w:right="0" w:rightChars="0" w:firstLine="0" w:firstLineChars="0"/>
              <w:jc w:val="center"/>
            </w:pPr>
            <w:r>
              <w:t>河南省、湖北省、湖南省、江西省</w:t>
            </w:r>
          </w:p>
        </w:tc>
      </w:tr>
      <w:tr w14:paraId="42950965">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79756D1">
            <w:pPr>
              <w:keepNext/>
              <w:snapToGrid w:val="0"/>
              <w:spacing w:line="240" w:lineRule="auto"/>
              <w:ind w:left="0" w:leftChars="0" w:right="0" w:rightChars="0" w:firstLine="0" w:firstLineChars="0"/>
              <w:jc w:val="center"/>
            </w:pPr>
            <w:r>
              <w:t>西北区域电网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EE7BF9E">
            <w:pPr>
              <w:keepNext/>
              <w:snapToGrid w:val="0"/>
              <w:spacing w:line="240" w:lineRule="auto"/>
              <w:ind w:left="0" w:leftChars="0" w:right="0" w:rightChars="0" w:firstLine="0" w:firstLineChars="0"/>
              <w:jc w:val="center"/>
            </w:pPr>
            <w:r>
              <w:t>陕西省、甘肃省、青海省、宁夏自治区、新疆自治区</w:t>
            </w:r>
          </w:p>
        </w:tc>
      </w:tr>
      <w:tr w14:paraId="37200D03">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6FB1D14">
            <w:pPr>
              <w:keepNext/>
              <w:snapToGrid w:val="0"/>
              <w:spacing w:line="240" w:lineRule="auto"/>
              <w:ind w:left="0" w:leftChars="0" w:right="0" w:rightChars="0" w:firstLine="0" w:firstLineChars="0"/>
              <w:jc w:val="center"/>
            </w:pPr>
            <w:r>
              <w:t>南方区域电网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BF1156C">
            <w:pPr>
              <w:keepNext/>
              <w:snapToGrid w:val="0"/>
              <w:spacing w:line="240" w:lineRule="auto"/>
              <w:ind w:left="0" w:leftChars="0" w:right="0" w:rightChars="0" w:firstLine="0" w:firstLineChars="0"/>
              <w:jc w:val="center"/>
            </w:pPr>
            <w:r>
              <w:t>广东省、广西自治区、云南省、贵州省、海南省</w:t>
            </w:r>
          </w:p>
        </w:tc>
      </w:tr>
      <w:tr w14:paraId="1912E123">
        <w:trPr>
          <w:trHeight w:val="0" w:hRule="atLeast"/>
          <w:jc w:val="center"/>
        </w:trPr>
        <w:tc>
          <w:tcPr>
            <w:tcW w:w="18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E1DF8D2">
            <w:pPr>
              <w:keepNext/>
              <w:snapToGrid w:val="0"/>
              <w:spacing w:line="240" w:lineRule="auto"/>
              <w:ind w:left="0" w:leftChars="0" w:right="0" w:rightChars="0" w:firstLine="0" w:firstLineChars="0"/>
              <w:jc w:val="center"/>
            </w:pPr>
            <w:r>
              <w:t>西南区域电网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A0BDD06">
            <w:pPr>
              <w:keepNext/>
              <w:snapToGrid w:val="0"/>
              <w:spacing w:line="240" w:lineRule="auto"/>
              <w:ind w:left="0" w:leftChars="0" w:right="0" w:rightChars="0" w:firstLine="0" w:firstLineChars="0"/>
              <w:jc w:val="center"/>
            </w:pPr>
            <w:r>
              <w:t>四川省、重庆市</w:t>
            </w:r>
          </w:p>
        </w:tc>
      </w:tr>
    </w:tbl>
    <w:p w14:paraId="73D6793F">
      <w:pPr>
        <w:pStyle w:val="13"/>
        <w:rPr>
          <w:rFonts w:hint="eastAsia" w:eastAsia="宋体"/>
          <w:lang w:eastAsia="zh-CN"/>
        </w:rPr>
      </w:pPr>
      <w:r>
        <w:t xml:space="preserve">表 </w:t>
      </w:r>
      <w:r>
        <w:fldChar w:fldCharType="begin"/>
      </w:r>
      <w:r>
        <w:instrText xml:space="preserve"> SEQ 表 \* ARABIC </w:instrText>
      </w:r>
      <w:r>
        <w:fldChar w:fldCharType="separate"/>
      </w:r>
      <w:r>
        <w:t>2</w:t>
      </w:r>
      <w:r>
        <w:fldChar w:fldCharType="end"/>
      </w:r>
      <w:r>
        <w:rPr>
          <w:rFonts w:hint="eastAsia"/>
          <w:lang w:eastAsia="zh-CN"/>
        </w:rPr>
        <w:t xml:space="preserve"> 2024年减排项目中国区域电网二氧化碳基准线排放因子</w:t>
      </w:r>
    </w:p>
    <w:tbl>
      <w:tblPr>
        <w:tblStyle w:val="28"/>
        <w:tblW w:w="92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018"/>
        <w:gridCol w:w="3647"/>
        <w:gridCol w:w="3616"/>
      </w:tblGrid>
      <w:tr w14:paraId="010D1DD7">
        <w:trPr>
          <w:trHeight w:val="0" w:hRule="atLeast"/>
          <w:tblHeader/>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34D621">
            <w:pPr>
              <w:snapToGrid w:val="0"/>
              <w:spacing w:line="240" w:lineRule="auto"/>
              <w:ind w:left="0" w:leftChars="0" w:right="0" w:rightChars="0" w:firstLine="0" w:firstLineChars="0"/>
              <w:jc w:val="center"/>
              <w:rPr>
                <w:b/>
              </w:rPr>
            </w:pPr>
            <w:r>
              <w:rPr>
                <w:b/>
              </w:rPr>
              <w:t>电网名称</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DC0765">
            <w:pPr>
              <w:snapToGrid w:val="0"/>
              <w:spacing w:line="240" w:lineRule="auto"/>
              <w:ind w:left="0" w:leftChars="0" w:right="0" w:rightChars="0" w:firstLine="0" w:firstLineChars="0"/>
              <w:jc w:val="center"/>
              <w:rPr>
                <w:b/>
              </w:rPr>
            </w:pPr>
            <w:r>
              <w:rPr>
                <w:b/>
              </w:rPr>
              <w:t>OM排放因子(tCO₂/MWh)</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E53DB0">
            <w:pPr>
              <w:snapToGrid w:val="0"/>
              <w:spacing w:line="240" w:lineRule="auto"/>
              <w:ind w:left="0" w:leftChars="0" w:right="0" w:rightChars="0" w:firstLine="0" w:firstLineChars="0"/>
              <w:jc w:val="center"/>
              <w:rPr>
                <w:b/>
              </w:rPr>
            </w:pPr>
            <w:r>
              <w:rPr>
                <w:b/>
              </w:rPr>
              <w:t>BM排放因子(tCO₂/MWh)</w:t>
            </w:r>
          </w:p>
        </w:tc>
      </w:tr>
      <w:tr w14:paraId="59127442">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872C4D6">
            <w:pPr>
              <w:snapToGrid w:val="0"/>
              <w:spacing w:line="240" w:lineRule="auto"/>
              <w:ind w:left="0" w:leftChars="0" w:right="0" w:rightChars="0" w:firstLine="0" w:firstLineChars="0"/>
              <w:jc w:val="center"/>
            </w:pPr>
            <w:r>
              <w:t>华北区域电网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A4AF311">
            <w:pPr>
              <w:snapToGrid w:val="0"/>
              <w:spacing w:line="240" w:lineRule="auto"/>
              <w:ind w:left="0" w:leftChars="0" w:right="0" w:rightChars="0" w:firstLine="0" w:firstLineChars="0"/>
              <w:jc w:val="center"/>
            </w:pPr>
            <w:r>
              <w:t>0.9531</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A052475">
            <w:pPr>
              <w:snapToGrid w:val="0"/>
              <w:spacing w:line="240" w:lineRule="auto"/>
              <w:ind w:left="0" w:leftChars="0" w:right="0" w:rightChars="0" w:firstLine="0" w:firstLineChars="0"/>
              <w:jc w:val="center"/>
            </w:pPr>
            <w:r>
              <w:t>0.3095</w:t>
            </w:r>
          </w:p>
        </w:tc>
      </w:tr>
      <w:tr w14:paraId="1C1EEC38">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5303316">
            <w:pPr>
              <w:snapToGrid w:val="0"/>
              <w:spacing w:line="240" w:lineRule="auto"/>
              <w:ind w:left="0" w:leftChars="0" w:right="0" w:rightChars="0" w:firstLine="0" w:firstLineChars="0"/>
              <w:jc w:val="center"/>
            </w:pPr>
            <w:r>
              <w:t>东北区域电网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E4E4447">
            <w:pPr>
              <w:snapToGrid w:val="0"/>
              <w:spacing w:line="240" w:lineRule="auto"/>
              <w:ind w:left="0" w:leftChars="0" w:right="0" w:rightChars="0" w:firstLine="0" w:firstLineChars="0"/>
              <w:jc w:val="center"/>
            </w:pPr>
            <w:r>
              <w:t>1.0368</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473369D">
            <w:pPr>
              <w:snapToGrid w:val="0"/>
              <w:spacing w:line="240" w:lineRule="auto"/>
              <w:ind w:left="0" w:leftChars="0" w:right="0" w:rightChars="0" w:firstLine="0" w:firstLineChars="0"/>
              <w:jc w:val="center"/>
            </w:pPr>
            <w:r>
              <w:t>0.1184</w:t>
            </w:r>
          </w:p>
        </w:tc>
      </w:tr>
      <w:tr w14:paraId="2014531F">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67F0F53">
            <w:pPr>
              <w:snapToGrid w:val="0"/>
              <w:spacing w:line="240" w:lineRule="auto"/>
              <w:ind w:left="0" w:leftChars="0" w:right="0" w:rightChars="0" w:firstLine="0" w:firstLineChars="0"/>
              <w:jc w:val="center"/>
            </w:pPr>
            <w:r>
              <w:t>华东区域电网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1F15443">
            <w:pPr>
              <w:snapToGrid w:val="0"/>
              <w:spacing w:line="240" w:lineRule="auto"/>
              <w:ind w:left="0" w:leftChars="0" w:right="0" w:rightChars="0" w:firstLine="0" w:firstLineChars="0"/>
              <w:jc w:val="center"/>
            </w:pPr>
            <w:r>
              <w:t>0.7782</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C7AC851">
            <w:pPr>
              <w:snapToGrid w:val="0"/>
              <w:spacing w:line="240" w:lineRule="auto"/>
              <w:ind w:left="0" w:leftChars="0" w:right="0" w:rightChars="0" w:firstLine="0" w:firstLineChars="0"/>
              <w:jc w:val="center"/>
            </w:pPr>
            <w:r>
              <w:t>0.1951</w:t>
            </w:r>
          </w:p>
        </w:tc>
      </w:tr>
      <w:tr w14:paraId="77279CF4">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A80C31B">
            <w:pPr>
              <w:snapToGrid w:val="0"/>
              <w:spacing w:line="240" w:lineRule="auto"/>
              <w:ind w:left="0" w:leftChars="0" w:right="0" w:rightChars="0" w:firstLine="0" w:firstLineChars="0"/>
              <w:jc w:val="center"/>
            </w:pPr>
            <w:r>
              <w:t>华中区域电网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440E0E1">
            <w:pPr>
              <w:snapToGrid w:val="0"/>
              <w:spacing w:line="240" w:lineRule="auto"/>
              <w:ind w:left="0" w:leftChars="0" w:right="0" w:rightChars="0" w:firstLine="0" w:firstLineChars="0"/>
              <w:jc w:val="center"/>
            </w:pPr>
            <w:r>
              <w:t>0.8597</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3CE75C6">
            <w:pPr>
              <w:snapToGrid w:val="0"/>
              <w:spacing w:line="240" w:lineRule="auto"/>
              <w:ind w:left="0" w:leftChars="0" w:right="0" w:rightChars="0" w:firstLine="0" w:firstLineChars="0"/>
              <w:jc w:val="center"/>
            </w:pPr>
            <w:r>
              <w:t>0.2726</w:t>
            </w:r>
          </w:p>
        </w:tc>
      </w:tr>
      <w:tr w14:paraId="2CE70E84">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DA9BEC4">
            <w:pPr>
              <w:snapToGrid w:val="0"/>
              <w:spacing w:line="240" w:lineRule="auto"/>
              <w:ind w:left="0" w:leftChars="0" w:right="0" w:rightChars="0" w:firstLine="0" w:firstLineChars="0"/>
              <w:jc w:val="center"/>
            </w:pPr>
            <w:r>
              <w:t>西北区域电网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D959D08">
            <w:pPr>
              <w:snapToGrid w:val="0"/>
              <w:spacing w:line="240" w:lineRule="auto"/>
              <w:ind w:left="0" w:leftChars="0" w:right="0" w:rightChars="0" w:firstLine="0" w:firstLineChars="0"/>
              <w:jc w:val="center"/>
            </w:pPr>
            <w:r>
              <w:t>0.8990</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10628BE">
            <w:pPr>
              <w:snapToGrid w:val="0"/>
              <w:spacing w:line="240" w:lineRule="auto"/>
              <w:ind w:left="0" w:leftChars="0" w:right="0" w:rightChars="0" w:firstLine="0" w:firstLineChars="0"/>
              <w:jc w:val="center"/>
            </w:pPr>
            <w:r>
              <w:t>0.3441</w:t>
            </w:r>
          </w:p>
        </w:tc>
      </w:tr>
      <w:tr w14:paraId="1FFB07D3">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E152B7">
            <w:pPr>
              <w:snapToGrid w:val="0"/>
              <w:spacing w:line="240" w:lineRule="auto"/>
              <w:ind w:left="0" w:leftChars="0" w:right="0" w:rightChars="0" w:firstLine="0" w:firstLineChars="0"/>
              <w:jc w:val="center"/>
            </w:pPr>
            <w:r>
              <w:t>南方区域电网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82CB2D5">
            <w:pPr>
              <w:snapToGrid w:val="0"/>
              <w:spacing w:line="240" w:lineRule="auto"/>
              <w:ind w:left="0" w:leftChars="0" w:right="0" w:rightChars="0" w:firstLine="0" w:firstLineChars="0"/>
              <w:jc w:val="center"/>
            </w:pPr>
            <w:r>
              <w:t>0.7906</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A882CE2">
            <w:pPr>
              <w:snapToGrid w:val="0"/>
              <w:spacing w:line="240" w:lineRule="auto"/>
              <w:ind w:left="0" w:leftChars="0" w:right="0" w:rightChars="0" w:firstLine="0" w:firstLineChars="0"/>
              <w:jc w:val="center"/>
            </w:pPr>
            <w:r>
              <w:t>0.1816</w:t>
            </w:r>
          </w:p>
        </w:tc>
      </w:tr>
      <w:tr w14:paraId="4DF8093A">
        <w:trPr>
          <w:trHeight w:val="0" w:hRule="atLeast"/>
          <w:jc w:val="center"/>
        </w:trPr>
        <w:tc>
          <w:tcPr>
            <w:tcW w:w="201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4CFE818">
            <w:pPr>
              <w:snapToGrid w:val="0"/>
              <w:spacing w:line="240" w:lineRule="auto"/>
              <w:ind w:left="0" w:leftChars="0" w:right="0" w:rightChars="0" w:firstLine="0" w:firstLineChars="0"/>
              <w:jc w:val="center"/>
            </w:pPr>
            <w:r>
              <w:t>西南区域电网</w:t>
            </w:r>
          </w:p>
        </w:tc>
        <w:tc>
          <w:tcPr>
            <w:tcW w:w="364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0886E2F">
            <w:pPr>
              <w:snapToGrid w:val="0"/>
              <w:spacing w:line="240" w:lineRule="auto"/>
              <w:ind w:left="0" w:leftChars="0" w:right="0" w:rightChars="0" w:firstLine="0" w:firstLineChars="0"/>
              <w:jc w:val="center"/>
            </w:pPr>
            <w:r>
              <w:t>0.5909</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3945DB2">
            <w:pPr>
              <w:snapToGrid w:val="0"/>
              <w:spacing w:line="240" w:lineRule="auto"/>
              <w:ind w:left="0" w:leftChars="0" w:right="0" w:rightChars="0" w:firstLine="0" w:firstLineChars="0"/>
              <w:jc w:val="center"/>
            </w:pPr>
            <w:r>
              <w:t>0.0603</w:t>
            </w:r>
          </w:p>
        </w:tc>
      </w:tr>
    </w:tbl>
    <w:p w14:paraId="19AC5ABF">
      <w:pPr>
        <w:jc w:val="left"/>
      </w:pPr>
      <w:r>
        <w:t>注：（1）表中OM为2020-2022年电量边际排放因子的加权平均值；BM为截至2022年统计数据的容量边际排放因子；（2）本结果以公开的上网电厂的汇总数据为基础计算得出。</w:t>
      </w:r>
    </w:p>
    <w:p w14:paraId="4487643F">
      <w:pPr>
        <w:pStyle w:val="2"/>
        <w:bidi w:val="0"/>
        <w:rPr>
          <w:rFonts w:hint="eastAsia"/>
        </w:rPr>
      </w:pPr>
      <w:r>
        <w:rPr>
          <w:rFonts w:hint="eastAsia"/>
          <w:lang w:val="en-US" w:eastAsia="zh-CN"/>
        </w:rPr>
        <w:t>事项说明</w:t>
      </w:r>
    </w:p>
    <w:p w14:paraId="2C4280F6">
      <w:pPr>
        <w:pStyle w:val="3"/>
        <w:bidi w:val="0"/>
        <w:rPr>
          <w:rFonts w:hint="eastAsia"/>
        </w:rPr>
      </w:pPr>
      <w:r>
        <w:rPr>
          <w:rFonts w:hint="eastAsia"/>
        </w:rPr>
        <w:t>主要试验（或验证）情况分析</w:t>
      </w:r>
    </w:p>
    <w:p w14:paraId="2578E90E">
      <w:pPr>
        <w:pStyle w:val="5"/>
        <w:bidi w:val="0"/>
        <w:rPr>
          <w:rFonts w:hint="eastAsia"/>
        </w:rPr>
      </w:pPr>
      <w:r>
        <w:rPr>
          <w:rFonts w:hint="eastAsia"/>
        </w:rPr>
        <w:t>暂无。</w:t>
      </w:r>
    </w:p>
    <w:p w14:paraId="0CF05F7C">
      <w:pPr>
        <w:pStyle w:val="3"/>
        <w:bidi w:val="0"/>
        <w:rPr>
          <w:rFonts w:hint="eastAsia"/>
        </w:rPr>
      </w:pPr>
      <w:r>
        <w:rPr>
          <w:rFonts w:hint="eastAsia"/>
        </w:rPr>
        <w:t>标准中涉及专利的情况</w:t>
      </w:r>
    </w:p>
    <w:p w14:paraId="153C3EB3">
      <w:pPr>
        <w:pStyle w:val="5"/>
        <w:bidi w:val="0"/>
        <w:rPr>
          <w:rFonts w:hint="eastAsia"/>
        </w:rPr>
      </w:pPr>
      <w:r>
        <w:rPr>
          <w:rFonts w:hint="eastAsia"/>
        </w:rPr>
        <w:t>暂无。</w:t>
      </w:r>
    </w:p>
    <w:p w14:paraId="477018FD">
      <w:pPr>
        <w:pStyle w:val="3"/>
        <w:bidi w:val="0"/>
        <w:rPr>
          <w:rFonts w:hint="eastAsia"/>
        </w:rPr>
      </w:pPr>
      <w:r>
        <w:rPr>
          <w:rFonts w:hint="eastAsia"/>
        </w:rPr>
        <w:t>预期达到的社会效益、对产业发展的作用的情况</w:t>
      </w:r>
    </w:p>
    <w:p w14:paraId="3AE46EB3">
      <w:pPr>
        <w:pStyle w:val="5"/>
        <w:bidi w:val="0"/>
        <w:rPr>
          <w:rFonts w:hint="eastAsia"/>
        </w:rPr>
      </w:pPr>
      <w:r>
        <w:rPr>
          <w:rFonts w:hint="eastAsia"/>
        </w:rPr>
        <w:t>本标准的制定参考了已经发布的国标和该专业领域内重点关注行业的标准，结合对减排场景的调研和收集相关数据，通过该标准能够较为公正、客观的反应公交出行行为碳减排量化。遵循本标准可以对公交出行行为碳减排相关方提供温室气体减排量核算的依据，也可提供给公民自我监测、管理的手段。</w:t>
      </w:r>
    </w:p>
    <w:p w14:paraId="0CDC5C26">
      <w:pPr>
        <w:pStyle w:val="3"/>
        <w:bidi w:val="0"/>
        <w:rPr>
          <w:rFonts w:hint="eastAsia"/>
        </w:rPr>
      </w:pPr>
      <w:r>
        <w:rPr>
          <w:rFonts w:hint="eastAsia"/>
        </w:rPr>
        <w:t>采用国际标准和国外先进标准情况，与国际、国外同类标准水平的对比情况，国内外关键指标对比分析或与测试的国外样品、样机的相关数据对比情况</w:t>
      </w:r>
    </w:p>
    <w:p w14:paraId="46D317EA">
      <w:pPr>
        <w:pStyle w:val="5"/>
        <w:bidi w:val="0"/>
        <w:rPr>
          <w:rFonts w:hint="eastAsia"/>
          <w:lang w:eastAsia="zh-CN"/>
        </w:rPr>
      </w:pPr>
      <w:r>
        <w:rPr>
          <w:rFonts w:hint="eastAsia"/>
        </w:rPr>
        <w:t>无</w:t>
      </w:r>
      <w:r>
        <w:rPr>
          <w:rFonts w:hint="eastAsia"/>
          <w:lang w:eastAsia="zh-CN"/>
        </w:rPr>
        <w:t>。</w:t>
      </w:r>
    </w:p>
    <w:p w14:paraId="4AAA6CA8">
      <w:pPr>
        <w:pStyle w:val="3"/>
        <w:bidi w:val="0"/>
        <w:rPr>
          <w:rFonts w:hint="eastAsia"/>
          <w:lang w:eastAsia="zh-CN"/>
        </w:rPr>
      </w:pPr>
      <w:r>
        <w:rPr>
          <w:rFonts w:hint="eastAsia"/>
          <w:lang w:eastAsia="zh-CN"/>
        </w:rPr>
        <w:t>在标准体系中的位置，与现行相关法律、法规、规章及相关标准，特别是强制性标准的协调性</w:t>
      </w:r>
    </w:p>
    <w:p w14:paraId="7D8DB0D5">
      <w:pPr>
        <w:pStyle w:val="5"/>
        <w:bidi w:val="0"/>
        <w:rPr>
          <w:rFonts w:hint="eastAsia"/>
          <w:lang w:eastAsia="zh-CN"/>
        </w:rPr>
      </w:pPr>
      <w:r>
        <w:rPr>
          <w:rFonts w:hint="eastAsia"/>
          <w:lang w:eastAsia="zh-CN"/>
        </w:rPr>
        <w:t>本标准属于团体标准，与现行法律、法规、规章和政策以及有关基础和相关标准不矛盾。</w:t>
      </w:r>
    </w:p>
    <w:p w14:paraId="5C84279D">
      <w:pPr>
        <w:pStyle w:val="3"/>
        <w:bidi w:val="0"/>
        <w:rPr>
          <w:rFonts w:hint="eastAsia"/>
          <w:lang w:eastAsia="zh-CN"/>
        </w:rPr>
      </w:pPr>
      <w:r>
        <w:rPr>
          <w:rFonts w:hint="eastAsia"/>
          <w:lang w:eastAsia="zh-CN"/>
        </w:rPr>
        <w:t>重大分歧意见的处理经过和依据</w:t>
      </w:r>
    </w:p>
    <w:p w14:paraId="41C9CF81">
      <w:pPr>
        <w:pStyle w:val="5"/>
        <w:bidi w:val="0"/>
        <w:rPr>
          <w:rFonts w:hint="eastAsia"/>
          <w:lang w:eastAsia="zh-CN"/>
        </w:rPr>
      </w:pPr>
      <w:r>
        <w:rPr>
          <w:rFonts w:hint="eastAsia"/>
          <w:lang w:eastAsia="zh-CN"/>
        </w:rPr>
        <w:t>本标准未产生重大分歧意见。</w:t>
      </w:r>
    </w:p>
    <w:p w14:paraId="6BCA01E5">
      <w:pPr>
        <w:pStyle w:val="3"/>
        <w:bidi w:val="0"/>
        <w:rPr>
          <w:rFonts w:hint="eastAsia"/>
          <w:lang w:eastAsia="zh-CN"/>
        </w:rPr>
      </w:pPr>
      <w:r>
        <w:rPr>
          <w:rFonts w:hint="eastAsia"/>
          <w:lang w:eastAsia="zh-CN"/>
        </w:rPr>
        <w:t>标准性质的建议说明</w:t>
      </w:r>
    </w:p>
    <w:p w14:paraId="5729DD74">
      <w:pPr>
        <w:pStyle w:val="5"/>
        <w:bidi w:val="0"/>
        <w:rPr>
          <w:rFonts w:hint="eastAsia"/>
          <w:lang w:eastAsia="zh-CN"/>
        </w:rPr>
      </w:pPr>
      <w:r>
        <w:rPr>
          <w:rFonts w:hint="eastAsia"/>
          <w:lang w:eastAsia="zh-CN"/>
        </w:rPr>
        <w:t>本标准属于团体标准，供协会会员和社会自愿使用。</w:t>
      </w:r>
    </w:p>
    <w:p w14:paraId="37982788">
      <w:pPr>
        <w:pStyle w:val="3"/>
        <w:bidi w:val="0"/>
        <w:rPr>
          <w:rFonts w:hint="eastAsia"/>
          <w:lang w:eastAsia="zh-CN"/>
        </w:rPr>
      </w:pPr>
      <w:r>
        <w:rPr>
          <w:rFonts w:hint="eastAsia"/>
          <w:lang w:eastAsia="zh-CN"/>
        </w:rPr>
        <w:t>贯彻标准的要求和措施建议</w:t>
      </w:r>
    </w:p>
    <w:p w14:paraId="6B1B1669">
      <w:pPr>
        <w:pStyle w:val="5"/>
        <w:bidi w:val="0"/>
        <w:rPr>
          <w:rFonts w:hint="eastAsia"/>
          <w:lang w:eastAsia="zh-CN"/>
        </w:rPr>
      </w:pPr>
      <w:r>
        <w:rPr>
          <w:rFonts w:hint="eastAsia"/>
          <w:lang w:eastAsia="zh-CN"/>
        </w:rPr>
        <w:t>本标准为首次发布。</w:t>
      </w:r>
    </w:p>
    <w:p w14:paraId="632BD23E">
      <w:pPr>
        <w:pStyle w:val="3"/>
        <w:bidi w:val="0"/>
        <w:rPr>
          <w:rFonts w:hint="eastAsia"/>
          <w:lang w:eastAsia="zh-CN"/>
        </w:rPr>
      </w:pPr>
      <w:r>
        <w:rPr>
          <w:rFonts w:hint="eastAsia"/>
          <w:lang w:eastAsia="zh-CN"/>
        </w:rPr>
        <w:t>废止现行相关标准的建议</w:t>
      </w:r>
    </w:p>
    <w:p w14:paraId="1D1393FA">
      <w:pPr>
        <w:pStyle w:val="5"/>
        <w:bidi w:val="0"/>
        <w:rPr>
          <w:rFonts w:hint="eastAsia"/>
          <w:lang w:eastAsia="zh-CN"/>
        </w:rPr>
      </w:pPr>
      <w:r>
        <w:rPr>
          <w:rFonts w:hint="eastAsia"/>
          <w:lang w:eastAsia="zh-CN"/>
        </w:rPr>
        <w:t>无。</w:t>
      </w:r>
    </w:p>
    <w:sectPr>
      <w:footerReference r:id="rId9" w:type="default"/>
      <w:footerReference r:id="rId10" w:type="even"/>
      <w:pgSz w:w="11906" w:h="16838"/>
      <w:pgMar w:top="2098" w:right="1247" w:bottom="1758" w:left="1588" w:header="1134" w:footer="1503" w:gutter="0"/>
      <w:cols w:space="425"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CC"/>
    <w:family w:val="roman"/>
    <w:pitch w:val="default"/>
    <w:sig w:usb0="E0000AFF" w:usb1="00007843" w:usb2="00000001" w:usb3="00000000" w:csb0="400001BF" w:csb1="DFF7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汉仪中黑KW">
    <w:panose1 w:val="00020600040101010101"/>
    <w:charset w:val="86"/>
    <w:family w:val="auto"/>
    <w:pitch w:val="default"/>
    <w:sig w:usb0="A00002BF" w:usb1="18EF7CFA" w:usb2="00000016" w:usb3="00000000" w:csb0="00040000" w:csb1="00000000"/>
  </w:font>
  <w:font w:name="楷体_GB2312">
    <w:altName w:val="汉仪楷体简"/>
    <w:panose1 w:val="02010609030101010101"/>
    <w:charset w:val="86"/>
    <w:family w:val="modern"/>
    <w:pitch w:val="default"/>
    <w:sig w:usb0="00000000" w:usb1="00000000" w:usb2="00000000" w:usb3="00000000" w:csb0="00040000" w:csb1="00000000"/>
  </w:font>
  <w:font w:name="汉仪楷体简">
    <w:panose1 w:val="02010600000101010101"/>
    <w:charset w:val="86"/>
    <w:family w:val="auto"/>
    <w:pitch w:val="default"/>
    <w:sig w:usb0="00000001" w:usb1="080E0800" w:usb2="00000002"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Helvetica Neue">
    <w:panose1 w:val="02000503000000020004"/>
    <w:charset w:val="00"/>
    <w:family w:val="auto"/>
    <w:pitch w:val="default"/>
    <w:sig w:usb0="E50002FF" w:usb1="500079DB" w:usb2="00000010" w:usb3="00000000" w:csb0="00000000" w:csb1="00000000"/>
  </w:font>
  <w:font w:name="方正小标宋简体">
    <w:panose1 w:val="02000000000000000000"/>
    <w:charset w:val="86"/>
    <w:family w:val="auto"/>
    <w:pitch w:val="default"/>
    <w:sig w:usb0="00000001" w:usb1="08000000" w:usb2="00000000" w:usb3="00000000" w:csb0="00040000" w:csb1="00000000"/>
  </w:font>
  <w:font w:name="楷体">
    <w:altName w:val="汉仪楷体KW"/>
    <w:panose1 w:val="02010609060101010101"/>
    <w:charset w:val="86"/>
    <w:family w:val="modern"/>
    <w:pitch w:val="default"/>
    <w:sig w:usb0="00000000" w:usb1="00000000" w:usb2="00000016" w:usb3="00000000" w:csb0="00040001" w:csb1="00000000"/>
  </w:font>
  <w:font w:name="汉仪楷体KW">
    <w:panose1 w:val="00020600040101010101"/>
    <w:charset w:val="86"/>
    <w:family w:val="auto"/>
    <w:pitch w:val="default"/>
    <w:sig w:usb0="A00002BF" w:usb1="18EF7CFA" w:usb2="00000016" w:usb3="00000000" w:csb0="00040000" w:csb1="00000000"/>
  </w:font>
  <w:font w:name="Calibri Light">
    <w:altName w:val="Helvetica Neue"/>
    <w:panose1 w:val="020F0302020204030204"/>
    <w:charset w:val="00"/>
    <w:family w:val="auto"/>
    <w:pitch w:val="default"/>
    <w:sig w:usb0="00000000" w:usb1="00000000" w:usb2="00000009" w:usb3="00000000" w:csb0="200001FF" w:csb1="00000000"/>
  </w:font>
  <w:font w:name="Cambria Math">
    <w:altName w:val="Kingsoft Math"/>
    <w:panose1 w:val="02040503050406030204"/>
    <w:charset w:val="00"/>
    <w:family w:val="roman"/>
    <w:pitch w:val="default"/>
    <w:sig w:usb0="00000000" w:usb1="00000000" w:usb2="02000000" w:usb3="00000000" w:csb0="2000019F" w:csb1="00000000"/>
  </w:font>
  <w:font w:name="Kingsoft Math">
    <w:panose1 w:val="02040503050406030204"/>
    <w:charset w:val="00"/>
    <w:family w:val="auto"/>
    <w:pitch w:val="default"/>
    <w:sig w:usb0="80000087" w:usb1="00002068" w:usb2="00000000" w:usb3="00000000" w:csb0="2000019F" w:csb1="00000000"/>
  </w:font>
  <w:font w:name="DejaVu Math TeX Gyre">
    <w:panose1 w:val="02000503000000000000"/>
    <w:charset w:val="00"/>
    <w:family w:val="auto"/>
    <w:pitch w:val="default"/>
    <w:sig w:usb0="A10000EF" w:usb1="4201F9EE" w:usb2="02000000" w:usb3="00000000" w:csb0="60000193" w:csb1="0DD40000"/>
  </w:font>
  <w:font w:name="微软雅黑">
    <w:altName w:val="汉仪旗黑"/>
    <w:panose1 w:val="020B0503020204020204"/>
    <w:charset w:val="86"/>
    <w:family w:val="auto"/>
    <w:pitch w:val="default"/>
    <w:sig w:usb0="00000000" w:usb1="00000000" w:usb2="00000016" w:usb3="00000000" w:csb0="0004001F" w:csb1="00000000"/>
  </w:font>
  <w:font w:name="汉仪旗黑">
    <w:panose1 w:val="00020600040101010101"/>
    <w:charset w:val="86"/>
    <w:family w:val="auto"/>
    <w:pitch w:val="default"/>
    <w:sig w:usb0="A00002BF" w:usb1="1ACF7CFA" w:usb2="00000016" w:usb3="00000000" w:csb0="0004009F" w:csb1="DFD70000"/>
  </w:font>
  <w:font w:name="冬青黑体简体中文">
    <w:panose1 w:val="020B0300000000000000"/>
    <w:charset w:val="86"/>
    <w:family w:val="auto"/>
    <w:pitch w:val="default"/>
    <w:sig w:usb0="A00002BF" w:usb1="1ACF7CFA" w:usb2="00000016" w:usb3="00000000" w:csb0="00060007" w:csb1="00000000"/>
  </w:font>
  <w:font w:name="宋体-简">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70672"/>
      <w:docPartObj>
        <w:docPartGallery w:val="autotext"/>
      </w:docPartObj>
    </w:sdtPr>
    <w:sdtContent>
      <w:sdt>
        <w:sdtPr>
          <w:id w:val="147473676"/>
          <w:docPartObj>
            <w:docPartGallery w:val="autotext"/>
          </w:docPartObj>
        </w:sdtPr>
        <w:sdtContent>
          <w:p w14:paraId="5D23326D">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- 71 -</w:t>
            </w:r>
            <w:r>
              <w:rPr>
                <w:rFonts w:ascii="宋体" w:hAnsi="宋体" w:eastAsia="宋体"/>
                <w:sz w:val="28"/>
                <w:szCs w:val="28"/>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51979"/>
      <w:docPartObj>
        <w:docPartGallery w:val="autotext"/>
      </w:docPartObj>
    </w:sdtPr>
    <w:sdtContent>
      <w:p w14:paraId="2924BD11">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- 1 -</w:t>
        </w:r>
        <w:r>
          <w:rPr>
            <w:rFonts w:ascii="宋体" w:hAnsi="宋体" w:eastAsia="宋体"/>
            <w:sz w:val="28"/>
            <w:szCs w:val="28"/>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53309"/>
      <w:docPartObj>
        <w:docPartGallery w:val="autotext"/>
      </w:docPartObj>
    </w:sdtPr>
    <w:sdtContent>
      <w:sdt>
        <w:sdtPr>
          <w:id w:val="147455888"/>
          <w:docPartObj>
            <w:docPartGallery w:val="autotext"/>
          </w:docPartObj>
        </w:sdtPr>
        <w:sdtContent>
          <w:p w14:paraId="354C4B6A">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- 71 -</w:t>
            </w:r>
            <w:r>
              <w:rPr>
                <w:rFonts w:ascii="宋体" w:hAnsi="宋体" w:eastAsia="宋体"/>
                <w:sz w:val="28"/>
                <w:szCs w:val="28"/>
              </w:rPr>
              <w:fldChar w:fldCharType="end"/>
            </w:r>
          </w:p>
        </w:sdtContent>
      </w:sdt>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9850149"/>
      <w:docPartObj>
        <w:docPartGallery w:val="autotext"/>
      </w:docPartObj>
    </w:sdtPr>
    <w:sdtContent>
      <w:sdt>
        <w:sdtPr>
          <w:id w:val="840666827"/>
          <w:docPartObj>
            <w:docPartGallery w:val="autotext"/>
          </w:docPartObj>
        </w:sdtPr>
        <w:sdtContent>
          <w:p w14:paraId="409E5F20">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- 71 -</w:t>
            </w:r>
            <w:r>
              <w:rPr>
                <w:rFonts w:ascii="宋体" w:hAnsi="宋体" w:eastAsia="宋体"/>
                <w:sz w:val="28"/>
                <w:szCs w:val="28"/>
              </w:rPr>
              <w:fldChar w:fldCharType="end"/>
            </w:r>
          </w:p>
        </w:sdtContent>
      </w:sdt>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0696592"/>
      <w:docPartObj>
        <w:docPartGallery w:val="autotext"/>
      </w:docPartObj>
    </w:sdtPr>
    <w:sdtContent>
      <w:p w14:paraId="021B5B35">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- 1 -</w:t>
        </w:r>
        <w:r>
          <w:rPr>
            <w:rFonts w:ascii="宋体" w:hAnsi="宋体" w:eastAsia="宋体"/>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pPr>
        <w:spacing w:line="360" w:lineRule="auto"/>
        <w:ind w:firstLine="480"/>
      </w:pPr>
      <w:r>
        <w:separator/>
      </w:r>
    </w:p>
  </w:footnote>
  <w:footnote w:type="continuationSeparator" w:id="3">
    <w:p>
      <w:pPr>
        <w:spacing w:line="360" w:lineRule="auto"/>
        <w:ind w:firstLine="480"/>
      </w:pPr>
      <w:r>
        <w:continuationSeparator/>
      </w:r>
    </w:p>
  </w:footnote>
  <w:footnote w:id="0">
    <w:p w14:paraId="734D4409">
      <w:pPr>
        <w:pStyle w:val="23"/>
        <w:snapToGrid w:val="0"/>
      </w:pPr>
      <w:r>
        <w:rPr>
          <w:rStyle w:val="33"/>
        </w:rPr>
        <w:footnoteRef/>
      </w:r>
      <w:r>
        <w:t xml:space="preserve"> </w:t>
      </w:r>
      <w:r>
        <w:rPr>
          <w:rFonts w:hint="eastAsia"/>
        </w:rPr>
        <w:t>姚治国,陈田.基于碳足迹模型的旅游碳排放实证研究——以海南省为案例[J].经济管理,2016,38(02):151-159.DOI:10.19616/j.cnki.bmj.2016.02.014.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B74F98">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410C92"/>
    <w:multiLevelType w:val="multilevel"/>
    <w:tmpl w:val="41410C92"/>
    <w:lvl w:ilvl="0" w:tentative="0">
      <w:start w:val="1"/>
      <w:numFmt w:val="chineseCountingThousand"/>
      <w:pStyle w:val="2"/>
      <w:suff w:val="nothing"/>
      <w:lvlText w:val="%1、"/>
      <w:lvlJc w:val="left"/>
      <w:pPr>
        <w:ind w:left="420" w:firstLine="0"/>
      </w:pPr>
      <w:rPr>
        <w:rFonts w:hint="eastAsia"/>
      </w:rPr>
    </w:lvl>
    <w:lvl w:ilvl="1" w:tentative="0">
      <w:start w:val="1"/>
      <w:numFmt w:val="chineseCountingThousand"/>
      <w:pStyle w:val="3"/>
      <w:suff w:val="nothing"/>
      <w:lvlText w:val="（%2）"/>
      <w:lvlJc w:val="left"/>
      <w:pPr>
        <w:ind w:left="420" w:firstLine="0"/>
      </w:pPr>
      <w:rPr>
        <w:rFonts w:hint="eastAsia"/>
      </w:rPr>
    </w:lvl>
    <w:lvl w:ilvl="2" w:tentative="0">
      <w:start w:val="1"/>
      <w:numFmt w:val="decimal"/>
      <w:pStyle w:val="4"/>
      <w:suff w:val="nothing"/>
      <w:lvlText w:val="%3."/>
      <w:lvlJc w:val="left"/>
      <w:pPr>
        <w:ind w:left="420" w:firstLine="0"/>
      </w:pPr>
      <w:rPr>
        <w:rFonts w:hint="eastAsia"/>
      </w:rPr>
    </w:lvl>
    <w:lvl w:ilvl="3" w:tentative="0">
      <w:start w:val="1"/>
      <w:numFmt w:val="decimal"/>
      <w:pStyle w:val="6"/>
      <w:suff w:val="nothing"/>
      <w:lvlText w:val="（%4）"/>
      <w:lvlJc w:val="left"/>
      <w:pPr>
        <w:ind w:left="420" w:firstLine="0"/>
      </w:pPr>
    </w:lvl>
    <w:lvl w:ilvl="4" w:tentative="0">
      <w:start w:val="1"/>
      <w:numFmt w:val="upperLetter"/>
      <w:suff w:val="nothing"/>
      <w:lvlText w:val="%5."/>
      <w:lvlJc w:val="left"/>
      <w:pPr>
        <w:ind w:left="420" w:firstLine="0"/>
      </w:pPr>
      <w:rPr>
        <w:rFonts w:hint="eastAsia"/>
      </w:rPr>
    </w:lvl>
    <w:lvl w:ilvl="5" w:tentative="0">
      <w:start w:val="1"/>
      <w:numFmt w:val="lowerLetter"/>
      <w:suff w:val="nothing"/>
      <w:lvlText w:val="%6."/>
      <w:lvlJc w:val="left"/>
      <w:pPr>
        <w:ind w:left="420" w:firstLine="0"/>
      </w:pPr>
      <w:rPr>
        <w:rFonts w:hint="eastAsia"/>
      </w:rPr>
    </w:lvl>
    <w:lvl w:ilvl="6" w:tentative="0">
      <w:start w:val="1"/>
      <w:numFmt w:val="upperRoman"/>
      <w:suff w:val="nothing"/>
      <w:lvlText w:val="%7."/>
      <w:lvlJc w:val="left"/>
      <w:pPr>
        <w:ind w:left="420" w:firstLine="0"/>
      </w:pPr>
      <w:rPr>
        <w:rFonts w:hint="eastAsia"/>
      </w:rPr>
    </w:lvl>
    <w:lvl w:ilvl="7" w:tentative="0">
      <w:start w:val="1"/>
      <w:numFmt w:val="lowerRoman"/>
      <w:suff w:val="nothing"/>
      <w:lvlText w:val="%8)"/>
      <w:lvlJc w:val="left"/>
      <w:pPr>
        <w:ind w:left="420" w:firstLine="0"/>
      </w:pPr>
      <w:rPr>
        <w:rFonts w:hint="eastAsia"/>
      </w:rPr>
    </w:lvl>
    <w:lvl w:ilvl="8" w:tentative="0">
      <w:start w:val="1"/>
      <w:numFmt w:val="bullet"/>
      <w:suff w:val="nothing"/>
      <w:lvlText w:val=""/>
      <w:lvlJc w:val="left"/>
      <w:pPr>
        <w:ind w:left="420" w:firstLine="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8"/>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2"/>
    <w:footnote w:id="3"/>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702B"/>
    <w:rsid w:val="00000E11"/>
    <w:rsid w:val="00000E24"/>
    <w:rsid w:val="00000EDC"/>
    <w:rsid w:val="00006BB1"/>
    <w:rsid w:val="00007AD4"/>
    <w:rsid w:val="00007FA2"/>
    <w:rsid w:val="00011068"/>
    <w:rsid w:val="00011386"/>
    <w:rsid w:val="00013F65"/>
    <w:rsid w:val="0001598E"/>
    <w:rsid w:val="00015F49"/>
    <w:rsid w:val="000160D8"/>
    <w:rsid w:val="0001650D"/>
    <w:rsid w:val="000224A8"/>
    <w:rsid w:val="000240FF"/>
    <w:rsid w:val="000268DF"/>
    <w:rsid w:val="0002790D"/>
    <w:rsid w:val="00032B5A"/>
    <w:rsid w:val="0004226E"/>
    <w:rsid w:val="00042A11"/>
    <w:rsid w:val="0004470D"/>
    <w:rsid w:val="000468B5"/>
    <w:rsid w:val="000477A5"/>
    <w:rsid w:val="00056066"/>
    <w:rsid w:val="00056417"/>
    <w:rsid w:val="000572F0"/>
    <w:rsid w:val="00061E0F"/>
    <w:rsid w:val="00062E1D"/>
    <w:rsid w:val="00064A66"/>
    <w:rsid w:val="00067F92"/>
    <w:rsid w:val="00071320"/>
    <w:rsid w:val="00072A4B"/>
    <w:rsid w:val="00072D50"/>
    <w:rsid w:val="00073AE3"/>
    <w:rsid w:val="00073CC2"/>
    <w:rsid w:val="0007438D"/>
    <w:rsid w:val="00076803"/>
    <w:rsid w:val="000777F6"/>
    <w:rsid w:val="000804E9"/>
    <w:rsid w:val="00084770"/>
    <w:rsid w:val="00085E2A"/>
    <w:rsid w:val="000860A7"/>
    <w:rsid w:val="000872C5"/>
    <w:rsid w:val="000902F8"/>
    <w:rsid w:val="000910FD"/>
    <w:rsid w:val="00093543"/>
    <w:rsid w:val="00095674"/>
    <w:rsid w:val="00095C84"/>
    <w:rsid w:val="0009704C"/>
    <w:rsid w:val="00097BE6"/>
    <w:rsid w:val="000A04F5"/>
    <w:rsid w:val="000A369C"/>
    <w:rsid w:val="000A3890"/>
    <w:rsid w:val="000A4D10"/>
    <w:rsid w:val="000A5FA0"/>
    <w:rsid w:val="000B1EB5"/>
    <w:rsid w:val="000B37FC"/>
    <w:rsid w:val="000B3A03"/>
    <w:rsid w:val="000B412B"/>
    <w:rsid w:val="000B6E02"/>
    <w:rsid w:val="000B7360"/>
    <w:rsid w:val="000C015D"/>
    <w:rsid w:val="000C1494"/>
    <w:rsid w:val="000C24B4"/>
    <w:rsid w:val="000C3279"/>
    <w:rsid w:val="000C366E"/>
    <w:rsid w:val="000C4D83"/>
    <w:rsid w:val="000C4EE0"/>
    <w:rsid w:val="000D165B"/>
    <w:rsid w:val="000D41DA"/>
    <w:rsid w:val="000D57DB"/>
    <w:rsid w:val="000E102A"/>
    <w:rsid w:val="000E2357"/>
    <w:rsid w:val="000E30E1"/>
    <w:rsid w:val="000E3F90"/>
    <w:rsid w:val="000E4E52"/>
    <w:rsid w:val="000E7251"/>
    <w:rsid w:val="000F0020"/>
    <w:rsid w:val="000F13BA"/>
    <w:rsid w:val="000F1B88"/>
    <w:rsid w:val="000F3789"/>
    <w:rsid w:val="000F4A1A"/>
    <w:rsid w:val="000F5041"/>
    <w:rsid w:val="000F5FFF"/>
    <w:rsid w:val="000F6D02"/>
    <w:rsid w:val="000F7345"/>
    <w:rsid w:val="0010251F"/>
    <w:rsid w:val="00103C64"/>
    <w:rsid w:val="00104AD8"/>
    <w:rsid w:val="00106A49"/>
    <w:rsid w:val="00110ABA"/>
    <w:rsid w:val="00111FBE"/>
    <w:rsid w:val="00112B0B"/>
    <w:rsid w:val="0011354A"/>
    <w:rsid w:val="00113FD8"/>
    <w:rsid w:val="00114AA0"/>
    <w:rsid w:val="00115923"/>
    <w:rsid w:val="0011593B"/>
    <w:rsid w:val="001159C5"/>
    <w:rsid w:val="00120A74"/>
    <w:rsid w:val="001214DD"/>
    <w:rsid w:val="00121EE3"/>
    <w:rsid w:val="00122582"/>
    <w:rsid w:val="00122EFD"/>
    <w:rsid w:val="00123C0F"/>
    <w:rsid w:val="0012431B"/>
    <w:rsid w:val="001256DF"/>
    <w:rsid w:val="00126293"/>
    <w:rsid w:val="001274F9"/>
    <w:rsid w:val="00127C25"/>
    <w:rsid w:val="0013072B"/>
    <w:rsid w:val="0013286C"/>
    <w:rsid w:val="001333AC"/>
    <w:rsid w:val="00134B18"/>
    <w:rsid w:val="001351F2"/>
    <w:rsid w:val="00136ABF"/>
    <w:rsid w:val="00137245"/>
    <w:rsid w:val="00141031"/>
    <w:rsid w:val="001434E5"/>
    <w:rsid w:val="00145478"/>
    <w:rsid w:val="00146BDB"/>
    <w:rsid w:val="0014768B"/>
    <w:rsid w:val="0015072A"/>
    <w:rsid w:val="00150C6D"/>
    <w:rsid w:val="00152962"/>
    <w:rsid w:val="00153016"/>
    <w:rsid w:val="001550F0"/>
    <w:rsid w:val="00157AF2"/>
    <w:rsid w:val="00160647"/>
    <w:rsid w:val="001608DB"/>
    <w:rsid w:val="001609A7"/>
    <w:rsid w:val="00162AC3"/>
    <w:rsid w:val="00163E71"/>
    <w:rsid w:val="0016702B"/>
    <w:rsid w:val="0016715A"/>
    <w:rsid w:val="00170377"/>
    <w:rsid w:val="001746D3"/>
    <w:rsid w:val="00174D18"/>
    <w:rsid w:val="00175A36"/>
    <w:rsid w:val="00175F8A"/>
    <w:rsid w:val="00181402"/>
    <w:rsid w:val="001823EC"/>
    <w:rsid w:val="00182BAE"/>
    <w:rsid w:val="0018410D"/>
    <w:rsid w:val="00186CB5"/>
    <w:rsid w:val="0018758B"/>
    <w:rsid w:val="00190735"/>
    <w:rsid w:val="001908C3"/>
    <w:rsid w:val="00191F28"/>
    <w:rsid w:val="001951BD"/>
    <w:rsid w:val="001A00C1"/>
    <w:rsid w:val="001A1B37"/>
    <w:rsid w:val="001A2A68"/>
    <w:rsid w:val="001A711F"/>
    <w:rsid w:val="001B03BA"/>
    <w:rsid w:val="001B0B31"/>
    <w:rsid w:val="001B1AC7"/>
    <w:rsid w:val="001B3BCB"/>
    <w:rsid w:val="001B45EF"/>
    <w:rsid w:val="001B5A99"/>
    <w:rsid w:val="001B6141"/>
    <w:rsid w:val="001C2E49"/>
    <w:rsid w:val="001D0E93"/>
    <w:rsid w:val="001D1B9C"/>
    <w:rsid w:val="001D23B2"/>
    <w:rsid w:val="001D2C0F"/>
    <w:rsid w:val="001D3B12"/>
    <w:rsid w:val="001D3D1A"/>
    <w:rsid w:val="001E1333"/>
    <w:rsid w:val="001E26C3"/>
    <w:rsid w:val="001E557A"/>
    <w:rsid w:val="001E612A"/>
    <w:rsid w:val="001E6574"/>
    <w:rsid w:val="001E7349"/>
    <w:rsid w:val="001F3C0E"/>
    <w:rsid w:val="001F5D1F"/>
    <w:rsid w:val="00202B09"/>
    <w:rsid w:val="002035DA"/>
    <w:rsid w:val="002041EF"/>
    <w:rsid w:val="002076C6"/>
    <w:rsid w:val="00212CCF"/>
    <w:rsid w:val="002132DF"/>
    <w:rsid w:val="002141BD"/>
    <w:rsid w:val="00214D27"/>
    <w:rsid w:val="002314E9"/>
    <w:rsid w:val="00237374"/>
    <w:rsid w:val="00237A15"/>
    <w:rsid w:val="0024380E"/>
    <w:rsid w:val="0024447F"/>
    <w:rsid w:val="00244D0A"/>
    <w:rsid w:val="00246DE6"/>
    <w:rsid w:val="0025034E"/>
    <w:rsid w:val="00251D76"/>
    <w:rsid w:val="002523F3"/>
    <w:rsid w:val="0025269B"/>
    <w:rsid w:val="00253DA2"/>
    <w:rsid w:val="002547AB"/>
    <w:rsid w:val="00254A6E"/>
    <w:rsid w:val="00255014"/>
    <w:rsid w:val="00256502"/>
    <w:rsid w:val="00256D14"/>
    <w:rsid w:val="00260E68"/>
    <w:rsid w:val="002647C2"/>
    <w:rsid w:val="00265745"/>
    <w:rsid w:val="00266B0C"/>
    <w:rsid w:val="002712A8"/>
    <w:rsid w:val="00273EDF"/>
    <w:rsid w:val="0027550F"/>
    <w:rsid w:val="002760E3"/>
    <w:rsid w:val="0029289D"/>
    <w:rsid w:val="00292AC9"/>
    <w:rsid w:val="002937BB"/>
    <w:rsid w:val="00293AD3"/>
    <w:rsid w:val="0029491D"/>
    <w:rsid w:val="002953DE"/>
    <w:rsid w:val="00296266"/>
    <w:rsid w:val="00296FBC"/>
    <w:rsid w:val="00297C90"/>
    <w:rsid w:val="002A4630"/>
    <w:rsid w:val="002A6469"/>
    <w:rsid w:val="002B00FC"/>
    <w:rsid w:val="002B0A5E"/>
    <w:rsid w:val="002B172D"/>
    <w:rsid w:val="002B37A1"/>
    <w:rsid w:val="002B5B4E"/>
    <w:rsid w:val="002C29AF"/>
    <w:rsid w:val="002C33F1"/>
    <w:rsid w:val="002C3E2C"/>
    <w:rsid w:val="002C5B9C"/>
    <w:rsid w:val="002C611A"/>
    <w:rsid w:val="002C6A71"/>
    <w:rsid w:val="002D483A"/>
    <w:rsid w:val="002D6DFF"/>
    <w:rsid w:val="002E10EA"/>
    <w:rsid w:val="002E18D2"/>
    <w:rsid w:val="002E18D6"/>
    <w:rsid w:val="002E27FD"/>
    <w:rsid w:val="002E5F02"/>
    <w:rsid w:val="002E73EF"/>
    <w:rsid w:val="002E7834"/>
    <w:rsid w:val="002F35E8"/>
    <w:rsid w:val="00301267"/>
    <w:rsid w:val="003014C6"/>
    <w:rsid w:val="00301FCA"/>
    <w:rsid w:val="003051E0"/>
    <w:rsid w:val="0030739E"/>
    <w:rsid w:val="0031024F"/>
    <w:rsid w:val="00311980"/>
    <w:rsid w:val="003124F0"/>
    <w:rsid w:val="00313141"/>
    <w:rsid w:val="00313624"/>
    <w:rsid w:val="003138D4"/>
    <w:rsid w:val="003158DA"/>
    <w:rsid w:val="00316498"/>
    <w:rsid w:val="00317007"/>
    <w:rsid w:val="00317445"/>
    <w:rsid w:val="00317871"/>
    <w:rsid w:val="00321CB1"/>
    <w:rsid w:val="00322503"/>
    <w:rsid w:val="003225DA"/>
    <w:rsid w:val="0032309B"/>
    <w:rsid w:val="00325A5B"/>
    <w:rsid w:val="00326BD5"/>
    <w:rsid w:val="003301F2"/>
    <w:rsid w:val="00330B9F"/>
    <w:rsid w:val="003321BF"/>
    <w:rsid w:val="0033277B"/>
    <w:rsid w:val="003336F1"/>
    <w:rsid w:val="0033399A"/>
    <w:rsid w:val="0033449A"/>
    <w:rsid w:val="00335B4B"/>
    <w:rsid w:val="00336AE1"/>
    <w:rsid w:val="00342C3E"/>
    <w:rsid w:val="00343594"/>
    <w:rsid w:val="00343806"/>
    <w:rsid w:val="003442DA"/>
    <w:rsid w:val="00345867"/>
    <w:rsid w:val="0034591F"/>
    <w:rsid w:val="00347918"/>
    <w:rsid w:val="003504B2"/>
    <w:rsid w:val="003543B5"/>
    <w:rsid w:val="0035496C"/>
    <w:rsid w:val="003570F0"/>
    <w:rsid w:val="00357911"/>
    <w:rsid w:val="00362651"/>
    <w:rsid w:val="00367A1E"/>
    <w:rsid w:val="003709E4"/>
    <w:rsid w:val="00370A69"/>
    <w:rsid w:val="00370C46"/>
    <w:rsid w:val="00372953"/>
    <w:rsid w:val="0037488E"/>
    <w:rsid w:val="00375CC0"/>
    <w:rsid w:val="00375E47"/>
    <w:rsid w:val="00377721"/>
    <w:rsid w:val="00377CA0"/>
    <w:rsid w:val="0038017A"/>
    <w:rsid w:val="0038320C"/>
    <w:rsid w:val="00383232"/>
    <w:rsid w:val="00383E4C"/>
    <w:rsid w:val="00385759"/>
    <w:rsid w:val="00387403"/>
    <w:rsid w:val="003879F4"/>
    <w:rsid w:val="00387CFB"/>
    <w:rsid w:val="0039021B"/>
    <w:rsid w:val="00392D19"/>
    <w:rsid w:val="003954C8"/>
    <w:rsid w:val="003961BC"/>
    <w:rsid w:val="00396818"/>
    <w:rsid w:val="003A0D6B"/>
    <w:rsid w:val="003A3AB3"/>
    <w:rsid w:val="003A5104"/>
    <w:rsid w:val="003A5753"/>
    <w:rsid w:val="003A61F2"/>
    <w:rsid w:val="003B1A8F"/>
    <w:rsid w:val="003B5057"/>
    <w:rsid w:val="003B5404"/>
    <w:rsid w:val="003B5531"/>
    <w:rsid w:val="003C0081"/>
    <w:rsid w:val="003C3172"/>
    <w:rsid w:val="003C4646"/>
    <w:rsid w:val="003C4C97"/>
    <w:rsid w:val="003C56CC"/>
    <w:rsid w:val="003C58DC"/>
    <w:rsid w:val="003C6A6C"/>
    <w:rsid w:val="003C7C24"/>
    <w:rsid w:val="003C7EAA"/>
    <w:rsid w:val="003D31F1"/>
    <w:rsid w:val="003D55F9"/>
    <w:rsid w:val="003D6216"/>
    <w:rsid w:val="003D75A5"/>
    <w:rsid w:val="003E02C3"/>
    <w:rsid w:val="003E20EC"/>
    <w:rsid w:val="003E2F2C"/>
    <w:rsid w:val="003E3099"/>
    <w:rsid w:val="003E3895"/>
    <w:rsid w:val="003E5229"/>
    <w:rsid w:val="003E79BB"/>
    <w:rsid w:val="003F0898"/>
    <w:rsid w:val="003F0995"/>
    <w:rsid w:val="003F484C"/>
    <w:rsid w:val="003F50DD"/>
    <w:rsid w:val="003F78C9"/>
    <w:rsid w:val="00401C7F"/>
    <w:rsid w:val="00402B6D"/>
    <w:rsid w:val="0040318C"/>
    <w:rsid w:val="00403E0F"/>
    <w:rsid w:val="00404EFD"/>
    <w:rsid w:val="00405F6A"/>
    <w:rsid w:val="004130EA"/>
    <w:rsid w:val="004164D4"/>
    <w:rsid w:val="004170B7"/>
    <w:rsid w:val="004171FD"/>
    <w:rsid w:val="0041778F"/>
    <w:rsid w:val="00417C63"/>
    <w:rsid w:val="004208E4"/>
    <w:rsid w:val="00422572"/>
    <w:rsid w:val="00422822"/>
    <w:rsid w:val="004245EB"/>
    <w:rsid w:val="00425459"/>
    <w:rsid w:val="004263BC"/>
    <w:rsid w:val="0042736E"/>
    <w:rsid w:val="0042786F"/>
    <w:rsid w:val="004301A4"/>
    <w:rsid w:val="0043140A"/>
    <w:rsid w:val="004368BF"/>
    <w:rsid w:val="00436D5C"/>
    <w:rsid w:val="00442EB0"/>
    <w:rsid w:val="0044388D"/>
    <w:rsid w:val="0044510A"/>
    <w:rsid w:val="00445B54"/>
    <w:rsid w:val="0044649D"/>
    <w:rsid w:val="004478DF"/>
    <w:rsid w:val="00447F65"/>
    <w:rsid w:val="004501A9"/>
    <w:rsid w:val="0045041C"/>
    <w:rsid w:val="00450C2F"/>
    <w:rsid w:val="0045131A"/>
    <w:rsid w:val="00452182"/>
    <w:rsid w:val="00452C24"/>
    <w:rsid w:val="00453DA7"/>
    <w:rsid w:val="00453F8B"/>
    <w:rsid w:val="00454E66"/>
    <w:rsid w:val="00461CD6"/>
    <w:rsid w:val="00464007"/>
    <w:rsid w:val="00465780"/>
    <w:rsid w:val="00470934"/>
    <w:rsid w:val="004747F7"/>
    <w:rsid w:val="00475E43"/>
    <w:rsid w:val="00476B27"/>
    <w:rsid w:val="00480D4E"/>
    <w:rsid w:val="00481C7C"/>
    <w:rsid w:val="00481DB1"/>
    <w:rsid w:val="004826BB"/>
    <w:rsid w:val="004837C7"/>
    <w:rsid w:val="00492712"/>
    <w:rsid w:val="00496807"/>
    <w:rsid w:val="00497B3F"/>
    <w:rsid w:val="00497FB9"/>
    <w:rsid w:val="004A1476"/>
    <w:rsid w:val="004A2137"/>
    <w:rsid w:val="004A3010"/>
    <w:rsid w:val="004A5EB5"/>
    <w:rsid w:val="004A778D"/>
    <w:rsid w:val="004B1DB6"/>
    <w:rsid w:val="004B3436"/>
    <w:rsid w:val="004B60AC"/>
    <w:rsid w:val="004C1A69"/>
    <w:rsid w:val="004C1D4B"/>
    <w:rsid w:val="004C27D6"/>
    <w:rsid w:val="004C3E49"/>
    <w:rsid w:val="004C46EB"/>
    <w:rsid w:val="004C5E52"/>
    <w:rsid w:val="004C76BA"/>
    <w:rsid w:val="004D26BD"/>
    <w:rsid w:val="004D2C6C"/>
    <w:rsid w:val="004D550D"/>
    <w:rsid w:val="004E0CA1"/>
    <w:rsid w:val="004E0D68"/>
    <w:rsid w:val="004E5A9E"/>
    <w:rsid w:val="004E770E"/>
    <w:rsid w:val="004E7C27"/>
    <w:rsid w:val="004F0807"/>
    <w:rsid w:val="004F237B"/>
    <w:rsid w:val="004F4047"/>
    <w:rsid w:val="004F73D5"/>
    <w:rsid w:val="004F78DF"/>
    <w:rsid w:val="005005B6"/>
    <w:rsid w:val="0050192B"/>
    <w:rsid w:val="00507015"/>
    <w:rsid w:val="00507343"/>
    <w:rsid w:val="00510CAF"/>
    <w:rsid w:val="0051264F"/>
    <w:rsid w:val="0051383B"/>
    <w:rsid w:val="00517431"/>
    <w:rsid w:val="005207C8"/>
    <w:rsid w:val="005242E3"/>
    <w:rsid w:val="00526789"/>
    <w:rsid w:val="00526953"/>
    <w:rsid w:val="00527989"/>
    <w:rsid w:val="00530E55"/>
    <w:rsid w:val="0053146D"/>
    <w:rsid w:val="00531941"/>
    <w:rsid w:val="0053300A"/>
    <w:rsid w:val="0053695D"/>
    <w:rsid w:val="00537187"/>
    <w:rsid w:val="00537449"/>
    <w:rsid w:val="005406B8"/>
    <w:rsid w:val="00540FCB"/>
    <w:rsid w:val="0054299F"/>
    <w:rsid w:val="005436DC"/>
    <w:rsid w:val="00545937"/>
    <w:rsid w:val="00546F64"/>
    <w:rsid w:val="00547570"/>
    <w:rsid w:val="00551374"/>
    <w:rsid w:val="00551F6E"/>
    <w:rsid w:val="005522A4"/>
    <w:rsid w:val="00552C56"/>
    <w:rsid w:val="00553DE4"/>
    <w:rsid w:val="00555A7C"/>
    <w:rsid w:val="00556013"/>
    <w:rsid w:val="00557DA2"/>
    <w:rsid w:val="00560E38"/>
    <w:rsid w:val="0056347C"/>
    <w:rsid w:val="005644F8"/>
    <w:rsid w:val="0056499F"/>
    <w:rsid w:val="00564C4E"/>
    <w:rsid w:val="005671FE"/>
    <w:rsid w:val="005676E1"/>
    <w:rsid w:val="00571DBA"/>
    <w:rsid w:val="00571DEC"/>
    <w:rsid w:val="005726E7"/>
    <w:rsid w:val="0057321D"/>
    <w:rsid w:val="00573383"/>
    <w:rsid w:val="005740A1"/>
    <w:rsid w:val="00576FA2"/>
    <w:rsid w:val="00580976"/>
    <w:rsid w:val="00580D5E"/>
    <w:rsid w:val="00581EDF"/>
    <w:rsid w:val="005853B5"/>
    <w:rsid w:val="00586430"/>
    <w:rsid w:val="0059049C"/>
    <w:rsid w:val="00591BD0"/>
    <w:rsid w:val="005938D0"/>
    <w:rsid w:val="00595A1B"/>
    <w:rsid w:val="00596ADE"/>
    <w:rsid w:val="005A0416"/>
    <w:rsid w:val="005A1ACD"/>
    <w:rsid w:val="005A273D"/>
    <w:rsid w:val="005A3E80"/>
    <w:rsid w:val="005A403B"/>
    <w:rsid w:val="005A7934"/>
    <w:rsid w:val="005B67A4"/>
    <w:rsid w:val="005C1538"/>
    <w:rsid w:val="005C2522"/>
    <w:rsid w:val="005C2C4D"/>
    <w:rsid w:val="005C577A"/>
    <w:rsid w:val="005C729E"/>
    <w:rsid w:val="005C7D33"/>
    <w:rsid w:val="005D13C1"/>
    <w:rsid w:val="005D468E"/>
    <w:rsid w:val="005D4CC4"/>
    <w:rsid w:val="005D4EAA"/>
    <w:rsid w:val="005D6461"/>
    <w:rsid w:val="005D7AF0"/>
    <w:rsid w:val="005E03B6"/>
    <w:rsid w:val="005E235C"/>
    <w:rsid w:val="005E4671"/>
    <w:rsid w:val="005E6E3B"/>
    <w:rsid w:val="005E70A4"/>
    <w:rsid w:val="005F1A02"/>
    <w:rsid w:val="005F63A1"/>
    <w:rsid w:val="005F64AA"/>
    <w:rsid w:val="006014BB"/>
    <w:rsid w:val="00606276"/>
    <w:rsid w:val="006069B4"/>
    <w:rsid w:val="006074FF"/>
    <w:rsid w:val="00610C11"/>
    <w:rsid w:val="00610D07"/>
    <w:rsid w:val="00611183"/>
    <w:rsid w:val="006125C7"/>
    <w:rsid w:val="0061298F"/>
    <w:rsid w:val="006133F2"/>
    <w:rsid w:val="00614436"/>
    <w:rsid w:val="00615A75"/>
    <w:rsid w:val="00616B7B"/>
    <w:rsid w:val="006200FE"/>
    <w:rsid w:val="006207B5"/>
    <w:rsid w:val="006219A6"/>
    <w:rsid w:val="00627E60"/>
    <w:rsid w:val="0063043D"/>
    <w:rsid w:val="00630C5E"/>
    <w:rsid w:val="00632219"/>
    <w:rsid w:val="006376C2"/>
    <w:rsid w:val="0064061C"/>
    <w:rsid w:val="00646DE5"/>
    <w:rsid w:val="0064738C"/>
    <w:rsid w:val="00650552"/>
    <w:rsid w:val="006521AF"/>
    <w:rsid w:val="00653343"/>
    <w:rsid w:val="00653434"/>
    <w:rsid w:val="00654072"/>
    <w:rsid w:val="00654498"/>
    <w:rsid w:val="006552DE"/>
    <w:rsid w:val="00656F90"/>
    <w:rsid w:val="00661049"/>
    <w:rsid w:val="006677CB"/>
    <w:rsid w:val="00667AC5"/>
    <w:rsid w:val="006701A0"/>
    <w:rsid w:val="00671F57"/>
    <w:rsid w:val="00672913"/>
    <w:rsid w:val="006760CB"/>
    <w:rsid w:val="00676FA6"/>
    <w:rsid w:val="006802FC"/>
    <w:rsid w:val="0068266B"/>
    <w:rsid w:val="00682DEC"/>
    <w:rsid w:val="00685275"/>
    <w:rsid w:val="00686486"/>
    <w:rsid w:val="00686EBD"/>
    <w:rsid w:val="006879F6"/>
    <w:rsid w:val="006905F9"/>
    <w:rsid w:val="00690FF9"/>
    <w:rsid w:val="00693FAF"/>
    <w:rsid w:val="00695E44"/>
    <w:rsid w:val="00696FD9"/>
    <w:rsid w:val="006A07F7"/>
    <w:rsid w:val="006A3C75"/>
    <w:rsid w:val="006A554B"/>
    <w:rsid w:val="006A5F3B"/>
    <w:rsid w:val="006A7B47"/>
    <w:rsid w:val="006A7DFE"/>
    <w:rsid w:val="006B02D6"/>
    <w:rsid w:val="006B218A"/>
    <w:rsid w:val="006B55A5"/>
    <w:rsid w:val="006B5CF6"/>
    <w:rsid w:val="006B7D05"/>
    <w:rsid w:val="006C1130"/>
    <w:rsid w:val="006C19CA"/>
    <w:rsid w:val="006C5071"/>
    <w:rsid w:val="006D2279"/>
    <w:rsid w:val="006D418C"/>
    <w:rsid w:val="006D595E"/>
    <w:rsid w:val="006F17FB"/>
    <w:rsid w:val="006F1D23"/>
    <w:rsid w:val="006F1DF0"/>
    <w:rsid w:val="006F1F05"/>
    <w:rsid w:val="006F2F22"/>
    <w:rsid w:val="006F411B"/>
    <w:rsid w:val="006F52AA"/>
    <w:rsid w:val="006F6347"/>
    <w:rsid w:val="006F71A5"/>
    <w:rsid w:val="006F74F3"/>
    <w:rsid w:val="006F75B8"/>
    <w:rsid w:val="006F7DB7"/>
    <w:rsid w:val="007000D5"/>
    <w:rsid w:val="0070082C"/>
    <w:rsid w:val="00705BCC"/>
    <w:rsid w:val="007064EE"/>
    <w:rsid w:val="00707CAF"/>
    <w:rsid w:val="007106F6"/>
    <w:rsid w:val="0071582C"/>
    <w:rsid w:val="00716A5D"/>
    <w:rsid w:val="00720600"/>
    <w:rsid w:val="0072358D"/>
    <w:rsid w:val="00724EAC"/>
    <w:rsid w:val="0072544C"/>
    <w:rsid w:val="0072601F"/>
    <w:rsid w:val="007264A7"/>
    <w:rsid w:val="0072706D"/>
    <w:rsid w:val="00727F0B"/>
    <w:rsid w:val="007339D7"/>
    <w:rsid w:val="00733BC9"/>
    <w:rsid w:val="007361FA"/>
    <w:rsid w:val="007366FE"/>
    <w:rsid w:val="007367AA"/>
    <w:rsid w:val="00736B5F"/>
    <w:rsid w:val="007409CF"/>
    <w:rsid w:val="00744364"/>
    <w:rsid w:val="007448BA"/>
    <w:rsid w:val="00746C25"/>
    <w:rsid w:val="007516A9"/>
    <w:rsid w:val="00751721"/>
    <w:rsid w:val="007553CC"/>
    <w:rsid w:val="00755A4E"/>
    <w:rsid w:val="00757214"/>
    <w:rsid w:val="00763743"/>
    <w:rsid w:val="00763B58"/>
    <w:rsid w:val="00764338"/>
    <w:rsid w:val="00764462"/>
    <w:rsid w:val="00764F84"/>
    <w:rsid w:val="00765C1F"/>
    <w:rsid w:val="007668DA"/>
    <w:rsid w:val="00770B5F"/>
    <w:rsid w:val="0077113E"/>
    <w:rsid w:val="0077315F"/>
    <w:rsid w:val="00774250"/>
    <w:rsid w:val="007745A2"/>
    <w:rsid w:val="007750FD"/>
    <w:rsid w:val="00775AB7"/>
    <w:rsid w:val="00775B9B"/>
    <w:rsid w:val="00776819"/>
    <w:rsid w:val="00781077"/>
    <w:rsid w:val="0078145B"/>
    <w:rsid w:val="00781596"/>
    <w:rsid w:val="00786623"/>
    <w:rsid w:val="00790204"/>
    <w:rsid w:val="0079600B"/>
    <w:rsid w:val="007A4D05"/>
    <w:rsid w:val="007A7A8C"/>
    <w:rsid w:val="007B0CE3"/>
    <w:rsid w:val="007B1E35"/>
    <w:rsid w:val="007B26A1"/>
    <w:rsid w:val="007B2AD2"/>
    <w:rsid w:val="007B2F6C"/>
    <w:rsid w:val="007B388F"/>
    <w:rsid w:val="007B5620"/>
    <w:rsid w:val="007C025F"/>
    <w:rsid w:val="007C2216"/>
    <w:rsid w:val="007C31B0"/>
    <w:rsid w:val="007C5CA2"/>
    <w:rsid w:val="007C7966"/>
    <w:rsid w:val="007D122D"/>
    <w:rsid w:val="007D144A"/>
    <w:rsid w:val="007D6962"/>
    <w:rsid w:val="007D703B"/>
    <w:rsid w:val="007D7682"/>
    <w:rsid w:val="007E0EAA"/>
    <w:rsid w:val="007E24FB"/>
    <w:rsid w:val="007E3923"/>
    <w:rsid w:val="007E66AF"/>
    <w:rsid w:val="007E68C3"/>
    <w:rsid w:val="007E6D0D"/>
    <w:rsid w:val="007E6D42"/>
    <w:rsid w:val="007E7B24"/>
    <w:rsid w:val="007F2BE9"/>
    <w:rsid w:val="007F2F92"/>
    <w:rsid w:val="007F3079"/>
    <w:rsid w:val="007F60E6"/>
    <w:rsid w:val="007F6941"/>
    <w:rsid w:val="007F73DF"/>
    <w:rsid w:val="008159BE"/>
    <w:rsid w:val="00816530"/>
    <w:rsid w:val="008200FE"/>
    <w:rsid w:val="00820321"/>
    <w:rsid w:val="00826CEE"/>
    <w:rsid w:val="008319F5"/>
    <w:rsid w:val="008330D4"/>
    <w:rsid w:val="00834D97"/>
    <w:rsid w:val="00835468"/>
    <w:rsid w:val="008369D0"/>
    <w:rsid w:val="008370D4"/>
    <w:rsid w:val="00841DFB"/>
    <w:rsid w:val="00843375"/>
    <w:rsid w:val="008440A5"/>
    <w:rsid w:val="008441A7"/>
    <w:rsid w:val="00845E55"/>
    <w:rsid w:val="00845F27"/>
    <w:rsid w:val="00847F02"/>
    <w:rsid w:val="008505FE"/>
    <w:rsid w:val="00852948"/>
    <w:rsid w:val="0085433A"/>
    <w:rsid w:val="00854BC3"/>
    <w:rsid w:val="00854E58"/>
    <w:rsid w:val="00863371"/>
    <w:rsid w:val="0086378A"/>
    <w:rsid w:val="00865625"/>
    <w:rsid w:val="00866B32"/>
    <w:rsid w:val="00871068"/>
    <w:rsid w:val="0087120C"/>
    <w:rsid w:val="008741DB"/>
    <w:rsid w:val="0087454C"/>
    <w:rsid w:val="00874910"/>
    <w:rsid w:val="00875102"/>
    <w:rsid w:val="008756E6"/>
    <w:rsid w:val="0087628D"/>
    <w:rsid w:val="0088119B"/>
    <w:rsid w:val="00883694"/>
    <w:rsid w:val="00887607"/>
    <w:rsid w:val="00891BB7"/>
    <w:rsid w:val="00894C50"/>
    <w:rsid w:val="00895271"/>
    <w:rsid w:val="00895D85"/>
    <w:rsid w:val="00895DD9"/>
    <w:rsid w:val="00896DA9"/>
    <w:rsid w:val="008A0A52"/>
    <w:rsid w:val="008A2208"/>
    <w:rsid w:val="008A3FE5"/>
    <w:rsid w:val="008A4567"/>
    <w:rsid w:val="008A61A4"/>
    <w:rsid w:val="008A6C14"/>
    <w:rsid w:val="008B1A94"/>
    <w:rsid w:val="008B3213"/>
    <w:rsid w:val="008B3DDB"/>
    <w:rsid w:val="008B609B"/>
    <w:rsid w:val="008B67D9"/>
    <w:rsid w:val="008B7AE7"/>
    <w:rsid w:val="008C1FDF"/>
    <w:rsid w:val="008C3643"/>
    <w:rsid w:val="008C4326"/>
    <w:rsid w:val="008C5AE0"/>
    <w:rsid w:val="008C5DB5"/>
    <w:rsid w:val="008C7AD2"/>
    <w:rsid w:val="008D1A16"/>
    <w:rsid w:val="008D1AED"/>
    <w:rsid w:val="008D3B0E"/>
    <w:rsid w:val="008D4499"/>
    <w:rsid w:val="008E14A1"/>
    <w:rsid w:val="008E78C5"/>
    <w:rsid w:val="008F1EFE"/>
    <w:rsid w:val="008F273C"/>
    <w:rsid w:val="008F275A"/>
    <w:rsid w:val="008F2CCD"/>
    <w:rsid w:val="008F384B"/>
    <w:rsid w:val="008F4EBC"/>
    <w:rsid w:val="008F6944"/>
    <w:rsid w:val="00900E46"/>
    <w:rsid w:val="009010D0"/>
    <w:rsid w:val="009039E3"/>
    <w:rsid w:val="00903F51"/>
    <w:rsid w:val="00903F76"/>
    <w:rsid w:val="00906E8C"/>
    <w:rsid w:val="00907336"/>
    <w:rsid w:val="009119E5"/>
    <w:rsid w:val="00912A5C"/>
    <w:rsid w:val="00912EE7"/>
    <w:rsid w:val="00913CF1"/>
    <w:rsid w:val="0091445B"/>
    <w:rsid w:val="00920A0D"/>
    <w:rsid w:val="009219EF"/>
    <w:rsid w:val="009236CC"/>
    <w:rsid w:val="00923CD1"/>
    <w:rsid w:val="00926787"/>
    <w:rsid w:val="00926D25"/>
    <w:rsid w:val="00927F08"/>
    <w:rsid w:val="00931465"/>
    <w:rsid w:val="00931826"/>
    <w:rsid w:val="00932CFA"/>
    <w:rsid w:val="009343AD"/>
    <w:rsid w:val="009353D7"/>
    <w:rsid w:val="00936CEB"/>
    <w:rsid w:val="00942211"/>
    <w:rsid w:val="009457D4"/>
    <w:rsid w:val="009459B3"/>
    <w:rsid w:val="0094752E"/>
    <w:rsid w:val="009479DA"/>
    <w:rsid w:val="00947CEC"/>
    <w:rsid w:val="00956A5F"/>
    <w:rsid w:val="0095779D"/>
    <w:rsid w:val="0096073C"/>
    <w:rsid w:val="00960A85"/>
    <w:rsid w:val="00960ACA"/>
    <w:rsid w:val="0096200B"/>
    <w:rsid w:val="00962946"/>
    <w:rsid w:val="00965F19"/>
    <w:rsid w:val="009708E8"/>
    <w:rsid w:val="0097298B"/>
    <w:rsid w:val="00973378"/>
    <w:rsid w:val="00973960"/>
    <w:rsid w:val="0097404A"/>
    <w:rsid w:val="009746FF"/>
    <w:rsid w:val="00976784"/>
    <w:rsid w:val="009778BE"/>
    <w:rsid w:val="009830E5"/>
    <w:rsid w:val="0098655E"/>
    <w:rsid w:val="00987226"/>
    <w:rsid w:val="00992272"/>
    <w:rsid w:val="00994879"/>
    <w:rsid w:val="00995367"/>
    <w:rsid w:val="00996CB7"/>
    <w:rsid w:val="009A12F5"/>
    <w:rsid w:val="009A7DAA"/>
    <w:rsid w:val="009B0B93"/>
    <w:rsid w:val="009B0C25"/>
    <w:rsid w:val="009B133A"/>
    <w:rsid w:val="009B3A2E"/>
    <w:rsid w:val="009C3575"/>
    <w:rsid w:val="009C3F22"/>
    <w:rsid w:val="009C46B4"/>
    <w:rsid w:val="009C539B"/>
    <w:rsid w:val="009C6668"/>
    <w:rsid w:val="009D0BA9"/>
    <w:rsid w:val="009D2B19"/>
    <w:rsid w:val="009E1021"/>
    <w:rsid w:val="009E1D6A"/>
    <w:rsid w:val="009E34A4"/>
    <w:rsid w:val="009E567D"/>
    <w:rsid w:val="009E61C3"/>
    <w:rsid w:val="009F0492"/>
    <w:rsid w:val="009F1E4C"/>
    <w:rsid w:val="009F20C1"/>
    <w:rsid w:val="009F3205"/>
    <w:rsid w:val="009F3B84"/>
    <w:rsid w:val="009F459B"/>
    <w:rsid w:val="009F515A"/>
    <w:rsid w:val="009F61D9"/>
    <w:rsid w:val="009F658A"/>
    <w:rsid w:val="009F66A4"/>
    <w:rsid w:val="00A010FF"/>
    <w:rsid w:val="00A0117A"/>
    <w:rsid w:val="00A10628"/>
    <w:rsid w:val="00A11F61"/>
    <w:rsid w:val="00A1296C"/>
    <w:rsid w:val="00A135BF"/>
    <w:rsid w:val="00A141C9"/>
    <w:rsid w:val="00A157D6"/>
    <w:rsid w:val="00A15C0E"/>
    <w:rsid w:val="00A16152"/>
    <w:rsid w:val="00A16817"/>
    <w:rsid w:val="00A16D5B"/>
    <w:rsid w:val="00A226AC"/>
    <w:rsid w:val="00A2613D"/>
    <w:rsid w:val="00A27B04"/>
    <w:rsid w:val="00A366DD"/>
    <w:rsid w:val="00A36A01"/>
    <w:rsid w:val="00A37D63"/>
    <w:rsid w:val="00A40326"/>
    <w:rsid w:val="00A40FA5"/>
    <w:rsid w:val="00A42C75"/>
    <w:rsid w:val="00A43C0A"/>
    <w:rsid w:val="00A44E00"/>
    <w:rsid w:val="00A465C7"/>
    <w:rsid w:val="00A50FDB"/>
    <w:rsid w:val="00A52A37"/>
    <w:rsid w:val="00A53D8C"/>
    <w:rsid w:val="00A55C59"/>
    <w:rsid w:val="00A562DF"/>
    <w:rsid w:val="00A60C40"/>
    <w:rsid w:val="00A62190"/>
    <w:rsid w:val="00A62BF3"/>
    <w:rsid w:val="00A64F83"/>
    <w:rsid w:val="00A662D0"/>
    <w:rsid w:val="00A7242F"/>
    <w:rsid w:val="00A73878"/>
    <w:rsid w:val="00A73DB2"/>
    <w:rsid w:val="00A73FD7"/>
    <w:rsid w:val="00A743FB"/>
    <w:rsid w:val="00A747F6"/>
    <w:rsid w:val="00A74B6E"/>
    <w:rsid w:val="00A771C6"/>
    <w:rsid w:val="00A80B1F"/>
    <w:rsid w:val="00A80DEC"/>
    <w:rsid w:val="00A841F1"/>
    <w:rsid w:val="00A842C2"/>
    <w:rsid w:val="00A85CD2"/>
    <w:rsid w:val="00A873FA"/>
    <w:rsid w:val="00A905D2"/>
    <w:rsid w:val="00A906ED"/>
    <w:rsid w:val="00A974DB"/>
    <w:rsid w:val="00A97F99"/>
    <w:rsid w:val="00AA050B"/>
    <w:rsid w:val="00AA1372"/>
    <w:rsid w:val="00AA18BE"/>
    <w:rsid w:val="00AA2FBA"/>
    <w:rsid w:val="00AA3AAC"/>
    <w:rsid w:val="00AA6A15"/>
    <w:rsid w:val="00AA6D37"/>
    <w:rsid w:val="00AB0329"/>
    <w:rsid w:val="00AB2864"/>
    <w:rsid w:val="00AB40F8"/>
    <w:rsid w:val="00AB635D"/>
    <w:rsid w:val="00AB6634"/>
    <w:rsid w:val="00AB6E65"/>
    <w:rsid w:val="00AB6E72"/>
    <w:rsid w:val="00AC2180"/>
    <w:rsid w:val="00AC53D7"/>
    <w:rsid w:val="00AC635A"/>
    <w:rsid w:val="00AC6702"/>
    <w:rsid w:val="00AC7D9C"/>
    <w:rsid w:val="00AC7DF3"/>
    <w:rsid w:val="00AD00D9"/>
    <w:rsid w:val="00AD0A58"/>
    <w:rsid w:val="00AD2DA3"/>
    <w:rsid w:val="00AD6FEB"/>
    <w:rsid w:val="00AD7423"/>
    <w:rsid w:val="00AE03B0"/>
    <w:rsid w:val="00AE3F8F"/>
    <w:rsid w:val="00AE4066"/>
    <w:rsid w:val="00AE70BB"/>
    <w:rsid w:val="00AF100C"/>
    <w:rsid w:val="00AF7D40"/>
    <w:rsid w:val="00B00178"/>
    <w:rsid w:val="00B003FB"/>
    <w:rsid w:val="00B00514"/>
    <w:rsid w:val="00B01082"/>
    <w:rsid w:val="00B02A9C"/>
    <w:rsid w:val="00B0341E"/>
    <w:rsid w:val="00B05979"/>
    <w:rsid w:val="00B069E1"/>
    <w:rsid w:val="00B06B49"/>
    <w:rsid w:val="00B108A5"/>
    <w:rsid w:val="00B11E04"/>
    <w:rsid w:val="00B1335E"/>
    <w:rsid w:val="00B13401"/>
    <w:rsid w:val="00B13F20"/>
    <w:rsid w:val="00B20AB6"/>
    <w:rsid w:val="00B21EF2"/>
    <w:rsid w:val="00B22B19"/>
    <w:rsid w:val="00B240B0"/>
    <w:rsid w:val="00B27A48"/>
    <w:rsid w:val="00B323A5"/>
    <w:rsid w:val="00B32FA5"/>
    <w:rsid w:val="00B3459B"/>
    <w:rsid w:val="00B349D7"/>
    <w:rsid w:val="00B34DDB"/>
    <w:rsid w:val="00B357EF"/>
    <w:rsid w:val="00B3783E"/>
    <w:rsid w:val="00B409ED"/>
    <w:rsid w:val="00B42CC6"/>
    <w:rsid w:val="00B4408D"/>
    <w:rsid w:val="00B448C0"/>
    <w:rsid w:val="00B4515D"/>
    <w:rsid w:val="00B460B3"/>
    <w:rsid w:val="00B46B01"/>
    <w:rsid w:val="00B47CCA"/>
    <w:rsid w:val="00B50EF1"/>
    <w:rsid w:val="00B512C1"/>
    <w:rsid w:val="00B51A4F"/>
    <w:rsid w:val="00B52898"/>
    <w:rsid w:val="00B52C19"/>
    <w:rsid w:val="00B5322D"/>
    <w:rsid w:val="00B548AA"/>
    <w:rsid w:val="00B57A17"/>
    <w:rsid w:val="00B61375"/>
    <w:rsid w:val="00B6163A"/>
    <w:rsid w:val="00B61FBD"/>
    <w:rsid w:val="00B63728"/>
    <w:rsid w:val="00B63E21"/>
    <w:rsid w:val="00B64697"/>
    <w:rsid w:val="00B648D1"/>
    <w:rsid w:val="00B66FA9"/>
    <w:rsid w:val="00B710BA"/>
    <w:rsid w:val="00B77A16"/>
    <w:rsid w:val="00B80613"/>
    <w:rsid w:val="00B831C3"/>
    <w:rsid w:val="00B84A6E"/>
    <w:rsid w:val="00B85F0D"/>
    <w:rsid w:val="00B86DE1"/>
    <w:rsid w:val="00B90AE8"/>
    <w:rsid w:val="00B91B4E"/>
    <w:rsid w:val="00B93328"/>
    <w:rsid w:val="00B94D98"/>
    <w:rsid w:val="00B95129"/>
    <w:rsid w:val="00B952FF"/>
    <w:rsid w:val="00B959E3"/>
    <w:rsid w:val="00B97BC4"/>
    <w:rsid w:val="00BA0AA3"/>
    <w:rsid w:val="00BA1D7A"/>
    <w:rsid w:val="00BA228B"/>
    <w:rsid w:val="00BA2DF4"/>
    <w:rsid w:val="00BA35BA"/>
    <w:rsid w:val="00BA3FE5"/>
    <w:rsid w:val="00BA5545"/>
    <w:rsid w:val="00BA7363"/>
    <w:rsid w:val="00BB0625"/>
    <w:rsid w:val="00BB1BD7"/>
    <w:rsid w:val="00BB33FC"/>
    <w:rsid w:val="00BB4B74"/>
    <w:rsid w:val="00BB7849"/>
    <w:rsid w:val="00BB7ED8"/>
    <w:rsid w:val="00BC1621"/>
    <w:rsid w:val="00BC16E8"/>
    <w:rsid w:val="00BC1F48"/>
    <w:rsid w:val="00BC2C5F"/>
    <w:rsid w:val="00BC37F7"/>
    <w:rsid w:val="00BC4109"/>
    <w:rsid w:val="00BC41BC"/>
    <w:rsid w:val="00BC514F"/>
    <w:rsid w:val="00BC6764"/>
    <w:rsid w:val="00BC7D89"/>
    <w:rsid w:val="00BD0235"/>
    <w:rsid w:val="00BD054F"/>
    <w:rsid w:val="00BD4734"/>
    <w:rsid w:val="00BD4873"/>
    <w:rsid w:val="00BD60E5"/>
    <w:rsid w:val="00BD7EAB"/>
    <w:rsid w:val="00BE20ED"/>
    <w:rsid w:val="00BE46BD"/>
    <w:rsid w:val="00BF0008"/>
    <w:rsid w:val="00BF06A7"/>
    <w:rsid w:val="00BF1E0D"/>
    <w:rsid w:val="00BF2455"/>
    <w:rsid w:val="00BF24D2"/>
    <w:rsid w:val="00BF3A21"/>
    <w:rsid w:val="00BF481B"/>
    <w:rsid w:val="00BF5F72"/>
    <w:rsid w:val="00C00246"/>
    <w:rsid w:val="00C012CE"/>
    <w:rsid w:val="00C01318"/>
    <w:rsid w:val="00C023D4"/>
    <w:rsid w:val="00C03AB4"/>
    <w:rsid w:val="00C03AEE"/>
    <w:rsid w:val="00C102BB"/>
    <w:rsid w:val="00C109D5"/>
    <w:rsid w:val="00C12EC2"/>
    <w:rsid w:val="00C21615"/>
    <w:rsid w:val="00C21934"/>
    <w:rsid w:val="00C22424"/>
    <w:rsid w:val="00C226CD"/>
    <w:rsid w:val="00C22EF9"/>
    <w:rsid w:val="00C247FE"/>
    <w:rsid w:val="00C259D0"/>
    <w:rsid w:val="00C31108"/>
    <w:rsid w:val="00C34D35"/>
    <w:rsid w:val="00C3516F"/>
    <w:rsid w:val="00C360F8"/>
    <w:rsid w:val="00C42B2E"/>
    <w:rsid w:val="00C43366"/>
    <w:rsid w:val="00C433F6"/>
    <w:rsid w:val="00C43E15"/>
    <w:rsid w:val="00C448D4"/>
    <w:rsid w:val="00C45004"/>
    <w:rsid w:val="00C45253"/>
    <w:rsid w:val="00C476C6"/>
    <w:rsid w:val="00C526B3"/>
    <w:rsid w:val="00C52F8D"/>
    <w:rsid w:val="00C53D59"/>
    <w:rsid w:val="00C54499"/>
    <w:rsid w:val="00C549DE"/>
    <w:rsid w:val="00C57073"/>
    <w:rsid w:val="00C57EED"/>
    <w:rsid w:val="00C607B5"/>
    <w:rsid w:val="00C61F97"/>
    <w:rsid w:val="00C62EF6"/>
    <w:rsid w:val="00C62F60"/>
    <w:rsid w:val="00C66450"/>
    <w:rsid w:val="00C666BB"/>
    <w:rsid w:val="00C70945"/>
    <w:rsid w:val="00C71307"/>
    <w:rsid w:val="00C745BD"/>
    <w:rsid w:val="00C7475A"/>
    <w:rsid w:val="00C74D3A"/>
    <w:rsid w:val="00C75C00"/>
    <w:rsid w:val="00C766B9"/>
    <w:rsid w:val="00C76AD5"/>
    <w:rsid w:val="00C7702D"/>
    <w:rsid w:val="00C8008B"/>
    <w:rsid w:val="00C82459"/>
    <w:rsid w:val="00C8297A"/>
    <w:rsid w:val="00C90385"/>
    <w:rsid w:val="00C95254"/>
    <w:rsid w:val="00C960CD"/>
    <w:rsid w:val="00CA39E7"/>
    <w:rsid w:val="00CA5771"/>
    <w:rsid w:val="00CB2DE6"/>
    <w:rsid w:val="00CC133B"/>
    <w:rsid w:val="00CC2F21"/>
    <w:rsid w:val="00CC3D26"/>
    <w:rsid w:val="00CC677E"/>
    <w:rsid w:val="00CC7478"/>
    <w:rsid w:val="00CC7F17"/>
    <w:rsid w:val="00CD0020"/>
    <w:rsid w:val="00CD0F14"/>
    <w:rsid w:val="00CD13C8"/>
    <w:rsid w:val="00CE3E35"/>
    <w:rsid w:val="00CE4A80"/>
    <w:rsid w:val="00CF28ED"/>
    <w:rsid w:val="00CF5986"/>
    <w:rsid w:val="00CF6ADA"/>
    <w:rsid w:val="00D00790"/>
    <w:rsid w:val="00D0099F"/>
    <w:rsid w:val="00D01B1A"/>
    <w:rsid w:val="00D025A5"/>
    <w:rsid w:val="00D02CB0"/>
    <w:rsid w:val="00D0682A"/>
    <w:rsid w:val="00D10317"/>
    <w:rsid w:val="00D11439"/>
    <w:rsid w:val="00D117A4"/>
    <w:rsid w:val="00D1189B"/>
    <w:rsid w:val="00D127A1"/>
    <w:rsid w:val="00D1532E"/>
    <w:rsid w:val="00D15872"/>
    <w:rsid w:val="00D160FA"/>
    <w:rsid w:val="00D170AA"/>
    <w:rsid w:val="00D21320"/>
    <w:rsid w:val="00D21F6D"/>
    <w:rsid w:val="00D22E08"/>
    <w:rsid w:val="00D236A3"/>
    <w:rsid w:val="00D24DC4"/>
    <w:rsid w:val="00D2542E"/>
    <w:rsid w:val="00D27949"/>
    <w:rsid w:val="00D30FDA"/>
    <w:rsid w:val="00D31BAE"/>
    <w:rsid w:val="00D31EB1"/>
    <w:rsid w:val="00D33FDE"/>
    <w:rsid w:val="00D35D32"/>
    <w:rsid w:val="00D35D40"/>
    <w:rsid w:val="00D379D4"/>
    <w:rsid w:val="00D40C09"/>
    <w:rsid w:val="00D42AC8"/>
    <w:rsid w:val="00D44533"/>
    <w:rsid w:val="00D44F00"/>
    <w:rsid w:val="00D4552B"/>
    <w:rsid w:val="00D466F6"/>
    <w:rsid w:val="00D500BF"/>
    <w:rsid w:val="00D51006"/>
    <w:rsid w:val="00D51568"/>
    <w:rsid w:val="00D5447F"/>
    <w:rsid w:val="00D55A82"/>
    <w:rsid w:val="00D616D6"/>
    <w:rsid w:val="00D65940"/>
    <w:rsid w:val="00D65DE4"/>
    <w:rsid w:val="00D67240"/>
    <w:rsid w:val="00D67431"/>
    <w:rsid w:val="00D70DC7"/>
    <w:rsid w:val="00D741FE"/>
    <w:rsid w:val="00D74BB9"/>
    <w:rsid w:val="00D762DE"/>
    <w:rsid w:val="00D765C0"/>
    <w:rsid w:val="00D76DA1"/>
    <w:rsid w:val="00D7708E"/>
    <w:rsid w:val="00D7735A"/>
    <w:rsid w:val="00D81DD7"/>
    <w:rsid w:val="00D82718"/>
    <w:rsid w:val="00D82BF8"/>
    <w:rsid w:val="00D83828"/>
    <w:rsid w:val="00D838AB"/>
    <w:rsid w:val="00D849CD"/>
    <w:rsid w:val="00D8543E"/>
    <w:rsid w:val="00D85C87"/>
    <w:rsid w:val="00D87454"/>
    <w:rsid w:val="00D909F1"/>
    <w:rsid w:val="00D92735"/>
    <w:rsid w:val="00D92A61"/>
    <w:rsid w:val="00D92B83"/>
    <w:rsid w:val="00D95941"/>
    <w:rsid w:val="00D95B01"/>
    <w:rsid w:val="00DA2EC1"/>
    <w:rsid w:val="00DA4177"/>
    <w:rsid w:val="00DA486E"/>
    <w:rsid w:val="00DB2A50"/>
    <w:rsid w:val="00DB3595"/>
    <w:rsid w:val="00DB6D9D"/>
    <w:rsid w:val="00DB6F8E"/>
    <w:rsid w:val="00DB74DA"/>
    <w:rsid w:val="00DC2A97"/>
    <w:rsid w:val="00DC2C7C"/>
    <w:rsid w:val="00DC3AF9"/>
    <w:rsid w:val="00DC6812"/>
    <w:rsid w:val="00DD36F6"/>
    <w:rsid w:val="00DD4B24"/>
    <w:rsid w:val="00DD54E3"/>
    <w:rsid w:val="00DD5924"/>
    <w:rsid w:val="00DD6276"/>
    <w:rsid w:val="00DD7E4E"/>
    <w:rsid w:val="00DE0E93"/>
    <w:rsid w:val="00DE272E"/>
    <w:rsid w:val="00DE32F2"/>
    <w:rsid w:val="00DE333A"/>
    <w:rsid w:val="00DE40EF"/>
    <w:rsid w:val="00DE4545"/>
    <w:rsid w:val="00DE6BBF"/>
    <w:rsid w:val="00DF0AE1"/>
    <w:rsid w:val="00DF760A"/>
    <w:rsid w:val="00E023CF"/>
    <w:rsid w:val="00E053ED"/>
    <w:rsid w:val="00E05FAC"/>
    <w:rsid w:val="00E11549"/>
    <w:rsid w:val="00E130EB"/>
    <w:rsid w:val="00E1503A"/>
    <w:rsid w:val="00E159BF"/>
    <w:rsid w:val="00E20E62"/>
    <w:rsid w:val="00E20F54"/>
    <w:rsid w:val="00E21122"/>
    <w:rsid w:val="00E262B5"/>
    <w:rsid w:val="00E262F6"/>
    <w:rsid w:val="00E26B53"/>
    <w:rsid w:val="00E31C62"/>
    <w:rsid w:val="00E3388C"/>
    <w:rsid w:val="00E366A1"/>
    <w:rsid w:val="00E40109"/>
    <w:rsid w:val="00E41555"/>
    <w:rsid w:val="00E430D2"/>
    <w:rsid w:val="00E47917"/>
    <w:rsid w:val="00E525E0"/>
    <w:rsid w:val="00E527C3"/>
    <w:rsid w:val="00E5289D"/>
    <w:rsid w:val="00E53A00"/>
    <w:rsid w:val="00E57C60"/>
    <w:rsid w:val="00E622C1"/>
    <w:rsid w:val="00E62E5F"/>
    <w:rsid w:val="00E674CD"/>
    <w:rsid w:val="00E67A62"/>
    <w:rsid w:val="00E764D6"/>
    <w:rsid w:val="00E77F2B"/>
    <w:rsid w:val="00E77FCB"/>
    <w:rsid w:val="00E80E81"/>
    <w:rsid w:val="00E8179E"/>
    <w:rsid w:val="00E82072"/>
    <w:rsid w:val="00E86DD6"/>
    <w:rsid w:val="00E86F55"/>
    <w:rsid w:val="00E8777E"/>
    <w:rsid w:val="00E8799A"/>
    <w:rsid w:val="00E90485"/>
    <w:rsid w:val="00E9102C"/>
    <w:rsid w:val="00E9260D"/>
    <w:rsid w:val="00E9274A"/>
    <w:rsid w:val="00E96072"/>
    <w:rsid w:val="00E96F14"/>
    <w:rsid w:val="00E97053"/>
    <w:rsid w:val="00EA13B1"/>
    <w:rsid w:val="00EA1697"/>
    <w:rsid w:val="00EA3756"/>
    <w:rsid w:val="00EA3A8C"/>
    <w:rsid w:val="00EA7A59"/>
    <w:rsid w:val="00EB3EAD"/>
    <w:rsid w:val="00EB445E"/>
    <w:rsid w:val="00EB5FAB"/>
    <w:rsid w:val="00EB7143"/>
    <w:rsid w:val="00EC0D9E"/>
    <w:rsid w:val="00EC13CC"/>
    <w:rsid w:val="00EC148B"/>
    <w:rsid w:val="00EC3729"/>
    <w:rsid w:val="00EC5660"/>
    <w:rsid w:val="00EC5ABF"/>
    <w:rsid w:val="00EC5E1D"/>
    <w:rsid w:val="00EC6CAF"/>
    <w:rsid w:val="00EC770C"/>
    <w:rsid w:val="00EC7DD6"/>
    <w:rsid w:val="00ED0B94"/>
    <w:rsid w:val="00ED18D9"/>
    <w:rsid w:val="00ED1C07"/>
    <w:rsid w:val="00ED2414"/>
    <w:rsid w:val="00EE2433"/>
    <w:rsid w:val="00EE2DF1"/>
    <w:rsid w:val="00EE41CB"/>
    <w:rsid w:val="00EE4723"/>
    <w:rsid w:val="00EE5DBD"/>
    <w:rsid w:val="00EE6565"/>
    <w:rsid w:val="00EF064C"/>
    <w:rsid w:val="00EF0E19"/>
    <w:rsid w:val="00EF1311"/>
    <w:rsid w:val="00EF2C85"/>
    <w:rsid w:val="00EF45A4"/>
    <w:rsid w:val="00EF4D48"/>
    <w:rsid w:val="00EF6CA6"/>
    <w:rsid w:val="00EF7454"/>
    <w:rsid w:val="00EF7B57"/>
    <w:rsid w:val="00F00B0B"/>
    <w:rsid w:val="00F02861"/>
    <w:rsid w:val="00F0407D"/>
    <w:rsid w:val="00F07110"/>
    <w:rsid w:val="00F07CE7"/>
    <w:rsid w:val="00F12316"/>
    <w:rsid w:val="00F12B77"/>
    <w:rsid w:val="00F1419D"/>
    <w:rsid w:val="00F207AB"/>
    <w:rsid w:val="00F213FC"/>
    <w:rsid w:val="00F22DD7"/>
    <w:rsid w:val="00F24C82"/>
    <w:rsid w:val="00F2589D"/>
    <w:rsid w:val="00F30712"/>
    <w:rsid w:val="00F31325"/>
    <w:rsid w:val="00F32405"/>
    <w:rsid w:val="00F32A79"/>
    <w:rsid w:val="00F32FE6"/>
    <w:rsid w:val="00F343ED"/>
    <w:rsid w:val="00F360C8"/>
    <w:rsid w:val="00F404CC"/>
    <w:rsid w:val="00F40584"/>
    <w:rsid w:val="00F41BDD"/>
    <w:rsid w:val="00F4260A"/>
    <w:rsid w:val="00F4344E"/>
    <w:rsid w:val="00F4392D"/>
    <w:rsid w:val="00F4635B"/>
    <w:rsid w:val="00F50E7C"/>
    <w:rsid w:val="00F513BC"/>
    <w:rsid w:val="00F518D2"/>
    <w:rsid w:val="00F5206B"/>
    <w:rsid w:val="00F5551A"/>
    <w:rsid w:val="00F55B47"/>
    <w:rsid w:val="00F56A20"/>
    <w:rsid w:val="00F5755D"/>
    <w:rsid w:val="00F60A16"/>
    <w:rsid w:val="00F706A8"/>
    <w:rsid w:val="00F75CD2"/>
    <w:rsid w:val="00F777C2"/>
    <w:rsid w:val="00F80224"/>
    <w:rsid w:val="00F804F9"/>
    <w:rsid w:val="00F81155"/>
    <w:rsid w:val="00F8195D"/>
    <w:rsid w:val="00F83BAB"/>
    <w:rsid w:val="00F83E4D"/>
    <w:rsid w:val="00F87BF6"/>
    <w:rsid w:val="00F87CAB"/>
    <w:rsid w:val="00F912B8"/>
    <w:rsid w:val="00F95B49"/>
    <w:rsid w:val="00F97AED"/>
    <w:rsid w:val="00FA0607"/>
    <w:rsid w:val="00FA1A01"/>
    <w:rsid w:val="00FA34E8"/>
    <w:rsid w:val="00FA3D53"/>
    <w:rsid w:val="00FB0645"/>
    <w:rsid w:val="00FB1B8E"/>
    <w:rsid w:val="00FB1CDE"/>
    <w:rsid w:val="00FB20CE"/>
    <w:rsid w:val="00FB2B6E"/>
    <w:rsid w:val="00FB2FA6"/>
    <w:rsid w:val="00FB44B5"/>
    <w:rsid w:val="00FB7794"/>
    <w:rsid w:val="00FC09BA"/>
    <w:rsid w:val="00FC1551"/>
    <w:rsid w:val="00FC2CB0"/>
    <w:rsid w:val="00FC67FD"/>
    <w:rsid w:val="00FC6E8E"/>
    <w:rsid w:val="00FD36EA"/>
    <w:rsid w:val="00FD4BEB"/>
    <w:rsid w:val="00FD7331"/>
    <w:rsid w:val="00FE012A"/>
    <w:rsid w:val="00FE6C0B"/>
    <w:rsid w:val="00FE7DE8"/>
    <w:rsid w:val="00FF4852"/>
    <w:rsid w:val="00FF5546"/>
    <w:rsid w:val="00FF5D57"/>
    <w:rsid w:val="00FF6BCC"/>
    <w:rsid w:val="00FF6E53"/>
    <w:rsid w:val="022074B1"/>
    <w:rsid w:val="02B50111"/>
    <w:rsid w:val="04D2645F"/>
    <w:rsid w:val="05F633B7"/>
    <w:rsid w:val="061169ED"/>
    <w:rsid w:val="07200B4F"/>
    <w:rsid w:val="08312E2C"/>
    <w:rsid w:val="087757A8"/>
    <w:rsid w:val="09372E76"/>
    <w:rsid w:val="0A6C7C49"/>
    <w:rsid w:val="0B2E020D"/>
    <w:rsid w:val="0B3472F8"/>
    <w:rsid w:val="0C344A88"/>
    <w:rsid w:val="0C4E4BA2"/>
    <w:rsid w:val="0D653C5B"/>
    <w:rsid w:val="0F91202A"/>
    <w:rsid w:val="10A34BFE"/>
    <w:rsid w:val="10C06BA6"/>
    <w:rsid w:val="10EC1976"/>
    <w:rsid w:val="13004D61"/>
    <w:rsid w:val="13463B66"/>
    <w:rsid w:val="15631AD4"/>
    <w:rsid w:val="16544574"/>
    <w:rsid w:val="16AF6782"/>
    <w:rsid w:val="17385430"/>
    <w:rsid w:val="17BE4CB0"/>
    <w:rsid w:val="19CA60BB"/>
    <w:rsid w:val="1ACE7747"/>
    <w:rsid w:val="1AF85403"/>
    <w:rsid w:val="1B2742FF"/>
    <w:rsid w:val="1F412AD3"/>
    <w:rsid w:val="217B3AFE"/>
    <w:rsid w:val="228361E4"/>
    <w:rsid w:val="2361035F"/>
    <w:rsid w:val="23875AF1"/>
    <w:rsid w:val="23D61A38"/>
    <w:rsid w:val="25234D63"/>
    <w:rsid w:val="272F5EAE"/>
    <w:rsid w:val="2813707B"/>
    <w:rsid w:val="28792247"/>
    <w:rsid w:val="28891615"/>
    <w:rsid w:val="28E05122"/>
    <w:rsid w:val="28E2121A"/>
    <w:rsid w:val="28F24A7E"/>
    <w:rsid w:val="2A2F21FB"/>
    <w:rsid w:val="2AF71A2D"/>
    <w:rsid w:val="2C893AB4"/>
    <w:rsid w:val="2DAF6932"/>
    <w:rsid w:val="2EF86BFD"/>
    <w:rsid w:val="30FA2F9E"/>
    <w:rsid w:val="31180DDD"/>
    <w:rsid w:val="31884562"/>
    <w:rsid w:val="31961813"/>
    <w:rsid w:val="33CF694A"/>
    <w:rsid w:val="379637CE"/>
    <w:rsid w:val="3C653C4C"/>
    <w:rsid w:val="3D546555"/>
    <w:rsid w:val="40443C5D"/>
    <w:rsid w:val="409E2D31"/>
    <w:rsid w:val="418C24DE"/>
    <w:rsid w:val="41A1365E"/>
    <w:rsid w:val="43B54D50"/>
    <w:rsid w:val="441F380E"/>
    <w:rsid w:val="4455757A"/>
    <w:rsid w:val="44F3200D"/>
    <w:rsid w:val="45B07F29"/>
    <w:rsid w:val="46612135"/>
    <w:rsid w:val="46A43C96"/>
    <w:rsid w:val="46B13137"/>
    <w:rsid w:val="476379B2"/>
    <w:rsid w:val="47870865"/>
    <w:rsid w:val="4945719B"/>
    <w:rsid w:val="4A3023D5"/>
    <w:rsid w:val="4D0C7402"/>
    <w:rsid w:val="4E1C42DE"/>
    <w:rsid w:val="4E952414"/>
    <w:rsid w:val="505274F3"/>
    <w:rsid w:val="51F13AD3"/>
    <w:rsid w:val="529D0EFA"/>
    <w:rsid w:val="538364F8"/>
    <w:rsid w:val="540826F9"/>
    <w:rsid w:val="544E169B"/>
    <w:rsid w:val="54AD787B"/>
    <w:rsid w:val="54F53CA3"/>
    <w:rsid w:val="558372D7"/>
    <w:rsid w:val="569F192E"/>
    <w:rsid w:val="586E6F67"/>
    <w:rsid w:val="592011C1"/>
    <w:rsid w:val="59B45B02"/>
    <w:rsid w:val="5A5E23C8"/>
    <w:rsid w:val="5B2A5BF7"/>
    <w:rsid w:val="5B3832CB"/>
    <w:rsid w:val="5D1E095A"/>
    <w:rsid w:val="5D771551"/>
    <w:rsid w:val="5DB95DF8"/>
    <w:rsid w:val="5F2C5A2B"/>
    <w:rsid w:val="5FC73B94"/>
    <w:rsid w:val="5FFE64A8"/>
    <w:rsid w:val="601E2073"/>
    <w:rsid w:val="60580512"/>
    <w:rsid w:val="60E13429"/>
    <w:rsid w:val="61915C6E"/>
    <w:rsid w:val="61DE011B"/>
    <w:rsid w:val="63CE5C88"/>
    <w:rsid w:val="65906D42"/>
    <w:rsid w:val="663A6B91"/>
    <w:rsid w:val="667D7FE9"/>
    <w:rsid w:val="66A00E53"/>
    <w:rsid w:val="682D2927"/>
    <w:rsid w:val="6AB46DC1"/>
    <w:rsid w:val="6C336899"/>
    <w:rsid w:val="6C565905"/>
    <w:rsid w:val="6EEF25D2"/>
    <w:rsid w:val="71D93127"/>
    <w:rsid w:val="724D02B1"/>
    <w:rsid w:val="72805304"/>
    <w:rsid w:val="7522739C"/>
    <w:rsid w:val="761C50EF"/>
    <w:rsid w:val="7692010D"/>
    <w:rsid w:val="769A799B"/>
    <w:rsid w:val="77276508"/>
    <w:rsid w:val="79236C2F"/>
    <w:rsid w:val="794A2942"/>
    <w:rsid w:val="79975B54"/>
    <w:rsid w:val="79E806A4"/>
    <w:rsid w:val="7BC82417"/>
    <w:rsid w:val="7D770174"/>
    <w:rsid w:val="7F93637E"/>
    <w:rsid w:val="FD78CF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nhideWhenUsed="0" w:uiPriority="0" w:semiHidden="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643" w:firstLineChars="200"/>
      <w:jc w:val="both"/>
    </w:pPr>
    <w:rPr>
      <w:rFonts w:ascii="Times New Roman" w:hAnsi="Times New Roman" w:eastAsia="宋体" w:cstheme="minorBidi"/>
      <w:kern w:val="2"/>
      <w:sz w:val="24"/>
      <w:szCs w:val="24"/>
      <w:lang w:val="en-US" w:eastAsia="zh-CN" w:bidi="ar-SA"/>
    </w:rPr>
  </w:style>
  <w:style w:type="paragraph" w:styleId="2">
    <w:name w:val="heading 1"/>
    <w:basedOn w:val="1"/>
    <w:next w:val="1"/>
    <w:link w:val="35"/>
    <w:qFormat/>
    <w:uiPriority w:val="9"/>
    <w:pPr>
      <w:widowControl w:val="0"/>
      <w:numPr>
        <w:ilvl w:val="0"/>
        <w:numId w:val="1"/>
      </w:numPr>
      <w:spacing w:line="590" w:lineRule="exact"/>
      <w:ind w:left="0" w:firstLine="200" w:firstLineChars="200"/>
      <w:outlineLvl w:val="0"/>
    </w:pPr>
    <w:rPr>
      <w:rFonts w:ascii="Times New Roman" w:hAnsi="Times New Roman" w:eastAsia="黑体" w:cs="Times New Roman"/>
      <w:kern w:val="2"/>
      <w:sz w:val="32"/>
      <w:szCs w:val="32"/>
      <w:lang w:val="en-US" w:eastAsia="zh-CN" w:bidi="ar-SA"/>
    </w:rPr>
  </w:style>
  <w:style w:type="paragraph" w:styleId="3">
    <w:name w:val="heading 2"/>
    <w:basedOn w:val="1"/>
    <w:next w:val="1"/>
    <w:link w:val="36"/>
    <w:unhideWhenUsed/>
    <w:qFormat/>
    <w:uiPriority w:val="9"/>
    <w:pPr>
      <w:widowControl w:val="0"/>
      <w:numPr>
        <w:ilvl w:val="1"/>
        <w:numId w:val="1"/>
      </w:numPr>
      <w:autoSpaceDE w:val="0"/>
      <w:autoSpaceDN w:val="0"/>
      <w:adjustRightInd w:val="0"/>
      <w:spacing w:line="590" w:lineRule="exact"/>
      <w:ind w:left="0" w:firstLine="200" w:firstLineChars="200"/>
      <w:outlineLvl w:val="1"/>
    </w:pPr>
    <w:rPr>
      <w:rFonts w:ascii="Times New Roman" w:hAnsi="Times New Roman" w:eastAsia="楷体_GB2312" w:cs="Times New Roman"/>
      <w:bCs/>
      <w:kern w:val="2"/>
      <w:sz w:val="32"/>
      <w:szCs w:val="32"/>
      <w:lang w:val="en-US" w:eastAsia="zh-CN" w:bidi="ar-SA"/>
    </w:rPr>
  </w:style>
  <w:style w:type="paragraph" w:styleId="4">
    <w:name w:val="heading 3"/>
    <w:next w:val="5"/>
    <w:link w:val="37"/>
    <w:unhideWhenUsed/>
    <w:qFormat/>
    <w:uiPriority w:val="9"/>
    <w:pPr>
      <w:widowControl w:val="0"/>
      <w:numPr>
        <w:ilvl w:val="2"/>
        <w:numId w:val="1"/>
      </w:numPr>
      <w:spacing w:line="590" w:lineRule="exact"/>
      <w:ind w:left="0" w:firstLine="200" w:firstLineChars="200"/>
      <w:jc w:val="both"/>
      <w:outlineLvl w:val="2"/>
    </w:pPr>
    <w:rPr>
      <w:rFonts w:ascii="Times New Roman" w:hAnsi="Times New Roman" w:eastAsia="仿宋_GB2312" w:cs="Times New Roman"/>
      <w:bCs/>
      <w:kern w:val="2"/>
      <w:sz w:val="32"/>
      <w:szCs w:val="32"/>
      <w:lang w:val="en-US" w:eastAsia="zh-CN" w:bidi="ar-SA"/>
    </w:rPr>
  </w:style>
  <w:style w:type="paragraph" w:styleId="6">
    <w:name w:val="heading 4"/>
    <w:next w:val="5"/>
    <w:link w:val="38"/>
    <w:unhideWhenUsed/>
    <w:qFormat/>
    <w:uiPriority w:val="9"/>
    <w:pPr>
      <w:widowControl w:val="0"/>
      <w:numPr>
        <w:ilvl w:val="3"/>
        <w:numId w:val="1"/>
      </w:numPr>
      <w:autoSpaceDE w:val="0"/>
      <w:autoSpaceDN w:val="0"/>
      <w:adjustRightInd w:val="0"/>
      <w:spacing w:line="590" w:lineRule="exact"/>
      <w:ind w:left="0" w:firstLine="200" w:firstLineChars="200"/>
      <w:outlineLvl w:val="3"/>
    </w:pPr>
    <w:rPr>
      <w:rFonts w:ascii="Times New Roman" w:hAnsi="Times New Roman" w:eastAsia="仿宋_GB2312" w:cs="Times New Roman"/>
      <w:kern w:val="2"/>
      <w:sz w:val="32"/>
      <w:szCs w:val="32"/>
      <w:lang w:val="en-US" w:eastAsia="zh-CN" w:bidi="ar-SA"/>
    </w:rPr>
  </w:style>
  <w:style w:type="paragraph" w:styleId="7">
    <w:name w:val="heading 5"/>
    <w:next w:val="5"/>
    <w:link w:val="39"/>
    <w:unhideWhenUsed/>
    <w:qFormat/>
    <w:uiPriority w:val="9"/>
    <w:pPr>
      <w:spacing w:line="590" w:lineRule="exact"/>
      <w:ind w:firstLine="200" w:firstLineChars="200"/>
      <w:outlineLvl w:val="4"/>
    </w:pPr>
    <w:rPr>
      <w:rFonts w:ascii="Times New Roman" w:hAnsi="Times New Roman" w:eastAsia="仿宋_GB2312" w:cs="Times New Roman"/>
      <w:kern w:val="2"/>
      <w:sz w:val="32"/>
      <w:szCs w:val="32"/>
      <w:lang w:val="en-US" w:eastAsia="zh-CN" w:bidi="ar-SA"/>
    </w:rPr>
  </w:style>
  <w:style w:type="paragraph" w:styleId="8">
    <w:name w:val="heading 6"/>
    <w:next w:val="5"/>
    <w:link w:val="41"/>
    <w:unhideWhenUsed/>
    <w:qFormat/>
    <w:uiPriority w:val="9"/>
    <w:pPr>
      <w:spacing w:line="590" w:lineRule="exact"/>
      <w:ind w:firstLine="200" w:firstLineChars="200"/>
      <w:outlineLvl w:val="5"/>
    </w:pPr>
    <w:rPr>
      <w:rFonts w:ascii="Times New Roman" w:hAnsi="Times New Roman" w:eastAsia="仿宋_GB2312" w:cs="宋体"/>
      <w:kern w:val="2"/>
      <w:sz w:val="32"/>
      <w:szCs w:val="32"/>
      <w:lang w:val="en-US" w:eastAsia="zh-CN" w:bidi="ar-SA"/>
    </w:rPr>
  </w:style>
  <w:style w:type="paragraph" w:styleId="9">
    <w:name w:val="heading 7"/>
    <w:next w:val="5"/>
    <w:link w:val="50"/>
    <w:unhideWhenUsed/>
    <w:qFormat/>
    <w:uiPriority w:val="9"/>
    <w:pPr>
      <w:keepNext/>
      <w:keepLines/>
      <w:spacing w:line="590" w:lineRule="exact"/>
      <w:ind w:firstLine="200" w:firstLineChars="200"/>
      <w:outlineLvl w:val="6"/>
    </w:pPr>
    <w:rPr>
      <w:rFonts w:ascii="Times New Roman" w:hAnsi="Times New Roman" w:eastAsia="仿宋_GB2312" w:cs="Times New Roman"/>
      <w:bCs/>
      <w:kern w:val="2"/>
      <w:sz w:val="32"/>
      <w:szCs w:val="24"/>
      <w:lang w:val="en-US" w:eastAsia="zh-CN" w:bidi="ar-SA"/>
    </w:rPr>
  </w:style>
  <w:style w:type="paragraph" w:styleId="10">
    <w:name w:val="heading 8"/>
    <w:next w:val="5"/>
    <w:link w:val="51"/>
    <w:unhideWhenUsed/>
    <w:qFormat/>
    <w:uiPriority w:val="9"/>
    <w:pPr>
      <w:keepNext/>
      <w:keepLines/>
      <w:spacing w:line="590" w:lineRule="exact"/>
      <w:ind w:firstLine="200" w:firstLineChars="200"/>
      <w:outlineLvl w:val="7"/>
    </w:pPr>
    <w:rPr>
      <w:rFonts w:ascii="Times New Roman" w:hAnsi="Times New Roman" w:eastAsia="仿宋_GB2312" w:cstheme="majorBidi"/>
      <w:kern w:val="2"/>
      <w:sz w:val="32"/>
      <w:szCs w:val="24"/>
      <w:lang w:val="en-US" w:eastAsia="zh-CN" w:bidi="ar-SA"/>
    </w:rPr>
  </w:style>
  <w:style w:type="paragraph" w:styleId="11">
    <w:name w:val="heading 9"/>
    <w:next w:val="5"/>
    <w:link w:val="52"/>
    <w:semiHidden/>
    <w:unhideWhenUsed/>
    <w:qFormat/>
    <w:uiPriority w:val="9"/>
    <w:pPr>
      <w:keepNext/>
      <w:keepLines/>
      <w:spacing w:line="590" w:lineRule="exact"/>
      <w:ind w:firstLine="200" w:firstLineChars="200"/>
      <w:outlineLvl w:val="8"/>
    </w:pPr>
    <w:rPr>
      <w:rFonts w:ascii="Times New Roman" w:hAnsi="Times New Roman" w:eastAsia="仿宋_GB2312" w:cstheme="majorBidi"/>
      <w:kern w:val="2"/>
      <w:sz w:val="32"/>
      <w:szCs w:val="21"/>
      <w:lang w:val="en-US" w:eastAsia="zh-CN" w:bidi="ar-SA"/>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customStyle="1" w:styleId="5">
    <w:name w:val="我的正文"/>
    <w:link w:val="49"/>
    <w:qFormat/>
    <w:uiPriority w:val="0"/>
    <w:pPr>
      <w:widowControl w:val="0"/>
      <w:snapToGrid w:val="0"/>
      <w:spacing w:line="590" w:lineRule="exact"/>
      <w:ind w:firstLine="200" w:firstLineChars="200"/>
      <w:jc w:val="both"/>
    </w:pPr>
    <w:rPr>
      <w:rFonts w:ascii="Times New Roman" w:hAnsi="Times New Roman" w:eastAsia="仿宋_GB2312" w:cs="Times New Roman"/>
      <w:kern w:val="2"/>
      <w:sz w:val="32"/>
      <w:szCs w:val="24"/>
      <w:lang w:val="en-US" w:eastAsia="zh-CN" w:bidi="ar-SA"/>
    </w:rPr>
  </w:style>
  <w:style w:type="paragraph" w:styleId="12">
    <w:name w:val="toc 7"/>
    <w:basedOn w:val="1"/>
    <w:next w:val="1"/>
    <w:autoRedefine/>
    <w:unhideWhenUsed/>
    <w:qFormat/>
    <w:uiPriority w:val="39"/>
    <w:pPr>
      <w:ind w:left="2520" w:leftChars="1200"/>
    </w:pPr>
  </w:style>
  <w:style w:type="paragraph" w:styleId="13">
    <w:name w:val="caption"/>
    <w:next w:val="1"/>
    <w:unhideWhenUsed/>
    <w:qFormat/>
    <w:uiPriority w:val="35"/>
    <w:pPr>
      <w:spacing w:before="50" w:beforeLines="50" w:after="50" w:afterLines="50"/>
      <w:jc w:val="center"/>
    </w:pPr>
    <w:rPr>
      <w:rFonts w:ascii="Times New Roman" w:hAnsi="Times New Roman" w:eastAsia="黑体" w:cstheme="majorBidi"/>
      <w:kern w:val="2"/>
      <w:sz w:val="24"/>
      <w:szCs w:val="20"/>
      <w:lang w:val="en-US" w:eastAsia="zh-CN" w:bidi="ar-SA"/>
    </w:rPr>
  </w:style>
  <w:style w:type="paragraph" w:styleId="14">
    <w:name w:val="Body Text"/>
    <w:basedOn w:val="1"/>
    <w:unhideWhenUsed/>
    <w:qFormat/>
    <w:uiPriority w:val="99"/>
    <w:pPr>
      <w:spacing w:line="360" w:lineRule="auto"/>
      <w:ind w:firstLine="420" w:firstLineChars="200"/>
    </w:pPr>
    <w:rPr>
      <w:rFonts w:ascii="Times New Roman" w:hAnsi="Times New Roman" w:cstheme="minorBidi"/>
    </w:rPr>
  </w:style>
  <w:style w:type="paragraph" w:styleId="15">
    <w:name w:val="toc 5"/>
    <w:basedOn w:val="1"/>
    <w:next w:val="1"/>
    <w:autoRedefine/>
    <w:unhideWhenUsed/>
    <w:qFormat/>
    <w:uiPriority w:val="39"/>
    <w:pPr>
      <w:ind w:left="1680" w:leftChars="800"/>
    </w:pPr>
  </w:style>
  <w:style w:type="paragraph" w:styleId="16">
    <w:name w:val="toc 3"/>
    <w:basedOn w:val="1"/>
    <w:next w:val="1"/>
    <w:autoRedefine/>
    <w:unhideWhenUsed/>
    <w:qFormat/>
    <w:uiPriority w:val="39"/>
    <w:pPr>
      <w:tabs>
        <w:tab w:val="right" w:leader="dot" w:pos="8222"/>
      </w:tabs>
      <w:spacing w:line="590" w:lineRule="exact"/>
      <w:ind w:left="840" w:leftChars="400" w:right="840" w:rightChars="400"/>
    </w:pPr>
    <w:rPr>
      <w:rFonts w:ascii="Times New Roman" w:hAnsi="Times New Roman" w:eastAsia="仿宋_GB2312"/>
      <w:sz w:val="24"/>
      <w:szCs w:val="24"/>
    </w:rPr>
  </w:style>
  <w:style w:type="paragraph" w:styleId="17">
    <w:name w:val="toc 8"/>
    <w:basedOn w:val="1"/>
    <w:next w:val="1"/>
    <w:autoRedefine/>
    <w:unhideWhenUsed/>
    <w:qFormat/>
    <w:uiPriority w:val="39"/>
    <w:pPr>
      <w:ind w:left="2940" w:leftChars="1400"/>
    </w:pPr>
  </w:style>
  <w:style w:type="paragraph" w:styleId="18">
    <w:name w:val="footer"/>
    <w:basedOn w:val="1"/>
    <w:link w:val="55"/>
    <w:unhideWhenUsed/>
    <w:qFormat/>
    <w:uiPriority w:val="99"/>
    <w:pPr>
      <w:tabs>
        <w:tab w:val="center" w:pos="4153"/>
        <w:tab w:val="right" w:pos="8306"/>
      </w:tabs>
      <w:snapToGrid w:val="0"/>
      <w:jc w:val="left"/>
    </w:pPr>
    <w:rPr>
      <w:sz w:val="18"/>
      <w:szCs w:val="18"/>
    </w:rPr>
  </w:style>
  <w:style w:type="paragraph" w:styleId="19">
    <w:name w:val="header"/>
    <w:basedOn w:val="1"/>
    <w:link w:val="54"/>
    <w:unhideWhenUsed/>
    <w:qFormat/>
    <w:uiPriority w:val="99"/>
    <w:pPr>
      <w:pBdr>
        <w:bottom w:val="single" w:color="auto" w:sz="6" w:space="1"/>
      </w:pBdr>
      <w:tabs>
        <w:tab w:val="center" w:pos="4153"/>
        <w:tab w:val="right" w:pos="8306"/>
      </w:tabs>
      <w:snapToGrid w:val="0"/>
      <w:jc w:val="center"/>
    </w:pPr>
    <w:rPr>
      <w:sz w:val="18"/>
      <w:szCs w:val="18"/>
    </w:rPr>
  </w:style>
  <w:style w:type="paragraph" w:styleId="20">
    <w:name w:val="toc 1"/>
    <w:basedOn w:val="1"/>
    <w:next w:val="1"/>
    <w:autoRedefine/>
    <w:unhideWhenUsed/>
    <w:qFormat/>
    <w:uiPriority w:val="39"/>
    <w:pPr>
      <w:tabs>
        <w:tab w:val="left" w:pos="840"/>
        <w:tab w:val="right" w:leader="dot" w:pos="8296"/>
      </w:tabs>
      <w:spacing w:line="590" w:lineRule="exact"/>
      <w:ind w:right="840" w:rightChars="400"/>
    </w:pPr>
    <w:rPr>
      <w:rFonts w:ascii="Times New Roman" w:hAnsi="Times New Roman" w:eastAsia="黑体"/>
      <w:sz w:val="24"/>
      <w:szCs w:val="24"/>
    </w:rPr>
  </w:style>
  <w:style w:type="paragraph" w:styleId="21">
    <w:name w:val="toc 4"/>
    <w:basedOn w:val="1"/>
    <w:next w:val="1"/>
    <w:autoRedefine/>
    <w:unhideWhenUsed/>
    <w:qFormat/>
    <w:uiPriority w:val="39"/>
    <w:pPr>
      <w:ind w:left="1260" w:leftChars="600"/>
    </w:pPr>
  </w:style>
  <w:style w:type="paragraph" w:styleId="22">
    <w:name w:val="Subtitle"/>
    <w:next w:val="5"/>
    <w:link w:val="53"/>
    <w:qFormat/>
    <w:uiPriority w:val="11"/>
    <w:pPr>
      <w:spacing w:before="240" w:after="60" w:line="312" w:lineRule="auto"/>
      <w:jc w:val="center"/>
      <w:outlineLvl w:val="1"/>
    </w:pPr>
    <w:rPr>
      <w:rFonts w:asciiTheme="minorHAnsi" w:hAnsiTheme="minorHAnsi" w:eastAsiaTheme="minorEastAsia" w:cstheme="minorBidi"/>
      <w:b/>
      <w:bCs/>
      <w:kern w:val="28"/>
      <w:sz w:val="32"/>
      <w:szCs w:val="32"/>
      <w:lang w:val="en-US" w:eastAsia="zh-CN" w:bidi="ar-SA"/>
    </w:rPr>
  </w:style>
  <w:style w:type="paragraph" w:styleId="23">
    <w:name w:val="footnote text"/>
    <w:basedOn w:val="1"/>
    <w:qFormat/>
    <w:uiPriority w:val="0"/>
    <w:pPr>
      <w:snapToGrid w:val="0"/>
      <w:jc w:val="left"/>
    </w:pPr>
    <w:rPr>
      <w:sz w:val="18"/>
    </w:rPr>
  </w:style>
  <w:style w:type="paragraph" w:styleId="24">
    <w:name w:val="toc 6"/>
    <w:basedOn w:val="1"/>
    <w:next w:val="1"/>
    <w:autoRedefine/>
    <w:unhideWhenUsed/>
    <w:qFormat/>
    <w:uiPriority w:val="39"/>
    <w:pPr>
      <w:ind w:left="2100" w:leftChars="1000"/>
    </w:pPr>
  </w:style>
  <w:style w:type="paragraph" w:styleId="25">
    <w:name w:val="toc 2"/>
    <w:basedOn w:val="1"/>
    <w:next w:val="1"/>
    <w:autoRedefine/>
    <w:unhideWhenUsed/>
    <w:qFormat/>
    <w:uiPriority w:val="39"/>
    <w:pPr>
      <w:tabs>
        <w:tab w:val="left" w:pos="426"/>
        <w:tab w:val="right" w:leader="dot" w:pos="8296"/>
      </w:tabs>
      <w:spacing w:line="590" w:lineRule="exact"/>
      <w:ind w:left="420" w:leftChars="200" w:right="840" w:rightChars="400"/>
    </w:pPr>
    <w:rPr>
      <w:rFonts w:ascii="Times New Roman" w:hAnsi="Times New Roman" w:eastAsia="楷体_GB2312"/>
      <w:sz w:val="24"/>
      <w:szCs w:val="24"/>
    </w:rPr>
  </w:style>
  <w:style w:type="paragraph" w:styleId="26">
    <w:name w:val="toc 9"/>
    <w:basedOn w:val="1"/>
    <w:next w:val="1"/>
    <w:autoRedefine/>
    <w:unhideWhenUsed/>
    <w:qFormat/>
    <w:uiPriority w:val="39"/>
    <w:pPr>
      <w:ind w:left="3360" w:leftChars="1600"/>
    </w:pPr>
  </w:style>
  <w:style w:type="paragraph" w:styleId="27">
    <w:name w:val="Title"/>
    <w:next w:val="5"/>
    <w:link w:val="34"/>
    <w:qFormat/>
    <w:uiPriority w:val="10"/>
    <w:pPr>
      <w:spacing w:line="564" w:lineRule="exact"/>
      <w:jc w:val="center"/>
    </w:pPr>
    <w:rPr>
      <w:rFonts w:ascii="方正小标宋简体" w:hAnsi="Times New Roman" w:eastAsia="方正小标宋简体" w:cs="Times New Roman"/>
      <w:kern w:val="2"/>
      <w:sz w:val="44"/>
      <w:szCs w:val="44"/>
      <w:lang w:val="en-US" w:eastAsia="zh-CN" w:bidi="ar-SA"/>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22"/>
    <w:rPr>
      <w:b/>
      <w:bCs/>
    </w:rPr>
  </w:style>
  <w:style w:type="character" w:styleId="32">
    <w:name w:val="Hyperlink"/>
    <w:basedOn w:val="30"/>
    <w:unhideWhenUsed/>
    <w:qFormat/>
    <w:uiPriority w:val="99"/>
    <w:rPr>
      <w:color w:val="0026E5" w:themeColor="hyperlink"/>
      <w:u w:val="single"/>
      <w14:textFill>
        <w14:solidFill>
          <w14:schemeClr w14:val="hlink"/>
        </w14:solidFill>
      </w14:textFill>
    </w:rPr>
  </w:style>
  <w:style w:type="character" w:styleId="33">
    <w:name w:val="footnote reference"/>
    <w:basedOn w:val="30"/>
    <w:qFormat/>
    <w:uiPriority w:val="0"/>
    <w:rPr>
      <w:vertAlign w:val="superscript"/>
    </w:rPr>
  </w:style>
  <w:style w:type="character" w:customStyle="1" w:styleId="34">
    <w:name w:val="标题 字符"/>
    <w:basedOn w:val="30"/>
    <w:link w:val="27"/>
    <w:qFormat/>
    <w:uiPriority w:val="10"/>
    <w:rPr>
      <w:rFonts w:ascii="方正小标宋简体" w:hAnsi="Times New Roman" w:eastAsia="方正小标宋简体" w:cs="Times New Roman"/>
      <w:sz w:val="44"/>
      <w:szCs w:val="44"/>
    </w:rPr>
  </w:style>
  <w:style w:type="character" w:customStyle="1" w:styleId="35">
    <w:name w:val="标题 1 字符"/>
    <w:basedOn w:val="30"/>
    <w:link w:val="2"/>
    <w:qFormat/>
    <w:uiPriority w:val="9"/>
    <w:rPr>
      <w:rFonts w:ascii="Times New Roman" w:hAnsi="Times New Roman" w:eastAsia="黑体" w:cs="Times New Roman"/>
      <w:sz w:val="32"/>
      <w:szCs w:val="32"/>
    </w:rPr>
  </w:style>
  <w:style w:type="character" w:customStyle="1" w:styleId="36">
    <w:name w:val="标题 2 字符"/>
    <w:basedOn w:val="30"/>
    <w:link w:val="3"/>
    <w:qFormat/>
    <w:uiPriority w:val="9"/>
    <w:rPr>
      <w:rFonts w:ascii="Times New Roman" w:hAnsi="Times New Roman" w:eastAsia="楷体_GB2312" w:cs="Times New Roman"/>
      <w:bCs/>
      <w:sz w:val="32"/>
      <w:szCs w:val="32"/>
    </w:rPr>
  </w:style>
  <w:style w:type="character" w:customStyle="1" w:styleId="37">
    <w:name w:val="标题 3 字符"/>
    <w:basedOn w:val="30"/>
    <w:link w:val="4"/>
    <w:qFormat/>
    <w:uiPriority w:val="9"/>
    <w:rPr>
      <w:rFonts w:ascii="Times New Roman" w:hAnsi="Times New Roman" w:eastAsia="仿宋_GB2312" w:cs="Times New Roman"/>
      <w:bCs/>
      <w:sz w:val="32"/>
      <w:szCs w:val="32"/>
    </w:rPr>
  </w:style>
  <w:style w:type="character" w:customStyle="1" w:styleId="38">
    <w:name w:val="标题 4 字符"/>
    <w:basedOn w:val="30"/>
    <w:link w:val="6"/>
    <w:qFormat/>
    <w:uiPriority w:val="9"/>
    <w:rPr>
      <w:rFonts w:ascii="Times New Roman" w:hAnsi="Times New Roman" w:eastAsia="仿宋_GB2312" w:cs="Times New Roman"/>
      <w:sz w:val="32"/>
      <w:szCs w:val="32"/>
    </w:rPr>
  </w:style>
  <w:style w:type="character" w:customStyle="1" w:styleId="39">
    <w:name w:val="标题 5 字符"/>
    <w:basedOn w:val="30"/>
    <w:link w:val="7"/>
    <w:qFormat/>
    <w:uiPriority w:val="9"/>
    <w:rPr>
      <w:rFonts w:ascii="Times New Roman" w:hAnsi="Times New Roman" w:eastAsia="仿宋_GB2312" w:cs="Times New Roman"/>
      <w:sz w:val="32"/>
      <w:szCs w:val="32"/>
    </w:rPr>
  </w:style>
  <w:style w:type="paragraph" w:styleId="40">
    <w:name w:val="List Paragraph"/>
    <w:basedOn w:val="1"/>
    <w:qFormat/>
    <w:uiPriority w:val="34"/>
    <w:pPr>
      <w:ind w:firstLine="420" w:firstLineChars="200"/>
    </w:pPr>
  </w:style>
  <w:style w:type="character" w:customStyle="1" w:styleId="41">
    <w:name w:val="标题 6 字符"/>
    <w:basedOn w:val="30"/>
    <w:link w:val="8"/>
    <w:qFormat/>
    <w:uiPriority w:val="9"/>
    <w:rPr>
      <w:rFonts w:ascii="Times New Roman" w:hAnsi="Times New Roman" w:eastAsia="仿宋_GB2312" w:cs="宋体"/>
      <w:sz w:val="32"/>
      <w:szCs w:val="32"/>
    </w:rPr>
  </w:style>
  <w:style w:type="paragraph" w:customStyle="1" w:styleId="42">
    <w:name w:val="表"/>
    <w:link w:val="43"/>
    <w:qFormat/>
    <w:uiPriority w:val="0"/>
    <w:pPr>
      <w:spacing w:line="0" w:lineRule="atLeast"/>
    </w:pPr>
    <w:rPr>
      <w:rFonts w:ascii="Times New Roman" w:hAnsi="Times New Roman" w:eastAsia="宋体" w:cs="宋体"/>
      <w:color w:val="000000"/>
      <w:kern w:val="2"/>
      <w:sz w:val="24"/>
      <w:szCs w:val="22"/>
      <w:lang w:val="en-US" w:eastAsia="zh-CN" w:bidi="ar-SA"/>
    </w:rPr>
  </w:style>
  <w:style w:type="character" w:customStyle="1" w:styleId="43">
    <w:name w:val="表 字符"/>
    <w:basedOn w:val="30"/>
    <w:link w:val="42"/>
    <w:qFormat/>
    <w:uiPriority w:val="0"/>
    <w:rPr>
      <w:rFonts w:ascii="Times New Roman" w:hAnsi="Times New Roman" w:eastAsia="宋体" w:cs="宋体"/>
      <w:color w:val="000000"/>
      <w:sz w:val="24"/>
    </w:rPr>
  </w:style>
  <w:style w:type="paragraph" w:customStyle="1" w:styleId="44">
    <w:name w:val="图"/>
    <w:link w:val="45"/>
    <w:qFormat/>
    <w:uiPriority w:val="0"/>
    <w:pPr>
      <w:keepNext/>
      <w:jc w:val="center"/>
    </w:pPr>
    <w:rPr>
      <w:rFonts w:ascii="Times New Roman" w:hAnsi="Times New Roman" w:eastAsia="仿宋_GB2312" w:cs="Times New Roman"/>
      <w:kern w:val="2"/>
      <w:sz w:val="32"/>
      <w:szCs w:val="32"/>
      <w:lang w:val="en-US" w:eastAsia="zh-CN" w:bidi="ar-SA"/>
    </w:rPr>
  </w:style>
  <w:style w:type="character" w:customStyle="1" w:styleId="45">
    <w:name w:val="图 字符"/>
    <w:basedOn w:val="30"/>
    <w:link w:val="44"/>
    <w:qFormat/>
    <w:uiPriority w:val="0"/>
    <w:rPr>
      <w:rFonts w:ascii="Times New Roman" w:hAnsi="Times New Roman" w:eastAsia="仿宋_GB2312" w:cs="Times New Roman"/>
      <w:sz w:val="32"/>
      <w:szCs w:val="32"/>
    </w:rPr>
  </w:style>
  <w:style w:type="paragraph" w:customStyle="1" w:styleId="46">
    <w:name w:val="图表"/>
    <w:basedOn w:val="1"/>
    <w:link w:val="47"/>
    <w:qFormat/>
    <w:uiPriority w:val="0"/>
    <w:rPr>
      <w:rFonts w:ascii="宋体" w:hAnsi="宋体"/>
      <w:szCs w:val="21"/>
    </w:rPr>
  </w:style>
  <w:style w:type="character" w:customStyle="1" w:styleId="47">
    <w:name w:val="图表 Char"/>
    <w:link w:val="46"/>
    <w:qFormat/>
    <w:uiPriority w:val="0"/>
    <w:rPr>
      <w:rFonts w:ascii="宋体" w:hAnsi="宋体"/>
      <w:szCs w:val="21"/>
    </w:rPr>
  </w:style>
  <w:style w:type="table" w:customStyle="1" w:styleId="48">
    <w:name w:val="我的表格"/>
    <w:basedOn w:val="28"/>
    <w:qFormat/>
    <w:uiPriority w:val="39"/>
    <w:pPr>
      <w:jc w:val="center"/>
    </w:pPr>
    <w:tblPr>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jc w:val="center"/>
    </w:trPr>
    <w:tcPr>
      <w:shd w:val="clear" w:color="auto" w:fill="auto"/>
      <w:vAlign w:val="center"/>
    </w:tcPr>
    <w:tblStylePr w:type="firstRow">
      <w:pPr>
        <w:jc w:val="center"/>
      </w:pPr>
      <w:rPr>
        <w:rFonts w:eastAsiaTheme="minorEastAsia"/>
        <w:b/>
      </w:rPr>
      <w:tblPr/>
      <w:trPr>
        <w:tblHeader/>
      </w:trPr>
      <w:tcPr>
        <w:shd w:val="clear" w:color="auto" w:fill="BEBEBE" w:themeFill="background1" w:themeFillShade="BF"/>
      </w:tcPr>
    </w:tblStylePr>
  </w:style>
  <w:style w:type="character" w:customStyle="1" w:styleId="49">
    <w:name w:val="我的正文 字符"/>
    <w:basedOn w:val="30"/>
    <w:link w:val="5"/>
    <w:qFormat/>
    <w:uiPriority w:val="0"/>
    <w:rPr>
      <w:rFonts w:ascii="Times New Roman" w:hAnsi="Times New Roman" w:eastAsia="仿宋_GB2312" w:cs="Times New Roman"/>
      <w:sz w:val="32"/>
      <w:szCs w:val="24"/>
    </w:rPr>
  </w:style>
  <w:style w:type="character" w:customStyle="1" w:styleId="50">
    <w:name w:val="标题 7 字符"/>
    <w:basedOn w:val="30"/>
    <w:link w:val="9"/>
    <w:qFormat/>
    <w:uiPriority w:val="9"/>
    <w:rPr>
      <w:rFonts w:ascii="Times New Roman" w:hAnsi="Times New Roman" w:eastAsia="仿宋_GB2312" w:cs="Times New Roman"/>
      <w:bCs/>
      <w:sz w:val="32"/>
      <w:szCs w:val="24"/>
    </w:rPr>
  </w:style>
  <w:style w:type="character" w:customStyle="1" w:styleId="51">
    <w:name w:val="标题 8 字符"/>
    <w:basedOn w:val="30"/>
    <w:link w:val="10"/>
    <w:qFormat/>
    <w:uiPriority w:val="9"/>
    <w:rPr>
      <w:rFonts w:ascii="Times New Roman" w:hAnsi="Times New Roman" w:eastAsia="仿宋_GB2312" w:cstheme="majorBidi"/>
      <w:sz w:val="32"/>
      <w:szCs w:val="24"/>
    </w:rPr>
  </w:style>
  <w:style w:type="character" w:customStyle="1" w:styleId="52">
    <w:name w:val="标题 9 字符"/>
    <w:basedOn w:val="30"/>
    <w:link w:val="11"/>
    <w:semiHidden/>
    <w:qFormat/>
    <w:uiPriority w:val="9"/>
    <w:rPr>
      <w:rFonts w:ascii="Times New Roman" w:hAnsi="Times New Roman" w:eastAsia="仿宋_GB2312" w:cstheme="majorBidi"/>
      <w:sz w:val="32"/>
      <w:szCs w:val="21"/>
    </w:rPr>
  </w:style>
  <w:style w:type="character" w:customStyle="1" w:styleId="53">
    <w:name w:val="副标题 字符"/>
    <w:basedOn w:val="30"/>
    <w:link w:val="22"/>
    <w:qFormat/>
    <w:uiPriority w:val="11"/>
    <w:rPr>
      <w:b/>
      <w:bCs/>
      <w:kern w:val="28"/>
      <w:sz w:val="32"/>
      <w:szCs w:val="32"/>
    </w:rPr>
  </w:style>
  <w:style w:type="character" w:customStyle="1" w:styleId="54">
    <w:name w:val="页眉 字符"/>
    <w:basedOn w:val="30"/>
    <w:link w:val="19"/>
    <w:qFormat/>
    <w:uiPriority w:val="99"/>
    <w:rPr>
      <w:sz w:val="18"/>
      <w:szCs w:val="18"/>
    </w:rPr>
  </w:style>
  <w:style w:type="character" w:customStyle="1" w:styleId="55">
    <w:name w:val="页脚 字符"/>
    <w:basedOn w:val="30"/>
    <w:link w:val="18"/>
    <w:qFormat/>
    <w:uiPriority w:val="99"/>
    <w:rPr>
      <w:sz w:val="18"/>
      <w:szCs w:val="18"/>
    </w:rPr>
  </w:style>
  <w:style w:type="paragraph" w:customStyle="1" w:styleId="56">
    <w:name w:val="删除内容"/>
    <w:link w:val="58"/>
    <w:qFormat/>
    <w:uiPriority w:val="0"/>
    <w:pPr>
      <w:jc w:val="center"/>
    </w:pPr>
    <w:rPr>
      <w:rFonts w:ascii="宋体" w:hAnsi="宋体" w:eastAsia="楷体" w:cs="宋体"/>
      <w:strike/>
      <w:color w:val="FF0000"/>
      <w:kern w:val="2"/>
      <w:sz w:val="21"/>
      <w:szCs w:val="22"/>
      <w:lang w:val="en-US" w:eastAsia="zh-CN" w:bidi="ar-SA"/>
    </w:rPr>
  </w:style>
  <w:style w:type="paragraph" w:customStyle="1" w:styleId="57">
    <w:name w:val="新增内容"/>
    <w:link w:val="60"/>
    <w:qFormat/>
    <w:uiPriority w:val="0"/>
    <w:pPr>
      <w:jc w:val="both"/>
    </w:pPr>
    <w:rPr>
      <w:rFonts w:ascii="宋体" w:hAnsi="宋体" w:eastAsia="黑体" w:cs="宋体"/>
      <w:b/>
      <w:color w:val="0070C0"/>
      <w:kern w:val="2"/>
      <w:sz w:val="21"/>
      <w:szCs w:val="22"/>
      <w:lang w:val="en-US" w:eastAsia="zh-CN" w:bidi="ar-SA"/>
    </w:rPr>
  </w:style>
  <w:style w:type="character" w:customStyle="1" w:styleId="58">
    <w:name w:val="删除内容 字符"/>
    <w:basedOn w:val="43"/>
    <w:link w:val="56"/>
    <w:qFormat/>
    <w:uiPriority w:val="0"/>
    <w:rPr>
      <w:rFonts w:ascii="宋体" w:hAnsi="宋体" w:eastAsia="楷体" w:cs="宋体"/>
      <w:strike/>
      <w:color w:val="FF0000"/>
      <w:sz w:val="24"/>
    </w:rPr>
  </w:style>
  <w:style w:type="character" w:customStyle="1" w:styleId="59">
    <w:name w:val="Intense Reference"/>
    <w:basedOn w:val="30"/>
    <w:qFormat/>
    <w:uiPriority w:val="32"/>
    <w:rPr>
      <w:b/>
      <w:bCs/>
      <w:smallCaps/>
      <w:color w:val="4874CB" w:themeColor="accent1"/>
      <w:spacing w:val="5"/>
      <w14:textFill>
        <w14:solidFill>
          <w14:schemeClr w14:val="accent1"/>
        </w14:solidFill>
      </w14:textFill>
    </w:rPr>
  </w:style>
  <w:style w:type="character" w:customStyle="1" w:styleId="60">
    <w:name w:val="新增内容 字符"/>
    <w:basedOn w:val="43"/>
    <w:link w:val="57"/>
    <w:qFormat/>
    <w:uiPriority w:val="0"/>
    <w:rPr>
      <w:rFonts w:ascii="宋体" w:hAnsi="宋体" w:eastAsia="黑体" w:cs="宋体"/>
      <w:b/>
      <w:color w:val="0070C0"/>
      <w:sz w:val="24"/>
    </w:rPr>
  </w:style>
  <w:style w:type="paragraph" w:customStyle="1" w:styleId="61">
    <w:name w:val="公文正文"/>
    <w:basedOn w:val="5"/>
    <w:link w:val="63"/>
    <w:qFormat/>
    <w:uiPriority w:val="0"/>
    <w:pPr>
      <w:ind w:firstLine="480"/>
    </w:pPr>
  </w:style>
  <w:style w:type="paragraph" w:customStyle="1" w:styleId="62">
    <w:name w:val="H2"/>
    <w:basedOn w:val="1"/>
    <w:next w:val="1"/>
    <w:qFormat/>
    <w:uiPriority w:val="0"/>
    <w:pPr>
      <w:spacing w:line="590" w:lineRule="exact"/>
      <w:ind w:firstLine="640"/>
    </w:pPr>
    <w:rPr>
      <w:rFonts w:ascii="Times New Roman" w:hAnsi="Times New Roman" w:eastAsia="楷体_GB2312" w:cs="宋体"/>
      <w:sz w:val="32"/>
      <w:szCs w:val="20"/>
    </w:rPr>
  </w:style>
  <w:style w:type="character" w:customStyle="1" w:styleId="63">
    <w:name w:val="公文正文 字符"/>
    <w:basedOn w:val="49"/>
    <w:link w:val="61"/>
    <w:qFormat/>
    <w:uiPriority w:val="0"/>
    <w:rPr>
      <w:rFonts w:ascii="宋体" w:hAnsi="宋体" w:eastAsia="仿宋_GB2312" w:cs="Times New Roman"/>
      <w:sz w:val="32"/>
      <w:szCs w:val="24"/>
    </w:rPr>
  </w:style>
  <w:style w:type="paragraph" w:customStyle="1" w:styleId="64">
    <w:name w:val="TOC Heading"/>
    <w:basedOn w:val="2"/>
    <w:next w:val="1"/>
    <w:unhideWhenUsed/>
    <w:qFormat/>
    <w:uiPriority w:val="39"/>
    <w:pPr>
      <w:keepLines/>
      <w:numPr>
        <w:numId w:val="0"/>
      </w:numPr>
      <w:spacing w:before="240" w:line="259" w:lineRule="auto"/>
      <w:outlineLvl w:val="9"/>
    </w:pPr>
    <w:rPr>
      <w:rFonts w:asciiTheme="majorHAnsi" w:hAnsiTheme="majorHAnsi" w:eastAsiaTheme="majorEastAsia" w:cstheme="majorBidi"/>
      <w:color w:val="2E54A1" w:themeColor="accent1" w:themeShade="BF"/>
      <w:kern w:val="0"/>
    </w:rPr>
  </w:style>
  <w:style w:type="character" w:customStyle="1" w:styleId="65">
    <w:name w:val="Unresolved Mention"/>
    <w:basedOn w:val="30"/>
    <w:semiHidden/>
    <w:unhideWhenUsed/>
    <w:qFormat/>
    <w:uiPriority w:val="99"/>
    <w:rPr>
      <w:color w:val="605E5C"/>
      <w:shd w:val="clear" w:color="auto" w:fill="E1DFDD"/>
    </w:rPr>
  </w:style>
  <w:style w:type="paragraph" w:customStyle="1" w:styleId="66">
    <w:name w:val="Revision"/>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67">
    <w:name w:val="段内标题"/>
    <w:basedOn w:val="5"/>
    <w:link w:val="68"/>
    <w:qFormat/>
    <w:uiPriority w:val="0"/>
    <w:pPr>
      <w:ind w:firstLine="643"/>
    </w:pPr>
    <w:rPr>
      <w:b/>
    </w:rPr>
  </w:style>
  <w:style w:type="character" w:customStyle="1" w:styleId="68">
    <w:name w:val="段内标题 字符"/>
    <w:basedOn w:val="49"/>
    <w:link w:val="67"/>
    <w:qFormat/>
    <w:uiPriority w:val="0"/>
    <w:rPr>
      <w:rFonts w:ascii="Times New Roman" w:hAnsi="Times New Roman" w:eastAsia="仿宋_GB2312" w:cs="Times New Roman"/>
      <w:b/>
      <w:sz w:val="32"/>
      <w:szCs w:val="24"/>
    </w:rPr>
  </w:style>
  <w:style w:type="paragraph" w:styleId="69">
    <w:name w:val="Quote"/>
    <w:basedOn w:val="1"/>
    <w:next w:val="1"/>
    <w:link w:val="70"/>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70">
    <w:name w:val="引用 字符"/>
    <w:basedOn w:val="30"/>
    <w:link w:val="69"/>
    <w:qFormat/>
    <w:uiPriority w:val="29"/>
    <w:rPr>
      <w:i/>
      <w:iCs/>
      <w:color w:val="404040" w:themeColor="text1" w:themeTint="BF"/>
      <w14:textFill>
        <w14:solidFill>
          <w14:schemeClr w14:val="tx1">
            <w14:lumMod w14:val="75000"/>
            <w14:lumOff w14:val="25000"/>
          </w14:schemeClr>
        </w14:solidFill>
      </w14:textFill>
    </w:rPr>
  </w:style>
  <w:style w:type="character" w:customStyle="1" w:styleId="71">
    <w:name w:val="Intense Emphasis"/>
    <w:basedOn w:val="30"/>
    <w:qFormat/>
    <w:uiPriority w:val="21"/>
    <w:rPr>
      <w:i/>
      <w:iCs/>
      <w:color w:val="2E54A1" w:themeColor="accent1" w:themeShade="BF"/>
    </w:rPr>
  </w:style>
  <w:style w:type="paragraph" w:styleId="72">
    <w:name w:val="Intense Quote"/>
    <w:basedOn w:val="1"/>
    <w:next w:val="1"/>
    <w:link w:val="73"/>
    <w:qFormat/>
    <w:uiPriority w:val="30"/>
    <w:pPr>
      <w:pBdr>
        <w:top w:val="single" w:color="2D54A0" w:themeColor="accent1" w:themeShade="BF" w:sz="4" w:space="10"/>
        <w:bottom w:val="single" w:color="2D54A0" w:themeColor="accent1" w:themeShade="BF" w:sz="4" w:space="10"/>
      </w:pBdr>
      <w:spacing w:before="360" w:after="360"/>
      <w:ind w:left="864" w:right="864"/>
      <w:jc w:val="center"/>
    </w:pPr>
    <w:rPr>
      <w:i/>
      <w:iCs/>
      <w:color w:val="2E54A1" w:themeColor="accent1" w:themeShade="BF"/>
    </w:rPr>
  </w:style>
  <w:style w:type="character" w:customStyle="1" w:styleId="73">
    <w:name w:val="明显引用 字符"/>
    <w:basedOn w:val="30"/>
    <w:link w:val="72"/>
    <w:qFormat/>
    <w:uiPriority w:val="30"/>
    <w:rPr>
      <w:i/>
      <w:iCs/>
      <w:color w:val="2E54A1" w:themeColor="accent1" w:themeShade="BF"/>
    </w:rPr>
  </w:style>
  <w:style w:type="paragraph" w:customStyle="1" w:styleId="74">
    <w:name w:val="Table Text"/>
    <w:basedOn w:val="1"/>
    <w:semiHidden/>
    <w:qFormat/>
    <w:uiPriority w:val="0"/>
    <w:rPr>
      <w:rFonts w:ascii="宋体" w:hAnsi="宋体" w:eastAsia="宋体" w:cs="宋体"/>
      <w:sz w:val="18"/>
      <w:szCs w:val="18"/>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Version="6" StyleName="APA"/>
</file>

<file path=customXml/itemProps1.xml><?xml version="1.0" encoding="utf-8"?>
<ds:datastoreItem xmlns:ds="http://schemas.openxmlformats.org/officeDocument/2006/customXml" ds:itemID="{15E72401-377D-48AD-9F43-F350C0C41213}">
  <ds:schemaRefs/>
</ds:datastoreItem>
</file>

<file path=docProps/app.xml><?xml version="1.0" encoding="utf-8"?>
<Properties xmlns="http://schemas.openxmlformats.org/officeDocument/2006/extended-properties" xmlns:vt="http://schemas.openxmlformats.org/officeDocument/2006/docPropsVTypes">
  <Template>Normal.dotm</Template>
  <Pages>9</Pages>
  <Words>3218</Words>
  <Characters>3953</Characters>
  <Lines>1</Lines>
  <Paragraphs>1</Paragraphs>
  <TotalTime>2</TotalTime>
  <ScaleCrop>false</ScaleCrop>
  <LinksUpToDate>false</LinksUpToDate>
  <CharactersWithSpaces>3970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2026-01-12T23:01:00Z</dcterms:created>
  <dc:creator>Jin Wang</dc:creator>
  <cp:lastModifiedBy>weiwen</cp:lastModifiedBy>
  <cp:lastPrinted>2022-09-20T22:51:00Z</cp:lastPrinted>
  <dcterms:modified xsi:type="dcterms:W3CDTF">2026-05-22T01:34:17Z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eyJoZGlkIjoiOTllOWQ3MDg5NTdkOTUxMmYwZjRiMzg4NzYxZGMwZDgiLCJ1c2VySWQiOiI0NjYxMDI1MTQifQ==</vt:lpwstr>
  </property>
  <property fmtid="{D5CDD505-2E9C-101B-9397-08002B2CF9AE}" pid="3" name="KSOProductBuildVer">
    <vt:lpwstr>2052-12.1.24031.24031</vt:lpwstr>
  </property>
  <property fmtid="{D5CDD505-2E9C-101B-9397-08002B2CF9AE}" pid="4" name="ICV">
    <vt:lpwstr>B3531F1A30C2578E1B3D0F6A18043AFA_43</vt:lpwstr>
  </property>
</Properties>
</file>