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FE905">
      <w:pPr>
        <w:pStyle w:val="27"/>
        <w:bidi w:val="0"/>
        <w:rPr>
          <w:rFonts w:hint="eastAsia" w:eastAsia="方正小标宋简体"/>
          <w:lang w:eastAsia="zh-CN"/>
        </w:rPr>
      </w:pPr>
      <w:r>
        <w:rPr>
          <w:rFonts w:hint="eastAsia"/>
        </w:rPr>
        <w:t>碳普惠项目减排量核算技术规范</w:t>
      </w:r>
      <w:r>
        <w:rPr>
          <w:rFonts w:hint="eastAsia"/>
        </w:rPr>
        <w:br w:type="textWrapping"/>
      </w:r>
      <w:r>
        <w:rPr>
          <w:rFonts w:hint="eastAsia"/>
        </w:rPr>
        <w:t>低碳</w:t>
      </w:r>
      <w:r>
        <w:rPr>
          <w:rFonts w:hint="eastAsia"/>
          <w:lang w:val="en-US" w:eastAsia="zh-CN"/>
        </w:rPr>
        <w:t xml:space="preserve">餐饮  </w:t>
      </w:r>
      <w:r>
        <w:rPr>
          <w:rFonts w:hint="eastAsia"/>
        </w:rPr>
        <w:t>编制说明</w:t>
      </w:r>
      <w:r>
        <w:rPr>
          <w:rFonts w:hint="eastAsia"/>
          <w:lang w:eastAsia="zh-CN"/>
        </w:rPr>
        <w:t>（</w:t>
      </w:r>
      <w:r>
        <w:rPr>
          <w:rFonts w:hint="eastAsia"/>
          <w:lang w:val="en-US" w:eastAsia="zh-CN"/>
        </w:rPr>
        <w:t>初稿</w:t>
      </w:r>
      <w:r>
        <w:rPr>
          <w:rFonts w:hint="eastAsia"/>
          <w:lang w:eastAsia="zh-CN"/>
        </w:rPr>
        <w:t>）</w:t>
      </w:r>
    </w:p>
    <w:p w14:paraId="48ED78F0">
      <w:pPr>
        <w:pStyle w:val="5"/>
        <w:rPr>
          <w:rFonts w:hint="eastAsia"/>
        </w:rPr>
      </w:pPr>
    </w:p>
    <w:p w14:paraId="794007A0">
      <w:pPr>
        <w:pStyle w:val="5"/>
        <w:rPr>
          <w:rFonts w:hint="eastAsia"/>
        </w:rPr>
      </w:pPr>
    </w:p>
    <w:p w14:paraId="749E3F8C">
      <w:pPr>
        <w:pStyle w:val="5"/>
        <w:rPr>
          <w:rFonts w:hint="eastAsia"/>
        </w:rPr>
      </w:pPr>
    </w:p>
    <w:p w14:paraId="7112A617">
      <w:pPr>
        <w:pStyle w:val="5"/>
        <w:rPr>
          <w:rFonts w:hint="eastAsia"/>
        </w:rPr>
      </w:pPr>
    </w:p>
    <w:p w14:paraId="49496010">
      <w:pPr>
        <w:pStyle w:val="5"/>
        <w:rPr>
          <w:rFonts w:hint="eastAsia"/>
        </w:rPr>
      </w:pPr>
    </w:p>
    <w:p w14:paraId="7799791C">
      <w:pPr>
        <w:pStyle w:val="5"/>
        <w:rPr>
          <w:rFonts w:hint="eastAsia"/>
        </w:rPr>
      </w:pPr>
    </w:p>
    <w:p w14:paraId="4F999C8F">
      <w:pPr>
        <w:pStyle w:val="5"/>
        <w:rPr>
          <w:rFonts w:hint="eastAsia"/>
        </w:rPr>
      </w:pPr>
    </w:p>
    <w:p w14:paraId="4FB7CAE0">
      <w:pPr>
        <w:pStyle w:val="5"/>
        <w:rPr>
          <w:rFonts w:hint="eastAsia"/>
        </w:rPr>
      </w:pPr>
    </w:p>
    <w:p w14:paraId="463FDE44">
      <w:pPr>
        <w:pStyle w:val="5"/>
        <w:rPr>
          <w:rFonts w:hint="eastAsia"/>
        </w:rPr>
      </w:pPr>
    </w:p>
    <w:p w14:paraId="09D08B4C">
      <w:pPr>
        <w:pStyle w:val="5"/>
        <w:rPr>
          <w:rFonts w:hint="eastAsia"/>
        </w:rPr>
      </w:pPr>
    </w:p>
    <w:p w14:paraId="7C3030DC">
      <w:pPr>
        <w:pStyle w:val="5"/>
        <w:rPr>
          <w:rFonts w:hint="eastAsia"/>
        </w:rPr>
      </w:pPr>
    </w:p>
    <w:p w14:paraId="6C9E51D6">
      <w:pPr>
        <w:pStyle w:val="5"/>
        <w:rPr>
          <w:rFonts w:hint="eastAsia"/>
        </w:rPr>
      </w:pPr>
    </w:p>
    <w:p w14:paraId="11F0A71F">
      <w:pPr>
        <w:pStyle w:val="5"/>
        <w:rPr>
          <w:rFonts w:hint="eastAsia"/>
        </w:rPr>
      </w:pPr>
    </w:p>
    <w:p w14:paraId="2394D46C">
      <w:pPr>
        <w:pStyle w:val="5"/>
        <w:rPr>
          <w:rFonts w:hint="eastAsia"/>
        </w:rPr>
      </w:pPr>
    </w:p>
    <w:p w14:paraId="7C0B9252">
      <w:pPr>
        <w:pStyle w:val="5"/>
        <w:rPr>
          <w:rFonts w:hint="eastAsia"/>
        </w:rPr>
      </w:pPr>
    </w:p>
    <w:p w14:paraId="73DD8CA6">
      <w:pPr>
        <w:pStyle w:val="5"/>
        <w:jc w:val="center"/>
        <w:rPr>
          <w:rFonts w:hint="eastAsia" w:ascii="黑体" w:hAnsi="黑体" w:eastAsia="黑体" w:cs="黑体"/>
          <w:lang w:val="en-US" w:eastAsia="zh-CN"/>
        </w:rPr>
      </w:pPr>
      <w:r>
        <w:rPr>
          <w:rFonts w:hint="eastAsia" w:ascii="黑体" w:hAnsi="黑体" w:eastAsia="黑体" w:cs="黑体"/>
          <w:lang w:eastAsia="zh-CN"/>
        </w:rPr>
        <w:t>《碳普惠项目减排量核算技术规范</w:t>
      </w:r>
      <w:r>
        <w:rPr>
          <w:rFonts w:hint="eastAsia" w:ascii="黑体" w:hAnsi="黑体" w:eastAsia="黑体" w:cs="黑体"/>
          <w:lang w:val="en-US" w:eastAsia="zh-CN"/>
        </w:rPr>
        <w:t xml:space="preserve">  </w:t>
      </w:r>
      <w:r>
        <w:rPr>
          <w:rFonts w:hint="eastAsia" w:ascii="黑体" w:hAnsi="黑体" w:eastAsia="黑体" w:cs="黑体"/>
          <w:lang w:eastAsia="zh-CN"/>
        </w:rPr>
        <w:t>低碳</w:t>
      </w:r>
      <w:r>
        <w:rPr>
          <w:rFonts w:hint="eastAsia" w:ascii="黑体" w:hAnsi="黑体" w:eastAsia="黑体" w:cs="黑体"/>
          <w:lang w:val="en-US" w:eastAsia="zh-CN"/>
        </w:rPr>
        <w:t>餐饮</w:t>
      </w:r>
      <w:bookmarkStart w:id="0" w:name="_GoBack"/>
      <w:bookmarkEnd w:id="0"/>
      <w:r>
        <w:rPr>
          <w:rFonts w:hint="eastAsia" w:ascii="黑体" w:hAnsi="黑体" w:eastAsia="黑体" w:cs="黑体"/>
          <w:lang w:eastAsia="zh-CN"/>
        </w:rPr>
        <w:t>》</w:t>
      </w:r>
      <w:r>
        <w:rPr>
          <w:rFonts w:hint="eastAsia" w:ascii="黑体" w:hAnsi="黑体" w:eastAsia="黑体" w:cs="黑体"/>
          <w:lang w:val="en-US" w:eastAsia="zh-CN"/>
        </w:rPr>
        <w:t>编制组</w:t>
      </w:r>
    </w:p>
    <w:p w14:paraId="08C1F034">
      <w:pPr>
        <w:pStyle w:val="5"/>
        <w:jc w:val="center"/>
        <w:rPr>
          <w:rFonts w:hint="eastAsia" w:ascii="黑体" w:hAnsi="黑体" w:eastAsia="黑体" w:cs="黑体"/>
          <w:lang w:val="en-US" w:eastAsia="zh-CN"/>
        </w:rPr>
      </w:pPr>
      <w:r>
        <w:rPr>
          <w:rFonts w:hint="eastAsia" w:ascii="黑体" w:hAnsi="黑体" w:eastAsia="黑体" w:cs="黑体"/>
          <w:lang w:val="en-US" w:eastAsia="zh-CN"/>
        </w:rPr>
        <w:t>二〇二六年五月</w:t>
      </w:r>
    </w:p>
    <w:p w14:paraId="483F052C">
      <w:pPr>
        <w:pStyle w:val="27"/>
        <w:keepNext w:val="0"/>
        <w:keepLines w:val="0"/>
        <w:pageBreakBefore w:val="0"/>
        <w:widowControl w:val="0"/>
        <w:kinsoku/>
        <w:wordWrap/>
        <w:overflowPunct/>
        <w:topLinePunct w:val="0"/>
        <w:bidi w:val="0"/>
        <w:textAlignment w:val="auto"/>
        <w:rPr>
          <w:rFonts w:hint="eastAsia"/>
          <w:lang w:val="en-US" w:eastAsia="zh-CN"/>
        </w:rPr>
        <w:sectPr>
          <w:headerReference r:id="rId5" w:type="even"/>
          <w:footerReference r:id="rId6" w:type="even"/>
          <w:pgSz w:w="11906" w:h="16838"/>
          <w:pgMar w:top="2098" w:right="1247" w:bottom="1758" w:left="1588" w:header="1134" w:footer="1503" w:gutter="0"/>
          <w:cols w:space="425" w:num="1"/>
          <w:docGrid w:type="linesAndChars" w:linePitch="312" w:charSpace="0"/>
        </w:sectPr>
      </w:pPr>
    </w:p>
    <w:p w14:paraId="3FDE8760">
      <w:pPr>
        <w:pStyle w:val="2"/>
        <w:bidi w:val="0"/>
        <w:rPr>
          <w:rFonts w:hint="eastAsia"/>
          <w:lang w:val="en-US" w:eastAsia="zh-CN"/>
        </w:rPr>
      </w:pPr>
      <w:r>
        <w:rPr>
          <w:rFonts w:hint="eastAsia"/>
          <w:lang w:val="en-US" w:eastAsia="zh-CN"/>
        </w:rPr>
        <w:t>任务来源</w:t>
      </w:r>
    </w:p>
    <w:p w14:paraId="361C8965">
      <w:pPr>
        <w:pStyle w:val="5"/>
        <w:bidi w:val="0"/>
        <w:rPr>
          <w:rFonts w:hint="eastAsia"/>
          <w:lang w:val="en-US" w:eastAsia="zh-CN"/>
        </w:rPr>
      </w:pPr>
      <w:r>
        <w:rPr>
          <w:rFonts w:hint="eastAsia"/>
          <w:lang w:val="en-US" w:eastAsia="zh-CN"/>
        </w:rPr>
        <w:t>长岛国际零碳岛是全国首个以“国际零碳”为定位的海岛示范区，其《长岛国际零碳岛发展规划（2023—2035年）》明确提出“2027年碳排放较2023年下降20%、2030年主导产业与碳排放脱钩、2035年全域净零排放”三阶段目标。数据显示，2022年长岛温室气体排放总量达23.11万吨二氧化碳当量，碳汇量仅9.25万吨，净零排放缺口13.86万吨。</w:t>
      </w:r>
    </w:p>
    <w:p w14:paraId="5E12B62A">
      <w:pPr>
        <w:pStyle w:val="5"/>
        <w:bidi w:val="0"/>
        <w:rPr>
          <w:rFonts w:hint="eastAsia"/>
          <w:lang w:val="en-US" w:eastAsia="zh-CN"/>
        </w:rPr>
      </w:pPr>
      <w:r>
        <w:rPr>
          <w:rFonts w:hint="eastAsia"/>
          <w:lang w:val="en-US" w:eastAsia="zh-CN"/>
        </w:rPr>
        <w:t>当前，长岛已启动碳普惠平台小程序建设，但缺乏覆盖居民、游客及经营主体的具体场景方法学，无法精准核算低碳行为减排量，难以有效引导全社会参与。亟需开发适配长岛实际的碳普惠方法学，支撑规划目标落地，打造“国际零碳岛”碳普惠样板。</w:t>
      </w:r>
    </w:p>
    <w:p w14:paraId="6EC4308D">
      <w:pPr>
        <w:pStyle w:val="5"/>
        <w:bidi w:val="0"/>
        <w:rPr>
          <w:rFonts w:hint="default"/>
          <w:lang w:val="en-US" w:eastAsia="zh-CN"/>
        </w:rPr>
      </w:pPr>
      <w:r>
        <w:rPr>
          <w:rFonts w:hint="eastAsia"/>
          <w:lang w:val="en-US" w:eastAsia="zh-CN"/>
        </w:rPr>
        <w:t>根据以上情况，深圳市绿色低碳科技促进会发起《</w:t>
      </w:r>
      <w:r>
        <w:rPr>
          <w:rFonts w:hint="eastAsia"/>
        </w:rPr>
        <w:t>碳普惠项目减排量核算技术规范</w:t>
      </w:r>
      <w:r>
        <w:rPr>
          <w:rFonts w:hint="eastAsia"/>
          <w:lang w:val="en-US" w:eastAsia="zh-CN"/>
        </w:rPr>
        <w:t>》系列团体标准立项，本标准是其中之一。</w:t>
      </w:r>
    </w:p>
    <w:p w14:paraId="1D513200">
      <w:pPr>
        <w:pStyle w:val="2"/>
        <w:bidi w:val="0"/>
        <w:rPr>
          <w:rFonts w:hint="eastAsia"/>
          <w:lang w:val="en-US" w:eastAsia="zh-CN"/>
        </w:rPr>
      </w:pPr>
      <w:r>
        <w:rPr>
          <w:rFonts w:hint="eastAsia"/>
          <w:lang w:val="en-US" w:eastAsia="zh-CN"/>
        </w:rPr>
        <w:t>编制原则</w:t>
      </w:r>
    </w:p>
    <w:p w14:paraId="1840C454">
      <w:pPr>
        <w:pStyle w:val="5"/>
        <w:bidi w:val="0"/>
        <w:rPr>
          <w:rFonts w:hint="eastAsia"/>
          <w:lang w:val="en-US" w:eastAsia="zh-CN"/>
        </w:rPr>
      </w:pPr>
      <w:r>
        <w:rPr>
          <w:rFonts w:hint="eastAsia"/>
          <w:lang w:val="en-US" w:eastAsia="zh-CN"/>
        </w:rPr>
        <w:t>原则性：根据《中华人民共和国标准法》及其《实施细则》、《团体标准的结构和编写指南》（T/CAS 1.1-2017）进行编制。</w:t>
      </w:r>
    </w:p>
    <w:p w14:paraId="253AEAAF">
      <w:pPr>
        <w:pStyle w:val="5"/>
        <w:bidi w:val="0"/>
        <w:rPr>
          <w:rFonts w:hint="eastAsia"/>
          <w:lang w:val="en-US" w:eastAsia="zh-CN"/>
        </w:rPr>
      </w:pPr>
      <w:r>
        <w:rPr>
          <w:rFonts w:hint="eastAsia"/>
          <w:lang w:val="en-US" w:eastAsia="zh-CN"/>
        </w:rPr>
        <w:t>相关性：方法学需紧密贴合政策目标、产业需求及实际场景。</w:t>
      </w:r>
    </w:p>
    <w:p w14:paraId="35E1E7CF">
      <w:pPr>
        <w:pStyle w:val="5"/>
        <w:bidi w:val="0"/>
        <w:rPr>
          <w:rFonts w:hint="eastAsia"/>
          <w:lang w:val="en-US" w:eastAsia="zh-CN"/>
        </w:rPr>
      </w:pPr>
      <w:r>
        <w:rPr>
          <w:rFonts w:hint="eastAsia"/>
          <w:lang w:val="en-US" w:eastAsia="zh-CN"/>
        </w:rPr>
        <w:t>完整性：完整性要求方法学覆盖所有影响碳减排的关键环节和边界，避免因遗漏导致核算偏差。</w:t>
      </w:r>
    </w:p>
    <w:p w14:paraId="1F21CDE7">
      <w:pPr>
        <w:pStyle w:val="5"/>
        <w:bidi w:val="0"/>
        <w:rPr>
          <w:rFonts w:hint="eastAsia"/>
          <w:lang w:val="en-US" w:eastAsia="zh-CN"/>
        </w:rPr>
      </w:pPr>
      <w:r>
        <w:rPr>
          <w:rFonts w:hint="eastAsia"/>
          <w:lang w:val="en-US" w:eastAsia="zh-CN"/>
        </w:rPr>
        <w:t>准确性：强调核算方法的科学性与数据来源的可靠性，确保结果可验证、误差可控。</w:t>
      </w:r>
    </w:p>
    <w:p w14:paraId="0794EFC9">
      <w:pPr>
        <w:pStyle w:val="5"/>
        <w:bidi w:val="0"/>
        <w:rPr>
          <w:rFonts w:hint="eastAsia"/>
          <w:lang w:val="en-US" w:eastAsia="zh-CN"/>
        </w:rPr>
      </w:pPr>
      <w:r>
        <w:rPr>
          <w:rFonts w:hint="eastAsia"/>
          <w:lang w:val="en-US" w:eastAsia="zh-CN"/>
        </w:rPr>
        <w:t>透明性：要求方法学的核算逻辑、数据来源可追溯，确保第三方可复现核算过程并验证结果。</w:t>
      </w:r>
    </w:p>
    <w:p w14:paraId="22D987E7">
      <w:pPr>
        <w:pStyle w:val="5"/>
        <w:bidi w:val="0"/>
        <w:rPr>
          <w:rFonts w:hint="eastAsia"/>
          <w:lang w:val="en-US" w:eastAsia="zh-CN"/>
        </w:rPr>
      </w:pPr>
      <w:r>
        <w:rPr>
          <w:rFonts w:hint="eastAsia"/>
          <w:lang w:val="en-US" w:eastAsia="zh-CN"/>
        </w:rPr>
        <w:t>一致性：确保方法学在不同项目、不同时间中的应用逻辑统一，结果可比。</w:t>
      </w:r>
    </w:p>
    <w:p w14:paraId="79178AC1">
      <w:pPr>
        <w:pStyle w:val="2"/>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编制思路</w:t>
      </w:r>
    </w:p>
    <w:p w14:paraId="1E13C7AC">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系统边界</w:t>
      </w:r>
    </w:p>
    <w:p w14:paraId="3192BDB2">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在界定餐饮环节的碳排放核算边界时，本项目聚焦于“用户行为”单一维度，即仅核算消费者在餐饮消费过程中因个人选择所直接引发的、可归因的碳排放行为。</w:t>
      </w:r>
    </w:p>
    <w:p w14:paraId="7B920BC0">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由于餐厅运营端排放涉及餐饮企业基础设施的能耗分摊、食材供应链上游排放，数据需通过企业能耗监测、供应链溯源等方式获取，存在着数据获取难度大、核算边界模糊等问题。相比之下，用户在点餐以及餐后处置环节的具体行为，如是否需要一次性餐具、是否践行光盘行动等，数据可通过外卖平台系统自动采集和通过餐厅日常记录获取，数据准确性与可操作性更强，此类行为虽单次排放量微小，但在庞大的消费频次基数下，其累积总量对整体碳排放的影响显著。</w:t>
      </w:r>
    </w:p>
    <w:p w14:paraId="6F42511D">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w:t>
      </w:r>
    </w:p>
    <w:p w14:paraId="3539E144">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基准线情景是核算低碳餐饮碳普惠行为减排量的重要参照。科学、合理地确定基准线情景，是确保减排量计算准确、项目环境效益真实可靠的基础。</w:t>
      </w:r>
    </w:p>
    <w:p w14:paraId="2C8CAE32">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基准线情景是指在未实施低碳行为干预或消费者未主动选择低碳模式时，餐饮消费过程中发生的常规行为情景。基于“保守性、可测量、可追溯”原则，本项目设定以下两类基准线情景：</w:t>
      </w:r>
    </w:p>
    <w:p w14:paraId="6EE0DCC0">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外卖默认提供一次性餐具情景</w:t>
      </w:r>
    </w:p>
    <w:p w14:paraId="7CDAA539">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消费者在外卖平台点餐时，未勾选“无需餐具”选项，平台及商家依据默认业务规则，为每笔订单自动配备一套一次性餐具（通常包含竹木筷子、塑料勺）的情形。由此将产生一次性筷子与勺子从原材料获取、生产制造到废弃处理的全生命周期碳排放。</w:t>
      </w:r>
    </w:p>
    <w:p w14:paraId="324B7CE5">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本项目核算对象界定为一次性筷子与勺子。用户选择一次性餐具与否，一般情况下并不影响餐盒、包装袋等，因此未纳入其他外包装。</w:t>
      </w:r>
    </w:p>
    <w:p w14:paraId="2E2A1ECC">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堂食食物浪费情景</w:t>
      </w:r>
    </w:p>
    <w:p w14:paraId="00A808C8">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指消费者在餐厅堂食过程中，未践行光盘行动的情景。该情景下，因点餐过量而导致食物剩余并最终作为厨余垃圾被废弃，被浪费的食物将产生原材料生产、加工运输到末端处理的全生命周期碳排放。</w:t>
      </w:r>
    </w:p>
    <w:p w14:paraId="57316E92">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项目活动情景</w:t>
      </w:r>
    </w:p>
    <w:p w14:paraId="79191E3B">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外卖“无需餐具”情景</w:t>
      </w:r>
    </w:p>
    <w:p w14:paraId="0A5E997A">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该情景指消费者在外卖平台下单结算时，主动执行“无需餐具”或类似选项的操作，明确表达不索取一次性餐具意愿的行为模式。其核心减排逻辑在于源头减量：通过用户主动放弃获取一次性筷子、勺子等餐具，直接阻断了此类低值易耗品在原材料开采、工业生产、物流运输及最终废弃物处理等全生命周期环节中所产生的碳排放增量。此情景下，用户自带或重复使用餐具的清洗维护能耗被视为其日常生活固有能耗，不随本次外卖行为产生显著边际变化，故不纳入本项目排放核算范畴。</w:t>
      </w:r>
    </w:p>
    <w:p w14:paraId="76166159">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堂食“光盘行动”情景</w:t>
      </w:r>
    </w:p>
    <w:p w14:paraId="6971929E">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该情景指消费者在餐厅现场就餐过程中，秉持按需点餐、剩餐打包的原则，最终实现餐盘无剩余食物的行为模式。其减排逻辑在于全生命周期隐含排放的规避：由于未产生食物浪费，与之对应的食物原材料种植养殖、加工制造、冷链物流及最终厨余垃圾处理等前序环节所隐含的碳排放均得以避免，故光盘行动的碳排放为零。</w:t>
      </w:r>
    </w:p>
    <w:p w14:paraId="762AA1E0">
      <w:pPr>
        <w:pStyle w:val="2"/>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参数说明和数据来源</w:t>
      </w:r>
    </w:p>
    <w:p w14:paraId="4FBEF2DD">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外卖配餐具碳排放</w:t>
      </w:r>
    </w:p>
    <w:p w14:paraId="37169177">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餐具碳排放</w:t>
      </w:r>
    </w:p>
    <w:p w14:paraId="788022C2">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下表提供了</w:t>
      </w:r>
      <m:oMath>
        <m:r>
          <m:rPr>
            <m:sty m:val="p"/>
          </m:rPr>
          <w:rPr>
            <w:rFonts w:hint="eastAsia" w:ascii="Times New Roman" w:hAnsi="Times New Roman"/>
            <w:lang w:val="en-US" w:eastAsia="zh-CN"/>
          </w:rPr>
          <m:t>BA</m:t>
        </m:r>
        <m:sSub>
          <m:sSubPr>
            <m:ctrlPr>
              <w:rPr>
                <w:rFonts w:hint="eastAsia" w:ascii="Cambria Math" w:hAnsi="Cambria Math"/>
                <w:lang w:val="en-US" w:eastAsia="zh-CN"/>
              </w:rPr>
            </m:ctrlPr>
          </m:sSubPr>
          <m:e>
            <m:r>
              <m:rPr>
                <m:sty m:val="p"/>
              </m:rPr>
              <w:rPr>
                <w:rFonts w:hint="eastAsia" w:ascii="Times New Roman" w:hAnsi="Times New Roman"/>
                <w:lang w:val="en-US" w:eastAsia="zh-CN"/>
              </w:rPr>
              <m:t>F</m:t>
            </m:r>
            <m:ctrlPr>
              <w:rPr>
                <w:rFonts w:hint="eastAsia" w:ascii="Cambria Math" w:hAnsi="Cambria Math"/>
                <w:lang w:val="en-US" w:eastAsia="zh-CN"/>
              </w:rPr>
            </m:ctrlPr>
          </m:e>
          <m:sub>
            <m:r>
              <m:rPr>
                <m:sty m:val="p"/>
              </m:rPr>
              <w:rPr>
                <w:rFonts w:hint="eastAsia" w:ascii="Times New Roman" w:hAnsi="Times New Roman"/>
                <w:lang w:val="en-US" w:eastAsia="zh-CN"/>
              </w:rPr>
              <m:t>i,BL</m:t>
            </m:r>
            <m:ctrlPr>
              <w:rPr>
                <w:rFonts w:hint="eastAsia" w:ascii="Cambria Math" w:hAnsi="Cambria Math"/>
                <w:lang w:val="en-US" w:eastAsia="zh-CN"/>
              </w:rPr>
            </m:ctrlPr>
          </m:sub>
        </m:sSub>
      </m:oMath>
      <w:r>
        <w:rPr>
          <w:rFonts w:hint="eastAsia" w:hAnsi="Cambria Math"/>
          <w:i w:val="0"/>
          <w:lang w:val="en-US" w:eastAsia="zh-CN"/>
        </w:rPr>
        <w:t>、</w:t>
      </w:r>
      <m:oMath>
        <m:r>
          <m:rPr>
            <m:sty m:val="p"/>
          </m:rPr>
          <w:rPr>
            <w:rFonts w:hint="eastAsia" w:ascii="Times New Roman" w:hAnsi="Times New Roman"/>
            <w:lang w:val="en-US" w:eastAsia="zh-CN"/>
          </w:rPr>
          <m:t>T</m:t>
        </m:r>
        <m:sSub>
          <m:sSubPr>
            <m:ctrlPr>
              <w:rPr>
                <w:rFonts w:hint="eastAsia" w:ascii="Cambria Math" w:hAnsi="Cambria Math"/>
                <w:i w:val="0"/>
                <w:lang w:val="en-US" w:eastAsia="zh-CN"/>
              </w:rPr>
            </m:ctrlPr>
          </m:sSubPr>
          <m:e>
            <m:r>
              <m:rPr>
                <m:sty m:val="p"/>
              </m:rPr>
              <w:rPr>
                <w:rFonts w:hint="eastAsia" w:ascii="Times New Roman" w:hAnsi="Times New Roman"/>
                <w:lang w:val="en-US" w:eastAsia="zh-CN"/>
              </w:rPr>
              <m:t>F</m:t>
            </m:r>
            <m:ctrlPr>
              <w:rPr>
                <w:rFonts w:hint="eastAsia" w:ascii="Cambria Math" w:hAnsi="Cambria Math"/>
                <w:i w:val="0"/>
                <w:lang w:val="en-US" w:eastAsia="zh-CN"/>
              </w:rPr>
            </m:ctrlPr>
          </m:e>
          <m:sub>
            <m:r>
              <m:rPr>
                <m:sty m:val="p"/>
              </m:rPr>
              <w:rPr>
                <w:rFonts w:hint="eastAsia" w:ascii="Times New Roman" w:hAnsi="Times New Roman"/>
                <w:lang w:val="en-US" w:eastAsia="zh-CN"/>
              </w:rPr>
              <m:t>i,BL</m:t>
            </m:r>
            <m:ctrlPr>
              <w:rPr>
                <w:rFonts w:hint="eastAsia" w:ascii="Cambria Math" w:hAnsi="Cambria Math"/>
                <w:i w:val="0"/>
                <w:lang w:val="en-US" w:eastAsia="zh-CN"/>
              </w:rPr>
            </m:ctrlPr>
          </m:sub>
        </m:sSub>
      </m:oMath>
      <w:r>
        <w:rPr>
          <w:rFonts w:hint="eastAsia" w:hAnsi="Cambria Math"/>
          <w:i w:val="0"/>
          <w:lang w:val="en-US" w:eastAsia="zh-CN"/>
        </w:rPr>
        <w:t>、</w:t>
      </w:r>
      <m:oMath>
        <m:r>
          <m:rPr>
            <m:sty m:val="p"/>
          </m:rPr>
          <w:rPr>
            <w:rFonts w:hint="eastAsia" w:ascii="Times New Roman" w:hAnsi="Times New Roman"/>
            <w:lang w:val="en-US" w:eastAsia="zh-CN"/>
          </w:rPr>
          <m:t>E</m:t>
        </m:r>
        <m:sSub>
          <m:sSubPr>
            <m:ctrlPr>
              <w:rPr>
                <w:rFonts w:hint="eastAsia" w:ascii="Cambria Math" w:hAnsi="Cambria Math"/>
                <w:i w:val="0"/>
                <w:lang w:val="en-US" w:eastAsia="zh-CN"/>
              </w:rPr>
            </m:ctrlPr>
          </m:sSubPr>
          <m:e>
            <m:r>
              <m:rPr>
                <m:sty m:val="p"/>
              </m:rPr>
              <w:rPr>
                <w:rFonts w:hint="eastAsia" w:ascii="Times New Roman" w:hAnsi="Times New Roman"/>
                <w:lang w:val="en-US" w:eastAsia="zh-CN"/>
              </w:rPr>
              <m:t>F</m:t>
            </m:r>
            <m:ctrlPr>
              <w:rPr>
                <w:rFonts w:hint="eastAsia" w:ascii="Cambria Math" w:hAnsi="Cambria Math"/>
                <w:i w:val="0"/>
                <w:lang w:val="en-US" w:eastAsia="zh-CN"/>
              </w:rPr>
            </m:ctrlPr>
          </m:e>
          <m:sub>
            <m:r>
              <m:rPr>
                <m:sty m:val="p"/>
              </m:rPr>
              <w:rPr>
                <w:rFonts w:hint="eastAsia" w:ascii="Times New Roman" w:hAnsi="Times New Roman"/>
                <w:lang w:val="en-US" w:eastAsia="zh-CN"/>
              </w:rPr>
              <m:t>i,BL</m:t>
            </m:r>
            <m:ctrlPr>
              <w:rPr>
                <w:rFonts w:hint="eastAsia" w:ascii="Cambria Math" w:hAnsi="Cambria Math"/>
                <w:i w:val="0"/>
                <w:lang w:val="en-US" w:eastAsia="zh-CN"/>
              </w:rPr>
            </m:ctrlPr>
          </m:sub>
        </m:sSub>
      </m:oMath>
      <w:r>
        <w:rPr>
          <w:rFonts w:hint="eastAsia"/>
          <w:lang w:val="en-US" w:eastAsia="zh-CN"/>
        </w:rPr>
        <w:t>的推荐值具体数据，可在缺乏实际调研数据的情况下使用。数据来源于《广州市餐饮外卖行业无需餐具碳普惠方法学（2024年试行版）》。</w:t>
      </w:r>
    </w:p>
    <w:p w14:paraId="157D3BC0">
      <w:pPr>
        <w:pStyle w:val="13"/>
        <w:keepNext w:val="0"/>
        <w:keepLines w:val="0"/>
        <w:pageBreakBefore w:val="0"/>
        <w:widowControl w:val="0"/>
        <w:kinsoku/>
        <w:wordWrap/>
        <w:overflowPunct/>
        <w:topLinePunct w:val="0"/>
        <w:bidi w:val="0"/>
        <w:textAlignment w:val="auto"/>
        <w:rPr>
          <w:rFonts w:hint="eastAsia" w:eastAsia="宋体"/>
          <w:lang w:eastAsia="zh-CN"/>
        </w:rPr>
      </w:pPr>
      <w:r>
        <w:t xml:space="preserve">表 </w:t>
      </w:r>
      <w:r>
        <w:fldChar w:fldCharType="begin"/>
      </w:r>
      <w:r>
        <w:instrText xml:space="preserve"> SEQ 表 \* ARABIC </w:instrText>
      </w:r>
      <w:r>
        <w:fldChar w:fldCharType="separate"/>
      </w:r>
      <w:r>
        <w:t>1</w:t>
      </w:r>
      <w:r>
        <w:fldChar w:fldCharType="end"/>
      </w:r>
      <w:r>
        <w:rPr>
          <w:rFonts w:hint="eastAsia"/>
          <w:lang w:eastAsia="zh-CN"/>
        </w:rPr>
        <w:t xml:space="preserve"> 餐具参数的建议值表</w:t>
      </w:r>
    </w:p>
    <w:tbl>
      <w:tblPr>
        <w:tblStyle w:val="29"/>
        <w:tblW w:w="92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1"/>
        <w:gridCol w:w="823"/>
        <w:gridCol w:w="1714"/>
        <w:gridCol w:w="1727"/>
        <w:gridCol w:w="1554"/>
        <w:gridCol w:w="1302"/>
        <w:gridCol w:w="876"/>
      </w:tblGrid>
      <w:tr w14:paraId="01036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1291" w:type="dxa"/>
            <w:vMerge w:val="restart"/>
            <w:shd w:val="clear" w:color="auto" w:fill="auto"/>
            <w:vAlign w:val="center"/>
          </w:tcPr>
          <w:p w14:paraId="7DD668E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餐具类型</w:t>
            </w:r>
          </w:p>
        </w:tc>
        <w:tc>
          <w:tcPr>
            <w:tcW w:w="823" w:type="dxa"/>
            <w:vMerge w:val="restart"/>
            <w:shd w:val="clear" w:color="auto" w:fill="auto"/>
            <w:vAlign w:val="center"/>
          </w:tcPr>
          <w:p w14:paraId="7FD38676">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材质</w:t>
            </w:r>
          </w:p>
        </w:tc>
        <w:tc>
          <w:tcPr>
            <w:tcW w:w="1714" w:type="dxa"/>
            <w:vMerge w:val="restart"/>
            <w:shd w:val="clear" w:color="auto" w:fill="auto"/>
            <w:vAlign w:val="center"/>
          </w:tcPr>
          <w:p w14:paraId="75400A5B">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质量建议值</w:t>
            </w:r>
            <w:r>
              <w:rPr>
                <w:rStyle w:val="33"/>
                <w:rFonts w:hint="eastAsia"/>
                <w:b/>
                <w:lang w:val="en-US" w:eastAsia="zh-CN"/>
              </w:rPr>
              <w:footnoteReference w:id="0"/>
            </w:r>
          </w:p>
          <w:p w14:paraId="48732C2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w:t>
            </w:r>
            <m:oMath>
              <m:r>
                <m:rPr>
                  <m:sty m:val="b"/>
                </m:rPr>
                <w:rPr>
                  <w:rFonts w:hint="eastAsia" w:ascii="Times New Roman" w:hAnsi="Times New Roman"/>
                  <w:lang w:val="en-US" w:eastAsia="zh-CN"/>
                </w:rPr>
                <m:t>T</m:t>
              </m:r>
              <m:sSub>
                <m:sSubPr>
                  <m:ctrlPr>
                    <w:rPr>
                      <w:rFonts w:hint="eastAsia" w:ascii="Cambria Math" w:hAnsi="Cambria Math"/>
                      <w:b/>
                      <w:lang w:val="en-US" w:eastAsia="zh-CN"/>
                    </w:rPr>
                  </m:ctrlPr>
                </m:sSubPr>
                <m:e>
                  <m:r>
                    <m:rPr>
                      <m:sty m:val="b"/>
                    </m:rPr>
                    <w:rPr>
                      <w:rFonts w:hint="eastAsia" w:ascii="Times New Roman" w:hAnsi="Times New Roman"/>
                      <w:lang w:val="en-US" w:eastAsia="zh-CN"/>
                    </w:rPr>
                    <m:t>F</m:t>
                  </m:r>
                  <m:ctrlPr>
                    <w:rPr>
                      <w:rFonts w:hint="eastAsia" w:ascii="Cambria Math" w:hAnsi="Cambria Math"/>
                      <w:b/>
                      <w:lang w:val="en-US" w:eastAsia="zh-CN"/>
                    </w:rPr>
                  </m:ctrlPr>
                </m:e>
                <m:sub>
                  <m:r>
                    <m:rPr>
                      <m:sty m:val="b"/>
                    </m:rPr>
                    <w:rPr>
                      <w:rFonts w:hint="eastAsia" w:ascii="Times New Roman" w:hAnsi="Times New Roman"/>
                      <w:lang w:val="en-US" w:eastAsia="zh-CN"/>
                    </w:rPr>
                    <m:t>i,BL</m:t>
                  </m:r>
                  <m:ctrlPr>
                    <w:rPr>
                      <w:rFonts w:hint="eastAsia" w:ascii="Cambria Math" w:hAnsi="Cambria Math"/>
                      <w:b/>
                      <w:lang w:val="en-US" w:eastAsia="zh-CN"/>
                    </w:rPr>
                  </m:ctrlPr>
                </m:sub>
              </m:sSub>
            </m:oMath>
            <w:r>
              <w:rPr>
                <w:rFonts w:hint="eastAsia"/>
                <w:b/>
                <w:lang w:val="en-US" w:eastAsia="zh-CN"/>
              </w:rPr>
              <w:t>,kg/份)</w:t>
            </w:r>
          </w:p>
        </w:tc>
        <w:tc>
          <w:tcPr>
            <w:tcW w:w="1727" w:type="dxa"/>
            <w:vMerge w:val="restart"/>
            <w:shd w:val="clear" w:color="auto" w:fill="auto"/>
            <w:vAlign w:val="center"/>
          </w:tcPr>
          <w:p w14:paraId="79C3FE27">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使用比例</w:t>
            </w:r>
          </w:p>
          <w:p w14:paraId="77BC5ECD">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w:t>
            </w:r>
            <m:oMath>
              <m:r>
                <m:rPr>
                  <m:sty m:val="b"/>
                </m:rPr>
                <w:rPr>
                  <w:rFonts w:hint="eastAsia" w:ascii="Times New Roman" w:hAnsi="Times New Roman"/>
                  <w:lang w:val="en-US" w:eastAsia="zh-CN"/>
                </w:rPr>
                <m:t>BA</m:t>
              </m:r>
              <m:sSub>
                <m:sSubPr>
                  <m:ctrlPr>
                    <w:rPr>
                      <w:rFonts w:hint="eastAsia" w:ascii="Cambria Math" w:hAnsi="Cambria Math"/>
                      <w:b/>
                      <w:lang w:val="en-US" w:eastAsia="zh-CN"/>
                    </w:rPr>
                  </m:ctrlPr>
                </m:sSubPr>
                <m:e>
                  <m:r>
                    <m:rPr>
                      <m:sty m:val="b"/>
                    </m:rPr>
                    <w:rPr>
                      <w:rFonts w:hint="eastAsia" w:ascii="Times New Roman" w:hAnsi="Times New Roman"/>
                      <w:lang w:val="en-US" w:eastAsia="zh-CN"/>
                    </w:rPr>
                    <m:t>F</m:t>
                  </m:r>
                  <m:ctrlPr>
                    <w:rPr>
                      <w:rFonts w:hint="eastAsia" w:ascii="Cambria Math" w:hAnsi="Cambria Math"/>
                      <w:b/>
                      <w:lang w:val="en-US" w:eastAsia="zh-CN"/>
                    </w:rPr>
                  </m:ctrlPr>
                </m:e>
                <m:sub>
                  <m:r>
                    <m:rPr>
                      <m:sty m:val="b"/>
                    </m:rPr>
                    <w:rPr>
                      <w:rFonts w:hint="eastAsia" w:ascii="Times New Roman" w:hAnsi="Times New Roman"/>
                      <w:lang w:val="en-US" w:eastAsia="zh-CN"/>
                    </w:rPr>
                    <m:t>i,BL</m:t>
                  </m:r>
                  <m:ctrlPr>
                    <w:rPr>
                      <w:rFonts w:hint="eastAsia" w:ascii="Cambria Math" w:hAnsi="Cambria Math"/>
                      <w:b/>
                      <w:lang w:val="en-US" w:eastAsia="zh-CN"/>
                    </w:rPr>
                  </m:ctrlPr>
                </m:sub>
              </m:sSub>
            </m:oMath>
            <w:r>
              <w:rPr>
                <w:rFonts w:hint="eastAsia"/>
                <w:b/>
                <w:lang w:val="en-US" w:eastAsia="zh-CN"/>
              </w:rPr>
              <w:t>,%)</w:t>
            </w:r>
          </w:p>
        </w:tc>
        <w:tc>
          <w:tcPr>
            <w:tcW w:w="3732" w:type="dxa"/>
            <w:gridSpan w:val="3"/>
            <w:shd w:val="clear" w:color="auto" w:fill="auto"/>
            <w:vAlign w:val="center"/>
          </w:tcPr>
          <w:p w14:paraId="79D3F415">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eastAsia"/>
                <w:b/>
                <w:lang w:val="en-US" w:eastAsia="zh-CN"/>
              </w:rPr>
              <w:t>排放因子(</w:t>
            </w:r>
            <w:r>
              <w:rPr>
                <w:rFonts w:hint="default" w:ascii="Times New Roman" w:hAnsi="Times New Roman" w:cs="Times New Roman"/>
                <w:b/>
                <w:lang w:val="en-US" w:eastAsia="zh-CN"/>
              </w:rPr>
              <w:t>kgCO</w:t>
            </w:r>
            <w:r>
              <w:rPr>
                <w:rFonts w:hint="default" w:ascii="Times New Roman" w:hAnsi="Times New Roman" w:eastAsia="微软雅黑" w:cs="Times New Roman"/>
                <w:b/>
                <w:lang w:val="en-US" w:eastAsia="zh-CN"/>
              </w:rPr>
              <w:t>₂</w:t>
            </w:r>
            <w:r>
              <w:rPr>
                <w:rFonts w:hint="eastAsia"/>
                <w:b/>
                <w:lang w:val="en-US" w:eastAsia="zh-CN"/>
              </w:rPr>
              <w:t>/kg)</w:t>
            </w:r>
          </w:p>
        </w:tc>
      </w:tr>
      <w:tr w14:paraId="7566E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1291" w:type="dxa"/>
            <w:vMerge w:val="continue"/>
            <w:shd w:val="clear" w:color="auto" w:fill="auto"/>
            <w:vAlign w:val="center"/>
          </w:tcPr>
          <w:p w14:paraId="3A2751B6">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p>
        </w:tc>
        <w:tc>
          <w:tcPr>
            <w:tcW w:w="823" w:type="dxa"/>
            <w:vMerge w:val="continue"/>
            <w:shd w:val="clear" w:color="auto" w:fill="auto"/>
            <w:vAlign w:val="center"/>
          </w:tcPr>
          <w:p w14:paraId="23C14F6B">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p>
        </w:tc>
        <w:tc>
          <w:tcPr>
            <w:tcW w:w="1714" w:type="dxa"/>
            <w:vMerge w:val="continue"/>
            <w:shd w:val="clear" w:color="auto" w:fill="auto"/>
            <w:vAlign w:val="center"/>
          </w:tcPr>
          <w:p w14:paraId="043E6B6F">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p>
        </w:tc>
        <w:tc>
          <w:tcPr>
            <w:tcW w:w="1727" w:type="dxa"/>
            <w:vMerge w:val="continue"/>
            <w:shd w:val="clear" w:color="auto" w:fill="auto"/>
            <w:vAlign w:val="center"/>
          </w:tcPr>
          <w:p w14:paraId="59159AA0">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p>
        </w:tc>
        <w:tc>
          <w:tcPr>
            <w:tcW w:w="1554" w:type="dxa"/>
            <w:shd w:val="clear" w:color="auto" w:fill="auto"/>
            <w:vAlign w:val="center"/>
          </w:tcPr>
          <w:p w14:paraId="682B2D77">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生产环节</w:t>
            </w:r>
          </w:p>
        </w:tc>
        <w:tc>
          <w:tcPr>
            <w:tcW w:w="1302" w:type="dxa"/>
            <w:shd w:val="clear" w:color="auto" w:fill="auto"/>
            <w:vAlign w:val="center"/>
          </w:tcPr>
          <w:p w14:paraId="19EE0F60">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eastAsia"/>
                <w:b/>
                <w:lang w:val="en-US" w:eastAsia="zh-CN"/>
              </w:rPr>
              <w:t>处置环节</w:t>
            </w:r>
          </w:p>
        </w:tc>
        <w:tc>
          <w:tcPr>
            <w:tcW w:w="876" w:type="dxa"/>
            <w:shd w:val="clear" w:color="auto" w:fill="auto"/>
            <w:vAlign w:val="center"/>
          </w:tcPr>
          <w:p w14:paraId="61F3858A">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eastAsia"/>
                <w:b/>
                <w:lang w:val="en-US" w:eastAsia="zh-CN"/>
              </w:rPr>
              <w:t>加权平均</w:t>
            </w:r>
          </w:p>
        </w:tc>
      </w:tr>
      <w:tr w14:paraId="16405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291" w:type="dxa"/>
            <w:vMerge w:val="restart"/>
            <w:shd w:val="clear" w:color="auto" w:fill="auto"/>
            <w:vAlign w:val="center"/>
          </w:tcPr>
          <w:p w14:paraId="6644E605">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一次性筷子</w:t>
            </w:r>
          </w:p>
        </w:tc>
        <w:tc>
          <w:tcPr>
            <w:tcW w:w="823" w:type="dxa"/>
            <w:shd w:val="clear" w:color="auto" w:fill="auto"/>
            <w:vAlign w:val="center"/>
          </w:tcPr>
          <w:p w14:paraId="1DB74C30">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竹材</w:t>
            </w:r>
          </w:p>
        </w:tc>
        <w:tc>
          <w:tcPr>
            <w:tcW w:w="0" w:type="auto"/>
            <w:vMerge w:val="restart"/>
            <w:shd w:val="clear" w:color="auto" w:fill="auto"/>
            <w:vAlign w:val="center"/>
          </w:tcPr>
          <w:p w14:paraId="359CD3E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eastAsia"/>
                <w:lang w:val="en-US" w:eastAsia="zh-CN"/>
              </w:rPr>
            </w:pPr>
            <w:r>
              <w:rPr>
                <w:rFonts w:hint="eastAsia"/>
                <w:lang w:val="en-US" w:eastAsia="zh-CN"/>
              </w:rPr>
              <w:t>0.005</w:t>
            </w:r>
          </w:p>
        </w:tc>
        <w:tc>
          <w:tcPr>
            <w:tcW w:w="1727" w:type="dxa"/>
            <w:shd w:val="clear" w:color="auto" w:fill="auto"/>
            <w:vAlign w:val="center"/>
          </w:tcPr>
          <w:p w14:paraId="076E953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99.19</w:t>
            </w:r>
          </w:p>
        </w:tc>
        <w:tc>
          <w:tcPr>
            <w:tcW w:w="1554" w:type="dxa"/>
            <w:vMerge w:val="restart"/>
            <w:shd w:val="clear" w:color="auto" w:fill="auto"/>
            <w:vAlign w:val="center"/>
          </w:tcPr>
          <w:p w14:paraId="0D27BF80">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4.6</w:t>
            </w:r>
            <w:r>
              <w:rPr>
                <w:rStyle w:val="33"/>
                <w:rFonts w:hint="eastAsia"/>
                <w:lang w:val="en-US" w:eastAsia="zh-CN"/>
              </w:rPr>
              <w:footnoteReference w:id="1"/>
            </w:r>
          </w:p>
        </w:tc>
        <w:tc>
          <w:tcPr>
            <w:tcW w:w="1302" w:type="dxa"/>
            <w:shd w:val="clear" w:color="auto" w:fill="auto"/>
            <w:vAlign w:val="center"/>
          </w:tcPr>
          <w:p w14:paraId="3E2B1C37">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0.155</w:t>
            </w:r>
            <w:r>
              <w:rPr>
                <w:rStyle w:val="33"/>
                <w:rFonts w:hint="eastAsia"/>
                <w:lang w:val="en-US" w:eastAsia="zh-CN"/>
              </w:rPr>
              <w:footnoteReference w:id="2"/>
            </w:r>
          </w:p>
        </w:tc>
        <w:tc>
          <w:tcPr>
            <w:tcW w:w="876" w:type="dxa"/>
            <w:vMerge w:val="restart"/>
            <w:shd w:val="clear" w:color="auto" w:fill="auto"/>
            <w:vAlign w:val="center"/>
          </w:tcPr>
          <w:p w14:paraId="5147D729">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ascii="Times New Roman" w:hAnsi="Times New Roman" w:eastAsia="宋体" w:cs="宋体"/>
                <w:lang w:val="en-US" w:eastAsia="zh-CN"/>
              </w:rPr>
            </w:pPr>
            <w:r>
              <w:rPr>
                <w:rFonts w:hint="eastAsia" w:ascii="Times New Roman" w:hAnsi="Times New Roman" w:eastAsia="宋体" w:cs="宋体"/>
                <w:lang w:val="en-US" w:eastAsia="zh-CN"/>
              </w:rPr>
              <w:t>4.756</w:t>
            </w:r>
          </w:p>
        </w:tc>
      </w:tr>
      <w:tr w14:paraId="5CFEF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291" w:type="dxa"/>
            <w:vMerge w:val="continue"/>
            <w:shd w:val="clear" w:color="auto" w:fill="auto"/>
            <w:vAlign w:val="center"/>
          </w:tcPr>
          <w:p w14:paraId="5025A635">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p>
        </w:tc>
        <w:tc>
          <w:tcPr>
            <w:tcW w:w="823" w:type="dxa"/>
            <w:shd w:val="clear" w:color="auto" w:fill="auto"/>
            <w:vAlign w:val="center"/>
          </w:tcPr>
          <w:p w14:paraId="1E84192F">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木材</w:t>
            </w:r>
          </w:p>
        </w:tc>
        <w:tc>
          <w:tcPr>
            <w:tcW w:w="0" w:type="auto"/>
            <w:vMerge w:val="continue"/>
            <w:shd w:val="clear" w:color="auto" w:fill="auto"/>
            <w:vAlign w:val="center"/>
          </w:tcPr>
          <w:p w14:paraId="588B58C6">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eastAsia"/>
                <w:lang w:val="en-US" w:eastAsia="zh-CN"/>
              </w:rPr>
            </w:pPr>
          </w:p>
        </w:tc>
        <w:tc>
          <w:tcPr>
            <w:tcW w:w="1727" w:type="dxa"/>
            <w:shd w:val="clear" w:color="auto" w:fill="auto"/>
            <w:vAlign w:val="center"/>
          </w:tcPr>
          <w:p w14:paraId="1C8C4C0B">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0.81</w:t>
            </w:r>
          </w:p>
        </w:tc>
        <w:tc>
          <w:tcPr>
            <w:tcW w:w="1554" w:type="dxa"/>
            <w:vMerge w:val="continue"/>
            <w:shd w:val="clear" w:color="auto" w:fill="auto"/>
            <w:vAlign w:val="center"/>
          </w:tcPr>
          <w:p w14:paraId="256B49D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p>
        </w:tc>
        <w:tc>
          <w:tcPr>
            <w:tcW w:w="1302" w:type="dxa"/>
            <w:shd w:val="clear" w:color="auto" w:fill="auto"/>
            <w:vAlign w:val="center"/>
          </w:tcPr>
          <w:p w14:paraId="754E6772">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0.276</w:t>
            </w:r>
            <w:r>
              <w:rPr>
                <w:rStyle w:val="33"/>
                <w:rFonts w:hint="eastAsia"/>
                <w:lang w:val="en-US" w:eastAsia="zh-CN"/>
              </w:rPr>
              <w:footnoteReference w:id="3"/>
            </w:r>
          </w:p>
        </w:tc>
        <w:tc>
          <w:tcPr>
            <w:tcW w:w="876" w:type="dxa"/>
            <w:vMerge w:val="continue"/>
            <w:shd w:val="clear" w:color="auto" w:fill="auto"/>
            <w:vAlign w:val="center"/>
          </w:tcPr>
          <w:p w14:paraId="05844F6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ascii="Times New Roman" w:hAnsi="Times New Roman" w:eastAsia="宋体" w:cs="宋体"/>
                <w:lang w:val="en-US" w:eastAsia="zh-CN"/>
              </w:rPr>
            </w:pPr>
          </w:p>
        </w:tc>
      </w:tr>
      <w:tr w14:paraId="2F906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291" w:type="dxa"/>
            <w:vMerge w:val="restart"/>
            <w:shd w:val="clear" w:color="auto" w:fill="auto"/>
            <w:vAlign w:val="center"/>
          </w:tcPr>
          <w:p w14:paraId="4C6383AF">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一次性餐勺</w:t>
            </w:r>
          </w:p>
        </w:tc>
        <w:tc>
          <w:tcPr>
            <w:tcW w:w="823" w:type="dxa"/>
            <w:shd w:val="clear" w:color="auto" w:fill="auto"/>
            <w:vAlign w:val="center"/>
          </w:tcPr>
          <w:p w14:paraId="01E36979">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PP</w:t>
            </w:r>
          </w:p>
        </w:tc>
        <w:tc>
          <w:tcPr>
            <w:tcW w:w="0" w:type="auto"/>
            <w:vMerge w:val="restart"/>
            <w:shd w:val="clear" w:color="auto" w:fill="auto"/>
            <w:vAlign w:val="center"/>
          </w:tcPr>
          <w:p w14:paraId="45C416B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eastAsia"/>
                <w:lang w:val="en-US" w:eastAsia="zh-CN"/>
              </w:rPr>
            </w:pPr>
            <w:r>
              <w:rPr>
                <w:rFonts w:hint="eastAsia"/>
                <w:lang w:val="en-US" w:eastAsia="zh-CN"/>
              </w:rPr>
              <w:t>0.002</w:t>
            </w:r>
          </w:p>
        </w:tc>
        <w:tc>
          <w:tcPr>
            <w:tcW w:w="1727" w:type="dxa"/>
            <w:shd w:val="clear" w:color="auto" w:fill="auto"/>
            <w:vAlign w:val="center"/>
          </w:tcPr>
          <w:p w14:paraId="23C86D1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60</w:t>
            </w:r>
          </w:p>
        </w:tc>
        <w:tc>
          <w:tcPr>
            <w:tcW w:w="1554" w:type="dxa"/>
            <w:shd w:val="clear" w:color="auto" w:fill="auto"/>
            <w:vAlign w:val="center"/>
          </w:tcPr>
          <w:p w14:paraId="2AE0F2D0">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4.72</w:t>
            </w:r>
            <w:r>
              <w:rPr>
                <w:rStyle w:val="33"/>
                <w:rFonts w:hint="eastAsia"/>
                <w:lang w:val="en-US" w:eastAsia="zh-CN"/>
              </w:rPr>
              <w:footnoteReference w:id="4"/>
            </w:r>
          </w:p>
        </w:tc>
        <w:tc>
          <w:tcPr>
            <w:tcW w:w="1302" w:type="dxa"/>
            <w:shd w:val="clear" w:color="auto" w:fill="auto"/>
            <w:vAlign w:val="center"/>
          </w:tcPr>
          <w:p w14:paraId="12B85537">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1.9299</w:t>
            </w:r>
            <w:r>
              <w:rPr>
                <w:rStyle w:val="33"/>
                <w:rFonts w:hint="eastAsia"/>
                <w:lang w:val="en-US" w:eastAsia="zh-CN"/>
              </w:rPr>
              <w:footnoteReference w:id="5"/>
            </w:r>
          </w:p>
        </w:tc>
        <w:tc>
          <w:tcPr>
            <w:tcW w:w="876" w:type="dxa"/>
            <w:vMerge w:val="restart"/>
            <w:shd w:val="clear" w:color="auto" w:fill="auto"/>
            <w:vAlign w:val="center"/>
          </w:tcPr>
          <w:p w14:paraId="58EB1C11">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ascii="Times New Roman" w:hAnsi="Times New Roman" w:eastAsia="宋体" w:cs="宋体"/>
                <w:lang w:val="en-US" w:eastAsia="zh-CN"/>
              </w:rPr>
            </w:pPr>
            <w:r>
              <w:rPr>
                <w:rFonts w:hint="eastAsia" w:ascii="Times New Roman" w:hAnsi="Times New Roman" w:eastAsia="宋体" w:cs="宋体"/>
                <w:lang w:val="en-US" w:eastAsia="zh-CN"/>
              </w:rPr>
              <w:t>5.448</w:t>
            </w:r>
          </w:p>
        </w:tc>
      </w:tr>
      <w:tr w14:paraId="7034D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291" w:type="dxa"/>
            <w:vMerge w:val="continue"/>
            <w:shd w:val="clear" w:color="auto" w:fill="auto"/>
            <w:vAlign w:val="center"/>
          </w:tcPr>
          <w:p w14:paraId="3C8BB7A2">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p>
        </w:tc>
        <w:tc>
          <w:tcPr>
            <w:tcW w:w="823" w:type="dxa"/>
            <w:shd w:val="clear" w:color="auto" w:fill="auto"/>
            <w:vAlign w:val="center"/>
          </w:tcPr>
          <w:p w14:paraId="2DAD9F4C">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PET</w:t>
            </w:r>
          </w:p>
        </w:tc>
        <w:tc>
          <w:tcPr>
            <w:tcW w:w="1714" w:type="dxa"/>
            <w:vMerge w:val="continue"/>
            <w:shd w:val="clear" w:color="auto" w:fill="auto"/>
            <w:vAlign w:val="center"/>
          </w:tcPr>
          <w:p w14:paraId="58AA8DD6">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eastAsia"/>
                <w:lang w:val="en-US" w:eastAsia="zh-CN"/>
              </w:rPr>
            </w:pPr>
          </w:p>
        </w:tc>
        <w:tc>
          <w:tcPr>
            <w:tcW w:w="1727" w:type="dxa"/>
            <w:shd w:val="clear" w:color="auto" w:fill="auto"/>
            <w:vAlign w:val="center"/>
          </w:tcPr>
          <w:p w14:paraId="61993DE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40</w:t>
            </w:r>
          </w:p>
        </w:tc>
        <w:tc>
          <w:tcPr>
            <w:tcW w:w="1554" w:type="dxa"/>
            <w:shd w:val="clear" w:color="auto" w:fill="auto"/>
            <w:vAlign w:val="center"/>
          </w:tcPr>
          <w:p w14:paraId="0029AB9F">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2.23</w:t>
            </w:r>
            <w:r>
              <w:rPr>
                <w:rStyle w:val="33"/>
                <w:rFonts w:hint="eastAsia"/>
                <w:lang w:val="en-US" w:eastAsia="zh-CN"/>
              </w:rPr>
              <w:footnoteReference w:id="6"/>
            </w:r>
          </w:p>
        </w:tc>
        <w:tc>
          <w:tcPr>
            <w:tcW w:w="1302" w:type="dxa"/>
            <w:shd w:val="clear" w:color="auto" w:fill="auto"/>
            <w:vAlign w:val="center"/>
          </w:tcPr>
          <w:p w14:paraId="45AB4302">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lang w:val="en-US" w:eastAsia="zh-CN"/>
              </w:rPr>
            </w:pPr>
            <w:r>
              <w:rPr>
                <w:rFonts w:hint="eastAsia"/>
                <w:lang w:val="en-US" w:eastAsia="zh-CN"/>
              </w:rPr>
              <w:t>1.4149</w:t>
            </w:r>
            <w:r>
              <w:rPr>
                <w:rStyle w:val="33"/>
                <w:rFonts w:hint="eastAsia"/>
                <w:lang w:val="en-US" w:eastAsia="zh-CN"/>
              </w:rPr>
              <w:footnoteReference w:id="7"/>
            </w:r>
          </w:p>
        </w:tc>
        <w:tc>
          <w:tcPr>
            <w:tcW w:w="876" w:type="dxa"/>
            <w:vMerge w:val="continue"/>
            <w:shd w:val="clear" w:color="auto" w:fill="auto"/>
            <w:vAlign w:val="center"/>
          </w:tcPr>
          <w:p w14:paraId="56D99611">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eastAsia" w:ascii="Times New Roman" w:hAnsi="Times New Roman" w:eastAsia="宋体" w:cs="宋体"/>
                <w:lang w:val="en-US" w:eastAsia="zh-CN"/>
              </w:rPr>
            </w:pPr>
          </w:p>
        </w:tc>
      </w:tr>
    </w:tbl>
    <w:p w14:paraId="2682502D">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行为次数</w:t>
      </w:r>
    </w:p>
    <w:p w14:paraId="6985C3A8">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外卖平台可直接记录用户选择“无需餐具”的订单数量（</w:t>
      </w:r>
      <m:oMath>
        <m:sSub>
          <m:sSubPr>
            <m:ctrlPr>
              <w:rPr>
                <w:rFonts w:hint="eastAsia" w:ascii="Cambria Math" w:hAnsi="Cambria Math"/>
                <w:lang w:val="en-US" w:eastAsia="zh-CN"/>
              </w:rPr>
            </m:ctrlPr>
          </m:sSubPr>
          <m:e>
            <m:r>
              <m:rPr>
                <m:sty m:val="p"/>
              </m:rPr>
              <w:rPr>
                <w:rFonts w:hint="eastAsia" w:ascii="Times New Roman" w:hAnsi="Times New Roman"/>
                <w:lang w:val="en-US" w:eastAsia="zh-CN"/>
              </w:rPr>
              <m:t>N</m:t>
            </m:r>
            <m:ctrlPr>
              <w:rPr>
                <w:rFonts w:hint="eastAsia" w:ascii="Cambria Math" w:hAnsi="Cambria Math"/>
                <w:lang w:val="en-US" w:eastAsia="zh-CN"/>
              </w:rPr>
            </m:ctrlPr>
          </m:e>
          <m:sub>
            <m:r>
              <m:rPr>
                <m:sty m:val="p"/>
              </m:rPr>
              <w:rPr>
                <w:rFonts w:hint="eastAsia" w:ascii="Times New Roman" w:hAnsi="Times New Roman"/>
                <w:lang w:val="en-US" w:eastAsia="zh-CN"/>
              </w:rPr>
              <m:t>i</m:t>
            </m:r>
            <m:ctrlPr>
              <w:rPr>
                <w:rFonts w:hint="eastAsia" w:ascii="Cambria Math" w:hAnsi="Cambria Math"/>
                <w:lang w:val="en-US" w:eastAsia="zh-CN"/>
              </w:rPr>
            </m:ctrlPr>
          </m:sub>
        </m:sSub>
      </m:oMath>
      <w:r>
        <w:rPr>
          <w:rFonts w:hint="eastAsia"/>
          <w:lang w:val="en-US" w:eastAsia="zh-CN"/>
        </w:rPr>
        <w:t>）及每次减少的餐具套数（</w:t>
      </w:r>
      <m:oMath>
        <m:sSub>
          <m:sSubPr>
            <m:ctrlPr>
              <w:rPr>
                <w:rFonts w:hint="eastAsia" w:ascii="Cambria Math" w:hAnsi="Cambria Math"/>
                <w:lang w:val="en-US" w:eastAsia="zh-CN"/>
              </w:rPr>
            </m:ctrlPr>
          </m:sSubPr>
          <m:e>
            <m:r>
              <m:rPr>
                <m:sty m:val="p"/>
              </m:rPr>
              <w:rPr>
                <w:rFonts w:hint="eastAsia" w:ascii="Times New Roman" w:hAnsi="Times New Roman"/>
                <w:lang w:val="en-US" w:eastAsia="zh-CN"/>
              </w:rPr>
              <m:t>M</m:t>
            </m:r>
            <m:ctrlPr>
              <w:rPr>
                <w:rFonts w:hint="eastAsia" w:ascii="Cambria Math" w:hAnsi="Cambria Math"/>
                <w:lang w:val="en-US" w:eastAsia="zh-CN"/>
              </w:rPr>
            </m:ctrlPr>
          </m:e>
          <m:sub>
            <m:r>
              <m:rPr>
                <m:sty m:val="p"/>
              </m:rPr>
              <w:rPr>
                <w:rFonts w:hint="eastAsia" w:ascii="Times New Roman" w:hAnsi="Times New Roman"/>
                <w:lang w:val="en-US" w:eastAsia="zh-CN"/>
              </w:rPr>
              <m:t>i</m:t>
            </m:r>
            <m:ctrlPr>
              <w:rPr>
                <w:rFonts w:hint="eastAsia" w:ascii="Cambria Math" w:hAnsi="Cambria Math"/>
                <w:lang w:val="en-US" w:eastAsia="zh-CN"/>
              </w:rPr>
            </m:ctrlPr>
          </m:sub>
        </m:sSub>
      </m:oMath>
      <w:r>
        <w:rPr>
          <w:rFonts w:hint="eastAsia"/>
          <w:lang w:val="en-US" w:eastAsia="zh-CN"/>
        </w:rPr>
        <w:t>）。当无法获取具体数据时，可按照保守性原则，假设每次选择无需餐具时减少1套餐具。</w:t>
      </w:r>
    </w:p>
    <w:p w14:paraId="7B42B647">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剩饭剩菜行为碳排放</w:t>
      </w:r>
    </w:p>
    <w:p w14:paraId="4E316C2C">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eastAsia" w:ascii="Cambria Math" w:hAnsi="Cambria Math"/>
                <w:lang w:val="en-US" w:eastAsia="zh-CN"/>
              </w:rPr>
            </m:ctrlPr>
          </m:sSubPr>
          <m:e>
            <m:r>
              <m:rPr>
                <m:sty m:val="p"/>
              </m:rPr>
              <w:rPr>
                <w:rFonts w:hint="eastAsia" w:ascii="Times New Roman" w:hAnsi="Times New Roman"/>
                <w:lang w:val="en-US" w:eastAsia="zh-CN"/>
              </w:rPr>
              <m:t>W</m:t>
            </m:r>
            <m:ctrlPr>
              <w:rPr>
                <w:rFonts w:hint="eastAsia" w:ascii="Cambria Math" w:hAnsi="Cambria Math"/>
                <w:lang w:val="en-US" w:eastAsia="zh-CN"/>
              </w:rPr>
            </m:ctrlPr>
          </m:e>
          <m:sub>
            <m:r>
              <m:rPr>
                <m:sty m:val="p"/>
              </m:rPr>
              <w:rPr>
                <w:rFonts w:hint="eastAsia" w:ascii="Times New Roman" w:hAnsi="Times New Roman"/>
                <w:lang w:val="en-US" w:eastAsia="zh-CN"/>
              </w:rPr>
              <m:t>B</m:t>
            </m:r>
            <m:ctrlPr>
              <w:rPr>
                <w:rFonts w:hint="eastAsia" w:ascii="Cambria Math" w:hAnsi="Cambria Math"/>
                <w:lang w:val="en-US" w:eastAsia="zh-CN"/>
              </w:rPr>
            </m:ctrlPr>
          </m:sub>
        </m:sSub>
      </m:oMath>
      <w:r>
        <w:rPr>
          <w:rFonts w:hint="eastAsia"/>
          <w:lang w:val="en-US" w:eastAsia="zh-CN"/>
        </w:rPr>
        <w:t>：基准线情景下食物的平均浪费量</w:t>
      </w:r>
    </w:p>
    <w:p w14:paraId="4462164A">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下食物的平均浪费量优先由餐厅方提供实际监测数据；若餐厅方无法提供实际数据，则采用推荐值0.2kg/人作为核算依据。此推荐值依据《中国城市餐饮业减少食物浪费试点总结》，大多数餐企人均食物剩余量集中在0.2～0.5kg区间，占比约36%</w:t>
      </w:r>
      <w:r>
        <w:rPr>
          <w:rFonts w:hint="eastAsia"/>
          <w:vertAlign w:val="superscript"/>
          <w:lang w:val="en-US" w:eastAsia="zh-CN"/>
        </w:rPr>
        <w:footnoteReference w:id="8"/>
      </w:r>
      <w:r>
        <w:rPr>
          <w:rFonts w:hint="eastAsia"/>
          <w:lang w:val="en-US" w:eastAsia="zh-CN"/>
        </w:rPr>
        <w:t>。根据保守性原则，在缺乏餐厅方实际数据时，采用0.2kg/人作为基准线情景下食物平均浪费量的核算值。</w:t>
      </w:r>
    </w:p>
    <w:p w14:paraId="3A0D0B4A">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n：用餐人数</w:t>
      </w:r>
    </w:p>
    <w:p w14:paraId="09F33369">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由餐厅方每天对用餐人数进行记录、整理、统计、留存，为核算时提供数据。</w:t>
      </w:r>
    </w:p>
    <w:p w14:paraId="6F36D047">
      <w:pPr>
        <w:pStyle w:val="4"/>
        <w:keepNext w:val="0"/>
        <w:keepLines w:val="0"/>
        <w:pageBreakBefore w:val="0"/>
        <w:widowControl w:val="0"/>
        <w:kinsoku/>
        <w:wordWrap/>
        <w:overflowPunct/>
        <w:topLinePunct w:val="0"/>
        <w:bidi w:val="0"/>
        <w:textAlignment w:val="auto"/>
        <w:rPr>
          <w:rFonts w:hint="eastAsia"/>
          <w:lang w:val="en-US" w:eastAsia="zh-CN"/>
        </w:rPr>
      </w:pPr>
      <m:oMath>
        <m:r>
          <m:rPr>
            <m:sty m:val="p"/>
          </m:rPr>
          <w:rPr>
            <w:rFonts w:hint="eastAsia" w:ascii="Times New Roman" w:hAnsi="Times New Roman"/>
            <w:lang w:val="en-US" w:eastAsia="zh-CN"/>
          </w:rPr>
          <m:t>E</m:t>
        </m:r>
        <m:sSub>
          <m:sSubPr>
            <m:ctrlPr>
              <w:rPr>
                <w:rFonts w:hint="eastAsia" w:ascii="Cambria Math" w:hAnsi="Cambria Math"/>
                <w:lang w:val="en-US" w:eastAsia="zh-CN"/>
              </w:rPr>
            </m:ctrlPr>
          </m:sSubPr>
          <m:e>
            <m:r>
              <m:rPr>
                <m:sty m:val="p"/>
              </m:rPr>
              <w:rPr>
                <w:rFonts w:hint="eastAsia" w:ascii="Times New Roman" w:hAnsi="Times New Roman"/>
                <w:lang w:val="en-US" w:eastAsia="zh-CN"/>
              </w:rPr>
              <m:t>F</m:t>
            </m:r>
            <m:ctrlPr>
              <w:rPr>
                <w:rFonts w:hint="eastAsia" w:ascii="Cambria Math" w:hAnsi="Cambria Math"/>
                <w:lang w:val="en-US" w:eastAsia="zh-CN"/>
              </w:rPr>
            </m:ctrlPr>
          </m:e>
          <m:sub>
            <m:r>
              <m:rPr>
                <m:sty m:val="p"/>
              </m:rPr>
              <w:rPr>
                <w:rFonts w:hint="eastAsia" w:ascii="Times New Roman" w:hAnsi="Times New Roman"/>
                <w:lang w:val="en-US" w:eastAsia="zh-CN"/>
              </w:rPr>
              <m:t>food</m:t>
            </m:r>
            <m:ctrlPr>
              <w:rPr>
                <w:rFonts w:hint="eastAsia" w:ascii="Cambria Math" w:hAnsi="Cambria Math"/>
                <w:lang w:val="en-US" w:eastAsia="zh-CN"/>
              </w:rPr>
            </m:ctrlPr>
          </m:sub>
        </m:sSub>
      </m:oMath>
      <w:r>
        <w:rPr>
          <w:rFonts w:hint="eastAsia"/>
          <w:lang w:val="en-US" w:eastAsia="zh-CN"/>
        </w:rPr>
        <w:t>：餐桌食物的全生命周期平均碳排放因子</w:t>
      </w:r>
    </w:p>
    <w:p w14:paraId="38A02193">
      <w:pPr>
        <w:pStyle w:val="5"/>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在计算注册参与用户堂食时不践行“光盘行动”导致的食物浪费全生命周期碳排放量所采用的排放因子时，参考了下表中“食物”、“食物运输、加工”、“食物废弃处置”三个类别的碳排放因子缺省值，并将其求和。其缺省值参考于中华环保联合会发布的团体标准《公民绿色低碳行为温室气体减排量化指南 食：光盘》（T/ACEF 212-2025），这份报告针对食堂场景食物浪费的碳排放开展了系统核算，与本情景中“用户堂食剩余食物导致的全生命周期排放”边界高度匹配，已综合不同食材类型、加工方式、运输路径、废弃处置方式的行业平均水平，求和后能准确代表“堂食剩余食物”的典型全生命周期排放水平。若没有实际调研值，推荐使用3.8754（k</w:t>
      </w:r>
      <w:r>
        <w:rPr>
          <w:rFonts w:hint="default" w:ascii="Times New Roman" w:hAnsi="Times New Roman" w:cs="Times New Roman"/>
          <w:lang w:val="en-US" w:eastAsia="zh-CN"/>
        </w:rPr>
        <w:t>gCO₂</w:t>
      </w:r>
      <w:r>
        <w:rPr>
          <w:rFonts w:hint="eastAsia"/>
          <w:lang w:val="en-US" w:eastAsia="zh-CN"/>
        </w:rPr>
        <w:t>/kg）。</w:t>
      </w:r>
    </w:p>
    <w:p w14:paraId="76A2E6ED">
      <w:pPr>
        <w:pStyle w:val="13"/>
        <w:keepNext w:val="0"/>
        <w:keepLines w:val="0"/>
        <w:pageBreakBefore w:val="0"/>
        <w:widowControl w:val="0"/>
        <w:kinsoku/>
        <w:wordWrap/>
        <w:overflowPunct/>
        <w:topLinePunct w:val="0"/>
        <w:bidi w:val="0"/>
        <w:textAlignment w:val="auto"/>
        <w:rPr>
          <w:rFonts w:hint="eastAsia" w:eastAsia="宋体"/>
          <w:lang w:eastAsia="zh-CN"/>
        </w:rPr>
      </w:pPr>
      <w:r>
        <w:t xml:space="preserve">表 </w:t>
      </w:r>
      <w:r>
        <w:fldChar w:fldCharType="begin"/>
      </w:r>
      <w:r>
        <w:instrText xml:space="preserve"> SEQ 表 \* ARABIC </w:instrText>
      </w:r>
      <w:r>
        <w:fldChar w:fldCharType="separate"/>
      </w:r>
      <w:r>
        <w:t>2</w:t>
      </w:r>
      <w:r>
        <w:fldChar w:fldCharType="end"/>
      </w:r>
      <w:r>
        <w:rPr>
          <w:rFonts w:hint="eastAsia"/>
          <w:lang w:eastAsia="zh-CN"/>
        </w:rPr>
        <w:t xml:space="preserve"> </w:t>
      </w:r>
      <w:r>
        <w:rPr>
          <w:rFonts w:hint="eastAsia"/>
          <w:lang w:val="en-US" w:eastAsia="zh-CN"/>
        </w:rPr>
        <w:t>餐桌食物全生命周期</w:t>
      </w:r>
      <w:r>
        <w:rPr>
          <w:rFonts w:hint="eastAsia"/>
          <w:lang w:eastAsia="zh-CN"/>
        </w:rPr>
        <w:t>排放因子缺省值</w:t>
      </w:r>
    </w:p>
    <w:tbl>
      <w:tblPr>
        <w:tblStyle w:val="29"/>
        <w:tblW w:w="92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47"/>
        <w:gridCol w:w="2789"/>
        <w:gridCol w:w="2145"/>
      </w:tblGrid>
      <w:tr w14:paraId="3FEA2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0" w:type="auto"/>
            <w:vAlign w:val="center"/>
          </w:tcPr>
          <w:p w14:paraId="6D0CB1B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类别</w:t>
            </w:r>
          </w:p>
        </w:tc>
        <w:tc>
          <w:tcPr>
            <w:tcW w:w="0" w:type="auto"/>
            <w:vAlign w:val="center"/>
          </w:tcPr>
          <w:p w14:paraId="33DC10FA">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单位</w:t>
            </w:r>
          </w:p>
        </w:tc>
        <w:tc>
          <w:tcPr>
            <w:tcW w:w="2145" w:type="dxa"/>
            <w:vAlign w:val="center"/>
          </w:tcPr>
          <w:p w14:paraId="16C7608C">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b/>
                <w:lang w:val="en-US" w:eastAsia="zh-CN"/>
              </w:rPr>
            </w:pPr>
            <w:r>
              <w:rPr>
                <w:rFonts w:hint="eastAsia"/>
                <w:b/>
                <w:lang w:val="en-US" w:eastAsia="zh-CN"/>
              </w:rPr>
              <w:t>缺省值</w:t>
            </w:r>
          </w:p>
        </w:tc>
      </w:tr>
      <w:tr w14:paraId="7A644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vAlign w:val="center"/>
          </w:tcPr>
          <w:p w14:paraId="506831D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食物</w:t>
            </w:r>
          </w:p>
        </w:tc>
        <w:tc>
          <w:tcPr>
            <w:tcW w:w="2789" w:type="dxa"/>
            <w:vAlign w:val="center"/>
          </w:tcPr>
          <w:p w14:paraId="2BC55963">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kgCO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/kg</w:t>
            </w:r>
          </w:p>
        </w:tc>
        <w:tc>
          <w:tcPr>
            <w:tcW w:w="2145" w:type="dxa"/>
            <w:vAlign w:val="center"/>
          </w:tcPr>
          <w:p w14:paraId="2A6BB236">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2.9114</w:t>
            </w:r>
          </w:p>
        </w:tc>
      </w:tr>
      <w:tr w14:paraId="66DB4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0" w:type="auto"/>
            <w:vAlign w:val="center"/>
          </w:tcPr>
          <w:p w14:paraId="1A4F6769">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食物运输、加工</w:t>
            </w:r>
          </w:p>
        </w:tc>
        <w:tc>
          <w:tcPr>
            <w:tcW w:w="2789" w:type="dxa"/>
            <w:vAlign w:val="center"/>
          </w:tcPr>
          <w:p w14:paraId="067F9FD3">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default" w:ascii="Times New Roman" w:hAnsi="Times New Roman" w:cs="Times New Roman"/>
                <w:lang w:val="en-US" w:eastAsia="zh-CN"/>
              </w:rPr>
              <w:t>kgCO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/kg</w:t>
            </w:r>
          </w:p>
        </w:tc>
        <w:tc>
          <w:tcPr>
            <w:tcW w:w="2145" w:type="dxa"/>
            <w:vAlign w:val="center"/>
          </w:tcPr>
          <w:p w14:paraId="166D834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0.4831</w:t>
            </w:r>
          </w:p>
        </w:tc>
      </w:tr>
      <w:tr w14:paraId="15A33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47" w:type="dxa"/>
            <w:vAlign w:val="center"/>
          </w:tcPr>
          <w:p w14:paraId="3431DE7A">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食物废弃处置</w:t>
            </w:r>
          </w:p>
        </w:tc>
        <w:tc>
          <w:tcPr>
            <w:tcW w:w="2789" w:type="dxa"/>
            <w:vAlign w:val="center"/>
          </w:tcPr>
          <w:p w14:paraId="2FD112B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default" w:ascii="Times New Roman" w:hAnsi="Times New Roman" w:cs="Times New Roman"/>
                <w:lang w:val="en-US" w:eastAsia="zh-CN"/>
              </w:rPr>
              <w:t>kgCO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/kg</w:t>
            </w:r>
          </w:p>
        </w:tc>
        <w:tc>
          <w:tcPr>
            <w:tcW w:w="2145" w:type="dxa"/>
            <w:vAlign w:val="center"/>
          </w:tcPr>
          <w:p w14:paraId="0D619F09">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eastAsia"/>
                <w:lang w:val="en-US" w:eastAsia="zh-CN"/>
              </w:rPr>
              <w:t>0.4809</w:t>
            </w:r>
          </w:p>
        </w:tc>
      </w:tr>
      <w:tr w14:paraId="3EA19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347" w:type="dxa"/>
            <w:vAlign w:val="center"/>
          </w:tcPr>
          <w:p w14:paraId="43182D98">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eastAsia"/>
                <w:lang w:val="en-US" w:eastAsia="zh-CN"/>
              </w:rPr>
              <w:t>合计</w:t>
            </w:r>
          </w:p>
        </w:tc>
        <w:tc>
          <w:tcPr>
            <w:tcW w:w="2789" w:type="dxa"/>
            <w:vAlign w:val="center"/>
          </w:tcPr>
          <w:p w14:paraId="506416A3">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eastAsia"/>
                <w:lang w:val="en-US" w:eastAsia="zh-CN"/>
              </w:rPr>
            </w:pPr>
            <w:r>
              <w:rPr>
                <w:rFonts w:hint="default" w:ascii="Times New Roman" w:hAnsi="Times New Roman" w:cs="Times New Roman"/>
                <w:lang w:val="en-US" w:eastAsia="zh-CN"/>
              </w:rPr>
              <w:t>kgCO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/kg</w:t>
            </w:r>
          </w:p>
        </w:tc>
        <w:tc>
          <w:tcPr>
            <w:tcW w:w="2145" w:type="dxa"/>
            <w:vAlign w:val="center"/>
          </w:tcPr>
          <w:p w14:paraId="08EDDF34">
            <w:pPr>
              <w:pStyle w:val="42"/>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eastAsia"/>
                <w:lang w:val="en-US" w:eastAsia="zh-CN"/>
              </w:rPr>
              <w:t>3.8754</w:t>
            </w:r>
          </w:p>
        </w:tc>
      </w:tr>
    </w:tbl>
    <w:p w14:paraId="4487643F">
      <w:pPr>
        <w:pStyle w:val="2"/>
        <w:bidi w:val="0"/>
        <w:rPr>
          <w:rFonts w:hint="eastAsia"/>
        </w:rPr>
      </w:pPr>
      <w:r>
        <w:rPr>
          <w:rFonts w:hint="eastAsia"/>
          <w:lang w:val="en-US" w:eastAsia="zh-CN"/>
        </w:rPr>
        <w:t>事项说明</w:t>
      </w:r>
    </w:p>
    <w:p w14:paraId="2C4280F6">
      <w:pPr>
        <w:pStyle w:val="3"/>
        <w:bidi w:val="0"/>
        <w:rPr>
          <w:rFonts w:hint="eastAsia"/>
        </w:rPr>
      </w:pPr>
      <w:r>
        <w:rPr>
          <w:rFonts w:hint="eastAsia"/>
        </w:rPr>
        <w:t>主要试验（或验证）情况分析</w:t>
      </w:r>
    </w:p>
    <w:p w14:paraId="2578E90E">
      <w:pPr>
        <w:pStyle w:val="5"/>
        <w:bidi w:val="0"/>
        <w:rPr>
          <w:rFonts w:hint="eastAsia"/>
        </w:rPr>
      </w:pPr>
      <w:r>
        <w:rPr>
          <w:rFonts w:hint="eastAsia"/>
        </w:rPr>
        <w:t>暂无。</w:t>
      </w:r>
    </w:p>
    <w:p w14:paraId="0CF05F7C">
      <w:pPr>
        <w:pStyle w:val="3"/>
        <w:bidi w:val="0"/>
        <w:rPr>
          <w:rFonts w:hint="eastAsia"/>
        </w:rPr>
      </w:pPr>
      <w:r>
        <w:rPr>
          <w:rFonts w:hint="eastAsia"/>
        </w:rPr>
        <w:t>标准中涉及专利的情况</w:t>
      </w:r>
    </w:p>
    <w:p w14:paraId="153C3EB3">
      <w:pPr>
        <w:pStyle w:val="5"/>
        <w:bidi w:val="0"/>
        <w:rPr>
          <w:rFonts w:hint="eastAsia"/>
        </w:rPr>
      </w:pPr>
      <w:r>
        <w:rPr>
          <w:rFonts w:hint="eastAsia"/>
        </w:rPr>
        <w:t>暂无。</w:t>
      </w:r>
    </w:p>
    <w:p w14:paraId="477018FD">
      <w:pPr>
        <w:pStyle w:val="3"/>
        <w:bidi w:val="0"/>
        <w:rPr>
          <w:rFonts w:hint="eastAsia"/>
        </w:rPr>
      </w:pPr>
      <w:r>
        <w:rPr>
          <w:rFonts w:hint="eastAsia"/>
        </w:rPr>
        <w:t>预期达到的社会效益、对产业发展的作用的情况</w:t>
      </w:r>
    </w:p>
    <w:p w14:paraId="3AE46EB3">
      <w:pPr>
        <w:pStyle w:val="5"/>
        <w:bidi w:val="0"/>
        <w:rPr>
          <w:rFonts w:hint="eastAsia"/>
        </w:rPr>
      </w:pPr>
      <w:r>
        <w:rPr>
          <w:rFonts w:hint="eastAsia"/>
        </w:rPr>
        <w:t>本标准的制定参考了已经发布的国标和该专业领域内重点关注行业的标准，结合对减排场景的调研和收集相关数据，通过该标准能够较为公正、客观的反应公交出行行为碳减排量化。遵循本标准可以对公交出行行为碳减排相关方提供温室气体减排量核算的依据，也可提供给公民自我监测、管理的手段。</w:t>
      </w:r>
    </w:p>
    <w:p w14:paraId="0CDC5C26">
      <w:pPr>
        <w:pStyle w:val="3"/>
        <w:bidi w:val="0"/>
        <w:rPr>
          <w:rFonts w:hint="eastAsia"/>
        </w:rPr>
      </w:pPr>
      <w:r>
        <w:rPr>
          <w:rFonts w:hint="eastAsia"/>
        </w:rPr>
        <w:t>采用国际标准和国外先进标准情况，与国际、国外同类标准水平的对比情况，国内外关键指标对比分析或与测试的国外样品、样机的相关数据对比情况</w:t>
      </w:r>
    </w:p>
    <w:p w14:paraId="46D317EA">
      <w:pPr>
        <w:pStyle w:val="5"/>
        <w:bidi w:val="0"/>
        <w:rPr>
          <w:rFonts w:hint="eastAsia"/>
          <w:lang w:eastAsia="zh-CN"/>
        </w:rPr>
      </w:pPr>
      <w:r>
        <w:rPr>
          <w:rFonts w:hint="eastAsia"/>
        </w:rPr>
        <w:t>无</w:t>
      </w:r>
      <w:r>
        <w:rPr>
          <w:rFonts w:hint="eastAsia"/>
          <w:lang w:eastAsia="zh-CN"/>
        </w:rPr>
        <w:t>。</w:t>
      </w:r>
    </w:p>
    <w:p w14:paraId="4AAA6CA8">
      <w:pPr>
        <w:pStyle w:val="3"/>
        <w:bidi w:val="0"/>
        <w:rPr>
          <w:rFonts w:hint="eastAsia"/>
          <w:lang w:eastAsia="zh-CN"/>
        </w:rPr>
      </w:pPr>
      <w:r>
        <w:rPr>
          <w:rFonts w:hint="eastAsia"/>
          <w:lang w:eastAsia="zh-CN"/>
        </w:rPr>
        <w:t>在标准体系中的位置，与现行相关法律、法规、规章及相关标准，特别是强制性标准的协调性</w:t>
      </w:r>
    </w:p>
    <w:p w14:paraId="7D8DB0D5">
      <w:pPr>
        <w:pStyle w:val="5"/>
        <w:bidi w:val="0"/>
        <w:rPr>
          <w:rFonts w:hint="eastAsia"/>
          <w:lang w:eastAsia="zh-CN"/>
        </w:rPr>
      </w:pPr>
      <w:r>
        <w:rPr>
          <w:rFonts w:hint="eastAsia"/>
          <w:lang w:eastAsia="zh-CN"/>
        </w:rPr>
        <w:t>本标准属于团体标准，与现行法律、法规、规章和政策以及有关基础和相关标准不矛盾。</w:t>
      </w:r>
    </w:p>
    <w:p w14:paraId="5C84279D">
      <w:pPr>
        <w:pStyle w:val="3"/>
        <w:bidi w:val="0"/>
        <w:rPr>
          <w:rFonts w:hint="eastAsia"/>
          <w:lang w:eastAsia="zh-CN"/>
        </w:rPr>
      </w:pPr>
      <w:r>
        <w:rPr>
          <w:rFonts w:hint="eastAsia"/>
          <w:lang w:eastAsia="zh-CN"/>
        </w:rPr>
        <w:t>重大分歧意见的处理经过和依据</w:t>
      </w:r>
    </w:p>
    <w:p w14:paraId="41C9CF81">
      <w:pPr>
        <w:pStyle w:val="5"/>
        <w:bidi w:val="0"/>
        <w:rPr>
          <w:rFonts w:hint="eastAsia"/>
          <w:lang w:eastAsia="zh-CN"/>
        </w:rPr>
      </w:pPr>
      <w:r>
        <w:rPr>
          <w:rFonts w:hint="eastAsia"/>
          <w:lang w:eastAsia="zh-CN"/>
        </w:rPr>
        <w:t>本标准未产生重大分歧意见。</w:t>
      </w:r>
    </w:p>
    <w:p w14:paraId="6BCA01E5">
      <w:pPr>
        <w:pStyle w:val="3"/>
        <w:bidi w:val="0"/>
        <w:rPr>
          <w:rFonts w:hint="eastAsia"/>
          <w:lang w:eastAsia="zh-CN"/>
        </w:rPr>
      </w:pPr>
      <w:r>
        <w:rPr>
          <w:rFonts w:hint="eastAsia"/>
          <w:lang w:eastAsia="zh-CN"/>
        </w:rPr>
        <w:t>标准性质的建议说明</w:t>
      </w:r>
    </w:p>
    <w:p w14:paraId="5729DD74">
      <w:pPr>
        <w:pStyle w:val="5"/>
        <w:bidi w:val="0"/>
        <w:rPr>
          <w:rFonts w:hint="eastAsia"/>
          <w:lang w:eastAsia="zh-CN"/>
        </w:rPr>
      </w:pPr>
      <w:r>
        <w:rPr>
          <w:rFonts w:hint="eastAsia"/>
          <w:lang w:eastAsia="zh-CN"/>
        </w:rPr>
        <w:t>本标准属于团体标准，供协会会员和社会自愿使用。</w:t>
      </w:r>
    </w:p>
    <w:p w14:paraId="37982788">
      <w:pPr>
        <w:pStyle w:val="3"/>
        <w:bidi w:val="0"/>
        <w:rPr>
          <w:rFonts w:hint="eastAsia"/>
          <w:lang w:eastAsia="zh-CN"/>
        </w:rPr>
      </w:pPr>
      <w:r>
        <w:rPr>
          <w:rFonts w:hint="eastAsia"/>
          <w:lang w:eastAsia="zh-CN"/>
        </w:rPr>
        <w:t>贯彻标准的要求和措施建议</w:t>
      </w:r>
    </w:p>
    <w:p w14:paraId="6B1B1669">
      <w:pPr>
        <w:pStyle w:val="5"/>
        <w:bidi w:val="0"/>
        <w:rPr>
          <w:rFonts w:hint="eastAsia"/>
          <w:lang w:eastAsia="zh-CN"/>
        </w:rPr>
      </w:pPr>
      <w:r>
        <w:rPr>
          <w:rFonts w:hint="eastAsia"/>
          <w:lang w:eastAsia="zh-CN"/>
        </w:rPr>
        <w:t>本标准为首次发布。</w:t>
      </w:r>
    </w:p>
    <w:p w14:paraId="632BD23E">
      <w:pPr>
        <w:pStyle w:val="3"/>
        <w:bidi w:val="0"/>
        <w:rPr>
          <w:rFonts w:hint="eastAsia"/>
          <w:lang w:eastAsia="zh-CN"/>
        </w:rPr>
      </w:pPr>
      <w:r>
        <w:rPr>
          <w:rFonts w:hint="eastAsia"/>
          <w:lang w:eastAsia="zh-CN"/>
        </w:rPr>
        <w:t>废止现行相关标准的建议</w:t>
      </w:r>
    </w:p>
    <w:p w14:paraId="0CF21BE7">
      <w:pPr>
        <w:pStyle w:val="5"/>
        <w:bidi w:val="0"/>
        <w:rPr>
          <w:rFonts w:hint="eastAsia"/>
          <w:lang w:eastAsia="zh-CN"/>
        </w:rPr>
      </w:pPr>
      <w:r>
        <w:rPr>
          <w:rFonts w:hint="eastAsia"/>
          <w:lang w:eastAsia="zh-CN"/>
        </w:rPr>
        <w:t>无。</w:t>
      </w:r>
    </w:p>
    <w:p w14:paraId="39F9B518">
      <w:pPr>
        <w:keepNext w:val="0"/>
        <w:keepLines w:val="0"/>
        <w:pageBreakBefore w:val="0"/>
        <w:widowControl w:val="0"/>
        <w:kinsoku/>
        <w:wordWrap/>
        <w:overflowPunct/>
        <w:topLinePunct w:val="0"/>
        <w:bidi w:val="0"/>
        <w:textAlignment w:val="auto"/>
        <w:rPr>
          <w:rFonts w:hint="eastAsia"/>
        </w:rPr>
      </w:pPr>
    </w:p>
    <w:sectPr>
      <w:footerReference r:id="rId7" w:type="default"/>
      <w:pgSz w:w="11906" w:h="16838"/>
      <w:pgMar w:top="2098" w:right="1247" w:bottom="1758" w:left="1588" w:header="1134" w:footer="1503" w:gutter="0"/>
      <w:pgNumType w:start="1"/>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200247B" w:usb2="00000009" w:usb3="00000000" w:csb0="200001FF" w:csb1="00000000"/>
  </w:font>
  <w:font w:name="Cambria Math">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0696592"/>
      <w:docPartObj>
        <w:docPartGallery w:val="autotext"/>
      </w:docPartObj>
    </w:sdtPr>
    <w:sdtContent>
      <w:p w14:paraId="021B5B35">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8124"/>
      <w:docPartObj>
        <w:docPartGallery w:val="autotext"/>
      </w:docPartObj>
    </w:sdtPr>
    <w:sdtContent>
      <w:sdt>
        <w:sdtPr>
          <w:id w:val="147470553"/>
          <w:docPartObj>
            <w:docPartGallery w:val="autotext"/>
          </w:docPartObj>
        </w:sdtPr>
        <w:sdtContent>
          <w:p w14:paraId="7FABFCFD">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8">
    <w:p>
      <w:pPr>
        <w:spacing w:line="360" w:lineRule="auto"/>
        <w:ind w:firstLine="480"/>
      </w:pPr>
      <w:r>
        <w:separator/>
      </w:r>
    </w:p>
  </w:footnote>
  <w:footnote w:type="continuationSeparator" w:id="19">
    <w:p>
      <w:pPr>
        <w:spacing w:line="360" w:lineRule="auto"/>
        <w:ind w:firstLine="480"/>
      </w:pPr>
      <w:r>
        <w:continuationSeparator/>
      </w:r>
    </w:p>
  </w:footnote>
  <w:footnote w:id="0">
    <w:p w14:paraId="4AE7A439">
      <w:pPr>
        <w:pStyle w:val="23"/>
        <w:snapToGrid w:val="0"/>
      </w:pPr>
      <w:r>
        <w:rPr>
          <w:rStyle w:val="33"/>
        </w:rPr>
        <w:footnoteRef/>
      </w:r>
      <w:r>
        <w:t xml:space="preserve"> </w:t>
      </w:r>
      <w:r>
        <w:rPr>
          <w:rFonts w:hint="eastAsia"/>
          <w:lang w:val="en-US" w:eastAsia="zh-CN"/>
        </w:rPr>
        <w:t>一次性筷子和餐勺的质量数据来源：温宗国, 张宇婷, 傅岱石.基于行业全产业链评估一份外卖订单的环境影响[J].中国环境科学,2019,39(9):8.</w:t>
      </w:r>
    </w:p>
  </w:footnote>
  <w:footnote w:id="1">
    <w:p w14:paraId="43AB62C0">
      <w:pPr>
        <w:pStyle w:val="23"/>
        <w:snapToGrid w:val="0"/>
        <w:rPr>
          <w:rFonts w:hint="eastAsia" w:eastAsia="宋体"/>
          <w:lang w:eastAsia="zh-CN"/>
        </w:rPr>
      </w:pPr>
      <w:r>
        <w:rPr>
          <w:rStyle w:val="33"/>
        </w:rPr>
        <w:footnoteRef/>
      </w:r>
      <w:r>
        <w:t xml:space="preserve"> </w:t>
      </w:r>
      <w:r>
        <w:rPr>
          <w:rFonts w:hint="eastAsia"/>
          <w:lang w:eastAsia="zh-CN"/>
        </w:rPr>
        <w:t>《</w:t>
      </w:r>
      <w:r>
        <w:rPr>
          <w:rFonts w:hint="eastAsia"/>
          <w:lang w:val="en-US" w:eastAsia="zh-CN"/>
        </w:rPr>
        <w:t>中国产品全生命周期温室气体排放系数库（2022）</w:t>
      </w:r>
      <w:r>
        <w:rPr>
          <w:rFonts w:hint="eastAsia"/>
          <w:lang w:eastAsia="zh-CN"/>
        </w:rPr>
        <w:t>》</w:t>
      </w:r>
    </w:p>
  </w:footnote>
  <w:footnote w:id="2">
    <w:p w14:paraId="5B540E48">
      <w:pPr>
        <w:pStyle w:val="23"/>
        <w:snapToGrid w:val="0"/>
      </w:pPr>
      <w:r>
        <w:rPr>
          <w:rStyle w:val="33"/>
        </w:rPr>
        <w:footnoteRef/>
      </w:r>
      <w:r>
        <w:t xml:space="preserve"> </w:t>
      </w:r>
      <w:r>
        <w:rPr>
          <w:rFonts w:hint="eastAsia"/>
          <w:lang w:val="en-US" w:eastAsia="zh-CN"/>
        </w:rPr>
        <w:t>周国模,顾蕾.竹材产品碳储量与碳足迹研究[M].1.科学出版社,2017年3月.</w:t>
      </w:r>
    </w:p>
  </w:footnote>
  <w:footnote w:id="3">
    <w:p w14:paraId="43CE0828">
      <w:pPr>
        <w:pStyle w:val="23"/>
        <w:snapToGrid w:val="0"/>
        <w:rPr>
          <w:rFonts w:hint="eastAsia" w:eastAsia="宋体"/>
          <w:lang w:eastAsia="zh-CN"/>
        </w:rPr>
      </w:pPr>
      <w:r>
        <w:rPr>
          <w:rStyle w:val="33"/>
        </w:rPr>
        <w:footnoteRef/>
      </w:r>
      <w:r>
        <w:t xml:space="preserve"> </w:t>
      </w:r>
      <w:r>
        <w:rPr>
          <w:rFonts w:hint="eastAsia"/>
          <w:lang w:eastAsia="zh-CN"/>
        </w:rPr>
        <w:t>《</w:t>
      </w:r>
      <w:r>
        <w:rPr>
          <w:rFonts w:hint="eastAsia"/>
          <w:lang w:val="en-US" w:eastAsia="zh-CN"/>
        </w:rPr>
        <w:t>中国产品全生命周期温室气体排放系数库（2022）</w:t>
      </w:r>
      <w:r>
        <w:rPr>
          <w:rFonts w:hint="eastAsia"/>
          <w:lang w:eastAsia="zh-CN"/>
        </w:rPr>
        <w:t>》</w:t>
      </w:r>
    </w:p>
  </w:footnote>
  <w:footnote w:id="4">
    <w:p w14:paraId="418BB03C">
      <w:pPr>
        <w:pStyle w:val="23"/>
        <w:snapToGrid w:val="0"/>
      </w:pPr>
      <w:r>
        <w:rPr>
          <w:rStyle w:val="33"/>
        </w:rPr>
        <w:footnoteRef/>
      </w:r>
      <w:r>
        <w:t xml:space="preserve"> </w:t>
      </w:r>
      <w:r>
        <w:rPr>
          <w:rFonts w:hint="eastAsia"/>
          <w:lang w:val="en-US" w:eastAsia="zh-CN"/>
        </w:rPr>
        <w:t>Ja A , Fan W , Dw A , et al. Estimated material metabolism and life cycle greenhouse gas emission of major plastics in China: A commercial sector-scale perspective.</w:t>
      </w:r>
    </w:p>
  </w:footnote>
  <w:footnote w:id="5">
    <w:p w14:paraId="6E349916">
      <w:pPr>
        <w:pStyle w:val="23"/>
        <w:snapToGrid w:val="0"/>
      </w:pPr>
      <w:r>
        <w:rPr>
          <w:rStyle w:val="33"/>
        </w:rPr>
        <w:footnoteRef/>
      </w:r>
      <w:r>
        <w:t xml:space="preserve"> </w:t>
      </w:r>
      <w:r>
        <w:rPr>
          <w:rFonts w:hint="eastAsia"/>
          <w:lang w:val="en-US" w:eastAsia="zh-CN"/>
        </w:rPr>
        <w:t>Emission Factors for Greenhouse Gas Inventories.(2021).EPA.</w:t>
      </w:r>
    </w:p>
  </w:footnote>
  <w:footnote w:id="6">
    <w:p w14:paraId="0CF765C7">
      <w:pPr>
        <w:pStyle w:val="23"/>
        <w:snapToGrid w:val="0"/>
      </w:pPr>
      <w:r>
        <w:rPr>
          <w:rStyle w:val="33"/>
        </w:rPr>
        <w:footnoteRef/>
      </w:r>
      <w:r>
        <w:t xml:space="preserve"> </w:t>
      </w:r>
      <w:r>
        <w:rPr>
          <w:rFonts w:hint="eastAsia"/>
          <w:lang w:val="en-US" w:eastAsia="zh-CN"/>
        </w:rPr>
        <w:t>2021年碳中和背景下PET瓶可持续发展报告[R].上海:Frost &amp; Sullivan、财联社、头豹研究院,2021.</w:t>
      </w:r>
    </w:p>
  </w:footnote>
  <w:footnote w:id="7">
    <w:p w14:paraId="3E218F3F">
      <w:pPr>
        <w:pStyle w:val="23"/>
        <w:snapToGrid w:val="0"/>
      </w:pPr>
      <w:r>
        <w:rPr>
          <w:rStyle w:val="33"/>
        </w:rPr>
        <w:footnoteRef/>
      </w:r>
      <w:r>
        <w:t xml:space="preserve"> </w:t>
      </w:r>
      <w:r>
        <w:rPr>
          <w:rFonts w:hint="eastAsia"/>
          <w:lang w:val="en-US" w:eastAsia="zh-CN"/>
        </w:rPr>
        <w:t>Emission Factors for Greenhouse Gas Inventories.(2021).EPA.</w:t>
      </w:r>
    </w:p>
  </w:footnote>
  <w:footnote w:id="8">
    <w:p w14:paraId="7DEC6DFD">
      <w:pPr>
        <w:pStyle w:val="23"/>
        <w:snapToGrid w:val="0"/>
        <w:rPr>
          <w:rFonts w:hint="default" w:eastAsia="宋体"/>
          <w:lang w:val="en-US" w:eastAsia="zh-CN"/>
        </w:rPr>
      </w:pPr>
      <w:r>
        <w:rPr>
          <w:rStyle w:val="33"/>
        </w:rPr>
        <w:footnoteRef/>
      </w:r>
      <w:r>
        <w:t xml:space="preserve"> </w:t>
      </w:r>
      <w:r>
        <w:rPr>
          <w:rFonts w:hint="eastAsia"/>
          <w:lang w:val="en-US" w:eastAsia="zh-CN"/>
        </w:rPr>
        <w:t>一个地球ONE PLANET，</w:t>
      </w:r>
      <w:r>
        <w:fldChar w:fldCharType="begin"/>
      </w:r>
      <w:r>
        <w:instrText xml:space="preserve"> HYPERLINK "https://www.opfngo.org.cn/storage/uploads/file/2025/03/31/7debdc5a73f707536a8d37a790c0ad05.pdf" </w:instrText>
      </w:r>
      <w:r>
        <w:fldChar w:fldCharType="separate"/>
      </w:r>
      <w:r>
        <w:t>中国城市餐饮业减少食物浪费试点总结</w:t>
      </w:r>
      <w:r>
        <w:fldChar w:fldCharType="end"/>
      </w:r>
      <w:r>
        <w:rPr>
          <w:rFonts w:hint="eastAsia"/>
          <w:lang w:eastAsia="zh-CN"/>
        </w:rPr>
        <w:t>，</w:t>
      </w:r>
      <w:r>
        <w:rPr>
          <w:rFonts w:hint="eastAsia"/>
          <w:lang w:val="en-US" w:eastAsia="zh-CN"/>
        </w:rPr>
        <w:t>2025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21F7D">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410C92"/>
    <w:multiLevelType w:val="multilevel"/>
    <w:tmpl w:val="41410C92"/>
    <w:lvl w:ilvl="0" w:tentative="0">
      <w:start w:val="1"/>
      <w:numFmt w:val="chineseCountingThousand"/>
      <w:pStyle w:val="2"/>
      <w:suff w:val="nothing"/>
      <w:lvlText w:val="%1、"/>
      <w:lvlJc w:val="left"/>
      <w:pPr>
        <w:ind w:left="420" w:firstLine="0"/>
      </w:pPr>
      <w:rPr>
        <w:rFonts w:hint="eastAsia"/>
      </w:rPr>
    </w:lvl>
    <w:lvl w:ilvl="1" w:tentative="0">
      <w:start w:val="1"/>
      <w:numFmt w:val="chineseCountingThousand"/>
      <w:pStyle w:val="3"/>
      <w:suff w:val="nothing"/>
      <w:lvlText w:val="（%2）"/>
      <w:lvlJc w:val="left"/>
      <w:pPr>
        <w:ind w:left="420" w:firstLine="0"/>
      </w:pPr>
      <w:rPr>
        <w:rFonts w:hint="eastAsia"/>
      </w:rPr>
    </w:lvl>
    <w:lvl w:ilvl="2" w:tentative="0">
      <w:start w:val="1"/>
      <w:numFmt w:val="decimal"/>
      <w:pStyle w:val="4"/>
      <w:suff w:val="nothing"/>
      <w:lvlText w:val="%3."/>
      <w:lvlJc w:val="left"/>
      <w:pPr>
        <w:ind w:left="420" w:firstLine="0"/>
      </w:pPr>
      <w:rPr>
        <w:rFonts w:hint="eastAsia"/>
      </w:rPr>
    </w:lvl>
    <w:lvl w:ilvl="3" w:tentative="0">
      <w:start w:val="1"/>
      <w:numFmt w:val="decimal"/>
      <w:pStyle w:val="6"/>
      <w:suff w:val="nothing"/>
      <w:lvlText w:val="（%4）"/>
      <w:lvlJc w:val="left"/>
      <w:pPr>
        <w:ind w:left="420" w:firstLine="0"/>
      </w:pPr>
    </w:lvl>
    <w:lvl w:ilvl="4" w:tentative="0">
      <w:start w:val="1"/>
      <w:numFmt w:val="upperLetter"/>
      <w:suff w:val="nothing"/>
      <w:lvlText w:val="%5."/>
      <w:lvlJc w:val="left"/>
      <w:pPr>
        <w:ind w:left="420" w:firstLine="0"/>
      </w:pPr>
      <w:rPr>
        <w:rFonts w:hint="eastAsia"/>
      </w:rPr>
    </w:lvl>
    <w:lvl w:ilvl="5" w:tentative="0">
      <w:start w:val="1"/>
      <w:numFmt w:val="lowerLetter"/>
      <w:suff w:val="nothing"/>
      <w:lvlText w:val="%6."/>
      <w:lvlJc w:val="left"/>
      <w:pPr>
        <w:ind w:left="420" w:firstLine="0"/>
      </w:pPr>
      <w:rPr>
        <w:rFonts w:hint="eastAsia"/>
      </w:rPr>
    </w:lvl>
    <w:lvl w:ilvl="6" w:tentative="0">
      <w:start w:val="1"/>
      <w:numFmt w:val="upperRoman"/>
      <w:suff w:val="nothing"/>
      <w:lvlText w:val="%7."/>
      <w:lvlJc w:val="left"/>
      <w:pPr>
        <w:ind w:left="420" w:firstLine="0"/>
      </w:pPr>
      <w:rPr>
        <w:rFonts w:hint="eastAsia"/>
      </w:rPr>
    </w:lvl>
    <w:lvl w:ilvl="7" w:tentative="0">
      <w:start w:val="1"/>
      <w:numFmt w:val="lowerRoman"/>
      <w:suff w:val="nothing"/>
      <w:lvlText w:val="%8)"/>
      <w:lvlJc w:val="left"/>
      <w:pPr>
        <w:ind w:left="420" w:firstLine="0"/>
      </w:pPr>
      <w:rPr>
        <w:rFonts w:hint="eastAsia"/>
      </w:rPr>
    </w:lvl>
    <w:lvl w:ilvl="8" w:tentative="0">
      <w:start w:val="1"/>
      <w:numFmt w:val="bullet"/>
      <w:suff w:val="nothing"/>
      <w:lvlText w:val=""/>
      <w:lvlJc w:val="left"/>
      <w:pPr>
        <w:ind w:left="420" w:firstLine="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18"/>
    <w:footnote w:id="19"/>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02B"/>
    <w:rsid w:val="00000E11"/>
    <w:rsid w:val="00000E24"/>
    <w:rsid w:val="00000EDC"/>
    <w:rsid w:val="00006BB1"/>
    <w:rsid w:val="00007AD4"/>
    <w:rsid w:val="00007FA2"/>
    <w:rsid w:val="00011068"/>
    <w:rsid w:val="00011386"/>
    <w:rsid w:val="00013F65"/>
    <w:rsid w:val="0001598E"/>
    <w:rsid w:val="00015F49"/>
    <w:rsid w:val="000160D8"/>
    <w:rsid w:val="0001650D"/>
    <w:rsid w:val="000224A8"/>
    <w:rsid w:val="000240FF"/>
    <w:rsid w:val="000268DF"/>
    <w:rsid w:val="0002790D"/>
    <w:rsid w:val="00032B5A"/>
    <w:rsid w:val="0004226E"/>
    <w:rsid w:val="00042A11"/>
    <w:rsid w:val="0004470D"/>
    <w:rsid w:val="000468B5"/>
    <w:rsid w:val="000477A5"/>
    <w:rsid w:val="00056066"/>
    <w:rsid w:val="00056417"/>
    <w:rsid w:val="000572F0"/>
    <w:rsid w:val="00061E0F"/>
    <w:rsid w:val="00062E1D"/>
    <w:rsid w:val="00064A66"/>
    <w:rsid w:val="00067F92"/>
    <w:rsid w:val="00071320"/>
    <w:rsid w:val="00072A4B"/>
    <w:rsid w:val="00072D50"/>
    <w:rsid w:val="00073AE3"/>
    <w:rsid w:val="00073CC2"/>
    <w:rsid w:val="0007438D"/>
    <w:rsid w:val="00076803"/>
    <w:rsid w:val="000777F6"/>
    <w:rsid w:val="000804E9"/>
    <w:rsid w:val="00084770"/>
    <w:rsid w:val="00085E2A"/>
    <w:rsid w:val="000860A7"/>
    <w:rsid w:val="000872C5"/>
    <w:rsid w:val="000902F8"/>
    <w:rsid w:val="000910FD"/>
    <w:rsid w:val="00093543"/>
    <w:rsid w:val="00095674"/>
    <w:rsid w:val="00095C84"/>
    <w:rsid w:val="0009704C"/>
    <w:rsid w:val="00097BE6"/>
    <w:rsid w:val="000A04F5"/>
    <w:rsid w:val="000A369C"/>
    <w:rsid w:val="000A3890"/>
    <w:rsid w:val="000A4D10"/>
    <w:rsid w:val="000A5FA0"/>
    <w:rsid w:val="000B1EB5"/>
    <w:rsid w:val="000B37FC"/>
    <w:rsid w:val="000B3A03"/>
    <w:rsid w:val="000B412B"/>
    <w:rsid w:val="000B6E02"/>
    <w:rsid w:val="000B7360"/>
    <w:rsid w:val="000C015D"/>
    <w:rsid w:val="000C1494"/>
    <w:rsid w:val="000C24B4"/>
    <w:rsid w:val="000C3279"/>
    <w:rsid w:val="000C366E"/>
    <w:rsid w:val="000C4D83"/>
    <w:rsid w:val="000C4EE0"/>
    <w:rsid w:val="000D165B"/>
    <w:rsid w:val="000D41DA"/>
    <w:rsid w:val="000D57DB"/>
    <w:rsid w:val="000E102A"/>
    <w:rsid w:val="000E2357"/>
    <w:rsid w:val="000E30E1"/>
    <w:rsid w:val="000E3F90"/>
    <w:rsid w:val="000E4E52"/>
    <w:rsid w:val="000E7251"/>
    <w:rsid w:val="000F0020"/>
    <w:rsid w:val="000F13BA"/>
    <w:rsid w:val="000F1B88"/>
    <w:rsid w:val="000F3789"/>
    <w:rsid w:val="000F4A1A"/>
    <w:rsid w:val="000F5041"/>
    <w:rsid w:val="000F5FFF"/>
    <w:rsid w:val="000F6D02"/>
    <w:rsid w:val="000F7345"/>
    <w:rsid w:val="0010251F"/>
    <w:rsid w:val="00103C64"/>
    <w:rsid w:val="00104AD8"/>
    <w:rsid w:val="00106A49"/>
    <w:rsid w:val="00110ABA"/>
    <w:rsid w:val="00111FBE"/>
    <w:rsid w:val="00112B0B"/>
    <w:rsid w:val="0011354A"/>
    <w:rsid w:val="00113FD8"/>
    <w:rsid w:val="00114AA0"/>
    <w:rsid w:val="00115923"/>
    <w:rsid w:val="0011593B"/>
    <w:rsid w:val="001159C5"/>
    <w:rsid w:val="00120A74"/>
    <w:rsid w:val="001214DD"/>
    <w:rsid w:val="00121EE3"/>
    <w:rsid w:val="00122582"/>
    <w:rsid w:val="00122EFD"/>
    <w:rsid w:val="00123C0F"/>
    <w:rsid w:val="0012431B"/>
    <w:rsid w:val="001256DF"/>
    <w:rsid w:val="00126293"/>
    <w:rsid w:val="001274F9"/>
    <w:rsid w:val="00127C25"/>
    <w:rsid w:val="0013072B"/>
    <w:rsid w:val="0013286C"/>
    <w:rsid w:val="001333AC"/>
    <w:rsid w:val="00134B18"/>
    <w:rsid w:val="001351F2"/>
    <w:rsid w:val="00136ABF"/>
    <w:rsid w:val="00137245"/>
    <w:rsid w:val="00141031"/>
    <w:rsid w:val="001434E5"/>
    <w:rsid w:val="00145478"/>
    <w:rsid w:val="00146BDB"/>
    <w:rsid w:val="0014768B"/>
    <w:rsid w:val="0015072A"/>
    <w:rsid w:val="00150C6D"/>
    <w:rsid w:val="00152962"/>
    <w:rsid w:val="00153016"/>
    <w:rsid w:val="001550F0"/>
    <w:rsid w:val="00157AF2"/>
    <w:rsid w:val="00160647"/>
    <w:rsid w:val="001608DB"/>
    <w:rsid w:val="001609A7"/>
    <w:rsid w:val="00162AC3"/>
    <w:rsid w:val="00163E71"/>
    <w:rsid w:val="0016702B"/>
    <w:rsid w:val="0016715A"/>
    <w:rsid w:val="00170377"/>
    <w:rsid w:val="001746D3"/>
    <w:rsid w:val="00174D18"/>
    <w:rsid w:val="00175A36"/>
    <w:rsid w:val="00175F8A"/>
    <w:rsid w:val="00181402"/>
    <w:rsid w:val="001823EC"/>
    <w:rsid w:val="00182BAE"/>
    <w:rsid w:val="0018410D"/>
    <w:rsid w:val="00186CB5"/>
    <w:rsid w:val="0018758B"/>
    <w:rsid w:val="00190735"/>
    <w:rsid w:val="001908C3"/>
    <w:rsid w:val="00191F28"/>
    <w:rsid w:val="001951BD"/>
    <w:rsid w:val="001A00C1"/>
    <w:rsid w:val="001A1B37"/>
    <w:rsid w:val="001A2A68"/>
    <w:rsid w:val="001A711F"/>
    <w:rsid w:val="001B03BA"/>
    <w:rsid w:val="001B0B31"/>
    <w:rsid w:val="001B1AC7"/>
    <w:rsid w:val="001B3BCB"/>
    <w:rsid w:val="001B45EF"/>
    <w:rsid w:val="001B5A99"/>
    <w:rsid w:val="001B6141"/>
    <w:rsid w:val="001C2E49"/>
    <w:rsid w:val="001D0E93"/>
    <w:rsid w:val="001D1B9C"/>
    <w:rsid w:val="001D23B2"/>
    <w:rsid w:val="001D2C0F"/>
    <w:rsid w:val="001D3B12"/>
    <w:rsid w:val="001D3D1A"/>
    <w:rsid w:val="001E1333"/>
    <w:rsid w:val="001E26C3"/>
    <w:rsid w:val="001E557A"/>
    <w:rsid w:val="001E612A"/>
    <w:rsid w:val="001E6574"/>
    <w:rsid w:val="001E7349"/>
    <w:rsid w:val="001F3C0E"/>
    <w:rsid w:val="001F5D1F"/>
    <w:rsid w:val="00202B09"/>
    <w:rsid w:val="002035DA"/>
    <w:rsid w:val="002041EF"/>
    <w:rsid w:val="002076C6"/>
    <w:rsid w:val="00212CCF"/>
    <w:rsid w:val="002132DF"/>
    <w:rsid w:val="002141BD"/>
    <w:rsid w:val="00214D27"/>
    <w:rsid w:val="002314E9"/>
    <w:rsid w:val="00237374"/>
    <w:rsid w:val="00237A15"/>
    <w:rsid w:val="0024380E"/>
    <w:rsid w:val="0024447F"/>
    <w:rsid w:val="00244D0A"/>
    <w:rsid w:val="00246DE6"/>
    <w:rsid w:val="0025034E"/>
    <w:rsid w:val="00251D76"/>
    <w:rsid w:val="002523F3"/>
    <w:rsid w:val="0025269B"/>
    <w:rsid w:val="00253DA2"/>
    <w:rsid w:val="002547AB"/>
    <w:rsid w:val="00254A6E"/>
    <w:rsid w:val="00255014"/>
    <w:rsid w:val="00256502"/>
    <w:rsid w:val="00256D14"/>
    <w:rsid w:val="00260E68"/>
    <w:rsid w:val="002647C2"/>
    <w:rsid w:val="00265745"/>
    <w:rsid w:val="00266B0C"/>
    <w:rsid w:val="002712A8"/>
    <w:rsid w:val="00273EDF"/>
    <w:rsid w:val="0027550F"/>
    <w:rsid w:val="002760E3"/>
    <w:rsid w:val="0029289D"/>
    <w:rsid w:val="00292AC9"/>
    <w:rsid w:val="002937BB"/>
    <w:rsid w:val="00293AD3"/>
    <w:rsid w:val="0029491D"/>
    <w:rsid w:val="002953DE"/>
    <w:rsid w:val="00296266"/>
    <w:rsid w:val="00296FBC"/>
    <w:rsid w:val="00297C90"/>
    <w:rsid w:val="002A4630"/>
    <w:rsid w:val="002A6469"/>
    <w:rsid w:val="002B00FC"/>
    <w:rsid w:val="002B0A5E"/>
    <w:rsid w:val="002B172D"/>
    <w:rsid w:val="002B37A1"/>
    <w:rsid w:val="002B5B4E"/>
    <w:rsid w:val="002C29AF"/>
    <w:rsid w:val="002C33F1"/>
    <w:rsid w:val="002C3E2C"/>
    <w:rsid w:val="002C5B9C"/>
    <w:rsid w:val="002C611A"/>
    <w:rsid w:val="002C6A71"/>
    <w:rsid w:val="002D483A"/>
    <w:rsid w:val="002D6DFF"/>
    <w:rsid w:val="002E10EA"/>
    <w:rsid w:val="002E18D2"/>
    <w:rsid w:val="002E18D6"/>
    <w:rsid w:val="002E27FD"/>
    <w:rsid w:val="002E5F02"/>
    <w:rsid w:val="002E73EF"/>
    <w:rsid w:val="002E7834"/>
    <w:rsid w:val="002F35E8"/>
    <w:rsid w:val="00301267"/>
    <w:rsid w:val="003014C6"/>
    <w:rsid w:val="00301FCA"/>
    <w:rsid w:val="003051E0"/>
    <w:rsid w:val="0030739E"/>
    <w:rsid w:val="0031024F"/>
    <w:rsid w:val="00311980"/>
    <w:rsid w:val="003124F0"/>
    <w:rsid w:val="00313141"/>
    <w:rsid w:val="00313624"/>
    <w:rsid w:val="003138D4"/>
    <w:rsid w:val="003158DA"/>
    <w:rsid w:val="00316498"/>
    <w:rsid w:val="00317007"/>
    <w:rsid w:val="00317445"/>
    <w:rsid w:val="00317871"/>
    <w:rsid w:val="00321CB1"/>
    <w:rsid w:val="00322503"/>
    <w:rsid w:val="003225DA"/>
    <w:rsid w:val="0032309B"/>
    <w:rsid w:val="00325A5B"/>
    <w:rsid w:val="00326BD5"/>
    <w:rsid w:val="003301F2"/>
    <w:rsid w:val="00330B9F"/>
    <w:rsid w:val="003321BF"/>
    <w:rsid w:val="0033277B"/>
    <w:rsid w:val="003336F1"/>
    <w:rsid w:val="0033399A"/>
    <w:rsid w:val="0033449A"/>
    <w:rsid w:val="00335B4B"/>
    <w:rsid w:val="00336AE1"/>
    <w:rsid w:val="00342C3E"/>
    <w:rsid w:val="00343594"/>
    <w:rsid w:val="00343806"/>
    <w:rsid w:val="003442DA"/>
    <w:rsid w:val="00345867"/>
    <w:rsid w:val="0034591F"/>
    <w:rsid w:val="00347918"/>
    <w:rsid w:val="003504B2"/>
    <w:rsid w:val="003543B5"/>
    <w:rsid w:val="0035496C"/>
    <w:rsid w:val="003570F0"/>
    <w:rsid w:val="00357911"/>
    <w:rsid w:val="00362651"/>
    <w:rsid w:val="00367A1E"/>
    <w:rsid w:val="003709E4"/>
    <w:rsid w:val="00370A69"/>
    <w:rsid w:val="00370C46"/>
    <w:rsid w:val="00372953"/>
    <w:rsid w:val="0037488E"/>
    <w:rsid w:val="00375CC0"/>
    <w:rsid w:val="00375E47"/>
    <w:rsid w:val="00377721"/>
    <w:rsid w:val="00377CA0"/>
    <w:rsid w:val="0038017A"/>
    <w:rsid w:val="0038320C"/>
    <w:rsid w:val="00383232"/>
    <w:rsid w:val="00383E4C"/>
    <w:rsid w:val="00385759"/>
    <w:rsid w:val="00387403"/>
    <w:rsid w:val="003879F4"/>
    <w:rsid w:val="00387CFB"/>
    <w:rsid w:val="0039021B"/>
    <w:rsid w:val="00392D19"/>
    <w:rsid w:val="003954C8"/>
    <w:rsid w:val="003961BC"/>
    <w:rsid w:val="00396818"/>
    <w:rsid w:val="003A0D6B"/>
    <w:rsid w:val="003A3AB3"/>
    <w:rsid w:val="003A5104"/>
    <w:rsid w:val="003A5753"/>
    <w:rsid w:val="003A61F2"/>
    <w:rsid w:val="003B1A8F"/>
    <w:rsid w:val="003B5057"/>
    <w:rsid w:val="003B5404"/>
    <w:rsid w:val="003B5531"/>
    <w:rsid w:val="003C0081"/>
    <w:rsid w:val="003C3172"/>
    <w:rsid w:val="003C4646"/>
    <w:rsid w:val="003C4C97"/>
    <w:rsid w:val="003C56CC"/>
    <w:rsid w:val="003C58DC"/>
    <w:rsid w:val="003C6A6C"/>
    <w:rsid w:val="003C7C24"/>
    <w:rsid w:val="003C7EAA"/>
    <w:rsid w:val="003D31F1"/>
    <w:rsid w:val="003D55F9"/>
    <w:rsid w:val="003D6216"/>
    <w:rsid w:val="003D75A5"/>
    <w:rsid w:val="003E02C3"/>
    <w:rsid w:val="003E20EC"/>
    <w:rsid w:val="003E2F2C"/>
    <w:rsid w:val="003E3099"/>
    <w:rsid w:val="003E3895"/>
    <w:rsid w:val="003E5229"/>
    <w:rsid w:val="003E79BB"/>
    <w:rsid w:val="003F0898"/>
    <w:rsid w:val="003F0995"/>
    <w:rsid w:val="003F484C"/>
    <w:rsid w:val="003F50DD"/>
    <w:rsid w:val="003F78C9"/>
    <w:rsid w:val="00401C7F"/>
    <w:rsid w:val="00402B6D"/>
    <w:rsid w:val="0040318C"/>
    <w:rsid w:val="00403E0F"/>
    <w:rsid w:val="00404EFD"/>
    <w:rsid w:val="00405F6A"/>
    <w:rsid w:val="004130EA"/>
    <w:rsid w:val="004164D4"/>
    <w:rsid w:val="004170B7"/>
    <w:rsid w:val="004171FD"/>
    <w:rsid w:val="0041778F"/>
    <w:rsid w:val="00417C63"/>
    <w:rsid w:val="004208E4"/>
    <w:rsid w:val="00422572"/>
    <w:rsid w:val="00422822"/>
    <w:rsid w:val="004245EB"/>
    <w:rsid w:val="00425459"/>
    <w:rsid w:val="004263BC"/>
    <w:rsid w:val="0042736E"/>
    <w:rsid w:val="0042786F"/>
    <w:rsid w:val="004301A4"/>
    <w:rsid w:val="0043140A"/>
    <w:rsid w:val="004368BF"/>
    <w:rsid w:val="00436D5C"/>
    <w:rsid w:val="00442EB0"/>
    <w:rsid w:val="0044388D"/>
    <w:rsid w:val="0044510A"/>
    <w:rsid w:val="00445B54"/>
    <w:rsid w:val="0044649D"/>
    <w:rsid w:val="004478DF"/>
    <w:rsid w:val="00447F65"/>
    <w:rsid w:val="004501A9"/>
    <w:rsid w:val="0045041C"/>
    <w:rsid w:val="00450C2F"/>
    <w:rsid w:val="0045131A"/>
    <w:rsid w:val="00452182"/>
    <w:rsid w:val="00452C24"/>
    <w:rsid w:val="00453DA7"/>
    <w:rsid w:val="00453F8B"/>
    <w:rsid w:val="00454E66"/>
    <w:rsid w:val="00461CD6"/>
    <w:rsid w:val="00464007"/>
    <w:rsid w:val="00465780"/>
    <w:rsid w:val="00470934"/>
    <w:rsid w:val="004747F7"/>
    <w:rsid w:val="00475E43"/>
    <w:rsid w:val="00476B27"/>
    <w:rsid w:val="00480D4E"/>
    <w:rsid w:val="00481C7C"/>
    <w:rsid w:val="00481DB1"/>
    <w:rsid w:val="004826BB"/>
    <w:rsid w:val="004837C7"/>
    <w:rsid w:val="00492712"/>
    <w:rsid w:val="00496807"/>
    <w:rsid w:val="00497B3F"/>
    <w:rsid w:val="00497FB9"/>
    <w:rsid w:val="004A1476"/>
    <w:rsid w:val="004A2137"/>
    <w:rsid w:val="004A3010"/>
    <w:rsid w:val="004A5EB5"/>
    <w:rsid w:val="004A778D"/>
    <w:rsid w:val="004B1DB6"/>
    <w:rsid w:val="004B3436"/>
    <w:rsid w:val="004B60AC"/>
    <w:rsid w:val="004C1A69"/>
    <w:rsid w:val="004C1D4B"/>
    <w:rsid w:val="004C27D6"/>
    <w:rsid w:val="004C3E49"/>
    <w:rsid w:val="004C46EB"/>
    <w:rsid w:val="004C5E52"/>
    <w:rsid w:val="004C76BA"/>
    <w:rsid w:val="004D26BD"/>
    <w:rsid w:val="004D2C6C"/>
    <w:rsid w:val="004D550D"/>
    <w:rsid w:val="004E0CA1"/>
    <w:rsid w:val="004E0D68"/>
    <w:rsid w:val="004E5A9E"/>
    <w:rsid w:val="004E770E"/>
    <w:rsid w:val="004E7C27"/>
    <w:rsid w:val="004F0807"/>
    <w:rsid w:val="004F237B"/>
    <w:rsid w:val="004F4047"/>
    <w:rsid w:val="004F73D5"/>
    <w:rsid w:val="004F78DF"/>
    <w:rsid w:val="005005B6"/>
    <w:rsid w:val="0050192B"/>
    <w:rsid w:val="00507015"/>
    <w:rsid w:val="00507343"/>
    <w:rsid w:val="00510CAF"/>
    <w:rsid w:val="0051264F"/>
    <w:rsid w:val="0051383B"/>
    <w:rsid w:val="00517431"/>
    <w:rsid w:val="005207C8"/>
    <w:rsid w:val="005242E3"/>
    <w:rsid w:val="00526789"/>
    <w:rsid w:val="00526953"/>
    <w:rsid w:val="00527989"/>
    <w:rsid w:val="00530E55"/>
    <w:rsid w:val="0053146D"/>
    <w:rsid w:val="00531941"/>
    <w:rsid w:val="0053300A"/>
    <w:rsid w:val="0053695D"/>
    <w:rsid w:val="00537187"/>
    <w:rsid w:val="00537449"/>
    <w:rsid w:val="005406B8"/>
    <w:rsid w:val="00540FCB"/>
    <w:rsid w:val="0054299F"/>
    <w:rsid w:val="005436DC"/>
    <w:rsid w:val="00545937"/>
    <w:rsid w:val="00546F64"/>
    <w:rsid w:val="00547570"/>
    <w:rsid w:val="00551374"/>
    <w:rsid w:val="00551F6E"/>
    <w:rsid w:val="005522A4"/>
    <w:rsid w:val="00552C56"/>
    <w:rsid w:val="00553DE4"/>
    <w:rsid w:val="00555A7C"/>
    <w:rsid w:val="00556013"/>
    <w:rsid w:val="00557DA2"/>
    <w:rsid w:val="00560E38"/>
    <w:rsid w:val="0056347C"/>
    <w:rsid w:val="005644F8"/>
    <w:rsid w:val="0056499F"/>
    <w:rsid w:val="00564C4E"/>
    <w:rsid w:val="005671FE"/>
    <w:rsid w:val="005676E1"/>
    <w:rsid w:val="00571DBA"/>
    <w:rsid w:val="00571DEC"/>
    <w:rsid w:val="005726E7"/>
    <w:rsid w:val="0057321D"/>
    <w:rsid w:val="00573383"/>
    <w:rsid w:val="005740A1"/>
    <w:rsid w:val="00576FA2"/>
    <w:rsid w:val="00580976"/>
    <w:rsid w:val="00580D5E"/>
    <w:rsid w:val="00581EDF"/>
    <w:rsid w:val="005853B5"/>
    <w:rsid w:val="00586430"/>
    <w:rsid w:val="0059049C"/>
    <w:rsid w:val="00591BD0"/>
    <w:rsid w:val="005938D0"/>
    <w:rsid w:val="00595A1B"/>
    <w:rsid w:val="00596ADE"/>
    <w:rsid w:val="005A0416"/>
    <w:rsid w:val="005A1ACD"/>
    <w:rsid w:val="005A273D"/>
    <w:rsid w:val="005A3E80"/>
    <w:rsid w:val="005A403B"/>
    <w:rsid w:val="005A7934"/>
    <w:rsid w:val="005B67A4"/>
    <w:rsid w:val="005C1538"/>
    <w:rsid w:val="005C2522"/>
    <w:rsid w:val="005C2C4D"/>
    <w:rsid w:val="005C577A"/>
    <w:rsid w:val="005C729E"/>
    <w:rsid w:val="005C7D33"/>
    <w:rsid w:val="005D13C1"/>
    <w:rsid w:val="005D468E"/>
    <w:rsid w:val="005D4CC4"/>
    <w:rsid w:val="005D4EAA"/>
    <w:rsid w:val="005D6461"/>
    <w:rsid w:val="005D7AF0"/>
    <w:rsid w:val="005E03B6"/>
    <w:rsid w:val="005E235C"/>
    <w:rsid w:val="005E4671"/>
    <w:rsid w:val="005E6E3B"/>
    <w:rsid w:val="005E70A4"/>
    <w:rsid w:val="005F1A02"/>
    <w:rsid w:val="005F63A1"/>
    <w:rsid w:val="005F64AA"/>
    <w:rsid w:val="006014BB"/>
    <w:rsid w:val="00606276"/>
    <w:rsid w:val="006069B4"/>
    <w:rsid w:val="006074FF"/>
    <w:rsid w:val="00610C11"/>
    <w:rsid w:val="00610D07"/>
    <w:rsid w:val="00611183"/>
    <w:rsid w:val="006125C7"/>
    <w:rsid w:val="0061298F"/>
    <w:rsid w:val="006133F2"/>
    <w:rsid w:val="00614436"/>
    <w:rsid w:val="00615A75"/>
    <w:rsid w:val="00616B7B"/>
    <w:rsid w:val="006200FE"/>
    <w:rsid w:val="006207B5"/>
    <w:rsid w:val="006219A6"/>
    <w:rsid w:val="00627E60"/>
    <w:rsid w:val="0063043D"/>
    <w:rsid w:val="00630C5E"/>
    <w:rsid w:val="00632219"/>
    <w:rsid w:val="006376C2"/>
    <w:rsid w:val="0064061C"/>
    <w:rsid w:val="00646DE5"/>
    <w:rsid w:val="0064738C"/>
    <w:rsid w:val="00650552"/>
    <w:rsid w:val="006521AF"/>
    <w:rsid w:val="00653343"/>
    <w:rsid w:val="00653434"/>
    <w:rsid w:val="00654072"/>
    <w:rsid w:val="00654498"/>
    <w:rsid w:val="006552DE"/>
    <w:rsid w:val="00656F90"/>
    <w:rsid w:val="00661049"/>
    <w:rsid w:val="006677CB"/>
    <w:rsid w:val="00667AC5"/>
    <w:rsid w:val="006701A0"/>
    <w:rsid w:val="00671F57"/>
    <w:rsid w:val="00672913"/>
    <w:rsid w:val="006760CB"/>
    <w:rsid w:val="00676FA6"/>
    <w:rsid w:val="006802FC"/>
    <w:rsid w:val="0068266B"/>
    <w:rsid w:val="00682DEC"/>
    <w:rsid w:val="00685275"/>
    <w:rsid w:val="00686486"/>
    <w:rsid w:val="00686EBD"/>
    <w:rsid w:val="006879F6"/>
    <w:rsid w:val="006905F9"/>
    <w:rsid w:val="00690FF9"/>
    <w:rsid w:val="00693FAF"/>
    <w:rsid w:val="00695E44"/>
    <w:rsid w:val="00696FD9"/>
    <w:rsid w:val="006A07F7"/>
    <w:rsid w:val="006A3C75"/>
    <w:rsid w:val="006A554B"/>
    <w:rsid w:val="006A5F3B"/>
    <w:rsid w:val="006A7B47"/>
    <w:rsid w:val="006A7DFE"/>
    <w:rsid w:val="006B02D6"/>
    <w:rsid w:val="006B218A"/>
    <w:rsid w:val="006B55A5"/>
    <w:rsid w:val="006B5CF6"/>
    <w:rsid w:val="006B7D05"/>
    <w:rsid w:val="006C1130"/>
    <w:rsid w:val="006C19CA"/>
    <w:rsid w:val="006C5071"/>
    <w:rsid w:val="006D2279"/>
    <w:rsid w:val="006D418C"/>
    <w:rsid w:val="006D595E"/>
    <w:rsid w:val="006F17FB"/>
    <w:rsid w:val="006F1D23"/>
    <w:rsid w:val="006F1DF0"/>
    <w:rsid w:val="006F1F05"/>
    <w:rsid w:val="006F2F22"/>
    <w:rsid w:val="006F411B"/>
    <w:rsid w:val="006F52AA"/>
    <w:rsid w:val="006F6347"/>
    <w:rsid w:val="006F71A5"/>
    <w:rsid w:val="006F74F3"/>
    <w:rsid w:val="006F75B8"/>
    <w:rsid w:val="006F7DB7"/>
    <w:rsid w:val="007000D5"/>
    <w:rsid w:val="0070082C"/>
    <w:rsid w:val="00705BCC"/>
    <w:rsid w:val="007064EE"/>
    <w:rsid w:val="00707CAF"/>
    <w:rsid w:val="007106F6"/>
    <w:rsid w:val="0071582C"/>
    <w:rsid w:val="00716A5D"/>
    <w:rsid w:val="00720600"/>
    <w:rsid w:val="0072358D"/>
    <w:rsid w:val="00724EAC"/>
    <w:rsid w:val="0072544C"/>
    <w:rsid w:val="0072601F"/>
    <w:rsid w:val="007264A7"/>
    <w:rsid w:val="0072706D"/>
    <w:rsid w:val="00727F0B"/>
    <w:rsid w:val="007339D7"/>
    <w:rsid w:val="00733BC9"/>
    <w:rsid w:val="007361FA"/>
    <w:rsid w:val="007366FE"/>
    <w:rsid w:val="007367AA"/>
    <w:rsid w:val="00736B5F"/>
    <w:rsid w:val="007409CF"/>
    <w:rsid w:val="00744364"/>
    <w:rsid w:val="007448BA"/>
    <w:rsid w:val="00746C25"/>
    <w:rsid w:val="007516A9"/>
    <w:rsid w:val="00751721"/>
    <w:rsid w:val="007553CC"/>
    <w:rsid w:val="00755A4E"/>
    <w:rsid w:val="00757214"/>
    <w:rsid w:val="00763743"/>
    <w:rsid w:val="00763B58"/>
    <w:rsid w:val="00764338"/>
    <w:rsid w:val="00764462"/>
    <w:rsid w:val="00764F84"/>
    <w:rsid w:val="00765C1F"/>
    <w:rsid w:val="007668DA"/>
    <w:rsid w:val="00770B5F"/>
    <w:rsid w:val="0077113E"/>
    <w:rsid w:val="0077315F"/>
    <w:rsid w:val="00774250"/>
    <w:rsid w:val="007745A2"/>
    <w:rsid w:val="007750FD"/>
    <w:rsid w:val="00775AB7"/>
    <w:rsid w:val="00775B9B"/>
    <w:rsid w:val="00776819"/>
    <w:rsid w:val="00781077"/>
    <w:rsid w:val="0078145B"/>
    <w:rsid w:val="00781596"/>
    <w:rsid w:val="00786623"/>
    <w:rsid w:val="00790204"/>
    <w:rsid w:val="0079600B"/>
    <w:rsid w:val="007A4D05"/>
    <w:rsid w:val="007A7A8C"/>
    <w:rsid w:val="007B0CE3"/>
    <w:rsid w:val="007B1E35"/>
    <w:rsid w:val="007B26A1"/>
    <w:rsid w:val="007B2AD2"/>
    <w:rsid w:val="007B2F6C"/>
    <w:rsid w:val="007B388F"/>
    <w:rsid w:val="007B5620"/>
    <w:rsid w:val="007C025F"/>
    <w:rsid w:val="007C2216"/>
    <w:rsid w:val="007C31B0"/>
    <w:rsid w:val="007C5CA2"/>
    <w:rsid w:val="007C7966"/>
    <w:rsid w:val="007D122D"/>
    <w:rsid w:val="007D144A"/>
    <w:rsid w:val="007D6962"/>
    <w:rsid w:val="007D703B"/>
    <w:rsid w:val="007D7682"/>
    <w:rsid w:val="007E0EAA"/>
    <w:rsid w:val="007E24FB"/>
    <w:rsid w:val="007E3923"/>
    <w:rsid w:val="007E66AF"/>
    <w:rsid w:val="007E68C3"/>
    <w:rsid w:val="007E6D0D"/>
    <w:rsid w:val="007E6D42"/>
    <w:rsid w:val="007E7B24"/>
    <w:rsid w:val="007F2BE9"/>
    <w:rsid w:val="007F2F92"/>
    <w:rsid w:val="007F3079"/>
    <w:rsid w:val="007F60E6"/>
    <w:rsid w:val="007F6941"/>
    <w:rsid w:val="007F73DF"/>
    <w:rsid w:val="008159BE"/>
    <w:rsid w:val="00816530"/>
    <w:rsid w:val="008200FE"/>
    <w:rsid w:val="00820321"/>
    <w:rsid w:val="00826CEE"/>
    <w:rsid w:val="008319F5"/>
    <w:rsid w:val="008330D4"/>
    <w:rsid w:val="00834D97"/>
    <w:rsid w:val="00835468"/>
    <w:rsid w:val="008369D0"/>
    <w:rsid w:val="008370D4"/>
    <w:rsid w:val="00841DFB"/>
    <w:rsid w:val="00843375"/>
    <w:rsid w:val="008440A5"/>
    <w:rsid w:val="008441A7"/>
    <w:rsid w:val="00845E55"/>
    <w:rsid w:val="00845F27"/>
    <w:rsid w:val="00847F02"/>
    <w:rsid w:val="008505FE"/>
    <w:rsid w:val="00852948"/>
    <w:rsid w:val="0085433A"/>
    <w:rsid w:val="00854BC3"/>
    <w:rsid w:val="00854E58"/>
    <w:rsid w:val="00863371"/>
    <w:rsid w:val="0086378A"/>
    <w:rsid w:val="00865625"/>
    <w:rsid w:val="00866B32"/>
    <w:rsid w:val="00871068"/>
    <w:rsid w:val="0087120C"/>
    <w:rsid w:val="008741DB"/>
    <w:rsid w:val="0087454C"/>
    <w:rsid w:val="00874910"/>
    <w:rsid w:val="00875102"/>
    <w:rsid w:val="008756E6"/>
    <w:rsid w:val="0087628D"/>
    <w:rsid w:val="0088119B"/>
    <w:rsid w:val="00883694"/>
    <w:rsid w:val="00887607"/>
    <w:rsid w:val="00891BB7"/>
    <w:rsid w:val="00894C50"/>
    <w:rsid w:val="00895271"/>
    <w:rsid w:val="00895D85"/>
    <w:rsid w:val="00895DD9"/>
    <w:rsid w:val="00896DA9"/>
    <w:rsid w:val="008A0A52"/>
    <w:rsid w:val="008A2208"/>
    <w:rsid w:val="008A3FE5"/>
    <w:rsid w:val="008A4567"/>
    <w:rsid w:val="008A61A4"/>
    <w:rsid w:val="008A6C14"/>
    <w:rsid w:val="008B1A94"/>
    <w:rsid w:val="008B3213"/>
    <w:rsid w:val="008B3DDB"/>
    <w:rsid w:val="008B609B"/>
    <w:rsid w:val="008B67D9"/>
    <w:rsid w:val="008B7AE7"/>
    <w:rsid w:val="008C1FDF"/>
    <w:rsid w:val="008C3643"/>
    <w:rsid w:val="008C4326"/>
    <w:rsid w:val="008C5AE0"/>
    <w:rsid w:val="008C5DB5"/>
    <w:rsid w:val="008C7AD2"/>
    <w:rsid w:val="008D1A16"/>
    <w:rsid w:val="008D1AED"/>
    <w:rsid w:val="008D3B0E"/>
    <w:rsid w:val="008D4499"/>
    <w:rsid w:val="008E14A1"/>
    <w:rsid w:val="008E78C5"/>
    <w:rsid w:val="008F1EFE"/>
    <w:rsid w:val="008F273C"/>
    <w:rsid w:val="008F275A"/>
    <w:rsid w:val="008F2CCD"/>
    <w:rsid w:val="008F384B"/>
    <w:rsid w:val="008F4EBC"/>
    <w:rsid w:val="008F6944"/>
    <w:rsid w:val="00900E46"/>
    <w:rsid w:val="009010D0"/>
    <w:rsid w:val="009039E3"/>
    <w:rsid w:val="00903F51"/>
    <w:rsid w:val="00903F76"/>
    <w:rsid w:val="00906E8C"/>
    <w:rsid w:val="00907336"/>
    <w:rsid w:val="009119E5"/>
    <w:rsid w:val="00912A5C"/>
    <w:rsid w:val="00912EE7"/>
    <w:rsid w:val="00913CF1"/>
    <w:rsid w:val="0091445B"/>
    <w:rsid w:val="00920A0D"/>
    <w:rsid w:val="009219EF"/>
    <w:rsid w:val="009236CC"/>
    <w:rsid w:val="00923CD1"/>
    <w:rsid w:val="00926787"/>
    <w:rsid w:val="00926D25"/>
    <w:rsid w:val="00927F08"/>
    <w:rsid w:val="00931465"/>
    <w:rsid w:val="00931826"/>
    <w:rsid w:val="00932CFA"/>
    <w:rsid w:val="009343AD"/>
    <w:rsid w:val="009353D7"/>
    <w:rsid w:val="00936CEB"/>
    <w:rsid w:val="00942211"/>
    <w:rsid w:val="009457D4"/>
    <w:rsid w:val="009459B3"/>
    <w:rsid w:val="0094752E"/>
    <w:rsid w:val="009479DA"/>
    <w:rsid w:val="00947CEC"/>
    <w:rsid w:val="00956A5F"/>
    <w:rsid w:val="0095779D"/>
    <w:rsid w:val="0096073C"/>
    <w:rsid w:val="00960A85"/>
    <w:rsid w:val="00960ACA"/>
    <w:rsid w:val="0096200B"/>
    <w:rsid w:val="00962946"/>
    <w:rsid w:val="00965F19"/>
    <w:rsid w:val="009708E8"/>
    <w:rsid w:val="0097298B"/>
    <w:rsid w:val="00973378"/>
    <w:rsid w:val="00973960"/>
    <w:rsid w:val="0097404A"/>
    <w:rsid w:val="009746FF"/>
    <w:rsid w:val="00976784"/>
    <w:rsid w:val="009778BE"/>
    <w:rsid w:val="009830E5"/>
    <w:rsid w:val="0098655E"/>
    <w:rsid w:val="00987226"/>
    <w:rsid w:val="00992272"/>
    <w:rsid w:val="00994879"/>
    <w:rsid w:val="00995367"/>
    <w:rsid w:val="00996CB7"/>
    <w:rsid w:val="009A12F5"/>
    <w:rsid w:val="009A7DAA"/>
    <w:rsid w:val="009B0B93"/>
    <w:rsid w:val="009B0C25"/>
    <w:rsid w:val="009B133A"/>
    <w:rsid w:val="009B3A2E"/>
    <w:rsid w:val="009C3575"/>
    <w:rsid w:val="009C3F22"/>
    <w:rsid w:val="009C46B4"/>
    <w:rsid w:val="009C539B"/>
    <w:rsid w:val="009C6668"/>
    <w:rsid w:val="009D0BA9"/>
    <w:rsid w:val="009D2B19"/>
    <w:rsid w:val="009E1021"/>
    <w:rsid w:val="009E1D6A"/>
    <w:rsid w:val="009E34A4"/>
    <w:rsid w:val="009E567D"/>
    <w:rsid w:val="009E61C3"/>
    <w:rsid w:val="009F0492"/>
    <w:rsid w:val="009F1E4C"/>
    <w:rsid w:val="009F20C1"/>
    <w:rsid w:val="009F3205"/>
    <w:rsid w:val="009F3B84"/>
    <w:rsid w:val="009F459B"/>
    <w:rsid w:val="009F515A"/>
    <w:rsid w:val="009F61D9"/>
    <w:rsid w:val="009F658A"/>
    <w:rsid w:val="009F66A4"/>
    <w:rsid w:val="00A010FF"/>
    <w:rsid w:val="00A0117A"/>
    <w:rsid w:val="00A10628"/>
    <w:rsid w:val="00A11F61"/>
    <w:rsid w:val="00A1296C"/>
    <w:rsid w:val="00A135BF"/>
    <w:rsid w:val="00A141C9"/>
    <w:rsid w:val="00A157D6"/>
    <w:rsid w:val="00A15C0E"/>
    <w:rsid w:val="00A16152"/>
    <w:rsid w:val="00A16817"/>
    <w:rsid w:val="00A16D5B"/>
    <w:rsid w:val="00A226AC"/>
    <w:rsid w:val="00A2613D"/>
    <w:rsid w:val="00A27B04"/>
    <w:rsid w:val="00A366DD"/>
    <w:rsid w:val="00A36A01"/>
    <w:rsid w:val="00A37D63"/>
    <w:rsid w:val="00A40326"/>
    <w:rsid w:val="00A40FA5"/>
    <w:rsid w:val="00A42C75"/>
    <w:rsid w:val="00A43C0A"/>
    <w:rsid w:val="00A44E00"/>
    <w:rsid w:val="00A465C7"/>
    <w:rsid w:val="00A50FDB"/>
    <w:rsid w:val="00A52A37"/>
    <w:rsid w:val="00A53D8C"/>
    <w:rsid w:val="00A55C59"/>
    <w:rsid w:val="00A562DF"/>
    <w:rsid w:val="00A60C40"/>
    <w:rsid w:val="00A62190"/>
    <w:rsid w:val="00A62BF3"/>
    <w:rsid w:val="00A64F83"/>
    <w:rsid w:val="00A662D0"/>
    <w:rsid w:val="00A7242F"/>
    <w:rsid w:val="00A73878"/>
    <w:rsid w:val="00A73DB2"/>
    <w:rsid w:val="00A73FD7"/>
    <w:rsid w:val="00A743FB"/>
    <w:rsid w:val="00A747F6"/>
    <w:rsid w:val="00A74B6E"/>
    <w:rsid w:val="00A771C6"/>
    <w:rsid w:val="00A80B1F"/>
    <w:rsid w:val="00A80DEC"/>
    <w:rsid w:val="00A841F1"/>
    <w:rsid w:val="00A842C2"/>
    <w:rsid w:val="00A85CD2"/>
    <w:rsid w:val="00A873FA"/>
    <w:rsid w:val="00A905D2"/>
    <w:rsid w:val="00A906ED"/>
    <w:rsid w:val="00A974DB"/>
    <w:rsid w:val="00A97F99"/>
    <w:rsid w:val="00AA050B"/>
    <w:rsid w:val="00AA1372"/>
    <w:rsid w:val="00AA18BE"/>
    <w:rsid w:val="00AA2FBA"/>
    <w:rsid w:val="00AA3AAC"/>
    <w:rsid w:val="00AA6A15"/>
    <w:rsid w:val="00AA6D37"/>
    <w:rsid w:val="00AB0329"/>
    <w:rsid w:val="00AB2864"/>
    <w:rsid w:val="00AB40F8"/>
    <w:rsid w:val="00AB635D"/>
    <w:rsid w:val="00AB6634"/>
    <w:rsid w:val="00AB6E65"/>
    <w:rsid w:val="00AB6E72"/>
    <w:rsid w:val="00AC2180"/>
    <w:rsid w:val="00AC53D7"/>
    <w:rsid w:val="00AC635A"/>
    <w:rsid w:val="00AC6702"/>
    <w:rsid w:val="00AC7D9C"/>
    <w:rsid w:val="00AC7DF3"/>
    <w:rsid w:val="00AD00D9"/>
    <w:rsid w:val="00AD0A58"/>
    <w:rsid w:val="00AD2DA3"/>
    <w:rsid w:val="00AD6FEB"/>
    <w:rsid w:val="00AD7423"/>
    <w:rsid w:val="00AE03B0"/>
    <w:rsid w:val="00AE3F8F"/>
    <w:rsid w:val="00AE4066"/>
    <w:rsid w:val="00AE70BB"/>
    <w:rsid w:val="00AF100C"/>
    <w:rsid w:val="00AF7D40"/>
    <w:rsid w:val="00B00178"/>
    <w:rsid w:val="00B003FB"/>
    <w:rsid w:val="00B00514"/>
    <w:rsid w:val="00B01082"/>
    <w:rsid w:val="00B02A9C"/>
    <w:rsid w:val="00B0341E"/>
    <w:rsid w:val="00B05979"/>
    <w:rsid w:val="00B069E1"/>
    <w:rsid w:val="00B06B49"/>
    <w:rsid w:val="00B108A5"/>
    <w:rsid w:val="00B11E04"/>
    <w:rsid w:val="00B1335E"/>
    <w:rsid w:val="00B13401"/>
    <w:rsid w:val="00B13F20"/>
    <w:rsid w:val="00B20AB6"/>
    <w:rsid w:val="00B21EF2"/>
    <w:rsid w:val="00B22B19"/>
    <w:rsid w:val="00B240B0"/>
    <w:rsid w:val="00B27A48"/>
    <w:rsid w:val="00B323A5"/>
    <w:rsid w:val="00B32FA5"/>
    <w:rsid w:val="00B3459B"/>
    <w:rsid w:val="00B349D7"/>
    <w:rsid w:val="00B34DDB"/>
    <w:rsid w:val="00B357EF"/>
    <w:rsid w:val="00B3783E"/>
    <w:rsid w:val="00B409ED"/>
    <w:rsid w:val="00B42CC6"/>
    <w:rsid w:val="00B4408D"/>
    <w:rsid w:val="00B448C0"/>
    <w:rsid w:val="00B4515D"/>
    <w:rsid w:val="00B460B3"/>
    <w:rsid w:val="00B46B01"/>
    <w:rsid w:val="00B47CCA"/>
    <w:rsid w:val="00B50EF1"/>
    <w:rsid w:val="00B512C1"/>
    <w:rsid w:val="00B51A4F"/>
    <w:rsid w:val="00B52898"/>
    <w:rsid w:val="00B52C19"/>
    <w:rsid w:val="00B5322D"/>
    <w:rsid w:val="00B548AA"/>
    <w:rsid w:val="00B57A17"/>
    <w:rsid w:val="00B61375"/>
    <w:rsid w:val="00B6163A"/>
    <w:rsid w:val="00B61FBD"/>
    <w:rsid w:val="00B63728"/>
    <w:rsid w:val="00B63E21"/>
    <w:rsid w:val="00B64697"/>
    <w:rsid w:val="00B648D1"/>
    <w:rsid w:val="00B66FA9"/>
    <w:rsid w:val="00B710BA"/>
    <w:rsid w:val="00B77A16"/>
    <w:rsid w:val="00B80613"/>
    <w:rsid w:val="00B831C3"/>
    <w:rsid w:val="00B84A6E"/>
    <w:rsid w:val="00B85F0D"/>
    <w:rsid w:val="00B86DE1"/>
    <w:rsid w:val="00B90AE8"/>
    <w:rsid w:val="00B91B4E"/>
    <w:rsid w:val="00B93328"/>
    <w:rsid w:val="00B94D98"/>
    <w:rsid w:val="00B95129"/>
    <w:rsid w:val="00B952FF"/>
    <w:rsid w:val="00B959E3"/>
    <w:rsid w:val="00B97BC4"/>
    <w:rsid w:val="00BA0AA3"/>
    <w:rsid w:val="00BA1D7A"/>
    <w:rsid w:val="00BA228B"/>
    <w:rsid w:val="00BA2DF4"/>
    <w:rsid w:val="00BA35BA"/>
    <w:rsid w:val="00BA3FE5"/>
    <w:rsid w:val="00BA5545"/>
    <w:rsid w:val="00BA7363"/>
    <w:rsid w:val="00BB0625"/>
    <w:rsid w:val="00BB1BD7"/>
    <w:rsid w:val="00BB33FC"/>
    <w:rsid w:val="00BB4B74"/>
    <w:rsid w:val="00BB7849"/>
    <w:rsid w:val="00BB7ED8"/>
    <w:rsid w:val="00BC1621"/>
    <w:rsid w:val="00BC16E8"/>
    <w:rsid w:val="00BC1F48"/>
    <w:rsid w:val="00BC2C5F"/>
    <w:rsid w:val="00BC37F7"/>
    <w:rsid w:val="00BC4109"/>
    <w:rsid w:val="00BC41BC"/>
    <w:rsid w:val="00BC514F"/>
    <w:rsid w:val="00BC6764"/>
    <w:rsid w:val="00BC7D89"/>
    <w:rsid w:val="00BD0235"/>
    <w:rsid w:val="00BD054F"/>
    <w:rsid w:val="00BD4734"/>
    <w:rsid w:val="00BD4873"/>
    <w:rsid w:val="00BD60E5"/>
    <w:rsid w:val="00BD7EAB"/>
    <w:rsid w:val="00BE20ED"/>
    <w:rsid w:val="00BE46BD"/>
    <w:rsid w:val="00BF0008"/>
    <w:rsid w:val="00BF06A7"/>
    <w:rsid w:val="00BF1E0D"/>
    <w:rsid w:val="00BF2455"/>
    <w:rsid w:val="00BF24D2"/>
    <w:rsid w:val="00BF3A21"/>
    <w:rsid w:val="00BF481B"/>
    <w:rsid w:val="00BF5F72"/>
    <w:rsid w:val="00C00246"/>
    <w:rsid w:val="00C012CE"/>
    <w:rsid w:val="00C01318"/>
    <w:rsid w:val="00C023D4"/>
    <w:rsid w:val="00C03AB4"/>
    <w:rsid w:val="00C03AEE"/>
    <w:rsid w:val="00C102BB"/>
    <w:rsid w:val="00C109D5"/>
    <w:rsid w:val="00C12EC2"/>
    <w:rsid w:val="00C21615"/>
    <w:rsid w:val="00C21934"/>
    <w:rsid w:val="00C22424"/>
    <w:rsid w:val="00C226CD"/>
    <w:rsid w:val="00C22EF9"/>
    <w:rsid w:val="00C247FE"/>
    <w:rsid w:val="00C259D0"/>
    <w:rsid w:val="00C31108"/>
    <w:rsid w:val="00C34D35"/>
    <w:rsid w:val="00C3516F"/>
    <w:rsid w:val="00C360F8"/>
    <w:rsid w:val="00C42B2E"/>
    <w:rsid w:val="00C43366"/>
    <w:rsid w:val="00C433F6"/>
    <w:rsid w:val="00C43E15"/>
    <w:rsid w:val="00C448D4"/>
    <w:rsid w:val="00C45004"/>
    <w:rsid w:val="00C45253"/>
    <w:rsid w:val="00C476C6"/>
    <w:rsid w:val="00C526B3"/>
    <w:rsid w:val="00C52F8D"/>
    <w:rsid w:val="00C53D59"/>
    <w:rsid w:val="00C54499"/>
    <w:rsid w:val="00C549DE"/>
    <w:rsid w:val="00C57073"/>
    <w:rsid w:val="00C57EED"/>
    <w:rsid w:val="00C607B5"/>
    <w:rsid w:val="00C61F97"/>
    <w:rsid w:val="00C62EF6"/>
    <w:rsid w:val="00C62F60"/>
    <w:rsid w:val="00C66450"/>
    <w:rsid w:val="00C666BB"/>
    <w:rsid w:val="00C70945"/>
    <w:rsid w:val="00C71307"/>
    <w:rsid w:val="00C745BD"/>
    <w:rsid w:val="00C7475A"/>
    <w:rsid w:val="00C74D3A"/>
    <w:rsid w:val="00C75C00"/>
    <w:rsid w:val="00C766B9"/>
    <w:rsid w:val="00C76AD5"/>
    <w:rsid w:val="00C7702D"/>
    <w:rsid w:val="00C8008B"/>
    <w:rsid w:val="00C82459"/>
    <w:rsid w:val="00C8297A"/>
    <w:rsid w:val="00C90385"/>
    <w:rsid w:val="00C95254"/>
    <w:rsid w:val="00C960CD"/>
    <w:rsid w:val="00CA39E7"/>
    <w:rsid w:val="00CA5771"/>
    <w:rsid w:val="00CB2DE6"/>
    <w:rsid w:val="00CC133B"/>
    <w:rsid w:val="00CC2F21"/>
    <w:rsid w:val="00CC3D26"/>
    <w:rsid w:val="00CC677E"/>
    <w:rsid w:val="00CC7478"/>
    <w:rsid w:val="00CC7F17"/>
    <w:rsid w:val="00CD0020"/>
    <w:rsid w:val="00CD0F14"/>
    <w:rsid w:val="00CD13C8"/>
    <w:rsid w:val="00CE3E35"/>
    <w:rsid w:val="00CE4A80"/>
    <w:rsid w:val="00CF28ED"/>
    <w:rsid w:val="00CF5986"/>
    <w:rsid w:val="00CF6ADA"/>
    <w:rsid w:val="00D00790"/>
    <w:rsid w:val="00D0099F"/>
    <w:rsid w:val="00D01B1A"/>
    <w:rsid w:val="00D025A5"/>
    <w:rsid w:val="00D02CB0"/>
    <w:rsid w:val="00D0682A"/>
    <w:rsid w:val="00D10317"/>
    <w:rsid w:val="00D11439"/>
    <w:rsid w:val="00D117A4"/>
    <w:rsid w:val="00D1189B"/>
    <w:rsid w:val="00D127A1"/>
    <w:rsid w:val="00D1532E"/>
    <w:rsid w:val="00D15872"/>
    <w:rsid w:val="00D160FA"/>
    <w:rsid w:val="00D170AA"/>
    <w:rsid w:val="00D21320"/>
    <w:rsid w:val="00D21F6D"/>
    <w:rsid w:val="00D22E08"/>
    <w:rsid w:val="00D236A3"/>
    <w:rsid w:val="00D24DC4"/>
    <w:rsid w:val="00D2542E"/>
    <w:rsid w:val="00D27949"/>
    <w:rsid w:val="00D30FDA"/>
    <w:rsid w:val="00D31BAE"/>
    <w:rsid w:val="00D31EB1"/>
    <w:rsid w:val="00D33FDE"/>
    <w:rsid w:val="00D35D32"/>
    <w:rsid w:val="00D35D40"/>
    <w:rsid w:val="00D379D4"/>
    <w:rsid w:val="00D40C09"/>
    <w:rsid w:val="00D42AC8"/>
    <w:rsid w:val="00D44533"/>
    <w:rsid w:val="00D44F00"/>
    <w:rsid w:val="00D4552B"/>
    <w:rsid w:val="00D466F6"/>
    <w:rsid w:val="00D500BF"/>
    <w:rsid w:val="00D51006"/>
    <w:rsid w:val="00D51568"/>
    <w:rsid w:val="00D5447F"/>
    <w:rsid w:val="00D55A82"/>
    <w:rsid w:val="00D616D6"/>
    <w:rsid w:val="00D65940"/>
    <w:rsid w:val="00D65DE4"/>
    <w:rsid w:val="00D67240"/>
    <w:rsid w:val="00D67431"/>
    <w:rsid w:val="00D70DC7"/>
    <w:rsid w:val="00D741FE"/>
    <w:rsid w:val="00D74BB9"/>
    <w:rsid w:val="00D762DE"/>
    <w:rsid w:val="00D765C0"/>
    <w:rsid w:val="00D76DA1"/>
    <w:rsid w:val="00D7708E"/>
    <w:rsid w:val="00D7735A"/>
    <w:rsid w:val="00D81DD7"/>
    <w:rsid w:val="00D82718"/>
    <w:rsid w:val="00D82BF8"/>
    <w:rsid w:val="00D83828"/>
    <w:rsid w:val="00D838AB"/>
    <w:rsid w:val="00D849CD"/>
    <w:rsid w:val="00D8543E"/>
    <w:rsid w:val="00D85C87"/>
    <w:rsid w:val="00D87454"/>
    <w:rsid w:val="00D909F1"/>
    <w:rsid w:val="00D92735"/>
    <w:rsid w:val="00D92A61"/>
    <w:rsid w:val="00D92B83"/>
    <w:rsid w:val="00D95941"/>
    <w:rsid w:val="00D95B01"/>
    <w:rsid w:val="00DA2EC1"/>
    <w:rsid w:val="00DA4177"/>
    <w:rsid w:val="00DA486E"/>
    <w:rsid w:val="00DB2A50"/>
    <w:rsid w:val="00DB3595"/>
    <w:rsid w:val="00DB6D9D"/>
    <w:rsid w:val="00DB6F8E"/>
    <w:rsid w:val="00DB74DA"/>
    <w:rsid w:val="00DC2A97"/>
    <w:rsid w:val="00DC2C7C"/>
    <w:rsid w:val="00DC3AF9"/>
    <w:rsid w:val="00DC6812"/>
    <w:rsid w:val="00DD36F6"/>
    <w:rsid w:val="00DD4B24"/>
    <w:rsid w:val="00DD54E3"/>
    <w:rsid w:val="00DD5924"/>
    <w:rsid w:val="00DD6276"/>
    <w:rsid w:val="00DD7E4E"/>
    <w:rsid w:val="00DE0E93"/>
    <w:rsid w:val="00DE272E"/>
    <w:rsid w:val="00DE32F2"/>
    <w:rsid w:val="00DE333A"/>
    <w:rsid w:val="00DE40EF"/>
    <w:rsid w:val="00DE4545"/>
    <w:rsid w:val="00DE6BBF"/>
    <w:rsid w:val="00DF0AE1"/>
    <w:rsid w:val="00DF760A"/>
    <w:rsid w:val="00E023CF"/>
    <w:rsid w:val="00E053ED"/>
    <w:rsid w:val="00E05FAC"/>
    <w:rsid w:val="00E11549"/>
    <w:rsid w:val="00E130EB"/>
    <w:rsid w:val="00E1503A"/>
    <w:rsid w:val="00E159BF"/>
    <w:rsid w:val="00E20E62"/>
    <w:rsid w:val="00E20F54"/>
    <w:rsid w:val="00E21122"/>
    <w:rsid w:val="00E262B5"/>
    <w:rsid w:val="00E262F6"/>
    <w:rsid w:val="00E26B53"/>
    <w:rsid w:val="00E31C62"/>
    <w:rsid w:val="00E3388C"/>
    <w:rsid w:val="00E366A1"/>
    <w:rsid w:val="00E40109"/>
    <w:rsid w:val="00E41555"/>
    <w:rsid w:val="00E430D2"/>
    <w:rsid w:val="00E47917"/>
    <w:rsid w:val="00E525E0"/>
    <w:rsid w:val="00E527C3"/>
    <w:rsid w:val="00E5289D"/>
    <w:rsid w:val="00E53A00"/>
    <w:rsid w:val="00E57C60"/>
    <w:rsid w:val="00E622C1"/>
    <w:rsid w:val="00E62E5F"/>
    <w:rsid w:val="00E674CD"/>
    <w:rsid w:val="00E67A62"/>
    <w:rsid w:val="00E764D6"/>
    <w:rsid w:val="00E77F2B"/>
    <w:rsid w:val="00E77FCB"/>
    <w:rsid w:val="00E80E81"/>
    <w:rsid w:val="00E8179E"/>
    <w:rsid w:val="00E82072"/>
    <w:rsid w:val="00E86DD6"/>
    <w:rsid w:val="00E86F55"/>
    <w:rsid w:val="00E8777E"/>
    <w:rsid w:val="00E8799A"/>
    <w:rsid w:val="00E90485"/>
    <w:rsid w:val="00E9102C"/>
    <w:rsid w:val="00E9260D"/>
    <w:rsid w:val="00E9274A"/>
    <w:rsid w:val="00E96072"/>
    <w:rsid w:val="00E96F14"/>
    <w:rsid w:val="00E97053"/>
    <w:rsid w:val="00EA13B1"/>
    <w:rsid w:val="00EA1697"/>
    <w:rsid w:val="00EA3756"/>
    <w:rsid w:val="00EA3A8C"/>
    <w:rsid w:val="00EA7A59"/>
    <w:rsid w:val="00EB3EAD"/>
    <w:rsid w:val="00EB445E"/>
    <w:rsid w:val="00EB5FAB"/>
    <w:rsid w:val="00EB7143"/>
    <w:rsid w:val="00EC0D9E"/>
    <w:rsid w:val="00EC13CC"/>
    <w:rsid w:val="00EC148B"/>
    <w:rsid w:val="00EC3729"/>
    <w:rsid w:val="00EC5660"/>
    <w:rsid w:val="00EC5ABF"/>
    <w:rsid w:val="00EC5E1D"/>
    <w:rsid w:val="00EC6CAF"/>
    <w:rsid w:val="00EC770C"/>
    <w:rsid w:val="00EC7DD6"/>
    <w:rsid w:val="00ED0B94"/>
    <w:rsid w:val="00ED18D9"/>
    <w:rsid w:val="00ED1C07"/>
    <w:rsid w:val="00ED2414"/>
    <w:rsid w:val="00EE2433"/>
    <w:rsid w:val="00EE2DF1"/>
    <w:rsid w:val="00EE41CB"/>
    <w:rsid w:val="00EE4723"/>
    <w:rsid w:val="00EE5DBD"/>
    <w:rsid w:val="00EE6565"/>
    <w:rsid w:val="00EF064C"/>
    <w:rsid w:val="00EF0E19"/>
    <w:rsid w:val="00EF1311"/>
    <w:rsid w:val="00EF2C85"/>
    <w:rsid w:val="00EF45A4"/>
    <w:rsid w:val="00EF4D48"/>
    <w:rsid w:val="00EF6CA6"/>
    <w:rsid w:val="00EF7454"/>
    <w:rsid w:val="00EF7B57"/>
    <w:rsid w:val="00F00B0B"/>
    <w:rsid w:val="00F02861"/>
    <w:rsid w:val="00F0407D"/>
    <w:rsid w:val="00F07110"/>
    <w:rsid w:val="00F07CE7"/>
    <w:rsid w:val="00F12316"/>
    <w:rsid w:val="00F12B77"/>
    <w:rsid w:val="00F1419D"/>
    <w:rsid w:val="00F207AB"/>
    <w:rsid w:val="00F213FC"/>
    <w:rsid w:val="00F22DD7"/>
    <w:rsid w:val="00F24C82"/>
    <w:rsid w:val="00F2589D"/>
    <w:rsid w:val="00F30712"/>
    <w:rsid w:val="00F31325"/>
    <w:rsid w:val="00F32405"/>
    <w:rsid w:val="00F32A79"/>
    <w:rsid w:val="00F32FE6"/>
    <w:rsid w:val="00F343ED"/>
    <w:rsid w:val="00F360C8"/>
    <w:rsid w:val="00F404CC"/>
    <w:rsid w:val="00F40584"/>
    <w:rsid w:val="00F41BDD"/>
    <w:rsid w:val="00F4260A"/>
    <w:rsid w:val="00F4344E"/>
    <w:rsid w:val="00F4392D"/>
    <w:rsid w:val="00F4635B"/>
    <w:rsid w:val="00F50E7C"/>
    <w:rsid w:val="00F513BC"/>
    <w:rsid w:val="00F518D2"/>
    <w:rsid w:val="00F5206B"/>
    <w:rsid w:val="00F5551A"/>
    <w:rsid w:val="00F55B47"/>
    <w:rsid w:val="00F56A20"/>
    <w:rsid w:val="00F5755D"/>
    <w:rsid w:val="00F60A16"/>
    <w:rsid w:val="00F706A8"/>
    <w:rsid w:val="00F75CD2"/>
    <w:rsid w:val="00F777C2"/>
    <w:rsid w:val="00F80224"/>
    <w:rsid w:val="00F804F9"/>
    <w:rsid w:val="00F81155"/>
    <w:rsid w:val="00F8195D"/>
    <w:rsid w:val="00F83BAB"/>
    <w:rsid w:val="00F83E4D"/>
    <w:rsid w:val="00F87BF6"/>
    <w:rsid w:val="00F87CAB"/>
    <w:rsid w:val="00F912B8"/>
    <w:rsid w:val="00F95B49"/>
    <w:rsid w:val="00F97AED"/>
    <w:rsid w:val="00FA0607"/>
    <w:rsid w:val="00FA1A01"/>
    <w:rsid w:val="00FA34E8"/>
    <w:rsid w:val="00FA3D53"/>
    <w:rsid w:val="00FB0645"/>
    <w:rsid w:val="00FB1B8E"/>
    <w:rsid w:val="00FB1CDE"/>
    <w:rsid w:val="00FB20CE"/>
    <w:rsid w:val="00FB2B6E"/>
    <w:rsid w:val="00FB2FA6"/>
    <w:rsid w:val="00FB44B5"/>
    <w:rsid w:val="00FB7794"/>
    <w:rsid w:val="00FC09BA"/>
    <w:rsid w:val="00FC1551"/>
    <w:rsid w:val="00FC2CB0"/>
    <w:rsid w:val="00FC67FD"/>
    <w:rsid w:val="00FC6E8E"/>
    <w:rsid w:val="00FD36EA"/>
    <w:rsid w:val="00FD4BEB"/>
    <w:rsid w:val="00FD7331"/>
    <w:rsid w:val="00FE012A"/>
    <w:rsid w:val="00FE6C0B"/>
    <w:rsid w:val="00FE7DE8"/>
    <w:rsid w:val="00FF4852"/>
    <w:rsid w:val="00FF5546"/>
    <w:rsid w:val="00FF5D57"/>
    <w:rsid w:val="00FF6BCC"/>
    <w:rsid w:val="00FF6E53"/>
    <w:rsid w:val="022074B1"/>
    <w:rsid w:val="02B50111"/>
    <w:rsid w:val="04474321"/>
    <w:rsid w:val="04D2645F"/>
    <w:rsid w:val="05F633B7"/>
    <w:rsid w:val="061169ED"/>
    <w:rsid w:val="07200B4F"/>
    <w:rsid w:val="08312E2C"/>
    <w:rsid w:val="087757A8"/>
    <w:rsid w:val="09372E76"/>
    <w:rsid w:val="0A6C7C49"/>
    <w:rsid w:val="0B2E020D"/>
    <w:rsid w:val="0B3472F8"/>
    <w:rsid w:val="0C344A88"/>
    <w:rsid w:val="0C4E4BA2"/>
    <w:rsid w:val="0D653C5B"/>
    <w:rsid w:val="0F91202A"/>
    <w:rsid w:val="10A34BFE"/>
    <w:rsid w:val="10C06BA6"/>
    <w:rsid w:val="10EC1976"/>
    <w:rsid w:val="13004D61"/>
    <w:rsid w:val="13463B66"/>
    <w:rsid w:val="15631AD4"/>
    <w:rsid w:val="15E078B7"/>
    <w:rsid w:val="16544574"/>
    <w:rsid w:val="16AF6782"/>
    <w:rsid w:val="17385430"/>
    <w:rsid w:val="17BE4CB0"/>
    <w:rsid w:val="19CA60BB"/>
    <w:rsid w:val="1ACE7747"/>
    <w:rsid w:val="1AF85403"/>
    <w:rsid w:val="1B2742FF"/>
    <w:rsid w:val="1CEB56F0"/>
    <w:rsid w:val="1F412AD3"/>
    <w:rsid w:val="217B3AFE"/>
    <w:rsid w:val="228361E4"/>
    <w:rsid w:val="23875AF1"/>
    <w:rsid w:val="23D61A38"/>
    <w:rsid w:val="25234D63"/>
    <w:rsid w:val="266E6768"/>
    <w:rsid w:val="272F5EAE"/>
    <w:rsid w:val="278E43D4"/>
    <w:rsid w:val="2813707B"/>
    <w:rsid w:val="28792247"/>
    <w:rsid w:val="28891615"/>
    <w:rsid w:val="28E05122"/>
    <w:rsid w:val="28E2121A"/>
    <w:rsid w:val="28F24A7E"/>
    <w:rsid w:val="295108F9"/>
    <w:rsid w:val="2A2F21FB"/>
    <w:rsid w:val="2AF71A2D"/>
    <w:rsid w:val="2B866FFA"/>
    <w:rsid w:val="2C893AB4"/>
    <w:rsid w:val="2DAF6932"/>
    <w:rsid w:val="2EF86BFD"/>
    <w:rsid w:val="30FA2F9E"/>
    <w:rsid w:val="31180DDD"/>
    <w:rsid w:val="31961813"/>
    <w:rsid w:val="33CF694A"/>
    <w:rsid w:val="379637CE"/>
    <w:rsid w:val="3C465AB3"/>
    <w:rsid w:val="3C653C4C"/>
    <w:rsid w:val="3FB53538"/>
    <w:rsid w:val="40443C5D"/>
    <w:rsid w:val="409E2D31"/>
    <w:rsid w:val="418C24DE"/>
    <w:rsid w:val="41A1365E"/>
    <w:rsid w:val="42F26851"/>
    <w:rsid w:val="43B54D50"/>
    <w:rsid w:val="441F380E"/>
    <w:rsid w:val="4455757A"/>
    <w:rsid w:val="44F3200D"/>
    <w:rsid w:val="45B07F29"/>
    <w:rsid w:val="46612135"/>
    <w:rsid w:val="46A43C96"/>
    <w:rsid w:val="46B13137"/>
    <w:rsid w:val="476379B2"/>
    <w:rsid w:val="47870865"/>
    <w:rsid w:val="4945719B"/>
    <w:rsid w:val="4A3023D5"/>
    <w:rsid w:val="4AC52385"/>
    <w:rsid w:val="4B152BAE"/>
    <w:rsid w:val="4D0C7402"/>
    <w:rsid w:val="4E1C42DE"/>
    <w:rsid w:val="4E952414"/>
    <w:rsid w:val="505274F3"/>
    <w:rsid w:val="51F13AD3"/>
    <w:rsid w:val="529D0EFA"/>
    <w:rsid w:val="538364F8"/>
    <w:rsid w:val="540826F9"/>
    <w:rsid w:val="544E169B"/>
    <w:rsid w:val="54AD787B"/>
    <w:rsid w:val="54F53CA3"/>
    <w:rsid w:val="558372D7"/>
    <w:rsid w:val="57904A37"/>
    <w:rsid w:val="57FF2E6E"/>
    <w:rsid w:val="586E6F67"/>
    <w:rsid w:val="592011C1"/>
    <w:rsid w:val="59B45B02"/>
    <w:rsid w:val="5A5E23C8"/>
    <w:rsid w:val="5B2A5BF7"/>
    <w:rsid w:val="5B3832CB"/>
    <w:rsid w:val="5D1E095A"/>
    <w:rsid w:val="5D771551"/>
    <w:rsid w:val="5F2C5A2B"/>
    <w:rsid w:val="5FC73B94"/>
    <w:rsid w:val="601E2073"/>
    <w:rsid w:val="60580512"/>
    <w:rsid w:val="60E13429"/>
    <w:rsid w:val="61915C6E"/>
    <w:rsid w:val="61DE011B"/>
    <w:rsid w:val="63CE5C88"/>
    <w:rsid w:val="65906D42"/>
    <w:rsid w:val="65B41C1D"/>
    <w:rsid w:val="663A6B91"/>
    <w:rsid w:val="667D7FE9"/>
    <w:rsid w:val="66A00E53"/>
    <w:rsid w:val="67D16B2A"/>
    <w:rsid w:val="682D2927"/>
    <w:rsid w:val="6AB46DC1"/>
    <w:rsid w:val="6C336899"/>
    <w:rsid w:val="6C565905"/>
    <w:rsid w:val="6F9E58AF"/>
    <w:rsid w:val="703D1CBB"/>
    <w:rsid w:val="71D93127"/>
    <w:rsid w:val="724D02B1"/>
    <w:rsid w:val="72805304"/>
    <w:rsid w:val="7522739C"/>
    <w:rsid w:val="761C50EF"/>
    <w:rsid w:val="7692010D"/>
    <w:rsid w:val="769A799B"/>
    <w:rsid w:val="77276508"/>
    <w:rsid w:val="79236C2F"/>
    <w:rsid w:val="794A2942"/>
    <w:rsid w:val="79975B54"/>
    <w:rsid w:val="79E806A4"/>
    <w:rsid w:val="7BC82417"/>
    <w:rsid w:val="7D770174"/>
    <w:rsid w:val="7E216DFF"/>
    <w:rsid w:val="7EFC8341"/>
    <w:rsid w:val="9DD7AC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643" w:firstLineChars="200"/>
      <w:jc w:val="both"/>
    </w:pPr>
    <w:rPr>
      <w:rFonts w:ascii="Times New Roman" w:hAnsi="Times New Roman" w:eastAsia="宋体" w:cstheme="minorBidi"/>
      <w:kern w:val="2"/>
      <w:sz w:val="24"/>
      <w:szCs w:val="24"/>
      <w:lang w:val="en-US" w:eastAsia="zh-CN" w:bidi="ar-SA"/>
    </w:rPr>
  </w:style>
  <w:style w:type="paragraph" w:styleId="2">
    <w:name w:val="heading 1"/>
    <w:basedOn w:val="1"/>
    <w:next w:val="1"/>
    <w:link w:val="34"/>
    <w:qFormat/>
    <w:uiPriority w:val="9"/>
    <w:pPr>
      <w:widowControl w:val="0"/>
      <w:numPr>
        <w:ilvl w:val="0"/>
        <w:numId w:val="1"/>
      </w:numPr>
      <w:spacing w:line="590" w:lineRule="exact"/>
      <w:ind w:left="0" w:firstLine="200" w:firstLineChars="200"/>
      <w:outlineLvl w:val="0"/>
    </w:pPr>
    <w:rPr>
      <w:rFonts w:ascii="Times New Roman" w:hAnsi="Times New Roman" w:eastAsia="黑体" w:cs="Times New Roman"/>
      <w:kern w:val="2"/>
      <w:sz w:val="32"/>
      <w:szCs w:val="32"/>
      <w:lang w:val="en-US" w:eastAsia="zh-CN" w:bidi="ar-SA"/>
    </w:rPr>
  </w:style>
  <w:style w:type="paragraph" w:styleId="3">
    <w:name w:val="heading 2"/>
    <w:basedOn w:val="1"/>
    <w:next w:val="1"/>
    <w:link w:val="36"/>
    <w:unhideWhenUsed/>
    <w:qFormat/>
    <w:uiPriority w:val="9"/>
    <w:pPr>
      <w:widowControl w:val="0"/>
      <w:numPr>
        <w:ilvl w:val="1"/>
        <w:numId w:val="1"/>
      </w:numPr>
      <w:autoSpaceDE w:val="0"/>
      <w:autoSpaceDN w:val="0"/>
      <w:adjustRightInd w:val="0"/>
      <w:spacing w:line="590" w:lineRule="exact"/>
      <w:ind w:left="0" w:firstLine="200" w:firstLineChars="200"/>
      <w:outlineLvl w:val="1"/>
    </w:pPr>
    <w:rPr>
      <w:rFonts w:ascii="Times New Roman" w:hAnsi="Times New Roman" w:eastAsia="楷体_GB2312" w:cs="Times New Roman"/>
      <w:bCs/>
      <w:kern w:val="2"/>
      <w:sz w:val="32"/>
      <w:szCs w:val="32"/>
      <w:lang w:val="en-US" w:eastAsia="zh-CN" w:bidi="ar-SA"/>
    </w:rPr>
  </w:style>
  <w:style w:type="paragraph" w:styleId="4">
    <w:name w:val="heading 3"/>
    <w:next w:val="5"/>
    <w:link w:val="37"/>
    <w:unhideWhenUsed/>
    <w:qFormat/>
    <w:uiPriority w:val="9"/>
    <w:pPr>
      <w:widowControl w:val="0"/>
      <w:numPr>
        <w:ilvl w:val="2"/>
        <w:numId w:val="1"/>
      </w:numPr>
      <w:spacing w:line="590" w:lineRule="exact"/>
      <w:ind w:left="0" w:firstLine="200" w:firstLineChars="200"/>
      <w:jc w:val="both"/>
      <w:outlineLvl w:val="2"/>
    </w:pPr>
    <w:rPr>
      <w:rFonts w:ascii="Times New Roman" w:hAnsi="Times New Roman" w:eastAsia="仿宋_GB2312" w:cs="Times New Roman"/>
      <w:bCs/>
      <w:kern w:val="2"/>
      <w:sz w:val="32"/>
      <w:szCs w:val="32"/>
      <w:lang w:val="en-US" w:eastAsia="zh-CN" w:bidi="ar-SA"/>
    </w:rPr>
  </w:style>
  <w:style w:type="paragraph" w:styleId="6">
    <w:name w:val="heading 4"/>
    <w:next w:val="5"/>
    <w:link w:val="38"/>
    <w:unhideWhenUsed/>
    <w:qFormat/>
    <w:uiPriority w:val="9"/>
    <w:pPr>
      <w:widowControl w:val="0"/>
      <w:numPr>
        <w:ilvl w:val="3"/>
        <w:numId w:val="1"/>
      </w:numPr>
      <w:autoSpaceDE w:val="0"/>
      <w:autoSpaceDN w:val="0"/>
      <w:adjustRightInd w:val="0"/>
      <w:spacing w:line="590" w:lineRule="exact"/>
      <w:ind w:left="0" w:firstLine="200" w:firstLineChars="200"/>
      <w:outlineLvl w:val="3"/>
    </w:pPr>
    <w:rPr>
      <w:rFonts w:ascii="Times New Roman" w:hAnsi="Times New Roman" w:eastAsia="仿宋_GB2312" w:cs="Times New Roman"/>
      <w:kern w:val="2"/>
      <w:sz w:val="32"/>
      <w:szCs w:val="32"/>
      <w:lang w:val="en-US" w:eastAsia="zh-CN" w:bidi="ar-SA"/>
    </w:rPr>
  </w:style>
  <w:style w:type="paragraph" w:styleId="7">
    <w:name w:val="heading 5"/>
    <w:next w:val="5"/>
    <w:link w:val="39"/>
    <w:unhideWhenUsed/>
    <w:qFormat/>
    <w:uiPriority w:val="9"/>
    <w:pPr>
      <w:spacing w:line="590" w:lineRule="exact"/>
      <w:ind w:firstLine="200" w:firstLineChars="200"/>
      <w:outlineLvl w:val="4"/>
    </w:pPr>
    <w:rPr>
      <w:rFonts w:ascii="Times New Roman" w:hAnsi="Times New Roman" w:eastAsia="仿宋_GB2312" w:cs="Times New Roman"/>
      <w:kern w:val="2"/>
      <w:sz w:val="32"/>
      <w:szCs w:val="32"/>
      <w:lang w:val="en-US" w:eastAsia="zh-CN" w:bidi="ar-SA"/>
    </w:rPr>
  </w:style>
  <w:style w:type="paragraph" w:styleId="8">
    <w:name w:val="heading 6"/>
    <w:next w:val="5"/>
    <w:link w:val="41"/>
    <w:unhideWhenUsed/>
    <w:qFormat/>
    <w:uiPriority w:val="9"/>
    <w:pPr>
      <w:spacing w:line="590" w:lineRule="exact"/>
      <w:ind w:firstLine="200" w:firstLineChars="200"/>
      <w:outlineLvl w:val="5"/>
    </w:pPr>
    <w:rPr>
      <w:rFonts w:ascii="Times New Roman" w:hAnsi="Times New Roman" w:eastAsia="仿宋_GB2312" w:cs="宋体"/>
      <w:kern w:val="2"/>
      <w:sz w:val="32"/>
      <w:szCs w:val="32"/>
      <w:lang w:val="en-US" w:eastAsia="zh-CN" w:bidi="ar-SA"/>
    </w:rPr>
  </w:style>
  <w:style w:type="paragraph" w:styleId="9">
    <w:name w:val="heading 7"/>
    <w:next w:val="5"/>
    <w:link w:val="50"/>
    <w:unhideWhenUsed/>
    <w:qFormat/>
    <w:uiPriority w:val="9"/>
    <w:pPr>
      <w:keepNext/>
      <w:keepLines/>
      <w:spacing w:line="590" w:lineRule="exact"/>
      <w:ind w:firstLine="200" w:firstLineChars="200"/>
      <w:outlineLvl w:val="6"/>
    </w:pPr>
    <w:rPr>
      <w:rFonts w:ascii="Times New Roman" w:hAnsi="Times New Roman" w:eastAsia="仿宋_GB2312" w:cs="Times New Roman"/>
      <w:bCs/>
      <w:kern w:val="2"/>
      <w:sz w:val="32"/>
      <w:szCs w:val="24"/>
      <w:lang w:val="en-US" w:eastAsia="zh-CN" w:bidi="ar-SA"/>
    </w:rPr>
  </w:style>
  <w:style w:type="paragraph" w:styleId="10">
    <w:name w:val="heading 8"/>
    <w:next w:val="5"/>
    <w:link w:val="51"/>
    <w:unhideWhenUsed/>
    <w:qFormat/>
    <w:uiPriority w:val="9"/>
    <w:pPr>
      <w:keepNext/>
      <w:keepLines/>
      <w:spacing w:line="590" w:lineRule="exact"/>
      <w:ind w:firstLine="200" w:firstLineChars="200"/>
      <w:outlineLvl w:val="7"/>
    </w:pPr>
    <w:rPr>
      <w:rFonts w:ascii="Times New Roman" w:hAnsi="Times New Roman" w:eastAsia="仿宋_GB2312" w:cstheme="majorBidi"/>
      <w:kern w:val="2"/>
      <w:sz w:val="32"/>
      <w:szCs w:val="24"/>
      <w:lang w:val="en-US" w:eastAsia="zh-CN" w:bidi="ar-SA"/>
    </w:rPr>
  </w:style>
  <w:style w:type="paragraph" w:styleId="11">
    <w:name w:val="heading 9"/>
    <w:next w:val="5"/>
    <w:link w:val="52"/>
    <w:semiHidden/>
    <w:unhideWhenUsed/>
    <w:qFormat/>
    <w:uiPriority w:val="9"/>
    <w:pPr>
      <w:keepNext/>
      <w:keepLines/>
      <w:spacing w:line="590" w:lineRule="exact"/>
      <w:ind w:firstLine="200" w:firstLineChars="200"/>
      <w:outlineLvl w:val="8"/>
    </w:pPr>
    <w:rPr>
      <w:rFonts w:ascii="Times New Roman" w:hAnsi="Times New Roman" w:eastAsia="仿宋_GB2312" w:cstheme="majorBidi"/>
      <w:kern w:val="2"/>
      <w:sz w:val="32"/>
      <w:szCs w:val="21"/>
      <w:lang w:val="en-US" w:eastAsia="zh-CN" w:bidi="ar-SA"/>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5">
    <w:name w:val="我的正文"/>
    <w:link w:val="49"/>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12">
    <w:name w:val="toc 7"/>
    <w:basedOn w:val="1"/>
    <w:next w:val="1"/>
    <w:autoRedefine/>
    <w:unhideWhenUsed/>
    <w:qFormat/>
    <w:uiPriority w:val="39"/>
    <w:pPr>
      <w:ind w:left="2520" w:leftChars="1200"/>
    </w:pPr>
  </w:style>
  <w:style w:type="paragraph" w:styleId="13">
    <w:name w:val="caption"/>
    <w:next w:val="1"/>
    <w:unhideWhenUsed/>
    <w:qFormat/>
    <w:uiPriority w:val="35"/>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14">
    <w:name w:val="Body Text"/>
    <w:basedOn w:val="1"/>
    <w:unhideWhenUsed/>
    <w:qFormat/>
    <w:uiPriority w:val="99"/>
    <w:pPr>
      <w:spacing w:line="360" w:lineRule="auto"/>
      <w:ind w:firstLine="420" w:firstLineChars="200"/>
    </w:pPr>
    <w:rPr>
      <w:rFonts w:ascii="Times New Roman" w:hAnsi="Times New Roman" w:cstheme="minorBidi"/>
    </w:rPr>
  </w:style>
  <w:style w:type="paragraph" w:styleId="15">
    <w:name w:val="toc 5"/>
    <w:basedOn w:val="1"/>
    <w:next w:val="1"/>
    <w:autoRedefine/>
    <w:unhideWhenUsed/>
    <w:qFormat/>
    <w:uiPriority w:val="39"/>
    <w:pPr>
      <w:ind w:left="1680" w:leftChars="800"/>
    </w:pPr>
  </w:style>
  <w:style w:type="paragraph" w:styleId="16">
    <w:name w:val="toc 3"/>
    <w:basedOn w:val="1"/>
    <w:next w:val="1"/>
    <w:autoRedefine/>
    <w:unhideWhenUsed/>
    <w:qFormat/>
    <w:uiPriority w:val="39"/>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7">
    <w:name w:val="toc 8"/>
    <w:basedOn w:val="1"/>
    <w:next w:val="1"/>
    <w:autoRedefine/>
    <w:unhideWhenUsed/>
    <w:qFormat/>
    <w:uiPriority w:val="39"/>
    <w:pPr>
      <w:ind w:left="2940" w:leftChars="1400"/>
    </w:pPr>
  </w:style>
  <w:style w:type="paragraph" w:styleId="18">
    <w:name w:val="footer"/>
    <w:basedOn w:val="1"/>
    <w:link w:val="55"/>
    <w:unhideWhenUsed/>
    <w:qFormat/>
    <w:uiPriority w:val="99"/>
    <w:pPr>
      <w:tabs>
        <w:tab w:val="center" w:pos="4153"/>
        <w:tab w:val="right" w:pos="8306"/>
      </w:tabs>
      <w:snapToGrid w:val="0"/>
      <w:jc w:val="left"/>
    </w:pPr>
    <w:rPr>
      <w:sz w:val="18"/>
      <w:szCs w:val="18"/>
    </w:rPr>
  </w:style>
  <w:style w:type="paragraph" w:styleId="19">
    <w:name w:val="header"/>
    <w:basedOn w:val="1"/>
    <w:link w:val="54"/>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autoRedefine/>
    <w:unhideWhenUsed/>
    <w:qFormat/>
    <w:uiPriority w:val="39"/>
    <w:pPr>
      <w:tabs>
        <w:tab w:val="left" w:pos="840"/>
        <w:tab w:val="right" w:leader="dot" w:pos="8296"/>
      </w:tabs>
      <w:spacing w:line="590" w:lineRule="exact"/>
      <w:ind w:right="840" w:rightChars="400"/>
    </w:pPr>
    <w:rPr>
      <w:rFonts w:ascii="Times New Roman" w:hAnsi="Times New Roman" w:eastAsia="黑体"/>
      <w:sz w:val="24"/>
      <w:szCs w:val="24"/>
    </w:rPr>
  </w:style>
  <w:style w:type="paragraph" w:styleId="21">
    <w:name w:val="toc 4"/>
    <w:basedOn w:val="1"/>
    <w:next w:val="1"/>
    <w:autoRedefine/>
    <w:unhideWhenUsed/>
    <w:qFormat/>
    <w:uiPriority w:val="39"/>
    <w:pPr>
      <w:ind w:left="1260" w:leftChars="600"/>
    </w:pPr>
  </w:style>
  <w:style w:type="paragraph" w:styleId="22">
    <w:name w:val="Subtitle"/>
    <w:next w:val="5"/>
    <w:link w:val="53"/>
    <w:qFormat/>
    <w:uiPriority w:val="11"/>
    <w:pPr>
      <w:spacing w:before="240" w:after="60" w:line="312" w:lineRule="auto"/>
      <w:jc w:val="center"/>
      <w:outlineLvl w:val="1"/>
    </w:pPr>
    <w:rPr>
      <w:rFonts w:asciiTheme="minorHAnsi" w:hAnsiTheme="minorHAnsi" w:eastAsiaTheme="minorEastAsia" w:cstheme="minorBidi"/>
      <w:b/>
      <w:bCs/>
      <w:kern w:val="28"/>
      <w:sz w:val="32"/>
      <w:szCs w:val="32"/>
      <w:lang w:val="en-US" w:eastAsia="zh-CN" w:bidi="ar-SA"/>
    </w:rPr>
  </w:style>
  <w:style w:type="paragraph" w:styleId="23">
    <w:name w:val="footnote text"/>
    <w:basedOn w:val="1"/>
    <w:qFormat/>
    <w:uiPriority w:val="0"/>
    <w:pPr>
      <w:snapToGrid w:val="0"/>
      <w:jc w:val="left"/>
    </w:pPr>
    <w:rPr>
      <w:sz w:val="18"/>
    </w:rPr>
  </w:style>
  <w:style w:type="paragraph" w:styleId="24">
    <w:name w:val="toc 6"/>
    <w:basedOn w:val="1"/>
    <w:next w:val="1"/>
    <w:autoRedefine/>
    <w:unhideWhenUsed/>
    <w:qFormat/>
    <w:uiPriority w:val="39"/>
    <w:pPr>
      <w:ind w:left="2100" w:leftChars="1000"/>
    </w:pPr>
  </w:style>
  <w:style w:type="paragraph" w:styleId="25">
    <w:name w:val="toc 2"/>
    <w:basedOn w:val="1"/>
    <w:next w:val="1"/>
    <w:autoRedefine/>
    <w:unhideWhenUsed/>
    <w:qFormat/>
    <w:uiPriority w:val="39"/>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26">
    <w:name w:val="toc 9"/>
    <w:basedOn w:val="1"/>
    <w:next w:val="1"/>
    <w:autoRedefine/>
    <w:unhideWhenUsed/>
    <w:qFormat/>
    <w:uiPriority w:val="39"/>
    <w:pPr>
      <w:ind w:left="3360" w:leftChars="1600"/>
    </w:pPr>
  </w:style>
  <w:style w:type="paragraph" w:styleId="27">
    <w:name w:val="Title"/>
    <w:next w:val="5"/>
    <w:link w:val="35"/>
    <w:qFormat/>
    <w:uiPriority w:val="10"/>
    <w:pPr>
      <w:spacing w:line="564" w:lineRule="exact"/>
      <w:jc w:val="center"/>
    </w:pPr>
    <w:rPr>
      <w:rFonts w:ascii="方正小标宋简体" w:hAnsi="Times New Roman" w:eastAsia="方正小标宋简体" w:cs="Times New Roman"/>
      <w:kern w:val="2"/>
      <w:sz w:val="44"/>
      <w:szCs w:val="44"/>
      <w:lang w:val="en-US" w:eastAsia="zh-CN" w:bidi="ar-SA"/>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Hyperlink"/>
    <w:basedOn w:val="30"/>
    <w:unhideWhenUsed/>
    <w:qFormat/>
    <w:uiPriority w:val="99"/>
    <w:rPr>
      <w:color w:val="0026E5" w:themeColor="hyperlink"/>
      <w:u w:val="single"/>
      <w14:textFill>
        <w14:solidFill>
          <w14:schemeClr w14:val="hlink"/>
        </w14:solidFill>
      </w14:textFill>
    </w:rPr>
  </w:style>
  <w:style w:type="character" w:styleId="33">
    <w:name w:val="footnote reference"/>
    <w:basedOn w:val="30"/>
    <w:qFormat/>
    <w:uiPriority w:val="0"/>
    <w:rPr>
      <w:vertAlign w:val="superscript"/>
    </w:rPr>
  </w:style>
  <w:style w:type="character" w:customStyle="1" w:styleId="34">
    <w:name w:val="标题 1 字符"/>
    <w:basedOn w:val="30"/>
    <w:link w:val="2"/>
    <w:qFormat/>
    <w:uiPriority w:val="9"/>
    <w:rPr>
      <w:rFonts w:ascii="Times New Roman" w:hAnsi="Times New Roman" w:eastAsia="黑体" w:cs="Times New Roman"/>
      <w:sz w:val="32"/>
      <w:szCs w:val="32"/>
    </w:rPr>
  </w:style>
  <w:style w:type="character" w:customStyle="1" w:styleId="35">
    <w:name w:val="标题 字符"/>
    <w:basedOn w:val="30"/>
    <w:link w:val="27"/>
    <w:qFormat/>
    <w:uiPriority w:val="10"/>
    <w:rPr>
      <w:rFonts w:ascii="方正小标宋简体" w:hAnsi="Times New Roman" w:eastAsia="方正小标宋简体" w:cs="Times New Roman"/>
      <w:sz w:val="44"/>
      <w:szCs w:val="44"/>
    </w:rPr>
  </w:style>
  <w:style w:type="character" w:customStyle="1" w:styleId="36">
    <w:name w:val="标题 2 字符"/>
    <w:basedOn w:val="30"/>
    <w:link w:val="3"/>
    <w:qFormat/>
    <w:uiPriority w:val="9"/>
    <w:rPr>
      <w:rFonts w:ascii="Times New Roman" w:hAnsi="Times New Roman" w:eastAsia="楷体_GB2312" w:cs="Times New Roman"/>
      <w:bCs/>
      <w:sz w:val="32"/>
      <w:szCs w:val="32"/>
    </w:rPr>
  </w:style>
  <w:style w:type="character" w:customStyle="1" w:styleId="37">
    <w:name w:val="标题 3 字符"/>
    <w:basedOn w:val="30"/>
    <w:link w:val="4"/>
    <w:qFormat/>
    <w:uiPriority w:val="9"/>
    <w:rPr>
      <w:rFonts w:ascii="Times New Roman" w:hAnsi="Times New Roman" w:eastAsia="仿宋_GB2312" w:cs="Times New Roman"/>
      <w:bCs/>
      <w:sz w:val="32"/>
      <w:szCs w:val="32"/>
    </w:rPr>
  </w:style>
  <w:style w:type="character" w:customStyle="1" w:styleId="38">
    <w:name w:val="标题 4 字符"/>
    <w:basedOn w:val="30"/>
    <w:link w:val="6"/>
    <w:qFormat/>
    <w:uiPriority w:val="9"/>
    <w:rPr>
      <w:rFonts w:ascii="Times New Roman" w:hAnsi="Times New Roman" w:eastAsia="仿宋_GB2312" w:cs="Times New Roman"/>
      <w:sz w:val="32"/>
      <w:szCs w:val="32"/>
    </w:rPr>
  </w:style>
  <w:style w:type="character" w:customStyle="1" w:styleId="39">
    <w:name w:val="标题 5 字符"/>
    <w:basedOn w:val="30"/>
    <w:link w:val="7"/>
    <w:qFormat/>
    <w:uiPriority w:val="9"/>
    <w:rPr>
      <w:rFonts w:ascii="Times New Roman" w:hAnsi="Times New Roman" w:eastAsia="仿宋_GB2312" w:cs="Times New Roman"/>
      <w:sz w:val="32"/>
      <w:szCs w:val="32"/>
    </w:rPr>
  </w:style>
  <w:style w:type="paragraph" w:styleId="40">
    <w:name w:val="List Paragraph"/>
    <w:basedOn w:val="1"/>
    <w:qFormat/>
    <w:uiPriority w:val="34"/>
    <w:pPr>
      <w:ind w:firstLine="420" w:firstLineChars="200"/>
    </w:pPr>
  </w:style>
  <w:style w:type="character" w:customStyle="1" w:styleId="41">
    <w:name w:val="标题 6 字符"/>
    <w:basedOn w:val="30"/>
    <w:link w:val="8"/>
    <w:qFormat/>
    <w:uiPriority w:val="9"/>
    <w:rPr>
      <w:rFonts w:ascii="Times New Roman" w:hAnsi="Times New Roman" w:eastAsia="仿宋_GB2312" w:cs="宋体"/>
      <w:sz w:val="32"/>
      <w:szCs w:val="32"/>
    </w:rPr>
  </w:style>
  <w:style w:type="paragraph" w:customStyle="1" w:styleId="42">
    <w:name w:val="表"/>
    <w:link w:val="43"/>
    <w:qFormat/>
    <w:uiPriority w:val="0"/>
    <w:pPr>
      <w:spacing w:line="0" w:lineRule="atLeast"/>
    </w:pPr>
    <w:rPr>
      <w:rFonts w:ascii="Times New Roman" w:hAnsi="Times New Roman" w:eastAsia="宋体" w:cs="宋体"/>
      <w:color w:val="000000"/>
      <w:kern w:val="2"/>
      <w:sz w:val="24"/>
      <w:szCs w:val="22"/>
      <w:lang w:val="en-US" w:eastAsia="zh-CN" w:bidi="ar-SA"/>
    </w:rPr>
  </w:style>
  <w:style w:type="character" w:customStyle="1" w:styleId="43">
    <w:name w:val="表 字符"/>
    <w:basedOn w:val="30"/>
    <w:link w:val="42"/>
    <w:qFormat/>
    <w:uiPriority w:val="0"/>
    <w:rPr>
      <w:rFonts w:ascii="Times New Roman" w:hAnsi="Times New Roman" w:eastAsia="宋体" w:cs="宋体"/>
      <w:color w:val="000000"/>
      <w:sz w:val="24"/>
    </w:rPr>
  </w:style>
  <w:style w:type="paragraph" w:customStyle="1" w:styleId="44">
    <w:name w:val="图"/>
    <w:link w:val="45"/>
    <w:qFormat/>
    <w:uiPriority w:val="0"/>
    <w:pPr>
      <w:keepNext/>
      <w:jc w:val="center"/>
    </w:pPr>
    <w:rPr>
      <w:rFonts w:ascii="Times New Roman" w:hAnsi="Times New Roman" w:eastAsia="仿宋_GB2312" w:cs="Times New Roman"/>
      <w:kern w:val="2"/>
      <w:sz w:val="32"/>
      <w:szCs w:val="32"/>
      <w:lang w:val="en-US" w:eastAsia="zh-CN" w:bidi="ar-SA"/>
    </w:rPr>
  </w:style>
  <w:style w:type="character" w:customStyle="1" w:styleId="45">
    <w:name w:val="图 字符"/>
    <w:basedOn w:val="30"/>
    <w:link w:val="44"/>
    <w:qFormat/>
    <w:uiPriority w:val="0"/>
    <w:rPr>
      <w:rFonts w:ascii="Times New Roman" w:hAnsi="Times New Roman" w:eastAsia="仿宋_GB2312" w:cs="Times New Roman"/>
      <w:sz w:val="32"/>
      <w:szCs w:val="32"/>
    </w:rPr>
  </w:style>
  <w:style w:type="paragraph" w:customStyle="1" w:styleId="46">
    <w:name w:val="图表"/>
    <w:basedOn w:val="1"/>
    <w:link w:val="47"/>
    <w:qFormat/>
    <w:uiPriority w:val="0"/>
    <w:rPr>
      <w:rFonts w:ascii="宋体" w:hAnsi="宋体"/>
      <w:szCs w:val="21"/>
    </w:rPr>
  </w:style>
  <w:style w:type="character" w:customStyle="1" w:styleId="47">
    <w:name w:val="图表 Char"/>
    <w:link w:val="46"/>
    <w:qFormat/>
    <w:uiPriority w:val="0"/>
    <w:rPr>
      <w:rFonts w:ascii="宋体" w:hAnsi="宋体"/>
      <w:szCs w:val="21"/>
    </w:rPr>
  </w:style>
  <w:style w:type="table" w:customStyle="1" w:styleId="48">
    <w:name w:val="我的表格"/>
    <w:basedOn w:val="28"/>
    <w:qFormat/>
    <w:uiPriority w:val="39"/>
    <w:pPr>
      <w:jc w:val="center"/>
    </w:p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shd w:val="clear" w:color="auto" w:fill="auto"/>
      <w:vAlign w:val="center"/>
    </w:tcPr>
    <w:tblStylePr w:type="firstRow">
      <w:pPr>
        <w:jc w:val="center"/>
      </w:pPr>
      <w:rPr>
        <w:rFonts w:eastAsiaTheme="minorEastAsia"/>
        <w:b/>
      </w:rPr>
      <w:tblPr/>
      <w:trPr>
        <w:tblHeader/>
      </w:trPr>
      <w:tcPr>
        <w:shd w:val="clear" w:color="auto" w:fill="BEBEBE" w:themeFill="background1" w:themeFillShade="BF"/>
      </w:tcPr>
    </w:tblStylePr>
  </w:style>
  <w:style w:type="character" w:customStyle="1" w:styleId="49">
    <w:name w:val="我的正文 字符"/>
    <w:basedOn w:val="30"/>
    <w:link w:val="5"/>
    <w:qFormat/>
    <w:uiPriority w:val="0"/>
    <w:rPr>
      <w:rFonts w:ascii="Times New Roman" w:hAnsi="Times New Roman" w:eastAsia="仿宋_GB2312" w:cs="Times New Roman"/>
      <w:sz w:val="32"/>
      <w:szCs w:val="24"/>
    </w:rPr>
  </w:style>
  <w:style w:type="character" w:customStyle="1" w:styleId="50">
    <w:name w:val="标题 7 字符"/>
    <w:basedOn w:val="30"/>
    <w:link w:val="9"/>
    <w:qFormat/>
    <w:uiPriority w:val="9"/>
    <w:rPr>
      <w:rFonts w:ascii="Times New Roman" w:hAnsi="Times New Roman" w:eastAsia="仿宋_GB2312" w:cs="Times New Roman"/>
      <w:bCs/>
      <w:sz w:val="32"/>
      <w:szCs w:val="24"/>
    </w:rPr>
  </w:style>
  <w:style w:type="character" w:customStyle="1" w:styleId="51">
    <w:name w:val="标题 8 字符"/>
    <w:basedOn w:val="30"/>
    <w:link w:val="10"/>
    <w:qFormat/>
    <w:uiPriority w:val="9"/>
    <w:rPr>
      <w:rFonts w:ascii="Times New Roman" w:hAnsi="Times New Roman" w:eastAsia="仿宋_GB2312" w:cstheme="majorBidi"/>
      <w:sz w:val="32"/>
      <w:szCs w:val="24"/>
    </w:rPr>
  </w:style>
  <w:style w:type="character" w:customStyle="1" w:styleId="52">
    <w:name w:val="标题 9 字符"/>
    <w:basedOn w:val="30"/>
    <w:link w:val="11"/>
    <w:semiHidden/>
    <w:qFormat/>
    <w:uiPriority w:val="9"/>
    <w:rPr>
      <w:rFonts w:ascii="Times New Roman" w:hAnsi="Times New Roman" w:eastAsia="仿宋_GB2312" w:cstheme="majorBidi"/>
      <w:sz w:val="32"/>
      <w:szCs w:val="21"/>
    </w:rPr>
  </w:style>
  <w:style w:type="character" w:customStyle="1" w:styleId="53">
    <w:name w:val="副标题 字符"/>
    <w:basedOn w:val="30"/>
    <w:link w:val="22"/>
    <w:qFormat/>
    <w:uiPriority w:val="11"/>
    <w:rPr>
      <w:b/>
      <w:bCs/>
      <w:kern w:val="28"/>
      <w:sz w:val="32"/>
      <w:szCs w:val="32"/>
    </w:rPr>
  </w:style>
  <w:style w:type="character" w:customStyle="1" w:styleId="54">
    <w:name w:val="页眉 字符"/>
    <w:basedOn w:val="30"/>
    <w:link w:val="19"/>
    <w:qFormat/>
    <w:uiPriority w:val="99"/>
    <w:rPr>
      <w:sz w:val="18"/>
      <w:szCs w:val="18"/>
    </w:rPr>
  </w:style>
  <w:style w:type="character" w:customStyle="1" w:styleId="55">
    <w:name w:val="页脚 字符"/>
    <w:basedOn w:val="30"/>
    <w:link w:val="18"/>
    <w:qFormat/>
    <w:uiPriority w:val="99"/>
    <w:rPr>
      <w:sz w:val="18"/>
      <w:szCs w:val="18"/>
    </w:rPr>
  </w:style>
  <w:style w:type="paragraph" w:customStyle="1" w:styleId="56">
    <w:name w:val="删除内容"/>
    <w:link w:val="58"/>
    <w:qFormat/>
    <w:uiPriority w:val="0"/>
    <w:pPr>
      <w:jc w:val="center"/>
    </w:pPr>
    <w:rPr>
      <w:rFonts w:ascii="宋体" w:hAnsi="宋体" w:eastAsia="楷体" w:cs="宋体"/>
      <w:strike/>
      <w:color w:val="FF0000"/>
      <w:kern w:val="2"/>
      <w:sz w:val="21"/>
      <w:szCs w:val="22"/>
      <w:lang w:val="en-US" w:eastAsia="zh-CN" w:bidi="ar-SA"/>
    </w:rPr>
  </w:style>
  <w:style w:type="paragraph" w:customStyle="1" w:styleId="57">
    <w:name w:val="新增内容"/>
    <w:link w:val="60"/>
    <w:qFormat/>
    <w:uiPriority w:val="0"/>
    <w:pPr>
      <w:jc w:val="both"/>
    </w:pPr>
    <w:rPr>
      <w:rFonts w:ascii="宋体" w:hAnsi="宋体" w:eastAsia="黑体" w:cs="宋体"/>
      <w:b/>
      <w:color w:val="0070C0"/>
      <w:kern w:val="2"/>
      <w:sz w:val="21"/>
      <w:szCs w:val="22"/>
      <w:lang w:val="en-US" w:eastAsia="zh-CN" w:bidi="ar-SA"/>
    </w:rPr>
  </w:style>
  <w:style w:type="character" w:customStyle="1" w:styleId="58">
    <w:name w:val="删除内容 字符"/>
    <w:basedOn w:val="43"/>
    <w:link w:val="56"/>
    <w:qFormat/>
    <w:uiPriority w:val="0"/>
    <w:rPr>
      <w:rFonts w:ascii="宋体" w:hAnsi="宋体" w:eastAsia="楷体" w:cs="宋体"/>
      <w:strike/>
      <w:color w:val="FF0000"/>
      <w:sz w:val="24"/>
    </w:rPr>
  </w:style>
  <w:style w:type="character" w:customStyle="1" w:styleId="59">
    <w:name w:val="Intense Reference"/>
    <w:basedOn w:val="30"/>
    <w:qFormat/>
    <w:uiPriority w:val="32"/>
    <w:rPr>
      <w:b/>
      <w:bCs/>
      <w:smallCaps/>
      <w:color w:val="4874CB" w:themeColor="accent1"/>
      <w:spacing w:val="5"/>
      <w14:textFill>
        <w14:solidFill>
          <w14:schemeClr w14:val="accent1"/>
        </w14:solidFill>
      </w14:textFill>
    </w:rPr>
  </w:style>
  <w:style w:type="character" w:customStyle="1" w:styleId="60">
    <w:name w:val="新增内容 字符"/>
    <w:basedOn w:val="43"/>
    <w:link w:val="57"/>
    <w:qFormat/>
    <w:uiPriority w:val="0"/>
    <w:rPr>
      <w:rFonts w:ascii="宋体" w:hAnsi="宋体" w:eastAsia="黑体" w:cs="宋体"/>
      <w:b/>
      <w:color w:val="0070C0"/>
      <w:sz w:val="24"/>
    </w:rPr>
  </w:style>
  <w:style w:type="paragraph" w:customStyle="1" w:styleId="61">
    <w:name w:val="公文正文"/>
    <w:basedOn w:val="5"/>
    <w:link w:val="63"/>
    <w:qFormat/>
    <w:uiPriority w:val="0"/>
    <w:pPr>
      <w:ind w:firstLine="480"/>
    </w:pPr>
  </w:style>
  <w:style w:type="paragraph" w:customStyle="1" w:styleId="62">
    <w:name w:val="H2"/>
    <w:basedOn w:val="1"/>
    <w:next w:val="1"/>
    <w:qFormat/>
    <w:uiPriority w:val="0"/>
    <w:pPr>
      <w:spacing w:line="590" w:lineRule="exact"/>
      <w:ind w:firstLine="640"/>
    </w:pPr>
    <w:rPr>
      <w:rFonts w:ascii="Times New Roman" w:hAnsi="Times New Roman" w:eastAsia="楷体_GB2312" w:cs="宋体"/>
      <w:sz w:val="32"/>
      <w:szCs w:val="20"/>
    </w:rPr>
  </w:style>
  <w:style w:type="character" w:customStyle="1" w:styleId="63">
    <w:name w:val="公文正文 字符"/>
    <w:basedOn w:val="49"/>
    <w:link w:val="61"/>
    <w:qFormat/>
    <w:uiPriority w:val="0"/>
    <w:rPr>
      <w:rFonts w:ascii="宋体" w:hAnsi="宋体" w:eastAsia="仿宋_GB2312" w:cs="Times New Roman"/>
      <w:sz w:val="32"/>
      <w:szCs w:val="24"/>
    </w:rPr>
  </w:style>
  <w:style w:type="paragraph" w:customStyle="1" w:styleId="64">
    <w:name w:val="TOC Heading"/>
    <w:basedOn w:val="2"/>
    <w:next w:val="1"/>
    <w:unhideWhenUsed/>
    <w:qFormat/>
    <w:uiPriority w:val="39"/>
    <w:pPr>
      <w:keepLines/>
      <w:numPr>
        <w:numId w:val="0"/>
      </w:numPr>
      <w:spacing w:before="240" w:line="259" w:lineRule="auto"/>
      <w:outlineLvl w:val="9"/>
    </w:pPr>
    <w:rPr>
      <w:rFonts w:asciiTheme="majorHAnsi" w:hAnsiTheme="majorHAnsi" w:eastAsiaTheme="majorEastAsia" w:cstheme="majorBidi"/>
      <w:color w:val="2E54A1" w:themeColor="accent1" w:themeShade="BF"/>
      <w:kern w:val="0"/>
    </w:rPr>
  </w:style>
  <w:style w:type="character" w:customStyle="1" w:styleId="65">
    <w:name w:val="Unresolved Mention"/>
    <w:basedOn w:val="30"/>
    <w:semiHidden/>
    <w:unhideWhenUsed/>
    <w:qFormat/>
    <w:uiPriority w:val="99"/>
    <w:rPr>
      <w:color w:val="605E5C"/>
      <w:shd w:val="clear" w:color="auto" w:fill="E1DFDD"/>
    </w:rPr>
  </w:style>
  <w:style w:type="paragraph" w:customStyle="1" w:styleId="66">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67">
    <w:name w:val="段内标题"/>
    <w:basedOn w:val="5"/>
    <w:link w:val="68"/>
    <w:qFormat/>
    <w:uiPriority w:val="0"/>
    <w:pPr>
      <w:ind w:firstLine="643"/>
    </w:pPr>
    <w:rPr>
      <w:b/>
    </w:rPr>
  </w:style>
  <w:style w:type="character" w:customStyle="1" w:styleId="68">
    <w:name w:val="段内标题 字符"/>
    <w:basedOn w:val="49"/>
    <w:link w:val="67"/>
    <w:qFormat/>
    <w:uiPriority w:val="0"/>
    <w:rPr>
      <w:rFonts w:ascii="Times New Roman" w:hAnsi="Times New Roman" w:eastAsia="仿宋_GB2312" w:cs="Times New Roman"/>
      <w:b/>
      <w:sz w:val="32"/>
      <w:szCs w:val="24"/>
    </w:rPr>
  </w:style>
  <w:style w:type="paragraph" w:styleId="69">
    <w:name w:val="Quote"/>
    <w:basedOn w:val="1"/>
    <w:next w:val="1"/>
    <w:link w:val="7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70">
    <w:name w:val="引用 字符"/>
    <w:basedOn w:val="30"/>
    <w:link w:val="69"/>
    <w:qFormat/>
    <w:uiPriority w:val="29"/>
    <w:rPr>
      <w:i/>
      <w:iCs/>
      <w:color w:val="404040" w:themeColor="text1" w:themeTint="BF"/>
      <w14:textFill>
        <w14:solidFill>
          <w14:schemeClr w14:val="tx1">
            <w14:lumMod w14:val="75000"/>
            <w14:lumOff w14:val="25000"/>
          </w14:schemeClr>
        </w14:solidFill>
      </w14:textFill>
    </w:rPr>
  </w:style>
  <w:style w:type="character" w:customStyle="1" w:styleId="71">
    <w:name w:val="Intense Emphasis"/>
    <w:basedOn w:val="30"/>
    <w:qFormat/>
    <w:uiPriority w:val="21"/>
    <w:rPr>
      <w:i/>
      <w:iCs/>
      <w:color w:val="2E54A1" w:themeColor="accent1" w:themeShade="BF"/>
    </w:rPr>
  </w:style>
  <w:style w:type="paragraph" w:styleId="72">
    <w:name w:val="Intense Quote"/>
    <w:basedOn w:val="1"/>
    <w:next w:val="1"/>
    <w:link w:val="73"/>
    <w:qFormat/>
    <w:uiPriority w:val="30"/>
    <w:pPr>
      <w:pBdr>
        <w:top w:val="single" w:color="2D54A0" w:themeColor="accent1" w:themeShade="BF" w:sz="4" w:space="10"/>
        <w:bottom w:val="single" w:color="2D54A0" w:themeColor="accent1" w:themeShade="BF" w:sz="4" w:space="10"/>
      </w:pBdr>
      <w:spacing w:before="360" w:after="360"/>
      <w:ind w:left="864" w:right="864"/>
      <w:jc w:val="center"/>
    </w:pPr>
    <w:rPr>
      <w:i/>
      <w:iCs/>
      <w:color w:val="2E54A1" w:themeColor="accent1" w:themeShade="BF"/>
    </w:rPr>
  </w:style>
  <w:style w:type="character" w:customStyle="1" w:styleId="73">
    <w:name w:val="明显引用 字符"/>
    <w:basedOn w:val="30"/>
    <w:link w:val="72"/>
    <w:qFormat/>
    <w:uiPriority w:val="30"/>
    <w:rPr>
      <w:i/>
      <w:iCs/>
      <w:color w:val="2E54A1" w:themeColor="accent1" w:themeShade="BF"/>
    </w:rPr>
  </w:style>
  <w:style w:type="paragraph" w:customStyle="1" w:styleId="74">
    <w:name w:val="样式1"/>
    <w:basedOn w:val="1"/>
    <w:qFormat/>
    <w:uiPriority w:val="0"/>
    <w:pPr>
      <w:spacing w:line="360" w:lineRule="auto"/>
    </w:pPr>
    <w:rPr>
      <w:rFonts w:ascii="Times New Roman" w:hAnsi="Times New Roman" w:eastAsia="宋体" w:cs="黑体"/>
      <w:szCs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15E72401-377D-48AD-9F43-F350C0C41213}">
  <ds:schemaRefs/>
</ds:datastoreItem>
</file>

<file path=docProps/app.xml><?xml version="1.0" encoding="utf-8"?>
<Properties xmlns="http://schemas.openxmlformats.org/officeDocument/2006/extended-properties" xmlns:vt="http://schemas.openxmlformats.org/officeDocument/2006/docPropsVTypes">
  <Template>Normal.dotm</Template>
  <Pages>9</Pages>
  <Words>2959</Words>
  <Characters>3189</Characters>
  <Lines>1</Lines>
  <Paragraphs>1</Paragraphs>
  <TotalTime>0</TotalTime>
  <ScaleCrop>false</ScaleCrop>
  <LinksUpToDate>false</LinksUpToDate>
  <CharactersWithSpaces>3198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2026-01-13T07:01:00Z</dcterms:created>
  <dc:creator>Jin Wang</dc:creator>
  <cp:lastModifiedBy>.Carol</cp:lastModifiedBy>
  <cp:lastPrinted>2022-09-21T06:51:00Z</cp:lastPrinted>
  <dcterms:modified xsi:type="dcterms:W3CDTF">2026-05-22T00:45:30Z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eyJoZGlkIjoiYTVmODJjYWQ4ZGU4M2M5NTUwOWYwOGE1NTI1MTM1MmIiLCJ1c2VySWQiOiIzMTc5Mzg3MzUifQ==</vt:lpwstr>
  </property>
  <property fmtid="{D5CDD505-2E9C-101B-9397-08002B2CF9AE}" pid="3" name="KSOProductBuildVer">
    <vt:lpwstr>2052-12.1.0.25865</vt:lpwstr>
  </property>
  <property fmtid="{D5CDD505-2E9C-101B-9397-08002B2CF9AE}" pid="4" name="ICV">
    <vt:lpwstr>B7812A1D4C9372041F170F6AF562C4D4_43</vt:lpwstr>
  </property>
</Properties>
</file>