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7FE905">
      <w:pPr>
        <w:pStyle w:val="26"/>
        <w:bidi w:val="0"/>
        <w:rPr>
          <w:rFonts w:hint="eastAsia" w:eastAsia="方正小标宋简体"/>
          <w:lang w:eastAsia="zh-CN"/>
        </w:rPr>
      </w:pPr>
      <w:r>
        <w:rPr>
          <w:rFonts w:hint="eastAsia"/>
        </w:rPr>
        <w:t>碳普惠项目减排量核算技术规范</w:t>
      </w:r>
      <w:r>
        <w:rPr>
          <w:rFonts w:hint="eastAsia"/>
        </w:rPr>
        <w:br w:type="textWrapping"/>
      </w:r>
      <w:r>
        <w:rPr>
          <w:rFonts w:hint="eastAsia"/>
        </w:rPr>
        <w:t>低碳</w:t>
      </w:r>
      <w:r>
        <w:rPr>
          <w:rFonts w:hint="eastAsia"/>
          <w:lang w:val="en-US" w:eastAsia="zh-CN"/>
        </w:rPr>
        <w:t xml:space="preserve">用电  </w:t>
      </w:r>
      <w:r>
        <w:rPr>
          <w:rFonts w:hint="eastAsia"/>
        </w:rPr>
        <w:t>编制说明</w:t>
      </w:r>
      <w:r>
        <w:rPr>
          <w:rFonts w:hint="eastAsia"/>
          <w:lang w:eastAsia="zh-CN"/>
        </w:rPr>
        <w:t>（</w:t>
      </w:r>
      <w:r>
        <w:rPr>
          <w:rFonts w:hint="eastAsia"/>
          <w:lang w:val="en-US" w:eastAsia="zh-CN"/>
        </w:rPr>
        <w:t>初稿</w:t>
      </w:r>
      <w:r>
        <w:rPr>
          <w:rFonts w:hint="eastAsia"/>
          <w:lang w:eastAsia="zh-CN"/>
        </w:rPr>
        <w:t>）</w:t>
      </w:r>
    </w:p>
    <w:p w14:paraId="4D22E8B1">
      <w:pPr>
        <w:pStyle w:val="6"/>
        <w:rPr>
          <w:rFonts w:hint="eastAsia"/>
        </w:rPr>
      </w:pPr>
    </w:p>
    <w:p w14:paraId="2EAA0B1B">
      <w:pPr>
        <w:pStyle w:val="6"/>
        <w:rPr>
          <w:rFonts w:hint="eastAsia"/>
        </w:rPr>
      </w:pPr>
    </w:p>
    <w:p w14:paraId="3E28DA11">
      <w:pPr>
        <w:pStyle w:val="6"/>
        <w:rPr>
          <w:rFonts w:hint="eastAsia"/>
        </w:rPr>
      </w:pPr>
    </w:p>
    <w:p w14:paraId="142FB896">
      <w:pPr>
        <w:pStyle w:val="6"/>
        <w:rPr>
          <w:rFonts w:hint="eastAsia"/>
        </w:rPr>
      </w:pPr>
    </w:p>
    <w:p w14:paraId="6C342A72">
      <w:pPr>
        <w:pStyle w:val="6"/>
        <w:rPr>
          <w:rFonts w:hint="eastAsia"/>
        </w:rPr>
      </w:pPr>
    </w:p>
    <w:p w14:paraId="25FE1C87">
      <w:pPr>
        <w:pStyle w:val="6"/>
        <w:rPr>
          <w:rFonts w:hint="eastAsia"/>
        </w:rPr>
      </w:pPr>
    </w:p>
    <w:p w14:paraId="5417D30D">
      <w:pPr>
        <w:pStyle w:val="6"/>
        <w:rPr>
          <w:rFonts w:hint="eastAsia"/>
        </w:rPr>
      </w:pPr>
    </w:p>
    <w:p w14:paraId="6AF120D4">
      <w:pPr>
        <w:pStyle w:val="6"/>
        <w:rPr>
          <w:rFonts w:hint="eastAsia"/>
        </w:rPr>
      </w:pPr>
    </w:p>
    <w:p w14:paraId="16F37511">
      <w:pPr>
        <w:pStyle w:val="6"/>
        <w:rPr>
          <w:rFonts w:hint="eastAsia"/>
        </w:rPr>
      </w:pPr>
    </w:p>
    <w:p w14:paraId="1360D88D">
      <w:pPr>
        <w:pStyle w:val="6"/>
        <w:rPr>
          <w:rFonts w:hint="eastAsia"/>
        </w:rPr>
      </w:pPr>
    </w:p>
    <w:p w14:paraId="15952DC6">
      <w:pPr>
        <w:pStyle w:val="6"/>
        <w:rPr>
          <w:rFonts w:hint="eastAsia"/>
        </w:rPr>
      </w:pPr>
    </w:p>
    <w:p w14:paraId="44ECF384">
      <w:pPr>
        <w:pStyle w:val="6"/>
        <w:rPr>
          <w:rFonts w:hint="eastAsia"/>
        </w:rPr>
      </w:pPr>
    </w:p>
    <w:p w14:paraId="58A1D8D4">
      <w:pPr>
        <w:pStyle w:val="6"/>
        <w:rPr>
          <w:rFonts w:hint="eastAsia"/>
        </w:rPr>
      </w:pPr>
      <w:bookmarkStart w:id="0" w:name="_GoBack"/>
      <w:bookmarkEnd w:id="0"/>
    </w:p>
    <w:p w14:paraId="3A86FF92">
      <w:pPr>
        <w:pStyle w:val="6"/>
        <w:rPr>
          <w:rFonts w:hint="eastAsia"/>
        </w:rPr>
      </w:pPr>
    </w:p>
    <w:p w14:paraId="46801B9B">
      <w:pPr>
        <w:pStyle w:val="6"/>
        <w:rPr>
          <w:rFonts w:hint="eastAsia"/>
        </w:rPr>
      </w:pPr>
    </w:p>
    <w:p w14:paraId="73DD8CA6">
      <w:pPr>
        <w:pStyle w:val="6"/>
        <w:jc w:val="center"/>
        <w:rPr>
          <w:rFonts w:hint="eastAsia" w:ascii="黑体" w:hAnsi="黑体" w:eastAsia="黑体" w:cs="黑体"/>
          <w:lang w:val="en-US" w:eastAsia="zh-CN"/>
        </w:rPr>
      </w:pPr>
      <w:r>
        <w:rPr>
          <w:rFonts w:hint="eastAsia" w:ascii="黑体" w:hAnsi="黑体" w:eastAsia="黑体" w:cs="黑体"/>
          <w:lang w:eastAsia="zh-CN"/>
        </w:rPr>
        <w:t>《碳普惠项目减排量核算技术规范</w:t>
      </w:r>
      <w:r>
        <w:rPr>
          <w:rFonts w:hint="eastAsia" w:ascii="黑体" w:hAnsi="黑体" w:eastAsia="黑体" w:cs="黑体"/>
          <w:lang w:val="en-US" w:eastAsia="zh-CN"/>
        </w:rPr>
        <w:t xml:space="preserve">  </w:t>
      </w:r>
      <w:r>
        <w:rPr>
          <w:rFonts w:hint="eastAsia" w:ascii="黑体" w:hAnsi="黑体" w:eastAsia="黑体" w:cs="黑体"/>
          <w:lang w:eastAsia="zh-CN"/>
        </w:rPr>
        <w:t>低碳</w:t>
      </w:r>
      <w:r>
        <w:rPr>
          <w:rFonts w:hint="eastAsia" w:ascii="黑体" w:hAnsi="黑体" w:eastAsia="黑体" w:cs="黑体"/>
          <w:lang w:val="en-US" w:eastAsia="zh-CN"/>
        </w:rPr>
        <w:t>用电</w:t>
      </w:r>
      <w:r>
        <w:rPr>
          <w:rFonts w:hint="eastAsia" w:ascii="黑体" w:hAnsi="黑体" w:eastAsia="黑体" w:cs="黑体"/>
          <w:lang w:eastAsia="zh-CN"/>
        </w:rPr>
        <w:t>》</w:t>
      </w:r>
      <w:r>
        <w:rPr>
          <w:rFonts w:hint="eastAsia" w:ascii="黑体" w:hAnsi="黑体" w:eastAsia="黑体" w:cs="黑体"/>
          <w:lang w:val="en-US" w:eastAsia="zh-CN"/>
        </w:rPr>
        <w:t>编制组</w:t>
      </w:r>
    </w:p>
    <w:p w14:paraId="77ED0535">
      <w:pPr>
        <w:pStyle w:val="6"/>
        <w:jc w:val="center"/>
        <w:rPr>
          <w:rFonts w:hint="eastAsia" w:ascii="黑体" w:hAnsi="黑体" w:eastAsia="黑体" w:cs="黑体"/>
          <w:lang w:val="en-US" w:eastAsia="zh-CN"/>
        </w:rPr>
      </w:pPr>
      <w:r>
        <w:rPr>
          <w:rFonts w:hint="eastAsia" w:ascii="黑体" w:hAnsi="黑体" w:eastAsia="黑体" w:cs="黑体"/>
          <w:lang w:val="en-US" w:eastAsia="zh-CN"/>
        </w:rPr>
        <w:t>二〇二六年五月</w:t>
      </w:r>
    </w:p>
    <w:p w14:paraId="7C9E53B9">
      <w:pPr>
        <w:rPr>
          <w:rFonts w:hint="eastAsia" w:ascii="黑体" w:hAnsi="黑体" w:eastAsia="黑体" w:cs="黑体"/>
          <w:lang w:val="en-US" w:eastAsia="zh-CN"/>
        </w:rPr>
        <w:sectPr>
          <w:footerReference r:id="rId6" w:type="default"/>
          <w:headerReference r:id="rId5" w:type="even"/>
          <w:footerReference r:id="rId7" w:type="even"/>
          <w:pgSz w:w="11906" w:h="16838"/>
          <w:pgMar w:top="2098" w:right="1247" w:bottom="1758" w:left="1588" w:header="1134" w:footer="1503" w:gutter="0"/>
          <w:cols w:space="425" w:num="1"/>
          <w:titlePg/>
          <w:docGrid w:type="linesAndChars" w:linePitch="312" w:charSpace="0"/>
        </w:sectPr>
      </w:pPr>
    </w:p>
    <w:p w14:paraId="3FDE8760">
      <w:pPr>
        <w:pStyle w:val="2"/>
        <w:bidi w:val="0"/>
        <w:rPr>
          <w:rFonts w:hint="eastAsia"/>
          <w:lang w:val="en-US" w:eastAsia="zh-CN"/>
        </w:rPr>
      </w:pPr>
      <w:r>
        <w:rPr>
          <w:rFonts w:hint="eastAsia"/>
          <w:lang w:val="en-US" w:eastAsia="zh-CN"/>
        </w:rPr>
        <w:t>任务来源</w:t>
      </w:r>
    </w:p>
    <w:p w14:paraId="361C8965">
      <w:pPr>
        <w:pStyle w:val="6"/>
        <w:bidi w:val="0"/>
        <w:rPr>
          <w:rFonts w:hint="eastAsia"/>
          <w:lang w:val="en-US" w:eastAsia="zh-CN"/>
        </w:rPr>
      </w:pPr>
      <w:r>
        <w:rPr>
          <w:rFonts w:hint="eastAsia"/>
          <w:lang w:val="en-US" w:eastAsia="zh-CN"/>
        </w:rPr>
        <w:t>长岛国际零碳岛是全国首个以“国际零碳”为定位的海岛示范区，其《长岛国际零碳岛发展规划（2023—2035年）》明确提出“2027年碳排放较2023年下降20%、2030年主导产业与碳排放脱钩、2035年全域净零排放”三阶段目标。数据显示，2022年长岛温室气体排放总量达23.11万吨二氧化碳当量，碳汇量仅9.25万吨，净零排放缺口13.86万吨。</w:t>
      </w:r>
    </w:p>
    <w:p w14:paraId="5E12B62A">
      <w:pPr>
        <w:pStyle w:val="6"/>
        <w:bidi w:val="0"/>
        <w:rPr>
          <w:rFonts w:hint="eastAsia"/>
          <w:lang w:val="en-US" w:eastAsia="zh-CN"/>
        </w:rPr>
      </w:pPr>
      <w:r>
        <w:rPr>
          <w:rFonts w:hint="eastAsia"/>
          <w:lang w:val="en-US" w:eastAsia="zh-CN"/>
        </w:rPr>
        <w:t>当前，长岛已启动碳普惠平台小程序建设，但缺乏覆盖居民、游客及经营主体的具体场景方法学，无法精准核算低碳行为减排量，难以有效引导全社会参与。亟需开发适配长岛实际的碳普惠方法学，支撑规划目标落地，打造“国际零碳岛”碳普惠样板。</w:t>
      </w:r>
    </w:p>
    <w:p w14:paraId="6EC4308D">
      <w:pPr>
        <w:pStyle w:val="6"/>
        <w:bidi w:val="0"/>
        <w:rPr>
          <w:rFonts w:hint="default"/>
          <w:lang w:val="en-US" w:eastAsia="zh-CN"/>
        </w:rPr>
      </w:pPr>
      <w:r>
        <w:rPr>
          <w:rFonts w:hint="eastAsia"/>
          <w:lang w:val="en-US" w:eastAsia="zh-CN"/>
        </w:rPr>
        <w:t>根据以上情况，深圳市绿色低碳科技促进会发起《</w:t>
      </w:r>
      <w:r>
        <w:rPr>
          <w:rFonts w:hint="eastAsia"/>
        </w:rPr>
        <w:t>碳普惠项目减排量核算技术规范</w:t>
      </w:r>
      <w:r>
        <w:rPr>
          <w:rFonts w:hint="eastAsia"/>
          <w:lang w:val="en-US" w:eastAsia="zh-CN"/>
        </w:rPr>
        <w:t>》系列团体标准立项，本标准是其中之一。</w:t>
      </w:r>
    </w:p>
    <w:p w14:paraId="1D513200">
      <w:pPr>
        <w:pStyle w:val="2"/>
        <w:bidi w:val="0"/>
        <w:rPr>
          <w:rFonts w:hint="eastAsia"/>
          <w:lang w:val="en-US" w:eastAsia="zh-CN"/>
        </w:rPr>
      </w:pPr>
      <w:r>
        <w:rPr>
          <w:rFonts w:hint="eastAsia"/>
          <w:lang w:val="en-US" w:eastAsia="zh-CN"/>
        </w:rPr>
        <w:t>编制原则</w:t>
      </w:r>
    </w:p>
    <w:p w14:paraId="1840C454">
      <w:pPr>
        <w:pStyle w:val="6"/>
        <w:bidi w:val="0"/>
        <w:rPr>
          <w:rFonts w:hint="eastAsia"/>
          <w:lang w:val="en-US" w:eastAsia="zh-CN"/>
        </w:rPr>
      </w:pPr>
      <w:r>
        <w:rPr>
          <w:rFonts w:hint="eastAsia"/>
          <w:lang w:val="en-US" w:eastAsia="zh-CN"/>
        </w:rPr>
        <w:t>原则性：根据《中华人民共和国标准法》及其《实施细则》、《团体标准的结构和编写指南》（T/CAS 1.1-2017）进行编制。</w:t>
      </w:r>
    </w:p>
    <w:p w14:paraId="253AEAAF">
      <w:pPr>
        <w:pStyle w:val="6"/>
        <w:bidi w:val="0"/>
        <w:rPr>
          <w:rFonts w:hint="eastAsia"/>
          <w:lang w:val="en-US" w:eastAsia="zh-CN"/>
        </w:rPr>
      </w:pPr>
      <w:r>
        <w:rPr>
          <w:rFonts w:hint="eastAsia"/>
          <w:lang w:val="en-US" w:eastAsia="zh-CN"/>
        </w:rPr>
        <w:t>相关性：方法学需紧密贴合政策目标、产业需求及实际场景。</w:t>
      </w:r>
    </w:p>
    <w:p w14:paraId="35E1E7CF">
      <w:pPr>
        <w:pStyle w:val="6"/>
        <w:bidi w:val="0"/>
        <w:rPr>
          <w:rFonts w:hint="eastAsia"/>
          <w:lang w:val="en-US" w:eastAsia="zh-CN"/>
        </w:rPr>
      </w:pPr>
      <w:r>
        <w:rPr>
          <w:rFonts w:hint="eastAsia"/>
          <w:lang w:val="en-US" w:eastAsia="zh-CN"/>
        </w:rPr>
        <w:t>完整性：完整性要求方法学覆盖所有影响碳减排的关键环节和边界，避免因遗漏导致核算偏差。</w:t>
      </w:r>
    </w:p>
    <w:p w14:paraId="1F21CDE7">
      <w:pPr>
        <w:pStyle w:val="6"/>
        <w:bidi w:val="0"/>
        <w:rPr>
          <w:rFonts w:hint="eastAsia"/>
          <w:lang w:val="en-US" w:eastAsia="zh-CN"/>
        </w:rPr>
      </w:pPr>
      <w:r>
        <w:rPr>
          <w:rFonts w:hint="eastAsia"/>
          <w:lang w:val="en-US" w:eastAsia="zh-CN"/>
        </w:rPr>
        <w:t>准确性：强调核算方法的科学性与数据来源的可靠性，确保结果可验证、误差可控。</w:t>
      </w:r>
    </w:p>
    <w:p w14:paraId="0794EFC9">
      <w:pPr>
        <w:pStyle w:val="6"/>
        <w:bidi w:val="0"/>
        <w:rPr>
          <w:rFonts w:hint="eastAsia"/>
          <w:lang w:val="en-US" w:eastAsia="zh-CN"/>
        </w:rPr>
      </w:pPr>
      <w:r>
        <w:rPr>
          <w:rFonts w:hint="eastAsia"/>
          <w:lang w:val="en-US" w:eastAsia="zh-CN"/>
        </w:rPr>
        <w:t>透明性：要求方法学的核算逻辑、数据来源可追溯，确保第三方可复现核算过程并验证结果。</w:t>
      </w:r>
    </w:p>
    <w:p w14:paraId="22D987E7">
      <w:pPr>
        <w:pStyle w:val="6"/>
        <w:bidi w:val="0"/>
        <w:rPr>
          <w:rFonts w:hint="eastAsia"/>
          <w:lang w:val="en-US" w:eastAsia="zh-CN"/>
        </w:rPr>
      </w:pPr>
      <w:r>
        <w:rPr>
          <w:rFonts w:hint="eastAsia"/>
          <w:lang w:val="en-US" w:eastAsia="zh-CN"/>
        </w:rPr>
        <w:t>一致性：确保方法学在不同项目、不同时间中的应用逻辑统一，结果可比。</w:t>
      </w:r>
    </w:p>
    <w:p w14:paraId="2B1082F5">
      <w:pPr>
        <w:pStyle w:val="2"/>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编制思路</w:t>
      </w:r>
    </w:p>
    <w:p w14:paraId="4FD3180D">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系统边界</w:t>
      </w:r>
    </w:p>
    <w:p w14:paraId="324C4544">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本项目系统边界为热泵热水器与热泵型房间空气调节器。在居民日常生活用能场景中，空调与热水器因使用频次高、单机能耗大、普及率广等特性，其用电量在居民用电总量中占比较大，是居民侧能源消耗的主体部分，其用能行为直接影响居民用电领域碳排放水平。将系统边界聚焦于空调与热水器，能够覆盖居民用电碳减排的关键环节。</w:t>
      </w:r>
    </w:p>
    <w:p w14:paraId="0F6ABDDA">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基准线情景</w:t>
      </w:r>
    </w:p>
    <w:p w14:paraId="2A2FA309">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基准线情景设定为居民使用3级能效家用空调及3级能效燃气热水器的碳排放水平。</w:t>
      </w:r>
    </w:p>
    <w:p w14:paraId="5A03C771">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未选取4、5级能效空调作为基准的原因在于：3级能效为准入门槛，4、5级能效属于空调能效等级中的低能效水平，其能源消耗量远高于3级能效设备，不仅不符合国家能效标准的推广导向，且已逐步被市场淘汰，在实际居民存量中占比极低，难以代表居民空调使用的普遍现状；而3级能效作为能效标准的入门合格等级，是市场上现存规模较大、应用最广泛的常规能效设备，更能体现居民空调使用的典型能源消耗特征。同理，热水器选取3级能效燃气热水器作为基准，是因该类型设备在居民生活中普及率高。</w:t>
      </w:r>
    </w:p>
    <w:p w14:paraId="05C9D4D0">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项目情景</w:t>
      </w:r>
    </w:p>
    <w:p w14:paraId="1BFF9568">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项目情景设定为居民使用高效节能的空调及热泵热水器。选取2级能效及以上空调作为项目情景，是因为此类设备代表了当前市场上成熟的高效能技术，其能源消耗水平显著低于基准线情景中的3级能效设备，能够客观反映能源利用效率提升。</w:t>
      </w:r>
    </w:p>
    <w:p w14:paraId="38BC7340">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对于热水器，选取热泵热水器作为项目情景，是因为其利用热泵技术制热，能效比远高于直接燃烧燃气的热水器，与基准线情景中的燃气热水器形成技术差异。</w:t>
      </w:r>
    </w:p>
    <w:p w14:paraId="53F95E4E">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通过将项目情景设定为使用此类高能效设备，能够反映采用高效节能设备带来的直接能源消耗降低和碳排放减少。</w:t>
      </w:r>
    </w:p>
    <w:p w14:paraId="628A8495">
      <w:pPr>
        <w:pStyle w:val="2"/>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参数说明和数据来源</w:t>
      </w:r>
    </w:p>
    <w:p w14:paraId="23863CE7">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计算空调碳排放的参数</w:t>
      </w:r>
    </w:p>
    <w:p w14:paraId="345E518C">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Q</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k</m:t>
            </m:r>
            <m:ctrlPr>
              <w:rPr>
                <w:rFonts w:hint="default" w:ascii="Cambria Math" w:hAnsi="Cambria Math" w:cs="Cambria Math"/>
                <w:lang w:val="en-US" w:eastAsia="zh-CN"/>
              </w:rPr>
            </m:ctrlPr>
          </m:sub>
        </m:sSub>
      </m:oMath>
      <w:r>
        <w:rPr>
          <w:rFonts w:hint="eastAsia"/>
          <w:lang w:val="en-US" w:eastAsia="zh-CN"/>
        </w:rPr>
        <w:t>：高效节能空调的额定制冷量或额定制热量</w:t>
      </w:r>
    </w:p>
    <w:p w14:paraId="54B71DC1">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代表k型号空调在标准工况下的名义制冷能力（</w:t>
      </w:r>
      <m:oMath>
        <m:sSub>
          <m:sSubPr>
            <m:ctrlPr>
              <w:rPr>
                <w:rFonts w:ascii="Cambria Math" w:hAnsi="Cambria Math" w:cs="Times New Roman"/>
                <w:i w:val="0"/>
                <w:iCs/>
                <w:lang w:val="en-US"/>
              </w:rPr>
            </m:ctrlPr>
          </m:sSubPr>
          <m:e>
            <m:r>
              <m:rPr>
                <m:sty m:val="p"/>
              </m:rPr>
              <w:rPr>
                <w:rFonts w:hint="default" w:ascii="Cambria Math" w:hAnsi="Cambria Math" w:cs="Times New Roman"/>
                <w:lang w:val="en-US" w:eastAsia="zh-CN"/>
              </w:rPr>
              <m:t>CC</m:t>
            </m:r>
            <m:ctrlPr>
              <w:rPr>
                <w:rFonts w:ascii="Cambria Math" w:hAnsi="Cambria Math" w:cs="Times New Roman"/>
                <w:i w:val="0"/>
                <w:iCs/>
                <w:lang w:val="en-US"/>
              </w:rPr>
            </m:ctrlPr>
          </m:e>
          <m:sub>
            <m:r>
              <m:rPr>
                <m:sty m:val="p"/>
              </m:rPr>
              <w:rPr>
                <w:rFonts w:hint="default" w:ascii="Cambria Math" w:hAnsi="Cambria Math" w:cs="Times New Roman"/>
                <w:lang w:val="en-US" w:eastAsia="zh-CN"/>
              </w:rPr>
              <m:t>k</m:t>
            </m:r>
            <m:ctrlPr>
              <w:rPr>
                <w:rFonts w:ascii="Cambria Math" w:hAnsi="Cambria Math" w:cs="Times New Roman"/>
                <w:i w:val="0"/>
                <w:iCs/>
                <w:lang w:val="en-US"/>
              </w:rPr>
            </m:ctrlPr>
          </m:sub>
        </m:sSub>
      </m:oMath>
      <w:r>
        <w:rPr>
          <w:rFonts w:hint="eastAsia"/>
          <w:lang w:val="en-US" w:eastAsia="zh-CN"/>
        </w:rPr>
        <w:t>）或制热能力（</w:t>
      </w:r>
      <m:oMath>
        <m:sSub>
          <m:sSubPr>
            <m:ctrlPr>
              <w:rPr>
                <w:rFonts w:ascii="Cambria Math" w:hAnsi="Cambria Math" w:cs="Times New Roman"/>
                <w:i w:val="0"/>
                <w:iCs/>
                <w:lang w:val="en-US"/>
              </w:rPr>
            </m:ctrlPr>
          </m:sSubPr>
          <m:e>
            <m:r>
              <m:rPr>
                <m:sty m:val="p"/>
              </m:rPr>
              <w:rPr>
                <w:rFonts w:hint="default" w:ascii="Cambria Math" w:hAnsi="Cambria Math" w:cs="Times New Roman"/>
                <w:lang w:val="en-US" w:eastAsia="zh-CN"/>
              </w:rPr>
              <m:t>HC</m:t>
            </m:r>
            <m:ctrlPr>
              <w:rPr>
                <w:rFonts w:ascii="Cambria Math" w:hAnsi="Cambria Math" w:cs="Times New Roman"/>
                <w:i w:val="0"/>
                <w:iCs/>
                <w:lang w:val="en-US"/>
              </w:rPr>
            </m:ctrlPr>
          </m:e>
          <m:sub>
            <m:r>
              <m:rPr>
                <m:sty m:val="p"/>
              </m:rPr>
              <w:rPr>
                <w:rFonts w:hint="default" w:ascii="Cambria Math" w:hAnsi="Cambria Math" w:cs="Times New Roman"/>
                <w:lang w:val="en-US" w:eastAsia="zh-CN"/>
              </w:rPr>
              <m:t>k</m:t>
            </m:r>
            <m:ctrlPr>
              <w:rPr>
                <w:rFonts w:ascii="Cambria Math" w:hAnsi="Cambria Math" w:cs="Times New Roman"/>
                <w:i w:val="0"/>
                <w:iCs/>
                <w:lang w:val="en-US"/>
              </w:rPr>
            </m:ctrlPr>
          </m:sub>
        </m:sSub>
      </m:oMath>
      <w:r>
        <w:rPr>
          <w:rFonts w:hint="eastAsia"/>
          <w:lang w:val="en-US" w:eastAsia="zh-CN"/>
        </w:rPr>
        <w:t>），是衡量空调性能输出的核心指标，直接决定了其适用的房间面积大小。该数值为设备的铭牌标示值，依据国家标准《房间空气调节器》（GB/T 7725）在实验室标准环境下测得，具体数值需查阅空调室内机侧面或面板内侧粘贴的产品铭牌及能效标识信息。</w:t>
      </w:r>
    </w:p>
    <w:p w14:paraId="0AF4F65B">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APF：全年能源消耗效率</w:t>
      </w:r>
    </w:p>
    <w:p w14:paraId="54D130AB">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空调器在制冷季节和制热季节期间，从室内空气中除去的冷量与送入室内的热量的总和，与同一期间内消耗电量的总和之比。相较于早期仅考核制冷的能效指标，APF引入了制热考核和非额定工况测试，能够更全面、更真实地反映变频空调在实际使用中的节能水平，是目前衡量空调能效等级的核心参数，基准线情景的缺省值可参考下表。资料来源于《房间空气调节器能效限定值和能效等级》（GB 21455-2019）</w:t>
      </w:r>
    </w:p>
    <w:p w14:paraId="4501D90D">
      <w:pPr>
        <w:pStyle w:val="13"/>
        <w:keepNext w:val="0"/>
        <w:keepLines w:val="0"/>
        <w:pageBreakBefore w:val="0"/>
        <w:widowControl w:val="0"/>
        <w:kinsoku/>
        <w:wordWrap/>
        <w:overflowPunct/>
        <w:topLinePunct w:val="0"/>
        <w:bidi w:val="0"/>
        <w:textAlignment w:val="auto"/>
        <w:rPr>
          <w:rFonts w:hint="eastAsia" w:eastAsia="宋体"/>
          <w:lang w:eastAsia="zh-CN"/>
        </w:rPr>
      </w:pPr>
      <w:r>
        <w:t xml:space="preserve">表 </w:t>
      </w:r>
      <w:r>
        <w:fldChar w:fldCharType="begin"/>
      </w:r>
      <w:r>
        <w:instrText xml:space="preserve"> SEQ 表 \* ARABIC </w:instrText>
      </w:r>
      <w:r>
        <w:fldChar w:fldCharType="separate"/>
      </w:r>
      <w:r>
        <w:t>1</w:t>
      </w:r>
      <w:r>
        <w:fldChar w:fldCharType="end"/>
      </w:r>
      <w:r>
        <w:rPr>
          <w:rFonts w:hint="eastAsia"/>
          <w:lang w:eastAsia="zh-CN"/>
        </w:rPr>
        <w:t xml:space="preserve"> 热泵型房间空气调节器能效等级指标值</w:t>
      </w:r>
    </w:p>
    <w:tbl>
      <w:tblPr>
        <w:tblStyle w:val="28"/>
        <w:tblW w:w="92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33"/>
        <w:gridCol w:w="1047"/>
        <w:gridCol w:w="1047"/>
        <w:gridCol w:w="1047"/>
        <w:gridCol w:w="1050"/>
        <w:gridCol w:w="1059"/>
      </w:tblGrid>
      <w:tr w14:paraId="1DC301E6">
        <w:trPr>
          <w:trHeight w:val="0"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l2br w:val="nil"/>
            </w:tcBorders>
            <w:shd w:val="clear" w:color="auto" w:fill="FFFFFF"/>
            <w:vAlign w:val="center"/>
          </w:tcPr>
          <w:p w14:paraId="26E3D4A5">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额定制冷量（CC）W</w:t>
            </w:r>
          </w:p>
        </w:tc>
        <w:tc>
          <w:tcPr>
            <w:tcW w:w="525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68D10BE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全年能源消耗效率（APF）</w:t>
            </w:r>
          </w:p>
        </w:tc>
      </w:tr>
      <w:tr w14:paraId="65210B94">
        <w:trPr>
          <w:trHeight w:val="0"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FF8761D">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p>
        </w:tc>
        <w:tc>
          <w:tcPr>
            <w:tcW w:w="525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6844D055">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能效等级</w:t>
            </w:r>
          </w:p>
        </w:tc>
      </w:tr>
      <w:tr w14:paraId="1CAA3062">
        <w:trPr>
          <w:trHeight w:val="0"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EBC16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2A7BCC9">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1级</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3A7250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2级</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FF2DA7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3级</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5003B3B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4级</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91499">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5级</w:t>
            </w:r>
          </w:p>
        </w:tc>
      </w:tr>
      <w:tr w14:paraId="2DC60D0C">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AF3EF9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CC≤4500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A90EBF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FAB7CF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4.50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850ECA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4.00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74704807">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3.50</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C444E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3.30</w:t>
            </w:r>
          </w:p>
        </w:tc>
      </w:tr>
      <w:tr w14:paraId="676234C5">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CE0AAD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4500&lt;CC≤7100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404CBA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4.50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2FC4A1C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4.00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E888AC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3.50</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41EC2265">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3.30</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4F7200">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3.20</w:t>
            </w:r>
          </w:p>
        </w:tc>
      </w:tr>
      <w:tr w14:paraId="3ED1BD6F">
        <w:trPr>
          <w:trHeight w:val="0" w:hRule="atLeast"/>
          <w:jc w:val="center"/>
        </w:trPr>
        <w:tc>
          <w:tcPr>
            <w:tcW w:w="40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8A3ED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7100&lt;CC≤14000</w:t>
            </w:r>
          </w:p>
        </w:tc>
        <w:tc>
          <w:tcPr>
            <w:tcW w:w="10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E5139B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4.20</w:t>
            </w:r>
          </w:p>
        </w:tc>
        <w:tc>
          <w:tcPr>
            <w:tcW w:w="10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B966A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3.70</w:t>
            </w:r>
          </w:p>
        </w:tc>
        <w:tc>
          <w:tcPr>
            <w:tcW w:w="104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ED5FE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3.30</w:t>
            </w:r>
          </w:p>
        </w:tc>
        <w:tc>
          <w:tcPr>
            <w:tcW w:w="10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D0900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3.20</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633017">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3.10</w:t>
            </w:r>
          </w:p>
        </w:tc>
      </w:tr>
    </w:tbl>
    <w:p w14:paraId="03F63D83">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default" w:ascii="Cambria Math" w:hAnsi="Cambria Math" w:cs="Cambria Math"/>
                <w:lang w:val="en-US" w:eastAsia="zh-CN"/>
              </w:rPr>
            </m:ctrlPr>
          </m:sSubPr>
          <m:e>
            <m:r>
              <m:rPr>
                <m:sty m:val="p"/>
              </m:rPr>
              <w:rPr>
                <w:rFonts w:hint="default" w:ascii="Cambria Math" w:hAnsi="Cambria Math" w:cs="Cambria Math"/>
                <w:lang w:val="en-US" w:eastAsia="zh-CN"/>
              </w:rPr>
              <m:t>TD</m:t>
            </m:r>
            <m:ctrlPr>
              <w:rPr>
                <w:rFonts w:hint="default" w:ascii="Cambria Math" w:hAnsi="Cambria Math" w:cs="Cambria Math"/>
                <w:lang w:val="en-US" w:eastAsia="zh-CN"/>
              </w:rPr>
            </m:ctrlPr>
          </m:e>
          <m:sub>
            <m:r>
              <m:rPr>
                <m:sty m:val="p"/>
              </m:rPr>
              <w:rPr>
                <w:rFonts w:hint="default" w:ascii="Cambria Math" w:hAnsi="Cambria Math" w:cs="Cambria Math"/>
                <w:lang w:val="en-US" w:eastAsia="zh-CN"/>
              </w:rPr>
              <m:t>y</m:t>
            </m:r>
            <m:ctrlPr>
              <w:rPr>
                <w:rFonts w:hint="default" w:ascii="Cambria Math" w:hAnsi="Cambria Math" w:cs="Cambria Math"/>
                <w:lang w:val="en-US" w:eastAsia="zh-CN"/>
              </w:rPr>
            </m:ctrlPr>
          </m:sub>
        </m:sSub>
      </m:oMath>
      <w:r>
        <w:rPr>
          <w:rFonts w:hint="eastAsia"/>
          <w:lang w:val="en-US" w:eastAsia="zh-CN"/>
        </w:rPr>
        <w:t>：电网供电过程中的技术（输配）损失</w:t>
      </w:r>
    </w:p>
    <w:p w14:paraId="02687129">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电能从发电厂传输到终端用户过程中，在输电线路和变压器等设备上以热能形式不可避免消耗的能量比例（即线损率）。该数值反映了电网在物理输送环节的效率水平，受电网结构、电压等级及负荷特性影响。本文件取值参考国家发改委发布的《推广节能家用电器》（CMS-014-V01）中的推荐缺省值，取0.1，用于估算因电网传输损耗导致的间接温室气体排放。</w:t>
      </w:r>
    </w:p>
    <w:p w14:paraId="4F539E6E">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eastAsia" w:ascii="Cambria Math" w:hAnsi="Cambria Math"/>
                <w:lang w:val="en-US" w:eastAsia="zh-CN"/>
              </w:rPr>
            </m:ctrlPr>
          </m:sSubPr>
          <m:e>
            <m:r>
              <m:rPr>
                <m:sty m:val="p"/>
              </m:rPr>
              <w:rPr>
                <w:rFonts w:hint="eastAsia" w:ascii="Cambria Math" w:hAnsi="Cambria Math"/>
                <w:lang w:val="en-US" w:eastAsia="zh-CN"/>
              </w:rPr>
              <m:t>EF</m:t>
            </m:r>
            <m:ctrlPr>
              <w:rPr>
                <w:rFonts w:hint="eastAsia" w:ascii="Cambria Math" w:hAnsi="Cambria Math"/>
                <w:lang w:val="en-US" w:eastAsia="zh-CN"/>
              </w:rPr>
            </m:ctrlPr>
          </m:e>
          <m:sub>
            <m:r>
              <m:rPr>
                <m:sty m:val="p"/>
              </m:rPr>
              <w:rPr>
                <w:rFonts w:hint="eastAsia" w:ascii="Cambria Math" w:hAnsi="Cambria Math"/>
                <w:lang w:val="en-US" w:eastAsia="zh-CN"/>
              </w:rPr>
              <m:t>EC</m:t>
            </m:r>
            <m:ctrlPr>
              <w:rPr>
                <w:rFonts w:hint="eastAsia" w:ascii="Cambria Math" w:hAnsi="Cambria Math"/>
                <w:lang w:val="en-US" w:eastAsia="zh-CN"/>
              </w:rPr>
            </m:ctrlPr>
          </m:sub>
        </m:sSub>
      </m:oMath>
      <w:r>
        <w:rPr>
          <w:rFonts w:hint="eastAsia"/>
          <w:lang w:val="en-US" w:eastAsia="zh-CN"/>
        </w:rPr>
        <w:t>：电网碳排放因子</w:t>
      </w:r>
    </w:p>
    <w:p w14:paraId="202A802E">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依据《</w:t>
      </w:r>
      <w:r>
        <w:rPr>
          <w:rFonts w:hint="eastAsia"/>
          <w:lang w:eastAsia="zh-CN"/>
        </w:rPr>
        <w:t>202</w:t>
      </w:r>
      <w:r>
        <w:rPr>
          <w:rFonts w:hint="eastAsia"/>
          <w:lang w:val="en-US" w:eastAsia="zh-CN"/>
        </w:rPr>
        <w:t>4</w:t>
      </w:r>
      <w:r>
        <w:rPr>
          <w:rFonts w:hint="eastAsia"/>
          <w:lang w:eastAsia="zh-CN"/>
        </w:rPr>
        <w:t>年减排项目中国区域电网基准线排放因子</w:t>
      </w:r>
      <w:r>
        <w:rPr>
          <w:rFonts w:hint="eastAsia"/>
          <w:lang w:val="en-US" w:eastAsia="zh-CN"/>
        </w:rPr>
        <w:t>》，选取山东省所在华北区域的电网基准线排放因子OM、BM的数值计算。</w:t>
      </w:r>
    </w:p>
    <w:p w14:paraId="3545D1D9">
      <w:pPr>
        <w:pStyle w:val="6"/>
        <w:keepNext w:val="0"/>
        <w:keepLines w:val="0"/>
        <w:pageBreakBefore w:val="0"/>
        <w:widowControl w:val="0"/>
        <w:kinsoku/>
        <w:wordWrap/>
        <w:overflowPunct/>
        <w:topLinePunct w:val="0"/>
        <w:bidi w:val="0"/>
        <w:textAlignment w:val="auto"/>
        <w:rPr>
          <w:rFonts w:hint="eastAsia"/>
          <w:lang w:val="en-US" w:eastAsia="zh-CN"/>
        </w:rPr>
      </w:pPr>
      <m:oMathPara>
        <m:oMathParaPr>
          <m:jc m:val="left"/>
        </m:oMathParaPr>
        <m:oMath>
          <m:sSub>
            <m:sSubPr>
              <m:ctrlPr>
                <w:rPr>
                  <w:rFonts w:hint="eastAsia" w:ascii="Cambria Math" w:hAnsi="Cambria Math"/>
                  <w:lang w:val="en-US" w:eastAsia="zh-CN"/>
                </w:rPr>
              </m:ctrlPr>
            </m:sSubPr>
            <m:e>
              <m:r>
                <m:rPr>
                  <m:sty m:val="p"/>
                </m:rPr>
                <w:rPr>
                  <w:rFonts w:hint="eastAsia" w:ascii="Cambria Math" w:hAnsi="Cambria Math"/>
                  <w:lang w:val="en-US" w:eastAsia="zh-CN"/>
                </w:rPr>
                <m:t>EF</m:t>
              </m:r>
              <m:ctrlPr>
                <w:rPr>
                  <w:rFonts w:hint="eastAsia" w:ascii="Cambria Math" w:hAnsi="Cambria Math"/>
                  <w:lang w:val="en-US" w:eastAsia="zh-CN"/>
                </w:rPr>
              </m:ctrlPr>
            </m:e>
            <m:sub>
              <m:r>
                <m:rPr>
                  <m:sty m:val="p"/>
                </m:rPr>
                <w:rPr>
                  <w:rFonts w:hint="eastAsia" w:ascii="Cambria Math" w:hAnsi="Cambria Math"/>
                  <w:lang w:val="en-US" w:eastAsia="zh-CN"/>
                </w:rPr>
                <m:t>EC</m:t>
              </m:r>
              <m:ctrlPr>
                <w:rPr>
                  <w:rFonts w:hint="eastAsia" w:ascii="Cambria Math" w:hAnsi="Cambria Math"/>
                  <w:lang w:val="en-US" w:eastAsia="zh-CN"/>
                </w:rPr>
              </m:ctrlPr>
            </m:sub>
          </m:sSub>
          <m:r>
            <m:rPr>
              <m:sty m:val="p"/>
            </m:rPr>
            <w:rPr>
              <w:rFonts w:hint="eastAsia" w:ascii="Cambria Math" w:hAnsi="Cambria Math"/>
              <w:lang w:val="en-US" w:eastAsia="zh-CN"/>
            </w:rPr>
            <m:t>=0.5×OM+0.5×BM</m:t>
          </m:r>
        </m:oMath>
      </m:oMathPara>
    </w:p>
    <w:p w14:paraId="3B0C94CE">
      <w:pPr>
        <w:pStyle w:val="6"/>
        <w:keepNext w:val="0"/>
        <w:keepLines w:val="0"/>
        <w:pageBreakBefore w:val="0"/>
        <w:widowControl w:val="0"/>
        <w:kinsoku/>
        <w:wordWrap/>
        <w:overflowPunct/>
        <w:topLinePunct w:val="0"/>
        <w:bidi w:val="0"/>
        <w:textAlignment w:val="auto"/>
        <w:rPr>
          <w:rFonts w:hint="eastAsia"/>
          <w:lang w:val="en-US" w:eastAsia="zh-CN"/>
        </w:rPr>
      </w:pPr>
      <m:oMathPara>
        <m:oMathParaPr>
          <m:jc m:val="left"/>
        </m:oMathParaPr>
        <m:oMath>
          <m:r>
            <m:rPr>
              <m:sty m:val="p"/>
            </m:rPr>
            <w:rPr>
              <w:rFonts w:hint="eastAsia" w:ascii="Cambria Math" w:hAnsi="Cambria Math"/>
              <w:lang w:val="en-US" w:eastAsia="zh-CN"/>
            </w:rPr>
            <m:t>=</m:t>
          </m:r>
          <m:d>
            <m:dPr>
              <m:ctrlPr>
                <w:rPr>
                  <w:rFonts w:hint="eastAsia" w:ascii="Cambria Math" w:hAnsi="Cambria Math"/>
                  <w:lang w:val="en-US" w:eastAsia="zh-CN"/>
                </w:rPr>
              </m:ctrlPr>
            </m:dPr>
            <m:e>
              <m:r>
                <m:rPr>
                  <m:sty m:val="p"/>
                </m:rPr>
                <w:rPr>
                  <w:rFonts w:hint="eastAsia" w:ascii="Cambria Math" w:hAnsi="Cambria Math"/>
                  <w:lang w:val="en-US" w:eastAsia="zh-CN"/>
                </w:rPr>
                <m:t>0.5×0.9531+0.5×0.3095</m:t>
              </m:r>
              <m:ctrlPr>
                <w:rPr>
                  <w:rFonts w:hint="eastAsia" w:ascii="Cambria Math" w:hAnsi="Cambria Math"/>
                  <w:lang w:val="en-US" w:eastAsia="zh-CN"/>
                </w:rPr>
              </m:ctrlPr>
            </m:e>
          </m:d>
          <m:r>
            <m:rPr>
              <m:sty m:val="p"/>
            </m:rPr>
            <w:rPr>
              <w:rFonts w:hint="eastAsia" w:ascii="Cambria Math" w:hAnsi="Cambria Math"/>
              <w:lang w:val="en-US" w:eastAsia="zh-CN"/>
            </w:rPr>
            <m:t>t</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/MWh</m:t>
          </m:r>
        </m:oMath>
      </m:oMathPara>
    </w:p>
    <w:p w14:paraId="01E2B361">
      <w:pPr>
        <w:pStyle w:val="6"/>
        <w:keepNext w:val="0"/>
        <w:keepLines w:val="0"/>
        <w:pageBreakBefore w:val="0"/>
        <w:widowControl w:val="0"/>
        <w:kinsoku/>
        <w:wordWrap/>
        <w:overflowPunct/>
        <w:topLinePunct w:val="0"/>
        <w:bidi w:val="0"/>
        <w:textAlignment w:val="auto"/>
        <w:rPr>
          <w:rFonts w:hint="eastAsia"/>
          <w:lang w:val="en-US" w:eastAsia="zh-CN"/>
        </w:rPr>
      </w:pPr>
      <m:oMathPara>
        <m:oMathParaPr>
          <m:jc m:val="left"/>
        </m:oMathParaPr>
        <m:oMath>
          <m:r>
            <m:rPr>
              <m:sty m:val="p"/>
            </m:rPr>
            <w:rPr>
              <w:rFonts w:hint="eastAsia" w:ascii="Cambria Math" w:hAnsi="Cambria Math"/>
              <w:lang w:val="en-US" w:eastAsia="zh-CN"/>
            </w:rPr>
            <m:t>=0.6313t</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/MWh=0.6313kg</m:t>
          </m:r>
          <m:sSub>
            <m:sSubPr>
              <m:ctrlPr>
                <w:rPr>
                  <w:rFonts w:hint="eastAsia" w:ascii="Cambria Math" w:hAnsi="Cambria Math"/>
                  <w:lang w:val="en-US" w:eastAsia="zh-CN"/>
                </w:rPr>
              </m:ctrlPr>
            </m:sSubPr>
            <m:e>
              <m:r>
                <m:rPr>
                  <m:sty m:val="p"/>
                </m:rPr>
                <w:rPr>
                  <w:rFonts w:hint="eastAsia" w:ascii="Cambria Math" w:hAnsi="Cambria Math"/>
                  <w:lang w:val="en-US" w:eastAsia="zh-CN"/>
                </w:rPr>
                <m:t>CO</m:t>
              </m:r>
              <m:ctrlPr>
                <w:rPr>
                  <w:rFonts w:hint="eastAsia" w:ascii="Cambria Math" w:hAnsi="Cambria Math"/>
                  <w:lang w:val="en-US" w:eastAsia="zh-CN"/>
                </w:rPr>
              </m:ctrlPr>
            </m:e>
            <m:sub>
              <m:r>
                <m:rPr>
                  <m:sty m:val="p"/>
                </m:rPr>
                <w:rPr>
                  <w:rFonts w:hint="eastAsia" w:ascii="Cambria Math" w:hAnsi="Cambria Math"/>
                  <w:lang w:val="en-US" w:eastAsia="zh-CN"/>
                </w:rPr>
                <m:t>2</m:t>
              </m:r>
              <m:ctrlPr>
                <w:rPr>
                  <w:rFonts w:hint="eastAsia" w:ascii="Cambria Math" w:hAnsi="Cambria Math"/>
                  <w:lang w:val="en-US" w:eastAsia="zh-CN"/>
                </w:rPr>
              </m:ctrlPr>
            </m:sub>
          </m:sSub>
          <m:r>
            <m:rPr>
              <m:sty m:val="p"/>
            </m:rPr>
            <w:rPr>
              <w:rFonts w:hint="eastAsia" w:ascii="Cambria Math" w:hAnsi="Cambria Math"/>
              <w:lang w:val="en-US" w:eastAsia="zh-CN"/>
            </w:rPr>
            <m:t>/kWh</m:t>
          </m:r>
        </m:oMath>
      </m:oMathPara>
    </w:p>
    <w:p w14:paraId="78F71BF9">
      <w:pPr>
        <w:pStyle w:val="13"/>
        <w:keepNext w:val="0"/>
        <w:keepLines w:val="0"/>
        <w:pageBreakBefore w:val="0"/>
        <w:widowControl w:val="0"/>
        <w:kinsoku/>
        <w:wordWrap/>
        <w:overflowPunct/>
        <w:topLinePunct w:val="0"/>
        <w:bidi w:val="0"/>
        <w:textAlignment w:val="auto"/>
        <w:rPr>
          <w:rFonts w:hint="eastAsia" w:eastAsia="黑体"/>
          <w:lang w:val="en-US" w:eastAsia="zh-CN"/>
        </w:rPr>
      </w:pPr>
      <w:r>
        <w:t xml:space="preserve">表 </w:t>
      </w:r>
      <w:r>
        <w:fldChar w:fldCharType="begin"/>
      </w:r>
      <w:r>
        <w:instrText xml:space="preserve"> SEQ 表 \* ARABIC </w:instrText>
      </w:r>
      <w:r>
        <w:fldChar w:fldCharType="separate"/>
      </w:r>
      <w:r>
        <w:t>2</w:t>
      </w:r>
      <w:r>
        <w:fldChar w:fldCharType="end"/>
      </w:r>
      <w:r>
        <w:rPr>
          <w:rFonts w:hint="eastAsia"/>
          <w:lang w:val="en-US" w:eastAsia="zh-CN"/>
        </w:rPr>
        <w:t xml:space="preserve"> </w:t>
      </w:r>
      <w:r>
        <w:t>区域电网覆盖省份表</w:t>
      </w:r>
    </w:p>
    <w:tbl>
      <w:tblPr>
        <w:tblStyle w:val="27"/>
        <w:tblW w:w="92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892"/>
        <w:gridCol w:w="7391"/>
      </w:tblGrid>
      <w:tr w14:paraId="76613EFE">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B58EB5E">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b/>
              </w:rPr>
            </w:pPr>
            <w:r>
              <w:rPr>
                <w:b/>
              </w:rPr>
              <w:t>电网名称</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BA536C">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b/>
              </w:rPr>
            </w:pPr>
            <w:r>
              <w:rPr>
                <w:b/>
              </w:rPr>
              <w:t>覆盖省市</w:t>
            </w:r>
          </w:p>
        </w:tc>
      </w:tr>
      <w:tr w14:paraId="21AFB764">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32B750">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华北区域电网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D17A2D5">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北京市、天津市、河北省、山西省、山东省、内蒙古自治区</w:t>
            </w:r>
          </w:p>
        </w:tc>
      </w:tr>
      <w:tr w14:paraId="79EB3D7E">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C97118">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东北区域电网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F1BAC73">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辽宁省、吉林省、黑龙江省</w:t>
            </w:r>
          </w:p>
        </w:tc>
      </w:tr>
      <w:tr w14:paraId="55B13316">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512E4B2">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华东区域电网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439891">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上海市、江苏省、浙江省、安徽省、福建省</w:t>
            </w:r>
          </w:p>
        </w:tc>
      </w:tr>
      <w:tr w14:paraId="03183F6F">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BDD808">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华中区域电网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47B9982">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河南省、湖北省、湖南省、江西省</w:t>
            </w:r>
          </w:p>
        </w:tc>
      </w:tr>
      <w:tr w14:paraId="42950965">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9756D1">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西北区域电网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EE7BF9E">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陕西省、甘肃省、青海省、宁夏自治区、新疆自治区</w:t>
            </w:r>
          </w:p>
        </w:tc>
      </w:tr>
      <w:tr w14:paraId="37200D03">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6FB1D14">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南方区域电网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F1156C">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广东省、广西自治区、云南省、贵州省、海南省</w:t>
            </w:r>
          </w:p>
        </w:tc>
      </w:tr>
      <w:tr w14:paraId="1912E123">
        <w:trPr>
          <w:trHeight w:val="0" w:hRule="atLeast"/>
          <w:jc w:val="center"/>
        </w:trPr>
        <w:tc>
          <w:tcPr>
            <w:tcW w:w="1892"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1DF8D2">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西南区域电网</w:t>
            </w:r>
          </w:p>
        </w:tc>
        <w:tc>
          <w:tcPr>
            <w:tcW w:w="739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0BDD06">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四川省、重庆市</w:t>
            </w:r>
          </w:p>
        </w:tc>
      </w:tr>
    </w:tbl>
    <w:p w14:paraId="73D6793F">
      <w:pPr>
        <w:pStyle w:val="13"/>
        <w:keepNext w:val="0"/>
        <w:keepLines w:val="0"/>
        <w:pageBreakBefore w:val="0"/>
        <w:widowControl w:val="0"/>
        <w:kinsoku/>
        <w:wordWrap/>
        <w:overflowPunct/>
        <w:topLinePunct w:val="0"/>
        <w:bidi w:val="0"/>
        <w:textAlignment w:val="auto"/>
        <w:rPr>
          <w:rFonts w:hint="eastAsia" w:eastAsia="宋体"/>
          <w:lang w:eastAsia="zh-CN"/>
        </w:rPr>
      </w:pPr>
      <w:r>
        <w:t xml:space="preserve">表 </w:t>
      </w:r>
      <w:r>
        <w:fldChar w:fldCharType="begin"/>
      </w:r>
      <w:r>
        <w:instrText xml:space="preserve"> SEQ 表 \* ARABIC </w:instrText>
      </w:r>
      <w:r>
        <w:fldChar w:fldCharType="separate"/>
      </w:r>
      <w:r>
        <w:t>3</w:t>
      </w:r>
      <w:r>
        <w:fldChar w:fldCharType="end"/>
      </w:r>
      <w:r>
        <w:rPr>
          <w:rFonts w:hint="eastAsia"/>
          <w:lang w:eastAsia="zh-CN"/>
        </w:rPr>
        <w:t xml:space="preserve"> 2024年减排项目中国区域电网二氧化碳基准线排放因子</w:t>
      </w:r>
    </w:p>
    <w:tbl>
      <w:tblPr>
        <w:tblStyle w:val="27"/>
        <w:tblW w:w="92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018"/>
        <w:gridCol w:w="3647"/>
        <w:gridCol w:w="3616"/>
      </w:tblGrid>
      <w:tr w14:paraId="010D1DD7">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34D621">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b/>
              </w:rPr>
            </w:pPr>
            <w:r>
              <w:rPr>
                <w:b/>
              </w:rPr>
              <w:t>电网名称</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DC0765">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b/>
              </w:rPr>
            </w:pPr>
            <w:r>
              <w:rPr>
                <w:b/>
              </w:rPr>
              <w:t>OM排放因子(tCO₂/MWh)</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53DB0">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b/>
              </w:rPr>
            </w:pPr>
            <w:r>
              <w:rPr>
                <w:b/>
              </w:rPr>
              <w:t>BM排放因子(tCO₂/MWh)</w:t>
            </w:r>
          </w:p>
        </w:tc>
      </w:tr>
      <w:tr w14:paraId="59127442">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872C4D6">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华北区域电网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4AF311">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0.9531</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A052475">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0.3095</w:t>
            </w:r>
          </w:p>
        </w:tc>
      </w:tr>
      <w:tr w14:paraId="1C1EEC38">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5303316">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东北区域电网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4E4447">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1.0368</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73369D">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0.1184</w:t>
            </w:r>
          </w:p>
        </w:tc>
      </w:tr>
      <w:tr w14:paraId="2014531F">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67F0F53">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华东区域电网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1F15443">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0.7782</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C7AC851">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0.1951</w:t>
            </w:r>
          </w:p>
        </w:tc>
      </w:tr>
      <w:tr w14:paraId="77279CF4">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80C31B">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华中区域电网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440E0E1">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0.8597</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3CE75C6">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0.2726</w:t>
            </w:r>
          </w:p>
        </w:tc>
      </w:tr>
      <w:tr w14:paraId="2CE70E84">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DA9BEC4">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西北区域电网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D959D08">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0.8990</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10628BE">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0.3441</w:t>
            </w:r>
          </w:p>
        </w:tc>
      </w:tr>
      <w:tr w14:paraId="1FFB07D3">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AE152B7">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南方区域电网</w:t>
            </w:r>
          </w:p>
        </w:tc>
        <w:tc>
          <w:tcPr>
            <w:tcW w:w="0" w:type="auto"/>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82CB2D5">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0.7906</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A882CE2">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0.1816</w:t>
            </w:r>
          </w:p>
        </w:tc>
      </w:tr>
      <w:tr w14:paraId="4DF8093A">
        <w:trPr>
          <w:trHeight w:val="0" w:hRule="atLeast"/>
          <w:jc w:val="center"/>
        </w:trPr>
        <w:tc>
          <w:tcPr>
            <w:tcW w:w="2018"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4CFE818">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西南区域电网</w:t>
            </w:r>
          </w:p>
        </w:tc>
        <w:tc>
          <w:tcPr>
            <w:tcW w:w="364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0886E2F">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0.5909</w:t>
            </w:r>
          </w:p>
        </w:tc>
        <w:tc>
          <w:tcPr>
            <w:tcW w:w="3616"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3945DB2">
            <w:pPr>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pPr>
            <w:r>
              <w:t>0.0603</w:t>
            </w:r>
          </w:p>
        </w:tc>
      </w:tr>
    </w:tbl>
    <w:p w14:paraId="19AC5ABF">
      <w:pPr>
        <w:keepNext w:val="0"/>
        <w:keepLines w:val="0"/>
        <w:pageBreakBefore w:val="0"/>
        <w:widowControl w:val="0"/>
        <w:kinsoku/>
        <w:wordWrap/>
        <w:overflowPunct/>
        <w:topLinePunct w:val="0"/>
        <w:bidi w:val="0"/>
        <w:jc w:val="left"/>
        <w:textAlignment w:val="auto"/>
        <w:rPr>
          <w:rFonts w:hint="eastAsia"/>
        </w:rPr>
      </w:pPr>
      <w:r>
        <w:t>注：（1）表中OM为2020-2022年电量边际排放因子的加权平均值；BM为截至2022年统计数据的容量边际排放因子；（2）本结果以公开的上网电厂的汇总数据为基础计算得出。</w:t>
      </w:r>
    </w:p>
    <w:p w14:paraId="5E4EC8B6">
      <w:pPr>
        <w:pStyle w:val="3"/>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计算热水器碳排放的参数</w:t>
      </w:r>
    </w:p>
    <w:p w14:paraId="6FBEF706">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ρ：水的密度</w:t>
      </w:r>
    </w:p>
    <w:p w14:paraId="3AAAB55C">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表示水的质量与体积的比值，即单位体积内水的质量，是进行水量与重量单位换算的关键物理参数。在标准状况（4℃、标准大气压）下，纯水的密度最大，约为1.0kg/L。考虑到日常计算中温度变化对密度的影响较小且为简化计算，通常取缺省值1.0kg/L。该缺省值参考自物理学标准参数及通用工程计算惯例，通常在《物理化学手册》或基础工程计算规范中均有定义。</w:t>
      </w:r>
    </w:p>
    <w:p w14:paraId="562BC55D">
      <w:pPr>
        <w:pStyle w:val="4"/>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C：水的比热容</w:t>
      </w:r>
    </w:p>
    <w:p w14:paraId="64FB6EA9">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指单位质量的水温度升高（或降低）1℃时所吸收（或放出）的热量，是衡量水体储存或释放热能能力的重要物理量。根据物理学标准参数，其数值通常表示为</w:t>
      </w:r>
      <w:r>
        <w:rPr>
          <w:rFonts w:hint="default" w:ascii="Times New Roman" w:hAnsi="Times New Roman" w:cs="Times New Roman"/>
          <w:lang w:val="en-US" w:eastAsia="zh-CN"/>
        </w:rPr>
        <w:t>4.2×10³J/(kg∙℃)</w:t>
      </w:r>
      <w:r>
        <w:rPr>
          <w:rFonts w:hint="eastAsia"/>
          <w:lang w:val="en-US" w:eastAsia="zh-CN"/>
        </w:rPr>
        <w:t>，换算后取缺省值4.2×10</w:t>
      </w:r>
      <w:r>
        <w:rPr>
          <w:rFonts w:hint="eastAsia"/>
          <w:vertAlign w:val="superscript"/>
          <w:lang w:val="en-US" w:eastAsia="zh-CN"/>
        </w:rPr>
        <w:t>-3</w:t>
      </w:r>
      <w:r>
        <w:rPr>
          <w:rFonts w:hint="eastAsia"/>
          <w:lang w:val="en-US" w:eastAsia="zh-CN"/>
        </w:rPr>
        <w:t xml:space="preserve"> MJ/(kg∙℃)。该缺省值参考自《物理化学手册》中的推荐值。</w:t>
      </w:r>
    </w:p>
    <w:p w14:paraId="5C1D7E96">
      <w:pPr>
        <w:pStyle w:val="4"/>
        <w:keepNext w:val="0"/>
        <w:keepLines w:val="0"/>
        <w:pageBreakBefore w:val="0"/>
        <w:widowControl w:val="0"/>
        <w:kinsoku/>
        <w:wordWrap/>
        <w:overflowPunct/>
        <w:topLinePunct w:val="0"/>
        <w:bidi w:val="0"/>
        <w:textAlignment w:val="auto"/>
        <w:rPr>
          <w:rFonts w:hint="eastAsia"/>
          <w:lang w:val="en-US" w:eastAsia="zh-CN"/>
        </w:rPr>
      </w:pPr>
      <m:oMath>
        <m:bar>
          <m:barPr>
            <m:pos m:val="top"/>
            <m:ctrlPr>
              <w:rPr>
                <w:rFonts w:hint="eastAsia" w:ascii="Cambria Math" w:hAnsi="Cambria Math"/>
                <w:lang w:val="en-US" w:eastAsia="zh-CN"/>
              </w:rPr>
            </m:ctrlPr>
          </m:barPr>
          <m:e>
            <m:r>
              <m:rPr>
                <m:sty m:val="p"/>
              </m:rPr>
              <w:rPr>
                <w:rFonts w:hint="eastAsia" w:ascii="Cambria Math" w:hAnsi="Cambria Math"/>
                <w:lang w:val="en-US" w:eastAsia="zh-CN"/>
              </w:rPr>
              <m:t>V</m:t>
            </m:r>
            <m:ctrlPr>
              <w:rPr>
                <w:rFonts w:hint="eastAsia" w:ascii="Cambria Math" w:hAnsi="Cambria Math"/>
                <w:lang w:val="en-US" w:eastAsia="zh-CN"/>
              </w:rPr>
            </m:ctrlPr>
          </m:e>
        </m:bar>
      </m:oMath>
      <w:r>
        <w:rPr>
          <w:rFonts w:hint="eastAsia"/>
          <w:lang w:val="en-US" w:eastAsia="zh-CN"/>
        </w:rPr>
        <w:t>：家庭日均热水需求量</w:t>
      </w:r>
    </w:p>
    <w:p w14:paraId="612A4473">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指在一般情况下，一个典型家庭每日为满足洗浴、洗涤等生活需求所消耗的热水总体积。该参数是评估家用热水系统能耗负荷的基础依据。根据《建筑给水排水设计标准》（GB 50015-2019），住宅人均日热水用水定额取缺省值50L/（人·d）。根据《山东统计年鉴2024》（第七次全国人口普查）公布的山东省平均家庭户规模为2.70人/户。再通过计算可得出山东省家庭日均热水需求量的缺省值为50L/人·d×2.70人=135L/d。</w:t>
      </w:r>
    </w:p>
    <w:p w14:paraId="74B16DC8">
      <w:pPr>
        <w:pStyle w:val="4"/>
        <w:keepNext w:val="0"/>
        <w:keepLines w:val="0"/>
        <w:pageBreakBefore w:val="0"/>
        <w:widowControl w:val="0"/>
        <w:kinsoku/>
        <w:wordWrap/>
        <w:overflowPunct/>
        <w:topLinePunct w:val="0"/>
        <w:bidi w:val="0"/>
        <w:textAlignment w:val="auto"/>
        <w:rPr>
          <w:rFonts w:hint="eastAsia"/>
          <w:lang w:val="en-US" w:eastAsia="zh-CN"/>
        </w:rPr>
      </w:pPr>
      <m:oMath>
        <m:r>
          <m:rPr>
            <m:sty m:val="p"/>
          </m:rPr>
          <w:rPr>
            <w:rFonts w:ascii="Cambria Math" w:hAnsi="Cambria Math" w:cs="Times New Roman"/>
          </w:rPr>
          <m:t>∆</m:t>
        </m:r>
        <m:bar>
          <m:barPr>
            <m:pos m:val="top"/>
            <m:ctrlPr>
              <w:rPr>
                <w:rFonts w:ascii="Cambria Math" w:hAnsi="Cambria Math" w:cs="Times New Roman"/>
                <w:i w:val="0"/>
                <w:iCs w:val="0"/>
              </w:rPr>
            </m:ctrlPr>
          </m:barPr>
          <m:e>
            <m:r>
              <m:rPr>
                <m:sty m:val="p"/>
              </m:rPr>
              <w:rPr>
                <w:rFonts w:hint="default" w:ascii="Cambria Math" w:hAnsi="Cambria Math" w:cs="Times New Roman"/>
                <w:lang w:val="en-US" w:eastAsia="zh-CN"/>
              </w:rPr>
              <m:t>T</m:t>
            </m:r>
            <m:ctrlPr>
              <w:rPr>
                <w:rFonts w:ascii="Cambria Math" w:hAnsi="Cambria Math" w:cs="Times New Roman"/>
                <w:i w:val="0"/>
                <w:iCs w:val="0"/>
              </w:rPr>
            </m:ctrlPr>
          </m:e>
        </m:bar>
      </m:oMath>
      <w:r>
        <w:rPr>
          <w:rFonts w:hint="eastAsia"/>
          <w:lang w:val="en-US" w:eastAsia="zh-CN"/>
        </w:rPr>
        <w:t>：家庭所需热水的平均温升</w:t>
      </w:r>
    </w:p>
    <w:p w14:paraId="747C98DA">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指冷水进入加热设备（如热水器）前的初始温度与最终使用点出水温度之间的差值。它是计算加热水所需能耗的关键变量，直接反映了加热设备需要克服的热负荷大小。</w:t>
      </w:r>
    </w:p>
    <w:p w14:paraId="4052492F">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根据《建筑给水排水设计标准》（GB 50015-2019）中关于热水用水定额的相关规定，住宅生活热水的使用温度通常设定为60℃（以确保配水点水温不低于45℃并兼顾杀菌要求）。依据《建筑给水排水设计标准》（GB 50015-2019）中关于“冷水计算温度”的规定，山东省地表水的计算温度取值为4℃；结合生活热水设计温度为60℃，计算得出家庭所需热水的平均温升为</w:t>
      </w:r>
      <m:oMath>
        <m:r>
          <m:rPr>
            <m:sty m:val="p"/>
          </m:rPr>
          <w:rPr>
            <w:rFonts w:ascii="Cambria Math" w:hAnsi="Cambria Math" w:cs="Times New Roman"/>
          </w:rPr>
          <m:t>∆</m:t>
        </m:r>
        <m:bar>
          <m:barPr>
            <m:pos m:val="top"/>
            <m:ctrlPr>
              <w:rPr>
                <w:rFonts w:ascii="Cambria Math" w:hAnsi="Cambria Math" w:cs="Times New Roman"/>
                <w:i w:val="0"/>
                <w:iCs w:val="0"/>
              </w:rPr>
            </m:ctrlPr>
          </m:barPr>
          <m:e>
            <m:r>
              <m:rPr>
                <m:sty m:val="p"/>
              </m:rPr>
              <w:rPr>
                <w:rFonts w:hint="default" w:ascii="Cambria Math" w:hAnsi="Cambria Math" w:cs="Times New Roman"/>
                <w:lang w:val="en-US" w:eastAsia="zh-CN"/>
              </w:rPr>
              <m:t>T</m:t>
            </m:r>
            <m:ctrlPr>
              <w:rPr>
                <w:rFonts w:ascii="Cambria Math" w:hAnsi="Cambria Math" w:cs="Times New Roman"/>
                <w:i w:val="0"/>
                <w:iCs w:val="0"/>
              </w:rPr>
            </m:ctrlPr>
          </m:e>
        </m:bar>
      </m:oMath>
      <w:r>
        <w:rPr>
          <w:rFonts w:hint="eastAsia"/>
          <w:lang w:val="en-US" w:eastAsia="zh-CN"/>
        </w:rPr>
        <w:t>=60℃-4℃=56℃。</w:t>
      </w:r>
    </w:p>
    <w:p w14:paraId="4A235670">
      <w:pPr>
        <w:pStyle w:val="4"/>
        <w:keepNext w:val="0"/>
        <w:keepLines w:val="0"/>
        <w:pageBreakBefore w:val="0"/>
        <w:widowControl w:val="0"/>
        <w:kinsoku/>
        <w:wordWrap/>
        <w:overflowPunct/>
        <w:topLinePunct w:val="0"/>
        <w:bidi w:val="0"/>
        <w:textAlignment w:val="auto"/>
        <w:rPr>
          <w:rFonts w:hint="eastAsia"/>
          <w:lang w:val="en-US" w:eastAsia="zh-CN"/>
        </w:rPr>
      </w:pPr>
      <m:oMath>
        <m:bar>
          <m:barPr>
            <m:pos m:val="top"/>
            <m:ctrlPr>
              <w:rPr>
                <w:rFonts w:hint="default" w:ascii="Cambria Math" w:hAnsi="Cambria Math" w:cs="Cambria Math"/>
              </w:rPr>
            </m:ctrlPr>
          </m:barPr>
          <m:e>
            <m:r>
              <m:rPr>
                <m:sty m:val="p"/>
              </m:rPr>
              <w:rPr>
                <w:rFonts w:hint="default" w:ascii="Cambria Math" w:hAnsi="Cambria Math" w:cs="Cambria Math"/>
                <w:lang w:val="en-US" w:eastAsia="zh-CN"/>
              </w:rPr>
              <m:t>η</m:t>
            </m:r>
            <m:ctrlPr>
              <w:rPr>
                <w:rFonts w:hint="default" w:ascii="Cambria Math" w:hAnsi="Cambria Math" w:cs="Cambria Math"/>
              </w:rPr>
            </m:ctrlPr>
          </m:e>
        </m:bar>
      </m:oMath>
      <w:r>
        <w:rPr>
          <w:rFonts w:hint="eastAsia"/>
          <w:lang w:val="en-US" w:eastAsia="zh-CN"/>
        </w:rPr>
        <w:t>：家用燃气快速热水器或采暖热水炉的平均热效率值</w:t>
      </w:r>
    </w:p>
    <w:p w14:paraId="5E0B546E">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表示家用燃气快速热水器或燃气采暖热水炉将燃气化学能转化为热水热能的平均效率。根据《家用燃气快速热水器和燃气采暖热水炉能效限定值及能效等级》（GB 200665-2015）的规定，燃气热水器的能效等级分为3级，其中3级为市场准入的最低门槛，代表了市场上能效水平较低、较为耗能的常规产品。基于保守性原则及指南缺省值优先原则，选取3级能效的热效率值作为基准线情景的参考值。标准中3级能效的热效率实测值为86%和82%，考虑到普通家用热水器的普及性，通常取其平均保守值，故取缺省值84%。</w:t>
      </w:r>
    </w:p>
    <w:p w14:paraId="179F594A">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q</m:t>
            </m:r>
            <m:ctrlPr>
              <w:rPr>
                <w:rFonts w:hint="default" w:ascii="Cambria Math" w:hAnsi="Cambria Math" w:cs="Cambria Math"/>
              </w:rPr>
            </m:ctrlPr>
          </m:e>
          <m:sub>
            <m:r>
              <m:rPr>
                <m:sty m:val="p"/>
              </m:rPr>
              <w:rPr>
                <w:rFonts w:hint="default" w:ascii="Cambria Math" w:hAnsi="Cambria Math" w:cs="Cambria Math"/>
                <w:lang w:val="en-US" w:eastAsia="zh-CN"/>
              </w:rPr>
              <m:t>ng</m:t>
            </m:r>
            <m:ctrlPr>
              <w:rPr>
                <w:rFonts w:hint="default" w:ascii="Cambria Math" w:hAnsi="Cambria Math" w:cs="Cambria Math"/>
              </w:rPr>
            </m:ctrlPr>
          </m:sub>
        </m:sSub>
      </m:oMath>
      <w:r>
        <w:rPr>
          <w:rFonts w:hint="eastAsia"/>
          <w:lang w:val="en-US" w:eastAsia="zh-CN"/>
        </w:rPr>
        <w:t>：天然气的平均低位发热量</w:t>
      </w:r>
    </w:p>
    <w:p w14:paraId="0F06822A">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表示单位体积天然气在完全燃烧后，燃烧产物冷却至燃烧前的温度（通常为25℃），且烟气中的水蒸气仍以气态存在时所释放出的热量。根据《综合能耗计算通则》（GB/T 2589-2020）“附录A 表A.1各种能源折标准煤系数参考值”，天然气的平均低位发热量存在一个合理的波动范围（</w:t>
      </w:r>
      <w:r>
        <w:rPr>
          <w:rFonts w:hint="default" w:ascii="Times New Roman" w:hAnsi="Times New Roman" w:cs="Times New Roman"/>
          <w:lang w:val="en-US" w:eastAsia="zh-CN"/>
        </w:rPr>
        <w:t>32.238～38.979MJ/m³</w:t>
      </w:r>
      <w:r>
        <w:rPr>
          <w:rFonts w:hint="eastAsia"/>
          <w:lang w:val="en-US" w:eastAsia="zh-CN"/>
        </w:rPr>
        <w:t>），这主要取决于气源产地及组分差异。为了确保计算结果的严谨性与保守性，即在缺乏具体实测数据时，按能量密度最高的情形考虑，从而避免低估能源消耗或碳排放，选取该范围的上限值（峰值）作为计算依据。因此，确定天然气平均低位发热量的缺省值为</w:t>
      </w:r>
      <w:r>
        <w:rPr>
          <w:rFonts w:hint="default" w:ascii="Times New Roman" w:hAnsi="Times New Roman" w:cs="Times New Roman"/>
          <w:lang w:val="en-US" w:eastAsia="zh-CN"/>
        </w:rPr>
        <w:t>38.979 MJ/m³</w:t>
      </w:r>
      <w:r>
        <w:rPr>
          <w:rFonts w:hint="eastAsia"/>
          <w:lang w:val="en-US" w:eastAsia="zh-CN"/>
        </w:rPr>
        <w:t>。</w:t>
      </w:r>
    </w:p>
    <w:p w14:paraId="6D4923E5">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default" w:ascii="Cambria Math" w:hAnsi="Cambria Math" w:cs="Cambria Math"/>
                <w:lang w:val="en-US"/>
              </w:rPr>
            </m:ctrlPr>
          </m:sSubPr>
          <m:e>
            <m:r>
              <m:rPr>
                <m:sty m:val="p"/>
              </m:rPr>
              <w:rPr>
                <w:rFonts w:hint="default" w:ascii="Cambria Math" w:hAnsi="Cambria Math" w:cs="Cambria Math"/>
                <w:lang w:val="en-US" w:eastAsia="zh-CN"/>
              </w:rPr>
              <m:t>COP</m:t>
            </m:r>
            <m:ctrlPr>
              <w:rPr>
                <w:rFonts w:hint="default" w:ascii="Cambria Math" w:hAnsi="Cambria Math" w:cs="Cambria Math"/>
                <w:lang w:val="en-US"/>
              </w:rPr>
            </m:ctrlPr>
          </m:e>
          <m:sub>
            <m:r>
              <m:rPr>
                <m:sty m:val="p"/>
              </m:rPr>
              <w:rPr>
                <w:rFonts w:hint="default" w:ascii="Cambria Math" w:hAnsi="Cambria Math" w:cs="Cambria Math"/>
                <w:lang w:val="en-US" w:eastAsia="zh-CN"/>
              </w:rPr>
              <m:t>k</m:t>
            </m:r>
            <m:ctrlPr>
              <w:rPr>
                <w:rFonts w:hint="default" w:ascii="Cambria Math" w:hAnsi="Cambria Math" w:cs="Cambria Math"/>
                <w:lang w:val="en-US"/>
              </w:rPr>
            </m:ctrlPr>
          </m:sub>
        </m:sSub>
      </m:oMath>
      <w:r>
        <w:rPr>
          <w:rFonts w:hint="eastAsia"/>
          <w:lang w:val="en-US" w:eastAsia="zh-CN"/>
        </w:rPr>
        <w:t>：家用空气源热泵热水器的额定性能系数</w:t>
      </w:r>
    </w:p>
    <w:p w14:paraId="12D09B07">
      <w:pPr>
        <w:pStyle w:val="6"/>
        <w:keepNext w:val="0"/>
        <w:keepLines w:val="0"/>
        <w:pageBreakBefore w:val="0"/>
        <w:widowControl w:val="0"/>
        <w:kinsoku/>
        <w:wordWrap/>
        <w:overflowPunct/>
        <w:topLinePunct w:val="0"/>
        <w:bidi w:val="0"/>
        <w:textAlignment w:val="auto"/>
        <w:rPr>
          <w:rFonts w:hint="eastAsia"/>
          <w:lang w:val="en-US" w:eastAsia="zh-CN"/>
        </w:rPr>
      </w:pPr>
      <w:r>
        <w:rPr>
          <w:rFonts w:hint="eastAsia"/>
          <w:lang w:val="en-US" w:eastAsia="zh-CN"/>
        </w:rPr>
        <w:t>指在标准规定的名义制热工况下，k型号空气源热泵热水器所产生的制热量与在同一时间段内所消耗的电功率的比值。COP值越高，说明设备越节能。该参数的具体取值并非固定不变，而是取决于设备的能效等级、额定制热量以及加热方式。根据现行国家标准，空气源热泵热水器（静态加热式热水器）在不同能效等级下有明确的COP参考值。对于市面上的空气源热泵热水器产品的能效等级有超一级能效，故在计算项目情景时的COP值可以选用该热水器提供的COP值，计算基准线情景时可选用该标准3级能效下的COP缺省值。</w:t>
      </w:r>
    </w:p>
    <w:p w14:paraId="6169B041">
      <w:pPr>
        <w:pStyle w:val="13"/>
        <w:keepNext w:val="0"/>
        <w:keepLines w:val="0"/>
        <w:pageBreakBefore w:val="0"/>
        <w:widowControl w:val="0"/>
        <w:kinsoku/>
        <w:wordWrap/>
        <w:overflowPunct/>
        <w:topLinePunct w:val="0"/>
        <w:bidi w:val="0"/>
        <w:textAlignment w:val="auto"/>
        <w:rPr>
          <w:rFonts w:hint="eastAsia" w:eastAsia="宋体"/>
          <w:lang w:eastAsia="zh-CN"/>
        </w:rPr>
      </w:pPr>
      <w:r>
        <w:t xml:space="preserve">表 </w:t>
      </w:r>
      <w:r>
        <w:fldChar w:fldCharType="begin"/>
      </w:r>
      <w:r>
        <w:instrText xml:space="preserve"> SEQ 表 \* ARABIC </w:instrText>
      </w:r>
      <w:r>
        <w:fldChar w:fldCharType="separate"/>
      </w:r>
      <w:r>
        <w:t>4</w:t>
      </w:r>
      <w:r>
        <w:fldChar w:fldCharType="end"/>
      </w:r>
      <w:r>
        <w:rPr>
          <w:rFonts w:hint="eastAsia"/>
          <w:lang w:eastAsia="zh-CN"/>
        </w:rPr>
        <w:t xml:space="preserve"> 热泵热水器能源效率等级指标</w:t>
      </w:r>
    </w:p>
    <w:tbl>
      <w:tblPr>
        <w:tblStyle w:val="28"/>
        <w:tblW w:w="94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3"/>
        <w:gridCol w:w="1062"/>
        <w:gridCol w:w="1361"/>
        <w:gridCol w:w="1644"/>
        <w:gridCol w:w="771"/>
        <w:gridCol w:w="771"/>
        <w:gridCol w:w="771"/>
        <w:gridCol w:w="771"/>
        <w:gridCol w:w="771"/>
      </w:tblGrid>
      <w:tr w14:paraId="21F9F45D">
        <w:trPr>
          <w:trHeight w:val="0" w:hRule="atLeast"/>
          <w:tblHeader/>
          <w:jc w:val="center"/>
        </w:trPr>
        <w:tc>
          <w:tcPr>
            <w:tcW w:w="1514" w:type="dxa"/>
            <w:vMerge w:val="restart"/>
            <w:vAlign w:val="center"/>
          </w:tcPr>
          <w:p w14:paraId="0146F7D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制热量/kW</w:t>
            </w:r>
          </w:p>
        </w:tc>
        <w:tc>
          <w:tcPr>
            <w:tcW w:w="1062" w:type="dxa"/>
            <w:vMerge w:val="restart"/>
            <w:vAlign w:val="center"/>
          </w:tcPr>
          <w:p w14:paraId="09ED6191">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型式</w:t>
            </w:r>
          </w:p>
        </w:tc>
        <w:tc>
          <w:tcPr>
            <w:tcW w:w="3005" w:type="dxa"/>
            <w:gridSpan w:val="2"/>
            <w:vMerge w:val="restart"/>
            <w:vAlign w:val="center"/>
          </w:tcPr>
          <w:p w14:paraId="5036752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加热方式</w:t>
            </w:r>
          </w:p>
        </w:tc>
        <w:tc>
          <w:tcPr>
            <w:tcW w:w="771" w:type="dxa"/>
            <w:gridSpan w:val="5"/>
            <w:vAlign w:val="center"/>
          </w:tcPr>
          <w:p w14:paraId="225FADB9">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能效等级</w:t>
            </w:r>
          </w:p>
        </w:tc>
      </w:tr>
      <w:tr w14:paraId="1203CDE9">
        <w:trPr>
          <w:trHeight w:val="0" w:hRule="atLeast"/>
          <w:tblHeader/>
          <w:jc w:val="center"/>
        </w:trPr>
        <w:tc>
          <w:tcPr>
            <w:tcW w:w="1514" w:type="dxa"/>
            <w:vMerge w:val="continue"/>
            <w:vAlign w:val="center"/>
          </w:tcPr>
          <w:p w14:paraId="42F5636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rPr>
            </w:pPr>
          </w:p>
        </w:tc>
        <w:tc>
          <w:tcPr>
            <w:tcW w:w="1062" w:type="dxa"/>
            <w:vMerge w:val="continue"/>
            <w:vAlign w:val="center"/>
          </w:tcPr>
          <w:p w14:paraId="7955A69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rPr>
            </w:pPr>
          </w:p>
        </w:tc>
        <w:tc>
          <w:tcPr>
            <w:tcW w:w="3005" w:type="dxa"/>
            <w:gridSpan w:val="2"/>
            <w:vMerge w:val="continue"/>
            <w:vAlign w:val="center"/>
          </w:tcPr>
          <w:p w14:paraId="24B981F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rPr>
            </w:pPr>
          </w:p>
        </w:tc>
        <w:tc>
          <w:tcPr>
            <w:tcW w:w="771" w:type="dxa"/>
            <w:vAlign w:val="center"/>
          </w:tcPr>
          <w:p w14:paraId="79E5AA6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1级</w:t>
            </w:r>
          </w:p>
        </w:tc>
        <w:tc>
          <w:tcPr>
            <w:tcW w:w="771" w:type="dxa"/>
            <w:vAlign w:val="center"/>
          </w:tcPr>
          <w:p w14:paraId="0138177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2级</w:t>
            </w:r>
          </w:p>
        </w:tc>
        <w:tc>
          <w:tcPr>
            <w:tcW w:w="771" w:type="dxa"/>
            <w:vAlign w:val="center"/>
          </w:tcPr>
          <w:p w14:paraId="282A764D">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3级</w:t>
            </w:r>
          </w:p>
        </w:tc>
        <w:tc>
          <w:tcPr>
            <w:tcW w:w="771" w:type="dxa"/>
            <w:vAlign w:val="center"/>
          </w:tcPr>
          <w:p w14:paraId="1189DE37">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4级</w:t>
            </w:r>
          </w:p>
        </w:tc>
        <w:tc>
          <w:tcPr>
            <w:tcW w:w="771" w:type="dxa"/>
            <w:vAlign w:val="center"/>
          </w:tcPr>
          <w:p w14:paraId="5F644E80">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b/>
                <w:lang w:val="en-US" w:eastAsia="zh-CN"/>
              </w:rPr>
            </w:pPr>
            <w:r>
              <w:rPr>
                <w:rFonts w:hint="default"/>
                <w:b/>
                <w:lang w:val="en-US" w:eastAsia="zh-CN"/>
              </w:rPr>
              <w:t>5级</w:t>
            </w:r>
          </w:p>
        </w:tc>
      </w:tr>
      <w:tr w14:paraId="39FEC24E">
        <w:trPr>
          <w:trHeight w:val="0" w:hRule="atLeast"/>
          <w:jc w:val="center"/>
        </w:trPr>
        <w:tc>
          <w:tcPr>
            <w:tcW w:w="1514" w:type="dxa"/>
            <w:vMerge w:val="restart"/>
            <w:vAlign w:val="center"/>
          </w:tcPr>
          <w:p w14:paraId="5476B780">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H＜10</w:t>
            </w:r>
          </w:p>
        </w:tc>
        <w:tc>
          <w:tcPr>
            <w:tcW w:w="1062" w:type="dxa"/>
            <w:vMerge w:val="restart"/>
            <w:vAlign w:val="center"/>
          </w:tcPr>
          <w:p w14:paraId="1D85830C">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普通型</w:t>
            </w:r>
          </w:p>
        </w:tc>
        <w:tc>
          <w:tcPr>
            <w:tcW w:w="3005" w:type="dxa"/>
            <w:gridSpan w:val="2"/>
            <w:vAlign w:val="center"/>
          </w:tcPr>
          <w:p w14:paraId="02889951">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一次加热、循环加热式</w:t>
            </w:r>
          </w:p>
        </w:tc>
        <w:tc>
          <w:tcPr>
            <w:tcW w:w="771" w:type="dxa"/>
            <w:vAlign w:val="center"/>
          </w:tcPr>
          <w:p w14:paraId="7383DE9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4.60</w:t>
            </w:r>
          </w:p>
        </w:tc>
        <w:tc>
          <w:tcPr>
            <w:tcW w:w="771" w:type="dxa"/>
            <w:vAlign w:val="center"/>
          </w:tcPr>
          <w:p w14:paraId="02EF9F1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4.40</w:t>
            </w:r>
          </w:p>
        </w:tc>
        <w:tc>
          <w:tcPr>
            <w:tcW w:w="771" w:type="dxa"/>
            <w:vAlign w:val="center"/>
          </w:tcPr>
          <w:p w14:paraId="3E82252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4.10</w:t>
            </w:r>
          </w:p>
        </w:tc>
        <w:tc>
          <w:tcPr>
            <w:tcW w:w="771" w:type="dxa"/>
            <w:vAlign w:val="center"/>
          </w:tcPr>
          <w:p w14:paraId="4CCB66E9">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3.90</w:t>
            </w:r>
          </w:p>
        </w:tc>
        <w:tc>
          <w:tcPr>
            <w:tcW w:w="771" w:type="dxa"/>
            <w:vAlign w:val="center"/>
          </w:tcPr>
          <w:p w14:paraId="206DE75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3.70</w:t>
            </w:r>
          </w:p>
        </w:tc>
      </w:tr>
      <w:tr w14:paraId="347E3138">
        <w:trPr>
          <w:trHeight w:val="0" w:hRule="atLeast"/>
          <w:jc w:val="center"/>
        </w:trPr>
        <w:tc>
          <w:tcPr>
            <w:tcW w:w="1514" w:type="dxa"/>
            <w:vMerge w:val="continue"/>
            <w:vAlign w:val="center"/>
          </w:tcPr>
          <w:p w14:paraId="1B2CBE3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Merge w:val="continue"/>
            <w:vAlign w:val="center"/>
          </w:tcPr>
          <w:p w14:paraId="517D9A4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3005" w:type="dxa"/>
            <w:gridSpan w:val="2"/>
            <w:vAlign w:val="center"/>
          </w:tcPr>
          <w:p w14:paraId="57E90C5D">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静态加热式</w:t>
            </w:r>
          </w:p>
        </w:tc>
        <w:tc>
          <w:tcPr>
            <w:tcW w:w="771" w:type="dxa"/>
            <w:shd w:val="clear" w:color="auto" w:fill="auto"/>
            <w:vAlign w:val="center"/>
          </w:tcPr>
          <w:p w14:paraId="5FCEA9ED">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4.20</w:t>
            </w:r>
          </w:p>
        </w:tc>
        <w:tc>
          <w:tcPr>
            <w:tcW w:w="771" w:type="dxa"/>
            <w:shd w:val="clear" w:color="auto" w:fill="auto"/>
            <w:vAlign w:val="center"/>
          </w:tcPr>
          <w:p w14:paraId="06207CE5">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4.00</w:t>
            </w:r>
          </w:p>
        </w:tc>
        <w:tc>
          <w:tcPr>
            <w:tcW w:w="771" w:type="dxa"/>
            <w:shd w:val="clear" w:color="auto" w:fill="auto"/>
            <w:vAlign w:val="center"/>
          </w:tcPr>
          <w:p w14:paraId="337570B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3.80</w:t>
            </w:r>
          </w:p>
        </w:tc>
        <w:tc>
          <w:tcPr>
            <w:tcW w:w="771" w:type="dxa"/>
            <w:shd w:val="clear" w:color="auto" w:fill="auto"/>
            <w:vAlign w:val="center"/>
          </w:tcPr>
          <w:p w14:paraId="38A91561">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3.60</w:t>
            </w:r>
          </w:p>
        </w:tc>
        <w:tc>
          <w:tcPr>
            <w:tcW w:w="771" w:type="dxa"/>
            <w:shd w:val="clear" w:color="auto" w:fill="auto"/>
            <w:vAlign w:val="center"/>
          </w:tcPr>
          <w:p w14:paraId="6CBF937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3.40</w:t>
            </w:r>
          </w:p>
        </w:tc>
      </w:tr>
      <w:tr w14:paraId="636B9253">
        <w:trPr>
          <w:trHeight w:val="0" w:hRule="atLeast"/>
          <w:jc w:val="center"/>
        </w:trPr>
        <w:tc>
          <w:tcPr>
            <w:tcW w:w="1514" w:type="dxa"/>
            <w:vMerge w:val="continue"/>
            <w:vAlign w:val="center"/>
          </w:tcPr>
          <w:p w14:paraId="331BA1B7">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Align w:val="center"/>
          </w:tcPr>
          <w:p w14:paraId="61D4E1E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低温型</w:t>
            </w:r>
          </w:p>
        </w:tc>
        <w:tc>
          <w:tcPr>
            <w:tcW w:w="3005" w:type="dxa"/>
            <w:gridSpan w:val="2"/>
            <w:vAlign w:val="center"/>
          </w:tcPr>
          <w:p w14:paraId="447608DD">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一次加热、循环加热式</w:t>
            </w:r>
          </w:p>
        </w:tc>
        <w:tc>
          <w:tcPr>
            <w:tcW w:w="771" w:type="dxa"/>
            <w:vAlign w:val="center"/>
          </w:tcPr>
          <w:p w14:paraId="6EADB3F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3.80</w:t>
            </w:r>
          </w:p>
        </w:tc>
        <w:tc>
          <w:tcPr>
            <w:tcW w:w="771" w:type="dxa"/>
            <w:vAlign w:val="center"/>
          </w:tcPr>
          <w:p w14:paraId="669BA65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3.60</w:t>
            </w:r>
          </w:p>
        </w:tc>
        <w:tc>
          <w:tcPr>
            <w:tcW w:w="771" w:type="dxa"/>
            <w:vAlign w:val="center"/>
          </w:tcPr>
          <w:p w14:paraId="54DF053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3.40</w:t>
            </w:r>
          </w:p>
        </w:tc>
        <w:tc>
          <w:tcPr>
            <w:tcW w:w="771" w:type="dxa"/>
            <w:vAlign w:val="center"/>
          </w:tcPr>
          <w:p w14:paraId="3873E19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3.20</w:t>
            </w:r>
          </w:p>
        </w:tc>
        <w:tc>
          <w:tcPr>
            <w:tcW w:w="771" w:type="dxa"/>
            <w:vAlign w:val="center"/>
          </w:tcPr>
          <w:p w14:paraId="776BE569">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3.00</w:t>
            </w:r>
          </w:p>
        </w:tc>
      </w:tr>
      <w:tr w14:paraId="0280B795">
        <w:trPr>
          <w:trHeight w:val="0" w:hRule="atLeast"/>
          <w:jc w:val="center"/>
        </w:trPr>
        <w:tc>
          <w:tcPr>
            <w:tcW w:w="1514" w:type="dxa"/>
            <w:vMerge w:val="restart"/>
            <w:vAlign w:val="center"/>
          </w:tcPr>
          <w:p w14:paraId="790F64E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H≥10</w:t>
            </w:r>
          </w:p>
        </w:tc>
        <w:tc>
          <w:tcPr>
            <w:tcW w:w="1062" w:type="dxa"/>
            <w:vMerge w:val="restart"/>
            <w:vAlign w:val="center"/>
          </w:tcPr>
          <w:p w14:paraId="6C9E383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普通型</w:t>
            </w:r>
          </w:p>
        </w:tc>
        <w:tc>
          <w:tcPr>
            <w:tcW w:w="3005" w:type="dxa"/>
            <w:gridSpan w:val="2"/>
            <w:vAlign w:val="center"/>
          </w:tcPr>
          <w:p w14:paraId="6A474BD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一次加热</w:t>
            </w:r>
          </w:p>
        </w:tc>
        <w:tc>
          <w:tcPr>
            <w:tcW w:w="771" w:type="dxa"/>
            <w:vAlign w:val="center"/>
          </w:tcPr>
          <w:p w14:paraId="56F3820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4.60</w:t>
            </w:r>
          </w:p>
        </w:tc>
        <w:tc>
          <w:tcPr>
            <w:tcW w:w="771" w:type="dxa"/>
            <w:vAlign w:val="center"/>
          </w:tcPr>
          <w:p w14:paraId="348F94E0">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4.40</w:t>
            </w:r>
          </w:p>
        </w:tc>
        <w:tc>
          <w:tcPr>
            <w:tcW w:w="771" w:type="dxa"/>
            <w:vAlign w:val="center"/>
          </w:tcPr>
          <w:p w14:paraId="6A5640B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4.10</w:t>
            </w:r>
          </w:p>
        </w:tc>
        <w:tc>
          <w:tcPr>
            <w:tcW w:w="771" w:type="dxa"/>
            <w:vAlign w:val="center"/>
          </w:tcPr>
          <w:p w14:paraId="1CD6D67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3.90</w:t>
            </w:r>
          </w:p>
        </w:tc>
        <w:tc>
          <w:tcPr>
            <w:tcW w:w="771" w:type="dxa"/>
            <w:vAlign w:val="center"/>
          </w:tcPr>
          <w:p w14:paraId="7CD6A9B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3.70</w:t>
            </w:r>
          </w:p>
        </w:tc>
      </w:tr>
      <w:tr w14:paraId="1D5FB1D3">
        <w:trPr>
          <w:trHeight w:val="0" w:hRule="atLeast"/>
          <w:jc w:val="center"/>
        </w:trPr>
        <w:tc>
          <w:tcPr>
            <w:tcW w:w="1514" w:type="dxa"/>
            <w:vMerge w:val="continue"/>
            <w:vAlign w:val="center"/>
          </w:tcPr>
          <w:p w14:paraId="0941FD2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Merge w:val="continue"/>
            <w:vAlign w:val="center"/>
          </w:tcPr>
          <w:p w14:paraId="0A2DC399">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361" w:type="dxa"/>
            <w:vMerge w:val="restart"/>
            <w:vAlign w:val="center"/>
          </w:tcPr>
          <w:p w14:paraId="20AFF537">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循环加热</w:t>
            </w:r>
          </w:p>
        </w:tc>
        <w:tc>
          <w:tcPr>
            <w:tcW w:w="1644" w:type="dxa"/>
            <w:vAlign w:val="center"/>
          </w:tcPr>
          <w:p w14:paraId="23F65E9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不提供水泵</w:t>
            </w:r>
          </w:p>
        </w:tc>
        <w:tc>
          <w:tcPr>
            <w:tcW w:w="771" w:type="dxa"/>
            <w:vAlign w:val="center"/>
          </w:tcPr>
          <w:p w14:paraId="0103997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4.60</w:t>
            </w:r>
          </w:p>
        </w:tc>
        <w:tc>
          <w:tcPr>
            <w:tcW w:w="771" w:type="dxa"/>
            <w:vAlign w:val="center"/>
          </w:tcPr>
          <w:p w14:paraId="73AFE39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4.40</w:t>
            </w:r>
          </w:p>
        </w:tc>
        <w:tc>
          <w:tcPr>
            <w:tcW w:w="771" w:type="dxa"/>
            <w:vAlign w:val="center"/>
          </w:tcPr>
          <w:p w14:paraId="5497AA03">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4.10</w:t>
            </w:r>
          </w:p>
        </w:tc>
        <w:tc>
          <w:tcPr>
            <w:tcW w:w="771" w:type="dxa"/>
            <w:vAlign w:val="center"/>
          </w:tcPr>
          <w:p w14:paraId="3358E118">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3.90</w:t>
            </w:r>
          </w:p>
        </w:tc>
        <w:tc>
          <w:tcPr>
            <w:tcW w:w="771" w:type="dxa"/>
            <w:vAlign w:val="center"/>
          </w:tcPr>
          <w:p w14:paraId="3E3F5143">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3.70</w:t>
            </w:r>
          </w:p>
        </w:tc>
      </w:tr>
      <w:tr w14:paraId="61BB7915">
        <w:trPr>
          <w:trHeight w:val="0" w:hRule="atLeast"/>
          <w:jc w:val="center"/>
        </w:trPr>
        <w:tc>
          <w:tcPr>
            <w:tcW w:w="1514" w:type="dxa"/>
            <w:vMerge w:val="continue"/>
            <w:vAlign w:val="center"/>
          </w:tcPr>
          <w:p w14:paraId="6296A51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Merge w:val="continue"/>
            <w:vAlign w:val="center"/>
          </w:tcPr>
          <w:p w14:paraId="47808BD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361" w:type="dxa"/>
            <w:vMerge w:val="continue"/>
            <w:vAlign w:val="center"/>
          </w:tcPr>
          <w:p w14:paraId="6AFE94B0">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644" w:type="dxa"/>
            <w:vAlign w:val="center"/>
          </w:tcPr>
          <w:p w14:paraId="55D226F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提供水泵</w:t>
            </w:r>
          </w:p>
        </w:tc>
        <w:tc>
          <w:tcPr>
            <w:tcW w:w="771" w:type="dxa"/>
            <w:vAlign w:val="center"/>
          </w:tcPr>
          <w:p w14:paraId="674866AC">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4.50</w:t>
            </w:r>
          </w:p>
        </w:tc>
        <w:tc>
          <w:tcPr>
            <w:tcW w:w="771" w:type="dxa"/>
            <w:vAlign w:val="center"/>
          </w:tcPr>
          <w:p w14:paraId="275CF48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4.30</w:t>
            </w:r>
          </w:p>
        </w:tc>
        <w:tc>
          <w:tcPr>
            <w:tcW w:w="771" w:type="dxa"/>
            <w:vAlign w:val="center"/>
          </w:tcPr>
          <w:p w14:paraId="0BA5616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4.00</w:t>
            </w:r>
          </w:p>
        </w:tc>
        <w:tc>
          <w:tcPr>
            <w:tcW w:w="771" w:type="dxa"/>
            <w:vAlign w:val="center"/>
          </w:tcPr>
          <w:p w14:paraId="5C93D0E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3.80</w:t>
            </w:r>
          </w:p>
        </w:tc>
        <w:tc>
          <w:tcPr>
            <w:tcW w:w="771" w:type="dxa"/>
            <w:vAlign w:val="center"/>
          </w:tcPr>
          <w:p w14:paraId="213BF07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3.60</w:t>
            </w:r>
          </w:p>
        </w:tc>
      </w:tr>
      <w:tr w14:paraId="2E56A2DC">
        <w:trPr>
          <w:trHeight w:val="0" w:hRule="atLeast"/>
          <w:jc w:val="center"/>
        </w:trPr>
        <w:tc>
          <w:tcPr>
            <w:tcW w:w="1514" w:type="dxa"/>
            <w:vMerge w:val="continue"/>
            <w:vAlign w:val="center"/>
          </w:tcPr>
          <w:p w14:paraId="33F0E6A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Merge w:val="restart"/>
            <w:vAlign w:val="center"/>
          </w:tcPr>
          <w:p w14:paraId="184CD71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低温型</w:t>
            </w:r>
          </w:p>
        </w:tc>
        <w:tc>
          <w:tcPr>
            <w:tcW w:w="3005" w:type="dxa"/>
            <w:gridSpan w:val="2"/>
            <w:vAlign w:val="center"/>
          </w:tcPr>
          <w:p w14:paraId="0F01642C">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一次加热</w:t>
            </w:r>
          </w:p>
        </w:tc>
        <w:tc>
          <w:tcPr>
            <w:tcW w:w="771" w:type="dxa"/>
            <w:vAlign w:val="center"/>
          </w:tcPr>
          <w:p w14:paraId="49F1EAF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3.90</w:t>
            </w:r>
          </w:p>
        </w:tc>
        <w:tc>
          <w:tcPr>
            <w:tcW w:w="771" w:type="dxa"/>
            <w:vAlign w:val="center"/>
          </w:tcPr>
          <w:p w14:paraId="2E58ECA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3.70</w:t>
            </w:r>
          </w:p>
        </w:tc>
        <w:tc>
          <w:tcPr>
            <w:tcW w:w="771" w:type="dxa"/>
            <w:vAlign w:val="center"/>
          </w:tcPr>
          <w:p w14:paraId="3181F53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3.50</w:t>
            </w:r>
          </w:p>
        </w:tc>
        <w:tc>
          <w:tcPr>
            <w:tcW w:w="771" w:type="dxa"/>
            <w:vAlign w:val="center"/>
          </w:tcPr>
          <w:p w14:paraId="7B1F5FB2">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3.30</w:t>
            </w:r>
          </w:p>
        </w:tc>
        <w:tc>
          <w:tcPr>
            <w:tcW w:w="771" w:type="dxa"/>
            <w:vAlign w:val="center"/>
          </w:tcPr>
          <w:p w14:paraId="42044DE5">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3.10</w:t>
            </w:r>
          </w:p>
        </w:tc>
      </w:tr>
      <w:tr w14:paraId="01565087">
        <w:trPr>
          <w:trHeight w:val="0" w:hRule="atLeast"/>
          <w:jc w:val="center"/>
        </w:trPr>
        <w:tc>
          <w:tcPr>
            <w:tcW w:w="1514" w:type="dxa"/>
            <w:vMerge w:val="continue"/>
            <w:vAlign w:val="center"/>
          </w:tcPr>
          <w:p w14:paraId="1CFAF2B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Merge w:val="continue"/>
            <w:vAlign w:val="center"/>
          </w:tcPr>
          <w:p w14:paraId="69C982D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361" w:type="dxa"/>
            <w:vMerge w:val="restart"/>
            <w:vAlign w:val="center"/>
          </w:tcPr>
          <w:p w14:paraId="03776E9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r>
              <w:rPr>
                <w:rFonts w:hint="default"/>
                <w:lang w:val="en-US" w:eastAsia="zh-CN"/>
              </w:rPr>
              <w:t>循环加热</w:t>
            </w:r>
          </w:p>
        </w:tc>
        <w:tc>
          <w:tcPr>
            <w:tcW w:w="1644" w:type="dxa"/>
            <w:vAlign w:val="center"/>
          </w:tcPr>
          <w:p w14:paraId="5B5DCD8C">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不提供水泵</w:t>
            </w:r>
          </w:p>
        </w:tc>
        <w:tc>
          <w:tcPr>
            <w:tcW w:w="771" w:type="dxa"/>
            <w:vAlign w:val="center"/>
          </w:tcPr>
          <w:p w14:paraId="36B4500C">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3.90</w:t>
            </w:r>
          </w:p>
        </w:tc>
        <w:tc>
          <w:tcPr>
            <w:tcW w:w="771" w:type="dxa"/>
            <w:vAlign w:val="center"/>
          </w:tcPr>
          <w:p w14:paraId="25289BB6">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3.70</w:t>
            </w:r>
          </w:p>
        </w:tc>
        <w:tc>
          <w:tcPr>
            <w:tcW w:w="771" w:type="dxa"/>
            <w:vAlign w:val="center"/>
          </w:tcPr>
          <w:p w14:paraId="21FA2A5C">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3.50</w:t>
            </w:r>
          </w:p>
        </w:tc>
        <w:tc>
          <w:tcPr>
            <w:tcW w:w="771" w:type="dxa"/>
            <w:vAlign w:val="center"/>
          </w:tcPr>
          <w:p w14:paraId="0CD1596B">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3.30</w:t>
            </w:r>
          </w:p>
        </w:tc>
        <w:tc>
          <w:tcPr>
            <w:tcW w:w="771" w:type="dxa"/>
            <w:vAlign w:val="center"/>
          </w:tcPr>
          <w:p w14:paraId="4A7648B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3.10</w:t>
            </w:r>
          </w:p>
        </w:tc>
      </w:tr>
      <w:tr w14:paraId="67D68EB7">
        <w:trPr>
          <w:trHeight w:val="0" w:hRule="atLeast"/>
          <w:jc w:val="center"/>
        </w:trPr>
        <w:tc>
          <w:tcPr>
            <w:tcW w:w="1514" w:type="dxa"/>
            <w:vMerge w:val="continue"/>
            <w:vAlign w:val="center"/>
          </w:tcPr>
          <w:p w14:paraId="7AF6C534">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062" w:type="dxa"/>
            <w:vMerge w:val="continue"/>
            <w:vAlign w:val="center"/>
          </w:tcPr>
          <w:p w14:paraId="720B1EAD">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361" w:type="dxa"/>
            <w:vMerge w:val="continue"/>
            <w:vAlign w:val="center"/>
          </w:tcPr>
          <w:p w14:paraId="267B189E">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center"/>
              <w:textAlignment w:val="auto"/>
              <w:rPr>
                <w:rFonts w:hint="default"/>
                <w:lang w:val="en-US" w:eastAsia="zh-CN"/>
              </w:rPr>
            </w:pPr>
          </w:p>
        </w:tc>
        <w:tc>
          <w:tcPr>
            <w:tcW w:w="1644" w:type="dxa"/>
            <w:vAlign w:val="center"/>
          </w:tcPr>
          <w:p w14:paraId="3CA4DA51">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提供水泵</w:t>
            </w:r>
          </w:p>
        </w:tc>
        <w:tc>
          <w:tcPr>
            <w:tcW w:w="771" w:type="dxa"/>
            <w:vAlign w:val="center"/>
          </w:tcPr>
          <w:p w14:paraId="1A3E6143">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left"/>
              <w:textAlignment w:val="auto"/>
              <w:rPr>
                <w:rFonts w:hint="default"/>
                <w:lang w:val="en-US" w:eastAsia="zh-CN"/>
              </w:rPr>
            </w:pPr>
            <w:r>
              <w:rPr>
                <w:rFonts w:hint="default"/>
                <w:lang w:val="en-US" w:eastAsia="zh-CN"/>
              </w:rPr>
              <w:t>3.80</w:t>
            </w:r>
          </w:p>
        </w:tc>
        <w:tc>
          <w:tcPr>
            <w:tcW w:w="771" w:type="dxa"/>
            <w:vAlign w:val="center"/>
          </w:tcPr>
          <w:p w14:paraId="468DC3B5">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3.60</w:t>
            </w:r>
          </w:p>
        </w:tc>
        <w:tc>
          <w:tcPr>
            <w:tcW w:w="771" w:type="dxa"/>
            <w:vAlign w:val="center"/>
          </w:tcPr>
          <w:p w14:paraId="15D18D3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3.40</w:t>
            </w:r>
          </w:p>
        </w:tc>
        <w:tc>
          <w:tcPr>
            <w:tcW w:w="771" w:type="dxa"/>
            <w:vAlign w:val="center"/>
          </w:tcPr>
          <w:p w14:paraId="7E94915F">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3.20</w:t>
            </w:r>
          </w:p>
        </w:tc>
        <w:tc>
          <w:tcPr>
            <w:tcW w:w="771" w:type="dxa"/>
            <w:vAlign w:val="center"/>
          </w:tcPr>
          <w:p w14:paraId="1852885A">
            <w:pPr>
              <w:pStyle w:val="40"/>
              <w:keepNext w:val="0"/>
              <w:keepLines w:val="0"/>
              <w:pageBreakBefore w:val="0"/>
              <w:widowControl w:val="0"/>
              <w:kinsoku/>
              <w:wordWrap/>
              <w:overflowPunct/>
              <w:topLinePunct w:val="0"/>
              <w:bidi w:val="0"/>
              <w:snapToGrid w:val="0"/>
              <w:spacing w:line="240" w:lineRule="auto"/>
              <w:ind w:left="0" w:leftChars="0" w:right="0" w:rightChars="0" w:firstLine="0" w:firstLineChars="0"/>
              <w:jc w:val="right"/>
              <w:textAlignment w:val="auto"/>
              <w:rPr>
                <w:rFonts w:hint="default"/>
                <w:lang w:val="en-US" w:eastAsia="zh-CN"/>
              </w:rPr>
            </w:pPr>
            <w:r>
              <w:rPr>
                <w:rFonts w:hint="default"/>
                <w:lang w:val="en-US" w:eastAsia="zh-CN"/>
              </w:rPr>
              <w:t>3.00</w:t>
            </w:r>
          </w:p>
        </w:tc>
      </w:tr>
    </w:tbl>
    <w:p w14:paraId="7FB6764A">
      <w:pPr>
        <w:pStyle w:val="4"/>
        <w:keepNext w:val="0"/>
        <w:keepLines w:val="0"/>
        <w:pageBreakBefore w:val="0"/>
        <w:widowControl w:val="0"/>
        <w:kinsoku/>
        <w:wordWrap/>
        <w:overflowPunct/>
        <w:topLinePunct w:val="0"/>
        <w:bidi w:val="0"/>
        <w:textAlignment w:val="auto"/>
        <w:rPr>
          <w:rFonts w:hint="eastAsia"/>
          <w:lang w:val="en-US" w:eastAsia="zh-CN"/>
        </w:rPr>
      </w:pPr>
      <m:oMath>
        <m:sSub>
          <m:sSubPr>
            <m:ctrlPr>
              <w:rPr>
                <w:rFonts w:hint="default" w:ascii="Cambria Math" w:hAnsi="Cambria Math" w:cs="Cambria Math"/>
              </w:rPr>
            </m:ctrlPr>
          </m:sSubPr>
          <m:e>
            <m:r>
              <m:rPr>
                <m:sty m:val="p"/>
              </m:rPr>
              <w:rPr>
                <w:rFonts w:hint="default" w:ascii="Cambria Math" w:hAnsi="Cambria Math" w:cs="Cambria Math"/>
                <w:lang w:val="en-US" w:eastAsia="zh-CN"/>
              </w:rPr>
              <m:t>EF</m:t>
            </m:r>
            <m:ctrlPr>
              <w:rPr>
                <w:rFonts w:hint="default" w:ascii="Cambria Math" w:hAnsi="Cambria Math" w:cs="Cambria Math"/>
              </w:rPr>
            </m:ctrlPr>
          </m:e>
          <m:sub>
            <m:r>
              <m:rPr>
                <m:sty m:val="p"/>
              </m:rPr>
              <w:rPr>
                <w:rFonts w:hint="default" w:ascii="Cambria Math" w:hAnsi="Cambria Math" w:cs="Cambria Math"/>
                <w:lang w:val="en-US" w:eastAsia="zh-CN"/>
              </w:rPr>
              <m:t>ng</m:t>
            </m:r>
            <m:ctrlPr>
              <w:rPr>
                <w:rFonts w:hint="default" w:ascii="Cambria Math" w:hAnsi="Cambria Math" w:cs="Cambria Math"/>
              </w:rPr>
            </m:ctrlPr>
          </m:sub>
        </m:sSub>
      </m:oMath>
      <w:r>
        <w:rPr>
          <w:rFonts w:hint="eastAsia"/>
          <w:lang w:val="en-US" w:eastAsia="zh-CN"/>
        </w:rPr>
        <w:t>：天然气碳排放因子</w:t>
      </w:r>
    </w:p>
    <w:p w14:paraId="6E5F1957">
      <w:pPr>
        <w:pStyle w:val="6"/>
        <w:keepNext w:val="0"/>
        <w:keepLines w:val="0"/>
        <w:pageBreakBefore w:val="0"/>
        <w:widowControl w:val="0"/>
        <w:kinsoku/>
        <w:wordWrap/>
        <w:overflowPunct/>
        <w:topLinePunct w:val="0"/>
        <w:bidi w:val="0"/>
        <w:textAlignment w:val="auto"/>
        <w:rPr>
          <w:rFonts w:hint="eastAsia" w:ascii="Times New Roman" w:hAnsi="Times New Roman" w:cs="Times New Roman"/>
          <w:lang w:val="en-US" w:eastAsia="zh-CN"/>
        </w:rPr>
      </w:pPr>
      <w:r>
        <w:rPr>
          <w:rFonts w:hint="eastAsia"/>
          <w:lang w:val="en-US" w:eastAsia="zh-CN"/>
        </w:rPr>
        <w:t>指单位体积天然气在完全燃烧后所产生的二氧化碳排放量。根据国家标准《建筑碳排放计算标准》（GB/T 51366-2019）附录A中的规定，天然气的单位热值碳排放因子缺省值为</w:t>
      </w:r>
      <w:r>
        <w:rPr>
          <w:rFonts w:hint="default" w:ascii="Times New Roman" w:hAnsi="Times New Roman" w:cs="Times New Roman"/>
          <w:lang w:val="en-US" w:eastAsia="zh-CN"/>
        </w:rPr>
        <w:t>55.54tCO</w:t>
      </w:r>
      <w:r>
        <w:rPr>
          <w:rFonts w:hint="default" w:ascii="Times New Roman" w:hAnsi="Times New Roman" w:eastAsia="微软雅黑" w:cs="Times New Roman"/>
          <w:lang w:val="en-US" w:eastAsia="zh-CN"/>
        </w:rPr>
        <w:t>₂</w:t>
      </w:r>
      <w:r>
        <w:rPr>
          <w:rFonts w:hint="default" w:ascii="Times New Roman" w:hAnsi="Times New Roman" w:cs="Times New Roman"/>
          <w:lang w:val="en-US" w:eastAsia="zh-CN"/>
        </w:rPr>
        <w:t>/TJ</w:t>
      </w:r>
      <w:r>
        <w:rPr>
          <w:rFonts w:hint="eastAsia"/>
          <w:lang w:val="en-US" w:eastAsia="zh-CN"/>
        </w:rPr>
        <w:t>。为了将其换算为基于体积的排放因子，需结合天然气的平均低位发热量进行计算。根据《综合能耗计算通则》（GB/T 2589-2020）天然气平均低位发热量38.979MJ/</w:t>
      </w:r>
      <w:r>
        <w:rPr>
          <w:rFonts w:hint="default" w:ascii="Times New Roman" w:hAnsi="Times New Roman" w:cs="Times New Roman"/>
          <w:lang w:val="en-US" w:eastAsia="zh-CN"/>
        </w:rPr>
        <w:t>m</w:t>
      </w:r>
      <w:r>
        <w:rPr>
          <w:rFonts w:hint="default" w:ascii="Times New Roman" w:hAnsi="Times New Roman" w:eastAsia="微软雅黑" w:cs="Times New Roman"/>
          <w:lang w:val="en-US" w:eastAsia="zh-CN"/>
        </w:rPr>
        <w:t>³</w:t>
      </w:r>
      <w:r>
        <w:rPr>
          <w:rFonts w:hint="eastAsia"/>
          <w:lang w:val="en-US" w:eastAsia="zh-CN"/>
        </w:rPr>
        <w:t>（即3.8979×10</w:t>
      </w:r>
      <w:r>
        <w:rPr>
          <w:rFonts w:hint="eastAsia"/>
          <w:vertAlign w:val="superscript"/>
          <w:lang w:val="en-US" w:eastAsia="zh-CN"/>
        </w:rPr>
        <w:t>-5</w:t>
      </w:r>
      <w:r>
        <w:rPr>
          <w:rFonts w:hint="eastAsia"/>
          <w:lang w:val="en-US" w:eastAsia="zh-CN"/>
        </w:rPr>
        <w:t>TJ/</w:t>
      </w:r>
      <w:r>
        <w:rPr>
          <w:rFonts w:hint="default" w:ascii="Times New Roman" w:hAnsi="Times New Roman" w:cs="Times New Roman"/>
          <w:lang w:val="en-US" w:eastAsia="zh-CN"/>
        </w:rPr>
        <w:t>m</w:t>
      </w:r>
      <w:r>
        <w:rPr>
          <w:rFonts w:hint="default" w:ascii="Times New Roman" w:hAnsi="Times New Roman" w:eastAsia="微软雅黑" w:cs="Times New Roman"/>
          <w:lang w:val="en-US" w:eastAsia="zh-CN"/>
        </w:rPr>
        <w:t>³</w:t>
      </w:r>
      <w:r>
        <w:rPr>
          <w:rFonts w:hint="eastAsia"/>
          <w:lang w:val="en-US" w:eastAsia="zh-CN"/>
        </w:rPr>
        <w:t>）。通过单位换算，天然气的碳排放因子最终确定为2.164×10</w:t>
      </w:r>
      <w:r>
        <w:rPr>
          <w:rFonts w:hint="eastAsia"/>
          <w:vertAlign w:val="superscript"/>
          <w:lang w:val="en-US" w:eastAsia="zh-CN"/>
        </w:rPr>
        <w:t>-3</w:t>
      </w:r>
      <w:r>
        <w:rPr>
          <w:rFonts w:hint="eastAsia"/>
          <w:lang w:val="en-US" w:eastAsia="zh-CN"/>
        </w:rPr>
        <w:t>t</w:t>
      </w:r>
      <w:r>
        <w:rPr>
          <w:rFonts w:hint="default" w:ascii="Times New Roman" w:hAnsi="Times New Roman" w:cs="Times New Roman"/>
          <w:lang w:val="en-US" w:eastAsia="zh-CN"/>
        </w:rPr>
        <w:t>CO</w:t>
      </w:r>
      <w:r>
        <w:rPr>
          <w:rFonts w:hint="default" w:ascii="Times New Roman" w:hAnsi="Times New Roman" w:eastAsia="微软雅黑" w:cs="Times New Roman"/>
          <w:lang w:val="en-US" w:eastAsia="zh-CN"/>
        </w:rPr>
        <w:t>₂</w:t>
      </w:r>
      <w:r>
        <w:rPr>
          <w:rFonts w:hint="eastAsia"/>
          <w:lang w:val="en-US" w:eastAsia="zh-CN"/>
        </w:rPr>
        <w:t>/</w:t>
      </w:r>
      <w:r>
        <w:rPr>
          <w:rFonts w:hint="default" w:ascii="Times New Roman" w:hAnsi="Times New Roman" w:cs="Times New Roman"/>
          <w:lang w:val="en-US" w:eastAsia="zh-CN"/>
        </w:rPr>
        <w:t>m</w:t>
      </w:r>
      <w:r>
        <w:rPr>
          <w:rFonts w:hint="default" w:ascii="Times New Roman" w:hAnsi="Times New Roman" w:eastAsia="微软雅黑" w:cs="Times New Roman"/>
          <w:lang w:val="en-US" w:eastAsia="zh-CN"/>
        </w:rPr>
        <w:t>³</w:t>
      </w:r>
      <w:r>
        <w:rPr>
          <w:rFonts w:hint="eastAsia" w:ascii="Times New Roman" w:hAnsi="Times New Roman" w:cs="Times New Roman"/>
          <w:lang w:val="en-US" w:eastAsia="zh-CN"/>
        </w:rPr>
        <w:t>。</w:t>
      </w:r>
    </w:p>
    <w:p w14:paraId="4487643F">
      <w:pPr>
        <w:pStyle w:val="2"/>
        <w:bidi w:val="0"/>
        <w:rPr>
          <w:rFonts w:hint="eastAsia"/>
        </w:rPr>
      </w:pPr>
      <w:r>
        <w:rPr>
          <w:rFonts w:hint="eastAsia"/>
          <w:lang w:val="en-US" w:eastAsia="zh-CN"/>
        </w:rPr>
        <w:t>事项说明</w:t>
      </w:r>
    </w:p>
    <w:p w14:paraId="2C4280F6">
      <w:pPr>
        <w:pStyle w:val="3"/>
        <w:bidi w:val="0"/>
        <w:rPr>
          <w:rFonts w:hint="eastAsia"/>
        </w:rPr>
      </w:pPr>
      <w:r>
        <w:rPr>
          <w:rFonts w:hint="eastAsia"/>
        </w:rPr>
        <w:t>主要试验（或验证）情况分析</w:t>
      </w:r>
    </w:p>
    <w:p w14:paraId="2578E90E">
      <w:pPr>
        <w:pStyle w:val="6"/>
        <w:bidi w:val="0"/>
        <w:rPr>
          <w:rFonts w:hint="eastAsia"/>
        </w:rPr>
      </w:pPr>
      <w:r>
        <w:rPr>
          <w:rFonts w:hint="eastAsia"/>
        </w:rPr>
        <w:t>暂无。</w:t>
      </w:r>
    </w:p>
    <w:p w14:paraId="0CF05F7C">
      <w:pPr>
        <w:pStyle w:val="3"/>
        <w:bidi w:val="0"/>
        <w:rPr>
          <w:rFonts w:hint="eastAsia"/>
        </w:rPr>
      </w:pPr>
      <w:r>
        <w:rPr>
          <w:rFonts w:hint="eastAsia"/>
        </w:rPr>
        <w:t>标准中涉及专利的情况</w:t>
      </w:r>
    </w:p>
    <w:p w14:paraId="153C3EB3">
      <w:pPr>
        <w:pStyle w:val="6"/>
        <w:bidi w:val="0"/>
        <w:rPr>
          <w:rFonts w:hint="eastAsia"/>
        </w:rPr>
      </w:pPr>
      <w:r>
        <w:rPr>
          <w:rFonts w:hint="eastAsia"/>
        </w:rPr>
        <w:t>暂无。</w:t>
      </w:r>
    </w:p>
    <w:p w14:paraId="477018FD">
      <w:pPr>
        <w:pStyle w:val="3"/>
        <w:bidi w:val="0"/>
        <w:rPr>
          <w:rFonts w:hint="eastAsia"/>
        </w:rPr>
      </w:pPr>
      <w:r>
        <w:rPr>
          <w:rFonts w:hint="eastAsia"/>
        </w:rPr>
        <w:t>预期达到的社会效益、对产业发展的作用的情况</w:t>
      </w:r>
    </w:p>
    <w:p w14:paraId="3AE46EB3">
      <w:pPr>
        <w:pStyle w:val="6"/>
        <w:bidi w:val="0"/>
        <w:rPr>
          <w:rFonts w:hint="eastAsia"/>
        </w:rPr>
      </w:pPr>
      <w:r>
        <w:rPr>
          <w:rFonts w:hint="eastAsia"/>
        </w:rPr>
        <w:t>本标准的制定参考了已经发布的国标和该专业领域内重点关注行业的标准，结合对减排场景的调研和收集相关数据，通过该标准能够较为公正、客观的反应公交出行行为碳减排量化。遵循本标准可以对公交出行行为碳减排相关方提供温室气体减排量核算的依据，也可提供给公民自我监测、管理的手段。</w:t>
      </w:r>
    </w:p>
    <w:p w14:paraId="0CDC5C26">
      <w:pPr>
        <w:pStyle w:val="3"/>
        <w:bidi w:val="0"/>
        <w:rPr>
          <w:rFonts w:hint="eastAsia"/>
        </w:rPr>
      </w:pPr>
      <w:r>
        <w:rPr>
          <w:rFonts w:hint="eastAsia"/>
        </w:rPr>
        <w:t>采用国际标准和国外先进标准情况，与国际、国外同类标准水平的对比情况，国内外关键指标对比分析或与测试的国外样品、样机的相关数据对比情况</w:t>
      </w:r>
    </w:p>
    <w:p w14:paraId="46D317EA">
      <w:pPr>
        <w:pStyle w:val="6"/>
        <w:bidi w:val="0"/>
        <w:rPr>
          <w:rFonts w:hint="eastAsia"/>
          <w:lang w:eastAsia="zh-CN"/>
        </w:rPr>
      </w:pPr>
      <w:r>
        <w:rPr>
          <w:rFonts w:hint="eastAsia"/>
        </w:rPr>
        <w:t>无</w:t>
      </w:r>
      <w:r>
        <w:rPr>
          <w:rFonts w:hint="eastAsia"/>
          <w:lang w:eastAsia="zh-CN"/>
        </w:rPr>
        <w:t>。</w:t>
      </w:r>
    </w:p>
    <w:p w14:paraId="4AAA6CA8">
      <w:pPr>
        <w:pStyle w:val="3"/>
        <w:bidi w:val="0"/>
        <w:rPr>
          <w:rFonts w:hint="eastAsia"/>
          <w:lang w:eastAsia="zh-CN"/>
        </w:rPr>
      </w:pPr>
      <w:r>
        <w:rPr>
          <w:rFonts w:hint="eastAsia"/>
          <w:lang w:eastAsia="zh-CN"/>
        </w:rPr>
        <w:t>在标准体系中的位置，与现行相关法律、法规、规章及相关标准，特别是强制性标准的协调性</w:t>
      </w:r>
    </w:p>
    <w:p w14:paraId="7D8DB0D5">
      <w:pPr>
        <w:pStyle w:val="6"/>
        <w:bidi w:val="0"/>
        <w:rPr>
          <w:rFonts w:hint="eastAsia"/>
          <w:lang w:eastAsia="zh-CN"/>
        </w:rPr>
      </w:pPr>
      <w:r>
        <w:rPr>
          <w:rFonts w:hint="eastAsia"/>
          <w:lang w:eastAsia="zh-CN"/>
        </w:rPr>
        <w:t>本标准属于团体标准，与现行法律、法规、规章和政策以及有关基础和相关标准不矛盾。</w:t>
      </w:r>
    </w:p>
    <w:p w14:paraId="5C84279D">
      <w:pPr>
        <w:pStyle w:val="3"/>
        <w:bidi w:val="0"/>
        <w:rPr>
          <w:rFonts w:hint="eastAsia"/>
          <w:lang w:eastAsia="zh-CN"/>
        </w:rPr>
      </w:pPr>
      <w:r>
        <w:rPr>
          <w:rFonts w:hint="eastAsia"/>
          <w:lang w:eastAsia="zh-CN"/>
        </w:rPr>
        <w:t>重大分歧意见的处理经过和依据</w:t>
      </w:r>
    </w:p>
    <w:p w14:paraId="41C9CF81">
      <w:pPr>
        <w:pStyle w:val="6"/>
        <w:bidi w:val="0"/>
        <w:rPr>
          <w:rFonts w:hint="eastAsia"/>
          <w:lang w:eastAsia="zh-CN"/>
        </w:rPr>
      </w:pPr>
      <w:r>
        <w:rPr>
          <w:rFonts w:hint="eastAsia"/>
          <w:lang w:eastAsia="zh-CN"/>
        </w:rPr>
        <w:t>本标准未产生重大分歧意见。</w:t>
      </w:r>
    </w:p>
    <w:p w14:paraId="6BCA01E5">
      <w:pPr>
        <w:pStyle w:val="3"/>
        <w:bidi w:val="0"/>
        <w:rPr>
          <w:rFonts w:hint="eastAsia"/>
          <w:lang w:eastAsia="zh-CN"/>
        </w:rPr>
      </w:pPr>
      <w:r>
        <w:rPr>
          <w:rFonts w:hint="eastAsia"/>
          <w:lang w:eastAsia="zh-CN"/>
        </w:rPr>
        <w:t>标准性质的建议说明</w:t>
      </w:r>
    </w:p>
    <w:p w14:paraId="5729DD74">
      <w:pPr>
        <w:pStyle w:val="6"/>
        <w:bidi w:val="0"/>
        <w:rPr>
          <w:rFonts w:hint="eastAsia"/>
          <w:lang w:eastAsia="zh-CN"/>
        </w:rPr>
      </w:pPr>
      <w:r>
        <w:rPr>
          <w:rFonts w:hint="eastAsia"/>
          <w:lang w:eastAsia="zh-CN"/>
        </w:rPr>
        <w:t>本标准属于团体标准，供协会会员和社会自愿使用。</w:t>
      </w:r>
    </w:p>
    <w:p w14:paraId="37982788">
      <w:pPr>
        <w:pStyle w:val="3"/>
        <w:bidi w:val="0"/>
        <w:rPr>
          <w:rFonts w:hint="eastAsia"/>
          <w:lang w:eastAsia="zh-CN"/>
        </w:rPr>
      </w:pPr>
      <w:r>
        <w:rPr>
          <w:rFonts w:hint="eastAsia"/>
          <w:lang w:eastAsia="zh-CN"/>
        </w:rPr>
        <w:t>贯彻标准的要求和措施建议</w:t>
      </w:r>
    </w:p>
    <w:p w14:paraId="6B1B1669">
      <w:pPr>
        <w:pStyle w:val="6"/>
        <w:bidi w:val="0"/>
        <w:rPr>
          <w:rFonts w:hint="eastAsia"/>
          <w:lang w:eastAsia="zh-CN"/>
        </w:rPr>
      </w:pPr>
      <w:r>
        <w:rPr>
          <w:rFonts w:hint="eastAsia"/>
          <w:lang w:eastAsia="zh-CN"/>
        </w:rPr>
        <w:t>本标准为首次发布。</w:t>
      </w:r>
    </w:p>
    <w:p w14:paraId="632BD23E">
      <w:pPr>
        <w:pStyle w:val="3"/>
        <w:bidi w:val="0"/>
        <w:rPr>
          <w:rFonts w:hint="eastAsia"/>
          <w:lang w:eastAsia="zh-CN"/>
        </w:rPr>
      </w:pPr>
      <w:r>
        <w:rPr>
          <w:rFonts w:hint="eastAsia"/>
          <w:lang w:eastAsia="zh-CN"/>
        </w:rPr>
        <w:t>废止现行相关标准的建议</w:t>
      </w:r>
    </w:p>
    <w:p w14:paraId="081CCC22">
      <w:pPr>
        <w:pStyle w:val="6"/>
        <w:bidi w:val="0"/>
        <w:rPr>
          <w:rFonts w:hint="eastAsia" w:ascii="Times New Roman" w:hAnsi="Times New Roman" w:cs="Times New Roman"/>
          <w:lang w:val="en-US" w:eastAsia="zh-CN"/>
        </w:rPr>
      </w:pPr>
      <w:r>
        <w:rPr>
          <w:rFonts w:hint="eastAsia"/>
          <w:lang w:eastAsia="zh-CN"/>
        </w:rPr>
        <w:t>无。</w:t>
      </w:r>
    </w:p>
    <w:sectPr>
      <w:footerReference r:id="rId8" w:type="default"/>
      <w:footerReference r:id="rId9" w:type="even"/>
      <w:pgSz w:w="11906" w:h="16838"/>
      <w:pgMar w:top="2098" w:right="1247" w:bottom="1758" w:left="1588" w:header="1134" w:footer="1503" w:gutter="0"/>
      <w:pgNumType w:start="1"/>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CC"/>
    <w:family w:val="roman"/>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楷体_GB2312">
    <w:altName w:val="汉仪楷体简"/>
    <w:panose1 w:val="02010609030101010101"/>
    <w:charset w:val="86"/>
    <w:family w:val="modern"/>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楷体">
    <w:altName w:val="汉仪楷体KW"/>
    <w:panose1 w:val="02010609060101010101"/>
    <w:charset w:val="86"/>
    <w:family w:val="modern"/>
    <w:pitch w:val="default"/>
    <w:sig w:usb0="00000000" w:usb1="00000000" w:usb2="00000016" w:usb3="00000000" w:csb0="00040001" w:csb1="00000000"/>
  </w:font>
  <w:font w:name="Calibri Light">
    <w:altName w:val="Helvetica Neue"/>
    <w:panose1 w:val="020F0302020204030204"/>
    <w:charset w:val="00"/>
    <w:family w:val="auto"/>
    <w:pitch w:val="default"/>
    <w:sig w:usb0="00000000" w:usb1="00000000" w:usb2="00000009" w:usb3="00000000" w:csb0="200001FF" w:csb1="00000000"/>
  </w:font>
  <w:font w:name="Cambria Math">
    <w:altName w:val="Kingsoft Math"/>
    <w:panose1 w:val="02040503050406030204"/>
    <w:charset w:val="00"/>
    <w:family w:val="roman"/>
    <w:pitch w:val="default"/>
    <w:sig w:usb0="00000000" w:usb1="00000000" w:usb2="02000000" w:usb3="00000000" w:csb0="2000019F" w:csb1="00000000"/>
  </w:font>
  <w:font w:name="微软雅黑">
    <w:altName w:val="汉仪旗黑"/>
    <w:panose1 w:val="020B0503020204020204"/>
    <w:charset w:val="86"/>
    <w:family w:val="auto"/>
    <w:pitch w:val="default"/>
    <w:sig w:usb0="00000000" w:usb1="00000000" w:usb2="00000016" w:usb3="00000000" w:csb0="0004001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冬青黑体简体中文">
    <w:panose1 w:val="020B0300000000000000"/>
    <w:charset w:val="86"/>
    <w:family w:val="auto"/>
    <w:pitch w:val="default"/>
    <w:sig w:usb0="A00002BF" w:usb1="1ACF7CFA" w:usb2="00000016" w:usb3="00000000" w:csb0="00060007" w:csb1="00000000"/>
  </w:font>
  <w:font w:name="方正仿宋_GBK">
    <w:panose1 w:val="02000000000000000000"/>
    <w:charset w:val="86"/>
    <w:family w:val="auto"/>
    <w:pitch w:val="default"/>
    <w:sig w:usb0="A00002BF" w:usb1="38CF7CFA" w:usb2="00082016" w:usb3="00000000" w:csb0="00040001" w:csb1="00000000"/>
  </w:font>
  <w:font w:name="汉仪楷体简">
    <w:panose1 w:val="02010600000101010101"/>
    <w:charset w:val="86"/>
    <w:family w:val="auto"/>
    <w:pitch w:val="default"/>
    <w:sig w:usb0="00000001" w:usb1="080E0800" w:usb2="00000002" w:usb3="00000000" w:csb0="00040000" w:csb1="00000000"/>
  </w:font>
  <w:font w:name="Kingsoft Math">
    <w:panose1 w:val="02040503050406030204"/>
    <w:charset w:val="00"/>
    <w:family w:val="auto"/>
    <w:pitch w:val="default"/>
    <w:sig w:usb0="80000087" w:usb1="00002068" w:usb2="00000000" w:usb3="00000000" w:csb0="2000019F" w:csb1="00000000"/>
  </w:font>
  <w:font w:name="Helvetica Neue">
    <w:panose1 w:val="02000503000000020004"/>
    <w:charset w:val="00"/>
    <w:family w:val="auto"/>
    <w:pitch w:val="default"/>
    <w:sig w:usb0="E50002FF" w:usb1="500079DB" w:usb2="00000010" w:usb3="00000000" w:csb0="00000000" w:csb1="00000000"/>
  </w:font>
  <w:font w:name="DejaVu Math TeX Gyre">
    <w:panose1 w:val="02000503000000000000"/>
    <w:charset w:val="00"/>
    <w:family w:val="auto"/>
    <w:pitch w:val="default"/>
    <w:sig w:usb0="A10000EF" w:usb1="4201F9EE" w:usb2="02000000" w:usb3="00000000" w:csb0="60000193" w:csb1="0DD40000"/>
  </w:font>
  <w:font w:name="宋体-简">
    <w:panose1 w:val="02010800040101010101"/>
    <w:charset w:val="86"/>
    <w:family w:val="auto"/>
    <w:pitch w:val="default"/>
    <w:sig w:usb0="00000001" w:usb1="080F0000" w:usb2="00000000" w:usb3="00000000" w:csb0="00040000" w:csb1="00000000"/>
  </w:font>
  <w:font w:name="汉仪旗黑">
    <w:panose1 w:val="00020600040101010101"/>
    <w:charset w:val="86"/>
    <w:family w:val="auto"/>
    <w:pitch w:val="default"/>
    <w:sig w:usb0="A00002BF" w:usb1="1ACF7CFA" w:usb2="00000016" w:usb3="00000000" w:csb0="0004009F" w:csb1="DFD70000"/>
  </w:font>
  <w:font w:name="Kingsoft Sign">
    <w:panose1 w:val="05050102010706020507"/>
    <w:charset w:val="00"/>
    <w:family w:val="auto"/>
    <w:pitch w:val="default"/>
    <w:sig w:usb0="00000000" w:usb1="10000000" w:usb2="00000000" w:usb3="00000000" w:csb0="00000001"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6509"/>
      <w:docPartObj>
        <w:docPartGallery w:val="autotext"/>
      </w:docPartObj>
    </w:sdtPr>
    <w:sdtContent>
      <w:sdt>
        <w:sdtPr>
          <w:id w:val="147478513"/>
          <w:docPartObj>
            <w:docPartGallery w:val="autotext"/>
          </w:docPartObj>
        </w:sdtPr>
        <w:sdtContent>
          <w:p w14:paraId="780DAEF4">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0944"/>
      <w:docPartObj>
        <w:docPartGallery w:val="autotext"/>
      </w:docPartObj>
    </w:sdtPr>
    <w:sdtContent>
      <w:p w14:paraId="04F8ACCD">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9850149"/>
      <w:docPartObj>
        <w:docPartGallery w:val="autotext"/>
      </w:docPartObj>
    </w:sdtPr>
    <w:sdtContent>
      <w:sdt>
        <w:sdtPr>
          <w:id w:val="840666827"/>
          <w:docPartObj>
            <w:docPartGallery w:val="autotext"/>
          </w:docPartObj>
        </w:sdtPr>
        <w:sdtContent>
          <w:p w14:paraId="409E5F20">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- 71 -</w:t>
            </w:r>
            <w:r>
              <w:rPr>
                <w:rFonts w:ascii="宋体" w:hAnsi="宋体" w:eastAsia="宋体"/>
                <w:sz w:val="28"/>
                <w:szCs w:val="28"/>
              </w:rPr>
              <w:fldChar w:fldCharType="end"/>
            </w: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0696592"/>
      <w:docPartObj>
        <w:docPartGallery w:val="autotext"/>
      </w:docPartObj>
    </w:sdtPr>
    <w:sdtContent>
      <w:p w14:paraId="021B5B35">
        <w:pPr>
          <w:pStyle w:val="18"/>
          <w:jc w:val="center"/>
          <w:rPr>
            <w:rFonts w:hint="eastAsia"/>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rPr>
          <w:t>- 1 -</w:t>
        </w:r>
        <w:r>
          <w:rPr>
            <w:rFonts w:ascii="宋体" w:hAnsi="宋体" w:eastAsia="宋体"/>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935A2">
    <w:pPr>
      <w:pStyle w:val="1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410C92"/>
    <w:multiLevelType w:val="multilevel"/>
    <w:tmpl w:val="41410C92"/>
    <w:lvl w:ilvl="0" w:tentative="0">
      <w:start w:val="1"/>
      <w:numFmt w:val="chineseCountingThousand"/>
      <w:pStyle w:val="2"/>
      <w:suff w:val="nothing"/>
      <w:lvlText w:val="%1、"/>
      <w:lvlJc w:val="left"/>
      <w:pPr>
        <w:ind w:left="420" w:firstLine="0"/>
      </w:pPr>
      <w:rPr>
        <w:rFonts w:hint="eastAsia"/>
      </w:rPr>
    </w:lvl>
    <w:lvl w:ilvl="1" w:tentative="0">
      <w:start w:val="1"/>
      <w:numFmt w:val="chineseCountingThousand"/>
      <w:pStyle w:val="3"/>
      <w:suff w:val="nothing"/>
      <w:lvlText w:val="（%2）"/>
      <w:lvlJc w:val="left"/>
      <w:pPr>
        <w:ind w:left="420" w:firstLine="0"/>
      </w:pPr>
      <w:rPr>
        <w:rFonts w:hint="eastAsia"/>
      </w:rPr>
    </w:lvl>
    <w:lvl w:ilvl="2" w:tentative="0">
      <w:start w:val="1"/>
      <w:numFmt w:val="decimal"/>
      <w:pStyle w:val="4"/>
      <w:suff w:val="nothing"/>
      <w:lvlText w:val="%3."/>
      <w:lvlJc w:val="left"/>
      <w:pPr>
        <w:ind w:left="420" w:firstLine="0"/>
      </w:pPr>
      <w:rPr>
        <w:rFonts w:hint="eastAsia"/>
      </w:rPr>
    </w:lvl>
    <w:lvl w:ilvl="3" w:tentative="0">
      <w:start w:val="1"/>
      <w:numFmt w:val="decimal"/>
      <w:pStyle w:val="5"/>
      <w:suff w:val="nothing"/>
      <w:lvlText w:val="（%4）"/>
      <w:lvlJc w:val="left"/>
      <w:pPr>
        <w:ind w:left="420" w:firstLine="0"/>
      </w:pPr>
    </w:lvl>
    <w:lvl w:ilvl="4" w:tentative="0">
      <w:start w:val="1"/>
      <w:numFmt w:val="upperLetter"/>
      <w:suff w:val="nothing"/>
      <w:lvlText w:val="%5."/>
      <w:lvlJc w:val="left"/>
      <w:pPr>
        <w:ind w:left="420" w:firstLine="0"/>
      </w:pPr>
      <w:rPr>
        <w:rFonts w:hint="eastAsia"/>
      </w:rPr>
    </w:lvl>
    <w:lvl w:ilvl="5" w:tentative="0">
      <w:start w:val="1"/>
      <w:numFmt w:val="lowerLetter"/>
      <w:suff w:val="nothing"/>
      <w:lvlText w:val="%6."/>
      <w:lvlJc w:val="left"/>
      <w:pPr>
        <w:ind w:left="420" w:firstLine="0"/>
      </w:pPr>
      <w:rPr>
        <w:rFonts w:hint="eastAsia"/>
      </w:rPr>
    </w:lvl>
    <w:lvl w:ilvl="6" w:tentative="0">
      <w:start w:val="1"/>
      <w:numFmt w:val="upperRoman"/>
      <w:suff w:val="nothing"/>
      <w:lvlText w:val="%7."/>
      <w:lvlJc w:val="left"/>
      <w:pPr>
        <w:ind w:left="420" w:firstLine="0"/>
      </w:pPr>
      <w:rPr>
        <w:rFonts w:hint="eastAsia"/>
      </w:rPr>
    </w:lvl>
    <w:lvl w:ilvl="7" w:tentative="0">
      <w:start w:val="1"/>
      <w:numFmt w:val="lowerRoman"/>
      <w:suff w:val="nothing"/>
      <w:lvlText w:val="%8)"/>
      <w:lvlJc w:val="left"/>
      <w:pPr>
        <w:ind w:left="420" w:firstLine="0"/>
      </w:pPr>
      <w:rPr>
        <w:rFonts w:hint="eastAsia"/>
      </w:rPr>
    </w:lvl>
    <w:lvl w:ilvl="8" w:tentative="0">
      <w:start w:val="1"/>
      <w:numFmt w:val="bullet"/>
      <w:suff w:val="nothing"/>
      <w:lvlText w:val=""/>
      <w:lvlJc w:val="left"/>
      <w:pPr>
        <w:ind w:left="420" w:firstLine="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02B"/>
    <w:rsid w:val="00000E11"/>
    <w:rsid w:val="00000E24"/>
    <w:rsid w:val="00000EDC"/>
    <w:rsid w:val="00006BB1"/>
    <w:rsid w:val="00007AD4"/>
    <w:rsid w:val="00007FA2"/>
    <w:rsid w:val="00011068"/>
    <w:rsid w:val="00011386"/>
    <w:rsid w:val="00013F65"/>
    <w:rsid w:val="0001598E"/>
    <w:rsid w:val="00015F49"/>
    <w:rsid w:val="000160D8"/>
    <w:rsid w:val="0001650D"/>
    <w:rsid w:val="000224A8"/>
    <w:rsid w:val="000240FF"/>
    <w:rsid w:val="000268DF"/>
    <w:rsid w:val="0002790D"/>
    <w:rsid w:val="00032B5A"/>
    <w:rsid w:val="0004226E"/>
    <w:rsid w:val="00042A11"/>
    <w:rsid w:val="0004470D"/>
    <w:rsid w:val="000468B5"/>
    <w:rsid w:val="000477A5"/>
    <w:rsid w:val="00056066"/>
    <w:rsid w:val="00056417"/>
    <w:rsid w:val="000572F0"/>
    <w:rsid w:val="00061E0F"/>
    <w:rsid w:val="00062E1D"/>
    <w:rsid w:val="00064A66"/>
    <w:rsid w:val="00067F92"/>
    <w:rsid w:val="00071320"/>
    <w:rsid w:val="00072A4B"/>
    <w:rsid w:val="00072D50"/>
    <w:rsid w:val="00073AE3"/>
    <w:rsid w:val="00073CC2"/>
    <w:rsid w:val="0007438D"/>
    <w:rsid w:val="00076803"/>
    <w:rsid w:val="000777F6"/>
    <w:rsid w:val="000804E9"/>
    <w:rsid w:val="00084770"/>
    <w:rsid w:val="00085E2A"/>
    <w:rsid w:val="000860A7"/>
    <w:rsid w:val="000872C5"/>
    <w:rsid w:val="000902F8"/>
    <w:rsid w:val="000910FD"/>
    <w:rsid w:val="00093543"/>
    <w:rsid w:val="00095674"/>
    <w:rsid w:val="00095C84"/>
    <w:rsid w:val="0009704C"/>
    <w:rsid w:val="00097BE6"/>
    <w:rsid w:val="000A04F5"/>
    <w:rsid w:val="000A369C"/>
    <w:rsid w:val="000A3890"/>
    <w:rsid w:val="000A4D10"/>
    <w:rsid w:val="000A5FA0"/>
    <w:rsid w:val="000B1EB5"/>
    <w:rsid w:val="000B37FC"/>
    <w:rsid w:val="000B3A03"/>
    <w:rsid w:val="000B412B"/>
    <w:rsid w:val="000B6E02"/>
    <w:rsid w:val="000B7360"/>
    <w:rsid w:val="000C015D"/>
    <w:rsid w:val="000C1494"/>
    <w:rsid w:val="000C24B4"/>
    <w:rsid w:val="000C3279"/>
    <w:rsid w:val="000C366E"/>
    <w:rsid w:val="000C4D83"/>
    <w:rsid w:val="000C4EE0"/>
    <w:rsid w:val="000D165B"/>
    <w:rsid w:val="000D41DA"/>
    <w:rsid w:val="000D57DB"/>
    <w:rsid w:val="000E102A"/>
    <w:rsid w:val="000E2357"/>
    <w:rsid w:val="000E30E1"/>
    <w:rsid w:val="000E3F90"/>
    <w:rsid w:val="000E4E52"/>
    <w:rsid w:val="000E7251"/>
    <w:rsid w:val="000F0020"/>
    <w:rsid w:val="000F13BA"/>
    <w:rsid w:val="000F1B88"/>
    <w:rsid w:val="000F3789"/>
    <w:rsid w:val="000F4A1A"/>
    <w:rsid w:val="000F5041"/>
    <w:rsid w:val="000F5FFF"/>
    <w:rsid w:val="000F6D02"/>
    <w:rsid w:val="000F7345"/>
    <w:rsid w:val="0010251F"/>
    <w:rsid w:val="00103C64"/>
    <w:rsid w:val="00104AD8"/>
    <w:rsid w:val="00106A49"/>
    <w:rsid w:val="00110ABA"/>
    <w:rsid w:val="00111FBE"/>
    <w:rsid w:val="00112B0B"/>
    <w:rsid w:val="0011354A"/>
    <w:rsid w:val="00113FD8"/>
    <w:rsid w:val="00114AA0"/>
    <w:rsid w:val="00115923"/>
    <w:rsid w:val="0011593B"/>
    <w:rsid w:val="001159C5"/>
    <w:rsid w:val="00120A74"/>
    <w:rsid w:val="001214DD"/>
    <w:rsid w:val="00121EE3"/>
    <w:rsid w:val="00122582"/>
    <w:rsid w:val="00122EFD"/>
    <w:rsid w:val="00123C0F"/>
    <w:rsid w:val="0012431B"/>
    <w:rsid w:val="001256DF"/>
    <w:rsid w:val="00126293"/>
    <w:rsid w:val="001274F9"/>
    <w:rsid w:val="00127C25"/>
    <w:rsid w:val="0013072B"/>
    <w:rsid w:val="0013286C"/>
    <w:rsid w:val="001333AC"/>
    <w:rsid w:val="00134B18"/>
    <w:rsid w:val="001351F2"/>
    <w:rsid w:val="00136ABF"/>
    <w:rsid w:val="00137245"/>
    <w:rsid w:val="00141031"/>
    <w:rsid w:val="001434E5"/>
    <w:rsid w:val="00145478"/>
    <w:rsid w:val="00146BDB"/>
    <w:rsid w:val="0014768B"/>
    <w:rsid w:val="0015072A"/>
    <w:rsid w:val="00150C6D"/>
    <w:rsid w:val="00152962"/>
    <w:rsid w:val="00153016"/>
    <w:rsid w:val="001550F0"/>
    <w:rsid w:val="00157AF2"/>
    <w:rsid w:val="00160647"/>
    <w:rsid w:val="001608DB"/>
    <w:rsid w:val="001609A7"/>
    <w:rsid w:val="00162AC3"/>
    <w:rsid w:val="00163E71"/>
    <w:rsid w:val="0016702B"/>
    <w:rsid w:val="0016715A"/>
    <w:rsid w:val="00170377"/>
    <w:rsid w:val="001746D3"/>
    <w:rsid w:val="00174D18"/>
    <w:rsid w:val="00175A36"/>
    <w:rsid w:val="00175F8A"/>
    <w:rsid w:val="00181402"/>
    <w:rsid w:val="001823EC"/>
    <w:rsid w:val="00182BAE"/>
    <w:rsid w:val="0018410D"/>
    <w:rsid w:val="00186CB5"/>
    <w:rsid w:val="0018758B"/>
    <w:rsid w:val="00190735"/>
    <w:rsid w:val="001908C3"/>
    <w:rsid w:val="00191F28"/>
    <w:rsid w:val="001951BD"/>
    <w:rsid w:val="001A00C1"/>
    <w:rsid w:val="001A1B37"/>
    <w:rsid w:val="001A2A68"/>
    <w:rsid w:val="001A711F"/>
    <w:rsid w:val="001B03BA"/>
    <w:rsid w:val="001B0B31"/>
    <w:rsid w:val="001B1AC7"/>
    <w:rsid w:val="001B3BCB"/>
    <w:rsid w:val="001B45EF"/>
    <w:rsid w:val="001B5A99"/>
    <w:rsid w:val="001B6141"/>
    <w:rsid w:val="001C2E49"/>
    <w:rsid w:val="001D0E93"/>
    <w:rsid w:val="001D1B9C"/>
    <w:rsid w:val="001D23B2"/>
    <w:rsid w:val="001D2C0F"/>
    <w:rsid w:val="001D3B12"/>
    <w:rsid w:val="001D3D1A"/>
    <w:rsid w:val="001E1333"/>
    <w:rsid w:val="001E26C3"/>
    <w:rsid w:val="001E557A"/>
    <w:rsid w:val="001E612A"/>
    <w:rsid w:val="001E6574"/>
    <w:rsid w:val="001E7349"/>
    <w:rsid w:val="001F3C0E"/>
    <w:rsid w:val="001F5D1F"/>
    <w:rsid w:val="00202B09"/>
    <w:rsid w:val="002035DA"/>
    <w:rsid w:val="002041EF"/>
    <w:rsid w:val="002076C6"/>
    <w:rsid w:val="00212CCF"/>
    <w:rsid w:val="002132DF"/>
    <w:rsid w:val="002141BD"/>
    <w:rsid w:val="00214D27"/>
    <w:rsid w:val="002314E9"/>
    <w:rsid w:val="00237374"/>
    <w:rsid w:val="00237A15"/>
    <w:rsid w:val="0024380E"/>
    <w:rsid w:val="0024447F"/>
    <w:rsid w:val="00244D0A"/>
    <w:rsid w:val="00246DE6"/>
    <w:rsid w:val="0025034E"/>
    <w:rsid w:val="00251D76"/>
    <w:rsid w:val="002523F3"/>
    <w:rsid w:val="0025269B"/>
    <w:rsid w:val="00253DA2"/>
    <w:rsid w:val="002547AB"/>
    <w:rsid w:val="00254A6E"/>
    <w:rsid w:val="00255014"/>
    <w:rsid w:val="00256502"/>
    <w:rsid w:val="00256D14"/>
    <w:rsid w:val="00260E68"/>
    <w:rsid w:val="002647C2"/>
    <w:rsid w:val="00265745"/>
    <w:rsid w:val="00266B0C"/>
    <w:rsid w:val="002712A8"/>
    <w:rsid w:val="00273EDF"/>
    <w:rsid w:val="0027550F"/>
    <w:rsid w:val="002760E3"/>
    <w:rsid w:val="0029289D"/>
    <w:rsid w:val="00292AC9"/>
    <w:rsid w:val="002937BB"/>
    <w:rsid w:val="00293AD3"/>
    <w:rsid w:val="0029491D"/>
    <w:rsid w:val="002953DE"/>
    <w:rsid w:val="00296266"/>
    <w:rsid w:val="00296FBC"/>
    <w:rsid w:val="00297C90"/>
    <w:rsid w:val="002A4630"/>
    <w:rsid w:val="002A6469"/>
    <w:rsid w:val="002B00FC"/>
    <w:rsid w:val="002B0A5E"/>
    <w:rsid w:val="002B172D"/>
    <w:rsid w:val="002B37A1"/>
    <w:rsid w:val="002B5B4E"/>
    <w:rsid w:val="002C29AF"/>
    <w:rsid w:val="002C33F1"/>
    <w:rsid w:val="002C3E2C"/>
    <w:rsid w:val="002C5B9C"/>
    <w:rsid w:val="002C611A"/>
    <w:rsid w:val="002C6A71"/>
    <w:rsid w:val="002D483A"/>
    <w:rsid w:val="002D6DFF"/>
    <w:rsid w:val="002E10EA"/>
    <w:rsid w:val="002E18D2"/>
    <w:rsid w:val="002E18D6"/>
    <w:rsid w:val="002E27FD"/>
    <w:rsid w:val="002E5F02"/>
    <w:rsid w:val="002E73EF"/>
    <w:rsid w:val="002E7834"/>
    <w:rsid w:val="002F35E8"/>
    <w:rsid w:val="00301267"/>
    <w:rsid w:val="003014C6"/>
    <w:rsid w:val="00301FCA"/>
    <w:rsid w:val="003051E0"/>
    <w:rsid w:val="0030739E"/>
    <w:rsid w:val="0031024F"/>
    <w:rsid w:val="00311980"/>
    <w:rsid w:val="003124F0"/>
    <w:rsid w:val="00313141"/>
    <w:rsid w:val="00313624"/>
    <w:rsid w:val="003138D4"/>
    <w:rsid w:val="003158DA"/>
    <w:rsid w:val="00316498"/>
    <w:rsid w:val="00317007"/>
    <w:rsid w:val="00317445"/>
    <w:rsid w:val="00317871"/>
    <w:rsid w:val="00321CB1"/>
    <w:rsid w:val="00322503"/>
    <w:rsid w:val="003225DA"/>
    <w:rsid w:val="0032309B"/>
    <w:rsid w:val="00325A5B"/>
    <w:rsid w:val="00326BD5"/>
    <w:rsid w:val="003301F2"/>
    <w:rsid w:val="00330B9F"/>
    <w:rsid w:val="003321BF"/>
    <w:rsid w:val="0033277B"/>
    <w:rsid w:val="003336F1"/>
    <w:rsid w:val="0033399A"/>
    <w:rsid w:val="0033449A"/>
    <w:rsid w:val="00335B4B"/>
    <w:rsid w:val="00336AE1"/>
    <w:rsid w:val="00342C3E"/>
    <w:rsid w:val="00343594"/>
    <w:rsid w:val="00343806"/>
    <w:rsid w:val="003442DA"/>
    <w:rsid w:val="00345867"/>
    <w:rsid w:val="0034591F"/>
    <w:rsid w:val="00347918"/>
    <w:rsid w:val="003504B2"/>
    <w:rsid w:val="003543B5"/>
    <w:rsid w:val="0035496C"/>
    <w:rsid w:val="003570F0"/>
    <w:rsid w:val="00357911"/>
    <w:rsid w:val="00362651"/>
    <w:rsid w:val="00367A1E"/>
    <w:rsid w:val="003709E4"/>
    <w:rsid w:val="00370A69"/>
    <w:rsid w:val="00370C46"/>
    <w:rsid w:val="00372953"/>
    <w:rsid w:val="0037488E"/>
    <w:rsid w:val="00375CC0"/>
    <w:rsid w:val="00375E47"/>
    <w:rsid w:val="00377721"/>
    <w:rsid w:val="00377CA0"/>
    <w:rsid w:val="0038017A"/>
    <w:rsid w:val="0038320C"/>
    <w:rsid w:val="00383232"/>
    <w:rsid w:val="00383E4C"/>
    <w:rsid w:val="00385759"/>
    <w:rsid w:val="00387403"/>
    <w:rsid w:val="003879F4"/>
    <w:rsid w:val="00387CFB"/>
    <w:rsid w:val="0039021B"/>
    <w:rsid w:val="00392D19"/>
    <w:rsid w:val="003954C8"/>
    <w:rsid w:val="003961BC"/>
    <w:rsid w:val="00396818"/>
    <w:rsid w:val="003A0D6B"/>
    <w:rsid w:val="003A3AB3"/>
    <w:rsid w:val="003A5104"/>
    <w:rsid w:val="003A5753"/>
    <w:rsid w:val="003A61F2"/>
    <w:rsid w:val="003B1A8F"/>
    <w:rsid w:val="003B5057"/>
    <w:rsid w:val="003B5404"/>
    <w:rsid w:val="003B5531"/>
    <w:rsid w:val="003C0081"/>
    <w:rsid w:val="003C3172"/>
    <w:rsid w:val="003C4646"/>
    <w:rsid w:val="003C4C97"/>
    <w:rsid w:val="003C56CC"/>
    <w:rsid w:val="003C58DC"/>
    <w:rsid w:val="003C6A6C"/>
    <w:rsid w:val="003C7C24"/>
    <w:rsid w:val="003C7EAA"/>
    <w:rsid w:val="003D31F1"/>
    <w:rsid w:val="003D55F9"/>
    <w:rsid w:val="003D6216"/>
    <w:rsid w:val="003D75A5"/>
    <w:rsid w:val="003E02C3"/>
    <w:rsid w:val="003E20EC"/>
    <w:rsid w:val="003E2F2C"/>
    <w:rsid w:val="003E3099"/>
    <w:rsid w:val="003E3895"/>
    <w:rsid w:val="003E5229"/>
    <w:rsid w:val="003E79BB"/>
    <w:rsid w:val="003F0898"/>
    <w:rsid w:val="003F0995"/>
    <w:rsid w:val="003F484C"/>
    <w:rsid w:val="003F50DD"/>
    <w:rsid w:val="003F78C9"/>
    <w:rsid w:val="00401C7F"/>
    <w:rsid w:val="00402B6D"/>
    <w:rsid w:val="0040318C"/>
    <w:rsid w:val="00403E0F"/>
    <w:rsid w:val="00404EFD"/>
    <w:rsid w:val="00405F6A"/>
    <w:rsid w:val="004130EA"/>
    <w:rsid w:val="004164D4"/>
    <w:rsid w:val="004170B7"/>
    <w:rsid w:val="004171FD"/>
    <w:rsid w:val="0041778F"/>
    <w:rsid w:val="00417C63"/>
    <w:rsid w:val="004208E4"/>
    <w:rsid w:val="00422572"/>
    <w:rsid w:val="00422822"/>
    <w:rsid w:val="004245EB"/>
    <w:rsid w:val="00425459"/>
    <w:rsid w:val="004263BC"/>
    <w:rsid w:val="0042736E"/>
    <w:rsid w:val="0042786F"/>
    <w:rsid w:val="004301A4"/>
    <w:rsid w:val="0043140A"/>
    <w:rsid w:val="004368BF"/>
    <w:rsid w:val="00436D5C"/>
    <w:rsid w:val="00442EB0"/>
    <w:rsid w:val="0044388D"/>
    <w:rsid w:val="0044510A"/>
    <w:rsid w:val="00445B54"/>
    <w:rsid w:val="0044649D"/>
    <w:rsid w:val="004478DF"/>
    <w:rsid w:val="00447F65"/>
    <w:rsid w:val="004501A9"/>
    <w:rsid w:val="0045041C"/>
    <w:rsid w:val="00450C2F"/>
    <w:rsid w:val="0045131A"/>
    <w:rsid w:val="00452182"/>
    <w:rsid w:val="00452C24"/>
    <w:rsid w:val="00453DA7"/>
    <w:rsid w:val="00453F8B"/>
    <w:rsid w:val="00454E66"/>
    <w:rsid w:val="00461CD6"/>
    <w:rsid w:val="00464007"/>
    <w:rsid w:val="00465780"/>
    <w:rsid w:val="00470934"/>
    <w:rsid w:val="004747F7"/>
    <w:rsid w:val="00475E43"/>
    <w:rsid w:val="00476B27"/>
    <w:rsid w:val="00480D4E"/>
    <w:rsid w:val="00481C7C"/>
    <w:rsid w:val="00481DB1"/>
    <w:rsid w:val="004826BB"/>
    <w:rsid w:val="004837C7"/>
    <w:rsid w:val="00492712"/>
    <w:rsid w:val="00496807"/>
    <w:rsid w:val="00497B3F"/>
    <w:rsid w:val="00497FB9"/>
    <w:rsid w:val="004A1476"/>
    <w:rsid w:val="004A2137"/>
    <w:rsid w:val="004A3010"/>
    <w:rsid w:val="004A5EB5"/>
    <w:rsid w:val="004A778D"/>
    <w:rsid w:val="004B1DB6"/>
    <w:rsid w:val="004B3436"/>
    <w:rsid w:val="004B60AC"/>
    <w:rsid w:val="004C1A69"/>
    <w:rsid w:val="004C1D4B"/>
    <w:rsid w:val="004C27D6"/>
    <w:rsid w:val="004C3E49"/>
    <w:rsid w:val="004C46EB"/>
    <w:rsid w:val="004C5E52"/>
    <w:rsid w:val="004C76BA"/>
    <w:rsid w:val="004D26BD"/>
    <w:rsid w:val="004D2C6C"/>
    <w:rsid w:val="004D550D"/>
    <w:rsid w:val="004E0CA1"/>
    <w:rsid w:val="004E0D68"/>
    <w:rsid w:val="004E5A9E"/>
    <w:rsid w:val="004E770E"/>
    <w:rsid w:val="004E7C27"/>
    <w:rsid w:val="004F0807"/>
    <w:rsid w:val="004F237B"/>
    <w:rsid w:val="004F4047"/>
    <w:rsid w:val="004F73D5"/>
    <w:rsid w:val="004F78DF"/>
    <w:rsid w:val="005005B6"/>
    <w:rsid w:val="0050192B"/>
    <w:rsid w:val="00507015"/>
    <w:rsid w:val="00507343"/>
    <w:rsid w:val="00510CAF"/>
    <w:rsid w:val="0051264F"/>
    <w:rsid w:val="0051383B"/>
    <w:rsid w:val="00517431"/>
    <w:rsid w:val="005207C8"/>
    <w:rsid w:val="005242E3"/>
    <w:rsid w:val="00526789"/>
    <w:rsid w:val="00526953"/>
    <w:rsid w:val="00527989"/>
    <w:rsid w:val="00530E55"/>
    <w:rsid w:val="0053146D"/>
    <w:rsid w:val="00531941"/>
    <w:rsid w:val="0053300A"/>
    <w:rsid w:val="0053695D"/>
    <w:rsid w:val="00537187"/>
    <w:rsid w:val="00537449"/>
    <w:rsid w:val="005406B8"/>
    <w:rsid w:val="00540FCB"/>
    <w:rsid w:val="0054299F"/>
    <w:rsid w:val="005436DC"/>
    <w:rsid w:val="00545937"/>
    <w:rsid w:val="00546F64"/>
    <w:rsid w:val="00547570"/>
    <w:rsid w:val="00551374"/>
    <w:rsid w:val="00551F6E"/>
    <w:rsid w:val="005522A4"/>
    <w:rsid w:val="00552C56"/>
    <w:rsid w:val="00553DE4"/>
    <w:rsid w:val="00555A7C"/>
    <w:rsid w:val="00556013"/>
    <w:rsid w:val="00557DA2"/>
    <w:rsid w:val="00560E38"/>
    <w:rsid w:val="0056347C"/>
    <w:rsid w:val="005644F8"/>
    <w:rsid w:val="0056499F"/>
    <w:rsid w:val="00564C4E"/>
    <w:rsid w:val="005671FE"/>
    <w:rsid w:val="005676E1"/>
    <w:rsid w:val="00571DBA"/>
    <w:rsid w:val="00571DEC"/>
    <w:rsid w:val="005726E7"/>
    <w:rsid w:val="0057321D"/>
    <w:rsid w:val="00573383"/>
    <w:rsid w:val="005740A1"/>
    <w:rsid w:val="00576FA2"/>
    <w:rsid w:val="00580976"/>
    <w:rsid w:val="00580D5E"/>
    <w:rsid w:val="00581EDF"/>
    <w:rsid w:val="005853B5"/>
    <w:rsid w:val="00586430"/>
    <w:rsid w:val="0059049C"/>
    <w:rsid w:val="00591BD0"/>
    <w:rsid w:val="005938D0"/>
    <w:rsid w:val="00595A1B"/>
    <w:rsid w:val="00596ADE"/>
    <w:rsid w:val="005A0416"/>
    <w:rsid w:val="005A1ACD"/>
    <w:rsid w:val="005A273D"/>
    <w:rsid w:val="005A3E80"/>
    <w:rsid w:val="005A403B"/>
    <w:rsid w:val="005A7934"/>
    <w:rsid w:val="005B67A4"/>
    <w:rsid w:val="005C1538"/>
    <w:rsid w:val="005C2522"/>
    <w:rsid w:val="005C2C4D"/>
    <w:rsid w:val="005C577A"/>
    <w:rsid w:val="005C729E"/>
    <w:rsid w:val="005C7D33"/>
    <w:rsid w:val="005D13C1"/>
    <w:rsid w:val="005D468E"/>
    <w:rsid w:val="005D4CC4"/>
    <w:rsid w:val="005D4EAA"/>
    <w:rsid w:val="005D6461"/>
    <w:rsid w:val="005D7AF0"/>
    <w:rsid w:val="005E03B6"/>
    <w:rsid w:val="005E235C"/>
    <w:rsid w:val="005E4671"/>
    <w:rsid w:val="005E6E3B"/>
    <w:rsid w:val="005E70A4"/>
    <w:rsid w:val="005F1A02"/>
    <w:rsid w:val="005F63A1"/>
    <w:rsid w:val="005F64AA"/>
    <w:rsid w:val="006014BB"/>
    <w:rsid w:val="00606276"/>
    <w:rsid w:val="006069B4"/>
    <w:rsid w:val="006074FF"/>
    <w:rsid w:val="00610C11"/>
    <w:rsid w:val="00610D07"/>
    <w:rsid w:val="00611183"/>
    <w:rsid w:val="006125C7"/>
    <w:rsid w:val="0061298F"/>
    <w:rsid w:val="006133F2"/>
    <w:rsid w:val="00614436"/>
    <w:rsid w:val="00615A75"/>
    <w:rsid w:val="00616B7B"/>
    <w:rsid w:val="006200FE"/>
    <w:rsid w:val="006207B5"/>
    <w:rsid w:val="006219A6"/>
    <w:rsid w:val="00627E60"/>
    <w:rsid w:val="0063043D"/>
    <w:rsid w:val="00630C5E"/>
    <w:rsid w:val="00632219"/>
    <w:rsid w:val="006376C2"/>
    <w:rsid w:val="0064061C"/>
    <w:rsid w:val="00646DE5"/>
    <w:rsid w:val="0064738C"/>
    <w:rsid w:val="00650552"/>
    <w:rsid w:val="006521AF"/>
    <w:rsid w:val="00653343"/>
    <w:rsid w:val="00653434"/>
    <w:rsid w:val="00654072"/>
    <w:rsid w:val="00654498"/>
    <w:rsid w:val="006552DE"/>
    <w:rsid w:val="00656F90"/>
    <w:rsid w:val="00661049"/>
    <w:rsid w:val="006677CB"/>
    <w:rsid w:val="00667AC5"/>
    <w:rsid w:val="006701A0"/>
    <w:rsid w:val="00671F57"/>
    <w:rsid w:val="00672913"/>
    <w:rsid w:val="006760CB"/>
    <w:rsid w:val="00676FA6"/>
    <w:rsid w:val="006802FC"/>
    <w:rsid w:val="0068266B"/>
    <w:rsid w:val="00682DEC"/>
    <w:rsid w:val="00685275"/>
    <w:rsid w:val="00686486"/>
    <w:rsid w:val="00686EBD"/>
    <w:rsid w:val="006879F6"/>
    <w:rsid w:val="006905F9"/>
    <w:rsid w:val="00690FF9"/>
    <w:rsid w:val="00693FAF"/>
    <w:rsid w:val="00695E44"/>
    <w:rsid w:val="00696FD9"/>
    <w:rsid w:val="006A07F7"/>
    <w:rsid w:val="006A3C75"/>
    <w:rsid w:val="006A554B"/>
    <w:rsid w:val="006A5F3B"/>
    <w:rsid w:val="006A7B47"/>
    <w:rsid w:val="006A7DFE"/>
    <w:rsid w:val="006B02D6"/>
    <w:rsid w:val="006B218A"/>
    <w:rsid w:val="006B55A5"/>
    <w:rsid w:val="006B5CF6"/>
    <w:rsid w:val="006B7D05"/>
    <w:rsid w:val="006C1130"/>
    <w:rsid w:val="006C19CA"/>
    <w:rsid w:val="006C5071"/>
    <w:rsid w:val="006D2279"/>
    <w:rsid w:val="006D418C"/>
    <w:rsid w:val="006D595E"/>
    <w:rsid w:val="006F17FB"/>
    <w:rsid w:val="006F1D23"/>
    <w:rsid w:val="006F1DF0"/>
    <w:rsid w:val="006F1F05"/>
    <w:rsid w:val="006F2F22"/>
    <w:rsid w:val="006F411B"/>
    <w:rsid w:val="006F52AA"/>
    <w:rsid w:val="006F6347"/>
    <w:rsid w:val="006F71A5"/>
    <w:rsid w:val="006F74F3"/>
    <w:rsid w:val="006F75B8"/>
    <w:rsid w:val="006F7DB7"/>
    <w:rsid w:val="007000D5"/>
    <w:rsid w:val="0070082C"/>
    <w:rsid w:val="00705BCC"/>
    <w:rsid w:val="007064EE"/>
    <w:rsid w:val="00707CAF"/>
    <w:rsid w:val="007106F6"/>
    <w:rsid w:val="0071582C"/>
    <w:rsid w:val="00716A5D"/>
    <w:rsid w:val="00720600"/>
    <w:rsid w:val="0072358D"/>
    <w:rsid w:val="00724EAC"/>
    <w:rsid w:val="0072544C"/>
    <w:rsid w:val="0072601F"/>
    <w:rsid w:val="007264A7"/>
    <w:rsid w:val="0072706D"/>
    <w:rsid w:val="00727F0B"/>
    <w:rsid w:val="007339D7"/>
    <w:rsid w:val="00733BC9"/>
    <w:rsid w:val="007361FA"/>
    <w:rsid w:val="007366FE"/>
    <w:rsid w:val="007367AA"/>
    <w:rsid w:val="00736B5F"/>
    <w:rsid w:val="007409CF"/>
    <w:rsid w:val="00744364"/>
    <w:rsid w:val="007448BA"/>
    <w:rsid w:val="00746C25"/>
    <w:rsid w:val="007516A9"/>
    <w:rsid w:val="00751721"/>
    <w:rsid w:val="007553CC"/>
    <w:rsid w:val="00755A4E"/>
    <w:rsid w:val="00757214"/>
    <w:rsid w:val="00763743"/>
    <w:rsid w:val="00763B58"/>
    <w:rsid w:val="00764338"/>
    <w:rsid w:val="00764462"/>
    <w:rsid w:val="00764F84"/>
    <w:rsid w:val="00765C1F"/>
    <w:rsid w:val="007668DA"/>
    <w:rsid w:val="00770B5F"/>
    <w:rsid w:val="0077113E"/>
    <w:rsid w:val="0077315F"/>
    <w:rsid w:val="00774250"/>
    <w:rsid w:val="007745A2"/>
    <w:rsid w:val="007750FD"/>
    <w:rsid w:val="00775AB7"/>
    <w:rsid w:val="00775B9B"/>
    <w:rsid w:val="00776819"/>
    <w:rsid w:val="00781077"/>
    <w:rsid w:val="0078145B"/>
    <w:rsid w:val="00781596"/>
    <w:rsid w:val="00786623"/>
    <w:rsid w:val="00790204"/>
    <w:rsid w:val="0079600B"/>
    <w:rsid w:val="007A4D05"/>
    <w:rsid w:val="007A7A8C"/>
    <w:rsid w:val="007B0CE3"/>
    <w:rsid w:val="007B1E35"/>
    <w:rsid w:val="007B26A1"/>
    <w:rsid w:val="007B2AD2"/>
    <w:rsid w:val="007B2F6C"/>
    <w:rsid w:val="007B388F"/>
    <w:rsid w:val="007B5620"/>
    <w:rsid w:val="007C025F"/>
    <w:rsid w:val="007C2216"/>
    <w:rsid w:val="007C31B0"/>
    <w:rsid w:val="007C5CA2"/>
    <w:rsid w:val="007C7966"/>
    <w:rsid w:val="007D122D"/>
    <w:rsid w:val="007D144A"/>
    <w:rsid w:val="007D6962"/>
    <w:rsid w:val="007D703B"/>
    <w:rsid w:val="007D7682"/>
    <w:rsid w:val="007E0EAA"/>
    <w:rsid w:val="007E24FB"/>
    <w:rsid w:val="007E3923"/>
    <w:rsid w:val="007E66AF"/>
    <w:rsid w:val="007E68C3"/>
    <w:rsid w:val="007E6D0D"/>
    <w:rsid w:val="007E6D42"/>
    <w:rsid w:val="007E7B24"/>
    <w:rsid w:val="007F2BE9"/>
    <w:rsid w:val="007F2F92"/>
    <w:rsid w:val="007F3079"/>
    <w:rsid w:val="007F60E6"/>
    <w:rsid w:val="007F6941"/>
    <w:rsid w:val="007F73DF"/>
    <w:rsid w:val="008159BE"/>
    <w:rsid w:val="00816530"/>
    <w:rsid w:val="008200FE"/>
    <w:rsid w:val="00820321"/>
    <w:rsid w:val="00826CEE"/>
    <w:rsid w:val="008319F5"/>
    <w:rsid w:val="008330D4"/>
    <w:rsid w:val="00834D97"/>
    <w:rsid w:val="00835468"/>
    <w:rsid w:val="008369D0"/>
    <w:rsid w:val="008370D4"/>
    <w:rsid w:val="00841DFB"/>
    <w:rsid w:val="00843375"/>
    <w:rsid w:val="008440A5"/>
    <w:rsid w:val="008441A7"/>
    <w:rsid w:val="00845E55"/>
    <w:rsid w:val="00845F27"/>
    <w:rsid w:val="00847F02"/>
    <w:rsid w:val="008505FE"/>
    <w:rsid w:val="00852948"/>
    <w:rsid w:val="0085433A"/>
    <w:rsid w:val="00854BC3"/>
    <w:rsid w:val="00854E58"/>
    <w:rsid w:val="00863371"/>
    <w:rsid w:val="0086378A"/>
    <w:rsid w:val="00865625"/>
    <w:rsid w:val="00866B32"/>
    <w:rsid w:val="00871068"/>
    <w:rsid w:val="0087120C"/>
    <w:rsid w:val="008741DB"/>
    <w:rsid w:val="0087454C"/>
    <w:rsid w:val="00874910"/>
    <w:rsid w:val="00875102"/>
    <w:rsid w:val="008756E6"/>
    <w:rsid w:val="0087628D"/>
    <w:rsid w:val="0088119B"/>
    <w:rsid w:val="00883694"/>
    <w:rsid w:val="00887607"/>
    <w:rsid w:val="00891BB7"/>
    <w:rsid w:val="00894C50"/>
    <w:rsid w:val="00895271"/>
    <w:rsid w:val="00895D85"/>
    <w:rsid w:val="00895DD9"/>
    <w:rsid w:val="00896DA9"/>
    <w:rsid w:val="008A0A52"/>
    <w:rsid w:val="008A2208"/>
    <w:rsid w:val="008A3FE5"/>
    <w:rsid w:val="008A4567"/>
    <w:rsid w:val="008A61A4"/>
    <w:rsid w:val="008A6C14"/>
    <w:rsid w:val="008B1A94"/>
    <w:rsid w:val="008B3213"/>
    <w:rsid w:val="008B3DDB"/>
    <w:rsid w:val="008B609B"/>
    <w:rsid w:val="008B67D9"/>
    <w:rsid w:val="008B7AE7"/>
    <w:rsid w:val="008C1FDF"/>
    <w:rsid w:val="008C3643"/>
    <w:rsid w:val="008C4326"/>
    <w:rsid w:val="008C5AE0"/>
    <w:rsid w:val="008C5DB5"/>
    <w:rsid w:val="008C7AD2"/>
    <w:rsid w:val="008D1A16"/>
    <w:rsid w:val="008D1AED"/>
    <w:rsid w:val="008D3B0E"/>
    <w:rsid w:val="008D4499"/>
    <w:rsid w:val="008E14A1"/>
    <w:rsid w:val="008E78C5"/>
    <w:rsid w:val="008F1EFE"/>
    <w:rsid w:val="008F273C"/>
    <w:rsid w:val="008F275A"/>
    <w:rsid w:val="008F2CCD"/>
    <w:rsid w:val="008F384B"/>
    <w:rsid w:val="008F4EBC"/>
    <w:rsid w:val="008F6944"/>
    <w:rsid w:val="00900E46"/>
    <w:rsid w:val="009010D0"/>
    <w:rsid w:val="009039E3"/>
    <w:rsid w:val="00903F51"/>
    <w:rsid w:val="00903F76"/>
    <w:rsid w:val="00906E8C"/>
    <w:rsid w:val="00907336"/>
    <w:rsid w:val="009119E5"/>
    <w:rsid w:val="00912A5C"/>
    <w:rsid w:val="00912EE7"/>
    <w:rsid w:val="00913CF1"/>
    <w:rsid w:val="0091445B"/>
    <w:rsid w:val="00920A0D"/>
    <w:rsid w:val="009219EF"/>
    <w:rsid w:val="009236CC"/>
    <w:rsid w:val="00923CD1"/>
    <w:rsid w:val="00926787"/>
    <w:rsid w:val="00926D25"/>
    <w:rsid w:val="00927F08"/>
    <w:rsid w:val="00931465"/>
    <w:rsid w:val="00931826"/>
    <w:rsid w:val="00932CFA"/>
    <w:rsid w:val="009343AD"/>
    <w:rsid w:val="009353D7"/>
    <w:rsid w:val="00936CEB"/>
    <w:rsid w:val="00942211"/>
    <w:rsid w:val="009457D4"/>
    <w:rsid w:val="009459B3"/>
    <w:rsid w:val="0094752E"/>
    <w:rsid w:val="009479DA"/>
    <w:rsid w:val="00947CEC"/>
    <w:rsid w:val="00956A5F"/>
    <w:rsid w:val="0095779D"/>
    <w:rsid w:val="0096073C"/>
    <w:rsid w:val="00960A85"/>
    <w:rsid w:val="00960ACA"/>
    <w:rsid w:val="0096200B"/>
    <w:rsid w:val="00962946"/>
    <w:rsid w:val="00965F19"/>
    <w:rsid w:val="009708E8"/>
    <w:rsid w:val="0097298B"/>
    <w:rsid w:val="00973378"/>
    <w:rsid w:val="00973960"/>
    <w:rsid w:val="0097404A"/>
    <w:rsid w:val="009746FF"/>
    <w:rsid w:val="00976784"/>
    <w:rsid w:val="009778BE"/>
    <w:rsid w:val="009830E5"/>
    <w:rsid w:val="0098655E"/>
    <w:rsid w:val="00987226"/>
    <w:rsid w:val="00992272"/>
    <w:rsid w:val="00994879"/>
    <w:rsid w:val="00995367"/>
    <w:rsid w:val="00996CB7"/>
    <w:rsid w:val="009A12F5"/>
    <w:rsid w:val="009A7DAA"/>
    <w:rsid w:val="009B0B93"/>
    <w:rsid w:val="009B0C25"/>
    <w:rsid w:val="009B133A"/>
    <w:rsid w:val="009B3A2E"/>
    <w:rsid w:val="009C3575"/>
    <w:rsid w:val="009C3F22"/>
    <w:rsid w:val="009C46B4"/>
    <w:rsid w:val="009C539B"/>
    <w:rsid w:val="009C6668"/>
    <w:rsid w:val="009D0BA9"/>
    <w:rsid w:val="009D2B19"/>
    <w:rsid w:val="009E1021"/>
    <w:rsid w:val="009E1D6A"/>
    <w:rsid w:val="009E34A4"/>
    <w:rsid w:val="009E567D"/>
    <w:rsid w:val="009E61C3"/>
    <w:rsid w:val="009F0492"/>
    <w:rsid w:val="009F1E4C"/>
    <w:rsid w:val="009F20C1"/>
    <w:rsid w:val="009F3205"/>
    <w:rsid w:val="009F3B84"/>
    <w:rsid w:val="009F459B"/>
    <w:rsid w:val="009F515A"/>
    <w:rsid w:val="009F61D9"/>
    <w:rsid w:val="009F658A"/>
    <w:rsid w:val="009F66A4"/>
    <w:rsid w:val="00A010FF"/>
    <w:rsid w:val="00A0117A"/>
    <w:rsid w:val="00A10628"/>
    <w:rsid w:val="00A11F61"/>
    <w:rsid w:val="00A1296C"/>
    <w:rsid w:val="00A135BF"/>
    <w:rsid w:val="00A141C9"/>
    <w:rsid w:val="00A157D6"/>
    <w:rsid w:val="00A15C0E"/>
    <w:rsid w:val="00A16152"/>
    <w:rsid w:val="00A16817"/>
    <w:rsid w:val="00A16D5B"/>
    <w:rsid w:val="00A226AC"/>
    <w:rsid w:val="00A2613D"/>
    <w:rsid w:val="00A27B04"/>
    <w:rsid w:val="00A366DD"/>
    <w:rsid w:val="00A36A01"/>
    <w:rsid w:val="00A37D63"/>
    <w:rsid w:val="00A40326"/>
    <w:rsid w:val="00A40FA5"/>
    <w:rsid w:val="00A42C75"/>
    <w:rsid w:val="00A43C0A"/>
    <w:rsid w:val="00A44E00"/>
    <w:rsid w:val="00A465C7"/>
    <w:rsid w:val="00A50FDB"/>
    <w:rsid w:val="00A52A37"/>
    <w:rsid w:val="00A53D8C"/>
    <w:rsid w:val="00A55C59"/>
    <w:rsid w:val="00A562DF"/>
    <w:rsid w:val="00A60C40"/>
    <w:rsid w:val="00A62190"/>
    <w:rsid w:val="00A62BF3"/>
    <w:rsid w:val="00A64F83"/>
    <w:rsid w:val="00A662D0"/>
    <w:rsid w:val="00A7242F"/>
    <w:rsid w:val="00A73878"/>
    <w:rsid w:val="00A73DB2"/>
    <w:rsid w:val="00A73FD7"/>
    <w:rsid w:val="00A743FB"/>
    <w:rsid w:val="00A747F6"/>
    <w:rsid w:val="00A74B6E"/>
    <w:rsid w:val="00A771C6"/>
    <w:rsid w:val="00A80B1F"/>
    <w:rsid w:val="00A80DEC"/>
    <w:rsid w:val="00A841F1"/>
    <w:rsid w:val="00A842C2"/>
    <w:rsid w:val="00A85CD2"/>
    <w:rsid w:val="00A873FA"/>
    <w:rsid w:val="00A905D2"/>
    <w:rsid w:val="00A906ED"/>
    <w:rsid w:val="00A974DB"/>
    <w:rsid w:val="00A97F99"/>
    <w:rsid w:val="00AA050B"/>
    <w:rsid w:val="00AA1372"/>
    <w:rsid w:val="00AA18BE"/>
    <w:rsid w:val="00AA2FBA"/>
    <w:rsid w:val="00AA3AAC"/>
    <w:rsid w:val="00AA6A15"/>
    <w:rsid w:val="00AA6D37"/>
    <w:rsid w:val="00AB0329"/>
    <w:rsid w:val="00AB2864"/>
    <w:rsid w:val="00AB40F8"/>
    <w:rsid w:val="00AB635D"/>
    <w:rsid w:val="00AB6634"/>
    <w:rsid w:val="00AB6E65"/>
    <w:rsid w:val="00AB6E72"/>
    <w:rsid w:val="00AC2180"/>
    <w:rsid w:val="00AC53D7"/>
    <w:rsid w:val="00AC635A"/>
    <w:rsid w:val="00AC6702"/>
    <w:rsid w:val="00AC7D9C"/>
    <w:rsid w:val="00AC7DF3"/>
    <w:rsid w:val="00AD00D9"/>
    <w:rsid w:val="00AD0A58"/>
    <w:rsid w:val="00AD2DA3"/>
    <w:rsid w:val="00AD6FEB"/>
    <w:rsid w:val="00AD7423"/>
    <w:rsid w:val="00AE03B0"/>
    <w:rsid w:val="00AE3F8F"/>
    <w:rsid w:val="00AE4066"/>
    <w:rsid w:val="00AE70BB"/>
    <w:rsid w:val="00AF100C"/>
    <w:rsid w:val="00AF7D40"/>
    <w:rsid w:val="00B00178"/>
    <w:rsid w:val="00B003FB"/>
    <w:rsid w:val="00B00514"/>
    <w:rsid w:val="00B01082"/>
    <w:rsid w:val="00B02A9C"/>
    <w:rsid w:val="00B0341E"/>
    <w:rsid w:val="00B05979"/>
    <w:rsid w:val="00B069E1"/>
    <w:rsid w:val="00B06B49"/>
    <w:rsid w:val="00B108A5"/>
    <w:rsid w:val="00B11E04"/>
    <w:rsid w:val="00B1335E"/>
    <w:rsid w:val="00B13401"/>
    <w:rsid w:val="00B13F20"/>
    <w:rsid w:val="00B20AB6"/>
    <w:rsid w:val="00B21EF2"/>
    <w:rsid w:val="00B22B19"/>
    <w:rsid w:val="00B240B0"/>
    <w:rsid w:val="00B27A48"/>
    <w:rsid w:val="00B323A5"/>
    <w:rsid w:val="00B32FA5"/>
    <w:rsid w:val="00B3459B"/>
    <w:rsid w:val="00B349D7"/>
    <w:rsid w:val="00B34DDB"/>
    <w:rsid w:val="00B357EF"/>
    <w:rsid w:val="00B3783E"/>
    <w:rsid w:val="00B409ED"/>
    <w:rsid w:val="00B42CC6"/>
    <w:rsid w:val="00B4408D"/>
    <w:rsid w:val="00B448C0"/>
    <w:rsid w:val="00B4515D"/>
    <w:rsid w:val="00B460B3"/>
    <w:rsid w:val="00B46B01"/>
    <w:rsid w:val="00B47CCA"/>
    <w:rsid w:val="00B50EF1"/>
    <w:rsid w:val="00B512C1"/>
    <w:rsid w:val="00B51A4F"/>
    <w:rsid w:val="00B52898"/>
    <w:rsid w:val="00B52C19"/>
    <w:rsid w:val="00B5322D"/>
    <w:rsid w:val="00B548AA"/>
    <w:rsid w:val="00B57A17"/>
    <w:rsid w:val="00B61375"/>
    <w:rsid w:val="00B6163A"/>
    <w:rsid w:val="00B61FBD"/>
    <w:rsid w:val="00B63728"/>
    <w:rsid w:val="00B63E21"/>
    <w:rsid w:val="00B64697"/>
    <w:rsid w:val="00B648D1"/>
    <w:rsid w:val="00B66FA9"/>
    <w:rsid w:val="00B710BA"/>
    <w:rsid w:val="00B77A16"/>
    <w:rsid w:val="00B80613"/>
    <w:rsid w:val="00B831C3"/>
    <w:rsid w:val="00B84A6E"/>
    <w:rsid w:val="00B85F0D"/>
    <w:rsid w:val="00B86DE1"/>
    <w:rsid w:val="00B90AE8"/>
    <w:rsid w:val="00B91B4E"/>
    <w:rsid w:val="00B93328"/>
    <w:rsid w:val="00B94D98"/>
    <w:rsid w:val="00B95129"/>
    <w:rsid w:val="00B952FF"/>
    <w:rsid w:val="00B959E3"/>
    <w:rsid w:val="00B97BC4"/>
    <w:rsid w:val="00BA0AA3"/>
    <w:rsid w:val="00BA1D7A"/>
    <w:rsid w:val="00BA228B"/>
    <w:rsid w:val="00BA2DF4"/>
    <w:rsid w:val="00BA35BA"/>
    <w:rsid w:val="00BA3FE5"/>
    <w:rsid w:val="00BA5545"/>
    <w:rsid w:val="00BA7363"/>
    <w:rsid w:val="00BB0625"/>
    <w:rsid w:val="00BB1BD7"/>
    <w:rsid w:val="00BB33FC"/>
    <w:rsid w:val="00BB4B74"/>
    <w:rsid w:val="00BB7849"/>
    <w:rsid w:val="00BB7ED8"/>
    <w:rsid w:val="00BC1621"/>
    <w:rsid w:val="00BC16E8"/>
    <w:rsid w:val="00BC1F48"/>
    <w:rsid w:val="00BC2C5F"/>
    <w:rsid w:val="00BC37F7"/>
    <w:rsid w:val="00BC4109"/>
    <w:rsid w:val="00BC41BC"/>
    <w:rsid w:val="00BC514F"/>
    <w:rsid w:val="00BC6764"/>
    <w:rsid w:val="00BC7D89"/>
    <w:rsid w:val="00BD0235"/>
    <w:rsid w:val="00BD054F"/>
    <w:rsid w:val="00BD4734"/>
    <w:rsid w:val="00BD4873"/>
    <w:rsid w:val="00BD60E5"/>
    <w:rsid w:val="00BD7EAB"/>
    <w:rsid w:val="00BE20ED"/>
    <w:rsid w:val="00BE46BD"/>
    <w:rsid w:val="00BF0008"/>
    <w:rsid w:val="00BF06A7"/>
    <w:rsid w:val="00BF1E0D"/>
    <w:rsid w:val="00BF2455"/>
    <w:rsid w:val="00BF24D2"/>
    <w:rsid w:val="00BF3A21"/>
    <w:rsid w:val="00BF481B"/>
    <w:rsid w:val="00BF5F72"/>
    <w:rsid w:val="00C00246"/>
    <w:rsid w:val="00C012CE"/>
    <w:rsid w:val="00C01318"/>
    <w:rsid w:val="00C023D4"/>
    <w:rsid w:val="00C03AB4"/>
    <w:rsid w:val="00C03AEE"/>
    <w:rsid w:val="00C102BB"/>
    <w:rsid w:val="00C109D5"/>
    <w:rsid w:val="00C12EC2"/>
    <w:rsid w:val="00C21615"/>
    <w:rsid w:val="00C21934"/>
    <w:rsid w:val="00C22424"/>
    <w:rsid w:val="00C226CD"/>
    <w:rsid w:val="00C22EF9"/>
    <w:rsid w:val="00C247FE"/>
    <w:rsid w:val="00C259D0"/>
    <w:rsid w:val="00C31108"/>
    <w:rsid w:val="00C34D35"/>
    <w:rsid w:val="00C3516F"/>
    <w:rsid w:val="00C360F8"/>
    <w:rsid w:val="00C42B2E"/>
    <w:rsid w:val="00C43366"/>
    <w:rsid w:val="00C433F6"/>
    <w:rsid w:val="00C43E15"/>
    <w:rsid w:val="00C448D4"/>
    <w:rsid w:val="00C45004"/>
    <w:rsid w:val="00C45253"/>
    <w:rsid w:val="00C476C6"/>
    <w:rsid w:val="00C526B3"/>
    <w:rsid w:val="00C52F8D"/>
    <w:rsid w:val="00C53D59"/>
    <w:rsid w:val="00C54499"/>
    <w:rsid w:val="00C549DE"/>
    <w:rsid w:val="00C57073"/>
    <w:rsid w:val="00C57EED"/>
    <w:rsid w:val="00C607B5"/>
    <w:rsid w:val="00C61F97"/>
    <w:rsid w:val="00C62EF6"/>
    <w:rsid w:val="00C62F60"/>
    <w:rsid w:val="00C66450"/>
    <w:rsid w:val="00C666BB"/>
    <w:rsid w:val="00C70945"/>
    <w:rsid w:val="00C71307"/>
    <w:rsid w:val="00C745BD"/>
    <w:rsid w:val="00C7475A"/>
    <w:rsid w:val="00C74D3A"/>
    <w:rsid w:val="00C75C00"/>
    <w:rsid w:val="00C766B9"/>
    <w:rsid w:val="00C76AD5"/>
    <w:rsid w:val="00C7702D"/>
    <w:rsid w:val="00C8008B"/>
    <w:rsid w:val="00C82459"/>
    <w:rsid w:val="00C8297A"/>
    <w:rsid w:val="00C90385"/>
    <w:rsid w:val="00C95254"/>
    <w:rsid w:val="00C960CD"/>
    <w:rsid w:val="00CA39E7"/>
    <w:rsid w:val="00CA5771"/>
    <w:rsid w:val="00CB2DE6"/>
    <w:rsid w:val="00CC133B"/>
    <w:rsid w:val="00CC2F21"/>
    <w:rsid w:val="00CC3D26"/>
    <w:rsid w:val="00CC677E"/>
    <w:rsid w:val="00CC7478"/>
    <w:rsid w:val="00CC7F17"/>
    <w:rsid w:val="00CD0020"/>
    <w:rsid w:val="00CD0F14"/>
    <w:rsid w:val="00CD13C8"/>
    <w:rsid w:val="00CE3E35"/>
    <w:rsid w:val="00CE4A80"/>
    <w:rsid w:val="00CF28ED"/>
    <w:rsid w:val="00CF5986"/>
    <w:rsid w:val="00CF6ADA"/>
    <w:rsid w:val="00D00790"/>
    <w:rsid w:val="00D0099F"/>
    <w:rsid w:val="00D01B1A"/>
    <w:rsid w:val="00D025A5"/>
    <w:rsid w:val="00D02CB0"/>
    <w:rsid w:val="00D0682A"/>
    <w:rsid w:val="00D10317"/>
    <w:rsid w:val="00D11439"/>
    <w:rsid w:val="00D117A4"/>
    <w:rsid w:val="00D1189B"/>
    <w:rsid w:val="00D127A1"/>
    <w:rsid w:val="00D1532E"/>
    <w:rsid w:val="00D15872"/>
    <w:rsid w:val="00D160FA"/>
    <w:rsid w:val="00D170AA"/>
    <w:rsid w:val="00D21320"/>
    <w:rsid w:val="00D21F6D"/>
    <w:rsid w:val="00D22E08"/>
    <w:rsid w:val="00D236A3"/>
    <w:rsid w:val="00D24DC4"/>
    <w:rsid w:val="00D2542E"/>
    <w:rsid w:val="00D27949"/>
    <w:rsid w:val="00D30FDA"/>
    <w:rsid w:val="00D31BAE"/>
    <w:rsid w:val="00D31EB1"/>
    <w:rsid w:val="00D33FDE"/>
    <w:rsid w:val="00D35D32"/>
    <w:rsid w:val="00D35D40"/>
    <w:rsid w:val="00D379D4"/>
    <w:rsid w:val="00D40C09"/>
    <w:rsid w:val="00D42AC8"/>
    <w:rsid w:val="00D44533"/>
    <w:rsid w:val="00D44F00"/>
    <w:rsid w:val="00D4552B"/>
    <w:rsid w:val="00D466F6"/>
    <w:rsid w:val="00D500BF"/>
    <w:rsid w:val="00D51006"/>
    <w:rsid w:val="00D51568"/>
    <w:rsid w:val="00D5447F"/>
    <w:rsid w:val="00D55A82"/>
    <w:rsid w:val="00D616D6"/>
    <w:rsid w:val="00D65940"/>
    <w:rsid w:val="00D65DE4"/>
    <w:rsid w:val="00D67240"/>
    <w:rsid w:val="00D67431"/>
    <w:rsid w:val="00D70DC7"/>
    <w:rsid w:val="00D741FE"/>
    <w:rsid w:val="00D74BB9"/>
    <w:rsid w:val="00D762DE"/>
    <w:rsid w:val="00D765C0"/>
    <w:rsid w:val="00D76DA1"/>
    <w:rsid w:val="00D7708E"/>
    <w:rsid w:val="00D7735A"/>
    <w:rsid w:val="00D81DD7"/>
    <w:rsid w:val="00D82718"/>
    <w:rsid w:val="00D82BF8"/>
    <w:rsid w:val="00D83828"/>
    <w:rsid w:val="00D838AB"/>
    <w:rsid w:val="00D849CD"/>
    <w:rsid w:val="00D8543E"/>
    <w:rsid w:val="00D85C87"/>
    <w:rsid w:val="00D87454"/>
    <w:rsid w:val="00D909F1"/>
    <w:rsid w:val="00D92735"/>
    <w:rsid w:val="00D92A61"/>
    <w:rsid w:val="00D92B83"/>
    <w:rsid w:val="00D95941"/>
    <w:rsid w:val="00D95B01"/>
    <w:rsid w:val="00DA2EC1"/>
    <w:rsid w:val="00DA4177"/>
    <w:rsid w:val="00DA486E"/>
    <w:rsid w:val="00DB2A50"/>
    <w:rsid w:val="00DB3595"/>
    <w:rsid w:val="00DB6D9D"/>
    <w:rsid w:val="00DB6F8E"/>
    <w:rsid w:val="00DB74DA"/>
    <w:rsid w:val="00DC2A97"/>
    <w:rsid w:val="00DC2C7C"/>
    <w:rsid w:val="00DC3AF9"/>
    <w:rsid w:val="00DC6812"/>
    <w:rsid w:val="00DD36F6"/>
    <w:rsid w:val="00DD4B24"/>
    <w:rsid w:val="00DD54E3"/>
    <w:rsid w:val="00DD5924"/>
    <w:rsid w:val="00DD6276"/>
    <w:rsid w:val="00DD7E4E"/>
    <w:rsid w:val="00DE0E93"/>
    <w:rsid w:val="00DE272E"/>
    <w:rsid w:val="00DE32F2"/>
    <w:rsid w:val="00DE333A"/>
    <w:rsid w:val="00DE40EF"/>
    <w:rsid w:val="00DE4545"/>
    <w:rsid w:val="00DE6BBF"/>
    <w:rsid w:val="00DF0AE1"/>
    <w:rsid w:val="00DF760A"/>
    <w:rsid w:val="00E023CF"/>
    <w:rsid w:val="00E053ED"/>
    <w:rsid w:val="00E05FAC"/>
    <w:rsid w:val="00E11549"/>
    <w:rsid w:val="00E130EB"/>
    <w:rsid w:val="00E1503A"/>
    <w:rsid w:val="00E159BF"/>
    <w:rsid w:val="00E20E62"/>
    <w:rsid w:val="00E20F54"/>
    <w:rsid w:val="00E21122"/>
    <w:rsid w:val="00E262B5"/>
    <w:rsid w:val="00E262F6"/>
    <w:rsid w:val="00E26B53"/>
    <w:rsid w:val="00E31C62"/>
    <w:rsid w:val="00E3388C"/>
    <w:rsid w:val="00E366A1"/>
    <w:rsid w:val="00E40109"/>
    <w:rsid w:val="00E41555"/>
    <w:rsid w:val="00E430D2"/>
    <w:rsid w:val="00E47917"/>
    <w:rsid w:val="00E525E0"/>
    <w:rsid w:val="00E527C3"/>
    <w:rsid w:val="00E5289D"/>
    <w:rsid w:val="00E53A00"/>
    <w:rsid w:val="00E57C60"/>
    <w:rsid w:val="00E622C1"/>
    <w:rsid w:val="00E62E5F"/>
    <w:rsid w:val="00E674CD"/>
    <w:rsid w:val="00E67A62"/>
    <w:rsid w:val="00E764D6"/>
    <w:rsid w:val="00E77F2B"/>
    <w:rsid w:val="00E77FCB"/>
    <w:rsid w:val="00E80E81"/>
    <w:rsid w:val="00E8179E"/>
    <w:rsid w:val="00E82072"/>
    <w:rsid w:val="00E86DD6"/>
    <w:rsid w:val="00E86F55"/>
    <w:rsid w:val="00E8777E"/>
    <w:rsid w:val="00E8799A"/>
    <w:rsid w:val="00E90485"/>
    <w:rsid w:val="00E9102C"/>
    <w:rsid w:val="00E9260D"/>
    <w:rsid w:val="00E9274A"/>
    <w:rsid w:val="00E96072"/>
    <w:rsid w:val="00E96F14"/>
    <w:rsid w:val="00E97053"/>
    <w:rsid w:val="00EA13B1"/>
    <w:rsid w:val="00EA1697"/>
    <w:rsid w:val="00EA3756"/>
    <w:rsid w:val="00EA3A8C"/>
    <w:rsid w:val="00EA7A59"/>
    <w:rsid w:val="00EB3EAD"/>
    <w:rsid w:val="00EB445E"/>
    <w:rsid w:val="00EB5FAB"/>
    <w:rsid w:val="00EB7143"/>
    <w:rsid w:val="00EC0D9E"/>
    <w:rsid w:val="00EC13CC"/>
    <w:rsid w:val="00EC148B"/>
    <w:rsid w:val="00EC3729"/>
    <w:rsid w:val="00EC5660"/>
    <w:rsid w:val="00EC5ABF"/>
    <w:rsid w:val="00EC5E1D"/>
    <w:rsid w:val="00EC6CAF"/>
    <w:rsid w:val="00EC770C"/>
    <w:rsid w:val="00EC7DD6"/>
    <w:rsid w:val="00ED0B94"/>
    <w:rsid w:val="00ED18D9"/>
    <w:rsid w:val="00ED1C07"/>
    <w:rsid w:val="00ED2414"/>
    <w:rsid w:val="00EE2433"/>
    <w:rsid w:val="00EE2DF1"/>
    <w:rsid w:val="00EE41CB"/>
    <w:rsid w:val="00EE4723"/>
    <w:rsid w:val="00EE5DBD"/>
    <w:rsid w:val="00EE6565"/>
    <w:rsid w:val="00EF064C"/>
    <w:rsid w:val="00EF0E19"/>
    <w:rsid w:val="00EF1311"/>
    <w:rsid w:val="00EF2C85"/>
    <w:rsid w:val="00EF45A4"/>
    <w:rsid w:val="00EF4D48"/>
    <w:rsid w:val="00EF6CA6"/>
    <w:rsid w:val="00EF7454"/>
    <w:rsid w:val="00EF7B57"/>
    <w:rsid w:val="00F00B0B"/>
    <w:rsid w:val="00F02861"/>
    <w:rsid w:val="00F0407D"/>
    <w:rsid w:val="00F07110"/>
    <w:rsid w:val="00F07CE7"/>
    <w:rsid w:val="00F12316"/>
    <w:rsid w:val="00F12B77"/>
    <w:rsid w:val="00F1419D"/>
    <w:rsid w:val="00F207AB"/>
    <w:rsid w:val="00F213FC"/>
    <w:rsid w:val="00F22DD7"/>
    <w:rsid w:val="00F24C82"/>
    <w:rsid w:val="00F2589D"/>
    <w:rsid w:val="00F30712"/>
    <w:rsid w:val="00F31325"/>
    <w:rsid w:val="00F32405"/>
    <w:rsid w:val="00F32A79"/>
    <w:rsid w:val="00F32FE6"/>
    <w:rsid w:val="00F343ED"/>
    <w:rsid w:val="00F360C8"/>
    <w:rsid w:val="00F404CC"/>
    <w:rsid w:val="00F40584"/>
    <w:rsid w:val="00F41BDD"/>
    <w:rsid w:val="00F4260A"/>
    <w:rsid w:val="00F4344E"/>
    <w:rsid w:val="00F4392D"/>
    <w:rsid w:val="00F4635B"/>
    <w:rsid w:val="00F50E7C"/>
    <w:rsid w:val="00F513BC"/>
    <w:rsid w:val="00F518D2"/>
    <w:rsid w:val="00F5206B"/>
    <w:rsid w:val="00F5551A"/>
    <w:rsid w:val="00F55B47"/>
    <w:rsid w:val="00F56A20"/>
    <w:rsid w:val="00F5755D"/>
    <w:rsid w:val="00F60A16"/>
    <w:rsid w:val="00F706A8"/>
    <w:rsid w:val="00F75CD2"/>
    <w:rsid w:val="00F777C2"/>
    <w:rsid w:val="00F80224"/>
    <w:rsid w:val="00F804F9"/>
    <w:rsid w:val="00F81155"/>
    <w:rsid w:val="00F8195D"/>
    <w:rsid w:val="00F83BAB"/>
    <w:rsid w:val="00F83E4D"/>
    <w:rsid w:val="00F87BF6"/>
    <w:rsid w:val="00F87CAB"/>
    <w:rsid w:val="00F912B8"/>
    <w:rsid w:val="00F95B49"/>
    <w:rsid w:val="00F97AED"/>
    <w:rsid w:val="00FA0607"/>
    <w:rsid w:val="00FA1A01"/>
    <w:rsid w:val="00FA34E8"/>
    <w:rsid w:val="00FA3D53"/>
    <w:rsid w:val="00FB0645"/>
    <w:rsid w:val="00FB1B8E"/>
    <w:rsid w:val="00FB1CDE"/>
    <w:rsid w:val="00FB20CE"/>
    <w:rsid w:val="00FB2B6E"/>
    <w:rsid w:val="00FB2FA6"/>
    <w:rsid w:val="00FB44B5"/>
    <w:rsid w:val="00FB7794"/>
    <w:rsid w:val="00FC09BA"/>
    <w:rsid w:val="00FC1551"/>
    <w:rsid w:val="00FC2CB0"/>
    <w:rsid w:val="00FC67FD"/>
    <w:rsid w:val="00FC6E8E"/>
    <w:rsid w:val="00FD36EA"/>
    <w:rsid w:val="00FD4BEB"/>
    <w:rsid w:val="00FD7331"/>
    <w:rsid w:val="00FE012A"/>
    <w:rsid w:val="00FE6C0B"/>
    <w:rsid w:val="00FE7DE8"/>
    <w:rsid w:val="00FF4852"/>
    <w:rsid w:val="00FF5546"/>
    <w:rsid w:val="00FF5D57"/>
    <w:rsid w:val="00FF6BCC"/>
    <w:rsid w:val="00FF6E53"/>
    <w:rsid w:val="022074B1"/>
    <w:rsid w:val="02B50111"/>
    <w:rsid w:val="04D2645F"/>
    <w:rsid w:val="05F633B7"/>
    <w:rsid w:val="061169ED"/>
    <w:rsid w:val="07200B4F"/>
    <w:rsid w:val="08312E2C"/>
    <w:rsid w:val="087757A8"/>
    <w:rsid w:val="09372E76"/>
    <w:rsid w:val="0A6C7C49"/>
    <w:rsid w:val="0B2E020D"/>
    <w:rsid w:val="0B3472F8"/>
    <w:rsid w:val="0C344A88"/>
    <w:rsid w:val="0C4E4BA2"/>
    <w:rsid w:val="0D653C5B"/>
    <w:rsid w:val="0F91202A"/>
    <w:rsid w:val="10A34BFE"/>
    <w:rsid w:val="10C06BA6"/>
    <w:rsid w:val="10EC1976"/>
    <w:rsid w:val="13004D61"/>
    <w:rsid w:val="13463B66"/>
    <w:rsid w:val="15631AD4"/>
    <w:rsid w:val="16544574"/>
    <w:rsid w:val="16AF6782"/>
    <w:rsid w:val="17385430"/>
    <w:rsid w:val="17BE4CB0"/>
    <w:rsid w:val="19CA60BB"/>
    <w:rsid w:val="1ACE7747"/>
    <w:rsid w:val="1AF85403"/>
    <w:rsid w:val="1B2742FF"/>
    <w:rsid w:val="1F412AD3"/>
    <w:rsid w:val="21090AD3"/>
    <w:rsid w:val="217B3AFE"/>
    <w:rsid w:val="228361E4"/>
    <w:rsid w:val="23875AF1"/>
    <w:rsid w:val="23D61A38"/>
    <w:rsid w:val="25234D63"/>
    <w:rsid w:val="272F5EAE"/>
    <w:rsid w:val="2813707B"/>
    <w:rsid w:val="28792247"/>
    <w:rsid w:val="28891615"/>
    <w:rsid w:val="28E05122"/>
    <w:rsid w:val="28E2121A"/>
    <w:rsid w:val="28F24A7E"/>
    <w:rsid w:val="2A2F21FB"/>
    <w:rsid w:val="2AF71A2D"/>
    <w:rsid w:val="2C893AB4"/>
    <w:rsid w:val="2DAF6932"/>
    <w:rsid w:val="2EF86BFD"/>
    <w:rsid w:val="30FA2F9E"/>
    <w:rsid w:val="31180DDD"/>
    <w:rsid w:val="31961813"/>
    <w:rsid w:val="33CF694A"/>
    <w:rsid w:val="379637CE"/>
    <w:rsid w:val="3894610C"/>
    <w:rsid w:val="3C653C4C"/>
    <w:rsid w:val="40443C5D"/>
    <w:rsid w:val="409E2D31"/>
    <w:rsid w:val="418C24DE"/>
    <w:rsid w:val="41A1365E"/>
    <w:rsid w:val="43B54D50"/>
    <w:rsid w:val="441F380E"/>
    <w:rsid w:val="4455757A"/>
    <w:rsid w:val="44F3200D"/>
    <w:rsid w:val="45B07F29"/>
    <w:rsid w:val="46392854"/>
    <w:rsid w:val="46612135"/>
    <w:rsid w:val="46A43C96"/>
    <w:rsid w:val="46B13137"/>
    <w:rsid w:val="476379B2"/>
    <w:rsid w:val="47870865"/>
    <w:rsid w:val="4945719B"/>
    <w:rsid w:val="4A3023D5"/>
    <w:rsid w:val="4D0C7402"/>
    <w:rsid w:val="4E1C42DE"/>
    <w:rsid w:val="4E952414"/>
    <w:rsid w:val="505274F3"/>
    <w:rsid w:val="51F13AD3"/>
    <w:rsid w:val="529D0EFA"/>
    <w:rsid w:val="538364F8"/>
    <w:rsid w:val="540826F9"/>
    <w:rsid w:val="544E169B"/>
    <w:rsid w:val="54AD787B"/>
    <w:rsid w:val="54F53CA3"/>
    <w:rsid w:val="558372D7"/>
    <w:rsid w:val="586E6F67"/>
    <w:rsid w:val="592011C1"/>
    <w:rsid w:val="59B45B02"/>
    <w:rsid w:val="5A5E23C8"/>
    <w:rsid w:val="5B2A5BF7"/>
    <w:rsid w:val="5B3832CB"/>
    <w:rsid w:val="5D1E095A"/>
    <w:rsid w:val="5D771551"/>
    <w:rsid w:val="5F2C5A2B"/>
    <w:rsid w:val="5FC73B94"/>
    <w:rsid w:val="601E2073"/>
    <w:rsid w:val="60580512"/>
    <w:rsid w:val="60E13429"/>
    <w:rsid w:val="61915C6E"/>
    <w:rsid w:val="61DE011B"/>
    <w:rsid w:val="62D55E6A"/>
    <w:rsid w:val="63CE5C88"/>
    <w:rsid w:val="65906D42"/>
    <w:rsid w:val="663A6B91"/>
    <w:rsid w:val="665736AD"/>
    <w:rsid w:val="667D7FE9"/>
    <w:rsid w:val="66A00E53"/>
    <w:rsid w:val="682D2927"/>
    <w:rsid w:val="6AB46DC1"/>
    <w:rsid w:val="6C336899"/>
    <w:rsid w:val="6C565905"/>
    <w:rsid w:val="6E137083"/>
    <w:rsid w:val="71D93127"/>
    <w:rsid w:val="724D02B1"/>
    <w:rsid w:val="72805304"/>
    <w:rsid w:val="7522739C"/>
    <w:rsid w:val="761C50EF"/>
    <w:rsid w:val="7692010D"/>
    <w:rsid w:val="769A799B"/>
    <w:rsid w:val="77276508"/>
    <w:rsid w:val="79236C2F"/>
    <w:rsid w:val="794A2942"/>
    <w:rsid w:val="79975B54"/>
    <w:rsid w:val="79E806A4"/>
    <w:rsid w:val="7BC82417"/>
    <w:rsid w:val="7D770174"/>
    <w:rsid w:val="7F4C6D10"/>
    <w:rsid w:val="D3D76F1C"/>
    <w:rsid w:val="FFFD48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883" w:firstLineChars="200"/>
      <w:jc w:val="both"/>
    </w:pPr>
    <w:rPr>
      <w:rFonts w:ascii="Times New Roman" w:hAnsi="Times New Roman" w:eastAsia="宋体" w:cstheme="minorBidi"/>
      <w:kern w:val="2"/>
      <w:sz w:val="24"/>
      <w:szCs w:val="24"/>
      <w:lang w:val="en-US" w:eastAsia="zh-CN" w:bidi="ar-SA"/>
    </w:rPr>
  </w:style>
  <w:style w:type="paragraph" w:styleId="2">
    <w:name w:val="heading 1"/>
    <w:basedOn w:val="1"/>
    <w:next w:val="1"/>
    <w:link w:val="33"/>
    <w:qFormat/>
    <w:uiPriority w:val="9"/>
    <w:pPr>
      <w:widowControl w:val="0"/>
      <w:numPr>
        <w:ilvl w:val="0"/>
        <w:numId w:val="1"/>
      </w:numPr>
      <w:spacing w:line="590" w:lineRule="exact"/>
      <w:ind w:left="0" w:firstLine="200" w:firstLineChars="200"/>
      <w:outlineLvl w:val="0"/>
    </w:pPr>
    <w:rPr>
      <w:rFonts w:ascii="Times New Roman" w:hAnsi="Times New Roman" w:eastAsia="黑体" w:cs="Times New Roman"/>
      <w:kern w:val="2"/>
      <w:sz w:val="32"/>
      <w:szCs w:val="32"/>
      <w:lang w:val="en-US" w:eastAsia="zh-CN" w:bidi="ar-SA"/>
    </w:rPr>
  </w:style>
  <w:style w:type="paragraph" w:styleId="3">
    <w:name w:val="heading 2"/>
    <w:basedOn w:val="1"/>
    <w:next w:val="1"/>
    <w:link w:val="34"/>
    <w:unhideWhenUsed/>
    <w:qFormat/>
    <w:uiPriority w:val="9"/>
    <w:pPr>
      <w:widowControl w:val="0"/>
      <w:numPr>
        <w:ilvl w:val="1"/>
        <w:numId w:val="1"/>
      </w:numPr>
      <w:autoSpaceDE w:val="0"/>
      <w:autoSpaceDN w:val="0"/>
      <w:adjustRightInd w:val="0"/>
      <w:spacing w:line="590" w:lineRule="exact"/>
      <w:ind w:left="0" w:firstLine="200" w:firstLineChars="200"/>
      <w:outlineLvl w:val="1"/>
    </w:pPr>
    <w:rPr>
      <w:rFonts w:ascii="Times New Roman" w:hAnsi="Times New Roman" w:eastAsia="楷体_GB2312" w:cs="Times New Roman"/>
      <w:bCs/>
      <w:kern w:val="2"/>
      <w:sz w:val="32"/>
      <w:szCs w:val="32"/>
      <w:lang w:val="en-US" w:eastAsia="zh-CN" w:bidi="ar-SA"/>
    </w:rPr>
  </w:style>
  <w:style w:type="paragraph" w:styleId="4">
    <w:name w:val="heading 3"/>
    <w:next w:val="1"/>
    <w:link w:val="35"/>
    <w:unhideWhenUsed/>
    <w:qFormat/>
    <w:uiPriority w:val="9"/>
    <w:pPr>
      <w:widowControl w:val="0"/>
      <w:numPr>
        <w:ilvl w:val="2"/>
        <w:numId w:val="1"/>
      </w:numPr>
      <w:spacing w:line="590" w:lineRule="exact"/>
      <w:ind w:left="0" w:firstLine="200" w:firstLineChars="200"/>
      <w:jc w:val="both"/>
      <w:outlineLvl w:val="2"/>
    </w:pPr>
    <w:rPr>
      <w:rFonts w:ascii="Times New Roman" w:hAnsi="Times New Roman" w:eastAsia="仿宋_GB2312" w:cs="Times New Roman"/>
      <w:bCs/>
      <w:kern w:val="2"/>
      <w:sz w:val="32"/>
      <w:szCs w:val="32"/>
      <w:lang w:val="en-US" w:eastAsia="zh-CN" w:bidi="ar-SA"/>
    </w:rPr>
  </w:style>
  <w:style w:type="paragraph" w:styleId="5">
    <w:name w:val="heading 4"/>
    <w:next w:val="6"/>
    <w:link w:val="36"/>
    <w:unhideWhenUsed/>
    <w:qFormat/>
    <w:uiPriority w:val="9"/>
    <w:pPr>
      <w:widowControl w:val="0"/>
      <w:numPr>
        <w:ilvl w:val="3"/>
        <w:numId w:val="1"/>
      </w:numPr>
      <w:autoSpaceDE w:val="0"/>
      <w:autoSpaceDN w:val="0"/>
      <w:adjustRightInd w:val="0"/>
      <w:spacing w:line="590" w:lineRule="exact"/>
      <w:ind w:left="0" w:firstLine="200" w:firstLineChars="200"/>
      <w:outlineLvl w:val="3"/>
    </w:pPr>
    <w:rPr>
      <w:rFonts w:ascii="Times New Roman" w:hAnsi="Times New Roman" w:eastAsia="仿宋_GB2312" w:cs="Times New Roman"/>
      <w:kern w:val="2"/>
      <w:sz w:val="32"/>
      <w:szCs w:val="32"/>
      <w:lang w:val="en-US" w:eastAsia="zh-CN" w:bidi="ar-SA"/>
    </w:rPr>
  </w:style>
  <w:style w:type="paragraph" w:styleId="7">
    <w:name w:val="heading 5"/>
    <w:next w:val="6"/>
    <w:link w:val="37"/>
    <w:unhideWhenUsed/>
    <w:qFormat/>
    <w:uiPriority w:val="9"/>
    <w:pPr>
      <w:spacing w:line="590" w:lineRule="exact"/>
      <w:ind w:firstLine="200" w:firstLineChars="200"/>
      <w:outlineLvl w:val="4"/>
    </w:pPr>
    <w:rPr>
      <w:rFonts w:ascii="Times New Roman" w:hAnsi="Times New Roman" w:eastAsia="仿宋_GB2312" w:cs="Times New Roman"/>
      <w:kern w:val="2"/>
      <w:sz w:val="32"/>
      <w:szCs w:val="32"/>
      <w:lang w:val="en-US" w:eastAsia="zh-CN" w:bidi="ar-SA"/>
    </w:rPr>
  </w:style>
  <w:style w:type="paragraph" w:styleId="8">
    <w:name w:val="heading 6"/>
    <w:next w:val="6"/>
    <w:link w:val="39"/>
    <w:unhideWhenUsed/>
    <w:qFormat/>
    <w:uiPriority w:val="9"/>
    <w:pPr>
      <w:spacing w:line="590" w:lineRule="exact"/>
      <w:ind w:firstLine="200" w:firstLineChars="200"/>
      <w:outlineLvl w:val="5"/>
    </w:pPr>
    <w:rPr>
      <w:rFonts w:ascii="Times New Roman" w:hAnsi="Times New Roman" w:eastAsia="仿宋_GB2312" w:cs="宋体"/>
      <w:kern w:val="2"/>
      <w:sz w:val="32"/>
      <w:szCs w:val="32"/>
      <w:lang w:val="en-US" w:eastAsia="zh-CN" w:bidi="ar-SA"/>
    </w:rPr>
  </w:style>
  <w:style w:type="paragraph" w:styleId="9">
    <w:name w:val="heading 7"/>
    <w:next w:val="6"/>
    <w:link w:val="48"/>
    <w:unhideWhenUsed/>
    <w:qFormat/>
    <w:uiPriority w:val="9"/>
    <w:pPr>
      <w:keepNext/>
      <w:keepLines/>
      <w:spacing w:line="590" w:lineRule="exact"/>
      <w:ind w:firstLine="200" w:firstLineChars="200"/>
      <w:outlineLvl w:val="6"/>
    </w:pPr>
    <w:rPr>
      <w:rFonts w:ascii="Times New Roman" w:hAnsi="Times New Roman" w:eastAsia="仿宋_GB2312" w:cs="Times New Roman"/>
      <w:bCs/>
      <w:kern w:val="2"/>
      <w:sz w:val="32"/>
      <w:szCs w:val="24"/>
      <w:lang w:val="en-US" w:eastAsia="zh-CN" w:bidi="ar-SA"/>
    </w:rPr>
  </w:style>
  <w:style w:type="paragraph" w:styleId="10">
    <w:name w:val="heading 8"/>
    <w:next w:val="6"/>
    <w:link w:val="49"/>
    <w:unhideWhenUsed/>
    <w:qFormat/>
    <w:uiPriority w:val="9"/>
    <w:pPr>
      <w:keepNext/>
      <w:keepLines/>
      <w:spacing w:line="590" w:lineRule="exact"/>
      <w:ind w:firstLine="200" w:firstLineChars="200"/>
      <w:outlineLvl w:val="7"/>
    </w:pPr>
    <w:rPr>
      <w:rFonts w:ascii="Times New Roman" w:hAnsi="Times New Roman" w:eastAsia="仿宋_GB2312" w:cstheme="majorBidi"/>
      <w:kern w:val="2"/>
      <w:sz w:val="32"/>
      <w:szCs w:val="24"/>
      <w:lang w:val="en-US" w:eastAsia="zh-CN" w:bidi="ar-SA"/>
    </w:rPr>
  </w:style>
  <w:style w:type="paragraph" w:styleId="11">
    <w:name w:val="heading 9"/>
    <w:next w:val="6"/>
    <w:link w:val="50"/>
    <w:semiHidden/>
    <w:unhideWhenUsed/>
    <w:qFormat/>
    <w:uiPriority w:val="9"/>
    <w:pPr>
      <w:keepNext/>
      <w:keepLines/>
      <w:spacing w:line="590" w:lineRule="exact"/>
      <w:ind w:firstLine="200" w:firstLineChars="200"/>
      <w:outlineLvl w:val="8"/>
    </w:pPr>
    <w:rPr>
      <w:rFonts w:ascii="Times New Roman" w:hAnsi="Times New Roman" w:eastAsia="仿宋_GB2312" w:cstheme="majorBidi"/>
      <w:kern w:val="2"/>
      <w:sz w:val="32"/>
      <w:szCs w:val="21"/>
      <w:lang w:val="en-US" w:eastAsia="zh-CN" w:bidi="ar-SA"/>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customStyle="1" w:styleId="6">
    <w:name w:val="我的正文"/>
    <w:link w:val="47"/>
    <w:qFormat/>
    <w:uiPriority w:val="0"/>
    <w:pPr>
      <w:widowControl w:val="0"/>
      <w:snapToGrid w:val="0"/>
      <w:spacing w:line="590" w:lineRule="exact"/>
      <w:ind w:firstLine="200" w:firstLineChars="200"/>
      <w:jc w:val="both"/>
    </w:pPr>
    <w:rPr>
      <w:rFonts w:ascii="Times New Roman" w:hAnsi="Times New Roman" w:eastAsia="仿宋_GB2312" w:cs="Times New Roman"/>
      <w:kern w:val="2"/>
      <w:sz w:val="32"/>
      <w:szCs w:val="24"/>
      <w:lang w:val="en-US" w:eastAsia="zh-CN" w:bidi="ar-SA"/>
    </w:rPr>
  </w:style>
  <w:style w:type="paragraph" w:styleId="12">
    <w:name w:val="toc 7"/>
    <w:basedOn w:val="1"/>
    <w:next w:val="1"/>
    <w:autoRedefine/>
    <w:unhideWhenUsed/>
    <w:qFormat/>
    <w:uiPriority w:val="39"/>
    <w:pPr>
      <w:ind w:left="2520" w:leftChars="1200"/>
    </w:pPr>
  </w:style>
  <w:style w:type="paragraph" w:styleId="13">
    <w:name w:val="caption"/>
    <w:next w:val="1"/>
    <w:unhideWhenUsed/>
    <w:qFormat/>
    <w:uiPriority w:val="35"/>
    <w:pPr>
      <w:spacing w:before="50" w:beforeLines="50" w:after="50" w:afterLines="50"/>
      <w:jc w:val="center"/>
    </w:pPr>
    <w:rPr>
      <w:rFonts w:ascii="Times New Roman" w:hAnsi="Times New Roman" w:eastAsia="黑体" w:cstheme="majorBidi"/>
      <w:kern w:val="2"/>
      <w:sz w:val="24"/>
      <w:szCs w:val="20"/>
      <w:lang w:val="en-US" w:eastAsia="zh-CN" w:bidi="ar-SA"/>
    </w:rPr>
  </w:style>
  <w:style w:type="paragraph" w:styleId="14">
    <w:name w:val="Body Text"/>
    <w:basedOn w:val="1"/>
    <w:unhideWhenUsed/>
    <w:qFormat/>
    <w:uiPriority w:val="99"/>
    <w:pPr>
      <w:spacing w:line="360" w:lineRule="auto"/>
      <w:ind w:firstLine="420" w:firstLineChars="200"/>
    </w:pPr>
    <w:rPr>
      <w:rFonts w:ascii="宋体" w:hAnsi="宋体" w:eastAsia="宋体" w:cstheme="minorBidi"/>
      <w:lang w:val="en-US" w:eastAsia="zh-CN" w:bidi="ar-SA"/>
    </w:rPr>
  </w:style>
  <w:style w:type="paragraph" w:styleId="15">
    <w:name w:val="toc 5"/>
    <w:basedOn w:val="1"/>
    <w:next w:val="1"/>
    <w:autoRedefine/>
    <w:unhideWhenUsed/>
    <w:qFormat/>
    <w:uiPriority w:val="39"/>
    <w:pPr>
      <w:ind w:left="1680" w:leftChars="800"/>
    </w:pPr>
  </w:style>
  <w:style w:type="paragraph" w:styleId="16">
    <w:name w:val="toc 3"/>
    <w:basedOn w:val="1"/>
    <w:next w:val="1"/>
    <w:autoRedefine/>
    <w:unhideWhenUsed/>
    <w:qFormat/>
    <w:uiPriority w:val="39"/>
    <w:pPr>
      <w:tabs>
        <w:tab w:val="right" w:leader="dot" w:pos="8222"/>
      </w:tabs>
      <w:spacing w:line="590" w:lineRule="exact"/>
      <w:ind w:left="840" w:leftChars="400" w:right="840" w:rightChars="400"/>
    </w:pPr>
    <w:rPr>
      <w:rFonts w:ascii="Times New Roman" w:hAnsi="Times New Roman" w:eastAsia="仿宋_GB2312"/>
      <w:sz w:val="24"/>
      <w:szCs w:val="24"/>
    </w:rPr>
  </w:style>
  <w:style w:type="paragraph" w:styleId="17">
    <w:name w:val="toc 8"/>
    <w:basedOn w:val="1"/>
    <w:next w:val="1"/>
    <w:autoRedefine/>
    <w:unhideWhenUsed/>
    <w:qFormat/>
    <w:uiPriority w:val="39"/>
    <w:pPr>
      <w:ind w:left="2940" w:leftChars="1400"/>
    </w:pPr>
  </w:style>
  <w:style w:type="paragraph" w:styleId="18">
    <w:name w:val="footer"/>
    <w:basedOn w:val="1"/>
    <w:link w:val="53"/>
    <w:unhideWhenUsed/>
    <w:qFormat/>
    <w:uiPriority w:val="99"/>
    <w:pPr>
      <w:tabs>
        <w:tab w:val="center" w:pos="4153"/>
        <w:tab w:val="right" w:pos="8306"/>
      </w:tabs>
      <w:snapToGrid w:val="0"/>
      <w:jc w:val="left"/>
    </w:pPr>
    <w:rPr>
      <w:sz w:val="18"/>
      <w:szCs w:val="18"/>
    </w:rPr>
  </w:style>
  <w:style w:type="paragraph" w:styleId="19">
    <w:name w:val="header"/>
    <w:basedOn w:val="1"/>
    <w:link w:val="52"/>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autoRedefine/>
    <w:unhideWhenUsed/>
    <w:qFormat/>
    <w:uiPriority w:val="39"/>
    <w:pPr>
      <w:tabs>
        <w:tab w:val="left" w:pos="840"/>
        <w:tab w:val="right" w:leader="dot" w:pos="8296"/>
      </w:tabs>
      <w:spacing w:line="590" w:lineRule="exact"/>
      <w:ind w:right="840" w:rightChars="400"/>
    </w:pPr>
    <w:rPr>
      <w:rFonts w:ascii="Times New Roman" w:hAnsi="Times New Roman" w:eastAsia="黑体"/>
      <w:sz w:val="24"/>
      <w:szCs w:val="24"/>
    </w:rPr>
  </w:style>
  <w:style w:type="paragraph" w:styleId="21">
    <w:name w:val="toc 4"/>
    <w:basedOn w:val="1"/>
    <w:next w:val="1"/>
    <w:autoRedefine/>
    <w:unhideWhenUsed/>
    <w:qFormat/>
    <w:uiPriority w:val="39"/>
    <w:pPr>
      <w:ind w:left="1260" w:leftChars="600"/>
    </w:pPr>
  </w:style>
  <w:style w:type="paragraph" w:styleId="22">
    <w:name w:val="Subtitle"/>
    <w:next w:val="6"/>
    <w:link w:val="51"/>
    <w:qFormat/>
    <w:uiPriority w:val="11"/>
    <w:pPr>
      <w:spacing w:before="240" w:after="60" w:line="312" w:lineRule="auto"/>
      <w:jc w:val="center"/>
      <w:outlineLvl w:val="1"/>
    </w:pPr>
    <w:rPr>
      <w:rFonts w:asciiTheme="minorHAnsi" w:hAnsiTheme="minorHAnsi" w:eastAsiaTheme="minorEastAsia" w:cstheme="minorBidi"/>
      <w:b/>
      <w:bCs/>
      <w:kern w:val="28"/>
      <w:sz w:val="32"/>
      <w:szCs w:val="32"/>
      <w:lang w:val="en-US" w:eastAsia="zh-CN" w:bidi="ar-SA"/>
    </w:rPr>
  </w:style>
  <w:style w:type="paragraph" w:styleId="23">
    <w:name w:val="toc 6"/>
    <w:basedOn w:val="1"/>
    <w:next w:val="1"/>
    <w:autoRedefine/>
    <w:unhideWhenUsed/>
    <w:qFormat/>
    <w:uiPriority w:val="39"/>
    <w:pPr>
      <w:ind w:left="2100" w:leftChars="1000"/>
    </w:pPr>
  </w:style>
  <w:style w:type="paragraph" w:styleId="24">
    <w:name w:val="toc 2"/>
    <w:basedOn w:val="1"/>
    <w:next w:val="1"/>
    <w:autoRedefine/>
    <w:unhideWhenUsed/>
    <w:qFormat/>
    <w:uiPriority w:val="39"/>
    <w:pPr>
      <w:tabs>
        <w:tab w:val="left" w:pos="426"/>
        <w:tab w:val="right" w:leader="dot" w:pos="8296"/>
      </w:tabs>
      <w:spacing w:line="590" w:lineRule="exact"/>
      <w:ind w:left="420" w:leftChars="200" w:right="840" w:rightChars="400"/>
    </w:pPr>
    <w:rPr>
      <w:rFonts w:ascii="Times New Roman" w:hAnsi="Times New Roman" w:eastAsia="楷体_GB2312"/>
      <w:sz w:val="24"/>
      <w:szCs w:val="24"/>
    </w:rPr>
  </w:style>
  <w:style w:type="paragraph" w:styleId="25">
    <w:name w:val="toc 9"/>
    <w:basedOn w:val="1"/>
    <w:next w:val="1"/>
    <w:autoRedefine/>
    <w:unhideWhenUsed/>
    <w:qFormat/>
    <w:uiPriority w:val="39"/>
    <w:pPr>
      <w:ind w:left="3360" w:leftChars="1600"/>
    </w:pPr>
  </w:style>
  <w:style w:type="paragraph" w:styleId="26">
    <w:name w:val="Title"/>
    <w:next w:val="6"/>
    <w:link w:val="32"/>
    <w:qFormat/>
    <w:uiPriority w:val="10"/>
    <w:pPr>
      <w:spacing w:line="564" w:lineRule="exact"/>
      <w:jc w:val="center"/>
    </w:pPr>
    <w:rPr>
      <w:rFonts w:ascii="方正小标宋简体" w:hAnsi="Times New Roman" w:eastAsia="方正小标宋简体" w:cs="Times New Roman"/>
      <w:kern w:val="2"/>
      <w:sz w:val="44"/>
      <w:szCs w:val="44"/>
      <w:lang w:val="en-US" w:eastAsia="zh-CN" w:bidi="ar-SA"/>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Hyperlink"/>
    <w:basedOn w:val="29"/>
    <w:unhideWhenUsed/>
    <w:qFormat/>
    <w:uiPriority w:val="99"/>
    <w:rPr>
      <w:color w:val="0026E5" w:themeColor="hyperlink"/>
      <w:u w:val="single"/>
      <w14:textFill>
        <w14:solidFill>
          <w14:schemeClr w14:val="hlink"/>
        </w14:solidFill>
      </w14:textFill>
    </w:rPr>
  </w:style>
  <w:style w:type="character" w:customStyle="1" w:styleId="32">
    <w:name w:val="标题 字符"/>
    <w:basedOn w:val="29"/>
    <w:link w:val="26"/>
    <w:qFormat/>
    <w:uiPriority w:val="10"/>
    <w:rPr>
      <w:rFonts w:ascii="方正小标宋简体" w:hAnsi="Times New Roman" w:eastAsia="方正小标宋简体" w:cs="Times New Roman"/>
      <w:sz w:val="44"/>
      <w:szCs w:val="44"/>
    </w:rPr>
  </w:style>
  <w:style w:type="character" w:customStyle="1" w:styleId="33">
    <w:name w:val="标题 1 字符"/>
    <w:basedOn w:val="29"/>
    <w:link w:val="2"/>
    <w:qFormat/>
    <w:uiPriority w:val="9"/>
    <w:rPr>
      <w:rFonts w:ascii="Times New Roman" w:hAnsi="Times New Roman" w:eastAsia="黑体" w:cs="Times New Roman"/>
      <w:sz w:val="32"/>
      <w:szCs w:val="32"/>
    </w:rPr>
  </w:style>
  <w:style w:type="character" w:customStyle="1" w:styleId="34">
    <w:name w:val="标题 2 字符"/>
    <w:basedOn w:val="29"/>
    <w:link w:val="3"/>
    <w:qFormat/>
    <w:uiPriority w:val="9"/>
    <w:rPr>
      <w:rFonts w:ascii="Times New Roman" w:hAnsi="Times New Roman" w:eastAsia="楷体_GB2312" w:cs="Times New Roman"/>
      <w:bCs/>
      <w:sz w:val="32"/>
      <w:szCs w:val="32"/>
    </w:rPr>
  </w:style>
  <w:style w:type="character" w:customStyle="1" w:styleId="35">
    <w:name w:val="标题 3 字符"/>
    <w:basedOn w:val="29"/>
    <w:link w:val="4"/>
    <w:qFormat/>
    <w:uiPriority w:val="9"/>
    <w:rPr>
      <w:rFonts w:ascii="Times New Roman" w:hAnsi="Times New Roman" w:eastAsia="仿宋_GB2312" w:cs="Times New Roman"/>
      <w:bCs/>
      <w:sz w:val="32"/>
      <w:szCs w:val="32"/>
    </w:rPr>
  </w:style>
  <w:style w:type="character" w:customStyle="1" w:styleId="36">
    <w:name w:val="标题 4 字符"/>
    <w:basedOn w:val="29"/>
    <w:link w:val="5"/>
    <w:qFormat/>
    <w:uiPriority w:val="9"/>
    <w:rPr>
      <w:rFonts w:ascii="Times New Roman" w:hAnsi="Times New Roman" w:eastAsia="仿宋_GB2312" w:cs="Times New Roman"/>
      <w:sz w:val="32"/>
      <w:szCs w:val="32"/>
    </w:rPr>
  </w:style>
  <w:style w:type="character" w:customStyle="1" w:styleId="37">
    <w:name w:val="标题 5 字符"/>
    <w:basedOn w:val="29"/>
    <w:link w:val="7"/>
    <w:qFormat/>
    <w:uiPriority w:val="9"/>
    <w:rPr>
      <w:rFonts w:ascii="Times New Roman" w:hAnsi="Times New Roman" w:eastAsia="仿宋_GB2312" w:cs="Times New Roman"/>
      <w:sz w:val="32"/>
      <w:szCs w:val="32"/>
    </w:rPr>
  </w:style>
  <w:style w:type="paragraph" w:styleId="38">
    <w:name w:val="List Paragraph"/>
    <w:basedOn w:val="1"/>
    <w:qFormat/>
    <w:uiPriority w:val="34"/>
    <w:pPr>
      <w:ind w:firstLine="420" w:firstLineChars="200"/>
    </w:pPr>
  </w:style>
  <w:style w:type="character" w:customStyle="1" w:styleId="39">
    <w:name w:val="标题 6 字符"/>
    <w:basedOn w:val="29"/>
    <w:link w:val="8"/>
    <w:qFormat/>
    <w:uiPriority w:val="9"/>
    <w:rPr>
      <w:rFonts w:ascii="Times New Roman" w:hAnsi="Times New Roman" w:eastAsia="仿宋_GB2312" w:cs="宋体"/>
      <w:sz w:val="32"/>
      <w:szCs w:val="32"/>
    </w:rPr>
  </w:style>
  <w:style w:type="paragraph" w:customStyle="1" w:styleId="40">
    <w:name w:val="表"/>
    <w:link w:val="41"/>
    <w:qFormat/>
    <w:uiPriority w:val="0"/>
    <w:pPr>
      <w:spacing w:line="0" w:lineRule="atLeast"/>
    </w:pPr>
    <w:rPr>
      <w:rFonts w:ascii="Times New Roman" w:hAnsi="Times New Roman" w:eastAsia="宋体" w:cs="宋体"/>
      <w:color w:val="000000"/>
      <w:kern w:val="2"/>
      <w:sz w:val="24"/>
      <w:szCs w:val="22"/>
      <w:lang w:val="en-US" w:eastAsia="zh-CN" w:bidi="ar-SA"/>
    </w:rPr>
  </w:style>
  <w:style w:type="character" w:customStyle="1" w:styleId="41">
    <w:name w:val="表 字符"/>
    <w:basedOn w:val="29"/>
    <w:link w:val="40"/>
    <w:qFormat/>
    <w:uiPriority w:val="0"/>
    <w:rPr>
      <w:rFonts w:ascii="Times New Roman" w:hAnsi="Times New Roman" w:eastAsia="宋体" w:cs="宋体"/>
      <w:color w:val="000000"/>
      <w:sz w:val="24"/>
    </w:rPr>
  </w:style>
  <w:style w:type="paragraph" w:customStyle="1" w:styleId="42">
    <w:name w:val="图"/>
    <w:link w:val="43"/>
    <w:qFormat/>
    <w:uiPriority w:val="0"/>
    <w:pPr>
      <w:keepNext/>
      <w:jc w:val="center"/>
    </w:pPr>
    <w:rPr>
      <w:rFonts w:ascii="Times New Roman" w:hAnsi="Times New Roman" w:eastAsia="仿宋_GB2312" w:cs="Times New Roman"/>
      <w:kern w:val="2"/>
      <w:sz w:val="32"/>
      <w:szCs w:val="32"/>
      <w:lang w:val="en-US" w:eastAsia="zh-CN" w:bidi="ar-SA"/>
    </w:rPr>
  </w:style>
  <w:style w:type="character" w:customStyle="1" w:styleId="43">
    <w:name w:val="图 字符"/>
    <w:basedOn w:val="29"/>
    <w:link w:val="42"/>
    <w:qFormat/>
    <w:uiPriority w:val="0"/>
    <w:rPr>
      <w:rFonts w:ascii="Times New Roman" w:hAnsi="Times New Roman" w:eastAsia="仿宋_GB2312" w:cs="Times New Roman"/>
      <w:sz w:val="32"/>
      <w:szCs w:val="32"/>
    </w:rPr>
  </w:style>
  <w:style w:type="paragraph" w:customStyle="1" w:styleId="44">
    <w:name w:val="图表"/>
    <w:basedOn w:val="1"/>
    <w:link w:val="45"/>
    <w:qFormat/>
    <w:uiPriority w:val="0"/>
    <w:rPr>
      <w:rFonts w:ascii="宋体" w:hAnsi="宋体"/>
      <w:szCs w:val="21"/>
    </w:rPr>
  </w:style>
  <w:style w:type="character" w:customStyle="1" w:styleId="45">
    <w:name w:val="图表 Char"/>
    <w:link w:val="44"/>
    <w:qFormat/>
    <w:uiPriority w:val="0"/>
    <w:rPr>
      <w:rFonts w:ascii="宋体" w:hAnsi="宋体"/>
      <w:szCs w:val="21"/>
    </w:rPr>
  </w:style>
  <w:style w:type="table" w:customStyle="1" w:styleId="46">
    <w:name w:val="我的表格"/>
    <w:basedOn w:val="27"/>
    <w:qFormat/>
    <w:uiPriority w:val="39"/>
    <w:pPr>
      <w:jc w:val="center"/>
    </w:pPr>
    <w:tblPr>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jc w:val="center"/>
    </w:trPr>
    <w:tcPr>
      <w:shd w:val="clear" w:color="auto" w:fill="auto"/>
      <w:vAlign w:val="center"/>
    </w:tcPr>
    <w:tblStylePr w:type="firstRow">
      <w:pPr>
        <w:jc w:val="center"/>
      </w:pPr>
      <w:rPr>
        <w:rFonts w:eastAsiaTheme="minorEastAsia"/>
        <w:b/>
      </w:rPr>
      <w:tblPr/>
      <w:trPr>
        <w:tblHeader/>
      </w:trPr>
      <w:tcPr>
        <w:shd w:val="clear" w:color="auto" w:fill="BEBEBE" w:themeFill="background1" w:themeFillShade="BF"/>
      </w:tcPr>
    </w:tblStylePr>
  </w:style>
  <w:style w:type="character" w:customStyle="1" w:styleId="47">
    <w:name w:val="我的正文 字符"/>
    <w:basedOn w:val="29"/>
    <w:link w:val="6"/>
    <w:qFormat/>
    <w:uiPriority w:val="0"/>
    <w:rPr>
      <w:rFonts w:ascii="Times New Roman" w:hAnsi="Times New Roman" w:eastAsia="仿宋_GB2312" w:cs="Times New Roman"/>
      <w:sz w:val="32"/>
      <w:szCs w:val="24"/>
    </w:rPr>
  </w:style>
  <w:style w:type="character" w:customStyle="1" w:styleId="48">
    <w:name w:val="标题 7 字符"/>
    <w:basedOn w:val="29"/>
    <w:link w:val="9"/>
    <w:qFormat/>
    <w:uiPriority w:val="9"/>
    <w:rPr>
      <w:rFonts w:ascii="Times New Roman" w:hAnsi="Times New Roman" w:eastAsia="仿宋_GB2312" w:cs="Times New Roman"/>
      <w:bCs/>
      <w:sz w:val="32"/>
      <w:szCs w:val="24"/>
    </w:rPr>
  </w:style>
  <w:style w:type="character" w:customStyle="1" w:styleId="49">
    <w:name w:val="标题 8 字符"/>
    <w:basedOn w:val="29"/>
    <w:link w:val="10"/>
    <w:qFormat/>
    <w:uiPriority w:val="9"/>
    <w:rPr>
      <w:rFonts w:ascii="Times New Roman" w:hAnsi="Times New Roman" w:eastAsia="仿宋_GB2312" w:cstheme="majorBidi"/>
      <w:sz w:val="32"/>
      <w:szCs w:val="24"/>
    </w:rPr>
  </w:style>
  <w:style w:type="character" w:customStyle="1" w:styleId="50">
    <w:name w:val="标题 9 字符"/>
    <w:basedOn w:val="29"/>
    <w:link w:val="11"/>
    <w:semiHidden/>
    <w:qFormat/>
    <w:uiPriority w:val="9"/>
    <w:rPr>
      <w:rFonts w:ascii="Times New Roman" w:hAnsi="Times New Roman" w:eastAsia="仿宋_GB2312" w:cstheme="majorBidi"/>
      <w:sz w:val="32"/>
      <w:szCs w:val="21"/>
    </w:rPr>
  </w:style>
  <w:style w:type="character" w:customStyle="1" w:styleId="51">
    <w:name w:val="副标题 字符"/>
    <w:basedOn w:val="29"/>
    <w:link w:val="22"/>
    <w:qFormat/>
    <w:uiPriority w:val="11"/>
    <w:rPr>
      <w:b/>
      <w:bCs/>
      <w:kern w:val="28"/>
      <w:sz w:val="32"/>
      <w:szCs w:val="32"/>
    </w:rPr>
  </w:style>
  <w:style w:type="character" w:customStyle="1" w:styleId="52">
    <w:name w:val="页眉 字符"/>
    <w:basedOn w:val="29"/>
    <w:link w:val="19"/>
    <w:qFormat/>
    <w:uiPriority w:val="99"/>
    <w:rPr>
      <w:sz w:val="18"/>
      <w:szCs w:val="18"/>
    </w:rPr>
  </w:style>
  <w:style w:type="character" w:customStyle="1" w:styleId="53">
    <w:name w:val="页脚 字符"/>
    <w:basedOn w:val="29"/>
    <w:link w:val="18"/>
    <w:qFormat/>
    <w:uiPriority w:val="99"/>
    <w:rPr>
      <w:sz w:val="18"/>
      <w:szCs w:val="18"/>
    </w:rPr>
  </w:style>
  <w:style w:type="paragraph" w:customStyle="1" w:styleId="54">
    <w:name w:val="删除内容"/>
    <w:link w:val="56"/>
    <w:qFormat/>
    <w:uiPriority w:val="0"/>
    <w:pPr>
      <w:jc w:val="center"/>
    </w:pPr>
    <w:rPr>
      <w:rFonts w:ascii="宋体" w:hAnsi="宋体" w:eastAsia="楷体" w:cs="宋体"/>
      <w:strike/>
      <w:color w:val="FF0000"/>
      <w:kern w:val="2"/>
      <w:sz w:val="21"/>
      <w:szCs w:val="22"/>
      <w:lang w:val="en-US" w:eastAsia="zh-CN" w:bidi="ar-SA"/>
    </w:rPr>
  </w:style>
  <w:style w:type="paragraph" w:customStyle="1" w:styleId="55">
    <w:name w:val="新增内容"/>
    <w:link w:val="58"/>
    <w:qFormat/>
    <w:uiPriority w:val="0"/>
    <w:pPr>
      <w:jc w:val="both"/>
    </w:pPr>
    <w:rPr>
      <w:rFonts w:ascii="宋体" w:hAnsi="宋体" w:eastAsia="黑体" w:cs="宋体"/>
      <w:b/>
      <w:color w:val="0070C0"/>
      <w:kern w:val="2"/>
      <w:sz w:val="21"/>
      <w:szCs w:val="22"/>
      <w:lang w:val="en-US" w:eastAsia="zh-CN" w:bidi="ar-SA"/>
    </w:rPr>
  </w:style>
  <w:style w:type="character" w:customStyle="1" w:styleId="56">
    <w:name w:val="删除内容 字符"/>
    <w:basedOn w:val="41"/>
    <w:link w:val="54"/>
    <w:qFormat/>
    <w:uiPriority w:val="0"/>
    <w:rPr>
      <w:rFonts w:ascii="宋体" w:hAnsi="宋体" w:eastAsia="楷体" w:cs="宋体"/>
      <w:strike/>
      <w:color w:val="FF0000"/>
      <w:sz w:val="24"/>
    </w:rPr>
  </w:style>
  <w:style w:type="character" w:customStyle="1" w:styleId="57">
    <w:name w:val="Intense Reference"/>
    <w:basedOn w:val="29"/>
    <w:qFormat/>
    <w:uiPriority w:val="32"/>
    <w:rPr>
      <w:b/>
      <w:bCs/>
      <w:smallCaps/>
      <w:color w:val="4874CB" w:themeColor="accent1"/>
      <w:spacing w:val="5"/>
      <w14:textFill>
        <w14:solidFill>
          <w14:schemeClr w14:val="accent1"/>
        </w14:solidFill>
      </w14:textFill>
    </w:rPr>
  </w:style>
  <w:style w:type="character" w:customStyle="1" w:styleId="58">
    <w:name w:val="新增内容 字符"/>
    <w:basedOn w:val="41"/>
    <w:link w:val="55"/>
    <w:qFormat/>
    <w:uiPriority w:val="0"/>
    <w:rPr>
      <w:rFonts w:ascii="宋体" w:hAnsi="宋体" w:eastAsia="黑体" w:cs="宋体"/>
      <w:b/>
      <w:color w:val="0070C0"/>
      <w:sz w:val="24"/>
    </w:rPr>
  </w:style>
  <w:style w:type="paragraph" w:customStyle="1" w:styleId="59">
    <w:name w:val="公文正文"/>
    <w:basedOn w:val="6"/>
    <w:link w:val="61"/>
    <w:qFormat/>
    <w:uiPriority w:val="0"/>
    <w:pPr>
      <w:ind w:firstLine="480"/>
    </w:pPr>
  </w:style>
  <w:style w:type="paragraph" w:customStyle="1" w:styleId="60">
    <w:name w:val="H2"/>
    <w:basedOn w:val="1"/>
    <w:next w:val="1"/>
    <w:qFormat/>
    <w:uiPriority w:val="0"/>
    <w:pPr>
      <w:spacing w:line="590" w:lineRule="exact"/>
      <w:ind w:firstLine="640"/>
    </w:pPr>
    <w:rPr>
      <w:rFonts w:ascii="Times New Roman" w:hAnsi="Times New Roman" w:eastAsia="楷体_GB2312" w:cs="宋体"/>
      <w:sz w:val="32"/>
      <w:szCs w:val="20"/>
    </w:rPr>
  </w:style>
  <w:style w:type="character" w:customStyle="1" w:styleId="61">
    <w:name w:val="公文正文 字符"/>
    <w:basedOn w:val="47"/>
    <w:link w:val="59"/>
    <w:qFormat/>
    <w:uiPriority w:val="0"/>
    <w:rPr>
      <w:rFonts w:ascii="宋体" w:hAnsi="宋体" w:eastAsia="仿宋_GB2312" w:cs="Times New Roman"/>
      <w:sz w:val="32"/>
      <w:szCs w:val="24"/>
    </w:rPr>
  </w:style>
  <w:style w:type="paragraph" w:customStyle="1" w:styleId="62">
    <w:name w:val="TOC Heading"/>
    <w:basedOn w:val="2"/>
    <w:next w:val="1"/>
    <w:unhideWhenUsed/>
    <w:qFormat/>
    <w:uiPriority w:val="39"/>
    <w:pPr>
      <w:keepLines/>
      <w:numPr>
        <w:numId w:val="0"/>
      </w:numPr>
      <w:spacing w:before="240" w:line="259" w:lineRule="auto"/>
      <w:outlineLvl w:val="9"/>
    </w:pPr>
    <w:rPr>
      <w:rFonts w:asciiTheme="majorHAnsi" w:hAnsiTheme="majorHAnsi" w:eastAsiaTheme="majorEastAsia" w:cstheme="majorBidi"/>
      <w:color w:val="2E54A1" w:themeColor="accent1" w:themeShade="BF"/>
      <w:kern w:val="0"/>
    </w:rPr>
  </w:style>
  <w:style w:type="character" w:customStyle="1" w:styleId="63">
    <w:name w:val="Unresolved Mention"/>
    <w:basedOn w:val="29"/>
    <w:semiHidden/>
    <w:unhideWhenUsed/>
    <w:qFormat/>
    <w:uiPriority w:val="99"/>
    <w:rPr>
      <w:color w:val="605E5C"/>
      <w:shd w:val="clear" w:color="auto" w:fill="E1DFDD"/>
    </w:rPr>
  </w:style>
  <w:style w:type="paragraph" w:customStyle="1" w:styleId="64">
    <w:name w:val="Revision"/>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65">
    <w:name w:val="段内标题"/>
    <w:basedOn w:val="6"/>
    <w:link w:val="66"/>
    <w:qFormat/>
    <w:uiPriority w:val="0"/>
    <w:pPr>
      <w:ind w:firstLine="643"/>
    </w:pPr>
    <w:rPr>
      <w:b/>
    </w:rPr>
  </w:style>
  <w:style w:type="character" w:customStyle="1" w:styleId="66">
    <w:name w:val="段内标题 字符"/>
    <w:basedOn w:val="47"/>
    <w:link w:val="65"/>
    <w:qFormat/>
    <w:uiPriority w:val="0"/>
    <w:rPr>
      <w:rFonts w:ascii="Times New Roman" w:hAnsi="Times New Roman" w:eastAsia="仿宋_GB2312" w:cs="Times New Roman"/>
      <w:b/>
      <w:sz w:val="32"/>
      <w:szCs w:val="24"/>
    </w:rPr>
  </w:style>
  <w:style w:type="paragraph" w:styleId="67">
    <w:name w:val="Quote"/>
    <w:basedOn w:val="1"/>
    <w:next w:val="1"/>
    <w:link w:val="68"/>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68">
    <w:name w:val="引用 字符"/>
    <w:basedOn w:val="29"/>
    <w:link w:val="67"/>
    <w:qFormat/>
    <w:uiPriority w:val="29"/>
    <w:rPr>
      <w:i/>
      <w:iCs/>
      <w:color w:val="404040" w:themeColor="text1" w:themeTint="BF"/>
      <w14:textFill>
        <w14:solidFill>
          <w14:schemeClr w14:val="tx1">
            <w14:lumMod w14:val="75000"/>
            <w14:lumOff w14:val="25000"/>
          </w14:schemeClr>
        </w14:solidFill>
      </w14:textFill>
    </w:rPr>
  </w:style>
  <w:style w:type="character" w:customStyle="1" w:styleId="69">
    <w:name w:val="Intense Emphasis"/>
    <w:basedOn w:val="29"/>
    <w:qFormat/>
    <w:uiPriority w:val="21"/>
    <w:rPr>
      <w:i/>
      <w:iCs/>
      <w:color w:val="2E54A1" w:themeColor="accent1" w:themeShade="BF"/>
    </w:rPr>
  </w:style>
  <w:style w:type="paragraph" w:styleId="70">
    <w:name w:val="Intense Quote"/>
    <w:basedOn w:val="1"/>
    <w:next w:val="1"/>
    <w:link w:val="71"/>
    <w:qFormat/>
    <w:uiPriority w:val="30"/>
    <w:pPr>
      <w:pBdr>
        <w:top w:val="single" w:color="2D54A0" w:themeColor="accent1" w:themeShade="BF" w:sz="4" w:space="10"/>
        <w:bottom w:val="single" w:color="2D54A0" w:themeColor="accent1" w:themeShade="BF" w:sz="4" w:space="10"/>
      </w:pBdr>
      <w:spacing w:before="360" w:after="360"/>
      <w:ind w:left="864" w:right="864"/>
      <w:jc w:val="center"/>
    </w:pPr>
    <w:rPr>
      <w:i/>
      <w:iCs/>
      <w:color w:val="2E54A1" w:themeColor="accent1" w:themeShade="BF"/>
    </w:rPr>
  </w:style>
  <w:style w:type="character" w:customStyle="1" w:styleId="71">
    <w:name w:val="明显引用 字符"/>
    <w:basedOn w:val="29"/>
    <w:link w:val="70"/>
    <w:qFormat/>
    <w:uiPriority w:val="30"/>
    <w:rPr>
      <w:i/>
      <w:iCs/>
      <w:color w:val="2E54A1" w:themeColor="accent1" w:themeShade="BF"/>
    </w:rPr>
  </w:style>
  <w:style w:type="paragraph" w:customStyle="1" w:styleId="72">
    <w:name w:val="表格"/>
    <w:basedOn w:val="1"/>
    <w:qFormat/>
    <w:uiPriority w:val="99"/>
    <w:pPr>
      <w:widowControl/>
      <w:jc w:val="center"/>
    </w:pPr>
    <w:rPr>
      <w:rFonts w:ascii="Times New Roman" w:hAnsi="Times New Roman"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15E72401-377D-48AD-9F43-F350C0C41213}">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4534</Words>
  <Characters>5269</Characters>
  <Lines>1</Lines>
  <Paragraphs>1</Paragraphs>
  <TotalTime>0</TotalTime>
  <ScaleCrop>false</ScaleCrop>
  <LinksUpToDate>false</LinksUpToDate>
  <CharactersWithSpaces>5294</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2026-01-12T15:01:00Z</dcterms:created>
  <dc:creator>Jin Wang</dc:creator>
  <cp:lastModifiedBy>weiwen</cp:lastModifiedBy>
  <cp:lastPrinted>2022-09-20T14:51:00Z</cp:lastPrinted>
  <dcterms:modified xsi:type="dcterms:W3CDTF">2026-05-22T01:13:23Z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eyJoZGlkIjoiOTllOWQ3MDg5NTdkOTUxMmYwZjRiMzg4NzYxZGMwZDgiLCJ1c2VySWQiOiI0NjYxMDI1MTQifQ==</vt:lpwstr>
  </property>
  <property fmtid="{D5CDD505-2E9C-101B-9397-08002B2CF9AE}" pid="3" name="KSOProductBuildVer">
    <vt:lpwstr>2052-12.1.24031.24031</vt:lpwstr>
  </property>
  <property fmtid="{D5CDD505-2E9C-101B-9397-08002B2CF9AE}" pid="4" name="ICV">
    <vt:lpwstr>BF7064B54701DEE5333D0F6A91CCF72C_43</vt:lpwstr>
  </property>
</Properties>
</file>