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7FE905">
      <w:pPr>
        <w:pStyle w:val="25"/>
        <w:bidi w:val="0"/>
        <w:rPr>
          <w:rFonts w:hint="eastAsia" w:eastAsia="方正小标宋简体"/>
          <w:lang w:eastAsia="zh-CN"/>
        </w:rPr>
      </w:pPr>
      <w:r>
        <w:rPr>
          <w:rFonts w:hint="eastAsia"/>
        </w:rPr>
        <w:t>碳普惠项目减排量核算技术规范</w:t>
      </w:r>
      <w:r>
        <w:rPr>
          <w:rFonts w:hint="eastAsia"/>
        </w:rPr>
        <w:br w:type="textWrapping"/>
      </w:r>
      <w:r>
        <w:rPr>
          <w:rFonts w:hint="eastAsia"/>
          <w:lang w:val="en-US" w:eastAsia="zh-CN"/>
        </w:rPr>
        <w:t xml:space="preserve">垃圾分类  </w:t>
      </w:r>
      <w:r>
        <w:rPr>
          <w:rFonts w:hint="eastAsia"/>
        </w:rPr>
        <w:t>编制说明</w:t>
      </w:r>
      <w:r>
        <w:rPr>
          <w:rFonts w:hint="eastAsia"/>
          <w:lang w:eastAsia="zh-CN"/>
        </w:rPr>
        <w:t>（</w:t>
      </w:r>
      <w:r>
        <w:rPr>
          <w:rFonts w:hint="eastAsia"/>
          <w:lang w:val="en-US" w:eastAsia="zh-CN"/>
        </w:rPr>
        <w:t>初稿</w:t>
      </w:r>
      <w:r>
        <w:rPr>
          <w:rFonts w:hint="eastAsia"/>
          <w:lang w:eastAsia="zh-CN"/>
        </w:rPr>
        <w:t>）</w:t>
      </w:r>
    </w:p>
    <w:p w14:paraId="4D22E8B1">
      <w:pPr>
        <w:pStyle w:val="6"/>
        <w:rPr>
          <w:rFonts w:hint="eastAsia"/>
        </w:rPr>
      </w:pPr>
    </w:p>
    <w:p w14:paraId="2EAA0B1B">
      <w:pPr>
        <w:pStyle w:val="6"/>
        <w:rPr>
          <w:rFonts w:hint="eastAsia"/>
        </w:rPr>
      </w:pPr>
    </w:p>
    <w:p w14:paraId="3E28DA11">
      <w:pPr>
        <w:pStyle w:val="6"/>
        <w:rPr>
          <w:rFonts w:hint="eastAsia"/>
        </w:rPr>
      </w:pPr>
    </w:p>
    <w:p w14:paraId="142FB896">
      <w:pPr>
        <w:pStyle w:val="6"/>
        <w:rPr>
          <w:rFonts w:hint="eastAsia"/>
        </w:rPr>
      </w:pPr>
    </w:p>
    <w:p w14:paraId="6C342A72">
      <w:pPr>
        <w:pStyle w:val="6"/>
        <w:rPr>
          <w:rFonts w:hint="eastAsia"/>
        </w:rPr>
      </w:pPr>
    </w:p>
    <w:p w14:paraId="25FE1C87">
      <w:pPr>
        <w:pStyle w:val="6"/>
        <w:rPr>
          <w:rFonts w:hint="eastAsia"/>
        </w:rPr>
      </w:pPr>
    </w:p>
    <w:p w14:paraId="5417D30D">
      <w:pPr>
        <w:pStyle w:val="6"/>
        <w:rPr>
          <w:rFonts w:hint="eastAsia"/>
        </w:rPr>
      </w:pPr>
    </w:p>
    <w:p w14:paraId="6AF120D4">
      <w:pPr>
        <w:pStyle w:val="6"/>
        <w:rPr>
          <w:rFonts w:hint="eastAsia"/>
        </w:rPr>
      </w:pPr>
    </w:p>
    <w:p w14:paraId="16F37511">
      <w:pPr>
        <w:pStyle w:val="6"/>
        <w:rPr>
          <w:rFonts w:hint="eastAsia"/>
        </w:rPr>
      </w:pPr>
    </w:p>
    <w:p w14:paraId="1360D88D">
      <w:pPr>
        <w:pStyle w:val="6"/>
        <w:rPr>
          <w:rFonts w:hint="eastAsia"/>
        </w:rPr>
      </w:pPr>
    </w:p>
    <w:p w14:paraId="15952DC6">
      <w:pPr>
        <w:pStyle w:val="6"/>
        <w:rPr>
          <w:rFonts w:hint="eastAsia"/>
        </w:rPr>
      </w:pPr>
    </w:p>
    <w:p w14:paraId="44ECF384">
      <w:pPr>
        <w:pStyle w:val="6"/>
        <w:rPr>
          <w:rFonts w:hint="eastAsia"/>
        </w:rPr>
      </w:pPr>
    </w:p>
    <w:p w14:paraId="58A1D8D4">
      <w:pPr>
        <w:pStyle w:val="6"/>
        <w:rPr>
          <w:rFonts w:hint="eastAsia"/>
        </w:rPr>
      </w:pPr>
    </w:p>
    <w:p w14:paraId="3A86FF92">
      <w:pPr>
        <w:pStyle w:val="6"/>
        <w:rPr>
          <w:rFonts w:hint="eastAsia"/>
        </w:rPr>
      </w:pPr>
    </w:p>
    <w:p w14:paraId="46801B9B">
      <w:pPr>
        <w:pStyle w:val="6"/>
        <w:rPr>
          <w:rFonts w:hint="eastAsia"/>
        </w:rPr>
      </w:pPr>
    </w:p>
    <w:p w14:paraId="73DD8CA6">
      <w:pPr>
        <w:pStyle w:val="6"/>
        <w:jc w:val="center"/>
        <w:rPr>
          <w:rFonts w:hint="eastAsia" w:ascii="黑体" w:hAnsi="黑体" w:eastAsia="黑体" w:cs="黑体"/>
          <w:lang w:val="en-US" w:eastAsia="zh-CN"/>
        </w:rPr>
      </w:pPr>
      <w:r>
        <w:rPr>
          <w:rFonts w:hint="eastAsia" w:ascii="黑体" w:hAnsi="黑体" w:eastAsia="黑体" w:cs="黑体"/>
          <w:lang w:eastAsia="zh-CN"/>
        </w:rPr>
        <w:t>《碳普惠项目减排量核算技术规范</w:t>
      </w:r>
      <w:r>
        <w:rPr>
          <w:rFonts w:hint="eastAsia" w:ascii="黑体" w:hAnsi="黑体" w:eastAsia="黑体" w:cs="黑体"/>
          <w:lang w:val="en-US" w:eastAsia="zh-CN"/>
        </w:rPr>
        <w:t xml:space="preserve">  垃圾分类</w:t>
      </w:r>
      <w:r>
        <w:rPr>
          <w:rFonts w:hint="eastAsia" w:ascii="黑体" w:hAnsi="黑体" w:eastAsia="黑体" w:cs="黑体"/>
          <w:lang w:eastAsia="zh-CN"/>
        </w:rPr>
        <w:t>》</w:t>
      </w:r>
      <w:r>
        <w:rPr>
          <w:rFonts w:hint="eastAsia" w:ascii="黑体" w:hAnsi="黑体" w:eastAsia="黑体" w:cs="黑体"/>
          <w:lang w:val="en-US" w:eastAsia="zh-CN"/>
        </w:rPr>
        <w:t>编制组</w:t>
      </w:r>
    </w:p>
    <w:p w14:paraId="77ED0535">
      <w:pPr>
        <w:pStyle w:val="6"/>
        <w:jc w:val="center"/>
        <w:rPr>
          <w:rFonts w:hint="eastAsia" w:ascii="黑体" w:hAnsi="黑体" w:eastAsia="黑体" w:cs="黑体"/>
          <w:lang w:val="en-US" w:eastAsia="zh-CN"/>
        </w:rPr>
      </w:pPr>
      <w:r>
        <w:rPr>
          <w:rFonts w:hint="eastAsia" w:ascii="黑体" w:hAnsi="黑体" w:eastAsia="黑体" w:cs="黑体"/>
          <w:lang w:val="en-US" w:eastAsia="zh-CN"/>
        </w:rPr>
        <w:t>二〇二六年五</w:t>
      </w:r>
      <w:bookmarkStart w:id="0" w:name="_GoBack"/>
      <w:bookmarkEnd w:id="0"/>
      <w:r>
        <w:rPr>
          <w:rFonts w:hint="eastAsia" w:ascii="黑体" w:hAnsi="黑体" w:eastAsia="黑体" w:cs="黑体"/>
          <w:lang w:val="en-US" w:eastAsia="zh-CN"/>
        </w:rPr>
        <w:t>月</w:t>
      </w:r>
    </w:p>
    <w:p w14:paraId="7C9E53B9">
      <w:pPr>
        <w:rPr>
          <w:rFonts w:hint="eastAsia" w:ascii="黑体" w:hAnsi="黑体" w:eastAsia="黑体" w:cs="黑体"/>
          <w:lang w:val="en-US" w:eastAsia="zh-CN"/>
        </w:rPr>
        <w:sectPr>
          <w:footerReference r:id="rId5" w:type="default"/>
          <w:footerReference r:id="rId6" w:type="even"/>
          <w:pgSz w:w="11906" w:h="16838"/>
          <w:pgMar w:top="2098" w:right="1247" w:bottom="1758" w:left="1588" w:header="1134" w:footer="1503" w:gutter="0"/>
          <w:cols w:space="425" w:num="1"/>
          <w:titlePg/>
          <w:docGrid w:type="linesAndChars" w:linePitch="312" w:charSpace="0"/>
        </w:sectPr>
      </w:pPr>
    </w:p>
    <w:p w14:paraId="3FDE8760">
      <w:pPr>
        <w:pStyle w:val="2"/>
        <w:bidi w:val="0"/>
        <w:rPr>
          <w:rFonts w:hint="eastAsia"/>
          <w:lang w:val="en-US" w:eastAsia="zh-CN"/>
        </w:rPr>
      </w:pPr>
      <w:r>
        <w:rPr>
          <w:rFonts w:hint="eastAsia"/>
          <w:lang w:val="en-US" w:eastAsia="zh-CN"/>
        </w:rPr>
        <w:t>任务来源</w:t>
      </w:r>
    </w:p>
    <w:p w14:paraId="361C8965">
      <w:pPr>
        <w:pStyle w:val="6"/>
        <w:bidi w:val="0"/>
        <w:rPr>
          <w:rFonts w:hint="eastAsia"/>
          <w:lang w:val="en-US" w:eastAsia="zh-CN"/>
        </w:rPr>
      </w:pPr>
      <w:r>
        <w:rPr>
          <w:rFonts w:hint="eastAsia"/>
          <w:lang w:val="en-US" w:eastAsia="zh-CN"/>
        </w:rPr>
        <w:t>长岛国际零碳岛是全国首个以“国际零碳”为定位的海岛示范区，其《长岛国际零碳岛发展规划（2023—2035年）》明确提出“2027年碳排放较2023年下降20%、2030年主导产业与碳排放脱钩、2035年全域净零排放”三阶段目标。数据显示，2022年长岛温室气体排放总量达23.11万吨二氧化碳当量，碳汇量仅9.25万吨，净零排放缺口13.86万吨。</w:t>
      </w:r>
    </w:p>
    <w:p w14:paraId="5E12B62A">
      <w:pPr>
        <w:pStyle w:val="6"/>
        <w:bidi w:val="0"/>
        <w:rPr>
          <w:rFonts w:hint="eastAsia"/>
          <w:lang w:val="en-US" w:eastAsia="zh-CN"/>
        </w:rPr>
      </w:pPr>
      <w:r>
        <w:rPr>
          <w:rFonts w:hint="eastAsia"/>
          <w:lang w:val="en-US" w:eastAsia="zh-CN"/>
        </w:rPr>
        <w:t>当前，长岛已启动碳普惠平台小程序建设，但缺乏覆盖居民、游客及经营主体的具体场景方法学，无法精准核算低碳行为减排量，难以有效引导全社会参与。亟需开发适配长岛实际的碳普惠方法学，支撑规划目标落地，打造“国际零碳岛”碳普惠样板。</w:t>
      </w:r>
    </w:p>
    <w:p w14:paraId="6EC4308D">
      <w:pPr>
        <w:pStyle w:val="6"/>
        <w:bidi w:val="0"/>
        <w:rPr>
          <w:rFonts w:hint="default"/>
          <w:lang w:val="en-US" w:eastAsia="zh-CN"/>
        </w:rPr>
      </w:pPr>
      <w:r>
        <w:rPr>
          <w:rFonts w:hint="eastAsia"/>
          <w:lang w:val="en-US" w:eastAsia="zh-CN"/>
        </w:rPr>
        <w:t>根据以上情况，深圳市绿色低碳科技促进会发起《</w:t>
      </w:r>
      <w:r>
        <w:rPr>
          <w:rFonts w:hint="eastAsia"/>
        </w:rPr>
        <w:t>碳普惠项目减排量核算技术规范</w:t>
      </w:r>
      <w:r>
        <w:rPr>
          <w:rFonts w:hint="eastAsia"/>
          <w:lang w:val="en-US" w:eastAsia="zh-CN"/>
        </w:rPr>
        <w:t>》系列团体标准立项，本标准是其中之一。</w:t>
      </w:r>
    </w:p>
    <w:p w14:paraId="1D513200">
      <w:pPr>
        <w:pStyle w:val="2"/>
        <w:bidi w:val="0"/>
        <w:rPr>
          <w:rFonts w:hint="eastAsia"/>
          <w:lang w:val="en-US" w:eastAsia="zh-CN"/>
        </w:rPr>
      </w:pPr>
      <w:r>
        <w:rPr>
          <w:rFonts w:hint="eastAsia"/>
          <w:lang w:val="en-US" w:eastAsia="zh-CN"/>
        </w:rPr>
        <w:t>编制原则</w:t>
      </w:r>
    </w:p>
    <w:p w14:paraId="1840C454">
      <w:pPr>
        <w:pStyle w:val="6"/>
        <w:bidi w:val="0"/>
        <w:rPr>
          <w:rFonts w:hint="eastAsia"/>
          <w:lang w:val="en-US" w:eastAsia="zh-CN"/>
        </w:rPr>
      </w:pPr>
      <w:r>
        <w:rPr>
          <w:rFonts w:hint="eastAsia"/>
          <w:lang w:val="en-US" w:eastAsia="zh-CN"/>
        </w:rPr>
        <w:t>原则性：根据《中华人民共和国标准法》及其《实施细则》、《团体标准的结构和编写指南》（T/CAS 1.1-2017）进行编制。</w:t>
      </w:r>
    </w:p>
    <w:p w14:paraId="253AEAAF">
      <w:pPr>
        <w:pStyle w:val="6"/>
        <w:bidi w:val="0"/>
        <w:rPr>
          <w:rFonts w:hint="eastAsia"/>
          <w:lang w:val="en-US" w:eastAsia="zh-CN"/>
        </w:rPr>
      </w:pPr>
      <w:r>
        <w:rPr>
          <w:rFonts w:hint="eastAsia"/>
          <w:lang w:val="en-US" w:eastAsia="zh-CN"/>
        </w:rPr>
        <w:t>相关性：方法学需紧密贴合政策目标、产业需求及实际场景。</w:t>
      </w:r>
    </w:p>
    <w:p w14:paraId="35E1E7CF">
      <w:pPr>
        <w:pStyle w:val="6"/>
        <w:bidi w:val="0"/>
        <w:rPr>
          <w:rFonts w:hint="eastAsia"/>
          <w:lang w:val="en-US" w:eastAsia="zh-CN"/>
        </w:rPr>
      </w:pPr>
      <w:r>
        <w:rPr>
          <w:rFonts w:hint="eastAsia"/>
          <w:lang w:val="en-US" w:eastAsia="zh-CN"/>
        </w:rPr>
        <w:t>完整性：完整性要求方法学覆盖所有影响碳减排的关键环节和边界，避免因遗漏导致核算偏差。</w:t>
      </w:r>
    </w:p>
    <w:p w14:paraId="1F21CDE7">
      <w:pPr>
        <w:pStyle w:val="6"/>
        <w:bidi w:val="0"/>
        <w:rPr>
          <w:rFonts w:hint="eastAsia"/>
          <w:lang w:val="en-US" w:eastAsia="zh-CN"/>
        </w:rPr>
      </w:pPr>
      <w:r>
        <w:rPr>
          <w:rFonts w:hint="eastAsia"/>
          <w:lang w:val="en-US" w:eastAsia="zh-CN"/>
        </w:rPr>
        <w:t>准确性：强调核算方法的科学性与数据来源的可靠性，确保结果可验证、误差可控。</w:t>
      </w:r>
    </w:p>
    <w:p w14:paraId="0794EFC9">
      <w:pPr>
        <w:pStyle w:val="6"/>
        <w:bidi w:val="0"/>
        <w:rPr>
          <w:rFonts w:hint="eastAsia"/>
          <w:lang w:val="en-US" w:eastAsia="zh-CN"/>
        </w:rPr>
      </w:pPr>
      <w:r>
        <w:rPr>
          <w:rFonts w:hint="eastAsia"/>
          <w:lang w:val="en-US" w:eastAsia="zh-CN"/>
        </w:rPr>
        <w:t>透明性：要求方法学的核算逻辑、数据来源可追溯，确保第三方可复现核算过程并验证结果。</w:t>
      </w:r>
    </w:p>
    <w:p w14:paraId="22D987E7">
      <w:pPr>
        <w:pStyle w:val="6"/>
        <w:bidi w:val="0"/>
        <w:rPr>
          <w:rFonts w:hint="eastAsia"/>
          <w:lang w:val="en-US" w:eastAsia="zh-CN"/>
        </w:rPr>
      </w:pPr>
      <w:r>
        <w:rPr>
          <w:rFonts w:hint="eastAsia"/>
          <w:lang w:val="en-US" w:eastAsia="zh-CN"/>
        </w:rPr>
        <w:t>一致性：确保方法学在不同项目、不同时间中的应用逻辑统一，结果可比。</w:t>
      </w:r>
    </w:p>
    <w:p w14:paraId="6C634757">
      <w:pPr>
        <w:pStyle w:val="2"/>
        <w:bidi w:val="0"/>
        <w:rPr>
          <w:rFonts w:hint="eastAsia"/>
          <w:lang w:val="en-US" w:eastAsia="zh-CN"/>
        </w:rPr>
      </w:pPr>
      <w:r>
        <w:rPr>
          <w:rFonts w:hint="eastAsia"/>
          <w:lang w:val="en-US" w:eastAsia="zh-CN"/>
        </w:rPr>
        <w:t>编制思路</w:t>
      </w:r>
    </w:p>
    <w:p w14:paraId="1D00972A">
      <w:pPr>
        <w:pStyle w:val="3"/>
        <w:bidi w:val="0"/>
        <w:rPr>
          <w:rFonts w:hint="eastAsia"/>
          <w:lang w:val="en-US" w:eastAsia="zh-CN"/>
        </w:rPr>
      </w:pPr>
      <w:r>
        <w:rPr>
          <w:rFonts w:hint="eastAsia"/>
          <w:lang w:val="en-US" w:eastAsia="zh-CN"/>
        </w:rPr>
        <w:t>系统边界</w:t>
      </w:r>
    </w:p>
    <w:p w14:paraId="4A9A88E4">
      <w:pPr>
        <w:pStyle w:val="6"/>
        <w:rPr>
          <w:rFonts w:hint="eastAsia"/>
          <w:lang w:val="en-US" w:eastAsia="zh-CN"/>
        </w:rPr>
      </w:pPr>
      <w:r>
        <w:rPr>
          <w:rFonts w:hint="eastAsia"/>
          <w:lang w:val="en-US" w:eastAsia="zh-CN"/>
        </w:rPr>
        <w:t>系统边界为城市生活垃圾在末端处理处置环节产生的温室气体排放。根据《山东省生活垃圾管理条例》及相关分类政策，生活垃圾明确分为四类：厨余垃圾、可回收物、有害垃圾和其他垃圾，本项目核算范围仅涵盖此四类城市生活垃圾，不包括工业固体废物、农业废弃物、建筑垃圾等非生活源垃圾。</w:t>
      </w:r>
    </w:p>
    <w:p w14:paraId="2FBC0E39">
      <w:pPr>
        <w:pStyle w:val="6"/>
        <w:rPr>
          <w:rFonts w:hint="eastAsia"/>
          <w:lang w:val="en-US" w:eastAsia="zh-CN"/>
        </w:rPr>
      </w:pPr>
      <w:r>
        <w:rPr>
          <w:rFonts w:hint="eastAsia"/>
          <w:lang w:val="en-US" w:eastAsia="zh-CN"/>
        </w:rPr>
        <w:t>在处理处置方式上，基准线情景下主要采用焚烧与卫生填埋，项目情景下则依据分类结果分别采用厨余垃圾厌氧处理、可回收物回收利用、其他垃圾焚烧/填埋、有害垃圾安全处置四种方式。</w:t>
      </w:r>
    </w:p>
    <w:p w14:paraId="593C0786">
      <w:pPr>
        <w:pStyle w:val="6"/>
        <w:rPr>
          <w:rFonts w:hint="eastAsia"/>
          <w:lang w:val="en-US" w:eastAsia="zh-CN"/>
        </w:rPr>
      </w:pPr>
      <w:r>
        <w:rPr>
          <w:rFonts w:hint="eastAsia"/>
          <w:lang w:val="en-US" w:eastAsia="zh-CN"/>
        </w:rPr>
        <w:t>在流程环节上，系统边界仅包含城市生活垃圾进入处理设施后的处置过程，不包含前端的投放、收集、转运等环节。其原因在于，垃圾分类政策的减排量差异源于改变不同处理处置方式，而碳排放差异集中体现在处置阶段，聚焦该环节既能准确反映分类带来的结构性减排，又可避免前端环节因地域和管理差异引入的核算不确定性，确保评估结果科学、简洁、可比。</w:t>
      </w:r>
    </w:p>
    <w:p w14:paraId="5A19A143">
      <w:pPr>
        <w:pStyle w:val="3"/>
        <w:bidi w:val="0"/>
        <w:rPr>
          <w:rFonts w:hint="eastAsia"/>
          <w:lang w:val="en-US" w:eastAsia="zh-CN"/>
        </w:rPr>
      </w:pPr>
      <w:r>
        <w:rPr>
          <w:rFonts w:hint="eastAsia"/>
          <w:lang w:val="en-US" w:eastAsia="zh-CN"/>
        </w:rPr>
        <w:t>基准线情景</w:t>
      </w:r>
    </w:p>
    <w:p w14:paraId="4FFE7E33">
      <w:pPr>
        <w:pStyle w:val="6"/>
        <w:rPr>
          <w:rFonts w:hint="eastAsia"/>
          <w:lang w:val="en-US" w:eastAsia="zh-CN"/>
        </w:rPr>
      </w:pPr>
      <w:r>
        <w:rPr>
          <w:rFonts w:hint="eastAsia"/>
          <w:lang w:val="en-US" w:eastAsia="zh-CN"/>
        </w:rPr>
        <w:t>基准线情景设定为垃圾分类政策实施前生活垃圾处理处置所产生的碳排放量。具体选择垃圾焚烧与卫生填埋两种处理处置方式，原因在于2021年《山东省生活垃圾管理条例》实施前，这两种方式是省内多数城市生活垃圾处理主要方式，具有普遍性与代表性，能真实反映条例实施前的垃圾处理碳排放特征。同时，焚烧与填埋均为高碳排放处理处置方式，焚烧过程产生大量二氧化碳、甲烷等温室气体，卫生填埋则因有机物厌氧分解释放高强度温室效应的甲烷，二者在垃圾处理碳排放中占比显著。</w:t>
      </w:r>
    </w:p>
    <w:p w14:paraId="3E6D1A07">
      <w:pPr>
        <w:pStyle w:val="3"/>
        <w:bidi w:val="0"/>
        <w:rPr>
          <w:rFonts w:hint="eastAsia"/>
          <w:lang w:val="en-US" w:eastAsia="zh-CN"/>
        </w:rPr>
      </w:pPr>
      <w:r>
        <w:rPr>
          <w:rFonts w:hint="eastAsia"/>
          <w:lang w:val="en-US" w:eastAsia="zh-CN"/>
        </w:rPr>
        <w:t>项目情景</w:t>
      </w:r>
    </w:p>
    <w:p w14:paraId="7BFDE84B">
      <w:pPr>
        <w:pStyle w:val="6"/>
        <w:rPr>
          <w:rFonts w:hint="eastAsia"/>
          <w:lang w:val="en-US" w:eastAsia="zh-CN"/>
        </w:rPr>
      </w:pPr>
      <w:r>
        <w:rPr>
          <w:rFonts w:hint="eastAsia"/>
          <w:lang w:val="en-US" w:eastAsia="zh-CN"/>
        </w:rPr>
        <w:t>项目情景设定为垃圾分类政策实施后生活垃圾处理处置所产生的碳排放量。政策实施后，经分类后的垃圾可进一步处理：厨余垃圾进行厌氧处理、可回收物进行回收处理、其他垃圾进行焚烧与填埋处理、有害垃圾进行安全处置。通过分类分流实现了整体碳排放的结构性优化：厨余垃圾单独进行厌氧处理，可有效规避其进入填埋环节产生的甲烷排放，并实现沼气能源回收，替代化石燃料燃烧产生的碳排放；可回收物通过回收处理，替代了原生资源的开采与加工，从源头削减了制造业的高碳排放；对于分类后的其他垃圾，虽仍采用焚烧与填埋处置，但因易腐垃圾及可回收物已被分出，其热值更趋稳定，焚烧效率得以提升，且填埋量因垃圾总量减少而相应下降，间接降低了填埋场的甲烷排放；有害垃圾的安全处置则消除了其在非规范处理过程中的隐性碳排放风险。上述分类处置体系通过源头分流、资源化替代及处置效率提升，系统性降低了生活垃圾处理全链条的温室气体排放强度。</w:t>
      </w:r>
    </w:p>
    <w:p w14:paraId="642B66EB">
      <w:pPr>
        <w:pStyle w:val="2"/>
        <w:bidi w:val="0"/>
        <w:rPr>
          <w:rFonts w:hint="eastAsia"/>
          <w:lang w:val="en-US" w:eastAsia="zh-CN"/>
        </w:rPr>
      </w:pPr>
      <w:r>
        <w:rPr>
          <w:rFonts w:hint="eastAsia"/>
          <w:lang w:val="en-US" w:eastAsia="zh-CN"/>
        </w:rPr>
        <w:t>参数说明和数据来源</w:t>
      </w:r>
    </w:p>
    <w:p w14:paraId="6B8FBC65">
      <w:pPr>
        <w:pStyle w:val="3"/>
        <w:bidi w:val="0"/>
        <w:rPr>
          <w:rFonts w:hint="eastAsia"/>
          <w:lang w:val="en-US" w:eastAsia="zh-CN"/>
        </w:rPr>
      </w:pP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DOC</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F</m:t>
            </m:r>
            <m:ctrlPr>
              <w:rPr>
                <w:rFonts w:hint="default" w:ascii="Cambria Math" w:hAnsi="Cambria Math" w:cs="Cambria Math"/>
                <w:lang w:val="en-US" w:eastAsia="zh-CN"/>
              </w:rPr>
            </m:ctrlPr>
          </m:sub>
        </m:sSub>
      </m:oMath>
      <w:r>
        <w:rPr>
          <w:rFonts w:hint="eastAsia" w:hAnsi="Cambria Math" w:cs="Cambria Math"/>
          <w:i w:val="0"/>
          <w:lang w:val="en-US" w:eastAsia="zh-CN"/>
        </w:rPr>
        <w:t>：</w:t>
      </w:r>
      <w:r>
        <w:rPr>
          <w:rFonts w:hint="eastAsia"/>
          <w:lang w:val="en-US" w:eastAsia="zh-CN"/>
        </w:rPr>
        <w:t>填埋垃圾实际分解的有机碳的比例</w:t>
      </w:r>
    </w:p>
    <w:p w14:paraId="1C559A8A">
      <w:pPr>
        <w:pStyle w:val="6"/>
        <w:rPr>
          <w:rFonts w:hint="eastAsia"/>
          <w:lang w:val="en-US" w:eastAsia="zh-CN"/>
        </w:rPr>
      </w:pPr>
      <w:r>
        <w:rPr>
          <w:rFonts w:hint="eastAsia"/>
          <w:lang w:val="en-US" w:eastAsia="zh-CN"/>
        </w:rPr>
        <w:t>填埋垃圾中实际发生分解的有机碳比例（</w:t>
      </w: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DOC</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F</m:t>
            </m:r>
            <m:ctrlPr>
              <w:rPr>
                <w:rFonts w:hint="default" w:ascii="Cambria Math" w:hAnsi="Cambria Math" w:cs="Cambria Math"/>
                <w:lang w:val="en-US" w:eastAsia="zh-CN"/>
              </w:rPr>
            </m:ctrlPr>
          </m:sub>
        </m:sSub>
      </m:oMath>
      <w:r>
        <w:rPr>
          <w:rFonts w:hint="eastAsia"/>
          <w:lang w:val="en-US" w:eastAsia="zh-CN"/>
        </w:rPr>
        <w:t>）并非全部降解，实际分解过程受填埋场环境条件（如湿度、温度、氧气含量及垃圾组分）影响，往往不完全，存在显著的降解限制。该比例通常依据权威指南推荐值确定。本核算规范</w:t>
      </w: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DOC</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F</m:t>
            </m:r>
            <m:ctrlPr>
              <w:rPr>
                <w:rFonts w:hint="default" w:ascii="Cambria Math" w:hAnsi="Cambria Math" w:cs="Cambria Math"/>
                <w:lang w:val="en-US" w:eastAsia="zh-CN"/>
              </w:rPr>
            </m:ctrlPr>
          </m:sub>
        </m:sSub>
      </m:oMath>
      <w:r>
        <w:rPr>
          <w:rFonts w:hint="eastAsia"/>
          <w:lang w:val="en-US" w:eastAsia="zh-CN"/>
        </w:rPr>
        <w:t>取值为0.5，参考《省级温室气体清单编制指南（修订版）》中的推荐值，而该推荐值源自《2006年IPCC国家温室气体排放清单指南》。</w:t>
      </w:r>
    </w:p>
    <w:p w14:paraId="0982FC5D">
      <w:pPr>
        <w:pStyle w:val="3"/>
        <w:bidi w:val="0"/>
        <w:rPr>
          <w:rFonts w:hint="eastAsia"/>
          <w:lang w:val="en-US" w:eastAsia="zh-CN"/>
        </w:rPr>
      </w:pPr>
      <w:r>
        <w:rPr>
          <w:rFonts w:hint="eastAsia"/>
          <w:lang w:val="en-US" w:eastAsia="zh-CN"/>
        </w:rPr>
        <w:t>F：甲烷在垃圾填埋气中的比例</w:t>
      </w:r>
    </w:p>
    <w:p w14:paraId="65F1B6C9">
      <w:pPr>
        <w:pStyle w:val="6"/>
        <w:rPr>
          <w:rFonts w:hint="eastAsia"/>
          <w:lang w:val="en-US" w:eastAsia="zh-CN"/>
        </w:rPr>
      </w:pPr>
      <w:r>
        <w:rPr>
          <w:rFonts w:hint="eastAsia"/>
          <w:lang w:val="en-US" w:eastAsia="zh-CN"/>
        </w:rPr>
        <w:t>甲烷在垃圾填埋气中的比例（F）主要取决于垃圾成分中碳水化合物和纤维素的含量，以及填埋场内部的厌氧降解环境，通常在一定范围内波动。本核算规范F取值为0.5，参考《省级温室气体清单编制指南（修订版）》中的推荐值，而该推荐值源自《2006年IPCC国家温室气体排放清单指南》。</w:t>
      </w:r>
    </w:p>
    <w:p w14:paraId="4E8D8D67">
      <w:pPr>
        <w:pStyle w:val="3"/>
        <w:bidi w:val="0"/>
        <w:rPr>
          <w:rFonts w:hint="eastAsia"/>
          <w:lang w:val="en-US" w:eastAsia="zh-CN"/>
        </w:rPr>
      </w:pPr>
      <w:r>
        <w:rPr>
          <w:rFonts w:hint="eastAsia"/>
          <w:lang w:val="en-US" w:eastAsia="zh-CN"/>
        </w:rPr>
        <w:t>OX：氧化因子</w:t>
      </w:r>
    </w:p>
    <w:p w14:paraId="0590429D">
      <w:pPr>
        <w:pStyle w:val="6"/>
        <w:rPr>
          <w:rFonts w:hint="eastAsia"/>
          <w:lang w:val="en-US" w:eastAsia="zh-CN"/>
        </w:rPr>
      </w:pPr>
      <w:r>
        <w:rPr>
          <w:rFonts w:hint="eastAsia"/>
          <w:lang w:val="en-US" w:eastAsia="zh-CN"/>
        </w:rPr>
        <w:t>引入氧化因子（OX）是为了量化垃圾填埋场覆盖层中微生物对甲烷产生的自然消减作用，因为在甲烷从垃圾堆体向上迁移并排放到大气的过程中，并非全部都会直接逸出，其中一部分会在覆盖层中被甲烷氧化菌分解转化为二氧化碳和水，从而降低其温室效应。参考《省级温室气体清单编制指南（修订版）》中对合格管理型填埋场的推荐值，而该推荐值源自《2006年IPCC国家温室气体排放清单指南》，将氧化因子OX取值为0.1。</w:t>
      </w:r>
    </w:p>
    <w:p w14:paraId="277C2F76">
      <w:pPr>
        <w:pStyle w:val="3"/>
        <w:bidi w:val="0"/>
        <w:rPr>
          <w:rFonts w:hint="eastAsia"/>
          <w:lang w:val="en-US" w:eastAsia="zh-C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GWP</m:t>
            </m:r>
            <m:ctrlPr>
              <w:rPr>
                <w:rFonts w:hint="default" w:ascii="Cambria Math" w:hAnsi="Cambria Math" w:cs="Cambria Math"/>
                <w:lang w:val="en-US"/>
              </w:rPr>
            </m:ctrlPr>
          </m:e>
          <m:sub>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CH</m:t>
                </m:r>
                <m:ctrlPr>
                  <w:rPr>
                    <w:rFonts w:hint="default" w:ascii="Cambria Math" w:hAnsi="Cambria Math" w:cs="Cambria Math"/>
                    <w:lang w:val="en-US"/>
                  </w:rPr>
                </m:ctrlPr>
              </m:e>
              <m:sub>
                <m:r>
                  <m:rPr>
                    <m:sty m:val="p"/>
                  </m:rPr>
                  <w:rPr>
                    <w:rFonts w:hint="default" w:ascii="Cambria Math" w:hAnsi="Cambria Math" w:cs="Cambria Math"/>
                    <w:lang w:val="en-US" w:eastAsia="zh-CN"/>
                  </w:rPr>
                  <m:t>4</m:t>
                </m:r>
                <m:ctrlPr>
                  <w:rPr>
                    <w:rFonts w:hint="default" w:ascii="Cambria Math" w:hAnsi="Cambria Math" w:cs="Cambria Math"/>
                    <w:lang w:val="en-US"/>
                  </w:rPr>
                </m:ctrlPr>
              </m:sub>
            </m:sSub>
            <m:ctrlPr>
              <w:rPr>
                <w:rFonts w:hint="default" w:ascii="Cambria Math" w:hAnsi="Cambria Math" w:cs="Cambria Math"/>
                <w:lang w:val="en-US"/>
              </w:rPr>
            </m:ctrlPr>
          </m:sub>
        </m:sSub>
      </m:oMath>
      <w:r>
        <w:rPr>
          <w:rFonts w:hint="eastAsia" w:hAnsi="Cambria Math" w:cs="Cambria Math"/>
          <w:i w:val="0"/>
          <w:lang w:val="en-US" w:eastAsia="zh-CN"/>
        </w:rPr>
        <w:t>：</w:t>
      </w:r>
      <w:r>
        <w:rPr>
          <w:rFonts w:hint="eastAsia"/>
          <w:lang w:val="en-US" w:eastAsia="zh-CN"/>
        </w:rPr>
        <w:t>甲烷的全球增温潜势</w:t>
      </w:r>
    </w:p>
    <w:p w14:paraId="57EB0256">
      <w:pPr>
        <w:pStyle w:val="6"/>
        <w:rPr>
          <w:rFonts w:hint="eastAsia" w:ascii="Times New Roman" w:hAnsi="Times New Roman" w:cs="Times New Roman"/>
          <w:lang w:val="en-US" w:eastAsia="zh-CN"/>
        </w:rPr>
      </w:pPr>
      <w:r>
        <w:rPr>
          <w:rFonts w:hint="eastAsia" w:ascii="Times New Roman" w:hAnsi="Times New Roman" w:cs="Times New Roman"/>
          <w:lang w:val="en-US" w:eastAsia="zh-CN"/>
        </w:rPr>
        <w:t>甲烷（CH4）虽然是大气中含量低于二氧化碳的微量气体，但其捕获热量的能力极强，温室效应强度远超二氧化碳，是导致全球气候变暖的关键驱动因素之一。根据《2006年IPCC国家温室气体排放清单指南》取推荐值27（即1吨甲烷在100年内造成的温室效应相当于27吨二氧化碳），用于将甲烷排放量转换为二氧化碳排放当量。</w:t>
      </w:r>
    </w:p>
    <w:p w14:paraId="1F38D9AC">
      <w:pPr>
        <w:pStyle w:val="3"/>
        <w:bidi w:val="0"/>
        <w:rPr>
          <w:rFonts w:hint="eastAsia"/>
          <w:lang w:val="en-US" w:eastAsia="zh-CN"/>
        </w:rPr>
      </w:pP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EF</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HW</m:t>
            </m:r>
            <m:ctrlPr>
              <w:rPr>
                <w:rFonts w:hint="default" w:ascii="Cambria Math" w:hAnsi="Cambria Math" w:cs="Cambria Math"/>
                <w:lang w:val="en-US" w:eastAsia="zh-CN"/>
              </w:rPr>
            </m:ctrlPr>
          </m:sub>
        </m:sSub>
      </m:oMath>
      <w:r>
        <w:rPr>
          <w:rFonts w:hint="eastAsia" w:hAnsi="Cambria Math" w:cs="Cambria Math"/>
          <w:i w:val="0"/>
          <w:lang w:val="en-US" w:eastAsia="zh-CN"/>
        </w:rPr>
        <w:t>：</w:t>
      </w:r>
      <w:r>
        <w:rPr>
          <w:rFonts w:hint="eastAsia"/>
          <w:lang w:val="en-US" w:eastAsia="zh-CN"/>
        </w:rPr>
        <w:t>有害垃圾处理处置的排放因子</w:t>
      </w:r>
    </w:p>
    <w:p w14:paraId="18888C67">
      <w:pPr>
        <w:pStyle w:val="6"/>
        <w:rPr>
          <w:rFonts w:hint="eastAsia"/>
          <w:lang w:val="en-US" w:eastAsia="zh-CN"/>
        </w:rPr>
      </w:pPr>
      <w:r>
        <w:rPr>
          <w:rFonts w:hint="eastAsia"/>
          <w:lang w:val="en-US" w:eastAsia="zh-CN"/>
        </w:rPr>
        <w:t>经查阅《山东省“两高”建设项目碳排放减量替代办法》《山东省碳普惠试点工作指导意见》及相关公开资料，目前山东省尚未发布针对居民生活有害垃圾特定处置过程的官方碳排放因子数据库。为确保碳核算的科学性和完整性，本报告参考《2006年IPCC国家温室气体排放清单指南》取推荐值0.15t</w:t>
      </w:r>
      <w:r>
        <w:rPr>
          <w:rFonts w:hint="default" w:ascii="Times New Roman" w:hAnsi="Times New Roman" w:cs="Times New Roman"/>
          <w:lang w:val="en-US" w:eastAsia="zh-CN"/>
        </w:rPr>
        <w:t>CO</w:t>
      </w:r>
      <w:r>
        <w:rPr>
          <w:rFonts w:hint="default" w:ascii="Times New Roman" w:hAnsi="Times New Roman" w:eastAsia="微软雅黑" w:cs="Times New Roman"/>
          <w:lang w:val="en-US" w:eastAsia="zh-CN"/>
        </w:rPr>
        <w:t>₂</w:t>
      </w:r>
      <w:r>
        <w:rPr>
          <w:rFonts w:hint="default" w:ascii="Times New Roman" w:hAnsi="Times New Roman" w:cs="Times New Roman"/>
          <w:lang w:val="en-US" w:eastAsia="zh-CN"/>
        </w:rPr>
        <w:t>/t</w:t>
      </w:r>
      <w:r>
        <w:rPr>
          <w:rFonts w:hint="eastAsia"/>
          <w:lang w:val="en-US" w:eastAsia="zh-CN"/>
        </w:rPr>
        <w:t>。</w:t>
      </w:r>
    </w:p>
    <w:p w14:paraId="4487643F">
      <w:pPr>
        <w:pStyle w:val="2"/>
        <w:bidi w:val="0"/>
        <w:rPr>
          <w:rFonts w:hint="eastAsia"/>
        </w:rPr>
      </w:pPr>
      <w:r>
        <w:rPr>
          <w:rFonts w:hint="eastAsia"/>
          <w:lang w:val="en-US" w:eastAsia="zh-CN"/>
        </w:rPr>
        <w:t>事项说明</w:t>
      </w:r>
    </w:p>
    <w:p w14:paraId="2C4280F6">
      <w:pPr>
        <w:pStyle w:val="3"/>
        <w:bidi w:val="0"/>
        <w:rPr>
          <w:rFonts w:hint="eastAsia"/>
        </w:rPr>
      </w:pPr>
      <w:r>
        <w:rPr>
          <w:rFonts w:hint="eastAsia"/>
        </w:rPr>
        <w:t>主要试验（或验证）情况分析</w:t>
      </w:r>
    </w:p>
    <w:p w14:paraId="2578E90E">
      <w:pPr>
        <w:pStyle w:val="6"/>
        <w:bidi w:val="0"/>
        <w:rPr>
          <w:rFonts w:hint="eastAsia"/>
        </w:rPr>
      </w:pPr>
      <w:r>
        <w:rPr>
          <w:rFonts w:hint="eastAsia"/>
        </w:rPr>
        <w:t>暂无。</w:t>
      </w:r>
    </w:p>
    <w:p w14:paraId="0CF05F7C">
      <w:pPr>
        <w:pStyle w:val="3"/>
        <w:bidi w:val="0"/>
        <w:rPr>
          <w:rFonts w:hint="eastAsia"/>
        </w:rPr>
      </w:pPr>
      <w:r>
        <w:rPr>
          <w:rFonts w:hint="eastAsia"/>
        </w:rPr>
        <w:t>标准中涉及专利的情况</w:t>
      </w:r>
    </w:p>
    <w:p w14:paraId="153C3EB3">
      <w:pPr>
        <w:pStyle w:val="6"/>
        <w:bidi w:val="0"/>
        <w:rPr>
          <w:rFonts w:hint="eastAsia"/>
        </w:rPr>
      </w:pPr>
      <w:r>
        <w:rPr>
          <w:rFonts w:hint="eastAsia"/>
        </w:rPr>
        <w:t>暂无。</w:t>
      </w:r>
    </w:p>
    <w:p w14:paraId="477018FD">
      <w:pPr>
        <w:pStyle w:val="3"/>
        <w:bidi w:val="0"/>
        <w:rPr>
          <w:rFonts w:hint="eastAsia"/>
        </w:rPr>
      </w:pPr>
      <w:r>
        <w:rPr>
          <w:rFonts w:hint="eastAsia"/>
        </w:rPr>
        <w:t>预期达到的社会效益、对产业发展的作用的情况</w:t>
      </w:r>
    </w:p>
    <w:p w14:paraId="3AE46EB3">
      <w:pPr>
        <w:pStyle w:val="6"/>
        <w:bidi w:val="0"/>
        <w:rPr>
          <w:rFonts w:hint="eastAsia"/>
        </w:rPr>
      </w:pPr>
      <w:r>
        <w:rPr>
          <w:rFonts w:hint="eastAsia"/>
        </w:rPr>
        <w:t>本标准的制定参考了已经发布的国标和该专业领域内重点关注行业的标准，结合对减排场景的调研和收集相关数据，通过该标准能够较为公正、客观的反应公交出行行为碳减排量化。遵循本标准可以对公交出行行为碳减排相关方提供温室气体减排量核算的依据，也可提供给公民自我监测、管理的手段。</w:t>
      </w:r>
    </w:p>
    <w:p w14:paraId="0CDC5C26">
      <w:pPr>
        <w:pStyle w:val="3"/>
        <w:bidi w:val="0"/>
        <w:rPr>
          <w:rFonts w:hint="eastAsia"/>
        </w:rPr>
      </w:pPr>
      <w:r>
        <w:rPr>
          <w:rFonts w:hint="eastAsia"/>
        </w:rPr>
        <w:t>采用国际标准和国外先进标准情况，与国际、国外同类标准水平的对比情况，国内外关键指标对比分析或与测试的国外样品、样机的相关数据对比情况</w:t>
      </w:r>
    </w:p>
    <w:p w14:paraId="46D317EA">
      <w:pPr>
        <w:pStyle w:val="6"/>
        <w:bidi w:val="0"/>
        <w:rPr>
          <w:rFonts w:hint="eastAsia"/>
          <w:lang w:eastAsia="zh-CN"/>
        </w:rPr>
      </w:pPr>
      <w:r>
        <w:rPr>
          <w:rFonts w:hint="eastAsia"/>
        </w:rPr>
        <w:t>无</w:t>
      </w:r>
      <w:r>
        <w:rPr>
          <w:rFonts w:hint="eastAsia"/>
          <w:lang w:eastAsia="zh-CN"/>
        </w:rPr>
        <w:t>。</w:t>
      </w:r>
    </w:p>
    <w:p w14:paraId="4AAA6CA8">
      <w:pPr>
        <w:pStyle w:val="3"/>
        <w:bidi w:val="0"/>
        <w:rPr>
          <w:rFonts w:hint="eastAsia"/>
          <w:lang w:eastAsia="zh-CN"/>
        </w:rPr>
      </w:pPr>
      <w:r>
        <w:rPr>
          <w:rFonts w:hint="eastAsia"/>
          <w:lang w:eastAsia="zh-CN"/>
        </w:rPr>
        <w:t>在标准体系中的位置，与现行相关法律、法规、规章及相关标准，特别是强制性标准的协调性</w:t>
      </w:r>
    </w:p>
    <w:p w14:paraId="7D8DB0D5">
      <w:pPr>
        <w:pStyle w:val="6"/>
        <w:bidi w:val="0"/>
        <w:rPr>
          <w:rFonts w:hint="eastAsia"/>
          <w:lang w:eastAsia="zh-CN"/>
        </w:rPr>
      </w:pPr>
      <w:r>
        <w:rPr>
          <w:rFonts w:hint="eastAsia"/>
          <w:lang w:eastAsia="zh-CN"/>
        </w:rPr>
        <w:t>本标准属于团体标准，与现行法律、法规、规章和政策以及有关基础和相关标准不矛盾。</w:t>
      </w:r>
    </w:p>
    <w:p w14:paraId="5C84279D">
      <w:pPr>
        <w:pStyle w:val="3"/>
        <w:bidi w:val="0"/>
        <w:rPr>
          <w:rFonts w:hint="eastAsia"/>
          <w:lang w:eastAsia="zh-CN"/>
        </w:rPr>
      </w:pPr>
      <w:r>
        <w:rPr>
          <w:rFonts w:hint="eastAsia"/>
          <w:lang w:eastAsia="zh-CN"/>
        </w:rPr>
        <w:t>重大分歧意见的处理经过和依据</w:t>
      </w:r>
    </w:p>
    <w:p w14:paraId="41C9CF81">
      <w:pPr>
        <w:pStyle w:val="6"/>
        <w:bidi w:val="0"/>
        <w:rPr>
          <w:rFonts w:hint="eastAsia"/>
          <w:lang w:eastAsia="zh-CN"/>
        </w:rPr>
      </w:pPr>
      <w:r>
        <w:rPr>
          <w:rFonts w:hint="eastAsia"/>
          <w:lang w:eastAsia="zh-CN"/>
        </w:rPr>
        <w:t>本标准未产生重大分歧意见。</w:t>
      </w:r>
    </w:p>
    <w:p w14:paraId="6BCA01E5">
      <w:pPr>
        <w:pStyle w:val="3"/>
        <w:bidi w:val="0"/>
        <w:rPr>
          <w:rFonts w:hint="eastAsia"/>
          <w:lang w:eastAsia="zh-CN"/>
        </w:rPr>
      </w:pPr>
      <w:r>
        <w:rPr>
          <w:rFonts w:hint="eastAsia"/>
          <w:lang w:eastAsia="zh-CN"/>
        </w:rPr>
        <w:t>标准性质的建议说明</w:t>
      </w:r>
    </w:p>
    <w:p w14:paraId="5729DD74">
      <w:pPr>
        <w:pStyle w:val="6"/>
        <w:bidi w:val="0"/>
        <w:rPr>
          <w:rFonts w:hint="eastAsia"/>
          <w:lang w:eastAsia="zh-CN"/>
        </w:rPr>
      </w:pPr>
      <w:r>
        <w:rPr>
          <w:rFonts w:hint="eastAsia"/>
          <w:lang w:eastAsia="zh-CN"/>
        </w:rPr>
        <w:t>本标准属于团体标准，供协会会员和社会自愿使用。</w:t>
      </w:r>
    </w:p>
    <w:p w14:paraId="37982788">
      <w:pPr>
        <w:pStyle w:val="3"/>
        <w:bidi w:val="0"/>
        <w:rPr>
          <w:rFonts w:hint="eastAsia"/>
          <w:lang w:eastAsia="zh-CN"/>
        </w:rPr>
      </w:pPr>
      <w:r>
        <w:rPr>
          <w:rFonts w:hint="eastAsia"/>
          <w:lang w:eastAsia="zh-CN"/>
        </w:rPr>
        <w:t>贯彻标准的要求和措施建议</w:t>
      </w:r>
    </w:p>
    <w:p w14:paraId="6B1B1669">
      <w:pPr>
        <w:pStyle w:val="6"/>
        <w:bidi w:val="0"/>
        <w:rPr>
          <w:rFonts w:hint="eastAsia"/>
          <w:lang w:eastAsia="zh-CN"/>
        </w:rPr>
      </w:pPr>
      <w:r>
        <w:rPr>
          <w:rFonts w:hint="eastAsia"/>
          <w:lang w:eastAsia="zh-CN"/>
        </w:rPr>
        <w:t>本标准为首次发布。</w:t>
      </w:r>
    </w:p>
    <w:p w14:paraId="632BD23E">
      <w:pPr>
        <w:pStyle w:val="3"/>
        <w:bidi w:val="0"/>
        <w:rPr>
          <w:rFonts w:hint="eastAsia"/>
          <w:lang w:eastAsia="zh-CN"/>
        </w:rPr>
      </w:pPr>
      <w:r>
        <w:rPr>
          <w:rFonts w:hint="eastAsia"/>
          <w:lang w:eastAsia="zh-CN"/>
        </w:rPr>
        <w:t>废止现行相关标准的建议</w:t>
      </w:r>
    </w:p>
    <w:p w14:paraId="1F945C9E">
      <w:pPr>
        <w:pStyle w:val="6"/>
        <w:bidi w:val="0"/>
        <w:rPr>
          <w:rFonts w:hint="eastAsia"/>
          <w:lang w:val="en-US" w:eastAsia="zh-CN"/>
        </w:rPr>
      </w:pPr>
      <w:r>
        <w:rPr>
          <w:rFonts w:hint="eastAsia"/>
          <w:lang w:eastAsia="zh-CN"/>
        </w:rPr>
        <w:t>无。</w:t>
      </w:r>
    </w:p>
    <w:sectPr>
      <w:footerReference r:id="rId7" w:type="default"/>
      <w:footerReference r:id="rId8" w:type="even"/>
      <w:pgSz w:w="11906" w:h="16838"/>
      <w:pgMar w:top="2098" w:right="1247" w:bottom="1758" w:left="1588" w:header="1134" w:footer="1503" w:gutter="0"/>
      <w:pgNumType w:start="1"/>
      <w:cols w:space="425" w:num="1"/>
      <w:docGrid w:type="linesAndChar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auto"/>
    <w:pitch w:val="default"/>
    <w:sig w:usb0="800002BF" w:usb1="38CF7CFA"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楷体">
    <w:panose1 w:val="02010609060101010101"/>
    <w:charset w:val="86"/>
    <w:family w:val="modern"/>
    <w:pitch w:val="default"/>
    <w:sig w:usb0="800002BF" w:usb1="38CF7CFA" w:usb2="00000016" w:usb3="00000000" w:csb0="00040001" w:csb1="00000000"/>
  </w:font>
  <w:font w:name="Calibri Light">
    <w:panose1 w:val="020F0302020204030204"/>
    <w:charset w:val="00"/>
    <w:family w:val="auto"/>
    <w:pitch w:val="default"/>
    <w:sig w:usb0="E4002EFF" w:usb1="C200247B" w:usb2="00000009" w:usb3="00000000" w:csb0="200001FF" w:csb1="00000000"/>
  </w:font>
  <w:font w:name="Cambria Math">
    <w:panose1 w:val="02040503050406030204"/>
    <w:charset w:val="00"/>
    <w:family w:val="auto"/>
    <w:pitch w:val="default"/>
    <w:sig w:usb0="E00006FF" w:usb1="420024FF" w:usb2="02000000" w:usb3="00000000" w:csb0="2000019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7451715"/>
      <w:docPartObj>
        <w:docPartGallery w:val="autotext"/>
      </w:docPartObj>
    </w:sdtPr>
    <w:sdtContent>
      <w:sdt>
        <w:sdtPr>
          <w:id w:val="147476093"/>
          <w:docPartObj>
            <w:docPartGallery w:val="autotext"/>
          </w:docPartObj>
        </w:sdtPr>
        <w:sdtContent>
          <w:p w14:paraId="20B86B9F">
            <w:pPr>
              <w:pStyle w:val="17"/>
              <w:jc w:val="center"/>
              <w:rPr>
                <w:rFonts w:hint="eastAsia"/>
              </w:rPr>
            </w:pP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rPr>
              <w:t>- 71 -</w:t>
            </w:r>
            <w:r>
              <w:rPr>
                <w:rFonts w:ascii="宋体" w:hAnsi="宋体" w:eastAsia="宋体"/>
                <w:sz w:val="28"/>
                <w:szCs w:val="28"/>
              </w:rPr>
              <w:fldChar w:fldCharType="end"/>
            </w:r>
          </w:p>
        </w:sdtContent>
      </w:sdt>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7482548"/>
      <w:docPartObj>
        <w:docPartGallery w:val="autotext"/>
      </w:docPartObj>
    </w:sdtPr>
    <w:sdtContent>
      <w:p w14:paraId="30B75CFD">
        <w:pPr>
          <w:pStyle w:val="17"/>
          <w:jc w:val="center"/>
          <w:rPr>
            <w:rFonts w:hint="eastAsia"/>
          </w:rPr>
        </w:pP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rPr>
          <w:t>- 1 -</w:t>
        </w:r>
        <w:r>
          <w:rPr>
            <w:rFonts w:ascii="宋体" w:hAnsi="宋体" w:eastAsia="宋体"/>
            <w:sz w:val="28"/>
            <w:szCs w:val="28"/>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9850149"/>
      <w:docPartObj>
        <w:docPartGallery w:val="autotext"/>
      </w:docPartObj>
    </w:sdtPr>
    <w:sdtContent>
      <w:sdt>
        <w:sdtPr>
          <w:id w:val="840666827"/>
          <w:docPartObj>
            <w:docPartGallery w:val="autotext"/>
          </w:docPartObj>
        </w:sdtPr>
        <w:sdtContent>
          <w:p w14:paraId="409E5F20">
            <w:pPr>
              <w:pStyle w:val="17"/>
              <w:jc w:val="center"/>
              <w:rPr>
                <w:rFonts w:hint="eastAsia"/>
              </w:rPr>
            </w:pP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rPr>
              <w:t>- 71 -</w:t>
            </w:r>
            <w:r>
              <w:rPr>
                <w:rFonts w:ascii="宋体" w:hAnsi="宋体" w:eastAsia="宋体"/>
                <w:sz w:val="28"/>
                <w:szCs w:val="28"/>
              </w:rPr>
              <w:fldChar w:fldCharType="end"/>
            </w:r>
          </w:p>
        </w:sdtContent>
      </w:sdt>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000696592"/>
      <w:docPartObj>
        <w:docPartGallery w:val="autotext"/>
      </w:docPartObj>
    </w:sdtPr>
    <w:sdtContent>
      <w:p w14:paraId="021B5B35">
        <w:pPr>
          <w:pStyle w:val="17"/>
          <w:jc w:val="center"/>
          <w:rPr>
            <w:rFonts w:hint="eastAsia"/>
          </w:rPr>
        </w:pP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rPr>
          <w:t>- 1 -</w:t>
        </w:r>
        <w:r>
          <w:rPr>
            <w:rFonts w:ascii="宋体" w:hAnsi="宋体" w:eastAsia="宋体"/>
            <w:sz w:val="28"/>
            <w:szCs w:val="28"/>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1410C92"/>
    <w:multiLevelType w:val="multilevel"/>
    <w:tmpl w:val="41410C92"/>
    <w:lvl w:ilvl="0" w:tentative="0">
      <w:start w:val="1"/>
      <w:numFmt w:val="chineseCountingThousand"/>
      <w:pStyle w:val="2"/>
      <w:suff w:val="nothing"/>
      <w:lvlText w:val="%1、"/>
      <w:lvlJc w:val="left"/>
      <w:pPr>
        <w:ind w:left="420" w:firstLine="0"/>
      </w:pPr>
      <w:rPr>
        <w:rFonts w:hint="eastAsia"/>
      </w:rPr>
    </w:lvl>
    <w:lvl w:ilvl="1" w:tentative="0">
      <w:start w:val="1"/>
      <w:numFmt w:val="chineseCountingThousand"/>
      <w:pStyle w:val="3"/>
      <w:suff w:val="nothing"/>
      <w:lvlText w:val="（%2）"/>
      <w:lvlJc w:val="left"/>
      <w:pPr>
        <w:ind w:left="420" w:firstLine="0"/>
      </w:pPr>
      <w:rPr>
        <w:rFonts w:hint="eastAsia"/>
      </w:rPr>
    </w:lvl>
    <w:lvl w:ilvl="2" w:tentative="0">
      <w:start w:val="1"/>
      <w:numFmt w:val="decimal"/>
      <w:pStyle w:val="4"/>
      <w:suff w:val="nothing"/>
      <w:lvlText w:val="%3."/>
      <w:lvlJc w:val="left"/>
      <w:pPr>
        <w:ind w:left="420" w:firstLine="0"/>
      </w:pPr>
      <w:rPr>
        <w:rFonts w:hint="eastAsia"/>
      </w:rPr>
    </w:lvl>
    <w:lvl w:ilvl="3" w:tentative="0">
      <w:start w:val="1"/>
      <w:numFmt w:val="decimal"/>
      <w:pStyle w:val="5"/>
      <w:suff w:val="nothing"/>
      <w:lvlText w:val="（%4）"/>
      <w:lvlJc w:val="left"/>
      <w:pPr>
        <w:ind w:left="420" w:firstLine="0"/>
      </w:pPr>
    </w:lvl>
    <w:lvl w:ilvl="4" w:tentative="0">
      <w:start w:val="1"/>
      <w:numFmt w:val="upperLetter"/>
      <w:suff w:val="nothing"/>
      <w:lvlText w:val="%5."/>
      <w:lvlJc w:val="left"/>
      <w:pPr>
        <w:ind w:left="420" w:firstLine="0"/>
      </w:pPr>
      <w:rPr>
        <w:rFonts w:hint="eastAsia"/>
      </w:rPr>
    </w:lvl>
    <w:lvl w:ilvl="5" w:tentative="0">
      <w:start w:val="1"/>
      <w:numFmt w:val="lowerLetter"/>
      <w:suff w:val="nothing"/>
      <w:lvlText w:val="%6."/>
      <w:lvlJc w:val="left"/>
      <w:pPr>
        <w:ind w:left="420" w:firstLine="0"/>
      </w:pPr>
      <w:rPr>
        <w:rFonts w:hint="eastAsia"/>
      </w:rPr>
    </w:lvl>
    <w:lvl w:ilvl="6" w:tentative="0">
      <w:start w:val="1"/>
      <w:numFmt w:val="upperRoman"/>
      <w:suff w:val="nothing"/>
      <w:lvlText w:val="%7."/>
      <w:lvlJc w:val="left"/>
      <w:pPr>
        <w:ind w:left="420" w:firstLine="0"/>
      </w:pPr>
      <w:rPr>
        <w:rFonts w:hint="eastAsia"/>
      </w:rPr>
    </w:lvl>
    <w:lvl w:ilvl="7" w:tentative="0">
      <w:start w:val="1"/>
      <w:numFmt w:val="lowerRoman"/>
      <w:suff w:val="nothing"/>
      <w:lvlText w:val="%8)"/>
      <w:lvlJc w:val="left"/>
      <w:pPr>
        <w:ind w:left="420" w:firstLine="0"/>
      </w:pPr>
      <w:rPr>
        <w:rFonts w:hint="eastAsia"/>
      </w:rPr>
    </w:lvl>
    <w:lvl w:ilvl="8" w:tentative="0">
      <w:start w:val="1"/>
      <w:numFmt w:val="bullet"/>
      <w:suff w:val="nothing"/>
      <w:lvlText w:val=""/>
      <w:lvlJc w:val="left"/>
      <w:pPr>
        <w:ind w:left="420" w:firstLine="0"/>
      </w:pPr>
      <w:rPr>
        <w:rFonts w:hint="default" w:ascii="Symbol" w:hAnsi="Symbol"/>
        <w:color w:val="auto"/>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702B"/>
    <w:rsid w:val="00000E11"/>
    <w:rsid w:val="00000E24"/>
    <w:rsid w:val="00000EDC"/>
    <w:rsid w:val="00006BB1"/>
    <w:rsid w:val="00007AD4"/>
    <w:rsid w:val="00007FA2"/>
    <w:rsid w:val="00011068"/>
    <w:rsid w:val="00011386"/>
    <w:rsid w:val="00013F65"/>
    <w:rsid w:val="0001598E"/>
    <w:rsid w:val="00015F49"/>
    <w:rsid w:val="000160D8"/>
    <w:rsid w:val="0001650D"/>
    <w:rsid w:val="000224A8"/>
    <w:rsid w:val="000240FF"/>
    <w:rsid w:val="000268DF"/>
    <w:rsid w:val="0002790D"/>
    <w:rsid w:val="00032B5A"/>
    <w:rsid w:val="0004226E"/>
    <w:rsid w:val="00042A11"/>
    <w:rsid w:val="0004470D"/>
    <w:rsid w:val="000468B5"/>
    <w:rsid w:val="000477A5"/>
    <w:rsid w:val="00056066"/>
    <w:rsid w:val="00056417"/>
    <w:rsid w:val="000572F0"/>
    <w:rsid w:val="00061E0F"/>
    <w:rsid w:val="00062E1D"/>
    <w:rsid w:val="00064A66"/>
    <w:rsid w:val="00067F92"/>
    <w:rsid w:val="00071320"/>
    <w:rsid w:val="00072A4B"/>
    <w:rsid w:val="00072D50"/>
    <w:rsid w:val="00073AE3"/>
    <w:rsid w:val="00073CC2"/>
    <w:rsid w:val="0007438D"/>
    <w:rsid w:val="00076803"/>
    <w:rsid w:val="000777F6"/>
    <w:rsid w:val="000804E9"/>
    <w:rsid w:val="00084770"/>
    <w:rsid w:val="00085E2A"/>
    <w:rsid w:val="000860A7"/>
    <w:rsid w:val="000872C5"/>
    <w:rsid w:val="000902F8"/>
    <w:rsid w:val="000910FD"/>
    <w:rsid w:val="00093543"/>
    <w:rsid w:val="00095674"/>
    <w:rsid w:val="00095C84"/>
    <w:rsid w:val="0009704C"/>
    <w:rsid w:val="00097BE6"/>
    <w:rsid w:val="000A04F5"/>
    <w:rsid w:val="000A369C"/>
    <w:rsid w:val="000A3890"/>
    <w:rsid w:val="000A4D10"/>
    <w:rsid w:val="000A5FA0"/>
    <w:rsid w:val="000B1EB5"/>
    <w:rsid w:val="000B37FC"/>
    <w:rsid w:val="000B3A03"/>
    <w:rsid w:val="000B412B"/>
    <w:rsid w:val="000B6E02"/>
    <w:rsid w:val="000B7360"/>
    <w:rsid w:val="000C015D"/>
    <w:rsid w:val="000C1494"/>
    <w:rsid w:val="000C24B4"/>
    <w:rsid w:val="000C3279"/>
    <w:rsid w:val="000C366E"/>
    <w:rsid w:val="000C4D83"/>
    <w:rsid w:val="000C4EE0"/>
    <w:rsid w:val="000D165B"/>
    <w:rsid w:val="000D41DA"/>
    <w:rsid w:val="000D57DB"/>
    <w:rsid w:val="000E102A"/>
    <w:rsid w:val="000E2357"/>
    <w:rsid w:val="000E30E1"/>
    <w:rsid w:val="000E3F90"/>
    <w:rsid w:val="000E4E52"/>
    <w:rsid w:val="000E7251"/>
    <w:rsid w:val="000F0020"/>
    <w:rsid w:val="000F13BA"/>
    <w:rsid w:val="000F1B88"/>
    <w:rsid w:val="000F3789"/>
    <w:rsid w:val="000F4A1A"/>
    <w:rsid w:val="000F5041"/>
    <w:rsid w:val="000F5FFF"/>
    <w:rsid w:val="000F6D02"/>
    <w:rsid w:val="000F7345"/>
    <w:rsid w:val="0010251F"/>
    <w:rsid w:val="00103C64"/>
    <w:rsid w:val="00104AD8"/>
    <w:rsid w:val="00106A49"/>
    <w:rsid w:val="00110ABA"/>
    <w:rsid w:val="00111FBE"/>
    <w:rsid w:val="00112B0B"/>
    <w:rsid w:val="0011354A"/>
    <w:rsid w:val="00113FD8"/>
    <w:rsid w:val="00114AA0"/>
    <w:rsid w:val="00115923"/>
    <w:rsid w:val="0011593B"/>
    <w:rsid w:val="001159C5"/>
    <w:rsid w:val="00120A74"/>
    <w:rsid w:val="001214DD"/>
    <w:rsid w:val="00121EE3"/>
    <w:rsid w:val="00122582"/>
    <w:rsid w:val="00122EFD"/>
    <w:rsid w:val="00123C0F"/>
    <w:rsid w:val="0012431B"/>
    <w:rsid w:val="001256DF"/>
    <w:rsid w:val="00126293"/>
    <w:rsid w:val="001274F9"/>
    <w:rsid w:val="00127C25"/>
    <w:rsid w:val="0013072B"/>
    <w:rsid w:val="0013286C"/>
    <w:rsid w:val="001333AC"/>
    <w:rsid w:val="00134B18"/>
    <w:rsid w:val="001351F2"/>
    <w:rsid w:val="00136ABF"/>
    <w:rsid w:val="00137245"/>
    <w:rsid w:val="00141031"/>
    <w:rsid w:val="001434E5"/>
    <w:rsid w:val="00145478"/>
    <w:rsid w:val="00146BDB"/>
    <w:rsid w:val="0014768B"/>
    <w:rsid w:val="0015072A"/>
    <w:rsid w:val="00150C6D"/>
    <w:rsid w:val="00152962"/>
    <w:rsid w:val="00153016"/>
    <w:rsid w:val="001550F0"/>
    <w:rsid w:val="00157AF2"/>
    <w:rsid w:val="00160647"/>
    <w:rsid w:val="001608DB"/>
    <w:rsid w:val="001609A7"/>
    <w:rsid w:val="00162AC3"/>
    <w:rsid w:val="00163E71"/>
    <w:rsid w:val="0016702B"/>
    <w:rsid w:val="0016715A"/>
    <w:rsid w:val="00170377"/>
    <w:rsid w:val="001746D3"/>
    <w:rsid w:val="00174D18"/>
    <w:rsid w:val="00175A36"/>
    <w:rsid w:val="00175F8A"/>
    <w:rsid w:val="00181402"/>
    <w:rsid w:val="001823EC"/>
    <w:rsid w:val="00182BAE"/>
    <w:rsid w:val="0018410D"/>
    <w:rsid w:val="00186CB5"/>
    <w:rsid w:val="0018758B"/>
    <w:rsid w:val="00190735"/>
    <w:rsid w:val="001908C3"/>
    <w:rsid w:val="00191F28"/>
    <w:rsid w:val="001951BD"/>
    <w:rsid w:val="001A00C1"/>
    <w:rsid w:val="001A1B37"/>
    <w:rsid w:val="001A2A68"/>
    <w:rsid w:val="001A711F"/>
    <w:rsid w:val="001B03BA"/>
    <w:rsid w:val="001B0B31"/>
    <w:rsid w:val="001B1AC7"/>
    <w:rsid w:val="001B3BCB"/>
    <w:rsid w:val="001B45EF"/>
    <w:rsid w:val="001B5A99"/>
    <w:rsid w:val="001B6141"/>
    <w:rsid w:val="001C2E49"/>
    <w:rsid w:val="001D0E93"/>
    <w:rsid w:val="001D1B9C"/>
    <w:rsid w:val="001D23B2"/>
    <w:rsid w:val="001D2C0F"/>
    <w:rsid w:val="001D3B12"/>
    <w:rsid w:val="001D3D1A"/>
    <w:rsid w:val="001E1333"/>
    <w:rsid w:val="001E26C3"/>
    <w:rsid w:val="001E557A"/>
    <w:rsid w:val="001E612A"/>
    <w:rsid w:val="001E6574"/>
    <w:rsid w:val="001E7349"/>
    <w:rsid w:val="001F3C0E"/>
    <w:rsid w:val="001F5D1F"/>
    <w:rsid w:val="00202B09"/>
    <w:rsid w:val="002035DA"/>
    <w:rsid w:val="002041EF"/>
    <w:rsid w:val="002076C6"/>
    <w:rsid w:val="00212CCF"/>
    <w:rsid w:val="002132DF"/>
    <w:rsid w:val="002141BD"/>
    <w:rsid w:val="00214D27"/>
    <w:rsid w:val="002314E9"/>
    <w:rsid w:val="00237374"/>
    <w:rsid w:val="00237A15"/>
    <w:rsid w:val="0024380E"/>
    <w:rsid w:val="0024447F"/>
    <w:rsid w:val="00244D0A"/>
    <w:rsid w:val="00246DE6"/>
    <w:rsid w:val="0025034E"/>
    <w:rsid w:val="00251D76"/>
    <w:rsid w:val="002523F3"/>
    <w:rsid w:val="0025269B"/>
    <w:rsid w:val="00253DA2"/>
    <w:rsid w:val="002547AB"/>
    <w:rsid w:val="00254A6E"/>
    <w:rsid w:val="00255014"/>
    <w:rsid w:val="00256502"/>
    <w:rsid w:val="00256D14"/>
    <w:rsid w:val="00260E68"/>
    <w:rsid w:val="002647C2"/>
    <w:rsid w:val="00265745"/>
    <w:rsid w:val="00266B0C"/>
    <w:rsid w:val="002712A8"/>
    <w:rsid w:val="00273EDF"/>
    <w:rsid w:val="0027550F"/>
    <w:rsid w:val="002760E3"/>
    <w:rsid w:val="0029289D"/>
    <w:rsid w:val="00292AC9"/>
    <w:rsid w:val="002937BB"/>
    <w:rsid w:val="00293AD3"/>
    <w:rsid w:val="0029491D"/>
    <w:rsid w:val="002953DE"/>
    <w:rsid w:val="00296266"/>
    <w:rsid w:val="00296FBC"/>
    <w:rsid w:val="00297C90"/>
    <w:rsid w:val="002A4630"/>
    <w:rsid w:val="002A6469"/>
    <w:rsid w:val="002B00FC"/>
    <w:rsid w:val="002B0A5E"/>
    <w:rsid w:val="002B172D"/>
    <w:rsid w:val="002B37A1"/>
    <w:rsid w:val="002B5B4E"/>
    <w:rsid w:val="002C29AF"/>
    <w:rsid w:val="002C33F1"/>
    <w:rsid w:val="002C3E2C"/>
    <w:rsid w:val="002C5B9C"/>
    <w:rsid w:val="002C611A"/>
    <w:rsid w:val="002C6A71"/>
    <w:rsid w:val="002D483A"/>
    <w:rsid w:val="002D6DFF"/>
    <w:rsid w:val="002E10EA"/>
    <w:rsid w:val="002E18D2"/>
    <w:rsid w:val="002E18D6"/>
    <w:rsid w:val="002E27FD"/>
    <w:rsid w:val="002E5F02"/>
    <w:rsid w:val="002E73EF"/>
    <w:rsid w:val="002E7834"/>
    <w:rsid w:val="002F35E8"/>
    <w:rsid w:val="00301267"/>
    <w:rsid w:val="003014C6"/>
    <w:rsid w:val="00301FCA"/>
    <w:rsid w:val="003051E0"/>
    <w:rsid w:val="0030739E"/>
    <w:rsid w:val="0031024F"/>
    <w:rsid w:val="00311980"/>
    <w:rsid w:val="003124F0"/>
    <w:rsid w:val="00313141"/>
    <w:rsid w:val="00313624"/>
    <w:rsid w:val="003138D4"/>
    <w:rsid w:val="003158DA"/>
    <w:rsid w:val="00316498"/>
    <w:rsid w:val="00317007"/>
    <w:rsid w:val="00317445"/>
    <w:rsid w:val="00317871"/>
    <w:rsid w:val="00321CB1"/>
    <w:rsid w:val="00322503"/>
    <w:rsid w:val="003225DA"/>
    <w:rsid w:val="0032309B"/>
    <w:rsid w:val="00325A5B"/>
    <w:rsid w:val="00326BD5"/>
    <w:rsid w:val="003301F2"/>
    <w:rsid w:val="00330B9F"/>
    <w:rsid w:val="003321BF"/>
    <w:rsid w:val="0033277B"/>
    <w:rsid w:val="003336F1"/>
    <w:rsid w:val="0033399A"/>
    <w:rsid w:val="0033449A"/>
    <w:rsid w:val="00335B4B"/>
    <w:rsid w:val="00336AE1"/>
    <w:rsid w:val="00342C3E"/>
    <w:rsid w:val="00343594"/>
    <w:rsid w:val="00343806"/>
    <w:rsid w:val="003442DA"/>
    <w:rsid w:val="00345867"/>
    <w:rsid w:val="0034591F"/>
    <w:rsid w:val="00347918"/>
    <w:rsid w:val="003504B2"/>
    <w:rsid w:val="003543B5"/>
    <w:rsid w:val="0035496C"/>
    <w:rsid w:val="003570F0"/>
    <w:rsid w:val="00357911"/>
    <w:rsid w:val="00362651"/>
    <w:rsid w:val="00367A1E"/>
    <w:rsid w:val="003709E4"/>
    <w:rsid w:val="00370A69"/>
    <w:rsid w:val="00370C46"/>
    <w:rsid w:val="00372953"/>
    <w:rsid w:val="0037488E"/>
    <w:rsid w:val="00375CC0"/>
    <w:rsid w:val="00375E47"/>
    <w:rsid w:val="00377721"/>
    <w:rsid w:val="00377CA0"/>
    <w:rsid w:val="0038017A"/>
    <w:rsid w:val="0038320C"/>
    <w:rsid w:val="00383232"/>
    <w:rsid w:val="00383E4C"/>
    <w:rsid w:val="00385759"/>
    <w:rsid w:val="00387403"/>
    <w:rsid w:val="003879F4"/>
    <w:rsid w:val="00387CFB"/>
    <w:rsid w:val="0039021B"/>
    <w:rsid w:val="00392D19"/>
    <w:rsid w:val="003954C8"/>
    <w:rsid w:val="003961BC"/>
    <w:rsid w:val="00396818"/>
    <w:rsid w:val="003A0D6B"/>
    <w:rsid w:val="003A3AB3"/>
    <w:rsid w:val="003A5104"/>
    <w:rsid w:val="003A5753"/>
    <w:rsid w:val="003A61F2"/>
    <w:rsid w:val="003B1A8F"/>
    <w:rsid w:val="003B5057"/>
    <w:rsid w:val="003B5404"/>
    <w:rsid w:val="003B5531"/>
    <w:rsid w:val="003C0081"/>
    <w:rsid w:val="003C3172"/>
    <w:rsid w:val="003C4646"/>
    <w:rsid w:val="003C4C97"/>
    <w:rsid w:val="003C56CC"/>
    <w:rsid w:val="003C58DC"/>
    <w:rsid w:val="003C6A6C"/>
    <w:rsid w:val="003C7C24"/>
    <w:rsid w:val="003C7EAA"/>
    <w:rsid w:val="003D31F1"/>
    <w:rsid w:val="003D55F9"/>
    <w:rsid w:val="003D6216"/>
    <w:rsid w:val="003D75A5"/>
    <w:rsid w:val="003E02C3"/>
    <w:rsid w:val="003E20EC"/>
    <w:rsid w:val="003E2F2C"/>
    <w:rsid w:val="003E3099"/>
    <w:rsid w:val="003E3895"/>
    <w:rsid w:val="003E5229"/>
    <w:rsid w:val="003E79BB"/>
    <w:rsid w:val="003F0898"/>
    <w:rsid w:val="003F0995"/>
    <w:rsid w:val="003F484C"/>
    <w:rsid w:val="003F50DD"/>
    <w:rsid w:val="003F78C9"/>
    <w:rsid w:val="00401C7F"/>
    <w:rsid w:val="00402B6D"/>
    <w:rsid w:val="0040318C"/>
    <w:rsid w:val="00403E0F"/>
    <w:rsid w:val="00404EFD"/>
    <w:rsid w:val="00405F6A"/>
    <w:rsid w:val="004130EA"/>
    <w:rsid w:val="004164D4"/>
    <w:rsid w:val="004170B7"/>
    <w:rsid w:val="004171FD"/>
    <w:rsid w:val="0041778F"/>
    <w:rsid w:val="00417C63"/>
    <w:rsid w:val="004208E4"/>
    <w:rsid w:val="00422572"/>
    <w:rsid w:val="00422822"/>
    <w:rsid w:val="004245EB"/>
    <w:rsid w:val="00425459"/>
    <w:rsid w:val="004263BC"/>
    <w:rsid w:val="0042736E"/>
    <w:rsid w:val="0042786F"/>
    <w:rsid w:val="004301A4"/>
    <w:rsid w:val="0043140A"/>
    <w:rsid w:val="004368BF"/>
    <w:rsid w:val="00436D5C"/>
    <w:rsid w:val="00442EB0"/>
    <w:rsid w:val="0044388D"/>
    <w:rsid w:val="0044510A"/>
    <w:rsid w:val="00445B54"/>
    <w:rsid w:val="0044649D"/>
    <w:rsid w:val="004478DF"/>
    <w:rsid w:val="00447F65"/>
    <w:rsid w:val="004501A9"/>
    <w:rsid w:val="0045041C"/>
    <w:rsid w:val="00450C2F"/>
    <w:rsid w:val="0045131A"/>
    <w:rsid w:val="00452182"/>
    <w:rsid w:val="00452C24"/>
    <w:rsid w:val="00453DA7"/>
    <w:rsid w:val="00453F8B"/>
    <w:rsid w:val="00454E66"/>
    <w:rsid w:val="00461CD6"/>
    <w:rsid w:val="00464007"/>
    <w:rsid w:val="00465780"/>
    <w:rsid w:val="00470934"/>
    <w:rsid w:val="004747F7"/>
    <w:rsid w:val="00475E43"/>
    <w:rsid w:val="00476B27"/>
    <w:rsid w:val="00480D4E"/>
    <w:rsid w:val="00481C7C"/>
    <w:rsid w:val="00481DB1"/>
    <w:rsid w:val="004826BB"/>
    <w:rsid w:val="004837C7"/>
    <w:rsid w:val="00492712"/>
    <w:rsid w:val="00496807"/>
    <w:rsid w:val="00497B3F"/>
    <w:rsid w:val="00497FB9"/>
    <w:rsid w:val="004A1476"/>
    <w:rsid w:val="004A2137"/>
    <w:rsid w:val="004A3010"/>
    <w:rsid w:val="004A5EB5"/>
    <w:rsid w:val="004A778D"/>
    <w:rsid w:val="004B1DB6"/>
    <w:rsid w:val="004B3436"/>
    <w:rsid w:val="004B60AC"/>
    <w:rsid w:val="004C1A69"/>
    <w:rsid w:val="004C1D4B"/>
    <w:rsid w:val="004C27D6"/>
    <w:rsid w:val="004C3E49"/>
    <w:rsid w:val="004C46EB"/>
    <w:rsid w:val="004C5E52"/>
    <w:rsid w:val="004C76BA"/>
    <w:rsid w:val="004D26BD"/>
    <w:rsid w:val="004D2C6C"/>
    <w:rsid w:val="004D550D"/>
    <w:rsid w:val="004E0CA1"/>
    <w:rsid w:val="004E0D68"/>
    <w:rsid w:val="004E5A9E"/>
    <w:rsid w:val="004E770E"/>
    <w:rsid w:val="004E7C27"/>
    <w:rsid w:val="004F0807"/>
    <w:rsid w:val="004F237B"/>
    <w:rsid w:val="004F4047"/>
    <w:rsid w:val="004F73D5"/>
    <w:rsid w:val="004F78DF"/>
    <w:rsid w:val="005005B6"/>
    <w:rsid w:val="0050192B"/>
    <w:rsid w:val="00507015"/>
    <w:rsid w:val="00507343"/>
    <w:rsid w:val="00510CAF"/>
    <w:rsid w:val="0051264F"/>
    <w:rsid w:val="0051383B"/>
    <w:rsid w:val="00517431"/>
    <w:rsid w:val="005207C8"/>
    <w:rsid w:val="005242E3"/>
    <w:rsid w:val="00526789"/>
    <w:rsid w:val="00526953"/>
    <w:rsid w:val="00527989"/>
    <w:rsid w:val="00530E55"/>
    <w:rsid w:val="0053146D"/>
    <w:rsid w:val="00531941"/>
    <w:rsid w:val="0053300A"/>
    <w:rsid w:val="0053695D"/>
    <w:rsid w:val="00537187"/>
    <w:rsid w:val="00537449"/>
    <w:rsid w:val="005406B8"/>
    <w:rsid w:val="00540FCB"/>
    <w:rsid w:val="0054299F"/>
    <w:rsid w:val="005436DC"/>
    <w:rsid w:val="00545937"/>
    <w:rsid w:val="00546F64"/>
    <w:rsid w:val="00547570"/>
    <w:rsid w:val="00551374"/>
    <w:rsid w:val="00551F6E"/>
    <w:rsid w:val="005522A4"/>
    <w:rsid w:val="00552C56"/>
    <w:rsid w:val="00553DE4"/>
    <w:rsid w:val="00555A7C"/>
    <w:rsid w:val="00556013"/>
    <w:rsid w:val="00557DA2"/>
    <w:rsid w:val="00560E38"/>
    <w:rsid w:val="0056347C"/>
    <w:rsid w:val="005644F8"/>
    <w:rsid w:val="0056499F"/>
    <w:rsid w:val="00564C4E"/>
    <w:rsid w:val="005671FE"/>
    <w:rsid w:val="005676E1"/>
    <w:rsid w:val="00571DBA"/>
    <w:rsid w:val="00571DEC"/>
    <w:rsid w:val="005726E7"/>
    <w:rsid w:val="0057321D"/>
    <w:rsid w:val="00573383"/>
    <w:rsid w:val="005740A1"/>
    <w:rsid w:val="00576FA2"/>
    <w:rsid w:val="00580976"/>
    <w:rsid w:val="00580D5E"/>
    <w:rsid w:val="00581EDF"/>
    <w:rsid w:val="005853B5"/>
    <w:rsid w:val="00586430"/>
    <w:rsid w:val="0059049C"/>
    <w:rsid w:val="00591BD0"/>
    <w:rsid w:val="005938D0"/>
    <w:rsid w:val="00595A1B"/>
    <w:rsid w:val="00596ADE"/>
    <w:rsid w:val="005A0416"/>
    <w:rsid w:val="005A1ACD"/>
    <w:rsid w:val="005A273D"/>
    <w:rsid w:val="005A3E80"/>
    <w:rsid w:val="005A403B"/>
    <w:rsid w:val="005A7934"/>
    <w:rsid w:val="005B67A4"/>
    <w:rsid w:val="005C1538"/>
    <w:rsid w:val="005C2522"/>
    <w:rsid w:val="005C2C4D"/>
    <w:rsid w:val="005C577A"/>
    <w:rsid w:val="005C729E"/>
    <w:rsid w:val="005C7D33"/>
    <w:rsid w:val="005D13C1"/>
    <w:rsid w:val="005D468E"/>
    <w:rsid w:val="005D4CC4"/>
    <w:rsid w:val="005D4EAA"/>
    <w:rsid w:val="005D6461"/>
    <w:rsid w:val="005D7AF0"/>
    <w:rsid w:val="005E03B6"/>
    <w:rsid w:val="005E235C"/>
    <w:rsid w:val="005E4671"/>
    <w:rsid w:val="005E6E3B"/>
    <w:rsid w:val="005E70A4"/>
    <w:rsid w:val="005F1A02"/>
    <w:rsid w:val="005F63A1"/>
    <w:rsid w:val="005F64AA"/>
    <w:rsid w:val="006014BB"/>
    <w:rsid w:val="00606276"/>
    <w:rsid w:val="006069B4"/>
    <w:rsid w:val="006074FF"/>
    <w:rsid w:val="00610C11"/>
    <w:rsid w:val="00610D07"/>
    <w:rsid w:val="00611183"/>
    <w:rsid w:val="006125C7"/>
    <w:rsid w:val="0061298F"/>
    <w:rsid w:val="006133F2"/>
    <w:rsid w:val="00614436"/>
    <w:rsid w:val="00615A75"/>
    <w:rsid w:val="00616B7B"/>
    <w:rsid w:val="006200FE"/>
    <w:rsid w:val="006207B5"/>
    <w:rsid w:val="006219A6"/>
    <w:rsid w:val="00627E60"/>
    <w:rsid w:val="0063043D"/>
    <w:rsid w:val="00630C5E"/>
    <w:rsid w:val="00632219"/>
    <w:rsid w:val="006376C2"/>
    <w:rsid w:val="0064061C"/>
    <w:rsid w:val="00646DE5"/>
    <w:rsid w:val="0064738C"/>
    <w:rsid w:val="00650552"/>
    <w:rsid w:val="006521AF"/>
    <w:rsid w:val="00653343"/>
    <w:rsid w:val="00653434"/>
    <w:rsid w:val="00654072"/>
    <w:rsid w:val="00654498"/>
    <w:rsid w:val="006552DE"/>
    <w:rsid w:val="00656F90"/>
    <w:rsid w:val="00661049"/>
    <w:rsid w:val="006677CB"/>
    <w:rsid w:val="00667AC5"/>
    <w:rsid w:val="006701A0"/>
    <w:rsid w:val="00671F57"/>
    <w:rsid w:val="00672913"/>
    <w:rsid w:val="006760CB"/>
    <w:rsid w:val="00676FA6"/>
    <w:rsid w:val="006802FC"/>
    <w:rsid w:val="0068266B"/>
    <w:rsid w:val="00682DEC"/>
    <w:rsid w:val="00685275"/>
    <w:rsid w:val="00686486"/>
    <w:rsid w:val="00686EBD"/>
    <w:rsid w:val="006879F6"/>
    <w:rsid w:val="006905F9"/>
    <w:rsid w:val="00690FF9"/>
    <w:rsid w:val="00693FAF"/>
    <w:rsid w:val="00695E44"/>
    <w:rsid w:val="00696FD9"/>
    <w:rsid w:val="006A07F7"/>
    <w:rsid w:val="006A3C75"/>
    <w:rsid w:val="006A554B"/>
    <w:rsid w:val="006A5F3B"/>
    <w:rsid w:val="006A7B47"/>
    <w:rsid w:val="006A7DFE"/>
    <w:rsid w:val="006B02D6"/>
    <w:rsid w:val="006B218A"/>
    <w:rsid w:val="006B55A5"/>
    <w:rsid w:val="006B5CF6"/>
    <w:rsid w:val="006B7D05"/>
    <w:rsid w:val="006C1130"/>
    <w:rsid w:val="006C19CA"/>
    <w:rsid w:val="006C5071"/>
    <w:rsid w:val="006D2279"/>
    <w:rsid w:val="006D418C"/>
    <w:rsid w:val="006D595E"/>
    <w:rsid w:val="006F17FB"/>
    <w:rsid w:val="006F1D23"/>
    <w:rsid w:val="006F1DF0"/>
    <w:rsid w:val="006F1F05"/>
    <w:rsid w:val="006F2F22"/>
    <w:rsid w:val="006F411B"/>
    <w:rsid w:val="006F52AA"/>
    <w:rsid w:val="006F6347"/>
    <w:rsid w:val="006F71A5"/>
    <w:rsid w:val="006F74F3"/>
    <w:rsid w:val="006F75B8"/>
    <w:rsid w:val="006F7DB7"/>
    <w:rsid w:val="007000D5"/>
    <w:rsid w:val="0070082C"/>
    <w:rsid w:val="00705BCC"/>
    <w:rsid w:val="007064EE"/>
    <w:rsid w:val="00707CAF"/>
    <w:rsid w:val="007106F6"/>
    <w:rsid w:val="0071582C"/>
    <w:rsid w:val="00716A5D"/>
    <w:rsid w:val="00720600"/>
    <w:rsid w:val="0072358D"/>
    <w:rsid w:val="00724EAC"/>
    <w:rsid w:val="0072544C"/>
    <w:rsid w:val="0072601F"/>
    <w:rsid w:val="007264A7"/>
    <w:rsid w:val="0072706D"/>
    <w:rsid w:val="00727F0B"/>
    <w:rsid w:val="007339D7"/>
    <w:rsid w:val="00733BC9"/>
    <w:rsid w:val="007361FA"/>
    <w:rsid w:val="007366FE"/>
    <w:rsid w:val="007367AA"/>
    <w:rsid w:val="00736B5F"/>
    <w:rsid w:val="007409CF"/>
    <w:rsid w:val="00744364"/>
    <w:rsid w:val="007448BA"/>
    <w:rsid w:val="00746C25"/>
    <w:rsid w:val="007516A9"/>
    <w:rsid w:val="00751721"/>
    <w:rsid w:val="007553CC"/>
    <w:rsid w:val="00755A4E"/>
    <w:rsid w:val="00757214"/>
    <w:rsid w:val="00763743"/>
    <w:rsid w:val="00763B58"/>
    <w:rsid w:val="00764338"/>
    <w:rsid w:val="00764462"/>
    <w:rsid w:val="00764F84"/>
    <w:rsid w:val="00765C1F"/>
    <w:rsid w:val="007668DA"/>
    <w:rsid w:val="00770B5F"/>
    <w:rsid w:val="0077113E"/>
    <w:rsid w:val="0077315F"/>
    <w:rsid w:val="00774250"/>
    <w:rsid w:val="007745A2"/>
    <w:rsid w:val="007750FD"/>
    <w:rsid w:val="00775AB7"/>
    <w:rsid w:val="00775B9B"/>
    <w:rsid w:val="00776819"/>
    <w:rsid w:val="00781077"/>
    <w:rsid w:val="0078145B"/>
    <w:rsid w:val="00781596"/>
    <w:rsid w:val="00786623"/>
    <w:rsid w:val="00790204"/>
    <w:rsid w:val="0079600B"/>
    <w:rsid w:val="007A4D05"/>
    <w:rsid w:val="007A7A8C"/>
    <w:rsid w:val="007B0CE3"/>
    <w:rsid w:val="007B1E35"/>
    <w:rsid w:val="007B26A1"/>
    <w:rsid w:val="007B2AD2"/>
    <w:rsid w:val="007B2F6C"/>
    <w:rsid w:val="007B388F"/>
    <w:rsid w:val="007B5620"/>
    <w:rsid w:val="007C025F"/>
    <w:rsid w:val="007C2216"/>
    <w:rsid w:val="007C31B0"/>
    <w:rsid w:val="007C5CA2"/>
    <w:rsid w:val="007C7966"/>
    <w:rsid w:val="007D122D"/>
    <w:rsid w:val="007D144A"/>
    <w:rsid w:val="007D6962"/>
    <w:rsid w:val="007D703B"/>
    <w:rsid w:val="007D7682"/>
    <w:rsid w:val="007E0EAA"/>
    <w:rsid w:val="007E24FB"/>
    <w:rsid w:val="007E3923"/>
    <w:rsid w:val="007E66AF"/>
    <w:rsid w:val="007E68C3"/>
    <w:rsid w:val="007E6D0D"/>
    <w:rsid w:val="007E6D42"/>
    <w:rsid w:val="007E7B24"/>
    <w:rsid w:val="007F2BE9"/>
    <w:rsid w:val="007F2F92"/>
    <w:rsid w:val="007F3079"/>
    <w:rsid w:val="007F60E6"/>
    <w:rsid w:val="007F6941"/>
    <w:rsid w:val="007F73DF"/>
    <w:rsid w:val="008159BE"/>
    <w:rsid w:val="00816530"/>
    <w:rsid w:val="008200FE"/>
    <w:rsid w:val="00820321"/>
    <w:rsid w:val="00826CEE"/>
    <w:rsid w:val="008319F5"/>
    <w:rsid w:val="008330D4"/>
    <w:rsid w:val="00834D97"/>
    <w:rsid w:val="00835468"/>
    <w:rsid w:val="008369D0"/>
    <w:rsid w:val="008370D4"/>
    <w:rsid w:val="00841DFB"/>
    <w:rsid w:val="00843375"/>
    <w:rsid w:val="008440A5"/>
    <w:rsid w:val="008441A7"/>
    <w:rsid w:val="00845E55"/>
    <w:rsid w:val="00845F27"/>
    <w:rsid w:val="00847F02"/>
    <w:rsid w:val="008505FE"/>
    <w:rsid w:val="00852948"/>
    <w:rsid w:val="0085433A"/>
    <w:rsid w:val="00854BC3"/>
    <w:rsid w:val="00854E58"/>
    <w:rsid w:val="00863371"/>
    <w:rsid w:val="0086378A"/>
    <w:rsid w:val="00865625"/>
    <w:rsid w:val="00866B32"/>
    <w:rsid w:val="00871068"/>
    <w:rsid w:val="0087120C"/>
    <w:rsid w:val="008741DB"/>
    <w:rsid w:val="0087454C"/>
    <w:rsid w:val="00874910"/>
    <w:rsid w:val="00875102"/>
    <w:rsid w:val="008756E6"/>
    <w:rsid w:val="0087628D"/>
    <w:rsid w:val="0088119B"/>
    <w:rsid w:val="00883694"/>
    <w:rsid w:val="00887607"/>
    <w:rsid w:val="00891BB7"/>
    <w:rsid w:val="00894C50"/>
    <w:rsid w:val="00895271"/>
    <w:rsid w:val="00895D85"/>
    <w:rsid w:val="00895DD9"/>
    <w:rsid w:val="00896DA9"/>
    <w:rsid w:val="008A0A52"/>
    <w:rsid w:val="008A2208"/>
    <w:rsid w:val="008A3FE5"/>
    <w:rsid w:val="008A4567"/>
    <w:rsid w:val="008A61A4"/>
    <w:rsid w:val="008A6C14"/>
    <w:rsid w:val="008B1A94"/>
    <w:rsid w:val="008B3213"/>
    <w:rsid w:val="008B3DDB"/>
    <w:rsid w:val="008B609B"/>
    <w:rsid w:val="008B67D9"/>
    <w:rsid w:val="008B7AE7"/>
    <w:rsid w:val="008C1FDF"/>
    <w:rsid w:val="008C3643"/>
    <w:rsid w:val="008C4326"/>
    <w:rsid w:val="008C5AE0"/>
    <w:rsid w:val="008C5DB5"/>
    <w:rsid w:val="008C7AD2"/>
    <w:rsid w:val="008D1A16"/>
    <w:rsid w:val="008D1AED"/>
    <w:rsid w:val="008D3B0E"/>
    <w:rsid w:val="008D4499"/>
    <w:rsid w:val="008E14A1"/>
    <w:rsid w:val="008E78C5"/>
    <w:rsid w:val="008F1EFE"/>
    <w:rsid w:val="008F273C"/>
    <w:rsid w:val="008F275A"/>
    <w:rsid w:val="008F2CCD"/>
    <w:rsid w:val="008F384B"/>
    <w:rsid w:val="008F4EBC"/>
    <w:rsid w:val="008F6944"/>
    <w:rsid w:val="00900E46"/>
    <w:rsid w:val="009010D0"/>
    <w:rsid w:val="009039E3"/>
    <w:rsid w:val="00903F51"/>
    <w:rsid w:val="00903F76"/>
    <w:rsid w:val="00906E8C"/>
    <w:rsid w:val="00907336"/>
    <w:rsid w:val="009119E5"/>
    <w:rsid w:val="00912A5C"/>
    <w:rsid w:val="00912EE7"/>
    <w:rsid w:val="00913CF1"/>
    <w:rsid w:val="0091445B"/>
    <w:rsid w:val="00920A0D"/>
    <w:rsid w:val="009219EF"/>
    <w:rsid w:val="009236CC"/>
    <w:rsid w:val="00923CD1"/>
    <w:rsid w:val="00926787"/>
    <w:rsid w:val="00926D25"/>
    <w:rsid w:val="00927F08"/>
    <w:rsid w:val="00931465"/>
    <w:rsid w:val="00931826"/>
    <w:rsid w:val="00932CFA"/>
    <w:rsid w:val="009343AD"/>
    <w:rsid w:val="009353D7"/>
    <w:rsid w:val="00936CEB"/>
    <w:rsid w:val="00942211"/>
    <w:rsid w:val="009457D4"/>
    <w:rsid w:val="009459B3"/>
    <w:rsid w:val="0094752E"/>
    <w:rsid w:val="009479DA"/>
    <w:rsid w:val="00947CEC"/>
    <w:rsid w:val="00956A5F"/>
    <w:rsid w:val="0095779D"/>
    <w:rsid w:val="0096073C"/>
    <w:rsid w:val="00960A85"/>
    <w:rsid w:val="00960ACA"/>
    <w:rsid w:val="0096200B"/>
    <w:rsid w:val="00962946"/>
    <w:rsid w:val="00965F19"/>
    <w:rsid w:val="009708E8"/>
    <w:rsid w:val="0097298B"/>
    <w:rsid w:val="00973378"/>
    <w:rsid w:val="00973960"/>
    <w:rsid w:val="0097404A"/>
    <w:rsid w:val="009746FF"/>
    <w:rsid w:val="00976784"/>
    <w:rsid w:val="009778BE"/>
    <w:rsid w:val="009830E5"/>
    <w:rsid w:val="0098655E"/>
    <w:rsid w:val="00987226"/>
    <w:rsid w:val="00992272"/>
    <w:rsid w:val="00994879"/>
    <w:rsid w:val="00995367"/>
    <w:rsid w:val="00996CB7"/>
    <w:rsid w:val="009A12F5"/>
    <w:rsid w:val="009A7DAA"/>
    <w:rsid w:val="009B0B93"/>
    <w:rsid w:val="009B0C25"/>
    <w:rsid w:val="009B133A"/>
    <w:rsid w:val="009B3A2E"/>
    <w:rsid w:val="009C3575"/>
    <w:rsid w:val="009C3F22"/>
    <w:rsid w:val="009C46B4"/>
    <w:rsid w:val="009C539B"/>
    <w:rsid w:val="009C6668"/>
    <w:rsid w:val="009D0BA9"/>
    <w:rsid w:val="009D2B19"/>
    <w:rsid w:val="009E1021"/>
    <w:rsid w:val="009E1D6A"/>
    <w:rsid w:val="009E34A4"/>
    <w:rsid w:val="009E567D"/>
    <w:rsid w:val="009E61C3"/>
    <w:rsid w:val="009F0492"/>
    <w:rsid w:val="009F1E4C"/>
    <w:rsid w:val="009F20C1"/>
    <w:rsid w:val="009F3205"/>
    <w:rsid w:val="009F3B84"/>
    <w:rsid w:val="009F459B"/>
    <w:rsid w:val="009F515A"/>
    <w:rsid w:val="009F61D9"/>
    <w:rsid w:val="009F658A"/>
    <w:rsid w:val="009F66A4"/>
    <w:rsid w:val="00A010FF"/>
    <w:rsid w:val="00A0117A"/>
    <w:rsid w:val="00A10628"/>
    <w:rsid w:val="00A11F61"/>
    <w:rsid w:val="00A1296C"/>
    <w:rsid w:val="00A135BF"/>
    <w:rsid w:val="00A141C9"/>
    <w:rsid w:val="00A157D6"/>
    <w:rsid w:val="00A15C0E"/>
    <w:rsid w:val="00A16152"/>
    <w:rsid w:val="00A16817"/>
    <w:rsid w:val="00A16D5B"/>
    <w:rsid w:val="00A226AC"/>
    <w:rsid w:val="00A2613D"/>
    <w:rsid w:val="00A27B04"/>
    <w:rsid w:val="00A366DD"/>
    <w:rsid w:val="00A36A01"/>
    <w:rsid w:val="00A37D63"/>
    <w:rsid w:val="00A40326"/>
    <w:rsid w:val="00A40FA5"/>
    <w:rsid w:val="00A42C75"/>
    <w:rsid w:val="00A43C0A"/>
    <w:rsid w:val="00A44E00"/>
    <w:rsid w:val="00A465C7"/>
    <w:rsid w:val="00A50FDB"/>
    <w:rsid w:val="00A52A37"/>
    <w:rsid w:val="00A53D8C"/>
    <w:rsid w:val="00A55C59"/>
    <w:rsid w:val="00A562DF"/>
    <w:rsid w:val="00A60C40"/>
    <w:rsid w:val="00A62190"/>
    <w:rsid w:val="00A62BF3"/>
    <w:rsid w:val="00A64F83"/>
    <w:rsid w:val="00A662D0"/>
    <w:rsid w:val="00A7242F"/>
    <w:rsid w:val="00A73878"/>
    <w:rsid w:val="00A73DB2"/>
    <w:rsid w:val="00A73FD7"/>
    <w:rsid w:val="00A743FB"/>
    <w:rsid w:val="00A747F6"/>
    <w:rsid w:val="00A74B6E"/>
    <w:rsid w:val="00A771C6"/>
    <w:rsid w:val="00A80B1F"/>
    <w:rsid w:val="00A80DEC"/>
    <w:rsid w:val="00A841F1"/>
    <w:rsid w:val="00A842C2"/>
    <w:rsid w:val="00A85CD2"/>
    <w:rsid w:val="00A873FA"/>
    <w:rsid w:val="00A905D2"/>
    <w:rsid w:val="00A906ED"/>
    <w:rsid w:val="00A974DB"/>
    <w:rsid w:val="00A97F99"/>
    <w:rsid w:val="00AA050B"/>
    <w:rsid w:val="00AA1372"/>
    <w:rsid w:val="00AA18BE"/>
    <w:rsid w:val="00AA2FBA"/>
    <w:rsid w:val="00AA3AAC"/>
    <w:rsid w:val="00AA6A15"/>
    <w:rsid w:val="00AA6D37"/>
    <w:rsid w:val="00AB0329"/>
    <w:rsid w:val="00AB2864"/>
    <w:rsid w:val="00AB40F8"/>
    <w:rsid w:val="00AB635D"/>
    <w:rsid w:val="00AB6634"/>
    <w:rsid w:val="00AB6E65"/>
    <w:rsid w:val="00AB6E72"/>
    <w:rsid w:val="00AC2180"/>
    <w:rsid w:val="00AC53D7"/>
    <w:rsid w:val="00AC635A"/>
    <w:rsid w:val="00AC6702"/>
    <w:rsid w:val="00AC7D9C"/>
    <w:rsid w:val="00AC7DF3"/>
    <w:rsid w:val="00AD00D9"/>
    <w:rsid w:val="00AD0A58"/>
    <w:rsid w:val="00AD2DA3"/>
    <w:rsid w:val="00AD6FEB"/>
    <w:rsid w:val="00AD7423"/>
    <w:rsid w:val="00AE03B0"/>
    <w:rsid w:val="00AE3F8F"/>
    <w:rsid w:val="00AE4066"/>
    <w:rsid w:val="00AE70BB"/>
    <w:rsid w:val="00AF100C"/>
    <w:rsid w:val="00AF7D40"/>
    <w:rsid w:val="00B00178"/>
    <w:rsid w:val="00B003FB"/>
    <w:rsid w:val="00B00514"/>
    <w:rsid w:val="00B01082"/>
    <w:rsid w:val="00B02A9C"/>
    <w:rsid w:val="00B0341E"/>
    <w:rsid w:val="00B05979"/>
    <w:rsid w:val="00B069E1"/>
    <w:rsid w:val="00B06B49"/>
    <w:rsid w:val="00B108A5"/>
    <w:rsid w:val="00B11E04"/>
    <w:rsid w:val="00B1335E"/>
    <w:rsid w:val="00B13401"/>
    <w:rsid w:val="00B13F20"/>
    <w:rsid w:val="00B20AB6"/>
    <w:rsid w:val="00B21EF2"/>
    <w:rsid w:val="00B22B19"/>
    <w:rsid w:val="00B240B0"/>
    <w:rsid w:val="00B27A48"/>
    <w:rsid w:val="00B323A5"/>
    <w:rsid w:val="00B32FA5"/>
    <w:rsid w:val="00B3459B"/>
    <w:rsid w:val="00B349D7"/>
    <w:rsid w:val="00B34DDB"/>
    <w:rsid w:val="00B357EF"/>
    <w:rsid w:val="00B3783E"/>
    <w:rsid w:val="00B409ED"/>
    <w:rsid w:val="00B42CC6"/>
    <w:rsid w:val="00B4408D"/>
    <w:rsid w:val="00B448C0"/>
    <w:rsid w:val="00B4515D"/>
    <w:rsid w:val="00B460B3"/>
    <w:rsid w:val="00B46B01"/>
    <w:rsid w:val="00B47CCA"/>
    <w:rsid w:val="00B50EF1"/>
    <w:rsid w:val="00B512C1"/>
    <w:rsid w:val="00B51A4F"/>
    <w:rsid w:val="00B52898"/>
    <w:rsid w:val="00B52C19"/>
    <w:rsid w:val="00B5322D"/>
    <w:rsid w:val="00B548AA"/>
    <w:rsid w:val="00B57A17"/>
    <w:rsid w:val="00B61375"/>
    <w:rsid w:val="00B6163A"/>
    <w:rsid w:val="00B61FBD"/>
    <w:rsid w:val="00B63728"/>
    <w:rsid w:val="00B63E21"/>
    <w:rsid w:val="00B64697"/>
    <w:rsid w:val="00B648D1"/>
    <w:rsid w:val="00B66FA9"/>
    <w:rsid w:val="00B710BA"/>
    <w:rsid w:val="00B77A16"/>
    <w:rsid w:val="00B80613"/>
    <w:rsid w:val="00B831C3"/>
    <w:rsid w:val="00B84A6E"/>
    <w:rsid w:val="00B85F0D"/>
    <w:rsid w:val="00B86DE1"/>
    <w:rsid w:val="00B90AE8"/>
    <w:rsid w:val="00B91B4E"/>
    <w:rsid w:val="00B93328"/>
    <w:rsid w:val="00B94D98"/>
    <w:rsid w:val="00B95129"/>
    <w:rsid w:val="00B952FF"/>
    <w:rsid w:val="00B959E3"/>
    <w:rsid w:val="00B97BC4"/>
    <w:rsid w:val="00BA0AA3"/>
    <w:rsid w:val="00BA1D7A"/>
    <w:rsid w:val="00BA228B"/>
    <w:rsid w:val="00BA2DF4"/>
    <w:rsid w:val="00BA35BA"/>
    <w:rsid w:val="00BA3FE5"/>
    <w:rsid w:val="00BA5545"/>
    <w:rsid w:val="00BA7363"/>
    <w:rsid w:val="00BB0625"/>
    <w:rsid w:val="00BB1BD7"/>
    <w:rsid w:val="00BB33FC"/>
    <w:rsid w:val="00BB4B74"/>
    <w:rsid w:val="00BB7849"/>
    <w:rsid w:val="00BB7ED8"/>
    <w:rsid w:val="00BC1621"/>
    <w:rsid w:val="00BC16E8"/>
    <w:rsid w:val="00BC1F48"/>
    <w:rsid w:val="00BC2C5F"/>
    <w:rsid w:val="00BC37F7"/>
    <w:rsid w:val="00BC4109"/>
    <w:rsid w:val="00BC41BC"/>
    <w:rsid w:val="00BC514F"/>
    <w:rsid w:val="00BC6764"/>
    <w:rsid w:val="00BC7D89"/>
    <w:rsid w:val="00BD0235"/>
    <w:rsid w:val="00BD054F"/>
    <w:rsid w:val="00BD4734"/>
    <w:rsid w:val="00BD4873"/>
    <w:rsid w:val="00BD60E5"/>
    <w:rsid w:val="00BD7EAB"/>
    <w:rsid w:val="00BE20ED"/>
    <w:rsid w:val="00BE46BD"/>
    <w:rsid w:val="00BF0008"/>
    <w:rsid w:val="00BF06A7"/>
    <w:rsid w:val="00BF1E0D"/>
    <w:rsid w:val="00BF2455"/>
    <w:rsid w:val="00BF24D2"/>
    <w:rsid w:val="00BF3A21"/>
    <w:rsid w:val="00BF481B"/>
    <w:rsid w:val="00BF5F72"/>
    <w:rsid w:val="00C00246"/>
    <w:rsid w:val="00C012CE"/>
    <w:rsid w:val="00C01318"/>
    <w:rsid w:val="00C023D4"/>
    <w:rsid w:val="00C03AB4"/>
    <w:rsid w:val="00C03AEE"/>
    <w:rsid w:val="00C102BB"/>
    <w:rsid w:val="00C109D5"/>
    <w:rsid w:val="00C12EC2"/>
    <w:rsid w:val="00C21615"/>
    <w:rsid w:val="00C21934"/>
    <w:rsid w:val="00C22424"/>
    <w:rsid w:val="00C226CD"/>
    <w:rsid w:val="00C22EF9"/>
    <w:rsid w:val="00C247FE"/>
    <w:rsid w:val="00C259D0"/>
    <w:rsid w:val="00C31108"/>
    <w:rsid w:val="00C34D35"/>
    <w:rsid w:val="00C3516F"/>
    <w:rsid w:val="00C360F8"/>
    <w:rsid w:val="00C42B2E"/>
    <w:rsid w:val="00C43366"/>
    <w:rsid w:val="00C433F6"/>
    <w:rsid w:val="00C43E15"/>
    <w:rsid w:val="00C448D4"/>
    <w:rsid w:val="00C45004"/>
    <w:rsid w:val="00C45253"/>
    <w:rsid w:val="00C476C6"/>
    <w:rsid w:val="00C526B3"/>
    <w:rsid w:val="00C52F8D"/>
    <w:rsid w:val="00C53D59"/>
    <w:rsid w:val="00C54499"/>
    <w:rsid w:val="00C549DE"/>
    <w:rsid w:val="00C57073"/>
    <w:rsid w:val="00C57EED"/>
    <w:rsid w:val="00C607B5"/>
    <w:rsid w:val="00C61F97"/>
    <w:rsid w:val="00C62EF6"/>
    <w:rsid w:val="00C62F60"/>
    <w:rsid w:val="00C66450"/>
    <w:rsid w:val="00C666BB"/>
    <w:rsid w:val="00C70945"/>
    <w:rsid w:val="00C71307"/>
    <w:rsid w:val="00C745BD"/>
    <w:rsid w:val="00C7475A"/>
    <w:rsid w:val="00C74D3A"/>
    <w:rsid w:val="00C75C00"/>
    <w:rsid w:val="00C766B9"/>
    <w:rsid w:val="00C76AD5"/>
    <w:rsid w:val="00C7702D"/>
    <w:rsid w:val="00C8008B"/>
    <w:rsid w:val="00C82459"/>
    <w:rsid w:val="00C8297A"/>
    <w:rsid w:val="00C90385"/>
    <w:rsid w:val="00C95254"/>
    <w:rsid w:val="00C960CD"/>
    <w:rsid w:val="00CA39E7"/>
    <w:rsid w:val="00CA5771"/>
    <w:rsid w:val="00CB2DE6"/>
    <w:rsid w:val="00CC133B"/>
    <w:rsid w:val="00CC2F21"/>
    <w:rsid w:val="00CC3D26"/>
    <w:rsid w:val="00CC677E"/>
    <w:rsid w:val="00CC7478"/>
    <w:rsid w:val="00CC7F17"/>
    <w:rsid w:val="00CD0020"/>
    <w:rsid w:val="00CD0F14"/>
    <w:rsid w:val="00CD13C8"/>
    <w:rsid w:val="00CE3E35"/>
    <w:rsid w:val="00CE4A80"/>
    <w:rsid w:val="00CF28ED"/>
    <w:rsid w:val="00CF5986"/>
    <w:rsid w:val="00CF6ADA"/>
    <w:rsid w:val="00D00790"/>
    <w:rsid w:val="00D0099F"/>
    <w:rsid w:val="00D01B1A"/>
    <w:rsid w:val="00D025A5"/>
    <w:rsid w:val="00D02CB0"/>
    <w:rsid w:val="00D0682A"/>
    <w:rsid w:val="00D10317"/>
    <w:rsid w:val="00D11439"/>
    <w:rsid w:val="00D117A4"/>
    <w:rsid w:val="00D1189B"/>
    <w:rsid w:val="00D127A1"/>
    <w:rsid w:val="00D1532E"/>
    <w:rsid w:val="00D15872"/>
    <w:rsid w:val="00D160FA"/>
    <w:rsid w:val="00D170AA"/>
    <w:rsid w:val="00D21320"/>
    <w:rsid w:val="00D21F6D"/>
    <w:rsid w:val="00D22E08"/>
    <w:rsid w:val="00D236A3"/>
    <w:rsid w:val="00D24DC4"/>
    <w:rsid w:val="00D2542E"/>
    <w:rsid w:val="00D27949"/>
    <w:rsid w:val="00D30FDA"/>
    <w:rsid w:val="00D31BAE"/>
    <w:rsid w:val="00D31EB1"/>
    <w:rsid w:val="00D33FDE"/>
    <w:rsid w:val="00D35D32"/>
    <w:rsid w:val="00D35D40"/>
    <w:rsid w:val="00D379D4"/>
    <w:rsid w:val="00D40C09"/>
    <w:rsid w:val="00D42AC8"/>
    <w:rsid w:val="00D44533"/>
    <w:rsid w:val="00D44F00"/>
    <w:rsid w:val="00D4552B"/>
    <w:rsid w:val="00D466F6"/>
    <w:rsid w:val="00D500BF"/>
    <w:rsid w:val="00D51006"/>
    <w:rsid w:val="00D51568"/>
    <w:rsid w:val="00D5447F"/>
    <w:rsid w:val="00D55A82"/>
    <w:rsid w:val="00D616D6"/>
    <w:rsid w:val="00D65940"/>
    <w:rsid w:val="00D65DE4"/>
    <w:rsid w:val="00D67240"/>
    <w:rsid w:val="00D67431"/>
    <w:rsid w:val="00D70DC7"/>
    <w:rsid w:val="00D741FE"/>
    <w:rsid w:val="00D74BB9"/>
    <w:rsid w:val="00D762DE"/>
    <w:rsid w:val="00D765C0"/>
    <w:rsid w:val="00D76DA1"/>
    <w:rsid w:val="00D7708E"/>
    <w:rsid w:val="00D7735A"/>
    <w:rsid w:val="00D81DD7"/>
    <w:rsid w:val="00D82718"/>
    <w:rsid w:val="00D82BF8"/>
    <w:rsid w:val="00D83828"/>
    <w:rsid w:val="00D838AB"/>
    <w:rsid w:val="00D849CD"/>
    <w:rsid w:val="00D8543E"/>
    <w:rsid w:val="00D85C87"/>
    <w:rsid w:val="00D87454"/>
    <w:rsid w:val="00D909F1"/>
    <w:rsid w:val="00D92735"/>
    <w:rsid w:val="00D92A61"/>
    <w:rsid w:val="00D92B83"/>
    <w:rsid w:val="00D95941"/>
    <w:rsid w:val="00D95B01"/>
    <w:rsid w:val="00DA2EC1"/>
    <w:rsid w:val="00DA4177"/>
    <w:rsid w:val="00DA486E"/>
    <w:rsid w:val="00DB2A50"/>
    <w:rsid w:val="00DB3595"/>
    <w:rsid w:val="00DB6D9D"/>
    <w:rsid w:val="00DB6F8E"/>
    <w:rsid w:val="00DB74DA"/>
    <w:rsid w:val="00DC2A97"/>
    <w:rsid w:val="00DC2C7C"/>
    <w:rsid w:val="00DC3AF9"/>
    <w:rsid w:val="00DC6812"/>
    <w:rsid w:val="00DD36F6"/>
    <w:rsid w:val="00DD4B24"/>
    <w:rsid w:val="00DD54E3"/>
    <w:rsid w:val="00DD5924"/>
    <w:rsid w:val="00DD6276"/>
    <w:rsid w:val="00DD7E4E"/>
    <w:rsid w:val="00DE0E93"/>
    <w:rsid w:val="00DE272E"/>
    <w:rsid w:val="00DE32F2"/>
    <w:rsid w:val="00DE333A"/>
    <w:rsid w:val="00DE40EF"/>
    <w:rsid w:val="00DE4545"/>
    <w:rsid w:val="00DE6BBF"/>
    <w:rsid w:val="00DF0AE1"/>
    <w:rsid w:val="00DF760A"/>
    <w:rsid w:val="00E023CF"/>
    <w:rsid w:val="00E053ED"/>
    <w:rsid w:val="00E05FAC"/>
    <w:rsid w:val="00E11549"/>
    <w:rsid w:val="00E130EB"/>
    <w:rsid w:val="00E1503A"/>
    <w:rsid w:val="00E159BF"/>
    <w:rsid w:val="00E20E62"/>
    <w:rsid w:val="00E20F54"/>
    <w:rsid w:val="00E21122"/>
    <w:rsid w:val="00E262B5"/>
    <w:rsid w:val="00E262F6"/>
    <w:rsid w:val="00E26B53"/>
    <w:rsid w:val="00E31C62"/>
    <w:rsid w:val="00E3388C"/>
    <w:rsid w:val="00E366A1"/>
    <w:rsid w:val="00E40109"/>
    <w:rsid w:val="00E41555"/>
    <w:rsid w:val="00E430D2"/>
    <w:rsid w:val="00E47917"/>
    <w:rsid w:val="00E525E0"/>
    <w:rsid w:val="00E527C3"/>
    <w:rsid w:val="00E5289D"/>
    <w:rsid w:val="00E53A00"/>
    <w:rsid w:val="00E57C60"/>
    <w:rsid w:val="00E622C1"/>
    <w:rsid w:val="00E62E5F"/>
    <w:rsid w:val="00E674CD"/>
    <w:rsid w:val="00E67A62"/>
    <w:rsid w:val="00E764D6"/>
    <w:rsid w:val="00E77F2B"/>
    <w:rsid w:val="00E77FCB"/>
    <w:rsid w:val="00E80E81"/>
    <w:rsid w:val="00E8179E"/>
    <w:rsid w:val="00E82072"/>
    <w:rsid w:val="00E86DD6"/>
    <w:rsid w:val="00E86F55"/>
    <w:rsid w:val="00E8777E"/>
    <w:rsid w:val="00E8799A"/>
    <w:rsid w:val="00E90485"/>
    <w:rsid w:val="00E9102C"/>
    <w:rsid w:val="00E9260D"/>
    <w:rsid w:val="00E9274A"/>
    <w:rsid w:val="00E96072"/>
    <w:rsid w:val="00E96F14"/>
    <w:rsid w:val="00E97053"/>
    <w:rsid w:val="00EA13B1"/>
    <w:rsid w:val="00EA1697"/>
    <w:rsid w:val="00EA3756"/>
    <w:rsid w:val="00EA3A8C"/>
    <w:rsid w:val="00EA7A59"/>
    <w:rsid w:val="00EB3EAD"/>
    <w:rsid w:val="00EB445E"/>
    <w:rsid w:val="00EB5FAB"/>
    <w:rsid w:val="00EB7143"/>
    <w:rsid w:val="00EC0D9E"/>
    <w:rsid w:val="00EC13CC"/>
    <w:rsid w:val="00EC148B"/>
    <w:rsid w:val="00EC3729"/>
    <w:rsid w:val="00EC5660"/>
    <w:rsid w:val="00EC5ABF"/>
    <w:rsid w:val="00EC5E1D"/>
    <w:rsid w:val="00EC6CAF"/>
    <w:rsid w:val="00EC770C"/>
    <w:rsid w:val="00EC7DD6"/>
    <w:rsid w:val="00ED0B94"/>
    <w:rsid w:val="00ED18D9"/>
    <w:rsid w:val="00ED1C07"/>
    <w:rsid w:val="00ED2414"/>
    <w:rsid w:val="00EE2433"/>
    <w:rsid w:val="00EE2DF1"/>
    <w:rsid w:val="00EE41CB"/>
    <w:rsid w:val="00EE4723"/>
    <w:rsid w:val="00EE5DBD"/>
    <w:rsid w:val="00EE6565"/>
    <w:rsid w:val="00EF064C"/>
    <w:rsid w:val="00EF0E19"/>
    <w:rsid w:val="00EF1311"/>
    <w:rsid w:val="00EF2C85"/>
    <w:rsid w:val="00EF45A4"/>
    <w:rsid w:val="00EF4D48"/>
    <w:rsid w:val="00EF6CA6"/>
    <w:rsid w:val="00EF7454"/>
    <w:rsid w:val="00EF7B57"/>
    <w:rsid w:val="00F00B0B"/>
    <w:rsid w:val="00F02861"/>
    <w:rsid w:val="00F0407D"/>
    <w:rsid w:val="00F07110"/>
    <w:rsid w:val="00F07CE7"/>
    <w:rsid w:val="00F12316"/>
    <w:rsid w:val="00F12B77"/>
    <w:rsid w:val="00F1419D"/>
    <w:rsid w:val="00F207AB"/>
    <w:rsid w:val="00F213FC"/>
    <w:rsid w:val="00F22DD7"/>
    <w:rsid w:val="00F24C82"/>
    <w:rsid w:val="00F2589D"/>
    <w:rsid w:val="00F30712"/>
    <w:rsid w:val="00F31325"/>
    <w:rsid w:val="00F32405"/>
    <w:rsid w:val="00F32A79"/>
    <w:rsid w:val="00F32FE6"/>
    <w:rsid w:val="00F343ED"/>
    <w:rsid w:val="00F360C8"/>
    <w:rsid w:val="00F404CC"/>
    <w:rsid w:val="00F40584"/>
    <w:rsid w:val="00F41BDD"/>
    <w:rsid w:val="00F4260A"/>
    <w:rsid w:val="00F4344E"/>
    <w:rsid w:val="00F4392D"/>
    <w:rsid w:val="00F4635B"/>
    <w:rsid w:val="00F50E7C"/>
    <w:rsid w:val="00F513BC"/>
    <w:rsid w:val="00F518D2"/>
    <w:rsid w:val="00F5206B"/>
    <w:rsid w:val="00F5551A"/>
    <w:rsid w:val="00F55B47"/>
    <w:rsid w:val="00F56A20"/>
    <w:rsid w:val="00F5755D"/>
    <w:rsid w:val="00F60A16"/>
    <w:rsid w:val="00F706A8"/>
    <w:rsid w:val="00F75CD2"/>
    <w:rsid w:val="00F777C2"/>
    <w:rsid w:val="00F80224"/>
    <w:rsid w:val="00F804F9"/>
    <w:rsid w:val="00F81155"/>
    <w:rsid w:val="00F8195D"/>
    <w:rsid w:val="00F83BAB"/>
    <w:rsid w:val="00F83E4D"/>
    <w:rsid w:val="00F87BF6"/>
    <w:rsid w:val="00F87CAB"/>
    <w:rsid w:val="00F912B8"/>
    <w:rsid w:val="00F95B49"/>
    <w:rsid w:val="00F97AED"/>
    <w:rsid w:val="00FA0607"/>
    <w:rsid w:val="00FA1A01"/>
    <w:rsid w:val="00FA34E8"/>
    <w:rsid w:val="00FA3D53"/>
    <w:rsid w:val="00FB0645"/>
    <w:rsid w:val="00FB1B8E"/>
    <w:rsid w:val="00FB1CDE"/>
    <w:rsid w:val="00FB20CE"/>
    <w:rsid w:val="00FB2B6E"/>
    <w:rsid w:val="00FB2FA6"/>
    <w:rsid w:val="00FB44B5"/>
    <w:rsid w:val="00FB7794"/>
    <w:rsid w:val="00FC09BA"/>
    <w:rsid w:val="00FC1551"/>
    <w:rsid w:val="00FC2CB0"/>
    <w:rsid w:val="00FC67FD"/>
    <w:rsid w:val="00FC6E8E"/>
    <w:rsid w:val="00FD36EA"/>
    <w:rsid w:val="00FD4BEB"/>
    <w:rsid w:val="00FD7331"/>
    <w:rsid w:val="00FE012A"/>
    <w:rsid w:val="00FE6C0B"/>
    <w:rsid w:val="00FE7DE8"/>
    <w:rsid w:val="00FF4852"/>
    <w:rsid w:val="00FF5546"/>
    <w:rsid w:val="00FF5D57"/>
    <w:rsid w:val="00FF6BCC"/>
    <w:rsid w:val="00FF6E53"/>
    <w:rsid w:val="022074B1"/>
    <w:rsid w:val="02B50111"/>
    <w:rsid w:val="043F1D3E"/>
    <w:rsid w:val="04D2645F"/>
    <w:rsid w:val="05F633B7"/>
    <w:rsid w:val="061169ED"/>
    <w:rsid w:val="07200B4F"/>
    <w:rsid w:val="08312E2C"/>
    <w:rsid w:val="087757A8"/>
    <w:rsid w:val="09372E76"/>
    <w:rsid w:val="0A6C7C49"/>
    <w:rsid w:val="0B2E020D"/>
    <w:rsid w:val="0B3472F8"/>
    <w:rsid w:val="0C344A88"/>
    <w:rsid w:val="0C4E4BA2"/>
    <w:rsid w:val="0CFF2255"/>
    <w:rsid w:val="0D653C5B"/>
    <w:rsid w:val="0F91202A"/>
    <w:rsid w:val="10A34BFE"/>
    <w:rsid w:val="10C06BA6"/>
    <w:rsid w:val="10EC1976"/>
    <w:rsid w:val="13004D61"/>
    <w:rsid w:val="13463B66"/>
    <w:rsid w:val="15631AD4"/>
    <w:rsid w:val="16544574"/>
    <w:rsid w:val="16AF6782"/>
    <w:rsid w:val="17385430"/>
    <w:rsid w:val="17BE4CB0"/>
    <w:rsid w:val="19CA60BB"/>
    <w:rsid w:val="1ACE7747"/>
    <w:rsid w:val="1AF85403"/>
    <w:rsid w:val="1B2742FF"/>
    <w:rsid w:val="1C4D2860"/>
    <w:rsid w:val="1F412AD3"/>
    <w:rsid w:val="217B3AFE"/>
    <w:rsid w:val="228361E4"/>
    <w:rsid w:val="23875AF1"/>
    <w:rsid w:val="23D61A38"/>
    <w:rsid w:val="25234D63"/>
    <w:rsid w:val="272F5EAE"/>
    <w:rsid w:val="2813707B"/>
    <w:rsid w:val="28792247"/>
    <w:rsid w:val="28891615"/>
    <w:rsid w:val="28E05122"/>
    <w:rsid w:val="28E2121A"/>
    <w:rsid w:val="28F24A7E"/>
    <w:rsid w:val="2A2F21FB"/>
    <w:rsid w:val="2AF71A2D"/>
    <w:rsid w:val="2C893AB4"/>
    <w:rsid w:val="2DAF6932"/>
    <w:rsid w:val="2EF86BFD"/>
    <w:rsid w:val="30FA2F9E"/>
    <w:rsid w:val="31180DDD"/>
    <w:rsid w:val="31961813"/>
    <w:rsid w:val="33CF694A"/>
    <w:rsid w:val="379637CE"/>
    <w:rsid w:val="3C653C4C"/>
    <w:rsid w:val="40443C5D"/>
    <w:rsid w:val="409E2D31"/>
    <w:rsid w:val="418C24DE"/>
    <w:rsid w:val="41A1365E"/>
    <w:rsid w:val="43B54D50"/>
    <w:rsid w:val="441F380E"/>
    <w:rsid w:val="4455757A"/>
    <w:rsid w:val="44F3200D"/>
    <w:rsid w:val="45B07F29"/>
    <w:rsid w:val="46612135"/>
    <w:rsid w:val="46A43C96"/>
    <w:rsid w:val="46B13137"/>
    <w:rsid w:val="476379B2"/>
    <w:rsid w:val="47870865"/>
    <w:rsid w:val="4945719B"/>
    <w:rsid w:val="4A3023D5"/>
    <w:rsid w:val="4C0C292E"/>
    <w:rsid w:val="4D0C7402"/>
    <w:rsid w:val="4E1C42DE"/>
    <w:rsid w:val="4E952414"/>
    <w:rsid w:val="505274F3"/>
    <w:rsid w:val="51F13AD3"/>
    <w:rsid w:val="529D0EFA"/>
    <w:rsid w:val="538364F8"/>
    <w:rsid w:val="540826F9"/>
    <w:rsid w:val="544E169B"/>
    <w:rsid w:val="54AD787B"/>
    <w:rsid w:val="54F53CA3"/>
    <w:rsid w:val="558372D7"/>
    <w:rsid w:val="586E6F67"/>
    <w:rsid w:val="592011C1"/>
    <w:rsid w:val="59B45B02"/>
    <w:rsid w:val="5A1B0086"/>
    <w:rsid w:val="5A5E23C8"/>
    <w:rsid w:val="5B2A5BF7"/>
    <w:rsid w:val="5B3832CB"/>
    <w:rsid w:val="5D1E095A"/>
    <w:rsid w:val="5D771551"/>
    <w:rsid w:val="5E4A3FF3"/>
    <w:rsid w:val="5F2C5A2B"/>
    <w:rsid w:val="5FC73B94"/>
    <w:rsid w:val="601E2073"/>
    <w:rsid w:val="60580512"/>
    <w:rsid w:val="60E13429"/>
    <w:rsid w:val="61915C6E"/>
    <w:rsid w:val="61DE011B"/>
    <w:rsid w:val="63CE5C88"/>
    <w:rsid w:val="65906D42"/>
    <w:rsid w:val="663A6B91"/>
    <w:rsid w:val="667D7FE9"/>
    <w:rsid w:val="66A00E53"/>
    <w:rsid w:val="682D2927"/>
    <w:rsid w:val="6AB46DC1"/>
    <w:rsid w:val="6C336899"/>
    <w:rsid w:val="6C565905"/>
    <w:rsid w:val="71A62679"/>
    <w:rsid w:val="71D93127"/>
    <w:rsid w:val="724D02B1"/>
    <w:rsid w:val="72805304"/>
    <w:rsid w:val="7522739C"/>
    <w:rsid w:val="75E3626E"/>
    <w:rsid w:val="761C50EF"/>
    <w:rsid w:val="7692010D"/>
    <w:rsid w:val="769A799B"/>
    <w:rsid w:val="77276508"/>
    <w:rsid w:val="79236C2F"/>
    <w:rsid w:val="794A2942"/>
    <w:rsid w:val="79975B54"/>
    <w:rsid w:val="79E806A4"/>
    <w:rsid w:val="7BC82417"/>
    <w:rsid w:val="7D770174"/>
    <w:rsid w:val="7E0F6AD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semiHidden="0"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semiHidden="0"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883" w:firstLineChars="200"/>
      <w:jc w:val="both"/>
    </w:pPr>
    <w:rPr>
      <w:rFonts w:eastAsia="宋体" w:asciiTheme="minorAscii" w:hAnsiTheme="minorAscii" w:cstheme="minorBidi"/>
      <w:kern w:val="2"/>
      <w:sz w:val="24"/>
      <w:szCs w:val="24"/>
      <w:lang w:val="en-US" w:eastAsia="zh-CN" w:bidi="ar-SA"/>
    </w:rPr>
  </w:style>
  <w:style w:type="paragraph" w:styleId="2">
    <w:name w:val="heading 1"/>
    <w:basedOn w:val="1"/>
    <w:next w:val="1"/>
    <w:link w:val="31"/>
    <w:qFormat/>
    <w:uiPriority w:val="9"/>
    <w:pPr>
      <w:widowControl w:val="0"/>
      <w:numPr>
        <w:ilvl w:val="0"/>
        <w:numId w:val="1"/>
      </w:numPr>
      <w:spacing w:line="590" w:lineRule="exact"/>
      <w:ind w:left="0" w:firstLine="200" w:firstLineChars="200"/>
      <w:outlineLvl w:val="0"/>
    </w:pPr>
    <w:rPr>
      <w:rFonts w:ascii="Times New Roman" w:hAnsi="Times New Roman" w:eastAsia="黑体" w:cs="Times New Roman"/>
      <w:kern w:val="2"/>
      <w:sz w:val="32"/>
      <w:szCs w:val="32"/>
      <w:lang w:val="en-US" w:eastAsia="zh-CN" w:bidi="ar-SA"/>
    </w:rPr>
  </w:style>
  <w:style w:type="paragraph" w:styleId="3">
    <w:name w:val="heading 2"/>
    <w:basedOn w:val="1"/>
    <w:next w:val="1"/>
    <w:link w:val="33"/>
    <w:unhideWhenUsed/>
    <w:qFormat/>
    <w:uiPriority w:val="9"/>
    <w:pPr>
      <w:widowControl w:val="0"/>
      <w:numPr>
        <w:ilvl w:val="1"/>
        <w:numId w:val="1"/>
      </w:numPr>
      <w:autoSpaceDE w:val="0"/>
      <w:autoSpaceDN w:val="0"/>
      <w:adjustRightInd w:val="0"/>
      <w:spacing w:line="590" w:lineRule="exact"/>
      <w:ind w:left="0" w:firstLine="200" w:firstLineChars="200"/>
      <w:outlineLvl w:val="1"/>
    </w:pPr>
    <w:rPr>
      <w:rFonts w:ascii="Times New Roman" w:hAnsi="Times New Roman" w:eastAsia="楷体_GB2312" w:cs="Times New Roman"/>
      <w:bCs/>
      <w:kern w:val="2"/>
      <w:sz w:val="32"/>
      <w:szCs w:val="32"/>
      <w:lang w:val="en-US" w:eastAsia="zh-CN" w:bidi="ar-SA"/>
    </w:rPr>
  </w:style>
  <w:style w:type="paragraph" w:styleId="4">
    <w:name w:val="heading 3"/>
    <w:next w:val="1"/>
    <w:link w:val="34"/>
    <w:unhideWhenUsed/>
    <w:qFormat/>
    <w:uiPriority w:val="9"/>
    <w:pPr>
      <w:widowControl w:val="0"/>
      <w:numPr>
        <w:ilvl w:val="2"/>
        <w:numId w:val="1"/>
      </w:numPr>
      <w:spacing w:line="590" w:lineRule="exact"/>
      <w:ind w:left="0" w:firstLine="200" w:firstLineChars="200"/>
      <w:jc w:val="both"/>
      <w:outlineLvl w:val="2"/>
    </w:pPr>
    <w:rPr>
      <w:rFonts w:ascii="Times New Roman" w:hAnsi="Times New Roman" w:eastAsia="仿宋_GB2312" w:cs="Times New Roman"/>
      <w:bCs/>
      <w:kern w:val="2"/>
      <w:sz w:val="32"/>
      <w:szCs w:val="32"/>
      <w:lang w:val="en-US" w:eastAsia="zh-CN" w:bidi="ar-SA"/>
    </w:rPr>
  </w:style>
  <w:style w:type="paragraph" w:styleId="5">
    <w:name w:val="heading 4"/>
    <w:next w:val="6"/>
    <w:link w:val="35"/>
    <w:unhideWhenUsed/>
    <w:qFormat/>
    <w:uiPriority w:val="9"/>
    <w:pPr>
      <w:widowControl w:val="0"/>
      <w:numPr>
        <w:ilvl w:val="3"/>
        <w:numId w:val="1"/>
      </w:numPr>
      <w:autoSpaceDE w:val="0"/>
      <w:autoSpaceDN w:val="0"/>
      <w:adjustRightInd w:val="0"/>
      <w:spacing w:line="590" w:lineRule="exact"/>
      <w:ind w:left="0" w:firstLine="200" w:firstLineChars="200"/>
      <w:outlineLvl w:val="3"/>
    </w:pPr>
    <w:rPr>
      <w:rFonts w:ascii="Times New Roman" w:hAnsi="Times New Roman" w:eastAsia="仿宋_GB2312" w:cs="Times New Roman"/>
      <w:kern w:val="2"/>
      <w:sz w:val="32"/>
      <w:szCs w:val="32"/>
      <w:lang w:val="en-US" w:eastAsia="zh-CN" w:bidi="ar-SA"/>
    </w:rPr>
  </w:style>
  <w:style w:type="paragraph" w:styleId="7">
    <w:name w:val="heading 5"/>
    <w:next w:val="6"/>
    <w:link w:val="36"/>
    <w:unhideWhenUsed/>
    <w:qFormat/>
    <w:uiPriority w:val="9"/>
    <w:pPr>
      <w:spacing w:line="590" w:lineRule="exact"/>
      <w:ind w:firstLine="200" w:firstLineChars="200"/>
      <w:outlineLvl w:val="4"/>
    </w:pPr>
    <w:rPr>
      <w:rFonts w:ascii="Times New Roman" w:hAnsi="Times New Roman" w:eastAsia="仿宋_GB2312" w:cs="Times New Roman"/>
      <w:kern w:val="2"/>
      <w:sz w:val="32"/>
      <w:szCs w:val="32"/>
      <w:lang w:val="en-US" w:eastAsia="zh-CN" w:bidi="ar-SA"/>
    </w:rPr>
  </w:style>
  <w:style w:type="paragraph" w:styleId="8">
    <w:name w:val="heading 6"/>
    <w:next w:val="6"/>
    <w:link w:val="38"/>
    <w:unhideWhenUsed/>
    <w:qFormat/>
    <w:uiPriority w:val="9"/>
    <w:pPr>
      <w:spacing w:line="590" w:lineRule="exact"/>
      <w:ind w:firstLine="200" w:firstLineChars="200"/>
      <w:outlineLvl w:val="5"/>
    </w:pPr>
    <w:rPr>
      <w:rFonts w:ascii="Times New Roman" w:hAnsi="Times New Roman" w:eastAsia="仿宋_GB2312" w:cs="宋体"/>
      <w:kern w:val="2"/>
      <w:sz w:val="32"/>
      <w:szCs w:val="32"/>
      <w:lang w:val="en-US" w:eastAsia="zh-CN" w:bidi="ar-SA"/>
    </w:rPr>
  </w:style>
  <w:style w:type="paragraph" w:styleId="9">
    <w:name w:val="heading 7"/>
    <w:next w:val="6"/>
    <w:link w:val="47"/>
    <w:unhideWhenUsed/>
    <w:qFormat/>
    <w:uiPriority w:val="9"/>
    <w:pPr>
      <w:keepNext/>
      <w:keepLines/>
      <w:spacing w:line="590" w:lineRule="exact"/>
      <w:ind w:firstLine="200" w:firstLineChars="200"/>
      <w:outlineLvl w:val="6"/>
    </w:pPr>
    <w:rPr>
      <w:rFonts w:ascii="Times New Roman" w:hAnsi="Times New Roman" w:eastAsia="仿宋_GB2312" w:cs="Times New Roman"/>
      <w:bCs/>
      <w:kern w:val="2"/>
      <w:sz w:val="32"/>
      <w:szCs w:val="24"/>
      <w:lang w:val="en-US" w:eastAsia="zh-CN" w:bidi="ar-SA"/>
    </w:rPr>
  </w:style>
  <w:style w:type="paragraph" w:styleId="10">
    <w:name w:val="heading 8"/>
    <w:next w:val="6"/>
    <w:link w:val="48"/>
    <w:unhideWhenUsed/>
    <w:qFormat/>
    <w:uiPriority w:val="9"/>
    <w:pPr>
      <w:keepNext/>
      <w:keepLines/>
      <w:spacing w:line="590" w:lineRule="exact"/>
      <w:ind w:firstLine="200" w:firstLineChars="200"/>
      <w:outlineLvl w:val="7"/>
    </w:pPr>
    <w:rPr>
      <w:rFonts w:ascii="Times New Roman" w:hAnsi="Times New Roman" w:eastAsia="仿宋_GB2312" w:cstheme="majorBidi"/>
      <w:kern w:val="2"/>
      <w:sz w:val="32"/>
      <w:szCs w:val="24"/>
      <w:lang w:val="en-US" w:eastAsia="zh-CN" w:bidi="ar-SA"/>
    </w:rPr>
  </w:style>
  <w:style w:type="paragraph" w:styleId="11">
    <w:name w:val="heading 9"/>
    <w:next w:val="6"/>
    <w:link w:val="49"/>
    <w:semiHidden/>
    <w:unhideWhenUsed/>
    <w:qFormat/>
    <w:uiPriority w:val="9"/>
    <w:pPr>
      <w:keepNext/>
      <w:keepLines/>
      <w:spacing w:line="590" w:lineRule="exact"/>
      <w:ind w:firstLine="200" w:firstLineChars="200"/>
      <w:outlineLvl w:val="8"/>
    </w:pPr>
    <w:rPr>
      <w:rFonts w:ascii="Times New Roman" w:hAnsi="Times New Roman" w:eastAsia="仿宋_GB2312" w:cstheme="majorBidi"/>
      <w:kern w:val="2"/>
      <w:sz w:val="32"/>
      <w:szCs w:val="21"/>
      <w:lang w:val="en-US" w:eastAsia="zh-CN" w:bidi="ar-SA"/>
    </w:rPr>
  </w:style>
  <w:style w:type="character" w:default="1" w:styleId="28">
    <w:name w:val="Default Paragraph Font"/>
    <w:semiHidden/>
    <w:unhideWhenUsed/>
    <w:qFormat/>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customStyle="1" w:styleId="6">
    <w:name w:val="我的正文"/>
    <w:link w:val="46"/>
    <w:qFormat/>
    <w:uiPriority w:val="0"/>
    <w:pPr>
      <w:widowControl w:val="0"/>
      <w:snapToGrid w:val="0"/>
      <w:spacing w:line="590" w:lineRule="exact"/>
      <w:ind w:firstLine="200" w:firstLineChars="200"/>
      <w:jc w:val="both"/>
    </w:pPr>
    <w:rPr>
      <w:rFonts w:ascii="Times New Roman" w:hAnsi="Times New Roman" w:eastAsia="仿宋_GB2312" w:cs="Times New Roman"/>
      <w:kern w:val="2"/>
      <w:sz w:val="32"/>
      <w:szCs w:val="24"/>
      <w:lang w:val="en-US" w:eastAsia="zh-CN" w:bidi="ar-SA"/>
    </w:rPr>
  </w:style>
  <w:style w:type="paragraph" w:styleId="12">
    <w:name w:val="toc 7"/>
    <w:basedOn w:val="1"/>
    <w:next w:val="1"/>
    <w:autoRedefine/>
    <w:unhideWhenUsed/>
    <w:qFormat/>
    <w:uiPriority w:val="39"/>
    <w:pPr>
      <w:ind w:left="2520" w:leftChars="1200"/>
    </w:pPr>
  </w:style>
  <w:style w:type="paragraph" w:styleId="13">
    <w:name w:val="caption"/>
    <w:next w:val="1"/>
    <w:unhideWhenUsed/>
    <w:qFormat/>
    <w:uiPriority w:val="35"/>
    <w:pPr>
      <w:spacing w:before="50" w:beforeLines="50" w:after="50" w:afterLines="50"/>
      <w:jc w:val="center"/>
    </w:pPr>
    <w:rPr>
      <w:rFonts w:ascii="Times New Roman" w:hAnsi="Times New Roman" w:eastAsia="黑体" w:cstheme="majorBidi"/>
      <w:kern w:val="2"/>
      <w:sz w:val="24"/>
      <w:szCs w:val="20"/>
      <w:lang w:val="en-US" w:eastAsia="zh-CN" w:bidi="ar-SA"/>
    </w:rPr>
  </w:style>
  <w:style w:type="paragraph" w:styleId="14">
    <w:name w:val="toc 5"/>
    <w:basedOn w:val="1"/>
    <w:next w:val="1"/>
    <w:autoRedefine/>
    <w:unhideWhenUsed/>
    <w:qFormat/>
    <w:uiPriority w:val="39"/>
    <w:pPr>
      <w:ind w:left="1680" w:leftChars="800"/>
    </w:pPr>
  </w:style>
  <w:style w:type="paragraph" w:styleId="15">
    <w:name w:val="toc 3"/>
    <w:basedOn w:val="1"/>
    <w:next w:val="1"/>
    <w:autoRedefine/>
    <w:unhideWhenUsed/>
    <w:qFormat/>
    <w:uiPriority w:val="39"/>
    <w:pPr>
      <w:tabs>
        <w:tab w:val="right" w:leader="dot" w:pos="8222"/>
      </w:tabs>
      <w:spacing w:line="590" w:lineRule="exact"/>
      <w:ind w:left="840" w:leftChars="400" w:right="840" w:rightChars="400"/>
    </w:pPr>
    <w:rPr>
      <w:rFonts w:ascii="Times New Roman" w:hAnsi="Times New Roman" w:eastAsia="仿宋_GB2312"/>
      <w:sz w:val="24"/>
      <w:szCs w:val="24"/>
    </w:rPr>
  </w:style>
  <w:style w:type="paragraph" w:styleId="16">
    <w:name w:val="toc 8"/>
    <w:basedOn w:val="1"/>
    <w:next w:val="1"/>
    <w:autoRedefine/>
    <w:unhideWhenUsed/>
    <w:qFormat/>
    <w:uiPriority w:val="39"/>
    <w:pPr>
      <w:ind w:left="2940" w:leftChars="1400"/>
    </w:pPr>
  </w:style>
  <w:style w:type="paragraph" w:styleId="17">
    <w:name w:val="footer"/>
    <w:basedOn w:val="1"/>
    <w:link w:val="52"/>
    <w:unhideWhenUsed/>
    <w:qFormat/>
    <w:uiPriority w:val="99"/>
    <w:pPr>
      <w:tabs>
        <w:tab w:val="center" w:pos="4153"/>
        <w:tab w:val="right" w:pos="8306"/>
      </w:tabs>
      <w:snapToGrid w:val="0"/>
      <w:jc w:val="left"/>
    </w:pPr>
    <w:rPr>
      <w:sz w:val="18"/>
      <w:szCs w:val="18"/>
    </w:rPr>
  </w:style>
  <w:style w:type="paragraph" w:styleId="18">
    <w:name w:val="header"/>
    <w:basedOn w:val="1"/>
    <w:link w:val="51"/>
    <w:unhideWhenUsed/>
    <w:qFormat/>
    <w:uiPriority w:val="99"/>
    <w:pPr>
      <w:pBdr>
        <w:bottom w:val="single" w:color="auto" w:sz="6" w:space="1"/>
      </w:pBdr>
      <w:tabs>
        <w:tab w:val="center" w:pos="4153"/>
        <w:tab w:val="right" w:pos="8306"/>
      </w:tabs>
      <w:snapToGrid w:val="0"/>
      <w:jc w:val="center"/>
    </w:pPr>
    <w:rPr>
      <w:sz w:val="18"/>
      <w:szCs w:val="18"/>
    </w:rPr>
  </w:style>
  <w:style w:type="paragraph" w:styleId="19">
    <w:name w:val="toc 1"/>
    <w:basedOn w:val="1"/>
    <w:next w:val="1"/>
    <w:autoRedefine/>
    <w:unhideWhenUsed/>
    <w:qFormat/>
    <w:uiPriority w:val="39"/>
    <w:pPr>
      <w:tabs>
        <w:tab w:val="left" w:pos="840"/>
        <w:tab w:val="right" w:leader="dot" w:pos="8296"/>
      </w:tabs>
      <w:spacing w:line="590" w:lineRule="exact"/>
      <w:ind w:right="840" w:rightChars="400"/>
    </w:pPr>
    <w:rPr>
      <w:rFonts w:ascii="Times New Roman" w:hAnsi="Times New Roman" w:eastAsia="黑体"/>
      <w:sz w:val="24"/>
      <w:szCs w:val="24"/>
    </w:rPr>
  </w:style>
  <w:style w:type="paragraph" w:styleId="20">
    <w:name w:val="toc 4"/>
    <w:basedOn w:val="1"/>
    <w:next w:val="1"/>
    <w:autoRedefine/>
    <w:unhideWhenUsed/>
    <w:qFormat/>
    <w:uiPriority w:val="39"/>
    <w:pPr>
      <w:ind w:left="1260" w:leftChars="600"/>
    </w:pPr>
  </w:style>
  <w:style w:type="paragraph" w:styleId="21">
    <w:name w:val="Subtitle"/>
    <w:next w:val="6"/>
    <w:link w:val="50"/>
    <w:qFormat/>
    <w:uiPriority w:val="11"/>
    <w:pPr>
      <w:spacing w:before="240" w:after="60" w:line="312" w:lineRule="auto"/>
      <w:jc w:val="center"/>
      <w:outlineLvl w:val="1"/>
    </w:pPr>
    <w:rPr>
      <w:rFonts w:asciiTheme="minorHAnsi" w:hAnsiTheme="minorHAnsi" w:eastAsiaTheme="minorEastAsia" w:cstheme="minorBidi"/>
      <w:b/>
      <w:bCs/>
      <w:kern w:val="28"/>
      <w:sz w:val="32"/>
      <w:szCs w:val="32"/>
      <w:lang w:val="en-US" w:eastAsia="zh-CN" w:bidi="ar-SA"/>
    </w:rPr>
  </w:style>
  <w:style w:type="paragraph" w:styleId="22">
    <w:name w:val="toc 6"/>
    <w:basedOn w:val="1"/>
    <w:next w:val="1"/>
    <w:autoRedefine/>
    <w:unhideWhenUsed/>
    <w:qFormat/>
    <w:uiPriority w:val="39"/>
    <w:pPr>
      <w:ind w:left="2100" w:leftChars="1000"/>
    </w:pPr>
  </w:style>
  <w:style w:type="paragraph" w:styleId="23">
    <w:name w:val="toc 2"/>
    <w:basedOn w:val="1"/>
    <w:next w:val="1"/>
    <w:autoRedefine/>
    <w:unhideWhenUsed/>
    <w:qFormat/>
    <w:uiPriority w:val="39"/>
    <w:pPr>
      <w:tabs>
        <w:tab w:val="left" w:pos="426"/>
        <w:tab w:val="right" w:leader="dot" w:pos="8296"/>
      </w:tabs>
      <w:spacing w:line="590" w:lineRule="exact"/>
      <w:ind w:left="420" w:leftChars="200" w:right="840" w:rightChars="400"/>
    </w:pPr>
    <w:rPr>
      <w:rFonts w:ascii="Times New Roman" w:hAnsi="Times New Roman" w:eastAsia="楷体_GB2312"/>
      <w:sz w:val="24"/>
      <w:szCs w:val="24"/>
    </w:rPr>
  </w:style>
  <w:style w:type="paragraph" w:styleId="24">
    <w:name w:val="toc 9"/>
    <w:basedOn w:val="1"/>
    <w:next w:val="1"/>
    <w:autoRedefine/>
    <w:unhideWhenUsed/>
    <w:qFormat/>
    <w:uiPriority w:val="39"/>
    <w:pPr>
      <w:ind w:left="3360" w:leftChars="1600"/>
    </w:pPr>
  </w:style>
  <w:style w:type="paragraph" w:styleId="25">
    <w:name w:val="Title"/>
    <w:next w:val="6"/>
    <w:link w:val="32"/>
    <w:qFormat/>
    <w:uiPriority w:val="10"/>
    <w:pPr>
      <w:spacing w:line="564" w:lineRule="exact"/>
      <w:jc w:val="center"/>
    </w:pPr>
    <w:rPr>
      <w:rFonts w:ascii="方正小标宋简体" w:hAnsi="Times New Roman" w:eastAsia="方正小标宋简体" w:cs="Times New Roman"/>
      <w:kern w:val="2"/>
      <w:sz w:val="44"/>
      <w:szCs w:val="44"/>
      <w:lang w:val="en-US" w:eastAsia="zh-CN" w:bidi="ar-SA"/>
    </w:rPr>
  </w:style>
  <w:style w:type="table" w:styleId="27">
    <w:name w:val="Table Grid"/>
    <w:basedOn w:val="2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qFormat/>
    <w:uiPriority w:val="22"/>
    <w:rPr>
      <w:b/>
      <w:bCs/>
    </w:rPr>
  </w:style>
  <w:style w:type="character" w:styleId="30">
    <w:name w:val="Hyperlink"/>
    <w:basedOn w:val="28"/>
    <w:unhideWhenUsed/>
    <w:qFormat/>
    <w:uiPriority w:val="99"/>
    <w:rPr>
      <w:color w:val="0026E5" w:themeColor="hyperlink"/>
      <w:u w:val="single"/>
      <w14:textFill>
        <w14:solidFill>
          <w14:schemeClr w14:val="hlink"/>
        </w14:solidFill>
      </w14:textFill>
    </w:rPr>
  </w:style>
  <w:style w:type="character" w:customStyle="1" w:styleId="31">
    <w:name w:val="标题 1 字符"/>
    <w:basedOn w:val="28"/>
    <w:link w:val="2"/>
    <w:qFormat/>
    <w:uiPriority w:val="9"/>
    <w:rPr>
      <w:rFonts w:ascii="Times New Roman" w:hAnsi="Times New Roman" w:eastAsia="黑体" w:cs="Times New Roman"/>
      <w:sz w:val="32"/>
      <w:szCs w:val="32"/>
    </w:rPr>
  </w:style>
  <w:style w:type="character" w:customStyle="1" w:styleId="32">
    <w:name w:val="标题 字符"/>
    <w:basedOn w:val="28"/>
    <w:link w:val="25"/>
    <w:qFormat/>
    <w:uiPriority w:val="10"/>
    <w:rPr>
      <w:rFonts w:ascii="方正小标宋简体" w:hAnsi="Times New Roman" w:eastAsia="方正小标宋简体" w:cs="Times New Roman"/>
      <w:sz w:val="44"/>
      <w:szCs w:val="44"/>
    </w:rPr>
  </w:style>
  <w:style w:type="character" w:customStyle="1" w:styleId="33">
    <w:name w:val="标题 2 字符"/>
    <w:basedOn w:val="28"/>
    <w:link w:val="3"/>
    <w:qFormat/>
    <w:uiPriority w:val="9"/>
    <w:rPr>
      <w:rFonts w:ascii="Times New Roman" w:hAnsi="Times New Roman" w:eastAsia="楷体_GB2312" w:cs="Times New Roman"/>
      <w:bCs/>
      <w:sz w:val="32"/>
      <w:szCs w:val="32"/>
    </w:rPr>
  </w:style>
  <w:style w:type="character" w:customStyle="1" w:styleId="34">
    <w:name w:val="标题 3 字符"/>
    <w:basedOn w:val="28"/>
    <w:link w:val="4"/>
    <w:qFormat/>
    <w:uiPriority w:val="9"/>
    <w:rPr>
      <w:rFonts w:ascii="Times New Roman" w:hAnsi="Times New Roman" w:eastAsia="仿宋_GB2312" w:cs="Times New Roman"/>
      <w:bCs/>
      <w:sz w:val="32"/>
      <w:szCs w:val="32"/>
    </w:rPr>
  </w:style>
  <w:style w:type="character" w:customStyle="1" w:styleId="35">
    <w:name w:val="标题 4 字符"/>
    <w:basedOn w:val="28"/>
    <w:link w:val="5"/>
    <w:qFormat/>
    <w:uiPriority w:val="9"/>
    <w:rPr>
      <w:rFonts w:ascii="Times New Roman" w:hAnsi="Times New Roman" w:eastAsia="仿宋_GB2312" w:cs="Times New Roman"/>
      <w:sz w:val="32"/>
      <w:szCs w:val="32"/>
    </w:rPr>
  </w:style>
  <w:style w:type="character" w:customStyle="1" w:styleId="36">
    <w:name w:val="标题 5 字符"/>
    <w:basedOn w:val="28"/>
    <w:link w:val="7"/>
    <w:qFormat/>
    <w:uiPriority w:val="9"/>
    <w:rPr>
      <w:rFonts w:ascii="Times New Roman" w:hAnsi="Times New Roman" w:eastAsia="仿宋_GB2312" w:cs="Times New Roman"/>
      <w:sz w:val="32"/>
      <w:szCs w:val="32"/>
    </w:rPr>
  </w:style>
  <w:style w:type="paragraph" w:styleId="37">
    <w:name w:val="List Paragraph"/>
    <w:basedOn w:val="1"/>
    <w:qFormat/>
    <w:uiPriority w:val="34"/>
    <w:pPr>
      <w:ind w:firstLine="420" w:firstLineChars="200"/>
    </w:pPr>
  </w:style>
  <w:style w:type="character" w:customStyle="1" w:styleId="38">
    <w:name w:val="标题 6 字符"/>
    <w:basedOn w:val="28"/>
    <w:link w:val="8"/>
    <w:qFormat/>
    <w:uiPriority w:val="9"/>
    <w:rPr>
      <w:rFonts w:ascii="Times New Roman" w:hAnsi="Times New Roman" w:eastAsia="仿宋_GB2312" w:cs="宋体"/>
      <w:sz w:val="32"/>
      <w:szCs w:val="32"/>
    </w:rPr>
  </w:style>
  <w:style w:type="paragraph" w:customStyle="1" w:styleId="39">
    <w:name w:val="表"/>
    <w:link w:val="40"/>
    <w:qFormat/>
    <w:uiPriority w:val="0"/>
    <w:pPr>
      <w:spacing w:line="0" w:lineRule="atLeast"/>
    </w:pPr>
    <w:rPr>
      <w:rFonts w:ascii="Times New Roman" w:hAnsi="Times New Roman" w:eastAsia="宋体" w:cs="宋体"/>
      <w:color w:val="000000"/>
      <w:kern w:val="2"/>
      <w:sz w:val="24"/>
      <w:szCs w:val="22"/>
      <w:lang w:val="en-US" w:eastAsia="zh-CN" w:bidi="ar-SA"/>
    </w:rPr>
  </w:style>
  <w:style w:type="character" w:customStyle="1" w:styleId="40">
    <w:name w:val="表 字符"/>
    <w:basedOn w:val="28"/>
    <w:link w:val="39"/>
    <w:qFormat/>
    <w:uiPriority w:val="0"/>
    <w:rPr>
      <w:rFonts w:ascii="Times New Roman" w:hAnsi="Times New Roman" w:eastAsia="宋体" w:cs="宋体"/>
      <w:color w:val="000000"/>
      <w:sz w:val="24"/>
    </w:rPr>
  </w:style>
  <w:style w:type="paragraph" w:customStyle="1" w:styleId="41">
    <w:name w:val="图"/>
    <w:link w:val="42"/>
    <w:qFormat/>
    <w:uiPriority w:val="0"/>
    <w:pPr>
      <w:keepNext/>
      <w:jc w:val="center"/>
    </w:pPr>
    <w:rPr>
      <w:rFonts w:ascii="Times New Roman" w:hAnsi="Times New Roman" w:eastAsia="仿宋_GB2312" w:cs="Times New Roman"/>
      <w:kern w:val="2"/>
      <w:sz w:val="32"/>
      <w:szCs w:val="32"/>
      <w:lang w:val="en-US" w:eastAsia="zh-CN" w:bidi="ar-SA"/>
    </w:rPr>
  </w:style>
  <w:style w:type="character" w:customStyle="1" w:styleId="42">
    <w:name w:val="图 字符"/>
    <w:basedOn w:val="28"/>
    <w:link w:val="41"/>
    <w:qFormat/>
    <w:uiPriority w:val="0"/>
    <w:rPr>
      <w:rFonts w:ascii="Times New Roman" w:hAnsi="Times New Roman" w:eastAsia="仿宋_GB2312" w:cs="Times New Roman"/>
      <w:sz w:val="32"/>
      <w:szCs w:val="32"/>
    </w:rPr>
  </w:style>
  <w:style w:type="paragraph" w:customStyle="1" w:styleId="43">
    <w:name w:val="图表"/>
    <w:basedOn w:val="1"/>
    <w:link w:val="44"/>
    <w:qFormat/>
    <w:uiPriority w:val="0"/>
    <w:rPr>
      <w:rFonts w:ascii="宋体" w:hAnsi="宋体"/>
      <w:szCs w:val="21"/>
    </w:rPr>
  </w:style>
  <w:style w:type="character" w:customStyle="1" w:styleId="44">
    <w:name w:val="图表 Char"/>
    <w:link w:val="43"/>
    <w:qFormat/>
    <w:uiPriority w:val="0"/>
    <w:rPr>
      <w:rFonts w:ascii="宋体" w:hAnsi="宋体"/>
      <w:szCs w:val="21"/>
    </w:rPr>
  </w:style>
  <w:style w:type="table" w:customStyle="1" w:styleId="45">
    <w:name w:val="我的表格"/>
    <w:basedOn w:val="26"/>
    <w:qFormat/>
    <w:uiPriority w:val="39"/>
    <w:pPr>
      <w:jc w:val="center"/>
    </w:pPr>
    <w:tblPr>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jc w:val="center"/>
    </w:trPr>
    <w:tcPr>
      <w:shd w:val="clear" w:color="auto" w:fill="auto"/>
      <w:vAlign w:val="center"/>
    </w:tcPr>
    <w:tblStylePr w:type="firstRow">
      <w:pPr>
        <w:jc w:val="center"/>
      </w:pPr>
      <w:rPr>
        <w:rFonts w:eastAsiaTheme="minorEastAsia"/>
        <w:b/>
      </w:rPr>
      <w:tblPr/>
      <w:trPr>
        <w:tblHeader/>
      </w:trPr>
      <w:tcPr>
        <w:shd w:val="clear" w:color="auto" w:fill="BEBEBE" w:themeFill="background1" w:themeFillShade="BF"/>
      </w:tcPr>
    </w:tblStylePr>
  </w:style>
  <w:style w:type="character" w:customStyle="1" w:styleId="46">
    <w:name w:val="我的正文 字符"/>
    <w:basedOn w:val="28"/>
    <w:link w:val="6"/>
    <w:qFormat/>
    <w:uiPriority w:val="0"/>
    <w:rPr>
      <w:rFonts w:ascii="Times New Roman" w:hAnsi="Times New Roman" w:eastAsia="仿宋_GB2312" w:cs="Times New Roman"/>
      <w:sz w:val="32"/>
      <w:szCs w:val="24"/>
    </w:rPr>
  </w:style>
  <w:style w:type="character" w:customStyle="1" w:styleId="47">
    <w:name w:val="标题 7 字符"/>
    <w:basedOn w:val="28"/>
    <w:link w:val="9"/>
    <w:qFormat/>
    <w:uiPriority w:val="9"/>
    <w:rPr>
      <w:rFonts w:ascii="Times New Roman" w:hAnsi="Times New Roman" w:eastAsia="仿宋_GB2312" w:cs="Times New Roman"/>
      <w:bCs/>
      <w:sz w:val="32"/>
      <w:szCs w:val="24"/>
    </w:rPr>
  </w:style>
  <w:style w:type="character" w:customStyle="1" w:styleId="48">
    <w:name w:val="标题 8 字符"/>
    <w:basedOn w:val="28"/>
    <w:link w:val="10"/>
    <w:qFormat/>
    <w:uiPriority w:val="9"/>
    <w:rPr>
      <w:rFonts w:ascii="Times New Roman" w:hAnsi="Times New Roman" w:eastAsia="仿宋_GB2312" w:cstheme="majorBidi"/>
      <w:sz w:val="32"/>
      <w:szCs w:val="24"/>
    </w:rPr>
  </w:style>
  <w:style w:type="character" w:customStyle="1" w:styleId="49">
    <w:name w:val="标题 9 字符"/>
    <w:basedOn w:val="28"/>
    <w:link w:val="11"/>
    <w:semiHidden/>
    <w:qFormat/>
    <w:uiPriority w:val="9"/>
    <w:rPr>
      <w:rFonts w:ascii="Times New Roman" w:hAnsi="Times New Roman" w:eastAsia="仿宋_GB2312" w:cstheme="majorBidi"/>
      <w:sz w:val="32"/>
      <w:szCs w:val="21"/>
    </w:rPr>
  </w:style>
  <w:style w:type="character" w:customStyle="1" w:styleId="50">
    <w:name w:val="副标题 字符"/>
    <w:basedOn w:val="28"/>
    <w:link w:val="21"/>
    <w:qFormat/>
    <w:uiPriority w:val="11"/>
    <w:rPr>
      <w:b/>
      <w:bCs/>
      <w:kern w:val="28"/>
      <w:sz w:val="32"/>
      <w:szCs w:val="32"/>
    </w:rPr>
  </w:style>
  <w:style w:type="character" w:customStyle="1" w:styleId="51">
    <w:name w:val="页眉 字符"/>
    <w:basedOn w:val="28"/>
    <w:link w:val="18"/>
    <w:qFormat/>
    <w:uiPriority w:val="99"/>
    <w:rPr>
      <w:sz w:val="18"/>
      <w:szCs w:val="18"/>
    </w:rPr>
  </w:style>
  <w:style w:type="character" w:customStyle="1" w:styleId="52">
    <w:name w:val="页脚 字符"/>
    <w:basedOn w:val="28"/>
    <w:link w:val="17"/>
    <w:qFormat/>
    <w:uiPriority w:val="99"/>
    <w:rPr>
      <w:sz w:val="18"/>
      <w:szCs w:val="18"/>
    </w:rPr>
  </w:style>
  <w:style w:type="paragraph" w:customStyle="1" w:styleId="53">
    <w:name w:val="删除内容"/>
    <w:link w:val="55"/>
    <w:qFormat/>
    <w:uiPriority w:val="0"/>
    <w:pPr>
      <w:jc w:val="center"/>
    </w:pPr>
    <w:rPr>
      <w:rFonts w:ascii="宋体" w:hAnsi="宋体" w:eastAsia="楷体" w:cs="宋体"/>
      <w:strike/>
      <w:color w:val="FF0000"/>
      <w:kern w:val="2"/>
      <w:sz w:val="21"/>
      <w:szCs w:val="22"/>
      <w:lang w:val="en-US" w:eastAsia="zh-CN" w:bidi="ar-SA"/>
    </w:rPr>
  </w:style>
  <w:style w:type="paragraph" w:customStyle="1" w:styleId="54">
    <w:name w:val="新增内容"/>
    <w:link w:val="57"/>
    <w:qFormat/>
    <w:uiPriority w:val="0"/>
    <w:pPr>
      <w:jc w:val="both"/>
    </w:pPr>
    <w:rPr>
      <w:rFonts w:ascii="宋体" w:hAnsi="宋体" w:eastAsia="黑体" w:cs="宋体"/>
      <w:b/>
      <w:color w:val="0070C0"/>
      <w:kern w:val="2"/>
      <w:sz w:val="21"/>
      <w:szCs w:val="22"/>
      <w:lang w:val="en-US" w:eastAsia="zh-CN" w:bidi="ar-SA"/>
    </w:rPr>
  </w:style>
  <w:style w:type="character" w:customStyle="1" w:styleId="55">
    <w:name w:val="删除内容 字符"/>
    <w:basedOn w:val="40"/>
    <w:link w:val="53"/>
    <w:qFormat/>
    <w:uiPriority w:val="0"/>
    <w:rPr>
      <w:rFonts w:ascii="宋体" w:hAnsi="宋体" w:eastAsia="楷体" w:cs="宋体"/>
      <w:strike/>
      <w:color w:val="FF0000"/>
      <w:sz w:val="24"/>
    </w:rPr>
  </w:style>
  <w:style w:type="character" w:customStyle="1" w:styleId="56">
    <w:name w:val="Intense Reference"/>
    <w:basedOn w:val="28"/>
    <w:qFormat/>
    <w:uiPriority w:val="32"/>
    <w:rPr>
      <w:b/>
      <w:bCs/>
      <w:smallCaps/>
      <w:color w:val="4874CB" w:themeColor="accent1"/>
      <w:spacing w:val="5"/>
      <w14:textFill>
        <w14:solidFill>
          <w14:schemeClr w14:val="accent1"/>
        </w14:solidFill>
      </w14:textFill>
    </w:rPr>
  </w:style>
  <w:style w:type="character" w:customStyle="1" w:styleId="57">
    <w:name w:val="新增内容 字符"/>
    <w:basedOn w:val="40"/>
    <w:link w:val="54"/>
    <w:qFormat/>
    <w:uiPriority w:val="0"/>
    <w:rPr>
      <w:rFonts w:ascii="宋体" w:hAnsi="宋体" w:eastAsia="黑体" w:cs="宋体"/>
      <w:b/>
      <w:color w:val="0070C0"/>
      <w:sz w:val="24"/>
    </w:rPr>
  </w:style>
  <w:style w:type="paragraph" w:customStyle="1" w:styleId="58">
    <w:name w:val="公文正文"/>
    <w:basedOn w:val="6"/>
    <w:link w:val="60"/>
    <w:qFormat/>
    <w:uiPriority w:val="0"/>
    <w:pPr>
      <w:ind w:firstLine="480"/>
    </w:pPr>
  </w:style>
  <w:style w:type="paragraph" w:customStyle="1" w:styleId="59">
    <w:name w:val="H2"/>
    <w:basedOn w:val="1"/>
    <w:next w:val="1"/>
    <w:qFormat/>
    <w:uiPriority w:val="0"/>
    <w:pPr>
      <w:spacing w:line="590" w:lineRule="exact"/>
      <w:ind w:firstLine="640"/>
    </w:pPr>
    <w:rPr>
      <w:rFonts w:ascii="Times New Roman" w:hAnsi="Times New Roman" w:eastAsia="楷体_GB2312" w:cs="宋体"/>
      <w:sz w:val="32"/>
      <w:szCs w:val="20"/>
    </w:rPr>
  </w:style>
  <w:style w:type="character" w:customStyle="1" w:styleId="60">
    <w:name w:val="公文正文 字符"/>
    <w:basedOn w:val="46"/>
    <w:link w:val="58"/>
    <w:qFormat/>
    <w:uiPriority w:val="0"/>
    <w:rPr>
      <w:rFonts w:ascii="宋体" w:hAnsi="宋体" w:eastAsia="仿宋_GB2312" w:cs="Times New Roman"/>
      <w:sz w:val="32"/>
      <w:szCs w:val="24"/>
    </w:rPr>
  </w:style>
  <w:style w:type="paragraph" w:customStyle="1" w:styleId="61">
    <w:name w:val="TOC Heading"/>
    <w:basedOn w:val="2"/>
    <w:next w:val="1"/>
    <w:unhideWhenUsed/>
    <w:qFormat/>
    <w:uiPriority w:val="39"/>
    <w:pPr>
      <w:keepLines/>
      <w:numPr>
        <w:numId w:val="0"/>
      </w:numPr>
      <w:spacing w:before="240" w:line="259" w:lineRule="auto"/>
      <w:outlineLvl w:val="9"/>
    </w:pPr>
    <w:rPr>
      <w:rFonts w:asciiTheme="majorHAnsi" w:hAnsiTheme="majorHAnsi" w:eastAsiaTheme="majorEastAsia" w:cstheme="majorBidi"/>
      <w:color w:val="2E54A1" w:themeColor="accent1" w:themeShade="BF"/>
      <w:kern w:val="0"/>
    </w:rPr>
  </w:style>
  <w:style w:type="character" w:customStyle="1" w:styleId="62">
    <w:name w:val="Unresolved Mention"/>
    <w:basedOn w:val="28"/>
    <w:semiHidden/>
    <w:unhideWhenUsed/>
    <w:qFormat/>
    <w:uiPriority w:val="99"/>
    <w:rPr>
      <w:color w:val="605E5C"/>
      <w:shd w:val="clear" w:color="auto" w:fill="E1DFDD"/>
    </w:rPr>
  </w:style>
  <w:style w:type="paragraph" w:customStyle="1" w:styleId="63">
    <w:name w:val="Revision"/>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64">
    <w:name w:val="段内标题"/>
    <w:basedOn w:val="6"/>
    <w:link w:val="65"/>
    <w:qFormat/>
    <w:uiPriority w:val="0"/>
    <w:pPr>
      <w:ind w:firstLine="643"/>
    </w:pPr>
    <w:rPr>
      <w:b/>
    </w:rPr>
  </w:style>
  <w:style w:type="character" w:customStyle="1" w:styleId="65">
    <w:name w:val="段内标题 字符"/>
    <w:basedOn w:val="46"/>
    <w:link w:val="64"/>
    <w:qFormat/>
    <w:uiPriority w:val="0"/>
    <w:rPr>
      <w:rFonts w:ascii="Times New Roman" w:hAnsi="Times New Roman" w:eastAsia="仿宋_GB2312" w:cs="Times New Roman"/>
      <w:b/>
      <w:sz w:val="32"/>
      <w:szCs w:val="24"/>
    </w:rPr>
  </w:style>
  <w:style w:type="paragraph" w:styleId="66">
    <w:name w:val="Quote"/>
    <w:basedOn w:val="1"/>
    <w:next w:val="1"/>
    <w:link w:val="67"/>
    <w:qFormat/>
    <w:uiPriority w:val="29"/>
    <w:pPr>
      <w:spacing w:before="160" w:after="160"/>
      <w:jc w:val="center"/>
    </w:pPr>
    <w:rPr>
      <w:i/>
      <w:iCs/>
      <w:color w:val="404040" w:themeColor="text1" w:themeTint="BF"/>
      <w14:textFill>
        <w14:solidFill>
          <w14:schemeClr w14:val="tx1">
            <w14:lumMod w14:val="75000"/>
            <w14:lumOff w14:val="25000"/>
          </w14:schemeClr>
        </w14:solidFill>
      </w14:textFill>
    </w:rPr>
  </w:style>
  <w:style w:type="character" w:customStyle="1" w:styleId="67">
    <w:name w:val="引用 字符"/>
    <w:basedOn w:val="28"/>
    <w:link w:val="66"/>
    <w:qFormat/>
    <w:uiPriority w:val="29"/>
    <w:rPr>
      <w:i/>
      <w:iCs/>
      <w:color w:val="404040" w:themeColor="text1" w:themeTint="BF"/>
      <w14:textFill>
        <w14:solidFill>
          <w14:schemeClr w14:val="tx1">
            <w14:lumMod w14:val="75000"/>
            <w14:lumOff w14:val="25000"/>
          </w14:schemeClr>
        </w14:solidFill>
      </w14:textFill>
    </w:rPr>
  </w:style>
  <w:style w:type="character" w:customStyle="1" w:styleId="68">
    <w:name w:val="Intense Emphasis"/>
    <w:basedOn w:val="28"/>
    <w:qFormat/>
    <w:uiPriority w:val="21"/>
    <w:rPr>
      <w:i/>
      <w:iCs/>
      <w:color w:val="2E54A1" w:themeColor="accent1" w:themeShade="BF"/>
    </w:rPr>
  </w:style>
  <w:style w:type="paragraph" w:styleId="69">
    <w:name w:val="Intense Quote"/>
    <w:basedOn w:val="1"/>
    <w:next w:val="1"/>
    <w:link w:val="70"/>
    <w:qFormat/>
    <w:uiPriority w:val="30"/>
    <w:pPr>
      <w:pBdr>
        <w:top w:val="single" w:color="2D54A0" w:themeColor="accent1" w:themeShade="BF" w:sz="4" w:space="10"/>
        <w:bottom w:val="single" w:color="2D54A0" w:themeColor="accent1" w:themeShade="BF" w:sz="4" w:space="10"/>
      </w:pBdr>
      <w:spacing w:before="360" w:after="360"/>
      <w:ind w:left="864" w:right="864"/>
      <w:jc w:val="center"/>
    </w:pPr>
    <w:rPr>
      <w:i/>
      <w:iCs/>
      <w:color w:val="2E54A1" w:themeColor="accent1" w:themeShade="BF"/>
    </w:rPr>
  </w:style>
  <w:style w:type="character" w:customStyle="1" w:styleId="70">
    <w:name w:val="明显引用 字符"/>
    <w:basedOn w:val="28"/>
    <w:link w:val="69"/>
    <w:qFormat/>
    <w:uiPriority w:val="30"/>
    <w:rPr>
      <w:i/>
      <w:iCs/>
      <w:color w:val="2E54A1" w:themeColor="accent1" w:themeShade="BF"/>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1.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Version="6" StyleName="APA"/>
</file>

<file path=customXml/itemProps1.xml><?xml version="1.0" encoding="utf-8"?>
<ds:datastoreItem xmlns:ds="http://schemas.openxmlformats.org/officeDocument/2006/customXml" ds:itemID="{15E72401-377D-48AD-9F43-F350C0C41213}">
  <ds:schemaRefs/>
</ds:datastoreItem>
</file>

<file path=docProps/app.xml><?xml version="1.0" encoding="utf-8"?>
<Properties xmlns="http://schemas.openxmlformats.org/officeDocument/2006/extended-properties" xmlns:vt="http://schemas.openxmlformats.org/officeDocument/2006/docPropsVTypes">
  <Template>Normal.dotm</Template>
  <Pages>8</Pages>
  <Words>2843</Words>
  <Characters>2962</Characters>
  <Lines>1</Lines>
  <Paragraphs>1</Paragraphs>
  <TotalTime>0</TotalTime>
  <ScaleCrop>false</ScaleCrop>
  <LinksUpToDate>false</LinksUpToDate>
  <CharactersWithSpaces>2967</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2026-01-12T15:01:00Z</dcterms:created>
  <dc:creator>Jin Wang</dc:creator>
  <cp:lastModifiedBy>.Carol</cp:lastModifiedBy>
  <cp:lastPrinted>2022-09-20T14:51:00Z</cp:lastPrinted>
  <dcterms:modified xsi:type="dcterms:W3CDTF">2026-05-22T00:46:08Z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eyJoZGlkIjoiYTVmODJjYWQ4ZGU4M2M5NTUwOWYwOGE1NTI1MTM1MmIiLCJ1c2VySWQiOiIzMTc5Mzg3MzUifQ==</vt:lpwstr>
  </property>
  <property fmtid="{D5CDD505-2E9C-101B-9397-08002B2CF9AE}" pid="3" name="KSOProductBuildVer">
    <vt:lpwstr>2052-12.1.0.25865</vt:lpwstr>
  </property>
  <property fmtid="{D5CDD505-2E9C-101B-9397-08002B2CF9AE}" pid="4" name="ICV">
    <vt:lpwstr>14601865874840CB8D3C0F6ADB2947BF_43</vt:lpwstr>
  </property>
</Properties>
</file>