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79A598">
      <w:pPr>
        <w:pStyle w:val="22"/>
        <w:framePr w:wrap="around"/>
        <w:rPr>
          <w:rFonts w:hint="default"/>
          <w:lang w:val="en-US"/>
        </w:rPr>
      </w:pPr>
      <w:bookmarkStart w:id="88" w:name="_GoBack"/>
      <w:bookmarkEnd w:id="88"/>
      <w:r>
        <w:rPr>
          <w:rFonts w:ascii="Times New Roman"/>
        </w:rPr>
        <w:t>ICS</w:t>
      </w:r>
      <w:r>
        <w:rPr>
          <w:rFonts w:hint="eastAsia" w:ascii="MS Mincho" w:hAnsi="MS Mincho" w:eastAsia="MS Mincho" w:cs="MS Mincho"/>
        </w:rPr>
        <w:t> </w:t>
      </w:r>
      <w:bookmarkStart w:id="0" w:name="ICS"/>
      <w:r>
        <w:rPr>
          <w:rFonts w:hint="eastAsia" w:ascii="黑体" w:hAnsi="黑体" w:eastAsia="黑体" w:cs="黑体"/>
          <w:lang w:val="en-US" w:eastAsia="zh-CN"/>
        </w:rPr>
        <w:t>XX</w:t>
      </w:r>
      <w:bookmarkEnd w:id="0"/>
      <w:r>
        <w:rPr>
          <w:rFonts w:hint="eastAsia" w:ascii="黑体" w:hAnsi="黑体" w:eastAsia="黑体" w:cs="黑体"/>
          <w:lang w:val="en-US" w:eastAsia="zh-CN"/>
        </w:rPr>
        <w:t>.XXX</w:t>
      </w:r>
    </w:p>
    <w:p w14:paraId="268490BE">
      <w:pPr>
        <w:pStyle w:val="22"/>
        <w:framePr w:wrap="around"/>
      </w:pPr>
      <w:r>
        <w:fldChar w:fldCharType="begin">
          <w:ffData>
            <w:name w:val="WXFLH"/>
            <w:enabled/>
            <w:calcOnExit w:val="0"/>
            <w:helpText w:type="text" w:val="请输入中国标准文献分类号："/>
            <w:textInput>
              <w:default w:val=" "/>
            </w:textInput>
          </w:ffData>
        </w:fldChar>
      </w:r>
      <w:bookmarkStart w:id="1" w:name="WXFLH"/>
      <w:r>
        <w:instrText xml:space="preserve"> FORMTEXT </w:instrText>
      </w:r>
      <w:r>
        <w:fldChar w:fldCharType="separate"/>
      </w:r>
      <w:r>
        <w:t xml:space="preserve"> </w:t>
      </w:r>
      <w:r>
        <w:fldChar w:fldCharType="end"/>
      </w:r>
      <w:bookmarkEnd w:id="1"/>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570"/>
      </w:tblGrid>
      <w:tr w14:paraId="1C5CF118">
        <w:tc>
          <w:tcPr>
            <w:tcW w:w="9854" w:type="dxa"/>
            <w:tcBorders>
              <w:top w:val="nil"/>
              <w:left w:val="nil"/>
              <w:bottom w:val="nil"/>
              <w:right w:val="nil"/>
            </w:tcBorders>
          </w:tcPr>
          <w:p w14:paraId="50C523E9">
            <w:pPr>
              <w:pStyle w:val="22"/>
              <w:framePr w:wrap="around"/>
              <w:rPr>
                <w:kern w:val="2"/>
              </w:rPr>
            </w:pPr>
            <w:r>
              <w:rPr>
                <w:rFonts w:hint="eastAsia"/>
                <w:kern w:val="2"/>
              </w:rPr>
              <mc:AlternateContent>
                <mc:Choice Requires="wps">
                  <w:drawing>
                    <wp:anchor distT="0" distB="0" distL="114300" distR="114300" simplePos="0" relativeHeight="251663360"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2" name="BAH"/>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BAH" o:spid="_x0000_s1026" o:spt="1" style="position:absolute;left:0pt;margin-left:-5.25pt;margin-top:0pt;height:15.6pt;width:68.25pt;z-index:-251653120;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iuL+zVAAAABwEAAA8AAAAAAAAAAQAg&#10;AAAAIgAAAGRycy9kb3ducmV2LnhtbFBLAQIUABQAAAAIAIdO4kBPu7vsEQIAAC4EAAAOAAAAAAAA&#10;AAEAIAAAACQBAABkcnMvZTJvRG9jLnhtbFBLBQYAAAAABgAGAFkBAACnBQAAAAA=&#10;">
                      <v:fill on="t" focussize="0,0"/>
                      <v:stroke on="f"/>
                      <v:imagedata o:title=""/>
                      <o:lock v:ext="edit" aspectratio="f"/>
                    </v:rect>
                  </w:pict>
                </mc:Fallback>
              </mc:AlternateContent>
            </w:r>
            <w:r>
              <w:rPr>
                <w:rFonts w:hint="eastAsia"/>
                <w:kern w:val="2"/>
              </w:rPr>
              <w:fldChar w:fldCharType="begin">
                <w:ffData>
                  <w:name w:val="BAH"/>
                  <w:enabled/>
                  <w:calcOnExit w:val="0"/>
                  <w:textInput/>
                </w:ffData>
              </w:fldChar>
            </w:r>
            <w:bookmarkStart w:id="2" w:name="BAH"/>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2"/>
          </w:p>
        </w:tc>
      </w:tr>
    </w:tbl>
    <w:p w14:paraId="3BD3EF3E">
      <w:pPr>
        <w:pStyle w:val="23"/>
        <w:framePr w:wrap="around"/>
      </w:pPr>
      <w:r>
        <w:rPr>
          <w:rFonts w:hint="eastAsia"/>
        </w:rPr>
        <w:t>团体标准</w:t>
      </w:r>
    </w:p>
    <w:p w14:paraId="68A76ECA">
      <w:pPr>
        <w:pStyle w:val="24"/>
        <w:framePr w:wrap="around"/>
        <w:ind w:left="1260" w:hanging="420"/>
        <w:rPr>
          <w:rFonts w:hAnsi="黑体"/>
        </w:rPr>
      </w:pPr>
      <w:r>
        <w:rPr>
          <w:rFonts w:hint="eastAsia" w:hAnsi="黑体"/>
        </w:rPr>
        <w:t>T/XX XXXX—XXXX</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14:paraId="70313499">
        <w:tc>
          <w:tcPr>
            <w:tcW w:w="9356" w:type="dxa"/>
            <w:tcBorders>
              <w:top w:val="nil"/>
              <w:left w:val="nil"/>
              <w:bottom w:val="nil"/>
              <w:right w:val="nil"/>
            </w:tcBorders>
          </w:tcPr>
          <w:p w14:paraId="777932BC">
            <w:pPr>
              <w:pStyle w:val="25"/>
              <w:framePr w:wrap="around"/>
              <w:rPr>
                <w:kern w:val="2"/>
              </w:rPr>
            </w:pPr>
            <w:bookmarkStart w:id="3" w:name="DT"/>
            <w:r>
              <w:rPr>
                <w:rFonts w:hint="eastAsia"/>
                <w:kern w:val="2"/>
              </w:rPr>
              <mc:AlternateContent>
                <mc:Choice Requires="wps">
                  <w:drawing>
                    <wp:anchor distT="0" distB="0" distL="114300" distR="114300" simplePos="0" relativeHeight="251662336"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DT" o:spid="_x0000_s1026" o:spt="1" style="position:absolute;left:0pt;margin-left:372.8pt;margin-top:2.7pt;height:18pt;width:90pt;z-index:-251654144;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5g8svWAAAACAEAAA8AAAAAAAAAAQAgAAAA&#10;IgAAAGRycy9kb3ducmV2LnhtbFBLAQIUABQAAAAIAIdO4kDXf8bnDQIAAC4EAAAOAAAAAAAAAAEA&#10;IAAAACUBAABkcnMvZTJvRG9jLnhtbFBLBQYAAAAABgAGAFkBAACkBQAAAAA=&#10;">
                      <v:fill on="t" focussize="0,0"/>
                      <v:stroke on="f"/>
                      <v:imagedata o:title=""/>
                      <o:lock v:ext="edit" aspectratio="f"/>
                    </v:rect>
                  </w:pict>
                </mc:Fallback>
              </mc:AlternateContent>
            </w:r>
            <w:r>
              <w:rPr>
                <w:rFonts w:hint="eastAsia"/>
                <w:kern w:val="2"/>
              </w:rPr>
              <w:fldChar w:fldCharType="begin">
                <w:ffData>
                  <w:name w:val="DT"/>
                  <w:enabled/>
                  <w:calcOnExit w:val="0"/>
                  <w:entryMacro w:val="ShowHelp4"/>
                  <w:textInput/>
                </w:ffData>
              </w:fldChar>
            </w:r>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3"/>
          </w:p>
        </w:tc>
      </w:tr>
    </w:tbl>
    <w:p w14:paraId="317B7E25">
      <w:pPr>
        <w:pStyle w:val="24"/>
        <w:framePr w:wrap="around"/>
        <w:ind w:left="1260" w:hanging="420"/>
        <w:rPr>
          <w:rFonts w:hAnsi="黑体"/>
        </w:rPr>
      </w:pPr>
    </w:p>
    <w:p w14:paraId="45742B39">
      <w:pPr>
        <w:pStyle w:val="24"/>
        <w:framePr w:wrap="around"/>
        <w:ind w:left="1260" w:hanging="420"/>
        <w:rPr>
          <w:rFonts w:hAnsi="黑体"/>
        </w:rPr>
      </w:pPr>
    </w:p>
    <w:p w14:paraId="08B84F91">
      <w:pPr>
        <w:pStyle w:val="26"/>
        <w:framePr w:wrap="around" w:x="1424" w:y="5639"/>
      </w:pPr>
      <w:r>
        <w:rPr>
          <w:rFonts w:hint="eastAsia" w:hAnsi="宋体"/>
          <w:bCs/>
          <w:szCs w:val="52"/>
        </w:rPr>
        <w:t>碳普惠项目减排量核算技术规范 低碳</w:t>
      </w:r>
      <w:r>
        <w:rPr>
          <w:rFonts w:hint="eastAsia" w:hAnsi="宋体"/>
          <w:bCs/>
          <w:szCs w:val="52"/>
          <w:lang w:val="en-US" w:eastAsia="zh-CN"/>
        </w:rPr>
        <w:t>住宿</w:t>
      </w:r>
    </w:p>
    <w:p w14:paraId="3E8056A3">
      <w:pPr>
        <w:pStyle w:val="27"/>
        <w:framePr w:wrap="around" w:x="1424" w:y="5639"/>
      </w:pPr>
      <w:r>
        <w:rPr>
          <w:rFonts w:hint="default" w:ascii="Times New Roman" w:hAnsi="Times New Roman" w:eastAsia="Times New Roman" w:cs="Times New Roman"/>
          <w:sz w:val="28"/>
          <w:szCs w:val="28"/>
        </w:rPr>
        <w:t xml:space="preserve">Technical </w:t>
      </w:r>
      <w:r>
        <w:rPr>
          <w:rFonts w:hint="eastAsia" w:eastAsia="宋体" w:cs="Times New Roman"/>
          <w:sz w:val="28"/>
          <w:szCs w:val="28"/>
          <w:lang w:val="en-US" w:eastAsia="zh-CN"/>
        </w:rPr>
        <w:t xml:space="preserve">Guide </w:t>
      </w:r>
      <w:r>
        <w:rPr>
          <w:rFonts w:hint="default" w:ascii="Times New Roman" w:hAnsi="Times New Roman" w:eastAsia="Times New Roman" w:cs="Times New Roman"/>
          <w:sz w:val="28"/>
          <w:szCs w:val="28"/>
        </w:rPr>
        <w:t xml:space="preserve">for </w:t>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I</w:t>
      </w:r>
      <w:r>
        <w:rPr>
          <w:rFonts w:hint="default" w:ascii="Times New Roman" w:hAnsi="Times New Roman" w:eastAsia="Times New Roman" w:cs="Times New Roman"/>
          <w:sz w:val="28"/>
          <w:szCs w:val="28"/>
        </w:rPr>
        <w:t xml:space="preserve">nclusive </w:t>
      </w:r>
      <w:r>
        <w:rPr>
          <w:rFonts w:hint="eastAsia" w:eastAsia="宋体" w:cs="Times New Roman"/>
          <w:sz w:val="28"/>
          <w:szCs w:val="28"/>
          <w:lang w:val="en-US" w:eastAsia="zh-CN"/>
        </w:rPr>
        <w:t>P</w:t>
      </w:r>
      <w:r>
        <w:rPr>
          <w:rFonts w:hint="default" w:ascii="Times New Roman" w:hAnsi="Times New Roman" w:eastAsia="Times New Roman" w:cs="Times New Roman"/>
          <w:sz w:val="28"/>
          <w:szCs w:val="28"/>
        </w:rPr>
        <w:t xml:space="preserve">rojects of </w:t>
      </w:r>
      <w:r>
        <w:rPr>
          <w:rFonts w:hint="default" w:ascii="Times New Roman" w:hAnsi="Times New Roman" w:eastAsia="Times New Roman" w:cs="Times New Roman"/>
          <w:sz w:val="28"/>
          <w:szCs w:val="28"/>
        </w:rPr>
        <w:br w:type="textWrapping"/>
      </w:r>
      <w:r>
        <w:rPr>
          <w:rFonts w:hint="eastAsia" w:eastAsia="宋体" w:cs="Times New Roman"/>
          <w:sz w:val="28"/>
          <w:szCs w:val="28"/>
          <w:lang w:val="en-US" w:eastAsia="zh-CN"/>
        </w:rPr>
        <w:t>C</w:t>
      </w:r>
      <w:r>
        <w:rPr>
          <w:rFonts w:hint="default" w:ascii="Times New Roman" w:hAnsi="Times New Roman" w:eastAsia="Times New Roman" w:cs="Times New Roman"/>
          <w:sz w:val="28"/>
          <w:szCs w:val="28"/>
        </w:rPr>
        <w:t xml:space="preserve">arbon </w:t>
      </w:r>
      <w:r>
        <w:rPr>
          <w:rFonts w:hint="eastAsia" w:eastAsia="宋体" w:cs="Times New Roman"/>
          <w:sz w:val="28"/>
          <w:szCs w:val="28"/>
          <w:lang w:val="en-US" w:eastAsia="zh-CN"/>
        </w:rPr>
        <w:t>E</w:t>
      </w:r>
      <w:r>
        <w:rPr>
          <w:rFonts w:hint="default" w:ascii="Times New Roman" w:hAnsi="Times New Roman" w:eastAsia="Times New Roman" w:cs="Times New Roman"/>
          <w:sz w:val="28"/>
          <w:szCs w:val="28"/>
        </w:rPr>
        <w:t xml:space="preserve">mission </w:t>
      </w:r>
      <w:r>
        <w:rPr>
          <w:rFonts w:hint="eastAsia" w:eastAsia="宋体" w:cs="Times New Roman"/>
          <w:sz w:val="28"/>
          <w:szCs w:val="28"/>
          <w:lang w:val="en-US" w:eastAsia="zh-CN"/>
        </w:rPr>
        <w:t>R</w:t>
      </w:r>
      <w:r>
        <w:rPr>
          <w:rFonts w:hint="default" w:ascii="Times New Roman" w:hAnsi="Times New Roman" w:eastAsia="Times New Roman" w:cs="Times New Roman"/>
          <w:sz w:val="28"/>
          <w:szCs w:val="28"/>
        </w:rPr>
        <w:t>eduction</w:t>
      </w:r>
      <w:r>
        <w:rPr>
          <w:rFonts w:hint="eastAsia" w:ascii="Times New Roman" w:hAnsi="Times New Roman" w:eastAsia="宋体" w:cs="Times New Roman"/>
          <w:sz w:val="28"/>
          <w:szCs w:val="28"/>
          <w:lang w:val="en-US" w:eastAsia="zh-CN"/>
        </w:rPr>
        <w:t xml:space="preserve"> </w:t>
      </w:r>
      <w:r>
        <w:rPr>
          <w:rFonts w:hint="eastAsia" w:eastAsia="宋体" w:cs="Times New Roman"/>
          <w:sz w:val="28"/>
          <w:szCs w:val="28"/>
          <w:lang w:val="en-US" w:eastAsia="zh-CN"/>
        </w:rPr>
        <w:t>A</w:t>
      </w:r>
      <w:r>
        <w:rPr>
          <w:rFonts w:hint="default" w:ascii="Times New Roman" w:hAnsi="Times New Roman" w:eastAsia="Times New Roman" w:cs="Times New Roman"/>
          <w:sz w:val="28"/>
          <w:szCs w:val="28"/>
        </w:rPr>
        <w:t>ccounting</w:t>
      </w:r>
      <w:r>
        <w:rPr>
          <w:rFonts w:hint="eastAsia" w:ascii="Times New Roman" w:hAnsi="Times New Roman" w:eastAsia="宋体" w:cs="Times New Roman"/>
          <w:sz w:val="28"/>
          <w:szCs w:val="28"/>
          <w:lang w:val="en-US" w:eastAsia="zh-CN"/>
        </w:rPr>
        <w:t>:</w:t>
      </w:r>
      <w:r>
        <w:rPr>
          <w:rFonts w:hint="default" w:ascii="Times New Roman" w:hAnsi="Times New Roman" w:eastAsia="Times New Roman" w:cs="Times New Roman"/>
          <w:sz w:val="28"/>
          <w:szCs w:val="28"/>
        </w:rPr>
        <w:br w:type="textWrapping"/>
      </w:r>
      <w:r>
        <w:rPr>
          <w:rFonts w:hint="eastAsia" w:cs="Times New Roman"/>
          <w:sz w:val="28"/>
          <w:szCs w:val="28"/>
          <w:lang w:val="en-US" w:eastAsia="zh-CN"/>
        </w:rPr>
        <w:t>L</w:t>
      </w:r>
      <w:r>
        <w:rPr>
          <w:rFonts w:hint="default" w:ascii="Times New Roman" w:hAnsi="Times New Roman" w:eastAsia="Times New Roman" w:cs="Times New Roman"/>
          <w:sz w:val="28"/>
          <w:szCs w:val="28"/>
        </w:rPr>
        <w:t xml:space="preserve">ow-carbon </w:t>
      </w:r>
      <w:r>
        <w:rPr>
          <w:rFonts w:hint="eastAsia" w:eastAsia="Times New Roman" w:cs="Times New Roman"/>
          <w:sz w:val="28"/>
          <w:szCs w:val="28"/>
          <w:lang w:val="en-US" w:eastAsia="zh-CN"/>
        </w:rPr>
        <w:t>A</w:t>
      </w:r>
      <w:r>
        <w:rPr>
          <w:rFonts w:hint="default" w:ascii="Times New Roman" w:hAnsi="Times New Roman" w:eastAsia="Times New Roman" w:cs="Times New Roman"/>
          <w:sz w:val="28"/>
          <w:szCs w:val="28"/>
          <w:lang w:val="en-US" w:eastAsia="zh-CN"/>
        </w:rPr>
        <w:t>ccommodation</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14:paraId="7C281CEB">
        <w:tc>
          <w:tcPr>
            <w:tcW w:w="9855" w:type="dxa"/>
            <w:tcBorders>
              <w:top w:val="nil"/>
              <w:left w:val="nil"/>
              <w:bottom w:val="nil"/>
              <w:right w:val="nil"/>
            </w:tcBorders>
          </w:tcPr>
          <w:p w14:paraId="5F12154C">
            <w:pPr>
              <w:pStyle w:val="28"/>
              <w:framePr w:wrap="around" w:x="1424" w:y="5639"/>
            </w:pPr>
            <w:r>
              <w:rPr>
                <w:rFonts w:hint="eastAsia"/>
              </w:rPr>
              <w:t>（草案稿）</w:t>
            </w:r>
          </w:p>
        </w:tc>
      </w:tr>
      <w:tr w14:paraId="7C3ABD7A">
        <w:tc>
          <w:tcPr>
            <w:tcW w:w="9855" w:type="dxa"/>
            <w:tcBorders>
              <w:top w:val="nil"/>
              <w:left w:val="nil"/>
              <w:bottom w:val="nil"/>
              <w:right w:val="nil"/>
            </w:tcBorders>
          </w:tcPr>
          <w:p w14:paraId="09BF63D5">
            <w:pPr>
              <w:pStyle w:val="29"/>
              <w:framePr w:wrap="around" w:x="1424" w:y="5639"/>
            </w:pPr>
          </w:p>
        </w:tc>
      </w:tr>
    </w:tbl>
    <w:p w14:paraId="7CE3AED8">
      <w:pPr>
        <w:pStyle w:val="30"/>
        <w:framePr w:wrap="around" w:hAnchor="page" w:x="1351" w:y="14121"/>
      </w:pPr>
      <w:bookmarkStart w:id="4"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4"/>
      <w:r>
        <w:rPr>
          <w:rFonts w:ascii="黑体"/>
        </w:rPr>
        <w:t>–</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r>
        <w:rPr>
          <w:rFonts w:ascii="黑体"/>
        </w:rPr>
        <w:t>-</w:t>
      </w:r>
      <w:r>
        <w:rPr>
          <w:rFonts w:hint="eastAsia" w:ascii="黑体"/>
        </w:rPr>
        <w:t>XX</w:t>
      </w:r>
      <w:r>
        <w:rPr>
          <w:rFonts w:hint="eastAsia"/>
        </w:rPr>
        <w:t>发布</w:t>
      </w:r>
      <w:r>
        <mc:AlternateContent>
          <mc:Choice Requires="wps">
            <w:drawing>
              <wp:anchor distT="0" distB="0" distL="114300" distR="114300" simplePos="0" relativeHeight="251664384" behindDoc="0" locked="1" layoutInCell="1" allowOverlap="1">
                <wp:simplePos x="0" y="0"/>
                <wp:positionH relativeFrom="column">
                  <wp:posOffset>-635</wp:posOffset>
                </wp:positionH>
                <wp:positionV relativeFrom="page">
                  <wp:posOffset>9251950</wp:posOffset>
                </wp:positionV>
                <wp:extent cx="6120130" cy="0"/>
                <wp:effectExtent l="0" t="4445" r="4445" b="5080"/>
                <wp:wrapNone/>
                <wp:docPr id="3" name="直线 10"/>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0" o:spid="_x0000_s1026" o:spt="20" style="position:absolute;left:0pt;margin-left:-0.05pt;margin-top:728.5pt;height:0pt;width:481.9pt;mso-position-vertical-relative:page;z-index:251664384;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YdrPNYAAAALAQAADwAAAAAA&#10;AAABACAAAAAiAAAAZHJzL2Rvd25yZXYueG1sUEsBAhQAFAAAAAgAh07iQNfSgmjcAQAAsAMAAA4A&#10;AAAAAAAAAQAgAAAAJQEAAGRycy9lMm9Eb2MueG1sUEsFBgAAAAAGAAYAWQEAAHMFAAAAAA==&#10;">
                <v:fill on="f" focussize="0,0"/>
                <v:stroke color="#000000" joinstyle="round"/>
                <v:imagedata o:title=""/>
                <o:lock v:ext="edit" aspectratio="f"/>
                <w10:anchorlock/>
              </v:line>
            </w:pict>
          </mc:Fallback>
        </mc:AlternateContent>
      </w:r>
    </w:p>
    <w:p w14:paraId="4D23A8AB">
      <w:pPr>
        <w:pStyle w:val="31"/>
        <w:framePr w:wrap="around" w:hAnchor="page" w:x="6921" w:y="14151"/>
      </w:pPr>
      <w:bookmarkStart w:id="5"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5"/>
      <w:r>
        <w:rPr>
          <w:rFonts w:ascii="黑体"/>
        </w:rPr>
        <w:t>–</w:t>
      </w:r>
      <w:bookmarkStart w:id="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6"/>
      <w:r>
        <w:rPr>
          <w:rFonts w:ascii="黑体"/>
        </w:rPr>
        <w:t>-</w:t>
      </w:r>
      <w:r>
        <w:rPr>
          <w:rFonts w:hint="eastAsia" w:ascii="楷体" w:hAnsi="楷体" w:eastAsia="楷体"/>
        </w:rPr>
        <w:t>XX</w:t>
      </w:r>
      <w:r>
        <w:rPr>
          <w:rFonts w:hint="eastAsia"/>
        </w:rPr>
        <w:t>实施</w:t>
      </w:r>
    </w:p>
    <w:p w14:paraId="40A6506A">
      <w:pPr>
        <w:pStyle w:val="32"/>
        <w:framePr w:wrap="around"/>
      </w:pPr>
      <w:r>
        <w:rPr>
          <w:rFonts w:hint="eastAsia" w:ascii="Times New Roman"/>
          <w:spacing w:val="-1"/>
          <w:lang w:eastAsia="zh-CN"/>
        </w:rPr>
        <w:t>深圳市绿色低碳科技促进会</w:t>
      </w:r>
      <w:r>
        <w:rPr>
          <w:rFonts w:hint="eastAsia" w:ascii="MS Mincho" w:hAnsi="MS Mincho" w:eastAsia="MS Mincho" w:cs="MS Mincho"/>
        </w:rPr>
        <w:t>   </w:t>
      </w:r>
      <w:r>
        <w:rPr>
          <w:rStyle w:val="33"/>
          <w:rFonts w:hint="eastAsia"/>
        </w:rPr>
        <w:t>发布</w:t>
      </w:r>
    </w:p>
    <w:p w14:paraId="0F701D07">
      <w:pPr>
        <w:pStyle w:val="34"/>
        <w:sectPr>
          <w:headerReference r:id="rId5" w:type="even"/>
          <w:footerReference r:id="rId6" w:type="even"/>
          <w:pgSz w:w="11906" w:h="16838"/>
          <w:pgMar w:top="567" w:right="1134" w:bottom="1134" w:left="1418" w:header="0" w:footer="0" w:gutter="0"/>
          <w:pgNumType w:fmt="upperRoman" w:start="1"/>
          <w:cols w:space="720" w:num="1"/>
          <w:docGrid w:type="lines" w:linePitch="312" w:charSpace="0"/>
        </w:sectPr>
      </w:pPr>
      <w:r>
        <mc:AlternateContent>
          <mc:Choice Requires="wps">
            <w:drawing>
              <wp:anchor distT="0" distB="0" distL="114300" distR="114300" simplePos="0" relativeHeight="251666432" behindDoc="0" locked="0" layoutInCell="1" allowOverlap="1">
                <wp:simplePos x="0" y="0"/>
                <wp:positionH relativeFrom="margin">
                  <wp:posOffset>0</wp:posOffset>
                </wp:positionH>
                <wp:positionV relativeFrom="paragraph">
                  <wp:posOffset>8949055</wp:posOffset>
                </wp:positionV>
                <wp:extent cx="6120130" cy="0"/>
                <wp:effectExtent l="0" t="4445" r="4445" b="5080"/>
                <wp:wrapNone/>
                <wp:docPr id="916456363"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pt;margin-top:704.65pt;height:0pt;width:481.9pt;mso-position-horizontal-relative:margin;z-index:251666432;mso-width-relative:page;mso-height-relative:page;" filled="f" stroked="t" coordsize="21600,21600" o:gfxdata="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VHj8H1QAAAAoBAAAP&#10;AAAAAAAAAAEAIAAAACIAAABkcnMvZG93bnJldi54bWxQSwECFAAUAAAACACHTuJAUwtODOIBAAC4&#10;AwAADgAAAAAAAAABACAAAAAk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-635</wp:posOffset>
                </wp:positionH>
                <wp:positionV relativeFrom="paragraph">
                  <wp:posOffset>2339975</wp:posOffset>
                </wp:positionV>
                <wp:extent cx="6120130" cy="0"/>
                <wp:effectExtent l="0" t="4445" r="4445" b="5080"/>
                <wp:wrapNone/>
                <wp:docPr id="4"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05pt;margin-top:184.25pt;height:0pt;width:481.9pt;z-index:251665408;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QkHiX9cAAAAJAQAADwAAAAAA&#10;AAABACAAAAAiAAAAZHJzL2Rvd25yZXYueG1sUEsBAhQAFAAAAAgAh07iQNiwS6/bAQAAsAMAAA4A&#10;AAAAAAAAAQAgAAAAJgEAAGRycy9lMm9Eb2MueG1sUEsFBgAAAAAGAAYAWQEAAHMFAAAAAA==&#10;">
                <v:fill on="f" focussize="0,0"/>
                <v:stroke color="#000000" joinstyle="round"/>
                <v:imagedata o:title=""/>
                <o:lock v:ext="edit" aspectratio="f"/>
              </v:line>
            </w:pict>
          </mc:Fallback>
        </mc:AlternateContent>
      </w:r>
    </w:p>
    <w:p w14:paraId="09ED5BDD">
      <w:pPr>
        <w:pStyle w:val="35"/>
        <w:kinsoku/>
        <w:autoSpaceDE/>
        <w:autoSpaceDN/>
        <w:adjustRightInd/>
        <w:snapToGrid/>
        <w:ind w:firstLine="0" w:firstLineChars="0"/>
        <w:textAlignment w:val="auto"/>
        <w:rPr>
          <w:rFonts w:hint="default" w:hAnsi="Times New Roman"/>
          <w:snapToGrid/>
          <w:lang w:eastAsia="zh-CN"/>
        </w:rPr>
      </w:pPr>
      <w:bookmarkStart w:id="7" w:name="_Toc2053"/>
      <w:bookmarkStart w:id="8" w:name="_Toc6955"/>
      <w:r>
        <w:rPr>
          <w:rFonts w:hint="default" w:hAnsi="Times New Roman"/>
          <w:snapToGrid/>
          <w:lang w:eastAsia="zh-CN"/>
        </w:rPr>
        <w:t>目    次</w:t>
      </w:r>
      <w:bookmarkEnd w:id="7"/>
      <w:bookmarkEnd w:id="8"/>
    </w:p>
    <w:sdt>
      <w:sdtPr>
        <w:rPr>
          <w:rFonts w:hint="default" w:ascii="Times New Roman" w:hAnsi="Times New Roman" w:eastAsia="宋体" w:cs="Times New Roman"/>
          <w:snapToGrid w:val="0"/>
          <w:color w:val="000000"/>
          <w:kern w:val="0"/>
          <w:sz w:val="21"/>
          <w:szCs w:val="21"/>
          <w:lang w:val="en-US" w:eastAsia="en-US" w:bidi="ar-SA"/>
        </w:rPr>
        <w:id w:val="147470555"/>
        <w15:color w:val="DBDBDB"/>
        <w:docPartObj>
          <w:docPartGallery w:val="Table of Contents"/>
          <w:docPartUnique/>
        </w:docPartObj>
      </w:sdtPr>
      <w:sdtEndPr>
        <w:rPr>
          <w:rFonts w:hint="default" w:ascii="Times New Roman" w:hAnsi="Times New Roman" w:eastAsia="宋体" w:cs="Times New Roman"/>
          <w:snapToGrid w:val="0"/>
          <w:color w:val="000000"/>
          <w:kern w:val="0"/>
          <w:sz w:val="21"/>
          <w:szCs w:val="21"/>
          <w:lang w:val="en-US" w:eastAsia="en-US" w:bidi="ar-SA"/>
        </w:rPr>
      </w:sdtEndPr>
      <w:sdtContent>
        <w:p w14:paraId="40B72AEA">
          <w:pPr>
            <w:spacing w:before="0" w:beforeLines="0" w:after="0" w:afterLines="0" w:line="240" w:lineRule="auto"/>
            <w:ind w:left="0" w:leftChars="0" w:right="0" w:rightChars="0" w:firstLine="0" w:firstLineChars="0"/>
            <w:jc w:val="center"/>
            <w:rPr>
              <w:rFonts w:hint="default" w:ascii="Times New Roman" w:hAnsi="Times New Roman" w:cs="Times New Roman"/>
            </w:rPr>
          </w:pPr>
        </w:p>
        <w:p w14:paraId="12845797">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TOC \o "1-1" \h \u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_Toc24024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  范围</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_Toc24024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4D7AB988">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_Toc10279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  规范性引用文件</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_Toc10279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6BB8169E">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_Toc17184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3  术语和定义</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_Toc17184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74B2E155">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_Toc26680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4  基本要求</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_Toc26680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1</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1990AEE3">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_Toc11230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5  温室气体种类、项目边界和计入期</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_Toc11230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41BC0C12">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_Toc18766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6  核算方法</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_Toc18766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2</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4B2173A7">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_Toc29761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7  数据监测与管理</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_Toc29761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3</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7513999B">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_Toc29777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附</w:t>
          </w:r>
          <w:r>
            <w:rPr>
              <w:rStyle w:val="17"/>
              <w:rFonts w:hint="eastAsia" w:ascii="Times New Roman" w:hAnsi="宋体" w:eastAsia="宋体" w:cs="Times New Roman"/>
              <w:snapToGrid/>
              <w:kern w:val="2"/>
              <w:lang w:val="en-US" w:eastAsia="zh-CN"/>
            </w:rPr>
            <w:t xml:space="preserve"> </w:t>
          </w:r>
          <w:r>
            <w:rPr>
              <w:rStyle w:val="17"/>
              <w:rFonts w:hint="eastAsia" w:ascii="Times New Roman" w:hAnsi="宋体" w:eastAsia="宋体" w:cs="Times New Roman"/>
              <w:snapToGrid/>
              <w:kern w:val="2"/>
              <w:lang w:eastAsia="zh-CN"/>
            </w:rPr>
            <w:t>录 A（规范性）</w:t>
          </w:r>
          <w:r>
            <w:rPr>
              <w:rStyle w:val="17"/>
              <w:rFonts w:hint="eastAsia" w:ascii="Times New Roman" w:hAnsi="宋体" w:eastAsia="宋体" w:cs="Times New Roman"/>
              <w:snapToGrid/>
              <w:kern w:val="2"/>
              <w:lang w:val="en-US" w:eastAsia="zh-CN"/>
            </w:rPr>
            <w:t>情景参数</w:t>
          </w:r>
          <w:r>
            <w:rPr>
              <w:rStyle w:val="17"/>
              <w:rFonts w:hint="eastAsia" w:ascii="Times New Roman" w:hAnsi="宋体" w:eastAsia="宋体" w:cs="Times New Roman"/>
              <w:snapToGrid/>
              <w:kern w:val="2"/>
              <w:lang w:eastAsia="zh-CN"/>
            </w:rPr>
            <w:t>的计算方法</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_Toc29777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5</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31DAAAE2">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_Toc4442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附</w:t>
          </w:r>
          <w:r>
            <w:rPr>
              <w:rStyle w:val="17"/>
              <w:rFonts w:hint="eastAsia" w:ascii="Times New Roman" w:hAnsi="宋体" w:eastAsia="宋体" w:cs="Times New Roman"/>
              <w:snapToGrid/>
              <w:kern w:val="2"/>
              <w:lang w:val="en-US" w:eastAsia="zh-CN"/>
            </w:rPr>
            <w:t xml:space="preserve"> </w:t>
          </w:r>
          <w:r>
            <w:rPr>
              <w:rStyle w:val="17"/>
              <w:rFonts w:hint="eastAsia" w:ascii="Times New Roman" w:hAnsi="宋体" w:eastAsia="宋体" w:cs="Times New Roman"/>
              <w:snapToGrid/>
              <w:kern w:val="2"/>
              <w:lang w:eastAsia="zh-CN"/>
            </w:rPr>
            <w:t>录</w:t>
          </w:r>
          <w:r>
            <w:rPr>
              <w:rStyle w:val="17"/>
              <w:rFonts w:hint="eastAsia" w:ascii="Times New Roman" w:hAnsi="宋体" w:eastAsia="宋体" w:cs="Times New Roman"/>
              <w:snapToGrid/>
              <w:kern w:val="2"/>
              <w:lang w:val="en-US" w:eastAsia="zh-CN"/>
            </w:rPr>
            <w:t xml:space="preserve"> </w:t>
          </w:r>
          <w:r>
            <w:rPr>
              <w:rStyle w:val="17"/>
              <w:rFonts w:hint="eastAsia" w:ascii="Times New Roman" w:hAnsi="宋体" w:eastAsia="宋体" w:cs="Times New Roman"/>
              <w:snapToGrid/>
              <w:kern w:val="2"/>
              <w:lang w:eastAsia="zh-CN"/>
            </w:rPr>
            <w:t>B（规范性）相关数据及来源说明</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_Toc4442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6</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4848F4D1">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Style w:val="17"/>
              <w:rFonts w:hint="eastAsia" w:ascii="Times New Roman" w:hAnsi="宋体" w:eastAsia="宋体" w:cs="Times New Roman"/>
              <w:snapToGrid/>
              <w:kern w:val="2"/>
              <w:lang w:eastAsia="zh-CN"/>
            </w:rPr>
          </w:pP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HYPERLINK \l _Toc17089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参考文献</w:t>
          </w:r>
          <w:r>
            <w:rPr>
              <w:rStyle w:val="17"/>
              <w:rFonts w:hint="eastAsia" w:ascii="Times New Roman" w:hAnsi="宋体" w:eastAsia="宋体" w:cs="Times New Roman"/>
              <w:snapToGrid/>
              <w:kern w:val="2"/>
              <w:lang w:eastAsia="zh-CN"/>
            </w:rPr>
            <w:tab/>
          </w:r>
          <w:r>
            <w:rPr>
              <w:rStyle w:val="17"/>
              <w:rFonts w:hint="eastAsia" w:ascii="Times New Roman" w:hAnsi="宋体" w:eastAsia="宋体" w:cs="Times New Roman"/>
              <w:snapToGrid/>
              <w:kern w:val="2"/>
              <w:lang w:eastAsia="zh-CN"/>
            </w:rPr>
            <w:fldChar w:fldCharType="begin"/>
          </w:r>
          <w:r>
            <w:rPr>
              <w:rStyle w:val="17"/>
              <w:rFonts w:hint="eastAsia" w:ascii="Times New Roman" w:hAnsi="宋体" w:eastAsia="宋体" w:cs="Times New Roman"/>
              <w:snapToGrid/>
              <w:kern w:val="2"/>
              <w:lang w:eastAsia="zh-CN"/>
            </w:rPr>
            <w:instrText xml:space="preserve"> PAGEREF _Toc17089 \h </w:instrText>
          </w:r>
          <w:r>
            <w:rPr>
              <w:rStyle w:val="17"/>
              <w:rFonts w:hint="eastAsia" w:ascii="Times New Roman" w:hAnsi="宋体" w:eastAsia="宋体" w:cs="Times New Roman"/>
              <w:snapToGrid/>
              <w:kern w:val="2"/>
              <w:lang w:eastAsia="zh-CN"/>
            </w:rPr>
            <w:fldChar w:fldCharType="separate"/>
          </w:r>
          <w:r>
            <w:rPr>
              <w:rStyle w:val="17"/>
              <w:rFonts w:hint="eastAsia" w:ascii="Times New Roman" w:hAnsi="宋体" w:eastAsia="宋体" w:cs="Times New Roman"/>
              <w:snapToGrid/>
              <w:kern w:val="2"/>
              <w:lang w:eastAsia="zh-CN"/>
            </w:rPr>
            <w:t>7</w:t>
          </w:r>
          <w:r>
            <w:rPr>
              <w:rStyle w:val="17"/>
              <w:rFonts w:hint="eastAsia" w:ascii="Times New Roman" w:hAnsi="宋体" w:eastAsia="宋体" w:cs="Times New Roman"/>
              <w:snapToGrid/>
              <w:kern w:val="2"/>
              <w:lang w:eastAsia="zh-CN"/>
            </w:rPr>
            <w:fldChar w:fldCharType="end"/>
          </w:r>
          <w:r>
            <w:rPr>
              <w:rStyle w:val="17"/>
              <w:rFonts w:hint="eastAsia" w:ascii="Times New Roman" w:hAnsi="宋体" w:eastAsia="宋体" w:cs="Times New Roman"/>
              <w:snapToGrid/>
              <w:kern w:val="2"/>
              <w:lang w:eastAsia="zh-CN"/>
            </w:rPr>
            <w:fldChar w:fldCharType="end"/>
          </w:r>
        </w:p>
        <w:p w14:paraId="0B9C1F1E">
          <w:pPr>
            <w:pStyle w:val="10"/>
            <w:widowControl w:val="0"/>
            <w:tabs>
              <w:tab w:val="right" w:leader="dot" w:pos="9241"/>
            </w:tabs>
            <w:kinsoku/>
            <w:autoSpaceDE/>
            <w:autoSpaceDN/>
            <w:adjustRightInd/>
            <w:snapToGrid/>
            <w:spacing w:before="78" w:beforeLines="25" w:after="78" w:afterLines="25" w:line="240" w:lineRule="auto"/>
            <w:ind w:firstLine="0" w:firstLineChars="0"/>
            <w:textAlignment w:val="auto"/>
            <w:rPr>
              <w:rFonts w:hint="default" w:ascii="Times New Roman" w:hAnsi="Times New Roman" w:eastAsia="宋体" w:cs="Times New Roman"/>
              <w:snapToGrid w:val="0"/>
              <w:color w:val="000000"/>
              <w:kern w:val="0"/>
              <w:sz w:val="21"/>
              <w:szCs w:val="21"/>
              <w:lang w:val="en-US" w:eastAsia="en-US" w:bidi="ar-SA"/>
            </w:rPr>
          </w:pPr>
          <w:r>
            <w:rPr>
              <w:rStyle w:val="17"/>
              <w:rFonts w:hint="eastAsia" w:ascii="Times New Roman" w:hAnsi="宋体" w:eastAsia="宋体" w:cs="Times New Roman"/>
              <w:snapToGrid/>
              <w:kern w:val="2"/>
              <w:lang w:eastAsia="zh-CN"/>
            </w:rPr>
            <w:fldChar w:fldCharType="end"/>
          </w:r>
        </w:p>
      </w:sdtContent>
    </w:sdt>
    <w:p w14:paraId="076E06B8">
      <w:pPr>
        <w:spacing w:line="221" w:lineRule="auto"/>
        <w:rPr>
          <w:rFonts w:hint="default" w:ascii="Times New Roman" w:hAnsi="Times New Roman" w:eastAsia="宋体" w:cs="Times New Roman"/>
          <w:snapToGrid w:val="0"/>
          <w:color w:val="000000"/>
          <w:kern w:val="0"/>
          <w:sz w:val="21"/>
          <w:szCs w:val="21"/>
          <w:lang w:val="en-US" w:eastAsia="en-US" w:bidi="ar-SA"/>
        </w:rPr>
        <w:sectPr>
          <w:headerReference r:id="rId7" w:type="default"/>
          <w:footerReference r:id="rId8" w:type="default"/>
          <w:pgSz w:w="11907" w:h="16839"/>
          <w:pgMar w:top="1716" w:right="1130" w:bottom="1340" w:left="1426" w:header="1391" w:footer="1105" w:gutter="0"/>
          <w:cols w:space="720" w:num="1"/>
        </w:sectPr>
      </w:pPr>
    </w:p>
    <w:p w14:paraId="25B49632">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outlineLvl w:val="0"/>
        <w:rPr>
          <w:rFonts w:hint="default" w:ascii="Times New Roman" w:hAnsi="Times New Roman" w:eastAsia="黑体" w:cs="Times New Roman"/>
          <w:spacing w:val="9"/>
          <w:sz w:val="31"/>
          <w:szCs w:val="31"/>
        </w:rPr>
      </w:pPr>
      <w:bookmarkStart w:id="9" w:name="bookmark12"/>
      <w:bookmarkEnd w:id="9"/>
      <w:bookmarkStart w:id="10" w:name="bookmark1"/>
      <w:bookmarkEnd w:id="10"/>
      <w:bookmarkStart w:id="11" w:name="bookmark12"/>
      <w:bookmarkEnd w:id="11"/>
      <w:bookmarkStart w:id="12" w:name="_Toc17180"/>
      <w:bookmarkStart w:id="13" w:name="_Toc17862"/>
      <w:r>
        <w:rPr>
          <w:rFonts w:hint="default" w:ascii="Times New Roman" w:hAnsi="Times New Roman" w:eastAsia="黑体" w:cs="Times New Roman"/>
          <w:spacing w:val="9"/>
          <w:sz w:val="31"/>
          <w:szCs w:val="31"/>
        </w:rPr>
        <w:t>前    言</w:t>
      </w:r>
      <w:bookmarkEnd w:id="12"/>
      <w:bookmarkEnd w:id="13"/>
    </w:p>
    <w:p w14:paraId="0C1BB950">
      <w:pPr>
        <w:bidi w:val="0"/>
        <w:spacing w:before="68" w:line="274" w:lineRule="auto"/>
        <w:ind w:right="74" w:firstLine="416"/>
        <w:rPr>
          <w:rFonts w:hint="default" w:ascii="Times New Roman" w:hAnsi="Times New Roman" w:cs="Times New Roman"/>
        </w:rPr>
      </w:pPr>
      <w:r>
        <w:rPr>
          <w:rFonts w:cs="Times New Roman"/>
          <w:spacing w:val="-2"/>
          <w:lang w:eastAsia="zh-CN"/>
        </w:rPr>
        <w:t>本</w:t>
      </w:r>
      <w:r>
        <w:rPr>
          <w:rFonts w:hint="eastAsia" w:cs="Times New Roman"/>
          <w:spacing w:val="-2"/>
          <w:lang w:val="en-US" w:eastAsia="zh-CN"/>
        </w:rPr>
        <w:t>团体</w:t>
      </w:r>
      <w:r>
        <w:rPr>
          <w:rFonts w:cs="Times New Roman"/>
          <w:spacing w:val="-2"/>
          <w:lang w:eastAsia="zh-CN"/>
        </w:rPr>
        <w:t>标准以《联合国气候变化框架公约》（UNFCCC）下</w:t>
      </w:r>
      <w:r>
        <w:rPr>
          <w:rFonts w:hint="eastAsia" w:cs="Times New Roman"/>
          <w:spacing w:val="-2"/>
          <w:lang w:eastAsia="zh-CN"/>
        </w:rPr>
        <w:t>“</w:t>
      </w:r>
      <w:r>
        <w:rPr>
          <w:rFonts w:cs="Times New Roman"/>
          <w:spacing w:val="-2"/>
          <w:lang w:eastAsia="zh-CN"/>
        </w:rPr>
        <w:t>清洁发展机制（CDM）</w:t>
      </w:r>
      <w:r>
        <w:rPr>
          <w:rFonts w:hint="eastAsia" w:cs="Times New Roman"/>
          <w:spacing w:val="-2"/>
          <w:lang w:eastAsia="zh-CN"/>
        </w:rPr>
        <w:t>”</w:t>
      </w:r>
      <w:r>
        <w:rPr>
          <w:rFonts w:cs="Times New Roman"/>
          <w:spacing w:val="-2"/>
          <w:lang w:eastAsia="zh-CN"/>
        </w:rPr>
        <w:t>及国家自愿减排交易机制的相关方法学为依据，参考借鉴了CDM项目方法学工具与程序，并衔接《工业企业温室气体排放核算和报告通则》（GB/T 32150-2015）、《基于项目的温室气体减排量评估技术规范通用要求》（GB/T 33760-2017）</w:t>
      </w:r>
      <w:r>
        <w:rPr>
          <w:rFonts w:hint="eastAsia" w:cs="Times New Roman"/>
          <w:spacing w:val="-2"/>
          <w:lang w:eastAsia="zh-CN"/>
        </w:rPr>
        <w:t>、《公共机构碳排放核算指南》（JS</w:t>
      </w:r>
      <w:r>
        <w:rPr>
          <w:rFonts w:hint="eastAsia" w:cs="Times New Roman"/>
          <w:spacing w:val="-2"/>
          <w:lang w:val="en-US" w:eastAsia="zh-CN"/>
        </w:rPr>
        <w:t>/</w:t>
      </w:r>
      <w:r>
        <w:rPr>
          <w:rFonts w:hint="eastAsia" w:cs="Times New Roman"/>
          <w:spacing w:val="-2"/>
          <w:lang w:eastAsia="zh-CN"/>
        </w:rPr>
        <w:t>T</w:t>
      </w:r>
      <w:r>
        <w:rPr>
          <w:rFonts w:hint="eastAsia" w:cs="Times New Roman"/>
          <w:spacing w:val="-2"/>
          <w:lang w:val="en-US" w:eastAsia="zh-CN"/>
        </w:rPr>
        <w:t xml:space="preserve"> </w:t>
      </w:r>
      <w:r>
        <w:rPr>
          <w:rFonts w:hint="eastAsia" w:cs="Times New Roman"/>
          <w:spacing w:val="-2"/>
          <w:lang w:eastAsia="zh-CN"/>
        </w:rPr>
        <w:t>303</w:t>
      </w:r>
      <w:r>
        <w:rPr>
          <w:rFonts w:hint="eastAsia" w:cs="Times New Roman"/>
          <w:spacing w:val="-2"/>
          <w:lang w:val="en-US" w:eastAsia="zh-CN"/>
        </w:rPr>
        <w:t>-</w:t>
      </w:r>
      <w:r>
        <w:rPr>
          <w:rFonts w:hint="eastAsia" w:cs="Times New Roman"/>
          <w:spacing w:val="-2"/>
          <w:lang w:eastAsia="zh-CN"/>
        </w:rPr>
        <w:t>2026）</w:t>
      </w:r>
      <w:r>
        <w:rPr>
          <w:rFonts w:cs="Times New Roman"/>
          <w:spacing w:val="-2"/>
          <w:lang w:eastAsia="zh-CN"/>
        </w:rPr>
        <w:t>等国内标准规范，结合</w:t>
      </w:r>
      <w:r>
        <w:rPr>
          <w:rFonts w:hint="eastAsia" w:cs="Times New Roman"/>
          <w:spacing w:val="-2"/>
          <w:lang w:val="en-US" w:eastAsia="zh-CN"/>
        </w:rPr>
        <w:t>长岛综合实验区范围内游客住宿偏好特征、酒店一次性用品提供、使用与更换的实际情况，</w:t>
      </w:r>
      <w:r>
        <w:rPr>
          <w:rFonts w:cs="Times New Roman"/>
          <w:spacing w:val="-2"/>
          <w:lang w:eastAsia="zh-CN"/>
        </w:rPr>
        <w:t>经相关领域专家、学者及利益相关方多次研讨与论证后编制而成，力求使本标准既符合国内外行为减排量核算的通用准则，具备科学性、严谨性与可操作性。</w:t>
      </w:r>
    </w:p>
    <w:p w14:paraId="17D5EA30">
      <w:pPr>
        <w:pStyle w:val="3"/>
        <w:bidi w:val="0"/>
        <w:rPr>
          <w:rFonts w:hint="default" w:ascii="Times New Roman" w:hAnsi="Times New Roman" w:cs="Times New Roman"/>
        </w:rPr>
      </w:pPr>
      <w:r>
        <w:rPr>
          <w:rFonts w:hint="default" w:ascii="Times New Roman" w:hAnsi="Times New Roman" w:cs="Times New Roman"/>
        </w:rPr>
        <w:t>本文件由</w:t>
      </w:r>
      <w:r>
        <w:rPr>
          <w:rFonts w:cs="Times New Roman"/>
        </w:rPr>
        <w:t>深圳市绿色低碳科技促进会</w:t>
      </w:r>
      <w:r>
        <w:rPr>
          <w:rFonts w:hint="eastAsia" w:cs="Times New Roman"/>
          <w:lang w:val="en-US" w:eastAsia="zh-CN"/>
        </w:rPr>
        <w:t>提出并归口</w:t>
      </w:r>
      <w:r>
        <w:rPr>
          <w:rFonts w:hint="default" w:ascii="Times New Roman" w:hAnsi="Times New Roman" w:cs="Times New Roman"/>
        </w:rPr>
        <w:t>。</w:t>
      </w:r>
    </w:p>
    <w:p w14:paraId="1F671DAA">
      <w:pPr>
        <w:pStyle w:val="3"/>
        <w:ind w:firstLine="416"/>
        <w:rPr>
          <w:rFonts w:hint="default" w:eastAsia="宋体" w:cs="Times New Roman"/>
          <w:lang w:val="en-US" w:eastAsia="zh-CN"/>
        </w:rPr>
      </w:pPr>
      <w:r>
        <w:rPr>
          <w:rFonts w:hint="eastAsia" w:cs="Times New Roman"/>
          <w:lang w:val="en-US" w:eastAsia="zh-CN"/>
        </w:rPr>
        <w:t>本文件起草单位：xxxx xxx</w:t>
      </w:r>
    </w:p>
    <w:p w14:paraId="2465A1DB">
      <w:pPr>
        <w:pStyle w:val="3"/>
        <w:bidi w:val="0"/>
        <w:rPr>
          <w:rFonts w:hint="default" w:ascii="Times New Roman" w:hAnsi="Times New Roman" w:cs="Times New Roman"/>
        </w:rPr>
      </w:pPr>
      <w:r>
        <w:rPr>
          <w:rFonts w:cs="Times New Roman"/>
        </w:rPr>
        <w:t>本文件起草</w:t>
      </w:r>
      <w:r>
        <w:rPr>
          <w:rFonts w:hint="eastAsia" w:cs="Times New Roman"/>
          <w:lang w:val="en-US" w:eastAsia="zh-CN"/>
        </w:rPr>
        <w:t>人</w:t>
      </w:r>
      <w:r>
        <w:rPr>
          <w:rFonts w:cs="Times New Roman"/>
        </w:rPr>
        <w:t>：</w:t>
      </w:r>
      <w:r>
        <w:rPr>
          <w:rFonts w:hint="eastAsia" w:cs="Times New Roman"/>
          <w:lang w:val="en-US" w:eastAsia="zh-CN"/>
        </w:rPr>
        <w:t>xxx xxx</w:t>
      </w:r>
      <w:r>
        <w:rPr>
          <w:rFonts w:hint="default" w:ascii="Times New Roman" w:hAnsi="Times New Roman" w:cs="Times New Roman"/>
        </w:rPr>
        <w:t>。</w:t>
      </w:r>
    </w:p>
    <w:p w14:paraId="707B876E">
      <w:pPr>
        <w:pStyle w:val="3"/>
        <w:bidi w:val="0"/>
        <w:rPr>
          <w:rFonts w:hint="default" w:ascii="Times New Roman" w:hAnsi="Times New Roman" w:cs="Times New Roman"/>
        </w:rPr>
        <w:sectPr>
          <w:pgSz w:w="11907" w:h="16839"/>
          <w:pgMar w:top="1716" w:right="1054" w:bottom="1340" w:left="1426" w:header="1391" w:footer="1105" w:gutter="0"/>
          <w:cols w:space="720" w:num="1"/>
        </w:sectPr>
      </w:pPr>
    </w:p>
    <w:p w14:paraId="77BF60E6">
      <w:pPr>
        <w:pStyle w:val="3"/>
        <w:keepNext w:val="0"/>
        <w:keepLines w:val="0"/>
        <w:pageBreakBefore w:val="0"/>
        <w:widowControl/>
        <w:kinsoku/>
        <w:wordWrap/>
        <w:overflowPunct/>
        <w:topLinePunct w:val="0"/>
        <w:autoSpaceDE/>
        <w:autoSpaceDN/>
        <w:bidi w:val="0"/>
        <w:adjustRightInd/>
        <w:snapToGrid/>
        <w:spacing w:before="0" w:beforeLines="300" w:after="0" w:afterLines="300" w:line="240" w:lineRule="auto"/>
        <w:ind w:left="0" w:leftChars="0" w:firstLine="0" w:firstLineChars="0"/>
        <w:jc w:val="center"/>
        <w:textAlignment w:val="auto"/>
        <w:rPr>
          <w:rFonts w:hint="default" w:ascii="Times New Roman" w:hAnsi="Times New Roman" w:eastAsia="黑体" w:cs="Times New Roman"/>
          <w:spacing w:val="9"/>
          <w:sz w:val="31"/>
          <w:szCs w:val="31"/>
          <w:lang w:val="en-US" w:eastAsia="zh-CN"/>
        </w:rPr>
      </w:pPr>
      <w:bookmarkStart w:id="14" w:name="bookmark2"/>
      <w:bookmarkEnd w:id="14"/>
      <w:r>
        <w:rPr>
          <w:rFonts w:hint="default" w:ascii="Times New Roman" w:hAnsi="Times New Roman" w:eastAsia="黑体" w:cs="Times New Roman"/>
          <w:spacing w:val="9"/>
          <w:sz w:val="31"/>
          <w:szCs w:val="31"/>
        </w:rPr>
        <w:t xml:space="preserve">碳普惠项目减排量核算技术规范 </w:t>
      </w:r>
      <w:r>
        <w:rPr>
          <w:rFonts w:hint="default" w:ascii="Times New Roman" w:hAnsi="Times New Roman" w:eastAsia="黑体" w:cs="Times New Roman"/>
          <w:spacing w:val="9"/>
          <w:sz w:val="31"/>
          <w:szCs w:val="31"/>
          <w:lang w:val="en-US" w:eastAsia="zh-CN"/>
        </w:rPr>
        <w:t>低碳住宿</w:t>
      </w:r>
    </w:p>
    <w:p w14:paraId="16A7004B">
      <w:pPr>
        <w:pStyle w:val="2"/>
        <w:bidi w:val="0"/>
        <w:rPr>
          <w:rFonts w:hint="default"/>
        </w:rPr>
      </w:pPr>
      <w:bookmarkStart w:id="15" w:name="_Toc354"/>
      <w:bookmarkStart w:id="16" w:name="_Toc17926"/>
      <w:bookmarkStart w:id="17" w:name="_Toc18735"/>
      <w:bookmarkStart w:id="18" w:name="_Toc17481"/>
      <w:bookmarkStart w:id="19" w:name="_Toc24024"/>
      <w:bookmarkStart w:id="20" w:name="_Toc1340"/>
      <w:r>
        <w:rPr>
          <w:rFonts w:hint="default"/>
        </w:rPr>
        <w:t>1  范围</w:t>
      </w:r>
      <w:bookmarkEnd w:id="15"/>
      <w:bookmarkEnd w:id="16"/>
      <w:bookmarkEnd w:id="17"/>
      <w:bookmarkEnd w:id="18"/>
      <w:bookmarkEnd w:id="19"/>
      <w:bookmarkEnd w:id="20"/>
    </w:p>
    <w:p w14:paraId="4D7F905D">
      <w:pPr>
        <w:pStyle w:val="3"/>
        <w:bidi w:val="0"/>
        <w:rPr>
          <w:rFonts w:hint="default" w:ascii="Times New Roman" w:hAnsi="Times New Roman" w:cs="Times New Roman"/>
        </w:rPr>
      </w:pPr>
      <w:r>
        <w:rPr>
          <w:rFonts w:hint="default" w:ascii="Times New Roman" w:hAnsi="Times New Roman" w:cs="Times New Roman"/>
        </w:rPr>
        <w:t>本文件界定了碳普惠项目减排量核算中</w:t>
      </w:r>
      <w:r>
        <w:rPr>
          <w:rFonts w:hint="default" w:ascii="Times New Roman" w:hAnsi="Times New Roman" w:cs="Times New Roman"/>
          <w:lang w:val="en-US" w:eastAsia="zh-CN"/>
        </w:rPr>
        <w:t>低碳住宿</w:t>
      </w:r>
      <w:r>
        <w:rPr>
          <w:rFonts w:hint="default" w:ascii="Times New Roman" w:hAnsi="Times New Roman" w:cs="Times New Roman"/>
        </w:rPr>
        <w:t>的术语与定义，规定了低碳</w:t>
      </w:r>
      <w:r>
        <w:rPr>
          <w:rFonts w:hint="default" w:ascii="Times New Roman" w:hAnsi="Times New Roman" w:cs="Times New Roman"/>
          <w:lang w:val="en-US" w:eastAsia="zh-CN"/>
        </w:rPr>
        <w:t>住宿</w:t>
      </w:r>
      <w:r>
        <w:rPr>
          <w:rFonts w:hint="default" w:ascii="Times New Roman" w:hAnsi="Times New Roman" w:cs="Times New Roman"/>
        </w:rPr>
        <w:t>碳普惠项目的基本要求、温室气体种类、项目边界和计入期、核算方法、数据监测与管理。</w:t>
      </w:r>
    </w:p>
    <w:p w14:paraId="305994C5">
      <w:pPr>
        <w:pStyle w:val="3"/>
        <w:bidi w:val="0"/>
        <w:rPr>
          <w:rFonts w:hint="default" w:ascii="Times New Roman" w:hAnsi="Times New Roman" w:cs="Times New Roman"/>
        </w:rPr>
      </w:pPr>
      <w:r>
        <w:rPr>
          <w:rFonts w:hint="default" w:ascii="Times New Roman" w:hAnsi="Times New Roman" w:cs="Times New Roman"/>
        </w:rPr>
        <w:t>本文件适用于</w:t>
      </w:r>
      <w:r>
        <w:rPr>
          <w:rFonts w:hint="default" w:ascii="Times New Roman" w:hAnsi="Times New Roman" w:cs="Times New Roman"/>
          <w:lang w:val="en-US" w:eastAsia="zh-CN"/>
        </w:rPr>
        <w:t>低碳住宿</w:t>
      </w:r>
      <w:r>
        <w:rPr>
          <w:rFonts w:hint="default" w:ascii="Times New Roman" w:hAnsi="Times New Roman" w:cs="Times New Roman"/>
        </w:rPr>
        <w:t>碳普惠项目的设计、建设和运行。</w:t>
      </w:r>
    </w:p>
    <w:p w14:paraId="45FAC231">
      <w:pPr>
        <w:pStyle w:val="2"/>
        <w:bidi w:val="0"/>
        <w:rPr>
          <w:rFonts w:hint="default"/>
        </w:rPr>
      </w:pPr>
      <w:bookmarkStart w:id="21" w:name="bookmark3"/>
      <w:bookmarkEnd w:id="21"/>
      <w:bookmarkStart w:id="22" w:name="_Toc25956"/>
      <w:bookmarkStart w:id="23" w:name="_Toc10279"/>
      <w:r>
        <w:rPr>
          <w:rFonts w:hint="default"/>
        </w:rPr>
        <w:t>2  规范性引用文件</w:t>
      </w:r>
      <w:bookmarkEnd w:id="22"/>
      <w:bookmarkEnd w:id="23"/>
    </w:p>
    <w:p w14:paraId="73A1B282">
      <w:pPr>
        <w:pStyle w:val="3"/>
        <w:bidi w:val="0"/>
        <w:rPr>
          <w:rFonts w:hint="default" w:ascii="Times New Roman" w:hAnsi="Times New Roman" w:cs="Times New Roman"/>
        </w:rPr>
      </w:pPr>
      <w:bookmarkStart w:id="24" w:name="bookmark4"/>
      <w:bookmarkEnd w:id="24"/>
      <w:r>
        <w:rPr>
          <w:rFonts w:hint="default" w:ascii="Times New Roman" w:hAnsi="Times New Roman" w:cs="Times New Roman"/>
        </w:rPr>
        <w:t>本文件没有规范性引用文件。</w:t>
      </w:r>
    </w:p>
    <w:p w14:paraId="54581F4B">
      <w:pPr>
        <w:pStyle w:val="2"/>
        <w:bidi w:val="0"/>
        <w:rPr>
          <w:rFonts w:hint="default"/>
          <w:lang w:val="en-US" w:eastAsia="zh-CN"/>
        </w:rPr>
      </w:pPr>
      <w:bookmarkStart w:id="25" w:name="bookmark25"/>
      <w:bookmarkEnd w:id="25"/>
      <w:bookmarkStart w:id="26" w:name="_Toc21650"/>
      <w:bookmarkStart w:id="27" w:name="_Toc17184"/>
      <w:r>
        <w:rPr>
          <w:rFonts w:hint="default"/>
        </w:rPr>
        <w:t>3  术语和定义</w:t>
      </w:r>
      <w:bookmarkEnd w:id="26"/>
      <w:bookmarkEnd w:id="27"/>
    </w:p>
    <w:p w14:paraId="519631A1">
      <w:pPr>
        <w:pStyle w:val="3"/>
        <w:bidi w:val="0"/>
        <w:rPr>
          <w:rFonts w:hint="default" w:ascii="Times New Roman" w:hAnsi="Times New Roman" w:cs="Times New Roman"/>
        </w:rPr>
      </w:pPr>
      <w:r>
        <w:rPr>
          <w:rFonts w:hint="default" w:ascii="Times New Roman" w:hAnsi="Times New Roman" w:cs="Times New Roman"/>
        </w:rPr>
        <w:t>下列术语和定义适用于本文件。</w:t>
      </w:r>
    </w:p>
    <w:p w14:paraId="2470702B">
      <w:pPr>
        <w:pStyle w:val="4"/>
        <w:bidi w:val="0"/>
        <w:rPr>
          <w:rFonts w:hint="default" w:ascii="Times New Roman" w:hAnsi="Times New Roman" w:cs="Times New Roman"/>
          <w:sz w:val="21"/>
          <w:szCs w:val="21"/>
        </w:rPr>
      </w:pPr>
      <w:bookmarkStart w:id="28" w:name="_Toc22109"/>
      <w:r>
        <w:rPr>
          <w:rFonts w:hint="default" w:ascii="Times New Roman" w:hAnsi="Times New Roman" w:cs="Times New Roman"/>
          <w:spacing w:val="-2"/>
          <w:sz w:val="21"/>
          <w:szCs w:val="21"/>
        </w:rPr>
        <w:t>3.1</w:t>
      </w:r>
      <w:r>
        <w:rPr>
          <w:rFonts w:hint="default" w:ascii="Times New Roman" w:hAnsi="Times New Roman" w:cs="Times New Roman"/>
          <w:spacing w:val="-2"/>
          <w:sz w:val="21"/>
          <w:szCs w:val="21"/>
          <w:lang w:val="en-US" w:eastAsia="zh-CN"/>
        </w:rPr>
        <w:t xml:space="preserve">  </w:t>
      </w:r>
      <w:r>
        <w:rPr>
          <w:rFonts w:hint="default" w:ascii="Times New Roman" w:hAnsi="Times New Roman" w:cs="Times New Roman"/>
          <w:spacing w:val="-3"/>
          <w:sz w:val="21"/>
          <w:szCs w:val="21"/>
        </w:rPr>
        <w:t>碳普惠  carbon</w:t>
      </w:r>
      <w:r>
        <w:rPr>
          <w:rFonts w:hint="default" w:ascii="Times New Roman" w:hAnsi="Times New Roman" w:cs="Times New Roman"/>
          <w:spacing w:val="53"/>
          <w:sz w:val="21"/>
          <w:szCs w:val="21"/>
        </w:rPr>
        <w:t xml:space="preserve"> </w:t>
      </w:r>
      <w:r>
        <w:rPr>
          <w:rFonts w:hint="default" w:ascii="Times New Roman" w:hAnsi="Times New Roman" w:cs="Times New Roman"/>
          <w:spacing w:val="-3"/>
          <w:sz w:val="21"/>
          <w:szCs w:val="21"/>
        </w:rPr>
        <w:t>inclusion</w:t>
      </w:r>
      <w:bookmarkEnd w:id="28"/>
    </w:p>
    <w:p w14:paraId="6A5ED82C">
      <w:pPr>
        <w:pStyle w:val="3"/>
        <w:bidi w:val="0"/>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碳普惠是通过相关平台收集个人、家庭、社</w:t>
      </w:r>
      <w:r>
        <w:rPr>
          <w:rFonts w:hint="default" w:ascii="Times New Roman" w:hAnsi="Times New Roman" w:eastAsia="宋体" w:cs="Times New Roman"/>
          <w:spacing w:val="-3"/>
          <w:sz w:val="21"/>
          <w:szCs w:val="21"/>
        </w:rPr>
        <w:t>区或企业（单位）的绿色低碳行为活动信息，按照技术</w:t>
      </w:r>
      <w:r>
        <w:rPr>
          <w:rFonts w:hint="default" w:ascii="Times New Roman" w:hAnsi="Times New Roman" w:eastAsia="宋体" w:cs="Times New Roman"/>
          <w:sz w:val="21"/>
          <w:szCs w:val="21"/>
        </w:rPr>
        <w:t>规范核算碳减排量，为绿色低碳生产生活方式赋值的激励机制，鼓励全社会参与自愿减排</w:t>
      </w:r>
      <w:r>
        <w:rPr>
          <w:rFonts w:hint="default" w:ascii="Times New Roman" w:hAnsi="Times New Roman" w:eastAsia="宋体" w:cs="Times New Roman"/>
          <w:spacing w:val="-1"/>
          <w:sz w:val="21"/>
          <w:szCs w:val="21"/>
        </w:rPr>
        <w:t>活动。</w:t>
      </w:r>
    </w:p>
    <w:p w14:paraId="18C495F9">
      <w:pPr>
        <w:pStyle w:val="4"/>
        <w:bidi w:val="0"/>
        <w:rPr>
          <w:rFonts w:hint="default" w:ascii="Times New Roman" w:hAnsi="Times New Roman" w:cs="Times New Roman"/>
          <w:spacing w:val="-3"/>
          <w:sz w:val="21"/>
          <w:szCs w:val="21"/>
          <w:lang w:val="en-US" w:eastAsia="zh-CN"/>
        </w:rPr>
      </w:pPr>
      <w:bookmarkStart w:id="29" w:name="_Toc16425"/>
      <w:r>
        <w:rPr>
          <w:rFonts w:hint="default" w:ascii="Times New Roman" w:hAnsi="Times New Roman" w:cs="Times New Roman"/>
          <w:spacing w:val="-2"/>
          <w:sz w:val="21"/>
          <w:szCs w:val="21"/>
        </w:rPr>
        <w:t>3.2</w:t>
      </w:r>
      <w:r>
        <w:rPr>
          <w:rFonts w:hint="default" w:ascii="Times New Roman" w:hAnsi="Times New Roman" w:cs="Times New Roman"/>
          <w:spacing w:val="-2"/>
          <w:sz w:val="21"/>
          <w:szCs w:val="21"/>
          <w:lang w:val="en-US" w:eastAsia="zh-CN"/>
        </w:rPr>
        <w:t xml:space="preserve">  </w:t>
      </w:r>
      <w:r>
        <w:rPr>
          <w:rFonts w:hint="default" w:ascii="Times New Roman" w:hAnsi="Times New Roman" w:cs="Times New Roman"/>
          <w:spacing w:val="-3"/>
          <w:sz w:val="21"/>
          <w:szCs w:val="21"/>
          <w:lang w:val="en-US" w:eastAsia="zh-CN"/>
        </w:rPr>
        <w:t>温室气体</w:t>
      </w:r>
      <w:r>
        <w:rPr>
          <w:rFonts w:hint="default" w:ascii="Times New Roman" w:hAnsi="Times New Roman" w:cs="Times New Roman"/>
          <w:spacing w:val="-3"/>
          <w:sz w:val="21"/>
          <w:szCs w:val="21"/>
        </w:rPr>
        <w:t xml:space="preserve">  </w:t>
      </w:r>
      <w:r>
        <w:rPr>
          <w:rFonts w:hint="default" w:ascii="Times New Roman" w:hAnsi="Times New Roman" w:cs="Times New Roman"/>
          <w:spacing w:val="-3"/>
          <w:sz w:val="21"/>
          <w:szCs w:val="21"/>
          <w:lang w:val="en-US" w:eastAsia="zh-CN"/>
        </w:rPr>
        <w:t>greenhouse gas</w:t>
      </w:r>
      <w:bookmarkEnd w:id="29"/>
    </w:p>
    <w:p w14:paraId="72052636">
      <w:pPr>
        <w:pStyle w:val="3"/>
        <w:bidi w:val="0"/>
        <w:rPr>
          <w:rFonts w:hint="default" w:ascii="Times New Roman" w:hAnsi="Times New Roman" w:cs="Times New Roman"/>
        </w:rPr>
      </w:pPr>
      <w:r>
        <w:rPr>
          <w:rFonts w:hint="default" w:ascii="Times New Roman" w:hAnsi="Times New Roman" w:cs="Times New Roman"/>
        </w:rPr>
        <w:t>大气层中自然存在的由于人类活动产生的，能够吸收和散发由地球表面、大气层和云层所产生的、波长在红外光谱内的辐射的气态成分。</w:t>
      </w:r>
    </w:p>
    <w:p w14:paraId="59918E7A">
      <w:pPr>
        <w:pStyle w:val="4"/>
        <w:bidi w:val="0"/>
        <w:rPr>
          <w:rFonts w:hint="default" w:ascii="Times New Roman" w:hAnsi="Times New Roman" w:cs="Times New Roman"/>
          <w:lang w:val="en-US" w:eastAsia="zh-CN"/>
        </w:rPr>
      </w:pPr>
      <w:bookmarkStart w:id="30" w:name="_Toc23976"/>
      <w:r>
        <w:rPr>
          <w:rFonts w:hint="default" w:ascii="Times New Roman" w:hAnsi="Times New Roman" w:cs="Times New Roman"/>
          <w:lang w:val="en-US" w:eastAsia="zh-CN"/>
        </w:rPr>
        <w:t>3.3  项目开发方  qualified project developer</w:t>
      </w:r>
      <w:bookmarkEnd w:id="30"/>
    </w:p>
    <w:p w14:paraId="5BB85394">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利用大数据平台、数据聚集系统等技术手段对低碳住宿的数据进行监测、收集和处理，对注册参与碳普惠项目的用户给予激励，并组织碳普惠项目设计和开发的企事业单位或其他组织。</w:t>
      </w:r>
    </w:p>
    <w:p w14:paraId="68E8DA33">
      <w:pPr>
        <w:pStyle w:val="4"/>
        <w:bidi w:val="0"/>
        <w:rPr>
          <w:rFonts w:hint="default" w:ascii="Times New Roman" w:hAnsi="Times New Roman" w:cs="Times New Roman"/>
          <w:lang w:val="en-US" w:eastAsia="zh-CN"/>
        </w:rPr>
      </w:pPr>
      <w:bookmarkStart w:id="31" w:name="_Toc15157"/>
      <w:r>
        <w:rPr>
          <w:rFonts w:hint="default" w:ascii="Times New Roman" w:hAnsi="Times New Roman" w:cs="Times New Roman"/>
        </w:rPr>
        <w:t>3.</w:t>
      </w:r>
      <w:r>
        <w:rPr>
          <w:rFonts w:hint="default" w:ascii="Times New Roman" w:hAnsi="Times New Roman" w:cs="Times New Roman"/>
          <w:lang w:val="en-US" w:eastAsia="zh-CN"/>
        </w:rPr>
        <w:t>4  酒店</w:t>
      </w:r>
      <w:r>
        <w:rPr>
          <w:rFonts w:hint="default" w:ascii="Times New Roman" w:hAnsi="Times New Roman" w:cs="Times New Roman"/>
        </w:rPr>
        <w:t xml:space="preserve">  </w:t>
      </w:r>
      <w:r>
        <w:rPr>
          <w:rFonts w:hint="default" w:ascii="Times New Roman" w:hAnsi="Times New Roman" w:cs="Times New Roman"/>
          <w:lang w:val="en-US" w:eastAsia="zh-CN"/>
        </w:rPr>
        <w:t>hotel</w:t>
      </w:r>
      <w:bookmarkEnd w:id="31"/>
    </w:p>
    <w:p w14:paraId="301A69C7">
      <w:pPr>
        <w:pStyle w:val="3"/>
        <w:bidi w:val="0"/>
        <w:rPr>
          <w:rFonts w:hint="default" w:ascii="Times New Roman" w:hAnsi="Times New Roman" w:cs="Times New Roman"/>
        </w:rPr>
      </w:pPr>
      <w:r>
        <w:rPr>
          <w:rFonts w:hint="default" w:ascii="Times New Roman" w:hAnsi="Times New Roman" w:cs="Times New Roman"/>
        </w:rPr>
        <w:t>为公众提供短期住宿与综合服务的商业设施，以标准化运营为核心。其服务涵盖客房、餐饮、会议等，并可根据定位（</w:t>
      </w:r>
      <w:r>
        <w:rPr>
          <w:rFonts w:hint="default" w:ascii="Times New Roman" w:hAnsi="Times New Roman" w:cs="Times New Roman"/>
          <w:lang w:val="en-US" w:eastAsia="zh-CN"/>
        </w:rPr>
        <w:t>一星至五星</w:t>
      </w:r>
      <w:r>
        <w:rPr>
          <w:rFonts w:hint="default" w:ascii="Times New Roman" w:hAnsi="Times New Roman" w:cs="Times New Roman"/>
        </w:rPr>
        <w:t>）提供不同等级的舒适度、私密性与专业接待。</w:t>
      </w:r>
    </w:p>
    <w:p w14:paraId="0E577DA1">
      <w:pPr>
        <w:pStyle w:val="4"/>
        <w:bidi w:val="0"/>
        <w:rPr>
          <w:rFonts w:hint="default" w:ascii="Times New Roman" w:hAnsi="Times New Roman" w:cs="Times New Roman"/>
          <w:lang w:val="en-US" w:eastAsia="zh-CN"/>
        </w:rPr>
      </w:pPr>
      <w:bookmarkStart w:id="32" w:name="_Toc27744"/>
      <w:r>
        <w:rPr>
          <w:rFonts w:hint="default" w:ascii="Times New Roman" w:hAnsi="Times New Roman" w:cs="Times New Roman"/>
        </w:rPr>
        <w:t>3.</w:t>
      </w:r>
      <w:r>
        <w:rPr>
          <w:rFonts w:hint="default" w:ascii="Times New Roman" w:hAnsi="Times New Roman" w:cs="Times New Roman"/>
          <w:lang w:val="en-US" w:eastAsia="zh-CN"/>
        </w:rPr>
        <w:t>5  一次性用品  single-use products</w:t>
      </w:r>
      <w:bookmarkEnd w:id="32"/>
    </w:p>
    <w:p w14:paraId="738A8470">
      <w:pPr>
        <w:pStyle w:val="3"/>
        <w:bidi w:val="0"/>
        <w:rPr>
          <w:rFonts w:hint="default" w:ascii="Times New Roman" w:hAnsi="Times New Roman" w:cs="Times New Roman"/>
        </w:rPr>
      </w:pPr>
      <w:r>
        <w:rPr>
          <w:rFonts w:hint="default" w:ascii="Times New Roman" w:hAnsi="Times New Roman" w:cs="Times New Roman"/>
          <w:lang w:val="en-US" w:eastAsia="zh-CN"/>
        </w:rPr>
        <w:t>这里的一次性用品指酒店与民宿为</w:t>
      </w:r>
      <w:r>
        <w:rPr>
          <w:rFonts w:hint="default" w:ascii="Times New Roman" w:hAnsi="Times New Roman" w:cs="Times New Roman"/>
        </w:rPr>
        <w:t>住客提供便利和卫生保障的低值易耗品，包括牙刷、洗浴液等</w:t>
      </w:r>
      <w:r>
        <w:rPr>
          <w:rFonts w:hint="eastAsia" w:cs="Times New Roman"/>
          <w:lang w:eastAsia="zh-CN"/>
        </w:rPr>
        <w:t>“</w:t>
      </w:r>
      <w:r>
        <w:rPr>
          <w:rFonts w:hint="default" w:ascii="Times New Roman" w:hAnsi="Times New Roman" w:cs="Times New Roman"/>
        </w:rPr>
        <w:t>六小件</w:t>
      </w:r>
      <w:r>
        <w:rPr>
          <w:rFonts w:hint="eastAsia" w:cs="Times New Roman"/>
          <w:lang w:eastAsia="zh-CN"/>
        </w:rPr>
        <w:t>”</w:t>
      </w:r>
      <w:r>
        <w:rPr>
          <w:rFonts w:hint="default" w:ascii="Times New Roman" w:hAnsi="Times New Roman" w:cs="Times New Roman"/>
          <w:lang w:val="en-US" w:eastAsia="zh-CN"/>
        </w:rPr>
        <w:t>以及一次性拖鞋等产品，</w:t>
      </w:r>
      <w:r>
        <w:rPr>
          <w:rFonts w:hint="default" w:ascii="Times New Roman" w:hAnsi="Times New Roman" w:cs="Times New Roman"/>
        </w:rPr>
        <w:t>当前趋势是减少主动提供，推动环保减量，并提升用品品质。</w:t>
      </w:r>
    </w:p>
    <w:p w14:paraId="190265D7">
      <w:pPr>
        <w:pStyle w:val="4"/>
        <w:bidi w:val="0"/>
        <w:rPr>
          <w:rFonts w:hint="default" w:ascii="Times New Roman" w:hAnsi="Times New Roman" w:cs="Times New Roman"/>
          <w:lang w:val="en-US" w:eastAsia="zh-CN"/>
        </w:rPr>
      </w:pPr>
      <w:bookmarkStart w:id="33" w:name="_Toc30619"/>
      <w:r>
        <w:rPr>
          <w:rFonts w:hint="default" w:ascii="Times New Roman" w:hAnsi="Times New Roman" w:cs="Times New Roman"/>
        </w:rPr>
        <w:t>3.</w:t>
      </w:r>
      <w:r>
        <w:rPr>
          <w:rFonts w:hint="default" w:ascii="Times New Roman" w:hAnsi="Times New Roman" w:cs="Times New Roman"/>
          <w:lang w:val="en-US" w:eastAsia="zh-CN"/>
        </w:rPr>
        <w:t>6  床品  bedding</w:t>
      </w:r>
      <w:bookmarkEnd w:id="33"/>
    </w:p>
    <w:p w14:paraId="6669B899">
      <w:pPr>
        <w:pStyle w:val="3"/>
        <w:bidi w:val="0"/>
        <w:rPr>
          <w:rFonts w:hint="default" w:ascii="Times New Roman" w:hAnsi="Times New Roman" w:cs="Times New Roman"/>
        </w:rPr>
      </w:pPr>
      <w:r>
        <w:rPr>
          <w:rFonts w:hint="default" w:ascii="Times New Roman" w:hAnsi="Times New Roman" w:cs="Times New Roman"/>
        </w:rPr>
        <w:t>指酒店与民宿为保障住客睡眠舒适与卫生所提供的床上纺织品，如床单、被套、枕套等。</w:t>
      </w:r>
    </w:p>
    <w:p w14:paraId="4760EA31">
      <w:pPr>
        <w:pStyle w:val="2"/>
        <w:bidi w:val="0"/>
        <w:rPr>
          <w:rFonts w:hint="default"/>
        </w:rPr>
      </w:pPr>
      <w:bookmarkStart w:id="34" w:name="bookmark5"/>
      <w:bookmarkEnd w:id="34"/>
      <w:bookmarkStart w:id="35" w:name="_Toc26680"/>
      <w:bookmarkStart w:id="36" w:name="_Toc17701"/>
      <w:r>
        <w:rPr>
          <w:rFonts w:hint="default"/>
        </w:rPr>
        <w:t>4  基本要求</w:t>
      </w:r>
      <w:bookmarkEnd w:id="35"/>
      <w:bookmarkEnd w:id="36"/>
    </w:p>
    <w:p w14:paraId="3FE05611">
      <w:pPr>
        <w:pStyle w:val="4"/>
        <w:bidi w:val="0"/>
        <w:rPr>
          <w:rFonts w:hint="default" w:ascii="Times New Roman" w:hAnsi="Times New Roman" w:cs="Times New Roman"/>
          <w:lang w:val="en-US" w:eastAsia="zh-CN"/>
        </w:rPr>
      </w:pPr>
      <w:bookmarkStart w:id="37" w:name="bookmark26"/>
      <w:bookmarkEnd w:id="37"/>
      <w:bookmarkStart w:id="38" w:name="_Toc27781"/>
      <w:r>
        <w:rPr>
          <w:rFonts w:hint="default" w:ascii="Times New Roman" w:hAnsi="Times New Roman" w:cs="Times New Roman"/>
          <w:lang w:val="en-US" w:eastAsia="zh-CN"/>
        </w:rPr>
        <w:t>4.1  唯一性</w:t>
      </w:r>
      <w:bookmarkEnd w:id="38"/>
    </w:p>
    <w:p w14:paraId="1083AF5A">
      <w:pPr>
        <w:pStyle w:val="3"/>
        <w:bidi w:val="0"/>
        <w:rPr>
          <w:rFonts w:hint="default" w:ascii="Times New Roman" w:hAnsi="Times New Roman" w:cs="Times New Roman"/>
        </w:rPr>
      </w:pPr>
      <w:r>
        <w:rPr>
          <w:rFonts w:hint="default" w:ascii="Times New Roman" w:hAnsi="Times New Roman" w:cs="Times New Roman"/>
        </w:rPr>
        <w:t>项目开发方</w:t>
      </w:r>
      <w:r>
        <w:rPr>
          <w:rFonts w:hint="default" w:ascii="Times New Roman" w:hAnsi="Times New Roman" w:cs="Times New Roman"/>
          <w:lang w:val="en-US" w:eastAsia="zh-CN"/>
        </w:rPr>
        <w:t>作为项目申报主体，应对参与低碳住宿活动的消费者入住信息进行唯一性核验。同一消费者在同一入住周期内的低碳行为产生的减排量，不得重复计算；且该项目及产生的减排量不得在国家核证自愿减排量（CCER）及其他省级碳普惠机制中重复申报，确保减排量来源唯一、权属清晰。</w:t>
      </w:r>
    </w:p>
    <w:p w14:paraId="5007E9DD">
      <w:pPr>
        <w:pStyle w:val="4"/>
        <w:bidi w:val="0"/>
        <w:rPr>
          <w:rFonts w:hint="default" w:ascii="Times New Roman" w:hAnsi="Times New Roman" w:cs="Times New Roman"/>
          <w:lang w:val="en-US" w:eastAsia="zh-CN"/>
        </w:rPr>
      </w:pPr>
      <w:bookmarkStart w:id="39" w:name="_Toc27997"/>
      <w:r>
        <w:rPr>
          <w:rFonts w:hint="default" w:ascii="Times New Roman" w:hAnsi="Times New Roman" w:cs="Times New Roman"/>
          <w:lang w:val="en-US" w:eastAsia="zh-CN"/>
        </w:rPr>
        <w:t>4.2  准确性</w:t>
      </w:r>
      <w:bookmarkEnd w:id="39"/>
    </w:p>
    <w:p w14:paraId="06040502">
      <w:pPr>
        <w:pStyle w:val="3"/>
        <w:bidi w:val="0"/>
        <w:rPr>
          <w:rFonts w:hint="default" w:ascii="Times New Roman" w:hAnsi="Times New Roman" w:cs="Times New Roman"/>
        </w:rPr>
      </w:pPr>
      <w:r>
        <w:rPr>
          <w:rFonts w:hint="default" w:ascii="Times New Roman" w:hAnsi="Times New Roman" w:cs="Times New Roman"/>
          <w:lang w:val="en-US" w:eastAsia="zh-CN"/>
        </w:rPr>
        <w:t>申报主体应建立完善的能耗与物耗监测台账，详细记录参与项目的客房减少床品更换的次数与一次性用品的消耗量。相关数据应做到实时采集、完整记录、真实可查，确保减排量核算结果准确可靠。</w:t>
      </w:r>
    </w:p>
    <w:p w14:paraId="56A6E4E3">
      <w:pPr>
        <w:pStyle w:val="4"/>
        <w:bidi w:val="0"/>
        <w:rPr>
          <w:rFonts w:hint="default" w:ascii="Times New Roman" w:hAnsi="Times New Roman" w:cs="Times New Roman"/>
          <w:lang w:val="en-US" w:eastAsia="zh-CN"/>
        </w:rPr>
      </w:pPr>
      <w:bookmarkStart w:id="40" w:name="_Toc20763"/>
      <w:r>
        <w:rPr>
          <w:rFonts w:hint="default" w:ascii="Times New Roman" w:hAnsi="Times New Roman" w:cs="Times New Roman"/>
          <w:lang w:val="en-US" w:eastAsia="zh-CN"/>
        </w:rPr>
        <w:t>4.3  保守性</w:t>
      </w:r>
      <w:bookmarkEnd w:id="40"/>
    </w:p>
    <w:p w14:paraId="5C44B4CF">
      <w:pPr>
        <w:pStyle w:val="3"/>
        <w:bidi w:val="0"/>
        <w:rPr>
          <w:rFonts w:hint="default" w:ascii="Times New Roman" w:hAnsi="Times New Roman" w:cs="Times New Roman"/>
        </w:rPr>
      </w:pPr>
      <w:r>
        <w:rPr>
          <w:rFonts w:hint="default" w:ascii="Times New Roman" w:hAnsi="Times New Roman" w:cs="Times New Roman"/>
          <w:lang w:val="en-US" w:eastAsia="zh-CN"/>
        </w:rPr>
        <w:t>申报主体在进行低碳住宿项目减排量核算时，应遵循保守性原则。在选取参数和估算排放量时，应优先采用对减排量无高估的数值，确保核算出的碳普惠减排量真实、可信，且不低于实际产生的减排效益。</w:t>
      </w:r>
    </w:p>
    <w:p w14:paraId="27724D82">
      <w:pPr>
        <w:pStyle w:val="4"/>
        <w:bidi w:val="0"/>
        <w:rPr>
          <w:rFonts w:hint="default" w:ascii="Times New Roman" w:hAnsi="Times New Roman" w:cs="Times New Roman"/>
          <w:lang w:val="en-US" w:eastAsia="zh-CN"/>
        </w:rPr>
      </w:pPr>
      <w:bookmarkStart w:id="41" w:name="_Toc20867"/>
      <w:r>
        <w:rPr>
          <w:rFonts w:hint="default" w:ascii="Times New Roman" w:hAnsi="Times New Roman" w:cs="Times New Roman"/>
          <w:lang w:val="en-US" w:eastAsia="zh-CN"/>
        </w:rPr>
        <w:t>4.4  安全性</w:t>
      </w:r>
      <w:bookmarkEnd w:id="41"/>
    </w:p>
    <w:p w14:paraId="053F5296">
      <w:pPr>
        <w:pStyle w:val="3"/>
        <w:bidi w:val="0"/>
        <w:rPr>
          <w:rFonts w:hint="default" w:ascii="Times New Roman" w:hAnsi="Times New Roman" w:cs="Times New Roman"/>
        </w:rPr>
      </w:pPr>
      <w:r>
        <w:rPr>
          <w:rFonts w:hint="default" w:ascii="Times New Roman" w:hAnsi="Times New Roman" w:cs="Times New Roman"/>
          <w:lang w:val="en-US" w:eastAsia="zh-CN"/>
        </w:rPr>
        <w:t>申报主体在开展低碳住宿碳普惠活动过程中，应严格遵守</w:t>
      </w:r>
      <w:r>
        <w:rPr>
          <w:rFonts w:hint="eastAsia" w:cs="Times New Roman"/>
          <w:lang w:val="en-US" w:eastAsia="zh-CN"/>
        </w:rPr>
        <w:t>国家</w:t>
      </w:r>
      <w:r>
        <w:rPr>
          <w:rFonts w:hint="default" w:ascii="Times New Roman" w:hAnsi="Times New Roman" w:cs="Times New Roman"/>
          <w:lang w:val="en-US" w:eastAsia="zh-CN"/>
        </w:rPr>
        <w:t>有关数据安全与隐私保护的法律法规。对于消费者的入住信息、行为偏好及个人隐私数据，应采取加密存储、权限管控等必要的管理和技术措施，防止数据泄露、篡改或丢失，保障用户信息安全。</w:t>
      </w:r>
    </w:p>
    <w:p w14:paraId="0ACB22DE">
      <w:pPr>
        <w:pStyle w:val="2"/>
        <w:bidi w:val="0"/>
        <w:rPr>
          <w:rFonts w:hint="default"/>
        </w:rPr>
      </w:pPr>
      <w:bookmarkStart w:id="42" w:name="bookmark27"/>
      <w:bookmarkEnd w:id="42"/>
      <w:bookmarkStart w:id="43" w:name="_Toc29206"/>
      <w:bookmarkStart w:id="44" w:name="_Toc11230"/>
      <w:r>
        <w:rPr>
          <w:rFonts w:hint="default"/>
        </w:rPr>
        <w:t>5  温室气体种类、项目边界和计入期</w:t>
      </w:r>
      <w:bookmarkEnd w:id="43"/>
      <w:bookmarkEnd w:id="44"/>
    </w:p>
    <w:p w14:paraId="6FD23F10">
      <w:pPr>
        <w:pStyle w:val="4"/>
        <w:bidi w:val="0"/>
        <w:rPr>
          <w:rFonts w:hint="default" w:ascii="Times New Roman" w:hAnsi="Times New Roman" w:cs="Times New Roman"/>
        </w:rPr>
      </w:pPr>
      <w:bookmarkStart w:id="45" w:name="_Toc31977"/>
      <w:r>
        <w:rPr>
          <w:rFonts w:hint="default" w:ascii="Times New Roman" w:hAnsi="Times New Roman" w:cs="Times New Roman"/>
        </w:rPr>
        <w:t>5.1  温室气体种类</w:t>
      </w:r>
      <w:bookmarkEnd w:id="45"/>
    </w:p>
    <w:p w14:paraId="137CC1AA">
      <w:pPr>
        <w:pStyle w:val="3"/>
        <w:bidi w:val="0"/>
        <w:rPr>
          <w:rFonts w:hint="default" w:ascii="Times New Roman" w:hAnsi="Times New Roman" w:cs="Times New Roman"/>
          <w:lang w:eastAsia="zh-CN"/>
        </w:rPr>
      </w:pPr>
      <w:r>
        <w:rPr>
          <w:rFonts w:hint="default" w:ascii="Times New Roman" w:hAnsi="Times New Roman" w:cs="Times New Roman"/>
          <w:lang w:eastAsia="zh-CN"/>
        </w:rPr>
        <w:t>本文件中的温室气体仅指二氧化碳。</w:t>
      </w:r>
    </w:p>
    <w:p w14:paraId="45B11098">
      <w:pPr>
        <w:pStyle w:val="4"/>
        <w:bidi w:val="0"/>
        <w:rPr>
          <w:rFonts w:hint="default" w:ascii="Times New Roman" w:hAnsi="Times New Roman" w:cs="Times New Roman"/>
        </w:rPr>
      </w:pPr>
      <w:bookmarkStart w:id="46" w:name="_Toc24826"/>
      <w:r>
        <w:rPr>
          <w:rFonts w:hint="default" w:ascii="Times New Roman" w:hAnsi="Times New Roman" w:cs="Times New Roman"/>
        </w:rPr>
        <w:t>5.2  项目边界</w:t>
      </w:r>
      <w:bookmarkEnd w:id="46"/>
    </w:p>
    <w:p w14:paraId="78F30A80">
      <w:pPr>
        <w:pStyle w:val="3"/>
        <w:bidi w:val="0"/>
        <w:rPr>
          <w:rFonts w:hint="default" w:ascii="Times New Roman" w:hAnsi="Times New Roman" w:cs="Times New Roman"/>
          <w:lang w:eastAsia="zh-CN"/>
        </w:rPr>
      </w:pPr>
      <w:r>
        <w:rPr>
          <w:rFonts w:hint="default" w:ascii="Times New Roman" w:hAnsi="Times New Roman" w:cs="Times New Roman"/>
          <w:lang w:eastAsia="zh-CN"/>
        </w:rPr>
        <w:t>项目开发方记录的所有</w:t>
      </w:r>
      <w:r>
        <w:rPr>
          <w:rFonts w:hint="default" w:ascii="Times New Roman" w:hAnsi="Times New Roman" w:cs="Times New Roman"/>
          <w:lang w:val="en-US" w:eastAsia="zh-CN"/>
        </w:rPr>
        <w:t>参与</w:t>
      </w:r>
      <w:r>
        <w:rPr>
          <w:rFonts w:hint="default" w:ascii="Times New Roman" w:hAnsi="Times New Roman" w:cs="Times New Roman"/>
          <w:lang w:eastAsia="zh-CN"/>
        </w:rPr>
        <w:t>低碳住宿活动的消费者行为，其地理边界为</w:t>
      </w:r>
      <w:r>
        <w:rPr>
          <w:rFonts w:hint="eastAsia" w:cs="Times New Roman"/>
          <w:lang w:val="en-US" w:eastAsia="zh-CN"/>
        </w:rPr>
        <w:t>长岛综合试验区</w:t>
      </w:r>
      <w:r>
        <w:rPr>
          <w:rFonts w:hint="default" w:ascii="Times New Roman" w:hAnsi="Times New Roman" w:cs="Times New Roman"/>
          <w:lang w:eastAsia="zh-CN"/>
        </w:rPr>
        <w:t>行政区域范围内。</w:t>
      </w:r>
    </w:p>
    <w:p w14:paraId="5F813B23">
      <w:pPr>
        <w:pStyle w:val="4"/>
        <w:bidi w:val="0"/>
        <w:rPr>
          <w:rFonts w:hint="default" w:ascii="Times New Roman" w:hAnsi="Times New Roman" w:cs="Times New Roman"/>
        </w:rPr>
      </w:pPr>
      <w:bookmarkStart w:id="47" w:name="_Toc2203"/>
      <w:r>
        <w:rPr>
          <w:rFonts w:hint="default" w:ascii="Times New Roman" w:hAnsi="Times New Roman" w:cs="Times New Roman"/>
        </w:rPr>
        <w:t>5.3  项目计入期</w:t>
      </w:r>
      <w:bookmarkEnd w:id="47"/>
    </w:p>
    <w:p w14:paraId="69DB66BF">
      <w:pPr>
        <w:pStyle w:val="3"/>
        <w:bidi w:val="0"/>
        <w:rPr>
          <w:rFonts w:hint="default" w:ascii="Times New Roman" w:hAnsi="Times New Roman" w:cs="Times New Roman"/>
          <w:lang w:eastAsia="zh-CN"/>
        </w:rPr>
      </w:pPr>
      <w:r>
        <w:rPr>
          <w:rFonts w:hint="default" w:ascii="Times New Roman" w:hAnsi="Times New Roman" w:cs="Times New Roman"/>
          <w:lang w:eastAsia="zh-CN"/>
        </w:rPr>
        <w:t>项目计入期为可申请碳普惠项目减排量登记的时间期限，从项目申请登记的减排量产生时间开始，</w:t>
      </w:r>
      <w:bookmarkStart w:id="48" w:name="bookmark7"/>
      <w:bookmarkEnd w:id="48"/>
      <w:r>
        <w:rPr>
          <w:rFonts w:hint="default" w:ascii="Times New Roman" w:hAnsi="Times New Roman" w:cs="Times New Roman"/>
          <w:lang w:eastAsia="zh-CN"/>
        </w:rPr>
        <w:t>单个项目计入期不超过三年，计入期可更新。</w:t>
      </w:r>
    </w:p>
    <w:p w14:paraId="5F1ED0CE">
      <w:pPr>
        <w:pStyle w:val="2"/>
        <w:bidi w:val="0"/>
        <w:rPr>
          <w:rFonts w:hint="default"/>
        </w:rPr>
      </w:pPr>
      <w:bookmarkStart w:id="49" w:name="bookmark28"/>
      <w:bookmarkEnd w:id="49"/>
      <w:bookmarkStart w:id="50" w:name="_Toc12782"/>
      <w:bookmarkStart w:id="51" w:name="_Toc18766"/>
      <w:r>
        <w:rPr>
          <w:rFonts w:hint="default"/>
        </w:rPr>
        <w:t>6  核算方法</w:t>
      </w:r>
      <w:bookmarkEnd w:id="50"/>
      <w:bookmarkEnd w:id="51"/>
    </w:p>
    <w:p w14:paraId="5E36EDE3">
      <w:pPr>
        <w:pStyle w:val="4"/>
        <w:bidi w:val="0"/>
        <w:rPr>
          <w:rFonts w:hint="default" w:ascii="Times New Roman" w:hAnsi="Times New Roman" w:cs="Times New Roman"/>
        </w:rPr>
      </w:pPr>
      <w:bookmarkStart w:id="52" w:name="_Toc16962"/>
      <w:r>
        <w:rPr>
          <w:rFonts w:hint="default" w:ascii="Times New Roman" w:hAnsi="Times New Roman" w:cs="Times New Roman"/>
        </w:rPr>
        <w:t>6.1  基准线情景</w:t>
      </w:r>
      <w:bookmarkEnd w:id="52"/>
    </w:p>
    <w:p w14:paraId="2691F363">
      <w:pPr>
        <w:pStyle w:val="3"/>
        <w:bidi w:val="0"/>
        <w:rPr>
          <w:rFonts w:hint="default" w:ascii="Times New Roman" w:hAnsi="Times New Roman" w:eastAsia="宋体" w:cs="Times New Roman"/>
          <w:spacing w:val="-2"/>
          <w:sz w:val="21"/>
          <w:szCs w:val="21"/>
        </w:rPr>
      </w:pPr>
      <w:r>
        <w:rPr>
          <w:rFonts w:hint="default" w:ascii="Times New Roman" w:hAnsi="Times New Roman" w:eastAsia="宋体" w:cs="Times New Roman"/>
          <w:spacing w:val="-2"/>
          <w:sz w:val="21"/>
          <w:szCs w:val="21"/>
        </w:rPr>
        <w:t>本文件规定的低碳</w:t>
      </w:r>
      <w:r>
        <w:rPr>
          <w:rFonts w:hint="default" w:ascii="Times New Roman" w:hAnsi="Times New Roman" w:cs="Times New Roman"/>
          <w:spacing w:val="-2"/>
          <w:sz w:val="21"/>
          <w:szCs w:val="21"/>
          <w:lang w:val="en-US" w:eastAsia="zh-CN"/>
        </w:rPr>
        <w:t>住宿</w:t>
      </w:r>
      <w:r>
        <w:rPr>
          <w:rFonts w:hint="default" w:ascii="Times New Roman" w:hAnsi="Times New Roman" w:eastAsia="宋体" w:cs="Times New Roman"/>
          <w:spacing w:val="-2"/>
          <w:sz w:val="21"/>
          <w:szCs w:val="21"/>
        </w:rPr>
        <w:t>碳普惠项目</w:t>
      </w:r>
      <w:r>
        <w:rPr>
          <w:rFonts w:hint="default" w:ascii="Times New Roman" w:hAnsi="Times New Roman" w:cs="Times New Roman"/>
          <w:spacing w:val="-2"/>
          <w:sz w:val="21"/>
          <w:szCs w:val="21"/>
          <w:lang w:val="en-US" w:eastAsia="zh-CN"/>
        </w:rPr>
        <w:t>两个</w:t>
      </w:r>
      <w:r>
        <w:rPr>
          <w:rFonts w:hint="default" w:ascii="Times New Roman" w:hAnsi="Times New Roman" w:eastAsia="宋体" w:cs="Times New Roman"/>
          <w:spacing w:val="-2"/>
          <w:sz w:val="21"/>
          <w:szCs w:val="21"/>
        </w:rPr>
        <w:t>基准线情景为：</w:t>
      </w:r>
      <w:r>
        <w:rPr>
          <w:rFonts w:hint="default" w:ascii="Times New Roman" w:hAnsi="Times New Roman" w:cs="Times New Roman"/>
          <w:spacing w:val="-2"/>
          <w:sz w:val="21"/>
          <w:szCs w:val="21"/>
          <w:lang w:val="en-US" w:eastAsia="zh-CN"/>
        </w:rPr>
        <w:t>基准线情景一是</w:t>
      </w:r>
      <w:r>
        <w:rPr>
          <w:rFonts w:hint="default" w:ascii="Times New Roman" w:hAnsi="Times New Roman" w:eastAsia="宋体" w:cs="Times New Roman"/>
          <w:spacing w:val="-2"/>
          <w:sz w:val="21"/>
          <w:szCs w:val="21"/>
        </w:rPr>
        <w:t>三、四、五星级</w:t>
      </w:r>
      <w:r>
        <w:rPr>
          <w:rFonts w:hint="default" w:ascii="Times New Roman" w:hAnsi="Times New Roman" w:eastAsia="宋体" w:cs="Times New Roman"/>
          <w:spacing w:val="-2"/>
          <w:sz w:val="21"/>
          <w:szCs w:val="21"/>
          <w:lang w:val="en-US" w:eastAsia="zh-CN"/>
        </w:rPr>
        <w:t>酒</w:t>
      </w:r>
      <w:r>
        <w:rPr>
          <w:rFonts w:hint="default" w:ascii="Times New Roman" w:hAnsi="Times New Roman" w:eastAsia="宋体" w:cs="Times New Roman"/>
          <w:spacing w:val="-2"/>
          <w:sz w:val="21"/>
          <w:szCs w:val="21"/>
        </w:rPr>
        <w:t>店在维持现有建筑能效水平及常规运营模式下，其</w:t>
      </w:r>
      <w:r>
        <w:rPr>
          <w:rFonts w:hint="default" w:ascii="Times New Roman" w:hAnsi="Times New Roman" w:eastAsia="宋体" w:cs="Times New Roman"/>
          <w:spacing w:val="-2"/>
          <w:sz w:val="21"/>
          <w:szCs w:val="21"/>
          <w:lang w:val="en-US" w:eastAsia="zh-CN"/>
        </w:rPr>
        <w:t>物理空间</w:t>
      </w:r>
      <w:r>
        <w:rPr>
          <w:rFonts w:hint="default" w:ascii="Times New Roman" w:hAnsi="Times New Roman" w:eastAsia="宋体" w:cs="Times New Roman"/>
          <w:spacing w:val="-2"/>
          <w:sz w:val="21"/>
          <w:szCs w:val="21"/>
        </w:rPr>
        <w:t>产生的综合碳排放</w:t>
      </w:r>
      <w:r>
        <w:rPr>
          <w:rFonts w:hint="default" w:ascii="Times New Roman" w:hAnsi="Times New Roman" w:cs="Times New Roman"/>
          <w:spacing w:val="-2"/>
          <w:sz w:val="21"/>
          <w:szCs w:val="21"/>
          <w:lang w:eastAsia="zh-CN"/>
        </w:rPr>
        <w:t>，</w:t>
      </w:r>
      <w:r>
        <w:rPr>
          <w:rFonts w:hint="default" w:ascii="Times New Roman" w:hAnsi="Times New Roman" w:cs="Times New Roman"/>
          <w:spacing w:val="-2"/>
          <w:sz w:val="21"/>
          <w:szCs w:val="21"/>
          <w:lang w:val="en-US" w:eastAsia="zh-CN"/>
        </w:rPr>
        <w:t>基准线情景二是为消费者</w:t>
      </w:r>
      <w:r>
        <w:rPr>
          <w:rFonts w:hint="default" w:ascii="Times New Roman" w:hAnsi="Times New Roman" w:eastAsia="宋体" w:cs="Times New Roman"/>
          <w:spacing w:val="-2"/>
          <w:sz w:val="21"/>
          <w:szCs w:val="21"/>
        </w:rPr>
        <w:t>提供</w:t>
      </w:r>
      <w:r>
        <w:rPr>
          <w:rFonts w:hint="default" w:ascii="Times New Roman" w:hAnsi="Times New Roman" w:eastAsia="宋体" w:cs="Times New Roman"/>
          <w:spacing w:val="-2"/>
          <w:sz w:val="21"/>
          <w:szCs w:val="21"/>
          <w:lang w:val="en-US" w:eastAsia="zh-CN"/>
        </w:rPr>
        <w:t>常规</w:t>
      </w:r>
      <w:r>
        <w:rPr>
          <w:rFonts w:hint="default" w:ascii="Times New Roman" w:hAnsi="Times New Roman" w:eastAsia="宋体" w:cs="Times New Roman"/>
          <w:spacing w:val="-2"/>
          <w:sz w:val="21"/>
          <w:szCs w:val="21"/>
        </w:rPr>
        <w:t>服务</w:t>
      </w:r>
      <w:r>
        <w:rPr>
          <w:rFonts w:hint="default" w:ascii="Times New Roman" w:hAnsi="Times New Roman" w:eastAsia="宋体" w:cs="Times New Roman"/>
          <w:spacing w:val="-2"/>
          <w:sz w:val="21"/>
          <w:szCs w:val="21"/>
          <w:lang w:val="en-US" w:eastAsia="zh-CN"/>
        </w:rPr>
        <w:t>（</w:t>
      </w:r>
      <w:r>
        <w:rPr>
          <w:rFonts w:hint="default" w:ascii="Times New Roman" w:hAnsi="Times New Roman" w:eastAsia="宋体" w:cs="Times New Roman"/>
          <w:spacing w:val="-2"/>
          <w:sz w:val="21"/>
          <w:szCs w:val="21"/>
        </w:rPr>
        <w:t>一次性</w:t>
      </w:r>
      <w:r>
        <w:rPr>
          <w:rFonts w:hint="eastAsia" w:cs="Times New Roman"/>
          <w:spacing w:val="-2"/>
          <w:sz w:val="21"/>
          <w:szCs w:val="21"/>
          <w:lang w:eastAsia="zh-CN"/>
        </w:rPr>
        <w:t>“</w:t>
      </w:r>
      <w:r>
        <w:rPr>
          <w:rFonts w:hint="default" w:ascii="Times New Roman" w:hAnsi="Times New Roman" w:eastAsia="宋体" w:cs="Times New Roman"/>
          <w:spacing w:val="-2"/>
          <w:sz w:val="21"/>
          <w:szCs w:val="21"/>
        </w:rPr>
        <w:t>六小件</w:t>
      </w:r>
      <w:r>
        <w:rPr>
          <w:rFonts w:hint="eastAsia" w:cs="Times New Roman"/>
          <w:spacing w:val="-2"/>
          <w:sz w:val="21"/>
          <w:szCs w:val="21"/>
          <w:lang w:eastAsia="zh-CN"/>
        </w:rPr>
        <w:t>”</w:t>
      </w:r>
      <w:r>
        <w:rPr>
          <w:rFonts w:hint="default" w:ascii="Times New Roman" w:hAnsi="Times New Roman" w:eastAsia="宋体" w:cs="Times New Roman"/>
          <w:spacing w:val="-2"/>
          <w:sz w:val="21"/>
          <w:szCs w:val="21"/>
        </w:rPr>
        <w:t>及执行每日床单、毛巾、拖鞋更换</w:t>
      </w:r>
      <w:r>
        <w:rPr>
          <w:rFonts w:hint="default" w:ascii="Times New Roman" w:hAnsi="Times New Roman" w:eastAsia="宋体" w:cs="Times New Roman"/>
          <w:spacing w:val="-2"/>
          <w:sz w:val="21"/>
          <w:szCs w:val="21"/>
          <w:lang w:eastAsia="zh-CN"/>
        </w:rPr>
        <w:t>）</w:t>
      </w:r>
      <w:r>
        <w:rPr>
          <w:rFonts w:hint="default" w:ascii="Times New Roman" w:hAnsi="Times New Roman" w:eastAsia="宋体" w:cs="Times New Roman"/>
          <w:spacing w:val="-2"/>
          <w:sz w:val="21"/>
          <w:szCs w:val="21"/>
        </w:rPr>
        <w:t>所产生资源消耗</w:t>
      </w:r>
      <w:r>
        <w:rPr>
          <w:rFonts w:hint="default" w:ascii="Times New Roman" w:hAnsi="Times New Roman" w:cs="Times New Roman"/>
          <w:spacing w:val="-2"/>
          <w:sz w:val="21"/>
          <w:szCs w:val="21"/>
          <w:lang w:val="en-US" w:eastAsia="zh-CN"/>
        </w:rPr>
        <w:t>的</w:t>
      </w:r>
      <w:r>
        <w:rPr>
          <w:rFonts w:hint="default" w:ascii="Times New Roman" w:hAnsi="Times New Roman" w:eastAsia="宋体" w:cs="Times New Roman"/>
          <w:spacing w:val="-2"/>
          <w:sz w:val="21"/>
          <w:szCs w:val="21"/>
        </w:rPr>
        <w:t>碳排放。</w:t>
      </w:r>
    </w:p>
    <w:p w14:paraId="652C9B44">
      <w:pPr>
        <w:pStyle w:val="4"/>
        <w:bidi w:val="0"/>
        <w:rPr>
          <w:rFonts w:hint="default" w:ascii="Times New Roman" w:hAnsi="Times New Roman" w:cs="Times New Roman"/>
        </w:rPr>
      </w:pPr>
      <w:bookmarkStart w:id="53" w:name="_Toc25999"/>
      <w:r>
        <w:rPr>
          <w:rFonts w:hint="default" w:ascii="Times New Roman" w:hAnsi="Times New Roman" w:cs="Times New Roman"/>
        </w:rPr>
        <w:t>6.2  基准线碳排放计算</w:t>
      </w:r>
      <w:bookmarkEnd w:id="53"/>
    </w:p>
    <w:p w14:paraId="236D1FD0">
      <w:pPr>
        <w:pStyle w:val="3"/>
        <w:bidi w:val="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基准线碳排放量（</w:t>
      </w:r>
      <m:oMath>
        <m:sSub>
          <m:sSubPr>
            <m:ctrlPr>
              <w:rPr>
                <w:rFonts w:hint="default" w:ascii="Cambria Math" w:hAnsi="Cambria Math" w:cs="Cambria Math"/>
              </w:rPr>
            </m:ctrlPr>
          </m:sSubPr>
          <m:e>
            <m:r>
              <m:rPr>
                <m:sty m:val="p"/>
              </m:rPr>
              <w:rPr>
                <w:rFonts w:hint="default" w:ascii="Cambria Math" w:hAnsi="Cambria Math" w:cs="Cambria Math"/>
                <w:lang w:val="en-US" w:eastAsia="zh-CN"/>
              </w:rPr>
              <m:t>BE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eastAsia="宋体" w:cs="Times New Roman"/>
          <w:sz w:val="21"/>
          <w:szCs w:val="21"/>
        </w:rPr>
        <w:t>）的计算见公式（1）。</w:t>
      </w:r>
    </w:p>
    <w:p w14:paraId="17E6F584">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BE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r>
          <m:rPr>
            <m:sty m:val="p"/>
          </m:rPr>
          <w:rPr>
            <w:rFonts w:hint="default" w:ascii="Cambria Math" w:hAnsi="Cambria Math" w:cs="Cambria Math"/>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N</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WS</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serve</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oMath>
      <w:r>
        <w:rPr>
          <w:rFonts w:hint="default" w:ascii="Times New Roman" w:hAnsi="Times New Roman" w:cs="Times New Roman"/>
          <w:lang w:val="en-US" w:eastAsia="zh-CN"/>
        </w:rPr>
        <w:tab/>
      </w:r>
      <w:r>
        <w:rPr>
          <w:rFonts w:hint="default" w:ascii="Times New Roman" w:hAnsi="Times New Roman" w:cs="Times New Roman"/>
        </w:rPr>
        <w:t>（1）</w:t>
      </w:r>
    </w:p>
    <w:p w14:paraId="5FA67112">
      <w:pPr>
        <w:pStyle w:val="3"/>
        <w:bidi w:val="0"/>
        <w:rPr>
          <w:rFonts w:hint="default" w:ascii="Times New Roman" w:hAnsi="Times New Roman" w:cs="Times New Roman"/>
        </w:rPr>
      </w:pPr>
      <w:r>
        <w:rPr>
          <w:rFonts w:hint="default" w:ascii="Times New Roman" w:hAnsi="Times New Roman" w:cs="Times New Roman"/>
        </w:rPr>
        <w:t>式中：</w:t>
      </w:r>
    </w:p>
    <w:p w14:paraId="5E3E9F46">
      <w:pPr>
        <w:pStyle w:val="3"/>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BE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——第y年基准线碳排放量，单位为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5B7BF91C">
      <w:pPr>
        <w:pStyle w:val="3"/>
        <w:bidi w:val="0"/>
        <w:rPr>
          <w:rFonts w:hint="default" w:ascii="Times New Roman" w:hAnsi="Times New Roman" w:cs="Times New Roman"/>
          <w:lang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N</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第y年i</w:t>
      </w:r>
      <w:r>
        <w:rPr>
          <w:rFonts w:hint="default" w:ascii="Times New Roman" w:hAnsi="Times New Roman" w:cs="Times New Roman"/>
        </w:rPr>
        <w:t>星级</w:t>
      </w:r>
      <w:r>
        <w:rPr>
          <w:rFonts w:hint="default" w:ascii="Times New Roman" w:hAnsi="Times New Roman" w:cs="Times New Roman"/>
          <w:lang w:val="en-US" w:eastAsia="zh-CN"/>
        </w:rPr>
        <w:t>酒店</w:t>
      </w:r>
      <w:r>
        <w:rPr>
          <w:rFonts w:hint="default" w:ascii="Times New Roman" w:hAnsi="Times New Roman" w:cs="Times New Roman"/>
        </w:rPr>
        <w:t>的客房床位接待量（单位：床）</w:t>
      </w:r>
      <w:r>
        <w:rPr>
          <w:rFonts w:hint="default" w:ascii="Times New Roman" w:hAnsi="Times New Roman" w:cs="Times New Roman"/>
          <w:lang w:eastAsia="zh-CN"/>
        </w:rPr>
        <w:t>；</w:t>
      </w:r>
    </w:p>
    <w:p w14:paraId="22BBE2BD">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——第y年i</w:t>
      </w:r>
      <w:r>
        <w:rPr>
          <w:rFonts w:hint="default" w:ascii="Times New Roman" w:hAnsi="Times New Roman" w:cs="Times New Roman"/>
        </w:rPr>
        <w:t>星级</w:t>
      </w:r>
      <w:r>
        <w:rPr>
          <w:rFonts w:hint="default" w:ascii="Times New Roman" w:hAnsi="Times New Roman" w:cs="Times New Roman"/>
          <w:lang w:val="en-US" w:eastAsia="zh-CN"/>
        </w:rPr>
        <w:t>酒店</w:t>
      </w:r>
      <w:r>
        <w:rPr>
          <w:rFonts w:hint="default" w:ascii="Times New Roman" w:hAnsi="Times New Roman" w:cs="Times New Roman"/>
        </w:rPr>
        <w:t>的客房</w:t>
      </w:r>
      <w:r>
        <w:rPr>
          <w:rFonts w:hint="default" w:ascii="Times New Roman" w:hAnsi="Times New Roman" w:cs="Times New Roman"/>
          <w:lang w:val="en-US" w:eastAsia="zh-CN"/>
        </w:rPr>
        <w:t>入住时长（单位：晚）；</w:t>
      </w:r>
    </w:p>
    <w:p w14:paraId="6A99F4FE">
      <w:pPr>
        <w:pStyle w:val="3"/>
        <w:bidi w:val="0"/>
        <w:rPr>
          <w:rFonts w:hint="default" w:ascii="Times New Roman" w:hAnsi="Times New Roman" w:cs="Times New Roman"/>
          <w:lang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WS</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三、四、五星级酒店的单位碳排放因子加权平均后的碳排放因子（单位：kg</w:t>
      </w:r>
      <w:r>
        <w:rPr>
          <w:rFonts w:hint="default" w:ascii="Times New Roman" w:hAnsi="Times New Roman" w:cs="Times New Roman"/>
        </w:rPr>
        <w:t>CO₂/</w:t>
      </w:r>
      <w:r>
        <w:rPr>
          <w:rFonts w:hint="eastAsia" w:cs="Times New Roman"/>
          <w:lang w:val="en-US" w:eastAsia="zh-CN"/>
        </w:rPr>
        <w:t>（</w:t>
      </w:r>
      <w:r>
        <w:rPr>
          <w:rFonts w:hint="default" w:ascii="Times New Roman" w:hAnsi="Times New Roman" w:cs="Times New Roman"/>
        </w:rPr>
        <w:t>床·晚</w:t>
      </w:r>
      <w:r>
        <w:rPr>
          <w:rFonts w:hint="eastAsia" w:cs="Times New Roman"/>
          <w:lang w:val="en-US" w:eastAsia="zh-CN"/>
        </w:rPr>
        <w:t>）</w:t>
      </w:r>
      <w:r>
        <w:rPr>
          <w:rFonts w:hint="default" w:ascii="Times New Roman" w:hAnsi="Times New Roman" w:cs="Times New Roman"/>
          <w:lang w:val="en-US" w:eastAsia="zh-CN"/>
        </w:rPr>
        <w:t>），</w:t>
      </w:r>
      <w:r>
        <w:rPr>
          <w:rFonts w:hint="default" w:ascii="Times New Roman" w:hAnsi="Times New Roman" w:cs="Times New Roman"/>
        </w:rPr>
        <w:t>应按照附录A.1</w:t>
      </w:r>
      <w:r>
        <w:rPr>
          <w:rFonts w:hint="default" w:ascii="Times New Roman" w:hAnsi="Times New Roman" w:cs="Times New Roman"/>
          <w:lang w:val="en-US" w:eastAsia="zh-CN"/>
        </w:rPr>
        <w:t>.1</w:t>
      </w:r>
      <w:r>
        <w:rPr>
          <w:rFonts w:hint="default" w:ascii="Times New Roman" w:hAnsi="Times New Roman" w:cs="Times New Roman"/>
        </w:rPr>
        <w:t>规定的方法计算</w:t>
      </w:r>
      <w:r>
        <w:rPr>
          <w:rFonts w:hint="default" w:ascii="Times New Roman" w:hAnsi="Times New Roman" w:cs="Times New Roman"/>
          <w:lang w:eastAsia="zh-CN"/>
        </w:rPr>
        <w:t>，</w:t>
      </w:r>
      <w:r>
        <w:rPr>
          <w:rFonts w:hint="default" w:ascii="Times New Roman" w:hAnsi="Times New Roman" w:cs="Times New Roman"/>
          <w:lang w:val="en-US" w:eastAsia="zh-CN"/>
        </w:rPr>
        <w:t>推荐值见附录B</w:t>
      </w:r>
      <w:r>
        <w:rPr>
          <w:rFonts w:hint="default" w:ascii="Times New Roman" w:hAnsi="Times New Roman" w:cs="Times New Roman"/>
          <w:lang w:eastAsia="zh-CN"/>
        </w:rPr>
        <w:t>；</w:t>
      </w:r>
    </w:p>
    <w:p w14:paraId="230B1DE5">
      <w:pPr>
        <w:pStyle w:val="3"/>
        <w:bidi w:val="0"/>
        <w:rPr>
          <w:rFonts w:hint="default" w:ascii="Times New Roman" w:hAnsi="Times New Roman" w:cs="Times New Roma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serve</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w:t>
      </w:r>
      <w:r>
        <w:rPr>
          <w:rFonts w:hint="default" w:ascii="Times New Roman" w:hAnsi="Times New Roman" w:cs="Times New Roman"/>
        </w:rPr>
        <w:t>单位客房服务碳排放因子（单位：</w:t>
      </w:r>
      <w:r>
        <w:rPr>
          <w:rFonts w:hint="default" w:ascii="Times New Roman" w:hAnsi="Times New Roman" w:cs="Times New Roman"/>
          <w:lang w:val="en-US" w:eastAsia="zh-CN"/>
        </w:rPr>
        <w:t>kg</w:t>
      </w:r>
      <w:r>
        <w:rPr>
          <w:rFonts w:hint="default" w:ascii="Times New Roman" w:hAnsi="Times New Roman" w:cs="Times New Roman"/>
        </w:rPr>
        <w:t>CO₂/</w:t>
      </w:r>
      <w:r>
        <w:rPr>
          <w:rFonts w:hint="eastAsia" w:cs="Times New Roman"/>
          <w:lang w:val="en-US" w:eastAsia="zh-CN"/>
        </w:rPr>
        <w:t>（</w:t>
      </w:r>
      <w:r>
        <w:rPr>
          <w:rFonts w:hint="default" w:ascii="Times New Roman" w:hAnsi="Times New Roman" w:cs="Times New Roman"/>
        </w:rPr>
        <w:t>床·晚</w:t>
      </w:r>
      <w:r>
        <w:rPr>
          <w:rFonts w:hint="eastAsia" w:cs="Times New Roman"/>
          <w:lang w:val="en-US" w:eastAsia="zh-CN"/>
        </w:rPr>
        <w:t>）</w:t>
      </w:r>
      <w:r>
        <w:rPr>
          <w:rFonts w:hint="default" w:ascii="Times New Roman" w:hAnsi="Times New Roman" w:cs="Times New Roman"/>
        </w:rPr>
        <w:t>）</w:t>
      </w:r>
      <w:r>
        <w:rPr>
          <w:rFonts w:hint="default" w:ascii="Times New Roman" w:hAnsi="Times New Roman" w:cs="Times New Roman"/>
          <w:lang w:eastAsia="zh-CN"/>
        </w:rPr>
        <w:t>，</w:t>
      </w:r>
      <w:r>
        <w:rPr>
          <w:rFonts w:hint="default" w:ascii="Times New Roman" w:hAnsi="Times New Roman" w:cs="Times New Roman"/>
        </w:rPr>
        <w:t>代表在</w:t>
      </w:r>
      <w:r>
        <w:rPr>
          <w:rFonts w:hint="eastAsia" w:cs="Times New Roman"/>
          <w:lang w:eastAsia="zh-CN"/>
        </w:rPr>
        <w:t>“</w:t>
      </w:r>
      <w:r>
        <w:rPr>
          <w:rFonts w:hint="default" w:ascii="Times New Roman" w:hAnsi="Times New Roman" w:cs="Times New Roman"/>
        </w:rPr>
        <w:t>常规服务</w:t>
      </w:r>
      <w:r>
        <w:rPr>
          <w:rFonts w:hint="eastAsia" w:cs="Times New Roman"/>
          <w:lang w:eastAsia="zh-CN"/>
        </w:rPr>
        <w:t>”</w:t>
      </w:r>
      <w:r>
        <w:rPr>
          <w:rFonts w:hint="default" w:ascii="Times New Roman" w:hAnsi="Times New Roman" w:cs="Times New Roman"/>
        </w:rPr>
        <w:t>下，每接待一位客人每晚因消耗</w:t>
      </w:r>
      <w:r>
        <w:rPr>
          <w:rFonts w:hint="eastAsia" w:cs="Times New Roman"/>
          <w:lang w:eastAsia="zh-CN"/>
        </w:rPr>
        <w:t>“</w:t>
      </w:r>
      <w:r>
        <w:rPr>
          <w:rFonts w:hint="default" w:ascii="Times New Roman" w:hAnsi="Times New Roman" w:cs="Times New Roman"/>
        </w:rPr>
        <w:t>六小件</w:t>
      </w:r>
      <w:r>
        <w:rPr>
          <w:rFonts w:hint="eastAsia" w:cs="Times New Roman"/>
          <w:lang w:eastAsia="zh-CN"/>
        </w:rPr>
        <w:t>”</w:t>
      </w:r>
      <w:r>
        <w:rPr>
          <w:rFonts w:hint="default" w:ascii="Times New Roman" w:hAnsi="Times New Roman" w:cs="Times New Roman"/>
          <w:lang w:eastAsia="zh-CN"/>
        </w:rPr>
        <w:t>、</w:t>
      </w:r>
      <w:r>
        <w:rPr>
          <w:rFonts w:hint="default" w:ascii="Times New Roman" w:hAnsi="Times New Roman" w:cs="Times New Roman"/>
          <w:lang w:val="en-US" w:eastAsia="zh-CN"/>
        </w:rPr>
        <w:t>床单、毛巾</w:t>
      </w:r>
      <w:r>
        <w:rPr>
          <w:rFonts w:hint="default" w:ascii="Times New Roman" w:hAnsi="Times New Roman" w:cs="Times New Roman"/>
        </w:rPr>
        <w:t>洗涤/更换等行为产生的碳排放</w:t>
      </w:r>
      <w:r>
        <w:rPr>
          <w:rFonts w:hint="eastAsia" w:cs="Times New Roman"/>
          <w:lang w:val="en-US" w:eastAsia="zh-CN"/>
        </w:rPr>
        <w:t>，</w:t>
      </w:r>
      <w:r>
        <w:rPr>
          <w:rFonts w:hint="default" w:ascii="Times New Roman" w:hAnsi="Times New Roman" w:cs="Times New Roman"/>
          <w:lang w:val="en-US" w:eastAsia="zh-CN"/>
        </w:rPr>
        <w:t>具体数值</w:t>
      </w:r>
      <w:r>
        <w:rPr>
          <w:rFonts w:hint="default" w:ascii="Times New Roman" w:hAnsi="Times New Roman" w:cs="Times New Roman"/>
        </w:rPr>
        <w:t>应按照附录A.1</w:t>
      </w:r>
      <w:r>
        <w:rPr>
          <w:rFonts w:hint="default" w:ascii="Times New Roman" w:hAnsi="Times New Roman" w:cs="Times New Roman"/>
          <w:lang w:val="en-US" w:eastAsia="zh-CN"/>
        </w:rPr>
        <w:t>.2</w:t>
      </w:r>
      <w:r>
        <w:rPr>
          <w:rFonts w:hint="default" w:ascii="Times New Roman" w:hAnsi="Times New Roman" w:cs="Times New Roman"/>
        </w:rPr>
        <w:t>规定的方法计算。</w:t>
      </w:r>
    </w:p>
    <w:p w14:paraId="08BF770F">
      <w:pPr>
        <w:pStyle w:val="4"/>
        <w:bidi w:val="0"/>
        <w:rPr>
          <w:rFonts w:hint="default" w:ascii="Times New Roman" w:hAnsi="Times New Roman" w:eastAsia="黑体" w:cs="Times New Roman"/>
          <w:lang w:eastAsia="zh-CN"/>
        </w:rPr>
      </w:pPr>
      <w:bookmarkStart w:id="54" w:name="_Toc21305"/>
      <w:r>
        <w:rPr>
          <w:rFonts w:hint="default" w:ascii="Times New Roman" w:hAnsi="Times New Roman" w:cs="Times New Roman"/>
        </w:rPr>
        <w:t>6.</w:t>
      </w:r>
      <w:r>
        <w:rPr>
          <w:rFonts w:hint="default" w:ascii="Times New Roman" w:hAnsi="Times New Roman" w:cs="Times New Roman"/>
          <w:lang w:val="en-US" w:eastAsia="zh-CN"/>
        </w:rPr>
        <w:t>3</w:t>
      </w:r>
      <w:r>
        <w:rPr>
          <w:rFonts w:hint="default" w:ascii="Times New Roman" w:hAnsi="Times New Roman" w:cs="Times New Roman"/>
        </w:rPr>
        <w:t xml:space="preserve">  项目</w:t>
      </w:r>
      <w:r>
        <w:rPr>
          <w:rFonts w:hint="default" w:ascii="Times New Roman" w:hAnsi="Times New Roman" w:cs="Times New Roman"/>
          <w:lang w:val="en-US" w:eastAsia="zh-CN"/>
        </w:rPr>
        <w:t>情景</w:t>
      </w:r>
      <w:bookmarkEnd w:id="54"/>
    </w:p>
    <w:p w14:paraId="51D59717">
      <w:pPr>
        <w:pStyle w:val="3"/>
        <w:bidi w:val="0"/>
        <w:rPr>
          <w:rFonts w:hint="default" w:ascii="Times New Roman" w:hAnsi="Times New Roman" w:cs="Times New Roman"/>
        </w:rPr>
      </w:pPr>
      <w:r>
        <w:rPr>
          <w:rFonts w:hint="default" w:ascii="Times New Roman" w:hAnsi="Times New Roman" w:cs="Times New Roman"/>
          <w:lang w:val="en-US" w:eastAsia="zh-CN"/>
        </w:rPr>
        <w:t>项目情景是消费者所住星级酒店所必需的能源消耗产生的碳排放与消费者主动选择低碳服务（不使用</w:t>
      </w:r>
      <w:r>
        <w:rPr>
          <w:rFonts w:hint="default" w:ascii="Times New Roman" w:hAnsi="Times New Roman" w:cs="Times New Roman"/>
        </w:rPr>
        <w:t>一次性</w:t>
      </w:r>
      <w:r>
        <w:rPr>
          <w:rFonts w:hint="eastAsia" w:cs="Times New Roman"/>
          <w:lang w:eastAsia="zh-CN"/>
        </w:rPr>
        <w:t>“</w:t>
      </w:r>
      <w:r>
        <w:rPr>
          <w:rFonts w:hint="default" w:ascii="Times New Roman" w:hAnsi="Times New Roman" w:cs="Times New Roman"/>
        </w:rPr>
        <w:t>六小件</w:t>
      </w:r>
      <w:r>
        <w:rPr>
          <w:rFonts w:hint="eastAsia" w:cs="Times New Roman"/>
          <w:lang w:eastAsia="zh-CN"/>
        </w:rPr>
        <w:t>”</w:t>
      </w:r>
      <w:r>
        <w:rPr>
          <w:rFonts w:hint="default" w:ascii="Times New Roman" w:hAnsi="Times New Roman" w:cs="Times New Roman"/>
        </w:rPr>
        <w:t>及执行每日床单、毛巾、拖鞋更换</w:t>
      </w:r>
      <w:r>
        <w:rPr>
          <w:rFonts w:hint="default" w:ascii="Times New Roman" w:hAnsi="Times New Roman" w:cs="Times New Roman"/>
          <w:lang w:val="en-US" w:eastAsia="zh-CN"/>
        </w:rPr>
        <w:t>服务的一种或全部）。</w:t>
      </w:r>
    </w:p>
    <w:p w14:paraId="2F46BC57">
      <w:pPr>
        <w:pStyle w:val="4"/>
        <w:bidi w:val="0"/>
        <w:rPr>
          <w:rFonts w:hint="default" w:ascii="Times New Roman" w:hAnsi="Times New Roman" w:cs="Times New Roman"/>
        </w:rPr>
      </w:pPr>
      <w:bookmarkStart w:id="55" w:name="_Toc17976"/>
      <w:r>
        <w:rPr>
          <w:rFonts w:hint="default" w:ascii="Times New Roman" w:hAnsi="Times New Roman" w:cs="Times New Roman"/>
        </w:rPr>
        <w:t>6.</w:t>
      </w:r>
      <w:r>
        <w:rPr>
          <w:rFonts w:hint="default" w:ascii="Times New Roman" w:hAnsi="Times New Roman" w:cs="Times New Roman"/>
          <w:lang w:val="en-US" w:eastAsia="zh-CN"/>
        </w:rPr>
        <w:t>4</w:t>
      </w:r>
      <w:r>
        <w:rPr>
          <w:rFonts w:hint="default" w:ascii="Times New Roman" w:hAnsi="Times New Roman" w:cs="Times New Roman"/>
        </w:rPr>
        <w:t xml:space="preserve">  项目碳排放计算</w:t>
      </w:r>
      <w:bookmarkEnd w:id="55"/>
    </w:p>
    <w:p w14:paraId="5EE107C6">
      <w:pPr>
        <w:pStyle w:val="3"/>
        <w:bidi w:val="0"/>
        <w:rPr>
          <w:rFonts w:hint="default" w:ascii="Times New Roman" w:hAnsi="Times New Roman" w:cs="Times New Roman"/>
        </w:rPr>
      </w:pPr>
      <w:r>
        <w:rPr>
          <w:rFonts w:hint="default" w:ascii="Times New Roman" w:hAnsi="Times New Roman" w:cs="Times New Roman"/>
        </w:rPr>
        <w:t>项目碳排放量（</w:t>
      </w:r>
      <m:oMath>
        <m:sSub>
          <m:sSubPr>
            <m:ctrlPr>
              <w:rPr>
                <w:rFonts w:hint="default" w:ascii="Cambria Math" w:hAnsi="Cambria Math" w:cs="Cambria Math"/>
              </w:rPr>
            </m:ctrlPr>
          </m:sSubPr>
          <m:e>
            <m:r>
              <m:rPr>
                <m:sty m:val="p"/>
              </m:rPr>
              <w:rPr>
                <w:rFonts w:hint="default" w:ascii="Cambria Math" w:hAnsi="Cambria Math" w:cs="Cambria Math"/>
                <w:lang w:val="en-US" w:eastAsia="zh-CN"/>
              </w:rPr>
              <m:t>PE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）的计算见公式（2）。</w:t>
      </w:r>
    </w:p>
    <w:p w14:paraId="4A43A832">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PE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r>
          <m:rPr>
            <m:sty m:val="p"/>
          </m:rPr>
          <w:rPr>
            <w:rFonts w:hint="default" w:ascii="Cambria Math" w:hAnsi="Cambria Math" w:cs="Cambria Math"/>
          </w:rPr>
          <m:t>=</m:t>
        </m:r>
        <m:sSub>
          <m:sSubPr>
            <m:ctrlPr>
              <w:rPr>
                <w:rFonts w:hint="default" w:ascii="Cambria Math" w:hAnsi="Cambria Math" w:cs="Cambria Math"/>
              </w:rPr>
            </m:ctrlPr>
          </m:sSubPr>
          <m:e>
            <m:r>
              <m:rPr>
                <m:sty m:val="p"/>
              </m:rPr>
              <w:rPr>
                <w:rFonts w:hint="default" w:ascii="Cambria Math" w:hAnsi="Cambria Math" w:cs="Cambria Math"/>
                <w:lang w:val="en-US" w:eastAsia="zh-CN"/>
              </w:rPr>
              <m:t>N</m:t>
            </m:r>
            <m:ctrlPr>
              <w:rPr>
                <w:rFonts w:hint="default" w:ascii="Cambria Math" w:hAnsi="Cambria Math" w:cs="Cambria Math"/>
              </w:rPr>
            </m:ctrlPr>
          </m:e>
          <m:sub>
            <m:r>
              <m:rPr>
                <m:sty m:val="p"/>
              </m:rPr>
              <w:rPr>
                <w:rFonts w:hint="default" w:ascii="Cambria Math" w:hAnsi="Cambria Math" w:cs="Cambria Math"/>
                <w:lang w:val="en-US" w:eastAsia="zh-CN"/>
              </w:rPr>
              <m:t>i,y</m:t>
            </m:r>
            <m:ctrlPr>
              <w:rPr>
                <w:rFonts w:hint="default" w:ascii="Cambria Math" w:hAnsi="Cambria Math" w:cs="Cambria Math"/>
              </w:rPr>
            </m:ctrlPr>
          </m:sub>
        </m:sSub>
        <m:r>
          <m:rPr>
            <m:sty m:val="p"/>
          </m:rPr>
          <w:rPr>
            <w:rFonts w:hint="default" w:ascii="Cambria Math" w:hAnsi="Cambria Math" w:cs="Cambria Math"/>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r>
          <m:rPr>
            <m:sty m:val="p"/>
          </m:rPr>
          <w:rPr>
            <w:rFonts w:hint="default" w:eastAsia="宋体" w:cs="Cambria Math"/>
            <w:lang w:val="en-US" w:eastAsia="zh-CN"/>
          </w:rPr>
          <m:t>（</m:t>
        </m:r>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i,y</m:t>
            </m:r>
            <m:ctrlPr>
              <w:rPr>
                <w:rFonts w:hint="default" w:ascii="Cambria Math" w:hAnsi="Cambria Math" w:cs="Cambria Math"/>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oMath>
      <w:r>
        <w:rPr>
          <w:rFonts w:hint="default" w:ascii="Times New Roman" w:hAnsi="Times New Roman" w:cs="Times New Roman"/>
          <w:lang w:val="en-US" w:eastAsia="zh-CN"/>
        </w:rPr>
        <w:tab/>
      </w:r>
      <w:r>
        <w:rPr>
          <w:rFonts w:hint="default" w:ascii="Times New Roman" w:hAnsi="Times New Roman" w:cs="Times New Roman"/>
        </w:rPr>
        <w:t>（2）</w:t>
      </w:r>
    </w:p>
    <w:p w14:paraId="671541DB">
      <w:pPr>
        <w:pStyle w:val="3"/>
        <w:bidi w:val="0"/>
        <w:rPr>
          <w:rFonts w:hint="default" w:ascii="Times New Roman" w:hAnsi="Times New Roman" w:cs="Times New Roman"/>
        </w:rPr>
      </w:pPr>
      <w:r>
        <w:rPr>
          <w:rFonts w:hint="default" w:ascii="Times New Roman" w:hAnsi="Times New Roman" w:cs="Times New Roman"/>
        </w:rPr>
        <w:t>式中：</w:t>
      </w:r>
    </w:p>
    <w:p w14:paraId="4AC3EAB4">
      <w:pPr>
        <w:pStyle w:val="3"/>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PE</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——第y年项目碳排放量，单位为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277B7346">
      <w:pPr>
        <w:pStyle w:val="3"/>
        <w:bidi w:val="0"/>
        <w:rPr>
          <w:rFonts w:hint="default" w:ascii="Times New Roman" w:hAnsi="Times New Roman" w:cs="Times New Roman"/>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i,y</m:t>
            </m:r>
            <m:ctrlPr>
              <w:rPr>
                <w:rFonts w:hint="default" w:ascii="Cambria Math" w:hAnsi="Cambria Math" w:cs="Cambria Math"/>
              </w:rPr>
            </m:ctrlPr>
          </m:sub>
        </m:sSub>
      </m:oMath>
      <w:r>
        <w:rPr>
          <w:rFonts w:hint="default" w:ascii="Times New Roman" w:hAnsi="Times New Roman" w:cs="Times New Roman"/>
        </w:rPr>
        <w:t>——</w:t>
      </w:r>
      <w:r>
        <w:rPr>
          <w:rFonts w:hint="default" w:ascii="Times New Roman" w:hAnsi="Times New Roman" w:cs="Times New Roman"/>
          <w:lang w:val="en-US" w:eastAsia="zh-CN"/>
        </w:rPr>
        <w:t>第y年i星级酒店的碳排放因子</w:t>
      </w:r>
      <w:r>
        <w:rPr>
          <w:rFonts w:hint="default" w:ascii="Times New Roman" w:hAnsi="Times New Roman" w:cs="Times New Roman"/>
        </w:rPr>
        <w:t>（单位：</w:t>
      </w:r>
      <w:r>
        <w:rPr>
          <w:rFonts w:hint="default" w:ascii="Times New Roman" w:hAnsi="Times New Roman" w:cs="Times New Roman"/>
          <w:lang w:val="en-US" w:eastAsia="zh-CN"/>
        </w:rPr>
        <w:t>kg</w:t>
      </w:r>
      <w:r>
        <w:rPr>
          <w:rFonts w:hint="default" w:ascii="Times New Roman" w:hAnsi="Times New Roman" w:cs="Times New Roman"/>
        </w:rPr>
        <w:t>CO₂/</w:t>
      </w:r>
      <w:r>
        <w:rPr>
          <w:rFonts w:hint="eastAsia" w:cs="Times New Roman"/>
          <w:lang w:val="en-US" w:eastAsia="zh-CN"/>
        </w:rPr>
        <w:t>（</w:t>
      </w:r>
      <w:r>
        <w:rPr>
          <w:rFonts w:hint="default" w:ascii="Times New Roman" w:hAnsi="Times New Roman" w:cs="Times New Roman"/>
        </w:rPr>
        <w:t>床·晚</w:t>
      </w:r>
      <w:r>
        <w:rPr>
          <w:rFonts w:hint="eastAsia" w:cs="Times New Roman"/>
          <w:lang w:val="en-US" w:eastAsia="zh-CN"/>
        </w:rPr>
        <w:t>）</w:t>
      </w:r>
      <w:r>
        <w:rPr>
          <w:rFonts w:hint="default" w:ascii="Times New Roman" w:hAnsi="Times New Roman" w:cs="Times New Roman"/>
        </w:rPr>
        <w:t>）</w:t>
      </w:r>
      <w:r>
        <w:rPr>
          <w:rFonts w:hint="default" w:ascii="Times New Roman" w:hAnsi="Times New Roman" w:cs="Times New Roman"/>
          <w:lang w:eastAsia="zh-CN"/>
        </w:rPr>
        <w:t>，</w:t>
      </w:r>
      <w:r>
        <w:rPr>
          <w:rFonts w:hint="default" w:ascii="Times New Roman" w:hAnsi="Times New Roman" w:cs="Times New Roman"/>
        </w:rPr>
        <w:t>应按照附录A.</w:t>
      </w:r>
      <w:r>
        <w:rPr>
          <w:rFonts w:hint="default" w:ascii="Times New Roman" w:hAnsi="Times New Roman" w:cs="Times New Roman"/>
          <w:lang w:val="en-US" w:eastAsia="zh-CN"/>
        </w:rPr>
        <w:t>2.1</w:t>
      </w:r>
      <w:r>
        <w:rPr>
          <w:rFonts w:hint="default" w:ascii="Times New Roman" w:hAnsi="Times New Roman" w:cs="Times New Roman"/>
        </w:rPr>
        <w:t>规定的方法计算</w:t>
      </w:r>
      <w:r>
        <w:rPr>
          <w:rFonts w:hint="default" w:ascii="Times New Roman" w:hAnsi="Times New Roman" w:cs="Times New Roman"/>
          <w:lang w:val="en-US" w:eastAsia="zh-CN"/>
        </w:rPr>
        <w:t>；</w:t>
      </w:r>
    </w:p>
    <w:p w14:paraId="10C03436">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——第y年k类服务行为的碳排放因子</w:t>
      </w:r>
      <w:r>
        <w:rPr>
          <w:rFonts w:hint="default" w:ascii="Times New Roman" w:hAnsi="Times New Roman" w:cs="Times New Roman"/>
        </w:rPr>
        <w:t>（单位：</w:t>
      </w:r>
      <w:r>
        <w:rPr>
          <w:rFonts w:hint="default" w:ascii="Times New Roman" w:hAnsi="Times New Roman" w:cs="Times New Roman"/>
          <w:lang w:val="en-US" w:eastAsia="zh-CN"/>
        </w:rPr>
        <w:t>kg</w:t>
      </w:r>
      <w:r>
        <w:rPr>
          <w:rFonts w:hint="default" w:ascii="Times New Roman" w:hAnsi="Times New Roman" w:cs="Times New Roman"/>
        </w:rPr>
        <w:t>CO₂/</w:t>
      </w:r>
      <w:r>
        <w:rPr>
          <w:rFonts w:hint="eastAsia" w:cs="Times New Roman"/>
          <w:lang w:val="en-US" w:eastAsia="zh-CN"/>
        </w:rPr>
        <w:t>（</w:t>
      </w:r>
      <w:r>
        <w:rPr>
          <w:rFonts w:hint="default" w:ascii="Times New Roman" w:hAnsi="Times New Roman" w:cs="Times New Roman"/>
        </w:rPr>
        <w:t>床·晚</w:t>
      </w:r>
      <w:r>
        <w:rPr>
          <w:rFonts w:hint="eastAsia" w:cs="Times New Roman"/>
          <w:lang w:val="en-US" w:eastAsia="zh-CN"/>
        </w:rPr>
        <w:t>）</w:t>
      </w:r>
      <w:r>
        <w:rPr>
          <w:rFonts w:hint="default" w:ascii="Times New Roman" w:hAnsi="Times New Roman" w:cs="Times New Roman"/>
        </w:rPr>
        <w:t>）</w:t>
      </w:r>
      <w:r>
        <w:rPr>
          <w:rFonts w:hint="default" w:ascii="Times New Roman" w:hAnsi="Times New Roman" w:cs="Times New Roman"/>
          <w:lang w:eastAsia="zh-CN"/>
        </w:rPr>
        <w:t>，</w:t>
      </w:r>
      <w:r>
        <w:rPr>
          <w:rFonts w:hint="default" w:ascii="Times New Roman" w:hAnsi="Times New Roman" w:cs="Times New Roman"/>
          <w:lang w:val="en-US" w:eastAsia="zh-CN"/>
        </w:rPr>
        <w:t>其数据推荐值见附录A.2.2</w:t>
      </w:r>
      <w:r>
        <w:rPr>
          <w:rFonts w:hint="default" w:ascii="Times New Roman" w:hAnsi="Times New Roman" w:cs="Times New Roman"/>
          <w:lang w:eastAsia="zh-CN"/>
        </w:rPr>
        <w:t>。</w:t>
      </w:r>
    </w:p>
    <w:p w14:paraId="359C97BF">
      <w:pPr>
        <w:pStyle w:val="4"/>
        <w:bidi w:val="0"/>
        <w:rPr>
          <w:rFonts w:hint="default" w:ascii="Times New Roman" w:hAnsi="Times New Roman" w:cs="Times New Roman"/>
        </w:rPr>
      </w:pPr>
      <w:bookmarkStart w:id="56" w:name="_Toc12595"/>
      <w:r>
        <w:rPr>
          <w:rFonts w:hint="default" w:ascii="Times New Roman" w:hAnsi="Times New Roman" w:cs="Times New Roman"/>
        </w:rPr>
        <w:t>6.</w:t>
      </w:r>
      <w:r>
        <w:rPr>
          <w:rFonts w:hint="default" w:ascii="Times New Roman" w:hAnsi="Times New Roman" w:cs="Times New Roman"/>
          <w:lang w:val="en-US" w:eastAsia="zh-CN"/>
        </w:rPr>
        <w:t>5</w:t>
      </w:r>
      <w:r>
        <w:rPr>
          <w:rFonts w:hint="default" w:ascii="Times New Roman" w:hAnsi="Times New Roman" w:cs="Times New Roman"/>
        </w:rPr>
        <w:t xml:space="preserve">  减排量核算</w:t>
      </w:r>
      <w:bookmarkEnd w:id="56"/>
    </w:p>
    <w:p w14:paraId="0F232E3B">
      <w:pPr>
        <w:pStyle w:val="3"/>
        <w:bidi w:val="0"/>
        <w:rPr>
          <w:rFonts w:hint="default" w:ascii="Times New Roman" w:hAnsi="Times New Roman" w:cs="Times New Roman"/>
        </w:rPr>
      </w:pPr>
      <w:r>
        <w:rPr>
          <w:rFonts w:hint="default" w:ascii="Times New Roman" w:hAnsi="Times New Roman" w:cs="Times New Roman"/>
        </w:rPr>
        <w:t>碳减排量（</w:t>
      </w:r>
      <m:oMath>
        <m:sSub>
          <m:sSubPr>
            <m:ctrlPr>
              <w:rPr>
                <w:rFonts w:hint="default" w:ascii="Cambria Math" w:hAnsi="Cambria Math" w:cs="Cambria Math"/>
              </w:rPr>
            </m:ctrlPr>
          </m:sSubPr>
          <m:e>
            <m:r>
              <m:rPr>
                <m:sty m:val="p"/>
              </m:rPr>
              <w:rPr>
                <w:rFonts w:hint="default" w:ascii="Cambria Math" w:hAnsi="Cambria Math" w:cs="Cambria Math"/>
                <w:lang w:val="en-US" w:eastAsia="zh-CN"/>
              </w:rPr>
              <m:t>ER</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）的计算见公式（3）。</w:t>
      </w:r>
    </w:p>
    <w:p w14:paraId="4A723B1B">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ER</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BE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rPr>
        <w:t>（3）</w:t>
      </w:r>
    </w:p>
    <w:p w14:paraId="6A2DA72E">
      <w:pPr>
        <w:pStyle w:val="3"/>
        <w:bidi w:val="0"/>
        <w:rPr>
          <w:rFonts w:hint="default" w:ascii="Times New Roman" w:hAnsi="Times New Roman" w:cs="Times New Roman"/>
        </w:rPr>
      </w:pPr>
      <w:r>
        <w:rPr>
          <w:rFonts w:hint="default" w:ascii="Times New Roman" w:hAnsi="Times New Roman" w:cs="Times New Roman"/>
        </w:rPr>
        <w:t>式中：</w:t>
      </w:r>
    </w:p>
    <w:p w14:paraId="3DE898AA">
      <w:pPr>
        <w:pStyle w:val="3"/>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ER</m:t>
            </m:r>
            <m:ctrlPr>
              <w:rPr>
                <w:rFonts w:hint="default" w:ascii="Cambria Math" w:hAnsi="Cambria Math" w:cs="Cambria Math"/>
              </w:rPr>
            </m:ctrlPr>
          </m:e>
          <m:sub>
            <m:r>
              <m:rPr>
                <m:sty m:val="p"/>
              </m:rPr>
              <w:rPr>
                <w:rFonts w:hint="default" w:ascii="Cambria Math" w:hAnsi="Cambria Math" w:cs="Cambria Math"/>
                <w:lang w:val="en-US" w:eastAsia="zh-CN"/>
              </w:rPr>
              <m:t>y</m:t>
            </m:r>
            <m:ctrlPr>
              <w:rPr>
                <w:rFonts w:hint="default" w:ascii="Cambria Math" w:hAnsi="Cambria Math" w:cs="Cambria Math"/>
              </w:rPr>
            </m:ctrlPr>
          </m:sub>
        </m:sSub>
      </m:oMath>
      <w:r>
        <w:rPr>
          <w:rFonts w:hint="default" w:ascii="Times New Roman" w:hAnsi="Times New Roman" w:cs="Times New Roman"/>
        </w:rPr>
        <w:t>——第y年碳减排量，单位为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28DEBC53">
      <w:pPr>
        <w:pStyle w:val="3"/>
        <w:bidi w:val="0"/>
        <w:rPr>
          <w:rFonts w:hint="default" w:ascii="Times New Roman" w:hAnsi="Times New Roman" w:cs="Times New Roma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BE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rPr>
        <w:t>——第y年基准线碳排放量，单位为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4D33FEE1">
      <w:pPr>
        <w:pStyle w:val="3"/>
        <w:bidi w:val="0"/>
        <w:rPr>
          <w:rFonts w:hint="default" w:ascii="Times New Roman" w:hAnsi="Times New Roman" w:cs="Times New Roman"/>
        </w:rPr>
      </w:pPr>
      <m:oMath>
        <m:sSub>
          <w:bookmarkStart w:id="57" w:name="bookmark8"/>
          <w:bookmarkEnd w:id="57"/>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PE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default" w:ascii="Times New Roman" w:hAnsi="Times New Roman" w:cs="Times New Roman"/>
        </w:rPr>
        <w:t>——第y年项目碳排放量，单位为</w:t>
      </w:r>
      <w:r>
        <w:rPr>
          <w:rFonts w:hint="default" w:ascii="Times New Roman" w:hAnsi="Times New Roman" w:cs="Times New Roman"/>
          <w:lang w:val="en-US" w:eastAsia="zh-CN"/>
        </w:rPr>
        <w:t>千克</w:t>
      </w:r>
      <w:r>
        <w:rPr>
          <w:rFonts w:hint="default" w:ascii="Times New Roman" w:hAnsi="Times New Roman" w:cs="Times New Roman"/>
        </w:rPr>
        <w:t>二氧化碳（</w:t>
      </w:r>
      <w:r>
        <w:rPr>
          <w:rFonts w:hint="default" w:ascii="Times New Roman" w:hAnsi="Times New Roman" w:cs="Times New Roman"/>
          <w:lang w:val="en-US" w:eastAsia="zh-CN"/>
        </w:rPr>
        <w:t>kg</w:t>
      </w:r>
      <w:r>
        <w:rPr>
          <w:rFonts w:hint="default" w:ascii="Times New Roman" w:hAnsi="Times New Roman" w:cs="Times New Roman"/>
        </w:rPr>
        <w:t>CO₂）。</w:t>
      </w:r>
    </w:p>
    <w:p w14:paraId="0ABB40B2">
      <w:pPr>
        <w:pStyle w:val="2"/>
        <w:bidi w:val="0"/>
        <w:rPr>
          <w:rFonts w:hint="default"/>
        </w:rPr>
      </w:pPr>
      <w:bookmarkStart w:id="58" w:name="bookmark19"/>
      <w:bookmarkEnd w:id="58"/>
      <w:bookmarkStart w:id="59" w:name="_Toc31882"/>
      <w:bookmarkStart w:id="60" w:name="_Toc29761"/>
      <w:r>
        <w:rPr>
          <w:rFonts w:hint="default"/>
        </w:rPr>
        <w:t>7  数据监测与管理</w:t>
      </w:r>
      <w:bookmarkEnd w:id="59"/>
      <w:bookmarkEnd w:id="60"/>
    </w:p>
    <w:p w14:paraId="3D7A15A0">
      <w:pPr>
        <w:pStyle w:val="4"/>
        <w:bidi w:val="0"/>
        <w:rPr>
          <w:rFonts w:hint="default" w:ascii="Times New Roman" w:hAnsi="Times New Roman" w:cs="Times New Roman"/>
        </w:rPr>
      </w:pPr>
      <w:bookmarkStart w:id="61" w:name="_Toc11552"/>
      <w:r>
        <w:rPr>
          <w:rFonts w:hint="default" w:ascii="Times New Roman" w:hAnsi="Times New Roman" w:cs="Times New Roman"/>
          <w:lang w:val="en-US" w:eastAsia="en-US"/>
        </w:rPr>
        <w:t>7.1 项目运行需要监测的数据</w:t>
      </w:r>
      <w:bookmarkEnd w:id="61"/>
    </w:p>
    <w:p w14:paraId="5C9D2771">
      <w:pPr>
        <w:pStyle w:val="3"/>
        <w:bidi w:val="0"/>
        <w:rPr>
          <w:rFonts w:hint="default" w:ascii="Times New Roman" w:hAnsi="Times New Roman" w:cs="Times New Roman"/>
        </w:rPr>
      </w:pPr>
      <w:r>
        <w:rPr>
          <w:rFonts w:hint="default" w:ascii="Times New Roman" w:hAnsi="Times New Roman" w:cs="Times New Roman"/>
        </w:rPr>
        <w:t>项目运行需要监测的数据主要包括低碳住宿的入住信息、客房类型、</w:t>
      </w:r>
      <w:r>
        <w:rPr>
          <w:rFonts w:hint="default" w:ascii="Times New Roman" w:hAnsi="Times New Roman" w:cs="Times New Roman"/>
          <w:lang w:val="en-US" w:eastAsia="zh-CN"/>
        </w:rPr>
        <w:t>房间面积、</w:t>
      </w:r>
      <w:r>
        <w:rPr>
          <w:rFonts w:hint="default" w:ascii="Times New Roman" w:hAnsi="Times New Roman" w:cs="Times New Roman"/>
        </w:rPr>
        <w:t>入住时长、是否</w:t>
      </w:r>
      <w:r>
        <w:rPr>
          <w:rFonts w:hint="default" w:ascii="Times New Roman" w:hAnsi="Times New Roman" w:cs="Times New Roman"/>
          <w:lang w:eastAsia="zh-CN"/>
        </w:rPr>
        <w:t>选择</w:t>
      </w:r>
      <w:r>
        <w:rPr>
          <w:rFonts w:hint="default" w:ascii="Times New Roman" w:hAnsi="Times New Roman" w:cs="Times New Roman"/>
        </w:rPr>
        <w:t>低碳服务（</w:t>
      </w:r>
      <w:r>
        <w:rPr>
          <w:rFonts w:hint="default" w:ascii="Times New Roman" w:hAnsi="Times New Roman" w:cs="Times New Roman"/>
          <w:lang w:val="en-US" w:eastAsia="zh-CN"/>
        </w:rPr>
        <w:t>如</w:t>
      </w:r>
      <w:r>
        <w:rPr>
          <w:rFonts w:hint="default" w:ascii="Times New Roman" w:hAnsi="Times New Roman" w:cs="Times New Roman"/>
        </w:rPr>
        <w:t>不提供一次性用品等），具体数据的单位和描述见附录B。</w:t>
      </w:r>
    </w:p>
    <w:p w14:paraId="0967DBBC">
      <w:pPr>
        <w:pStyle w:val="4"/>
        <w:bidi w:val="0"/>
        <w:rPr>
          <w:rFonts w:hint="default" w:ascii="Times New Roman" w:hAnsi="Times New Roman" w:cs="Times New Roman"/>
          <w:lang w:val="en-US" w:eastAsia="en-US"/>
        </w:rPr>
      </w:pPr>
      <w:bookmarkStart w:id="62" w:name="_Toc32061"/>
      <w:r>
        <w:rPr>
          <w:rFonts w:hint="default" w:ascii="Times New Roman" w:hAnsi="Times New Roman" w:cs="Times New Roman"/>
          <w:lang w:val="en-US" w:eastAsia="en-US"/>
        </w:rPr>
        <w:t>7.2 数据监测要求</w:t>
      </w:r>
      <w:bookmarkEnd w:id="62"/>
    </w:p>
    <w:p w14:paraId="79FF54F6">
      <w:pPr>
        <w:pStyle w:val="3"/>
        <w:bidi w:val="0"/>
        <w:rPr>
          <w:rFonts w:hint="default" w:ascii="Times New Roman" w:hAnsi="Times New Roman" w:cs="Times New Roman"/>
        </w:rPr>
      </w:pPr>
      <w:r>
        <w:rPr>
          <w:rFonts w:hint="default" w:ascii="Times New Roman" w:hAnsi="Times New Roman" w:cs="Times New Roman"/>
        </w:rPr>
        <w:t>数据监测应符合相关行业标准和技术规范要求，数据质量要求应与附录B要求保持一致。</w:t>
      </w:r>
    </w:p>
    <w:p w14:paraId="07E40D0D">
      <w:pPr>
        <w:pStyle w:val="4"/>
        <w:bidi w:val="0"/>
        <w:rPr>
          <w:rFonts w:hint="default" w:ascii="Times New Roman" w:hAnsi="Times New Roman" w:cs="Times New Roman"/>
          <w:lang w:val="en-US" w:eastAsia="en-US"/>
        </w:rPr>
      </w:pPr>
      <w:bookmarkStart w:id="63" w:name="_Toc23096"/>
      <w:r>
        <w:rPr>
          <w:rFonts w:hint="default" w:ascii="Times New Roman" w:hAnsi="Times New Roman" w:cs="Times New Roman"/>
          <w:lang w:val="en-US" w:eastAsia="en-US"/>
        </w:rPr>
        <w:t>7.3 数据管理与归档要求</w:t>
      </w:r>
      <w:bookmarkEnd w:id="63"/>
    </w:p>
    <w:p w14:paraId="6D93EC04">
      <w:pPr>
        <w:pStyle w:val="3"/>
        <w:bidi w:val="0"/>
        <w:rPr>
          <w:rFonts w:hint="default" w:ascii="Times New Roman" w:hAnsi="Times New Roman" w:cs="Times New Roman"/>
        </w:rPr>
      </w:pPr>
      <w:r>
        <w:rPr>
          <w:rFonts w:hint="default" w:ascii="Times New Roman" w:hAnsi="Times New Roman" w:cs="Times New Roman"/>
        </w:rPr>
        <w:t>项目开发方应建立数据、信息等原始记录和台账管理制度，确保数据的准确性和完整性，妥善保管监测数据和有关</w:t>
      </w:r>
      <w:r>
        <w:rPr>
          <w:rFonts w:hint="default" w:ascii="Times New Roman" w:hAnsi="Times New Roman" w:cs="Times New Roman"/>
          <w:lang w:val="en-US" w:eastAsia="en-US"/>
        </w:rPr>
        <w:t>补充</w:t>
      </w:r>
      <w:r>
        <w:rPr>
          <w:rFonts w:hint="default" w:ascii="Times New Roman" w:hAnsi="Times New Roman" w:cs="Times New Roman"/>
        </w:rPr>
        <w:t>记录信息。</w:t>
      </w:r>
    </w:p>
    <w:p w14:paraId="323F7D38">
      <w:pPr>
        <w:pStyle w:val="3"/>
        <w:bidi w:val="0"/>
        <w:rPr>
          <w:rFonts w:hint="default" w:ascii="Times New Roman" w:hAnsi="Times New Roman" w:cs="Times New Roman"/>
        </w:rPr>
      </w:pPr>
      <w:r>
        <w:rPr>
          <w:rFonts w:hint="default" w:ascii="Times New Roman" w:hAnsi="Times New Roman" w:cs="Times New Roman"/>
        </w:rPr>
        <w:t>项目设计和运行阶段产生的所有数据、信息均应电子版或纸质版存档，存档材料至少保存至最后一期减排量登记后10年，确保相关数据可被追溯。</w:t>
      </w:r>
    </w:p>
    <w:p w14:paraId="134CC495">
      <w:pPr>
        <w:pStyle w:val="3"/>
        <w:bidi w:val="0"/>
        <w:rPr>
          <w:rFonts w:hint="default" w:ascii="Times New Roman" w:hAnsi="Times New Roman" w:cs="Times New Roman"/>
        </w:rPr>
      </w:pPr>
    </w:p>
    <w:p w14:paraId="50C6E11B">
      <w:pPr>
        <w:pStyle w:val="3"/>
        <w:bidi w:val="0"/>
        <w:rPr>
          <w:rFonts w:hint="default" w:ascii="Times New Roman" w:hAnsi="Times New Roman" w:cs="Times New Roman"/>
        </w:rPr>
        <w:sectPr>
          <w:footerReference r:id="rId9" w:type="default"/>
          <w:pgSz w:w="11907" w:h="16839"/>
          <w:pgMar w:top="1716" w:right="1128" w:bottom="1340" w:left="1426" w:header="1391" w:footer="1106" w:gutter="0"/>
          <w:pgNumType w:fmt="decimal" w:start="1"/>
          <w:cols w:space="720" w:num="1"/>
        </w:sectPr>
      </w:pPr>
    </w:p>
    <w:p w14:paraId="5BA7DC3A">
      <w:pPr>
        <w:pStyle w:val="3"/>
        <w:spacing w:before="90" w:line="177" w:lineRule="auto"/>
        <w:ind w:left="4673"/>
        <w:rPr>
          <w:rFonts w:hint="default" w:ascii="Times New Roman" w:hAnsi="Times New Roman" w:cs="Times New Roman"/>
          <w:sz w:val="2"/>
          <w:szCs w:val="2"/>
        </w:rPr>
      </w:pPr>
      <w:r>
        <w:rPr>
          <w:rFonts w:hint="default" w:ascii="Times New Roman" w:hAnsi="Times New Roman" w:cs="Times New Roman"/>
          <w:sz w:val="2"/>
          <w:szCs w:val="2"/>
        </w:rPr>
        <w:t>A</w:t>
      </w:r>
    </w:p>
    <w:p w14:paraId="18F718D2">
      <w:pPr>
        <w:pStyle w:val="2"/>
        <w:bidi w:val="0"/>
        <w:rPr>
          <w:rFonts w:hint="default"/>
        </w:rPr>
      </w:pPr>
      <w:bookmarkStart w:id="64" w:name="bookmark29"/>
      <w:bookmarkEnd w:id="64"/>
      <w:bookmarkStart w:id="65" w:name="bookmark30"/>
      <w:bookmarkEnd w:id="65"/>
      <w:bookmarkStart w:id="66" w:name="_Toc17029"/>
      <w:bookmarkStart w:id="67" w:name="_Toc29777"/>
      <w:r>
        <w:rPr>
          <w:rFonts w:hint="default"/>
        </w:rPr>
        <w:t>附</w:t>
      </w:r>
      <w:r>
        <w:rPr>
          <w:rFonts w:hint="default"/>
          <w:lang w:val="en-US" w:eastAsia="zh-CN"/>
        </w:rPr>
        <w:t xml:space="preserve"> </w:t>
      </w:r>
      <w:r>
        <w:rPr>
          <w:rFonts w:hint="default"/>
        </w:rPr>
        <w:t>录 A</w:t>
      </w:r>
      <w:bookmarkStart w:id="68" w:name="bookmark9"/>
      <w:bookmarkEnd w:id="68"/>
      <w:bookmarkStart w:id="69" w:name="bookmark21"/>
      <w:bookmarkEnd w:id="69"/>
      <w:r>
        <w:rPr>
          <w:rFonts w:hint="default"/>
        </w:rPr>
        <w:t>（规范性）</w:t>
      </w:r>
      <w:bookmarkStart w:id="70" w:name="bookmark21"/>
      <w:bookmarkEnd w:id="70"/>
      <w:r>
        <w:rPr>
          <w:rFonts w:hint="default"/>
          <w:lang w:val="en-US" w:eastAsia="zh-CN"/>
        </w:rPr>
        <w:t>情景参数</w:t>
      </w:r>
      <w:r>
        <w:rPr>
          <w:rFonts w:hint="default"/>
        </w:rPr>
        <w:t>的计算方法</w:t>
      </w:r>
      <w:bookmarkEnd w:id="66"/>
      <w:bookmarkEnd w:id="67"/>
    </w:p>
    <w:p w14:paraId="61E39ED2">
      <w:pPr>
        <w:pStyle w:val="4"/>
        <w:bidi w:val="0"/>
        <w:rPr>
          <w:rFonts w:hint="default" w:ascii="Times New Roman" w:hAnsi="Times New Roman" w:cs="Times New Roman"/>
        </w:rPr>
      </w:pPr>
      <w:bookmarkStart w:id="71" w:name="_Toc5711"/>
      <w:r>
        <w:rPr>
          <w:rFonts w:hint="default" w:ascii="Times New Roman" w:hAnsi="Times New Roman" w:cs="Times New Roman"/>
        </w:rPr>
        <w:t>A.1  基准线情景</w:t>
      </w:r>
      <w:bookmarkEnd w:id="71"/>
    </w:p>
    <w:p w14:paraId="723148F5">
      <w:pPr>
        <w:pStyle w:val="5"/>
        <w:bidi w:val="0"/>
        <w:rPr>
          <w:rFonts w:hint="default" w:ascii="Times New Roman" w:hAnsi="Times New Roman" w:eastAsia="Cambria Math" w:cs="Times New Roman"/>
          <w:sz w:val="15"/>
          <w:szCs w:val="15"/>
        </w:rPr>
      </w:pPr>
      <w:bookmarkStart w:id="72" w:name="_Toc5519"/>
      <w:r>
        <w:rPr>
          <w:rFonts w:hint="default" w:ascii="Times New Roman" w:hAnsi="Times New Roman" w:cs="Times New Roman"/>
          <w:position w:val="2"/>
          <w:sz w:val="21"/>
          <w:szCs w:val="21"/>
        </w:rPr>
        <w:t xml:space="preserve">A.1.1  </w:t>
      </w:r>
      <w:r>
        <w:rPr>
          <w:rFonts w:hint="default" w:ascii="Times New Roman" w:hAnsi="Times New Roman" w:cs="Times New Roman"/>
          <w:position w:val="2"/>
          <w:sz w:val="21"/>
          <w:szCs w:val="21"/>
          <w:lang w:val="en-US" w:eastAsia="zh-CN"/>
        </w:rPr>
        <w:t>基准线一：</w:t>
      </w:r>
      <w:r>
        <w:rPr>
          <w:rFonts w:hint="default" w:ascii="Times New Roman" w:hAnsi="Times New Roman" w:eastAsia="黑体" w:cs="Times New Roman"/>
          <w:snapToGrid w:val="0"/>
          <w:color w:val="000000"/>
          <w:spacing w:val="3"/>
          <w:kern w:val="0"/>
          <w:sz w:val="21"/>
          <w:szCs w:val="21"/>
          <w:lang w:val="en-US" w:eastAsia="zh-CN" w:bidi="ar-SA"/>
        </w:rPr>
        <w:t>酒店平均碳排放水平（</w:t>
      </w: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ws</m:t>
            </m:r>
            <m:ctrlPr>
              <w:rPr>
                <w:rFonts w:hint="default" w:ascii="Cambria Math" w:hAnsi="Cambria Math" w:cs="Cambria Math"/>
              </w:rPr>
            </m:ctrlPr>
          </m:sub>
        </m:sSub>
      </m:oMath>
      <w:r>
        <w:rPr>
          <w:rFonts w:hint="default" w:ascii="Times New Roman" w:hAnsi="Times New Roman" w:eastAsia="黑体" w:cs="Times New Roman"/>
          <w:snapToGrid w:val="0"/>
          <w:color w:val="000000"/>
          <w:spacing w:val="3"/>
          <w:kern w:val="0"/>
          <w:sz w:val="21"/>
          <w:szCs w:val="21"/>
          <w:lang w:val="en-US" w:eastAsia="zh-CN" w:bidi="ar-SA"/>
        </w:rPr>
        <w:t>）</w:t>
      </w:r>
      <w:bookmarkEnd w:id="72"/>
    </w:p>
    <w:p w14:paraId="0DDC4679">
      <w:pPr>
        <w:pStyle w:val="3"/>
        <w:bidi w:val="0"/>
        <w:rPr>
          <w:rFonts w:hint="default" w:ascii="Times New Roman" w:hAnsi="Times New Roman" w:cs="Times New Roman"/>
          <w:lang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ws</m:t>
            </m:r>
            <m:ctrlPr>
              <w:rPr>
                <w:rFonts w:hint="default" w:ascii="Cambria Math" w:hAnsi="Cambria Math" w:cs="Cambria Math"/>
              </w:rPr>
            </m:ctrlPr>
          </m:sub>
        </m:sSub>
      </m:oMath>
      <w:r>
        <w:rPr>
          <w:rFonts w:hint="default" w:ascii="Times New Roman" w:hAnsi="Times New Roman" w:cs="Times New Roman"/>
        </w:rPr>
        <w:t>的计算见公式（</w:t>
      </w:r>
      <w:r>
        <w:rPr>
          <w:rFonts w:hint="eastAsia" w:cs="Times New Roman"/>
          <w:lang w:val="en-US" w:eastAsia="zh-CN"/>
        </w:rPr>
        <w:t>4</w:t>
      </w:r>
      <w:r>
        <w:rPr>
          <w:rFonts w:hint="default" w:ascii="Times New Roman" w:hAnsi="Times New Roman" w:cs="Times New Roman"/>
        </w:rPr>
        <w:t>）</w:t>
      </w:r>
      <w:r>
        <w:rPr>
          <w:rFonts w:hint="default" w:ascii="Times New Roman" w:hAnsi="Times New Roman" w:cs="Times New Roman"/>
          <w:lang w:eastAsia="zh-CN"/>
        </w:rPr>
        <w:t>：</w:t>
      </w:r>
    </w:p>
    <w:p w14:paraId="01B4CA12">
      <w:pPr>
        <w:pStyle w:val="21"/>
        <w:bidi w:val="0"/>
        <w:rPr>
          <w:rFonts w:hint="default" w:ascii="Times New Roman" w:hAnsi="Times New Roman" w:cs="Times New Roma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ws</m:t>
            </m:r>
            <m:ctrlPr>
              <w:rPr>
                <w:rFonts w:hint="default" w:ascii="Cambria Math" w:hAnsi="Cambria Math" w:cs="Cambria Math"/>
              </w:rPr>
            </m:ctrlPr>
          </m:sub>
        </m:sSub>
        <m:r>
          <m:rPr>
            <m:sty m:val="p"/>
          </m:rPr>
          <w:rPr>
            <w:rFonts w:hint="default" w:ascii="Cambria Math" w:hAnsi="Cambria Math" w:cs="Cambria Math"/>
            <w:lang w:val="en-US" w:eastAsia="zh-CN"/>
          </w:rPr>
          <m:t>=</m:t>
        </m:r>
        <m:nary>
          <m:naryPr>
            <m:chr m:val="∑"/>
            <m:limLoc m:val="undOvr"/>
            <m:ctrlPr>
              <w:rPr>
                <w:rFonts w:hint="default" w:ascii="Cambria Math" w:hAnsi="Cambria Math" w:cs="Cambria Math"/>
                <w:lang w:val="en-US" w:eastAsia="zh-CN"/>
              </w:rPr>
            </m:ctrlPr>
          </m:naryPr>
          <m:sub>
            <m:r>
              <m:rPr>
                <m:sty m:val="p"/>
              </m:rPr>
              <w:rPr>
                <w:rFonts w:hint="default" w:ascii="Cambria Math" w:hAnsi="Cambria Math" w:cs="Cambria Math"/>
                <w:lang w:val="en-US"/>
              </w:rPr>
              <m:t>i=</m:t>
            </m:r>
            <m:r>
              <m:rPr>
                <m:sty m:val="p"/>
              </m:rPr>
              <w:rPr>
                <w:rFonts w:hint="default" w:ascii="Cambria Math" w:hAnsi="Cambria Math" w:cs="Cambria Math"/>
                <w:lang w:val="en-US" w:eastAsia="zh-CN"/>
              </w:rPr>
              <m:t>3</m:t>
            </m:r>
            <m:ctrlPr>
              <w:rPr>
                <w:rFonts w:hint="default" w:ascii="Cambria Math" w:hAnsi="Cambria Math" w:cs="Cambria Math"/>
                <w:lang w:val="en-US" w:eastAsia="zh-CN"/>
              </w:rPr>
            </m:ctrlPr>
          </m:sub>
          <m:sup>
            <m:r>
              <m:rPr>
                <m:sty m:val="p"/>
              </m:rPr>
              <w:rPr>
                <w:rFonts w:hint="default" w:ascii="Cambria Math" w:hAnsi="Cambria Math" w:cs="Cambria Math"/>
                <w:lang w:val="en-US"/>
              </w:rPr>
              <m:t>n</m:t>
            </m:r>
            <m:r>
              <m:rPr>
                <m:sty m:val="p"/>
              </m:rPr>
              <w:rPr>
                <w:rFonts w:hint="default" w:ascii="Cambria Math" w:hAnsi="Cambria Math" w:cs="Cambria Math"/>
                <w:lang w:val="en-US" w:eastAsia="zh-CN"/>
              </w:rPr>
              <m:t>=5</m:t>
            </m:r>
            <m:ctrlPr>
              <w:rPr>
                <w:rFonts w:hint="default" w:ascii="Cambria Math" w:hAnsi="Cambria Math" w:cs="Cambria Math"/>
                <w:lang w:val="en-US" w:eastAsia="zh-CN"/>
              </w:rPr>
            </m:ctrlPr>
          </m:sup>
          <m:e>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f>
              <m:fPr>
                <m:ctrlPr>
                  <w:rPr>
                    <w:rFonts w:hint="default" w:ascii="Cambria Math" w:hAnsi="Cambria Math" w:cs="Cambria Math"/>
                    <w:lang w:val="en-US"/>
                  </w:rPr>
                </m:ctrlPr>
              </m:fPr>
              <m:num>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ctrlPr>
                  <w:rPr>
                    <w:rFonts w:hint="default" w:ascii="Cambria Math" w:hAnsi="Cambria Math" w:cs="Cambria Math"/>
                    <w:lang w:val="en-US"/>
                  </w:rPr>
                </m:ctrlPr>
              </m:num>
              <m:den>
                <m:r>
                  <m:rPr>
                    <m:sty m:val="p"/>
                  </m:rPr>
                  <w:rPr>
                    <w:rFonts w:hint="default" w:ascii="Cambria Math" w:hAnsi="Cambria Math" w:cs="Cambria Math"/>
                    <w:lang w:val="en-US" w:eastAsia="zh-CN"/>
                  </w:rPr>
                  <m:t>N</m:t>
                </m:r>
                <m:ctrlPr>
                  <w:rPr>
                    <w:rFonts w:hint="default" w:ascii="Cambria Math" w:hAnsi="Cambria Math" w:cs="Cambria Math"/>
                    <w:lang w:val="en-US"/>
                  </w:rPr>
                </m:ctrlPr>
              </m:den>
            </m:f>
            <m:r>
              <m:rPr>
                <m:sty m:val="p"/>
              </m:rPr>
              <w:rPr>
                <w:rFonts w:hint="default" w:ascii="Cambria Math" w:hAnsi="Cambria Math" w:cs="Cambria Math"/>
                <w:lang w:val="en-US" w:eastAsia="zh-CN"/>
              </w:rPr>
              <m:t>)</m:t>
            </m:r>
            <m:ctrlPr>
              <w:rPr>
                <w:rFonts w:hint="default" w:ascii="Cambria Math" w:hAnsi="Cambria Math" w:cs="Cambria Math"/>
                <w:lang w:val="en-US" w:eastAsia="zh-CN"/>
              </w:rPr>
            </m:ctrlPr>
          </m:e>
        </m:nary>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4</w:t>
      </w:r>
      <w:r>
        <w:rPr>
          <w:rFonts w:hint="default" w:ascii="Times New Roman" w:hAnsi="Times New Roman" w:cs="Times New Roman"/>
        </w:rPr>
        <w:t>）</w:t>
      </w:r>
    </w:p>
    <w:p w14:paraId="60213E02">
      <w:pPr>
        <w:pStyle w:val="3"/>
        <w:bidi w:val="0"/>
        <w:rPr>
          <w:rFonts w:hint="default" w:ascii="Times New Roman" w:hAnsi="Times New Roman" w:cs="Times New Roman"/>
        </w:rPr>
      </w:pPr>
      <w:r>
        <w:rPr>
          <w:rFonts w:hint="default" w:ascii="Times New Roman" w:hAnsi="Times New Roman" w:cs="Times New Roman"/>
        </w:rPr>
        <w:t>式中：</w:t>
      </w:r>
    </w:p>
    <w:p w14:paraId="51F1DFA9">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i,y</m:t>
            </m:r>
            <m:ctrlPr>
              <w:rPr>
                <w:rFonts w:hint="default" w:ascii="Cambria Math" w:hAnsi="Cambria Math" w:cs="Cambria Math"/>
                <w:lang w:val="en-US" w:eastAsia="zh-CN"/>
              </w:rPr>
            </m:ctrlPr>
          </m:sub>
        </m:sSub>
      </m:oMath>
      <w:r>
        <w:rPr>
          <w:rFonts w:hint="default" w:ascii="Times New Roman" w:hAnsi="Times New Roman" w:cs="Times New Roman"/>
        </w:rPr>
        <w:t>——</w:t>
      </w:r>
      <w:r>
        <w:rPr>
          <w:rFonts w:hint="default" w:ascii="Times New Roman" w:hAnsi="Times New Roman" w:cs="Times New Roman"/>
          <w:lang w:val="en-US" w:eastAsia="zh-CN"/>
        </w:rPr>
        <w:t>第y年i星级酒店的碳排放因子</w:t>
      </w:r>
      <w:r>
        <w:rPr>
          <w:rFonts w:hint="default" w:ascii="Times New Roman" w:hAnsi="Times New Roman" w:cs="Times New Roman"/>
        </w:rPr>
        <w:t>（单位：</w:t>
      </w:r>
      <w:r>
        <w:rPr>
          <w:rFonts w:hint="default" w:ascii="Times New Roman" w:hAnsi="Times New Roman" w:cs="Times New Roman"/>
          <w:lang w:val="en-US" w:eastAsia="zh-CN"/>
        </w:rPr>
        <w:t>kg</w:t>
      </w:r>
      <w:r>
        <w:rPr>
          <w:rFonts w:hint="default" w:ascii="Times New Roman" w:hAnsi="Times New Roman" w:cs="Times New Roman"/>
        </w:rPr>
        <w:t>CO₂/</w:t>
      </w:r>
      <w:r>
        <w:rPr>
          <w:rFonts w:hint="eastAsia" w:cs="Times New Roman"/>
          <w:lang w:val="en-US" w:eastAsia="zh-CN"/>
        </w:rPr>
        <w:t>（</w:t>
      </w:r>
      <w:r>
        <w:rPr>
          <w:rFonts w:hint="default" w:ascii="Times New Roman" w:hAnsi="Times New Roman" w:cs="Times New Roman"/>
        </w:rPr>
        <w:t>床·晚</w:t>
      </w:r>
      <w:r>
        <w:rPr>
          <w:rFonts w:hint="eastAsia" w:cs="Times New Roman"/>
          <w:lang w:val="en-US" w:eastAsia="zh-CN"/>
        </w:rPr>
        <w:t>）</w:t>
      </w:r>
      <w:r>
        <w:rPr>
          <w:rFonts w:hint="default" w:ascii="Times New Roman" w:hAnsi="Times New Roman" w:cs="Times New Roman"/>
        </w:rPr>
        <w:t>）</w:t>
      </w:r>
      <w:r>
        <w:rPr>
          <w:rFonts w:hint="default" w:ascii="Times New Roman" w:hAnsi="Times New Roman" w:cs="Times New Roman"/>
          <w:lang w:val="en-US" w:eastAsia="zh-CN"/>
        </w:rPr>
        <w:t>；</w:t>
      </w:r>
    </w:p>
    <w:p w14:paraId="5942830C">
      <w:pPr>
        <w:pStyle w:val="3"/>
        <w:bidi w:val="0"/>
        <w:rPr>
          <w:rFonts w:hint="default" w:ascii="Times New Roman" w:hAnsi="Times New Roman" w:cs="Times New Roman"/>
          <w:lang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N</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oMath>
      <w:r>
        <w:rPr>
          <w:rFonts w:hint="default" w:ascii="Times New Roman" w:hAnsi="Times New Roman" w:cs="Times New Roman"/>
        </w:rPr>
        <w:t>——</w:t>
      </w:r>
      <w:r>
        <w:rPr>
          <w:rFonts w:hint="eastAsia" w:cs="Times New Roman"/>
          <w:lang w:val="en-US" w:eastAsia="zh-CN"/>
        </w:rPr>
        <w:t>当地</w:t>
      </w:r>
      <w:r>
        <w:rPr>
          <w:rFonts w:hint="default" w:ascii="Times New Roman" w:hAnsi="Times New Roman" w:cs="Times New Roman"/>
          <w:lang w:val="en-US" w:eastAsia="zh-CN"/>
        </w:rPr>
        <w:t>i星级酒店的数量</w:t>
      </w:r>
      <w:r>
        <w:rPr>
          <w:rFonts w:hint="default" w:ascii="Times New Roman" w:hAnsi="Times New Roman" w:cs="Times New Roman"/>
        </w:rPr>
        <w:t>（</w:t>
      </w:r>
      <w:r>
        <w:rPr>
          <w:rFonts w:hint="default" w:ascii="Times New Roman" w:hAnsi="Times New Roman" w:cs="Times New Roman"/>
          <w:lang w:val="en-US" w:eastAsia="zh-CN"/>
        </w:rPr>
        <w:t>单位：家</w:t>
      </w:r>
      <w:r>
        <w:rPr>
          <w:rFonts w:hint="default" w:ascii="Times New Roman" w:hAnsi="Times New Roman" w:cs="Times New Roman"/>
        </w:rPr>
        <w:t>）</w:t>
      </w:r>
      <w:r>
        <w:rPr>
          <w:rFonts w:hint="default" w:ascii="Times New Roman" w:hAnsi="Times New Roman" w:cs="Times New Roman"/>
          <w:lang w:eastAsia="zh-CN"/>
        </w:rPr>
        <w:t>；</w:t>
      </w:r>
    </w:p>
    <w:p w14:paraId="4BEAF0A7">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N</w:t>
      </w:r>
      <w:r>
        <w:rPr>
          <w:rFonts w:hint="default" w:ascii="Times New Roman" w:hAnsi="Times New Roman" w:cs="Times New Roman"/>
        </w:rPr>
        <w:t>——</w:t>
      </w:r>
      <w:r>
        <w:rPr>
          <w:rFonts w:hint="eastAsia" w:cs="Times New Roman"/>
          <w:lang w:val="en-US" w:eastAsia="zh-CN"/>
        </w:rPr>
        <w:t>当地</w:t>
      </w:r>
      <w:r>
        <w:rPr>
          <w:rFonts w:hint="default" w:ascii="Times New Roman" w:hAnsi="Times New Roman" w:cs="Times New Roman"/>
          <w:lang w:val="en-US" w:eastAsia="zh-CN"/>
        </w:rPr>
        <w:t>酒店的总数量（单位：家）。</w:t>
      </w:r>
    </w:p>
    <w:p w14:paraId="56029839">
      <w:pPr>
        <w:pStyle w:val="5"/>
        <w:bidi w:val="0"/>
        <w:rPr>
          <w:rFonts w:hint="default" w:ascii="Times New Roman" w:hAnsi="Times New Roman" w:eastAsia="黑体" w:cs="Times New Roman"/>
          <w:snapToGrid w:val="0"/>
          <w:color w:val="000000"/>
          <w:spacing w:val="3"/>
          <w:kern w:val="0"/>
          <w:sz w:val="21"/>
          <w:szCs w:val="21"/>
          <w:lang w:val="en-US" w:eastAsia="zh-CN" w:bidi="ar-SA"/>
        </w:rPr>
      </w:pPr>
      <w:bookmarkStart w:id="73" w:name="_Toc1507"/>
      <w:r>
        <w:rPr>
          <w:rFonts w:hint="default" w:ascii="Times New Roman" w:hAnsi="Times New Roman" w:eastAsia="黑体" w:cs="Times New Roman"/>
          <w:snapToGrid w:val="0"/>
          <w:color w:val="000000"/>
          <w:spacing w:val="3"/>
          <w:kern w:val="0"/>
          <w:sz w:val="21"/>
          <w:szCs w:val="21"/>
          <w:lang w:val="en-US" w:eastAsia="zh-CN" w:bidi="ar-SA"/>
        </w:rPr>
        <w:t>A.1.2  基准线二：</w:t>
      </w:r>
      <w:r>
        <w:rPr>
          <w:rFonts w:hint="eastAsia" w:ascii="Times New Roman" w:hAnsi="Times New Roman" w:cs="Times New Roman"/>
          <w:snapToGrid w:val="0"/>
          <w:color w:val="000000"/>
          <w:spacing w:val="3"/>
          <w:kern w:val="0"/>
          <w:sz w:val="21"/>
          <w:szCs w:val="21"/>
          <w:lang w:val="en-US" w:eastAsia="zh-CN" w:bidi="ar-SA"/>
        </w:rPr>
        <w:t>平均</w:t>
      </w:r>
      <w:r>
        <w:rPr>
          <w:rFonts w:hint="default" w:ascii="Times New Roman" w:hAnsi="Times New Roman" w:eastAsia="黑体" w:cs="Times New Roman"/>
          <w:snapToGrid w:val="0"/>
          <w:color w:val="000000"/>
          <w:spacing w:val="3"/>
          <w:kern w:val="0"/>
          <w:sz w:val="21"/>
          <w:szCs w:val="21"/>
          <w:lang w:val="en-US" w:eastAsia="zh-CN" w:bidi="ar-SA"/>
        </w:rPr>
        <w:t>单位客房服务碳排放因子（</w:t>
      </w: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serve</m:t>
            </m:r>
            <m:ctrlPr>
              <w:rPr>
                <w:rFonts w:hint="default" w:ascii="Cambria Math" w:hAnsi="Cambria Math" w:cs="Cambria Math"/>
                <w:lang w:val="en-US"/>
              </w:rPr>
            </m:ctrlPr>
          </m:sub>
        </m:sSub>
      </m:oMath>
      <w:r>
        <w:rPr>
          <w:rFonts w:hint="default" w:ascii="Times New Roman" w:hAnsi="Times New Roman" w:eastAsia="黑体" w:cs="Times New Roman"/>
          <w:snapToGrid w:val="0"/>
          <w:color w:val="000000"/>
          <w:spacing w:val="3"/>
          <w:kern w:val="0"/>
          <w:sz w:val="21"/>
          <w:szCs w:val="21"/>
          <w:lang w:val="en-US" w:eastAsia="zh-CN" w:bidi="ar-SA"/>
        </w:rPr>
        <w:t>）</w:t>
      </w:r>
      <w:bookmarkEnd w:id="73"/>
    </w:p>
    <w:p w14:paraId="50D8C81F">
      <w:pPr>
        <w:pStyle w:val="3"/>
        <w:bidi w:val="0"/>
        <w:rPr>
          <w:rFonts w:hint="default" w:ascii="Times New Roman" w:hAnsi="Times New Roman" w:eastAsia="宋体" w:cs="Times New Roman"/>
          <w:spacing w:val="-2"/>
          <w:position w:val="2"/>
          <w:sz w:val="21"/>
          <w:szCs w:val="21"/>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serve</m:t>
            </m:r>
            <m:ctrlPr>
              <w:rPr>
                <w:rFonts w:hint="default" w:ascii="Cambria Math" w:hAnsi="Cambria Math" w:cs="Cambria Math"/>
                <w:lang w:val="en-US"/>
              </w:rPr>
            </m:ctrlPr>
          </m:sub>
        </m:sSub>
      </m:oMath>
      <w:r>
        <w:rPr>
          <w:rFonts w:hint="default" w:ascii="Times New Roman" w:hAnsi="Times New Roman" w:eastAsia="宋体" w:cs="Times New Roman"/>
          <w:spacing w:val="-2"/>
          <w:position w:val="2"/>
          <w:sz w:val="21"/>
          <w:szCs w:val="21"/>
        </w:rPr>
        <w:t>的计算见公式（</w:t>
      </w:r>
      <w:r>
        <w:rPr>
          <w:rFonts w:hint="eastAsia" w:cs="Times New Roman"/>
          <w:spacing w:val="-2"/>
          <w:position w:val="2"/>
          <w:sz w:val="21"/>
          <w:szCs w:val="21"/>
          <w:lang w:val="en-US" w:eastAsia="zh-CN"/>
        </w:rPr>
        <w:t>5</w:t>
      </w:r>
      <w:r>
        <w:rPr>
          <w:rFonts w:hint="default" w:ascii="Times New Roman" w:hAnsi="Times New Roman" w:eastAsia="宋体" w:cs="Times New Roman"/>
          <w:spacing w:val="-2"/>
          <w:position w:val="2"/>
          <w:sz w:val="21"/>
          <w:szCs w:val="21"/>
        </w:rPr>
        <w:t>）</w:t>
      </w:r>
      <w:r>
        <w:rPr>
          <w:rFonts w:hint="default" w:ascii="Times New Roman" w:hAnsi="Times New Roman" w:cs="Times New Roman"/>
          <w:spacing w:val="-2"/>
          <w:position w:val="2"/>
          <w:sz w:val="21"/>
          <w:szCs w:val="21"/>
          <w:lang w:val="en-US" w:eastAsia="zh-CN"/>
        </w:rPr>
        <w:t>：</w:t>
      </w:r>
    </w:p>
    <w:p w14:paraId="6C59F34C">
      <w:pPr>
        <w:pStyle w:val="21"/>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serve</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nary>
          <m:naryPr>
            <m:chr m:val="∑"/>
            <m:limLoc m:val="undOvr"/>
            <m:ctrlPr>
              <w:rPr>
                <w:rFonts w:hint="default" w:ascii="Cambria Math" w:hAnsi="Cambria Math" w:cs="Cambria Math"/>
                <w:lang w:val="en-US" w:eastAsia="zh-CN"/>
              </w:rPr>
            </m:ctrlPr>
          </m:naryPr>
          <m:sub>
            <m:r>
              <m:rPr>
                <m:sty m:val="p"/>
              </m:rPr>
              <w:rPr>
                <w:rFonts w:hint="default" w:ascii="Cambria Math" w:hAnsi="Cambria Math" w:cs="Cambria Math"/>
                <w:lang w:val="en-US" w:eastAsia="zh-CN"/>
              </w:rPr>
              <m:t>k</m:t>
            </m:r>
            <m:r>
              <m:rPr>
                <m:sty m:val="p"/>
              </m:rPr>
              <w:rPr>
                <w:rFonts w:hint="default" w:ascii="Cambria Math" w:hAnsi="Cambria Math" w:cs="Cambria Math"/>
                <w:lang w:val="en-US"/>
              </w:rPr>
              <m:t>=</m:t>
            </m:r>
            <m:r>
              <m:rPr>
                <m:sty m:val="p"/>
              </m:rPr>
              <w:rPr>
                <w:rFonts w:hint="default" w:ascii="Cambria Math" w:hAnsi="Cambria Math" w:cs="Cambria Math"/>
                <w:lang w:val="en-US" w:eastAsia="zh-CN"/>
              </w:rPr>
              <m:t>1</m:t>
            </m:r>
            <m:ctrlPr>
              <w:rPr>
                <w:rFonts w:hint="default" w:ascii="Cambria Math" w:hAnsi="Cambria Math" w:cs="Cambria Math"/>
                <w:lang w:val="en-US" w:eastAsia="zh-CN"/>
              </w:rPr>
            </m:ctrlPr>
          </m:sub>
          <m:sup>
            <m:r>
              <m:rPr>
                <m:sty m:val="p"/>
              </m:rPr>
              <w:rPr>
                <w:rFonts w:hint="default" w:ascii="Cambria Math" w:hAnsi="Cambria Math" w:cs="Cambria Math"/>
                <w:lang w:val="en-US"/>
              </w:rPr>
              <m:t>n</m:t>
            </m:r>
            <m:r>
              <m:rPr>
                <m:sty m:val="p"/>
              </m:rPr>
              <w:rPr>
                <w:rFonts w:hint="default" w:ascii="Cambria Math" w:hAnsi="Cambria Math" w:cs="Cambria Math"/>
                <w:lang w:val="en-US" w:eastAsia="zh-CN"/>
              </w:rPr>
              <m:t>=4</m:t>
            </m:r>
            <m:ctrlPr>
              <w:rPr>
                <w:rFonts w:hint="default" w:ascii="Cambria Math" w:hAnsi="Cambria Math" w:cs="Cambria Math"/>
                <w:lang w:val="en-US" w:eastAsia="zh-CN"/>
              </w:rPr>
            </m:ctrlPr>
          </m:sup>
          <m:e>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ctrlPr>
              <w:rPr>
                <w:rFonts w:hint="default" w:ascii="Cambria Math" w:hAnsi="Cambria Math" w:cs="Cambria Math"/>
                <w:lang w:val="en-US" w:eastAsia="zh-CN"/>
              </w:rPr>
            </m:ctrlPr>
          </m:e>
        </m:nary>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5</w:t>
      </w:r>
      <w:r>
        <w:rPr>
          <w:rFonts w:hint="default" w:ascii="Times New Roman" w:hAnsi="Times New Roman" w:cs="Times New Roman"/>
        </w:rPr>
        <w:t>）</w:t>
      </w:r>
    </w:p>
    <w:p w14:paraId="4B2A954C">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1A5FB39D">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——第y年k类服务行为的碳排放因子（单位：kg</w:t>
      </w:r>
      <w:r>
        <w:rPr>
          <w:rFonts w:hint="default" w:ascii="Times New Roman" w:hAnsi="Times New Roman" w:cs="Times New Roman"/>
        </w:rPr>
        <w:t>CO₂</w:t>
      </w:r>
      <w:r>
        <w:rPr>
          <w:rFonts w:hint="default" w:ascii="Times New Roman" w:hAnsi="Times New Roman" w:cs="Times New Roman"/>
          <w:lang w:val="en-US" w:eastAsia="zh-CN"/>
        </w:rPr>
        <w:t>/</w:t>
      </w:r>
      <w:r>
        <w:rPr>
          <w:rFonts w:hint="eastAsia" w:cs="Times New Roman"/>
          <w:lang w:val="en-US" w:eastAsia="zh-CN"/>
        </w:rPr>
        <w:t>（</w:t>
      </w:r>
      <w:r>
        <w:rPr>
          <w:rFonts w:hint="default" w:ascii="Times New Roman" w:hAnsi="Times New Roman" w:cs="Times New Roman"/>
          <w:lang w:val="en-US" w:eastAsia="zh-CN"/>
        </w:rPr>
        <w:t>床·晚</w:t>
      </w:r>
      <w:r>
        <w:rPr>
          <w:rFonts w:hint="eastAsia" w:cs="Times New Roman"/>
          <w:lang w:val="en-US" w:eastAsia="zh-CN"/>
        </w:rPr>
        <w:t>）</w:t>
      </w:r>
      <w:r>
        <w:rPr>
          <w:rFonts w:hint="default" w:ascii="Times New Roman" w:hAnsi="Times New Roman" w:cs="Times New Roman"/>
          <w:lang w:val="en-US" w:eastAsia="zh-CN"/>
        </w:rPr>
        <w:t>；</w:t>
      </w:r>
    </w:p>
    <w:p w14:paraId="6B92F3DA">
      <w:pPr>
        <w:pStyle w:val="4"/>
        <w:bidi w:val="0"/>
        <w:rPr>
          <w:rFonts w:hint="default" w:ascii="Times New Roman" w:hAnsi="Times New Roman" w:eastAsia="黑体" w:cs="Times New Roman"/>
          <w:sz w:val="15"/>
          <w:szCs w:val="15"/>
          <w:lang w:val="en-US" w:eastAsia="zh-CN"/>
        </w:rPr>
      </w:pPr>
      <w:bookmarkStart w:id="74" w:name="_Toc4316"/>
      <w:r>
        <w:rPr>
          <w:rFonts w:hint="default" w:ascii="Times New Roman" w:hAnsi="Times New Roman" w:cs="Times New Roman"/>
          <w:spacing w:val="3"/>
          <w:sz w:val="21"/>
          <w:szCs w:val="21"/>
        </w:rPr>
        <w:t>A.2  项目</w:t>
      </w:r>
      <w:r>
        <w:rPr>
          <w:rFonts w:hint="default" w:ascii="Times New Roman" w:hAnsi="Times New Roman" w:cs="Times New Roman"/>
          <w:spacing w:val="3"/>
          <w:sz w:val="21"/>
          <w:szCs w:val="21"/>
          <w:lang w:val="en-US" w:eastAsia="zh-CN"/>
        </w:rPr>
        <w:t>情景</w:t>
      </w:r>
      <w:bookmarkEnd w:id="74"/>
    </w:p>
    <w:p w14:paraId="76F422E9">
      <w:pPr>
        <w:pStyle w:val="5"/>
        <w:bidi w:val="0"/>
        <w:rPr>
          <w:rFonts w:hint="default" w:ascii="Times New Roman" w:hAnsi="Times New Roman" w:eastAsia="Arial" w:cs="Times New Roman"/>
          <w:snapToGrid w:val="0"/>
          <w:color w:val="000000"/>
          <w:kern w:val="0"/>
          <w:position w:val="2"/>
          <w:szCs w:val="21"/>
          <w:lang w:val="en-US" w:eastAsia="zh-CN" w:bidi="ar-SA"/>
        </w:rPr>
      </w:pPr>
      <w:bookmarkStart w:id="75" w:name="_Toc10627"/>
      <w:r>
        <w:rPr>
          <w:rFonts w:hint="default" w:ascii="Times New Roman" w:hAnsi="Times New Roman" w:cs="Times New Roman"/>
          <w:lang w:val="en-US" w:eastAsia="zh-CN"/>
        </w:rPr>
        <w:t>A.2.1  项目情景一：第y年i星级酒店的碳排放因子</w:t>
      </w:r>
      <w:r>
        <w:rPr>
          <w:rFonts w:hint="eastAsia" w:ascii="Times New Roman" w:hAnsi="Times New Roman" w:cs="Times New Roman"/>
          <w:lang w:val="en-US" w:eastAsia="zh-CN"/>
        </w:rPr>
        <w:t>（</w:t>
      </w:r>
      <w:bookmarkEnd w:id="75"/>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oMath>
      <w:r>
        <w:rPr>
          <w:rFonts w:hint="eastAsia" w:ascii="Times New Roman" w:hAnsi="Times New Roman" w:cs="Times New Roman"/>
          <w:lang w:val="en-US" w:eastAsia="zh-CN"/>
        </w:rPr>
        <w:t>）</w:t>
      </w:r>
    </w:p>
    <w:p w14:paraId="62BE03BE">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oMath>
      <w:r>
        <w:rPr>
          <w:rFonts w:hint="default" w:ascii="Times New Roman" w:hAnsi="Times New Roman" w:cs="Times New Roman"/>
        </w:rPr>
        <w:t>的计算见公式（</w:t>
      </w:r>
      <w:r>
        <w:rPr>
          <w:rFonts w:hint="eastAsia" w:cs="Times New Roman"/>
          <w:lang w:val="en-US" w:eastAsia="zh-CN"/>
        </w:rPr>
        <w:t>6</w:t>
      </w:r>
      <w:r>
        <w:rPr>
          <w:rFonts w:hint="default" w:ascii="Times New Roman" w:hAnsi="Times New Roman" w:cs="Times New Roman"/>
        </w:rPr>
        <w:t>）</w:t>
      </w:r>
      <w:r>
        <w:rPr>
          <w:rFonts w:hint="default" w:ascii="Times New Roman" w:hAnsi="Times New Roman" w:cs="Times New Roman"/>
          <w:lang w:val="en-US" w:eastAsia="zh-CN"/>
        </w:rPr>
        <w:t>：</w:t>
      </w:r>
    </w:p>
    <w:p w14:paraId="298A3599">
      <w:pPr>
        <w:pStyle w:val="21"/>
        <w:bidi w:val="0"/>
        <w:rPr>
          <w:rFonts w:hint="default" w:ascii="Times New Roman" w:hAnsi="Times New Roman" w:cs="Times New Roma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EF</m:t>
            </m:r>
            <m:ctrlPr>
              <w:rPr>
                <w:rFonts w:hint="default" w:ascii="Cambria Math" w:hAnsi="Cambria Math" w:cs="Cambria Math"/>
                <w:lang w:val="en-US"/>
              </w:rPr>
            </m:ctrlPr>
          </m:e>
          <m:sub>
            <m:r>
              <m:rPr>
                <m:sty m:val="p"/>
              </m:rPr>
              <w:rPr>
                <w:rFonts w:hint="default" w:ascii="Cambria Math" w:hAnsi="Cambria Math" w:cs="Cambria Math"/>
                <w:lang w:val="en-US" w:eastAsia="zh-CN"/>
              </w:rPr>
              <m:t>i,y</m:t>
            </m:r>
            <m:ctrlPr>
              <w:rPr>
                <w:rFonts w:hint="default" w:ascii="Cambria Math" w:hAnsi="Cambria Math" w:cs="Cambria Math"/>
                <w:lang w:val="en-US"/>
              </w:rPr>
            </m:ctrlPr>
          </m:sub>
        </m:sSub>
        <m:r>
          <m:rPr>
            <m:sty m:val="p"/>
          </m:rPr>
          <w:rPr>
            <w:rFonts w:hint="default" w:ascii="Cambria Math" w:hAnsi="Cambria Math" w:cs="Cambria Math"/>
            <w:lang w:val="en-US" w:eastAsia="zh-CN"/>
          </w:rPr>
          <m:t>=</m:t>
        </m:r>
        <m:f>
          <m:fPr>
            <m:ctrlPr>
              <w:rPr>
                <w:rFonts w:hint="default" w:ascii="Cambria Math" w:hAnsi="Cambria Math" w:cs="Cambria Math"/>
                <w:lang w:val="en-US" w:eastAsia="zh-CN"/>
              </w:rPr>
            </m:ctrlPr>
          </m:fPr>
          <m:num>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m:t>
                </m:r>
                <m:ctrlPr>
                  <w:rPr>
                    <w:rFonts w:hint="default" w:ascii="Cambria Math" w:hAnsi="Cambria Math" w:cs="Cambria Math"/>
                    <w:lang w:val="en-US" w:eastAsia="zh-CN"/>
                  </w:rPr>
                </m:ctrlPr>
              </m:sub>
            </m:sSub>
            <m:r>
              <m:rPr>
                <m:sty m:val="p"/>
              </m:rPr>
              <w:rPr>
                <w:rFonts w:hint="default" w:ascii="Cambria Math" w:hAnsi="Cambria Math"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m:t>
                </m:r>
                <m:ctrlPr>
                  <w:rPr>
                    <w:rFonts w:hint="default" w:ascii="Cambria Math" w:hAnsi="Cambria Math" w:cs="Cambria Math"/>
                    <w:lang w:val="en-US" w:eastAsia="zh-CN"/>
                  </w:rPr>
                </m:ctrlPr>
              </m:sub>
            </m:sSub>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R</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ctrlPr>
              <w:rPr>
                <w:rFonts w:hint="default" w:ascii="Cambria Math" w:hAnsi="Cambria Math" w:cs="Cambria Math"/>
                <w:lang w:val="en-US" w:eastAsia="zh-CN"/>
              </w:rPr>
            </m:ctrlPr>
          </m:num>
          <m:den>
            <m:r>
              <m:rPr>
                <m:sty m:val="p"/>
              </m:rPr>
              <w:rPr>
                <w:rFonts w:hint="default" w:ascii="Cambria Math" w:hAnsi="Cambria Math" w:cs="Cambria Math"/>
                <w:lang w:val="en-US" w:eastAsia="zh-CN"/>
              </w:rPr>
              <m:t>365</m:t>
            </m:r>
            <m:r>
              <m:rPr>
                <m:sty m:val="p"/>
              </m:rPr>
              <w:rPr>
                <w:rFonts w:hint="default" w:ascii="Cambria Math" w:hAnsi="Cambria Math" w:cs="Cambria Math"/>
                <w:lang w:val="en-US"/>
              </w:rPr>
              <m:t>×</m:t>
            </m:r>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B</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ctrlPr>
              <w:rPr>
                <w:rFonts w:hint="default" w:ascii="Cambria Math" w:hAnsi="Cambria Math" w:cs="Cambria Math"/>
                <w:lang w:val="en-US" w:eastAsia="zh-CN"/>
              </w:rPr>
            </m:ctrlPr>
          </m:den>
        </m:f>
        <m:r>
          <m:rPr>
            <m:sty m:val="p"/>
          </m:rPr>
          <w:rPr>
            <w:rFonts w:hint="eastAsia" w:cs="Cambria Math"/>
            <w:lang w:val="en-US" w:eastAsia="zh-CN"/>
          </w:rPr>
          <m:t>×</m:t>
        </m:r>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ab/>
      </w:r>
      <w:r>
        <w:rPr>
          <w:rFonts w:hint="default" w:ascii="Times New Roman" w:hAnsi="Times New Roman" w:cs="Times New Roman"/>
        </w:rPr>
        <w:t>（</w:t>
      </w:r>
      <w:r>
        <w:rPr>
          <w:rFonts w:hint="eastAsia" w:ascii="Times New Roman" w:hAnsi="Times New Roman" w:eastAsia="宋体" w:cs="Times New Roman"/>
          <w:lang w:val="en-US" w:eastAsia="zh-CN"/>
        </w:rPr>
        <w:t>6</w:t>
      </w:r>
      <w:r>
        <w:rPr>
          <w:rFonts w:hint="default" w:ascii="Times New Roman" w:hAnsi="Times New Roman" w:cs="Times New Roman"/>
        </w:rPr>
        <w:t>）</w:t>
      </w:r>
    </w:p>
    <w:p w14:paraId="7CBED504">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式中：</w:t>
      </w:r>
    </w:p>
    <w:p w14:paraId="758EBCD2">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——第y年i星级酒店单位建筑面积年均电能消耗量。（单位：kWh/（m</w:t>
      </w:r>
      <w:r>
        <w:rPr>
          <w:rFonts w:hint="default" w:ascii="Times New Roman" w:hAnsi="Times New Roman" w:eastAsia="微软雅黑" w:cs="Times New Roman"/>
          <w:lang w:val="en-US" w:eastAsia="zh-CN"/>
        </w:rPr>
        <w:t>²</w:t>
      </w:r>
      <w:r>
        <w:rPr>
          <w:rFonts w:hint="default" w:ascii="Times New Roman" w:hAnsi="Times New Roman" w:cs="Times New Roman"/>
          <w:lang w:val="en-US" w:eastAsia="zh-CN"/>
        </w:rPr>
        <w:t>·a））；</w:t>
      </w:r>
    </w:p>
    <w:p w14:paraId="693D930E">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A</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i</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——i星级酒店单人客房净面积（单位：m</w:t>
      </w:r>
      <w:r>
        <w:rPr>
          <w:rFonts w:hint="default" w:ascii="Times New Roman" w:hAnsi="Times New Roman" w:eastAsia="微软雅黑" w:cs="Times New Roman"/>
          <w:lang w:val="en-US" w:eastAsia="zh-CN"/>
        </w:rPr>
        <w:t>²</w:t>
      </w:r>
      <w:r>
        <w:rPr>
          <w:rFonts w:hint="default" w:ascii="Times New Roman" w:hAnsi="Times New Roman" w:cs="Times New Roman"/>
          <w:lang w:val="en-US" w:eastAsia="zh-CN"/>
        </w:rPr>
        <w:t>）；</w:t>
      </w:r>
    </w:p>
    <w:p w14:paraId="38169BBA">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R</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oMath>
      <w:r>
        <w:rPr>
          <w:rFonts w:hint="default" w:ascii="Times New Roman" w:hAnsi="Times New Roman" w:cs="Times New Roman"/>
          <w:lang w:val="en-US" w:eastAsia="zh-CN"/>
        </w:rPr>
        <w:t>——全国范围内登记在册的i星级酒店客房数量（单位：间）；</w:t>
      </w:r>
    </w:p>
    <w:p w14:paraId="1571DE63">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B</m:t>
            </m:r>
            <m:ctrlPr>
              <w:rPr>
                <w:rFonts w:hint="default" w:ascii="Cambria Math" w:hAnsi="Cambria Math" w:cs="Cambria Math"/>
                <w:lang w:val="en-US"/>
              </w:rPr>
            </m:ctrlPr>
          </m:e>
          <m:sub>
            <m:r>
              <m:rPr>
                <m:sty m:val="p"/>
              </m:rPr>
              <w:rPr>
                <w:rFonts w:hint="default" w:ascii="Cambria Math" w:hAnsi="Cambria Math" w:cs="Cambria Math"/>
                <w:lang w:val="en-US" w:eastAsia="zh-CN"/>
              </w:rPr>
              <m:t>i</m:t>
            </m:r>
            <m:ctrlPr>
              <w:rPr>
                <w:rFonts w:hint="default" w:ascii="Cambria Math" w:hAnsi="Cambria Math" w:cs="Cambria Math"/>
                <w:lang w:val="en-US"/>
              </w:rPr>
            </m:ctrlPr>
          </m:sub>
        </m:sSub>
      </m:oMath>
      <w:r>
        <w:rPr>
          <w:rFonts w:hint="default" w:ascii="Times New Roman" w:hAnsi="Times New Roman" w:cs="Times New Roman"/>
          <w:lang w:val="en-US" w:eastAsia="zh-CN"/>
        </w:rPr>
        <w:t>——全国i星级酒店备案床位总数（单位：个）；</w:t>
      </w:r>
    </w:p>
    <w:p w14:paraId="19480596">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——2024年</w:t>
      </w:r>
      <w:r>
        <w:rPr>
          <w:rFonts w:hint="default" w:ascii="Times New Roman" w:hAnsi="Times New Roman" w:eastAsia="宋体" w:cs="Times New Roman"/>
          <w:lang w:val="en-US" w:eastAsia="zh-CN"/>
        </w:rPr>
        <w:t>减排项目</w:t>
      </w:r>
      <w:r>
        <w:rPr>
          <w:rFonts w:hint="default" w:ascii="Times New Roman" w:hAnsi="Times New Roman" w:cs="Times New Roman"/>
          <w:lang w:val="en-US" w:eastAsia="zh-CN"/>
        </w:rPr>
        <w:t>中国区域电网基准线排放因子，取值0.6313kg</w:t>
      </w:r>
      <w:r>
        <w:rPr>
          <w:rFonts w:hint="default" w:ascii="Times New Roman" w:hAnsi="Times New Roman" w:cs="Times New Roman"/>
        </w:rPr>
        <w:t>CO₂</w:t>
      </w:r>
      <w:r>
        <w:rPr>
          <w:rFonts w:hint="default" w:ascii="Times New Roman" w:hAnsi="Times New Roman" w:cs="Times New Roman"/>
          <w:lang w:val="en-US" w:eastAsia="zh-CN"/>
        </w:rPr>
        <w:t>/kWh。</w:t>
      </w:r>
    </w:p>
    <w:p w14:paraId="580D3D62">
      <w:pPr>
        <w:pStyle w:val="5"/>
        <w:bidi w:val="0"/>
        <w:rPr>
          <w:rFonts w:hint="default" w:ascii="Times New Roman" w:hAnsi="Times New Roman" w:eastAsia="黑体" w:cs="Times New Roman"/>
          <w:snapToGrid w:val="0"/>
          <w:color w:val="000000"/>
          <w:spacing w:val="3"/>
          <w:kern w:val="0"/>
          <w:sz w:val="21"/>
          <w:szCs w:val="21"/>
          <w:lang w:val="en-US" w:eastAsia="zh-CN" w:bidi="ar-SA"/>
        </w:rPr>
      </w:pPr>
      <w:bookmarkStart w:id="76" w:name="_Toc2695"/>
      <w:r>
        <w:rPr>
          <w:rFonts w:hint="default" w:ascii="Times New Roman" w:hAnsi="Times New Roman" w:cs="Times New Roman"/>
          <w:spacing w:val="2"/>
          <w:sz w:val="21"/>
          <w:szCs w:val="21"/>
        </w:rPr>
        <w:t>A.2.</w:t>
      </w:r>
      <w:r>
        <w:rPr>
          <w:rFonts w:hint="default" w:ascii="Times New Roman" w:hAnsi="Times New Roman" w:cs="Times New Roman"/>
          <w:spacing w:val="2"/>
          <w:sz w:val="21"/>
          <w:szCs w:val="21"/>
          <w:lang w:val="en-US" w:eastAsia="zh-CN"/>
        </w:rPr>
        <w:t>2</w:t>
      </w:r>
      <w:r>
        <w:rPr>
          <w:rFonts w:hint="default" w:ascii="Times New Roman" w:hAnsi="Times New Roman" w:cs="Times New Roman"/>
          <w:spacing w:val="2"/>
          <w:sz w:val="21"/>
          <w:szCs w:val="21"/>
        </w:rPr>
        <w:t xml:space="preserve">  </w:t>
      </w:r>
      <w:r>
        <w:rPr>
          <w:rFonts w:hint="default" w:ascii="Times New Roman" w:hAnsi="Times New Roman" w:cs="Times New Roman"/>
          <w:spacing w:val="2"/>
          <w:sz w:val="21"/>
          <w:szCs w:val="21"/>
          <w:lang w:val="en-US" w:eastAsia="zh-CN"/>
        </w:rPr>
        <w:t>项目情景二：</w:t>
      </w:r>
      <w:r>
        <w:rPr>
          <w:rFonts w:hint="eastAsia" w:ascii="Times New Roman" w:hAnsi="Times New Roman" w:cs="Times New Roman"/>
          <w:snapToGrid w:val="0"/>
          <w:color w:val="000000"/>
          <w:spacing w:val="3"/>
          <w:kern w:val="0"/>
          <w:sz w:val="21"/>
          <w:szCs w:val="21"/>
          <w:lang w:val="en-US" w:eastAsia="zh-CN" w:bidi="ar-SA"/>
        </w:rPr>
        <w:t>低碳</w:t>
      </w:r>
      <w:r>
        <w:rPr>
          <w:rFonts w:hint="default" w:ascii="Times New Roman" w:hAnsi="Times New Roman" w:eastAsia="黑体" w:cs="Times New Roman"/>
          <w:snapToGrid w:val="0"/>
          <w:color w:val="000000"/>
          <w:spacing w:val="3"/>
          <w:kern w:val="0"/>
          <w:sz w:val="21"/>
          <w:szCs w:val="21"/>
          <w:lang w:val="en-US" w:eastAsia="zh-CN" w:bidi="ar-SA"/>
        </w:rPr>
        <w:t>行为的碳排放因子</w:t>
      </w:r>
      <w:r>
        <w:rPr>
          <w:rFonts w:hint="eastAsia" w:ascii="Times New Roman" w:hAnsi="Times New Roman" w:cs="Times New Roman"/>
          <w:snapToGrid w:val="0"/>
          <w:color w:val="000000"/>
          <w:spacing w:val="3"/>
          <w:kern w:val="0"/>
          <w:sz w:val="21"/>
          <w:szCs w:val="21"/>
          <w:lang w:val="en-US" w:eastAsia="zh-CN" w:bidi="ar-SA"/>
        </w:rPr>
        <w:t>（</w:t>
      </w:r>
      <w:bookmarkEnd w:id="76"/>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oMath>
      <w:r>
        <w:rPr>
          <w:rFonts w:hint="eastAsia" w:ascii="Times New Roman" w:hAnsi="Times New Roman" w:cs="Times New Roman"/>
          <w:snapToGrid w:val="0"/>
          <w:color w:val="000000"/>
          <w:spacing w:val="3"/>
          <w:kern w:val="0"/>
          <w:sz w:val="21"/>
          <w:szCs w:val="21"/>
          <w:lang w:val="en-US" w:eastAsia="zh-CN" w:bidi="ar-SA"/>
        </w:rPr>
        <w:t>）</w:t>
      </w:r>
    </w:p>
    <w:p w14:paraId="3739B751">
      <w:pPr>
        <w:pStyle w:val="3"/>
        <w:bidi w:val="0"/>
        <w:rPr>
          <w:rFonts w:hint="default" w:ascii="Times New Roman" w:hAnsi="Times New Roman" w:cs="Times New Roman"/>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oMath>
      <w:r>
        <w:rPr>
          <w:rFonts w:hint="default" w:ascii="Times New Roman" w:hAnsi="Times New Roman" w:cs="Times New Roman"/>
        </w:rPr>
        <w:t>的</w:t>
      </w:r>
      <w:r>
        <w:rPr>
          <w:rFonts w:hint="default" w:ascii="Times New Roman" w:hAnsi="Times New Roman" w:cs="Times New Roman"/>
          <w:lang w:val="en-US" w:eastAsia="zh-CN"/>
        </w:rPr>
        <w:t>值如下：项目情景二中</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的值由消费者选择低碳服务后不同服务行为排放因子的和。</w:t>
      </w:r>
    </w:p>
    <w:p w14:paraId="3DC35905">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不使用一次性洗漱用品</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1,y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=1.530kg/（床·晚）——第y年因住客连续入住时不使用一次性洗漱用品（如牙刷、梳子、剃须刀等）产生的碳减排因子。</w:t>
      </w:r>
    </w:p>
    <w:p w14:paraId="093E9FE3">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不更换床单、被套</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2,y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=0.871kg/（床·晚）——第y年因住客在连续入住期间不更换床单、被套产生的碳减排因子。</w:t>
      </w:r>
    </w:p>
    <w:p w14:paraId="7CDD42D0">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不更换毛巾、浴巾、浴袍</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3,y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=0.684kg/（床·晚）——第y年因住客在连续入住期间不更换毛巾、浴巾、浴袍产生的碳减排因子。</w:t>
      </w:r>
    </w:p>
    <w:p w14:paraId="0673B73F">
      <w:pPr>
        <w:pStyle w:val="3"/>
        <w:bidi w:val="0"/>
        <w:rPr>
          <w:rFonts w:hint="default" w:ascii="Times New Roman" w:hAnsi="Times New Roman" w:cs="Times New Roman"/>
          <w:lang w:val="en-US" w:eastAsia="zh-CN"/>
        </w:rPr>
      </w:pPr>
      <w:r>
        <w:rPr>
          <w:rFonts w:hint="default" w:ascii="Times New Roman" w:hAnsi="Times New Roman" w:cs="Times New Roman"/>
          <w:lang w:val="en-US" w:eastAsia="zh-CN"/>
        </w:rPr>
        <w:t>不新增一次性拖鞋</w:t>
      </w: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4,y</m:t>
            </m:r>
            <m:ctrlPr>
              <w:rPr>
                <w:rFonts w:hint="default" w:ascii="Cambria Math" w:hAnsi="Cambria Math" w:cs="Cambria Math"/>
                <w:lang w:val="en-US" w:eastAsia="zh-CN"/>
              </w:rPr>
            </m:ctrlPr>
          </m:sub>
        </m:sSub>
      </m:oMath>
      <w:r>
        <w:rPr>
          <w:rFonts w:hint="default" w:ascii="Times New Roman" w:hAnsi="Times New Roman" w:cs="Times New Roman"/>
          <w:lang w:val="en-US" w:eastAsia="zh-CN"/>
        </w:rPr>
        <w:t>=0.634kg/（床·晚）——第y年因住客在连续入住期间不新增一次性拖鞋产生的碳减排因子。</w:t>
      </w:r>
    </w:p>
    <w:p w14:paraId="701461F9">
      <w:pPr>
        <w:pStyle w:val="3"/>
        <w:bidi w:val="0"/>
        <w:rPr>
          <w:rFonts w:hint="default" w:ascii="Times New Roman" w:hAnsi="Times New Roman" w:cs="Times New Roman"/>
          <w:lang w:val="en-US" w:eastAsia="zh-CN"/>
        </w:rPr>
      </w:pPr>
    </w:p>
    <w:p w14:paraId="7BC1EC09">
      <w:pPr>
        <w:pStyle w:val="3"/>
        <w:bidi w:val="0"/>
        <w:rPr>
          <w:rFonts w:hint="default" w:ascii="Times New Roman" w:hAnsi="Times New Roman" w:cs="Times New Roman"/>
        </w:rPr>
        <w:sectPr>
          <w:footerReference r:id="rId10" w:type="default"/>
          <w:pgSz w:w="11907" w:h="16839"/>
          <w:pgMar w:top="1716" w:right="1070" w:bottom="1340" w:left="1421" w:header="1391" w:footer="1106" w:gutter="0"/>
          <w:pgNumType w:fmt="decimal"/>
          <w:cols w:space="720" w:num="1"/>
        </w:sectPr>
      </w:pPr>
    </w:p>
    <w:p w14:paraId="33EF8DE3">
      <w:pPr>
        <w:pStyle w:val="3"/>
        <w:spacing w:before="90" w:line="176" w:lineRule="auto"/>
        <w:ind w:left="4789"/>
        <w:rPr>
          <w:rFonts w:hint="default" w:ascii="Times New Roman" w:hAnsi="Times New Roman" w:cs="Times New Roman"/>
          <w:sz w:val="2"/>
          <w:szCs w:val="2"/>
        </w:rPr>
      </w:pPr>
      <w:r>
        <w:rPr>
          <w:rFonts w:hint="default" w:ascii="Times New Roman" w:hAnsi="Times New Roman" w:cs="Times New Roman"/>
          <w:sz w:val="2"/>
          <w:szCs w:val="2"/>
        </w:rPr>
        <w:t>B</w:t>
      </w:r>
    </w:p>
    <w:p w14:paraId="7D2ABB6F">
      <w:pPr>
        <w:pStyle w:val="2"/>
        <w:bidi w:val="0"/>
        <w:rPr>
          <w:rFonts w:hint="default"/>
        </w:rPr>
      </w:pPr>
      <w:bookmarkStart w:id="77" w:name="_Toc4442"/>
      <w:bookmarkStart w:id="78" w:name="_Toc8062"/>
      <w:r>
        <w:rPr>
          <w:rFonts w:hint="default"/>
        </w:rPr>
        <w:t>附</w:t>
      </w:r>
      <w:r>
        <w:rPr>
          <w:rFonts w:hint="default"/>
          <w:lang w:val="en-US" w:eastAsia="zh-CN"/>
        </w:rPr>
        <w:t xml:space="preserve"> </w:t>
      </w:r>
      <w:r>
        <w:rPr>
          <w:rFonts w:hint="default"/>
        </w:rPr>
        <w:t>录</w:t>
      </w:r>
      <w:r>
        <w:rPr>
          <w:rFonts w:hint="default"/>
          <w:lang w:val="en-US" w:eastAsia="zh-CN"/>
        </w:rPr>
        <w:t xml:space="preserve"> </w:t>
      </w:r>
      <w:r>
        <w:rPr>
          <w:rFonts w:hint="default"/>
        </w:rPr>
        <w:t>B</w:t>
      </w:r>
      <w:bookmarkStart w:id="79" w:name="bookmark10"/>
      <w:bookmarkEnd w:id="79"/>
      <w:bookmarkStart w:id="80" w:name="bookmark22"/>
      <w:bookmarkEnd w:id="80"/>
      <w:bookmarkStart w:id="81" w:name="bookmark30"/>
      <w:bookmarkEnd w:id="81"/>
      <w:r>
        <w:rPr>
          <w:rFonts w:hint="default"/>
        </w:rPr>
        <w:t>（规范性）</w:t>
      </w:r>
      <w:bookmarkStart w:id="82" w:name="bookmark22"/>
      <w:bookmarkEnd w:id="82"/>
      <w:bookmarkStart w:id="83" w:name="bookmark30"/>
      <w:bookmarkEnd w:id="83"/>
      <w:r>
        <w:rPr>
          <w:rFonts w:hint="default"/>
        </w:rPr>
        <w:t>相关数据及来源说明</w:t>
      </w:r>
      <w:bookmarkEnd w:id="77"/>
      <w:bookmarkEnd w:id="78"/>
    </w:p>
    <w:p w14:paraId="08A9D275">
      <w:pPr>
        <w:pStyle w:val="3"/>
        <w:bidi w:val="0"/>
        <w:rPr>
          <w:rFonts w:hint="default" w:ascii="Times New Roman" w:hAnsi="Times New Roman" w:cs="Times New Roman"/>
        </w:rPr>
      </w:pPr>
      <w:r>
        <w:rPr>
          <w:rFonts w:hint="default" w:ascii="Times New Roman" w:hAnsi="Times New Roman" w:cs="Times New Roman"/>
        </w:rPr>
        <w:t>表B.1</w:t>
      </w:r>
      <w:r>
        <w:rPr>
          <w:rFonts w:hint="default" w:ascii="Times New Roman" w:hAnsi="Times New Roman" w:cs="Times New Roman"/>
          <w:lang w:val="en-US" w:eastAsia="zh-CN"/>
        </w:rPr>
        <w:t>至B.</w:t>
      </w:r>
      <w:r>
        <w:rPr>
          <w:rFonts w:hint="eastAsia" w:cs="Times New Roman"/>
          <w:lang w:val="en-US" w:eastAsia="zh-CN"/>
        </w:rPr>
        <w:t>6</w:t>
      </w:r>
      <w:r>
        <w:rPr>
          <w:rFonts w:hint="default" w:ascii="Times New Roman" w:hAnsi="Times New Roman" w:cs="Times New Roman"/>
        </w:rPr>
        <w:t>规定了相关数据及来源说明</w:t>
      </w:r>
    </w:p>
    <w:p w14:paraId="613C84A5">
      <w:pPr>
        <w:pStyle w:val="3"/>
        <w:spacing w:before="196" w:line="219" w:lineRule="auto"/>
        <w:jc w:val="center"/>
        <w:rPr>
          <w:rFonts w:hint="eastAsia" w:ascii="黑体" w:hAnsi="黑体" w:eastAsia="黑体" w:cs="黑体"/>
          <w:spacing w:val="-5"/>
          <w:sz w:val="21"/>
          <w:szCs w:val="21"/>
        </w:rPr>
      </w:pPr>
      <w:r>
        <w:rPr>
          <w:rFonts w:hint="eastAsia" w:ascii="黑体" w:hAnsi="黑体" w:eastAsia="黑体" w:cs="黑体"/>
          <w:spacing w:val="-5"/>
          <w:sz w:val="21"/>
          <w:szCs w:val="21"/>
        </w:rPr>
        <w:t>表</w:t>
      </w:r>
      <w:r>
        <w:rPr>
          <w:rFonts w:hint="eastAsia" w:ascii="黑体" w:hAnsi="黑体" w:eastAsia="黑体" w:cs="黑体"/>
          <w:spacing w:val="-5"/>
          <w:sz w:val="21"/>
          <w:szCs w:val="21"/>
          <w:lang w:val="en-US" w:eastAsia="zh-CN"/>
        </w:rPr>
        <w:t xml:space="preserve"> </w:t>
      </w:r>
      <w:r>
        <w:rPr>
          <w:rFonts w:hint="eastAsia" w:ascii="黑体" w:hAnsi="黑体" w:eastAsia="黑体" w:cs="黑体"/>
          <w:spacing w:val="-5"/>
          <w:sz w:val="21"/>
          <w:szCs w:val="21"/>
        </w:rPr>
        <w:t>B</w:t>
      </w:r>
      <w:r>
        <w:rPr>
          <w:rFonts w:hint="eastAsia" w:ascii="黑体" w:hAnsi="黑体" w:eastAsia="黑体" w:cs="黑体"/>
          <w:spacing w:val="-5"/>
          <w:sz w:val="21"/>
          <w:szCs w:val="21"/>
          <w:lang w:val="en-US" w:eastAsia="zh-CN"/>
        </w:rPr>
        <w:t>.1 i星级酒店的客房床位接待量</w:t>
      </w:r>
    </w:p>
    <w:tbl>
      <w:tblPr>
        <w:tblStyle w:val="18"/>
        <w:tblW w:w="905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644"/>
        <w:gridCol w:w="7408"/>
      </w:tblGrid>
      <w:tr w14:paraId="0F93C5CE">
        <w:trPr>
          <w:trHeight w:val="0" w:hRule="atLeast"/>
          <w:tblHeader/>
          <w:jc w:val="center"/>
        </w:trPr>
        <w:tc>
          <w:tcPr>
            <w:tcW w:w="1644" w:type="dxa"/>
            <w:vAlign w:val="center"/>
          </w:tcPr>
          <w:p w14:paraId="7E02532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408" w:type="dxa"/>
            <w:vAlign w:val="center"/>
          </w:tcPr>
          <w:p w14:paraId="5FC6284C">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pacing w:val="-1"/>
                <w:lang w:val="en-US" w:eastAsia="zh-CN"/>
              </w:rPr>
              <w:t>N</w:t>
            </w:r>
            <w:r>
              <w:rPr>
                <w:rFonts w:hint="default" w:ascii="Times New Roman" w:hAnsi="Times New Roman" w:cs="Times New Roman"/>
                <w:spacing w:val="-1"/>
                <w:vertAlign w:val="subscript"/>
                <w:lang w:val="en-US" w:eastAsia="zh-CN"/>
              </w:rPr>
              <w:t>i,y</w:t>
            </w:r>
          </w:p>
        </w:tc>
      </w:tr>
      <w:tr w14:paraId="05BF7FB7">
        <w:trPr>
          <w:trHeight w:val="0" w:hRule="atLeast"/>
          <w:tblHeader/>
          <w:jc w:val="center"/>
        </w:trPr>
        <w:tc>
          <w:tcPr>
            <w:tcW w:w="1644" w:type="dxa"/>
            <w:vAlign w:val="center"/>
          </w:tcPr>
          <w:p w14:paraId="386AC9B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408" w:type="dxa"/>
            <w:vAlign w:val="center"/>
          </w:tcPr>
          <w:p w14:paraId="0DB0B37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lang w:val="en-US" w:eastAsia="zh-CN"/>
              </w:rPr>
              <w:t>第y年i</w:t>
            </w:r>
            <w:r>
              <w:rPr>
                <w:rFonts w:hint="default" w:ascii="Times New Roman" w:hAnsi="Times New Roman" w:cs="Times New Roman"/>
              </w:rPr>
              <w:t>星级</w:t>
            </w:r>
            <w:r>
              <w:rPr>
                <w:rFonts w:hint="default" w:ascii="Times New Roman" w:hAnsi="Times New Roman" w:cs="Times New Roman"/>
                <w:lang w:val="en-US" w:eastAsia="zh-CN"/>
              </w:rPr>
              <w:t>酒店</w:t>
            </w:r>
            <w:r>
              <w:rPr>
                <w:rFonts w:hint="default" w:ascii="Times New Roman" w:hAnsi="Times New Roman" w:cs="Times New Roman"/>
              </w:rPr>
              <w:t>的客房床位接待量</w:t>
            </w:r>
          </w:p>
        </w:tc>
      </w:tr>
      <w:tr w14:paraId="7C3B8764">
        <w:trPr>
          <w:trHeight w:val="0" w:hRule="atLeast"/>
          <w:tblHeader/>
          <w:jc w:val="center"/>
        </w:trPr>
        <w:tc>
          <w:tcPr>
            <w:tcW w:w="1644" w:type="dxa"/>
            <w:vAlign w:val="center"/>
          </w:tcPr>
          <w:p w14:paraId="2507CCB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408" w:type="dxa"/>
            <w:vAlign w:val="center"/>
          </w:tcPr>
          <w:p w14:paraId="57BDAEE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床</w:t>
            </w:r>
          </w:p>
        </w:tc>
      </w:tr>
      <w:tr w14:paraId="270FDE31">
        <w:trPr>
          <w:trHeight w:val="0" w:hRule="atLeast"/>
          <w:tblHeader/>
          <w:jc w:val="center"/>
        </w:trPr>
        <w:tc>
          <w:tcPr>
            <w:tcW w:w="1644" w:type="dxa"/>
            <w:vAlign w:val="center"/>
          </w:tcPr>
          <w:p w14:paraId="12B8A4C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408" w:type="dxa"/>
            <w:vAlign w:val="center"/>
          </w:tcPr>
          <w:p w14:paraId="1F1C783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酒店运营管理系统</w:t>
            </w:r>
          </w:p>
        </w:tc>
      </w:tr>
      <w:tr w14:paraId="67AD0187">
        <w:trPr>
          <w:trHeight w:val="0" w:hRule="atLeast"/>
          <w:tblHeader/>
          <w:jc w:val="center"/>
        </w:trPr>
        <w:tc>
          <w:tcPr>
            <w:tcW w:w="1644" w:type="dxa"/>
            <w:vAlign w:val="center"/>
          </w:tcPr>
          <w:p w14:paraId="0DEA70A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spacing w:val="-2"/>
                <w:lang w:val="en-US" w:eastAsia="zh-CN"/>
              </w:rPr>
            </w:pPr>
            <w:r>
              <w:rPr>
                <w:rFonts w:hint="default" w:ascii="Times New Roman" w:hAnsi="Times New Roman" w:cs="Times New Roman"/>
                <w:b/>
                <w:spacing w:val="-2"/>
                <w:lang w:val="en-US" w:eastAsia="zh-CN"/>
              </w:rPr>
              <w:t>监测频率</w:t>
            </w:r>
          </w:p>
        </w:tc>
        <w:tc>
          <w:tcPr>
            <w:tcW w:w="7408" w:type="dxa"/>
            <w:vAlign w:val="center"/>
          </w:tcPr>
          <w:p w14:paraId="7E7D0FD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通常以</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年</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为单位进行汇总统计，与碳排放核算的周期保持一致</w:t>
            </w:r>
          </w:p>
        </w:tc>
      </w:tr>
      <w:tr w14:paraId="58894B12">
        <w:trPr>
          <w:trHeight w:val="0" w:hRule="atLeast"/>
          <w:tblHeader/>
          <w:jc w:val="center"/>
        </w:trPr>
        <w:tc>
          <w:tcPr>
            <w:tcW w:w="1644" w:type="dxa"/>
            <w:shd w:val="clear" w:color="auto" w:fill="auto"/>
            <w:vAlign w:val="center"/>
          </w:tcPr>
          <w:p w14:paraId="0BE68D5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7408" w:type="dxa"/>
            <w:shd w:val="clear" w:color="auto" w:fill="auto"/>
            <w:vAlign w:val="center"/>
          </w:tcPr>
          <w:p w14:paraId="4CF731C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0FE92D5E">
      <w:pPr>
        <w:pStyle w:val="3"/>
        <w:spacing w:before="196" w:line="219" w:lineRule="auto"/>
        <w:jc w:val="center"/>
        <w:rPr>
          <w:rFonts w:hint="default" w:ascii="黑体" w:hAnsi="黑体" w:eastAsia="黑体" w:cs="黑体"/>
          <w:spacing w:val="-5"/>
          <w:sz w:val="21"/>
          <w:szCs w:val="21"/>
        </w:rPr>
      </w:pPr>
      <w:r>
        <w:rPr>
          <w:rFonts w:hint="default" w:ascii="黑体" w:hAnsi="黑体" w:eastAsia="黑体" w:cs="黑体"/>
          <w:spacing w:val="-5"/>
          <w:sz w:val="21"/>
          <w:szCs w:val="21"/>
        </w:rPr>
        <w:t>表</w:t>
      </w:r>
      <w:r>
        <w:rPr>
          <w:rFonts w:hint="default" w:ascii="黑体" w:hAnsi="黑体" w:eastAsia="黑体" w:cs="黑体"/>
          <w:spacing w:val="-5"/>
          <w:sz w:val="21"/>
          <w:szCs w:val="21"/>
          <w:lang w:val="en-US" w:eastAsia="zh-CN"/>
        </w:rPr>
        <w:t xml:space="preserve"> </w:t>
      </w:r>
      <w:r>
        <w:rPr>
          <w:rFonts w:hint="default" w:ascii="黑体" w:hAnsi="黑体" w:eastAsia="黑体" w:cs="黑体"/>
          <w:spacing w:val="-5"/>
          <w:sz w:val="21"/>
          <w:szCs w:val="21"/>
        </w:rPr>
        <w:t>B</w:t>
      </w:r>
      <w:r>
        <w:rPr>
          <w:rFonts w:hint="default" w:ascii="黑体" w:hAnsi="黑体" w:eastAsia="黑体" w:cs="黑体"/>
          <w:spacing w:val="-5"/>
          <w:sz w:val="21"/>
          <w:szCs w:val="21"/>
          <w:lang w:val="en-US" w:eastAsia="zh-CN"/>
        </w:rPr>
        <w:t>.2 i星级酒店客房入住时长</w:t>
      </w:r>
    </w:p>
    <w:tbl>
      <w:tblPr>
        <w:tblStyle w:val="18"/>
        <w:tblW w:w="900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646"/>
        <w:gridCol w:w="7356"/>
      </w:tblGrid>
      <w:tr w14:paraId="174E3127">
        <w:trPr>
          <w:trHeight w:val="0" w:hRule="atLeast"/>
          <w:tblHeader/>
          <w:jc w:val="center"/>
        </w:trPr>
        <w:tc>
          <w:tcPr>
            <w:tcW w:w="0" w:type="auto"/>
            <w:vAlign w:val="center"/>
          </w:tcPr>
          <w:p w14:paraId="0FF082E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7356" w:type="dxa"/>
            <w:vAlign w:val="center"/>
          </w:tcPr>
          <w:p w14:paraId="2965CB99">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pacing w:val="-1"/>
                <w:vertAlign w:val="baseline"/>
                <w:lang w:val="en-US" w:eastAsia="zh-CN"/>
              </w:rPr>
              <w:t>t</w:t>
            </w:r>
            <w:r>
              <w:rPr>
                <w:rFonts w:hint="default" w:ascii="Times New Roman" w:hAnsi="Times New Roman" w:cs="Times New Roman"/>
                <w:spacing w:val="-1"/>
                <w:vertAlign w:val="subscript"/>
                <w:lang w:val="en-US" w:eastAsia="zh-CN"/>
              </w:rPr>
              <w:t>i,y</w:t>
            </w:r>
          </w:p>
        </w:tc>
      </w:tr>
      <w:tr w14:paraId="3C84B685">
        <w:trPr>
          <w:trHeight w:val="0" w:hRule="atLeast"/>
          <w:tblHeader/>
          <w:jc w:val="center"/>
        </w:trPr>
        <w:tc>
          <w:tcPr>
            <w:tcW w:w="0" w:type="auto"/>
            <w:vAlign w:val="center"/>
          </w:tcPr>
          <w:p w14:paraId="0985552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7356" w:type="dxa"/>
            <w:vAlign w:val="center"/>
          </w:tcPr>
          <w:p w14:paraId="77CA06C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第y年i</w:t>
            </w:r>
            <w:r>
              <w:rPr>
                <w:rFonts w:hint="default" w:ascii="Times New Roman" w:hAnsi="Times New Roman" w:cs="Times New Roman"/>
              </w:rPr>
              <w:t>星级</w:t>
            </w:r>
            <w:r>
              <w:rPr>
                <w:rFonts w:hint="default" w:ascii="Times New Roman" w:hAnsi="Times New Roman" w:cs="Times New Roman"/>
                <w:lang w:val="en-US" w:eastAsia="zh-CN"/>
              </w:rPr>
              <w:t>酒店</w:t>
            </w:r>
            <w:r>
              <w:rPr>
                <w:rFonts w:hint="default" w:ascii="Times New Roman" w:hAnsi="Times New Roman" w:cs="Times New Roman"/>
              </w:rPr>
              <w:t>客房</w:t>
            </w:r>
            <w:r>
              <w:rPr>
                <w:rFonts w:hint="default" w:ascii="Times New Roman" w:hAnsi="Times New Roman" w:cs="Times New Roman"/>
                <w:lang w:val="en-US" w:eastAsia="zh-CN"/>
              </w:rPr>
              <w:t>入住时长</w:t>
            </w:r>
          </w:p>
        </w:tc>
      </w:tr>
      <w:tr w14:paraId="4B79FC6B">
        <w:trPr>
          <w:trHeight w:val="0" w:hRule="atLeast"/>
          <w:tblHeader/>
          <w:jc w:val="center"/>
        </w:trPr>
        <w:tc>
          <w:tcPr>
            <w:tcW w:w="0" w:type="auto"/>
            <w:vAlign w:val="center"/>
          </w:tcPr>
          <w:p w14:paraId="7F290DF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7356" w:type="dxa"/>
            <w:vAlign w:val="center"/>
          </w:tcPr>
          <w:p w14:paraId="20B3785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晚</w:t>
            </w:r>
          </w:p>
        </w:tc>
      </w:tr>
      <w:tr w14:paraId="5BC9DC59">
        <w:trPr>
          <w:trHeight w:val="0" w:hRule="atLeast"/>
          <w:tblHeader/>
          <w:jc w:val="center"/>
        </w:trPr>
        <w:tc>
          <w:tcPr>
            <w:tcW w:w="0" w:type="auto"/>
            <w:vAlign w:val="center"/>
          </w:tcPr>
          <w:p w14:paraId="14D47BF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7356" w:type="dxa"/>
            <w:vAlign w:val="center"/>
          </w:tcPr>
          <w:p w14:paraId="474A760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酒店运营管理系统</w:t>
            </w:r>
          </w:p>
        </w:tc>
      </w:tr>
      <w:tr w14:paraId="4130B0FF">
        <w:trPr>
          <w:trHeight w:val="0" w:hRule="atLeast"/>
          <w:tblHeader/>
          <w:jc w:val="center"/>
        </w:trPr>
        <w:tc>
          <w:tcPr>
            <w:tcW w:w="0" w:type="auto"/>
            <w:vAlign w:val="center"/>
          </w:tcPr>
          <w:p w14:paraId="45A0D98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spacing w:val="-2"/>
                <w:lang w:val="en-US" w:eastAsia="zh-CN"/>
              </w:rPr>
            </w:pPr>
            <w:r>
              <w:rPr>
                <w:rFonts w:hint="default" w:ascii="Times New Roman" w:hAnsi="Times New Roman" w:cs="Times New Roman"/>
                <w:b/>
                <w:spacing w:val="-2"/>
                <w:lang w:val="en-US" w:eastAsia="zh-CN"/>
              </w:rPr>
              <w:t>监测频率</w:t>
            </w:r>
          </w:p>
        </w:tc>
        <w:tc>
          <w:tcPr>
            <w:tcW w:w="7356" w:type="dxa"/>
            <w:vAlign w:val="center"/>
          </w:tcPr>
          <w:p w14:paraId="5C2098A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通常以</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年</w:t>
            </w:r>
            <w:r>
              <w:rPr>
                <w:rFonts w:hint="eastAsia" w:ascii="Times New Roman" w:hAnsi="Times New Roman" w:cs="Times New Roman"/>
                <w:lang w:val="en-US" w:eastAsia="zh-CN"/>
              </w:rPr>
              <w:t>”</w:t>
            </w:r>
            <w:r>
              <w:rPr>
                <w:rFonts w:hint="default" w:ascii="Times New Roman" w:hAnsi="Times New Roman" w:eastAsia="宋体" w:cs="Times New Roman"/>
                <w:lang w:val="en-US" w:eastAsia="zh-CN"/>
              </w:rPr>
              <w:t>为单位进行汇总统计，与碳排放核算的周期保持一致</w:t>
            </w:r>
          </w:p>
        </w:tc>
      </w:tr>
      <w:tr w14:paraId="5B8CCC07">
        <w:trPr>
          <w:trHeight w:val="0" w:hRule="atLeast"/>
          <w:tblHeader/>
          <w:jc w:val="center"/>
        </w:trPr>
        <w:tc>
          <w:tcPr>
            <w:tcW w:w="1646" w:type="dxa"/>
            <w:shd w:val="clear" w:color="auto" w:fill="auto"/>
            <w:vAlign w:val="center"/>
          </w:tcPr>
          <w:p w14:paraId="4B811C6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7356" w:type="dxa"/>
            <w:shd w:val="clear" w:color="auto" w:fill="auto"/>
            <w:vAlign w:val="center"/>
          </w:tcPr>
          <w:p w14:paraId="5D3A651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40426E95">
      <w:pPr>
        <w:pStyle w:val="3"/>
        <w:spacing w:before="196" w:line="219" w:lineRule="auto"/>
        <w:jc w:val="center"/>
        <w:rPr>
          <w:rFonts w:hint="default" w:ascii="黑体" w:hAnsi="黑体" w:eastAsia="黑体" w:cs="黑体"/>
          <w:spacing w:val="-5"/>
          <w:sz w:val="21"/>
          <w:szCs w:val="21"/>
        </w:rPr>
      </w:pPr>
      <w:r>
        <w:rPr>
          <w:rFonts w:hint="default" w:ascii="黑体" w:hAnsi="黑体" w:eastAsia="黑体" w:cs="黑体"/>
          <w:spacing w:val="-5"/>
          <w:sz w:val="21"/>
          <w:szCs w:val="21"/>
        </w:rPr>
        <w:t>表</w:t>
      </w:r>
      <w:r>
        <w:rPr>
          <w:rFonts w:hint="default" w:ascii="黑体" w:hAnsi="黑体" w:eastAsia="黑体" w:cs="黑体"/>
          <w:spacing w:val="-5"/>
          <w:sz w:val="21"/>
          <w:szCs w:val="21"/>
          <w:lang w:val="en-US" w:eastAsia="zh-CN"/>
        </w:rPr>
        <w:t xml:space="preserve"> </w:t>
      </w:r>
      <w:r>
        <w:rPr>
          <w:rFonts w:hint="default" w:ascii="黑体" w:hAnsi="黑体" w:eastAsia="黑体" w:cs="黑体"/>
          <w:spacing w:val="-5"/>
          <w:sz w:val="21"/>
          <w:szCs w:val="21"/>
        </w:rPr>
        <w:t>B</w:t>
      </w:r>
      <w:r>
        <w:rPr>
          <w:rFonts w:hint="default" w:ascii="黑体" w:hAnsi="黑体" w:eastAsia="黑体" w:cs="黑体"/>
          <w:spacing w:val="-5"/>
          <w:sz w:val="21"/>
          <w:szCs w:val="21"/>
          <w:lang w:val="en-US" w:eastAsia="zh-CN"/>
        </w:rPr>
        <w:t>.3 单位建筑面积年均电能消耗量</w:t>
      </w:r>
    </w:p>
    <w:tbl>
      <w:tblPr>
        <w:tblStyle w:val="18"/>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742"/>
        <w:gridCol w:w="7254"/>
      </w:tblGrid>
      <w:tr w14:paraId="231FFD48">
        <w:trPr>
          <w:trHeight w:val="0" w:hRule="atLeast"/>
          <w:tblHeader/>
          <w:jc w:val="center"/>
        </w:trPr>
        <w:tc>
          <w:tcPr>
            <w:tcW w:w="968" w:type="pct"/>
            <w:vAlign w:val="center"/>
          </w:tcPr>
          <w:p w14:paraId="40F6F28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031" w:type="pct"/>
            <w:vAlign w:val="center"/>
          </w:tcPr>
          <w:p w14:paraId="5109189C">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E</w:t>
            </w:r>
            <w:r>
              <w:rPr>
                <w:rFonts w:hint="default" w:ascii="Times New Roman" w:hAnsi="Times New Roman" w:cs="Times New Roman"/>
                <w:vertAlign w:val="subscript"/>
                <w:lang w:val="en-US" w:eastAsia="zh-CN"/>
              </w:rPr>
              <w:t>i</w:t>
            </w:r>
          </w:p>
        </w:tc>
      </w:tr>
      <w:tr w14:paraId="0876056B">
        <w:trPr>
          <w:trHeight w:val="0" w:hRule="atLeast"/>
          <w:tblHeader/>
          <w:jc w:val="center"/>
        </w:trPr>
        <w:tc>
          <w:tcPr>
            <w:tcW w:w="968" w:type="pct"/>
            <w:vAlign w:val="center"/>
          </w:tcPr>
          <w:p w14:paraId="48F41EA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031" w:type="pct"/>
            <w:vAlign w:val="center"/>
          </w:tcPr>
          <w:p w14:paraId="5FA1D9C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第y年i星级酒店单位建筑面积年均电能消耗量</w:t>
            </w:r>
          </w:p>
        </w:tc>
      </w:tr>
      <w:tr w14:paraId="09E84DE5">
        <w:trPr>
          <w:trHeight w:val="0" w:hRule="atLeast"/>
          <w:tblHeader/>
          <w:jc w:val="center"/>
        </w:trPr>
        <w:tc>
          <w:tcPr>
            <w:tcW w:w="968" w:type="pct"/>
            <w:vAlign w:val="center"/>
          </w:tcPr>
          <w:p w14:paraId="6C8047E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031" w:type="pct"/>
            <w:vAlign w:val="center"/>
          </w:tcPr>
          <w:p w14:paraId="750E74C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晚</w:t>
            </w:r>
          </w:p>
        </w:tc>
      </w:tr>
      <w:tr w14:paraId="25939E78">
        <w:trPr>
          <w:trHeight w:val="0" w:hRule="atLeast"/>
          <w:tblHeader/>
          <w:jc w:val="center"/>
        </w:trPr>
        <w:tc>
          <w:tcPr>
            <w:tcW w:w="968" w:type="pct"/>
            <w:vAlign w:val="center"/>
          </w:tcPr>
          <w:p w14:paraId="069A6FC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031" w:type="pct"/>
            <w:vAlign w:val="center"/>
          </w:tcPr>
          <w:p w14:paraId="275D04D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酒店运营管理系统</w:t>
            </w:r>
          </w:p>
        </w:tc>
      </w:tr>
      <w:tr w14:paraId="35DFB9E4">
        <w:trPr>
          <w:trHeight w:val="0" w:hRule="atLeast"/>
          <w:tblHeader/>
          <w:jc w:val="center"/>
        </w:trPr>
        <w:tc>
          <w:tcPr>
            <w:tcW w:w="968" w:type="pct"/>
            <w:vAlign w:val="center"/>
          </w:tcPr>
          <w:p w14:paraId="6ABF840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spacing w:val="-2"/>
                <w:lang w:val="en-US" w:eastAsia="zh-CN"/>
              </w:rPr>
            </w:pPr>
            <w:r>
              <w:rPr>
                <w:rFonts w:hint="default" w:ascii="Times New Roman" w:hAnsi="Times New Roman" w:cs="Times New Roman"/>
                <w:b/>
                <w:lang w:val="en-US" w:eastAsia="zh-CN"/>
              </w:rPr>
              <w:t>数据参考值</w:t>
            </w:r>
          </w:p>
        </w:tc>
        <w:tc>
          <w:tcPr>
            <w:tcW w:w="4031" w:type="pct"/>
            <w:vAlign w:val="center"/>
          </w:tcPr>
          <w:p w14:paraId="3954B5B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eastAsia" w:ascii="Times New Roman" w:hAnsi="Times New Roman" w:cs="Times New Roman"/>
                <w:lang w:val="en-US" w:eastAsia="zh-CN"/>
              </w:rPr>
              <w:t>-</w:t>
            </w:r>
          </w:p>
        </w:tc>
      </w:tr>
      <w:tr w14:paraId="6677F8F5">
        <w:trPr>
          <w:trHeight w:val="0" w:hRule="atLeast"/>
          <w:tblHeader/>
          <w:jc w:val="center"/>
        </w:trPr>
        <w:tc>
          <w:tcPr>
            <w:tcW w:w="968" w:type="pct"/>
            <w:shd w:val="clear" w:color="auto" w:fill="auto"/>
            <w:vAlign w:val="center"/>
          </w:tcPr>
          <w:p w14:paraId="42FFE0F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031" w:type="pct"/>
            <w:shd w:val="clear" w:color="auto" w:fill="auto"/>
            <w:vAlign w:val="center"/>
          </w:tcPr>
          <w:p w14:paraId="6E191F2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413F0D9C">
      <w:pPr>
        <w:pStyle w:val="3"/>
        <w:spacing w:before="196" w:line="219" w:lineRule="auto"/>
        <w:jc w:val="center"/>
        <w:rPr>
          <w:rFonts w:hint="default" w:ascii="黑体" w:hAnsi="黑体" w:eastAsia="黑体" w:cs="黑体"/>
          <w:spacing w:val="-5"/>
          <w:sz w:val="21"/>
          <w:szCs w:val="21"/>
          <w:lang w:val="en-US"/>
        </w:rPr>
      </w:pPr>
      <w:r>
        <w:rPr>
          <w:rFonts w:hint="default" w:ascii="黑体" w:hAnsi="黑体" w:eastAsia="黑体" w:cs="黑体"/>
          <w:spacing w:val="-5"/>
          <w:sz w:val="21"/>
          <w:szCs w:val="21"/>
        </w:rPr>
        <w:t>表</w:t>
      </w:r>
      <w:r>
        <w:rPr>
          <w:rFonts w:hint="default" w:ascii="黑体" w:hAnsi="黑体" w:eastAsia="黑体" w:cs="黑体"/>
          <w:spacing w:val="-5"/>
          <w:sz w:val="21"/>
          <w:szCs w:val="21"/>
          <w:lang w:val="en-US" w:eastAsia="zh-CN"/>
        </w:rPr>
        <w:t xml:space="preserve"> </w:t>
      </w:r>
      <w:r>
        <w:rPr>
          <w:rFonts w:hint="default" w:ascii="黑体" w:hAnsi="黑体" w:eastAsia="黑体" w:cs="黑体"/>
          <w:spacing w:val="-5"/>
          <w:sz w:val="21"/>
          <w:szCs w:val="21"/>
        </w:rPr>
        <w:t>B</w:t>
      </w:r>
      <w:r>
        <w:rPr>
          <w:rFonts w:hint="default" w:ascii="黑体" w:hAnsi="黑体" w:eastAsia="黑体" w:cs="黑体"/>
          <w:spacing w:val="-5"/>
          <w:sz w:val="21"/>
          <w:szCs w:val="21"/>
          <w:lang w:val="en-US" w:eastAsia="zh-CN"/>
        </w:rPr>
        <w:t>.</w:t>
      </w:r>
      <w:r>
        <w:rPr>
          <w:rFonts w:hint="eastAsia" w:ascii="黑体" w:hAnsi="黑体" w:eastAsia="黑体" w:cs="黑体"/>
          <w:spacing w:val="-5"/>
          <w:sz w:val="21"/>
          <w:szCs w:val="21"/>
          <w:lang w:val="en-US" w:eastAsia="zh-CN"/>
        </w:rPr>
        <w:t>4</w:t>
      </w:r>
      <w:r>
        <w:rPr>
          <w:rFonts w:hint="default" w:ascii="黑体" w:hAnsi="黑体" w:eastAsia="黑体" w:cs="黑体"/>
          <w:spacing w:val="-5"/>
          <w:sz w:val="21"/>
          <w:szCs w:val="21"/>
          <w:lang w:val="en-US" w:eastAsia="zh-CN"/>
        </w:rPr>
        <w:t xml:space="preserve"> </w:t>
      </w:r>
      <w:r>
        <w:rPr>
          <w:rFonts w:hint="eastAsia" w:ascii="黑体" w:hAnsi="黑体" w:eastAsia="黑体" w:cs="黑体"/>
          <w:spacing w:val="-5"/>
          <w:sz w:val="21"/>
          <w:szCs w:val="21"/>
          <w:lang w:val="en-US" w:eastAsia="zh-CN"/>
        </w:rPr>
        <w:t>酒店平均碳排放水平</w:t>
      </w:r>
    </w:p>
    <w:tbl>
      <w:tblPr>
        <w:tblStyle w:val="18"/>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708"/>
        <w:gridCol w:w="7288"/>
      </w:tblGrid>
      <w:tr w14:paraId="32B0AFD5">
        <w:trPr>
          <w:trHeight w:val="0" w:hRule="atLeast"/>
          <w:tblHeader/>
          <w:jc w:val="center"/>
        </w:trPr>
        <w:tc>
          <w:tcPr>
            <w:tcW w:w="949" w:type="pct"/>
            <w:vAlign w:val="center"/>
          </w:tcPr>
          <w:p w14:paraId="431A3C9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050" w:type="pct"/>
            <w:vAlign w:val="center"/>
          </w:tcPr>
          <w:p w14:paraId="51450D3D">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both"/>
              <w:textAlignment w:val="baseline"/>
              <w:rPr>
                <w:rFonts w:hint="default" w:ascii="Times New Roman" w:hAnsi="Times New Roman" w:eastAsia="宋体" w:cs="Times New Roman"/>
                <w:lang w:val="en-US" w:eastAsia="zh-CN"/>
              </w:rPr>
            </w:pPr>
            <m:oMathPara>
              <m:oMathParaPr>
                <m:jc m:val="left"/>
              </m:oMathPara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ws</m:t>
                    </m:r>
                    <m:ctrlPr>
                      <w:rPr>
                        <w:rFonts w:hint="default" w:ascii="Cambria Math" w:hAnsi="Cambria Math" w:cs="Cambria Math"/>
                      </w:rPr>
                    </m:ctrlPr>
                  </m:sub>
                </m:sSub>
              </m:oMath>
            </m:oMathPara>
          </w:p>
        </w:tc>
      </w:tr>
      <w:tr w14:paraId="63FF931E">
        <w:trPr>
          <w:trHeight w:val="0" w:hRule="atLeast"/>
          <w:tblHeader/>
          <w:jc w:val="center"/>
        </w:trPr>
        <w:tc>
          <w:tcPr>
            <w:tcW w:w="949" w:type="pct"/>
            <w:vAlign w:val="center"/>
          </w:tcPr>
          <w:p w14:paraId="7445BB2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050" w:type="pct"/>
            <w:vAlign w:val="center"/>
          </w:tcPr>
          <w:p w14:paraId="79598EA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eastAsia" w:ascii="Times New Roman" w:hAnsi="Times New Roman" w:cs="Times New Roman"/>
                <w:lang w:val="en-US" w:eastAsia="zh-CN"/>
              </w:rPr>
              <w:t>不同星级</w:t>
            </w:r>
            <w:r>
              <w:rPr>
                <w:rFonts w:hint="default" w:ascii="Times New Roman" w:hAnsi="Times New Roman" w:eastAsia="宋体" w:cs="Times New Roman"/>
                <w:lang w:val="en-US" w:eastAsia="zh-CN"/>
              </w:rPr>
              <w:t>酒店平均碳排放水平</w:t>
            </w:r>
          </w:p>
        </w:tc>
      </w:tr>
      <w:tr w14:paraId="152E6055">
        <w:trPr>
          <w:trHeight w:val="0" w:hRule="atLeast"/>
          <w:tblHeader/>
          <w:jc w:val="center"/>
        </w:trPr>
        <w:tc>
          <w:tcPr>
            <w:tcW w:w="949" w:type="pct"/>
            <w:vAlign w:val="center"/>
          </w:tcPr>
          <w:p w14:paraId="7EB724D3">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b/>
                <w:spacing w:val="-2"/>
                <w:lang w:val="en-US" w:eastAsia="zh-CN"/>
              </w:rPr>
              <w:t>数据单位</w:t>
            </w:r>
          </w:p>
        </w:tc>
        <w:tc>
          <w:tcPr>
            <w:tcW w:w="4050" w:type="pct"/>
            <w:vAlign w:val="center"/>
          </w:tcPr>
          <w:p w14:paraId="17EFD9D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kg</w:t>
            </w:r>
            <w:r>
              <w:rPr>
                <w:rFonts w:hint="default" w:ascii="Times New Roman" w:hAnsi="Times New Roman" w:cs="Times New Roman"/>
              </w:rPr>
              <w:t>CO₂</w:t>
            </w:r>
            <w:r>
              <w:rPr>
                <w:rFonts w:hint="default" w:ascii="Times New Roman" w:hAnsi="Times New Roman" w:cs="Times New Roman"/>
                <w:lang w:val="en-US" w:eastAsia="zh-CN"/>
              </w:rPr>
              <w:t>/(床·晚)</w:t>
            </w:r>
          </w:p>
        </w:tc>
      </w:tr>
      <w:tr w14:paraId="6F6E6871">
        <w:trPr>
          <w:trHeight w:val="0" w:hRule="atLeast"/>
          <w:tblHeader/>
          <w:jc w:val="center"/>
        </w:trPr>
        <w:tc>
          <w:tcPr>
            <w:tcW w:w="949" w:type="pct"/>
            <w:vAlign w:val="center"/>
          </w:tcPr>
          <w:p w14:paraId="1B4FFC3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050" w:type="pct"/>
            <w:vAlign w:val="center"/>
          </w:tcPr>
          <w:p w14:paraId="5FD86F9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eastAsia"/>
                <w:lang w:val="en-US" w:eastAsia="zh-CN"/>
              </w:rPr>
              <w:t>文化和旅游部市场管理司《2023年度全国星级旅游饭店统计调查报告》</w:t>
            </w:r>
          </w:p>
        </w:tc>
      </w:tr>
      <w:tr w14:paraId="5805E043">
        <w:trPr>
          <w:trHeight w:val="0" w:hRule="atLeast"/>
          <w:tblHeader/>
          <w:jc w:val="center"/>
        </w:trPr>
        <w:tc>
          <w:tcPr>
            <w:tcW w:w="949" w:type="pct"/>
            <w:vAlign w:val="center"/>
          </w:tcPr>
          <w:p w14:paraId="225F0EF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spacing w:val="-2"/>
                <w:lang w:val="en-US" w:eastAsia="zh-CN"/>
              </w:rPr>
            </w:pPr>
            <w:r>
              <w:rPr>
                <w:rFonts w:hint="default" w:ascii="Times New Roman" w:hAnsi="Times New Roman" w:cs="Times New Roman"/>
                <w:b/>
                <w:lang w:val="en-US" w:eastAsia="zh-CN"/>
              </w:rPr>
              <w:t>数据参考值</w:t>
            </w:r>
          </w:p>
        </w:tc>
        <w:tc>
          <w:tcPr>
            <w:tcW w:w="4050" w:type="pct"/>
            <w:vAlign w:val="center"/>
          </w:tcPr>
          <w:p w14:paraId="60A9625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eastAsia" w:ascii="Times New Roman" w:hAnsi="Times New Roman" w:cs="Times New Roman"/>
                <w:lang w:val="en-US" w:eastAsia="zh-CN"/>
              </w:rPr>
              <w:t>2.158</w:t>
            </w:r>
          </w:p>
        </w:tc>
      </w:tr>
      <w:tr w14:paraId="6E87759D">
        <w:trPr>
          <w:trHeight w:val="0" w:hRule="atLeast"/>
          <w:tblHeader/>
          <w:jc w:val="center"/>
        </w:trPr>
        <w:tc>
          <w:tcPr>
            <w:tcW w:w="949" w:type="pct"/>
            <w:shd w:val="clear" w:color="auto" w:fill="auto"/>
            <w:vAlign w:val="center"/>
          </w:tcPr>
          <w:p w14:paraId="7712DCDE">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050" w:type="pct"/>
            <w:shd w:val="clear" w:color="auto" w:fill="auto"/>
            <w:vAlign w:val="center"/>
          </w:tcPr>
          <w:p w14:paraId="14B81725">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37D9AEB7">
      <w:pPr>
        <w:pStyle w:val="3"/>
        <w:spacing w:before="196" w:line="219" w:lineRule="auto"/>
        <w:jc w:val="center"/>
        <w:rPr>
          <w:rFonts w:hint="default" w:ascii="黑体" w:hAnsi="黑体" w:eastAsia="黑体" w:cs="黑体"/>
          <w:spacing w:val="-5"/>
          <w:sz w:val="21"/>
          <w:szCs w:val="21"/>
        </w:rPr>
      </w:pPr>
      <w:r>
        <w:rPr>
          <w:rFonts w:hint="default" w:ascii="黑体" w:hAnsi="黑体" w:eastAsia="黑体" w:cs="黑体"/>
          <w:spacing w:val="-5"/>
          <w:sz w:val="21"/>
          <w:szCs w:val="21"/>
        </w:rPr>
        <w:t>表</w:t>
      </w:r>
      <w:r>
        <w:rPr>
          <w:rFonts w:hint="default" w:ascii="黑体" w:hAnsi="黑体" w:eastAsia="黑体" w:cs="黑体"/>
          <w:spacing w:val="-5"/>
          <w:sz w:val="21"/>
          <w:szCs w:val="21"/>
          <w:lang w:val="en-US" w:eastAsia="zh-CN"/>
        </w:rPr>
        <w:t xml:space="preserve"> </w:t>
      </w:r>
      <w:r>
        <w:rPr>
          <w:rFonts w:hint="default" w:ascii="黑体" w:hAnsi="黑体" w:eastAsia="黑体" w:cs="黑体"/>
          <w:spacing w:val="-5"/>
          <w:sz w:val="21"/>
          <w:szCs w:val="21"/>
        </w:rPr>
        <w:t>B</w:t>
      </w:r>
      <w:r>
        <w:rPr>
          <w:rFonts w:hint="default" w:ascii="黑体" w:hAnsi="黑体" w:eastAsia="黑体" w:cs="黑体"/>
          <w:spacing w:val="-5"/>
          <w:sz w:val="21"/>
          <w:szCs w:val="21"/>
          <w:lang w:val="en-US" w:eastAsia="zh-CN"/>
        </w:rPr>
        <w:t xml:space="preserve">.5 </w:t>
      </w:r>
      <w:r>
        <w:rPr>
          <w:rFonts w:hint="eastAsia" w:ascii="黑体" w:hAnsi="黑体" w:eastAsia="黑体" w:cs="黑体"/>
          <w:spacing w:val="-5"/>
          <w:sz w:val="21"/>
          <w:szCs w:val="21"/>
          <w:lang w:val="en-US" w:eastAsia="zh-CN"/>
        </w:rPr>
        <w:t>低碳</w:t>
      </w:r>
      <w:r>
        <w:rPr>
          <w:rFonts w:hint="default" w:ascii="黑体" w:hAnsi="黑体" w:eastAsia="黑体" w:cs="黑体"/>
          <w:spacing w:val="-5"/>
          <w:sz w:val="21"/>
          <w:szCs w:val="21"/>
          <w:lang w:val="en-US" w:eastAsia="zh-CN"/>
        </w:rPr>
        <w:t>的碳排放因子</w:t>
      </w:r>
    </w:p>
    <w:tbl>
      <w:tblPr>
        <w:tblStyle w:val="18"/>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661"/>
        <w:gridCol w:w="7335"/>
      </w:tblGrid>
      <w:tr w14:paraId="55709B19">
        <w:trPr>
          <w:trHeight w:val="0" w:hRule="atLeast"/>
          <w:tblHeader/>
          <w:jc w:val="center"/>
        </w:trPr>
        <w:tc>
          <w:tcPr>
            <w:tcW w:w="923" w:type="pct"/>
            <w:vAlign w:val="center"/>
          </w:tcPr>
          <w:p w14:paraId="6C3E2FF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076" w:type="pct"/>
            <w:vAlign w:val="center"/>
          </w:tcPr>
          <w:p w14:paraId="6D81F9EC">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spacing w:val="-1"/>
                <w:lang w:val="en-US" w:eastAsia="zh-CN"/>
              </w:rPr>
              <w:t>EF</w:t>
            </w:r>
            <w:r>
              <w:rPr>
                <w:rFonts w:hint="default" w:ascii="Times New Roman" w:hAnsi="Times New Roman" w:cs="Times New Roman"/>
                <w:spacing w:val="-1"/>
                <w:vertAlign w:val="subscript"/>
                <w:lang w:val="en-US" w:eastAsia="zh-CN"/>
              </w:rPr>
              <w:t>k</w:t>
            </w:r>
            <w:r>
              <w:rPr>
                <w:rFonts w:hint="eastAsia" w:ascii="Times New Roman" w:hAnsi="Times New Roman" w:cs="Times New Roman"/>
                <w:spacing w:val="-1"/>
                <w:vertAlign w:val="subscript"/>
                <w:lang w:val="en-US" w:eastAsia="zh-CN"/>
              </w:rPr>
              <w:t>，</w:t>
            </w:r>
            <w:r>
              <w:rPr>
                <w:rFonts w:hint="default" w:ascii="Times New Roman" w:hAnsi="Times New Roman" w:cs="Times New Roman"/>
                <w:spacing w:val="-1"/>
                <w:vertAlign w:val="subscript"/>
                <w:lang w:val="en-US" w:eastAsia="zh-CN"/>
              </w:rPr>
              <w:t>y</w:t>
            </w:r>
          </w:p>
        </w:tc>
      </w:tr>
      <w:tr w14:paraId="4FC987F1">
        <w:trPr>
          <w:trHeight w:val="0" w:hRule="atLeast"/>
          <w:tblHeader/>
          <w:jc w:val="center"/>
        </w:trPr>
        <w:tc>
          <w:tcPr>
            <w:tcW w:w="923" w:type="pct"/>
            <w:vAlign w:val="center"/>
          </w:tcPr>
          <w:p w14:paraId="3F2C06A6">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076" w:type="pct"/>
            <w:vAlign w:val="center"/>
          </w:tcPr>
          <w:p w14:paraId="3FACEE34">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k类</w:t>
            </w:r>
            <w:r>
              <w:rPr>
                <w:rFonts w:hint="eastAsia" w:ascii="Times New Roman" w:hAnsi="Times New Roman" w:cs="Times New Roman"/>
                <w:spacing w:val="-1"/>
                <w:lang w:val="en-US" w:eastAsia="zh-CN"/>
              </w:rPr>
              <w:t>低碳</w:t>
            </w:r>
            <w:r>
              <w:rPr>
                <w:rFonts w:hint="default" w:ascii="Times New Roman" w:hAnsi="Times New Roman" w:cs="Times New Roman"/>
                <w:spacing w:val="-1"/>
                <w:lang w:val="en-US" w:eastAsia="zh-CN"/>
              </w:rPr>
              <w:t>行为的碳排放因子</w:t>
            </w:r>
          </w:p>
        </w:tc>
      </w:tr>
      <w:tr w14:paraId="4E366B9D">
        <w:trPr>
          <w:trHeight w:val="0" w:hRule="atLeast"/>
          <w:tblHeader/>
          <w:jc w:val="center"/>
        </w:trPr>
        <w:tc>
          <w:tcPr>
            <w:tcW w:w="923" w:type="pct"/>
            <w:vAlign w:val="center"/>
          </w:tcPr>
          <w:p w14:paraId="3850BDCB">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数据单位</w:t>
            </w:r>
          </w:p>
        </w:tc>
        <w:tc>
          <w:tcPr>
            <w:tcW w:w="4076" w:type="pct"/>
            <w:vAlign w:val="center"/>
          </w:tcPr>
          <w:p w14:paraId="6A46B14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rPr>
            </w:pPr>
            <w:r>
              <w:rPr>
                <w:rFonts w:hint="default" w:ascii="Times New Roman" w:hAnsi="Times New Roman" w:cs="Times New Roman"/>
                <w:spacing w:val="-1"/>
                <w:lang w:val="en-US" w:eastAsia="zh-CN"/>
              </w:rPr>
              <w:t>kg</w:t>
            </w:r>
            <w:r>
              <w:rPr>
                <w:rFonts w:hint="default" w:ascii="Times New Roman" w:hAnsi="Times New Roman" w:cs="Times New Roman"/>
              </w:rPr>
              <w:t>CO₂</w:t>
            </w:r>
            <w:r>
              <w:rPr>
                <w:rFonts w:hint="default" w:ascii="Times New Roman" w:hAnsi="Times New Roman" w:cs="Times New Roman"/>
                <w:spacing w:val="-1"/>
                <w:lang w:val="en-US" w:eastAsia="zh-CN"/>
              </w:rPr>
              <w:t>/（床·晚）</w:t>
            </w:r>
          </w:p>
        </w:tc>
      </w:tr>
      <w:tr w14:paraId="580CF1FC">
        <w:trPr>
          <w:trHeight w:val="0" w:hRule="atLeast"/>
          <w:tblHeader/>
          <w:jc w:val="center"/>
        </w:trPr>
        <w:tc>
          <w:tcPr>
            <w:tcW w:w="923" w:type="pct"/>
            <w:vAlign w:val="center"/>
          </w:tcPr>
          <w:p w14:paraId="6D84D0C1">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076" w:type="pct"/>
            <w:vAlign w:val="center"/>
          </w:tcPr>
          <w:p w14:paraId="73FC133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eastAsia" w:ascii="Times New Roman" w:hAnsi="Times New Roman" w:cs="Times New Roman"/>
                <w:spacing w:val="-1"/>
                <w:lang w:eastAsia="zh-CN"/>
              </w:rPr>
              <w:t>“</w:t>
            </w:r>
            <w:r>
              <w:rPr>
                <w:rFonts w:hint="default" w:ascii="Times New Roman" w:hAnsi="Times New Roman" w:cs="Times New Roman"/>
                <w:spacing w:val="-1"/>
                <w:lang w:val="en-US" w:eastAsia="zh-CN"/>
              </w:rPr>
              <w:t>碳</w:t>
            </w:r>
            <w:r>
              <w:rPr>
                <w:rFonts w:hint="eastAsia" w:ascii="Times New Roman" w:hAnsi="Times New Roman" w:cs="Times New Roman"/>
                <w:spacing w:val="-1"/>
                <w:lang w:val="en-US" w:eastAsia="zh-CN"/>
              </w:rPr>
              <w:t>惠</w:t>
            </w:r>
            <w:r>
              <w:rPr>
                <w:rFonts w:hint="default" w:ascii="Times New Roman" w:hAnsi="Times New Roman" w:cs="Times New Roman"/>
                <w:spacing w:val="-1"/>
                <w:lang w:val="en-US" w:eastAsia="zh-CN"/>
              </w:rPr>
              <w:t>山东</w:t>
            </w:r>
            <w:r>
              <w:rPr>
                <w:rFonts w:hint="eastAsia" w:ascii="Times New Roman" w:hAnsi="Times New Roman" w:cs="Times New Roman"/>
                <w:spacing w:val="-1"/>
                <w:lang w:eastAsia="zh-CN"/>
              </w:rPr>
              <w:t>”</w:t>
            </w:r>
            <w:r>
              <w:rPr>
                <w:rFonts w:hint="default" w:ascii="Times New Roman" w:hAnsi="Times New Roman" w:cs="Times New Roman"/>
                <w:spacing w:val="-1"/>
                <w:lang w:val="en-US" w:eastAsia="zh-CN"/>
              </w:rPr>
              <w:t>山东官方碳普惠平台</w:t>
            </w:r>
          </w:p>
        </w:tc>
      </w:tr>
      <w:tr w14:paraId="5B2379B1">
        <w:trPr>
          <w:trHeight w:val="0" w:hRule="atLeast"/>
          <w:tblHeader/>
          <w:jc w:val="center"/>
        </w:trPr>
        <w:tc>
          <w:tcPr>
            <w:tcW w:w="923" w:type="pct"/>
            <w:vAlign w:val="center"/>
          </w:tcPr>
          <w:p w14:paraId="05D427F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lang w:val="en-US" w:eastAsia="zh-CN"/>
              </w:rPr>
            </w:pPr>
            <w:r>
              <w:rPr>
                <w:rFonts w:hint="default" w:ascii="Times New Roman" w:hAnsi="Times New Roman" w:cs="Times New Roman"/>
                <w:b/>
                <w:lang w:val="en-US" w:eastAsia="zh-CN"/>
              </w:rPr>
              <w:t>推荐值</w:t>
            </w:r>
          </w:p>
        </w:tc>
        <w:tc>
          <w:tcPr>
            <w:tcW w:w="4076" w:type="pct"/>
            <w:vAlign w:val="center"/>
          </w:tcPr>
          <w:p w14:paraId="31F63994">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textAlignment w:val="baseline"/>
              <w:rPr>
                <w:rFonts w:hint="default" w:ascii="Times New Roman" w:hAnsi="Times New Roman" w:eastAsia="宋体" w:cs="Times New Roman"/>
                <w:snapToGrid w:val="0"/>
                <w:color w:val="000000"/>
                <w:spacing w:val="-1"/>
                <w:kern w:val="0"/>
                <w:sz w:val="18"/>
                <w:szCs w:val="18"/>
                <w:lang w:val="en-US" w:eastAsia="zh-CN" w:bidi="ar-SA"/>
              </w:rPr>
            </w:pPr>
            <w:r>
              <w:rPr>
                <w:rFonts w:hint="default" w:ascii="Times New Roman" w:hAnsi="Times New Roman" w:eastAsia="宋体" w:cs="Times New Roman"/>
                <w:snapToGrid w:val="0"/>
                <w:color w:val="000000"/>
                <w:spacing w:val="-1"/>
                <w:kern w:val="0"/>
                <w:sz w:val="18"/>
                <w:szCs w:val="18"/>
                <w:lang w:val="en-US" w:eastAsia="zh-CN" w:bidi="ar-SA"/>
              </w:rPr>
              <w:t>入住时不使用一次性洗漱用品</w:t>
            </w:r>
            <w:r>
              <w:rPr>
                <w:rFonts w:hint="eastAsia" w:cs="Times New Roman"/>
                <w:snapToGrid w:val="0"/>
                <w:color w:val="000000"/>
                <w:spacing w:val="-1"/>
                <w:kern w:val="0"/>
                <w:sz w:val="18"/>
                <w:szCs w:val="18"/>
                <w:lang w:val="en-US" w:eastAsia="zh-CN" w:bidi="ar-SA"/>
              </w:rPr>
              <w:t>（</w:t>
            </w:r>
            <w:r>
              <w:rPr>
                <w:rFonts w:hint="default" w:ascii="Times New Roman" w:hAnsi="Times New Roman" w:eastAsia="宋体" w:cs="Times New Roman"/>
                <w:snapToGrid w:val="0"/>
                <w:color w:val="000000"/>
                <w:spacing w:val="-1"/>
                <w:kern w:val="0"/>
                <w:sz w:val="18"/>
                <w:szCs w:val="18"/>
                <w:lang w:val="en-US" w:eastAsia="zh-CN" w:bidi="ar-SA"/>
              </w:rPr>
              <w:t>牙刷、梳子、剃须刀等</w:t>
            </w:r>
            <w:r>
              <w:rPr>
                <w:rFonts w:hint="eastAsia" w:cs="Times New Roman"/>
                <w:snapToGrid w:val="0"/>
                <w:color w:val="000000"/>
                <w:spacing w:val="-1"/>
                <w:kern w:val="0"/>
                <w:sz w:val="18"/>
                <w:szCs w:val="18"/>
                <w:lang w:val="en-US" w:eastAsia="zh-CN" w:bidi="ar-SA"/>
              </w:rPr>
              <w:t>）</w:t>
            </w:r>
            <w:r>
              <w:rPr>
                <w:rFonts w:hint="default" w:ascii="Times New Roman" w:hAnsi="Times New Roman" w:eastAsia="宋体" w:cs="Times New Roman"/>
                <w:snapToGrid w:val="0"/>
                <w:color w:val="000000"/>
                <w:spacing w:val="-1"/>
                <w:kern w:val="0"/>
                <w:sz w:val="18"/>
                <w:szCs w:val="18"/>
                <w:lang w:val="en-US" w:eastAsia="zh-CN" w:bidi="ar-SA"/>
              </w:rPr>
              <w:t>：1.53</w:t>
            </w:r>
          </w:p>
          <w:p w14:paraId="3F50DEDC">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textAlignment w:val="baseline"/>
              <w:rPr>
                <w:rFonts w:hint="default" w:ascii="Times New Roman" w:hAnsi="Times New Roman" w:eastAsia="宋体" w:cs="Times New Roman"/>
                <w:snapToGrid w:val="0"/>
                <w:color w:val="000000"/>
                <w:spacing w:val="-1"/>
                <w:kern w:val="0"/>
                <w:sz w:val="18"/>
                <w:szCs w:val="18"/>
                <w:lang w:val="en-US" w:eastAsia="zh-CN" w:bidi="ar-SA"/>
              </w:rPr>
            </w:pPr>
            <w:r>
              <w:rPr>
                <w:rFonts w:hint="default" w:ascii="Times New Roman" w:hAnsi="Times New Roman" w:eastAsia="宋体" w:cs="Times New Roman"/>
                <w:snapToGrid w:val="0"/>
                <w:color w:val="000000"/>
                <w:spacing w:val="-1"/>
                <w:kern w:val="0"/>
                <w:sz w:val="18"/>
                <w:szCs w:val="18"/>
                <w:lang w:val="en-US" w:eastAsia="zh-CN" w:bidi="ar-SA"/>
              </w:rPr>
              <w:t>连续入住期间不要求更换床单、被套：0.871</w:t>
            </w:r>
          </w:p>
          <w:p w14:paraId="02D13B1F">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textAlignment w:val="baseline"/>
              <w:rPr>
                <w:rFonts w:hint="default" w:ascii="Times New Roman" w:hAnsi="Times New Roman" w:eastAsia="宋体" w:cs="Times New Roman"/>
                <w:snapToGrid w:val="0"/>
                <w:color w:val="000000"/>
                <w:spacing w:val="-1"/>
                <w:kern w:val="0"/>
                <w:sz w:val="18"/>
                <w:szCs w:val="18"/>
                <w:lang w:val="en-US" w:eastAsia="zh-CN" w:bidi="ar-SA"/>
              </w:rPr>
            </w:pPr>
            <w:r>
              <w:rPr>
                <w:rFonts w:hint="default" w:ascii="Times New Roman" w:hAnsi="Times New Roman" w:eastAsia="宋体" w:cs="Times New Roman"/>
                <w:snapToGrid w:val="0"/>
                <w:color w:val="000000"/>
                <w:spacing w:val="-1"/>
                <w:kern w:val="0"/>
                <w:sz w:val="18"/>
                <w:szCs w:val="18"/>
                <w:lang w:val="en-US" w:eastAsia="zh-CN" w:bidi="ar-SA"/>
              </w:rPr>
              <w:t>连续入住期间不更换毛巾、浴巾、浴袍</w:t>
            </w:r>
            <w:r>
              <w:rPr>
                <w:rFonts w:hint="default" w:ascii="Times New Roman" w:hAnsi="Times New Roman" w:cs="Times New Roman"/>
                <w:snapToGrid w:val="0"/>
                <w:color w:val="000000"/>
                <w:spacing w:val="-1"/>
                <w:kern w:val="0"/>
                <w:sz w:val="18"/>
                <w:szCs w:val="18"/>
                <w:lang w:val="en-US" w:eastAsia="zh-CN" w:bidi="ar-SA"/>
              </w:rPr>
              <w:t>：0.684</w:t>
            </w:r>
          </w:p>
          <w:p w14:paraId="1410B277">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textAlignment w:val="baseline"/>
              <w:rPr>
                <w:rFonts w:hint="default" w:ascii="Times New Roman" w:hAnsi="Times New Roman" w:eastAsia="宋体" w:cs="Times New Roman"/>
                <w:sz w:val="18"/>
                <w:szCs w:val="18"/>
                <w:lang w:val="en-US" w:eastAsia="zh-CN"/>
              </w:rPr>
            </w:pPr>
            <w:r>
              <w:rPr>
                <w:rFonts w:hint="default" w:ascii="Times New Roman" w:hAnsi="Times New Roman" w:eastAsia="宋体" w:cs="Times New Roman"/>
                <w:snapToGrid w:val="0"/>
                <w:color w:val="000000"/>
                <w:spacing w:val="-1"/>
                <w:kern w:val="0"/>
                <w:sz w:val="18"/>
                <w:szCs w:val="18"/>
                <w:lang w:val="en-US" w:eastAsia="zh-CN" w:bidi="ar-SA"/>
              </w:rPr>
              <w:t>连续入住期间不新增一次性拖鞋：0.634</w:t>
            </w:r>
          </w:p>
        </w:tc>
      </w:tr>
      <w:tr w14:paraId="58896354">
        <w:trPr>
          <w:trHeight w:val="0" w:hRule="atLeast"/>
          <w:tblHeader/>
          <w:jc w:val="center"/>
        </w:trPr>
        <w:tc>
          <w:tcPr>
            <w:tcW w:w="923" w:type="pct"/>
            <w:shd w:val="clear" w:color="auto" w:fill="auto"/>
            <w:vAlign w:val="center"/>
          </w:tcPr>
          <w:p w14:paraId="5767E32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076" w:type="pct"/>
            <w:shd w:val="clear" w:color="auto" w:fill="auto"/>
            <w:vAlign w:val="center"/>
          </w:tcPr>
          <w:p w14:paraId="79879CFF">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7630752F">
      <w:pPr>
        <w:pStyle w:val="3"/>
        <w:spacing w:before="196" w:line="219" w:lineRule="auto"/>
        <w:jc w:val="center"/>
        <w:rPr>
          <w:rFonts w:hint="default" w:ascii="黑体" w:hAnsi="黑体" w:eastAsia="黑体" w:cs="黑体"/>
          <w:spacing w:val="-5"/>
          <w:sz w:val="21"/>
          <w:szCs w:val="21"/>
          <w:lang w:val="en-US"/>
        </w:rPr>
      </w:pPr>
      <w:r>
        <w:rPr>
          <w:rFonts w:hint="default" w:ascii="黑体" w:hAnsi="黑体" w:eastAsia="黑体" w:cs="黑体"/>
          <w:spacing w:val="-5"/>
          <w:sz w:val="21"/>
          <w:szCs w:val="21"/>
        </w:rPr>
        <w:t>表</w:t>
      </w:r>
      <w:r>
        <w:rPr>
          <w:rFonts w:hint="default" w:ascii="黑体" w:hAnsi="黑体" w:eastAsia="黑体" w:cs="黑体"/>
          <w:spacing w:val="-5"/>
          <w:sz w:val="21"/>
          <w:szCs w:val="21"/>
          <w:lang w:val="en-US" w:eastAsia="zh-CN"/>
        </w:rPr>
        <w:t xml:space="preserve"> </w:t>
      </w:r>
      <w:r>
        <w:rPr>
          <w:rFonts w:hint="default" w:ascii="黑体" w:hAnsi="黑体" w:eastAsia="黑体" w:cs="黑体"/>
          <w:spacing w:val="-5"/>
          <w:sz w:val="21"/>
          <w:szCs w:val="21"/>
        </w:rPr>
        <w:t>B</w:t>
      </w:r>
      <w:r>
        <w:rPr>
          <w:rFonts w:hint="default" w:ascii="黑体" w:hAnsi="黑体" w:eastAsia="黑体" w:cs="黑体"/>
          <w:spacing w:val="-5"/>
          <w:sz w:val="21"/>
          <w:szCs w:val="21"/>
          <w:lang w:val="en-US" w:eastAsia="zh-CN"/>
        </w:rPr>
        <w:t>.6 电力碳排放因子</w:t>
      </w:r>
    </w:p>
    <w:tbl>
      <w:tblPr>
        <w:tblStyle w:val="18"/>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708"/>
        <w:gridCol w:w="7288"/>
      </w:tblGrid>
      <w:tr w14:paraId="5BEAE112">
        <w:trPr>
          <w:trHeight w:val="0" w:hRule="atLeast"/>
          <w:tblHeader/>
          <w:jc w:val="center"/>
        </w:trPr>
        <w:tc>
          <w:tcPr>
            <w:tcW w:w="949" w:type="pct"/>
            <w:vAlign w:val="center"/>
          </w:tcPr>
          <w:p w14:paraId="51A2C5F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数据/参数名称</w:t>
            </w:r>
          </w:p>
        </w:tc>
        <w:tc>
          <w:tcPr>
            <w:tcW w:w="4050" w:type="pct"/>
            <w:vAlign w:val="center"/>
          </w:tcPr>
          <w:p w14:paraId="3EC600B2">
            <w:pPr>
              <w:pStyle w:val="19"/>
              <w:keepNext w:val="0"/>
              <w:keepLines w:val="0"/>
              <w:pageBreakBefore w:val="0"/>
              <w:widowControl/>
              <w:tabs>
                <w:tab w:val="left" w:pos="1333"/>
              </w:tabs>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m:oMathPara>
              <m:oMathParaPr>
                <m:jc m:val="left"/>
              </m:oMathPara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EF</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EC</m:t>
                    </m:r>
                    <m:ctrlPr>
                      <w:rPr>
                        <w:rFonts w:hint="default" w:ascii="Cambria Math" w:hAnsi="Cambria Math" w:cs="Cambria Math"/>
                        <w:lang w:val="en-US" w:eastAsia="zh-CN"/>
                      </w:rPr>
                    </m:ctrlPr>
                  </m:sub>
                </m:sSub>
              </m:oMath>
            </m:oMathPara>
          </w:p>
        </w:tc>
      </w:tr>
      <w:tr w14:paraId="2B2C5FDC">
        <w:trPr>
          <w:trHeight w:val="0" w:hRule="atLeast"/>
          <w:tblHeader/>
          <w:jc w:val="center"/>
        </w:trPr>
        <w:tc>
          <w:tcPr>
            <w:tcW w:w="949" w:type="pct"/>
            <w:vAlign w:val="center"/>
          </w:tcPr>
          <w:p w14:paraId="55C208B2">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数据描述</w:t>
            </w:r>
          </w:p>
        </w:tc>
        <w:tc>
          <w:tcPr>
            <w:tcW w:w="4050" w:type="pct"/>
            <w:vAlign w:val="center"/>
          </w:tcPr>
          <w:p w14:paraId="76EF680C">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2024年中国区域电网基准线排放因子</w:t>
            </w:r>
          </w:p>
        </w:tc>
      </w:tr>
      <w:tr w14:paraId="4A0D0794">
        <w:trPr>
          <w:trHeight w:val="0" w:hRule="atLeast"/>
          <w:tblHeader/>
          <w:jc w:val="center"/>
        </w:trPr>
        <w:tc>
          <w:tcPr>
            <w:tcW w:w="949" w:type="pct"/>
            <w:vAlign w:val="center"/>
          </w:tcPr>
          <w:p w14:paraId="598A7CD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b/>
                <w:spacing w:val="-2"/>
                <w:lang w:val="en-US" w:eastAsia="zh-CN"/>
              </w:rPr>
              <w:t>数据单位</w:t>
            </w:r>
          </w:p>
        </w:tc>
        <w:tc>
          <w:tcPr>
            <w:tcW w:w="4050" w:type="pct"/>
            <w:vAlign w:val="center"/>
          </w:tcPr>
          <w:p w14:paraId="5989ABE7">
            <w:pPr>
              <w:pStyle w:val="19"/>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kg</w:t>
            </w:r>
            <w:r>
              <w:rPr>
                <w:rFonts w:hint="default" w:ascii="Times New Roman" w:hAnsi="Times New Roman" w:cs="Times New Roman"/>
              </w:rPr>
              <w:t>CO₂</w:t>
            </w:r>
            <w:r>
              <w:rPr>
                <w:rFonts w:hint="default" w:ascii="Times New Roman" w:hAnsi="Times New Roman" w:cs="Times New Roman"/>
                <w:lang w:val="en-US" w:eastAsia="zh-CN"/>
              </w:rPr>
              <w:t>/kWh</w:t>
            </w:r>
          </w:p>
        </w:tc>
      </w:tr>
      <w:tr w14:paraId="329D6B7E">
        <w:trPr>
          <w:trHeight w:val="0" w:hRule="atLeast"/>
          <w:tblHeader/>
          <w:jc w:val="center"/>
        </w:trPr>
        <w:tc>
          <w:tcPr>
            <w:tcW w:w="949" w:type="pct"/>
            <w:vAlign w:val="center"/>
          </w:tcPr>
          <w:p w14:paraId="562AEFE9">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cs="Times New Roman"/>
                <w:b/>
              </w:rPr>
            </w:pPr>
            <w:r>
              <w:rPr>
                <w:rFonts w:hint="default" w:ascii="Times New Roman" w:hAnsi="Times New Roman" w:cs="Times New Roman"/>
                <w:b/>
                <w:spacing w:val="-2"/>
              </w:rPr>
              <w:t>数据来源</w:t>
            </w:r>
          </w:p>
        </w:tc>
        <w:tc>
          <w:tcPr>
            <w:tcW w:w="4050" w:type="pct"/>
            <w:vAlign w:val="center"/>
          </w:tcPr>
          <w:p w14:paraId="3549A750">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w:t>
            </w:r>
            <w:r>
              <w:rPr>
                <w:rFonts w:hint="default" w:ascii="Times New Roman" w:hAnsi="Times New Roman" w:eastAsia="宋体" w:cs="Times New Roman"/>
                <w:lang w:val="en-US" w:eastAsia="zh-CN"/>
              </w:rPr>
              <w:t>202</w:t>
            </w:r>
            <w:r>
              <w:rPr>
                <w:rFonts w:hint="default" w:ascii="Times New Roman" w:hAnsi="Times New Roman" w:cs="Times New Roman"/>
                <w:lang w:val="en-US" w:eastAsia="zh-CN"/>
              </w:rPr>
              <w:t>4</w:t>
            </w:r>
            <w:r>
              <w:rPr>
                <w:rFonts w:hint="default" w:ascii="Times New Roman" w:hAnsi="Times New Roman" w:eastAsia="宋体" w:cs="Times New Roman"/>
                <w:lang w:val="en-US" w:eastAsia="zh-CN"/>
              </w:rPr>
              <w:t>年减排项目中国区域电网基准线排放因子</w:t>
            </w:r>
            <w:r>
              <w:rPr>
                <w:rFonts w:hint="default" w:ascii="Times New Roman" w:hAnsi="Times New Roman" w:cs="Times New Roman"/>
                <w:lang w:val="en-US" w:eastAsia="zh-CN"/>
              </w:rPr>
              <w:t>》</w:t>
            </w:r>
          </w:p>
        </w:tc>
      </w:tr>
      <w:tr w14:paraId="74EBDC47">
        <w:trPr>
          <w:trHeight w:val="0" w:hRule="atLeast"/>
          <w:tblHeader/>
          <w:jc w:val="center"/>
        </w:trPr>
        <w:tc>
          <w:tcPr>
            <w:tcW w:w="949" w:type="pct"/>
            <w:vAlign w:val="center"/>
          </w:tcPr>
          <w:p w14:paraId="7D2550E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b/>
                <w:spacing w:val="-2"/>
                <w:lang w:val="en-US" w:eastAsia="zh-CN"/>
              </w:rPr>
            </w:pPr>
            <w:r>
              <w:rPr>
                <w:rFonts w:hint="default" w:ascii="Times New Roman" w:hAnsi="Times New Roman" w:cs="Times New Roman"/>
                <w:b/>
                <w:lang w:val="en-US" w:eastAsia="zh-CN"/>
              </w:rPr>
              <w:t>数据参考值</w:t>
            </w:r>
          </w:p>
        </w:tc>
        <w:tc>
          <w:tcPr>
            <w:tcW w:w="4050" w:type="pct"/>
            <w:vAlign w:val="center"/>
          </w:tcPr>
          <w:p w14:paraId="730EF808">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left"/>
              <w:textAlignment w:val="baseline"/>
              <w:rPr>
                <w:rFonts w:hint="default" w:ascii="Times New Roman" w:hAnsi="Times New Roman" w:eastAsia="宋体" w:cs="Times New Roman"/>
                <w:lang w:val="en-US" w:eastAsia="zh-CN"/>
              </w:rPr>
            </w:pPr>
            <w:r>
              <w:rPr>
                <w:rFonts w:hint="default" w:ascii="Times New Roman" w:hAnsi="Times New Roman" w:cs="Times New Roman"/>
                <w:lang w:val="en-US" w:eastAsia="zh-CN"/>
              </w:rPr>
              <w:t>0.6313kg</w:t>
            </w:r>
            <w:r>
              <w:rPr>
                <w:rFonts w:hint="default" w:ascii="Times New Roman" w:hAnsi="Times New Roman" w:cs="Times New Roman"/>
              </w:rPr>
              <w:t>CO₂</w:t>
            </w:r>
            <w:r>
              <w:rPr>
                <w:rFonts w:hint="default" w:ascii="Times New Roman" w:hAnsi="Times New Roman" w:cs="Times New Roman"/>
                <w:lang w:val="en-US" w:eastAsia="zh-CN"/>
              </w:rPr>
              <w:t>/kWh</w:t>
            </w:r>
          </w:p>
        </w:tc>
      </w:tr>
      <w:tr w14:paraId="1FD09A17">
        <w:trPr>
          <w:trHeight w:val="0" w:hRule="atLeast"/>
          <w:tblHeader/>
          <w:jc w:val="center"/>
        </w:trPr>
        <w:tc>
          <w:tcPr>
            <w:tcW w:w="949" w:type="pct"/>
            <w:shd w:val="clear" w:color="auto" w:fill="auto"/>
            <w:vAlign w:val="center"/>
          </w:tcPr>
          <w:p w14:paraId="5A3CF2FD">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b/>
                <w:snapToGrid w:val="0"/>
                <w:color w:val="000000"/>
                <w:kern w:val="0"/>
                <w:sz w:val="18"/>
                <w:szCs w:val="18"/>
                <w:lang w:val="en-US" w:eastAsia="en-US" w:bidi="ar-SA"/>
              </w:rPr>
            </w:pPr>
            <w:r>
              <w:rPr>
                <w:rFonts w:hint="default" w:ascii="Times New Roman" w:hAnsi="Times New Roman" w:cs="Times New Roman"/>
                <w:b/>
                <w:spacing w:val="-2"/>
              </w:rPr>
              <w:t>数据用途</w:t>
            </w:r>
          </w:p>
        </w:tc>
        <w:tc>
          <w:tcPr>
            <w:tcW w:w="4050" w:type="pct"/>
            <w:shd w:val="clear" w:color="auto" w:fill="auto"/>
            <w:vAlign w:val="center"/>
          </w:tcPr>
          <w:p w14:paraId="47DA702A">
            <w:pPr>
              <w:pStyle w:val="19"/>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left"/>
              <w:textAlignment w:val="baseline"/>
              <w:rPr>
                <w:rFonts w:hint="default" w:ascii="Times New Roman" w:hAnsi="Times New Roman" w:eastAsia="宋体" w:cs="Times New Roman"/>
                <w:snapToGrid w:val="0"/>
                <w:color w:val="000000"/>
                <w:kern w:val="0"/>
                <w:sz w:val="18"/>
                <w:szCs w:val="18"/>
                <w:lang w:val="en-US" w:eastAsia="en-US" w:bidi="ar-SA"/>
              </w:rPr>
            </w:pPr>
            <w:r>
              <w:rPr>
                <w:rFonts w:hint="default" w:ascii="Times New Roman" w:hAnsi="Times New Roman" w:cs="Times New Roman"/>
                <w:spacing w:val="-1"/>
              </w:rPr>
              <w:t>计算基准线</w:t>
            </w:r>
            <w:r>
              <w:rPr>
                <w:rFonts w:hint="default" w:ascii="Times New Roman" w:hAnsi="Times New Roman" w:cs="Times New Roman"/>
                <w:spacing w:val="-1"/>
                <w:lang w:val="en-US" w:eastAsia="zh-CN"/>
              </w:rPr>
              <w:t>和项目情景</w:t>
            </w:r>
            <w:r>
              <w:rPr>
                <w:rFonts w:hint="default" w:ascii="Times New Roman" w:hAnsi="Times New Roman" w:cs="Times New Roman"/>
                <w:spacing w:val="-1"/>
              </w:rPr>
              <w:t>碳排放量</w:t>
            </w:r>
          </w:p>
        </w:tc>
      </w:tr>
    </w:tbl>
    <w:p w14:paraId="25C16018">
      <w:pPr>
        <w:rPr>
          <w:rFonts w:hint="default" w:ascii="Times New Roman" w:hAnsi="Times New Roman" w:cs="Times New Roman"/>
          <w:sz w:val="21"/>
        </w:rPr>
      </w:pPr>
    </w:p>
    <w:p w14:paraId="374323AC">
      <w:pPr>
        <w:rPr>
          <w:rFonts w:hint="default" w:ascii="Times New Roman" w:hAnsi="Times New Roman" w:cs="Times New Roman"/>
          <w:spacing w:val="-6"/>
          <w:sz w:val="21"/>
          <w:szCs w:val="21"/>
        </w:rPr>
        <w:sectPr>
          <w:footerReference r:id="rId11" w:type="default"/>
          <w:pgSz w:w="11907" w:h="16839"/>
          <w:pgMar w:top="1716" w:right="1130" w:bottom="1340" w:left="1785" w:header="1391" w:footer="1106" w:gutter="0"/>
          <w:pgNumType w:fmt="decimal"/>
          <w:cols w:space="720" w:num="1"/>
        </w:sectPr>
      </w:pPr>
      <w:bookmarkStart w:id="84" w:name="bookmark11"/>
      <w:bookmarkEnd w:id="84"/>
    </w:p>
    <w:p w14:paraId="743AA3A6">
      <w:pPr>
        <w:pStyle w:val="3"/>
        <w:spacing w:before="269" w:line="220" w:lineRule="auto"/>
        <w:ind w:left="3582"/>
        <w:outlineLvl w:val="0"/>
        <w:rPr>
          <w:rFonts w:hint="eastAsia" w:ascii="黑体" w:hAnsi="黑体" w:eastAsia="黑体" w:cs="黑体"/>
          <w:sz w:val="21"/>
          <w:szCs w:val="21"/>
        </w:rPr>
      </w:pPr>
      <w:bookmarkStart w:id="85" w:name="_Toc17089"/>
      <w:bookmarkStart w:id="86" w:name="_Toc19903"/>
      <w:r>
        <w:rPr>
          <w:rFonts w:hint="eastAsia" w:ascii="黑体" w:hAnsi="黑体" w:eastAsia="黑体" w:cs="黑体"/>
          <w:spacing w:val="-6"/>
          <w:sz w:val="21"/>
          <w:szCs w:val="21"/>
        </w:rPr>
        <w:t>参</w:t>
      </w:r>
      <w:r>
        <w:rPr>
          <w:rFonts w:hint="eastAsia" w:ascii="黑体" w:hAnsi="黑体" w:eastAsia="黑体" w:cs="黑体"/>
          <w:spacing w:val="-6"/>
          <w:sz w:val="21"/>
          <w:szCs w:val="21"/>
          <w:lang w:val="en-US" w:eastAsia="zh-CN"/>
        </w:rPr>
        <w:t xml:space="preserve">  </w:t>
      </w:r>
      <w:r>
        <w:rPr>
          <w:rFonts w:hint="eastAsia" w:ascii="黑体" w:hAnsi="黑体" w:eastAsia="黑体" w:cs="黑体"/>
          <w:spacing w:val="-6"/>
          <w:sz w:val="21"/>
          <w:szCs w:val="21"/>
        </w:rPr>
        <w:t>考</w:t>
      </w:r>
      <w:r>
        <w:rPr>
          <w:rFonts w:hint="eastAsia" w:ascii="黑体" w:hAnsi="黑体" w:eastAsia="黑体" w:cs="黑体"/>
          <w:spacing w:val="-6"/>
          <w:sz w:val="21"/>
          <w:szCs w:val="21"/>
          <w:lang w:val="en-US" w:eastAsia="zh-CN"/>
        </w:rPr>
        <w:t xml:space="preserve">  </w:t>
      </w:r>
      <w:r>
        <w:rPr>
          <w:rFonts w:hint="eastAsia" w:ascii="黑体" w:hAnsi="黑体" w:eastAsia="黑体" w:cs="黑体"/>
          <w:spacing w:val="-6"/>
          <w:sz w:val="21"/>
          <w:szCs w:val="21"/>
        </w:rPr>
        <w:t>文</w:t>
      </w:r>
      <w:r>
        <w:rPr>
          <w:rFonts w:hint="eastAsia" w:ascii="黑体" w:hAnsi="黑体" w:eastAsia="黑体" w:cs="黑体"/>
          <w:spacing w:val="-6"/>
          <w:sz w:val="21"/>
          <w:szCs w:val="21"/>
          <w:lang w:val="en-US" w:eastAsia="zh-CN"/>
        </w:rPr>
        <w:t xml:space="preserve">  </w:t>
      </w:r>
      <w:r>
        <w:rPr>
          <w:rFonts w:hint="eastAsia" w:ascii="黑体" w:hAnsi="黑体" w:eastAsia="黑体" w:cs="黑体"/>
          <w:spacing w:val="-6"/>
          <w:sz w:val="21"/>
          <w:szCs w:val="21"/>
        </w:rPr>
        <w:t>献</w:t>
      </w:r>
      <w:bookmarkEnd w:id="85"/>
      <w:bookmarkEnd w:id="86"/>
    </w:p>
    <w:p w14:paraId="66CDA269">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rPr>
      </w:pPr>
      <w:r>
        <w:rPr>
          <w:rFonts w:hint="eastAsia" w:cs="Times New Roman"/>
          <w:lang w:val="en-US" w:eastAsia="zh-CN"/>
        </w:rPr>
        <w:t>《</w:t>
      </w:r>
      <w:r>
        <w:rPr>
          <w:rFonts w:hint="default" w:ascii="Times New Roman" w:hAnsi="Times New Roman" w:cs="Times New Roman"/>
          <w:lang w:val="en-US" w:eastAsia="zh-CN"/>
        </w:rPr>
        <w:t>基于项目的温室气体减排量评估技术规范通用要求</w:t>
      </w:r>
      <w:r>
        <w:rPr>
          <w:rFonts w:hint="eastAsia" w:cs="Times New Roman"/>
          <w:lang w:val="en-US" w:eastAsia="zh-CN"/>
        </w:rPr>
        <w:t>》（</w:t>
      </w:r>
      <w:r>
        <w:rPr>
          <w:rFonts w:hint="default" w:ascii="Times New Roman" w:hAnsi="Times New Roman" w:cs="Times New Roman"/>
          <w:lang w:val="en-US" w:eastAsia="zh-CN"/>
        </w:rPr>
        <w:t>GB/T 33760-2017</w:t>
      </w:r>
      <w:r>
        <w:rPr>
          <w:rFonts w:hint="eastAsia" w:cs="Times New Roman"/>
          <w:lang w:val="en-US" w:eastAsia="zh-CN"/>
        </w:rPr>
        <w:t>）</w:t>
      </w:r>
    </w:p>
    <w:p w14:paraId="6CCBB36A">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lang w:val="en-US" w:eastAsia="zh-CN"/>
        </w:rPr>
      </w:pPr>
      <w:r>
        <w:rPr>
          <w:rFonts w:hint="eastAsia" w:cs="Times New Roman"/>
          <w:lang w:val="en-US" w:eastAsia="zh-CN"/>
        </w:rPr>
        <w:t>《</w:t>
      </w:r>
      <w:r>
        <w:rPr>
          <w:rFonts w:hint="default" w:ascii="Times New Roman" w:hAnsi="Times New Roman" w:cs="Times New Roman"/>
          <w:lang w:val="en-US" w:eastAsia="zh-CN"/>
        </w:rPr>
        <w:t>温室气体第一部分 组织层次上对温室气体排放和清除的量化和报告的规范及指南</w:t>
      </w:r>
      <w:r>
        <w:rPr>
          <w:rFonts w:hint="eastAsia" w:cs="Times New Roman"/>
          <w:lang w:val="en-US" w:eastAsia="zh-CN"/>
        </w:rPr>
        <w:t>》（</w:t>
      </w:r>
      <w:r>
        <w:rPr>
          <w:rFonts w:hint="default" w:ascii="Times New Roman" w:hAnsi="Times New Roman" w:cs="Times New Roman"/>
          <w:lang w:val="en-US" w:eastAsia="zh-CN"/>
        </w:rPr>
        <w:t>ISO 14064-1</w:t>
      </w:r>
      <w:r>
        <w:rPr>
          <w:rFonts w:hint="eastAsia" w:cs="Times New Roman"/>
          <w:lang w:val="en-US" w:eastAsia="zh-CN"/>
        </w:rPr>
        <w:t>-</w:t>
      </w:r>
      <w:r>
        <w:rPr>
          <w:rFonts w:hint="default" w:ascii="Times New Roman" w:hAnsi="Times New Roman" w:cs="Times New Roman"/>
          <w:lang w:val="en-US" w:eastAsia="zh-CN"/>
        </w:rPr>
        <w:t>2018</w:t>
      </w:r>
      <w:r>
        <w:rPr>
          <w:rFonts w:hint="eastAsia" w:cs="Times New Roman"/>
          <w:lang w:val="en-US" w:eastAsia="zh-CN"/>
        </w:rPr>
        <w:t>）</w:t>
      </w:r>
    </w:p>
    <w:p w14:paraId="5CDAD7CF">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lang w:val="en-US" w:eastAsia="zh-CN"/>
        </w:rPr>
      </w:pPr>
      <w:r>
        <w:rPr>
          <w:rFonts w:hint="eastAsia" w:cs="Times New Roman"/>
          <w:lang w:val="en-US" w:eastAsia="zh-CN"/>
        </w:rPr>
        <w:t>《</w:t>
      </w:r>
      <w:r>
        <w:rPr>
          <w:rFonts w:hint="default" w:ascii="Times New Roman" w:hAnsi="Times New Roman" w:cs="Times New Roman"/>
          <w:lang w:val="en-US" w:eastAsia="zh-CN"/>
        </w:rPr>
        <w:t>温室气体第二部分 项目层次上对温室气体减排和清除增加的量化、监测和报告的规范及指南</w:t>
      </w:r>
      <w:r>
        <w:rPr>
          <w:rFonts w:hint="eastAsia" w:cs="Times New Roman"/>
          <w:lang w:val="en-US" w:eastAsia="zh-CN"/>
        </w:rPr>
        <w:t>》（</w:t>
      </w:r>
      <w:r>
        <w:rPr>
          <w:rFonts w:hint="default" w:ascii="Times New Roman" w:hAnsi="Times New Roman" w:cs="Times New Roman"/>
          <w:lang w:val="en-US" w:eastAsia="zh-CN"/>
        </w:rPr>
        <w:t>ISO 14064-2</w:t>
      </w:r>
      <w:r>
        <w:rPr>
          <w:rFonts w:hint="eastAsia" w:cs="Times New Roman"/>
          <w:lang w:val="en-US" w:eastAsia="zh-CN"/>
        </w:rPr>
        <w:t>-</w:t>
      </w:r>
      <w:r>
        <w:rPr>
          <w:rFonts w:hint="default" w:ascii="Times New Roman" w:hAnsi="Times New Roman" w:cs="Times New Roman"/>
          <w:lang w:val="en-US" w:eastAsia="zh-CN"/>
        </w:rPr>
        <w:t>2019</w:t>
      </w:r>
      <w:r>
        <w:rPr>
          <w:rFonts w:hint="eastAsia" w:cs="Times New Roman"/>
          <w:lang w:val="en-US" w:eastAsia="zh-CN"/>
        </w:rPr>
        <w:t>）</w:t>
      </w:r>
    </w:p>
    <w:p w14:paraId="02A61756">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rPr>
      </w:pPr>
      <w:r>
        <w:rPr>
          <w:rFonts w:hint="default" w:ascii="Times New Roman" w:hAnsi="Times New Roman" w:cs="Times New Roman"/>
        </w:rPr>
        <w:t>《旅馆建筑设计规范》</w:t>
      </w:r>
      <w:r>
        <w:rPr>
          <w:rFonts w:hint="eastAsia" w:cs="Times New Roman"/>
          <w:lang w:eastAsia="zh-CN"/>
        </w:rPr>
        <w:t>（</w:t>
      </w:r>
      <w:r>
        <w:rPr>
          <w:rFonts w:hint="default" w:ascii="Times New Roman" w:hAnsi="Times New Roman" w:cs="Times New Roman"/>
        </w:rPr>
        <w:t>JGJ</w:t>
      </w:r>
      <w:r>
        <w:rPr>
          <w:rFonts w:hint="default" w:ascii="Times New Roman" w:hAnsi="Times New Roman" w:cs="Times New Roman"/>
          <w:lang w:val="en-US" w:eastAsia="zh-CN"/>
        </w:rPr>
        <w:t xml:space="preserve"> </w:t>
      </w:r>
      <w:r>
        <w:rPr>
          <w:rFonts w:hint="default" w:ascii="Times New Roman" w:hAnsi="Times New Roman" w:cs="Times New Roman"/>
        </w:rPr>
        <w:t>62-2014</w:t>
      </w:r>
      <w:r>
        <w:rPr>
          <w:rFonts w:hint="eastAsia" w:cs="Times New Roman"/>
          <w:lang w:eastAsia="zh-CN"/>
        </w:rPr>
        <w:t>）</w:t>
      </w:r>
    </w:p>
    <w:p w14:paraId="63BA32C4">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rPr>
      </w:pPr>
      <w:r>
        <w:rPr>
          <w:rFonts w:hint="default" w:ascii="Times New Roman" w:hAnsi="Times New Roman" w:cs="Times New Roman"/>
        </w:rPr>
        <w:t>市场管理司</w:t>
      </w:r>
      <w:r>
        <w:rPr>
          <w:rFonts w:hint="default" w:ascii="Times New Roman" w:hAnsi="Times New Roman" w:cs="Times New Roman"/>
          <w:lang w:val="en-US" w:eastAsia="zh-CN"/>
        </w:rPr>
        <w:t>,</w:t>
      </w:r>
      <w:r>
        <w:rPr>
          <w:rFonts w:hint="default" w:ascii="Times New Roman" w:hAnsi="Times New Roman" w:cs="Times New Roman"/>
        </w:rPr>
        <w:t>2023年度全国星级旅游饭店统计调查报告</w:t>
      </w:r>
    </w:p>
    <w:p w14:paraId="6A369567">
      <w:pPr>
        <w:keepNext w:val="0"/>
        <w:keepLines w:val="0"/>
        <w:pageBreakBefore w:val="0"/>
        <w:widowControl/>
        <w:numPr>
          <w:ilvl w:val="0"/>
          <w:numId w:val="1"/>
        </w:numPr>
        <w:kinsoku w:val="0"/>
        <w:wordWrap/>
        <w:overflowPunct/>
        <w:topLinePunct w:val="0"/>
        <w:autoSpaceDE w:val="0"/>
        <w:autoSpaceDN w:val="0"/>
        <w:bidi w:val="0"/>
        <w:adjustRightInd w:val="0"/>
        <w:snapToGrid w:val="0"/>
        <w:ind w:left="425" w:leftChars="0" w:hanging="425" w:firstLineChars="0"/>
        <w:textAlignment w:val="baseline"/>
        <w:rPr>
          <w:rFonts w:hint="default" w:ascii="Times New Roman" w:hAnsi="Times New Roman" w:cs="Times New Roman"/>
          <w:lang w:val="en-US" w:eastAsia="en-US"/>
        </w:rPr>
      </w:pPr>
      <w:r>
        <w:rPr>
          <w:rFonts w:hint="default" w:ascii="Times New Roman" w:hAnsi="Times New Roman" w:cs="Times New Roman"/>
          <w:lang w:val="en-US" w:eastAsia="en-US"/>
        </w:rPr>
        <w:t>田顺.山东地区既有公共建筑节能改造及节能率的研究[D].山东:山东建筑大学,2017.</w:t>
      </w:r>
    </w:p>
    <w:sectPr>
      <w:pgSz w:w="11907" w:h="16839"/>
      <w:pgMar w:top="1716" w:right="1130" w:bottom="1340" w:left="1785" w:header="1391" w:footer="1106" w:gutter="0"/>
      <w:pgNumType w:fmt="decimal"/>
      <w:cols w:space="720" w:num="1"/>
    </w:sectPr>
  </w:body>
</w:document>
</file>

<file path=word/customizations.xml><?xml version="1.0" encoding="utf-8"?>
<wne:tcg xmlns:r="http://schemas.openxmlformats.org/officeDocument/2006/relationships" xmlns:wne="http://schemas.microsoft.com/office/word/2006/wordml">
  <wne:keymaps>
    <wne:keymap wne:kcmPrimary="03DE">
      <wne:acd wne:acdName="acd0"/>
    </wne:keymap>
    <wne:keymap wne:kcmPrimary="0331">
      <wne:acd wne:acdName="acd1"/>
    </wne:keymap>
    <wne:keymap wne:kcmPrimary="0332">
      <wne:acd wne:acdName="acd2"/>
    </wne:keymap>
    <wne:keymap wne:kcmPrimary="0333">
      <wne:acd wne:acdName="acd3"/>
    </wne:keymap>
  </wne:keymaps>
  <wne:acds>
    <wne:acd wne:argValue="AQAAAEIA" wne:acdName="acd0" wne:fciIndexBasedOn="0065"/>
    <wne:acd wne:argValue="AQAAAAEA" wne:acdName="acd1" wne:fciIndexBasedOn="0065"/>
    <wne:acd wne:argValue="AQAAAAIA" wne:acdName="acd2" wne:fciIndexBasedOn="0065"/>
    <wne:acd wne:argValue="AQAAAAM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01"/>
    <w:family w:val="auto"/>
    <w:pitch w:val="default"/>
    <w:sig w:usb0="E0000AFF" w:usb1="00007843" w:usb2="00000001" w:usb3="00000000" w:csb0="400001BF" w:csb1="DFF70000"/>
  </w:font>
  <w:font w:name="宋体">
    <w:altName w:val="汉仪书宋二KW"/>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楷体_GB2312">
    <w:altName w:val="汉仪楷体简"/>
    <w:panose1 w:val="02010609030101010101"/>
    <w:charset w:val="86"/>
    <w:family w:val="modern"/>
    <w:pitch w:val="default"/>
    <w:sig w:usb0="00000000" w:usb1="00000000" w:usb2="00000000" w:usb3="00000000" w:csb0="00040000" w:csb1="00000000"/>
  </w:font>
  <w:font w:name="汉仪楷体简">
    <w:panose1 w:val="02010600000101010101"/>
    <w:charset w:val="86"/>
    <w:family w:val="auto"/>
    <w:pitch w:val="default"/>
    <w:sig w:usb0="00000001" w:usb1="080E0800" w:usb2="00000002" w:usb3="00000000" w:csb0="00040000" w:csb1="00000000"/>
  </w:font>
  <w:font w:name="Cambria Math">
    <w:altName w:val="Kingsoft Math"/>
    <w:panose1 w:val="02040503050406030204"/>
    <w:charset w:val="00"/>
    <w:family w:val="auto"/>
    <w:pitch w:val="default"/>
    <w:sig w:usb0="00000000" w:usb1="00000000" w:usb2="02000000" w:usb3="00000000" w:csb0="2000019F" w:csb1="00000000"/>
  </w:font>
  <w:font w:name="Kingsoft Math">
    <w:panose1 w:val="02040503050406030204"/>
    <w:charset w:val="00"/>
    <w:family w:val="auto"/>
    <w:pitch w:val="default"/>
    <w:sig w:usb0="80000087" w:usb1="00002068" w:usb2="00000000" w:usb3="00000000" w:csb0="2000019F" w:csb1="00000000"/>
  </w:font>
  <w:font w:name="MS Mincho">
    <w:altName w:val="Hiragino Sans"/>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微软雅黑">
    <w:altName w:val="汉仪旗黑"/>
    <w:panose1 w:val="020B0503020204020204"/>
    <w:charset w:val="86"/>
    <w:family w:val="auto"/>
    <w:pitch w:val="default"/>
    <w:sig w:usb0="00000000" w:usb1="00000000" w:usb2="00000016" w:usb3="00000000" w:csb0="0004001F" w:csb1="00000000"/>
  </w:font>
  <w:font w:name="汉仪旗黑">
    <w:panose1 w:val="00020600040101010101"/>
    <w:charset w:val="86"/>
    <w:family w:val="auto"/>
    <w:pitch w:val="default"/>
    <w:sig w:usb0="A00002BF" w:usb1="1ACF7CFA" w:usb2="00000016" w:usb3="00000000" w:csb0="0004009F" w:csb1="DFD7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DejaVu Math TeX Gyre">
    <w:panose1 w:val="02000503000000000000"/>
    <w:charset w:val="00"/>
    <w:family w:val="auto"/>
    <w:pitch w:val="default"/>
    <w:sig w:usb0="A10000EF" w:usb1="4201F9EE" w:usb2="02000000" w:usb3="00000000" w:csb0="60000193" w:csb1="0DD40000"/>
  </w:font>
  <w:font w:name="宋体-简">
    <w:panose1 w:val="02010800040101010101"/>
    <w:charset w:val="86"/>
    <w:family w:val="auto"/>
    <w:pitch w:val="default"/>
    <w:sig w:usb0="00000001" w:usb1="080F0000" w:usb2="00000000"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7448"/>
    </w:sdtPr>
    <w:sdtContent>
      <w:p w14:paraId="5A8DE3EB">
        <w:pPr>
          <w:pStyle w:val="8"/>
          <w:spacing w:before="120" w:after="120"/>
        </w:pPr>
        <w:r>
          <w:fldChar w:fldCharType="begin"/>
        </w:r>
        <w:r>
          <w:instrText xml:space="preserve">PAGE   \* MERGEFORMAT</w:instrText>
        </w:r>
        <w:r>
          <w:fldChar w:fldCharType="separate"/>
        </w:r>
        <w:r>
          <w:rPr>
            <w:lang w:val="zh-CN"/>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0D585">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B0711">
    <w:pPr>
      <w:spacing w:line="229" w:lineRule="auto"/>
      <w:ind w:left="9040"/>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9CB3AE">
                          <w:pPr>
                            <w:pStyle w:val="8"/>
                          </w:pPr>
                          <w:r>
                            <w:fldChar w:fldCharType="begin"/>
                          </w:r>
                          <w:r>
                            <w:instrText xml:space="preserve"> PAGE  \* MERGEFORMAT </w:instrText>
                          </w:r>
                          <w:r>
                            <w:fldChar w:fldCharType="separate"/>
                          </w:r>
                          <w:r>
                            <w:t>IV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A9CB3AE">
                    <w:pPr>
                      <w:pStyle w:val="8"/>
                    </w:pPr>
                    <w:r>
                      <w:fldChar w:fldCharType="begin"/>
                    </w:r>
                    <w:r>
                      <w:instrText xml:space="preserve"> PAGE  \* MERGEFORMAT </w:instrText>
                    </w:r>
                    <w:r>
                      <w:fldChar w:fldCharType="separate"/>
                    </w:r>
                    <w:r>
                      <w:t>IV</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958ED">
    <w:pPr>
      <w:spacing w:line="229" w:lineRule="auto"/>
      <w:ind w:left="9045"/>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9B6382">
                          <w:pPr>
                            <w:pStyle w:val="8"/>
                          </w:pPr>
                          <w:r>
                            <w:fldChar w:fldCharType="begin"/>
                          </w:r>
                          <w:r>
                            <w:instrText xml:space="preserve"> PAGE  \* MERGEFORMAT </w:instrText>
                          </w:r>
                          <w:r>
                            <w:fldChar w:fldCharType="separate"/>
                          </w:r>
                          <w:r>
                            <w:t>V</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E9B6382">
                    <w:pPr>
                      <w:pStyle w:val="8"/>
                    </w:pPr>
                    <w:r>
                      <w:fldChar w:fldCharType="begin"/>
                    </w:r>
                    <w:r>
                      <w:instrText xml:space="preserve"> PAGE  \* MERGEFORMAT </w:instrText>
                    </w:r>
                    <w:r>
                      <w:fldChar w:fldCharType="separate"/>
                    </w:r>
                    <w:r>
                      <w:t>V</w:t>
                    </w:r>
                    <w:r>
                      <w:fldChar w:fldCharType="end"/>
                    </w:r>
                  </w:p>
                </w:txbxContent>
              </v:textbox>
            </v:shape>
          </w:pict>
        </mc:Fallback>
      </mc:AlternateContent>
    </w:r>
    <w:r>
      <w:rPr>
        <w:rFonts w:ascii="宋体" w:hAnsi="宋体" w:eastAsia="宋体" w:cs="宋体"/>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C8D88">
    <w:pPr>
      <w:spacing w:line="229" w:lineRule="auto"/>
      <w:ind w:left="8678"/>
      <w:rPr>
        <w:rFonts w:ascii="宋体" w:hAnsi="宋体" w:eastAsia="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4B5093">
                          <w:pPr>
                            <w:pStyle w:val="8"/>
                          </w:pPr>
                          <w:r>
                            <w:fldChar w:fldCharType="begin"/>
                          </w:r>
                          <w:r>
                            <w:instrText xml:space="preserve"> PAGE  \* MERGEFORMAT </w:instrText>
                          </w:r>
                          <w:r>
                            <w:fldChar w:fldCharType="separate"/>
                          </w:r>
                          <w:r>
                            <w:t>VI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744B5093">
                    <w:pPr>
                      <w:pStyle w:val="8"/>
                    </w:pPr>
                    <w:r>
                      <w:fldChar w:fldCharType="begin"/>
                    </w:r>
                    <w:r>
                      <w:instrText xml:space="preserve"> PAGE  \* MERGEFORMAT </w:instrText>
                    </w:r>
                    <w:r>
                      <w:fldChar w:fldCharType="separate"/>
                    </w:r>
                    <w:r>
                      <w:t>VI</w:t>
                    </w:r>
                    <w:r>
                      <w:fldChar w:fldCharType="end"/>
                    </w:r>
                  </w:p>
                </w:txbxContent>
              </v:textbox>
            </v:shape>
          </w:pict>
        </mc:Fallback>
      </mc:AlternateContent>
    </w:r>
    <w:r>
      <w:rPr>
        <w:rFonts w:ascii="宋体" w:hAnsi="宋体" w:eastAsia="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AB3AA">
    <w:pPr>
      <w:pStyle w:val="9"/>
      <w:pBdr>
        <w:bottom w:val="none" w:color="auto" w:sz="0" w:space="0"/>
      </w:pBdr>
      <w:spacing w:after="220"/>
      <w:jc w:val="left"/>
      <w:rPr>
        <w:rFonts w:hint="eastAsia"/>
        <w:sz w:val="21"/>
        <w:szCs w:val="21"/>
      </w:rPr>
    </w:pPr>
    <w:bookmarkStart w:id="87" w:name="OLE_LINK4"/>
    <w:r>
      <w:rPr>
        <w:rFonts w:hint="eastAsia"/>
        <w:sz w:val="21"/>
        <w:szCs w:val="21"/>
      </w:rPr>
      <w:t>T/</w:t>
    </w:r>
    <w:r>
      <w:rPr>
        <w:sz w:val="21"/>
        <w:szCs w:val="21"/>
      </w:rPr>
      <w:t>SZDT</w:t>
    </w:r>
    <w:r>
      <w:rPr>
        <w:rFonts w:hint="eastAsia"/>
        <w:sz w:val="21"/>
        <w:szCs w:val="21"/>
      </w:rPr>
      <w:t xml:space="preserve"> 0XX</w:t>
    </w:r>
    <w:r>
      <w:rPr>
        <w:sz w:val="21"/>
        <w:szCs w:val="21"/>
      </w:rPr>
      <w:t>—20</w:t>
    </w:r>
    <w:r>
      <w:rPr>
        <w:rFonts w:hint="eastAsia"/>
        <w:sz w:val="21"/>
        <w:szCs w:val="21"/>
      </w:rPr>
      <w:t>23</w:t>
    </w:r>
    <w:bookmarkEnd w:id="87"/>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7AA9D">
    <w:pPr>
      <w:pStyle w:val="3"/>
      <w:spacing w:before="56" w:line="227" w:lineRule="auto"/>
      <w:jc w:val="right"/>
      <w:rPr>
        <w:rFonts w:hint="default" w:eastAsia="黑体"/>
        <w:sz w:val="21"/>
        <w:szCs w:val="21"/>
        <w:lang w:val="en-US" w:eastAsia="zh-CN"/>
      </w:rPr>
    </w:pPr>
    <w:r>
      <w:rPr>
        <w:rFonts w:hint="eastAsia"/>
        <w:spacing w:val="-1"/>
        <w:sz w:val="21"/>
        <w:szCs w:val="21"/>
        <w:lang w:val="en-US" w:eastAsia="zh-CN"/>
      </w:rPr>
      <w:t>T/XX</w:t>
    </w:r>
    <w:r>
      <w:rPr>
        <w:spacing w:val="-1"/>
        <w:sz w:val="21"/>
        <w:szCs w:val="21"/>
      </w:rPr>
      <w:t xml:space="preserve"> </w:t>
    </w:r>
    <w:r>
      <w:rPr>
        <w:rFonts w:hint="eastAsia"/>
        <w:spacing w:val="-1"/>
        <w:sz w:val="21"/>
        <w:szCs w:val="21"/>
        <w:lang w:val="en-US" w:eastAsia="zh-CN"/>
      </w:rPr>
      <w:t>XXXX</w:t>
    </w:r>
    <w:r>
      <w:rPr>
        <w:rFonts w:ascii="宋体" w:hAnsi="宋体" w:eastAsia="宋体" w:cs="宋体"/>
        <w:spacing w:val="-1"/>
        <w:sz w:val="21"/>
        <w:szCs w:val="21"/>
      </w:rPr>
      <w:t>—</w:t>
    </w:r>
    <w:r>
      <w:rPr>
        <w:rFonts w:hint="eastAsia"/>
        <w:spacing w:val="-1"/>
        <w:sz w:val="21"/>
        <w:szCs w:val="21"/>
        <w:lang w:val="en-US" w:eastAsia="zh-CN"/>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6B501D"/>
    <w:multiLevelType w:val="singleLevel"/>
    <w:tmpl w:val="CE6B501D"/>
    <w:lvl w:ilvl="0" w:tentative="0">
      <w:start w:val="1"/>
      <w:numFmt w:val="decimal"/>
      <w:lvlText w:val="[%1]"/>
      <w:lvlJc w:val="left"/>
      <w:pPr>
        <w:tabs>
          <w:tab w:val="left" w:pos="420"/>
        </w:tabs>
        <w:ind w:left="425" w:leftChars="0" w:hanging="425"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displayBackgroundShape w:val="1"/>
  <w:bordersDoNotSurroundHeader w:val="0"/>
  <w:bordersDoNotSurroundFooter w:val="0"/>
  <w:trackRevisions w:val="1"/>
  <w:documentProtection w:enforcement="0"/>
  <w:defaultTabStop w:val="499"/>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18E7169"/>
    <w:rsid w:val="01AA3877"/>
    <w:rsid w:val="01DF3686"/>
    <w:rsid w:val="02A12ECC"/>
    <w:rsid w:val="03582113"/>
    <w:rsid w:val="04247911"/>
    <w:rsid w:val="04344E47"/>
    <w:rsid w:val="04BC5BE0"/>
    <w:rsid w:val="05493B2D"/>
    <w:rsid w:val="05647FB4"/>
    <w:rsid w:val="0580326D"/>
    <w:rsid w:val="059E1E1A"/>
    <w:rsid w:val="05F814A1"/>
    <w:rsid w:val="063E4F16"/>
    <w:rsid w:val="07DD2DD3"/>
    <w:rsid w:val="08375E1F"/>
    <w:rsid w:val="08FF6B9F"/>
    <w:rsid w:val="09322AD0"/>
    <w:rsid w:val="0A3B1422"/>
    <w:rsid w:val="0A436136"/>
    <w:rsid w:val="0A8E51AF"/>
    <w:rsid w:val="0B133508"/>
    <w:rsid w:val="0BF1102F"/>
    <w:rsid w:val="0C120B31"/>
    <w:rsid w:val="0C9C64B3"/>
    <w:rsid w:val="0D1F68B9"/>
    <w:rsid w:val="0E012A71"/>
    <w:rsid w:val="0E146C48"/>
    <w:rsid w:val="0ECD27A7"/>
    <w:rsid w:val="0F220EF1"/>
    <w:rsid w:val="0F3B1FB3"/>
    <w:rsid w:val="0F7B4953"/>
    <w:rsid w:val="0FF74205"/>
    <w:rsid w:val="11306155"/>
    <w:rsid w:val="11E437F0"/>
    <w:rsid w:val="124C0824"/>
    <w:rsid w:val="130E34D1"/>
    <w:rsid w:val="132536A6"/>
    <w:rsid w:val="132D0B0F"/>
    <w:rsid w:val="133832E8"/>
    <w:rsid w:val="141A2E92"/>
    <w:rsid w:val="144933C4"/>
    <w:rsid w:val="14975E82"/>
    <w:rsid w:val="1514752E"/>
    <w:rsid w:val="15C64749"/>
    <w:rsid w:val="16EA5E33"/>
    <w:rsid w:val="17111531"/>
    <w:rsid w:val="1881312C"/>
    <w:rsid w:val="18BF357A"/>
    <w:rsid w:val="19406B43"/>
    <w:rsid w:val="19540841"/>
    <w:rsid w:val="19BC510B"/>
    <w:rsid w:val="1BD619E1"/>
    <w:rsid w:val="1BED7C98"/>
    <w:rsid w:val="1C35495A"/>
    <w:rsid w:val="1C512E14"/>
    <w:rsid w:val="1D0E6642"/>
    <w:rsid w:val="1D9A07EC"/>
    <w:rsid w:val="1DB23D88"/>
    <w:rsid w:val="1DF30E69"/>
    <w:rsid w:val="1DF60118"/>
    <w:rsid w:val="1E7A28AA"/>
    <w:rsid w:val="1EA56678"/>
    <w:rsid w:val="1EF46358"/>
    <w:rsid w:val="1F295C0A"/>
    <w:rsid w:val="1F863694"/>
    <w:rsid w:val="20B20681"/>
    <w:rsid w:val="20B41BC5"/>
    <w:rsid w:val="20F90B18"/>
    <w:rsid w:val="215075EA"/>
    <w:rsid w:val="219A0DBB"/>
    <w:rsid w:val="221943D6"/>
    <w:rsid w:val="23D654A0"/>
    <w:rsid w:val="25070E5D"/>
    <w:rsid w:val="25D30D3F"/>
    <w:rsid w:val="26432EAA"/>
    <w:rsid w:val="26AA5E3D"/>
    <w:rsid w:val="26C1503C"/>
    <w:rsid w:val="277E75C4"/>
    <w:rsid w:val="27A74232"/>
    <w:rsid w:val="280C22E7"/>
    <w:rsid w:val="282910EA"/>
    <w:rsid w:val="28E2493E"/>
    <w:rsid w:val="29064F88"/>
    <w:rsid w:val="294D6DB1"/>
    <w:rsid w:val="2973261D"/>
    <w:rsid w:val="2A677CA8"/>
    <w:rsid w:val="2B2E3D32"/>
    <w:rsid w:val="2BF258B5"/>
    <w:rsid w:val="2C9A25B7"/>
    <w:rsid w:val="2CBF3DCB"/>
    <w:rsid w:val="2D265D01"/>
    <w:rsid w:val="2D8E3716"/>
    <w:rsid w:val="2E982B26"/>
    <w:rsid w:val="2F8F7C5A"/>
    <w:rsid w:val="300F0BC6"/>
    <w:rsid w:val="310B4453"/>
    <w:rsid w:val="318B0535"/>
    <w:rsid w:val="3212499D"/>
    <w:rsid w:val="32242987"/>
    <w:rsid w:val="33FEBD12"/>
    <w:rsid w:val="343039FF"/>
    <w:rsid w:val="3453206A"/>
    <w:rsid w:val="348778C5"/>
    <w:rsid w:val="34E50C53"/>
    <w:rsid w:val="35655D2C"/>
    <w:rsid w:val="361477C5"/>
    <w:rsid w:val="36685822"/>
    <w:rsid w:val="366A2FFA"/>
    <w:rsid w:val="366C4554"/>
    <w:rsid w:val="36F35B7B"/>
    <w:rsid w:val="37483DED"/>
    <w:rsid w:val="37936580"/>
    <w:rsid w:val="37B00EE0"/>
    <w:rsid w:val="388760E5"/>
    <w:rsid w:val="39464A75"/>
    <w:rsid w:val="3960293C"/>
    <w:rsid w:val="39684F21"/>
    <w:rsid w:val="396C0E37"/>
    <w:rsid w:val="3AB8AAF6"/>
    <w:rsid w:val="3ACC532D"/>
    <w:rsid w:val="3B0F5F1E"/>
    <w:rsid w:val="3B2A71FC"/>
    <w:rsid w:val="3BB30F9F"/>
    <w:rsid w:val="3BF35840"/>
    <w:rsid w:val="3C4D3B91"/>
    <w:rsid w:val="3C684238"/>
    <w:rsid w:val="3CF4186F"/>
    <w:rsid w:val="3D624A2B"/>
    <w:rsid w:val="3D884009"/>
    <w:rsid w:val="3E3D41A4"/>
    <w:rsid w:val="3E6D3687"/>
    <w:rsid w:val="3EA14F8A"/>
    <w:rsid w:val="40522918"/>
    <w:rsid w:val="40536215"/>
    <w:rsid w:val="40582115"/>
    <w:rsid w:val="414E7DCD"/>
    <w:rsid w:val="417756CB"/>
    <w:rsid w:val="41FB158D"/>
    <w:rsid w:val="421E179E"/>
    <w:rsid w:val="42A81132"/>
    <w:rsid w:val="42C62773"/>
    <w:rsid w:val="42DF7684"/>
    <w:rsid w:val="43324E9F"/>
    <w:rsid w:val="43AB1C34"/>
    <w:rsid w:val="43B81849"/>
    <w:rsid w:val="45932805"/>
    <w:rsid w:val="46004DE1"/>
    <w:rsid w:val="466B2BA2"/>
    <w:rsid w:val="474B29D4"/>
    <w:rsid w:val="47544032"/>
    <w:rsid w:val="479954ED"/>
    <w:rsid w:val="47E66E75"/>
    <w:rsid w:val="47F210A1"/>
    <w:rsid w:val="47FB2286"/>
    <w:rsid w:val="48AD4F83"/>
    <w:rsid w:val="495A6EFE"/>
    <w:rsid w:val="49B06B1E"/>
    <w:rsid w:val="4A6B150F"/>
    <w:rsid w:val="4AAA7086"/>
    <w:rsid w:val="4C92075D"/>
    <w:rsid w:val="4CB608EF"/>
    <w:rsid w:val="4D2317B9"/>
    <w:rsid w:val="4DB12E65"/>
    <w:rsid w:val="4ED77AF5"/>
    <w:rsid w:val="4EFD0A57"/>
    <w:rsid w:val="4F0911AA"/>
    <w:rsid w:val="4FBE3B42"/>
    <w:rsid w:val="4FDC38A8"/>
    <w:rsid w:val="4FFD0630"/>
    <w:rsid w:val="50120532"/>
    <w:rsid w:val="512C73D2"/>
    <w:rsid w:val="513B445F"/>
    <w:rsid w:val="518621C3"/>
    <w:rsid w:val="525D7430"/>
    <w:rsid w:val="52AC5966"/>
    <w:rsid w:val="52D17E87"/>
    <w:rsid w:val="52D7678D"/>
    <w:rsid w:val="53BF77E5"/>
    <w:rsid w:val="53D8114B"/>
    <w:rsid w:val="53E072D6"/>
    <w:rsid w:val="541F4FCC"/>
    <w:rsid w:val="55023CC9"/>
    <w:rsid w:val="55AD03B6"/>
    <w:rsid w:val="57756282"/>
    <w:rsid w:val="578810DA"/>
    <w:rsid w:val="58D2085F"/>
    <w:rsid w:val="590316FF"/>
    <w:rsid w:val="59A553B2"/>
    <w:rsid w:val="5A2570B4"/>
    <w:rsid w:val="5A340D5B"/>
    <w:rsid w:val="5B2F1F99"/>
    <w:rsid w:val="5CC91F79"/>
    <w:rsid w:val="5CFF7BB6"/>
    <w:rsid w:val="5D9A237B"/>
    <w:rsid w:val="5E824AD5"/>
    <w:rsid w:val="5EF17565"/>
    <w:rsid w:val="5F351B48"/>
    <w:rsid w:val="5F49226B"/>
    <w:rsid w:val="5FBA204D"/>
    <w:rsid w:val="5FF264F8"/>
    <w:rsid w:val="5FF90DC7"/>
    <w:rsid w:val="600400E9"/>
    <w:rsid w:val="60602BF4"/>
    <w:rsid w:val="60AC7BE7"/>
    <w:rsid w:val="60BA67A8"/>
    <w:rsid w:val="612B4FB0"/>
    <w:rsid w:val="6169634A"/>
    <w:rsid w:val="61926DDD"/>
    <w:rsid w:val="61ED04B8"/>
    <w:rsid w:val="61FF01EB"/>
    <w:rsid w:val="62107AF1"/>
    <w:rsid w:val="628523D4"/>
    <w:rsid w:val="63911317"/>
    <w:rsid w:val="63BC2837"/>
    <w:rsid w:val="63E7123E"/>
    <w:rsid w:val="643C74D4"/>
    <w:rsid w:val="64F26731"/>
    <w:rsid w:val="651A5A67"/>
    <w:rsid w:val="65827169"/>
    <w:rsid w:val="66523F4A"/>
    <w:rsid w:val="67ED7463"/>
    <w:rsid w:val="68082D1D"/>
    <w:rsid w:val="68BF38FE"/>
    <w:rsid w:val="69EF2032"/>
    <w:rsid w:val="6A0252AF"/>
    <w:rsid w:val="6A0E5881"/>
    <w:rsid w:val="6A1449A4"/>
    <w:rsid w:val="6A68347B"/>
    <w:rsid w:val="6B2A5994"/>
    <w:rsid w:val="6BAA566B"/>
    <w:rsid w:val="6C0834F2"/>
    <w:rsid w:val="6C692D89"/>
    <w:rsid w:val="6CDA5ADC"/>
    <w:rsid w:val="6D350F65"/>
    <w:rsid w:val="6DCC3677"/>
    <w:rsid w:val="6F3E041D"/>
    <w:rsid w:val="6F7F4348"/>
    <w:rsid w:val="6F9F845A"/>
    <w:rsid w:val="6FB7684F"/>
    <w:rsid w:val="6FE80510"/>
    <w:rsid w:val="6FEB23DA"/>
    <w:rsid w:val="700F0F05"/>
    <w:rsid w:val="70945002"/>
    <w:rsid w:val="70B2229F"/>
    <w:rsid w:val="715F2A54"/>
    <w:rsid w:val="725B7105"/>
    <w:rsid w:val="72760055"/>
    <w:rsid w:val="73927111"/>
    <w:rsid w:val="73AF381F"/>
    <w:rsid w:val="750D5708"/>
    <w:rsid w:val="7521549D"/>
    <w:rsid w:val="758C5085"/>
    <w:rsid w:val="759D2548"/>
    <w:rsid w:val="75F776FF"/>
    <w:rsid w:val="76300B8D"/>
    <w:rsid w:val="76564426"/>
    <w:rsid w:val="766902AC"/>
    <w:rsid w:val="76D812DE"/>
    <w:rsid w:val="777AEF28"/>
    <w:rsid w:val="780600CD"/>
    <w:rsid w:val="78272AAB"/>
    <w:rsid w:val="78AE679B"/>
    <w:rsid w:val="791B3704"/>
    <w:rsid w:val="7940316B"/>
    <w:rsid w:val="79EC5419"/>
    <w:rsid w:val="79FE61B0"/>
    <w:rsid w:val="7A011471"/>
    <w:rsid w:val="7ACF0C4A"/>
    <w:rsid w:val="7B263453"/>
    <w:rsid w:val="7B445194"/>
    <w:rsid w:val="7BD007D6"/>
    <w:rsid w:val="7BDF77A7"/>
    <w:rsid w:val="7C06244A"/>
    <w:rsid w:val="7C9106EB"/>
    <w:rsid w:val="7D8063F0"/>
    <w:rsid w:val="7DA95783"/>
    <w:rsid w:val="7E0230E5"/>
    <w:rsid w:val="7E040C0B"/>
    <w:rsid w:val="7EAF0FBB"/>
    <w:rsid w:val="7EC52C78"/>
    <w:rsid w:val="7EEF71C5"/>
    <w:rsid w:val="7F1AFC4A"/>
    <w:rsid w:val="7F450E3D"/>
    <w:rsid w:val="7F9F9D64"/>
    <w:rsid w:val="97FE9616"/>
    <w:rsid w:val="A7BF6633"/>
    <w:rsid w:val="DBDFDA6F"/>
    <w:rsid w:val="EBF7FC43"/>
    <w:rsid w:val="F9D5328D"/>
    <w:rsid w:val="FD728193"/>
    <w:rsid w:val="FDBDC060"/>
    <w:rsid w:val="FFEAD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ind w:firstLine="412" w:firstLineChars="200"/>
      <w:jc w:val="left"/>
      <w:textAlignment w:val="baseline"/>
    </w:pPr>
    <w:rPr>
      <w:rFonts w:ascii="Times New Roman" w:hAnsi="Times New Roman" w:eastAsia="宋体" w:cs="Arial"/>
      <w:snapToGrid w:val="0"/>
      <w:color w:val="000000"/>
      <w:kern w:val="0"/>
      <w:sz w:val="21"/>
      <w:szCs w:val="21"/>
      <w:lang w:val="en-US" w:eastAsia="en-US" w:bidi="ar-SA"/>
    </w:rPr>
  </w:style>
  <w:style w:type="paragraph" w:styleId="2">
    <w:name w:val="heading 1"/>
    <w:next w:val="3"/>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line="360" w:lineRule="auto"/>
      <w:textAlignment w:val="auto"/>
      <w:outlineLvl w:val="0"/>
    </w:pPr>
    <w:rPr>
      <w:rFonts w:ascii="黑体" w:hAnsi="黑体" w:eastAsia="黑体" w:cs="黑体"/>
      <w:spacing w:val="-8"/>
      <w:sz w:val="21"/>
      <w:szCs w:val="21"/>
    </w:rPr>
  </w:style>
  <w:style w:type="paragraph" w:styleId="4">
    <w:name w:val="heading 2"/>
    <w:next w:val="3"/>
    <w:unhideWhenUsed/>
    <w:qFormat/>
    <w:uiPriority w:val="0"/>
    <w:pPr>
      <w:keepNext w:val="0"/>
      <w:keepLines w:val="0"/>
      <w:pageBreakBefore w:val="0"/>
      <w:widowControl/>
      <w:kinsoku/>
      <w:wordWrap/>
      <w:overflowPunct/>
      <w:topLinePunct w:val="0"/>
      <w:autoSpaceDE/>
      <w:autoSpaceDN/>
      <w:bidi w:val="0"/>
      <w:adjustRightInd/>
      <w:snapToGrid/>
      <w:spacing w:before="100" w:beforeLines="100" w:after="100" w:afterLines="100"/>
      <w:ind w:firstLine="400" w:firstLineChars="200"/>
      <w:textAlignment w:val="auto"/>
      <w:outlineLvl w:val="1"/>
    </w:pPr>
    <w:rPr>
      <w:rFonts w:ascii="Times New Roman" w:hAnsi="Times New Roman" w:eastAsia="黑体" w:cs="黑体"/>
    </w:rPr>
  </w:style>
  <w:style w:type="paragraph" w:styleId="5">
    <w:name w:val="heading 3"/>
    <w:next w:val="1"/>
    <w:unhideWhenUsed/>
    <w:qFormat/>
    <w:uiPriority w:val="0"/>
    <w:pPr>
      <w:keepNext w:val="0"/>
      <w:keepLines w:val="0"/>
      <w:pageBreakBefore w:val="0"/>
      <w:widowControl/>
      <w:kinsoku/>
      <w:wordWrap/>
      <w:overflowPunct/>
      <w:topLinePunct w:val="0"/>
      <w:autoSpaceDE/>
      <w:autoSpaceDN/>
      <w:bidi w:val="0"/>
      <w:adjustRightInd/>
      <w:snapToGrid/>
      <w:spacing w:before="50" w:beforeLines="50" w:beforeAutospacing="0" w:after="50" w:afterLines="50" w:afterAutospacing="0"/>
      <w:ind w:firstLine="400" w:firstLineChars="200"/>
      <w:jc w:val="left"/>
      <w:textAlignment w:val="auto"/>
      <w:outlineLvl w:val="2"/>
    </w:pPr>
    <w:rPr>
      <w:rFonts w:ascii="黑体" w:hAnsi="黑体" w:eastAsia="黑体" w:cs="黑体"/>
      <w:sz w:val="20"/>
      <w:szCs w:val="27"/>
      <w:lang w:eastAsia="zh-CN" w:bidi="ar"/>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Body Text"/>
    <w:link w:val="20"/>
    <w:qFormat/>
    <w:uiPriority w:val="0"/>
    <w:pPr>
      <w:bidi w:val="0"/>
      <w:spacing w:line="240" w:lineRule="auto"/>
      <w:ind w:left="0" w:leftChars="0" w:firstLine="412" w:firstLineChars="200"/>
      <w:jc w:val="both"/>
    </w:pPr>
    <w:rPr>
      <w:rFonts w:ascii="Times New Roman" w:hAnsi="Times New Roman" w:eastAsia="宋体" w:cs="宋体"/>
      <w:spacing w:val="-2"/>
      <w:sz w:val="21"/>
    </w:rPr>
  </w:style>
  <w:style w:type="paragraph" w:styleId="6">
    <w:name w:val="annotation text"/>
    <w:basedOn w:val="1"/>
    <w:qFormat/>
    <w:uiPriority w:val="0"/>
    <w:pPr>
      <w:jc w:val="left"/>
    </w:pPr>
  </w:style>
  <w:style w:type="paragraph" w:styleId="7">
    <w:name w:val="toc 3"/>
    <w:basedOn w:val="1"/>
    <w:next w:val="1"/>
    <w:autoRedefine/>
    <w:qFormat/>
    <w:uiPriority w:val="0"/>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0"/>
  </w:style>
  <w:style w:type="paragraph" w:styleId="11">
    <w:name w:val="toc 2"/>
    <w:basedOn w:val="1"/>
    <w:next w:val="1"/>
    <w:autoRedefine/>
    <w:qFormat/>
    <w:uiPriority w:val="0"/>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qFormat/>
    <w:uiPriority w:val="99"/>
    <w:rPr>
      <w:color w:val="0000FF"/>
      <w:spacing w:val="0"/>
      <w:w w:val="100"/>
      <w:szCs w:val="21"/>
      <w:u w:val="single"/>
    </w:rPr>
  </w:style>
  <w:style w:type="table" w:customStyle="1" w:styleId="18">
    <w:name w:val="Table Normal"/>
    <w:semiHidden/>
    <w:unhideWhenUsed/>
    <w:qFormat/>
    <w:uiPriority w:val="0"/>
    <w:tblPr>
      <w:tblCellMar>
        <w:top w:w="0" w:type="dxa"/>
        <w:left w:w="0" w:type="dxa"/>
        <w:bottom w:w="0" w:type="dxa"/>
        <w:right w:w="0" w:type="dxa"/>
      </w:tblCellMar>
    </w:tblPr>
  </w:style>
  <w:style w:type="paragraph" w:customStyle="1" w:styleId="19">
    <w:name w:val="Table Text"/>
    <w:basedOn w:val="1"/>
    <w:semiHidden/>
    <w:qFormat/>
    <w:uiPriority w:val="0"/>
    <w:rPr>
      <w:rFonts w:ascii="宋体" w:hAnsi="宋体" w:eastAsia="宋体" w:cs="宋体"/>
      <w:sz w:val="18"/>
      <w:szCs w:val="18"/>
      <w:lang w:val="en-US" w:eastAsia="en-US" w:bidi="ar-SA"/>
    </w:rPr>
  </w:style>
  <w:style w:type="character" w:customStyle="1" w:styleId="20">
    <w:name w:val="正文文本 Char"/>
    <w:link w:val="3"/>
    <w:qFormat/>
    <w:uiPriority w:val="0"/>
    <w:rPr>
      <w:rFonts w:ascii="Times New Roman" w:hAnsi="Times New Roman" w:eastAsia="宋体" w:cs="宋体"/>
      <w:spacing w:val="-2"/>
      <w:sz w:val="21"/>
    </w:rPr>
  </w:style>
  <w:style w:type="paragraph" w:customStyle="1" w:styleId="21">
    <w:name w:val="公式"/>
    <w:qFormat/>
    <w:uiPriority w:val="0"/>
    <w:pPr>
      <w:tabs>
        <w:tab w:val="right" w:leader="middleDot" w:pos="9240"/>
      </w:tabs>
      <w:spacing w:before="52" w:line="226" w:lineRule="auto"/>
      <w:ind w:firstLine="3990" w:firstLineChars="1900"/>
    </w:pPr>
    <w:rPr>
      <w:rFonts w:ascii="Cambria Math" w:hAnsi="Cambria Math" w:eastAsia="Cambria Math" w:cs="Cambria Math"/>
    </w:rPr>
  </w:style>
  <w:style w:type="paragraph" w:customStyle="1" w:styleId="22">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3">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24">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5">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26">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27">
    <w:name w:val="封面标准英文名称"/>
    <w:basedOn w:val="26"/>
    <w:qFormat/>
    <w:uiPriority w:val="0"/>
    <w:pPr>
      <w:framePr w:wrap="around"/>
      <w:spacing w:before="370" w:line="400" w:lineRule="exact"/>
    </w:pPr>
    <w:rPr>
      <w:rFonts w:ascii="Times New Roman"/>
      <w:sz w:val="28"/>
      <w:szCs w:val="28"/>
    </w:rPr>
  </w:style>
  <w:style w:type="paragraph" w:customStyle="1" w:styleId="28">
    <w:name w:val="封面标准文稿类别"/>
    <w:basedOn w:val="1"/>
    <w:qFormat/>
    <w:uiPriority w:val="0"/>
    <w:pPr>
      <w:framePr w:w="9639" w:h="6917" w:hRule="exact" w:wrap="around" w:vAnchor="page" w:hAnchor="page" w:xAlign="center" w:y="6408" w:anchorLock="1"/>
      <w:spacing w:before="440" w:after="160"/>
      <w:jc w:val="center"/>
      <w:textAlignment w:val="center"/>
    </w:pPr>
    <w:rPr>
      <w:rFonts w:ascii="宋体" w:cs="Times New Roman"/>
      <w:kern w:val="0"/>
      <w:sz w:val="24"/>
      <w:szCs w:val="28"/>
    </w:rPr>
  </w:style>
  <w:style w:type="paragraph" w:customStyle="1" w:styleId="29">
    <w:name w:val="封面标准文稿编辑信息"/>
    <w:basedOn w:val="28"/>
    <w:qFormat/>
    <w:uiPriority w:val="0"/>
    <w:pPr>
      <w:framePr w:wrap="around"/>
      <w:spacing w:before="180" w:line="180" w:lineRule="exact"/>
    </w:pPr>
    <w:rPr>
      <w:sz w:val="21"/>
    </w:rPr>
  </w:style>
  <w:style w:type="paragraph" w:customStyle="1" w:styleId="30">
    <w:name w:val="其他发布日期"/>
    <w:basedOn w:val="1"/>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31">
    <w:name w:val="其他实施日期"/>
    <w:basedOn w:val="1"/>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32">
    <w:name w:val="其他发布部门"/>
    <w:basedOn w:val="1"/>
    <w:qFormat/>
    <w:uiPriority w:val="0"/>
    <w:pPr>
      <w:framePr w:w="7938" w:h="1134" w:hRule="exact" w:hSpace="125" w:vSpace="181" w:wrap="around" w:vAnchor="page" w:hAnchor="page" w:x="2150" w:y="15310" w:anchorLock="1"/>
      <w:widowControl/>
      <w:spacing w:line="0" w:lineRule="atLeast"/>
      <w:jc w:val="center"/>
    </w:pPr>
    <w:rPr>
      <w:rFonts w:ascii="黑体" w:eastAsia="黑体" w:cs="Times New Roman"/>
      <w:spacing w:val="20"/>
      <w:w w:val="135"/>
      <w:kern w:val="0"/>
      <w:sz w:val="28"/>
      <w:szCs w:val="20"/>
    </w:rPr>
  </w:style>
  <w:style w:type="character" w:customStyle="1" w:styleId="33">
    <w:name w:val="发布"/>
    <w:qFormat/>
    <w:uiPriority w:val="0"/>
    <w:rPr>
      <w:rFonts w:ascii="黑体" w:eastAsia="黑体"/>
      <w:spacing w:val="85"/>
      <w:w w:val="100"/>
      <w:position w:val="3"/>
      <w:sz w:val="28"/>
      <w:szCs w:val="28"/>
    </w:rPr>
  </w:style>
  <w:style w:type="paragraph" w:customStyle="1" w:styleId="34">
    <w:name w:val="段"/>
    <w:qFormat/>
    <w:uiPriority w:val="0"/>
    <w:pPr>
      <w:tabs>
        <w:tab w:val="center" w:pos="4201"/>
        <w:tab w:val="right" w:leader="dot" w:pos="9298"/>
      </w:tabs>
      <w:autoSpaceDE w:val="0"/>
      <w:autoSpaceDN w:val="0"/>
      <w:spacing w:before="0" w:beforeLines="0" w:after="0" w:afterLines="0"/>
      <w:ind w:firstLine="0" w:firstLineChars="0"/>
      <w:jc w:val="both"/>
    </w:pPr>
    <w:rPr>
      <w:rFonts w:ascii="宋体" w:hAnsi="宋体" w:eastAsia="宋体" w:cs="Times New Roman"/>
      <w:sz w:val="21"/>
      <w:lang w:val="en-US" w:eastAsia="zh-CN" w:bidi="ar-SA"/>
    </w:rPr>
  </w:style>
  <w:style w:type="paragraph" w:customStyle="1" w:styleId="35">
    <w:name w:val="目次、标准名称标题"/>
    <w:basedOn w:val="1"/>
    <w:next w:val="1"/>
    <w:qFormat/>
    <w:uiPriority w:val="0"/>
    <w:pPr>
      <w:keepNext/>
      <w:pageBreakBefore/>
      <w:widowControl/>
      <w:shd w:val="clear" w:color="FFFFFF" w:fill="FFFFFF"/>
      <w:spacing w:before="640" w:after="560" w:line="460" w:lineRule="exact"/>
      <w:jc w:val="center"/>
      <w:outlineLvl w:val="0"/>
    </w:pPr>
    <w:rPr>
      <w:rFonts w:ascii="黑体" w:eastAsia="黑体" w:cs="Times New Roman"/>
      <w:kern w:val="0"/>
      <w:sz w:val="32"/>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microsoft.com/office/2006/relationships/keyMapCustomizations" Target="customizations.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4105</Words>
  <Characters>4940</Characters>
  <TotalTime>1</TotalTime>
  <ScaleCrop>false</ScaleCrop>
  <LinksUpToDate>false</LinksUpToDate>
  <CharactersWithSpaces>5143</CharactersWithSpaces>
  <Application>WPS Office_12.1.24031.24031_F1E327BC-269C-435d-A152-05C5408002CA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2024-07-24T15:21:00Z</dcterms:created>
  <dc:creator>刘璟</dc:creator>
  <cp:lastModifiedBy>weiwen</cp:lastModifiedBy>
  <dcterms:modified xsi:type="dcterms:W3CDTF">2026-05-22T01:18:51Z</dcterms:modified>
  <dc:title>地方标准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2025-12-13T16:52:39Z</vt:filetime>
  </property>
  <property fmtid="{D5CDD505-2E9C-101B-9397-08002B2CF9AE}" pid="4" name="KSOTemplateDocerSaveRecord">
    <vt:lpwstr>eyJoZGlkIjoiOTllOWQ3MDg5NTdkOTUxMmYwZjRiMzg4NzYxZGMwZDgiLCJ1c2VySWQiOiI0NjYxMDI1MTQifQ==</vt:lpwstr>
  </property>
  <property fmtid="{D5CDD505-2E9C-101B-9397-08002B2CF9AE}" pid="5" name="KSOProductBuildVer">
    <vt:lpwstr>2052-12.1.24031.24031</vt:lpwstr>
  </property>
  <property fmtid="{D5CDD505-2E9C-101B-9397-08002B2CF9AE}" pid="6" name="ICV">
    <vt:lpwstr>7AD77268FB13A1F214030F6A9AA6819B_43</vt:lpwstr>
  </property>
</Properties>
</file>