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ustomizations.xml" ContentType="application/vnd.ms-word.keyMapCustomization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79A598">
      <w:pPr>
        <w:pStyle w:val="23"/>
        <w:framePr w:wrap="around"/>
        <w:rPr>
          <w:rFonts w:hint="default"/>
          <w:lang w:val="en-US"/>
        </w:rPr>
      </w:pPr>
      <w:bookmarkStart w:id="103" w:name="_GoBack"/>
      <w:bookmarkEnd w:id="103"/>
      <w:r>
        <w:rPr>
          <w:rFonts w:ascii="Times New Roman"/>
        </w:rPr>
        <w:t>ICS</w:t>
      </w:r>
      <w:r>
        <w:rPr>
          <w:rFonts w:hint="eastAsia" w:ascii="MS Mincho" w:hAnsi="MS Mincho" w:eastAsia="MS Mincho" w:cs="MS Mincho"/>
        </w:rPr>
        <w:t> </w:t>
      </w:r>
      <w:bookmarkStart w:id="0" w:name="ICS"/>
      <w:r>
        <w:rPr>
          <w:rFonts w:hint="eastAsia" w:ascii="黑体" w:hAnsi="黑体" w:eastAsia="黑体" w:cs="黑体"/>
          <w:lang w:val="en-US" w:eastAsia="zh-CN"/>
        </w:rPr>
        <w:t>XX</w:t>
      </w:r>
      <w:bookmarkEnd w:id="0"/>
      <w:r>
        <w:rPr>
          <w:rFonts w:hint="eastAsia" w:ascii="黑体" w:hAnsi="黑体" w:eastAsia="黑体" w:cs="黑体"/>
          <w:lang w:val="en-US" w:eastAsia="zh-CN"/>
        </w:rPr>
        <w:t>.XXX</w:t>
      </w:r>
    </w:p>
    <w:p w14:paraId="268490BE">
      <w:pPr>
        <w:pStyle w:val="23"/>
        <w:framePr w:wrap="around"/>
      </w:pPr>
      <w:r>
        <w:fldChar w:fldCharType="begin">
          <w:ffData>
            <w:name w:val="WXFLH"/>
            <w:enabled/>
            <w:calcOnExit w:val="0"/>
            <w:helpText w:type="text" w:val="请输入中国标准文献分类号："/>
            <w:textInput>
              <w:default w:val=" "/>
            </w:textInput>
          </w:ffData>
        </w:fldChar>
      </w:r>
      <w:bookmarkStart w:id="1" w:name="WXFLH"/>
      <w:r>
        <w:instrText xml:space="preserve"> FORMTEXT </w:instrText>
      </w:r>
      <w:r>
        <w:fldChar w:fldCharType="separate"/>
      </w:r>
      <w:r>
        <w:t xml:space="preserve"> </w:t>
      </w:r>
      <w:r>
        <w:fldChar w:fldCharType="end"/>
      </w:r>
      <w:bookmarkEnd w:id="1"/>
    </w:p>
    <w:tbl>
      <w:tblPr>
        <w:tblStyle w:val="13"/>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854"/>
      </w:tblGrid>
      <w:tr w14:paraId="1C5CF118">
        <w:tc>
          <w:tcPr>
            <w:tcW w:w="9854" w:type="dxa"/>
            <w:tcBorders>
              <w:top w:val="nil"/>
              <w:left w:val="nil"/>
              <w:bottom w:val="nil"/>
              <w:right w:val="nil"/>
            </w:tcBorders>
          </w:tcPr>
          <w:p w14:paraId="50C523E9">
            <w:pPr>
              <w:pStyle w:val="23"/>
              <w:framePr w:wrap="around"/>
              <w:rPr>
                <w:kern w:val="2"/>
              </w:rPr>
            </w:pPr>
            <w:r>
              <w:rPr>
                <w:rFonts w:hint="eastAsia"/>
                <w:kern w:val="2"/>
              </w:rPr>
              <mc:AlternateContent>
                <mc:Choice Requires="wps">
                  <w:drawing>
                    <wp:anchor distT="0" distB="0" distL="114300" distR="114300" simplePos="0" relativeHeight="251664384" behindDoc="1" locked="0" layoutInCell="1" allowOverlap="1">
                      <wp:simplePos x="0" y="0"/>
                      <wp:positionH relativeFrom="column">
                        <wp:posOffset>-66675</wp:posOffset>
                      </wp:positionH>
                      <wp:positionV relativeFrom="paragraph">
                        <wp:posOffset>0</wp:posOffset>
                      </wp:positionV>
                      <wp:extent cx="866775" cy="198120"/>
                      <wp:effectExtent l="0" t="0" r="0" b="1905"/>
                      <wp:wrapNone/>
                      <wp:docPr id="2" name="BAH"/>
                      <wp:cNvGraphicFramePr/>
                      <a:graphic xmlns:a="http://schemas.openxmlformats.org/drawingml/2006/main">
                        <a:graphicData uri="http://schemas.microsoft.com/office/word/2010/wordprocessingShape">
                          <wps:wsp>
                            <wps:cNvSpPr>
                              <a:spLocks noChangeArrowheads="1"/>
                            </wps:cNvSpPr>
                            <wps:spPr bwMode="auto">
                              <a:xfrm>
                                <a:off x="0" y="0"/>
                                <a:ext cx="866775" cy="198120"/>
                              </a:xfrm>
                              <a:prstGeom prst="rect">
                                <a:avLst/>
                              </a:prstGeom>
                              <a:solidFill>
                                <a:srgbClr val="FFFFFF"/>
                              </a:solidFill>
                              <a:ln>
                                <a:noFill/>
                              </a:ln>
                              <a:effectLst/>
                            </wps:spPr>
                            <wps:bodyPr rot="0" vert="horz" wrap="square" lIns="91440" tIns="45720" rIns="91440" bIns="45720" anchor="t" anchorCtr="0" upright="1">
                              <a:noAutofit/>
                            </wps:bodyPr>
                          </wps:wsp>
                        </a:graphicData>
                      </a:graphic>
                    </wp:anchor>
                  </w:drawing>
                </mc:Choice>
                <mc:Fallback>
                  <w:pict>
                    <v:rect id="BAH" o:spid="_x0000_s1026" o:spt="1" style="position:absolute;left:0pt;margin-left:-5.25pt;margin-top:0pt;height:15.6pt;width:68.25pt;z-index:-251652096;mso-width-relative:page;mso-height-relative:page;" fillcolor="#FFFFFF" filled="t" stroked="f" coordsize="21600,21600" o:gfxdata="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MiuL+zVAAAABwEAAA8AAAAAAAAAAQAg&#10;AAAAIgAAAGRycy9kb3ducmV2LnhtbFBLAQIUABQAAAAIAIdO4kBPu7vsEQIAAC4EAAAOAAAAAAAA&#10;AAEAIAAAACQBAABkcnMvZTJvRG9jLnhtbFBLBQYAAAAABgAGAFkBAACnBQAAAAA=&#10;">
                      <v:fill on="t" focussize="0,0"/>
                      <v:stroke on="f"/>
                      <v:imagedata o:title=""/>
                      <o:lock v:ext="edit" aspectratio="f"/>
                    </v:rect>
                  </w:pict>
                </mc:Fallback>
              </mc:AlternateContent>
            </w:r>
            <w:r>
              <w:rPr>
                <w:rFonts w:hint="eastAsia"/>
                <w:kern w:val="2"/>
              </w:rPr>
              <w:fldChar w:fldCharType="begin">
                <w:ffData>
                  <w:name w:val="BAH"/>
                  <w:enabled/>
                  <w:calcOnExit w:val="0"/>
                  <w:textInput/>
                </w:ffData>
              </w:fldChar>
            </w:r>
            <w:bookmarkStart w:id="2" w:name="BAH"/>
            <w:r>
              <w:rPr>
                <w:rFonts w:hint="eastAsia"/>
                <w:kern w:val="2"/>
              </w:rPr>
              <w:instrText xml:space="preserve"> FORMTEXT </w:instrText>
            </w:r>
            <w:r>
              <w:rPr>
                <w:rFonts w:hint="eastAsia"/>
                <w:kern w:val="2"/>
              </w:rPr>
              <w:fldChar w:fldCharType="separate"/>
            </w:r>
            <w:r>
              <w:rPr>
                <w:rFonts w:hint="eastAsia"/>
                <w:kern w:val="2"/>
              </w:rPr>
              <w:t>     </w:t>
            </w:r>
            <w:r>
              <w:rPr>
                <w:rFonts w:hint="eastAsia"/>
                <w:kern w:val="2"/>
              </w:rPr>
              <w:fldChar w:fldCharType="end"/>
            </w:r>
            <w:bookmarkEnd w:id="2"/>
          </w:p>
        </w:tc>
      </w:tr>
    </w:tbl>
    <w:p w14:paraId="3BD3EF3E">
      <w:pPr>
        <w:pStyle w:val="24"/>
        <w:framePr w:wrap="around"/>
      </w:pPr>
      <w:r>
        <w:rPr>
          <w:rFonts w:hint="eastAsia"/>
        </w:rPr>
        <w:t>团体标准</w:t>
      </w:r>
    </w:p>
    <w:p w14:paraId="68A76ECA">
      <w:pPr>
        <w:pStyle w:val="25"/>
        <w:framePr w:wrap="around"/>
        <w:ind w:left="1260" w:hanging="420"/>
        <w:rPr>
          <w:rFonts w:hAnsi="黑体"/>
        </w:rPr>
      </w:pPr>
      <w:r>
        <w:rPr>
          <w:rFonts w:hint="eastAsia" w:hAnsi="黑体"/>
        </w:rPr>
        <w:t>T/XX XXXX—XXXX</w:t>
      </w:r>
    </w:p>
    <w:tbl>
      <w:tblPr>
        <w:tblStyle w:val="13"/>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356"/>
      </w:tblGrid>
      <w:tr w14:paraId="70313499">
        <w:tc>
          <w:tcPr>
            <w:tcW w:w="9356" w:type="dxa"/>
            <w:tcBorders>
              <w:top w:val="nil"/>
              <w:left w:val="nil"/>
              <w:bottom w:val="nil"/>
              <w:right w:val="nil"/>
            </w:tcBorders>
          </w:tcPr>
          <w:p w14:paraId="777932BC">
            <w:pPr>
              <w:pStyle w:val="26"/>
              <w:framePr w:wrap="around"/>
              <w:rPr>
                <w:kern w:val="2"/>
              </w:rPr>
            </w:pPr>
            <w:bookmarkStart w:id="3" w:name="DT"/>
            <w:r>
              <w:rPr>
                <w:rFonts w:hint="eastAsia"/>
                <w:kern w:val="2"/>
              </w:rPr>
              <mc:AlternateContent>
                <mc:Choice Requires="wps">
                  <w:drawing>
                    <wp:anchor distT="0" distB="0" distL="114300" distR="114300" simplePos="0" relativeHeight="251663360" behindDoc="1" locked="0" layoutInCell="1" allowOverlap="1">
                      <wp:simplePos x="0" y="0"/>
                      <wp:positionH relativeFrom="column">
                        <wp:posOffset>4734560</wp:posOffset>
                      </wp:positionH>
                      <wp:positionV relativeFrom="paragraph">
                        <wp:posOffset>34290</wp:posOffset>
                      </wp:positionV>
                      <wp:extent cx="1143000" cy="228600"/>
                      <wp:effectExtent l="0" t="0" r="0" b="0"/>
                      <wp:wrapNone/>
                      <wp:docPr id="1" name="DT"/>
                      <wp:cNvGraphicFramePr/>
                      <a:graphic xmlns:a="http://schemas.openxmlformats.org/drawingml/2006/main">
                        <a:graphicData uri="http://schemas.microsoft.com/office/word/2010/wordprocessingShape">
                          <wps:wsp>
                            <wps:cNvSpPr>
                              <a:spLocks noChangeArrowheads="1"/>
                            </wps:cNvSpPr>
                            <wps:spPr bwMode="auto">
                              <a:xfrm>
                                <a:off x="0" y="0"/>
                                <a:ext cx="1143000" cy="228600"/>
                              </a:xfrm>
                              <a:prstGeom prst="rect">
                                <a:avLst/>
                              </a:prstGeom>
                              <a:solidFill>
                                <a:srgbClr val="FFFFFF"/>
                              </a:solidFill>
                              <a:ln>
                                <a:noFill/>
                              </a:ln>
                              <a:effectLst/>
                            </wps:spPr>
                            <wps:bodyPr rot="0" vert="horz" wrap="square" lIns="91440" tIns="45720" rIns="91440" bIns="45720" anchor="t" anchorCtr="0" upright="1">
                              <a:noAutofit/>
                            </wps:bodyPr>
                          </wps:wsp>
                        </a:graphicData>
                      </a:graphic>
                    </wp:anchor>
                  </w:drawing>
                </mc:Choice>
                <mc:Fallback>
                  <w:pict>
                    <v:rect id="DT" o:spid="_x0000_s1026" o:spt="1" style="position:absolute;left:0pt;margin-left:372.8pt;margin-top:2.7pt;height:18pt;width:90pt;z-index:-251653120;mso-width-relative:page;mso-height-relative:page;" fillcolor="#FFFFFF" filled="t" stroked="f" coordsize="21600,21600" o:gfxdata="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B5g8svWAAAACAEAAA8AAAAAAAAAAQAgAAAA&#10;IgAAAGRycy9kb3ducmV2LnhtbFBLAQIUABQAAAAIAIdO4kDXf8bnDQIAAC4EAAAOAAAAAAAAAAEA&#10;IAAAACUBAABkcnMvZTJvRG9jLnhtbFBLBQYAAAAABgAGAFkBAACkBQAAAAA=&#10;">
                      <v:fill on="t" focussize="0,0"/>
                      <v:stroke on="f"/>
                      <v:imagedata o:title=""/>
                      <o:lock v:ext="edit" aspectratio="f"/>
                    </v:rect>
                  </w:pict>
                </mc:Fallback>
              </mc:AlternateContent>
            </w:r>
            <w:r>
              <w:rPr>
                <w:rFonts w:hint="eastAsia"/>
                <w:kern w:val="2"/>
              </w:rPr>
              <w:fldChar w:fldCharType="begin">
                <w:ffData>
                  <w:name w:val="DT"/>
                  <w:enabled/>
                  <w:calcOnExit w:val="0"/>
                  <w:entryMacro w:val="ShowHelp4"/>
                  <w:textInput/>
                </w:ffData>
              </w:fldChar>
            </w:r>
            <w:r>
              <w:rPr>
                <w:rFonts w:hint="eastAsia"/>
                <w:kern w:val="2"/>
              </w:rPr>
              <w:instrText xml:space="preserve"> FORMTEXT </w:instrText>
            </w:r>
            <w:r>
              <w:rPr>
                <w:rFonts w:hint="eastAsia"/>
                <w:kern w:val="2"/>
              </w:rPr>
              <w:fldChar w:fldCharType="separate"/>
            </w:r>
            <w:r>
              <w:rPr>
                <w:rFonts w:hint="eastAsia"/>
                <w:kern w:val="2"/>
              </w:rPr>
              <w:t>     </w:t>
            </w:r>
            <w:r>
              <w:rPr>
                <w:rFonts w:hint="eastAsia"/>
                <w:kern w:val="2"/>
              </w:rPr>
              <w:fldChar w:fldCharType="end"/>
            </w:r>
            <w:bookmarkEnd w:id="3"/>
          </w:p>
        </w:tc>
      </w:tr>
    </w:tbl>
    <w:p w14:paraId="317B7E25">
      <w:pPr>
        <w:pStyle w:val="25"/>
        <w:framePr w:wrap="around"/>
        <w:ind w:left="1260" w:hanging="420"/>
        <w:rPr>
          <w:rFonts w:hAnsi="黑体"/>
        </w:rPr>
      </w:pPr>
    </w:p>
    <w:p w14:paraId="45742B39">
      <w:pPr>
        <w:pStyle w:val="25"/>
        <w:framePr w:wrap="around"/>
        <w:ind w:left="1260" w:hanging="420"/>
        <w:rPr>
          <w:rFonts w:hAnsi="黑体"/>
        </w:rPr>
      </w:pPr>
    </w:p>
    <w:p w14:paraId="08B84F91">
      <w:pPr>
        <w:pStyle w:val="27"/>
        <w:framePr w:wrap="around" w:x="1424" w:y="5639"/>
      </w:pPr>
      <w:r>
        <w:rPr>
          <w:rFonts w:hint="eastAsia" w:hAnsi="宋体"/>
          <w:bCs/>
          <w:szCs w:val="52"/>
        </w:rPr>
        <w:t xml:space="preserve">碳普惠项目减排量核算技术规范 </w:t>
      </w:r>
      <w:r>
        <w:rPr>
          <w:rFonts w:hint="eastAsia" w:hAnsi="宋体"/>
          <w:bCs/>
          <w:szCs w:val="52"/>
          <w:lang w:val="en-US" w:eastAsia="zh-CN"/>
        </w:rPr>
        <w:t>垃圾分类</w:t>
      </w:r>
    </w:p>
    <w:p w14:paraId="3E8056A3">
      <w:pPr>
        <w:pStyle w:val="28"/>
        <w:framePr w:wrap="around" w:x="1424" w:y="5639"/>
      </w:pPr>
      <w:r>
        <w:rPr>
          <w:rFonts w:hint="default" w:ascii="Times New Roman" w:hAnsi="Times New Roman" w:eastAsia="Times New Roman" w:cs="Times New Roman"/>
          <w:sz w:val="28"/>
          <w:szCs w:val="28"/>
        </w:rPr>
        <w:t xml:space="preserve">Technical </w:t>
      </w:r>
      <w:r>
        <w:rPr>
          <w:rFonts w:hint="eastAsia" w:eastAsia="宋体" w:cs="Times New Roman"/>
          <w:sz w:val="28"/>
          <w:szCs w:val="28"/>
          <w:lang w:val="en-US" w:eastAsia="zh-CN"/>
        </w:rPr>
        <w:t xml:space="preserve">Guide </w:t>
      </w:r>
      <w:r>
        <w:rPr>
          <w:rFonts w:hint="default" w:ascii="Times New Roman" w:hAnsi="Times New Roman" w:eastAsia="Times New Roman" w:cs="Times New Roman"/>
          <w:sz w:val="28"/>
          <w:szCs w:val="28"/>
        </w:rPr>
        <w:t xml:space="preserve">for </w:t>
      </w:r>
      <w:r>
        <w:rPr>
          <w:rFonts w:hint="eastAsia" w:eastAsia="宋体" w:cs="Times New Roman"/>
          <w:sz w:val="28"/>
          <w:szCs w:val="28"/>
          <w:lang w:val="en-US" w:eastAsia="zh-CN"/>
        </w:rPr>
        <w:t>C</w:t>
      </w:r>
      <w:r>
        <w:rPr>
          <w:rFonts w:hint="default" w:ascii="Times New Roman" w:hAnsi="Times New Roman" w:eastAsia="Times New Roman" w:cs="Times New Roman"/>
          <w:sz w:val="28"/>
          <w:szCs w:val="28"/>
        </w:rPr>
        <w:t xml:space="preserve">arbon </w:t>
      </w:r>
      <w:r>
        <w:rPr>
          <w:rFonts w:hint="eastAsia" w:eastAsia="宋体" w:cs="Times New Roman"/>
          <w:sz w:val="28"/>
          <w:szCs w:val="28"/>
          <w:lang w:val="en-US" w:eastAsia="zh-CN"/>
        </w:rPr>
        <w:t>I</w:t>
      </w:r>
      <w:r>
        <w:rPr>
          <w:rFonts w:hint="default" w:ascii="Times New Roman" w:hAnsi="Times New Roman" w:eastAsia="Times New Roman" w:cs="Times New Roman"/>
          <w:sz w:val="28"/>
          <w:szCs w:val="28"/>
        </w:rPr>
        <w:t xml:space="preserve">nclusive </w:t>
      </w:r>
      <w:r>
        <w:rPr>
          <w:rFonts w:hint="eastAsia" w:eastAsia="宋体" w:cs="Times New Roman"/>
          <w:sz w:val="28"/>
          <w:szCs w:val="28"/>
          <w:lang w:val="en-US" w:eastAsia="zh-CN"/>
        </w:rPr>
        <w:t>P</w:t>
      </w:r>
      <w:r>
        <w:rPr>
          <w:rFonts w:hint="default" w:ascii="Times New Roman" w:hAnsi="Times New Roman" w:eastAsia="Times New Roman" w:cs="Times New Roman"/>
          <w:sz w:val="28"/>
          <w:szCs w:val="28"/>
        </w:rPr>
        <w:t xml:space="preserve">rojects of </w:t>
      </w:r>
      <w:r>
        <w:rPr>
          <w:rFonts w:hint="default" w:ascii="Times New Roman" w:hAnsi="Times New Roman" w:eastAsia="Times New Roman" w:cs="Times New Roman"/>
          <w:sz w:val="28"/>
          <w:szCs w:val="28"/>
        </w:rPr>
        <w:br w:type="textWrapping"/>
      </w:r>
      <w:r>
        <w:rPr>
          <w:rFonts w:hint="eastAsia" w:eastAsia="宋体" w:cs="Times New Roman"/>
          <w:sz w:val="28"/>
          <w:szCs w:val="28"/>
          <w:lang w:val="en-US" w:eastAsia="zh-CN"/>
        </w:rPr>
        <w:t>C</w:t>
      </w:r>
      <w:r>
        <w:rPr>
          <w:rFonts w:hint="default" w:ascii="Times New Roman" w:hAnsi="Times New Roman" w:eastAsia="Times New Roman" w:cs="Times New Roman"/>
          <w:sz w:val="28"/>
          <w:szCs w:val="28"/>
        </w:rPr>
        <w:t xml:space="preserve">arbon </w:t>
      </w:r>
      <w:r>
        <w:rPr>
          <w:rFonts w:hint="eastAsia" w:eastAsia="宋体" w:cs="Times New Roman"/>
          <w:sz w:val="28"/>
          <w:szCs w:val="28"/>
          <w:lang w:val="en-US" w:eastAsia="zh-CN"/>
        </w:rPr>
        <w:t>E</w:t>
      </w:r>
      <w:r>
        <w:rPr>
          <w:rFonts w:hint="default" w:ascii="Times New Roman" w:hAnsi="Times New Roman" w:eastAsia="Times New Roman" w:cs="Times New Roman"/>
          <w:sz w:val="28"/>
          <w:szCs w:val="28"/>
        </w:rPr>
        <w:t xml:space="preserve">mission </w:t>
      </w:r>
      <w:r>
        <w:rPr>
          <w:rFonts w:hint="eastAsia" w:eastAsia="宋体" w:cs="Times New Roman"/>
          <w:sz w:val="28"/>
          <w:szCs w:val="28"/>
          <w:lang w:val="en-US" w:eastAsia="zh-CN"/>
        </w:rPr>
        <w:t>R</w:t>
      </w:r>
      <w:r>
        <w:rPr>
          <w:rFonts w:hint="default" w:ascii="Times New Roman" w:hAnsi="Times New Roman" w:eastAsia="Times New Roman" w:cs="Times New Roman"/>
          <w:sz w:val="28"/>
          <w:szCs w:val="28"/>
        </w:rPr>
        <w:t>eduction</w:t>
      </w:r>
      <w:r>
        <w:rPr>
          <w:rFonts w:hint="eastAsia" w:ascii="Times New Roman" w:hAnsi="Times New Roman" w:eastAsia="宋体" w:cs="Times New Roman"/>
          <w:sz w:val="28"/>
          <w:szCs w:val="28"/>
          <w:lang w:val="en-US" w:eastAsia="zh-CN"/>
        </w:rPr>
        <w:t xml:space="preserve"> </w:t>
      </w:r>
      <w:r>
        <w:rPr>
          <w:rFonts w:hint="eastAsia" w:eastAsia="宋体" w:cs="Times New Roman"/>
          <w:sz w:val="28"/>
          <w:szCs w:val="28"/>
          <w:lang w:val="en-US" w:eastAsia="zh-CN"/>
        </w:rPr>
        <w:t>A</w:t>
      </w:r>
      <w:r>
        <w:rPr>
          <w:rFonts w:hint="default" w:ascii="Times New Roman" w:hAnsi="Times New Roman" w:eastAsia="Times New Roman" w:cs="Times New Roman"/>
          <w:sz w:val="28"/>
          <w:szCs w:val="28"/>
        </w:rPr>
        <w:t>ccounting</w:t>
      </w:r>
      <w:r>
        <w:rPr>
          <w:rFonts w:hint="eastAsia" w:ascii="Times New Roman" w:hAnsi="Times New Roman" w:eastAsia="宋体" w:cs="Times New Roman"/>
          <w:sz w:val="28"/>
          <w:szCs w:val="28"/>
          <w:lang w:val="en-US" w:eastAsia="zh-CN"/>
        </w:rPr>
        <w:t>:</w:t>
      </w:r>
      <w:r>
        <w:rPr>
          <w:rFonts w:hint="default" w:ascii="Times New Roman" w:hAnsi="Times New Roman" w:eastAsia="Times New Roman" w:cs="Times New Roman"/>
          <w:sz w:val="28"/>
          <w:szCs w:val="28"/>
        </w:rPr>
        <w:br w:type="textWrapping"/>
      </w:r>
      <w:r>
        <w:rPr>
          <w:rFonts w:hint="eastAsia" w:eastAsia="Times New Roman" w:cs="Times New Roman"/>
          <w:sz w:val="28"/>
          <w:szCs w:val="28"/>
          <w:lang w:val="en-US" w:eastAsia="zh-CN"/>
        </w:rPr>
        <w:t>H</w:t>
      </w:r>
      <w:r>
        <w:rPr>
          <w:rFonts w:hint="default" w:ascii="Times New Roman" w:hAnsi="Times New Roman" w:eastAsia="Times New Roman" w:cs="Times New Roman"/>
          <w:sz w:val="28"/>
          <w:szCs w:val="28"/>
          <w:lang w:val="en-US" w:eastAsia="zh-CN"/>
        </w:rPr>
        <w:t xml:space="preserve">ousehold </w:t>
      </w:r>
      <w:r>
        <w:rPr>
          <w:rFonts w:hint="eastAsia" w:eastAsia="Times New Roman" w:cs="Times New Roman"/>
          <w:sz w:val="28"/>
          <w:szCs w:val="28"/>
          <w:lang w:val="en-US" w:eastAsia="zh-CN"/>
        </w:rPr>
        <w:t>W</w:t>
      </w:r>
      <w:r>
        <w:rPr>
          <w:rFonts w:hint="default" w:ascii="Times New Roman" w:hAnsi="Times New Roman" w:eastAsia="Times New Roman" w:cs="Times New Roman"/>
          <w:sz w:val="28"/>
          <w:szCs w:val="28"/>
          <w:lang w:val="en-US" w:eastAsia="zh-CN"/>
        </w:rPr>
        <w:t xml:space="preserve">aste </w:t>
      </w:r>
      <w:r>
        <w:rPr>
          <w:rFonts w:hint="eastAsia" w:eastAsia="Times New Roman" w:cs="Times New Roman"/>
          <w:sz w:val="28"/>
          <w:szCs w:val="28"/>
          <w:lang w:val="en-US" w:eastAsia="zh-CN"/>
        </w:rPr>
        <w:t>S</w:t>
      </w:r>
      <w:r>
        <w:rPr>
          <w:rFonts w:hint="default" w:ascii="Times New Roman" w:hAnsi="Times New Roman" w:eastAsia="Times New Roman" w:cs="Times New Roman"/>
          <w:sz w:val="28"/>
          <w:szCs w:val="28"/>
          <w:lang w:val="en-US" w:eastAsia="zh-CN"/>
        </w:rPr>
        <w:t>orting</w:t>
      </w:r>
    </w:p>
    <w:tbl>
      <w:tblPr>
        <w:tblStyle w:val="13"/>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855"/>
      </w:tblGrid>
      <w:tr w14:paraId="7C281CEB">
        <w:tc>
          <w:tcPr>
            <w:tcW w:w="9855" w:type="dxa"/>
            <w:tcBorders>
              <w:top w:val="nil"/>
              <w:left w:val="nil"/>
              <w:bottom w:val="nil"/>
              <w:right w:val="nil"/>
            </w:tcBorders>
          </w:tcPr>
          <w:p w14:paraId="5F12154C">
            <w:pPr>
              <w:pStyle w:val="29"/>
              <w:framePr w:wrap="around" w:x="1424" w:y="5639"/>
            </w:pPr>
            <w:r>
              <w:rPr>
                <w:rFonts w:hint="eastAsia"/>
              </w:rPr>
              <w:t>（草案稿）</w:t>
            </w:r>
          </w:p>
        </w:tc>
      </w:tr>
      <w:tr w14:paraId="7C3ABD7A">
        <w:tc>
          <w:tcPr>
            <w:tcW w:w="9855" w:type="dxa"/>
            <w:tcBorders>
              <w:top w:val="nil"/>
              <w:left w:val="nil"/>
              <w:bottom w:val="nil"/>
              <w:right w:val="nil"/>
            </w:tcBorders>
          </w:tcPr>
          <w:p w14:paraId="09BF63D5">
            <w:pPr>
              <w:pStyle w:val="30"/>
              <w:framePr w:wrap="around" w:x="1424" w:y="5639"/>
            </w:pPr>
          </w:p>
        </w:tc>
      </w:tr>
    </w:tbl>
    <w:p w14:paraId="7CE3AED8">
      <w:pPr>
        <w:pStyle w:val="31"/>
        <w:framePr w:wrap="around" w:hAnchor="page" w:x="1351" w:y="14121"/>
      </w:pPr>
      <w:bookmarkStart w:id="4" w:name="FY"/>
      <w:r>
        <w:rPr>
          <w:rFonts w:ascii="黑体"/>
        </w:rPr>
        <w:fldChar w:fldCharType="begin">
          <w:ffData>
            <w:name w:val="FY"/>
            <w:enabled/>
            <w:calcOnExit w:val="0"/>
            <w:entryMacro w:val="ShowHelp8"/>
            <w:textInput>
              <w:default w:val="XXXX"/>
              <w:maxLength w:val="4"/>
            </w:textInput>
          </w:ffData>
        </w:fldChar>
      </w:r>
      <w:r>
        <w:rPr>
          <w:rFonts w:ascii="黑体"/>
        </w:rPr>
        <w:instrText xml:space="preserve"> FORMTEXT </w:instrText>
      </w:r>
      <w:r>
        <w:rPr>
          <w:rFonts w:ascii="黑体"/>
        </w:rPr>
        <w:fldChar w:fldCharType="separate"/>
      </w:r>
      <w:r>
        <w:rPr>
          <w:rFonts w:hint="eastAsia" w:ascii="黑体"/>
        </w:rPr>
        <w:t>202X</w:t>
      </w:r>
      <w:r>
        <w:rPr>
          <w:rFonts w:ascii="黑体"/>
        </w:rPr>
        <w:fldChar w:fldCharType="end"/>
      </w:r>
      <w:bookmarkEnd w:id="4"/>
      <w:r>
        <w:rPr>
          <w:rFonts w:ascii="黑体"/>
        </w:rPr>
        <w:t>–</w:t>
      </w:r>
      <w:r>
        <w:rPr>
          <w:rFonts w:ascii="黑体"/>
        </w:rPr>
        <w:fldChar w:fldCharType="begin">
          <w:ffData>
            <w:name w:val="FM"/>
            <w:enabled/>
            <w:calcOnExit w:val="0"/>
            <w:entryMacro w:val="ShowHelp8"/>
            <w:textInput>
              <w:default w:val="XX"/>
              <w:maxLength w:val="2"/>
            </w:textInput>
          </w:ffData>
        </w:fldChar>
      </w:r>
      <w:r>
        <w:rPr>
          <w:rFonts w:ascii="黑体"/>
        </w:rPr>
        <w:instrText xml:space="preserve"> FORMTEXT </w:instrText>
      </w:r>
      <w:r>
        <w:rPr>
          <w:rFonts w:ascii="黑体"/>
        </w:rPr>
        <w:fldChar w:fldCharType="separate"/>
      </w:r>
      <w:r>
        <w:rPr>
          <w:rFonts w:hint="eastAsia" w:ascii="黑体"/>
        </w:rPr>
        <w:t>XX</w:t>
      </w:r>
      <w:r>
        <w:rPr>
          <w:rFonts w:ascii="黑体"/>
        </w:rPr>
        <w:fldChar w:fldCharType="end"/>
      </w:r>
      <w:r>
        <w:rPr>
          <w:rFonts w:ascii="黑体"/>
        </w:rPr>
        <w:t>-</w:t>
      </w:r>
      <w:r>
        <w:rPr>
          <w:rFonts w:hint="eastAsia" w:ascii="黑体"/>
        </w:rPr>
        <w:t>XX</w:t>
      </w:r>
      <w:r>
        <w:rPr>
          <w:rFonts w:hint="eastAsia"/>
        </w:rPr>
        <w:t>发布</w:t>
      </w:r>
      <w:r>
        <mc:AlternateContent>
          <mc:Choice Requires="wps">
            <w:drawing>
              <wp:anchor distT="0" distB="0" distL="114300" distR="114300" simplePos="0" relativeHeight="251665408" behindDoc="0" locked="1" layoutInCell="1" allowOverlap="1">
                <wp:simplePos x="0" y="0"/>
                <wp:positionH relativeFrom="column">
                  <wp:posOffset>-635</wp:posOffset>
                </wp:positionH>
                <wp:positionV relativeFrom="page">
                  <wp:posOffset>9251950</wp:posOffset>
                </wp:positionV>
                <wp:extent cx="6120130" cy="0"/>
                <wp:effectExtent l="0" t="4445" r="4445" b="5080"/>
                <wp:wrapNone/>
                <wp:docPr id="3" name="直线 10"/>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9525">
                          <a:solidFill>
                            <a:srgbClr val="000000"/>
                          </a:solidFill>
                          <a:round/>
                        </a:ln>
                        <a:effectLst/>
                      </wps:spPr>
                      <wps:bodyPr/>
                    </wps:wsp>
                  </a:graphicData>
                </a:graphic>
              </wp:anchor>
            </w:drawing>
          </mc:Choice>
          <mc:Fallback>
            <w:pict>
              <v:line id="直线 10" o:spid="_x0000_s1026" o:spt="20" style="position:absolute;left:0pt;margin-left:-0.05pt;margin-top:728.5pt;height:0pt;width:481.9pt;mso-position-vertical-relative:page;z-index:251665408;mso-width-relative:page;mso-height-relative:page;" filled="f" stroked="t" coordsize="21600,21600" o:gfxdata="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JYdrPNYAAAALAQAADwAAAAAA&#10;AAABACAAAAAiAAAAZHJzL2Rvd25yZXYueG1sUEsBAhQAFAAAAAgAh07iQNfSgmjcAQAAsAMAAA4A&#10;AAAAAAAAAQAgAAAAJQEAAGRycy9lMm9Eb2MueG1sUEsFBgAAAAAGAAYAWQEAAHMFAAAAAA==&#10;">
                <v:fill on="f" focussize="0,0"/>
                <v:stroke color="#000000" joinstyle="round"/>
                <v:imagedata o:title=""/>
                <o:lock v:ext="edit" aspectratio="f"/>
                <w10:anchorlock/>
              </v:line>
            </w:pict>
          </mc:Fallback>
        </mc:AlternateContent>
      </w:r>
    </w:p>
    <w:p w14:paraId="4D23A8AB">
      <w:pPr>
        <w:pStyle w:val="32"/>
        <w:framePr w:wrap="around" w:hAnchor="page" w:x="6921" w:y="14151"/>
      </w:pPr>
      <w:bookmarkStart w:id="5" w:name="SY"/>
      <w:r>
        <w:rPr>
          <w:rFonts w:ascii="黑体"/>
        </w:rPr>
        <w:fldChar w:fldCharType="begin">
          <w:ffData>
            <w:name w:val="SY"/>
            <w:enabled/>
            <w:calcOnExit w:val="0"/>
            <w:entryMacro w:val="ShowHelp9"/>
            <w:textInput>
              <w:default w:val="XXXX"/>
              <w:maxLength w:val="4"/>
            </w:textInput>
          </w:ffData>
        </w:fldChar>
      </w:r>
      <w:r>
        <w:rPr>
          <w:rFonts w:ascii="黑体"/>
        </w:rPr>
        <w:instrText xml:space="preserve"> FORMTEXT </w:instrText>
      </w:r>
      <w:r>
        <w:rPr>
          <w:rFonts w:ascii="黑体"/>
        </w:rPr>
        <w:fldChar w:fldCharType="separate"/>
      </w:r>
      <w:r>
        <w:rPr>
          <w:rFonts w:hint="eastAsia" w:ascii="黑体"/>
        </w:rPr>
        <w:t>202X</w:t>
      </w:r>
      <w:r>
        <w:rPr>
          <w:rFonts w:ascii="黑体"/>
        </w:rPr>
        <w:fldChar w:fldCharType="end"/>
      </w:r>
      <w:bookmarkEnd w:id="5"/>
      <w:r>
        <w:rPr>
          <w:rFonts w:ascii="黑体"/>
        </w:rPr>
        <w:t>–</w:t>
      </w:r>
      <w:bookmarkStart w:id="6" w:name="SM"/>
      <w:r>
        <w:rPr>
          <w:rFonts w:ascii="黑体"/>
        </w:rPr>
        <w:fldChar w:fldCharType="begin">
          <w:ffData>
            <w:name w:val="SM"/>
            <w:enabled/>
            <w:calcOnExit w:val="0"/>
            <w:entryMacro w:val="ShowHelp9"/>
            <w:textInput>
              <w:default w:val="XX"/>
              <w:maxLength w:val="2"/>
            </w:textInput>
          </w:ffData>
        </w:fldChar>
      </w:r>
      <w:r>
        <w:rPr>
          <w:rFonts w:ascii="黑体"/>
        </w:rPr>
        <w:instrText xml:space="preserve"> FORMTEXT </w:instrText>
      </w:r>
      <w:r>
        <w:rPr>
          <w:rFonts w:ascii="黑体"/>
        </w:rPr>
        <w:fldChar w:fldCharType="separate"/>
      </w:r>
      <w:r>
        <w:rPr>
          <w:rFonts w:hint="eastAsia" w:ascii="黑体"/>
        </w:rPr>
        <w:t>XX</w:t>
      </w:r>
      <w:r>
        <w:rPr>
          <w:rFonts w:ascii="黑体"/>
        </w:rPr>
        <w:fldChar w:fldCharType="end"/>
      </w:r>
      <w:bookmarkEnd w:id="6"/>
      <w:r>
        <w:rPr>
          <w:rFonts w:ascii="黑体"/>
        </w:rPr>
        <w:t>-</w:t>
      </w:r>
      <w:r>
        <w:rPr>
          <w:rFonts w:hint="eastAsia" w:ascii="楷体" w:hAnsi="楷体" w:eastAsia="楷体"/>
        </w:rPr>
        <w:t>XX</w:t>
      </w:r>
      <w:r>
        <w:rPr>
          <w:rFonts w:hint="eastAsia"/>
        </w:rPr>
        <w:t>实施</w:t>
      </w:r>
    </w:p>
    <w:p w14:paraId="40A6506A">
      <w:pPr>
        <w:pStyle w:val="33"/>
        <w:framePr w:wrap="around"/>
      </w:pPr>
      <w:r>
        <w:rPr>
          <w:rFonts w:hint="eastAsia" w:ascii="Times New Roman"/>
          <w:spacing w:val="-1"/>
          <w:lang w:eastAsia="zh-CN"/>
        </w:rPr>
        <w:t>深圳市绿色低碳科技促进会</w:t>
      </w:r>
      <w:r>
        <w:rPr>
          <w:rFonts w:hint="eastAsia" w:ascii="MS Mincho" w:hAnsi="MS Mincho" w:eastAsia="MS Mincho" w:cs="MS Mincho"/>
        </w:rPr>
        <w:t>   </w:t>
      </w:r>
      <w:r>
        <w:rPr>
          <w:rStyle w:val="34"/>
          <w:rFonts w:hint="eastAsia"/>
        </w:rPr>
        <w:t>发布</w:t>
      </w:r>
    </w:p>
    <w:p w14:paraId="16AA5BEC">
      <w:pPr>
        <w:spacing w:line="267" w:lineRule="auto"/>
        <w:rPr>
          <w:rFonts w:hint="default" w:ascii="Times New Roman" w:hAnsi="Times New Roman" w:cs="Times New Roman"/>
          <w:sz w:val="21"/>
        </w:rPr>
      </w:pPr>
    </w:p>
    <w:p w14:paraId="04E91E81">
      <w:pPr>
        <w:spacing w:line="246" w:lineRule="auto"/>
        <w:rPr>
          <w:rFonts w:hint="default" w:ascii="Times New Roman" w:hAnsi="Times New Roman" w:cs="Times New Roman"/>
          <w:sz w:val="21"/>
        </w:rPr>
      </w:pPr>
    </w:p>
    <w:p w14:paraId="46BE4EC9">
      <w:pPr>
        <w:spacing w:line="246" w:lineRule="auto"/>
        <w:rPr>
          <w:rFonts w:hint="default" w:ascii="Times New Roman" w:hAnsi="Times New Roman" w:cs="Times New Roman"/>
          <w:sz w:val="21"/>
        </w:rPr>
      </w:pPr>
    </w:p>
    <w:p w14:paraId="5870C4FE">
      <w:pPr>
        <w:spacing w:line="247" w:lineRule="auto"/>
        <w:rPr>
          <w:rFonts w:hint="default" w:ascii="Times New Roman" w:hAnsi="Times New Roman" w:cs="Times New Roman"/>
          <w:sz w:val="21"/>
        </w:rPr>
      </w:pPr>
      <w:r>
        <w:rPr>
          <w:rFonts w:hint="default" w:ascii="Times New Roman" w:hAnsi="Times New Roman" w:cs="Times New Roman"/>
        </w:rPr>
        <w:pict>
          <v:shape id="_x0000_s1026" o:spid="_x0000_s1026" style="position:absolute;left:0pt;margin-left:5.25pt;margin-top:6.9pt;height:0.75pt;width:481.9pt;z-index:251661312;mso-width-relative:page;mso-height-relative:page;" filled="f" stroked="t" coordsize="9638,15" path="m0,7l9638,7e">
            <v:fill on="f" focussize="0,0"/>
            <v:stroke color="#000000" miterlimit="10"/>
            <v:imagedata o:title=""/>
            <o:lock v:ext="edit"/>
          </v:shape>
        </w:pict>
      </w:r>
    </w:p>
    <w:p w14:paraId="3ABB83F4">
      <w:pPr>
        <w:spacing w:line="247" w:lineRule="auto"/>
        <w:rPr>
          <w:rFonts w:hint="default" w:ascii="Times New Roman" w:hAnsi="Times New Roman" w:cs="Times New Roman"/>
          <w:sz w:val="21"/>
        </w:rPr>
      </w:pPr>
    </w:p>
    <w:p w14:paraId="027AF581">
      <w:pPr>
        <w:spacing w:line="247" w:lineRule="auto"/>
        <w:rPr>
          <w:rFonts w:hint="default" w:ascii="Times New Roman" w:hAnsi="Times New Roman" w:cs="Times New Roman"/>
          <w:sz w:val="21"/>
        </w:rPr>
      </w:pPr>
    </w:p>
    <w:p w14:paraId="3925439D">
      <w:pPr>
        <w:spacing w:line="247" w:lineRule="auto"/>
        <w:rPr>
          <w:rFonts w:hint="default" w:ascii="Times New Roman" w:hAnsi="Times New Roman" w:cs="Times New Roman"/>
          <w:sz w:val="21"/>
        </w:rPr>
      </w:pPr>
    </w:p>
    <w:p w14:paraId="10579722">
      <w:pPr>
        <w:spacing w:line="247" w:lineRule="auto"/>
        <w:rPr>
          <w:rFonts w:hint="default" w:ascii="Times New Roman" w:hAnsi="Times New Roman" w:cs="Times New Roman"/>
          <w:sz w:val="21"/>
        </w:rPr>
      </w:pPr>
    </w:p>
    <w:p w14:paraId="3A06D32C">
      <w:pPr>
        <w:spacing w:line="247" w:lineRule="auto"/>
        <w:rPr>
          <w:rFonts w:hint="default" w:ascii="Times New Roman" w:hAnsi="Times New Roman" w:cs="Times New Roman"/>
          <w:sz w:val="21"/>
        </w:rPr>
      </w:pPr>
    </w:p>
    <w:p w14:paraId="0DDD0298">
      <w:pPr>
        <w:spacing w:line="247" w:lineRule="auto"/>
        <w:rPr>
          <w:rFonts w:hint="default" w:ascii="Times New Roman" w:hAnsi="Times New Roman" w:cs="Times New Roman"/>
          <w:sz w:val="21"/>
        </w:rPr>
      </w:pPr>
    </w:p>
    <w:p w14:paraId="4EF5F9F4">
      <w:pPr>
        <w:spacing w:line="247" w:lineRule="auto"/>
        <w:rPr>
          <w:rFonts w:hint="default" w:ascii="Times New Roman" w:hAnsi="Times New Roman" w:cs="Times New Roman"/>
          <w:sz w:val="21"/>
        </w:rPr>
      </w:pPr>
    </w:p>
    <w:p w14:paraId="6640FC44">
      <w:pPr>
        <w:spacing w:line="247" w:lineRule="auto"/>
        <w:rPr>
          <w:rFonts w:hint="default" w:ascii="Times New Roman" w:hAnsi="Times New Roman" w:cs="Times New Roman"/>
          <w:sz w:val="21"/>
        </w:rPr>
      </w:pPr>
    </w:p>
    <w:p w14:paraId="72781542">
      <w:pPr>
        <w:pStyle w:val="3"/>
        <w:spacing w:before="91" w:line="219" w:lineRule="auto"/>
        <w:ind w:left="2460"/>
        <w:rPr>
          <w:rFonts w:hint="default" w:ascii="Times New Roman" w:hAnsi="Times New Roman" w:cs="Times New Roman"/>
        </w:rPr>
      </w:pPr>
    </w:p>
    <w:p w14:paraId="01C235AB">
      <w:pPr>
        <w:spacing w:line="219" w:lineRule="auto"/>
        <w:rPr>
          <w:rFonts w:hint="default" w:ascii="Times New Roman" w:hAnsi="Times New Roman" w:cs="Times New Roman"/>
        </w:rPr>
        <w:sectPr>
          <w:pgSz w:w="11907" w:h="16839"/>
          <w:pgMar w:top="553" w:right="821" w:bottom="0" w:left="1320" w:header="0" w:footer="0" w:gutter="0"/>
          <w:cols w:space="720" w:num="1"/>
        </w:sectPr>
      </w:pPr>
    </w:p>
    <w:p w14:paraId="09ED5BDD">
      <w:pPr>
        <w:pStyle w:val="35"/>
        <w:kinsoku/>
        <w:autoSpaceDE/>
        <w:autoSpaceDN/>
        <w:adjustRightInd/>
        <w:snapToGrid/>
        <w:ind w:firstLine="0" w:firstLineChars="0"/>
        <w:textAlignment w:val="auto"/>
        <w:rPr>
          <w:rFonts w:hint="default" w:hAnsi="Times New Roman"/>
          <w:snapToGrid/>
          <w:lang w:eastAsia="zh-CN"/>
        </w:rPr>
      </w:pPr>
      <w:bookmarkStart w:id="7" w:name="_Toc10386"/>
      <w:bookmarkStart w:id="8" w:name="_Toc27538"/>
      <w:r>
        <w:rPr>
          <w:rFonts w:hint="default" w:hAnsi="Times New Roman"/>
          <w:snapToGrid/>
          <w:lang w:eastAsia="zh-CN"/>
        </w:rPr>
        <w:t>目    次</w:t>
      </w:r>
      <w:bookmarkEnd w:id="7"/>
      <w:bookmarkEnd w:id="8"/>
    </w:p>
    <w:sdt>
      <w:sdtPr>
        <w:rPr>
          <w:rFonts w:hint="default" w:ascii="Times New Roman" w:hAnsi="Times New Roman" w:eastAsia="宋体" w:cs="Times New Roman"/>
          <w:snapToGrid w:val="0"/>
          <w:color w:val="000000"/>
          <w:kern w:val="0"/>
          <w:sz w:val="21"/>
          <w:szCs w:val="21"/>
          <w:lang w:val="en-US" w:eastAsia="en-US" w:bidi="ar-SA"/>
        </w:rPr>
        <w:id w:val="147466030"/>
        <w15:color w:val="DBDBDB"/>
        <w:docPartObj>
          <w:docPartGallery w:val="Table of Contents"/>
          <w:docPartUnique/>
        </w:docPartObj>
      </w:sdtPr>
      <w:sdtEndPr>
        <w:rPr>
          <w:rFonts w:hint="default" w:ascii="Times New Roman" w:hAnsi="Times New Roman" w:eastAsia="宋体" w:cs="Times New Roman"/>
          <w:snapToGrid w:val="0"/>
          <w:color w:val="000000"/>
          <w:kern w:val="0"/>
          <w:sz w:val="21"/>
          <w:szCs w:val="21"/>
          <w:lang w:val="en-US" w:eastAsia="en-US" w:bidi="ar-SA"/>
        </w:rPr>
      </w:sdtEndPr>
      <w:sdtContent>
        <w:p w14:paraId="598243F4">
          <w:pPr>
            <w:spacing w:before="0" w:beforeLines="0" w:after="0" w:afterLines="0" w:line="240" w:lineRule="auto"/>
            <w:ind w:left="0" w:leftChars="0" w:right="0" w:rightChars="0" w:firstLine="0" w:firstLineChars="0"/>
            <w:jc w:val="center"/>
            <w:rPr>
              <w:rFonts w:hint="default" w:ascii="Times New Roman" w:hAnsi="Times New Roman" w:cs="Times New Roman"/>
            </w:rPr>
          </w:pPr>
        </w:p>
        <w:p w14:paraId="15C2869D">
          <w:pPr>
            <w:pStyle w:val="11"/>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7"/>
              <w:rFonts w:hint="eastAsia" w:ascii="Times New Roman" w:hAnsi="宋体" w:eastAsia="宋体" w:cs="Times New Roman"/>
              <w:snapToGrid/>
              <w:kern w:val="2"/>
              <w:lang w:eastAsia="zh-CN"/>
            </w:rPr>
          </w:pP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TOC \o "1-1" \h \u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HYPERLINK \l _Toc7205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1  范围</w:t>
          </w:r>
          <w:r>
            <w:rPr>
              <w:rStyle w:val="17"/>
              <w:rFonts w:hint="eastAsia" w:ascii="Times New Roman" w:hAnsi="宋体" w:eastAsia="宋体" w:cs="Times New Roman"/>
              <w:snapToGrid/>
              <w:kern w:val="2"/>
              <w:lang w:eastAsia="zh-CN"/>
            </w:rPr>
            <w:tab/>
          </w: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PAGEREF _Toc7205 \h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1</w:t>
          </w:r>
          <w:r>
            <w:rPr>
              <w:rStyle w:val="17"/>
              <w:rFonts w:hint="eastAsia" w:ascii="Times New Roman" w:hAnsi="宋体" w:eastAsia="宋体" w:cs="Times New Roman"/>
              <w:snapToGrid/>
              <w:kern w:val="2"/>
              <w:lang w:eastAsia="zh-CN"/>
            </w:rPr>
            <w:fldChar w:fldCharType="end"/>
          </w:r>
          <w:r>
            <w:rPr>
              <w:rStyle w:val="17"/>
              <w:rFonts w:hint="eastAsia" w:ascii="Times New Roman" w:hAnsi="宋体" w:eastAsia="宋体" w:cs="Times New Roman"/>
              <w:snapToGrid/>
              <w:kern w:val="2"/>
              <w:lang w:eastAsia="zh-CN"/>
            </w:rPr>
            <w:fldChar w:fldCharType="end"/>
          </w:r>
        </w:p>
        <w:p w14:paraId="1948AB96">
          <w:pPr>
            <w:pStyle w:val="11"/>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7"/>
              <w:rFonts w:hint="eastAsia" w:ascii="Times New Roman" w:hAnsi="宋体" w:eastAsia="宋体" w:cs="Times New Roman"/>
              <w:snapToGrid/>
              <w:kern w:val="2"/>
              <w:lang w:eastAsia="zh-CN"/>
            </w:rPr>
          </w:pP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HYPERLINK \l _Toc3714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2  规范性引用文件</w:t>
          </w:r>
          <w:r>
            <w:rPr>
              <w:rStyle w:val="17"/>
              <w:rFonts w:hint="eastAsia" w:ascii="Times New Roman" w:hAnsi="宋体" w:eastAsia="宋体" w:cs="Times New Roman"/>
              <w:snapToGrid/>
              <w:kern w:val="2"/>
              <w:lang w:eastAsia="zh-CN"/>
            </w:rPr>
            <w:tab/>
          </w: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PAGEREF _Toc3714 \h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1</w:t>
          </w:r>
          <w:r>
            <w:rPr>
              <w:rStyle w:val="17"/>
              <w:rFonts w:hint="eastAsia" w:ascii="Times New Roman" w:hAnsi="宋体" w:eastAsia="宋体" w:cs="Times New Roman"/>
              <w:snapToGrid/>
              <w:kern w:val="2"/>
              <w:lang w:eastAsia="zh-CN"/>
            </w:rPr>
            <w:fldChar w:fldCharType="end"/>
          </w:r>
          <w:r>
            <w:rPr>
              <w:rStyle w:val="17"/>
              <w:rFonts w:hint="eastAsia" w:ascii="Times New Roman" w:hAnsi="宋体" w:eastAsia="宋体" w:cs="Times New Roman"/>
              <w:snapToGrid/>
              <w:kern w:val="2"/>
              <w:lang w:eastAsia="zh-CN"/>
            </w:rPr>
            <w:fldChar w:fldCharType="end"/>
          </w:r>
        </w:p>
        <w:p w14:paraId="6C115954">
          <w:pPr>
            <w:pStyle w:val="11"/>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7"/>
              <w:rFonts w:hint="eastAsia" w:ascii="Times New Roman" w:hAnsi="宋体" w:eastAsia="宋体" w:cs="Times New Roman"/>
              <w:snapToGrid/>
              <w:kern w:val="2"/>
              <w:lang w:eastAsia="zh-CN"/>
            </w:rPr>
          </w:pP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HYPERLINK \l _Toc10687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3  术语和定义</w:t>
          </w:r>
          <w:r>
            <w:rPr>
              <w:rStyle w:val="17"/>
              <w:rFonts w:hint="eastAsia" w:ascii="Times New Roman" w:hAnsi="宋体" w:eastAsia="宋体" w:cs="Times New Roman"/>
              <w:snapToGrid/>
              <w:kern w:val="2"/>
              <w:lang w:eastAsia="zh-CN"/>
            </w:rPr>
            <w:tab/>
          </w: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PAGEREF _Toc10687 \h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1</w:t>
          </w:r>
          <w:r>
            <w:rPr>
              <w:rStyle w:val="17"/>
              <w:rFonts w:hint="eastAsia" w:ascii="Times New Roman" w:hAnsi="宋体" w:eastAsia="宋体" w:cs="Times New Roman"/>
              <w:snapToGrid/>
              <w:kern w:val="2"/>
              <w:lang w:eastAsia="zh-CN"/>
            </w:rPr>
            <w:fldChar w:fldCharType="end"/>
          </w:r>
          <w:r>
            <w:rPr>
              <w:rStyle w:val="17"/>
              <w:rFonts w:hint="eastAsia" w:ascii="Times New Roman" w:hAnsi="宋体" w:eastAsia="宋体" w:cs="Times New Roman"/>
              <w:snapToGrid/>
              <w:kern w:val="2"/>
              <w:lang w:eastAsia="zh-CN"/>
            </w:rPr>
            <w:fldChar w:fldCharType="end"/>
          </w:r>
        </w:p>
        <w:p w14:paraId="3117BE37">
          <w:pPr>
            <w:pStyle w:val="11"/>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7"/>
              <w:rFonts w:hint="eastAsia" w:ascii="Times New Roman" w:hAnsi="宋体" w:eastAsia="宋体" w:cs="Times New Roman"/>
              <w:snapToGrid/>
              <w:kern w:val="2"/>
              <w:lang w:eastAsia="zh-CN"/>
            </w:rPr>
          </w:pP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HYPERLINK \l _Toc12032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4  基本要求</w:t>
          </w:r>
          <w:r>
            <w:rPr>
              <w:rStyle w:val="17"/>
              <w:rFonts w:hint="eastAsia" w:ascii="Times New Roman" w:hAnsi="宋体" w:eastAsia="宋体" w:cs="Times New Roman"/>
              <w:snapToGrid/>
              <w:kern w:val="2"/>
              <w:lang w:eastAsia="zh-CN"/>
            </w:rPr>
            <w:tab/>
          </w: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PAGEREF _Toc12032 \h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2</w:t>
          </w:r>
          <w:r>
            <w:rPr>
              <w:rStyle w:val="17"/>
              <w:rFonts w:hint="eastAsia" w:ascii="Times New Roman" w:hAnsi="宋体" w:eastAsia="宋体" w:cs="Times New Roman"/>
              <w:snapToGrid/>
              <w:kern w:val="2"/>
              <w:lang w:eastAsia="zh-CN"/>
            </w:rPr>
            <w:fldChar w:fldCharType="end"/>
          </w:r>
          <w:r>
            <w:rPr>
              <w:rStyle w:val="17"/>
              <w:rFonts w:hint="eastAsia" w:ascii="Times New Roman" w:hAnsi="宋体" w:eastAsia="宋体" w:cs="Times New Roman"/>
              <w:snapToGrid/>
              <w:kern w:val="2"/>
              <w:lang w:eastAsia="zh-CN"/>
            </w:rPr>
            <w:fldChar w:fldCharType="end"/>
          </w:r>
        </w:p>
        <w:p w14:paraId="679A1935">
          <w:pPr>
            <w:pStyle w:val="11"/>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7"/>
              <w:rFonts w:hint="eastAsia" w:ascii="Times New Roman" w:hAnsi="宋体" w:eastAsia="宋体" w:cs="Times New Roman"/>
              <w:snapToGrid/>
              <w:kern w:val="2"/>
              <w:lang w:eastAsia="zh-CN"/>
            </w:rPr>
          </w:pP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HYPERLINK \l _Toc20613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5  温室气体种类、项目边界和计入期</w:t>
          </w:r>
          <w:r>
            <w:rPr>
              <w:rStyle w:val="17"/>
              <w:rFonts w:hint="eastAsia" w:ascii="Times New Roman" w:hAnsi="宋体" w:eastAsia="宋体" w:cs="Times New Roman"/>
              <w:snapToGrid/>
              <w:kern w:val="2"/>
              <w:lang w:eastAsia="zh-CN"/>
            </w:rPr>
            <w:tab/>
          </w: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PAGEREF _Toc20613 \h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2</w:t>
          </w:r>
          <w:r>
            <w:rPr>
              <w:rStyle w:val="17"/>
              <w:rFonts w:hint="eastAsia" w:ascii="Times New Roman" w:hAnsi="宋体" w:eastAsia="宋体" w:cs="Times New Roman"/>
              <w:snapToGrid/>
              <w:kern w:val="2"/>
              <w:lang w:eastAsia="zh-CN"/>
            </w:rPr>
            <w:fldChar w:fldCharType="end"/>
          </w:r>
          <w:r>
            <w:rPr>
              <w:rStyle w:val="17"/>
              <w:rFonts w:hint="eastAsia" w:ascii="Times New Roman" w:hAnsi="宋体" w:eastAsia="宋体" w:cs="Times New Roman"/>
              <w:snapToGrid/>
              <w:kern w:val="2"/>
              <w:lang w:eastAsia="zh-CN"/>
            </w:rPr>
            <w:fldChar w:fldCharType="end"/>
          </w:r>
        </w:p>
        <w:p w14:paraId="3A3B4DD5">
          <w:pPr>
            <w:pStyle w:val="11"/>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7"/>
              <w:rFonts w:hint="eastAsia" w:ascii="Times New Roman" w:hAnsi="宋体" w:eastAsia="宋体" w:cs="Times New Roman"/>
              <w:snapToGrid/>
              <w:kern w:val="2"/>
              <w:lang w:eastAsia="zh-CN"/>
            </w:rPr>
          </w:pP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HYPERLINK \l _Toc30092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6  核算方法</w:t>
          </w:r>
          <w:r>
            <w:rPr>
              <w:rStyle w:val="17"/>
              <w:rFonts w:hint="eastAsia" w:ascii="Times New Roman" w:hAnsi="宋体" w:eastAsia="宋体" w:cs="Times New Roman"/>
              <w:snapToGrid/>
              <w:kern w:val="2"/>
              <w:lang w:eastAsia="zh-CN"/>
            </w:rPr>
            <w:tab/>
          </w: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PAGEREF _Toc30092 \h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2</w:t>
          </w:r>
          <w:r>
            <w:rPr>
              <w:rStyle w:val="17"/>
              <w:rFonts w:hint="eastAsia" w:ascii="Times New Roman" w:hAnsi="宋体" w:eastAsia="宋体" w:cs="Times New Roman"/>
              <w:snapToGrid/>
              <w:kern w:val="2"/>
              <w:lang w:eastAsia="zh-CN"/>
            </w:rPr>
            <w:fldChar w:fldCharType="end"/>
          </w:r>
          <w:r>
            <w:rPr>
              <w:rStyle w:val="17"/>
              <w:rFonts w:hint="eastAsia" w:ascii="Times New Roman" w:hAnsi="宋体" w:eastAsia="宋体" w:cs="Times New Roman"/>
              <w:snapToGrid/>
              <w:kern w:val="2"/>
              <w:lang w:eastAsia="zh-CN"/>
            </w:rPr>
            <w:fldChar w:fldCharType="end"/>
          </w:r>
        </w:p>
        <w:p w14:paraId="51E95BEE">
          <w:pPr>
            <w:pStyle w:val="11"/>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7"/>
              <w:rFonts w:hint="eastAsia" w:ascii="Times New Roman" w:hAnsi="宋体" w:eastAsia="宋体" w:cs="Times New Roman"/>
              <w:snapToGrid/>
              <w:kern w:val="2"/>
              <w:lang w:eastAsia="zh-CN"/>
            </w:rPr>
          </w:pP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HYPERLINK \l _Toc20837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7  数据监测与管理</w:t>
          </w:r>
          <w:r>
            <w:rPr>
              <w:rStyle w:val="17"/>
              <w:rFonts w:hint="eastAsia" w:ascii="Times New Roman" w:hAnsi="宋体" w:eastAsia="宋体" w:cs="Times New Roman"/>
              <w:snapToGrid/>
              <w:kern w:val="2"/>
              <w:lang w:eastAsia="zh-CN"/>
            </w:rPr>
            <w:tab/>
          </w: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PAGEREF _Toc20837 \h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3</w:t>
          </w:r>
          <w:r>
            <w:rPr>
              <w:rStyle w:val="17"/>
              <w:rFonts w:hint="eastAsia" w:ascii="Times New Roman" w:hAnsi="宋体" w:eastAsia="宋体" w:cs="Times New Roman"/>
              <w:snapToGrid/>
              <w:kern w:val="2"/>
              <w:lang w:eastAsia="zh-CN"/>
            </w:rPr>
            <w:fldChar w:fldCharType="end"/>
          </w:r>
          <w:r>
            <w:rPr>
              <w:rStyle w:val="17"/>
              <w:rFonts w:hint="eastAsia" w:ascii="Times New Roman" w:hAnsi="宋体" w:eastAsia="宋体" w:cs="Times New Roman"/>
              <w:snapToGrid/>
              <w:kern w:val="2"/>
              <w:lang w:eastAsia="zh-CN"/>
            </w:rPr>
            <w:fldChar w:fldCharType="end"/>
          </w:r>
        </w:p>
        <w:p w14:paraId="2CA03B57">
          <w:pPr>
            <w:pStyle w:val="11"/>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7"/>
              <w:rFonts w:hint="eastAsia" w:ascii="Times New Roman" w:hAnsi="宋体" w:eastAsia="宋体" w:cs="Times New Roman"/>
              <w:snapToGrid/>
              <w:kern w:val="2"/>
              <w:lang w:eastAsia="zh-CN"/>
            </w:rPr>
          </w:pP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HYPERLINK \l _Toc26111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en-US"/>
            </w:rPr>
            <w:t>附</w:t>
          </w:r>
          <w:r>
            <w:rPr>
              <w:rStyle w:val="17"/>
              <w:rFonts w:hint="eastAsia" w:ascii="Times New Roman" w:hAnsi="宋体" w:eastAsia="宋体" w:cs="Times New Roman"/>
              <w:snapToGrid/>
              <w:kern w:val="2"/>
              <w:lang w:val="en-US" w:eastAsia="zh-CN"/>
            </w:rPr>
            <w:t xml:space="preserve"> </w:t>
          </w:r>
          <w:r>
            <w:rPr>
              <w:rStyle w:val="17"/>
              <w:rFonts w:hint="eastAsia" w:ascii="Times New Roman" w:hAnsi="宋体" w:eastAsia="宋体" w:cs="Times New Roman"/>
              <w:snapToGrid/>
              <w:kern w:val="2"/>
              <w:lang w:eastAsia="en-US"/>
            </w:rPr>
            <w:t>录</w:t>
          </w:r>
          <w:r>
            <w:rPr>
              <w:rStyle w:val="17"/>
              <w:rFonts w:hint="eastAsia" w:ascii="Times New Roman" w:hAnsi="宋体" w:eastAsia="宋体" w:cs="Times New Roman"/>
              <w:snapToGrid/>
              <w:kern w:val="2"/>
              <w:lang w:val="en-US" w:eastAsia="zh-CN"/>
            </w:rPr>
            <w:t xml:space="preserve"> </w:t>
          </w:r>
          <w:r>
            <w:rPr>
              <w:rStyle w:val="17"/>
              <w:rFonts w:hint="eastAsia" w:ascii="Times New Roman" w:hAnsi="宋体" w:eastAsia="宋体" w:cs="Times New Roman"/>
              <w:snapToGrid/>
              <w:kern w:val="2"/>
              <w:lang w:eastAsia="en-US"/>
            </w:rPr>
            <w:t>A（规范性）</w:t>
          </w:r>
          <w:r>
            <w:rPr>
              <w:rStyle w:val="17"/>
              <w:rFonts w:hint="eastAsia" w:ascii="Times New Roman" w:hAnsi="宋体" w:eastAsia="宋体" w:cs="Times New Roman"/>
              <w:snapToGrid/>
              <w:kern w:val="2"/>
              <w:lang w:val="en-US" w:eastAsia="zh-CN"/>
            </w:rPr>
            <w:t>不同垃圾处置方式碳排放量</w:t>
          </w:r>
          <w:r>
            <w:rPr>
              <w:rStyle w:val="17"/>
              <w:rFonts w:hint="eastAsia" w:ascii="Times New Roman" w:hAnsi="宋体" w:eastAsia="宋体" w:cs="Times New Roman"/>
              <w:snapToGrid/>
              <w:kern w:val="2"/>
              <w:lang w:eastAsia="en-US"/>
            </w:rPr>
            <w:t>的计算方法</w:t>
          </w:r>
          <w:r>
            <w:rPr>
              <w:rStyle w:val="17"/>
              <w:rFonts w:hint="eastAsia" w:ascii="Times New Roman" w:hAnsi="宋体" w:eastAsia="宋体" w:cs="Times New Roman"/>
              <w:snapToGrid/>
              <w:kern w:val="2"/>
              <w:lang w:eastAsia="zh-CN"/>
            </w:rPr>
            <w:tab/>
          </w: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PAGEREF _Toc26111 \h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5</w:t>
          </w:r>
          <w:r>
            <w:rPr>
              <w:rStyle w:val="17"/>
              <w:rFonts w:hint="eastAsia" w:ascii="Times New Roman" w:hAnsi="宋体" w:eastAsia="宋体" w:cs="Times New Roman"/>
              <w:snapToGrid/>
              <w:kern w:val="2"/>
              <w:lang w:eastAsia="zh-CN"/>
            </w:rPr>
            <w:fldChar w:fldCharType="end"/>
          </w:r>
          <w:r>
            <w:rPr>
              <w:rStyle w:val="17"/>
              <w:rFonts w:hint="eastAsia" w:ascii="Times New Roman" w:hAnsi="宋体" w:eastAsia="宋体" w:cs="Times New Roman"/>
              <w:snapToGrid/>
              <w:kern w:val="2"/>
              <w:lang w:eastAsia="zh-CN"/>
            </w:rPr>
            <w:fldChar w:fldCharType="end"/>
          </w:r>
        </w:p>
        <w:p w14:paraId="1B560A1C">
          <w:pPr>
            <w:pStyle w:val="11"/>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7"/>
              <w:rFonts w:hint="eastAsia" w:ascii="Times New Roman" w:hAnsi="宋体" w:eastAsia="宋体" w:cs="Times New Roman"/>
              <w:snapToGrid/>
              <w:kern w:val="2"/>
              <w:lang w:eastAsia="zh-CN"/>
            </w:rPr>
          </w:pP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HYPERLINK \l _Toc21739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附 录 B（规范性）数据</w:t>
          </w:r>
          <w:r>
            <w:rPr>
              <w:rStyle w:val="17"/>
              <w:rFonts w:hint="eastAsia" w:ascii="Times New Roman" w:hAnsi="宋体" w:eastAsia="宋体" w:cs="Times New Roman"/>
              <w:snapToGrid/>
              <w:kern w:val="2"/>
              <w:lang w:val="en-US" w:eastAsia="zh-CN"/>
            </w:rPr>
            <w:t>的</w:t>
          </w:r>
          <w:r>
            <w:rPr>
              <w:rStyle w:val="17"/>
              <w:rFonts w:hint="eastAsia" w:ascii="Times New Roman" w:hAnsi="宋体" w:eastAsia="宋体" w:cs="Times New Roman"/>
              <w:snapToGrid/>
              <w:kern w:val="2"/>
              <w:lang w:eastAsia="zh-CN"/>
            </w:rPr>
            <w:t>监测及来源</w:t>
          </w:r>
          <w:r>
            <w:rPr>
              <w:rStyle w:val="17"/>
              <w:rFonts w:hint="eastAsia" w:ascii="Times New Roman" w:hAnsi="宋体" w:eastAsia="宋体" w:cs="Times New Roman"/>
              <w:snapToGrid/>
              <w:kern w:val="2"/>
              <w:lang w:eastAsia="zh-CN"/>
            </w:rPr>
            <w:tab/>
          </w: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PAGEREF _Toc21739 \h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7</w:t>
          </w:r>
          <w:r>
            <w:rPr>
              <w:rStyle w:val="17"/>
              <w:rFonts w:hint="eastAsia" w:ascii="Times New Roman" w:hAnsi="宋体" w:eastAsia="宋体" w:cs="Times New Roman"/>
              <w:snapToGrid/>
              <w:kern w:val="2"/>
              <w:lang w:eastAsia="zh-CN"/>
            </w:rPr>
            <w:fldChar w:fldCharType="end"/>
          </w:r>
          <w:r>
            <w:rPr>
              <w:rStyle w:val="17"/>
              <w:rFonts w:hint="eastAsia" w:ascii="Times New Roman" w:hAnsi="宋体" w:eastAsia="宋体" w:cs="Times New Roman"/>
              <w:snapToGrid/>
              <w:kern w:val="2"/>
              <w:lang w:eastAsia="zh-CN"/>
            </w:rPr>
            <w:fldChar w:fldCharType="end"/>
          </w:r>
        </w:p>
        <w:p w14:paraId="11A9263F">
          <w:pPr>
            <w:pStyle w:val="11"/>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7"/>
              <w:rFonts w:hint="eastAsia" w:ascii="Times New Roman" w:hAnsi="宋体" w:eastAsia="宋体" w:cs="Times New Roman"/>
              <w:snapToGrid/>
              <w:kern w:val="2"/>
              <w:lang w:eastAsia="zh-CN"/>
            </w:rPr>
          </w:pP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HYPERLINK \l _Toc21099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val="en-US" w:eastAsia="zh-CN"/>
            </w:rPr>
            <w:t>附 录 C（规范性）固体废弃物成分DOC含量比例的推荐值</w:t>
          </w:r>
          <w:r>
            <w:rPr>
              <w:rStyle w:val="17"/>
              <w:rFonts w:hint="eastAsia" w:ascii="Times New Roman" w:hAnsi="宋体" w:eastAsia="宋体" w:cs="Times New Roman"/>
              <w:snapToGrid/>
              <w:kern w:val="2"/>
              <w:lang w:eastAsia="zh-CN"/>
            </w:rPr>
            <w:tab/>
          </w: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PAGEREF _Toc21099 \h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11</w:t>
          </w:r>
          <w:r>
            <w:rPr>
              <w:rStyle w:val="17"/>
              <w:rFonts w:hint="eastAsia" w:ascii="Times New Roman" w:hAnsi="宋体" w:eastAsia="宋体" w:cs="Times New Roman"/>
              <w:snapToGrid/>
              <w:kern w:val="2"/>
              <w:lang w:eastAsia="zh-CN"/>
            </w:rPr>
            <w:fldChar w:fldCharType="end"/>
          </w:r>
          <w:r>
            <w:rPr>
              <w:rStyle w:val="17"/>
              <w:rFonts w:hint="eastAsia" w:ascii="Times New Roman" w:hAnsi="宋体" w:eastAsia="宋体" w:cs="Times New Roman"/>
              <w:snapToGrid/>
              <w:kern w:val="2"/>
              <w:lang w:eastAsia="zh-CN"/>
            </w:rPr>
            <w:fldChar w:fldCharType="end"/>
          </w:r>
        </w:p>
        <w:p w14:paraId="0A50B75B">
          <w:pPr>
            <w:pStyle w:val="11"/>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7"/>
              <w:rFonts w:hint="eastAsia" w:ascii="Times New Roman" w:hAnsi="宋体" w:eastAsia="宋体" w:cs="Times New Roman"/>
              <w:snapToGrid/>
              <w:kern w:val="2"/>
              <w:lang w:eastAsia="zh-CN"/>
            </w:rPr>
          </w:pP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HYPERLINK \l _Toc18896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val="en-US" w:eastAsia="zh-CN"/>
            </w:rPr>
            <w:t>附 录 D（规范性）固体废弃物填埋场分类和甲烷修正因子（MCF）</w:t>
          </w:r>
          <w:r>
            <w:rPr>
              <w:rStyle w:val="17"/>
              <w:rFonts w:hint="eastAsia" w:ascii="Times New Roman" w:hAnsi="宋体" w:eastAsia="宋体" w:cs="Times New Roman"/>
              <w:snapToGrid/>
              <w:kern w:val="2"/>
              <w:lang w:eastAsia="zh-CN"/>
            </w:rPr>
            <w:tab/>
          </w: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PAGEREF _Toc18896 \h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12</w:t>
          </w:r>
          <w:r>
            <w:rPr>
              <w:rStyle w:val="17"/>
              <w:rFonts w:hint="eastAsia" w:ascii="Times New Roman" w:hAnsi="宋体" w:eastAsia="宋体" w:cs="Times New Roman"/>
              <w:snapToGrid/>
              <w:kern w:val="2"/>
              <w:lang w:eastAsia="zh-CN"/>
            </w:rPr>
            <w:fldChar w:fldCharType="end"/>
          </w:r>
          <w:r>
            <w:rPr>
              <w:rStyle w:val="17"/>
              <w:rFonts w:hint="eastAsia" w:ascii="Times New Roman" w:hAnsi="宋体" w:eastAsia="宋体" w:cs="Times New Roman"/>
              <w:snapToGrid/>
              <w:kern w:val="2"/>
              <w:lang w:eastAsia="zh-CN"/>
            </w:rPr>
            <w:fldChar w:fldCharType="end"/>
          </w:r>
        </w:p>
        <w:p w14:paraId="0DFFD07C">
          <w:pPr>
            <w:pStyle w:val="11"/>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7"/>
              <w:rFonts w:hint="eastAsia" w:ascii="Times New Roman" w:hAnsi="宋体" w:eastAsia="宋体" w:cs="Times New Roman"/>
              <w:snapToGrid/>
              <w:kern w:val="2"/>
              <w:lang w:eastAsia="zh-CN"/>
            </w:rPr>
          </w:pP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HYPERLINK \l _Toc26597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val="en-US" w:eastAsia="zh-CN"/>
            </w:rPr>
            <w:t>附 录 E（规范性）不同MSW成分干物质含量、总碳含量和化石碳</w:t>
          </w:r>
          <w:r>
            <w:rPr>
              <w:rStyle w:val="17"/>
              <w:rFonts w:hint="eastAsia" w:ascii="Times New Roman" w:hAnsi="宋体" w:eastAsia="宋体" w:cs="Times New Roman"/>
              <w:snapToGrid/>
              <w:kern w:val="2"/>
              <w:lang w:eastAsia="zh-CN"/>
            </w:rPr>
            <w:tab/>
          </w: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PAGEREF _Toc26597 \h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13</w:t>
          </w:r>
          <w:r>
            <w:rPr>
              <w:rStyle w:val="17"/>
              <w:rFonts w:hint="eastAsia" w:ascii="Times New Roman" w:hAnsi="宋体" w:eastAsia="宋体" w:cs="Times New Roman"/>
              <w:snapToGrid/>
              <w:kern w:val="2"/>
              <w:lang w:eastAsia="zh-CN"/>
            </w:rPr>
            <w:fldChar w:fldCharType="end"/>
          </w:r>
          <w:r>
            <w:rPr>
              <w:rStyle w:val="17"/>
              <w:rFonts w:hint="eastAsia" w:ascii="Times New Roman" w:hAnsi="宋体" w:eastAsia="宋体" w:cs="Times New Roman"/>
              <w:snapToGrid/>
              <w:kern w:val="2"/>
              <w:lang w:eastAsia="zh-CN"/>
            </w:rPr>
            <w:fldChar w:fldCharType="end"/>
          </w:r>
        </w:p>
        <w:p w14:paraId="67769729">
          <w:pPr>
            <w:pStyle w:val="11"/>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7"/>
              <w:rFonts w:hint="eastAsia" w:ascii="Times New Roman" w:hAnsi="宋体" w:eastAsia="宋体" w:cs="Times New Roman"/>
              <w:snapToGrid/>
              <w:kern w:val="2"/>
              <w:lang w:eastAsia="zh-CN"/>
            </w:rPr>
          </w:pP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HYPERLINK \l _Toc17676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val="en-US" w:eastAsia="zh-CN"/>
            </w:rPr>
            <w:t>附 录 F（规范性）不同消化器的甲烷泄露因子</w:t>
          </w:r>
          <w:r>
            <w:rPr>
              <w:rStyle w:val="17"/>
              <w:rFonts w:hint="eastAsia" w:ascii="Times New Roman" w:hAnsi="宋体" w:eastAsia="宋体" w:cs="Times New Roman"/>
              <w:snapToGrid/>
              <w:kern w:val="2"/>
              <w:lang w:eastAsia="zh-CN"/>
            </w:rPr>
            <w:tab/>
          </w: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PAGEREF _Toc17676 \h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14</w:t>
          </w:r>
          <w:r>
            <w:rPr>
              <w:rStyle w:val="17"/>
              <w:rFonts w:hint="eastAsia" w:ascii="Times New Roman" w:hAnsi="宋体" w:eastAsia="宋体" w:cs="Times New Roman"/>
              <w:snapToGrid/>
              <w:kern w:val="2"/>
              <w:lang w:eastAsia="zh-CN"/>
            </w:rPr>
            <w:fldChar w:fldCharType="end"/>
          </w:r>
          <w:r>
            <w:rPr>
              <w:rStyle w:val="17"/>
              <w:rFonts w:hint="eastAsia" w:ascii="Times New Roman" w:hAnsi="宋体" w:eastAsia="宋体" w:cs="Times New Roman"/>
              <w:snapToGrid/>
              <w:kern w:val="2"/>
              <w:lang w:eastAsia="zh-CN"/>
            </w:rPr>
            <w:fldChar w:fldCharType="end"/>
          </w:r>
        </w:p>
        <w:p w14:paraId="68BB159A">
          <w:pPr>
            <w:pStyle w:val="11"/>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7"/>
              <w:rFonts w:hint="eastAsia" w:ascii="Times New Roman" w:hAnsi="宋体" w:eastAsia="宋体" w:cs="Times New Roman"/>
              <w:snapToGrid/>
              <w:kern w:val="2"/>
              <w:lang w:eastAsia="zh-CN"/>
            </w:rPr>
          </w:pP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HYPERLINK \l _Toc31445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val="en-US" w:eastAsia="zh-CN"/>
            </w:rPr>
            <w:t>附 录 G（规范性）可回收物碳排放因子</w:t>
          </w:r>
          <w:r>
            <w:rPr>
              <w:rStyle w:val="17"/>
              <w:rFonts w:hint="eastAsia" w:ascii="Times New Roman" w:hAnsi="宋体" w:eastAsia="宋体" w:cs="Times New Roman"/>
              <w:snapToGrid/>
              <w:kern w:val="2"/>
              <w:lang w:eastAsia="zh-CN"/>
            </w:rPr>
            <w:tab/>
          </w: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PAGEREF _Toc31445 \h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15</w:t>
          </w:r>
          <w:r>
            <w:rPr>
              <w:rStyle w:val="17"/>
              <w:rFonts w:hint="eastAsia" w:ascii="Times New Roman" w:hAnsi="宋体" w:eastAsia="宋体" w:cs="Times New Roman"/>
              <w:snapToGrid/>
              <w:kern w:val="2"/>
              <w:lang w:eastAsia="zh-CN"/>
            </w:rPr>
            <w:fldChar w:fldCharType="end"/>
          </w:r>
          <w:r>
            <w:rPr>
              <w:rStyle w:val="17"/>
              <w:rFonts w:hint="eastAsia" w:ascii="Times New Roman" w:hAnsi="宋体" w:eastAsia="宋体" w:cs="Times New Roman"/>
              <w:snapToGrid/>
              <w:kern w:val="2"/>
              <w:lang w:eastAsia="zh-CN"/>
            </w:rPr>
            <w:fldChar w:fldCharType="end"/>
          </w:r>
        </w:p>
        <w:p w14:paraId="62EB0BED">
          <w:pPr>
            <w:pStyle w:val="11"/>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7"/>
              <w:rFonts w:hint="eastAsia" w:ascii="Times New Roman" w:hAnsi="宋体" w:eastAsia="宋体" w:cs="Times New Roman"/>
              <w:snapToGrid/>
              <w:kern w:val="2"/>
              <w:lang w:eastAsia="zh-CN"/>
            </w:rPr>
          </w:pP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HYPERLINK \l _Toc22385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参  考  文  献</w:t>
          </w:r>
          <w:r>
            <w:rPr>
              <w:rStyle w:val="17"/>
              <w:rFonts w:hint="eastAsia" w:ascii="Times New Roman" w:hAnsi="宋体" w:eastAsia="宋体" w:cs="Times New Roman"/>
              <w:snapToGrid/>
              <w:kern w:val="2"/>
              <w:lang w:eastAsia="zh-CN"/>
            </w:rPr>
            <w:tab/>
          </w: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PAGEREF _Toc22385 \h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16</w:t>
          </w:r>
          <w:r>
            <w:rPr>
              <w:rStyle w:val="17"/>
              <w:rFonts w:hint="eastAsia" w:ascii="Times New Roman" w:hAnsi="宋体" w:eastAsia="宋体" w:cs="Times New Roman"/>
              <w:snapToGrid/>
              <w:kern w:val="2"/>
              <w:lang w:eastAsia="zh-CN"/>
            </w:rPr>
            <w:fldChar w:fldCharType="end"/>
          </w:r>
          <w:r>
            <w:rPr>
              <w:rStyle w:val="17"/>
              <w:rFonts w:hint="eastAsia" w:ascii="Times New Roman" w:hAnsi="宋体" w:eastAsia="宋体" w:cs="Times New Roman"/>
              <w:snapToGrid/>
              <w:kern w:val="2"/>
              <w:lang w:eastAsia="zh-CN"/>
            </w:rPr>
            <w:fldChar w:fldCharType="end"/>
          </w:r>
        </w:p>
        <w:p w14:paraId="0B9C1F1E">
          <w:pPr>
            <w:pStyle w:val="11"/>
            <w:widowControl w:val="0"/>
            <w:tabs>
              <w:tab w:val="right" w:leader="dot" w:pos="9241"/>
            </w:tabs>
            <w:kinsoku/>
            <w:autoSpaceDE/>
            <w:autoSpaceDN/>
            <w:adjustRightInd/>
            <w:snapToGrid/>
            <w:spacing w:before="78" w:beforeLines="25" w:after="78" w:afterLines="25" w:line="240" w:lineRule="auto"/>
            <w:ind w:firstLine="0" w:firstLineChars="0"/>
            <w:textAlignment w:val="auto"/>
            <w:rPr>
              <w:rFonts w:hint="default" w:ascii="Times New Roman" w:hAnsi="Times New Roman" w:eastAsia="宋体" w:cs="Times New Roman"/>
              <w:snapToGrid w:val="0"/>
              <w:color w:val="000000"/>
              <w:kern w:val="0"/>
              <w:sz w:val="21"/>
              <w:szCs w:val="21"/>
              <w:lang w:val="en-US" w:eastAsia="en-US" w:bidi="ar-SA"/>
            </w:rPr>
          </w:pPr>
          <w:r>
            <w:rPr>
              <w:rStyle w:val="17"/>
              <w:rFonts w:hint="eastAsia" w:ascii="Times New Roman" w:hAnsi="宋体" w:eastAsia="宋体" w:cs="Times New Roman"/>
              <w:snapToGrid/>
              <w:kern w:val="2"/>
              <w:lang w:eastAsia="zh-CN"/>
            </w:rPr>
            <w:fldChar w:fldCharType="end"/>
          </w:r>
        </w:p>
      </w:sdtContent>
    </w:sdt>
    <w:p w14:paraId="53D6FBAA">
      <w:pPr>
        <w:spacing w:line="221" w:lineRule="auto"/>
        <w:rPr>
          <w:rFonts w:hint="default" w:ascii="Times New Roman" w:hAnsi="Times New Roman" w:eastAsia="宋体" w:cs="Times New Roman"/>
          <w:snapToGrid w:val="0"/>
          <w:color w:val="000000"/>
          <w:kern w:val="0"/>
          <w:sz w:val="21"/>
          <w:szCs w:val="21"/>
          <w:lang w:val="en-US" w:eastAsia="en-US" w:bidi="ar-SA"/>
        </w:rPr>
        <w:sectPr>
          <w:headerReference r:id="rId5" w:type="default"/>
          <w:footerReference r:id="rId6" w:type="default"/>
          <w:pgSz w:w="11907" w:h="16839"/>
          <w:pgMar w:top="1716" w:right="1130" w:bottom="1340" w:left="1426" w:header="1391" w:footer="1105" w:gutter="0"/>
          <w:cols w:space="720" w:num="1"/>
        </w:sectPr>
      </w:pPr>
    </w:p>
    <w:p w14:paraId="25B49632">
      <w:pPr>
        <w:pStyle w:val="3"/>
        <w:keepNext w:val="0"/>
        <w:keepLines w:val="0"/>
        <w:pageBreakBefore w:val="0"/>
        <w:widowControl/>
        <w:kinsoku/>
        <w:wordWrap/>
        <w:overflowPunct/>
        <w:topLinePunct w:val="0"/>
        <w:autoSpaceDE/>
        <w:autoSpaceDN/>
        <w:bidi w:val="0"/>
        <w:adjustRightInd/>
        <w:snapToGrid/>
        <w:spacing w:before="0" w:beforeLines="300" w:after="0" w:afterLines="300" w:line="240" w:lineRule="auto"/>
        <w:ind w:left="0" w:leftChars="0" w:firstLine="0" w:firstLineChars="0"/>
        <w:jc w:val="center"/>
        <w:textAlignment w:val="auto"/>
        <w:outlineLvl w:val="0"/>
        <w:rPr>
          <w:rFonts w:hint="default" w:ascii="Times New Roman" w:hAnsi="Times New Roman" w:eastAsia="黑体" w:cs="Times New Roman"/>
          <w:spacing w:val="9"/>
          <w:sz w:val="31"/>
          <w:szCs w:val="31"/>
        </w:rPr>
      </w:pPr>
      <w:bookmarkStart w:id="9" w:name="bookmark1"/>
      <w:bookmarkEnd w:id="9"/>
      <w:bookmarkStart w:id="10" w:name="bookmark12"/>
      <w:bookmarkEnd w:id="10"/>
      <w:bookmarkStart w:id="11" w:name="bookmark12"/>
      <w:bookmarkEnd w:id="11"/>
      <w:bookmarkStart w:id="12" w:name="_Toc14192"/>
      <w:bookmarkStart w:id="13" w:name="_Toc627"/>
      <w:r>
        <w:rPr>
          <w:rFonts w:hint="default" w:ascii="Times New Roman" w:hAnsi="Times New Roman" w:eastAsia="黑体" w:cs="Times New Roman"/>
          <w:spacing w:val="9"/>
          <w:sz w:val="31"/>
          <w:szCs w:val="31"/>
        </w:rPr>
        <w:t>前    言</w:t>
      </w:r>
      <w:bookmarkEnd w:id="12"/>
      <w:bookmarkEnd w:id="13"/>
    </w:p>
    <w:p w14:paraId="0C1540BD">
      <w:pPr>
        <w:pStyle w:val="3"/>
        <w:bidi w:val="0"/>
        <w:rPr>
          <w:rFonts w:hint="default" w:ascii="Times New Roman" w:hAnsi="Times New Roman" w:cs="Times New Roman"/>
        </w:rPr>
      </w:pPr>
      <w:r>
        <w:rPr>
          <w:rFonts w:cs="Times New Roman"/>
          <w:spacing w:val="-2"/>
          <w:lang w:eastAsia="zh-CN"/>
        </w:rPr>
        <w:t>本</w:t>
      </w:r>
      <w:r>
        <w:rPr>
          <w:rFonts w:hint="eastAsia" w:cs="Times New Roman"/>
          <w:spacing w:val="-2"/>
          <w:lang w:val="en-US" w:eastAsia="zh-CN"/>
        </w:rPr>
        <w:t>团体</w:t>
      </w:r>
      <w:r>
        <w:rPr>
          <w:rFonts w:cs="Times New Roman"/>
          <w:spacing w:val="-2"/>
          <w:lang w:eastAsia="zh-CN"/>
        </w:rPr>
        <w:t>标准以《联合国气候变化框架公约》（UNFCCC）下</w:t>
      </w:r>
      <w:r>
        <w:rPr>
          <w:rFonts w:hint="eastAsia" w:cs="Times New Roman"/>
          <w:spacing w:val="-2"/>
          <w:lang w:eastAsia="zh-CN"/>
        </w:rPr>
        <w:t>“</w:t>
      </w:r>
      <w:r>
        <w:rPr>
          <w:rFonts w:cs="Times New Roman"/>
          <w:spacing w:val="-2"/>
          <w:lang w:eastAsia="zh-CN"/>
        </w:rPr>
        <w:t>清洁发展机制（CDM）</w:t>
      </w:r>
      <w:r>
        <w:rPr>
          <w:rFonts w:hint="eastAsia" w:cs="Times New Roman"/>
          <w:spacing w:val="-2"/>
          <w:lang w:eastAsia="zh-CN"/>
        </w:rPr>
        <w:t>”</w:t>
      </w:r>
      <w:r>
        <w:rPr>
          <w:rFonts w:cs="Times New Roman"/>
          <w:spacing w:val="-2"/>
          <w:lang w:eastAsia="zh-CN"/>
        </w:rPr>
        <w:t>及国家自愿减排交易机制的相关方法学为依据，参考借鉴了CDM项目方法学工具与程序，并衔接《工业企业温室气体排放核算和报告通则》（GB/T 32150-2015）、《基于项目的温室气体减排量评估技术规范通用要求》（GB/T 33760-2017）</w:t>
      </w:r>
      <w:r>
        <w:rPr>
          <w:rFonts w:hint="eastAsia" w:cs="Times New Roman"/>
          <w:spacing w:val="-2"/>
          <w:lang w:eastAsia="zh-CN"/>
        </w:rPr>
        <w:t>、《公共机构碳排放核算指南》（JS</w:t>
      </w:r>
      <w:r>
        <w:rPr>
          <w:rFonts w:hint="eastAsia" w:cs="Times New Roman"/>
          <w:spacing w:val="-2"/>
          <w:lang w:val="en-US" w:eastAsia="zh-CN"/>
        </w:rPr>
        <w:t>/</w:t>
      </w:r>
      <w:r>
        <w:rPr>
          <w:rFonts w:hint="eastAsia" w:cs="Times New Roman"/>
          <w:spacing w:val="-2"/>
          <w:lang w:eastAsia="zh-CN"/>
        </w:rPr>
        <w:t>T</w:t>
      </w:r>
      <w:r>
        <w:rPr>
          <w:rFonts w:hint="eastAsia" w:cs="Times New Roman"/>
          <w:spacing w:val="-2"/>
          <w:lang w:val="en-US" w:eastAsia="zh-CN"/>
        </w:rPr>
        <w:t xml:space="preserve"> </w:t>
      </w:r>
      <w:r>
        <w:rPr>
          <w:rFonts w:hint="eastAsia" w:cs="Times New Roman"/>
          <w:spacing w:val="-2"/>
          <w:lang w:eastAsia="zh-CN"/>
        </w:rPr>
        <w:t>303</w:t>
      </w:r>
      <w:r>
        <w:rPr>
          <w:rFonts w:hint="eastAsia" w:cs="Times New Roman"/>
          <w:spacing w:val="-2"/>
          <w:lang w:val="en-US" w:eastAsia="zh-CN"/>
        </w:rPr>
        <w:t>-</w:t>
      </w:r>
      <w:r>
        <w:rPr>
          <w:rFonts w:hint="eastAsia" w:cs="Times New Roman"/>
          <w:spacing w:val="-2"/>
          <w:lang w:eastAsia="zh-CN"/>
        </w:rPr>
        <w:t>2026）</w:t>
      </w:r>
      <w:r>
        <w:rPr>
          <w:rFonts w:cs="Times New Roman"/>
          <w:spacing w:val="-2"/>
          <w:lang w:eastAsia="zh-CN"/>
        </w:rPr>
        <w:t>等国内标准规范，结合</w:t>
      </w:r>
      <w:r>
        <w:rPr>
          <w:rFonts w:hint="eastAsia" w:cs="Times New Roman"/>
          <w:spacing w:val="-2"/>
          <w:lang w:val="en-US" w:eastAsia="zh-CN"/>
        </w:rPr>
        <w:t>长岛综合实验区范围内居民</w:t>
      </w:r>
      <w:r>
        <w:rPr>
          <w:rFonts w:hint="default" w:ascii="Times New Roman" w:hAnsi="Times New Roman" w:cs="Times New Roman"/>
          <w:lang w:val="en-US" w:eastAsia="zh-CN"/>
        </w:rPr>
        <w:t>生活垃圾</w:t>
      </w:r>
      <w:r>
        <w:rPr>
          <w:rFonts w:hint="eastAsia" w:cs="Times New Roman"/>
          <w:lang w:val="en-US" w:eastAsia="zh-CN"/>
        </w:rPr>
        <w:t>产生、分类与回收的实际情况，</w:t>
      </w:r>
      <w:r>
        <w:rPr>
          <w:rFonts w:cs="Times New Roman"/>
          <w:spacing w:val="-2"/>
          <w:lang w:eastAsia="zh-CN"/>
        </w:rPr>
        <w:t>经相关领域专家、学者及利益相关方多次研讨与论证后编制而成，力求使本标准既符合国内外行为减排量核算的通用准则，具备科学性、严谨性与可操作性</w:t>
      </w:r>
      <w:r>
        <w:rPr>
          <w:rFonts w:hint="default" w:ascii="Times New Roman" w:hAnsi="Times New Roman" w:cs="Times New Roman"/>
          <w:lang w:val="en-US" w:eastAsia="zh-CN"/>
        </w:rPr>
        <w:t>。</w:t>
      </w:r>
    </w:p>
    <w:p w14:paraId="34D9604A">
      <w:pPr>
        <w:pStyle w:val="3"/>
        <w:bidi w:val="0"/>
        <w:rPr>
          <w:rFonts w:hint="default" w:ascii="Times New Roman" w:hAnsi="Times New Roman" w:cs="Times New Roman"/>
        </w:rPr>
      </w:pPr>
      <w:r>
        <w:rPr>
          <w:rFonts w:hint="default" w:ascii="Times New Roman" w:hAnsi="Times New Roman" w:cs="Times New Roman"/>
        </w:rPr>
        <w:t>本文件由</w:t>
      </w:r>
      <w:r>
        <w:rPr>
          <w:rFonts w:cs="Times New Roman"/>
        </w:rPr>
        <w:t>深圳市绿色低碳科技促进会</w:t>
      </w:r>
      <w:r>
        <w:rPr>
          <w:rFonts w:hint="eastAsia" w:cs="Times New Roman"/>
          <w:lang w:val="en-US" w:eastAsia="zh-CN"/>
        </w:rPr>
        <w:t>提出并归口</w:t>
      </w:r>
      <w:r>
        <w:rPr>
          <w:rFonts w:hint="default" w:ascii="Times New Roman" w:hAnsi="Times New Roman" w:cs="Times New Roman"/>
        </w:rPr>
        <w:t>。</w:t>
      </w:r>
    </w:p>
    <w:p w14:paraId="31B04F43">
      <w:pPr>
        <w:pStyle w:val="3"/>
        <w:ind w:firstLine="416"/>
        <w:rPr>
          <w:rFonts w:hint="default" w:eastAsia="宋体" w:cs="Times New Roman"/>
          <w:lang w:val="en-US" w:eastAsia="zh-CN"/>
        </w:rPr>
      </w:pPr>
      <w:r>
        <w:rPr>
          <w:rFonts w:hint="eastAsia" w:cs="Times New Roman"/>
          <w:lang w:val="en-US" w:eastAsia="zh-CN"/>
        </w:rPr>
        <w:t>本文件起草单位：xxxx xxx</w:t>
      </w:r>
    </w:p>
    <w:p w14:paraId="2465A1DB">
      <w:pPr>
        <w:pStyle w:val="3"/>
        <w:bidi w:val="0"/>
        <w:rPr>
          <w:rFonts w:hint="default" w:ascii="Times New Roman" w:hAnsi="Times New Roman" w:cs="Times New Roman"/>
        </w:rPr>
      </w:pPr>
      <w:r>
        <w:rPr>
          <w:rFonts w:cs="Times New Roman"/>
        </w:rPr>
        <w:t>本文件起草</w:t>
      </w:r>
      <w:r>
        <w:rPr>
          <w:rFonts w:hint="eastAsia" w:cs="Times New Roman"/>
          <w:lang w:val="en-US" w:eastAsia="zh-CN"/>
        </w:rPr>
        <w:t>人</w:t>
      </w:r>
      <w:r>
        <w:rPr>
          <w:rFonts w:cs="Times New Roman"/>
        </w:rPr>
        <w:t>：</w:t>
      </w:r>
      <w:r>
        <w:rPr>
          <w:rFonts w:hint="eastAsia" w:cs="Times New Roman"/>
          <w:lang w:val="en-US" w:eastAsia="zh-CN"/>
        </w:rPr>
        <w:t>xxx xxx</w:t>
      </w:r>
      <w:r>
        <w:rPr>
          <w:rFonts w:hint="default" w:ascii="Times New Roman" w:hAnsi="Times New Roman" w:cs="Times New Roman"/>
        </w:rPr>
        <w:t>。</w:t>
      </w:r>
    </w:p>
    <w:p w14:paraId="707B876E">
      <w:pPr>
        <w:pStyle w:val="3"/>
        <w:bidi w:val="0"/>
        <w:rPr>
          <w:rFonts w:hint="default" w:ascii="Times New Roman" w:hAnsi="Times New Roman" w:cs="Times New Roman"/>
        </w:rPr>
        <w:sectPr>
          <w:pgSz w:w="11907" w:h="16839"/>
          <w:pgMar w:top="1716" w:right="1054" w:bottom="1340" w:left="1426" w:header="1391" w:footer="1105" w:gutter="0"/>
          <w:cols w:space="720" w:num="1"/>
        </w:sectPr>
      </w:pPr>
    </w:p>
    <w:p w14:paraId="77BF60E6">
      <w:pPr>
        <w:pStyle w:val="3"/>
        <w:keepNext w:val="0"/>
        <w:keepLines w:val="0"/>
        <w:pageBreakBefore w:val="0"/>
        <w:widowControl/>
        <w:kinsoku/>
        <w:wordWrap/>
        <w:overflowPunct/>
        <w:topLinePunct w:val="0"/>
        <w:autoSpaceDE/>
        <w:autoSpaceDN/>
        <w:bidi w:val="0"/>
        <w:adjustRightInd/>
        <w:snapToGrid/>
        <w:spacing w:before="0" w:beforeLines="300" w:after="0" w:afterLines="300" w:line="240" w:lineRule="auto"/>
        <w:ind w:left="0" w:leftChars="0" w:firstLine="0" w:firstLineChars="0"/>
        <w:jc w:val="center"/>
        <w:textAlignment w:val="auto"/>
        <w:rPr>
          <w:rFonts w:hint="default" w:ascii="Times New Roman" w:hAnsi="Times New Roman" w:eastAsia="黑体" w:cs="Times New Roman"/>
          <w:spacing w:val="9"/>
          <w:sz w:val="31"/>
          <w:szCs w:val="31"/>
          <w:lang w:val="en-US" w:eastAsia="zh-CN"/>
        </w:rPr>
      </w:pPr>
      <w:bookmarkStart w:id="14" w:name="bookmark2"/>
      <w:bookmarkEnd w:id="14"/>
      <w:r>
        <w:rPr>
          <w:rFonts w:hint="default" w:ascii="Times New Roman" w:hAnsi="Times New Roman" w:eastAsia="黑体" w:cs="Times New Roman"/>
          <w:spacing w:val="9"/>
          <w:sz w:val="31"/>
          <w:szCs w:val="31"/>
        </w:rPr>
        <w:t xml:space="preserve">碳普惠项目减排量核算技术规范 </w:t>
      </w:r>
      <w:r>
        <w:rPr>
          <w:rFonts w:hint="default" w:ascii="Times New Roman" w:hAnsi="Times New Roman" w:eastAsia="黑体" w:cs="Times New Roman"/>
          <w:spacing w:val="9"/>
          <w:sz w:val="31"/>
          <w:szCs w:val="31"/>
          <w:lang w:val="en-US" w:eastAsia="zh-CN"/>
        </w:rPr>
        <w:t>垃圾分类</w:t>
      </w:r>
    </w:p>
    <w:p w14:paraId="1213121D">
      <w:pPr>
        <w:pStyle w:val="2"/>
        <w:bidi w:val="0"/>
        <w:rPr>
          <w:rFonts w:hint="default"/>
        </w:rPr>
      </w:pPr>
      <w:bookmarkStart w:id="15" w:name="bookmark24"/>
      <w:bookmarkEnd w:id="15"/>
      <w:bookmarkStart w:id="16" w:name="_Toc17926"/>
      <w:bookmarkStart w:id="17" w:name="_Toc7205"/>
      <w:r>
        <w:rPr>
          <w:rFonts w:hint="default"/>
        </w:rPr>
        <w:t>1  范围</w:t>
      </w:r>
      <w:bookmarkEnd w:id="16"/>
      <w:bookmarkEnd w:id="17"/>
    </w:p>
    <w:p w14:paraId="4D7F905D">
      <w:pPr>
        <w:pStyle w:val="3"/>
        <w:bidi w:val="0"/>
        <w:rPr>
          <w:rFonts w:hint="default" w:ascii="Times New Roman" w:hAnsi="Times New Roman" w:cs="Times New Roman"/>
        </w:rPr>
      </w:pPr>
      <w:r>
        <w:rPr>
          <w:rFonts w:hint="default" w:ascii="Times New Roman" w:hAnsi="Times New Roman" w:cs="Times New Roman"/>
        </w:rPr>
        <w:t>本文件界定了碳普惠项目减排量核算中</w:t>
      </w:r>
      <w:r>
        <w:rPr>
          <w:rFonts w:hint="default" w:ascii="Times New Roman" w:hAnsi="Times New Roman" w:cs="Times New Roman"/>
          <w:lang w:val="en-US" w:eastAsia="zh-CN"/>
        </w:rPr>
        <w:t>垃圾分类</w:t>
      </w:r>
      <w:r>
        <w:rPr>
          <w:rFonts w:hint="default" w:ascii="Times New Roman" w:hAnsi="Times New Roman" w:cs="Times New Roman"/>
        </w:rPr>
        <w:t>的术语与定义，规定了</w:t>
      </w:r>
      <w:r>
        <w:rPr>
          <w:rFonts w:hint="default" w:ascii="Times New Roman" w:hAnsi="Times New Roman" w:cs="Times New Roman"/>
          <w:lang w:val="en-US" w:eastAsia="zh-CN"/>
        </w:rPr>
        <w:t>垃圾分类</w:t>
      </w:r>
      <w:r>
        <w:rPr>
          <w:rFonts w:hint="default" w:ascii="Times New Roman" w:hAnsi="Times New Roman" w:cs="Times New Roman"/>
        </w:rPr>
        <w:t>碳普惠项目的基本要求、温室气体种类、项目边界和计入期、核算方法、数据监测与管理。</w:t>
      </w:r>
    </w:p>
    <w:p w14:paraId="437D77FC">
      <w:pPr>
        <w:pStyle w:val="3"/>
        <w:bidi w:val="0"/>
        <w:rPr>
          <w:rFonts w:hint="default" w:ascii="Times New Roman" w:hAnsi="Times New Roman" w:cs="Times New Roman"/>
        </w:rPr>
      </w:pPr>
      <w:r>
        <w:rPr>
          <w:rFonts w:hint="default" w:ascii="Times New Roman" w:hAnsi="Times New Roman" w:cs="Times New Roman"/>
        </w:rPr>
        <w:t>本文件适用于</w:t>
      </w:r>
      <w:r>
        <w:rPr>
          <w:rFonts w:hint="default" w:ascii="Times New Roman" w:hAnsi="Times New Roman" w:cs="Times New Roman"/>
          <w:lang w:val="en-US" w:eastAsia="zh-CN"/>
        </w:rPr>
        <w:t>垃圾分类</w:t>
      </w:r>
      <w:r>
        <w:rPr>
          <w:rFonts w:hint="default" w:ascii="Times New Roman" w:hAnsi="Times New Roman" w:cs="Times New Roman"/>
        </w:rPr>
        <w:t>碳普惠项目的设计、建设和运行。</w:t>
      </w:r>
    </w:p>
    <w:p w14:paraId="45FAC231">
      <w:pPr>
        <w:pStyle w:val="2"/>
        <w:bidi w:val="0"/>
        <w:rPr>
          <w:rFonts w:hint="default"/>
        </w:rPr>
      </w:pPr>
      <w:bookmarkStart w:id="18" w:name="bookmark3"/>
      <w:bookmarkEnd w:id="18"/>
      <w:bookmarkStart w:id="19" w:name="_Toc3714"/>
      <w:bookmarkStart w:id="20" w:name="_Toc20452"/>
      <w:r>
        <w:rPr>
          <w:rFonts w:hint="default"/>
        </w:rPr>
        <w:t>2  规范性引用文件</w:t>
      </w:r>
      <w:bookmarkEnd w:id="19"/>
      <w:bookmarkEnd w:id="20"/>
    </w:p>
    <w:p w14:paraId="73A1B282">
      <w:pPr>
        <w:pStyle w:val="3"/>
        <w:bidi w:val="0"/>
        <w:rPr>
          <w:rFonts w:hint="default" w:ascii="Times New Roman" w:hAnsi="Times New Roman" w:cs="Times New Roman"/>
        </w:rPr>
      </w:pPr>
      <w:bookmarkStart w:id="21" w:name="bookmark4"/>
      <w:bookmarkEnd w:id="21"/>
      <w:r>
        <w:rPr>
          <w:rFonts w:hint="default" w:ascii="Times New Roman" w:hAnsi="Times New Roman" w:cs="Times New Roman"/>
        </w:rPr>
        <w:t>本文件没有规范性引用文件。</w:t>
      </w:r>
    </w:p>
    <w:p w14:paraId="54581F4B">
      <w:pPr>
        <w:pStyle w:val="2"/>
        <w:bidi w:val="0"/>
        <w:rPr>
          <w:rFonts w:hint="default"/>
        </w:rPr>
      </w:pPr>
      <w:bookmarkStart w:id="22" w:name="bookmark25"/>
      <w:bookmarkEnd w:id="22"/>
      <w:bookmarkStart w:id="23" w:name="_Toc10687"/>
      <w:bookmarkStart w:id="24" w:name="_Toc7129"/>
      <w:r>
        <w:rPr>
          <w:rFonts w:hint="default"/>
        </w:rPr>
        <w:t>3  术语和定义</w:t>
      </w:r>
      <w:bookmarkEnd w:id="23"/>
      <w:bookmarkEnd w:id="24"/>
    </w:p>
    <w:p w14:paraId="519631A1">
      <w:pPr>
        <w:pStyle w:val="3"/>
        <w:bidi w:val="0"/>
        <w:rPr>
          <w:rFonts w:hint="default" w:ascii="Times New Roman" w:hAnsi="Times New Roman" w:cs="Times New Roman"/>
        </w:rPr>
      </w:pPr>
      <w:r>
        <w:rPr>
          <w:rFonts w:hint="default" w:ascii="Times New Roman" w:hAnsi="Times New Roman" w:cs="Times New Roman"/>
        </w:rPr>
        <w:t>下列术语和定义适用于本文件。</w:t>
      </w:r>
    </w:p>
    <w:p w14:paraId="2470702B">
      <w:pPr>
        <w:pStyle w:val="4"/>
        <w:bidi w:val="0"/>
        <w:rPr>
          <w:rFonts w:hint="default" w:ascii="Times New Roman" w:hAnsi="Times New Roman" w:cs="Times New Roman"/>
        </w:rPr>
      </w:pPr>
      <w:bookmarkStart w:id="25" w:name="_Toc7161"/>
      <w:r>
        <w:rPr>
          <w:rFonts w:hint="default" w:ascii="Times New Roman" w:hAnsi="Times New Roman" w:cs="Times New Roman"/>
        </w:rPr>
        <w:t>3.1</w:t>
      </w:r>
      <w:r>
        <w:rPr>
          <w:rFonts w:hint="default" w:ascii="Times New Roman" w:hAnsi="Times New Roman" w:cs="Times New Roman"/>
          <w:lang w:val="en-US" w:eastAsia="zh-CN"/>
        </w:rPr>
        <w:t xml:space="preserve">  </w:t>
      </w:r>
      <w:r>
        <w:rPr>
          <w:rFonts w:hint="default" w:ascii="Times New Roman" w:hAnsi="Times New Roman" w:cs="Times New Roman"/>
        </w:rPr>
        <w:t>碳普惠  carbon inclusion</w:t>
      </w:r>
      <w:bookmarkEnd w:id="25"/>
    </w:p>
    <w:p w14:paraId="6A5ED82C">
      <w:pPr>
        <w:spacing w:before="64" w:line="274" w:lineRule="auto"/>
        <w:ind w:left="6" w:right="9" w:firstLine="419"/>
        <w:rPr>
          <w:rFonts w:hint="default" w:ascii="Times New Roman" w:hAnsi="Times New Roman" w:eastAsia="宋体" w:cs="Times New Roman"/>
          <w:sz w:val="21"/>
          <w:szCs w:val="21"/>
        </w:rPr>
      </w:pPr>
      <w:r>
        <w:rPr>
          <w:rFonts w:hint="default" w:ascii="Times New Roman" w:hAnsi="Times New Roman" w:eastAsia="宋体" w:cs="Times New Roman"/>
          <w:spacing w:val="-2"/>
          <w:sz w:val="21"/>
          <w:szCs w:val="21"/>
        </w:rPr>
        <w:t>碳普惠是通过相关平台收集个人、家庭、社</w:t>
      </w:r>
      <w:r>
        <w:rPr>
          <w:rFonts w:hint="default" w:ascii="Times New Roman" w:hAnsi="Times New Roman" w:eastAsia="宋体" w:cs="Times New Roman"/>
          <w:spacing w:val="-3"/>
          <w:sz w:val="21"/>
          <w:szCs w:val="21"/>
        </w:rPr>
        <w:t>区或企业（单位）的绿色低碳行为活动信息，按照技术</w:t>
      </w:r>
      <w:r>
        <w:rPr>
          <w:rFonts w:hint="default" w:ascii="Times New Roman" w:hAnsi="Times New Roman" w:eastAsia="宋体" w:cs="Times New Roman"/>
          <w:sz w:val="21"/>
          <w:szCs w:val="21"/>
        </w:rPr>
        <w:t>规范核算碳减排量，为绿色低碳生产生活方式赋值的激励机制，鼓励全社会参与自愿减排</w:t>
      </w:r>
      <w:r>
        <w:rPr>
          <w:rFonts w:hint="default" w:ascii="Times New Roman" w:hAnsi="Times New Roman" w:eastAsia="宋体" w:cs="Times New Roman"/>
          <w:spacing w:val="-1"/>
          <w:sz w:val="21"/>
          <w:szCs w:val="21"/>
        </w:rPr>
        <w:t>活动。</w:t>
      </w:r>
    </w:p>
    <w:p w14:paraId="67F377D1">
      <w:pPr>
        <w:pStyle w:val="4"/>
        <w:bidi w:val="0"/>
        <w:rPr>
          <w:rFonts w:hint="default" w:ascii="Times New Roman" w:hAnsi="Times New Roman" w:cs="Times New Roman"/>
          <w:highlight w:val="none"/>
          <w:lang w:val="en-US" w:eastAsia="zh-CN"/>
        </w:rPr>
      </w:pPr>
      <w:bookmarkStart w:id="26" w:name="_Toc19854"/>
      <w:r>
        <w:rPr>
          <w:rFonts w:hint="default" w:ascii="Times New Roman" w:hAnsi="Times New Roman" w:cs="Times New Roman"/>
          <w:highlight w:val="none"/>
        </w:rPr>
        <w:t>3.2</w:t>
      </w:r>
      <w:r>
        <w:rPr>
          <w:rFonts w:hint="default" w:ascii="Times New Roman" w:hAnsi="Times New Roman" w:cs="Times New Roman"/>
          <w:highlight w:val="none"/>
          <w:lang w:val="en-US" w:eastAsia="zh-CN"/>
        </w:rPr>
        <w:t xml:space="preserve">  温室气体  greenhouse gas</w:t>
      </w:r>
      <w:bookmarkEnd w:id="26"/>
    </w:p>
    <w:p w14:paraId="2031CE63">
      <w:pPr>
        <w:pStyle w:val="3"/>
        <w:bidi w:val="0"/>
        <w:rPr>
          <w:rFonts w:hint="default" w:ascii="Times New Roman" w:hAnsi="Times New Roman" w:cs="Times New Roman"/>
        </w:rPr>
      </w:pPr>
      <w:r>
        <w:rPr>
          <w:rFonts w:hint="default" w:ascii="Times New Roman" w:hAnsi="Times New Roman" w:cs="Times New Roman"/>
          <w:lang w:val="en-US" w:eastAsia="en-US"/>
        </w:rPr>
        <w:t>大气层中自然存在的由于人类活动产生的，能够吸收和散发由地球表面、大气层和云层所产生的、波长在红外光谱内的辐射的气态成分。</w:t>
      </w:r>
    </w:p>
    <w:p w14:paraId="1B982128">
      <w:pPr>
        <w:pStyle w:val="4"/>
        <w:bidi w:val="0"/>
        <w:rPr>
          <w:rFonts w:hint="default" w:ascii="Times New Roman" w:hAnsi="Times New Roman" w:cs="Times New Roman"/>
          <w:lang w:val="en-US" w:eastAsia="zh-CN"/>
        </w:rPr>
      </w:pPr>
      <w:bookmarkStart w:id="27" w:name="_Toc18723"/>
      <w:r>
        <w:rPr>
          <w:rFonts w:hint="default" w:ascii="Times New Roman" w:hAnsi="Times New Roman" w:cs="Times New Roman"/>
        </w:rPr>
        <w:t>3.3</w:t>
      </w:r>
      <w:r>
        <w:rPr>
          <w:rFonts w:hint="default" w:ascii="Times New Roman" w:hAnsi="Times New Roman" w:cs="Times New Roman"/>
          <w:lang w:val="en-US" w:eastAsia="zh-CN"/>
        </w:rPr>
        <w:t xml:space="preserve">  生活垃圾分类  household waste sorting</w:t>
      </w:r>
      <w:bookmarkEnd w:id="27"/>
    </w:p>
    <w:p w14:paraId="354E1D5D">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将生活垃圾分成可回收物、有害垃圾、厨余垃圾、其他垃圾四大类，进行分类投放、收集、转运和处理处置，从而转变成公共资源的一系列活动的总称。</w:t>
      </w:r>
    </w:p>
    <w:p w14:paraId="613C85C8">
      <w:pPr>
        <w:pStyle w:val="4"/>
        <w:bidi w:val="0"/>
        <w:rPr>
          <w:rFonts w:hint="default" w:ascii="Times New Roman" w:hAnsi="Times New Roman" w:cs="Times New Roman"/>
          <w:lang w:val="en-US" w:eastAsia="zh-CN"/>
        </w:rPr>
      </w:pPr>
      <w:bookmarkStart w:id="28" w:name="_Toc29400"/>
      <w:r>
        <w:rPr>
          <w:rFonts w:hint="default" w:ascii="Times New Roman" w:hAnsi="Times New Roman" w:cs="Times New Roman"/>
        </w:rPr>
        <w:t>3.4</w:t>
      </w:r>
      <w:r>
        <w:rPr>
          <w:rFonts w:hint="default" w:ascii="Times New Roman" w:hAnsi="Times New Roman" w:cs="Times New Roman"/>
          <w:lang w:val="en-US" w:eastAsia="zh-CN"/>
        </w:rPr>
        <w:t xml:space="preserve">  可回收物  recyclables</w:t>
      </w:r>
      <w:bookmarkEnd w:id="28"/>
    </w:p>
    <w:p w14:paraId="67741438">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指适宜回收利用的生活垃圾，包括纸类、塑料、金属、玻璃、陶瓷、纺织物等。</w:t>
      </w:r>
    </w:p>
    <w:p w14:paraId="4CE80D26">
      <w:pPr>
        <w:pStyle w:val="4"/>
        <w:bidi w:val="0"/>
        <w:rPr>
          <w:rFonts w:hint="default" w:ascii="Times New Roman" w:hAnsi="Times New Roman" w:cs="Times New Roman"/>
          <w:lang w:val="en-US" w:eastAsia="zh-CN"/>
        </w:rPr>
      </w:pPr>
      <w:bookmarkStart w:id="29" w:name="_Toc30737"/>
      <w:r>
        <w:rPr>
          <w:rFonts w:hint="default" w:ascii="Times New Roman" w:hAnsi="Times New Roman" w:cs="Times New Roman"/>
          <w:lang w:val="en-US" w:eastAsia="zh-CN"/>
        </w:rPr>
        <w:t>3.5  有害垃圾  hazardous waste</w:t>
      </w:r>
      <w:bookmarkEnd w:id="29"/>
    </w:p>
    <w:p w14:paraId="19EC619F">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指在《国家危险废物名录》中的家庭源危险废物，包括灯管、家用化学品和电池等。</w:t>
      </w:r>
    </w:p>
    <w:p w14:paraId="3AC418C3">
      <w:pPr>
        <w:pStyle w:val="4"/>
        <w:bidi w:val="0"/>
        <w:rPr>
          <w:rFonts w:hint="default" w:ascii="Times New Roman" w:hAnsi="Times New Roman" w:cs="Times New Roman"/>
          <w:lang w:val="en-US" w:eastAsia="zh-CN"/>
        </w:rPr>
      </w:pPr>
      <w:bookmarkStart w:id="30" w:name="_Toc6729"/>
      <w:r>
        <w:rPr>
          <w:rFonts w:hint="default" w:ascii="Times New Roman" w:hAnsi="Times New Roman" w:cs="Times New Roman"/>
          <w:lang w:val="en-US" w:eastAsia="zh-CN"/>
        </w:rPr>
        <w:t>3.6  厨余垃圾  kitchen garbage</w:t>
      </w:r>
      <w:bookmarkEnd w:id="30"/>
    </w:p>
    <w:p w14:paraId="776CA7CF">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指废弃的剩菜、剩饭、蛋壳、瓜果皮核、茶渣、骨头等在日常生活中产生的易腐性垃圾。</w:t>
      </w:r>
    </w:p>
    <w:p w14:paraId="50B51BBF">
      <w:pPr>
        <w:pStyle w:val="4"/>
        <w:bidi w:val="0"/>
        <w:rPr>
          <w:rFonts w:hint="default" w:ascii="Times New Roman" w:hAnsi="Times New Roman" w:cs="Times New Roman"/>
          <w:lang w:val="en-US" w:eastAsia="zh-CN"/>
        </w:rPr>
      </w:pPr>
      <w:bookmarkStart w:id="31" w:name="_Toc13094"/>
      <w:r>
        <w:rPr>
          <w:rFonts w:hint="default" w:ascii="Times New Roman" w:hAnsi="Times New Roman" w:cs="Times New Roman"/>
          <w:lang w:val="en-US" w:eastAsia="zh-CN"/>
        </w:rPr>
        <w:t>3.7  其他垃圾  other garbage</w:t>
      </w:r>
      <w:bookmarkEnd w:id="31"/>
    </w:p>
    <w:p w14:paraId="5348EA49">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指除可回收物、有害垃圾、厨余垃圾外的生活垃圾。</w:t>
      </w:r>
    </w:p>
    <w:p w14:paraId="4AFB7FE4">
      <w:pPr>
        <w:pStyle w:val="4"/>
        <w:bidi w:val="0"/>
        <w:rPr>
          <w:rFonts w:hint="default" w:ascii="Times New Roman" w:hAnsi="Times New Roman" w:cs="Times New Roman"/>
          <w:lang w:val="en-US" w:eastAsia="zh-CN"/>
        </w:rPr>
      </w:pPr>
      <w:bookmarkStart w:id="32" w:name="_Toc27247"/>
      <w:r>
        <w:rPr>
          <w:rFonts w:hint="default" w:ascii="Times New Roman" w:hAnsi="Times New Roman" w:cs="Times New Roman"/>
          <w:lang w:val="en-US" w:eastAsia="zh-CN"/>
        </w:rPr>
        <w:t>3.8  旅游景区  tourist attraction</w:t>
      </w:r>
      <w:bookmarkEnd w:id="32"/>
    </w:p>
    <w:p w14:paraId="32731272">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以旅游资源为依托，具有明确的空间边界、必要的旅游服务设施和统一的经营管理机构，以提供游览服务为主要功能的场所或区域。</w:t>
      </w:r>
    </w:p>
    <w:p w14:paraId="2B26DCE5">
      <w:pPr>
        <w:pStyle w:val="4"/>
        <w:bidi w:val="0"/>
        <w:rPr>
          <w:rFonts w:hint="default" w:ascii="Times New Roman" w:hAnsi="Times New Roman" w:cs="Times New Roman"/>
          <w:lang w:val="en-US" w:eastAsia="zh-CN"/>
        </w:rPr>
      </w:pPr>
      <w:bookmarkStart w:id="33" w:name="_Toc32166"/>
      <w:r>
        <w:rPr>
          <w:rFonts w:hint="default" w:ascii="Times New Roman" w:hAnsi="Times New Roman" w:cs="Times New Roman"/>
          <w:lang w:val="en-US" w:eastAsia="zh-CN"/>
        </w:rPr>
        <w:t>3.9  居民社区  resident community</w:t>
      </w:r>
      <w:bookmarkEnd w:id="33"/>
    </w:p>
    <w:p w14:paraId="5DED80F8">
      <w:pPr>
        <w:pStyle w:val="3"/>
        <w:bidi w:val="0"/>
        <w:rPr>
          <w:rFonts w:hint="default" w:ascii="Times New Roman" w:hAnsi="Times New Roman" w:cs="Times New Roman"/>
        </w:rPr>
      </w:pPr>
      <w:r>
        <w:rPr>
          <w:rFonts w:hint="default" w:ascii="Times New Roman" w:hAnsi="Times New Roman" w:cs="Times New Roman"/>
          <w:lang w:val="en-US" w:eastAsia="zh-CN"/>
        </w:rPr>
        <w:t>指城市街道办事处所辖每一个社区居委会的辖区范围，是城市基层政权的重要基础，包括居民小区、单位家属院、社区服务机构等。</w:t>
      </w:r>
      <w:bookmarkStart w:id="34" w:name="bookmark5"/>
      <w:bookmarkEnd w:id="34"/>
    </w:p>
    <w:p w14:paraId="4760EA31">
      <w:pPr>
        <w:pStyle w:val="2"/>
        <w:bidi w:val="0"/>
        <w:rPr>
          <w:rFonts w:hint="default"/>
        </w:rPr>
      </w:pPr>
      <w:bookmarkStart w:id="35" w:name="_Toc7359"/>
      <w:bookmarkStart w:id="36" w:name="_Toc12032"/>
      <w:r>
        <w:rPr>
          <w:rFonts w:hint="default"/>
        </w:rPr>
        <w:t>4  基本要求</w:t>
      </w:r>
      <w:bookmarkEnd w:id="35"/>
      <w:bookmarkEnd w:id="36"/>
    </w:p>
    <w:p w14:paraId="72579367">
      <w:pPr>
        <w:pStyle w:val="4"/>
        <w:bidi w:val="0"/>
        <w:rPr>
          <w:rFonts w:hint="default" w:ascii="Times New Roman" w:hAnsi="Times New Roman" w:cs="Times New Roman"/>
        </w:rPr>
      </w:pPr>
      <w:bookmarkStart w:id="37" w:name="_Toc26984"/>
      <w:r>
        <w:rPr>
          <w:rFonts w:hint="default" w:ascii="Times New Roman" w:hAnsi="Times New Roman" w:cs="Times New Roman"/>
        </w:rPr>
        <w:t>4.1  唯一性</w:t>
      </w:r>
      <w:bookmarkEnd w:id="37"/>
    </w:p>
    <w:p w14:paraId="5C4B2FD3">
      <w:pPr>
        <w:pStyle w:val="3"/>
        <w:bidi w:val="0"/>
        <w:rPr>
          <w:rFonts w:hint="default" w:ascii="Times New Roman" w:hAnsi="Times New Roman" w:cs="Times New Roman"/>
        </w:rPr>
      </w:pPr>
      <w:r>
        <w:rPr>
          <w:rFonts w:hint="default" w:ascii="Times New Roman" w:hAnsi="Times New Roman" w:cs="Times New Roman"/>
        </w:rPr>
        <w:t>碳普惠项目申报主体应对注册参与用户的垃圾分类行为数据进行分析核查，确保数据真实有效，严禁重复记录和核算减排量，且不得在不同减排机制下就同一项目或同一时段的减排量进行重复申报，确保项目及减排量的唯一性。</w:t>
      </w:r>
    </w:p>
    <w:p w14:paraId="2B0EC65E">
      <w:pPr>
        <w:pStyle w:val="4"/>
        <w:bidi w:val="0"/>
        <w:rPr>
          <w:rFonts w:hint="default" w:ascii="Times New Roman" w:hAnsi="Times New Roman" w:cs="Times New Roman"/>
        </w:rPr>
      </w:pPr>
      <w:bookmarkStart w:id="38" w:name="_Toc10501"/>
      <w:r>
        <w:rPr>
          <w:rFonts w:hint="default" w:ascii="Times New Roman" w:hAnsi="Times New Roman" w:cs="Times New Roman"/>
        </w:rPr>
        <w:t>4.2  准确性</w:t>
      </w:r>
      <w:bookmarkEnd w:id="38"/>
    </w:p>
    <w:p w14:paraId="7EB032DE">
      <w:pPr>
        <w:pStyle w:val="3"/>
        <w:bidi w:val="0"/>
        <w:rPr>
          <w:rFonts w:hint="default" w:ascii="Times New Roman" w:hAnsi="Times New Roman" w:cs="Times New Roman"/>
        </w:rPr>
      </w:pPr>
      <w:bookmarkStart w:id="39" w:name="bookmark26"/>
      <w:bookmarkEnd w:id="39"/>
      <w:r>
        <w:rPr>
          <w:rFonts w:hint="default" w:ascii="Times New Roman" w:hAnsi="Times New Roman" w:cs="Times New Roman"/>
        </w:rPr>
        <w:t>项目申报主体应精准采集并详实记录参与用户的垃圾分类行为数据，包括但不限于垃圾投放量、分类准确率等关键指标，建立严格的数据质量控制机制，确保所有申报数据的精确性与真实性。</w:t>
      </w:r>
    </w:p>
    <w:p w14:paraId="5FF13029">
      <w:pPr>
        <w:pStyle w:val="4"/>
        <w:bidi w:val="0"/>
        <w:rPr>
          <w:rFonts w:hint="default" w:ascii="Times New Roman" w:hAnsi="Times New Roman" w:cs="Times New Roman"/>
        </w:rPr>
      </w:pPr>
      <w:bookmarkStart w:id="40" w:name="_Toc20240"/>
      <w:r>
        <w:rPr>
          <w:rFonts w:hint="default" w:ascii="Times New Roman" w:hAnsi="Times New Roman" w:cs="Times New Roman"/>
        </w:rPr>
        <w:t>4.3  保守性</w:t>
      </w:r>
      <w:bookmarkEnd w:id="40"/>
    </w:p>
    <w:p w14:paraId="5C3AB5B0">
      <w:pPr>
        <w:pStyle w:val="3"/>
        <w:bidi w:val="0"/>
        <w:rPr>
          <w:rFonts w:hint="default" w:ascii="Times New Roman" w:hAnsi="Times New Roman" w:cs="Times New Roman"/>
        </w:rPr>
      </w:pPr>
      <w:r>
        <w:rPr>
          <w:rFonts w:hint="default" w:ascii="Times New Roman" w:hAnsi="Times New Roman" w:cs="Times New Roman"/>
        </w:rPr>
        <w:t>碳普惠项目减排量核算应采用保守性原则，确保不高估碳普惠项目减排量。</w:t>
      </w:r>
    </w:p>
    <w:p w14:paraId="2924B445">
      <w:pPr>
        <w:pStyle w:val="4"/>
        <w:bidi w:val="0"/>
        <w:rPr>
          <w:rFonts w:hint="default" w:ascii="Times New Roman" w:hAnsi="Times New Roman" w:cs="Times New Roman"/>
        </w:rPr>
      </w:pPr>
      <w:bookmarkStart w:id="41" w:name="_Toc27960"/>
      <w:r>
        <w:rPr>
          <w:rFonts w:hint="default" w:ascii="Times New Roman" w:hAnsi="Times New Roman" w:cs="Times New Roman"/>
        </w:rPr>
        <w:t>4.4  安全性</w:t>
      </w:r>
      <w:bookmarkEnd w:id="41"/>
    </w:p>
    <w:p w14:paraId="10D9425D">
      <w:pPr>
        <w:pStyle w:val="3"/>
        <w:bidi w:val="0"/>
        <w:rPr>
          <w:rFonts w:hint="default" w:ascii="Times New Roman" w:hAnsi="Times New Roman" w:cs="Times New Roman"/>
        </w:rPr>
      </w:pPr>
      <w:r>
        <w:rPr>
          <w:rFonts w:hint="default" w:ascii="Times New Roman" w:hAnsi="Times New Roman" w:cs="Times New Roman"/>
        </w:rPr>
        <w:t>项目</w:t>
      </w:r>
      <w:r>
        <w:rPr>
          <w:rFonts w:hint="default" w:ascii="Times New Roman" w:hAnsi="Times New Roman" w:cs="Times New Roman"/>
          <w:lang w:val="en-US" w:eastAsia="zh-CN"/>
        </w:rPr>
        <w:t>申报主体</w:t>
      </w:r>
      <w:r>
        <w:rPr>
          <w:rFonts w:hint="default" w:ascii="Times New Roman" w:hAnsi="Times New Roman" w:cs="Times New Roman"/>
        </w:rPr>
        <w:t>开展碳普惠活动的所有环节应合法合规，采取科学、智能的管理和技术手段，确保注册</w:t>
      </w:r>
      <w:bookmarkStart w:id="42" w:name="bookmark6"/>
      <w:bookmarkEnd w:id="42"/>
      <w:r>
        <w:rPr>
          <w:rFonts w:hint="default" w:ascii="Times New Roman" w:hAnsi="Times New Roman" w:cs="Times New Roman"/>
        </w:rPr>
        <w:t>参与用户信息和数据安全。</w:t>
      </w:r>
    </w:p>
    <w:p w14:paraId="0ACB22DE">
      <w:pPr>
        <w:pStyle w:val="2"/>
        <w:bidi w:val="0"/>
        <w:rPr>
          <w:rFonts w:hint="default"/>
        </w:rPr>
      </w:pPr>
      <w:bookmarkStart w:id="43" w:name="bookmark27"/>
      <w:bookmarkEnd w:id="43"/>
      <w:bookmarkStart w:id="44" w:name="_Toc25883"/>
      <w:bookmarkStart w:id="45" w:name="_Toc20613"/>
      <w:r>
        <w:rPr>
          <w:rFonts w:hint="default"/>
        </w:rPr>
        <w:t>5  温室气体种类、项目边界和计入期</w:t>
      </w:r>
      <w:bookmarkEnd w:id="44"/>
      <w:bookmarkEnd w:id="45"/>
    </w:p>
    <w:p w14:paraId="6FD23F10">
      <w:pPr>
        <w:pStyle w:val="4"/>
        <w:bidi w:val="0"/>
        <w:rPr>
          <w:rFonts w:hint="default" w:ascii="Times New Roman" w:hAnsi="Times New Roman" w:cs="Times New Roman"/>
        </w:rPr>
      </w:pPr>
      <w:bookmarkStart w:id="46" w:name="_Toc15568"/>
      <w:r>
        <w:rPr>
          <w:rFonts w:hint="default" w:ascii="Times New Roman" w:hAnsi="Times New Roman" w:cs="Times New Roman"/>
        </w:rPr>
        <w:t>5.1  温室气体种类</w:t>
      </w:r>
      <w:bookmarkEnd w:id="46"/>
    </w:p>
    <w:p w14:paraId="137CC1AA">
      <w:pPr>
        <w:pStyle w:val="3"/>
        <w:bidi w:val="0"/>
        <w:rPr>
          <w:rFonts w:hint="default" w:ascii="Times New Roman" w:hAnsi="Times New Roman" w:cs="Times New Roman"/>
        </w:rPr>
      </w:pPr>
      <w:r>
        <w:rPr>
          <w:rFonts w:hint="default" w:ascii="Times New Roman" w:hAnsi="Times New Roman" w:cs="Times New Roman"/>
        </w:rPr>
        <w:t>本文件中的温室气体仅指二氧化碳</w:t>
      </w:r>
      <w:r>
        <w:rPr>
          <w:rFonts w:hint="default" w:ascii="Times New Roman" w:hAnsi="Times New Roman" w:cs="Times New Roman"/>
          <w:lang w:val="en-US" w:eastAsia="zh-CN"/>
        </w:rPr>
        <w:t>和甲烷</w:t>
      </w:r>
      <w:r>
        <w:rPr>
          <w:rFonts w:hint="default" w:ascii="Times New Roman" w:hAnsi="Times New Roman" w:cs="Times New Roman"/>
        </w:rPr>
        <w:t>。</w:t>
      </w:r>
    </w:p>
    <w:p w14:paraId="45B11098">
      <w:pPr>
        <w:pStyle w:val="4"/>
        <w:bidi w:val="0"/>
        <w:rPr>
          <w:rFonts w:hint="default" w:ascii="Times New Roman" w:hAnsi="Times New Roman" w:cs="Times New Roman"/>
        </w:rPr>
      </w:pPr>
      <w:bookmarkStart w:id="47" w:name="_Toc5188"/>
      <w:r>
        <w:rPr>
          <w:rFonts w:hint="default" w:ascii="Times New Roman" w:hAnsi="Times New Roman" w:cs="Times New Roman"/>
        </w:rPr>
        <w:t>5.2  项目边界</w:t>
      </w:r>
      <w:bookmarkEnd w:id="47"/>
    </w:p>
    <w:p w14:paraId="78F30A80">
      <w:pPr>
        <w:pStyle w:val="3"/>
        <w:bidi w:val="0"/>
        <w:rPr>
          <w:rFonts w:hint="default" w:ascii="Times New Roman" w:hAnsi="Times New Roman" w:cs="Times New Roman"/>
        </w:rPr>
      </w:pPr>
      <w:r>
        <w:rPr>
          <w:rFonts w:hint="default" w:ascii="Times New Roman" w:hAnsi="Times New Roman" w:cs="Times New Roman"/>
          <w:lang w:val="en-US" w:eastAsia="zh-CN"/>
        </w:rPr>
        <w:t>本文件的项目边界为项目发生的地理边界，</w:t>
      </w:r>
      <w:r>
        <w:rPr>
          <w:rFonts w:hint="default" w:ascii="Times New Roman" w:hAnsi="Times New Roman" w:cs="Times New Roman"/>
        </w:rPr>
        <w:t>项目</w:t>
      </w:r>
      <w:r>
        <w:rPr>
          <w:rFonts w:hint="default" w:ascii="Times New Roman" w:hAnsi="Times New Roman" w:cs="Times New Roman"/>
          <w:lang w:val="en-US" w:eastAsia="zh-CN"/>
        </w:rPr>
        <w:t>核算的垃圾分类不包括工业垃圾、农业垃圾以及建筑垃圾，仅为生活垃圾的分类</w:t>
      </w:r>
      <w:r>
        <w:rPr>
          <w:rFonts w:hint="default" w:ascii="Times New Roman" w:hAnsi="Times New Roman" w:cs="Times New Roman"/>
        </w:rPr>
        <w:t>，其地理边界为</w:t>
      </w:r>
      <w:r>
        <w:rPr>
          <w:rFonts w:hint="eastAsia" w:cs="Times New Roman"/>
          <w:lang w:val="en-US" w:eastAsia="zh-CN"/>
        </w:rPr>
        <w:t>长岛综合试验区</w:t>
      </w:r>
      <w:r>
        <w:rPr>
          <w:rFonts w:hint="default" w:ascii="Times New Roman" w:hAnsi="Times New Roman" w:cs="Times New Roman"/>
          <w:lang w:eastAsia="zh-CN"/>
        </w:rPr>
        <w:t>行政区域</w:t>
      </w:r>
      <w:r>
        <w:rPr>
          <w:rFonts w:hint="default" w:ascii="Times New Roman" w:hAnsi="Times New Roman" w:cs="Times New Roman"/>
        </w:rPr>
        <w:t>范围内。</w:t>
      </w:r>
    </w:p>
    <w:p w14:paraId="5F813B23">
      <w:pPr>
        <w:pStyle w:val="4"/>
        <w:bidi w:val="0"/>
        <w:rPr>
          <w:rFonts w:hint="default" w:ascii="Times New Roman" w:hAnsi="Times New Roman" w:cs="Times New Roman"/>
        </w:rPr>
      </w:pPr>
      <w:bookmarkStart w:id="48" w:name="_Toc23587"/>
      <w:r>
        <w:rPr>
          <w:rFonts w:hint="default" w:ascii="Times New Roman" w:hAnsi="Times New Roman" w:cs="Times New Roman"/>
        </w:rPr>
        <w:t>5.3  项目计入期</w:t>
      </w:r>
      <w:bookmarkEnd w:id="48"/>
    </w:p>
    <w:p w14:paraId="69DB66BF">
      <w:pPr>
        <w:pStyle w:val="3"/>
        <w:bidi w:val="0"/>
        <w:rPr>
          <w:rFonts w:hint="default" w:ascii="Times New Roman" w:hAnsi="Times New Roman" w:cs="Times New Roman"/>
          <w:lang w:val="en-US" w:eastAsia="zh-CN"/>
        </w:rPr>
      </w:pPr>
      <w:r>
        <w:rPr>
          <w:rFonts w:hint="default" w:ascii="Times New Roman" w:hAnsi="Times New Roman" w:cs="Times New Roman"/>
        </w:rPr>
        <w:t>项目计入期为可申请碳普惠项目减排量登记的时间期限</w:t>
      </w:r>
      <w:r>
        <w:rPr>
          <w:rFonts w:hint="default" w:ascii="Times New Roman" w:hAnsi="Times New Roman" w:cs="Times New Roman"/>
          <w:lang w:val="en-US" w:eastAsia="zh-CN"/>
        </w:rPr>
        <w:t>。项目的核算周期以自然年为计算单位。申请登记的项目减排量产生自本文件公布日后。</w:t>
      </w:r>
    </w:p>
    <w:p w14:paraId="5F1ED0CE">
      <w:pPr>
        <w:pStyle w:val="2"/>
        <w:bidi w:val="0"/>
        <w:rPr>
          <w:rFonts w:hint="default"/>
        </w:rPr>
      </w:pPr>
      <w:bookmarkStart w:id="49" w:name="bookmark28"/>
      <w:bookmarkEnd w:id="49"/>
      <w:bookmarkStart w:id="50" w:name="_Toc7173"/>
      <w:bookmarkStart w:id="51" w:name="_Toc30092"/>
      <w:r>
        <w:rPr>
          <w:rFonts w:hint="default"/>
        </w:rPr>
        <w:t>6  核算方法</w:t>
      </w:r>
      <w:bookmarkEnd w:id="50"/>
      <w:bookmarkEnd w:id="51"/>
    </w:p>
    <w:p w14:paraId="5E36EDE3">
      <w:pPr>
        <w:pStyle w:val="4"/>
        <w:bidi w:val="0"/>
        <w:rPr>
          <w:rFonts w:hint="default" w:ascii="Times New Roman" w:hAnsi="Times New Roman" w:cs="Times New Roman"/>
        </w:rPr>
      </w:pPr>
      <w:bookmarkStart w:id="52" w:name="_Toc20304"/>
      <w:r>
        <w:rPr>
          <w:rFonts w:hint="default" w:ascii="Times New Roman" w:hAnsi="Times New Roman" w:cs="Times New Roman"/>
        </w:rPr>
        <w:t>6.1  基准线情景</w:t>
      </w:r>
      <w:bookmarkEnd w:id="52"/>
    </w:p>
    <w:p w14:paraId="2691F363">
      <w:pPr>
        <w:pStyle w:val="3"/>
        <w:bidi w:val="0"/>
        <w:rPr>
          <w:rFonts w:hint="default" w:ascii="Times New Roman" w:hAnsi="Times New Roman" w:cs="Times New Roman"/>
          <w:lang w:val="en-US" w:eastAsia="zh-CN"/>
        </w:rPr>
      </w:pPr>
      <w:r>
        <w:rPr>
          <w:rFonts w:hint="default" w:ascii="Times New Roman" w:hAnsi="Times New Roman" w:cs="Times New Roman"/>
        </w:rPr>
        <w:t>本文件规定的基准线情景为</w:t>
      </w:r>
      <w:r>
        <w:rPr>
          <w:rFonts w:hint="default" w:ascii="Times New Roman" w:hAnsi="Times New Roman" w:cs="Times New Roman"/>
          <w:lang w:val="en-US" w:eastAsia="zh-CN"/>
        </w:rPr>
        <w:t>焚烧和卫生填埋两种垃圾处理方式产生的排放量。</w:t>
      </w:r>
    </w:p>
    <w:p w14:paraId="652C9B44">
      <w:pPr>
        <w:pStyle w:val="4"/>
        <w:bidi w:val="0"/>
        <w:rPr>
          <w:rFonts w:hint="default" w:ascii="Times New Roman" w:hAnsi="Times New Roman" w:cs="Times New Roman"/>
        </w:rPr>
      </w:pPr>
      <w:bookmarkStart w:id="53" w:name="_Toc28746"/>
      <w:r>
        <w:rPr>
          <w:rFonts w:hint="default" w:ascii="Times New Roman" w:hAnsi="Times New Roman" w:cs="Times New Roman"/>
        </w:rPr>
        <w:t>6.2  基准线碳排放计算</w:t>
      </w:r>
      <w:bookmarkEnd w:id="53"/>
    </w:p>
    <w:p w14:paraId="58ECD6A5">
      <w:pPr>
        <w:pStyle w:val="3"/>
        <w:bidi w:val="0"/>
        <w:rPr>
          <w:rFonts w:hint="default" w:ascii="Times New Roman" w:hAnsi="Times New Roman" w:cs="Times New Roman"/>
        </w:rPr>
      </w:pPr>
      <w:r>
        <w:rPr>
          <w:rFonts w:hint="default" w:ascii="Times New Roman" w:hAnsi="Times New Roman" w:cs="Times New Roman"/>
          <w:lang w:val="en-US" w:eastAsia="zh-CN"/>
        </w:rPr>
        <w:t>垃圾分类政策实施前生活垃圾处理处置选择垃圾焚烧与卫生填埋两种处置方式所产生的碳排放量。</w:t>
      </w:r>
    </w:p>
    <w:p w14:paraId="236D1FD0">
      <w:pPr>
        <w:pStyle w:val="3"/>
        <w:bidi w:val="0"/>
        <w:rPr>
          <w:rFonts w:hint="default" w:ascii="Times New Roman" w:hAnsi="Times New Roman" w:cs="Times New Roman"/>
        </w:rPr>
      </w:pPr>
      <w:r>
        <w:rPr>
          <w:rFonts w:hint="default" w:ascii="Times New Roman" w:hAnsi="Times New Roman" w:cs="Times New Roman"/>
        </w:rPr>
        <w:t>基准线碳排放量（</w:t>
      </w:r>
      <m:oMath>
        <m:sSub>
          <m:sSubPr>
            <m:ctrlPr>
              <w:rPr>
                <w:rFonts w:hint="default" w:ascii="Cambria Math" w:hAnsi="Cambria Math" w:cs="Cambria Math"/>
                <w:i w:val="0"/>
                <w:iCs/>
              </w:rPr>
            </m:ctrlPr>
          </m:sSubPr>
          <m:e>
            <m:r>
              <m:rPr>
                <m:sty m:val="p"/>
              </m:rPr>
              <w:rPr>
                <w:rFonts w:hint="default" w:eastAsia="宋体" w:cs="Cambria Math"/>
                <w:lang w:val="en-US" w:eastAsia="zh-CN"/>
              </w:rPr>
              <m:t>BE</m:t>
            </m:r>
            <m:ctrlPr>
              <w:rPr>
                <w:rFonts w:hint="default" w:ascii="Cambria Math" w:hAnsi="Cambria Math" w:cs="Cambria Math"/>
                <w:i w:val="0"/>
                <w:iCs/>
              </w:rPr>
            </m:ctrlPr>
          </m:e>
          <m:sub>
            <m:r>
              <m:rPr>
                <m:sty m:val="p"/>
              </m:rPr>
              <w:rPr>
                <w:rFonts w:hint="eastAsia" w:eastAsia="宋体" w:cs="Cambria Math"/>
                <w:lang w:val="en-US" w:eastAsia="zh-CN"/>
              </w:rPr>
              <m:t>y</m:t>
            </m:r>
            <m:ctrlPr>
              <w:rPr>
                <w:rFonts w:hint="default" w:ascii="Cambria Math" w:hAnsi="Cambria Math" w:cs="Cambria Math"/>
                <w:i w:val="0"/>
                <w:iCs/>
              </w:rPr>
            </m:ctrlPr>
          </m:sub>
        </m:sSub>
      </m:oMath>
      <w:r>
        <w:rPr>
          <w:rFonts w:hint="default" w:ascii="Times New Roman" w:hAnsi="Times New Roman" w:cs="Times New Roman"/>
        </w:rPr>
        <w:t>）的计算见公式（1）。</w:t>
      </w:r>
    </w:p>
    <w:p w14:paraId="17E6F584">
      <w:pPr>
        <w:pStyle w:val="22"/>
        <w:keepNext w:val="0"/>
        <w:keepLines w:val="0"/>
        <w:pageBreakBefore w:val="0"/>
        <w:widowControl/>
        <w:kinsoku/>
        <w:wordWrap/>
        <w:overflowPunct/>
        <w:topLinePunct w:val="0"/>
        <w:autoSpaceDE/>
        <w:autoSpaceDN/>
        <w:bidi w:val="0"/>
        <w:adjustRightInd/>
        <w:snapToGrid/>
        <w:spacing w:line="226" w:lineRule="auto"/>
        <w:textAlignment w:val="auto"/>
        <w:rPr>
          <w:rFonts w:hint="default" w:ascii="Times New Roman" w:hAnsi="Times New Roman" w:cs="Times New Roman"/>
        </w:rPr>
      </w:pPr>
      <m:oMath>
        <m:sSub>
          <m:sSubPr>
            <m:ctrlPr>
              <w:rPr>
                <w:rFonts w:hint="default" w:ascii="Cambria Math" w:hAnsi="Cambria Math" w:cs="Cambria Math"/>
                <w:i w:val="0"/>
                <w:iCs/>
              </w:rPr>
            </m:ctrlPr>
          </m:sSubPr>
          <m:e>
            <m:r>
              <m:rPr>
                <m:sty m:val="p"/>
              </m:rPr>
              <w:rPr>
                <w:rFonts w:hint="default" w:eastAsia="宋体" w:cs="Cambria Math"/>
                <w:lang w:val="en-US" w:eastAsia="zh-CN"/>
              </w:rPr>
              <m:t>BE</m:t>
            </m:r>
            <m:ctrlPr>
              <w:rPr>
                <w:rFonts w:hint="default" w:ascii="Cambria Math" w:hAnsi="Cambria Math" w:cs="Cambria Math"/>
                <w:i w:val="0"/>
                <w:iCs/>
              </w:rPr>
            </m:ctrlPr>
          </m:e>
          <m:sub>
            <m:r>
              <m:rPr>
                <m:sty m:val="p"/>
              </m:rPr>
              <w:rPr>
                <w:rFonts w:hint="eastAsia" w:eastAsia="宋体" w:cs="Cambria Math"/>
                <w:lang w:val="en-US" w:eastAsia="zh-CN"/>
              </w:rPr>
              <m:t>y</m:t>
            </m:r>
            <m:ctrlPr>
              <w:rPr>
                <w:rFonts w:hint="default" w:ascii="Cambria Math" w:hAnsi="Cambria Math" w:cs="Cambria Math"/>
                <w:i w:val="0"/>
                <w:iCs/>
              </w:rPr>
            </m:ctrlPr>
          </m:sub>
        </m:sSub>
        <m:r>
          <m:rPr>
            <m:sty m:val="p"/>
          </m:rPr>
          <w:rPr>
            <w:rFonts w:hint="default" w:ascii="Cambria Math" w:hAnsi="Cambria Math" w:cs="Cambria Math"/>
            <w:lang w:val="en-US" w:eastAsia="zh-CN"/>
          </w:rPr>
          <m:t>=</m:t>
        </m:r>
        <m:sSub>
          <m:sSubPr>
            <m:ctrlPr>
              <w:rPr>
                <w:rFonts w:hint="default" w:ascii="Cambria Math" w:hAnsi="Cambria Math" w:cs="Cambria Math"/>
                <w:i w:val="0"/>
                <w:iCs/>
                <w:lang w:val="en-US" w:eastAsia="zh-CN"/>
              </w:rPr>
            </m:ctrlPr>
          </m:sSubPr>
          <m:e>
            <m:r>
              <m:rPr>
                <m:sty m:val="p"/>
              </m:rPr>
              <w:rPr>
                <w:rFonts w:hint="default" w:ascii="Cambria Math" w:hAnsi="Cambria Math" w:cs="Cambria Math"/>
                <w:lang w:val="en-US" w:eastAsia="zh-CN"/>
              </w:rPr>
              <m:t>E</m:t>
            </m:r>
            <m:ctrlPr>
              <w:rPr>
                <w:rFonts w:hint="default" w:ascii="Cambria Math" w:hAnsi="Cambria Math" w:cs="Cambria Math"/>
                <w:i w:val="0"/>
                <w:iCs/>
                <w:lang w:val="en-US" w:eastAsia="zh-CN"/>
              </w:rPr>
            </m:ctrlPr>
          </m:e>
          <m:sub>
            <m:r>
              <m:rPr>
                <m:sty m:val="p"/>
              </m:rPr>
              <w:rPr>
                <w:rFonts w:hint="default" w:ascii="Cambria Math" w:hAnsi="Cambria Math" w:cs="Cambria Math"/>
                <w:lang w:val="en-US" w:eastAsia="zh-CN"/>
              </w:rPr>
              <m:t>INC,y</m:t>
            </m:r>
            <m:ctrlPr>
              <w:rPr>
                <w:rFonts w:hint="default" w:ascii="Cambria Math" w:hAnsi="Cambria Math" w:cs="Cambria Math"/>
                <w:i w:val="0"/>
                <w:iCs/>
                <w:lang w:val="en-US" w:eastAsia="zh-CN"/>
              </w:rPr>
            </m:ctrlPr>
          </m:sub>
        </m:sSub>
        <m:r>
          <m:rPr>
            <m:sty m:val="p"/>
          </m:rPr>
          <w:rPr>
            <w:rFonts w:hint="default" w:ascii="Cambria Math" w:hAnsi="Cambria Math" w:cs="Cambria Math"/>
            <w:lang w:val="en-US" w:eastAsia="zh-CN"/>
          </w:rPr>
          <m:t>+</m:t>
        </m:r>
        <m:sSub>
          <m:sSubPr>
            <m:ctrlPr>
              <w:rPr>
                <w:rFonts w:hint="default" w:ascii="Cambria Math" w:hAnsi="Cambria Math" w:cs="Cambria Math"/>
                <w:i w:val="0"/>
                <w:iCs/>
                <w:lang w:val="en-US" w:eastAsia="zh-CN"/>
              </w:rPr>
            </m:ctrlPr>
          </m:sSubPr>
          <m:e>
            <m:r>
              <m:rPr>
                <m:sty m:val="p"/>
              </m:rPr>
              <w:rPr>
                <w:rFonts w:hint="default" w:ascii="Cambria Math" w:hAnsi="Cambria Math" w:cs="Cambria Math"/>
                <w:lang w:val="en-US" w:eastAsia="zh-CN"/>
              </w:rPr>
              <m:t>E</m:t>
            </m:r>
            <m:ctrlPr>
              <w:rPr>
                <w:rFonts w:hint="default" w:ascii="Cambria Math" w:hAnsi="Cambria Math" w:cs="Cambria Math"/>
                <w:i w:val="0"/>
                <w:iCs/>
                <w:lang w:val="en-US" w:eastAsia="zh-CN"/>
              </w:rPr>
            </m:ctrlPr>
          </m:e>
          <m:sub>
            <m:r>
              <m:rPr>
                <m:sty m:val="p"/>
              </m:rPr>
              <w:rPr>
                <w:rFonts w:hint="default" w:ascii="Cambria Math" w:hAnsi="Cambria Math" w:cs="Cambria Math"/>
                <w:lang w:val="en-US" w:eastAsia="zh-CN"/>
              </w:rPr>
              <m:t>LF,y</m:t>
            </m:r>
            <m:ctrlPr>
              <w:rPr>
                <w:rFonts w:hint="default" w:ascii="Cambria Math" w:hAnsi="Cambria Math" w:cs="Cambria Math"/>
                <w:i w:val="0"/>
                <w:iCs/>
                <w:lang w:val="en-US" w:eastAsia="zh-CN"/>
              </w:rPr>
            </m:ctrlPr>
          </m:sub>
        </m:sSub>
      </m:oMath>
      <w:r>
        <w:rPr>
          <w:rFonts w:hint="default" w:ascii="Times New Roman" w:hAnsi="Times New Roman" w:cs="Times New Roman"/>
          <w:lang w:val="en-US" w:eastAsia="zh-CN"/>
        </w:rPr>
        <w:tab/>
      </w:r>
      <w:r>
        <w:rPr>
          <w:rFonts w:hint="default" w:ascii="Times New Roman" w:hAnsi="Times New Roman" w:cs="Times New Roman"/>
        </w:rPr>
        <w:t>（1）</w:t>
      </w:r>
    </w:p>
    <w:p w14:paraId="5FA67112">
      <w:pPr>
        <w:pStyle w:val="3"/>
        <w:bidi w:val="0"/>
        <w:rPr>
          <w:rFonts w:hint="default" w:ascii="Times New Roman" w:hAnsi="Times New Roman" w:cs="Times New Roman"/>
        </w:rPr>
      </w:pPr>
      <w:r>
        <w:rPr>
          <w:rFonts w:hint="default" w:ascii="Times New Roman" w:hAnsi="Times New Roman" w:cs="Times New Roman"/>
        </w:rPr>
        <w:t>式中：</w:t>
      </w:r>
    </w:p>
    <w:p w14:paraId="5E3E9F46">
      <w:pPr>
        <w:pStyle w:val="3"/>
        <w:bidi w:val="0"/>
        <w:rPr>
          <w:rFonts w:hint="default" w:ascii="Times New Roman" w:hAnsi="Times New Roman" w:cs="Times New Roman"/>
        </w:rPr>
      </w:pPr>
      <m:oMath>
        <m:sSub>
          <m:sSubPr>
            <m:ctrlPr>
              <w:rPr>
                <w:rFonts w:hint="default" w:ascii="Cambria Math" w:hAnsi="Cambria Math" w:cs="Cambria Math"/>
                <w:i w:val="0"/>
                <w:iCs/>
              </w:rPr>
            </m:ctrlPr>
          </m:sSubPr>
          <m:e>
            <m:r>
              <m:rPr>
                <m:sty m:val="p"/>
              </m:rPr>
              <w:rPr>
                <w:rFonts w:hint="default" w:eastAsia="宋体" w:cs="Cambria Math"/>
                <w:lang w:val="en-US" w:eastAsia="zh-CN"/>
              </w:rPr>
              <m:t>BE</m:t>
            </m:r>
            <m:ctrlPr>
              <w:rPr>
                <w:rFonts w:hint="default" w:ascii="Cambria Math" w:hAnsi="Cambria Math" w:cs="Cambria Math"/>
                <w:i w:val="0"/>
                <w:iCs/>
              </w:rPr>
            </m:ctrlPr>
          </m:e>
          <m:sub>
            <m:r>
              <m:rPr>
                <m:sty m:val="p"/>
              </m:rPr>
              <w:rPr>
                <w:rFonts w:hint="eastAsia" w:eastAsia="宋体" w:cs="Cambria Math"/>
                <w:lang w:val="en-US" w:eastAsia="zh-CN"/>
              </w:rPr>
              <m:t>y</m:t>
            </m:r>
            <m:ctrlPr>
              <w:rPr>
                <w:rFonts w:hint="default" w:ascii="Cambria Math" w:hAnsi="Cambria Math" w:cs="Cambria Math"/>
                <w:i w:val="0"/>
                <w:iCs/>
              </w:rPr>
            </m:ctrlPr>
          </m:sub>
        </m:sSub>
      </m:oMath>
      <w:r>
        <w:rPr>
          <w:rFonts w:hint="default" w:ascii="Times New Roman" w:hAnsi="Times New Roman" w:cs="Times New Roman"/>
        </w:rPr>
        <w:t>——第y年基准线碳排放量，单位为吨二氧化碳（tCO₂）；</w:t>
      </w:r>
    </w:p>
    <w:p w14:paraId="2E8A88A6">
      <w:pPr>
        <w:pStyle w:val="3"/>
        <w:bidi w:val="0"/>
        <w:rPr>
          <w:rFonts w:hint="default" w:ascii="Times New Roman" w:hAnsi="Times New Roman" w:cs="Times New Roman"/>
          <w:lang w:val="en-US" w:eastAsia="zh-CN"/>
        </w:rPr>
      </w:pPr>
      <m:oMath>
        <m:sSub>
          <m:sSubPr>
            <m:ctrlPr>
              <w:rPr>
                <w:rFonts w:hint="default" w:ascii="Cambria Math" w:hAnsi="Cambria Math" w:cs="Cambria Math"/>
                <w:i w:val="0"/>
                <w:iCs/>
                <w:lang w:val="en-US" w:eastAsia="zh-CN"/>
              </w:rPr>
            </m:ctrlPr>
          </m:sSubPr>
          <m:e>
            <m:r>
              <m:rPr>
                <m:sty m:val="p"/>
              </m:rPr>
              <w:rPr>
                <w:rFonts w:hint="default" w:ascii="Cambria Math" w:hAnsi="Cambria Math" w:cs="Cambria Math"/>
                <w:lang w:val="en-US" w:eastAsia="zh-CN"/>
              </w:rPr>
              <m:t>E</m:t>
            </m:r>
            <m:ctrlPr>
              <w:rPr>
                <w:rFonts w:hint="default" w:ascii="Cambria Math" w:hAnsi="Cambria Math" w:cs="Cambria Math"/>
                <w:i w:val="0"/>
                <w:iCs/>
                <w:lang w:val="en-US" w:eastAsia="zh-CN"/>
              </w:rPr>
            </m:ctrlPr>
          </m:e>
          <m:sub>
            <m:r>
              <m:rPr>
                <m:sty m:val="p"/>
              </m:rPr>
              <w:rPr>
                <w:rFonts w:hint="default" w:ascii="Cambria Math" w:hAnsi="Cambria Math" w:cs="Cambria Math"/>
                <w:lang w:val="en-US" w:eastAsia="zh-CN"/>
              </w:rPr>
              <m:t>INC,y</m:t>
            </m:r>
            <m:ctrlPr>
              <w:rPr>
                <w:rFonts w:hint="default" w:ascii="Cambria Math" w:hAnsi="Cambria Math" w:cs="Cambria Math"/>
                <w:i w:val="0"/>
                <w:iCs/>
                <w:lang w:val="en-US" w:eastAsia="zh-CN"/>
              </w:rPr>
            </m:ctrlPr>
          </m:sub>
        </m:sSub>
      </m:oMath>
      <w:r>
        <w:rPr>
          <w:rFonts w:hint="default" w:ascii="Times New Roman" w:hAnsi="Times New Roman" w:cs="Times New Roman"/>
        </w:rPr>
        <w:t>——</w:t>
      </w:r>
      <w:r>
        <w:rPr>
          <w:rFonts w:hint="default" w:ascii="Times New Roman" w:hAnsi="Times New Roman" w:cs="Times New Roman"/>
          <w:lang w:val="en-US" w:eastAsia="zh-CN"/>
        </w:rPr>
        <w:t>指第y年生活垃圾焚烧处理产生的碳排放量，单位为吨二氧化碳每年（t</w:t>
      </w:r>
      <w:r>
        <w:rPr>
          <w:rFonts w:hint="default" w:ascii="Times New Roman" w:hAnsi="Times New Roman" w:cs="Times New Roman"/>
        </w:rPr>
        <w:t>CO₂</w:t>
      </w:r>
      <w:r>
        <w:rPr>
          <w:rFonts w:hint="default" w:ascii="Times New Roman" w:hAnsi="Times New Roman" w:cs="Times New Roman"/>
          <w:lang w:val="en-US" w:eastAsia="zh-CN"/>
        </w:rPr>
        <w:t>/a）；</w:t>
      </w:r>
    </w:p>
    <w:p w14:paraId="39206105">
      <w:pPr>
        <w:pStyle w:val="3"/>
        <w:bidi w:val="0"/>
        <w:rPr>
          <w:rFonts w:hint="default" w:ascii="Times New Roman" w:hAnsi="Times New Roman" w:cs="Times New Roman"/>
          <w:lang w:val="en-US" w:eastAsia="zh-CN"/>
        </w:rPr>
      </w:pPr>
      <m:oMath>
        <m:sSub>
          <m:sSubPr>
            <m:ctrlPr>
              <w:rPr>
                <w:rFonts w:hint="default" w:ascii="Cambria Math" w:hAnsi="Cambria Math" w:cs="Cambria Math"/>
                <w:i w:val="0"/>
                <w:iCs/>
                <w:lang w:val="en-US" w:eastAsia="zh-CN"/>
              </w:rPr>
            </m:ctrlPr>
          </m:sSubPr>
          <m:e>
            <m:r>
              <m:rPr>
                <m:sty m:val="p"/>
              </m:rPr>
              <w:rPr>
                <w:rFonts w:hint="default" w:ascii="Cambria Math" w:hAnsi="Cambria Math" w:cs="Cambria Math"/>
                <w:lang w:val="en-US" w:eastAsia="zh-CN"/>
              </w:rPr>
              <m:t>E</m:t>
            </m:r>
            <m:ctrlPr>
              <w:rPr>
                <w:rFonts w:hint="default" w:ascii="Cambria Math" w:hAnsi="Cambria Math" w:cs="Cambria Math"/>
                <w:i w:val="0"/>
                <w:iCs/>
                <w:lang w:val="en-US" w:eastAsia="zh-CN"/>
              </w:rPr>
            </m:ctrlPr>
          </m:e>
          <m:sub>
            <m:r>
              <m:rPr>
                <m:sty m:val="p"/>
              </m:rPr>
              <w:rPr>
                <w:rFonts w:hint="default" w:ascii="Cambria Math" w:hAnsi="Cambria Math" w:cs="Cambria Math"/>
                <w:lang w:val="en-US" w:eastAsia="zh-CN"/>
              </w:rPr>
              <m:t>LF,y</m:t>
            </m:r>
            <m:ctrlPr>
              <w:rPr>
                <w:rFonts w:hint="default" w:ascii="Cambria Math" w:hAnsi="Cambria Math" w:cs="Cambria Math"/>
                <w:i w:val="0"/>
                <w:iCs/>
                <w:lang w:val="en-US" w:eastAsia="zh-CN"/>
              </w:rPr>
            </m:ctrlPr>
          </m:sub>
        </m:sSub>
      </m:oMath>
      <w:r>
        <w:rPr>
          <w:rFonts w:hint="default" w:ascii="Times New Roman" w:hAnsi="Times New Roman" w:cs="Times New Roman"/>
        </w:rPr>
        <w:t>——</w:t>
      </w:r>
      <w:r>
        <w:rPr>
          <w:rFonts w:hint="default" w:ascii="Times New Roman" w:hAnsi="Times New Roman" w:cs="Times New Roman"/>
          <w:lang w:val="en-US" w:eastAsia="zh-CN"/>
        </w:rPr>
        <w:t>指第y年生活垃圾填埋处理产生的碳排放量（t</w:t>
      </w:r>
      <w:r>
        <w:rPr>
          <w:rFonts w:hint="default" w:ascii="Times New Roman" w:hAnsi="Times New Roman" w:cs="Times New Roman"/>
        </w:rPr>
        <w:t>CO₂</w:t>
      </w:r>
      <w:r>
        <w:rPr>
          <w:rFonts w:hint="default" w:ascii="Times New Roman" w:hAnsi="Times New Roman" w:cs="Times New Roman"/>
          <w:lang w:val="en-US" w:eastAsia="zh-CN"/>
        </w:rPr>
        <w:t>/a）；</w:t>
      </w:r>
    </w:p>
    <w:p w14:paraId="6CCBCFAE">
      <w:pPr>
        <w:pStyle w:val="3"/>
        <w:bidi w:val="0"/>
        <w:rPr>
          <w:rFonts w:hint="default" w:ascii="Times New Roman" w:hAnsi="Times New Roman" w:cs="Times New Roman"/>
        </w:rPr>
      </w:pPr>
      <m:oMath>
        <m:sSub>
          <m:sSubPr>
            <m:ctrlPr>
              <w:rPr>
                <w:rFonts w:hint="default" w:ascii="Cambria Math" w:hAnsi="Cambria Math" w:cs="Cambria Math"/>
                <w:i w:val="0"/>
                <w:iCs/>
                <w:lang w:val="en-US" w:eastAsia="zh-CN"/>
              </w:rPr>
            </m:ctrlPr>
          </m:sSubPr>
          <m:e>
            <m:r>
              <m:rPr>
                <m:sty m:val="p"/>
              </m:rPr>
              <w:rPr>
                <w:rFonts w:hint="default" w:ascii="Cambria Math" w:hAnsi="Cambria Math" w:cs="Cambria Math"/>
                <w:lang w:val="en-US" w:eastAsia="zh-CN"/>
              </w:rPr>
              <m:t>E</m:t>
            </m:r>
            <m:ctrlPr>
              <w:rPr>
                <w:rFonts w:hint="default" w:ascii="Cambria Math" w:hAnsi="Cambria Math" w:cs="Cambria Math"/>
                <w:i w:val="0"/>
                <w:iCs/>
                <w:lang w:val="en-US" w:eastAsia="zh-CN"/>
              </w:rPr>
            </m:ctrlPr>
          </m:e>
          <m:sub>
            <m:r>
              <m:rPr>
                <m:sty m:val="p"/>
              </m:rPr>
              <w:rPr>
                <w:rFonts w:hint="default" w:ascii="Cambria Math" w:hAnsi="Cambria Math" w:cs="Cambria Math"/>
                <w:lang w:val="en-US" w:eastAsia="zh-CN"/>
              </w:rPr>
              <m:t>INC,y</m:t>
            </m:r>
            <m:ctrlPr>
              <w:rPr>
                <w:rFonts w:hint="default" w:ascii="Cambria Math" w:hAnsi="Cambria Math" w:cs="Cambria Math"/>
                <w:i w:val="0"/>
                <w:iCs/>
                <w:lang w:val="en-US" w:eastAsia="zh-CN"/>
              </w:rPr>
            </m:ctrlPr>
          </m:sub>
        </m:sSub>
      </m:oMath>
      <w:r>
        <w:rPr>
          <w:rFonts w:hint="default" w:ascii="Times New Roman" w:hAnsi="Times New Roman" w:cs="Times New Roman"/>
          <w:lang w:val="en-US" w:eastAsia="zh-CN"/>
        </w:rPr>
        <w:t>、</w:t>
      </w:r>
      <m:oMath>
        <m:sSub>
          <m:sSubPr>
            <m:ctrlPr>
              <w:rPr>
                <w:rFonts w:hint="default" w:ascii="Cambria Math" w:hAnsi="Cambria Math" w:cs="Cambria Math"/>
                <w:i w:val="0"/>
                <w:iCs/>
                <w:lang w:val="en-US" w:eastAsia="zh-CN"/>
              </w:rPr>
            </m:ctrlPr>
          </m:sSubPr>
          <m:e>
            <m:r>
              <m:rPr>
                <m:sty m:val="p"/>
              </m:rPr>
              <w:rPr>
                <w:rFonts w:hint="default" w:ascii="Cambria Math" w:hAnsi="Cambria Math" w:cs="Cambria Math"/>
                <w:lang w:val="en-US" w:eastAsia="zh-CN"/>
              </w:rPr>
              <m:t>E</m:t>
            </m:r>
            <m:ctrlPr>
              <w:rPr>
                <w:rFonts w:hint="default" w:ascii="Cambria Math" w:hAnsi="Cambria Math" w:cs="Cambria Math"/>
                <w:i w:val="0"/>
                <w:iCs/>
                <w:lang w:val="en-US" w:eastAsia="zh-CN"/>
              </w:rPr>
            </m:ctrlPr>
          </m:e>
          <m:sub>
            <m:r>
              <m:rPr>
                <m:sty m:val="p"/>
              </m:rPr>
              <w:rPr>
                <w:rFonts w:hint="default" w:ascii="Cambria Math" w:hAnsi="Cambria Math" w:cs="Cambria Math"/>
                <w:lang w:val="en-US" w:eastAsia="zh-CN"/>
              </w:rPr>
              <m:t>LF,y</m:t>
            </m:r>
            <m:ctrlPr>
              <w:rPr>
                <w:rFonts w:hint="default" w:ascii="Cambria Math" w:hAnsi="Cambria Math" w:cs="Cambria Math"/>
                <w:i w:val="0"/>
                <w:iCs/>
                <w:lang w:val="en-US" w:eastAsia="zh-CN"/>
              </w:rPr>
            </m:ctrlPr>
          </m:sub>
        </m:sSub>
      </m:oMath>
      <w:r>
        <w:rPr>
          <w:rFonts w:hint="default" w:ascii="Times New Roman" w:hAnsi="Times New Roman" w:cs="Times New Roman"/>
        </w:rPr>
        <w:t>应按照附录A.1规定的方法计算。</w:t>
      </w:r>
    </w:p>
    <w:p w14:paraId="53742AFC">
      <w:pPr>
        <w:pStyle w:val="4"/>
        <w:bidi w:val="0"/>
        <w:rPr>
          <w:rFonts w:hint="default" w:ascii="Times New Roman" w:hAnsi="Times New Roman" w:cs="Times New Roman"/>
        </w:rPr>
      </w:pPr>
      <w:bookmarkStart w:id="54" w:name="_Toc25016"/>
      <w:r>
        <w:rPr>
          <w:rFonts w:hint="default" w:ascii="Times New Roman" w:hAnsi="Times New Roman" w:cs="Times New Roman"/>
        </w:rPr>
        <w:t>6.</w:t>
      </w:r>
      <w:r>
        <w:rPr>
          <w:rFonts w:hint="default" w:ascii="Times New Roman" w:hAnsi="Times New Roman" w:cs="Times New Roman"/>
          <w:lang w:val="en-US" w:eastAsia="zh-CN"/>
        </w:rPr>
        <w:t>3</w:t>
      </w:r>
      <w:r>
        <w:rPr>
          <w:rFonts w:hint="default" w:ascii="Times New Roman" w:hAnsi="Times New Roman" w:cs="Times New Roman"/>
        </w:rPr>
        <w:t xml:space="preserve">  项目</w:t>
      </w:r>
      <w:r>
        <w:rPr>
          <w:rFonts w:hint="default" w:ascii="Times New Roman" w:hAnsi="Times New Roman" w:cs="Times New Roman"/>
          <w:lang w:val="en-US" w:eastAsia="zh-CN"/>
        </w:rPr>
        <w:t>情景</w:t>
      </w:r>
      <w:bookmarkEnd w:id="54"/>
    </w:p>
    <w:p w14:paraId="53E5D940">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项目情景设定为垃圾分类政策实施后，分类后的垃圾作进一步处理：厨余垃圾进行厌氧处理、可回收物进行回收处理、其他垃圾进行焚烧与填埋处理、有害垃圾进行安全处置。</w:t>
      </w:r>
    </w:p>
    <w:p w14:paraId="2F46BC57">
      <w:pPr>
        <w:pStyle w:val="4"/>
        <w:bidi w:val="0"/>
        <w:rPr>
          <w:rFonts w:hint="default" w:ascii="Times New Roman" w:hAnsi="Times New Roman" w:cs="Times New Roman"/>
        </w:rPr>
      </w:pPr>
      <w:bookmarkStart w:id="55" w:name="_Toc16781"/>
      <w:r>
        <w:rPr>
          <w:rFonts w:hint="default" w:ascii="Times New Roman" w:hAnsi="Times New Roman" w:cs="Times New Roman"/>
        </w:rPr>
        <w:t>6.</w:t>
      </w:r>
      <w:r>
        <w:rPr>
          <w:rFonts w:hint="default" w:ascii="Times New Roman" w:hAnsi="Times New Roman" w:cs="Times New Roman"/>
          <w:lang w:val="en-US" w:eastAsia="zh-CN"/>
        </w:rPr>
        <w:t>4</w:t>
      </w:r>
      <w:r>
        <w:rPr>
          <w:rFonts w:hint="default" w:ascii="Times New Roman" w:hAnsi="Times New Roman" w:cs="Times New Roman"/>
        </w:rPr>
        <w:t xml:space="preserve">  项目碳排放计算</w:t>
      </w:r>
      <w:bookmarkEnd w:id="55"/>
    </w:p>
    <w:p w14:paraId="5EE107C6">
      <w:pPr>
        <w:pStyle w:val="3"/>
        <w:bidi w:val="0"/>
        <w:rPr>
          <w:rFonts w:hint="default" w:ascii="Times New Roman" w:hAnsi="Times New Roman" w:cs="Times New Roman"/>
        </w:rPr>
      </w:pPr>
      <w:r>
        <w:rPr>
          <w:rFonts w:hint="default" w:ascii="Times New Roman" w:hAnsi="Times New Roman" w:cs="Times New Roman"/>
        </w:rPr>
        <w:t>项目碳排放量（</w:t>
      </w:r>
      <m:oMath>
        <m:sSub>
          <m:sSubPr>
            <m:ctrlPr>
              <w:rPr>
                <w:rFonts w:ascii="Cambria Math" w:hAnsi="Cambria Math" w:cs="Cambria Math"/>
                <w:i w:val="0"/>
                <w:iCs w:val="0"/>
                <w:lang w:val="en-US"/>
              </w:rPr>
            </m:ctrlPr>
          </m:sSubPr>
          <m:e>
            <m:r>
              <m:rPr>
                <m:sty m:val="p"/>
              </m:rPr>
              <w:rPr>
                <w:rFonts w:hint="default" w:eastAsia="宋体" w:cs="Cambria Math"/>
                <w:lang w:val="en-US" w:eastAsia="zh-CN"/>
              </w:rPr>
              <m:t>PE</m:t>
            </m:r>
            <m:ctrlPr>
              <w:rPr>
                <w:rFonts w:ascii="Cambria Math" w:hAnsi="Cambria Math" w:cs="Cambria Math"/>
                <w:i w:val="0"/>
                <w:iCs w:val="0"/>
                <w:lang w:val="en-US"/>
              </w:rPr>
            </m:ctrlPr>
          </m:e>
          <m:sub>
            <m:r>
              <m:rPr>
                <m:sty m:val="p"/>
              </m:rPr>
              <w:rPr>
                <w:rFonts w:hint="default" w:eastAsia="宋体" w:cs="Cambria Math"/>
                <w:lang w:val="en-US" w:eastAsia="zh-CN"/>
              </w:rPr>
              <m:t>y</m:t>
            </m:r>
            <m:ctrlPr>
              <w:rPr>
                <w:rFonts w:ascii="Cambria Math" w:hAnsi="Cambria Math" w:cs="Cambria Math"/>
                <w:i w:val="0"/>
                <w:iCs w:val="0"/>
                <w:lang w:val="en-US"/>
              </w:rPr>
            </m:ctrlPr>
          </m:sub>
        </m:sSub>
      </m:oMath>
      <w:r>
        <w:rPr>
          <w:rFonts w:hint="default" w:ascii="Times New Roman" w:hAnsi="Times New Roman" w:cs="Times New Roman"/>
        </w:rPr>
        <w:t>）的计算见公式（2）。</w:t>
      </w:r>
    </w:p>
    <w:p w14:paraId="4A43A832">
      <w:pPr>
        <w:pStyle w:val="22"/>
        <w:bidi w:val="0"/>
        <w:rPr>
          <w:rFonts w:hint="default" w:ascii="Times New Roman" w:hAnsi="Times New Roman" w:cs="Times New Roman"/>
        </w:rPr>
      </w:pPr>
      <m:oMath>
        <m:sSub>
          <m:sSubPr>
            <m:ctrlPr>
              <w:rPr>
                <w:rFonts w:ascii="Cambria Math" w:hAnsi="Cambria Math" w:cs="Cambria Math"/>
                <w:i w:val="0"/>
                <w:iCs w:val="0"/>
                <w:lang w:val="en-US"/>
              </w:rPr>
            </m:ctrlPr>
          </m:sSubPr>
          <m:e>
            <m:r>
              <m:rPr>
                <m:sty m:val="p"/>
              </m:rPr>
              <w:rPr>
                <w:rFonts w:hint="default" w:eastAsia="宋体" w:cs="Cambria Math"/>
                <w:lang w:val="en-US" w:eastAsia="zh-CN"/>
              </w:rPr>
              <m:t>PE</m:t>
            </m:r>
            <m:ctrlPr>
              <w:rPr>
                <w:rFonts w:ascii="Cambria Math" w:hAnsi="Cambria Math" w:cs="Cambria Math"/>
                <w:i w:val="0"/>
                <w:iCs w:val="0"/>
                <w:lang w:val="en-US"/>
              </w:rPr>
            </m:ctrlPr>
          </m:e>
          <m:sub>
            <m:r>
              <m:rPr>
                <m:sty m:val="p"/>
              </m:rPr>
              <w:rPr>
                <w:rFonts w:hint="default" w:eastAsia="宋体" w:cs="Cambria Math"/>
                <w:lang w:val="en-US" w:eastAsia="zh-CN"/>
              </w:rPr>
              <m:t>y</m:t>
            </m:r>
            <m:ctrlPr>
              <w:rPr>
                <w:rFonts w:ascii="Cambria Math" w:hAnsi="Cambria Math" w:cs="Cambria Math"/>
                <w:i w:val="0"/>
                <w:iCs w:val="0"/>
                <w:lang w:val="en-US"/>
              </w:rPr>
            </m:ctrlPr>
          </m:sub>
        </m:sSub>
        <m:r>
          <m:rPr>
            <m:sty m:val="p"/>
          </m:rPr>
          <w:rPr>
            <w:rFonts w:ascii="Cambria Math" w:hAnsi="Cambria Math" w:cs="Cambria Math"/>
            <w:lang w:val="en-US"/>
          </w:rPr>
          <m:t>=</m:t>
        </m:r>
        <m:sSub>
          <m:sSubPr>
            <m:ctrlPr>
              <w:rPr>
                <w:rFonts w:hint="default" w:ascii="Cambria Math" w:hAnsi="Cambria Math" w:cs="Cambria Math"/>
                <w:i w:val="0"/>
                <w:iCs w:val="0"/>
                <w:lang w:val="en-US"/>
              </w:rPr>
            </m:ctrlPr>
          </m:sSubPr>
          <m:e>
            <m:r>
              <m:rPr>
                <m:sty m:val="p"/>
              </m:rPr>
              <w:rPr>
                <w:rFonts w:hint="default" w:ascii="Cambria Math" w:hAnsi="Cambria Math" w:cs="Cambria Math"/>
                <w:lang w:val="en-US" w:eastAsia="zh-CN"/>
              </w:rPr>
              <m:t>E</m:t>
            </m:r>
            <m:ctrlPr>
              <w:rPr>
                <w:rFonts w:hint="default" w:ascii="Cambria Math" w:hAnsi="Cambria Math" w:cs="Cambria Math"/>
                <w:i w:val="0"/>
                <w:iCs w:val="0"/>
                <w:lang w:val="en-US"/>
              </w:rPr>
            </m:ctrlPr>
          </m:e>
          <m:sub>
            <m:r>
              <m:rPr>
                <m:sty m:val="p"/>
              </m:rPr>
              <w:rPr>
                <w:rFonts w:hint="default" w:ascii="Cambria Math" w:hAnsi="Cambria Math" w:cs="Cambria Math"/>
                <w:lang w:val="en-US" w:eastAsia="zh-CN"/>
              </w:rPr>
              <m:t>AD,y</m:t>
            </m:r>
            <m:ctrlPr>
              <w:rPr>
                <w:rFonts w:hint="default" w:ascii="Cambria Math" w:hAnsi="Cambria Math" w:cs="Cambria Math"/>
                <w:i w:val="0"/>
                <w:iCs w:val="0"/>
                <w:lang w:val="en-US"/>
              </w:rPr>
            </m:ctrlPr>
          </m:sub>
        </m:sSub>
        <m:r>
          <m:rPr>
            <m:sty m:val="p"/>
          </m:rPr>
          <w:rPr>
            <w:rFonts w:hint="default" w:ascii="Cambria Math" w:hAnsi="Cambria Math" w:cs="Cambria Math"/>
            <w:lang w:val="en-US"/>
          </w:rPr>
          <m:t>+</m:t>
        </m:r>
        <m:sSub>
          <m:sSubPr>
            <m:ctrlPr>
              <w:rPr>
                <w:rFonts w:hint="default" w:ascii="Cambria Math" w:hAnsi="Cambria Math" w:cs="Cambria Math"/>
                <w:i w:val="0"/>
                <w:iCs w:val="0"/>
                <w:lang w:val="en-US"/>
              </w:rPr>
            </m:ctrlPr>
          </m:sSubPr>
          <m:e>
            <m:r>
              <m:rPr>
                <m:sty m:val="p"/>
              </m:rPr>
              <w:rPr>
                <w:rFonts w:hint="default" w:ascii="Cambria Math" w:hAnsi="Cambria Math" w:cs="Cambria Math"/>
                <w:lang w:val="en-US" w:eastAsia="zh-CN"/>
              </w:rPr>
              <m:t>E</m:t>
            </m:r>
            <m:ctrlPr>
              <w:rPr>
                <w:rFonts w:hint="default" w:ascii="Cambria Math" w:hAnsi="Cambria Math" w:cs="Cambria Math"/>
                <w:i w:val="0"/>
                <w:iCs w:val="0"/>
                <w:lang w:val="en-US"/>
              </w:rPr>
            </m:ctrlPr>
          </m:e>
          <m:sub>
            <m:r>
              <m:rPr>
                <m:sty m:val="p"/>
              </m:rPr>
              <w:rPr>
                <w:rFonts w:hint="default" w:ascii="Cambria Math" w:hAnsi="Cambria Math" w:cs="Cambria Math"/>
                <w:lang w:val="en-US" w:eastAsia="zh-CN"/>
              </w:rPr>
              <m:t>RE,y</m:t>
            </m:r>
            <m:ctrlPr>
              <w:rPr>
                <w:rFonts w:hint="default" w:ascii="Cambria Math" w:hAnsi="Cambria Math" w:cs="Cambria Math"/>
                <w:i w:val="0"/>
                <w:iCs w:val="0"/>
                <w:lang w:val="en-US"/>
              </w:rPr>
            </m:ctrlPr>
          </m:sub>
        </m:sSub>
        <m:r>
          <m:rPr>
            <m:sty m:val="p"/>
          </m:rPr>
          <w:rPr>
            <w:rFonts w:hint="default" w:ascii="Cambria Math" w:hAnsi="Cambria Math" w:cs="Cambria Math"/>
            <w:lang w:val="en-US" w:eastAsia="zh-CN"/>
          </w:rPr>
          <m:t>+</m:t>
        </m:r>
        <m:sSub>
          <m:sSubPr>
            <m:ctrlPr>
              <w:rPr>
                <w:rFonts w:hint="default" w:ascii="Cambria Math" w:hAnsi="Cambria Math" w:cs="Cambria Math"/>
                <w:i w:val="0"/>
                <w:iCs w:val="0"/>
                <w:lang w:val="en-US"/>
              </w:rPr>
            </m:ctrlPr>
          </m:sSubPr>
          <m:e>
            <m:r>
              <m:rPr>
                <m:sty m:val="p"/>
              </m:rPr>
              <w:rPr>
                <w:rFonts w:hint="default" w:ascii="Cambria Math" w:hAnsi="Cambria Math" w:cs="Cambria Math"/>
                <w:lang w:val="en-US" w:eastAsia="zh-CN"/>
              </w:rPr>
              <m:t>E</m:t>
            </m:r>
            <m:ctrlPr>
              <w:rPr>
                <w:rFonts w:hint="default" w:ascii="Cambria Math" w:hAnsi="Cambria Math" w:cs="Cambria Math"/>
                <w:i w:val="0"/>
                <w:iCs w:val="0"/>
                <w:lang w:val="en-US"/>
              </w:rPr>
            </m:ctrlPr>
          </m:e>
          <m:sub>
            <m:r>
              <m:rPr>
                <m:sty m:val="p"/>
              </m:rPr>
              <w:rPr>
                <w:rFonts w:hint="default" w:ascii="Cambria Math" w:hAnsi="Cambria Math" w:cs="Cambria Math"/>
                <w:lang w:val="en-US" w:eastAsia="zh-CN"/>
              </w:rPr>
              <m:t>other,y</m:t>
            </m:r>
            <m:ctrlPr>
              <w:rPr>
                <w:rFonts w:hint="default" w:ascii="Cambria Math" w:hAnsi="Cambria Math" w:cs="Cambria Math"/>
                <w:i w:val="0"/>
                <w:iCs w:val="0"/>
                <w:lang w:val="en-US"/>
              </w:rPr>
            </m:ctrlPr>
          </m:sub>
        </m:sSub>
        <m:r>
          <m:rPr>
            <m:sty m:val="p"/>
          </m:rPr>
          <w:rPr>
            <w:rFonts w:hint="default" w:ascii="Cambria Math" w:hAnsi="Cambria Math" w:cs="Cambria Math"/>
            <w:lang w:val="en-US" w:eastAsia="zh-CN"/>
          </w:rPr>
          <m:t>+</m:t>
        </m:r>
        <m:sSub>
          <m:sSubPr>
            <m:ctrlPr>
              <w:rPr>
                <w:rFonts w:hint="default" w:ascii="Cambria Math" w:hAnsi="Cambria Math" w:cs="Cambria Math"/>
                <w:i w:val="0"/>
                <w:iCs w:val="0"/>
                <w:lang w:val="en-US"/>
              </w:rPr>
            </m:ctrlPr>
          </m:sSubPr>
          <m:e>
            <m:r>
              <m:rPr>
                <m:sty m:val="p"/>
              </m:rPr>
              <w:rPr>
                <w:rFonts w:hint="default" w:ascii="Cambria Math" w:hAnsi="Cambria Math" w:cs="Cambria Math"/>
                <w:lang w:val="en-US" w:eastAsia="zh-CN"/>
              </w:rPr>
              <m:t>E</m:t>
            </m:r>
            <m:ctrlPr>
              <w:rPr>
                <w:rFonts w:hint="default" w:ascii="Cambria Math" w:hAnsi="Cambria Math" w:cs="Cambria Math"/>
                <w:i w:val="0"/>
                <w:iCs w:val="0"/>
                <w:lang w:val="en-US"/>
              </w:rPr>
            </m:ctrlPr>
          </m:e>
          <m:sub>
            <m:r>
              <m:rPr>
                <m:sty m:val="p"/>
              </m:rPr>
              <w:rPr>
                <w:rFonts w:hint="default" w:ascii="Cambria Math" w:hAnsi="Cambria Math" w:cs="Cambria Math"/>
                <w:lang w:val="en-US" w:eastAsia="zh-CN"/>
              </w:rPr>
              <m:t>HW,y</m:t>
            </m:r>
            <m:ctrlPr>
              <w:rPr>
                <w:rFonts w:hint="default" w:ascii="Cambria Math" w:hAnsi="Cambria Math" w:cs="Cambria Math"/>
                <w:i w:val="0"/>
                <w:iCs w:val="0"/>
                <w:lang w:val="en-US"/>
              </w:rPr>
            </m:ctrlPr>
          </m:sub>
        </m:sSub>
      </m:oMath>
      <w:r>
        <w:rPr>
          <w:rFonts w:hint="default" w:ascii="Times New Roman" w:hAnsi="Times New Roman" w:cs="Times New Roman"/>
          <w:lang w:val="en-US" w:eastAsia="zh-CN"/>
        </w:rPr>
        <w:tab/>
      </w:r>
      <w:r>
        <w:rPr>
          <w:rFonts w:hint="default" w:ascii="Times New Roman" w:hAnsi="Times New Roman" w:cs="Times New Roman"/>
        </w:rPr>
        <w:t>（2）</w:t>
      </w:r>
    </w:p>
    <w:p w14:paraId="671541DB">
      <w:pPr>
        <w:pStyle w:val="3"/>
        <w:bidi w:val="0"/>
        <w:rPr>
          <w:rFonts w:hint="default" w:ascii="Times New Roman" w:hAnsi="Times New Roman" w:cs="Times New Roman"/>
        </w:rPr>
      </w:pPr>
      <w:r>
        <w:rPr>
          <w:rFonts w:hint="default" w:ascii="Times New Roman" w:hAnsi="Times New Roman" w:cs="Times New Roman"/>
        </w:rPr>
        <w:t>式中：</w:t>
      </w:r>
    </w:p>
    <w:p w14:paraId="6A043F32">
      <w:pPr>
        <w:pStyle w:val="3"/>
        <w:bidi w:val="0"/>
        <w:rPr>
          <w:rFonts w:hint="default" w:ascii="Times New Roman" w:hAnsi="Times New Roman" w:cs="Times New Roman"/>
        </w:rPr>
      </w:pPr>
      <m:oMath>
        <m:sSub>
          <m:sSubPr>
            <m:ctrlPr>
              <w:rPr>
                <w:rFonts w:ascii="Cambria Math" w:hAnsi="Cambria Math" w:cs="Cambria Math"/>
                <w:i w:val="0"/>
                <w:iCs w:val="0"/>
                <w:lang w:val="en-US"/>
              </w:rPr>
            </m:ctrlPr>
          </m:sSubPr>
          <m:e>
            <m:r>
              <m:rPr>
                <m:sty m:val="p"/>
              </m:rPr>
              <w:rPr>
                <w:rFonts w:hint="default" w:eastAsia="宋体" w:cs="Cambria Math"/>
                <w:lang w:val="en-US" w:eastAsia="zh-CN"/>
              </w:rPr>
              <m:t>PE</m:t>
            </m:r>
            <m:ctrlPr>
              <w:rPr>
                <w:rFonts w:ascii="Cambria Math" w:hAnsi="Cambria Math" w:cs="Cambria Math"/>
                <w:i w:val="0"/>
                <w:iCs w:val="0"/>
                <w:lang w:val="en-US"/>
              </w:rPr>
            </m:ctrlPr>
          </m:e>
          <m:sub>
            <m:r>
              <m:rPr>
                <m:sty m:val="p"/>
              </m:rPr>
              <w:rPr>
                <w:rFonts w:hint="default" w:eastAsia="宋体" w:cs="Cambria Math"/>
                <w:lang w:val="en-US" w:eastAsia="zh-CN"/>
              </w:rPr>
              <m:t>y</m:t>
            </m:r>
            <m:ctrlPr>
              <w:rPr>
                <w:rFonts w:ascii="Cambria Math" w:hAnsi="Cambria Math" w:cs="Cambria Math"/>
                <w:i w:val="0"/>
                <w:iCs w:val="0"/>
                <w:lang w:val="en-US"/>
              </w:rPr>
            </m:ctrlPr>
          </m:sub>
        </m:sSub>
      </m:oMath>
      <w:r>
        <w:rPr>
          <w:rFonts w:hint="default" w:ascii="Times New Roman" w:hAnsi="Times New Roman" w:cs="Times New Roman"/>
        </w:rPr>
        <w:t>——第y年项目碳排放量，单位为吨二氧化碳（tCO₂）；</w:t>
      </w:r>
    </w:p>
    <w:p w14:paraId="2BC81183">
      <w:pPr>
        <w:pStyle w:val="3"/>
        <w:bidi w:val="0"/>
        <w:rPr>
          <w:rFonts w:hint="default" w:ascii="Times New Roman" w:hAnsi="Times New Roman" w:cs="Times New Roman"/>
          <w:lang w:val="en-US" w:eastAsia="zh-CN"/>
        </w:rPr>
      </w:pPr>
      <m:oMath>
        <m:sSub>
          <m:sSubPr>
            <m:ctrlPr>
              <w:rPr>
                <w:rFonts w:hint="default" w:ascii="Cambria Math" w:hAnsi="Cambria Math" w:cs="Cambria Math"/>
                <w:i w:val="0"/>
                <w:iCs w:val="0"/>
                <w:lang w:val="en-US"/>
              </w:rPr>
            </m:ctrlPr>
          </m:sSubPr>
          <m:e>
            <m:r>
              <m:rPr>
                <m:sty m:val="p"/>
              </m:rPr>
              <w:rPr>
                <w:rFonts w:hint="default" w:ascii="Cambria Math" w:hAnsi="Cambria Math" w:cs="Cambria Math"/>
                <w:lang w:val="en-US" w:eastAsia="zh-CN"/>
              </w:rPr>
              <m:t>E</m:t>
            </m:r>
            <m:ctrlPr>
              <w:rPr>
                <w:rFonts w:hint="default" w:ascii="Cambria Math" w:hAnsi="Cambria Math" w:cs="Cambria Math"/>
                <w:i w:val="0"/>
                <w:iCs w:val="0"/>
                <w:lang w:val="en-US"/>
              </w:rPr>
            </m:ctrlPr>
          </m:e>
          <m:sub>
            <m:r>
              <m:rPr>
                <m:sty m:val="p"/>
              </m:rPr>
              <w:rPr>
                <w:rFonts w:hint="default" w:ascii="Cambria Math" w:hAnsi="Cambria Math" w:cs="Cambria Math"/>
                <w:lang w:val="en-US" w:eastAsia="zh-CN"/>
              </w:rPr>
              <m:t>AD,y</m:t>
            </m:r>
            <m:ctrlPr>
              <w:rPr>
                <w:rFonts w:hint="default" w:ascii="Cambria Math" w:hAnsi="Cambria Math" w:cs="Cambria Math"/>
                <w:i w:val="0"/>
                <w:iCs w:val="0"/>
                <w:lang w:val="en-US"/>
              </w:rPr>
            </m:ctrlPr>
          </m:sub>
        </m:sSub>
      </m:oMath>
      <w:r>
        <w:rPr>
          <w:rFonts w:hint="default" w:ascii="Times New Roman" w:hAnsi="Times New Roman" w:cs="Times New Roman"/>
        </w:rPr>
        <w:t>——</w:t>
      </w:r>
      <w:r>
        <w:rPr>
          <w:rFonts w:hint="default" w:ascii="Times New Roman" w:hAnsi="Times New Roman" w:cs="Times New Roman"/>
          <w:lang w:val="en-US" w:eastAsia="zh-CN"/>
        </w:rPr>
        <w:t>指第y年项目情景下厨余垃圾厌氧处理产生的碳排放量（t</w:t>
      </w:r>
      <w:r>
        <w:rPr>
          <w:rFonts w:hint="default" w:ascii="Times New Roman" w:hAnsi="Times New Roman" w:cs="Times New Roman"/>
        </w:rPr>
        <w:t>CO₂</w:t>
      </w:r>
      <w:r>
        <w:rPr>
          <w:rFonts w:hint="default" w:ascii="Times New Roman" w:hAnsi="Times New Roman" w:cs="Times New Roman"/>
          <w:lang w:val="en-US" w:eastAsia="zh-CN"/>
        </w:rPr>
        <w:t>/a）；</w:t>
      </w:r>
    </w:p>
    <w:p w14:paraId="79C6DDF0">
      <w:pPr>
        <w:pStyle w:val="3"/>
        <w:bidi w:val="0"/>
        <w:rPr>
          <w:rFonts w:hint="default" w:ascii="Times New Roman" w:hAnsi="Times New Roman" w:cs="Times New Roman"/>
          <w:lang w:val="en-US" w:eastAsia="zh-CN"/>
        </w:rPr>
      </w:pPr>
      <m:oMath>
        <m:sSub>
          <m:sSubPr>
            <m:ctrlPr>
              <w:rPr>
                <w:rFonts w:hint="default" w:ascii="Cambria Math" w:hAnsi="Cambria Math" w:cs="Cambria Math"/>
                <w:i w:val="0"/>
                <w:iCs w:val="0"/>
                <w:lang w:val="en-US"/>
              </w:rPr>
            </m:ctrlPr>
          </m:sSubPr>
          <m:e>
            <m:r>
              <m:rPr>
                <m:sty m:val="p"/>
              </m:rPr>
              <w:rPr>
                <w:rFonts w:hint="default" w:ascii="Cambria Math" w:hAnsi="Cambria Math" w:cs="Cambria Math"/>
                <w:lang w:val="en-US" w:eastAsia="zh-CN"/>
              </w:rPr>
              <m:t>E</m:t>
            </m:r>
            <m:ctrlPr>
              <w:rPr>
                <w:rFonts w:hint="default" w:ascii="Cambria Math" w:hAnsi="Cambria Math" w:cs="Cambria Math"/>
                <w:i w:val="0"/>
                <w:iCs w:val="0"/>
                <w:lang w:val="en-US"/>
              </w:rPr>
            </m:ctrlPr>
          </m:e>
          <m:sub>
            <m:r>
              <m:rPr>
                <m:sty m:val="p"/>
              </m:rPr>
              <w:rPr>
                <w:rFonts w:hint="default" w:ascii="Cambria Math" w:hAnsi="Cambria Math" w:cs="Cambria Math"/>
                <w:lang w:val="en-US" w:eastAsia="zh-CN"/>
              </w:rPr>
              <m:t>RE,y</m:t>
            </m:r>
            <m:ctrlPr>
              <w:rPr>
                <w:rFonts w:hint="default" w:ascii="Cambria Math" w:hAnsi="Cambria Math" w:cs="Cambria Math"/>
                <w:i w:val="0"/>
                <w:iCs w:val="0"/>
                <w:lang w:val="en-US"/>
              </w:rPr>
            </m:ctrlPr>
          </m:sub>
        </m:sSub>
      </m:oMath>
      <w:r>
        <w:rPr>
          <w:rFonts w:hint="default" w:ascii="Times New Roman" w:hAnsi="Times New Roman" w:cs="Times New Roman"/>
        </w:rPr>
        <w:t>——</w:t>
      </w:r>
      <w:r>
        <w:rPr>
          <w:rFonts w:hint="default" w:ascii="Times New Roman" w:hAnsi="Times New Roman" w:cs="Times New Roman"/>
          <w:lang w:val="en-US" w:eastAsia="zh-CN"/>
        </w:rPr>
        <w:t>指第y年项目情景下可回收物回收处理产生的碳排放量（t</w:t>
      </w:r>
      <w:r>
        <w:rPr>
          <w:rFonts w:hint="default" w:ascii="Times New Roman" w:hAnsi="Times New Roman" w:cs="Times New Roman"/>
        </w:rPr>
        <w:t>CO₂</w:t>
      </w:r>
      <w:r>
        <w:rPr>
          <w:rFonts w:hint="default" w:ascii="Times New Roman" w:hAnsi="Times New Roman" w:cs="Times New Roman"/>
          <w:lang w:val="en-US" w:eastAsia="zh-CN"/>
        </w:rPr>
        <w:t>/a）；</w:t>
      </w:r>
    </w:p>
    <w:p w14:paraId="5EEE5D6B">
      <w:pPr>
        <w:pStyle w:val="3"/>
        <w:bidi w:val="0"/>
        <w:rPr>
          <w:rFonts w:hint="default" w:ascii="Times New Roman" w:hAnsi="Times New Roman" w:cs="Times New Roman"/>
          <w:lang w:val="en-US" w:eastAsia="zh-CN"/>
        </w:rPr>
      </w:pPr>
      <m:oMath>
        <m:sSub>
          <m:sSubPr>
            <m:ctrlPr>
              <w:rPr>
                <w:rFonts w:hint="default" w:ascii="Cambria Math" w:hAnsi="Cambria Math" w:cs="Cambria Math"/>
                <w:i w:val="0"/>
                <w:iCs w:val="0"/>
                <w:lang w:val="en-US"/>
              </w:rPr>
            </m:ctrlPr>
          </m:sSubPr>
          <m:e>
            <m:r>
              <m:rPr>
                <m:sty m:val="p"/>
              </m:rPr>
              <w:rPr>
                <w:rFonts w:hint="default" w:ascii="Cambria Math" w:hAnsi="Cambria Math" w:cs="Cambria Math"/>
                <w:lang w:val="en-US" w:eastAsia="zh-CN"/>
              </w:rPr>
              <m:t>E</m:t>
            </m:r>
            <m:ctrlPr>
              <w:rPr>
                <w:rFonts w:hint="default" w:ascii="Cambria Math" w:hAnsi="Cambria Math" w:cs="Cambria Math"/>
                <w:i w:val="0"/>
                <w:iCs w:val="0"/>
                <w:lang w:val="en-US"/>
              </w:rPr>
            </m:ctrlPr>
          </m:e>
          <m:sub>
            <m:r>
              <m:rPr>
                <m:sty m:val="p"/>
              </m:rPr>
              <w:rPr>
                <w:rFonts w:hint="default" w:ascii="Cambria Math" w:hAnsi="Cambria Math" w:cs="Cambria Math"/>
                <w:lang w:val="en-US" w:eastAsia="zh-CN"/>
              </w:rPr>
              <m:t>other,y</m:t>
            </m:r>
            <m:ctrlPr>
              <w:rPr>
                <w:rFonts w:hint="default" w:ascii="Cambria Math" w:hAnsi="Cambria Math" w:cs="Cambria Math"/>
                <w:i w:val="0"/>
                <w:iCs w:val="0"/>
                <w:lang w:val="en-US"/>
              </w:rPr>
            </m:ctrlPr>
          </m:sub>
        </m:sSub>
      </m:oMath>
      <w:r>
        <w:rPr>
          <w:rFonts w:hint="default" w:ascii="Times New Roman" w:hAnsi="Times New Roman" w:cs="Times New Roman"/>
        </w:rPr>
        <w:t>——</w:t>
      </w:r>
      <w:r>
        <w:rPr>
          <w:rFonts w:hint="default" w:ascii="Times New Roman" w:hAnsi="Times New Roman" w:cs="Times New Roman"/>
          <w:lang w:val="en-US" w:eastAsia="zh-CN"/>
        </w:rPr>
        <w:t>指第y年项目情景下其他垃圾处理产生的碳排放量（t</w:t>
      </w:r>
      <w:r>
        <w:rPr>
          <w:rFonts w:hint="default" w:ascii="Times New Roman" w:hAnsi="Times New Roman" w:cs="Times New Roman"/>
        </w:rPr>
        <w:t>CO₂</w:t>
      </w:r>
      <w:r>
        <w:rPr>
          <w:rFonts w:hint="default" w:ascii="Times New Roman" w:hAnsi="Times New Roman" w:cs="Times New Roman"/>
          <w:lang w:val="en-US" w:eastAsia="zh-CN"/>
        </w:rPr>
        <w:t>/a）；</w:t>
      </w:r>
    </w:p>
    <w:p w14:paraId="4C83A610">
      <w:pPr>
        <w:pStyle w:val="3"/>
        <w:bidi w:val="0"/>
        <w:rPr>
          <w:rFonts w:hint="default" w:ascii="Times New Roman" w:hAnsi="Times New Roman" w:cs="Times New Roman"/>
          <w:lang w:val="en-US" w:eastAsia="zh-CN"/>
        </w:rPr>
      </w:pPr>
      <m:oMath>
        <m:sSub>
          <m:sSubPr>
            <m:ctrlPr>
              <w:rPr>
                <w:rFonts w:hint="default" w:ascii="Cambria Math" w:hAnsi="Cambria Math" w:cs="Cambria Math"/>
                <w:i w:val="0"/>
                <w:iCs w:val="0"/>
                <w:lang w:val="en-US"/>
              </w:rPr>
            </m:ctrlPr>
          </m:sSubPr>
          <m:e>
            <m:r>
              <m:rPr>
                <m:sty m:val="p"/>
              </m:rPr>
              <w:rPr>
                <w:rFonts w:hint="default" w:ascii="Cambria Math" w:hAnsi="Cambria Math" w:cs="Cambria Math"/>
                <w:lang w:val="en-US" w:eastAsia="zh-CN"/>
              </w:rPr>
              <m:t>E</m:t>
            </m:r>
            <m:ctrlPr>
              <w:rPr>
                <w:rFonts w:hint="default" w:ascii="Cambria Math" w:hAnsi="Cambria Math" w:cs="Cambria Math"/>
                <w:i w:val="0"/>
                <w:iCs w:val="0"/>
                <w:lang w:val="en-US"/>
              </w:rPr>
            </m:ctrlPr>
          </m:e>
          <m:sub>
            <m:r>
              <m:rPr>
                <m:sty m:val="p"/>
              </m:rPr>
              <w:rPr>
                <w:rFonts w:hint="default" w:ascii="Cambria Math" w:hAnsi="Cambria Math" w:cs="Cambria Math"/>
                <w:lang w:val="en-US" w:eastAsia="zh-CN"/>
              </w:rPr>
              <m:t>HW,y</m:t>
            </m:r>
            <m:ctrlPr>
              <w:rPr>
                <w:rFonts w:hint="default" w:ascii="Cambria Math" w:hAnsi="Cambria Math" w:cs="Cambria Math"/>
                <w:i w:val="0"/>
                <w:iCs w:val="0"/>
                <w:lang w:val="en-US"/>
              </w:rPr>
            </m:ctrlPr>
          </m:sub>
        </m:sSub>
      </m:oMath>
      <w:r>
        <w:rPr>
          <w:rFonts w:hint="default" w:ascii="Times New Roman" w:hAnsi="Times New Roman" w:cs="Times New Roman"/>
        </w:rPr>
        <w:t>——</w:t>
      </w:r>
      <w:r>
        <w:rPr>
          <w:rFonts w:hint="default" w:ascii="Times New Roman" w:hAnsi="Times New Roman" w:cs="Times New Roman"/>
          <w:lang w:val="en-US" w:eastAsia="zh-CN"/>
        </w:rPr>
        <w:t>指第y年项目情景下有害垃圾处理产生的碳排放量（t</w:t>
      </w:r>
      <w:r>
        <w:rPr>
          <w:rFonts w:hint="default" w:ascii="Times New Roman" w:hAnsi="Times New Roman" w:cs="Times New Roman"/>
        </w:rPr>
        <w:t>CO₂</w:t>
      </w:r>
      <w:r>
        <w:rPr>
          <w:rFonts w:hint="default" w:ascii="Times New Roman" w:hAnsi="Times New Roman" w:cs="Times New Roman"/>
          <w:lang w:val="en-US" w:eastAsia="zh-CN"/>
        </w:rPr>
        <w:t>/a）。</w:t>
      </w:r>
    </w:p>
    <w:p w14:paraId="195E80F2">
      <w:pPr>
        <w:pStyle w:val="3"/>
        <w:bidi w:val="0"/>
        <w:rPr>
          <w:rFonts w:hint="default" w:ascii="Times New Roman" w:hAnsi="Times New Roman" w:cs="Times New Roman"/>
          <w:lang w:val="en-US" w:eastAsia="zh-CN"/>
        </w:rPr>
      </w:pPr>
      <m:oMath>
        <m:sSub>
          <m:sSubPr>
            <m:ctrlPr>
              <w:rPr>
                <w:rFonts w:hint="default" w:ascii="Cambria Math" w:hAnsi="Cambria Math" w:cs="Cambria Math"/>
                <w:i w:val="0"/>
                <w:iCs w:val="0"/>
                <w:lang w:val="en-US"/>
              </w:rPr>
            </m:ctrlPr>
          </m:sSubPr>
          <m:e>
            <m:r>
              <m:rPr>
                <m:sty m:val="p"/>
              </m:rPr>
              <w:rPr>
                <w:rFonts w:hint="default" w:ascii="Cambria Math" w:hAnsi="Cambria Math" w:cs="Cambria Math"/>
                <w:lang w:val="en-US" w:eastAsia="zh-CN"/>
              </w:rPr>
              <m:t>E</m:t>
            </m:r>
            <m:ctrlPr>
              <w:rPr>
                <w:rFonts w:hint="default" w:ascii="Cambria Math" w:hAnsi="Cambria Math" w:cs="Cambria Math"/>
                <w:i w:val="0"/>
                <w:iCs w:val="0"/>
                <w:lang w:val="en-US"/>
              </w:rPr>
            </m:ctrlPr>
          </m:e>
          <m:sub>
            <m:r>
              <m:rPr>
                <m:sty m:val="p"/>
              </m:rPr>
              <w:rPr>
                <w:rFonts w:hint="default" w:ascii="Cambria Math" w:hAnsi="Cambria Math" w:cs="Cambria Math"/>
                <w:lang w:val="en-US" w:eastAsia="zh-CN"/>
              </w:rPr>
              <m:t>AD,y</m:t>
            </m:r>
            <m:ctrlPr>
              <w:rPr>
                <w:rFonts w:hint="default" w:ascii="Cambria Math" w:hAnsi="Cambria Math" w:cs="Cambria Math"/>
                <w:i w:val="0"/>
                <w:iCs w:val="0"/>
                <w:lang w:val="en-US"/>
              </w:rPr>
            </m:ctrlPr>
          </m:sub>
        </m:sSub>
      </m:oMath>
      <w:r>
        <w:rPr>
          <w:rFonts w:hint="default" w:ascii="Times New Roman" w:hAnsi="Times New Roman" w:cs="Times New Roman"/>
          <w:lang w:val="en-US" w:eastAsia="zh-CN"/>
        </w:rPr>
        <w:t>、</w:t>
      </w:r>
      <m:oMath>
        <m:sSub>
          <m:sSubPr>
            <m:ctrlPr>
              <w:rPr>
                <w:rFonts w:hint="default" w:ascii="Cambria Math" w:hAnsi="Cambria Math" w:cs="Cambria Math"/>
                <w:i w:val="0"/>
                <w:iCs w:val="0"/>
                <w:lang w:val="en-US"/>
              </w:rPr>
            </m:ctrlPr>
          </m:sSubPr>
          <m:e>
            <m:r>
              <m:rPr>
                <m:sty m:val="p"/>
              </m:rPr>
              <w:rPr>
                <w:rFonts w:hint="default" w:ascii="Cambria Math" w:hAnsi="Cambria Math" w:cs="Cambria Math"/>
                <w:lang w:val="en-US" w:eastAsia="zh-CN"/>
              </w:rPr>
              <m:t>E</m:t>
            </m:r>
            <m:ctrlPr>
              <w:rPr>
                <w:rFonts w:hint="default" w:ascii="Cambria Math" w:hAnsi="Cambria Math" w:cs="Cambria Math"/>
                <w:i w:val="0"/>
                <w:iCs w:val="0"/>
                <w:lang w:val="en-US"/>
              </w:rPr>
            </m:ctrlPr>
          </m:e>
          <m:sub>
            <m:r>
              <m:rPr>
                <m:sty m:val="p"/>
              </m:rPr>
              <w:rPr>
                <w:rFonts w:hint="default" w:ascii="Cambria Math" w:hAnsi="Cambria Math" w:cs="Cambria Math"/>
                <w:lang w:val="en-US" w:eastAsia="zh-CN"/>
              </w:rPr>
              <m:t>RE,y</m:t>
            </m:r>
            <m:ctrlPr>
              <w:rPr>
                <w:rFonts w:hint="default" w:ascii="Cambria Math" w:hAnsi="Cambria Math" w:cs="Cambria Math"/>
                <w:i w:val="0"/>
                <w:iCs w:val="0"/>
                <w:lang w:val="en-US"/>
              </w:rPr>
            </m:ctrlPr>
          </m:sub>
        </m:sSub>
      </m:oMath>
      <w:r>
        <w:rPr>
          <w:rFonts w:hint="default" w:ascii="Times New Roman" w:hAnsi="Times New Roman" w:cs="Times New Roman"/>
          <w:lang w:val="en-US" w:eastAsia="zh-CN"/>
        </w:rPr>
        <w:t>、</w:t>
      </w:r>
      <m:oMath>
        <m:sSub>
          <m:sSubPr>
            <m:ctrlPr>
              <w:rPr>
                <w:rFonts w:hint="default" w:ascii="Cambria Math" w:hAnsi="Cambria Math" w:cs="Cambria Math"/>
                <w:i w:val="0"/>
                <w:iCs w:val="0"/>
                <w:lang w:val="en-US"/>
              </w:rPr>
            </m:ctrlPr>
          </m:sSubPr>
          <m:e>
            <m:r>
              <m:rPr>
                <m:sty m:val="p"/>
              </m:rPr>
              <w:rPr>
                <w:rFonts w:hint="default" w:ascii="Cambria Math" w:hAnsi="Cambria Math" w:cs="Cambria Math"/>
                <w:lang w:val="en-US" w:eastAsia="zh-CN"/>
              </w:rPr>
              <m:t>E</m:t>
            </m:r>
            <m:ctrlPr>
              <w:rPr>
                <w:rFonts w:hint="default" w:ascii="Cambria Math" w:hAnsi="Cambria Math" w:cs="Cambria Math"/>
                <w:i w:val="0"/>
                <w:iCs w:val="0"/>
                <w:lang w:val="en-US"/>
              </w:rPr>
            </m:ctrlPr>
          </m:e>
          <m:sub>
            <m:r>
              <m:rPr>
                <m:sty m:val="p"/>
              </m:rPr>
              <w:rPr>
                <w:rFonts w:hint="default" w:ascii="Cambria Math" w:hAnsi="Cambria Math" w:cs="Cambria Math"/>
                <w:lang w:val="en-US" w:eastAsia="zh-CN"/>
              </w:rPr>
              <m:t>other,y</m:t>
            </m:r>
            <m:ctrlPr>
              <w:rPr>
                <w:rFonts w:hint="default" w:ascii="Cambria Math" w:hAnsi="Cambria Math" w:cs="Cambria Math"/>
                <w:i w:val="0"/>
                <w:iCs w:val="0"/>
                <w:lang w:val="en-US"/>
              </w:rPr>
            </m:ctrlPr>
          </m:sub>
        </m:sSub>
      </m:oMath>
      <w:r>
        <w:rPr>
          <w:rFonts w:hint="default" w:ascii="Times New Roman" w:hAnsi="Times New Roman" w:cs="Times New Roman"/>
          <w:lang w:val="en-US" w:eastAsia="zh-CN"/>
        </w:rPr>
        <w:t>、</w:t>
      </w:r>
      <m:oMath>
        <m:sSub>
          <m:sSubPr>
            <m:ctrlPr>
              <w:rPr>
                <w:rFonts w:hint="default" w:ascii="Cambria Math" w:hAnsi="Cambria Math" w:cs="Cambria Math"/>
                <w:i w:val="0"/>
                <w:iCs w:val="0"/>
                <w:lang w:val="en-US"/>
              </w:rPr>
            </m:ctrlPr>
          </m:sSubPr>
          <m:e>
            <m:r>
              <m:rPr>
                <m:sty m:val="p"/>
              </m:rPr>
              <w:rPr>
                <w:rFonts w:hint="default" w:ascii="Cambria Math" w:hAnsi="Cambria Math" w:cs="Cambria Math"/>
                <w:lang w:val="en-US" w:eastAsia="zh-CN"/>
              </w:rPr>
              <m:t>E</m:t>
            </m:r>
            <m:ctrlPr>
              <w:rPr>
                <w:rFonts w:hint="default" w:ascii="Cambria Math" w:hAnsi="Cambria Math" w:cs="Cambria Math"/>
                <w:i w:val="0"/>
                <w:iCs w:val="0"/>
                <w:lang w:val="en-US"/>
              </w:rPr>
            </m:ctrlPr>
          </m:e>
          <m:sub>
            <m:r>
              <m:rPr>
                <m:sty m:val="p"/>
              </m:rPr>
              <w:rPr>
                <w:rFonts w:hint="default" w:ascii="Cambria Math" w:hAnsi="Cambria Math" w:cs="Cambria Math"/>
                <w:lang w:val="en-US" w:eastAsia="zh-CN"/>
              </w:rPr>
              <m:t>HW,y</m:t>
            </m:r>
            <m:ctrlPr>
              <w:rPr>
                <w:rFonts w:hint="default" w:ascii="Cambria Math" w:hAnsi="Cambria Math" w:cs="Cambria Math"/>
                <w:i w:val="0"/>
                <w:iCs w:val="0"/>
                <w:lang w:val="en-US"/>
              </w:rPr>
            </m:ctrlPr>
          </m:sub>
        </m:sSub>
      </m:oMath>
      <w:r>
        <w:rPr>
          <w:rFonts w:hint="default" w:ascii="Times New Roman" w:hAnsi="Times New Roman" w:cs="Times New Roman"/>
        </w:rPr>
        <w:t>应按照附录A.</w:t>
      </w:r>
      <w:r>
        <w:rPr>
          <w:rFonts w:hint="default" w:ascii="Times New Roman" w:hAnsi="Times New Roman" w:cs="Times New Roman"/>
          <w:lang w:val="en-US" w:eastAsia="zh-CN"/>
        </w:rPr>
        <w:t>2</w:t>
      </w:r>
      <w:r>
        <w:rPr>
          <w:rFonts w:hint="default" w:ascii="Times New Roman" w:hAnsi="Times New Roman" w:cs="Times New Roman"/>
        </w:rPr>
        <w:t>规定的方法计算。</w:t>
      </w:r>
    </w:p>
    <w:p w14:paraId="359C97BF">
      <w:pPr>
        <w:pStyle w:val="4"/>
        <w:bidi w:val="0"/>
        <w:rPr>
          <w:rFonts w:hint="default" w:ascii="Times New Roman" w:hAnsi="Times New Roman" w:cs="Times New Roman"/>
        </w:rPr>
      </w:pPr>
      <w:bookmarkStart w:id="56" w:name="_Toc12829"/>
      <w:r>
        <w:rPr>
          <w:rFonts w:hint="default" w:ascii="Times New Roman" w:hAnsi="Times New Roman" w:cs="Times New Roman"/>
        </w:rPr>
        <w:t>6.</w:t>
      </w:r>
      <w:r>
        <w:rPr>
          <w:rFonts w:hint="default" w:ascii="Times New Roman" w:hAnsi="Times New Roman" w:cs="Times New Roman"/>
          <w:lang w:val="en-US" w:eastAsia="zh-CN"/>
        </w:rPr>
        <w:t>5</w:t>
      </w:r>
      <w:r>
        <w:rPr>
          <w:rFonts w:hint="default" w:ascii="Times New Roman" w:hAnsi="Times New Roman" w:cs="Times New Roman"/>
        </w:rPr>
        <w:t xml:space="preserve">  减排量核算</w:t>
      </w:r>
      <w:bookmarkEnd w:id="56"/>
    </w:p>
    <w:p w14:paraId="0E6DE6B0">
      <w:pPr>
        <w:pStyle w:val="3"/>
        <w:bidi w:val="0"/>
        <w:rPr>
          <w:rFonts w:hint="default" w:ascii="Times New Roman" w:hAnsi="Times New Roman" w:cs="Times New Roman"/>
        </w:rPr>
      </w:pPr>
      <w:r>
        <w:rPr>
          <w:rFonts w:hint="default" w:ascii="Times New Roman" w:hAnsi="Times New Roman" w:cs="Times New Roman"/>
        </w:rPr>
        <w:t>碳减排量（</w:t>
      </w:r>
      <m:oMath>
        <m:sSub>
          <m:sSubPr>
            <m:ctrlPr>
              <w:rPr>
                <w:rFonts w:hint="default" w:ascii="Cambria Math" w:hAnsi="Cambria Math" w:cs="Cambria Math"/>
                <w:i w:val="0"/>
                <w:iCs/>
              </w:rPr>
            </m:ctrlPr>
          </m:sSubPr>
          <m:e>
            <m:r>
              <m:rPr>
                <m:sty m:val="p"/>
              </m:rPr>
              <w:rPr>
                <w:rFonts w:hint="default" w:eastAsia="宋体" w:cs="Cambria Math"/>
                <w:lang w:val="en-US" w:eastAsia="zh-CN"/>
              </w:rPr>
              <m:t>ER</m:t>
            </m:r>
            <m:ctrlPr>
              <w:rPr>
                <w:rFonts w:hint="default" w:ascii="Cambria Math" w:hAnsi="Cambria Math" w:cs="Cambria Math"/>
                <w:i w:val="0"/>
                <w:iCs/>
              </w:rPr>
            </m:ctrlPr>
          </m:e>
          <m:sub>
            <m:r>
              <m:rPr>
                <m:sty m:val="p"/>
              </m:rPr>
              <w:rPr>
                <w:rFonts w:hint="eastAsia" w:eastAsia="宋体" w:cs="Cambria Math"/>
                <w:lang w:val="en-US" w:eastAsia="zh-CN"/>
              </w:rPr>
              <m:t>y</m:t>
            </m:r>
            <m:ctrlPr>
              <w:rPr>
                <w:rFonts w:hint="default" w:ascii="Cambria Math" w:hAnsi="Cambria Math" w:cs="Cambria Math"/>
                <w:i w:val="0"/>
                <w:iCs/>
              </w:rPr>
            </m:ctrlPr>
          </m:sub>
        </m:sSub>
      </m:oMath>
      <w:r>
        <w:rPr>
          <w:rFonts w:hint="default" w:ascii="Times New Roman" w:hAnsi="Times New Roman" w:cs="Times New Roman"/>
        </w:rPr>
        <w:t>）的计算见公式（3）。</w:t>
      </w:r>
    </w:p>
    <w:p w14:paraId="4A723B1B">
      <w:pPr>
        <w:pStyle w:val="22"/>
        <w:bidi w:val="0"/>
        <w:rPr>
          <w:rFonts w:hint="default" w:ascii="Times New Roman" w:hAnsi="Times New Roman" w:cs="Times New Roman"/>
        </w:rPr>
      </w:pPr>
      <m:oMath>
        <m:sSub>
          <m:sSubPr>
            <m:ctrlPr>
              <w:rPr>
                <w:rFonts w:hint="default" w:ascii="Cambria Math" w:hAnsi="Cambria Math" w:cs="Cambria Math"/>
                <w:i w:val="0"/>
                <w:iCs/>
              </w:rPr>
            </m:ctrlPr>
          </m:sSubPr>
          <m:e>
            <m:r>
              <m:rPr>
                <m:sty m:val="p"/>
              </m:rPr>
              <w:rPr>
                <w:rFonts w:hint="default" w:eastAsia="宋体" w:cs="Cambria Math"/>
                <w:lang w:val="en-US" w:eastAsia="zh-CN"/>
              </w:rPr>
              <m:t>ER</m:t>
            </m:r>
            <m:ctrlPr>
              <w:rPr>
                <w:rFonts w:hint="default" w:ascii="Cambria Math" w:hAnsi="Cambria Math" w:cs="Cambria Math"/>
                <w:i w:val="0"/>
                <w:iCs/>
              </w:rPr>
            </m:ctrlPr>
          </m:e>
          <m:sub>
            <m:r>
              <m:rPr>
                <m:sty m:val="p"/>
              </m:rPr>
              <w:rPr>
                <w:rFonts w:hint="eastAsia" w:eastAsia="宋体" w:cs="Cambria Math"/>
                <w:lang w:val="en-US" w:eastAsia="zh-CN"/>
              </w:rPr>
              <m:t>y</m:t>
            </m:r>
            <m:ctrlPr>
              <w:rPr>
                <w:rFonts w:hint="default" w:ascii="Cambria Math" w:hAnsi="Cambria Math" w:cs="Cambria Math"/>
                <w:i w:val="0"/>
                <w:iCs/>
              </w:rPr>
            </m:ctrlPr>
          </m:sub>
        </m:sSub>
        <m:r>
          <m:rPr>
            <m:sty m:val="p"/>
          </m:rPr>
          <w:rPr>
            <w:rFonts w:hint="default" w:ascii="Cambria Math" w:hAnsi="Cambria Math" w:cs="Cambria Math"/>
          </w:rPr>
          <m:t>=</m:t>
        </m:r>
        <m:sSub>
          <m:sSubPr>
            <m:ctrlPr>
              <w:rPr>
                <w:rFonts w:hint="default" w:ascii="Cambria Math" w:hAnsi="Cambria Math" w:cs="Cambria Math"/>
                <w:b w:val="0"/>
                <w:i w:val="0"/>
                <w:iCs/>
              </w:rPr>
            </m:ctrlPr>
          </m:sSubPr>
          <m:e>
            <m:r>
              <m:rPr>
                <m:sty m:val="p"/>
              </m:rPr>
              <w:rPr>
                <w:rFonts w:hint="default" w:eastAsia="宋体" w:cs="Cambria Math"/>
                <w:lang w:val="en-US" w:eastAsia="zh-CN"/>
              </w:rPr>
              <m:t>BE</m:t>
            </m:r>
            <m:ctrlPr>
              <w:rPr>
                <w:rFonts w:hint="default" w:ascii="Cambria Math" w:hAnsi="Cambria Math" w:cs="Cambria Math"/>
                <w:b w:val="0"/>
                <w:i w:val="0"/>
                <w:iCs/>
              </w:rPr>
            </m:ctrlPr>
          </m:e>
          <m:sub>
            <m:r>
              <m:rPr>
                <m:sty m:val="p"/>
              </m:rPr>
              <w:rPr>
                <w:rFonts w:hint="eastAsia" w:eastAsia="宋体" w:cs="Cambria Math"/>
                <w:lang w:val="en-US" w:eastAsia="zh-CN"/>
              </w:rPr>
              <m:t>y</m:t>
            </m:r>
            <m:ctrlPr>
              <w:rPr>
                <w:rFonts w:hint="default" w:ascii="Cambria Math" w:hAnsi="Cambria Math" w:cs="Cambria Math"/>
                <w:b w:val="0"/>
                <w:i w:val="0"/>
                <w:iCs/>
              </w:rPr>
            </m:ctrlPr>
          </m:sub>
        </m:sSub>
        <m:r>
          <m:rPr>
            <m:sty m:val="p"/>
          </m:rPr>
          <w:rPr>
            <w:rFonts w:ascii="Cambria Math" w:hAnsi="Cambria Math" w:cs="Cambria Math"/>
          </w:rPr>
          <m:t>−</m:t>
        </m:r>
        <m:sSub>
          <m:sSubPr>
            <m:ctrlPr>
              <w:rPr>
                <w:rFonts w:ascii="Cambria Math" w:hAnsi="Cambria Math" w:cs="Cambria Math"/>
                <w:iCs/>
              </w:rPr>
            </m:ctrlPr>
          </m:sSubPr>
          <m:e>
            <m:r>
              <m:rPr>
                <m:sty m:val="p"/>
              </m:rPr>
              <w:rPr>
                <w:rFonts w:hint="default" w:eastAsia="宋体" w:cs="Cambria Math"/>
                <w:lang w:val="en-US" w:eastAsia="zh-CN"/>
              </w:rPr>
              <m:t>PE</m:t>
            </m:r>
            <m:ctrlPr>
              <w:rPr>
                <w:rFonts w:ascii="Cambria Math" w:hAnsi="Cambria Math" w:cs="Cambria Math"/>
                <w:iCs/>
              </w:rPr>
            </m:ctrlPr>
          </m:e>
          <m:sub>
            <m:r>
              <m:rPr>
                <m:sty m:val="p"/>
              </m:rPr>
              <w:rPr>
                <w:rFonts w:hint="eastAsia" w:eastAsia="宋体" w:cs="Cambria Math"/>
                <w:lang w:val="en-US" w:eastAsia="zh-CN"/>
              </w:rPr>
              <m:t>y</m:t>
            </m:r>
            <m:ctrlPr>
              <w:rPr>
                <w:rFonts w:ascii="Cambria Math" w:hAnsi="Cambria Math" w:cs="Cambria Math"/>
                <w:iCs/>
              </w:rPr>
            </m:ctrlPr>
          </m:sub>
        </m:sSub>
      </m:oMath>
      <w:r>
        <w:rPr>
          <w:rFonts w:hint="default" w:ascii="Times New Roman" w:hAnsi="Times New Roman" w:cs="Times New Roman"/>
          <w:lang w:val="en-US" w:eastAsia="zh-CN"/>
        </w:rPr>
        <w:tab/>
      </w:r>
      <w:r>
        <w:rPr>
          <w:rFonts w:hint="default" w:ascii="Times New Roman" w:hAnsi="Times New Roman" w:cs="Times New Roman"/>
        </w:rPr>
        <w:t>（3）</w:t>
      </w:r>
    </w:p>
    <w:p w14:paraId="6A2DA72E">
      <w:pPr>
        <w:pStyle w:val="3"/>
        <w:bidi w:val="0"/>
        <w:rPr>
          <w:rFonts w:hint="default" w:ascii="Times New Roman" w:hAnsi="Times New Roman" w:cs="Times New Roman"/>
        </w:rPr>
      </w:pPr>
      <w:r>
        <w:rPr>
          <w:rFonts w:hint="default" w:ascii="Times New Roman" w:hAnsi="Times New Roman" w:cs="Times New Roman"/>
        </w:rPr>
        <w:t>式中：</w:t>
      </w:r>
    </w:p>
    <w:p w14:paraId="02C6413E">
      <w:pPr>
        <w:pStyle w:val="3"/>
        <w:bidi w:val="0"/>
        <w:rPr>
          <w:rFonts w:hint="default" w:ascii="Times New Roman" w:hAnsi="Times New Roman" w:cs="Times New Roman"/>
          <w:lang w:val="en-US" w:eastAsia="zh-CN"/>
        </w:rPr>
      </w:pPr>
      <m:oMath>
        <m:sSub>
          <m:sSubPr>
            <m:ctrlPr>
              <w:rPr>
                <w:rFonts w:hint="default" w:ascii="Cambria Math" w:hAnsi="Cambria Math" w:cs="Cambria Math"/>
                <w:i w:val="0"/>
                <w:iCs/>
              </w:rPr>
            </m:ctrlPr>
          </m:sSubPr>
          <m:e>
            <m:r>
              <m:rPr>
                <m:sty m:val="p"/>
              </m:rPr>
              <w:rPr>
                <w:rFonts w:hint="default" w:eastAsia="宋体" w:cs="Cambria Math"/>
                <w:lang w:val="en-US" w:eastAsia="zh-CN"/>
              </w:rPr>
              <m:t>ER</m:t>
            </m:r>
            <m:ctrlPr>
              <w:rPr>
                <w:rFonts w:hint="default" w:ascii="Cambria Math" w:hAnsi="Cambria Math" w:cs="Cambria Math"/>
                <w:i w:val="0"/>
                <w:iCs/>
              </w:rPr>
            </m:ctrlPr>
          </m:e>
          <m:sub>
            <m:r>
              <m:rPr>
                <m:sty m:val="p"/>
              </m:rPr>
              <w:rPr>
                <w:rFonts w:hint="eastAsia" w:eastAsia="宋体" w:cs="Cambria Math"/>
                <w:lang w:val="en-US" w:eastAsia="zh-CN"/>
              </w:rPr>
              <m:t>y</m:t>
            </m:r>
            <m:ctrlPr>
              <w:rPr>
                <w:rFonts w:hint="default" w:ascii="Cambria Math" w:hAnsi="Cambria Math" w:cs="Cambria Math"/>
                <w:i w:val="0"/>
                <w:iCs/>
              </w:rPr>
            </m:ctrlPr>
          </m:sub>
        </m:sSub>
      </m:oMath>
      <w:r>
        <w:rPr>
          <w:rFonts w:hint="default" w:ascii="Times New Roman" w:hAnsi="Times New Roman" w:cs="Times New Roman"/>
        </w:rPr>
        <w:t>——</w:t>
      </w:r>
      <w:r>
        <w:rPr>
          <w:rFonts w:hint="default" w:ascii="Times New Roman" w:hAnsi="Times New Roman" w:cs="Times New Roman"/>
          <w:lang w:val="en-US" w:eastAsia="zh-CN"/>
        </w:rPr>
        <w:t>指第y年居民社区生活垃圾分类的项目碳减排量（t</w:t>
      </w:r>
      <w:r>
        <w:rPr>
          <w:rFonts w:hint="default" w:ascii="Times New Roman" w:hAnsi="Times New Roman" w:cs="Times New Roman"/>
        </w:rPr>
        <w:t>CO₂</w:t>
      </w:r>
      <w:r>
        <w:rPr>
          <w:rFonts w:hint="default" w:ascii="Times New Roman" w:hAnsi="Times New Roman" w:cs="Times New Roman"/>
          <w:lang w:val="en-US" w:eastAsia="zh-CN"/>
        </w:rPr>
        <w:t>/a）；</w:t>
      </w:r>
    </w:p>
    <w:p w14:paraId="28DEBC53">
      <w:pPr>
        <w:pStyle w:val="3"/>
        <w:bidi w:val="0"/>
        <w:rPr>
          <w:rFonts w:hint="default" w:ascii="Times New Roman" w:hAnsi="Times New Roman" w:cs="Times New Roman"/>
        </w:rPr>
      </w:pPr>
      <m:oMath>
        <m:sSub>
          <m:sSubPr>
            <m:ctrlPr>
              <w:rPr>
                <w:rFonts w:hint="default" w:ascii="Cambria Math" w:hAnsi="Cambria Math" w:cs="Cambria Math"/>
                <w:b w:val="0"/>
                <w:i w:val="0"/>
                <w:iCs/>
              </w:rPr>
            </m:ctrlPr>
          </m:sSubPr>
          <m:e>
            <m:r>
              <m:rPr>
                <m:sty m:val="p"/>
              </m:rPr>
              <w:rPr>
                <w:rFonts w:hint="default" w:eastAsia="宋体" w:cs="Cambria Math"/>
                <w:lang w:val="en-US" w:eastAsia="zh-CN"/>
              </w:rPr>
              <m:t>BE</m:t>
            </m:r>
            <m:ctrlPr>
              <w:rPr>
                <w:rFonts w:hint="default" w:ascii="Cambria Math" w:hAnsi="Cambria Math" w:cs="Cambria Math"/>
                <w:b w:val="0"/>
                <w:i w:val="0"/>
                <w:iCs/>
              </w:rPr>
            </m:ctrlPr>
          </m:e>
          <m:sub>
            <m:r>
              <m:rPr>
                <m:sty m:val="p"/>
              </m:rPr>
              <w:rPr>
                <w:rFonts w:hint="eastAsia" w:eastAsia="宋体" w:cs="Cambria Math"/>
                <w:lang w:val="en-US" w:eastAsia="zh-CN"/>
              </w:rPr>
              <m:t>y</m:t>
            </m:r>
            <m:ctrlPr>
              <w:rPr>
                <w:rFonts w:hint="default" w:ascii="Cambria Math" w:hAnsi="Cambria Math" w:cs="Cambria Math"/>
                <w:b w:val="0"/>
                <w:i w:val="0"/>
                <w:iCs/>
              </w:rPr>
            </m:ctrlPr>
          </m:sub>
        </m:sSub>
      </m:oMath>
      <w:r>
        <w:rPr>
          <w:rFonts w:hint="default" w:ascii="Times New Roman" w:hAnsi="Times New Roman" w:cs="Times New Roman"/>
        </w:rPr>
        <w:t>——</w:t>
      </w:r>
      <w:r>
        <w:rPr>
          <w:rFonts w:hint="default" w:ascii="Times New Roman" w:hAnsi="Times New Roman" w:cs="Times New Roman"/>
          <w:lang w:val="en-US" w:eastAsia="zh-CN"/>
        </w:rPr>
        <w:t>第y年基准线碳排放量（t</w:t>
      </w:r>
      <w:r>
        <w:rPr>
          <w:rFonts w:hint="default" w:ascii="Times New Roman" w:hAnsi="Times New Roman" w:cs="Times New Roman"/>
        </w:rPr>
        <w:t>CO₂</w:t>
      </w:r>
      <w:r>
        <w:rPr>
          <w:rFonts w:hint="default" w:ascii="Times New Roman" w:hAnsi="Times New Roman" w:cs="Times New Roman"/>
          <w:lang w:val="en-US" w:eastAsia="zh-CN"/>
        </w:rPr>
        <w:t>/a）；</w:t>
      </w:r>
    </w:p>
    <w:p w14:paraId="4D33FEE1">
      <w:pPr>
        <w:pStyle w:val="3"/>
        <w:bidi w:val="0"/>
        <w:rPr>
          <w:rFonts w:hint="default" w:ascii="Times New Roman" w:hAnsi="Times New Roman" w:cs="Times New Roman"/>
          <w:lang w:val="en-US" w:eastAsia="zh-CN"/>
        </w:rPr>
      </w:pPr>
      <m:oMath>
        <m:sSub>
          <w:bookmarkStart w:id="57" w:name="bookmark8"/>
          <w:bookmarkEnd w:id="57"/>
          <m:sSubPr>
            <m:ctrlPr>
              <w:rPr>
                <w:rFonts w:ascii="Cambria Math" w:hAnsi="Cambria Math" w:cs="Cambria Math"/>
                <w:iCs/>
              </w:rPr>
            </m:ctrlPr>
          </m:sSubPr>
          <m:e>
            <m:r>
              <m:rPr>
                <m:sty m:val="p"/>
              </m:rPr>
              <w:rPr>
                <w:rFonts w:hint="default" w:eastAsia="宋体" w:cs="Cambria Math"/>
                <w:lang w:val="en-US" w:eastAsia="zh-CN"/>
              </w:rPr>
              <m:t>PE</m:t>
            </m:r>
            <m:ctrlPr>
              <w:rPr>
                <w:rFonts w:ascii="Cambria Math" w:hAnsi="Cambria Math" w:cs="Cambria Math"/>
                <w:iCs/>
              </w:rPr>
            </m:ctrlPr>
          </m:e>
          <m:sub>
            <m:r>
              <m:rPr>
                <m:sty m:val="p"/>
              </m:rPr>
              <w:rPr>
                <w:rFonts w:hint="eastAsia" w:eastAsia="宋体" w:cs="Cambria Math"/>
                <w:lang w:val="en-US" w:eastAsia="zh-CN"/>
              </w:rPr>
              <m:t>y</m:t>
            </m:r>
            <m:ctrlPr>
              <w:rPr>
                <w:rFonts w:ascii="Cambria Math" w:hAnsi="Cambria Math" w:cs="Cambria Math"/>
                <w:iCs/>
              </w:rPr>
            </m:ctrlPr>
          </m:sub>
        </m:sSub>
      </m:oMath>
      <w:r>
        <w:rPr>
          <w:rFonts w:hint="default" w:ascii="Times New Roman" w:hAnsi="Times New Roman" w:cs="Times New Roman"/>
        </w:rPr>
        <w:t>——</w:t>
      </w:r>
      <w:r>
        <w:rPr>
          <w:rFonts w:hint="default" w:ascii="Times New Roman" w:hAnsi="Times New Roman" w:cs="Times New Roman"/>
          <w:lang w:val="en-US" w:eastAsia="zh-CN"/>
        </w:rPr>
        <w:t>第y年项目碳排放量（t</w:t>
      </w:r>
      <w:r>
        <w:rPr>
          <w:rFonts w:hint="default" w:ascii="Times New Roman" w:hAnsi="Times New Roman" w:cs="Times New Roman"/>
        </w:rPr>
        <w:t>CO₂</w:t>
      </w:r>
      <w:r>
        <w:rPr>
          <w:rFonts w:hint="default" w:ascii="Times New Roman" w:hAnsi="Times New Roman" w:cs="Times New Roman"/>
          <w:lang w:val="en-US" w:eastAsia="zh-CN"/>
        </w:rPr>
        <w:t>/a）。</w:t>
      </w:r>
    </w:p>
    <w:p w14:paraId="0ABB40B2">
      <w:pPr>
        <w:pStyle w:val="2"/>
        <w:bidi w:val="0"/>
        <w:rPr>
          <w:rFonts w:hint="default"/>
        </w:rPr>
      </w:pPr>
      <w:bookmarkStart w:id="58" w:name="bookmark19"/>
      <w:bookmarkEnd w:id="58"/>
      <w:bookmarkStart w:id="59" w:name="_Toc27377"/>
      <w:bookmarkStart w:id="60" w:name="_Toc20837"/>
      <w:r>
        <w:rPr>
          <w:rFonts w:hint="default"/>
        </w:rPr>
        <w:t>7  数据监测与管理</w:t>
      </w:r>
      <w:bookmarkEnd w:id="59"/>
      <w:bookmarkEnd w:id="60"/>
    </w:p>
    <w:p w14:paraId="249DDED1">
      <w:pPr>
        <w:pStyle w:val="4"/>
        <w:bidi w:val="0"/>
        <w:rPr>
          <w:rFonts w:hint="default" w:ascii="Times New Roman" w:hAnsi="Times New Roman" w:cs="Times New Roman"/>
          <w:lang w:val="en-US" w:eastAsia="zh-CN"/>
        </w:rPr>
      </w:pPr>
      <w:bookmarkStart w:id="61" w:name="_Toc12509"/>
      <w:r>
        <w:rPr>
          <w:rFonts w:hint="default" w:ascii="Times New Roman" w:hAnsi="Times New Roman" w:cs="Times New Roman"/>
        </w:rPr>
        <w:t>7.1 项目运行需要监测的数据</w:t>
      </w:r>
      <w:bookmarkEnd w:id="61"/>
    </w:p>
    <w:p w14:paraId="3A2E1BFA">
      <w:pPr>
        <w:pStyle w:val="3"/>
        <w:bidi w:val="0"/>
        <w:rPr>
          <w:rFonts w:hint="default" w:ascii="Times New Roman" w:hAnsi="Times New Roman" w:cs="Times New Roman"/>
        </w:rPr>
      </w:pPr>
      <w:r>
        <w:rPr>
          <w:rFonts w:hint="default" w:ascii="Times New Roman" w:hAnsi="Times New Roman" w:cs="Times New Roman"/>
          <w:lang w:val="en-US" w:eastAsia="zh-CN"/>
        </w:rPr>
        <w:t>项目运行需要监测的数据主要包括垃圾投放时间、垃圾类别、投放重量、分类准确率以及用户身份信息等，具体数据的单位和描述见附录B。</w:t>
      </w:r>
    </w:p>
    <w:p w14:paraId="42D2248F">
      <w:pPr>
        <w:pStyle w:val="4"/>
        <w:bidi w:val="0"/>
        <w:rPr>
          <w:rFonts w:hint="default" w:ascii="Times New Roman" w:hAnsi="Times New Roman" w:cs="Times New Roman"/>
        </w:rPr>
      </w:pPr>
      <w:bookmarkStart w:id="62" w:name="_Toc7702"/>
      <w:r>
        <w:rPr>
          <w:rFonts w:hint="default" w:ascii="Times New Roman" w:hAnsi="Times New Roman" w:cs="Times New Roman"/>
        </w:rPr>
        <w:t>7.2 数据监测要求</w:t>
      </w:r>
      <w:bookmarkEnd w:id="62"/>
    </w:p>
    <w:p w14:paraId="2E70A63A">
      <w:pPr>
        <w:pStyle w:val="3"/>
        <w:bidi w:val="0"/>
        <w:rPr>
          <w:rFonts w:hint="default" w:ascii="Times New Roman" w:hAnsi="Times New Roman" w:cs="Times New Roman"/>
        </w:rPr>
      </w:pPr>
      <w:r>
        <w:rPr>
          <w:rFonts w:hint="default" w:ascii="Times New Roman" w:hAnsi="Times New Roman" w:cs="Times New Roman"/>
          <w:lang w:val="en-US" w:eastAsia="zh-CN"/>
        </w:rPr>
        <w:t>数据监测应符合相关行业标准和技术规范要求，数据质量要求应与附录B要求保持一致。应采用经校准的称重设备及智能识别技术，确保垃圾分类数据采集的实时性与客观性。</w:t>
      </w:r>
    </w:p>
    <w:p w14:paraId="4C4C9FC5">
      <w:pPr>
        <w:pStyle w:val="4"/>
        <w:bidi w:val="0"/>
        <w:rPr>
          <w:rFonts w:hint="default" w:ascii="Times New Roman" w:hAnsi="Times New Roman" w:cs="Times New Roman"/>
        </w:rPr>
      </w:pPr>
      <w:bookmarkStart w:id="63" w:name="_Toc10467"/>
      <w:r>
        <w:rPr>
          <w:rFonts w:hint="default" w:ascii="Times New Roman" w:hAnsi="Times New Roman" w:cs="Times New Roman"/>
        </w:rPr>
        <w:t>7.3 数据管理与归档要求</w:t>
      </w:r>
      <w:bookmarkEnd w:id="63"/>
    </w:p>
    <w:p w14:paraId="6E7F6963">
      <w:pPr>
        <w:pStyle w:val="3"/>
        <w:bidi w:val="0"/>
        <w:rPr>
          <w:rFonts w:hint="default" w:ascii="Times New Roman" w:hAnsi="Times New Roman" w:cs="Times New Roman"/>
        </w:rPr>
      </w:pPr>
      <w:r>
        <w:rPr>
          <w:rFonts w:hint="default" w:ascii="Times New Roman" w:hAnsi="Times New Roman" w:cs="Times New Roman"/>
          <w:lang w:val="en-US" w:eastAsia="zh-CN"/>
        </w:rPr>
        <w:t>项目开发方应建立数据、信息等原始记录和台账管理制度，确保数据的准确性和完整性，妥善保管监测数据和有关补充记录信息。项目设计和运行阶段产生的所有数据、信息均应电子版或纸质版存档，存档材料至少保存至最后一期减排量登记后10年，确保相关数据可被追溯。</w:t>
      </w:r>
    </w:p>
    <w:p w14:paraId="0065F470">
      <w:pPr>
        <w:spacing w:before="1" w:line="276" w:lineRule="auto"/>
        <w:ind w:left="3" w:firstLine="420"/>
        <w:rPr>
          <w:rFonts w:hint="default" w:ascii="Times New Roman" w:hAnsi="Times New Roman" w:eastAsia="宋体" w:cs="Times New Roman"/>
          <w:sz w:val="21"/>
          <w:szCs w:val="21"/>
        </w:rPr>
      </w:pPr>
    </w:p>
    <w:p w14:paraId="323F7D38">
      <w:pPr>
        <w:spacing w:line="276" w:lineRule="auto"/>
        <w:rPr>
          <w:rFonts w:hint="default" w:ascii="Times New Roman" w:hAnsi="Times New Roman" w:eastAsia="宋体" w:cs="Times New Roman"/>
          <w:sz w:val="21"/>
          <w:szCs w:val="21"/>
        </w:rPr>
        <w:sectPr>
          <w:footerReference r:id="rId7" w:type="default"/>
          <w:pgSz w:w="11907" w:h="16839"/>
          <w:pgMar w:top="1716" w:right="1128" w:bottom="1340" w:left="1426" w:header="1391" w:footer="1106" w:gutter="0"/>
          <w:pgNumType w:fmt="decimal" w:start="1"/>
          <w:cols w:space="720" w:num="1"/>
        </w:sectPr>
      </w:pPr>
    </w:p>
    <w:p w14:paraId="5BA7DC3A">
      <w:pPr>
        <w:pStyle w:val="3"/>
        <w:spacing w:before="90" w:line="177" w:lineRule="auto"/>
        <w:ind w:left="4673"/>
        <w:rPr>
          <w:rFonts w:hint="default" w:ascii="Times New Roman" w:hAnsi="Times New Roman" w:cs="Times New Roman"/>
          <w:sz w:val="2"/>
          <w:szCs w:val="2"/>
        </w:rPr>
      </w:pPr>
      <w:r>
        <w:rPr>
          <w:rFonts w:hint="default" w:ascii="Times New Roman" w:hAnsi="Times New Roman" w:cs="Times New Roman"/>
          <w:sz w:val="2"/>
          <w:szCs w:val="2"/>
        </w:rPr>
        <w:t>A</w:t>
      </w:r>
    </w:p>
    <w:p w14:paraId="5289CA15">
      <w:pPr>
        <w:pStyle w:val="2"/>
        <w:bidi w:val="0"/>
        <w:rPr>
          <w:rFonts w:hint="default"/>
          <w:lang w:eastAsia="en-US"/>
        </w:rPr>
      </w:pPr>
      <w:bookmarkStart w:id="64" w:name="bookmark29"/>
      <w:bookmarkEnd w:id="64"/>
      <w:bookmarkStart w:id="65" w:name="_Toc8897"/>
      <w:bookmarkStart w:id="66" w:name="_Toc26111"/>
      <w:r>
        <w:rPr>
          <w:rFonts w:hint="default"/>
          <w:lang w:eastAsia="en-US"/>
        </w:rPr>
        <w:t>附</w:t>
      </w:r>
      <w:r>
        <w:rPr>
          <w:rFonts w:hint="default"/>
          <w:lang w:val="en-US" w:eastAsia="zh-CN"/>
        </w:rPr>
        <w:t xml:space="preserve"> </w:t>
      </w:r>
      <w:r>
        <w:rPr>
          <w:rFonts w:hint="default"/>
          <w:lang w:eastAsia="en-US"/>
        </w:rPr>
        <w:t>录</w:t>
      </w:r>
      <w:r>
        <w:rPr>
          <w:rFonts w:hint="default"/>
          <w:lang w:val="en-US" w:eastAsia="zh-CN"/>
        </w:rPr>
        <w:t xml:space="preserve"> </w:t>
      </w:r>
      <w:r>
        <w:rPr>
          <w:rFonts w:hint="default"/>
          <w:lang w:eastAsia="en-US"/>
        </w:rPr>
        <w:t>A</w:t>
      </w:r>
      <w:bookmarkStart w:id="67" w:name="bookmark29"/>
      <w:bookmarkEnd w:id="67"/>
      <w:bookmarkStart w:id="68" w:name="bookmark9"/>
      <w:bookmarkEnd w:id="68"/>
      <w:bookmarkStart w:id="69" w:name="bookmark21"/>
      <w:bookmarkEnd w:id="69"/>
      <w:r>
        <w:rPr>
          <w:rFonts w:hint="default"/>
          <w:lang w:eastAsia="en-US"/>
        </w:rPr>
        <w:t>（规范性）</w:t>
      </w:r>
      <w:bookmarkStart w:id="70" w:name="bookmark21"/>
      <w:bookmarkEnd w:id="70"/>
      <w:bookmarkStart w:id="71" w:name="bookmark29"/>
      <w:bookmarkEnd w:id="71"/>
      <w:r>
        <w:rPr>
          <w:rFonts w:hint="default"/>
          <w:lang w:val="en-US" w:eastAsia="zh-CN"/>
        </w:rPr>
        <w:t>不同垃圾处置方式碳排放量</w:t>
      </w:r>
      <w:r>
        <w:rPr>
          <w:rFonts w:hint="default"/>
          <w:lang w:eastAsia="en-US"/>
        </w:rPr>
        <w:t>的计算方法</w:t>
      </w:r>
      <w:bookmarkEnd w:id="65"/>
      <w:bookmarkEnd w:id="66"/>
    </w:p>
    <w:p w14:paraId="0A57801D">
      <w:pPr>
        <w:pStyle w:val="4"/>
        <w:bidi w:val="0"/>
        <w:rPr>
          <w:rFonts w:hint="default" w:ascii="Times New Roman" w:hAnsi="Times New Roman" w:cs="Times New Roman"/>
          <w:lang w:val="en-US" w:eastAsia="zh-CN"/>
        </w:rPr>
      </w:pPr>
      <w:bookmarkStart w:id="72" w:name="_Toc28998"/>
      <w:r>
        <w:rPr>
          <w:rFonts w:hint="default" w:ascii="Times New Roman" w:hAnsi="Times New Roman" w:cs="Times New Roman"/>
        </w:rPr>
        <w:t>A.1  基准线情景</w:t>
      </w:r>
      <w:r>
        <w:rPr>
          <w:rFonts w:hint="default" w:ascii="Times New Roman" w:hAnsi="Times New Roman" w:cs="Times New Roman"/>
          <w:lang w:val="en-US" w:eastAsia="zh-CN"/>
        </w:rPr>
        <w:t>排放量</w:t>
      </w:r>
      <w:bookmarkEnd w:id="72"/>
    </w:p>
    <w:p w14:paraId="331B45B8">
      <w:pPr>
        <w:pStyle w:val="5"/>
        <w:bidi w:val="0"/>
        <w:rPr>
          <w:rFonts w:hint="default" w:ascii="Times New Roman" w:hAnsi="Times New Roman" w:cs="Times New Roman"/>
          <w:lang w:val="en-US" w:eastAsia="zh-CN"/>
        </w:rPr>
      </w:pPr>
      <w:bookmarkStart w:id="73" w:name="_Toc28811"/>
      <w:r>
        <w:rPr>
          <w:rFonts w:hint="default" w:ascii="Times New Roman" w:hAnsi="Times New Roman" w:cs="Times New Roman"/>
        </w:rPr>
        <w:t xml:space="preserve">A.1.1  </w:t>
      </w:r>
      <w:r>
        <w:rPr>
          <w:rFonts w:hint="default" w:ascii="Times New Roman" w:hAnsi="Times New Roman" w:cs="Times New Roman"/>
          <w:lang w:val="en-US" w:eastAsia="zh-CN"/>
        </w:rPr>
        <w:t>基准线情景1：混合收运+填埋</w:t>
      </w:r>
      <w:bookmarkEnd w:id="73"/>
    </w:p>
    <w:p w14:paraId="02DAE39D">
      <w:pPr>
        <w:pStyle w:val="3"/>
        <w:bidi w:val="0"/>
        <w:rPr>
          <w:rFonts w:hint="default" w:ascii="Times New Roman" w:hAnsi="Times New Roman" w:cs="Times New Roman"/>
          <w:lang w:eastAsia="zh-CN"/>
        </w:rPr>
      </w:pPr>
      <m:oMath>
        <m:sSub>
          <m:sSubPr>
            <m:ctrlPr>
              <w:rPr>
                <w:rFonts w:hint="default" w:ascii="Cambria Math" w:hAnsi="Cambria Math" w:cs="Times New Roman"/>
                <w:lang w:val="en-US" w:eastAsia="zh-CN"/>
              </w:rPr>
            </m:ctrlPr>
          </m:sSubPr>
          <m:e>
            <m:r>
              <m:rPr>
                <m:nor/>
                <m:sty m:val="p"/>
              </m:rPr>
              <w:rPr>
                <w:rFonts w:hint="default" w:ascii="Times New Roman" w:hAnsi="Times New Roman" w:cs="Times New Roman"/>
                <w:b w:val="0"/>
                <w:i w:val="0"/>
                <w:lang w:val="en-US" w:eastAsia="zh-CN"/>
              </w:rPr>
              <m:t>E</m:t>
            </m:r>
            <m:ctrlPr>
              <w:rPr>
                <w:rFonts w:hint="default" w:ascii="Cambria Math" w:hAnsi="Cambria Math" w:cs="Times New Roman"/>
                <w:lang w:val="en-US" w:eastAsia="zh-CN"/>
              </w:rPr>
            </m:ctrlPr>
          </m:e>
          <m:sub>
            <m:r>
              <m:rPr>
                <m:nor/>
                <m:sty m:val="p"/>
              </m:rPr>
              <w:rPr>
                <w:rFonts w:hint="default" w:ascii="Times New Roman" w:hAnsi="Times New Roman" w:cs="Times New Roman"/>
                <w:b w:val="0"/>
                <w:i w:val="0"/>
                <w:lang w:val="en-US" w:eastAsia="zh-CN"/>
              </w:rPr>
              <m:t>LF,y</m:t>
            </m:r>
            <m:ctrlPr>
              <w:rPr>
                <w:rFonts w:hint="default" w:ascii="Cambria Math" w:hAnsi="Cambria Math" w:cs="Times New Roman"/>
                <w:lang w:val="en-US" w:eastAsia="zh-CN"/>
              </w:rPr>
            </m:ctrlPr>
          </m:sub>
        </m:sSub>
      </m:oMath>
      <w:r>
        <w:rPr>
          <w:rFonts w:hint="default" w:ascii="Times New Roman" w:hAnsi="Times New Roman" w:cs="Times New Roman"/>
        </w:rPr>
        <w:t>的计算见公式（</w:t>
      </w:r>
      <w:r>
        <w:rPr>
          <w:rFonts w:hint="eastAsia" w:cs="Times New Roman"/>
          <w:lang w:val="en-US" w:eastAsia="zh-CN"/>
        </w:rPr>
        <w:t>4</w:t>
      </w:r>
      <w:r>
        <w:rPr>
          <w:rFonts w:hint="default" w:ascii="Times New Roman" w:hAnsi="Times New Roman" w:cs="Times New Roman"/>
        </w:rPr>
        <w:t>）</w:t>
      </w:r>
      <w:r>
        <w:rPr>
          <w:rFonts w:hint="default" w:ascii="Times New Roman" w:hAnsi="Times New Roman" w:cs="Times New Roman"/>
          <w:lang w:eastAsia="zh-CN"/>
        </w:rPr>
        <w:t>：</w:t>
      </w:r>
    </w:p>
    <w:p w14:paraId="3EE8E792">
      <w:pPr>
        <w:pStyle w:val="22"/>
        <w:bidi w:val="0"/>
        <w:rPr>
          <w:rFonts w:hint="default" w:ascii="Times New Roman" w:hAnsi="Times New Roman" w:cs="Times New Roma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m:t>
            </m:r>
            <m:ctrlPr>
              <w:rPr>
                <w:rFonts w:hint="default" w:ascii="Cambria Math" w:hAnsi="Cambria Math" w:cs="Cambria Math"/>
                <w:lang w:val="en-US"/>
              </w:rPr>
            </m:ctrlPr>
          </m:e>
          <m:sub>
            <m:r>
              <m:rPr>
                <m:sty m:val="p"/>
              </m:rPr>
              <w:rPr>
                <w:rFonts w:hint="default" w:ascii="Cambria Math" w:hAnsi="Cambria Math" w:cs="Cambria Math"/>
                <w:lang w:val="en-US" w:eastAsia="zh-CN"/>
              </w:rPr>
              <m:t>LF,y</m:t>
            </m:r>
            <m:ctrlPr>
              <w:rPr>
                <w:rFonts w:hint="default" w:ascii="Cambria Math" w:hAnsi="Cambria Math" w:cs="Cambria Math"/>
                <w:lang w:val="en-US"/>
              </w:rPr>
            </m:ctrlPr>
          </m:sub>
        </m:sSub>
        <m:r>
          <m:rPr>
            <m:sty m:val="p"/>
          </m:rPr>
          <w:rPr>
            <w:rFonts w:hint="default" w:ascii="Cambria Math" w:hAnsi="Cambria Math" w:cs="Cambria Math"/>
            <w:lang w:val="en-US" w:eastAsia="zh-CN"/>
          </w:rPr>
          <m:t>=(</m:t>
        </m:r>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MSW</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LF</m:t>
            </m:r>
            <m:ctrlPr>
              <w:rPr>
                <w:rFonts w:hint="default" w:ascii="Cambria Math" w:hAnsi="Cambria Math" w:cs="Cambria Math"/>
                <w:lang w:val="en-US" w:eastAsia="zh-CN"/>
              </w:rPr>
            </m:ctrlPr>
          </m:sub>
        </m:sSub>
        <m:r>
          <m:rPr>
            <m:sty m:val="p"/>
          </m:rPr>
          <w:rPr>
            <w:rFonts w:hint="default" w:ascii="Cambria Math" w:hAnsi="Cambria Math" w:cs="Cambria Math"/>
            <w:lang w:val="en-US"/>
          </w:rPr>
          <m:t>×</m:t>
        </m:r>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L</m:t>
            </m:r>
            <m:ctrlPr>
              <w:rPr>
                <w:rFonts w:hint="default" w:ascii="Cambria Math" w:hAnsi="Cambria Math" w:cs="Cambria Math"/>
                <w:lang w:val="en-US"/>
              </w:rPr>
            </m:ctrlPr>
          </m:e>
          <m:sub>
            <m:r>
              <m:rPr>
                <m:sty m:val="p"/>
              </m:rPr>
              <w:rPr>
                <w:rFonts w:hint="default" w:ascii="Cambria Math" w:hAnsi="Cambria Math" w:cs="Cambria Math"/>
                <w:lang w:val="en-US" w:eastAsia="zh-CN"/>
              </w:rPr>
              <m:t>o,y</m:t>
            </m:r>
            <m:ctrlPr>
              <w:rPr>
                <w:rFonts w:hint="default" w:ascii="Cambria Math" w:hAnsi="Cambria Math" w:cs="Cambria Math"/>
                <w:lang w:val="en-US"/>
              </w:rPr>
            </m:ctrlPr>
          </m:sub>
        </m:sSub>
        <m:r>
          <m:rPr>
            <m:sty m:val="p"/>
          </m:rPr>
          <w:rPr>
            <w:rFonts w:hint="default" w:ascii="Cambria Math" w:hAnsi="Cambria Math" w:cs="Cambria Math"/>
            <w:lang w:val="en-US" w:eastAsia="zh-CN"/>
          </w:rPr>
          <m:t>−</m:t>
        </m:r>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R</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y</m:t>
            </m:r>
            <m:ctrlPr>
              <w:rPr>
                <w:rFonts w:hint="default" w:ascii="Cambria Math" w:hAnsi="Cambria Math" w:cs="Cambria Math"/>
                <w:lang w:val="en-US" w:eastAsia="zh-CN"/>
              </w:rPr>
            </m:ctrlPr>
          </m:sub>
        </m:sSub>
        <m:r>
          <m:rPr>
            <m:sty m:val="p"/>
          </m:rPr>
          <w:rPr>
            <w:rFonts w:hint="default" w:ascii="Cambria Math" w:hAnsi="Cambria Math" w:cs="Cambria Math"/>
            <w:lang w:val="en-US" w:eastAsia="zh-CN"/>
          </w:rPr>
          <m:t>)×(1−OX)−</m:t>
        </m:r>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EC</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LF,y</m:t>
            </m:r>
            <m:ctrlPr>
              <w:rPr>
                <w:rFonts w:hint="default" w:ascii="Cambria Math" w:hAnsi="Cambria Math" w:cs="Cambria Math"/>
                <w:lang w:val="en-US" w:eastAsia="zh-CN"/>
              </w:rPr>
            </m:ctrlPr>
          </m:sub>
        </m:sSub>
        <m:r>
          <m:rPr>
            <m:sty m:val="p"/>
          </m:rPr>
          <w:rPr>
            <w:rFonts w:hint="default" w:ascii="Cambria Math" w:hAnsi="Cambria Math" w:cs="Cambria Math"/>
            <w:lang w:val="en-US" w:eastAsia="zh-CN"/>
          </w:rPr>
          <m:t>×</m:t>
        </m:r>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EF</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EC</m:t>
            </m:r>
            <m:ctrlPr>
              <w:rPr>
                <w:rFonts w:hint="default" w:ascii="Cambria Math" w:hAnsi="Cambria Math" w:cs="Cambria Math"/>
                <w:lang w:val="en-US" w:eastAsia="zh-CN"/>
              </w:rPr>
            </m:ctrlPr>
          </m:sub>
        </m:sSub>
      </m:oMath>
      <w:r>
        <w:rPr>
          <w:rFonts w:hint="default" w:ascii="Times New Roman" w:hAnsi="Times New Roman" w:cs="Times New Roman"/>
          <w:lang w:val="en-US" w:eastAsia="zh-CN"/>
        </w:rPr>
        <w:tab/>
      </w:r>
      <w:r>
        <w:rPr>
          <w:rFonts w:hint="default" w:ascii="Times New Roman" w:hAnsi="Times New Roman" w:cs="Times New Roman"/>
        </w:rPr>
        <w:t>（</w:t>
      </w:r>
      <w:r>
        <w:rPr>
          <w:rFonts w:hint="eastAsia" w:ascii="Times New Roman" w:hAnsi="Times New Roman" w:eastAsia="宋体" w:cs="Times New Roman"/>
          <w:lang w:val="en-US" w:eastAsia="zh-CN"/>
        </w:rPr>
        <w:t>4</w:t>
      </w:r>
      <w:r>
        <w:rPr>
          <w:rFonts w:hint="default" w:ascii="Times New Roman" w:hAnsi="Times New Roman" w:cs="Times New Roman"/>
        </w:rPr>
        <w:t>）</w:t>
      </w:r>
    </w:p>
    <w:p w14:paraId="3663E184">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其中：</w:t>
      </w:r>
    </w:p>
    <w:p w14:paraId="38F8EDD9">
      <w:pPr>
        <w:pStyle w:val="22"/>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L</m:t>
            </m:r>
            <m:ctrlPr>
              <w:rPr>
                <w:rFonts w:hint="default" w:ascii="Cambria Math" w:hAnsi="Cambria Math" w:cs="Cambria Math"/>
                <w:lang w:val="en-US"/>
              </w:rPr>
            </m:ctrlPr>
          </m:e>
          <m:sub>
            <m:r>
              <m:rPr>
                <m:sty m:val="p"/>
              </m:rPr>
              <w:rPr>
                <w:rFonts w:hint="default" w:ascii="Cambria Math" w:hAnsi="Cambria Math" w:cs="Cambria Math"/>
                <w:lang w:val="en-US" w:eastAsia="zh-CN"/>
              </w:rPr>
              <m:t>o,y</m:t>
            </m:r>
            <m:ctrlPr>
              <w:rPr>
                <w:rFonts w:hint="default" w:ascii="Cambria Math" w:hAnsi="Cambria Math" w:cs="Cambria Math"/>
                <w:lang w:val="en-US"/>
              </w:rPr>
            </m:ctrlPr>
          </m:sub>
        </m:sSub>
        <m:r>
          <m:rPr>
            <m:sty m:val="p"/>
          </m:rPr>
          <w:rPr>
            <w:rFonts w:hint="default" w:ascii="Cambria Math" w:hAnsi="Cambria Math" w:cs="Cambria Math"/>
            <w:lang w:val="en-US" w:eastAsia="zh-CN"/>
          </w:rPr>
          <m:t>=MCF×</m:t>
        </m:r>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DOC</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y</m:t>
            </m:r>
            <m:ctrlPr>
              <w:rPr>
                <w:rFonts w:hint="default" w:ascii="Cambria Math" w:hAnsi="Cambria Math" w:cs="Cambria Math"/>
                <w:lang w:val="en-US" w:eastAsia="zh-CN"/>
              </w:rPr>
            </m:ctrlPr>
          </m:sub>
        </m:sSub>
        <m:r>
          <m:rPr>
            <m:sty m:val="p"/>
          </m:rPr>
          <w:rPr>
            <w:rFonts w:hint="default" w:ascii="Cambria Math" w:hAnsi="Cambria Math" w:cs="Cambria Math"/>
            <w:lang w:val="en-US" w:eastAsia="zh-CN"/>
          </w:rPr>
          <m:t>×</m:t>
        </m:r>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DOC</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F</m:t>
            </m:r>
            <m:ctrlPr>
              <w:rPr>
                <w:rFonts w:hint="default" w:ascii="Cambria Math" w:hAnsi="Cambria Math" w:cs="Cambria Math"/>
                <w:lang w:val="en-US" w:eastAsia="zh-CN"/>
              </w:rPr>
            </m:ctrlPr>
          </m:sub>
        </m:sSub>
        <m:r>
          <m:rPr>
            <m:sty m:val="p"/>
          </m:rPr>
          <w:rPr>
            <w:rFonts w:hint="default" w:ascii="Cambria Math" w:hAnsi="Cambria Math" w:cs="Cambria Math"/>
            <w:lang w:val="en-US" w:eastAsia="zh-CN"/>
          </w:rPr>
          <m:t>×F×</m:t>
        </m:r>
        <m:f>
          <m:fPr>
            <m:ctrlPr>
              <w:rPr>
                <w:rFonts w:hint="default" w:ascii="Cambria Math" w:hAnsi="Cambria Math" w:cs="Cambria Math"/>
                <w:lang w:val="en-US" w:eastAsia="zh-CN"/>
              </w:rPr>
            </m:ctrlPr>
          </m:fPr>
          <m:num>
            <m:r>
              <m:rPr>
                <m:sty m:val="p"/>
              </m:rPr>
              <w:rPr>
                <w:rFonts w:hint="default" w:ascii="Cambria Math" w:hAnsi="Cambria Math" w:cs="Cambria Math"/>
                <w:lang w:val="en-US" w:eastAsia="zh-CN"/>
              </w:rPr>
              <m:t>16</m:t>
            </m:r>
            <m:ctrlPr>
              <w:rPr>
                <w:rFonts w:hint="default" w:ascii="Cambria Math" w:hAnsi="Cambria Math" w:cs="Cambria Math"/>
                <w:lang w:val="en-US" w:eastAsia="zh-CN"/>
              </w:rPr>
            </m:ctrlPr>
          </m:num>
          <m:den>
            <m:r>
              <m:rPr>
                <m:sty m:val="p"/>
              </m:rPr>
              <w:rPr>
                <w:rFonts w:hint="default" w:ascii="Cambria Math" w:hAnsi="Cambria Math" w:cs="Cambria Math"/>
                <w:lang w:val="en-US" w:eastAsia="zh-CN"/>
              </w:rPr>
              <m:t>12</m:t>
            </m:r>
            <m:ctrlPr>
              <w:rPr>
                <w:rFonts w:hint="default" w:ascii="Cambria Math" w:hAnsi="Cambria Math" w:cs="Cambria Math"/>
                <w:lang w:val="en-US" w:eastAsia="zh-CN"/>
              </w:rPr>
            </m:ctrlPr>
          </m:den>
        </m:f>
      </m:oMath>
      <w:r>
        <w:rPr>
          <w:rFonts w:hint="default" w:ascii="Times New Roman" w:hAnsi="Times New Roman" w:cs="Times New Roman"/>
          <w:lang w:val="en-US" w:eastAsia="zh-CN"/>
        </w:rPr>
        <w:tab/>
      </w:r>
      <w:r>
        <w:rPr>
          <w:rFonts w:hint="default" w:ascii="Times New Roman" w:hAnsi="Times New Roman" w:cs="Times New Roman"/>
          <w:lang w:val="en-US" w:eastAsia="zh-CN"/>
        </w:rPr>
        <w:t>（</w:t>
      </w:r>
      <w:r>
        <w:rPr>
          <w:rFonts w:hint="eastAsia" w:ascii="Times New Roman" w:hAnsi="Times New Roman" w:eastAsia="宋体" w:cs="Times New Roman"/>
          <w:lang w:val="en-US" w:eastAsia="zh-CN"/>
        </w:rPr>
        <w:t>5</w:t>
      </w:r>
      <w:r>
        <w:rPr>
          <w:rFonts w:hint="default" w:ascii="Times New Roman" w:hAnsi="Times New Roman" w:cs="Times New Roman"/>
          <w:lang w:val="en-US" w:eastAsia="zh-CN"/>
        </w:rPr>
        <w:t>）</w:t>
      </w:r>
    </w:p>
    <w:p w14:paraId="04FAF6F1">
      <w:pPr>
        <w:pStyle w:val="22"/>
        <w:bidi w:val="0"/>
        <w:rPr>
          <w:rFonts w:hint="default" w:ascii="Times New Roman" w:hAnsi="Times New Roman" w:cs="Times New Roma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DOC</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y</m:t>
            </m:r>
            <m:ctrlPr>
              <w:rPr>
                <w:rFonts w:hint="default" w:ascii="Cambria Math" w:hAnsi="Cambria Math" w:cs="Cambria Math"/>
                <w:lang w:val="en-US" w:eastAsia="zh-CN"/>
              </w:rPr>
            </m:ctrlPr>
          </m:sub>
        </m:sSub>
        <m:r>
          <m:rPr>
            <m:sty m:val="p"/>
          </m:rPr>
          <w:rPr>
            <w:rFonts w:hint="default" w:ascii="Cambria Math" w:hAnsi="Cambria Math" w:cs="Cambria Math"/>
            <w:lang w:val="en-US" w:eastAsia="zh-CN"/>
          </w:rPr>
          <m:t>=</m:t>
        </m:r>
        <m:nary>
          <m:naryPr>
            <m:chr m:val="∑"/>
            <m:limLoc m:val="subSup"/>
            <m:supHide m:val="1"/>
            <m:ctrlPr>
              <w:rPr>
                <w:rFonts w:hint="default" w:ascii="Cambria Math" w:hAnsi="Cambria Math" w:cs="Cambria Math"/>
                <w:lang w:val="en-US" w:eastAsia="zh-CN"/>
              </w:rPr>
            </m:ctrlPr>
          </m:naryPr>
          <m:sub>
            <m:r>
              <m:rPr>
                <m:sty m:val="p"/>
              </m:rPr>
              <w:rPr>
                <w:rFonts w:hint="default" w:ascii="Cambria Math" w:hAnsi="Cambria Math" w:cs="Cambria Math"/>
                <w:lang w:val="en-US" w:eastAsia="zh-CN"/>
              </w:rPr>
              <m:t>i</m:t>
            </m:r>
            <m:ctrlPr>
              <w:rPr>
                <w:rFonts w:hint="default" w:ascii="Cambria Math" w:hAnsi="Cambria Math" w:cs="Cambria Math"/>
                <w:lang w:val="en-US" w:eastAsia="zh-CN"/>
              </w:rPr>
            </m:ctrlPr>
          </m:sub>
          <m:sup>
            <m:ctrlPr>
              <w:rPr>
                <w:rFonts w:hint="default" w:ascii="Cambria Math" w:hAnsi="Cambria Math" w:cs="Cambria Math"/>
                <w:lang w:val="en-US" w:eastAsia="zh-CN"/>
              </w:rPr>
            </m:ctrlPr>
          </m:sup>
          <m:e>
            <m:r>
              <m:rPr>
                <m:sty m:val="p"/>
              </m:rPr>
              <w:rPr>
                <w:rFonts w:hint="default" w:ascii="Cambria Math" w:hAnsi="Cambria Math" w:cs="Cambria Math"/>
                <w:lang w:val="en-US" w:eastAsia="zh-CN"/>
              </w:rPr>
              <m:t>(</m:t>
            </m:r>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DOC</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i,y</m:t>
                </m:r>
                <m:ctrlPr>
                  <w:rPr>
                    <w:rFonts w:hint="default" w:ascii="Cambria Math" w:hAnsi="Cambria Math" w:cs="Cambria Math"/>
                    <w:lang w:val="en-US" w:eastAsia="zh-CN"/>
                  </w:rPr>
                </m:ctrlPr>
              </m:sub>
            </m:sSub>
            <m:r>
              <m:rPr>
                <m:sty m:val="p"/>
              </m:rPr>
              <w:rPr>
                <w:rFonts w:hint="default" w:ascii="Cambria Math" w:hAnsi="Cambria Math" w:cs="Cambria Math"/>
                <w:lang w:val="en-US"/>
              </w:rPr>
              <m:t>×</m:t>
            </m:r>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W</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i,y</m:t>
                </m:r>
                <m:ctrlPr>
                  <w:rPr>
                    <w:rFonts w:hint="default" w:ascii="Cambria Math" w:hAnsi="Cambria Math" w:cs="Cambria Math"/>
                    <w:lang w:val="en-US" w:eastAsia="zh-CN"/>
                  </w:rPr>
                </m:ctrlPr>
              </m:sub>
            </m:sSub>
            <m:r>
              <m:rPr>
                <m:sty m:val="p"/>
              </m:rPr>
              <w:rPr>
                <w:rFonts w:hint="default" w:ascii="Cambria Math" w:hAnsi="Cambria Math" w:cs="Cambria Math"/>
                <w:lang w:val="en-US" w:eastAsia="zh-CN"/>
              </w:rPr>
              <m:t>)</m:t>
            </m:r>
            <m:ctrlPr>
              <w:rPr>
                <w:rFonts w:hint="default" w:ascii="Cambria Math" w:hAnsi="Cambria Math" w:cs="Cambria Math"/>
                <w:lang w:val="en-US" w:eastAsia="zh-CN"/>
              </w:rPr>
            </m:ctrlPr>
          </m:e>
        </m:nary>
      </m:oMath>
      <w:r>
        <w:rPr>
          <w:rFonts w:hint="default" w:ascii="Times New Roman" w:hAnsi="Times New Roman" w:cs="Times New Roman"/>
          <w:lang w:val="en-US" w:eastAsia="zh-CN"/>
        </w:rPr>
        <w:tab/>
      </w:r>
      <w:r>
        <w:rPr>
          <w:rFonts w:hint="default" w:ascii="Times New Roman" w:hAnsi="Times New Roman" w:cs="Times New Roman"/>
          <w:lang w:val="en-US" w:eastAsia="zh-CN"/>
        </w:rPr>
        <w:t>（</w:t>
      </w:r>
      <w:r>
        <w:rPr>
          <w:rFonts w:hint="eastAsia" w:ascii="Times New Roman" w:hAnsi="Times New Roman" w:eastAsia="宋体" w:cs="Times New Roman"/>
          <w:lang w:val="en-US" w:eastAsia="zh-CN"/>
        </w:rPr>
        <w:t>6</w:t>
      </w:r>
      <w:r>
        <w:rPr>
          <w:rFonts w:hint="default" w:ascii="Times New Roman" w:hAnsi="Times New Roman" w:cs="Times New Roman"/>
          <w:lang w:val="en-US" w:eastAsia="zh-CN"/>
        </w:rPr>
        <w:t>）</w:t>
      </w:r>
    </w:p>
    <w:p w14:paraId="25D9AA7F">
      <w:pPr>
        <w:pStyle w:val="3"/>
        <w:bidi w:val="0"/>
        <w:rPr>
          <w:rFonts w:hint="default" w:ascii="Times New Roman" w:hAnsi="Times New Roman" w:cs="Times New Roman"/>
        </w:rPr>
      </w:pPr>
      <w:r>
        <w:rPr>
          <w:rFonts w:hint="default" w:ascii="Times New Roman" w:hAnsi="Times New Roman" w:cs="Times New Roman"/>
        </w:rPr>
        <w:t>式中：</w:t>
      </w:r>
    </w:p>
    <w:p w14:paraId="7671D15E">
      <w:pPr>
        <w:pStyle w:val="3"/>
        <w:bidi w:val="0"/>
        <w:rPr>
          <w:rFonts w:hint="default" w:ascii="Times New Roman" w:hAnsi="Times New Roman" w:cs="Times New Roma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m:t>
            </m:r>
            <m:ctrlPr>
              <w:rPr>
                <w:rFonts w:hint="default" w:ascii="Cambria Math" w:hAnsi="Cambria Math" w:cs="Cambria Math"/>
                <w:lang w:val="en-US"/>
              </w:rPr>
            </m:ctrlPr>
          </m:e>
          <m:sub>
            <m:r>
              <m:rPr>
                <m:sty m:val="p"/>
              </m:rPr>
              <w:rPr>
                <w:rFonts w:hint="default" w:ascii="Cambria Math" w:hAnsi="Cambria Math" w:cs="Cambria Math"/>
                <w:lang w:val="en-US" w:eastAsia="zh-CN"/>
              </w:rPr>
              <m:t>LF,y</m:t>
            </m:r>
            <m:ctrlPr>
              <w:rPr>
                <w:rFonts w:hint="default" w:ascii="Cambria Math" w:hAnsi="Cambria Math" w:cs="Cambria Math"/>
                <w:lang w:val="en-US"/>
              </w:rPr>
            </m:ctrlPr>
          </m:sub>
        </m:sSub>
      </m:oMath>
      <w:r>
        <w:rPr>
          <w:rFonts w:hint="default" w:ascii="Times New Roman" w:hAnsi="Times New Roman" w:cs="Times New Roman"/>
        </w:rPr>
        <w:t>——</w:t>
      </w:r>
      <w:r>
        <w:rPr>
          <w:rFonts w:hint="default" w:ascii="Times New Roman" w:hAnsi="Times New Roman" w:cs="Times New Roman"/>
          <w:lang w:val="en-US" w:eastAsia="zh-CN"/>
        </w:rPr>
        <w:t>指第y年生活垃圾填埋处理产生的碳排放量，单位为吨二氧化碳每年（t</w:t>
      </w:r>
      <w:r>
        <w:rPr>
          <w:rFonts w:hint="default" w:ascii="Times New Roman" w:hAnsi="Times New Roman" w:cs="Times New Roman"/>
        </w:rPr>
        <w:t>CO₂</w:t>
      </w:r>
      <w:r>
        <w:rPr>
          <w:rFonts w:hint="default" w:ascii="Times New Roman" w:hAnsi="Times New Roman" w:cs="Times New Roman"/>
          <w:lang w:val="en-US" w:eastAsia="zh-CN"/>
        </w:rPr>
        <w:t>/a）；</w:t>
      </w:r>
    </w:p>
    <w:p w14:paraId="7EE5D247">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L</m:t>
            </m:r>
            <m:ctrlPr>
              <w:rPr>
                <w:rFonts w:hint="default" w:ascii="Cambria Math" w:hAnsi="Cambria Math" w:cs="Cambria Math"/>
                <w:lang w:val="en-US"/>
              </w:rPr>
            </m:ctrlPr>
          </m:e>
          <m:sub>
            <m:r>
              <m:rPr>
                <m:sty m:val="p"/>
              </m:rPr>
              <w:rPr>
                <w:rFonts w:hint="default" w:ascii="Cambria Math" w:hAnsi="Cambria Math" w:cs="Cambria Math"/>
                <w:lang w:val="en-US" w:eastAsia="zh-CN"/>
              </w:rPr>
              <m:t>o,y</m:t>
            </m:r>
            <m:ctrlPr>
              <w:rPr>
                <w:rFonts w:hint="default" w:ascii="Cambria Math" w:hAnsi="Cambria Math" w:cs="Cambria Math"/>
                <w:lang w:val="en-US"/>
              </w:rPr>
            </m:ctrlPr>
          </m:sub>
        </m:sSub>
      </m:oMath>
      <w:r>
        <w:rPr>
          <w:rFonts w:hint="default" w:ascii="Times New Roman" w:hAnsi="Times New Roman" w:cs="Times New Roman"/>
        </w:rPr>
        <w:t>——</w:t>
      </w:r>
      <w:r>
        <w:rPr>
          <w:rFonts w:hint="default" w:ascii="Times New Roman" w:hAnsi="Times New Roman" w:cs="Times New Roman"/>
          <w:lang w:val="en-US" w:eastAsia="zh-CN"/>
        </w:rPr>
        <w:t>指第y年各类管理类型垃圾填埋场的甲烷产生潜力；</w:t>
      </w:r>
    </w:p>
    <w:p w14:paraId="6EF701B7">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DOC</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y</m:t>
            </m:r>
            <m:ctrlPr>
              <w:rPr>
                <w:rFonts w:hint="default" w:ascii="Cambria Math" w:hAnsi="Cambria Math" w:cs="Cambria Math"/>
                <w:lang w:val="en-US" w:eastAsia="zh-CN"/>
              </w:rPr>
            </m:ctrlPr>
          </m:sub>
        </m:sSub>
      </m:oMath>
      <w:r>
        <w:rPr>
          <w:rFonts w:hint="default" w:ascii="Times New Roman" w:hAnsi="Times New Roman" w:cs="Times New Roman"/>
        </w:rPr>
        <w:t>——</w:t>
      </w:r>
      <w:r>
        <w:rPr>
          <w:rFonts w:hint="default" w:ascii="Times New Roman" w:hAnsi="Times New Roman" w:cs="Times New Roman"/>
          <w:lang w:val="en-US" w:eastAsia="zh-CN"/>
        </w:rPr>
        <w:t>指第y年填埋垃圾中可降解有机碳分数；</w:t>
      </w:r>
    </w:p>
    <w:p w14:paraId="7ABA2D19">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MSW</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LF</m:t>
            </m:r>
            <m:ctrlPr>
              <w:rPr>
                <w:rFonts w:hint="default" w:ascii="Cambria Math" w:hAnsi="Cambria Math" w:cs="Cambria Math"/>
                <w:lang w:val="en-US" w:eastAsia="zh-CN"/>
              </w:rPr>
            </m:ctrlPr>
          </m:sub>
        </m:sSub>
      </m:oMath>
      <w:r>
        <w:rPr>
          <w:rFonts w:hint="default" w:ascii="Times New Roman" w:hAnsi="Times New Roman" w:cs="Times New Roman"/>
        </w:rPr>
        <w:t>——</w:t>
      </w:r>
      <w:r>
        <w:rPr>
          <w:rFonts w:hint="default" w:ascii="Times New Roman" w:hAnsi="Times New Roman" w:cs="Times New Roman"/>
          <w:lang w:val="en-US" w:eastAsia="zh-CN"/>
        </w:rPr>
        <w:t>指填埋垃圾的质量，单位为吨（t）；</w:t>
      </w:r>
    </w:p>
    <w:p w14:paraId="53859942">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R</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y</m:t>
            </m:r>
            <m:ctrlPr>
              <w:rPr>
                <w:rFonts w:hint="default" w:ascii="Cambria Math" w:hAnsi="Cambria Math" w:cs="Cambria Math"/>
                <w:lang w:val="en-US" w:eastAsia="zh-CN"/>
              </w:rPr>
            </m:ctrlPr>
          </m:sub>
        </m:sSub>
      </m:oMath>
      <w:r>
        <w:rPr>
          <w:rFonts w:hint="default" w:ascii="Times New Roman" w:hAnsi="Times New Roman" w:cs="Times New Roman"/>
        </w:rPr>
        <w:t>——</w:t>
      </w:r>
      <w:r>
        <w:rPr>
          <w:rFonts w:hint="default" w:ascii="Times New Roman" w:hAnsi="Times New Roman" w:cs="Times New Roman"/>
          <w:lang w:val="en-US" w:eastAsia="zh-CN"/>
        </w:rPr>
        <w:t>指第y年填埋气中甲烷回收量；</w:t>
      </w:r>
    </w:p>
    <w:p w14:paraId="6AAA3B57">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OX</w:t>
      </w:r>
      <w:r>
        <w:rPr>
          <w:rFonts w:hint="default" w:ascii="Times New Roman" w:hAnsi="Times New Roman" w:cs="Times New Roman"/>
        </w:rPr>
        <w:t>——</w:t>
      </w:r>
      <w:r>
        <w:rPr>
          <w:rFonts w:hint="default" w:ascii="Times New Roman" w:hAnsi="Times New Roman" w:cs="Times New Roman"/>
          <w:lang w:val="en-US" w:eastAsia="zh-CN"/>
        </w:rPr>
        <w:t>指氧化因子，若数据获取困难，可使用推荐值0.1；</w:t>
      </w:r>
    </w:p>
    <w:p w14:paraId="0EAF9190">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MCF</w:t>
      </w:r>
      <w:r>
        <w:rPr>
          <w:rFonts w:hint="default" w:ascii="Times New Roman" w:hAnsi="Times New Roman" w:cs="Times New Roman"/>
        </w:rPr>
        <w:t>——</w:t>
      </w:r>
      <w:r>
        <w:rPr>
          <w:rFonts w:hint="default" w:ascii="Times New Roman" w:hAnsi="Times New Roman" w:cs="Times New Roman"/>
          <w:lang w:val="en-US" w:eastAsia="zh-CN"/>
        </w:rPr>
        <w:t>指甲烷修正因子，推荐值见附录D；</w:t>
      </w:r>
    </w:p>
    <w:p w14:paraId="36721615">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DOC</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F</m:t>
            </m:r>
            <m:ctrlPr>
              <w:rPr>
                <w:rFonts w:hint="default" w:ascii="Cambria Math" w:hAnsi="Cambria Math" w:cs="Cambria Math"/>
                <w:lang w:val="en-US" w:eastAsia="zh-CN"/>
              </w:rPr>
            </m:ctrlPr>
          </m:sub>
        </m:sSub>
      </m:oMath>
      <w:r>
        <w:rPr>
          <w:rFonts w:hint="default" w:ascii="Times New Roman" w:hAnsi="Times New Roman" w:cs="Times New Roman"/>
        </w:rPr>
        <w:t>——</w:t>
      </w:r>
      <w:r>
        <w:rPr>
          <w:rFonts w:hint="default" w:ascii="Times New Roman" w:hAnsi="Times New Roman" w:cs="Times New Roman"/>
          <w:lang w:val="en-US" w:eastAsia="zh-CN"/>
        </w:rPr>
        <w:t>指填埋垃圾实际分解的DOC比例（%），若数据获取困难，可取推荐值0.5；</w:t>
      </w:r>
    </w:p>
    <w:p w14:paraId="09945FEF">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DOC</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i,y</m:t>
            </m:r>
            <m:ctrlPr>
              <w:rPr>
                <w:rFonts w:hint="default" w:ascii="Cambria Math" w:hAnsi="Cambria Math" w:cs="Cambria Math"/>
                <w:lang w:val="en-US" w:eastAsia="zh-CN"/>
              </w:rPr>
            </m:ctrlPr>
          </m:sub>
        </m:sSub>
      </m:oMath>
      <w:r>
        <w:rPr>
          <w:rFonts w:hint="default" w:ascii="Times New Roman" w:hAnsi="Times New Roman" w:cs="Times New Roman"/>
        </w:rPr>
        <w:t>——</w:t>
      </w:r>
      <w:r>
        <w:rPr>
          <w:rFonts w:hint="default" w:ascii="Times New Roman" w:hAnsi="Times New Roman" w:cs="Times New Roman"/>
          <w:lang w:val="en-US" w:eastAsia="zh-CN"/>
        </w:rPr>
        <w:t>指第y年i类废弃物中可降解有机碳的比例，推荐值见附录C；</w:t>
      </w:r>
    </w:p>
    <w:p w14:paraId="30B67D6B">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F</w:t>
      </w:r>
      <w:r>
        <w:rPr>
          <w:rFonts w:hint="default" w:ascii="Times New Roman" w:hAnsi="Times New Roman" w:cs="Times New Roman"/>
        </w:rPr>
        <w:t>——</w:t>
      </w:r>
      <w:r>
        <w:rPr>
          <w:rFonts w:hint="default" w:ascii="Times New Roman" w:hAnsi="Times New Roman" w:cs="Times New Roman"/>
          <w:lang w:val="en-US" w:eastAsia="zh-CN"/>
        </w:rPr>
        <w:t>指甲烷在垃圾填埋气体中的比例，若数据获取困难，可取推荐值0.5；</w:t>
      </w:r>
    </w:p>
    <w:p w14:paraId="64A77D00">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W</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i,y</m:t>
            </m:r>
            <m:ctrlPr>
              <w:rPr>
                <w:rFonts w:hint="default" w:ascii="Cambria Math" w:hAnsi="Cambria Math" w:cs="Cambria Math"/>
                <w:lang w:val="en-US" w:eastAsia="zh-CN"/>
              </w:rPr>
            </m:ctrlPr>
          </m:sub>
        </m:sSub>
      </m:oMath>
      <w:r>
        <w:rPr>
          <w:rFonts w:hint="default" w:ascii="Times New Roman" w:hAnsi="Times New Roman" w:cs="Times New Roman"/>
        </w:rPr>
        <w:t>——</w:t>
      </w:r>
      <w:r>
        <w:rPr>
          <w:rFonts w:hint="default" w:ascii="Times New Roman" w:hAnsi="Times New Roman" w:cs="Times New Roman"/>
          <w:lang w:val="en-US" w:eastAsia="zh-CN"/>
        </w:rPr>
        <w:t>指第y年i类废弃物的比例；</w:t>
      </w:r>
    </w:p>
    <w:p w14:paraId="2503758A">
      <w:pPr>
        <w:pStyle w:val="3"/>
        <w:bidi w:val="0"/>
        <w:rPr>
          <w:rFonts w:hint="default" w:ascii="Times New Roman" w:hAnsi="Times New Roman" w:cs="Times New Roman"/>
          <w:lang w:val="en-US" w:eastAsia="zh-CN"/>
        </w:rPr>
      </w:pPr>
      <m:oMath>
        <m:f>
          <m:fPr>
            <m:ctrlPr>
              <w:rPr>
                <w:rFonts w:hint="default" w:ascii="Cambria Math" w:hAnsi="Cambria Math" w:cs="Cambria Math"/>
                <w:lang w:val="en-US" w:eastAsia="zh-CN"/>
              </w:rPr>
            </m:ctrlPr>
          </m:fPr>
          <m:num>
            <m:r>
              <m:rPr>
                <m:sty m:val="p"/>
              </m:rPr>
              <w:rPr>
                <w:rFonts w:hint="default" w:ascii="Cambria Math" w:hAnsi="Cambria Math" w:cs="Cambria Math"/>
                <w:lang w:val="en-US" w:eastAsia="zh-CN"/>
              </w:rPr>
              <m:t>16</m:t>
            </m:r>
            <m:ctrlPr>
              <w:rPr>
                <w:rFonts w:hint="default" w:ascii="Cambria Math" w:hAnsi="Cambria Math" w:cs="Cambria Math"/>
                <w:lang w:val="en-US" w:eastAsia="zh-CN"/>
              </w:rPr>
            </m:ctrlPr>
          </m:num>
          <m:den>
            <m:r>
              <m:rPr>
                <m:sty m:val="p"/>
              </m:rPr>
              <w:rPr>
                <w:rFonts w:hint="default" w:ascii="Cambria Math" w:hAnsi="Cambria Math" w:cs="Cambria Math"/>
                <w:lang w:val="en-US" w:eastAsia="zh-CN"/>
              </w:rPr>
              <m:t>12</m:t>
            </m:r>
            <m:ctrlPr>
              <w:rPr>
                <w:rFonts w:hint="default" w:ascii="Cambria Math" w:hAnsi="Cambria Math" w:cs="Cambria Math"/>
                <w:lang w:val="en-US" w:eastAsia="zh-CN"/>
              </w:rPr>
            </m:ctrlPr>
          </m:den>
        </m:f>
      </m:oMath>
      <w:r>
        <w:rPr>
          <w:rFonts w:hint="default" w:ascii="Times New Roman" w:hAnsi="Times New Roman" w:cs="Times New Roman"/>
        </w:rPr>
        <w:t>——</w:t>
      </w:r>
      <w:r>
        <w:rPr>
          <w:rFonts w:hint="default" w:ascii="Times New Roman" w:hAnsi="Times New Roman" w:cs="Times New Roman"/>
          <w:lang w:val="en-US" w:eastAsia="zh-CN"/>
        </w:rPr>
        <w:t>指甲烷与碳分子量比率；</w:t>
      </w:r>
    </w:p>
    <w:p w14:paraId="7DB7D773">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EC</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LF,y</m:t>
            </m:r>
            <m:ctrlPr>
              <w:rPr>
                <w:rFonts w:hint="default" w:ascii="Cambria Math" w:hAnsi="Cambria Math" w:cs="Cambria Math"/>
                <w:lang w:val="en-US" w:eastAsia="zh-CN"/>
              </w:rPr>
            </m:ctrlPr>
          </m:sub>
        </m:sSub>
      </m:oMath>
      <w:r>
        <w:rPr>
          <w:rFonts w:hint="default" w:ascii="Times New Roman" w:hAnsi="Times New Roman" w:cs="Times New Roman"/>
        </w:rPr>
        <w:t>——</w:t>
      </w:r>
      <w:r>
        <w:rPr>
          <w:rFonts w:hint="default" w:ascii="Times New Roman" w:hAnsi="Times New Roman" w:cs="Times New Roman"/>
          <w:lang w:val="en-US" w:eastAsia="zh-CN"/>
        </w:rPr>
        <w:t>指第y年填埋场向电网输送的供电量，单位为兆瓦时（MWh）；</w:t>
      </w:r>
    </w:p>
    <w:p w14:paraId="528C526A">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EF</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EC</m:t>
            </m:r>
            <m:ctrlPr>
              <w:rPr>
                <w:rFonts w:hint="default" w:ascii="Cambria Math" w:hAnsi="Cambria Math" w:cs="Cambria Math"/>
                <w:lang w:val="en-US" w:eastAsia="zh-CN"/>
              </w:rPr>
            </m:ctrlPr>
          </m:sub>
        </m:sSub>
      </m:oMath>
      <w:r>
        <w:rPr>
          <w:rFonts w:hint="default" w:ascii="Times New Roman" w:hAnsi="Times New Roman" w:cs="Times New Roman"/>
        </w:rPr>
        <w:t>——</w:t>
      </w:r>
      <w:r>
        <w:rPr>
          <w:rFonts w:hint="default" w:ascii="Times New Roman" w:hAnsi="Times New Roman" w:cs="Times New Roman"/>
          <w:lang w:val="en-US" w:eastAsia="zh-CN"/>
        </w:rPr>
        <w:t>指2024年</w:t>
      </w:r>
      <w:r>
        <w:rPr>
          <w:rFonts w:hint="eastAsia" w:cs="Times New Roman"/>
          <w:lang w:val="en-US" w:eastAsia="zh-CN"/>
        </w:rPr>
        <w:t>减排项目</w:t>
      </w:r>
      <w:r>
        <w:rPr>
          <w:rFonts w:hint="default" w:ascii="Times New Roman" w:hAnsi="Times New Roman" w:cs="Times New Roman"/>
          <w:lang w:val="en-US" w:eastAsia="zh-CN"/>
        </w:rPr>
        <w:t>中国区域电网碳排放因子，单位为吨二氧化碳每兆瓦时（t</w:t>
      </w:r>
      <w:r>
        <w:rPr>
          <w:rFonts w:hint="default" w:ascii="Times New Roman" w:hAnsi="Times New Roman" w:cs="Times New Roman"/>
        </w:rPr>
        <w:t>CO₂</w:t>
      </w:r>
      <w:r>
        <w:rPr>
          <w:rFonts w:hint="default" w:ascii="Times New Roman" w:hAnsi="Times New Roman" w:cs="Times New Roman"/>
          <w:lang w:val="en-US" w:eastAsia="zh-CN"/>
        </w:rPr>
        <w:t>/MWh），取推荐值6.313×10</w:t>
      </w:r>
      <w:r>
        <w:rPr>
          <w:rFonts w:hint="default" w:ascii="Times New Roman" w:hAnsi="Times New Roman" w:cs="Times New Roman"/>
          <w:vertAlign w:val="superscript"/>
          <w:lang w:val="en-US" w:eastAsia="zh-CN"/>
        </w:rPr>
        <w:t>-4</w:t>
      </w:r>
      <w:r>
        <w:rPr>
          <w:rFonts w:hint="default" w:ascii="Times New Roman" w:hAnsi="Times New Roman" w:cs="Times New Roman"/>
          <w:lang w:val="en-US" w:eastAsia="zh-CN"/>
        </w:rPr>
        <w:t>t</w:t>
      </w:r>
      <w:r>
        <w:rPr>
          <w:rFonts w:hint="default" w:ascii="Times New Roman" w:hAnsi="Times New Roman" w:cs="Times New Roman"/>
        </w:rPr>
        <w:t>CO₂</w:t>
      </w:r>
      <w:r>
        <w:rPr>
          <w:rFonts w:hint="default" w:ascii="Times New Roman" w:hAnsi="Times New Roman" w:cs="Times New Roman"/>
          <w:lang w:val="en-US" w:eastAsia="zh-CN"/>
        </w:rPr>
        <w:t>/kWh。</w:t>
      </w:r>
    </w:p>
    <w:p w14:paraId="5B950E06">
      <w:pPr>
        <w:pStyle w:val="5"/>
        <w:bidi w:val="0"/>
        <w:rPr>
          <w:rFonts w:hint="default" w:ascii="Times New Roman" w:hAnsi="Times New Roman" w:cs="Times New Roman"/>
          <w:lang w:val="en-US" w:eastAsia="zh-CN"/>
        </w:rPr>
      </w:pPr>
      <w:bookmarkStart w:id="74" w:name="_Toc5291"/>
      <w:r>
        <w:rPr>
          <w:rFonts w:hint="default" w:ascii="Times New Roman" w:hAnsi="Times New Roman" w:cs="Times New Roman"/>
        </w:rPr>
        <w:t xml:space="preserve">A.1.2  </w:t>
      </w:r>
      <w:r>
        <w:rPr>
          <w:rFonts w:hint="default" w:ascii="Times New Roman" w:hAnsi="Times New Roman" w:cs="Times New Roman"/>
          <w:lang w:val="en-US" w:eastAsia="zh-CN"/>
        </w:rPr>
        <w:t>基准线情景2：混合收运+焚烧</w:t>
      </w:r>
      <w:bookmarkEnd w:id="74"/>
    </w:p>
    <w:p w14:paraId="1B97017E">
      <w:pPr>
        <w:spacing w:line="291" w:lineRule="exact"/>
        <w:ind w:left="423"/>
        <w:rPr>
          <w:rFonts w:hint="default" w:ascii="Times New Roman" w:hAnsi="Times New Roman" w:eastAsia="宋体" w:cs="Times New Roman"/>
          <w:sz w:val="21"/>
          <w:szCs w:val="21"/>
          <w:lang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m:t>
            </m:r>
            <m:ctrlPr>
              <w:rPr>
                <w:rFonts w:hint="default" w:ascii="Cambria Math" w:hAnsi="Cambria Math" w:cs="Cambria Math"/>
                <w:lang w:val="en-US"/>
              </w:rPr>
            </m:ctrlPr>
          </m:e>
          <m:sub>
            <m:r>
              <m:rPr>
                <m:sty m:val="p"/>
              </m:rPr>
              <w:rPr>
                <w:rFonts w:hint="default" w:ascii="Cambria Math" w:hAnsi="Cambria Math" w:cs="Cambria Math"/>
                <w:lang w:val="en-US" w:eastAsia="zh-CN"/>
              </w:rPr>
              <m:t>INC,y</m:t>
            </m:r>
            <m:ctrlPr>
              <w:rPr>
                <w:rFonts w:hint="default" w:ascii="Cambria Math" w:hAnsi="Cambria Math" w:cs="Cambria Math"/>
                <w:lang w:val="en-US"/>
              </w:rPr>
            </m:ctrlPr>
          </m:sub>
        </m:sSub>
      </m:oMath>
      <w:r>
        <w:rPr>
          <w:rFonts w:hint="default" w:ascii="Times New Roman" w:hAnsi="Times New Roman" w:eastAsia="宋体" w:cs="Times New Roman"/>
          <w:spacing w:val="-2"/>
          <w:position w:val="2"/>
          <w:sz w:val="21"/>
          <w:szCs w:val="21"/>
        </w:rPr>
        <w:t>的计算见公式（</w:t>
      </w:r>
      <w:r>
        <w:rPr>
          <w:rFonts w:hint="eastAsia" w:cs="Times New Roman"/>
          <w:spacing w:val="-2"/>
          <w:position w:val="2"/>
          <w:sz w:val="21"/>
          <w:szCs w:val="21"/>
          <w:lang w:eastAsia="zh-CN"/>
        </w:rPr>
        <w:t>7</w:t>
      </w:r>
      <w:r>
        <w:rPr>
          <w:rFonts w:hint="default" w:ascii="Times New Roman" w:hAnsi="Times New Roman" w:eastAsia="宋体" w:cs="Times New Roman"/>
          <w:spacing w:val="-2"/>
          <w:position w:val="2"/>
          <w:sz w:val="21"/>
          <w:szCs w:val="21"/>
        </w:rPr>
        <w:t>）</w:t>
      </w:r>
      <w:r>
        <w:rPr>
          <w:rFonts w:hint="default" w:ascii="Times New Roman" w:hAnsi="Times New Roman" w:eastAsia="宋体" w:cs="Times New Roman"/>
          <w:spacing w:val="-2"/>
          <w:position w:val="2"/>
          <w:sz w:val="21"/>
          <w:szCs w:val="21"/>
          <w:lang w:eastAsia="zh-CN"/>
        </w:rPr>
        <w:t>：</w:t>
      </w:r>
    </w:p>
    <w:p w14:paraId="3015DB05">
      <w:pPr>
        <w:pStyle w:val="22"/>
        <w:bidi w:val="0"/>
        <w:ind w:left="0" w:leftChars="0" w:firstLine="2740" w:firstLineChars="1370"/>
        <w:rPr>
          <w:rFonts w:hint="default" w:ascii="Times New Roman" w:hAnsi="Times New Roman" w:cs="Times New Roma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m:t>
            </m:r>
            <m:ctrlPr>
              <w:rPr>
                <w:rFonts w:hint="default" w:ascii="Cambria Math" w:hAnsi="Cambria Math" w:cs="Cambria Math"/>
                <w:lang w:val="en-US"/>
              </w:rPr>
            </m:ctrlPr>
          </m:e>
          <m:sub>
            <m:r>
              <m:rPr>
                <m:sty m:val="p"/>
              </m:rPr>
              <w:rPr>
                <w:rFonts w:hint="default" w:ascii="Cambria Math" w:hAnsi="Cambria Math" w:cs="Cambria Math"/>
                <w:lang w:val="en-US" w:eastAsia="zh-CN"/>
              </w:rPr>
              <m:t>INC,y</m:t>
            </m:r>
            <m:ctrlPr>
              <w:rPr>
                <w:rFonts w:hint="default" w:ascii="Cambria Math" w:hAnsi="Cambria Math" w:cs="Cambria Math"/>
                <w:lang w:val="en-US"/>
              </w:rPr>
            </m:ctrlPr>
          </m:sub>
        </m:sSub>
        <m:r>
          <m:rPr>
            <m:sty m:val="p"/>
          </m:rPr>
          <w:rPr>
            <w:rFonts w:hint="default" w:ascii="Cambria Math" w:hAnsi="Cambria Math" w:cs="Cambria Math"/>
            <w:lang w:val="en-US" w:eastAsia="zh-CN"/>
          </w:rPr>
          <m:t>=</m:t>
        </m:r>
        <m:nary>
          <m:naryPr>
            <m:chr m:val="∑"/>
            <m:limLoc m:val="subSup"/>
            <m:supHide m:val="1"/>
            <m:ctrlPr>
              <w:rPr>
                <w:rFonts w:hint="default" w:ascii="Cambria Math" w:hAnsi="Cambria Math" w:cs="Cambria Math"/>
                <w:b w:val="0"/>
                <w:i w:val="0"/>
                <w:lang w:val="en-US" w:eastAsia="zh-CN"/>
              </w:rPr>
            </m:ctrlPr>
          </m:naryPr>
          <m:sub>
            <m:r>
              <m:rPr>
                <m:sty m:val="p"/>
              </m:rPr>
              <w:rPr>
                <w:rFonts w:hint="default" w:cs="Cambria Math"/>
                <w:lang w:val="en-US" w:eastAsia="zh-CN"/>
              </w:rPr>
              <m:t>i</m:t>
            </m:r>
            <m:ctrlPr>
              <w:rPr>
                <w:rFonts w:hint="default" w:ascii="Cambria Math" w:hAnsi="Cambria Math" w:cs="Cambria Math"/>
                <w:b w:val="0"/>
                <w:i w:val="0"/>
                <w:lang w:val="en-US" w:eastAsia="zh-CN"/>
              </w:rPr>
            </m:ctrlPr>
          </m:sub>
          <m:sup>
            <m:ctrlPr>
              <w:rPr>
                <w:rFonts w:hint="default" w:ascii="Cambria Math" w:hAnsi="Cambria Math" w:cs="Cambria Math"/>
                <w:b w:val="0"/>
                <w:i w:val="0"/>
                <w:lang w:val="en-US" w:eastAsia="zh-CN"/>
              </w:rPr>
            </m:ctrlPr>
          </m:sup>
          <m:e>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IW</m:t>
                </m:r>
                <m:ctrlPr>
                  <w:rPr>
                    <w:rFonts w:hint="default" w:ascii="Cambria Math" w:hAnsi="Cambria Math" w:cs="Cambria Math"/>
                    <w:lang w:val="en-US"/>
                  </w:rPr>
                </m:ctrlPr>
              </m:e>
              <m:sub>
                <m:r>
                  <m:rPr>
                    <m:sty m:val="p"/>
                  </m:rPr>
                  <w:rPr>
                    <w:rFonts w:hint="default" w:ascii="Cambria Math" w:hAnsi="Cambria Math" w:cs="Cambria Math"/>
                    <w:lang w:val="en-US" w:eastAsia="zh-CN"/>
                  </w:rPr>
                  <m:t>i,y</m:t>
                </m:r>
                <m:ctrlPr>
                  <w:rPr>
                    <w:rFonts w:hint="default" w:ascii="Cambria Math" w:hAnsi="Cambria Math" w:cs="Cambria Math"/>
                    <w:lang w:val="en-US"/>
                  </w:rPr>
                </m:ctrlPr>
              </m:sub>
            </m:sSub>
            <m:r>
              <m:rPr>
                <m:sty m:val="p"/>
              </m:rPr>
              <w:rPr>
                <w:rFonts w:hint="default" w:ascii="Cambria Math" w:hAnsi="Cambria Math" w:cs="Cambria Math"/>
                <w:lang w:val="en-US"/>
              </w:rPr>
              <m:t>×</m:t>
            </m:r>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FCC</m:t>
                </m:r>
                <m:ctrlPr>
                  <w:rPr>
                    <w:rFonts w:hint="default" w:ascii="Cambria Math" w:hAnsi="Cambria Math" w:cs="Cambria Math"/>
                    <w:lang w:val="en-US"/>
                  </w:rPr>
                </m:ctrlPr>
              </m:e>
              <m:sub>
                <m:r>
                  <m:rPr>
                    <m:sty m:val="p"/>
                  </m:rPr>
                  <w:rPr>
                    <w:rFonts w:hint="default" w:ascii="Cambria Math" w:hAnsi="Cambria Math" w:cs="Cambria Math"/>
                    <w:lang w:val="en-US" w:eastAsia="zh-CN"/>
                  </w:rPr>
                  <m:t>i,y</m:t>
                </m:r>
                <m:ctrlPr>
                  <w:rPr>
                    <w:rFonts w:hint="default" w:ascii="Cambria Math" w:hAnsi="Cambria Math" w:cs="Cambria Math"/>
                    <w:lang w:val="en-US"/>
                  </w:rPr>
                </m:ctrlPr>
              </m:sub>
            </m:sSub>
            <m:r>
              <m:rPr>
                <m:sty m:val="p"/>
              </m:rPr>
              <w:rPr>
                <w:rFonts w:hint="default" w:ascii="Cambria Math" w:hAnsi="Cambria Math" w:cs="Cambria Math"/>
                <w:lang w:val="en-US"/>
              </w:rPr>
              <m:t>×</m:t>
            </m:r>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FFC</m:t>
                </m:r>
                <m:ctrlPr>
                  <w:rPr>
                    <w:rFonts w:hint="default" w:ascii="Cambria Math" w:hAnsi="Cambria Math" w:cs="Cambria Math"/>
                    <w:lang w:val="en-US"/>
                  </w:rPr>
                </m:ctrlPr>
              </m:e>
              <m:sub>
                <m:r>
                  <m:rPr>
                    <m:sty m:val="p"/>
                  </m:rPr>
                  <w:rPr>
                    <w:rFonts w:hint="default" w:ascii="Cambria Math" w:hAnsi="Cambria Math" w:cs="Cambria Math"/>
                    <w:lang w:val="en-US" w:eastAsia="zh-CN"/>
                  </w:rPr>
                  <m:t>i,y</m:t>
                </m:r>
                <m:ctrlPr>
                  <w:rPr>
                    <w:rFonts w:hint="default" w:ascii="Cambria Math" w:hAnsi="Cambria Math" w:cs="Cambria Math"/>
                    <w:lang w:val="en-US"/>
                  </w:rPr>
                </m:ctrlPr>
              </m:sub>
            </m:sSub>
            <m:r>
              <m:rPr>
                <m:sty m:val="p"/>
              </m:rPr>
              <w:rPr>
                <w:rFonts w:hint="default" w:ascii="Cambria Math" w:hAnsi="Cambria Math" w:cs="Cambria Math"/>
                <w:lang w:val="en-US"/>
              </w:rPr>
              <m:t>×</m:t>
            </m:r>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EF</m:t>
                </m:r>
                <m:ctrlPr>
                  <w:rPr>
                    <w:rFonts w:hint="default" w:ascii="Cambria Math" w:hAnsi="Cambria Math" w:cs="Cambria Math"/>
                    <w:lang w:val="en-US"/>
                  </w:rPr>
                </m:ctrlPr>
              </m:e>
              <m:sub>
                <m:r>
                  <m:rPr>
                    <m:sty m:val="p"/>
                  </m:rPr>
                  <w:rPr>
                    <w:rFonts w:hint="default" w:ascii="Cambria Math" w:hAnsi="Cambria Math" w:cs="Cambria Math"/>
                    <w:lang w:val="en-US" w:eastAsia="zh-CN"/>
                  </w:rPr>
                  <m:t>i</m:t>
                </m:r>
                <m:ctrlPr>
                  <w:rPr>
                    <w:rFonts w:hint="default" w:ascii="Cambria Math" w:hAnsi="Cambria Math" w:cs="Cambria Math"/>
                    <w:lang w:val="en-US"/>
                  </w:rPr>
                </m:ctrlPr>
              </m:sub>
            </m:sSub>
            <m:r>
              <m:rPr>
                <m:sty m:val="p"/>
              </m:rPr>
              <w:rPr>
                <w:rFonts w:hint="default" w:ascii="Cambria Math" w:hAnsi="Cambria Math" w:cs="Cambria Math"/>
                <w:lang w:val="en-US"/>
              </w:rPr>
              <m:t>×</m:t>
            </m:r>
            <m:f>
              <m:fPr>
                <m:ctrlPr>
                  <w:rPr>
                    <w:rFonts w:hint="default" w:ascii="Cambria Math" w:hAnsi="Cambria Math" w:cs="Cambria Math"/>
                    <w:lang w:val="en-US"/>
                  </w:rPr>
                </m:ctrlPr>
              </m:fPr>
              <m:num>
                <m:r>
                  <m:rPr>
                    <m:sty m:val="p"/>
                  </m:rPr>
                  <w:rPr>
                    <w:rFonts w:hint="default" w:ascii="Cambria Math" w:hAnsi="Cambria Math" w:cs="Cambria Math"/>
                    <w:lang w:val="en-US" w:eastAsia="zh-CN"/>
                  </w:rPr>
                  <m:t>44</m:t>
                </m:r>
                <m:ctrlPr>
                  <w:rPr>
                    <w:rFonts w:hint="default" w:ascii="Cambria Math" w:hAnsi="Cambria Math" w:cs="Cambria Math"/>
                    <w:lang w:val="en-US"/>
                  </w:rPr>
                </m:ctrlPr>
              </m:num>
              <m:den>
                <m:r>
                  <m:rPr>
                    <m:sty m:val="p"/>
                  </m:rPr>
                  <w:rPr>
                    <w:rFonts w:hint="default" w:ascii="Cambria Math" w:hAnsi="Cambria Math" w:cs="Cambria Math"/>
                    <w:lang w:val="en-US" w:eastAsia="zh-CN"/>
                  </w:rPr>
                  <m:t>12</m:t>
                </m:r>
                <m:ctrlPr>
                  <w:rPr>
                    <w:rFonts w:hint="default" w:ascii="Cambria Math" w:hAnsi="Cambria Math" w:cs="Cambria Math"/>
                    <w:lang w:val="en-US"/>
                  </w:rPr>
                </m:ctrlPr>
              </m:den>
            </m:f>
            <m:r>
              <m:rPr>
                <m:sty m:val="p"/>
              </m:rPr>
              <w:rPr>
                <w:rFonts w:hint="default" w:ascii="Cambria Math" w:hAnsi="Cambria Math" w:cs="Cambria Math"/>
                <w:lang w:val="en-US"/>
              </w:rPr>
              <m:t>−</m:t>
            </m:r>
            <m:ctrlPr>
              <w:rPr>
                <w:rFonts w:hint="default" w:ascii="Cambria Math" w:hAnsi="Cambria Math" w:cs="Cambria Math"/>
                <w:b w:val="0"/>
                <w:i w:val="0"/>
                <w:lang w:val="en-US" w:eastAsia="zh-CN"/>
              </w:rPr>
            </m:ctrlPr>
          </m:e>
        </m:nary>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MSW</m:t>
            </m:r>
            <m:ctrlPr>
              <w:rPr>
                <w:rFonts w:hint="default" w:ascii="Cambria Math" w:hAnsi="Cambria Math" w:cs="Cambria Math"/>
                <w:lang w:val="en-US"/>
              </w:rPr>
            </m:ctrlPr>
          </m:e>
          <m:sub>
            <m:r>
              <m:rPr>
                <m:sty m:val="p"/>
              </m:rPr>
              <w:rPr>
                <w:rFonts w:hint="default" w:ascii="Cambria Math" w:hAnsi="Cambria Math" w:cs="Cambria Math"/>
                <w:lang w:val="en-US" w:eastAsia="zh-CN"/>
              </w:rPr>
              <m:t>INC,y</m:t>
            </m:r>
            <m:ctrlPr>
              <w:rPr>
                <w:rFonts w:hint="default" w:ascii="Cambria Math" w:hAnsi="Cambria Math" w:cs="Cambria Math"/>
                <w:lang w:val="en-US"/>
              </w:rPr>
            </m:ctrlPr>
          </m:sub>
        </m:sSub>
        <m:r>
          <m:rPr>
            <m:sty m:val="p"/>
          </m:rPr>
          <w:rPr>
            <w:rFonts w:hint="default" w:ascii="Cambria Math" w:hAnsi="Cambria Math" w:cs="Cambria Math"/>
            <w:lang w:val="en-US"/>
          </w:rPr>
          <m:t>×</m:t>
        </m:r>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P</m:t>
            </m:r>
            <m:ctrlPr>
              <w:rPr>
                <w:rFonts w:hint="default" w:ascii="Cambria Math" w:hAnsi="Cambria Math" w:cs="Cambria Math"/>
                <w:lang w:val="en-US"/>
              </w:rPr>
            </m:ctrlPr>
          </m:e>
          <m:sub>
            <m:r>
              <m:rPr>
                <m:sty m:val="p"/>
              </m:rPr>
              <w:rPr>
                <w:rFonts w:hint="default" w:ascii="Cambria Math" w:hAnsi="Cambria Math" w:cs="Cambria Math"/>
                <w:lang w:val="en-US" w:eastAsia="zh-CN"/>
              </w:rPr>
              <m:t>INC,EC</m:t>
            </m:r>
            <m:ctrlPr>
              <w:rPr>
                <w:rFonts w:hint="default" w:ascii="Cambria Math" w:hAnsi="Cambria Math" w:cs="Cambria Math"/>
                <w:lang w:val="en-US"/>
              </w:rPr>
            </m:ctrlPr>
          </m:sub>
        </m:sSub>
        <m:r>
          <m:rPr>
            <m:sty m:val="p"/>
          </m:rPr>
          <w:rPr>
            <w:rFonts w:hint="default" w:ascii="Cambria Math" w:hAnsi="Cambria Math" w:cs="Cambria Math"/>
            <w:lang w:val="en-US"/>
          </w:rPr>
          <m:t>×</m:t>
        </m:r>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m:t>
            </m:r>
            <m:r>
              <m:rPr>
                <m:sty m:val="p"/>
              </m:rPr>
              <w:rPr>
                <w:rFonts w:hint="default" w:cs="Cambria Math"/>
                <w:lang w:val="en-US" w:eastAsia="zh-CN"/>
              </w:rPr>
              <m:t>F</m:t>
            </m:r>
            <m:ctrlPr>
              <w:rPr>
                <w:rFonts w:hint="default" w:ascii="Cambria Math" w:hAnsi="Cambria Math" w:cs="Cambria Math"/>
                <w:lang w:val="en-US"/>
              </w:rPr>
            </m:ctrlPr>
          </m:e>
          <m:sub>
            <m:r>
              <m:rPr>
                <m:sty m:val="p"/>
              </m:rPr>
              <w:rPr>
                <w:rFonts w:hint="default" w:ascii="Cambria Math" w:hAnsi="Cambria Math" w:cs="Cambria Math"/>
                <w:lang w:val="en-US" w:eastAsia="zh-CN"/>
              </w:rPr>
              <m:t>EC</m:t>
            </m:r>
            <m:ctrlPr>
              <w:rPr>
                <w:rFonts w:hint="default" w:ascii="Cambria Math" w:hAnsi="Cambria Math" w:cs="Cambria Math"/>
                <w:lang w:val="en-US"/>
              </w:rPr>
            </m:ctrlPr>
          </m:sub>
        </m:sSub>
      </m:oMath>
      <w:r>
        <w:rPr>
          <w:rFonts w:hint="default" w:ascii="Times New Roman" w:hAnsi="Times New Roman" w:cs="Times New Roman"/>
          <w:lang w:val="en-US" w:eastAsia="zh-CN"/>
        </w:rPr>
        <w:tab/>
      </w:r>
      <w:r>
        <w:rPr>
          <w:rFonts w:hint="default" w:ascii="Times New Roman" w:hAnsi="Times New Roman" w:cs="Times New Roman"/>
        </w:rPr>
        <w:t>（</w:t>
      </w:r>
      <w:r>
        <w:rPr>
          <w:rFonts w:hint="eastAsia" w:ascii="Times New Roman" w:hAnsi="Times New Roman" w:eastAsia="宋体" w:cs="Times New Roman"/>
          <w:lang w:eastAsia="zh-CN"/>
        </w:rPr>
        <w:t>7</w:t>
      </w:r>
      <w:r>
        <w:rPr>
          <w:rFonts w:hint="default" w:ascii="Times New Roman" w:hAnsi="Times New Roman" w:cs="Times New Roman"/>
        </w:rPr>
        <w:t>）</w:t>
      </w:r>
    </w:p>
    <w:p w14:paraId="301F4163">
      <w:pPr>
        <w:pStyle w:val="3"/>
        <w:bidi w:val="0"/>
        <w:rPr>
          <w:rFonts w:hint="default" w:ascii="Times New Roman" w:hAnsi="Times New Roman" w:cs="Times New Roman"/>
        </w:rPr>
      </w:pPr>
      <w:r>
        <w:rPr>
          <w:rFonts w:hint="default" w:ascii="Times New Roman" w:hAnsi="Times New Roman" w:cs="Times New Roman"/>
        </w:rPr>
        <w:t>式中：</w:t>
      </w:r>
    </w:p>
    <w:p w14:paraId="26D96ED5">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m:t>
            </m:r>
            <m:ctrlPr>
              <w:rPr>
                <w:rFonts w:hint="default" w:ascii="Cambria Math" w:hAnsi="Cambria Math" w:cs="Cambria Math"/>
                <w:lang w:val="en-US"/>
              </w:rPr>
            </m:ctrlPr>
          </m:e>
          <m:sub>
            <m:r>
              <m:rPr>
                <m:sty m:val="p"/>
              </m:rPr>
              <w:rPr>
                <w:rFonts w:hint="default" w:ascii="Cambria Math" w:hAnsi="Cambria Math" w:cs="Cambria Math"/>
                <w:lang w:val="en-US" w:eastAsia="zh-CN"/>
              </w:rPr>
              <m:t>INC,y</m:t>
            </m:r>
            <m:ctrlPr>
              <w:rPr>
                <w:rFonts w:hint="default" w:ascii="Cambria Math" w:hAnsi="Cambria Math" w:cs="Cambria Math"/>
                <w:lang w:val="en-US"/>
              </w:rPr>
            </m:ctrlPr>
          </m:sub>
        </m:sSub>
      </m:oMath>
      <w:r>
        <w:rPr>
          <w:rFonts w:hint="default" w:ascii="Times New Roman" w:hAnsi="Times New Roman" w:cs="Times New Roman"/>
        </w:rPr>
        <w:t>——</w:t>
      </w:r>
      <w:r>
        <w:rPr>
          <w:rFonts w:hint="default" w:ascii="Times New Roman" w:hAnsi="Times New Roman" w:cs="Times New Roman"/>
          <w:lang w:val="en-US" w:eastAsia="zh-CN"/>
        </w:rPr>
        <w:t>指第y年生活垃圾焚烧处理产生的碳排放量，单位为吨二氧化碳每年（t</w:t>
      </w:r>
      <w:r>
        <w:rPr>
          <w:rFonts w:hint="default" w:ascii="Times New Roman" w:hAnsi="Times New Roman" w:cs="Times New Roman"/>
        </w:rPr>
        <w:t>CO₂</w:t>
      </w:r>
      <w:r>
        <w:rPr>
          <w:rFonts w:hint="default" w:ascii="Times New Roman" w:hAnsi="Times New Roman" w:cs="Times New Roman"/>
          <w:lang w:val="en-US" w:eastAsia="zh-CN"/>
        </w:rPr>
        <w:t>/a）；</w:t>
      </w:r>
    </w:p>
    <w:p w14:paraId="099E9765">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IW</m:t>
            </m:r>
            <m:ctrlPr>
              <w:rPr>
                <w:rFonts w:hint="default" w:ascii="Cambria Math" w:hAnsi="Cambria Math" w:cs="Cambria Math"/>
                <w:lang w:val="en-US"/>
              </w:rPr>
            </m:ctrlPr>
          </m:e>
          <m:sub>
            <m:r>
              <m:rPr>
                <m:sty m:val="p"/>
              </m:rPr>
              <w:rPr>
                <w:rFonts w:hint="default" w:ascii="Cambria Math" w:hAnsi="Cambria Math" w:cs="Cambria Math"/>
                <w:lang w:val="en-US" w:eastAsia="zh-CN"/>
              </w:rPr>
              <m:t>i,y</m:t>
            </m:r>
            <m:ctrlPr>
              <w:rPr>
                <w:rFonts w:hint="default" w:ascii="Cambria Math" w:hAnsi="Cambria Math" w:cs="Cambria Math"/>
                <w:lang w:val="en-US"/>
              </w:rPr>
            </m:ctrlPr>
          </m:sub>
        </m:sSub>
      </m:oMath>
      <w:r>
        <w:rPr>
          <w:rFonts w:hint="default" w:ascii="Times New Roman" w:hAnsi="Times New Roman" w:cs="Times New Roman"/>
        </w:rPr>
        <w:t>——</w:t>
      </w:r>
      <w:r>
        <w:rPr>
          <w:rFonts w:hint="default" w:ascii="Times New Roman" w:hAnsi="Times New Roman" w:cs="Times New Roman"/>
          <w:lang w:val="en-US" w:eastAsia="zh-CN"/>
        </w:rPr>
        <w:t>指第y年通过焚烧处理的生活垃圾中组分i的重量，单位为吨（t）；</w:t>
      </w:r>
    </w:p>
    <w:p w14:paraId="414F7A40">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FCC</m:t>
            </m:r>
            <m:ctrlPr>
              <w:rPr>
                <w:rFonts w:hint="default" w:ascii="Cambria Math" w:hAnsi="Cambria Math" w:cs="Cambria Math"/>
                <w:lang w:val="en-US"/>
              </w:rPr>
            </m:ctrlPr>
          </m:e>
          <m:sub>
            <m:r>
              <m:rPr>
                <m:sty m:val="p"/>
              </m:rPr>
              <w:rPr>
                <w:rFonts w:hint="default" w:ascii="Cambria Math" w:hAnsi="Cambria Math" w:cs="Cambria Math"/>
                <w:lang w:val="en-US" w:eastAsia="zh-CN"/>
              </w:rPr>
              <m:t>i,y</m:t>
            </m:r>
            <m:ctrlPr>
              <w:rPr>
                <w:rFonts w:hint="default" w:ascii="Cambria Math" w:hAnsi="Cambria Math" w:cs="Cambria Math"/>
                <w:lang w:val="en-US"/>
              </w:rPr>
            </m:ctrlPr>
          </m:sub>
        </m:sSub>
      </m:oMath>
      <w:r>
        <w:rPr>
          <w:rFonts w:hint="default" w:ascii="Times New Roman" w:hAnsi="Times New Roman" w:cs="Times New Roman"/>
        </w:rPr>
        <w:t>——</w:t>
      </w:r>
      <w:r>
        <w:rPr>
          <w:rFonts w:hint="default" w:ascii="Times New Roman" w:hAnsi="Times New Roman" w:cs="Times New Roman"/>
          <w:lang w:val="en-US" w:eastAsia="zh-CN"/>
        </w:rPr>
        <w:t>指第y年生活垃圾中组分i的干物质总碳含量比例（%），根据固体废弃物的成分取推荐值见附录E；</w:t>
      </w:r>
    </w:p>
    <w:p w14:paraId="4E03061C">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FFC</m:t>
            </m:r>
            <m:ctrlPr>
              <w:rPr>
                <w:rFonts w:hint="default" w:ascii="Cambria Math" w:hAnsi="Cambria Math" w:cs="Cambria Math"/>
                <w:lang w:val="en-US"/>
              </w:rPr>
            </m:ctrlPr>
          </m:e>
          <m:sub>
            <m:r>
              <m:rPr>
                <m:sty m:val="p"/>
              </m:rPr>
              <w:rPr>
                <w:rFonts w:hint="default" w:ascii="Cambria Math" w:hAnsi="Cambria Math" w:cs="Cambria Math"/>
                <w:lang w:val="en-US" w:eastAsia="zh-CN"/>
              </w:rPr>
              <m:t>i,y</m:t>
            </m:r>
            <m:ctrlPr>
              <w:rPr>
                <w:rFonts w:hint="default" w:ascii="Cambria Math" w:hAnsi="Cambria Math" w:cs="Cambria Math"/>
                <w:lang w:val="en-US"/>
              </w:rPr>
            </m:ctrlPr>
          </m:sub>
        </m:sSub>
      </m:oMath>
      <w:r>
        <w:rPr>
          <w:rFonts w:hint="default" w:ascii="Times New Roman" w:hAnsi="Times New Roman" w:cs="Times New Roman"/>
        </w:rPr>
        <w:t>——</w:t>
      </w:r>
      <w:r>
        <w:rPr>
          <w:rFonts w:hint="default" w:ascii="Times New Roman" w:hAnsi="Times New Roman" w:cs="Times New Roman"/>
          <w:lang w:val="en-US" w:eastAsia="zh-CN"/>
        </w:rPr>
        <w:t>指第y年生活垃圾中组分i的干物质总碳中矿物碳比例（%），根据固体废弃物的成分取推荐值见附录E；</w:t>
      </w:r>
    </w:p>
    <w:p w14:paraId="3FC519C6">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EF</m:t>
            </m:r>
            <m:ctrlPr>
              <w:rPr>
                <w:rFonts w:hint="default" w:ascii="Cambria Math" w:hAnsi="Cambria Math" w:cs="Cambria Math"/>
                <w:lang w:val="en-US"/>
              </w:rPr>
            </m:ctrlPr>
          </m:e>
          <m:sub>
            <m:r>
              <m:rPr>
                <m:sty m:val="p"/>
              </m:rPr>
              <w:rPr>
                <w:rFonts w:hint="default" w:ascii="Cambria Math" w:hAnsi="Cambria Math" w:cs="Cambria Math"/>
                <w:lang w:val="en-US" w:eastAsia="zh-CN"/>
              </w:rPr>
              <m:t>i</m:t>
            </m:r>
            <m:ctrlPr>
              <w:rPr>
                <w:rFonts w:hint="default" w:ascii="Cambria Math" w:hAnsi="Cambria Math" w:cs="Cambria Math"/>
                <w:lang w:val="en-US"/>
              </w:rPr>
            </m:ctrlPr>
          </m:sub>
        </m:sSub>
      </m:oMath>
      <w:r>
        <w:rPr>
          <w:rFonts w:hint="default" w:ascii="Times New Roman" w:hAnsi="Times New Roman" w:cs="Times New Roman"/>
        </w:rPr>
        <w:t>——</w:t>
      </w:r>
      <w:r>
        <w:rPr>
          <w:rFonts w:hint="default" w:ascii="Times New Roman" w:hAnsi="Times New Roman" w:cs="Times New Roman"/>
          <w:lang w:val="en-US" w:eastAsia="zh-CN"/>
        </w:rPr>
        <w:t>指燃烧效率；</w:t>
      </w:r>
    </w:p>
    <w:p w14:paraId="52638074">
      <w:pPr>
        <w:pStyle w:val="3"/>
        <w:bidi w:val="0"/>
        <w:rPr>
          <w:rFonts w:hint="default" w:ascii="Times New Roman" w:hAnsi="Times New Roman" w:cs="Times New Roman"/>
          <w:lang w:val="en-US" w:eastAsia="zh-CN"/>
        </w:rPr>
      </w:pPr>
      <m:oMath>
        <m:f>
          <m:fPr>
            <m:ctrlPr>
              <w:rPr>
                <w:rFonts w:hint="default" w:ascii="Cambria Math" w:hAnsi="Cambria Math" w:cs="Cambria Math"/>
                <w:lang w:val="en-US"/>
              </w:rPr>
            </m:ctrlPr>
          </m:fPr>
          <m:num>
            <m:r>
              <m:rPr>
                <m:sty m:val="p"/>
              </m:rPr>
              <w:rPr>
                <w:rFonts w:hint="default" w:ascii="Cambria Math" w:hAnsi="Cambria Math" w:cs="Cambria Math"/>
                <w:lang w:val="en-US" w:eastAsia="zh-CN"/>
              </w:rPr>
              <m:t>44</m:t>
            </m:r>
            <m:ctrlPr>
              <w:rPr>
                <w:rFonts w:hint="default" w:ascii="Cambria Math" w:hAnsi="Cambria Math" w:cs="Cambria Math"/>
                <w:lang w:val="en-US"/>
              </w:rPr>
            </m:ctrlPr>
          </m:num>
          <m:den>
            <m:r>
              <m:rPr>
                <m:sty m:val="p"/>
              </m:rPr>
              <w:rPr>
                <w:rFonts w:hint="default" w:ascii="Cambria Math" w:hAnsi="Cambria Math" w:cs="Cambria Math"/>
                <w:lang w:val="en-US" w:eastAsia="zh-CN"/>
              </w:rPr>
              <m:t>12</m:t>
            </m:r>
            <m:ctrlPr>
              <w:rPr>
                <w:rFonts w:hint="default" w:ascii="Cambria Math" w:hAnsi="Cambria Math" w:cs="Cambria Math"/>
                <w:lang w:val="en-US"/>
              </w:rPr>
            </m:ctrlPr>
          </m:den>
        </m:f>
      </m:oMath>
      <w:r>
        <w:rPr>
          <w:rFonts w:hint="default" w:ascii="Times New Roman" w:hAnsi="Times New Roman" w:cs="Times New Roman"/>
        </w:rPr>
        <w:t>——</w:t>
      </w:r>
      <w:r>
        <w:rPr>
          <w:rFonts w:hint="default" w:ascii="Times New Roman" w:hAnsi="Times New Roman" w:cs="Times New Roman"/>
          <w:lang w:val="en-US" w:eastAsia="zh-CN"/>
        </w:rPr>
        <w:t>指碳转换成二氧化碳的转换系数；</w:t>
      </w:r>
    </w:p>
    <w:p w14:paraId="3C615A03">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MSW</m:t>
            </m:r>
            <m:ctrlPr>
              <w:rPr>
                <w:rFonts w:hint="default" w:ascii="Cambria Math" w:hAnsi="Cambria Math" w:cs="Cambria Math"/>
                <w:lang w:val="en-US"/>
              </w:rPr>
            </m:ctrlPr>
          </m:e>
          <m:sub>
            <m:r>
              <m:rPr>
                <m:sty m:val="p"/>
              </m:rPr>
              <w:rPr>
                <w:rFonts w:hint="default" w:ascii="Cambria Math" w:hAnsi="Cambria Math" w:cs="Cambria Math"/>
                <w:lang w:val="en-US" w:eastAsia="zh-CN"/>
              </w:rPr>
              <m:t>INC,y</m:t>
            </m:r>
            <m:ctrlPr>
              <w:rPr>
                <w:rFonts w:hint="default" w:ascii="Cambria Math" w:hAnsi="Cambria Math" w:cs="Cambria Math"/>
                <w:lang w:val="en-US"/>
              </w:rPr>
            </m:ctrlPr>
          </m:sub>
        </m:sSub>
      </m:oMath>
      <w:r>
        <w:rPr>
          <w:rFonts w:hint="default" w:ascii="Times New Roman" w:hAnsi="Times New Roman" w:cs="Times New Roman"/>
        </w:rPr>
        <w:t>——</w:t>
      </w:r>
      <w:r>
        <w:rPr>
          <w:rFonts w:hint="default" w:ascii="Times New Roman" w:hAnsi="Times New Roman" w:cs="Times New Roman"/>
          <w:lang w:val="en-US" w:eastAsia="zh-CN"/>
        </w:rPr>
        <w:t>指第y年焚烧厂焚烧混合垃圾量，单位为吨（t）；</w:t>
      </w:r>
    </w:p>
    <w:p w14:paraId="6D2C6148">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P</m:t>
            </m:r>
            <m:ctrlPr>
              <w:rPr>
                <w:rFonts w:hint="default" w:ascii="Cambria Math" w:hAnsi="Cambria Math" w:cs="Cambria Math"/>
                <w:lang w:val="en-US"/>
              </w:rPr>
            </m:ctrlPr>
          </m:e>
          <m:sub>
            <m:r>
              <m:rPr>
                <m:sty m:val="p"/>
              </m:rPr>
              <w:rPr>
                <w:rFonts w:hint="default" w:ascii="Cambria Math" w:hAnsi="Cambria Math" w:cs="Cambria Math"/>
                <w:lang w:val="en-US" w:eastAsia="zh-CN"/>
              </w:rPr>
              <m:t>INC,EC</m:t>
            </m:r>
            <m:ctrlPr>
              <w:rPr>
                <w:rFonts w:hint="default" w:ascii="Cambria Math" w:hAnsi="Cambria Math" w:cs="Cambria Math"/>
                <w:lang w:val="en-US"/>
              </w:rPr>
            </m:ctrlPr>
          </m:sub>
        </m:sSub>
      </m:oMath>
      <w:r>
        <w:rPr>
          <w:rFonts w:hint="default" w:ascii="Times New Roman" w:hAnsi="Times New Roman" w:cs="Times New Roman"/>
        </w:rPr>
        <w:t>——</w:t>
      </w:r>
      <w:r>
        <w:rPr>
          <w:rFonts w:hint="default" w:ascii="Times New Roman" w:hAnsi="Times New Roman" w:cs="Times New Roman"/>
          <w:lang w:val="en-US" w:eastAsia="zh-CN"/>
        </w:rPr>
        <w:t>指每吨混合垃圾焚烧发电量，单位为兆瓦时每吨（MWh/t）；</w:t>
      </w:r>
    </w:p>
    <w:p w14:paraId="6183928B">
      <w:pPr>
        <w:pStyle w:val="3"/>
        <w:bidi w:val="0"/>
        <w:rPr>
          <w:rFonts w:hint="default" w:ascii="Times New Roman" w:hAnsi="Times New Roman" w:cs="Times New Roma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m:t>
            </m:r>
            <m:r>
              <m:rPr>
                <m:sty m:val="p"/>
              </m:rPr>
              <w:rPr>
                <w:rFonts w:hint="default" w:cs="Cambria Math"/>
                <w:lang w:val="en-US" w:eastAsia="zh-CN"/>
              </w:rPr>
              <m:t>F</m:t>
            </m:r>
            <m:ctrlPr>
              <w:rPr>
                <w:rFonts w:hint="default" w:ascii="Cambria Math" w:hAnsi="Cambria Math" w:cs="Cambria Math"/>
                <w:lang w:val="en-US"/>
              </w:rPr>
            </m:ctrlPr>
          </m:e>
          <m:sub>
            <m:r>
              <m:rPr>
                <m:sty m:val="p"/>
              </m:rPr>
              <w:rPr>
                <w:rFonts w:hint="default" w:ascii="Cambria Math" w:hAnsi="Cambria Math" w:cs="Cambria Math"/>
                <w:lang w:val="en-US" w:eastAsia="zh-CN"/>
              </w:rPr>
              <m:t>EC</m:t>
            </m:r>
            <m:ctrlPr>
              <w:rPr>
                <w:rFonts w:hint="default" w:ascii="Cambria Math" w:hAnsi="Cambria Math" w:cs="Cambria Math"/>
                <w:lang w:val="en-US"/>
              </w:rPr>
            </m:ctrlPr>
          </m:sub>
        </m:sSub>
      </m:oMath>
      <w:r>
        <w:rPr>
          <w:rFonts w:hint="default" w:ascii="Times New Roman" w:hAnsi="Times New Roman" w:cs="Times New Roman"/>
        </w:rPr>
        <w:t>——</w:t>
      </w:r>
      <w:r>
        <w:rPr>
          <w:rFonts w:hint="default" w:ascii="Times New Roman" w:hAnsi="Times New Roman" w:cs="Times New Roman"/>
          <w:lang w:val="en-US" w:eastAsia="zh-CN"/>
        </w:rPr>
        <w:t>指2024年</w:t>
      </w:r>
      <w:r>
        <w:rPr>
          <w:rFonts w:hint="eastAsia" w:cs="Times New Roman"/>
          <w:lang w:val="en-US" w:eastAsia="zh-CN"/>
        </w:rPr>
        <w:t>减排项目</w:t>
      </w:r>
      <w:r>
        <w:rPr>
          <w:rFonts w:hint="default" w:ascii="Times New Roman" w:hAnsi="Times New Roman" w:cs="Times New Roman"/>
          <w:lang w:val="en-US" w:eastAsia="zh-CN"/>
        </w:rPr>
        <w:t>中国区域电网碳排放因子单位为吨二氧化碳每兆瓦时（t</w:t>
      </w:r>
      <w:r>
        <w:rPr>
          <w:rFonts w:hint="default" w:ascii="Times New Roman" w:hAnsi="Times New Roman" w:cs="Times New Roman"/>
        </w:rPr>
        <w:t>CO₂</w:t>
      </w:r>
      <w:r>
        <w:rPr>
          <w:rFonts w:hint="default" w:ascii="Times New Roman" w:hAnsi="Times New Roman" w:cs="Times New Roman"/>
          <w:lang w:val="en-US" w:eastAsia="zh-CN"/>
        </w:rPr>
        <w:t>/MWh），取推荐值6.313×10</w:t>
      </w:r>
      <w:r>
        <w:rPr>
          <w:rFonts w:hint="default" w:ascii="Times New Roman" w:hAnsi="Times New Roman" w:cs="Times New Roman"/>
          <w:vertAlign w:val="superscript"/>
          <w:lang w:val="en-US" w:eastAsia="zh-CN"/>
        </w:rPr>
        <w:t>-4</w:t>
      </w:r>
      <w:r>
        <w:rPr>
          <w:rFonts w:hint="default" w:ascii="Times New Roman" w:hAnsi="Times New Roman" w:cs="Times New Roman"/>
          <w:lang w:val="en-US" w:eastAsia="zh-CN"/>
        </w:rPr>
        <w:t>t</w:t>
      </w:r>
      <w:r>
        <w:rPr>
          <w:rFonts w:hint="default" w:ascii="Times New Roman" w:hAnsi="Times New Roman" w:cs="Times New Roman"/>
        </w:rPr>
        <w:t>CO₂</w:t>
      </w:r>
      <w:r>
        <w:rPr>
          <w:rFonts w:hint="default" w:ascii="Times New Roman" w:hAnsi="Times New Roman" w:cs="Times New Roman"/>
          <w:lang w:val="en-US" w:eastAsia="zh-CN"/>
        </w:rPr>
        <w:t>/kWh。</w:t>
      </w:r>
    </w:p>
    <w:p w14:paraId="1C514E79">
      <w:pPr>
        <w:pStyle w:val="4"/>
        <w:bidi w:val="0"/>
        <w:rPr>
          <w:rFonts w:hint="default" w:ascii="Times New Roman" w:hAnsi="Times New Roman" w:cs="Times New Roman"/>
          <w:lang w:val="en-US" w:eastAsia="zh-CN"/>
        </w:rPr>
      </w:pPr>
      <w:bookmarkStart w:id="75" w:name="_Toc23345"/>
      <w:r>
        <w:rPr>
          <w:rFonts w:hint="default" w:ascii="Times New Roman" w:hAnsi="Times New Roman" w:cs="Times New Roman"/>
        </w:rPr>
        <w:t>A.2  项目活动</w:t>
      </w:r>
      <w:r>
        <w:rPr>
          <w:rFonts w:hint="default" w:ascii="Times New Roman" w:hAnsi="Times New Roman" w:cs="Times New Roman"/>
          <w:lang w:val="en-US" w:eastAsia="zh-CN"/>
        </w:rPr>
        <w:t>排放量</w:t>
      </w:r>
      <w:bookmarkEnd w:id="75"/>
    </w:p>
    <w:p w14:paraId="5092E05A">
      <w:pPr>
        <w:pStyle w:val="5"/>
        <w:bidi w:val="0"/>
        <w:rPr>
          <w:rFonts w:hint="default" w:ascii="Times New Roman" w:hAnsi="Times New Roman" w:cs="Times New Roman"/>
          <w:lang w:val="en-US" w:eastAsia="zh-CN"/>
        </w:rPr>
      </w:pPr>
      <w:bookmarkStart w:id="76" w:name="_Toc25825"/>
      <w:r>
        <w:rPr>
          <w:rFonts w:hint="default" w:ascii="Times New Roman" w:hAnsi="Times New Roman" w:cs="Times New Roman"/>
        </w:rPr>
        <w:t xml:space="preserve">A.2.1  </w:t>
      </w:r>
      <w:r>
        <w:rPr>
          <w:rFonts w:hint="default" w:ascii="Times New Roman" w:hAnsi="Times New Roman" w:cs="Times New Roman"/>
          <w:lang w:val="en-US" w:eastAsia="zh-CN"/>
        </w:rPr>
        <w:t>厨余垃圾处理产生的碳排放量</w:t>
      </w:r>
      <w:bookmarkEnd w:id="76"/>
    </w:p>
    <w:p w14:paraId="327306FA">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厨余垃圾集约化资源化处理工艺主要为厌氧消化，因此，主要计算厌氧消化处理产生的碳排放量。</w:t>
      </w:r>
    </w:p>
    <w:p w14:paraId="7F7475D1">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m:t>
            </m:r>
            <m:ctrlPr>
              <w:rPr>
                <w:rFonts w:hint="default" w:ascii="Cambria Math" w:hAnsi="Cambria Math" w:cs="Cambria Math"/>
                <w:lang w:val="en-US"/>
              </w:rPr>
            </m:ctrlPr>
          </m:e>
          <m:sub>
            <m:r>
              <m:rPr>
                <m:sty m:val="p"/>
              </m:rPr>
              <w:rPr>
                <w:rFonts w:hint="default" w:ascii="Cambria Math" w:hAnsi="Cambria Math" w:cs="Cambria Math"/>
                <w:lang w:val="en-US" w:eastAsia="zh-CN"/>
              </w:rPr>
              <m:t>AD,y</m:t>
            </m:r>
            <m:ctrlPr>
              <w:rPr>
                <w:rFonts w:hint="default" w:ascii="Cambria Math" w:hAnsi="Cambria Math" w:cs="Cambria Math"/>
                <w:lang w:val="en-US"/>
              </w:rPr>
            </m:ctrlPr>
          </m:sub>
        </m:sSub>
      </m:oMath>
      <w:r>
        <w:rPr>
          <w:rFonts w:hint="default" w:ascii="Times New Roman" w:hAnsi="Times New Roman" w:cs="Times New Roman"/>
          <w:lang w:val="en-US" w:eastAsia="zh-CN"/>
        </w:rPr>
        <w:t>的计算公式（</w:t>
      </w:r>
      <w:r>
        <w:rPr>
          <w:rFonts w:hint="eastAsia" w:cs="Times New Roman"/>
          <w:lang w:val="en-US" w:eastAsia="zh-CN"/>
        </w:rPr>
        <w:t>8</w:t>
      </w:r>
      <w:r>
        <w:rPr>
          <w:rFonts w:hint="default" w:ascii="Times New Roman" w:hAnsi="Times New Roman" w:cs="Times New Roman"/>
          <w:lang w:val="en-US" w:eastAsia="zh-CN"/>
        </w:rPr>
        <w:t>）：</w:t>
      </w:r>
    </w:p>
    <w:p w14:paraId="11E950FC">
      <w:pPr>
        <w:pStyle w:val="22"/>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m:t>
            </m:r>
            <m:ctrlPr>
              <w:rPr>
                <w:rFonts w:hint="default" w:ascii="Cambria Math" w:hAnsi="Cambria Math" w:cs="Cambria Math"/>
                <w:lang w:val="en-US"/>
              </w:rPr>
            </m:ctrlPr>
          </m:e>
          <m:sub>
            <m:r>
              <m:rPr>
                <m:sty m:val="p"/>
              </m:rPr>
              <w:rPr>
                <w:rFonts w:hint="default" w:ascii="Cambria Math" w:hAnsi="Cambria Math" w:cs="Cambria Math"/>
                <w:lang w:val="en-US" w:eastAsia="zh-CN"/>
              </w:rPr>
              <m:t>AD,y</m:t>
            </m:r>
            <m:ctrlPr>
              <w:rPr>
                <w:rFonts w:hint="default" w:ascii="Cambria Math" w:hAnsi="Cambria Math" w:cs="Cambria Math"/>
                <w:lang w:val="en-US"/>
              </w:rPr>
            </m:ctrlPr>
          </m:sub>
        </m:sSub>
        <m:r>
          <m:rPr>
            <m:sty m:val="p"/>
          </m:rPr>
          <w:rPr>
            <w:rFonts w:hint="default" w:ascii="Cambria Math" w:hAnsi="Cambria Math" w:cs="Cambria Math"/>
            <w:lang w:val="en-US" w:eastAsia="zh-CN"/>
          </w:rPr>
          <m:t>=</m:t>
        </m:r>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m:t>
            </m:r>
            <m:ctrlPr>
              <w:rPr>
                <w:rFonts w:hint="default" w:ascii="Cambria Math" w:hAnsi="Cambria Math" w:cs="Cambria Math"/>
                <w:lang w:val="en-US"/>
              </w:rPr>
            </m:ctrlPr>
          </m:e>
          <m:sub>
            <m:r>
              <m:rPr>
                <m:sty m:val="p"/>
              </m:rPr>
              <w:rPr>
                <w:rFonts w:hint="default" w:ascii="Cambria Math" w:hAnsi="Cambria Math" w:cs="Cambria Math"/>
                <w:lang w:val="en-US" w:eastAsia="zh-CN"/>
              </w:rPr>
              <m:t>AD,</m:t>
            </m:r>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CH</m:t>
                </m:r>
                <m:ctrlPr>
                  <w:rPr>
                    <w:rFonts w:hint="default" w:ascii="Cambria Math" w:hAnsi="Cambria Math" w:cs="Cambria Math"/>
                    <w:lang w:val="en-US"/>
                  </w:rPr>
                </m:ctrlPr>
              </m:e>
              <m:sub>
                <m:r>
                  <m:rPr>
                    <m:sty m:val="p"/>
                  </m:rPr>
                  <w:rPr>
                    <w:rFonts w:hint="default" w:ascii="Cambria Math" w:hAnsi="Cambria Math" w:cs="Cambria Math"/>
                    <w:lang w:val="en-US" w:eastAsia="zh-CN"/>
                  </w:rPr>
                  <m:t>4</m:t>
                </m:r>
                <m:ctrlPr>
                  <w:rPr>
                    <w:rFonts w:hint="default" w:ascii="Cambria Math" w:hAnsi="Cambria Math" w:cs="Cambria Math"/>
                    <w:lang w:val="en-US"/>
                  </w:rPr>
                </m:ctrlPr>
              </m:sub>
            </m:sSub>
            <m:r>
              <m:rPr>
                <m:sty m:val="p"/>
              </m:rPr>
              <w:rPr>
                <w:rFonts w:hint="default" w:ascii="Cambria Math" w:hAnsi="Cambria Math" w:cs="Cambria Math"/>
                <w:lang w:val="en-US" w:eastAsia="zh-CN"/>
              </w:rPr>
              <m:t>,y</m:t>
            </m:r>
            <m:ctrlPr>
              <w:rPr>
                <w:rFonts w:hint="default" w:ascii="Cambria Math" w:hAnsi="Cambria Math" w:cs="Cambria Math"/>
                <w:lang w:val="en-US"/>
              </w:rPr>
            </m:ctrlPr>
          </m:sub>
        </m:sSub>
        <m:r>
          <m:rPr>
            <m:sty m:val="p"/>
          </m:rPr>
          <w:rPr>
            <w:rFonts w:hint="default" w:ascii="Cambria Math" w:hAnsi="Cambria Math" w:cs="Cambria Math"/>
            <w:lang w:val="en-US" w:eastAsia="zh-CN"/>
          </w:rPr>
          <m:t>−</m:t>
        </m:r>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m:t>
            </m:r>
            <m:ctrlPr>
              <w:rPr>
                <w:rFonts w:hint="default" w:ascii="Cambria Math" w:hAnsi="Cambria Math" w:cs="Cambria Math"/>
                <w:lang w:val="en-US"/>
              </w:rPr>
            </m:ctrlPr>
          </m:e>
          <m:sub>
            <m:r>
              <m:rPr>
                <m:sty m:val="p"/>
              </m:rPr>
              <w:rPr>
                <w:rFonts w:hint="default" w:ascii="Cambria Math" w:hAnsi="Cambria Math" w:cs="Cambria Math"/>
                <w:lang w:val="en-US" w:eastAsia="zh-CN"/>
              </w:rPr>
              <m:t>AD,EC,y</m:t>
            </m:r>
            <m:ctrlPr>
              <w:rPr>
                <w:rFonts w:hint="default" w:ascii="Cambria Math" w:hAnsi="Cambria Math" w:cs="Cambria Math"/>
                <w:lang w:val="en-US"/>
              </w:rPr>
            </m:ctrlPr>
          </m:sub>
        </m:sSub>
      </m:oMath>
      <w:r>
        <w:rPr>
          <w:rFonts w:hint="default" w:ascii="Times New Roman" w:hAnsi="Times New Roman" w:cs="Times New Roman"/>
          <w:lang w:val="en-US" w:eastAsia="zh-CN"/>
        </w:rPr>
        <w:tab/>
      </w:r>
      <w:r>
        <w:rPr>
          <w:rFonts w:hint="default" w:ascii="Times New Roman" w:hAnsi="Times New Roman" w:cs="Times New Roman"/>
          <w:lang w:val="en-US" w:eastAsia="zh-CN"/>
        </w:rPr>
        <w:t>（</w:t>
      </w:r>
      <w:r>
        <w:rPr>
          <w:rFonts w:hint="eastAsia" w:ascii="Times New Roman" w:hAnsi="Times New Roman" w:cs="Times New Roman"/>
          <w:lang w:val="en-US" w:eastAsia="zh-CN"/>
        </w:rPr>
        <w:t>8</w:t>
      </w:r>
      <w:r>
        <w:rPr>
          <w:rFonts w:hint="default" w:ascii="Times New Roman" w:hAnsi="Times New Roman" w:cs="Times New Roman"/>
          <w:lang w:val="en-US" w:eastAsia="zh-CN"/>
        </w:rPr>
        <w:t>）</w:t>
      </w:r>
    </w:p>
    <w:p w14:paraId="3D824009">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m:t>
            </m:r>
            <m:ctrlPr>
              <w:rPr>
                <w:rFonts w:hint="default" w:ascii="Cambria Math" w:hAnsi="Cambria Math" w:cs="Cambria Math"/>
                <w:lang w:val="en-US"/>
              </w:rPr>
            </m:ctrlPr>
          </m:e>
          <m:sub>
            <m:r>
              <m:rPr>
                <m:sty m:val="p"/>
              </m:rPr>
              <w:rPr>
                <w:rFonts w:hint="default" w:ascii="Cambria Math" w:hAnsi="Cambria Math" w:cs="Cambria Math"/>
                <w:lang w:val="en-US" w:eastAsia="zh-CN"/>
              </w:rPr>
              <m:t>AD,y</m:t>
            </m:r>
            <m:ctrlPr>
              <w:rPr>
                <w:rFonts w:hint="default" w:ascii="Cambria Math" w:hAnsi="Cambria Math" w:cs="Cambria Math"/>
                <w:lang w:val="en-US"/>
              </w:rPr>
            </m:ctrlPr>
          </m:sub>
        </m:sSub>
      </m:oMath>
      <w:r>
        <w:rPr>
          <w:rFonts w:hint="default" w:ascii="Times New Roman" w:hAnsi="Times New Roman" w:cs="Times New Roman"/>
        </w:rPr>
        <w:t>——</w:t>
      </w:r>
      <w:r>
        <w:rPr>
          <w:rFonts w:hint="default" w:ascii="Times New Roman" w:hAnsi="Times New Roman" w:cs="Times New Roman"/>
          <w:lang w:val="en-US" w:eastAsia="zh-CN"/>
        </w:rPr>
        <w:t>指第y年厨余垃圾厌氧消化产生的碳排放量，</w:t>
      </w:r>
      <w:r>
        <w:rPr>
          <w:rFonts w:hint="eastAsia" w:cs="Times New Roman"/>
          <w:lang w:val="en-US" w:eastAsia="zh-CN"/>
        </w:rPr>
        <w:t>单位为</w:t>
      </w:r>
      <w:r>
        <w:rPr>
          <w:rFonts w:hint="default" w:ascii="Times New Roman" w:hAnsi="Times New Roman" w:cs="Times New Roman"/>
          <w:lang w:val="en-US" w:eastAsia="zh-CN"/>
        </w:rPr>
        <w:t>t</w:t>
      </w:r>
      <w:r>
        <w:rPr>
          <w:rFonts w:hint="default" w:ascii="Times New Roman" w:hAnsi="Times New Roman" w:cs="Times New Roman"/>
        </w:rPr>
        <w:t>CO₂</w:t>
      </w:r>
      <w:r>
        <w:rPr>
          <w:rFonts w:hint="default" w:ascii="Times New Roman" w:hAnsi="Times New Roman" w:cs="Times New Roman"/>
          <w:lang w:val="en-US" w:eastAsia="zh-CN"/>
        </w:rPr>
        <w:t>/a；</w:t>
      </w:r>
    </w:p>
    <w:p w14:paraId="66559F91">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m:t>
            </m:r>
            <m:ctrlPr>
              <w:rPr>
                <w:rFonts w:hint="default" w:ascii="Cambria Math" w:hAnsi="Cambria Math" w:cs="Cambria Math"/>
                <w:lang w:val="en-US"/>
              </w:rPr>
            </m:ctrlPr>
          </m:e>
          <m:sub>
            <m:r>
              <m:rPr>
                <m:sty m:val="p"/>
              </m:rPr>
              <w:rPr>
                <w:rFonts w:hint="default" w:ascii="Cambria Math" w:hAnsi="Cambria Math" w:cs="Cambria Math"/>
                <w:lang w:val="en-US" w:eastAsia="zh-CN"/>
              </w:rPr>
              <m:t>AD,</m:t>
            </m:r>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CH</m:t>
                </m:r>
                <m:ctrlPr>
                  <w:rPr>
                    <w:rFonts w:hint="default" w:ascii="Cambria Math" w:hAnsi="Cambria Math" w:cs="Cambria Math"/>
                    <w:lang w:val="en-US"/>
                  </w:rPr>
                </m:ctrlPr>
              </m:e>
              <m:sub>
                <m:r>
                  <m:rPr>
                    <m:sty m:val="p"/>
                  </m:rPr>
                  <w:rPr>
                    <w:rFonts w:hint="default" w:ascii="Cambria Math" w:hAnsi="Cambria Math" w:cs="Cambria Math"/>
                    <w:lang w:val="en-US" w:eastAsia="zh-CN"/>
                  </w:rPr>
                  <m:t>4</m:t>
                </m:r>
                <m:ctrlPr>
                  <w:rPr>
                    <w:rFonts w:hint="default" w:ascii="Cambria Math" w:hAnsi="Cambria Math" w:cs="Cambria Math"/>
                    <w:lang w:val="en-US"/>
                  </w:rPr>
                </m:ctrlPr>
              </m:sub>
            </m:sSub>
            <m:r>
              <m:rPr>
                <m:sty m:val="p"/>
              </m:rPr>
              <w:rPr>
                <w:rFonts w:hint="default" w:ascii="Cambria Math" w:hAnsi="Cambria Math" w:cs="Cambria Math"/>
                <w:lang w:val="en-US" w:eastAsia="zh-CN"/>
              </w:rPr>
              <m:t>,y</m:t>
            </m:r>
            <m:ctrlPr>
              <w:rPr>
                <w:rFonts w:hint="default" w:ascii="Cambria Math" w:hAnsi="Cambria Math" w:cs="Cambria Math"/>
                <w:lang w:val="en-US"/>
              </w:rPr>
            </m:ctrlPr>
          </m:sub>
        </m:sSub>
      </m:oMath>
      <w:r>
        <w:rPr>
          <w:rFonts w:hint="default" w:ascii="Times New Roman" w:hAnsi="Times New Roman" w:cs="Times New Roman"/>
        </w:rPr>
        <w:t>——</w:t>
      </w:r>
      <w:r>
        <w:rPr>
          <w:rFonts w:hint="default" w:ascii="Times New Roman" w:hAnsi="Times New Roman" w:cs="Times New Roman"/>
          <w:lang w:val="en-US" w:eastAsia="zh-CN"/>
        </w:rPr>
        <w:t>指第y年厨余垃圾厌氧消化过程中甲烷泄漏产生的排放量，</w:t>
      </w:r>
      <w:r>
        <w:rPr>
          <w:rFonts w:hint="eastAsia" w:cs="Times New Roman"/>
          <w:lang w:val="en-US" w:eastAsia="zh-CN"/>
        </w:rPr>
        <w:t>单位为</w:t>
      </w:r>
      <w:r>
        <w:rPr>
          <w:rFonts w:hint="default" w:ascii="Times New Roman" w:hAnsi="Times New Roman" w:cs="Times New Roman"/>
          <w:lang w:val="en-US" w:eastAsia="zh-CN"/>
        </w:rPr>
        <w:t>t</w:t>
      </w:r>
      <w:r>
        <w:rPr>
          <w:rFonts w:hint="default" w:ascii="Times New Roman" w:hAnsi="Times New Roman" w:cs="Times New Roman"/>
        </w:rPr>
        <w:t>CO₂</w:t>
      </w:r>
      <w:r>
        <w:rPr>
          <w:rFonts w:hint="default" w:ascii="Times New Roman" w:hAnsi="Times New Roman" w:cs="Times New Roman"/>
          <w:lang w:val="en-US" w:eastAsia="zh-CN"/>
        </w:rPr>
        <w:t>/a；</w:t>
      </w:r>
    </w:p>
    <w:p w14:paraId="0360A04E">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m:t>
            </m:r>
            <m:ctrlPr>
              <w:rPr>
                <w:rFonts w:hint="default" w:ascii="Cambria Math" w:hAnsi="Cambria Math" w:cs="Cambria Math"/>
                <w:lang w:val="en-US"/>
              </w:rPr>
            </m:ctrlPr>
          </m:e>
          <m:sub>
            <m:r>
              <m:rPr>
                <m:sty m:val="p"/>
              </m:rPr>
              <w:rPr>
                <w:rFonts w:hint="default" w:ascii="Cambria Math" w:hAnsi="Cambria Math" w:cs="Cambria Math"/>
                <w:lang w:val="en-US" w:eastAsia="zh-CN"/>
              </w:rPr>
              <m:t>AD,EC,y</m:t>
            </m:r>
            <m:ctrlPr>
              <w:rPr>
                <w:rFonts w:hint="default" w:ascii="Cambria Math" w:hAnsi="Cambria Math" w:cs="Cambria Math"/>
                <w:lang w:val="en-US"/>
              </w:rPr>
            </m:ctrlPr>
          </m:sub>
        </m:sSub>
      </m:oMath>
      <w:r>
        <w:rPr>
          <w:rFonts w:hint="default" w:ascii="Times New Roman" w:hAnsi="Times New Roman" w:cs="Times New Roman"/>
        </w:rPr>
        <w:t>——</w:t>
      </w:r>
      <w:r>
        <w:rPr>
          <w:rFonts w:hint="default" w:ascii="Times New Roman" w:hAnsi="Times New Roman" w:cs="Times New Roman"/>
          <w:lang w:val="en-US" w:eastAsia="zh-CN"/>
        </w:rPr>
        <w:t>指第y年厌氧沼气发电上网替代电网供电而避免产生的排放量，</w:t>
      </w:r>
      <w:r>
        <w:rPr>
          <w:rFonts w:hint="eastAsia" w:cs="Times New Roman"/>
          <w:lang w:val="en-US" w:eastAsia="zh-CN"/>
        </w:rPr>
        <w:t>单位为</w:t>
      </w:r>
      <w:r>
        <w:rPr>
          <w:rFonts w:hint="default" w:ascii="Times New Roman" w:hAnsi="Times New Roman" w:cs="Times New Roman"/>
          <w:lang w:val="en-US" w:eastAsia="zh-CN"/>
        </w:rPr>
        <w:t>t</w:t>
      </w:r>
      <w:r>
        <w:rPr>
          <w:rFonts w:hint="default" w:ascii="Times New Roman" w:hAnsi="Times New Roman" w:cs="Times New Roman"/>
        </w:rPr>
        <w:t>CO₂</w:t>
      </w:r>
      <w:r>
        <w:rPr>
          <w:rFonts w:hint="default" w:ascii="Times New Roman" w:hAnsi="Times New Roman" w:cs="Times New Roman"/>
          <w:lang w:val="en-US" w:eastAsia="zh-CN"/>
        </w:rPr>
        <w:t>/a。</w:t>
      </w:r>
    </w:p>
    <w:p w14:paraId="169260EE">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（1）厨余垃圾厌氧消化过程中产生的碳排放当量（</w:t>
      </w: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m:t>
            </m:r>
            <m:ctrlPr>
              <w:rPr>
                <w:rFonts w:hint="default" w:ascii="Cambria Math" w:hAnsi="Cambria Math" w:cs="Cambria Math"/>
                <w:lang w:val="en-US"/>
              </w:rPr>
            </m:ctrlPr>
          </m:e>
          <m:sub>
            <m:r>
              <m:rPr>
                <m:sty m:val="p"/>
              </m:rPr>
              <w:rPr>
                <w:rFonts w:hint="default" w:ascii="Cambria Math" w:hAnsi="Cambria Math" w:cs="Cambria Math"/>
                <w:lang w:val="en-US" w:eastAsia="zh-CN"/>
              </w:rPr>
              <m:t>AD,</m:t>
            </m:r>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CH</m:t>
                </m:r>
                <m:ctrlPr>
                  <w:rPr>
                    <w:rFonts w:hint="default" w:ascii="Cambria Math" w:hAnsi="Cambria Math" w:cs="Cambria Math"/>
                    <w:lang w:val="en-US"/>
                  </w:rPr>
                </m:ctrlPr>
              </m:e>
              <m:sub>
                <m:r>
                  <m:rPr>
                    <m:sty m:val="p"/>
                  </m:rPr>
                  <w:rPr>
                    <w:rFonts w:hint="default" w:ascii="Cambria Math" w:hAnsi="Cambria Math" w:cs="Cambria Math"/>
                    <w:lang w:val="en-US" w:eastAsia="zh-CN"/>
                  </w:rPr>
                  <m:t>4</m:t>
                </m:r>
                <m:ctrlPr>
                  <w:rPr>
                    <w:rFonts w:hint="default" w:ascii="Cambria Math" w:hAnsi="Cambria Math" w:cs="Cambria Math"/>
                    <w:lang w:val="en-US"/>
                  </w:rPr>
                </m:ctrlPr>
              </m:sub>
            </m:sSub>
            <m:r>
              <m:rPr>
                <m:sty m:val="p"/>
              </m:rPr>
              <w:rPr>
                <w:rFonts w:hint="default" w:ascii="Cambria Math" w:hAnsi="Cambria Math" w:cs="Cambria Math"/>
                <w:lang w:val="en-US" w:eastAsia="zh-CN"/>
              </w:rPr>
              <m:t>,y</m:t>
            </m:r>
            <m:ctrlPr>
              <w:rPr>
                <w:rFonts w:hint="default" w:ascii="Cambria Math" w:hAnsi="Cambria Math" w:cs="Cambria Math"/>
                <w:lang w:val="en-US"/>
              </w:rPr>
            </m:ctrlPr>
          </m:sub>
        </m:sSub>
      </m:oMath>
      <w:r>
        <w:rPr>
          <w:rFonts w:hint="default" w:ascii="Times New Roman" w:hAnsi="Times New Roman" w:cs="Times New Roman"/>
          <w:lang w:val="en-US" w:eastAsia="zh-CN"/>
        </w:rPr>
        <w:t>）计算公式（</w:t>
      </w:r>
      <w:r>
        <w:rPr>
          <w:rFonts w:hint="eastAsia" w:cs="Times New Roman"/>
          <w:lang w:val="en-US" w:eastAsia="zh-CN"/>
        </w:rPr>
        <w:t>9</w:t>
      </w:r>
      <w:r>
        <w:rPr>
          <w:rFonts w:hint="default" w:ascii="Times New Roman" w:hAnsi="Times New Roman" w:cs="Times New Roman"/>
          <w:lang w:val="en-US" w:eastAsia="zh-CN"/>
        </w:rPr>
        <w:t>）：</w:t>
      </w:r>
    </w:p>
    <w:p w14:paraId="685CA0B8">
      <w:pPr>
        <w:pStyle w:val="22"/>
        <w:bidi w:val="0"/>
        <w:ind w:left="0" w:leftChars="0" w:firstLine="1678" w:firstLineChars="839"/>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m:t>
            </m:r>
            <m:ctrlPr>
              <w:rPr>
                <w:rFonts w:hint="default" w:ascii="Cambria Math" w:hAnsi="Cambria Math" w:cs="Cambria Math"/>
                <w:lang w:val="en-US"/>
              </w:rPr>
            </m:ctrlPr>
          </m:e>
          <m:sub>
            <m:r>
              <m:rPr>
                <m:sty m:val="p"/>
              </m:rPr>
              <w:rPr>
                <w:rFonts w:hint="default" w:ascii="Cambria Math" w:hAnsi="Cambria Math" w:cs="Cambria Math"/>
                <w:lang w:val="en-US" w:eastAsia="zh-CN"/>
              </w:rPr>
              <m:t>AD,</m:t>
            </m:r>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CH</m:t>
                </m:r>
                <m:ctrlPr>
                  <w:rPr>
                    <w:rFonts w:hint="default" w:ascii="Cambria Math" w:hAnsi="Cambria Math" w:cs="Cambria Math"/>
                    <w:lang w:val="en-US"/>
                  </w:rPr>
                </m:ctrlPr>
              </m:e>
              <m:sub>
                <m:r>
                  <m:rPr>
                    <m:sty m:val="p"/>
                  </m:rPr>
                  <w:rPr>
                    <w:rFonts w:hint="default" w:ascii="Cambria Math" w:hAnsi="Cambria Math" w:cs="Cambria Math"/>
                    <w:lang w:val="en-US" w:eastAsia="zh-CN"/>
                  </w:rPr>
                  <m:t>4</m:t>
                </m:r>
                <m:ctrlPr>
                  <w:rPr>
                    <w:rFonts w:hint="default" w:ascii="Cambria Math" w:hAnsi="Cambria Math" w:cs="Cambria Math"/>
                    <w:lang w:val="en-US"/>
                  </w:rPr>
                </m:ctrlPr>
              </m:sub>
            </m:sSub>
            <m:r>
              <m:rPr>
                <m:sty m:val="p"/>
              </m:rPr>
              <w:rPr>
                <w:rFonts w:hint="default" w:ascii="Cambria Math" w:hAnsi="Cambria Math" w:cs="Cambria Math"/>
                <w:lang w:val="en-US" w:eastAsia="zh-CN"/>
              </w:rPr>
              <m:t>,y</m:t>
            </m:r>
            <m:ctrlPr>
              <w:rPr>
                <w:rFonts w:hint="default" w:ascii="Cambria Math" w:hAnsi="Cambria Math" w:cs="Cambria Math"/>
                <w:lang w:val="en-US"/>
              </w:rPr>
            </m:ctrlPr>
          </m:sub>
        </m:sSub>
        <m:r>
          <m:rPr>
            <m:sty m:val="p"/>
          </m:rPr>
          <w:rPr>
            <w:rFonts w:hint="default" w:ascii="Cambria Math" w:hAnsi="Cambria Math" w:cs="Cambria Math"/>
            <w:lang w:val="en-US" w:eastAsia="zh-CN"/>
          </w:rPr>
          <m:t>=</m:t>
        </m:r>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V</m:t>
            </m:r>
            <m:ctrlPr>
              <w:rPr>
                <w:rFonts w:hint="default" w:ascii="Cambria Math" w:hAnsi="Cambria Math" w:cs="Cambria Math"/>
                <w:lang w:val="en-US"/>
              </w:rPr>
            </m:ctrlPr>
          </m:e>
          <m:sub>
            <m:r>
              <m:rPr>
                <m:sty m:val="p"/>
              </m:rPr>
              <w:rPr>
                <w:rFonts w:hint="default" w:ascii="Cambria Math" w:hAnsi="Cambria Math" w:cs="Cambria Math"/>
                <w:lang w:val="en-US" w:eastAsia="zh-CN"/>
              </w:rPr>
              <m:t>AD,BGS,y</m:t>
            </m:r>
            <m:ctrlPr>
              <w:rPr>
                <w:rFonts w:hint="default" w:ascii="Cambria Math" w:hAnsi="Cambria Math" w:cs="Cambria Math"/>
                <w:lang w:val="en-US"/>
              </w:rPr>
            </m:ctrlPr>
          </m:sub>
        </m:sSub>
        <m:r>
          <m:rPr>
            <m:sty m:val="p"/>
          </m:rPr>
          <w:rPr>
            <w:rFonts w:hint="default" w:ascii="Cambria Math" w:hAnsi="Cambria Math" w:cs="Cambria Math"/>
            <w:lang w:val="en-US"/>
          </w:rPr>
          <m:t>×</m:t>
        </m:r>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F</m:t>
            </m:r>
            <m:ctrlPr>
              <w:rPr>
                <w:rFonts w:hint="default" w:ascii="Cambria Math" w:hAnsi="Cambria Math" w:cs="Cambria Math"/>
                <w:lang w:val="en-US"/>
              </w:rPr>
            </m:ctrlPr>
          </m:e>
          <m:sub>
            <m:r>
              <m:rPr>
                <m:sty m:val="p"/>
              </m:rPr>
              <w:rPr>
                <w:rFonts w:hint="default" w:ascii="Cambria Math" w:hAnsi="Cambria Math" w:cs="Cambria Math"/>
                <w:lang w:val="en-US" w:eastAsia="zh-CN"/>
              </w:rPr>
              <m:t>AD,BGS,y</m:t>
            </m:r>
            <m:ctrlPr>
              <w:rPr>
                <w:rFonts w:hint="default" w:ascii="Cambria Math" w:hAnsi="Cambria Math" w:cs="Cambria Math"/>
                <w:lang w:val="en-US"/>
              </w:rPr>
            </m:ctrlPr>
          </m:sub>
        </m:sSub>
        <m:r>
          <m:rPr>
            <m:sty m:val="p"/>
          </m:rPr>
          <w:rPr>
            <w:rFonts w:hint="default" w:ascii="Cambria Math" w:hAnsi="Cambria Math" w:cs="Cambria Math"/>
            <w:lang w:val="en-US"/>
          </w:rPr>
          <m:t>×</m:t>
        </m:r>
        <m:sSub>
          <m:sSubPr>
            <m:ctrlPr>
              <w:rPr>
                <w:rFonts w:hint="default" w:ascii="Cambria Math" w:hAnsi="Cambria Math" w:cs="Cambria Math"/>
                <w:lang w:val="en-US"/>
              </w:rPr>
            </m:ctrlPr>
          </m:sSubPr>
          <m:e>
            <m:r>
              <m:rPr>
                <m:sty m:val="p"/>
              </m:rPr>
              <w:rPr>
                <w:rFonts w:hint="default" w:ascii="Cambria Math" w:hAnsi="Cambria Math" w:cs="Cambria Math"/>
                <w:lang w:val="en-US"/>
              </w:rPr>
              <m:t>ρ</m:t>
            </m:r>
            <m:ctrlPr>
              <w:rPr>
                <w:rFonts w:hint="default" w:ascii="Cambria Math" w:hAnsi="Cambria Math" w:cs="Cambria Math"/>
                <w:lang w:val="en-US"/>
              </w:rPr>
            </m:ctrlPr>
          </m:e>
          <m:sub>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CH</m:t>
                </m:r>
                <m:ctrlPr>
                  <w:rPr>
                    <w:rFonts w:hint="default" w:ascii="Cambria Math" w:hAnsi="Cambria Math" w:cs="Cambria Math"/>
                    <w:lang w:val="en-US"/>
                  </w:rPr>
                </m:ctrlPr>
              </m:e>
              <m:sub>
                <m:r>
                  <m:rPr>
                    <m:sty m:val="p"/>
                  </m:rPr>
                  <w:rPr>
                    <w:rFonts w:hint="default" w:ascii="Cambria Math" w:hAnsi="Cambria Math" w:cs="Cambria Math"/>
                    <w:lang w:val="en-US" w:eastAsia="zh-CN"/>
                  </w:rPr>
                  <m:t>4</m:t>
                </m:r>
                <m:ctrlPr>
                  <w:rPr>
                    <w:rFonts w:hint="default" w:ascii="Cambria Math" w:hAnsi="Cambria Math" w:cs="Cambria Math"/>
                    <w:lang w:val="en-US"/>
                  </w:rPr>
                </m:ctrlPr>
              </m:sub>
            </m:sSub>
            <m:ctrlPr>
              <w:rPr>
                <w:rFonts w:hint="default" w:ascii="Cambria Math" w:hAnsi="Cambria Math" w:cs="Cambria Math"/>
                <w:lang w:val="en-US"/>
              </w:rPr>
            </m:ctrlPr>
          </m:sub>
        </m:sSub>
        <m:r>
          <m:rPr>
            <m:sty m:val="p"/>
          </m:rPr>
          <w:rPr>
            <w:rFonts w:hint="default" w:ascii="Cambria Math" w:hAnsi="Cambria Math" w:cs="Cambria Math"/>
            <w:lang w:val="en-US"/>
          </w:rPr>
          <m:t>×</m:t>
        </m:r>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EF</m:t>
            </m:r>
            <m:ctrlPr>
              <w:rPr>
                <w:rFonts w:hint="default" w:ascii="Cambria Math" w:hAnsi="Cambria Math" w:cs="Cambria Math"/>
                <w:lang w:val="en-US"/>
              </w:rPr>
            </m:ctrlPr>
          </m:e>
          <m:sub>
            <m:r>
              <m:rPr>
                <m:sty m:val="p"/>
              </m:rPr>
              <w:rPr>
                <w:rFonts w:hint="default" w:ascii="Cambria Math" w:hAnsi="Cambria Math" w:cs="Cambria Math"/>
                <w:lang w:val="en-US" w:eastAsia="zh-CN"/>
              </w:rPr>
              <m:t>AD,</m:t>
            </m:r>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CH</m:t>
                </m:r>
                <m:ctrlPr>
                  <w:rPr>
                    <w:rFonts w:hint="default" w:ascii="Cambria Math" w:hAnsi="Cambria Math" w:cs="Cambria Math"/>
                    <w:lang w:val="en-US"/>
                  </w:rPr>
                </m:ctrlPr>
              </m:e>
              <m:sub>
                <m:r>
                  <m:rPr>
                    <m:sty m:val="p"/>
                  </m:rPr>
                  <w:rPr>
                    <w:rFonts w:hint="default" w:ascii="Cambria Math" w:hAnsi="Cambria Math" w:cs="Cambria Math"/>
                    <w:lang w:val="en-US" w:eastAsia="zh-CN"/>
                  </w:rPr>
                  <m:t>4</m:t>
                </m:r>
                <m:ctrlPr>
                  <w:rPr>
                    <w:rFonts w:hint="default" w:ascii="Cambria Math" w:hAnsi="Cambria Math" w:cs="Cambria Math"/>
                    <w:lang w:val="en-US"/>
                  </w:rPr>
                </m:ctrlPr>
              </m:sub>
            </m:sSub>
            <m:ctrlPr>
              <w:rPr>
                <w:rFonts w:hint="default" w:ascii="Cambria Math" w:hAnsi="Cambria Math" w:cs="Cambria Math"/>
                <w:lang w:val="en-US"/>
              </w:rPr>
            </m:ctrlPr>
          </m:sub>
        </m:sSub>
        <m:r>
          <m:rPr>
            <m:sty m:val="p"/>
          </m:rPr>
          <w:rPr>
            <w:rFonts w:hint="default" w:ascii="Cambria Math" w:hAnsi="Cambria Math" w:cs="Cambria Math"/>
            <w:lang w:val="en-US"/>
          </w:rPr>
          <m:t>×</m:t>
        </m:r>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GWP</m:t>
            </m:r>
            <m:ctrlPr>
              <w:rPr>
                <w:rFonts w:hint="default" w:ascii="Cambria Math" w:hAnsi="Cambria Math" w:cs="Cambria Math"/>
                <w:lang w:val="en-US"/>
              </w:rPr>
            </m:ctrlPr>
          </m:e>
          <m:sub>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CH</m:t>
                </m:r>
                <m:ctrlPr>
                  <w:rPr>
                    <w:rFonts w:hint="default" w:ascii="Cambria Math" w:hAnsi="Cambria Math" w:cs="Cambria Math"/>
                    <w:lang w:val="en-US"/>
                  </w:rPr>
                </m:ctrlPr>
              </m:e>
              <m:sub>
                <m:r>
                  <m:rPr>
                    <m:sty m:val="p"/>
                  </m:rPr>
                  <w:rPr>
                    <w:rFonts w:hint="default" w:ascii="Cambria Math" w:hAnsi="Cambria Math" w:cs="Cambria Math"/>
                    <w:lang w:val="en-US" w:eastAsia="zh-CN"/>
                  </w:rPr>
                  <m:t>4</m:t>
                </m:r>
                <m:ctrlPr>
                  <w:rPr>
                    <w:rFonts w:hint="default" w:ascii="Cambria Math" w:hAnsi="Cambria Math" w:cs="Cambria Math"/>
                    <w:lang w:val="en-US"/>
                  </w:rPr>
                </m:ctrlPr>
              </m:sub>
            </m:sSub>
            <m:ctrlPr>
              <w:rPr>
                <w:rFonts w:hint="default" w:ascii="Cambria Math" w:hAnsi="Cambria Math" w:cs="Cambria Math"/>
                <w:lang w:val="en-US"/>
              </w:rPr>
            </m:ctrlPr>
          </m:sub>
        </m:sSub>
        <m:r>
          <m:rPr>
            <m:sty m:val="p"/>
          </m:rPr>
          <w:rPr>
            <w:rFonts w:hint="default" w:ascii="Cambria Math" w:hAnsi="Cambria Math" w:cs="Cambria Math"/>
            <w:lang w:val="en-US"/>
          </w:rPr>
          <m:t>×</m:t>
        </m:r>
        <m:sSup>
          <m:sSupPr>
            <m:ctrlPr>
              <w:rPr>
                <w:rFonts w:hint="default" w:ascii="Cambria Math" w:hAnsi="Cambria Math" w:cs="Cambria Math"/>
                <w:lang w:val="en-US"/>
              </w:rPr>
            </m:ctrlPr>
          </m:sSupPr>
          <m:e>
            <m:r>
              <m:rPr>
                <m:sty m:val="p"/>
              </m:rPr>
              <w:rPr>
                <w:rFonts w:hint="default" w:ascii="Cambria Math" w:hAnsi="Cambria Math" w:cs="Cambria Math"/>
                <w:lang w:val="en-US" w:eastAsia="zh-CN"/>
              </w:rPr>
              <m:t>10</m:t>
            </m:r>
            <m:ctrlPr>
              <w:rPr>
                <w:rFonts w:hint="default" w:ascii="Cambria Math" w:hAnsi="Cambria Math" w:cs="Cambria Math"/>
                <w:lang w:val="en-US"/>
              </w:rPr>
            </m:ctrlPr>
          </m:e>
          <m:sup>
            <m:r>
              <m:rPr>
                <m:sty m:val="p"/>
              </m:rPr>
              <w:rPr>
                <w:rFonts w:hint="default" w:ascii="Cambria Math" w:hAnsi="Cambria Math" w:cs="Cambria Math"/>
                <w:lang w:val="en-US" w:eastAsia="zh-CN"/>
              </w:rPr>
              <m:t>−3</m:t>
            </m:r>
            <m:ctrlPr>
              <w:rPr>
                <w:rFonts w:hint="default" w:ascii="Cambria Math" w:hAnsi="Cambria Math" w:cs="Cambria Math"/>
                <w:lang w:val="en-US"/>
              </w:rPr>
            </m:ctrlPr>
          </m:sup>
        </m:sSup>
      </m:oMath>
      <w:r>
        <w:rPr>
          <w:rFonts w:hint="default" w:ascii="Times New Roman" w:hAnsi="Times New Roman" w:cs="Times New Roman"/>
          <w:lang w:val="en-US" w:eastAsia="zh-CN"/>
        </w:rPr>
        <w:tab/>
      </w:r>
      <w:r>
        <w:rPr>
          <w:rFonts w:hint="default" w:ascii="Times New Roman" w:hAnsi="Times New Roman" w:cs="Times New Roman"/>
          <w:lang w:val="en-US" w:eastAsia="zh-CN"/>
        </w:rPr>
        <w:t>（</w:t>
      </w:r>
      <w:r>
        <w:rPr>
          <w:rFonts w:hint="eastAsia" w:ascii="Times New Roman" w:hAnsi="Times New Roman" w:cs="Times New Roman"/>
          <w:lang w:val="en-US" w:eastAsia="zh-CN"/>
        </w:rPr>
        <w:t>9</w:t>
      </w:r>
      <w:r>
        <w:rPr>
          <w:rFonts w:hint="default" w:ascii="Times New Roman" w:hAnsi="Times New Roman" w:cs="Times New Roman"/>
          <w:lang w:val="en-US" w:eastAsia="zh-CN"/>
        </w:rPr>
        <w:t>）</w:t>
      </w:r>
    </w:p>
    <w:p w14:paraId="0241C618">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V</m:t>
            </m:r>
            <m:ctrlPr>
              <w:rPr>
                <w:rFonts w:hint="default" w:ascii="Cambria Math" w:hAnsi="Cambria Math" w:cs="Cambria Math"/>
                <w:lang w:val="en-US"/>
              </w:rPr>
            </m:ctrlPr>
          </m:e>
          <m:sub>
            <m:r>
              <m:rPr>
                <m:sty m:val="p"/>
              </m:rPr>
              <w:rPr>
                <w:rFonts w:hint="default" w:ascii="Cambria Math" w:hAnsi="Cambria Math" w:cs="Cambria Math"/>
                <w:lang w:val="en-US" w:eastAsia="zh-CN"/>
              </w:rPr>
              <m:t>AD,BGS,y</m:t>
            </m:r>
            <m:ctrlPr>
              <w:rPr>
                <w:rFonts w:hint="default" w:ascii="Cambria Math" w:hAnsi="Cambria Math" w:cs="Cambria Math"/>
                <w:lang w:val="en-US"/>
              </w:rPr>
            </m:ctrlPr>
          </m:sub>
        </m:sSub>
      </m:oMath>
      <w:r>
        <w:rPr>
          <w:rFonts w:hint="default" w:ascii="Times New Roman" w:hAnsi="Times New Roman" w:cs="Times New Roman"/>
        </w:rPr>
        <w:t>——</w:t>
      </w:r>
      <w:r>
        <w:rPr>
          <w:rFonts w:hint="default" w:ascii="Times New Roman" w:hAnsi="Times New Roman" w:cs="Times New Roman"/>
          <w:lang w:val="en-US" w:eastAsia="zh-CN"/>
        </w:rPr>
        <w:t>指第y年厌氧消化收集的沼气量，单位为立方米（m</w:t>
      </w:r>
      <w:r>
        <w:rPr>
          <w:rFonts w:hint="default" w:ascii="Times New Roman" w:hAnsi="Times New Roman" w:eastAsia="微软雅黑" w:cs="Times New Roman"/>
          <w:lang w:val="en-US" w:eastAsia="zh-CN"/>
        </w:rPr>
        <w:t>³</w:t>
      </w:r>
      <w:r>
        <w:rPr>
          <w:rFonts w:hint="default" w:ascii="Times New Roman" w:hAnsi="Times New Roman" w:cs="Times New Roman"/>
          <w:lang w:val="en-US" w:eastAsia="zh-CN"/>
        </w:rPr>
        <w:t>）；</w:t>
      </w:r>
    </w:p>
    <w:p w14:paraId="201253CE">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F</m:t>
            </m:r>
            <m:ctrlPr>
              <w:rPr>
                <w:rFonts w:hint="default" w:ascii="Cambria Math" w:hAnsi="Cambria Math" w:cs="Cambria Math"/>
                <w:lang w:val="en-US"/>
              </w:rPr>
            </m:ctrlPr>
          </m:e>
          <m:sub>
            <m:r>
              <m:rPr>
                <m:sty m:val="p"/>
              </m:rPr>
              <w:rPr>
                <w:rFonts w:hint="default" w:ascii="Cambria Math" w:hAnsi="Cambria Math" w:cs="Cambria Math"/>
                <w:lang w:val="en-US" w:eastAsia="zh-CN"/>
              </w:rPr>
              <m:t>AD,BGS,y</m:t>
            </m:r>
            <m:ctrlPr>
              <w:rPr>
                <w:rFonts w:hint="default" w:ascii="Cambria Math" w:hAnsi="Cambria Math" w:cs="Cambria Math"/>
                <w:lang w:val="en-US"/>
              </w:rPr>
            </m:ctrlPr>
          </m:sub>
        </m:sSub>
      </m:oMath>
      <w:r>
        <w:rPr>
          <w:rFonts w:hint="default" w:ascii="Times New Roman" w:hAnsi="Times New Roman" w:cs="Times New Roman"/>
        </w:rPr>
        <w:t>——</w:t>
      </w:r>
      <w:r>
        <w:rPr>
          <w:rFonts w:hint="default" w:ascii="Times New Roman" w:hAnsi="Times New Roman" w:cs="Times New Roman"/>
          <w:lang w:val="en-US" w:eastAsia="zh-CN"/>
        </w:rPr>
        <w:t>指第y年沼气中的甲烷体积含量；</w:t>
      </w:r>
    </w:p>
    <w:p w14:paraId="6B1AAB43">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rPr>
              <m:t>ρ</m:t>
            </m:r>
            <m:ctrlPr>
              <w:rPr>
                <w:rFonts w:hint="default" w:ascii="Cambria Math" w:hAnsi="Cambria Math" w:cs="Cambria Math"/>
                <w:lang w:val="en-US"/>
              </w:rPr>
            </m:ctrlPr>
          </m:e>
          <m:sub>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CH</m:t>
                </m:r>
                <m:ctrlPr>
                  <w:rPr>
                    <w:rFonts w:hint="default" w:ascii="Cambria Math" w:hAnsi="Cambria Math" w:cs="Cambria Math"/>
                    <w:lang w:val="en-US"/>
                  </w:rPr>
                </m:ctrlPr>
              </m:e>
              <m:sub>
                <m:r>
                  <m:rPr>
                    <m:sty m:val="p"/>
                  </m:rPr>
                  <w:rPr>
                    <w:rFonts w:hint="default" w:ascii="Cambria Math" w:hAnsi="Cambria Math" w:cs="Cambria Math"/>
                    <w:lang w:val="en-US" w:eastAsia="zh-CN"/>
                  </w:rPr>
                  <m:t>4</m:t>
                </m:r>
                <m:ctrlPr>
                  <w:rPr>
                    <w:rFonts w:hint="default" w:ascii="Cambria Math" w:hAnsi="Cambria Math" w:cs="Cambria Math"/>
                    <w:lang w:val="en-US"/>
                  </w:rPr>
                </m:ctrlPr>
              </m:sub>
            </m:sSub>
            <m:ctrlPr>
              <w:rPr>
                <w:rFonts w:hint="default" w:ascii="Cambria Math" w:hAnsi="Cambria Math" w:cs="Cambria Math"/>
                <w:lang w:val="en-US"/>
              </w:rPr>
            </m:ctrlPr>
          </m:sub>
        </m:sSub>
      </m:oMath>
      <w:r>
        <w:rPr>
          <w:rFonts w:hint="default" w:ascii="Times New Roman" w:hAnsi="Times New Roman" w:cs="Times New Roman"/>
        </w:rPr>
        <w:t>——</w:t>
      </w:r>
      <w:r>
        <w:rPr>
          <w:rFonts w:hint="default" w:ascii="Times New Roman" w:hAnsi="Times New Roman" w:cs="Times New Roman"/>
          <w:lang w:val="en-US" w:eastAsia="zh-CN"/>
        </w:rPr>
        <w:t>指甲烷的密度，取推荐值0.67kg/m</w:t>
      </w:r>
      <w:r>
        <w:rPr>
          <w:rFonts w:hint="default" w:ascii="Times New Roman" w:hAnsi="Times New Roman" w:eastAsia="微软雅黑" w:cs="Times New Roman"/>
          <w:lang w:val="en-US" w:eastAsia="zh-CN"/>
        </w:rPr>
        <w:t>³</w:t>
      </w:r>
      <w:r>
        <w:rPr>
          <w:rFonts w:hint="default" w:ascii="Times New Roman" w:hAnsi="Times New Roman" w:cs="Times New Roman"/>
          <w:lang w:val="en-US" w:eastAsia="zh-CN"/>
        </w:rPr>
        <w:t>；</w:t>
      </w:r>
    </w:p>
    <w:p w14:paraId="0F952DE7">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EF</m:t>
            </m:r>
            <m:ctrlPr>
              <w:rPr>
                <w:rFonts w:hint="default" w:ascii="Cambria Math" w:hAnsi="Cambria Math" w:cs="Cambria Math"/>
                <w:lang w:val="en-US"/>
              </w:rPr>
            </m:ctrlPr>
          </m:e>
          <m:sub>
            <m:r>
              <m:rPr>
                <m:sty m:val="p"/>
              </m:rPr>
              <w:rPr>
                <w:rFonts w:hint="default" w:ascii="Cambria Math" w:hAnsi="Cambria Math" w:cs="Cambria Math"/>
                <w:lang w:val="en-US" w:eastAsia="zh-CN"/>
              </w:rPr>
              <m:t>AD,</m:t>
            </m:r>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CH</m:t>
                </m:r>
                <m:ctrlPr>
                  <w:rPr>
                    <w:rFonts w:hint="default" w:ascii="Cambria Math" w:hAnsi="Cambria Math" w:cs="Cambria Math"/>
                    <w:lang w:val="en-US"/>
                  </w:rPr>
                </m:ctrlPr>
              </m:e>
              <m:sub>
                <m:r>
                  <m:rPr>
                    <m:sty m:val="p"/>
                  </m:rPr>
                  <w:rPr>
                    <w:rFonts w:hint="default" w:ascii="Cambria Math" w:hAnsi="Cambria Math" w:cs="Cambria Math"/>
                    <w:lang w:val="en-US" w:eastAsia="zh-CN"/>
                  </w:rPr>
                  <m:t>4</m:t>
                </m:r>
                <m:ctrlPr>
                  <w:rPr>
                    <w:rFonts w:hint="default" w:ascii="Cambria Math" w:hAnsi="Cambria Math" w:cs="Cambria Math"/>
                    <w:lang w:val="en-US"/>
                  </w:rPr>
                </m:ctrlPr>
              </m:sub>
            </m:sSub>
            <m:ctrlPr>
              <w:rPr>
                <w:rFonts w:hint="default" w:ascii="Cambria Math" w:hAnsi="Cambria Math" w:cs="Cambria Math"/>
                <w:lang w:val="en-US"/>
              </w:rPr>
            </m:ctrlPr>
          </m:sub>
        </m:sSub>
      </m:oMath>
      <w:r>
        <w:rPr>
          <w:rFonts w:hint="default" w:ascii="Times New Roman" w:hAnsi="Times New Roman" w:cs="Times New Roman"/>
        </w:rPr>
        <w:t>——</w:t>
      </w:r>
      <w:r>
        <w:rPr>
          <w:rFonts w:hint="default" w:ascii="Times New Roman" w:hAnsi="Times New Roman" w:cs="Times New Roman"/>
          <w:lang w:val="en-US" w:eastAsia="zh-CN"/>
        </w:rPr>
        <w:t>指厌氧消化甲烷泄漏因子，根据消化器的类型取值（见附录F）；</w:t>
      </w:r>
    </w:p>
    <w:p w14:paraId="7F234B37">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GWP</m:t>
            </m:r>
            <m:ctrlPr>
              <w:rPr>
                <w:rFonts w:hint="default" w:ascii="Cambria Math" w:hAnsi="Cambria Math" w:cs="Cambria Math"/>
                <w:lang w:val="en-US"/>
              </w:rPr>
            </m:ctrlPr>
          </m:e>
          <m:sub>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CH</m:t>
                </m:r>
                <m:ctrlPr>
                  <w:rPr>
                    <w:rFonts w:hint="default" w:ascii="Cambria Math" w:hAnsi="Cambria Math" w:cs="Cambria Math"/>
                    <w:lang w:val="en-US"/>
                  </w:rPr>
                </m:ctrlPr>
              </m:e>
              <m:sub>
                <m:r>
                  <m:rPr>
                    <m:sty m:val="p"/>
                  </m:rPr>
                  <w:rPr>
                    <w:rFonts w:hint="default" w:ascii="Cambria Math" w:hAnsi="Cambria Math" w:cs="Cambria Math"/>
                    <w:lang w:val="en-US" w:eastAsia="zh-CN"/>
                  </w:rPr>
                  <m:t>4</m:t>
                </m:r>
                <m:ctrlPr>
                  <w:rPr>
                    <w:rFonts w:hint="default" w:ascii="Cambria Math" w:hAnsi="Cambria Math" w:cs="Cambria Math"/>
                    <w:lang w:val="en-US"/>
                  </w:rPr>
                </m:ctrlPr>
              </m:sub>
            </m:sSub>
            <m:ctrlPr>
              <w:rPr>
                <w:rFonts w:hint="default" w:ascii="Cambria Math" w:hAnsi="Cambria Math" w:cs="Cambria Math"/>
                <w:lang w:val="en-US"/>
              </w:rPr>
            </m:ctrlPr>
          </m:sub>
        </m:sSub>
      </m:oMath>
      <w:r>
        <w:rPr>
          <w:rFonts w:hint="default" w:ascii="Times New Roman" w:hAnsi="Times New Roman" w:cs="Times New Roman"/>
        </w:rPr>
        <w:t>——</w:t>
      </w:r>
      <w:r>
        <w:rPr>
          <w:rFonts w:hint="default" w:ascii="Times New Roman" w:hAnsi="Times New Roman" w:cs="Times New Roman"/>
          <w:lang w:val="en-US" w:eastAsia="zh-CN"/>
        </w:rPr>
        <w:t>指甲烷的全球增温潜势（非化石来源），参考IPCC发布的《第六次评估报告综合报告</w:t>
      </w:r>
      <w:r>
        <w:rPr>
          <w:rFonts w:hint="eastAsia" w:cs="Times New Roman"/>
          <w:lang w:val="en-US" w:eastAsia="zh-CN"/>
        </w:rPr>
        <w:t>：</w:t>
      </w:r>
      <w:r>
        <w:rPr>
          <w:rFonts w:hint="default" w:ascii="Times New Roman" w:hAnsi="Times New Roman" w:cs="Times New Roman"/>
          <w:lang w:val="en-US" w:eastAsia="zh-CN"/>
        </w:rPr>
        <w:t>气候变化2023》取推荐值为27，用于将甲烷排放量转换为二氧化碳排放当量；</w:t>
      </w:r>
    </w:p>
    <w:p w14:paraId="15552E1A">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10</w:t>
      </w:r>
      <w:r>
        <w:rPr>
          <w:rFonts w:hint="default" w:ascii="Times New Roman" w:hAnsi="Times New Roman" w:cs="Times New Roman"/>
          <w:vertAlign w:val="superscript"/>
          <w:lang w:val="en-US" w:eastAsia="zh-CN"/>
        </w:rPr>
        <w:t>-3</w:t>
      </w:r>
      <w:r>
        <w:rPr>
          <w:rFonts w:hint="default" w:ascii="Times New Roman" w:hAnsi="Times New Roman" w:cs="Times New Roman"/>
        </w:rPr>
        <w:t>——</w:t>
      </w:r>
      <w:r>
        <w:rPr>
          <w:rFonts w:hint="default" w:ascii="Times New Roman" w:hAnsi="Times New Roman" w:cs="Times New Roman"/>
          <w:lang w:val="en-US" w:eastAsia="zh-CN"/>
        </w:rPr>
        <w:t>指碳排放量单位从kg</w:t>
      </w:r>
      <w:r>
        <w:rPr>
          <w:rFonts w:hint="default" w:ascii="Times New Roman" w:hAnsi="Times New Roman" w:cs="Times New Roman"/>
        </w:rPr>
        <w:t>CO₂</w:t>
      </w:r>
      <w:r>
        <w:rPr>
          <w:rFonts w:hint="default" w:ascii="Times New Roman" w:hAnsi="Times New Roman" w:cs="Times New Roman"/>
          <w:lang w:val="en-US" w:eastAsia="zh-CN"/>
        </w:rPr>
        <w:t>/a转换为t</w:t>
      </w:r>
      <w:r>
        <w:rPr>
          <w:rFonts w:hint="default" w:ascii="Times New Roman" w:hAnsi="Times New Roman" w:cs="Times New Roman"/>
        </w:rPr>
        <w:t>CO₂</w:t>
      </w:r>
      <w:r>
        <w:rPr>
          <w:rFonts w:hint="default" w:ascii="Times New Roman" w:hAnsi="Times New Roman" w:cs="Times New Roman"/>
          <w:lang w:val="en-US" w:eastAsia="zh-CN"/>
        </w:rPr>
        <w:t>/a的转换系数。</w:t>
      </w:r>
    </w:p>
    <w:p w14:paraId="43308707">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（2）厌氧沼气发电上网替代电网供电而避免产生的碳排放量（</w:t>
      </w:r>
      <m:oMath>
        <m:sSub>
          <m:sSubPr>
            <m:ctrlPr>
              <w:rPr>
                <w:rFonts w:hint="default" w:ascii="Cambria Math" w:hAnsi="Cambria Math" w:cs="Times New Roman"/>
                <w:lang w:val="en-US"/>
              </w:rPr>
            </m:ctrlPr>
          </m:sSubPr>
          <m:e>
            <m:r>
              <m:rPr>
                <m:nor/>
                <m:sty m:val="p"/>
              </m:rPr>
              <w:rPr>
                <w:rFonts w:hint="default" w:ascii="Times New Roman" w:hAnsi="Times New Roman" w:cs="Times New Roman"/>
                <w:b w:val="0"/>
                <w:i w:val="0"/>
                <w:lang w:val="en-US" w:eastAsia="zh-CN"/>
              </w:rPr>
              <m:t>E</m:t>
            </m:r>
            <m:ctrlPr>
              <w:rPr>
                <w:rFonts w:hint="default" w:ascii="Cambria Math" w:hAnsi="Cambria Math" w:cs="Times New Roman"/>
                <w:lang w:val="en-US"/>
              </w:rPr>
            </m:ctrlPr>
          </m:e>
          <m:sub>
            <m:r>
              <m:rPr>
                <m:nor/>
                <m:sty m:val="p"/>
              </m:rPr>
              <w:rPr>
                <w:rFonts w:hint="default" w:ascii="Times New Roman" w:hAnsi="Times New Roman" w:cs="Times New Roman"/>
                <w:b w:val="0"/>
                <w:i w:val="0"/>
                <w:lang w:val="en-US" w:eastAsia="zh-CN"/>
              </w:rPr>
              <m:t>AD,EC,y</m:t>
            </m:r>
            <m:ctrlPr>
              <w:rPr>
                <w:rFonts w:hint="default" w:ascii="Cambria Math" w:hAnsi="Cambria Math" w:cs="Times New Roman"/>
                <w:lang w:val="en-US"/>
              </w:rPr>
            </m:ctrlPr>
          </m:sub>
        </m:sSub>
      </m:oMath>
      <w:r>
        <w:rPr>
          <w:rFonts w:hint="default" w:ascii="Times New Roman" w:hAnsi="Times New Roman" w:cs="Times New Roman"/>
          <w:lang w:val="en-US" w:eastAsia="zh-CN"/>
        </w:rPr>
        <w:t>）计算公式（</w:t>
      </w:r>
      <w:r>
        <w:rPr>
          <w:rFonts w:hint="eastAsia" w:cs="Times New Roman"/>
          <w:lang w:val="en-US" w:eastAsia="zh-CN"/>
        </w:rPr>
        <w:t>10</w:t>
      </w:r>
      <w:r>
        <w:rPr>
          <w:rFonts w:hint="default" w:ascii="Times New Roman" w:hAnsi="Times New Roman" w:cs="Times New Roman"/>
          <w:lang w:val="en-US" w:eastAsia="zh-CN"/>
        </w:rPr>
        <w:t>）：</w:t>
      </w:r>
    </w:p>
    <w:p w14:paraId="30F1496C">
      <w:pPr>
        <w:pStyle w:val="22"/>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m:t>
            </m:r>
            <m:ctrlPr>
              <w:rPr>
                <w:rFonts w:hint="default" w:ascii="Cambria Math" w:hAnsi="Cambria Math" w:cs="Cambria Math"/>
                <w:lang w:val="en-US"/>
              </w:rPr>
            </m:ctrlPr>
          </m:e>
          <m:sub>
            <m:r>
              <m:rPr>
                <m:sty m:val="p"/>
              </m:rPr>
              <w:rPr>
                <w:rFonts w:hint="default" w:ascii="Cambria Math" w:hAnsi="Cambria Math" w:cs="Cambria Math"/>
                <w:lang w:val="en-US" w:eastAsia="zh-CN"/>
              </w:rPr>
              <m:t>AD,EC,y</m:t>
            </m:r>
            <m:ctrlPr>
              <w:rPr>
                <w:rFonts w:hint="default" w:ascii="Cambria Math" w:hAnsi="Cambria Math" w:cs="Cambria Math"/>
                <w:lang w:val="en-US"/>
              </w:rPr>
            </m:ctrlPr>
          </m:sub>
        </m:sSub>
        <m:r>
          <m:rPr>
            <m:sty m:val="p"/>
          </m:rPr>
          <w:rPr>
            <w:rFonts w:hint="default" w:ascii="Cambria Math" w:hAnsi="Cambria Math" w:cs="Cambria Math"/>
            <w:lang w:val="en-US" w:eastAsia="zh-CN"/>
          </w:rPr>
          <m:t>=</m:t>
        </m:r>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EC</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AD,y</m:t>
            </m:r>
            <m:ctrlPr>
              <w:rPr>
                <w:rFonts w:hint="default" w:ascii="Cambria Math" w:hAnsi="Cambria Math" w:cs="Cambria Math"/>
                <w:lang w:val="en-US" w:eastAsia="zh-CN"/>
              </w:rPr>
            </m:ctrlPr>
          </m:sub>
        </m:sSub>
        <m:r>
          <m:rPr>
            <m:sty m:val="p"/>
          </m:rPr>
          <w:rPr>
            <w:rFonts w:hint="default" w:ascii="Cambria Math" w:hAnsi="Cambria Math" w:cs="Cambria Math"/>
            <w:lang w:val="en-US"/>
          </w:rPr>
          <m:t>×</m:t>
        </m:r>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EF</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EC</m:t>
            </m:r>
            <m:ctrlPr>
              <w:rPr>
                <w:rFonts w:hint="default" w:ascii="Cambria Math" w:hAnsi="Cambria Math" w:cs="Cambria Math"/>
                <w:lang w:val="en-US" w:eastAsia="zh-CN"/>
              </w:rPr>
            </m:ctrlPr>
          </m:sub>
        </m:sSub>
      </m:oMath>
      <w:r>
        <w:rPr>
          <w:rFonts w:hint="default" w:ascii="Times New Roman" w:hAnsi="Times New Roman" w:cs="Times New Roman"/>
          <w:lang w:val="en-US" w:eastAsia="zh-CN"/>
        </w:rPr>
        <w:tab/>
      </w:r>
      <w:r>
        <w:rPr>
          <w:rFonts w:hint="default" w:ascii="Times New Roman" w:hAnsi="Times New Roman" w:cs="Times New Roman"/>
          <w:lang w:val="en-US" w:eastAsia="zh-CN"/>
        </w:rPr>
        <w:t>（</w:t>
      </w:r>
      <w:r>
        <w:rPr>
          <w:rFonts w:hint="eastAsia" w:ascii="Times New Roman" w:hAnsi="Times New Roman" w:cs="Times New Roman"/>
          <w:lang w:val="en-US" w:eastAsia="zh-CN"/>
        </w:rPr>
        <w:t>10</w:t>
      </w:r>
      <w:r>
        <w:rPr>
          <w:rFonts w:hint="default" w:ascii="Times New Roman" w:hAnsi="Times New Roman" w:cs="Times New Roman"/>
          <w:lang w:val="en-US" w:eastAsia="zh-CN"/>
        </w:rPr>
        <w:t>）</w:t>
      </w:r>
    </w:p>
    <w:p w14:paraId="1EF086AA">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式中：</w:t>
      </w:r>
    </w:p>
    <w:p w14:paraId="7886CAEE">
      <w:pPr>
        <w:pStyle w:val="3"/>
        <w:bidi w:val="0"/>
        <w:rPr>
          <w:rFonts w:hint="default" w:ascii="Times New Roman" w:hAnsi="Times New Roman" w:cs="Times New Roman"/>
          <w:lang w:val="en-US" w:eastAsia="zh-CN"/>
        </w:rPr>
      </w:pPr>
      <m:oMath>
        <m:sSub>
          <m:sSubPr>
            <m:ctrlPr>
              <w:rPr>
                <w:rFonts w:hint="default" w:ascii="Cambria Math" w:hAnsi="Cambria Math" w:cs="Times New Roman"/>
                <w:lang w:val="en-US" w:eastAsia="zh-CN"/>
              </w:rPr>
            </m:ctrlPr>
          </m:sSubPr>
          <m:e>
            <m:r>
              <m:rPr>
                <m:nor/>
                <m:sty m:val="p"/>
              </m:rPr>
              <w:rPr>
                <w:rFonts w:hint="default" w:ascii="Times New Roman" w:hAnsi="Times New Roman" w:cs="Times New Roman"/>
                <w:b w:val="0"/>
                <w:i w:val="0"/>
                <w:lang w:val="en-US" w:eastAsia="zh-CN"/>
              </w:rPr>
              <m:t>EC</m:t>
            </m:r>
            <m:ctrlPr>
              <w:rPr>
                <w:rFonts w:hint="default" w:ascii="Cambria Math" w:hAnsi="Cambria Math" w:cs="Times New Roman"/>
                <w:lang w:val="en-US" w:eastAsia="zh-CN"/>
              </w:rPr>
            </m:ctrlPr>
          </m:e>
          <m:sub>
            <m:r>
              <m:rPr>
                <m:nor/>
                <m:sty m:val="p"/>
              </m:rPr>
              <w:rPr>
                <w:rFonts w:hint="default" w:ascii="Times New Roman" w:hAnsi="Times New Roman" w:cs="Times New Roman"/>
                <w:b w:val="0"/>
                <w:i w:val="0"/>
                <w:lang w:val="en-US" w:eastAsia="zh-CN"/>
              </w:rPr>
              <m:t>AD,y</m:t>
            </m:r>
            <m:ctrlPr>
              <w:rPr>
                <w:rFonts w:hint="default" w:ascii="Cambria Math" w:hAnsi="Cambria Math" w:cs="Times New Roman"/>
                <w:lang w:val="en-US" w:eastAsia="zh-CN"/>
              </w:rPr>
            </m:ctrlPr>
          </m:sub>
        </m:sSub>
      </m:oMath>
      <w:r>
        <w:rPr>
          <w:rFonts w:hint="default" w:ascii="Times New Roman" w:hAnsi="Times New Roman" w:cs="Times New Roman"/>
        </w:rPr>
        <w:t>——</w:t>
      </w:r>
      <w:r>
        <w:rPr>
          <w:rFonts w:hint="default" w:ascii="Times New Roman" w:hAnsi="Times New Roman" w:cs="Times New Roman"/>
          <w:lang w:val="en-US" w:eastAsia="zh-CN"/>
        </w:rPr>
        <w:t>指第y年厌氧沼气发电上网替代电网的供电量，单位为千瓦时（kWh）；</w:t>
      </w:r>
    </w:p>
    <w:p w14:paraId="279324CE">
      <w:pPr>
        <w:pStyle w:val="3"/>
        <w:bidi w:val="0"/>
        <w:rPr>
          <w:rFonts w:hint="default" w:ascii="Times New Roman" w:hAnsi="Times New Roman" w:cs="Times New Roman"/>
          <w:lang w:val="en-US" w:eastAsia="zh-CN"/>
        </w:rPr>
      </w:pPr>
      <m:oMath>
        <m:sSub>
          <m:sSubPr>
            <m:ctrlPr>
              <w:rPr>
                <w:rFonts w:hint="default" w:ascii="Cambria Math" w:hAnsi="Cambria Math" w:cs="Times New Roman"/>
                <w:lang w:val="en-US" w:eastAsia="zh-CN"/>
              </w:rPr>
            </m:ctrlPr>
          </m:sSubPr>
          <m:e>
            <m:r>
              <m:rPr>
                <m:nor/>
                <m:sty m:val="p"/>
              </m:rPr>
              <w:rPr>
                <w:rFonts w:hint="default" w:ascii="Times New Roman" w:hAnsi="Times New Roman" w:cs="Times New Roman"/>
                <w:b w:val="0"/>
                <w:i w:val="0"/>
                <w:lang w:val="en-US" w:eastAsia="zh-CN"/>
              </w:rPr>
              <m:t>EF</m:t>
            </m:r>
            <m:ctrlPr>
              <w:rPr>
                <w:rFonts w:hint="default" w:ascii="Cambria Math" w:hAnsi="Cambria Math" w:cs="Times New Roman"/>
                <w:lang w:val="en-US" w:eastAsia="zh-CN"/>
              </w:rPr>
            </m:ctrlPr>
          </m:e>
          <m:sub>
            <m:r>
              <m:rPr>
                <m:nor/>
                <m:sty m:val="p"/>
              </m:rPr>
              <w:rPr>
                <w:rFonts w:hint="default" w:ascii="Times New Roman" w:hAnsi="Times New Roman" w:cs="Times New Roman"/>
                <w:b w:val="0"/>
                <w:i w:val="0"/>
                <w:lang w:val="en-US" w:eastAsia="zh-CN"/>
              </w:rPr>
              <m:t>EC</m:t>
            </m:r>
            <m:ctrlPr>
              <w:rPr>
                <w:rFonts w:hint="default" w:ascii="Cambria Math" w:hAnsi="Cambria Math" w:cs="Times New Roman"/>
                <w:lang w:val="en-US" w:eastAsia="zh-CN"/>
              </w:rPr>
            </m:ctrlPr>
          </m:sub>
        </m:sSub>
      </m:oMath>
      <w:r>
        <w:rPr>
          <w:rFonts w:hint="default" w:ascii="Times New Roman" w:hAnsi="Times New Roman" w:cs="Times New Roman"/>
        </w:rPr>
        <w:t>——</w:t>
      </w:r>
      <w:r>
        <w:rPr>
          <w:rFonts w:hint="default" w:ascii="Times New Roman" w:hAnsi="Times New Roman" w:cs="Times New Roman"/>
          <w:lang w:val="en-US" w:eastAsia="zh-CN"/>
        </w:rPr>
        <w:t>指2024年</w:t>
      </w:r>
      <w:r>
        <w:rPr>
          <w:rFonts w:hint="eastAsia" w:cs="Times New Roman"/>
          <w:lang w:val="en-US" w:eastAsia="zh-CN"/>
        </w:rPr>
        <w:t>减排项目</w:t>
      </w:r>
      <w:r>
        <w:rPr>
          <w:rFonts w:hint="default" w:ascii="Times New Roman" w:hAnsi="Times New Roman" w:cs="Times New Roman"/>
          <w:lang w:val="en-US" w:eastAsia="zh-CN"/>
        </w:rPr>
        <w:t>中国区域电网碳排放因子，取推荐值6.313×10</w:t>
      </w:r>
      <w:r>
        <w:rPr>
          <w:rFonts w:hint="default" w:ascii="Times New Roman" w:hAnsi="Times New Roman" w:cs="Times New Roman"/>
          <w:vertAlign w:val="superscript"/>
          <w:lang w:val="en-US" w:eastAsia="zh-CN"/>
        </w:rPr>
        <w:t>-4</w:t>
      </w:r>
      <w:r>
        <w:rPr>
          <w:rFonts w:hint="default" w:ascii="Times New Roman" w:hAnsi="Times New Roman" w:cs="Times New Roman"/>
          <w:lang w:val="en-US" w:eastAsia="zh-CN"/>
        </w:rPr>
        <w:t>t</w:t>
      </w:r>
      <w:r>
        <w:rPr>
          <w:rFonts w:hint="default" w:ascii="Times New Roman" w:hAnsi="Times New Roman" w:cs="Times New Roman"/>
        </w:rPr>
        <w:t>CO₂</w:t>
      </w:r>
      <w:r>
        <w:rPr>
          <w:rFonts w:hint="default" w:ascii="Times New Roman" w:hAnsi="Times New Roman" w:cs="Times New Roman"/>
          <w:lang w:val="en-US" w:eastAsia="zh-CN"/>
        </w:rPr>
        <w:t>/kWh。</w:t>
      </w:r>
    </w:p>
    <w:p w14:paraId="4E8F13E0">
      <w:pPr>
        <w:pStyle w:val="5"/>
        <w:bidi w:val="0"/>
        <w:rPr>
          <w:rFonts w:hint="default" w:ascii="Times New Roman" w:hAnsi="Times New Roman" w:cs="Times New Roman"/>
        </w:rPr>
      </w:pPr>
      <w:bookmarkStart w:id="77" w:name="_Toc3643"/>
      <w:r>
        <w:rPr>
          <w:rFonts w:hint="default" w:ascii="Times New Roman" w:hAnsi="Times New Roman" w:cs="Times New Roman"/>
        </w:rPr>
        <w:t xml:space="preserve">A.2.2  </w:t>
      </w:r>
      <w:r>
        <w:rPr>
          <w:rFonts w:hint="default" w:ascii="Times New Roman" w:hAnsi="Times New Roman" w:cs="Times New Roman"/>
          <w:lang w:val="en-US" w:eastAsia="zh-CN"/>
        </w:rPr>
        <w:t>可回收垃圾回收处理产生的碳排放量（ERE,y）</w:t>
      </w:r>
      <w:bookmarkEnd w:id="77"/>
    </w:p>
    <w:p w14:paraId="330EE228">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m:t>
            </m:r>
            <m:ctrlPr>
              <w:rPr>
                <w:rFonts w:hint="default" w:ascii="Cambria Math" w:hAnsi="Cambria Math" w:cs="Cambria Math"/>
                <w:lang w:val="en-US"/>
              </w:rPr>
            </m:ctrlPr>
          </m:e>
          <m:sub>
            <m:r>
              <m:rPr>
                <m:sty m:val="p"/>
              </m:rPr>
              <w:rPr>
                <w:rFonts w:hint="default" w:ascii="Cambria Math" w:hAnsi="Cambria Math" w:cs="Cambria Math"/>
                <w:lang w:val="en-US" w:eastAsia="zh-CN"/>
              </w:rPr>
              <m:t>i,RE,y</m:t>
            </m:r>
            <m:ctrlPr>
              <w:rPr>
                <w:rFonts w:hint="default" w:ascii="Cambria Math" w:hAnsi="Cambria Math" w:cs="Cambria Math"/>
                <w:lang w:val="en-US"/>
              </w:rPr>
            </m:ctrlPr>
          </m:sub>
        </m:sSub>
      </m:oMath>
      <w:r>
        <w:rPr>
          <w:rFonts w:hint="eastAsia" w:cs="Times New Roman"/>
          <w:lang w:val="en-US" w:eastAsia="zh-CN"/>
        </w:rPr>
        <w:t>的</w:t>
      </w:r>
      <w:r>
        <w:rPr>
          <w:rFonts w:hint="default" w:ascii="Times New Roman" w:hAnsi="Times New Roman" w:cs="Times New Roman"/>
          <w:lang w:val="en-US" w:eastAsia="zh-CN"/>
        </w:rPr>
        <w:t>计算公式（</w:t>
      </w:r>
      <w:r>
        <w:rPr>
          <w:rFonts w:hint="eastAsia" w:cs="Times New Roman"/>
          <w:lang w:val="en-US" w:eastAsia="zh-CN"/>
        </w:rPr>
        <w:t>11</w:t>
      </w:r>
      <w:r>
        <w:rPr>
          <w:rFonts w:hint="default" w:ascii="Times New Roman" w:hAnsi="Times New Roman" w:cs="Times New Roman"/>
          <w:lang w:val="en-US" w:eastAsia="zh-CN"/>
        </w:rPr>
        <w:t>）：</w:t>
      </w:r>
    </w:p>
    <w:p w14:paraId="05D89C53">
      <w:pPr>
        <w:pStyle w:val="22"/>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m:t>
            </m:r>
            <m:ctrlPr>
              <w:rPr>
                <w:rFonts w:hint="default" w:ascii="Cambria Math" w:hAnsi="Cambria Math" w:cs="Cambria Math"/>
                <w:lang w:val="en-US"/>
              </w:rPr>
            </m:ctrlPr>
          </m:e>
          <m:sub>
            <m:r>
              <m:rPr>
                <m:sty m:val="p"/>
              </m:rPr>
              <w:rPr>
                <w:rFonts w:hint="default" w:ascii="Cambria Math" w:hAnsi="Cambria Math" w:cs="Cambria Math"/>
                <w:lang w:val="en-US" w:eastAsia="zh-CN"/>
              </w:rPr>
              <m:t>i,RE,y</m:t>
            </m:r>
            <m:ctrlPr>
              <w:rPr>
                <w:rFonts w:hint="default" w:ascii="Cambria Math" w:hAnsi="Cambria Math" w:cs="Cambria Math"/>
                <w:lang w:val="en-US"/>
              </w:rPr>
            </m:ctrlPr>
          </m:sub>
        </m:sSub>
        <m:r>
          <m:rPr>
            <m:sty m:val="p"/>
          </m:rPr>
          <w:rPr>
            <w:rFonts w:hint="default" w:ascii="Cambria Math" w:hAnsi="Cambria Math" w:cs="Cambria Math"/>
            <w:lang w:val="en-US" w:eastAsia="zh-CN"/>
          </w:rPr>
          <m:t>=</m:t>
        </m:r>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W</m:t>
            </m:r>
            <m:ctrlPr>
              <w:rPr>
                <w:rFonts w:hint="default" w:ascii="Cambria Math" w:hAnsi="Cambria Math" w:cs="Cambria Math"/>
                <w:lang w:val="en-US"/>
              </w:rPr>
            </m:ctrlPr>
          </m:e>
          <m:sub>
            <m:r>
              <m:rPr>
                <m:sty m:val="p"/>
              </m:rPr>
              <w:rPr>
                <w:rFonts w:hint="default" w:ascii="Cambria Math" w:hAnsi="Cambria Math" w:cs="Cambria Math"/>
                <w:lang w:val="en-US" w:eastAsia="zh-CN"/>
              </w:rPr>
              <m:t>i,collected,y</m:t>
            </m:r>
            <m:ctrlPr>
              <w:rPr>
                <w:rFonts w:hint="default" w:ascii="Cambria Math" w:hAnsi="Cambria Math" w:cs="Cambria Math"/>
                <w:lang w:val="en-US"/>
              </w:rPr>
            </m:ctrlPr>
          </m:sub>
        </m:sSub>
        <m:r>
          <m:rPr>
            <m:sty m:val="p"/>
          </m:rPr>
          <w:rPr>
            <w:rFonts w:hint="default" w:ascii="Cambria Math" w:hAnsi="Cambria Math" w:cs="Cambria Math"/>
            <w:lang w:val="en-US"/>
          </w:rPr>
          <m:t>×</m:t>
        </m:r>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EF</m:t>
            </m:r>
            <m:ctrlPr>
              <w:rPr>
                <w:rFonts w:hint="default" w:ascii="Cambria Math" w:hAnsi="Cambria Math" w:cs="Cambria Math"/>
                <w:lang w:val="en-US"/>
              </w:rPr>
            </m:ctrlPr>
          </m:e>
          <m:sub>
            <m:r>
              <m:rPr>
                <m:sty m:val="p"/>
              </m:rPr>
              <w:rPr>
                <w:rFonts w:hint="default" w:ascii="Cambria Math" w:hAnsi="Cambria Math" w:cs="Cambria Math"/>
                <w:lang w:val="en-US" w:eastAsia="zh-CN"/>
              </w:rPr>
              <m:t>i,RE</m:t>
            </m:r>
            <m:ctrlPr>
              <w:rPr>
                <w:rFonts w:hint="default" w:ascii="Cambria Math" w:hAnsi="Cambria Math" w:cs="Cambria Math"/>
                <w:lang w:val="en-US"/>
              </w:rPr>
            </m:ctrlPr>
          </m:sub>
        </m:sSub>
      </m:oMath>
      <w:r>
        <w:rPr>
          <w:rFonts w:hint="default" w:ascii="Times New Roman" w:hAnsi="Times New Roman" w:cs="Times New Roman"/>
          <w:lang w:val="en-US" w:eastAsia="zh-CN"/>
        </w:rPr>
        <w:tab/>
      </w:r>
      <w:r>
        <w:rPr>
          <w:rFonts w:hint="default" w:ascii="Times New Roman" w:hAnsi="Times New Roman" w:cs="Times New Roman"/>
          <w:lang w:val="en-US" w:eastAsia="zh-CN"/>
        </w:rPr>
        <w:t>（</w:t>
      </w:r>
      <w:r>
        <w:rPr>
          <w:rFonts w:hint="eastAsia" w:ascii="Times New Roman" w:hAnsi="Times New Roman" w:cs="Times New Roman"/>
          <w:lang w:val="en-US" w:eastAsia="zh-CN"/>
        </w:rPr>
        <w:t>11</w:t>
      </w:r>
      <w:r>
        <w:rPr>
          <w:rFonts w:hint="default" w:ascii="Times New Roman" w:hAnsi="Times New Roman" w:cs="Times New Roman"/>
          <w:lang w:val="en-US" w:eastAsia="zh-CN"/>
        </w:rPr>
        <w:t>）</w:t>
      </w:r>
    </w:p>
    <w:p w14:paraId="5CA6F51C">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式中：</w:t>
      </w:r>
    </w:p>
    <w:p w14:paraId="7E57E1DB">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W</m:t>
            </m:r>
            <m:ctrlPr>
              <w:rPr>
                <w:rFonts w:hint="default" w:ascii="Cambria Math" w:hAnsi="Cambria Math" w:cs="Cambria Math"/>
                <w:lang w:val="en-US"/>
              </w:rPr>
            </m:ctrlPr>
          </m:e>
          <m:sub>
            <m:r>
              <m:rPr>
                <m:sty m:val="p"/>
              </m:rPr>
              <w:rPr>
                <w:rFonts w:hint="default" w:ascii="Cambria Math" w:hAnsi="Cambria Math" w:cs="Cambria Math"/>
                <w:lang w:val="en-US" w:eastAsia="zh-CN"/>
              </w:rPr>
              <m:t>i,collected,y</m:t>
            </m:r>
            <m:ctrlPr>
              <w:rPr>
                <w:rFonts w:hint="default" w:ascii="Cambria Math" w:hAnsi="Cambria Math" w:cs="Cambria Math"/>
                <w:lang w:val="en-US"/>
              </w:rPr>
            </m:ctrlPr>
          </m:sub>
        </m:sSub>
      </m:oMath>
      <w:r>
        <w:rPr>
          <w:rFonts w:hint="default" w:ascii="Times New Roman" w:hAnsi="Times New Roman" w:cs="Times New Roman"/>
        </w:rPr>
        <w:t>——</w:t>
      </w:r>
      <w:r>
        <w:rPr>
          <w:rFonts w:hint="default" w:ascii="Times New Roman" w:hAnsi="Times New Roman" w:cs="Times New Roman"/>
          <w:lang w:val="en-US" w:eastAsia="zh-CN"/>
        </w:rPr>
        <w:t>指第y年生活垃圾中可回收物i的回收量，单位为吨（t）；</w:t>
      </w:r>
    </w:p>
    <w:p w14:paraId="21F564B9">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EF</m:t>
            </m:r>
            <m:ctrlPr>
              <w:rPr>
                <w:rFonts w:hint="default" w:ascii="Cambria Math" w:hAnsi="Cambria Math" w:cs="Cambria Math"/>
                <w:lang w:val="en-US"/>
              </w:rPr>
            </m:ctrlPr>
          </m:e>
          <m:sub>
            <m:r>
              <m:rPr>
                <m:sty m:val="p"/>
              </m:rPr>
              <w:rPr>
                <w:rFonts w:hint="default" w:ascii="Cambria Math" w:hAnsi="Cambria Math" w:cs="Cambria Math"/>
                <w:lang w:val="en-US" w:eastAsia="zh-CN"/>
              </w:rPr>
              <m:t>i,RE</m:t>
            </m:r>
            <m:ctrlPr>
              <w:rPr>
                <w:rFonts w:hint="default" w:ascii="Cambria Math" w:hAnsi="Cambria Math" w:cs="Cambria Math"/>
                <w:lang w:val="en-US"/>
              </w:rPr>
            </m:ctrlPr>
          </m:sub>
        </m:sSub>
      </m:oMath>
      <w:r>
        <w:rPr>
          <w:rFonts w:hint="default" w:ascii="Times New Roman" w:hAnsi="Times New Roman" w:cs="Times New Roman"/>
        </w:rPr>
        <w:t>——</w:t>
      </w:r>
      <w:r>
        <w:rPr>
          <w:rFonts w:hint="default" w:ascii="Times New Roman" w:hAnsi="Times New Roman" w:cs="Times New Roman"/>
          <w:lang w:val="en-US" w:eastAsia="zh-CN"/>
        </w:rPr>
        <w:t>指生活垃圾中可回收物i的碳排放因子，单位为吨二氧化碳每吨（t</w:t>
      </w:r>
      <w:r>
        <w:rPr>
          <w:rFonts w:hint="default" w:ascii="Times New Roman" w:hAnsi="Times New Roman" w:cs="Times New Roman"/>
        </w:rPr>
        <w:t>CO₂</w:t>
      </w:r>
      <w:r>
        <w:rPr>
          <w:rFonts w:hint="default" w:ascii="Times New Roman" w:hAnsi="Times New Roman" w:cs="Times New Roman"/>
          <w:lang w:val="en-US" w:eastAsia="zh-CN"/>
        </w:rPr>
        <w:t>/t），根据可回收物的类型取值（见附录G）。</w:t>
      </w:r>
    </w:p>
    <w:p w14:paraId="1FC43739">
      <w:pPr>
        <w:pStyle w:val="4"/>
        <w:bidi w:val="0"/>
        <w:rPr>
          <w:rFonts w:hint="default" w:ascii="Times New Roman" w:hAnsi="Times New Roman" w:cs="Times New Roman"/>
          <w:lang w:val="en-US" w:eastAsia="zh-CN"/>
        </w:rPr>
      </w:pPr>
      <w:bookmarkStart w:id="78" w:name="_Toc25692"/>
      <w:r>
        <w:rPr>
          <w:rFonts w:hint="default" w:ascii="Times New Roman" w:hAnsi="Times New Roman" w:cs="Times New Roman"/>
        </w:rPr>
        <w:t xml:space="preserve">A.2.3  </w:t>
      </w:r>
      <w:r>
        <w:rPr>
          <w:rFonts w:hint="default" w:ascii="Times New Roman" w:hAnsi="Times New Roman" w:cs="Times New Roman"/>
          <w:lang w:val="en-US" w:eastAsia="zh-CN"/>
        </w:rPr>
        <w:t>有害垃圾处理产生的碳排放量（</w:t>
      </w: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m:t>
            </m:r>
            <m:ctrlPr>
              <w:rPr>
                <w:rFonts w:hint="default" w:ascii="Cambria Math" w:hAnsi="Cambria Math" w:cs="Cambria Math"/>
                <w:lang w:val="en-US"/>
              </w:rPr>
            </m:ctrlPr>
          </m:e>
          <m:sub>
            <m:r>
              <m:rPr>
                <m:sty m:val="p"/>
              </m:rPr>
              <w:rPr>
                <w:rFonts w:hint="default" w:ascii="Cambria Math" w:hAnsi="Cambria Math" w:cs="Cambria Math"/>
                <w:lang w:val="en-US" w:eastAsia="zh-CN"/>
              </w:rPr>
              <m:t>HW,y</m:t>
            </m:r>
            <m:ctrlPr>
              <w:rPr>
                <w:rFonts w:hint="default" w:ascii="Cambria Math" w:hAnsi="Cambria Math" w:cs="Cambria Math"/>
                <w:lang w:val="en-US" w:eastAsia="zh-CN"/>
              </w:rPr>
            </m:ctrlPr>
          </m:sub>
        </m:sSub>
      </m:oMath>
      <w:r>
        <w:rPr>
          <w:rFonts w:hint="default" w:ascii="Times New Roman" w:hAnsi="Times New Roman" w:cs="Times New Roman"/>
          <w:lang w:val="en-US" w:eastAsia="zh-CN"/>
        </w:rPr>
        <w:t>）</w:t>
      </w:r>
      <w:bookmarkEnd w:id="78"/>
    </w:p>
    <w:p w14:paraId="5B000629">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m:t>
            </m:r>
            <m:ctrlPr>
              <w:rPr>
                <w:rFonts w:hint="default" w:ascii="Cambria Math" w:hAnsi="Cambria Math" w:cs="Cambria Math"/>
                <w:lang w:val="en-US"/>
              </w:rPr>
            </m:ctrlPr>
          </m:e>
          <m:sub>
            <m:r>
              <m:rPr>
                <m:sty m:val="p"/>
              </m:rPr>
              <w:rPr>
                <w:rFonts w:hint="default" w:ascii="Cambria Math" w:hAnsi="Cambria Math" w:cs="Cambria Math"/>
                <w:lang w:val="en-US" w:eastAsia="zh-CN"/>
              </w:rPr>
              <m:t>HW,y</m:t>
            </m:r>
            <m:ctrlPr>
              <w:rPr>
                <w:rFonts w:hint="default" w:ascii="Cambria Math" w:hAnsi="Cambria Math" w:cs="Cambria Math"/>
                <w:lang w:val="en-US" w:eastAsia="zh-CN"/>
              </w:rPr>
            </m:ctrlPr>
          </m:sub>
        </m:sSub>
      </m:oMath>
      <w:r>
        <w:rPr>
          <w:rFonts w:hint="default" w:ascii="Times New Roman" w:hAnsi="Times New Roman" w:cs="Times New Roman"/>
          <w:lang w:val="en-US" w:eastAsia="zh-CN"/>
        </w:rPr>
        <w:t>放计算公式（</w:t>
      </w:r>
      <w:r>
        <w:rPr>
          <w:rFonts w:hint="eastAsia" w:cs="Times New Roman"/>
          <w:lang w:val="en-US" w:eastAsia="zh-CN"/>
        </w:rPr>
        <w:t>12</w:t>
      </w:r>
      <w:r>
        <w:rPr>
          <w:rFonts w:hint="default" w:ascii="Times New Roman" w:hAnsi="Times New Roman" w:cs="Times New Roman"/>
          <w:lang w:val="en-US" w:eastAsia="zh-CN"/>
        </w:rPr>
        <w:t>）：</w:t>
      </w:r>
    </w:p>
    <w:p w14:paraId="4867C952">
      <w:pPr>
        <w:pStyle w:val="22"/>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m:t>
            </m:r>
            <m:ctrlPr>
              <w:rPr>
                <w:rFonts w:hint="default" w:ascii="Cambria Math" w:hAnsi="Cambria Math" w:cs="Cambria Math"/>
                <w:lang w:val="en-US"/>
              </w:rPr>
            </m:ctrlPr>
          </m:e>
          <m:sub>
            <m:r>
              <m:rPr>
                <m:sty m:val="p"/>
              </m:rPr>
              <w:rPr>
                <w:rFonts w:hint="default" w:ascii="Cambria Math" w:hAnsi="Cambria Math" w:cs="Cambria Math"/>
                <w:lang w:val="en-US" w:eastAsia="zh-CN"/>
              </w:rPr>
              <m:t>HW,y</m:t>
            </m:r>
            <m:ctrlPr>
              <w:rPr>
                <w:rFonts w:hint="default" w:ascii="Cambria Math" w:hAnsi="Cambria Math" w:cs="Cambria Math"/>
                <w:lang w:val="en-US" w:eastAsia="zh-CN"/>
              </w:rPr>
            </m:ctrlPr>
          </m:sub>
        </m:sSub>
        <m:r>
          <m:rPr>
            <m:sty m:val="p"/>
          </m:rPr>
          <w:rPr>
            <w:rFonts w:hint="default" w:ascii="Cambria Math" w:hAnsi="Cambria Math" w:cs="Cambria Math"/>
            <w:lang w:val="en-US" w:eastAsia="zh-CN"/>
          </w:rPr>
          <m:t>=</m:t>
        </m:r>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M</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HW,y</m:t>
            </m:r>
            <m:ctrlPr>
              <w:rPr>
                <w:rFonts w:hint="default" w:ascii="Cambria Math" w:hAnsi="Cambria Math" w:cs="Cambria Math"/>
                <w:lang w:val="en-US" w:eastAsia="zh-CN"/>
              </w:rPr>
            </m:ctrlPr>
          </m:sub>
        </m:sSub>
        <m:r>
          <m:rPr>
            <m:sty m:val="p"/>
          </m:rPr>
          <w:rPr>
            <w:rFonts w:hint="default" w:ascii="Cambria Math" w:hAnsi="Cambria Math" w:cs="Cambria Math"/>
            <w:lang w:val="en-US"/>
          </w:rPr>
          <m:t>×</m:t>
        </m:r>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EF</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HW</m:t>
            </m:r>
            <m:ctrlPr>
              <w:rPr>
                <w:rFonts w:hint="default" w:ascii="Cambria Math" w:hAnsi="Cambria Math" w:cs="Cambria Math"/>
                <w:lang w:val="en-US" w:eastAsia="zh-CN"/>
              </w:rPr>
            </m:ctrlPr>
          </m:sub>
        </m:sSub>
      </m:oMath>
      <w:r>
        <w:rPr>
          <w:rFonts w:hint="default" w:ascii="Times New Roman" w:hAnsi="Times New Roman" w:cs="Times New Roman"/>
          <w:lang w:val="en-US" w:eastAsia="zh-CN"/>
        </w:rPr>
        <w:tab/>
      </w:r>
      <w:r>
        <w:rPr>
          <w:rFonts w:hint="default" w:ascii="Times New Roman" w:hAnsi="Times New Roman" w:cs="Times New Roman"/>
          <w:lang w:val="en-US" w:eastAsia="zh-CN"/>
        </w:rPr>
        <w:t>（</w:t>
      </w:r>
      <w:r>
        <w:rPr>
          <w:rFonts w:hint="eastAsia" w:ascii="Times New Roman" w:hAnsi="Times New Roman" w:cs="Times New Roman"/>
          <w:lang w:val="en-US" w:eastAsia="zh-CN"/>
        </w:rPr>
        <w:t>12</w:t>
      </w:r>
      <w:r>
        <w:rPr>
          <w:rFonts w:hint="default" w:ascii="Times New Roman" w:hAnsi="Times New Roman" w:cs="Times New Roman"/>
          <w:lang w:val="en-US" w:eastAsia="zh-CN"/>
        </w:rPr>
        <w:t>）</w:t>
      </w:r>
    </w:p>
    <w:p w14:paraId="4AB34A75">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式中：</w:t>
      </w:r>
    </w:p>
    <w:p w14:paraId="592B9C47">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m:t>
            </m:r>
            <m:ctrlPr>
              <w:rPr>
                <w:rFonts w:hint="default" w:ascii="Cambria Math" w:hAnsi="Cambria Math" w:cs="Cambria Math"/>
                <w:lang w:val="en-US"/>
              </w:rPr>
            </m:ctrlPr>
          </m:e>
          <m:sub>
            <m:r>
              <m:rPr>
                <m:sty m:val="p"/>
              </m:rPr>
              <w:rPr>
                <w:rFonts w:hint="default" w:ascii="Cambria Math" w:hAnsi="Cambria Math" w:cs="Cambria Math"/>
                <w:lang w:val="en-US" w:eastAsia="zh-CN"/>
              </w:rPr>
              <m:t>HW,y</m:t>
            </m:r>
            <m:ctrlPr>
              <w:rPr>
                <w:rFonts w:hint="default" w:ascii="Cambria Math" w:hAnsi="Cambria Math" w:cs="Cambria Math"/>
                <w:lang w:val="en-US" w:eastAsia="zh-CN"/>
              </w:rPr>
            </m:ctrlPr>
          </m:sub>
        </m:sSub>
      </m:oMath>
      <w:r>
        <w:rPr>
          <w:rFonts w:hint="default" w:ascii="Times New Roman" w:hAnsi="Times New Roman" w:cs="Times New Roman"/>
        </w:rPr>
        <w:t>——</w:t>
      </w:r>
      <w:r>
        <w:rPr>
          <w:rFonts w:hint="default" w:ascii="Times New Roman" w:hAnsi="Times New Roman" w:cs="Times New Roman"/>
          <w:lang w:val="en-US" w:eastAsia="zh-CN"/>
        </w:rPr>
        <w:t>指第y年有害垃圾处理产生的碳排放量，t</w:t>
      </w:r>
      <w:r>
        <w:rPr>
          <w:rFonts w:hint="default" w:ascii="Times New Roman" w:hAnsi="Times New Roman" w:cs="Times New Roman"/>
        </w:rPr>
        <w:t>CO₂</w:t>
      </w:r>
      <w:r>
        <w:rPr>
          <w:rFonts w:hint="default" w:ascii="Times New Roman" w:hAnsi="Times New Roman" w:cs="Times New Roman"/>
          <w:lang w:val="en-US" w:eastAsia="zh-CN"/>
        </w:rPr>
        <w:t>/a；</w:t>
      </w:r>
    </w:p>
    <w:p w14:paraId="7DF76D0A">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M</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HW,y</m:t>
            </m:r>
            <m:ctrlPr>
              <w:rPr>
                <w:rFonts w:hint="default" w:ascii="Cambria Math" w:hAnsi="Cambria Math" w:cs="Cambria Math"/>
                <w:lang w:val="en-US" w:eastAsia="zh-CN"/>
              </w:rPr>
            </m:ctrlPr>
          </m:sub>
        </m:sSub>
      </m:oMath>
      <w:r>
        <w:rPr>
          <w:rFonts w:hint="default" w:ascii="Times New Roman" w:hAnsi="Times New Roman" w:cs="Times New Roman"/>
        </w:rPr>
        <w:t>——</w:t>
      </w:r>
      <w:r>
        <w:rPr>
          <w:rFonts w:hint="default" w:ascii="Times New Roman" w:hAnsi="Times New Roman" w:cs="Times New Roman"/>
          <w:lang w:val="en-US" w:eastAsia="zh-CN"/>
        </w:rPr>
        <w:t>指第y年有害垃圾处理量，t；</w:t>
      </w:r>
    </w:p>
    <w:p w14:paraId="6A28BD96">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EF</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HW</m:t>
            </m:r>
            <m:ctrlPr>
              <w:rPr>
                <w:rFonts w:hint="default" w:ascii="Cambria Math" w:hAnsi="Cambria Math" w:cs="Cambria Math"/>
                <w:lang w:val="en-US" w:eastAsia="zh-CN"/>
              </w:rPr>
            </m:ctrlPr>
          </m:sub>
        </m:sSub>
      </m:oMath>
      <w:r>
        <w:rPr>
          <w:rFonts w:hint="default" w:ascii="Times New Roman" w:hAnsi="Times New Roman" w:cs="Times New Roman"/>
        </w:rPr>
        <w:t>——</w:t>
      </w:r>
      <w:r>
        <w:rPr>
          <w:rFonts w:hint="default" w:ascii="Times New Roman" w:hAnsi="Times New Roman" w:cs="Times New Roman"/>
          <w:lang w:val="en-US" w:eastAsia="zh-CN"/>
        </w:rPr>
        <w:t>指有害垃圾处理处置的排放因子，若数据获取困难，取推荐值0.15t</w:t>
      </w:r>
      <w:r>
        <w:rPr>
          <w:rFonts w:hint="default" w:ascii="Times New Roman" w:hAnsi="Times New Roman" w:cs="Times New Roman"/>
        </w:rPr>
        <w:t>CO₂</w:t>
      </w:r>
      <w:r>
        <w:rPr>
          <w:rFonts w:hint="default" w:ascii="Times New Roman" w:hAnsi="Times New Roman" w:cs="Times New Roman"/>
          <w:lang w:val="en-US" w:eastAsia="zh-CN"/>
        </w:rPr>
        <w:t>/t。</w:t>
      </w:r>
    </w:p>
    <w:p w14:paraId="4215FAD8">
      <w:pPr>
        <w:pStyle w:val="5"/>
        <w:bidi w:val="0"/>
        <w:rPr>
          <w:rFonts w:hint="default" w:ascii="Times New Roman" w:hAnsi="Times New Roman" w:cs="Times New Roman"/>
        </w:rPr>
      </w:pPr>
      <w:bookmarkStart w:id="79" w:name="_Toc15130"/>
      <w:r>
        <w:rPr>
          <w:rFonts w:hint="default" w:ascii="Times New Roman" w:hAnsi="Times New Roman" w:cs="Times New Roman"/>
        </w:rPr>
        <w:t xml:space="preserve">A.2.4  </w:t>
      </w:r>
      <w:r>
        <w:rPr>
          <w:rFonts w:hint="default" w:ascii="Times New Roman" w:hAnsi="Times New Roman" w:cs="Times New Roman"/>
          <w:lang w:val="en-US" w:eastAsia="zh-CN"/>
        </w:rPr>
        <w:t>其他垃圾处理产生的碳排放量（</w:t>
      </w:r>
      <m:oMath>
        <m:sSub>
          <m:sSubPr>
            <m:ctrlPr>
              <w:rPr>
                <w:rFonts w:hint="default" w:ascii="Cambria Math" w:hAnsi="Cambria Math" w:cs="Cambria Math"/>
                <w:i w:val="0"/>
                <w:iCs w:val="0"/>
                <w:lang w:val="en-US"/>
              </w:rPr>
            </m:ctrlPr>
          </m:sSubPr>
          <m:e>
            <m:r>
              <m:rPr>
                <m:sty m:val="p"/>
              </m:rPr>
              <w:rPr>
                <w:rFonts w:hint="default" w:ascii="Cambria Math" w:hAnsi="Cambria Math" w:cs="Cambria Math"/>
                <w:lang w:val="en-US" w:eastAsia="zh-CN"/>
              </w:rPr>
              <m:t>E</m:t>
            </m:r>
            <m:ctrlPr>
              <w:rPr>
                <w:rFonts w:hint="default" w:ascii="Cambria Math" w:hAnsi="Cambria Math" w:cs="Cambria Math"/>
                <w:i w:val="0"/>
                <w:iCs w:val="0"/>
                <w:lang w:val="en-US"/>
              </w:rPr>
            </m:ctrlPr>
          </m:e>
          <m:sub>
            <m:r>
              <m:rPr>
                <m:sty m:val="p"/>
              </m:rPr>
              <w:rPr>
                <w:rFonts w:hint="default" w:ascii="Cambria Math" w:hAnsi="Cambria Math" w:cs="Cambria Math"/>
                <w:lang w:val="en-US" w:eastAsia="zh-CN"/>
              </w:rPr>
              <m:t>other,y</m:t>
            </m:r>
            <m:ctrlPr>
              <w:rPr>
                <w:rFonts w:hint="default" w:ascii="Cambria Math" w:hAnsi="Cambria Math" w:cs="Cambria Math"/>
                <w:i w:val="0"/>
                <w:iCs w:val="0"/>
                <w:lang w:val="en-US"/>
              </w:rPr>
            </m:ctrlPr>
          </m:sub>
        </m:sSub>
      </m:oMath>
      <w:r>
        <w:rPr>
          <w:rFonts w:hint="default" w:ascii="Times New Roman" w:hAnsi="Times New Roman" w:cs="Times New Roman"/>
          <w:lang w:val="en-US" w:eastAsia="zh-CN"/>
        </w:rPr>
        <w:t>）</w:t>
      </w:r>
      <w:bookmarkEnd w:id="79"/>
    </w:p>
    <w:p w14:paraId="2371FB8C">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其他垃圾在生活垃圾分类措施实施前后均使用焚烧或填埋进行处理，其他垃圾处理产生的碳排放量可采用基准线情景的计算方法计算。</w:t>
      </w:r>
    </w:p>
    <w:p w14:paraId="71C72E04">
      <w:pPr>
        <w:pStyle w:val="3"/>
        <w:bidi w:val="0"/>
        <w:rPr>
          <w:rFonts w:hint="default" w:ascii="Times New Roman" w:hAnsi="Times New Roman" w:cs="Times New Roman"/>
          <w:lang w:val="en-US" w:eastAsia="zh-CN"/>
        </w:rPr>
        <w:sectPr>
          <w:footerReference r:id="rId8" w:type="default"/>
          <w:pgSz w:w="11907" w:h="16839"/>
          <w:pgMar w:top="1716" w:right="1070" w:bottom="1340" w:left="1421" w:header="1391" w:footer="1106" w:gutter="0"/>
          <w:pgNumType w:fmt="decimal"/>
          <w:cols w:space="720" w:num="1"/>
        </w:sectPr>
      </w:pPr>
    </w:p>
    <w:p w14:paraId="05F8D97C">
      <w:pPr>
        <w:pStyle w:val="3"/>
        <w:spacing w:before="90" w:line="176" w:lineRule="auto"/>
        <w:ind w:left="4789"/>
        <w:rPr>
          <w:rFonts w:hint="default" w:ascii="Times New Roman" w:hAnsi="Times New Roman" w:cs="Times New Roman"/>
          <w:sz w:val="2"/>
          <w:szCs w:val="2"/>
        </w:rPr>
      </w:pPr>
      <w:r>
        <w:rPr>
          <w:rFonts w:hint="default" w:ascii="Times New Roman" w:hAnsi="Times New Roman" w:cs="Times New Roman"/>
          <w:sz w:val="2"/>
          <w:szCs w:val="2"/>
        </w:rPr>
        <w:t>B</w:t>
      </w:r>
    </w:p>
    <w:p w14:paraId="7D2ABB6F">
      <w:pPr>
        <w:pStyle w:val="2"/>
        <w:bidi w:val="0"/>
        <w:rPr>
          <w:rFonts w:hint="default"/>
        </w:rPr>
      </w:pPr>
      <w:bookmarkStart w:id="80" w:name="bookmark30"/>
      <w:bookmarkEnd w:id="80"/>
      <w:bookmarkStart w:id="81" w:name="_Toc21739"/>
      <w:bookmarkStart w:id="82" w:name="_Toc31857"/>
      <w:r>
        <w:rPr>
          <w:rFonts w:hint="default"/>
        </w:rPr>
        <w:t>附 录 B</w:t>
      </w:r>
      <w:bookmarkStart w:id="83" w:name="bookmark10"/>
      <w:bookmarkEnd w:id="83"/>
      <w:bookmarkStart w:id="84" w:name="bookmark22"/>
      <w:bookmarkEnd w:id="84"/>
      <w:bookmarkStart w:id="85" w:name="bookmark30"/>
      <w:bookmarkEnd w:id="85"/>
      <w:r>
        <w:rPr>
          <w:rFonts w:hint="default"/>
        </w:rPr>
        <w:t>（规范性）</w:t>
      </w:r>
      <w:bookmarkStart w:id="86" w:name="bookmark30"/>
      <w:bookmarkEnd w:id="86"/>
      <w:bookmarkStart w:id="87" w:name="bookmark22"/>
      <w:bookmarkEnd w:id="87"/>
      <w:r>
        <w:rPr>
          <w:rFonts w:hint="default"/>
        </w:rPr>
        <w:t>数据</w:t>
      </w:r>
      <w:r>
        <w:rPr>
          <w:rFonts w:hint="default"/>
          <w:lang w:val="en-US" w:eastAsia="zh-CN"/>
        </w:rPr>
        <w:t>的</w:t>
      </w:r>
      <w:r>
        <w:rPr>
          <w:rFonts w:hint="default"/>
        </w:rPr>
        <w:t>监测及来源</w:t>
      </w:r>
      <w:bookmarkEnd w:id="81"/>
      <w:bookmarkEnd w:id="82"/>
    </w:p>
    <w:p w14:paraId="2BE62375">
      <w:pPr>
        <w:pStyle w:val="4"/>
        <w:bidi w:val="0"/>
        <w:rPr>
          <w:rFonts w:hint="default" w:ascii="Times New Roman" w:hAnsi="Times New Roman" w:cs="Times New Roman"/>
        </w:rPr>
      </w:pPr>
      <w:bookmarkStart w:id="88" w:name="_Toc13544"/>
      <w:r>
        <w:rPr>
          <w:rFonts w:hint="default" w:ascii="Times New Roman" w:hAnsi="Times New Roman" w:cs="Times New Roman"/>
          <w:lang w:val="en-US" w:eastAsia="zh-CN"/>
        </w:rPr>
        <w:t>B.1  不</w:t>
      </w:r>
      <w:r>
        <w:rPr>
          <w:rFonts w:hint="default" w:ascii="Times New Roman" w:hAnsi="Times New Roman" w:cs="Times New Roman"/>
        </w:rPr>
        <w:t>需要监测的数据及来源</w:t>
      </w:r>
      <w:bookmarkEnd w:id="88"/>
    </w:p>
    <w:p w14:paraId="08A9D275">
      <w:pPr>
        <w:pStyle w:val="3"/>
        <w:bidi w:val="0"/>
        <w:rPr>
          <w:rFonts w:hint="default" w:ascii="Times New Roman" w:hAnsi="Times New Roman" w:cs="Times New Roman"/>
        </w:rPr>
      </w:pPr>
      <w:r>
        <w:rPr>
          <w:rFonts w:hint="default" w:ascii="Times New Roman" w:hAnsi="Times New Roman" w:cs="Times New Roman"/>
        </w:rPr>
        <w:t>表B.1</w:t>
      </w:r>
      <w:r>
        <w:rPr>
          <w:rFonts w:hint="default" w:ascii="Times New Roman" w:hAnsi="Times New Roman" w:cs="Times New Roman"/>
          <w:lang w:val="en-US" w:eastAsia="zh-CN"/>
        </w:rPr>
        <w:t>.1</w:t>
      </w:r>
      <w:r>
        <w:rPr>
          <w:rFonts w:hint="default" w:ascii="Times New Roman" w:hAnsi="Times New Roman" w:cs="Times New Roman"/>
        </w:rPr>
        <w:t>至B.</w:t>
      </w:r>
      <w:r>
        <w:rPr>
          <w:rFonts w:hint="default" w:ascii="Times New Roman" w:hAnsi="Times New Roman" w:cs="Times New Roman"/>
          <w:lang w:val="en-US" w:eastAsia="zh-CN"/>
        </w:rPr>
        <w:t>1.12</w:t>
      </w:r>
      <w:r>
        <w:rPr>
          <w:rFonts w:hint="default" w:ascii="Times New Roman" w:hAnsi="Times New Roman" w:cs="Times New Roman"/>
        </w:rPr>
        <w:t>规定了</w:t>
      </w:r>
      <w:r>
        <w:rPr>
          <w:rFonts w:hint="default" w:ascii="Times New Roman" w:hAnsi="Times New Roman" w:cs="Times New Roman"/>
          <w:lang w:val="en-US" w:eastAsia="zh-CN"/>
        </w:rPr>
        <w:t>不</w:t>
      </w:r>
      <w:r>
        <w:rPr>
          <w:rFonts w:hint="default" w:ascii="Times New Roman" w:hAnsi="Times New Roman" w:cs="Times New Roman"/>
        </w:rPr>
        <w:t>需要监测的数据及来源。</w:t>
      </w:r>
    </w:p>
    <w:p w14:paraId="13AEEB74">
      <w:pPr>
        <w:keepNext w:val="0"/>
        <w:keepLines w:val="0"/>
        <w:pageBreakBefore w:val="0"/>
        <w:widowControl w:val="0"/>
        <w:kinsoku w:val="0"/>
        <w:wordWrap/>
        <w:overflowPunct/>
        <w:topLinePunct w:val="0"/>
        <w:autoSpaceDE w:val="0"/>
        <w:autoSpaceDN w:val="0"/>
        <w:bidi w:val="0"/>
        <w:adjustRightInd w:val="0"/>
        <w:snapToGrid w:val="0"/>
        <w:spacing w:before="157" w:beforeLines="50" w:after="157" w:afterLines="50" w:line="240" w:lineRule="auto"/>
        <w:ind w:left="0" w:right="0"/>
        <w:jc w:val="center"/>
        <w:textAlignment w:val="baseline"/>
        <w:rPr>
          <w:rFonts w:hint="eastAsia" w:ascii="黑体" w:hAnsi="黑体" w:eastAsia="黑体" w:cs="黑体"/>
          <w:snapToGrid w:val="0"/>
          <w:color w:val="000000"/>
          <w:spacing w:val="0"/>
          <w:kern w:val="0"/>
          <w:position w:val="0"/>
          <w:sz w:val="21"/>
          <w:szCs w:val="21"/>
          <w:lang w:eastAsia="en-US"/>
        </w:rPr>
      </w:pPr>
      <w:r>
        <w:rPr>
          <w:rFonts w:hint="eastAsia" w:ascii="黑体" w:hAnsi="黑体" w:eastAsia="黑体" w:cs="黑体"/>
          <w:b/>
          <w:bCs/>
          <w:snapToGrid w:val="0"/>
          <w:color w:val="000000"/>
          <w:spacing w:val="0"/>
          <w:kern w:val="0"/>
          <w:position w:val="0"/>
          <w:sz w:val="21"/>
          <w:szCs w:val="21"/>
          <w:lang w:eastAsia="en-US"/>
        </w:rPr>
        <w:t>表</w:t>
      </w:r>
      <w:r>
        <w:rPr>
          <w:rFonts w:hint="eastAsia" w:ascii="黑体" w:hAnsi="黑体" w:eastAsia="黑体" w:cs="黑体"/>
          <w:b/>
          <w:bCs/>
          <w:snapToGrid w:val="0"/>
          <w:color w:val="000000"/>
          <w:spacing w:val="0"/>
          <w:kern w:val="0"/>
          <w:position w:val="0"/>
          <w:sz w:val="21"/>
          <w:szCs w:val="21"/>
          <w:lang w:val="en-US" w:eastAsia="zh-CN"/>
        </w:rPr>
        <w:t>B.1.1 废弃物中可降解有机碳分数</w:t>
      </w:r>
    </w:p>
    <w:tbl>
      <w:tblPr>
        <w:tblStyle w:val="18"/>
        <w:tblW w:w="4999"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935"/>
        <w:gridCol w:w="7653"/>
      </w:tblGrid>
      <w:tr w14:paraId="1A1E3F4F">
        <w:trPr>
          <w:trHeight w:val="57" w:hRule="atLeast"/>
        </w:trPr>
        <w:tc>
          <w:tcPr>
            <w:tcW w:w="1009" w:type="pct"/>
            <w:vAlign w:val="top"/>
          </w:tcPr>
          <w:p w14:paraId="02358746">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数据/参数</w:t>
            </w:r>
          </w:p>
        </w:tc>
        <w:tc>
          <w:tcPr>
            <w:tcW w:w="3990" w:type="pct"/>
            <w:vAlign w:val="top"/>
          </w:tcPr>
          <w:p w14:paraId="3D228AF6">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eastAsia="en-US"/>
              </w:rPr>
              <w:t>DOC</w:t>
            </w:r>
            <w:r>
              <w:rPr>
                <w:rFonts w:hint="default" w:ascii="Times New Roman" w:hAnsi="Times New Roman" w:cs="Times New Roman"/>
                <w:spacing w:val="-1"/>
                <w:vertAlign w:val="subscript"/>
                <w:lang w:eastAsia="en-US"/>
              </w:rPr>
              <w:t>i,y</w:t>
            </w:r>
          </w:p>
        </w:tc>
      </w:tr>
      <w:tr w14:paraId="230FCDBB">
        <w:trPr>
          <w:trHeight w:val="57" w:hRule="atLeast"/>
        </w:trPr>
        <w:tc>
          <w:tcPr>
            <w:tcW w:w="1009" w:type="pct"/>
            <w:vAlign w:val="top"/>
          </w:tcPr>
          <w:p w14:paraId="01A24130">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单位</w:t>
            </w:r>
          </w:p>
        </w:tc>
        <w:tc>
          <w:tcPr>
            <w:tcW w:w="3990" w:type="pct"/>
            <w:vAlign w:val="top"/>
          </w:tcPr>
          <w:p w14:paraId="1A6AB84A">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eastAsia="en-US"/>
              </w:rPr>
              <w:t>%</w:t>
            </w:r>
          </w:p>
        </w:tc>
      </w:tr>
      <w:tr w14:paraId="04E8DB82">
        <w:trPr>
          <w:trHeight w:val="57" w:hRule="atLeast"/>
        </w:trPr>
        <w:tc>
          <w:tcPr>
            <w:tcW w:w="1009" w:type="pct"/>
            <w:vAlign w:val="top"/>
          </w:tcPr>
          <w:p w14:paraId="4F6B579F">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描述</w:t>
            </w:r>
          </w:p>
        </w:tc>
        <w:tc>
          <w:tcPr>
            <w:tcW w:w="3990" w:type="pct"/>
            <w:vAlign w:val="top"/>
          </w:tcPr>
          <w:p w14:paraId="78ACB530">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val="en-US" w:eastAsia="en-US"/>
              </w:rPr>
              <w:t>第y年i类废弃物中可降解有机碳分数</w:t>
            </w:r>
          </w:p>
        </w:tc>
      </w:tr>
      <w:tr w14:paraId="0EC221A5">
        <w:trPr>
          <w:trHeight w:val="90" w:hRule="atLeast"/>
        </w:trPr>
        <w:tc>
          <w:tcPr>
            <w:tcW w:w="1009" w:type="pct"/>
            <w:vAlign w:val="top"/>
          </w:tcPr>
          <w:p w14:paraId="4E146D96">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数据来源</w:t>
            </w:r>
          </w:p>
        </w:tc>
        <w:tc>
          <w:tcPr>
            <w:tcW w:w="3990" w:type="pct"/>
            <w:vAlign w:val="top"/>
          </w:tcPr>
          <w:p w14:paraId="5F667B21">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《2006年IPCC国家温室气体排放清单指南》</w:t>
            </w:r>
          </w:p>
        </w:tc>
      </w:tr>
      <w:tr w14:paraId="1ABABC30">
        <w:trPr>
          <w:trHeight w:val="57" w:hRule="atLeast"/>
        </w:trPr>
        <w:tc>
          <w:tcPr>
            <w:tcW w:w="1009" w:type="pct"/>
            <w:vAlign w:val="top"/>
          </w:tcPr>
          <w:p w14:paraId="64958B32">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其他说明</w:t>
            </w:r>
          </w:p>
        </w:tc>
        <w:tc>
          <w:tcPr>
            <w:tcW w:w="3990" w:type="pct"/>
            <w:vAlign w:val="top"/>
          </w:tcPr>
          <w:p w14:paraId="48E65113">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eastAsia="en-US"/>
              </w:rPr>
              <w:t>根据固体废弃物</w:t>
            </w:r>
            <w:r>
              <w:rPr>
                <w:rFonts w:hint="default" w:ascii="Times New Roman" w:hAnsi="Times New Roman" w:cs="Times New Roman"/>
                <w:spacing w:val="-1"/>
                <w:lang w:val="en-US" w:eastAsia="zh-CN"/>
              </w:rPr>
              <w:t>组分</w:t>
            </w:r>
            <w:r>
              <w:rPr>
                <w:rFonts w:hint="default" w:ascii="Times New Roman" w:hAnsi="Times New Roman" w:cs="Times New Roman"/>
                <w:spacing w:val="-1"/>
                <w:lang w:eastAsia="en-US"/>
              </w:rPr>
              <w:t>取值</w:t>
            </w:r>
            <w:r>
              <w:rPr>
                <w:rFonts w:hint="default" w:ascii="Times New Roman" w:hAnsi="Times New Roman" w:cs="Times New Roman"/>
                <w:spacing w:val="-1"/>
                <w:lang w:eastAsia="zh-CN"/>
              </w:rPr>
              <w:t>（</w:t>
            </w:r>
            <w:r>
              <w:rPr>
                <w:rFonts w:hint="default" w:ascii="Times New Roman" w:hAnsi="Times New Roman" w:cs="Times New Roman"/>
                <w:spacing w:val="-1"/>
                <w:lang w:eastAsia="en-US"/>
              </w:rPr>
              <w:t>见附录</w:t>
            </w:r>
            <w:r>
              <w:rPr>
                <w:rFonts w:hint="default" w:ascii="Times New Roman" w:hAnsi="Times New Roman" w:cs="Times New Roman"/>
                <w:spacing w:val="-1"/>
                <w:lang w:val="en-US" w:eastAsia="zh-CN"/>
              </w:rPr>
              <w:t>C</w:t>
            </w:r>
            <w:r>
              <w:rPr>
                <w:rFonts w:hint="default" w:ascii="Times New Roman" w:hAnsi="Times New Roman" w:cs="Times New Roman"/>
                <w:spacing w:val="-1"/>
                <w:lang w:eastAsia="zh-CN"/>
              </w:rPr>
              <w:t>）</w:t>
            </w:r>
            <w:r>
              <w:rPr>
                <w:rFonts w:hint="default" w:ascii="Times New Roman" w:hAnsi="Times New Roman" w:cs="Times New Roman"/>
                <w:spacing w:val="-1"/>
                <w:lang w:val="en-US" w:eastAsia="zh-CN"/>
              </w:rPr>
              <w:t>并随</w:t>
            </w:r>
            <w:r>
              <w:rPr>
                <w:rFonts w:hint="default" w:ascii="Times New Roman" w:hAnsi="Times New Roman" w:cs="Times New Roman"/>
                <w:spacing w:val="-1"/>
                <w:lang w:eastAsia="en-US"/>
              </w:rPr>
              <w:t>IPCC最新数据进行更新</w:t>
            </w:r>
          </w:p>
        </w:tc>
      </w:tr>
    </w:tbl>
    <w:p w14:paraId="5BA4BE36">
      <w:pPr>
        <w:keepNext w:val="0"/>
        <w:keepLines w:val="0"/>
        <w:pageBreakBefore w:val="0"/>
        <w:widowControl w:val="0"/>
        <w:kinsoku w:val="0"/>
        <w:wordWrap/>
        <w:overflowPunct/>
        <w:topLinePunct w:val="0"/>
        <w:autoSpaceDE w:val="0"/>
        <w:autoSpaceDN w:val="0"/>
        <w:bidi w:val="0"/>
        <w:adjustRightInd w:val="0"/>
        <w:snapToGrid w:val="0"/>
        <w:spacing w:before="157" w:beforeLines="50" w:after="157" w:afterLines="50" w:line="240" w:lineRule="auto"/>
        <w:ind w:left="0" w:right="0"/>
        <w:jc w:val="center"/>
        <w:textAlignment w:val="baseline"/>
        <w:rPr>
          <w:rFonts w:hint="default" w:ascii="黑体" w:hAnsi="黑体" w:eastAsia="黑体" w:cs="黑体"/>
          <w:b/>
          <w:bCs/>
          <w:snapToGrid w:val="0"/>
          <w:color w:val="000000"/>
          <w:spacing w:val="0"/>
          <w:kern w:val="0"/>
          <w:position w:val="0"/>
          <w:sz w:val="21"/>
          <w:szCs w:val="21"/>
          <w:lang w:eastAsia="en-US"/>
        </w:rPr>
      </w:pPr>
      <w:r>
        <w:rPr>
          <w:rFonts w:hint="default" w:ascii="黑体" w:hAnsi="黑体" w:eastAsia="黑体" w:cs="黑体"/>
          <w:b/>
          <w:bCs/>
          <w:snapToGrid w:val="0"/>
          <w:color w:val="000000"/>
          <w:spacing w:val="0"/>
          <w:kern w:val="0"/>
          <w:position w:val="0"/>
          <w:sz w:val="21"/>
          <w:szCs w:val="21"/>
          <w:lang w:eastAsia="en-US"/>
        </w:rPr>
        <w:t>表</w:t>
      </w:r>
      <w:r>
        <w:rPr>
          <w:rFonts w:hint="default" w:ascii="黑体" w:hAnsi="黑体" w:eastAsia="黑体" w:cs="黑体"/>
          <w:b/>
          <w:bCs/>
          <w:snapToGrid w:val="0"/>
          <w:color w:val="000000"/>
          <w:spacing w:val="0"/>
          <w:kern w:val="0"/>
          <w:position w:val="0"/>
          <w:sz w:val="21"/>
          <w:szCs w:val="21"/>
          <w:lang w:val="en-US" w:eastAsia="zh-CN"/>
        </w:rPr>
        <w:t>B.1.2 填埋垃圾实际分解的有机碳的比例</w:t>
      </w:r>
    </w:p>
    <w:tbl>
      <w:tblPr>
        <w:tblStyle w:val="18"/>
        <w:tblW w:w="4999"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947"/>
        <w:gridCol w:w="7641"/>
      </w:tblGrid>
      <w:tr w14:paraId="6EB8C788">
        <w:trPr>
          <w:trHeight w:val="57" w:hRule="atLeast"/>
        </w:trPr>
        <w:tc>
          <w:tcPr>
            <w:tcW w:w="1015" w:type="pct"/>
            <w:vAlign w:val="top"/>
          </w:tcPr>
          <w:p w14:paraId="4FA5C49A">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数据/参数</w:t>
            </w:r>
          </w:p>
        </w:tc>
        <w:tc>
          <w:tcPr>
            <w:tcW w:w="3984" w:type="pct"/>
            <w:vAlign w:val="top"/>
          </w:tcPr>
          <w:p w14:paraId="7B1DF862">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eastAsia="en-US"/>
              </w:rPr>
              <w:t>DOC</w:t>
            </w:r>
            <w:r>
              <w:rPr>
                <w:rFonts w:hint="default" w:ascii="Times New Roman" w:hAnsi="Times New Roman" w:cs="Times New Roman"/>
                <w:spacing w:val="-1"/>
                <w:vertAlign w:val="subscript"/>
                <w:lang w:eastAsia="en-US"/>
              </w:rPr>
              <w:t>F</w:t>
            </w:r>
          </w:p>
        </w:tc>
      </w:tr>
      <w:tr w14:paraId="756F7C75">
        <w:trPr>
          <w:trHeight w:val="57" w:hRule="atLeast"/>
        </w:trPr>
        <w:tc>
          <w:tcPr>
            <w:tcW w:w="1015" w:type="pct"/>
            <w:vAlign w:val="top"/>
          </w:tcPr>
          <w:p w14:paraId="420BCCA2">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单位</w:t>
            </w:r>
          </w:p>
        </w:tc>
        <w:tc>
          <w:tcPr>
            <w:tcW w:w="3984" w:type="pct"/>
            <w:vAlign w:val="top"/>
          </w:tcPr>
          <w:p w14:paraId="5D049BD9">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eastAsia="en-US"/>
              </w:rPr>
              <w:t>%</w:t>
            </w:r>
          </w:p>
        </w:tc>
      </w:tr>
      <w:tr w14:paraId="35544A6D">
        <w:trPr>
          <w:trHeight w:val="57" w:hRule="atLeast"/>
        </w:trPr>
        <w:tc>
          <w:tcPr>
            <w:tcW w:w="1015" w:type="pct"/>
            <w:vAlign w:val="top"/>
          </w:tcPr>
          <w:p w14:paraId="3A3F437E">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描述</w:t>
            </w:r>
          </w:p>
        </w:tc>
        <w:tc>
          <w:tcPr>
            <w:tcW w:w="3984" w:type="pct"/>
            <w:vAlign w:val="top"/>
          </w:tcPr>
          <w:p w14:paraId="493E6574">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val="en-US" w:eastAsia="en-US"/>
              </w:rPr>
              <w:t>第y年填埋垃圾实际分解的有机碳的比例</w:t>
            </w:r>
          </w:p>
        </w:tc>
      </w:tr>
      <w:tr w14:paraId="743727CA">
        <w:trPr>
          <w:trHeight w:val="57" w:hRule="atLeast"/>
        </w:trPr>
        <w:tc>
          <w:tcPr>
            <w:tcW w:w="1015" w:type="pct"/>
            <w:vAlign w:val="top"/>
          </w:tcPr>
          <w:p w14:paraId="3CE15D89">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数据来源</w:t>
            </w:r>
          </w:p>
        </w:tc>
        <w:tc>
          <w:tcPr>
            <w:tcW w:w="3984" w:type="pct"/>
            <w:vAlign w:val="top"/>
          </w:tcPr>
          <w:p w14:paraId="45A68E16">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《2006年IPCC国家温室气体排放清单指南》</w:t>
            </w:r>
          </w:p>
        </w:tc>
      </w:tr>
      <w:tr w14:paraId="2721D5A6">
        <w:trPr>
          <w:trHeight w:val="57" w:hRule="atLeast"/>
        </w:trPr>
        <w:tc>
          <w:tcPr>
            <w:tcW w:w="1015" w:type="pct"/>
            <w:vAlign w:val="top"/>
          </w:tcPr>
          <w:p w14:paraId="7B775775">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其他说明</w:t>
            </w:r>
          </w:p>
        </w:tc>
        <w:tc>
          <w:tcPr>
            <w:tcW w:w="3984" w:type="pct"/>
            <w:vAlign w:val="top"/>
          </w:tcPr>
          <w:p w14:paraId="204F666D">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val="en-US" w:eastAsia="zh-CN"/>
              </w:rPr>
              <w:t>取推荐值0.5，</w:t>
            </w:r>
            <w:r>
              <w:rPr>
                <w:rFonts w:hint="default" w:ascii="Times New Roman" w:hAnsi="Times New Roman" w:cs="Times New Roman"/>
                <w:spacing w:val="-1"/>
                <w:lang w:val="en-US" w:eastAsia="en-US"/>
              </w:rPr>
              <w:t>根据IPCC最新数据进行更新</w:t>
            </w:r>
          </w:p>
        </w:tc>
      </w:tr>
    </w:tbl>
    <w:p w14:paraId="575A8D2D">
      <w:pPr>
        <w:keepNext w:val="0"/>
        <w:keepLines w:val="0"/>
        <w:pageBreakBefore w:val="0"/>
        <w:widowControl w:val="0"/>
        <w:kinsoku w:val="0"/>
        <w:wordWrap/>
        <w:overflowPunct/>
        <w:topLinePunct w:val="0"/>
        <w:autoSpaceDE w:val="0"/>
        <w:autoSpaceDN w:val="0"/>
        <w:bidi w:val="0"/>
        <w:adjustRightInd w:val="0"/>
        <w:snapToGrid w:val="0"/>
        <w:spacing w:before="157" w:beforeLines="50" w:after="157" w:afterLines="50" w:line="240" w:lineRule="auto"/>
        <w:ind w:left="0" w:right="0"/>
        <w:jc w:val="center"/>
        <w:textAlignment w:val="baseline"/>
        <w:rPr>
          <w:rFonts w:hint="default" w:ascii="黑体" w:hAnsi="黑体" w:eastAsia="黑体" w:cs="黑体"/>
          <w:b/>
          <w:bCs/>
          <w:snapToGrid w:val="0"/>
          <w:color w:val="000000"/>
          <w:spacing w:val="0"/>
          <w:kern w:val="0"/>
          <w:position w:val="0"/>
          <w:sz w:val="21"/>
          <w:szCs w:val="21"/>
          <w:lang w:eastAsia="en-US"/>
        </w:rPr>
      </w:pPr>
      <w:r>
        <w:rPr>
          <w:rFonts w:hint="default" w:ascii="黑体" w:hAnsi="黑体" w:eastAsia="黑体" w:cs="黑体"/>
          <w:b/>
          <w:bCs/>
          <w:snapToGrid w:val="0"/>
          <w:color w:val="000000"/>
          <w:spacing w:val="0"/>
          <w:kern w:val="0"/>
          <w:position w:val="0"/>
          <w:sz w:val="21"/>
          <w:szCs w:val="21"/>
          <w:lang w:eastAsia="en-US"/>
        </w:rPr>
        <w:t>表</w:t>
      </w:r>
      <w:r>
        <w:rPr>
          <w:rFonts w:hint="default" w:ascii="黑体" w:hAnsi="黑体" w:eastAsia="黑体" w:cs="黑体"/>
          <w:b/>
          <w:bCs/>
          <w:snapToGrid w:val="0"/>
          <w:color w:val="000000"/>
          <w:spacing w:val="0"/>
          <w:kern w:val="0"/>
          <w:position w:val="0"/>
          <w:sz w:val="21"/>
          <w:szCs w:val="21"/>
          <w:lang w:val="en-US" w:eastAsia="zh-CN"/>
        </w:rPr>
        <w:t>B.1.3 甲烷修正因子</w:t>
      </w:r>
    </w:p>
    <w:tbl>
      <w:tblPr>
        <w:tblStyle w:val="18"/>
        <w:tblW w:w="4999"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947"/>
        <w:gridCol w:w="7641"/>
      </w:tblGrid>
      <w:tr w14:paraId="6F76CB51">
        <w:trPr>
          <w:trHeight w:val="57" w:hRule="atLeast"/>
        </w:trPr>
        <w:tc>
          <w:tcPr>
            <w:tcW w:w="1015" w:type="pct"/>
            <w:vAlign w:val="top"/>
          </w:tcPr>
          <w:p w14:paraId="626BBC1C">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数据/参数</w:t>
            </w:r>
          </w:p>
        </w:tc>
        <w:tc>
          <w:tcPr>
            <w:tcW w:w="3984" w:type="pct"/>
            <w:vAlign w:val="top"/>
          </w:tcPr>
          <w:p w14:paraId="13DDCAB2">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eastAsia="en-US"/>
              </w:rPr>
              <w:t>MCF</w:t>
            </w:r>
          </w:p>
        </w:tc>
      </w:tr>
      <w:tr w14:paraId="748F929C">
        <w:trPr>
          <w:trHeight w:val="57" w:hRule="atLeast"/>
        </w:trPr>
        <w:tc>
          <w:tcPr>
            <w:tcW w:w="1015" w:type="pct"/>
            <w:vAlign w:val="top"/>
          </w:tcPr>
          <w:p w14:paraId="3728C675">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单位</w:t>
            </w:r>
          </w:p>
        </w:tc>
        <w:tc>
          <w:tcPr>
            <w:tcW w:w="3984" w:type="pct"/>
            <w:vAlign w:val="top"/>
          </w:tcPr>
          <w:p w14:paraId="69A0BAB6">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无量纲</w:t>
            </w:r>
          </w:p>
        </w:tc>
      </w:tr>
      <w:tr w14:paraId="61CC45E5">
        <w:trPr>
          <w:trHeight w:val="57" w:hRule="atLeast"/>
        </w:trPr>
        <w:tc>
          <w:tcPr>
            <w:tcW w:w="1015" w:type="pct"/>
            <w:vAlign w:val="top"/>
          </w:tcPr>
          <w:p w14:paraId="3136B62A">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描述</w:t>
            </w:r>
          </w:p>
        </w:tc>
        <w:tc>
          <w:tcPr>
            <w:tcW w:w="3984" w:type="pct"/>
            <w:vAlign w:val="top"/>
          </w:tcPr>
          <w:p w14:paraId="18662F74">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rPr>
              <w:t>甲烷修正因子</w:t>
            </w:r>
          </w:p>
        </w:tc>
      </w:tr>
      <w:tr w14:paraId="27FE3B2E">
        <w:trPr>
          <w:trHeight w:val="57" w:hRule="atLeast"/>
        </w:trPr>
        <w:tc>
          <w:tcPr>
            <w:tcW w:w="1015" w:type="pct"/>
            <w:vAlign w:val="top"/>
          </w:tcPr>
          <w:p w14:paraId="3E5181D4">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数据来源</w:t>
            </w:r>
          </w:p>
        </w:tc>
        <w:tc>
          <w:tcPr>
            <w:tcW w:w="3984" w:type="pct"/>
            <w:vAlign w:val="top"/>
          </w:tcPr>
          <w:p w14:paraId="4FFDC7B9">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《2006年IPCC国家温室气体排放清单指南》</w:t>
            </w:r>
          </w:p>
        </w:tc>
      </w:tr>
      <w:tr w14:paraId="7BCB7830">
        <w:trPr>
          <w:trHeight w:val="57" w:hRule="atLeast"/>
        </w:trPr>
        <w:tc>
          <w:tcPr>
            <w:tcW w:w="1015" w:type="pct"/>
            <w:vAlign w:val="top"/>
          </w:tcPr>
          <w:p w14:paraId="79149696">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其他说明</w:t>
            </w:r>
          </w:p>
        </w:tc>
        <w:tc>
          <w:tcPr>
            <w:tcW w:w="3984" w:type="pct"/>
            <w:vAlign w:val="top"/>
          </w:tcPr>
          <w:p w14:paraId="7457BCD9">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eastAsia="en-US"/>
              </w:rPr>
              <w:t>根据填埋场的类型取值</w:t>
            </w:r>
            <w:r>
              <w:rPr>
                <w:rFonts w:hint="default" w:ascii="Times New Roman" w:hAnsi="Times New Roman" w:cs="Times New Roman"/>
                <w:spacing w:val="-1"/>
                <w:lang w:eastAsia="zh-CN"/>
              </w:rPr>
              <w:t>（</w:t>
            </w:r>
            <w:r>
              <w:rPr>
                <w:rFonts w:hint="default" w:ascii="Times New Roman" w:hAnsi="Times New Roman" w:cs="Times New Roman"/>
                <w:spacing w:val="-1"/>
                <w:lang w:eastAsia="en-US"/>
              </w:rPr>
              <w:t>见附录</w:t>
            </w:r>
            <w:r>
              <w:rPr>
                <w:rFonts w:hint="default" w:ascii="Times New Roman" w:hAnsi="Times New Roman" w:cs="Times New Roman"/>
                <w:spacing w:val="-1"/>
                <w:lang w:val="en-US" w:eastAsia="zh-CN"/>
              </w:rPr>
              <w:t>D</w:t>
            </w:r>
            <w:r>
              <w:rPr>
                <w:rFonts w:hint="default" w:ascii="Times New Roman" w:hAnsi="Times New Roman" w:cs="Times New Roman"/>
                <w:spacing w:val="-1"/>
                <w:lang w:eastAsia="zh-CN"/>
              </w:rPr>
              <w:t>）</w:t>
            </w:r>
            <w:r>
              <w:rPr>
                <w:rFonts w:hint="default" w:ascii="Times New Roman" w:hAnsi="Times New Roman" w:cs="Times New Roman"/>
                <w:spacing w:val="-1"/>
                <w:lang w:val="en-US" w:eastAsia="zh-CN"/>
              </w:rPr>
              <w:t>并随</w:t>
            </w:r>
            <w:r>
              <w:rPr>
                <w:rFonts w:hint="default" w:ascii="Times New Roman" w:hAnsi="Times New Roman" w:cs="Times New Roman"/>
                <w:spacing w:val="-1"/>
                <w:lang w:eastAsia="en-US"/>
              </w:rPr>
              <w:t>IPCC最新数据进行更新</w:t>
            </w:r>
          </w:p>
        </w:tc>
      </w:tr>
    </w:tbl>
    <w:p w14:paraId="770E609F">
      <w:pPr>
        <w:keepNext w:val="0"/>
        <w:keepLines w:val="0"/>
        <w:pageBreakBefore w:val="0"/>
        <w:widowControl w:val="0"/>
        <w:kinsoku w:val="0"/>
        <w:wordWrap/>
        <w:overflowPunct/>
        <w:topLinePunct w:val="0"/>
        <w:autoSpaceDE w:val="0"/>
        <w:autoSpaceDN w:val="0"/>
        <w:bidi w:val="0"/>
        <w:adjustRightInd w:val="0"/>
        <w:snapToGrid w:val="0"/>
        <w:spacing w:before="157" w:beforeLines="50" w:after="157" w:afterLines="50" w:line="240" w:lineRule="auto"/>
        <w:ind w:left="0" w:right="0"/>
        <w:jc w:val="center"/>
        <w:textAlignment w:val="baseline"/>
        <w:rPr>
          <w:rFonts w:hint="default" w:ascii="黑体" w:hAnsi="黑体" w:eastAsia="黑体" w:cs="黑体"/>
          <w:b/>
          <w:bCs/>
          <w:snapToGrid w:val="0"/>
          <w:color w:val="000000"/>
          <w:spacing w:val="0"/>
          <w:kern w:val="0"/>
          <w:position w:val="0"/>
          <w:sz w:val="21"/>
          <w:szCs w:val="21"/>
          <w:lang w:eastAsia="en-US"/>
        </w:rPr>
      </w:pPr>
      <w:r>
        <w:rPr>
          <w:rFonts w:hint="default" w:ascii="黑体" w:hAnsi="黑体" w:eastAsia="黑体" w:cs="黑体"/>
          <w:b/>
          <w:bCs/>
          <w:snapToGrid w:val="0"/>
          <w:color w:val="000000"/>
          <w:spacing w:val="0"/>
          <w:kern w:val="0"/>
          <w:position w:val="0"/>
          <w:sz w:val="21"/>
          <w:szCs w:val="21"/>
          <w:lang w:eastAsia="en-US"/>
        </w:rPr>
        <w:t>表</w:t>
      </w:r>
      <w:r>
        <w:rPr>
          <w:rFonts w:hint="default" w:ascii="黑体" w:hAnsi="黑体" w:eastAsia="黑体" w:cs="黑体"/>
          <w:b/>
          <w:bCs/>
          <w:snapToGrid w:val="0"/>
          <w:color w:val="000000"/>
          <w:spacing w:val="0"/>
          <w:kern w:val="0"/>
          <w:position w:val="0"/>
          <w:sz w:val="21"/>
          <w:szCs w:val="21"/>
          <w:lang w:val="en-US" w:eastAsia="zh-CN"/>
        </w:rPr>
        <w:t>B.1.4 甲烷在垃圾填埋气中的比例</w:t>
      </w:r>
    </w:p>
    <w:tbl>
      <w:tblPr>
        <w:tblStyle w:val="18"/>
        <w:tblW w:w="4999"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947"/>
        <w:gridCol w:w="7641"/>
      </w:tblGrid>
      <w:tr w14:paraId="0140539D">
        <w:trPr>
          <w:trHeight w:val="57" w:hRule="atLeast"/>
        </w:trPr>
        <w:tc>
          <w:tcPr>
            <w:tcW w:w="1015" w:type="pct"/>
            <w:vAlign w:val="top"/>
          </w:tcPr>
          <w:p w14:paraId="0A704807">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数据/参数</w:t>
            </w:r>
          </w:p>
        </w:tc>
        <w:tc>
          <w:tcPr>
            <w:tcW w:w="3984" w:type="pct"/>
            <w:vAlign w:val="top"/>
          </w:tcPr>
          <w:p w14:paraId="464B16D7">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eastAsia="en-US"/>
              </w:rPr>
              <w:t>F</w:t>
            </w:r>
          </w:p>
        </w:tc>
      </w:tr>
      <w:tr w14:paraId="4047FCBF">
        <w:trPr>
          <w:trHeight w:val="90" w:hRule="atLeast"/>
        </w:trPr>
        <w:tc>
          <w:tcPr>
            <w:tcW w:w="1015" w:type="pct"/>
            <w:vAlign w:val="top"/>
          </w:tcPr>
          <w:p w14:paraId="31AA3D18">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单位</w:t>
            </w:r>
          </w:p>
        </w:tc>
        <w:tc>
          <w:tcPr>
            <w:tcW w:w="3984" w:type="pct"/>
            <w:vAlign w:val="top"/>
          </w:tcPr>
          <w:p w14:paraId="64D21CFE">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w:t>
            </w:r>
          </w:p>
        </w:tc>
      </w:tr>
      <w:tr w14:paraId="3F17D32C">
        <w:trPr>
          <w:trHeight w:val="57" w:hRule="atLeast"/>
        </w:trPr>
        <w:tc>
          <w:tcPr>
            <w:tcW w:w="1015" w:type="pct"/>
            <w:vAlign w:val="top"/>
          </w:tcPr>
          <w:p w14:paraId="6EA62BC0">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描述</w:t>
            </w:r>
          </w:p>
        </w:tc>
        <w:tc>
          <w:tcPr>
            <w:tcW w:w="3984" w:type="pct"/>
            <w:vAlign w:val="top"/>
          </w:tcPr>
          <w:p w14:paraId="3A8548E1">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val="en-US" w:eastAsia="en-US"/>
              </w:rPr>
              <w:t>甲烷在垃圾填埋气中的比例</w:t>
            </w:r>
          </w:p>
        </w:tc>
      </w:tr>
      <w:tr w14:paraId="2E3469D1">
        <w:trPr>
          <w:trHeight w:val="57" w:hRule="atLeast"/>
        </w:trPr>
        <w:tc>
          <w:tcPr>
            <w:tcW w:w="1015" w:type="pct"/>
            <w:vAlign w:val="top"/>
          </w:tcPr>
          <w:p w14:paraId="18AD958E">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数据来源</w:t>
            </w:r>
          </w:p>
        </w:tc>
        <w:tc>
          <w:tcPr>
            <w:tcW w:w="3984" w:type="pct"/>
            <w:vAlign w:val="top"/>
          </w:tcPr>
          <w:p w14:paraId="2E1CA19B">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《2006年IPCC国家温室气体排放清单指南》</w:t>
            </w:r>
          </w:p>
        </w:tc>
      </w:tr>
      <w:tr w14:paraId="74C3BCD1">
        <w:trPr>
          <w:trHeight w:val="57" w:hRule="atLeast"/>
        </w:trPr>
        <w:tc>
          <w:tcPr>
            <w:tcW w:w="1015" w:type="pct"/>
            <w:vAlign w:val="top"/>
          </w:tcPr>
          <w:p w14:paraId="76640212">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其他说明</w:t>
            </w:r>
          </w:p>
        </w:tc>
        <w:tc>
          <w:tcPr>
            <w:tcW w:w="3984" w:type="pct"/>
            <w:vAlign w:val="top"/>
          </w:tcPr>
          <w:p w14:paraId="0A435741">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val="en-US" w:eastAsia="zh-CN"/>
              </w:rPr>
              <w:t>取推荐值0.5，</w:t>
            </w:r>
            <w:r>
              <w:rPr>
                <w:rFonts w:hint="default" w:ascii="Times New Roman" w:hAnsi="Times New Roman" w:cs="Times New Roman"/>
                <w:spacing w:val="-1"/>
                <w:lang w:val="en-US" w:eastAsia="en-US"/>
              </w:rPr>
              <w:t>根据IPCC最新数据进行更新</w:t>
            </w:r>
          </w:p>
        </w:tc>
      </w:tr>
    </w:tbl>
    <w:p w14:paraId="40D1C608">
      <w:pPr>
        <w:keepNext w:val="0"/>
        <w:keepLines w:val="0"/>
        <w:pageBreakBefore w:val="0"/>
        <w:widowControl w:val="0"/>
        <w:kinsoku w:val="0"/>
        <w:wordWrap/>
        <w:overflowPunct/>
        <w:topLinePunct w:val="0"/>
        <w:autoSpaceDE w:val="0"/>
        <w:autoSpaceDN w:val="0"/>
        <w:bidi w:val="0"/>
        <w:adjustRightInd w:val="0"/>
        <w:snapToGrid w:val="0"/>
        <w:spacing w:before="157" w:beforeLines="50" w:after="157" w:afterLines="50" w:line="240" w:lineRule="auto"/>
        <w:ind w:left="0" w:right="0"/>
        <w:jc w:val="center"/>
        <w:textAlignment w:val="baseline"/>
        <w:rPr>
          <w:rFonts w:hint="default" w:ascii="黑体" w:hAnsi="黑体" w:eastAsia="黑体" w:cs="黑体"/>
          <w:b/>
          <w:bCs/>
          <w:snapToGrid w:val="0"/>
          <w:color w:val="000000"/>
          <w:spacing w:val="0"/>
          <w:kern w:val="0"/>
          <w:position w:val="0"/>
          <w:sz w:val="21"/>
          <w:szCs w:val="21"/>
          <w:lang w:eastAsia="en-US"/>
        </w:rPr>
      </w:pPr>
      <w:r>
        <w:rPr>
          <w:rFonts w:hint="default" w:ascii="黑体" w:hAnsi="黑体" w:eastAsia="黑体" w:cs="黑体"/>
          <w:b/>
          <w:bCs/>
          <w:snapToGrid w:val="0"/>
          <w:color w:val="000000"/>
          <w:spacing w:val="0"/>
          <w:kern w:val="0"/>
          <w:position w:val="0"/>
          <w:sz w:val="21"/>
          <w:szCs w:val="21"/>
          <w:lang w:eastAsia="en-US"/>
        </w:rPr>
        <w:t>表</w:t>
      </w:r>
      <w:r>
        <w:rPr>
          <w:rFonts w:hint="default" w:ascii="黑体" w:hAnsi="黑体" w:eastAsia="黑体" w:cs="黑体"/>
          <w:b/>
          <w:bCs/>
          <w:snapToGrid w:val="0"/>
          <w:color w:val="000000"/>
          <w:spacing w:val="0"/>
          <w:kern w:val="0"/>
          <w:position w:val="0"/>
          <w:sz w:val="21"/>
          <w:szCs w:val="21"/>
          <w:lang w:val="en-US" w:eastAsia="zh-CN"/>
        </w:rPr>
        <w:t>B.1.5 氧化因子</w:t>
      </w:r>
    </w:p>
    <w:tbl>
      <w:tblPr>
        <w:tblStyle w:val="18"/>
        <w:tblW w:w="4999"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947"/>
        <w:gridCol w:w="7641"/>
      </w:tblGrid>
      <w:tr w14:paraId="312AB4FB">
        <w:trPr>
          <w:trHeight w:val="57" w:hRule="atLeast"/>
        </w:trPr>
        <w:tc>
          <w:tcPr>
            <w:tcW w:w="1015" w:type="pct"/>
            <w:vAlign w:val="top"/>
          </w:tcPr>
          <w:p w14:paraId="17D1433F">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数据/参数</w:t>
            </w:r>
          </w:p>
        </w:tc>
        <w:tc>
          <w:tcPr>
            <w:tcW w:w="3984" w:type="pct"/>
            <w:vAlign w:val="top"/>
          </w:tcPr>
          <w:p w14:paraId="36B8EC4D">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OX</w:t>
            </w:r>
          </w:p>
        </w:tc>
      </w:tr>
      <w:tr w14:paraId="0E0AFBB8">
        <w:trPr>
          <w:trHeight w:val="57" w:hRule="atLeast"/>
        </w:trPr>
        <w:tc>
          <w:tcPr>
            <w:tcW w:w="1015" w:type="pct"/>
            <w:vAlign w:val="top"/>
          </w:tcPr>
          <w:p w14:paraId="3EE90CBB">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单位</w:t>
            </w:r>
          </w:p>
        </w:tc>
        <w:tc>
          <w:tcPr>
            <w:tcW w:w="3984" w:type="pct"/>
            <w:vAlign w:val="top"/>
          </w:tcPr>
          <w:p w14:paraId="585C4BB7">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w:t>
            </w:r>
          </w:p>
        </w:tc>
      </w:tr>
      <w:tr w14:paraId="5AE20327">
        <w:trPr>
          <w:trHeight w:val="57" w:hRule="atLeast"/>
        </w:trPr>
        <w:tc>
          <w:tcPr>
            <w:tcW w:w="1015" w:type="pct"/>
            <w:vAlign w:val="top"/>
          </w:tcPr>
          <w:p w14:paraId="5DD2613D">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描述</w:t>
            </w:r>
          </w:p>
        </w:tc>
        <w:tc>
          <w:tcPr>
            <w:tcW w:w="3984" w:type="pct"/>
            <w:vAlign w:val="top"/>
          </w:tcPr>
          <w:p w14:paraId="78549BB1">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lang w:val="en-US" w:eastAsia="zh-CN"/>
              </w:rPr>
              <w:t>量化垃圾填埋场覆盖层中微生物对甲烷产生的自然消减作用</w:t>
            </w:r>
          </w:p>
        </w:tc>
      </w:tr>
      <w:tr w14:paraId="09798431">
        <w:trPr>
          <w:trHeight w:val="57" w:hRule="atLeast"/>
        </w:trPr>
        <w:tc>
          <w:tcPr>
            <w:tcW w:w="1015" w:type="pct"/>
            <w:vAlign w:val="top"/>
          </w:tcPr>
          <w:p w14:paraId="0088361A">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数据来源</w:t>
            </w:r>
          </w:p>
        </w:tc>
        <w:tc>
          <w:tcPr>
            <w:tcW w:w="3984" w:type="pct"/>
            <w:shd w:val="clear" w:color="auto" w:fill="auto"/>
            <w:vAlign w:val="top"/>
          </w:tcPr>
          <w:p w14:paraId="6621AC9C">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《2006年IPCC国家温室气体排放清单指南》</w:t>
            </w:r>
          </w:p>
        </w:tc>
      </w:tr>
      <w:tr w14:paraId="35AE0967">
        <w:trPr>
          <w:trHeight w:val="57" w:hRule="atLeast"/>
        </w:trPr>
        <w:tc>
          <w:tcPr>
            <w:tcW w:w="1015" w:type="pct"/>
            <w:vAlign w:val="top"/>
          </w:tcPr>
          <w:p w14:paraId="419B5995">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其他说明</w:t>
            </w:r>
          </w:p>
        </w:tc>
        <w:tc>
          <w:tcPr>
            <w:tcW w:w="3984" w:type="pct"/>
            <w:shd w:val="clear" w:color="auto" w:fill="auto"/>
            <w:vAlign w:val="top"/>
          </w:tcPr>
          <w:p w14:paraId="6CE78139">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val="en-US" w:eastAsia="zh-CN"/>
              </w:rPr>
              <w:t>取推荐值0.1，</w:t>
            </w:r>
            <w:r>
              <w:rPr>
                <w:rFonts w:hint="default" w:ascii="Times New Roman" w:hAnsi="Times New Roman" w:cs="Times New Roman"/>
                <w:spacing w:val="-1"/>
                <w:lang w:val="en-US" w:eastAsia="en-US"/>
              </w:rPr>
              <w:t>根据IPCC最新数据进行更新</w:t>
            </w:r>
          </w:p>
        </w:tc>
      </w:tr>
    </w:tbl>
    <w:p w14:paraId="5E1059D3">
      <w:pPr>
        <w:keepNext w:val="0"/>
        <w:keepLines w:val="0"/>
        <w:pageBreakBefore w:val="0"/>
        <w:widowControl w:val="0"/>
        <w:kinsoku w:val="0"/>
        <w:wordWrap/>
        <w:overflowPunct/>
        <w:topLinePunct w:val="0"/>
        <w:autoSpaceDE w:val="0"/>
        <w:autoSpaceDN w:val="0"/>
        <w:bidi w:val="0"/>
        <w:adjustRightInd w:val="0"/>
        <w:snapToGrid w:val="0"/>
        <w:spacing w:before="157" w:beforeLines="50" w:after="157" w:afterLines="50" w:line="240" w:lineRule="auto"/>
        <w:ind w:left="0" w:right="0"/>
        <w:jc w:val="center"/>
        <w:textAlignment w:val="baseline"/>
        <w:rPr>
          <w:rFonts w:hint="default" w:ascii="黑体" w:hAnsi="黑体" w:eastAsia="黑体" w:cs="黑体"/>
          <w:b/>
          <w:bCs/>
          <w:snapToGrid w:val="0"/>
          <w:color w:val="000000"/>
          <w:spacing w:val="0"/>
          <w:kern w:val="0"/>
          <w:position w:val="0"/>
          <w:sz w:val="21"/>
          <w:szCs w:val="21"/>
          <w:lang w:eastAsia="en-US"/>
        </w:rPr>
      </w:pPr>
      <w:r>
        <w:rPr>
          <w:rFonts w:hint="default" w:ascii="黑体" w:hAnsi="黑体" w:eastAsia="黑体" w:cs="黑体"/>
          <w:b/>
          <w:bCs/>
          <w:snapToGrid w:val="0"/>
          <w:color w:val="000000"/>
          <w:spacing w:val="0"/>
          <w:kern w:val="0"/>
          <w:position w:val="0"/>
          <w:sz w:val="21"/>
          <w:szCs w:val="21"/>
          <w:lang w:eastAsia="en-US"/>
        </w:rPr>
        <w:t>表</w:t>
      </w:r>
      <w:r>
        <w:rPr>
          <w:rFonts w:hint="default" w:ascii="黑体" w:hAnsi="黑体" w:eastAsia="黑体" w:cs="黑体"/>
          <w:b/>
          <w:bCs/>
          <w:snapToGrid w:val="0"/>
          <w:color w:val="000000"/>
          <w:spacing w:val="0"/>
          <w:kern w:val="0"/>
          <w:position w:val="0"/>
          <w:sz w:val="21"/>
          <w:szCs w:val="21"/>
          <w:lang w:val="en-US" w:eastAsia="zh-CN"/>
        </w:rPr>
        <w:t>B.1.6 干物质总碳含量比例</w:t>
      </w:r>
    </w:p>
    <w:tbl>
      <w:tblPr>
        <w:tblStyle w:val="18"/>
        <w:tblW w:w="4999"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947"/>
        <w:gridCol w:w="7641"/>
      </w:tblGrid>
      <w:tr w14:paraId="2DD60AC6">
        <w:trPr>
          <w:trHeight w:val="57" w:hRule="atLeast"/>
        </w:trPr>
        <w:tc>
          <w:tcPr>
            <w:tcW w:w="1015" w:type="pct"/>
            <w:vAlign w:val="top"/>
          </w:tcPr>
          <w:p w14:paraId="7DD23C04">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数据/参数</w:t>
            </w:r>
          </w:p>
        </w:tc>
        <w:tc>
          <w:tcPr>
            <w:tcW w:w="3984" w:type="pct"/>
            <w:vAlign w:val="top"/>
          </w:tcPr>
          <w:p w14:paraId="179D0418">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eastAsia="en-US"/>
              </w:rPr>
              <w:t>FCC</w:t>
            </w:r>
            <w:r>
              <w:rPr>
                <w:rFonts w:hint="default" w:ascii="Times New Roman" w:hAnsi="Times New Roman" w:cs="Times New Roman"/>
                <w:spacing w:val="-1"/>
                <w:vertAlign w:val="subscript"/>
                <w:lang w:eastAsia="en-US"/>
              </w:rPr>
              <w:t>i,y</w:t>
            </w:r>
          </w:p>
        </w:tc>
      </w:tr>
      <w:tr w14:paraId="32D08985">
        <w:trPr>
          <w:trHeight w:val="57" w:hRule="atLeast"/>
        </w:trPr>
        <w:tc>
          <w:tcPr>
            <w:tcW w:w="1015" w:type="pct"/>
            <w:vAlign w:val="top"/>
          </w:tcPr>
          <w:p w14:paraId="0AD6D600">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单位</w:t>
            </w:r>
          </w:p>
        </w:tc>
        <w:tc>
          <w:tcPr>
            <w:tcW w:w="3984" w:type="pct"/>
            <w:vAlign w:val="top"/>
          </w:tcPr>
          <w:p w14:paraId="670AAF33">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w:t>
            </w:r>
          </w:p>
        </w:tc>
      </w:tr>
      <w:tr w14:paraId="06C59704">
        <w:trPr>
          <w:trHeight w:val="57" w:hRule="atLeast"/>
        </w:trPr>
        <w:tc>
          <w:tcPr>
            <w:tcW w:w="1015" w:type="pct"/>
            <w:vAlign w:val="top"/>
          </w:tcPr>
          <w:p w14:paraId="2FDB0102">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描述</w:t>
            </w:r>
          </w:p>
        </w:tc>
        <w:tc>
          <w:tcPr>
            <w:tcW w:w="3984" w:type="pct"/>
            <w:vAlign w:val="top"/>
          </w:tcPr>
          <w:p w14:paraId="6EB3924B">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val="en-US" w:eastAsia="en-US"/>
              </w:rPr>
              <w:t>第y年生活垃圾中组分i的干物质总碳含量比例</w:t>
            </w:r>
          </w:p>
        </w:tc>
      </w:tr>
      <w:tr w14:paraId="799B4290">
        <w:trPr>
          <w:trHeight w:val="57" w:hRule="atLeast"/>
        </w:trPr>
        <w:tc>
          <w:tcPr>
            <w:tcW w:w="1015" w:type="pct"/>
            <w:vAlign w:val="top"/>
          </w:tcPr>
          <w:p w14:paraId="0EFAC08C">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数据来源</w:t>
            </w:r>
          </w:p>
        </w:tc>
        <w:tc>
          <w:tcPr>
            <w:tcW w:w="3984" w:type="pct"/>
            <w:shd w:val="clear" w:color="auto" w:fill="auto"/>
            <w:vAlign w:val="top"/>
          </w:tcPr>
          <w:p w14:paraId="586CC9A0">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《2006年IPCC国家温室气体排放清单指南》</w:t>
            </w:r>
          </w:p>
        </w:tc>
      </w:tr>
      <w:tr w14:paraId="5AF6D395">
        <w:trPr>
          <w:trHeight w:val="57" w:hRule="atLeast"/>
        </w:trPr>
        <w:tc>
          <w:tcPr>
            <w:tcW w:w="1015" w:type="pct"/>
            <w:vAlign w:val="top"/>
          </w:tcPr>
          <w:p w14:paraId="3308B730">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其他说明</w:t>
            </w:r>
          </w:p>
        </w:tc>
        <w:tc>
          <w:tcPr>
            <w:tcW w:w="3984" w:type="pct"/>
            <w:shd w:val="clear" w:color="auto" w:fill="auto"/>
            <w:vAlign w:val="top"/>
          </w:tcPr>
          <w:p w14:paraId="5C010511">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val="en-US" w:eastAsia="en-US"/>
              </w:rPr>
              <w:t>根据固体废弃物的成分取值</w:t>
            </w:r>
            <w:r>
              <w:rPr>
                <w:rFonts w:hint="default" w:ascii="Times New Roman" w:hAnsi="Times New Roman" w:cs="Times New Roman"/>
                <w:spacing w:val="-1"/>
                <w:lang w:val="en-US" w:eastAsia="zh-CN"/>
              </w:rPr>
              <w:t>（</w:t>
            </w:r>
            <w:r>
              <w:rPr>
                <w:rFonts w:hint="default" w:ascii="Times New Roman" w:hAnsi="Times New Roman" w:cs="Times New Roman"/>
                <w:spacing w:val="-1"/>
                <w:lang w:val="en-US" w:eastAsia="en-US"/>
              </w:rPr>
              <w:t>见附录</w:t>
            </w:r>
            <w:r>
              <w:rPr>
                <w:rFonts w:hint="default" w:ascii="Times New Roman" w:hAnsi="Times New Roman" w:cs="Times New Roman"/>
                <w:spacing w:val="-1"/>
                <w:lang w:val="en-US" w:eastAsia="zh-CN"/>
              </w:rPr>
              <w:t>E），随</w:t>
            </w:r>
            <w:r>
              <w:rPr>
                <w:rFonts w:hint="default" w:ascii="Times New Roman" w:hAnsi="Times New Roman" w:cs="Times New Roman"/>
                <w:spacing w:val="-1"/>
                <w:lang w:val="en-US" w:eastAsia="en-US"/>
              </w:rPr>
              <w:t>IPCC最新数据进行更新</w:t>
            </w:r>
          </w:p>
        </w:tc>
      </w:tr>
    </w:tbl>
    <w:p w14:paraId="1DF694CF">
      <w:pPr>
        <w:keepNext w:val="0"/>
        <w:keepLines w:val="0"/>
        <w:pageBreakBefore w:val="0"/>
        <w:widowControl w:val="0"/>
        <w:kinsoku w:val="0"/>
        <w:wordWrap/>
        <w:overflowPunct/>
        <w:topLinePunct w:val="0"/>
        <w:autoSpaceDE w:val="0"/>
        <w:autoSpaceDN w:val="0"/>
        <w:bidi w:val="0"/>
        <w:adjustRightInd w:val="0"/>
        <w:snapToGrid w:val="0"/>
        <w:spacing w:before="157" w:beforeLines="50" w:after="157" w:afterLines="50" w:line="240" w:lineRule="auto"/>
        <w:ind w:left="0" w:right="0"/>
        <w:jc w:val="center"/>
        <w:textAlignment w:val="baseline"/>
        <w:rPr>
          <w:rFonts w:hint="default" w:ascii="黑体" w:hAnsi="黑体" w:eastAsia="黑体" w:cs="黑体"/>
          <w:b/>
          <w:bCs/>
          <w:snapToGrid w:val="0"/>
          <w:color w:val="000000"/>
          <w:spacing w:val="0"/>
          <w:kern w:val="0"/>
          <w:position w:val="0"/>
          <w:sz w:val="21"/>
          <w:szCs w:val="21"/>
          <w:lang w:eastAsia="en-US"/>
        </w:rPr>
      </w:pPr>
      <w:r>
        <w:rPr>
          <w:rFonts w:hint="default" w:ascii="黑体" w:hAnsi="黑体" w:eastAsia="黑体" w:cs="黑体"/>
          <w:b/>
          <w:bCs/>
          <w:snapToGrid w:val="0"/>
          <w:color w:val="000000"/>
          <w:spacing w:val="0"/>
          <w:kern w:val="0"/>
          <w:position w:val="0"/>
          <w:sz w:val="21"/>
          <w:szCs w:val="21"/>
          <w:lang w:eastAsia="en-US"/>
        </w:rPr>
        <w:t>表</w:t>
      </w:r>
      <w:r>
        <w:rPr>
          <w:rFonts w:hint="default" w:ascii="黑体" w:hAnsi="黑体" w:eastAsia="黑体" w:cs="黑体"/>
          <w:b/>
          <w:bCs/>
          <w:snapToGrid w:val="0"/>
          <w:color w:val="000000"/>
          <w:spacing w:val="0"/>
          <w:kern w:val="0"/>
          <w:position w:val="0"/>
          <w:sz w:val="21"/>
          <w:szCs w:val="21"/>
          <w:lang w:val="en-US" w:eastAsia="zh-CN"/>
        </w:rPr>
        <w:t>B.1.7 干物质总碳含量比例</w:t>
      </w:r>
    </w:p>
    <w:tbl>
      <w:tblPr>
        <w:tblStyle w:val="18"/>
        <w:tblW w:w="4999"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947"/>
        <w:gridCol w:w="7641"/>
      </w:tblGrid>
      <w:tr w14:paraId="74CFE527">
        <w:trPr>
          <w:trHeight w:val="57" w:hRule="atLeast"/>
        </w:trPr>
        <w:tc>
          <w:tcPr>
            <w:tcW w:w="1015" w:type="pct"/>
            <w:vAlign w:val="top"/>
          </w:tcPr>
          <w:p w14:paraId="59B6AE0D">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数据/参数</w:t>
            </w:r>
          </w:p>
        </w:tc>
        <w:tc>
          <w:tcPr>
            <w:tcW w:w="3984" w:type="pct"/>
            <w:vAlign w:val="top"/>
          </w:tcPr>
          <w:p w14:paraId="6227A8BE">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eastAsia="en-US"/>
              </w:rPr>
              <w:t>FFC</w:t>
            </w:r>
            <w:r>
              <w:rPr>
                <w:rFonts w:hint="default" w:ascii="Times New Roman" w:hAnsi="Times New Roman" w:cs="Times New Roman"/>
                <w:spacing w:val="-1"/>
                <w:vertAlign w:val="subscript"/>
                <w:lang w:eastAsia="en-US"/>
              </w:rPr>
              <w:t>i,y</w:t>
            </w:r>
          </w:p>
        </w:tc>
      </w:tr>
      <w:tr w14:paraId="1726349A">
        <w:trPr>
          <w:trHeight w:val="57" w:hRule="atLeast"/>
        </w:trPr>
        <w:tc>
          <w:tcPr>
            <w:tcW w:w="1015" w:type="pct"/>
            <w:vAlign w:val="top"/>
          </w:tcPr>
          <w:p w14:paraId="1BBC902B">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单位</w:t>
            </w:r>
          </w:p>
        </w:tc>
        <w:tc>
          <w:tcPr>
            <w:tcW w:w="3984" w:type="pct"/>
            <w:vAlign w:val="top"/>
          </w:tcPr>
          <w:p w14:paraId="77EA4441">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w:t>
            </w:r>
          </w:p>
        </w:tc>
      </w:tr>
      <w:tr w14:paraId="658A2A4C">
        <w:trPr>
          <w:trHeight w:val="57" w:hRule="atLeast"/>
        </w:trPr>
        <w:tc>
          <w:tcPr>
            <w:tcW w:w="1015" w:type="pct"/>
            <w:vAlign w:val="top"/>
          </w:tcPr>
          <w:p w14:paraId="471A30BF">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描述</w:t>
            </w:r>
          </w:p>
        </w:tc>
        <w:tc>
          <w:tcPr>
            <w:tcW w:w="3984" w:type="pct"/>
            <w:vAlign w:val="top"/>
          </w:tcPr>
          <w:p w14:paraId="65A68D7F">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val="en-US" w:eastAsia="en-US"/>
              </w:rPr>
              <w:t>第y年生活垃圾中组分i的干物质总碳中矿物碳比例</w:t>
            </w:r>
          </w:p>
        </w:tc>
      </w:tr>
      <w:tr w14:paraId="3C992C7B">
        <w:trPr>
          <w:trHeight w:val="57" w:hRule="atLeast"/>
        </w:trPr>
        <w:tc>
          <w:tcPr>
            <w:tcW w:w="1015" w:type="pct"/>
            <w:vAlign w:val="top"/>
          </w:tcPr>
          <w:p w14:paraId="7FBBBABE">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数据来源</w:t>
            </w:r>
          </w:p>
        </w:tc>
        <w:tc>
          <w:tcPr>
            <w:tcW w:w="3984" w:type="pct"/>
            <w:shd w:val="clear" w:color="auto" w:fill="auto"/>
            <w:vAlign w:val="top"/>
          </w:tcPr>
          <w:p w14:paraId="7EE9AE05">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en-US"/>
              </w:rPr>
              <w:t>《2006年IPCC国家温室气体排放清单指南》</w:t>
            </w:r>
          </w:p>
        </w:tc>
      </w:tr>
      <w:tr w14:paraId="3044D297">
        <w:trPr>
          <w:trHeight w:val="57" w:hRule="atLeast"/>
        </w:trPr>
        <w:tc>
          <w:tcPr>
            <w:tcW w:w="1015" w:type="pct"/>
            <w:vAlign w:val="top"/>
          </w:tcPr>
          <w:p w14:paraId="4CF9186F">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其他说明</w:t>
            </w:r>
          </w:p>
        </w:tc>
        <w:tc>
          <w:tcPr>
            <w:tcW w:w="3984" w:type="pct"/>
            <w:shd w:val="clear" w:color="auto" w:fill="auto"/>
            <w:vAlign w:val="top"/>
          </w:tcPr>
          <w:p w14:paraId="6A713F5E">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val="en-US" w:eastAsia="en-US"/>
              </w:rPr>
              <w:t>根据固体废弃物的</w:t>
            </w:r>
            <w:r>
              <w:rPr>
                <w:rFonts w:hint="default" w:ascii="Times New Roman" w:hAnsi="Times New Roman" w:cs="Times New Roman"/>
                <w:spacing w:val="-1"/>
                <w:lang w:val="en-US" w:eastAsia="zh-CN"/>
              </w:rPr>
              <w:t>组分</w:t>
            </w:r>
            <w:r>
              <w:rPr>
                <w:rFonts w:hint="default" w:ascii="Times New Roman" w:hAnsi="Times New Roman" w:cs="Times New Roman"/>
                <w:spacing w:val="-1"/>
                <w:lang w:val="en-US" w:eastAsia="en-US"/>
              </w:rPr>
              <w:t>取值</w:t>
            </w:r>
            <w:r>
              <w:rPr>
                <w:rFonts w:hint="default" w:ascii="Times New Roman" w:hAnsi="Times New Roman" w:cs="Times New Roman"/>
                <w:spacing w:val="-1"/>
                <w:lang w:val="en-US" w:eastAsia="zh-CN"/>
              </w:rPr>
              <w:t>（</w:t>
            </w:r>
            <w:r>
              <w:rPr>
                <w:rFonts w:hint="default" w:ascii="Times New Roman" w:hAnsi="Times New Roman" w:cs="Times New Roman"/>
                <w:spacing w:val="-1"/>
                <w:lang w:val="en-US" w:eastAsia="en-US"/>
              </w:rPr>
              <w:t>见附录</w:t>
            </w:r>
            <w:r>
              <w:rPr>
                <w:rFonts w:hint="default" w:ascii="Times New Roman" w:hAnsi="Times New Roman" w:cs="Times New Roman"/>
                <w:spacing w:val="-1"/>
                <w:lang w:val="en-US" w:eastAsia="zh-CN"/>
              </w:rPr>
              <w:t>E）并随</w:t>
            </w:r>
            <w:r>
              <w:rPr>
                <w:rFonts w:hint="default" w:ascii="Times New Roman" w:hAnsi="Times New Roman" w:cs="Times New Roman"/>
                <w:spacing w:val="-1"/>
                <w:lang w:val="en-US" w:eastAsia="en-US"/>
              </w:rPr>
              <w:t>IPCC最新数据进行更新</w:t>
            </w:r>
          </w:p>
        </w:tc>
      </w:tr>
    </w:tbl>
    <w:p w14:paraId="497A0A98">
      <w:pPr>
        <w:keepNext w:val="0"/>
        <w:keepLines w:val="0"/>
        <w:pageBreakBefore w:val="0"/>
        <w:widowControl w:val="0"/>
        <w:kinsoku w:val="0"/>
        <w:wordWrap/>
        <w:overflowPunct/>
        <w:topLinePunct w:val="0"/>
        <w:autoSpaceDE w:val="0"/>
        <w:autoSpaceDN w:val="0"/>
        <w:bidi w:val="0"/>
        <w:adjustRightInd w:val="0"/>
        <w:snapToGrid w:val="0"/>
        <w:spacing w:before="157" w:beforeLines="50" w:after="157" w:afterLines="50" w:line="240" w:lineRule="auto"/>
        <w:ind w:left="0" w:right="0"/>
        <w:jc w:val="center"/>
        <w:textAlignment w:val="baseline"/>
        <w:rPr>
          <w:rFonts w:hint="default" w:ascii="黑体" w:hAnsi="黑体" w:eastAsia="黑体" w:cs="黑体"/>
          <w:b/>
          <w:bCs/>
          <w:snapToGrid w:val="0"/>
          <w:color w:val="000000"/>
          <w:spacing w:val="0"/>
          <w:kern w:val="0"/>
          <w:position w:val="0"/>
          <w:sz w:val="21"/>
          <w:szCs w:val="21"/>
          <w:lang w:val="en-US" w:eastAsia="en-US"/>
        </w:rPr>
      </w:pPr>
      <w:r>
        <w:rPr>
          <w:rFonts w:hint="default" w:ascii="黑体" w:hAnsi="黑体" w:eastAsia="黑体" w:cs="黑体"/>
          <w:b/>
          <w:bCs/>
          <w:snapToGrid w:val="0"/>
          <w:color w:val="000000"/>
          <w:spacing w:val="0"/>
          <w:kern w:val="0"/>
          <w:position w:val="0"/>
          <w:sz w:val="21"/>
          <w:szCs w:val="21"/>
          <w:lang w:eastAsia="en-US"/>
        </w:rPr>
        <w:t>表</w:t>
      </w:r>
      <w:r>
        <w:rPr>
          <w:rFonts w:hint="default" w:ascii="黑体" w:hAnsi="黑体" w:eastAsia="黑体" w:cs="黑体"/>
          <w:b/>
          <w:bCs/>
          <w:snapToGrid w:val="0"/>
          <w:color w:val="000000"/>
          <w:spacing w:val="0"/>
          <w:kern w:val="0"/>
          <w:position w:val="0"/>
          <w:sz w:val="21"/>
          <w:szCs w:val="21"/>
          <w:lang w:val="en-US" w:eastAsia="zh-CN"/>
        </w:rPr>
        <w:t>B.1.8 可回收物碳排放因子</w:t>
      </w:r>
    </w:p>
    <w:tbl>
      <w:tblPr>
        <w:tblStyle w:val="18"/>
        <w:tblW w:w="4999"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947"/>
        <w:gridCol w:w="7641"/>
      </w:tblGrid>
      <w:tr w14:paraId="658E9142">
        <w:trPr>
          <w:trHeight w:val="57" w:hRule="atLeast"/>
        </w:trPr>
        <w:tc>
          <w:tcPr>
            <w:tcW w:w="1015" w:type="pct"/>
            <w:vAlign w:val="top"/>
          </w:tcPr>
          <w:p w14:paraId="35366A0E">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数据/参数</w:t>
            </w:r>
          </w:p>
        </w:tc>
        <w:tc>
          <w:tcPr>
            <w:tcW w:w="3984" w:type="pct"/>
            <w:vAlign w:val="top"/>
          </w:tcPr>
          <w:p w14:paraId="1AFF4BF0">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eastAsia="en-US"/>
              </w:rPr>
              <w:t>EF</w:t>
            </w:r>
            <w:r>
              <w:rPr>
                <w:rFonts w:hint="default" w:ascii="Times New Roman" w:hAnsi="Times New Roman" w:cs="Times New Roman"/>
                <w:spacing w:val="-1"/>
                <w:vertAlign w:val="subscript"/>
                <w:lang w:eastAsia="en-US"/>
              </w:rPr>
              <w:t>i,RE</w:t>
            </w:r>
          </w:p>
        </w:tc>
      </w:tr>
      <w:tr w14:paraId="509E9732">
        <w:trPr>
          <w:trHeight w:val="57" w:hRule="atLeast"/>
        </w:trPr>
        <w:tc>
          <w:tcPr>
            <w:tcW w:w="1015" w:type="pct"/>
            <w:vAlign w:val="top"/>
          </w:tcPr>
          <w:p w14:paraId="5E6E6702">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单位</w:t>
            </w:r>
          </w:p>
        </w:tc>
        <w:tc>
          <w:tcPr>
            <w:tcW w:w="3984" w:type="pct"/>
            <w:vAlign w:val="top"/>
          </w:tcPr>
          <w:p w14:paraId="2C1459BE">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eastAsia="en-US"/>
              </w:rPr>
              <w:t>t</w:t>
            </w:r>
            <w:r>
              <w:rPr>
                <w:rFonts w:hint="default" w:ascii="Times New Roman" w:hAnsi="Times New Roman" w:cs="Times New Roman"/>
              </w:rPr>
              <w:t>CO₂</w:t>
            </w:r>
            <w:r>
              <w:rPr>
                <w:rFonts w:hint="default" w:ascii="Times New Roman" w:hAnsi="Times New Roman" w:cs="Times New Roman"/>
                <w:spacing w:val="-1"/>
                <w:lang w:eastAsia="en-US"/>
              </w:rPr>
              <w:t>/t</w:t>
            </w:r>
          </w:p>
        </w:tc>
      </w:tr>
      <w:tr w14:paraId="408AAC03">
        <w:trPr>
          <w:trHeight w:val="57" w:hRule="atLeast"/>
        </w:trPr>
        <w:tc>
          <w:tcPr>
            <w:tcW w:w="1015" w:type="pct"/>
            <w:vAlign w:val="top"/>
          </w:tcPr>
          <w:p w14:paraId="0458164E">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描述</w:t>
            </w:r>
          </w:p>
        </w:tc>
        <w:tc>
          <w:tcPr>
            <w:tcW w:w="3984" w:type="pct"/>
            <w:vAlign w:val="top"/>
          </w:tcPr>
          <w:p w14:paraId="0761248A">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val="en-US" w:eastAsia="en-US"/>
              </w:rPr>
              <w:t>可回收物碳排放因子</w:t>
            </w:r>
          </w:p>
        </w:tc>
      </w:tr>
      <w:tr w14:paraId="7C5148EA">
        <w:trPr>
          <w:trHeight w:val="57" w:hRule="atLeast"/>
        </w:trPr>
        <w:tc>
          <w:tcPr>
            <w:tcW w:w="1015" w:type="pct"/>
            <w:vAlign w:val="top"/>
          </w:tcPr>
          <w:p w14:paraId="2D7E1852">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数据来源</w:t>
            </w:r>
          </w:p>
        </w:tc>
        <w:tc>
          <w:tcPr>
            <w:tcW w:w="3984" w:type="pct"/>
            <w:shd w:val="clear" w:color="auto" w:fill="auto"/>
            <w:vAlign w:val="top"/>
          </w:tcPr>
          <w:p w14:paraId="27AA8939">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《2006年IPCC国家温室气体排放清单指南》</w:t>
            </w:r>
          </w:p>
        </w:tc>
      </w:tr>
      <w:tr w14:paraId="2E7A1858">
        <w:trPr>
          <w:trHeight w:val="57" w:hRule="atLeast"/>
        </w:trPr>
        <w:tc>
          <w:tcPr>
            <w:tcW w:w="1015" w:type="pct"/>
            <w:vAlign w:val="top"/>
          </w:tcPr>
          <w:p w14:paraId="1D963625">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其他说明</w:t>
            </w:r>
          </w:p>
        </w:tc>
        <w:tc>
          <w:tcPr>
            <w:tcW w:w="3984" w:type="pct"/>
            <w:shd w:val="clear" w:color="auto" w:fill="auto"/>
            <w:vAlign w:val="top"/>
          </w:tcPr>
          <w:p w14:paraId="3001D28E">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根据可回收物的类型取值（见附录G）并随</w:t>
            </w:r>
            <w:r>
              <w:rPr>
                <w:rFonts w:hint="default" w:ascii="Times New Roman" w:hAnsi="Times New Roman" w:cs="Times New Roman"/>
                <w:spacing w:val="-1"/>
                <w:lang w:val="en-US" w:eastAsia="en-US"/>
              </w:rPr>
              <w:t>IPCC最新数据进行更新</w:t>
            </w:r>
          </w:p>
        </w:tc>
      </w:tr>
    </w:tbl>
    <w:p w14:paraId="496C6C8F">
      <w:pPr>
        <w:keepNext w:val="0"/>
        <w:keepLines w:val="0"/>
        <w:pageBreakBefore w:val="0"/>
        <w:widowControl w:val="0"/>
        <w:kinsoku w:val="0"/>
        <w:wordWrap/>
        <w:overflowPunct/>
        <w:topLinePunct w:val="0"/>
        <w:autoSpaceDE w:val="0"/>
        <w:autoSpaceDN w:val="0"/>
        <w:bidi w:val="0"/>
        <w:adjustRightInd w:val="0"/>
        <w:snapToGrid w:val="0"/>
        <w:spacing w:before="157" w:beforeLines="50" w:after="157" w:afterLines="50" w:line="240" w:lineRule="auto"/>
        <w:ind w:left="0" w:right="0"/>
        <w:jc w:val="center"/>
        <w:textAlignment w:val="baseline"/>
        <w:rPr>
          <w:rFonts w:hint="default" w:ascii="黑体" w:hAnsi="黑体" w:eastAsia="黑体" w:cs="黑体"/>
          <w:b/>
          <w:bCs/>
          <w:snapToGrid w:val="0"/>
          <w:color w:val="000000"/>
          <w:spacing w:val="0"/>
          <w:kern w:val="0"/>
          <w:position w:val="0"/>
          <w:sz w:val="21"/>
          <w:szCs w:val="21"/>
          <w:lang w:eastAsia="en-US"/>
        </w:rPr>
      </w:pPr>
      <w:r>
        <w:rPr>
          <w:rFonts w:hint="default" w:ascii="黑体" w:hAnsi="黑体" w:eastAsia="黑体" w:cs="黑体"/>
          <w:b/>
          <w:bCs/>
          <w:snapToGrid w:val="0"/>
          <w:color w:val="000000"/>
          <w:spacing w:val="0"/>
          <w:kern w:val="0"/>
          <w:position w:val="0"/>
          <w:sz w:val="21"/>
          <w:szCs w:val="21"/>
          <w:lang w:eastAsia="en-US"/>
        </w:rPr>
        <w:t>表</w:t>
      </w:r>
      <w:r>
        <w:rPr>
          <w:rFonts w:hint="default" w:ascii="黑体" w:hAnsi="黑体" w:eastAsia="黑体" w:cs="黑体"/>
          <w:b/>
          <w:bCs/>
          <w:snapToGrid w:val="0"/>
          <w:color w:val="000000"/>
          <w:spacing w:val="0"/>
          <w:kern w:val="0"/>
          <w:position w:val="0"/>
          <w:sz w:val="21"/>
          <w:szCs w:val="21"/>
          <w:lang w:val="en-US" w:eastAsia="zh-CN"/>
        </w:rPr>
        <w:t>B.1.9 甲烷的全球增温潜势</w:t>
      </w:r>
    </w:p>
    <w:tbl>
      <w:tblPr>
        <w:tblStyle w:val="18"/>
        <w:tblW w:w="4999"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947"/>
        <w:gridCol w:w="7641"/>
      </w:tblGrid>
      <w:tr w14:paraId="2562C780">
        <w:trPr>
          <w:trHeight w:val="57" w:hRule="atLeast"/>
        </w:trPr>
        <w:tc>
          <w:tcPr>
            <w:tcW w:w="1015" w:type="pct"/>
            <w:vAlign w:val="top"/>
          </w:tcPr>
          <w:p w14:paraId="64859DE7">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数据/参数</w:t>
            </w:r>
          </w:p>
        </w:tc>
        <w:tc>
          <w:tcPr>
            <w:tcW w:w="3984" w:type="pct"/>
            <w:vAlign w:val="top"/>
          </w:tcPr>
          <w:p w14:paraId="76D87955">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eastAsia="en-US"/>
              </w:rPr>
              <w:t>GWP</w:t>
            </w:r>
            <w:r>
              <w:rPr>
                <w:rFonts w:hint="default" w:ascii="Times New Roman" w:hAnsi="Times New Roman" w:cs="Times New Roman"/>
                <w:lang w:val="en-US" w:eastAsia="zh-CN"/>
              </w:rPr>
              <w:t>CH</w:t>
            </w:r>
            <w:r>
              <w:rPr>
                <w:rFonts w:hint="default" w:ascii="Times New Roman" w:hAnsi="Times New Roman" w:eastAsia="微软雅黑" w:cs="Times New Roman"/>
                <w:lang w:val="en-US" w:eastAsia="zh-CN"/>
              </w:rPr>
              <w:t>₄</w:t>
            </w:r>
          </w:p>
        </w:tc>
      </w:tr>
      <w:tr w14:paraId="0BE20E3C">
        <w:trPr>
          <w:trHeight w:val="57" w:hRule="atLeast"/>
        </w:trPr>
        <w:tc>
          <w:tcPr>
            <w:tcW w:w="1015" w:type="pct"/>
            <w:vAlign w:val="top"/>
          </w:tcPr>
          <w:p w14:paraId="10E7F6DC">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单位</w:t>
            </w:r>
          </w:p>
        </w:tc>
        <w:tc>
          <w:tcPr>
            <w:tcW w:w="3984" w:type="pct"/>
            <w:vAlign w:val="top"/>
          </w:tcPr>
          <w:p w14:paraId="72C3D367">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无量纲</w:t>
            </w:r>
          </w:p>
        </w:tc>
      </w:tr>
      <w:tr w14:paraId="0110F3C0">
        <w:trPr>
          <w:trHeight w:val="57" w:hRule="atLeast"/>
        </w:trPr>
        <w:tc>
          <w:tcPr>
            <w:tcW w:w="1015" w:type="pct"/>
            <w:vAlign w:val="top"/>
          </w:tcPr>
          <w:p w14:paraId="3225F65A">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描述</w:t>
            </w:r>
          </w:p>
        </w:tc>
        <w:tc>
          <w:tcPr>
            <w:tcW w:w="3984" w:type="pct"/>
            <w:vAlign w:val="top"/>
          </w:tcPr>
          <w:p w14:paraId="18D6A329">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val="en-US" w:eastAsia="en-US"/>
              </w:rPr>
              <w:t>甲烷的全球增温潜势（非化石来源）</w:t>
            </w:r>
          </w:p>
        </w:tc>
      </w:tr>
      <w:tr w14:paraId="342BF923">
        <w:trPr>
          <w:trHeight w:val="57" w:hRule="atLeast"/>
        </w:trPr>
        <w:tc>
          <w:tcPr>
            <w:tcW w:w="1015" w:type="pct"/>
            <w:vAlign w:val="top"/>
          </w:tcPr>
          <w:p w14:paraId="35833013">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数据来源</w:t>
            </w:r>
          </w:p>
        </w:tc>
        <w:tc>
          <w:tcPr>
            <w:tcW w:w="3984" w:type="pct"/>
            <w:shd w:val="clear" w:color="auto" w:fill="auto"/>
            <w:vAlign w:val="top"/>
          </w:tcPr>
          <w:p w14:paraId="797BB7C8">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《2006年IPCC国家温室气体排放清单指南》</w:t>
            </w:r>
          </w:p>
        </w:tc>
      </w:tr>
      <w:tr w14:paraId="5F40B191">
        <w:trPr>
          <w:trHeight w:val="57" w:hRule="atLeast"/>
        </w:trPr>
        <w:tc>
          <w:tcPr>
            <w:tcW w:w="1015" w:type="pct"/>
            <w:vAlign w:val="top"/>
          </w:tcPr>
          <w:p w14:paraId="1E9F46E5">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其他说明</w:t>
            </w:r>
          </w:p>
        </w:tc>
        <w:tc>
          <w:tcPr>
            <w:tcW w:w="3984" w:type="pct"/>
            <w:shd w:val="clear" w:color="auto" w:fill="auto"/>
            <w:vAlign w:val="top"/>
          </w:tcPr>
          <w:p w14:paraId="301CA838">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val="en-US" w:eastAsia="zh-CN"/>
              </w:rPr>
              <w:t>取推荐值27，</w:t>
            </w:r>
            <w:r>
              <w:rPr>
                <w:rFonts w:hint="default" w:ascii="Times New Roman" w:hAnsi="Times New Roman" w:cs="Times New Roman"/>
                <w:spacing w:val="-1"/>
                <w:lang w:val="en-US" w:eastAsia="en-US"/>
              </w:rPr>
              <w:t>根据IPCC最新数据进行更新</w:t>
            </w:r>
          </w:p>
        </w:tc>
      </w:tr>
    </w:tbl>
    <w:p w14:paraId="5A5058AA">
      <w:pPr>
        <w:keepNext w:val="0"/>
        <w:keepLines w:val="0"/>
        <w:pageBreakBefore w:val="0"/>
        <w:widowControl w:val="0"/>
        <w:kinsoku w:val="0"/>
        <w:wordWrap/>
        <w:overflowPunct/>
        <w:topLinePunct w:val="0"/>
        <w:autoSpaceDE w:val="0"/>
        <w:autoSpaceDN w:val="0"/>
        <w:bidi w:val="0"/>
        <w:adjustRightInd w:val="0"/>
        <w:snapToGrid w:val="0"/>
        <w:spacing w:before="157" w:beforeLines="50" w:after="157" w:afterLines="50" w:line="240" w:lineRule="auto"/>
        <w:ind w:left="0" w:right="0"/>
        <w:jc w:val="center"/>
        <w:textAlignment w:val="baseline"/>
        <w:rPr>
          <w:rFonts w:hint="default" w:ascii="黑体" w:hAnsi="黑体" w:eastAsia="黑体" w:cs="黑体"/>
          <w:b/>
          <w:bCs/>
          <w:snapToGrid w:val="0"/>
          <w:color w:val="000000"/>
          <w:spacing w:val="0"/>
          <w:kern w:val="0"/>
          <w:position w:val="0"/>
          <w:sz w:val="21"/>
          <w:szCs w:val="21"/>
          <w:lang w:eastAsia="en-US"/>
        </w:rPr>
      </w:pPr>
      <w:r>
        <w:rPr>
          <w:rFonts w:hint="default" w:ascii="黑体" w:hAnsi="黑体" w:eastAsia="黑体" w:cs="黑体"/>
          <w:b/>
          <w:bCs/>
          <w:snapToGrid w:val="0"/>
          <w:color w:val="000000"/>
          <w:spacing w:val="0"/>
          <w:kern w:val="0"/>
          <w:position w:val="0"/>
          <w:sz w:val="21"/>
          <w:szCs w:val="21"/>
          <w:lang w:eastAsia="en-US"/>
        </w:rPr>
        <w:t>表</w:t>
      </w:r>
      <w:r>
        <w:rPr>
          <w:rFonts w:hint="default" w:ascii="黑体" w:hAnsi="黑体" w:eastAsia="黑体" w:cs="黑体"/>
          <w:b/>
          <w:bCs/>
          <w:snapToGrid w:val="0"/>
          <w:color w:val="000000"/>
          <w:spacing w:val="0"/>
          <w:kern w:val="0"/>
          <w:position w:val="0"/>
          <w:sz w:val="21"/>
          <w:szCs w:val="21"/>
          <w:lang w:val="en-US" w:eastAsia="zh-CN"/>
        </w:rPr>
        <w:t>B.1.10 厌氧消化甲烷泄露因子</w:t>
      </w:r>
    </w:p>
    <w:tbl>
      <w:tblPr>
        <w:tblStyle w:val="18"/>
        <w:tblW w:w="4999"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947"/>
        <w:gridCol w:w="7641"/>
      </w:tblGrid>
      <w:tr w14:paraId="7DFE68F9">
        <w:trPr>
          <w:trHeight w:val="57" w:hRule="atLeast"/>
        </w:trPr>
        <w:tc>
          <w:tcPr>
            <w:tcW w:w="1015" w:type="pct"/>
            <w:vAlign w:val="top"/>
          </w:tcPr>
          <w:p w14:paraId="01AFEBF9">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数据/参数</w:t>
            </w:r>
          </w:p>
        </w:tc>
        <w:tc>
          <w:tcPr>
            <w:tcW w:w="3984" w:type="pct"/>
            <w:vAlign w:val="top"/>
          </w:tcPr>
          <w:p w14:paraId="588571CB">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eastAsia="en-US"/>
              </w:rPr>
              <w:t>EF</w:t>
            </w:r>
            <w:r>
              <w:rPr>
                <w:rFonts w:hint="default" w:ascii="Times New Roman" w:hAnsi="Times New Roman" w:cs="Times New Roman"/>
                <w:spacing w:val="-1"/>
                <w:vertAlign w:val="subscript"/>
                <w:lang w:eastAsia="en-US"/>
              </w:rPr>
              <w:t>AD,</w:t>
            </w:r>
            <w:r>
              <w:rPr>
                <w:rFonts w:hint="default" w:ascii="Times New Roman" w:hAnsi="Times New Roman" w:cs="Times New Roman"/>
                <w:lang w:val="en-US" w:eastAsia="zh-CN"/>
              </w:rPr>
              <w:t>CH</w:t>
            </w:r>
            <w:r>
              <w:rPr>
                <w:rFonts w:hint="default" w:ascii="Times New Roman" w:hAnsi="Times New Roman" w:eastAsia="微软雅黑" w:cs="Times New Roman"/>
                <w:lang w:val="en-US" w:eastAsia="zh-CN"/>
              </w:rPr>
              <w:t>₄</w:t>
            </w:r>
          </w:p>
        </w:tc>
      </w:tr>
      <w:tr w14:paraId="2D66E1B3">
        <w:trPr>
          <w:trHeight w:val="57" w:hRule="atLeast"/>
        </w:trPr>
        <w:tc>
          <w:tcPr>
            <w:tcW w:w="1015" w:type="pct"/>
            <w:vAlign w:val="top"/>
          </w:tcPr>
          <w:p w14:paraId="1C0AEC11">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单位</w:t>
            </w:r>
          </w:p>
        </w:tc>
        <w:tc>
          <w:tcPr>
            <w:tcW w:w="3984" w:type="pct"/>
            <w:vAlign w:val="top"/>
          </w:tcPr>
          <w:p w14:paraId="740949B9">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w:t>
            </w:r>
          </w:p>
        </w:tc>
      </w:tr>
      <w:tr w14:paraId="11E644DA">
        <w:trPr>
          <w:trHeight w:val="57" w:hRule="atLeast"/>
        </w:trPr>
        <w:tc>
          <w:tcPr>
            <w:tcW w:w="1015" w:type="pct"/>
            <w:vAlign w:val="top"/>
          </w:tcPr>
          <w:p w14:paraId="2942F4C2">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描述</w:t>
            </w:r>
          </w:p>
        </w:tc>
        <w:tc>
          <w:tcPr>
            <w:tcW w:w="3984" w:type="pct"/>
            <w:vAlign w:val="top"/>
          </w:tcPr>
          <w:p w14:paraId="784F67D0">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val="en-US" w:eastAsia="en-US"/>
              </w:rPr>
              <w:t>厌氧消化甲烷泄露排放</w:t>
            </w:r>
          </w:p>
        </w:tc>
      </w:tr>
      <w:tr w14:paraId="4D1A0254">
        <w:trPr>
          <w:trHeight w:val="57" w:hRule="atLeast"/>
        </w:trPr>
        <w:tc>
          <w:tcPr>
            <w:tcW w:w="1015" w:type="pct"/>
            <w:vAlign w:val="top"/>
          </w:tcPr>
          <w:p w14:paraId="05F417DA">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数据来源</w:t>
            </w:r>
          </w:p>
        </w:tc>
        <w:tc>
          <w:tcPr>
            <w:tcW w:w="3984" w:type="pct"/>
            <w:shd w:val="clear" w:color="auto" w:fill="auto"/>
            <w:vAlign w:val="top"/>
          </w:tcPr>
          <w:p w14:paraId="63FA14AB">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《2006年IPCC国家温室气体排放清单指南》</w:t>
            </w:r>
          </w:p>
        </w:tc>
      </w:tr>
      <w:tr w14:paraId="7369DCC6">
        <w:trPr>
          <w:trHeight w:val="57" w:hRule="atLeast"/>
        </w:trPr>
        <w:tc>
          <w:tcPr>
            <w:tcW w:w="1015" w:type="pct"/>
            <w:vAlign w:val="top"/>
          </w:tcPr>
          <w:p w14:paraId="0E847BAF">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其他说明</w:t>
            </w:r>
          </w:p>
        </w:tc>
        <w:tc>
          <w:tcPr>
            <w:tcW w:w="3984" w:type="pct"/>
            <w:shd w:val="clear" w:color="auto" w:fill="auto"/>
            <w:vAlign w:val="top"/>
          </w:tcPr>
          <w:p w14:paraId="0C1223B6">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val="en-US" w:eastAsia="en-US"/>
              </w:rPr>
              <w:t>根据</w:t>
            </w:r>
            <w:r>
              <w:rPr>
                <w:rFonts w:hint="default" w:ascii="Times New Roman" w:hAnsi="Times New Roman" w:cs="Times New Roman"/>
                <w:spacing w:val="-1"/>
                <w:lang w:val="en-US" w:eastAsia="zh-CN"/>
              </w:rPr>
              <w:t>消化器的类型取值（见附录F）并随</w:t>
            </w:r>
            <w:r>
              <w:rPr>
                <w:rFonts w:hint="default" w:ascii="Times New Roman" w:hAnsi="Times New Roman" w:cs="Times New Roman"/>
                <w:spacing w:val="-1"/>
                <w:lang w:val="en-US" w:eastAsia="en-US"/>
              </w:rPr>
              <w:t>IPCC最新数据进行更新</w:t>
            </w:r>
          </w:p>
        </w:tc>
      </w:tr>
    </w:tbl>
    <w:p w14:paraId="7C271104">
      <w:pPr>
        <w:keepNext w:val="0"/>
        <w:keepLines w:val="0"/>
        <w:pageBreakBefore w:val="0"/>
        <w:widowControl w:val="0"/>
        <w:kinsoku w:val="0"/>
        <w:wordWrap/>
        <w:overflowPunct/>
        <w:topLinePunct w:val="0"/>
        <w:autoSpaceDE w:val="0"/>
        <w:autoSpaceDN w:val="0"/>
        <w:bidi w:val="0"/>
        <w:adjustRightInd w:val="0"/>
        <w:snapToGrid w:val="0"/>
        <w:spacing w:before="157" w:beforeLines="50" w:after="157" w:afterLines="50" w:line="240" w:lineRule="auto"/>
        <w:ind w:left="0" w:right="0"/>
        <w:jc w:val="center"/>
        <w:textAlignment w:val="baseline"/>
        <w:rPr>
          <w:rFonts w:hint="default" w:ascii="黑体" w:hAnsi="黑体" w:eastAsia="黑体" w:cs="黑体"/>
          <w:b/>
          <w:bCs/>
          <w:snapToGrid w:val="0"/>
          <w:color w:val="000000"/>
          <w:spacing w:val="0"/>
          <w:kern w:val="0"/>
          <w:position w:val="0"/>
          <w:sz w:val="21"/>
          <w:szCs w:val="21"/>
          <w:lang w:eastAsia="en-US"/>
        </w:rPr>
      </w:pPr>
      <w:r>
        <w:rPr>
          <w:rFonts w:hint="default" w:ascii="黑体" w:hAnsi="黑体" w:eastAsia="黑体" w:cs="黑体"/>
          <w:b/>
          <w:bCs/>
          <w:snapToGrid w:val="0"/>
          <w:color w:val="000000"/>
          <w:spacing w:val="0"/>
          <w:kern w:val="0"/>
          <w:position w:val="0"/>
          <w:sz w:val="21"/>
          <w:szCs w:val="21"/>
          <w:lang w:eastAsia="en-US"/>
        </w:rPr>
        <w:t>表</w:t>
      </w:r>
      <w:r>
        <w:rPr>
          <w:rFonts w:hint="default" w:ascii="黑体" w:hAnsi="黑体" w:eastAsia="黑体" w:cs="黑体"/>
          <w:b/>
          <w:bCs/>
          <w:snapToGrid w:val="0"/>
          <w:color w:val="000000"/>
          <w:spacing w:val="0"/>
          <w:kern w:val="0"/>
          <w:position w:val="0"/>
          <w:sz w:val="21"/>
          <w:szCs w:val="21"/>
          <w:lang w:val="en-US" w:eastAsia="zh-CN"/>
        </w:rPr>
        <w:t>B.1.11 中国区域电网碳排放因子</w:t>
      </w:r>
    </w:p>
    <w:tbl>
      <w:tblPr>
        <w:tblStyle w:val="18"/>
        <w:tblW w:w="4999"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947"/>
        <w:gridCol w:w="7641"/>
      </w:tblGrid>
      <w:tr w14:paraId="2D356945">
        <w:trPr>
          <w:trHeight w:val="57" w:hRule="atLeast"/>
        </w:trPr>
        <w:tc>
          <w:tcPr>
            <w:tcW w:w="1015" w:type="pct"/>
            <w:vAlign w:val="top"/>
          </w:tcPr>
          <w:p w14:paraId="33EF2FB8">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数据/参数</w:t>
            </w:r>
          </w:p>
        </w:tc>
        <w:tc>
          <w:tcPr>
            <w:tcW w:w="3984" w:type="pct"/>
            <w:vAlign w:val="top"/>
          </w:tcPr>
          <w:p w14:paraId="3BC7AF79">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eastAsia="en-US"/>
              </w:rPr>
              <w:t>EF</w:t>
            </w:r>
            <w:r>
              <w:rPr>
                <w:rFonts w:hint="default" w:ascii="Times New Roman" w:hAnsi="Times New Roman" w:cs="Times New Roman"/>
                <w:spacing w:val="-1"/>
                <w:vertAlign w:val="subscript"/>
                <w:lang w:eastAsia="en-US"/>
              </w:rPr>
              <w:t>EC</w:t>
            </w:r>
          </w:p>
        </w:tc>
      </w:tr>
      <w:tr w14:paraId="3D5B00AF">
        <w:trPr>
          <w:trHeight w:val="57" w:hRule="atLeast"/>
        </w:trPr>
        <w:tc>
          <w:tcPr>
            <w:tcW w:w="1015" w:type="pct"/>
            <w:vAlign w:val="top"/>
          </w:tcPr>
          <w:p w14:paraId="0AB6702E">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单位</w:t>
            </w:r>
          </w:p>
        </w:tc>
        <w:tc>
          <w:tcPr>
            <w:tcW w:w="3984" w:type="pct"/>
            <w:vAlign w:val="top"/>
          </w:tcPr>
          <w:p w14:paraId="2B37B314">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t</w:t>
            </w:r>
            <w:r>
              <w:rPr>
                <w:rFonts w:hint="default" w:ascii="Times New Roman" w:hAnsi="Times New Roman" w:cs="Times New Roman"/>
              </w:rPr>
              <w:t>CO₂</w:t>
            </w:r>
            <w:r>
              <w:rPr>
                <w:rFonts w:hint="default" w:ascii="Times New Roman" w:hAnsi="Times New Roman" w:cs="Times New Roman"/>
                <w:spacing w:val="-1"/>
                <w:lang w:val="en-US" w:eastAsia="zh-CN"/>
              </w:rPr>
              <w:t>/kWh</w:t>
            </w:r>
          </w:p>
        </w:tc>
      </w:tr>
      <w:tr w14:paraId="23F879A8">
        <w:trPr>
          <w:trHeight w:val="57" w:hRule="atLeast"/>
        </w:trPr>
        <w:tc>
          <w:tcPr>
            <w:tcW w:w="1015" w:type="pct"/>
            <w:vAlign w:val="top"/>
          </w:tcPr>
          <w:p w14:paraId="0AD9BAF9">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描述</w:t>
            </w:r>
          </w:p>
        </w:tc>
        <w:tc>
          <w:tcPr>
            <w:tcW w:w="3984" w:type="pct"/>
            <w:vAlign w:val="top"/>
          </w:tcPr>
          <w:p w14:paraId="5656AD39">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lang w:val="en-US" w:eastAsia="zh-CN"/>
              </w:rPr>
              <w:t>减排项目中国区域电网碳排放因子</w:t>
            </w:r>
          </w:p>
        </w:tc>
      </w:tr>
      <w:tr w14:paraId="5358A6F0">
        <w:trPr>
          <w:trHeight w:val="57" w:hRule="atLeast"/>
        </w:trPr>
        <w:tc>
          <w:tcPr>
            <w:tcW w:w="1015" w:type="pct"/>
            <w:vAlign w:val="top"/>
          </w:tcPr>
          <w:p w14:paraId="562DF838">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数据来源</w:t>
            </w:r>
          </w:p>
        </w:tc>
        <w:tc>
          <w:tcPr>
            <w:tcW w:w="3984" w:type="pct"/>
            <w:shd w:val="clear" w:color="auto" w:fill="auto"/>
            <w:vAlign w:val="top"/>
          </w:tcPr>
          <w:p w14:paraId="11803E17">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《2024年减排项目中国区域电网基准线排放因子》</w:t>
            </w:r>
          </w:p>
        </w:tc>
      </w:tr>
      <w:tr w14:paraId="07196C68">
        <w:trPr>
          <w:trHeight w:val="57" w:hRule="atLeast"/>
        </w:trPr>
        <w:tc>
          <w:tcPr>
            <w:tcW w:w="1015" w:type="pct"/>
            <w:vAlign w:val="top"/>
          </w:tcPr>
          <w:p w14:paraId="17A12257">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其他说明</w:t>
            </w:r>
          </w:p>
        </w:tc>
        <w:tc>
          <w:tcPr>
            <w:tcW w:w="3984" w:type="pct"/>
            <w:shd w:val="clear" w:color="auto" w:fill="auto"/>
            <w:vAlign w:val="top"/>
          </w:tcPr>
          <w:p w14:paraId="22851B6B">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val="en-US" w:eastAsia="zh-CN"/>
              </w:rPr>
              <w:t>取推荐值6.313×10</w:t>
            </w:r>
            <w:r>
              <w:rPr>
                <w:rFonts w:hint="default" w:ascii="Times New Roman" w:hAnsi="Times New Roman" w:cs="Times New Roman"/>
                <w:spacing w:val="-1"/>
                <w:vertAlign w:val="superscript"/>
                <w:lang w:val="en-US" w:eastAsia="zh-CN"/>
              </w:rPr>
              <w:t>-4</w:t>
            </w:r>
            <w:r>
              <w:rPr>
                <w:rFonts w:hint="default" w:ascii="Times New Roman" w:hAnsi="Times New Roman" w:cs="Times New Roman"/>
                <w:spacing w:val="-1"/>
                <w:lang w:val="en-US" w:eastAsia="zh-CN"/>
              </w:rPr>
              <w:t>t</w:t>
            </w:r>
            <w:r>
              <w:rPr>
                <w:rFonts w:hint="default" w:ascii="Times New Roman" w:hAnsi="Times New Roman" w:cs="Times New Roman"/>
              </w:rPr>
              <w:t>CO₂</w:t>
            </w:r>
            <w:r>
              <w:rPr>
                <w:rFonts w:hint="default" w:ascii="Times New Roman" w:hAnsi="Times New Roman" w:cs="Times New Roman"/>
                <w:spacing w:val="-1"/>
                <w:lang w:val="en-US" w:eastAsia="zh-CN"/>
              </w:rPr>
              <w:t>/kWh，</w:t>
            </w:r>
            <w:r>
              <w:rPr>
                <w:rFonts w:hint="default" w:ascii="Times New Roman" w:hAnsi="Times New Roman" w:cs="Times New Roman"/>
                <w:spacing w:val="-1"/>
                <w:lang w:val="en-US" w:eastAsia="en-US"/>
              </w:rPr>
              <w:t>根据生态环境部发布的公告进行更新</w:t>
            </w:r>
          </w:p>
        </w:tc>
      </w:tr>
    </w:tbl>
    <w:p w14:paraId="6E3389B4">
      <w:pPr>
        <w:keepNext w:val="0"/>
        <w:keepLines w:val="0"/>
        <w:pageBreakBefore w:val="0"/>
        <w:widowControl w:val="0"/>
        <w:kinsoku w:val="0"/>
        <w:wordWrap/>
        <w:overflowPunct/>
        <w:topLinePunct w:val="0"/>
        <w:autoSpaceDE w:val="0"/>
        <w:autoSpaceDN w:val="0"/>
        <w:bidi w:val="0"/>
        <w:adjustRightInd w:val="0"/>
        <w:snapToGrid w:val="0"/>
        <w:spacing w:before="157" w:beforeLines="50" w:after="157" w:afterLines="50" w:line="240" w:lineRule="auto"/>
        <w:ind w:left="0" w:right="0"/>
        <w:jc w:val="center"/>
        <w:textAlignment w:val="baseline"/>
        <w:rPr>
          <w:rFonts w:hint="default" w:ascii="黑体" w:hAnsi="黑体" w:eastAsia="黑体" w:cs="黑体"/>
          <w:b/>
          <w:bCs/>
          <w:snapToGrid w:val="0"/>
          <w:color w:val="000000"/>
          <w:spacing w:val="0"/>
          <w:kern w:val="0"/>
          <w:position w:val="0"/>
          <w:sz w:val="21"/>
          <w:szCs w:val="21"/>
          <w:lang w:eastAsia="en-US"/>
        </w:rPr>
      </w:pPr>
      <w:r>
        <w:rPr>
          <w:rFonts w:hint="default" w:ascii="黑体" w:hAnsi="黑体" w:eastAsia="黑体" w:cs="黑体"/>
          <w:b/>
          <w:bCs/>
          <w:snapToGrid w:val="0"/>
          <w:color w:val="000000"/>
          <w:spacing w:val="0"/>
          <w:kern w:val="0"/>
          <w:position w:val="0"/>
          <w:sz w:val="21"/>
          <w:szCs w:val="21"/>
          <w:lang w:eastAsia="en-US"/>
        </w:rPr>
        <w:t>表</w:t>
      </w:r>
      <w:r>
        <w:rPr>
          <w:rFonts w:hint="default" w:ascii="黑体" w:hAnsi="黑体" w:eastAsia="黑体" w:cs="黑体"/>
          <w:b/>
          <w:bCs/>
          <w:snapToGrid w:val="0"/>
          <w:color w:val="000000"/>
          <w:spacing w:val="0"/>
          <w:kern w:val="0"/>
          <w:position w:val="0"/>
          <w:sz w:val="21"/>
          <w:szCs w:val="21"/>
          <w:lang w:val="en-US" w:eastAsia="zh-CN"/>
        </w:rPr>
        <w:t>B.1.12 有害垃圾处理处置的排放因子</w:t>
      </w:r>
    </w:p>
    <w:tbl>
      <w:tblPr>
        <w:tblStyle w:val="18"/>
        <w:tblW w:w="4999"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947"/>
        <w:gridCol w:w="7641"/>
      </w:tblGrid>
      <w:tr w14:paraId="2AB23AE4">
        <w:trPr>
          <w:trHeight w:val="57" w:hRule="atLeast"/>
        </w:trPr>
        <w:tc>
          <w:tcPr>
            <w:tcW w:w="1015" w:type="pct"/>
            <w:vAlign w:val="top"/>
          </w:tcPr>
          <w:p w14:paraId="0AE924D0">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数据/参数</w:t>
            </w:r>
          </w:p>
        </w:tc>
        <w:tc>
          <w:tcPr>
            <w:tcW w:w="3984" w:type="pct"/>
            <w:vAlign w:val="top"/>
          </w:tcPr>
          <w:p w14:paraId="3B90FF1B">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eastAsia="en-US"/>
              </w:rPr>
              <w:t>EF</w:t>
            </w:r>
            <w:r>
              <w:rPr>
                <w:rFonts w:hint="default" w:ascii="Times New Roman" w:hAnsi="Times New Roman" w:cs="Times New Roman"/>
                <w:spacing w:val="-1"/>
                <w:vertAlign w:val="subscript"/>
                <w:lang w:eastAsia="en-US"/>
              </w:rPr>
              <w:t>HW</w:t>
            </w:r>
          </w:p>
        </w:tc>
      </w:tr>
      <w:tr w14:paraId="4AEDAB83">
        <w:trPr>
          <w:trHeight w:val="57" w:hRule="atLeast"/>
        </w:trPr>
        <w:tc>
          <w:tcPr>
            <w:tcW w:w="1015" w:type="pct"/>
            <w:vAlign w:val="top"/>
          </w:tcPr>
          <w:p w14:paraId="4DA85DB4">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单位</w:t>
            </w:r>
          </w:p>
        </w:tc>
        <w:tc>
          <w:tcPr>
            <w:tcW w:w="3984" w:type="pct"/>
            <w:vAlign w:val="top"/>
          </w:tcPr>
          <w:p w14:paraId="07EAF936">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t</w:t>
            </w:r>
            <w:r>
              <w:rPr>
                <w:rFonts w:hint="default" w:ascii="Times New Roman" w:hAnsi="Times New Roman" w:cs="Times New Roman"/>
              </w:rPr>
              <w:t>CO₂</w:t>
            </w:r>
            <w:r>
              <w:rPr>
                <w:rFonts w:hint="default" w:ascii="Times New Roman" w:hAnsi="Times New Roman" w:cs="Times New Roman"/>
                <w:spacing w:val="-1"/>
                <w:lang w:val="en-US" w:eastAsia="zh-CN"/>
              </w:rPr>
              <w:t>/t</w:t>
            </w:r>
          </w:p>
        </w:tc>
      </w:tr>
      <w:tr w14:paraId="2801EEBC">
        <w:trPr>
          <w:trHeight w:val="57" w:hRule="atLeast"/>
        </w:trPr>
        <w:tc>
          <w:tcPr>
            <w:tcW w:w="1015" w:type="pct"/>
            <w:vAlign w:val="top"/>
          </w:tcPr>
          <w:p w14:paraId="722F2DF2">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描述</w:t>
            </w:r>
          </w:p>
        </w:tc>
        <w:tc>
          <w:tcPr>
            <w:tcW w:w="3984" w:type="pct"/>
            <w:vAlign w:val="top"/>
          </w:tcPr>
          <w:p w14:paraId="135331CB">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val="en-US" w:eastAsia="en-US"/>
              </w:rPr>
              <w:t>有害垃圾处理处置的排放因子</w:t>
            </w:r>
          </w:p>
        </w:tc>
      </w:tr>
      <w:tr w14:paraId="5B79D5EC">
        <w:trPr>
          <w:trHeight w:val="57" w:hRule="atLeast"/>
        </w:trPr>
        <w:tc>
          <w:tcPr>
            <w:tcW w:w="1015" w:type="pct"/>
            <w:vAlign w:val="top"/>
          </w:tcPr>
          <w:p w14:paraId="7F649F61">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数据来源</w:t>
            </w:r>
          </w:p>
        </w:tc>
        <w:tc>
          <w:tcPr>
            <w:tcW w:w="3984" w:type="pct"/>
            <w:shd w:val="clear" w:color="auto" w:fill="auto"/>
            <w:vAlign w:val="top"/>
          </w:tcPr>
          <w:p w14:paraId="165B9FD6">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《2006年IPCC国家温室气体排放清单指南》</w:t>
            </w:r>
          </w:p>
        </w:tc>
      </w:tr>
      <w:tr w14:paraId="2441778C">
        <w:trPr>
          <w:trHeight w:val="57" w:hRule="atLeast"/>
        </w:trPr>
        <w:tc>
          <w:tcPr>
            <w:tcW w:w="1015" w:type="pct"/>
            <w:vAlign w:val="top"/>
          </w:tcPr>
          <w:p w14:paraId="1CC7CB64">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1"/>
                <w:lang w:val="en-US" w:eastAsia="en-US"/>
              </w:rPr>
            </w:pPr>
            <w:r>
              <w:rPr>
                <w:rFonts w:hint="default" w:ascii="Times New Roman" w:hAnsi="Times New Roman" w:cs="Times New Roman"/>
                <w:b/>
                <w:spacing w:val="-1"/>
                <w:lang w:val="en-US" w:eastAsia="en-US"/>
              </w:rPr>
              <w:t>其他说明</w:t>
            </w:r>
          </w:p>
        </w:tc>
        <w:tc>
          <w:tcPr>
            <w:tcW w:w="3984" w:type="pct"/>
            <w:shd w:val="clear" w:color="auto" w:fill="auto"/>
            <w:vAlign w:val="top"/>
          </w:tcPr>
          <w:p w14:paraId="4AB35A8B">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取推荐值0.15t</w:t>
            </w:r>
            <w:r>
              <w:rPr>
                <w:rFonts w:hint="default" w:ascii="Times New Roman" w:hAnsi="Times New Roman" w:cs="Times New Roman"/>
              </w:rPr>
              <w:t>CO₂</w:t>
            </w:r>
            <w:r>
              <w:rPr>
                <w:rFonts w:hint="default" w:ascii="Times New Roman" w:hAnsi="Times New Roman" w:cs="Times New Roman"/>
                <w:spacing w:val="-1"/>
                <w:lang w:val="en-US" w:eastAsia="zh-CN"/>
              </w:rPr>
              <w:t>/t，</w:t>
            </w:r>
            <w:r>
              <w:rPr>
                <w:rFonts w:hint="default" w:ascii="Times New Roman" w:hAnsi="Times New Roman" w:cs="Times New Roman"/>
                <w:spacing w:val="-1"/>
                <w:lang w:val="en-US" w:eastAsia="en-US"/>
              </w:rPr>
              <w:t>根据IPCC最新数据进行更新</w:t>
            </w:r>
          </w:p>
        </w:tc>
      </w:tr>
    </w:tbl>
    <w:p w14:paraId="1224BB32">
      <w:pPr>
        <w:pStyle w:val="4"/>
        <w:bidi w:val="0"/>
        <w:rPr>
          <w:rFonts w:hint="default" w:ascii="Times New Roman" w:hAnsi="Times New Roman" w:cs="Times New Roman"/>
        </w:rPr>
      </w:pPr>
      <w:bookmarkStart w:id="89" w:name="_Toc28289"/>
      <w:r>
        <w:rPr>
          <w:rFonts w:hint="default" w:ascii="Times New Roman" w:hAnsi="Times New Roman" w:cs="Times New Roman"/>
          <w:lang w:val="en-US" w:eastAsia="zh-CN"/>
        </w:rPr>
        <w:t xml:space="preserve">B.2  </w:t>
      </w:r>
      <w:r>
        <w:rPr>
          <w:rFonts w:hint="default" w:ascii="Times New Roman" w:hAnsi="Times New Roman" w:cs="Times New Roman"/>
        </w:rPr>
        <w:t>需要监测的数据及来源</w:t>
      </w:r>
      <w:bookmarkEnd w:id="89"/>
    </w:p>
    <w:p w14:paraId="4D67093A">
      <w:pPr>
        <w:pStyle w:val="3"/>
        <w:bidi w:val="0"/>
        <w:rPr>
          <w:rFonts w:hint="default" w:ascii="Times New Roman" w:hAnsi="Times New Roman" w:cs="Times New Roman"/>
        </w:rPr>
      </w:pPr>
      <w:r>
        <w:rPr>
          <w:rFonts w:hint="default" w:ascii="Times New Roman" w:hAnsi="Times New Roman" w:cs="Times New Roman"/>
        </w:rPr>
        <w:t>表B.</w:t>
      </w:r>
      <w:r>
        <w:rPr>
          <w:rFonts w:hint="default" w:ascii="Times New Roman" w:hAnsi="Times New Roman" w:cs="Times New Roman"/>
          <w:lang w:val="en-US" w:eastAsia="zh-CN"/>
        </w:rPr>
        <w:t>2.1</w:t>
      </w:r>
      <w:r>
        <w:rPr>
          <w:rFonts w:hint="default" w:ascii="Times New Roman" w:hAnsi="Times New Roman" w:cs="Times New Roman"/>
        </w:rPr>
        <w:t>至B.</w:t>
      </w:r>
      <w:r>
        <w:rPr>
          <w:rFonts w:hint="default" w:ascii="Times New Roman" w:hAnsi="Times New Roman" w:cs="Times New Roman"/>
          <w:lang w:val="en-US" w:eastAsia="zh-CN"/>
        </w:rPr>
        <w:t>2.7</w:t>
      </w:r>
      <w:r>
        <w:rPr>
          <w:rFonts w:hint="default" w:ascii="Times New Roman" w:hAnsi="Times New Roman" w:cs="Times New Roman"/>
        </w:rPr>
        <w:t>规定了需要监测的数据及来源。</w:t>
      </w:r>
    </w:p>
    <w:p w14:paraId="57E59AFB">
      <w:pPr>
        <w:keepNext w:val="0"/>
        <w:keepLines w:val="0"/>
        <w:pageBreakBefore w:val="0"/>
        <w:widowControl w:val="0"/>
        <w:kinsoku w:val="0"/>
        <w:wordWrap/>
        <w:overflowPunct/>
        <w:topLinePunct w:val="0"/>
        <w:autoSpaceDE w:val="0"/>
        <w:autoSpaceDN w:val="0"/>
        <w:bidi w:val="0"/>
        <w:adjustRightInd w:val="0"/>
        <w:snapToGrid w:val="0"/>
        <w:spacing w:before="157" w:beforeLines="50" w:after="157" w:afterLines="50" w:line="240" w:lineRule="auto"/>
        <w:ind w:left="0" w:right="0"/>
        <w:jc w:val="center"/>
        <w:textAlignment w:val="baseline"/>
        <w:rPr>
          <w:rFonts w:hint="default" w:ascii="黑体" w:hAnsi="黑体" w:eastAsia="黑体" w:cs="黑体"/>
          <w:b/>
          <w:bCs/>
          <w:snapToGrid w:val="0"/>
          <w:color w:val="000000"/>
          <w:spacing w:val="0"/>
          <w:kern w:val="0"/>
          <w:position w:val="0"/>
          <w:sz w:val="21"/>
          <w:szCs w:val="21"/>
          <w:lang w:eastAsia="en-US"/>
        </w:rPr>
      </w:pPr>
      <w:r>
        <w:rPr>
          <w:rFonts w:hint="default" w:ascii="黑体" w:hAnsi="黑体" w:eastAsia="黑体" w:cs="黑体"/>
          <w:b/>
          <w:bCs/>
          <w:snapToGrid w:val="0"/>
          <w:color w:val="000000"/>
          <w:spacing w:val="0"/>
          <w:kern w:val="0"/>
          <w:position w:val="0"/>
          <w:sz w:val="21"/>
          <w:szCs w:val="21"/>
          <w:lang w:eastAsia="en-US"/>
        </w:rPr>
        <w:t>表</w:t>
      </w:r>
      <w:r>
        <w:rPr>
          <w:rFonts w:hint="default" w:ascii="黑体" w:hAnsi="黑体" w:eastAsia="黑体" w:cs="黑体"/>
          <w:b/>
          <w:bCs/>
          <w:snapToGrid w:val="0"/>
          <w:color w:val="000000"/>
          <w:spacing w:val="0"/>
          <w:kern w:val="0"/>
          <w:position w:val="0"/>
          <w:sz w:val="21"/>
          <w:szCs w:val="21"/>
          <w:lang w:val="en-US" w:eastAsia="zh-CN"/>
        </w:rPr>
        <w:t>B.2.1 当年填埋垃圾的质量</w:t>
      </w:r>
    </w:p>
    <w:tbl>
      <w:tblPr>
        <w:tblStyle w:val="18"/>
        <w:tblW w:w="975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871"/>
        <w:gridCol w:w="7880"/>
      </w:tblGrid>
      <w:tr w14:paraId="14B46412">
        <w:trPr>
          <w:trHeight w:val="57" w:hRule="atLeast"/>
        </w:trPr>
        <w:tc>
          <w:tcPr>
            <w:tcW w:w="1871" w:type="dxa"/>
            <w:vAlign w:val="top"/>
          </w:tcPr>
          <w:p w14:paraId="4CE52A6A">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数据/参数</w:t>
            </w:r>
          </w:p>
        </w:tc>
        <w:tc>
          <w:tcPr>
            <w:tcW w:w="7880" w:type="dxa"/>
            <w:vAlign w:val="top"/>
          </w:tcPr>
          <w:p w14:paraId="08F0BA79">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eastAsia="en-US"/>
              </w:rPr>
              <w:t>MSW</w:t>
            </w:r>
            <w:r>
              <w:rPr>
                <w:rFonts w:hint="default" w:ascii="Times New Roman" w:hAnsi="Times New Roman" w:cs="Times New Roman"/>
                <w:spacing w:val="-1"/>
                <w:vertAlign w:val="subscript"/>
                <w:lang w:eastAsia="en-US"/>
              </w:rPr>
              <w:t>LF</w:t>
            </w:r>
          </w:p>
        </w:tc>
      </w:tr>
      <w:tr w14:paraId="78B63B7C">
        <w:trPr>
          <w:trHeight w:val="57" w:hRule="atLeast"/>
        </w:trPr>
        <w:tc>
          <w:tcPr>
            <w:tcW w:w="1871" w:type="dxa"/>
            <w:vAlign w:val="top"/>
          </w:tcPr>
          <w:p w14:paraId="72E6506E">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单位</w:t>
            </w:r>
          </w:p>
        </w:tc>
        <w:tc>
          <w:tcPr>
            <w:tcW w:w="7880" w:type="dxa"/>
            <w:vAlign w:val="top"/>
          </w:tcPr>
          <w:p w14:paraId="6801E38A">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t（吨）</w:t>
            </w:r>
          </w:p>
        </w:tc>
      </w:tr>
      <w:tr w14:paraId="054A73C0">
        <w:trPr>
          <w:trHeight w:val="57" w:hRule="atLeast"/>
        </w:trPr>
        <w:tc>
          <w:tcPr>
            <w:tcW w:w="1871" w:type="dxa"/>
            <w:vAlign w:val="top"/>
          </w:tcPr>
          <w:p w14:paraId="5B64AE00">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描述</w:t>
            </w:r>
          </w:p>
        </w:tc>
        <w:tc>
          <w:tcPr>
            <w:tcW w:w="7880" w:type="dxa"/>
            <w:vAlign w:val="top"/>
          </w:tcPr>
          <w:p w14:paraId="52DBC49B">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val="en-US" w:eastAsia="en-US"/>
              </w:rPr>
              <w:t>申请核证当年填埋垃圾的质量</w:t>
            </w:r>
          </w:p>
        </w:tc>
      </w:tr>
      <w:tr w14:paraId="09AD002F">
        <w:trPr>
          <w:trHeight w:val="57" w:hRule="atLeast"/>
        </w:trPr>
        <w:tc>
          <w:tcPr>
            <w:tcW w:w="1871" w:type="dxa"/>
            <w:vAlign w:val="top"/>
          </w:tcPr>
          <w:p w14:paraId="60B1E9D2">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数据来源</w:t>
            </w:r>
          </w:p>
        </w:tc>
        <w:tc>
          <w:tcPr>
            <w:tcW w:w="7880" w:type="dxa"/>
            <w:vAlign w:val="top"/>
          </w:tcPr>
          <w:p w14:paraId="2FA915B0">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垃圾填埋场提供的称重设备（地磅/电子秤）数据</w:t>
            </w:r>
          </w:p>
        </w:tc>
      </w:tr>
      <w:tr w14:paraId="343EE8B1">
        <w:trPr>
          <w:trHeight w:val="57" w:hRule="atLeast"/>
        </w:trPr>
        <w:tc>
          <w:tcPr>
            <w:tcW w:w="1871" w:type="dxa"/>
            <w:vAlign w:val="top"/>
          </w:tcPr>
          <w:p w14:paraId="4438A937">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测量程序</w:t>
            </w:r>
          </w:p>
        </w:tc>
        <w:tc>
          <w:tcPr>
            <w:tcW w:w="7880" w:type="dxa"/>
            <w:vAlign w:val="top"/>
          </w:tcPr>
          <w:p w14:paraId="74D67A59">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en-US"/>
              </w:rPr>
              <w:t>每辆垃圾运输车进场时记录毛重，出场时记录皮重，差值即为净重</w:t>
            </w:r>
            <w:r>
              <w:rPr>
                <w:rFonts w:hint="default" w:ascii="Times New Roman" w:hAnsi="Times New Roman" w:cs="Times New Roman"/>
                <w:spacing w:val="-1"/>
                <w:lang w:val="en-US" w:eastAsia="zh-CN"/>
              </w:rPr>
              <w:t>，</w:t>
            </w:r>
            <w:r>
              <w:rPr>
                <w:rFonts w:hint="default" w:ascii="Times New Roman" w:hAnsi="Times New Roman" w:cs="Times New Roman"/>
                <w:spacing w:val="-1"/>
                <w:lang w:val="en-US" w:eastAsia="en-US"/>
              </w:rPr>
              <w:t>实时上传至管理系统</w:t>
            </w:r>
            <w:r>
              <w:rPr>
                <w:rFonts w:hint="default" w:ascii="Times New Roman" w:hAnsi="Times New Roman" w:cs="Times New Roman"/>
                <w:spacing w:val="-1"/>
                <w:lang w:val="en-US" w:eastAsia="zh-CN"/>
              </w:rPr>
              <w:t>。</w:t>
            </w:r>
          </w:p>
        </w:tc>
      </w:tr>
      <w:tr w14:paraId="1015AE5D">
        <w:trPr>
          <w:trHeight w:val="57" w:hRule="atLeast"/>
        </w:trPr>
        <w:tc>
          <w:tcPr>
            <w:tcW w:w="1871" w:type="dxa"/>
            <w:vAlign w:val="top"/>
          </w:tcPr>
          <w:p w14:paraId="64BF956B">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监测频率</w:t>
            </w:r>
          </w:p>
        </w:tc>
        <w:tc>
          <w:tcPr>
            <w:tcW w:w="7880" w:type="dxa"/>
            <w:vAlign w:val="top"/>
          </w:tcPr>
          <w:p w14:paraId="24E8B276">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val="en-US" w:eastAsia="en-US"/>
              </w:rPr>
              <w:t>连续监测，每日汇总数据，每月生成统计报表。</w:t>
            </w:r>
          </w:p>
        </w:tc>
      </w:tr>
      <w:tr w14:paraId="4BE0B78B">
        <w:trPr>
          <w:trHeight w:val="57" w:hRule="atLeast"/>
        </w:trPr>
        <w:tc>
          <w:tcPr>
            <w:tcW w:w="1871" w:type="dxa"/>
            <w:vAlign w:val="top"/>
          </w:tcPr>
          <w:p w14:paraId="1BEB84B3">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质量保证/质量控制程序</w:t>
            </w:r>
          </w:p>
        </w:tc>
        <w:tc>
          <w:tcPr>
            <w:tcW w:w="7880" w:type="dxa"/>
            <w:vAlign w:val="top"/>
          </w:tcPr>
          <w:p w14:paraId="3100E9C2">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val="en-US" w:eastAsia="en-US"/>
              </w:rPr>
              <w:t>定期对地磅进行校准维护，每季度进行现场零点校准。与垃圾运输单据、处理厂接收记录比对，差异率需≤1%</w:t>
            </w:r>
          </w:p>
        </w:tc>
      </w:tr>
      <w:tr w14:paraId="18A99E8D">
        <w:trPr>
          <w:trHeight w:val="57" w:hRule="atLeast"/>
        </w:trPr>
        <w:tc>
          <w:tcPr>
            <w:tcW w:w="1871" w:type="dxa"/>
            <w:vAlign w:val="top"/>
          </w:tcPr>
          <w:p w14:paraId="0AB00B15">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其他说明</w:t>
            </w:r>
          </w:p>
        </w:tc>
        <w:tc>
          <w:tcPr>
            <w:tcW w:w="7880" w:type="dxa"/>
            <w:vAlign w:val="top"/>
          </w:tcPr>
          <w:p w14:paraId="10231421">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val="en-US" w:eastAsia="zh-CN"/>
              </w:rPr>
              <w:t>无</w:t>
            </w:r>
          </w:p>
        </w:tc>
      </w:tr>
    </w:tbl>
    <w:p w14:paraId="533E0BCE">
      <w:pPr>
        <w:keepNext w:val="0"/>
        <w:keepLines w:val="0"/>
        <w:pageBreakBefore w:val="0"/>
        <w:widowControl w:val="0"/>
        <w:kinsoku w:val="0"/>
        <w:wordWrap/>
        <w:overflowPunct/>
        <w:topLinePunct w:val="0"/>
        <w:autoSpaceDE w:val="0"/>
        <w:autoSpaceDN w:val="0"/>
        <w:bidi w:val="0"/>
        <w:adjustRightInd w:val="0"/>
        <w:snapToGrid w:val="0"/>
        <w:spacing w:before="157" w:beforeLines="50" w:after="157" w:afterLines="50" w:line="240" w:lineRule="auto"/>
        <w:ind w:left="0" w:right="0"/>
        <w:jc w:val="center"/>
        <w:textAlignment w:val="baseline"/>
        <w:rPr>
          <w:rFonts w:hint="default" w:ascii="黑体" w:hAnsi="黑体" w:eastAsia="黑体" w:cs="黑体"/>
          <w:b/>
          <w:bCs/>
          <w:snapToGrid w:val="0"/>
          <w:color w:val="000000"/>
          <w:spacing w:val="0"/>
          <w:kern w:val="0"/>
          <w:position w:val="0"/>
          <w:sz w:val="21"/>
          <w:szCs w:val="21"/>
          <w:lang w:eastAsia="en-US"/>
        </w:rPr>
      </w:pPr>
      <w:r>
        <w:rPr>
          <w:rFonts w:hint="default" w:ascii="黑体" w:hAnsi="黑体" w:eastAsia="黑体" w:cs="黑体"/>
          <w:b/>
          <w:bCs/>
          <w:snapToGrid w:val="0"/>
          <w:color w:val="000000"/>
          <w:spacing w:val="0"/>
          <w:kern w:val="0"/>
          <w:position w:val="0"/>
          <w:sz w:val="21"/>
          <w:szCs w:val="21"/>
          <w:lang w:eastAsia="en-US"/>
        </w:rPr>
        <w:t>表</w:t>
      </w:r>
      <w:r>
        <w:rPr>
          <w:rFonts w:hint="default" w:ascii="黑体" w:hAnsi="黑体" w:eastAsia="黑体" w:cs="黑体"/>
          <w:b/>
          <w:bCs/>
          <w:snapToGrid w:val="0"/>
          <w:color w:val="000000"/>
          <w:spacing w:val="0"/>
          <w:kern w:val="0"/>
          <w:position w:val="0"/>
          <w:sz w:val="21"/>
          <w:szCs w:val="21"/>
          <w:lang w:val="en-US" w:eastAsia="zh-CN"/>
        </w:rPr>
        <w:t>B.2.2 甲烷回收量</w:t>
      </w:r>
    </w:p>
    <w:tbl>
      <w:tblPr>
        <w:tblStyle w:val="18"/>
        <w:tblW w:w="5083"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870"/>
        <w:gridCol w:w="7879"/>
      </w:tblGrid>
      <w:tr w14:paraId="3A9E6FB7">
        <w:trPr>
          <w:trHeight w:val="57" w:hRule="atLeast"/>
        </w:trPr>
        <w:tc>
          <w:tcPr>
            <w:tcW w:w="959" w:type="pct"/>
            <w:vAlign w:val="top"/>
          </w:tcPr>
          <w:p w14:paraId="6A9B9D20">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数据/参数</w:t>
            </w:r>
          </w:p>
        </w:tc>
        <w:tc>
          <w:tcPr>
            <w:tcW w:w="4040" w:type="pct"/>
            <w:vAlign w:val="top"/>
          </w:tcPr>
          <w:p w14:paraId="3A040533">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eastAsia="en-US"/>
              </w:rPr>
              <w:t>R</w:t>
            </w:r>
            <w:r>
              <w:rPr>
                <w:rFonts w:hint="default" w:ascii="Times New Roman" w:hAnsi="Times New Roman" w:cs="Times New Roman"/>
                <w:spacing w:val="-1"/>
                <w:vertAlign w:val="subscript"/>
                <w:lang w:eastAsia="en-US"/>
              </w:rPr>
              <w:t>y</w:t>
            </w:r>
          </w:p>
        </w:tc>
      </w:tr>
      <w:tr w14:paraId="552D1887">
        <w:trPr>
          <w:trHeight w:val="57" w:hRule="atLeast"/>
        </w:trPr>
        <w:tc>
          <w:tcPr>
            <w:tcW w:w="959" w:type="pct"/>
            <w:vAlign w:val="top"/>
          </w:tcPr>
          <w:p w14:paraId="472DAAB3">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单位</w:t>
            </w:r>
          </w:p>
        </w:tc>
        <w:tc>
          <w:tcPr>
            <w:tcW w:w="4040" w:type="pct"/>
            <w:vAlign w:val="top"/>
          </w:tcPr>
          <w:p w14:paraId="3D86E942">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t（吨）</w:t>
            </w:r>
          </w:p>
        </w:tc>
      </w:tr>
      <w:tr w14:paraId="41999770">
        <w:trPr>
          <w:trHeight w:val="57" w:hRule="atLeast"/>
        </w:trPr>
        <w:tc>
          <w:tcPr>
            <w:tcW w:w="959" w:type="pct"/>
            <w:vAlign w:val="top"/>
          </w:tcPr>
          <w:p w14:paraId="2130BB30">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描述</w:t>
            </w:r>
          </w:p>
        </w:tc>
        <w:tc>
          <w:tcPr>
            <w:tcW w:w="4040" w:type="pct"/>
            <w:vAlign w:val="top"/>
          </w:tcPr>
          <w:p w14:paraId="5F1CC4A2">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val="en-US" w:eastAsia="en-US"/>
              </w:rPr>
              <w:t>第y年甲烷回收量</w:t>
            </w:r>
          </w:p>
        </w:tc>
      </w:tr>
      <w:tr w14:paraId="1DE88AD8">
        <w:trPr>
          <w:trHeight w:val="57" w:hRule="atLeast"/>
        </w:trPr>
        <w:tc>
          <w:tcPr>
            <w:tcW w:w="959" w:type="pct"/>
            <w:vAlign w:val="top"/>
          </w:tcPr>
          <w:p w14:paraId="305693FB">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数据来源</w:t>
            </w:r>
          </w:p>
        </w:tc>
        <w:tc>
          <w:tcPr>
            <w:tcW w:w="4040" w:type="pct"/>
            <w:vAlign w:val="top"/>
          </w:tcPr>
          <w:p w14:paraId="485111E3">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垃圾填埋场提供的气体流量计与甲烷浓度分析仪数据</w:t>
            </w:r>
          </w:p>
        </w:tc>
      </w:tr>
      <w:tr w14:paraId="79849138">
        <w:trPr>
          <w:trHeight w:val="57" w:hRule="atLeast"/>
        </w:trPr>
        <w:tc>
          <w:tcPr>
            <w:tcW w:w="959" w:type="pct"/>
            <w:vAlign w:val="top"/>
          </w:tcPr>
          <w:p w14:paraId="23B41B63">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测量程序</w:t>
            </w:r>
          </w:p>
        </w:tc>
        <w:tc>
          <w:tcPr>
            <w:tcW w:w="4040" w:type="pct"/>
            <w:vAlign w:val="top"/>
          </w:tcPr>
          <w:p w14:paraId="3A1F4F76">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连续在线监测，实时采集流量和甲烷浓度。每周进行手动校准，使用便携式气相色谱仪抽样验证浓度数据，偏差＞5%时触发校准。进行逸散监测，季度性采用静态箱法或TDLAS测量未回收甲烷量。</w:t>
            </w:r>
          </w:p>
        </w:tc>
      </w:tr>
      <w:tr w14:paraId="7A004978">
        <w:trPr>
          <w:trHeight w:val="57" w:hRule="atLeast"/>
        </w:trPr>
        <w:tc>
          <w:tcPr>
            <w:tcW w:w="959" w:type="pct"/>
            <w:vAlign w:val="top"/>
          </w:tcPr>
          <w:p w14:paraId="3BE683A4">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监测频率</w:t>
            </w:r>
          </w:p>
        </w:tc>
        <w:tc>
          <w:tcPr>
            <w:tcW w:w="4040" w:type="pct"/>
            <w:vAlign w:val="top"/>
          </w:tcPr>
          <w:p w14:paraId="25C32ABB">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val="en-US" w:eastAsia="en-US"/>
              </w:rPr>
              <w:t>连续监测，每日记录一次</w:t>
            </w:r>
          </w:p>
        </w:tc>
      </w:tr>
      <w:tr w14:paraId="0F06B26C">
        <w:trPr>
          <w:trHeight w:val="57" w:hRule="atLeast"/>
        </w:trPr>
        <w:tc>
          <w:tcPr>
            <w:tcW w:w="959" w:type="pct"/>
            <w:vAlign w:val="top"/>
          </w:tcPr>
          <w:p w14:paraId="0FAC9AEA">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质量保证/质量控制程序</w:t>
            </w:r>
          </w:p>
        </w:tc>
        <w:tc>
          <w:tcPr>
            <w:tcW w:w="4040" w:type="pct"/>
            <w:vAlign w:val="top"/>
          </w:tcPr>
          <w:p w14:paraId="4D35608C">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eastAsia="en-US"/>
              </w:rPr>
              <w:t>定期对流量计进行校准维护，每月进行零点校准。浓度传感器每季度用标准气体（如50%CH₄）校准。保持在线数据与手动抽样数据差异≤±3%。</w:t>
            </w:r>
          </w:p>
        </w:tc>
      </w:tr>
      <w:tr w14:paraId="5811E47A">
        <w:trPr>
          <w:trHeight w:val="57" w:hRule="atLeast"/>
        </w:trPr>
        <w:tc>
          <w:tcPr>
            <w:tcW w:w="959" w:type="pct"/>
            <w:vAlign w:val="top"/>
          </w:tcPr>
          <w:p w14:paraId="44203184">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其他说明</w:t>
            </w:r>
          </w:p>
        </w:tc>
        <w:tc>
          <w:tcPr>
            <w:tcW w:w="4040" w:type="pct"/>
            <w:vAlign w:val="top"/>
          </w:tcPr>
          <w:p w14:paraId="08EE7033">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val="en-US" w:eastAsia="zh-CN"/>
              </w:rPr>
              <w:t>无</w:t>
            </w:r>
          </w:p>
        </w:tc>
      </w:tr>
    </w:tbl>
    <w:p w14:paraId="77182D50">
      <w:pPr>
        <w:keepNext w:val="0"/>
        <w:keepLines w:val="0"/>
        <w:pageBreakBefore w:val="0"/>
        <w:widowControl w:val="0"/>
        <w:kinsoku w:val="0"/>
        <w:wordWrap/>
        <w:overflowPunct/>
        <w:topLinePunct w:val="0"/>
        <w:autoSpaceDE w:val="0"/>
        <w:autoSpaceDN w:val="0"/>
        <w:bidi w:val="0"/>
        <w:adjustRightInd w:val="0"/>
        <w:snapToGrid w:val="0"/>
        <w:spacing w:before="157" w:beforeLines="50" w:after="157" w:afterLines="50" w:line="240" w:lineRule="auto"/>
        <w:ind w:left="0" w:right="0"/>
        <w:jc w:val="center"/>
        <w:textAlignment w:val="baseline"/>
        <w:rPr>
          <w:rFonts w:hint="default" w:ascii="黑体" w:hAnsi="黑体" w:eastAsia="黑体" w:cs="黑体"/>
          <w:b/>
          <w:bCs/>
          <w:snapToGrid w:val="0"/>
          <w:color w:val="000000"/>
          <w:spacing w:val="0"/>
          <w:kern w:val="0"/>
          <w:position w:val="0"/>
          <w:sz w:val="21"/>
          <w:szCs w:val="21"/>
          <w:lang w:eastAsia="en-US"/>
        </w:rPr>
      </w:pPr>
      <w:r>
        <w:rPr>
          <w:rFonts w:hint="default" w:ascii="黑体" w:hAnsi="黑体" w:eastAsia="黑体" w:cs="黑体"/>
          <w:b/>
          <w:bCs/>
          <w:snapToGrid w:val="0"/>
          <w:color w:val="000000"/>
          <w:spacing w:val="0"/>
          <w:kern w:val="0"/>
          <w:position w:val="0"/>
          <w:sz w:val="21"/>
          <w:szCs w:val="21"/>
          <w:lang w:eastAsia="en-US"/>
        </w:rPr>
        <w:t>表</w:t>
      </w:r>
      <w:r>
        <w:rPr>
          <w:rFonts w:hint="default" w:ascii="黑体" w:hAnsi="黑体" w:eastAsia="黑体" w:cs="黑体"/>
          <w:b/>
          <w:bCs/>
          <w:snapToGrid w:val="0"/>
          <w:color w:val="000000"/>
          <w:spacing w:val="0"/>
          <w:kern w:val="0"/>
          <w:position w:val="0"/>
          <w:sz w:val="21"/>
          <w:szCs w:val="21"/>
          <w:lang w:val="en-US" w:eastAsia="zh-CN"/>
        </w:rPr>
        <w:t>B.2.3 废弃物的比例</w:t>
      </w:r>
    </w:p>
    <w:tbl>
      <w:tblPr>
        <w:tblStyle w:val="18"/>
        <w:tblW w:w="5075"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871"/>
        <w:gridCol w:w="7863"/>
      </w:tblGrid>
      <w:tr w14:paraId="21BEECCF">
        <w:trPr>
          <w:trHeight w:val="57" w:hRule="atLeast"/>
        </w:trPr>
        <w:tc>
          <w:tcPr>
            <w:tcW w:w="961" w:type="pct"/>
            <w:vAlign w:val="top"/>
          </w:tcPr>
          <w:p w14:paraId="7020557C">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数据/参数</w:t>
            </w:r>
          </w:p>
        </w:tc>
        <w:tc>
          <w:tcPr>
            <w:tcW w:w="4038" w:type="pct"/>
            <w:vAlign w:val="top"/>
          </w:tcPr>
          <w:p w14:paraId="623655AD">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eastAsia="en-US"/>
              </w:rPr>
              <w:t>W</w:t>
            </w:r>
            <w:r>
              <w:rPr>
                <w:rFonts w:hint="default" w:ascii="Times New Roman" w:hAnsi="Times New Roman" w:cs="Times New Roman"/>
                <w:spacing w:val="-1"/>
                <w:vertAlign w:val="subscript"/>
                <w:lang w:eastAsia="en-US"/>
              </w:rPr>
              <w:t>i,y</w:t>
            </w:r>
          </w:p>
        </w:tc>
      </w:tr>
      <w:tr w14:paraId="2B274880">
        <w:trPr>
          <w:trHeight w:val="282" w:hRule="atLeast"/>
        </w:trPr>
        <w:tc>
          <w:tcPr>
            <w:tcW w:w="961" w:type="pct"/>
            <w:vAlign w:val="top"/>
          </w:tcPr>
          <w:p w14:paraId="39236F97">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单位</w:t>
            </w:r>
          </w:p>
        </w:tc>
        <w:tc>
          <w:tcPr>
            <w:tcW w:w="4038" w:type="pct"/>
            <w:vAlign w:val="top"/>
          </w:tcPr>
          <w:p w14:paraId="5469044D">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val="en-US" w:eastAsia="zh-CN"/>
              </w:rPr>
              <w:t>t（吨）</w:t>
            </w:r>
          </w:p>
        </w:tc>
      </w:tr>
      <w:tr w14:paraId="7EB408C9">
        <w:trPr>
          <w:trHeight w:val="57" w:hRule="atLeast"/>
        </w:trPr>
        <w:tc>
          <w:tcPr>
            <w:tcW w:w="961" w:type="pct"/>
            <w:vAlign w:val="top"/>
          </w:tcPr>
          <w:p w14:paraId="67B6F800">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描述</w:t>
            </w:r>
          </w:p>
        </w:tc>
        <w:tc>
          <w:tcPr>
            <w:tcW w:w="4038" w:type="pct"/>
            <w:vAlign w:val="top"/>
          </w:tcPr>
          <w:p w14:paraId="660AABF4">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val="en-US" w:eastAsia="en-US"/>
              </w:rPr>
              <w:t>第y年i类废弃物的比例</w:t>
            </w:r>
          </w:p>
        </w:tc>
      </w:tr>
      <w:tr w14:paraId="2B26DCB0">
        <w:trPr>
          <w:trHeight w:val="57" w:hRule="atLeast"/>
        </w:trPr>
        <w:tc>
          <w:tcPr>
            <w:tcW w:w="961" w:type="pct"/>
            <w:vAlign w:val="top"/>
          </w:tcPr>
          <w:p w14:paraId="5F97ACC3">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数据来源</w:t>
            </w:r>
          </w:p>
        </w:tc>
        <w:tc>
          <w:tcPr>
            <w:tcW w:w="4038" w:type="pct"/>
            <w:vAlign w:val="top"/>
          </w:tcPr>
          <w:p w14:paraId="472A0E64">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垃圾焚烧厂</w:t>
            </w:r>
          </w:p>
        </w:tc>
      </w:tr>
      <w:tr w14:paraId="5F3A9504">
        <w:trPr>
          <w:trHeight w:val="57" w:hRule="atLeast"/>
        </w:trPr>
        <w:tc>
          <w:tcPr>
            <w:tcW w:w="961" w:type="pct"/>
            <w:vAlign w:val="top"/>
          </w:tcPr>
          <w:p w14:paraId="22447797">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测量程序</w:t>
            </w:r>
          </w:p>
        </w:tc>
        <w:tc>
          <w:tcPr>
            <w:tcW w:w="4038" w:type="pct"/>
            <w:vAlign w:val="top"/>
          </w:tcPr>
          <w:p w14:paraId="21A8D882">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1.全量分选称重：处理厂分选线对各组分（厨余、塑料、纸张等）单独称重并累计。</w:t>
            </w:r>
          </w:p>
          <w:p w14:paraId="6B7DA2D7">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2.抽样检测：按5%比例随机抽取未分类垃圾，人工分拣后称重各组分。</w:t>
            </w:r>
          </w:p>
          <w:p w14:paraId="7C856A1B">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3.数据整合：分选线数据与抽样结果加权校正，计算年度组分占比。</w:t>
            </w:r>
          </w:p>
        </w:tc>
      </w:tr>
      <w:tr w14:paraId="7950F00D">
        <w:trPr>
          <w:trHeight w:val="57" w:hRule="atLeast"/>
        </w:trPr>
        <w:tc>
          <w:tcPr>
            <w:tcW w:w="961" w:type="pct"/>
            <w:vAlign w:val="top"/>
          </w:tcPr>
          <w:p w14:paraId="0D78F53A">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监测频率</w:t>
            </w:r>
          </w:p>
        </w:tc>
        <w:tc>
          <w:tcPr>
            <w:tcW w:w="4038" w:type="pct"/>
            <w:vAlign w:val="top"/>
          </w:tcPr>
          <w:p w14:paraId="454E039F">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val="en-US" w:eastAsia="en-US"/>
              </w:rPr>
              <w:t>连续监测，每日汇总各组分重量</w:t>
            </w:r>
          </w:p>
        </w:tc>
      </w:tr>
      <w:tr w14:paraId="795EEC69">
        <w:trPr>
          <w:trHeight w:val="57" w:hRule="atLeast"/>
        </w:trPr>
        <w:tc>
          <w:tcPr>
            <w:tcW w:w="961" w:type="pct"/>
            <w:vAlign w:val="top"/>
          </w:tcPr>
          <w:p w14:paraId="7184ED2B">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质量保证/质量控制程序</w:t>
            </w:r>
          </w:p>
        </w:tc>
        <w:tc>
          <w:tcPr>
            <w:tcW w:w="4038" w:type="pct"/>
            <w:vAlign w:val="top"/>
          </w:tcPr>
          <w:p w14:paraId="3F4C1940">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eastAsia="en-US"/>
              </w:rPr>
              <w:t>定期对称重设备进行校准维护，每日开机前零点校准。手持称重仪每月用标准砝码验证。保持分选线总重量与入场垃圾称重差异≤3%。抽样结果与分选数据偏差＞5%时启动数据复核。</w:t>
            </w:r>
          </w:p>
        </w:tc>
      </w:tr>
      <w:tr w14:paraId="7DF04708">
        <w:trPr>
          <w:trHeight w:val="57" w:hRule="atLeast"/>
        </w:trPr>
        <w:tc>
          <w:tcPr>
            <w:tcW w:w="961" w:type="pct"/>
            <w:vAlign w:val="top"/>
          </w:tcPr>
          <w:p w14:paraId="5FF1987B">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其他说明</w:t>
            </w:r>
          </w:p>
        </w:tc>
        <w:tc>
          <w:tcPr>
            <w:tcW w:w="4038" w:type="pct"/>
            <w:vAlign w:val="top"/>
          </w:tcPr>
          <w:p w14:paraId="0A5E8E6A">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val="en-US" w:eastAsia="zh-CN"/>
              </w:rPr>
              <w:t>无</w:t>
            </w:r>
          </w:p>
        </w:tc>
      </w:tr>
    </w:tbl>
    <w:p w14:paraId="1F5D2FE2">
      <w:pPr>
        <w:keepNext w:val="0"/>
        <w:keepLines w:val="0"/>
        <w:pageBreakBefore w:val="0"/>
        <w:widowControl w:val="0"/>
        <w:kinsoku w:val="0"/>
        <w:wordWrap/>
        <w:overflowPunct/>
        <w:topLinePunct w:val="0"/>
        <w:autoSpaceDE w:val="0"/>
        <w:autoSpaceDN w:val="0"/>
        <w:bidi w:val="0"/>
        <w:adjustRightInd w:val="0"/>
        <w:snapToGrid w:val="0"/>
        <w:spacing w:before="157" w:beforeLines="50" w:after="157" w:afterLines="50" w:line="240" w:lineRule="auto"/>
        <w:ind w:left="0" w:right="0"/>
        <w:jc w:val="center"/>
        <w:textAlignment w:val="baseline"/>
        <w:rPr>
          <w:rFonts w:hint="default" w:ascii="黑体" w:hAnsi="黑体" w:eastAsia="黑体" w:cs="黑体"/>
          <w:b/>
          <w:bCs/>
          <w:snapToGrid w:val="0"/>
          <w:color w:val="000000"/>
          <w:spacing w:val="0"/>
          <w:kern w:val="0"/>
          <w:position w:val="0"/>
          <w:sz w:val="21"/>
          <w:szCs w:val="21"/>
          <w:lang w:eastAsia="en-US"/>
        </w:rPr>
      </w:pPr>
      <w:r>
        <w:rPr>
          <w:rFonts w:hint="default" w:ascii="黑体" w:hAnsi="黑体" w:eastAsia="黑体" w:cs="黑体"/>
          <w:b/>
          <w:bCs/>
          <w:snapToGrid w:val="0"/>
          <w:color w:val="000000"/>
          <w:spacing w:val="0"/>
          <w:kern w:val="0"/>
          <w:position w:val="0"/>
          <w:sz w:val="21"/>
          <w:szCs w:val="21"/>
          <w:lang w:eastAsia="en-US"/>
        </w:rPr>
        <w:t>表</w:t>
      </w:r>
      <w:r>
        <w:rPr>
          <w:rFonts w:hint="default" w:ascii="黑体" w:hAnsi="黑体" w:eastAsia="黑体" w:cs="黑体"/>
          <w:b/>
          <w:bCs/>
          <w:snapToGrid w:val="0"/>
          <w:color w:val="000000"/>
          <w:spacing w:val="0"/>
          <w:kern w:val="0"/>
          <w:position w:val="0"/>
          <w:sz w:val="21"/>
          <w:szCs w:val="21"/>
          <w:lang w:val="en-US" w:eastAsia="zh-CN"/>
        </w:rPr>
        <w:t>B.2.4 生活垃圾组分的重量</w:t>
      </w:r>
    </w:p>
    <w:tbl>
      <w:tblPr>
        <w:tblStyle w:val="18"/>
        <w:tblW w:w="5075"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871"/>
        <w:gridCol w:w="7863"/>
      </w:tblGrid>
      <w:tr w14:paraId="3A375C69">
        <w:trPr>
          <w:trHeight w:val="57" w:hRule="atLeast"/>
        </w:trPr>
        <w:tc>
          <w:tcPr>
            <w:tcW w:w="961" w:type="pct"/>
            <w:vAlign w:val="top"/>
          </w:tcPr>
          <w:p w14:paraId="136AB74D">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数据/参数</w:t>
            </w:r>
          </w:p>
        </w:tc>
        <w:tc>
          <w:tcPr>
            <w:tcW w:w="4038" w:type="pct"/>
            <w:vAlign w:val="top"/>
          </w:tcPr>
          <w:p w14:paraId="51EA7E67">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eastAsia="en-US"/>
              </w:rPr>
              <w:t>IW</w:t>
            </w:r>
            <w:r>
              <w:rPr>
                <w:rFonts w:hint="default" w:ascii="Times New Roman" w:hAnsi="Times New Roman" w:cs="Times New Roman"/>
                <w:spacing w:val="-1"/>
                <w:vertAlign w:val="subscript"/>
                <w:lang w:eastAsia="en-US"/>
              </w:rPr>
              <w:t>i,y</w:t>
            </w:r>
          </w:p>
        </w:tc>
      </w:tr>
      <w:tr w14:paraId="29AB31DC">
        <w:trPr>
          <w:trHeight w:val="57" w:hRule="atLeast"/>
        </w:trPr>
        <w:tc>
          <w:tcPr>
            <w:tcW w:w="961" w:type="pct"/>
            <w:vAlign w:val="top"/>
          </w:tcPr>
          <w:p w14:paraId="5E1F0E19">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单位</w:t>
            </w:r>
          </w:p>
        </w:tc>
        <w:tc>
          <w:tcPr>
            <w:tcW w:w="4038" w:type="pct"/>
            <w:vAlign w:val="top"/>
          </w:tcPr>
          <w:p w14:paraId="71837A47">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val="en-US" w:eastAsia="zh-CN"/>
              </w:rPr>
              <w:t>t（吨）</w:t>
            </w:r>
          </w:p>
        </w:tc>
      </w:tr>
      <w:tr w14:paraId="2C5ECDBA">
        <w:trPr>
          <w:trHeight w:val="57" w:hRule="atLeast"/>
        </w:trPr>
        <w:tc>
          <w:tcPr>
            <w:tcW w:w="961" w:type="pct"/>
            <w:vAlign w:val="top"/>
          </w:tcPr>
          <w:p w14:paraId="3EEA2243">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描述</w:t>
            </w:r>
          </w:p>
        </w:tc>
        <w:tc>
          <w:tcPr>
            <w:tcW w:w="4038" w:type="pct"/>
            <w:vAlign w:val="top"/>
          </w:tcPr>
          <w:p w14:paraId="238A364C">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val="en-US" w:eastAsia="en-US"/>
              </w:rPr>
              <w:t>第y年生活垃圾中组分i的重量</w:t>
            </w:r>
          </w:p>
        </w:tc>
      </w:tr>
      <w:tr w14:paraId="2015B80A">
        <w:trPr>
          <w:trHeight w:val="57" w:hRule="atLeast"/>
        </w:trPr>
        <w:tc>
          <w:tcPr>
            <w:tcW w:w="961" w:type="pct"/>
            <w:vAlign w:val="top"/>
          </w:tcPr>
          <w:p w14:paraId="466B03E8">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数据来源</w:t>
            </w:r>
          </w:p>
        </w:tc>
        <w:tc>
          <w:tcPr>
            <w:tcW w:w="4038" w:type="pct"/>
            <w:vAlign w:val="top"/>
          </w:tcPr>
          <w:p w14:paraId="775FD227">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垃圾焚烧厂</w:t>
            </w:r>
          </w:p>
        </w:tc>
      </w:tr>
      <w:tr w14:paraId="2A8DAC3A">
        <w:trPr>
          <w:trHeight w:val="57" w:hRule="atLeast"/>
        </w:trPr>
        <w:tc>
          <w:tcPr>
            <w:tcW w:w="961" w:type="pct"/>
            <w:vAlign w:val="top"/>
          </w:tcPr>
          <w:p w14:paraId="30CEB08B">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测量程序</w:t>
            </w:r>
          </w:p>
        </w:tc>
        <w:tc>
          <w:tcPr>
            <w:tcW w:w="4038" w:type="pct"/>
            <w:vAlign w:val="top"/>
          </w:tcPr>
          <w:p w14:paraId="2A541104">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1.全量分选称重：处理厂分选线对各组分（厨余、塑料、纸张等）单独称重并累计。</w:t>
            </w:r>
          </w:p>
          <w:p w14:paraId="31D89273">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2.抽样检测：按5%比例随机抽取未分类垃圾，人工分拣后称重各组分。</w:t>
            </w:r>
          </w:p>
          <w:p w14:paraId="5B46C0E6">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3.数据整合：分选线数据与抽样结果加权校正，计算年度组分占比。</w:t>
            </w:r>
          </w:p>
        </w:tc>
      </w:tr>
      <w:tr w14:paraId="4CB6CF3D">
        <w:trPr>
          <w:trHeight w:val="57" w:hRule="atLeast"/>
        </w:trPr>
        <w:tc>
          <w:tcPr>
            <w:tcW w:w="961" w:type="pct"/>
            <w:vAlign w:val="top"/>
          </w:tcPr>
          <w:p w14:paraId="740EC13E">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监测频率</w:t>
            </w:r>
          </w:p>
        </w:tc>
        <w:tc>
          <w:tcPr>
            <w:tcW w:w="4038" w:type="pct"/>
            <w:vAlign w:val="top"/>
          </w:tcPr>
          <w:p w14:paraId="577E5B4E">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val="en-US" w:eastAsia="en-US"/>
              </w:rPr>
              <w:t>连续监测，每日汇总各组分重量</w:t>
            </w:r>
          </w:p>
        </w:tc>
      </w:tr>
      <w:tr w14:paraId="45471FC9">
        <w:trPr>
          <w:trHeight w:val="57" w:hRule="atLeast"/>
        </w:trPr>
        <w:tc>
          <w:tcPr>
            <w:tcW w:w="961" w:type="pct"/>
            <w:vAlign w:val="top"/>
          </w:tcPr>
          <w:p w14:paraId="490FF9B8">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质量保证/质量控制程序</w:t>
            </w:r>
          </w:p>
        </w:tc>
        <w:tc>
          <w:tcPr>
            <w:tcW w:w="4038" w:type="pct"/>
            <w:vAlign w:val="top"/>
          </w:tcPr>
          <w:p w14:paraId="33EB2E60">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eastAsia="en-US"/>
              </w:rPr>
              <w:t>定期对称重设备进行校准维护，每日开机前零点校准。手持称重仪每月用标准砝码验证。保持分选线总重量与入场垃圾称重差异≤3%。抽样结果与分选数据偏差＞5%时启动数据复核。</w:t>
            </w:r>
          </w:p>
        </w:tc>
      </w:tr>
      <w:tr w14:paraId="74BD9A4C">
        <w:trPr>
          <w:trHeight w:val="57" w:hRule="atLeast"/>
        </w:trPr>
        <w:tc>
          <w:tcPr>
            <w:tcW w:w="961" w:type="pct"/>
            <w:vAlign w:val="top"/>
          </w:tcPr>
          <w:p w14:paraId="70202A20">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其他说明</w:t>
            </w:r>
          </w:p>
        </w:tc>
        <w:tc>
          <w:tcPr>
            <w:tcW w:w="4038" w:type="pct"/>
            <w:vAlign w:val="top"/>
          </w:tcPr>
          <w:p w14:paraId="0C28E4BC">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val="en-US" w:eastAsia="zh-CN"/>
              </w:rPr>
              <w:t>无</w:t>
            </w:r>
          </w:p>
        </w:tc>
      </w:tr>
    </w:tbl>
    <w:p w14:paraId="4794A1CB">
      <w:pPr>
        <w:keepNext w:val="0"/>
        <w:keepLines w:val="0"/>
        <w:pageBreakBefore w:val="0"/>
        <w:widowControl w:val="0"/>
        <w:kinsoku w:val="0"/>
        <w:wordWrap/>
        <w:overflowPunct/>
        <w:topLinePunct w:val="0"/>
        <w:autoSpaceDE w:val="0"/>
        <w:autoSpaceDN w:val="0"/>
        <w:bidi w:val="0"/>
        <w:adjustRightInd w:val="0"/>
        <w:snapToGrid w:val="0"/>
        <w:spacing w:before="157" w:beforeLines="50" w:after="157" w:afterLines="50" w:line="240" w:lineRule="auto"/>
        <w:ind w:left="0" w:right="0"/>
        <w:jc w:val="center"/>
        <w:textAlignment w:val="baseline"/>
        <w:rPr>
          <w:rFonts w:hint="default" w:ascii="黑体" w:hAnsi="黑体" w:eastAsia="黑体" w:cs="黑体"/>
          <w:b/>
          <w:bCs/>
          <w:snapToGrid w:val="0"/>
          <w:color w:val="000000"/>
          <w:spacing w:val="0"/>
          <w:kern w:val="0"/>
          <w:position w:val="0"/>
          <w:sz w:val="21"/>
          <w:szCs w:val="21"/>
          <w:lang w:eastAsia="en-US"/>
        </w:rPr>
      </w:pPr>
      <w:r>
        <w:rPr>
          <w:rFonts w:hint="default" w:ascii="黑体" w:hAnsi="黑体" w:eastAsia="黑体" w:cs="黑体"/>
          <w:b/>
          <w:bCs/>
          <w:snapToGrid w:val="0"/>
          <w:color w:val="000000"/>
          <w:spacing w:val="0"/>
          <w:kern w:val="0"/>
          <w:position w:val="0"/>
          <w:sz w:val="21"/>
          <w:szCs w:val="21"/>
          <w:lang w:eastAsia="en-US"/>
        </w:rPr>
        <w:t>表</w:t>
      </w:r>
      <w:r>
        <w:rPr>
          <w:rFonts w:hint="default" w:ascii="黑体" w:hAnsi="黑体" w:eastAsia="黑体" w:cs="黑体"/>
          <w:b/>
          <w:bCs/>
          <w:snapToGrid w:val="0"/>
          <w:color w:val="000000"/>
          <w:spacing w:val="0"/>
          <w:kern w:val="0"/>
          <w:position w:val="0"/>
          <w:sz w:val="21"/>
          <w:szCs w:val="21"/>
          <w:lang w:val="en-US" w:eastAsia="zh-CN"/>
        </w:rPr>
        <w:t>B.2.5 厌氧消化收集的沼气量</w:t>
      </w:r>
    </w:p>
    <w:tbl>
      <w:tblPr>
        <w:tblStyle w:val="18"/>
        <w:tblW w:w="5059"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871"/>
        <w:gridCol w:w="7832"/>
      </w:tblGrid>
      <w:tr w14:paraId="7AF9D137">
        <w:trPr>
          <w:trHeight w:val="57" w:hRule="atLeast"/>
        </w:trPr>
        <w:tc>
          <w:tcPr>
            <w:tcW w:w="964" w:type="pct"/>
            <w:vAlign w:val="top"/>
          </w:tcPr>
          <w:p w14:paraId="158AA760">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数据/参数</w:t>
            </w:r>
          </w:p>
        </w:tc>
        <w:tc>
          <w:tcPr>
            <w:tcW w:w="4035" w:type="pct"/>
            <w:vAlign w:val="top"/>
          </w:tcPr>
          <w:p w14:paraId="4766822B">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eastAsia="en-US"/>
              </w:rPr>
              <w:t>V</w:t>
            </w:r>
            <w:r>
              <w:rPr>
                <w:rFonts w:hint="default" w:ascii="Times New Roman" w:hAnsi="Times New Roman" w:cs="Times New Roman"/>
                <w:spacing w:val="-1"/>
                <w:vertAlign w:val="subscript"/>
                <w:lang w:eastAsia="en-US"/>
              </w:rPr>
              <w:t>AD,BGS,y</w:t>
            </w:r>
          </w:p>
        </w:tc>
      </w:tr>
      <w:tr w14:paraId="0C1378D9">
        <w:trPr>
          <w:trHeight w:val="57" w:hRule="atLeast"/>
        </w:trPr>
        <w:tc>
          <w:tcPr>
            <w:tcW w:w="964" w:type="pct"/>
            <w:vAlign w:val="top"/>
          </w:tcPr>
          <w:p w14:paraId="05B71F58">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单位</w:t>
            </w:r>
          </w:p>
        </w:tc>
        <w:tc>
          <w:tcPr>
            <w:tcW w:w="4035" w:type="pct"/>
            <w:vAlign w:val="top"/>
          </w:tcPr>
          <w:p w14:paraId="70E069F9">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lang w:val="en-US" w:eastAsia="zh-CN"/>
              </w:rPr>
              <w:t>m</w:t>
            </w:r>
            <w:r>
              <w:rPr>
                <w:rFonts w:hint="default" w:ascii="Times New Roman" w:hAnsi="Times New Roman" w:eastAsia="微软雅黑" w:cs="Times New Roman"/>
                <w:lang w:val="en-US" w:eastAsia="zh-CN"/>
              </w:rPr>
              <w:t>³</w:t>
            </w:r>
            <w:r>
              <w:rPr>
                <w:rFonts w:hint="default" w:ascii="Times New Roman" w:hAnsi="Times New Roman" w:cs="Times New Roman"/>
                <w:spacing w:val="-1"/>
                <w:lang w:val="en-US" w:eastAsia="zh-CN"/>
              </w:rPr>
              <w:t>（立方米）</w:t>
            </w:r>
          </w:p>
        </w:tc>
      </w:tr>
      <w:tr w14:paraId="2CF14A85">
        <w:trPr>
          <w:trHeight w:val="282" w:hRule="atLeast"/>
        </w:trPr>
        <w:tc>
          <w:tcPr>
            <w:tcW w:w="964" w:type="pct"/>
            <w:vAlign w:val="top"/>
          </w:tcPr>
          <w:p w14:paraId="733E8A5A">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描述</w:t>
            </w:r>
          </w:p>
        </w:tc>
        <w:tc>
          <w:tcPr>
            <w:tcW w:w="4035" w:type="pct"/>
            <w:vAlign w:val="top"/>
          </w:tcPr>
          <w:p w14:paraId="0A1DA048">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val="en-US" w:eastAsia="en-US"/>
              </w:rPr>
              <w:t>第y年厌氧消化收集的沼气量</w:t>
            </w:r>
          </w:p>
        </w:tc>
      </w:tr>
      <w:tr w14:paraId="7DE8B888">
        <w:trPr>
          <w:trHeight w:val="57" w:hRule="atLeast"/>
        </w:trPr>
        <w:tc>
          <w:tcPr>
            <w:tcW w:w="964" w:type="pct"/>
            <w:vAlign w:val="top"/>
          </w:tcPr>
          <w:p w14:paraId="5F6FBA81">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数据来源</w:t>
            </w:r>
          </w:p>
        </w:tc>
        <w:tc>
          <w:tcPr>
            <w:tcW w:w="4035" w:type="pct"/>
            <w:vAlign w:val="top"/>
          </w:tcPr>
          <w:p w14:paraId="690B6539">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厌氧消化厂</w:t>
            </w:r>
          </w:p>
        </w:tc>
      </w:tr>
      <w:tr w14:paraId="565EC215">
        <w:trPr>
          <w:trHeight w:val="57" w:hRule="atLeast"/>
        </w:trPr>
        <w:tc>
          <w:tcPr>
            <w:tcW w:w="964" w:type="pct"/>
            <w:vAlign w:val="top"/>
          </w:tcPr>
          <w:p w14:paraId="539393C9">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测量程序</w:t>
            </w:r>
          </w:p>
        </w:tc>
        <w:tc>
          <w:tcPr>
            <w:tcW w:w="4035" w:type="pct"/>
            <w:vAlign w:val="top"/>
          </w:tcPr>
          <w:p w14:paraId="533DF563">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1.消化罐出口：在沼气输出主管道安装流量计及浓度传感器。</w:t>
            </w:r>
          </w:p>
          <w:p w14:paraId="22A26F57">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2.净化系统前后：监测脱硫、脱水等处理前后的沼气成分变化。</w:t>
            </w:r>
          </w:p>
          <w:p w14:paraId="34D4B305">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3.储气罐入口：记录储存前沼气总量及压力参数。</w:t>
            </w:r>
          </w:p>
        </w:tc>
      </w:tr>
      <w:tr w14:paraId="4094C2A6">
        <w:trPr>
          <w:trHeight w:val="57" w:hRule="atLeast"/>
        </w:trPr>
        <w:tc>
          <w:tcPr>
            <w:tcW w:w="964" w:type="pct"/>
            <w:vAlign w:val="top"/>
          </w:tcPr>
          <w:p w14:paraId="183F740B">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监测频率</w:t>
            </w:r>
          </w:p>
        </w:tc>
        <w:tc>
          <w:tcPr>
            <w:tcW w:w="4035" w:type="pct"/>
            <w:vAlign w:val="top"/>
          </w:tcPr>
          <w:p w14:paraId="485A6DEB">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val="en-US" w:eastAsia="en-US"/>
              </w:rPr>
              <w:t>连续监测，每日记录一次</w:t>
            </w:r>
          </w:p>
        </w:tc>
      </w:tr>
      <w:tr w14:paraId="19853CC6">
        <w:trPr>
          <w:trHeight w:val="57" w:hRule="atLeast"/>
        </w:trPr>
        <w:tc>
          <w:tcPr>
            <w:tcW w:w="964" w:type="pct"/>
            <w:vAlign w:val="top"/>
          </w:tcPr>
          <w:p w14:paraId="2EB5E747">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质量保证/质量控制程序</w:t>
            </w:r>
          </w:p>
        </w:tc>
        <w:tc>
          <w:tcPr>
            <w:tcW w:w="4035" w:type="pct"/>
            <w:vAlign w:val="top"/>
          </w:tcPr>
          <w:p w14:paraId="0B2A0B32">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eastAsia="en-US"/>
              </w:rPr>
              <w:t>定期对流量计进行校准维护，每月进行零点校准。浓度传感器每季度用标准气体（如50%CH₄）校准。保持在线数据与手动抽样数据差异≤±3%。</w:t>
            </w:r>
          </w:p>
        </w:tc>
      </w:tr>
      <w:tr w14:paraId="17470016">
        <w:trPr>
          <w:trHeight w:val="57" w:hRule="atLeast"/>
        </w:trPr>
        <w:tc>
          <w:tcPr>
            <w:tcW w:w="964" w:type="pct"/>
            <w:vAlign w:val="top"/>
          </w:tcPr>
          <w:p w14:paraId="711FE8CD">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其他说明</w:t>
            </w:r>
          </w:p>
        </w:tc>
        <w:tc>
          <w:tcPr>
            <w:tcW w:w="4035" w:type="pct"/>
            <w:vAlign w:val="top"/>
          </w:tcPr>
          <w:p w14:paraId="180BE681">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val="en-US" w:eastAsia="zh-CN"/>
              </w:rPr>
              <w:t>无</w:t>
            </w:r>
          </w:p>
        </w:tc>
      </w:tr>
    </w:tbl>
    <w:p w14:paraId="38331D64">
      <w:pPr>
        <w:keepNext w:val="0"/>
        <w:keepLines w:val="0"/>
        <w:pageBreakBefore w:val="0"/>
        <w:widowControl w:val="0"/>
        <w:kinsoku w:val="0"/>
        <w:wordWrap/>
        <w:overflowPunct/>
        <w:topLinePunct w:val="0"/>
        <w:autoSpaceDE w:val="0"/>
        <w:autoSpaceDN w:val="0"/>
        <w:bidi w:val="0"/>
        <w:adjustRightInd w:val="0"/>
        <w:snapToGrid w:val="0"/>
        <w:spacing w:before="157" w:beforeLines="50" w:after="157" w:afterLines="50" w:line="240" w:lineRule="auto"/>
        <w:ind w:left="0" w:right="0"/>
        <w:jc w:val="center"/>
        <w:textAlignment w:val="baseline"/>
        <w:rPr>
          <w:rFonts w:hint="default" w:ascii="黑体" w:hAnsi="黑体" w:eastAsia="黑体" w:cs="黑体"/>
          <w:b/>
          <w:bCs/>
          <w:snapToGrid w:val="0"/>
          <w:color w:val="000000"/>
          <w:spacing w:val="0"/>
          <w:kern w:val="0"/>
          <w:position w:val="0"/>
          <w:sz w:val="21"/>
          <w:szCs w:val="21"/>
          <w:lang w:eastAsia="en-US"/>
        </w:rPr>
      </w:pPr>
      <w:r>
        <w:rPr>
          <w:rFonts w:hint="default" w:ascii="黑体" w:hAnsi="黑体" w:eastAsia="黑体" w:cs="黑体"/>
          <w:b/>
          <w:bCs/>
          <w:snapToGrid w:val="0"/>
          <w:color w:val="000000"/>
          <w:spacing w:val="0"/>
          <w:kern w:val="0"/>
          <w:position w:val="0"/>
          <w:sz w:val="21"/>
          <w:szCs w:val="21"/>
          <w:lang w:eastAsia="en-US"/>
        </w:rPr>
        <w:t>表</w:t>
      </w:r>
      <w:r>
        <w:rPr>
          <w:rFonts w:hint="default" w:ascii="黑体" w:hAnsi="黑体" w:eastAsia="黑体" w:cs="黑体"/>
          <w:b/>
          <w:bCs/>
          <w:snapToGrid w:val="0"/>
          <w:color w:val="000000"/>
          <w:spacing w:val="0"/>
          <w:kern w:val="0"/>
          <w:position w:val="0"/>
          <w:sz w:val="21"/>
          <w:szCs w:val="21"/>
          <w:lang w:val="en-US" w:eastAsia="zh-CN"/>
        </w:rPr>
        <w:t>B.2.6 厌氧沼气发电上网替代电网的供电量</w:t>
      </w:r>
    </w:p>
    <w:tbl>
      <w:tblPr>
        <w:tblStyle w:val="18"/>
        <w:tblW w:w="9640"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871"/>
        <w:gridCol w:w="7769"/>
      </w:tblGrid>
      <w:tr w14:paraId="1E942C9D">
        <w:trPr>
          <w:trHeight w:val="57" w:hRule="atLeast"/>
        </w:trPr>
        <w:tc>
          <w:tcPr>
            <w:tcW w:w="1871" w:type="dxa"/>
            <w:vAlign w:val="top"/>
          </w:tcPr>
          <w:p w14:paraId="47F53E7F">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数据/参数</w:t>
            </w:r>
          </w:p>
        </w:tc>
        <w:tc>
          <w:tcPr>
            <w:tcW w:w="0" w:type="auto"/>
            <w:vAlign w:val="top"/>
          </w:tcPr>
          <w:p w14:paraId="3960BC1F">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eastAsia="en-US"/>
              </w:rPr>
              <w:t>EC</w:t>
            </w:r>
            <w:r>
              <w:rPr>
                <w:rFonts w:hint="default" w:ascii="Times New Roman" w:hAnsi="Times New Roman" w:cs="Times New Roman"/>
                <w:spacing w:val="-1"/>
                <w:vertAlign w:val="subscript"/>
                <w:lang w:eastAsia="en-US"/>
              </w:rPr>
              <w:t>AD,y</w:t>
            </w:r>
          </w:p>
        </w:tc>
      </w:tr>
      <w:tr w14:paraId="263C643E">
        <w:trPr>
          <w:trHeight w:val="57" w:hRule="atLeast"/>
        </w:trPr>
        <w:tc>
          <w:tcPr>
            <w:tcW w:w="1871" w:type="dxa"/>
            <w:vAlign w:val="top"/>
          </w:tcPr>
          <w:p w14:paraId="0A9E7B90">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单位</w:t>
            </w:r>
          </w:p>
        </w:tc>
        <w:tc>
          <w:tcPr>
            <w:tcW w:w="0" w:type="auto"/>
            <w:vAlign w:val="top"/>
          </w:tcPr>
          <w:p w14:paraId="78B256AC">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MWh</w:t>
            </w:r>
          </w:p>
        </w:tc>
      </w:tr>
      <w:tr w14:paraId="3EE39E5F">
        <w:trPr>
          <w:trHeight w:val="57" w:hRule="atLeast"/>
        </w:trPr>
        <w:tc>
          <w:tcPr>
            <w:tcW w:w="1871" w:type="dxa"/>
            <w:vAlign w:val="top"/>
          </w:tcPr>
          <w:p w14:paraId="5E893029">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描述</w:t>
            </w:r>
          </w:p>
        </w:tc>
        <w:tc>
          <w:tcPr>
            <w:tcW w:w="0" w:type="auto"/>
            <w:vAlign w:val="top"/>
          </w:tcPr>
          <w:p w14:paraId="7AF294AB">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val="en-US" w:eastAsia="en-US"/>
              </w:rPr>
              <w:t>第y年厌氧沼气发电上网替代电网的供电量</w:t>
            </w:r>
          </w:p>
        </w:tc>
      </w:tr>
      <w:tr w14:paraId="5A8B20E7">
        <w:trPr>
          <w:trHeight w:val="57" w:hRule="atLeast"/>
        </w:trPr>
        <w:tc>
          <w:tcPr>
            <w:tcW w:w="1871" w:type="dxa"/>
            <w:vAlign w:val="top"/>
          </w:tcPr>
          <w:p w14:paraId="0011E78B">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数据来源</w:t>
            </w:r>
          </w:p>
        </w:tc>
        <w:tc>
          <w:tcPr>
            <w:tcW w:w="0" w:type="auto"/>
            <w:vAlign w:val="top"/>
          </w:tcPr>
          <w:p w14:paraId="582B1174">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电能计量装置数据（双向电表）、电网公司结算单据</w:t>
            </w:r>
          </w:p>
        </w:tc>
      </w:tr>
      <w:tr w14:paraId="2F72F869">
        <w:trPr>
          <w:trHeight w:val="57" w:hRule="atLeast"/>
        </w:trPr>
        <w:tc>
          <w:tcPr>
            <w:tcW w:w="1871" w:type="dxa"/>
            <w:vAlign w:val="top"/>
          </w:tcPr>
          <w:p w14:paraId="584C949B">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测量程序</w:t>
            </w:r>
          </w:p>
        </w:tc>
        <w:tc>
          <w:tcPr>
            <w:tcW w:w="0" w:type="auto"/>
            <w:vAlign w:val="top"/>
          </w:tcPr>
          <w:p w14:paraId="4D60C11C">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en-US"/>
              </w:rPr>
              <w:t>连续在线监测，实时记录并网点上网电量</w:t>
            </w:r>
          </w:p>
        </w:tc>
      </w:tr>
      <w:tr w14:paraId="3DF4713F">
        <w:trPr>
          <w:trHeight w:val="57" w:hRule="atLeast"/>
        </w:trPr>
        <w:tc>
          <w:tcPr>
            <w:tcW w:w="1871" w:type="dxa"/>
            <w:vAlign w:val="top"/>
          </w:tcPr>
          <w:p w14:paraId="19A3B80F">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监测频率</w:t>
            </w:r>
          </w:p>
        </w:tc>
        <w:tc>
          <w:tcPr>
            <w:tcW w:w="0" w:type="auto"/>
            <w:vAlign w:val="top"/>
          </w:tcPr>
          <w:p w14:paraId="6A724AD5">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eastAsia="en-US"/>
              </w:rPr>
              <w:t>连续监测，每月记录一次</w:t>
            </w:r>
          </w:p>
        </w:tc>
      </w:tr>
      <w:tr w14:paraId="01E25913">
        <w:trPr>
          <w:trHeight w:val="57" w:hRule="atLeast"/>
        </w:trPr>
        <w:tc>
          <w:tcPr>
            <w:tcW w:w="1871" w:type="dxa"/>
            <w:vAlign w:val="top"/>
          </w:tcPr>
          <w:p w14:paraId="054D942E">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质量保证/质量控制程序</w:t>
            </w:r>
          </w:p>
        </w:tc>
        <w:tc>
          <w:tcPr>
            <w:tcW w:w="0" w:type="auto"/>
            <w:vAlign w:val="top"/>
          </w:tcPr>
          <w:p w14:paraId="27130FEC">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eastAsia="en-US"/>
              </w:rPr>
              <w:t>定期对电能表进行校准维护，将监测数据与电网公司结算单据进行比对，保证数据准确性和完整性。</w:t>
            </w:r>
          </w:p>
        </w:tc>
      </w:tr>
      <w:tr w14:paraId="408E1639">
        <w:trPr>
          <w:trHeight w:val="57" w:hRule="atLeast"/>
        </w:trPr>
        <w:tc>
          <w:tcPr>
            <w:tcW w:w="1871" w:type="dxa"/>
            <w:vAlign w:val="top"/>
          </w:tcPr>
          <w:p w14:paraId="644CF8A5">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其他说明</w:t>
            </w:r>
          </w:p>
        </w:tc>
        <w:tc>
          <w:tcPr>
            <w:tcW w:w="0" w:type="auto"/>
            <w:vAlign w:val="top"/>
          </w:tcPr>
          <w:p w14:paraId="67863606">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val="en-US" w:eastAsia="zh-CN"/>
              </w:rPr>
              <w:t>无</w:t>
            </w:r>
          </w:p>
        </w:tc>
      </w:tr>
    </w:tbl>
    <w:p w14:paraId="1BD0357A">
      <w:pPr>
        <w:keepNext w:val="0"/>
        <w:keepLines w:val="0"/>
        <w:pageBreakBefore w:val="0"/>
        <w:widowControl w:val="0"/>
        <w:kinsoku w:val="0"/>
        <w:wordWrap/>
        <w:overflowPunct/>
        <w:topLinePunct w:val="0"/>
        <w:autoSpaceDE w:val="0"/>
        <w:autoSpaceDN w:val="0"/>
        <w:bidi w:val="0"/>
        <w:adjustRightInd w:val="0"/>
        <w:snapToGrid w:val="0"/>
        <w:spacing w:before="157" w:beforeLines="50" w:after="157" w:afterLines="50" w:line="240" w:lineRule="auto"/>
        <w:ind w:left="0" w:right="0"/>
        <w:jc w:val="center"/>
        <w:textAlignment w:val="baseline"/>
        <w:rPr>
          <w:rFonts w:hint="default" w:ascii="黑体" w:hAnsi="黑体" w:eastAsia="黑体" w:cs="黑体"/>
          <w:b/>
          <w:bCs/>
          <w:snapToGrid w:val="0"/>
          <w:color w:val="000000"/>
          <w:spacing w:val="0"/>
          <w:kern w:val="0"/>
          <w:position w:val="0"/>
          <w:sz w:val="21"/>
          <w:szCs w:val="21"/>
          <w:lang w:eastAsia="en-US"/>
        </w:rPr>
      </w:pPr>
      <w:r>
        <w:rPr>
          <w:rFonts w:hint="default" w:ascii="黑体" w:hAnsi="黑体" w:eastAsia="黑体" w:cs="黑体"/>
          <w:b/>
          <w:bCs/>
          <w:snapToGrid w:val="0"/>
          <w:color w:val="000000"/>
          <w:spacing w:val="0"/>
          <w:kern w:val="0"/>
          <w:position w:val="0"/>
          <w:sz w:val="21"/>
          <w:szCs w:val="21"/>
          <w:lang w:eastAsia="en-US"/>
        </w:rPr>
        <w:t>表</w:t>
      </w:r>
      <w:r>
        <w:rPr>
          <w:rFonts w:hint="default" w:ascii="黑体" w:hAnsi="黑体" w:eastAsia="黑体" w:cs="黑体"/>
          <w:b/>
          <w:bCs/>
          <w:snapToGrid w:val="0"/>
          <w:color w:val="000000"/>
          <w:spacing w:val="0"/>
          <w:kern w:val="0"/>
          <w:position w:val="0"/>
          <w:sz w:val="21"/>
          <w:szCs w:val="21"/>
          <w:lang w:val="en-US" w:eastAsia="zh-CN"/>
        </w:rPr>
        <w:t>B.2.7 有害垃圾处理量</w:t>
      </w:r>
    </w:p>
    <w:tbl>
      <w:tblPr>
        <w:tblStyle w:val="18"/>
        <w:tblW w:w="972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871"/>
        <w:gridCol w:w="7850"/>
      </w:tblGrid>
      <w:tr w14:paraId="3263B7C8">
        <w:trPr>
          <w:trHeight w:val="57" w:hRule="atLeast"/>
        </w:trPr>
        <w:tc>
          <w:tcPr>
            <w:tcW w:w="1871" w:type="dxa"/>
            <w:vAlign w:val="top"/>
          </w:tcPr>
          <w:p w14:paraId="2585CA5C">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数据/参数</w:t>
            </w:r>
          </w:p>
        </w:tc>
        <w:tc>
          <w:tcPr>
            <w:tcW w:w="0" w:type="auto"/>
            <w:vAlign w:val="top"/>
          </w:tcPr>
          <w:p w14:paraId="40C4C965">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eastAsia="en-US"/>
              </w:rPr>
              <w:t>M</w:t>
            </w:r>
            <w:r>
              <w:rPr>
                <w:rFonts w:hint="default" w:ascii="Times New Roman" w:hAnsi="Times New Roman" w:cs="Times New Roman"/>
                <w:spacing w:val="-1"/>
                <w:vertAlign w:val="subscript"/>
                <w:lang w:eastAsia="en-US"/>
              </w:rPr>
              <w:t>HW,y</w:t>
            </w:r>
          </w:p>
        </w:tc>
      </w:tr>
      <w:tr w14:paraId="3353AE76">
        <w:trPr>
          <w:trHeight w:val="57" w:hRule="atLeast"/>
        </w:trPr>
        <w:tc>
          <w:tcPr>
            <w:tcW w:w="1871" w:type="dxa"/>
            <w:vAlign w:val="top"/>
          </w:tcPr>
          <w:p w14:paraId="1FCABEEB">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单位</w:t>
            </w:r>
          </w:p>
        </w:tc>
        <w:tc>
          <w:tcPr>
            <w:tcW w:w="0" w:type="auto"/>
            <w:vAlign w:val="top"/>
          </w:tcPr>
          <w:p w14:paraId="1B945A38">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val="en-US" w:eastAsia="zh-CN"/>
              </w:rPr>
              <w:t>t（吨）</w:t>
            </w:r>
          </w:p>
        </w:tc>
      </w:tr>
      <w:tr w14:paraId="3B6B74CA">
        <w:trPr>
          <w:trHeight w:val="57" w:hRule="atLeast"/>
        </w:trPr>
        <w:tc>
          <w:tcPr>
            <w:tcW w:w="1871" w:type="dxa"/>
            <w:vAlign w:val="top"/>
          </w:tcPr>
          <w:p w14:paraId="576E46B6">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描述</w:t>
            </w:r>
          </w:p>
        </w:tc>
        <w:tc>
          <w:tcPr>
            <w:tcW w:w="0" w:type="auto"/>
            <w:vAlign w:val="top"/>
          </w:tcPr>
          <w:p w14:paraId="2BC6D8E2">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val="en-US" w:eastAsia="en-US"/>
              </w:rPr>
              <w:t>有害垃圾处理量</w:t>
            </w:r>
          </w:p>
        </w:tc>
      </w:tr>
      <w:tr w14:paraId="344D41B8">
        <w:trPr>
          <w:trHeight w:val="57" w:hRule="atLeast"/>
        </w:trPr>
        <w:tc>
          <w:tcPr>
            <w:tcW w:w="1871" w:type="dxa"/>
            <w:vAlign w:val="top"/>
          </w:tcPr>
          <w:p w14:paraId="4D9A4234">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数据来源</w:t>
            </w:r>
          </w:p>
        </w:tc>
        <w:tc>
          <w:tcPr>
            <w:tcW w:w="0" w:type="auto"/>
            <w:vAlign w:val="top"/>
          </w:tcPr>
          <w:p w14:paraId="749E0F93">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称重设备、危险废物转移联单</w:t>
            </w:r>
          </w:p>
        </w:tc>
      </w:tr>
      <w:tr w14:paraId="14A355B6">
        <w:trPr>
          <w:trHeight w:val="57" w:hRule="atLeast"/>
        </w:trPr>
        <w:tc>
          <w:tcPr>
            <w:tcW w:w="1871" w:type="dxa"/>
            <w:vAlign w:val="top"/>
          </w:tcPr>
          <w:p w14:paraId="5AD34E8B">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测量程序</w:t>
            </w:r>
          </w:p>
        </w:tc>
        <w:tc>
          <w:tcPr>
            <w:tcW w:w="0" w:type="auto"/>
            <w:vAlign w:val="top"/>
          </w:tcPr>
          <w:p w14:paraId="0016FDB3">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zh-CN"/>
              </w:rPr>
            </w:pPr>
            <w:r>
              <w:rPr>
                <w:rFonts w:hint="default" w:ascii="Times New Roman" w:hAnsi="Times New Roman" w:cs="Times New Roman"/>
                <w:spacing w:val="-1"/>
                <w:lang w:val="en-US" w:eastAsia="zh-CN"/>
              </w:rPr>
              <w:t>入场称重，逐车记录毛重、皮重，计算净重并与转移联单比对</w:t>
            </w:r>
          </w:p>
        </w:tc>
      </w:tr>
      <w:tr w14:paraId="265A7B7D">
        <w:trPr>
          <w:trHeight w:val="57" w:hRule="atLeast"/>
        </w:trPr>
        <w:tc>
          <w:tcPr>
            <w:tcW w:w="1871" w:type="dxa"/>
            <w:vAlign w:val="top"/>
          </w:tcPr>
          <w:p w14:paraId="2C10959C">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监测频率</w:t>
            </w:r>
          </w:p>
        </w:tc>
        <w:tc>
          <w:tcPr>
            <w:tcW w:w="0" w:type="auto"/>
            <w:vAlign w:val="top"/>
          </w:tcPr>
          <w:p w14:paraId="3F6C07A4">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val="en-US" w:eastAsia="en-US"/>
              </w:rPr>
            </w:pPr>
            <w:r>
              <w:rPr>
                <w:rFonts w:hint="default" w:ascii="Times New Roman" w:hAnsi="Times New Roman" w:cs="Times New Roman"/>
                <w:spacing w:val="-1"/>
                <w:lang w:val="en-US" w:eastAsia="en-US"/>
              </w:rPr>
              <w:t>连续监测，每月记录一次</w:t>
            </w:r>
          </w:p>
        </w:tc>
      </w:tr>
      <w:tr w14:paraId="7D780A58">
        <w:trPr>
          <w:trHeight w:val="57" w:hRule="atLeast"/>
        </w:trPr>
        <w:tc>
          <w:tcPr>
            <w:tcW w:w="1871" w:type="dxa"/>
            <w:vAlign w:val="top"/>
          </w:tcPr>
          <w:p w14:paraId="7B882EF9">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质量保证/质量控制程序</w:t>
            </w:r>
          </w:p>
        </w:tc>
        <w:tc>
          <w:tcPr>
            <w:tcW w:w="0" w:type="auto"/>
            <w:vAlign w:val="top"/>
          </w:tcPr>
          <w:p w14:paraId="72EDDB6F">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spacing w:val="-1"/>
                <w:lang w:eastAsia="en-US"/>
              </w:rPr>
            </w:pPr>
            <w:r>
              <w:rPr>
                <w:rFonts w:hint="default" w:ascii="Times New Roman" w:hAnsi="Times New Roman" w:cs="Times New Roman"/>
                <w:spacing w:val="-1"/>
                <w:lang w:eastAsia="en-US"/>
              </w:rPr>
              <w:t>定期维护对称重设备进行校准维护，将监测数据与危险废物转移联单进行比对，保证数据准确性和完整性。</w:t>
            </w:r>
          </w:p>
        </w:tc>
      </w:tr>
      <w:tr w14:paraId="1A563AD7">
        <w:trPr>
          <w:trHeight w:val="57" w:hRule="atLeast"/>
        </w:trPr>
        <w:tc>
          <w:tcPr>
            <w:tcW w:w="1871" w:type="dxa"/>
            <w:vAlign w:val="top"/>
          </w:tcPr>
          <w:p w14:paraId="5761D265">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cs="Times New Roman"/>
                <w:b/>
                <w:spacing w:val="-2"/>
                <w:lang w:val="en-US" w:eastAsia="en-US"/>
              </w:rPr>
            </w:pPr>
            <w:r>
              <w:rPr>
                <w:rFonts w:hint="default" w:ascii="Times New Roman" w:hAnsi="Times New Roman" w:cs="Times New Roman"/>
                <w:b/>
                <w:spacing w:val="-2"/>
                <w:lang w:val="en-US" w:eastAsia="en-US"/>
              </w:rPr>
              <w:t>其他说明</w:t>
            </w:r>
          </w:p>
        </w:tc>
        <w:tc>
          <w:tcPr>
            <w:tcW w:w="0" w:type="auto"/>
            <w:vAlign w:val="top"/>
          </w:tcPr>
          <w:p w14:paraId="70289AAA">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jc w:val="left"/>
              <w:textAlignment w:val="baseline"/>
              <w:rPr>
                <w:rFonts w:hint="default" w:ascii="Times New Roman" w:hAnsi="Times New Roman" w:eastAsia="宋体" w:cs="Times New Roman"/>
                <w:spacing w:val="-1"/>
                <w:lang w:val="en-US" w:eastAsia="zh-CN"/>
              </w:rPr>
            </w:pPr>
            <w:r>
              <w:rPr>
                <w:rFonts w:hint="default" w:ascii="Times New Roman" w:hAnsi="Times New Roman" w:cs="Times New Roman"/>
                <w:spacing w:val="-1"/>
                <w:lang w:val="en-US" w:eastAsia="zh-CN"/>
              </w:rPr>
              <w:t>无</w:t>
            </w:r>
          </w:p>
        </w:tc>
      </w:tr>
    </w:tbl>
    <w:p w14:paraId="3705A795">
      <w:pPr>
        <w:rPr>
          <w:rFonts w:hint="default" w:ascii="Times New Roman" w:hAnsi="Times New Roman" w:cs="Times New Roman"/>
          <w:sz w:val="21"/>
        </w:rPr>
      </w:pPr>
    </w:p>
    <w:p w14:paraId="0393DC28">
      <w:pPr>
        <w:rPr>
          <w:rFonts w:hint="default" w:ascii="Times New Roman" w:hAnsi="Times New Roman" w:eastAsia="Arial" w:cs="Times New Roman"/>
          <w:sz w:val="21"/>
          <w:szCs w:val="21"/>
        </w:rPr>
        <w:sectPr>
          <w:footerReference r:id="rId9" w:type="default"/>
          <w:pgSz w:w="11907" w:h="16839"/>
          <w:pgMar w:top="1716" w:right="1017" w:bottom="1340" w:left="1306" w:header="1391" w:footer="1106" w:gutter="0"/>
          <w:pgNumType w:fmt="decimal"/>
          <w:cols w:space="720" w:num="1"/>
        </w:sectPr>
      </w:pPr>
    </w:p>
    <w:p w14:paraId="68AA4AA5">
      <w:pPr>
        <w:pStyle w:val="2"/>
        <w:bidi w:val="0"/>
        <w:rPr>
          <w:rFonts w:hint="default"/>
          <w:lang w:val="en-US" w:eastAsia="zh-CN"/>
        </w:rPr>
      </w:pPr>
      <w:bookmarkStart w:id="90" w:name="bookmark11"/>
      <w:bookmarkEnd w:id="90"/>
      <w:bookmarkStart w:id="91" w:name="_Toc20332"/>
      <w:bookmarkStart w:id="92" w:name="_Toc21099"/>
      <w:r>
        <w:rPr>
          <w:rFonts w:hint="default"/>
          <w:lang w:val="en-US" w:eastAsia="zh-CN"/>
        </w:rPr>
        <w:t>附 录 C（规范性）固体废弃物成分DOC含量比例的推荐值</w:t>
      </w:r>
      <w:bookmarkEnd w:id="91"/>
      <w:bookmarkEnd w:id="92"/>
    </w:p>
    <w:p w14:paraId="30FB8E97">
      <w:pPr>
        <w:keepNext w:val="0"/>
        <w:keepLines w:val="0"/>
        <w:pageBreakBefore w:val="0"/>
        <w:widowControl w:val="0"/>
        <w:kinsoku w:val="0"/>
        <w:wordWrap/>
        <w:overflowPunct/>
        <w:topLinePunct w:val="0"/>
        <w:autoSpaceDE w:val="0"/>
        <w:autoSpaceDN w:val="0"/>
        <w:bidi w:val="0"/>
        <w:adjustRightInd w:val="0"/>
        <w:snapToGrid w:val="0"/>
        <w:spacing w:before="157" w:beforeLines="50" w:after="157" w:afterLines="50" w:line="240" w:lineRule="auto"/>
        <w:ind w:left="0" w:right="0"/>
        <w:jc w:val="center"/>
        <w:textAlignment w:val="baseline"/>
        <w:rPr>
          <w:rFonts w:hint="eastAsia" w:ascii="黑体" w:hAnsi="黑体" w:eastAsia="黑体" w:cs="黑体"/>
          <w:b/>
          <w:bCs/>
          <w:snapToGrid w:val="0"/>
          <w:color w:val="000000"/>
          <w:spacing w:val="0"/>
          <w:kern w:val="0"/>
          <w:position w:val="0"/>
          <w:sz w:val="21"/>
          <w:szCs w:val="21"/>
          <w:lang w:eastAsia="zh-CN"/>
        </w:rPr>
      </w:pPr>
      <w:r>
        <w:rPr>
          <w:rFonts w:hint="eastAsia" w:ascii="黑体" w:hAnsi="黑体" w:eastAsia="黑体" w:cs="黑体"/>
          <w:b/>
          <w:bCs/>
          <w:snapToGrid w:val="0"/>
          <w:color w:val="000000"/>
          <w:spacing w:val="0"/>
          <w:kern w:val="0"/>
          <w:position w:val="0"/>
          <w:sz w:val="21"/>
          <w:szCs w:val="21"/>
          <w:lang w:eastAsia="en-US"/>
        </w:rPr>
        <w:t xml:space="preserve">表 </w:t>
      </w:r>
      <w:r>
        <w:rPr>
          <w:rFonts w:hint="eastAsia" w:ascii="黑体" w:hAnsi="黑体" w:eastAsia="黑体" w:cs="黑体"/>
          <w:b/>
          <w:bCs/>
          <w:snapToGrid w:val="0"/>
          <w:color w:val="000000"/>
          <w:spacing w:val="0"/>
          <w:kern w:val="0"/>
          <w:position w:val="0"/>
          <w:sz w:val="21"/>
          <w:szCs w:val="21"/>
          <w:lang w:eastAsia="en-US"/>
        </w:rPr>
        <w:fldChar w:fldCharType="begin"/>
      </w:r>
      <w:r>
        <w:rPr>
          <w:rFonts w:hint="eastAsia" w:ascii="黑体" w:hAnsi="黑体" w:eastAsia="黑体" w:cs="黑体"/>
          <w:b/>
          <w:bCs/>
          <w:snapToGrid w:val="0"/>
          <w:color w:val="000000"/>
          <w:spacing w:val="0"/>
          <w:kern w:val="0"/>
          <w:position w:val="0"/>
          <w:sz w:val="21"/>
          <w:szCs w:val="21"/>
          <w:lang w:eastAsia="en-US"/>
        </w:rPr>
        <w:instrText xml:space="preserve"> SEQ 表 \* ARABIC </w:instrText>
      </w:r>
      <w:r>
        <w:rPr>
          <w:rFonts w:hint="eastAsia" w:ascii="黑体" w:hAnsi="黑体" w:eastAsia="黑体" w:cs="黑体"/>
          <w:b/>
          <w:bCs/>
          <w:snapToGrid w:val="0"/>
          <w:color w:val="000000"/>
          <w:spacing w:val="0"/>
          <w:kern w:val="0"/>
          <w:position w:val="0"/>
          <w:sz w:val="21"/>
          <w:szCs w:val="21"/>
          <w:lang w:eastAsia="en-US"/>
        </w:rPr>
        <w:fldChar w:fldCharType="separate"/>
      </w:r>
      <w:r>
        <w:rPr>
          <w:rFonts w:hint="eastAsia" w:ascii="黑体" w:hAnsi="黑体" w:eastAsia="黑体" w:cs="黑体"/>
          <w:b/>
          <w:bCs/>
          <w:snapToGrid w:val="0"/>
          <w:color w:val="000000"/>
          <w:spacing w:val="0"/>
          <w:kern w:val="0"/>
          <w:position w:val="0"/>
          <w:sz w:val="21"/>
          <w:szCs w:val="21"/>
          <w:lang w:eastAsia="en-US"/>
        </w:rPr>
        <w:t>1</w:t>
      </w:r>
      <w:r>
        <w:rPr>
          <w:rFonts w:hint="eastAsia" w:ascii="黑体" w:hAnsi="黑体" w:eastAsia="黑体" w:cs="黑体"/>
          <w:b/>
          <w:bCs/>
          <w:snapToGrid w:val="0"/>
          <w:color w:val="000000"/>
          <w:spacing w:val="0"/>
          <w:kern w:val="0"/>
          <w:position w:val="0"/>
          <w:sz w:val="21"/>
          <w:szCs w:val="21"/>
          <w:lang w:eastAsia="en-US"/>
        </w:rPr>
        <w:fldChar w:fldCharType="end"/>
      </w:r>
      <w:r>
        <w:rPr>
          <w:rFonts w:hint="eastAsia" w:ascii="黑体" w:hAnsi="黑体" w:eastAsia="黑体" w:cs="黑体"/>
          <w:b/>
          <w:bCs/>
          <w:snapToGrid w:val="0"/>
          <w:color w:val="000000"/>
          <w:spacing w:val="0"/>
          <w:kern w:val="0"/>
          <w:position w:val="0"/>
          <w:sz w:val="21"/>
          <w:szCs w:val="21"/>
          <w:lang w:eastAsia="zh-CN"/>
        </w:rPr>
        <w:t xml:space="preserve"> 固体废弃物成分DOC含量比例的推荐值</w:t>
      </w:r>
    </w:p>
    <w:tbl>
      <w:tblPr>
        <w:tblStyle w:val="14"/>
        <w:tblW w:w="8526" w:type="dxa"/>
        <w:tblInd w:w="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28"/>
        <w:gridCol w:w="2753"/>
        <w:gridCol w:w="2745"/>
      </w:tblGrid>
      <w:tr w14:paraId="79B8CEA1">
        <w:trPr>
          <w:trHeight w:val="0" w:hRule="atLeast"/>
          <w:tblHeader/>
        </w:trPr>
        <w:tc>
          <w:tcPr>
            <w:tcW w:w="3028" w:type="dxa"/>
            <w:vMerge w:val="restart"/>
            <w:vAlign w:val="center"/>
          </w:tcPr>
          <w:p w14:paraId="7D6E642C">
            <w:pPr>
              <w:pStyle w:val="20"/>
              <w:bidi w:val="0"/>
              <w:snapToGrid w:val="0"/>
              <w:ind w:left="0" w:leftChars="0" w:right="0" w:rightChars="0" w:firstLine="0" w:firstLineChars="0"/>
              <w:rPr>
                <w:rFonts w:hint="default" w:ascii="Times New Roman" w:hAnsi="Times New Roman" w:cs="Times New Roman"/>
                <w:b/>
                <w:lang w:val="en-US" w:eastAsia="zh-CN"/>
              </w:rPr>
            </w:pPr>
            <w:r>
              <w:rPr>
                <w:rFonts w:hint="default" w:ascii="Times New Roman" w:hAnsi="Times New Roman" w:cs="Times New Roman"/>
                <w:b/>
                <w:lang w:val="en-US" w:eastAsia="zh-CN"/>
              </w:rPr>
              <w:t>固体废弃物成分</w:t>
            </w:r>
          </w:p>
        </w:tc>
        <w:tc>
          <w:tcPr>
            <w:tcW w:w="2745" w:type="dxa"/>
            <w:gridSpan w:val="2"/>
            <w:vAlign w:val="center"/>
          </w:tcPr>
          <w:p w14:paraId="1D4E5D1A">
            <w:pPr>
              <w:pStyle w:val="20"/>
              <w:bidi w:val="0"/>
              <w:snapToGrid w:val="0"/>
              <w:ind w:left="0" w:leftChars="0" w:right="0" w:rightChars="0" w:firstLine="0" w:firstLineChars="0"/>
              <w:rPr>
                <w:rFonts w:hint="default" w:ascii="Times New Roman" w:hAnsi="Times New Roman" w:cs="Times New Roman"/>
                <w:b/>
              </w:rPr>
            </w:pPr>
            <w:r>
              <w:rPr>
                <w:rFonts w:hint="default" w:ascii="Times New Roman" w:hAnsi="Times New Roman" w:cs="Times New Roman"/>
                <w:b/>
                <w:lang w:val="en-US" w:eastAsia="zh-CN"/>
              </w:rPr>
              <w:t>DOC</w:t>
            </w:r>
            <w:r>
              <w:rPr>
                <w:rFonts w:hint="default" w:ascii="Times New Roman" w:hAnsi="Times New Roman" w:cs="Times New Roman"/>
                <w:b/>
                <w:vertAlign w:val="subscript"/>
                <w:lang w:val="en-US" w:eastAsia="zh-CN"/>
              </w:rPr>
              <w:t>i,y</w:t>
            </w:r>
            <w:r>
              <w:rPr>
                <w:rFonts w:hint="default" w:ascii="Times New Roman" w:hAnsi="Times New Roman" w:cs="Times New Roman"/>
                <w:b/>
                <w:lang w:val="en-US" w:eastAsia="zh-CN"/>
              </w:rPr>
              <w:t>含量占湿废弃物的比例（%）</w:t>
            </w:r>
          </w:p>
        </w:tc>
      </w:tr>
      <w:tr w14:paraId="2BFBDEED">
        <w:trPr>
          <w:trHeight w:val="0" w:hRule="atLeast"/>
          <w:tblHeader/>
        </w:trPr>
        <w:tc>
          <w:tcPr>
            <w:tcW w:w="3028" w:type="dxa"/>
            <w:vMerge w:val="continue"/>
            <w:vAlign w:val="center"/>
          </w:tcPr>
          <w:p w14:paraId="28CBE7ED">
            <w:pPr>
              <w:pStyle w:val="20"/>
              <w:bidi w:val="0"/>
              <w:snapToGrid w:val="0"/>
              <w:ind w:left="0" w:leftChars="0" w:right="0" w:rightChars="0" w:firstLine="0" w:firstLineChars="0"/>
              <w:rPr>
                <w:rFonts w:hint="default" w:ascii="Times New Roman" w:hAnsi="Times New Roman" w:cs="Times New Roman"/>
                <w:b/>
              </w:rPr>
            </w:pPr>
          </w:p>
        </w:tc>
        <w:tc>
          <w:tcPr>
            <w:tcW w:w="2753" w:type="dxa"/>
            <w:vAlign w:val="center"/>
          </w:tcPr>
          <w:p w14:paraId="0DC03598">
            <w:pPr>
              <w:pStyle w:val="20"/>
              <w:bidi w:val="0"/>
              <w:snapToGrid w:val="0"/>
              <w:ind w:left="0" w:leftChars="0" w:right="0" w:rightChars="0" w:firstLine="0" w:firstLineChars="0"/>
              <w:rPr>
                <w:rFonts w:hint="default" w:ascii="Times New Roman" w:hAnsi="Times New Roman" w:eastAsia="宋体" w:cs="Times New Roman"/>
                <w:b/>
                <w:lang w:val="en-US" w:eastAsia="zh-CN"/>
              </w:rPr>
            </w:pPr>
            <w:r>
              <w:rPr>
                <w:rFonts w:hint="default" w:ascii="Times New Roman" w:hAnsi="Times New Roman" w:cs="Times New Roman"/>
                <w:b/>
                <w:lang w:val="en-US" w:eastAsia="zh-CN"/>
              </w:rPr>
              <w:t>推荐值</w:t>
            </w:r>
          </w:p>
        </w:tc>
        <w:tc>
          <w:tcPr>
            <w:tcW w:w="2745" w:type="dxa"/>
            <w:vAlign w:val="center"/>
          </w:tcPr>
          <w:p w14:paraId="23A2347E">
            <w:pPr>
              <w:pStyle w:val="20"/>
              <w:bidi w:val="0"/>
              <w:snapToGrid w:val="0"/>
              <w:ind w:left="0" w:leftChars="0" w:right="0" w:rightChars="0" w:firstLine="0" w:firstLineChars="0"/>
              <w:rPr>
                <w:rFonts w:hint="default" w:ascii="Times New Roman" w:hAnsi="Times New Roman" w:eastAsia="宋体" w:cs="Times New Roman"/>
                <w:b/>
                <w:lang w:val="en-US" w:eastAsia="zh-CN"/>
              </w:rPr>
            </w:pPr>
            <w:r>
              <w:rPr>
                <w:rFonts w:hint="default" w:ascii="Times New Roman" w:hAnsi="Times New Roman" w:cs="Times New Roman"/>
                <w:b/>
                <w:lang w:val="en-US" w:eastAsia="zh-CN"/>
              </w:rPr>
              <w:t>范围</w:t>
            </w:r>
          </w:p>
        </w:tc>
      </w:tr>
      <w:tr w14:paraId="0C571F80">
        <w:trPr>
          <w:trHeight w:val="0" w:hRule="atLeast"/>
        </w:trPr>
        <w:tc>
          <w:tcPr>
            <w:tcW w:w="3028" w:type="dxa"/>
            <w:vAlign w:val="center"/>
          </w:tcPr>
          <w:p w14:paraId="6DF38C54">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纸张/纸板</w:t>
            </w:r>
          </w:p>
        </w:tc>
        <w:tc>
          <w:tcPr>
            <w:tcW w:w="2753" w:type="dxa"/>
            <w:vAlign w:val="center"/>
          </w:tcPr>
          <w:p w14:paraId="03071A68">
            <w:pPr>
              <w:pStyle w:val="20"/>
              <w:bidi w:val="0"/>
              <w:snapToGrid w:val="0"/>
              <w:ind w:left="0" w:leftChars="0" w:right="0" w:rightChars="0" w:firstLine="0" w:firstLineChars="0"/>
              <w:jc w:val="center"/>
              <w:rPr>
                <w:rFonts w:hint="default" w:ascii="Times New Roman" w:hAnsi="Times New Roman" w:eastAsia="宋体" w:cs="Times New Roman"/>
                <w:lang w:val="en-US" w:eastAsia="zh-CN"/>
              </w:rPr>
            </w:pPr>
            <w:r>
              <w:rPr>
                <w:rFonts w:hint="default" w:ascii="Times New Roman" w:hAnsi="Times New Roman" w:cs="Times New Roman"/>
                <w:lang w:val="en-US" w:eastAsia="zh-CN"/>
              </w:rPr>
              <w:t>40</w:t>
            </w:r>
          </w:p>
        </w:tc>
        <w:tc>
          <w:tcPr>
            <w:tcW w:w="2745" w:type="dxa"/>
            <w:vAlign w:val="center"/>
          </w:tcPr>
          <w:p w14:paraId="25A8FFB9">
            <w:pPr>
              <w:pStyle w:val="20"/>
              <w:bidi w:val="0"/>
              <w:snapToGrid w:val="0"/>
              <w:ind w:left="0" w:leftChars="0" w:right="0" w:rightChars="0" w:firstLine="0" w:firstLineChars="0"/>
              <w:jc w:val="center"/>
              <w:rPr>
                <w:rFonts w:hint="default" w:ascii="Times New Roman" w:hAnsi="Times New Roman" w:eastAsia="宋体" w:cs="Times New Roman"/>
                <w:lang w:val="en-US" w:eastAsia="zh-CN"/>
              </w:rPr>
            </w:pPr>
            <w:r>
              <w:rPr>
                <w:rFonts w:hint="default" w:ascii="Times New Roman" w:hAnsi="Times New Roman" w:cs="Times New Roman"/>
                <w:lang w:val="en-US" w:eastAsia="zh-CN"/>
              </w:rPr>
              <w:t>36</w:t>
            </w:r>
            <w:r>
              <w:rPr>
                <w:rFonts w:hint="eastAsia" w:cs="Times New Roman"/>
                <w:lang w:val="en-US" w:eastAsia="zh-CN"/>
              </w:rPr>
              <w:t>～</w:t>
            </w:r>
            <w:r>
              <w:rPr>
                <w:rFonts w:hint="default" w:ascii="Times New Roman" w:hAnsi="Times New Roman" w:cs="Times New Roman"/>
                <w:lang w:val="en-US" w:eastAsia="zh-CN"/>
              </w:rPr>
              <w:t>45</w:t>
            </w:r>
          </w:p>
        </w:tc>
      </w:tr>
      <w:tr w14:paraId="7E3E2FE2">
        <w:trPr>
          <w:trHeight w:val="0" w:hRule="atLeast"/>
        </w:trPr>
        <w:tc>
          <w:tcPr>
            <w:tcW w:w="3028" w:type="dxa"/>
            <w:vAlign w:val="center"/>
          </w:tcPr>
          <w:p w14:paraId="1D800F5B">
            <w:pPr>
              <w:pStyle w:val="20"/>
              <w:bidi w:val="0"/>
              <w:snapToGrid w:val="0"/>
              <w:ind w:left="0" w:leftChars="0" w:right="0" w:rightChars="0" w:firstLine="0" w:firstLineChars="0"/>
              <w:jc w:val="center"/>
              <w:rPr>
                <w:rFonts w:hint="default" w:ascii="Times New Roman" w:hAnsi="Times New Roman" w:eastAsia="宋体" w:cs="Times New Roman"/>
                <w:lang w:val="en-US" w:eastAsia="zh-CN"/>
              </w:rPr>
            </w:pPr>
            <w:r>
              <w:rPr>
                <w:rFonts w:hint="default" w:ascii="Times New Roman" w:hAnsi="Times New Roman" w:cs="Times New Roman"/>
                <w:lang w:val="en-US" w:eastAsia="zh-CN"/>
              </w:rPr>
              <w:t>纺织品</w:t>
            </w:r>
          </w:p>
        </w:tc>
        <w:tc>
          <w:tcPr>
            <w:tcW w:w="2753" w:type="dxa"/>
            <w:vAlign w:val="center"/>
          </w:tcPr>
          <w:p w14:paraId="5C92BD3C">
            <w:pPr>
              <w:pStyle w:val="20"/>
              <w:bidi w:val="0"/>
              <w:snapToGrid w:val="0"/>
              <w:ind w:left="0" w:leftChars="0" w:right="0" w:rightChars="0" w:firstLine="0" w:firstLineChars="0"/>
              <w:jc w:val="center"/>
              <w:rPr>
                <w:rFonts w:hint="default" w:ascii="Times New Roman" w:hAnsi="Times New Roman" w:eastAsia="宋体" w:cs="Times New Roman"/>
                <w:lang w:val="en-US" w:eastAsia="zh-CN"/>
              </w:rPr>
            </w:pPr>
            <w:r>
              <w:rPr>
                <w:rFonts w:hint="default" w:ascii="Times New Roman" w:hAnsi="Times New Roman" w:cs="Times New Roman"/>
                <w:lang w:val="en-US" w:eastAsia="zh-CN"/>
              </w:rPr>
              <w:t>24</w:t>
            </w:r>
          </w:p>
        </w:tc>
        <w:tc>
          <w:tcPr>
            <w:tcW w:w="2745" w:type="dxa"/>
            <w:vAlign w:val="center"/>
          </w:tcPr>
          <w:p w14:paraId="29C9A332">
            <w:pPr>
              <w:pStyle w:val="20"/>
              <w:bidi w:val="0"/>
              <w:snapToGrid w:val="0"/>
              <w:ind w:left="0" w:leftChars="0" w:right="0" w:rightChars="0" w:firstLine="0" w:firstLineChars="0"/>
              <w:jc w:val="center"/>
              <w:rPr>
                <w:rFonts w:hint="default" w:ascii="Times New Roman" w:hAnsi="Times New Roman" w:eastAsia="宋体" w:cs="Times New Roman"/>
                <w:lang w:val="en-US" w:eastAsia="zh-CN"/>
              </w:rPr>
            </w:pPr>
            <w:r>
              <w:rPr>
                <w:rFonts w:hint="default" w:ascii="Times New Roman" w:hAnsi="Times New Roman" w:cs="Times New Roman"/>
                <w:lang w:val="en-US" w:eastAsia="zh-CN"/>
              </w:rPr>
              <w:t>20</w:t>
            </w:r>
            <w:r>
              <w:rPr>
                <w:rFonts w:hint="eastAsia" w:cs="Times New Roman"/>
                <w:lang w:val="en-US" w:eastAsia="zh-CN"/>
              </w:rPr>
              <w:t>～</w:t>
            </w:r>
            <w:r>
              <w:rPr>
                <w:rFonts w:hint="default" w:ascii="Times New Roman" w:hAnsi="Times New Roman" w:cs="Times New Roman"/>
                <w:lang w:val="en-US" w:eastAsia="zh-CN"/>
              </w:rPr>
              <w:t>40</w:t>
            </w:r>
          </w:p>
        </w:tc>
      </w:tr>
      <w:tr w14:paraId="4AD80A46">
        <w:trPr>
          <w:trHeight w:val="0" w:hRule="atLeast"/>
        </w:trPr>
        <w:tc>
          <w:tcPr>
            <w:tcW w:w="3028" w:type="dxa"/>
            <w:vAlign w:val="center"/>
          </w:tcPr>
          <w:p w14:paraId="77EA9956">
            <w:pPr>
              <w:pStyle w:val="20"/>
              <w:bidi w:val="0"/>
              <w:snapToGrid w:val="0"/>
              <w:ind w:left="0" w:leftChars="0" w:right="0" w:rightChars="0" w:firstLine="0" w:firstLineChars="0"/>
              <w:jc w:val="center"/>
              <w:rPr>
                <w:rFonts w:hint="default" w:ascii="Times New Roman" w:hAnsi="Times New Roman" w:eastAsia="宋体" w:cs="Times New Roman"/>
                <w:lang w:val="en-US" w:eastAsia="zh-CN"/>
              </w:rPr>
            </w:pPr>
            <w:r>
              <w:rPr>
                <w:rFonts w:hint="default" w:ascii="Times New Roman" w:hAnsi="Times New Roman" w:cs="Times New Roman"/>
                <w:lang w:val="en-US" w:eastAsia="zh-CN"/>
              </w:rPr>
              <w:t>垃圾食品</w:t>
            </w:r>
          </w:p>
        </w:tc>
        <w:tc>
          <w:tcPr>
            <w:tcW w:w="2753" w:type="dxa"/>
            <w:vAlign w:val="center"/>
          </w:tcPr>
          <w:p w14:paraId="5E8D96D4">
            <w:pPr>
              <w:pStyle w:val="20"/>
              <w:bidi w:val="0"/>
              <w:snapToGrid w:val="0"/>
              <w:ind w:left="0" w:leftChars="0" w:right="0" w:rightChars="0" w:firstLine="0" w:firstLineChars="0"/>
              <w:jc w:val="center"/>
              <w:rPr>
                <w:rFonts w:hint="default" w:ascii="Times New Roman" w:hAnsi="Times New Roman" w:eastAsia="宋体" w:cs="Times New Roman"/>
                <w:lang w:val="en-US" w:eastAsia="zh-CN"/>
              </w:rPr>
            </w:pPr>
            <w:r>
              <w:rPr>
                <w:rFonts w:hint="default" w:ascii="Times New Roman" w:hAnsi="Times New Roman" w:cs="Times New Roman"/>
                <w:lang w:val="en-US" w:eastAsia="zh-CN"/>
              </w:rPr>
              <w:t>15</w:t>
            </w:r>
          </w:p>
        </w:tc>
        <w:tc>
          <w:tcPr>
            <w:tcW w:w="2745" w:type="dxa"/>
            <w:vAlign w:val="center"/>
          </w:tcPr>
          <w:p w14:paraId="49FBF4AC">
            <w:pPr>
              <w:pStyle w:val="20"/>
              <w:bidi w:val="0"/>
              <w:snapToGrid w:val="0"/>
              <w:ind w:left="0" w:leftChars="0" w:right="0" w:rightChars="0" w:firstLine="0" w:firstLineChars="0"/>
              <w:jc w:val="center"/>
              <w:rPr>
                <w:rFonts w:hint="default" w:ascii="Times New Roman" w:hAnsi="Times New Roman" w:eastAsia="宋体" w:cs="Times New Roman"/>
                <w:lang w:val="en-US" w:eastAsia="zh-CN"/>
              </w:rPr>
            </w:pPr>
            <w:r>
              <w:rPr>
                <w:rFonts w:hint="default" w:ascii="Times New Roman" w:hAnsi="Times New Roman" w:cs="Times New Roman"/>
                <w:lang w:val="en-US" w:eastAsia="zh-CN"/>
              </w:rPr>
              <w:t>8</w:t>
            </w:r>
            <w:r>
              <w:rPr>
                <w:rFonts w:hint="eastAsia" w:cs="Times New Roman"/>
                <w:lang w:val="en-US" w:eastAsia="zh-CN"/>
              </w:rPr>
              <w:t>～</w:t>
            </w:r>
            <w:r>
              <w:rPr>
                <w:rFonts w:hint="default" w:ascii="Times New Roman" w:hAnsi="Times New Roman" w:cs="Times New Roman"/>
                <w:lang w:val="en-US" w:eastAsia="zh-CN"/>
              </w:rPr>
              <w:t>20</w:t>
            </w:r>
          </w:p>
        </w:tc>
      </w:tr>
      <w:tr w14:paraId="4C04F80B">
        <w:trPr>
          <w:trHeight w:val="0" w:hRule="atLeast"/>
        </w:trPr>
        <w:tc>
          <w:tcPr>
            <w:tcW w:w="3028" w:type="dxa"/>
            <w:vAlign w:val="center"/>
          </w:tcPr>
          <w:p w14:paraId="2AF41579">
            <w:pPr>
              <w:pStyle w:val="20"/>
              <w:bidi w:val="0"/>
              <w:snapToGrid w:val="0"/>
              <w:ind w:left="0" w:leftChars="0" w:right="0" w:rightChars="0" w:firstLine="0" w:firstLineChars="0"/>
              <w:jc w:val="center"/>
              <w:rPr>
                <w:rFonts w:hint="default" w:ascii="Times New Roman" w:hAnsi="Times New Roman" w:eastAsia="宋体" w:cs="Times New Roman"/>
                <w:lang w:val="en-US" w:eastAsia="zh-CN"/>
              </w:rPr>
            </w:pPr>
            <w:r>
              <w:rPr>
                <w:rFonts w:hint="default" w:ascii="Times New Roman" w:hAnsi="Times New Roman" w:cs="Times New Roman"/>
                <w:lang w:val="en-US" w:eastAsia="zh-CN"/>
              </w:rPr>
              <w:t>木材</w:t>
            </w:r>
          </w:p>
        </w:tc>
        <w:tc>
          <w:tcPr>
            <w:tcW w:w="2753" w:type="dxa"/>
            <w:vAlign w:val="center"/>
          </w:tcPr>
          <w:p w14:paraId="784400C5">
            <w:pPr>
              <w:pStyle w:val="20"/>
              <w:bidi w:val="0"/>
              <w:snapToGrid w:val="0"/>
              <w:ind w:left="0" w:leftChars="0" w:right="0" w:rightChars="0" w:firstLine="0" w:firstLineChars="0"/>
              <w:jc w:val="center"/>
              <w:rPr>
                <w:rFonts w:hint="default" w:ascii="Times New Roman" w:hAnsi="Times New Roman" w:eastAsia="宋体" w:cs="Times New Roman"/>
                <w:lang w:val="en-US" w:eastAsia="zh-CN"/>
              </w:rPr>
            </w:pPr>
            <w:r>
              <w:rPr>
                <w:rFonts w:hint="default" w:ascii="Times New Roman" w:hAnsi="Times New Roman" w:cs="Times New Roman"/>
                <w:lang w:val="en-US" w:eastAsia="zh-CN"/>
              </w:rPr>
              <w:t>43</w:t>
            </w:r>
          </w:p>
        </w:tc>
        <w:tc>
          <w:tcPr>
            <w:tcW w:w="2745" w:type="dxa"/>
            <w:vAlign w:val="center"/>
          </w:tcPr>
          <w:p w14:paraId="4C1F16F1">
            <w:pPr>
              <w:pStyle w:val="20"/>
              <w:bidi w:val="0"/>
              <w:snapToGrid w:val="0"/>
              <w:ind w:left="0" w:leftChars="0" w:right="0" w:rightChars="0" w:firstLine="0" w:firstLineChars="0"/>
              <w:jc w:val="center"/>
              <w:rPr>
                <w:rFonts w:hint="default" w:ascii="Times New Roman" w:hAnsi="Times New Roman" w:eastAsia="宋体" w:cs="Times New Roman"/>
                <w:lang w:val="en-US" w:eastAsia="zh-CN"/>
              </w:rPr>
            </w:pPr>
            <w:r>
              <w:rPr>
                <w:rFonts w:hint="default" w:ascii="Times New Roman" w:hAnsi="Times New Roman" w:cs="Times New Roman"/>
                <w:lang w:val="en-US" w:eastAsia="zh-CN"/>
              </w:rPr>
              <w:t>39</w:t>
            </w:r>
            <w:r>
              <w:rPr>
                <w:rFonts w:hint="eastAsia" w:cs="Times New Roman"/>
                <w:lang w:val="en-US" w:eastAsia="zh-CN"/>
              </w:rPr>
              <w:t>～</w:t>
            </w:r>
            <w:r>
              <w:rPr>
                <w:rFonts w:hint="default" w:ascii="Times New Roman" w:hAnsi="Times New Roman" w:cs="Times New Roman"/>
                <w:lang w:val="en-US" w:eastAsia="zh-CN"/>
              </w:rPr>
              <w:t>46</w:t>
            </w:r>
          </w:p>
        </w:tc>
      </w:tr>
      <w:tr w14:paraId="1C12D707">
        <w:trPr>
          <w:trHeight w:val="0" w:hRule="atLeast"/>
        </w:trPr>
        <w:tc>
          <w:tcPr>
            <w:tcW w:w="3028" w:type="dxa"/>
            <w:vAlign w:val="center"/>
          </w:tcPr>
          <w:p w14:paraId="4E18B009">
            <w:pPr>
              <w:pStyle w:val="20"/>
              <w:bidi w:val="0"/>
              <w:snapToGrid w:val="0"/>
              <w:ind w:left="0" w:leftChars="0" w:right="0" w:rightChars="0" w:firstLine="0" w:firstLineChars="0"/>
              <w:jc w:val="center"/>
              <w:rPr>
                <w:rFonts w:hint="default" w:ascii="Times New Roman" w:hAnsi="Times New Roman" w:eastAsia="宋体" w:cs="Times New Roman"/>
                <w:lang w:val="en-US" w:eastAsia="zh-CN"/>
              </w:rPr>
            </w:pPr>
            <w:r>
              <w:rPr>
                <w:rFonts w:hint="default" w:ascii="Times New Roman" w:hAnsi="Times New Roman" w:cs="Times New Roman"/>
                <w:lang w:val="en-US" w:eastAsia="zh-CN"/>
              </w:rPr>
              <w:t>庭园和公园废弃物</w:t>
            </w:r>
          </w:p>
        </w:tc>
        <w:tc>
          <w:tcPr>
            <w:tcW w:w="2753" w:type="dxa"/>
            <w:vAlign w:val="center"/>
          </w:tcPr>
          <w:p w14:paraId="1EFAA110">
            <w:pPr>
              <w:pStyle w:val="20"/>
              <w:bidi w:val="0"/>
              <w:snapToGrid w:val="0"/>
              <w:ind w:left="0" w:leftChars="0" w:right="0" w:rightChars="0" w:firstLine="0" w:firstLineChars="0"/>
              <w:jc w:val="center"/>
              <w:rPr>
                <w:rFonts w:hint="default" w:ascii="Times New Roman" w:hAnsi="Times New Roman" w:eastAsia="宋体" w:cs="Times New Roman"/>
                <w:lang w:val="en-US" w:eastAsia="zh-CN"/>
              </w:rPr>
            </w:pPr>
            <w:r>
              <w:rPr>
                <w:rFonts w:hint="default" w:ascii="Times New Roman" w:hAnsi="Times New Roman" w:cs="Times New Roman"/>
                <w:lang w:val="en-US" w:eastAsia="zh-CN"/>
              </w:rPr>
              <w:t>20</w:t>
            </w:r>
          </w:p>
        </w:tc>
        <w:tc>
          <w:tcPr>
            <w:tcW w:w="2745" w:type="dxa"/>
            <w:vAlign w:val="center"/>
          </w:tcPr>
          <w:p w14:paraId="4EDC00BF">
            <w:pPr>
              <w:pStyle w:val="20"/>
              <w:bidi w:val="0"/>
              <w:snapToGrid w:val="0"/>
              <w:ind w:left="0" w:leftChars="0" w:right="0" w:rightChars="0" w:firstLine="0" w:firstLineChars="0"/>
              <w:jc w:val="center"/>
              <w:rPr>
                <w:rFonts w:hint="default" w:ascii="Times New Roman" w:hAnsi="Times New Roman" w:eastAsia="宋体" w:cs="Times New Roman"/>
                <w:lang w:val="en-US" w:eastAsia="zh-CN"/>
              </w:rPr>
            </w:pPr>
            <w:r>
              <w:rPr>
                <w:rFonts w:hint="default" w:ascii="Times New Roman" w:hAnsi="Times New Roman" w:cs="Times New Roman"/>
                <w:lang w:val="en-US" w:eastAsia="zh-CN"/>
              </w:rPr>
              <w:t>18</w:t>
            </w:r>
            <w:r>
              <w:rPr>
                <w:rFonts w:hint="eastAsia" w:cs="Times New Roman"/>
                <w:lang w:val="en-US" w:eastAsia="zh-CN"/>
              </w:rPr>
              <w:t>～</w:t>
            </w:r>
            <w:r>
              <w:rPr>
                <w:rFonts w:hint="default" w:ascii="Times New Roman" w:hAnsi="Times New Roman" w:cs="Times New Roman"/>
                <w:lang w:val="en-US" w:eastAsia="zh-CN"/>
              </w:rPr>
              <w:t>22</w:t>
            </w:r>
          </w:p>
        </w:tc>
      </w:tr>
      <w:tr w14:paraId="4AD09340">
        <w:trPr>
          <w:trHeight w:val="0" w:hRule="atLeast"/>
        </w:trPr>
        <w:tc>
          <w:tcPr>
            <w:tcW w:w="3028" w:type="dxa"/>
            <w:vAlign w:val="center"/>
          </w:tcPr>
          <w:p w14:paraId="0FF4CD44">
            <w:pPr>
              <w:pStyle w:val="20"/>
              <w:bidi w:val="0"/>
              <w:snapToGrid w:val="0"/>
              <w:ind w:left="0" w:leftChars="0" w:right="0" w:rightChars="0" w:firstLine="0" w:firstLineChars="0"/>
              <w:jc w:val="center"/>
              <w:rPr>
                <w:rFonts w:hint="default" w:ascii="Times New Roman" w:hAnsi="Times New Roman" w:eastAsia="宋体" w:cs="Times New Roman"/>
                <w:lang w:val="en-US" w:eastAsia="zh-CN"/>
              </w:rPr>
            </w:pPr>
            <w:r>
              <w:rPr>
                <w:rFonts w:hint="default" w:ascii="Times New Roman" w:hAnsi="Times New Roman" w:cs="Times New Roman"/>
                <w:lang w:val="en-US" w:eastAsia="zh-CN"/>
              </w:rPr>
              <w:t>尿布</w:t>
            </w:r>
          </w:p>
        </w:tc>
        <w:tc>
          <w:tcPr>
            <w:tcW w:w="2753" w:type="dxa"/>
            <w:vAlign w:val="center"/>
          </w:tcPr>
          <w:p w14:paraId="45950544">
            <w:pPr>
              <w:pStyle w:val="20"/>
              <w:bidi w:val="0"/>
              <w:snapToGrid w:val="0"/>
              <w:ind w:left="0" w:leftChars="0" w:right="0" w:rightChars="0" w:firstLine="0" w:firstLineChars="0"/>
              <w:jc w:val="center"/>
              <w:rPr>
                <w:rFonts w:hint="default" w:ascii="Times New Roman" w:hAnsi="Times New Roman" w:eastAsia="宋体" w:cs="Times New Roman"/>
                <w:lang w:val="en-US" w:eastAsia="zh-CN"/>
              </w:rPr>
            </w:pPr>
            <w:r>
              <w:rPr>
                <w:rFonts w:hint="default" w:ascii="Times New Roman" w:hAnsi="Times New Roman" w:cs="Times New Roman"/>
                <w:lang w:val="en-US" w:eastAsia="zh-CN"/>
              </w:rPr>
              <w:t>24</w:t>
            </w:r>
          </w:p>
        </w:tc>
        <w:tc>
          <w:tcPr>
            <w:tcW w:w="2745" w:type="dxa"/>
            <w:vAlign w:val="center"/>
          </w:tcPr>
          <w:p w14:paraId="72096769">
            <w:pPr>
              <w:pStyle w:val="20"/>
              <w:bidi w:val="0"/>
              <w:snapToGrid w:val="0"/>
              <w:ind w:left="0" w:leftChars="0" w:right="0" w:rightChars="0" w:firstLine="0" w:firstLineChars="0"/>
              <w:jc w:val="center"/>
              <w:rPr>
                <w:rFonts w:hint="default" w:ascii="Times New Roman" w:hAnsi="Times New Roman" w:eastAsia="宋体" w:cs="Times New Roman"/>
                <w:lang w:val="en-US" w:eastAsia="zh-CN"/>
              </w:rPr>
            </w:pPr>
            <w:r>
              <w:rPr>
                <w:rFonts w:hint="default" w:ascii="Times New Roman" w:hAnsi="Times New Roman" w:cs="Times New Roman"/>
                <w:lang w:val="en-US" w:eastAsia="zh-CN"/>
              </w:rPr>
              <w:t>18</w:t>
            </w:r>
            <w:r>
              <w:rPr>
                <w:rFonts w:hint="eastAsia" w:cs="Times New Roman"/>
                <w:lang w:val="en-US" w:eastAsia="zh-CN"/>
              </w:rPr>
              <w:t>～</w:t>
            </w:r>
            <w:r>
              <w:rPr>
                <w:rFonts w:hint="default" w:ascii="Times New Roman" w:hAnsi="Times New Roman" w:cs="Times New Roman"/>
                <w:lang w:val="en-US" w:eastAsia="zh-CN"/>
              </w:rPr>
              <w:t>32</w:t>
            </w:r>
          </w:p>
        </w:tc>
      </w:tr>
      <w:tr w14:paraId="4AF1C348">
        <w:trPr>
          <w:trHeight w:val="0" w:hRule="atLeast"/>
        </w:trPr>
        <w:tc>
          <w:tcPr>
            <w:tcW w:w="3028" w:type="dxa"/>
            <w:vAlign w:val="center"/>
          </w:tcPr>
          <w:p w14:paraId="7D2B2B70">
            <w:pPr>
              <w:pStyle w:val="20"/>
              <w:bidi w:val="0"/>
              <w:snapToGrid w:val="0"/>
              <w:ind w:left="0" w:leftChars="0" w:right="0" w:rightChars="0" w:firstLine="0" w:firstLineChars="0"/>
              <w:jc w:val="center"/>
              <w:rPr>
                <w:rFonts w:hint="default" w:ascii="Times New Roman" w:hAnsi="Times New Roman" w:eastAsia="宋体" w:cs="Times New Roman"/>
                <w:lang w:val="en-US" w:eastAsia="zh-CN"/>
              </w:rPr>
            </w:pPr>
            <w:r>
              <w:rPr>
                <w:rFonts w:hint="default" w:ascii="Times New Roman" w:hAnsi="Times New Roman" w:cs="Times New Roman"/>
                <w:lang w:val="en-US" w:eastAsia="zh-CN"/>
              </w:rPr>
              <w:t>橡胶和皮革</w:t>
            </w:r>
          </w:p>
        </w:tc>
        <w:tc>
          <w:tcPr>
            <w:tcW w:w="2753" w:type="dxa"/>
            <w:vAlign w:val="center"/>
          </w:tcPr>
          <w:p w14:paraId="2B9EC3A1">
            <w:pPr>
              <w:pStyle w:val="20"/>
              <w:bidi w:val="0"/>
              <w:snapToGrid w:val="0"/>
              <w:ind w:left="0" w:leftChars="0" w:right="0" w:rightChars="0" w:firstLine="0" w:firstLineChars="0"/>
              <w:jc w:val="center"/>
              <w:rPr>
                <w:rFonts w:hint="default" w:ascii="Times New Roman" w:hAnsi="Times New Roman" w:eastAsia="宋体" w:cs="Times New Roman"/>
                <w:lang w:eastAsia="zh-CN"/>
              </w:rPr>
            </w:pPr>
            <w:r>
              <w:rPr>
                <w:rFonts w:hint="default" w:ascii="Times New Roman" w:hAnsi="Times New Roman" w:cs="Times New Roman"/>
                <w:lang w:val="en-US" w:eastAsia="zh-CN"/>
              </w:rPr>
              <w:t>39</w:t>
            </w:r>
          </w:p>
        </w:tc>
        <w:tc>
          <w:tcPr>
            <w:tcW w:w="2745" w:type="dxa"/>
            <w:vAlign w:val="center"/>
          </w:tcPr>
          <w:p w14:paraId="1D9D4BCE">
            <w:pPr>
              <w:pStyle w:val="20"/>
              <w:bidi w:val="0"/>
              <w:snapToGrid w:val="0"/>
              <w:ind w:left="0" w:leftChars="0" w:right="0" w:rightChars="0" w:firstLine="0" w:firstLineChars="0"/>
              <w:jc w:val="center"/>
              <w:rPr>
                <w:rFonts w:hint="default" w:ascii="Times New Roman" w:hAnsi="Times New Roman" w:eastAsia="宋体" w:cs="Times New Roman"/>
                <w:lang w:eastAsia="zh-CN"/>
              </w:rPr>
            </w:pPr>
            <w:r>
              <w:rPr>
                <w:rFonts w:hint="default" w:ascii="Times New Roman" w:hAnsi="Times New Roman" w:cs="Times New Roman"/>
                <w:lang w:val="en-US" w:eastAsia="zh-CN"/>
              </w:rPr>
              <w:t>39</w:t>
            </w:r>
          </w:p>
        </w:tc>
      </w:tr>
      <w:tr w14:paraId="67E38FED">
        <w:trPr>
          <w:trHeight w:val="0" w:hRule="atLeast"/>
        </w:trPr>
        <w:tc>
          <w:tcPr>
            <w:tcW w:w="3028" w:type="dxa"/>
            <w:vAlign w:val="center"/>
          </w:tcPr>
          <w:p w14:paraId="6D5193B6">
            <w:pPr>
              <w:pStyle w:val="20"/>
              <w:bidi w:val="0"/>
              <w:snapToGrid w:val="0"/>
              <w:ind w:left="0" w:leftChars="0" w:right="0" w:rightChars="0" w:firstLine="0" w:firstLineChars="0"/>
              <w:jc w:val="center"/>
              <w:rPr>
                <w:rFonts w:hint="default" w:ascii="Times New Roman" w:hAnsi="Times New Roman" w:eastAsia="宋体" w:cs="Times New Roman"/>
                <w:lang w:val="en-US" w:eastAsia="zh-CN"/>
              </w:rPr>
            </w:pPr>
            <w:r>
              <w:rPr>
                <w:rFonts w:hint="default" w:ascii="Times New Roman" w:hAnsi="Times New Roman" w:cs="Times New Roman"/>
                <w:lang w:val="en-US" w:eastAsia="zh-CN"/>
              </w:rPr>
              <w:t>其他</w:t>
            </w:r>
          </w:p>
        </w:tc>
        <w:tc>
          <w:tcPr>
            <w:tcW w:w="2753" w:type="dxa"/>
            <w:vAlign w:val="center"/>
          </w:tcPr>
          <w:p w14:paraId="2A4E5A12">
            <w:pPr>
              <w:pStyle w:val="20"/>
              <w:bidi w:val="0"/>
              <w:snapToGrid w:val="0"/>
              <w:ind w:left="0" w:leftChars="0" w:right="0" w:rightChars="0" w:firstLine="0" w:firstLineChars="0"/>
              <w:jc w:val="center"/>
              <w:rPr>
                <w:rFonts w:hint="default" w:ascii="Times New Roman" w:hAnsi="Times New Roman" w:eastAsia="宋体" w:cs="Times New Roman"/>
                <w:lang w:val="en-US" w:eastAsia="zh-CN"/>
              </w:rPr>
            </w:pPr>
            <w:r>
              <w:rPr>
                <w:rFonts w:hint="default" w:ascii="Times New Roman" w:hAnsi="Times New Roman" w:cs="Times New Roman"/>
                <w:lang w:val="en-US" w:eastAsia="zh-CN"/>
              </w:rPr>
              <w:t>-</w:t>
            </w:r>
          </w:p>
        </w:tc>
        <w:tc>
          <w:tcPr>
            <w:tcW w:w="2745" w:type="dxa"/>
            <w:vAlign w:val="center"/>
          </w:tcPr>
          <w:p w14:paraId="5C1187F5">
            <w:pPr>
              <w:pStyle w:val="20"/>
              <w:bidi w:val="0"/>
              <w:snapToGrid w:val="0"/>
              <w:ind w:left="0" w:leftChars="0" w:right="0" w:rightChars="0" w:firstLine="0" w:firstLineChars="0"/>
              <w:jc w:val="center"/>
              <w:rPr>
                <w:rFonts w:hint="default" w:ascii="Times New Roman" w:hAnsi="Times New Roman" w:eastAsia="宋体" w:cs="Times New Roman"/>
                <w:lang w:val="en-US" w:eastAsia="zh-CN"/>
              </w:rPr>
            </w:pPr>
            <w:r>
              <w:rPr>
                <w:rFonts w:hint="default" w:ascii="Times New Roman" w:hAnsi="Times New Roman" w:cs="Times New Roman"/>
                <w:lang w:val="en-US" w:eastAsia="zh-CN"/>
              </w:rPr>
              <w:t>-</w:t>
            </w:r>
          </w:p>
        </w:tc>
      </w:tr>
    </w:tbl>
    <w:p w14:paraId="062A6FC2">
      <w:pPr>
        <w:rPr>
          <w:rFonts w:hint="default" w:ascii="Times New Roman" w:hAnsi="Times New Roman" w:cs="Times New Roman"/>
          <w:lang w:val="en-US" w:eastAsia="zh-CN"/>
        </w:rPr>
      </w:pPr>
      <w:r>
        <w:rPr>
          <w:rFonts w:hint="default" w:ascii="Times New Roman" w:hAnsi="Times New Roman" w:cs="Times New Roman"/>
          <w:lang w:val="en-US" w:eastAsia="zh-CN"/>
        </w:rPr>
        <w:br w:type="page"/>
      </w:r>
    </w:p>
    <w:p w14:paraId="0976C267">
      <w:pPr>
        <w:pStyle w:val="2"/>
        <w:bidi w:val="0"/>
        <w:rPr>
          <w:rFonts w:hint="default"/>
          <w:lang w:val="en-US" w:eastAsia="zh-CN"/>
        </w:rPr>
      </w:pPr>
      <w:bookmarkStart w:id="93" w:name="_Toc8056"/>
      <w:bookmarkStart w:id="94" w:name="_Toc18896"/>
      <w:r>
        <w:rPr>
          <w:rFonts w:hint="default"/>
          <w:lang w:val="en-US" w:eastAsia="zh-CN"/>
        </w:rPr>
        <w:t>附 录 D（规范性）固体废弃物填埋场分类和甲烷修正因子（MCF）</w:t>
      </w:r>
      <w:bookmarkEnd w:id="93"/>
      <w:bookmarkEnd w:id="94"/>
    </w:p>
    <w:p w14:paraId="0701773B">
      <w:pPr>
        <w:keepNext w:val="0"/>
        <w:keepLines w:val="0"/>
        <w:pageBreakBefore w:val="0"/>
        <w:widowControl w:val="0"/>
        <w:kinsoku w:val="0"/>
        <w:wordWrap/>
        <w:overflowPunct/>
        <w:topLinePunct w:val="0"/>
        <w:autoSpaceDE w:val="0"/>
        <w:autoSpaceDN w:val="0"/>
        <w:bidi w:val="0"/>
        <w:adjustRightInd w:val="0"/>
        <w:snapToGrid w:val="0"/>
        <w:spacing w:before="157" w:beforeLines="50" w:after="157" w:afterLines="50" w:line="240" w:lineRule="auto"/>
        <w:ind w:left="0" w:right="0"/>
        <w:jc w:val="center"/>
        <w:textAlignment w:val="baseline"/>
        <w:rPr>
          <w:rFonts w:hint="eastAsia" w:ascii="黑体" w:hAnsi="黑体" w:eastAsia="黑体" w:cs="黑体"/>
          <w:b/>
          <w:bCs/>
          <w:snapToGrid w:val="0"/>
          <w:color w:val="000000"/>
          <w:spacing w:val="0"/>
          <w:kern w:val="0"/>
          <w:position w:val="0"/>
          <w:sz w:val="21"/>
          <w:szCs w:val="21"/>
          <w:lang w:eastAsia="zh-CN"/>
        </w:rPr>
      </w:pPr>
      <w:r>
        <w:rPr>
          <w:rFonts w:hint="eastAsia" w:ascii="黑体" w:hAnsi="黑体" w:eastAsia="黑体" w:cs="黑体"/>
          <w:b/>
          <w:bCs/>
          <w:snapToGrid w:val="0"/>
          <w:color w:val="000000"/>
          <w:spacing w:val="0"/>
          <w:kern w:val="0"/>
          <w:position w:val="0"/>
          <w:sz w:val="21"/>
          <w:szCs w:val="21"/>
          <w:lang w:eastAsia="en-US"/>
        </w:rPr>
        <w:t xml:space="preserve">表 </w:t>
      </w:r>
      <w:r>
        <w:rPr>
          <w:rFonts w:hint="eastAsia" w:ascii="黑体" w:hAnsi="黑体" w:eastAsia="黑体" w:cs="黑体"/>
          <w:b/>
          <w:bCs/>
          <w:snapToGrid w:val="0"/>
          <w:color w:val="000000"/>
          <w:spacing w:val="0"/>
          <w:kern w:val="0"/>
          <w:position w:val="0"/>
          <w:sz w:val="21"/>
          <w:szCs w:val="21"/>
          <w:lang w:eastAsia="en-US"/>
        </w:rPr>
        <w:fldChar w:fldCharType="begin"/>
      </w:r>
      <w:r>
        <w:rPr>
          <w:rFonts w:hint="eastAsia" w:ascii="黑体" w:hAnsi="黑体" w:eastAsia="黑体" w:cs="黑体"/>
          <w:b/>
          <w:bCs/>
          <w:snapToGrid w:val="0"/>
          <w:color w:val="000000"/>
          <w:spacing w:val="0"/>
          <w:kern w:val="0"/>
          <w:position w:val="0"/>
          <w:sz w:val="21"/>
          <w:szCs w:val="21"/>
          <w:lang w:eastAsia="en-US"/>
        </w:rPr>
        <w:instrText xml:space="preserve"> SEQ 表 \* ARABIC </w:instrText>
      </w:r>
      <w:r>
        <w:rPr>
          <w:rFonts w:hint="eastAsia" w:ascii="黑体" w:hAnsi="黑体" w:eastAsia="黑体" w:cs="黑体"/>
          <w:b/>
          <w:bCs/>
          <w:snapToGrid w:val="0"/>
          <w:color w:val="000000"/>
          <w:spacing w:val="0"/>
          <w:kern w:val="0"/>
          <w:position w:val="0"/>
          <w:sz w:val="21"/>
          <w:szCs w:val="21"/>
          <w:lang w:eastAsia="en-US"/>
        </w:rPr>
        <w:fldChar w:fldCharType="separate"/>
      </w:r>
      <w:r>
        <w:rPr>
          <w:rFonts w:hint="eastAsia" w:ascii="黑体" w:hAnsi="黑体" w:eastAsia="黑体" w:cs="黑体"/>
          <w:b/>
          <w:bCs/>
          <w:snapToGrid w:val="0"/>
          <w:color w:val="000000"/>
          <w:spacing w:val="0"/>
          <w:kern w:val="0"/>
          <w:position w:val="0"/>
          <w:sz w:val="21"/>
          <w:szCs w:val="21"/>
          <w:lang w:eastAsia="en-US"/>
        </w:rPr>
        <w:t>2</w:t>
      </w:r>
      <w:r>
        <w:rPr>
          <w:rFonts w:hint="eastAsia" w:ascii="黑体" w:hAnsi="黑体" w:eastAsia="黑体" w:cs="黑体"/>
          <w:b/>
          <w:bCs/>
          <w:snapToGrid w:val="0"/>
          <w:color w:val="000000"/>
          <w:spacing w:val="0"/>
          <w:kern w:val="0"/>
          <w:position w:val="0"/>
          <w:sz w:val="21"/>
          <w:szCs w:val="21"/>
          <w:lang w:eastAsia="en-US"/>
        </w:rPr>
        <w:fldChar w:fldCharType="end"/>
      </w:r>
      <w:r>
        <w:rPr>
          <w:rFonts w:hint="eastAsia" w:ascii="黑体" w:hAnsi="黑体" w:eastAsia="黑体" w:cs="黑体"/>
          <w:b/>
          <w:bCs/>
          <w:snapToGrid w:val="0"/>
          <w:color w:val="000000"/>
          <w:spacing w:val="0"/>
          <w:kern w:val="0"/>
          <w:position w:val="0"/>
          <w:sz w:val="21"/>
          <w:szCs w:val="21"/>
          <w:lang w:eastAsia="zh-CN"/>
        </w:rPr>
        <w:t xml:space="preserve"> 固体废弃物填埋场分类和甲烷修正因子（MCF）</w:t>
      </w:r>
    </w:p>
    <w:tbl>
      <w:tblPr>
        <w:tblStyle w:val="14"/>
        <w:tblW w:w="8526" w:type="dxa"/>
        <w:tblInd w:w="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345"/>
        <w:gridCol w:w="4181"/>
      </w:tblGrid>
      <w:tr w14:paraId="13C38730">
        <w:trPr>
          <w:trHeight w:val="0" w:hRule="atLeast"/>
          <w:tblHeader/>
        </w:trPr>
        <w:tc>
          <w:tcPr>
            <w:tcW w:w="4345" w:type="dxa"/>
            <w:vAlign w:val="center"/>
          </w:tcPr>
          <w:p w14:paraId="6FA69682">
            <w:pPr>
              <w:pStyle w:val="20"/>
              <w:bidi w:val="0"/>
              <w:snapToGrid w:val="0"/>
              <w:ind w:left="0" w:leftChars="0" w:right="0" w:rightChars="0" w:firstLine="0" w:firstLineChars="0"/>
              <w:rPr>
                <w:rFonts w:hint="default" w:ascii="Times New Roman" w:hAnsi="Times New Roman" w:cs="Times New Roman"/>
                <w:b/>
                <w:lang w:val="en-US" w:eastAsia="zh-CN"/>
              </w:rPr>
            </w:pPr>
            <w:r>
              <w:rPr>
                <w:rFonts w:hint="default" w:ascii="Times New Roman" w:hAnsi="Times New Roman" w:cs="Times New Roman"/>
                <w:b/>
                <w:lang w:val="en-US" w:eastAsia="zh-CN"/>
              </w:rPr>
              <w:t>填埋场的类型</w:t>
            </w:r>
          </w:p>
        </w:tc>
        <w:tc>
          <w:tcPr>
            <w:tcW w:w="4181" w:type="dxa"/>
            <w:vAlign w:val="center"/>
          </w:tcPr>
          <w:p w14:paraId="2F246F9E">
            <w:pPr>
              <w:pStyle w:val="20"/>
              <w:bidi w:val="0"/>
              <w:snapToGrid w:val="0"/>
              <w:ind w:left="0" w:leftChars="0" w:right="0" w:rightChars="0" w:firstLine="0" w:firstLineChars="0"/>
              <w:rPr>
                <w:rFonts w:hint="default" w:ascii="Times New Roman" w:hAnsi="Times New Roman" w:cs="Times New Roman"/>
                <w:b/>
                <w:lang w:val="en-US" w:eastAsia="zh-CN"/>
              </w:rPr>
            </w:pPr>
            <w:r>
              <w:rPr>
                <w:rFonts w:hint="default" w:ascii="Times New Roman" w:hAnsi="Times New Roman" w:cs="Times New Roman"/>
                <w:b/>
                <w:lang w:val="en-US" w:eastAsia="zh-CN"/>
              </w:rPr>
              <w:t>甲烷修正因子（MCF）的缺省值</w:t>
            </w:r>
          </w:p>
        </w:tc>
      </w:tr>
      <w:tr w14:paraId="7971FDB6">
        <w:trPr>
          <w:trHeight w:val="0" w:hRule="atLeast"/>
        </w:trPr>
        <w:tc>
          <w:tcPr>
            <w:tcW w:w="4345" w:type="dxa"/>
            <w:vAlign w:val="center"/>
          </w:tcPr>
          <w:p w14:paraId="5EB66931">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管理的：A</w:t>
            </w:r>
          </w:p>
        </w:tc>
        <w:tc>
          <w:tcPr>
            <w:tcW w:w="4181" w:type="dxa"/>
            <w:vAlign w:val="center"/>
          </w:tcPr>
          <w:p w14:paraId="2270DFE5">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1.0</w:t>
            </w:r>
          </w:p>
        </w:tc>
      </w:tr>
      <w:tr w14:paraId="4DC096E7">
        <w:trPr>
          <w:trHeight w:val="0" w:hRule="atLeast"/>
        </w:trPr>
        <w:tc>
          <w:tcPr>
            <w:tcW w:w="4345" w:type="dxa"/>
            <w:vAlign w:val="center"/>
          </w:tcPr>
          <w:p w14:paraId="639AEEDB">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非管理的-深的（</w:t>
            </w:r>
            <w:r>
              <w:rPr>
                <w:rFonts w:hint="eastAsia" w:cs="Times New Roman"/>
                <w:lang w:val="en-US" w:eastAsia="zh-CN"/>
              </w:rPr>
              <w:t>＞</w:t>
            </w:r>
            <w:r>
              <w:rPr>
                <w:rFonts w:hint="default" w:ascii="Times New Roman" w:hAnsi="Times New Roman" w:cs="Times New Roman"/>
                <w:lang w:val="en-US" w:eastAsia="zh-CN"/>
              </w:rPr>
              <w:t>5m废弃物）：B</w:t>
            </w:r>
          </w:p>
        </w:tc>
        <w:tc>
          <w:tcPr>
            <w:tcW w:w="4181" w:type="dxa"/>
            <w:vAlign w:val="center"/>
          </w:tcPr>
          <w:p w14:paraId="5529EF55">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0.8</w:t>
            </w:r>
          </w:p>
        </w:tc>
      </w:tr>
      <w:tr w14:paraId="27927E5D">
        <w:trPr>
          <w:trHeight w:val="0" w:hRule="atLeast"/>
        </w:trPr>
        <w:tc>
          <w:tcPr>
            <w:tcW w:w="4345" w:type="dxa"/>
            <w:vAlign w:val="center"/>
          </w:tcPr>
          <w:p w14:paraId="62E3DF80">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非管理的-浅的（</w:t>
            </w:r>
            <w:r>
              <w:rPr>
                <w:rFonts w:hint="eastAsia" w:cs="Times New Roman"/>
                <w:lang w:val="en-US" w:eastAsia="zh-CN"/>
              </w:rPr>
              <w:t>＜</w:t>
            </w:r>
            <w:r>
              <w:rPr>
                <w:rFonts w:hint="default" w:ascii="Times New Roman" w:hAnsi="Times New Roman" w:cs="Times New Roman"/>
                <w:lang w:val="en-US" w:eastAsia="zh-CN"/>
              </w:rPr>
              <w:t>5m废弃物）：C</w:t>
            </w:r>
          </w:p>
        </w:tc>
        <w:tc>
          <w:tcPr>
            <w:tcW w:w="4181" w:type="dxa"/>
            <w:vAlign w:val="center"/>
          </w:tcPr>
          <w:p w14:paraId="7589B00C">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0.4</w:t>
            </w:r>
          </w:p>
        </w:tc>
      </w:tr>
      <w:tr w14:paraId="63034CFB">
        <w:trPr>
          <w:trHeight w:val="0" w:hRule="atLeast"/>
        </w:trPr>
        <w:tc>
          <w:tcPr>
            <w:tcW w:w="4345" w:type="dxa"/>
            <w:vAlign w:val="center"/>
          </w:tcPr>
          <w:p w14:paraId="0D50493D">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未分类的：D</w:t>
            </w:r>
          </w:p>
        </w:tc>
        <w:tc>
          <w:tcPr>
            <w:tcW w:w="4181" w:type="dxa"/>
            <w:vAlign w:val="center"/>
          </w:tcPr>
          <w:p w14:paraId="013AADA5">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0.4</w:t>
            </w:r>
          </w:p>
        </w:tc>
      </w:tr>
    </w:tbl>
    <w:p w14:paraId="06195D7D">
      <w:pPr>
        <w:rPr>
          <w:rFonts w:hint="default" w:ascii="Times New Roman" w:hAnsi="Times New Roman" w:cs="Times New Roman"/>
          <w:lang w:val="en-US" w:eastAsia="zh-CN"/>
        </w:rPr>
      </w:pPr>
      <w:r>
        <w:rPr>
          <w:rFonts w:hint="default" w:ascii="Times New Roman" w:hAnsi="Times New Roman" w:cs="Times New Roman"/>
          <w:lang w:val="en-US" w:eastAsia="zh-CN"/>
        </w:rPr>
        <w:br w:type="page"/>
      </w:r>
    </w:p>
    <w:p w14:paraId="48EDD386">
      <w:pPr>
        <w:pStyle w:val="2"/>
        <w:bidi w:val="0"/>
        <w:rPr>
          <w:rFonts w:hint="default"/>
          <w:lang w:val="en-US" w:eastAsia="zh-CN"/>
        </w:rPr>
      </w:pPr>
      <w:bookmarkStart w:id="95" w:name="_Toc26597"/>
      <w:bookmarkStart w:id="96" w:name="_Toc17178"/>
      <w:r>
        <w:rPr>
          <w:rFonts w:hint="default"/>
          <w:lang w:val="en-US" w:eastAsia="zh-CN"/>
        </w:rPr>
        <w:t>附 录 E（规范性）不同MSW成分干物质含量、总碳含量和化石碳</w:t>
      </w:r>
      <w:bookmarkEnd w:id="95"/>
      <w:bookmarkEnd w:id="96"/>
    </w:p>
    <w:p w14:paraId="5870407E">
      <w:pPr>
        <w:keepNext w:val="0"/>
        <w:keepLines w:val="0"/>
        <w:pageBreakBefore w:val="0"/>
        <w:widowControl w:val="0"/>
        <w:kinsoku w:val="0"/>
        <w:wordWrap/>
        <w:overflowPunct/>
        <w:topLinePunct w:val="0"/>
        <w:autoSpaceDE w:val="0"/>
        <w:autoSpaceDN w:val="0"/>
        <w:bidi w:val="0"/>
        <w:adjustRightInd w:val="0"/>
        <w:snapToGrid w:val="0"/>
        <w:spacing w:before="157" w:beforeLines="50" w:after="157" w:afterLines="50" w:line="240" w:lineRule="auto"/>
        <w:ind w:left="0" w:right="0"/>
        <w:jc w:val="center"/>
        <w:textAlignment w:val="baseline"/>
        <w:rPr>
          <w:rFonts w:hint="eastAsia" w:ascii="黑体" w:hAnsi="黑体" w:eastAsia="黑体" w:cs="黑体"/>
          <w:b/>
          <w:bCs/>
          <w:snapToGrid w:val="0"/>
          <w:color w:val="000000"/>
          <w:spacing w:val="0"/>
          <w:kern w:val="0"/>
          <w:position w:val="0"/>
          <w:sz w:val="21"/>
          <w:szCs w:val="21"/>
          <w:lang w:eastAsia="zh-CN"/>
        </w:rPr>
      </w:pPr>
      <w:r>
        <w:rPr>
          <w:rFonts w:hint="eastAsia" w:ascii="黑体" w:hAnsi="黑体" w:eastAsia="黑体" w:cs="黑体"/>
          <w:b/>
          <w:bCs/>
          <w:snapToGrid w:val="0"/>
          <w:color w:val="000000"/>
          <w:spacing w:val="0"/>
          <w:kern w:val="0"/>
          <w:position w:val="0"/>
          <w:sz w:val="21"/>
          <w:szCs w:val="21"/>
          <w:lang w:eastAsia="en-US"/>
        </w:rPr>
        <w:t xml:space="preserve">表 </w:t>
      </w:r>
      <w:r>
        <w:rPr>
          <w:rFonts w:hint="eastAsia" w:ascii="黑体" w:hAnsi="黑体" w:eastAsia="黑体" w:cs="黑体"/>
          <w:b/>
          <w:bCs/>
          <w:snapToGrid w:val="0"/>
          <w:color w:val="000000"/>
          <w:spacing w:val="0"/>
          <w:kern w:val="0"/>
          <w:position w:val="0"/>
          <w:sz w:val="21"/>
          <w:szCs w:val="21"/>
          <w:lang w:eastAsia="en-US"/>
        </w:rPr>
        <w:fldChar w:fldCharType="begin"/>
      </w:r>
      <w:r>
        <w:rPr>
          <w:rFonts w:hint="eastAsia" w:ascii="黑体" w:hAnsi="黑体" w:eastAsia="黑体" w:cs="黑体"/>
          <w:b/>
          <w:bCs/>
          <w:snapToGrid w:val="0"/>
          <w:color w:val="000000"/>
          <w:spacing w:val="0"/>
          <w:kern w:val="0"/>
          <w:position w:val="0"/>
          <w:sz w:val="21"/>
          <w:szCs w:val="21"/>
          <w:lang w:eastAsia="en-US"/>
        </w:rPr>
        <w:instrText xml:space="preserve"> SEQ 表 \* ARABIC </w:instrText>
      </w:r>
      <w:r>
        <w:rPr>
          <w:rFonts w:hint="eastAsia" w:ascii="黑体" w:hAnsi="黑体" w:eastAsia="黑体" w:cs="黑体"/>
          <w:b/>
          <w:bCs/>
          <w:snapToGrid w:val="0"/>
          <w:color w:val="000000"/>
          <w:spacing w:val="0"/>
          <w:kern w:val="0"/>
          <w:position w:val="0"/>
          <w:sz w:val="21"/>
          <w:szCs w:val="21"/>
          <w:lang w:eastAsia="en-US"/>
        </w:rPr>
        <w:fldChar w:fldCharType="separate"/>
      </w:r>
      <w:r>
        <w:rPr>
          <w:rFonts w:hint="eastAsia" w:ascii="黑体" w:hAnsi="黑体" w:eastAsia="黑体" w:cs="黑体"/>
          <w:b/>
          <w:bCs/>
          <w:snapToGrid w:val="0"/>
          <w:color w:val="000000"/>
          <w:spacing w:val="0"/>
          <w:kern w:val="0"/>
          <w:position w:val="0"/>
          <w:sz w:val="21"/>
          <w:szCs w:val="21"/>
          <w:lang w:eastAsia="en-US"/>
        </w:rPr>
        <w:t>3</w:t>
      </w:r>
      <w:r>
        <w:rPr>
          <w:rFonts w:hint="eastAsia" w:ascii="黑体" w:hAnsi="黑体" w:eastAsia="黑体" w:cs="黑体"/>
          <w:b/>
          <w:bCs/>
          <w:snapToGrid w:val="0"/>
          <w:color w:val="000000"/>
          <w:spacing w:val="0"/>
          <w:kern w:val="0"/>
          <w:position w:val="0"/>
          <w:sz w:val="21"/>
          <w:szCs w:val="21"/>
          <w:lang w:eastAsia="en-US"/>
        </w:rPr>
        <w:fldChar w:fldCharType="end"/>
      </w:r>
      <w:r>
        <w:rPr>
          <w:rFonts w:hint="eastAsia" w:ascii="黑体" w:hAnsi="黑体" w:eastAsia="黑体" w:cs="黑体"/>
          <w:b/>
          <w:bCs/>
          <w:snapToGrid w:val="0"/>
          <w:color w:val="000000"/>
          <w:spacing w:val="0"/>
          <w:kern w:val="0"/>
          <w:position w:val="0"/>
          <w:sz w:val="21"/>
          <w:szCs w:val="21"/>
          <w:lang w:eastAsia="zh-CN"/>
        </w:rPr>
        <w:t xml:space="preserve"> 不同MSW成分干物质含量、总碳含量和化石碳</w:t>
      </w:r>
    </w:p>
    <w:tbl>
      <w:tblPr>
        <w:tblStyle w:val="14"/>
        <w:tblW w:w="8526" w:type="dxa"/>
        <w:tblInd w:w="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11"/>
        <w:gridCol w:w="2606"/>
        <w:gridCol w:w="1129"/>
        <w:gridCol w:w="952"/>
        <w:gridCol w:w="1035"/>
        <w:gridCol w:w="993"/>
      </w:tblGrid>
      <w:tr w14:paraId="0D30D04E">
        <w:trPr>
          <w:trHeight w:val="0" w:hRule="atLeast"/>
          <w:tblHeader/>
        </w:trPr>
        <w:tc>
          <w:tcPr>
            <w:tcW w:w="1811" w:type="dxa"/>
            <w:vMerge w:val="restart"/>
            <w:vAlign w:val="center"/>
          </w:tcPr>
          <w:p w14:paraId="6EBE006A">
            <w:pPr>
              <w:pStyle w:val="20"/>
              <w:bidi w:val="0"/>
              <w:snapToGrid w:val="0"/>
              <w:ind w:left="0" w:leftChars="0" w:right="0" w:rightChars="0" w:firstLine="0" w:firstLineChars="0"/>
              <w:jc w:val="center"/>
              <w:rPr>
                <w:rFonts w:hint="default" w:ascii="Times New Roman" w:hAnsi="Times New Roman" w:cs="Times New Roman"/>
                <w:b/>
                <w:lang w:val="en-US" w:eastAsia="zh-CN"/>
              </w:rPr>
            </w:pPr>
            <w:r>
              <w:rPr>
                <w:rFonts w:hint="default" w:ascii="Times New Roman" w:hAnsi="Times New Roman" w:cs="Times New Roman"/>
                <w:b/>
                <w:lang w:val="en-US" w:eastAsia="zh-CN"/>
              </w:rPr>
              <w:t>MSW成分</w:t>
            </w:r>
          </w:p>
        </w:tc>
        <w:tc>
          <w:tcPr>
            <w:tcW w:w="2606" w:type="dxa"/>
            <w:vAlign w:val="center"/>
          </w:tcPr>
          <w:p w14:paraId="3390AF34">
            <w:pPr>
              <w:pStyle w:val="20"/>
              <w:bidi w:val="0"/>
              <w:snapToGrid w:val="0"/>
              <w:ind w:left="0" w:leftChars="0" w:right="0" w:rightChars="0" w:firstLine="0" w:firstLineChars="0"/>
              <w:rPr>
                <w:rFonts w:hint="default" w:ascii="Times New Roman" w:hAnsi="Times New Roman" w:cs="Times New Roman"/>
                <w:b/>
                <w:lang w:val="en-US" w:eastAsia="zh-CN"/>
              </w:rPr>
            </w:pPr>
            <w:r>
              <w:rPr>
                <w:rFonts w:hint="default" w:ascii="Times New Roman" w:hAnsi="Times New Roman" w:cs="Times New Roman"/>
                <w:b/>
                <w:lang w:val="en-US" w:eastAsia="zh-CN"/>
              </w:rPr>
              <w:t>干物质含量占湿重</w:t>
            </w:r>
            <w:r>
              <w:rPr>
                <w:rFonts w:hint="default" w:ascii="Times New Roman" w:hAnsi="Times New Roman" w:cs="Times New Roman"/>
                <w:b/>
                <w:lang w:val="en-US" w:eastAsia="zh-CN"/>
              </w:rPr>
              <w:br w:type="textWrapping"/>
            </w:r>
            <w:r>
              <w:rPr>
                <w:rFonts w:hint="default" w:ascii="Times New Roman" w:hAnsi="Times New Roman" w:cs="Times New Roman"/>
                <w:b/>
                <w:lang w:val="en-US" w:eastAsia="zh-CN"/>
              </w:rPr>
              <w:t>（%）</w:t>
            </w:r>
          </w:p>
        </w:tc>
        <w:tc>
          <w:tcPr>
            <w:tcW w:w="952" w:type="dxa"/>
            <w:gridSpan w:val="2"/>
            <w:vAlign w:val="center"/>
          </w:tcPr>
          <w:p w14:paraId="25A3F304">
            <w:pPr>
              <w:pStyle w:val="20"/>
              <w:bidi w:val="0"/>
              <w:snapToGrid w:val="0"/>
              <w:ind w:left="0" w:leftChars="0" w:right="0" w:rightChars="0" w:firstLine="0" w:firstLineChars="0"/>
              <w:jc w:val="center"/>
              <w:rPr>
                <w:rFonts w:hint="default" w:ascii="Times New Roman" w:hAnsi="Times New Roman" w:cs="Times New Roman"/>
                <w:b/>
                <w:lang w:val="en-US" w:eastAsia="zh-CN"/>
              </w:rPr>
            </w:pPr>
            <w:r>
              <w:rPr>
                <w:rFonts w:hint="default" w:ascii="Times New Roman" w:hAnsi="Times New Roman" w:cs="Times New Roman"/>
                <w:b/>
                <w:lang w:val="en-US" w:eastAsia="zh-CN"/>
              </w:rPr>
              <w:t>总碳含量占干重（%）</w:t>
            </w:r>
          </w:p>
        </w:tc>
        <w:tc>
          <w:tcPr>
            <w:tcW w:w="993" w:type="dxa"/>
            <w:gridSpan w:val="2"/>
            <w:vAlign w:val="center"/>
          </w:tcPr>
          <w:p w14:paraId="525EB71D">
            <w:pPr>
              <w:pStyle w:val="20"/>
              <w:bidi w:val="0"/>
              <w:snapToGrid w:val="0"/>
              <w:ind w:left="0" w:leftChars="0" w:right="0" w:rightChars="0" w:firstLine="0" w:firstLineChars="0"/>
              <w:jc w:val="center"/>
              <w:rPr>
                <w:rFonts w:hint="default" w:ascii="Times New Roman" w:hAnsi="Times New Roman" w:cs="Times New Roman"/>
                <w:b/>
                <w:lang w:val="en-US" w:eastAsia="zh-CN"/>
              </w:rPr>
            </w:pPr>
            <w:r>
              <w:rPr>
                <w:rFonts w:hint="default" w:ascii="Times New Roman" w:hAnsi="Times New Roman" w:cs="Times New Roman"/>
                <w:b/>
                <w:lang w:val="en-US" w:eastAsia="zh-CN"/>
              </w:rPr>
              <w:t>化石碳占总碳</w:t>
            </w:r>
            <w:r>
              <w:rPr>
                <w:rFonts w:hint="default" w:ascii="Times New Roman" w:hAnsi="Times New Roman" w:cs="Times New Roman"/>
                <w:b/>
                <w:lang w:val="en-US" w:eastAsia="zh-CN"/>
              </w:rPr>
              <w:br w:type="textWrapping"/>
            </w:r>
            <w:r>
              <w:rPr>
                <w:rFonts w:hint="default" w:ascii="Times New Roman" w:hAnsi="Times New Roman" w:cs="Times New Roman"/>
                <w:b/>
                <w:lang w:val="en-US" w:eastAsia="zh-CN"/>
              </w:rPr>
              <w:t>（%）</w:t>
            </w:r>
          </w:p>
        </w:tc>
      </w:tr>
      <w:tr w14:paraId="766A55B1">
        <w:trPr>
          <w:trHeight w:val="0" w:hRule="atLeast"/>
          <w:tblHeader/>
        </w:trPr>
        <w:tc>
          <w:tcPr>
            <w:tcW w:w="1811" w:type="dxa"/>
            <w:vMerge w:val="continue"/>
            <w:vAlign w:val="center"/>
          </w:tcPr>
          <w:p w14:paraId="114A4495">
            <w:pPr>
              <w:pStyle w:val="20"/>
              <w:bidi w:val="0"/>
              <w:snapToGrid w:val="0"/>
              <w:ind w:left="0" w:leftChars="0" w:right="0" w:rightChars="0" w:firstLine="0" w:firstLineChars="0"/>
              <w:rPr>
                <w:rFonts w:hint="default" w:ascii="Times New Roman" w:hAnsi="Times New Roman" w:cs="Times New Roman"/>
                <w:b/>
                <w:lang w:val="en-US" w:eastAsia="zh-CN"/>
              </w:rPr>
            </w:pPr>
          </w:p>
        </w:tc>
        <w:tc>
          <w:tcPr>
            <w:tcW w:w="2606" w:type="dxa"/>
            <w:vAlign w:val="center"/>
          </w:tcPr>
          <w:p w14:paraId="2BE2F6F0">
            <w:pPr>
              <w:pStyle w:val="20"/>
              <w:bidi w:val="0"/>
              <w:snapToGrid w:val="0"/>
              <w:ind w:left="0" w:leftChars="0" w:right="0" w:rightChars="0" w:firstLine="0" w:firstLineChars="0"/>
              <w:rPr>
                <w:rFonts w:hint="default" w:ascii="Times New Roman" w:hAnsi="Times New Roman" w:cs="Times New Roman"/>
                <w:b/>
                <w:lang w:val="en-US" w:eastAsia="zh-CN"/>
              </w:rPr>
            </w:pPr>
            <w:r>
              <w:rPr>
                <w:rFonts w:hint="default" w:ascii="Times New Roman" w:hAnsi="Times New Roman" w:cs="Times New Roman"/>
                <w:b/>
                <w:lang w:val="en-US" w:eastAsia="zh-CN"/>
              </w:rPr>
              <w:t>缺省值</w:t>
            </w:r>
          </w:p>
        </w:tc>
        <w:tc>
          <w:tcPr>
            <w:tcW w:w="1129" w:type="dxa"/>
            <w:vAlign w:val="center"/>
          </w:tcPr>
          <w:p w14:paraId="30F56A4E">
            <w:pPr>
              <w:pStyle w:val="20"/>
              <w:bidi w:val="0"/>
              <w:snapToGrid w:val="0"/>
              <w:ind w:left="0" w:leftChars="0" w:right="0" w:rightChars="0" w:firstLine="0" w:firstLineChars="0"/>
              <w:rPr>
                <w:rFonts w:hint="default" w:ascii="Times New Roman" w:hAnsi="Times New Roman" w:cs="Times New Roman"/>
                <w:b/>
                <w:lang w:val="en-US" w:eastAsia="zh-CN"/>
              </w:rPr>
            </w:pPr>
            <w:r>
              <w:rPr>
                <w:rFonts w:hint="default" w:ascii="Times New Roman" w:hAnsi="Times New Roman" w:cs="Times New Roman"/>
                <w:b/>
                <w:lang w:val="en-US" w:eastAsia="zh-CN"/>
              </w:rPr>
              <w:t>缺省值</w:t>
            </w:r>
          </w:p>
        </w:tc>
        <w:tc>
          <w:tcPr>
            <w:tcW w:w="952" w:type="dxa"/>
            <w:vAlign w:val="center"/>
          </w:tcPr>
          <w:p w14:paraId="34A07C55">
            <w:pPr>
              <w:pStyle w:val="20"/>
              <w:bidi w:val="0"/>
              <w:snapToGrid w:val="0"/>
              <w:ind w:left="0" w:leftChars="0" w:right="0" w:rightChars="0" w:firstLine="0" w:firstLineChars="0"/>
              <w:rPr>
                <w:rFonts w:hint="default" w:ascii="Times New Roman" w:hAnsi="Times New Roman" w:cs="Times New Roman"/>
                <w:b/>
                <w:lang w:val="en-US" w:eastAsia="zh-CN"/>
              </w:rPr>
            </w:pPr>
            <w:r>
              <w:rPr>
                <w:rFonts w:hint="default" w:ascii="Times New Roman" w:hAnsi="Times New Roman" w:cs="Times New Roman"/>
                <w:b/>
                <w:lang w:val="en-US" w:eastAsia="zh-CN"/>
              </w:rPr>
              <w:t>范围</w:t>
            </w:r>
          </w:p>
        </w:tc>
        <w:tc>
          <w:tcPr>
            <w:tcW w:w="1035" w:type="dxa"/>
            <w:vAlign w:val="center"/>
          </w:tcPr>
          <w:p w14:paraId="1C9392F3">
            <w:pPr>
              <w:pStyle w:val="20"/>
              <w:bidi w:val="0"/>
              <w:snapToGrid w:val="0"/>
              <w:ind w:left="0" w:leftChars="0" w:right="0" w:rightChars="0" w:firstLine="0" w:firstLineChars="0"/>
              <w:rPr>
                <w:rFonts w:hint="default" w:ascii="Times New Roman" w:hAnsi="Times New Roman" w:cs="Times New Roman"/>
                <w:b/>
                <w:lang w:val="en-US" w:eastAsia="zh-CN"/>
              </w:rPr>
            </w:pPr>
            <w:r>
              <w:rPr>
                <w:rFonts w:hint="default" w:ascii="Times New Roman" w:hAnsi="Times New Roman" w:cs="Times New Roman"/>
                <w:b/>
                <w:lang w:val="en-US" w:eastAsia="zh-CN"/>
              </w:rPr>
              <w:t>缺省值</w:t>
            </w:r>
          </w:p>
        </w:tc>
        <w:tc>
          <w:tcPr>
            <w:tcW w:w="993" w:type="dxa"/>
            <w:vAlign w:val="center"/>
          </w:tcPr>
          <w:p w14:paraId="711339C6">
            <w:pPr>
              <w:pStyle w:val="20"/>
              <w:bidi w:val="0"/>
              <w:snapToGrid w:val="0"/>
              <w:ind w:left="0" w:leftChars="0" w:right="0" w:rightChars="0" w:firstLine="0" w:firstLineChars="0"/>
              <w:rPr>
                <w:rFonts w:hint="default" w:ascii="Times New Roman" w:hAnsi="Times New Roman" w:cs="Times New Roman"/>
                <w:b/>
                <w:lang w:val="en-US" w:eastAsia="zh-CN"/>
              </w:rPr>
            </w:pPr>
            <w:r>
              <w:rPr>
                <w:rFonts w:hint="default" w:ascii="Times New Roman" w:hAnsi="Times New Roman" w:cs="Times New Roman"/>
                <w:b/>
                <w:lang w:val="en-US" w:eastAsia="zh-CN"/>
              </w:rPr>
              <w:t>范围</w:t>
            </w:r>
          </w:p>
        </w:tc>
      </w:tr>
      <w:tr w14:paraId="3C87D8EC">
        <w:trPr>
          <w:trHeight w:val="0" w:hRule="atLeast"/>
        </w:trPr>
        <w:tc>
          <w:tcPr>
            <w:tcW w:w="1811" w:type="dxa"/>
            <w:vAlign w:val="center"/>
          </w:tcPr>
          <w:p w14:paraId="02697E67">
            <w:pPr>
              <w:pStyle w:val="20"/>
              <w:bidi w:val="0"/>
              <w:snapToGrid w:val="0"/>
              <w:ind w:left="0" w:leftChars="0" w:right="0" w:rightChars="0" w:firstLine="0" w:firstLineChars="0"/>
              <w:jc w:val="left"/>
              <w:rPr>
                <w:rFonts w:hint="default" w:ascii="Times New Roman" w:hAnsi="Times New Roman" w:cs="Times New Roman"/>
                <w:lang w:val="en-US" w:eastAsia="zh-CN"/>
              </w:rPr>
            </w:pPr>
            <w:r>
              <w:rPr>
                <w:rFonts w:hint="default" w:ascii="Times New Roman" w:hAnsi="Times New Roman" w:cs="Times New Roman"/>
                <w:lang w:val="en-US" w:eastAsia="zh-CN"/>
              </w:rPr>
              <w:t>纸张/纸板</w:t>
            </w:r>
          </w:p>
        </w:tc>
        <w:tc>
          <w:tcPr>
            <w:tcW w:w="2606" w:type="dxa"/>
            <w:vAlign w:val="center"/>
          </w:tcPr>
          <w:p w14:paraId="258C2A11">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90</w:t>
            </w:r>
          </w:p>
        </w:tc>
        <w:tc>
          <w:tcPr>
            <w:tcW w:w="1129" w:type="dxa"/>
            <w:vAlign w:val="center"/>
          </w:tcPr>
          <w:p w14:paraId="17B6E59E">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46</w:t>
            </w:r>
          </w:p>
        </w:tc>
        <w:tc>
          <w:tcPr>
            <w:tcW w:w="952" w:type="dxa"/>
            <w:vAlign w:val="center"/>
          </w:tcPr>
          <w:p w14:paraId="2D3BAC5C">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42</w:t>
            </w:r>
            <w:r>
              <w:rPr>
                <w:rFonts w:hint="eastAsia" w:cs="Times New Roman"/>
                <w:lang w:val="en-US" w:eastAsia="zh-CN"/>
              </w:rPr>
              <w:t>～</w:t>
            </w:r>
            <w:r>
              <w:rPr>
                <w:rFonts w:hint="default" w:ascii="Times New Roman" w:hAnsi="Times New Roman" w:cs="Times New Roman"/>
                <w:lang w:val="en-US" w:eastAsia="zh-CN"/>
              </w:rPr>
              <w:t>25</w:t>
            </w:r>
          </w:p>
        </w:tc>
        <w:tc>
          <w:tcPr>
            <w:tcW w:w="1035" w:type="dxa"/>
            <w:vAlign w:val="center"/>
          </w:tcPr>
          <w:p w14:paraId="61348F66">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1</w:t>
            </w:r>
          </w:p>
        </w:tc>
        <w:tc>
          <w:tcPr>
            <w:tcW w:w="993" w:type="dxa"/>
            <w:vAlign w:val="center"/>
          </w:tcPr>
          <w:p w14:paraId="2D50E592">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0</w:t>
            </w:r>
            <w:r>
              <w:rPr>
                <w:rFonts w:hint="eastAsia" w:cs="Times New Roman"/>
                <w:lang w:val="en-US" w:eastAsia="zh-CN"/>
              </w:rPr>
              <w:t>～</w:t>
            </w:r>
            <w:r>
              <w:rPr>
                <w:rFonts w:hint="default" w:ascii="Times New Roman" w:hAnsi="Times New Roman" w:cs="Times New Roman"/>
                <w:lang w:val="en-US" w:eastAsia="zh-CN"/>
              </w:rPr>
              <w:t>5</w:t>
            </w:r>
          </w:p>
        </w:tc>
      </w:tr>
      <w:tr w14:paraId="06C6163B">
        <w:trPr>
          <w:trHeight w:val="0" w:hRule="atLeast"/>
        </w:trPr>
        <w:tc>
          <w:tcPr>
            <w:tcW w:w="1811" w:type="dxa"/>
            <w:vAlign w:val="center"/>
          </w:tcPr>
          <w:p w14:paraId="72DD35DC">
            <w:pPr>
              <w:pStyle w:val="20"/>
              <w:bidi w:val="0"/>
              <w:snapToGrid w:val="0"/>
              <w:ind w:left="0" w:leftChars="0" w:right="0" w:rightChars="0" w:firstLine="0" w:firstLineChars="0"/>
              <w:jc w:val="left"/>
              <w:rPr>
                <w:rFonts w:hint="default" w:ascii="Times New Roman" w:hAnsi="Times New Roman" w:cs="Times New Roman"/>
                <w:lang w:val="en-US" w:eastAsia="zh-CN"/>
              </w:rPr>
            </w:pPr>
            <w:r>
              <w:rPr>
                <w:rFonts w:hint="default" w:ascii="Times New Roman" w:hAnsi="Times New Roman" w:cs="Times New Roman"/>
                <w:lang w:val="en-US" w:eastAsia="zh-CN"/>
              </w:rPr>
              <w:t>纺织类</w:t>
            </w:r>
          </w:p>
        </w:tc>
        <w:tc>
          <w:tcPr>
            <w:tcW w:w="2606" w:type="dxa"/>
            <w:vAlign w:val="center"/>
          </w:tcPr>
          <w:p w14:paraId="151773BB">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80</w:t>
            </w:r>
          </w:p>
        </w:tc>
        <w:tc>
          <w:tcPr>
            <w:tcW w:w="1129" w:type="dxa"/>
            <w:vAlign w:val="center"/>
          </w:tcPr>
          <w:p w14:paraId="4AFC9049">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50</w:t>
            </w:r>
          </w:p>
        </w:tc>
        <w:tc>
          <w:tcPr>
            <w:tcW w:w="952" w:type="dxa"/>
            <w:vAlign w:val="center"/>
          </w:tcPr>
          <w:p w14:paraId="2232783F">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25</w:t>
            </w:r>
            <w:r>
              <w:rPr>
                <w:rFonts w:hint="eastAsia" w:cs="Times New Roman"/>
                <w:lang w:val="en-US" w:eastAsia="zh-CN"/>
              </w:rPr>
              <w:t>～</w:t>
            </w:r>
            <w:r>
              <w:rPr>
                <w:rFonts w:hint="default" w:ascii="Times New Roman" w:hAnsi="Times New Roman" w:cs="Times New Roman"/>
                <w:lang w:val="en-US" w:eastAsia="zh-CN"/>
              </w:rPr>
              <w:t>50</w:t>
            </w:r>
          </w:p>
        </w:tc>
        <w:tc>
          <w:tcPr>
            <w:tcW w:w="1035" w:type="dxa"/>
            <w:vAlign w:val="center"/>
          </w:tcPr>
          <w:p w14:paraId="1700D570">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20</w:t>
            </w:r>
          </w:p>
        </w:tc>
        <w:tc>
          <w:tcPr>
            <w:tcW w:w="993" w:type="dxa"/>
            <w:vAlign w:val="center"/>
          </w:tcPr>
          <w:p w14:paraId="391EBCF7">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0</w:t>
            </w:r>
            <w:r>
              <w:rPr>
                <w:rFonts w:hint="eastAsia" w:cs="Times New Roman"/>
                <w:lang w:val="en-US" w:eastAsia="zh-CN"/>
              </w:rPr>
              <w:t>～</w:t>
            </w:r>
            <w:r>
              <w:rPr>
                <w:rFonts w:hint="default" w:ascii="Times New Roman" w:hAnsi="Times New Roman" w:cs="Times New Roman"/>
                <w:lang w:val="en-US" w:eastAsia="zh-CN"/>
              </w:rPr>
              <w:t>50</w:t>
            </w:r>
          </w:p>
        </w:tc>
      </w:tr>
      <w:tr w14:paraId="52EE3754">
        <w:trPr>
          <w:trHeight w:val="0" w:hRule="atLeast"/>
        </w:trPr>
        <w:tc>
          <w:tcPr>
            <w:tcW w:w="1811" w:type="dxa"/>
            <w:vAlign w:val="center"/>
          </w:tcPr>
          <w:p w14:paraId="6E10FABF">
            <w:pPr>
              <w:pStyle w:val="20"/>
              <w:bidi w:val="0"/>
              <w:snapToGrid w:val="0"/>
              <w:ind w:left="0" w:leftChars="0" w:right="0" w:rightChars="0" w:firstLine="0" w:firstLineChars="0"/>
              <w:jc w:val="left"/>
              <w:rPr>
                <w:rFonts w:hint="default" w:ascii="Times New Roman" w:hAnsi="Times New Roman" w:cs="Times New Roman"/>
                <w:lang w:val="en-US" w:eastAsia="zh-CN"/>
              </w:rPr>
            </w:pPr>
            <w:r>
              <w:rPr>
                <w:rFonts w:hint="default" w:ascii="Times New Roman" w:hAnsi="Times New Roman" w:cs="Times New Roman"/>
                <w:lang w:val="en-US" w:eastAsia="zh-CN"/>
              </w:rPr>
              <w:t>厨余垃圾</w:t>
            </w:r>
          </w:p>
        </w:tc>
        <w:tc>
          <w:tcPr>
            <w:tcW w:w="2606" w:type="dxa"/>
            <w:vAlign w:val="center"/>
          </w:tcPr>
          <w:p w14:paraId="3F1BC489">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40</w:t>
            </w:r>
          </w:p>
        </w:tc>
        <w:tc>
          <w:tcPr>
            <w:tcW w:w="1129" w:type="dxa"/>
            <w:vAlign w:val="center"/>
          </w:tcPr>
          <w:p w14:paraId="05B2C988">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38</w:t>
            </w:r>
          </w:p>
        </w:tc>
        <w:tc>
          <w:tcPr>
            <w:tcW w:w="952" w:type="dxa"/>
            <w:vAlign w:val="center"/>
          </w:tcPr>
          <w:p w14:paraId="018391C1">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20</w:t>
            </w:r>
            <w:r>
              <w:rPr>
                <w:rFonts w:hint="eastAsia" w:cs="Times New Roman"/>
                <w:lang w:val="en-US" w:eastAsia="zh-CN"/>
              </w:rPr>
              <w:t>～</w:t>
            </w:r>
            <w:r>
              <w:rPr>
                <w:rFonts w:hint="default" w:ascii="Times New Roman" w:hAnsi="Times New Roman" w:cs="Times New Roman"/>
                <w:lang w:val="en-US" w:eastAsia="zh-CN"/>
              </w:rPr>
              <w:t>50</w:t>
            </w:r>
          </w:p>
        </w:tc>
        <w:tc>
          <w:tcPr>
            <w:tcW w:w="1035" w:type="dxa"/>
            <w:vAlign w:val="center"/>
          </w:tcPr>
          <w:p w14:paraId="7CB4AE65">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w:t>
            </w:r>
          </w:p>
        </w:tc>
        <w:tc>
          <w:tcPr>
            <w:tcW w:w="993" w:type="dxa"/>
            <w:vAlign w:val="center"/>
          </w:tcPr>
          <w:p w14:paraId="5EFB0213">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w:t>
            </w:r>
          </w:p>
        </w:tc>
      </w:tr>
      <w:tr w14:paraId="55B9115A">
        <w:trPr>
          <w:trHeight w:val="0" w:hRule="atLeast"/>
        </w:trPr>
        <w:tc>
          <w:tcPr>
            <w:tcW w:w="1811" w:type="dxa"/>
            <w:vAlign w:val="center"/>
          </w:tcPr>
          <w:p w14:paraId="56A3FD2D">
            <w:pPr>
              <w:pStyle w:val="20"/>
              <w:bidi w:val="0"/>
              <w:snapToGrid w:val="0"/>
              <w:ind w:left="0" w:leftChars="0" w:right="0" w:rightChars="0" w:firstLine="0" w:firstLineChars="0"/>
              <w:jc w:val="left"/>
              <w:rPr>
                <w:rFonts w:hint="default" w:ascii="Times New Roman" w:hAnsi="Times New Roman" w:cs="Times New Roman"/>
                <w:lang w:val="en-US" w:eastAsia="zh-CN"/>
              </w:rPr>
            </w:pPr>
            <w:r>
              <w:rPr>
                <w:rFonts w:hint="default" w:ascii="Times New Roman" w:hAnsi="Times New Roman" w:cs="Times New Roman"/>
                <w:lang w:val="en-US" w:eastAsia="zh-CN"/>
              </w:rPr>
              <w:t>木材类</w:t>
            </w:r>
          </w:p>
        </w:tc>
        <w:tc>
          <w:tcPr>
            <w:tcW w:w="2606" w:type="dxa"/>
            <w:vAlign w:val="center"/>
          </w:tcPr>
          <w:p w14:paraId="5BBDA898">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85</w:t>
            </w:r>
          </w:p>
        </w:tc>
        <w:tc>
          <w:tcPr>
            <w:tcW w:w="1129" w:type="dxa"/>
            <w:vAlign w:val="center"/>
          </w:tcPr>
          <w:p w14:paraId="572FB4D5">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50</w:t>
            </w:r>
          </w:p>
        </w:tc>
        <w:tc>
          <w:tcPr>
            <w:tcW w:w="952" w:type="dxa"/>
            <w:vAlign w:val="center"/>
          </w:tcPr>
          <w:p w14:paraId="5C611F44">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46</w:t>
            </w:r>
            <w:r>
              <w:rPr>
                <w:rFonts w:hint="eastAsia" w:cs="Times New Roman"/>
                <w:lang w:val="en-US" w:eastAsia="zh-CN"/>
              </w:rPr>
              <w:t>～</w:t>
            </w:r>
            <w:r>
              <w:rPr>
                <w:rFonts w:hint="default" w:ascii="Times New Roman" w:hAnsi="Times New Roman" w:cs="Times New Roman"/>
                <w:lang w:val="en-US" w:eastAsia="zh-CN"/>
              </w:rPr>
              <w:t>54</w:t>
            </w:r>
          </w:p>
        </w:tc>
        <w:tc>
          <w:tcPr>
            <w:tcW w:w="1035" w:type="dxa"/>
            <w:vAlign w:val="center"/>
          </w:tcPr>
          <w:p w14:paraId="3792BBCB">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w:t>
            </w:r>
          </w:p>
        </w:tc>
        <w:tc>
          <w:tcPr>
            <w:tcW w:w="993" w:type="dxa"/>
            <w:vAlign w:val="center"/>
          </w:tcPr>
          <w:p w14:paraId="047933D8">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w:t>
            </w:r>
          </w:p>
        </w:tc>
      </w:tr>
      <w:tr w14:paraId="1EF9D75A">
        <w:trPr>
          <w:trHeight w:val="0" w:hRule="atLeast"/>
        </w:trPr>
        <w:tc>
          <w:tcPr>
            <w:tcW w:w="1811" w:type="dxa"/>
            <w:vAlign w:val="center"/>
          </w:tcPr>
          <w:p w14:paraId="4478E9AF">
            <w:pPr>
              <w:pStyle w:val="20"/>
              <w:bidi w:val="0"/>
              <w:snapToGrid w:val="0"/>
              <w:ind w:left="0" w:leftChars="0" w:right="0" w:rightChars="0" w:firstLine="0" w:firstLineChars="0"/>
              <w:jc w:val="left"/>
              <w:rPr>
                <w:rFonts w:hint="default" w:ascii="Times New Roman" w:hAnsi="Times New Roman" w:cs="Times New Roman"/>
                <w:lang w:val="en-US" w:eastAsia="zh-CN"/>
              </w:rPr>
            </w:pPr>
            <w:r>
              <w:rPr>
                <w:rFonts w:hint="default" w:ascii="Times New Roman" w:hAnsi="Times New Roman" w:cs="Times New Roman"/>
                <w:lang w:val="en-US" w:eastAsia="zh-CN"/>
              </w:rPr>
              <w:t>尿布</w:t>
            </w:r>
          </w:p>
        </w:tc>
        <w:tc>
          <w:tcPr>
            <w:tcW w:w="2606" w:type="dxa"/>
            <w:vAlign w:val="center"/>
          </w:tcPr>
          <w:p w14:paraId="3D17EBE3">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40</w:t>
            </w:r>
          </w:p>
        </w:tc>
        <w:tc>
          <w:tcPr>
            <w:tcW w:w="1129" w:type="dxa"/>
            <w:vAlign w:val="center"/>
          </w:tcPr>
          <w:p w14:paraId="2F29BBCE">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70</w:t>
            </w:r>
          </w:p>
        </w:tc>
        <w:tc>
          <w:tcPr>
            <w:tcW w:w="952" w:type="dxa"/>
            <w:vAlign w:val="center"/>
          </w:tcPr>
          <w:p w14:paraId="304CEEF0">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54</w:t>
            </w:r>
            <w:r>
              <w:rPr>
                <w:rFonts w:hint="eastAsia" w:cs="Times New Roman"/>
                <w:lang w:val="en-US" w:eastAsia="zh-CN"/>
              </w:rPr>
              <w:t>～</w:t>
            </w:r>
            <w:r>
              <w:rPr>
                <w:rFonts w:hint="default" w:ascii="Times New Roman" w:hAnsi="Times New Roman" w:cs="Times New Roman"/>
                <w:lang w:val="en-US" w:eastAsia="zh-CN"/>
              </w:rPr>
              <w:t>90</w:t>
            </w:r>
          </w:p>
        </w:tc>
        <w:tc>
          <w:tcPr>
            <w:tcW w:w="1035" w:type="dxa"/>
            <w:vAlign w:val="center"/>
          </w:tcPr>
          <w:p w14:paraId="768B5237">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10</w:t>
            </w:r>
          </w:p>
        </w:tc>
        <w:tc>
          <w:tcPr>
            <w:tcW w:w="993" w:type="dxa"/>
            <w:vAlign w:val="center"/>
          </w:tcPr>
          <w:p w14:paraId="37C217C2">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10</w:t>
            </w:r>
          </w:p>
        </w:tc>
      </w:tr>
      <w:tr w14:paraId="412EDCDA">
        <w:trPr>
          <w:trHeight w:val="0" w:hRule="atLeast"/>
        </w:trPr>
        <w:tc>
          <w:tcPr>
            <w:tcW w:w="1811" w:type="dxa"/>
            <w:vAlign w:val="center"/>
          </w:tcPr>
          <w:p w14:paraId="67DC72A1">
            <w:pPr>
              <w:pStyle w:val="20"/>
              <w:bidi w:val="0"/>
              <w:snapToGrid w:val="0"/>
              <w:ind w:left="0" w:leftChars="0" w:right="0" w:rightChars="0" w:firstLine="0" w:firstLineChars="0"/>
              <w:jc w:val="left"/>
              <w:rPr>
                <w:rFonts w:hint="default" w:ascii="Times New Roman" w:hAnsi="Times New Roman" w:cs="Times New Roman"/>
                <w:lang w:val="en-US" w:eastAsia="zh-CN"/>
              </w:rPr>
            </w:pPr>
            <w:r>
              <w:rPr>
                <w:rFonts w:hint="default" w:ascii="Times New Roman" w:hAnsi="Times New Roman" w:cs="Times New Roman"/>
                <w:lang w:val="en-US" w:eastAsia="zh-CN"/>
              </w:rPr>
              <w:t>橡塑类</w:t>
            </w:r>
          </w:p>
        </w:tc>
        <w:tc>
          <w:tcPr>
            <w:tcW w:w="2606" w:type="dxa"/>
            <w:vAlign w:val="center"/>
          </w:tcPr>
          <w:p w14:paraId="0FC5BAEF">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84</w:t>
            </w:r>
          </w:p>
        </w:tc>
        <w:tc>
          <w:tcPr>
            <w:tcW w:w="1129" w:type="dxa"/>
            <w:vAlign w:val="center"/>
          </w:tcPr>
          <w:p w14:paraId="5D7E9E99">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67</w:t>
            </w:r>
          </w:p>
        </w:tc>
        <w:tc>
          <w:tcPr>
            <w:tcW w:w="952" w:type="dxa"/>
            <w:vAlign w:val="center"/>
          </w:tcPr>
          <w:p w14:paraId="69DFCE3E">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67</w:t>
            </w:r>
          </w:p>
        </w:tc>
        <w:tc>
          <w:tcPr>
            <w:tcW w:w="1035" w:type="dxa"/>
            <w:vAlign w:val="center"/>
          </w:tcPr>
          <w:p w14:paraId="752DBF3E">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20</w:t>
            </w:r>
          </w:p>
        </w:tc>
        <w:tc>
          <w:tcPr>
            <w:tcW w:w="993" w:type="dxa"/>
            <w:vAlign w:val="center"/>
          </w:tcPr>
          <w:p w14:paraId="75590534">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20</w:t>
            </w:r>
          </w:p>
        </w:tc>
      </w:tr>
      <w:tr w14:paraId="61D10D92">
        <w:trPr>
          <w:trHeight w:val="0" w:hRule="atLeast"/>
        </w:trPr>
        <w:tc>
          <w:tcPr>
            <w:tcW w:w="1811" w:type="dxa"/>
            <w:vAlign w:val="center"/>
          </w:tcPr>
          <w:p w14:paraId="0492C4D2">
            <w:pPr>
              <w:pStyle w:val="20"/>
              <w:bidi w:val="0"/>
              <w:snapToGrid w:val="0"/>
              <w:ind w:left="0" w:leftChars="0" w:right="0" w:rightChars="0" w:firstLine="0" w:firstLineChars="0"/>
              <w:jc w:val="left"/>
              <w:rPr>
                <w:rFonts w:hint="default" w:ascii="Times New Roman" w:hAnsi="Times New Roman" w:cs="Times New Roman"/>
                <w:lang w:val="en-US" w:eastAsia="zh-CN"/>
              </w:rPr>
            </w:pPr>
            <w:r>
              <w:rPr>
                <w:rFonts w:hint="default" w:ascii="Times New Roman" w:hAnsi="Times New Roman" w:cs="Times New Roman"/>
                <w:lang w:val="en-US" w:eastAsia="zh-CN"/>
              </w:rPr>
              <w:t>塑料类</w:t>
            </w:r>
          </w:p>
        </w:tc>
        <w:tc>
          <w:tcPr>
            <w:tcW w:w="2606" w:type="dxa"/>
            <w:vAlign w:val="center"/>
          </w:tcPr>
          <w:p w14:paraId="7F931DB7">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100</w:t>
            </w:r>
          </w:p>
        </w:tc>
        <w:tc>
          <w:tcPr>
            <w:tcW w:w="1129" w:type="dxa"/>
            <w:vAlign w:val="center"/>
          </w:tcPr>
          <w:p w14:paraId="04CB7D14">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75</w:t>
            </w:r>
          </w:p>
        </w:tc>
        <w:tc>
          <w:tcPr>
            <w:tcW w:w="952" w:type="dxa"/>
            <w:vAlign w:val="center"/>
          </w:tcPr>
          <w:p w14:paraId="7D7F7A9F">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67</w:t>
            </w:r>
            <w:r>
              <w:rPr>
                <w:rFonts w:hint="eastAsia" w:cs="Times New Roman"/>
                <w:lang w:val="en-US" w:eastAsia="zh-CN"/>
              </w:rPr>
              <w:t>～</w:t>
            </w:r>
            <w:r>
              <w:rPr>
                <w:rFonts w:hint="default" w:ascii="Times New Roman" w:hAnsi="Times New Roman" w:cs="Times New Roman"/>
                <w:lang w:val="en-US" w:eastAsia="zh-CN"/>
              </w:rPr>
              <w:t>85</w:t>
            </w:r>
          </w:p>
        </w:tc>
        <w:tc>
          <w:tcPr>
            <w:tcW w:w="1035" w:type="dxa"/>
            <w:vAlign w:val="center"/>
          </w:tcPr>
          <w:p w14:paraId="387B4EC6">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100</w:t>
            </w:r>
          </w:p>
        </w:tc>
        <w:tc>
          <w:tcPr>
            <w:tcW w:w="993" w:type="dxa"/>
            <w:vAlign w:val="center"/>
          </w:tcPr>
          <w:p w14:paraId="24032AE4">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95</w:t>
            </w:r>
            <w:r>
              <w:rPr>
                <w:rFonts w:hint="eastAsia" w:cs="Times New Roman"/>
                <w:lang w:val="en-US" w:eastAsia="zh-CN"/>
              </w:rPr>
              <w:t>～</w:t>
            </w:r>
            <w:r>
              <w:rPr>
                <w:rFonts w:hint="default" w:ascii="Times New Roman" w:hAnsi="Times New Roman" w:cs="Times New Roman"/>
                <w:lang w:val="en-US" w:eastAsia="zh-CN"/>
              </w:rPr>
              <w:t>100</w:t>
            </w:r>
          </w:p>
        </w:tc>
      </w:tr>
      <w:tr w14:paraId="24067597">
        <w:trPr>
          <w:trHeight w:val="0" w:hRule="atLeast"/>
        </w:trPr>
        <w:tc>
          <w:tcPr>
            <w:tcW w:w="1811" w:type="dxa"/>
            <w:vAlign w:val="center"/>
          </w:tcPr>
          <w:p w14:paraId="21DF8B7C">
            <w:pPr>
              <w:pStyle w:val="20"/>
              <w:bidi w:val="0"/>
              <w:snapToGrid w:val="0"/>
              <w:ind w:left="0" w:leftChars="0" w:right="0" w:rightChars="0" w:firstLine="0" w:firstLineChars="0"/>
              <w:jc w:val="left"/>
              <w:rPr>
                <w:rFonts w:hint="default" w:ascii="Times New Roman" w:hAnsi="Times New Roman" w:cs="Times New Roman"/>
                <w:lang w:val="en-US" w:eastAsia="zh-CN"/>
              </w:rPr>
            </w:pPr>
            <w:r>
              <w:rPr>
                <w:rFonts w:hint="default" w:ascii="Times New Roman" w:hAnsi="Times New Roman" w:cs="Times New Roman"/>
                <w:lang w:val="en-US" w:eastAsia="zh-CN"/>
              </w:rPr>
              <w:t>金属类</w:t>
            </w:r>
          </w:p>
        </w:tc>
        <w:tc>
          <w:tcPr>
            <w:tcW w:w="2606" w:type="dxa"/>
            <w:vAlign w:val="center"/>
          </w:tcPr>
          <w:p w14:paraId="40B4E26F">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100</w:t>
            </w:r>
          </w:p>
        </w:tc>
        <w:tc>
          <w:tcPr>
            <w:tcW w:w="1129" w:type="dxa"/>
            <w:vAlign w:val="center"/>
          </w:tcPr>
          <w:p w14:paraId="5A26A0CD">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w:t>
            </w:r>
          </w:p>
        </w:tc>
        <w:tc>
          <w:tcPr>
            <w:tcW w:w="952" w:type="dxa"/>
            <w:vAlign w:val="center"/>
          </w:tcPr>
          <w:p w14:paraId="7346B961">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w:t>
            </w:r>
          </w:p>
        </w:tc>
        <w:tc>
          <w:tcPr>
            <w:tcW w:w="1035" w:type="dxa"/>
            <w:vAlign w:val="center"/>
          </w:tcPr>
          <w:p w14:paraId="0A981254">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w:t>
            </w:r>
          </w:p>
        </w:tc>
        <w:tc>
          <w:tcPr>
            <w:tcW w:w="993" w:type="dxa"/>
            <w:vAlign w:val="center"/>
          </w:tcPr>
          <w:p w14:paraId="0557FF91">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w:t>
            </w:r>
          </w:p>
        </w:tc>
      </w:tr>
      <w:tr w14:paraId="644F05D6">
        <w:trPr>
          <w:trHeight w:val="0" w:hRule="atLeast"/>
        </w:trPr>
        <w:tc>
          <w:tcPr>
            <w:tcW w:w="1811" w:type="dxa"/>
            <w:vAlign w:val="center"/>
          </w:tcPr>
          <w:p w14:paraId="173F52A2">
            <w:pPr>
              <w:pStyle w:val="20"/>
              <w:bidi w:val="0"/>
              <w:snapToGrid w:val="0"/>
              <w:ind w:left="0" w:leftChars="0" w:right="0" w:rightChars="0" w:firstLine="0" w:firstLineChars="0"/>
              <w:jc w:val="left"/>
              <w:rPr>
                <w:rFonts w:hint="default" w:ascii="Times New Roman" w:hAnsi="Times New Roman" w:cs="Times New Roman"/>
                <w:lang w:val="en-US" w:eastAsia="zh-CN"/>
              </w:rPr>
            </w:pPr>
            <w:r>
              <w:rPr>
                <w:rFonts w:hint="default" w:ascii="Times New Roman" w:hAnsi="Times New Roman" w:cs="Times New Roman"/>
                <w:lang w:val="en-US" w:eastAsia="zh-CN"/>
              </w:rPr>
              <w:t>玻璃类</w:t>
            </w:r>
          </w:p>
        </w:tc>
        <w:tc>
          <w:tcPr>
            <w:tcW w:w="2606" w:type="dxa"/>
            <w:vAlign w:val="center"/>
          </w:tcPr>
          <w:p w14:paraId="531FA2D3">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100</w:t>
            </w:r>
          </w:p>
        </w:tc>
        <w:tc>
          <w:tcPr>
            <w:tcW w:w="1129" w:type="dxa"/>
            <w:vAlign w:val="center"/>
          </w:tcPr>
          <w:p w14:paraId="35CED164">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w:t>
            </w:r>
          </w:p>
        </w:tc>
        <w:tc>
          <w:tcPr>
            <w:tcW w:w="952" w:type="dxa"/>
            <w:vAlign w:val="center"/>
          </w:tcPr>
          <w:p w14:paraId="27E9942C">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w:t>
            </w:r>
          </w:p>
        </w:tc>
        <w:tc>
          <w:tcPr>
            <w:tcW w:w="1035" w:type="dxa"/>
            <w:vAlign w:val="center"/>
          </w:tcPr>
          <w:p w14:paraId="6FC0C0FE">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w:t>
            </w:r>
          </w:p>
        </w:tc>
        <w:tc>
          <w:tcPr>
            <w:tcW w:w="993" w:type="dxa"/>
            <w:vAlign w:val="center"/>
          </w:tcPr>
          <w:p w14:paraId="53DF529D">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w:t>
            </w:r>
          </w:p>
        </w:tc>
      </w:tr>
      <w:tr w14:paraId="3FEFFAD0">
        <w:trPr>
          <w:trHeight w:val="0" w:hRule="atLeast"/>
        </w:trPr>
        <w:tc>
          <w:tcPr>
            <w:tcW w:w="1811" w:type="dxa"/>
            <w:vAlign w:val="center"/>
          </w:tcPr>
          <w:p w14:paraId="7C5B94AA">
            <w:pPr>
              <w:pStyle w:val="20"/>
              <w:bidi w:val="0"/>
              <w:snapToGrid w:val="0"/>
              <w:ind w:left="0" w:leftChars="0" w:right="0" w:rightChars="0" w:firstLine="0" w:firstLineChars="0"/>
              <w:jc w:val="left"/>
              <w:rPr>
                <w:rFonts w:hint="default" w:ascii="Times New Roman" w:hAnsi="Times New Roman" w:cs="Times New Roman"/>
                <w:lang w:val="en-US" w:eastAsia="zh-CN"/>
              </w:rPr>
            </w:pPr>
            <w:r>
              <w:rPr>
                <w:rFonts w:hint="default" w:ascii="Times New Roman" w:hAnsi="Times New Roman" w:cs="Times New Roman"/>
                <w:lang w:val="en-US" w:eastAsia="zh-CN"/>
              </w:rPr>
              <w:t>其他,惰性废弃物</w:t>
            </w:r>
          </w:p>
        </w:tc>
        <w:tc>
          <w:tcPr>
            <w:tcW w:w="2606" w:type="dxa"/>
            <w:vAlign w:val="center"/>
          </w:tcPr>
          <w:p w14:paraId="66001CD2">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90</w:t>
            </w:r>
          </w:p>
        </w:tc>
        <w:tc>
          <w:tcPr>
            <w:tcW w:w="1129" w:type="dxa"/>
            <w:vAlign w:val="center"/>
          </w:tcPr>
          <w:p w14:paraId="1694B648">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3</w:t>
            </w:r>
          </w:p>
        </w:tc>
        <w:tc>
          <w:tcPr>
            <w:tcW w:w="952" w:type="dxa"/>
            <w:vAlign w:val="center"/>
          </w:tcPr>
          <w:p w14:paraId="0755A846">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0</w:t>
            </w:r>
            <w:r>
              <w:rPr>
                <w:rFonts w:hint="eastAsia" w:cs="Times New Roman"/>
                <w:lang w:val="en-US" w:eastAsia="zh-CN"/>
              </w:rPr>
              <w:t>～</w:t>
            </w:r>
            <w:r>
              <w:rPr>
                <w:rFonts w:hint="default" w:ascii="Times New Roman" w:hAnsi="Times New Roman" w:cs="Times New Roman"/>
                <w:lang w:val="en-US" w:eastAsia="zh-CN"/>
              </w:rPr>
              <w:t>5</w:t>
            </w:r>
          </w:p>
        </w:tc>
        <w:tc>
          <w:tcPr>
            <w:tcW w:w="1035" w:type="dxa"/>
            <w:vAlign w:val="center"/>
          </w:tcPr>
          <w:p w14:paraId="0ADAC44C">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100</w:t>
            </w:r>
          </w:p>
        </w:tc>
        <w:tc>
          <w:tcPr>
            <w:tcW w:w="993" w:type="dxa"/>
            <w:vAlign w:val="center"/>
          </w:tcPr>
          <w:p w14:paraId="61D8EAAD">
            <w:pPr>
              <w:pStyle w:val="20"/>
              <w:bidi w:val="0"/>
              <w:snapToGrid w:val="0"/>
              <w:ind w:left="0" w:leftChars="0" w:right="0" w:righ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50</w:t>
            </w:r>
            <w:r>
              <w:rPr>
                <w:rFonts w:hint="eastAsia" w:cs="Times New Roman"/>
                <w:lang w:val="en-US" w:eastAsia="zh-CN"/>
              </w:rPr>
              <w:t>～</w:t>
            </w:r>
            <w:r>
              <w:rPr>
                <w:rFonts w:hint="default" w:ascii="Times New Roman" w:hAnsi="Times New Roman" w:cs="Times New Roman"/>
                <w:lang w:val="en-US" w:eastAsia="zh-CN"/>
              </w:rPr>
              <w:t>100</w:t>
            </w:r>
          </w:p>
        </w:tc>
      </w:tr>
    </w:tbl>
    <w:p w14:paraId="762403B9">
      <w:pPr>
        <w:rPr>
          <w:rFonts w:hint="default" w:ascii="Times New Roman" w:hAnsi="Times New Roman" w:cs="Times New Roman"/>
          <w:lang w:val="en-US" w:eastAsia="zh-CN"/>
        </w:rPr>
      </w:pPr>
      <w:r>
        <w:rPr>
          <w:rFonts w:hint="default" w:ascii="Times New Roman" w:hAnsi="Times New Roman" w:cs="Times New Roman"/>
          <w:lang w:val="en-US" w:eastAsia="zh-CN"/>
        </w:rPr>
        <w:br w:type="page"/>
      </w:r>
    </w:p>
    <w:p w14:paraId="66F91042">
      <w:pPr>
        <w:pStyle w:val="2"/>
        <w:bidi w:val="0"/>
        <w:rPr>
          <w:rFonts w:hint="default"/>
          <w:lang w:val="en-US" w:eastAsia="zh-CN"/>
        </w:rPr>
      </w:pPr>
      <w:bookmarkStart w:id="97" w:name="_Toc17676"/>
      <w:bookmarkStart w:id="98" w:name="_Toc6220"/>
      <w:r>
        <w:rPr>
          <w:rFonts w:hint="default"/>
          <w:lang w:val="en-US" w:eastAsia="zh-CN"/>
        </w:rPr>
        <w:t>附 录 F（规范性）不同消化器的甲烷泄露因子</w:t>
      </w:r>
      <w:bookmarkEnd w:id="97"/>
      <w:bookmarkEnd w:id="98"/>
    </w:p>
    <w:p w14:paraId="0B71655E">
      <w:pPr>
        <w:keepNext w:val="0"/>
        <w:keepLines w:val="0"/>
        <w:pageBreakBefore w:val="0"/>
        <w:widowControl w:val="0"/>
        <w:kinsoku w:val="0"/>
        <w:wordWrap/>
        <w:overflowPunct/>
        <w:topLinePunct w:val="0"/>
        <w:autoSpaceDE w:val="0"/>
        <w:autoSpaceDN w:val="0"/>
        <w:bidi w:val="0"/>
        <w:adjustRightInd w:val="0"/>
        <w:snapToGrid w:val="0"/>
        <w:spacing w:before="157" w:beforeLines="50" w:after="157" w:afterLines="50" w:line="240" w:lineRule="auto"/>
        <w:ind w:left="0" w:right="0"/>
        <w:jc w:val="center"/>
        <w:textAlignment w:val="baseline"/>
        <w:rPr>
          <w:rFonts w:hint="eastAsia" w:ascii="黑体" w:hAnsi="黑体" w:eastAsia="黑体" w:cs="黑体"/>
          <w:b/>
          <w:bCs/>
          <w:snapToGrid w:val="0"/>
          <w:color w:val="000000"/>
          <w:spacing w:val="0"/>
          <w:kern w:val="0"/>
          <w:position w:val="0"/>
          <w:sz w:val="21"/>
          <w:szCs w:val="21"/>
          <w:lang w:eastAsia="zh-CN"/>
        </w:rPr>
      </w:pPr>
      <w:r>
        <w:rPr>
          <w:rFonts w:hint="eastAsia" w:ascii="黑体" w:hAnsi="黑体" w:eastAsia="黑体" w:cs="黑体"/>
          <w:b/>
          <w:bCs/>
          <w:snapToGrid w:val="0"/>
          <w:color w:val="000000"/>
          <w:spacing w:val="0"/>
          <w:kern w:val="0"/>
          <w:position w:val="0"/>
          <w:sz w:val="21"/>
          <w:szCs w:val="21"/>
          <w:lang w:eastAsia="en-US"/>
        </w:rPr>
        <w:t xml:space="preserve">表 </w:t>
      </w:r>
      <w:r>
        <w:rPr>
          <w:rFonts w:hint="eastAsia" w:ascii="黑体" w:hAnsi="黑体" w:eastAsia="黑体" w:cs="黑体"/>
          <w:b/>
          <w:bCs/>
          <w:snapToGrid w:val="0"/>
          <w:color w:val="000000"/>
          <w:spacing w:val="0"/>
          <w:kern w:val="0"/>
          <w:position w:val="0"/>
          <w:sz w:val="21"/>
          <w:szCs w:val="21"/>
          <w:lang w:eastAsia="en-US"/>
        </w:rPr>
        <w:fldChar w:fldCharType="begin"/>
      </w:r>
      <w:r>
        <w:rPr>
          <w:rFonts w:hint="eastAsia" w:ascii="黑体" w:hAnsi="黑体" w:eastAsia="黑体" w:cs="黑体"/>
          <w:b/>
          <w:bCs/>
          <w:snapToGrid w:val="0"/>
          <w:color w:val="000000"/>
          <w:spacing w:val="0"/>
          <w:kern w:val="0"/>
          <w:position w:val="0"/>
          <w:sz w:val="21"/>
          <w:szCs w:val="21"/>
          <w:lang w:eastAsia="en-US"/>
        </w:rPr>
        <w:instrText xml:space="preserve"> SEQ 表 \* ARABIC </w:instrText>
      </w:r>
      <w:r>
        <w:rPr>
          <w:rFonts w:hint="eastAsia" w:ascii="黑体" w:hAnsi="黑体" w:eastAsia="黑体" w:cs="黑体"/>
          <w:b/>
          <w:bCs/>
          <w:snapToGrid w:val="0"/>
          <w:color w:val="000000"/>
          <w:spacing w:val="0"/>
          <w:kern w:val="0"/>
          <w:position w:val="0"/>
          <w:sz w:val="21"/>
          <w:szCs w:val="21"/>
          <w:lang w:eastAsia="en-US"/>
        </w:rPr>
        <w:fldChar w:fldCharType="separate"/>
      </w:r>
      <w:r>
        <w:rPr>
          <w:rFonts w:hint="eastAsia" w:ascii="黑体" w:hAnsi="黑体" w:eastAsia="黑体" w:cs="黑体"/>
          <w:b/>
          <w:bCs/>
          <w:snapToGrid w:val="0"/>
          <w:color w:val="000000"/>
          <w:spacing w:val="0"/>
          <w:kern w:val="0"/>
          <w:position w:val="0"/>
          <w:sz w:val="21"/>
          <w:szCs w:val="21"/>
          <w:lang w:eastAsia="en-US"/>
        </w:rPr>
        <w:t>4</w:t>
      </w:r>
      <w:r>
        <w:rPr>
          <w:rFonts w:hint="eastAsia" w:ascii="黑体" w:hAnsi="黑体" w:eastAsia="黑体" w:cs="黑体"/>
          <w:b/>
          <w:bCs/>
          <w:snapToGrid w:val="0"/>
          <w:color w:val="000000"/>
          <w:spacing w:val="0"/>
          <w:kern w:val="0"/>
          <w:position w:val="0"/>
          <w:sz w:val="21"/>
          <w:szCs w:val="21"/>
          <w:lang w:eastAsia="en-US"/>
        </w:rPr>
        <w:fldChar w:fldCharType="end"/>
      </w:r>
      <w:r>
        <w:rPr>
          <w:rFonts w:hint="eastAsia" w:ascii="黑体" w:hAnsi="黑体" w:eastAsia="黑体" w:cs="黑体"/>
          <w:b/>
          <w:bCs/>
          <w:snapToGrid w:val="0"/>
          <w:color w:val="000000"/>
          <w:spacing w:val="0"/>
          <w:kern w:val="0"/>
          <w:position w:val="0"/>
          <w:sz w:val="21"/>
          <w:szCs w:val="21"/>
          <w:lang w:eastAsia="zh-CN"/>
        </w:rPr>
        <w:t xml:space="preserve"> 不同消化器的甲烷泄露因子</w:t>
      </w:r>
    </w:p>
    <w:tbl>
      <w:tblPr>
        <w:tblStyle w:val="14"/>
        <w:tblW w:w="8526" w:type="dxa"/>
        <w:tblInd w:w="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857"/>
        <w:gridCol w:w="2669"/>
      </w:tblGrid>
      <w:tr w14:paraId="230D5293">
        <w:trPr>
          <w:trHeight w:val="0" w:hRule="atLeast"/>
          <w:tblHeader/>
        </w:trPr>
        <w:tc>
          <w:tcPr>
            <w:tcW w:w="5857" w:type="dxa"/>
            <w:vAlign w:val="center"/>
          </w:tcPr>
          <w:p w14:paraId="7DBBCD66">
            <w:pPr>
              <w:pStyle w:val="20"/>
              <w:bidi w:val="0"/>
              <w:snapToGrid w:val="0"/>
              <w:ind w:left="0" w:leftChars="0" w:right="0" w:rightChars="0" w:firstLine="0" w:firstLineChars="0"/>
              <w:rPr>
                <w:rFonts w:hint="default" w:ascii="Times New Roman" w:hAnsi="Times New Roman" w:eastAsia="宋体" w:cs="Times New Roman"/>
                <w:b/>
                <w:sz w:val="20"/>
                <w:lang w:val="en-US" w:eastAsia="zh-CN"/>
              </w:rPr>
            </w:pPr>
            <w:r>
              <w:rPr>
                <w:rFonts w:hint="default" w:ascii="Times New Roman" w:hAnsi="Times New Roman" w:eastAsia="宋体" w:cs="Times New Roman"/>
                <w:b/>
                <w:sz w:val="20"/>
                <w:lang w:val="en-US" w:eastAsia="zh-CN"/>
              </w:rPr>
              <w:t>消化器类型</w:t>
            </w:r>
          </w:p>
        </w:tc>
        <w:tc>
          <w:tcPr>
            <w:tcW w:w="2669" w:type="dxa"/>
            <w:vAlign w:val="center"/>
          </w:tcPr>
          <w:p w14:paraId="55D89BE4">
            <w:pPr>
              <w:pStyle w:val="20"/>
              <w:bidi w:val="0"/>
              <w:snapToGrid w:val="0"/>
              <w:ind w:left="0" w:leftChars="0" w:right="0" w:rightChars="0" w:firstLine="0" w:firstLineChars="0"/>
              <w:rPr>
                <w:rFonts w:hint="default" w:ascii="Times New Roman" w:hAnsi="Times New Roman" w:eastAsia="宋体" w:cs="Times New Roman"/>
                <w:b/>
                <w:sz w:val="20"/>
                <w:lang w:val="en-US" w:eastAsia="zh-CN"/>
              </w:rPr>
            </w:pPr>
            <w:r>
              <w:rPr>
                <w:rFonts w:hint="default" w:ascii="Times New Roman" w:hAnsi="Times New Roman" w:eastAsia="宋体" w:cs="Times New Roman"/>
                <w:b/>
                <w:sz w:val="20"/>
                <w:lang w:val="en-US" w:eastAsia="zh-CN"/>
              </w:rPr>
              <w:t>EF</w:t>
            </w:r>
            <w:r>
              <w:rPr>
                <w:rFonts w:hint="default" w:ascii="Times New Roman" w:hAnsi="Times New Roman" w:eastAsia="宋体" w:cs="Times New Roman"/>
                <w:b/>
                <w:sz w:val="20"/>
                <w:vertAlign w:val="subscript"/>
                <w:lang w:val="en-US" w:eastAsia="zh-CN"/>
              </w:rPr>
              <w:t>AD,</w:t>
            </w:r>
            <w:r>
              <w:rPr>
                <w:rFonts w:hint="default" w:ascii="Times New Roman" w:hAnsi="Times New Roman" w:eastAsia="宋体" w:cs="Times New Roman"/>
                <w:b/>
                <w:sz w:val="20"/>
                <w:lang w:val="en-US" w:eastAsia="zh-CN"/>
              </w:rPr>
              <w:t>CH₄</w:t>
            </w:r>
          </w:p>
        </w:tc>
      </w:tr>
      <w:tr w14:paraId="05F5813C">
        <w:trPr>
          <w:trHeight w:val="0" w:hRule="atLeast"/>
        </w:trPr>
        <w:tc>
          <w:tcPr>
            <w:tcW w:w="5857" w:type="dxa"/>
            <w:vAlign w:val="center"/>
          </w:tcPr>
          <w:p w14:paraId="4E62315B">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钢、混凝土、玻璃纤维</w:t>
            </w:r>
          </w:p>
        </w:tc>
        <w:tc>
          <w:tcPr>
            <w:tcW w:w="2669" w:type="dxa"/>
            <w:vAlign w:val="center"/>
          </w:tcPr>
          <w:p w14:paraId="1BADD8CC">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0.028</w:t>
            </w:r>
          </w:p>
        </w:tc>
      </w:tr>
      <w:tr w14:paraId="03D3FC95">
        <w:trPr>
          <w:trHeight w:val="0" w:hRule="atLeast"/>
        </w:trPr>
        <w:tc>
          <w:tcPr>
            <w:tcW w:w="5857" w:type="dxa"/>
            <w:vAlign w:val="center"/>
          </w:tcPr>
          <w:p w14:paraId="0973ED14">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UASB</w:t>
            </w:r>
          </w:p>
        </w:tc>
        <w:tc>
          <w:tcPr>
            <w:tcW w:w="2669" w:type="dxa"/>
            <w:vAlign w:val="center"/>
          </w:tcPr>
          <w:p w14:paraId="626DFFA9">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0.050</w:t>
            </w:r>
          </w:p>
        </w:tc>
      </w:tr>
      <w:tr w14:paraId="2CF4FE01">
        <w:trPr>
          <w:trHeight w:val="0" w:hRule="atLeast"/>
        </w:trPr>
        <w:tc>
          <w:tcPr>
            <w:tcW w:w="5857" w:type="dxa"/>
            <w:vAlign w:val="center"/>
          </w:tcPr>
          <w:p w14:paraId="46001280">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其他</w:t>
            </w:r>
          </w:p>
        </w:tc>
        <w:tc>
          <w:tcPr>
            <w:tcW w:w="2669" w:type="dxa"/>
            <w:vAlign w:val="center"/>
          </w:tcPr>
          <w:p w14:paraId="0FD07285">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0.100</w:t>
            </w:r>
          </w:p>
        </w:tc>
      </w:tr>
      <w:tr w14:paraId="19DA7DC9">
        <w:trPr>
          <w:trHeight w:val="0" w:hRule="atLeast"/>
        </w:trPr>
        <w:tc>
          <w:tcPr>
            <w:tcW w:w="5857" w:type="dxa"/>
            <w:vAlign w:val="center"/>
          </w:tcPr>
          <w:p w14:paraId="7F21F29F">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不确定</w:t>
            </w:r>
          </w:p>
        </w:tc>
        <w:tc>
          <w:tcPr>
            <w:tcW w:w="2669" w:type="dxa"/>
            <w:vAlign w:val="center"/>
          </w:tcPr>
          <w:p w14:paraId="26F39328">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0.100</w:t>
            </w:r>
          </w:p>
        </w:tc>
      </w:tr>
    </w:tbl>
    <w:p w14:paraId="50597747">
      <w:pPr>
        <w:rPr>
          <w:rFonts w:hint="default" w:ascii="Times New Roman" w:hAnsi="Times New Roman" w:cs="Times New Roman"/>
          <w:lang w:val="en-US" w:eastAsia="zh-CN"/>
        </w:rPr>
      </w:pPr>
      <w:r>
        <w:rPr>
          <w:rFonts w:hint="default" w:ascii="Times New Roman" w:hAnsi="Times New Roman" w:cs="Times New Roman"/>
          <w:lang w:val="en-US" w:eastAsia="zh-CN"/>
        </w:rPr>
        <w:br w:type="page"/>
      </w:r>
    </w:p>
    <w:p w14:paraId="4B61BAD1">
      <w:pPr>
        <w:pStyle w:val="2"/>
        <w:bidi w:val="0"/>
        <w:rPr>
          <w:rFonts w:hint="default"/>
          <w:lang w:val="en-US" w:eastAsia="zh-CN"/>
        </w:rPr>
      </w:pPr>
      <w:bookmarkStart w:id="99" w:name="_Toc31445"/>
      <w:bookmarkStart w:id="100" w:name="_Toc9760"/>
      <w:r>
        <w:rPr>
          <w:rFonts w:hint="default"/>
          <w:lang w:val="en-US" w:eastAsia="zh-CN"/>
        </w:rPr>
        <w:t>附 录 G（规范性）可回收物碳排放因子</w:t>
      </w:r>
      <w:bookmarkEnd w:id="99"/>
      <w:bookmarkEnd w:id="100"/>
    </w:p>
    <w:p w14:paraId="569E9400">
      <w:pPr>
        <w:keepNext w:val="0"/>
        <w:keepLines w:val="0"/>
        <w:pageBreakBefore w:val="0"/>
        <w:widowControl w:val="0"/>
        <w:kinsoku w:val="0"/>
        <w:wordWrap/>
        <w:overflowPunct/>
        <w:topLinePunct w:val="0"/>
        <w:autoSpaceDE w:val="0"/>
        <w:autoSpaceDN w:val="0"/>
        <w:bidi w:val="0"/>
        <w:adjustRightInd w:val="0"/>
        <w:snapToGrid w:val="0"/>
        <w:spacing w:before="157" w:beforeLines="50" w:after="157" w:afterLines="50" w:line="240" w:lineRule="auto"/>
        <w:ind w:left="0" w:right="0"/>
        <w:jc w:val="center"/>
        <w:textAlignment w:val="baseline"/>
        <w:rPr>
          <w:rFonts w:hint="eastAsia" w:ascii="黑体" w:hAnsi="黑体" w:eastAsia="黑体" w:cs="黑体"/>
          <w:b/>
          <w:bCs/>
          <w:snapToGrid w:val="0"/>
          <w:color w:val="000000"/>
          <w:spacing w:val="0"/>
          <w:kern w:val="0"/>
          <w:position w:val="0"/>
          <w:sz w:val="21"/>
          <w:szCs w:val="21"/>
          <w:lang w:eastAsia="zh-CN"/>
        </w:rPr>
      </w:pPr>
      <w:r>
        <w:rPr>
          <w:rFonts w:hint="eastAsia" w:ascii="黑体" w:hAnsi="黑体" w:eastAsia="黑体" w:cs="黑体"/>
          <w:b/>
          <w:bCs/>
          <w:snapToGrid w:val="0"/>
          <w:color w:val="000000"/>
          <w:spacing w:val="0"/>
          <w:kern w:val="0"/>
          <w:position w:val="0"/>
          <w:sz w:val="21"/>
          <w:szCs w:val="21"/>
          <w:lang w:eastAsia="en-US"/>
        </w:rPr>
        <w:t xml:space="preserve">表 </w:t>
      </w:r>
      <w:r>
        <w:rPr>
          <w:rFonts w:hint="eastAsia" w:ascii="黑体" w:hAnsi="黑体" w:eastAsia="黑体" w:cs="黑体"/>
          <w:b/>
          <w:bCs/>
          <w:snapToGrid w:val="0"/>
          <w:color w:val="000000"/>
          <w:spacing w:val="0"/>
          <w:kern w:val="0"/>
          <w:position w:val="0"/>
          <w:sz w:val="21"/>
          <w:szCs w:val="21"/>
          <w:lang w:eastAsia="en-US"/>
        </w:rPr>
        <w:fldChar w:fldCharType="begin"/>
      </w:r>
      <w:r>
        <w:rPr>
          <w:rFonts w:hint="eastAsia" w:ascii="黑体" w:hAnsi="黑体" w:eastAsia="黑体" w:cs="黑体"/>
          <w:b/>
          <w:bCs/>
          <w:snapToGrid w:val="0"/>
          <w:color w:val="000000"/>
          <w:spacing w:val="0"/>
          <w:kern w:val="0"/>
          <w:position w:val="0"/>
          <w:sz w:val="21"/>
          <w:szCs w:val="21"/>
          <w:lang w:eastAsia="en-US"/>
        </w:rPr>
        <w:instrText xml:space="preserve"> SEQ 表 \* ARABIC </w:instrText>
      </w:r>
      <w:r>
        <w:rPr>
          <w:rFonts w:hint="eastAsia" w:ascii="黑体" w:hAnsi="黑体" w:eastAsia="黑体" w:cs="黑体"/>
          <w:b/>
          <w:bCs/>
          <w:snapToGrid w:val="0"/>
          <w:color w:val="000000"/>
          <w:spacing w:val="0"/>
          <w:kern w:val="0"/>
          <w:position w:val="0"/>
          <w:sz w:val="21"/>
          <w:szCs w:val="21"/>
          <w:lang w:eastAsia="en-US"/>
        </w:rPr>
        <w:fldChar w:fldCharType="separate"/>
      </w:r>
      <w:r>
        <w:rPr>
          <w:rFonts w:hint="eastAsia" w:ascii="黑体" w:hAnsi="黑体" w:eastAsia="黑体" w:cs="黑体"/>
          <w:b/>
          <w:bCs/>
          <w:snapToGrid w:val="0"/>
          <w:color w:val="000000"/>
          <w:spacing w:val="0"/>
          <w:kern w:val="0"/>
          <w:position w:val="0"/>
          <w:sz w:val="21"/>
          <w:szCs w:val="21"/>
          <w:lang w:eastAsia="en-US"/>
        </w:rPr>
        <w:t>5</w:t>
      </w:r>
      <w:r>
        <w:rPr>
          <w:rFonts w:hint="eastAsia" w:ascii="黑体" w:hAnsi="黑体" w:eastAsia="黑体" w:cs="黑体"/>
          <w:b/>
          <w:bCs/>
          <w:snapToGrid w:val="0"/>
          <w:color w:val="000000"/>
          <w:spacing w:val="0"/>
          <w:kern w:val="0"/>
          <w:position w:val="0"/>
          <w:sz w:val="21"/>
          <w:szCs w:val="21"/>
          <w:lang w:eastAsia="en-US"/>
        </w:rPr>
        <w:fldChar w:fldCharType="end"/>
      </w:r>
      <w:r>
        <w:rPr>
          <w:rFonts w:hint="eastAsia" w:ascii="黑体" w:hAnsi="黑体" w:eastAsia="黑体" w:cs="黑体"/>
          <w:b/>
          <w:bCs/>
          <w:snapToGrid w:val="0"/>
          <w:color w:val="000000"/>
          <w:spacing w:val="0"/>
          <w:kern w:val="0"/>
          <w:position w:val="0"/>
          <w:sz w:val="21"/>
          <w:szCs w:val="21"/>
          <w:lang w:eastAsia="zh-CN"/>
        </w:rPr>
        <w:t xml:space="preserve"> 可回收物碳排放因子</w:t>
      </w:r>
    </w:p>
    <w:tbl>
      <w:tblPr>
        <w:tblStyle w:val="14"/>
        <w:tblW w:w="8527" w:type="dxa"/>
        <w:tblInd w:w="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9"/>
        <w:gridCol w:w="1096"/>
        <w:gridCol w:w="3728"/>
        <w:gridCol w:w="2864"/>
      </w:tblGrid>
      <w:tr w14:paraId="7131D5D2">
        <w:trPr>
          <w:trHeight w:val="0" w:hRule="atLeast"/>
          <w:tblHeader/>
        </w:trPr>
        <w:tc>
          <w:tcPr>
            <w:tcW w:w="839" w:type="dxa"/>
            <w:vAlign w:val="center"/>
          </w:tcPr>
          <w:p w14:paraId="3A7991F8">
            <w:pPr>
              <w:pStyle w:val="20"/>
              <w:bidi w:val="0"/>
              <w:snapToGrid w:val="0"/>
              <w:ind w:left="0" w:leftChars="0" w:right="0" w:rightChars="0" w:firstLine="0" w:firstLineChars="0"/>
              <w:rPr>
                <w:rFonts w:hint="default" w:ascii="Times New Roman" w:hAnsi="Times New Roman" w:cs="Times New Roman"/>
                <w:b/>
                <w:lang w:val="en-US" w:eastAsia="zh-CN"/>
              </w:rPr>
            </w:pPr>
            <w:r>
              <w:rPr>
                <w:rFonts w:hint="default" w:ascii="Times New Roman" w:hAnsi="Times New Roman" w:cs="Times New Roman"/>
                <w:b/>
                <w:lang w:val="en-US" w:eastAsia="zh-CN"/>
              </w:rPr>
              <w:t>序号</w:t>
            </w:r>
          </w:p>
        </w:tc>
        <w:tc>
          <w:tcPr>
            <w:tcW w:w="1096" w:type="dxa"/>
            <w:vAlign w:val="center"/>
          </w:tcPr>
          <w:p w14:paraId="289ADBB1">
            <w:pPr>
              <w:pStyle w:val="20"/>
              <w:bidi w:val="0"/>
              <w:snapToGrid w:val="0"/>
              <w:ind w:left="0" w:leftChars="0" w:right="0" w:rightChars="0" w:firstLine="0" w:firstLineChars="0"/>
              <w:rPr>
                <w:rFonts w:hint="default" w:ascii="Times New Roman" w:hAnsi="Times New Roman" w:cs="Times New Roman"/>
                <w:b/>
                <w:lang w:val="en-US" w:eastAsia="zh-CN"/>
              </w:rPr>
            </w:pPr>
            <w:r>
              <w:rPr>
                <w:rFonts w:hint="default" w:ascii="Times New Roman" w:hAnsi="Times New Roman" w:cs="Times New Roman"/>
                <w:b/>
                <w:lang w:val="en-US" w:eastAsia="zh-CN"/>
              </w:rPr>
              <w:t>小类</w:t>
            </w:r>
          </w:p>
        </w:tc>
        <w:tc>
          <w:tcPr>
            <w:tcW w:w="3728" w:type="dxa"/>
            <w:vAlign w:val="center"/>
          </w:tcPr>
          <w:p w14:paraId="030CF082">
            <w:pPr>
              <w:pStyle w:val="20"/>
              <w:bidi w:val="0"/>
              <w:snapToGrid w:val="0"/>
              <w:ind w:left="0" w:leftChars="0" w:right="0" w:rightChars="0" w:firstLine="0" w:firstLineChars="0"/>
              <w:rPr>
                <w:rFonts w:hint="default" w:ascii="Times New Roman" w:hAnsi="Times New Roman" w:cs="Times New Roman"/>
                <w:b/>
                <w:lang w:val="en-US" w:eastAsia="zh-CN"/>
              </w:rPr>
            </w:pPr>
            <w:r>
              <w:rPr>
                <w:rFonts w:hint="default" w:ascii="Times New Roman" w:hAnsi="Times New Roman" w:cs="Times New Roman"/>
                <w:b/>
                <w:lang w:val="en-US" w:eastAsia="zh-CN"/>
              </w:rPr>
              <w:t>子类</w:t>
            </w:r>
          </w:p>
        </w:tc>
        <w:tc>
          <w:tcPr>
            <w:tcW w:w="2864" w:type="dxa"/>
            <w:vAlign w:val="center"/>
          </w:tcPr>
          <w:p w14:paraId="09844BA2">
            <w:pPr>
              <w:pStyle w:val="20"/>
              <w:bidi w:val="0"/>
              <w:snapToGrid w:val="0"/>
              <w:ind w:left="0" w:leftChars="0" w:right="0" w:rightChars="0" w:firstLine="0" w:firstLineChars="0"/>
              <w:rPr>
                <w:rFonts w:hint="default" w:ascii="Times New Roman" w:hAnsi="Times New Roman" w:cs="Times New Roman"/>
                <w:b/>
                <w:lang w:val="en-US" w:eastAsia="zh-CN"/>
              </w:rPr>
            </w:pPr>
            <w:r>
              <w:rPr>
                <w:rFonts w:hint="default" w:ascii="Times New Roman" w:hAnsi="Times New Roman" w:cs="Times New Roman"/>
                <w:b/>
                <w:lang w:val="en-US" w:eastAsia="zh-CN"/>
              </w:rPr>
              <w:t>子类碳排放因子EF</w:t>
            </w:r>
            <w:r>
              <w:rPr>
                <w:rFonts w:hint="default" w:ascii="Times New Roman" w:hAnsi="Times New Roman" w:cs="Times New Roman"/>
                <w:b/>
                <w:vertAlign w:val="subscript"/>
                <w:lang w:val="en-US" w:eastAsia="zh-CN"/>
              </w:rPr>
              <w:t>i,RE</w:t>
            </w:r>
          </w:p>
        </w:tc>
      </w:tr>
      <w:tr w14:paraId="7F2D774D">
        <w:trPr>
          <w:trHeight w:val="0" w:hRule="atLeast"/>
        </w:trPr>
        <w:tc>
          <w:tcPr>
            <w:tcW w:w="839" w:type="dxa"/>
            <w:vMerge w:val="restart"/>
            <w:vAlign w:val="center"/>
          </w:tcPr>
          <w:p w14:paraId="350EA9BC">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1</w:t>
            </w:r>
          </w:p>
        </w:tc>
        <w:tc>
          <w:tcPr>
            <w:tcW w:w="1096" w:type="dxa"/>
            <w:vMerge w:val="restart"/>
            <w:vAlign w:val="center"/>
          </w:tcPr>
          <w:p w14:paraId="0C2C6EB9">
            <w:pPr>
              <w:pStyle w:val="20"/>
              <w:bidi w:val="0"/>
              <w:snapToGrid w:val="0"/>
              <w:ind w:left="0" w:leftChars="0" w:right="0" w:rightChars="0" w:firstLine="0" w:firstLineChars="0"/>
              <w:jc w:val="left"/>
              <w:rPr>
                <w:rFonts w:hint="default" w:ascii="Times New Roman" w:hAnsi="Times New Roman" w:cs="Times New Roman"/>
                <w:lang w:val="en-US" w:eastAsia="zh-CN"/>
              </w:rPr>
            </w:pPr>
            <w:r>
              <w:rPr>
                <w:rFonts w:hint="default" w:ascii="Times New Roman" w:hAnsi="Times New Roman" w:cs="Times New Roman"/>
                <w:lang w:val="en-US" w:eastAsia="zh-CN"/>
              </w:rPr>
              <w:t>纸类</w:t>
            </w:r>
          </w:p>
        </w:tc>
        <w:tc>
          <w:tcPr>
            <w:tcW w:w="3728" w:type="dxa"/>
            <w:vAlign w:val="center"/>
          </w:tcPr>
          <w:p w14:paraId="534F5BBD">
            <w:pPr>
              <w:pStyle w:val="20"/>
              <w:bidi w:val="0"/>
              <w:snapToGrid w:val="0"/>
              <w:ind w:left="0" w:leftChars="0" w:right="0" w:rightChars="0" w:firstLine="0" w:firstLineChars="0"/>
              <w:jc w:val="left"/>
              <w:rPr>
                <w:rFonts w:hint="default" w:ascii="Times New Roman" w:hAnsi="Times New Roman" w:cs="Times New Roman"/>
                <w:lang w:val="en-US" w:eastAsia="zh-CN"/>
              </w:rPr>
            </w:pPr>
            <w:r>
              <w:rPr>
                <w:rFonts w:hint="default" w:ascii="Times New Roman" w:hAnsi="Times New Roman" w:cs="Times New Roman"/>
                <w:lang w:val="en-US" w:eastAsia="zh-CN"/>
              </w:rPr>
              <w:t>瓦楞纸</w:t>
            </w:r>
          </w:p>
        </w:tc>
        <w:tc>
          <w:tcPr>
            <w:tcW w:w="2864" w:type="dxa"/>
            <w:vAlign w:val="center"/>
          </w:tcPr>
          <w:p w14:paraId="3842A3DF">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0.067kg</w:t>
            </w:r>
            <w:r>
              <w:rPr>
                <w:rFonts w:hint="default" w:ascii="Times New Roman" w:hAnsi="Times New Roman" w:cs="Times New Roman"/>
              </w:rPr>
              <w:t>CO₂</w:t>
            </w:r>
            <w:r>
              <w:rPr>
                <w:rFonts w:hint="default" w:ascii="Times New Roman" w:hAnsi="Times New Roman" w:cs="Times New Roman"/>
                <w:lang w:val="en-US" w:eastAsia="zh-CN"/>
              </w:rPr>
              <w:t>/kg</w:t>
            </w:r>
          </w:p>
        </w:tc>
      </w:tr>
      <w:tr w14:paraId="4F4424D9">
        <w:trPr>
          <w:trHeight w:val="0" w:hRule="atLeast"/>
        </w:trPr>
        <w:tc>
          <w:tcPr>
            <w:tcW w:w="839" w:type="dxa"/>
            <w:vMerge w:val="continue"/>
            <w:vAlign w:val="center"/>
          </w:tcPr>
          <w:p w14:paraId="7FFBA307">
            <w:pPr>
              <w:pStyle w:val="20"/>
              <w:bidi w:val="0"/>
              <w:snapToGrid w:val="0"/>
              <w:ind w:left="0" w:leftChars="0" w:right="0" w:rightChars="0" w:firstLine="0" w:firstLineChars="0"/>
              <w:jc w:val="center"/>
              <w:rPr>
                <w:rFonts w:hint="default" w:ascii="Times New Roman" w:hAnsi="Times New Roman" w:cs="Times New Roman"/>
                <w:lang w:val="en-US" w:eastAsia="zh-CN"/>
              </w:rPr>
            </w:pPr>
          </w:p>
        </w:tc>
        <w:tc>
          <w:tcPr>
            <w:tcW w:w="1096" w:type="dxa"/>
            <w:vMerge w:val="continue"/>
            <w:vAlign w:val="center"/>
          </w:tcPr>
          <w:p w14:paraId="7D800ED8">
            <w:pPr>
              <w:pStyle w:val="20"/>
              <w:bidi w:val="0"/>
              <w:snapToGrid w:val="0"/>
              <w:ind w:left="0" w:leftChars="0" w:right="0" w:rightChars="0" w:firstLine="0" w:firstLineChars="0"/>
              <w:jc w:val="left"/>
              <w:rPr>
                <w:rFonts w:hint="default" w:ascii="Times New Roman" w:hAnsi="Times New Roman" w:cs="Times New Roman"/>
                <w:lang w:val="en-US" w:eastAsia="zh-CN"/>
              </w:rPr>
            </w:pPr>
          </w:p>
        </w:tc>
        <w:tc>
          <w:tcPr>
            <w:tcW w:w="3728" w:type="dxa"/>
            <w:vAlign w:val="center"/>
          </w:tcPr>
          <w:p w14:paraId="176F5214">
            <w:pPr>
              <w:pStyle w:val="20"/>
              <w:bidi w:val="0"/>
              <w:snapToGrid w:val="0"/>
              <w:ind w:left="0" w:leftChars="0" w:right="0" w:rightChars="0" w:firstLine="0" w:firstLineChars="0"/>
              <w:jc w:val="left"/>
              <w:rPr>
                <w:rFonts w:hint="default" w:ascii="Times New Roman" w:hAnsi="Times New Roman" w:cs="Times New Roman"/>
                <w:lang w:val="en-US" w:eastAsia="zh-CN"/>
              </w:rPr>
            </w:pPr>
            <w:r>
              <w:rPr>
                <w:rFonts w:hint="default" w:ascii="Times New Roman" w:hAnsi="Times New Roman" w:cs="Times New Roman"/>
                <w:lang w:val="en-US" w:eastAsia="zh-CN"/>
              </w:rPr>
              <w:t>胶版印刷纸</w:t>
            </w:r>
          </w:p>
        </w:tc>
        <w:tc>
          <w:tcPr>
            <w:tcW w:w="2864" w:type="dxa"/>
            <w:vAlign w:val="center"/>
          </w:tcPr>
          <w:p w14:paraId="704A4750">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0.824kg</w:t>
            </w:r>
            <w:r>
              <w:rPr>
                <w:rFonts w:hint="default" w:ascii="Times New Roman" w:hAnsi="Times New Roman" w:cs="Times New Roman"/>
              </w:rPr>
              <w:t>CO₂</w:t>
            </w:r>
            <w:r>
              <w:rPr>
                <w:rFonts w:hint="default" w:ascii="Times New Roman" w:hAnsi="Times New Roman" w:cs="Times New Roman"/>
                <w:lang w:val="en-US" w:eastAsia="zh-CN"/>
              </w:rPr>
              <w:t>/kg</w:t>
            </w:r>
          </w:p>
        </w:tc>
      </w:tr>
      <w:tr w14:paraId="42F6F1B5">
        <w:trPr>
          <w:trHeight w:val="0" w:hRule="atLeast"/>
        </w:trPr>
        <w:tc>
          <w:tcPr>
            <w:tcW w:w="839" w:type="dxa"/>
            <w:vMerge w:val="restart"/>
            <w:vAlign w:val="center"/>
          </w:tcPr>
          <w:p w14:paraId="2ABCD14C">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2</w:t>
            </w:r>
          </w:p>
        </w:tc>
        <w:tc>
          <w:tcPr>
            <w:tcW w:w="1096" w:type="dxa"/>
            <w:vMerge w:val="restart"/>
            <w:vAlign w:val="center"/>
          </w:tcPr>
          <w:p w14:paraId="7A04B571">
            <w:pPr>
              <w:pStyle w:val="20"/>
              <w:bidi w:val="0"/>
              <w:snapToGrid w:val="0"/>
              <w:ind w:left="0" w:leftChars="0" w:right="0" w:rightChars="0" w:firstLine="0" w:firstLineChars="0"/>
              <w:jc w:val="left"/>
              <w:rPr>
                <w:rFonts w:hint="default" w:ascii="Times New Roman" w:hAnsi="Times New Roman" w:cs="Times New Roman"/>
                <w:lang w:val="en-US" w:eastAsia="zh-CN"/>
              </w:rPr>
            </w:pPr>
            <w:r>
              <w:rPr>
                <w:rFonts w:hint="default" w:ascii="Times New Roman" w:hAnsi="Times New Roman" w:cs="Times New Roman"/>
                <w:lang w:val="en-US" w:eastAsia="zh-CN"/>
              </w:rPr>
              <w:t>塑料</w:t>
            </w:r>
          </w:p>
        </w:tc>
        <w:tc>
          <w:tcPr>
            <w:tcW w:w="3728" w:type="dxa"/>
            <w:vAlign w:val="center"/>
          </w:tcPr>
          <w:p w14:paraId="5BE492B3">
            <w:pPr>
              <w:pStyle w:val="20"/>
              <w:bidi w:val="0"/>
              <w:snapToGrid w:val="0"/>
              <w:ind w:left="0" w:leftChars="0" w:right="0" w:rightChars="0" w:firstLine="0" w:firstLineChars="0"/>
              <w:jc w:val="left"/>
              <w:rPr>
                <w:rFonts w:hint="default" w:ascii="Times New Roman" w:hAnsi="Times New Roman" w:cs="Times New Roman"/>
                <w:lang w:val="en-US" w:eastAsia="zh-CN"/>
              </w:rPr>
            </w:pPr>
            <w:r>
              <w:rPr>
                <w:rFonts w:hint="default" w:ascii="Times New Roman" w:hAnsi="Times New Roman" w:cs="Times New Roman"/>
                <w:lang w:val="en-US" w:eastAsia="zh-CN"/>
              </w:rPr>
              <w:t>聚酯类塑料（PET）</w:t>
            </w:r>
          </w:p>
        </w:tc>
        <w:tc>
          <w:tcPr>
            <w:tcW w:w="2864" w:type="dxa"/>
            <w:vAlign w:val="center"/>
          </w:tcPr>
          <w:p w14:paraId="1FC87FDA">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0.922kg</w:t>
            </w:r>
            <w:r>
              <w:rPr>
                <w:rFonts w:hint="default" w:ascii="Times New Roman" w:hAnsi="Times New Roman" w:cs="Times New Roman"/>
              </w:rPr>
              <w:t>CO₂</w:t>
            </w:r>
            <w:r>
              <w:rPr>
                <w:rFonts w:hint="default" w:ascii="Times New Roman" w:hAnsi="Times New Roman" w:cs="Times New Roman"/>
                <w:lang w:val="en-US" w:eastAsia="zh-CN"/>
              </w:rPr>
              <w:t>/kg</w:t>
            </w:r>
          </w:p>
        </w:tc>
      </w:tr>
      <w:tr w14:paraId="546C5579">
        <w:trPr>
          <w:trHeight w:val="0" w:hRule="atLeast"/>
        </w:trPr>
        <w:tc>
          <w:tcPr>
            <w:tcW w:w="839" w:type="dxa"/>
            <w:vMerge w:val="continue"/>
            <w:vAlign w:val="center"/>
          </w:tcPr>
          <w:p w14:paraId="6006B91C">
            <w:pPr>
              <w:pStyle w:val="20"/>
              <w:bidi w:val="0"/>
              <w:snapToGrid w:val="0"/>
              <w:ind w:left="0" w:leftChars="0" w:right="0" w:rightChars="0" w:firstLine="0" w:firstLineChars="0"/>
              <w:jc w:val="center"/>
              <w:rPr>
                <w:rFonts w:hint="default" w:ascii="Times New Roman" w:hAnsi="Times New Roman" w:cs="Times New Roman"/>
                <w:lang w:val="en-US" w:eastAsia="zh-CN"/>
              </w:rPr>
            </w:pPr>
          </w:p>
        </w:tc>
        <w:tc>
          <w:tcPr>
            <w:tcW w:w="1096" w:type="dxa"/>
            <w:vMerge w:val="continue"/>
            <w:vAlign w:val="center"/>
          </w:tcPr>
          <w:p w14:paraId="6973DF02">
            <w:pPr>
              <w:pStyle w:val="20"/>
              <w:bidi w:val="0"/>
              <w:snapToGrid w:val="0"/>
              <w:ind w:left="0" w:leftChars="0" w:right="0" w:rightChars="0" w:firstLine="0" w:firstLineChars="0"/>
              <w:jc w:val="left"/>
              <w:rPr>
                <w:rFonts w:hint="default" w:ascii="Times New Roman" w:hAnsi="Times New Roman" w:cs="Times New Roman"/>
                <w:lang w:val="en-US" w:eastAsia="zh-CN"/>
              </w:rPr>
            </w:pPr>
          </w:p>
        </w:tc>
        <w:tc>
          <w:tcPr>
            <w:tcW w:w="3728" w:type="dxa"/>
            <w:vAlign w:val="center"/>
          </w:tcPr>
          <w:p w14:paraId="0715823D">
            <w:pPr>
              <w:pStyle w:val="20"/>
              <w:bidi w:val="0"/>
              <w:snapToGrid w:val="0"/>
              <w:ind w:left="0" w:leftChars="0" w:right="0" w:rightChars="0" w:firstLine="0" w:firstLineChars="0"/>
              <w:jc w:val="left"/>
              <w:rPr>
                <w:rFonts w:hint="default" w:ascii="Times New Roman" w:hAnsi="Times New Roman" w:cs="Times New Roman"/>
                <w:lang w:val="en-US" w:eastAsia="zh-CN"/>
              </w:rPr>
            </w:pPr>
            <w:r>
              <w:rPr>
                <w:rFonts w:hint="default" w:ascii="Times New Roman" w:hAnsi="Times New Roman" w:cs="Times New Roman"/>
                <w:lang w:val="en-US" w:eastAsia="zh-CN"/>
              </w:rPr>
              <w:t>聚乙烯塑料（PE）</w:t>
            </w:r>
          </w:p>
        </w:tc>
        <w:tc>
          <w:tcPr>
            <w:tcW w:w="2864" w:type="dxa"/>
            <w:vAlign w:val="center"/>
          </w:tcPr>
          <w:p w14:paraId="54F0D18B">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1.29kg</w:t>
            </w:r>
            <w:r>
              <w:rPr>
                <w:rFonts w:hint="default" w:ascii="Times New Roman" w:hAnsi="Times New Roman" w:cs="Times New Roman"/>
              </w:rPr>
              <w:t>CO₂</w:t>
            </w:r>
            <w:r>
              <w:rPr>
                <w:rFonts w:hint="default" w:ascii="Times New Roman" w:hAnsi="Times New Roman" w:cs="Times New Roman"/>
                <w:lang w:val="en-US" w:eastAsia="zh-CN"/>
              </w:rPr>
              <w:t>/kg</w:t>
            </w:r>
          </w:p>
        </w:tc>
      </w:tr>
      <w:tr w14:paraId="1372836D">
        <w:trPr>
          <w:trHeight w:val="0" w:hRule="atLeast"/>
        </w:trPr>
        <w:tc>
          <w:tcPr>
            <w:tcW w:w="839" w:type="dxa"/>
            <w:vMerge w:val="continue"/>
            <w:vAlign w:val="center"/>
          </w:tcPr>
          <w:p w14:paraId="3300E3CE">
            <w:pPr>
              <w:pStyle w:val="20"/>
              <w:bidi w:val="0"/>
              <w:snapToGrid w:val="0"/>
              <w:ind w:left="0" w:leftChars="0" w:right="0" w:rightChars="0" w:firstLine="0" w:firstLineChars="0"/>
              <w:jc w:val="center"/>
              <w:rPr>
                <w:rFonts w:hint="default" w:ascii="Times New Roman" w:hAnsi="Times New Roman" w:cs="Times New Roman"/>
                <w:lang w:val="en-US" w:eastAsia="zh-CN"/>
              </w:rPr>
            </w:pPr>
          </w:p>
        </w:tc>
        <w:tc>
          <w:tcPr>
            <w:tcW w:w="1096" w:type="dxa"/>
            <w:vMerge w:val="continue"/>
            <w:vAlign w:val="center"/>
          </w:tcPr>
          <w:p w14:paraId="14647431">
            <w:pPr>
              <w:pStyle w:val="20"/>
              <w:bidi w:val="0"/>
              <w:snapToGrid w:val="0"/>
              <w:ind w:left="0" w:leftChars="0" w:right="0" w:rightChars="0" w:firstLine="0" w:firstLineChars="0"/>
              <w:jc w:val="left"/>
              <w:rPr>
                <w:rFonts w:hint="default" w:ascii="Times New Roman" w:hAnsi="Times New Roman" w:cs="Times New Roman"/>
                <w:lang w:val="en-US" w:eastAsia="zh-CN"/>
              </w:rPr>
            </w:pPr>
          </w:p>
        </w:tc>
        <w:tc>
          <w:tcPr>
            <w:tcW w:w="3728" w:type="dxa"/>
            <w:vAlign w:val="center"/>
          </w:tcPr>
          <w:p w14:paraId="11B30529">
            <w:pPr>
              <w:pStyle w:val="20"/>
              <w:bidi w:val="0"/>
              <w:snapToGrid w:val="0"/>
              <w:ind w:left="0" w:leftChars="0" w:right="0" w:rightChars="0" w:firstLine="0" w:firstLineChars="0"/>
              <w:jc w:val="left"/>
              <w:rPr>
                <w:rFonts w:hint="default" w:ascii="Times New Roman" w:hAnsi="Times New Roman" w:cs="Times New Roman"/>
                <w:lang w:val="en-US" w:eastAsia="zh-CN"/>
              </w:rPr>
            </w:pPr>
            <w:r>
              <w:rPr>
                <w:rFonts w:hint="default" w:ascii="Times New Roman" w:hAnsi="Times New Roman" w:cs="Times New Roman"/>
                <w:lang w:val="en-US" w:eastAsia="zh-CN"/>
              </w:rPr>
              <w:t>聚丙烯塑料（PP）</w:t>
            </w:r>
          </w:p>
        </w:tc>
        <w:tc>
          <w:tcPr>
            <w:tcW w:w="2864" w:type="dxa"/>
            <w:vAlign w:val="center"/>
          </w:tcPr>
          <w:p w14:paraId="49FE680A">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1.064kg</w:t>
            </w:r>
            <w:r>
              <w:rPr>
                <w:rFonts w:hint="default" w:ascii="Times New Roman" w:hAnsi="Times New Roman" w:cs="Times New Roman"/>
              </w:rPr>
              <w:t>CO₂</w:t>
            </w:r>
            <w:r>
              <w:rPr>
                <w:rFonts w:hint="default" w:ascii="Times New Roman" w:hAnsi="Times New Roman" w:cs="Times New Roman"/>
                <w:lang w:val="en-US" w:eastAsia="zh-CN"/>
              </w:rPr>
              <w:t>/kg</w:t>
            </w:r>
          </w:p>
        </w:tc>
      </w:tr>
      <w:tr w14:paraId="789983D8">
        <w:trPr>
          <w:trHeight w:val="0" w:hRule="atLeast"/>
        </w:trPr>
        <w:tc>
          <w:tcPr>
            <w:tcW w:w="839" w:type="dxa"/>
            <w:vMerge w:val="continue"/>
            <w:vAlign w:val="center"/>
          </w:tcPr>
          <w:p w14:paraId="24FEEB45">
            <w:pPr>
              <w:pStyle w:val="20"/>
              <w:bidi w:val="0"/>
              <w:snapToGrid w:val="0"/>
              <w:ind w:left="0" w:leftChars="0" w:right="0" w:rightChars="0" w:firstLine="0" w:firstLineChars="0"/>
              <w:jc w:val="center"/>
              <w:rPr>
                <w:rFonts w:hint="default" w:ascii="Times New Roman" w:hAnsi="Times New Roman" w:cs="Times New Roman"/>
                <w:lang w:val="en-US" w:eastAsia="zh-CN"/>
              </w:rPr>
            </w:pPr>
          </w:p>
        </w:tc>
        <w:tc>
          <w:tcPr>
            <w:tcW w:w="1096" w:type="dxa"/>
            <w:vMerge w:val="continue"/>
            <w:vAlign w:val="center"/>
          </w:tcPr>
          <w:p w14:paraId="0B88C91C">
            <w:pPr>
              <w:pStyle w:val="20"/>
              <w:bidi w:val="0"/>
              <w:snapToGrid w:val="0"/>
              <w:ind w:left="0" w:leftChars="0" w:right="0" w:rightChars="0" w:firstLine="0" w:firstLineChars="0"/>
              <w:jc w:val="left"/>
              <w:rPr>
                <w:rFonts w:hint="default" w:ascii="Times New Roman" w:hAnsi="Times New Roman" w:cs="Times New Roman"/>
                <w:lang w:val="en-US" w:eastAsia="zh-CN"/>
              </w:rPr>
            </w:pPr>
          </w:p>
        </w:tc>
        <w:tc>
          <w:tcPr>
            <w:tcW w:w="3728" w:type="dxa"/>
            <w:vAlign w:val="center"/>
          </w:tcPr>
          <w:p w14:paraId="4F0B667F">
            <w:pPr>
              <w:pStyle w:val="20"/>
              <w:bidi w:val="0"/>
              <w:snapToGrid w:val="0"/>
              <w:ind w:left="0" w:leftChars="0" w:right="0" w:rightChars="0" w:firstLine="0" w:firstLineChars="0"/>
              <w:jc w:val="left"/>
              <w:rPr>
                <w:rFonts w:hint="default" w:ascii="Times New Roman" w:hAnsi="Times New Roman" w:cs="Times New Roman"/>
                <w:lang w:val="en-US" w:eastAsia="zh-CN"/>
              </w:rPr>
            </w:pPr>
            <w:r>
              <w:rPr>
                <w:rFonts w:hint="default" w:ascii="Times New Roman" w:hAnsi="Times New Roman" w:cs="Times New Roman"/>
                <w:lang w:val="en-US" w:eastAsia="zh-CN"/>
              </w:rPr>
              <w:t>高密度聚乙烯（HDPE）</w:t>
            </w:r>
          </w:p>
        </w:tc>
        <w:tc>
          <w:tcPr>
            <w:tcW w:w="2864" w:type="dxa"/>
            <w:vAlign w:val="center"/>
          </w:tcPr>
          <w:p w14:paraId="09A7A58F">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1.289kg</w:t>
            </w:r>
            <w:r>
              <w:rPr>
                <w:rFonts w:hint="default" w:ascii="Times New Roman" w:hAnsi="Times New Roman" w:cs="Times New Roman"/>
              </w:rPr>
              <w:t>CO₂</w:t>
            </w:r>
            <w:r>
              <w:rPr>
                <w:rFonts w:hint="default" w:ascii="Times New Roman" w:hAnsi="Times New Roman" w:cs="Times New Roman"/>
                <w:lang w:val="en-US" w:eastAsia="zh-CN"/>
              </w:rPr>
              <w:t>/kg</w:t>
            </w:r>
          </w:p>
        </w:tc>
      </w:tr>
      <w:tr w14:paraId="1D690AE1">
        <w:trPr>
          <w:trHeight w:val="0" w:hRule="atLeast"/>
        </w:trPr>
        <w:tc>
          <w:tcPr>
            <w:tcW w:w="839" w:type="dxa"/>
            <w:vMerge w:val="continue"/>
            <w:vAlign w:val="center"/>
          </w:tcPr>
          <w:p w14:paraId="7CF1902C">
            <w:pPr>
              <w:pStyle w:val="20"/>
              <w:bidi w:val="0"/>
              <w:snapToGrid w:val="0"/>
              <w:ind w:left="0" w:leftChars="0" w:right="0" w:rightChars="0" w:firstLine="0" w:firstLineChars="0"/>
              <w:jc w:val="center"/>
              <w:rPr>
                <w:rFonts w:hint="default" w:ascii="Times New Roman" w:hAnsi="Times New Roman" w:cs="Times New Roman"/>
                <w:lang w:val="en-US" w:eastAsia="zh-CN"/>
              </w:rPr>
            </w:pPr>
          </w:p>
        </w:tc>
        <w:tc>
          <w:tcPr>
            <w:tcW w:w="1096" w:type="dxa"/>
            <w:vMerge w:val="continue"/>
            <w:vAlign w:val="center"/>
          </w:tcPr>
          <w:p w14:paraId="10D1ECDF">
            <w:pPr>
              <w:pStyle w:val="20"/>
              <w:bidi w:val="0"/>
              <w:snapToGrid w:val="0"/>
              <w:ind w:left="0" w:leftChars="0" w:right="0" w:rightChars="0" w:firstLine="0" w:firstLineChars="0"/>
              <w:jc w:val="left"/>
              <w:rPr>
                <w:rFonts w:hint="default" w:ascii="Times New Roman" w:hAnsi="Times New Roman" w:cs="Times New Roman"/>
                <w:lang w:val="en-US" w:eastAsia="zh-CN"/>
              </w:rPr>
            </w:pPr>
          </w:p>
        </w:tc>
        <w:tc>
          <w:tcPr>
            <w:tcW w:w="3728" w:type="dxa"/>
            <w:vAlign w:val="center"/>
          </w:tcPr>
          <w:p w14:paraId="46BB448A">
            <w:pPr>
              <w:pStyle w:val="20"/>
              <w:bidi w:val="0"/>
              <w:snapToGrid w:val="0"/>
              <w:ind w:left="0" w:leftChars="0" w:right="0" w:rightChars="0" w:firstLine="0" w:firstLineChars="0"/>
              <w:jc w:val="left"/>
              <w:rPr>
                <w:rFonts w:hint="default" w:ascii="Times New Roman" w:hAnsi="Times New Roman" w:cs="Times New Roman"/>
                <w:lang w:val="en-US" w:eastAsia="zh-CN"/>
              </w:rPr>
            </w:pPr>
            <w:r>
              <w:rPr>
                <w:rFonts w:hint="default" w:ascii="Times New Roman" w:hAnsi="Times New Roman" w:cs="Times New Roman"/>
                <w:lang w:val="en-US" w:eastAsia="zh-CN"/>
              </w:rPr>
              <w:t>低密度聚乙烯（LDPE）</w:t>
            </w:r>
          </w:p>
        </w:tc>
        <w:tc>
          <w:tcPr>
            <w:tcW w:w="2864" w:type="dxa"/>
            <w:vAlign w:val="center"/>
          </w:tcPr>
          <w:p w14:paraId="540353E5">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0.01kg</w:t>
            </w:r>
            <w:r>
              <w:rPr>
                <w:rFonts w:hint="default" w:ascii="Times New Roman" w:hAnsi="Times New Roman" w:cs="Times New Roman"/>
              </w:rPr>
              <w:t>CO₂</w:t>
            </w:r>
            <w:r>
              <w:rPr>
                <w:rFonts w:hint="default" w:ascii="Times New Roman" w:hAnsi="Times New Roman" w:cs="Times New Roman"/>
                <w:lang w:val="en-US" w:eastAsia="zh-CN"/>
              </w:rPr>
              <w:t>/kg</w:t>
            </w:r>
          </w:p>
        </w:tc>
      </w:tr>
      <w:tr w14:paraId="699BE40E">
        <w:trPr>
          <w:trHeight w:val="0" w:hRule="atLeast"/>
        </w:trPr>
        <w:tc>
          <w:tcPr>
            <w:tcW w:w="839" w:type="dxa"/>
            <w:vMerge w:val="continue"/>
            <w:vAlign w:val="center"/>
          </w:tcPr>
          <w:p w14:paraId="6F809FE6">
            <w:pPr>
              <w:pStyle w:val="20"/>
              <w:bidi w:val="0"/>
              <w:snapToGrid w:val="0"/>
              <w:ind w:left="0" w:leftChars="0" w:right="0" w:rightChars="0" w:firstLine="0" w:firstLineChars="0"/>
              <w:jc w:val="center"/>
              <w:rPr>
                <w:rFonts w:hint="default" w:ascii="Times New Roman" w:hAnsi="Times New Roman" w:cs="Times New Roman"/>
                <w:lang w:val="en-US" w:eastAsia="zh-CN"/>
              </w:rPr>
            </w:pPr>
          </w:p>
        </w:tc>
        <w:tc>
          <w:tcPr>
            <w:tcW w:w="1096" w:type="dxa"/>
            <w:vMerge w:val="continue"/>
            <w:vAlign w:val="center"/>
          </w:tcPr>
          <w:p w14:paraId="2183569D">
            <w:pPr>
              <w:pStyle w:val="20"/>
              <w:bidi w:val="0"/>
              <w:snapToGrid w:val="0"/>
              <w:ind w:left="0" w:leftChars="0" w:right="0" w:rightChars="0" w:firstLine="0" w:firstLineChars="0"/>
              <w:jc w:val="left"/>
              <w:rPr>
                <w:rFonts w:hint="default" w:ascii="Times New Roman" w:hAnsi="Times New Roman" w:cs="Times New Roman"/>
                <w:lang w:val="en-US" w:eastAsia="zh-CN"/>
              </w:rPr>
            </w:pPr>
          </w:p>
        </w:tc>
        <w:tc>
          <w:tcPr>
            <w:tcW w:w="3728" w:type="dxa"/>
            <w:vAlign w:val="center"/>
          </w:tcPr>
          <w:p w14:paraId="38EA060B">
            <w:pPr>
              <w:pStyle w:val="20"/>
              <w:bidi w:val="0"/>
              <w:snapToGrid w:val="0"/>
              <w:ind w:left="0" w:leftChars="0" w:right="0" w:rightChars="0" w:firstLine="0" w:firstLineChars="0"/>
              <w:jc w:val="left"/>
              <w:rPr>
                <w:rFonts w:hint="default" w:ascii="Times New Roman" w:hAnsi="Times New Roman" w:cs="Times New Roman"/>
                <w:lang w:val="en-US" w:eastAsia="zh-CN"/>
              </w:rPr>
            </w:pPr>
            <w:r>
              <w:rPr>
                <w:rFonts w:hint="default" w:ascii="Times New Roman" w:hAnsi="Times New Roman" w:cs="Times New Roman"/>
                <w:lang w:val="en-US" w:eastAsia="zh-CN"/>
              </w:rPr>
              <w:t>线型低密度聚乙烯（LLDPE）</w:t>
            </w:r>
          </w:p>
        </w:tc>
        <w:tc>
          <w:tcPr>
            <w:tcW w:w="2864" w:type="dxa"/>
            <w:vAlign w:val="center"/>
          </w:tcPr>
          <w:p w14:paraId="704D3A7F">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0.65kg</w:t>
            </w:r>
            <w:r>
              <w:rPr>
                <w:rFonts w:hint="default" w:ascii="Times New Roman" w:hAnsi="Times New Roman" w:cs="Times New Roman"/>
              </w:rPr>
              <w:t>CO₂</w:t>
            </w:r>
            <w:r>
              <w:rPr>
                <w:rFonts w:hint="default" w:ascii="Times New Roman" w:hAnsi="Times New Roman" w:cs="Times New Roman"/>
                <w:lang w:val="en-US" w:eastAsia="zh-CN"/>
              </w:rPr>
              <w:t>/kg</w:t>
            </w:r>
          </w:p>
        </w:tc>
      </w:tr>
      <w:tr w14:paraId="42541DDA">
        <w:trPr>
          <w:trHeight w:val="0" w:hRule="atLeast"/>
        </w:trPr>
        <w:tc>
          <w:tcPr>
            <w:tcW w:w="839" w:type="dxa"/>
            <w:vMerge w:val="continue"/>
            <w:vAlign w:val="center"/>
          </w:tcPr>
          <w:p w14:paraId="54FFCFEB">
            <w:pPr>
              <w:pStyle w:val="20"/>
              <w:bidi w:val="0"/>
              <w:snapToGrid w:val="0"/>
              <w:ind w:left="0" w:leftChars="0" w:right="0" w:rightChars="0" w:firstLine="0" w:firstLineChars="0"/>
              <w:jc w:val="center"/>
              <w:rPr>
                <w:rFonts w:hint="default" w:ascii="Times New Roman" w:hAnsi="Times New Roman" w:cs="Times New Roman"/>
                <w:lang w:val="en-US" w:eastAsia="zh-CN"/>
              </w:rPr>
            </w:pPr>
          </w:p>
        </w:tc>
        <w:tc>
          <w:tcPr>
            <w:tcW w:w="1096" w:type="dxa"/>
            <w:vMerge w:val="continue"/>
            <w:vAlign w:val="center"/>
          </w:tcPr>
          <w:p w14:paraId="48156F4F">
            <w:pPr>
              <w:pStyle w:val="20"/>
              <w:bidi w:val="0"/>
              <w:snapToGrid w:val="0"/>
              <w:ind w:left="0" w:leftChars="0" w:right="0" w:rightChars="0" w:firstLine="0" w:firstLineChars="0"/>
              <w:jc w:val="left"/>
              <w:rPr>
                <w:rFonts w:hint="default" w:ascii="Times New Roman" w:hAnsi="Times New Roman" w:cs="Times New Roman"/>
                <w:lang w:val="en-US" w:eastAsia="zh-CN"/>
              </w:rPr>
            </w:pPr>
          </w:p>
        </w:tc>
        <w:tc>
          <w:tcPr>
            <w:tcW w:w="3728" w:type="dxa"/>
            <w:vAlign w:val="center"/>
          </w:tcPr>
          <w:p w14:paraId="0CD52A3C">
            <w:pPr>
              <w:pStyle w:val="20"/>
              <w:bidi w:val="0"/>
              <w:snapToGrid w:val="0"/>
              <w:ind w:left="0" w:leftChars="0" w:right="0" w:rightChars="0" w:firstLine="0" w:firstLineChars="0"/>
              <w:jc w:val="left"/>
              <w:rPr>
                <w:rFonts w:hint="default" w:ascii="Times New Roman" w:hAnsi="Times New Roman" w:cs="Times New Roman"/>
                <w:lang w:val="en-US" w:eastAsia="zh-CN"/>
              </w:rPr>
            </w:pPr>
            <w:r>
              <w:rPr>
                <w:rFonts w:hint="default" w:ascii="Times New Roman" w:hAnsi="Times New Roman" w:cs="Times New Roman"/>
                <w:lang w:val="en-US" w:eastAsia="zh-CN"/>
              </w:rPr>
              <w:t>聚氯乙烯（PVC）</w:t>
            </w:r>
          </w:p>
        </w:tc>
        <w:tc>
          <w:tcPr>
            <w:tcW w:w="2864" w:type="dxa"/>
            <w:vAlign w:val="center"/>
          </w:tcPr>
          <w:p w14:paraId="5A598475">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0.893kg</w:t>
            </w:r>
            <w:r>
              <w:rPr>
                <w:rFonts w:hint="default" w:ascii="Times New Roman" w:hAnsi="Times New Roman" w:cs="Times New Roman"/>
              </w:rPr>
              <w:t>CO₂</w:t>
            </w:r>
            <w:r>
              <w:rPr>
                <w:rFonts w:hint="default" w:ascii="Times New Roman" w:hAnsi="Times New Roman" w:cs="Times New Roman"/>
                <w:lang w:val="en-US" w:eastAsia="zh-CN"/>
              </w:rPr>
              <w:t>/kg</w:t>
            </w:r>
          </w:p>
        </w:tc>
      </w:tr>
      <w:tr w14:paraId="1983322E">
        <w:trPr>
          <w:trHeight w:val="0" w:hRule="atLeast"/>
        </w:trPr>
        <w:tc>
          <w:tcPr>
            <w:tcW w:w="839" w:type="dxa"/>
            <w:vAlign w:val="center"/>
          </w:tcPr>
          <w:p w14:paraId="7CDA17FC">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3</w:t>
            </w:r>
          </w:p>
        </w:tc>
        <w:tc>
          <w:tcPr>
            <w:tcW w:w="1096" w:type="dxa"/>
            <w:vAlign w:val="center"/>
          </w:tcPr>
          <w:p w14:paraId="608BED5F">
            <w:pPr>
              <w:pStyle w:val="20"/>
              <w:bidi w:val="0"/>
              <w:snapToGrid w:val="0"/>
              <w:ind w:left="0" w:leftChars="0" w:right="0" w:rightChars="0" w:firstLine="0" w:firstLineChars="0"/>
              <w:jc w:val="left"/>
              <w:rPr>
                <w:rFonts w:hint="default" w:ascii="Times New Roman" w:hAnsi="Times New Roman" w:cs="Times New Roman"/>
                <w:lang w:val="en-US" w:eastAsia="zh-CN"/>
              </w:rPr>
            </w:pPr>
            <w:r>
              <w:rPr>
                <w:rFonts w:hint="default" w:ascii="Times New Roman" w:hAnsi="Times New Roman" w:cs="Times New Roman"/>
                <w:lang w:val="en-US" w:eastAsia="zh-CN"/>
              </w:rPr>
              <w:t>玻璃</w:t>
            </w:r>
          </w:p>
        </w:tc>
        <w:tc>
          <w:tcPr>
            <w:tcW w:w="3728" w:type="dxa"/>
            <w:vAlign w:val="center"/>
          </w:tcPr>
          <w:p w14:paraId="5F55DEC8">
            <w:pPr>
              <w:pStyle w:val="20"/>
              <w:bidi w:val="0"/>
              <w:snapToGrid w:val="0"/>
              <w:ind w:left="0" w:leftChars="0" w:right="0" w:rightChars="0" w:firstLine="0" w:firstLineChars="0"/>
              <w:jc w:val="left"/>
              <w:rPr>
                <w:rFonts w:hint="default" w:ascii="Times New Roman" w:hAnsi="Times New Roman" w:cs="Times New Roman"/>
                <w:lang w:val="en-US" w:eastAsia="zh-CN"/>
              </w:rPr>
            </w:pPr>
            <w:r>
              <w:rPr>
                <w:rFonts w:hint="default" w:ascii="Times New Roman" w:hAnsi="Times New Roman" w:cs="Times New Roman"/>
                <w:lang w:val="en-US" w:eastAsia="zh-CN"/>
              </w:rPr>
              <w:t>玻璃容器</w:t>
            </w:r>
          </w:p>
        </w:tc>
        <w:tc>
          <w:tcPr>
            <w:tcW w:w="2864" w:type="dxa"/>
            <w:vAlign w:val="center"/>
          </w:tcPr>
          <w:p w14:paraId="471124B1">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0.541kg</w:t>
            </w:r>
            <w:r>
              <w:rPr>
                <w:rFonts w:hint="default" w:ascii="Times New Roman" w:hAnsi="Times New Roman" w:cs="Times New Roman"/>
              </w:rPr>
              <w:t>CO₂</w:t>
            </w:r>
            <w:r>
              <w:rPr>
                <w:rFonts w:hint="default" w:ascii="Times New Roman" w:hAnsi="Times New Roman" w:cs="Times New Roman"/>
                <w:lang w:val="en-US" w:eastAsia="zh-CN"/>
              </w:rPr>
              <w:t>/kg</w:t>
            </w:r>
          </w:p>
        </w:tc>
      </w:tr>
      <w:tr w14:paraId="462459E4">
        <w:trPr>
          <w:trHeight w:val="0" w:hRule="atLeast"/>
        </w:trPr>
        <w:tc>
          <w:tcPr>
            <w:tcW w:w="839" w:type="dxa"/>
            <w:vMerge w:val="restart"/>
            <w:vAlign w:val="center"/>
          </w:tcPr>
          <w:p w14:paraId="655D70F8">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4</w:t>
            </w:r>
          </w:p>
        </w:tc>
        <w:tc>
          <w:tcPr>
            <w:tcW w:w="1096" w:type="dxa"/>
            <w:vMerge w:val="restart"/>
            <w:vAlign w:val="center"/>
          </w:tcPr>
          <w:p w14:paraId="5188202A">
            <w:pPr>
              <w:pStyle w:val="20"/>
              <w:bidi w:val="0"/>
              <w:snapToGrid w:val="0"/>
              <w:ind w:left="0" w:leftChars="0" w:right="0" w:rightChars="0" w:firstLine="0" w:firstLineChars="0"/>
              <w:jc w:val="left"/>
              <w:rPr>
                <w:rFonts w:hint="default" w:ascii="Times New Roman" w:hAnsi="Times New Roman" w:cs="Times New Roman"/>
                <w:lang w:val="en-US" w:eastAsia="zh-CN"/>
              </w:rPr>
            </w:pPr>
            <w:r>
              <w:rPr>
                <w:rFonts w:hint="default" w:ascii="Times New Roman" w:hAnsi="Times New Roman" w:cs="Times New Roman"/>
                <w:lang w:val="en-US" w:eastAsia="zh-CN"/>
              </w:rPr>
              <w:t>金属类</w:t>
            </w:r>
          </w:p>
        </w:tc>
        <w:tc>
          <w:tcPr>
            <w:tcW w:w="3728" w:type="dxa"/>
            <w:vAlign w:val="center"/>
          </w:tcPr>
          <w:p w14:paraId="6F61842B">
            <w:pPr>
              <w:pStyle w:val="20"/>
              <w:bidi w:val="0"/>
              <w:snapToGrid w:val="0"/>
              <w:ind w:left="0" w:leftChars="0" w:right="0" w:rightChars="0" w:firstLine="0" w:firstLineChars="0"/>
              <w:jc w:val="left"/>
              <w:rPr>
                <w:rFonts w:hint="default" w:ascii="Times New Roman" w:hAnsi="Times New Roman" w:cs="Times New Roman"/>
                <w:lang w:val="en-US" w:eastAsia="zh-CN"/>
              </w:rPr>
            </w:pPr>
            <w:r>
              <w:rPr>
                <w:rFonts w:hint="default" w:ascii="Times New Roman" w:hAnsi="Times New Roman" w:cs="Times New Roman"/>
                <w:lang w:val="en-US" w:eastAsia="zh-CN"/>
              </w:rPr>
              <w:t>铝制品</w:t>
            </w:r>
          </w:p>
        </w:tc>
        <w:tc>
          <w:tcPr>
            <w:tcW w:w="2864" w:type="dxa"/>
            <w:vAlign w:val="center"/>
          </w:tcPr>
          <w:p w14:paraId="37E3553E">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14.116kg</w:t>
            </w:r>
            <w:r>
              <w:rPr>
                <w:rFonts w:hint="default" w:ascii="Times New Roman" w:hAnsi="Times New Roman" w:cs="Times New Roman"/>
              </w:rPr>
              <w:t>CO₂</w:t>
            </w:r>
            <w:r>
              <w:rPr>
                <w:rFonts w:hint="default" w:ascii="Times New Roman" w:hAnsi="Times New Roman" w:cs="Times New Roman"/>
                <w:lang w:val="en-US" w:eastAsia="zh-CN"/>
              </w:rPr>
              <w:t>/kg</w:t>
            </w:r>
          </w:p>
        </w:tc>
      </w:tr>
      <w:tr w14:paraId="66E9AE06">
        <w:trPr>
          <w:trHeight w:val="0" w:hRule="atLeast"/>
        </w:trPr>
        <w:tc>
          <w:tcPr>
            <w:tcW w:w="839" w:type="dxa"/>
            <w:vMerge w:val="continue"/>
            <w:vAlign w:val="center"/>
          </w:tcPr>
          <w:p w14:paraId="2CF59165">
            <w:pPr>
              <w:pStyle w:val="20"/>
              <w:bidi w:val="0"/>
              <w:snapToGrid w:val="0"/>
              <w:ind w:left="0" w:leftChars="0" w:right="0" w:rightChars="0" w:firstLine="0" w:firstLineChars="0"/>
              <w:jc w:val="center"/>
              <w:rPr>
                <w:rFonts w:hint="default" w:ascii="Times New Roman" w:hAnsi="Times New Roman" w:cs="Times New Roman"/>
                <w:lang w:val="en-US" w:eastAsia="zh-CN"/>
              </w:rPr>
            </w:pPr>
          </w:p>
        </w:tc>
        <w:tc>
          <w:tcPr>
            <w:tcW w:w="1096" w:type="dxa"/>
            <w:vMerge w:val="continue"/>
            <w:vAlign w:val="center"/>
          </w:tcPr>
          <w:p w14:paraId="632137A6">
            <w:pPr>
              <w:pStyle w:val="20"/>
              <w:bidi w:val="0"/>
              <w:snapToGrid w:val="0"/>
              <w:ind w:left="0" w:leftChars="0" w:right="0" w:rightChars="0" w:firstLine="0" w:firstLineChars="0"/>
              <w:jc w:val="left"/>
              <w:rPr>
                <w:rFonts w:hint="default" w:ascii="Times New Roman" w:hAnsi="Times New Roman" w:cs="Times New Roman"/>
                <w:lang w:val="en-US" w:eastAsia="zh-CN"/>
              </w:rPr>
            </w:pPr>
          </w:p>
        </w:tc>
        <w:tc>
          <w:tcPr>
            <w:tcW w:w="3728" w:type="dxa"/>
            <w:vAlign w:val="center"/>
          </w:tcPr>
          <w:p w14:paraId="0507689C">
            <w:pPr>
              <w:pStyle w:val="20"/>
              <w:bidi w:val="0"/>
              <w:snapToGrid w:val="0"/>
              <w:ind w:left="0" w:leftChars="0" w:right="0" w:rightChars="0" w:firstLine="0" w:firstLineChars="0"/>
              <w:jc w:val="left"/>
              <w:rPr>
                <w:rFonts w:hint="default" w:ascii="Times New Roman" w:hAnsi="Times New Roman" w:cs="Times New Roman"/>
                <w:lang w:val="en-US" w:eastAsia="zh-CN"/>
              </w:rPr>
            </w:pPr>
            <w:r>
              <w:rPr>
                <w:rFonts w:hint="default" w:ascii="Times New Roman" w:hAnsi="Times New Roman" w:cs="Times New Roman"/>
                <w:lang w:val="en-US" w:eastAsia="zh-CN"/>
              </w:rPr>
              <w:t>钢制品</w:t>
            </w:r>
          </w:p>
        </w:tc>
        <w:tc>
          <w:tcPr>
            <w:tcW w:w="2864" w:type="dxa"/>
            <w:vAlign w:val="center"/>
          </w:tcPr>
          <w:p w14:paraId="4522679F">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3.667kg</w:t>
            </w:r>
            <w:r>
              <w:rPr>
                <w:rFonts w:hint="default" w:ascii="Times New Roman" w:hAnsi="Times New Roman" w:cs="Times New Roman"/>
              </w:rPr>
              <w:t>CO₂</w:t>
            </w:r>
            <w:r>
              <w:rPr>
                <w:rFonts w:hint="default" w:ascii="Times New Roman" w:hAnsi="Times New Roman" w:cs="Times New Roman"/>
                <w:lang w:val="en-US" w:eastAsia="zh-CN"/>
              </w:rPr>
              <w:t>/kg</w:t>
            </w:r>
          </w:p>
        </w:tc>
      </w:tr>
      <w:tr w14:paraId="76DB227B">
        <w:trPr>
          <w:trHeight w:val="0" w:hRule="atLeast"/>
        </w:trPr>
        <w:tc>
          <w:tcPr>
            <w:tcW w:w="839" w:type="dxa"/>
            <w:vAlign w:val="center"/>
          </w:tcPr>
          <w:p w14:paraId="01FBB7CA">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5</w:t>
            </w:r>
          </w:p>
        </w:tc>
        <w:tc>
          <w:tcPr>
            <w:tcW w:w="3728" w:type="dxa"/>
            <w:gridSpan w:val="2"/>
            <w:vAlign w:val="center"/>
          </w:tcPr>
          <w:p w14:paraId="793129C7">
            <w:pPr>
              <w:pStyle w:val="20"/>
              <w:bidi w:val="0"/>
              <w:snapToGrid w:val="0"/>
              <w:ind w:left="0" w:leftChars="0" w:right="0" w:rightChars="0" w:firstLine="0" w:firstLineChars="0"/>
              <w:jc w:val="left"/>
              <w:rPr>
                <w:rFonts w:hint="default" w:ascii="Times New Roman" w:hAnsi="Times New Roman" w:cs="Times New Roman"/>
                <w:lang w:val="en-US" w:eastAsia="zh-CN"/>
              </w:rPr>
            </w:pPr>
            <w:r>
              <w:rPr>
                <w:rFonts w:hint="default" w:ascii="Times New Roman" w:hAnsi="Times New Roman" w:cs="Times New Roman"/>
                <w:lang w:val="en-US" w:eastAsia="zh-CN"/>
              </w:rPr>
              <w:t>纺织物</w:t>
            </w:r>
          </w:p>
        </w:tc>
        <w:tc>
          <w:tcPr>
            <w:tcW w:w="2864" w:type="dxa"/>
            <w:vAlign w:val="center"/>
          </w:tcPr>
          <w:p w14:paraId="6B42049C">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5.380kg</w:t>
            </w:r>
            <w:r>
              <w:rPr>
                <w:rFonts w:hint="default" w:ascii="Times New Roman" w:hAnsi="Times New Roman" w:cs="Times New Roman"/>
              </w:rPr>
              <w:t>CO₂</w:t>
            </w:r>
            <w:r>
              <w:rPr>
                <w:rFonts w:hint="default" w:ascii="Times New Roman" w:hAnsi="Times New Roman" w:cs="Times New Roman"/>
                <w:lang w:val="en-US" w:eastAsia="zh-CN"/>
              </w:rPr>
              <w:t>/kg</w:t>
            </w:r>
          </w:p>
        </w:tc>
      </w:tr>
      <w:tr w14:paraId="039F4329">
        <w:trPr>
          <w:trHeight w:val="0" w:hRule="atLeast"/>
        </w:trPr>
        <w:tc>
          <w:tcPr>
            <w:tcW w:w="839" w:type="dxa"/>
            <w:vAlign w:val="center"/>
          </w:tcPr>
          <w:p w14:paraId="13D2BFAA">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6</w:t>
            </w:r>
          </w:p>
        </w:tc>
        <w:tc>
          <w:tcPr>
            <w:tcW w:w="3728" w:type="dxa"/>
            <w:gridSpan w:val="2"/>
            <w:vAlign w:val="center"/>
          </w:tcPr>
          <w:p w14:paraId="362277CE">
            <w:pPr>
              <w:pStyle w:val="20"/>
              <w:bidi w:val="0"/>
              <w:snapToGrid w:val="0"/>
              <w:ind w:left="0" w:leftChars="0" w:right="0" w:rightChars="0" w:firstLine="0" w:firstLineChars="0"/>
              <w:jc w:val="left"/>
              <w:rPr>
                <w:rFonts w:hint="default" w:ascii="Times New Roman" w:hAnsi="Times New Roman" w:cs="Times New Roman"/>
                <w:lang w:val="en-US" w:eastAsia="zh-CN"/>
              </w:rPr>
            </w:pPr>
            <w:r>
              <w:rPr>
                <w:rFonts w:hint="default" w:ascii="Times New Roman" w:hAnsi="Times New Roman" w:cs="Times New Roman"/>
                <w:lang w:val="en-US" w:eastAsia="zh-CN"/>
              </w:rPr>
              <w:t>电器</w:t>
            </w:r>
          </w:p>
        </w:tc>
        <w:tc>
          <w:tcPr>
            <w:tcW w:w="2864" w:type="dxa"/>
            <w:vAlign w:val="center"/>
          </w:tcPr>
          <w:p w14:paraId="18205AD4">
            <w:pPr>
              <w:pStyle w:val="20"/>
              <w:bidi w:val="0"/>
              <w:snapToGrid w:val="0"/>
              <w:ind w:left="0" w:leftChars="0" w:right="0" w:rightChars="0" w:firstLine="0" w:firstLineChars="0"/>
              <w:jc w:val="center"/>
              <w:rPr>
                <w:rFonts w:hint="default" w:ascii="Times New Roman" w:hAnsi="Times New Roman" w:cs="Times New Roman"/>
                <w:lang w:val="en-US" w:eastAsia="zh-CN"/>
              </w:rPr>
            </w:pPr>
            <w:r>
              <w:rPr>
                <w:rFonts w:hint="default" w:ascii="Times New Roman" w:hAnsi="Times New Roman" w:cs="Times New Roman"/>
                <w:lang w:val="en-US" w:eastAsia="zh-CN"/>
              </w:rPr>
              <w:t>12.270kg</w:t>
            </w:r>
            <w:r>
              <w:rPr>
                <w:rFonts w:hint="default" w:ascii="Times New Roman" w:hAnsi="Times New Roman" w:cs="Times New Roman"/>
              </w:rPr>
              <w:t>CO₂</w:t>
            </w:r>
            <w:r>
              <w:rPr>
                <w:rFonts w:hint="default" w:ascii="Times New Roman" w:hAnsi="Times New Roman" w:cs="Times New Roman"/>
                <w:lang w:val="en-US" w:eastAsia="zh-CN"/>
              </w:rPr>
              <w:t>/kg</w:t>
            </w:r>
          </w:p>
        </w:tc>
      </w:tr>
    </w:tbl>
    <w:p w14:paraId="0BB7A179">
      <w:pPr>
        <w:rPr>
          <w:rFonts w:hint="default" w:ascii="Times New Roman" w:hAnsi="Times New Roman" w:cs="Times New Roman"/>
          <w:spacing w:val="-6"/>
          <w:sz w:val="21"/>
          <w:szCs w:val="21"/>
        </w:rPr>
      </w:pPr>
      <w:r>
        <w:rPr>
          <w:rFonts w:hint="default" w:ascii="Times New Roman" w:hAnsi="Times New Roman" w:cs="Times New Roman"/>
          <w:spacing w:val="-6"/>
          <w:sz w:val="21"/>
          <w:szCs w:val="21"/>
        </w:rPr>
        <w:br w:type="page"/>
      </w:r>
    </w:p>
    <w:p w14:paraId="743AA3A6">
      <w:pPr>
        <w:pStyle w:val="3"/>
        <w:spacing w:before="269" w:line="220" w:lineRule="auto"/>
        <w:ind w:left="3582"/>
        <w:outlineLvl w:val="0"/>
        <w:rPr>
          <w:rFonts w:hint="eastAsia" w:ascii="黑体" w:hAnsi="黑体" w:eastAsia="黑体" w:cs="黑体"/>
          <w:sz w:val="21"/>
          <w:szCs w:val="21"/>
        </w:rPr>
      </w:pPr>
      <w:bookmarkStart w:id="101" w:name="_Toc11099"/>
      <w:bookmarkStart w:id="102" w:name="_Toc22385"/>
      <w:r>
        <w:rPr>
          <w:rFonts w:hint="eastAsia" w:ascii="黑体" w:hAnsi="黑体" w:eastAsia="黑体" w:cs="黑体"/>
          <w:spacing w:val="-6"/>
          <w:sz w:val="21"/>
          <w:szCs w:val="21"/>
        </w:rPr>
        <w:t>参</w:t>
      </w:r>
      <w:r>
        <w:rPr>
          <w:rFonts w:hint="eastAsia" w:ascii="黑体" w:hAnsi="黑体" w:eastAsia="黑体" w:cs="黑体"/>
          <w:spacing w:val="3"/>
          <w:sz w:val="21"/>
          <w:szCs w:val="21"/>
        </w:rPr>
        <w:t xml:space="preserve">  </w:t>
      </w:r>
      <w:r>
        <w:rPr>
          <w:rFonts w:hint="eastAsia" w:ascii="黑体" w:hAnsi="黑体" w:eastAsia="黑体" w:cs="黑体"/>
          <w:spacing w:val="-6"/>
          <w:sz w:val="21"/>
          <w:szCs w:val="21"/>
        </w:rPr>
        <w:t>考</w:t>
      </w:r>
      <w:r>
        <w:rPr>
          <w:rFonts w:hint="eastAsia" w:ascii="黑体" w:hAnsi="黑体" w:eastAsia="黑体" w:cs="黑体"/>
          <w:spacing w:val="4"/>
          <w:sz w:val="21"/>
          <w:szCs w:val="21"/>
        </w:rPr>
        <w:t xml:space="preserve">  </w:t>
      </w:r>
      <w:r>
        <w:rPr>
          <w:rFonts w:hint="eastAsia" w:ascii="黑体" w:hAnsi="黑体" w:eastAsia="黑体" w:cs="黑体"/>
          <w:spacing w:val="-6"/>
          <w:sz w:val="21"/>
          <w:szCs w:val="21"/>
        </w:rPr>
        <w:t>文</w:t>
      </w:r>
      <w:r>
        <w:rPr>
          <w:rFonts w:hint="eastAsia" w:ascii="黑体" w:hAnsi="黑体" w:eastAsia="黑体" w:cs="黑体"/>
          <w:spacing w:val="5"/>
          <w:sz w:val="21"/>
          <w:szCs w:val="21"/>
        </w:rPr>
        <w:t xml:space="preserve">  </w:t>
      </w:r>
      <w:r>
        <w:rPr>
          <w:rFonts w:hint="eastAsia" w:ascii="黑体" w:hAnsi="黑体" w:eastAsia="黑体" w:cs="黑体"/>
          <w:spacing w:val="-6"/>
          <w:sz w:val="21"/>
          <w:szCs w:val="21"/>
        </w:rPr>
        <w:t>献</w:t>
      </w:r>
      <w:bookmarkEnd w:id="101"/>
      <w:bookmarkEnd w:id="102"/>
    </w:p>
    <w:p w14:paraId="21EA4902">
      <w:pPr>
        <w:keepNext w:val="0"/>
        <w:keepLines w:val="0"/>
        <w:pageBreakBefore w:val="0"/>
        <w:widowControl/>
        <w:numPr>
          <w:ilvl w:val="0"/>
          <w:numId w:val="1"/>
        </w:numPr>
        <w:kinsoku w:val="0"/>
        <w:wordWrap/>
        <w:overflowPunct/>
        <w:topLinePunct w:val="0"/>
        <w:autoSpaceDE w:val="0"/>
        <w:autoSpaceDN w:val="0"/>
        <w:bidi w:val="0"/>
        <w:adjustRightInd w:val="0"/>
        <w:snapToGrid w:val="0"/>
        <w:spacing w:before="69" w:line="274" w:lineRule="auto"/>
        <w:ind w:left="454" w:leftChars="0" w:hanging="454" w:firstLineChars="0"/>
        <w:textAlignment w:val="baseline"/>
        <w:rPr>
          <w:rFonts w:hint="default" w:ascii="Times New Roman" w:hAnsi="Times New Roman" w:eastAsia="宋体" w:cs="Times New Roman"/>
          <w:spacing w:val="-2"/>
          <w:sz w:val="21"/>
          <w:szCs w:val="21"/>
          <w:lang w:val="en-US" w:eastAsia="zh-CN"/>
        </w:rPr>
      </w:pPr>
      <w:r>
        <w:rPr>
          <w:rFonts w:hint="eastAsia" w:ascii="Times New Roman" w:hAnsi="Times New Roman" w:eastAsia="宋体" w:cs="Times New Roman"/>
          <w:spacing w:val="-2"/>
          <w:sz w:val="21"/>
          <w:szCs w:val="21"/>
          <w:lang w:val="en-US" w:eastAsia="zh-CN"/>
        </w:rPr>
        <w:t>《基于项目的温室气体减排量评估技术规范通用要求》（GB/T 33760-2017）</w:t>
      </w:r>
    </w:p>
    <w:p w14:paraId="48A861A0">
      <w:pPr>
        <w:keepNext w:val="0"/>
        <w:keepLines w:val="0"/>
        <w:pageBreakBefore w:val="0"/>
        <w:widowControl/>
        <w:numPr>
          <w:ilvl w:val="0"/>
          <w:numId w:val="1"/>
        </w:numPr>
        <w:kinsoku w:val="0"/>
        <w:wordWrap/>
        <w:overflowPunct/>
        <w:topLinePunct w:val="0"/>
        <w:autoSpaceDE w:val="0"/>
        <w:autoSpaceDN w:val="0"/>
        <w:bidi w:val="0"/>
        <w:adjustRightInd w:val="0"/>
        <w:snapToGrid w:val="0"/>
        <w:spacing w:before="69" w:line="274" w:lineRule="auto"/>
        <w:ind w:left="454" w:leftChars="0" w:hanging="454" w:firstLineChars="0"/>
        <w:textAlignment w:val="baseline"/>
        <w:rPr>
          <w:rFonts w:hint="default" w:ascii="Times New Roman" w:hAnsi="Times New Roman" w:eastAsia="宋体" w:cs="Times New Roman"/>
          <w:spacing w:val="-2"/>
          <w:sz w:val="21"/>
          <w:szCs w:val="21"/>
          <w:lang w:val="en-US" w:eastAsia="zh-CN"/>
        </w:rPr>
      </w:pPr>
      <w:r>
        <w:rPr>
          <w:rFonts w:hint="eastAsia" w:ascii="Times New Roman" w:hAnsi="Times New Roman" w:eastAsia="宋体" w:cs="Times New Roman"/>
          <w:spacing w:val="-2"/>
          <w:sz w:val="21"/>
          <w:szCs w:val="21"/>
          <w:lang w:val="en-US" w:eastAsia="zh-CN"/>
        </w:rPr>
        <w:t>《</w:t>
      </w:r>
      <w:r>
        <w:rPr>
          <w:rFonts w:hint="default" w:ascii="Times New Roman" w:hAnsi="Times New Roman" w:eastAsia="宋体" w:cs="Times New Roman"/>
          <w:spacing w:val="-2"/>
          <w:sz w:val="21"/>
          <w:szCs w:val="21"/>
          <w:lang w:val="en-US" w:eastAsia="zh-CN"/>
        </w:rPr>
        <w:t>温室气体第一部分 组织层次上对温室气体排放和清除的量化和报告的规范及指南</w:t>
      </w:r>
      <w:r>
        <w:rPr>
          <w:rFonts w:hint="eastAsia" w:ascii="Times New Roman" w:hAnsi="Times New Roman" w:eastAsia="宋体" w:cs="Times New Roman"/>
          <w:spacing w:val="-2"/>
          <w:sz w:val="21"/>
          <w:szCs w:val="21"/>
          <w:lang w:val="en-US" w:eastAsia="zh-CN"/>
        </w:rPr>
        <w:t>》（</w:t>
      </w:r>
      <w:r>
        <w:rPr>
          <w:rFonts w:hint="default" w:ascii="Times New Roman" w:hAnsi="Times New Roman" w:eastAsia="宋体" w:cs="Times New Roman"/>
          <w:spacing w:val="-2"/>
          <w:sz w:val="21"/>
          <w:szCs w:val="21"/>
          <w:lang w:val="en-US" w:eastAsia="zh-CN"/>
        </w:rPr>
        <w:t>ISO 14064-1</w:t>
      </w:r>
      <w:r>
        <w:rPr>
          <w:rFonts w:hint="eastAsia" w:cs="Times New Roman"/>
          <w:spacing w:val="-2"/>
          <w:sz w:val="21"/>
          <w:szCs w:val="21"/>
          <w:lang w:val="en-US" w:eastAsia="zh-CN"/>
        </w:rPr>
        <w:t>-</w:t>
      </w:r>
      <w:r>
        <w:rPr>
          <w:rFonts w:hint="default" w:ascii="Times New Roman" w:hAnsi="Times New Roman" w:eastAsia="宋体" w:cs="Times New Roman"/>
          <w:spacing w:val="-2"/>
          <w:sz w:val="21"/>
          <w:szCs w:val="21"/>
          <w:lang w:val="en-US" w:eastAsia="zh-CN"/>
        </w:rPr>
        <w:t>2018</w:t>
      </w:r>
      <w:r>
        <w:rPr>
          <w:rFonts w:hint="eastAsia" w:ascii="Times New Roman" w:hAnsi="Times New Roman" w:eastAsia="宋体" w:cs="Times New Roman"/>
          <w:spacing w:val="-2"/>
          <w:sz w:val="21"/>
          <w:szCs w:val="21"/>
          <w:lang w:val="en-US" w:eastAsia="zh-CN"/>
        </w:rPr>
        <w:t>）</w:t>
      </w:r>
    </w:p>
    <w:p w14:paraId="45B24A94">
      <w:pPr>
        <w:keepNext w:val="0"/>
        <w:keepLines w:val="0"/>
        <w:pageBreakBefore w:val="0"/>
        <w:widowControl/>
        <w:numPr>
          <w:ilvl w:val="0"/>
          <w:numId w:val="1"/>
        </w:numPr>
        <w:kinsoku w:val="0"/>
        <w:wordWrap/>
        <w:overflowPunct/>
        <w:topLinePunct w:val="0"/>
        <w:autoSpaceDE w:val="0"/>
        <w:autoSpaceDN w:val="0"/>
        <w:bidi w:val="0"/>
        <w:adjustRightInd w:val="0"/>
        <w:snapToGrid w:val="0"/>
        <w:spacing w:before="69" w:line="274" w:lineRule="auto"/>
        <w:ind w:left="454" w:leftChars="0" w:hanging="454" w:firstLineChars="0"/>
        <w:textAlignment w:val="baseline"/>
        <w:rPr>
          <w:rFonts w:hint="default" w:ascii="Times New Roman" w:hAnsi="Times New Roman" w:eastAsia="宋体" w:cs="Times New Roman"/>
          <w:spacing w:val="-2"/>
          <w:sz w:val="21"/>
          <w:szCs w:val="21"/>
          <w:lang w:val="en-US" w:eastAsia="zh-CN"/>
        </w:rPr>
      </w:pPr>
      <w:r>
        <w:rPr>
          <w:rFonts w:hint="eastAsia" w:ascii="Times New Roman" w:hAnsi="Times New Roman" w:eastAsia="宋体" w:cs="Times New Roman"/>
          <w:spacing w:val="-2"/>
          <w:sz w:val="21"/>
          <w:szCs w:val="21"/>
          <w:lang w:val="en-US" w:eastAsia="zh-CN"/>
        </w:rPr>
        <w:t>《</w:t>
      </w:r>
      <w:r>
        <w:rPr>
          <w:rFonts w:hint="default" w:ascii="Times New Roman" w:hAnsi="Times New Roman" w:eastAsia="宋体" w:cs="Times New Roman"/>
          <w:spacing w:val="-2"/>
          <w:sz w:val="21"/>
          <w:szCs w:val="21"/>
          <w:lang w:val="en-US" w:eastAsia="zh-CN"/>
        </w:rPr>
        <w:t>温室气体第二部分 项目层次上对温室气体减排和清除增加的量化、监测和报告的规范及指南</w:t>
      </w:r>
      <w:r>
        <w:rPr>
          <w:rFonts w:hint="eastAsia" w:ascii="Times New Roman" w:hAnsi="Times New Roman" w:eastAsia="宋体" w:cs="Times New Roman"/>
          <w:spacing w:val="-2"/>
          <w:sz w:val="21"/>
          <w:szCs w:val="21"/>
          <w:lang w:val="en-US" w:eastAsia="zh-CN"/>
        </w:rPr>
        <w:t>》（</w:t>
      </w:r>
      <w:r>
        <w:rPr>
          <w:rFonts w:hint="default" w:ascii="Times New Roman" w:hAnsi="Times New Roman" w:eastAsia="宋体" w:cs="Times New Roman"/>
          <w:spacing w:val="-2"/>
          <w:sz w:val="21"/>
          <w:szCs w:val="21"/>
          <w:lang w:val="en-US" w:eastAsia="zh-CN"/>
        </w:rPr>
        <w:t>ISO 14064-2</w:t>
      </w:r>
      <w:r>
        <w:rPr>
          <w:rFonts w:hint="eastAsia" w:cs="Times New Roman"/>
          <w:spacing w:val="-2"/>
          <w:sz w:val="21"/>
          <w:szCs w:val="21"/>
          <w:lang w:val="en-US" w:eastAsia="zh-CN"/>
        </w:rPr>
        <w:t>-</w:t>
      </w:r>
      <w:r>
        <w:rPr>
          <w:rFonts w:hint="default" w:ascii="Times New Roman" w:hAnsi="Times New Roman" w:eastAsia="宋体" w:cs="Times New Roman"/>
          <w:spacing w:val="-2"/>
          <w:sz w:val="21"/>
          <w:szCs w:val="21"/>
          <w:lang w:val="en-US" w:eastAsia="zh-CN"/>
        </w:rPr>
        <w:t>2019</w:t>
      </w:r>
      <w:r>
        <w:rPr>
          <w:rFonts w:hint="eastAsia" w:ascii="Times New Roman" w:hAnsi="Times New Roman" w:eastAsia="宋体" w:cs="Times New Roman"/>
          <w:spacing w:val="-2"/>
          <w:sz w:val="21"/>
          <w:szCs w:val="21"/>
          <w:lang w:val="en-US" w:eastAsia="zh-CN"/>
        </w:rPr>
        <w:t>）</w:t>
      </w:r>
    </w:p>
    <w:p w14:paraId="4D8D269F">
      <w:pPr>
        <w:keepNext w:val="0"/>
        <w:keepLines w:val="0"/>
        <w:pageBreakBefore w:val="0"/>
        <w:widowControl/>
        <w:numPr>
          <w:ilvl w:val="0"/>
          <w:numId w:val="1"/>
        </w:numPr>
        <w:kinsoku w:val="0"/>
        <w:wordWrap/>
        <w:overflowPunct/>
        <w:topLinePunct w:val="0"/>
        <w:autoSpaceDE w:val="0"/>
        <w:autoSpaceDN w:val="0"/>
        <w:bidi w:val="0"/>
        <w:adjustRightInd w:val="0"/>
        <w:snapToGrid w:val="0"/>
        <w:spacing w:before="69" w:line="274" w:lineRule="auto"/>
        <w:ind w:left="454" w:leftChars="0" w:hanging="454" w:firstLineChars="0"/>
        <w:textAlignment w:val="baseline"/>
        <w:rPr>
          <w:rFonts w:hint="default" w:ascii="Times New Roman" w:hAnsi="Times New Roman" w:eastAsia="宋体" w:cs="Times New Roman"/>
          <w:spacing w:val="-2"/>
          <w:sz w:val="21"/>
          <w:szCs w:val="21"/>
          <w:lang w:val="en-US" w:eastAsia="zh-CN"/>
        </w:rPr>
      </w:pPr>
      <w:r>
        <w:rPr>
          <w:rFonts w:hint="eastAsia" w:ascii="Times New Roman" w:hAnsi="Times New Roman" w:eastAsia="宋体" w:cs="Times New Roman"/>
          <w:spacing w:val="-2"/>
          <w:sz w:val="21"/>
          <w:szCs w:val="21"/>
          <w:lang w:val="en-US" w:eastAsia="zh-CN"/>
        </w:rPr>
        <w:t>《</w:t>
      </w:r>
      <w:r>
        <w:rPr>
          <w:rFonts w:hint="default" w:ascii="Times New Roman" w:hAnsi="Times New Roman" w:eastAsia="宋体" w:cs="Times New Roman"/>
          <w:spacing w:val="-2"/>
          <w:sz w:val="21"/>
          <w:szCs w:val="21"/>
          <w:lang w:val="en-US" w:eastAsia="zh-CN"/>
        </w:rPr>
        <w:t>生活垃圾分类标志</w:t>
      </w:r>
      <w:r>
        <w:rPr>
          <w:rFonts w:hint="eastAsia" w:ascii="Times New Roman" w:hAnsi="Times New Roman" w:eastAsia="宋体" w:cs="Times New Roman"/>
          <w:spacing w:val="-2"/>
          <w:sz w:val="21"/>
          <w:szCs w:val="21"/>
          <w:lang w:val="en-US" w:eastAsia="zh-CN"/>
        </w:rPr>
        <w:t>》（</w:t>
      </w:r>
      <w:r>
        <w:rPr>
          <w:rFonts w:hint="default" w:ascii="Times New Roman" w:hAnsi="Times New Roman" w:eastAsia="宋体" w:cs="Times New Roman"/>
          <w:spacing w:val="-2"/>
          <w:sz w:val="21"/>
          <w:szCs w:val="21"/>
          <w:lang w:val="en-US" w:eastAsia="zh-CN"/>
        </w:rPr>
        <w:t>GB/T 19095-2019</w:t>
      </w:r>
      <w:r>
        <w:rPr>
          <w:rFonts w:hint="eastAsia" w:ascii="Times New Roman" w:hAnsi="Times New Roman" w:eastAsia="宋体" w:cs="Times New Roman"/>
          <w:spacing w:val="-2"/>
          <w:sz w:val="21"/>
          <w:szCs w:val="21"/>
          <w:lang w:val="en-US" w:eastAsia="zh-CN"/>
        </w:rPr>
        <w:t>）</w:t>
      </w:r>
    </w:p>
    <w:p w14:paraId="3E411EE9">
      <w:pPr>
        <w:keepNext w:val="0"/>
        <w:keepLines w:val="0"/>
        <w:pageBreakBefore w:val="0"/>
        <w:widowControl/>
        <w:numPr>
          <w:ilvl w:val="0"/>
          <w:numId w:val="1"/>
        </w:numPr>
        <w:kinsoku w:val="0"/>
        <w:wordWrap/>
        <w:overflowPunct/>
        <w:topLinePunct w:val="0"/>
        <w:autoSpaceDE w:val="0"/>
        <w:autoSpaceDN w:val="0"/>
        <w:bidi w:val="0"/>
        <w:adjustRightInd w:val="0"/>
        <w:snapToGrid w:val="0"/>
        <w:spacing w:before="69" w:line="274" w:lineRule="auto"/>
        <w:ind w:left="454" w:leftChars="0" w:hanging="454" w:firstLineChars="0"/>
        <w:textAlignment w:val="baseline"/>
        <w:rPr>
          <w:rFonts w:hint="default" w:ascii="Times New Roman" w:hAnsi="Times New Roman" w:eastAsia="宋体" w:cs="Times New Roman"/>
          <w:spacing w:val="-2"/>
          <w:sz w:val="21"/>
          <w:szCs w:val="21"/>
          <w:lang w:val="en-US" w:eastAsia="zh-CN"/>
        </w:rPr>
      </w:pPr>
      <w:r>
        <w:rPr>
          <w:rFonts w:hint="default" w:ascii="Times New Roman" w:hAnsi="Times New Roman" w:eastAsia="宋体" w:cs="Times New Roman"/>
          <w:spacing w:val="-2"/>
          <w:sz w:val="21"/>
          <w:szCs w:val="21"/>
          <w:lang w:val="en-US" w:eastAsia="zh-CN"/>
        </w:rPr>
        <w:t>《2006年IPCC国家温室气体排放清单指南》</w:t>
      </w:r>
    </w:p>
    <w:p w14:paraId="631FDF18">
      <w:pPr>
        <w:keepNext w:val="0"/>
        <w:keepLines w:val="0"/>
        <w:pageBreakBefore w:val="0"/>
        <w:widowControl/>
        <w:numPr>
          <w:ilvl w:val="0"/>
          <w:numId w:val="1"/>
        </w:numPr>
        <w:kinsoku w:val="0"/>
        <w:wordWrap/>
        <w:overflowPunct/>
        <w:topLinePunct w:val="0"/>
        <w:autoSpaceDE w:val="0"/>
        <w:autoSpaceDN w:val="0"/>
        <w:bidi w:val="0"/>
        <w:adjustRightInd w:val="0"/>
        <w:snapToGrid w:val="0"/>
        <w:spacing w:before="69" w:line="274" w:lineRule="auto"/>
        <w:ind w:left="454" w:leftChars="0" w:hanging="454" w:firstLineChars="0"/>
        <w:textAlignment w:val="baseline"/>
        <w:rPr>
          <w:rFonts w:hint="default" w:ascii="Times New Roman" w:hAnsi="Times New Roman" w:eastAsia="宋体" w:cs="Times New Roman"/>
          <w:spacing w:val="-2"/>
          <w:sz w:val="21"/>
          <w:szCs w:val="21"/>
          <w:lang w:val="en-US" w:eastAsia="zh-CN"/>
        </w:rPr>
      </w:pPr>
      <w:r>
        <w:rPr>
          <w:rFonts w:hint="default" w:ascii="Times New Roman" w:hAnsi="Times New Roman" w:eastAsia="宋体" w:cs="Times New Roman"/>
          <w:spacing w:val="-2"/>
          <w:sz w:val="21"/>
          <w:szCs w:val="21"/>
          <w:lang w:val="en-US" w:eastAsia="zh-CN"/>
        </w:rPr>
        <w:t>《城市生活垃圾管理温室气体减排MRV模型》</w:t>
      </w:r>
    </w:p>
    <w:p w14:paraId="323E5D20">
      <w:pPr>
        <w:keepNext w:val="0"/>
        <w:keepLines w:val="0"/>
        <w:pageBreakBefore w:val="0"/>
        <w:widowControl/>
        <w:numPr>
          <w:ilvl w:val="0"/>
          <w:numId w:val="1"/>
        </w:numPr>
        <w:kinsoku w:val="0"/>
        <w:wordWrap/>
        <w:overflowPunct/>
        <w:topLinePunct w:val="0"/>
        <w:autoSpaceDE w:val="0"/>
        <w:autoSpaceDN w:val="0"/>
        <w:bidi w:val="0"/>
        <w:adjustRightInd w:val="0"/>
        <w:snapToGrid w:val="0"/>
        <w:spacing w:before="69" w:line="274" w:lineRule="auto"/>
        <w:ind w:left="454" w:leftChars="0" w:hanging="454" w:firstLineChars="0"/>
        <w:textAlignment w:val="baseline"/>
        <w:rPr>
          <w:rFonts w:hint="default" w:ascii="Times New Roman" w:hAnsi="Times New Roman" w:eastAsia="宋体" w:cs="Times New Roman"/>
          <w:spacing w:val="-2"/>
          <w:sz w:val="21"/>
          <w:szCs w:val="21"/>
          <w:lang w:val="en-US" w:eastAsia="zh-CN"/>
        </w:rPr>
      </w:pPr>
      <w:r>
        <w:rPr>
          <w:rFonts w:hint="eastAsia" w:ascii="Times New Roman" w:hAnsi="Times New Roman" w:eastAsia="宋体" w:cs="Times New Roman"/>
          <w:spacing w:val="-2"/>
          <w:sz w:val="21"/>
          <w:szCs w:val="21"/>
          <w:lang w:val="en-US" w:eastAsia="zh-CN"/>
        </w:rPr>
        <w:t>《</w:t>
      </w:r>
      <w:r>
        <w:rPr>
          <w:rFonts w:hint="default" w:ascii="Times New Roman" w:hAnsi="Times New Roman" w:eastAsia="宋体" w:cs="Times New Roman"/>
          <w:spacing w:val="-2"/>
          <w:sz w:val="21"/>
          <w:szCs w:val="21"/>
          <w:lang w:val="en-US" w:eastAsia="zh-CN"/>
        </w:rPr>
        <w:t>多选垃圾处理方式</w:t>
      </w:r>
      <w:r>
        <w:rPr>
          <w:rFonts w:hint="eastAsia" w:ascii="Times New Roman" w:hAnsi="Times New Roman" w:eastAsia="宋体" w:cs="Times New Roman"/>
          <w:spacing w:val="-2"/>
          <w:sz w:val="21"/>
          <w:szCs w:val="21"/>
          <w:lang w:val="en-US" w:eastAsia="zh-CN"/>
        </w:rPr>
        <w:t>》（</w:t>
      </w:r>
      <w:r>
        <w:rPr>
          <w:rFonts w:hint="default" w:ascii="Times New Roman" w:hAnsi="Times New Roman" w:eastAsia="宋体" w:cs="Times New Roman"/>
          <w:spacing w:val="-2"/>
          <w:sz w:val="21"/>
          <w:szCs w:val="21"/>
          <w:lang w:val="en-US" w:eastAsia="zh-CN"/>
        </w:rPr>
        <w:t>CM-072-V01</w:t>
      </w:r>
      <w:r>
        <w:rPr>
          <w:rFonts w:hint="eastAsia" w:ascii="Times New Roman" w:hAnsi="Times New Roman" w:eastAsia="宋体" w:cs="Times New Roman"/>
          <w:spacing w:val="-2"/>
          <w:sz w:val="21"/>
          <w:szCs w:val="21"/>
          <w:lang w:val="en-US" w:eastAsia="zh-CN"/>
        </w:rPr>
        <w:t>）</w:t>
      </w:r>
    </w:p>
    <w:p w14:paraId="3CE76D35">
      <w:pPr>
        <w:keepNext w:val="0"/>
        <w:keepLines w:val="0"/>
        <w:pageBreakBefore w:val="0"/>
        <w:widowControl/>
        <w:numPr>
          <w:ilvl w:val="0"/>
          <w:numId w:val="1"/>
        </w:numPr>
        <w:kinsoku w:val="0"/>
        <w:wordWrap/>
        <w:overflowPunct/>
        <w:topLinePunct w:val="0"/>
        <w:autoSpaceDE w:val="0"/>
        <w:autoSpaceDN w:val="0"/>
        <w:bidi w:val="0"/>
        <w:adjustRightInd w:val="0"/>
        <w:snapToGrid w:val="0"/>
        <w:spacing w:before="69" w:line="274" w:lineRule="auto"/>
        <w:ind w:left="454" w:leftChars="0" w:hanging="454" w:firstLineChars="0"/>
        <w:textAlignment w:val="baseline"/>
        <w:rPr>
          <w:rFonts w:hint="default" w:ascii="Times New Roman" w:hAnsi="Times New Roman" w:eastAsia="宋体" w:cs="Times New Roman"/>
          <w:spacing w:val="-2"/>
          <w:sz w:val="21"/>
          <w:szCs w:val="21"/>
          <w:lang w:val="en-US" w:eastAsia="zh-CN"/>
        </w:rPr>
      </w:pPr>
      <w:r>
        <w:rPr>
          <w:rFonts w:hint="eastAsia" w:ascii="Times New Roman" w:hAnsi="Times New Roman" w:eastAsia="宋体" w:cs="Times New Roman"/>
          <w:spacing w:val="-2"/>
          <w:sz w:val="21"/>
          <w:szCs w:val="21"/>
          <w:lang w:val="en-US" w:eastAsia="zh-CN"/>
        </w:rPr>
        <w:t>《</w:t>
      </w:r>
      <w:r>
        <w:rPr>
          <w:rFonts w:hint="default" w:ascii="Times New Roman" w:hAnsi="Times New Roman" w:eastAsia="宋体" w:cs="Times New Roman"/>
          <w:spacing w:val="-2"/>
          <w:sz w:val="21"/>
          <w:szCs w:val="21"/>
          <w:lang w:val="en-US" w:eastAsia="zh-CN"/>
        </w:rPr>
        <w:t>垃圾填埋气项目</w:t>
      </w:r>
      <w:r>
        <w:rPr>
          <w:rFonts w:hint="eastAsia" w:ascii="Times New Roman" w:hAnsi="Times New Roman" w:eastAsia="宋体" w:cs="Times New Roman"/>
          <w:spacing w:val="-2"/>
          <w:sz w:val="21"/>
          <w:szCs w:val="21"/>
          <w:lang w:val="en-US" w:eastAsia="zh-CN"/>
        </w:rPr>
        <w:t>》（</w:t>
      </w:r>
      <w:r>
        <w:rPr>
          <w:rFonts w:hint="default" w:ascii="Times New Roman" w:hAnsi="Times New Roman" w:eastAsia="宋体" w:cs="Times New Roman"/>
          <w:spacing w:val="-2"/>
          <w:sz w:val="21"/>
          <w:szCs w:val="21"/>
          <w:lang w:val="en-US" w:eastAsia="zh-CN"/>
        </w:rPr>
        <w:t>CM-077-V01</w:t>
      </w:r>
      <w:r>
        <w:rPr>
          <w:rFonts w:hint="eastAsia" w:ascii="Times New Roman" w:hAnsi="Times New Roman" w:eastAsia="宋体" w:cs="Times New Roman"/>
          <w:spacing w:val="-2"/>
          <w:sz w:val="21"/>
          <w:szCs w:val="21"/>
          <w:lang w:val="en-US" w:eastAsia="zh-CN"/>
        </w:rPr>
        <w:t>）</w:t>
      </w:r>
    </w:p>
    <w:sectPr>
      <w:footerReference r:id="rId10" w:type="default"/>
      <w:pgSz w:w="11907" w:h="16839"/>
      <w:pgMar w:top="1716" w:right="1130" w:bottom="1340" w:left="1785" w:header="1391" w:footer="1106" w:gutter="0"/>
      <w:pgNumType w:fmt="decimal"/>
      <w:cols w:space="720" w:num="1"/>
    </w:sectPr>
  </w:body>
</w:document>
</file>

<file path=word/customizations.xml><?xml version="1.0" encoding="utf-8"?>
<wne:tcg xmlns:r="http://schemas.openxmlformats.org/officeDocument/2006/relationships" xmlns:wne="http://schemas.microsoft.com/office/word/2006/wordml">
  <wne:keymaps>
    <wne:keymap wne:kcmPrimary="03DE">
      <wne:acd wne:acdName="acd0"/>
    </wne:keymap>
    <wne:keymap wne:kcmPrimary="0331">
      <wne:acd wne:acdName="acd1"/>
    </wne:keymap>
    <wne:keymap wne:kcmPrimary="0332">
      <wne:acd wne:acdName="acd2"/>
    </wne:keymap>
    <wne:keymap wne:kcmPrimary="0333">
      <wne:acd wne:acdName="acd3"/>
    </wne:keymap>
  </wne:keymaps>
  <wne:acds>
    <wne:acd wne:argValue="AQAAAEIA" wne:acdName="acd0" wne:fciIndexBasedOn="0065"/>
    <wne:acd wne:argValue="AQAAAAEA" wne:acdName="acd1" wne:fciIndexBasedOn="0065"/>
    <wne:acd wne:argValue="AQAAAAIA" wne:acdName="acd2" wne:fciIndexBasedOn="0065"/>
    <wne:acd wne:argValue="AQAAAAMA" wne:acdName="acd3" wne:fciIndexBasedOn="0065"/>
  </wne:acd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503050405090304"/>
    <w:charset w:val="01"/>
    <w:family w:val="auto"/>
    <w:pitch w:val="default"/>
    <w:sig w:usb0="E0000AFF" w:usb1="00007843" w:usb2="00000001" w:usb3="00000000" w:csb0="400001BF" w:csb1="DFF70000"/>
  </w:font>
  <w:font w:name="宋体">
    <w:altName w:val="汉仪书宋二KW"/>
    <w:panose1 w:val="02010600030101010101"/>
    <w:charset w:val="7A"/>
    <w:family w:val="auto"/>
    <w:pitch w:val="default"/>
    <w:sig w:usb0="00000000" w:usb1="0000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汉仪中黑KW">
    <w:panose1 w:val="00020600040101010101"/>
    <w:charset w:val="86"/>
    <w:family w:val="auto"/>
    <w:pitch w:val="default"/>
    <w:sig w:usb0="A00002BF" w:usb1="18EF7CFA" w:usb2="00000016"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方正仿宋_GBK">
    <w:panose1 w:val="02000000000000000000"/>
    <w:charset w:val="86"/>
    <w:family w:val="auto"/>
    <w:pitch w:val="default"/>
    <w:sig w:usb0="A00002BF" w:usb1="38CF7CFA" w:usb2="00082016" w:usb3="00000000" w:csb0="00040001" w:csb1="00000000"/>
  </w:font>
  <w:font w:name="Cambria Math">
    <w:altName w:val="Kingsoft Math"/>
    <w:panose1 w:val="02040503050406030204"/>
    <w:charset w:val="00"/>
    <w:family w:val="auto"/>
    <w:pitch w:val="default"/>
    <w:sig w:usb0="00000000" w:usb1="00000000" w:usb2="02000000" w:usb3="00000000" w:csb0="2000019F" w:csb1="00000000"/>
  </w:font>
  <w:font w:name="Kingsoft Math">
    <w:panose1 w:val="02040503050406030204"/>
    <w:charset w:val="00"/>
    <w:family w:val="auto"/>
    <w:pitch w:val="default"/>
    <w:sig w:usb0="80000087" w:usb1="00002068" w:usb2="00000000" w:usb3="00000000" w:csb0="2000019F" w:csb1="00000000"/>
  </w:font>
  <w:font w:name="MS Mincho">
    <w:altName w:val="Hiragino Sans"/>
    <w:panose1 w:val="00000000000000000000"/>
    <w:charset w:val="00"/>
    <w:family w:val="auto"/>
    <w:pitch w:val="default"/>
    <w:sig w:usb0="00000000" w:usb1="00000000" w:usb2="00000000" w:usb3="00000000" w:csb0="00000000" w:csb1="00000000"/>
  </w:font>
  <w:font w:name="Hiragino Sans">
    <w:panose1 w:val="020B0300000000000000"/>
    <w:charset w:val="80"/>
    <w:family w:val="auto"/>
    <w:pitch w:val="default"/>
    <w:sig w:usb0="E00002FF" w:usb1="7AE7FFFF" w:usb2="00000012" w:usb3="00000000" w:csb0="0002000D" w:csb1="00000000"/>
  </w:font>
  <w:font w:name="楷体">
    <w:altName w:val="汉仪楷体KW"/>
    <w:panose1 w:val="02010609060101010101"/>
    <w:charset w:val="86"/>
    <w:family w:val="modern"/>
    <w:pitch w:val="default"/>
    <w:sig w:usb0="00000000" w:usb1="00000000" w:usb2="00000016" w:usb3="00000000" w:csb0="00040001" w:csb1="00000000"/>
  </w:font>
  <w:font w:name="汉仪楷体KW">
    <w:panose1 w:val="00020600040101010101"/>
    <w:charset w:val="86"/>
    <w:family w:val="auto"/>
    <w:pitch w:val="default"/>
    <w:sig w:usb0="A00002BF" w:usb1="18EF7CFA" w:usb2="00000016" w:usb3="00000000" w:csb0="00040000" w:csb1="00000000"/>
  </w:font>
  <w:font w:name="微软雅黑">
    <w:altName w:val="汉仪旗黑"/>
    <w:panose1 w:val="020B0503020204020204"/>
    <w:charset w:val="86"/>
    <w:family w:val="auto"/>
    <w:pitch w:val="default"/>
    <w:sig w:usb0="00000000" w:usb1="00000000" w:usb2="00000016" w:usb3="00000000" w:csb0="0004001F" w:csb1="00000000"/>
  </w:font>
  <w:font w:name="汉仪旗黑">
    <w:panose1 w:val="00020600040101010101"/>
    <w:charset w:val="86"/>
    <w:family w:val="auto"/>
    <w:pitch w:val="default"/>
    <w:sig w:usb0="A00002BF" w:usb1="1ACF7CFA" w:usb2="00000016" w:usb3="00000000" w:csb0="0004009F" w:csb1="DFD70000"/>
  </w:font>
  <w:font w:name="儷宋 Pro">
    <w:panose1 w:val="02020300000000000000"/>
    <w:charset w:val="88"/>
    <w:family w:val="auto"/>
    <w:pitch w:val="default"/>
    <w:sig w:usb0="80000001" w:usb1="28091800" w:usb2="00000016" w:usb3="00000000" w:csb0="00100000" w:csb1="00000000"/>
  </w:font>
  <w:font w:name="冬青黑体简体中文">
    <w:panose1 w:val="020B0300000000000000"/>
    <w:charset w:val="86"/>
    <w:family w:val="auto"/>
    <w:pitch w:val="default"/>
    <w:sig w:usb0="A00002BF" w:usb1="1ACF7CFA" w:usb2="00000016" w:usb3="00000000" w:csb0="00060007" w:csb1="00000000"/>
  </w:font>
  <w:font w:name="宋体-简">
    <w:panose1 w:val="02010800040101010101"/>
    <w:charset w:val="86"/>
    <w:family w:val="auto"/>
    <w:pitch w:val="default"/>
    <w:sig w:usb0="00000001" w:usb1="080F0000" w:usb2="00000000" w:usb3="00000000" w:csb0="00040000" w:csb1="00000000"/>
  </w:font>
  <w:font w:name="DejaVu Math TeX Gyre">
    <w:panose1 w:val="02000503000000000000"/>
    <w:charset w:val="00"/>
    <w:family w:val="auto"/>
    <w:pitch w:val="default"/>
    <w:sig w:usb0="A10000EF" w:usb1="4201F9EE" w:usb2="02000000" w:usb3="00000000" w:csb0="60000193" w:csb1="0DD40000"/>
  </w:font>
  <w:font w:name="Kingsoft Sign">
    <w:panose1 w:val="05050102010706020507"/>
    <w:charset w:val="00"/>
    <w:family w:val="auto"/>
    <w:pitch w:val="default"/>
    <w:sig w:usb0="00000000" w:usb1="10000000" w:usb2="00000000" w:usb3="00000000" w:csb0="00000001" w:csb1="00000000"/>
  </w:font>
  <w:font w:name="Helvetica Neue">
    <w:panose1 w:val="02000503000000020004"/>
    <w:charset w:val="00"/>
    <w:family w:val="auto"/>
    <w:pitch w:val="default"/>
    <w:sig w:usb0="E50002FF" w:usb1="500079DB" w:usb2="0000001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20D585">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BB0711">
    <w:pPr>
      <w:spacing w:line="229" w:lineRule="auto"/>
      <w:ind w:left="9040"/>
      <w:rPr>
        <w:rFonts w:ascii="宋体" w:hAnsi="宋体" w:eastAsia="宋体" w:cs="宋体"/>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BB260BB">
                          <w:pPr>
                            <w:pStyle w:val="9"/>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3BB260BB">
                    <w:pPr>
                      <w:pStyle w:val="9"/>
                    </w:pPr>
                    <w:r>
                      <w:fldChar w:fldCharType="begin"/>
                    </w:r>
                    <w:r>
                      <w:instrText xml:space="preserve"> PAGE  \* MERGEFORMAT </w:instrText>
                    </w:r>
                    <w:r>
                      <w:fldChar w:fldCharType="separate"/>
                    </w:r>
                    <w:r>
                      <w:t>4</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171FAC">
    <w:pPr>
      <w:spacing w:line="229" w:lineRule="auto"/>
      <w:ind w:left="9045"/>
      <w:rPr>
        <w:rFonts w:ascii="宋体" w:hAnsi="宋体" w:eastAsia="宋体" w:cs="宋体"/>
        <w:sz w:val="18"/>
        <w:szCs w:val="18"/>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B1E23B">
                          <w:pPr>
                            <w:pStyle w:val="9"/>
                          </w:pPr>
                          <w:r>
                            <w:fldChar w:fldCharType="begin"/>
                          </w:r>
                          <w:r>
                            <w:instrText xml:space="preserve"> PAGE  \* MERGEFORMAT </w:instrText>
                          </w:r>
                          <w:r>
                            <w:fldChar w:fldCharType="separate"/>
                          </w:r>
                          <w:r>
                            <w:t>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1AB1E23B">
                    <w:pPr>
                      <w:pStyle w:val="9"/>
                    </w:pPr>
                    <w:r>
                      <w:fldChar w:fldCharType="begin"/>
                    </w:r>
                    <w:r>
                      <w:instrText xml:space="preserve"> PAGE  \* MERGEFORMAT </w:instrText>
                    </w:r>
                    <w:r>
                      <w:fldChar w:fldCharType="separate"/>
                    </w:r>
                    <w:r>
                      <w:t>5</w:t>
                    </w:r>
                    <w:r>
                      <w:fldChar w:fldCharType="end"/>
                    </w:r>
                  </w:p>
                </w:txbxContent>
              </v:textbox>
            </v:shape>
          </w:pict>
        </mc:Fallback>
      </mc:AlternateContent>
    </w:r>
    <w:r>
      <w:rPr>
        <w:rFonts w:ascii="宋体" w:hAnsi="宋体" w:eastAsia="宋体" w:cs="宋体"/>
        <w:sz w:val="18"/>
        <w:szCs w:val="18"/>
      </w:rPr>
      <w:t>5</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21B0FA">
    <w:pPr>
      <w:spacing w:line="229" w:lineRule="auto"/>
      <w:ind w:left="9161"/>
      <w:rPr>
        <w:rFonts w:ascii="宋体" w:hAnsi="宋体" w:eastAsia="宋体" w:cs="宋体"/>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47CFB45">
                          <w:pPr>
                            <w:pStyle w:val="9"/>
                          </w:pPr>
                          <w:r>
                            <w:fldChar w:fldCharType="begin"/>
                          </w:r>
                          <w:r>
                            <w:instrText xml:space="preserve"> PAGE  \* MERGEFORMAT </w:instrText>
                          </w:r>
                          <w:r>
                            <w:fldChar w:fldCharType="separate"/>
                          </w:r>
                          <w:r>
                            <w:t>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447CFB45">
                    <w:pPr>
                      <w:pStyle w:val="9"/>
                    </w:pPr>
                    <w:r>
                      <w:fldChar w:fldCharType="begin"/>
                    </w:r>
                    <w:r>
                      <w:instrText xml:space="preserve"> PAGE  \* MERGEFORMAT </w:instrText>
                    </w:r>
                    <w:r>
                      <w:fldChar w:fldCharType="separate"/>
                    </w:r>
                    <w:r>
                      <w:t>7</w:t>
                    </w:r>
                    <w:r>
                      <w:fldChar w:fldCharType="end"/>
                    </w:r>
                  </w:p>
                </w:txbxContent>
              </v:textbox>
            </v:shape>
          </w:pict>
        </mc:Fallback>
      </mc:AlternateContent>
    </w:r>
    <w:r>
      <w:rPr>
        <w:rFonts w:ascii="宋体" w:hAnsi="宋体" w:eastAsia="宋体" w:cs="宋体"/>
        <w:sz w:val="18"/>
        <w:szCs w:val="18"/>
      </w:rPr>
      <w:t>7</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DC8D88">
    <w:pPr>
      <w:spacing w:line="229" w:lineRule="auto"/>
      <w:ind w:left="8678"/>
      <w:rPr>
        <w:rFonts w:ascii="宋体" w:hAnsi="宋体" w:eastAsia="宋体" w:cs="宋体"/>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EC6619">
                          <w:pPr>
                            <w:pStyle w:val="9"/>
                          </w:pPr>
                          <w:r>
                            <w:fldChar w:fldCharType="begin"/>
                          </w:r>
                          <w:r>
                            <w:instrText xml:space="preserve"> PAGE  \* MERGEFORMAT </w:instrText>
                          </w:r>
                          <w:r>
                            <w:fldChar w:fldCharType="separate"/>
                          </w:r>
                          <w:r>
                            <w:t>11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48EC6619">
                    <w:pPr>
                      <w:pStyle w:val="9"/>
                    </w:pPr>
                    <w:r>
                      <w:fldChar w:fldCharType="begin"/>
                    </w:r>
                    <w:r>
                      <w:instrText xml:space="preserve"> PAGE  \* MERGEFORMAT </w:instrText>
                    </w:r>
                    <w:r>
                      <w:fldChar w:fldCharType="separate"/>
                    </w:r>
                    <w:r>
                      <w:t>11</w:t>
                    </w:r>
                    <w:r>
                      <w:fldChar w:fldCharType="end"/>
                    </w:r>
                  </w:p>
                </w:txbxContent>
              </v:textbox>
            </v:shape>
          </w:pict>
        </mc:Fallback>
      </mc:AlternateContent>
    </w:r>
    <w:r>
      <w:rPr>
        <w:rFonts w:ascii="宋体" w:hAnsi="宋体" w:eastAsia="宋体" w:cs="宋体"/>
        <w:sz w:val="18"/>
        <w:szCs w:val="18"/>
      </w:rPr>
      <w:t>8</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27AA9D">
    <w:pPr>
      <w:pStyle w:val="3"/>
      <w:spacing w:before="56" w:line="227" w:lineRule="auto"/>
      <w:jc w:val="right"/>
      <w:rPr>
        <w:rFonts w:hint="default" w:eastAsia="黑体"/>
        <w:sz w:val="21"/>
        <w:szCs w:val="21"/>
        <w:lang w:val="en-US" w:eastAsia="zh-CN"/>
      </w:rPr>
    </w:pPr>
    <w:r>
      <w:rPr>
        <w:rFonts w:hint="eastAsia"/>
        <w:spacing w:val="-1"/>
        <w:sz w:val="21"/>
        <w:szCs w:val="21"/>
        <w:lang w:val="en-US" w:eastAsia="zh-CN"/>
      </w:rPr>
      <w:t>T/XX</w:t>
    </w:r>
    <w:r>
      <w:rPr>
        <w:spacing w:val="-1"/>
        <w:sz w:val="21"/>
        <w:szCs w:val="21"/>
      </w:rPr>
      <w:t xml:space="preserve"> </w:t>
    </w:r>
    <w:r>
      <w:rPr>
        <w:rFonts w:hint="eastAsia"/>
        <w:spacing w:val="-1"/>
        <w:sz w:val="21"/>
        <w:szCs w:val="21"/>
        <w:lang w:val="en-US" w:eastAsia="zh-CN"/>
      </w:rPr>
      <w:t>XXXX</w:t>
    </w:r>
    <w:r>
      <w:rPr>
        <w:rFonts w:ascii="宋体" w:hAnsi="宋体" w:eastAsia="宋体" w:cs="宋体"/>
        <w:spacing w:val="-1"/>
        <w:sz w:val="21"/>
        <w:szCs w:val="21"/>
      </w:rPr>
      <w:t>—</w:t>
    </w:r>
    <w:r>
      <w:rPr>
        <w:rFonts w:hint="eastAsia"/>
        <w:spacing w:val="-1"/>
        <w:sz w:val="21"/>
        <w:szCs w:val="21"/>
        <w:lang w:val="en-US" w:eastAsia="zh-CN"/>
      </w:rPr>
      <w:t>XXXX</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4CDB735"/>
    <w:multiLevelType w:val="singleLevel"/>
    <w:tmpl w:val="74CDB735"/>
    <w:lvl w:ilvl="0" w:tentative="0">
      <w:start w:val="1"/>
      <w:numFmt w:val="decimal"/>
      <w:lvlText w:val="[%1]"/>
      <w:lvlJc w:val="left"/>
      <w:pPr>
        <w:tabs>
          <w:tab w:val="left" w:pos="0"/>
        </w:tabs>
        <w:ind w:left="454" w:leftChars="0" w:hanging="454" w:firstLineChars="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8"/>
  <w:displayBackgroundShape w:val="1"/>
  <w:bordersDoNotSurroundHeader w:val="0"/>
  <w:bordersDoNotSurroundFooter w:val="0"/>
  <w:trackRevisions w:val="1"/>
  <w:documentProtection w:enforcement="0"/>
  <w:defaultTabStop w:val="50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compatSetting w:name="compatibilityMode" w:uri="http://schemas.microsoft.com/office/word" w:val="14"/>
  </w:compat>
  <w:rsids>
    <w:rsidRoot w:val="00000000"/>
    <w:rsid w:val="01DE404F"/>
    <w:rsid w:val="04CD70AC"/>
    <w:rsid w:val="05647FB4"/>
    <w:rsid w:val="0864458C"/>
    <w:rsid w:val="094840A2"/>
    <w:rsid w:val="099A0233"/>
    <w:rsid w:val="0A7515F0"/>
    <w:rsid w:val="0AE960B5"/>
    <w:rsid w:val="0BF8412B"/>
    <w:rsid w:val="0D2C5A88"/>
    <w:rsid w:val="0E582D88"/>
    <w:rsid w:val="10583751"/>
    <w:rsid w:val="105A290D"/>
    <w:rsid w:val="10833C11"/>
    <w:rsid w:val="10E3249A"/>
    <w:rsid w:val="1230601B"/>
    <w:rsid w:val="138403CC"/>
    <w:rsid w:val="14164D9C"/>
    <w:rsid w:val="144E2788"/>
    <w:rsid w:val="14614D53"/>
    <w:rsid w:val="15196AD9"/>
    <w:rsid w:val="161D0664"/>
    <w:rsid w:val="16B50155"/>
    <w:rsid w:val="170B3469"/>
    <w:rsid w:val="17C403CF"/>
    <w:rsid w:val="1A446E0F"/>
    <w:rsid w:val="1AAE5D2F"/>
    <w:rsid w:val="1C29308F"/>
    <w:rsid w:val="1C441568"/>
    <w:rsid w:val="1EB61656"/>
    <w:rsid w:val="1F13677F"/>
    <w:rsid w:val="206E3B8C"/>
    <w:rsid w:val="20B20681"/>
    <w:rsid w:val="21D50045"/>
    <w:rsid w:val="22033F0C"/>
    <w:rsid w:val="237C4902"/>
    <w:rsid w:val="24967F5F"/>
    <w:rsid w:val="25A0096A"/>
    <w:rsid w:val="268C03DE"/>
    <w:rsid w:val="26FE5E6C"/>
    <w:rsid w:val="28BC6E3D"/>
    <w:rsid w:val="28C33D5F"/>
    <w:rsid w:val="29567CBD"/>
    <w:rsid w:val="29B844D4"/>
    <w:rsid w:val="2A5D49E8"/>
    <w:rsid w:val="2CE101E6"/>
    <w:rsid w:val="2E72548D"/>
    <w:rsid w:val="2E842722"/>
    <w:rsid w:val="2F236AA7"/>
    <w:rsid w:val="32FE13EF"/>
    <w:rsid w:val="343F1D3E"/>
    <w:rsid w:val="349060E6"/>
    <w:rsid w:val="34A32085"/>
    <w:rsid w:val="35AF70D3"/>
    <w:rsid w:val="379727C0"/>
    <w:rsid w:val="3BA43330"/>
    <w:rsid w:val="3BB645EB"/>
    <w:rsid w:val="3C13079F"/>
    <w:rsid w:val="3C50353C"/>
    <w:rsid w:val="3CBA010B"/>
    <w:rsid w:val="3D8D519C"/>
    <w:rsid w:val="3EA65915"/>
    <w:rsid w:val="3FDFC342"/>
    <w:rsid w:val="419D1695"/>
    <w:rsid w:val="419F7966"/>
    <w:rsid w:val="44BC2883"/>
    <w:rsid w:val="44C7112E"/>
    <w:rsid w:val="4563144F"/>
    <w:rsid w:val="45C76CFE"/>
    <w:rsid w:val="46E11AE6"/>
    <w:rsid w:val="485C4376"/>
    <w:rsid w:val="49C5081B"/>
    <w:rsid w:val="4A1F5BF8"/>
    <w:rsid w:val="4A792C00"/>
    <w:rsid w:val="4A8E1A35"/>
    <w:rsid w:val="4AD80D5F"/>
    <w:rsid w:val="4B937D2E"/>
    <w:rsid w:val="4BF75031"/>
    <w:rsid w:val="4C5A77EE"/>
    <w:rsid w:val="4F262E8F"/>
    <w:rsid w:val="4FC329A0"/>
    <w:rsid w:val="509347E4"/>
    <w:rsid w:val="5288688A"/>
    <w:rsid w:val="52F537F4"/>
    <w:rsid w:val="557F0A5C"/>
    <w:rsid w:val="56BD4D65"/>
    <w:rsid w:val="58AA1788"/>
    <w:rsid w:val="5F260774"/>
    <w:rsid w:val="5FD41360"/>
    <w:rsid w:val="60AA4E45"/>
    <w:rsid w:val="63E42107"/>
    <w:rsid w:val="64BC7B00"/>
    <w:rsid w:val="66CF4630"/>
    <w:rsid w:val="67A075EC"/>
    <w:rsid w:val="690B2C99"/>
    <w:rsid w:val="69E74C2E"/>
    <w:rsid w:val="6A7E01D1"/>
    <w:rsid w:val="6B6D2669"/>
    <w:rsid w:val="6BFA1229"/>
    <w:rsid w:val="6C1F57D7"/>
    <w:rsid w:val="6C392DFD"/>
    <w:rsid w:val="6D1941CD"/>
    <w:rsid w:val="6E9E24DB"/>
    <w:rsid w:val="6F1A1E98"/>
    <w:rsid w:val="701632CF"/>
    <w:rsid w:val="71793B16"/>
    <w:rsid w:val="72810881"/>
    <w:rsid w:val="7309711B"/>
    <w:rsid w:val="731605E7"/>
    <w:rsid w:val="75D073BE"/>
    <w:rsid w:val="76A61356"/>
    <w:rsid w:val="7A4B26E6"/>
    <w:rsid w:val="7BA37FB2"/>
    <w:rsid w:val="7BFF8E66"/>
    <w:rsid w:val="7CE07A67"/>
    <w:rsid w:val="7DD73F54"/>
    <w:rsid w:val="7EF5C486"/>
    <w:rsid w:val="7FEF572D"/>
    <w:rsid w:val="D77EE86F"/>
    <w:rsid w:val="EFFF7484"/>
    <w:rsid w:val="F3E9F03F"/>
    <w:rsid w:val="F5EF5E40"/>
    <w:rsid w:val="FBFBAF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240" w:lineRule="auto"/>
      <w:jc w:val="left"/>
      <w:textAlignment w:val="baseline"/>
    </w:pPr>
    <w:rPr>
      <w:rFonts w:ascii="Times New Roman" w:hAnsi="Times New Roman" w:eastAsia="宋体" w:cs="Arial"/>
      <w:snapToGrid w:val="0"/>
      <w:color w:val="000000"/>
      <w:kern w:val="0"/>
      <w:sz w:val="21"/>
      <w:szCs w:val="21"/>
      <w:lang w:val="en-US" w:eastAsia="en-US" w:bidi="ar-SA"/>
    </w:rPr>
  </w:style>
  <w:style w:type="paragraph" w:styleId="2">
    <w:name w:val="heading 1"/>
    <w:next w:val="3"/>
    <w:link w:val="21"/>
    <w:qFormat/>
    <w:uiPriority w:val="0"/>
    <w:pPr>
      <w:keepNext w:val="0"/>
      <w:keepLines w:val="0"/>
      <w:pageBreakBefore w:val="0"/>
      <w:widowControl/>
      <w:kinsoku/>
      <w:wordWrap/>
      <w:overflowPunct/>
      <w:topLinePunct w:val="0"/>
      <w:autoSpaceDE/>
      <w:autoSpaceDN/>
      <w:bidi w:val="0"/>
      <w:adjustRightInd/>
      <w:snapToGrid/>
      <w:spacing w:before="100" w:beforeLines="100" w:after="100" w:afterLines="100" w:line="360" w:lineRule="auto"/>
      <w:textAlignment w:val="auto"/>
      <w:outlineLvl w:val="0"/>
    </w:pPr>
    <w:rPr>
      <w:rFonts w:ascii="黑体" w:hAnsi="黑体" w:eastAsia="黑体" w:cs="黑体"/>
      <w:spacing w:val="-8"/>
      <w:sz w:val="21"/>
      <w:szCs w:val="21"/>
    </w:rPr>
  </w:style>
  <w:style w:type="paragraph" w:styleId="4">
    <w:name w:val="heading 2"/>
    <w:next w:val="3"/>
    <w:unhideWhenUsed/>
    <w:qFormat/>
    <w:uiPriority w:val="9"/>
    <w:pPr>
      <w:keepNext w:val="0"/>
      <w:keepLines w:val="0"/>
      <w:pageBreakBefore w:val="0"/>
      <w:widowControl/>
      <w:kinsoku/>
      <w:wordWrap/>
      <w:overflowPunct/>
      <w:topLinePunct w:val="0"/>
      <w:autoSpaceDE/>
      <w:autoSpaceDN/>
      <w:bidi w:val="0"/>
      <w:adjustRightInd/>
      <w:snapToGrid/>
      <w:spacing w:before="100" w:beforeLines="100" w:after="100" w:afterLines="100"/>
      <w:ind w:firstLine="400" w:firstLineChars="200"/>
      <w:textAlignment w:val="auto"/>
      <w:outlineLvl w:val="1"/>
    </w:pPr>
    <w:rPr>
      <w:rFonts w:ascii="Times New Roman" w:hAnsi="Times New Roman" w:eastAsia="黑体" w:cs="黑体"/>
    </w:rPr>
  </w:style>
  <w:style w:type="paragraph" w:styleId="5">
    <w:name w:val="heading 3"/>
    <w:next w:val="1"/>
    <w:unhideWhenUsed/>
    <w:qFormat/>
    <w:uiPriority w:val="0"/>
    <w:pPr>
      <w:keepNext w:val="0"/>
      <w:keepLines w:val="0"/>
      <w:pageBreakBefore w:val="0"/>
      <w:widowControl/>
      <w:kinsoku/>
      <w:wordWrap/>
      <w:overflowPunct/>
      <w:topLinePunct w:val="0"/>
      <w:autoSpaceDE/>
      <w:autoSpaceDN/>
      <w:bidi w:val="0"/>
      <w:adjustRightInd/>
      <w:snapToGrid/>
      <w:spacing w:before="50" w:beforeLines="50" w:beforeAutospacing="0" w:after="50" w:afterLines="50" w:afterAutospacing="0"/>
      <w:ind w:firstLine="400" w:firstLineChars="200"/>
      <w:jc w:val="left"/>
      <w:textAlignment w:val="auto"/>
      <w:outlineLvl w:val="2"/>
    </w:pPr>
    <w:rPr>
      <w:rFonts w:ascii="黑体" w:hAnsi="黑体" w:eastAsia="黑体" w:cs="黑体"/>
      <w:sz w:val="20"/>
      <w:szCs w:val="27"/>
      <w:lang w:eastAsia="zh-CN" w:bidi="ar"/>
    </w:rPr>
  </w:style>
  <w:style w:type="character" w:default="1" w:styleId="15">
    <w:name w:val="Default Paragraph Font"/>
    <w:semiHidden/>
    <w:qFormat/>
    <w:uiPriority w:val="0"/>
  </w:style>
  <w:style w:type="table" w:default="1" w:styleId="13">
    <w:name w:val="Normal Table"/>
    <w:semiHidden/>
    <w:qFormat/>
    <w:uiPriority w:val="0"/>
    <w:tblPr>
      <w:tblCellMar>
        <w:top w:w="0" w:type="dxa"/>
        <w:left w:w="108" w:type="dxa"/>
        <w:bottom w:w="0" w:type="dxa"/>
        <w:right w:w="108" w:type="dxa"/>
      </w:tblCellMar>
    </w:tblPr>
  </w:style>
  <w:style w:type="paragraph" w:styleId="3">
    <w:name w:val="Body Text"/>
    <w:qFormat/>
    <w:uiPriority w:val="0"/>
    <w:pPr>
      <w:bidi w:val="0"/>
      <w:ind w:firstLine="412" w:firstLineChars="200"/>
      <w:jc w:val="both"/>
    </w:pPr>
    <w:rPr>
      <w:rFonts w:ascii="Times New Roman" w:hAnsi="Times New Roman" w:eastAsia="宋体" w:cs="宋体"/>
      <w:spacing w:val="-2"/>
      <w:sz w:val="21"/>
      <w:szCs w:val="21"/>
    </w:rPr>
  </w:style>
  <w:style w:type="paragraph" w:styleId="6">
    <w:name w:val="caption"/>
    <w:next w:val="1"/>
    <w:semiHidden/>
    <w:unhideWhenUsed/>
    <w:qFormat/>
    <w:uiPriority w:val="0"/>
    <w:pPr>
      <w:spacing w:before="50" w:beforeLines="50" w:after="50" w:afterLines="50"/>
      <w:jc w:val="center"/>
    </w:pPr>
    <w:rPr>
      <w:rFonts w:ascii="Times New Roman" w:hAnsi="Times New Roman" w:eastAsia="黑体" w:cstheme="majorBidi"/>
      <w:kern w:val="2"/>
      <w:sz w:val="24"/>
      <w:szCs w:val="20"/>
      <w:lang w:val="en-US" w:eastAsia="zh-CN" w:bidi="ar-SA"/>
    </w:rPr>
  </w:style>
  <w:style w:type="paragraph" w:styleId="7">
    <w:name w:val="annotation text"/>
    <w:basedOn w:val="1"/>
    <w:qFormat/>
    <w:uiPriority w:val="0"/>
    <w:pPr>
      <w:jc w:val="left"/>
    </w:pPr>
  </w:style>
  <w:style w:type="paragraph" w:styleId="8">
    <w:name w:val="toc 3"/>
    <w:basedOn w:val="1"/>
    <w:next w:val="1"/>
    <w:autoRedefine/>
    <w:qFormat/>
    <w:uiPriority w:val="0"/>
    <w:pPr>
      <w:tabs>
        <w:tab w:val="right" w:leader="dot" w:pos="8222"/>
      </w:tabs>
      <w:spacing w:line="590" w:lineRule="exact"/>
      <w:ind w:left="840" w:leftChars="400" w:right="840" w:rightChars="400"/>
    </w:pPr>
    <w:rPr>
      <w:rFonts w:ascii="Times New Roman" w:hAnsi="Times New Roman" w:eastAsia="仿宋_GB2312"/>
      <w:sz w:val="24"/>
      <w:szCs w:val="24"/>
    </w:rPr>
  </w:style>
  <w:style w:type="paragraph" w:styleId="9">
    <w:name w:val="footer"/>
    <w:basedOn w:val="1"/>
    <w:qFormat/>
    <w:uiPriority w:val="0"/>
    <w:pPr>
      <w:tabs>
        <w:tab w:val="center" w:pos="4153"/>
        <w:tab w:val="right" w:pos="8306"/>
      </w:tabs>
      <w:snapToGrid w:val="0"/>
      <w:jc w:val="left"/>
    </w:pPr>
    <w:rPr>
      <w:sz w:val="18"/>
    </w:rPr>
  </w:style>
  <w:style w:type="paragraph" w:styleId="10">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1">
    <w:name w:val="toc 1"/>
    <w:basedOn w:val="1"/>
    <w:next w:val="1"/>
    <w:qFormat/>
    <w:uiPriority w:val="0"/>
  </w:style>
  <w:style w:type="paragraph" w:styleId="12">
    <w:name w:val="toc 2"/>
    <w:basedOn w:val="1"/>
    <w:next w:val="1"/>
    <w:qFormat/>
    <w:uiPriority w:val="0"/>
    <w:pPr>
      <w:ind w:left="420" w:leftChars="200"/>
    </w:pPr>
  </w:style>
  <w:style w:type="table" w:styleId="14">
    <w:name w:val="Table Grid"/>
    <w:basedOn w:val="13"/>
    <w:qFormat/>
    <w:uiPriority w:val="39"/>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Strong"/>
    <w:basedOn w:val="15"/>
    <w:qFormat/>
    <w:uiPriority w:val="0"/>
    <w:rPr>
      <w:b/>
    </w:rPr>
  </w:style>
  <w:style w:type="character" w:styleId="17">
    <w:name w:val="Hyperlink"/>
    <w:qFormat/>
    <w:uiPriority w:val="99"/>
    <w:rPr>
      <w:color w:val="0000FF"/>
      <w:spacing w:val="0"/>
      <w:w w:val="100"/>
      <w:szCs w:val="21"/>
      <w:u w:val="single"/>
    </w:rPr>
  </w:style>
  <w:style w:type="table" w:customStyle="1" w:styleId="18">
    <w:name w:val="Table Normal"/>
    <w:semiHidden/>
    <w:unhideWhenUsed/>
    <w:qFormat/>
    <w:uiPriority w:val="0"/>
    <w:tblPr>
      <w:tblCellMar>
        <w:top w:w="0" w:type="dxa"/>
        <w:left w:w="0" w:type="dxa"/>
        <w:bottom w:w="0" w:type="dxa"/>
        <w:right w:w="0" w:type="dxa"/>
      </w:tblCellMar>
    </w:tblPr>
  </w:style>
  <w:style w:type="paragraph" w:customStyle="1" w:styleId="19">
    <w:name w:val="Table Text"/>
    <w:basedOn w:val="1"/>
    <w:semiHidden/>
    <w:qFormat/>
    <w:uiPriority w:val="0"/>
    <w:rPr>
      <w:rFonts w:ascii="宋体" w:hAnsi="宋体" w:eastAsia="宋体" w:cs="宋体"/>
      <w:sz w:val="18"/>
      <w:szCs w:val="18"/>
      <w:lang w:val="en-US" w:eastAsia="en-US" w:bidi="ar-SA"/>
    </w:rPr>
  </w:style>
  <w:style w:type="paragraph" w:customStyle="1" w:styleId="20">
    <w:name w:val="表格"/>
    <w:qFormat/>
    <w:uiPriority w:val="99"/>
    <w:pPr>
      <w:widowControl/>
      <w:jc w:val="center"/>
    </w:pPr>
    <w:rPr>
      <w:rFonts w:ascii="Times New Roman" w:hAnsi="Times New Roman" w:eastAsia="宋体" w:cs="Times New Roman"/>
    </w:rPr>
  </w:style>
  <w:style w:type="character" w:customStyle="1" w:styleId="21">
    <w:name w:val="标题 1 Char"/>
    <w:link w:val="2"/>
    <w:qFormat/>
    <w:uiPriority w:val="0"/>
    <w:rPr>
      <w:rFonts w:ascii="黑体" w:hAnsi="黑体" w:eastAsia="黑体" w:cs="黑体"/>
      <w:spacing w:val="-8"/>
      <w:sz w:val="21"/>
      <w:szCs w:val="21"/>
    </w:rPr>
  </w:style>
  <w:style w:type="paragraph" w:customStyle="1" w:styleId="22">
    <w:name w:val="公式"/>
    <w:qFormat/>
    <w:uiPriority w:val="0"/>
    <w:pPr>
      <w:tabs>
        <w:tab w:val="right" w:leader="middleDot" w:pos="9240"/>
      </w:tabs>
      <w:spacing w:before="52" w:line="226" w:lineRule="auto"/>
      <w:ind w:firstLine="3990" w:firstLineChars="1900"/>
    </w:pPr>
    <w:rPr>
      <w:rFonts w:ascii="Cambria Math" w:hAnsi="Cambria Math" w:eastAsia="Cambria Math" w:cs="Cambria Math"/>
    </w:rPr>
  </w:style>
  <w:style w:type="paragraph" w:customStyle="1" w:styleId="23">
    <w:name w:val="文献分类号"/>
    <w:qFormat/>
    <w:uiPriority w:val="0"/>
    <w:pPr>
      <w:framePr w:hSpace="180" w:vSpace="180" w:wrap="around" w:vAnchor="margin" w:hAnchor="margin" w:y="1" w:anchorLock="1"/>
      <w:widowControl w:val="0"/>
      <w:textAlignment w:val="center"/>
    </w:pPr>
    <w:rPr>
      <w:rFonts w:ascii="黑体" w:hAnsi="Times New Roman" w:eastAsia="黑体" w:cs="Times New Roman"/>
      <w:sz w:val="21"/>
      <w:szCs w:val="21"/>
      <w:lang w:val="en-US" w:eastAsia="zh-CN" w:bidi="ar-SA"/>
    </w:rPr>
  </w:style>
  <w:style w:type="paragraph" w:customStyle="1" w:styleId="24">
    <w:name w:val="其他标准称谓"/>
    <w:next w:val="1"/>
    <w:qFormat/>
    <w:uiPriority w:val="0"/>
    <w:pPr>
      <w:framePr w:hSpace="181" w:vSpace="181" w:wrap="around" w:vAnchor="page" w:hAnchor="page" w:x="1419" w:y="2286" w:anchorLock="1"/>
      <w:spacing w:line="0" w:lineRule="atLeast"/>
      <w:jc w:val="distribute"/>
    </w:pPr>
    <w:rPr>
      <w:rFonts w:ascii="黑体" w:hAnsi="宋体" w:eastAsia="黑体" w:cs="Times New Roman"/>
      <w:spacing w:val="-40"/>
      <w:sz w:val="48"/>
      <w:szCs w:val="52"/>
      <w:lang w:val="en-US" w:eastAsia="zh-CN" w:bidi="ar-SA"/>
    </w:rPr>
  </w:style>
  <w:style w:type="paragraph" w:customStyle="1" w:styleId="25">
    <w:name w:val="封面标准号2"/>
    <w:qFormat/>
    <w:uiPriority w:val="0"/>
    <w:pPr>
      <w:framePr w:w="9140" w:h="1242" w:hRule="exact" w:hSpace="284" w:wrap="around" w:vAnchor="page" w:hAnchor="page" w:x="1645" w:y="2910" w:anchorLock="1"/>
      <w:spacing w:before="357" w:line="280" w:lineRule="exact"/>
      <w:jc w:val="right"/>
    </w:pPr>
    <w:rPr>
      <w:rFonts w:ascii="黑体" w:hAnsi="Times New Roman" w:eastAsia="黑体" w:cs="Times New Roman"/>
      <w:sz w:val="28"/>
      <w:szCs w:val="28"/>
      <w:lang w:val="en-US" w:eastAsia="zh-CN" w:bidi="ar-SA"/>
    </w:rPr>
  </w:style>
  <w:style w:type="paragraph" w:customStyle="1" w:styleId="26">
    <w:name w:val="封面标准代替信息"/>
    <w:qFormat/>
    <w:uiPriority w:val="0"/>
    <w:pPr>
      <w:framePr w:w="9140" w:h="1242" w:hRule="exact" w:hSpace="284" w:wrap="around" w:vAnchor="page" w:hAnchor="page" w:x="1645" w:y="2910" w:anchorLock="1"/>
      <w:spacing w:before="57" w:line="280" w:lineRule="exact"/>
      <w:jc w:val="right"/>
    </w:pPr>
    <w:rPr>
      <w:rFonts w:ascii="宋体" w:hAnsi="Times New Roman" w:eastAsia="宋体" w:cs="Times New Roman"/>
      <w:sz w:val="21"/>
      <w:szCs w:val="21"/>
      <w:lang w:val="en-US" w:eastAsia="zh-CN" w:bidi="ar-SA"/>
    </w:rPr>
  </w:style>
  <w:style w:type="paragraph" w:customStyle="1" w:styleId="27">
    <w:name w:val="封面标准名称"/>
    <w:qFormat/>
    <w:uiPriority w:val="0"/>
    <w:pPr>
      <w:framePr w:w="9639" w:h="6917" w:hRule="exact" w:wrap="around" w:vAnchor="page" w:hAnchor="page" w:xAlign="center" w:y="6408"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28">
    <w:name w:val="封面标准英文名称"/>
    <w:basedOn w:val="27"/>
    <w:qFormat/>
    <w:uiPriority w:val="0"/>
    <w:pPr>
      <w:framePr w:wrap="around"/>
      <w:spacing w:before="370" w:line="400" w:lineRule="exact"/>
    </w:pPr>
    <w:rPr>
      <w:rFonts w:ascii="Times New Roman"/>
      <w:sz w:val="28"/>
      <w:szCs w:val="28"/>
    </w:rPr>
  </w:style>
  <w:style w:type="paragraph" w:customStyle="1" w:styleId="29">
    <w:name w:val="封面标准文稿类别"/>
    <w:basedOn w:val="1"/>
    <w:qFormat/>
    <w:uiPriority w:val="0"/>
    <w:pPr>
      <w:framePr w:w="9639" w:h="6917" w:hRule="exact" w:wrap="around" w:vAnchor="page" w:hAnchor="page" w:xAlign="center" w:y="6408" w:anchorLock="1"/>
      <w:spacing w:before="440" w:after="160"/>
      <w:jc w:val="center"/>
      <w:textAlignment w:val="center"/>
    </w:pPr>
    <w:rPr>
      <w:rFonts w:ascii="宋体" w:cs="Times New Roman"/>
      <w:kern w:val="0"/>
      <w:sz w:val="24"/>
      <w:szCs w:val="28"/>
    </w:rPr>
  </w:style>
  <w:style w:type="paragraph" w:customStyle="1" w:styleId="30">
    <w:name w:val="封面标准文稿编辑信息"/>
    <w:basedOn w:val="29"/>
    <w:qFormat/>
    <w:uiPriority w:val="0"/>
    <w:pPr>
      <w:framePr w:wrap="around"/>
      <w:spacing w:before="180" w:line="180" w:lineRule="exact"/>
    </w:pPr>
    <w:rPr>
      <w:sz w:val="21"/>
    </w:rPr>
  </w:style>
  <w:style w:type="paragraph" w:customStyle="1" w:styleId="31">
    <w:name w:val="其他发布日期"/>
    <w:basedOn w:val="1"/>
    <w:qFormat/>
    <w:uiPriority w:val="0"/>
    <w:pPr>
      <w:framePr w:w="3997" w:h="471" w:hRule="exact" w:vSpace="181" w:wrap="around" w:vAnchor="page" w:hAnchor="text" w:x="1419" w:y="14097" w:anchorLock="1"/>
      <w:widowControl/>
      <w:jc w:val="left"/>
    </w:pPr>
    <w:rPr>
      <w:rFonts w:eastAsia="黑体" w:cs="Times New Roman"/>
      <w:kern w:val="0"/>
      <w:sz w:val="28"/>
      <w:szCs w:val="20"/>
    </w:rPr>
  </w:style>
  <w:style w:type="paragraph" w:customStyle="1" w:styleId="32">
    <w:name w:val="其他实施日期"/>
    <w:basedOn w:val="1"/>
    <w:qFormat/>
    <w:uiPriority w:val="0"/>
    <w:pPr>
      <w:framePr w:w="3997" w:h="471" w:hRule="exact" w:vSpace="181" w:wrap="around" w:vAnchor="page" w:hAnchor="text" w:x="7089" w:y="14097" w:anchorLock="1"/>
      <w:widowControl/>
      <w:jc w:val="right"/>
    </w:pPr>
    <w:rPr>
      <w:rFonts w:eastAsia="黑体" w:cs="Times New Roman"/>
      <w:kern w:val="0"/>
      <w:sz w:val="28"/>
      <w:szCs w:val="20"/>
    </w:rPr>
  </w:style>
  <w:style w:type="paragraph" w:customStyle="1" w:styleId="33">
    <w:name w:val="其他发布部门"/>
    <w:basedOn w:val="1"/>
    <w:qFormat/>
    <w:uiPriority w:val="0"/>
    <w:pPr>
      <w:framePr w:w="7938" w:h="1134" w:hRule="exact" w:hSpace="125" w:vSpace="181" w:wrap="around" w:vAnchor="page" w:hAnchor="page" w:x="2150" w:y="15310" w:anchorLock="1"/>
      <w:widowControl/>
      <w:spacing w:line="0" w:lineRule="atLeast"/>
      <w:jc w:val="center"/>
    </w:pPr>
    <w:rPr>
      <w:rFonts w:ascii="黑体" w:eastAsia="黑体" w:cs="Times New Roman"/>
      <w:spacing w:val="20"/>
      <w:w w:val="135"/>
      <w:kern w:val="0"/>
      <w:sz w:val="28"/>
      <w:szCs w:val="20"/>
    </w:rPr>
  </w:style>
  <w:style w:type="character" w:customStyle="1" w:styleId="34">
    <w:name w:val="发布"/>
    <w:qFormat/>
    <w:uiPriority w:val="0"/>
    <w:rPr>
      <w:rFonts w:ascii="黑体" w:eastAsia="黑体"/>
      <w:spacing w:val="85"/>
      <w:w w:val="100"/>
      <w:position w:val="3"/>
      <w:sz w:val="28"/>
      <w:szCs w:val="28"/>
    </w:rPr>
  </w:style>
  <w:style w:type="paragraph" w:customStyle="1" w:styleId="35">
    <w:name w:val="目次、标准名称标题"/>
    <w:basedOn w:val="1"/>
    <w:next w:val="1"/>
    <w:qFormat/>
    <w:uiPriority w:val="0"/>
    <w:pPr>
      <w:keepNext/>
      <w:pageBreakBefore/>
      <w:widowControl/>
      <w:shd w:val="clear" w:color="FFFFFF" w:fill="FFFFFF"/>
      <w:spacing w:before="640" w:after="560" w:line="460" w:lineRule="exact"/>
      <w:jc w:val="center"/>
      <w:outlineLvl w:val="0"/>
    </w:pPr>
    <w:rPr>
      <w:rFonts w:ascii="黑体" w:eastAsia="黑体" w:cs="Times New Roman"/>
      <w:kern w:val="0"/>
      <w:sz w:val="32"/>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microsoft.com/office/2006/relationships/keyMapCustomizations" Target="customizations.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19</Pages>
  <Words>4605</Words>
  <Characters>5973</Characters>
  <TotalTime>0</TotalTime>
  <ScaleCrop>false</ScaleCrop>
  <LinksUpToDate>false</LinksUpToDate>
  <CharactersWithSpaces>6216</CharactersWithSpaces>
  <Application>WPS Office_12.1.24031.24031_F1E327BC-269C-435d-A152-05C5408002CA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2024-07-24T15:21:00Z</dcterms:created>
  <dc:creator>刘璟</dc:creator>
  <cp:lastModifiedBy>weiwen</cp:lastModifiedBy>
  <dcterms:modified xsi:type="dcterms:W3CDTF">2026-05-22T01:22:04Z</dcterms:modified>
  <dc:title>地方标准</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wqlLaW5nc29mdCBQREYgdG8gV1BTIDExNQ</vt:lpwstr>
  </property>
  <property fmtid="{D5CDD505-2E9C-101B-9397-08002B2CF9AE}" pid="3" name="Created">
    <vt:filetime>2025-12-13T16:52:39Z</vt:filetime>
  </property>
  <property fmtid="{D5CDD505-2E9C-101B-9397-08002B2CF9AE}" pid="4" name="KSOTemplateDocerSaveRecord">
    <vt:lpwstr>eyJoZGlkIjoiOTllOWQ3MDg5NTdkOTUxMmYwZjRiMzg4NzYxZGMwZDgiLCJ1c2VySWQiOiI0NjYxMDI1MTQifQ==</vt:lpwstr>
  </property>
  <property fmtid="{D5CDD505-2E9C-101B-9397-08002B2CF9AE}" pid="5" name="KSOProductBuildVer">
    <vt:lpwstr>2052-12.1.24031.24031</vt:lpwstr>
  </property>
  <property fmtid="{D5CDD505-2E9C-101B-9397-08002B2CF9AE}" pid="6" name="ICV">
    <vt:lpwstr>0CE81D0DB32055E800050F6ABD6D9D64_43</vt:lpwstr>
  </property>
</Properties>
</file>