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79A598">
      <w:pPr>
        <w:pStyle w:val="23"/>
        <w:framePr w:wrap="around"/>
        <w:rPr>
          <w:rFonts w:hint="default"/>
          <w:lang w:val="en-US"/>
        </w:rPr>
      </w:pPr>
      <w:r>
        <w:rPr>
          <w:rFonts w:ascii="Times New Roman"/>
        </w:rPr>
        <w:t>ICS</w:t>
      </w:r>
      <w:r>
        <w:rPr>
          <w:rFonts w:hint="eastAsia" w:ascii="MS Mincho" w:hAnsi="MS Mincho" w:eastAsia="MS Mincho" w:cs="MS Mincho"/>
        </w:rPr>
        <w:t> </w:t>
      </w:r>
      <w:bookmarkStart w:id="0" w:name="ICS"/>
      <w:r>
        <w:rPr>
          <w:rFonts w:hint="eastAsia" w:ascii="黑体" w:hAnsi="黑体" w:eastAsia="黑体" w:cs="黑体"/>
          <w:lang w:val="en-US" w:eastAsia="zh-CN"/>
        </w:rPr>
        <w:t>XX</w:t>
      </w:r>
      <w:bookmarkEnd w:id="0"/>
      <w:r>
        <w:rPr>
          <w:rFonts w:hint="eastAsia" w:ascii="黑体" w:hAnsi="黑体" w:eastAsia="黑体" w:cs="黑体"/>
          <w:lang w:val="en-US" w:eastAsia="zh-CN"/>
        </w:rPr>
        <w:t>.XXX</w:t>
      </w:r>
    </w:p>
    <w:p w14:paraId="268490BE">
      <w:pPr>
        <w:pStyle w:val="23"/>
        <w:framePr w:wrap="around"/>
      </w:pPr>
      <w:r>
        <w:fldChar w:fldCharType="begin">
          <w:ffData>
            <w:name w:val="WXFLH"/>
            <w:enabled/>
            <w:calcOnExit w:val="0"/>
            <w:helpText w:type="text" w:val="请输入中国标准文献分类号："/>
            <w:textInput>
              <w:default w:val=" "/>
            </w:textInput>
          </w:ffData>
        </w:fldChar>
      </w:r>
      <w:bookmarkStart w:id="1" w:name="WXFLH"/>
      <w:r>
        <w:instrText xml:space="preserve"> FORMTEXT </w:instrText>
      </w:r>
      <w:r>
        <w:fldChar w:fldCharType="separate"/>
      </w:r>
      <w:r>
        <w:t xml:space="preserve"> </w:t>
      </w:r>
      <w:r>
        <w:fldChar w:fldCharType="end"/>
      </w:r>
      <w:bookmarkEnd w:id="1"/>
    </w:p>
    <w:tbl>
      <w:tblPr>
        <w:tblStyle w:val="1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570"/>
      </w:tblGrid>
      <w:tr w14:paraId="1C5CF118">
        <w:tc>
          <w:tcPr>
            <w:tcW w:w="9854" w:type="dxa"/>
            <w:tcBorders>
              <w:top w:val="nil"/>
              <w:left w:val="nil"/>
              <w:bottom w:val="nil"/>
              <w:right w:val="nil"/>
            </w:tcBorders>
          </w:tcPr>
          <w:p w14:paraId="50C523E9">
            <w:pPr>
              <w:pStyle w:val="23"/>
              <w:framePr w:wrap="around"/>
              <w:rPr>
                <w:kern w:val="2"/>
              </w:rPr>
            </w:pPr>
            <w:r>
              <w:rPr>
                <w:rFonts w:hint="eastAsia"/>
                <w:kern w:val="2"/>
              </w:rPr>
              <mc:AlternateContent>
                <mc:Choice Requires="wps">
                  <w:drawing>
                    <wp:anchor distT="0" distB="0" distL="114300" distR="114300" simplePos="0" relativeHeight="251664384"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2" name="BAH"/>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BAH" o:spid="_x0000_s1026" o:spt="1" style="position:absolute;left:0pt;margin-left:-5.25pt;margin-top:0pt;height:15.6pt;width:68.25pt;z-index:-251652096;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T7u77BECAAAuBAAADgAAAGRycy9lMm9Eb2MueG1srVPBjtow&#10;EL1X6j9YvpcQxAIbEVYURFtp26607QcYxyFWHY87NgT69R07QOn2sofmEHk84+f33oznD8fWsINC&#10;r8GWPB8MOVNWQqXtruTfv23ezTjzQdhKGLCq5Cfl+cPi7Zt55wo1ggZMpZARiPVF50rehOCKLPOy&#10;Ua3wA3DKUrIGbEWgEHdZhaIj9NZko+FwknWAlUOQynvaXfdJfkbE1wBCXWup1iD3rbKhR0VlRCBJ&#10;vtHO80ViW9dKhq917VVgpuSkNKQ/XULrbfxni7kodihco+WZgngNhReaWqEtXXqFWosg2B71P1Ct&#10;lgge6jCQ0Ga9kOQIqciHL7x5boRTSQtZ7d3VdP//YOWXwxMyXZV8xJkVLTX8/fJjtKVzvqDss3vC&#10;KMy7R5A/PLOwaoTdqSUidI0SFZHJY33214EYeDrKtt1nqAhV7AMkh441thGQtLNjasTp2gh1DEzS&#10;5mwymU7vOJOUyu9n+Sg1KhPF5bBDHz4oaFlclBypzwlcHB59iGREcSlJ5MHoaqONSQHutiuD7CBo&#10;JjbpS/xJ422ZsbHYQjzWI/Y7Kk3V+ZqLzN6uLVQnkozQjxk9Mlo0gL8462jESu5/7gUqzswnS7bd&#10;5+NxnMkUjO+mpJLhbWZ7mxFWElTJA2f9chX6Od471LuGbsqTBRaWZHWtkw2RX8/q3CAao+TOeeTj&#10;nN7GqerPM1/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iuL+zVAAAABwEAAA8AAAAAAAAAAQAg&#10;AAAAIgAAAGRycy9kb3ducmV2LnhtbFBLAQIUABQAAAAIAIdO4kBPu7vsEQIAAC4EAAAOAAAAAAAA&#10;AAEAIAAAACQBAABkcnMvZTJvRG9jLnhtbFBLBQYAAAAABgAGAFkBAACnBQAAAAA=&#10;">
                      <v:fill on="t" focussize="0,0"/>
                      <v:stroke on="f"/>
                      <v:imagedata o:title=""/>
                      <o:lock v:ext="edit" aspectratio="f"/>
                    </v:rect>
                  </w:pict>
                </mc:Fallback>
              </mc:AlternateContent>
            </w:r>
            <w:r>
              <w:rPr>
                <w:rFonts w:hint="eastAsia"/>
                <w:kern w:val="2"/>
              </w:rPr>
              <w:fldChar w:fldCharType="begin">
                <w:ffData>
                  <w:name w:val="BAH"/>
                  <w:enabled/>
                  <w:calcOnExit w:val="0"/>
                  <w:textInput/>
                </w:ffData>
              </w:fldChar>
            </w:r>
            <w:bookmarkStart w:id="2" w:name="BAH"/>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2"/>
          </w:p>
        </w:tc>
      </w:tr>
    </w:tbl>
    <w:p w14:paraId="3BD3EF3E">
      <w:pPr>
        <w:pStyle w:val="24"/>
        <w:framePr w:wrap="around"/>
      </w:pPr>
      <w:r>
        <w:rPr>
          <w:rFonts w:hint="eastAsia"/>
        </w:rPr>
        <w:t>团体标准</w:t>
      </w:r>
    </w:p>
    <w:p w14:paraId="68A76ECA">
      <w:pPr>
        <w:pStyle w:val="25"/>
        <w:framePr w:wrap="around"/>
        <w:ind w:left="1260" w:hanging="420"/>
        <w:rPr>
          <w:rFonts w:hAnsi="黑体"/>
        </w:rPr>
      </w:pPr>
      <w:r>
        <w:rPr>
          <w:rFonts w:hint="eastAsia" w:hAnsi="黑体"/>
        </w:rPr>
        <w:t>T/XX XXXX—XXXX</w:t>
      </w:r>
    </w:p>
    <w:tbl>
      <w:tblPr>
        <w:tblStyle w:val="1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14:paraId="70313499">
        <w:tc>
          <w:tcPr>
            <w:tcW w:w="9356" w:type="dxa"/>
            <w:tcBorders>
              <w:top w:val="nil"/>
              <w:left w:val="nil"/>
              <w:bottom w:val="nil"/>
              <w:right w:val="nil"/>
            </w:tcBorders>
          </w:tcPr>
          <w:p w14:paraId="777932BC">
            <w:pPr>
              <w:pStyle w:val="26"/>
              <w:framePr w:wrap="around"/>
              <w:rPr>
                <w:kern w:val="2"/>
              </w:rPr>
            </w:pPr>
            <w:bookmarkStart w:id="3" w:name="DT"/>
            <w:r>
              <w:rPr>
                <w:rFonts w:hint="eastAsia"/>
                <w:kern w:val="2"/>
              </w:rPr>
              <mc:AlternateContent>
                <mc:Choice Requires="wps">
                  <w:drawing>
                    <wp:anchor distT="0" distB="0" distL="114300" distR="114300" simplePos="0" relativeHeight="251663360"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DT" o:spid="_x0000_s1026" o:spt="1" style="position:absolute;left:0pt;margin-left:372.8pt;margin-top:2.7pt;height:18pt;width:90pt;z-index:-251653120;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Nd/xucNAgAALgQAAA4AAABkcnMvZTJvRG9jLnhtbK1TwW7b&#10;MAy9D9g/CLovtrOs64w4RZEgw4BuLdDuAxRZtoXJokYpcbqvHyU7WdZdepgPBilSj+Tj0/Lm2Bt2&#10;UOg12IoXs5wzZSXU2rYV//60fXfNmQ/C1sKAVRV/Vp7frN6+WQ6uVHPowNQKGYFYXw6u4l0Irswy&#10;LzvVCz8DpywFG8BeBHKxzWoUA6H3Jpvn+VU2ANYOQSrv6XQzBvmEiK8BhKbRUm1A7ntlw4iKyohA&#10;I/lOO89XqdumUTLcN41XgZmK06Qh/akI2bv4z1ZLUbYoXKfl1IJ4TQsvZuqFtlT0DLURQbA96n+g&#10;ei0RPDRhJqHPxkESIzRFkb/g5rETTqVZiGrvzqT7/wcrvx0ekOmalMCZFT0tfPMUWRmcLyn46B4w&#10;zuXdHcgfnllYd8K26hYRhk6JmnopYn7214XoeLrKdsNXqAlU7AMkgo4N9hGQRmfHtIfn8x7UMTBJ&#10;h0WxeJ/ntCJJsfn8+orsWEKUp9sOffisoGfRqDjSnhO6ONz5MKaeUlL3YHS91cYkB9vd2iA7CNLE&#10;Nn0Tur9MMzYmW4jXRsTxRCVVTWVOc4587aB+ppkRRpnRIyOjA/zF2UASq7j/uReoODNfLPH2qVgs&#10;oiaTs/jwcU4OXkZ2lxFhJUFVPHA2musw6njvULcdVSoSBRZuietGJxpif2NX04ZIRonISfJRp5d+&#10;yvrzz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5g8svWAAAACAEAAA8AAAAAAAAAAQAgAAAA&#10;IgAAAGRycy9kb3ducmV2LnhtbFBLAQIUABQAAAAIAIdO4kDXf8bnDQIAAC4EAAAOAAAAAAAAAAEA&#10;IAAAACUBAABkcnMvZTJvRG9jLnhtbFBLBQYAAAAABgAGAFkBAACkBQAAAAA=&#10;">
                      <v:fill on="t" focussize="0,0"/>
                      <v:stroke on="f"/>
                      <v:imagedata o:title=""/>
                      <o:lock v:ext="edit" aspectratio="f"/>
                    </v:rect>
                  </w:pict>
                </mc:Fallback>
              </mc:AlternateContent>
            </w:r>
            <w:r>
              <w:rPr>
                <w:rFonts w:hint="eastAsia"/>
                <w:kern w:val="2"/>
              </w:rPr>
              <w:fldChar w:fldCharType="begin">
                <w:ffData>
                  <w:name w:val="DT"/>
                  <w:enabled/>
                  <w:calcOnExit w:val="0"/>
                  <w:entryMacro w:val="ShowHelp4"/>
                  <w:textInput/>
                </w:ffData>
              </w:fldChar>
            </w:r>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3"/>
          </w:p>
        </w:tc>
      </w:tr>
    </w:tbl>
    <w:p w14:paraId="317B7E25">
      <w:pPr>
        <w:pStyle w:val="25"/>
        <w:framePr w:wrap="around"/>
        <w:ind w:left="1260" w:hanging="420"/>
        <w:rPr>
          <w:rFonts w:hAnsi="黑体"/>
        </w:rPr>
      </w:pPr>
    </w:p>
    <w:p w14:paraId="45742B39">
      <w:pPr>
        <w:pStyle w:val="25"/>
        <w:framePr w:wrap="around"/>
        <w:ind w:left="1260" w:hanging="420"/>
        <w:rPr>
          <w:rFonts w:hAnsi="黑体"/>
        </w:rPr>
      </w:pPr>
    </w:p>
    <w:p w14:paraId="08B84F91">
      <w:pPr>
        <w:pStyle w:val="27"/>
        <w:framePr w:wrap="around" w:x="1424" w:y="5639"/>
      </w:pPr>
      <w:r>
        <w:rPr>
          <w:rFonts w:hint="eastAsia" w:hAnsi="宋体"/>
          <w:bCs/>
          <w:szCs w:val="52"/>
        </w:rPr>
        <w:t>碳普惠项目减排量核算技术规范 低碳</w:t>
      </w:r>
      <w:r>
        <w:rPr>
          <w:rFonts w:hint="eastAsia" w:hAnsi="宋体"/>
          <w:bCs/>
          <w:szCs w:val="52"/>
          <w:lang w:val="en-US" w:eastAsia="zh-CN"/>
        </w:rPr>
        <w:t>出行</w:t>
      </w:r>
    </w:p>
    <w:p w14:paraId="3E8056A3">
      <w:pPr>
        <w:pStyle w:val="28"/>
        <w:framePr w:wrap="around" w:x="1424" w:y="5639"/>
      </w:pPr>
      <w:r>
        <w:rPr>
          <w:rFonts w:hint="default" w:ascii="Times New Roman" w:hAnsi="Times New Roman" w:eastAsia="Times New Roman" w:cs="Times New Roman"/>
          <w:sz w:val="28"/>
          <w:szCs w:val="28"/>
        </w:rPr>
        <w:t xml:space="preserve">Technical </w:t>
      </w:r>
      <w:r>
        <w:rPr>
          <w:rFonts w:hint="eastAsia" w:eastAsia="宋体" w:cs="Times New Roman"/>
          <w:sz w:val="28"/>
          <w:szCs w:val="28"/>
          <w:lang w:val="en-US" w:eastAsia="zh-CN"/>
        </w:rPr>
        <w:t xml:space="preserve">Guide </w:t>
      </w:r>
      <w:r>
        <w:rPr>
          <w:rFonts w:hint="default" w:ascii="Times New Roman" w:hAnsi="Times New Roman" w:eastAsia="Times New Roman" w:cs="Times New Roman"/>
          <w:sz w:val="28"/>
          <w:szCs w:val="28"/>
        </w:rPr>
        <w:t xml:space="preserve">for </w:t>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I</w:t>
      </w:r>
      <w:r>
        <w:rPr>
          <w:rFonts w:hint="default" w:ascii="Times New Roman" w:hAnsi="Times New Roman" w:eastAsia="Times New Roman" w:cs="Times New Roman"/>
          <w:sz w:val="28"/>
          <w:szCs w:val="28"/>
        </w:rPr>
        <w:t xml:space="preserve">nclusive </w:t>
      </w:r>
      <w:r>
        <w:rPr>
          <w:rFonts w:hint="eastAsia" w:eastAsia="宋体" w:cs="Times New Roman"/>
          <w:sz w:val="28"/>
          <w:szCs w:val="28"/>
          <w:lang w:val="en-US" w:eastAsia="zh-CN"/>
        </w:rPr>
        <w:t>P</w:t>
      </w:r>
      <w:r>
        <w:rPr>
          <w:rFonts w:hint="default" w:ascii="Times New Roman" w:hAnsi="Times New Roman" w:eastAsia="Times New Roman" w:cs="Times New Roman"/>
          <w:sz w:val="28"/>
          <w:szCs w:val="28"/>
        </w:rPr>
        <w:t xml:space="preserve">rojects of </w:t>
      </w:r>
      <w:r>
        <w:rPr>
          <w:rFonts w:hint="default" w:ascii="Times New Roman" w:hAnsi="Times New Roman" w:eastAsia="Times New Roman" w:cs="Times New Roman"/>
          <w:sz w:val="28"/>
          <w:szCs w:val="28"/>
        </w:rPr>
        <w:br w:type="textWrapping"/>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E</w:t>
      </w:r>
      <w:r>
        <w:rPr>
          <w:rFonts w:hint="default" w:ascii="Times New Roman" w:hAnsi="Times New Roman" w:eastAsia="Times New Roman" w:cs="Times New Roman"/>
          <w:sz w:val="28"/>
          <w:szCs w:val="28"/>
        </w:rPr>
        <w:t xml:space="preserve">mission </w:t>
      </w:r>
      <w:r>
        <w:rPr>
          <w:rFonts w:hint="eastAsia" w:eastAsia="宋体" w:cs="Times New Roman"/>
          <w:sz w:val="28"/>
          <w:szCs w:val="28"/>
          <w:lang w:val="en-US" w:eastAsia="zh-CN"/>
        </w:rPr>
        <w:t>R</w:t>
      </w:r>
      <w:r>
        <w:rPr>
          <w:rFonts w:hint="default" w:ascii="Times New Roman" w:hAnsi="Times New Roman" w:eastAsia="Times New Roman" w:cs="Times New Roman"/>
          <w:sz w:val="28"/>
          <w:szCs w:val="28"/>
        </w:rPr>
        <w:t>eduction</w:t>
      </w:r>
      <w:r>
        <w:rPr>
          <w:rFonts w:hint="eastAsia" w:ascii="Times New Roman" w:hAnsi="Times New Roman" w:eastAsia="宋体" w:cs="Times New Roman"/>
          <w:sz w:val="28"/>
          <w:szCs w:val="28"/>
          <w:lang w:val="en-US" w:eastAsia="zh-CN"/>
        </w:rPr>
        <w:t xml:space="preserve"> </w:t>
      </w:r>
      <w:r>
        <w:rPr>
          <w:rFonts w:hint="eastAsia" w:eastAsia="宋体" w:cs="Times New Roman"/>
          <w:sz w:val="28"/>
          <w:szCs w:val="28"/>
          <w:lang w:val="en-US" w:eastAsia="zh-CN"/>
        </w:rPr>
        <w:t>A</w:t>
      </w:r>
      <w:r>
        <w:rPr>
          <w:rFonts w:hint="default" w:ascii="Times New Roman" w:hAnsi="Times New Roman" w:eastAsia="Times New Roman" w:cs="Times New Roman"/>
          <w:sz w:val="28"/>
          <w:szCs w:val="28"/>
        </w:rPr>
        <w:t>ccounting</w:t>
      </w:r>
      <w:r>
        <w:rPr>
          <w:rFonts w:hint="eastAsia" w:ascii="Times New Roman" w:hAnsi="Times New Roman" w:eastAsia="宋体" w:cs="Times New Roman"/>
          <w:sz w:val="28"/>
          <w:szCs w:val="28"/>
          <w:lang w:val="en-US" w:eastAsia="zh-CN"/>
        </w:rPr>
        <w:t>:</w:t>
      </w:r>
      <w:r>
        <w:rPr>
          <w:rFonts w:hint="default" w:ascii="Times New Roman" w:hAnsi="Times New Roman" w:eastAsia="Times New Roman" w:cs="Times New Roman"/>
          <w:sz w:val="28"/>
          <w:szCs w:val="28"/>
        </w:rPr>
        <w:br w:type="textWrapping"/>
      </w:r>
      <w:r>
        <w:rPr>
          <w:rFonts w:hint="eastAsia" w:cs="Times New Roman"/>
          <w:sz w:val="28"/>
          <w:szCs w:val="28"/>
          <w:lang w:val="en-US" w:eastAsia="zh-CN"/>
        </w:rPr>
        <w:t>L</w:t>
      </w:r>
      <w:r>
        <w:rPr>
          <w:rFonts w:hint="default" w:ascii="Times New Roman" w:hAnsi="Times New Roman" w:eastAsia="Times New Roman" w:cs="Times New Roman"/>
          <w:sz w:val="28"/>
          <w:szCs w:val="28"/>
        </w:rPr>
        <w:t xml:space="preserve">ow-carbon </w:t>
      </w:r>
      <w:r>
        <w:rPr>
          <w:rFonts w:hint="eastAsia" w:eastAsia="宋体" w:cs="Times New Roman"/>
          <w:sz w:val="28"/>
          <w:szCs w:val="28"/>
          <w:lang w:val="en-US" w:eastAsia="zh-CN"/>
        </w:rPr>
        <w:t>T</w:t>
      </w:r>
      <w:r>
        <w:rPr>
          <w:rFonts w:hint="default" w:ascii="Times New Roman" w:hAnsi="Times New Roman" w:eastAsia="Times New Roman" w:cs="Times New Roman"/>
          <w:sz w:val="28"/>
          <w:szCs w:val="28"/>
        </w:rPr>
        <w:t>raveling</w:t>
      </w:r>
    </w:p>
    <w:tbl>
      <w:tblPr>
        <w:tblStyle w:val="1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14:paraId="7C281CEB">
        <w:tc>
          <w:tcPr>
            <w:tcW w:w="9855" w:type="dxa"/>
            <w:tcBorders>
              <w:top w:val="nil"/>
              <w:left w:val="nil"/>
              <w:bottom w:val="nil"/>
              <w:right w:val="nil"/>
            </w:tcBorders>
          </w:tcPr>
          <w:p w14:paraId="5F12154C">
            <w:pPr>
              <w:pStyle w:val="29"/>
              <w:framePr w:wrap="around" w:x="1424" w:y="5639"/>
            </w:pPr>
            <w:r>
              <w:rPr>
                <w:rFonts w:hint="eastAsia"/>
              </w:rPr>
              <w:t>（草案稿）</w:t>
            </w:r>
          </w:p>
        </w:tc>
      </w:tr>
      <w:tr w14:paraId="7C3ABD7A">
        <w:tc>
          <w:tcPr>
            <w:tcW w:w="9855" w:type="dxa"/>
            <w:tcBorders>
              <w:top w:val="nil"/>
              <w:left w:val="nil"/>
              <w:bottom w:val="nil"/>
              <w:right w:val="nil"/>
            </w:tcBorders>
          </w:tcPr>
          <w:p w14:paraId="09BF63D5">
            <w:pPr>
              <w:pStyle w:val="30"/>
              <w:framePr w:wrap="around" w:x="1424" w:y="5639"/>
            </w:pPr>
          </w:p>
        </w:tc>
      </w:tr>
    </w:tbl>
    <w:p w14:paraId="7CE3AED8">
      <w:pPr>
        <w:pStyle w:val="31"/>
        <w:framePr w:wrap="around" w:hAnchor="page" w:x="1351" w:y="14121"/>
      </w:pPr>
      <w:bookmarkStart w:id="4"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4"/>
      <w:r>
        <w:rPr>
          <w:rFonts w:ascii="黑体"/>
        </w:rPr>
        <w:t>–</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r>
        <w:rPr>
          <w:rFonts w:ascii="黑体"/>
        </w:rPr>
        <w:t>-</w:t>
      </w:r>
      <w:r>
        <w:rPr>
          <w:rFonts w:hint="eastAsia" w:ascii="黑体"/>
        </w:rPr>
        <w:t>XX</w:t>
      </w:r>
      <w:r>
        <w:rPr>
          <w:rFonts w:hint="eastAsia"/>
        </w:rPr>
        <w:t>发布</w:t>
      </w:r>
      <w:r>
        <mc:AlternateContent>
          <mc:Choice Requires="wps">
            <w:drawing>
              <wp:anchor distT="0" distB="0" distL="114300" distR="114300" simplePos="0" relativeHeight="251665408" behindDoc="0" locked="1" layoutInCell="1" allowOverlap="1">
                <wp:simplePos x="0" y="0"/>
                <wp:positionH relativeFrom="column">
                  <wp:posOffset>-635</wp:posOffset>
                </wp:positionH>
                <wp:positionV relativeFrom="page">
                  <wp:posOffset>9251950</wp:posOffset>
                </wp:positionV>
                <wp:extent cx="6120130" cy="0"/>
                <wp:effectExtent l="0" t="4445" r="4445" b="5080"/>
                <wp:wrapNone/>
                <wp:docPr id="3" name="直线 10"/>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0" o:spid="_x0000_s1026" o:spt="20" style="position:absolute;left:0pt;margin-left:-0.05pt;margin-top:728.5pt;height:0pt;width:481.9pt;mso-position-vertical-relative:page;z-index:251665408;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NfSgmjcAQAAsAMAAA4AAABkcnMvZTJvRG9jLnhtbK1TS24b&#10;MQzdF+gdBO3rsR0kaAceZ2Ej3aStgaQHoDUaj1BJFETZY5+l1+iqmx4n1yglf5qmmyw6C0EUyUe+&#10;R87sdu+s2OlIBn0jJ6OxFNorbI3fNPLr492791JQAt+CRa8bedAkb+dv38yGUOsp9mhbHQWDeKqH&#10;0Mg+pVBXFaleO6ARBu3Z2WF0kNiMm6qNMDC6s9V0PL6pBoxtiKg0Eb8uj055QoyvAcSuM0ovUW2d&#10;9umIGrWFxJSoN4HkvHTbdVqlL11HOgnbSGaayslF+L7OZzWfQb2JEHqjTi3Aa1p4wcmB8Vz0ArWE&#10;BGIbzT9QzqiIhF0aKXTVkUhRhFlMxi+0eegh6MKFpaZwEZ3+H6z6vFtFYdpGXknhwfHAn77/ePr5&#10;S0yKOEOgmmMWfhUzPbX3D+Ee1TcSHhc9+I0uTT4eAmdOspzVXynZoMAl1sMnbDkGtgmLUvsuugzJ&#10;Goh9GcjhMhC9T0Lx482EVbniWamzr4L6nBgipY8anciXRlrjs1ZQw+6eUm4E6nNIfvZ4Z6wt87Ze&#10;DI38cD29LgmE1rTZmcMobtYLG8UO8saUr7Biz/OwiFvfHotYn/N0WbZT5TPrvIZUr7E9rOJZGh5k&#10;6e20dHlTnttFwD8/2vw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YdrPNYAAAALAQAADwAAAAAA&#10;AAABACAAAAAiAAAAZHJzL2Rvd25yZXYueG1sUEsBAhQAFAAAAAgAh07iQNfSgmjcAQAAsAMAAA4A&#10;AAAAAAAAAQAgAAAAJQEAAGRycy9lMm9Eb2MueG1sUEsFBgAAAAAGAAYAWQEAAHMFAAAAAA==&#10;">
                <v:fill on="f" focussize="0,0"/>
                <v:stroke color="#000000" joinstyle="round"/>
                <v:imagedata o:title=""/>
                <o:lock v:ext="edit" aspectratio="f"/>
                <w10:anchorlock/>
              </v:line>
            </w:pict>
          </mc:Fallback>
        </mc:AlternateContent>
      </w:r>
    </w:p>
    <w:p w14:paraId="4D23A8AB">
      <w:pPr>
        <w:pStyle w:val="32"/>
        <w:framePr w:wrap="around" w:hAnchor="page" w:x="6921" w:y="14151"/>
      </w:pPr>
      <w:bookmarkStart w:id="5"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5"/>
      <w:r>
        <w:rPr>
          <w:rFonts w:ascii="黑体"/>
        </w:rPr>
        <w:t>–</w:t>
      </w:r>
      <w:bookmarkStart w:id="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6"/>
      <w:r>
        <w:rPr>
          <w:rFonts w:ascii="黑体"/>
        </w:rPr>
        <w:t>-</w:t>
      </w:r>
      <w:r>
        <w:rPr>
          <w:rFonts w:hint="eastAsia" w:ascii="楷体" w:hAnsi="楷体" w:eastAsia="楷体"/>
        </w:rPr>
        <w:t>XX</w:t>
      </w:r>
      <w:r>
        <w:rPr>
          <w:rFonts w:hint="eastAsia"/>
        </w:rPr>
        <w:t>实施</w:t>
      </w:r>
    </w:p>
    <w:p w14:paraId="40A6506A">
      <w:pPr>
        <w:pStyle w:val="33"/>
        <w:framePr w:wrap="around"/>
      </w:pPr>
      <w:r>
        <w:rPr>
          <w:rFonts w:hint="eastAsia" w:ascii="Times New Roman"/>
          <w:spacing w:val="-1"/>
          <w:lang w:eastAsia="zh-CN"/>
        </w:rPr>
        <w:t>深圳市绿色低碳科技促进会</w:t>
      </w:r>
      <w:r>
        <w:rPr>
          <w:rFonts w:hint="eastAsia" w:ascii="MS Mincho" w:hAnsi="MS Mincho" w:eastAsia="MS Mincho" w:cs="MS Mincho"/>
        </w:rPr>
        <w:t>   </w:t>
      </w:r>
      <w:r>
        <w:rPr>
          <w:rStyle w:val="34"/>
          <w:rFonts w:hint="eastAsia"/>
        </w:rPr>
        <w:t>发布</w:t>
      </w:r>
    </w:p>
    <w:p w14:paraId="0F701D07">
      <w:pPr>
        <w:pStyle w:val="35"/>
        <w:sectPr>
          <w:headerReference r:id="rId5" w:type="even"/>
          <w:footerReference r:id="rId6" w:type="even"/>
          <w:pgSz w:w="11906" w:h="16838"/>
          <w:pgMar w:top="567" w:right="1134" w:bottom="1134" w:left="1418" w:header="0" w:footer="0" w:gutter="0"/>
          <w:pgNumType w:fmt="upperRoman" w:start="1"/>
          <w:cols w:space="720" w:num="1"/>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margin">
                  <wp:posOffset>0</wp:posOffset>
                </wp:positionH>
                <wp:positionV relativeFrom="paragraph">
                  <wp:posOffset>8949055</wp:posOffset>
                </wp:positionV>
                <wp:extent cx="6120130" cy="0"/>
                <wp:effectExtent l="0" t="4445" r="4445" b="5080"/>
                <wp:wrapNone/>
                <wp:docPr id="916456363"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pt;margin-top:704.65pt;height:0pt;width:481.9pt;mso-position-horizontal-relative:margin;z-index:251667456;mso-width-relative:page;mso-height-relative:page;" filled="f" stroked="t" coordsize="21600,21600" o:gfxdata="UEsDBAoAAAAAAIdO4kAAAAAAAAAAAAAAAAAEAAAAZHJzL1BLAwQUAAAACACHTuJAFR4/B9UAAAAK&#10;AQAADwAAAGRycy9kb3ducmV2LnhtbE2PzU7DMBCE70i8g7VIXCpqt0FVG+L0AOTGhQLqdRsvSUS8&#10;TmP3B56e5YDguDOj2fmK9dn36khj7AJbmE0NKOI6uI4bC68v1c0SVEzIDvvAZOGTIqzLy4sCcxdO&#10;/EzHTWqUlHDM0UKb0pBrHeuWPMZpGIjFew+jxyTn2Gg34knKfa/nxiy0x47lQ4sD3bdUf2wO3kKs&#10;3mhffU3qidlmTaD5/uHpEa29vpqZO1CJzukvDD/zZTqUsmkXDuyi6i0ISBL11qwyUOKvFpmg7H4l&#10;XRb6P0L5DVBLAwQUAAAACACHTuJAUwtODOIBAAC4AwAADgAAAGRycy9lMm9Eb2MueG1srVNLbtsw&#10;EN0X6B0I7mtZdm20guUsbKSbtDWQ5AA0RUlESQ7BoS37LL1GV930OLlGh/SnTbrJoloQ5HzezHsz&#10;WtwcrGF7FVCDq3k5GnOmnIRGu67mjw+37z5whlG4RhhwquZHhfxm+fbNYvCVmkAPplGBEYjDavA1&#10;72P0VVGg7JUVOAKvHDlbCFZEeoauaIIYCN2aYjIez4sBQuMDSIVI1vXJyc+I4TWA0LZaqjXInVUu&#10;nlCDMiISJey1R77M3batkvFr26KKzNScmMZ8UhG6b9NZLBei6oLwvZbnFsRrWnjByQrtqOgVai2i&#10;YLug/4GyWgZAaONIgi1ORLIixKIcv9DmvhdeZS4kNfqr6Pj/YOWX/SYw3dT8Yzl/P5tP51POnLA0&#10;+KfvP55+/mJlmUQaPFYUu3KbkGjKg7v3dyC/IXOw6oXrVG724egpM2cUz1LSAz2V2g6foaEYsYuQ&#10;FTu0wSZI0oId8mCO18GoQ2SSjPOS1JnSzOTFV4jqkugDxk8KLEuXmhvtkmaiEvs7jNQ6hV5CktnB&#10;rTYmz904NhDx2WSWExCMbpIzhWHotisT2F6kzclf0oHAnoUF2LnmZDcu5am8dOfKF9Yn/bbQHDch&#10;BSc7DTTDnZcvbczf7xz154db/g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VHj8H1QAAAAoBAAAP&#10;AAAAAAAAAAEAIAAAACIAAABkcnMvZG93bnJldi54bWxQSwECFAAUAAAACACHTuJAUwtODOIBAAC4&#10;AwAADgAAAAAAAAABACAAAAAk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-635</wp:posOffset>
                </wp:positionH>
                <wp:positionV relativeFrom="paragraph">
                  <wp:posOffset>2339975</wp:posOffset>
                </wp:positionV>
                <wp:extent cx="6120130" cy="0"/>
                <wp:effectExtent l="0" t="4445" r="4445" b="5080"/>
                <wp:wrapNone/>
                <wp:docPr id="4"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05pt;margin-top:184.25pt;height:0pt;width:481.9pt;z-index:251666432;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DYsEuv2wEAALADAAAOAAAAZHJzL2Uyb0RvYy54bWytU8Fu&#10;2zAMvQ/YPwi6L46ztdiMOD0k6C7dFqDdByiybAuTREFUYudb9hs77bLP6W+MkpNs7S49zAdBIh8f&#10;yUd6eTNaww4qoAZX83I250w5CY12Xc2/Pty+ec8ZRuEaYcCpmh8V8pvV61fLwVdqAT2YRgVGJA6r&#10;wde8j9FXRYGyV1bgDLxy5GwhWBHpGbqiCWIgdmuKxXx+XQwQGh9AKkSybiYnPzGGlxBC22qpNiD3&#10;Vrk4sQZlRKSWsNce+SpX27ZKxi9tiyoyU3PqNOaTktB9l85itRRVF4TvtTyVIF5SwrOerNCOkl6o&#10;NiIKtg/6HyqrZQCENs4k2GJqJCtCXZTzZ9rc98Kr3AtJjf4iOv4/Wvn5sA1MNzV/x5kTlgb++P3H&#10;489frCyTOIPHijBrtw2pPTm6e38H8hsyB+teuE7lIh+OniJzRPEkJD3QU4rd8Akawoh9hKzU2Aab&#10;KEkDNuaBHC8DUWNkkozXJanylmYlz75CVOdAHzB+VGBZutTcaJe0EpU43GGk0gl6hiSzg1ttTJ63&#10;cWyo+YerxVUOQDC6Sc4Ew9Dt1iawg0gbk7+kA5E9gQXYu2ayG5fiVF62U+Zz15N+O2iO25DAyU6D&#10;zHSnpUub8vc7o/78aK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QkHiX9cAAAAJAQAADwAAAAAA&#10;AAABACAAAAAiAAAAZHJzL2Rvd25yZXYueG1sUEsBAhQAFAAAAAgAh07iQNiwS6/bAQAAsAMAAA4A&#10;AAAAAAAAAQAgAAAAJgEAAGRycy9lMm9Eb2MueG1sUEsFBgAAAAAGAAYAWQEAAHMFAAAAAA==&#10;">
                <v:fill on="f" focussize="0,0"/>
                <v:stroke color="#000000" joinstyle="round"/>
                <v:imagedata o:title=""/>
                <o:lock v:ext="edit" aspectratio="f"/>
              </v:line>
            </w:pict>
          </mc:Fallback>
        </mc:AlternateContent>
      </w:r>
    </w:p>
    <w:p w14:paraId="0F18F69B">
      <w:pPr>
        <w:pStyle w:val="36"/>
        <w:kinsoku/>
        <w:autoSpaceDE/>
        <w:autoSpaceDN/>
        <w:adjustRightInd/>
        <w:snapToGrid/>
        <w:ind w:firstLine="0" w:firstLineChars="0"/>
        <w:textAlignment w:val="auto"/>
        <w:rPr>
          <w:rFonts w:hint="default" w:hAnsi="Times New Roman"/>
          <w:snapToGrid/>
          <w:lang w:eastAsia="zh-CN"/>
        </w:rPr>
      </w:pPr>
      <w:bookmarkStart w:id="7" w:name="_Toc16227"/>
      <w:bookmarkStart w:id="8" w:name="_Toc5489"/>
      <w:r>
        <w:rPr>
          <w:rFonts w:hint="default" w:hAnsi="Times New Roman"/>
          <w:snapToGrid/>
          <w:lang w:eastAsia="zh-CN"/>
        </w:rPr>
        <w:t>目    次</w:t>
      </w:r>
      <w:bookmarkEnd w:id="7"/>
      <w:bookmarkEnd w:id="8"/>
    </w:p>
    <w:sdt>
      <w:sdtPr>
        <w:rPr>
          <w:rFonts w:hint="default" w:ascii="Times New Roman" w:hAnsi="Times New Roman" w:eastAsia="宋体" w:cs="Times New Roman"/>
          <w:snapToGrid w:val="0"/>
          <w:color w:val="000000"/>
          <w:kern w:val="0"/>
          <w:sz w:val="21"/>
          <w:szCs w:val="21"/>
          <w:lang w:val="en-US" w:eastAsia="en-US" w:bidi="ar-SA"/>
        </w:rPr>
        <w:id w:val="147456940"/>
        <w15:color w:val="DBDBDB"/>
        <w:docPartObj>
          <w:docPartGallery w:val="Table of Contents"/>
          <w:docPartUnique/>
        </w:docPartObj>
      </w:sdtPr>
      <w:sdtEndPr>
        <w:rPr>
          <w:rFonts w:hint="default" w:ascii="Times New Roman" w:hAnsi="Times New Roman" w:eastAsia="宋体" w:cs="Times New Roman"/>
          <w:snapToGrid w:val="0"/>
          <w:color w:val="000000"/>
          <w:kern w:val="0"/>
          <w:sz w:val="21"/>
          <w:szCs w:val="21"/>
          <w:lang w:val="en-US" w:eastAsia="en-US" w:bidi="ar-SA"/>
        </w:rPr>
      </w:sdtEndPr>
      <w:sdtContent>
        <w:p w14:paraId="76426934">
          <w:pPr>
            <w:spacing w:before="0" w:beforeLines="0" w:after="0" w:afterLines="0" w:line="240" w:lineRule="auto"/>
            <w:ind w:left="0" w:leftChars="0" w:right="0" w:rightChars="0" w:firstLine="0" w:firstLineChars="0"/>
            <w:jc w:val="center"/>
            <w:rPr>
              <w:rFonts w:hint="default" w:ascii="Times New Roman" w:hAnsi="Times New Roman" w:cs="Times New Roman"/>
            </w:rPr>
          </w:pPr>
        </w:p>
        <w:p w14:paraId="058B566E">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TOC \o "1-1" \h \u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_Toc12406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1  范围</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_Toc12406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1</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5A13810D">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_Toc27799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2  规范性引用文件</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_Toc27799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1</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7A3FACDB">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_Toc8803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3  术语和定义</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_Toc8803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1</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56AEB97A">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_Toc24675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4  基本要求</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_Toc24675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2</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7C4172CB">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_Toc28265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5  温室气体种类、项目边界和计入期</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_Toc28265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2</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2F3DA639">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_Toc31162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6  核算方法</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_Toc31162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2</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64407797">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_Toc20304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7  数据监测与管理</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_Toc20304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3</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7EB4F1EA">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_Toc24800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附</w:t>
          </w:r>
          <w:r>
            <w:rPr>
              <w:rStyle w:val="19"/>
              <w:rFonts w:hint="eastAsia" w:ascii="Times New Roman" w:hAnsi="宋体" w:eastAsia="宋体" w:cs="Times New Roman"/>
              <w:snapToGrid/>
              <w:kern w:val="2"/>
              <w:lang w:val="en-US" w:eastAsia="zh-CN"/>
            </w:rPr>
            <w:t xml:space="preserve"> </w:t>
          </w:r>
          <w:r>
            <w:rPr>
              <w:rStyle w:val="19"/>
              <w:rFonts w:hint="eastAsia" w:ascii="Times New Roman" w:hAnsi="宋体" w:eastAsia="宋体" w:cs="Times New Roman"/>
              <w:snapToGrid/>
              <w:kern w:val="2"/>
              <w:lang w:eastAsia="zh-CN"/>
            </w:rPr>
            <w:t>录</w:t>
          </w:r>
          <w:r>
            <w:rPr>
              <w:rStyle w:val="19"/>
              <w:rFonts w:hint="eastAsia" w:ascii="Times New Roman" w:hAnsi="宋体" w:eastAsia="宋体" w:cs="Times New Roman"/>
              <w:snapToGrid/>
              <w:kern w:val="2"/>
              <w:lang w:val="en-US" w:eastAsia="zh-CN"/>
            </w:rPr>
            <w:t xml:space="preserve"> </w:t>
          </w:r>
          <w:r>
            <w:rPr>
              <w:rStyle w:val="19"/>
              <w:rFonts w:hint="eastAsia" w:ascii="Times New Roman" w:hAnsi="宋体" w:eastAsia="宋体" w:cs="Times New Roman"/>
              <w:snapToGrid/>
              <w:kern w:val="2"/>
              <w:lang w:eastAsia="zh-CN"/>
            </w:rPr>
            <w:t>A（规范性）</w:t>
          </w:r>
          <w:r>
            <w:rPr>
              <w:rStyle w:val="19"/>
              <w:rFonts w:hint="eastAsia" w:ascii="Times New Roman" w:hAnsi="宋体" w:eastAsia="宋体" w:cs="Times New Roman"/>
              <w:snapToGrid/>
              <w:kern w:val="2"/>
              <w:lang w:val="en-US" w:eastAsia="zh-CN"/>
            </w:rPr>
            <w:t>参数</w:t>
          </w:r>
          <w:r>
            <w:rPr>
              <w:rStyle w:val="19"/>
              <w:rFonts w:hint="eastAsia" w:ascii="Times New Roman" w:hAnsi="宋体" w:eastAsia="宋体" w:cs="Times New Roman"/>
              <w:snapToGrid/>
              <w:kern w:val="2"/>
              <w:lang w:eastAsia="zh-CN"/>
            </w:rPr>
            <w:t>计算方法</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_Toc24800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5</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2C1BD7A9">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_Toc19046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附</w:t>
          </w:r>
          <w:r>
            <w:rPr>
              <w:rStyle w:val="19"/>
              <w:rFonts w:hint="eastAsia" w:ascii="Times New Roman" w:hAnsi="宋体" w:eastAsia="宋体" w:cs="Times New Roman"/>
              <w:snapToGrid/>
              <w:kern w:val="2"/>
              <w:lang w:val="en-US" w:eastAsia="zh-CN"/>
            </w:rPr>
            <w:t xml:space="preserve"> </w:t>
          </w:r>
          <w:r>
            <w:rPr>
              <w:rStyle w:val="19"/>
              <w:rFonts w:hint="eastAsia" w:ascii="Times New Roman" w:hAnsi="宋体" w:eastAsia="宋体" w:cs="Times New Roman"/>
              <w:snapToGrid/>
              <w:kern w:val="2"/>
              <w:lang w:eastAsia="zh-CN"/>
            </w:rPr>
            <w:t>录</w:t>
          </w:r>
          <w:r>
            <w:rPr>
              <w:rStyle w:val="19"/>
              <w:rFonts w:hint="eastAsia" w:ascii="Times New Roman" w:hAnsi="宋体" w:eastAsia="宋体" w:cs="Times New Roman"/>
              <w:snapToGrid/>
              <w:kern w:val="2"/>
              <w:lang w:val="en-US" w:eastAsia="zh-CN"/>
            </w:rPr>
            <w:t xml:space="preserve"> </w:t>
          </w:r>
          <w:r>
            <w:rPr>
              <w:rStyle w:val="19"/>
              <w:rFonts w:hint="eastAsia" w:ascii="Times New Roman" w:hAnsi="宋体" w:eastAsia="宋体" w:cs="Times New Roman"/>
              <w:snapToGrid/>
              <w:kern w:val="2"/>
              <w:lang w:eastAsia="zh-CN"/>
            </w:rPr>
            <w:t>B（规范性）需要监测的数据及来源</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_Toc19046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7</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3748B5A2">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_Toc29605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附</w:t>
          </w:r>
          <w:r>
            <w:rPr>
              <w:rStyle w:val="19"/>
              <w:rFonts w:hint="eastAsia" w:ascii="Times New Roman" w:hAnsi="宋体" w:eastAsia="宋体" w:cs="Times New Roman"/>
              <w:snapToGrid/>
              <w:kern w:val="2"/>
              <w:lang w:val="en-US" w:eastAsia="zh-CN"/>
            </w:rPr>
            <w:t xml:space="preserve"> </w:t>
          </w:r>
          <w:r>
            <w:rPr>
              <w:rStyle w:val="19"/>
              <w:rFonts w:hint="eastAsia" w:ascii="Times New Roman" w:hAnsi="宋体" w:eastAsia="宋体" w:cs="Times New Roman"/>
              <w:snapToGrid/>
              <w:kern w:val="2"/>
              <w:lang w:eastAsia="zh-CN"/>
            </w:rPr>
            <w:t>录</w:t>
          </w:r>
          <w:r>
            <w:rPr>
              <w:rStyle w:val="19"/>
              <w:rFonts w:hint="eastAsia" w:ascii="Times New Roman" w:hAnsi="宋体" w:eastAsia="宋体" w:cs="Times New Roman"/>
              <w:snapToGrid/>
              <w:kern w:val="2"/>
              <w:lang w:val="en-US" w:eastAsia="zh-CN"/>
            </w:rPr>
            <w:t xml:space="preserve"> C</w:t>
          </w:r>
          <w:r>
            <w:rPr>
              <w:rStyle w:val="19"/>
              <w:rFonts w:hint="eastAsia" w:ascii="Times New Roman" w:hAnsi="宋体" w:eastAsia="宋体" w:cs="Times New Roman"/>
              <w:snapToGrid/>
              <w:kern w:val="2"/>
              <w:lang w:eastAsia="zh-CN"/>
            </w:rPr>
            <w:t>（规范性）</w:t>
          </w:r>
          <w:r>
            <w:rPr>
              <w:rStyle w:val="19"/>
              <w:rFonts w:hint="eastAsia" w:ascii="Times New Roman" w:hAnsi="宋体" w:eastAsia="宋体" w:cs="Times New Roman"/>
              <w:snapToGrid/>
              <w:kern w:val="2"/>
              <w:lang w:val="en-US" w:eastAsia="zh-CN"/>
            </w:rPr>
            <w:t>不</w:t>
          </w:r>
          <w:r>
            <w:rPr>
              <w:rStyle w:val="19"/>
              <w:rFonts w:hint="eastAsia" w:ascii="Times New Roman" w:hAnsi="宋体" w:eastAsia="宋体" w:cs="Times New Roman"/>
              <w:snapToGrid/>
              <w:kern w:val="2"/>
              <w:lang w:eastAsia="zh-CN"/>
            </w:rPr>
            <w:t>需要监测的数据及来源</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_Toc29605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8</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4983A93E">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9"/>
              <w:rFonts w:hint="eastAsia" w:ascii="Times New Roman" w:hAnsi="宋体" w:eastAsia="宋体" w:cs="Times New Roman"/>
              <w:snapToGrid/>
              <w:kern w:val="2"/>
              <w:lang w:eastAsia="zh-CN"/>
            </w:rPr>
          </w:pP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HYPERLINK \l _Toc17703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参  考  文  献</w:t>
          </w:r>
          <w:r>
            <w:rPr>
              <w:rStyle w:val="19"/>
              <w:rFonts w:hint="eastAsia" w:ascii="Times New Roman" w:hAnsi="宋体" w:eastAsia="宋体" w:cs="Times New Roman"/>
              <w:snapToGrid/>
              <w:kern w:val="2"/>
              <w:lang w:eastAsia="zh-CN"/>
            </w:rPr>
            <w:tab/>
          </w:r>
          <w:r>
            <w:rPr>
              <w:rStyle w:val="19"/>
              <w:rFonts w:hint="eastAsia" w:ascii="Times New Roman" w:hAnsi="宋体" w:eastAsia="宋体" w:cs="Times New Roman"/>
              <w:snapToGrid/>
              <w:kern w:val="2"/>
              <w:lang w:eastAsia="zh-CN"/>
            </w:rPr>
            <w:fldChar w:fldCharType="begin"/>
          </w:r>
          <w:r>
            <w:rPr>
              <w:rStyle w:val="19"/>
              <w:rFonts w:hint="eastAsia" w:ascii="Times New Roman" w:hAnsi="宋体" w:eastAsia="宋体" w:cs="Times New Roman"/>
              <w:snapToGrid/>
              <w:kern w:val="2"/>
              <w:lang w:eastAsia="zh-CN"/>
            </w:rPr>
            <w:instrText xml:space="preserve"> PAGEREF _Toc17703 \h </w:instrText>
          </w:r>
          <w:r>
            <w:rPr>
              <w:rStyle w:val="19"/>
              <w:rFonts w:hint="eastAsia" w:ascii="Times New Roman" w:hAnsi="宋体" w:eastAsia="宋体" w:cs="Times New Roman"/>
              <w:snapToGrid/>
              <w:kern w:val="2"/>
              <w:lang w:eastAsia="zh-CN"/>
            </w:rPr>
            <w:fldChar w:fldCharType="separate"/>
          </w:r>
          <w:r>
            <w:rPr>
              <w:rStyle w:val="19"/>
              <w:rFonts w:hint="eastAsia" w:ascii="Times New Roman" w:hAnsi="宋体" w:eastAsia="宋体" w:cs="Times New Roman"/>
              <w:snapToGrid/>
              <w:kern w:val="2"/>
              <w:lang w:eastAsia="zh-CN"/>
            </w:rPr>
            <w:t>10</w:t>
          </w:r>
          <w:r>
            <w:rPr>
              <w:rStyle w:val="19"/>
              <w:rFonts w:hint="eastAsia" w:ascii="Times New Roman" w:hAnsi="宋体" w:eastAsia="宋体" w:cs="Times New Roman"/>
              <w:snapToGrid/>
              <w:kern w:val="2"/>
              <w:lang w:eastAsia="zh-CN"/>
            </w:rPr>
            <w:fldChar w:fldCharType="end"/>
          </w:r>
          <w:r>
            <w:rPr>
              <w:rStyle w:val="19"/>
              <w:rFonts w:hint="eastAsia" w:ascii="Times New Roman" w:hAnsi="宋体" w:eastAsia="宋体" w:cs="Times New Roman"/>
              <w:snapToGrid/>
              <w:kern w:val="2"/>
              <w:lang w:eastAsia="zh-CN"/>
            </w:rPr>
            <w:fldChar w:fldCharType="end"/>
          </w:r>
        </w:p>
        <w:p w14:paraId="0B9C1F1E">
          <w:pPr>
            <w:pStyle w:val="12"/>
            <w:widowControl w:val="0"/>
            <w:tabs>
              <w:tab w:val="right" w:leader="dot" w:pos="9241"/>
            </w:tabs>
            <w:kinsoku/>
            <w:autoSpaceDE/>
            <w:autoSpaceDN/>
            <w:adjustRightInd/>
            <w:snapToGrid/>
            <w:spacing w:before="78" w:beforeLines="25" w:after="78" w:afterLines="25" w:line="240" w:lineRule="auto"/>
            <w:ind w:firstLine="0" w:firstLineChars="0"/>
            <w:textAlignment w:val="auto"/>
            <w:rPr>
              <w:rFonts w:hint="default" w:ascii="Times New Roman" w:hAnsi="Times New Roman" w:eastAsia="宋体" w:cs="Times New Roman"/>
              <w:snapToGrid w:val="0"/>
              <w:color w:val="000000"/>
              <w:kern w:val="0"/>
              <w:sz w:val="21"/>
              <w:szCs w:val="21"/>
              <w:lang w:val="en-US" w:eastAsia="en-US" w:bidi="ar-SA"/>
            </w:rPr>
          </w:pPr>
          <w:r>
            <w:rPr>
              <w:rStyle w:val="19"/>
              <w:rFonts w:hint="eastAsia" w:ascii="Times New Roman" w:hAnsi="宋体" w:eastAsia="宋体" w:cs="Times New Roman"/>
              <w:snapToGrid/>
              <w:kern w:val="2"/>
              <w:lang w:eastAsia="zh-CN"/>
            </w:rPr>
            <w:fldChar w:fldCharType="end"/>
          </w:r>
        </w:p>
      </w:sdtContent>
    </w:sdt>
    <w:p w14:paraId="0E7759BF">
      <w:pPr>
        <w:spacing w:line="221" w:lineRule="auto"/>
        <w:rPr>
          <w:rFonts w:hint="default" w:ascii="Times New Roman" w:hAnsi="Times New Roman" w:eastAsia="宋体" w:cs="Times New Roman"/>
          <w:snapToGrid w:val="0"/>
          <w:color w:val="000000"/>
          <w:kern w:val="0"/>
          <w:sz w:val="21"/>
          <w:szCs w:val="21"/>
          <w:lang w:val="en-US" w:eastAsia="en-US" w:bidi="ar-SA"/>
        </w:rPr>
        <w:sectPr>
          <w:headerReference r:id="rId7" w:type="default"/>
          <w:footerReference r:id="rId8" w:type="default"/>
          <w:pgSz w:w="11907" w:h="16839"/>
          <w:pgMar w:top="1716" w:right="1130" w:bottom="1340" w:left="1426" w:header="1391" w:footer="1105" w:gutter="0"/>
          <w:cols w:space="720" w:num="1"/>
        </w:sectPr>
      </w:pPr>
    </w:p>
    <w:p w14:paraId="25B49632">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outlineLvl w:val="0"/>
        <w:rPr>
          <w:rFonts w:hint="default" w:ascii="Times New Roman" w:hAnsi="Times New Roman" w:eastAsia="黑体" w:cs="Times New Roman"/>
          <w:spacing w:val="9"/>
          <w:sz w:val="31"/>
          <w:szCs w:val="31"/>
        </w:rPr>
      </w:pPr>
      <w:bookmarkStart w:id="9" w:name="bookmark12"/>
      <w:bookmarkEnd w:id="9"/>
      <w:bookmarkStart w:id="10" w:name="bookmark12"/>
      <w:bookmarkEnd w:id="10"/>
      <w:bookmarkStart w:id="11" w:name="bookmark1"/>
      <w:bookmarkEnd w:id="11"/>
      <w:bookmarkStart w:id="12" w:name="_Toc17491"/>
      <w:bookmarkStart w:id="13" w:name="_Toc25089"/>
      <w:r>
        <w:rPr>
          <w:rFonts w:hint="default" w:ascii="Times New Roman" w:hAnsi="Times New Roman" w:eastAsia="黑体" w:cs="Times New Roman"/>
          <w:spacing w:val="9"/>
          <w:sz w:val="31"/>
          <w:szCs w:val="31"/>
        </w:rPr>
        <w:t>前    言</w:t>
      </w:r>
      <w:bookmarkEnd w:id="12"/>
      <w:bookmarkEnd w:id="13"/>
    </w:p>
    <w:p w14:paraId="3EFB7D0A">
      <w:pPr>
        <w:pStyle w:val="3"/>
        <w:bidi w:val="0"/>
        <w:rPr>
          <w:rFonts w:hint="default" w:cs="Times New Roman"/>
          <w:lang w:val="en-US" w:eastAsia="zh-CN"/>
        </w:rPr>
      </w:pPr>
      <w:r>
        <w:rPr>
          <w:rFonts w:cs="Times New Roman"/>
          <w:spacing w:val="-2"/>
          <w:lang w:eastAsia="zh-CN"/>
        </w:rPr>
        <w:t>本</w:t>
      </w:r>
      <w:r>
        <w:rPr>
          <w:rFonts w:hint="eastAsia" w:cs="Times New Roman"/>
          <w:spacing w:val="-2"/>
          <w:lang w:val="en-US" w:eastAsia="zh-CN"/>
        </w:rPr>
        <w:t>团体</w:t>
      </w:r>
      <w:r>
        <w:rPr>
          <w:rFonts w:cs="Times New Roman"/>
          <w:spacing w:val="-2"/>
          <w:lang w:eastAsia="zh-CN"/>
        </w:rPr>
        <w:t>标准以《联合国气候变化框架公约》（UNFCCC）下</w:t>
      </w:r>
      <w:r>
        <w:rPr>
          <w:rFonts w:hint="eastAsia" w:cs="Times New Roman"/>
          <w:spacing w:val="-2"/>
          <w:lang w:eastAsia="zh-CN"/>
        </w:rPr>
        <w:t>“</w:t>
      </w:r>
      <w:r>
        <w:rPr>
          <w:rFonts w:cs="Times New Roman"/>
          <w:spacing w:val="-2"/>
          <w:lang w:eastAsia="zh-CN"/>
        </w:rPr>
        <w:t>清洁发展机制（CDM）</w:t>
      </w:r>
      <w:r>
        <w:rPr>
          <w:rFonts w:hint="eastAsia" w:cs="Times New Roman"/>
          <w:spacing w:val="-2"/>
          <w:lang w:eastAsia="zh-CN"/>
        </w:rPr>
        <w:t>”</w:t>
      </w:r>
      <w:r>
        <w:rPr>
          <w:rFonts w:cs="Times New Roman"/>
          <w:spacing w:val="-2"/>
          <w:lang w:eastAsia="zh-CN"/>
        </w:rPr>
        <w:t>及国家自愿减排交易机制的相关方法学为依据，参考借鉴了CDM项目方法学工具与程序，并衔接《工业企业温室气体排放核算和报告通则》（GB/T 32150-2015）、《基于项目的温室气体减排量评估技术规范通用要求》（GB/T 33760-2017）</w:t>
      </w:r>
      <w:r>
        <w:rPr>
          <w:rFonts w:hint="eastAsia" w:cs="Times New Roman"/>
          <w:spacing w:val="-2"/>
          <w:lang w:eastAsia="zh-CN"/>
        </w:rPr>
        <w:t>《公共机构碳排放核算指南》（JS</w:t>
      </w:r>
      <w:r>
        <w:rPr>
          <w:rFonts w:hint="eastAsia" w:cs="Times New Roman"/>
          <w:spacing w:val="-2"/>
          <w:lang w:val="en-US" w:eastAsia="zh-CN"/>
        </w:rPr>
        <w:t>/</w:t>
      </w:r>
      <w:r>
        <w:rPr>
          <w:rFonts w:hint="eastAsia" w:cs="Times New Roman"/>
          <w:spacing w:val="-2"/>
          <w:lang w:eastAsia="zh-CN"/>
        </w:rPr>
        <w:t>T</w:t>
      </w:r>
      <w:r>
        <w:rPr>
          <w:rFonts w:hint="eastAsia" w:cs="Times New Roman"/>
          <w:spacing w:val="-2"/>
          <w:lang w:val="en-US" w:eastAsia="zh-CN"/>
        </w:rPr>
        <w:t xml:space="preserve"> </w:t>
      </w:r>
      <w:r>
        <w:rPr>
          <w:rFonts w:hint="eastAsia" w:cs="Times New Roman"/>
          <w:spacing w:val="-2"/>
          <w:lang w:eastAsia="zh-CN"/>
        </w:rPr>
        <w:t>303</w:t>
      </w:r>
      <w:r>
        <w:rPr>
          <w:rFonts w:hint="eastAsia" w:cs="Times New Roman"/>
          <w:spacing w:val="-2"/>
          <w:lang w:val="en-US" w:eastAsia="zh-CN"/>
        </w:rPr>
        <w:t>-</w:t>
      </w:r>
      <w:r>
        <w:rPr>
          <w:rFonts w:hint="eastAsia" w:cs="Times New Roman"/>
          <w:spacing w:val="-2"/>
          <w:lang w:eastAsia="zh-CN"/>
        </w:rPr>
        <w:t>2026）</w:t>
      </w:r>
      <w:r>
        <w:rPr>
          <w:rFonts w:cs="Times New Roman"/>
          <w:spacing w:val="-2"/>
          <w:lang w:eastAsia="zh-CN"/>
        </w:rPr>
        <w:t>等国内标准规范，结合</w:t>
      </w:r>
      <w:r>
        <w:rPr>
          <w:rFonts w:hint="eastAsia" w:cs="Times New Roman"/>
          <w:spacing w:val="-2"/>
          <w:lang w:val="en-US" w:eastAsia="zh-CN"/>
        </w:rPr>
        <w:t>长岛综合实验区范围内居民出行习惯、交通工具种类</w:t>
      </w:r>
      <w:r>
        <w:rPr>
          <w:rFonts w:hint="eastAsia" w:cs="Times New Roman"/>
          <w:lang w:eastAsia="zh-CN"/>
        </w:rPr>
        <w:t>、</w:t>
      </w:r>
      <w:r>
        <w:rPr>
          <w:rFonts w:hint="eastAsia" w:cs="Times New Roman"/>
          <w:lang w:val="en-US" w:eastAsia="zh-CN"/>
        </w:rPr>
        <w:t>出行里程的世纪情况，</w:t>
      </w:r>
      <w:r>
        <w:rPr>
          <w:rFonts w:cs="Times New Roman"/>
          <w:spacing w:val="-2"/>
          <w:lang w:eastAsia="zh-CN"/>
        </w:rPr>
        <w:t>经相关领域专家、学者及利益相关方多次研讨与论证后编制而成，力求使本标准既符合国内外</w:t>
      </w:r>
      <w:bookmarkStart w:id="94" w:name="_GoBack"/>
      <w:bookmarkEnd w:id="94"/>
      <w:r>
        <w:rPr>
          <w:rFonts w:cs="Times New Roman"/>
          <w:spacing w:val="-2"/>
          <w:lang w:eastAsia="zh-CN"/>
        </w:rPr>
        <w:t>行为减排量核算的通用准则，具备科学性、严谨性与可操作性。</w:t>
      </w:r>
    </w:p>
    <w:p w14:paraId="1FBE2DF6">
      <w:pPr>
        <w:pStyle w:val="3"/>
        <w:bidi w:val="0"/>
        <w:rPr>
          <w:rFonts w:hint="default" w:ascii="Times New Roman" w:hAnsi="Times New Roman" w:cs="Times New Roman"/>
        </w:rPr>
      </w:pPr>
      <w:r>
        <w:rPr>
          <w:rFonts w:hint="default" w:ascii="Times New Roman" w:hAnsi="Times New Roman" w:cs="Times New Roman"/>
        </w:rPr>
        <w:t>本文件由</w:t>
      </w:r>
      <w:r>
        <w:rPr>
          <w:rFonts w:cs="Times New Roman"/>
        </w:rPr>
        <w:t>深圳市绿色低碳科技促进会</w:t>
      </w:r>
      <w:r>
        <w:rPr>
          <w:rFonts w:hint="eastAsia" w:cs="Times New Roman"/>
          <w:lang w:val="en-US" w:eastAsia="zh-CN"/>
        </w:rPr>
        <w:t>提出并归口</w:t>
      </w:r>
      <w:r>
        <w:rPr>
          <w:rFonts w:hint="default" w:ascii="Times New Roman" w:hAnsi="Times New Roman" w:cs="Times New Roman"/>
        </w:rPr>
        <w:t>。</w:t>
      </w:r>
    </w:p>
    <w:p w14:paraId="31445C3F">
      <w:pPr>
        <w:pStyle w:val="3"/>
        <w:ind w:firstLine="416"/>
        <w:rPr>
          <w:rFonts w:hint="default" w:eastAsia="宋体" w:cs="Times New Roman"/>
          <w:lang w:val="en-US" w:eastAsia="zh-CN"/>
        </w:rPr>
      </w:pPr>
      <w:r>
        <w:rPr>
          <w:rFonts w:hint="eastAsia" w:cs="Times New Roman"/>
          <w:lang w:val="en-US" w:eastAsia="zh-CN"/>
        </w:rPr>
        <w:t>本文件起草单位：xxxx xxx</w:t>
      </w:r>
    </w:p>
    <w:p w14:paraId="2465A1DB">
      <w:pPr>
        <w:pStyle w:val="3"/>
        <w:bidi w:val="0"/>
        <w:rPr>
          <w:rFonts w:hint="default" w:ascii="Times New Roman" w:hAnsi="Times New Roman" w:cs="Times New Roman"/>
        </w:rPr>
      </w:pPr>
      <w:r>
        <w:rPr>
          <w:rFonts w:cs="Times New Roman"/>
        </w:rPr>
        <w:t>本文件起草</w:t>
      </w:r>
      <w:r>
        <w:rPr>
          <w:rFonts w:hint="eastAsia" w:cs="Times New Roman"/>
          <w:lang w:val="en-US" w:eastAsia="zh-CN"/>
        </w:rPr>
        <w:t>人</w:t>
      </w:r>
      <w:r>
        <w:rPr>
          <w:rFonts w:cs="Times New Roman"/>
        </w:rPr>
        <w:t>：</w:t>
      </w:r>
      <w:r>
        <w:rPr>
          <w:rFonts w:hint="eastAsia" w:cs="Times New Roman"/>
          <w:lang w:val="en-US" w:eastAsia="zh-CN"/>
        </w:rPr>
        <w:t>xxx xxx</w:t>
      </w:r>
      <w:r>
        <w:rPr>
          <w:rFonts w:hint="default" w:ascii="Times New Roman" w:hAnsi="Times New Roman" w:cs="Times New Roman"/>
        </w:rPr>
        <w:t>。</w:t>
      </w:r>
    </w:p>
    <w:p w14:paraId="707B876E">
      <w:pPr>
        <w:pStyle w:val="3"/>
        <w:bidi w:val="0"/>
        <w:rPr>
          <w:rFonts w:hint="default" w:ascii="Times New Roman" w:hAnsi="Times New Roman" w:cs="Times New Roman"/>
        </w:rPr>
        <w:sectPr>
          <w:pgSz w:w="11907" w:h="16839"/>
          <w:pgMar w:top="1716" w:right="1054" w:bottom="1340" w:left="1426" w:header="1391" w:footer="1105" w:gutter="0"/>
          <w:cols w:space="720" w:num="1"/>
        </w:sectPr>
      </w:pPr>
    </w:p>
    <w:p w14:paraId="77BF60E6">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rPr>
          <w:rFonts w:hint="default" w:ascii="Times New Roman" w:hAnsi="Times New Roman" w:eastAsia="黑体" w:cs="Times New Roman"/>
          <w:spacing w:val="9"/>
          <w:sz w:val="31"/>
          <w:szCs w:val="31"/>
          <w:lang w:val="en-US" w:eastAsia="zh-CN"/>
        </w:rPr>
      </w:pPr>
      <w:bookmarkStart w:id="14" w:name="bookmark2"/>
      <w:bookmarkEnd w:id="14"/>
      <w:r>
        <w:rPr>
          <w:rFonts w:hint="default" w:ascii="Times New Roman" w:hAnsi="Times New Roman" w:eastAsia="黑体" w:cs="Times New Roman"/>
          <w:spacing w:val="9"/>
          <w:sz w:val="31"/>
          <w:szCs w:val="31"/>
        </w:rPr>
        <w:t xml:space="preserve">碳普惠项目减排量核算技术规范 </w:t>
      </w:r>
      <w:r>
        <w:rPr>
          <w:rFonts w:hint="default" w:ascii="Times New Roman" w:hAnsi="Times New Roman" w:eastAsia="黑体" w:cs="Times New Roman"/>
          <w:spacing w:val="9"/>
          <w:sz w:val="31"/>
          <w:szCs w:val="31"/>
          <w:lang w:val="en-US" w:eastAsia="zh-CN"/>
        </w:rPr>
        <w:t>低碳出行</w:t>
      </w:r>
    </w:p>
    <w:p w14:paraId="2DD95466">
      <w:pPr>
        <w:pStyle w:val="2"/>
        <w:bidi w:val="0"/>
        <w:rPr>
          <w:rFonts w:hint="default"/>
        </w:rPr>
      </w:pPr>
      <w:bookmarkStart w:id="15" w:name="_Toc17926"/>
      <w:bookmarkStart w:id="16" w:name="_Toc18735"/>
      <w:bookmarkStart w:id="17" w:name="_Toc17481"/>
      <w:bookmarkStart w:id="18" w:name="_Toc12406"/>
      <w:r>
        <w:rPr>
          <w:rFonts w:hint="default"/>
        </w:rPr>
        <w:t>1  范围</w:t>
      </w:r>
      <w:bookmarkEnd w:id="15"/>
      <w:bookmarkEnd w:id="16"/>
      <w:bookmarkEnd w:id="17"/>
      <w:bookmarkEnd w:id="18"/>
    </w:p>
    <w:p w14:paraId="4D7F905D">
      <w:pPr>
        <w:pStyle w:val="3"/>
        <w:bidi w:val="0"/>
        <w:rPr>
          <w:rFonts w:hint="default" w:ascii="Times New Roman" w:hAnsi="Times New Roman" w:cs="Times New Roman"/>
        </w:rPr>
      </w:pPr>
      <w:bookmarkStart w:id="19" w:name="bookmark24"/>
      <w:bookmarkEnd w:id="19"/>
      <w:r>
        <w:rPr>
          <w:rFonts w:hint="default" w:ascii="Times New Roman" w:hAnsi="Times New Roman" w:cs="Times New Roman"/>
        </w:rPr>
        <w:t>本文件界定了碳普惠项目减排量核算中</w:t>
      </w:r>
      <w:r>
        <w:rPr>
          <w:rFonts w:hint="default" w:ascii="Times New Roman" w:hAnsi="Times New Roman" w:cs="Times New Roman"/>
          <w:lang w:val="en-US" w:eastAsia="zh-CN"/>
        </w:rPr>
        <w:t>低碳出行</w:t>
      </w:r>
      <w:r>
        <w:rPr>
          <w:rFonts w:hint="default" w:ascii="Times New Roman" w:hAnsi="Times New Roman" w:cs="Times New Roman"/>
        </w:rPr>
        <w:t>的术语与定义，规定了低碳出行碳普惠项目的基本要求、温室气体种类、项目边界和计入期、核算方法、数据监测与管理。</w:t>
      </w:r>
    </w:p>
    <w:p w14:paraId="305994C5">
      <w:pPr>
        <w:pStyle w:val="3"/>
        <w:bidi w:val="0"/>
        <w:rPr>
          <w:rFonts w:hint="default" w:ascii="Times New Roman" w:hAnsi="Times New Roman" w:cs="Times New Roman"/>
        </w:rPr>
      </w:pPr>
      <w:r>
        <w:rPr>
          <w:rFonts w:hint="default" w:ascii="Times New Roman" w:hAnsi="Times New Roman" w:cs="Times New Roman"/>
        </w:rPr>
        <w:t>本文件适用于</w:t>
      </w:r>
      <w:r>
        <w:rPr>
          <w:rFonts w:hint="default" w:ascii="Times New Roman" w:hAnsi="Times New Roman" w:cs="Times New Roman"/>
          <w:lang w:val="en-US" w:eastAsia="zh-CN"/>
        </w:rPr>
        <w:t>低碳出行</w:t>
      </w:r>
      <w:r>
        <w:rPr>
          <w:rFonts w:hint="default" w:ascii="Times New Roman" w:hAnsi="Times New Roman" w:cs="Times New Roman"/>
        </w:rPr>
        <w:t>碳普惠项目的设计、建设和运行。</w:t>
      </w:r>
    </w:p>
    <w:p w14:paraId="45FAC231">
      <w:pPr>
        <w:pStyle w:val="2"/>
        <w:bidi w:val="0"/>
        <w:rPr>
          <w:rFonts w:hint="default"/>
        </w:rPr>
      </w:pPr>
      <w:bookmarkStart w:id="20" w:name="bookmark3"/>
      <w:bookmarkEnd w:id="20"/>
      <w:bookmarkStart w:id="21" w:name="_Toc18436"/>
      <w:bookmarkStart w:id="22" w:name="_Toc27799"/>
      <w:r>
        <w:rPr>
          <w:rFonts w:hint="default"/>
        </w:rPr>
        <w:t>2  规范性引用文件</w:t>
      </w:r>
      <w:bookmarkEnd w:id="21"/>
      <w:bookmarkEnd w:id="22"/>
    </w:p>
    <w:p w14:paraId="73A1B282">
      <w:pPr>
        <w:pStyle w:val="3"/>
        <w:bidi w:val="0"/>
        <w:rPr>
          <w:rFonts w:hint="default" w:ascii="Times New Roman" w:hAnsi="Times New Roman" w:cs="Times New Roman"/>
        </w:rPr>
      </w:pPr>
      <w:bookmarkStart w:id="23" w:name="bookmark4"/>
      <w:bookmarkEnd w:id="23"/>
      <w:r>
        <w:rPr>
          <w:rFonts w:hint="default" w:ascii="Times New Roman" w:hAnsi="Times New Roman" w:cs="Times New Roman"/>
        </w:rPr>
        <w:t>GB/T 33760-2017《基于项目的温室气体减排量评估技术规范 通用要求》</w:t>
      </w:r>
    </w:p>
    <w:p w14:paraId="6728B403">
      <w:pPr>
        <w:pStyle w:val="3"/>
        <w:bidi w:val="0"/>
        <w:rPr>
          <w:rFonts w:hint="default" w:ascii="Times New Roman" w:hAnsi="Times New Roman" w:cs="Times New Roman"/>
        </w:rPr>
      </w:pPr>
      <w:r>
        <w:rPr>
          <w:rFonts w:hint="default" w:ascii="Times New Roman" w:hAnsi="Times New Roman" w:cs="Times New Roman"/>
        </w:rPr>
        <w:t>GB 19578-2024《乘用车燃料消耗量限值》</w:t>
      </w:r>
    </w:p>
    <w:p w14:paraId="60F325B4">
      <w:pPr>
        <w:pStyle w:val="3"/>
        <w:bidi w:val="0"/>
        <w:rPr>
          <w:rFonts w:hint="default" w:ascii="Times New Roman" w:hAnsi="Times New Roman" w:cs="Times New Roman"/>
        </w:rPr>
      </w:pPr>
      <w:r>
        <w:rPr>
          <w:rFonts w:hint="default" w:ascii="Times New Roman" w:hAnsi="Times New Roman" w:cs="Times New Roman"/>
        </w:rPr>
        <w:t>GB 20997-2024《轻型商用车辆燃料消耗量限值及评价指标》</w:t>
      </w:r>
    </w:p>
    <w:p w14:paraId="14177C68">
      <w:pPr>
        <w:pStyle w:val="3"/>
        <w:bidi w:val="0"/>
        <w:rPr>
          <w:rFonts w:hint="default" w:ascii="Times New Roman" w:hAnsi="Times New Roman" w:cs="Times New Roman"/>
        </w:rPr>
      </w:pPr>
      <w:r>
        <w:rPr>
          <w:rFonts w:hint="default" w:ascii="Times New Roman" w:hAnsi="Times New Roman" w:cs="Times New Roman"/>
        </w:rPr>
        <w:t>GB 30510-2024《重型商用车辆燃料消耗量限值》</w:t>
      </w:r>
    </w:p>
    <w:p w14:paraId="54581F4B">
      <w:pPr>
        <w:pStyle w:val="2"/>
        <w:bidi w:val="0"/>
        <w:rPr>
          <w:rFonts w:hint="default"/>
          <w:lang w:eastAsia="zh-CN"/>
        </w:rPr>
      </w:pPr>
      <w:bookmarkStart w:id="24" w:name="bookmark25"/>
      <w:bookmarkEnd w:id="24"/>
      <w:bookmarkStart w:id="25" w:name="_Toc30124"/>
      <w:bookmarkStart w:id="26" w:name="_Toc8803"/>
      <w:r>
        <w:rPr>
          <w:rFonts w:hint="default"/>
        </w:rPr>
        <w:t>3  术语和定义</w:t>
      </w:r>
      <w:bookmarkEnd w:id="25"/>
      <w:bookmarkEnd w:id="26"/>
    </w:p>
    <w:p w14:paraId="519631A1">
      <w:pPr>
        <w:pStyle w:val="3"/>
        <w:bidi w:val="0"/>
        <w:rPr>
          <w:rFonts w:hint="default" w:ascii="Times New Roman" w:hAnsi="Times New Roman" w:cs="Times New Roman"/>
        </w:rPr>
      </w:pPr>
      <w:r>
        <w:rPr>
          <w:rFonts w:hint="default" w:ascii="Times New Roman" w:hAnsi="Times New Roman" w:cs="Times New Roman"/>
        </w:rPr>
        <w:t>下列术语和定义适用于本文件。</w:t>
      </w:r>
    </w:p>
    <w:p w14:paraId="2470702B">
      <w:pPr>
        <w:pStyle w:val="4"/>
        <w:bidi w:val="0"/>
        <w:rPr>
          <w:rFonts w:hint="default"/>
        </w:rPr>
      </w:pPr>
      <w:bookmarkStart w:id="27" w:name="_Toc14108"/>
      <w:r>
        <w:rPr>
          <w:rFonts w:hint="default"/>
        </w:rPr>
        <w:t>3.1</w:t>
      </w:r>
      <w:r>
        <w:rPr>
          <w:rFonts w:hint="default"/>
          <w:lang w:val="en-US" w:eastAsia="zh-CN"/>
        </w:rPr>
        <w:t xml:space="preserve">  </w:t>
      </w:r>
      <w:r>
        <w:rPr>
          <w:rFonts w:hint="default"/>
        </w:rPr>
        <w:t>碳普惠  carbon inclusion</w:t>
      </w:r>
      <w:bookmarkEnd w:id="27"/>
    </w:p>
    <w:p w14:paraId="6A5ED82C">
      <w:pPr>
        <w:pStyle w:val="3"/>
        <w:bidi w:val="0"/>
        <w:rPr>
          <w:rFonts w:hint="default" w:ascii="Times New Roman" w:hAnsi="Times New Roman" w:cs="Times New Roman"/>
        </w:rPr>
      </w:pPr>
      <w:r>
        <w:rPr>
          <w:rFonts w:hint="default" w:ascii="Times New Roman" w:hAnsi="Times New Roman" w:cs="Times New Roman"/>
        </w:rPr>
        <w:t>碳普惠是通过相关平台收集个人、家庭、社区或企业（单位）的绿色低碳行为活动信息，按照技术规范核算碳减排量，为绿色低碳生产生活方式赋值的激励机制，鼓励全社会参与自愿减排活动。</w:t>
      </w:r>
    </w:p>
    <w:p w14:paraId="26CBCC05">
      <w:pPr>
        <w:pStyle w:val="4"/>
        <w:bidi w:val="0"/>
        <w:rPr>
          <w:rFonts w:hint="default"/>
        </w:rPr>
      </w:pPr>
      <w:bookmarkStart w:id="28" w:name="_Toc29896"/>
      <w:r>
        <w:rPr>
          <w:rFonts w:hint="default"/>
        </w:rPr>
        <w:t>3.</w:t>
      </w:r>
      <w:r>
        <w:rPr>
          <w:rFonts w:hint="default"/>
          <w:lang w:val="en-US" w:eastAsia="zh-CN"/>
        </w:rPr>
        <w:t xml:space="preserve">2  </w:t>
      </w:r>
      <w:r>
        <w:rPr>
          <w:rFonts w:hint="default"/>
        </w:rPr>
        <w:t xml:space="preserve">数据聚集平台  </w:t>
      </w:r>
      <w:r>
        <w:rPr>
          <w:rFonts w:hint="default"/>
          <w:lang w:val="en-US" w:eastAsia="zh-CN"/>
        </w:rPr>
        <w:t>d</w:t>
      </w:r>
      <w:r>
        <w:rPr>
          <w:rFonts w:hint="default"/>
        </w:rPr>
        <w:t>ata aggregation platform</w:t>
      </w:r>
      <w:bookmarkEnd w:id="28"/>
    </w:p>
    <w:p w14:paraId="26448DFE">
      <w:pPr>
        <w:pStyle w:val="3"/>
        <w:bidi w:val="0"/>
        <w:rPr>
          <w:rFonts w:hint="default" w:ascii="Times New Roman" w:hAnsi="Times New Roman" w:cs="Times New Roman"/>
        </w:rPr>
      </w:pPr>
      <w:r>
        <w:rPr>
          <w:rFonts w:hint="default" w:ascii="Times New Roman" w:hAnsi="Times New Roman" w:cs="Times New Roman"/>
          <w:lang w:val="en-US" w:eastAsia="zh-CN"/>
        </w:rPr>
        <w:t>指在碳普惠机制下，经主管部门认可，能够采集、核验各类低碳出行行为数据的平台。其记录个人采用公交、合乘、共享单车等低碳出行方式的数据。常见的平台运营机构包括各城市通卡公司、电子支付服务商等。</w:t>
      </w:r>
    </w:p>
    <w:p w14:paraId="3A961231">
      <w:pPr>
        <w:pStyle w:val="4"/>
        <w:bidi w:val="0"/>
        <w:rPr>
          <w:rFonts w:hint="default"/>
          <w:lang w:val="en-US" w:eastAsia="zh-CN"/>
        </w:rPr>
      </w:pPr>
      <w:bookmarkStart w:id="29" w:name="_Toc21055"/>
      <w:r>
        <w:rPr>
          <w:rFonts w:hint="default"/>
          <w:lang w:val="en-US" w:eastAsia="zh-CN"/>
        </w:rPr>
        <w:t>3.3  低碳出行  low-carbon travel</w:t>
      </w:r>
      <w:bookmarkEnd w:id="29"/>
    </w:p>
    <w:p w14:paraId="23585DA3">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指在出行过程中，主动采用能有效降低二氧化碳等温室气体排放的交通方式。在本定义范围内，特指步行、骑行、公共汽车，以及参与电动出租车（小微型客车）合乘等出行行为。</w:t>
      </w:r>
    </w:p>
    <w:p w14:paraId="68E8DA33">
      <w:pPr>
        <w:pStyle w:val="4"/>
        <w:bidi w:val="0"/>
        <w:rPr>
          <w:rFonts w:hint="default"/>
        </w:rPr>
      </w:pPr>
      <w:bookmarkStart w:id="30" w:name="_Toc24855"/>
      <w:r>
        <w:rPr>
          <w:rFonts w:hint="default"/>
        </w:rPr>
        <w:t>3.</w:t>
      </w:r>
      <w:r>
        <w:rPr>
          <w:rFonts w:hint="default"/>
          <w:lang w:val="en-US" w:eastAsia="zh-CN"/>
        </w:rPr>
        <w:t>4  公共汽车交通</w:t>
      </w:r>
      <w:r>
        <w:rPr>
          <w:rFonts w:hint="default"/>
        </w:rPr>
        <w:t xml:space="preserve">  </w:t>
      </w:r>
      <w:r>
        <w:rPr>
          <w:rFonts w:hint="default"/>
          <w:lang w:val="en-US" w:eastAsia="zh-CN"/>
        </w:rPr>
        <w:t>p</w:t>
      </w:r>
      <w:r>
        <w:rPr>
          <w:rFonts w:hint="default"/>
        </w:rPr>
        <w:t>ublic bus transport</w:t>
      </w:r>
      <w:bookmarkEnd w:id="30"/>
    </w:p>
    <w:p w14:paraId="7483C624">
      <w:pPr>
        <w:pStyle w:val="3"/>
        <w:bidi w:val="0"/>
        <w:rPr>
          <w:rFonts w:hint="default" w:ascii="Times New Roman" w:hAnsi="Times New Roman" w:cs="Times New Roman"/>
        </w:rPr>
      </w:pPr>
      <w:r>
        <w:rPr>
          <w:rFonts w:hint="default" w:ascii="Times New Roman" w:hAnsi="Times New Roman" w:cs="Times New Roman"/>
        </w:rPr>
        <w:t>运用公共汽车作为运载工具，按照核定的线路、站点、时间、票价运营，为公众提供基本出行服务的城市客运方式。</w:t>
      </w:r>
    </w:p>
    <w:p w14:paraId="0E577DA1">
      <w:pPr>
        <w:pStyle w:val="4"/>
        <w:bidi w:val="0"/>
        <w:rPr>
          <w:rFonts w:hint="default"/>
          <w:lang w:val="en-US" w:eastAsia="zh-CN"/>
        </w:rPr>
      </w:pPr>
      <w:bookmarkStart w:id="31" w:name="_Toc16067"/>
      <w:r>
        <w:rPr>
          <w:rFonts w:hint="default"/>
        </w:rPr>
        <w:t>3.</w:t>
      </w:r>
      <w:r>
        <w:rPr>
          <w:rFonts w:hint="default"/>
          <w:lang w:val="en-US" w:eastAsia="zh-CN"/>
        </w:rPr>
        <w:t xml:space="preserve">5  </w:t>
      </w:r>
      <w:r>
        <w:rPr>
          <w:rFonts w:hint="default"/>
        </w:rPr>
        <w:t>共享单车</w:t>
      </w:r>
      <w:r>
        <w:rPr>
          <w:rFonts w:hint="default"/>
          <w:lang w:val="en-US" w:eastAsia="zh-CN"/>
        </w:rPr>
        <w:t xml:space="preserve"> bike-sharing</w:t>
      </w:r>
      <w:bookmarkEnd w:id="31"/>
    </w:p>
    <w:p w14:paraId="0B85F55B">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指以营利为目的的运营公司向公众出租的并通过共享单车应用程序及手机APP进行管理和运营的自行车辆。</w:t>
      </w:r>
    </w:p>
    <w:p w14:paraId="54BDB92F">
      <w:pPr>
        <w:pStyle w:val="4"/>
        <w:bidi w:val="0"/>
        <w:rPr>
          <w:rFonts w:hint="default"/>
          <w:lang w:val="en-US" w:eastAsia="zh-CN"/>
        </w:rPr>
      </w:pPr>
      <w:bookmarkStart w:id="32" w:name="bookmark5"/>
      <w:bookmarkEnd w:id="32"/>
      <w:bookmarkStart w:id="33" w:name="_Toc18264"/>
      <w:r>
        <w:rPr>
          <w:rFonts w:hint="default"/>
        </w:rPr>
        <w:t>3.</w:t>
      </w:r>
      <w:r>
        <w:rPr>
          <w:rFonts w:hint="default"/>
          <w:lang w:val="en-US" w:eastAsia="zh-CN"/>
        </w:rPr>
        <w:t>6  合乘 carpooling</w:t>
      </w:r>
      <w:bookmarkEnd w:id="33"/>
    </w:p>
    <w:p w14:paraId="0226D7C0">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指两人及以上共乘同一车辆出行，分摊成本、共享行程的出行方式。其核心在于资源集约与费用共担，含顺风车、拼车等模式，常用于通勤或长途出行。</w:t>
      </w:r>
    </w:p>
    <w:p w14:paraId="5ED2C287">
      <w:pPr>
        <w:pStyle w:val="4"/>
        <w:bidi w:val="0"/>
        <w:rPr>
          <w:rFonts w:hint="default"/>
          <w:lang w:val="en-US" w:eastAsia="zh-CN"/>
        </w:rPr>
      </w:pPr>
      <w:bookmarkStart w:id="34" w:name="_Toc18493"/>
      <w:r>
        <w:rPr>
          <w:rFonts w:hint="default"/>
          <w:lang w:val="en-US" w:eastAsia="zh-CN"/>
        </w:rPr>
        <w:t xml:space="preserve">3.7  乘距 </w:t>
      </w:r>
      <w:bookmarkEnd w:id="34"/>
      <w:r>
        <w:rPr>
          <w:rFonts w:hint="default"/>
          <w:lang w:val="en-US" w:eastAsia="zh-CN"/>
        </w:rPr>
        <w:t>travel distance</w:t>
      </w:r>
    </w:p>
    <w:p w14:paraId="3AA5F1BA">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指在一次乘行中，乘客从上车地点到下车地点的距离。</w:t>
      </w:r>
    </w:p>
    <w:p w14:paraId="0D790C5D">
      <w:pPr>
        <w:pStyle w:val="4"/>
        <w:bidi w:val="0"/>
        <w:rPr>
          <w:rFonts w:hint="default"/>
          <w:lang w:val="en-US" w:eastAsia="zh-CN"/>
        </w:rPr>
      </w:pPr>
      <w:bookmarkStart w:id="35" w:name="_Toc14160"/>
      <w:r>
        <w:rPr>
          <w:rFonts w:hint="default"/>
          <w:lang w:val="en-US" w:eastAsia="zh-CN"/>
        </w:rPr>
        <w:t>3.8  客运周转量 passenger turnover</w:t>
      </w:r>
      <w:bookmarkEnd w:id="35"/>
    </w:p>
    <w:p w14:paraId="4D5B8329">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统计期内，客运量与平均乘距的乘积。客运周转量是反映运输部门在一定时期内完成旅客运输工作总量的指标（人公里）。它是交通运输部门实际运送的旅客人数与其运输距离的乘积，是计算、研究分析旅客运输成本的重要依据。</w:t>
      </w:r>
    </w:p>
    <w:p w14:paraId="0227BC8B">
      <w:pPr>
        <w:pStyle w:val="4"/>
        <w:bidi w:val="0"/>
        <w:rPr>
          <w:rFonts w:hint="default"/>
          <w:lang w:val="en-US" w:eastAsia="zh-CN"/>
        </w:rPr>
      </w:pPr>
      <w:bookmarkStart w:id="36" w:name="_Toc4034"/>
      <w:r>
        <w:rPr>
          <w:rFonts w:hint="default"/>
          <w:lang w:val="en-US" w:eastAsia="zh-CN"/>
        </w:rPr>
        <w:t>3.9  年客运量 annual passenger volume</w:t>
      </w:r>
      <w:bookmarkEnd w:id="36"/>
    </w:p>
    <w:p w14:paraId="3F902021">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一个年度里运送乘客的总人次数。</w:t>
      </w:r>
    </w:p>
    <w:p w14:paraId="4760EA31">
      <w:pPr>
        <w:pStyle w:val="2"/>
        <w:bidi w:val="0"/>
        <w:rPr>
          <w:rFonts w:hint="default"/>
        </w:rPr>
      </w:pPr>
      <w:bookmarkStart w:id="37" w:name="_Toc25756"/>
      <w:bookmarkStart w:id="38" w:name="_Toc24675"/>
      <w:r>
        <w:rPr>
          <w:rFonts w:hint="default"/>
        </w:rPr>
        <w:t>4  基本要求</w:t>
      </w:r>
      <w:bookmarkEnd w:id="37"/>
      <w:bookmarkEnd w:id="38"/>
    </w:p>
    <w:p w14:paraId="72579367">
      <w:pPr>
        <w:pStyle w:val="4"/>
        <w:bidi w:val="0"/>
        <w:rPr>
          <w:rFonts w:hint="default"/>
        </w:rPr>
      </w:pPr>
      <w:bookmarkStart w:id="39" w:name="_Toc7658"/>
      <w:r>
        <w:rPr>
          <w:rFonts w:hint="default"/>
        </w:rPr>
        <w:t>4.1  唯一性</w:t>
      </w:r>
      <w:bookmarkEnd w:id="39"/>
    </w:p>
    <w:p w14:paraId="5C4B2FD3">
      <w:pPr>
        <w:pStyle w:val="3"/>
        <w:bidi w:val="0"/>
        <w:rPr>
          <w:rFonts w:hint="default" w:ascii="Times New Roman" w:hAnsi="Times New Roman" w:cs="Times New Roman"/>
        </w:rPr>
      </w:pPr>
      <w:r>
        <w:rPr>
          <w:rFonts w:hint="default" w:ascii="Times New Roman" w:hAnsi="Times New Roman" w:cs="Times New Roman"/>
        </w:rPr>
        <w:t>项目开发方应对注册参与用户的低碳出行信息进行分析检查，不得重复记录和核算减排量，不得在不同减排机制重复申报项目和减排量，确保项目和减排量唯一。</w:t>
      </w:r>
    </w:p>
    <w:p w14:paraId="2B0EC65E">
      <w:pPr>
        <w:pStyle w:val="4"/>
        <w:bidi w:val="0"/>
        <w:rPr>
          <w:rFonts w:hint="default"/>
        </w:rPr>
      </w:pPr>
      <w:bookmarkStart w:id="40" w:name="_Toc4897"/>
      <w:r>
        <w:rPr>
          <w:rFonts w:hint="default"/>
        </w:rPr>
        <w:t>4.2  准确性</w:t>
      </w:r>
      <w:bookmarkEnd w:id="40"/>
    </w:p>
    <w:p w14:paraId="7EB032DE">
      <w:pPr>
        <w:pStyle w:val="3"/>
        <w:bidi w:val="0"/>
        <w:rPr>
          <w:rFonts w:hint="default" w:ascii="Times New Roman" w:hAnsi="Times New Roman" w:cs="Times New Roman"/>
        </w:rPr>
      </w:pPr>
      <w:bookmarkStart w:id="41" w:name="bookmark26"/>
      <w:bookmarkEnd w:id="41"/>
      <w:r>
        <w:rPr>
          <w:rFonts w:hint="default" w:ascii="Times New Roman" w:hAnsi="Times New Roman" w:cs="Times New Roman"/>
        </w:rPr>
        <w:t>项目开发方应详细记录注册参与用户的出行时间、出行方式、出行距离等数据，做到可监测、可报告、可核查，严格控制碳普惠活动各环节数据质量，确保数据准确。</w:t>
      </w:r>
    </w:p>
    <w:p w14:paraId="5FF13029">
      <w:pPr>
        <w:pStyle w:val="4"/>
        <w:bidi w:val="0"/>
        <w:rPr>
          <w:rFonts w:hint="default"/>
        </w:rPr>
      </w:pPr>
      <w:bookmarkStart w:id="42" w:name="_Toc13834"/>
      <w:r>
        <w:rPr>
          <w:rFonts w:hint="default"/>
        </w:rPr>
        <w:t>4.3  保守性</w:t>
      </w:r>
      <w:bookmarkEnd w:id="42"/>
    </w:p>
    <w:p w14:paraId="5C3AB5B0">
      <w:pPr>
        <w:pStyle w:val="3"/>
        <w:bidi w:val="0"/>
        <w:rPr>
          <w:rFonts w:hint="default" w:ascii="Times New Roman" w:hAnsi="Times New Roman" w:cs="Times New Roman"/>
        </w:rPr>
      </w:pPr>
      <w:r>
        <w:rPr>
          <w:rFonts w:hint="default" w:ascii="Times New Roman" w:hAnsi="Times New Roman" w:cs="Times New Roman"/>
        </w:rPr>
        <w:t>碳普惠项目减排量核算应采用保守性原则，确保不高估碳普惠项目减排量。</w:t>
      </w:r>
    </w:p>
    <w:p w14:paraId="2924B445">
      <w:pPr>
        <w:pStyle w:val="4"/>
        <w:bidi w:val="0"/>
        <w:rPr>
          <w:rFonts w:hint="default"/>
        </w:rPr>
      </w:pPr>
      <w:bookmarkStart w:id="43" w:name="_Toc21461"/>
      <w:r>
        <w:rPr>
          <w:rFonts w:hint="default"/>
        </w:rPr>
        <w:t>4.4  安全性</w:t>
      </w:r>
      <w:bookmarkEnd w:id="43"/>
    </w:p>
    <w:p w14:paraId="3400F8F4">
      <w:pPr>
        <w:pStyle w:val="3"/>
        <w:bidi w:val="0"/>
        <w:rPr>
          <w:rFonts w:hint="default" w:ascii="Times New Roman" w:hAnsi="Times New Roman" w:cs="Times New Roman"/>
          <w:sz w:val="21"/>
        </w:rPr>
      </w:pPr>
      <w:r>
        <w:rPr>
          <w:rFonts w:hint="default" w:ascii="Times New Roman" w:hAnsi="Times New Roman" w:cs="Times New Roman"/>
        </w:rPr>
        <w:t>项目开发方开展碳普惠活动的所有环节应合法合规，采取科学、智能的管理和技术手段，确保注册</w:t>
      </w:r>
      <w:bookmarkStart w:id="44" w:name="bookmark6"/>
      <w:bookmarkEnd w:id="44"/>
      <w:r>
        <w:rPr>
          <w:rFonts w:hint="default" w:ascii="Times New Roman" w:hAnsi="Times New Roman" w:cs="Times New Roman"/>
        </w:rPr>
        <w:t>参与用户信息和数据安全。</w:t>
      </w:r>
    </w:p>
    <w:p w14:paraId="0ACB22DE">
      <w:pPr>
        <w:pStyle w:val="2"/>
        <w:bidi w:val="0"/>
        <w:rPr>
          <w:rFonts w:hint="default"/>
        </w:rPr>
      </w:pPr>
      <w:bookmarkStart w:id="45" w:name="bookmark27"/>
      <w:bookmarkEnd w:id="45"/>
      <w:bookmarkStart w:id="46" w:name="_Toc28265"/>
      <w:bookmarkStart w:id="47" w:name="_Toc31825"/>
      <w:r>
        <w:rPr>
          <w:rFonts w:hint="default"/>
        </w:rPr>
        <w:t>5  温室气体种类、项目边界和计入期</w:t>
      </w:r>
      <w:bookmarkEnd w:id="46"/>
      <w:bookmarkEnd w:id="47"/>
    </w:p>
    <w:p w14:paraId="6FD23F10">
      <w:pPr>
        <w:pStyle w:val="4"/>
        <w:bidi w:val="0"/>
        <w:rPr>
          <w:rFonts w:hint="default"/>
        </w:rPr>
      </w:pPr>
      <w:bookmarkStart w:id="48" w:name="_Toc31991"/>
      <w:r>
        <w:rPr>
          <w:rFonts w:hint="default"/>
        </w:rPr>
        <w:t>5.1  温室气体种类</w:t>
      </w:r>
      <w:bookmarkEnd w:id="48"/>
    </w:p>
    <w:p w14:paraId="137CC1AA">
      <w:pPr>
        <w:pStyle w:val="3"/>
        <w:bidi w:val="0"/>
        <w:rPr>
          <w:rFonts w:hint="default" w:ascii="Times New Roman" w:hAnsi="Times New Roman" w:cs="Times New Roman"/>
        </w:rPr>
      </w:pPr>
      <w:r>
        <w:rPr>
          <w:rFonts w:hint="default" w:ascii="Times New Roman" w:hAnsi="Times New Roman" w:cs="Times New Roman"/>
        </w:rPr>
        <w:t>本文件中的温室气体仅指二氧化碳。</w:t>
      </w:r>
    </w:p>
    <w:p w14:paraId="45B11098">
      <w:pPr>
        <w:pStyle w:val="4"/>
        <w:bidi w:val="0"/>
        <w:rPr>
          <w:rFonts w:hint="default"/>
        </w:rPr>
      </w:pPr>
      <w:bookmarkStart w:id="49" w:name="_Toc19874"/>
      <w:r>
        <w:rPr>
          <w:rFonts w:hint="default"/>
        </w:rPr>
        <w:t>5.2  项目边界</w:t>
      </w:r>
      <w:bookmarkEnd w:id="49"/>
    </w:p>
    <w:p w14:paraId="78F30A80">
      <w:pPr>
        <w:pStyle w:val="3"/>
        <w:bidi w:val="0"/>
        <w:rPr>
          <w:rFonts w:hint="default" w:ascii="Times New Roman" w:hAnsi="Times New Roman" w:cs="Times New Roman"/>
        </w:rPr>
      </w:pPr>
      <w:r>
        <w:rPr>
          <w:rFonts w:hint="default" w:ascii="Times New Roman" w:hAnsi="Times New Roman" w:cs="Times New Roman"/>
        </w:rPr>
        <w:t>项目开发方记录的所有注册参与用户的低碳出行活动，其地理边界为</w:t>
      </w:r>
      <w:r>
        <w:rPr>
          <w:rFonts w:hint="eastAsia" w:cs="Times New Roman"/>
          <w:lang w:val="en-US" w:eastAsia="zh-CN"/>
        </w:rPr>
        <w:t>长岛综合试验区</w:t>
      </w:r>
      <w:r>
        <w:rPr>
          <w:rFonts w:hint="default" w:ascii="Times New Roman" w:hAnsi="Times New Roman" w:cs="Times New Roman"/>
          <w:lang w:eastAsia="zh-CN"/>
        </w:rPr>
        <w:t>行政区域</w:t>
      </w:r>
      <w:r>
        <w:rPr>
          <w:rFonts w:hint="default" w:ascii="Times New Roman" w:hAnsi="Times New Roman" w:cs="Times New Roman"/>
        </w:rPr>
        <w:t>范围内。</w:t>
      </w:r>
    </w:p>
    <w:p w14:paraId="5F813B23">
      <w:pPr>
        <w:pStyle w:val="4"/>
        <w:bidi w:val="0"/>
        <w:rPr>
          <w:rFonts w:hint="default"/>
        </w:rPr>
      </w:pPr>
      <w:bookmarkStart w:id="50" w:name="_Toc24824"/>
      <w:r>
        <w:rPr>
          <w:rFonts w:hint="default"/>
        </w:rPr>
        <w:t>5.3  项目计入期</w:t>
      </w:r>
      <w:bookmarkEnd w:id="50"/>
    </w:p>
    <w:p w14:paraId="190DCB3A">
      <w:pPr>
        <w:pStyle w:val="3"/>
        <w:bidi w:val="0"/>
        <w:rPr>
          <w:rFonts w:hint="default" w:ascii="Times New Roman" w:hAnsi="Times New Roman" w:cs="Times New Roman"/>
        </w:rPr>
      </w:pPr>
      <w:r>
        <w:rPr>
          <w:rFonts w:hint="default" w:ascii="Times New Roman" w:hAnsi="Times New Roman" w:cs="Times New Roman"/>
        </w:rPr>
        <w:t>项目计入期为2020年9月</w:t>
      </w:r>
      <w:r>
        <w:rPr>
          <w:rFonts w:hint="default" w:ascii="Times New Roman" w:hAnsi="Times New Roman" w:cs="Times New Roman"/>
          <w:lang w:val="en-US" w:eastAsia="zh-CN"/>
        </w:rPr>
        <w:t>22日</w:t>
      </w:r>
      <w:r>
        <w:rPr>
          <w:rFonts w:hint="default" w:ascii="Times New Roman" w:hAnsi="Times New Roman" w:cs="Times New Roman"/>
        </w:rPr>
        <w:t>起</w:t>
      </w:r>
      <w:r>
        <w:rPr>
          <w:rFonts w:hint="default" w:ascii="Times New Roman" w:hAnsi="Times New Roman" w:cs="Times New Roman"/>
          <w:lang w:eastAsia="zh-CN"/>
        </w:rPr>
        <w:t>，</w:t>
      </w:r>
      <w:r>
        <w:rPr>
          <w:rFonts w:hint="default" w:ascii="Times New Roman" w:hAnsi="Times New Roman" w:cs="Times New Roman"/>
        </w:rPr>
        <w:t>可申请碳普惠项目减排量登记的时间期限，从项目申请登记的减排量产生时间开始，</w:t>
      </w:r>
      <w:bookmarkStart w:id="51" w:name="bookmark7"/>
      <w:bookmarkEnd w:id="51"/>
      <w:r>
        <w:rPr>
          <w:rFonts w:hint="default" w:ascii="Times New Roman" w:hAnsi="Times New Roman" w:cs="Times New Roman"/>
        </w:rPr>
        <w:t>单个项目计入期不超过三年，计入期可更新。</w:t>
      </w:r>
    </w:p>
    <w:p w14:paraId="5F1ED0CE">
      <w:pPr>
        <w:pStyle w:val="2"/>
        <w:bidi w:val="0"/>
        <w:rPr>
          <w:rFonts w:hint="default"/>
        </w:rPr>
      </w:pPr>
      <w:bookmarkStart w:id="52" w:name="bookmark28"/>
      <w:bookmarkEnd w:id="52"/>
      <w:bookmarkStart w:id="53" w:name="_Toc24418"/>
      <w:bookmarkStart w:id="54" w:name="_Toc31162"/>
      <w:r>
        <w:rPr>
          <w:rFonts w:hint="default"/>
        </w:rPr>
        <w:t>6  核算方法</w:t>
      </w:r>
      <w:bookmarkEnd w:id="53"/>
      <w:bookmarkEnd w:id="54"/>
    </w:p>
    <w:p w14:paraId="5E36EDE3">
      <w:pPr>
        <w:pStyle w:val="4"/>
        <w:bidi w:val="0"/>
        <w:rPr>
          <w:rFonts w:hint="default"/>
        </w:rPr>
      </w:pPr>
      <w:bookmarkStart w:id="55" w:name="_Toc8598"/>
      <w:r>
        <w:rPr>
          <w:rFonts w:hint="default"/>
        </w:rPr>
        <w:t>6.1  基准线情景</w:t>
      </w:r>
      <w:bookmarkEnd w:id="55"/>
    </w:p>
    <w:p w14:paraId="2691F363">
      <w:pPr>
        <w:pStyle w:val="3"/>
        <w:bidi w:val="0"/>
        <w:rPr>
          <w:rFonts w:hint="default" w:ascii="Times New Roman" w:hAnsi="Times New Roman" w:cs="Times New Roman"/>
        </w:rPr>
      </w:pPr>
      <w:r>
        <w:rPr>
          <w:rFonts w:hint="default" w:ascii="Times New Roman" w:hAnsi="Times New Roman" w:cs="Times New Roman"/>
        </w:rPr>
        <w:t>本规范</w:t>
      </w:r>
      <w:r>
        <w:rPr>
          <w:rFonts w:hint="eastAsia" w:cs="Times New Roman"/>
          <w:lang w:val="en-US" w:eastAsia="zh-CN"/>
        </w:rPr>
        <w:t>的</w:t>
      </w:r>
      <w:r>
        <w:rPr>
          <w:rFonts w:hint="default" w:ascii="Times New Roman" w:hAnsi="Times New Roman" w:cs="Times New Roman"/>
        </w:rPr>
        <w:t>基准线情景，</w:t>
      </w:r>
      <w:r>
        <w:rPr>
          <w:rFonts w:hint="eastAsia" w:cs="Times New Roman"/>
          <w:lang w:val="en-US" w:eastAsia="zh-CN"/>
        </w:rPr>
        <w:t>是指</w:t>
      </w:r>
      <w:r>
        <w:rPr>
          <w:rFonts w:hint="default" w:ascii="Times New Roman" w:hAnsi="Times New Roman" w:cs="Times New Roman"/>
        </w:rPr>
        <w:t>注册用户采用常规交通方式出行的综合平均碳排放水平。鉴于</w:t>
      </w:r>
      <w:r>
        <w:rPr>
          <w:rFonts w:hint="eastAsia" w:cs="Times New Roman"/>
          <w:lang w:val="en-US" w:eastAsia="zh-CN"/>
        </w:rPr>
        <w:t>长岛综合试验区</w:t>
      </w:r>
      <w:r>
        <w:rPr>
          <w:rFonts w:hint="default" w:ascii="Times New Roman" w:hAnsi="Times New Roman" w:cs="Times New Roman"/>
        </w:rPr>
        <w:t>已全面推进公共领域车辆电动化工作，基准线情景中，城市客运交通</w:t>
      </w:r>
      <w:r>
        <w:rPr>
          <w:rFonts w:hint="eastAsia" w:cs="Times New Roman"/>
          <w:lang w:val="en-US" w:eastAsia="zh-CN"/>
        </w:rPr>
        <w:t>已实现电动化</w:t>
      </w:r>
      <w:r>
        <w:rPr>
          <w:rFonts w:hint="default" w:ascii="Times New Roman" w:hAnsi="Times New Roman" w:cs="Times New Roman"/>
        </w:rPr>
        <w:t>；</w:t>
      </w:r>
      <w:r>
        <w:rPr>
          <w:rFonts w:hint="eastAsia" w:cs="Times New Roman"/>
          <w:lang w:val="en-US" w:eastAsia="zh-CN"/>
        </w:rPr>
        <w:t>而</w:t>
      </w:r>
      <w:r>
        <w:rPr>
          <w:rFonts w:hint="default" w:ascii="Times New Roman" w:hAnsi="Times New Roman" w:cs="Times New Roman"/>
        </w:rPr>
        <w:t>私人出行</w:t>
      </w:r>
      <w:r>
        <w:rPr>
          <w:rFonts w:hint="eastAsia" w:cs="Times New Roman"/>
          <w:lang w:val="en-US" w:eastAsia="zh-CN"/>
        </w:rPr>
        <w:t>仍包含燃油交通工具</w:t>
      </w:r>
      <w:r>
        <w:rPr>
          <w:rFonts w:hint="default" w:ascii="Times New Roman" w:hAnsi="Times New Roman" w:cs="Times New Roman"/>
        </w:rPr>
        <w:t>。综上，本基准线情景由电动公共汽车、电动出租车、</w:t>
      </w:r>
      <w:r>
        <w:rPr>
          <w:rFonts w:hint="default" w:ascii="Times New Roman" w:hAnsi="Times New Roman" w:cs="Times New Roman"/>
          <w:lang w:val="en-US" w:eastAsia="zh-CN"/>
        </w:rPr>
        <w:t>燃油私人小汽车、电动私人小汽车</w:t>
      </w:r>
      <w:r>
        <w:rPr>
          <w:rFonts w:hint="eastAsia" w:cs="Times New Roman"/>
          <w:lang w:val="en-US" w:eastAsia="zh-CN"/>
        </w:rPr>
        <w:t>四</w:t>
      </w:r>
      <w:r>
        <w:rPr>
          <w:rFonts w:hint="default" w:ascii="Times New Roman" w:hAnsi="Times New Roman" w:cs="Times New Roman"/>
        </w:rPr>
        <w:t>类交通工具的加权平均碳排放水平构成。</w:t>
      </w:r>
    </w:p>
    <w:p w14:paraId="652C9B44">
      <w:pPr>
        <w:pStyle w:val="4"/>
        <w:bidi w:val="0"/>
        <w:rPr>
          <w:rFonts w:hint="default"/>
        </w:rPr>
      </w:pPr>
      <w:bookmarkStart w:id="56" w:name="_Toc11922"/>
      <w:r>
        <w:rPr>
          <w:rFonts w:hint="default"/>
        </w:rPr>
        <w:t>6.2  基准线碳排放计算</w:t>
      </w:r>
      <w:bookmarkEnd w:id="56"/>
    </w:p>
    <w:p w14:paraId="236D1FD0">
      <w:pPr>
        <w:pStyle w:val="3"/>
        <w:bidi w:val="0"/>
        <w:rPr>
          <w:rFonts w:hint="default" w:ascii="Times New Roman" w:hAnsi="Times New Roman" w:cs="Times New Roman"/>
        </w:rPr>
      </w:pPr>
      <w:r>
        <w:rPr>
          <w:rFonts w:hint="default" w:ascii="Times New Roman" w:hAnsi="Times New Roman" w:cs="Times New Roman"/>
        </w:rPr>
        <w:t>基准线碳排放量（</w:t>
      </w: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BE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Times New Roman" w:hAnsi="Times New Roman" w:cs="Times New Roman"/>
                <w:b w:val="0"/>
                <w:i w:val="0"/>
                <w:lang w:val="en-US"/>
              </w:rPr>
            </m:ctrlPr>
          </m:sub>
        </m:sSub>
      </m:oMath>
      <w:r>
        <w:rPr>
          <w:rFonts w:hint="default" w:ascii="Times New Roman" w:hAnsi="Times New Roman" w:cs="Times New Roman"/>
        </w:rPr>
        <w:t>）的计算见公式（1）。</w:t>
      </w:r>
    </w:p>
    <w:p w14:paraId="17E6F584">
      <w:pPr>
        <w:pStyle w:val="22"/>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BE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Cambria Math" w:hAnsi="Cambria Math" w:cs="Times New Roman"/>
                <w:b w:val="0"/>
                <w:lang w:val="en-US"/>
              </w:rPr>
            </m:ctrlPr>
          </m:sub>
        </m:sSub>
        <m:r>
          <m:rPr>
            <m:nor/>
            <m:sty m:val="p"/>
          </m:rPr>
          <w:rPr>
            <w:rFonts w:ascii="Cambria Math" w:hAnsi="Cambria Math" w:cs="Times New Roman"/>
            <w:b w:val="0"/>
            <w:i w:val="0"/>
            <w:lang w:val="en-US"/>
          </w:rPr>
          <m:t>=</m:t>
        </m:r>
        <m:nary>
          <m:naryPr>
            <m:chr m:val="∑"/>
            <m:limLoc m:val="subSup"/>
            <m:supHide m:val="1"/>
            <m:ctrlPr>
              <w:rPr>
                <w:rFonts w:hint="default" w:ascii="Times New Roman" w:hAnsi="Times New Roman" w:cs="Times New Roman"/>
                <w:b w:val="0"/>
                <w:i w:val="0"/>
                <w:lang w:val="en-US"/>
              </w:rPr>
            </m:ctrlPr>
          </m:naryPr>
          <m:sub>
            <m:r>
              <m:rPr>
                <m:nor/>
                <m:sty m:val="p"/>
              </m:rPr>
              <w:rPr>
                <w:rFonts w:hint="default" w:ascii="Times New Roman" w:hAnsi="Times New Roman" w:eastAsia="宋体" w:cs="Times New Roman"/>
                <w:b w:val="0"/>
                <w:i w:val="0"/>
                <w:lang w:val="en-US" w:eastAsia="zh-CN"/>
              </w:rPr>
              <m:t>i</m:t>
            </m:r>
            <m:ctrlPr>
              <w:rPr>
                <w:rFonts w:hint="default" w:ascii="Times New Roman" w:hAnsi="Times New Roman" w:cs="Times New Roman"/>
                <w:b w:val="0"/>
                <w:i w:val="0"/>
                <w:lang w:val="en-US"/>
              </w:rPr>
            </m:ctrlPr>
          </m:sub>
          <m:sup>
            <m:ctrlPr>
              <w:rPr>
                <w:rFonts w:hint="default" w:ascii="Cambria Math" w:hAnsi="Cambria Math" w:cs="Times New Roman"/>
                <w:b w:val="0"/>
                <w:lang w:val="en-US"/>
              </w:rPr>
            </m:ctrlPr>
          </m:sup>
          <m:e>
            <m:r>
              <m:rPr>
                <m:sty m:val="p"/>
              </m:rPr>
              <w:rPr>
                <w:rFonts w:hint="default" w:eastAsia="宋体" w:cs="Times New Roman"/>
                <w:lang w:val="en-US" w:eastAsia="zh-CN"/>
              </w:rPr>
              <m:t>（</m:t>
            </m:r>
            <m:sSub>
              <m:sSubPr>
                <m:ctrlPr>
                  <w:rPr>
                    <w:rFonts w:hint="default" w:ascii="Cambria Math" w:hAnsi="Cambria Math" w:cs="Times New Roman"/>
                    <w:b w:val="0"/>
                    <w:i w:val="0"/>
                    <w:lang w:val="en-US"/>
                  </w:rPr>
                </m:ctrlPr>
              </m:sSubPr>
              <m:e>
                <m:r>
                  <m:rPr>
                    <m:sty m:val="p"/>
                  </m:rPr>
                  <w:rPr>
                    <w:rFonts w:hint="default" w:eastAsia="宋体" w:cs="Times New Roman"/>
                    <w:lang w:val="en-US" w:eastAsia="zh-CN"/>
                  </w:rPr>
                  <m:t>E</m:t>
                </m:r>
                <m:ctrlPr>
                  <w:rPr>
                    <w:rFonts w:hint="default" w:ascii="Cambria Math" w:hAnsi="Cambria Math" w:cs="Times New Roman"/>
                    <w:b w:val="0"/>
                    <w:i w:val="0"/>
                    <w:lang w:val="en-US"/>
                  </w:rPr>
                </m:ctrlPr>
              </m:e>
              <m:sub>
                <m:r>
                  <m:rPr>
                    <m:sty m:val="p"/>
                  </m:rPr>
                  <w:rPr>
                    <w:rFonts w:hint="default" w:eastAsia="宋体" w:cs="Times New Roman"/>
                    <w:lang w:val="en-US" w:eastAsia="zh-CN"/>
                  </w:rPr>
                  <m:t>b</m:t>
                </m:r>
                <m:ctrlPr>
                  <w:rPr>
                    <w:rFonts w:hint="default" w:ascii="Cambria Math" w:hAnsi="Cambria Math" w:cs="Times New Roman"/>
                    <w:b w:val="0"/>
                    <w:i w:val="0"/>
                    <w:lang w:val="en-US"/>
                  </w:rPr>
                </m:ctrlPr>
              </m:sub>
            </m:sSub>
            <m:r>
              <m:rPr>
                <m:sty m:val="p"/>
              </m:rPr>
              <w:rPr>
                <w:rFonts w:ascii="Cambria Math" w:hAnsi="Cambria Math" w:cs="Times New Roman"/>
                <w:lang w:val="en-US"/>
              </w:rPr>
              <m:t>×</m:t>
            </m:r>
            <m:sSub>
              <m:sSubPr>
                <m:ctrlPr>
                  <w:rPr>
                    <w:rFonts w:ascii="Cambria Math" w:hAnsi="Cambria Math" w:cs="Times New Roman"/>
                    <w:lang w:val="en-US"/>
                  </w:rPr>
                </m:ctrlPr>
              </m:sSubPr>
              <m:e>
                <m:r>
                  <m:rPr>
                    <m:sty m:val="p"/>
                  </m:rPr>
                  <w:rPr>
                    <w:rFonts w:hint="default" w:eastAsia="宋体" w:cs="Times New Roman"/>
                    <w:lang w:val="en-US" w:eastAsia="zh-CN"/>
                  </w:rPr>
                  <m:t>BD</m:t>
                </m:r>
                <m:ctrlPr>
                  <w:rPr>
                    <w:rFonts w:ascii="Cambria Math" w:hAnsi="Cambria Math" w:cs="Times New Roman"/>
                    <w:lang w:val="en-US"/>
                  </w:rPr>
                </m:ctrlPr>
              </m:e>
              <m:sub>
                <m:r>
                  <m:rPr>
                    <m:sty m:val="p"/>
                  </m:rPr>
                  <w:rPr>
                    <w:rFonts w:hint="default" w:eastAsia="宋体" w:cs="Times New Roman"/>
                    <w:lang w:val="en-US" w:eastAsia="zh-CN"/>
                  </w:rPr>
                  <m:t>i</m:t>
                </m:r>
                <m:ctrlPr>
                  <w:rPr>
                    <w:rFonts w:ascii="Cambria Math" w:hAnsi="Cambria Math" w:cs="Times New Roman"/>
                    <w:lang w:val="en-US"/>
                  </w:rPr>
                </m:ctrlPr>
              </m:sub>
            </m:sSub>
            <m:r>
              <m:rPr>
                <m:sty m:val="p"/>
              </m:rPr>
              <w:rPr>
                <w:rFonts w:hint="eastAsia" w:eastAsia="宋体" w:cs="Times New Roman"/>
                <w:lang w:val="en-US" w:eastAsia="zh-CN"/>
              </w:rPr>
              <m:t>）</m:t>
            </m:r>
            <m:ctrlPr>
              <w:rPr>
                <w:rFonts w:hint="default" w:ascii="Times New Roman" w:hAnsi="Times New Roman" w:cs="Times New Roman"/>
                <w:b w:val="0"/>
                <w:i w:val="0"/>
                <w:lang w:val="en-US"/>
              </w:rPr>
            </m:ctrlPr>
          </m:e>
        </m:nary>
      </m:oMath>
      <w:r>
        <w:rPr>
          <w:rFonts w:hint="default" w:ascii="Times New Roman" w:hAnsi="Times New Roman" w:cs="Times New Roman"/>
          <w:lang w:val="en-US" w:eastAsia="zh-CN"/>
        </w:rPr>
        <w:tab/>
      </w:r>
      <w:r>
        <w:rPr>
          <w:rFonts w:hint="default" w:ascii="Times New Roman" w:hAnsi="Times New Roman" w:cs="Times New Roman"/>
        </w:rPr>
        <w:t>（1）</w:t>
      </w:r>
    </w:p>
    <w:p w14:paraId="5FA67112">
      <w:pPr>
        <w:pStyle w:val="3"/>
        <w:bidi w:val="0"/>
        <w:rPr>
          <w:rFonts w:hint="default" w:ascii="Times New Roman" w:hAnsi="Times New Roman" w:cs="Times New Roman"/>
        </w:rPr>
      </w:pPr>
      <w:r>
        <w:rPr>
          <w:rFonts w:hint="default" w:ascii="Times New Roman" w:hAnsi="Times New Roman" w:cs="Times New Roman"/>
        </w:rPr>
        <w:t>式中：</w:t>
      </w:r>
    </w:p>
    <w:p w14:paraId="5E3E9F46">
      <w:pPr>
        <w:pStyle w:val="3"/>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BE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Times New Roman" w:hAnsi="Times New Roman" w:cs="Times New Roman"/>
                <w:b w:val="0"/>
                <w:i w:val="0"/>
                <w:lang w:val="en-US"/>
              </w:rPr>
            </m:ctrlPr>
          </m:sub>
        </m:sSub>
      </m:oMath>
      <w:r>
        <w:rPr>
          <w:rFonts w:hint="default" w:ascii="Times New Roman" w:hAnsi="Times New Roman" w:cs="Times New Roman"/>
        </w:rPr>
        <w:t>——第y年基准线碳排放量，单位为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5B7BF91C">
      <w:pPr>
        <w:pStyle w:val="3"/>
        <w:bidi w:val="0"/>
        <w:rPr>
          <w:rFonts w:hint="default" w:ascii="Times New Roman" w:hAnsi="Times New Roman" w:cs="Times New Roman"/>
        </w:rPr>
      </w:pPr>
      <m:oMath>
        <m:sSub>
          <m:sSubPr>
            <m:ctrlPr>
              <w:rPr>
                <w:rFonts w:hint="default" w:ascii="Cambria Math" w:hAnsi="Cambria Math" w:cs="Times New Roman"/>
                <w:b w:val="0"/>
                <w:i w:val="0"/>
                <w:lang w:val="en-US"/>
              </w:rPr>
            </m:ctrlPr>
          </m:sSubPr>
          <m:e>
            <m:r>
              <m:rPr>
                <m:sty m:val="p"/>
              </m:rPr>
              <w:rPr>
                <w:rFonts w:hint="default" w:eastAsia="宋体" w:cs="Times New Roman"/>
                <w:lang w:val="en-US" w:eastAsia="zh-CN"/>
              </w:rPr>
              <m:t>E</m:t>
            </m:r>
            <m:ctrlPr>
              <w:rPr>
                <w:rFonts w:hint="default" w:ascii="Cambria Math" w:hAnsi="Cambria Math" w:cs="Times New Roman"/>
                <w:b w:val="0"/>
                <w:i w:val="0"/>
                <w:lang w:val="en-US"/>
              </w:rPr>
            </m:ctrlPr>
          </m:e>
          <m:sub>
            <m:r>
              <m:rPr>
                <m:sty m:val="p"/>
              </m:rPr>
              <w:rPr>
                <w:rFonts w:hint="default" w:eastAsia="宋体" w:cs="Times New Roman"/>
                <w:lang w:val="en-US" w:eastAsia="zh-CN"/>
              </w:rPr>
              <m:t>b</m:t>
            </m:r>
            <m:ctrlPr>
              <w:rPr>
                <w:rFonts w:hint="default" w:ascii="Cambria Math" w:hAnsi="Cambria Math" w:cs="Times New Roman"/>
                <w:b w:val="0"/>
                <w:i w:val="0"/>
                <w:lang w:val="en-US"/>
              </w:rPr>
            </m:ctrlPr>
          </m:sub>
        </m:sSub>
      </m:oMath>
      <w:r>
        <w:rPr>
          <w:rFonts w:hint="default" w:ascii="Times New Roman" w:hAnsi="Times New Roman" w:cs="Times New Roman"/>
        </w:rPr>
        <w:t>——第i次出行基准线碳排放因子，单位为</w:t>
      </w:r>
      <w:r>
        <w:rPr>
          <w:rFonts w:hint="default" w:ascii="Times New Roman" w:hAnsi="Times New Roman" w:cs="Times New Roman"/>
          <w:lang w:val="en-US" w:eastAsia="zh-CN"/>
        </w:rPr>
        <w:t>千克</w:t>
      </w:r>
      <w:r>
        <w:rPr>
          <w:rFonts w:hint="default" w:ascii="Times New Roman" w:hAnsi="Times New Roman" w:cs="Times New Roman"/>
        </w:rPr>
        <w:t>二氧化碳每人公里（</w:t>
      </w:r>
      <w:r>
        <w:rPr>
          <w:rFonts w:hint="default" w:ascii="Times New Roman" w:hAnsi="Times New Roman" w:cs="Times New Roman"/>
          <w:lang w:val="en-US" w:eastAsia="zh-CN"/>
        </w:rPr>
        <w:t>kg</w:t>
      </w:r>
      <w:r>
        <w:rPr>
          <w:rFonts w:hint="default" w:ascii="Times New Roman" w:hAnsi="Times New Roman" w:cs="Times New Roman"/>
        </w:rPr>
        <w:t>CO₂/PKM），</w:t>
      </w:r>
      <w:r>
        <w:rPr>
          <w:rFonts w:hint="default" w:ascii="Times New Roman" w:hAnsi="Times New Roman" w:cs="Times New Roman"/>
          <w:lang w:val="en-US" w:eastAsia="zh-CN"/>
        </w:rPr>
        <w:t>取推荐值</w:t>
      </w:r>
      <w:r>
        <w:rPr>
          <w:rFonts w:hint="default" w:ascii="Times New Roman" w:hAnsi="Times New Roman" w:cs="Times New Roman"/>
        </w:rPr>
        <w:t>；</w:t>
      </w:r>
    </w:p>
    <w:p w14:paraId="6A99F4FE">
      <w:pPr>
        <w:pStyle w:val="3"/>
        <w:bidi w:val="0"/>
        <w:rPr>
          <w:rFonts w:hint="default" w:ascii="Times New Roman" w:hAnsi="Times New Roman" w:cs="Times New Roman"/>
        </w:rPr>
      </w:pPr>
      <m:oMath>
        <m:sSub>
          <m:sSubPr>
            <m:ctrlPr>
              <w:rPr>
                <w:rFonts w:ascii="Cambria Math" w:hAnsi="Cambria Math" w:cs="Times New Roman"/>
                <w:lang w:val="en-US"/>
              </w:rPr>
            </m:ctrlPr>
          </m:sSubPr>
          <m:e>
            <m:r>
              <m:rPr>
                <m:sty m:val="p"/>
              </m:rPr>
              <w:rPr>
                <w:rFonts w:hint="default" w:eastAsia="宋体" w:cs="Times New Roman"/>
                <w:lang w:val="en-US" w:eastAsia="zh-CN"/>
              </w:rPr>
              <m:t>BD</m:t>
            </m:r>
            <m:ctrlPr>
              <w:rPr>
                <w:rFonts w:ascii="Cambria Math" w:hAnsi="Cambria Math" w:cs="Times New Roman"/>
                <w:lang w:val="en-US"/>
              </w:rPr>
            </m:ctrlPr>
          </m:e>
          <m:sub>
            <m:r>
              <m:rPr>
                <m:sty m:val="p"/>
              </m:rPr>
              <w:rPr>
                <w:rFonts w:hint="default" w:eastAsia="宋体" w:cs="Times New Roman"/>
                <w:lang w:val="en-US" w:eastAsia="zh-CN"/>
              </w:rPr>
              <m:t>i</m:t>
            </m:r>
            <m:ctrlPr>
              <w:rPr>
                <w:rFonts w:ascii="Cambria Math" w:hAnsi="Cambria Math" w:cs="Times New Roman"/>
                <w:lang w:val="en-US"/>
              </w:rPr>
            </m:ctrlPr>
          </m:sub>
        </m:sSub>
      </m:oMath>
      <w:r>
        <w:rPr>
          <w:rFonts w:hint="default" w:ascii="Times New Roman" w:hAnsi="Times New Roman" w:cs="Times New Roman"/>
        </w:rPr>
        <w:t>——第i次出行基准线情景相对应的活动水平，单位为人公里（PKM），应按照附录A.1规定的方法计算。</w:t>
      </w:r>
    </w:p>
    <w:p w14:paraId="691CDB27">
      <w:pPr>
        <w:pStyle w:val="4"/>
        <w:bidi w:val="0"/>
        <w:rPr>
          <w:rFonts w:hint="default"/>
        </w:rPr>
      </w:pPr>
      <w:bookmarkStart w:id="57" w:name="_Toc10500"/>
      <w:r>
        <w:rPr>
          <w:rFonts w:hint="default"/>
        </w:rPr>
        <w:t>6.3  项目</w:t>
      </w:r>
      <w:r>
        <w:rPr>
          <w:rFonts w:hint="default"/>
          <w:lang w:val="en-US" w:eastAsia="zh-CN"/>
        </w:rPr>
        <w:t>情景</w:t>
      </w:r>
    </w:p>
    <w:p w14:paraId="1BF66D9E">
      <w:pPr>
        <w:pStyle w:val="3"/>
        <w:bidi w:val="0"/>
        <w:rPr>
          <w:rFonts w:hint="default" w:ascii="Times New Roman" w:hAnsi="Times New Roman" w:cs="Times New Roman"/>
        </w:rPr>
      </w:pPr>
      <w:r>
        <w:rPr>
          <w:rFonts w:hint="default" w:ascii="Times New Roman" w:hAnsi="Times New Roman" w:cs="Times New Roman"/>
        </w:rPr>
        <w:t>本规范</w:t>
      </w:r>
      <w:r>
        <w:rPr>
          <w:rFonts w:hint="eastAsia" w:cs="Times New Roman"/>
          <w:lang w:val="en-US" w:eastAsia="zh-CN"/>
        </w:rPr>
        <w:t>的</w:t>
      </w:r>
      <w:r>
        <w:rPr>
          <w:rFonts w:hint="default" w:ascii="Times New Roman" w:hAnsi="Times New Roman" w:cs="Times New Roman"/>
        </w:rPr>
        <w:t>项目情景，</w:t>
      </w:r>
      <w:r>
        <w:rPr>
          <w:rFonts w:hint="eastAsia" w:cs="Times New Roman"/>
          <w:lang w:val="en-US" w:eastAsia="zh-CN"/>
        </w:rPr>
        <w:t>是</w:t>
      </w:r>
      <w:r>
        <w:rPr>
          <w:rFonts w:hint="default" w:ascii="Times New Roman" w:hAnsi="Times New Roman" w:cs="Times New Roman"/>
        </w:rPr>
        <w:t>指注册用户在碳普惠机制引导下，主动选择的、能够产生可量化碳减排效益的低碳出行方式。具体包含以下</w:t>
      </w:r>
      <w:r>
        <w:rPr>
          <w:rFonts w:hint="eastAsia" w:cs="Times New Roman"/>
          <w:lang w:val="en-US" w:eastAsia="zh-CN"/>
        </w:rPr>
        <w:t>三</w:t>
      </w:r>
      <w:r>
        <w:rPr>
          <w:rFonts w:hint="default" w:ascii="Times New Roman" w:hAnsi="Times New Roman" w:cs="Times New Roman"/>
        </w:rPr>
        <w:t>类行为：其一，采用步行或自行车等慢行交通方式出行，此类活动不产生化石能源消耗与直接碳排放，其碳排放量计为零；其二，搭乘电动公共汽车出行，其碳排放量依据车辆实际行驶过程中消耗的电力量与对应电力碳排放因子的乘积进行核算；其三，采用小微型客车合乘（包括顺风车、拼车模式）方式出行，且所乘车辆为电动出租车。</w:t>
      </w:r>
    </w:p>
    <w:p w14:paraId="2F46BC57">
      <w:pPr>
        <w:pStyle w:val="4"/>
        <w:bidi w:val="0"/>
        <w:rPr>
          <w:rFonts w:hint="default"/>
        </w:rPr>
      </w:pPr>
      <w:r>
        <w:rPr>
          <w:rFonts w:hint="default"/>
        </w:rPr>
        <w:t>6.</w:t>
      </w:r>
      <w:r>
        <w:rPr>
          <w:rFonts w:hint="default"/>
          <w:lang w:val="en-US" w:eastAsia="zh-CN"/>
        </w:rPr>
        <w:t>4</w:t>
      </w:r>
      <w:r>
        <w:rPr>
          <w:rFonts w:hint="default"/>
        </w:rPr>
        <w:t xml:space="preserve">  项目碳排放计算</w:t>
      </w:r>
      <w:bookmarkEnd w:id="57"/>
    </w:p>
    <w:p w14:paraId="5EE107C6">
      <w:pPr>
        <w:pStyle w:val="3"/>
        <w:bidi w:val="0"/>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项目碳排放量（</w:t>
      </w: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PE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Times New Roman" w:hAnsi="Times New Roman" w:cs="Times New Roman"/>
                <w:b w:val="0"/>
                <w:i w:val="0"/>
                <w:lang w:val="en-US"/>
              </w:rPr>
            </m:ctrlPr>
          </m:sub>
        </m:sSub>
      </m:oMath>
      <w:r>
        <w:rPr>
          <w:rFonts w:hint="default" w:ascii="Times New Roman" w:hAnsi="Times New Roman" w:eastAsia="宋体" w:cs="Times New Roman"/>
          <w:spacing w:val="-1"/>
          <w:sz w:val="21"/>
          <w:szCs w:val="21"/>
        </w:rPr>
        <w:t>）的计算见公式（2）。</w:t>
      </w:r>
    </w:p>
    <w:p w14:paraId="4A43A832">
      <w:pPr>
        <w:pStyle w:val="22"/>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PE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Cambria Math" w:hAnsi="Cambria Math" w:cs="Times New Roman"/>
                <w:b w:val="0"/>
                <w:lang w:val="en-US"/>
              </w:rPr>
            </m:ctrlPr>
          </m:sub>
        </m:sSub>
        <m:r>
          <m:rPr>
            <m:nor/>
            <m:sty m:val="p"/>
          </m:rPr>
          <w:rPr>
            <w:rFonts w:ascii="Cambria Math" w:hAnsi="Cambria Math" w:cs="Times New Roman"/>
            <w:b w:val="0"/>
            <w:i w:val="0"/>
            <w:lang w:val="en-US"/>
          </w:rPr>
          <m:t>=</m:t>
        </m:r>
        <m:nary>
          <m:naryPr>
            <m:chr m:val="∑"/>
            <m:limLoc m:val="undOvr"/>
            <m:supHide m:val="1"/>
            <m:ctrlPr>
              <w:rPr>
                <w:rFonts w:hint="default" w:ascii="Times New Roman" w:hAnsi="Times New Roman" w:cs="Times New Roman"/>
                <w:b w:val="0"/>
                <w:i w:val="0"/>
                <w:lang w:val="en-US"/>
              </w:rPr>
            </m:ctrlPr>
          </m:naryPr>
          <m:sub>
            <m:r>
              <m:rPr>
                <m:nor/>
                <m:sty m:val="p"/>
              </m:rPr>
              <w:rPr>
                <w:rFonts w:hint="default" w:ascii="Times New Roman" w:hAnsi="Times New Roman" w:eastAsia="宋体" w:cs="Times New Roman"/>
                <w:b w:val="0"/>
                <w:i w:val="0"/>
                <w:lang w:val="en-US" w:eastAsia="zh-CN"/>
              </w:rPr>
              <m:t>i</m:t>
            </m:r>
            <m:ctrlPr>
              <w:rPr>
                <w:rFonts w:hint="default" w:ascii="Times New Roman" w:hAnsi="Times New Roman" w:cs="Times New Roman"/>
                <w:b w:val="0"/>
                <w:i w:val="0"/>
                <w:lang w:val="en-US"/>
              </w:rPr>
            </m:ctrlPr>
          </m:sub>
          <m:sup>
            <m:ctrlPr>
              <w:rPr>
                <w:rFonts w:hint="default" w:ascii="Times New Roman" w:hAnsi="Times New Roman" w:cs="Times New Roman"/>
                <w:b w:val="0"/>
                <w:i w:val="0"/>
                <w:lang w:val="en-US"/>
              </w:rPr>
            </m:ctrlPr>
          </m:sup>
          <m:e>
            <m:r>
              <m:rPr>
                <m:nor/>
                <m:sty m:val="p"/>
              </m:rPr>
              <w:rPr>
                <w:rFonts w:hint="default" w:ascii="Times New Roman" w:hAnsi="Times New Roman" w:eastAsia="宋体" w:cs="Times New Roman"/>
                <w:b w:val="0"/>
                <w:i w:val="0"/>
                <w:lang w:val="en-US" w:eastAsia="zh-CN"/>
              </w:rPr>
              <m:t>（</m:t>
            </m:r>
            <m:sSub>
              <m:sSubPr>
                <m:ctrlPr>
                  <w:rPr>
                    <w:rFonts w:hint="default" w:ascii="Times New Roman" w:hAnsi="Times New Roman" w:eastAsia="宋体" w:cs="Times New Roman"/>
                    <w:b w:val="0"/>
                    <w:i w:val="0"/>
                    <w:lang w:val="en-US" w:eastAsia="zh-CN"/>
                  </w:rPr>
                </m:ctrlPr>
              </m:sSubPr>
              <m:e>
                <m:r>
                  <m:rPr>
                    <m:nor/>
                    <m:sty m:val="p"/>
                  </m:rPr>
                  <w:rPr>
                    <w:rFonts w:hint="default" w:ascii="Times New Roman" w:hAnsi="Times New Roman" w:eastAsia="宋体" w:cs="Times New Roman"/>
                    <w:b w:val="0"/>
                    <w:i w:val="0"/>
                    <w:lang w:val="en-US" w:eastAsia="zh-CN"/>
                  </w:rPr>
                  <m:t>EF</m:t>
                </m:r>
                <m:ctrlPr>
                  <w:rPr>
                    <w:rFonts w:hint="default" w:ascii="Times New Roman" w:hAnsi="Times New Roman" w:eastAsia="宋体" w:cs="Times New Roman"/>
                    <w:b w:val="0"/>
                    <w:i w:val="0"/>
                    <w:lang w:val="en-US" w:eastAsia="zh-CN"/>
                  </w:rPr>
                </m:ctrlPr>
              </m:e>
              <m:sub>
                <m:r>
                  <m:rPr>
                    <m:nor/>
                    <m:sty m:val="p"/>
                  </m:rPr>
                  <w:rPr>
                    <w:rFonts w:hint="default" w:ascii="Times New Roman" w:hAnsi="Times New Roman" w:eastAsia="宋体" w:cs="Times New Roman"/>
                    <w:b w:val="0"/>
                    <w:i w:val="0"/>
                    <w:lang w:val="en-US" w:eastAsia="zh-CN"/>
                  </w:rPr>
                  <m:t>k</m:t>
                </m:r>
                <m:ctrlPr>
                  <w:rPr>
                    <w:rFonts w:hint="default" w:ascii="Times New Roman" w:hAnsi="Times New Roman" w:eastAsia="宋体" w:cs="Times New Roman"/>
                    <w:b w:val="0"/>
                    <w:i w:val="0"/>
                    <w:lang w:val="en-US" w:eastAsia="zh-CN"/>
                  </w:rPr>
                </m:ctrlPr>
              </m:sub>
            </m:sSub>
            <m:r>
              <m:rPr>
                <m:nor/>
                <m:sty m:val="p"/>
              </m:rPr>
              <w:rPr>
                <w:rFonts w:hint="eastAsia" w:ascii="Times New Roman" w:hAnsi="Times New Roman" w:eastAsia="宋体" w:cs="Times New Roman"/>
                <w:b w:val="0"/>
                <w:i w:val="0"/>
                <w:lang w:val="en-US" w:eastAsia="zh-CN"/>
              </w:rPr>
              <m:t>×</m:t>
            </m:r>
            <m:sSub>
              <m:sSubPr>
                <m:ctrlPr>
                  <w:rPr>
                    <w:rFonts w:hint="eastAsia" w:ascii="Times New Roman" w:hAnsi="Times New Roman" w:eastAsia="宋体" w:cs="Times New Roman"/>
                    <w:b w:val="0"/>
                    <w:i w:val="0"/>
                    <w:lang w:val="en-US" w:eastAsia="zh-CN"/>
                  </w:rPr>
                </m:ctrlPr>
              </m:sSubPr>
              <m:e>
                <m:r>
                  <m:rPr>
                    <m:nor/>
                    <m:sty m:val="p"/>
                  </m:rPr>
                  <w:rPr>
                    <w:rFonts w:hint="default" w:ascii="Times New Roman" w:hAnsi="Times New Roman" w:eastAsia="宋体" w:cs="Times New Roman"/>
                    <w:b w:val="0"/>
                    <w:i w:val="0"/>
                    <w:lang w:val="en-US" w:eastAsia="zh-CN"/>
                  </w:rPr>
                  <m:t>PD</m:t>
                </m:r>
                <m:ctrlPr>
                  <w:rPr>
                    <w:rFonts w:hint="eastAsia" w:ascii="Times New Roman" w:hAnsi="Times New Roman" w:eastAsia="宋体" w:cs="Times New Roman"/>
                    <w:b w:val="0"/>
                    <w:i w:val="0"/>
                    <w:lang w:val="en-US" w:eastAsia="zh-CN"/>
                  </w:rPr>
                </m:ctrlPr>
              </m:e>
              <m:sub>
                <m:r>
                  <m:rPr>
                    <m:nor/>
                    <m:sty m:val="p"/>
                  </m:rPr>
                  <w:rPr>
                    <w:rFonts w:hint="default" w:ascii="Times New Roman" w:hAnsi="Times New Roman" w:eastAsia="宋体" w:cs="Times New Roman"/>
                    <w:b w:val="0"/>
                    <w:i w:val="0"/>
                    <w:lang w:val="en-US" w:eastAsia="zh-CN"/>
                  </w:rPr>
                  <m:t>i,k,y</m:t>
                </m:r>
                <m:ctrlPr>
                  <w:rPr>
                    <w:rFonts w:hint="eastAsia" w:ascii="Times New Roman" w:hAnsi="Times New Roman" w:eastAsia="宋体" w:cs="Times New Roman"/>
                    <w:b w:val="0"/>
                    <w:i w:val="0"/>
                    <w:lang w:val="en-US" w:eastAsia="zh-CN"/>
                  </w:rPr>
                </m:ctrlPr>
              </m:sub>
            </m:sSub>
            <m:r>
              <m:rPr>
                <m:nor/>
                <m:sty m:val="p"/>
              </m:rPr>
              <w:rPr>
                <w:rFonts w:hint="default" w:ascii="Times New Roman" w:hAnsi="Times New Roman" w:eastAsia="宋体" w:cs="Times New Roman"/>
                <w:b w:val="0"/>
                <w:i w:val="0"/>
                <w:lang w:val="en-US" w:eastAsia="zh-CN"/>
              </w:rPr>
              <m:t>）</m:t>
            </m:r>
            <m:ctrlPr>
              <w:rPr>
                <w:rFonts w:hint="default" w:ascii="Times New Roman" w:hAnsi="Times New Roman" w:cs="Times New Roman"/>
                <w:b w:val="0"/>
                <w:i w:val="0"/>
                <w:lang w:val="en-US"/>
              </w:rPr>
            </m:ctrlPr>
          </m:e>
        </m:nary>
      </m:oMath>
      <w:r>
        <w:rPr>
          <w:rFonts w:hint="default" w:ascii="Times New Roman" w:hAnsi="Times New Roman" w:cs="Times New Roman"/>
          <w:lang w:val="en-US" w:eastAsia="zh-CN"/>
        </w:rPr>
        <w:tab/>
      </w:r>
      <w:r>
        <w:rPr>
          <w:rFonts w:hint="default" w:ascii="Times New Roman" w:hAnsi="Times New Roman" w:cs="Times New Roman"/>
        </w:rPr>
        <w:t>（2）</w:t>
      </w:r>
    </w:p>
    <w:p w14:paraId="671541DB">
      <w:pPr>
        <w:pStyle w:val="3"/>
        <w:bidi w:val="0"/>
        <w:rPr>
          <w:rFonts w:hint="default" w:ascii="Times New Roman" w:hAnsi="Times New Roman" w:cs="Times New Roman"/>
        </w:rPr>
      </w:pPr>
      <w:r>
        <w:rPr>
          <w:rFonts w:hint="default" w:ascii="Times New Roman" w:hAnsi="Times New Roman" w:cs="Times New Roman"/>
        </w:rPr>
        <w:t>式中：</w:t>
      </w:r>
    </w:p>
    <w:p w14:paraId="4AC3EAB4">
      <w:pPr>
        <w:pStyle w:val="3"/>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PE</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Times New Roman" w:hAnsi="Times New Roman" w:cs="Times New Roman"/>
                <w:b w:val="0"/>
                <w:i w:val="0"/>
                <w:lang w:val="en-US"/>
              </w:rPr>
            </m:ctrlPr>
          </m:sub>
        </m:sSub>
      </m:oMath>
      <w:r>
        <w:rPr>
          <w:rFonts w:hint="default" w:ascii="Times New Roman" w:hAnsi="Times New Roman" w:cs="Times New Roman"/>
        </w:rPr>
        <w:t>——第y年项目碳排放量，单位为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277B7346">
      <w:pPr>
        <w:pStyle w:val="3"/>
        <w:bidi w:val="0"/>
        <w:rPr>
          <w:rFonts w:hint="default" w:ascii="Times New Roman" w:hAnsi="Times New Roman" w:cs="Times New Roman"/>
        </w:rPr>
      </w:pPr>
      <m:oMath>
        <m:sSub>
          <m:sSubPr>
            <m:ctrlPr>
              <w:rPr>
                <w:rFonts w:hint="default" w:ascii="Times New Roman" w:hAnsi="Times New Roman" w:eastAsia="宋体" w:cs="Times New Roman"/>
                <w:b w:val="0"/>
                <w:i w:val="0"/>
                <w:lang w:val="en-US" w:eastAsia="zh-CN"/>
              </w:rPr>
            </m:ctrlPr>
          </m:sSubPr>
          <m:e>
            <m:r>
              <m:rPr>
                <m:nor/>
                <m:sty m:val="p"/>
              </m:rPr>
              <w:rPr>
                <w:rFonts w:hint="default" w:ascii="Times New Roman" w:hAnsi="Times New Roman" w:eastAsia="宋体" w:cs="Times New Roman"/>
                <w:b w:val="0"/>
                <w:i w:val="0"/>
                <w:lang w:val="en-US" w:eastAsia="zh-CN"/>
              </w:rPr>
              <m:t>EF</m:t>
            </m:r>
            <m:ctrlPr>
              <w:rPr>
                <w:rFonts w:hint="default" w:ascii="Times New Roman" w:hAnsi="Times New Roman" w:eastAsia="宋体" w:cs="Times New Roman"/>
                <w:b w:val="0"/>
                <w:i w:val="0"/>
                <w:lang w:val="en-US" w:eastAsia="zh-CN"/>
              </w:rPr>
            </m:ctrlPr>
          </m:e>
          <m:sub>
            <m:r>
              <m:rPr>
                <m:nor/>
                <m:sty m:val="p"/>
              </m:rPr>
              <w:rPr>
                <w:rFonts w:hint="default" w:ascii="Times New Roman" w:hAnsi="Times New Roman" w:eastAsia="宋体" w:cs="Times New Roman"/>
                <w:b w:val="0"/>
                <w:i w:val="0"/>
                <w:lang w:val="en-US" w:eastAsia="zh-CN"/>
              </w:rPr>
              <m:t>k</m:t>
            </m:r>
            <m:ctrlPr>
              <w:rPr>
                <w:rFonts w:hint="default" w:ascii="Times New Roman" w:hAnsi="Times New Roman" w:eastAsia="宋体" w:cs="Times New Roman"/>
                <w:b w:val="0"/>
                <w:i w:val="0"/>
                <w:lang w:val="en-US" w:eastAsia="zh-CN"/>
              </w:rPr>
            </m:ctrlPr>
          </m:sub>
        </m:sSub>
      </m:oMath>
      <w:r>
        <w:rPr>
          <w:rFonts w:hint="default" w:ascii="Times New Roman" w:hAnsi="Times New Roman" w:cs="Times New Roman"/>
        </w:rPr>
        <w:t>——k方式低碳出行碳排放因子（当k为合乘时，</w:t>
      </w:r>
      <m:oMath>
        <m:sSub>
          <m:sSubPr>
            <m:ctrlPr>
              <w:rPr>
                <w:rFonts w:hint="default" w:ascii="Times New Roman" w:hAnsi="Times New Roman" w:eastAsia="宋体" w:cs="Times New Roman"/>
                <w:b w:val="0"/>
                <w:i w:val="0"/>
                <w:lang w:val="en-US" w:eastAsia="zh-CN"/>
              </w:rPr>
            </m:ctrlPr>
          </m:sSubPr>
          <m:e>
            <m:r>
              <m:rPr>
                <m:nor/>
                <m:sty m:val="p"/>
              </m:rPr>
              <w:rPr>
                <w:rFonts w:hint="default" w:ascii="Times New Roman" w:hAnsi="Times New Roman" w:eastAsia="宋体" w:cs="Times New Roman"/>
                <w:b w:val="0"/>
                <w:i w:val="0"/>
                <w:lang w:val="en-US" w:eastAsia="zh-CN"/>
              </w:rPr>
              <m:t>EF</m:t>
            </m:r>
            <m:ctrlPr>
              <w:rPr>
                <w:rFonts w:hint="default" w:ascii="Times New Roman" w:hAnsi="Times New Roman" w:eastAsia="宋体" w:cs="Times New Roman"/>
                <w:b w:val="0"/>
                <w:i w:val="0"/>
                <w:lang w:val="en-US" w:eastAsia="zh-CN"/>
              </w:rPr>
            </m:ctrlPr>
          </m:e>
          <m:sub>
            <m:r>
              <m:rPr>
                <m:nor/>
                <m:sty m:val="p"/>
              </m:rPr>
              <w:rPr>
                <w:rFonts w:hint="default" w:ascii="Times New Roman" w:hAnsi="Times New Roman" w:eastAsia="宋体" w:cs="Times New Roman"/>
                <w:b w:val="0"/>
                <w:i w:val="0"/>
                <w:lang w:val="en-US" w:eastAsia="zh-CN"/>
              </w:rPr>
              <m:t>k</m:t>
            </m:r>
            <m:ctrlPr>
              <w:rPr>
                <w:rFonts w:hint="default" w:ascii="Times New Roman" w:hAnsi="Times New Roman" w:eastAsia="宋体" w:cs="Times New Roman"/>
                <w:b w:val="0"/>
                <w:i w:val="0"/>
                <w:lang w:val="en-US" w:eastAsia="zh-CN"/>
              </w:rPr>
            </m:ctrlPr>
          </m:sub>
        </m:sSub>
      </m:oMath>
      <w:r>
        <w:rPr>
          <w:rFonts w:hint="default" w:ascii="Times New Roman" w:hAnsi="Times New Roman" w:cs="Times New Roman"/>
        </w:rPr>
        <w:t>应除以合乘人数ni），单位为</w:t>
      </w:r>
      <w:r>
        <w:rPr>
          <w:rFonts w:hint="default" w:ascii="Times New Roman" w:hAnsi="Times New Roman" w:cs="Times New Roman"/>
          <w:lang w:val="en-US" w:eastAsia="zh-CN"/>
        </w:rPr>
        <w:t>千克</w:t>
      </w:r>
      <w:r>
        <w:rPr>
          <w:rFonts w:hint="default" w:ascii="Times New Roman" w:hAnsi="Times New Roman" w:cs="Times New Roman"/>
        </w:rPr>
        <w:t>二氧化碳每人公里（</w:t>
      </w:r>
      <w:r>
        <w:rPr>
          <w:rFonts w:hint="default" w:ascii="Times New Roman" w:hAnsi="Times New Roman" w:cs="Times New Roman"/>
          <w:lang w:val="en-US" w:eastAsia="zh-CN"/>
        </w:rPr>
        <w:t>kg</w:t>
      </w:r>
      <w:r>
        <w:rPr>
          <w:rFonts w:hint="default" w:ascii="Times New Roman" w:hAnsi="Times New Roman" w:cs="Times New Roman"/>
        </w:rPr>
        <w:t>CO₂/PKM）；</w:t>
      </w:r>
    </w:p>
    <w:p w14:paraId="68B8E552">
      <w:pPr>
        <w:pStyle w:val="3"/>
        <w:bidi w:val="0"/>
        <w:rPr>
          <w:rFonts w:hint="default" w:ascii="Times New Roman" w:hAnsi="Times New Roman" w:cs="Times New Roman"/>
          <w:lang w:val="en-US" w:eastAsia="zh-CN"/>
        </w:rPr>
      </w:pPr>
      <m:oMath>
        <m:sSub>
          <m:sSubPr>
            <m:ctrlPr>
              <w:rPr>
                <w:rFonts w:hint="eastAsia" w:ascii="Times New Roman" w:hAnsi="Times New Roman" w:eastAsia="宋体" w:cs="Times New Roman"/>
                <w:b w:val="0"/>
                <w:i w:val="0"/>
                <w:lang w:val="en-US" w:eastAsia="zh-CN"/>
              </w:rPr>
            </m:ctrlPr>
          </m:sSubPr>
          <m:e>
            <m:r>
              <m:rPr>
                <m:nor/>
                <m:sty m:val="p"/>
              </m:rPr>
              <w:rPr>
                <w:rFonts w:hint="default" w:ascii="Times New Roman" w:hAnsi="Times New Roman" w:eastAsia="宋体" w:cs="Times New Roman"/>
                <w:b w:val="0"/>
                <w:i w:val="0"/>
                <w:lang w:val="en-US" w:eastAsia="zh-CN"/>
              </w:rPr>
              <m:t>PD</m:t>
            </m:r>
            <m:ctrlPr>
              <w:rPr>
                <w:rFonts w:hint="eastAsia" w:ascii="Times New Roman" w:hAnsi="Times New Roman" w:eastAsia="宋体" w:cs="Times New Roman"/>
                <w:b w:val="0"/>
                <w:i w:val="0"/>
                <w:lang w:val="en-US" w:eastAsia="zh-CN"/>
              </w:rPr>
            </m:ctrlPr>
          </m:e>
          <m:sub>
            <m:r>
              <m:rPr>
                <m:nor/>
                <m:sty m:val="p"/>
              </m:rPr>
              <w:rPr>
                <w:rFonts w:hint="default" w:ascii="Times New Roman" w:hAnsi="Times New Roman" w:eastAsia="宋体" w:cs="Times New Roman"/>
                <w:b w:val="0"/>
                <w:i w:val="0"/>
                <w:lang w:val="en-US" w:eastAsia="zh-CN"/>
              </w:rPr>
              <m:t>i,k,y</m:t>
            </m:r>
            <m:ctrlPr>
              <w:rPr>
                <w:rFonts w:hint="eastAsia" w:ascii="Times New Roman" w:hAnsi="Times New Roman" w:eastAsia="宋体" w:cs="Times New Roman"/>
                <w:b w:val="0"/>
                <w:i w:val="0"/>
                <w:lang w:val="en-US" w:eastAsia="zh-CN"/>
              </w:rPr>
            </m:ctrlPr>
          </m:sub>
        </m:sSub>
      </m:oMath>
      <w:r>
        <w:rPr>
          <w:rFonts w:hint="default" w:ascii="Times New Roman" w:hAnsi="Times New Roman" w:cs="Times New Roman"/>
        </w:rPr>
        <w:t>——第y年第i次k方式低碳出行活动水平，单位为人公里（PKM），应按照附录A.2规定的方法计算；</w:t>
      </w:r>
    </w:p>
    <w:p w14:paraId="6F59EA13">
      <w:pPr>
        <w:pStyle w:val="3"/>
        <w:bidi w:val="0"/>
        <w:rPr>
          <w:rFonts w:hint="default" w:ascii="Times New Roman" w:hAnsi="Times New Roman" w:cs="Times New Roman"/>
        </w:rPr>
      </w:pPr>
      <w:r>
        <w:rPr>
          <w:rFonts w:hint="default" w:ascii="Times New Roman" w:hAnsi="Times New Roman" w:cs="Times New Roman"/>
        </w:rPr>
        <w:t>k——低碳出行方式。</w:t>
      </w:r>
    </w:p>
    <w:p w14:paraId="359C97BF">
      <w:pPr>
        <w:pStyle w:val="4"/>
        <w:bidi w:val="0"/>
        <w:rPr>
          <w:rFonts w:hint="default"/>
        </w:rPr>
      </w:pPr>
      <w:bookmarkStart w:id="58" w:name="_Toc16626"/>
      <w:r>
        <w:rPr>
          <w:rFonts w:hint="default"/>
        </w:rPr>
        <w:t>6.</w:t>
      </w:r>
      <w:r>
        <w:rPr>
          <w:rFonts w:hint="default"/>
          <w:lang w:val="en-US" w:eastAsia="zh-CN"/>
        </w:rPr>
        <w:t>5</w:t>
      </w:r>
      <w:r>
        <w:rPr>
          <w:rFonts w:hint="default"/>
        </w:rPr>
        <w:t xml:space="preserve">  减排量核算</w:t>
      </w:r>
      <w:bookmarkEnd w:id="58"/>
    </w:p>
    <w:p w14:paraId="0E6DE6B0">
      <w:pPr>
        <w:pStyle w:val="3"/>
        <w:bidi w:val="0"/>
        <w:rPr>
          <w:rFonts w:hint="default" w:ascii="Times New Roman" w:hAnsi="Times New Roman" w:cs="Times New Roman"/>
        </w:rPr>
      </w:pPr>
      <w:r>
        <w:rPr>
          <w:rFonts w:hint="default" w:ascii="Times New Roman" w:hAnsi="Times New Roman" w:cs="Times New Roman"/>
        </w:rPr>
        <w:t>碳减排量（</w:t>
      </w: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ER</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Cambria Math" w:hAnsi="Cambria Math" w:cs="Times New Roman"/>
                <w:b w:val="0"/>
                <w:lang w:val="en-US"/>
              </w:rPr>
            </m:ctrlPr>
          </m:sub>
        </m:sSub>
      </m:oMath>
      <w:r>
        <w:rPr>
          <w:rFonts w:hint="default" w:ascii="Times New Roman" w:hAnsi="Times New Roman" w:cs="Times New Roman"/>
        </w:rPr>
        <w:t>）的计算见公式（3）。</w:t>
      </w:r>
    </w:p>
    <w:p w14:paraId="4A723B1B">
      <w:pPr>
        <w:pStyle w:val="22"/>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ER</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Cambria Math" w:hAnsi="Cambria Math" w:cs="Times New Roman"/>
                <w:b w:val="0"/>
                <w:lang w:val="en-US"/>
              </w:rPr>
            </m:ctrlPr>
          </m:sub>
        </m:sSub>
        <m:r>
          <m:rPr>
            <m:nor/>
            <m:sty m:val="p"/>
          </m:rPr>
          <w:rPr>
            <w:rFonts w:ascii="Cambria Math" w:hAnsi="Cambria Math" w:cs="Times New Roman"/>
            <w:b w:val="0"/>
            <w:i w:val="0"/>
            <w:lang w:val="en-US"/>
          </w:rPr>
          <m:t>=</m:t>
        </m:r>
        <m:sSub>
          <m:sSubPr>
            <m:ctrlPr>
              <w:rPr>
                <w:rFonts w:ascii="Cambria Math" w:hAnsi="Cambria Math" w:cs="Times New Roman"/>
                <w:lang w:val="en-US"/>
              </w:rPr>
            </m:ctrlPr>
          </m:sSubPr>
          <m:e>
            <m:r>
              <m:rPr>
                <m:sty m:val="p"/>
              </m:rPr>
              <w:rPr>
                <w:rFonts w:hint="default" w:eastAsia="宋体" w:cs="Times New Roman"/>
                <w:lang w:val="en-US" w:eastAsia="zh-CN"/>
              </w:rPr>
              <m:t>BE</m:t>
            </m:r>
            <m:ctrlPr>
              <w:rPr>
                <w:rFonts w:ascii="Cambria Math" w:hAnsi="Cambria Math" w:cs="Times New Roman"/>
                <w:lang w:val="en-US"/>
              </w:rPr>
            </m:ctrlPr>
          </m:e>
          <m:sub>
            <m:r>
              <m:rPr>
                <m:sty m:val="p"/>
              </m:rPr>
              <w:rPr>
                <w:rFonts w:hint="default" w:eastAsia="宋体" w:cs="Times New Roman"/>
                <w:lang w:val="en-US" w:eastAsia="zh-CN"/>
              </w:rPr>
              <m:t>y</m:t>
            </m:r>
            <m:ctrlPr>
              <w:rPr>
                <w:rFonts w:ascii="Cambria Math" w:hAnsi="Cambria Math" w:cs="Times New Roman"/>
                <w:lang w:val="en-US"/>
              </w:rPr>
            </m:ctrlPr>
          </m:sub>
        </m:sSub>
        <m:r>
          <m:rPr>
            <m:nor/>
            <m:sty m:val="p"/>
          </m:rPr>
          <w:rPr>
            <w:rFonts w:ascii="Cambria Math" w:hAnsi="Cambria Math" w:cs="Times New Roman"/>
            <w:b w:val="0"/>
            <w:i w:val="0"/>
            <w:lang w:val="en-US"/>
          </w:rPr>
          <m:t>−</m:t>
        </m:r>
        <m:sSub>
          <m:sSubPr>
            <m:ctrlPr>
              <w:rPr>
                <w:rFonts w:ascii="Cambria Math" w:hAnsi="Cambria Math" w:cs="Times New Roman"/>
                <w:lang w:val="en-US"/>
              </w:rPr>
            </m:ctrlPr>
          </m:sSubPr>
          <m:e>
            <m:r>
              <m:rPr>
                <m:sty m:val="p"/>
              </m:rPr>
              <w:rPr>
                <w:rFonts w:hint="default" w:eastAsia="宋体" w:cs="Times New Roman"/>
                <w:lang w:val="en-US" w:eastAsia="zh-CN"/>
              </w:rPr>
              <m:t>PE</m:t>
            </m:r>
            <m:ctrlPr>
              <w:rPr>
                <w:rFonts w:ascii="Cambria Math" w:hAnsi="Cambria Math" w:cs="Times New Roman"/>
                <w:lang w:val="en-US"/>
              </w:rPr>
            </m:ctrlPr>
          </m:e>
          <m:sub>
            <m:r>
              <m:rPr>
                <m:sty m:val="p"/>
              </m:rPr>
              <w:rPr>
                <w:rFonts w:hint="default" w:eastAsia="宋体" w:cs="Times New Roman"/>
                <w:lang w:val="en-US" w:eastAsia="zh-CN"/>
              </w:rPr>
              <m:t>y</m:t>
            </m:r>
            <m:ctrlPr>
              <w:rPr>
                <w:rFonts w:ascii="Cambria Math" w:hAnsi="Cambria Math" w:cs="Times New Roman"/>
                <w:lang w:val="en-US"/>
              </w:rPr>
            </m:ctrlPr>
          </m:sub>
        </m:sSub>
      </m:oMath>
      <w:r>
        <w:rPr>
          <w:rFonts w:hint="default" w:ascii="Times New Roman" w:hAnsi="Times New Roman" w:cs="Times New Roman"/>
          <w:lang w:val="en-US" w:eastAsia="zh-CN"/>
        </w:rPr>
        <w:tab/>
      </w:r>
      <w:r>
        <w:rPr>
          <w:rFonts w:hint="default" w:ascii="Times New Roman" w:hAnsi="Times New Roman" w:cs="Times New Roman"/>
        </w:rPr>
        <w:t>（3）</w:t>
      </w:r>
    </w:p>
    <w:p w14:paraId="6A2DA72E">
      <w:pPr>
        <w:pStyle w:val="3"/>
        <w:bidi w:val="0"/>
        <w:rPr>
          <w:rFonts w:hint="default" w:ascii="Times New Roman" w:hAnsi="Times New Roman" w:cs="Times New Roman"/>
        </w:rPr>
      </w:pPr>
      <w:r>
        <w:rPr>
          <w:rFonts w:hint="default" w:ascii="Times New Roman" w:hAnsi="Times New Roman" w:cs="Times New Roman"/>
        </w:rPr>
        <w:t>式中：</w:t>
      </w:r>
    </w:p>
    <w:p w14:paraId="3DE898AA">
      <w:pPr>
        <w:pStyle w:val="3"/>
        <w:bidi w:val="0"/>
        <w:rPr>
          <w:rFonts w:hint="default" w:ascii="Times New Roman" w:hAnsi="Times New Roman" w:cs="Times New Roman"/>
        </w:rPr>
      </w:pPr>
      <m:oMath>
        <m:sSub>
          <m:sSubPr>
            <m:ctrlPr>
              <w:rPr>
                <w:rFonts w:hint="default" w:ascii="Times New Roman" w:hAnsi="Times New Roman" w:cs="Times New Roman"/>
                <w:b w:val="0"/>
                <w:i w:val="0"/>
                <w:lang w:val="en-US"/>
              </w:rPr>
            </m:ctrlPr>
          </m:sSubPr>
          <m:e>
            <m:r>
              <m:rPr>
                <m:nor/>
                <m:sty m:val="p"/>
              </m:rPr>
              <w:rPr>
                <w:rFonts w:hint="default" w:ascii="Times New Roman" w:hAnsi="Times New Roman" w:eastAsia="宋体" w:cs="Times New Roman"/>
                <w:b w:val="0"/>
                <w:i w:val="0"/>
                <w:lang w:val="en-US" w:eastAsia="zh-CN"/>
              </w:rPr>
              <m:t>ER</m:t>
            </m:r>
            <m:ctrlPr>
              <w:rPr>
                <w:rFonts w:hint="default" w:ascii="Times New Roman" w:hAnsi="Times New Roman" w:cs="Times New Roman"/>
                <w:b w:val="0"/>
                <w:i w:val="0"/>
                <w:lang w:val="en-US"/>
              </w:rPr>
            </m:ctrlPr>
          </m:e>
          <m:sub>
            <m:r>
              <m:rPr>
                <m:nor/>
                <m:sty m:val="p"/>
              </m:rPr>
              <w:rPr>
                <w:rFonts w:hint="default" w:ascii="Times New Roman" w:hAnsi="Times New Roman" w:eastAsia="宋体" w:cs="Times New Roman"/>
                <w:b w:val="0"/>
                <w:i w:val="0"/>
                <w:lang w:val="en-US" w:eastAsia="zh-CN"/>
              </w:rPr>
              <m:t>y</m:t>
            </m:r>
            <m:ctrlPr>
              <w:rPr>
                <w:rFonts w:hint="default" w:ascii="Cambria Math" w:hAnsi="Cambria Math" w:cs="Times New Roman"/>
                <w:b w:val="0"/>
                <w:lang w:val="en-US"/>
              </w:rPr>
            </m:ctrlPr>
          </m:sub>
        </m:sSub>
      </m:oMath>
      <w:r>
        <w:rPr>
          <w:rFonts w:hint="default" w:ascii="Times New Roman" w:hAnsi="Times New Roman" w:cs="Times New Roman"/>
        </w:rPr>
        <w:t>——第y年碳减排量，单位为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28DEBC53">
      <w:pPr>
        <w:pStyle w:val="3"/>
        <w:bidi w:val="0"/>
        <w:rPr>
          <w:rFonts w:hint="default" w:ascii="Times New Roman" w:hAnsi="Times New Roman" w:cs="Times New Roman"/>
        </w:rPr>
      </w:pPr>
      <m:oMath>
        <m:sSub>
          <m:sSubPr>
            <m:ctrlPr>
              <w:rPr>
                <w:rFonts w:ascii="Cambria Math" w:hAnsi="Cambria Math" w:cs="Times New Roman"/>
                <w:lang w:val="en-US"/>
              </w:rPr>
            </m:ctrlPr>
          </m:sSubPr>
          <m:e>
            <m:r>
              <m:rPr>
                <m:sty m:val="p"/>
              </m:rPr>
              <w:rPr>
                <w:rFonts w:hint="default" w:eastAsia="宋体" w:cs="Times New Roman"/>
                <w:lang w:val="en-US" w:eastAsia="zh-CN"/>
              </w:rPr>
              <m:t>BE</m:t>
            </m:r>
            <m:ctrlPr>
              <w:rPr>
                <w:rFonts w:ascii="Cambria Math" w:hAnsi="Cambria Math" w:cs="Times New Roman"/>
                <w:lang w:val="en-US"/>
              </w:rPr>
            </m:ctrlPr>
          </m:e>
          <m:sub>
            <m:r>
              <m:rPr>
                <m:sty m:val="p"/>
              </m:rPr>
              <w:rPr>
                <w:rFonts w:hint="default" w:eastAsia="宋体" w:cs="Times New Roman"/>
                <w:lang w:val="en-US" w:eastAsia="zh-CN"/>
              </w:rPr>
              <m:t>y</m:t>
            </m:r>
            <m:ctrlPr>
              <w:rPr>
                <w:rFonts w:ascii="Cambria Math" w:hAnsi="Cambria Math" w:cs="Times New Roman"/>
                <w:lang w:val="en-US"/>
              </w:rPr>
            </m:ctrlPr>
          </m:sub>
        </m:sSub>
      </m:oMath>
      <w:r>
        <w:rPr>
          <w:rFonts w:hint="default" w:ascii="Times New Roman" w:hAnsi="Times New Roman" w:cs="Times New Roman"/>
        </w:rPr>
        <w:t>——第y年基准线碳排放量，单位为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4D33FEE1">
      <w:pPr>
        <w:pStyle w:val="3"/>
        <w:bidi w:val="0"/>
        <w:rPr>
          <w:rFonts w:hint="default" w:ascii="Times New Roman" w:hAnsi="Times New Roman" w:cs="Times New Roman"/>
        </w:rPr>
      </w:pPr>
      <w:bookmarkStart w:id="59" w:name="bookmark8"/>
      <w:bookmarkEnd w:id="59"/>
      <m:oMath>
        <m:sSub>
          <m:sSubPr>
            <m:ctrlPr>
              <w:rPr>
                <w:rFonts w:ascii="Cambria Math" w:hAnsi="Cambria Math" w:cs="Times New Roman"/>
                <w:lang w:val="en-US"/>
              </w:rPr>
            </m:ctrlPr>
          </m:sSubPr>
          <m:e>
            <m:r>
              <m:rPr>
                <m:sty m:val="p"/>
              </m:rPr>
              <w:rPr>
                <w:rFonts w:hint="default" w:eastAsia="宋体" w:cs="Times New Roman"/>
                <w:lang w:val="en-US" w:eastAsia="zh-CN"/>
              </w:rPr>
              <m:t>PE</m:t>
            </m:r>
            <m:ctrlPr>
              <w:rPr>
                <w:rFonts w:ascii="Cambria Math" w:hAnsi="Cambria Math" w:cs="Times New Roman"/>
                <w:lang w:val="en-US"/>
              </w:rPr>
            </m:ctrlPr>
          </m:e>
          <m:sub>
            <m:r>
              <m:rPr>
                <m:sty m:val="p"/>
              </m:rPr>
              <w:rPr>
                <w:rFonts w:hint="default" w:eastAsia="宋体" w:cs="Times New Roman"/>
                <w:lang w:val="en-US" w:eastAsia="zh-CN"/>
              </w:rPr>
              <m:t>y</m:t>
            </m:r>
            <m:ctrlPr>
              <w:rPr>
                <w:rFonts w:ascii="Cambria Math" w:hAnsi="Cambria Math" w:cs="Times New Roman"/>
                <w:lang w:val="en-US"/>
              </w:rPr>
            </m:ctrlPr>
          </m:sub>
        </m:sSub>
      </m:oMath>
      <w:r>
        <w:rPr>
          <w:rFonts w:hint="default" w:ascii="Times New Roman" w:hAnsi="Times New Roman" w:cs="Times New Roman"/>
        </w:rPr>
        <w:t>——第y年项目碳排放量，单位为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0ABB40B2">
      <w:pPr>
        <w:pStyle w:val="2"/>
        <w:bidi w:val="0"/>
        <w:rPr>
          <w:rFonts w:hint="default"/>
        </w:rPr>
      </w:pPr>
      <w:bookmarkStart w:id="60" w:name="bookmark19"/>
      <w:bookmarkEnd w:id="60"/>
      <w:bookmarkStart w:id="61" w:name="_Toc24844"/>
      <w:bookmarkStart w:id="62" w:name="_Toc20304"/>
      <w:r>
        <w:rPr>
          <w:rFonts w:hint="default"/>
        </w:rPr>
        <w:t>7  数据监测与管理</w:t>
      </w:r>
      <w:bookmarkEnd w:id="61"/>
      <w:bookmarkEnd w:id="62"/>
    </w:p>
    <w:p w14:paraId="3BCD1BC9">
      <w:pPr>
        <w:pStyle w:val="4"/>
        <w:bidi w:val="0"/>
        <w:rPr>
          <w:rFonts w:hint="default"/>
        </w:rPr>
      </w:pPr>
      <w:bookmarkStart w:id="63" w:name="_Toc4095"/>
      <w:r>
        <w:rPr>
          <w:rFonts w:hint="default"/>
        </w:rPr>
        <w:t>7.1  项目运行需要监测的数据</w:t>
      </w:r>
      <w:bookmarkEnd w:id="63"/>
    </w:p>
    <w:p w14:paraId="56614034">
      <w:pPr>
        <w:pStyle w:val="3"/>
        <w:bidi w:val="0"/>
        <w:rPr>
          <w:rFonts w:hint="default" w:ascii="Times New Roman" w:hAnsi="Times New Roman" w:cs="Times New Roman"/>
        </w:rPr>
      </w:pPr>
      <w:r>
        <w:rPr>
          <w:rFonts w:hint="default" w:ascii="Times New Roman" w:hAnsi="Times New Roman" w:cs="Times New Roman"/>
        </w:rPr>
        <w:t>项目运行需要监测的数据主要包括低碳出行方式、起讫位置、时段和轨迹信息等，具体数据的单位和描述见附录B。</w:t>
      </w:r>
    </w:p>
    <w:p w14:paraId="15DC5C4A">
      <w:pPr>
        <w:pStyle w:val="4"/>
        <w:bidi w:val="0"/>
        <w:rPr>
          <w:rFonts w:hint="default"/>
        </w:rPr>
      </w:pPr>
      <w:bookmarkStart w:id="64" w:name="_Toc16530"/>
      <w:r>
        <w:rPr>
          <w:rFonts w:hint="default"/>
        </w:rPr>
        <w:t>7.2  数据监测要求</w:t>
      </w:r>
      <w:bookmarkEnd w:id="64"/>
    </w:p>
    <w:p w14:paraId="4469EFD9">
      <w:pPr>
        <w:pStyle w:val="3"/>
        <w:bidi w:val="0"/>
        <w:rPr>
          <w:rFonts w:hint="default" w:ascii="Times New Roman" w:hAnsi="Times New Roman" w:cs="Times New Roman"/>
        </w:rPr>
      </w:pPr>
      <w:r>
        <w:rPr>
          <w:rFonts w:hint="default" w:ascii="Times New Roman" w:hAnsi="Times New Roman" w:cs="Times New Roman"/>
        </w:rPr>
        <w:t>数据监测应符合相关行业标准和技术规范要求，数据质量要求应与附录B要求保持一致。</w:t>
      </w:r>
    </w:p>
    <w:p w14:paraId="7D4682C8">
      <w:pPr>
        <w:pStyle w:val="4"/>
        <w:bidi w:val="0"/>
        <w:rPr>
          <w:rFonts w:hint="default"/>
        </w:rPr>
      </w:pPr>
      <w:bookmarkStart w:id="65" w:name="_Toc29955"/>
      <w:r>
        <w:rPr>
          <w:rFonts w:hint="default"/>
        </w:rPr>
        <w:t>7.3  数据管理与归档要求</w:t>
      </w:r>
      <w:bookmarkEnd w:id="65"/>
    </w:p>
    <w:p w14:paraId="57600A2C">
      <w:pPr>
        <w:pStyle w:val="3"/>
        <w:bidi w:val="0"/>
        <w:rPr>
          <w:rFonts w:hint="default" w:ascii="Times New Roman" w:hAnsi="Times New Roman" w:cs="Times New Roman"/>
        </w:rPr>
      </w:pPr>
      <w:r>
        <w:rPr>
          <w:rFonts w:hint="default" w:ascii="Times New Roman" w:hAnsi="Times New Roman" w:cs="Times New Roman"/>
        </w:rPr>
        <w:t>项目开发方应建立数据、信息等原始记录和台账管理制度，确保数据的准确性和完整性，妥善保管监测数据和有关补充记录信息。</w:t>
      </w:r>
    </w:p>
    <w:p w14:paraId="0065F470">
      <w:pPr>
        <w:pStyle w:val="3"/>
        <w:bidi w:val="0"/>
        <w:rPr>
          <w:rFonts w:hint="default" w:ascii="Times New Roman" w:hAnsi="Times New Roman" w:cs="Times New Roman"/>
        </w:rPr>
      </w:pPr>
      <w:r>
        <w:rPr>
          <w:rFonts w:hint="default" w:ascii="Times New Roman" w:hAnsi="Times New Roman" w:cs="Times New Roman"/>
        </w:rPr>
        <w:t>项目设计和运行阶段产生的所有数据、信息均应电子版或纸质版存档，存档材料至少保存至最后一期减排量登记后10年，确保相关数据可被追溯。</w:t>
      </w:r>
    </w:p>
    <w:p w14:paraId="51189ED1">
      <w:pPr>
        <w:pStyle w:val="3"/>
        <w:bidi w:val="0"/>
        <w:rPr>
          <w:rFonts w:hint="default" w:ascii="Times New Roman" w:hAnsi="Times New Roman" w:cs="Times New Roman"/>
        </w:rPr>
      </w:pPr>
    </w:p>
    <w:p w14:paraId="323F7D38">
      <w:pPr>
        <w:pStyle w:val="3"/>
        <w:bidi w:val="0"/>
        <w:rPr>
          <w:rFonts w:hint="default" w:ascii="Times New Roman" w:hAnsi="Times New Roman" w:cs="Times New Roman"/>
        </w:rPr>
        <w:sectPr>
          <w:footerReference r:id="rId9" w:type="default"/>
          <w:pgSz w:w="11907" w:h="16839"/>
          <w:pgMar w:top="1716" w:right="1128" w:bottom="1340" w:left="1426" w:header="1391" w:footer="1106" w:gutter="0"/>
          <w:pgNumType w:fmt="decimal" w:start="1"/>
          <w:cols w:space="720" w:num="1"/>
        </w:sectPr>
      </w:pPr>
    </w:p>
    <w:p w14:paraId="5289CA15">
      <w:pPr>
        <w:pStyle w:val="2"/>
        <w:bidi w:val="0"/>
        <w:rPr>
          <w:rFonts w:hint="default"/>
        </w:rPr>
      </w:pPr>
      <w:bookmarkStart w:id="66" w:name="bookmark29"/>
      <w:bookmarkEnd w:id="66"/>
      <w:bookmarkStart w:id="67" w:name="_Toc18915"/>
      <w:bookmarkStart w:id="68" w:name="_Toc24800"/>
      <w:r>
        <w:rPr>
          <w:rFonts w:hint="default"/>
        </w:rPr>
        <w:t>附</w:t>
      </w:r>
      <w:r>
        <w:rPr>
          <w:rFonts w:hint="default"/>
          <w:lang w:val="en-US" w:eastAsia="zh-CN"/>
        </w:rPr>
        <w:t xml:space="preserve"> </w:t>
      </w:r>
      <w:r>
        <w:rPr>
          <w:rFonts w:hint="default"/>
        </w:rPr>
        <w:t>录</w:t>
      </w:r>
      <w:r>
        <w:rPr>
          <w:rFonts w:hint="default"/>
          <w:lang w:val="en-US" w:eastAsia="zh-CN"/>
        </w:rPr>
        <w:t xml:space="preserve"> </w:t>
      </w:r>
      <w:r>
        <w:rPr>
          <w:rFonts w:hint="default"/>
        </w:rPr>
        <w:t>A</w:t>
      </w:r>
      <w:bookmarkStart w:id="69" w:name="bookmark21"/>
      <w:bookmarkEnd w:id="69"/>
      <w:bookmarkStart w:id="70" w:name="bookmark9"/>
      <w:bookmarkEnd w:id="70"/>
      <w:bookmarkStart w:id="71" w:name="bookmark29"/>
      <w:bookmarkEnd w:id="71"/>
      <w:r>
        <w:rPr>
          <w:rFonts w:hint="default"/>
        </w:rPr>
        <w:t>（规范性）</w:t>
      </w:r>
      <w:bookmarkStart w:id="72" w:name="bookmark21"/>
      <w:bookmarkEnd w:id="72"/>
      <w:bookmarkStart w:id="73" w:name="bookmark29"/>
      <w:bookmarkEnd w:id="73"/>
      <w:r>
        <w:rPr>
          <w:rFonts w:hint="default"/>
          <w:lang w:val="en-US" w:eastAsia="zh-CN"/>
        </w:rPr>
        <w:t>参数</w:t>
      </w:r>
      <w:r>
        <w:rPr>
          <w:rFonts w:hint="default"/>
        </w:rPr>
        <w:t>计算方法</w:t>
      </w:r>
      <w:bookmarkEnd w:id="67"/>
      <w:bookmarkEnd w:id="68"/>
    </w:p>
    <w:p w14:paraId="0A57801D">
      <w:pPr>
        <w:pStyle w:val="4"/>
        <w:bidi w:val="0"/>
        <w:rPr>
          <w:rFonts w:hint="default"/>
          <w:lang w:val="en-US" w:eastAsia="zh-CN"/>
        </w:rPr>
      </w:pPr>
      <w:bookmarkStart w:id="74" w:name="_Toc26263"/>
      <w:r>
        <w:rPr>
          <w:rFonts w:hint="default"/>
        </w:rPr>
        <w:t>A.1  基准线情景</w:t>
      </w:r>
      <w:r>
        <w:rPr>
          <w:rFonts w:hint="default"/>
          <w:lang w:val="en-US" w:eastAsia="zh-CN"/>
        </w:rPr>
        <w:t>参数计算</w:t>
      </w:r>
      <w:bookmarkEnd w:id="74"/>
    </w:p>
    <w:p w14:paraId="6F9F61DA">
      <w:pPr>
        <w:pStyle w:val="5"/>
        <w:bidi w:val="0"/>
        <w:rPr>
          <w:rFonts w:hint="default" w:ascii="Times New Roman" w:hAnsi="Times New Roman" w:cs="Times New Roman"/>
          <w:lang w:val="en-US" w:eastAsia="zh-CN"/>
        </w:rPr>
      </w:pPr>
      <w:bookmarkStart w:id="75" w:name="_Toc10413"/>
      <w:r>
        <w:rPr>
          <w:rFonts w:hint="default" w:ascii="Times New Roman" w:hAnsi="Times New Roman" w:cs="Times New Roman"/>
          <w:lang w:val="en-US" w:eastAsia="zh-CN"/>
        </w:rPr>
        <w:t xml:space="preserve">A.1.1  </w:t>
      </w:r>
      <w:r>
        <w:rPr>
          <w:rFonts w:hint="default" w:ascii="Times New Roman" w:hAnsi="Times New Roman" w:cs="Times New Roman"/>
        </w:rPr>
        <w:t>基准线情景排放因子</w:t>
      </w:r>
      <w:bookmarkEnd w:id="75"/>
      <m:oMath>
        <m:sSub>
          <m:sSubPr>
            <m:ctrlPr>
              <w:rPr>
                <w:rFonts w:hint="default" w:ascii="Cambria Math" w:hAnsi="Cambria Math" w:eastAsia="宋体" w:cs="Times New Roman"/>
                <w:i w:val="0"/>
                <w:snapToGrid w:val="0"/>
                <w:color w:val="000000"/>
                <w:kern w:val="0"/>
                <w:sz w:val="21"/>
                <w:szCs w:val="21"/>
                <w:lang w:val="en-US"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i w:val="0"/>
                <w:snapToGrid w:val="0"/>
                <w:color w:val="000000"/>
                <w:kern w:val="0"/>
                <w:sz w:val="21"/>
                <w:szCs w:val="21"/>
                <w:lang w:val="en-US" w:bidi="ar-SA"/>
              </w:rPr>
            </m:ctrlPr>
          </m:e>
          <m:sub>
            <m:r>
              <m:rPr>
                <m:nor/>
                <m:sty m:val="p"/>
              </m:rPr>
              <w:rPr>
                <w:rFonts w:hint="default" w:ascii="Times New Roman" w:hAnsi="Times New Roman" w:eastAsia="宋体" w:cs="Times New Roman"/>
                <w:b w:val="0"/>
                <w:i w:val="0"/>
                <w:snapToGrid w:val="0"/>
                <w:color w:val="000000"/>
                <w:kern w:val="0"/>
                <w:sz w:val="21"/>
                <w:szCs w:val="21"/>
                <w:lang w:val="en-US" w:eastAsia="zh-CN" w:bidi="ar-SA"/>
              </w:rPr>
              <m:t>b</m:t>
            </m:r>
            <m:ctrlPr>
              <w:rPr>
                <w:rFonts w:hint="default" w:ascii="Cambria Math" w:hAnsi="Cambria Math" w:eastAsia="宋体" w:cs="Times New Roman"/>
                <w:snapToGrid w:val="0"/>
                <w:color w:val="000000"/>
                <w:kern w:val="0"/>
                <w:sz w:val="21"/>
                <w:szCs w:val="21"/>
                <w:lang w:val="en-US" w:bidi="ar-SA"/>
              </w:rPr>
            </m:ctrlPr>
          </m:sub>
        </m:sSub>
      </m:oMath>
    </w:p>
    <w:p w14:paraId="6FF10605">
      <w:pPr>
        <w:pStyle w:val="3"/>
        <w:bidi w:val="0"/>
        <w:rPr>
          <w:rFonts w:hint="default" w:ascii="Times New Roman" w:hAnsi="Times New Roman" w:eastAsia="宋体" w:cs="Times New Roman"/>
          <w:lang w:eastAsia="zh-CN"/>
        </w:rPr>
      </w:pPr>
      <w:r>
        <w:rPr>
          <w:rFonts w:hint="default" w:ascii="Times New Roman" w:hAnsi="Times New Roman" w:cs="Times New Roman"/>
        </w:rPr>
        <w:t>基准线情景排放因子计算见公式</w:t>
      </w:r>
      <w:r>
        <w:rPr>
          <w:rFonts w:hint="eastAsia" w:cs="Times New Roman"/>
          <w:lang w:eastAsia="zh-CN"/>
        </w:rPr>
        <w:t>（</w:t>
      </w:r>
      <w:r>
        <w:rPr>
          <w:rFonts w:hint="eastAsia" w:cs="Times New Roman"/>
          <w:lang w:val="en-US" w:eastAsia="zh-CN"/>
        </w:rPr>
        <w:t>4</w:t>
      </w:r>
      <w:r>
        <w:rPr>
          <w:rFonts w:hint="eastAsia" w:cs="Times New Roman"/>
          <w:lang w:eastAsia="zh-CN"/>
        </w:rPr>
        <w:t>）</w:t>
      </w:r>
      <w:r>
        <w:rPr>
          <w:rFonts w:hint="default" w:ascii="Times New Roman" w:hAnsi="Times New Roman" w:cs="Times New Roman"/>
          <w:lang w:eastAsia="zh-CN"/>
        </w:rPr>
        <w:t>：</w:t>
      </w:r>
    </w:p>
    <w:p w14:paraId="320F484A">
      <w:pPr>
        <w:pStyle w:val="22"/>
        <w:bidi w:val="0"/>
        <w:rPr>
          <w:rFonts w:hint="default" w:ascii="Times New Roman" w:hAnsi="Times New Roman" w:eastAsia="宋体" w:cs="Times New Roman"/>
          <w:sz w:val="21"/>
          <w:szCs w:val="21"/>
          <w:lang w:eastAsia="zh-CN"/>
        </w:rPr>
      </w:pPr>
      <m:oMath>
        <m:sSub>
          <m:sSubPr>
            <m:ctrlPr>
              <w:rPr>
                <w:rFonts w:hint="default" w:ascii="Cambria Math" w:hAnsi="Cambria Math" w:eastAsia="宋体" w:cs="Times New Roman"/>
                <w:b w:val="0"/>
                <w:i w:val="0"/>
                <w:snapToGrid w:val="0"/>
                <w:color w:val="000000"/>
                <w:kern w:val="0"/>
                <w:sz w:val="21"/>
                <w:szCs w:val="21"/>
                <w:lang w:val="en-US" w:eastAsia="zh-CN"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b w:val="0"/>
                <w:i w:val="0"/>
                <w:snapToGrid w:val="0"/>
                <w:color w:val="000000"/>
                <w:kern w:val="0"/>
                <w:sz w:val="21"/>
                <w:szCs w:val="21"/>
                <w:lang w:val="en-US" w:eastAsia="zh-CN" w:bidi="ar-SA"/>
              </w:rPr>
            </m:ctrlPr>
          </m:e>
          <m:sub>
            <m:r>
              <m:rPr>
                <m:nor/>
                <m:sty m:val="p"/>
              </m:rPr>
              <w:rPr>
                <w:rFonts w:hint="default" w:ascii="Times New Roman" w:hAnsi="Times New Roman" w:eastAsia="宋体" w:cs="Times New Roman"/>
                <w:b w:val="0"/>
                <w:i w:val="0"/>
                <w:snapToGrid w:val="0"/>
                <w:color w:val="000000"/>
                <w:kern w:val="0"/>
                <w:sz w:val="21"/>
                <w:szCs w:val="21"/>
                <w:lang w:val="en-US" w:eastAsia="zh-CN" w:bidi="ar-SA"/>
              </w:rPr>
              <m:t>b</m:t>
            </m:r>
            <m:ctrlPr>
              <w:rPr>
                <w:rFonts w:hint="default" w:ascii="Cambria Math" w:hAnsi="Cambria Math" w:eastAsia="宋体" w:cs="Times New Roman"/>
                <w:b w:val="0"/>
                <w:i w:val="0"/>
                <w:snapToGrid w:val="0"/>
                <w:color w:val="000000"/>
                <w:kern w:val="0"/>
                <w:sz w:val="21"/>
                <w:szCs w:val="21"/>
                <w:lang w:val="en-US" w:eastAsia="zh-CN" w:bidi="ar-SA"/>
              </w:rPr>
            </m:ctrlPr>
          </m:sub>
        </m:sSub>
        <m:r>
          <m:rPr>
            <m:nor/>
            <m:sty m:val="p"/>
          </m:rPr>
          <w:rPr>
            <w:rFonts w:hint="default" w:ascii="Times New Roman" w:hAnsi="Times New Roman" w:eastAsia="宋体" w:cs="Times New Roman"/>
            <w:b w:val="0"/>
            <w:i w:val="0"/>
            <w:snapToGrid w:val="0"/>
            <w:color w:val="000000"/>
            <w:kern w:val="0"/>
            <w:sz w:val="21"/>
            <w:szCs w:val="21"/>
            <w:lang w:val="en-US" w:eastAsia="zh-CN" w:bidi="ar-SA"/>
          </w:rPr>
          <m:t>=</m:t>
        </m:r>
        <m:nary>
          <m:naryPr>
            <m:chr m:val="∑"/>
            <m:limLoc m:val="undOvr"/>
            <m:subHide m:val="1"/>
            <m:supHide m:val="1"/>
            <m:ctrlPr>
              <w:rPr>
                <w:rFonts w:hint="default" w:ascii="Cambria Math" w:hAnsi="Cambria Math" w:eastAsia="宋体" w:cs="Times New Roman"/>
                <w:b w:val="0"/>
                <w:i w:val="0"/>
                <w:snapToGrid w:val="0"/>
                <w:color w:val="000000"/>
                <w:kern w:val="0"/>
                <w:sz w:val="21"/>
                <w:szCs w:val="21"/>
                <w:lang w:val="en-US" w:eastAsia="zh-CN" w:bidi="ar-SA"/>
              </w:rPr>
            </m:ctrlPr>
          </m:naryPr>
          <m:sub>
            <m:ctrlPr>
              <w:rPr>
                <w:rFonts w:hint="default" w:ascii="Cambria Math" w:hAnsi="Cambria Math" w:eastAsia="宋体" w:cs="Times New Roman"/>
                <w:b w:val="0"/>
                <w:i w:val="0"/>
                <w:snapToGrid w:val="0"/>
                <w:color w:val="000000"/>
                <w:kern w:val="0"/>
                <w:sz w:val="21"/>
                <w:szCs w:val="21"/>
                <w:lang w:val="en-US" w:eastAsia="zh-CN" w:bidi="ar-SA"/>
              </w:rPr>
            </m:ctrlPr>
          </m:sub>
          <m:sup>
            <m:ctrlPr>
              <w:rPr>
                <w:rFonts w:hint="default" w:ascii="Cambria Math" w:hAnsi="Cambria Math" w:eastAsia="宋体" w:cs="Times New Roman"/>
                <w:b w:val="0"/>
                <w:i w:val="0"/>
                <w:snapToGrid w:val="0"/>
                <w:color w:val="000000"/>
                <w:kern w:val="0"/>
                <w:sz w:val="21"/>
                <w:szCs w:val="21"/>
                <w:lang w:val="en-US" w:eastAsia="zh-CN" w:bidi="ar-SA"/>
              </w:rPr>
            </m:ctrlPr>
          </m:sup>
          <m:e>
            <m:r>
              <m:rPr>
                <m:nor/>
                <m:sty m:val="p"/>
              </m:rPr>
              <w:rPr>
                <w:rFonts w:hint="default" w:ascii="Times New Roman" w:hAnsi="Times New Roman" w:eastAsia="宋体" w:cs="Times New Roman"/>
                <w:b w:val="0"/>
                <w:i w:val="0"/>
                <w:snapToGrid w:val="0"/>
                <w:color w:val="000000"/>
                <w:kern w:val="0"/>
                <w:sz w:val="21"/>
                <w:szCs w:val="21"/>
                <w:lang w:val="en-US" w:eastAsia="zh-CN" w:bidi="ar-SA"/>
              </w:rPr>
              <m:t>（</m:t>
            </m:r>
            <m:sSub>
              <m:sSubPr>
                <m:ctrlPr>
                  <w:rPr>
                    <w:rFonts w:hint="default" w:ascii="Cambria Math" w:hAnsi="Cambria Math" w:eastAsia="宋体" w:cs="Times New Roman"/>
                    <w:b w:val="0"/>
                    <w:i w:val="0"/>
                    <w:snapToGrid w:val="0"/>
                    <w:color w:val="000000"/>
                    <w:kern w:val="0"/>
                    <w:sz w:val="21"/>
                    <w:szCs w:val="21"/>
                    <w:lang w:val="en-US" w:eastAsia="zh-CN"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EF</m:t>
                </m:r>
                <m:ctrlPr>
                  <w:rPr>
                    <w:rFonts w:hint="default" w:ascii="Cambria Math" w:hAnsi="Cambria Math" w:eastAsia="宋体" w:cs="Times New Roman"/>
                    <w:b w:val="0"/>
                    <w:i w:val="0"/>
                    <w:snapToGrid w:val="0"/>
                    <w:color w:val="000000"/>
                    <w:kern w:val="0"/>
                    <w:sz w:val="21"/>
                    <w:szCs w:val="21"/>
                    <w:lang w:val="en-US" w:eastAsia="zh-CN" w:bidi="ar-SA"/>
                  </w:rPr>
                </m:ctrlPr>
              </m:e>
              <m:sub>
                <m:r>
                  <m:rPr>
                    <m:nor/>
                    <m:sty m:val="p"/>
                  </m:rPr>
                  <w:rPr>
                    <w:rFonts w:hint="eastAsia"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b w:val="0"/>
                    <w:i w:val="0"/>
                    <w:snapToGrid w:val="0"/>
                    <w:color w:val="000000"/>
                    <w:kern w:val="0"/>
                    <w:sz w:val="21"/>
                    <w:szCs w:val="21"/>
                    <w:lang w:val="en-US" w:eastAsia="zh-CN" w:bidi="ar-SA"/>
                  </w:rPr>
                </m:ctrlPr>
              </m:sub>
            </m:sSub>
            <m:r>
              <m:rPr>
                <m:nor/>
                <m:sty m:val="p"/>
              </m:rPr>
              <w:rPr>
                <w:rFonts w:hint="default" w:ascii="Times New Roman" w:hAnsi="Times New Roman" w:eastAsia="宋体" w:cs="Times New Roman"/>
                <w:b w:val="0"/>
                <w:i w:val="0"/>
                <w:snapToGrid w:val="0"/>
                <w:color w:val="000000"/>
                <w:kern w:val="0"/>
                <w:sz w:val="21"/>
                <w:szCs w:val="21"/>
                <w:lang w:val="en-US" w:eastAsia="zh-CN" w:bidi="ar-SA"/>
              </w:rPr>
              <m:t>×</m:t>
            </m:r>
            <m:sSub>
              <m:sSubPr>
                <m:ctrlPr>
                  <w:rPr>
                    <w:rFonts w:hint="default" w:ascii="Cambria Math" w:hAnsi="Cambria Math" w:eastAsia="宋体" w:cs="Times New Roman"/>
                    <w:b w:val="0"/>
                    <w:i w:val="0"/>
                    <w:snapToGrid w:val="0"/>
                    <w:color w:val="000000"/>
                    <w:kern w:val="0"/>
                    <w:sz w:val="21"/>
                    <w:szCs w:val="21"/>
                    <w:lang w:val="en-US" w:eastAsia="zh-CN" w:bidi="ar-SA"/>
                  </w:rPr>
                </m:ctrlPr>
              </m:sSubPr>
              <m:e>
                <m:r>
                  <m:rPr>
                    <m:sty m:val="p"/>
                  </m:rPr>
                  <w:rPr>
                    <w:rFonts w:hint="default" w:ascii="Times New Roman" w:hAnsi="Times New Roman" w:eastAsia="宋体" w:cs="Times New Roman"/>
                    <w:snapToGrid w:val="0"/>
                    <w:color w:val="000000"/>
                    <w:kern w:val="0"/>
                    <w:sz w:val="21"/>
                    <w:szCs w:val="21"/>
                    <w:lang w:val="en-US" w:eastAsia="zh-CN" w:bidi="ar-SA"/>
                  </w:rPr>
                  <m:t>AC</m:t>
                </m:r>
                <m:ctrlPr>
                  <w:rPr>
                    <w:rFonts w:hint="default" w:ascii="Cambria Math" w:hAnsi="Cambria Math" w:eastAsia="宋体" w:cs="Times New Roman"/>
                    <w:b w:val="0"/>
                    <w:i w:val="0"/>
                    <w:snapToGrid w:val="0"/>
                    <w:color w:val="000000"/>
                    <w:kern w:val="0"/>
                    <w:sz w:val="21"/>
                    <w:szCs w:val="21"/>
                    <w:lang w:val="en-US" w:eastAsia="zh-CN" w:bidi="ar-SA"/>
                  </w:rPr>
                </m:ctrlPr>
              </m:e>
              <m:sub>
                <m:r>
                  <m:rPr>
                    <m:sty m:val="p"/>
                  </m:rPr>
                  <w:rPr>
                    <w:rFonts w:hint="default" w:ascii="Times New Roman" w:hAnsi="Times New Roman" w:eastAsia="宋体" w:cs="Times New Roman"/>
                    <w:snapToGrid w:val="0"/>
                    <w:color w:val="000000"/>
                    <w:kern w:val="0"/>
                    <w:sz w:val="21"/>
                    <w:szCs w:val="21"/>
                    <w:lang w:val="en-US" w:eastAsia="zh-CN" w:bidi="ar-SA"/>
                  </w:rPr>
                  <m:t>e</m:t>
                </m:r>
                <m:ctrlPr>
                  <w:rPr>
                    <w:rFonts w:hint="default" w:ascii="Cambria Math" w:hAnsi="Cambria Math" w:eastAsia="宋体" w:cs="Times New Roman"/>
                    <w:b w:val="0"/>
                    <w:i w:val="0"/>
                    <w:snapToGrid w:val="0"/>
                    <w:color w:val="000000"/>
                    <w:kern w:val="0"/>
                    <w:sz w:val="21"/>
                    <w:szCs w:val="21"/>
                    <w:lang w:val="en-US" w:eastAsia="zh-CN" w:bidi="ar-SA"/>
                  </w:rPr>
                </m:ctrlPr>
              </m:sub>
            </m:sSub>
            <m:r>
              <m:rPr>
                <m:nor/>
                <m:sty m:val="p"/>
              </m:rPr>
              <w:rPr>
                <w:rFonts w:hint="eastAsia" w:ascii="Times New Roman" w:hAnsi="Times New Roman" w:eastAsia="宋体" w:cs="Times New Roman"/>
                <w:b w:val="0"/>
                <w:i w:val="0"/>
                <w:snapToGrid w:val="0"/>
                <w:color w:val="000000"/>
                <w:kern w:val="0"/>
                <w:sz w:val="21"/>
                <w:szCs w:val="21"/>
                <w:lang w:val="en-US" w:eastAsia="zh-CN" w:bidi="ar-SA"/>
              </w:rPr>
              <m:t>）</m:t>
            </m:r>
            <m:r>
              <m:rPr>
                <m:nor/>
                <m:sty m:val="p"/>
              </m:rPr>
              <w:rPr>
                <w:rFonts w:hint="default" w:ascii="Times New Roman" w:hAnsi="Times New Roman" w:eastAsia="宋体" w:cs="Times New Roman"/>
                <w:b w:val="0"/>
                <w:i w:val="0"/>
                <w:snapToGrid w:val="0"/>
                <w:color w:val="000000"/>
                <w:kern w:val="0"/>
                <w:sz w:val="21"/>
                <w:szCs w:val="21"/>
                <w:lang w:val="en-US" w:eastAsia="zh-CN" w:bidi="ar-SA"/>
              </w:rPr>
              <m:t>/</m:t>
            </m:r>
            <m:sSub>
              <m:sSubPr>
                <m:ctrlPr>
                  <w:rPr>
                    <w:rFonts w:hint="default" w:ascii="Cambria Math" w:hAnsi="Cambria Math" w:eastAsia="宋体" w:cs="Times New Roman"/>
                    <w:b w:val="0"/>
                    <w:i w:val="0"/>
                    <w:snapToGrid w:val="0"/>
                    <w:color w:val="000000"/>
                    <w:kern w:val="0"/>
                    <w:sz w:val="21"/>
                    <w:szCs w:val="21"/>
                    <w:lang w:val="en-US" w:eastAsia="zh-CN" w:bidi="ar-SA"/>
                  </w:rPr>
                </m:ctrlPr>
              </m:sSubPr>
              <m:e>
                <m:r>
                  <m:rPr>
                    <m:sty m:val="p"/>
                  </m:rPr>
                  <w:rPr>
                    <w:rFonts w:hint="default" w:ascii="Times New Roman" w:hAnsi="Times New Roman" w:eastAsia="宋体" w:cs="Times New Roman"/>
                    <w:snapToGrid w:val="0"/>
                    <w:color w:val="000000"/>
                    <w:kern w:val="0"/>
                    <w:sz w:val="21"/>
                    <w:szCs w:val="21"/>
                    <w:lang w:val="en-US" w:eastAsia="zh-CN" w:bidi="ar-SA"/>
                  </w:rPr>
                  <m:t>Q</m:t>
                </m:r>
                <m:ctrlPr>
                  <w:rPr>
                    <w:rFonts w:hint="default" w:ascii="Cambria Math" w:hAnsi="Cambria Math" w:eastAsia="宋体" w:cs="Times New Roman"/>
                    <w:b w:val="0"/>
                    <w:i w:val="0"/>
                    <w:snapToGrid w:val="0"/>
                    <w:color w:val="000000"/>
                    <w:kern w:val="0"/>
                    <w:sz w:val="21"/>
                    <w:szCs w:val="21"/>
                    <w:lang w:val="en-US" w:eastAsia="zh-CN" w:bidi="ar-SA"/>
                  </w:rPr>
                </m:ctrlPr>
              </m:e>
              <m:sub>
                <m:r>
                  <m:rPr>
                    <m:sty m:val="p"/>
                  </m:rPr>
                  <w:rPr>
                    <w:rFonts w:hint="eastAsia" w:ascii="Times New Roman" w:hAnsi="Times New Roman" w:eastAsia="宋体" w:cs="Times New Roman"/>
                    <w:snapToGrid w:val="0"/>
                    <w:color w:val="000000"/>
                    <w:kern w:val="0"/>
                    <w:sz w:val="21"/>
                    <w:szCs w:val="21"/>
                    <w:lang w:val="en-US" w:eastAsia="zh-CN" w:bidi="ar-SA"/>
                  </w:rPr>
                  <m:t>t</m:t>
                </m:r>
                <m:ctrlPr>
                  <w:rPr>
                    <w:rFonts w:hint="default" w:ascii="Cambria Math" w:hAnsi="Cambria Math" w:eastAsia="宋体" w:cs="Times New Roman"/>
                    <w:b w:val="0"/>
                    <w:i w:val="0"/>
                    <w:snapToGrid w:val="0"/>
                    <w:color w:val="000000"/>
                    <w:kern w:val="0"/>
                    <w:sz w:val="21"/>
                    <w:szCs w:val="21"/>
                    <w:lang w:val="en-US" w:eastAsia="zh-CN" w:bidi="ar-SA"/>
                  </w:rPr>
                </m:ctrlPr>
              </m:sub>
            </m:sSub>
            <m:ctrlPr>
              <w:rPr>
                <w:rFonts w:hint="default" w:ascii="Cambria Math" w:hAnsi="Cambria Math" w:eastAsia="宋体" w:cs="Times New Roman"/>
                <w:b w:val="0"/>
                <w:i w:val="0"/>
                <w:snapToGrid w:val="0"/>
                <w:color w:val="000000"/>
                <w:kern w:val="0"/>
                <w:sz w:val="21"/>
                <w:szCs w:val="21"/>
                <w:lang w:val="en-US" w:eastAsia="zh-CN" w:bidi="ar-SA"/>
              </w:rPr>
            </m:ctrlPr>
          </m:e>
        </m:nary>
      </m:oMath>
      <w:r>
        <w:rPr>
          <w:rFonts w:hint="default" w:ascii="Times New Roman" w:hAnsi="Times New Roman" w:eastAsia="宋体" w:cs="Times New Roman"/>
          <w:b w:val="0"/>
          <w:i w:val="0"/>
          <w:snapToGrid w:val="0"/>
          <w:color w:val="000000"/>
          <w:kern w:val="0"/>
          <w:sz w:val="21"/>
          <w:szCs w:val="21"/>
          <w:lang w:val="en-US" w:eastAsia="zh-CN" w:bidi="ar-SA"/>
        </w:rPr>
        <w:tab/>
      </w:r>
      <w:r>
        <w:rPr>
          <w:rFonts w:hint="default" w:ascii="Times New Roman" w:hAnsi="Times New Roman" w:eastAsia="宋体" w:cs="Times New Roman"/>
          <w:b w:val="0"/>
          <w:i w:val="0"/>
          <w:snapToGrid w:val="0"/>
          <w:color w:val="000000"/>
          <w:kern w:val="0"/>
          <w:sz w:val="21"/>
          <w:szCs w:val="21"/>
          <w:lang w:val="en-US" w:eastAsia="zh-CN" w:bidi="ar-SA"/>
        </w:rPr>
        <w:t>（</w:t>
      </w:r>
      <w:r>
        <w:rPr>
          <w:rFonts w:hint="eastAsia" w:ascii="Times New Roman" w:hAnsi="Times New Roman" w:eastAsia="宋体" w:cs="Times New Roman"/>
          <w:b w:val="0"/>
          <w:i w:val="0"/>
          <w:snapToGrid w:val="0"/>
          <w:color w:val="000000"/>
          <w:kern w:val="0"/>
          <w:sz w:val="21"/>
          <w:szCs w:val="21"/>
          <w:lang w:val="en-US" w:eastAsia="zh-CN" w:bidi="ar-SA"/>
        </w:rPr>
        <w:t>4</w:t>
      </w:r>
      <w:r>
        <w:rPr>
          <w:rFonts w:hint="default" w:ascii="Times New Roman" w:hAnsi="Times New Roman" w:eastAsia="宋体" w:cs="Times New Roman"/>
          <w:b w:val="0"/>
          <w:i w:val="0"/>
          <w:snapToGrid w:val="0"/>
          <w:color w:val="000000"/>
          <w:kern w:val="0"/>
          <w:sz w:val="21"/>
          <w:szCs w:val="21"/>
          <w:lang w:val="en-US" w:eastAsia="zh-CN" w:bidi="ar-SA"/>
        </w:rPr>
        <w:t>）</w:t>
      </w:r>
    </w:p>
    <w:p w14:paraId="26DC789D">
      <w:pPr>
        <w:pStyle w:val="3"/>
        <w:bidi w:val="0"/>
        <w:rPr>
          <w:rFonts w:hint="default" w:ascii="Times New Roman" w:hAnsi="Times New Roman" w:eastAsia="宋体" w:cs="Times New Roman"/>
          <w:lang w:eastAsia="zh-CN"/>
        </w:rPr>
      </w:pPr>
      <w:r>
        <w:rPr>
          <w:rFonts w:hint="default" w:ascii="Times New Roman" w:hAnsi="Times New Roman" w:cs="Times New Roman"/>
        </w:rPr>
        <w:t>式中</w:t>
      </w:r>
      <w:r>
        <w:rPr>
          <w:rFonts w:hint="default" w:ascii="Times New Roman" w:hAnsi="Times New Roman" w:cs="Times New Roman"/>
          <w:lang w:eastAsia="zh-CN"/>
        </w:rPr>
        <w:t>：</w:t>
      </w:r>
    </w:p>
    <w:p w14:paraId="61B538DF">
      <w:pPr>
        <w:pStyle w:val="3"/>
        <w:bidi w:val="0"/>
        <w:rPr>
          <w:rFonts w:hint="default" w:ascii="Times New Roman" w:hAnsi="Times New Roman" w:eastAsia="宋体" w:cs="Times New Roman"/>
          <w:lang w:eastAsia="zh-CN"/>
        </w:rPr>
      </w:pPr>
      <w:r>
        <w:rPr>
          <w:rFonts w:hint="default" w:ascii="Times New Roman" w:hAnsi="Times New Roman" w:cs="Times New Roman"/>
        </w:rPr>
        <w:t>t</w:t>
      </w:r>
      <w:r>
        <w:rPr>
          <w:rFonts w:hint="default" w:ascii="Times New Roman" w:hAnsi="Times New Roman" w:cs="Times New Roman"/>
          <w:lang w:eastAsia="zh-CN"/>
        </w:rPr>
        <w:t>——</w:t>
      </w:r>
      <w:r>
        <w:rPr>
          <w:rFonts w:hint="default" w:ascii="Times New Roman" w:hAnsi="Times New Roman" w:cs="Times New Roman"/>
        </w:rPr>
        <w:t>基准年基准线情景的交通工具类型，包括</w:t>
      </w:r>
      <w:r>
        <w:rPr>
          <w:rFonts w:hint="default" w:ascii="Times New Roman" w:hAnsi="Times New Roman" w:cs="Times New Roman"/>
          <w:lang w:val="en-US" w:eastAsia="zh-CN"/>
        </w:rPr>
        <w:t>燃油私人小汽车</w:t>
      </w:r>
      <w:r>
        <w:rPr>
          <w:rFonts w:hint="default" w:ascii="Times New Roman" w:hAnsi="Times New Roman" w:cs="Times New Roman"/>
          <w:lang w:eastAsia="zh-CN"/>
        </w:rPr>
        <w:t>（</w:t>
      </w:r>
      <w:r>
        <w:rPr>
          <w:rFonts w:hint="default" w:ascii="Times New Roman" w:hAnsi="Times New Roman" w:cs="Times New Roman"/>
          <w:lang w:val="en-US" w:eastAsia="zh-CN"/>
        </w:rPr>
        <w:t>t1</w:t>
      </w:r>
      <w:r>
        <w:rPr>
          <w:rFonts w:hint="default" w:ascii="Times New Roman" w:hAnsi="Times New Roman" w:cs="Times New Roman"/>
          <w:lang w:eastAsia="zh-CN"/>
        </w:rPr>
        <w:t>）</w:t>
      </w:r>
      <w:r>
        <w:rPr>
          <w:rFonts w:hint="default" w:ascii="Times New Roman" w:hAnsi="Times New Roman" w:cs="Times New Roman"/>
          <w:lang w:val="en-US" w:eastAsia="zh-CN"/>
        </w:rPr>
        <w:t>、</w:t>
      </w:r>
      <w:r>
        <w:rPr>
          <w:rFonts w:hint="default" w:ascii="Times New Roman" w:hAnsi="Times New Roman" w:cs="Times New Roman"/>
        </w:rPr>
        <w:t>电动</w:t>
      </w:r>
      <w:r>
        <w:rPr>
          <w:rFonts w:hint="default" w:ascii="Times New Roman" w:hAnsi="Times New Roman" w:cs="Times New Roman"/>
          <w:lang w:val="en-US" w:eastAsia="zh-CN"/>
        </w:rPr>
        <w:t>私人小汽车</w:t>
      </w:r>
      <w:r>
        <w:rPr>
          <w:rFonts w:hint="default" w:ascii="Times New Roman" w:hAnsi="Times New Roman" w:cs="Times New Roman"/>
          <w:lang w:eastAsia="zh-CN"/>
        </w:rPr>
        <w:t>（</w:t>
      </w:r>
      <w:r>
        <w:rPr>
          <w:rFonts w:hint="default" w:ascii="Times New Roman" w:hAnsi="Times New Roman" w:cs="Times New Roman"/>
        </w:rPr>
        <w:t>t</w:t>
      </w:r>
      <w:r>
        <w:rPr>
          <w:rFonts w:hint="default" w:ascii="Times New Roman" w:hAnsi="Times New Roman" w:cs="Times New Roman"/>
          <w:lang w:val="en-US" w:eastAsia="zh-CN"/>
        </w:rPr>
        <w:t>2</w:t>
      </w:r>
      <w:r>
        <w:rPr>
          <w:rFonts w:hint="default" w:ascii="Times New Roman" w:hAnsi="Times New Roman" w:cs="Times New Roman"/>
          <w:lang w:eastAsia="zh-CN"/>
        </w:rPr>
        <w:t>）、</w:t>
      </w:r>
      <w:r>
        <w:rPr>
          <w:rFonts w:hint="default" w:ascii="Times New Roman" w:hAnsi="Times New Roman" w:cs="Times New Roman"/>
        </w:rPr>
        <w:t>电动出租车</w:t>
      </w:r>
      <w:r>
        <w:rPr>
          <w:rFonts w:hint="default" w:ascii="Times New Roman" w:hAnsi="Times New Roman" w:cs="Times New Roman"/>
          <w:lang w:eastAsia="zh-CN"/>
        </w:rPr>
        <w:t>（</w:t>
      </w:r>
      <w:r>
        <w:rPr>
          <w:rFonts w:hint="default" w:ascii="Times New Roman" w:hAnsi="Times New Roman" w:cs="Times New Roman"/>
        </w:rPr>
        <w:t>t</w:t>
      </w:r>
      <w:r>
        <w:rPr>
          <w:rFonts w:hint="default" w:ascii="Times New Roman" w:hAnsi="Times New Roman" w:cs="Times New Roman"/>
          <w:lang w:val="en-US" w:eastAsia="zh-CN"/>
        </w:rPr>
        <w:t>3</w:t>
      </w:r>
      <w:r>
        <w:rPr>
          <w:rFonts w:hint="default" w:ascii="Times New Roman" w:hAnsi="Times New Roman" w:cs="Times New Roman"/>
          <w:lang w:eastAsia="zh-CN"/>
        </w:rPr>
        <w:t>）</w:t>
      </w:r>
      <w:r>
        <w:rPr>
          <w:rFonts w:hint="default" w:ascii="Times New Roman" w:hAnsi="Times New Roman" w:cs="Times New Roman"/>
        </w:rPr>
        <w:t>、电动公共汽车</w:t>
      </w:r>
      <w:r>
        <w:rPr>
          <w:rFonts w:hint="default" w:ascii="Times New Roman" w:hAnsi="Times New Roman" w:cs="Times New Roman"/>
          <w:lang w:eastAsia="zh-CN"/>
        </w:rPr>
        <w:t>（</w:t>
      </w:r>
      <w:r>
        <w:rPr>
          <w:rFonts w:hint="default" w:ascii="Times New Roman" w:hAnsi="Times New Roman" w:cs="Times New Roman"/>
        </w:rPr>
        <w:t>t</w:t>
      </w:r>
      <w:r>
        <w:rPr>
          <w:rFonts w:hint="default" w:ascii="Times New Roman" w:hAnsi="Times New Roman" w:cs="Times New Roman"/>
          <w:lang w:val="en-US" w:eastAsia="zh-CN"/>
        </w:rPr>
        <w:t>4</w:t>
      </w:r>
      <w:r>
        <w:rPr>
          <w:rFonts w:hint="default" w:ascii="Times New Roman" w:hAnsi="Times New Roman" w:cs="Times New Roman"/>
          <w:lang w:eastAsia="zh-CN"/>
        </w:rPr>
        <w:t>）</w:t>
      </w:r>
      <w:r>
        <w:rPr>
          <w:rFonts w:hint="default" w:ascii="Times New Roman" w:hAnsi="Times New Roman" w:cs="Times New Roman"/>
          <w:lang w:val="en-US" w:eastAsia="zh-CN"/>
        </w:rPr>
        <w:t>；</w:t>
      </w:r>
    </w:p>
    <w:p w14:paraId="11490849">
      <w:pPr>
        <w:pStyle w:val="3"/>
        <w:bidi w:val="0"/>
        <w:rPr>
          <w:rFonts w:hint="default" w:ascii="Times New Roman" w:hAnsi="Times New Roman" w:eastAsia="宋体" w:cs="Times New Roman"/>
          <w:lang w:eastAsia="zh-CN"/>
        </w:rPr>
      </w:pPr>
      <m:oMath>
        <m:sSub>
          <m:sSubPr>
            <m:ctrlPr>
              <w:rPr>
                <w:rFonts w:hint="default" w:ascii="Cambria Math" w:hAnsi="Cambria Math" w:eastAsia="宋体" w:cs="Times New Roman"/>
                <w:i w:val="0"/>
                <w:snapToGrid w:val="0"/>
                <w:color w:val="000000"/>
                <w:kern w:val="0"/>
                <w:sz w:val="21"/>
                <w:szCs w:val="21"/>
                <w:lang w:val="en-US"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i w:val="0"/>
                <w:snapToGrid w:val="0"/>
                <w:color w:val="000000"/>
                <w:kern w:val="0"/>
                <w:sz w:val="21"/>
                <w:szCs w:val="21"/>
                <w:lang w:val="en-US" w:bidi="ar-SA"/>
              </w:rPr>
            </m:ctrlPr>
          </m:e>
          <m:sub>
            <m:r>
              <m:rPr>
                <m:nor/>
                <m:sty m:val="p"/>
              </m:rPr>
              <w:rPr>
                <w:rFonts w:hint="default" w:ascii="Times New Roman" w:hAnsi="Times New Roman" w:eastAsia="宋体" w:cs="Times New Roman"/>
                <w:b w:val="0"/>
                <w:i w:val="0"/>
                <w:snapToGrid w:val="0"/>
                <w:color w:val="000000"/>
                <w:kern w:val="0"/>
                <w:sz w:val="21"/>
                <w:szCs w:val="21"/>
                <w:lang w:val="en-US" w:eastAsia="zh-CN" w:bidi="ar-SA"/>
              </w:rPr>
              <m:t>b</m:t>
            </m:r>
            <m:ctrlPr>
              <w:rPr>
                <w:rFonts w:hint="default" w:ascii="Cambria Math" w:hAnsi="Cambria Math" w:eastAsia="宋体" w:cs="Times New Roman"/>
                <w:snapToGrid w:val="0"/>
                <w:color w:val="000000"/>
                <w:kern w:val="0"/>
                <w:sz w:val="21"/>
                <w:szCs w:val="21"/>
                <w:lang w:val="en-US" w:bidi="ar-SA"/>
              </w:rPr>
            </m:ctrlPr>
          </m:sub>
        </m:sSub>
      </m:oMath>
      <w:r>
        <w:rPr>
          <w:rFonts w:hint="default" w:ascii="Times New Roman" w:hAnsi="Times New Roman" w:cs="Times New Roman"/>
          <w:lang w:eastAsia="zh-CN"/>
        </w:rPr>
        <w:t>——</w:t>
      </w:r>
      <w:r>
        <w:rPr>
          <w:rFonts w:hint="default" w:ascii="Times New Roman" w:hAnsi="Times New Roman" w:cs="Times New Roman"/>
        </w:rPr>
        <w:t>基准年基准线情景城市交通出行的人公里排放因子</w:t>
      </w:r>
      <w:r>
        <w:rPr>
          <w:rFonts w:hint="eastAsia" w:cs="Times New Roman"/>
          <w:lang w:eastAsia="zh-CN"/>
        </w:rPr>
        <w:t>（</w:t>
      </w:r>
      <w:r>
        <w:rPr>
          <w:rFonts w:hint="default" w:ascii="Times New Roman" w:hAnsi="Times New Roman" w:cs="Times New Roman"/>
        </w:rPr>
        <w:t>kgCO₂/pkm</w:t>
      </w:r>
      <w:r>
        <w:rPr>
          <w:rFonts w:hint="eastAsia" w:cs="Times New Roman"/>
          <w:lang w:eastAsia="zh-CN"/>
        </w:rPr>
        <w:t>）</w:t>
      </w:r>
      <w:r>
        <w:rPr>
          <w:rFonts w:hint="default" w:ascii="Times New Roman" w:hAnsi="Times New Roman" w:cs="Times New Roman"/>
          <w:lang w:eastAsia="zh-CN"/>
        </w:rPr>
        <w:t>；</w:t>
      </w:r>
    </w:p>
    <w:p w14:paraId="16E9C805">
      <w:pPr>
        <w:pStyle w:val="3"/>
        <w:bidi w:val="0"/>
        <w:rPr>
          <w:rFonts w:hint="default" w:ascii="Times New Roman" w:hAnsi="Times New Roman" w:eastAsia="宋体" w:cs="Times New Roman"/>
          <w:lang w:eastAsia="zh-CN"/>
        </w:rPr>
      </w:pPr>
      <m:oMath>
        <m:sSub>
          <m:sSubPr>
            <m:ctrlPr>
              <w:rPr>
                <w:rFonts w:hint="default" w:ascii="Times New Roman" w:hAnsi="Times New Roman" w:eastAsia="宋体" w:cs="Times New Roman"/>
                <w:b w:val="0"/>
                <w:i w:val="0"/>
                <w:snapToGrid w:val="0"/>
                <w:color w:val="000000"/>
                <w:kern w:val="0"/>
                <w:sz w:val="21"/>
                <w:szCs w:val="21"/>
                <w:lang w:val="en-US" w:eastAsia="zh-CN"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EF</m:t>
            </m:r>
            <m:ctrlPr>
              <w:rPr>
                <w:rFonts w:hint="default" w:ascii="Times New Roman" w:hAnsi="Times New Roman" w:eastAsia="宋体" w:cs="Times New Roman"/>
                <w:b w:val="0"/>
                <w:i w:val="0"/>
                <w:snapToGrid w:val="0"/>
                <w:color w:val="000000"/>
                <w:kern w:val="0"/>
                <w:sz w:val="21"/>
                <w:szCs w:val="21"/>
                <w:lang w:val="en-US" w:eastAsia="zh-CN" w:bidi="ar-SA"/>
              </w:rPr>
            </m:ctrlPr>
          </m:e>
          <m:sub>
            <m:r>
              <m:rPr>
                <m:nor/>
                <m:sty m:val="p"/>
              </m:rPr>
              <w:rPr>
                <w:rFonts w:hint="eastAsia"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b w:val="0"/>
                <w:snapToGrid w:val="0"/>
                <w:color w:val="000000"/>
                <w:kern w:val="0"/>
                <w:sz w:val="21"/>
                <w:szCs w:val="21"/>
                <w:lang w:val="en-US" w:eastAsia="zh-CN" w:bidi="ar-SA"/>
              </w:rPr>
            </m:ctrlPr>
          </m:sub>
        </m:sSub>
      </m:oMath>
      <w:r>
        <w:rPr>
          <w:rFonts w:hint="default" w:ascii="Times New Roman" w:hAnsi="Times New Roman" w:cs="Times New Roman"/>
          <w:lang w:eastAsia="zh-CN"/>
        </w:rPr>
        <w:t>——</w:t>
      </w:r>
      <w:r>
        <w:rPr>
          <w:rFonts w:hint="default" w:ascii="Times New Roman" w:hAnsi="Times New Roman" w:cs="Times New Roman"/>
        </w:rPr>
        <w:t>基准年能源</w:t>
      </w:r>
      <w:r>
        <w:rPr>
          <w:rFonts w:hint="default" w:ascii="Times New Roman" w:hAnsi="Times New Roman" w:cs="Times New Roman"/>
          <w:lang w:val="en-US" w:eastAsia="zh-CN"/>
        </w:rPr>
        <w:t>e</w:t>
      </w:r>
      <w:r>
        <w:rPr>
          <w:rFonts w:hint="default" w:ascii="Times New Roman" w:hAnsi="Times New Roman" w:cs="Times New Roman"/>
        </w:rPr>
        <w:t>的碳排放因子</w:t>
      </w:r>
      <w:r>
        <w:rPr>
          <w:rFonts w:hint="eastAsia" w:cs="Times New Roman"/>
          <w:lang w:eastAsia="zh-CN"/>
        </w:rPr>
        <w:t>（</w:t>
      </w:r>
      <w:r>
        <w:rPr>
          <w:rFonts w:hint="default" w:ascii="Times New Roman" w:hAnsi="Times New Roman" w:cs="Times New Roman"/>
        </w:rPr>
        <w:t>kgCO₂/kg、kgCO₂/kWh</w:t>
      </w:r>
      <w:r>
        <w:rPr>
          <w:rFonts w:hint="eastAsia" w:cs="Times New Roman"/>
          <w:lang w:eastAsia="zh-CN"/>
        </w:rPr>
        <w:t>）</w:t>
      </w:r>
      <w:r>
        <w:rPr>
          <w:rFonts w:hint="default" w:ascii="Times New Roman" w:hAnsi="Times New Roman" w:cs="Times New Roman"/>
          <w:lang w:eastAsia="zh-CN"/>
        </w:rPr>
        <w:t>；</w:t>
      </w:r>
    </w:p>
    <w:p w14:paraId="4DF52177">
      <w:pPr>
        <w:pStyle w:val="3"/>
        <w:bidi w:val="0"/>
        <w:rPr>
          <w:rFonts w:hint="default" w:ascii="Times New Roman" w:hAnsi="Times New Roman" w:eastAsia="宋体" w:cs="Times New Roman"/>
          <w:lang w:eastAsia="zh-CN"/>
        </w:rPr>
      </w:pPr>
      <m:oMath>
        <m:sSub>
          <m:sSubPr>
            <m:ctrlPr>
              <w:rPr>
                <w:rFonts w:ascii="Cambria Math" w:hAnsi="Cambria Math" w:cs="Times New Roman"/>
                <w:snapToGrid w:val="0"/>
                <w:color w:val="000000"/>
                <w:kern w:val="0"/>
                <w:sz w:val="21"/>
                <w:szCs w:val="21"/>
                <w:lang w:val="en-US" w:bidi="ar-SA"/>
              </w:rPr>
            </m:ctrlPr>
          </m:sSubPr>
          <m:e>
            <m:r>
              <m:rPr>
                <m:sty m:val="p"/>
              </m:rPr>
              <w:rPr>
                <w:rFonts w:hint="default" w:eastAsia="宋体" w:cs="Times New Roman"/>
                <w:snapToGrid w:val="0"/>
                <w:color w:val="000000"/>
                <w:kern w:val="0"/>
                <w:sz w:val="21"/>
                <w:szCs w:val="21"/>
                <w:lang w:val="en-US" w:eastAsia="zh-CN" w:bidi="ar-SA"/>
              </w:rPr>
              <m:t>AC</m:t>
            </m:r>
            <m:ctrlPr>
              <w:rPr>
                <w:rFonts w:ascii="Cambria Math" w:hAnsi="Cambria Math" w:cs="Times New Roman"/>
                <w:snapToGrid w:val="0"/>
                <w:color w:val="000000"/>
                <w:kern w:val="0"/>
                <w:sz w:val="21"/>
                <w:szCs w:val="21"/>
                <w:lang w:val="en-US" w:bidi="ar-SA"/>
              </w:rPr>
            </m:ctrlPr>
          </m:e>
          <m:sub>
            <m:r>
              <m:rPr>
                <m:sty m:val="p"/>
              </m:rPr>
              <w:rPr>
                <w:rFonts w:hint="default" w:eastAsia="宋体" w:cs="Times New Roman"/>
                <w:snapToGrid w:val="0"/>
                <w:color w:val="000000"/>
                <w:kern w:val="0"/>
                <w:sz w:val="21"/>
                <w:szCs w:val="21"/>
                <w:lang w:val="en-US" w:eastAsia="zh-CN" w:bidi="ar-SA"/>
              </w:rPr>
              <m:t>e</m:t>
            </m:r>
            <m:ctrlPr>
              <w:rPr>
                <w:rFonts w:ascii="Cambria Math" w:hAnsi="Cambria Math" w:cs="Times New Roman"/>
                <w:snapToGrid w:val="0"/>
                <w:color w:val="000000"/>
                <w:kern w:val="0"/>
                <w:sz w:val="21"/>
                <w:szCs w:val="21"/>
                <w:lang w:val="en-US" w:bidi="ar-SA"/>
              </w:rPr>
            </m:ctrlPr>
          </m:sub>
        </m:sSub>
      </m:oMath>
      <w:r>
        <w:rPr>
          <w:rFonts w:hint="default" w:ascii="Times New Roman" w:hAnsi="Times New Roman" w:cs="Times New Roman"/>
          <w:lang w:eastAsia="zh-CN"/>
        </w:rPr>
        <w:t>——</w:t>
      </w:r>
      <w:r>
        <w:rPr>
          <w:rFonts w:hint="default" w:ascii="Times New Roman" w:hAnsi="Times New Roman" w:cs="Times New Roman"/>
        </w:rPr>
        <w:t>基准年基准线情景能源</w:t>
      </w:r>
      <w:r>
        <w:rPr>
          <w:rFonts w:hint="default" w:ascii="Times New Roman" w:hAnsi="Times New Roman" w:cs="Times New Roman"/>
          <w:lang w:val="en-US" w:eastAsia="zh-CN"/>
        </w:rPr>
        <w:t>e</w:t>
      </w:r>
      <w:r>
        <w:rPr>
          <w:rFonts w:hint="default" w:ascii="Times New Roman" w:hAnsi="Times New Roman" w:cs="Times New Roman"/>
        </w:rPr>
        <w:t>的年能耗总量</w:t>
      </w:r>
      <w:r>
        <w:rPr>
          <w:rFonts w:hint="eastAsia" w:cs="Times New Roman"/>
          <w:lang w:eastAsia="zh-CN"/>
        </w:rPr>
        <w:t>（</w:t>
      </w:r>
      <w:r>
        <w:rPr>
          <w:rFonts w:hint="default" w:ascii="Times New Roman" w:hAnsi="Times New Roman" w:cs="Times New Roman"/>
        </w:rPr>
        <w:t>kg、kWh</w:t>
      </w:r>
      <w:r>
        <w:rPr>
          <w:rFonts w:hint="eastAsia" w:cs="Times New Roman"/>
          <w:lang w:eastAsia="zh-CN"/>
        </w:rPr>
        <w:t>）</w:t>
      </w:r>
      <w:r>
        <w:rPr>
          <w:rFonts w:hint="default" w:ascii="Times New Roman" w:hAnsi="Times New Roman" w:cs="Times New Roman"/>
          <w:lang w:eastAsia="zh-CN"/>
        </w:rPr>
        <w:t>；</w:t>
      </w:r>
    </w:p>
    <w:p w14:paraId="2EAE5589">
      <w:pPr>
        <w:pStyle w:val="3"/>
        <w:bidi w:val="0"/>
        <w:rPr>
          <w:rFonts w:hint="default" w:ascii="Times New Roman" w:hAnsi="Times New Roman" w:eastAsia="宋体" w:cs="Times New Roman"/>
          <w:lang w:eastAsia="zh-CN"/>
        </w:rPr>
      </w:pPr>
      <m:oMath>
        <m:sSub>
          <m:sSubPr>
            <m:ctrlPr>
              <w:rPr>
                <w:rFonts w:hint="default" w:ascii="Cambria Math" w:hAnsi="Cambria Math" w:eastAsia="宋体" w:cs="Times New Roman"/>
                <w:b w:val="0"/>
                <w:i w:val="0"/>
                <w:snapToGrid w:val="0"/>
                <w:color w:val="000000"/>
                <w:kern w:val="0"/>
                <w:sz w:val="21"/>
                <w:szCs w:val="21"/>
                <w:lang w:val="en-US"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Q</m:t>
            </m:r>
            <m:ctrlPr>
              <w:rPr>
                <w:rFonts w:hint="default" w:ascii="Cambria Math" w:hAnsi="Cambria Math" w:eastAsia="宋体" w:cs="Times New Roman"/>
                <w:b w:val="0"/>
                <w:i w:val="0"/>
                <w:snapToGrid w:val="0"/>
                <w:color w:val="000000"/>
                <w:kern w:val="0"/>
                <w:sz w:val="21"/>
                <w:szCs w:val="21"/>
                <w:lang w:val="en-US" w:bidi="ar-SA"/>
              </w:rPr>
            </m:ctrlPr>
          </m:e>
          <m:sub>
            <m:r>
              <m:rPr>
                <m:nor/>
                <m:sty m:val="p"/>
              </m:rPr>
              <w:rPr>
                <w:rFonts w:hint="default" w:ascii="Times New Roman" w:hAnsi="Times New Roman" w:eastAsia="宋体" w:cs="Times New Roman"/>
                <w:b w:val="0"/>
                <w:i w:val="0"/>
                <w:snapToGrid w:val="0"/>
                <w:color w:val="000000"/>
                <w:kern w:val="0"/>
                <w:sz w:val="21"/>
                <w:szCs w:val="21"/>
                <w:lang w:val="en-US" w:eastAsia="zh-CN" w:bidi="ar-SA"/>
              </w:rPr>
              <m:t>t</m:t>
            </m:r>
            <m:ctrlPr>
              <w:rPr>
                <w:rFonts w:hint="default" w:ascii="Cambria Math" w:hAnsi="Cambria Math" w:eastAsia="宋体" w:cs="Times New Roman"/>
                <w:b w:val="0"/>
                <w:i w:val="0"/>
                <w:snapToGrid w:val="0"/>
                <w:color w:val="000000"/>
                <w:kern w:val="0"/>
                <w:sz w:val="21"/>
                <w:szCs w:val="21"/>
                <w:lang w:val="en-US" w:bidi="ar-SA"/>
              </w:rPr>
            </m:ctrlPr>
          </m:sub>
        </m:sSub>
      </m:oMath>
      <w:r>
        <w:rPr>
          <w:rFonts w:hint="default" w:ascii="Times New Roman" w:hAnsi="Times New Roman" w:cs="Times New Roman"/>
          <w:lang w:eastAsia="zh-CN"/>
        </w:rPr>
        <w:t>——</w:t>
      </w:r>
      <w:r>
        <w:rPr>
          <w:rFonts w:hint="default" w:ascii="Times New Roman" w:hAnsi="Times New Roman" w:cs="Times New Roman"/>
        </w:rPr>
        <w:t>基准年基准线乘客采用各类交通工具出行的年客运周转量</w:t>
      </w:r>
      <w:r>
        <w:rPr>
          <w:rFonts w:hint="eastAsia" w:cs="Times New Roman"/>
          <w:lang w:eastAsia="zh-CN"/>
        </w:rPr>
        <w:t>（</w:t>
      </w:r>
      <w:r>
        <w:rPr>
          <w:rFonts w:hint="default" w:ascii="Times New Roman" w:hAnsi="Times New Roman" w:cs="Times New Roman"/>
        </w:rPr>
        <w:t>pkm</w:t>
      </w:r>
      <w:r>
        <w:rPr>
          <w:rFonts w:hint="eastAsia" w:cs="Times New Roman"/>
          <w:lang w:eastAsia="zh-CN"/>
        </w:rPr>
        <w:t>）。</w:t>
      </w:r>
    </w:p>
    <w:p w14:paraId="4E5C5949">
      <w:pPr>
        <w:pStyle w:val="22"/>
        <w:bidi w:val="0"/>
        <w:rPr>
          <w:rFonts w:hint="default" w:ascii="Times New Roman" w:hAnsi="Times New Roman" w:eastAsia="宋体" w:cs="Times New Roman"/>
          <w:i w:val="0"/>
          <w:iCs/>
          <w:spacing w:val="1"/>
          <w:sz w:val="21"/>
          <w:szCs w:val="21"/>
          <w:lang w:val="en-US" w:eastAsia="zh-CN"/>
        </w:rPr>
      </w:pPr>
      <m:oMath>
        <m:sSub>
          <m:sSubPr>
            <m:ctrlPr>
              <w:rPr>
                <w:rFonts w:hint="default" w:ascii="Cambria Math" w:hAnsi="Cambria Math" w:cs="Times New Roman"/>
                <w:iCs/>
                <w:spacing w:val="1"/>
                <w:sz w:val="21"/>
                <w:szCs w:val="21"/>
              </w:rPr>
            </m:ctrlPr>
          </m:sSubPr>
          <m:e>
            <m:r>
              <m:rPr>
                <m:sty m:val="p"/>
              </m:rPr>
              <w:rPr>
                <w:rFonts w:hint="default" w:ascii="Cambria Math" w:hAnsi="Cambria Math" w:cs="Times New Roman"/>
                <w:spacing w:val="1"/>
                <w:sz w:val="21"/>
                <w:szCs w:val="21"/>
                <w:lang w:val="en-US" w:eastAsia="zh-CN"/>
              </w:rPr>
              <m:t>AC</m:t>
            </m:r>
            <m:ctrlPr>
              <w:rPr>
                <w:rFonts w:hint="default" w:ascii="Cambria Math" w:hAnsi="Cambria Math" w:cs="Times New Roman"/>
                <w:iCs/>
                <w:spacing w:val="1"/>
                <w:sz w:val="21"/>
                <w:szCs w:val="21"/>
              </w:rPr>
            </m:ctrlPr>
          </m:e>
          <m:sub>
            <m:r>
              <m:rPr>
                <m:sty m:val="p"/>
              </m:rPr>
              <w:rPr>
                <w:rFonts w:hint="default" w:ascii="Cambria Math" w:hAnsi="Cambria Math" w:cs="Times New Roman"/>
                <w:spacing w:val="1"/>
                <w:sz w:val="21"/>
                <w:szCs w:val="21"/>
                <w:lang w:val="en-US" w:eastAsia="zh-CN"/>
              </w:rPr>
              <m:t>e</m:t>
            </m:r>
            <m:ctrlPr>
              <w:rPr>
                <w:rFonts w:hint="default" w:ascii="Cambria Math" w:hAnsi="Cambria Math" w:cs="Times New Roman"/>
                <w:iCs/>
                <w:spacing w:val="1"/>
                <w:sz w:val="21"/>
                <w:szCs w:val="21"/>
              </w:rPr>
            </m:ctrlPr>
          </m:sub>
        </m:sSub>
        <m:r>
          <m:rPr>
            <m:nor/>
            <m:sty m:val="p"/>
          </m:rPr>
          <w:rPr>
            <w:rFonts w:ascii="Cambria Math" w:hAnsi="Cambria Math" w:cs="Times New Roman"/>
            <w:b w:val="0"/>
            <w:i w:val="0"/>
            <w:iCs/>
            <w:spacing w:val="1"/>
            <w:sz w:val="21"/>
            <w:szCs w:val="21"/>
          </w:rPr>
          <m:t>=</m:t>
        </m:r>
        <m:nary>
          <m:naryPr>
            <m:chr m:val="∑"/>
            <m:limLoc m:val="undOvr"/>
            <m:subHide m:val="1"/>
            <m:supHide m:val="1"/>
            <m:ctrlPr>
              <w:rPr>
                <w:rFonts w:ascii="Cambria Math" w:hAnsi="Cambria Math" w:cs="Times New Roman"/>
                <w:iCs/>
                <w:spacing w:val="1"/>
                <w:sz w:val="21"/>
                <w:szCs w:val="21"/>
              </w:rPr>
            </m:ctrlPr>
          </m:naryPr>
          <m:sub>
            <m:ctrlPr>
              <w:rPr>
                <w:rFonts w:ascii="Cambria Math" w:hAnsi="Cambria Math" w:cs="Times New Roman"/>
                <w:iCs/>
                <w:spacing w:val="1"/>
                <w:sz w:val="21"/>
                <w:szCs w:val="21"/>
              </w:rPr>
            </m:ctrlPr>
          </m:sub>
          <m:sup>
            <m:ctrlPr>
              <w:rPr>
                <w:rFonts w:ascii="Cambria Math" w:hAnsi="Cambria Math" w:cs="Times New Roman"/>
                <w:iCs/>
                <w:spacing w:val="1"/>
                <w:sz w:val="21"/>
                <w:szCs w:val="21"/>
              </w:rPr>
            </m:ctrlPr>
          </m:sup>
          <m:e>
            <m:r>
              <m:rPr>
                <m:sty m:val="p"/>
              </m:rPr>
              <w:rPr>
                <w:rFonts w:hint="default" w:ascii="Cambria Math" w:hAnsi="Cambria Math" w:cs="Times New Roman"/>
                <w:spacing w:val="1"/>
                <w:sz w:val="21"/>
                <w:szCs w:val="21"/>
                <w:lang w:eastAsia="zh-CN"/>
              </w:rPr>
              <m:t>（</m:t>
            </m:r>
            <m:sSub>
              <m:sSubPr>
                <m:ctrlPr>
                  <w:rPr>
                    <w:rFonts w:hint="default" w:ascii="Cambria Math" w:hAnsi="Cambria Math" w:cs="Times New Roman"/>
                    <w:iCs/>
                    <w:spacing w:val="1"/>
                    <w:sz w:val="21"/>
                    <w:szCs w:val="21"/>
                    <w:lang w:eastAsia="zh-CN"/>
                  </w:rPr>
                </m:ctrlPr>
              </m:sSubPr>
              <m:e>
                <m:r>
                  <m:rPr>
                    <m:sty m:val="p"/>
                  </m:rPr>
                  <w:rPr>
                    <w:rFonts w:hint="default" w:ascii="Cambria Math" w:hAnsi="Cambria Math" w:cs="Times New Roman"/>
                    <w:spacing w:val="1"/>
                    <w:sz w:val="21"/>
                    <w:szCs w:val="21"/>
                    <w:lang w:val="en-US" w:eastAsia="zh-CN"/>
                  </w:rPr>
                  <m:t>S</m:t>
                </m:r>
                <m:ctrlPr>
                  <w:rPr>
                    <w:rFonts w:hint="default" w:ascii="Cambria Math" w:hAnsi="Cambria Math" w:cs="Times New Roman"/>
                    <w:iCs/>
                    <w:spacing w:val="1"/>
                    <w:sz w:val="21"/>
                    <w:szCs w:val="21"/>
                    <w:lang w:eastAsia="zh-CN"/>
                  </w:rPr>
                </m:ctrlPr>
              </m:e>
              <m:sub>
                <m:r>
                  <m:rPr>
                    <m:sty m:val="p"/>
                  </m:rPr>
                  <w:rPr>
                    <w:rFonts w:hint="default" w:ascii="Cambria Math" w:hAnsi="Cambria Math" w:cs="Times New Roman"/>
                    <w:spacing w:val="1"/>
                    <w:sz w:val="21"/>
                    <w:szCs w:val="21"/>
                    <w:lang w:val="en-US" w:eastAsia="zh-CN"/>
                  </w:rPr>
                  <m:t>e,t</m:t>
                </m:r>
                <m:ctrlPr>
                  <w:rPr>
                    <w:rFonts w:hint="default" w:ascii="Cambria Math" w:hAnsi="Cambria Math" w:cs="Times New Roman"/>
                    <w:iCs/>
                    <w:spacing w:val="1"/>
                    <w:sz w:val="21"/>
                    <w:szCs w:val="21"/>
                    <w:lang w:eastAsia="zh-CN"/>
                  </w:rPr>
                </m:ctrlPr>
              </m:sub>
            </m:sSub>
            <m:r>
              <m:rPr>
                <m:sty m:val="p"/>
              </m:rPr>
              <w:rPr>
                <w:rFonts w:ascii="Cambria Math" w:hAnsi="Cambria Math" w:cs="Times New Roman"/>
                <w:spacing w:val="1"/>
                <w:sz w:val="21"/>
                <w:szCs w:val="21"/>
              </w:rPr>
              <m:t>×</m:t>
            </m:r>
            <m:sSub>
              <m:sSubPr>
                <m:ctrlPr>
                  <w:rPr>
                    <w:rFonts w:ascii="Cambria Math" w:hAnsi="Cambria Math" w:cs="Times New Roman"/>
                    <w:iCs/>
                    <w:spacing w:val="1"/>
                    <w:sz w:val="21"/>
                    <w:szCs w:val="21"/>
                  </w:rPr>
                </m:ctrlPr>
              </m:sSubPr>
              <m:e>
                <m:r>
                  <m:rPr>
                    <m:sty m:val="p"/>
                  </m:rPr>
                  <w:rPr>
                    <w:rFonts w:hint="default" w:ascii="Cambria Math" w:hAnsi="Cambria Math" w:cs="Times New Roman"/>
                    <w:spacing w:val="1"/>
                    <w:sz w:val="21"/>
                    <w:szCs w:val="21"/>
                    <w:lang w:val="en-US" w:eastAsia="zh-CN"/>
                  </w:rPr>
                  <m:t>AD</m:t>
                </m:r>
                <m:ctrlPr>
                  <w:rPr>
                    <w:rFonts w:ascii="Cambria Math" w:hAnsi="Cambria Math" w:cs="Times New Roman"/>
                    <w:iCs/>
                    <w:spacing w:val="1"/>
                    <w:sz w:val="21"/>
                    <w:szCs w:val="21"/>
                  </w:rPr>
                </m:ctrlPr>
              </m:e>
              <m:sub>
                <m:r>
                  <m:rPr>
                    <m:sty m:val="p"/>
                  </m:rPr>
                  <w:rPr>
                    <w:rFonts w:hint="default" w:ascii="Cambria Math" w:hAnsi="Cambria Math" w:cs="Times New Roman"/>
                    <w:spacing w:val="1"/>
                    <w:sz w:val="21"/>
                    <w:szCs w:val="21"/>
                    <w:lang w:val="en-US" w:eastAsia="zh-CN"/>
                  </w:rPr>
                  <m:t>t</m:t>
                </m:r>
                <m:ctrlPr>
                  <w:rPr>
                    <w:rFonts w:ascii="Cambria Math" w:hAnsi="Cambria Math" w:cs="Times New Roman"/>
                    <w:iCs/>
                    <w:spacing w:val="1"/>
                    <w:sz w:val="21"/>
                    <w:szCs w:val="21"/>
                  </w:rPr>
                </m:ctrlPr>
              </m:sub>
            </m:sSub>
            <m:r>
              <m:rPr>
                <m:sty m:val="p"/>
              </m:rPr>
              <w:rPr>
                <w:rFonts w:ascii="Cambria Math" w:hAnsi="Cambria Math" w:cs="Times New Roman"/>
                <w:spacing w:val="1"/>
                <w:sz w:val="21"/>
                <w:szCs w:val="21"/>
              </w:rPr>
              <m:t>×</m:t>
            </m:r>
            <m:sSub>
              <m:sSubPr>
                <m:ctrlPr>
                  <w:rPr>
                    <w:rFonts w:ascii="Cambria Math" w:hAnsi="Cambria Math" w:cs="Times New Roman"/>
                    <w:iCs/>
                    <w:spacing w:val="1"/>
                    <w:sz w:val="21"/>
                    <w:szCs w:val="21"/>
                  </w:rPr>
                </m:ctrlPr>
              </m:sSubPr>
              <m:e>
                <m:r>
                  <m:rPr>
                    <m:sty m:val="p"/>
                  </m:rPr>
                  <w:rPr>
                    <w:rFonts w:hint="default" w:ascii="Cambria Math" w:hAnsi="Cambria Math" w:cs="Times New Roman"/>
                    <w:spacing w:val="1"/>
                    <w:sz w:val="21"/>
                    <w:szCs w:val="21"/>
                    <w:lang w:val="en-US" w:eastAsia="zh-CN"/>
                  </w:rPr>
                  <m:t>N</m:t>
                </m:r>
                <m:ctrlPr>
                  <w:rPr>
                    <w:rFonts w:ascii="Cambria Math" w:hAnsi="Cambria Math" w:cs="Times New Roman"/>
                    <w:iCs/>
                    <w:spacing w:val="1"/>
                    <w:sz w:val="21"/>
                    <w:szCs w:val="21"/>
                  </w:rPr>
                </m:ctrlPr>
              </m:e>
              <m:sub>
                <m:r>
                  <m:rPr>
                    <m:sty m:val="p"/>
                  </m:rPr>
                  <w:rPr>
                    <w:rFonts w:hint="default" w:ascii="Cambria Math" w:hAnsi="Cambria Math" w:cs="Times New Roman"/>
                    <w:spacing w:val="1"/>
                    <w:sz w:val="21"/>
                    <w:szCs w:val="21"/>
                    <w:lang w:val="en-US" w:eastAsia="zh-CN"/>
                  </w:rPr>
                  <m:t>t</m:t>
                </m:r>
                <m:ctrlPr>
                  <w:rPr>
                    <w:rFonts w:ascii="Cambria Math" w:hAnsi="Cambria Math" w:cs="Times New Roman"/>
                    <w:iCs/>
                    <w:spacing w:val="1"/>
                    <w:sz w:val="21"/>
                    <w:szCs w:val="21"/>
                  </w:rPr>
                </m:ctrlPr>
              </m:sub>
            </m:sSub>
            <m:r>
              <m:rPr>
                <m:sty m:val="p"/>
              </m:rPr>
              <w:rPr>
                <w:rFonts w:hint="default" w:ascii="Cambria Math" w:hAnsi="Cambria Math" w:cs="Times New Roman"/>
                <w:spacing w:val="1"/>
                <w:sz w:val="21"/>
                <w:szCs w:val="21"/>
                <w:lang w:eastAsia="zh-CN"/>
              </w:rPr>
              <m:t>）</m:t>
            </m:r>
            <m:ctrlPr>
              <w:rPr>
                <w:rFonts w:ascii="Cambria Math" w:hAnsi="Cambria Math" w:cs="Times New Roman"/>
                <w:iCs/>
                <w:spacing w:val="1"/>
                <w:sz w:val="21"/>
                <w:szCs w:val="21"/>
              </w:rPr>
            </m:ctrlPr>
          </m:e>
        </m:nary>
      </m:oMath>
      <w:r>
        <w:rPr>
          <w:rFonts w:hint="default" w:ascii="Times New Roman" w:hAnsi="Times New Roman" w:eastAsia="宋体" w:cs="Times New Roman"/>
          <w:i w:val="0"/>
          <w:iCs/>
          <w:spacing w:val="1"/>
          <w:sz w:val="21"/>
          <w:szCs w:val="21"/>
          <w:lang w:val="en-US" w:eastAsia="zh-CN"/>
        </w:rPr>
        <w:tab/>
      </w:r>
      <w:r>
        <w:rPr>
          <w:rFonts w:hint="default" w:ascii="Times New Roman" w:hAnsi="Times New Roman" w:eastAsia="宋体" w:cs="Times New Roman"/>
          <w:i w:val="0"/>
          <w:iCs/>
          <w:spacing w:val="1"/>
          <w:sz w:val="21"/>
          <w:szCs w:val="21"/>
          <w:lang w:val="en-US" w:eastAsia="zh-CN"/>
        </w:rPr>
        <w:t>（</w:t>
      </w:r>
      <w:r>
        <w:rPr>
          <w:rFonts w:hint="eastAsia" w:ascii="Times New Roman" w:hAnsi="Times New Roman" w:eastAsia="宋体" w:cs="Times New Roman"/>
          <w:i w:val="0"/>
          <w:iCs/>
          <w:spacing w:val="1"/>
          <w:sz w:val="21"/>
          <w:szCs w:val="21"/>
          <w:lang w:val="en-US" w:eastAsia="zh-CN"/>
        </w:rPr>
        <w:t>5</w:t>
      </w:r>
      <w:r>
        <w:rPr>
          <w:rFonts w:hint="default" w:ascii="Times New Roman" w:hAnsi="Times New Roman" w:eastAsia="宋体" w:cs="Times New Roman"/>
          <w:i w:val="0"/>
          <w:iCs/>
          <w:spacing w:val="1"/>
          <w:sz w:val="21"/>
          <w:szCs w:val="21"/>
          <w:lang w:val="en-US" w:eastAsia="zh-CN"/>
        </w:rPr>
        <w:t>）</w:t>
      </w:r>
    </w:p>
    <w:p w14:paraId="49A878C4">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4D9F768E">
      <w:pPr>
        <w:pStyle w:val="3"/>
        <w:bidi w:val="0"/>
        <w:rPr>
          <w:rFonts w:hint="default" w:ascii="Times New Roman" w:hAnsi="Times New Roman" w:cs="Times New Roman"/>
          <w:lang w:val="en-US" w:eastAsia="zh-CN"/>
        </w:rPr>
      </w:pPr>
      <m:oMath>
        <m:sSub>
          <m:sSubPr>
            <m:ctrlPr>
              <w:rPr>
                <w:rFonts w:hint="default" w:eastAsia="宋体" w:cs="Times New Roman"/>
                <w:i w:val="0"/>
                <w:iCs/>
                <w:spacing w:val="1"/>
                <w:sz w:val="21"/>
                <w:szCs w:val="21"/>
                <w:lang w:eastAsia="zh-CN"/>
              </w:rPr>
            </m:ctrlPr>
          </m:sSubPr>
          <m:e>
            <m:r>
              <m:rPr>
                <m:sty m:val="p"/>
              </m:rPr>
              <w:rPr>
                <w:rFonts w:hint="default" w:eastAsia="宋体" w:cs="Times New Roman"/>
                <w:spacing w:val="1"/>
                <w:sz w:val="21"/>
                <w:szCs w:val="21"/>
                <w:lang w:val="en-US" w:eastAsia="zh-CN"/>
              </w:rPr>
              <m:t>S</m:t>
            </m:r>
            <m:ctrlPr>
              <w:rPr>
                <w:rFonts w:hint="default" w:eastAsia="宋体" w:cs="Times New Roman"/>
                <w:i w:val="0"/>
                <w:iCs/>
                <w:spacing w:val="1"/>
                <w:sz w:val="21"/>
                <w:szCs w:val="21"/>
                <w:lang w:eastAsia="zh-CN"/>
              </w:rPr>
            </m:ctrlPr>
          </m:e>
          <m:sub>
            <m:r>
              <m:rPr>
                <m:sty m:val="p"/>
              </m:rPr>
              <w:rPr>
                <w:rFonts w:hint="default" w:eastAsia="宋体" w:cs="Times New Roman"/>
                <w:spacing w:val="1"/>
                <w:sz w:val="21"/>
                <w:szCs w:val="21"/>
                <w:lang w:val="en-US" w:eastAsia="zh-CN"/>
              </w:rPr>
              <m:t>e,t</m:t>
            </m:r>
            <m:ctrlPr>
              <w:rPr>
                <w:rFonts w:hint="default" w:ascii="Cambria Math" w:hAnsi="Cambria Math" w:eastAsia="宋体" w:cs="Times New Roman"/>
                <w:iCs/>
                <w:spacing w:val="1"/>
                <w:sz w:val="21"/>
                <w:szCs w:val="21"/>
                <w:lang w:eastAsia="zh-CN"/>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基准年交通工具t对燃料类型k的单位行驶里程消耗量</w:t>
      </w:r>
      <w:r>
        <w:rPr>
          <w:rFonts w:hint="eastAsia" w:cs="Times New Roman"/>
          <w:lang w:val="en-US" w:eastAsia="zh-CN"/>
        </w:rPr>
        <w:t>（</w:t>
      </w:r>
      <w:r>
        <w:rPr>
          <w:rFonts w:hint="default" w:ascii="Times New Roman" w:hAnsi="Times New Roman" w:cs="Times New Roman"/>
          <w:lang w:val="en-US" w:eastAsia="zh-CN"/>
        </w:rPr>
        <w:t>kg/km</w:t>
      </w:r>
      <w:r>
        <w:rPr>
          <w:rFonts w:hint="eastAsia" w:cs="Times New Roman"/>
          <w:lang w:val="en-US" w:eastAsia="zh-CN"/>
        </w:rPr>
        <w:t>、</w:t>
      </w:r>
      <w:r>
        <w:rPr>
          <w:rFonts w:hint="default" w:ascii="Times New Roman" w:hAnsi="Times New Roman" w:cs="Times New Roman"/>
          <w:lang w:val="en-US" w:eastAsia="zh-CN"/>
        </w:rPr>
        <w:t>kWh/km</w:t>
      </w:r>
      <w:r>
        <w:rPr>
          <w:rFonts w:hint="eastAsia" w:cs="Times New Roman"/>
          <w:lang w:val="en-US" w:eastAsia="zh-CN"/>
        </w:rPr>
        <w:t>）</w:t>
      </w:r>
      <w:r>
        <w:rPr>
          <w:rFonts w:hint="default" w:ascii="Times New Roman" w:hAnsi="Times New Roman" w:cs="Times New Roman"/>
          <w:lang w:val="en-US" w:eastAsia="zh-CN"/>
        </w:rPr>
        <w:t>；</w:t>
      </w:r>
    </w:p>
    <w:p w14:paraId="0944CEC2">
      <w:pPr>
        <w:pStyle w:val="3"/>
        <w:bidi w:val="0"/>
        <w:rPr>
          <w:rFonts w:hint="default" w:ascii="Times New Roman" w:hAnsi="Times New Roman" w:cs="Times New Roman"/>
          <w:lang w:val="en-US" w:eastAsia="zh-CN"/>
        </w:rPr>
      </w:pPr>
      <m:oMath>
        <m:sSub>
          <m:sSubPr>
            <m:ctrlPr>
              <w:rPr>
                <w:rFonts w:ascii="Cambria Math" w:hAnsi="Cambria Math" w:cs="Times New Roman"/>
                <w:iCs/>
                <w:spacing w:val="1"/>
                <w:sz w:val="21"/>
                <w:szCs w:val="21"/>
              </w:rPr>
            </m:ctrlPr>
          </m:sSubPr>
          <m:e>
            <m:r>
              <m:rPr>
                <m:sty m:val="p"/>
              </m:rPr>
              <w:rPr>
                <w:rFonts w:hint="default" w:eastAsia="宋体" w:cs="Times New Roman"/>
                <w:spacing w:val="1"/>
                <w:sz w:val="21"/>
                <w:szCs w:val="21"/>
                <w:lang w:val="en-US" w:eastAsia="zh-CN"/>
              </w:rPr>
              <m:t>AD</m:t>
            </m:r>
            <m:ctrlPr>
              <w:rPr>
                <w:rFonts w:ascii="Cambria Math" w:hAnsi="Cambria Math" w:cs="Times New Roman"/>
                <w:iCs/>
                <w:spacing w:val="1"/>
                <w:sz w:val="21"/>
                <w:szCs w:val="21"/>
              </w:rPr>
            </m:ctrlPr>
          </m:e>
          <m:sub>
            <m:r>
              <m:rPr>
                <m:sty m:val="p"/>
              </m:rPr>
              <w:rPr>
                <w:rFonts w:hint="default" w:eastAsia="宋体" w:cs="Times New Roman"/>
                <w:spacing w:val="1"/>
                <w:sz w:val="21"/>
                <w:szCs w:val="21"/>
                <w:lang w:val="en-US" w:eastAsia="zh-CN"/>
              </w:rPr>
              <m:t>t</m:t>
            </m:r>
            <m:ctrlPr>
              <w:rPr>
                <w:rFonts w:ascii="Cambria Math" w:hAnsi="Cambria Math" w:cs="Times New Roman"/>
                <w:iCs/>
                <w:spacing w:val="1"/>
                <w:sz w:val="21"/>
                <w:szCs w:val="21"/>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基准年基准线情景每一辆交通工具t的年均行驶里程</w:t>
      </w:r>
      <w:r>
        <w:rPr>
          <w:rFonts w:hint="eastAsia" w:cs="Times New Roman"/>
          <w:lang w:val="en-US" w:eastAsia="zh-CN"/>
        </w:rPr>
        <w:t>（</w:t>
      </w:r>
      <w:r>
        <w:rPr>
          <w:rFonts w:hint="default" w:ascii="Times New Roman" w:hAnsi="Times New Roman" w:cs="Times New Roman"/>
          <w:lang w:val="en-US" w:eastAsia="zh-CN"/>
        </w:rPr>
        <w:t>km/辆</w:t>
      </w:r>
      <w:r>
        <w:rPr>
          <w:rFonts w:hint="eastAsia" w:cs="Times New Roman"/>
          <w:lang w:val="en-US" w:eastAsia="zh-CN"/>
        </w:rPr>
        <w:t>）</w:t>
      </w:r>
      <w:r>
        <w:rPr>
          <w:rFonts w:hint="default" w:ascii="Times New Roman" w:hAnsi="Times New Roman" w:cs="Times New Roman"/>
          <w:lang w:val="en-US" w:eastAsia="zh-CN"/>
        </w:rPr>
        <w:t>；</w:t>
      </w:r>
    </w:p>
    <w:p w14:paraId="542236D1">
      <w:pPr>
        <w:pStyle w:val="3"/>
        <w:bidi w:val="0"/>
        <w:rPr>
          <w:rFonts w:hint="default" w:ascii="Times New Roman" w:hAnsi="Times New Roman" w:cs="Times New Roman"/>
          <w:lang w:val="en-US" w:eastAsia="zh-CN"/>
        </w:rPr>
      </w:pPr>
      <m:oMath>
        <m:sSub>
          <m:sSubPr>
            <m:ctrlPr>
              <w:rPr>
                <w:rFonts w:ascii="Cambria Math" w:hAnsi="Cambria Math" w:cs="Times New Roman"/>
                <w:iCs/>
                <w:spacing w:val="1"/>
                <w:sz w:val="21"/>
                <w:szCs w:val="21"/>
              </w:rPr>
            </m:ctrlPr>
          </m:sSubPr>
          <m:e>
            <m:r>
              <m:rPr>
                <m:sty m:val="p"/>
              </m:rPr>
              <w:rPr>
                <w:rFonts w:hint="default" w:eastAsia="宋体" w:cs="Times New Roman"/>
                <w:spacing w:val="1"/>
                <w:sz w:val="21"/>
                <w:szCs w:val="21"/>
                <w:lang w:val="en-US" w:eastAsia="zh-CN"/>
              </w:rPr>
              <m:t>N</m:t>
            </m:r>
            <m:ctrlPr>
              <w:rPr>
                <w:rFonts w:ascii="Cambria Math" w:hAnsi="Cambria Math" w:cs="Times New Roman"/>
                <w:iCs/>
                <w:spacing w:val="1"/>
                <w:sz w:val="21"/>
                <w:szCs w:val="21"/>
              </w:rPr>
            </m:ctrlPr>
          </m:e>
          <m:sub>
            <m:r>
              <m:rPr>
                <m:sty m:val="p"/>
              </m:rPr>
              <w:rPr>
                <w:rFonts w:hint="default" w:eastAsia="宋体" w:cs="Times New Roman"/>
                <w:spacing w:val="1"/>
                <w:sz w:val="21"/>
                <w:szCs w:val="21"/>
                <w:lang w:val="en-US" w:eastAsia="zh-CN"/>
              </w:rPr>
              <m:t>t</m:t>
            </m:r>
            <m:ctrlPr>
              <w:rPr>
                <w:rFonts w:ascii="Cambria Math" w:hAnsi="Cambria Math" w:cs="Times New Roman"/>
                <w:iCs/>
                <w:spacing w:val="1"/>
                <w:sz w:val="21"/>
                <w:szCs w:val="21"/>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基准年基准线情景交通工具t的数量</w:t>
      </w:r>
      <w:r>
        <w:rPr>
          <w:rFonts w:hint="eastAsia" w:cs="Times New Roman"/>
          <w:lang w:val="en-US" w:eastAsia="zh-CN"/>
        </w:rPr>
        <w:t>（</w:t>
      </w:r>
      <w:r>
        <w:rPr>
          <w:rFonts w:hint="default" w:ascii="Times New Roman" w:hAnsi="Times New Roman" w:cs="Times New Roman"/>
          <w:lang w:val="en-US" w:eastAsia="zh-CN"/>
        </w:rPr>
        <w:t>辆</w:t>
      </w:r>
      <w:r>
        <w:rPr>
          <w:rFonts w:hint="eastAsia" w:cs="Times New Roman"/>
          <w:lang w:val="en-US" w:eastAsia="zh-CN"/>
        </w:rPr>
        <w:t>）。</w:t>
      </w:r>
    </w:p>
    <w:p w14:paraId="18AF6180">
      <w:pPr>
        <w:pStyle w:val="22"/>
        <w:bidi w:val="0"/>
        <w:rPr>
          <w:rFonts w:hint="default" w:ascii="Times New Roman" w:hAnsi="Times New Roman" w:eastAsia="宋体" w:cs="Times New Roman"/>
          <w:i w:val="0"/>
          <w:iCs/>
          <w:spacing w:val="1"/>
          <w:sz w:val="21"/>
          <w:szCs w:val="21"/>
          <w:lang w:val="en-US" w:eastAsia="zh-CN"/>
        </w:rPr>
      </w:pPr>
      <m:oMath>
        <m:sSub>
          <m:sSubPr>
            <m:ctrlPr>
              <w:rPr>
                <w:rFonts w:hint="default" w:ascii="Cambria Math" w:hAnsi="Cambria Math" w:cs="Times New Roman"/>
                <w:i w:val="0"/>
                <w:iCs/>
                <w:spacing w:val="1"/>
                <w:sz w:val="21"/>
                <w:szCs w:val="21"/>
                <w:lang w:val="en-US"/>
              </w:rPr>
            </m:ctrlPr>
          </m:sSubPr>
          <m:e>
            <m:r>
              <m:rPr>
                <m:sty m:val="p"/>
              </m:rPr>
              <w:rPr>
                <w:rFonts w:hint="default" w:eastAsia="宋体" w:cs="Times New Roman"/>
                <w:spacing w:val="1"/>
                <w:sz w:val="21"/>
                <w:szCs w:val="21"/>
                <w:lang w:val="en-US" w:eastAsia="zh-CN"/>
              </w:rPr>
              <m:t>Q</m:t>
            </m:r>
            <m:ctrlPr>
              <w:rPr>
                <w:rFonts w:hint="default" w:ascii="Cambria Math" w:hAnsi="Cambria Math" w:cs="Times New Roman"/>
                <w:i w:val="0"/>
                <w:iCs/>
                <w:spacing w:val="1"/>
                <w:sz w:val="21"/>
                <w:szCs w:val="21"/>
                <w:lang w:val="en-US"/>
              </w:rPr>
            </m:ctrlPr>
          </m:e>
          <m:sub>
            <m:r>
              <m:rPr>
                <m:sty m:val="p"/>
              </m:rPr>
              <w:rPr>
                <w:rFonts w:hint="eastAsia" w:eastAsia="宋体" w:cs="Times New Roman"/>
                <w:spacing w:val="1"/>
                <w:sz w:val="21"/>
                <w:szCs w:val="21"/>
                <w:lang w:val="en-US" w:eastAsia="zh-CN"/>
              </w:rPr>
              <m:t>t</m:t>
            </m:r>
            <m:ctrlPr>
              <w:rPr>
                <w:rFonts w:hint="default" w:ascii="Cambria Math" w:hAnsi="Cambria Math" w:cs="Times New Roman"/>
                <w:iCs/>
                <w:spacing w:val="1"/>
                <w:sz w:val="21"/>
                <w:szCs w:val="21"/>
                <w:lang w:val="en-US"/>
              </w:rPr>
            </m:ctrlPr>
          </m:sub>
        </m:sSub>
        <m:r>
          <m:rPr>
            <m:nor/>
            <m:sty m:val="p"/>
          </m:rPr>
          <w:rPr>
            <w:rFonts w:ascii="Cambria Math" w:hAnsi="Cambria Math" w:cs="Times New Roman"/>
            <w:b w:val="0"/>
            <w:i w:val="0"/>
            <w:iCs/>
            <w:spacing w:val="1"/>
            <w:sz w:val="21"/>
            <w:szCs w:val="21"/>
            <w:lang w:val="en-US"/>
          </w:rPr>
          <m:t>=</m:t>
        </m:r>
        <m:nary>
          <m:naryPr>
            <m:chr m:val="∑"/>
            <m:limLoc m:val="undOvr"/>
            <m:supHide m:val="1"/>
            <m:ctrlPr>
              <w:rPr>
                <w:rFonts w:ascii="Cambria Math" w:hAnsi="Cambria Math" w:cs="Times New Roman"/>
                <w:iCs/>
                <w:spacing w:val="1"/>
                <w:sz w:val="21"/>
                <w:szCs w:val="21"/>
                <w:lang w:val="en-US"/>
              </w:rPr>
            </m:ctrlPr>
          </m:naryPr>
          <m:sub>
            <m:r>
              <m:rPr>
                <m:sty m:val="p"/>
              </m:rPr>
              <w:rPr>
                <w:rFonts w:hint="default" w:eastAsia="宋体" w:cs="Times New Roman"/>
                <w:spacing w:val="1"/>
                <w:sz w:val="21"/>
                <w:szCs w:val="21"/>
                <w:lang w:val="en-US" w:eastAsia="zh-CN"/>
              </w:rPr>
              <m:t>t</m:t>
            </m:r>
            <m:ctrlPr>
              <w:rPr>
                <w:rFonts w:ascii="Cambria Math" w:hAnsi="Cambria Math" w:cs="Times New Roman"/>
                <w:iCs/>
                <w:spacing w:val="1"/>
                <w:sz w:val="21"/>
                <w:szCs w:val="21"/>
                <w:lang w:val="en-US"/>
              </w:rPr>
            </m:ctrlPr>
          </m:sub>
          <m:sup>
            <m:ctrlPr>
              <w:rPr>
                <w:rFonts w:ascii="Cambria Math" w:hAnsi="Cambria Math" w:cs="Times New Roman"/>
                <w:iCs/>
                <w:spacing w:val="1"/>
                <w:sz w:val="21"/>
                <w:szCs w:val="21"/>
                <w:lang w:val="en-US"/>
              </w:rPr>
            </m:ctrlPr>
          </m:sup>
          <m:e>
            <m:r>
              <m:rPr>
                <m:sty m:val="p"/>
              </m:rPr>
              <w:rPr>
                <w:rFonts w:hint="default" w:eastAsia="宋体" w:cs="Times New Roman"/>
                <w:spacing w:val="1"/>
                <w:sz w:val="21"/>
                <w:szCs w:val="21"/>
                <w:lang w:val="en-US" w:eastAsia="zh-CN"/>
              </w:rPr>
              <m:t>（</m:t>
            </m:r>
            <m:sSub>
              <m:sSubPr>
                <m:ctrlPr>
                  <w:rPr>
                    <w:rFonts w:hint="default" w:eastAsia="宋体" w:cs="Times New Roman"/>
                    <w:i w:val="0"/>
                    <w:iCs/>
                    <w:spacing w:val="1"/>
                    <w:sz w:val="21"/>
                    <w:szCs w:val="21"/>
                    <w:lang w:val="en-US" w:eastAsia="zh-CN"/>
                  </w:rPr>
                </m:ctrlPr>
              </m:sSubPr>
              <m:e>
                <m:r>
                  <m:rPr>
                    <m:sty m:val="p"/>
                  </m:rPr>
                  <w:rPr>
                    <w:rFonts w:hint="default" w:eastAsia="宋体" w:cs="Times New Roman"/>
                    <w:spacing w:val="1"/>
                    <w:sz w:val="21"/>
                    <w:szCs w:val="21"/>
                    <w:lang w:val="en-US" w:eastAsia="zh-CN"/>
                  </w:rPr>
                  <m:t>P</m:t>
                </m:r>
                <m:ctrlPr>
                  <w:rPr>
                    <w:rFonts w:hint="default" w:eastAsia="宋体" w:cs="Times New Roman"/>
                    <w:i w:val="0"/>
                    <w:iCs/>
                    <w:spacing w:val="1"/>
                    <w:sz w:val="21"/>
                    <w:szCs w:val="21"/>
                    <w:lang w:val="en-US" w:eastAsia="zh-CN"/>
                  </w:rPr>
                </m:ctrlPr>
              </m:e>
              <m:sub>
                <m:r>
                  <m:rPr>
                    <m:sty m:val="p"/>
                  </m:rPr>
                  <w:rPr>
                    <w:rFonts w:hint="eastAsia" w:eastAsia="宋体" w:cs="Times New Roman"/>
                    <w:spacing w:val="1"/>
                    <w:sz w:val="21"/>
                    <w:szCs w:val="21"/>
                    <w:lang w:val="en-US" w:eastAsia="zh-CN"/>
                  </w:rPr>
                  <m:t>t</m:t>
                </m:r>
                <m:ctrlPr>
                  <w:rPr>
                    <w:rFonts w:hint="default" w:ascii="Cambria Math" w:hAnsi="Cambria Math" w:eastAsia="宋体" w:cs="Times New Roman"/>
                    <w:iCs/>
                    <w:spacing w:val="1"/>
                    <w:sz w:val="21"/>
                    <w:szCs w:val="21"/>
                    <w:lang w:val="en-US" w:eastAsia="zh-CN"/>
                  </w:rPr>
                </m:ctrlPr>
              </m:sub>
            </m:sSub>
            <m:r>
              <m:rPr>
                <m:sty m:val="p"/>
              </m:rPr>
              <w:rPr>
                <w:rFonts w:ascii="Cambria Math" w:hAnsi="Cambria Math" w:cs="Times New Roman"/>
                <w:spacing w:val="1"/>
                <w:sz w:val="21"/>
                <w:szCs w:val="21"/>
                <w:lang w:val="en-US"/>
              </w:rPr>
              <m:t>×</m:t>
            </m:r>
            <m:sSub>
              <m:sSubPr>
                <m:ctrlPr>
                  <w:rPr>
                    <w:rFonts w:hint="default" w:ascii="Cambria Math" w:hAnsi="Cambria Math" w:cs="Cambria Math"/>
                    <w:iCs/>
                    <w:spacing w:val="1"/>
                    <w:sz w:val="21"/>
                    <w:szCs w:val="21"/>
                    <w:lang w:val="en-US"/>
                  </w:rPr>
                </m:ctrlPr>
              </m:sSubPr>
              <m:e>
                <m:r>
                  <m:rPr>
                    <m:sty m:val="p"/>
                  </m:rPr>
                  <w:rPr>
                    <w:rFonts w:hint="default" w:ascii="Cambria Math" w:hAnsi="Cambria Math" w:eastAsia="宋体" w:cs="Cambria Math"/>
                    <w:spacing w:val="1"/>
                    <w:sz w:val="21"/>
                    <w:szCs w:val="21"/>
                    <w:lang w:val="en-US" w:eastAsia="zh-CN"/>
                  </w:rPr>
                  <m:t>D</m:t>
                </m:r>
                <m:ctrlPr>
                  <w:rPr>
                    <w:rFonts w:hint="default" w:ascii="Cambria Math" w:hAnsi="Cambria Math" w:cs="Cambria Math"/>
                    <w:iCs/>
                    <w:spacing w:val="1"/>
                    <w:sz w:val="21"/>
                    <w:szCs w:val="21"/>
                    <w:lang w:val="en-US"/>
                  </w:rPr>
                </m:ctrlPr>
              </m:e>
              <m:sub>
                <m:r>
                  <m:rPr>
                    <m:sty m:val="p"/>
                  </m:rPr>
                  <w:rPr>
                    <w:rFonts w:hint="default" w:ascii="Cambria Math" w:hAnsi="Cambria Math" w:eastAsia="宋体" w:cs="Cambria Math"/>
                    <w:spacing w:val="1"/>
                    <w:sz w:val="21"/>
                    <w:szCs w:val="21"/>
                    <w:lang w:val="en-US" w:eastAsia="zh-CN"/>
                  </w:rPr>
                  <m:t>t</m:t>
                </m:r>
                <m:ctrlPr>
                  <w:rPr>
                    <w:rFonts w:hint="default" w:ascii="Cambria Math" w:hAnsi="Cambria Math" w:cs="Cambria Math"/>
                    <w:iCs/>
                    <w:spacing w:val="1"/>
                    <w:sz w:val="21"/>
                    <w:szCs w:val="21"/>
                    <w:lang w:val="en-US"/>
                  </w:rPr>
                </m:ctrlPr>
              </m:sub>
            </m:sSub>
            <m:r>
              <m:rPr>
                <m:sty m:val="p"/>
              </m:rPr>
              <w:rPr>
                <w:rFonts w:hint="default" w:eastAsia="宋体" w:cs="Times New Roman"/>
                <w:spacing w:val="1"/>
                <w:sz w:val="21"/>
                <w:szCs w:val="21"/>
                <w:lang w:val="en-US" w:eastAsia="zh-CN"/>
              </w:rPr>
              <m:t>）</m:t>
            </m:r>
            <m:ctrlPr>
              <w:rPr>
                <w:rFonts w:ascii="Cambria Math" w:hAnsi="Cambria Math" w:cs="Times New Roman"/>
                <w:iCs/>
                <w:spacing w:val="1"/>
                <w:sz w:val="21"/>
                <w:szCs w:val="21"/>
                <w:lang w:val="en-US"/>
              </w:rPr>
            </m:ctrlPr>
          </m:e>
        </m:nary>
      </m:oMath>
      <w:r>
        <w:rPr>
          <w:rFonts w:hint="default" w:ascii="Times New Roman" w:hAnsi="Times New Roman" w:eastAsia="宋体" w:cs="Times New Roman"/>
          <w:i w:val="0"/>
          <w:iCs/>
          <w:spacing w:val="1"/>
          <w:sz w:val="21"/>
          <w:szCs w:val="21"/>
          <w:lang w:val="en-US" w:eastAsia="zh-CN"/>
        </w:rPr>
        <w:tab/>
      </w:r>
      <w:r>
        <w:rPr>
          <w:rFonts w:hint="default" w:ascii="Times New Roman" w:hAnsi="Times New Roman" w:eastAsia="宋体" w:cs="Times New Roman"/>
          <w:i w:val="0"/>
          <w:iCs/>
          <w:spacing w:val="1"/>
          <w:sz w:val="21"/>
          <w:szCs w:val="21"/>
          <w:lang w:val="en-US" w:eastAsia="zh-CN"/>
        </w:rPr>
        <w:t>（</w:t>
      </w:r>
      <w:r>
        <w:rPr>
          <w:rFonts w:hint="eastAsia" w:ascii="Times New Roman" w:hAnsi="Times New Roman" w:eastAsia="宋体" w:cs="Times New Roman"/>
          <w:i w:val="0"/>
          <w:iCs/>
          <w:spacing w:val="1"/>
          <w:sz w:val="21"/>
          <w:szCs w:val="21"/>
          <w:lang w:val="en-US" w:eastAsia="zh-CN"/>
        </w:rPr>
        <w:t>6</w:t>
      </w:r>
      <w:r>
        <w:rPr>
          <w:rFonts w:hint="default" w:ascii="Times New Roman" w:hAnsi="Times New Roman" w:eastAsia="宋体" w:cs="Times New Roman"/>
          <w:i w:val="0"/>
          <w:iCs/>
          <w:spacing w:val="1"/>
          <w:sz w:val="21"/>
          <w:szCs w:val="21"/>
          <w:lang w:val="en-US" w:eastAsia="zh-CN"/>
        </w:rPr>
        <w:t>）</w:t>
      </w:r>
    </w:p>
    <w:p w14:paraId="480D6A4D">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45F2CD56">
      <w:pPr>
        <w:pStyle w:val="3"/>
        <w:bidi w:val="0"/>
        <w:rPr>
          <w:rFonts w:hint="default" w:ascii="Times New Roman" w:hAnsi="Times New Roman" w:cs="Times New Roman"/>
          <w:lang w:val="en-US" w:eastAsia="zh-CN"/>
        </w:rPr>
      </w:pPr>
      <m:oMath>
        <m:sSub>
          <m:sSubPr>
            <m:ctrlPr>
              <w:rPr>
                <w:rFonts w:hint="default" w:ascii="Cambria Math" w:hAnsi="Cambria Math" w:cs="Times New Roman"/>
                <w:i w:val="0"/>
                <w:iCs/>
                <w:spacing w:val="1"/>
                <w:sz w:val="21"/>
                <w:szCs w:val="21"/>
                <w:lang w:val="en-US"/>
              </w:rPr>
            </m:ctrlPr>
          </m:sSubPr>
          <m:e>
            <m:r>
              <m:rPr>
                <m:sty m:val="p"/>
              </m:rPr>
              <w:rPr>
                <w:rFonts w:hint="default" w:eastAsia="宋体" w:cs="Times New Roman"/>
                <w:spacing w:val="1"/>
                <w:sz w:val="21"/>
                <w:szCs w:val="21"/>
                <w:lang w:val="en-US" w:eastAsia="zh-CN"/>
              </w:rPr>
              <m:t>Q</m:t>
            </m:r>
            <m:ctrlPr>
              <w:rPr>
                <w:rFonts w:hint="default" w:ascii="Cambria Math" w:hAnsi="Cambria Math" w:cs="Times New Roman"/>
                <w:i w:val="0"/>
                <w:iCs/>
                <w:spacing w:val="1"/>
                <w:sz w:val="21"/>
                <w:szCs w:val="21"/>
                <w:lang w:val="en-US"/>
              </w:rPr>
            </m:ctrlPr>
          </m:e>
          <m:sub>
            <m:r>
              <m:rPr>
                <m:sty m:val="p"/>
              </m:rPr>
              <w:rPr>
                <w:rFonts w:hint="eastAsia" w:eastAsia="宋体" w:cs="Times New Roman"/>
                <w:spacing w:val="1"/>
                <w:sz w:val="21"/>
                <w:szCs w:val="21"/>
                <w:lang w:val="en-US" w:eastAsia="zh-CN"/>
              </w:rPr>
              <m:t>t</m:t>
            </m:r>
            <m:ctrlPr>
              <w:rPr>
                <w:rFonts w:hint="default" w:ascii="Cambria Math" w:hAnsi="Cambria Math" w:cs="Times New Roman"/>
                <w:iCs/>
                <w:spacing w:val="1"/>
                <w:sz w:val="21"/>
                <w:szCs w:val="21"/>
                <w:lang w:val="en-US"/>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乘客采用</w:t>
      </w:r>
      <w:r>
        <w:rPr>
          <w:rFonts w:hint="eastAsia" w:cs="Times New Roman"/>
          <w:lang w:val="en-US" w:eastAsia="zh-CN"/>
        </w:rPr>
        <w:t>不同</w:t>
      </w:r>
      <w:r>
        <w:rPr>
          <w:rFonts w:hint="default" w:ascii="Times New Roman" w:hAnsi="Times New Roman" w:cs="Times New Roman"/>
          <w:lang w:val="en-US" w:eastAsia="zh-CN"/>
        </w:rPr>
        <w:t>交通工具出行的年客运周转量</w:t>
      </w:r>
      <w:r>
        <w:rPr>
          <w:rFonts w:hint="eastAsia" w:cs="Times New Roman"/>
          <w:lang w:val="en-US" w:eastAsia="zh-CN"/>
        </w:rPr>
        <w:t>（</w:t>
      </w:r>
      <w:r>
        <w:rPr>
          <w:rFonts w:hint="default" w:ascii="Times New Roman" w:hAnsi="Times New Roman" w:cs="Times New Roman"/>
          <w:lang w:val="en-US" w:eastAsia="zh-CN"/>
        </w:rPr>
        <w:t>pkm</w:t>
      </w:r>
      <w:r>
        <w:rPr>
          <w:rFonts w:hint="eastAsia" w:cs="Times New Roman"/>
          <w:lang w:val="en-US" w:eastAsia="zh-CN"/>
        </w:rPr>
        <w:t>）</w:t>
      </w:r>
      <w:r>
        <w:rPr>
          <w:rFonts w:hint="default" w:ascii="Times New Roman" w:hAnsi="Times New Roman" w:cs="Times New Roman"/>
          <w:lang w:val="en-US" w:eastAsia="zh-CN"/>
        </w:rPr>
        <w:t>；</w:t>
      </w:r>
    </w:p>
    <w:p w14:paraId="3694385B">
      <w:pPr>
        <w:pStyle w:val="3"/>
        <w:bidi w:val="0"/>
        <w:rPr>
          <w:rFonts w:hint="default" w:ascii="Times New Roman" w:hAnsi="Times New Roman" w:cs="Times New Roman"/>
          <w:lang w:val="en-US" w:eastAsia="zh-CN"/>
        </w:rPr>
      </w:pPr>
      <m:oMath>
        <m:sSub>
          <m:sSubPr>
            <m:ctrlPr>
              <w:rPr>
                <w:rFonts w:hint="default" w:eastAsia="宋体" w:cs="Times New Roman"/>
                <w:i w:val="0"/>
                <w:iCs/>
                <w:spacing w:val="1"/>
                <w:sz w:val="21"/>
                <w:szCs w:val="21"/>
                <w:lang w:val="en-US" w:eastAsia="zh-CN"/>
              </w:rPr>
            </m:ctrlPr>
          </m:sSubPr>
          <m:e>
            <m:r>
              <m:rPr>
                <m:sty m:val="p"/>
              </m:rPr>
              <w:rPr>
                <w:rFonts w:hint="default" w:eastAsia="宋体" w:cs="Times New Roman"/>
                <w:spacing w:val="1"/>
                <w:sz w:val="21"/>
                <w:szCs w:val="21"/>
                <w:lang w:val="en-US" w:eastAsia="zh-CN"/>
              </w:rPr>
              <m:t>P</m:t>
            </m:r>
            <m:ctrlPr>
              <w:rPr>
                <w:rFonts w:hint="default" w:eastAsia="宋体" w:cs="Times New Roman"/>
                <w:i w:val="0"/>
                <w:iCs/>
                <w:spacing w:val="1"/>
                <w:sz w:val="21"/>
                <w:szCs w:val="21"/>
                <w:lang w:val="en-US" w:eastAsia="zh-CN"/>
              </w:rPr>
            </m:ctrlPr>
          </m:e>
          <m:sub>
            <m:r>
              <m:rPr>
                <m:sty m:val="p"/>
              </m:rPr>
              <w:rPr>
                <w:rFonts w:hint="eastAsia" w:eastAsia="宋体" w:cs="Times New Roman"/>
                <w:spacing w:val="1"/>
                <w:sz w:val="21"/>
                <w:szCs w:val="21"/>
                <w:lang w:val="en-US" w:eastAsia="zh-CN"/>
              </w:rPr>
              <m:t>t</m:t>
            </m:r>
            <m:ctrlPr>
              <w:rPr>
                <w:rFonts w:hint="default" w:ascii="Cambria Math" w:hAnsi="Cambria Math" w:eastAsia="宋体" w:cs="Times New Roman"/>
                <w:iCs/>
                <w:spacing w:val="1"/>
                <w:sz w:val="21"/>
                <w:szCs w:val="21"/>
                <w:lang w:val="en-US" w:eastAsia="zh-CN"/>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基准年基准线情景交通工具t的年客运量</w:t>
      </w:r>
      <w:r>
        <w:rPr>
          <w:rFonts w:hint="eastAsia" w:cs="Times New Roman"/>
          <w:lang w:val="en-US" w:eastAsia="zh-CN"/>
        </w:rPr>
        <w:t>（</w:t>
      </w:r>
      <w:r>
        <w:rPr>
          <w:rFonts w:hint="default" w:ascii="Times New Roman" w:hAnsi="Times New Roman" w:cs="Times New Roman"/>
          <w:lang w:val="en-US" w:eastAsia="zh-CN"/>
        </w:rPr>
        <w:t>p</w:t>
      </w:r>
      <w:r>
        <w:rPr>
          <w:rFonts w:hint="eastAsia" w:cs="Times New Roman"/>
          <w:lang w:val="en-US" w:eastAsia="zh-CN"/>
        </w:rPr>
        <w:t>）</w:t>
      </w:r>
      <w:r>
        <w:rPr>
          <w:rFonts w:hint="default" w:ascii="Times New Roman" w:hAnsi="Times New Roman" w:cs="Times New Roman"/>
          <w:lang w:val="en-US" w:eastAsia="zh-CN"/>
        </w:rPr>
        <w:t>；</w:t>
      </w:r>
    </w:p>
    <w:p w14:paraId="6620733F">
      <w:pPr>
        <w:pStyle w:val="3"/>
        <w:bidi w:val="0"/>
        <w:rPr>
          <w:rFonts w:hint="default" w:ascii="Times New Roman" w:hAnsi="Times New Roman" w:cs="Times New Roman"/>
          <w:lang w:val="en-US" w:eastAsia="zh-CN"/>
        </w:rPr>
      </w:pPr>
      <m:oMath>
        <m:sSub>
          <m:sSubPr>
            <m:ctrlPr>
              <w:rPr>
                <w:rFonts w:ascii="Cambria Math" w:hAnsi="Cambria Math" w:cs="Times New Roman"/>
                <w:iCs/>
                <w:spacing w:val="1"/>
                <w:sz w:val="21"/>
                <w:szCs w:val="21"/>
                <w:lang w:val="en-US"/>
              </w:rPr>
            </m:ctrlPr>
          </m:sSubPr>
          <m:e>
            <m:r>
              <m:rPr>
                <m:sty m:val="p"/>
              </m:rPr>
              <w:rPr>
                <w:rFonts w:hint="default" w:eastAsia="宋体" w:cs="Times New Roman"/>
                <w:spacing w:val="1"/>
                <w:sz w:val="21"/>
                <w:szCs w:val="21"/>
                <w:lang w:val="en-US" w:eastAsia="zh-CN"/>
              </w:rPr>
              <m:t>D</m:t>
            </m:r>
            <m:ctrlPr>
              <w:rPr>
                <w:rFonts w:ascii="Cambria Math" w:hAnsi="Cambria Math" w:cs="Times New Roman"/>
                <w:iCs/>
                <w:spacing w:val="1"/>
                <w:sz w:val="21"/>
                <w:szCs w:val="21"/>
                <w:lang w:val="en-US"/>
              </w:rPr>
            </m:ctrlPr>
          </m:e>
          <m:sub>
            <m:r>
              <m:rPr>
                <m:sty m:val="p"/>
              </m:rPr>
              <w:rPr>
                <w:rFonts w:hint="eastAsia" w:eastAsia="宋体" w:cs="Times New Roman"/>
                <w:spacing w:val="1"/>
                <w:sz w:val="21"/>
                <w:szCs w:val="21"/>
                <w:lang w:val="en-US" w:eastAsia="zh-CN"/>
              </w:rPr>
              <m:t>t</m:t>
            </m:r>
            <m:ctrlPr>
              <w:rPr>
                <w:rFonts w:ascii="Cambria Math" w:hAnsi="Cambria Math" w:cs="Times New Roman"/>
                <w:iCs/>
                <w:spacing w:val="1"/>
                <w:sz w:val="21"/>
                <w:szCs w:val="21"/>
                <w:lang w:val="en-US"/>
              </w:rPr>
            </m:ctrlPr>
          </m:sub>
        </m:sSub>
      </m:oMath>
      <w:r>
        <w:rPr>
          <w:rFonts w:hint="default" w:ascii="Times New Roman" w:hAnsi="Times New Roman" w:cs="Times New Roman"/>
          <w:lang w:eastAsia="zh-CN"/>
        </w:rPr>
        <w:t>——</w:t>
      </w:r>
      <w:r>
        <w:rPr>
          <w:rFonts w:hint="default" w:ascii="Times New Roman" w:hAnsi="Times New Roman" w:cs="Times New Roman"/>
          <w:lang w:val="en-US" w:eastAsia="zh-CN"/>
        </w:rPr>
        <w:t>基准年基准线情景交通工具t的年平均乘距</w:t>
      </w:r>
      <w:r>
        <w:rPr>
          <w:rFonts w:hint="eastAsia" w:cs="Times New Roman"/>
          <w:lang w:val="en-US" w:eastAsia="zh-CN"/>
        </w:rPr>
        <w:t>（</w:t>
      </w:r>
      <w:r>
        <w:rPr>
          <w:rFonts w:hint="default" w:ascii="Times New Roman" w:hAnsi="Times New Roman" w:cs="Times New Roman"/>
          <w:lang w:val="en-US" w:eastAsia="zh-CN"/>
        </w:rPr>
        <w:t>km</w:t>
      </w:r>
      <w:r>
        <w:rPr>
          <w:rFonts w:hint="eastAsia" w:cs="Times New Roman"/>
          <w:lang w:val="en-US" w:eastAsia="zh-CN"/>
        </w:rPr>
        <w:t>）</w:t>
      </w:r>
      <w:r>
        <w:rPr>
          <w:rFonts w:hint="default" w:ascii="Times New Roman" w:hAnsi="Times New Roman" w:cs="Times New Roman"/>
          <w:lang w:val="en-US" w:eastAsia="zh-CN"/>
        </w:rPr>
        <w:t>。</w:t>
      </w:r>
    </w:p>
    <w:p w14:paraId="331B45B8">
      <w:pPr>
        <w:pStyle w:val="5"/>
        <w:bidi w:val="0"/>
        <w:rPr>
          <w:rFonts w:hint="default" w:ascii="Times New Roman" w:hAnsi="Times New Roman" w:eastAsia="Cambria Math" w:cs="Times New Roman"/>
          <w:sz w:val="15"/>
          <w:szCs w:val="15"/>
          <w:highlight w:val="none"/>
        </w:rPr>
      </w:pPr>
      <w:bookmarkStart w:id="76" w:name="_Toc6982"/>
      <w:r>
        <w:rPr>
          <w:rFonts w:hint="default" w:ascii="Times New Roman" w:hAnsi="Times New Roman" w:cs="Times New Roman"/>
          <w:position w:val="2"/>
          <w:sz w:val="21"/>
          <w:szCs w:val="21"/>
          <w:highlight w:val="none"/>
        </w:rPr>
        <w:t>A.1.</w:t>
      </w:r>
      <w:r>
        <w:rPr>
          <w:rFonts w:hint="default" w:ascii="Times New Roman" w:hAnsi="Times New Roman" w:cs="Times New Roman"/>
          <w:position w:val="2"/>
          <w:sz w:val="21"/>
          <w:szCs w:val="21"/>
          <w:highlight w:val="none"/>
          <w:lang w:val="en-US" w:eastAsia="zh-CN"/>
        </w:rPr>
        <w:t>2</w:t>
      </w:r>
      <w:r>
        <w:rPr>
          <w:rFonts w:hint="default" w:ascii="Times New Roman" w:hAnsi="Times New Roman" w:cs="Times New Roman"/>
          <w:position w:val="2"/>
          <w:sz w:val="21"/>
          <w:szCs w:val="21"/>
          <w:highlight w:val="none"/>
        </w:rPr>
        <w:t xml:space="preserve">  </w:t>
      </w:r>
      <w:r>
        <w:rPr>
          <w:rFonts w:hint="default" w:ascii="Times New Roman" w:hAnsi="Times New Roman" w:cs="Times New Roman"/>
          <w:position w:val="2"/>
          <w:sz w:val="21"/>
          <w:szCs w:val="21"/>
          <w:highlight w:val="none"/>
          <w:lang w:val="en-US" w:eastAsia="zh-CN"/>
        </w:rPr>
        <w:t>基准线情景</w:t>
      </w:r>
      <w:r>
        <w:rPr>
          <w:rFonts w:hint="default" w:ascii="Times New Roman" w:hAnsi="Times New Roman" w:cs="Times New Roman"/>
          <w:position w:val="2"/>
          <w:sz w:val="21"/>
          <w:szCs w:val="21"/>
          <w:highlight w:val="none"/>
        </w:rPr>
        <w:t>出行的活动水平</w:t>
      </w:r>
      <w:bookmarkEnd w:id="76"/>
      <m:oMath>
        <m:sSub>
          <m:sSubP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sSubPr>
          <m:e>
            <m:r>
              <m:rPr>
                <m:nor/>
                <m:sty m:val="p"/>
              </m:rPr>
              <w:rPr>
                <w:rFonts w:hint="default" w:ascii="Times New Roman" w:hAnsi="Times New Roman" w:eastAsia="宋体" w:cs="Times New Roman"/>
                <w:b w:val="0"/>
                <w:i w:val="0"/>
                <w:snapToGrid w:val="0"/>
                <w:color w:val="000000"/>
                <w:spacing w:val="-1"/>
                <w:kern w:val="0"/>
                <w:position w:val="1"/>
                <w:sz w:val="21"/>
                <w:szCs w:val="21"/>
                <w:lang w:val="en-US" w:eastAsia="zh-CN" w:bidi="ar-SA"/>
              </w:rPr>
              <m:t>BD</m:t>
            </m: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e>
          <m:sub>
            <m:r>
              <m:rPr>
                <m:nor/>
                <m:sty m:val="p"/>
              </m:rPr>
              <w:rPr>
                <w:rFonts w:hint="eastAsia" w:ascii="Times New Roman" w:hAnsi="Times New Roman" w:eastAsia="宋体" w:cs="Times New Roman"/>
                <w:b w:val="0"/>
                <w:i w:val="0"/>
                <w:snapToGrid w:val="0"/>
                <w:color w:val="000000"/>
                <w:spacing w:val="-1"/>
                <w:kern w:val="0"/>
                <w:position w:val="1"/>
                <w:sz w:val="21"/>
                <w:szCs w:val="21"/>
                <w:lang w:val="en-US" w:eastAsia="zh-CN" w:bidi="ar-SA"/>
              </w:rPr>
              <m:t>i</m:t>
            </m:r>
            <m:ctrlPr>
              <w:rPr>
                <w:rFonts w:hint="default" w:ascii="Cambria Math" w:hAnsi="Cambria Math" w:eastAsia="Cambria Math" w:cs="Times New Roman"/>
                <w:b w:val="0"/>
                <w:snapToGrid w:val="0"/>
                <w:color w:val="000000"/>
                <w:spacing w:val="-1"/>
                <w:kern w:val="0"/>
                <w:position w:val="1"/>
                <w:sz w:val="21"/>
                <w:szCs w:val="21"/>
                <w:lang w:val="en-US" w:bidi="ar-SA"/>
              </w:rPr>
            </m:ctrlPr>
          </m:sub>
        </m:sSub>
      </m:oMath>
    </w:p>
    <w:p w14:paraId="48CA50E0">
      <w:pPr>
        <w:pStyle w:val="3"/>
        <w:bidi w:val="0"/>
        <w:rPr>
          <w:rFonts w:hint="default" w:ascii="Times New Roman" w:hAnsi="Times New Roman" w:cs="Times New Roman"/>
        </w:rPr>
      </w:pPr>
      <w:r>
        <w:rPr>
          <w:rFonts w:hint="default" w:ascii="Times New Roman" w:hAnsi="Times New Roman" w:cs="Times New Roman"/>
        </w:rPr>
        <w:t>基准线情景</w:t>
      </w:r>
      <w:r>
        <w:rPr>
          <w:rFonts w:hint="default" w:ascii="Times New Roman" w:hAnsi="Times New Roman" w:cs="Times New Roman"/>
          <w:lang w:val="en-US" w:eastAsia="zh-CN"/>
        </w:rPr>
        <w:t>与</w:t>
      </w:r>
      <w:r>
        <w:rPr>
          <w:rFonts w:hint="default" w:ascii="Times New Roman" w:hAnsi="Times New Roman" w:cs="Times New Roman"/>
        </w:rPr>
        <w:t>项目</w:t>
      </w:r>
      <w:r>
        <w:rPr>
          <w:rFonts w:hint="default" w:ascii="Times New Roman" w:hAnsi="Times New Roman" w:cs="Times New Roman"/>
          <w:lang w:val="en-US" w:eastAsia="zh-CN"/>
        </w:rPr>
        <w:t>情景的</w:t>
      </w:r>
      <w:r>
        <w:rPr>
          <w:rFonts w:hint="default" w:ascii="Times New Roman" w:hAnsi="Times New Roman" w:cs="Times New Roman"/>
        </w:rPr>
        <w:t>活动水平相等。</w:t>
      </w:r>
    </w:p>
    <w:p w14:paraId="02DAE39D">
      <w:pPr>
        <w:pStyle w:val="3"/>
        <w:bidi w:val="0"/>
        <w:rPr>
          <w:rFonts w:hint="default" w:ascii="Times New Roman" w:hAnsi="Times New Roman" w:cs="Times New Roman"/>
        </w:rPr>
      </w:pPr>
      <m:oMath>
        <m:sSub>
          <m:sSubP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sSubPr>
          <m:e>
            <m:r>
              <m:rPr>
                <m:nor/>
                <m:sty m:val="p"/>
              </m:rPr>
              <w:rPr>
                <w:rFonts w:hint="default" w:ascii="Times New Roman" w:hAnsi="Times New Roman" w:eastAsia="宋体" w:cs="Times New Roman"/>
                <w:b w:val="0"/>
                <w:i w:val="0"/>
                <w:snapToGrid w:val="0"/>
                <w:color w:val="000000"/>
                <w:spacing w:val="-1"/>
                <w:kern w:val="0"/>
                <w:position w:val="1"/>
                <w:sz w:val="21"/>
                <w:szCs w:val="21"/>
                <w:lang w:val="en-US" w:eastAsia="zh-CN" w:bidi="ar-SA"/>
              </w:rPr>
              <m:t>BD</m:t>
            </m: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e>
          <m:sub>
            <m:r>
              <m:rPr>
                <m:nor/>
                <m:sty m:val="p"/>
              </m:rPr>
              <w:rPr>
                <w:rFonts w:hint="eastAsia" w:ascii="Times New Roman" w:hAnsi="Times New Roman" w:eastAsia="宋体" w:cs="Times New Roman"/>
                <w:b w:val="0"/>
                <w:i w:val="0"/>
                <w:snapToGrid w:val="0"/>
                <w:color w:val="000000"/>
                <w:spacing w:val="-1"/>
                <w:kern w:val="0"/>
                <w:position w:val="1"/>
                <w:sz w:val="21"/>
                <w:szCs w:val="21"/>
                <w:lang w:val="en-US" w:eastAsia="zh-CN" w:bidi="ar-SA"/>
              </w:rPr>
              <m:t>i</m:t>
            </m:r>
            <m:ctrlPr>
              <w:rPr>
                <w:rFonts w:hint="default" w:ascii="Cambria Math" w:hAnsi="Cambria Math" w:eastAsia="Cambria Math" w:cs="Times New Roman"/>
                <w:b w:val="0"/>
                <w:snapToGrid w:val="0"/>
                <w:color w:val="000000"/>
                <w:spacing w:val="-1"/>
                <w:kern w:val="0"/>
                <w:position w:val="1"/>
                <w:sz w:val="21"/>
                <w:szCs w:val="21"/>
                <w:lang w:val="en-US" w:bidi="ar-SA"/>
              </w:rPr>
            </m:ctrlPr>
          </m:sub>
        </m:sSub>
      </m:oMath>
      <w:r>
        <w:rPr>
          <w:rFonts w:hint="default" w:ascii="Times New Roman" w:hAnsi="Times New Roman" w:cs="Times New Roman"/>
        </w:rPr>
        <w:t>的计算见公式（</w:t>
      </w:r>
      <w:r>
        <w:rPr>
          <w:rFonts w:hint="eastAsia" w:cs="Times New Roman"/>
          <w:lang w:val="en-US" w:eastAsia="zh-CN"/>
        </w:rPr>
        <w:t>7</w:t>
      </w:r>
      <w:r>
        <w:rPr>
          <w:rFonts w:hint="default" w:ascii="Times New Roman" w:hAnsi="Times New Roman" w:cs="Times New Roman"/>
        </w:rPr>
        <w:t>）。</w:t>
      </w:r>
    </w:p>
    <w:p w14:paraId="3EE8E792">
      <w:pPr>
        <w:pStyle w:val="22"/>
        <w:bidi w:val="0"/>
        <w:rPr>
          <w:rFonts w:hint="default" w:ascii="Times New Roman" w:hAnsi="Times New Roman" w:eastAsia="宋体" w:cs="Times New Roman"/>
          <w:sz w:val="21"/>
          <w:szCs w:val="21"/>
        </w:rPr>
      </w:pPr>
      <m:oMath>
        <m:sSub>
          <m:sSubP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sSubPr>
          <m:e>
            <m:r>
              <m:rPr>
                <m:nor/>
                <m:sty m:val="p"/>
              </m:rPr>
              <w:rPr>
                <w:rFonts w:hint="default" w:ascii="Times New Roman" w:hAnsi="Times New Roman" w:eastAsia="宋体" w:cs="Times New Roman"/>
                <w:b w:val="0"/>
                <w:i w:val="0"/>
                <w:snapToGrid w:val="0"/>
                <w:color w:val="000000"/>
                <w:spacing w:val="-1"/>
                <w:kern w:val="0"/>
                <w:position w:val="1"/>
                <w:sz w:val="21"/>
                <w:szCs w:val="21"/>
                <w:lang w:val="en-US" w:eastAsia="zh-CN" w:bidi="ar-SA"/>
              </w:rPr>
              <m:t>BD</m:t>
            </m: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e>
          <m:sub>
            <m:r>
              <m:rPr>
                <m:nor/>
                <m:sty m:val="p"/>
              </m:rPr>
              <w:rPr>
                <w:rFonts w:hint="eastAsia" w:ascii="Times New Roman" w:hAnsi="Times New Roman" w:eastAsia="宋体" w:cs="Times New Roman"/>
                <w:b w:val="0"/>
                <w:i w:val="0"/>
                <w:snapToGrid w:val="0"/>
                <w:color w:val="000000"/>
                <w:spacing w:val="-1"/>
                <w:kern w:val="0"/>
                <w:position w:val="1"/>
                <w:sz w:val="21"/>
                <w:szCs w:val="21"/>
                <w:lang w:val="en-US" w:eastAsia="zh-CN" w:bidi="ar-SA"/>
              </w:rPr>
              <m:t>i</m:t>
            </m:r>
            <m:ctrlPr>
              <w:rPr>
                <w:rFonts w:hint="default" w:ascii="Cambria Math" w:hAnsi="Cambria Math" w:eastAsia="Cambria Math" w:cs="Times New Roman"/>
                <w:b w:val="0"/>
                <w:snapToGrid w:val="0"/>
                <w:color w:val="000000"/>
                <w:spacing w:val="-1"/>
                <w:kern w:val="0"/>
                <w:position w:val="1"/>
                <w:sz w:val="21"/>
                <w:szCs w:val="21"/>
                <w:lang w:val="en-US" w:bidi="ar-SA"/>
              </w:rPr>
            </m:ctrlPr>
          </m:sub>
        </m:sSub>
        <m:r>
          <m:rPr>
            <m:nor/>
            <m:sty m:val="p"/>
          </m:rPr>
          <w:rPr>
            <w:rFonts w:ascii="Cambria Math" w:hAnsi="Cambria Math" w:cs="Times New Roman"/>
            <w:b w:val="0"/>
            <w:i w:val="0"/>
            <w:snapToGrid w:val="0"/>
            <w:color w:val="000000"/>
            <w:spacing w:val="-1"/>
            <w:kern w:val="0"/>
            <w:position w:val="1"/>
            <w:sz w:val="21"/>
            <w:szCs w:val="21"/>
            <w:lang w:val="en-US" w:bidi="ar-SA"/>
          </w:rPr>
          <m:t>=</m:t>
        </m:r>
        <m:sSub>
          <m:sSubPr>
            <m:ctrlPr>
              <w:rPr>
                <w:rFonts w:ascii="Cambria Math" w:hAnsi="Cambria Math" w:cs="Times New Roman"/>
                <w:snapToGrid w:val="0"/>
                <w:color w:val="000000"/>
                <w:spacing w:val="-1"/>
                <w:kern w:val="0"/>
                <w:position w:val="1"/>
                <w:sz w:val="21"/>
                <w:szCs w:val="21"/>
                <w:lang w:val="en-US" w:bidi="ar-SA"/>
              </w:rPr>
            </m:ctrlPr>
          </m:sSubPr>
          <m:e>
            <m:r>
              <m:rPr>
                <m:sty m:val="p"/>
              </m:rPr>
              <w:rPr>
                <w:rFonts w:hint="default" w:eastAsia="宋体" w:cs="Times New Roman"/>
                <w:snapToGrid w:val="0"/>
                <w:color w:val="000000"/>
                <w:spacing w:val="-1"/>
                <w:kern w:val="0"/>
                <w:position w:val="1"/>
                <w:sz w:val="21"/>
                <w:szCs w:val="21"/>
                <w:lang w:val="en-US" w:eastAsia="zh-CN" w:bidi="ar-SA"/>
              </w:rPr>
              <m:t>PD</m:t>
            </m:r>
            <m:ctrlPr>
              <w:rPr>
                <w:rFonts w:ascii="Cambria Math" w:hAnsi="Cambria Math" w:cs="Times New Roman"/>
                <w:snapToGrid w:val="0"/>
                <w:color w:val="000000"/>
                <w:spacing w:val="-1"/>
                <w:kern w:val="0"/>
                <w:position w:val="1"/>
                <w:sz w:val="21"/>
                <w:szCs w:val="21"/>
                <w:lang w:val="en-US" w:bidi="ar-SA"/>
              </w:rPr>
            </m:ctrlPr>
          </m:e>
          <m:sub>
            <m:r>
              <m:rPr>
                <m:sty m:val="p"/>
              </m:rPr>
              <w:rPr>
                <w:rFonts w:hint="default" w:eastAsia="宋体" w:cs="Times New Roman"/>
                <w:snapToGrid w:val="0"/>
                <w:color w:val="000000"/>
                <w:spacing w:val="-1"/>
                <w:kern w:val="0"/>
                <w:position w:val="1"/>
                <w:sz w:val="21"/>
                <w:szCs w:val="21"/>
                <w:lang w:val="en-US" w:eastAsia="zh-CN" w:bidi="ar-SA"/>
              </w:rPr>
              <m:t>i,k,y</m:t>
            </m:r>
            <m:ctrlPr>
              <w:rPr>
                <w:rFonts w:ascii="Cambria Math" w:hAnsi="Cambria Math" w:cs="Times New Roman"/>
                <w:snapToGrid w:val="0"/>
                <w:color w:val="000000"/>
                <w:spacing w:val="-1"/>
                <w:kern w:val="0"/>
                <w:position w:val="1"/>
                <w:sz w:val="21"/>
                <w:szCs w:val="21"/>
                <w:lang w:val="en-US" w:bidi="ar-SA"/>
              </w:rPr>
            </m:ctrlPr>
          </m:sub>
        </m:sSub>
      </m:oMath>
      <w:r>
        <w:rPr>
          <w:rFonts w:hint="default" w:ascii="Times New Roman" w:hAnsi="Times New Roman" w:eastAsia="宋体" w:cs="Times New Roman"/>
          <w:i w:val="0"/>
          <w:snapToGrid w:val="0"/>
          <w:color w:val="000000"/>
          <w:spacing w:val="-1"/>
          <w:kern w:val="0"/>
          <w:position w:val="-3"/>
          <w:sz w:val="15"/>
          <w:szCs w:val="15"/>
          <w:lang w:val="en-US" w:eastAsia="zh-CN" w:bidi="ar-SA"/>
        </w:rPr>
        <w:tab/>
      </w:r>
      <w:r>
        <w:rPr>
          <w:rFonts w:hint="default" w:ascii="Times New Roman" w:hAnsi="Times New Roman" w:eastAsia="宋体" w:cs="Times New Roman"/>
          <w:spacing w:val="-1"/>
          <w:position w:val="1"/>
          <w:sz w:val="21"/>
          <w:szCs w:val="21"/>
        </w:rPr>
        <w:t>（</w:t>
      </w:r>
      <w:r>
        <w:rPr>
          <w:rFonts w:hint="eastAsia" w:ascii="Times New Roman" w:hAnsi="Times New Roman" w:eastAsia="宋体" w:cs="Times New Roman"/>
          <w:spacing w:val="-1"/>
          <w:position w:val="1"/>
          <w:sz w:val="21"/>
          <w:szCs w:val="21"/>
          <w:lang w:val="en-US" w:eastAsia="zh-CN"/>
        </w:rPr>
        <w:t>7</w:t>
      </w:r>
      <w:r>
        <w:rPr>
          <w:rFonts w:hint="default" w:ascii="Times New Roman" w:hAnsi="Times New Roman" w:eastAsia="宋体" w:cs="Times New Roman"/>
          <w:spacing w:val="-1"/>
          <w:position w:val="1"/>
          <w:sz w:val="21"/>
          <w:szCs w:val="21"/>
        </w:rPr>
        <w:t>）</w:t>
      </w:r>
    </w:p>
    <w:p w14:paraId="25D9AA7F">
      <w:pPr>
        <w:pStyle w:val="3"/>
        <w:bidi w:val="0"/>
        <w:rPr>
          <w:rFonts w:hint="default" w:ascii="Times New Roman" w:hAnsi="Times New Roman" w:cs="Times New Roman"/>
        </w:rPr>
      </w:pPr>
      <w:r>
        <w:rPr>
          <w:rFonts w:hint="default" w:ascii="Times New Roman" w:hAnsi="Times New Roman" w:cs="Times New Roman"/>
        </w:rPr>
        <w:t>式中：</w:t>
      </w:r>
    </w:p>
    <w:p w14:paraId="6881E559">
      <w:pPr>
        <w:pStyle w:val="3"/>
        <w:bidi w:val="0"/>
        <w:rPr>
          <w:rFonts w:hint="default" w:ascii="Times New Roman" w:hAnsi="Times New Roman" w:cs="Times New Roman"/>
        </w:rPr>
      </w:pPr>
      <m:oMath>
        <m:sSub>
          <m:sSubP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sSubPr>
          <m:e>
            <m:r>
              <m:rPr>
                <m:nor/>
                <m:sty m:val="p"/>
              </m:rPr>
              <w:rPr>
                <w:rFonts w:hint="default" w:ascii="Times New Roman" w:hAnsi="Times New Roman" w:eastAsia="宋体" w:cs="Times New Roman"/>
                <w:b w:val="0"/>
                <w:i w:val="0"/>
                <w:snapToGrid w:val="0"/>
                <w:color w:val="000000"/>
                <w:spacing w:val="-1"/>
                <w:kern w:val="0"/>
                <w:position w:val="1"/>
                <w:sz w:val="21"/>
                <w:szCs w:val="21"/>
                <w:lang w:val="en-US" w:eastAsia="zh-CN" w:bidi="ar-SA"/>
              </w:rPr>
              <m:t>BD</m:t>
            </m:r>
            <m:ctrlPr>
              <w:rPr>
                <w:rFonts w:hint="default" w:ascii="Times New Roman" w:hAnsi="Times New Roman" w:eastAsia="Cambria Math" w:cs="Times New Roman"/>
                <w:b w:val="0"/>
                <w:i w:val="0"/>
                <w:snapToGrid w:val="0"/>
                <w:color w:val="000000"/>
                <w:spacing w:val="-1"/>
                <w:kern w:val="0"/>
                <w:position w:val="1"/>
                <w:sz w:val="21"/>
                <w:szCs w:val="21"/>
                <w:lang w:val="en-US" w:bidi="ar-SA"/>
              </w:rPr>
            </m:ctrlPr>
          </m:e>
          <m:sub>
            <m:r>
              <m:rPr>
                <m:nor/>
                <m:sty m:val="p"/>
              </m:rPr>
              <w:rPr>
                <w:rFonts w:hint="eastAsia" w:ascii="Times New Roman" w:hAnsi="Times New Roman" w:eastAsia="宋体" w:cs="Times New Roman"/>
                <w:b w:val="0"/>
                <w:i w:val="0"/>
                <w:snapToGrid w:val="0"/>
                <w:color w:val="000000"/>
                <w:spacing w:val="-1"/>
                <w:kern w:val="0"/>
                <w:position w:val="1"/>
                <w:sz w:val="21"/>
                <w:szCs w:val="21"/>
                <w:lang w:val="en-US" w:eastAsia="zh-CN" w:bidi="ar-SA"/>
              </w:rPr>
              <m:t>i</m:t>
            </m:r>
            <m:ctrlPr>
              <w:rPr>
                <w:rFonts w:hint="default" w:ascii="Cambria Math" w:hAnsi="Cambria Math" w:eastAsia="Cambria Math" w:cs="Times New Roman"/>
                <w:b w:val="0"/>
                <w:snapToGrid w:val="0"/>
                <w:color w:val="000000"/>
                <w:spacing w:val="-1"/>
                <w:kern w:val="0"/>
                <w:position w:val="1"/>
                <w:sz w:val="21"/>
                <w:szCs w:val="21"/>
                <w:lang w:val="en-US" w:bidi="ar-SA"/>
              </w:rPr>
            </m:ctrlPr>
          </m:sub>
        </m:sSub>
      </m:oMath>
      <w:r>
        <w:rPr>
          <w:rFonts w:hint="default" w:ascii="Times New Roman" w:hAnsi="Times New Roman" w:cs="Times New Roman"/>
        </w:rPr>
        <w:t>——第i次出行基准线情景相对应的活动水平，单位为人公里（PKM）；</w:t>
      </w:r>
    </w:p>
    <w:p w14:paraId="77147A29">
      <w:pPr>
        <w:pStyle w:val="3"/>
        <w:bidi w:val="0"/>
        <w:rPr>
          <w:rFonts w:hint="default" w:ascii="Times New Roman" w:hAnsi="Times New Roman" w:cs="Times New Roman"/>
        </w:rPr>
      </w:pPr>
      <w:r>
        <w:rPr>
          <w:rFonts w:hint="default" w:ascii="Times New Roman" w:hAnsi="Times New Roman" w:cs="Times New Roman"/>
        </w:rPr>
        <w:t>k——采取的低碳出行方式，包括步行、骑</w:t>
      </w:r>
      <w:r>
        <w:rPr>
          <w:rFonts w:hint="eastAsia" w:cs="Times New Roman"/>
          <w:lang w:val="en-US" w:eastAsia="zh-CN"/>
        </w:rPr>
        <w:t>自行车</w:t>
      </w:r>
      <w:r>
        <w:rPr>
          <w:rFonts w:hint="default" w:ascii="Times New Roman" w:hAnsi="Times New Roman" w:cs="Times New Roman"/>
        </w:rPr>
        <w:t>、公共汽车</w:t>
      </w:r>
      <w:r>
        <w:rPr>
          <w:rFonts w:hint="eastAsia" w:cs="Times New Roman"/>
          <w:lang w:val="en-US" w:eastAsia="zh-CN"/>
        </w:rPr>
        <w:t>、</w:t>
      </w:r>
      <w:r>
        <w:rPr>
          <w:rFonts w:hint="default" w:ascii="Times New Roman" w:hAnsi="Times New Roman" w:cs="Times New Roman"/>
          <w:lang w:val="en-US" w:eastAsia="zh-CN"/>
        </w:rPr>
        <w:t>电动出租车</w:t>
      </w:r>
      <w:r>
        <w:rPr>
          <w:rFonts w:hint="default" w:ascii="Times New Roman" w:hAnsi="Times New Roman" w:cs="Times New Roman"/>
        </w:rPr>
        <w:t>合乘；</w:t>
      </w:r>
    </w:p>
    <w:p w14:paraId="3BB753FA">
      <w:pPr>
        <w:pStyle w:val="3"/>
        <w:bidi w:val="0"/>
        <w:rPr>
          <w:rFonts w:hint="default" w:ascii="Times New Roman" w:hAnsi="Times New Roman" w:cs="Times New Roman"/>
        </w:rPr>
      </w:pPr>
      <m:oMath>
        <m:sSub>
          <m:sSubPr>
            <m:ctrlPr>
              <w:rPr>
                <w:rFonts w:ascii="Cambria Math" w:hAnsi="Cambria Math" w:cs="Times New Roman"/>
                <w:snapToGrid w:val="0"/>
                <w:color w:val="000000"/>
                <w:spacing w:val="-1"/>
                <w:kern w:val="0"/>
                <w:position w:val="1"/>
                <w:sz w:val="21"/>
                <w:szCs w:val="21"/>
                <w:lang w:val="en-US" w:bidi="ar-SA"/>
              </w:rPr>
            </m:ctrlPr>
          </m:sSubPr>
          <m:e>
            <m:r>
              <m:rPr>
                <m:sty m:val="p"/>
              </m:rPr>
              <w:rPr>
                <w:rFonts w:hint="default" w:eastAsia="宋体" w:cs="Times New Roman"/>
                <w:snapToGrid w:val="0"/>
                <w:color w:val="000000"/>
                <w:spacing w:val="-1"/>
                <w:kern w:val="0"/>
                <w:position w:val="1"/>
                <w:sz w:val="21"/>
                <w:szCs w:val="21"/>
                <w:lang w:val="en-US" w:eastAsia="zh-CN" w:bidi="ar-SA"/>
              </w:rPr>
              <m:t>PD</m:t>
            </m:r>
            <m:ctrlPr>
              <w:rPr>
                <w:rFonts w:ascii="Cambria Math" w:hAnsi="Cambria Math" w:cs="Times New Roman"/>
                <w:snapToGrid w:val="0"/>
                <w:color w:val="000000"/>
                <w:spacing w:val="-1"/>
                <w:kern w:val="0"/>
                <w:position w:val="1"/>
                <w:sz w:val="21"/>
                <w:szCs w:val="21"/>
                <w:lang w:val="en-US" w:bidi="ar-SA"/>
              </w:rPr>
            </m:ctrlPr>
          </m:e>
          <m:sub>
            <m:r>
              <m:rPr>
                <m:sty m:val="p"/>
              </m:rPr>
              <w:rPr>
                <w:rFonts w:hint="default" w:eastAsia="宋体" w:cs="Times New Roman"/>
                <w:snapToGrid w:val="0"/>
                <w:color w:val="000000"/>
                <w:spacing w:val="-1"/>
                <w:kern w:val="0"/>
                <w:position w:val="1"/>
                <w:sz w:val="21"/>
                <w:szCs w:val="21"/>
                <w:lang w:val="en-US" w:eastAsia="zh-CN" w:bidi="ar-SA"/>
              </w:rPr>
              <m:t>i,k,y</m:t>
            </m:r>
            <m:ctrlPr>
              <w:rPr>
                <w:rFonts w:ascii="Cambria Math" w:hAnsi="Cambria Math" w:cs="Times New Roman"/>
                <w:snapToGrid w:val="0"/>
                <w:color w:val="000000"/>
                <w:spacing w:val="-1"/>
                <w:kern w:val="0"/>
                <w:position w:val="1"/>
                <w:sz w:val="21"/>
                <w:szCs w:val="21"/>
                <w:lang w:val="en-US" w:bidi="ar-SA"/>
              </w:rPr>
            </m:ctrlPr>
          </m:sub>
        </m:sSub>
      </m:oMath>
      <w:r>
        <w:rPr>
          <w:rFonts w:hint="default" w:ascii="Times New Roman" w:hAnsi="Times New Roman" w:cs="Times New Roman"/>
        </w:rPr>
        <w:t>——第y年第i次k方式低碳出行的活动水平，单位为人公里（PKM）。</w:t>
      </w:r>
    </w:p>
    <w:p w14:paraId="5F78D203">
      <w:pPr>
        <w:pStyle w:val="4"/>
        <w:bidi w:val="0"/>
        <w:rPr>
          <w:rFonts w:hint="default"/>
          <w:lang w:val="en-US" w:eastAsia="zh-CN"/>
        </w:rPr>
      </w:pPr>
      <w:bookmarkStart w:id="77" w:name="_Toc21659"/>
      <w:r>
        <w:rPr>
          <w:rFonts w:hint="default"/>
        </w:rPr>
        <w:t>A.2  项目</w:t>
      </w:r>
      <w:r>
        <w:rPr>
          <w:rFonts w:hint="default"/>
          <w:lang w:val="en-US" w:eastAsia="zh-CN"/>
        </w:rPr>
        <w:t>情景参数计算</w:t>
      </w:r>
      <w:bookmarkEnd w:id="77"/>
    </w:p>
    <w:p w14:paraId="5092E05A">
      <w:pPr>
        <w:pStyle w:val="5"/>
        <w:bidi w:val="0"/>
        <w:rPr>
          <w:rFonts w:hint="default" w:ascii="Times New Roman" w:hAnsi="Times New Roman" w:cs="Times New Roman"/>
          <w:lang w:val="en-US" w:eastAsia="zh-CN"/>
        </w:rPr>
      </w:pPr>
      <w:r>
        <w:rPr>
          <w:rFonts w:hint="default" w:ascii="Times New Roman" w:hAnsi="Times New Roman" w:cs="Times New Roman"/>
        </w:rPr>
        <w:t>A.2.1  步行</w:t>
      </w:r>
      <w:r>
        <w:rPr>
          <w:rFonts w:hint="default" w:ascii="Times New Roman" w:hAnsi="Times New Roman" w:cs="Times New Roman"/>
          <w:lang w:val="en-US" w:eastAsia="zh-CN"/>
        </w:rPr>
        <w:t>出行的活动水平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i,1,y</m:t>
            </m:r>
            <m:ctrlPr>
              <w:rPr>
                <w:rFonts w:ascii="Cambria Math" w:hAnsi="Cambria Math" w:cs="Times New Roman"/>
                <w:i/>
                <w:lang w:val="en-US"/>
              </w:rPr>
            </m:ctrlPr>
          </m:sub>
        </m:sSub>
      </m:oMath>
    </w:p>
    <w:p w14:paraId="685CA0B8">
      <w:pPr>
        <w:pStyle w:val="3"/>
        <w:bidi w:val="0"/>
        <w:rPr>
          <w:rFonts w:hint="default" w:ascii="Times New Roman" w:hAnsi="Times New Roman" w:cs="Times New Roman"/>
          <w:lang w:val="en-US" w:eastAsia="zh-CN"/>
        </w:rPr>
      </w:pPr>
      <w:r>
        <w:rPr>
          <w:rFonts w:hint="default" w:ascii="Times New Roman" w:hAnsi="Times New Roman" w:cs="Times New Roman"/>
        </w:rPr>
        <w:t>步行出行的活动水平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i,1,y</m:t>
            </m:r>
            <m:ctrlPr>
              <w:rPr>
                <w:rFonts w:ascii="Cambria Math" w:hAnsi="Cambria Math" w:cs="Times New Roman"/>
                <w:i/>
                <w:lang w:val="en-US"/>
              </w:rPr>
            </m:ctrlPr>
          </m:sub>
        </m:sSub>
      </m:oMath>
      <w:r>
        <w:rPr>
          <w:rFonts w:hint="default" w:ascii="Times New Roman" w:hAnsi="Times New Roman" w:cs="Times New Roman"/>
        </w:rPr>
        <w:t>以用户单次有效步行距离（公里）计量，由经认证的碳普惠平台通过移动终端或可穿戴设备采集，并经地理信息系统校验其起讫点、路径连续性及速度合理性后确认。有效步行距离应不低于0.5公里，且平均速度处于3</w:t>
      </w:r>
      <w:r>
        <w:rPr>
          <w:rFonts w:hint="eastAsia" w:cs="Times New Roman"/>
          <w:lang w:val="en-US" w:eastAsia="zh-CN"/>
        </w:rPr>
        <w:t>～</w:t>
      </w:r>
      <w:r>
        <w:rPr>
          <w:rFonts w:hint="default" w:ascii="Times New Roman" w:hAnsi="Times New Roman" w:cs="Times New Roman"/>
        </w:rPr>
        <w:t>8公里/小时区间，以确保行为真实性与出行目的明确性。该活动水平虽不产生直接碳排放，但作为替代高碳出行方式的关键参数，用于核算相应碳减排量。</w:t>
      </w:r>
    </w:p>
    <w:p w14:paraId="4E8F13E0">
      <w:pPr>
        <w:pStyle w:val="5"/>
        <w:bidi w:val="0"/>
        <w:rPr>
          <w:rFonts w:hint="default" w:ascii="Times New Roman" w:hAnsi="Times New Roman" w:cs="Times New Roman"/>
        </w:rPr>
      </w:pPr>
      <w:r>
        <w:rPr>
          <w:rFonts w:hint="default" w:ascii="Times New Roman" w:hAnsi="Times New Roman" w:cs="Times New Roman"/>
        </w:rPr>
        <w:t>A.2.</w:t>
      </w:r>
      <w:r>
        <w:rPr>
          <w:rFonts w:hint="default" w:ascii="Times New Roman" w:hAnsi="Times New Roman" w:cs="Times New Roman"/>
          <w:lang w:val="en-US" w:eastAsia="zh-CN"/>
        </w:rPr>
        <w:t>2</w:t>
      </w:r>
      <w:r>
        <w:rPr>
          <w:rFonts w:hint="default" w:ascii="Times New Roman" w:hAnsi="Times New Roman" w:cs="Times New Roman"/>
        </w:rPr>
        <w:t xml:space="preserve">  骑</w:t>
      </w:r>
      <w:r>
        <w:rPr>
          <w:rFonts w:hint="default" w:ascii="Times New Roman" w:hAnsi="Times New Roman" w:cs="Times New Roman"/>
          <w:lang w:val="en-US" w:eastAsia="zh-CN"/>
        </w:rPr>
        <w:t>自行车出</w:t>
      </w:r>
      <w:r>
        <w:rPr>
          <w:rFonts w:hint="default" w:ascii="Times New Roman" w:hAnsi="Times New Roman" w:cs="Times New Roman"/>
        </w:rPr>
        <w:t>行的活动水平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i,2,y</m:t>
            </m:r>
            <m:ctrlPr>
              <w:rPr>
                <w:rFonts w:ascii="Cambria Math" w:hAnsi="Cambria Math" w:cs="Times New Roman"/>
                <w:i/>
                <w:lang w:val="en-US"/>
              </w:rPr>
            </m:ctrlPr>
          </m:sub>
        </m:sSub>
      </m:oMath>
    </w:p>
    <w:p w14:paraId="21F564B9">
      <w:pPr>
        <w:pStyle w:val="3"/>
        <w:bidi w:val="0"/>
        <w:rPr>
          <w:rFonts w:hint="default" w:ascii="Times New Roman" w:hAnsi="Times New Roman" w:cs="Times New Roman"/>
        </w:rPr>
      </w:pPr>
      <w:r>
        <w:rPr>
          <w:rFonts w:hint="default" w:ascii="Times New Roman" w:hAnsi="Times New Roman" w:cs="Times New Roman"/>
        </w:rPr>
        <w:t>骑行方式应通过相关平台记录和识别，其活动水平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i,2,y</m:t>
            </m:r>
            <m:ctrlPr>
              <w:rPr>
                <w:rFonts w:ascii="Cambria Math" w:hAnsi="Cambria Math" w:cs="Times New Roman"/>
                <w:i/>
                <w:lang w:val="en-US"/>
              </w:rPr>
            </m:ctrlPr>
          </m:sub>
        </m:sSub>
      </m:oMath>
      <w:r>
        <w:rPr>
          <w:rFonts w:hint="default" w:ascii="Times New Roman" w:hAnsi="Times New Roman" w:cs="Times New Roman"/>
        </w:rPr>
        <w:t>通过平台记录的订单信息计算获得。当无法获取订单信息时，其活动水平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i,2,y</m:t>
            </m:r>
            <m:ctrlPr>
              <w:rPr>
                <w:rFonts w:ascii="Cambria Math" w:hAnsi="Cambria Math" w:cs="Times New Roman"/>
                <w:i/>
                <w:lang w:val="en-US"/>
              </w:rPr>
            </m:ctrlPr>
          </m:sub>
        </m:sSub>
      </m:oMath>
      <w:r>
        <w:rPr>
          <w:rFonts w:hint="default" w:ascii="Times New Roman" w:hAnsi="Times New Roman" w:cs="Times New Roman"/>
          <w:lang w:val="en-US" w:eastAsia="zh-CN"/>
        </w:rPr>
        <w:t>也可以</w:t>
      </w:r>
      <w:r>
        <w:rPr>
          <w:rFonts w:hint="default" w:ascii="Times New Roman" w:hAnsi="Times New Roman" w:cs="Times New Roman"/>
        </w:rPr>
        <w:t>通过经认证的碳普惠平台通过移动终端或可穿戴设备采集获得。</w:t>
      </w:r>
    </w:p>
    <w:p w14:paraId="1FC43739">
      <w:pPr>
        <w:pStyle w:val="5"/>
        <w:bidi w:val="0"/>
        <w:rPr>
          <w:rFonts w:hint="default" w:ascii="Times New Roman" w:hAnsi="Times New Roman" w:cs="Times New Roman"/>
        </w:rPr>
      </w:pPr>
      <w:bookmarkStart w:id="78" w:name="_Toc1509"/>
      <w:r>
        <w:rPr>
          <w:rFonts w:hint="default" w:ascii="Times New Roman" w:hAnsi="Times New Roman" w:cs="Times New Roman"/>
        </w:rPr>
        <w:t>A.2.</w:t>
      </w:r>
      <w:r>
        <w:rPr>
          <w:rFonts w:hint="eastAsia" w:ascii="Times New Roman" w:hAnsi="Times New Roman" w:cs="Times New Roman"/>
          <w:lang w:val="en-US" w:eastAsia="zh-CN"/>
        </w:rPr>
        <w:t>3</w:t>
      </w:r>
      <w:r>
        <w:rPr>
          <w:rFonts w:hint="default" w:ascii="Times New Roman" w:hAnsi="Times New Roman" w:cs="Times New Roman"/>
        </w:rPr>
        <w:t xml:space="preserve">  公共汽车出行的活动水平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i,3,y</m:t>
            </m:r>
            <w:bookmarkEnd w:id="78"/>
            <m:ctrlPr>
              <w:rPr>
                <w:rFonts w:ascii="Cambria Math" w:hAnsi="Cambria Math" w:cs="Times New Roman"/>
                <w:i/>
                <w:lang w:val="en-US"/>
              </w:rPr>
            </m:ctrlPr>
          </m:sub>
        </m:sSub>
      </m:oMath>
    </w:p>
    <w:p w14:paraId="2C1D7C0E">
      <w:pPr>
        <w:pStyle w:val="3"/>
        <w:bidi w:val="0"/>
        <w:rPr>
          <w:rFonts w:hint="default" w:ascii="Times New Roman" w:hAnsi="Times New Roman" w:cs="Times New Roman"/>
        </w:rPr>
      </w:pPr>
      <w:r>
        <w:rPr>
          <w:rFonts w:hint="default" w:ascii="Times New Roman" w:hAnsi="Times New Roman" w:cs="Times New Roman"/>
        </w:rPr>
        <w:t>公共汽车出行方式应通过相关平台记录和识别，其出行活动水平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i,3,y</m:t>
            </m:r>
            <m:ctrlPr>
              <w:rPr>
                <w:rFonts w:ascii="Cambria Math" w:hAnsi="Cambria Math" w:cs="Times New Roman"/>
                <w:i/>
                <w:lang w:val="en-US"/>
              </w:rPr>
            </m:ctrlPr>
          </m:sub>
        </m:sSub>
      </m:oMath>
      <w:r>
        <w:rPr>
          <w:rFonts w:hint="default" w:ascii="Times New Roman" w:hAnsi="Times New Roman" w:cs="Times New Roman"/>
        </w:rPr>
        <w:t>应通过交通刷卡或刷码等票务数据计算获得。当无法获得相关数据时，其活动水平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i,3,y</m:t>
            </m:r>
            <m:ctrlPr>
              <w:rPr>
                <w:rFonts w:ascii="Cambria Math" w:hAnsi="Cambria Math" w:cs="Times New Roman"/>
                <w:i/>
                <w:lang w:val="en-US"/>
              </w:rPr>
            </m:ctrlPr>
          </m:sub>
        </m:sSub>
      </m:oMath>
      <w:r>
        <w:rPr>
          <w:rFonts w:hint="default" w:ascii="Times New Roman" w:hAnsi="Times New Roman" w:cs="Times New Roman"/>
        </w:rPr>
        <w:t>应通过平台记录的出行轨迹信息等数据，利用相关轨迹算法计算获得。</w:t>
      </w:r>
    </w:p>
    <w:p w14:paraId="4215FAD8">
      <w:pPr>
        <w:pStyle w:val="5"/>
        <w:bidi w:val="0"/>
        <w:rPr>
          <w:rFonts w:hint="default" w:ascii="Times New Roman" w:hAnsi="Times New Roman" w:cs="Times New Roman"/>
        </w:rPr>
      </w:pPr>
      <w:bookmarkStart w:id="79" w:name="_Toc18910"/>
      <w:r>
        <w:rPr>
          <w:rFonts w:hint="default" w:ascii="Times New Roman" w:hAnsi="Times New Roman" w:cs="Times New Roman"/>
        </w:rPr>
        <w:t>A.2.</w:t>
      </w:r>
      <w:r>
        <w:rPr>
          <w:rFonts w:hint="eastAsia" w:ascii="Times New Roman" w:hAnsi="Times New Roman" w:cs="Times New Roman"/>
          <w:lang w:val="en-US" w:eastAsia="zh-CN"/>
        </w:rPr>
        <w:t>4</w:t>
      </w:r>
      <w:r>
        <w:rPr>
          <w:rFonts w:hint="default" w:ascii="Times New Roman" w:hAnsi="Times New Roman" w:cs="Times New Roman"/>
        </w:rPr>
        <w:t xml:space="preserve">  </w:t>
      </w:r>
      <w:r>
        <w:rPr>
          <w:rFonts w:hint="default" w:ascii="Times New Roman" w:hAnsi="Times New Roman" w:cs="Times New Roman"/>
          <w:lang w:val="en-US" w:eastAsia="zh-CN"/>
        </w:rPr>
        <w:t>电动出租车</w:t>
      </w:r>
      <w:r>
        <w:rPr>
          <w:rFonts w:hint="default" w:ascii="Times New Roman" w:hAnsi="Times New Roman" w:cs="Times New Roman"/>
        </w:rPr>
        <w:t>合乘出行的活动水平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i,4,y</m:t>
            </m:r>
            <w:bookmarkEnd w:id="79"/>
            <m:ctrlPr>
              <w:rPr>
                <w:rFonts w:ascii="Cambria Math" w:hAnsi="Cambria Math" w:cs="Times New Roman"/>
                <w:i/>
                <w:lang w:val="en-US"/>
              </w:rPr>
            </m:ctrlPr>
          </m:sub>
        </m:sSub>
      </m:oMath>
    </w:p>
    <w:p w14:paraId="2AFB3C62">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电动出租车</w:t>
      </w:r>
      <w:r>
        <w:rPr>
          <w:rFonts w:hint="default" w:ascii="Times New Roman" w:hAnsi="Times New Roman" w:cs="Times New Roman"/>
        </w:rPr>
        <w:t>的出行活动水平</w:t>
      </w: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i,4,y</m:t>
            </m:r>
            <m:ctrlPr>
              <w:rPr>
                <w:rFonts w:ascii="Cambria Math" w:hAnsi="Cambria Math" w:cs="Times New Roman"/>
                <w:i/>
                <w:lang w:val="en-US"/>
              </w:rPr>
            </m:ctrlPr>
          </m:sub>
        </m:sSub>
      </m:oMath>
      <w:r>
        <w:rPr>
          <w:rFonts w:hint="default" w:ascii="Times New Roman" w:hAnsi="Times New Roman" w:cs="Times New Roman"/>
        </w:rPr>
        <w:t>应通过能够记录</w:t>
      </w:r>
      <w:r>
        <w:rPr>
          <w:rFonts w:hint="default" w:ascii="Times New Roman" w:hAnsi="Times New Roman" w:cs="Times New Roman"/>
          <w:lang w:val="en-US" w:eastAsia="zh-CN"/>
        </w:rPr>
        <w:t>出租车</w:t>
      </w:r>
      <w:r>
        <w:rPr>
          <w:rFonts w:hint="default" w:ascii="Times New Roman" w:hAnsi="Times New Roman" w:cs="Times New Roman"/>
        </w:rPr>
        <w:t>合乘相关订单信息的平台采集并识别获得。</w:t>
      </w:r>
      <w:r>
        <w:rPr>
          <w:rFonts w:hint="default" w:ascii="Times New Roman" w:hAnsi="Times New Roman" w:cs="Times New Roman"/>
          <w:lang w:val="en-US" w:eastAsia="zh-CN"/>
        </w:rPr>
        <w:t>在计算电动出租车合乘的碳排放量时，碳排放因子要除以合乘人数ni。</w:t>
      </w:r>
    </w:p>
    <w:p w14:paraId="339D137B">
      <w:pPr>
        <w:pStyle w:val="3"/>
        <w:bidi w:val="0"/>
        <w:rPr>
          <w:rFonts w:hint="default" w:ascii="Times New Roman" w:hAnsi="Times New Roman" w:cs="Times New Roman"/>
        </w:rPr>
      </w:pPr>
    </w:p>
    <w:p w14:paraId="30DA510A">
      <w:pPr>
        <w:pStyle w:val="3"/>
        <w:bidi w:val="0"/>
        <w:rPr>
          <w:rFonts w:hint="default" w:ascii="Times New Roman" w:hAnsi="Times New Roman" w:cs="Times New Roman"/>
        </w:rPr>
        <w:sectPr>
          <w:footerReference r:id="rId10" w:type="default"/>
          <w:pgSz w:w="11907" w:h="16839"/>
          <w:pgMar w:top="1716" w:right="1070" w:bottom="1340" w:left="1421" w:header="1391" w:footer="1106" w:gutter="0"/>
          <w:pgNumType w:fmt="decimal"/>
          <w:cols w:space="720" w:num="1"/>
        </w:sectPr>
      </w:pPr>
    </w:p>
    <w:p w14:paraId="7D2ABB6F">
      <w:pPr>
        <w:pStyle w:val="2"/>
        <w:bidi w:val="0"/>
        <w:rPr>
          <w:rFonts w:hint="default"/>
        </w:rPr>
      </w:pPr>
      <w:bookmarkStart w:id="80" w:name="bookmark30"/>
      <w:bookmarkEnd w:id="80"/>
      <w:bookmarkStart w:id="81" w:name="_Toc19046"/>
      <w:bookmarkStart w:id="82" w:name="_Toc11947"/>
      <w:r>
        <w:rPr>
          <w:rFonts w:hint="default"/>
        </w:rPr>
        <w:t>附</w:t>
      </w:r>
      <w:r>
        <w:rPr>
          <w:rFonts w:hint="default"/>
          <w:lang w:val="en-US" w:eastAsia="zh-CN"/>
        </w:rPr>
        <w:t xml:space="preserve"> </w:t>
      </w:r>
      <w:r>
        <w:rPr>
          <w:rFonts w:hint="default"/>
        </w:rPr>
        <w:t>录</w:t>
      </w:r>
      <w:r>
        <w:rPr>
          <w:rFonts w:hint="default"/>
          <w:lang w:val="en-US" w:eastAsia="zh-CN"/>
        </w:rPr>
        <w:t xml:space="preserve"> </w:t>
      </w:r>
      <w:r>
        <w:rPr>
          <w:rFonts w:hint="default"/>
        </w:rPr>
        <w:t>B</w:t>
      </w:r>
      <w:bookmarkStart w:id="83" w:name="bookmark30"/>
      <w:bookmarkEnd w:id="83"/>
      <w:bookmarkStart w:id="84" w:name="bookmark22"/>
      <w:bookmarkEnd w:id="84"/>
      <w:bookmarkStart w:id="85" w:name="bookmark10"/>
      <w:bookmarkEnd w:id="85"/>
      <w:r>
        <w:rPr>
          <w:rFonts w:hint="default"/>
        </w:rPr>
        <w:t>（规范性）</w:t>
      </w:r>
      <w:bookmarkStart w:id="86" w:name="bookmark30"/>
      <w:bookmarkEnd w:id="86"/>
      <w:bookmarkStart w:id="87" w:name="bookmark22"/>
      <w:bookmarkEnd w:id="87"/>
      <w:r>
        <w:rPr>
          <w:rFonts w:hint="default"/>
        </w:rPr>
        <w:t>需要监测的数据及来源</w:t>
      </w:r>
      <w:bookmarkEnd w:id="81"/>
      <w:bookmarkEnd w:id="82"/>
    </w:p>
    <w:p w14:paraId="08A9D275">
      <w:pPr>
        <w:pStyle w:val="3"/>
        <w:bidi w:val="0"/>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表B.1至B.</w:t>
      </w:r>
      <w:r>
        <w:rPr>
          <w:rFonts w:hint="default" w:ascii="Times New Roman" w:hAnsi="Times New Roman" w:eastAsia="宋体" w:cs="Times New Roman"/>
          <w:spacing w:val="-1"/>
          <w:sz w:val="21"/>
          <w:szCs w:val="21"/>
          <w:lang w:val="en-US" w:eastAsia="zh-CN"/>
        </w:rPr>
        <w:t>2</w:t>
      </w:r>
      <w:r>
        <w:rPr>
          <w:rFonts w:hint="default" w:ascii="Times New Roman" w:hAnsi="Times New Roman" w:eastAsia="宋体" w:cs="Times New Roman"/>
          <w:spacing w:val="-1"/>
          <w:sz w:val="21"/>
          <w:szCs w:val="21"/>
        </w:rPr>
        <w:t>规定了需要监测的数据及来源。</w:t>
      </w:r>
    </w:p>
    <w:p w14:paraId="76C12807">
      <w:pPr>
        <w:pStyle w:val="3"/>
        <w:spacing w:before="123" w:line="219" w:lineRule="auto"/>
        <w:jc w:val="center"/>
        <w:rPr>
          <w:rFonts w:hint="eastAsia" w:ascii="黑体" w:hAnsi="黑体" w:eastAsia="黑体" w:cs="黑体"/>
          <w:sz w:val="21"/>
          <w:szCs w:val="21"/>
        </w:rPr>
      </w:pPr>
      <w:r>
        <w:rPr>
          <w:rFonts w:hint="eastAsia" w:ascii="黑体" w:hAnsi="黑体" w:eastAsia="黑体" w:cs="黑体"/>
          <w:spacing w:val="-2"/>
          <w:sz w:val="21"/>
          <w:szCs w:val="21"/>
        </w:rPr>
        <w:t>表</w:t>
      </w:r>
      <w:r>
        <w:rPr>
          <w:rFonts w:hint="eastAsia" w:ascii="黑体" w:hAnsi="黑体" w:eastAsia="黑体" w:cs="黑体"/>
          <w:spacing w:val="-2"/>
          <w:sz w:val="21"/>
          <w:szCs w:val="21"/>
          <w:lang w:val="en-US" w:eastAsia="zh-CN"/>
        </w:rPr>
        <w:t xml:space="preserve"> </w:t>
      </w:r>
      <w:r>
        <w:rPr>
          <w:rFonts w:hint="eastAsia" w:ascii="黑体" w:hAnsi="黑体" w:eastAsia="黑体" w:cs="黑体"/>
          <w:spacing w:val="-2"/>
          <w:sz w:val="21"/>
          <w:szCs w:val="21"/>
        </w:rPr>
        <w:t>B.</w:t>
      </w:r>
      <w:r>
        <w:rPr>
          <w:rFonts w:hint="eastAsia" w:ascii="黑体" w:hAnsi="黑体" w:eastAsia="黑体" w:cs="黑体"/>
          <w:spacing w:val="-2"/>
          <w:sz w:val="21"/>
          <w:szCs w:val="21"/>
          <w:lang w:val="en-US" w:eastAsia="zh-CN"/>
        </w:rPr>
        <w:t>1</w:t>
      </w:r>
      <w:r>
        <w:rPr>
          <w:rFonts w:hint="eastAsia" w:ascii="黑体" w:hAnsi="黑体" w:eastAsia="黑体" w:cs="黑体"/>
          <w:spacing w:val="-2"/>
          <w:sz w:val="21"/>
          <w:szCs w:val="21"/>
        </w:rPr>
        <w:t xml:space="preserve">  低碳出行的活动水平</w:t>
      </w:r>
    </w:p>
    <w:tbl>
      <w:tblPr>
        <w:tblStyle w:val="20"/>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690"/>
        <w:gridCol w:w="6904"/>
      </w:tblGrid>
      <w:tr w14:paraId="1F1C2FB6">
        <w:trPr>
          <w:trHeight w:val="0" w:hRule="atLeast"/>
        </w:trPr>
        <w:tc>
          <w:tcPr>
            <w:tcW w:w="2690" w:type="dxa"/>
            <w:vAlign w:val="center"/>
          </w:tcPr>
          <w:p w14:paraId="2A34649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b/>
                <w:bCs/>
              </w:rPr>
            </w:pPr>
            <w:r>
              <w:rPr>
                <w:rFonts w:hint="default" w:ascii="Times New Roman" w:hAnsi="Times New Roman" w:cs="Times New Roman"/>
                <w:b/>
                <w:bCs/>
                <w:spacing w:val="-2"/>
              </w:rPr>
              <w:t>数据/参数名称</w:t>
            </w:r>
          </w:p>
        </w:tc>
        <w:tc>
          <w:tcPr>
            <w:tcW w:w="6904" w:type="dxa"/>
            <w:vAlign w:val="center"/>
          </w:tcPr>
          <w:p w14:paraId="14012DA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eastAsia="Cambria Math" w:cs="Times New Roman"/>
                <w:sz w:val="12"/>
                <w:szCs w:val="12"/>
              </w:rPr>
            </w:pPr>
            <m:oMathPara>
              <m:oMathParaPr>
                <m:jc m:val="left"/>
              </m:oMathParaPr>
              <m:oMath>
                <m:sSub>
                  <m:sSubPr>
                    <m:ctrlPr>
                      <w:rPr>
                        <w:rFonts w:ascii="Cambria Math" w:hAnsi="Cambria Math" w:cs="Times New Roman"/>
                        <w:i/>
                        <w:lang w:val="en-US"/>
                      </w:rPr>
                    </m:ctrlPr>
                  </m:sSubPr>
                  <m:e>
                    <m:r>
                      <m:rPr/>
                      <w:rPr>
                        <w:rFonts w:hint="default" w:ascii="Cambria Math" w:hAnsi="Cambria Math" w:cs="Times New Roman"/>
                        <w:lang w:val="en-US" w:eastAsia="zh-CN"/>
                      </w:rPr>
                      <m:t>PD</m:t>
                    </m:r>
                    <m:ctrlPr>
                      <w:rPr>
                        <w:rFonts w:ascii="Cambria Math" w:hAnsi="Cambria Math" w:cs="Times New Roman"/>
                        <w:i/>
                        <w:lang w:val="en-US"/>
                      </w:rPr>
                    </m:ctrlPr>
                  </m:e>
                  <m:sub>
                    <m:r>
                      <m:rPr/>
                      <w:rPr>
                        <w:rFonts w:hint="default" w:ascii="Cambria Math" w:hAnsi="Cambria Math" w:cs="Times New Roman"/>
                        <w:lang w:val="en-US" w:eastAsia="zh-CN"/>
                      </w:rPr>
                      <m:t>i,k,y</m:t>
                    </m:r>
                    <m:ctrlPr>
                      <w:rPr>
                        <w:rFonts w:ascii="Cambria Math" w:hAnsi="Cambria Math" w:cs="Times New Roman"/>
                        <w:i/>
                        <w:lang w:val="en-US"/>
                      </w:rPr>
                    </m:ctrlPr>
                  </m:sub>
                </m:sSub>
              </m:oMath>
            </m:oMathPara>
          </w:p>
        </w:tc>
      </w:tr>
      <w:tr w14:paraId="53CB0077">
        <w:trPr>
          <w:trHeight w:val="0" w:hRule="atLeast"/>
        </w:trPr>
        <w:tc>
          <w:tcPr>
            <w:tcW w:w="2690" w:type="dxa"/>
            <w:vAlign w:val="center"/>
          </w:tcPr>
          <w:p w14:paraId="183B3F0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b/>
                <w:bCs/>
              </w:rPr>
            </w:pPr>
            <w:r>
              <w:rPr>
                <w:rFonts w:hint="default" w:ascii="Times New Roman" w:hAnsi="Times New Roman" w:cs="Times New Roman"/>
                <w:b/>
                <w:bCs/>
                <w:spacing w:val="-2"/>
              </w:rPr>
              <w:t>数据描述</w:t>
            </w:r>
          </w:p>
        </w:tc>
        <w:tc>
          <w:tcPr>
            <w:tcW w:w="6904" w:type="dxa"/>
            <w:vAlign w:val="center"/>
          </w:tcPr>
          <w:p w14:paraId="2295182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rPr>
            </w:pPr>
            <w:r>
              <w:rPr>
                <w:rFonts w:hint="default" w:ascii="Times New Roman" w:hAnsi="Times New Roman" w:cs="Times New Roman"/>
                <w:spacing w:val="-1"/>
              </w:rPr>
              <w:t>第y年第i次k方式低碳出行的活动水平</w:t>
            </w:r>
          </w:p>
        </w:tc>
      </w:tr>
      <w:tr w14:paraId="7A23D2FE">
        <w:trPr>
          <w:trHeight w:val="0" w:hRule="atLeast"/>
        </w:trPr>
        <w:tc>
          <w:tcPr>
            <w:tcW w:w="2690" w:type="dxa"/>
            <w:vAlign w:val="center"/>
          </w:tcPr>
          <w:p w14:paraId="0CDCEFD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b/>
                <w:bCs/>
              </w:rPr>
            </w:pPr>
            <w:r>
              <w:rPr>
                <w:rFonts w:hint="default" w:ascii="Times New Roman" w:hAnsi="Times New Roman" w:cs="Times New Roman"/>
                <w:b/>
                <w:bCs/>
                <w:spacing w:val="-2"/>
              </w:rPr>
              <w:t>数据单位</w:t>
            </w:r>
          </w:p>
        </w:tc>
        <w:tc>
          <w:tcPr>
            <w:tcW w:w="6904" w:type="dxa"/>
            <w:vAlign w:val="center"/>
          </w:tcPr>
          <w:p w14:paraId="20F87FC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rPr>
            </w:pPr>
            <w:r>
              <w:rPr>
                <w:rFonts w:hint="default" w:ascii="Times New Roman" w:hAnsi="Times New Roman" w:cs="Times New Roman"/>
                <w:spacing w:val="-1"/>
              </w:rPr>
              <w:t>pkm</w:t>
            </w:r>
          </w:p>
        </w:tc>
      </w:tr>
      <w:tr w14:paraId="0BD854F4">
        <w:trPr>
          <w:trHeight w:val="0" w:hRule="atLeast"/>
        </w:trPr>
        <w:tc>
          <w:tcPr>
            <w:tcW w:w="2690" w:type="dxa"/>
            <w:vAlign w:val="center"/>
          </w:tcPr>
          <w:p w14:paraId="22D4635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b/>
                <w:bCs/>
              </w:rPr>
            </w:pPr>
            <w:r>
              <w:rPr>
                <w:rFonts w:hint="default" w:ascii="Times New Roman" w:hAnsi="Times New Roman" w:cs="Times New Roman"/>
                <w:b/>
                <w:bCs/>
                <w:lang w:val="en-US" w:eastAsia="zh-CN"/>
              </w:rPr>
              <w:t>测量方法和程序</w:t>
            </w:r>
          </w:p>
        </w:tc>
        <w:tc>
          <w:tcPr>
            <w:tcW w:w="6904" w:type="dxa"/>
            <w:vAlign w:val="center"/>
          </w:tcPr>
          <w:p w14:paraId="36B1271C">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由</w:t>
            </w:r>
            <w:r>
              <w:rPr>
                <w:rFonts w:hint="default" w:ascii="Times New Roman" w:hAnsi="Times New Roman" w:cs="Times New Roman"/>
                <w:spacing w:val="-1"/>
              </w:rPr>
              <w:t>大数据平台监测</w:t>
            </w:r>
            <w:r>
              <w:rPr>
                <w:rFonts w:hint="default" w:ascii="Times New Roman" w:hAnsi="Times New Roman" w:cs="Times New Roman"/>
                <w:spacing w:val="-1"/>
                <w:lang w:eastAsia="zh-CN"/>
              </w:rPr>
              <w:t>、</w:t>
            </w:r>
            <w:r>
              <w:rPr>
                <w:rFonts w:hint="default" w:ascii="Times New Roman" w:hAnsi="Times New Roman" w:cs="Times New Roman"/>
                <w:spacing w:val="-1"/>
                <w:lang w:val="en-US" w:eastAsia="zh-CN"/>
              </w:rPr>
              <w:t>记录</w:t>
            </w:r>
            <w:r>
              <w:rPr>
                <w:rFonts w:hint="default" w:ascii="Times New Roman" w:hAnsi="Times New Roman" w:cs="Times New Roman"/>
                <w:spacing w:val="-1"/>
              </w:rPr>
              <w:t>获得</w:t>
            </w:r>
          </w:p>
        </w:tc>
      </w:tr>
      <w:tr w14:paraId="308A45D9">
        <w:trPr>
          <w:trHeight w:val="0" w:hRule="atLeast"/>
        </w:trPr>
        <w:tc>
          <w:tcPr>
            <w:tcW w:w="2690" w:type="dxa"/>
            <w:vAlign w:val="center"/>
          </w:tcPr>
          <w:p w14:paraId="5043040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b/>
                <w:bCs/>
              </w:rPr>
            </w:pPr>
            <w:r>
              <w:rPr>
                <w:rFonts w:hint="default" w:ascii="Times New Roman" w:hAnsi="Times New Roman" w:cs="Times New Roman"/>
                <w:b/>
                <w:bCs/>
                <w:spacing w:val="-2"/>
              </w:rPr>
              <w:t>数据用途</w:t>
            </w:r>
          </w:p>
        </w:tc>
        <w:tc>
          <w:tcPr>
            <w:tcW w:w="6904" w:type="dxa"/>
            <w:vAlign w:val="center"/>
          </w:tcPr>
          <w:p w14:paraId="3271A5E8">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default" w:ascii="Times New Roman" w:hAnsi="Times New Roman" w:cs="Times New Roman"/>
              </w:rPr>
            </w:pPr>
            <w:r>
              <w:rPr>
                <w:rFonts w:hint="default" w:ascii="Times New Roman" w:hAnsi="Times New Roman" w:cs="Times New Roman"/>
                <w:spacing w:val="-1"/>
              </w:rPr>
              <w:t>计算基准线和项目碳排放量</w:t>
            </w:r>
          </w:p>
        </w:tc>
      </w:tr>
      <w:tr w14:paraId="0A0195B7">
        <w:trPr>
          <w:trHeight w:val="0" w:hRule="atLeast"/>
        </w:trPr>
        <w:tc>
          <w:tcPr>
            <w:tcW w:w="9594" w:type="dxa"/>
            <w:gridSpan w:val="2"/>
            <w:vAlign w:val="top"/>
          </w:tcPr>
          <w:p w14:paraId="1709153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textAlignment w:val="baseline"/>
              <w:rPr>
                <w:rFonts w:hint="default" w:ascii="Times New Roman" w:hAnsi="Times New Roman" w:eastAsia="宋体" w:cs="Times New Roman"/>
                <w:lang w:eastAsia="zh-CN"/>
              </w:rPr>
            </w:pPr>
            <w:r>
              <w:rPr>
                <w:rFonts w:hint="default" w:ascii="Times New Roman" w:hAnsi="Times New Roman" w:eastAsia="黑体" w:cs="Times New Roman"/>
                <w:spacing w:val="1"/>
              </w:rPr>
              <w:t>注1：</w:t>
            </w:r>
            <w:r>
              <w:rPr>
                <w:rFonts w:hint="default" w:ascii="Times New Roman" w:hAnsi="Times New Roman" w:cs="Times New Roman"/>
                <w:spacing w:val="1"/>
              </w:rPr>
              <w:t>对于步行</w:t>
            </w:r>
            <w:r>
              <w:rPr>
                <w:rFonts w:hint="default" w:ascii="Times New Roman" w:hAnsi="Times New Roman" w:cs="Times New Roman"/>
                <w:spacing w:val="1"/>
                <w:lang w:val="en-US" w:eastAsia="zh-CN"/>
              </w:rPr>
              <w:t>出行</w:t>
            </w:r>
            <w:r>
              <w:rPr>
                <w:rFonts w:hint="default" w:ascii="Times New Roman" w:hAnsi="Times New Roman" w:cs="Times New Roman"/>
                <w:spacing w:val="1"/>
              </w:rPr>
              <w:t>由经认证的碳普惠平台通过移动终端或可穿戴设备采集，并经地理信息系统校验其起讫点、路径连续性及速度合理性后确认；或者利用不同的算法对原始轨迹信</w:t>
            </w:r>
            <w:r>
              <w:rPr>
                <w:rFonts w:hint="default" w:ascii="Times New Roman" w:hAnsi="Times New Roman" w:cs="Times New Roman"/>
                <w:spacing w:val="-1"/>
              </w:rPr>
              <w:t>息的活动水平计算结果进行交叉验证</w:t>
            </w:r>
            <w:r>
              <w:rPr>
                <w:rFonts w:hint="default" w:ascii="Times New Roman" w:hAnsi="Times New Roman" w:cs="Times New Roman"/>
                <w:spacing w:val="-1"/>
                <w:lang w:eastAsia="zh-CN"/>
              </w:rPr>
              <w:t>。</w:t>
            </w:r>
          </w:p>
          <w:p w14:paraId="37D2434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textAlignment w:val="baseline"/>
              <w:rPr>
                <w:rFonts w:hint="default" w:ascii="Times New Roman" w:hAnsi="Times New Roman" w:eastAsia="宋体" w:cs="Times New Roman"/>
                <w:lang w:eastAsia="zh-CN"/>
              </w:rPr>
            </w:pPr>
            <w:r>
              <w:rPr>
                <w:rFonts w:hint="default" w:ascii="Times New Roman" w:hAnsi="Times New Roman" w:eastAsia="黑体" w:cs="Times New Roman"/>
                <w:spacing w:val="1"/>
              </w:rPr>
              <w:t>注2：</w:t>
            </w:r>
            <w:r>
              <w:rPr>
                <w:rFonts w:hint="default" w:ascii="Times New Roman" w:hAnsi="Times New Roman" w:cs="Times New Roman"/>
                <w:spacing w:val="1"/>
              </w:rPr>
              <w:t>对于骑行</w:t>
            </w:r>
            <w:r>
              <w:rPr>
                <w:rFonts w:hint="default" w:ascii="Times New Roman" w:hAnsi="Times New Roman" w:cs="Times New Roman"/>
                <w:spacing w:val="1"/>
                <w:lang w:val="en-US" w:eastAsia="zh-CN"/>
              </w:rPr>
              <w:t>出行</w:t>
            </w:r>
            <w:r>
              <w:rPr>
                <w:rFonts w:hint="default" w:ascii="Times New Roman" w:hAnsi="Times New Roman" w:cs="Times New Roman"/>
                <w:spacing w:val="1"/>
              </w:rPr>
              <w:t>，可以利用提供公共自行车服务的平台的用户订单数据与轨迹信息进行交叉验证；或者利用不</w:t>
            </w:r>
            <w:r>
              <w:rPr>
                <w:rFonts w:hint="default" w:ascii="Times New Roman" w:hAnsi="Times New Roman" w:cs="Times New Roman"/>
                <w:spacing w:val="-1"/>
              </w:rPr>
              <w:t>同的算法对原始轨迹信息的活动水平计算结果进行交叉验证</w:t>
            </w:r>
            <w:r>
              <w:rPr>
                <w:rFonts w:hint="default" w:ascii="Times New Roman" w:hAnsi="Times New Roman" w:cs="Times New Roman"/>
                <w:spacing w:val="-1"/>
                <w:lang w:eastAsia="zh-CN"/>
              </w:rPr>
              <w:t>。</w:t>
            </w:r>
          </w:p>
          <w:p w14:paraId="058DA55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textAlignment w:val="baseline"/>
              <w:rPr>
                <w:rFonts w:hint="default" w:ascii="Times New Roman" w:hAnsi="Times New Roman" w:eastAsia="宋体" w:cs="Times New Roman"/>
                <w:lang w:eastAsia="zh-CN"/>
              </w:rPr>
            </w:pPr>
            <w:r>
              <w:rPr>
                <w:rFonts w:hint="default" w:ascii="Times New Roman" w:hAnsi="Times New Roman" w:eastAsia="黑体" w:cs="Times New Roman"/>
              </w:rPr>
              <w:t>注3：</w:t>
            </w:r>
            <w:r>
              <w:rPr>
                <w:rFonts w:hint="default" w:ascii="Times New Roman" w:hAnsi="Times New Roman" w:cs="Times New Roman"/>
              </w:rPr>
              <w:t>对于公共汽车出行方式，可利用</w:t>
            </w:r>
            <w:r>
              <w:rPr>
                <w:rFonts w:hint="eastAsia" w:ascii="Times New Roman" w:hAnsi="Times New Roman" w:cs="Times New Roman"/>
                <w:lang w:val="en-US" w:eastAsia="zh-CN"/>
              </w:rPr>
              <w:t>当地</w:t>
            </w:r>
            <w:r>
              <w:rPr>
                <w:rFonts w:hint="default" w:ascii="Times New Roman" w:hAnsi="Times New Roman" w:cs="Times New Roman"/>
                <w:spacing w:val="-1"/>
              </w:rPr>
              <w:t>票务系统的活动水平数据和出行</w:t>
            </w:r>
            <w:r>
              <w:rPr>
                <w:rFonts w:hint="default" w:ascii="Times New Roman" w:hAnsi="Times New Roman" w:cs="Times New Roman"/>
                <w:spacing w:val="-2"/>
              </w:rPr>
              <w:t>的轨迹信息进行交叉验证</w:t>
            </w:r>
            <w:r>
              <w:rPr>
                <w:rFonts w:hint="default" w:ascii="Times New Roman" w:hAnsi="Times New Roman" w:cs="Times New Roman"/>
                <w:spacing w:val="-2"/>
                <w:lang w:eastAsia="zh-CN"/>
              </w:rPr>
              <w:t>。</w:t>
            </w:r>
          </w:p>
          <w:p w14:paraId="6535000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textAlignment w:val="baseline"/>
              <w:rPr>
                <w:rFonts w:hint="default" w:ascii="Times New Roman" w:hAnsi="Times New Roman" w:cs="Times New Roman"/>
                <w:spacing w:val="-1"/>
                <w:lang w:val="en-US" w:eastAsia="zh-CN"/>
              </w:rPr>
            </w:pPr>
            <w:r>
              <w:rPr>
                <w:rFonts w:hint="default" w:ascii="Times New Roman" w:hAnsi="Times New Roman" w:eastAsia="黑体" w:cs="Times New Roman"/>
              </w:rPr>
              <w:t>注4：</w:t>
            </w:r>
            <w:r>
              <w:rPr>
                <w:rFonts w:hint="default" w:ascii="Times New Roman" w:hAnsi="Times New Roman" w:cs="Times New Roman"/>
              </w:rPr>
              <w:t>对于电动出租车合乘方式，可利用提供合乘服务的平台的用户订单信息与轨</w:t>
            </w:r>
            <w:r>
              <w:rPr>
                <w:rFonts w:hint="default" w:ascii="Times New Roman" w:hAnsi="Times New Roman" w:cs="Times New Roman"/>
                <w:spacing w:val="-1"/>
              </w:rPr>
              <w:t>迹信息进行交叉验证</w:t>
            </w:r>
            <w:r>
              <w:rPr>
                <w:rFonts w:hint="default" w:ascii="Times New Roman" w:hAnsi="Times New Roman" w:cs="Times New Roman"/>
                <w:spacing w:val="-1"/>
                <w:lang w:eastAsia="zh-CN"/>
              </w:rPr>
              <w:t>。</w:t>
            </w:r>
          </w:p>
        </w:tc>
      </w:tr>
    </w:tbl>
    <w:p w14:paraId="26B47C64">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w:t>
      </w:r>
      <w:r>
        <w:rPr>
          <w:rFonts w:hint="default" w:ascii="黑体" w:hAnsi="黑体" w:eastAsia="黑体" w:cs="黑体"/>
          <w:spacing w:val="-2"/>
          <w:sz w:val="21"/>
          <w:szCs w:val="21"/>
        </w:rPr>
        <w:t>B.</w:t>
      </w:r>
      <w:r>
        <w:rPr>
          <w:rFonts w:hint="default" w:ascii="黑体" w:hAnsi="黑体" w:eastAsia="黑体" w:cs="黑体"/>
          <w:spacing w:val="-2"/>
          <w:sz w:val="21"/>
          <w:szCs w:val="21"/>
          <w:lang w:val="en-US" w:eastAsia="zh-CN"/>
        </w:rPr>
        <w:t>2</w:t>
      </w:r>
      <w:r>
        <w:rPr>
          <w:rFonts w:hint="default" w:ascii="黑体" w:hAnsi="黑体" w:eastAsia="黑体" w:cs="黑体"/>
          <w:spacing w:val="-2"/>
          <w:sz w:val="21"/>
          <w:szCs w:val="21"/>
        </w:rPr>
        <w:t xml:space="preserve">  合乘人数</w:t>
      </w:r>
    </w:p>
    <w:tbl>
      <w:tblPr>
        <w:tblStyle w:val="20"/>
        <w:tblW w:w="96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665"/>
        <w:gridCol w:w="6974"/>
      </w:tblGrid>
      <w:tr w14:paraId="7DAE8ACE">
        <w:trPr>
          <w:trHeight w:val="255" w:hRule="atLeast"/>
        </w:trPr>
        <w:tc>
          <w:tcPr>
            <w:tcW w:w="2665" w:type="dxa"/>
            <w:vAlign w:val="center"/>
          </w:tcPr>
          <w:p w14:paraId="0C9E32C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6974" w:type="dxa"/>
            <w:vAlign w:val="center"/>
          </w:tcPr>
          <w:p w14:paraId="6CEB887E">
            <w:pPr>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z w:val="18"/>
                <w:szCs w:val="12"/>
              </w:rPr>
            </w:pPr>
            <w:r>
              <w:rPr>
                <w:rFonts w:hint="default" w:ascii="Times New Roman" w:hAnsi="Times New Roman" w:eastAsia="宋体" w:cs="Times New Roman"/>
                <w:spacing w:val="6"/>
                <w:position w:val="3"/>
                <w:sz w:val="18"/>
                <w:szCs w:val="18"/>
              </w:rPr>
              <w:t>n</w:t>
            </w:r>
            <w:r>
              <w:rPr>
                <w:rFonts w:hint="default" w:ascii="Times New Roman" w:hAnsi="Times New Roman" w:eastAsia="宋体" w:cs="Times New Roman"/>
                <w:spacing w:val="6"/>
                <w:position w:val="3"/>
                <w:sz w:val="18"/>
                <w:szCs w:val="12"/>
                <w:vertAlign w:val="subscript"/>
              </w:rPr>
              <w:t>i</w:t>
            </w:r>
          </w:p>
        </w:tc>
      </w:tr>
      <w:tr w14:paraId="4A0EC7E0">
        <w:trPr>
          <w:trHeight w:val="255" w:hRule="atLeast"/>
        </w:trPr>
        <w:tc>
          <w:tcPr>
            <w:tcW w:w="2665" w:type="dxa"/>
            <w:vAlign w:val="center"/>
          </w:tcPr>
          <w:p w14:paraId="587FE83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6974" w:type="dxa"/>
            <w:vAlign w:val="center"/>
          </w:tcPr>
          <w:p w14:paraId="05884FF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z w:val="18"/>
              </w:rPr>
            </w:pPr>
            <w:r>
              <w:rPr>
                <w:rFonts w:hint="default" w:ascii="Times New Roman" w:hAnsi="Times New Roman" w:eastAsia="宋体" w:cs="Times New Roman"/>
                <w:spacing w:val="-1"/>
                <w:sz w:val="18"/>
              </w:rPr>
              <w:t>第i次</w:t>
            </w:r>
            <w:r>
              <w:rPr>
                <w:rFonts w:hint="default" w:ascii="Times New Roman" w:hAnsi="Times New Roman" w:cs="Times New Roman"/>
                <w:spacing w:val="-1"/>
                <w:sz w:val="18"/>
                <w:lang w:val="en-US" w:eastAsia="zh-CN"/>
              </w:rPr>
              <w:t>电动出租车</w:t>
            </w:r>
            <w:r>
              <w:rPr>
                <w:rFonts w:hint="default" w:ascii="Times New Roman" w:hAnsi="Times New Roman" w:eastAsia="宋体" w:cs="Times New Roman"/>
                <w:spacing w:val="-1"/>
                <w:sz w:val="18"/>
              </w:rPr>
              <w:t>合乘出行的人数</w:t>
            </w:r>
          </w:p>
        </w:tc>
      </w:tr>
      <w:tr w14:paraId="1816E3F0">
        <w:trPr>
          <w:trHeight w:val="255" w:hRule="atLeast"/>
        </w:trPr>
        <w:tc>
          <w:tcPr>
            <w:tcW w:w="2665" w:type="dxa"/>
            <w:vAlign w:val="center"/>
          </w:tcPr>
          <w:p w14:paraId="0C4A2C9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6974" w:type="dxa"/>
            <w:vAlign w:val="center"/>
          </w:tcPr>
          <w:p w14:paraId="59C75C2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z w:val="18"/>
              </w:rPr>
            </w:pPr>
            <w:r>
              <w:rPr>
                <w:rFonts w:hint="default" w:ascii="Times New Roman" w:hAnsi="Times New Roman" w:eastAsia="宋体" w:cs="Times New Roman"/>
                <w:spacing w:val="-2"/>
                <w:sz w:val="18"/>
              </w:rPr>
              <w:t>无量纲</w:t>
            </w:r>
          </w:p>
        </w:tc>
      </w:tr>
      <w:tr w14:paraId="29DE97BC">
        <w:trPr>
          <w:trHeight w:val="255" w:hRule="atLeast"/>
        </w:trPr>
        <w:tc>
          <w:tcPr>
            <w:tcW w:w="2665" w:type="dxa"/>
            <w:vAlign w:val="center"/>
          </w:tcPr>
          <w:p w14:paraId="2B7862D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lang w:val="en-US" w:eastAsia="zh-CN"/>
              </w:rPr>
              <w:t>测量方法和程序</w:t>
            </w:r>
          </w:p>
        </w:tc>
        <w:tc>
          <w:tcPr>
            <w:tcW w:w="6974" w:type="dxa"/>
            <w:vAlign w:val="center"/>
          </w:tcPr>
          <w:p w14:paraId="450247E2">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z w:val="18"/>
              </w:rPr>
            </w:pPr>
            <w:r>
              <w:rPr>
                <w:rFonts w:hint="default" w:ascii="Times New Roman" w:hAnsi="Times New Roman" w:eastAsia="宋体" w:cs="Times New Roman"/>
                <w:spacing w:val="-1"/>
                <w:sz w:val="18"/>
              </w:rPr>
              <w:t>提供</w:t>
            </w:r>
            <w:r>
              <w:rPr>
                <w:rFonts w:hint="default" w:ascii="Times New Roman" w:hAnsi="Times New Roman" w:cs="Times New Roman"/>
                <w:spacing w:val="-1"/>
                <w:sz w:val="18"/>
                <w:lang w:val="en-US" w:eastAsia="zh-CN"/>
              </w:rPr>
              <w:t>合乘</w:t>
            </w:r>
            <w:r>
              <w:rPr>
                <w:rFonts w:hint="default" w:ascii="Times New Roman" w:hAnsi="Times New Roman" w:eastAsia="宋体" w:cs="Times New Roman"/>
                <w:spacing w:val="-1"/>
                <w:sz w:val="18"/>
              </w:rPr>
              <w:t>出行</w:t>
            </w:r>
            <w:r>
              <w:rPr>
                <w:rFonts w:hint="default" w:ascii="Times New Roman" w:hAnsi="Times New Roman" w:cs="Times New Roman"/>
                <w:spacing w:val="-1"/>
                <w:sz w:val="18"/>
                <w:lang w:val="en-US" w:eastAsia="zh-CN"/>
              </w:rPr>
              <w:t>服务</w:t>
            </w:r>
            <w:r>
              <w:rPr>
                <w:rFonts w:hint="default" w:ascii="Times New Roman" w:hAnsi="Times New Roman" w:eastAsia="宋体" w:cs="Times New Roman"/>
                <w:spacing w:val="-1"/>
                <w:sz w:val="18"/>
              </w:rPr>
              <w:t>的平台监测获得</w:t>
            </w:r>
          </w:p>
        </w:tc>
      </w:tr>
      <w:tr w14:paraId="74EE1B86">
        <w:trPr>
          <w:trHeight w:val="261" w:hRule="atLeast"/>
        </w:trPr>
        <w:tc>
          <w:tcPr>
            <w:tcW w:w="2665" w:type="dxa"/>
            <w:vAlign w:val="center"/>
          </w:tcPr>
          <w:p w14:paraId="2A57270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6974" w:type="dxa"/>
            <w:vAlign w:val="center"/>
          </w:tcPr>
          <w:p w14:paraId="50DC631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z w:val="18"/>
              </w:rPr>
            </w:pPr>
            <w:r>
              <w:rPr>
                <w:rFonts w:hint="default" w:ascii="Times New Roman" w:hAnsi="Times New Roman" w:eastAsia="宋体" w:cs="Times New Roman"/>
                <w:spacing w:val="-1"/>
                <w:sz w:val="18"/>
              </w:rPr>
              <w:t>计算项目碳排放量</w:t>
            </w:r>
          </w:p>
        </w:tc>
      </w:tr>
    </w:tbl>
    <w:p w14:paraId="3705A795">
      <w:pPr>
        <w:rPr>
          <w:rFonts w:hint="default" w:ascii="Times New Roman" w:hAnsi="Times New Roman" w:cs="Times New Roman"/>
          <w:sz w:val="21"/>
        </w:rPr>
      </w:pPr>
    </w:p>
    <w:p w14:paraId="0393DC28">
      <w:pPr>
        <w:ind w:firstLine="497" w:firstLineChars="0"/>
        <w:rPr>
          <w:rFonts w:hint="default" w:ascii="Times New Roman" w:hAnsi="Times New Roman" w:eastAsia="Arial" w:cs="Times New Roman"/>
          <w:sz w:val="21"/>
          <w:szCs w:val="21"/>
        </w:rPr>
      </w:pPr>
      <w:r>
        <w:rPr>
          <w:rFonts w:hint="default" w:ascii="Times New Roman" w:hAnsi="Times New Roman" w:eastAsia="Arial" w:cs="Times New Roman"/>
          <w:sz w:val="21"/>
          <w:szCs w:val="21"/>
        </w:rPr>
        <w:br w:type="page"/>
      </w:r>
    </w:p>
    <w:p w14:paraId="0A411DC6">
      <w:pPr>
        <w:pStyle w:val="2"/>
        <w:bidi w:val="0"/>
        <w:rPr>
          <w:rFonts w:hint="default"/>
        </w:rPr>
      </w:pPr>
      <w:bookmarkStart w:id="88" w:name="_Toc29605"/>
      <w:bookmarkStart w:id="89" w:name="_Toc19871"/>
      <w:r>
        <w:rPr>
          <w:rFonts w:hint="default"/>
        </w:rPr>
        <w:t>附</w:t>
      </w:r>
      <w:r>
        <w:rPr>
          <w:rFonts w:hint="default"/>
          <w:lang w:val="en-US" w:eastAsia="zh-CN"/>
        </w:rPr>
        <w:t xml:space="preserve"> </w:t>
      </w:r>
      <w:r>
        <w:rPr>
          <w:rFonts w:hint="default"/>
        </w:rPr>
        <w:t>录</w:t>
      </w:r>
      <w:r>
        <w:rPr>
          <w:rFonts w:hint="default"/>
          <w:lang w:val="en-US" w:eastAsia="zh-CN"/>
        </w:rPr>
        <w:t xml:space="preserve"> C</w:t>
      </w:r>
      <w:r>
        <w:rPr>
          <w:rFonts w:hint="default"/>
        </w:rPr>
        <w:t>（规范性）</w:t>
      </w:r>
      <w:r>
        <w:rPr>
          <w:rFonts w:hint="default"/>
          <w:lang w:val="en-US" w:eastAsia="zh-CN"/>
        </w:rPr>
        <w:t>不</w:t>
      </w:r>
      <w:r>
        <w:rPr>
          <w:rFonts w:hint="default"/>
        </w:rPr>
        <w:t>需要监测的数据及来源</w:t>
      </w:r>
      <w:bookmarkEnd w:id="88"/>
      <w:bookmarkEnd w:id="89"/>
    </w:p>
    <w:p w14:paraId="69AB4698">
      <w:pPr>
        <w:pStyle w:val="3"/>
        <w:bidi w:val="0"/>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表</w:t>
      </w:r>
      <w:r>
        <w:rPr>
          <w:rFonts w:hint="default" w:ascii="Times New Roman" w:hAnsi="Times New Roman" w:eastAsia="宋体" w:cs="Times New Roman"/>
          <w:spacing w:val="-1"/>
          <w:sz w:val="21"/>
          <w:szCs w:val="21"/>
          <w:lang w:val="en-US" w:eastAsia="zh-CN"/>
        </w:rPr>
        <w:t>C</w:t>
      </w:r>
      <w:r>
        <w:rPr>
          <w:rFonts w:hint="default" w:ascii="Times New Roman" w:hAnsi="Times New Roman" w:eastAsia="宋体" w:cs="Times New Roman"/>
          <w:spacing w:val="-1"/>
          <w:sz w:val="21"/>
          <w:szCs w:val="21"/>
        </w:rPr>
        <w:t>.1至</w:t>
      </w:r>
      <w:r>
        <w:rPr>
          <w:rFonts w:hint="default" w:ascii="Times New Roman" w:hAnsi="Times New Roman" w:eastAsia="宋体" w:cs="Times New Roman"/>
          <w:spacing w:val="-1"/>
          <w:sz w:val="21"/>
          <w:szCs w:val="21"/>
          <w:lang w:val="en-US" w:eastAsia="zh-CN"/>
        </w:rPr>
        <w:t>C</w:t>
      </w:r>
      <w:r>
        <w:rPr>
          <w:rFonts w:hint="default" w:ascii="Times New Roman" w:hAnsi="Times New Roman" w:eastAsia="宋体" w:cs="Times New Roman"/>
          <w:spacing w:val="-1"/>
          <w:sz w:val="21"/>
          <w:szCs w:val="21"/>
        </w:rPr>
        <w:t>.</w:t>
      </w:r>
      <w:r>
        <w:rPr>
          <w:rFonts w:hint="default" w:ascii="Times New Roman" w:hAnsi="Times New Roman" w:eastAsia="宋体" w:cs="Times New Roman"/>
          <w:spacing w:val="-1"/>
          <w:sz w:val="21"/>
          <w:szCs w:val="21"/>
          <w:lang w:val="en-US" w:eastAsia="zh-CN"/>
        </w:rPr>
        <w:t>7</w:t>
      </w:r>
      <w:r>
        <w:rPr>
          <w:rFonts w:hint="default" w:ascii="Times New Roman" w:hAnsi="Times New Roman" w:eastAsia="宋体" w:cs="Times New Roman"/>
          <w:spacing w:val="-1"/>
          <w:sz w:val="21"/>
          <w:szCs w:val="21"/>
        </w:rPr>
        <w:t>规定了</w:t>
      </w:r>
      <w:r>
        <w:rPr>
          <w:rFonts w:hint="default" w:ascii="Times New Roman" w:hAnsi="Times New Roman" w:eastAsia="宋体" w:cs="Times New Roman"/>
          <w:spacing w:val="-1"/>
          <w:sz w:val="21"/>
          <w:szCs w:val="21"/>
          <w:lang w:val="en-US" w:eastAsia="zh-CN"/>
        </w:rPr>
        <w:t>不</w:t>
      </w:r>
      <w:r>
        <w:rPr>
          <w:rFonts w:hint="default" w:ascii="Times New Roman" w:hAnsi="Times New Roman" w:eastAsia="宋体" w:cs="Times New Roman"/>
          <w:spacing w:val="-1"/>
          <w:sz w:val="21"/>
          <w:szCs w:val="21"/>
        </w:rPr>
        <w:t>需要监测的数据及来源。</w:t>
      </w:r>
    </w:p>
    <w:p w14:paraId="3198B811">
      <w:pPr>
        <w:pStyle w:val="3"/>
        <w:spacing w:before="123" w:line="219" w:lineRule="auto"/>
        <w:jc w:val="center"/>
        <w:rPr>
          <w:rFonts w:hint="default" w:ascii="黑体" w:hAnsi="黑体" w:eastAsia="黑体" w:cs="黑体"/>
          <w:spacing w:val="-2"/>
          <w:sz w:val="21"/>
          <w:szCs w:val="21"/>
          <w:lang w:val="en-US"/>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C.1  基准线情景交通出行工具t对燃料类型k的每公里消耗量</w:t>
      </w:r>
      <m:oMath>
        <m:sSub>
          <m:sSubPr>
            <m:ctrlPr>
              <w:rPr>
                <w:rFonts w:hint="default" w:ascii="Cambria Math" w:hAnsi="Cambria Math" w:eastAsia="黑体" w:cs="黑体"/>
                <w:spacing w:val="-2"/>
                <w:sz w:val="21"/>
                <w:szCs w:val="21"/>
                <w:lang w:eastAsia="zh-CN"/>
              </w:rPr>
            </m:ctrlPr>
          </m:sSubPr>
          <m:e>
            <m:r>
              <m:rPr>
                <m:sty m:val="p"/>
              </m:rPr>
              <w:rPr>
                <w:rFonts w:hint="default" w:ascii="Cambria Math" w:hAnsi="Cambria Math" w:eastAsia="黑体" w:cs="黑体"/>
                <w:spacing w:val="-2"/>
                <w:sz w:val="21"/>
                <w:szCs w:val="21"/>
                <w:lang w:val="en-US" w:eastAsia="zh-CN"/>
              </w:rPr>
              <m:t>S</m:t>
            </m:r>
            <m:ctrlPr>
              <w:rPr>
                <w:rFonts w:hint="default" w:ascii="Cambria Math" w:hAnsi="Cambria Math" w:eastAsia="黑体" w:cs="黑体"/>
                <w:spacing w:val="-2"/>
                <w:sz w:val="21"/>
                <w:szCs w:val="21"/>
                <w:lang w:eastAsia="zh-CN"/>
              </w:rPr>
            </m:ctrlPr>
          </m:e>
          <m:sub>
            <m:r>
              <m:rPr>
                <m:sty m:val="p"/>
              </m:rPr>
              <w:rPr>
                <w:rFonts w:hint="default" w:ascii="Cambria Math" w:hAnsi="Cambria Math" w:eastAsia="黑体" w:cs="黑体"/>
                <w:spacing w:val="-2"/>
                <w:sz w:val="21"/>
                <w:szCs w:val="21"/>
                <w:lang w:val="en-US" w:eastAsia="zh-CN"/>
              </w:rPr>
              <m:t>e,t</m:t>
            </m:r>
            <m:ctrlPr>
              <w:rPr>
                <w:rFonts w:hint="default" w:ascii="Cambria Math" w:hAnsi="Cambria Math" w:eastAsia="黑体" w:cs="黑体"/>
                <w:spacing w:val="-2"/>
                <w:sz w:val="21"/>
                <w:szCs w:val="21"/>
                <w:lang w:eastAsia="zh-CN"/>
              </w:rPr>
            </m:ctrlPr>
          </m:sub>
        </m:sSub>
      </m:oMath>
    </w:p>
    <w:tbl>
      <w:tblPr>
        <w:tblStyle w:val="20"/>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6"/>
        <w:gridCol w:w="8272"/>
      </w:tblGrid>
      <w:tr w14:paraId="706AEDA1">
        <w:trPr>
          <w:trHeight w:val="0" w:hRule="atLeast"/>
          <w:tblHeader/>
          <w:jc w:val="center"/>
        </w:trPr>
        <w:tc>
          <w:tcPr>
            <w:tcW w:w="686" w:type="pct"/>
            <w:vAlign w:val="center"/>
          </w:tcPr>
          <w:p w14:paraId="35B5859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313" w:type="pct"/>
            <w:vAlign w:val="center"/>
          </w:tcPr>
          <w:p w14:paraId="2AAE3BB9">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m:oMathPara>
              <m:oMathParaPr>
                <m:jc m:val="left"/>
              </m:oMathParaPr>
              <m:oMath>
                <m:sSub>
                  <m:sSubPr>
                    <m:ctrlPr>
                      <w:rPr>
                        <w:rFonts w:hint="default" w:eastAsia="宋体" w:cs="Times New Roman"/>
                        <w:i w:val="0"/>
                        <w:iCs/>
                        <w:spacing w:val="1"/>
                        <w:sz w:val="21"/>
                        <w:szCs w:val="21"/>
                        <w:lang w:eastAsia="zh-CN"/>
                      </w:rPr>
                    </m:ctrlPr>
                  </m:sSubPr>
                  <m:e>
                    <m:r>
                      <m:rPr>
                        <m:sty m:val="p"/>
                      </m:rPr>
                      <w:rPr>
                        <w:rFonts w:hint="default" w:eastAsia="宋体" w:cs="Times New Roman"/>
                        <w:spacing w:val="1"/>
                        <w:sz w:val="21"/>
                        <w:szCs w:val="21"/>
                        <w:lang w:val="en-US" w:eastAsia="zh-CN"/>
                      </w:rPr>
                      <m:t>S</m:t>
                    </m:r>
                    <m:ctrlPr>
                      <w:rPr>
                        <w:rFonts w:hint="default" w:eastAsia="宋体" w:cs="Times New Roman"/>
                        <w:i w:val="0"/>
                        <w:iCs/>
                        <w:spacing w:val="1"/>
                        <w:sz w:val="21"/>
                        <w:szCs w:val="21"/>
                        <w:lang w:eastAsia="zh-CN"/>
                      </w:rPr>
                    </m:ctrlPr>
                  </m:e>
                  <m:sub>
                    <m:r>
                      <m:rPr>
                        <m:sty m:val="p"/>
                      </m:rPr>
                      <w:rPr>
                        <w:rFonts w:hint="default" w:eastAsia="宋体" w:cs="Times New Roman"/>
                        <w:spacing w:val="1"/>
                        <w:sz w:val="21"/>
                        <w:szCs w:val="21"/>
                        <w:lang w:val="en-US" w:eastAsia="zh-CN"/>
                      </w:rPr>
                      <m:t>e,t</m:t>
                    </m:r>
                    <m:ctrlPr>
                      <w:rPr>
                        <w:rFonts w:hint="default" w:ascii="Cambria Math" w:hAnsi="Cambria Math" w:eastAsia="宋体" w:cs="Times New Roman"/>
                        <w:iCs/>
                        <w:spacing w:val="1"/>
                        <w:sz w:val="21"/>
                        <w:szCs w:val="21"/>
                        <w:lang w:eastAsia="zh-CN"/>
                      </w:rPr>
                    </m:ctrlPr>
                  </m:sub>
                </m:sSub>
              </m:oMath>
            </m:oMathPara>
          </w:p>
        </w:tc>
      </w:tr>
      <w:tr w14:paraId="2E1A17D9">
        <w:trPr>
          <w:trHeight w:val="0" w:hRule="atLeast"/>
          <w:tblHeader/>
          <w:jc w:val="center"/>
        </w:trPr>
        <w:tc>
          <w:tcPr>
            <w:tcW w:w="686" w:type="pct"/>
            <w:vAlign w:val="center"/>
          </w:tcPr>
          <w:p w14:paraId="4AB16DD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313" w:type="pct"/>
            <w:vAlign w:val="center"/>
          </w:tcPr>
          <w:p w14:paraId="3FA3DA2F">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基准年基准线情景交通工具t对燃料类型k的每公里消耗量。其中，e为燃料类型，可取汽油</w:t>
            </w:r>
            <w:r>
              <w:rPr>
                <w:rFonts w:hint="eastAsia" w:ascii="Times New Roman" w:hAnsi="Times New Roman" w:cs="Times New Roman"/>
                <w:lang w:val="en-US" w:eastAsia="zh-CN"/>
              </w:rPr>
              <w:t>、</w:t>
            </w:r>
            <w:r>
              <w:rPr>
                <w:rFonts w:hint="default" w:ascii="Times New Roman" w:hAnsi="Times New Roman" w:cs="Times New Roman"/>
                <w:lang w:val="en-US" w:eastAsia="zh-CN"/>
              </w:rPr>
              <w:t>电力等。</w:t>
            </w:r>
          </w:p>
        </w:tc>
      </w:tr>
      <w:tr w14:paraId="6474B386">
        <w:trPr>
          <w:trHeight w:val="0" w:hRule="atLeast"/>
          <w:tblHeader/>
          <w:jc w:val="center"/>
        </w:trPr>
        <w:tc>
          <w:tcPr>
            <w:tcW w:w="686" w:type="pct"/>
            <w:vAlign w:val="center"/>
          </w:tcPr>
          <w:p w14:paraId="721E1F1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313" w:type="pct"/>
            <w:vAlign w:val="center"/>
          </w:tcPr>
          <w:p w14:paraId="190DAF0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kg/km</w:t>
            </w:r>
            <w:r>
              <w:rPr>
                <w:rFonts w:hint="eastAsia" w:ascii="Times New Roman" w:hAnsi="Times New Roman" w:cs="Times New Roman"/>
                <w:lang w:val="en-US" w:eastAsia="zh-CN"/>
              </w:rPr>
              <w:t>、</w:t>
            </w:r>
            <w:r>
              <w:rPr>
                <w:rFonts w:hint="default" w:ascii="Times New Roman" w:hAnsi="Times New Roman" w:cs="Times New Roman"/>
                <w:lang w:val="en-US" w:eastAsia="zh-CN"/>
              </w:rPr>
              <w:t>kWh/km</w:t>
            </w:r>
          </w:p>
        </w:tc>
      </w:tr>
      <w:tr w14:paraId="1F4D3D5D">
        <w:trPr>
          <w:trHeight w:val="0" w:hRule="atLeast"/>
          <w:tblHeader/>
          <w:jc w:val="center"/>
        </w:trPr>
        <w:tc>
          <w:tcPr>
            <w:tcW w:w="686" w:type="pct"/>
            <w:vAlign w:val="center"/>
          </w:tcPr>
          <w:p w14:paraId="049E46F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313" w:type="pct"/>
            <w:vAlign w:val="center"/>
          </w:tcPr>
          <w:p w14:paraId="2A2A593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轻型商用车辆燃料消耗量限值及评价指标</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GB 20997-2024</w:t>
            </w:r>
            <w:r>
              <w:rPr>
                <w:rFonts w:hint="eastAsia" w:ascii="Times New Roman" w:hAnsi="Times New Roman" w:eastAsia="宋体" w:cs="Times New Roman"/>
                <w:lang w:val="en-US" w:eastAsia="zh-CN"/>
              </w:rPr>
              <w:t>）、《重型商用车辆燃料消耗量限值》（GB 30510-2024）、《天然气营运客车燃料消耗量限值及测量方法》（JT/T 1444-2022）</w:t>
            </w:r>
          </w:p>
        </w:tc>
      </w:tr>
      <w:tr w14:paraId="370F5DD2">
        <w:trPr>
          <w:trHeight w:val="0" w:hRule="atLeast"/>
          <w:tblHeader/>
          <w:jc w:val="center"/>
        </w:trPr>
        <w:tc>
          <w:tcPr>
            <w:tcW w:w="686" w:type="pct"/>
            <w:vAlign w:val="center"/>
          </w:tcPr>
          <w:p w14:paraId="2D45C72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313" w:type="pct"/>
            <w:vAlign w:val="center"/>
          </w:tcPr>
          <w:p w14:paraId="0C737A2C">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eastAsia" w:ascii="Times New Roman" w:hAnsi="Times New Roman" w:cs="Times New Roman"/>
                <w:lang w:val="en-US" w:eastAsia="zh-CN"/>
              </w:rPr>
              <w:t>不同最大设计总质量GVW（kg）、车身长度L（m）客车的百公里燃料消耗率</w:t>
            </w:r>
          </w:p>
        </w:tc>
      </w:tr>
      <w:tr w14:paraId="399B2A2D">
        <w:trPr>
          <w:trHeight w:val="0" w:hRule="atLeast"/>
          <w:tblHeader/>
          <w:jc w:val="center"/>
        </w:trPr>
        <w:tc>
          <w:tcPr>
            <w:tcW w:w="686" w:type="pct"/>
            <w:shd w:val="clear" w:color="auto" w:fill="auto"/>
            <w:vAlign w:val="center"/>
          </w:tcPr>
          <w:p w14:paraId="46AE93C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313" w:type="pct"/>
            <w:shd w:val="clear" w:color="auto" w:fill="auto"/>
            <w:vAlign w:val="center"/>
          </w:tcPr>
          <w:p w14:paraId="16C7B48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5396E2CE">
      <w:pPr>
        <w:pStyle w:val="3"/>
        <w:spacing w:before="123" w:line="219" w:lineRule="auto"/>
        <w:jc w:val="center"/>
        <w:rPr>
          <w:rFonts w:hint="default" w:ascii="黑体" w:hAnsi="黑体" w:eastAsia="黑体" w:cs="黑体"/>
          <w:spacing w:val="-2"/>
          <w:sz w:val="21"/>
          <w:szCs w:val="21"/>
          <w:lang w:val="en-US" w:eastAsia="zh-CN"/>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C.2  燃料类型k的</w:t>
      </w:r>
      <w:r>
        <w:rPr>
          <w:rFonts w:hint="default" w:ascii="黑体" w:hAnsi="黑体" w:eastAsia="黑体" w:cs="黑体"/>
          <w:spacing w:val="-2"/>
          <w:sz w:val="21"/>
          <w:szCs w:val="21"/>
        </w:rPr>
        <w:t>CO₂</w:t>
      </w:r>
      <w:r>
        <w:rPr>
          <w:rFonts w:hint="default" w:ascii="黑体" w:hAnsi="黑体" w:eastAsia="黑体" w:cs="黑体"/>
          <w:spacing w:val="-2"/>
          <w:sz w:val="21"/>
          <w:szCs w:val="21"/>
          <w:lang w:val="en-US" w:eastAsia="zh-CN"/>
        </w:rPr>
        <w:t>排放因子</w:t>
      </w:r>
      <m:oMath>
        <m:sSub>
          <m:sSubPr>
            <m:ctrlPr>
              <w:rPr>
                <w:rFonts w:hint="default" w:ascii="Cambria Math" w:hAnsi="Cambria Math" w:eastAsia="黑体" w:cs="黑体"/>
                <w:spacing w:val="-2"/>
                <w:sz w:val="21"/>
                <w:szCs w:val="21"/>
                <w:lang w:val="en-US" w:eastAsia="zh-CN"/>
              </w:rPr>
            </m:ctrlPr>
          </m:sSubPr>
          <m:e>
            <m:r>
              <m:rPr>
                <m:nor/>
                <m:sty m:val="p"/>
              </m:rPr>
              <w:rPr>
                <w:rFonts w:hint="default" w:ascii="Cambria Math" w:hAnsi="Cambria Math" w:eastAsia="黑体" w:cs="黑体"/>
                <w:b w:val="0"/>
                <w:i w:val="0"/>
                <w:spacing w:val="-2"/>
                <w:sz w:val="21"/>
                <w:szCs w:val="21"/>
                <w:lang w:val="en-US" w:eastAsia="zh-CN"/>
              </w:rPr>
              <m:t>EF</m:t>
            </m:r>
            <m:ctrlPr>
              <w:rPr>
                <w:rFonts w:hint="default" w:ascii="Cambria Math" w:hAnsi="Cambria Math" w:eastAsia="黑体" w:cs="黑体"/>
                <w:spacing w:val="-2"/>
                <w:sz w:val="21"/>
                <w:szCs w:val="21"/>
                <w:lang w:val="en-US" w:eastAsia="zh-CN"/>
              </w:rPr>
            </m:ctrlPr>
          </m:e>
          <m:sub>
            <m:r>
              <m:rPr>
                <m:nor/>
                <m:sty m:val="p"/>
              </m:rPr>
              <w:rPr>
                <w:rFonts w:hint="eastAsia" w:ascii="Cambria Math" w:hAnsi="Cambria Math" w:eastAsia="黑体" w:cs="黑体"/>
                <w:b w:val="0"/>
                <w:i w:val="0"/>
                <w:spacing w:val="-2"/>
                <w:sz w:val="21"/>
                <w:szCs w:val="21"/>
                <w:lang w:val="en-US" w:eastAsia="zh-CN"/>
              </w:rPr>
              <m:t>e</m:t>
            </m:r>
            <m:ctrlPr>
              <w:rPr>
                <w:rFonts w:hint="default" w:ascii="Cambria Math" w:hAnsi="Cambria Math" w:eastAsia="黑体" w:cs="黑体"/>
                <w:spacing w:val="-2"/>
                <w:sz w:val="21"/>
                <w:szCs w:val="21"/>
                <w:lang w:val="en-US" w:eastAsia="zh-CN"/>
              </w:rPr>
            </m:ctrlPr>
          </m:sub>
        </m:sSub>
      </m:oMath>
    </w:p>
    <w:tbl>
      <w:tblPr>
        <w:tblStyle w:val="20"/>
        <w:tblW w:w="4997"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5"/>
        <w:gridCol w:w="8269"/>
      </w:tblGrid>
      <w:tr w14:paraId="7A51C3F6">
        <w:trPr>
          <w:trHeight w:val="0" w:hRule="atLeast"/>
          <w:tblHeader/>
          <w:jc w:val="center"/>
        </w:trPr>
        <w:tc>
          <w:tcPr>
            <w:tcW w:w="686" w:type="pct"/>
            <w:vAlign w:val="center"/>
          </w:tcPr>
          <w:p w14:paraId="34BD072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313" w:type="pct"/>
            <w:vAlign w:val="center"/>
          </w:tcPr>
          <w:p w14:paraId="3A83AAAD">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m:oMathPara>
              <m:oMathParaPr>
                <m:jc m:val="left"/>
              </m:oMathParaPr>
              <m:oMath>
                <m:sSub>
                  <m:sSubPr>
                    <m:ctrlPr>
                      <w:rPr>
                        <w:rFonts w:hint="default" w:ascii="Times New Roman" w:hAnsi="Times New Roman" w:eastAsia="宋体" w:cs="Times New Roman"/>
                        <w:b w:val="0"/>
                        <w:i w:val="0"/>
                        <w:snapToGrid w:val="0"/>
                        <w:color w:val="000000"/>
                        <w:kern w:val="0"/>
                        <w:sz w:val="21"/>
                        <w:szCs w:val="21"/>
                        <w:lang w:val="en-US" w:eastAsia="zh-CN" w:bidi="ar-SA"/>
                      </w:rPr>
                    </m:ctrlPr>
                  </m:sSubPr>
                  <m:e>
                    <m:r>
                      <m:rPr>
                        <m:nor/>
                        <m:sty m:val="p"/>
                      </m:rPr>
                      <w:rPr>
                        <w:rFonts w:hint="default" w:ascii="Times New Roman" w:hAnsi="Times New Roman" w:eastAsia="宋体" w:cs="Times New Roman"/>
                        <w:b w:val="0"/>
                        <w:i w:val="0"/>
                        <w:snapToGrid w:val="0"/>
                        <w:color w:val="000000"/>
                        <w:kern w:val="0"/>
                        <w:sz w:val="21"/>
                        <w:szCs w:val="21"/>
                        <w:lang w:val="en-US" w:eastAsia="zh-CN" w:bidi="ar-SA"/>
                      </w:rPr>
                      <m:t>EF</m:t>
                    </m:r>
                    <m:ctrlPr>
                      <w:rPr>
                        <w:rFonts w:hint="default" w:ascii="Times New Roman" w:hAnsi="Times New Roman" w:eastAsia="宋体" w:cs="Times New Roman"/>
                        <w:b w:val="0"/>
                        <w:i w:val="0"/>
                        <w:snapToGrid w:val="0"/>
                        <w:color w:val="000000"/>
                        <w:kern w:val="0"/>
                        <w:sz w:val="21"/>
                        <w:szCs w:val="21"/>
                        <w:lang w:val="en-US" w:eastAsia="zh-CN" w:bidi="ar-SA"/>
                      </w:rPr>
                    </m:ctrlPr>
                  </m:e>
                  <m:sub>
                    <m:r>
                      <m:rPr>
                        <m:nor/>
                        <m:sty m:val="p"/>
                      </m:rPr>
                      <w:rPr>
                        <w:rFonts w:hint="eastAsia" w:ascii="Times New Roman" w:hAnsi="Times New Roman" w:eastAsia="宋体" w:cs="Times New Roman"/>
                        <w:b w:val="0"/>
                        <w:i w:val="0"/>
                        <w:snapToGrid w:val="0"/>
                        <w:color w:val="000000"/>
                        <w:kern w:val="0"/>
                        <w:sz w:val="21"/>
                        <w:szCs w:val="21"/>
                        <w:lang w:val="en-US" w:eastAsia="zh-CN" w:bidi="ar-SA"/>
                      </w:rPr>
                      <m:t>e</m:t>
                    </m:r>
                    <m:ctrlPr>
                      <w:rPr>
                        <w:rFonts w:hint="default" w:ascii="Cambria Math" w:hAnsi="Cambria Math" w:eastAsia="宋体" w:cs="Times New Roman"/>
                        <w:b w:val="0"/>
                        <w:snapToGrid w:val="0"/>
                        <w:color w:val="000000"/>
                        <w:kern w:val="0"/>
                        <w:sz w:val="21"/>
                        <w:szCs w:val="21"/>
                        <w:lang w:val="en-US" w:eastAsia="zh-CN" w:bidi="ar-SA"/>
                      </w:rPr>
                    </m:ctrlPr>
                  </m:sub>
                </m:sSub>
              </m:oMath>
            </m:oMathPara>
          </w:p>
        </w:tc>
      </w:tr>
      <w:tr w14:paraId="203D9828">
        <w:trPr>
          <w:trHeight w:val="0" w:hRule="atLeast"/>
          <w:tblHeader/>
          <w:jc w:val="center"/>
        </w:trPr>
        <w:tc>
          <w:tcPr>
            <w:tcW w:w="686" w:type="pct"/>
            <w:vAlign w:val="center"/>
          </w:tcPr>
          <w:p w14:paraId="123446B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313" w:type="pct"/>
            <w:vAlign w:val="center"/>
          </w:tcPr>
          <w:p w14:paraId="675172D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燃料类型k的</w:t>
            </w:r>
            <w:r>
              <w:rPr>
                <w:rFonts w:hint="default" w:ascii="Times New Roman" w:hAnsi="Times New Roman" w:cs="Times New Roman"/>
              </w:rPr>
              <w:t>CO₂</w:t>
            </w:r>
            <w:r>
              <w:rPr>
                <w:rFonts w:hint="default" w:ascii="Times New Roman" w:hAnsi="Times New Roman" w:cs="Times New Roman"/>
                <w:lang w:val="en-US" w:eastAsia="zh-CN"/>
              </w:rPr>
              <w:t>排放因子。其中，k为燃料类型，本方法学中取汽油、电力。</w:t>
            </w:r>
          </w:p>
        </w:tc>
      </w:tr>
      <w:tr w14:paraId="0B9F84DF">
        <w:trPr>
          <w:trHeight w:val="0" w:hRule="atLeast"/>
          <w:tblHeader/>
          <w:jc w:val="center"/>
        </w:trPr>
        <w:tc>
          <w:tcPr>
            <w:tcW w:w="686" w:type="pct"/>
            <w:vAlign w:val="center"/>
          </w:tcPr>
          <w:p w14:paraId="4E8C65D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313" w:type="pct"/>
            <w:vAlign w:val="center"/>
          </w:tcPr>
          <w:p w14:paraId="172E978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pacing w:val="-1"/>
                <w:sz w:val="21"/>
                <w:szCs w:val="21"/>
                <w:lang w:val="en-US" w:eastAsia="zh-CN"/>
              </w:rPr>
              <w:t>kg</w:t>
            </w:r>
            <w:r>
              <w:rPr>
                <w:rFonts w:hint="default" w:ascii="Times New Roman" w:hAnsi="Times New Roman" w:cs="Times New Roman"/>
              </w:rPr>
              <w:t>CO₂</w:t>
            </w:r>
            <w:r>
              <w:rPr>
                <w:rFonts w:hint="default" w:ascii="Times New Roman" w:hAnsi="Times New Roman" w:eastAsia="宋体" w:cs="Times New Roman"/>
                <w:spacing w:val="-1"/>
                <w:sz w:val="21"/>
                <w:szCs w:val="21"/>
              </w:rPr>
              <w:t>/</w:t>
            </w:r>
            <w:r>
              <w:rPr>
                <w:rFonts w:hint="default" w:ascii="Times New Roman" w:hAnsi="Times New Roman" w:cs="Times New Roman"/>
                <w:spacing w:val="-1"/>
                <w:sz w:val="21"/>
                <w:szCs w:val="21"/>
                <w:lang w:val="en-US" w:eastAsia="zh-CN"/>
              </w:rPr>
              <w:t>kg、kg</w:t>
            </w:r>
            <w:r>
              <w:rPr>
                <w:rFonts w:hint="default" w:ascii="Times New Roman" w:hAnsi="Times New Roman" w:cs="Times New Roman"/>
              </w:rPr>
              <w:t>CO₂</w:t>
            </w:r>
            <w:r>
              <w:rPr>
                <w:rFonts w:hint="default" w:ascii="Times New Roman" w:hAnsi="Times New Roman" w:cs="Times New Roman"/>
                <w:spacing w:val="-1"/>
                <w:sz w:val="21"/>
                <w:szCs w:val="21"/>
                <w:lang w:val="en-US" w:eastAsia="zh-CN"/>
              </w:rPr>
              <w:t>/kWh</w:t>
            </w:r>
          </w:p>
        </w:tc>
      </w:tr>
      <w:tr w14:paraId="4ED412E0">
        <w:trPr>
          <w:trHeight w:val="0" w:hRule="atLeast"/>
          <w:tblHeader/>
          <w:jc w:val="center"/>
        </w:trPr>
        <w:tc>
          <w:tcPr>
            <w:tcW w:w="686" w:type="pct"/>
            <w:vAlign w:val="center"/>
          </w:tcPr>
          <w:p w14:paraId="09B950A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313" w:type="pct"/>
            <w:vAlign w:val="center"/>
          </w:tcPr>
          <w:p w14:paraId="4D152C0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《综合能耗计算通则》</w:t>
            </w:r>
            <w:r>
              <w:rPr>
                <w:rFonts w:hint="eastAsia" w:ascii="Times New Roman" w:hAnsi="Times New Roman" w:cs="Times New Roman"/>
                <w:lang w:val="en-US" w:eastAsia="zh-CN"/>
              </w:rPr>
              <w:t>（</w:t>
            </w:r>
            <w:r>
              <w:rPr>
                <w:rFonts w:hint="default" w:ascii="Times New Roman" w:hAnsi="Times New Roman" w:cs="Times New Roman"/>
                <w:lang w:val="en-US" w:eastAsia="zh-CN"/>
              </w:rPr>
              <w:t>GB/T 2589-2020</w:t>
            </w:r>
            <w:r>
              <w:rPr>
                <w:rFonts w:hint="eastAsia" w:ascii="Times New Roman" w:hAnsi="Times New Roman" w:cs="Times New Roman"/>
                <w:lang w:val="en-US" w:eastAsia="zh-CN"/>
              </w:rPr>
              <w:t>）</w:t>
            </w:r>
            <w:r>
              <w:rPr>
                <w:rFonts w:hint="default" w:ascii="Times New Roman" w:hAnsi="Times New Roman" w:cs="Times New Roman"/>
                <w:lang w:val="en-US" w:eastAsia="zh-CN"/>
              </w:rPr>
              <w:t>、</w:t>
            </w:r>
            <w:r>
              <w:rPr>
                <w:rFonts w:hint="eastAsia" w:ascii="Times New Roman" w:hAnsi="Times New Roman" w:cs="Times New Roman"/>
                <w:lang w:val="en-US" w:eastAsia="zh-CN"/>
              </w:rPr>
              <w:t>《</w:t>
            </w:r>
            <w:r>
              <w:rPr>
                <w:rFonts w:hint="default" w:ascii="Times New Roman" w:hAnsi="Times New Roman" w:cs="Times New Roman"/>
                <w:lang w:val="en-US" w:eastAsia="zh-CN"/>
              </w:rPr>
              <w:t>2024年减排项目中国区域电网基准线排放因子</w:t>
            </w:r>
            <w:r>
              <w:rPr>
                <w:rFonts w:hint="eastAsia" w:ascii="Times New Roman" w:hAnsi="Times New Roman" w:cs="Times New Roman"/>
                <w:lang w:val="en-US" w:eastAsia="zh-CN"/>
              </w:rPr>
              <w:t>》</w:t>
            </w:r>
          </w:p>
        </w:tc>
      </w:tr>
      <w:tr w14:paraId="68D80382">
        <w:trPr>
          <w:trHeight w:val="0" w:hRule="atLeast"/>
          <w:tblHeader/>
          <w:jc w:val="center"/>
        </w:trPr>
        <w:tc>
          <w:tcPr>
            <w:tcW w:w="686" w:type="pct"/>
            <w:vAlign w:val="center"/>
          </w:tcPr>
          <w:p w14:paraId="0FE1C70A">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313" w:type="pct"/>
            <w:vAlign w:val="center"/>
          </w:tcPr>
          <w:p w14:paraId="2EBD6C3F">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汽油：2.99kg</w:t>
            </w:r>
            <w:r>
              <w:rPr>
                <w:rFonts w:hint="default" w:ascii="Times New Roman" w:hAnsi="Times New Roman" w:cs="Times New Roman"/>
              </w:rPr>
              <w:t>CO₂</w:t>
            </w:r>
            <w:r>
              <w:rPr>
                <w:rFonts w:hint="default" w:ascii="Times New Roman" w:hAnsi="Times New Roman" w:cs="Times New Roman"/>
                <w:lang w:val="en-US" w:eastAsia="zh-CN"/>
              </w:rPr>
              <w:t>/kg、柴油：3.16kg</w:t>
            </w:r>
            <w:r>
              <w:rPr>
                <w:rFonts w:hint="default" w:ascii="Times New Roman" w:hAnsi="Times New Roman" w:cs="Times New Roman"/>
              </w:rPr>
              <w:t>CO₂</w:t>
            </w:r>
            <w:r>
              <w:rPr>
                <w:rFonts w:hint="default" w:ascii="Times New Roman" w:hAnsi="Times New Roman" w:cs="Times New Roman"/>
                <w:lang w:val="en-US" w:eastAsia="zh-CN"/>
              </w:rPr>
              <w:t>/kg、电力：0.6313kg</w:t>
            </w:r>
            <w:r>
              <w:rPr>
                <w:rFonts w:hint="default" w:ascii="Times New Roman" w:hAnsi="Times New Roman" w:cs="Times New Roman"/>
              </w:rPr>
              <w:t>CO₂</w:t>
            </w:r>
            <w:r>
              <w:rPr>
                <w:rFonts w:hint="default" w:ascii="Times New Roman" w:hAnsi="Times New Roman" w:cs="Times New Roman"/>
                <w:lang w:val="en-US" w:eastAsia="zh-CN"/>
              </w:rPr>
              <w:t>/kWh</w:t>
            </w:r>
          </w:p>
        </w:tc>
      </w:tr>
      <w:tr w14:paraId="1955F8C0">
        <w:trPr>
          <w:trHeight w:val="0" w:hRule="atLeast"/>
          <w:tblHeader/>
          <w:jc w:val="center"/>
        </w:trPr>
        <w:tc>
          <w:tcPr>
            <w:tcW w:w="686" w:type="pct"/>
            <w:shd w:val="clear" w:color="auto" w:fill="auto"/>
            <w:vAlign w:val="center"/>
          </w:tcPr>
          <w:p w14:paraId="7AB497B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313" w:type="pct"/>
            <w:shd w:val="clear" w:color="auto" w:fill="auto"/>
            <w:vAlign w:val="center"/>
          </w:tcPr>
          <w:p w14:paraId="58D7348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00BE460D">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C.3  交通出行工具的年均行驶里程</w:t>
      </w:r>
      <m:oMath>
        <m:sSub>
          <m:sSubPr>
            <m:ctrlPr>
              <w:rPr>
                <w:rFonts w:hint="eastAsia" w:ascii="Cambria Math" w:hAnsi="Cambria Math" w:eastAsia="黑体" w:cs="黑体"/>
                <w:spacing w:val="-2"/>
                <w:sz w:val="21"/>
                <w:szCs w:val="21"/>
              </w:rPr>
            </m:ctrlPr>
          </m:sSubPr>
          <m:e>
            <m:r>
              <m:rPr>
                <m:sty m:val="p"/>
              </m:rPr>
              <w:rPr>
                <w:rFonts w:hint="default" w:ascii="Cambria Math" w:hAnsi="Cambria Math" w:eastAsia="黑体" w:cs="黑体"/>
                <w:spacing w:val="-2"/>
                <w:sz w:val="21"/>
                <w:szCs w:val="21"/>
                <w:lang w:val="en-US" w:eastAsia="zh-CN"/>
              </w:rPr>
              <m:t>AD</m:t>
            </m:r>
            <m:ctrlPr>
              <w:rPr>
                <w:rFonts w:hint="eastAsia" w:ascii="Cambria Math" w:hAnsi="Cambria Math" w:eastAsia="黑体" w:cs="黑体"/>
                <w:spacing w:val="-2"/>
                <w:sz w:val="21"/>
                <w:szCs w:val="21"/>
              </w:rPr>
            </m:ctrlPr>
          </m:e>
          <m:sub>
            <m:r>
              <m:rPr>
                <m:sty m:val="p"/>
              </m:rPr>
              <w:rPr>
                <w:rFonts w:hint="default" w:ascii="Cambria Math" w:hAnsi="Cambria Math" w:eastAsia="黑体" w:cs="黑体"/>
                <w:spacing w:val="-2"/>
                <w:sz w:val="21"/>
                <w:szCs w:val="21"/>
                <w:lang w:val="en-US" w:eastAsia="zh-CN"/>
              </w:rPr>
              <m:t>t</m:t>
            </m:r>
            <m:ctrlPr>
              <w:rPr>
                <w:rFonts w:hint="eastAsia" w:ascii="Cambria Math" w:hAnsi="Cambria Math" w:eastAsia="黑体" w:cs="黑体"/>
                <w:spacing w:val="-2"/>
                <w:sz w:val="21"/>
                <w:szCs w:val="21"/>
              </w:rPr>
            </m:ctrlPr>
          </m:sub>
        </m:sSub>
      </m:oMath>
    </w:p>
    <w:tbl>
      <w:tblPr>
        <w:tblStyle w:val="20"/>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4"/>
        <w:gridCol w:w="8274"/>
      </w:tblGrid>
      <w:tr w14:paraId="327988F2">
        <w:trPr>
          <w:trHeight w:val="0" w:hRule="atLeast"/>
          <w:tblHeader/>
          <w:jc w:val="center"/>
        </w:trPr>
        <w:tc>
          <w:tcPr>
            <w:tcW w:w="685" w:type="pct"/>
            <w:vAlign w:val="center"/>
          </w:tcPr>
          <w:p w14:paraId="5D5BF7C8">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314" w:type="pct"/>
            <w:vAlign w:val="center"/>
          </w:tcPr>
          <w:p w14:paraId="3F229AFB">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m:oMathPara>
              <m:oMathParaPr>
                <m:jc m:val="left"/>
              </m:oMathParaPr>
              <m:oMath>
                <m:sSub>
                  <m:sSubPr>
                    <m:ctrlPr>
                      <w:rPr>
                        <w:rFonts w:ascii="Cambria Math" w:hAnsi="Cambria Math" w:cs="Times New Roman"/>
                        <w:iCs/>
                        <w:spacing w:val="1"/>
                        <w:sz w:val="21"/>
                        <w:szCs w:val="21"/>
                      </w:rPr>
                    </m:ctrlPr>
                  </m:sSubPr>
                  <m:e>
                    <m:r>
                      <m:rPr>
                        <m:sty m:val="p"/>
                      </m:rPr>
                      <w:rPr>
                        <w:rFonts w:hint="default" w:eastAsia="宋体" w:cs="Times New Roman"/>
                        <w:spacing w:val="1"/>
                        <w:sz w:val="21"/>
                        <w:szCs w:val="21"/>
                        <w:lang w:val="en-US" w:eastAsia="zh-CN"/>
                      </w:rPr>
                      <m:t>AD</m:t>
                    </m:r>
                    <m:ctrlPr>
                      <w:rPr>
                        <w:rFonts w:ascii="Cambria Math" w:hAnsi="Cambria Math" w:cs="Times New Roman"/>
                        <w:iCs/>
                        <w:spacing w:val="1"/>
                        <w:sz w:val="21"/>
                        <w:szCs w:val="21"/>
                      </w:rPr>
                    </m:ctrlPr>
                  </m:e>
                  <m:sub>
                    <m:r>
                      <m:rPr>
                        <m:sty m:val="p"/>
                      </m:rPr>
                      <w:rPr>
                        <w:rFonts w:hint="default" w:eastAsia="宋体" w:cs="Times New Roman"/>
                        <w:spacing w:val="1"/>
                        <w:sz w:val="21"/>
                        <w:szCs w:val="21"/>
                        <w:lang w:val="en-US" w:eastAsia="zh-CN"/>
                      </w:rPr>
                      <m:t>t</m:t>
                    </m:r>
                    <m:ctrlPr>
                      <w:rPr>
                        <w:rFonts w:ascii="Cambria Math" w:hAnsi="Cambria Math" w:cs="Times New Roman"/>
                        <w:iCs/>
                        <w:spacing w:val="1"/>
                        <w:sz w:val="21"/>
                        <w:szCs w:val="21"/>
                      </w:rPr>
                    </m:ctrlPr>
                  </m:sub>
                </m:sSub>
              </m:oMath>
            </m:oMathPara>
          </w:p>
        </w:tc>
      </w:tr>
      <w:tr w14:paraId="66CF4D40">
        <w:trPr>
          <w:trHeight w:val="0" w:hRule="atLeast"/>
          <w:tblHeader/>
          <w:jc w:val="center"/>
        </w:trPr>
        <w:tc>
          <w:tcPr>
            <w:tcW w:w="685" w:type="pct"/>
            <w:vAlign w:val="center"/>
          </w:tcPr>
          <w:p w14:paraId="63457F3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314" w:type="pct"/>
            <w:vAlign w:val="center"/>
          </w:tcPr>
          <w:p w14:paraId="6D75D98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基准年基准线情景交通工具t的年均行驶里程。</w:t>
            </w:r>
          </w:p>
        </w:tc>
      </w:tr>
      <w:tr w14:paraId="1AAAA948">
        <w:trPr>
          <w:trHeight w:val="0" w:hRule="atLeast"/>
          <w:tblHeader/>
          <w:jc w:val="center"/>
        </w:trPr>
        <w:tc>
          <w:tcPr>
            <w:tcW w:w="685" w:type="pct"/>
            <w:vAlign w:val="center"/>
          </w:tcPr>
          <w:p w14:paraId="4E436D8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314" w:type="pct"/>
            <w:vAlign w:val="center"/>
          </w:tcPr>
          <w:p w14:paraId="530E1F6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eastAsia="宋体" w:cs="Times New Roman"/>
                <w:spacing w:val="-1"/>
                <w:sz w:val="21"/>
                <w:szCs w:val="21"/>
              </w:rPr>
              <w:t>km</w:t>
            </w:r>
          </w:p>
        </w:tc>
      </w:tr>
      <w:tr w14:paraId="356BD5CE">
        <w:trPr>
          <w:trHeight w:val="0" w:hRule="atLeast"/>
          <w:tblHeader/>
          <w:jc w:val="center"/>
        </w:trPr>
        <w:tc>
          <w:tcPr>
            <w:tcW w:w="685" w:type="pct"/>
            <w:vAlign w:val="center"/>
          </w:tcPr>
          <w:p w14:paraId="06FB5F7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314" w:type="pct"/>
            <w:vAlign w:val="center"/>
          </w:tcPr>
          <w:p w14:paraId="5FAD7FE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highlight w:val="none"/>
                <w:lang w:val="en-US" w:eastAsia="zh-CN"/>
              </w:rPr>
            </w:pPr>
            <w:r>
              <w:rPr>
                <w:rFonts w:hint="eastAsia" w:ascii="Times New Roman" w:hAnsi="Times New Roman" w:cs="Times New Roman"/>
                <w:highlight w:val="none"/>
                <w:lang w:val="en-US" w:eastAsia="zh-CN"/>
              </w:rPr>
              <w:t>地方主管部门提供</w:t>
            </w:r>
          </w:p>
        </w:tc>
      </w:tr>
      <w:tr w14:paraId="092BC220">
        <w:trPr>
          <w:trHeight w:val="0" w:hRule="atLeast"/>
          <w:tblHeader/>
          <w:jc w:val="center"/>
        </w:trPr>
        <w:tc>
          <w:tcPr>
            <w:tcW w:w="685" w:type="pct"/>
            <w:vAlign w:val="center"/>
          </w:tcPr>
          <w:p w14:paraId="58450BA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314" w:type="pct"/>
            <w:vAlign w:val="center"/>
          </w:tcPr>
          <w:p w14:paraId="4144BB3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2025年公交车、旅游客运、出租车的运营里程分别为54.7万公里/年、197.5万公里/年、650万公里/年。</w:t>
            </w:r>
          </w:p>
        </w:tc>
      </w:tr>
      <w:tr w14:paraId="3904AAC1">
        <w:trPr>
          <w:trHeight w:val="0" w:hRule="atLeast"/>
          <w:tblHeader/>
          <w:jc w:val="center"/>
        </w:trPr>
        <w:tc>
          <w:tcPr>
            <w:tcW w:w="685" w:type="pct"/>
            <w:shd w:val="clear" w:color="auto" w:fill="auto"/>
            <w:vAlign w:val="center"/>
          </w:tcPr>
          <w:p w14:paraId="56F302E2">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314" w:type="pct"/>
            <w:shd w:val="clear" w:color="auto" w:fill="auto"/>
            <w:vAlign w:val="center"/>
          </w:tcPr>
          <w:p w14:paraId="71142E5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7B16E5A6">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C.4  交通出行工具数量</w:t>
      </w:r>
    </w:p>
    <w:tbl>
      <w:tblPr>
        <w:tblStyle w:val="20"/>
        <w:tblW w:w="500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5"/>
        <w:gridCol w:w="8281"/>
      </w:tblGrid>
      <w:tr w14:paraId="21DB9876">
        <w:trPr>
          <w:trHeight w:val="0" w:hRule="atLeast"/>
          <w:tblHeader/>
          <w:jc w:val="center"/>
        </w:trPr>
        <w:tc>
          <w:tcPr>
            <w:tcW w:w="685" w:type="pct"/>
            <w:vAlign w:val="center"/>
          </w:tcPr>
          <w:p w14:paraId="6382F69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314" w:type="pct"/>
            <w:vAlign w:val="center"/>
          </w:tcPr>
          <w:p w14:paraId="6443B2A7">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z w:val="21"/>
                <w:szCs w:val="21"/>
                <w:lang w:val="en-US" w:eastAsia="zh-CN"/>
              </w:rPr>
              <w:t>N</w:t>
            </w:r>
            <w:r>
              <w:rPr>
                <w:rFonts w:hint="default" w:ascii="Times New Roman" w:hAnsi="Times New Roman" w:cs="Times New Roman"/>
                <w:sz w:val="21"/>
                <w:szCs w:val="21"/>
                <w:vertAlign w:val="subscript"/>
                <w:lang w:val="en-US" w:eastAsia="zh-CN"/>
              </w:rPr>
              <w:t>t</w:t>
            </w:r>
          </w:p>
        </w:tc>
      </w:tr>
      <w:tr w14:paraId="6AC17EC1">
        <w:trPr>
          <w:trHeight w:val="0" w:hRule="atLeast"/>
          <w:tblHeader/>
          <w:jc w:val="center"/>
        </w:trPr>
        <w:tc>
          <w:tcPr>
            <w:tcW w:w="685" w:type="pct"/>
            <w:vAlign w:val="center"/>
          </w:tcPr>
          <w:p w14:paraId="0E1CF59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314" w:type="pct"/>
            <w:vAlign w:val="center"/>
          </w:tcPr>
          <w:p w14:paraId="5C5948E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基准年基准线交通出行工具的数量。</w:t>
            </w:r>
          </w:p>
        </w:tc>
      </w:tr>
      <w:tr w14:paraId="366E8FB1">
        <w:trPr>
          <w:trHeight w:val="0" w:hRule="atLeast"/>
          <w:tblHeader/>
          <w:jc w:val="center"/>
        </w:trPr>
        <w:tc>
          <w:tcPr>
            <w:tcW w:w="685" w:type="pct"/>
            <w:vAlign w:val="center"/>
          </w:tcPr>
          <w:p w14:paraId="09A61862">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314" w:type="pct"/>
            <w:vAlign w:val="center"/>
          </w:tcPr>
          <w:p w14:paraId="2DF5CE0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sz w:val="21"/>
                <w:szCs w:val="21"/>
                <w:lang w:val="en-US" w:eastAsia="zh-CN"/>
              </w:rPr>
              <w:t>辆</w:t>
            </w:r>
          </w:p>
        </w:tc>
      </w:tr>
      <w:tr w14:paraId="3086EF9D">
        <w:trPr>
          <w:trHeight w:val="0" w:hRule="atLeast"/>
          <w:tblHeader/>
          <w:jc w:val="center"/>
        </w:trPr>
        <w:tc>
          <w:tcPr>
            <w:tcW w:w="685" w:type="pct"/>
            <w:vAlign w:val="center"/>
          </w:tcPr>
          <w:p w14:paraId="624DC75F">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314" w:type="pct"/>
            <w:shd w:val="clear" w:color="auto" w:fill="auto"/>
            <w:vAlign w:val="center"/>
          </w:tcPr>
          <w:p w14:paraId="640998C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highlight w:val="none"/>
                <w:lang w:val="en-US" w:eastAsia="zh-CN" w:bidi="ar-SA"/>
              </w:rPr>
            </w:pPr>
            <w:r>
              <w:rPr>
                <w:rFonts w:hint="eastAsia" w:ascii="Times New Roman" w:hAnsi="Times New Roman" w:cs="Times New Roman"/>
                <w:highlight w:val="none"/>
                <w:lang w:val="en-US" w:eastAsia="zh-CN"/>
              </w:rPr>
              <w:t>地方主管部门提供</w:t>
            </w:r>
          </w:p>
        </w:tc>
      </w:tr>
      <w:tr w14:paraId="210F97A2">
        <w:trPr>
          <w:trHeight w:val="0" w:hRule="atLeast"/>
          <w:tblHeader/>
          <w:jc w:val="center"/>
        </w:trPr>
        <w:tc>
          <w:tcPr>
            <w:tcW w:w="685" w:type="pct"/>
            <w:vAlign w:val="center"/>
          </w:tcPr>
          <w:p w14:paraId="797011E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314" w:type="pct"/>
            <w:vAlign w:val="center"/>
          </w:tcPr>
          <w:p w14:paraId="089CD5E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2025年，新能源城市公交车18辆、新能源旅游客车79辆、新能源出租车164辆、纯电动共享汽车80辆。</w:t>
            </w:r>
          </w:p>
        </w:tc>
      </w:tr>
      <w:tr w14:paraId="4642E452">
        <w:trPr>
          <w:trHeight w:val="0" w:hRule="atLeast"/>
          <w:tblHeader/>
          <w:jc w:val="center"/>
        </w:trPr>
        <w:tc>
          <w:tcPr>
            <w:tcW w:w="685" w:type="pct"/>
            <w:shd w:val="clear" w:color="auto" w:fill="auto"/>
            <w:vAlign w:val="center"/>
          </w:tcPr>
          <w:p w14:paraId="10FA6341">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314" w:type="pct"/>
            <w:shd w:val="clear" w:color="auto" w:fill="auto"/>
            <w:vAlign w:val="center"/>
          </w:tcPr>
          <w:p w14:paraId="610748D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6A09F646">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C.5  k方式出行的</w:t>
      </w:r>
      <w:r>
        <w:rPr>
          <w:rFonts w:hint="default" w:ascii="黑体" w:hAnsi="黑体" w:eastAsia="黑体" w:cs="黑体"/>
          <w:spacing w:val="-2"/>
          <w:sz w:val="21"/>
          <w:szCs w:val="21"/>
        </w:rPr>
        <w:t>碳排放因子</w:t>
      </w:r>
    </w:p>
    <w:tbl>
      <w:tblPr>
        <w:tblStyle w:val="20"/>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415"/>
        <w:gridCol w:w="8173"/>
      </w:tblGrid>
      <w:tr w14:paraId="125D7973">
        <w:trPr>
          <w:trHeight w:val="0" w:hRule="atLeast"/>
          <w:tblHeader/>
          <w:jc w:val="center"/>
        </w:trPr>
        <w:tc>
          <w:tcPr>
            <w:tcW w:w="738" w:type="pct"/>
            <w:vAlign w:val="center"/>
          </w:tcPr>
          <w:p w14:paraId="41B7EE9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261" w:type="pct"/>
            <w:vAlign w:val="center"/>
          </w:tcPr>
          <w:p w14:paraId="01E94DA7">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w:r>
              <w:rPr>
                <w:rFonts w:hint="default" w:ascii="Times New Roman" w:hAnsi="Times New Roman" w:eastAsia="Cambria Math" w:cs="Times New Roman"/>
                <w:sz w:val="21"/>
                <w:szCs w:val="21"/>
              </w:rPr>
              <w:t>EF</w:t>
            </w:r>
            <w:r>
              <w:rPr>
                <w:rFonts w:hint="default" w:ascii="Times New Roman" w:hAnsi="Times New Roman" w:eastAsia="Cambria Math" w:cs="Times New Roman"/>
                <w:position w:val="-3"/>
                <w:sz w:val="15"/>
                <w:szCs w:val="15"/>
              </w:rPr>
              <w:t>k</w:t>
            </w:r>
          </w:p>
        </w:tc>
      </w:tr>
      <w:tr w14:paraId="7EE7BF2E">
        <w:trPr>
          <w:trHeight w:val="0" w:hRule="atLeast"/>
          <w:tblHeader/>
          <w:jc w:val="center"/>
        </w:trPr>
        <w:tc>
          <w:tcPr>
            <w:tcW w:w="738" w:type="pct"/>
            <w:vAlign w:val="center"/>
          </w:tcPr>
          <w:p w14:paraId="23FB528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261" w:type="pct"/>
            <w:vAlign w:val="center"/>
          </w:tcPr>
          <w:p w14:paraId="118675A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k方式出行的</w:t>
            </w:r>
            <w:r>
              <w:rPr>
                <w:rFonts w:hint="default" w:ascii="Times New Roman" w:hAnsi="Times New Roman" w:cs="Times New Roman"/>
                <w:spacing w:val="-1"/>
              </w:rPr>
              <w:t>碳排放因子</w:t>
            </w:r>
          </w:p>
        </w:tc>
      </w:tr>
      <w:tr w14:paraId="471DBA2E">
        <w:trPr>
          <w:trHeight w:val="0" w:hRule="atLeast"/>
          <w:tblHeader/>
          <w:jc w:val="center"/>
        </w:trPr>
        <w:tc>
          <w:tcPr>
            <w:tcW w:w="738" w:type="pct"/>
            <w:vAlign w:val="center"/>
          </w:tcPr>
          <w:p w14:paraId="7281889A">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261" w:type="pct"/>
            <w:vAlign w:val="center"/>
          </w:tcPr>
          <w:p w14:paraId="75F2F59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sz w:val="21"/>
                <w:szCs w:val="21"/>
                <w:lang w:val="en-US" w:eastAsia="zh-CN"/>
              </w:rPr>
              <w:t>kg</w:t>
            </w:r>
            <w:r>
              <w:rPr>
                <w:rFonts w:hint="default" w:ascii="Times New Roman" w:hAnsi="Times New Roman" w:cs="Times New Roman"/>
              </w:rPr>
              <w:t>CO₂</w:t>
            </w:r>
            <w:r>
              <w:rPr>
                <w:rFonts w:hint="default" w:ascii="Times New Roman" w:hAnsi="Times New Roman" w:eastAsia="宋体" w:cs="Times New Roman"/>
                <w:spacing w:val="-1"/>
                <w:sz w:val="21"/>
                <w:szCs w:val="21"/>
              </w:rPr>
              <w:t>/pkm</w:t>
            </w:r>
          </w:p>
        </w:tc>
      </w:tr>
      <w:tr w14:paraId="7710AC2E">
        <w:trPr>
          <w:trHeight w:val="0" w:hRule="atLeast"/>
          <w:tblHeader/>
          <w:jc w:val="center"/>
        </w:trPr>
        <w:tc>
          <w:tcPr>
            <w:tcW w:w="738" w:type="pct"/>
            <w:vAlign w:val="center"/>
          </w:tcPr>
          <w:p w14:paraId="796379C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261" w:type="pct"/>
            <w:vAlign w:val="center"/>
          </w:tcPr>
          <w:p w14:paraId="75E76BFC">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rPr>
              <w:t>中国产品全生命周期温室气体排放系数库</w:t>
            </w:r>
          </w:p>
        </w:tc>
      </w:tr>
      <w:tr w14:paraId="0957F9B2">
        <w:trPr>
          <w:trHeight w:val="0" w:hRule="atLeast"/>
          <w:tblHeader/>
          <w:jc w:val="center"/>
        </w:trPr>
        <w:tc>
          <w:tcPr>
            <w:tcW w:w="738" w:type="pct"/>
            <w:vAlign w:val="center"/>
          </w:tcPr>
          <w:p w14:paraId="5C0275C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261" w:type="pct"/>
            <w:vAlign w:val="center"/>
          </w:tcPr>
          <w:p w14:paraId="03A4D85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公交车：0.102</w:t>
            </w:r>
            <w:r>
              <w:rPr>
                <w:rFonts w:hint="eastAsia" w:ascii="Times New Roman" w:hAnsi="Times New Roman" w:cs="Times New Roman"/>
                <w:lang w:val="en-US" w:eastAsia="zh-CN"/>
              </w:rPr>
              <w:t>；</w:t>
            </w:r>
            <w:r>
              <w:rPr>
                <w:rFonts w:hint="default" w:ascii="Times New Roman" w:hAnsi="Times New Roman" w:cs="Times New Roman"/>
                <w:lang w:val="en-US" w:eastAsia="zh-CN"/>
              </w:rPr>
              <w:t>小客车（电）：0.091</w:t>
            </w:r>
            <w:r>
              <w:rPr>
                <w:rFonts w:hint="eastAsia" w:ascii="Times New Roman" w:hAnsi="Times New Roman" w:cs="Times New Roman"/>
                <w:lang w:val="en-US" w:eastAsia="zh-CN"/>
              </w:rPr>
              <w:t>；</w:t>
            </w:r>
            <w:r>
              <w:rPr>
                <w:rFonts w:hint="default" w:ascii="Times New Roman" w:hAnsi="Times New Roman" w:cs="Times New Roman"/>
                <w:lang w:val="en-US" w:eastAsia="zh-CN"/>
              </w:rPr>
              <w:t>小客车（油）：0.167</w:t>
            </w:r>
          </w:p>
        </w:tc>
      </w:tr>
      <w:tr w14:paraId="3D18FB75">
        <w:trPr>
          <w:trHeight w:val="0" w:hRule="atLeast"/>
          <w:tblHeader/>
          <w:jc w:val="center"/>
        </w:trPr>
        <w:tc>
          <w:tcPr>
            <w:tcW w:w="738" w:type="pct"/>
            <w:shd w:val="clear" w:color="auto" w:fill="auto"/>
            <w:vAlign w:val="center"/>
          </w:tcPr>
          <w:p w14:paraId="76B59F7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261" w:type="pct"/>
            <w:shd w:val="clear" w:color="auto" w:fill="auto"/>
            <w:vAlign w:val="center"/>
          </w:tcPr>
          <w:p w14:paraId="15864A57">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7F30C5B1">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C.6  交通出行工具t的客运量</w:t>
      </w:r>
    </w:p>
    <w:tbl>
      <w:tblPr>
        <w:tblStyle w:val="20"/>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66"/>
        <w:gridCol w:w="8228"/>
      </w:tblGrid>
      <w:tr w14:paraId="214FD6E1">
        <w:trPr>
          <w:trHeight w:val="0" w:hRule="atLeast"/>
        </w:trPr>
        <w:tc>
          <w:tcPr>
            <w:tcW w:w="712" w:type="pct"/>
            <w:vAlign w:val="center"/>
          </w:tcPr>
          <w:p w14:paraId="43E98F18">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287" w:type="pct"/>
            <w:vAlign w:val="center"/>
          </w:tcPr>
          <w:p w14:paraId="0E35A492">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z w:val="21"/>
                <w:szCs w:val="21"/>
                <w:lang w:val="en-US" w:eastAsia="zh-CN"/>
              </w:rPr>
              <w:t>P</w:t>
            </w:r>
            <w:r>
              <w:rPr>
                <w:rFonts w:hint="default" w:ascii="Times New Roman" w:hAnsi="Times New Roman" w:cs="Times New Roman"/>
                <w:sz w:val="21"/>
                <w:szCs w:val="21"/>
                <w:vertAlign w:val="subscript"/>
                <w:lang w:val="en-US" w:eastAsia="zh-CN"/>
              </w:rPr>
              <w:t>t</w:t>
            </w:r>
          </w:p>
        </w:tc>
      </w:tr>
      <w:tr w14:paraId="6C4C5203">
        <w:trPr>
          <w:trHeight w:val="0" w:hRule="atLeast"/>
        </w:trPr>
        <w:tc>
          <w:tcPr>
            <w:tcW w:w="712" w:type="pct"/>
            <w:vAlign w:val="center"/>
          </w:tcPr>
          <w:p w14:paraId="3FC766C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287" w:type="pct"/>
            <w:vAlign w:val="center"/>
          </w:tcPr>
          <w:p w14:paraId="3C90EB7A">
            <w:pPr>
              <w:keepNext w:val="0"/>
              <w:keepLines w:val="0"/>
              <w:widowControl/>
              <w:suppressLineNumbers w:val="0"/>
              <w:jc w:val="left"/>
              <w:rPr>
                <w:rFonts w:hint="default" w:ascii="Times New Roman" w:hAnsi="Times New Roman" w:cs="Times New Roman"/>
              </w:rPr>
            </w:pPr>
            <w:r>
              <w:rPr>
                <w:rFonts w:hint="default" w:ascii="Times New Roman" w:hAnsi="Times New Roman" w:eastAsia="宋体" w:cs="Times New Roman"/>
                <w:snapToGrid w:val="0"/>
                <w:color w:val="000000"/>
                <w:kern w:val="0"/>
                <w:sz w:val="18"/>
                <w:szCs w:val="18"/>
                <w:lang w:val="en-US" w:eastAsia="zh-CN" w:bidi="ar"/>
              </w:rPr>
              <w:t>基准线交通出行工具t的客运量。</w:t>
            </w:r>
          </w:p>
        </w:tc>
      </w:tr>
      <w:tr w14:paraId="52FCCBF3">
        <w:trPr>
          <w:trHeight w:val="0" w:hRule="atLeast"/>
        </w:trPr>
        <w:tc>
          <w:tcPr>
            <w:tcW w:w="712" w:type="pct"/>
            <w:vAlign w:val="center"/>
          </w:tcPr>
          <w:p w14:paraId="5BDC0A5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287" w:type="pct"/>
            <w:vAlign w:val="center"/>
          </w:tcPr>
          <w:p w14:paraId="434120A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人次</w:t>
            </w:r>
          </w:p>
        </w:tc>
      </w:tr>
      <w:tr w14:paraId="41398EF2">
        <w:trPr>
          <w:trHeight w:val="0" w:hRule="atLeast"/>
        </w:trPr>
        <w:tc>
          <w:tcPr>
            <w:tcW w:w="712" w:type="pct"/>
            <w:vAlign w:val="center"/>
          </w:tcPr>
          <w:p w14:paraId="0D69780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287" w:type="pct"/>
            <w:shd w:val="clear" w:color="auto" w:fill="auto"/>
            <w:vAlign w:val="center"/>
          </w:tcPr>
          <w:p w14:paraId="4B26F21B">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highlight w:val="none"/>
                <w:lang w:val="en-US" w:eastAsia="zh-CN" w:bidi="ar-SA"/>
              </w:rPr>
            </w:pPr>
            <w:r>
              <w:rPr>
                <w:rFonts w:hint="eastAsia" w:ascii="Times New Roman" w:hAnsi="Times New Roman" w:cs="Times New Roman"/>
                <w:highlight w:val="none"/>
                <w:lang w:val="en-US" w:eastAsia="zh-CN"/>
              </w:rPr>
              <w:t>地方主管部门提供</w:t>
            </w:r>
          </w:p>
        </w:tc>
      </w:tr>
      <w:tr w14:paraId="76076B1D">
        <w:trPr>
          <w:trHeight w:val="0" w:hRule="atLeast"/>
        </w:trPr>
        <w:tc>
          <w:tcPr>
            <w:tcW w:w="712" w:type="pct"/>
            <w:vAlign w:val="center"/>
          </w:tcPr>
          <w:p w14:paraId="7FC1B7F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4287" w:type="pct"/>
            <w:vAlign w:val="center"/>
          </w:tcPr>
          <w:p w14:paraId="727338F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2025年，城市公交运送90万人次、道路旅游客运55万人次、出租车运送23万人次。</w:t>
            </w:r>
          </w:p>
        </w:tc>
      </w:tr>
      <w:tr w14:paraId="13BE22B4">
        <w:trPr>
          <w:trHeight w:val="0" w:hRule="atLeast"/>
        </w:trPr>
        <w:tc>
          <w:tcPr>
            <w:tcW w:w="712" w:type="pct"/>
            <w:shd w:val="clear" w:color="auto" w:fill="auto"/>
            <w:vAlign w:val="center"/>
          </w:tcPr>
          <w:p w14:paraId="1FDB81FE">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287" w:type="pct"/>
            <w:shd w:val="clear" w:color="auto" w:fill="auto"/>
            <w:vAlign w:val="center"/>
          </w:tcPr>
          <w:p w14:paraId="390A7A7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6A579FC1">
      <w:pPr>
        <w:pStyle w:val="3"/>
        <w:spacing w:before="123" w:line="219" w:lineRule="auto"/>
        <w:jc w:val="center"/>
        <w:rPr>
          <w:rFonts w:hint="default" w:ascii="黑体" w:hAnsi="黑体" w:eastAsia="黑体" w:cs="黑体"/>
          <w:spacing w:val="-2"/>
          <w:sz w:val="21"/>
          <w:szCs w:val="21"/>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C.7  乘客乘坐不同交通工具t的平均乘距</w:t>
      </w:r>
    </w:p>
    <w:tbl>
      <w:tblPr>
        <w:tblStyle w:val="20"/>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6C3A01AF">
        <w:trPr>
          <w:trHeight w:val="0" w:hRule="atLeast"/>
        </w:trPr>
        <w:tc>
          <w:tcPr>
            <w:tcW w:w="2499" w:type="dxa"/>
            <w:vAlign w:val="center"/>
          </w:tcPr>
          <w:p w14:paraId="6D03EB0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029CCA37">
            <w:pPr>
              <w:pStyle w:val="21"/>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z w:val="21"/>
                <w:szCs w:val="21"/>
                <w:lang w:val="en-US" w:eastAsia="zh-CN"/>
              </w:rPr>
              <w:t>D</w:t>
            </w:r>
            <w:r>
              <w:rPr>
                <w:rFonts w:hint="default" w:ascii="Times New Roman" w:hAnsi="Times New Roman" w:cs="Times New Roman"/>
                <w:sz w:val="21"/>
                <w:szCs w:val="21"/>
                <w:vertAlign w:val="subscript"/>
                <w:lang w:val="en-US" w:eastAsia="zh-CN"/>
              </w:rPr>
              <w:t>t</w:t>
            </w:r>
          </w:p>
        </w:tc>
      </w:tr>
      <w:tr w14:paraId="4A5ECF12">
        <w:trPr>
          <w:trHeight w:val="0" w:hRule="atLeast"/>
        </w:trPr>
        <w:tc>
          <w:tcPr>
            <w:tcW w:w="2499" w:type="dxa"/>
            <w:vAlign w:val="center"/>
          </w:tcPr>
          <w:p w14:paraId="65618B39">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09EA7F45">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基准年基准线/项目情景乘客乘坐交通工具t的平均乘距。</w:t>
            </w:r>
          </w:p>
        </w:tc>
      </w:tr>
      <w:tr w14:paraId="1FD68CB9">
        <w:trPr>
          <w:trHeight w:val="0" w:hRule="atLeast"/>
        </w:trPr>
        <w:tc>
          <w:tcPr>
            <w:tcW w:w="2499" w:type="dxa"/>
            <w:vAlign w:val="center"/>
          </w:tcPr>
          <w:p w14:paraId="483DC24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2BF4EFE4">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eastAsia="宋体" w:cs="Times New Roman"/>
                <w:spacing w:val="-1"/>
                <w:sz w:val="21"/>
                <w:szCs w:val="21"/>
              </w:rPr>
              <w:t>km</w:t>
            </w:r>
          </w:p>
        </w:tc>
      </w:tr>
      <w:tr w14:paraId="72B0F61E">
        <w:trPr>
          <w:trHeight w:val="0" w:hRule="atLeast"/>
        </w:trPr>
        <w:tc>
          <w:tcPr>
            <w:tcW w:w="2499" w:type="dxa"/>
            <w:vAlign w:val="center"/>
          </w:tcPr>
          <w:p w14:paraId="2FA2C493">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2D447522">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取南长山岛东西最宽处、南北最长处的平均值一半</w:t>
            </w:r>
          </w:p>
        </w:tc>
      </w:tr>
      <w:tr w14:paraId="6C0FD37A">
        <w:trPr>
          <w:trHeight w:val="0" w:hRule="atLeast"/>
        </w:trPr>
        <w:tc>
          <w:tcPr>
            <w:tcW w:w="2499" w:type="dxa"/>
            <w:vAlign w:val="center"/>
          </w:tcPr>
          <w:p w14:paraId="4A6D0D2D">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所应用的数据值</w:t>
            </w:r>
          </w:p>
        </w:tc>
        <w:tc>
          <w:tcPr>
            <w:tcW w:w="7095" w:type="dxa"/>
            <w:vAlign w:val="center"/>
          </w:tcPr>
          <w:p w14:paraId="2087CCA6">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2.805</w:t>
            </w:r>
          </w:p>
        </w:tc>
      </w:tr>
      <w:tr w14:paraId="44896AB6">
        <w:trPr>
          <w:trHeight w:val="0" w:hRule="atLeast"/>
        </w:trPr>
        <w:tc>
          <w:tcPr>
            <w:tcW w:w="2499" w:type="dxa"/>
            <w:shd w:val="clear" w:color="auto" w:fill="auto"/>
            <w:vAlign w:val="center"/>
          </w:tcPr>
          <w:p w14:paraId="44F3B0FF">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7095" w:type="dxa"/>
            <w:shd w:val="clear" w:color="auto" w:fill="auto"/>
            <w:vAlign w:val="center"/>
          </w:tcPr>
          <w:p w14:paraId="1AC6B9C0">
            <w:pPr>
              <w:pStyle w:val="21"/>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计算基准线碳排放量</w:t>
            </w:r>
          </w:p>
        </w:tc>
      </w:tr>
    </w:tbl>
    <w:p w14:paraId="45AAB9D3">
      <w:pPr>
        <w:pStyle w:val="3"/>
        <w:spacing w:before="123" w:line="219" w:lineRule="auto"/>
        <w:jc w:val="center"/>
        <w:rPr>
          <w:rFonts w:hint="default" w:ascii="黑体" w:hAnsi="黑体" w:eastAsia="黑体" w:cs="黑体"/>
          <w:spacing w:val="-2"/>
          <w:sz w:val="21"/>
          <w:szCs w:val="21"/>
          <w:lang w:val="en-US" w:eastAsia="en-US"/>
        </w:rPr>
      </w:pPr>
      <w:r>
        <w:rPr>
          <w:rFonts w:hint="default" w:ascii="黑体" w:hAnsi="黑体" w:eastAsia="黑体" w:cs="黑体"/>
          <w:spacing w:val="-2"/>
          <w:sz w:val="21"/>
          <w:szCs w:val="21"/>
        </w:rPr>
        <w:t>表</w:t>
      </w:r>
      <w:r>
        <w:rPr>
          <w:rFonts w:hint="default" w:ascii="黑体" w:hAnsi="黑体" w:eastAsia="黑体" w:cs="黑体"/>
          <w:spacing w:val="-2"/>
          <w:sz w:val="21"/>
          <w:szCs w:val="21"/>
          <w:lang w:val="en-US" w:eastAsia="zh-CN"/>
        </w:rPr>
        <w:t xml:space="preserve"> C.8  </w:t>
      </w:r>
      <w:r>
        <w:rPr>
          <w:rFonts w:hint="default" w:ascii="黑体" w:hAnsi="黑体" w:eastAsia="黑体" w:cs="黑体"/>
          <w:spacing w:val="-2"/>
          <w:sz w:val="21"/>
          <w:szCs w:val="21"/>
          <w:lang w:val="en-US" w:eastAsia="en-US"/>
        </w:rPr>
        <w:t>基准</w:t>
      </w:r>
      <w:r>
        <w:rPr>
          <w:rFonts w:hint="default" w:ascii="黑体" w:hAnsi="黑体" w:eastAsia="黑体" w:cs="黑体"/>
          <w:spacing w:val="-2"/>
          <w:sz w:val="21"/>
          <w:szCs w:val="21"/>
          <w:lang w:val="en-US" w:eastAsia="zh-CN"/>
        </w:rPr>
        <w:t>线情景</w:t>
      </w:r>
      <w:r>
        <w:rPr>
          <w:rFonts w:hint="default" w:ascii="黑体" w:hAnsi="黑体" w:eastAsia="黑体" w:cs="黑体"/>
          <w:spacing w:val="-2"/>
          <w:sz w:val="21"/>
          <w:szCs w:val="21"/>
          <w:lang w:val="en-US" w:eastAsia="en-US"/>
        </w:rPr>
        <w:t>能源</w:t>
      </w:r>
      <w:r>
        <w:rPr>
          <w:rFonts w:hint="default" w:ascii="黑体" w:hAnsi="黑体" w:eastAsia="黑体" w:cs="黑体"/>
          <w:spacing w:val="-2"/>
          <w:sz w:val="21"/>
          <w:szCs w:val="21"/>
          <w:lang w:val="en-US" w:eastAsia="zh-CN"/>
        </w:rPr>
        <w:t>e</w:t>
      </w:r>
      <w:r>
        <w:rPr>
          <w:rFonts w:hint="default" w:ascii="黑体" w:hAnsi="黑体" w:eastAsia="黑体" w:cs="黑体"/>
          <w:spacing w:val="-2"/>
          <w:sz w:val="21"/>
          <w:szCs w:val="21"/>
          <w:lang w:val="en-US" w:eastAsia="en-US"/>
        </w:rPr>
        <w:t>的碳排放因子</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7"/>
        <w:gridCol w:w="2709"/>
        <w:gridCol w:w="3356"/>
        <w:gridCol w:w="2438"/>
      </w:tblGrid>
      <w:tr w14:paraId="46B0BDF8">
        <w:trPr>
          <w:trHeight w:val="0" w:hRule="atLeast"/>
          <w:jc w:val="center"/>
        </w:trPr>
        <w:tc>
          <w:tcPr>
            <w:tcW w:w="662" w:type="pct"/>
            <w:vAlign w:val="center"/>
          </w:tcPr>
          <w:p w14:paraId="773FA38E">
            <w:pPr>
              <w:pStyle w:val="21"/>
              <w:widowControl w:val="0"/>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能源名称</w:t>
            </w:r>
          </w:p>
        </w:tc>
        <w:tc>
          <w:tcPr>
            <w:tcW w:w="1382" w:type="pct"/>
            <w:vAlign w:val="center"/>
          </w:tcPr>
          <w:p w14:paraId="374197E6">
            <w:pPr>
              <w:pStyle w:val="21"/>
              <w:widowControl w:val="0"/>
              <w:bidi w:val="0"/>
              <w:snapToGrid w:val="0"/>
              <w:jc w:val="center"/>
              <w:rPr>
                <w:rFonts w:hint="default" w:ascii="Times New Roman" w:hAnsi="Times New Roman" w:cs="Times New Roman"/>
                <w:lang w:val="en-US" w:eastAsia="zh-CN"/>
              </w:rPr>
            </w:pPr>
            <w:r>
              <w:rPr>
                <w:rFonts w:hint="default" w:ascii="Times New Roman" w:hAnsi="Times New Roman" w:cs="Times New Roman"/>
                <w:lang w:val="en-US" w:eastAsia="zh-CN"/>
              </w:rPr>
              <w:t>低位发热量（Mj/kg）</w:t>
            </w:r>
          </w:p>
        </w:tc>
        <w:tc>
          <w:tcPr>
            <w:tcW w:w="1712" w:type="pct"/>
            <w:vAlign w:val="center"/>
          </w:tcPr>
          <w:p w14:paraId="6479AF8D">
            <w:pPr>
              <w:pStyle w:val="21"/>
              <w:widowControl w:val="0"/>
              <w:bidi w:val="0"/>
              <w:snapToGrid w:val="0"/>
              <w:jc w:val="center"/>
              <w:rPr>
                <w:rFonts w:hint="default" w:ascii="Times New Roman" w:hAnsi="Times New Roman" w:cs="Times New Roman"/>
                <w:lang w:val="en-US" w:eastAsia="zh-CN"/>
              </w:rPr>
            </w:pPr>
            <w:r>
              <w:rPr>
                <w:rFonts w:hint="default" w:ascii="Times New Roman" w:hAnsi="Times New Roman" w:cs="Times New Roman"/>
                <w:lang w:val="en-US" w:eastAsia="zh-CN"/>
              </w:rPr>
              <w:t>单位热值碳含量（kgC/Mj）</w:t>
            </w:r>
          </w:p>
        </w:tc>
        <w:tc>
          <w:tcPr>
            <w:tcW w:w="1242" w:type="pct"/>
            <w:vAlign w:val="center"/>
          </w:tcPr>
          <w:p w14:paraId="79FB995A">
            <w:pPr>
              <w:pStyle w:val="21"/>
              <w:widowControl w:val="0"/>
              <w:bidi w:val="0"/>
              <w:snapToGrid w:val="0"/>
              <w:jc w:val="center"/>
              <w:rPr>
                <w:rFonts w:hint="default" w:ascii="Times New Roman" w:hAnsi="Times New Roman" w:cs="Times New Roman"/>
                <w:lang w:val="en-US" w:eastAsia="zh-CN"/>
              </w:rPr>
            </w:pPr>
            <w:r>
              <w:rPr>
                <w:rFonts w:hint="default" w:ascii="Times New Roman" w:hAnsi="Times New Roman" w:cs="Times New Roman"/>
                <w:lang w:val="en-US" w:eastAsia="zh-CN"/>
              </w:rPr>
              <w:t>碳排放因子</w:t>
            </w:r>
          </w:p>
        </w:tc>
      </w:tr>
      <w:tr w14:paraId="68C51A05">
        <w:trPr>
          <w:trHeight w:val="0" w:hRule="atLeast"/>
          <w:jc w:val="center"/>
        </w:trPr>
        <w:tc>
          <w:tcPr>
            <w:tcW w:w="662" w:type="pct"/>
          </w:tcPr>
          <w:p w14:paraId="1A6ED4A9">
            <w:pPr>
              <w:pStyle w:val="21"/>
              <w:widowControl w:val="0"/>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汽油</w:t>
            </w:r>
          </w:p>
        </w:tc>
        <w:tc>
          <w:tcPr>
            <w:tcW w:w="1382" w:type="pct"/>
            <w:vAlign w:val="center"/>
          </w:tcPr>
          <w:p w14:paraId="64E84867">
            <w:pPr>
              <w:pStyle w:val="21"/>
              <w:widowControl w:val="0"/>
              <w:bidi w:val="0"/>
              <w:snapToGrid w:val="0"/>
              <w:jc w:val="center"/>
              <w:rPr>
                <w:rFonts w:hint="default" w:ascii="Times New Roman" w:hAnsi="Times New Roman" w:cs="Times New Roman"/>
                <w:lang w:val="en-US"/>
              </w:rPr>
            </w:pPr>
            <w:r>
              <w:rPr>
                <w:rFonts w:hint="default" w:ascii="Times New Roman" w:hAnsi="Times New Roman" w:cs="Times New Roman"/>
                <w:lang w:val="en-US" w:eastAsia="zh-CN"/>
              </w:rPr>
              <w:t>43.124</w:t>
            </w:r>
          </w:p>
        </w:tc>
        <w:tc>
          <w:tcPr>
            <w:tcW w:w="1712" w:type="pct"/>
            <w:vAlign w:val="center"/>
          </w:tcPr>
          <w:p w14:paraId="6DC67CF1">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1.89×10</w:t>
            </w:r>
            <w:r>
              <w:rPr>
                <w:rFonts w:hint="default" w:ascii="Times New Roman" w:hAnsi="Times New Roman" w:cs="Times New Roman"/>
                <w:vertAlign w:val="superscript"/>
                <w:lang w:val="en-US" w:eastAsia="zh-CN"/>
              </w:rPr>
              <w:t>-2</w:t>
            </w:r>
          </w:p>
        </w:tc>
        <w:tc>
          <w:tcPr>
            <w:tcW w:w="1242" w:type="pct"/>
            <w:vAlign w:val="center"/>
          </w:tcPr>
          <w:p w14:paraId="2DDAA68C">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2.99kg</w:t>
            </w:r>
            <w:r>
              <w:rPr>
                <w:rFonts w:hint="default" w:ascii="Times New Roman" w:hAnsi="Times New Roman" w:cs="Times New Roman"/>
              </w:rPr>
              <w:t>CO₂</w:t>
            </w:r>
            <w:r>
              <w:rPr>
                <w:rFonts w:hint="default" w:ascii="Times New Roman" w:hAnsi="Times New Roman" w:cs="Times New Roman"/>
                <w:lang w:val="en-US" w:eastAsia="zh-CN"/>
              </w:rPr>
              <w:t>/kg</w:t>
            </w:r>
          </w:p>
        </w:tc>
      </w:tr>
      <w:tr w14:paraId="1D472437">
        <w:trPr>
          <w:trHeight w:val="0" w:hRule="atLeast"/>
          <w:jc w:val="center"/>
        </w:trPr>
        <w:tc>
          <w:tcPr>
            <w:tcW w:w="662" w:type="pct"/>
          </w:tcPr>
          <w:p w14:paraId="2BCC04AF">
            <w:pPr>
              <w:pStyle w:val="21"/>
              <w:widowControl w:val="0"/>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柴油</w:t>
            </w:r>
          </w:p>
        </w:tc>
        <w:tc>
          <w:tcPr>
            <w:tcW w:w="1382" w:type="pct"/>
            <w:vAlign w:val="center"/>
          </w:tcPr>
          <w:p w14:paraId="0F1C0F45">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42.705</w:t>
            </w:r>
          </w:p>
        </w:tc>
        <w:tc>
          <w:tcPr>
            <w:tcW w:w="1712" w:type="pct"/>
            <w:vAlign w:val="center"/>
          </w:tcPr>
          <w:p w14:paraId="7FED195D">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2.02×10</w:t>
            </w:r>
            <w:r>
              <w:rPr>
                <w:rFonts w:hint="default" w:ascii="Times New Roman" w:hAnsi="Times New Roman" w:cs="Times New Roman"/>
                <w:vertAlign w:val="superscript"/>
                <w:lang w:val="en-US" w:eastAsia="zh-CN"/>
              </w:rPr>
              <w:t>-2</w:t>
            </w:r>
          </w:p>
        </w:tc>
        <w:tc>
          <w:tcPr>
            <w:tcW w:w="1242" w:type="pct"/>
            <w:vAlign w:val="center"/>
          </w:tcPr>
          <w:p w14:paraId="69757F7C">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3.16kg</w:t>
            </w:r>
            <w:r>
              <w:rPr>
                <w:rFonts w:hint="default" w:ascii="Times New Roman" w:hAnsi="Times New Roman" w:cs="Times New Roman"/>
              </w:rPr>
              <w:t>CO₂</w:t>
            </w:r>
            <w:r>
              <w:rPr>
                <w:rFonts w:hint="default" w:ascii="Times New Roman" w:hAnsi="Times New Roman" w:cs="Times New Roman"/>
                <w:lang w:val="en-US" w:eastAsia="zh-CN"/>
              </w:rPr>
              <w:t>/kg</w:t>
            </w:r>
          </w:p>
        </w:tc>
      </w:tr>
      <w:tr w14:paraId="5A8DAF5B">
        <w:trPr>
          <w:trHeight w:val="0" w:hRule="atLeast"/>
          <w:jc w:val="center"/>
        </w:trPr>
        <w:tc>
          <w:tcPr>
            <w:tcW w:w="662" w:type="pct"/>
          </w:tcPr>
          <w:p w14:paraId="3EB809F9">
            <w:pPr>
              <w:pStyle w:val="21"/>
              <w:widowControl w:val="0"/>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电力</w:t>
            </w:r>
          </w:p>
        </w:tc>
        <w:tc>
          <w:tcPr>
            <w:tcW w:w="1382" w:type="pct"/>
            <w:vAlign w:val="center"/>
          </w:tcPr>
          <w:p w14:paraId="74B77F71">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w:t>
            </w:r>
          </w:p>
        </w:tc>
        <w:tc>
          <w:tcPr>
            <w:tcW w:w="1712" w:type="pct"/>
            <w:vAlign w:val="center"/>
          </w:tcPr>
          <w:p w14:paraId="1A7FCF45">
            <w:pPr>
              <w:pStyle w:val="21"/>
              <w:widowControl w:val="0"/>
              <w:bidi w:val="0"/>
              <w:snapToGrid w:val="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w:t>
            </w:r>
          </w:p>
        </w:tc>
        <w:tc>
          <w:tcPr>
            <w:tcW w:w="1242" w:type="pct"/>
            <w:vAlign w:val="center"/>
          </w:tcPr>
          <w:p w14:paraId="2D40C25A">
            <w:pPr>
              <w:pStyle w:val="21"/>
              <w:widowControl w:val="0"/>
              <w:bidi w:val="0"/>
              <w:snapToGrid w:val="0"/>
              <w:jc w:val="center"/>
              <w:rPr>
                <w:rFonts w:hint="default" w:ascii="Times New Roman" w:hAnsi="Times New Roman" w:cs="Times New Roman"/>
              </w:rPr>
            </w:pPr>
            <w:r>
              <w:rPr>
                <w:rFonts w:hint="default" w:ascii="Times New Roman" w:hAnsi="Times New Roman" w:cs="Times New Roman"/>
                <w:lang w:val="en-US" w:eastAsia="zh-CN"/>
              </w:rPr>
              <w:t>0.6185kg</w:t>
            </w:r>
            <w:r>
              <w:rPr>
                <w:rFonts w:hint="default" w:ascii="Times New Roman" w:hAnsi="Times New Roman" w:cs="Times New Roman"/>
              </w:rPr>
              <w:t>CO₂</w:t>
            </w:r>
            <w:r>
              <w:rPr>
                <w:rFonts w:hint="default" w:ascii="Times New Roman" w:hAnsi="Times New Roman" w:cs="Times New Roman"/>
                <w:lang w:val="en-US" w:eastAsia="zh-CN"/>
              </w:rPr>
              <w:t>/kWh</w:t>
            </w:r>
          </w:p>
        </w:tc>
      </w:tr>
      <w:tr w14:paraId="35422095">
        <w:trPr>
          <w:trHeight w:val="0" w:hRule="atLeast"/>
          <w:jc w:val="center"/>
        </w:trPr>
        <w:tc>
          <w:tcPr>
            <w:tcW w:w="5000" w:type="pct"/>
            <w:gridSpan w:val="4"/>
          </w:tcPr>
          <w:p w14:paraId="1CA7C1DB">
            <w:pPr>
              <w:pStyle w:val="21"/>
              <w:widowControl w:val="0"/>
              <w:numPr>
                <w:ilvl w:val="0"/>
                <w:numId w:val="1"/>
              </w:numPr>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采用《综合能耗计算通则》</w:t>
            </w:r>
            <w:r>
              <w:rPr>
                <w:rFonts w:hint="eastAsia" w:ascii="Times New Roman" w:hAnsi="Times New Roman" w:cs="Times New Roman"/>
                <w:lang w:val="en-US" w:eastAsia="zh-CN"/>
              </w:rPr>
              <w:t>（</w:t>
            </w:r>
            <w:r>
              <w:rPr>
                <w:rFonts w:hint="default" w:ascii="Times New Roman" w:hAnsi="Times New Roman" w:cs="Times New Roman"/>
                <w:lang w:val="en-US" w:eastAsia="zh-CN"/>
              </w:rPr>
              <w:t>GB/T 2589-2020</w:t>
            </w:r>
            <w:r>
              <w:rPr>
                <w:rFonts w:hint="eastAsia" w:ascii="Times New Roman" w:hAnsi="Times New Roman" w:cs="Times New Roman"/>
                <w:lang w:val="en-US" w:eastAsia="zh-CN"/>
              </w:rPr>
              <w:t>）</w:t>
            </w:r>
            <w:r>
              <w:rPr>
                <w:rFonts w:hint="default" w:ascii="Times New Roman" w:hAnsi="Times New Roman" w:cs="Times New Roman"/>
                <w:lang w:val="en-US" w:eastAsia="zh-CN"/>
              </w:rPr>
              <w:t>附录A中各种能源折标煤参考系数表中的平均低位发热量，以数值区间给出的数据取上限值。</w:t>
            </w:r>
          </w:p>
          <w:p w14:paraId="2C1C1A71">
            <w:pPr>
              <w:pStyle w:val="21"/>
              <w:widowControl w:val="0"/>
              <w:numPr>
                <w:ilvl w:val="0"/>
                <w:numId w:val="1"/>
              </w:numPr>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采用国家发改委2011年5月发布的《省级温室气体清单编制指南（试行）》第一章能源活动表1.7中的单位热值碳含量</w:t>
            </w:r>
            <w:r>
              <w:rPr>
                <w:rFonts w:hint="eastAsia" w:ascii="Times New Roman" w:hAnsi="Times New Roman" w:cs="Times New Roman"/>
                <w:lang w:val="en-US" w:eastAsia="zh-CN"/>
              </w:rPr>
              <w:t>。</w:t>
            </w:r>
          </w:p>
          <w:p w14:paraId="05E7D9BF">
            <w:pPr>
              <w:pStyle w:val="21"/>
              <w:widowControl w:val="0"/>
              <w:numPr>
                <w:ilvl w:val="0"/>
                <w:numId w:val="1"/>
              </w:numPr>
              <w:bidi w:val="0"/>
              <w:snapToGrid w:val="0"/>
              <w:rPr>
                <w:rFonts w:hint="default" w:ascii="Times New Roman" w:hAnsi="Times New Roman" w:cs="Times New Roman"/>
                <w:lang w:val="en-US" w:eastAsia="zh-CN"/>
              </w:rPr>
            </w:pPr>
            <w:r>
              <w:rPr>
                <w:rFonts w:hint="default" w:ascii="Times New Roman" w:hAnsi="Times New Roman" w:cs="Times New Roman"/>
                <w:lang w:val="en-US" w:eastAsia="zh-CN"/>
              </w:rPr>
              <w:t>化石能源排放因子参考值采用</w:t>
            </w:r>
            <w:r>
              <w:rPr>
                <w:rFonts w:hint="eastAsia" w:ascii="Times New Roman" w:hAnsi="Times New Roman" w:cs="Times New Roman"/>
                <w:lang w:val="en-US" w:eastAsia="zh-CN"/>
              </w:rPr>
              <w:t>“</w:t>
            </w:r>
            <w:r>
              <w:rPr>
                <w:rFonts w:hint="default" w:ascii="Times New Roman" w:hAnsi="Times New Roman" w:cs="Times New Roman"/>
                <w:lang w:val="en-US" w:eastAsia="zh-CN"/>
              </w:rPr>
              <w:t>排放因子参考值=单位热值碳含量参考值（kgC/Mj）×44/12×低位发热量（Mj/kg）</w:t>
            </w:r>
            <w:r>
              <w:rPr>
                <w:rFonts w:hint="eastAsia" w:ascii="Times New Roman" w:hAnsi="Times New Roman" w:cs="Times New Roman"/>
                <w:lang w:val="en-US" w:eastAsia="zh-CN"/>
              </w:rPr>
              <w:t>”</w:t>
            </w:r>
            <w:r>
              <w:rPr>
                <w:rFonts w:hint="default" w:ascii="Times New Roman" w:hAnsi="Times New Roman" w:cs="Times New Roman"/>
                <w:lang w:val="en-US" w:eastAsia="zh-CN"/>
              </w:rPr>
              <w:t>计算得出。</w:t>
            </w:r>
          </w:p>
        </w:tc>
      </w:tr>
    </w:tbl>
    <w:p w14:paraId="02C0575B">
      <w:pPr>
        <w:bidi w:val="0"/>
        <w:rPr>
          <w:rFonts w:hint="default" w:ascii="Times New Roman" w:hAnsi="Times New Roman" w:cs="Times New Roman"/>
        </w:rPr>
      </w:pPr>
    </w:p>
    <w:p w14:paraId="49B51998">
      <w:pPr>
        <w:pStyle w:val="3"/>
        <w:spacing w:before="196" w:line="219" w:lineRule="auto"/>
        <w:rPr>
          <w:rFonts w:hint="default" w:ascii="Times New Roman" w:hAnsi="Times New Roman" w:cs="Times New Roman"/>
          <w:spacing w:val="-5"/>
          <w:sz w:val="21"/>
          <w:szCs w:val="21"/>
        </w:rPr>
      </w:pPr>
    </w:p>
    <w:p w14:paraId="52952C50">
      <w:pPr>
        <w:rPr>
          <w:rFonts w:hint="default" w:ascii="Times New Roman" w:hAnsi="Times New Roman" w:eastAsia="Arial" w:cs="Times New Roman"/>
          <w:sz w:val="21"/>
          <w:szCs w:val="21"/>
        </w:rPr>
        <w:sectPr>
          <w:footerReference r:id="rId11" w:type="default"/>
          <w:pgSz w:w="11907" w:h="16839"/>
          <w:pgMar w:top="1716" w:right="1017" w:bottom="1340" w:left="1306" w:header="1391" w:footer="1106" w:gutter="0"/>
          <w:pgNumType w:fmt="decimal"/>
          <w:cols w:space="720" w:num="1"/>
        </w:sectPr>
      </w:pPr>
    </w:p>
    <w:p w14:paraId="743AA3A6">
      <w:pPr>
        <w:pStyle w:val="3"/>
        <w:spacing w:before="269" w:line="220" w:lineRule="auto"/>
        <w:ind w:left="3582"/>
        <w:outlineLvl w:val="0"/>
        <w:rPr>
          <w:rFonts w:hint="eastAsia" w:ascii="黑体" w:hAnsi="黑体" w:eastAsia="黑体" w:cs="黑体"/>
          <w:sz w:val="21"/>
          <w:szCs w:val="21"/>
        </w:rPr>
      </w:pPr>
      <w:bookmarkStart w:id="90" w:name="bookmark11"/>
      <w:bookmarkEnd w:id="90"/>
      <w:bookmarkStart w:id="91" w:name="_Toc21863"/>
      <w:bookmarkStart w:id="92" w:name="_Toc17703"/>
      <w:r>
        <w:rPr>
          <w:rFonts w:hint="eastAsia" w:ascii="黑体" w:hAnsi="黑体" w:eastAsia="黑体" w:cs="黑体"/>
          <w:spacing w:val="-6"/>
          <w:sz w:val="21"/>
          <w:szCs w:val="21"/>
        </w:rPr>
        <w:t>参</w:t>
      </w:r>
      <w:r>
        <w:rPr>
          <w:rFonts w:hint="eastAsia" w:ascii="黑体" w:hAnsi="黑体" w:eastAsia="黑体" w:cs="黑体"/>
          <w:spacing w:val="3"/>
          <w:sz w:val="21"/>
          <w:szCs w:val="21"/>
        </w:rPr>
        <w:t xml:space="preserve">  </w:t>
      </w:r>
      <w:r>
        <w:rPr>
          <w:rFonts w:hint="eastAsia" w:ascii="黑体" w:hAnsi="黑体" w:eastAsia="黑体" w:cs="黑体"/>
          <w:spacing w:val="-6"/>
          <w:sz w:val="21"/>
          <w:szCs w:val="21"/>
        </w:rPr>
        <w:t>考</w:t>
      </w:r>
      <w:r>
        <w:rPr>
          <w:rFonts w:hint="eastAsia" w:ascii="黑体" w:hAnsi="黑体" w:eastAsia="黑体" w:cs="黑体"/>
          <w:spacing w:val="4"/>
          <w:sz w:val="21"/>
          <w:szCs w:val="21"/>
        </w:rPr>
        <w:t xml:space="preserve">  </w:t>
      </w:r>
      <w:r>
        <w:rPr>
          <w:rFonts w:hint="eastAsia" w:ascii="黑体" w:hAnsi="黑体" w:eastAsia="黑体" w:cs="黑体"/>
          <w:spacing w:val="-6"/>
          <w:sz w:val="21"/>
          <w:szCs w:val="21"/>
        </w:rPr>
        <w:t>文</w:t>
      </w:r>
      <w:r>
        <w:rPr>
          <w:rFonts w:hint="eastAsia" w:ascii="黑体" w:hAnsi="黑体" w:eastAsia="黑体" w:cs="黑体"/>
          <w:spacing w:val="5"/>
          <w:sz w:val="21"/>
          <w:szCs w:val="21"/>
        </w:rPr>
        <w:t xml:space="preserve">  </w:t>
      </w:r>
      <w:r>
        <w:rPr>
          <w:rFonts w:hint="eastAsia" w:ascii="黑体" w:hAnsi="黑体" w:eastAsia="黑体" w:cs="黑体"/>
          <w:spacing w:val="-6"/>
          <w:sz w:val="21"/>
          <w:szCs w:val="21"/>
        </w:rPr>
        <w:t>献</w:t>
      </w:r>
      <w:bookmarkEnd w:id="91"/>
      <w:bookmarkEnd w:id="92"/>
    </w:p>
    <w:p w14:paraId="31DE251E">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基于项目的温室气体减排量评估技术规范 通用要求</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GB/T 33760</w:t>
      </w:r>
      <w:r>
        <w:rPr>
          <w:rFonts w:hint="eastAsia" w:ascii="Times New Roman" w:hAnsi="Times New Roman" w:eastAsia="宋体" w:cs="Times New Roman"/>
          <w:lang w:val="en-US" w:eastAsia="zh-CN"/>
        </w:rPr>
        <w:t>-2017）</w:t>
      </w:r>
    </w:p>
    <w:p w14:paraId="6CCBB36A">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lang w:val="en-US" w:eastAsia="zh-CN"/>
        </w:rPr>
      </w:pPr>
      <w:r>
        <w:rPr>
          <w:rFonts w:hint="eastAsia" w:cs="Times New Roman"/>
          <w:lang w:val="en-US" w:eastAsia="zh-CN"/>
        </w:rPr>
        <w:t>《</w:t>
      </w:r>
      <w:r>
        <w:rPr>
          <w:rFonts w:hint="default" w:ascii="Times New Roman" w:hAnsi="Times New Roman" w:cs="Times New Roman"/>
          <w:lang w:val="en-US" w:eastAsia="zh-CN"/>
        </w:rPr>
        <w:t>温室气体第一部分 组织层次上对温室气体排放和清除的量化和报告的规范及指南</w:t>
      </w:r>
      <w:r>
        <w:rPr>
          <w:rFonts w:hint="eastAsia" w:cs="Times New Roman"/>
          <w:lang w:val="en-US" w:eastAsia="zh-CN"/>
        </w:rPr>
        <w:t>》（</w:t>
      </w:r>
      <w:r>
        <w:rPr>
          <w:rFonts w:hint="default" w:ascii="Times New Roman" w:hAnsi="Times New Roman" w:cs="Times New Roman"/>
          <w:lang w:val="en-US" w:eastAsia="zh-CN"/>
        </w:rPr>
        <w:t>ISO 14064-1</w:t>
      </w:r>
      <w:r>
        <w:rPr>
          <w:rFonts w:hint="eastAsia" w:cs="Times New Roman"/>
          <w:lang w:val="en-US" w:eastAsia="zh-CN"/>
        </w:rPr>
        <w:t>-</w:t>
      </w:r>
      <w:r>
        <w:rPr>
          <w:rFonts w:hint="default" w:ascii="Times New Roman" w:hAnsi="Times New Roman" w:cs="Times New Roman"/>
          <w:lang w:val="en-US" w:eastAsia="zh-CN"/>
        </w:rPr>
        <w:t>2018</w:t>
      </w:r>
      <w:r>
        <w:rPr>
          <w:rFonts w:hint="eastAsia" w:cs="Times New Roman"/>
          <w:lang w:val="en-US" w:eastAsia="zh-CN"/>
        </w:rPr>
        <w:t>）</w:t>
      </w:r>
    </w:p>
    <w:p w14:paraId="5CDAD7CF">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lang w:val="en-US" w:eastAsia="zh-CN"/>
        </w:rPr>
      </w:pPr>
      <w:r>
        <w:rPr>
          <w:rFonts w:hint="eastAsia" w:cs="Times New Roman"/>
          <w:lang w:val="en-US" w:eastAsia="zh-CN"/>
        </w:rPr>
        <w:t>《</w:t>
      </w:r>
      <w:r>
        <w:rPr>
          <w:rFonts w:hint="default" w:ascii="Times New Roman" w:hAnsi="Times New Roman" w:cs="Times New Roman"/>
          <w:lang w:val="en-US" w:eastAsia="zh-CN"/>
        </w:rPr>
        <w:t>温室气体第二部分 项目层次上对温室气体减排和清除增加的量化、监测和报告的规范及指南</w:t>
      </w:r>
      <w:r>
        <w:rPr>
          <w:rFonts w:hint="eastAsia" w:cs="Times New Roman"/>
          <w:lang w:val="en-US" w:eastAsia="zh-CN"/>
        </w:rPr>
        <w:t>》（</w:t>
      </w:r>
      <w:r>
        <w:rPr>
          <w:rFonts w:hint="default" w:ascii="Times New Roman" w:hAnsi="Times New Roman" w:cs="Times New Roman"/>
          <w:lang w:val="en-US" w:eastAsia="zh-CN"/>
        </w:rPr>
        <w:t>ISO 14064-2</w:t>
      </w:r>
      <w:r>
        <w:rPr>
          <w:rFonts w:hint="eastAsia" w:cs="Times New Roman"/>
          <w:lang w:val="en-US" w:eastAsia="zh-CN"/>
        </w:rPr>
        <w:t>-</w:t>
      </w:r>
      <w:r>
        <w:rPr>
          <w:rFonts w:hint="default" w:ascii="Times New Roman" w:hAnsi="Times New Roman" w:cs="Times New Roman"/>
          <w:lang w:val="en-US" w:eastAsia="zh-CN"/>
        </w:rPr>
        <w:t>2019</w:t>
      </w:r>
      <w:r>
        <w:rPr>
          <w:rFonts w:hint="eastAsia" w:cs="Times New Roman"/>
          <w:lang w:val="en-US" w:eastAsia="zh-CN"/>
        </w:rPr>
        <w:t>）</w:t>
      </w:r>
    </w:p>
    <w:p w14:paraId="1ED1B250">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乘用车燃料消耗量限值</w:t>
      </w:r>
      <w:r>
        <w:rPr>
          <w:rFonts w:hint="eastAsia" w:ascii="Times New Roman" w:hAnsi="Times New Roman" w:eastAsia="宋体" w:cs="Times New Roman"/>
          <w:lang w:val="en-US" w:eastAsia="zh-CN"/>
        </w:rPr>
        <w:t>》（GB 19578-2024）</w:t>
      </w:r>
    </w:p>
    <w:p w14:paraId="0CE9CED6">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轻型商用车辆燃料消耗量限值及评价指标</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GB 20997-2024</w:t>
      </w:r>
      <w:r>
        <w:rPr>
          <w:rFonts w:hint="eastAsia" w:ascii="Times New Roman" w:hAnsi="Times New Roman" w:eastAsia="宋体" w:cs="Times New Roman"/>
          <w:lang w:val="en-US" w:eastAsia="zh-CN"/>
        </w:rPr>
        <w:t>）</w:t>
      </w:r>
    </w:p>
    <w:p w14:paraId="0C68E7A2">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《重型商用车辆燃料消耗量限值》（GB 30510-2024）</w:t>
      </w:r>
    </w:p>
    <w:p w14:paraId="43B04C2B">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《天然气营运客车燃料消耗量限值及测量方法》（JT/T 1444-2022）</w:t>
      </w:r>
    </w:p>
    <w:p w14:paraId="4B3E7242">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《山东省电动汽车充电基础设施发展白皮书》</w:t>
      </w:r>
    </w:p>
    <w:p w14:paraId="43CACF44">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《私人小客车合乘出行项目温室气体减排量评估技术规范》</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T/CCAA 38-2021</w:t>
      </w:r>
      <w:r>
        <w:rPr>
          <w:rFonts w:hint="eastAsia" w:ascii="Times New Roman" w:hAnsi="Times New Roman" w:eastAsia="宋体" w:cs="Times New Roman"/>
          <w:lang w:val="en-US" w:eastAsia="zh-CN"/>
        </w:rPr>
        <w:t>）</w:t>
      </w:r>
    </w:p>
    <w:p w14:paraId="59C712A9">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快速公交项目</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（CM-028-V01）</w:t>
      </w:r>
    </w:p>
    <w:p w14:paraId="250BBCEC">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快速公交系统</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（CM-032-V01）</w:t>
      </w:r>
    </w:p>
    <w:p w14:paraId="02CB7F5A">
      <w:pPr>
        <w:keepNext w:val="0"/>
        <w:keepLines w:val="0"/>
        <w:pageBreakBefore w:val="0"/>
        <w:widowControl/>
        <w:numPr>
          <w:ilvl w:val="0"/>
          <w:numId w:val="2"/>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公共自行车项目方法学</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（CM-105-V01）</w:t>
      </w:r>
    </w:p>
    <w:sectPr>
      <w:footerReference r:id="rId12" w:type="default"/>
      <w:pgSz w:w="11907" w:h="16839"/>
      <w:pgMar w:top="1716" w:right="1130" w:bottom="1340" w:left="1785" w:header="1391" w:footer="1106" w:gutter="0"/>
      <w:pgNumType w:fmt="decimal"/>
      <w:cols w:space="720" w:num="1"/>
    </w:sectPr>
  </w:body>
</w:document>
</file>

<file path=word/customizations.xml><?xml version="1.0" encoding="utf-8"?>
<wne:tcg xmlns:r="http://schemas.openxmlformats.org/officeDocument/2006/relationships" xmlns:wne="http://schemas.microsoft.com/office/word/2006/wordml">
  <wne:keymaps>
    <wne:keymap wne:kcmPrimary="0331">
      <wne:acd wne:acdName="acd0"/>
    </wne:keymap>
    <wne:keymap wne:kcmPrimary="03DE">
      <wne:acd wne:acdName="acd1"/>
    </wne:keymap>
    <wne:keymap wne:kcmPrimary="0332">
      <wne:acd wne:acdName="acd2"/>
    </wne:keymap>
    <wne:keymap wne:kcmPrimary="0333">
      <wne:acd wne:acdName="acd3"/>
    </wne:keymap>
    <wne:keymap wne:kcmPrimary="0334">
      <wne:acd wne:acdName="acd4"/>
    </wne:keymap>
  </wne:keymaps>
  <wne:acds>
    <wne:acd wne:argValue="AQAAAAEA" wne:acdName="acd0" wne:fciIndexBasedOn="0065"/>
    <wne:acd wne:argValue="AQAAAEIA" wne:acdName="acd1" wne:fciIndexBasedOn="0065"/>
    <wne:acd wne:argValue="AQAAAAIA" wne:acdName="acd2" wne:fciIndexBasedOn="0065"/>
    <wne:acd wne:argValue="AQAAAAMA" wne:acdName="acd3" wne:fciIndexBasedOn="0065"/>
    <wne:acd wne:argValue="AQAAAAQA" wne:acdName="acd4"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01"/>
    <w:family w:val="auto"/>
    <w:pitch w:val="default"/>
    <w:sig w:usb0="E0000AFF" w:usb1="00007843" w:usb2="00000001" w:usb3="00000000" w:csb0="400001BF" w:csb1="DFF70000"/>
  </w:font>
  <w:font w:name="宋体">
    <w:altName w:val="汉仪书宋二KW"/>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楷体_GB2312">
    <w:altName w:val="汉仪楷体简"/>
    <w:panose1 w:val="02010609030101010101"/>
    <w:charset w:val="86"/>
    <w:family w:val="modern"/>
    <w:pitch w:val="default"/>
    <w:sig w:usb0="00000000" w:usb1="00000000" w:usb2="00000000" w:usb3="00000000" w:csb0="00040000" w:csb1="00000000"/>
  </w:font>
  <w:font w:name="汉仪楷体简">
    <w:panose1 w:val="02010600000101010101"/>
    <w:charset w:val="86"/>
    <w:family w:val="auto"/>
    <w:pitch w:val="default"/>
    <w:sig w:usb0="00000001" w:usb1="080E0800" w:usb2="00000002" w:usb3="00000000" w:csb0="00040000" w:csb1="00000000"/>
  </w:font>
  <w:font w:name="Cambria Math">
    <w:altName w:val="Kingsoft Math"/>
    <w:panose1 w:val="02040503050406030204"/>
    <w:charset w:val="00"/>
    <w:family w:val="auto"/>
    <w:pitch w:val="default"/>
    <w:sig w:usb0="00000000" w:usb1="00000000" w:usb2="02000000" w:usb3="00000000" w:csb0="2000019F" w:csb1="00000000"/>
  </w:font>
  <w:font w:name="Kingsoft Math">
    <w:panose1 w:val="02040503050406030204"/>
    <w:charset w:val="00"/>
    <w:family w:val="auto"/>
    <w:pitch w:val="default"/>
    <w:sig w:usb0="80000087" w:usb1="00002068" w:usb2="00000000" w:usb3="00000000" w:csb0="2000019F" w:csb1="00000000"/>
  </w:font>
  <w:font w:name="Helvetica Neue">
    <w:panose1 w:val="02000503000000020004"/>
    <w:charset w:val="00"/>
    <w:family w:val="auto"/>
    <w:pitch w:val="default"/>
    <w:sig w:usb0="E50002FF" w:usb1="500079DB" w:usb2="00000010" w:usb3="00000000" w:csb0="00000000" w:csb1="00000000"/>
  </w:font>
  <w:font w:name="pingfang sc">
    <w:panose1 w:val="020B0400000000000000"/>
    <w:charset w:val="86"/>
    <w:family w:val="auto"/>
    <w:pitch w:val="default"/>
    <w:sig w:usb0="A00002FF" w:usb1="7ACFFDFB" w:usb2="00000017" w:usb3="00000000" w:csb0="00040001" w:csb1="00000000"/>
  </w:font>
  <w:font w:name="MS Mincho">
    <w:altName w:val="Hiragino Sans"/>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儷宋 Pro">
    <w:panose1 w:val="02020300000000000000"/>
    <w:charset w:val="88"/>
    <w:family w:val="auto"/>
    <w:pitch w:val="default"/>
    <w:sig w:usb0="80000001" w:usb1="28091800" w:usb2="00000016" w:usb3="00000000" w:csb0="00100000" w:csb1="00000000"/>
  </w:font>
  <w:font w:name="宋体-简">
    <w:panose1 w:val="02010800040101010101"/>
    <w:charset w:val="86"/>
    <w:family w:val="auto"/>
    <w:pitch w:val="default"/>
    <w:sig w:usb0="00000001" w:usb1="080F0000" w:usb2="00000000" w:usb3="00000000" w:csb0="00040000" w:csb1="00000000"/>
  </w:font>
  <w:font w:name="冬青黑体简体中文">
    <w:panose1 w:val="020B0300000000000000"/>
    <w:charset w:val="86"/>
    <w:family w:val="auto"/>
    <w:pitch w:val="default"/>
    <w:sig w:usb0="A00002BF" w:usb1="1ACF7CFA" w:usb2="00000016" w:usb3="00000000" w:csb0="00060007" w:csb1="00000000"/>
  </w:font>
  <w:font w:name="DejaVu Math TeX Gyre">
    <w:panose1 w:val="02000503000000000000"/>
    <w:charset w:val="00"/>
    <w:family w:val="auto"/>
    <w:pitch w:val="default"/>
    <w:sig w:usb0="A10000EF" w:usb1="4201F9EE" w:usb2="02000000" w:usb3="00000000" w:csb0="60000193" w:csb1="0DD4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7448"/>
    </w:sdtPr>
    <w:sdtContent>
      <w:p w14:paraId="5A8DE3EB">
        <w:pPr>
          <w:pStyle w:val="10"/>
          <w:spacing w:before="120" w:after="120"/>
        </w:pPr>
        <w:r>
          <w:fldChar w:fldCharType="begin"/>
        </w:r>
        <w:r>
          <w:instrText xml:space="preserve">PAGE   \* MERGEFORMAT</w:instrText>
        </w:r>
        <w:r>
          <w:fldChar w:fldCharType="separate"/>
        </w:r>
        <w:r>
          <w:rPr>
            <w:lang w:val="zh-CN"/>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0D585">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B0711">
    <w:pPr>
      <w:spacing w:line="229" w:lineRule="auto"/>
      <w:ind w:left="9040"/>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10957E">
                          <w:pPr>
                            <w:pStyle w:val="10"/>
                          </w:pPr>
                          <w:r>
                            <w:fldChar w:fldCharType="begin"/>
                          </w:r>
                          <w:r>
                            <w:instrText xml:space="preserve"> PAGE  \* MERGEFORMAT </w:instrText>
                          </w:r>
                          <w:r>
                            <w:fldChar w:fldCharType="separate"/>
                          </w:r>
                          <w:r>
                            <w:t>IV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210957E">
                    <w:pPr>
                      <w:pStyle w:val="10"/>
                    </w:pPr>
                    <w:r>
                      <w:fldChar w:fldCharType="begin"/>
                    </w:r>
                    <w:r>
                      <w:instrText xml:space="preserve"> PAGE  \* MERGEFORMAT </w:instrText>
                    </w:r>
                    <w:r>
                      <w:fldChar w:fldCharType="separate"/>
                    </w:r>
                    <w:r>
                      <w:t>IV</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71FAC">
    <w:pPr>
      <w:spacing w:line="229" w:lineRule="auto"/>
      <w:ind w:left="9045"/>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1DEF32">
                          <w:pPr>
                            <w:pStyle w:val="10"/>
                          </w:pPr>
                          <w:r>
                            <w:fldChar w:fldCharType="begin"/>
                          </w:r>
                          <w:r>
                            <w:instrText xml:space="preserve"> PAGE  \* MERGEFORMAT </w:instrText>
                          </w:r>
                          <w:r>
                            <w:fldChar w:fldCharType="separate"/>
                          </w:r>
                          <w:r>
                            <w:t>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71DEF32">
                    <w:pPr>
                      <w:pStyle w:val="10"/>
                    </w:pPr>
                    <w:r>
                      <w:fldChar w:fldCharType="begin"/>
                    </w:r>
                    <w:r>
                      <w:instrText xml:space="preserve"> PAGE  \* MERGEFORMAT </w:instrText>
                    </w:r>
                    <w:r>
                      <w:fldChar w:fldCharType="separate"/>
                    </w:r>
                    <w:r>
                      <w:t>V</w:t>
                    </w:r>
                    <w:r>
                      <w:fldChar w:fldCharType="end"/>
                    </w:r>
                  </w:p>
                </w:txbxContent>
              </v:textbox>
            </v:shape>
          </w:pict>
        </mc:Fallback>
      </mc:AlternateContent>
    </w:r>
    <w:r>
      <w:rPr>
        <w:rFonts w:ascii="宋体" w:hAnsi="宋体" w:eastAsia="宋体" w:cs="宋体"/>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1B0FA">
    <w:pPr>
      <w:spacing w:line="229" w:lineRule="auto"/>
      <w:ind w:left="9161"/>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B6890E">
                          <w:pPr>
                            <w:pStyle w:val="10"/>
                          </w:pPr>
                          <w:r>
                            <w:fldChar w:fldCharType="begin"/>
                          </w:r>
                          <w:r>
                            <w:instrText xml:space="preserve"> PAGE  \* MERGEFORMAT </w:instrText>
                          </w:r>
                          <w:r>
                            <w:fldChar w:fldCharType="separate"/>
                          </w:r>
                          <w:r>
                            <w:t>VII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17B6890E">
                    <w:pPr>
                      <w:pStyle w:val="10"/>
                    </w:pPr>
                    <w:r>
                      <w:fldChar w:fldCharType="begin"/>
                    </w:r>
                    <w:r>
                      <w:instrText xml:space="preserve"> PAGE  \* MERGEFORMAT </w:instrText>
                    </w:r>
                    <w:r>
                      <w:fldChar w:fldCharType="separate"/>
                    </w:r>
                    <w:r>
                      <w:t>VII</w:t>
                    </w:r>
                    <w:r>
                      <w:fldChar w:fldCharType="end"/>
                    </w:r>
                  </w:p>
                </w:txbxContent>
              </v:textbox>
            </v:shape>
          </w:pict>
        </mc:Fallback>
      </mc:AlternateContent>
    </w:r>
    <w:r>
      <w:rPr>
        <w:rFonts w:ascii="宋体" w:hAnsi="宋体" w:eastAsia="宋体" w:cs="宋体"/>
        <w:sz w:val="18"/>
        <w:szCs w:val="18"/>
      </w:rPr>
      <w:t>7</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C8D88">
    <w:pPr>
      <w:spacing w:line="229" w:lineRule="auto"/>
      <w:ind w:left="8678"/>
      <w:rPr>
        <w:rFonts w:ascii="宋体" w:hAnsi="宋体" w:eastAsia="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E82816">
                          <w:pPr>
                            <w:pStyle w:val="10"/>
                          </w:pPr>
                          <w:r>
                            <w:fldChar w:fldCharType="begin"/>
                          </w:r>
                          <w:r>
                            <w:instrText xml:space="preserve"> PAGE  \* MERGEFORMAT </w:instrText>
                          </w:r>
                          <w:r>
                            <w:fldChar w:fldCharType="separate"/>
                          </w:r>
                          <w:r>
                            <w:t>X</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4DE82816">
                    <w:pPr>
                      <w:pStyle w:val="10"/>
                    </w:pPr>
                    <w:r>
                      <w:fldChar w:fldCharType="begin"/>
                    </w:r>
                    <w:r>
                      <w:instrText xml:space="preserve"> PAGE  \* MERGEFORMAT </w:instrText>
                    </w:r>
                    <w:r>
                      <w:fldChar w:fldCharType="separate"/>
                    </w:r>
                    <w:r>
                      <w:t>X</w:t>
                    </w:r>
                    <w:r>
                      <w:fldChar w:fldCharType="end"/>
                    </w:r>
                  </w:p>
                </w:txbxContent>
              </v:textbox>
            </v:shape>
          </w:pict>
        </mc:Fallback>
      </mc:AlternateContent>
    </w:r>
    <w:r>
      <w:rPr>
        <w:rFonts w:ascii="宋体" w:hAnsi="宋体" w:eastAsia="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AB3AA">
    <w:pPr>
      <w:pStyle w:val="11"/>
      <w:pBdr>
        <w:bottom w:val="none" w:color="auto" w:sz="0" w:space="0"/>
      </w:pBdr>
      <w:spacing w:after="220"/>
      <w:jc w:val="left"/>
      <w:rPr>
        <w:rFonts w:hint="eastAsia"/>
        <w:sz w:val="21"/>
        <w:szCs w:val="21"/>
      </w:rPr>
    </w:pPr>
    <w:bookmarkStart w:id="93" w:name="OLE_LINK4"/>
    <w:r>
      <w:rPr>
        <w:rFonts w:hint="eastAsia"/>
        <w:sz w:val="21"/>
        <w:szCs w:val="21"/>
      </w:rPr>
      <w:t>T/</w:t>
    </w:r>
    <w:r>
      <w:rPr>
        <w:sz w:val="21"/>
        <w:szCs w:val="21"/>
      </w:rPr>
      <w:t>SZDT</w:t>
    </w:r>
    <w:r>
      <w:rPr>
        <w:rFonts w:hint="eastAsia"/>
        <w:sz w:val="21"/>
        <w:szCs w:val="21"/>
      </w:rPr>
      <w:t xml:space="preserve"> 0XX</w:t>
    </w:r>
    <w:r>
      <w:rPr>
        <w:sz w:val="21"/>
        <w:szCs w:val="21"/>
      </w:rPr>
      <w:t>—20</w:t>
    </w:r>
    <w:r>
      <w:rPr>
        <w:rFonts w:hint="eastAsia"/>
        <w:sz w:val="21"/>
        <w:szCs w:val="21"/>
      </w:rPr>
      <w:t>23</w:t>
    </w:r>
    <w:bookmarkEnd w:id="93"/>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7AA9D">
    <w:pPr>
      <w:pStyle w:val="3"/>
      <w:spacing w:before="56" w:line="227" w:lineRule="auto"/>
      <w:jc w:val="right"/>
      <w:rPr>
        <w:rFonts w:hint="default" w:eastAsia="黑体"/>
        <w:sz w:val="21"/>
        <w:szCs w:val="21"/>
        <w:lang w:val="en-US" w:eastAsia="zh-CN"/>
      </w:rPr>
    </w:pPr>
    <w:r>
      <w:rPr>
        <w:rFonts w:hint="eastAsia" w:cs="Times New Roman"/>
        <w:spacing w:val="-1"/>
        <w:szCs w:val="21"/>
        <w:lang w:val="en-US" w:eastAsia="zh-CN"/>
      </w:rPr>
      <w:t>T/XX</w:t>
    </w:r>
    <w:r>
      <w:rPr>
        <w:spacing w:val="-1"/>
        <w:sz w:val="21"/>
        <w:szCs w:val="21"/>
      </w:rPr>
      <w:t xml:space="preserve"> </w:t>
    </w:r>
    <w:r>
      <w:rPr>
        <w:rFonts w:hint="eastAsia"/>
        <w:spacing w:val="-1"/>
        <w:sz w:val="21"/>
        <w:szCs w:val="21"/>
        <w:lang w:val="en-US" w:eastAsia="zh-CN"/>
      </w:rPr>
      <w:t>XXXX</w:t>
    </w:r>
    <w:r>
      <w:rPr>
        <w:rFonts w:ascii="宋体" w:hAnsi="宋体" w:eastAsia="宋体" w:cs="宋体"/>
        <w:spacing w:val="-1"/>
        <w:sz w:val="21"/>
        <w:szCs w:val="21"/>
      </w:rPr>
      <w:t>—</w:t>
    </w:r>
    <w:r>
      <w:rPr>
        <w:rFonts w:hint="eastAsia"/>
        <w:spacing w:val="-1"/>
        <w:sz w:val="21"/>
        <w:szCs w:val="21"/>
        <w:lang w:val="en-US" w:eastAsia="zh-CN"/>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6B501D"/>
    <w:multiLevelType w:val="singleLevel"/>
    <w:tmpl w:val="CE6B501D"/>
    <w:lvl w:ilvl="0" w:tentative="0">
      <w:start w:val="1"/>
      <w:numFmt w:val="decimal"/>
      <w:lvlText w:val="[%1]"/>
      <w:lvlJc w:val="left"/>
      <w:pPr>
        <w:tabs>
          <w:tab w:val="left" w:pos="420"/>
        </w:tabs>
        <w:ind w:left="425" w:leftChars="0" w:hanging="425" w:firstLineChars="0"/>
      </w:pPr>
      <w:rPr>
        <w:rFonts w:hint="default"/>
      </w:rPr>
    </w:lvl>
  </w:abstractNum>
  <w:abstractNum w:abstractNumId="1">
    <w:nsid w:val="7CE543C5"/>
    <w:multiLevelType w:val="singleLevel"/>
    <w:tmpl w:val="7CE543C5"/>
    <w:lvl w:ilvl="0" w:tentative="0">
      <w:start w:val="1"/>
      <w:numFmt w:val="lowerLetter"/>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5"/>
  <w:displayBackgroundShape w:val="1"/>
  <w:bordersDoNotSurroundHeader w:val="0"/>
  <w:bordersDoNotSurroundFooter w:val="0"/>
  <w:trackRevisions w:val="1"/>
  <w:documentProtection w:enforcement="0"/>
  <w:defaultTabStop w:val="497"/>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3316CFC"/>
    <w:rsid w:val="0495080F"/>
    <w:rsid w:val="05647FB4"/>
    <w:rsid w:val="06550A7B"/>
    <w:rsid w:val="08021D32"/>
    <w:rsid w:val="08935117"/>
    <w:rsid w:val="09183DE0"/>
    <w:rsid w:val="09CC6DF4"/>
    <w:rsid w:val="0CE95452"/>
    <w:rsid w:val="0DA43A26"/>
    <w:rsid w:val="0E7844A6"/>
    <w:rsid w:val="0E820056"/>
    <w:rsid w:val="0F00735D"/>
    <w:rsid w:val="0FD3536D"/>
    <w:rsid w:val="107362F3"/>
    <w:rsid w:val="12F333D6"/>
    <w:rsid w:val="13946013"/>
    <w:rsid w:val="15CB47D5"/>
    <w:rsid w:val="18714296"/>
    <w:rsid w:val="1954064E"/>
    <w:rsid w:val="19877546"/>
    <w:rsid w:val="1AEF2C5C"/>
    <w:rsid w:val="1C5841A4"/>
    <w:rsid w:val="1C854AF3"/>
    <w:rsid w:val="1D3A6B28"/>
    <w:rsid w:val="1D504CD3"/>
    <w:rsid w:val="1F2202C9"/>
    <w:rsid w:val="20B20681"/>
    <w:rsid w:val="22C43A4F"/>
    <w:rsid w:val="23CC3EBA"/>
    <w:rsid w:val="23FE1AD5"/>
    <w:rsid w:val="24720F65"/>
    <w:rsid w:val="24DD4064"/>
    <w:rsid w:val="256242E5"/>
    <w:rsid w:val="26244021"/>
    <w:rsid w:val="275474D3"/>
    <w:rsid w:val="278E0E5A"/>
    <w:rsid w:val="279B763B"/>
    <w:rsid w:val="27DD7C53"/>
    <w:rsid w:val="2B575946"/>
    <w:rsid w:val="2BC82905"/>
    <w:rsid w:val="2F4823BA"/>
    <w:rsid w:val="2F754C15"/>
    <w:rsid w:val="307C2D09"/>
    <w:rsid w:val="32C4427D"/>
    <w:rsid w:val="32D11119"/>
    <w:rsid w:val="332C1A8F"/>
    <w:rsid w:val="350A405D"/>
    <w:rsid w:val="35523A2F"/>
    <w:rsid w:val="35DD5D68"/>
    <w:rsid w:val="378120E7"/>
    <w:rsid w:val="3A012EDA"/>
    <w:rsid w:val="3BFEE6AC"/>
    <w:rsid w:val="3D692A64"/>
    <w:rsid w:val="3D6D61DD"/>
    <w:rsid w:val="3DF94651"/>
    <w:rsid w:val="416777C1"/>
    <w:rsid w:val="42E3660E"/>
    <w:rsid w:val="43776A36"/>
    <w:rsid w:val="45094AC2"/>
    <w:rsid w:val="45807845"/>
    <w:rsid w:val="45BB49F3"/>
    <w:rsid w:val="465670F7"/>
    <w:rsid w:val="471D4075"/>
    <w:rsid w:val="491D736E"/>
    <w:rsid w:val="4A3B288C"/>
    <w:rsid w:val="4A8D73CD"/>
    <w:rsid w:val="4AC825B7"/>
    <w:rsid w:val="4AD8632C"/>
    <w:rsid w:val="4B0A3AC5"/>
    <w:rsid w:val="4C4C4FC7"/>
    <w:rsid w:val="4CAA5552"/>
    <w:rsid w:val="4CD9120F"/>
    <w:rsid w:val="4DC05DDE"/>
    <w:rsid w:val="4E6A2684"/>
    <w:rsid w:val="4F7A7920"/>
    <w:rsid w:val="4FA36B36"/>
    <w:rsid w:val="51505F79"/>
    <w:rsid w:val="519D207E"/>
    <w:rsid w:val="52AC6C2E"/>
    <w:rsid w:val="53D55E53"/>
    <w:rsid w:val="56634EB1"/>
    <w:rsid w:val="567C675D"/>
    <w:rsid w:val="571E4BDE"/>
    <w:rsid w:val="57773612"/>
    <w:rsid w:val="58304026"/>
    <w:rsid w:val="585F1A3F"/>
    <w:rsid w:val="5A4B5FD8"/>
    <w:rsid w:val="5A887DB8"/>
    <w:rsid w:val="5AA52994"/>
    <w:rsid w:val="5B2C5D4C"/>
    <w:rsid w:val="5B4A6DD2"/>
    <w:rsid w:val="5B5B0AB5"/>
    <w:rsid w:val="5F3672DF"/>
    <w:rsid w:val="60AC03DE"/>
    <w:rsid w:val="60BB7E2A"/>
    <w:rsid w:val="60C44C2F"/>
    <w:rsid w:val="616E30EF"/>
    <w:rsid w:val="61775B01"/>
    <w:rsid w:val="631F248C"/>
    <w:rsid w:val="63FC7D55"/>
    <w:rsid w:val="64C40924"/>
    <w:rsid w:val="671D7666"/>
    <w:rsid w:val="67340B4A"/>
    <w:rsid w:val="69001AFC"/>
    <w:rsid w:val="6972795D"/>
    <w:rsid w:val="69FE45A9"/>
    <w:rsid w:val="6ACA583A"/>
    <w:rsid w:val="6B014F8E"/>
    <w:rsid w:val="71E00E99"/>
    <w:rsid w:val="763D406E"/>
    <w:rsid w:val="76F5284E"/>
    <w:rsid w:val="77613082"/>
    <w:rsid w:val="777ED932"/>
    <w:rsid w:val="7EEF19BB"/>
    <w:rsid w:val="AFBEF52A"/>
    <w:rsid w:val="DF1256E5"/>
    <w:rsid w:val="E39DEADB"/>
    <w:rsid w:val="EFF62E4C"/>
    <w:rsid w:val="F7DE5319"/>
    <w:rsid w:val="FBF91021"/>
    <w:rsid w:val="FF7F3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next w:val="3"/>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line="360" w:lineRule="auto"/>
      <w:textAlignment w:val="auto"/>
      <w:outlineLvl w:val="0"/>
    </w:pPr>
    <w:rPr>
      <w:rFonts w:ascii="黑体" w:hAnsi="黑体" w:eastAsia="黑体" w:cs="黑体"/>
      <w:spacing w:val="-8"/>
      <w:sz w:val="21"/>
      <w:szCs w:val="21"/>
    </w:rPr>
  </w:style>
  <w:style w:type="paragraph" w:styleId="4">
    <w:name w:val="heading 2"/>
    <w:next w:val="3"/>
    <w:unhideWhenUsed/>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ind w:firstLine="400" w:firstLineChars="200"/>
      <w:textAlignment w:val="auto"/>
      <w:outlineLvl w:val="1"/>
    </w:pPr>
    <w:rPr>
      <w:rFonts w:ascii="Times New Roman" w:hAnsi="Times New Roman" w:eastAsia="黑体" w:cs="黑体"/>
    </w:rPr>
  </w:style>
  <w:style w:type="paragraph" w:styleId="5">
    <w:name w:val="heading 3"/>
    <w:next w:val="1"/>
    <w:unhideWhenUsed/>
    <w:qFormat/>
    <w:uiPriority w:val="0"/>
    <w:pPr>
      <w:keepNext w:val="0"/>
      <w:keepLines w:val="0"/>
      <w:pageBreakBefore w:val="0"/>
      <w:widowControl/>
      <w:kinsoku/>
      <w:wordWrap/>
      <w:overflowPunct/>
      <w:topLinePunct w:val="0"/>
      <w:autoSpaceDE/>
      <w:autoSpaceDN/>
      <w:bidi w:val="0"/>
      <w:adjustRightInd/>
      <w:snapToGrid/>
      <w:spacing w:before="50" w:beforeLines="50" w:beforeAutospacing="0" w:after="50" w:afterLines="50" w:afterAutospacing="0"/>
      <w:ind w:firstLine="400" w:firstLineChars="200"/>
      <w:jc w:val="left"/>
      <w:textAlignment w:val="auto"/>
      <w:outlineLvl w:val="2"/>
    </w:pPr>
    <w:rPr>
      <w:rFonts w:ascii="黑体" w:hAnsi="黑体" w:eastAsia="黑体" w:cs="黑体"/>
      <w:sz w:val="20"/>
      <w:szCs w:val="27"/>
      <w:lang w:eastAsia="zh-CN" w:bidi="ar"/>
    </w:rPr>
  </w:style>
  <w:style w:type="paragraph" w:styleId="6">
    <w:name w:val="heading 4"/>
    <w:next w:val="7"/>
    <w:unhideWhenUsed/>
    <w:qFormat/>
    <w:uiPriority w:val="0"/>
    <w:pPr>
      <w:ind w:firstLine="412" w:firstLineChars="200"/>
      <w:outlineLvl w:val="3"/>
    </w:pPr>
    <w:rPr>
      <w:rFonts w:ascii="黑体" w:hAnsi="黑体" w:eastAsia="黑体" w:cs="Times New Roman"/>
      <w:spacing w:val="3"/>
      <w:sz w:val="21"/>
      <w:szCs w:val="21"/>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3">
    <w:name w:val="Body Text"/>
    <w:qFormat/>
    <w:uiPriority w:val="0"/>
    <w:pPr>
      <w:bidi w:val="0"/>
      <w:spacing w:line="240" w:lineRule="auto"/>
      <w:ind w:left="0" w:leftChars="0" w:firstLine="412" w:firstLineChars="200"/>
      <w:jc w:val="both"/>
    </w:pPr>
    <w:rPr>
      <w:rFonts w:ascii="Times New Roman" w:hAnsi="Times New Roman" w:eastAsia="宋体" w:cs="宋体"/>
      <w:spacing w:val="-2"/>
      <w:sz w:val="21"/>
    </w:rPr>
  </w:style>
  <w:style w:type="paragraph" w:customStyle="1" w:styleId="7">
    <w:name w:val="我的正文"/>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8">
    <w:name w:val="annotation text"/>
    <w:basedOn w:val="1"/>
    <w:qFormat/>
    <w:uiPriority w:val="0"/>
    <w:pPr>
      <w:jc w:val="left"/>
    </w:pPr>
  </w:style>
  <w:style w:type="paragraph" w:styleId="9">
    <w:name w:val="toc 3"/>
    <w:basedOn w:val="1"/>
    <w:next w:val="1"/>
    <w:autoRedefine/>
    <w:qFormat/>
    <w:uiPriority w:val="0"/>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0"/>
  </w:style>
  <w:style w:type="paragraph" w:styleId="13">
    <w:name w:val="toc 2"/>
    <w:basedOn w:val="1"/>
    <w:next w:val="1"/>
    <w:autoRedefine/>
    <w:qFormat/>
    <w:uiPriority w:val="0"/>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14">
    <w:name w:val="Normal (Web)"/>
    <w:basedOn w:val="1"/>
    <w:uiPriority w:val="0"/>
    <w:rPr>
      <w:sz w:val="24"/>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Hyperlink"/>
    <w:qFormat/>
    <w:uiPriority w:val="99"/>
    <w:rPr>
      <w:color w:val="0000FF"/>
      <w:spacing w:val="0"/>
      <w:w w:val="100"/>
      <w:szCs w:val="21"/>
      <w:u w:val="single"/>
    </w:rPr>
  </w:style>
  <w:style w:type="table" w:customStyle="1" w:styleId="20">
    <w:name w:val="Table Normal"/>
    <w:semiHidden/>
    <w:unhideWhenUsed/>
    <w:qFormat/>
    <w:uiPriority w:val="0"/>
    <w:tblPr>
      <w:tblCellMar>
        <w:top w:w="0" w:type="dxa"/>
        <w:left w:w="0" w:type="dxa"/>
        <w:bottom w:w="0" w:type="dxa"/>
        <w:right w:w="0" w:type="dxa"/>
      </w:tblCellMar>
    </w:tblPr>
  </w:style>
  <w:style w:type="paragraph" w:customStyle="1" w:styleId="21">
    <w:name w:val="Table Text"/>
    <w:basedOn w:val="1"/>
    <w:semiHidden/>
    <w:qFormat/>
    <w:uiPriority w:val="0"/>
    <w:rPr>
      <w:rFonts w:ascii="宋体" w:hAnsi="宋体" w:eastAsia="宋体" w:cs="宋体"/>
      <w:sz w:val="18"/>
      <w:szCs w:val="18"/>
      <w:lang w:val="en-US" w:eastAsia="en-US" w:bidi="ar-SA"/>
    </w:rPr>
  </w:style>
  <w:style w:type="paragraph" w:customStyle="1" w:styleId="22">
    <w:name w:val="公式"/>
    <w:qFormat/>
    <w:uiPriority w:val="0"/>
    <w:pPr>
      <w:tabs>
        <w:tab w:val="right" w:leader="middleDot" w:pos="9240"/>
      </w:tabs>
      <w:spacing w:before="52" w:line="226" w:lineRule="auto"/>
      <w:ind w:firstLine="3990" w:firstLineChars="1900"/>
    </w:pPr>
    <w:rPr>
      <w:rFonts w:ascii="Cambria Math" w:hAnsi="Cambria Math" w:eastAsia="Cambria Math" w:cs="Cambria Math"/>
    </w:rPr>
  </w:style>
  <w:style w:type="paragraph" w:customStyle="1" w:styleId="23">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4">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25">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6">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27">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28">
    <w:name w:val="封面标准英文名称"/>
    <w:basedOn w:val="27"/>
    <w:qFormat/>
    <w:uiPriority w:val="0"/>
    <w:pPr>
      <w:framePr w:wrap="around"/>
      <w:spacing w:before="370" w:line="400" w:lineRule="exact"/>
    </w:pPr>
    <w:rPr>
      <w:rFonts w:ascii="Times New Roman"/>
      <w:sz w:val="28"/>
      <w:szCs w:val="28"/>
    </w:rPr>
  </w:style>
  <w:style w:type="paragraph" w:customStyle="1" w:styleId="29">
    <w:name w:val="封面标准文稿类别"/>
    <w:basedOn w:val="1"/>
    <w:qFormat/>
    <w:uiPriority w:val="0"/>
    <w:pPr>
      <w:framePr w:w="9639" w:h="6917" w:hRule="exact" w:wrap="around" w:vAnchor="page" w:hAnchor="page" w:xAlign="center" w:y="6408" w:anchorLock="1"/>
      <w:spacing w:before="440" w:after="160"/>
      <w:jc w:val="center"/>
      <w:textAlignment w:val="center"/>
    </w:pPr>
    <w:rPr>
      <w:rFonts w:ascii="宋体" w:cs="Times New Roman"/>
      <w:kern w:val="0"/>
      <w:sz w:val="24"/>
      <w:szCs w:val="28"/>
    </w:rPr>
  </w:style>
  <w:style w:type="paragraph" w:customStyle="1" w:styleId="30">
    <w:name w:val="封面标准文稿编辑信息"/>
    <w:basedOn w:val="29"/>
    <w:qFormat/>
    <w:uiPriority w:val="0"/>
    <w:pPr>
      <w:framePr w:wrap="around"/>
      <w:spacing w:before="180" w:line="180" w:lineRule="exact"/>
    </w:pPr>
    <w:rPr>
      <w:sz w:val="21"/>
    </w:rPr>
  </w:style>
  <w:style w:type="paragraph" w:customStyle="1" w:styleId="31">
    <w:name w:val="其他发布日期"/>
    <w:basedOn w:val="1"/>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32">
    <w:name w:val="其他实施日期"/>
    <w:basedOn w:val="1"/>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33">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cs="Times New Roman"/>
      <w:spacing w:val="20"/>
      <w:w w:val="135"/>
      <w:kern w:val="0"/>
      <w:sz w:val="28"/>
      <w:szCs w:val="20"/>
    </w:rPr>
  </w:style>
  <w:style w:type="character" w:customStyle="1" w:styleId="34">
    <w:name w:val="发布"/>
    <w:qFormat/>
    <w:uiPriority w:val="0"/>
    <w:rPr>
      <w:rFonts w:ascii="黑体" w:eastAsia="黑体"/>
      <w:spacing w:val="85"/>
      <w:w w:val="100"/>
      <w:position w:val="3"/>
      <w:sz w:val="28"/>
      <w:szCs w:val="28"/>
    </w:rPr>
  </w:style>
  <w:style w:type="paragraph" w:customStyle="1" w:styleId="35">
    <w:name w:val="段"/>
    <w:qFormat/>
    <w:uiPriority w:val="0"/>
    <w:pPr>
      <w:tabs>
        <w:tab w:val="center" w:pos="4201"/>
        <w:tab w:val="right" w:leader="dot" w:pos="9298"/>
      </w:tabs>
      <w:autoSpaceDE w:val="0"/>
      <w:autoSpaceDN w:val="0"/>
      <w:spacing w:before="0" w:beforeLines="0" w:after="0" w:afterLines="0"/>
      <w:ind w:firstLine="0" w:firstLineChars="0"/>
      <w:jc w:val="both"/>
    </w:pPr>
    <w:rPr>
      <w:rFonts w:ascii="宋体" w:hAnsi="宋体" w:eastAsia="宋体" w:cs="Times New Roman"/>
      <w:sz w:val="21"/>
      <w:lang w:val="en-US" w:eastAsia="zh-CN" w:bidi="ar-SA"/>
    </w:rPr>
  </w:style>
  <w:style w:type="paragraph" w:customStyle="1" w:styleId="36">
    <w:name w:val="目次、标准名称标题"/>
    <w:basedOn w:val="1"/>
    <w:next w:val="1"/>
    <w:qFormat/>
    <w:uiPriority w:val="0"/>
    <w:pPr>
      <w:keepNext/>
      <w:pageBreakBefore/>
      <w:widowControl/>
      <w:shd w:val="clear" w:color="FFFFFF" w:fill="FFFFFF"/>
      <w:spacing w:before="640" w:after="560" w:line="460" w:lineRule="exact"/>
      <w:jc w:val="center"/>
      <w:outlineLvl w:val="0"/>
    </w:pPr>
    <w:rPr>
      <w:rFonts w:ascii="黑体" w:eastAsia="黑体" w:cs="Times New Roman"/>
      <w:kern w:val="0"/>
      <w:sz w:val="32"/>
      <w:szCs w:val="20"/>
    </w:rPr>
  </w:style>
  <w:style w:type="character" w:customStyle="1" w:styleId="37">
    <w:name w:val="s1"/>
    <w:basedOn w:val="17"/>
    <w:uiPriority w:val="0"/>
    <w:rPr>
      <w:rFonts w:ascii="Helvetica Neue" w:hAnsi="Helvetica Neue" w:eastAsia="Helvetica Neue" w:cs="Helvetica Neue"/>
      <w:sz w:val="26"/>
      <w:szCs w:val="26"/>
    </w:rPr>
  </w:style>
  <w:style w:type="paragraph" w:customStyle="1" w:styleId="38">
    <w:name w:val="p1"/>
    <w:basedOn w:val="1"/>
    <w:uiPriority w:val="0"/>
    <w:pPr>
      <w:spacing w:before="0" w:beforeAutospacing="0" w:after="0" w:afterAutospacing="0"/>
      <w:ind w:left="460" w:right="0"/>
      <w:jc w:val="left"/>
    </w:pPr>
    <w:rPr>
      <w:rFonts w:ascii="pingfang sc" w:hAnsi="pingfang sc" w:eastAsia="pingfang sc" w:cs="pingfang sc"/>
      <w:kern w:val="0"/>
      <w:sz w:val="26"/>
      <w:szCs w:val="26"/>
      <w:lang w:val="en-US" w:eastAsia="zh-CN" w:bidi="ar"/>
    </w:rPr>
  </w:style>
  <w:style w:type="paragraph" w:customStyle="1" w:styleId="39">
    <w:name w:val="p2"/>
    <w:basedOn w:val="1"/>
    <w:uiPriority w:val="0"/>
    <w:pPr>
      <w:spacing w:before="0" w:beforeAutospacing="0" w:after="0" w:afterAutospacing="0"/>
      <w:ind w:left="460" w:right="0"/>
      <w:jc w:val="left"/>
    </w:pPr>
    <w:rPr>
      <w:rFonts w:ascii="pingfang sc" w:hAnsi="pingfang sc" w:eastAsia="pingfang sc" w:cs="pingfang sc"/>
      <w:kern w:val="0"/>
      <w:sz w:val="26"/>
      <w:szCs w:val="26"/>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microsoft.com/office/2006/relationships/keyMapCustomizations" Target="customizations.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Pages>
  <Words>3796</Words>
  <Characters>4448</Characters>
  <TotalTime>5</TotalTime>
  <ScaleCrop>false</ScaleCrop>
  <LinksUpToDate>false</LinksUpToDate>
  <CharactersWithSpaces>4661</CharactersWithSpaces>
  <Application>WPS Office_12.1.24031.24031_F1E327BC-269C-435d-A152-05C5408002CA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2024-07-25T07:21:00Z</dcterms:created>
  <dc:creator>刘璟</dc:creator>
  <cp:lastModifiedBy>weiwen</cp:lastModifiedBy>
  <dcterms:modified xsi:type="dcterms:W3CDTF">2026-05-22T01:16:13Z</dcterms:modified>
  <dc:title>地方标准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2025-12-13T16:52:39Z</vt:filetime>
  </property>
  <property fmtid="{D5CDD505-2E9C-101B-9397-08002B2CF9AE}" pid="4" name="KSOTemplateDocerSaveRecord">
    <vt:lpwstr>eyJoZGlkIjoiOTllOWQ3MDg5NTdkOTUxMmYwZjRiMzg4NzYxZGMwZDgiLCJ1c2VySWQiOiI0NjYxMDI1MTQifQ==</vt:lpwstr>
  </property>
  <property fmtid="{D5CDD505-2E9C-101B-9397-08002B2CF9AE}" pid="5" name="KSOProductBuildVer">
    <vt:lpwstr>2052-12.1.24031.24031</vt:lpwstr>
  </property>
  <property fmtid="{D5CDD505-2E9C-101B-9397-08002B2CF9AE}" pid="6" name="ICV">
    <vt:lpwstr>AFD53C538689A67D84FD0E6ABEE3F068_43</vt:lpwstr>
  </property>
</Properties>
</file>