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7ED912">
      <w:pPr>
        <w:jc w:val="center"/>
        <w:rPr>
          <w:rFonts w:ascii="宋体" w:hAnsi="宋体" w:eastAsia="宋体"/>
          <w:b/>
          <w:bCs/>
          <w:sz w:val="44"/>
          <w:szCs w:val="44"/>
        </w:rPr>
      </w:pPr>
      <w:r>
        <w:rPr>
          <w:rFonts w:hint="eastAsia" w:ascii="宋体" w:hAnsi="宋体" w:eastAsia="宋体"/>
          <w:b/>
          <w:bCs/>
          <w:sz w:val="44"/>
          <w:szCs w:val="44"/>
        </w:rPr>
        <w:t>《</w:t>
      </w:r>
      <w:bookmarkStart w:id="0" w:name="_GoBack"/>
      <w:r>
        <w:rPr>
          <w:rFonts w:hint="eastAsia" w:ascii="宋体" w:hAnsi="宋体" w:eastAsia="宋体"/>
          <w:b/>
          <w:bCs/>
          <w:sz w:val="44"/>
          <w:szCs w:val="44"/>
          <w:lang w:val="en-US" w:eastAsia="zh-CN"/>
        </w:rPr>
        <w:t>基于人工调控的苜蓿加代技术规</w:t>
      </w:r>
      <w:bookmarkEnd w:id="0"/>
      <w:r>
        <w:rPr>
          <w:rFonts w:hint="eastAsia" w:ascii="宋体" w:hAnsi="宋体" w:eastAsia="宋体"/>
          <w:b/>
          <w:bCs/>
          <w:sz w:val="44"/>
          <w:szCs w:val="44"/>
          <w:lang w:val="en-US" w:eastAsia="zh-CN"/>
        </w:rPr>
        <w:t>程</w:t>
      </w:r>
      <w:r>
        <w:rPr>
          <w:rFonts w:hint="eastAsia" w:ascii="宋体" w:hAnsi="宋体" w:eastAsia="宋体"/>
          <w:b/>
          <w:bCs/>
          <w:sz w:val="44"/>
          <w:szCs w:val="44"/>
        </w:rPr>
        <w:t>》</w:t>
      </w:r>
    </w:p>
    <w:p w14:paraId="0A17F8A3">
      <w:pPr>
        <w:jc w:val="center"/>
        <w:rPr>
          <w:rFonts w:ascii="宋体" w:hAnsi="宋体" w:eastAsia="宋体"/>
          <w:b/>
          <w:bCs/>
          <w:sz w:val="44"/>
          <w:szCs w:val="44"/>
        </w:rPr>
      </w:pPr>
      <w:r>
        <w:rPr>
          <w:rFonts w:ascii="宋体" w:hAnsi="宋体" w:eastAsia="宋体"/>
          <w:b/>
          <w:bCs/>
          <w:sz w:val="44"/>
          <w:szCs w:val="44"/>
        </w:rPr>
        <w:t>编制说明</w:t>
      </w:r>
    </w:p>
    <w:p w14:paraId="28A31BB2">
      <w:pPr>
        <w:pStyle w:val="9"/>
        <w:numPr>
          <w:ilvl w:val="0"/>
          <w:numId w:val="1"/>
        </w:numPr>
        <w:ind w:firstLineChars="0"/>
        <w:rPr>
          <w:rFonts w:ascii="仿宋" w:hAnsi="仿宋" w:eastAsia="仿宋"/>
          <w:sz w:val="32"/>
          <w:szCs w:val="32"/>
        </w:rPr>
      </w:pPr>
      <w:r>
        <w:rPr>
          <w:rFonts w:ascii="黑体" w:hAnsi="黑体" w:eastAsia="黑体"/>
          <w:sz w:val="32"/>
          <w:szCs w:val="32"/>
        </w:rPr>
        <w:t>工作简况</w:t>
      </w:r>
    </w:p>
    <w:p w14:paraId="37727328">
      <w:pPr>
        <w:rPr>
          <w:rFonts w:hint="eastAsia" w:ascii="仿宋" w:hAnsi="仿宋" w:eastAsia="仿宋"/>
          <w:color w:val="FF0000"/>
          <w:sz w:val="32"/>
          <w:szCs w:val="32"/>
        </w:rPr>
      </w:pPr>
      <w:r>
        <w:rPr>
          <w:rFonts w:hint="eastAsia" w:ascii="仿宋" w:hAnsi="仿宋" w:eastAsia="仿宋"/>
          <w:b/>
          <w:bCs/>
          <w:sz w:val="32"/>
          <w:szCs w:val="32"/>
        </w:rPr>
        <w:t>（一）</w:t>
      </w:r>
      <w:r>
        <w:rPr>
          <w:rFonts w:ascii="仿宋" w:hAnsi="仿宋" w:eastAsia="仿宋"/>
          <w:b/>
          <w:bCs/>
          <w:sz w:val="32"/>
          <w:szCs w:val="32"/>
        </w:rPr>
        <w:t>立项情况</w:t>
      </w:r>
    </w:p>
    <w:p w14:paraId="3DA17F83">
      <w:pPr>
        <w:keepNext w:val="0"/>
        <w:keepLines w:val="0"/>
        <w:pageBreakBefore w:val="0"/>
        <w:widowControl w:val="0"/>
        <w:kinsoku/>
        <w:wordWrap/>
        <w:overflowPunct/>
        <w:topLinePunct w:val="0"/>
        <w:autoSpaceDE/>
        <w:autoSpaceDN/>
        <w:bidi w:val="0"/>
        <w:adjustRightInd/>
        <w:snapToGrid/>
        <w:spacing w:after="0" w:line="360" w:lineRule="auto"/>
        <w:ind w:firstLine="640" w:firstLineChars="200"/>
        <w:textAlignment w:val="auto"/>
        <w:rPr>
          <w:rFonts w:hint="eastAsia" w:ascii="仿宋" w:hAnsi="仿宋" w:eastAsia="仿宋"/>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目前，我国苜蓿育种技术相对落后，80%种子依赖进口</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传统育种气候依赖性大，无法全年种植，生育周期长，</w:t>
      </w:r>
      <w:r>
        <w:rPr>
          <w:rFonts w:hint="eastAsia" w:ascii="仿宋" w:hAnsi="仿宋" w:eastAsia="仿宋"/>
          <w:color w:val="000000" w:themeColor="text1"/>
          <w:sz w:val="32"/>
          <w:szCs w:val="32"/>
          <w:lang w:eastAsia="zh-CN"/>
          <w14:textFill>
            <w14:solidFill>
              <w14:schemeClr w14:val="tx1"/>
            </w14:solidFill>
          </w14:textFill>
        </w:rPr>
        <w:t>同时</w:t>
      </w:r>
      <w:r>
        <w:rPr>
          <w:rFonts w:hint="eastAsia" w:ascii="仿宋" w:hAnsi="仿宋" w:eastAsia="仿宋"/>
          <w:color w:val="000000" w:themeColor="text1"/>
          <w:sz w:val="32"/>
          <w:szCs w:val="32"/>
          <w14:textFill>
            <w14:solidFill>
              <w14:schemeClr w14:val="tx1"/>
            </w14:solidFill>
          </w14:textFill>
        </w:rPr>
        <w:t>随着畜牧业发展，对苜蓿的品质、营养、产量、抗性等方面的要求也在不断变化。</w:t>
      </w:r>
      <w:r>
        <w:rPr>
          <w:rFonts w:hint="eastAsia" w:ascii="仿宋" w:hAnsi="仿宋" w:eastAsia="仿宋"/>
          <w:color w:val="000000" w:themeColor="text1"/>
          <w:sz w:val="32"/>
          <w:szCs w:val="32"/>
          <w:lang w:eastAsia="zh-CN"/>
          <w14:textFill>
            <w14:solidFill>
              <w14:schemeClr w14:val="tx1"/>
            </w14:solidFill>
          </w14:textFill>
        </w:rPr>
        <w:t>为了</w:t>
      </w:r>
      <w:r>
        <w:rPr>
          <w:rFonts w:hint="eastAsia" w:ascii="仿宋" w:hAnsi="仿宋" w:eastAsia="仿宋"/>
          <w:color w:val="000000" w:themeColor="text1"/>
          <w:sz w:val="32"/>
          <w:szCs w:val="32"/>
          <w14:textFill>
            <w14:solidFill>
              <w14:schemeClr w14:val="tx1"/>
            </w14:solidFill>
          </w14:textFill>
        </w:rPr>
        <w:t>提高育种效率、增强苜蓿抗逆性、提升资源利用效率、推动畜牧业发展</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lang w:val="en-US" w:eastAsia="zh-CN"/>
          <w14:textFill>
            <w14:solidFill>
              <w14:schemeClr w14:val="tx1"/>
            </w14:solidFill>
          </w14:textFill>
        </w:rPr>
        <w:t>2026年1月由内蒙古草业技术创新中心提出团体标准《基于人工调控的苜蓿加代技术规程》申请立项。本标准立足于苜蓿育种加代技术，意在</w:t>
      </w:r>
      <w:r>
        <w:rPr>
          <w:rFonts w:hint="eastAsia" w:ascii="仿宋" w:hAnsi="仿宋" w:eastAsia="仿宋"/>
          <w:color w:val="000000" w:themeColor="text1"/>
          <w:sz w:val="32"/>
          <w:szCs w:val="32"/>
          <w14:textFill>
            <w14:solidFill>
              <w14:schemeClr w14:val="tx1"/>
            </w14:solidFill>
          </w14:textFill>
        </w:rPr>
        <w:t>缩短</w:t>
      </w:r>
      <w:r>
        <w:rPr>
          <w:rFonts w:hint="eastAsia" w:ascii="仿宋" w:hAnsi="仿宋" w:eastAsia="仿宋"/>
          <w:color w:val="000000" w:themeColor="text1"/>
          <w:sz w:val="32"/>
          <w:szCs w:val="32"/>
          <w:lang w:eastAsia="zh-CN"/>
          <w14:textFill>
            <w14:solidFill>
              <w14:schemeClr w14:val="tx1"/>
            </w14:solidFill>
          </w14:textFill>
        </w:rPr>
        <w:t>育种</w:t>
      </w:r>
      <w:r>
        <w:rPr>
          <w:rFonts w:hint="eastAsia" w:ascii="仿宋" w:hAnsi="仿宋" w:eastAsia="仿宋"/>
          <w:color w:val="000000" w:themeColor="text1"/>
          <w:sz w:val="32"/>
          <w:szCs w:val="32"/>
          <w14:textFill>
            <w14:solidFill>
              <w14:schemeClr w14:val="tx1"/>
            </w14:solidFill>
          </w14:textFill>
        </w:rPr>
        <w:t>周期，减少育种世代数，更快地培育出高产、高蛋白、耐旱、耐盐碱、抗病虫害、耐寒等具有自主知识产权的苜蓿品种</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使苜蓿能够更好地适应多样化的种植环境，扩大苜蓿的种植范围</w:t>
      </w:r>
      <w:r>
        <w:rPr>
          <w:rFonts w:hint="eastAsia" w:ascii="仿宋" w:hAnsi="仿宋" w:eastAsia="仿宋"/>
          <w:color w:val="000000" w:themeColor="text1"/>
          <w:sz w:val="32"/>
          <w:szCs w:val="32"/>
          <w:lang w:eastAsia="zh-CN"/>
          <w14:textFill>
            <w14:solidFill>
              <w14:schemeClr w14:val="tx1"/>
            </w14:solidFill>
          </w14:textFill>
        </w:rPr>
        <w:t>。</w:t>
      </w:r>
    </w:p>
    <w:p w14:paraId="4D8AB826">
      <w:pPr>
        <w:numPr>
          <w:ilvl w:val="0"/>
          <w:numId w:val="2"/>
        </w:numPr>
        <w:rPr>
          <w:rFonts w:ascii="仿宋" w:hAnsi="仿宋" w:eastAsia="仿宋"/>
          <w:b/>
          <w:bCs/>
          <w:sz w:val="32"/>
          <w:szCs w:val="32"/>
        </w:rPr>
      </w:pPr>
      <w:r>
        <w:rPr>
          <w:rFonts w:ascii="仿宋" w:hAnsi="仿宋" w:eastAsia="仿宋"/>
          <w:b/>
          <w:bCs/>
          <w:sz w:val="32"/>
          <w:szCs w:val="32"/>
        </w:rPr>
        <w:t>提出单位：</w:t>
      </w:r>
    </w:p>
    <w:p w14:paraId="526526D8">
      <w:pPr>
        <w:numPr>
          <w:ilvl w:val="0"/>
          <w:numId w:val="0"/>
        </w:numPr>
        <w:ind w:leftChars="0"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内蒙古草业技术创新中心有限公司</w:t>
      </w:r>
    </w:p>
    <w:p w14:paraId="732353C4">
      <w:pPr>
        <w:numPr>
          <w:ilvl w:val="0"/>
          <w:numId w:val="2"/>
        </w:numPr>
        <w:ind w:left="0" w:leftChars="0" w:firstLine="0" w:firstLineChars="0"/>
        <w:rPr>
          <w:rFonts w:ascii="仿宋" w:hAnsi="仿宋" w:eastAsia="仿宋"/>
          <w:b/>
          <w:bCs/>
          <w:sz w:val="32"/>
          <w:szCs w:val="32"/>
        </w:rPr>
      </w:pPr>
      <w:r>
        <w:rPr>
          <w:rFonts w:ascii="仿宋" w:hAnsi="仿宋" w:eastAsia="仿宋"/>
          <w:b/>
          <w:bCs/>
          <w:sz w:val="32"/>
          <w:szCs w:val="32"/>
        </w:rPr>
        <w:t>归口单位：</w:t>
      </w:r>
    </w:p>
    <w:p w14:paraId="21B8F934">
      <w:pPr>
        <w:numPr>
          <w:ilvl w:val="0"/>
          <w:numId w:val="0"/>
        </w:numPr>
        <w:ind w:leftChars="0" w:firstLine="640" w:firstLineChars="200"/>
        <w:rPr>
          <w:rFonts w:ascii="仿宋" w:hAnsi="仿宋" w:eastAsia="仿宋"/>
          <w:b/>
          <w:bCs/>
          <w:sz w:val="32"/>
          <w:szCs w:val="32"/>
        </w:rPr>
      </w:pPr>
      <w:r>
        <w:rPr>
          <w:rFonts w:hint="eastAsia" w:ascii="仿宋" w:hAnsi="仿宋" w:eastAsia="仿宋" w:cs="仿宋"/>
          <w:sz w:val="32"/>
          <w:szCs w:val="32"/>
          <w:lang w:val="en-US" w:eastAsia="zh-CN"/>
        </w:rPr>
        <w:t>内蒙古标准化协会</w:t>
      </w:r>
    </w:p>
    <w:p w14:paraId="13FBDC52">
      <w:pPr>
        <w:numPr>
          <w:ilvl w:val="0"/>
          <w:numId w:val="2"/>
        </w:numPr>
        <w:ind w:left="0" w:leftChars="0" w:firstLine="0" w:firstLineChars="0"/>
        <w:rPr>
          <w:rFonts w:ascii="仿宋" w:hAnsi="仿宋" w:eastAsia="仿宋"/>
          <w:b/>
          <w:bCs/>
          <w:sz w:val="32"/>
          <w:szCs w:val="32"/>
        </w:rPr>
      </w:pPr>
      <w:r>
        <w:rPr>
          <w:rFonts w:ascii="仿宋" w:hAnsi="仿宋" w:eastAsia="仿宋"/>
          <w:b/>
          <w:bCs/>
          <w:sz w:val="32"/>
          <w:szCs w:val="32"/>
        </w:rPr>
        <w:t>起草单位：</w:t>
      </w:r>
    </w:p>
    <w:p w14:paraId="546BEFCC">
      <w:pPr>
        <w:numPr>
          <w:ilvl w:val="0"/>
          <w:numId w:val="0"/>
        </w:numPr>
        <w:ind w:leftChars="0"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内蒙古草业技术创新中心有限公司、中国农业大学、蒙草生态环境（集团）股份有限公司。</w:t>
      </w:r>
    </w:p>
    <w:p w14:paraId="186CC697">
      <w:pPr>
        <w:numPr>
          <w:ilvl w:val="0"/>
          <w:numId w:val="2"/>
        </w:numPr>
        <w:ind w:left="0" w:leftChars="0" w:firstLine="0" w:firstLineChars="0"/>
        <w:rPr>
          <w:rFonts w:hint="eastAsia" w:ascii="仿宋" w:hAnsi="仿宋" w:eastAsia="仿宋"/>
          <w:b/>
          <w:bCs/>
          <w:sz w:val="32"/>
          <w:szCs w:val="32"/>
        </w:rPr>
      </w:pPr>
      <w:r>
        <w:rPr>
          <w:rFonts w:ascii="仿宋" w:hAnsi="仿宋" w:eastAsia="仿宋"/>
          <w:b/>
          <w:bCs/>
          <w:sz w:val="32"/>
          <w:szCs w:val="32"/>
        </w:rPr>
        <w:t>起草人</w:t>
      </w:r>
      <w:r>
        <w:rPr>
          <w:rFonts w:hint="eastAsia" w:ascii="仿宋" w:hAnsi="仿宋" w:eastAsia="仿宋"/>
          <w:b/>
          <w:bCs/>
          <w:sz w:val="32"/>
          <w:szCs w:val="32"/>
        </w:rPr>
        <w:t>：</w:t>
      </w:r>
    </w:p>
    <w:p w14:paraId="0C7978DB">
      <w:pPr>
        <w:numPr>
          <w:ilvl w:val="0"/>
          <w:numId w:val="0"/>
        </w:numPr>
        <w:ind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刘亚玲、张万军、刘燕蓉、田广、于玲玲、陈睿珏、苑峰、李娜、杜磊、张逸敏、付娜娜、马彩娥、赵慧敏、李月宏、王旗旗、马怀林、张雅荣、钱薪禧、梁瑞丰。</w:t>
      </w:r>
    </w:p>
    <w:p w14:paraId="4BEE3092">
      <w:pPr>
        <w:pStyle w:val="9"/>
        <w:numPr>
          <w:ilvl w:val="0"/>
          <w:numId w:val="1"/>
        </w:numPr>
        <w:ind w:firstLineChars="0"/>
        <w:rPr>
          <w:rFonts w:ascii="黑体" w:hAnsi="黑体" w:eastAsia="黑体"/>
          <w:sz w:val="32"/>
          <w:szCs w:val="32"/>
        </w:rPr>
      </w:pPr>
      <w:r>
        <w:rPr>
          <w:rFonts w:ascii="黑体" w:hAnsi="黑体" w:eastAsia="黑体"/>
          <w:sz w:val="32"/>
          <w:szCs w:val="32"/>
        </w:rPr>
        <w:t>制定标准的目的和意义</w:t>
      </w:r>
    </w:p>
    <w:p w14:paraId="1E6F7B76">
      <w:pPr>
        <w:pStyle w:val="9"/>
        <w:numPr>
          <w:ilvl w:val="0"/>
          <w:numId w:val="0"/>
        </w:numPr>
        <w:ind w:leftChars="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1、提高育种效率、缩短育种周期</w:t>
      </w:r>
    </w:p>
    <w:p w14:paraId="00B4C173">
      <w:pPr>
        <w:pStyle w:val="9"/>
        <w:numPr>
          <w:ilvl w:val="0"/>
          <w:numId w:val="0"/>
        </w:numPr>
        <w:ind w:leftChars="0"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传统育种气候依赖性大，无法全年种植，生育周期长，品种培育需要十年以上，其中加代选育得到纯系就需要5-10年。为了加快育种速度，我国很多育种专家需要带着珍贵的种子到海南的南繁基地进行加代育种，一年形成2-3代种子。育种加速技术可以大大缩短这一周期，减少育种世代数，加快新品种的选育进程。例如，在人工气候室全封闭式环境，自动精准控制温度、湿度、光周期等。在最优化的光源配方条件下，缩短植物的生长发育全过程所需的时间：从种子到获得能发芽生长的下一代种子，小麦最快的只需要2个月时间，生菜、西红柿、甜椒最快需要3个月，而大豆、玉米、油菜最快为4个月。植物工厂实现了一年生作物在一年里连续3~6代种植与种子采收。</w:t>
      </w:r>
    </w:p>
    <w:p w14:paraId="354DAE30">
      <w:pPr>
        <w:pStyle w:val="9"/>
        <w:numPr>
          <w:ilvl w:val="0"/>
          <w:numId w:val="0"/>
        </w:numPr>
        <w:ind w:leftChars="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2、定向培育新品种</w:t>
      </w:r>
    </w:p>
    <w:p w14:paraId="4F8B74EC">
      <w:pPr>
        <w:pStyle w:val="9"/>
        <w:numPr>
          <w:ilvl w:val="0"/>
          <w:numId w:val="0"/>
        </w:numPr>
        <w:ind w:leftChars="0"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随着畜牧业发展，对苜蓿的品质、营养、产量、抗性等方面的要求也在不断变化。育种加速技术可以使育种者更快地培育出高产、高蛋白、耐旱、耐盐碱、抗病虫害、耐寒等苜蓿品种，降低气候变化对苜蓿的影响，培育符合市场需求的新品种，满足消费者的需求，提高苜蓿的市场竞争力。同时，不同地区的土壤、气候、地形等自然条件差异较大，需要培育适应各种环境的苜蓿品种。育种加速技术可以加快对不同生态条件下苜蓿适应性的研究和改良，使苜蓿能够更好地适应多样化的种植环境，扩大苜蓿的种植范围，提高土地资源的利用效率。</w:t>
      </w:r>
    </w:p>
    <w:p w14:paraId="77CB7FA3">
      <w:pPr>
        <w:pStyle w:val="9"/>
        <w:numPr>
          <w:ilvl w:val="0"/>
          <w:numId w:val="0"/>
        </w:numPr>
        <w:ind w:leftChars="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3、降低对外依存度</w:t>
      </w:r>
    </w:p>
    <w:p w14:paraId="47AAC562">
      <w:pPr>
        <w:pStyle w:val="9"/>
        <w:numPr>
          <w:ilvl w:val="0"/>
          <w:numId w:val="0"/>
        </w:numPr>
        <w:ind w:leftChars="0"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目前，我国苜蓿育种技术相对落后，80%种子依赖进口。通过加快发展育种加代技术，培育出具有自主知识产权的优良品种，可以降低我国对国外种业的依存度，确保国家种业的安全和自主可控。</w:t>
      </w:r>
    </w:p>
    <w:p w14:paraId="62826E90">
      <w:pPr>
        <w:pStyle w:val="9"/>
        <w:numPr>
          <w:ilvl w:val="0"/>
          <w:numId w:val="0"/>
        </w:numPr>
        <w:ind w:leftChars="0"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综上所述，育种加代技术技术对于提高育种效率、增强苜蓿抗逆性、提升资源利用效率、推动畜牧业发展及保障国家粮食安全等方面都具有重要意义。</w:t>
      </w:r>
    </w:p>
    <w:p w14:paraId="2F706D5D">
      <w:pPr>
        <w:pStyle w:val="9"/>
        <w:numPr>
          <w:ilvl w:val="0"/>
          <w:numId w:val="0"/>
        </w:numPr>
        <w:ind w:leftChars="0"/>
        <w:rPr>
          <w:rFonts w:ascii="黑体" w:hAnsi="黑体" w:eastAsia="黑体"/>
          <w:sz w:val="32"/>
          <w:szCs w:val="32"/>
        </w:rPr>
      </w:pPr>
    </w:p>
    <w:p w14:paraId="3C54FC06">
      <w:pPr>
        <w:pStyle w:val="9"/>
        <w:numPr>
          <w:ilvl w:val="0"/>
          <w:numId w:val="1"/>
        </w:numPr>
        <w:ind w:firstLineChars="0"/>
        <w:rPr>
          <w:rFonts w:ascii="黑体" w:hAnsi="黑体" w:eastAsia="黑体"/>
          <w:sz w:val="32"/>
          <w:szCs w:val="32"/>
        </w:rPr>
      </w:pPr>
      <w:r>
        <w:rPr>
          <w:rFonts w:ascii="黑体" w:hAnsi="黑体" w:eastAsia="黑体"/>
          <w:sz w:val="32"/>
          <w:szCs w:val="32"/>
        </w:rPr>
        <w:t>编制过程</w:t>
      </w:r>
    </w:p>
    <w:p w14:paraId="2B7A79D4">
      <w:pPr>
        <w:rPr>
          <w:rFonts w:ascii="仿宋" w:hAnsi="仿宋" w:eastAsia="仿宋"/>
          <w:b/>
          <w:bCs/>
          <w:sz w:val="32"/>
          <w:szCs w:val="32"/>
        </w:rPr>
      </w:pPr>
      <w:r>
        <w:rPr>
          <w:rFonts w:ascii="仿宋" w:hAnsi="仿宋" w:eastAsia="仿宋"/>
          <w:b/>
          <w:bCs/>
          <w:sz w:val="32"/>
          <w:szCs w:val="32"/>
        </w:rPr>
        <w:t>（一）分工情况</w:t>
      </w:r>
    </w:p>
    <w:p w14:paraId="23960973">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内蒙古草业技术创新中心有限公司负责该标准起草与制定的全面协调与编写工作，其他单位参与一定的编写标准相关内容并提供相关试验基础数据与结论。具体分工见表1。</w:t>
      </w:r>
    </w:p>
    <w:p w14:paraId="3CF9CA7A">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center"/>
        <w:textAlignment w:val="auto"/>
        <w:rPr>
          <w:rFonts w:hint="eastAsia" w:ascii="仿宋" w:hAnsi="仿宋" w:eastAsia="仿宋" w:cs="仿宋"/>
          <w:b/>
          <w:bCs/>
          <w:kern w:val="2"/>
          <w:sz w:val="32"/>
          <w:szCs w:val="32"/>
          <w:lang w:val="en-US" w:eastAsia="zh-CN" w:bidi="ar-SA"/>
          <w14:ligatures w14:val="standardContextual"/>
        </w:rPr>
      </w:pPr>
      <w:r>
        <w:rPr>
          <w:rFonts w:hint="eastAsia" w:ascii="仿宋" w:hAnsi="仿宋" w:eastAsia="仿宋" w:cs="仿宋"/>
          <w:b/>
          <w:bCs/>
          <w:kern w:val="2"/>
          <w:sz w:val="32"/>
          <w:szCs w:val="32"/>
          <w:lang w:val="en-US" w:eastAsia="zh-CN" w:bidi="ar-SA"/>
          <w14:ligatures w14:val="standardContextual"/>
        </w:rPr>
        <w:t>表1  标准起草人员及其主要工作内容</w:t>
      </w:r>
    </w:p>
    <w:tbl>
      <w:tblPr>
        <w:tblStyle w:val="6"/>
        <w:tblW w:w="5000" w:type="pct"/>
        <w:tblInd w:w="0" w:type="dxa"/>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1297"/>
        <w:gridCol w:w="2123"/>
        <w:gridCol w:w="1692"/>
        <w:gridCol w:w="3180"/>
      </w:tblGrid>
      <w:tr w14:paraId="0ADF7FFA">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7AF31B6C">
            <w:pPr>
              <w:autoSpaceDE w:val="0"/>
              <w:autoSpaceDN w:val="0"/>
              <w:spacing w:after="0"/>
              <w:contextualSpacing/>
              <w:jc w:val="center"/>
              <w:rPr>
                <w:rFonts w:ascii="Times New Roman" w:hAnsi="Times New Roman" w:eastAsia="宋体" w:cs="Times New Roman"/>
                <w:color w:val="000000" w:themeColor="text1"/>
                <w:kern w:val="0"/>
                <w14:textFill>
                  <w14:solidFill>
                    <w14:schemeClr w14:val="tx1"/>
                  </w14:solidFill>
                </w14:textFill>
              </w:rPr>
            </w:pPr>
            <w:r>
              <w:rPr>
                <w:rFonts w:hint="eastAsia" w:ascii="Times New Roman" w:hAnsi="Times New Roman" w:eastAsia="宋体" w:cs="Times New Roman"/>
                <w:color w:val="000000" w:themeColor="text1"/>
                <w:kern w:val="0"/>
                <w:sz w:val="22"/>
                <w14:textFill>
                  <w14:solidFill>
                    <w14:schemeClr w14:val="tx1"/>
                  </w14:solidFill>
                </w14:textFill>
              </w:rPr>
              <w:t>姓名</w:t>
            </w:r>
          </w:p>
        </w:tc>
        <w:tc>
          <w:tcPr>
            <w:tcW w:w="1280" w:type="pct"/>
            <w:vAlign w:val="center"/>
          </w:tcPr>
          <w:p w14:paraId="495F2F5E">
            <w:pPr>
              <w:autoSpaceDE w:val="0"/>
              <w:autoSpaceDN w:val="0"/>
              <w:spacing w:after="0"/>
              <w:contextualSpacing/>
              <w:jc w:val="center"/>
              <w:rPr>
                <w:rFonts w:ascii="Times New Roman" w:hAnsi="Times New Roman" w:eastAsia="宋体" w:cs="Times New Roman"/>
                <w:color w:val="000000" w:themeColor="text1"/>
                <w:kern w:val="0"/>
                <w14:textFill>
                  <w14:solidFill>
                    <w14:schemeClr w14:val="tx1"/>
                  </w14:solidFill>
                </w14:textFill>
              </w:rPr>
            </w:pPr>
            <w:r>
              <w:rPr>
                <w:rFonts w:hint="eastAsia" w:ascii="Times New Roman" w:hAnsi="Times New Roman" w:eastAsia="宋体" w:cs="Times New Roman"/>
                <w:color w:val="000000" w:themeColor="text1"/>
                <w:kern w:val="0"/>
                <w:sz w:val="22"/>
                <w14:textFill>
                  <w14:solidFill>
                    <w14:schemeClr w14:val="tx1"/>
                  </w14:solidFill>
                </w14:textFill>
              </w:rPr>
              <w:t>工作单位</w:t>
            </w:r>
          </w:p>
        </w:tc>
        <w:tc>
          <w:tcPr>
            <w:tcW w:w="1020" w:type="pct"/>
            <w:vAlign w:val="center"/>
          </w:tcPr>
          <w:p w14:paraId="1EC0FC96">
            <w:pPr>
              <w:autoSpaceDE w:val="0"/>
              <w:autoSpaceDN w:val="0"/>
              <w:spacing w:after="0"/>
              <w:contextualSpacing/>
              <w:jc w:val="center"/>
              <w:rPr>
                <w:rFonts w:ascii="Times New Roman" w:hAnsi="Times New Roman" w:eastAsia="宋体" w:cs="Times New Roman"/>
                <w:color w:val="000000" w:themeColor="text1"/>
                <w:kern w:val="0"/>
                <w14:textFill>
                  <w14:solidFill>
                    <w14:schemeClr w14:val="tx1"/>
                  </w14:solidFill>
                </w14:textFill>
              </w:rPr>
            </w:pPr>
            <w:r>
              <w:rPr>
                <w:rFonts w:hint="eastAsia" w:ascii="Times New Roman" w:hAnsi="Times New Roman" w:eastAsia="宋体" w:cs="Times New Roman"/>
                <w:color w:val="000000" w:themeColor="text1"/>
                <w:kern w:val="0"/>
                <w:sz w:val="22"/>
                <w14:textFill>
                  <w14:solidFill>
                    <w14:schemeClr w14:val="tx1"/>
                  </w14:solidFill>
                </w14:textFill>
              </w:rPr>
              <w:t>职称</w:t>
            </w:r>
          </w:p>
        </w:tc>
        <w:tc>
          <w:tcPr>
            <w:tcW w:w="1917" w:type="pct"/>
            <w:vAlign w:val="center"/>
          </w:tcPr>
          <w:p w14:paraId="7DF74A2F">
            <w:pPr>
              <w:autoSpaceDE w:val="0"/>
              <w:autoSpaceDN w:val="0"/>
              <w:spacing w:after="0"/>
              <w:contextualSpacing/>
              <w:jc w:val="center"/>
              <w:rPr>
                <w:rFonts w:ascii="Times New Roman" w:hAnsi="Times New Roman" w:eastAsia="宋体" w:cs="Times New Roman"/>
                <w:color w:val="000000" w:themeColor="text1"/>
                <w:kern w:val="0"/>
                <w14:textFill>
                  <w14:solidFill>
                    <w14:schemeClr w14:val="tx1"/>
                  </w14:solidFill>
                </w14:textFill>
              </w:rPr>
            </w:pPr>
            <w:r>
              <w:rPr>
                <w:rFonts w:hint="eastAsia" w:ascii="Times New Roman" w:hAnsi="Times New Roman" w:eastAsia="宋体" w:cs="Times New Roman"/>
                <w:color w:val="000000" w:themeColor="text1"/>
                <w:kern w:val="0"/>
                <w:sz w:val="22"/>
                <w14:textFill>
                  <w14:solidFill>
                    <w14:schemeClr w14:val="tx1"/>
                  </w14:solidFill>
                </w14:textFill>
              </w:rPr>
              <w:t>主要工作内容</w:t>
            </w:r>
          </w:p>
        </w:tc>
      </w:tr>
      <w:tr w14:paraId="2EC53FA3">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7CF19223">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刘亚玲</w:t>
            </w:r>
          </w:p>
        </w:tc>
        <w:tc>
          <w:tcPr>
            <w:tcW w:w="1280" w:type="pct"/>
            <w:vAlign w:val="center"/>
          </w:tcPr>
          <w:p w14:paraId="4C82DFB0">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1D398382">
            <w:pPr>
              <w:autoSpaceDE w:val="0"/>
              <w:autoSpaceDN w:val="0"/>
              <w:spacing w:after="0"/>
              <w:contextualSpacing/>
              <w:jc w:val="center"/>
              <w:rPr>
                <w:rFonts w:hint="default"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正高级畜牧师</w:t>
            </w:r>
          </w:p>
        </w:tc>
        <w:tc>
          <w:tcPr>
            <w:tcW w:w="1917" w:type="pct"/>
            <w:vAlign w:val="center"/>
          </w:tcPr>
          <w:p w14:paraId="099B276F">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总负责人，技术规程总结和提炼、文稿编写和修改</w:t>
            </w:r>
          </w:p>
        </w:tc>
      </w:tr>
      <w:tr w14:paraId="221CFD14">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34E9086D">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张万军</w:t>
            </w:r>
          </w:p>
        </w:tc>
        <w:tc>
          <w:tcPr>
            <w:tcW w:w="1280" w:type="pct"/>
            <w:vAlign w:val="center"/>
          </w:tcPr>
          <w:p w14:paraId="6F5C8B95">
            <w:pPr>
              <w:autoSpaceDE w:val="0"/>
              <w:autoSpaceDN w:val="0"/>
              <w:spacing w:after="0"/>
              <w:contextualSpacing/>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中国农业大学</w:t>
            </w:r>
          </w:p>
        </w:tc>
        <w:tc>
          <w:tcPr>
            <w:tcW w:w="1020" w:type="pct"/>
            <w:vAlign w:val="center"/>
          </w:tcPr>
          <w:p w14:paraId="77F7DAEC">
            <w:pPr>
              <w:autoSpaceDE w:val="0"/>
              <w:autoSpaceDN w:val="0"/>
              <w:spacing w:after="0"/>
              <w:contextualSpacing/>
              <w:jc w:val="center"/>
              <w:rPr>
                <w:rFonts w:hint="default"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副院长</w:t>
            </w:r>
          </w:p>
        </w:tc>
        <w:tc>
          <w:tcPr>
            <w:tcW w:w="1917" w:type="pct"/>
            <w:vAlign w:val="center"/>
          </w:tcPr>
          <w:p w14:paraId="6FF0836B">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技术指导和文稿修改</w:t>
            </w:r>
          </w:p>
        </w:tc>
      </w:tr>
      <w:tr w14:paraId="00DA42BE">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24" w:hRule="exact"/>
        </w:trPr>
        <w:tc>
          <w:tcPr>
            <w:tcW w:w="782" w:type="pct"/>
            <w:vAlign w:val="center"/>
          </w:tcPr>
          <w:p w14:paraId="3EBE8972">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刘艳蓉</w:t>
            </w:r>
          </w:p>
        </w:tc>
        <w:tc>
          <w:tcPr>
            <w:tcW w:w="1280" w:type="pct"/>
            <w:vAlign w:val="center"/>
          </w:tcPr>
          <w:p w14:paraId="7263AEE3">
            <w:pPr>
              <w:spacing w:after="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中国农业大学</w:t>
            </w:r>
          </w:p>
        </w:tc>
        <w:tc>
          <w:tcPr>
            <w:tcW w:w="1020" w:type="pct"/>
            <w:vAlign w:val="center"/>
          </w:tcPr>
          <w:p w14:paraId="75218FE5">
            <w:pPr>
              <w:spacing w:after="0"/>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博士</w:t>
            </w:r>
          </w:p>
        </w:tc>
        <w:tc>
          <w:tcPr>
            <w:tcW w:w="1917" w:type="pct"/>
            <w:vAlign w:val="center"/>
          </w:tcPr>
          <w:p w14:paraId="0F3322E3">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技术指导和文稿修改</w:t>
            </w:r>
          </w:p>
        </w:tc>
      </w:tr>
      <w:tr w14:paraId="5BFC9C8A">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56837FC7">
            <w:pPr>
              <w:autoSpaceDE w:val="0"/>
              <w:autoSpaceDN w:val="0"/>
              <w:spacing w:after="8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田广</w:t>
            </w:r>
          </w:p>
        </w:tc>
        <w:tc>
          <w:tcPr>
            <w:tcW w:w="1280" w:type="pct"/>
            <w:vAlign w:val="center"/>
          </w:tcPr>
          <w:p w14:paraId="48F01406">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039B5493">
            <w:pPr>
              <w:spacing w:after="80"/>
              <w:jc w:val="center"/>
              <w:rPr>
                <w:rFonts w:hint="default"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中级农艺师</w:t>
            </w:r>
          </w:p>
        </w:tc>
        <w:tc>
          <w:tcPr>
            <w:tcW w:w="1917" w:type="pct"/>
            <w:vAlign w:val="center"/>
          </w:tcPr>
          <w:p w14:paraId="22D20EAC">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资料收集、文稿编写和修改</w:t>
            </w:r>
          </w:p>
        </w:tc>
      </w:tr>
      <w:tr w14:paraId="66739AA1">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45181BC3">
            <w:pPr>
              <w:autoSpaceDE w:val="0"/>
              <w:autoSpaceDN w:val="0"/>
              <w:spacing w:after="80"/>
              <w:contextualSpacing/>
              <w:jc w:val="center"/>
              <w:rPr>
                <w:rFonts w:ascii="Times New Roman" w:hAnsi="Times New Roman" w:eastAsia="宋体" w:cs="Times New Roman"/>
                <w:color w:val="000000" w:themeColor="text1"/>
                <w:kern w:val="0"/>
                <w:sz w:val="22"/>
                <w:szCs w:val="28"/>
                <w14:textFill>
                  <w14:solidFill>
                    <w14:schemeClr w14:val="tx1"/>
                  </w14:solidFill>
                </w14:textFill>
              </w:rPr>
            </w:pPr>
            <w:r>
              <w:rPr>
                <w:rFonts w:hint="eastAsia" w:ascii="Times New Roman" w:hAnsi="Times New Roman" w:eastAsia="宋体" w:cs="Times New Roman"/>
                <w:color w:val="000000" w:themeColor="text1"/>
                <w:kern w:val="0"/>
                <w:sz w:val="22"/>
                <w:szCs w:val="28"/>
                <w:lang w:eastAsia="zh-CN"/>
                <w14:textFill>
                  <w14:solidFill>
                    <w14:schemeClr w14:val="tx1"/>
                  </w14:solidFill>
                </w14:textFill>
              </w:rPr>
              <w:t>于玲玲</w:t>
            </w:r>
          </w:p>
        </w:tc>
        <w:tc>
          <w:tcPr>
            <w:tcW w:w="1280" w:type="pct"/>
            <w:vAlign w:val="center"/>
          </w:tcPr>
          <w:p w14:paraId="46AA0C49">
            <w:pPr>
              <w:spacing w:after="80"/>
              <w:jc w:val="center"/>
              <w:rPr>
                <w:rFonts w:hint="default" w:ascii="Times New Roman" w:hAnsi="Times New Roman" w:eastAsia="宋体" w:cs="Times New Roman"/>
                <w:color w:val="000000" w:themeColor="text1"/>
                <w:kern w:val="0"/>
                <w:szCs w:val="28"/>
                <w:lang w:val="en-US"/>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蒙草生态环境（集团）股份有限公司</w:t>
            </w:r>
          </w:p>
        </w:tc>
        <w:tc>
          <w:tcPr>
            <w:tcW w:w="1020" w:type="pct"/>
            <w:vAlign w:val="center"/>
          </w:tcPr>
          <w:p w14:paraId="18BCA9B8">
            <w:pPr>
              <w:spacing w:after="80"/>
              <w:jc w:val="center"/>
              <w:rPr>
                <w:rFonts w:hint="default"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助理园林工程师</w:t>
            </w:r>
          </w:p>
        </w:tc>
        <w:tc>
          <w:tcPr>
            <w:tcW w:w="1917" w:type="pct"/>
            <w:vAlign w:val="center"/>
          </w:tcPr>
          <w:p w14:paraId="45D20495">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592A34F1">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1DB2A25A">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eastAsia="zh-CN"/>
                <w14:textFill>
                  <w14:solidFill>
                    <w14:schemeClr w14:val="tx1"/>
                  </w14:solidFill>
                </w14:textFill>
              </w:rPr>
              <w:t>陈睿珏</w:t>
            </w:r>
          </w:p>
        </w:tc>
        <w:tc>
          <w:tcPr>
            <w:tcW w:w="1280" w:type="pct"/>
            <w:vAlign w:val="center"/>
          </w:tcPr>
          <w:p w14:paraId="1BCD1123">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蒙草生态环境（集团）股份有限公司</w:t>
            </w:r>
          </w:p>
        </w:tc>
        <w:tc>
          <w:tcPr>
            <w:tcW w:w="1020" w:type="pct"/>
            <w:vAlign w:val="center"/>
          </w:tcPr>
          <w:p w14:paraId="14DF0B5D">
            <w:pPr>
              <w:spacing w:after="80"/>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w:t>
            </w:r>
          </w:p>
        </w:tc>
        <w:tc>
          <w:tcPr>
            <w:tcW w:w="1917" w:type="pct"/>
            <w:vAlign w:val="center"/>
          </w:tcPr>
          <w:p w14:paraId="707EC3DE">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5250E72C">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4126B49D">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eastAsia="zh-CN"/>
                <w14:textFill>
                  <w14:solidFill>
                    <w14:schemeClr w14:val="tx1"/>
                  </w14:solidFill>
                </w14:textFill>
              </w:rPr>
              <w:t>苑峰</w:t>
            </w:r>
          </w:p>
        </w:tc>
        <w:tc>
          <w:tcPr>
            <w:tcW w:w="1280" w:type="pct"/>
            <w:vAlign w:val="center"/>
          </w:tcPr>
          <w:p w14:paraId="4DF03466">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5A46EA0A">
            <w:pPr>
              <w:spacing w:after="80"/>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w:t>
            </w:r>
          </w:p>
        </w:tc>
        <w:tc>
          <w:tcPr>
            <w:tcW w:w="1917" w:type="pct"/>
            <w:vAlign w:val="center"/>
          </w:tcPr>
          <w:p w14:paraId="728311AE">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14A81842">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27BD75BD">
            <w:pPr>
              <w:autoSpaceDE w:val="0"/>
              <w:autoSpaceDN w:val="0"/>
              <w:spacing w:after="80"/>
              <w:contextualSpacing/>
              <w:jc w:val="center"/>
              <w:rPr>
                <w:rFonts w:ascii="Times New Roman" w:hAnsi="Times New Roman" w:eastAsia="宋体" w:cs="Times New Roman"/>
                <w:color w:val="000000" w:themeColor="text1"/>
                <w:kern w:val="0"/>
                <w:sz w:val="22"/>
                <w:szCs w:val="28"/>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李娜</w:t>
            </w:r>
          </w:p>
        </w:tc>
        <w:tc>
          <w:tcPr>
            <w:tcW w:w="1280" w:type="pct"/>
            <w:vAlign w:val="center"/>
          </w:tcPr>
          <w:p w14:paraId="28CBEE79">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509D1DCA">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其它</w:t>
            </w:r>
          </w:p>
        </w:tc>
        <w:tc>
          <w:tcPr>
            <w:tcW w:w="1917" w:type="pct"/>
            <w:vAlign w:val="center"/>
          </w:tcPr>
          <w:p w14:paraId="1C8B8F31">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3DD4AE6C">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0ACD44A6">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杜磊</w:t>
            </w:r>
          </w:p>
        </w:tc>
        <w:tc>
          <w:tcPr>
            <w:tcW w:w="1280" w:type="pct"/>
            <w:vAlign w:val="center"/>
          </w:tcPr>
          <w:p w14:paraId="7834A60B">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00175FA7">
            <w:pPr>
              <w:spacing w:after="80"/>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其它</w:t>
            </w:r>
          </w:p>
        </w:tc>
        <w:tc>
          <w:tcPr>
            <w:tcW w:w="1917" w:type="pct"/>
            <w:vAlign w:val="center"/>
          </w:tcPr>
          <w:p w14:paraId="795CA8BB">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1DD36765">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668A0D20">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张逸敏</w:t>
            </w:r>
          </w:p>
        </w:tc>
        <w:tc>
          <w:tcPr>
            <w:tcW w:w="1280" w:type="pct"/>
            <w:vAlign w:val="center"/>
          </w:tcPr>
          <w:p w14:paraId="19C7E08F">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6B826B34">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初级</w:t>
            </w:r>
          </w:p>
        </w:tc>
        <w:tc>
          <w:tcPr>
            <w:tcW w:w="1917" w:type="pct"/>
            <w:vAlign w:val="center"/>
          </w:tcPr>
          <w:p w14:paraId="4A1D3436">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5BD74AE4">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073DE254">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付娜娜</w:t>
            </w:r>
          </w:p>
        </w:tc>
        <w:tc>
          <w:tcPr>
            <w:tcW w:w="1280" w:type="pct"/>
            <w:vAlign w:val="center"/>
          </w:tcPr>
          <w:p w14:paraId="0FF802FF">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76722AC5">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中级农艺师</w:t>
            </w:r>
          </w:p>
        </w:tc>
        <w:tc>
          <w:tcPr>
            <w:tcW w:w="1917" w:type="pct"/>
            <w:vAlign w:val="center"/>
          </w:tcPr>
          <w:p w14:paraId="55F82009">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7DB59A58">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17C78228">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马彩娥</w:t>
            </w:r>
          </w:p>
        </w:tc>
        <w:tc>
          <w:tcPr>
            <w:tcW w:w="1280" w:type="pct"/>
            <w:vAlign w:val="center"/>
          </w:tcPr>
          <w:p w14:paraId="000557E0">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76F65740">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中级农艺师</w:t>
            </w:r>
          </w:p>
        </w:tc>
        <w:tc>
          <w:tcPr>
            <w:tcW w:w="1917" w:type="pct"/>
            <w:vAlign w:val="center"/>
          </w:tcPr>
          <w:p w14:paraId="3A394396">
            <w:pPr>
              <w:autoSpaceDE w:val="0"/>
              <w:autoSpaceDN w:val="0"/>
              <w:spacing w:after="0"/>
              <w:contextualSpacing/>
              <w:jc w:val="center"/>
              <w:rPr>
                <w:rFonts w:hint="eastAsia" w:ascii="Times New Roman" w:hAnsi="Times New Roman" w:eastAsia="宋体" w:cs="Times New Roman"/>
                <w:color w:val="000000" w:themeColor="text1"/>
                <w:kern w:val="0"/>
                <w:szCs w:val="28"/>
                <w:lang w:eastAsia="zh-CN"/>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4F83502C">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51A9B88F">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赵慧敏</w:t>
            </w:r>
          </w:p>
        </w:tc>
        <w:tc>
          <w:tcPr>
            <w:tcW w:w="1280" w:type="pct"/>
            <w:vAlign w:val="center"/>
          </w:tcPr>
          <w:p w14:paraId="2F362784">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528A363F">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初级</w:t>
            </w:r>
          </w:p>
        </w:tc>
        <w:tc>
          <w:tcPr>
            <w:tcW w:w="1917" w:type="pct"/>
            <w:vAlign w:val="center"/>
          </w:tcPr>
          <w:p w14:paraId="7A113FD2">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0CDED28D">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49184BDB">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李月宏</w:t>
            </w:r>
          </w:p>
        </w:tc>
        <w:tc>
          <w:tcPr>
            <w:tcW w:w="1280" w:type="pct"/>
            <w:vAlign w:val="center"/>
          </w:tcPr>
          <w:p w14:paraId="7BBF6826">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3F9B0208">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其它</w:t>
            </w:r>
          </w:p>
        </w:tc>
        <w:tc>
          <w:tcPr>
            <w:tcW w:w="1917" w:type="pct"/>
            <w:vAlign w:val="center"/>
          </w:tcPr>
          <w:p w14:paraId="7B5FF079">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354A4122">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76E2FB72">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王旗旗</w:t>
            </w:r>
          </w:p>
        </w:tc>
        <w:tc>
          <w:tcPr>
            <w:tcW w:w="1280" w:type="pct"/>
            <w:vAlign w:val="center"/>
          </w:tcPr>
          <w:p w14:paraId="7DDCC2EE">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5F60B865">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其它</w:t>
            </w:r>
          </w:p>
        </w:tc>
        <w:tc>
          <w:tcPr>
            <w:tcW w:w="1917" w:type="pct"/>
            <w:vAlign w:val="center"/>
          </w:tcPr>
          <w:p w14:paraId="2C85D6F8">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6AC6AA29">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1656BE26">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马怀林</w:t>
            </w:r>
          </w:p>
        </w:tc>
        <w:tc>
          <w:tcPr>
            <w:tcW w:w="1280" w:type="pct"/>
            <w:vAlign w:val="center"/>
          </w:tcPr>
          <w:p w14:paraId="57D6C9AE">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24B661DD">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初级</w:t>
            </w:r>
          </w:p>
        </w:tc>
        <w:tc>
          <w:tcPr>
            <w:tcW w:w="1917" w:type="pct"/>
            <w:vAlign w:val="center"/>
          </w:tcPr>
          <w:p w14:paraId="19EACF18">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6A75AE17">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58777F2F">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张雅荣</w:t>
            </w:r>
          </w:p>
        </w:tc>
        <w:tc>
          <w:tcPr>
            <w:tcW w:w="1280" w:type="pct"/>
            <w:vAlign w:val="center"/>
          </w:tcPr>
          <w:p w14:paraId="4ADC3635">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5F98149C">
            <w:pPr>
              <w:spacing w:after="80"/>
              <w:jc w:val="center"/>
              <w:rPr>
                <w:rFonts w:hint="default"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高级林草工程师</w:t>
            </w:r>
          </w:p>
        </w:tc>
        <w:tc>
          <w:tcPr>
            <w:tcW w:w="1917" w:type="pct"/>
            <w:vAlign w:val="center"/>
          </w:tcPr>
          <w:p w14:paraId="56AC6810">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4E7B6DEF">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5E46CFBC">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钱薪禧</w:t>
            </w:r>
          </w:p>
        </w:tc>
        <w:tc>
          <w:tcPr>
            <w:tcW w:w="1280" w:type="pct"/>
            <w:vAlign w:val="center"/>
          </w:tcPr>
          <w:p w14:paraId="12696FE3">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内蒙古草业技术创新中心有限公司</w:t>
            </w:r>
          </w:p>
        </w:tc>
        <w:tc>
          <w:tcPr>
            <w:tcW w:w="1020" w:type="pct"/>
            <w:vAlign w:val="center"/>
          </w:tcPr>
          <w:p w14:paraId="7287A2A9">
            <w:pPr>
              <w:spacing w:after="80"/>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w:t>
            </w:r>
          </w:p>
        </w:tc>
        <w:tc>
          <w:tcPr>
            <w:tcW w:w="1917" w:type="pct"/>
            <w:vAlign w:val="center"/>
          </w:tcPr>
          <w:p w14:paraId="0A6D0FAC">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r w14:paraId="3D3EFF24">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782" w:type="pct"/>
            <w:vAlign w:val="center"/>
          </w:tcPr>
          <w:p w14:paraId="0F53BACC">
            <w:pPr>
              <w:autoSpaceDE w:val="0"/>
              <w:autoSpaceDN w:val="0"/>
              <w:spacing w:after="80"/>
              <w:contextualSpacing/>
              <w:jc w:val="cente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 w:val="22"/>
                <w:szCs w:val="28"/>
                <w:lang w:val="en-US" w:eastAsia="zh-CN"/>
                <w14:textFill>
                  <w14:solidFill>
                    <w14:schemeClr w14:val="tx1"/>
                  </w14:solidFill>
                </w14:textFill>
              </w:rPr>
              <w:t>梁瑞丰</w:t>
            </w:r>
          </w:p>
        </w:tc>
        <w:tc>
          <w:tcPr>
            <w:tcW w:w="1280" w:type="pct"/>
            <w:vAlign w:val="center"/>
          </w:tcPr>
          <w:p w14:paraId="06601039">
            <w:pPr>
              <w:spacing w:after="80"/>
              <w:jc w:val="center"/>
              <w:rPr>
                <w:rFonts w:ascii="Times New Roman" w:hAnsi="Times New Roman" w:eastAsia="宋体" w:cs="Times New Roman"/>
                <w:color w:val="000000" w:themeColor="text1"/>
                <w:kern w:val="0"/>
                <w:szCs w:val="28"/>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蒙草生态环境（集团）股份有限公司</w:t>
            </w:r>
          </w:p>
        </w:tc>
        <w:tc>
          <w:tcPr>
            <w:tcW w:w="1020" w:type="pct"/>
            <w:vAlign w:val="center"/>
          </w:tcPr>
          <w:p w14:paraId="2091052B">
            <w:pPr>
              <w:spacing w:after="80"/>
              <w:jc w:val="center"/>
              <w:rPr>
                <w:rFonts w:hint="eastAsia" w:ascii="Times New Roman" w:hAnsi="Times New Roman" w:eastAsia="宋体" w:cs="Times New Roman"/>
                <w:color w:val="000000" w:themeColor="text1"/>
                <w:kern w:val="0"/>
                <w:szCs w:val="28"/>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8"/>
                <w:lang w:val="en-US" w:eastAsia="zh-CN"/>
                <w14:textFill>
                  <w14:solidFill>
                    <w14:schemeClr w14:val="tx1"/>
                  </w14:solidFill>
                </w14:textFill>
              </w:rPr>
              <w:t>中级</w:t>
            </w:r>
          </w:p>
        </w:tc>
        <w:tc>
          <w:tcPr>
            <w:tcW w:w="1917" w:type="pct"/>
            <w:vAlign w:val="center"/>
          </w:tcPr>
          <w:p w14:paraId="57B4502B">
            <w:pPr>
              <w:spacing w:after="80"/>
              <w:jc w:val="center"/>
              <w:rPr>
                <w:rFonts w:ascii="Times New Roman" w:hAnsi="Times New Roman" w:cs="Times New Roman"/>
                <w:color w:val="000000"/>
                <w:sz w:val="24"/>
              </w:rPr>
            </w:pPr>
            <w:r>
              <w:rPr>
                <w:rFonts w:hint="eastAsia" w:ascii="Times New Roman" w:hAnsi="Times New Roman" w:eastAsia="宋体" w:cs="Times New Roman"/>
                <w:color w:val="000000" w:themeColor="text1"/>
                <w:kern w:val="0"/>
                <w:szCs w:val="28"/>
                <w:lang w:eastAsia="zh-CN"/>
                <w14:textFill>
                  <w14:solidFill>
                    <w14:schemeClr w14:val="tx1"/>
                  </w14:solidFill>
                </w14:textFill>
              </w:rPr>
              <w:t>资料收集</w:t>
            </w:r>
          </w:p>
        </w:tc>
      </w:tr>
    </w:tbl>
    <w:p w14:paraId="2B5CD2CB">
      <w:pPr>
        <w:numPr>
          <w:ilvl w:val="0"/>
          <w:numId w:val="3"/>
        </w:numPr>
        <w:rPr>
          <w:rFonts w:ascii="仿宋" w:hAnsi="仿宋" w:eastAsia="仿宋"/>
          <w:b/>
          <w:bCs/>
          <w:sz w:val="32"/>
          <w:szCs w:val="32"/>
        </w:rPr>
      </w:pPr>
      <w:r>
        <w:rPr>
          <w:rFonts w:ascii="仿宋" w:hAnsi="仿宋" w:eastAsia="仿宋"/>
          <w:b/>
          <w:bCs/>
          <w:sz w:val="32"/>
          <w:szCs w:val="32"/>
        </w:rPr>
        <w:t>起草阶段</w:t>
      </w:r>
    </w:p>
    <w:p w14:paraId="6DF5AAA2">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（1）前期准备阶段（2024年10-12月）</w:t>
      </w:r>
    </w:p>
    <w:p w14:paraId="7A73B9EA">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成立标准编制组，明确各成员职责与分工。收集相关资料，参考国内外先进经验，拟定编制工作方案与技术方案。</w:t>
      </w:r>
    </w:p>
    <w:p w14:paraId="4BAFCC18">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（2）资料整理收集阶段（2025年1-3月）</w:t>
      </w:r>
    </w:p>
    <w:p w14:paraId="51D5C4E2">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根据标准编制内容，广泛收集国内外苜蓿育种加速技术相关资料，涵盖技术原理、应用案例、研究成果等。整理分析苜蓿加代培养过程中光照、营养液使用、病虫害防治、种子收获储存等资料，为标准制定提供数据支持。</w:t>
      </w:r>
    </w:p>
    <w:p w14:paraId="158807EE">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（3）调研阶段（2025年4-8月）</w:t>
      </w:r>
    </w:p>
    <w:p w14:paraId="3426F576">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编制组成员调研中科三安育种加速案例。同时，开展补苜蓿育种加速试验研究，设置不同光照，光照周期，营养液配比等试验处理，监测株高、茎粗、叶宽、分支数、开花数、结荚率等指标，获取一手数据，验证技术可行性与有效性。</w:t>
      </w:r>
    </w:p>
    <w:p w14:paraId="6E000F76">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（4）标准起草阶段（2025年9-12月）</w:t>
      </w:r>
    </w:p>
    <w:p w14:paraId="5FD61E56">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2025年9-11月，根据调研与试验结果，结合相关法律法规和标准要求，起草标准初稿，明确适用范围、规范性引用文件、术语定义、技术流程及管理措施等内容。</w:t>
      </w:r>
    </w:p>
    <w:p w14:paraId="3582FCAC">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2025年11-12月，组织编制组成员进行反复讨论修改后，形成标准讨论稿。</w:t>
      </w:r>
    </w:p>
    <w:p w14:paraId="495BE358">
      <w:pPr>
        <w:numPr>
          <w:ilvl w:val="0"/>
          <w:numId w:val="3"/>
        </w:numPr>
        <w:ind w:left="0" w:leftChars="0" w:firstLine="0" w:firstLineChars="0"/>
        <w:rPr>
          <w:rFonts w:ascii="仿宋" w:hAnsi="仿宋" w:eastAsia="仿宋"/>
          <w:b/>
          <w:bCs/>
          <w:sz w:val="32"/>
          <w:szCs w:val="32"/>
        </w:rPr>
      </w:pPr>
      <w:r>
        <w:rPr>
          <w:rFonts w:ascii="仿宋" w:hAnsi="仿宋" w:eastAsia="仿宋"/>
          <w:b/>
          <w:bCs/>
          <w:sz w:val="32"/>
          <w:szCs w:val="32"/>
        </w:rPr>
        <w:t>征求意见阶段</w:t>
      </w:r>
    </w:p>
    <w:p w14:paraId="069F69F6">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基于人工调控的苜蓿加代技术规程》初稿形成后，向内蒙古大学、西北农林科技大学、内蒙古农业大学、内蒙古自治区农牧业技术推广中心、内蒙古自治区农牧业科学院5家单位的专家征求意见，根据专家建议，进一步修改和完善了技术规程。</w:t>
      </w:r>
    </w:p>
    <w:p w14:paraId="07089240">
      <w:pPr>
        <w:numPr>
          <w:ilvl w:val="0"/>
          <w:numId w:val="3"/>
        </w:numPr>
        <w:ind w:left="0" w:leftChars="0" w:firstLine="0" w:firstLineChars="0"/>
        <w:rPr>
          <w:rFonts w:ascii="仿宋" w:hAnsi="仿宋" w:eastAsia="仿宋"/>
          <w:b/>
          <w:bCs/>
          <w:sz w:val="32"/>
          <w:szCs w:val="32"/>
        </w:rPr>
      </w:pPr>
      <w:r>
        <w:rPr>
          <w:rFonts w:ascii="仿宋" w:hAnsi="仿宋" w:eastAsia="仿宋"/>
          <w:b/>
          <w:bCs/>
          <w:sz w:val="32"/>
          <w:szCs w:val="32"/>
        </w:rPr>
        <w:t>送审阶段</w:t>
      </w:r>
    </w:p>
    <w:p w14:paraId="4AE894DB">
      <w:pPr>
        <w:numPr>
          <w:ilvl w:val="0"/>
          <w:numId w:val="0"/>
        </w:numPr>
        <w:ind w:leftChars="0" w:firstLine="640" w:firstLineChars="200"/>
        <w:rPr>
          <w:rFonts w:ascii="仿宋" w:hAnsi="仿宋" w:eastAsia="仿宋"/>
          <w:b/>
          <w:bCs/>
          <w:sz w:val="32"/>
          <w:szCs w:val="32"/>
        </w:rPr>
      </w:pPr>
      <w:r>
        <w:rPr>
          <w:rFonts w:hint="eastAsia" w:ascii="仿宋" w:hAnsi="仿宋" w:eastAsia="仿宋" w:cs="仿宋"/>
          <w:kern w:val="2"/>
          <w:sz w:val="32"/>
          <w:szCs w:val="32"/>
          <w:lang w:val="en-US" w:eastAsia="zh-CN" w:bidi="ar-SA"/>
          <w14:ligatures w14:val="standardContextual"/>
        </w:rPr>
        <w:t>通过广泛征集专家意见，进一步修改和完善了文本内容，形成标准送审稿。</w:t>
      </w:r>
    </w:p>
    <w:p w14:paraId="28D42E53">
      <w:pPr>
        <w:numPr>
          <w:ilvl w:val="0"/>
          <w:numId w:val="3"/>
        </w:numPr>
        <w:ind w:left="0" w:leftChars="0" w:firstLine="0" w:firstLineChars="0"/>
        <w:rPr>
          <w:rFonts w:ascii="仿宋" w:hAnsi="仿宋" w:eastAsia="仿宋"/>
          <w:b/>
          <w:bCs/>
          <w:sz w:val="32"/>
          <w:szCs w:val="32"/>
        </w:rPr>
      </w:pPr>
      <w:r>
        <w:rPr>
          <w:rFonts w:ascii="仿宋" w:hAnsi="仿宋" w:eastAsia="仿宋"/>
          <w:b/>
          <w:bCs/>
          <w:sz w:val="32"/>
          <w:szCs w:val="32"/>
        </w:rPr>
        <w:t>报批阶段</w:t>
      </w:r>
    </w:p>
    <w:p w14:paraId="498189D2">
      <w:pPr>
        <w:pStyle w:val="3"/>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sz w:val="32"/>
          <w:szCs w:val="32"/>
          <w:lang w:val="en-US"/>
        </w:rPr>
      </w:pPr>
      <w:r>
        <w:rPr>
          <w:rFonts w:hint="eastAsia"/>
          <w:sz w:val="32"/>
          <w:szCs w:val="32"/>
        </w:rPr>
        <w:t>根据</w:t>
      </w:r>
      <w:r>
        <w:rPr>
          <w:rFonts w:hint="eastAsia"/>
          <w:sz w:val="32"/>
          <w:szCs w:val="32"/>
          <w:lang w:val="en-US" w:eastAsia="zh-CN"/>
        </w:rPr>
        <w:t>终审会</w:t>
      </w:r>
      <w:r>
        <w:rPr>
          <w:rFonts w:hint="eastAsia"/>
          <w:sz w:val="32"/>
          <w:szCs w:val="32"/>
        </w:rPr>
        <w:t>意见对</w:t>
      </w:r>
      <w:r>
        <w:rPr>
          <w:rFonts w:hint="eastAsia"/>
          <w:sz w:val="32"/>
          <w:szCs w:val="32"/>
          <w:lang w:val="en-US" w:eastAsia="zh-CN"/>
        </w:rPr>
        <w:t>标准及编制说明送审</w:t>
      </w:r>
      <w:r>
        <w:rPr>
          <w:rFonts w:hint="eastAsia"/>
          <w:sz w:val="32"/>
          <w:szCs w:val="32"/>
        </w:rPr>
        <w:t>稿进行修改完善</w:t>
      </w:r>
      <w:r>
        <w:rPr>
          <w:rFonts w:hint="eastAsia"/>
          <w:sz w:val="32"/>
          <w:szCs w:val="32"/>
          <w:lang w:val="en-US" w:eastAsia="zh-CN"/>
        </w:rPr>
        <w:t>形成报批稿</w:t>
      </w:r>
      <w:r>
        <w:rPr>
          <w:rFonts w:hint="eastAsia"/>
          <w:sz w:val="32"/>
          <w:szCs w:val="32"/>
        </w:rPr>
        <w:t>，报送至</w:t>
      </w:r>
      <w:r>
        <w:rPr>
          <w:rFonts w:hint="eastAsia"/>
          <w:sz w:val="32"/>
          <w:szCs w:val="32"/>
          <w:lang w:val="en-US" w:eastAsia="zh-CN"/>
        </w:rPr>
        <w:t>内蒙古标准化协会审查，审查通过后进行发布及出版。</w:t>
      </w:r>
    </w:p>
    <w:p w14:paraId="153E15C7">
      <w:pPr>
        <w:rPr>
          <w:rFonts w:hint="eastAsia" w:ascii="黑体" w:hAnsi="黑体" w:eastAsia="黑体"/>
          <w:sz w:val="32"/>
          <w:szCs w:val="32"/>
          <w:lang w:val="en-US" w:eastAsia="zh-CN"/>
        </w:rPr>
      </w:pPr>
      <w:r>
        <w:rPr>
          <w:rFonts w:ascii="黑体" w:hAnsi="黑体" w:eastAsia="黑体"/>
          <w:sz w:val="32"/>
          <w:szCs w:val="32"/>
        </w:rPr>
        <w:t>四、制定标准的原则和依据，与现行法律、法规、标准的关系</w:t>
      </w:r>
      <w:r>
        <w:rPr>
          <w:rFonts w:hint="eastAsia" w:ascii="黑体" w:hAnsi="黑体" w:eastAsia="黑体"/>
          <w:sz w:val="32"/>
          <w:szCs w:val="32"/>
          <w:lang w:val="en-US" w:eastAsia="zh-CN"/>
        </w:rPr>
        <w:tab/>
      </w:r>
    </w:p>
    <w:p w14:paraId="5A4F4590">
      <w:pPr>
        <w:rPr>
          <w:rFonts w:ascii="仿宋" w:hAnsi="仿宋" w:eastAsia="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（一）</w:t>
      </w:r>
      <w:r>
        <w:rPr>
          <w:rFonts w:ascii="仿宋" w:hAnsi="仿宋" w:eastAsia="仿宋"/>
          <w:b/>
          <w:bCs/>
          <w:color w:val="000000" w:themeColor="text1"/>
          <w:sz w:val="32"/>
          <w:szCs w:val="32"/>
          <w14:textFill>
            <w14:solidFill>
              <w14:schemeClr w14:val="tx1"/>
            </w14:solidFill>
          </w14:textFill>
        </w:rPr>
        <w:t>原则和依据</w:t>
      </w:r>
    </w:p>
    <w:p w14:paraId="5ECC231A">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1.编制原则</w:t>
      </w:r>
    </w:p>
    <w:p w14:paraId="737DF399">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 xml:space="preserve">（1）科学性原则：以植物生理学、设施农业、育种学理论为基础，结合试验数据与成熟技术，确保参数精准、流程科学。 </w:t>
      </w:r>
    </w:p>
    <w:p w14:paraId="5C058AC2">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 xml:space="preserve">（2）实用性原则：贴合国内苜蓿育种科研与生产实际，操作简便、参数明确，适配科研机构、育种企业等不同主体应用。 </w:t>
      </w:r>
    </w:p>
    <w:p w14:paraId="737CF9E5">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（3）规范性原则：严格遵循 GB/T 1.1—2020《标准化工作导则 第 1 部分：标准化文件的结构和起草规则》，引用现行有效国家、行业标准，保障文本规范严谨。</w:t>
      </w:r>
    </w:p>
    <w:p w14:paraId="1FCCB437">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 xml:space="preserve">（4）创新性原则：聚焦人工精准调控，突破传统育种气候限制，形成国内领先的苜蓿加代标准化技术体系。 </w:t>
      </w:r>
    </w:p>
    <w:p w14:paraId="77455BA8">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（5）安全性原则：突出绿色防控、安全用药、种子安全储存，保障生产过程与产品质量安全。</w:t>
      </w:r>
    </w:p>
    <w:p w14:paraId="5A5D050E">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2.编制依据</w:t>
      </w:r>
    </w:p>
    <w:p w14:paraId="04C8A9DE">
      <w:pPr>
        <w:ind w:firstLine="640" w:firstLineChars="200"/>
        <w:rPr>
          <w:rFonts w:hint="default" w:ascii="仿宋" w:hAnsi="仿宋" w:eastAsia="仿宋" w:cs="仿宋"/>
          <w:kern w:val="2"/>
          <w:sz w:val="32"/>
          <w:szCs w:val="32"/>
          <w:lang w:val="en-US" w:eastAsia="zh-CN" w:bidi="ar-SA"/>
          <w14:ligatures w14:val="standardContextual"/>
        </w:rPr>
      </w:pPr>
      <w:r>
        <w:rPr>
          <w:rFonts w:hint="default" w:ascii="仿宋" w:hAnsi="仿宋" w:eastAsia="仿宋" w:cs="仿宋"/>
          <w:kern w:val="2"/>
          <w:sz w:val="32"/>
          <w:szCs w:val="32"/>
          <w:lang w:val="en-US" w:eastAsia="zh-CN" w:bidi="ar-SA"/>
          <w14:ligatures w14:val="standardContextual"/>
        </w:rPr>
        <w:t>本标准的编制依据是多层次、多学科的，旨在确保规程的科学性、实用性、可操作性与生产安全性。</w:t>
      </w:r>
    </w:p>
    <w:p w14:paraId="026232F5">
      <w:pPr>
        <w:ind w:firstLine="640" w:firstLineChars="200"/>
        <w:rPr>
          <w:rFonts w:hint="default" w:ascii="仿宋" w:hAnsi="仿宋" w:eastAsia="仿宋" w:cs="仿宋"/>
          <w:kern w:val="2"/>
          <w:sz w:val="32"/>
          <w:szCs w:val="32"/>
          <w:lang w:val="en-US" w:eastAsia="zh-CN" w:bidi="ar-SA"/>
          <w14:ligatures w14:val="standardContextual"/>
        </w:rPr>
      </w:pPr>
      <w:r>
        <w:rPr>
          <w:rFonts w:hint="default" w:ascii="仿宋" w:hAnsi="仿宋" w:eastAsia="仿宋" w:cs="仿宋"/>
          <w:kern w:val="2"/>
          <w:sz w:val="32"/>
          <w:szCs w:val="32"/>
          <w:lang w:val="en-US" w:eastAsia="zh-CN" w:bidi="ar-SA"/>
          <w14:ligatures w14:val="standardContextual"/>
        </w:rPr>
        <w:t>首先，本标准编制的总纲和技术方向与国家种业振兴、畜牧业高质量发展、草原生态保护战略保持一致，明确草种育种创新、质量管控、资源高效利用与生态安全的法定要求，强化苜蓿种业自主可控与产业可持续发展。其次，以植物生理学、设施农业、育种学、气候调控原理、种子生物学等理论为科学依据；同时，以苜蓿高效加代、人工环境精准调控、光周期诱导开花、营养液精准供给、绿色病虫害防控、种子安全收获储存等核心技术体系为技术依据。在遵循法律法规与作物生长规律的前提下，集成经试验验证、稳定高效、可复制的人工调控技术措施，形成标准化、可落地的苜蓿加代操作流程，以实现苜蓿育种周期大幅缩短、优良品种快速选育与种业技术自主提升。</w:t>
      </w:r>
    </w:p>
    <w:p w14:paraId="6F86BD5E">
      <w:pPr>
        <w:ind w:firstLine="640" w:firstLineChars="200"/>
        <w:rPr>
          <w:rFonts w:hint="default" w:ascii="仿宋" w:hAnsi="仿宋" w:eastAsia="仿宋" w:cs="仿宋"/>
          <w:kern w:val="2"/>
          <w:sz w:val="32"/>
          <w:szCs w:val="32"/>
          <w:lang w:val="en-US" w:eastAsia="zh-CN" w:bidi="ar-SA"/>
          <w14:ligatures w14:val="standardContextual"/>
        </w:rPr>
      </w:pPr>
      <w:r>
        <w:rPr>
          <w:rFonts w:hint="default" w:ascii="仿宋" w:hAnsi="仿宋" w:eastAsia="仿宋" w:cs="仿宋"/>
          <w:kern w:val="2"/>
          <w:sz w:val="32"/>
          <w:szCs w:val="32"/>
          <w:lang w:val="en-US" w:eastAsia="zh-CN" w:bidi="ar-SA"/>
          <w14:ligatures w14:val="standardContextual"/>
        </w:rPr>
        <w:t>最终形成的标准文本，其章节内容（如适用范围、规范性引用文件、术语和定义、设施准备、培养条件、培养流程、营养液使用、病虫害防治、种子收获储存、生产档案等）正是上述各项依据的具体体现与系统整合。</w:t>
      </w:r>
    </w:p>
    <w:p w14:paraId="35B1195E">
      <w:pPr>
        <w:numPr>
          <w:ilvl w:val="0"/>
          <w:numId w:val="4"/>
        </w:numPr>
        <w:rPr>
          <w:rFonts w:ascii="仿宋" w:hAnsi="仿宋" w:eastAsia="仿宋"/>
          <w:b/>
          <w:bCs/>
          <w:color w:val="000000" w:themeColor="text1"/>
          <w:sz w:val="32"/>
          <w:szCs w:val="32"/>
          <w14:textFill>
            <w14:solidFill>
              <w14:schemeClr w14:val="tx1"/>
            </w14:solidFill>
          </w14:textFill>
        </w:rPr>
      </w:pPr>
      <w:r>
        <w:rPr>
          <w:rFonts w:ascii="仿宋" w:hAnsi="仿宋" w:eastAsia="仿宋"/>
          <w:b/>
          <w:bCs/>
          <w:color w:val="000000" w:themeColor="text1"/>
          <w:sz w:val="32"/>
          <w:szCs w:val="32"/>
          <w14:textFill>
            <w14:solidFill>
              <w14:schemeClr w14:val="tx1"/>
            </w14:solidFill>
          </w14:textFill>
        </w:rPr>
        <w:t>与现行法律、法规、标准的关系</w:t>
      </w:r>
    </w:p>
    <w:p w14:paraId="05FF1876">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本标准不违背、不冲突现行法律法规及国家、行业标准；引用相关标准均为现行有效版本；国内暂无苜蓿人工调控加代技术专项标准，本标准填补领域空白，与现有牧草育种、设施农业标准互为补充、协同适配。</w:t>
      </w:r>
    </w:p>
    <w:p w14:paraId="5F252BCA">
      <w:pPr>
        <w:rPr>
          <w:rFonts w:ascii="黑体" w:hAnsi="黑体" w:eastAsia="黑体"/>
          <w:sz w:val="32"/>
          <w:szCs w:val="32"/>
        </w:rPr>
      </w:pPr>
      <w:r>
        <w:rPr>
          <w:rFonts w:ascii="黑体" w:hAnsi="黑体" w:eastAsia="黑体"/>
          <w:sz w:val="32"/>
          <w:szCs w:val="32"/>
        </w:rPr>
        <w:t>五、主要条款的说明，主要技术指标、参数、试验验证的论述</w:t>
      </w:r>
    </w:p>
    <w:p w14:paraId="305B9D60">
      <w:p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1.主要条款说明</w:t>
      </w:r>
    </w:p>
    <w:p w14:paraId="2278EA84">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适用范围：规定标准适用于人工调控环境下苜蓿加代繁育的生产操作、技术指导与质量管控，覆盖科研育种、良种繁育等场景。</w:t>
      </w:r>
    </w:p>
    <w:p w14:paraId="7833D1F8">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规范性引用文件：列出所引用的国家、行业标准，确保技术要求有据可依。</w:t>
      </w:r>
    </w:p>
    <w:p w14:paraId="2F1F6574">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术语和定义：界定 “苜蓿加代、人工调控、光周期诱导、种子成熟” 等关键术语，统一技术表述。</w:t>
      </w:r>
    </w:p>
    <w:p w14:paraId="6276F1EC">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设施准备与设备调控：明确培养架、光照设备、培养基质、培养条件等核心要求，保障加代基础环境稳定。</w:t>
      </w:r>
    </w:p>
    <w:p w14:paraId="21A39E9B">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培养流程：规范种子萌发、幼苗移栽、光周期诱导、授粉、种子收获储存全流程操作，实现闭环管控。</w:t>
      </w:r>
    </w:p>
    <w:p w14:paraId="71E3B590">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营养液使用：明确营养液选型、稀释比例、浇灌频率与用量，保障营养供给均衡。</w:t>
      </w:r>
    </w:p>
    <w:p w14:paraId="1D6C9F33">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病虫害防治：遵循 “预防为主、综合防治”，规范物理防控、化学用药要求，保障生产安全。</w:t>
      </w:r>
    </w:p>
    <w:p w14:paraId="0E2AF281">
      <w:p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生产档案：要求全程记录关键信息，实现可追溯。</w:t>
      </w:r>
    </w:p>
    <w:p w14:paraId="335BCD0A">
      <w:pPr>
        <w:numPr>
          <w:ilvl w:val="0"/>
          <w:numId w:val="5"/>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主要技术指标、参数及试验验证</w:t>
      </w:r>
    </w:p>
    <w:p w14:paraId="12A5933A">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（1）培养架高度</w:t>
      </w:r>
    </w:p>
    <w:p w14:paraId="29415A83">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营养生长期：架体每层高度为30cm~50cm，宽度60cm，以确利于幼苗及营养器官生长，避免徒长或光照不足。</w:t>
      </w:r>
    </w:p>
    <w:p w14:paraId="5DB5442E">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生殖生长期：架体有效高度应不低于70 cm，以满足苜蓿开花及结荚阶段的空间需求。</w:t>
      </w:r>
    </w:p>
    <w:p w14:paraId="528017B9">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（2）光照要求</w:t>
      </w:r>
    </w:p>
    <w:p w14:paraId="0C815651">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光源类型：采用S-T8-9028型LED植物补光灯管，功率为28W，分为红蓝光型和全光谱自然光型两类。</w:t>
      </w:r>
    </w:p>
    <w:p w14:paraId="07E6E5AB">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配置方式：每层配置红蓝光灯管2根+全光谱自然光灯管1根，灯管应沿培养架长度方向平行安装，灯管距离植株顶部宜控制在 20 cm，确保光照无阴影或死角。</w:t>
      </w:r>
    </w:p>
    <w:p w14:paraId="72B6AD99">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辅助设备：每培养单元应配套定时器（符合QB/T4456要求）、电源插头线（20条/批次）及串联线（50根/批次），定时器精度应≤±1min/24h。</w:t>
      </w:r>
    </w:p>
    <w:p w14:paraId="7554BAB8">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p>
    <w:p w14:paraId="6EE7C351">
      <w:pPr>
        <w:numPr>
          <w:ilvl w:val="0"/>
          <w:numId w:val="0"/>
        </w:numPr>
        <w:jc w:val="center"/>
        <w:rPr>
          <w:rFonts w:hint="eastAsia" w:ascii="仿宋" w:hAnsi="仿宋" w:eastAsia="仿宋" w:cs="仿宋"/>
          <w:b/>
          <w:bCs/>
          <w:kern w:val="2"/>
          <w:sz w:val="32"/>
          <w:szCs w:val="32"/>
          <w:lang w:val="en-US" w:eastAsia="zh-CN" w:bidi="ar-SA"/>
          <w14:ligatures w14:val="standardContextual"/>
        </w:rPr>
      </w:pPr>
      <w:r>
        <w:rPr>
          <w:rFonts w:hint="eastAsia" w:ascii="仿宋" w:hAnsi="仿宋" w:eastAsia="仿宋" w:cs="仿宋"/>
          <w:b/>
          <w:bCs/>
          <w:kern w:val="2"/>
          <w:sz w:val="32"/>
          <w:szCs w:val="32"/>
          <w:lang w:val="en-US" w:eastAsia="zh-CN" w:bidi="ar-SA"/>
          <w14:ligatures w14:val="standardContextual"/>
        </w:rPr>
        <w:t>表2  LED植物补光灯管参数要求</w:t>
      </w:r>
    </w:p>
    <w:tbl>
      <w:tblPr>
        <w:tblStyle w:val="6"/>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47"/>
        <w:gridCol w:w="3223"/>
        <w:gridCol w:w="1824"/>
      </w:tblGrid>
      <w:tr w14:paraId="3F172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7" w:type="pct"/>
          </w:tcPr>
          <w:p w14:paraId="54B702A8">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灯管类型</w:t>
            </w:r>
          </w:p>
        </w:tc>
        <w:tc>
          <w:tcPr>
            <w:tcW w:w="1942" w:type="pct"/>
          </w:tcPr>
          <w:p w14:paraId="4D0BD780">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型号规格</w:t>
            </w:r>
          </w:p>
        </w:tc>
        <w:tc>
          <w:tcPr>
            <w:tcW w:w="1099" w:type="pct"/>
          </w:tcPr>
          <w:p w14:paraId="7D22B4C6">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功率</w:t>
            </w:r>
          </w:p>
        </w:tc>
      </w:tr>
      <w:tr w14:paraId="2ADA7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7" w:type="pct"/>
          </w:tcPr>
          <w:p w14:paraId="26DBC172">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红蓝光 LED 灯管</w:t>
            </w:r>
          </w:p>
        </w:tc>
        <w:tc>
          <w:tcPr>
            <w:tcW w:w="1942" w:type="pct"/>
          </w:tcPr>
          <w:p w14:paraId="6447BD23">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S-T8-9028@红蓝光</w:t>
            </w:r>
          </w:p>
        </w:tc>
        <w:tc>
          <w:tcPr>
            <w:tcW w:w="1099" w:type="pct"/>
          </w:tcPr>
          <w:p w14:paraId="21EBB1B2">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28W</w:t>
            </w:r>
          </w:p>
        </w:tc>
      </w:tr>
      <w:tr w14:paraId="16EA4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7" w:type="pct"/>
          </w:tcPr>
          <w:p w14:paraId="62067B3E">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全光谱 LED 灯管</w:t>
            </w:r>
          </w:p>
        </w:tc>
        <w:tc>
          <w:tcPr>
            <w:tcW w:w="1942" w:type="pct"/>
          </w:tcPr>
          <w:p w14:paraId="4A1E336A">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S-T8-9028@全光谱</w:t>
            </w:r>
          </w:p>
        </w:tc>
        <w:tc>
          <w:tcPr>
            <w:tcW w:w="1099" w:type="pct"/>
          </w:tcPr>
          <w:p w14:paraId="676DD3D0">
            <w:pPr>
              <w:numPr>
                <w:ilvl w:val="0"/>
                <w:numId w:val="0"/>
              </w:numPr>
              <w:jc w:val="both"/>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28W</w:t>
            </w:r>
          </w:p>
        </w:tc>
      </w:tr>
    </w:tbl>
    <w:p w14:paraId="4B45AC98">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（3）培养基质</w:t>
      </w:r>
    </w:p>
    <w:p w14:paraId="51301986">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基质配比：采用“营养土：蛭石：黑土=1:1:1”（体积比）混合配制，混合过程应搅拌均匀，无明显结块。</w:t>
      </w:r>
    </w:p>
    <w:p w14:paraId="042EA6FE">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质量要求：营养土：应符合NY/T 2118要求，有机质含量≥30%，pH值6.0~7.5，无病虫害卵及杂草种子。蛭石：应符合JC/T2042要求，粒径2mm~5mm，膨胀倍数≥15倍，含水率≤10%。黑土：应选用腐殖质含量≥5%的田园黑土，经过10目筛过滤，去除杂质及石块。</w:t>
      </w:r>
    </w:p>
    <w:p w14:paraId="038E4F3B">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（4）培养皿和花盆</w:t>
      </w:r>
    </w:p>
    <w:p w14:paraId="3356C33C">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培养皿：用于种子萌发阶段的培养皿，选用直径9cm~12cm的玻璃或一次性塑料培养皿，透光率≥90%，符合GB/T11415实验室玻璃仪器培养皿要求。</w:t>
      </w:r>
    </w:p>
    <w:p w14:paraId="174FDEAA">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花盆：用于移栽和后期培养的花盆，应采用直径约 10 cm 的塑料或陶土花盆，底部应设置 3～5 个排水孔，孔径 5 mm～8 mm，以防止基质积水和根系缺氧。</w:t>
      </w:r>
    </w:p>
    <w:p w14:paraId="5CE0AEEB">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（5） 培养条件</w:t>
      </w:r>
    </w:p>
    <w:p w14:paraId="46FC030B">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温度：苜蓿全生育期温度宜控制在 20 ℃～25 ℃，昼夜温差应≤5℃；采用温控设备（空调）调控，温度波动精度应≤±1℃。避免温度剧烈波动对开花诱导造成干扰。</w:t>
      </w:r>
    </w:p>
    <w:p w14:paraId="2B2DD4C0">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湿度：培养室空气相对湿度应控制在 40% 左右，波动范围≤±5%，可通过除湿机或加湿器调节。</w:t>
      </w:r>
    </w:p>
    <w:p w14:paraId="64D8097B">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通风：培养室应配备轴流风机，通风频率为每小时换气2次～3次，确保室内CO₂浓度≥300ppm，无异味积聚。</w:t>
      </w:r>
    </w:p>
    <w:p w14:paraId="12127349">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光照：营养生长期：光照时长12h/d，黑暗时长12h/d，以促进营养生长和植株健壮发育；生殖生长期：光照时长延长至20h/d~22h/d，黑暗时长2h/d~4h/d，通过长日照诱导苜蓿花芽分化。光照周期切换应通过定时器自动控制，避免人工操作误差。</w:t>
      </w:r>
    </w:p>
    <w:p w14:paraId="63B9B8B3">
      <w:pPr>
        <w:numPr>
          <w:ilvl w:val="0"/>
          <w:numId w:val="6"/>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营养液</w:t>
      </w:r>
    </w:p>
    <w:p w14:paraId="42AF85BE">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营养成分：淘宝购买美乐棵通用型浓缩营养液，主要营养成分含量应≥200g/L（N+P₂O₅+K₂O），且含微量元素（Fe、Mn、Zn等）。稀释：按产品说明书要求稀释，30ml浓缩液配置4L水。</w:t>
      </w:r>
    </w:p>
    <w:p w14:paraId="1A07F177">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浇灌要求：采用滴灌或沿盆边浇灌方式，避免直接冲淋根系；苗期每3天浇灌1次，每次每盆 100mL~120mL；营养生长期至结荚期每2天浇灌 1 次，每次每盆120mL~150mL；浇灌时间选择光照期前2小时，确保养分充分吸收。</w:t>
      </w:r>
    </w:p>
    <w:p w14:paraId="1C499B0A">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（7）病虫害防治</w:t>
      </w:r>
    </w:p>
    <w:p w14:paraId="274E68A2">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遵循“预防为主、综合防治”，优先采用物理防治（如黄板诱杀），化学防治应符合GB/T 8321要求，禁止使用剧毒、高毒农药。如使用农药，选用新朝阳藜芦碱杀虫剂、国光红杀杀螨剂以下两类农药交替使用，避免抗性产生。</w:t>
      </w:r>
    </w:p>
    <w:p w14:paraId="6BF279B7">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（7）种子萌发</w:t>
      </w:r>
    </w:p>
    <w:p w14:paraId="3D6AD384">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将苜蓿种子均匀铺于铺有2层湿润滤纸的培养皿中，滤纸含水率以“手捏成团、松开不散”为宜，每培养皿播种量≤50粒，避免种子重叠。置于营养生长期培养架，温度20℃~25℃，黑暗环境（覆盖遮光布），培养3d~7d，待种子胚根长度≥1cm时移栽。</w:t>
      </w:r>
    </w:p>
    <w:p w14:paraId="2C1B4394">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（8）幼苗移栽</w:t>
      </w:r>
    </w:p>
    <w:p w14:paraId="6B853E5A">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将萌发后的幼苗单株移栽至装有培养基质的花盆中，每盆移栽1株，移栽深度为胚轴基部与基质表面齐平，移栽后轻压基质，浇透定根水。</w:t>
      </w:r>
    </w:p>
    <w:p w14:paraId="7F9324B9">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移栽后置于营养生长期培养架，培养2个月～3个月，待株高达到40cm时进入光周期诱导阶段。</w:t>
      </w:r>
    </w:p>
    <w:p w14:paraId="6719E8BB">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（9）光周期诱导</w:t>
      </w:r>
    </w:p>
    <w:p w14:paraId="79B360BD">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将株高大于40cm的植株转移至生殖生长期培养架，调控光照时长至 20h/d~22h/d，黑暗时长 2h/d~4h，其他条件保持不变。</w:t>
      </w:r>
    </w:p>
    <w:p w14:paraId="5E89F068">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观察：诱导约 2 周后，当植株出现≥3 个 /cm² 的花芽时，准备授粉操作。</w:t>
      </w:r>
    </w:p>
    <w:p w14:paraId="47718428">
      <w:pPr>
        <w:numPr>
          <w:ilvl w:val="0"/>
          <w:numId w:val="0"/>
        </w:numPr>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（10）授粉与种子收获</w:t>
      </w:r>
    </w:p>
    <w:p w14:paraId="2FC77EEE">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授粉：采用蜜蜂授粉，选用中蜂或意蜂，蜂群数量以“每100株苜蓿配置1箱蜂”为宜，授粉期间保持通风良好，避免蜂群应激。</w:t>
      </w:r>
    </w:p>
    <w:p w14:paraId="173A32DC">
      <w:pPr>
        <w:numPr>
          <w:ilvl w:val="0"/>
          <w:numId w:val="0"/>
        </w:numPr>
        <w:ind w:firstLine="640" w:firstLineChars="200"/>
        <w:rPr>
          <w:rFonts w:hint="eastAsia" w:ascii="仿宋" w:hAnsi="仿宋" w:eastAsia="仿宋" w:cs="仿宋"/>
          <w:kern w:val="2"/>
          <w:sz w:val="32"/>
          <w:szCs w:val="32"/>
          <w:lang w:val="en-US" w:eastAsia="zh-CN" w:bidi="ar-SA"/>
          <w14:ligatures w14:val="standardContextual"/>
        </w:rPr>
      </w:pPr>
      <w:r>
        <w:rPr>
          <w:rFonts w:hint="eastAsia" w:ascii="仿宋" w:hAnsi="仿宋" w:eastAsia="仿宋" w:cs="仿宋"/>
          <w:kern w:val="2"/>
          <w:sz w:val="32"/>
          <w:szCs w:val="32"/>
          <w:lang w:val="en-US" w:eastAsia="zh-CN" w:bidi="ar-SA"/>
          <w14:ligatures w14:val="standardContextual"/>
        </w:rPr>
        <w:t>收获：当荚果颜色由绿转为黄褐色、种子变硬时，及时收获种子，晾晒至含水率≤12%（采用水分测定仪检测），密封储存。</w:t>
      </w:r>
    </w:p>
    <w:p w14:paraId="4C70B056">
      <w:pPr>
        <w:numPr>
          <w:ilvl w:val="0"/>
          <w:numId w:val="7"/>
        </w:numPr>
        <w:rPr>
          <w:rFonts w:ascii="黑体" w:hAnsi="黑体" w:eastAsia="黑体"/>
          <w:sz w:val="32"/>
          <w:szCs w:val="32"/>
        </w:rPr>
      </w:pPr>
      <w:r>
        <w:rPr>
          <w:rFonts w:ascii="黑体" w:hAnsi="黑体" w:eastAsia="黑体"/>
          <w:sz w:val="32"/>
          <w:szCs w:val="32"/>
        </w:rPr>
        <w:t>重大意见分歧的处理依据和结果</w:t>
      </w:r>
    </w:p>
    <w:p w14:paraId="58DF968E">
      <w:pPr>
        <w:numPr>
          <w:ilvl w:val="0"/>
          <w:numId w:val="0"/>
        </w:numPr>
        <w:ind w:firstLine="640" w:firstLineChars="200"/>
        <w:rPr>
          <w:rFonts w:hint="eastAsia" w:ascii="黑体" w:hAnsi="黑体" w:eastAsia="仿宋"/>
          <w:sz w:val="32"/>
          <w:szCs w:val="32"/>
          <w:lang w:eastAsia="zh-CN"/>
        </w:rPr>
      </w:pPr>
      <w:r>
        <w:rPr>
          <w:rFonts w:hint="eastAsia" w:ascii="Times New Roman" w:hAnsi="Times New Roman" w:eastAsia="仿宋"/>
          <w:sz w:val="32"/>
          <w:szCs w:val="32"/>
        </w:rPr>
        <w:t>本标准在起草和编制过程中，针对一些关键技术问题和指标设定进行了深入讨论，与科研院所、高等院校相关单位和个人形成了统一意见，确保标准的科学性和实用性。</w:t>
      </w:r>
      <w:r>
        <w:rPr>
          <w:rFonts w:hint="eastAsia" w:ascii="Times New Roman" w:hAnsi="Times New Roman" w:eastAsia="仿宋"/>
          <w:sz w:val="32"/>
          <w:szCs w:val="32"/>
          <w:lang w:eastAsia="zh-CN"/>
        </w:rPr>
        <w:t>无重大意见分歧。</w:t>
      </w:r>
    </w:p>
    <w:p w14:paraId="436FD6BF">
      <w:pPr>
        <w:numPr>
          <w:ilvl w:val="0"/>
          <w:numId w:val="7"/>
        </w:numPr>
        <w:ind w:left="0" w:leftChars="0" w:firstLine="0" w:firstLineChars="0"/>
        <w:rPr>
          <w:rFonts w:ascii="黑体" w:hAnsi="黑体" w:eastAsia="黑体"/>
          <w:sz w:val="32"/>
          <w:szCs w:val="32"/>
        </w:rPr>
      </w:pPr>
      <w:r>
        <w:rPr>
          <w:rFonts w:ascii="黑体" w:hAnsi="黑体" w:eastAsia="黑体"/>
          <w:sz w:val="32"/>
          <w:szCs w:val="32"/>
        </w:rPr>
        <w:t>采用国际标准或国外先进标准的，说明采标程度，以及国内外同类标准水平的对比情况</w:t>
      </w:r>
    </w:p>
    <w:p w14:paraId="28887F76">
      <w:pPr>
        <w:numPr>
          <w:ilvl w:val="0"/>
          <w:numId w:val="0"/>
        </w:numPr>
        <w:ind w:firstLine="640" w:firstLineChars="200"/>
        <w:rPr>
          <w:rFonts w:hint="eastAsia" w:ascii="Times New Roman" w:hAnsi="Times New Roman" w:eastAsia="仿宋"/>
          <w:sz w:val="32"/>
          <w:szCs w:val="32"/>
        </w:rPr>
      </w:pPr>
      <w:r>
        <w:rPr>
          <w:rFonts w:hint="eastAsia" w:ascii="Times New Roman" w:hAnsi="Times New Roman" w:eastAsia="仿宋"/>
          <w:sz w:val="32"/>
          <w:szCs w:val="32"/>
          <w:lang w:val="en-US" w:eastAsia="zh-CN"/>
        </w:rPr>
        <w:t>未直接采用国际标准或国外先进标准，编制过程参考国外苜蓿育种、植物工厂先进理念与技术思路，结合我国苜蓿品种特性与生产实际优化创新。</w:t>
      </w:r>
    </w:p>
    <w:p w14:paraId="292ADEEC">
      <w:pPr>
        <w:numPr>
          <w:ilvl w:val="0"/>
          <w:numId w:val="0"/>
        </w:numPr>
        <w:ind w:firstLine="640" w:firstLineChars="200"/>
        <w:rPr>
          <w:rFonts w:hint="eastAsia" w:ascii="Times New Roman" w:hAnsi="Times New Roman" w:eastAsia="仿宋"/>
          <w:sz w:val="32"/>
          <w:szCs w:val="32"/>
        </w:rPr>
      </w:pPr>
      <w:r>
        <w:rPr>
          <w:rFonts w:hint="eastAsia" w:ascii="Times New Roman" w:hAnsi="Times New Roman" w:eastAsia="仿宋"/>
          <w:sz w:val="32"/>
          <w:szCs w:val="32"/>
          <w:lang w:val="en-US" w:eastAsia="zh-CN"/>
        </w:rPr>
        <w:t>国外苜蓿育种侧重大田加代与传统育种，无人工精准调控加代专项标准；国内暂无苜蓿加代技术团体标准，本标准填补国内空白，在全流程人工调控、光周期精准诱导、快速加代等方面达到国内领先水平，更适配我国苜蓿育种需求。</w:t>
      </w:r>
    </w:p>
    <w:p w14:paraId="401CE572">
      <w:pPr>
        <w:rPr>
          <w:rFonts w:ascii="黑体" w:hAnsi="黑体" w:eastAsia="黑体"/>
          <w:sz w:val="32"/>
          <w:szCs w:val="32"/>
        </w:rPr>
      </w:pPr>
      <w:r>
        <w:rPr>
          <w:rFonts w:ascii="黑体" w:hAnsi="黑体" w:eastAsia="黑体"/>
          <w:sz w:val="32"/>
          <w:szCs w:val="32"/>
        </w:rPr>
        <w:t>八、推广实施</w:t>
      </w:r>
    </w:p>
    <w:p w14:paraId="171C9890">
      <w:pPr>
        <w:numPr>
          <w:ilvl w:val="0"/>
          <w:numId w:val="0"/>
        </w:numPr>
        <w:ind w:firstLine="640" w:firstLineChars="200"/>
        <w:rPr>
          <w:rFonts w:hint="eastAsia" w:ascii="Times New Roman" w:hAnsi="Times New Roman" w:eastAsia="仿宋"/>
          <w:sz w:val="32"/>
          <w:szCs w:val="32"/>
          <w:lang w:val="en-US" w:eastAsia="zh-CN"/>
        </w:rPr>
      </w:pPr>
      <w:r>
        <w:rPr>
          <w:rFonts w:hint="eastAsia" w:ascii="Times New Roman" w:hAnsi="Times New Roman" w:eastAsia="仿宋"/>
          <w:sz w:val="32"/>
          <w:szCs w:val="32"/>
          <w:lang w:val="en-US" w:eastAsia="zh-CN"/>
        </w:rPr>
        <w:t>（一）实施方向</w:t>
      </w:r>
    </w:p>
    <w:p w14:paraId="5F91CBCF">
      <w:pPr>
        <w:numPr>
          <w:ilvl w:val="0"/>
          <w:numId w:val="0"/>
        </w:numPr>
        <w:ind w:firstLine="640" w:firstLineChars="200"/>
        <w:rPr>
          <w:rFonts w:hint="eastAsia" w:ascii="Times New Roman" w:hAnsi="Times New Roman" w:eastAsia="仿宋"/>
          <w:sz w:val="32"/>
          <w:szCs w:val="32"/>
          <w:lang w:val="en-US" w:eastAsia="zh-CN"/>
        </w:rPr>
      </w:pPr>
      <w:r>
        <w:rPr>
          <w:rFonts w:hint="eastAsia" w:ascii="Times New Roman" w:hAnsi="Times New Roman" w:eastAsia="仿宋"/>
          <w:sz w:val="32"/>
          <w:szCs w:val="32"/>
          <w:lang w:val="en-US" w:eastAsia="zh-CN"/>
        </w:rPr>
        <w:t xml:space="preserve">面向苜蓿科研育种单位、种业企业、技术推广机构，以标准为依据开展苜蓿加代繁育、技术培训、示范推广、质量管控，推动技术标准化、规模化应用，加速优良品种选育与产业化。 </w:t>
      </w:r>
    </w:p>
    <w:p w14:paraId="53C31629">
      <w:pPr>
        <w:numPr>
          <w:ilvl w:val="0"/>
          <w:numId w:val="0"/>
        </w:numPr>
        <w:ind w:firstLine="640" w:firstLineChars="200"/>
        <w:rPr>
          <w:rFonts w:hint="eastAsia" w:ascii="Times New Roman" w:hAnsi="Times New Roman" w:eastAsia="仿宋"/>
          <w:sz w:val="32"/>
          <w:szCs w:val="32"/>
          <w:lang w:val="en-US" w:eastAsia="zh-CN"/>
        </w:rPr>
      </w:pPr>
      <w:r>
        <w:rPr>
          <w:rFonts w:hint="eastAsia" w:ascii="Times New Roman" w:hAnsi="Times New Roman" w:eastAsia="仿宋"/>
          <w:sz w:val="32"/>
          <w:szCs w:val="32"/>
          <w:lang w:val="en-US" w:eastAsia="zh-CN"/>
        </w:rPr>
        <w:t xml:space="preserve">（二）实施措施 </w:t>
      </w:r>
    </w:p>
    <w:p w14:paraId="467719E3">
      <w:pPr>
        <w:numPr>
          <w:ilvl w:val="0"/>
          <w:numId w:val="0"/>
        </w:numPr>
        <w:ind w:firstLine="640" w:firstLineChars="200"/>
        <w:rPr>
          <w:rFonts w:hint="eastAsia" w:ascii="Times New Roman" w:hAnsi="Times New Roman" w:eastAsia="仿宋"/>
          <w:sz w:val="32"/>
          <w:szCs w:val="32"/>
          <w:lang w:val="en-US" w:eastAsia="zh-CN"/>
        </w:rPr>
      </w:pPr>
      <w:r>
        <w:rPr>
          <w:rFonts w:hint="eastAsia" w:ascii="Times New Roman" w:hAnsi="Times New Roman" w:eastAsia="仿宋"/>
          <w:sz w:val="32"/>
          <w:szCs w:val="32"/>
          <w:lang w:val="en-US" w:eastAsia="zh-CN"/>
        </w:rPr>
        <w:t>宣传培训：组织专家解读标准，开展技术培训，提升从业人员操作水平。 示范基地建设：建立标准应用示范基地，展示技术效果，提供实操样板。 技术指导：组建专家团队，为应用主体提供全程技术支持，解决落地难题。 监测评估：建立实施效果监测机制，跟踪技术应用情况，持续优化完善。</w:t>
      </w:r>
    </w:p>
    <w:p w14:paraId="4BB3E093">
      <w:pPr>
        <w:rPr>
          <w:rFonts w:ascii="黑体" w:hAnsi="黑体" w:eastAsia="黑体"/>
          <w:sz w:val="32"/>
          <w:szCs w:val="32"/>
        </w:rPr>
      </w:pPr>
      <w:r>
        <w:rPr>
          <w:rFonts w:ascii="黑体" w:hAnsi="黑体" w:eastAsia="黑体"/>
          <w:sz w:val="32"/>
          <w:szCs w:val="32"/>
        </w:rPr>
        <w:t>九、其他应说明的事项</w:t>
      </w:r>
    </w:p>
    <w:p w14:paraId="74492E56">
      <w:pPr>
        <w:numPr>
          <w:ilvl w:val="0"/>
          <w:numId w:val="0"/>
        </w:numPr>
        <w:ind w:firstLine="640" w:firstLineChars="200"/>
        <w:rPr>
          <w:rFonts w:hint="eastAsia" w:ascii="Times New Roman" w:hAnsi="Times New Roman" w:eastAsia="仿宋"/>
          <w:sz w:val="32"/>
          <w:szCs w:val="32"/>
          <w:lang w:val="en-US" w:eastAsia="zh-CN"/>
        </w:rPr>
      </w:pPr>
      <w:r>
        <w:rPr>
          <w:rFonts w:hint="eastAsia" w:ascii="Times New Roman" w:hAnsi="Times New Roman" w:eastAsia="仿宋"/>
          <w:sz w:val="32"/>
          <w:szCs w:val="32"/>
          <w:lang w:val="en-US" w:eastAsia="zh-CN"/>
        </w:rPr>
        <w:t>无。</w:t>
      </w:r>
    </w:p>
    <w:p w14:paraId="56494B04">
      <w:pPr>
        <w:numPr>
          <w:ilvl w:val="0"/>
          <w:numId w:val="0"/>
        </w:numPr>
        <w:rPr>
          <w:rFonts w:hint="eastAsia" w:ascii="黑体" w:hAnsi="黑体" w:eastAsia="黑体"/>
          <w:sz w:val="32"/>
          <w:szCs w:val="32"/>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CC"/>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9CC7DB"/>
    <w:multiLevelType w:val="singleLevel"/>
    <w:tmpl w:val="D59CC7DB"/>
    <w:lvl w:ilvl="0" w:tentative="0">
      <w:start w:val="2"/>
      <w:numFmt w:val="decimal"/>
      <w:lvlText w:val="%1."/>
      <w:lvlJc w:val="left"/>
      <w:pPr>
        <w:tabs>
          <w:tab w:val="left" w:pos="312"/>
        </w:tabs>
      </w:pPr>
    </w:lvl>
  </w:abstractNum>
  <w:abstractNum w:abstractNumId="1">
    <w:nsid w:val="EB88FD2A"/>
    <w:multiLevelType w:val="singleLevel"/>
    <w:tmpl w:val="EB88FD2A"/>
    <w:lvl w:ilvl="0" w:tentative="0">
      <w:start w:val="6"/>
      <w:numFmt w:val="chineseCounting"/>
      <w:suff w:val="nothing"/>
      <w:lvlText w:val="%1、"/>
      <w:lvlJc w:val="left"/>
      <w:rPr>
        <w:rFonts w:hint="eastAsia"/>
      </w:rPr>
    </w:lvl>
  </w:abstractNum>
  <w:abstractNum w:abstractNumId="2">
    <w:nsid w:val="EDD2F376"/>
    <w:multiLevelType w:val="singleLevel"/>
    <w:tmpl w:val="EDD2F376"/>
    <w:lvl w:ilvl="0" w:tentative="0">
      <w:start w:val="2"/>
      <w:numFmt w:val="chineseCounting"/>
      <w:suff w:val="nothing"/>
      <w:lvlText w:val="（%1）"/>
      <w:lvlJc w:val="left"/>
      <w:rPr>
        <w:rFonts w:hint="eastAsia"/>
      </w:rPr>
    </w:lvl>
  </w:abstractNum>
  <w:abstractNum w:abstractNumId="3">
    <w:nsid w:val="022A6B0C"/>
    <w:multiLevelType w:val="singleLevel"/>
    <w:tmpl w:val="022A6B0C"/>
    <w:lvl w:ilvl="0" w:tentative="0">
      <w:start w:val="6"/>
      <w:numFmt w:val="decimal"/>
      <w:suff w:val="nothing"/>
      <w:lvlText w:val="（%1）"/>
      <w:lvlJc w:val="left"/>
    </w:lvl>
  </w:abstractNum>
  <w:abstractNum w:abstractNumId="4">
    <w:nsid w:val="159E7E33"/>
    <w:multiLevelType w:val="singleLevel"/>
    <w:tmpl w:val="159E7E33"/>
    <w:lvl w:ilvl="0" w:tentative="0">
      <w:start w:val="2"/>
      <w:numFmt w:val="chineseCounting"/>
      <w:suff w:val="nothing"/>
      <w:lvlText w:val="（%1）"/>
      <w:lvlJc w:val="left"/>
      <w:rPr>
        <w:rFonts w:hint="eastAsia"/>
      </w:rPr>
    </w:lvl>
  </w:abstractNum>
  <w:abstractNum w:abstractNumId="5">
    <w:nsid w:val="168A52EC"/>
    <w:multiLevelType w:val="multilevel"/>
    <w:tmpl w:val="168A52EC"/>
    <w:lvl w:ilvl="0" w:tentative="0">
      <w:start w:val="1"/>
      <w:numFmt w:val="japaneseCounting"/>
      <w:lvlText w:val="%1、"/>
      <w:lvlJc w:val="left"/>
      <w:pPr>
        <w:ind w:left="720" w:hanging="720"/>
      </w:pPr>
      <w:rPr>
        <w:rFonts w:hint="default" w:ascii="黑体" w:hAnsi="黑体" w:eastAsia="黑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3580E24F"/>
    <w:multiLevelType w:val="singleLevel"/>
    <w:tmpl w:val="3580E24F"/>
    <w:lvl w:ilvl="0" w:tentative="0">
      <w:start w:val="2"/>
      <w:numFmt w:val="chineseCounting"/>
      <w:suff w:val="nothing"/>
      <w:lvlText w:val="（%1）"/>
      <w:lvlJc w:val="left"/>
      <w:rPr>
        <w:rFonts w:hint="eastAsia"/>
      </w:rPr>
    </w:lvl>
  </w:abstractNum>
  <w:num w:numId="1">
    <w:abstractNumId w:val="5"/>
  </w:num>
  <w:num w:numId="2">
    <w:abstractNumId w:val="2"/>
  </w:num>
  <w:num w:numId="3">
    <w:abstractNumId w:val="6"/>
  </w:num>
  <w:num w:numId="4">
    <w:abstractNumId w:val="4"/>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k4ZWYxZDA2MjMzODdlODU3NmIwOWNlODgxYjkzMDYifQ=="/>
  </w:docVars>
  <w:rsids>
    <w:rsidRoot w:val="00FB13E3"/>
    <w:rsid w:val="00007E4A"/>
    <w:rsid w:val="00121F61"/>
    <w:rsid w:val="001E0388"/>
    <w:rsid w:val="002720DC"/>
    <w:rsid w:val="003764AD"/>
    <w:rsid w:val="00495D61"/>
    <w:rsid w:val="007002AA"/>
    <w:rsid w:val="00863994"/>
    <w:rsid w:val="008A6C2C"/>
    <w:rsid w:val="00995049"/>
    <w:rsid w:val="00A65D94"/>
    <w:rsid w:val="00B735D2"/>
    <w:rsid w:val="00DF1108"/>
    <w:rsid w:val="00E96815"/>
    <w:rsid w:val="00F16BD5"/>
    <w:rsid w:val="00FA48B5"/>
    <w:rsid w:val="00FB13E3"/>
    <w:rsid w:val="079C0106"/>
    <w:rsid w:val="0A580A7B"/>
    <w:rsid w:val="0DE1360B"/>
    <w:rsid w:val="11A71B81"/>
    <w:rsid w:val="1931216F"/>
    <w:rsid w:val="19B02308"/>
    <w:rsid w:val="1A564145"/>
    <w:rsid w:val="22ED6176"/>
    <w:rsid w:val="245D6D4B"/>
    <w:rsid w:val="278422F1"/>
    <w:rsid w:val="285F68BA"/>
    <w:rsid w:val="2C4B1983"/>
    <w:rsid w:val="312D57A8"/>
    <w:rsid w:val="43217DCC"/>
    <w:rsid w:val="4943475B"/>
    <w:rsid w:val="55006BAB"/>
    <w:rsid w:val="55B7742C"/>
    <w:rsid w:val="569F0646"/>
    <w:rsid w:val="59A64990"/>
    <w:rsid w:val="63DA4A6C"/>
    <w:rsid w:val="67424E02"/>
    <w:rsid w:val="69C45FA2"/>
    <w:rsid w:val="6AB440A0"/>
    <w:rsid w:val="6E9D190A"/>
    <w:rsid w:val="7242547A"/>
    <w:rsid w:val="753A45A6"/>
    <w:rsid w:val="78BE45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1"/>
      <w:szCs w:val="31"/>
    </w:rPr>
  </w:style>
  <w:style w:type="paragraph" w:styleId="4">
    <w:name w:val="Body Text First Indent 2"/>
    <w:basedOn w:val="1"/>
    <w:unhideWhenUsed/>
    <w:qFormat/>
    <w:uiPriority w:val="99"/>
    <w:pPr>
      <w:ind w:firstLine="420"/>
    </w:pPr>
  </w:style>
  <w:style w:type="table" w:styleId="6">
    <w:name w:val="Table Grid"/>
    <w:basedOn w:val="5"/>
    <w:qFormat/>
    <w:uiPriority w:val="0"/>
    <w:pPr>
      <w:spacing w:after="80"/>
      <w:jc w:val="both"/>
    </w:pPr>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8">
    <w:name w:val="Strong"/>
    <w:basedOn w:val="7"/>
    <w:qFormat/>
    <w:uiPriority w:val="22"/>
    <w:rPr>
      <w:b/>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5751</Words>
  <Characters>6060</Characters>
  <Lines>2</Lines>
  <Paragraphs>1</Paragraphs>
  <TotalTime>9</TotalTime>
  <ScaleCrop>false</ScaleCrop>
  <LinksUpToDate>false</LinksUpToDate>
  <CharactersWithSpaces>6114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2025-09-10T06:16:00Z</dcterms:created>
  <dc:creator>苑榕</dc:creator>
  <cp:lastModifiedBy>moon</cp:lastModifiedBy>
  <dcterms:modified xsi:type="dcterms:W3CDTF">2026-05-19T09:11:53Z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eyJoZGlkIjoiYWVjNDlmZWE1YjNlMTc4ZTUxMDljZDMyNzc5N2QyMWYiLCJ1c2VySWQiOiIxMTQyNjgzMTExIn0=</vt:lpwstr>
  </property>
  <property fmtid="{D5CDD505-2E9C-101B-9397-08002B2CF9AE}" pid="3" name="KSOProductBuildVer">
    <vt:lpwstr>2052-12.1.0.25865</vt:lpwstr>
  </property>
  <property fmtid="{D5CDD505-2E9C-101B-9397-08002B2CF9AE}" pid="4" name="ICV">
    <vt:lpwstr>F0352C84688B4DAB9C89D074D830C733_13</vt:lpwstr>
  </property>
</Properties>
</file>