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59F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19C05D81">
            <w:pPr>
              <w:pStyle w:val="18"/>
              <w:framePr w:wrap="notBeside" w:vAnchor="page" w:hAnchor="page" w:x="1372" w:y="568"/>
              <w:tabs>
                <w:tab w:val="clear" w:pos="4153"/>
                <w:tab w:val="clear" w:pos="8306"/>
              </w:tabs>
              <w:spacing w:line="240" w:lineRule="auto"/>
              <w:jc w:val="left"/>
              <w:rPr>
                <w:rFonts w:hint="eastAsia"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03CFE7BF">
            <w:pPr>
              <w:pStyle w:val="18"/>
              <w:framePr w:wrap="notBeside" w:vAnchor="page" w:hAnchor="page" w:x="1372" w:y="568"/>
              <w:tabs>
                <w:tab w:val="clear" w:pos="4153"/>
                <w:tab w:val="clear" w:pos="8306"/>
              </w:tabs>
              <w:spacing w:line="240" w:lineRule="auto"/>
              <w:jc w:val="both"/>
              <w:rPr>
                <w:rFonts w:hint="eastAsia" w:ascii="黑体" w:hAnsi="黑体" w:eastAsia="黑体"/>
                <w:sz w:val="21"/>
                <w:szCs w:val="21"/>
              </w:rPr>
            </w:pPr>
            <w:r>
              <w:rPr>
                <w:rFonts w:hint="eastAsia" w:ascii="黑体" w:hAnsi="黑体" w:eastAsia="黑体"/>
                <w:sz w:val="21"/>
                <w:szCs w:val="21"/>
              </w:rPr>
              <w:fldChar w:fldCharType="begin">
                <w:ffData>
                  <w:name w:val="ICS"/>
                  <w:enabled/>
                  <w:calcOnExit w:val="0"/>
                  <w:textInput>
                    <w:default w:val="35.240.50"/>
                  </w:textInput>
                </w:ffData>
              </w:fldChar>
            </w:r>
            <w:bookmarkStart w:id="0" w:name="ICS"/>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35.240.50</w:t>
            </w:r>
            <w:r>
              <w:rPr>
                <w:rFonts w:hint="eastAsia" w:ascii="黑体" w:hAnsi="黑体" w:eastAsia="黑体"/>
                <w:sz w:val="21"/>
                <w:szCs w:val="21"/>
              </w:rPr>
              <w:fldChar w:fldCharType="end"/>
            </w:r>
            <w:bookmarkEnd w:id="0"/>
          </w:p>
        </w:tc>
      </w:tr>
      <w:tr w14:paraId="2AEB01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0B3D27D">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7"/>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1673C32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rPr>
                <w:trHeight w:val="1021" w:hRule="exact"/>
              </w:trPr>
              <w:tc>
                <w:tcPr>
                  <w:tcW w:w="9242" w:type="dxa"/>
                  <w:vAlign w:val="center"/>
                </w:tcPr>
                <w:p w14:paraId="3D9EF6ED">
                  <w:pPr>
                    <w:pStyle w:val="49"/>
                    <w:framePr w:wrap="notBeside" w:vAnchor="page" w:hAnchor="page" w:x="1372" w:y="568"/>
                    <w:ind w:left="420" w:right="624"/>
                    <w:rPr>
                      <w:rFonts w:hint="eastAsia"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default w:val="XZBX"/>
                          <w:maxLength w:val="7"/>
                        </w:textInput>
                      </w:ffData>
                    </w:fldChar>
                  </w:r>
                  <w:bookmarkStart w:id="1" w:name="c1"/>
                  <w:r>
                    <w:instrText xml:space="preserve"> FORMTEXT </w:instrText>
                  </w:r>
                  <w:r>
                    <w:fldChar w:fldCharType="separate"/>
                  </w:r>
                  <w:r>
                    <w:t>XZBX</w:t>
                  </w:r>
                  <w:r>
                    <w:fldChar w:fldCharType="end"/>
                  </w:r>
                  <w:bookmarkEnd w:id="1"/>
                </w:p>
              </w:tc>
            </w:tr>
          </w:tbl>
          <w:p w14:paraId="7211AB71">
            <w:pPr>
              <w:pStyle w:val="18"/>
              <w:framePr w:wrap="notBeside" w:vAnchor="page" w:hAnchor="page" w:x="1372" w:y="568"/>
              <w:tabs>
                <w:tab w:val="clear" w:pos="4153"/>
                <w:tab w:val="clear" w:pos="8306"/>
              </w:tabs>
              <w:spacing w:before="40" w:line="240" w:lineRule="auto"/>
              <w:jc w:val="left"/>
              <w:rPr>
                <w:rFonts w:hint="eastAsia" w:ascii="黑体" w:hAnsi="黑体" w:eastAsia="黑体"/>
                <w:sz w:val="21"/>
                <w:szCs w:val="21"/>
              </w:rPr>
            </w:pPr>
            <w:r>
              <w:rPr>
                <w:rFonts w:hint="eastAsia" w:ascii="黑体" w:hAnsi="黑体" w:eastAsia="黑体"/>
                <w:sz w:val="21"/>
                <w:szCs w:val="21"/>
              </w:rPr>
              <w:fldChar w:fldCharType="begin">
                <w:ffData>
                  <w:name w:val="CSDN"/>
                  <w:enabled/>
                  <w:calcOnExit w:val="0"/>
                  <w:textInput>
                    <w:default w:val="D20"/>
                  </w:textInput>
                </w:ffData>
              </w:fldChar>
            </w:r>
            <w:bookmarkStart w:id="2" w:name="CSDN"/>
            <w:r>
              <w:rPr>
                <w:rFonts w:hint="eastAsia" w:ascii="黑体" w:hAnsi="黑体" w:eastAsia="黑体"/>
                <w:sz w:val="21"/>
                <w:szCs w:val="21"/>
              </w:rPr>
              <w:instrText xml:space="preserve"> </w:instrText>
            </w:r>
            <w:r>
              <w:rPr>
                <w:rFonts w:ascii="黑体" w:hAnsi="黑体" w:eastAsia="黑体"/>
                <w:sz w:val="21"/>
                <w:szCs w:val="21"/>
              </w:rPr>
              <w:instrText xml:space="preserve">FORMTEXT</w:instrText>
            </w:r>
            <w:r>
              <w:rPr>
                <w:rFonts w:hint="eastAsia" w:ascii="黑体" w:hAnsi="黑体" w:eastAsia="黑体"/>
                <w:sz w:val="21"/>
                <w:szCs w:val="21"/>
              </w:rPr>
              <w:instrText xml:space="preserve"> </w:instrText>
            </w:r>
            <w:r>
              <w:rPr>
                <w:rFonts w:hint="eastAsia" w:ascii="黑体" w:hAnsi="黑体" w:eastAsia="黑体"/>
                <w:sz w:val="21"/>
                <w:szCs w:val="21"/>
              </w:rPr>
              <w:fldChar w:fldCharType="separate"/>
            </w:r>
            <w:r>
              <w:rPr>
                <w:rFonts w:hint="eastAsia" w:ascii="黑体" w:hAnsi="黑体" w:eastAsia="黑体"/>
                <w:sz w:val="21"/>
                <w:szCs w:val="21"/>
              </w:rPr>
              <w:t>D20</w:t>
            </w:r>
            <w:r>
              <w:rPr>
                <w:rFonts w:hint="eastAsia" w:ascii="黑体" w:hAnsi="黑体" w:eastAsia="黑体"/>
                <w:sz w:val="21"/>
                <w:szCs w:val="21"/>
              </w:rPr>
              <w:fldChar w:fldCharType="end"/>
            </w:r>
            <w:bookmarkEnd w:id="2"/>
          </w:p>
        </w:tc>
      </w:tr>
    </w:tbl>
    <w:p w14:paraId="14B17AD5">
      <w:pPr>
        <w:pStyle w:val="50"/>
        <w:framePr w:w="9639" w:h="624" w:hRule="exact" w:hSpace="181" w:vSpace="181" w:wrap="around" w:hAnchor="page" w:x="1305" w:y="2269"/>
        <w:rPr>
          <w:rFonts w:hint="eastAsia"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default w:val="西安市质量与标准化协会"/>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西安市质量与标准化协会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7C1F0ED">
      <w:pPr>
        <w:pStyle w:val="195"/>
        <w:framePr/>
      </w:pPr>
      <w:r>
        <w:t>T/</w:t>
      </w:r>
      <w:r>
        <w:fldChar w:fldCharType="begin">
          <w:ffData>
            <w:name w:val="文字1"/>
            <w:enabled/>
            <w:calcOnExit w:val="0"/>
            <w:textInput>
              <w:default w:val="XZBX"/>
            </w:textInput>
          </w:ffData>
        </w:fldChar>
      </w:r>
      <w:bookmarkStart w:id="5" w:name="文字1"/>
      <w:r>
        <w:instrText xml:space="preserve"> FORMTEXT </w:instrText>
      </w:r>
      <w:r>
        <w:fldChar w:fldCharType="separate"/>
      </w:r>
      <w:r>
        <w:t>XZBX</w:t>
      </w:r>
      <w:r>
        <w:fldChar w:fldCharType="end"/>
      </w:r>
      <w:bookmarkEnd w:id="5"/>
      <w:r>
        <w:t xml:space="preserve"> </w:t>
      </w:r>
      <w:r>
        <w:fldChar w:fldCharType="begin">
          <w:ffData>
            <w:name w:val="NSTD_CODE_F"/>
            <w:enabled/>
            <w:calcOnExit w:val="0"/>
            <w:textInput>
              <w:default w:val="0256"/>
            </w:textInput>
          </w:ffData>
        </w:fldChar>
      </w:r>
      <w:bookmarkStart w:id="6" w:name="NSTD_CODE_F"/>
      <w:r>
        <w:instrText xml:space="preserve"> FORMTEXT </w:instrText>
      </w:r>
      <w:r>
        <w:fldChar w:fldCharType="separate"/>
      </w:r>
      <w:r>
        <w:t>0256</w:t>
      </w:r>
      <w:r>
        <w:fldChar w:fldCharType="end"/>
      </w:r>
      <w:bookmarkEnd w:id="6"/>
      <w:r>
        <w:rPr>
          <w:rFonts w:hAnsi="黑体"/>
        </w:rPr>
        <w:t>—</w:t>
      </w:r>
      <w:r>
        <w:fldChar w:fldCharType="begin">
          <w:ffData>
            <w:name w:val="NSTD_CODE_B"/>
            <w:enabled/>
            <w:calcOnExit w:val="0"/>
            <w:textInput>
              <w:default w:val="2026"/>
            </w:textInput>
          </w:ffData>
        </w:fldChar>
      </w:r>
      <w:bookmarkStart w:id="7" w:name="NSTD_CODE_B"/>
      <w:r>
        <w:instrText xml:space="preserve"> FORMTEXT </w:instrText>
      </w:r>
      <w:r>
        <w:fldChar w:fldCharType="separate"/>
      </w:r>
      <w:r>
        <w:t>2026</w:t>
      </w:r>
      <w:r>
        <w:fldChar w:fldCharType="end"/>
      </w:r>
      <w:bookmarkEnd w:id="7"/>
    </w:p>
    <w:p w14:paraId="6644B319">
      <w:pPr>
        <w:pStyle w:val="196"/>
        <w:framePr/>
        <w:rPr>
          <w:rFonts w:hint="eastAsia"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7497C1C9">
      <w:pPr>
        <w:spacing w:line="240" w:lineRule="auto"/>
        <w:rPr>
          <w:rFonts w:hint="eastAsia"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3"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8xQH&#10;AOUBAACrAwAADgAAAAAAAAABACAAAAAnAQAAZHJzL2Uyb0RvYy54bWxQSwUGAAAAAAYABgBZAQAA&#10;fgUAAAAA&#10;">
                <v:fill on="f" focussize="0,0"/>
                <v:stroke color="#000000" joinstyle="round"/>
                <v:imagedata o:title=""/>
                <o:lock v:ext="edit" aspectratio="f"/>
              </v:line>
            </w:pict>
          </mc:Fallback>
        </mc:AlternateContent>
      </w:r>
    </w:p>
    <w:p w14:paraId="7CF237F3">
      <w:pPr>
        <w:pStyle w:val="50"/>
        <w:framePr w:w="9639" w:h="6976" w:hRule="exact" w:hSpace="0" w:vSpace="0" w:wrap="around" w:hAnchor="page" w:y="6408"/>
        <w:jc w:val="center"/>
        <w:rPr>
          <w:rFonts w:hint="eastAsia" w:ascii="黑体" w:hAnsi="黑体" w:eastAsia="黑体"/>
          <w:b w:val="0"/>
          <w:bCs w:val="0"/>
          <w:w w:val="100"/>
        </w:rPr>
      </w:pPr>
    </w:p>
    <w:p w14:paraId="6A3478B3">
      <w:pPr>
        <w:pStyle w:val="197"/>
        <w:framePr w:h="6974" w:hRule="exact" w:wrap="around" w:x="1419" w:anchorLock="1"/>
        <w:rPr>
          <w:rFonts w:hint="eastAsia"/>
        </w:rPr>
      </w:pPr>
      <w:r>
        <w:rPr>
          <w:rFonts w:hint="eastAsia"/>
        </w:rPr>
        <w:fldChar w:fldCharType="begin">
          <w:ffData>
            <w:name w:val="CSTD_NAME"/>
            <w:enabled/>
            <w:calcOnExit w:val="0"/>
            <w:textInput>
              <w:default w:val="煤矿智能化系统数据治理与资产化管理规范"/>
            </w:textInput>
          </w:ffData>
        </w:fldChar>
      </w:r>
      <w:bookmarkStart w:id="9" w:name="CSTD_NAME"/>
      <w:r>
        <w:rPr>
          <w:rFonts w:hint="eastAsia"/>
        </w:rPr>
        <w:instrText xml:space="preserve"> FORMTEXT </w:instrText>
      </w:r>
      <w:r>
        <w:rPr>
          <w:rFonts w:hint="eastAsia"/>
        </w:rPr>
        <w:fldChar w:fldCharType="separate"/>
      </w:r>
      <w:r>
        <w:rPr>
          <w:rFonts w:hint="eastAsia"/>
        </w:rPr>
        <w:t>煤矿智能化系统数据治理</w:t>
      </w:r>
    </w:p>
    <w:p w14:paraId="73594FE6">
      <w:pPr>
        <w:pStyle w:val="197"/>
        <w:framePr w:h="6974" w:hRule="exact" w:wrap="around" w:x="1419" w:anchorLock="1"/>
        <w:rPr>
          <w:rFonts w:hint="eastAsia"/>
        </w:rPr>
      </w:pPr>
      <w:r>
        <w:rPr>
          <w:rFonts w:hint="eastAsia"/>
        </w:rPr>
        <w:t>与资产化管理规范</w:t>
      </w:r>
      <w:r>
        <w:rPr>
          <w:rFonts w:hint="eastAsia"/>
        </w:rPr>
        <w:fldChar w:fldCharType="end"/>
      </w:r>
      <w:bookmarkEnd w:id="9"/>
    </w:p>
    <w:p w14:paraId="445B16AD">
      <w:pPr>
        <w:framePr w:w="9639" w:h="6974" w:hRule="exact" w:wrap="around" w:vAnchor="page" w:hAnchor="page" w:x="1419" w:y="6408" w:anchorLock="1"/>
        <w:ind w:left="-1418"/>
      </w:pPr>
    </w:p>
    <w:p w14:paraId="7581C8E1">
      <w:pPr>
        <w:pStyle w:val="125"/>
        <w:framePr w:w="9639" w:h="6974" w:hRule="exact" w:wrap="around" w:vAnchor="page" w:hAnchor="page" w:x="1419" w:y="6408" w:anchorLock="1"/>
        <w:textAlignment w:val="bottom"/>
        <w:rPr>
          <w:rFonts w:hint="eastAsia" w:ascii="黑体" w:hAnsi="黑体" w:eastAsia="黑体"/>
          <w:szCs w:val="28"/>
        </w:rPr>
      </w:pPr>
      <w:r>
        <w:rPr>
          <w:rFonts w:hint="eastAsia" w:ascii="黑体" w:hAnsi="黑体" w:eastAsia="黑体"/>
          <w:szCs w:val="28"/>
        </w:rPr>
        <w:fldChar w:fldCharType="begin">
          <w:ffData>
            <w:name w:val="ESTD_NAME"/>
            <w:enabled/>
            <w:calcOnExit w:val="0"/>
            <w:textInput>
              <w:default w:val="Specification for data governance and asset management of intelligent systems in coal mines"/>
            </w:textInput>
          </w:ffData>
        </w:fldChar>
      </w:r>
      <w:bookmarkStart w:id="10" w:name="ESTD_NAME"/>
      <w:r>
        <w:rPr>
          <w:rFonts w:hint="eastAsia" w:ascii="黑体" w:hAnsi="黑体" w:eastAsia="黑体"/>
          <w:szCs w:val="28"/>
        </w:rPr>
        <w:instrText xml:space="preserve"> FORMTEXT </w:instrText>
      </w:r>
      <w:r>
        <w:rPr>
          <w:rFonts w:hint="eastAsia" w:ascii="黑体" w:hAnsi="黑体" w:eastAsia="黑体"/>
          <w:szCs w:val="28"/>
        </w:rPr>
        <w:fldChar w:fldCharType="separate"/>
      </w:r>
      <w:r>
        <w:rPr>
          <w:rFonts w:hint="eastAsia" w:ascii="黑体" w:hAnsi="黑体" w:eastAsia="黑体"/>
          <w:szCs w:val="28"/>
        </w:rPr>
        <w:t>Specification for data governance and asset management of intelligent systems in coal mines</w:t>
      </w:r>
      <w:r>
        <w:rPr>
          <w:rFonts w:hint="eastAsia" w:ascii="黑体" w:hAnsi="黑体" w:eastAsia="黑体"/>
          <w:szCs w:val="28"/>
        </w:rPr>
        <w:fldChar w:fldCharType="end"/>
      </w:r>
      <w:bookmarkEnd w:id="10"/>
    </w:p>
    <w:p w14:paraId="0F045E5F">
      <w:pPr>
        <w:framePr w:w="9639" w:h="6974" w:hRule="exact" w:wrap="around" w:vAnchor="page" w:hAnchor="page" w:x="1419" w:y="6408" w:anchorLock="1"/>
        <w:spacing w:line="760" w:lineRule="exact"/>
        <w:ind w:left="-1418"/>
      </w:pPr>
    </w:p>
    <w:p w14:paraId="35A51517">
      <w:pPr>
        <w:pStyle w:val="125"/>
        <w:framePr w:w="9639" w:h="6974" w:hRule="exact" w:wrap="around" w:vAnchor="page" w:hAnchor="page" w:x="1419" w:y="6408" w:anchorLock="1"/>
        <w:textAlignment w:val="bottom"/>
        <w:rPr>
          <w:rFonts w:eastAsia="黑体"/>
          <w:szCs w:val="28"/>
        </w:rPr>
      </w:pPr>
    </w:p>
    <w:p w14:paraId="1926DE23">
      <w:pPr>
        <w:pStyle w:val="125"/>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0324A2D6">
      <w:pPr>
        <w:pStyle w:val="125"/>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2F878F1C">
      <w:pPr>
        <w:pStyle w:val="125"/>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E89F4D2">
      <w:pPr>
        <w:pStyle w:val="193"/>
        <w:framePr w:wrap="around" w:y="14176"/>
      </w:pPr>
      <w:r>
        <w:rPr>
          <w:rFonts w:ascii="黑体"/>
        </w:rPr>
        <w:fldChar w:fldCharType="begin">
          <w:ffData>
            <w:name w:val="PLSH_DATE_Y"/>
            <w:enabled/>
            <w:calcOnExit w:val="0"/>
            <w:textInput>
              <w:default w:val="2026"/>
              <w:maxLength w:val="4"/>
            </w:textInput>
          </w:ffData>
        </w:fldChar>
      </w:r>
      <w:bookmarkStart w:id="14" w:name="PLSH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0D82105B">
      <w:pPr>
        <w:pStyle w:val="194"/>
        <w:framePr w:wrap="around" w:y="14176"/>
      </w:pPr>
      <w:r>
        <w:rPr>
          <w:rFonts w:ascii="黑体"/>
        </w:rPr>
        <w:fldChar w:fldCharType="begin">
          <w:ffData>
            <w:name w:val="CROT_DATE_Y"/>
            <w:enabled/>
            <w:calcOnExit w:val="0"/>
            <w:textInput>
              <w:default w:val="2026"/>
              <w:maxLength w:val="4"/>
            </w:textInput>
          </w:ffData>
        </w:fldChar>
      </w:r>
      <w:bookmarkStart w:id="17" w:name="CROT_DATE_Y"/>
      <w:r>
        <w:rPr>
          <w:rFonts w:ascii="黑体"/>
        </w:rPr>
        <w:instrText xml:space="preserve"> FORMTEXT </w:instrText>
      </w:r>
      <w:r>
        <w:rPr>
          <w:rFonts w:ascii="黑体"/>
        </w:rPr>
        <w:fldChar w:fldCharType="separate"/>
      </w:r>
      <w:r>
        <w:rPr>
          <w:rFonts w:ascii="黑体"/>
        </w:rPr>
        <w:t>2026</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51BA3478">
      <w:pPr>
        <w:pStyle w:val="151"/>
        <w:framePr w:h="584" w:hRule="exact" w:hSpace="181" w:vSpace="181" w:wrap="around" w:y="14800"/>
        <w:rPr>
          <w:rFonts w:hint="eastAsia" w:hAnsi="黑体"/>
        </w:rPr>
      </w:pPr>
      <w:r>
        <w:rPr>
          <w:rFonts w:hint="eastAsia" w:hAnsi="黑体"/>
          <w:w w:val="100"/>
          <w:sz w:val="28"/>
        </w:rPr>
        <w:fldChar w:fldCharType="begin">
          <w:ffData>
            <w:name w:val="fm"/>
            <w:enabled/>
            <w:calcOnExit w:val="0"/>
            <w:textInput>
              <w:default w:val="西安市质量与标准化协会"/>
            </w:textInput>
          </w:ffData>
        </w:fldChar>
      </w:r>
      <w:bookmarkStart w:id="20" w:name="fm"/>
      <w:r>
        <w:rPr>
          <w:rFonts w:hint="eastAsia" w:hAnsi="黑体"/>
          <w:w w:val="100"/>
          <w:sz w:val="28"/>
        </w:rPr>
        <w:instrText xml:space="preserve"> FORMTEXT </w:instrText>
      </w:r>
      <w:r>
        <w:rPr>
          <w:rFonts w:hint="eastAsia" w:hAnsi="黑体"/>
          <w:w w:val="100"/>
          <w:sz w:val="28"/>
        </w:rPr>
        <w:fldChar w:fldCharType="separate"/>
      </w:r>
      <w:r>
        <w:rPr>
          <w:rFonts w:hint="eastAsia" w:hAnsi="黑体"/>
          <w:w w:val="100"/>
          <w:sz w:val="28"/>
        </w:rPr>
        <w:t>西安市质量与标准化协会</w:t>
      </w:r>
      <w:r>
        <w:rPr>
          <w:rFonts w:hint="eastAsia" w:hAnsi="黑体"/>
          <w:w w:val="100"/>
          <w:sz w:val="28"/>
        </w:rPr>
        <w:fldChar w:fldCharType="end"/>
      </w:r>
      <w:bookmarkEnd w:id="20"/>
      <w:r>
        <w:rPr>
          <w:rFonts w:ascii="Times New Roman"/>
          <w:w w:val="100"/>
          <w:sz w:val="28"/>
        </w:rPr>
        <w:t>  </w:t>
      </w:r>
      <w:r>
        <w:rPr>
          <w:rStyle w:val="229"/>
          <w:rFonts w:hint="eastAsia" w:hAnsi="黑体"/>
          <w:position w:val="0"/>
        </w:rPr>
        <w:t>发</w:t>
      </w:r>
      <w:r>
        <w:rPr>
          <w:rStyle w:val="229"/>
          <w:rFonts w:hint="eastAsia" w:hAnsi="黑体"/>
          <w:spacing w:val="0"/>
          <w:position w:val="0"/>
        </w:rPr>
        <w:t>布</w:t>
      </w:r>
    </w:p>
    <w:p w14:paraId="6F7BCF62">
      <w:pPr>
        <w:rPr>
          <w:rFonts w:hint="eastAsia"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4"/>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直接连接符 4"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s202S+MB&#10;AACqAwAADgAAAAAAAAABACAAAAAmAQAAZHJzL2Uyb0RvYy54bWxQSwUGAAAAAAYABgBZAQAAewUA&#10;AAAA&#10;">
                <v:fill on="f" focussize="0,0"/>
                <v:stroke color="#000000" joinstyle="round"/>
                <v:imagedata o:title=""/>
                <o:lock v:ext="edit" aspectratio="f"/>
                <w10:anchorlock/>
              </v:line>
            </w:pict>
          </mc:Fallback>
        </mc:AlternateContent>
      </w:r>
    </w:p>
    <w:p w14:paraId="7E131C52">
      <w:pPr>
        <w:pStyle w:val="91"/>
        <w:spacing w:after="360"/>
      </w:pPr>
      <w:bookmarkStart w:id="21" w:name="BookMark1"/>
      <w:r>
        <w:rPr>
          <w:rFonts w:hint="eastAsia"/>
          <w:spacing w:val="320"/>
        </w:rPr>
        <w:t>目</w:t>
      </w:r>
      <w:r>
        <w:rPr>
          <w:rFonts w:hint="eastAsia"/>
        </w:rPr>
        <w:t>次</w:t>
      </w:r>
    </w:p>
    <w:p w14:paraId="0BF2ACF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TOC \o "1-1" \h </w:instrText>
      </w:r>
      <w:r>
        <w:fldChar w:fldCharType="separate"/>
      </w:r>
      <w:r>
        <w:fldChar w:fldCharType="begin"/>
      </w:r>
      <w:r>
        <w:instrText xml:space="preserve"> HYPERLINK \l "_Toc228568749" </w:instrText>
      </w:r>
      <w:r>
        <w:fldChar w:fldCharType="separate"/>
      </w:r>
      <w:r>
        <w:rPr>
          <w:rStyle w:val="32"/>
        </w:rPr>
        <w:t>前言</w:t>
      </w:r>
      <w:r>
        <w:rPr>
          <w:rFonts w:hint="eastAsia"/>
        </w:rPr>
        <w:tab/>
      </w:r>
      <w:r>
        <w:rPr>
          <w:rFonts w:hint="eastAsia"/>
        </w:rPr>
        <w:fldChar w:fldCharType="begin"/>
      </w:r>
      <w:r>
        <w:rPr>
          <w:rFonts w:hint="eastAsia"/>
        </w:rPr>
        <w:instrText xml:space="preserve"> </w:instrText>
      </w:r>
      <w:r>
        <w:instrText xml:space="preserve">PAGEREF _Toc228568749 \h</w:instrText>
      </w:r>
      <w:r>
        <w:rPr>
          <w:rFonts w:hint="eastAsia"/>
        </w:rPr>
        <w:instrText xml:space="preserve"> </w:instrText>
      </w:r>
      <w:r>
        <w:rPr>
          <w:rFonts w:hint="eastAsia"/>
        </w:rPr>
        <w:fldChar w:fldCharType="separate"/>
      </w:r>
      <w:r>
        <w:t>III</w:t>
      </w:r>
      <w:r>
        <w:rPr>
          <w:rFonts w:hint="eastAsia"/>
        </w:rPr>
        <w:fldChar w:fldCharType="end"/>
      </w:r>
      <w:r>
        <w:rPr>
          <w:rFonts w:hint="eastAsia"/>
        </w:rPr>
        <w:fldChar w:fldCharType="end"/>
      </w:r>
    </w:p>
    <w:p w14:paraId="77E1B76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"_Toc228568750" </w:instrText>
      </w:r>
      <w:r>
        <w:fldChar w:fldCharType="separate"/>
      </w:r>
      <w:r>
        <w:rPr>
          <w:rStyle w:val="32"/>
        </w:rPr>
        <w:t>引言</w:t>
      </w:r>
      <w:r>
        <w:rPr>
          <w:rFonts w:hint="eastAsia"/>
        </w:rPr>
        <w:tab/>
      </w:r>
      <w:r>
        <w:rPr>
          <w:rFonts w:hint="eastAsia"/>
        </w:rPr>
        <w:fldChar w:fldCharType="begin"/>
      </w:r>
      <w:r>
        <w:rPr>
          <w:rFonts w:hint="eastAsia"/>
        </w:rPr>
        <w:instrText xml:space="preserve"> </w:instrText>
      </w:r>
      <w:r>
        <w:instrText xml:space="preserve">PAGEREF _Toc228568750 \h</w:instrText>
      </w:r>
      <w:r>
        <w:rPr>
          <w:rFonts w:hint="eastAsia"/>
        </w:rPr>
        <w:instrText xml:space="preserve"> </w:instrText>
      </w:r>
      <w:r>
        <w:rPr>
          <w:rFonts w:hint="eastAsia"/>
        </w:rPr>
        <w:fldChar w:fldCharType="separate"/>
      </w:r>
      <w:r>
        <w:t>V</w:t>
      </w:r>
      <w:r>
        <w:rPr>
          <w:rFonts w:hint="eastAsia"/>
        </w:rPr>
        <w:fldChar w:fldCharType="end"/>
      </w:r>
      <w:r>
        <w:rPr>
          <w:rFonts w:hint="eastAsia"/>
        </w:rPr>
        <w:fldChar w:fldCharType="end"/>
      </w:r>
    </w:p>
    <w:p w14:paraId="29469F93">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"_Toc228568751" </w:instrText>
      </w:r>
      <w:r>
        <w:fldChar w:fldCharType="separate"/>
      </w:r>
      <w:r>
        <w:rPr>
          <w:rStyle w:val="32"/>
        </w:rPr>
        <w:t>1  范围</w:t>
      </w:r>
      <w:r>
        <w:rPr>
          <w:rFonts w:hint="eastAsia"/>
        </w:rPr>
        <w:tab/>
      </w:r>
      <w:r>
        <w:rPr>
          <w:rFonts w:hint="eastAsia"/>
        </w:rPr>
        <w:fldChar w:fldCharType="begin"/>
      </w:r>
      <w:r>
        <w:rPr>
          <w:rFonts w:hint="eastAsia"/>
        </w:rPr>
        <w:instrText xml:space="preserve"> </w:instrText>
      </w:r>
      <w:r>
        <w:instrText xml:space="preserve">PAGEREF _Toc228568751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5648F44">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"_Toc228568752" </w:instrText>
      </w:r>
      <w:r>
        <w:fldChar w:fldCharType="separate"/>
      </w:r>
      <w:r>
        <w:rPr>
          <w:rStyle w:val="32"/>
        </w:rPr>
        <w:t>2  规范性引用文件</w:t>
      </w:r>
      <w:r>
        <w:rPr>
          <w:rFonts w:hint="eastAsia"/>
        </w:rPr>
        <w:tab/>
      </w:r>
      <w:r>
        <w:rPr>
          <w:rFonts w:hint="eastAsia"/>
        </w:rPr>
        <w:fldChar w:fldCharType="begin"/>
      </w:r>
      <w:r>
        <w:rPr>
          <w:rFonts w:hint="eastAsia"/>
        </w:rPr>
        <w:instrText xml:space="preserve"> </w:instrText>
      </w:r>
      <w:r>
        <w:instrText xml:space="preserve">PAGEREF _Toc228568752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4DD8D468">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"_Toc228568753" </w:instrText>
      </w:r>
      <w:r>
        <w:fldChar w:fldCharType="separate"/>
      </w:r>
      <w:r>
        <w:rPr>
          <w:rStyle w:val="32"/>
        </w:rPr>
        <w:t>3  术语和定义</w:t>
      </w:r>
      <w:r>
        <w:rPr>
          <w:rFonts w:hint="eastAsia"/>
        </w:rPr>
        <w:tab/>
      </w:r>
      <w:r>
        <w:rPr>
          <w:rFonts w:hint="eastAsia"/>
        </w:rPr>
        <w:fldChar w:fldCharType="begin"/>
      </w:r>
      <w:r>
        <w:rPr>
          <w:rFonts w:hint="eastAsia"/>
        </w:rPr>
        <w:instrText xml:space="preserve"> </w:instrText>
      </w:r>
      <w:r>
        <w:instrText xml:space="preserve">PAGEREF _Toc228568753 \h</w:instrText>
      </w:r>
      <w:r>
        <w:rPr>
          <w:rFonts w:hint="eastAsia"/>
        </w:rPr>
        <w:instrText xml:space="preserve"> </w:instrText>
      </w:r>
      <w:r>
        <w:rPr>
          <w:rFonts w:hint="eastAsia"/>
        </w:rPr>
        <w:fldChar w:fldCharType="separate"/>
      </w:r>
      <w:r>
        <w:t>1</w:t>
      </w:r>
      <w:r>
        <w:rPr>
          <w:rFonts w:hint="eastAsia"/>
        </w:rPr>
        <w:fldChar w:fldCharType="end"/>
      </w:r>
      <w:r>
        <w:rPr>
          <w:rFonts w:hint="eastAsia"/>
        </w:rPr>
        <w:fldChar w:fldCharType="end"/>
      </w:r>
    </w:p>
    <w:p w14:paraId="1259762C">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"_Toc228568754" </w:instrText>
      </w:r>
      <w:r>
        <w:fldChar w:fldCharType="separate"/>
      </w:r>
      <w:r>
        <w:rPr>
          <w:rStyle w:val="32"/>
        </w:rPr>
        <w:t>4  基本规定</w:t>
      </w:r>
      <w:r>
        <w:rPr>
          <w:rFonts w:hint="eastAsia"/>
        </w:rPr>
        <w:tab/>
      </w:r>
      <w:r>
        <w:rPr>
          <w:rFonts w:hint="eastAsia"/>
        </w:rPr>
        <w:fldChar w:fldCharType="begin"/>
      </w:r>
      <w:r>
        <w:rPr>
          <w:rFonts w:hint="eastAsia"/>
        </w:rPr>
        <w:instrText xml:space="preserve"> </w:instrText>
      </w:r>
      <w:r>
        <w:instrText xml:space="preserve">PAGEREF _Toc228568754 \h</w:instrText>
      </w:r>
      <w:r>
        <w:rPr>
          <w:rFonts w:hint="eastAsia"/>
        </w:rPr>
        <w:instrText xml:space="preserve"> </w:instrText>
      </w:r>
      <w:r>
        <w:rPr>
          <w:rFonts w:hint="eastAsia"/>
        </w:rPr>
        <w:fldChar w:fldCharType="separate"/>
      </w:r>
      <w:r>
        <w:t>3</w:t>
      </w:r>
      <w:r>
        <w:rPr>
          <w:rFonts w:hint="eastAsia"/>
        </w:rPr>
        <w:fldChar w:fldCharType="end"/>
      </w:r>
      <w:r>
        <w:rPr>
          <w:rFonts w:hint="eastAsia"/>
        </w:rPr>
        <w:fldChar w:fldCharType="end"/>
      </w:r>
    </w:p>
    <w:p w14:paraId="0D17280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"_Toc228568755" </w:instrText>
      </w:r>
      <w:r>
        <w:fldChar w:fldCharType="separate"/>
      </w:r>
      <w:r>
        <w:rPr>
          <w:rStyle w:val="32"/>
        </w:rPr>
        <w:t>5  数据治理基础要求</w:t>
      </w:r>
      <w:r>
        <w:rPr>
          <w:rFonts w:hint="eastAsia"/>
        </w:rPr>
        <w:tab/>
      </w:r>
      <w:r>
        <w:rPr>
          <w:rFonts w:hint="eastAsia"/>
        </w:rPr>
        <w:fldChar w:fldCharType="begin"/>
      </w:r>
      <w:r>
        <w:rPr>
          <w:rFonts w:hint="eastAsia"/>
        </w:rPr>
        <w:instrText xml:space="preserve"> </w:instrText>
      </w:r>
      <w:r>
        <w:instrText xml:space="preserve">PAGEREF _Toc228568755 \h</w:instrText>
      </w:r>
      <w:r>
        <w:rPr>
          <w:rFonts w:hint="eastAsia"/>
        </w:rPr>
        <w:instrText xml:space="preserve"> </w:instrText>
      </w:r>
      <w:r>
        <w:rPr>
          <w:rFonts w:hint="eastAsia"/>
        </w:rPr>
        <w:fldChar w:fldCharType="separate"/>
      </w:r>
      <w:r>
        <w:t>6</w:t>
      </w:r>
      <w:r>
        <w:rPr>
          <w:rFonts w:hint="eastAsia"/>
        </w:rPr>
        <w:fldChar w:fldCharType="end"/>
      </w:r>
      <w:r>
        <w:rPr>
          <w:rFonts w:hint="eastAsia"/>
        </w:rPr>
        <w:fldChar w:fldCharType="end"/>
      </w:r>
    </w:p>
    <w:p w14:paraId="4C67C7FF">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"_Toc228568756" </w:instrText>
      </w:r>
      <w:r>
        <w:fldChar w:fldCharType="separate"/>
      </w:r>
      <w:r>
        <w:rPr>
          <w:rStyle w:val="32"/>
        </w:rPr>
        <w:t>6  数据资源管理</w:t>
      </w:r>
      <w:r>
        <w:rPr>
          <w:rFonts w:hint="eastAsia"/>
        </w:rPr>
        <w:tab/>
      </w:r>
      <w:r>
        <w:rPr>
          <w:rFonts w:hint="eastAsia"/>
        </w:rPr>
        <w:fldChar w:fldCharType="begin"/>
      </w:r>
      <w:r>
        <w:rPr>
          <w:rFonts w:hint="eastAsia"/>
        </w:rPr>
        <w:instrText xml:space="preserve"> </w:instrText>
      </w:r>
      <w:r>
        <w:instrText xml:space="preserve">PAGEREF _Toc228568756 \h</w:instrText>
      </w:r>
      <w:r>
        <w:rPr>
          <w:rFonts w:hint="eastAsia"/>
        </w:rPr>
        <w:instrText xml:space="preserve"> </w:instrText>
      </w:r>
      <w:r>
        <w:rPr>
          <w:rFonts w:hint="eastAsia"/>
        </w:rPr>
        <w:fldChar w:fldCharType="separate"/>
      </w:r>
      <w:r>
        <w:t>12</w:t>
      </w:r>
      <w:r>
        <w:rPr>
          <w:rFonts w:hint="eastAsia"/>
        </w:rPr>
        <w:fldChar w:fldCharType="end"/>
      </w:r>
      <w:r>
        <w:rPr>
          <w:rFonts w:hint="eastAsia"/>
        </w:rPr>
        <w:fldChar w:fldCharType="end"/>
      </w:r>
    </w:p>
    <w:p w14:paraId="44705C9A">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"_Toc228568757" </w:instrText>
      </w:r>
      <w:r>
        <w:fldChar w:fldCharType="separate"/>
      </w:r>
      <w:r>
        <w:rPr>
          <w:rStyle w:val="32"/>
        </w:rPr>
        <w:t>7  数据质量管理</w:t>
      </w:r>
      <w:r>
        <w:rPr>
          <w:rFonts w:hint="eastAsia"/>
        </w:rPr>
        <w:tab/>
      </w:r>
      <w:r>
        <w:rPr>
          <w:rFonts w:hint="eastAsia"/>
        </w:rPr>
        <w:fldChar w:fldCharType="begin"/>
      </w:r>
      <w:r>
        <w:rPr>
          <w:rFonts w:hint="eastAsia"/>
        </w:rPr>
        <w:instrText xml:space="preserve"> </w:instrText>
      </w:r>
      <w:r>
        <w:instrText xml:space="preserve">PAGEREF _Toc228568757 \h</w:instrText>
      </w:r>
      <w:r>
        <w:rPr>
          <w:rFonts w:hint="eastAsia"/>
        </w:rPr>
        <w:instrText xml:space="preserve"> </w:instrText>
      </w:r>
      <w:r>
        <w:rPr>
          <w:rFonts w:hint="eastAsia"/>
        </w:rPr>
        <w:fldChar w:fldCharType="separate"/>
      </w:r>
      <w:r>
        <w:t>17</w:t>
      </w:r>
      <w:r>
        <w:rPr>
          <w:rFonts w:hint="eastAsia"/>
        </w:rPr>
        <w:fldChar w:fldCharType="end"/>
      </w:r>
      <w:r>
        <w:rPr>
          <w:rFonts w:hint="eastAsia"/>
        </w:rPr>
        <w:fldChar w:fldCharType="end"/>
      </w:r>
    </w:p>
    <w:p w14:paraId="259D470E">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"_Toc228568758" </w:instrText>
      </w:r>
      <w:r>
        <w:fldChar w:fldCharType="separate"/>
      </w:r>
      <w:r>
        <w:rPr>
          <w:rStyle w:val="32"/>
        </w:rPr>
        <w:t>8  数据共享交换与安全管理</w:t>
      </w:r>
      <w:r>
        <w:rPr>
          <w:rFonts w:hint="eastAsia"/>
        </w:rPr>
        <w:tab/>
      </w:r>
      <w:r>
        <w:rPr>
          <w:rFonts w:hint="eastAsia"/>
        </w:rPr>
        <w:fldChar w:fldCharType="begin"/>
      </w:r>
      <w:r>
        <w:rPr>
          <w:rFonts w:hint="eastAsia"/>
        </w:rPr>
        <w:instrText xml:space="preserve"> </w:instrText>
      </w:r>
      <w:r>
        <w:instrText xml:space="preserve">PAGEREF _Toc228568758 \h</w:instrText>
      </w:r>
      <w:r>
        <w:rPr>
          <w:rFonts w:hint="eastAsia"/>
        </w:rPr>
        <w:instrText xml:space="preserve"> </w:instrText>
      </w:r>
      <w:r>
        <w:rPr>
          <w:rFonts w:hint="eastAsia"/>
        </w:rPr>
        <w:fldChar w:fldCharType="separate"/>
      </w:r>
      <w:r>
        <w:t>21</w:t>
      </w:r>
      <w:r>
        <w:rPr>
          <w:rFonts w:hint="eastAsia"/>
        </w:rPr>
        <w:fldChar w:fldCharType="end"/>
      </w:r>
      <w:r>
        <w:rPr>
          <w:rFonts w:hint="eastAsia"/>
        </w:rPr>
        <w:fldChar w:fldCharType="end"/>
      </w:r>
    </w:p>
    <w:p w14:paraId="1DBBA60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"_Toc228568759" </w:instrText>
      </w:r>
      <w:r>
        <w:fldChar w:fldCharType="separate"/>
      </w:r>
      <w:r>
        <w:rPr>
          <w:rStyle w:val="32"/>
        </w:rPr>
        <w:t>9  数据资产目录管理与价值评估</w:t>
      </w:r>
      <w:r>
        <w:rPr>
          <w:rFonts w:hint="eastAsia"/>
        </w:rPr>
        <w:tab/>
      </w:r>
      <w:r>
        <w:rPr>
          <w:rFonts w:hint="eastAsia"/>
        </w:rPr>
        <w:fldChar w:fldCharType="begin"/>
      </w:r>
      <w:r>
        <w:rPr>
          <w:rFonts w:hint="eastAsia"/>
        </w:rPr>
        <w:instrText xml:space="preserve"> </w:instrText>
      </w:r>
      <w:r>
        <w:instrText xml:space="preserve">PAGEREF _Toc228568759 \h</w:instrText>
      </w:r>
      <w:r>
        <w:rPr>
          <w:rFonts w:hint="eastAsia"/>
        </w:rPr>
        <w:instrText xml:space="preserve"> </w:instrText>
      </w:r>
      <w:r>
        <w:rPr>
          <w:rFonts w:hint="eastAsia"/>
        </w:rPr>
        <w:fldChar w:fldCharType="separate"/>
      </w:r>
      <w:r>
        <w:t>27</w:t>
      </w:r>
      <w:r>
        <w:rPr>
          <w:rFonts w:hint="eastAsia"/>
        </w:rPr>
        <w:fldChar w:fldCharType="end"/>
      </w:r>
      <w:r>
        <w:rPr>
          <w:rFonts w:hint="eastAsia"/>
        </w:rPr>
        <w:fldChar w:fldCharType="end"/>
      </w:r>
    </w:p>
    <w:p w14:paraId="42DD080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"_Toc228568760" </w:instrText>
      </w:r>
      <w:r>
        <w:fldChar w:fldCharType="separate"/>
      </w:r>
      <w:r>
        <w:rPr>
          <w:rStyle w:val="32"/>
        </w:rPr>
        <w:t>10  保障机制、监督评价</w:t>
      </w:r>
      <w:r>
        <w:rPr>
          <w:rFonts w:hint="eastAsia"/>
        </w:rPr>
        <w:tab/>
      </w:r>
      <w:r>
        <w:rPr>
          <w:rFonts w:hint="eastAsia"/>
        </w:rPr>
        <w:fldChar w:fldCharType="begin"/>
      </w:r>
      <w:r>
        <w:rPr>
          <w:rFonts w:hint="eastAsia"/>
        </w:rPr>
        <w:instrText xml:space="preserve"> </w:instrText>
      </w:r>
      <w:r>
        <w:instrText xml:space="preserve">PAGEREF _Toc228568760 \h</w:instrText>
      </w:r>
      <w:r>
        <w:rPr>
          <w:rFonts w:hint="eastAsia"/>
        </w:rPr>
        <w:instrText xml:space="preserve"> </w:instrText>
      </w:r>
      <w:r>
        <w:rPr>
          <w:rFonts w:hint="eastAsia"/>
        </w:rPr>
        <w:fldChar w:fldCharType="separate"/>
      </w:r>
      <w:r>
        <w:t>32</w:t>
      </w:r>
      <w:r>
        <w:rPr>
          <w:rFonts w:hint="eastAsia"/>
        </w:rPr>
        <w:fldChar w:fldCharType="end"/>
      </w:r>
      <w:r>
        <w:rPr>
          <w:rFonts w:hint="eastAsia"/>
        </w:rPr>
        <w:fldChar w:fldCharType="end"/>
      </w:r>
    </w:p>
    <w:p w14:paraId="3489B1D6">
      <w:pPr>
        <w:pStyle w:val="19"/>
        <w:tabs>
          <w:tab w:val="right" w:leader="dot" w:pos="9344"/>
        </w:tabs>
        <w:rPr>
          <w:rFonts w:hint="eastAsia" w:asciiTheme="minorHAnsi" w:hAnsiTheme="minorHAnsi" w:eastAsiaTheme="minorEastAsia" w:cstheme="minorBidi"/>
          <w:sz w:val="22"/>
          <w:szCs w:val="24"/>
          <w14:ligatures w14:val="standardContextual"/>
        </w:rPr>
      </w:pPr>
      <w:r>
        <w:fldChar w:fldCharType="begin"/>
      </w:r>
      <w:r>
        <w:instrText xml:space="preserve"> HYPERLINK \l "_Toc228568761" </w:instrText>
      </w:r>
      <w:r>
        <w:fldChar w:fldCharType="separate"/>
      </w:r>
      <w:r>
        <w:rPr>
          <w:rStyle w:val="32"/>
        </w:rPr>
        <w:t>11  附则</w:t>
      </w:r>
      <w:r>
        <w:rPr>
          <w:rFonts w:hint="eastAsia"/>
        </w:rPr>
        <w:tab/>
      </w:r>
      <w:r>
        <w:rPr>
          <w:rFonts w:hint="eastAsia"/>
        </w:rPr>
        <w:fldChar w:fldCharType="begin"/>
      </w:r>
      <w:r>
        <w:rPr>
          <w:rFonts w:hint="eastAsia"/>
        </w:rPr>
        <w:instrText xml:space="preserve"> </w:instrText>
      </w:r>
      <w:r>
        <w:instrText xml:space="preserve">PAGEREF _Toc228568761 \h</w:instrText>
      </w:r>
      <w:r>
        <w:rPr>
          <w:rFonts w:hint="eastAsia"/>
        </w:rPr>
        <w:instrText xml:space="preserve"> </w:instrText>
      </w:r>
      <w:r>
        <w:rPr>
          <w:rFonts w:hint="eastAsia"/>
        </w:rPr>
        <w:fldChar w:fldCharType="separate"/>
      </w:r>
      <w:r>
        <w:t>37</w:t>
      </w:r>
      <w:r>
        <w:rPr>
          <w:rFonts w:hint="eastAsia"/>
        </w:rPr>
        <w:fldChar w:fldCharType="end"/>
      </w:r>
      <w:r>
        <w:rPr>
          <w:rFonts w:hint="eastAsia"/>
        </w:rPr>
        <w:fldChar w:fldCharType="end"/>
      </w:r>
    </w:p>
    <w:p w14:paraId="0E077B99">
      <w:pPr>
        <w:pStyle w:val="91"/>
        <w:spacing w:after="360"/>
        <w:sectPr>
          <w:headerReference r:id="rId11" w:type="default"/>
          <w:footerReference r:id="rId13" w:type="default"/>
          <w:headerReference r:id="rId12" w:type="even"/>
          <w:footerReference r:id="rId14"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7500498C">
      <w:pPr>
        <w:pStyle w:val="89"/>
        <w:spacing w:before="900" w:after="360"/>
      </w:pPr>
      <w:bookmarkStart w:id="22" w:name="_Toc228568749"/>
      <w:bookmarkStart w:id="23" w:name="BookMark2"/>
      <w:r>
        <w:rPr>
          <w:spacing w:val="320"/>
        </w:rPr>
        <w:t>前</w:t>
      </w:r>
      <w:r>
        <w:t>言</w:t>
      </w:r>
      <w:bookmarkEnd w:id="22"/>
    </w:p>
    <w:p w14:paraId="252D74D2">
      <w:pPr>
        <w:pStyle w:val="56"/>
        <w:spacing w:line="360" w:lineRule="auto"/>
        <w:ind w:firstLine="420"/>
      </w:pPr>
      <w:r>
        <w:rPr>
          <w:rFonts w:hint="eastAsia"/>
        </w:rPr>
        <w:t>本文件按照GB/T 1.1—2020《标准化工作导则  第1部分：标准化文件的结构和起草规则》的规定起草。</w:t>
      </w:r>
    </w:p>
    <w:p w14:paraId="0F2E2311">
      <w:pPr>
        <w:pStyle w:val="56"/>
        <w:spacing w:line="360" w:lineRule="auto"/>
        <w:ind w:firstLine="420"/>
      </w:pPr>
      <w:r>
        <w:rPr>
          <w:rFonts w:hint="eastAsia"/>
        </w:rPr>
        <w:t>请注意本文件的某些内容可能涉及专利。本文件的发布机构不承担识别专利的责任。</w:t>
      </w:r>
    </w:p>
    <w:p w14:paraId="56B1EF6F">
      <w:pPr>
        <w:pStyle w:val="56"/>
        <w:spacing w:line="360" w:lineRule="auto"/>
        <w:ind w:firstLine="420"/>
      </w:pPr>
      <w:r>
        <w:rPr>
          <w:rFonts w:hint="eastAsia"/>
        </w:rPr>
        <w:t>本文件由西安市质量与标准化协会提出并归口。</w:t>
      </w:r>
    </w:p>
    <w:p w14:paraId="13021025">
      <w:pPr>
        <w:pStyle w:val="56"/>
        <w:spacing w:line="360" w:lineRule="auto"/>
        <w:ind w:firstLine="420"/>
      </w:pPr>
      <w:r>
        <w:rPr>
          <w:rFonts w:hint="eastAsia"/>
        </w:rPr>
        <w:t>本文件起草单位：</w:t>
      </w:r>
      <w:r>
        <w:t>国能北电胜利能源有限公司</w:t>
      </w:r>
      <w:bookmarkStart w:id="60" w:name="_GoBack"/>
      <w:bookmarkEnd w:id="60"/>
      <w:r>
        <w:t>。</w:t>
      </w:r>
    </w:p>
    <w:p w14:paraId="784B3C9B">
      <w:pPr>
        <w:pStyle w:val="56"/>
        <w:spacing w:line="360" w:lineRule="auto"/>
        <w:ind w:firstLine="420"/>
        <w:sectPr>
          <w:headerReference r:id="rId15" w:type="default"/>
          <w:footerReference r:id="rId17" w:type="default"/>
          <w:headerReference r:id="rId16" w:type="even"/>
          <w:footerReference r:id="rId18" w:type="even"/>
          <w:pgSz w:w="11906" w:h="16838"/>
          <w:pgMar w:top="1928" w:right="1134" w:bottom="1134" w:left="1134" w:header="1418" w:footer="1134" w:gutter="284"/>
          <w:pgNumType w:fmt="upperRoman" w:start="3"/>
          <w:cols w:space="425" w:num="1"/>
          <w:formProt w:val="0"/>
          <w:docGrid w:linePitch="312" w:charSpace="0"/>
        </w:sectPr>
      </w:pPr>
      <w:r>
        <w:rPr>
          <w:rFonts w:hint="eastAsia"/>
        </w:rPr>
        <w:t>本文件主要起草人：</w:t>
      </w:r>
      <w:r>
        <w:t>赵奇。</w:t>
      </w:r>
    </w:p>
    <w:bookmarkEnd w:id="23"/>
    <w:p w14:paraId="66D0A2F3">
      <w:pPr>
        <w:pStyle w:val="89"/>
        <w:spacing w:after="360"/>
      </w:pPr>
      <w:bookmarkStart w:id="24" w:name="_Toc228568750"/>
      <w:bookmarkStart w:id="25" w:name="BookMark3"/>
      <w:r>
        <w:rPr>
          <w:spacing w:val="320"/>
        </w:rPr>
        <w:t>引</w:t>
      </w:r>
      <w:r>
        <w:t>言</w:t>
      </w:r>
      <w:bookmarkEnd w:id="24"/>
    </w:p>
    <w:p w14:paraId="2D55A718">
      <w:pPr>
        <w:pStyle w:val="56"/>
        <w:spacing w:line="360" w:lineRule="auto"/>
        <w:ind w:firstLine="420"/>
      </w:pPr>
      <w:r>
        <w:rPr>
          <w:rFonts w:hint="eastAsia"/>
        </w:rPr>
        <w:t>当前，煤矿智能化系统在建设和运行过程中，普遍存在数据来源分散、编码规则不统一、采集口径不一致、主数据管理薄弱、数据标准体系不健全、数据接口兼容性不足、数据质量不稳定、数据共享机制不完善、权责边界不清晰和数据价值利用不足等问题。部分煤矿在设备、系统、平台和业务之间形成了较为明显的数据孤岛，导致同一对象多头采集、同类数据重复存储、关键数据难以贯通、分析结果难以复用、管理决策难以形成统一依据。与此同时，煤矿数据在安全、生产、机电、通风、运输、地测、防治水、调度和经营等领域的业务价值尚未得到系统挖掘，数据资源向数据资产转化的制度机制、评价方法和运营路径仍不完善，制约了煤矿智能化系统从“建系统、接数据”向“管数据、用数据、增价值”转变。</w:t>
      </w:r>
    </w:p>
    <w:p w14:paraId="6B0E6476">
      <w:pPr>
        <w:pStyle w:val="56"/>
        <w:spacing w:line="360" w:lineRule="auto"/>
        <w:ind w:firstLine="420"/>
      </w:pPr>
      <w:r>
        <w:rPr>
          <w:rFonts w:hint="eastAsia"/>
        </w:rPr>
        <w:t>煤矿智能化系统具有工况复杂、作业环境特殊、业务链条长、专业系统多、实时性要求高、安全约束强和持续运行要求严等特点。与一般工业信息系统相比，煤矿智能化系统数据治理不仅要解决数据标准化、完整性、准确性、一致性和可追溯性问题，还要统筹考虑井上与井下、生产与安全、实时与历史、自动控制与管理决策、设备运行与业务协同之间的数据衔接关系。为规范煤矿智能化系统数据治理活动，统一数据标准、治理流程、职责分工和管理要求，推动煤矿数据资源有序汇聚、有效治理、规范流通和价值转化，有必要结合煤矿智能化建设实际，制定本文件。本文件立足煤矿行业特点，围绕“统一标准、分类治理、权责清晰、质量可控、安全合规、价值导向、全程留痕”的总体要求，对数据治理基础、数据资源管理、数据质量管理、数据共享交换、数据安全管理、数据资产目录管理、数据资产评价、数据应用运营和保障机制等内容提出规范要求，重点解决“数据从哪里来、如何治理、怎样管好、如何形成资产、如何发挥价值”等关键问题。</w:t>
      </w:r>
    </w:p>
    <w:p w14:paraId="489571CF">
      <w:pPr>
        <w:pStyle w:val="56"/>
        <w:spacing w:line="360" w:lineRule="auto"/>
        <w:ind w:firstLine="420"/>
      </w:pPr>
      <w:r>
        <w:rPr>
          <w:rFonts w:hint="eastAsia"/>
        </w:rPr>
        <w:t>本文件强调，煤矿智能化系统数据治理应以业务需求和安全生产需求为牵引，以数据标准化和质量控制为基础，以平台协同和制度保障为支撑，以应用增值和管理增效为目标。数据资产化管理不应脱离煤矿安全生产和经营管理实际，不应以简单的数据汇总、数据存储和数据报表替代数据治理，不应以形式上的“建目录、做台账”代替实质性的价值识别、质量提升和场景应用。凡纳入煤矿智能化系统的数据资源，均应按照统一规则进行分类、编码、采集、存储、处理、共享、应用和评价，并在确保安全合规的前提下推进资源化管理和资产化运营。</w:t>
      </w:r>
    </w:p>
    <w:p w14:paraId="480D2D0F">
      <w:pPr>
        <w:pStyle w:val="56"/>
        <w:spacing w:line="360" w:lineRule="auto"/>
        <w:ind w:firstLine="420"/>
      </w:pPr>
      <w:r>
        <w:rPr>
          <w:rFonts w:hint="eastAsia"/>
        </w:rPr>
        <w:t>本文件的制定与实施，有助于推动煤矿智能化系统数据由分散管理向统一治理转变，由被动积累向主动运营转变，由信息支撑向价值创造转变；有助于提升煤矿数据质量、系统协同水平和管理决策能力；有助于促进煤矿智能化系统建设成果沉淀、数据资源集约利用和数据价值持续释放，为煤矿安全高效生产、精益化管理和数字化转型提供基础支撑。</w:t>
      </w:r>
    </w:p>
    <w:p w14:paraId="41C59179">
      <w:pPr>
        <w:pStyle w:val="56"/>
        <w:ind w:firstLine="420"/>
      </w:pPr>
    </w:p>
    <w:p w14:paraId="3AC90217">
      <w:pPr>
        <w:pStyle w:val="56"/>
        <w:ind w:firstLine="420"/>
        <w:sectPr>
          <w:headerReference r:id="rId19" w:type="default"/>
          <w:footerReference r:id="rId21" w:type="default"/>
          <w:headerReference r:id="rId20" w:type="even"/>
          <w:footerReference r:id="rId22" w:type="even"/>
          <w:pgSz w:w="11906" w:h="16838"/>
          <w:pgMar w:top="1928" w:right="1134" w:bottom="1134" w:left="1134" w:header="1418" w:footer="1134" w:gutter="284"/>
          <w:pgNumType w:fmt="upperRoman" w:start="5"/>
          <w:cols w:space="425" w:num="1"/>
          <w:formProt w:val="0"/>
          <w:docGrid w:linePitch="312" w:charSpace="0"/>
        </w:sectPr>
      </w:pPr>
    </w:p>
    <w:bookmarkEnd w:id="25"/>
    <w:p w14:paraId="7BCFE31A">
      <w:pPr>
        <w:spacing w:line="20" w:lineRule="exact"/>
        <w:jc w:val="center"/>
        <w:rPr>
          <w:rFonts w:hint="eastAsia" w:ascii="黑体" w:hAnsi="黑体" w:eastAsia="黑体"/>
          <w:sz w:val="32"/>
          <w:szCs w:val="32"/>
        </w:rPr>
      </w:pPr>
      <w:bookmarkStart w:id="26" w:name="BookMark4"/>
    </w:p>
    <w:p w14:paraId="71484A10">
      <w:pPr>
        <w:spacing w:line="20" w:lineRule="exact"/>
        <w:jc w:val="center"/>
        <w:rPr>
          <w:rFonts w:hint="eastAsia" w:ascii="黑体" w:hAnsi="黑体" w:eastAsia="黑体"/>
          <w:sz w:val="32"/>
          <w:szCs w:val="32"/>
        </w:rPr>
      </w:pPr>
    </w:p>
    <w:sdt>
      <w:sdtPr>
        <w:tag w:val="NEW_STAND_NAME"/>
        <w:id w:val="595910757"/>
        <w:lock w:val="sdtLocked"/>
        <w:placeholder>
          <w:docPart w:val="012FB321F5A4443D9AFC61825E0F0C38"/>
        </w:placeholder>
      </w:sdtPr>
      <w:sdtContent>
        <w:p w14:paraId="3BE38719">
          <w:pPr>
            <w:pStyle w:val="177"/>
            <w:spacing w:after="0"/>
            <w:rPr>
              <w:rFonts w:hint="eastAsia"/>
            </w:rPr>
          </w:pPr>
          <w:bookmarkStart w:id="27" w:name="NEW_STAND_NAME"/>
          <w:r>
            <w:rPr>
              <w:rFonts w:hint="eastAsia"/>
            </w:rPr>
            <w:t>煤矿智能化系统数据治理</w:t>
          </w:r>
        </w:p>
        <w:p w14:paraId="7D4E3E1F">
          <w:pPr>
            <w:pStyle w:val="177"/>
            <w:spacing w:before="0" w:after="0"/>
            <w:rPr>
              <w:rFonts w:hint="eastAsia"/>
            </w:rPr>
          </w:pPr>
          <w:r>
            <w:rPr>
              <w:rFonts w:hint="eastAsia"/>
            </w:rPr>
            <w:t>与资产化管理规范</w:t>
          </w:r>
        </w:p>
      </w:sdtContent>
    </w:sdt>
    <w:bookmarkEnd w:id="27"/>
    <w:p w14:paraId="3DB22445">
      <w:pPr>
        <w:pStyle w:val="104"/>
        <w:spacing w:before="240" w:after="240" w:line="360" w:lineRule="auto"/>
      </w:pPr>
      <w:bookmarkStart w:id="28" w:name="_Toc17233333"/>
      <w:bookmarkStart w:id="29" w:name="_Toc17233325"/>
      <w:bookmarkStart w:id="30" w:name="_Toc26986530"/>
      <w:bookmarkStart w:id="31" w:name="_Toc26986771"/>
      <w:bookmarkStart w:id="32" w:name="_Toc26648465"/>
      <w:bookmarkStart w:id="33" w:name="_Toc228568751"/>
      <w:bookmarkStart w:id="34" w:name="_Toc24884211"/>
      <w:bookmarkStart w:id="35" w:name="_Toc24884218"/>
      <w:bookmarkStart w:id="36" w:name="_Toc26718930"/>
      <w:bookmarkStart w:id="37" w:name="_Toc97192964"/>
      <w:r>
        <w:rPr>
          <w:rFonts w:hint="eastAsia"/>
        </w:rPr>
        <w:t>范围</w:t>
      </w:r>
      <w:bookmarkEnd w:id="28"/>
      <w:bookmarkEnd w:id="29"/>
      <w:bookmarkEnd w:id="30"/>
      <w:bookmarkEnd w:id="31"/>
      <w:bookmarkEnd w:id="32"/>
      <w:bookmarkEnd w:id="33"/>
      <w:bookmarkEnd w:id="34"/>
      <w:bookmarkEnd w:id="35"/>
      <w:bookmarkEnd w:id="36"/>
      <w:bookmarkEnd w:id="37"/>
    </w:p>
    <w:p w14:paraId="36AA6275">
      <w:pPr>
        <w:pStyle w:val="56"/>
        <w:spacing w:line="360" w:lineRule="auto"/>
        <w:ind w:firstLine="420"/>
      </w:pPr>
      <w:bookmarkStart w:id="38" w:name="_Toc24884219"/>
      <w:bookmarkStart w:id="39" w:name="_Toc17233326"/>
      <w:bookmarkStart w:id="40" w:name="_Toc17233334"/>
      <w:bookmarkStart w:id="41" w:name="_Toc26648466"/>
      <w:bookmarkStart w:id="42" w:name="_Toc24884212"/>
      <w:r>
        <w:rPr>
          <w:rFonts w:hint="eastAsia"/>
        </w:rPr>
        <w:t>本文件规定了煤矿智能化系统数据治理与资产化管理的基本规定，数据治理基础要求，数据资源管理，数据质量管理，数据共享交换与安全管理，数据资产目录管理与价值评估以及保障机制、监督评价等内容。</w:t>
      </w:r>
    </w:p>
    <w:p w14:paraId="4D51F848">
      <w:pPr>
        <w:pStyle w:val="56"/>
        <w:spacing w:line="360" w:lineRule="auto"/>
        <w:ind w:firstLine="420"/>
      </w:pPr>
      <w:r>
        <w:rPr>
          <w:rFonts w:hint="eastAsia"/>
        </w:rPr>
        <w:t>本文件适用于煤矿企业智能化系统建设、运行、升级和管理过程中涉及的数据治理与资产化管理活动。</w:t>
      </w:r>
    </w:p>
    <w:p w14:paraId="3733B2AD">
      <w:pPr>
        <w:pStyle w:val="104"/>
        <w:spacing w:before="240" w:after="240" w:line="360" w:lineRule="auto"/>
      </w:pPr>
      <w:bookmarkStart w:id="43" w:name="_Toc26718931"/>
      <w:bookmarkStart w:id="44" w:name="_Toc26986531"/>
      <w:bookmarkStart w:id="45" w:name="_Toc26986772"/>
      <w:bookmarkStart w:id="46" w:name="_Toc97192965"/>
      <w:bookmarkStart w:id="47" w:name="_Toc228568752"/>
      <w:r>
        <w:rPr>
          <w:rFonts w:hint="eastAsia"/>
        </w:rPr>
        <w:t>规范性引用文件</w:t>
      </w:r>
      <w:bookmarkEnd w:id="38"/>
      <w:bookmarkEnd w:id="39"/>
      <w:bookmarkEnd w:id="40"/>
      <w:bookmarkEnd w:id="41"/>
      <w:bookmarkEnd w:id="42"/>
      <w:bookmarkEnd w:id="43"/>
      <w:bookmarkEnd w:id="44"/>
      <w:bookmarkEnd w:id="45"/>
      <w:bookmarkEnd w:id="46"/>
      <w:bookmarkEnd w:id="47"/>
    </w:p>
    <w:sdt>
      <w:sdtPr>
        <w:rPr>
          <w:rFonts w:hint="eastAsia"/>
        </w:rPr>
        <w:id w:val="715848253"/>
        <w:placeholder>
          <w:docPart w:val="06591A60496146309C06F8B2E11B4B09"/>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555A6380">
          <w:pPr>
            <w:pStyle w:val="56"/>
            <w:spacing w:line="360" w:lineRule="auto"/>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3F29A79">
      <w:pPr>
        <w:pStyle w:val="56"/>
        <w:spacing w:line="360" w:lineRule="auto"/>
        <w:ind w:firstLine="420"/>
      </w:pPr>
      <w:r>
        <w:rPr>
          <w:rFonts w:hint="eastAsia"/>
        </w:rPr>
        <w:t>GB/T 1.1—2020 标准化工作导则  第1部分：标准化文件的结构和起草规则</w:t>
      </w:r>
    </w:p>
    <w:p w14:paraId="58961FFF">
      <w:pPr>
        <w:pStyle w:val="56"/>
        <w:spacing w:line="360" w:lineRule="auto"/>
        <w:ind w:firstLine="420"/>
      </w:pPr>
      <w:r>
        <w:rPr>
          <w:rFonts w:hint="eastAsia"/>
        </w:rPr>
        <w:t>GB/T 22239—2019 信息安全技术  网络安全等级保护基本要求</w:t>
      </w:r>
    </w:p>
    <w:p w14:paraId="07A7F860">
      <w:pPr>
        <w:pStyle w:val="56"/>
        <w:spacing w:line="360" w:lineRule="auto"/>
        <w:ind w:firstLine="420"/>
      </w:pPr>
      <w:r>
        <w:rPr>
          <w:rFonts w:hint="eastAsia"/>
        </w:rPr>
        <w:t>GB/T 34960.5—2018 信息技术服务  治理  第5部分：数据治理规范</w:t>
      </w:r>
    </w:p>
    <w:p w14:paraId="1EB7239A">
      <w:pPr>
        <w:pStyle w:val="56"/>
        <w:spacing w:line="360" w:lineRule="auto"/>
        <w:ind w:firstLine="420"/>
        <w:rPr>
          <w:rFonts w:hint="eastAsia"/>
        </w:rPr>
      </w:pPr>
      <w:r>
        <w:t>NB/T 11325</w:t>
      </w:r>
      <w:r>
        <w:rPr>
          <w:rFonts w:hint="eastAsia"/>
        </w:rPr>
        <w:t>—</w:t>
      </w:r>
      <w:r>
        <w:t>2023</w:t>
      </w:r>
      <w:r>
        <w:rPr>
          <w:rFonts w:hint="eastAsia"/>
        </w:rPr>
        <w:t xml:space="preserve"> 煤矿瓦斯智能化抽采系统技术要求</w:t>
      </w:r>
    </w:p>
    <w:p w14:paraId="51F02A4E">
      <w:pPr>
        <w:pStyle w:val="104"/>
        <w:spacing w:before="240" w:after="240" w:line="360" w:lineRule="auto"/>
      </w:pPr>
      <w:bookmarkStart w:id="48" w:name="_Toc97192966"/>
      <w:bookmarkStart w:id="49" w:name="_Toc228568753"/>
      <w:r>
        <w:rPr>
          <w:rFonts w:hint="eastAsia"/>
          <w:szCs w:val="21"/>
        </w:rPr>
        <w:t>术语和定义</w:t>
      </w:r>
      <w:bookmarkEnd w:id="48"/>
      <w:bookmarkEnd w:id="49"/>
    </w:p>
    <w:sdt>
      <w:sdtPr>
        <w:id w:val="-1909835108"/>
        <w:placeholder>
          <w:docPart w:val="301A11BD743F4400A8B304744630EFE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14EFBF71">
          <w:pPr>
            <w:pStyle w:val="56"/>
            <w:spacing w:line="360" w:lineRule="auto"/>
            <w:ind w:firstLine="420"/>
          </w:pPr>
          <w:bookmarkStart w:id="50" w:name="_Toc26986532"/>
          <w:bookmarkEnd w:id="50"/>
          <w:r>
            <w:t>下列术语和定义适用于本文件。</w:t>
          </w:r>
        </w:p>
      </w:sdtContent>
    </w:sdt>
    <w:p w14:paraId="4CDCE648">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煤矿智能化系统 coal mine intelligent system</w:t>
      </w:r>
    </w:p>
    <w:p w14:paraId="584BF7D3">
      <w:pPr>
        <w:pStyle w:val="56"/>
        <w:spacing w:line="360" w:lineRule="auto"/>
        <w:ind w:firstLine="420"/>
      </w:pPr>
      <w:r>
        <w:rPr>
          <w:rFonts w:hint="eastAsia"/>
        </w:rPr>
        <w:t>应用自动感知、自动控制、工业互联网、大数据、人工智能、云平台和数字孪生等技术，对煤矿安全、生产、装备、调度、经营和管理等业务进行感知、分析、决策、控制和协同的系统集合。</w:t>
      </w:r>
    </w:p>
    <w:p w14:paraId="39E1FDB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数据治理 data governance</w:t>
      </w:r>
    </w:p>
    <w:p w14:paraId="6DE11CF3">
      <w:pPr>
        <w:pStyle w:val="56"/>
        <w:spacing w:line="360" w:lineRule="auto"/>
        <w:ind w:firstLine="420"/>
      </w:pPr>
      <w:r>
        <w:rPr>
          <w:rFonts w:hint="eastAsia"/>
        </w:rPr>
        <w:t>围绕数据资源形成、采集、传输、存储、处理、共享、应用、归档和退出全过程，对组织职责、数据标准、质量规则、流程机制、监督评价和技术支撑进行统筹管理的活动。</w:t>
      </w:r>
    </w:p>
    <w:p w14:paraId="31B9853C">
      <w:pPr>
        <w:pStyle w:val="56"/>
        <w:spacing w:line="360" w:lineRule="auto"/>
        <w:ind w:firstLine="420"/>
        <w:rPr>
          <w:rFonts w:hint="eastAsia"/>
        </w:rPr>
      </w:pPr>
    </w:p>
    <w:p w14:paraId="1AE1FA27">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数据资产 data asset</w:t>
      </w:r>
    </w:p>
    <w:p w14:paraId="2E5CB635">
      <w:pPr>
        <w:pStyle w:val="56"/>
        <w:spacing w:line="360" w:lineRule="auto"/>
        <w:ind w:firstLine="420"/>
      </w:pPr>
      <w:r>
        <w:rPr>
          <w:rFonts w:hint="eastAsia"/>
        </w:rPr>
        <w:t>经识别、归集、治理、管理和应用，能够为煤矿企业安全生产、经营管理、风险控制、决策支持和价值创造提供持续支撑的数据资源。</w:t>
      </w:r>
    </w:p>
    <w:p w14:paraId="36B42D89">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资产化管理 data asset management</w:t>
      </w:r>
    </w:p>
    <w:p w14:paraId="784068A0">
      <w:pPr>
        <w:pStyle w:val="56"/>
        <w:spacing w:line="360" w:lineRule="auto"/>
        <w:ind w:firstLine="420"/>
      </w:pPr>
      <w:r>
        <w:rPr>
          <w:rFonts w:hint="eastAsia"/>
        </w:rPr>
        <w:t>对数据资产进行识别、分类、登记、评价、维护、应用、运营和监督的管理活动。</w:t>
      </w:r>
    </w:p>
    <w:p w14:paraId="171731FE">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数据资源 data resource</w:t>
      </w:r>
    </w:p>
    <w:p w14:paraId="0DAA0A93">
      <w:pPr>
        <w:pStyle w:val="56"/>
        <w:spacing w:line="360" w:lineRule="auto"/>
        <w:ind w:firstLine="420"/>
      </w:pPr>
      <w:r>
        <w:rPr>
          <w:rFonts w:hint="eastAsia"/>
        </w:rPr>
        <w:t>煤矿智能化系统在建设、运行和管理过程中形成、采集、交换、加工或者沉淀的，可用于业务处理、分析决策、管理控制和价值利用的数据集合。</w:t>
      </w:r>
    </w:p>
    <w:p w14:paraId="6741A7E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主数据 master data</w:t>
      </w:r>
    </w:p>
    <w:p w14:paraId="0580BE1E">
      <w:pPr>
        <w:pStyle w:val="56"/>
        <w:spacing w:line="360" w:lineRule="auto"/>
        <w:ind w:firstLine="420"/>
      </w:pPr>
      <w:r>
        <w:rPr>
          <w:rFonts w:hint="eastAsia"/>
        </w:rPr>
        <w:t>在煤矿智能化系统中被多个业务系统共同使用、具有相对稳定性并作为统一参照基础的数据。</w:t>
      </w:r>
    </w:p>
    <w:p w14:paraId="59DCBB5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元数据 metadata</w:t>
      </w:r>
    </w:p>
    <w:p w14:paraId="51DAF44B">
      <w:pPr>
        <w:pStyle w:val="56"/>
        <w:spacing w:line="360" w:lineRule="auto"/>
        <w:ind w:firstLine="420"/>
      </w:pPr>
      <w:r>
        <w:rPr>
          <w:rFonts w:hint="eastAsia"/>
        </w:rPr>
        <w:t>描述数据的名称、含义、来源、格式、结构、口径、权限、更新频率、责任主体和生命周期等特征的数据。</w:t>
      </w:r>
    </w:p>
    <w:p w14:paraId="5A0C3FBF">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数据标准 data standard</w:t>
      </w:r>
    </w:p>
    <w:p w14:paraId="64EC1606">
      <w:pPr>
        <w:pStyle w:val="56"/>
        <w:spacing w:line="360" w:lineRule="auto"/>
        <w:ind w:firstLine="420"/>
      </w:pPr>
      <w:r>
        <w:rPr>
          <w:rFonts w:hint="eastAsia"/>
        </w:rPr>
        <w:t>对数据名称、定义、分类、编码、格式、精度、口径、接口、质量规则和管理要求作出统一规定的规范。</w:t>
      </w:r>
    </w:p>
    <w:p w14:paraId="398CB33A">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数据质量 data quality</w:t>
      </w:r>
    </w:p>
    <w:p w14:paraId="3B6ABFF8">
      <w:pPr>
        <w:pStyle w:val="56"/>
        <w:spacing w:line="360" w:lineRule="auto"/>
        <w:ind w:firstLine="420"/>
      </w:pPr>
      <w:r>
        <w:rPr>
          <w:rFonts w:hint="eastAsia"/>
        </w:rPr>
        <w:t>数据在完整性、准确性、一致性、及时性、唯一性、可用性、规范性和可追溯性等方面满足使用要求的程度。</w:t>
      </w:r>
    </w:p>
    <w:p w14:paraId="327F28B0">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数据目录 data catalog</w:t>
      </w:r>
    </w:p>
    <w:p w14:paraId="3E59976E">
      <w:pPr>
        <w:pStyle w:val="56"/>
        <w:spacing w:line="360" w:lineRule="auto"/>
        <w:ind w:firstLine="420"/>
      </w:pPr>
      <w:r>
        <w:rPr>
          <w:rFonts w:hint="eastAsia"/>
        </w:rPr>
        <w:t>对数据资产或者数据资源进行统一编目后形成的结构化清单，用于支撑查询、共享、管理和追溯。</w:t>
      </w:r>
    </w:p>
    <w:p w14:paraId="753BF4C6">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数据共享 data sharing</w:t>
      </w:r>
    </w:p>
    <w:p w14:paraId="5DE656C6">
      <w:pPr>
        <w:pStyle w:val="56"/>
        <w:spacing w:line="360" w:lineRule="auto"/>
        <w:ind w:firstLine="420"/>
      </w:pPr>
      <w:r>
        <w:rPr>
          <w:rFonts w:hint="eastAsia"/>
        </w:rPr>
        <w:t>在明确权责边界、安全要求和使用规则的前提下，不同系统、部门或者层级之间实现数据共同使用的活动。</w:t>
      </w:r>
    </w:p>
    <w:p w14:paraId="7BA6C172">
      <w:pPr>
        <w:pStyle w:val="223"/>
        <w:spacing w:line="360" w:lineRule="auto"/>
        <w:ind w:left="420" w:hanging="420" w:hangingChars="200"/>
        <w:rPr>
          <w:rFonts w:hint="eastAsia" w:ascii="黑体" w:hAnsi="黑体" w:eastAsia="黑体"/>
        </w:rPr>
      </w:pPr>
      <w:r>
        <w:rPr>
          <w:rFonts w:ascii="黑体" w:hAnsi="黑体" w:eastAsia="黑体"/>
        </w:rPr>
        <w:br w:type="textWrapping"/>
      </w:r>
      <w:r>
        <w:rPr>
          <w:rFonts w:hint="eastAsia" w:ascii="黑体" w:hAnsi="黑体" w:eastAsia="黑体"/>
        </w:rPr>
        <w:t>数据交换 data exchange</w:t>
      </w:r>
    </w:p>
    <w:p w14:paraId="52FD609B">
      <w:pPr>
        <w:pStyle w:val="56"/>
        <w:spacing w:line="360" w:lineRule="auto"/>
        <w:ind w:firstLine="420"/>
      </w:pPr>
      <w:r>
        <w:rPr>
          <w:rFonts w:hint="eastAsia"/>
        </w:rPr>
        <w:t>按照约定规则在不同系统、平台、设备或者组织之间进行数据传输、同步、对接和转换的活动。</w:t>
      </w:r>
    </w:p>
    <w:p w14:paraId="7BCE71EF">
      <w:pPr>
        <w:pStyle w:val="104"/>
        <w:spacing w:before="240" w:after="240" w:line="360" w:lineRule="auto"/>
      </w:pPr>
      <w:bookmarkStart w:id="51" w:name="_Toc228568754"/>
      <w:r>
        <w:rPr>
          <w:rFonts w:hint="eastAsia"/>
        </w:rPr>
        <w:t>基本规定</w:t>
      </w:r>
      <w:bookmarkEnd w:id="51"/>
    </w:p>
    <w:p w14:paraId="29C57530">
      <w:pPr>
        <w:pStyle w:val="105"/>
        <w:spacing w:before="120" w:after="120" w:line="360" w:lineRule="auto"/>
      </w:pPr>
      <w:r>
        <w:rPr>
          <w:rFonts w:hint="eastAsia"/>
        </w:rPr>
        <w:t>一般要求</w:t>
      </w:r>
    </w:p>
    <w:p w14:paraId="45D37AD9">
      <w:pPr>
        <w:pStyle w:val="165"/>
        <w:spacing w:line="360" w:lineRule="auto"/>
      </w:pPr>
      <w:r>
        <w:rPr>
          <w:rFonts w:hint="eastAsia"/>
        </w:rPr>
        <w:t>煤矿智能化系统数据治理与资产化管理应坚持统一规划、统一标准、统一目录、统一规则、统一监督和分级负责的原则。</w:t>
      </w:r>
    </w:p>
    <w:p w14:paraId="32C9301A">
      <w:pPr>
        <w:pStyle w:val="165"/>
        <w:spacing w:line="360" w:lineRule="auto"/>
      </w:pPr>
      <w:r>
        <w:rPr>
          <w:rFonts w:hint="eastAsia"/>
        </w:rPr>
        <w:t>数据治理与资产化管理应服务于煤矿安全生产、经营管理、风险控制、协同调度和决策支持，不得脱离业务实际单独开展形式化管理。</w:t>
      </w:r>
    </w:p>
    <w:p w14:paraId="24F954AD">
      <w:pPr>
        <w:pStyle w:val="165"/>
        <w:spacing w:line="360" w:lineRule="auto"/>
      </w:pPr>
      <w:r>
        <w:rPr>
          <w:rFonts w:hint="eastAsia"/>
        </w:rPr>
        <w:t>数据治理应覆盖数据产生、采集、传输、汇聚、存储、加工、共享、应用、归档和退出全过程。</w:t>
      </w:r>
    </w:p>
    <w:p w14:paraId="7DE43093">
      <w:pPr>
        <w:pStyle w:val="165"/>
        <w:spacing w:line="360" w:lineRule="auto"/>
      </w:pPr>
      <w:r>
        <w:rPr>
          <w:rFonts w:hint="eastAsia"/>
        </w:rPr>
        <w:t>数据资产化管理应以数据资源清晰、质量可控、责任明确、价值可识别和使用可追溯为前提。</w:t>
      </w:r>
    </w:p>
    <w:p w14:paraId="49CC03B1">
      <w:pPr>
        <w:pStyle w:val="165"/>
        <w:spacing w:line="360" w:lineRule="auto"/>
      </w:pPr>
      <w:r>
        <w:rPr>
          <w:rFonts w:hint="eastAsia"/>
        </w:rPr>
        <w:t>煤矿企业应建立与智能化系统建设和运行相适应的数据治理与资产化管理体系，并纳入企业整体管理体系统筹实施。</w:t>
      </w:r>
    </w:p>
    <w:p w14:paraId="1F3038CB">
      <w:pPr>
        <w:pStyle w:val="165"/>
        <w:spacing w:line="360" w:lineRule="auto"/>
      </w:pPr>
      <w:r>
        <w:rPr>
          <w:rFonts w:hint="eastAsia"/>
        </w:rPr>
        <w:t>数据治理与资产化管理不得影响煤矿安全监测、自动控制、生产调度和应急处置等关键业务连续性。</w:t>
      </w:r>
    </w:p>
    <w:p w14:paraId="40062670">
      <w:pPr>
        <w:pStyle w:val="165"/>
        <w:spacing w:line="360" w:lineRule="auto"/>
      </w:pPr>
      <w:r>
        <w:rPr>
          <w:rFonts w:hint="eastAsia"/>
        </w:rPr>
        <w:t>对涉及安全生产、灾害预警、机电保护、人员位置、应急联动和重要经营管理的数据，应实施重点治理和重点管控。</w:t>
      </w:r>
    </w:p>
    <w:p w14:paraId="03572248">
      <w:pPr>
        <w:pStyle w:val="105"/>
        <w:spacing w:before="120" w:after="120" w:line="360" w:lineRule="auto"/>
      </w:pPr>
      <w:r>
        <w:rPr>
          <w:rFonts w:hint="eastAsia"/>
        </w:rPr>
        <w:t>管理目标</w:t>
      </w:r>
    </w:p>
    <w:p w14:paraId="3E7D6D85">
      <w:pPr>
        <w:pStyle w:val="165"/>
        <w:spacing w:line="360" w:lineRule="auto"/>
      </w:pPr>
      <w:r>
        <w:rPr>
          <w:rFonts w:hint="eastAsia"/>
        </w:rPr>
        <w:t>数据治理应实现下列目标：</w:t>
      </w:r>
    </w:p>
    <w:p w14:paraId="618EC134">
      <w:pPr>
        <w:pStyle w:val="56"/>
        <w:spacing w:line="360" w:lineRule="auto"/>
        <w:ind w:firstLine="420"/>
      </w:pPr>
      <w:r>
        <w:rPr>
          <w:rFonts w:hint="eastAsia"/>
        </w:rPr>
        <w:t>a）数据定义统一；</w:t>
      </w:r>
    </w:p>
    <w:p w14:paraId="3C96CD1F">
      <w:pPr>
        <w:pStyle w:val="56"/>
        <w:spacing w:line="360" w:lineRule="auto"/>
        <w:ind w:firstLine="420"/>
      </w:pPr>
      <w:r>
        <w:rPr>
          <w:rFonts w:hint="eastAsia"/>
        </w:rPr>
        <w:t>b）数据来源明确；</w:t>
      </w:r>
    </w:p>
    <w:p w14:paraId="0047E0F4">
      <w:pPr>
        <w:pStyle w:val="56"/>
        <w:spacing w:line="360" w:lineRule="auto"/>
        <w:ind w:firstLine="420"/>
      </w:pPr>
      <w:r>
        <w:rPr>
          <w:rFonts w:hint="eastAsia"/>
        </w:rPr>
        <w:t>c）数据口径一致；</w:t>
      </w:r>
    </w:p>
    <w:p w14:paraId="608D9714">
      <w:pPr>
        <w:pStyle w:val="56"/>
        <w:spacing w:line="360" w:lineRule="auto"/>
        <w:ind w:firstLine="420"/>
      </w:pPr>
      <w:r>
        <w:rPr>
          <w:rFonts w:hint="eastAsia"/>
        </w:rPr>
        <w:t>d）数据质量受控；</w:t>
      </w:r>
    </w:p>
    <w:p w14:paraId="32E9BB13">
      <w:pPr>
        <w:pStyle w:val="56"/>
        <w:spacing w:line="360" w:lineRule="auto"/>
        <w:ind w:firstLine="420"/>
      </w:pPr>
      <w:r>
        <w:rPr>
          <w:rFonts w:hint="eastAsia"/>
        </w:rPr>
        <w:t>e）数据共享有序；</w:t>
      </w:r>
    </w:p>
    <w:p w14:paraId="4BBAA3D7">
      <w:pPr>
        <w:pStyle w:val="56"/>
        <w:spacing w:line="360" w:lineRule="auto"/>
        <w:ind w:firstLine="420"/>
      </w:pPr>
      <w:r>
        <w:rPr>
          <w:rFonts w:hint="eastAsia"/>
        </w:rPr>
        <w:t>f）数据使用可追溯；</w:t>
      </w:r>
    </w:p>
    <w:p w14:paraId="4E350902">
      <w:pPr>
        <w:pStyle w:val="56"/>
        <w:spacing w:line="360" w:lineRule="auto"/>
        <w:ind w:firstLine="420"/>
      </w:pPr>
      <w:r>
        <w:rPr>
          <w:rFonts w:hint="eastAsia"/>
        </w:rPr>
        <w:t>g）数据安全可管控。</w:t>
      </w:r>
    </w:p>
    <w:p w14:paraId="2954E5A9">
      <w:pPr>
        <w:pStyle w:val="165"/>
        <w:spacing w:line="360" w:lineRule="auto"/>
      </w:pPr>
      <w:r>
        <w:rPr>
          <w:rFonts w:hint="eastAsia"/>
        </w:rPr>
        <w:t>数据资产化管理应实现下列目标：</w:t>
      </w:r>
    </w:p>
    <w:p w14:paraId="203E8B49">
      <w:pPr>
        <w:pStyle w:val="56"/>
        <w:spacing w:line="360" w:lineRule="auto"/>
        <w:ind w:firstLine="420"/>
      </w:pPr>
      <w:r>
        <w:rPr>
          <w:rFonts w:hint="eastAsia"/>
        </w:rPr>
        <w:t>a）数据资源可识别；</w:t>
      </w:r>
    </w:p>
    <w:p w14:paraId="1A723821">
      <w:pPr>
        <w:pStyle w:val="56"/>
        <w:spacing w:line="360" w:lineRule="auto"/>
        <w:ind w:firstLine="420"/>
      </w:pPr>
      <w:r>
        <w:rPr>
          <w:rFonts w:hint="eastAsia"/>
        </w:rPr>
        <w:t>b）数据资产可登记；</w:t>
      </w:r>
    </w:p>
    <w:p w14:paraId="2ADFFDD7">
      <w:pPr>
        <w:pStyle w:val="56"/>
        <w:spacing w:line="360" w:lineRule="auto"/>
        <w:ind w:firstLine="420"/>
      </w:pPr>
      <w:r>
        <w:rPr>
          <w:rFonts w:hint="eastAsia"/>
        </w:rPr>
        <w:t>c）数据目录可查询；</w:t>
      </w:r>
    </w:p>
    <w:p w14:paraId="6E19EF41">
      <w:pPr>
        <w:pStyle w:val="56"/>
        <w:spacing w:line="360" w:lineRule="auto"/>
        <w:ind w:firstLine="420"/>
      </w:pPr>
      <w:r>
        <w:rPr>
          <w:rFonts w:hint="eastAsia"/>
        </w:rPr>
        <w:t>d）数据责任可落实；</w:t>
      </w:r>
    </w:p>
    <w:p w14:paraId="73FC7BC2">
      <w:pPr>
        <w:pStyle w:val="56"/>
        <w:spacing w:line="360" w:lineRule="auto"/>
        <w:ind w:firstLine="420"/>
      </w:pPr>
      <w:r>
        <w:rPr>
          <w:rFonts w:hint="eastAsia"/>
        </w:rPr>
        <w:t>e）数据价值可评估；</w:t>
      </w:r>
    </w:p>
    <w:p w14:paraId="3824B817">
      <w:pPr>
        <w:pStyle w:val="56"/>
        <w:spacing w:line="360" w:lineRule="auto"/>
        <w:ind w:firstLine="420"/>
      </w:pPr>
      <w:r>
        <w:rPr>
          <w:rFonts w:hint="eastAsia"/>
        </w:rPr>
        <w:t>f）数据应用可运营；</w:t>
      </w:r>
    </w:p>
    <w:p w14:paraId="1A1C665B">
      <w:pPr>
        <w:pStyle w:val="56"/>
        <w:spacing w:line="360" w:lineRule="auto"/>
        <w:ind w:firstLine="420"/>
      </w:pPr>
      <w:r>
        <w:rPr>
          <w:rFonts w:hint="eastAsia"/>
        </w:rPr>
        <w:t>g）数据风险可防控。</w:t>
      </w:r>
    </w:p>
    <w:p w14:paraId="717A8620">
      <w:pPr>
        <w:pStyle w:val="165"/>
        <w:spacing w:line="360" w:lineRule="auto"/>
      </w:pPr>
      <w:r>
        <w:rPr>
          <w:rFonts w:hint="eastAsia"/>
        </w:rPr>
        <w:t>煤矿企业开展数据治理与资产化管理时，不得仅以数据汇聚规模、存储容量或者平台数量作为管理成效评价依据。</w:t>
      </w:r>
    </w:p>
    <w:p w14:paraId="190F77FF">
      <w:pPr>
        <w:pStyle w:val="105"/>
        <w:spacing w:before="120" w:after="120" w:line="360" w:lineRule="auto"/>
      </w:pPr>
      <w:r>
        <w:rPr>
          <w:rFonts w:hint="eastAsia"/>
        </w:rPr>
        <w:t>管理边界</w:t>
      </w:r>
    </w:p>
    <w:p w14:paraId="6BC48148">
      <w:pPr>
        <w:pStyle w:val="165"/>
        <w:spacing w:line="360" w:lineRule="auto"/>
      </w:pPr>
      <w:r>
        <w:rPr>
          <w:rFonts w:hint="eastAsia"/>
        </w:rPr>
        <w:t>数据治理与资产化管理范围应覆盖煤矿智能化系统中由企业建设、采购、接入、运营、维护或者管理的数据资源。</w:t>
      </w:r>
    </w:p>
    <w:p w14:paraId="6A77EF2C">
      <w:pPr>
        <w:pStyle w:val="165"/>
        <w:spacing w:line="360" w:lineRule="auto"/>
      </w:pPr>
      <w:r>
        <w:rPr>
          <w:rFonts w:hint="eastAsia"/>
        </w:rPr>
        <w:t>对井下感知设备、自动控制装置、运输系统、通风系统、排水系统、供电系统、视频系统、调度系统、地测系统、防治水系统、设备管理系统和经营管理系统形成的数据，应纳入统一治理范围。</w:t>
      </w:r>
    </w:p>
    <w:p w14:paraId="4DECE748">
      <w:pPr>
        <w:pStyle w:val="165"/>
        <w:spacing w:line="360" w:lineRule="auto"/>
      </w:pPr>
      <w:r>
        <w:rPr>
          <w:rFonts w:hint="eastAsia"/>
        </w:rPr>
        <w:t>对外部单位依法依规提供、交换或者共享的数据，纳入本企业使用范围后，应按本文件要求实施分类管理和责任管理。</w:t>
      </w:r>
    </w:p>
    <w:p w14:paraId="652B4B6D">
      <w:pPr>
        <w:pStyle w:val="165"/>
        <w:spacing w:line="360" w:lineRule="auto"/>
      </w:pPr>
      <w:r>
        <w:rPr>
          <w:rFonts w:hint="eastAsia"/>
        </w:rPr>
        <w:t>不纳入资产化管理范围的数据，应明确其管理边界、使用范围和退出规则，不得因边界不清形成管理盲区。</w:t>
      </w:r>
    </w:p>
    <w:p w14:paraId="25CEFC30">
      <w:pPr>
        <w:pStyle w:val="105"/>
        <w:spacing w:before="120" w:after="120" w:line="360" w:lineRule="auto"/>
      </w:pPr>
      <w:r>
        <w:rPr>
          <w:rFonts w:hint="eastAsia"/>
        </w:rPr>
        <w:t>管理职责</w:t>
      </w:r>
    </w:p>
    <w:p w14:paraId="6A24C36B">
      <w:pPr>
        <w:pStyle w:val="165"/>
        <w:spacing w:line="360" w:lineRule="auto"/>
      </w:pPr>
      <w:r>
        <w:rPr>
          <w:rFonts w:hint="eastAsia"/>
        </w:rPr>
        <w:t>煤矿企业应明确数据治理与资产化管理的主管部门、归口部门、责任部门和执行岗位。</w:t>
      </w:r>
    </w:p>
    <w:p w14:paraId="37D23819">
      <w:pPr>
        <w:pStyle w:val="165"/>
        <w:spacing w:line="360" w:lineRule="auto"/>
      </w:pPr>
      <w:r>
        <w:rPr>
          <w:rFonts w:hint="eastAsia"/>
        </w:rPr>
        <w:t>企业管理层应负责组织建立数据治理与资产化管理制度，明确管理目标、管理架构和资源保障要求。</w:t>
      </w:r>
    </w:p>
    <w:p w14:paraId="35082C99">
      <w:pPr>
        <w:pStyle w:val="165"/>
        <w:spacing w:line="360" w:lineRule="auto"/>
      </w:pPr>
      <w:r>
        <w:rPr>
          <w:rFonts w:hint="eastAsia"/>
        </w:rPr>
        <w:t>归口管理部门应负责统筹数据标准、数据目录、数据质量、数据共享、数据资产登记、评价和监督考核等工作。</w:t>
      </w:r>
    </w:p>
    <w:p w14:paraId="463C5B87">
      <w:pPr>
        <w:pStyle w:val="165"/>
        <w:spacing w:line="360" w:lineRule="auto"/>
      </w:pPr>
      <w:r>
        <w:rPr>
          <w:rFonts w:hint="eastAsia"/>
        </w:rPr>
        <w:t>业务部门应对本部门数据的业务定义、业务口径、采集要求、使用规则和质量要求负责。</w:t>
      </w:r>
    </w:p>
    <w:p w14:paraId="78B7A707">
      <w:pPr>
        <w:pStyle w:val="165"/>
        <w:spacing w:line="360" w:lineRule="auto"/>
      </w:pPr>
      <w:r>
        <w:rPr>
          <w:rFonts w:hint="eastAsia"/>
        </w:rPr>
        <w:t>信息化或者智能化管理部门应对数据平台、数据接口、数据存储、系统集成、技术支撑和运行保障负责。</w:t>
      </w:r>
    </w:p>
    <w:p w14:paraId="7DB3DEAE">
      <w:pPr>
        <w:pStyle w:val="165"/>
        <w:spacing w:line="360" w:lineRule="auto"/>
      </w:pPr>
      <w:r>
        <w:rPr>
          <w:rFonts w:hint="eastAsia"/>
        </w:rPr>
        <w:t>安全管理相关部门应对涉及安全生产、灾害预警、应急处置和风险监测的数据完整性、准确性和时效性提出专项要求。</w:t>
      </w:r>
    </w:p>
    <w:p w14:paraId="643D0975">
      <w:pPr>
        <w:pStyle w:val="165"/>
        <w:spacing w:line="360" w:lineRule="auto"/>
      </w:pPr>
      <w:r>
        <w:rPr>
          <w:rFonts w:hint="eastAsia"/>
        </w:rPr>
        <w:t>数据责任主体应明确至部门、岗位或者系统，不得存在无人负责、重复负责或者责任交叉不清的情形。</w:t>
      </w:r>
    </w:p>
    <w:p w14:paraId="74E70E1E">
      <w:pPr>
        <w:pStyle w:val="105"/>
        <w:spacing w:before="120" w:after="120" w:line="360" w:lineRule="auto"/>
      </w:pPr>
      <w:r>
        <w:rPr>
          <w:rFonts w:hint="eastAsia"/>
        </w:rPr>
        <w:t>分类分级管理</w:t>
      </w:r>
    </w:p>
    <w:p w14:paraId="57EF303F">
      <w:pPr>
        <w:pStyle w:val="165"/>
        <w:spacing w:line="360" w:lineRule="auto"/>
      </w:pPr>
      <w:r>
        <w:rPr>
          <w:rFonts w:hint="eastAsia"/>
        </w:rPr>
        <w:t>煤矿智能化系统数据应按照业务属性、专业属性、管理属性、敏感程度、重要程度和使用风险实施分类分级管理。</w:t>
      </w:r>
    </w:p>
    <w:p w14:paraId="33579949">
      <w:pPr>
        <w:pStyle w:val="165"/>
        <w:spacing w:line="360" w:lineRule="auto"/>
      </w:pPr>
      <w:r>
        <w:rPr>
          <w:rFonts w:hint="eastAsia"/>
        </w:rPr>
        <w:t>数据分类应覆盖安全、生产、机电、运输、通风、地测、防治水、调度、视频、经营、人员、设备、能源和综合管理等主要业务领域。</w:t>
      </w:r>
    </w:p>
    <w:p w14:paraId="1BD650D9">
      <w:pPr>
        <w:pStyle w:val="165"/>
        <w:spacing w:line="360" w:lineRule="auto"/>
      </w:pPr>
      <w:r>
        <w:rPr>
          <w:rFonts w:hint="eastAsia"/>
        </w:rPr>
        <w:t>数据分级应综合考虑下列因素：</w:t>
      </w:r>
    </w:p>
    <w:p w14:paraId="149CAD44">
      <w:pPr>
        <w:pStyle w:val="56"/>
        <w:spacing w:line="360" w:lineRule="auto"/>
        <w:ind w:firstLine="420"/>
      </w:pPr>
      <w:r>
        <w:rPr>
          <w:rFonts w:hint="eastAsia"/>
        </w:rPr>
        <w:t>a）对安全生产的影响程度；</w:t>
      </w:r>
    </w:p>
    <w:p w14:paraId="59AFCD70">
      <w:pPr>
        <w:pStyle w:val="56"/>
        <w:spacing w:line="360" w:lineRule="auto"/>
        <w:ind w:firstLine="420"/>
      </w:pPr>
      <w:r>
        <w:rPr>
          <w:rFonts w:hint="eastAsia"/>
        </w:rPr>
        <w:t>b）对生产组织和经营管理的影响程度；</w:t>
      </w:r>
    </w:p>
    <w:p w14:paraId="48692352">
      <w:pPr>
        <w:pStyle w:val="56"/>
        <w:spacing w:line="360" w:lineRule="auto"/>
        <w:ind w:firstLine="420"/>
      </w:pPr>
      <w:r>
        <w:rPr>
          <w:rFonts w:hint="eastAsia"/>
        </w:rPr>
        <w:t>c）对系统联动和自动控制的影响程度；</w:t>
      </w:r>
    </w:p>
    <w:p w14:paraId="047CCE45">
      <w:pPr>
        <w:pStyle w:val="56"/>
        <w:spacing w:line="360" w:lineRule="auto"/>
        <w:ind w:firstLine="420"/>
      </w:pPr>
      <w:r>
        <w:rPr>
          <w:rFonts w:hint="eastAsia"/>
        </w:rPr>
        <w:t>d）对企业管理决策的支撑程度；</w:t>
      </w:r>
    </w:p>
    <w:p w14:paraId="78698AFE">
      <w:pPr>
        <w:pStyle w:val="56"/>
        <w:spacing w:line="360" w:lineRule="auto"/>
        <w:ind w:firstLine="420"/>
      </w:pPr>
      <w:r>
        <w:rPr>
          <w:rFonts w:hint="eastAsia"/>
        </w:rPr>
        <w:t>e）数据泄露、篡改、丢失或者失效带来的风险程度。</w:t>
      </w:r>
    </w:p>
    <w:p w14:paraId="7C77E7E4">
      <w:pPr>
        <w:pStyle w:val="165"/>
        <w:spacing w:line="360" w:lineRule="auto"/>
      </w:pPr>
      <w:r>
        <w:rPr>
          <w:rFonts w:hint="eastAsia"/>
        </w:rPr>
        <w:t>分类分级结果应作为数据采集、存储、共享、开放、授权、备份、归档和退出管理的依据。</w:t>
      </w:r>
    </w:p>
    <w:p w14:paraId="11314609">
      <w:pPr>
        <w:pStyle w:val="105"/>
        <w:spacing w:before="120" w:after="120" w:line="360" w:lineRule="auto"/>
      </w:pPr>
      <w:r>
        <w:rPr>
          <w:rFonts w:hint="eastAsia"/>
        </w:rPr>
        <w:t>生命周期管理</w:t>
      </w:r>
    </w:p>
    <w:p w14:paraId="234F362F">
      <w:pPr>
        <w:pStyle w:val="165"/>
        <w:spacing w:line="360" w:lineRule="auto"/>
      </w:pPr>
      <w:r>
        <w:rPr>
          <w:rFonts w:hint="eastAsia"/>
        </w:rPr>
        <w:t>数据应实施全生命周期管理。</w:t>
      </w:r>
    </w:p>
    <w:p w14:paraId="61AA8FB0">
      <w:pPr>
        <w:pStyle w:val="165"/>
        <w:spacing w:line="360" w:lineRule="auto"/>
      </w:pPr>
      <w:r>
        <w:rPr>
          <w:rFonts w:hint="eastAsia"/>
        </w:rPr>
        <w:t>数据生命周期管理应至少包括下列阶段：</w:t>
      </w:r>
    </w:p>
    <w:p w14:paraId="21E65312">
      <w:pPr>
        <w:pStyle w:val="56"/>
        <w:spacing w:line="360" w:lineRule="auto"/>
        <w:ind w:firstLine="420"/>
      </w:pPr>
      <w:r>
        <w:rPr>
          <w:rFonts w:hint="eastAsia"/>
        </w:rPr>
        <w:t>a）数据产生；</w:t>
      </w:r>
    </w:p>
    <w:p w14:paraId="1C0D9CFA">
      <w:pPr>
        <w:pStyle w:val="56"/>
        <w:spacing w:line="360" w:lineRule="auto"/>
        <w:ind w:firstLine="420"/>
      </w:pPr>
      <w:r>
        <w:rPr>
          <w:rFonts w:hint="eastAsia"/>
        </w:rPr>
        <w:t>b）数据采集；</w:t>
      </w:r>
    </w:p>
    <w:p w14:paraId="514BE894">
      <w:pPr>
        <w:pStyle w:val="56"/>
        <w:spacing w:line="360" w:lineRule="auto"/>
        <w:ind w:firstLine="420"/>
      </w:pPr>
      <w:r>
        <w:rPr>
          <w:rFonts w:hint="eastAsia"/>
        </w:rPr>
        <w:t>c）数据传输；</w:t>
      </w:r>
    </w:p>
    <w:p w14:paraId="682653B9">
      <w:pPr>
        <w:pStyle w:val="56"/>
        <w:spacing w:line="360" w:lineRule="auto"/>
        <w:ind w:firstLine="420"/>
      </w:pPr>
      <w:r>
        <w:rPr>
          <w:rFonts w:hint="eastAsia"/>
        </w:rPr>
        <w:t>d）数据汇聚；</w:t>
      </w:r>
    </w:p>
    <w:p w14:paraId="2166D7DF">
      <w:pPr>
        <w:pStyle w:val="56"/>
        <w:spacing w:line="360" w:lineRule="auto"/>
        <w:ind w:firstLine="420"/>
      </w:pPr>
      <w:r>
        <w:rPr>
          <w:rFonts w:hint="eastAsia"/>
        </w:rPr>
        <w:t>e）数据存储；</w:t>
      </w:r>
    </w:p>
    <w:p w14:paraId="01743C90">
      <w:pPr>
        <w:pStyle w:val="56"/>
        <w:spacing w:line="360" w:lineRule="auto"/>
        <w:ind w:firstLine="420"/>
      </w:pPr>
      <w:r>
        <w:rPr>
          <w:rFonts w:hint="eastAsia"/>
        </w:rPr>
        <w:t>f）数据处理；</w:t>
      </w:r>
    </w:p>
    <w:p w14:paraId="63441CC7">
      <w:pPr>
        <w:pStyle w:val="56"/>
        <w:spacing w:line="360" w:lineRule="auto"/>
        <w:ind w:firstLine="420"/>
      </w:pPr>
      <w:r>
        <w:rPr>
          <w:rFonts w:hint="eastAsia"/>
        </w:rPr>
        <w:t>g）数据共享；</w:t>
      </w:r>
    </w:p>
    <w:p w14:paraId="4710EE89">
      <w:pPr>
        <w:pStyle w:val="56"/>
        <w:spacing w:line="360" w:lineRule="auto"/>
        <w:ind w:firstLine="420"/>
      </w:pPr>
      <w:r>
        <w:rPr>
          <w:rFonts w:hint="eastAsia"/>
        </w:rPr>
        <w:t>h）数据应用；</w:t>
      </w:r>
    </w:p>
    <w:p w14:paraId="6F9BE6D1">
      <w:pPr>
        <w:pStyle w:val="56"/>
        <w:spacing w:line="360" w:lineRule="auto"/>
        <w:ind w:firstLine="420"/>
      </w:pPr>
      <w:r>
        <w:rPr>
          <w:rFonts w:hint="eastAsia"/>
        </w:rPr>
        <w:t>i）数据归档；</w:t>
      </w:r>
    </w:p>
    <w:p w14:paraId="1AD88C5E">
      <w:pPr>
        <w:pStyle w:val="56"/>
        <w:spacing w:line="360" w:lineRule="auto"/>
        <w:ind w:firstLine="420"/>
      </w:pPr>
      <w:r>
        <w:rPr>
          <w:rFonts w:hint="eastAsia"/>
        </w:rPr>
        <w:t>j）数据退出或者销毁。</w:t>
      </w:r>
    </w:p>
    <w:p w14:paraId="55D29464">
      <w:pPr>
        <w:pStyle w:val="165"/>
        <w:spacing w:line="360" w:lineRule="auto"/>
      </w:pPr>
      <w:r>
        <w:rPr>
          <w:rFonts w:hint="eastAsia"/>
        </w:rPr>
        <w:t>不同生命周期阶段应明确责任主体、操作要求、控制规则和记录要求。</w:t>
      </w:r>
    </w:p>
    <w:p w14:paraId="5B96E05E">
      <w:pPr>
        <w:pStyle w:val="165"/>
        <w:spacing w:line="360" w:lineRule="auto"/>
      </w:pPr>
      <w:r>
        <w:rPr>
          <w:rFonts w:hint="eastAsia"/>
        </w:rPr>
        <w:t>数据在生命周期流转过程中，不得因系统更换、平台升级、接口改造或者组织调整造成数据失管、失真或者失联。</w:t>
      </w:r>
    </w:p>
    <w:p w14:paraId="62EC1051">
      <w:pPr>
        <w:pStyle w:val="105"/>
        <w:spacing w:before="120" w:after="120" w:line="360" w:lineRule="auto"/>
      </w:pPr>
      <w:r>
        <w:rPr>
          <w:rFonts w:hint="eastAsia"/>
        </w:rPr>
        <w:t>标准先行要求</w:t>
      </w:r>
    </w:p>
    <w:p w14:paraId="10C6C2FE">
      <w:pPr>
        <w:pStyle w:val="165"/>
        <w:spacing w:line="360" w:lineRule="auto"/>
      </w:pPr>
      <w:r>
        <w:rPr>
          <w:rFonts w:hint="eastAsia"/>
        </w:rPr>
        <w:t>数据治理与资产化管理应坚持标准先行。</w:t>
      </w:r>
    </w:p>
    <w:p w14:paraId="2DB4F656">
      <w:pPr>
        <w:pStyle w:val="165"/>
        <w:spacing w:line="360" w:lineRule="auto"/>
      </w:pPr>
      <w:r>
        <w:rPr>
          <w:rFonts w:hint="eastAsia"/>
        </w:rPr>
        <w:t>在开展数据采集、汇聚、共享、分析和资产登记前，应明确数据名称、定义、编码、格式、口径、更新频率、责任主体和质量要求。</w:t>
      </w:r>
    </w:p>
    <w:p w14:paraId="49EBE02A">
      <w:pPr>
        <w:pStyle w:val="165"/>
        <w:spacing w:line="360" w:lineRule="auto"/>
      </w:pPr>
      <w:r>
        <w:rPr>
          <w:rFonts w:hint="eastAsia"/>
        </w:rPr>
        <w:t>未经标准定义的数据，不得直接纳入核心共享目录和重点资产目录。</w:t>
      </w:r>
    </w:p>
    <w:p w14:paraId="19CD8276">
      <w:pPr>
        <w:pStyle w:val="165"/>
        <w:spacing w:line="360" w:lineRule="auto"/>
      </w:pPr>
      <w:r>
        <w:rPr>
          <w:rFonts w:hint="eastAsia"/>
        </w:rPr>
        <w:t>同一数据对象在不同系统中应保持名称一致、口径一致和编码关联一致；确需存在差异的，应建立映射关系。</w:t>
      </w:r>
    </w:p>
    <w:p w14:paraId="163D43BC">
      <w:pPr>
        <w:pStyle w:val="165"/>
        <w:numPr>
          <w:ilvl w:val="0"/>
          <w:numId w:val="0"/>
        </w:numPr>
        <w:spacing w:line="360" w:lineRule="auto"/>
        <w:rPr>
          <w:rFonts w:hint="eastAsia"/>
        </w:rPr>
      </w:pPr>
    </w:p>
    <w:p w14:paraId="70F92E28">
      <w:pPr>
        <w:pStyle w:val="105"/>
        <w:spacing w:before="120" w:after="120" w:line="360" w:lineRule="auto"/>
      </w:pPr>
      <w:r>
        <w:rPr>
          <w:rFonts w:hint="eastAsia"/>
        </w:rPr>
        <w:t>质量控制要求</w:t>
      </w:r>
    </w:p>
    <w:p w14:paraId="3C0B8853">
      <w:pPr>
        <w:pStyle w:val="165"/>
        <w:spacing w:line="360" w:lineRule="auto"/>
      </w:pPr>
      <w:r>
        <w:rPr>
          <w:rFonts w:hint="eastAsia"/>
        </w:rPr>
        <w:t>数据治理应以数据质量控制为核心。</w:t>
      </w:r>
    </w:p>
    <w:p w14:paraId="547D5125">
      <w:pPr>
        <w:pStyle w:val="165"/>
        <w:spacing w:line="360" w:lineRule="auto"/>
      </w:pPr>
      <w:r>
        <w:rPr>
          <w:rFonts w:hint="eastAsia"/>
        </w:rPr>
        <w:t>对关键业务数据、关键控制数据和关键分析数据，应建立质量规则、校验规则和异常处置机制。</w:t>
      </w:r>
    </w:p>
    <w:p w14:paraId="74E4D21C">
      <w:pPr>
        <w:pStyle w:val="165"/>
        <w:spacing w:line="360" w:lineRule="auto"/>
      </w:pPr>
      <w:r>
        <w:rPr>
          <w:rFonts w:hint="eastAsia"/>
        </w:rPr>
        <w:t>数据质量控制应覆盖采集源头、接口传输、平台汇聚、加工处理、结果输出和共享应用等环节。</w:t>
      </w:r>
    </w:p>
    <w:p w14:paraId="6395D3E4">
      <w:pPr>
        <w:pStyle w:val="165"/>
        <w:spacing w:line="360" w:lineRule="auto"/>
      </w:pPr>
      <w:r>
        <w:rPr>
          <w:rFonts w:hint="eastAsia"/>
        </w:rPr>
        <w:t>发现数据缺失、重复、冲突、失真、滞后或者异常波动时，应及时处理，不得长期带病运行。</w:t>
      </w:r>
    </w:p>
    <w:p w14:paraId="345B8155">
      <w:pPr>
        <w:pStyle w:val="105"/>
        <w:spacing w:before="120" w:after="120" w:line="360" w:lineRule="auto"/>
      </w:pPr>
      <w:r>
        <w:rPr>
          <w:rFonts w:hint="eastAsia"/>
        </w:rPr>
        <w:t>共享与应用要求</w:t>
      </w:r>
    </w:p>
    <w:p w14:paraId="264C285B">
      <w:pPr>
        <w:pStyle w:val="165"/>
        <w:spacing w:line="360" w:lineRule="auto"/>
      </w:pPr>
      <w:r>
        <w:rPr>
          <w:rFonts w:hint="eastAsia"/>
        </w:rPr>
        <w:t>数据共享应遵循按需共享、授权共享、可控共享和可追溯共享的原则。</w:t>
      </w:r>
    </w:p>
    <w:p w14:paraId="053660FB">
      <w:pPr>
        <w:pStyle w:val="165"/>
        <w:spacing w:line="360" w:lineRule="auto"/>
      </w:pPr>
      <w:r>
        <w:rPr>
          <w:rFonts w:hint="eastAsia"/>
        </w:rPr>
        <w:t>数据应用应遵循安全合规、业务牵引、价值导向和结果可验证的原则。</w:t>
      </w:r>
    </w:p>
    <w:p w14:paraId="5176EE36">
      <w:pPr>
        <w:pStyle w:val="165"/>
        <w:spacing w:line="360" w:lineRule="auto"/>
      </w:pPr>
      <w:r>
        <w:rPr>
          <w:rFonts w:hint="eastAsia"/>
        </w:rPr>
        <w:t>不得在未明确来源、未确认口径、未评估质量和未授权使用的情况下直接调用数据用于重要业务决策。</w:t>
      </w:r>
    </w:p>
    <w:p w14:paraId="6548D1A5">
      <w:pPr>
        <w:pStyle w:val="165"/>
        <w:spacing w:line="360" w:lineRule="auto"/>
      </w:pPr>
      <w:r>
        <w:rPr>
          <w:rFonts w:hint="eastAsia"/>
        </w:rPr>
        <w:t>对用于自动控制、预警模型、生产调度和经营决策的数据，应优先保证数据质量和时效性。</w:t>
      </w:r>
    </w:p>
    <w:p w14:paraId="4785F781">
      <w:pPr>
        <w:pStyle w:val="105"/>
        <w:spacing w:before="120" w:after="120" w:line="360" w:lineRule="auto"/>
      </w:pPr>
      <w:r>
        <w:rPr>
          <w:rFonts w:hint="eastAsia"/>
        </w:rPr>
        <w:t>安全与合规要求</w:t>
      </w:r>
    </w:p>
    <w:p w14:paraId="13E61F32">
      <w:pPr>
        <w:pStyle w:val="165"/>
        <w:spacing w:line="360" w:lineRule="auto"/>
      </w:pPr>
      <w:r>
        <w:rPr>
          <w:rFonts w:hint="eastAsia"/>
        </w:rPr>
        <w:t>数据治理与资产化管理应符合网络安全、数据安全、个人信息保护和企业管理相关要求。</w:t>
      </w:r>
    </w:p>
    <w:p w14:paraId="1988A444">
      <w:pPr>
        <w:pStyle w:val="165"/>
        <w:spacing w:line="360" w:lineRule="auto"/>
      </w:pPr>
      <w:r>
        <w:rPr>
          <w:rFonts w:hint="eastAsia"/>
        </w:rPr>
        <w:t>涉及重要数据、敏感数据和生产安全关键数据的采集、传输、共享和应用，应实施重点控制。</w:t>
      </w:r>
    </w:p>
    <w:p w14:paraId="23203CCC">
      <w:pPr>
        <w:pStyle w:val="165"/>
        <w:spacing w:line="360" w:lineRule="auto"/>
      </w:pPr>
      <w:r>
        <w:rPr>
          <w:rFonts w:hint="eastAsia"/>
        </w:rPr>
        <w:t>不得以数据治理和资产化名义突破数据安全管理边界。</w:t>
      </w:r>
    </w:p>
    <w:p w14:paraId="0CE22014">
      <w:pPr>
        <w:pStyle w:val="165"/>
        <w:spacing w:line="360" w:lineRule="auto"/>
      </w:pPr>
      <w:r>
        <w:rPr>
          <w:rFonts w:hint="eastAsia"/>
        </w:rPr>
        <w:t>数据共享、交换、调用和导出应符合授权审批和日志留痕要求。</w:t>
      </w:r>
    </w:p>
    <w:p w14:paraId="344E8ADE">
      <w:pPr>
        <w:pStyle w:val="105"/>
        <w:spacing w:before="120" w:after="120" w:line="360" w:lineRule="auto"/>
      </w:pPr>
      <w:r>
        <w:rPr>
          <w:rFonts w:hint="eastAsia"/>
        </w:rPr>
        <w:t>记录与追溯要求</w:t>
      </w:r>
    </w:p>
    <w:p w14:paraId="55DE18B8">
      <w:pPr>
        <w:pStyle w:val="165"/>
        <w:spacing w:line="360" w:lineRule="auto"/>
      </w:pPr>
      <w:r>
        <w:rPr>
          <w:rFonts w:hint="eastAsia"/>
        </w:rPr>
        <w:t>数据治理与资产化管理活动应全过程留痕。</w:t>
      </w:r>
    </w:p>
    <w:p w14:paraId="47BCF3CB">
      <w:pPr>
        <w:pStyle w:val="165"/>
        <w:spacing w:line="360" w:lineRule="auto"/>
      </w:pPr>
      <w:r>
        <w:rPr>
          <w:rFonts w:hint="eastAsia"/>
        </w:rPr>
        <w:t>数据标准制定、目录编制、质量校验、共享申请、资产登记、价值评估和变更调整等活动均应形成记录。</w:t>
      </w:r>
    </w:p>
    <w:p w14:paraId="053FEF27">
      <w:pPr>
        <w:pStyle w:val="165"/>
        <w:spacing w:line="360" w:lineRule="auto"/>
      </w:pPr>
      <w:r>
        <w:rPr>
          <w:rFonts w:hint="eastAsia"/>
        </w:rPr>
        <w:t>记录应真实、完整、清晰，并与数据对象、责任主体和处理结果相对应。</w:t>
      </w:r>
    </w:p>
    <w:p w14:paraId="53F33F94">
      <w:pPr>
        <w:pStyle w:val="165"/>
        <w:spacing w:line="360" w:lineRule="auto"/>
      </w:pPr>
      <w:r>
        <w:rPr>
          <w:rFonts w:hint="eastAsia"/>
        </w:rPr>
        <w:t>未形成记录或者记录无法对应的数据管理活动，不得视为已完成。</w:t>
      </w:r>
    </w:p>
    <w:p w14:paraId="4FE5328F">
      <w:pPr>
        <w:pStyle w:val="104"/>
        <w:spacing w:before="240" w:after="240" w:line="360" w:lineRule="auto"/>
      </w:pPr>
      <w:bookmarkStart w:id="52" w:name="_Toc228568755"/>
      <w:r>
        <w:rPr>
          <w:rFonts w:hint="eastAsia"/>
        </w:rPr>
        <w:t>数据治理基础要求</w:t>
      </w:r>
      <w:bookmarkEnd w:id="52"/>
    </w:p>
    <w:p w14:paraId="2DCB3264">
      <w:pPr>
        <w:pStyle w:val="105"/>
        <w:spacing w:before="120" w:after="120" w:line="360" w:lineRule="auto"/>
      </w:pPr>
      <w:r>
        <w:rPr>
          <w:rFonts w:hint="eastAsia"/>
        </w:rPr>
        <w:t>一般要求</w:t>
      </w:r>
    </w:p>
    <w:p w14:paraId="5899CF22">
      <w:pPr>
        <w:pStyle w:val="165"/>
        <w:spacing w:line="360" w:lineRule="auto"/>
      </w:pPr>
      <w:r>
        <w:rPr>
          <w:rFonts w:hint="eastAsia"/>
        </w:rPr>
        <w:t>煤矿企业应建立数据治理基础体系，作为数据资产化管理的前提。</w:t>
      </w:r>
    </w:p>
    <w:p w14:paraId="2C6E9FB4">
      <w:pPr>
        <w:pStyle w:val="165"/>
        <w:spacing w:line="360" w:lineRule="auto"/>
      </w:pPr>
      <w:r>
        <w:rPr>
          <w:rFonts w:hint="eastAsia"/>
        </w:rPr>
        <w:t>数据治理基础体系应包括组织体系、制度体系、标准体系、目录体系、责任体系、平台支撑体系和监督评价体系。</w:t>
      </w:r>
    </w:p>
    <w:p w14:paraId="0FB01788">
      <w:pPr>
        <w:pStyle w:val="165"/>
        <w:spacing w:line="360" w:lineRule="auto"/>
      </w:pPr>
      <w:r>
        <w:rPr>
          <w:rFonts w:hint="eastAsia"/>
        </w:rPr>
        <w:t>数据治理基础体系应与煤矿智能化建设规划、信息化架构、业务架构和管理架构相衔接。</w:t>
      </w:r>
    </w:p>
    <w:p w14:paraId="5E087900">
      <w:pPr>
        <w:pStyle w:val="165"/>
        <w:spacing w:line="360" w:lineRule="auto"/>
      </w:pPr>
      <w:r>
        <w:rPr>
          <w:rFonts w:hint="eastAsia"/>
        </w:rPr>
        <w:t>未建立数据治理基础体系或者基础体系不完善的，不得直接开展大范围数据资产化运营。</w:t>
      </w:r>
    </w:p>
    <w:p w14:paraId="7E666AD8">
      <w:pPr>
        <w:pStyle w:val="105"/>
        <w:spacing w:before="120" w:after="120" w:line="360" w:lineRule="auto"/>
      </w:pPr>
      <w:r>
        <w:rPr>
          <w:rFonts w:hint="eastAsia"/>
        </w:rPr>
        <w:t>组织体系</w:t>
      </w:r>
    </w:p>
    <w:p w14:paraId="35B90C61">
      <w:pPr>
        <w:pStyle w:val="65"/>
        <w:spacing w:before="120" w:after="120" w:line="360" w:lineRule="auto"/>
      </w:pPr>
      <w:r>
        <w:rPr>
          <w:rFonts w:hint="eastAsia"/>
        </w:rPr>
        <w:t>组织架构</w:t>
      </w:r>
    </w:p>
    <w:p w14:paraId="44233C37">
      <w:pPr>
        <w:pStyle w:val="164"/>
        <w:spacing w:line="360" w:lineRule="auto"/>
      </w:pPr>
      <w:r>
        <w:rPr>
          <w:rFonts w:hint="eastAsia"/>
        </w:rPr>
        <w:t>煤矿企业应建立数据治理组织架构。</w:t>
      </w:r>
    </w:p>
    <w:p w14:paraId="596C8A03">
      <w:pPr>
        <w:pStyle w:val="164"/>
        <w:spacing w:line="360" w:lineRule="auto"/>
      </w:pPr>
      <w:r>
        <w:rPr>
          <w:rFonts w:hint="eastAsia"/>
        </w:rPr>
        <w:t>组织架构宜包括决策层、管理层、执行层和支撑层。</w:t>
      </w:r>
    </w:p>
    <w:p w14:paraId="3952D082">
      <w:pPr>
        <w:pStyle w:val="164"/>
        <w:spacing w:line="360" w:lineRule="auto"/>
      </w:pPr>
      <w:r>
        <w:rPr>
          <w:rFonts w:hint="eastAsia"/>
        </w:rPr>
        <w:t>决策层应负责重大事项审定、资源配置和目标考核。</w:t>
      </w:r>
    </w:p>
    <w:p w14:paraId="1857CAF8">
      <w:pPr>
        <w:pStyle w:val="164"/>
        <w:spacing w:line="360" w:lineRule="auto"/>
      </w:pPr>
      <w:r>
        <w:rPr>
          <w:rFonts w:hint="eastAsia"/>
        </w:rPr>
        <w:t>管理层应负责制度制定、标准统筹、目录管理、资产管理和监督评价。</w:t>
      </w:r>
    </w:p>
    <w:p w14:paraId="0A846305">
      <w:pPr>
        <w:pStyle w:val="164"/>
        <w:spacing w:line="360" w:lineRule="auto"/>
      </w:pPr>
      <w:r>
        <w:rPr>
          <w:rFonts w:hint="eastAsia"/>
        </w:rPr>
        <w:t>执行层应负责数据采集、维护、校核、整改、共享申请和应用落实。</w:t>
      </w:r>
    </w:p>
    <w:p w14:paraId="496918AD">
      <w:pPr>
        <w:pStyle w:val="164"/>
        <w:spacing w:line="360" w:lineRule="auto"/>
      </w:pPr>
      <w:r>
        <w:rPr>
          <w:rFonts w:hint="eastAsia"/>
        </w:rPr>
        <w:t>支撑层应负责平台建设、技术支持、接口管理、系统运维和工具保障。</w:t>
      </w:r>
    </w:p>
    <w:p w14:paraId="5E5B1AE6">
      <w:pPr>
        <w:pStyle w:val="65"/>
        <w:spacing w:before="120" w:after="120" w:line="360" w:lineRule="auto"/>
      </w:pPr>
      <w:r>
        <w:rPr>
          <w:rFonts w:hint="eastAsia"/>
        </w:rPr>
        <w:t>角色设置</w:t>
      </w:r>
    </w:p>
    <w:p w14:paraId="3FDAC20D">
      <w:pPr>
        <w:pStyle w:val="164"/>
        <w:spacing w:line="360" w:lineRule="auto"/>
      </w:pPr>
      <w:r>
        <w:rPr>
          <w:rFonts w:hint="eastAsia"/>
        </w:rPr>
        <w:t>数据治理与资产化管理宜设置下列角色：</w:t>
      </w:r>
    </w:p>
    <w:p w14:paraId="7C385E53">
      <w:pPr>
        <w:pStyle w:val="56"/>
        <w:spacing w:line="360" w:lineRule="auto"/>
        <w:ind w:firstLine="420"/>
      </w:pPr>
      <w:r>
        <w:rPr>
          <w:rFonts w:hint="eastAsia"/>
        </w:rPr>
        <w:t>a）数据主管负责人；</w:t>
      </w:r>
    </w:p>
    <w:p w14:paraId="19878247">
      <w:pPr>
        <w:pStyle w:val="56"/>
        <w:spacing w:line="360" w:lineRule="auto"/>
        <w:ind w:firstLine="420"/>
      </w:pPr>
      <w:r>
        <w:rPr>
          <w:rFonts w:hint="eastAsia"/>
        </w:rPr>
        <w:t>b）数据归口管理人员；</w:t>
      </w:r>
    </w:p>
    <w:p w14:paraId="7E9D9576">
      <w:pPr>
        <w:pStyle w:val="56"/>
        <w:spacing w:line="360" w:lineRule="auto"/>
        <w:ind w:firstLine="420"/>
      </w:pPr>
      <w:r>
        <w:rPr>
          <w:rFonts w:hint="eastAsia"/>
        </w:rPr>
        <w:t>c）业务数据管理员；</w:t>
      </w:r>
    </w:p>
    <w:p w14:paraId="7E7BCE7E">
      <w:pPr>
        <w:pStyle w:val="56"/>
        <w:spacing w:line="360" w:lineRule="auto"/>
        <w:ind w:firstLine="420"/>
      </w:pPr>
      <w:r>
        <w:rPr>
          <w:rFonts w:hint="eastAsia"/>
        </w:rPr>
        <w:t>d）技术数据管理员；</w:t>
      </w:r>
    </w:p>
    <w:p w14:paraId="6EADB713">
      <w:pPr>
        <w:pStyle w:val="56"/>
        <w:spacing w:line="360" w:lineRule="auto"/>
        <w:ind w:firstLine="420"/>
      </w:pPr>
      <w:r>
        <w:rPr>
          <w:rFonts w:hint="eastAsia"/>
        </w:rPr>
        <w:t>e）数据质量管理人员；</w:t>
      </w:r>
    </w:p>
    <w:p w14:paraId="1955451F">
      <w:pPr>
        <w:pStyle w:val="56"/>
        <w:spacing w:line="360" w:lineRule="auto"/>
        <w:ind w:firstLine="420"/>
      </w:pPr>
      <w:r>
        <w:rPr>
          <w:rFonts w:hint="eastAsia"/>
        </w:rPr>
        <w:t>f）数据安全管理人员；</w:t>
      </w:r>
    </w:p>
    <w:p w14:paraId="77497B6B">
      <w:pPr>
        <w:pStyle w:val="56"/>
        <w:spacing w:line="360" w:lineRule="auto"/>
        <w:ind w:firstLine="420"/>
      </w:pPr>
      <w:r>
        <w:rPr>
          <w:rFonts w:hint="eastAsia"/>
        </w:rPr>
        <w:t>g）数据资产管理人员；</w:t>
      </w:r>
    </w:p>
    <w:p w14:paraId="053C832D">
      <w:pPr>
        <w:pStyle w:val="56"/>
        <w:spacing w:line="360" w:lineRule="auto"/>
        <w:ind w:firstLine="420"/>
      </w:pPr>
      <w:r>
        <w:rPr>
          <w:rFonts w:hint="eastAsia"/>
        </w:rPr>
        <w:t>h）数据应用运营人员。</w:t>
      </w:r>
    </w:p>
    <w:p w14:paraId="5A5ED6C5">
      <w:pPr>
        <w:pStyle w:val="164"/>
        <w:spacing w:line="360" w:lineRule="auto"/>
      </w:pPr>
      <w:r>
        <w:rPr>
          <w:rFonts w:hint="eastAsia"/>
        </w:rPr>
        <w:t>不同角色的职责、权限和协同关系应明确，不得混同设置导致责任边界不清。</w:t>
      </w:r>
    </w:p>
    <w:p w14:paraId="5653B30B">
      <w:pPr>
        <w:pStyle w:val="105"/>
        <w:spacing w:before="120" w:after="120" w:line="360" w:lineRule="auto"/>
      </w:pPr>
      <w:r>
        <w:rPr>
          <w:rFonts w:hint="eastAsia"/>
        </w:rPr>
        <w:t>制度体系</w:t>
      </w:r>
    </w:p>
    <w:p w14:paraId="6A19C1E5">
      <w:pPr>
        <w:pStyle w:val="65"/>
        <w:spacing w:before="120" w:after="120" w:line="360" w:lineRule="auto"/>
      </w:pPr>
      <w:r>
        <w:rPr>
          <w:rFonts w:hint="eastAsia"/>
        </w:rPr>
        <w:t>一般要求</w:t>
      </w:r>
    </w:p>
    <w:p w14:paraId="4E19D7A0">
      <w:pPr>
        <w:pStyle w:val="164"/>
        <w:spacing w:line="360" w:lineRule="auto"/>
      </w:pPr>
      <w:r>
        <w:rPr>
          <w:rFonts w:hint="eastAsia"/>
        </w:rPr>
        <w:t>煤矿企业应建立数据治理与资产化管理制度体系。</w:t>
      </w:r>
    </w:p>
    <w:p w14:paraId="4147A49B">
      <w:pPr>
        <w:pStyle w:val="164"/>
        <w:spacing w:line="360" w:lineRule="auto"/>
      </w:pPr>
      <w:r>
        <w:rPr>
          <w:rFonts w:hint="eastAsia"/>
        </w:rPr>
        <w:t>制度体系应覆盖数据标准、数据采集、数据质量、数据共享、数据安全、数据资产、数据运营和监督考核等内容。</w:t>
      </w:r>
    </w:p>
    <w:p w14:paraId="521ADB41">
      <w:pPr>
        <w:pStyle w:val="65"/>
        <w:spacing w:before="120" w:after="120" w:line="360" w:lineRule="auto"/>
      </w:pPr>
      <w:r>
        <w:rPr>
          <w:rFonts w:hint="eastAsia"/>
        </w:rPr>
        <w:t>制度内容</w:t>
      </w:r>
    </w:p>
    <w:p w14:paraId="7D0BFB9A">
      <w:pPr>
        <w:pStyle w:val="164"/>
        <w:spacing w:line="360" w:lineRule="auto"/>
      </w:pPr>
      <w:r>
        <w:rPr>
          <w:rFonts w:hint="eastAsia"/>
        </w:rPr>
        <w:t>数据治理与资产化管理制度宜至少包括下列内容：</w:t>
      </w:r>
    </w:p>
    <w:p w14:paraId="77CC2F9E">
      <w:pPr>
        <w:pStyle w:val="56"/>
        <w:spacing w:line="360" w:lineRule="auto"/>
        <w:ind w:firstLine="420"/>
      </w:pPr>
      <w:r>
        <w:rPr>
          <w:rFonts w:hint="eastAsia"/>
        </w:rPr>
        <w:t>a）数据分类分级管理制度；</w:t>
      </w:r>
    </w:p>
    <w:p w14:paraId="6F4BABEB">
      <w:pPr>
        <w:pStyle w:val="56"/>
        <w:spacing w:line="360" w:lineRule="auto"/>
        <w:ind w:firstLine="420"/>
      </w:pPr>
      <w:r>
        <w:rPr>
          <w:rFonts w:hint="eastAsia"/>
        </w:rPr>
        <w:t>b）主数据管理制度；</w:t>
      </w:r>
    </w:p>
    <w:p w14:paraId="450F4963">
      <w:pPr>
        <w:pStyle w:val="56"/>
        <w:spacing w:line="360" w:lineRule="auto"/>
        <w:ind w:firstLine="420"/>
      </w:pPr>
      <w:r>
        <w:rPr>
          <w:rFonts w:hint="eastAsia"/>
        </w:rPr>
        <w:t>c）元数据管理制度；</w:t>
      </w:r>
    </w:p>
    <w:p w14:paraId="767F2DE8">
      <w:pPr>
        <w:pStyle w:val="56"/>
        <w:spacing w:line="360" w:lineRule="auto"/>
        <w:ind w:firstLine="420"/>
      </w:pPr>
      <w:r>
        <w:rPr>
          <w:rFonts w:hint="eastAsia"/>
        </w:rPr>
        <w:t>d）数据质量管理制度；</w:t>
      </w:r>
    </w:p>
    <w:p w14:paraId="08112069">
      <w:pPr>
        <w:pStyle w:val="56"/>
        <w:spacing w:line="360" w:lineRule="auto"/>
        <w:ind w:firstLine="420"/>
      </w:pPr>
      <w:r>
        <w:rPr>
          <w:rFonts w:hint="eastAsia"/>
        </w:rPr>
        <w:t>e）数据共享交换管理制度；</w:t>
      </w:r>
    </w:p>
    <w:p w14:paraId="14150AD4">
      <w:pPr>
        <w:pStyle w:val="56"/>
        <w:spacing w:line="360" w:lineRule="auto"/>
        <w:ind w:firstLine="420"/>
      </w:pPr>
      <w:r>
        <w:rPr>
          <w:rFonts w:hint="eastAsia"/>
        </w:rPr>
        <w:t>f）数据安全管理制度；</w:t>
      </w:r>
    </w:p>
    <w:p w14:paraId="064D20B7">
      <w:pPr>
        <w:pStyle w:val="56"/>
        <w:spacing w:line="360" w:lineRule="auto"/>
        <w:ind w:firstLine="420"/>
      </w:pPr>
      <w:r>
        <w:rPr>
          <w:rFonts w:hint="eastAsia"/>
        </w:rPr>
        <w:t>g）数据资产登记管理制度；</w:t>
      </w:r>
    </w:p>
    <w:p w14:paraId="57ECBAB6">
      <w:pPr>
        <w:pStyle w:val="56"/>
        <w:spacing w:line="360" w:lineRule="auto"/>
        <w:ind w:firstLine="420"/>
      </w:pPr>
      <w:r>
        <w:rPr>
          <w:rFonts w:hint="eastAsia"/>
        </w:rPr>
        <w:t>h）数据价值评估管理制度；</w:t>
      </w:r>
    </w:p>
    <w:p w14:paraId="2FC3B4BB">
      <w:pPr>
        <w:pStyle w:val="56"/>
        <w:spacing w:line="360" w:lineRule="auto"/>
        <w:ind w:firstLine="420"/>
      </w:pPr>
      <w:r>
        <w:rPr>
          <w:rFonts w:hint="eastAsia"/>
        </w:rPr>
        <w:t>i）数据变更管理制度；</w:t>
      </w:r>
    </w:p>
    <w:p w14:paraId="01F930E5">
      <w:pPr>
        <w:pStyle w:val="56"/>
        <w:spacing w:line="360" w:lineRule="auto"/>
        <w:ind w:firstLine="420"/>
      </w:pPr>
      <w:r>
        <w:rPr>
          <w:rFonts w:hint="eastAsia"/>
        </w:rPr>
        <w:t>j）数据归档和退出管理制度；</w:t>
      </w:r>
    </w:p>
    <w:p w14:paraId="1CEB656B">
      <w:pPr>
        <w:pStyle w:val="56"/>
        <w:spacing w:line="360" w:lineRule="auto"/>
        <w:ind w:firstLine="420"/>
      </w:pPr>
      <w:r>
        <w:rPr>
          <w:rFonts w:hint="eastAsia"/>
        </w:rPr>
        <w:t>k）监督考核制度。</w:t>
      </w:r>
    </w:p>
    <w:p w14:paraId="12F25434">
      <w:pPr>
        <w:pStyle w:val="164"/>
        <w:spacing w:line="360" w:lineRule="auto"/>
      </w:pPr>
      <w:r>
        <w:rPr>
          <w:rFonts w:hint="eastAsia"/>
        </w:rPr>
        <w:t>制度内容应与煤矿业务流程和系统运行要求相适应，不得照搬与煤矿业务无关的通用模板。</w:t>
      </w:r>
    </w:p>
    <w:p w14:paraId="0F403B53">
      <w:pPr>
        <w:pStyle w:val="105"/>
        <w:spacing w:before="120" w:after="120" w:line="360" w:lineRule="auto"/>
      </w:pPr>
      <w:r>
        <w:rPr>
          <w:rFonts w:hint="eastAsia"/>
        </w:rPr>
        <w:t>标准体系</w:t>
      </w:r>
    </w:p>
    <w:p w14:paraId="7290EA69">
      <w:pPr>
        <w:pStyle w:val="65"/>
        <w:spacing w:before="120" w:after="120" w:line="360" w:lineRule="auto"/>
      </w:pPr>
      <w:r>
        <w:rPr>
          <w:rFonts w:hint="eastAsia"/>
        </w:rPr>
        <w:t>一般要求</w:t>
      </w:r>
    </w:p>
    <w:p w14:paraId="3C614C15">
      <w:pPr>
        <w:pStyle w:val="164"/>
        <w:spacing w:line="360" w:lineRule="auto"/>
      </w:pPr>
      <w:r>
        <w:rPr>
          <w:rFonts w:hint="eastAsia"/>
        </w:rPr>
        <w:t>煤矿企业应建立数据标准体系。</w:t>
      </w:r>
    </w:p>
    <w:p w14:paraId="41D03630">
      <w:pPr>
        <w:pStyle w:val="164"/>
        <w:spacing w:line="360" w:lineRule="auto"/>
      </w:pPr>
      <w:r>
        <w:rPr>
          <w:rFonts w:hint="eastAsia"/>
        </w:rPr>
        <w:t>数据标准体系应涵盖基础标准、主数据标准、业务数据标准、技术标准、质量标准和接口标准。</w:t>
      </w:r>
    </w:p>
    <w:p w14:paraId="19039E59">
      <w:pPr>
        <w:pStyle w:val="65"/>
        <w:spacing w:before="120" w:after="120" w:line="360" w:lineRule="auto"/>
      </w:pPr>
      <w:r>
        <w:rPr>
          <w:rFonts w:hint="eastAsia"/>
        </w:rPr>
        <w:t>标准内容</w:t>
      </w:r>
    </w:p>
    <w:p w14:paraId="03AA9BE8">
      <w:pPr>
        <w:pStyle w:val="164"/>
        <w:spacing w:line="360" w:lineRule="auto"/>
      </w:pPr>
      <w:r>
        <w:rPr>
          <w:rFonts w:hint="eastAsia"/>
        </w:rPr>
        <w:t>数据标准体系宜包括下列内容：</w:t>
      </w:r>
    </w:p>
    <w:p w14:paraId="571599E3">
      <w:pPr>
        <w:pStyle w:val="56"/>
        <w:spacing w:line="360" w:lineRule="auto"/>
        <w:ind w:firstLine="420"/>
      </w:pPr>
      <w:r>
        <w:rPr>
          <w:rFonts w:hint="eastAsia"/>
        </w:rPr>
        <w:t>a）数据分类与编码规则；</w:t>
      </w:r>
    </w:p>
    <w:p w14:paraId="72BD8F40">
      <w:pPr>
        <w:pStyle w:val="56"/>
        <w:spacing w:line="360" w:lineRule="auto"/>
        <w:ind w:firstLine="420"/>
      </w:pPr>
      <w:r>
        <w:rPr>
          <w:rFonts w:hint="eastAsia"/>
        </w:rPr>
        <w:t>b）数据名称与定义规则；</w:t>
      </w:r>
    </w:p>
    <w:p w14:paraId="6D2D78C4">
      <w:pPr>
        <w:pStyle w:val="56"/>
        <w:spacing w:line="360" w:lineRule="auto"/>
        <w:ind w:firstLine="420"/>
      </w:pPr>
      <w:r>
        <w:rPr>
          <w:rFonts w:hint="eastAsia"/>
        </w:rPr>
        <w:t>c）数据格式与字段规则；</w:t>
      </w:r>
    </w:p>
    <w:p w14:paraId="047EF46A">
      <w:pPr>
        <w:pStyle w:val="56"/>
        <w:spacing w:line="360" w:lineRule="auto"/>
        <w:ind w:firstLine="420"/>
      </w:pPr>
      <w:r>
        <w:rPr>
          <w:rFonts w:hint="eastAsia"/>
        </w:rPr>
        <w:t>d）单位、精度和计量口径规则；</w:t>
      </w:r>
    </w:p>
    <w:p w14:paraId="157327B4">
      <w:pPr>
        <w:pStyle w:val="56"/>
        <w:spacing w:line="360" w:lineRule="auto"/>
        <w:ind w:firstLine="420"/>
      </w:pPr>
      <w:r>
        <w:rPr>
          <w:rFonts w:hint="eastAsia"/>
        </w:rPr>
        <w:t>e）时间、空间和位置标识规则；</w:t>
      </w:r>
    </w:p>
    <w:p w14:paraId="7DC6E9C5">
      <w:pPr>
        <w:pStyle w:val="56"/>
        <w:spacing w:line="360" w:lineRule="auto"/>
        <w:ind w:firstLine="420"/>
      </w:pPr>
      <w:r>
        <w:rPr>
          <w:rFonts w:hint="eastAsia"/>
        </w:rPr>
        <w:t>f）设备、人员、地点、系统和业务对象编码规则；</w:t>
      </w:r>
    </w:p>
    <w:p w14:paraId="53033269">
      <w:pPr>
        <w:pStyle w:val="56"/>
        <w:spacing w:line="360" w:lineRule="auto"/>
        <w:ind w:firstLine="420"/>
      </w:pPr>
      <w:r>
        <w:rPr>
          <w:rFonts w:hint="eastAsia"/>
        </w:rPr>
        <w:t>g）数据接口和交换规则；</w:t>
      </w:r>
    </w:p>
    <w:p w14:paraId="3CB1CC1F">
      <w:pPr>
        <w:pStyle w:val="56"/>
        <w:spacing w:line="360" w:lineRule="auto"/>
        <w:ind w:firstLine="420"/>
      </w:pPr>
      <w:r>
        <w:rPr>
          <w:rFonts w:hint="eastAsia"/>
        </w:rPr>
        <w:t>h）数据质量规则；</w:t>
      </w:r>
    </w:p>
    <w:p w14:paraId="03ADF88C">
      <w:pPr>
        <w:pStyle w:val="56"/>
        <w:spacing w:line="360" w:lineRule="auto"/>
        <w:ind w:firstLine="420"/>
      </w:pPr>
      <w:r>
        <w:rPr>
          <w:rFonts w:hint="eastAsia"/>
        </w:rPr>
        <w:t>i）元数据管理规则。</w:t>
      </w:r>
    </w:p>
    <w:p w14:paraId="503BB589">
      <w:pPr>
        <w:pStyle w:val="164"/>
        <w:spacing w:line="360" w:lineRule="auto"/>
      </w:pPr>
      <w:r>
        <w:rPr>
          <w:rFonts w:hint="eastAsia"/>
        </w:rPr>
        <w:t>数据标准应统一发布、统一维护、统一更新。</w:t>
      </w:r>
    </w:p>
    <w:p w14:paraId="0BCD2E16">
      <w:pPr>
        <w:pStyle w:val="164"/>
        <w:spacing w:line="360" w:lineRule="auto"/>
      </w:pPr>
      <w:r>
        <w:rPr>
          <w:rFonts w:hint="eastAsia"/>
        </w:rPr>
        <w:t>未纳入企业统一标准的数据项，不宜直接作为跨系统共享和分析应用的基础数据项。</w:t>
      </w:r>
    </w:p>
    <w:p w14:paraId="08AF2A17">
      <w:pPr>
        <w:pStyle w:val="105"/>
        <w:spacing w:before="120" w:after="120" w:line="360" w:lineRule="auto"/>
      </w:pPr>
      <w:r>
        <w:rPr>
          <w:rFonts w:hint="eastAsia"/>
        </w:rPr>
        <w:t>目录体系</w:t>
      </w:r>
    </w:p>
    <w:p w14:paraId="5FFD1818">
      <w:pPr>
        <w:pStyle w:val="65"/>
        <w:spacing w:before="120" w:after="120" w:line="360" w:lineRule="auto"/>
      </w:pPr>
      <w:r>
        <w:rPr>
          <w:rFonts w:hint="eastAsia"/>
        </w:rPr>
        <w:t>一般要求</w:t>
      </w:r>
    </w:p>
    <w:p w14:paraId="0257B78A">
      <w:pPr>
        <w:pStyle w:val="164"/>
        <w:spacing w:line="360" w:lineRule="auto"/>
      </w:pPr>
      <w:r>
        <w:rPr>
          <w:rFonts w:hint="eastAsia"/>
        </w:rPr>
        <w:t>煤矿企业应建立数据资源目录和数据资产目录。</w:t>
      </w:r>
    </w:p>
    <w:p w14:paraId="0A653837">
      <w:pPr>
        <w:pStyle w:val="164"/>
        <w:spacing w:line="360" w:lineRule="auto"/>
      </w:pPr>
      <w:r>
        <w:rPr>
          <w:rFonts w:hint="eastAsia"/>
        </w:rPr>
        <w:t>目录体系应与数据分类分级、责任主体、系统来源和业务用途相对应。</w:t>
      </w:r>
    </w:p>
    <w:p w14:paraId="39BE1A43">
      <w:pPr>
        <w:pStyle w:val="65"/>
        <w:spacing w:before="120" w:after="120" w:line="360" w:lineRule="auto"/>
      </w:pPr>
      <w:r>
        <w:rPr>
          <w:rFonts w:hint="eastAsia"/>
        </w:rPr>
        <w:t>目录内容</w:t>
      </w:r>
    </w:p>
    <w:p w14:paraId="6D26FA97">
      <w:pPr>
        <w:pStyle w:val="164"/>
        <w:spacing w:line="360" w:lineRule="auto"/>
      </w:pPr>
      <w:r>
        <w:rPr>
          <w:rFonts w:hint="eastAsia"/>
        </w:rPr>
        <w:t>数据目录应至少包括下列内容：</w:t>
      </w:r>
    </w:p>
    <w:p w14:paraId="685691ED">
      <w:pPr>
        <w:pStyle w:val="56"/>
        <w:spacing w:line="360" w:lineRule="auto"/>
        <w:ind w:firstLine="420"/>
      </w:pPr>
      <w:r>
        <w:rPr>
          <w:rFonts w:hint="eastAsia"/>
        </w:rPr>
        <w:t>a）数据名称；</w:t>
      </w:r>
    </w:p>
    <w:p w14:paraId="5C291760">
      <w:pPr>
        <w:pStyle w:val="56"/>
        <w:spacing w:line="360" w:lineRule="auto"/>
        <w:ind w:firstLine="420"/>
      </w:pPr>
      <w:r>
        <w:rPr>
          <w:rFonts w:hint="eastAsia"/>
        </w:rPr>
        <w:t>b）数据定义；</w:t>
      </w:r>
    </w:p>
    <w:p w14:paraId="2F729565">
      <w:pPr>
        <w:pStyle w:val="56"/>
        <w:spacing w:line="360" w:lineRule="auto"/>
        <w:ind w:firstLine="420"/>
      </w:pPr>
      <w:r>
        <w:rPr>
          <w:rFonts w:hint="eastAsia"/>
        </w:rPr>
        <w:t>c）数据类别；</w:t>
      </w:r>
    </w:p>
    <w:p w14:paraId="59D9FD29">
      <w:pPr>
        <w:pStyle w:val="56"/>
        <w:spacing w:line="360" w:lineRule="auto"/>
        <w:ind w:firstLine="420"/>
      </w:pPr>
      <w:r>
        <w:rPr>
          <w:rFonts w:hint="eastAsia"/>
        </w:rPr>
        <w:t>d）数据等级；</w:t>
      </w:r>
    </w:p>
    <w:p w14:paraId="1AD1F3F3">
      <w:pPr>
        <w:pStyle w:val="56"/>
        <w:spacing w:line="360" w:lineRule="auto"/>
        <w:ind w:firstLine="420"/>
      </w:pPr>
      <w:r>
        <w:rPr>
          <w:rFonts w:hint="eastAsia"/>
        </w:rPr>
        <w:t>e）来源系统；</w:t>
      </w:r>
    </w:p>
    <w:p w14:paraId="038873E5">
      <w:pPr>
        <w:pStyle w:val="56"/>
        <w:spacing w:line="360" w:lineRule="auto"/>
        <w:ind w:firstLine="420"/>
      </w:pPr>
      <w:r>
        <w:rPr>
          <w:rFonts w:hint="eastAsia"/>
        </w:rPr>
        <w:t>f）责任部门；</w:t>
      </w:r>
    </w:p>
    <w:p w14:paraId="24D2B7AA">
      <w:pPr>
        <w:pStyle w:val="56"/>
        <w:spacing w:line="360" w:lineRule="auto"/>
        <w:ind w:firstLine="420"/>
      </w:pPr>
      <w:r>
        <w:rPr>
          <w:rFonts w:hint="eastAsia"/>
        </w:rPr>
        <w:t>g）责任岗位；</w:t>
      </w:r>
    </w:p>
    <w:p w14:paraId="42DCB353">
      <w:pPr>
        <w:pStyle w:val="56"/>
        <w:spacing w:line="360" w:lineRule="auto"/>
        <w:ind w:firstLine="420"/>
      </w:pPr>
      <w:r>
        <w:rPr>
          <w:rFonts w:hint="eastAsia"/>
        </w:rPr>
        <w:t>h）更新频率；</w:t>
      </w:r>
    </w:p>
    <w:p w14:paraId="27D84455">
      <w:pPr>
        <w:pStyle w:val="56"/>
        <w:spacing w:line="360" w:lineRule="auto"/>
        <w:ind w:firstLine="420"/>
      </w:pPr>
      <w:r>
        <w:rPr>
          <w:rFonts w:hint="eastAsia"/>
        </w:rPr>
        <w:t>i）共享属性；</w:t>
      </w:r>
    </w:p>
    <w:p w14:paraId="2EC227CD">
      <w:pPr>
        <w:pStyle w:val="56"/>
        <w:spacing w:line="360" w:lineRule="auto"/>
        <w:ind w:firstLine="420"/>
      </w:pPr>
      <w:r>
        <w:rPr>
          <w:rFonts w:hint="eastAsia"/>
        </w:rPr>
        <w:t>j）质量状态；</w:t>
      </w:r>
    </w:p>
    <w:p w14:paraId="697DC2C7">
      <w:pPr>
        <w:pStyle w:val="56"/>
        <w:spacing w:line="360" w:lineRule="auto"/>
        <w:ind w:firstLine="420"/>
      </w:pPr>
      <w:r>
        <w:rPr>
          <w:rFonts w:hint="eastAsia"/>
        </w:rPr>
        <w:t>k）资产状态；</w:t>
      </w:r>
    </w:p>
    <w:p w14:paraId="3C27D0D7">
      <w:pPr>
        <w:pStyle w:val="56"/>
        <w:spacing w:line="360" w:lineRule="auto"/>
        <w:ind w:firstLine="420"/>
      </w:pPr>
      <w:r>
        <w:rPr>
          <w:rFonts w:hint="eastAsia"/>
        </w:rPr>
        <w:t>l）使用范围。</w:t>
      </w:r>
    </w:p>
    <w:p w14:paraId="7C2D63F8">
      <w:pPr>
        <w:pStyle w:val="164"/>
        <w:spacing w:line="360" w:lineRule="auto"/>
      </w:pPr>
      <w:r>
        <w:rPr>
          <w:rFonts w:hint="eastAsia"/>
        </w:rPr>
        <w:t>数据目录应动态维护，系统新增、停用、改造或者业务调整后应及时更新。</w:t>
      </w:r>
    </w:p>
    <w:p w14:paraId="7F540C3C">
      <w:pPr>
        <w:pStyle w:val="105"/>
        <w:spacing w:before="120" w:after="120" w:line="360" w:lineRule="auto"/>
      </w:pPr>
      <w:r>
        <w:rPr>
          <w:rFonts w:hint="eastAsia"/>
        </w:rPr>
        <w:t>责任体系</w:t>
      </w:r>
    </w:p>
    <w:p w14:paraId="4C69DC64">
      <w:pPr>
        <w:pStyle w:val="65"/>
        <w:spacing w:before="120" w:after="120" w:line="360" w:lineRule="auto"/>
      </w:pPr>
      <w:r>
        <w:rPr>
          <w:rFonts w:hint="eastAsia"/>
        </w:rPr>
        <w:t>一般要求</w:t>
      </w:r>
    </w:p>
    <w:p w14:paraId="5E55D61F">
      <w:pPr>
        <w:pStyle w:val="164"/>
        <w:spacing w:line="360" w:lineRule="auto"/>
      </w:pPr>
      <w:r>
        <w:rPr>
          <w:rFonts w:hint="eastAsia"/>
        </w:rPr>
        <w:t>每项数据资源和数据资产均应明确责任主体。</w:t>
      </w:r>
    </w:p>
    <w:p w14:paraId="272F7783">
      <w:pPr>
        <w:pStyle w:val="164"/>
        <w:spacing w:line="360" w:lineRule="auto"/>
      </w:pPr>
      <w:r>
        <w:rPr>
          <w:rFonts w:hint="eastAsia"/>
        </w:rPr>
        <w:t>责任主体应覆盖数据定义、采集、校核、维护、共享、应用和安全管理等环节。</w:t>
      </w:r>
    </w:p>
    <w:p w14:paraId="5C071CC6">
      <w:pPr>
        <w:pStyle w:val="65"/>
        <w:spacing w:before="120" w:after="120" w:line="360" w:lineRule="auto"/>
      </w:pPr>
      <w:r>
        <w:rPr>
          <w:rFonts w:hint="eastAsia"/>
        </w:rPr>
        <w:t>责任划分</w:t>
      </w:r>
    </w:p>
    <w:p w14:paraId="3341AEB3">
      <w:pPr>
        <w:pStyle w:val="164"/>
        <w:spacing w:line="360" w:lineRule="auto"/>
      </w:pPr>
      <w:r>
        <w:rPr>
          <w:rFonts w:hint="eastAsia"/>
        </w:rPr>
        <w:t>数据责任宜划分为下列类型：</w:t>
      </w:r>
    </w:p>
    <w:p w14:paraId="6AE3F3FE">
      <w:pPr>
        <w:pStyle w:val="56"/>
        <w:spacing w:line="360" w:lineRule="auto"/>
        <w:ind w:firstLine="420"/>
      </w:pPr>
      <w:r>
        <w:rPr>
          <w:rFonts w:hint="eastAsia"/>
        </w:rPr>
        <w:t>a）归口管理责任；</w:t>
      </w:r>
    </w:p>
    <w:p w14:paraId="46144D6F">
      <w:pPr>
        <w:pStyle w:val="56"/>
        <w:spacing w:line="360" w:lineRule="auto"/>
        <w:ind w:firstLine="420"/>
      </w:pPr>
      <w:r>
        <w:rPr>
          <w:rFonts w:hint="eastAsia"/>
        </w:rPr>
        <w:t>b）业务定义责任；</w:t>
      </w:r>
    </w:p>
    <w:p w14:paraId="13EB8666">
      <w:pPr>
        <w:pStyle w:val="56"/>
        <w:spacing w:line="360" w:lineRule="auto"/>
        <w:ind w:firstLine="420"/>
      </w:pPr>
      <w:r>
        <w:rPr>
          <w:rFonts w:hint="eastAsia"/>
        </w:rPr>
        <w:t>c）技术维护责任；</w:t>
      </w:r>
    </w:p>
    <w:p w14:paraId="4D8FC02F">
      <w:pPr>
        <w:pStyle w:val="56"/>
        <w:spacing w:line="360" w:lineRule="auto"/>
        <w:ind w:firstLine="420"/>
      </w:pPr>
      <w:r>
        <w:rPr>
          <w:rFonts w:hint="eastAsia"/>
        </w:rPr>
        <w:t>d）质量管理责任；</w:t>
      </w:r>
    </w:p>
    <w:p w14:paraId="1ECCAFB5">
      <w:pPr>
        <w:pStyle w:val="56"/>
        <w:spacing w:line="360" w:lineRule="auto"/>
        <w:ind w:firstLine="420"/>
      </w:pPr>
      <w:r>
        <w:rPr>
          <w:rFonts w:hint="eastAsia"/>
        </w:rPr>
        <w:t>e）安全管控责任；</w:t>
      </w:r>
    </w:p>
    <w:p w14:paraId="675E5064">
      <w:pPr>
        <w:pStyle w:val="56"/>
        <w:spacing w:line="360" w:lineRule="auto"/>
        <w:ind w:firstLine="420"/>
      </w:pPr>
      <w:r>
        <w:rPr>
          <w:rFonts w:hint="eastAsia"/>
        </w:rPr>
        <w:t>f）资产运营责任。</w:t>
      </w:r>
    </w:p>
    <w:p w14:paraId="13B42765">
      <w:pPr>
        <w:pStyle w:val="164"/>
        <w:spacing w:line="360" w:lineRule="auto"/>
      </w:pPr>
      <w:r>
        <w:rPr>
          <w:rFonts w:hint="eastAsia"/>
        </w:rPr>
        <w:t>同一数据对象存在多个使用部门时，应明确主责部门和协同部门。</w:t>
      </w:r>
    </w:p>
    <w:p w14:paraId="293FD423">
      <w:pPr>
        <w:pStyle w:val="164"/>
        <w:spacing w:line="360" w:lineRule="auto"/>
      </w:pPr>
      <w:r>
        <w:rPr>
          <w:rFonts w:hint="eastAsia"/>
        </w:rPr>
        <w:t>主责部门未明确的，不得将该数据纳入重点资产目录。</w:t>
      </w:r>
    </w:p>
    <w:p w14:paraId="6B7FD950">
      <w:pPr>
        <w:pStyle w:val="164"/>
        <w:numPr>
          <w:ilvl w:val="0"/>
          <w:numId w:val="0"/>
        </w:numPr>
        <w:spacing w:line="360" w:lineRule="auto"/>
      </w:pPr>
    </w:p>
    <w:p w14:paraId="45EC3B59">
      <w:pPr>
        <w:pStyle w:val="164"/>
        <w:numPr>
          <w:ilvl w:val="0"/>
          <w:numId w:val="0"/>
        </w:numPr>
        <w:spacing w:line="360" w:lineRule="auto"/>
        <w:rPr>
          <w:rFonts w:hint="eastAsia"/>
        </w:rPr>
      </w:pPr>
    </w:p>
    <w:p w14:paraId="2F6F2F88">
      <w:pPr>
        <w:pStyle w:val="105"/>
        <w:spacing w:before="120" w:after="120" w:line="360" w:lineRule="auto"/>
      </w:pPr>
      <w:r>
        <w:rPr>
          <w:rFonts w:hint="eastAsia"/>
        </w:rPr>
        <w:t>平台支撑要求</w:t>
      </w:r>
    </w:p>
    <w:p w14:paraId="4E455800">
      <w:pPr>
        <w:pStyle w:val="65"/>
        <w:spacing w:before="120" w:after="120" w:line="360" w:lineRule="auto"/>
      </w:pPr>
      <w:r>
        <w:rPr>
          <w:rFonts w:hint="eastAsia"/>
        </w:rPr>
        <w:t>一般要求</w:t>
      </w:r>
    </w:p>
    <w:p w14:paraId="27AFAD46">
      <w:pPr>
        <w:pStyle w:val="164"/>
        <w:spacing w:line="360" w:lineRule="auto"/>
      </w:pPr>
      <w:r>
        <w:rPr>
          <w:rFonts w:hint="eastAsia"/>
        </w:rPr>
        <w:t>煤矿企业应根据治理需求配置数据治理平台或者治理支撑工具。</w:t>
      </w:r>
    </w:p>
    <w:p w14:paraId="575A61CA">
      <w:pPr>
        <w:pStyle w:val="164"/>
        <w:spacing w:line="360" w:lineRule="auto"/>
      </w:pPr>
      <w:r>
        <w:rPr>
          <w:rFonts w:hint="eastAsia"/>
        </w:rPr>
        <w:t>平台支撑应满足数据接入、目录管理、标准管理、质量校验、共享交换、权限控制、日志记录和统计分析等基本要求。</w:t>
      </w:r>
    </w:p>
    <w:p w14:paraId="11D826C2">
      <w:pPr>
        <w:pStyle w:val="65"/>
        <w:spacing w:before="120" w:after="120" w:line="360" w:lineRule="auto"/>
      </w:pPr>
      <w:r>
        <w:rPr>
          <w:rFonts w:hint="eastAsia"/>
        </w:rPr>
        <w:t>功能要求</w:t>
      </w:r>
    </w:p>
    <w:p w14:paraId="1DB6056F">
      <w:pPr>
        <w:pStyle w:val="164"/>
        <w:spacing w:line="360" w:lineRule="auto"/>
      </w:pPr>
      <w:r>
        <w:rPr>
          <w:rFonts w:hint="eastAsia"/>
        </w:rPr>
        <w:t>数据治理平台宜具备下列功能：</w:t>
      </w:r>
    </w:p>
    <w:p w14:paraId="70E307FA">
      <w:pPr>
        <w:pStyle w:val="56"/>
        <w:spacing w:line="360" w:lineRule="auto"/>
        <w:ind w:firstLine="420"/>
      </w:pPr>
      <w:r>
        <w:rPr>
          <w:rFonts w:hint="eastAsia"/>
        </w:rPr>
        <w:t>a）元数据管理；</w:t>
      </w:r>
    </w:p>
    <w:p w14:paraId="50B5F117">
      <w:pPr>
        <w:pStyle w:val="56"/>
        <w:spacing w:line="360" w:lineRule="auto"/>
        <w:ind w:firstLine="420"/>
      </w:pPr>
      <w:r>
        <w:rPr>
          <w:rFonts w:hint="eastAsia"/>
        </w:rPr>
        <w:t>b）数据标准管理；</w:t>
      </w:r>
    </w:p>
    <w:p w14:paraId="6EEECF27">
      <w:pPr>
        <w:pStyle w:val="56"/>
        <w:spacing w:line="360" w:lineRule="auto"/>
        <w:ind w:firstLine="420"/>
      </w:pPr>
      <w:r>
        <w:rPr>
          <w:rFonts w:hint="eastAsia"/>
        </w:rPr>
        <w:t>c）数据目录管理；</w:t>
      </w:r>
    </w:p>
    <w:p w14:paraId="5A8DF62A">
      <w:pPr>
        <w:pStyle w:val="56"/>
        <w:spacing w:line="360" w:lineRule="auto"/>
        <w:ind w:firstLine="420"/>
      </w:pPr>
      <w:r>
        <w:rPr>
          <w:rFonts w:hint="eastAsia"/>
        </w:rPr>
        <w:t>d）数据质量规则配置与校验；</w:t>
      </w:r>
    </w:p>
    <w:p w14:paraId="132991C9">
      <w:pPr>
        <w:pStyle w:val="56"/>
        <w:spacing w:line="360" w:lineRule="auto"/>
        <w:ind w:firstLine="420"/>
      </w:pPr>
      <w:r>
        <w:rPr>
          <w:rFonts w:hint="eastAsia"/>
        </w:rPr>
        <w:t>e）数据血缘关系追踪；</w:t>
      </w:r>
    </w:p>
    <w:p w14:paraId="3CCA8E68">
      <w:pPr>
        <w:pStyle w:val="56"/>
        <w:spacing w:line="360" w:lineRule="auto"/>
        <w:ind w:firstLine="420"/>
      </w:pPr>
      <w:r>
        <w:rPr>
          <w:rFonts w:hint="eastAsia"/>
        </w:rPr>
        <w:t>f）共享申请与审批；</w:t>
      </w:r>
    </w:p>
    <w:p w14:paraId="41C60313">
      <w:pPr>
        <w:pStyle w:val="56"/>
        <w:spacing w:line="360" w:lineRule="auto"/>
        <w:ind w:firstLine="420"/>
      </w:pPr>
      <w:r>
        <w:rPr>
          <w:rFonts w:hint="eastAsia"/>
        </w:rPr>
        <w:t>g）数据资产登记与维护；</w:t>
      </w:r>
    </w:p>
    <w:p w14:paraId="44732573">
      <w:pPr>
        <w:pStyle w:val="56"/>
        <w:spacing w:line="360" w:lineRule="auto"/>
        <w:ind w:firstLine="420"/>
      </w:pPr>
      <w:r>
        <w:rPr>
          <w:rFonts w:hint="eastAsia"/>
        </w:rPr>
        <w:t>h）日志审计与统计分析。</w:t>
      </w:r>
    </w:p>
    <w:p w14:paraId="305AD961">
      <w:pPr>
        <w:pStyle w:val="164"/>
        <w:spacing w:line="360" w:lineRule="auto"/>
      </w:pPr>
      <w:r>
        <w:rPr>
          <w:rFonts w:hint="eastAsia"/>
        </w:rPr>
        <w:t>平台功能不能满足治理要求时，应采取补充管理措施，不得以平台功能不足为由放弃必要治理要求。</w:t>
      </w:r>
    </w:p>
    <w:p w14:paraId="2A97C2D9">
      <w:pPr>
        <w:pStyle w:val="105"/>
        <w:spacing w:before="120" w:after="120" w:line="360" w:lineRule="auto"/>
      </w:pPr>
      <w:r>
        <w:rPr>
          <w:rFonts w:hint="eastAsia"/>
        </w:rPr>
        <w:t>基础数据治理要素</w:t>
      </w:r>
    </w:p>
    <w:p w14:paraId="473CB4D4">
      <w:pPr>
        <w:pStyle w:val="65"/>
        <w:spacing w:before="120" w:after="120" w:line="360" w:lineRule="auto"/>
      </w:pPr>
      <w:r>
        <w:rPr>
          <w:rFonts w:hint="eastAsia"/>
        </w:rPr>
        <w:t>主数据</w:t>
      </w:r>
    </w:p>
    <w:p w14:paraId="27E28086">
      <w:pPr>
        <w:pStyle w:val="164"/>
        <w:spacing w:line="360" w:lineRule="auto"/>
      </w:pPr>
      <w:r>
        <w:rPr>
          <w:rFonts w:hint="eastAsia"/>
        </w:rPr>
        <w:t>煤矿企业应识别并建立主数据管理机制。</w:t>
      </w:r>
    </w:p>
    <w:p w14:paraId="5DD0EEE4">
      <w:pPr>
        <w:pStyle w:val="164"/>
        <w:spacing w:line="360" w:lineRule="auto"/>
      </w:pPr>
      <w:r>
        <w:rPr>
          <w:rFonts w:hint="eastAsia"/>
        </w:rPr>
        <w:t>主数据宜至少包括下列对象：</w:t>
      </w:r>
    </w:p>
    <w:p w14:paraId="2B747EFA">
      <w:pPr>
        <w:pStyle w:val="56"/>
        <w:spacing w:line="360" w:lineRule="auto"/>
        <w:ind w:firstLine="420"/>
      </w:pPr>
      <w:r>
        <w:rPr>
          <w:rFonts w:hint="eastAsia"/>
        </w:rPr>
        <w:t>a）矿井；</w:t>
      </w:r>
    </w:p>
    <w:p w14:paraId="2F3814B6">
      <w:pPr>
        <w:pStyle w:val="56"/>
        <w:spacing w:line="360" w:lineRule="auto"/>
        <w:ind w:firstLine="420"/>
      </w:pPr>
      <w:r>
        <w:rPr>
          <w:rFonts w:hint="eastAsia"/>
        </w:rPr>
        <w:t>b）采区；</w:t>
      </w:r>
    </w:p>
    <w:p w14:paraId="157F666F">
      <w:pPr>
        <w:pStyle w:val="56"/>
        <w:spacing w:line="360" w:lineRule="auto"/>
        <w:ind w:firstLine="420"/>
      </w:pPr>
      <w:r>
        <w:rPr>
          <w:rFonts w:hint="eastAsia"/>
        </w:rPr>
        <w:t>c）工作面；</w:t>
      </w:r>
    </w:p>
    <w:p w14:paraId="53895B68">
      <w:pPr>
        <w:pStyle w:val="56"/>
        <w:spacing w:line="360" w:lineRule="auto"/>
        <w:ind w:firstLine="420"/>
      </w:pPr>
      <w:r>
        <w:rPr>
          <w:rFonts w:hint="eastAsia"/>
        </w:rPr>
        <w:t>d）巷道；</w:t>
      </w:r>
    </w:p>
    <w:p w14:paraId="57848FA1">
      <w:pPr>
        <w:pStyle w:val="56"/>
        <w:spacing w:line="360" w:lineRule="auto"/>
        <w:ind w:firstLine="420"/>
      </w:pPr>
      <w:r>
        <w:rPr>
          <w:rFonts w:hint="eastAsia"/>
        </w:rPr>
        <w:t>e）设备；</w:t>
      </w:r>
    </w:p>
    <w:p w14:paraId="1386EE14">
      <w:pPr>
        <w:pStyle w:val="56"/>
        <w:spacing w:line="360" w:lineRule="auto"/>
        <w:ind w:firstLine="420"/>
      </w:pPr>
      <w:r>
        <w:rPr>
          <w:rFonts w:hint="eastAsia"/>
        </w:rPr>
        <w:t>f）传感器；</w:t>
      </w:r>
    </w:p>
    <w:p w14:paraId="3A683FE5">
      <w:pPr>
        <w:pStyle w:val="56"/>
        <w:spacing w:line="360" w:lineRule="auto"/>
        <w:ind w:firstLine="420"/>
      </w:pPr>
      <w:r>
        <w:rPr>
          <w:rFonts w:hint="eastAsia"/>
        </w:rPr>
        <w:t>g）岗位；</w:t>
      </w:r>
    </w:p>
    <w:p w14:paraId="4C680ABC">
      <w:pPr>
        <w:pStyle w:val="56"/>
        <w:spacing w:line="360" w:lineRule="auto"/>
        <w:ind w:firstLine="420"/>
      </w:pPr>
      <w:r>
        <w:rPr>
          <w:rFonts w:hint="eastAsia"/>
        </w:rPr>
        <w:t>h）人员；</w:t>
      </w:r>
    </w:p>
    <w:p w14:paraId="4E70A045">
      <w:pPr>
        <w:pStyle w:val="56"/>
        <w:spacing w:line="360" w:lineRule="auto"/>
        <w:ind w:firstLine="420"/>
      </w:pPr>
      <w:r>
        <w:rPr>
          <w:rFonts w:hint="eastAsia"/>
        </w:rPr>
        <w:t>i）组织机构；</w:t>
      </w:r>
    </w:p>
    <w:p w14:paraId="51C145F7">
      <w:pPr>
        <w:pStyle w:val="56"/>
        <w:spacing w:line="360" w:lineRule="auto"/>
        <w:ind w:firstLine="420"/>
      </w:pPr>
      <w:r>
        <w:rPr>
          <w:rFonts w:hint="eastAsia"/>
        </w:rPr>
        <w:t>j）供应商；</w:t>
      </w:r>
    </w:p>
    <w:p w14:paraId="7EA5F8D5">
      <w:pPr>
        <w:pStyle w:val="56"/>
        <w:spacing w:line="360" w:lineRule="auto"/>
        <w:ind w:firstLine="420"/>
      </w:pPr>
      <w:r>
        <w:rPr>
          <w:rFonts w:hint="eastAsia"/>
        </w:rPr>
        <w:t>k）作业地点；</w:t>
      </w:r>
    </w:p>
    <w:p w14:paraId="720972FA">
      <w:pPr>
        <w:pStyle w:val="56"/>
        <w:spacing w:line="360" w:lineRule="auto"/>
        <w:ind w:firstLine="420"/>
      </w:pPr>
      <w:r>
        <w:rPr>
          <w:rFonts w:hint="eastAsia"/>
        </w:rPr>
        <w:t>l）系统名称。</w:t>
      </w:r>
    </w:p>
    <w:p w14:paraId="0AC3F361">
      <w:pPr>
        <w:pStyle w:val="164"/>
        <w:spacing w:line="360" w:lineRule="auto"/>
      </w:pPr>
      <w:r>
        <w:rPr>
          <w:rFonts w:hint="eastAsia"/>
        </w:rPr>
        <w:t>主数据应统一编码、统一维护、统一发布。</w:t>
      </w:r>
    </w:p>
    <w:p w14:paraId="69895CE9">
      <w:pPr>
        <w:pStyle w:val="65"/>
        <w:spacing w:before="120" w:after="120" w:line="360" w:lineRule="auto"/>
      </w:pPr>
      <w:r>
        <w:rPr>
          <w:rFonts w:hint="eastAsia"/>
        </w:rPr>
        <w:t>元数据</w:t>
      </w:r>
    </w:p>
    <w:p w14:paraId="7ED4FA01">
      <w:pPr>
        <w:pStyle w:val="164"/>
        <w:spacing w:line="360" w:lineRule="auto"/>
      </w:pPr>
      <w:r>
        <w:rPr>
          <w:rFonts w:hint="eastAsia"/>
        </w:rPr>
        <w:t>煤矿企业应建立元数据管理机制。</w:t>
      </w:r>
    </w:p>
    <w:p w14:paraId="3B269B1D">
      <w:pPr>
        <w:pStyle w:val="164"/>
        <w:spacing w:line="360" w:lineRule="auto"/>
      </w:pPr>
      <w:r>
        <w:rPr>
          <w:rFonts w:hint="eastAsia"/>
        </w:rPr>
        <w:t>元数据应反映数据的来源、含义、结构、口径、责任和流转关系。</w:t>
      </w:r>
    </w:p>
    <w:p w14:paraId="114656ED">
      <w:pPr>
        <w:pStyle w:val="164"/>
        <w:spacing w:line="360" w:lineRule="auto"/>
      </w:pPr>
      <w:r>
        <w:rPr>
          <w:rFonts w:hint="eastAsia"/>
        </w:rPr>
        <w:t>元数据缺失的数据，不宜直接进入重点分析模型和重点资产目录。</w:t>
      </w:r>
    </w:p>
    <w:p w14:paraId="4BB937E0">
      <w:pPr>
        <w:pStyle w:val="65"/>
        <w:spacing w:before="120" w:after="120" w:line="360" w:lineRule="auto"/>
      </w:pPr>
      <w:r>
        <w:rPr>
          <w:rFonts w:hint="eastAsia"/>
        </w:rPr>
        <w:t>编码规则</w:t>
      </w:r>
    </w:p>
    <w:p w14:paraId="1AC9B2EC">
      <w:pPr>
        <w:pStyle w:val="164"/>
        <w:spacing w:line="360" w:lineRule="auto"/>
      </w:pPr>
      <w:r>
        <w:rPr>
          <w:rFonts w:hint="eastAsia"/>
        </w:rPr>
        <w:t>设备、地点、系统、业务对象和数据项应建立统一编码规则。</w:t>
      </w:r>
    </w:p>
    <w:p w14:paraId="5D423381">
      <w:pPr>
        <w:pStyle w:val="164"/>
        <w:spacing w:line="360" w:lineRule="auto"/>
      </w:pPr>
      <w:r>
        <w:rPr>
          <w:rFonts w:hint="eastAsia"/>
        </w:rPr>
        <w:t>编码规则应满足唯一性、稳定性、可扩展性和可追溯性要求。</w:t>
      </w:r>
    </w:p>
    <w:p w14:paraId="6261AB28">
      <w:pPr>
        <w:pStyle w:val="164"/>
        <w:spacing w:line="360" w:lineRule="auto"/>
      </w:pPr>
      <w:r>
        <w:rPr>
          <w:rFonts w:hint="eastAsia"/>
        </w:rPr>
        <w:t>不同系统中对同一对象使用不同编码的，应建立统一映射关系。</w:t>
      </w:r>
    </w:p>
    <w:p w14:paraId="2D4D9989">
      <w:pPr>
        <w:pStyle w:val="105"/>
        <w:spacing w:before="120" w:after="120" w:line="360" w:lineRule="auto"/>
      </w:pPr>
      <w:r>
        <w:rPr>
          <w:rFonts w:hint="eastAsia"/>
        </w:rPr>
        <w:t>数据治理基础工作要点</w:t>
      </w:r>
    </w:p>
    <w:p w14:paraId="6D7E30FD">
      <w:pPr>
        <w:pStyle w:val="56"/>
        <w:spacing w:line="360" w:lineRule="auto"/>
        <w:ind w:firstLine="420"/>
      </w:pPr>
      <w:r>
        <w:rPr>
          <w:rFonts w:hint="eastAsia"/>
        </w:rPr>
        <w:t>数据治理基础工作的主要内容见表1。表1给出了数据治理基础体系建设的主要内容及控制要点。</w:t>
      </w:r>
    </w:p>
    <w:p w14:paraId="285226B2">
      <w:pPr>
        <w:pStyle w:val="112"/>
        <w:spacing w:before="120" w:after="120" w:line="360" w:lineRule="auto"/>
      </w:pPr>
      <w:r>
        <w:rPr>
          <w:rFonts w:hint="eastAsia"/>
        </w:rPr>
        <w:t>数据治理基础工作要点表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3118"/>
        <w:gridCol w:w="4666"/>
      </w:tblGrid>
      <w:tr w14:paraId="1022E2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0B3C5DA8">
            <w:pPr>
              <w:pStyle w:val="178"/>
            </w:pPr>
            <w:r>
              <w:rPr>
                <w:rFonts w:hint="eastAsia"/>
              </w:rPr>
              <w:t>工作类别</w:t>
            </w:r>
          </w:p>
        </w:tc>
        <w:tc>
          <w:tcPr>
            <w:tcW w:w="3118" w:type="dxa"/>
            <w:tcBorders>
              <w:top w:val="single" w:color="auto" w:sz="8" w:space="0"/>
              <w:bottom w:val="single" w:color="auto" w:sz="8" w:space="0"/>
            </w:tcBorders>
          </w:tcPr>
          <w:p w14:paraId="25E1BDAA">
            <w:pPr>
              <w:pStyle w:val="178"/>
            </w:pPr>
            <w:r>
              <w:rPr>
                <w:rFonts w:hint="eastAsia"/>
              </w:rPr>
              <w:t>主要内容</w:t>
            </w:r>
          </w:p>
        </w:tc>
        <w:tc>
          <w:tcPr>
            <w:tcW w:w="4666" w:type="dxa"/>
            <w:tcBorders>
              <w:top w:val="single" w:color="auto" w:sz="8" w:space="0"/>
              <w:bottom w:val="single" w:color="auto" w:sz="8" w:space="0"/>
            </w:tcBorders>
          </w:tcPr>
          <w:p w14:paraId="6035EF1C">
            <w:pPr>
              <w:pStyle w:val="178"/>
            </w:pPr>
            <w:r>
              <w:rPr>
                <w:rFonts w:hint="eastAsia"/>
              </w:rPr>
              <w:t>控制要点</w:t>
            </w:r>
          </w:p>
        </w:tc>
      </w:tr>
      <w:tr w14:paraId="35EE1F9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255961AF">
            <w:pPr>
              <w:pStyle w:val="178"/>
            </w:pPr>
            <w:r>
              <w:rPr>
                <w:rFonts w:hint="eastAsia"/>
              </w:rPr>
              <w:t>组织建设</w:t>
            </w:r>
          </w:p>
        </w:tc>
        <w:tc>
          <w:tcPr>
            <w:tcW w:w="3118" w:type="dxa"/>
            <w:tcBorders>
              <w:top w:val="single" w:color="auto" w:sz="8" w:space="0"/>
            </w:tcBorders>
          </w:tcPr>
          <w:p w14:paraId="71054E16">
            <w:pPr>
              <w:pStyle w:val="178"/>
            </w:pPr>
            <w:r>
              <w:rPr>
                <w:rFonts w:hint="eastAsia"/>
              </w:rPr>
              <w:t>建立治理组织架构和岗位体系</w:t>
            </w:r>
          </w:p>
        </w:tc>
        <w:tc>
          <w:tcPr>
            <w:tcW w:w="4666" w:type="dxa"/>
            <w:tcBorders>
              <w:top w:val="single" w:color="auto" w:sz="8" w:space="0"/>
            </w:tcBorders>
          </w:tcPr>
          <w:p w14:paraId="7391A830">
            <w:pPr>
              <w:pStyle w:val="178"/>
            </w:pPr>
            <w:r>
              <w:rPr>
                <w:rFonts w:hint="eastAsia"/>
              </w:rPr>
              <w:t>责任到部门、岗位到人</w:t>
            </w:r>
          </w:p>
        </w:tc>
      </w:tr>
      <w:tr w14:paraId="6829E5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B3DC755">
            <w:pPr>
              <w:pStyle w:val="178"/>
            </w:pPr>
            <w:r>
              <w:rPr>
                <w:rFonts w:hint="eastAsia"/>
              </w:rPr>
              <w:t>制度建设</w:t>
            </w:r>
          </w:p>
        </w:tc>
        <w:tc>
          <w:tcPr>
            <w:tcW w:w="3118" w:type="dxa"/>
          </w:tcPr>
          <w:p w14:paraId="5C14D08F">
            <w:pPr>
              <w:pStyle w:val="178"/>
            </w:pPr>
            <w:r>
              <w:rPr>
                <w:rFonts w:hint="eastAsia"/>
              </w:rPr>
              <w:t>建立治理与资产管理制度</w:t>
            </w:r>
          </w:p>
        </w:tc>
        <w:tc>
          <w:tcPr>
            <w:tcW w:w="4666" w:type="dxa"/>
          </w:tcPr>
          <w:p w14:paraId="2591DF22">
            <w:pPr>
              <w:pStyle w:val="178"/>
            </w:pPr>
            <w:r>
              <w:rPr>
                <w:rFonts w:hint="eastAsia"/>
              </w:rPr>
              <w:t>覆盖分类、标准、质量、共享、安全、资产</w:t>
            </w:r>
          </w:p>
        </w:tc>
      </w:tr>
      <w:tr w14:paraId="6C4AAF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A51A5C3">
            <w:pPr>
              <w:pStyle w:val="178"/>
            </w:pPr>
            <w:r>
              <w:rPr>
                <w:rFonts w:hint="eastAsia"/>
              </w:rPr>
              <w:t>标准建设</w:t>
            </w:r>
          </w:p>
        </w:tc>
        <w:tc>
          <w:tcPr>
            <w:tcW w:w="3118" w:type="dxa"/>
          </w:tcPr>
          <w:p w14:paraId="1950F66B">
            <w:pPr>
              <w:pStyle w:val="178"/>
            </w:pPr>
            <w:r>
              <w:rPr>
                <w:rFonts w:hint="eastAsia"/>
              </w:rPr>
              <w:t>建立统一数据标准</w:t>
            </w:r>
          </w:p>
        </w:tc>
        <w:tc>
          <w:tcPr>
            <w:tcW w:w="4666" w:type="dxa"/>
          </w:tcPr>
          <w:p w14:paraId="520A32C6">
            <w:pPr>
              <w:pStyle w:val="178"/>
            </w:pPr>
            <w:r>
              <w:rPr>
                <w:rFonts w:hint="eastAsia"/>
              </w:rPr>
              <w:t>名称统一、口径统一、编码统一</w:t>
            </w:r>
          </w:p>
        </w:tc>
      </w:tr>
      <w:tr w14:paraId="5E0D5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848CA1D">
            <w:pPr>
              <w:pStyle w:val="178"/>
            </w:pPr>
            <w:r>
              <w:rPr>
                <w:rFonts w:hint="eastAsia"/>
              </w:rPr>
              <w:t>目录建设</w:t>
            </w:r>
          </w:p>
        </w:tc>
        <w:tc>
          <w:tcPr>
            <w:tcW w:w="3118" w:type="dxa"/>
          </w:tcPr>
          <w:p w14:paraId="6B7E6983">
            <w:pPr>
              <w:pStyle w:val="178"/>
            </w:pPr>
            <w:r>
              <w:rPr>
                <w:rFonts w:hint="eastAsia"/>
              </w:rPr>
              <w:t>建立数据资源目录和资产目录</w:t>
            </w:r>
          </w:p>
        </w:tc>
        <w:tc>
          <w:tcPr>
            <w:tcW w:w="4666" w:type="dxa"/>
          </w:tcPr>
          <w:p w14:paraId="6BA2C285">
            <w:pPr>
              <w:pStyle w:val="178"/>
            </w:pPr>
            <w:r>
              <w:rPr>
                <w:rFonts w:hint="eastAsia"/>
              </w:rPr>
              <w:t>动态更新、责任明确、状态可查</w:t>
            </w:r>
          </w:p>
        </w:tc>
      </w:tr>
      <w:tr w14:paraId="27CE2C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4033AD4F">
            <w:pPr>
              <w:pStyle w:val="178"/>
            </w:pPr>
            <w:r>
              <w:rPr>
                <w:rFonts w:hint="eastAsia"/>
              </w:rPr>
              <w:t>主数据管理</w:t>
            </w:r>
          </w:p>
        </w:tc>
        <w:tc>
          <w:tcPr>
            <w:tcW w:w="3118" w:type="dxa"/>
          </w:tcPr>
          <w:p w14:paraId="198C8DA9">
            <w:pPr>
              <w:pStyle w:val="178"/>
            </w:pPr>
            <w:r>
              <w:rPr>
                <w:rFonts w:hint="eastAsia"/>
              </w:rPr>
              <w:t>建立主数据清单和维护机制</w:t>
            </w:r>
          </w:p>
        </w:tc>
        <w:tc>
          <w:tcPr>
            <w:tcW w:w="4666" w:type="dxa"/>
          </w:tcPr>
          <w:p w14:paraId="40235DB1">
            <w:pPr>
              <w:pStyle w:val="178"/>
            </w:pPr>
            <w:r>
              <w:rPr>
                <w:rFonts w:hint="eastAsia"/>
              </w:rPr>
              <w:t>唯一编码、集中维护、统一发布</w:t>
            </w:r>
          </w:p>
        </w:tc>
      </w:tr>
      <w:tr w14:paraId="3873DF3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B82F673">
            <w:pPr>
              <w:pStyle w:val="178"/>
            </w:pPr>
            <w:r>
              <w:rPr>
                <w:rFonts w:hint="eastAsia"/>
              </w:rPr>
              <w:t>元数据管理</w:t>
            </w:r>
          </w:p>
        </w:tc>
        <w:tc>
          <w:tcPr>
            <w:tcW w:w="3118" w:type="dxa"/>
          </w:tcPr>
          <w:p w14:paraId="5A3563A8">
            <w:pPr>
              <w:pStyle w:val="178"/>
            </w:pPr>
            <w:r>
              <w:rPr>
                <w:rFonts w:hint="eastAsia"/>
              </w:rPr>
              <w:t>建立元数据采集和维护机制</w:t>
            </w:r>
          </w:p>
        </w:tc>
        <w:tc>
          <w:tcPr>
            <w:tcW w:w="4666" w:type="dxa"/>
          </w:tcPr>
          <w:p w14:paraId="4D3D019E">
            <w:pPr>
              <w:pStyle w:val="178"/>
            </w:pPr>
            <w:r>
              <w:rPr>
                <w:rFonts w:hint="eastAsia"/>
              </w:rPr>
              <w:t>来源清楚、定义明确、血缘可追</w:t>
            </w:r>
          </w:p>
        </w:tc>
      </w:tr>
      <w:tr w14:paraId="79CDD1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5047327F">
            <w:pPr>
              <w:pStyle w:val="178"/>
            </w:pPr>
            <w:r>
              <w:rPr>
                <w:rFonts w:hint="eastAsia"/>
              </w:rPr>
              <w:t>平台建设</w:t>
            </w:r>
          </w:p>
        </w:tc>
        <w:tc>
          <w:tcPr>
            <w:tcW w:w="3118" w:type="dxa"/>
          </w:tcPr>
          <w:p w14:paraId="56691318">
            <w:pPr>
              <w:pStyle w:val="178"/>
            </w:pPr>
            <w:r>
              <w:rPr>
                <w:rFonts w:hint="eastAsia"/>
              </w:rPr>
              <w:t>配置治理支撑平台或工具</w:t>
            </w:r>
          </w:p>
        </w:tc>
        <w:tc>
          <w:tcPr>
            <w:tcW w:w="4666" w:type="dxa"/>
          </w:tcPr>
          <w:p w14:paraId="180E5B35">
            <w:pPr>
              <w:pStyle w:val="178"/>
            </w:pPr>
            <w:r>
              <w:rPr>
                <w:rFonts w:hint="eastAsia"/>
              </w:rPr>
              <w:t>具备目录、质量、共享、审计等功能</w:t>
            </w:r>
          </w:p>
        </w:tc>
      </w:tr>
      <w:tr w14:paraId="01AC0C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67F58ABE">
            <w:pPr>
              <w:pStyle w:val="178"/>
            </w:pPr>
            <w:r>
              <w:rPr>
                <w:rFonts w:hint="eastAsia"/>
              </w:rPr>
              <w:t>责任落实</w:t>
            </w:r>
          </w:p>
        </w:tc>
        <w:tc>
          <w:tcPr>
            <w:tcW w:w="3118" w:type="dxa"/>
          </w:tcPr>
          <w:p w14:paraId="51D897EE">
            <w:pPr>
              <w:pStyle w:val="178"/>
            </w:pPr>
            <w:r>
              <w:rPr>
                <w:rFonts w:hint="eastAsia"/>
              </w:rPr>
              <w:t>明确主责、协同和审核关系</w:t>
            </w:r>
          </w:p>
        </w:tc>
        <w:tc>
          <w:tcPr>
            <w:tcW w:w="4666" w:type="dxa"/>
          </w:tcPr>
          <w:p w14:paraId="7D49576E">
            <w:pPr>
              <w:pStyle w:val="178"/>
            </w:pPr>
            <w:r>
              <w:rPr>
                <w:rFonts w:hint="eastAsia"/>
              </w:rPr>
              <w:t>不得无人负责或者重复负责</w:t>
            </w:r>
          </w:p>
        </w:tc>
      </w:tr>
    </w:tbl>
    <w:p w14:paraId="7A155BA1">
      <w:pPr>
        <w:pStyle w:val="105"/>
        <w:spacing w:before="120" w:after="120" w:line="360" w:lineRule="auto"/>
      </w:pPr>
      <w:r>
        <w:rPr>
          <w:rFonts w:hint="eastAsia"/>
        </w:rPr>
        <w:t>监督评价基础要求</w:t>
      </w:r>
    </w:p>
    <w:p w14:paraId="7EDE850A">
      <w:pPr>
        <w:pStyle w:val="165"/>
        <w:spacing w:line="360" w:lineRule="auto"/>
      </w:pPr>
      <w:r>
        <w:rPr>
          <w:rFonts w:hint="eastAsia"/>
        </w:rPr>
        <w:t>煤矿企业应建立数据治理基础工作监督评价机制。</w:t>
      </w:r>
    </w:p>
    <w:p w14:paraId="37EFFF85">
      <w:pPr>
        <w:pStyle w:val="165"/>
        <w:spacing w:line="360" w:lineRule="auto"/>
      </w:pPr>
      <w:r>
        <w:rPr>
          <w:rFonts w:hint="eastAsia"/>
        </w:rPr>
        <w:t>监督评价宜包括下列内容：</w:t>
      </w:r>
    </w:p>
    <w:p w14:paraId="7D144AFC">
      <w:pPr>
        <w:pStyle w:val="56"/>
        <w:spacing w:line="360" w:lineRule="auto"/>
        <w:ind w:firstLine="420"/>
      </w:pPr>
      <w:r>
        <w:rPr>
          <w:rFonts w:hint="eastAsia"/>
        </w:rPr>
        <w:t>a）组织体系是否健全；</w:t>
      </w:r>
    </w:p>
    <w:p w14:paraId="0E8DA8AD">
      <w:pPr>
        <w:pStyle w:val="56"/>
        <w:spacing w:line="360" w:lineRule="auto"/>
        <w:ind w:firstLine="420"/>
      </w:pPr>
      <w:r>
        <w:rPr>
          <w:rFonts w:hint="eastAsia"/>
        </w:rPr>
        <w:t>b）制度体系是否完整；</w:t>
      </w:r>
    </w:p>
    <w:p w14:paraId="6B8CA387">
      <w:pPr>
        <w:pStyle w:val="56"/>
        <w:spacing w:line="360" w:lineRule="auto"/>
        <w:ind w:firstLine="420"/>
      </w:pPr>
      <w:r>
        <w:rPr>
          <w:rFonts w:hint="eastAsia"/>
        </w:rPr>
        <w:t>c）标准体系是否覆盖主要业务；</w:t>
      </w:r>
    </w:p>
    <w:p w14:paraId="0D6A521B">
      <w:pPr>
        <w:pStyle w:val="56"/>
        <w:spacing w:line="360" w:lineRule="auto"/>
        <w:ind w:firstLine="420"/>
      </w:pPr>
      <w:r>
        <w:rPr>
          <w:rFonts w:hint="eastAsia"/>
        </w:rPr>
        <w:t>d）目录体系是否动态维护；</w:t>
      </w:r>
    </w:p>
    <w:p w14:paraId="42DC8430">
      <w:pPr>
        <w:pStyle w:val="56"/>
        <w:spacing w:line="360" w:lineRule="auto"/>
        <w:ind w:firstLine="420"/>
      </w:pPr>
      <w:r>
        <w:rPr>
          <w:rFonts w:hint="eastAsia"/>
        </w:rPr>
        <w:t>e）责任主体是否明确；</w:t>
      </w:r>
    </w:p>
    <w:p w14:paraId="20C80FFD">
      <w:pPr>
        <w:pStyle w:val="56"/>
        <w:spacing w:line="360" w:lineRule="auto"/>
        <w:ind w:firstLine="420"/>
      </w:pPr>
      <w:r>
        <w:rPr>
          <w:rFonts w:hint="eastAsia"/>
        </w:rPr>
        <w:t>f）平台支撑是否满足要求；</w:t>
      </w:r>
    </w:p>
    <w:p w14:paraId="2DA5E2FE">
      <w:pPr>
        <w:pStyle w:val="56"/>
        <w:spacing w:line="360" w:lineRule="auto"/>
        <w:ind w:firstLine="420"/>
      </w:pPr>
      <w:r>
        <w:rPr>
          <w:rFonts w:hint="eastAsia"/>
        </w:rPr>
        <w:t>g）基础治理工作是否形成记录并持续改进。</w:t>
      </w:r>
    </w:p>
    <w:p w14:paraId="7514A45B">
      <w:pPr>
        <w:pStyle w:val="165"/>
        <w:spacing w:line="360" w:lineRule="auto"/>
      </w:pPr>
      <w:r>
        <w:rPr>
          <w:rFonts w:hint="eastAsia"/>
        </w:rPr>
        <w:t>对监督评价中发现的问题，应制定整改措施并闭环管理。</w:t>
      </w:r>
    </w:p>
    <w:p w14:paraId="26136F71">
      <w:pPr>
        <w:pStyle w:val="104"/>
        <w:spacing w:before="240" w:after="240" w:line="360" w:lineRule="auto"/>
      </w:pPr>
      <w:bookmarkStart w:id="53" w:name="_Toc228568756"/>
      <w:r>
        <w:rPr>
          <w:rFonts w:hint="eastAsia"/>
        </w:rPr>
        <w:t>数据资源管理</w:t>
      </w:r>
      <w:bookmarkEnd w:id="53"/>
    </w:p>
    <w:p w14:paraId="6C648C7F">
      <w:pPr>
        <w:pStyle w:val="105"/>
        <w:spacing w:before="120" w:after="120" w:line="360" w:lineRule="auto"/>
      </w:pPr>
      <w:r>
        <w:rPr>
          <w:rFonts w:hint="eastAsia"/>
        </w:rPr>
        <w:t>一般规定</w:t>
      </w:r>
    </w:p>
    <w:p w14:paraId="01AACA63">
      <w:pPr>
        <w:pStyle w:val="165"/>
        <w:spacing w:line="360" w:lineRule="auto"/>
      </w:pPr>
      <w:r>
        <w:rPr>
          <w:rFonts w:hint="eastAsia"/>
        </w:rPr>
        <w:t>煤矿智能化系统数据资源应实行统一识别、统一登记、统一分类、统一维护和统一监督管理。</w:t>
      </w:r>
    </w:p>
    <w:p w14:paraId="279DB4FE">
      <w:pPr>
        <w:pStyle w:val="165"/>
        <w:spacing w:line="360" w:lineRule="auto"/>
      </w:pPr>
      <w:r>
        <w:rPr>
          <w:rFonts w:hint="eastAsia"/>
        </w:rPr>
        <w:t>数据资源管理应覆盖数据产生源、数据采集点、数据接口、数据存储位置、数据使用范围和数据责任主体。</w:t>
      </w:r>
    </w:p>
    <w:p w14:paraId="5E1F95EF">
      <w:pPr>
        <w:pStyle w:val="165"/>
        <w:spacing w:line="360" w:lineRule="auto"/>
      </w:pPr>
      <w:r>
        <w:rPr>
          <w:rFonts w:hint="eastAsia"/>
        </w:rPr>
        <w:t>数据资源管理应与煤矿业务系统建设、设备接入、平台整合和流程优化同步实施，不得在系统建成后长期补做。</w:t>
      </w:r>
    </w:p>
    <w:p w14:paraId="1810C81B">
      <w:pPr>
        <w:pStyle w:val="165"/>
        <w:spacing w:line="360" w:lineRule="auto"/>
      </w:pPr>
      <w:r>
        <w:rPr>
          <w:rFonts w:hint="eastAsia"/>
        </w:rPr>
        <w:t>对纳入统一治理范围的数据资源，应明确其来源系统、采集规则、更新频率、业务用途、共享属性和生命周期状态。</w:t>
      </w:r>
    </w:p>
    <w:p w14:paraId="6DACA991">
      <w:pPr>
        <w:pStyle w:val="165"/>
        <w:spacing w:line="360" w:lineRule="auto"/>
      </w:pPr>
      <w:r>
        <w:rPr>
          <w:rFonts w:hint="eastAsia"/>
        </w:rPr>
        <w:t>未经识别、未登记或者来源不明的数据，不得纳入重点共享范围、重点分析范围和重点资产目录。</w:t>
      </w:r>
    </w:p>
    <w:p w14:paraId="4AA10DC7">
      <w:pPr>
        <w:pStyle w:val="165"/>
        <w:spacing w:line="360" w:lineRule="auto"/>
      </w:pPr>
      <w:r>
        <w:rPr>
          <w:rFonts w:hint="eastAsia"/>
        </w:rPr>
        <w:t>数据资源管理不得以简单汇集和集中存储替代规范治理，不得以平台接入数量代替资源管理质量。</w:t>
      </w:r>
    </w:p>
    <w:p w14:paraId="632C2E31">
      <w:pPr>
        <w:pStyle w:val="105"/>
        <w:spacing w:before="120" w:after="120" w:line="360" w:lineRule="auto"/>
      </w:pPr>
      <w:r>
        <w:rPr>
          <w:rFonts w:hint="eastAsia"/>
        </w:rPr>
        <w:t>数据资源识别</w:t>
      </w:r>
    </w:p>
    <w:p w14:paraId="028DEADD">
      <w:pPr>
        <w:pStyle w:val="65"/>
        <w:spacing w:before="120" w:after="120" w:line="360" w:lineRule="auto"/>
      </w:pPr>
      <w:r>
        <w:rPr>
          <w:rFonts w:hint="eastAsia"/>
        </w:rPr>
        <w:t>一般要求</w:t>
      </w:r>
    </w:p>
    <w:p w14:paraId="227CEE9D">
      <w:pPr>
        <w:pStyle w:val="164"/>
        <w:spacing w:line="360" w:lineRule="auto"/>
      </w:pPr>
      <w:r>
        <w:rPr>
          <w:rFonts w:hint="eastAsia"/>
        </w:rPr>
        <w:t>煤矿企业应对智能化系统相关数据资源进行系统识别。</w:t>
      </w:r>
    </w:p>
    <w:p w14:paraId="3E0DB115">
      <w:pPr>
        <w:pStyle w:val="164"/>
        <w:spacing w:line="360" w:lineRule="auto"/>
      </w:pPr>
      <w:r>
        <w:rPr>
          <w:rFonts w:hint="eastAsia"/>
        </w:rPr>
        <w:t>数据资源识别应按照业务对象、系统来源、数据类型、采集方式和使用场景进行。</w:t>
      </w:r>
    </w:p>
    <w:p w14:paraId="34FB94D5">
      <w:pPr>
        <w:pStyle w:val="164"/>
        <w:spacing w:line="360" w:lineRule="auto"/>
      </w:pPr>
      <w:r>
        <w:rPr>
          <w:rFonts w:hint="eastAsia"/>
        </w:rPr>
        <w:t>数据资源识别结果应形成清单，并纳入数据目录管理。</w:t>
      </w:r>
    </w:p>
    <w:p w14:paraId="6178F9FB">
      <w:pPr>
        <w:pStyle w:val="65"/>
        <w:spacing w:before="120" w:after="120" w:line="360" w:lineRule="auto"/>
      </w:pPr>
      <w:r>
        <w:rPr>
          <w:rFonts w:hint="eastAsia"/>
        </w:rPr>
        <w:t>识别范围</w:t>
      </w:r>
    </w:p>
    <w:p w14:paraId="199B2B52">
      <w:pPr>
        <w:pStyle w:val="164"/>
        <w:spacing w:line="360" w:lineRule="auto"/>
      </w:pPr>
      <w:r>
        <w:rPr>
          <w:rFonts w:hint="eastAsia"/>
        </w:rPr>
        <w:t>数据资源识别范围宜包括下列内容：</w:t>
      </w:r>
    </w:p>
    <w:p w14:paraId="6026F81A">
      <w:pPr>
        <w:pStyle w:val="56"/>
        <w:spacing w:line="360" w:lineRule="auto"/>
        <w:ind w:firstLine="420"/>
      </w:pPr>
      <w:r>
        <w:rPr>
          <w:rFonts w:hint="eastAsia"/>
        </w:rPr>
        <w:t>a）安全监测监控数据；</w:t>
      </w:r>
    </w:p>
    <w:p w14:paraId="5208E3DF">
      <w:pPr>
        <w:pStyle w:val="56"/>
        <w:spacing w:line="360" w:lineRule="auto"/>
        <w:ind w:firstLine="420"/>
      </w:pPr>
      <w:r>
        <w:rPr>
          <w:rFonts w:hint="eastAsia"/>
        </w:rPr>
        <w:t>b）人员位置数据；</w:t>
      </w:r>
    </w:p>
    <w:p w14:paraId="3A1AC777">
      <w:pPr>
        <w:pStyle w:val="56"/>
        <w:spacing w:line="360" w:lineRule="auto"/>
        <w:ind w:firstLine="420"/>
      </w:pPr>
      <w:r>
        <w:rPr>
          <w:rFonts w:hint="eastAsia"/>
        </w:rPr>
        <w:t>c）视频监控数据；</w:t>
      </w:r>
    </w:p>
    <w:p w14:paraId="3062F7D3">
      <w:pPr>
        <w:pStyle w:val="56"/>
        <w:spacing w:line="360" w:lineRule="auto"/>
        <w:ind w:firstLine="420"/>
      </w:pPr>
      <w:r>
        <w:rPr>
          <w:rFonts w:hint="eastAsia"/>
        </w:rPr>
        <w:t>d）机电设备运行数据；</w:t>
      </w:r>
    </w:p>
    <w:p w14:paraId="5FCA1A17">
      <w:pPr>
        <w:pStyle w:val="56"/>
        <w:spacing w:line="360" w:lineRule="auto"/>
        <w:ind w:firstLine="420"/>
      </w:pPr>
      <w:r>
        <w:rPr>
          <w:rFonts w:hint="eastAsia"/>
        </w:rPr>
        <w:t>e）供电监测数据；</w:t>
      </w:r>
    </w:p>
    <w:p w14:paraId="6757C649">
      <w:pPr>
        <w:pStyle w:val="56"/>
        <w:spacing w:line="360" w:lineRule="auto"/>
        <w:ind w:firstLine="420"/>
      </w:pPr>
      <w:r>
        <w:rPr>
          <w:rFonts w:hint="eastAsia"/>
        </w:rPr>
        <w:t>f）运输系统运行数据；</w:t>
      </w:r>
    </w:p>
    <w:p w14:paraId="2D5EC7DF">
      <w:pPr>
        <w:pStyle w:val="56"/>
        <w:spacing w:line="360" w:lineRule="auto"/>
        <w:ind w:firstLine="420"/>
      </w:pPr>
      <w:r>
        <w:rPr>
          <w:rFonts w:hint="eastAsia"/>
        </w:rPr>
        <w:t>g）通风系统运行数据；</w:t>
      </w:r>
    </w:p>
    <w:p w14:paraId="28267853">
      <w:pPr>
        <w:pStyle w:val="56"/>
        <w:spacing w:line="360" w:lineRule="auto"/>
        <w:ind w:firstLine="420"/>
      </w:pPr>
      <w:r>
        <w:rPr>
          <w:rFonts w:hint="eastAsia"/>
        </w:rPr>
        <w:t>h）排水系统运行数据；</w:t>
      </w:r>
    </w:p>
    <w:p w14:paraId="66E2D879">
      <w:pPr>
        <w:pStyle w:val="56"/>
        <w:spacing w:line="360" w:lineRule="auto"/>
        <w:ind w:firstLine="420"/>
      </w:pPr>
      <w:r>
        <w:rPr>
          <w:rFonts w:hint="eastAsia"/>
        </w:rPr>
        <w:t>i）地测与防治水数据；</w:t>
      </w:r>
    </w:p>
    <w:p w14:paraId="27978F5F">
      <w:pPr>
        <w:pStyle w:val="56"/>
        <w:spacing w:line="360" w:lineRule="auto"/>
        <w:ind w:firstLine="420"/>
      </w:pPr>
      <w:r>
        <w:rPr>
          <w:rFonts w:hint="eastAsia"/>
        </w:rPr>
        <w:t>j）生产调度数据；</w:t>
      </w:r>
    </w:p>
    <w:p w14:paraId="7C63FB30">
      <w:pPr>
        <w:pStyle w:val="56"/>
        <w:spacing w:line="360" w:lineRule="auto"/>
        <w:ind w:firstLine="420"/>
      </w:pPr>
      <w:r>
        <w:rPr>
          <w:rFonts w:hint="eastAsia"/>
        </w:rPr>
        <w:t>k）洗选加工数据；</w:t>
      </w:r>
    </w:p>
    <w:p w14:paraId="22A84BD0">
      <w:pPr>
        <w:pStyle w:val="56"/>
        <w:spacing w:line="360" w:lineRule="auto"/>
        <w:ind w:firstLine="420"/>
      </w:pPr>
      <w:r>
        <w:rPr>
          <w:rFonts w:hint="eastAsia"/>
        </w:rPr>
        <w:t>l）能耗数据；</w:t>
      </w:r>
    </w:p>
    <w:p w14:paraId="2D712947">
      <w:pPr>
        <w:pStyle w:val="56"/>
        <w:spacing w:line="360" w:lineRule="auto"/>
        <w:ind w:firstLine="420"/>
      </w:pPr>
      <w:r>
        <w:rPr>
          <w:rFonts w:hint="eastAsia"/>
        </w:rPr>
        <w:t>m）经营管理数据；</w:t>
      </w:r>
    </w:p>
    <w:p w14:paraId="694963E7">
      <w:pPr>
        <w:pStyle w:val="56"/>
        <w:spacing w:line="360" w:lineRule="auto"/>
        <w:ind w:firstLine="420"/>
      </w:pPr>
      <w:r>
        <w:rPr>
          <w:rFonts w:hint="eastAsia"/>
        </w:rPr>
        <w:t>n）设备维护与检修数据；</w:t>
      </w:r>
    </w:p>
    <w:p w14:paraId="3F8A9053">
      <w:pPr>
        <w:pStyle w:val="56"/>
        <w:spacing w:line="360" w:lineRule="auto"/>
        <w:ind w:firstLine="420"/>
      </w:pPr>
      <w:r>
        <w:rPr>
          <w:rFonts w:hint="eastAsia"/>
        </w:rPr>
        <w:t>o）报警与事件数据；</w:t>
      </w:r>
    </w:p>
    <w:p w14:paraId="66B73519">
      <w:pPr>
        <w:pStyle w:val="56"/>
        <w:spacing w:line="360" w:lineRule="auto"/>
        <w:ind w:firstLine="420"/>
      </w:pPr>
      <w:r>
        <w:rPr>
          <w:rFonts w:hint="eastAsia"/>
        </w:rPr>
        <w:t>p）日志与审计数据。</w:t>
      </w:r>
    </w:p>
    <w:p w14:paraId="5D13DE20">
      <w:pPr>
        <w:pStyle w:val="164"/>
        <w:spacing w:line="360" w:lineRule="auto"/>
      </w:pPr>
      <w:r>
        <w:rPr>
          <w:rFonts w:hint="eastAsia"/>
        </w:rPr>
        <w:t>对跨系统复用频率高、业务依赖程度高和管理价值高的数据，应优先纳入重点识别范围。</w:t>
      </w:r>
    </w:p>
    <w:p w14:paraId="719E993A">
      <w:pPr>
        <w:pStyle w:val="65"/>
        <w:spacing w:before="120" w:after="120" w:line="360" w:lineRule="auto"/>
      </w:pPr>
      <w:r>
        <w:rPr>
          <w:rFonts w:hint="eastAsia"/>
        </w:rPr>
        <w:t>识别要求</w:t>
      </w:r>
    </w:p>
    <w:p w14:paraId="1AA060DF">
      <w:pPr>
        <w:pStyle w:val="164"/>
        <w:spacing w:line="360" w:lineRule="auto"/>
      </w:pPr>
      <w:r>
        <w:rPr>
          <w:rFonts w:hint="eastAsia"/>
        </w:rPr>
        <w:t>数据资源识别应至少明确下列信息：</w:t>
      </w:r>
    </w:p>
    <w:p w14:paraId="2CF56E63">
      <w:pPr>
        <w:pStyle w:val="56"/>
        <w:spacing w:line="360" w:lineRule="auto"/>
        <w:ind w:firstLine="420"/>
      </w:pPr>
      <w:r>
        <w:rPr>
          <w:rFonts w:hint="eastAsia"/>
        </w:rPr>
        <w:t>a）数据名称；</w:t>
      </w:r>
    </w:p>
    <w:p w14:paraId="5E98A128">
      <w:pPr>
        <w:pStyle w:val="56"/>
        <w:spacing w:line="360" w:lineRule="auto"/>
        <w:ind w:firstLine="420"/>
      </w:pPr>
      <w:r>
        <w:rPr>
          <w:rFonts w:hint="eastAsia"/>
        </w:rPr>
        <w:t>b）数据定义；</w:t>
      </w:r>
    </w:p>
    <w:p w14:paraId="206B6987">
      <w:pPr>
        <w:pStyle w:val="56"/>
        <w:spacing w:line="360" w:lineRule="auto"/>
        <w:ind w:firstLine="420"/>
      </w:pPr>
      <w:r>
        <w:rPr>
          <w:rFonts w:hint="eastAsia"/>
        </w:rPr>
        <w:t>c）来源系统；</w:t>
      </w:r>
    </w:p>
    <w:p w14:paraId="53BC2C65">
      <w:pPr>
        <w:pStyle w:val="56"/>
        <w:spacing w:line="360" w:lineRule="auto"/>
        <w:ind w:firstLine="420"/>
      </w:pPr>
      <w:r>
        <w:rPr>
          <w:rFonts w:hint="eastAsia"/>
        </w:rPr>
        <w:t>d）来源设备或者业务环节；</w:t>
      </w:r>
    </w:p>
    <w:p w14:paraId="74FFFC0D">
      <w:pPr>
        <w:pStyle w:val="56"/>
        <w:spacing w:line="360" w:lineRule="auto"/>
        <w:ind w:firstLine="420"/>
      </w:pPr>
      <w:r>
        <w:rPr>
          <w:rFonts w:hint="eastAsia"/>
        </w:rPr>
        <w:t>e）数据类型；</w:t>
      </w:r>
    </w:p>
    <w:p w14:paraId="1B756501">
      <w:pPr>
        <w:pStyle w:val="56"/>
        <w:spacing w:line="360" w:lineRule="auto"/>
        <w:ind w:firstLine="420"/>
      </w:pPr>
      <w:r>
        <w:rPr>
          <w:rFonts w:hint="eastAsia"/>
        </w:rPr>
        <w:t>f）采集方式；</w:t>
      </w:r>
    </w:p>
    <w:p w14:paraId="01B08898">
      <w:pPr>
        <w:pStyle w:val="56"/>
        <w:spacing w:line="360" w:lineRule="auto"/>
        <w:ind w:firstLine="420"/>
      </w:pPr>
      <w:r>
        <w:rPr>
          <w:rFonts w:hint="eastAsia"/>
        </w:rPr>
        <w:t>g）更新频率；</w:t>
      </w:r>
    </w:p>
    <w:p w14:paraId="6C74EFA8">
      <w:pPr>
        <w:pStyle w:val="56"/>
        <w:spacing w:line="360" w:lineRule="auto"/>
        <w:ind w:firstLine="420"/>
      </w:pPr>
      <w:r>
        <w:rPr>
          <w:rFonts w:hint="eastAsia"/>
        </w:rPr>
        <w:t>h）责任部门；</w:t>
      </w:r>
    </w:p>
    <w:p w14:paraId="5D1AE1F7">
      <w:pPr>
        <w:pStyle w:val="56"/>
        <w:spacing w:line="360" w:lineRule="auto"/>
        <w:ind w:firstLine="420"/>
      </w:pPr>
      <w:r>
        <w:rPr>
          <w:rFonts w:hint="eastAsia"/>
        </w:rPr>
        <w:t>i）使用部门；</w:t>
      </w:r>
    </w:p>
    <w:p w14:paraId="6B5B9AB8">
      <w:pPr>
        <w:pStyle w:val="56"/>
        <w:spacing w:line="360" w:lineRule="auto"/>
        <w:ind w:firstLine="420"/>
      </w:pPr>
      <w:r>
        <w:rPr>
          <w:rFonts w:hint="eastAsia"/>
        </w:rPr>
        <w:t>j）共享属性；</w:t>
      </w:r>
    </w:p>
    <w:p w14:paraId="344B6474">
      <w:pPr>
        <w:pStyle w:val="56"/>
        <w:spacing w:line="360" w:lineRule="auto"/>
        <w:ind w:firstLine="420"/>
      </w:pPr>
      <w:r>
        <w:rPr>
          <w:rFonts w:hint="eastAsia"/>
        </w:rPr>
        <w:t>k）安全级别；</w:t>
      </w:r>
    </w:p>
    <w:p w14:paraId="46D71CC4">
      <w:pPr>
        <w:pStyle w:val="56"/>
        <w:spacing w:line="360" w:lineRule="auto"/>
        <w:ind w:firstLine="420"/>
      </w:pPr>
      <w:r>
        <w:rPr>
          <w:rFonts w:hint="eastAsia"/>
        </w:rPr>
        <w:t>l）资产潜力。</w:t>
      </w:r>
    </w:p>
    <w:p w14:paraId="0FAE7135">
      <w:pPr>
        <w:pStyle w:val="56"/>
        <w:spacing w:line="360" w:lineRule="auto"/>
        <w:ind w:firstLine="420"/>
      </w:pPr>
      <w:r>
        <w:rPr>
          <w:rFonts w:hint="eastAsia"/>
        </w:rPr>
        <w:t>同一数据资源在不同系统中存在不同名称或者不同口径的，应在识别阶段建立对应关系，不得直接并列登记造成重复管理。</w:t>
      </w:r>
    </w:p>
    <w:p w14:paraId="315F40D0">
      <w:pPr>
        <w:pStyle w:val="105"/>
        <w:spacing w:before="120" w:after="120" w:line="360" w:lineRule="auto"/>
      </w:pPr>
      <w:r>
        <w:rPr>
          <w:rFonts w:hint="eastAsia"/>
        </w:rPr>
        <w:t>数据分类管理</w:t>
      </w:r>
    </w:p>
    <w:p w14:paraId="6AD71F6E">
      <w:pPr>
        <w:pStyle w:val="65"/>
        <w:spacing w:before="120" w:after="120" w:line="360" w:lineRule="auto"/>
      </w:pPr>
      <w:r>
        <w:rPr>
          <w:rFonts w:hint="eastAsia"/>
        </w:rPr>
        <w:t>一般要求</w:t>
      </w:r>
    </w:p>
    <w:p w14:paraId="29355471">
      <w:pPr>
        <w:pStyle w:val="164"/>
        <w:spacing w:line="360" w:lineRule="auto"/>
      </w:pPr>
      <w:r>
        <w:rPr>
          <w:rFonts w:hint="eastAsia"/>
        </w:rPr>
        <w:t>数据资源应按统一分类规则进行分类管理。</w:t>
      </w:r>
    </w:p>
    <w:p w14:paraId="41A5B146">
      <w:pPr>
        <w:pStyle w:val="164"/>
        <w:spacing w:line="360" w:lineRule="auto"/>
      </w:pPr>
      <w:r>
        <w:rPr>
          <w:rFonts w:hint="eastAsia"/>
        </w:rPr>
        <w:t>数据分类应兼顾业务属性、管理属性、技术属性和应用属性。</w:t>
      </w:r>
    </w:p>
    <w:p w14:paraId="581B32E9">
      <w:pPr>
        <w:pStyle w:val="164"/>
        <w:spacing w:line="360" w:lineRule="auto"/>
      </w:pPr>
      <w:r>
        <w:rPr>
          <w:rFonts w:hint="eastAsia"/>
        </w:rPr>
        <w:t>数据分类结果应作为数据目录管理、数据共享管理、数据安全管理和数据资产管理的基础。</w:t>
      </w:r>
    </w:p>
    <w:p w14:paraId="20D3285C">
      <w:pPr>
        <w:pStyle w:val="65"/>
        <w:spacing w:before="120" w:after="120" w:line="360" w:lineRule="auto"/>
      </w:pPr>
      <w:r>
        <w:rPr>
          <w:rFonts w:hint="eastAsia"/>
        </w:rPr>
        <w:t>分类维度</w:t>
      </w:r>
    </w:p>
    <w:p w14:paraId="684E91C5">
      <w:pPr>
        <w:pStyle w:val="164"/>
        <w:spacing w:line="360" w:lineRule="auto"/>
      </w:pPr>
      <w:r>
        <w:rPr>
          <w:rFonts w:hint="eastAsia"/>
        </w:rPr>
        <w:t>数据分类宜包括下列维度：</w:t>
      </w:r>
    </w:p>
    <w:p w14:paraId="27F90DDA">
      <w:pPr>
        <w:pStyle w:val="56"/>
        <w:spacing w:line="360" w:lineRule="auto"/>
        <w:ind w:firstLine="420"/>
      </w:pPr>
      <w:r>
        <w:rPr>
          <w:rFonts w:hint="eastAsia"/>
        </w:rPr>
        <w:t>a）按业务领域分类；</w:t>
      </w:r>
    </w:p>
    <w:p w14:paraId="18952C21">
      <w:pPr>
        <w:pStyle w:val="56"/>
        <w:spacing w:line="360" w:lineRule="auto"/>
        <w:ind w:firstLine="420"/>
      </w:pPr>
      <w:r>
        <w:rPr>
          <w:rFonts w:hint="eastAsia"/>
        </w:rPr>
        <w:t>b）按系统来源分类；</w:t>
      </w:r>
    </w:p>
    <w:p w14:paraId="2DCAAFDA">
      <w:pPr>
        <w:pStyle w:val="56"/>
        <w:spacing w:line="360" w:lineRule="auto"/>
        <w:ind w:firstLine="420"/>
      </w:pPr>
      <w:r>
        <w:rPr>
          <w:rFonts w:hint="eastAsia"/>
        </w:rPr>
        <w:t>c）按数据结构分类；</w:t>
      </w:r>
    </w:p>
    <w:p w14:paraId="53C90B12">
      <w:pPr>
        <w:pStyle w:val="56"/>
        <w:spacing w:line="360" w:lineRule="auto"/>
        <w:ind w:firstLine="420"/>
      </w:pPr>
      <w:r>
        <w:rPr>
          <w:rFonts w:hint="eastAsia"/>
        </w:rPr>
        <w:t>d）按实时性分类；</w:t>
      </w:r>
    </w:p>
    <w:p w14:paraId="62BA9950">
      <w:pPr>
        <w:pStyle w:val="56"/>
        <w:spacing w:line="360" w:lineRule="auto"/>
        <w:ind w:firstLine="420"/>
      </w:pPr>
      <w:r>
        <w:rPr>
          <w:rFonts w:hint="eastAsia"/>
        </w:rPr>
        <w:t>e）按用途分类；</w:t>
      </w:r>
    </w:p>
    <w:p w14:paraId="2B9881DB">
      <w:pPr>
        <w:pStyle w:val="56"/>
        <w:spacing w:line="360" w:lineRule="auto"/>
        <w:ind w:firstLine="420"/>
      </w:pPr>
      <w:r>
        <w:rPr>
          <w:rFonts w:hint="eastAsia"/>
        </w:rPr>
        <w:t>f）按共享属性分类；</w:t>
      </w:r>
    </w:p>
    <w:p w14:paraId="5E7C4838">
      <w:pPr>
        <w:pStyle w:val="56"/>
        <w:spacing w:line="360" w:lineRule="auto"/>
        <w:ind w:firstLine="420"/>
      </w:pPr>
      <w:r>
        <w:rPr>
          <w:rFonts w:hint="eastAsia"/>
        </w:rPr>
        <w:t>g）按资产状态分类。</w:t>
      </w:r>
    </w:p>
    <w:p w14:paraId="46453680">
      <w:pPr>
        <w:pStyle w:val="164"/>
        <w:spacing w:line="360" w:lineRule="auto"/>
      </w:pPr>
      <w:r>
        <w:rPr>
          <w:rFonts w:hint="eastAsia"/>
        </w:rPr>
        <w:t>按业务领域可分为安全类、生产类、设备类、调度类、地测类、经营类、综合管理类等。</w:t>
      </w:r>
    </w:p>
    <w:p w14:paraId="43C68470">
      <w:pPr>
        <w:pStyle w:val="164"/>
        <w:spacing w:line="360" w:lineRule="auto"/>
      </w:pPr>
      <w:r>
        <w:rPr>
          <w:rFonts w:hint="eastAsia"/>
        </w:rPr>
        <w:t>按数据结构可分为结构化数据、半结构化数据和非结构化数据。</w:t>
      </w:r>
    </w:p>
    <w:p w14:paraId="1AA7A8B9">
      <w:pPr>
        <w:pStyle w:val="164"/>
        <w:spacing w:line="360" w:lineRule="auto"/>
      </w:pPr>
      <w:r>
        <w:rPr>
          <w:rFonts w:hint="eastAsia"/>
        </w:rPr>
        <w:t>按实时性可分为实时数据、准实时数据和历史数据。</w:t>
      </w:r>
    </w:p>
    <w:p w14:paraId="0504F533">
      <w:pPr>
        <w:pStyle w:val="65"/>
        <w:spacing w:before="120" w:after="120" w:line="360" w:lineRule="auto"/>
      </w:pPr>
      <w:r>
        <w:rPr>
          <w:rFonts w:hint="eastAsia"/>
        </w:rPr>
        <w:t>分类控制要求</w:t>
      </w:r>
    </w:p>
    <w:p w14:paraId="5ADED1B1">
      <w:pPr>
        <w:pStyle w:val="164"/>
        <w:spacing w:line="360" w:lineRule="auto"/>
      </w:pPr>
      <w:r>
        <w:rPr>
          <w:rFonts w:hint="eastAsia"/>
        </w:rPr>
        <w:t>分类规则应在企业范围内统一执行。</w:t>
      </w:r>
    </w:p>
    <w:p w14:paraId="180A7953">
      <w:pPr>
        <w:pStyle w:val="164"/>
        <w:spacing w:line="360" w:lineRule="auto"/>
      </w:pPr>
      <w:r>
        <w:rPr>
          <w:rFonts w:hint="eastAsia"/>
        </w:rPr>
        <w:t>新增系统、新增设备和新增业务场景形成的数据，应按既定分类规则及时纳入管理。</w:t>
      </w:r>
    </w:p>
    <w:p w14:paraId="10AAAE4D">
      <w:pPr>
        <w:pStyle w:val="164"/>
        <w:spacing w:line="360" w:lineRule="auto"/>
      </w:pPr>
      <w:r>
        <w:rPr>
          <w:rFonts w:hint="eastAsia"/>
        </w:rPr>
        <w:t>分类调整应履行确认程序，并保留历史变更记录。</w:t>
      </w:r>
    </w:p>
    <w:p w14:paraId="059233E7">
      <w:pPr>
        <w:pStyle w:val="105"/>
        <w:spacing w:before="120" w:after="120" w:line="360" w:lineRule="auto"/>
      </w:pPr>
      <w:r>
        <w:rPr>
          <w:rFonts w:hint="eastAsia"/>
        </w:rPr>
        <w:t>数据采集管理</w:t>
      </w:r>
    </w:p>
    <w:p w14:paraId="78E57841">
      <w:pPr>
        <w:pStyle w:val="65"/>
        <w:spacing w:before="120" w:after="120" w:line="360" w:lineRule="auto"/>
      </w:pPr>
      <w:r>
        <w:rPr>
          <w:rFonts w:hint="eastAsia"/>
        </w:rPr>
        <w:t>一般要求</w:t>
      </w:r>
    </w:p>
    <w:p w14:paraId="2DC7A120">
      <w:pPr>
        <w:pStyle w:val="164"/>
        <w:spacing w:line="360" w:lineRule="auto"/>
      </w:pPr>
      <w:r>
        <w:rPr>
          <w:rFonts w:hint="eastAsia"/>
        </w:rPr>
        <w:t>数据采集应遵循源头唯一、口径统一、接口规范、时效明确和质量可控的原则。</w:t>
      </w:r>
    </w:p>
    <w:p w14:paraId="007DADF8">
      <w:pPr>
        <w:pStyle w:val="164"/>
        <w:spacing w:line="360" w:lineRule="auto"/>
      </w:pPr>
      <w:r>
        <w:rPr>
          <w:rFonts w:hint="eastAsia"/>
        </w:rPr>
        <w:t>采集方案应与业务需求、设备状态、现场条件和系统架构相适应。</w:t>
      </w:r>
    </w:p>
    <w:p w14:paraId="20853B73">
      <w:pPr>
        <w:pStyle w:val="164"/>
        <w:spacing w:line="360" w:lineRule="auto"/>
      </w:pPr>
      <w:r>
        <w:rPr>
          <w:rFonts w:hint="eastAsia"/>
        </w:rPr>
        <w:t>对关键业务数据和关键控制数据，应优先从权威源头采集。</w:t>
      </w:r>
    </w:p>
    <w:p w14:paraId="51CB6793">
      <w:pPr>
        <w:pStyle w:val="65"/>
        <w:spacing w:before="120" w:after="120" w:line="360" w:lineRule="auto"/>
      </w:pPr>
      <w:r>
        <w:rPr>
          <w:rFonts w:hint="eastAsia"/>
        </w:rPr>
        <w:t>采集要求</w:t>
      </w:r>
    </w:p>
    <w:p w14:paraId="645C105C">
      <w:pPr>
        <w:pStyle w:val="164"/>
        <w:spacing w:line="360" w:lineRule="auto"/>
      </w:pPr>
      <w:r>
        <w:rPr>
          <w:rFonts w:hint="eastAsia"/>
        </w:rPr>
        <w:t>数据采集应明确采集对象、采集点位、采集频率、采集单位、时间标记和异常处理规则。</w:t>
      </w:r>
    </w:p>
    <w:p w14:paraId="213EBE45">
      <w:pPr>
        <w:pStyle w:val="164"/>
        <w:spacing w:line="360" w:lineRule="auto"/>
      </w:pPr>
      <w:r>
        <w:rPr>
          <w:rFonts w:hint="eastAsia"/>
        </w:rPr>
        <w:t>同一业务对象原则上应确定唯一主采集源；确需多源采集的，应明确主源、辅源和校验逻辑。</w:t>
      </w:r>
    </w:p>
    <w:p w14:paraId="0D3A8E06">
      <w:pPr>
        <w:pStyle w:val="164"/>
        <w:spacing w:line="360" w:lineRule="auto"/>
      </w:pPr>
      <w:r>
        <w:rPr>
          <w:rFonts w:hint="eastAsia"/>
        </w:rPr>
        <w:t>采集接口、通信协议、字段定义和数据格式应符合统一标准。</w:t>
      </w:r>
    </w:p>
    <w:p w14:paraId="04E3C2F7">
      <w:pPr>
        <w:pStyle w:val="164"/>
        <w:spacing w:line="360" w:lineRule="auto"/>
      </w:pPr>
      <w:r>
        <w:rPr>
          <w:rFonts w:hint="eastAsia"/>
        </w:rPr>
        <w:t>采集过程不得随意丢弃字段、改变时间戳或者变更计量单位。</w:t>
      </w:r>
    </w:p>
    <w:p w14:paraId="16E02100">
      <w:pPr>
        <w:pStyle w:val="164"/>
        <w:spacing w:line="360" w:lineRule="auto"/>
      </w:pPr>
      <w:r>
        <w:rPr>
          <w:rFonts w:hint="eastAsia"/>
        </w:rPr>
        <w:t>对井下实时感知数据、设备状态数据和安全预警数据，应重点保证采集连续性和传输及时性。</w:t>
      </w:r>
    </w:p>
    <w:p w14:paraId="5F9C3EDE">
      <w:pPr>
        <w:pStyle w:val="65"/>
        <w:spacing w:before="120" w:after="120" w:line="360" w:lineRule="auto"/>
      </w:pPr>
      <w:r>
        <w:rPr>
          <w:rFonts w:hint="eastAsia"/>
        </w:rPr>
        <w:t>采集异常管理</w:t>
      </w:r>
    </w:p>
    <w:p w14:paraId="0516EF6D">
      <w:pPr>
        <w:pStyle w:val="164"/>
        <w:spacing w:line="360" w:lineRule="auto"/>
      </w:pPr>
      <w:r>
        <w:rPr>
          <w:rFonts w:hint="eastAsia"/>
        </w:rPr>
        <w:t>采集异常包括采集失败、采集延迟、数据中断、字段缺失、值域越界和时间错位等情形。</w:t>
      </w:r>
    </w:p>
    <w:p w14:paraId="00E567E8">
      <w:pPr>
        <w:pStyle w:val="164"/>
        <w:spacing w:line="360" w:lineRule="auto"/>
      </w:pPr>
      <w:r>
        <w:rPr>
          <w:rFonts w:hint="eastAsia"/>
        </w:rPr>
        <w:t>发现采集异常时，应及时记录并按规定处理。</w:t>
      </w:r>
    </w:p>
    <w:p w14:paraId="736E64CD">
      <w:pPr>
        <w:pStyle w:val="164"/>
        <w:spacing w:line="360" w:lineRule="auto"/>
      </w:pPr>
      <w:r>
        <w:rPr>
          <w:rFonts w:hint="eastAsia"/>
        </w:rPr>
        <w:t>对关键采集点长期异常而未整改的，不得将相关数据直接用于自动预警和重要决策。</w:t>
      </w:r>
    </w:p>
    <w:p w14:paraId="65504E6F">
      <w:pPr>
        <w:pStyle w:val="164"/>
        <w:numPr>
          <w:ilvl w:val="0"/>
          <w:numId w:val="0"/>
        </w:numPr>
        <w:spacing w:line="360" w:lineRule="auto"/>
      </w:pPr>
    </w:p>
    <w:p w14:paraId="106B03A6">
      <w:pPr>
        <w:pStyle w:val="164"/>
        <w:numPr>
          <w:ilvl w:val="0"/>
          <w:numId w:val="0"/>
        </w:numPr>
        <w:spacing w:line="360" w:lineRule="auto"/>
      </w:pPr>
    </w:p>
    <w:p w14:paraId="76E95EB0">
      <w:pPr>
        <w:pStyle w:val="164"/>
        <w:numPr>
          <w:ilvl w:val="0"/>
          <w:numId w:val="0"/>
        </w:numPr>
        <w:spacing w:line="360" w:lineRule="auto"/>
        <w:rPr>
          <w:rFonts w:hint="eastAsia"/>
        </w:rPr>
      </w:pPr>
    </w:p>
    <w:p w14:paraId="4F713ACC">
      <w:pPr>
        <w:pStyle w:val="105"/>
        <w:spacing w:before="120" w:after="120" w:line="360" w:lineRule="auto"/>
      </w:pPr>
      <w:r>
        <w:rPr>
          <w:rFonts w:hint="eastAsia"/>
        </w:rPr>
        <w:t>数据传输与汇聚管理</w:t>
      </w:r>
    </w:p>
    <w:p w14:paraId="30724D4B">
      <w:pPr>
        <w:pStyle w:val="65"/>
        <w:spacing w:before="120" w:after="120" w:line="360" w:lineRule="auto"/>
      </w:pPr>
      <w:r>
        <w:rPr>
          <w:rFonts w:hint="eastAsia"/>
        </w:rPr>
        <w:t>一般要求</w:t>
      </w:r>
    </w:p>
    <w:p w14:paraId="61B01D41">
      <w:pPr>
        <w:pStyle w:val="164"/>
        <w:spacing w:line="360" w:lineRule="auto"/>
      </w:pPr>
      <w:r>
        <w:rPr>
          <w:rFonts w:hint="eastAsia"/>
        </w:rPr>
        <w:t>数据传输与汇聚应遵循路径清晰、链路可靠、规则统一、过程可监控和结果可校核的原则。</w:t>
      </w:r>
    </w:p>
    <w:p w14:paraId="2B69716A">
      <w:pPr>
        <w:pStyle w:val="164"/>
        <w:spacing w:line="360" w:lineRule="auto"/>
      </w:pPr>
      <w:r>
        <w:rPr>
          <w:rFonts w:hint="eastAsia"/>
        </w:rPr>
        <w:t>数据从采集端向平台端传输过程中，应保持字段完整、顺序正确和时间一致。</w:t>
      </w:r>
    </w:p>
    <w:p w14:paraId="724AD3CD">
      <w:pPr>
        <w:pStyle w:val="164"/>
        <w:spacing w:line="360" w:lineRule="auto"/>
      </w:pPr>
      <w:r>
        <w:rPr>
          <w:rFonts w:hint="eastAsia"/>
        </w:rPr>
        <w:t>数据汇聚应优先采用统一接入、统一映射和统一校验机制。</w:t>
      </w:r>
    </w:p>
    <w:p w14:paraId="5A5BB595">
      <w:pPr>
        <w:pStyle w:val="65"/>
        <w:spacing w:before="120" w:after="120" w:line="360" w:lineRule="auto"/>
      </w:pPr>
      <w:r>
        <w:rPr>
          <w:rFonts w:hint="eastAsia"/>
        </w:rPr>
        <w:t>传输要求</w:t>
      </w:r>
    </w:p>
    <w:p w14:paraId="6351BA5B">
      <w:pPr>
        <w:pStyle w:val="164"/>
        <w:spacing w:line="360" w:lineRule="auto"/>
      </w:pPr>
      <w:r>
        <w:rPr>
          <w:rFonts w:hint="eastAsia"/>
        </w:rPr>
        <w:t>数据传输应明确源端、目标端、传输方式、传输频率和失败重传机制。</w:t>
      </w:r>
    </w:p>
    <w:p w14:paraId="7CD55B24">
      <w:pPr>
        <w:pStyle w:val="164"/>
        <w:spacing w:line="360" w:lineRule="auto"/>
      </w:pPr>
      <w:r>
        <w:rPr>
          <w:rFonts w:hint="eastAsia"/>
        </w:rPr>
        <w:t>对实时监测数据和安全生产关键数据，应设置传输状态监测和中断告警机制。</w:t>
      </w:r>
    </w:p>
    <w:p w14:paraId="18919EAB">
      <w:pPr>
        <w:pStyle w:val="164"/>
        <w:spacing w:line="360" w:lineRule="auto"/>
      </w:pPr>
      <w:r>
        <w:rPr>
          <w:rFonts w:hint="eastAsia"/>
        </w:rPr>
        <w:t>传输过程中不得无授权转发、复制或者截留数据。</w:t>
      </w:r>
    </w:p>
    <w:p w14:paraId="567C92D5">
      <w:pPr>
        <w:pStyle w:val="65"/>
        <w:spacing w:before="120" w:after="120" w:line="360" w:lineRule="auto"/>
      </w:pPr>
      <w:r>
        <w:rPr>
          <w:rFonts w:hint="eastAsia"/>
        </w:rPr>
        <w:t>汇聚要求</w:t>
      </w:r>
    </w:p>
    <w:p w14:paraId="6C12D5D1">
      <w:pPr>
        <w:pStyle w:val="164"/>
        <w:spacing w:line="360" w:lineRule="auto"/>
      </w:pPr>
      <w:r>
        <w:rPr>
          <w:rFonts w:hint="eastAsia"/>
        </w:rPr>
        <w:t>数据汇聚前应进行字段映射、编码映射和口径校验。</w:t>
      </w:r>
    </w:p>
    <w:p w14:paraId="393703C5">
      <w:pPr>
        <w:pStyle w:val="164"/>
        <w:spacing w:line="360" w:lineRule="auto"/>
      </w:pPr>
      <w:r>
        <w:rPr>
          <w:rFonts w:hint="eastAsia"/>
        </w:rPr>
        <w:t>数据汇聚后应核查完整性、一致性和唯一性。</w:t>
      </w:r>
    </w:p>
    <w:p w14:paraId="0A7EDFE5">
      <w:pPr>
        <w:pStyle w:val="164"/>
        <w:spacing w:line="360" w:lineRule="auto"/>
      </w:pPr>
      <w:r>
        <w:rPr>
          <w:rFonts w:hint="eastAsia"/>
        </w:rPr>
        <w:t>对跨系统汇聚形成的综合数据集，应明确数据生成逻辑和责任主体。</w:t>
      </w:r>
    </w:p>
    <w:p w14:paraId="03F74285">
      <w:pPr>
        <w:pStyle w:val="105"/>
        <w:spacing w:before="120" w:after="120" w:line="360" w:lineRule="auto"/>
      </w:pPr>
      <w:r>
        <w:rPr>
          <w:rFonts w:hint="eastAsia"/>
        </w:rPr>
        <w:t>数据存储管理</w:t>
      </w:r>
    </w:p>
    <w:p w14:paraId="4132445A">
      <w:pPr>
        <w:pStyle w:val="65"/>
        <w:spacing w:before="120" w:after="120" w:line="360" w:lineRule="auto"/>
      </w:pPr>
      <w:r>
        <w:rPr>
          <w:rFonts w:hint="eastAsia"/>
        </w:rPr>
        <w:t>一般要求</w:t>
      </w:r>
    </w:p>
    <w:p w14:paraId="63533043">
      <w:pPr>
        <w:pStyle w:val="164"/>
        <w:spacing w:line="360" w:lineRule="auto"/>
      </w:pPr>
      <w:r>
        <w:rPr>
          <w:rFonts w:hint="eastAsia"/>
        </w:rPr>
        <w:t>数据存储应根据数据类型、实时性、重要程度和使用需求分类实施。</w:t>
      </w:r>
    </w:p>
    <w:p w14:paraId="109E07A2">
      <w:pPr>
        <w:pStyle w:val="164"/>
        <w:spacing w:line="360" w:lineRule="auto"/>
      </w:pPr>
      <w:r>
        <w:rPr>
          <w:rFonts w:hint="eastAsia"/>
        </w:rPr>
        <w:t>数据存储应满足安全、可靠、完整、可恢复和可追溯要求。</w:t>
      </w:r>
    </w:p>
    <w:p w14:paraId="67413DE6">
      <w:pPr>
        <w:pStyle w:val="164"/>
        <w:spacing w:line="360" w:lineRule="auto"/>
      </w:pPr>
      <w:r>
        <w:rPr>
          <w:rFonts w:hint="eastAsia"/>
        </w:rPr>
        <w:t>数据存储位置、存储期限和备份要求应与数据分类分级结果相适应。</w:t>
      </w:r>
    </w:p>
    <w:p w14:paraId="426E9106">
      <w:pPr>
        <w:pStyle w:val="65"/>
        <w:spacing w:before="120" w:after="120" w:line="360" w:lineRule="auto"/>
      </w:pPr>
      <w:r>
        <w:rPr>
          <w:rFonts w:hint="eastAsia"/>
        </w:rPr>
        <w:t>存储要求</w:t>
      </w:r>
    </w:p>
    <w:p w14:paraId="73ED3907">
      <w:pPr>
        <w:pStyle w:val="164"/>
        <w:spacing w:line="360" w:lineRule="auto"/>
      </w:pPr>
      <w:r>
        <w:rPr>
          <w:rFonts w:hint="eastAsia"/>
        </w:rPr>
        <w:t>实时数据、历史数据、主数据、元数据和非结构化数据宜分别管理。</w:t>
      </w:r>
    </w:p>
    <w:p w14:paraId="316E9013">
      <w:pPr>
        <w:pStyle w:val="164"/>
        <w:spacing w:line="360" w:lineRule="auto"/>
      </w:pPr>
      <w:r>
        <w:rPr>
          <w:rFonts w:hint="eastAsia"/>
        </w:rPr>
        <w:t>不同系统形成的同类历史数据宜统一归集规则，不得长期散落存储、重复存储和无序存储。</w:t>
      </w:r>
    </w:p>
    <w:p w14:paraId="200CB6E0">
      <w:pPr>
        <w:pStyle w:val="164"/>
        <w:spacing w:line="360" w:lineRule="auto"/>
      </w:pPr>
      <w:r>
        <w:rPr>
          <w:rFonts w:hint="eastAsia"/>
        </w:rPr>
        <w:t>数据存储不得破坏原始记录属性和追溯关系。</w:t>
      </w:r>
    </w:p>
    <w:p w14:paraId="3349EA61">
      <w:pPr>
        <w:pStyle w:val="65"/>
        <w:spacing w:before="120" w:after="120" w:line="360" w:lineRule="auto"/>
      </w:pPr>
      <w:r>
        <w:rPr>
          <w:rFonts w:hint="eastAsia"/>
        </w:rPr>
        <w:t>备份与恢复</w:t>
      </w:r>
    </w:p>
    <w:p w14:paraId="71B33F9B">
      <w:pPr>
        <w:pStyle w:val="164"/>
        <w:spacing w:line="360" w:lineRule="auto"/>
      </w:pPr>
      <w:r>
        <w:rPr>
          <w:rFonts w:hint="eastAsia"/>
        </w:rPr>
        <w:t>重要数据应按规定实施备份。</w:t>
      </w:r>
    </w:p>
    <w:p w14:paraId="747578B6">
      <w:pPr>
        <w:pStyle w:val="164"/>
        <w:spacing w:line="360" w:lineRule="auto"/>
      </w:pPr>
      <w:r>
        <w:rPr>
          <w:rFonts w:hint="eastAsia"/>
        </w:rPr>
        <w:t>备份策略应明确备份范围、备份频率、备份介质、恢复要求和责任主体。</w:t>
      </w:r>
    </w:p>
    <w:p w14:paraId="25E056E1">
      <w:pPr>
        <w:pStyle w:val="164"/>
        <w:spacing w:line="360" w:lineRule="auto"/>
      </w:pPr>
      <w:r>
        <w:rPr>
          <w:rFonts w:hint="eastAsia"/>
        </w:rPr>
        <w:t>未经验证恢复能力的备份，不得视为有效备份。</w:t>
      </w:r>
    </w:p>
    <w:p w14:paraId="3E992A05">
      <w:pPr>
        <w:pStyle w:val="164"/>
        <w:numPr>
          <w:ilvl w:val="0"/>
          <w:numId w:val="0"/>
        </w:numPr>
        <w:spacing w:line="360" w:lineRule="auto"/>
      </w:pPr>
    </w:p>
    <w:p w14:paraId="73B5E01C">
      <w:pPr>
        <w:pStyle w:val="164"/>
        <w:numPr>
          <w:ilvl w:val="0"/>
          <w:numId w:val="0"/>
        </w:numPr>
        <w:spacing w:line="360" w:lineRule="auto"/>
      </w:pPr>
    </w:p>
    <w:p w14:paraId="29261852">
      <w:pPr>
        <w:pStyle w:val="164"/>
        <w:numPr>
          <w:ilvl w:val="0"/>
          <w:numId w:val="0"/>
        </w:numPr>
        <w:spacing w:line="360" w:lineRule="auto"/>
        <w:rPr>
          <w:rFonts w:hint="eastAsia"/>
        </w:rPr>
      </w:pPr>
    </w:p>
    <w:p w14:paraId="67296A4B">
      <w:pPr>
        <w:pStyle w:val="105"/>
        <w:spacing w:before="120" w:after="120" w:line="360" w:lineRule="auto"/>
      </w:pPr>
      <w:r>
        <w:rPr>
          <w:rFonts w:hint="eastAsia"/>
        </w:rPr>
        <w:t>数据加工与整合管理</w:t>
      </w:r>
    </w:p>
    <w:p w14:paraId="67F677CF">
      <w:pPr>
        <w:pStyle w:val="65"/>
        <w:spacing w:before="120" w:after="120" w:line="360" w:lineRule="auto"/>
      </w:pPr>
      <w:r>
        <w:rPr>
          <w:rFonts w:hint="eastAsia"/>
        </w:rPr>
        <w:t>一般要求</w:t>
      </w:r>
    </w:p>
    <w:p w14:paraId="62675EE4">
      <w:pPr>
        <w:pStyle w:val="164"/>
        <w:spacing w:line="360" w:lineRule="auto"/>
      </w:pPr>
      <w:r>
        <w:rPr>
          <w:rFonts w:hint="eastAsia"/>
        </w:rPr>
        <w:t>数据加工与整合应以业务需求和治理规则为依据实施。</w:t>
      </w:r>
    </w:p>
    <w:p w14:paraId="2C5328EE">
      <w:pPr>
        <w:pStyle w:val="164"/>
        <w:spacing w:line="360" w:lineRule="auto"/>
      </w:pPr>
      <w:r>
        <w:rPr>
          <w:rFonts w:hint="eastAsia"/>
        </w:rPr>
        <w:t>数据加工不得擅自改变原始数据含义、统计口径和责任边界。</w:t>
      </w:r>
    </w:p>
    <w:p w14:paraId="38EEF9F9">
      <w:pPr>
        <w:pStyle w:val="164"/>
        <w:spacing w:line="360" w:lineRule="auto"/>
      </w:pPr>
      <w:r>
        <w:rPr>
          <w:rFonts w:hint="eastAsia"/>
        </w:rPr>
        <w:t>数据加工结果应能追溯至原始数据来源、加工规则和责任主体。</w:t>
      </w:r>
    </w:p>
    <w:p w14:paraId="5690FD74">
      <w:pPr>
        <w:pStyle w:val="65"/>
        <w:spacing w:before="120" w:after="120" w:line="360" w:lineRule="auto"/>
      </w:pPr>
      <w:r>
        <w:rPr>
          <w:rFonts w:hint="eastAsia"/>
        </w:rPr>
        <w:t>加工要求</w:t>
      </w:r>
    </w:p>
    <w:p w14:paraId="39332FF9">
      <w:pPr>
        <w:pStyle w:val="164"/>
        <w:spacing w:line="360" w:lineRule="auto"/>
      </w:pPr>
      <w:r>
        <w:rPr>
          <w:rFonts w:hint="eastAsia"/>
        </w:rPr>
        <w:t>数据清洗、转换、计算、聚合、比对和标签化应按照统一规则实施。</w:t>
      </w:r>
    </w:p>
    <w:p w14:paraId="3430CA1C">
      <w:pPr>
        <w:pStyle w:val="164"/>
        <w:spacing w:line="360" w:lineRule="auto"/>
      </w:pPr>
      <w:r>
        <w:rPr>
          <w:rFonts w:hint="eastAsia"/>
        </w:rPr>
        <w:t>对经过加工形成的指标数据、主题数据和模型数据，应明确计算逻辑和更新规则。</w:t>
      </w:r>
    </w:p>
    <w:p w14:paraId="29106D76">
      <w:pPr>
        <w:pStyle w:val="164"/>
        <w:spacing w:line="360" w:lineRule="auto"/>
      </w:pPr>
      <w:r>
        <w:rPr>
          <w:rFonts w:hint="eastAsia"/>
        </w:rPr>
        <w:t>同一指标在不同平台和报表中应保持口径一致；确需差异展示的，应明确说明。</w:t>
      </w:r>
    </w:p>
    <w:p w14:paraId="299DEA2D">
      <w:pPr>
        <w:pStyle w:val="65"/>
        <w:spacing w:before="120" w:after="120" w:line="360" w:lineRule="auto"/>
      </w:pPr>
      <w:r>
        <w:rPr>
          <w:rFonts w:hint="eastAsia"/>
        </w:rPr>
        <w:t>整合要求</w:t>
      </w:r>
    </w:p>
    <w:p w14:paraId="304D8E75">
      <w:pPr>
        <w:pStyle w:val="164"/>
        <w:spacing w:line="360" w:lineRule="auto"/>
      </w:pPr>
      <w:r>
        <w:rPr>
          <w:rFonts w:hint="eastAsia"/>
        </w:rPr>
        <w:t>跨专业、跨系统数据整合时，应优先解决主数据一致性和时间基准一致性问题。</w:t>
      </w:r>
    </w:p>
    <w:p w14:paraId="18A956CC">
      <w:pPr>
        <w:pStyle w:val="164"/>
        <w:spacing w:line="360" w:lineRule="auto"/>
      </w:pPr>
      <w:r>
        <w:rPr>
          <w:rFonts w:hint="eastAsia"/>
        </w:rPr>
        <w:t>设备数据、人员数据、地点数据和业务事件数据整合时，应建立统一关联键。</w:t>
      </w:r>
    </w:p>
    <w:p w14:paraId="7523B9C7">
      <w:pPr>
        <w:pStyle w:val="164"/>
        <w:spacing w:line="360" w:lineRule="auto"/>
      </w:pPr>
      <w:r>
        <w:rPr>
          <w:rFonts w:hint="eastAsia"/>
        </w:rPr>
        <w:t>无法证明关联关系正确的数据，不得直接参与综合分析和资产评价。</w:t>
      </w:r>
    </w:p>
    <w:p w14:paraId="357EE775">
      <w:pPr>
        <w:pStyle w:val="105"/>
        <w:spacing w:before="120" w:after="120" w:line="360" w:lineRule="auto"/>
      </w:pPr>
      <w:r>
        <w:rPr>
          <w:rFonts w:hint="eastAsia"/>
        </w:rPr>
        <w:t>数据共享交换管理</w:t>
      </w:r>
    </w:p>
    <w:p w14:paraId="32423E7E">
      <w:pPr>
        <w:pStyle w:val="65"/>
        <w:spacing w:before="120" w:after="120" w:line="360" w:lineRule="auto"/>
      </w:pPr>
      <w:r>
        <w:rPr>
          <w:rFonts w:hint="eastAsia"/>
        </w:rPr>
        <w:t>一般要求</w:t>
      </w:r>
    </w:p>
    <w:p w14:paraId="47FFDAB2">
      <w:pPr>
        <w:pStyle w:val="164"/>
        <w:spacing w:line="360" w:lineRule="auto"/>
      </w:pPr>
      <w:r>
        <w:rPr>
          <w:rFonts w:hint="eastAsia"/>
        </w:rPr>
        <w:t>数据共享交换应在统一目录、统一标准和统一授权机制下开展。</w:t>
      </w:r>
    </w:p>
    <w:p w14:paraId="668A91AC">
      <w:pPr>
        <w:pStyle w:val="164"/>
        <w:spacing w:line="360" w:lineRule="auto"/>
      </w:pPr>
      <w:r>
        <w:rPr>
          <w:rFonts w:hint="eastAsia"/>
        </w:rPr>
        <w:t>数据共享交换应以满足业务协同、决策支持和管理优化为目标，不得无序扩散。</w:t>
      </w:r>
    </w:p>
    <w:p w14:paraId="37D3401C">
      <w:pPr>
        <w:pStyle w:val="164"/>
        <w:spacing w:line="360" w:lineRule="auto"/>
      </w:pPr>
      <w:r>
        <w:rPr>
          <w:rFonts w:hint="eastAsia"/>
        </w:rPr>
        <w:t>不同系统之间共享交换数据时，应明确共享范围、交换方式、更新频率和责任主体。</w:t>
      </w:r>
    </w:p>
    <w:p w14:paraId="0465D248">
      <w:pPr>
        <w:pStyle w:val="65"/>
        <w:spacing w:before="120" w:after="120" w:line="360" w:lineRule="auto"/>
      </w:pPr>
      <w:r>
        <w:rPr>
          <w:rFonts w:hint="eastAsia"/>
        </w:rPr>
        <w:t>共享要求</w:t>
      </w:r>
    </w:p>
    <w:p w14:paraId="3CF8265E">
      <w:pPr>
        <w:pStyle w:val="164"/>
        <w:spacing w:line="360" w:lineRule="auto"/>
      </w:pPr>
      <w:r>
        <w:rPr>
          <w:rFonts w:hint="eastAsia"/>
        </w:rPr>
        <w:t>共享数据应优先从统一数据服务接口或者统一数据平台提供。</w:t>
      </w:r>
    </w:p>
    <w:p w14:paraId="625ECD4D">
      <w:pPr>
        <w:pStyle w:val="164"/>
        <w:spacing w:line="360" w:lineRule="auto"/>
      </w:pPr>
      <w:r>
        <w:rPr>
          <w:rFonts w:hint="eastAsia"/>
        </w:rPr>
        <w:t>对关键业务共享数据，应建立共享申请、审批、调用、反馈和审计机制。</w:t>
      </w:r>
    </w:p>
    <w:p w14:paraId="4241FE0A">
      <w:pPr>
        <w:pStyle w:val="164"/>
        <w:spacing w:line="360" w:lineRule="auto"/>
      </w:pPr>
      <w:r>
        <w:rPr>
          <w:rFonts w:hint="eastAsia"/>
        </w:rPr>
        <w:t>共享数据的调用方不得擅自改变数据定义或者重新定义字段含义。</w:t>
      </w:r>
    </w:p>
    <w:p w14:paraId="5182AF63">
      <w:pPr>
        <w:pStyle w:val="65"/>
        <w:spacing w:before="120" w:after="120" w:line="360" w:lineRule="auto"/>
      </w:pPr>
      <w:r>
        <w:rPr>
          <w:rFonts w:hint="eastAsia"/>
        </w:rPr>
        <w:t>交换要求</w:t>
      </w:r>
    </w:p>
    <w:p w14:paraId="1BE02C10">
      <w:pPr>
        <w:pStyle w:val="164"/>
        <w:spacing w:line="360" w:lineRule="auto"/>
      </w:pPr>
      <w:r>
        <w:rPr>
          <w:rFonts w:hint="eastAsia"/>
        </w:rPr>
        <w:t>数据交换应按统一协议、统一字段和统一编码规则进行。</w:t>
      </w:r>
    </w:p>
    <w:p w14:paraId="6660B730">
      <w:pPr>
        <w:pStyle w:val="164"/>
        <w:spacing w:line="360" w:lineRule="auto"/>
      </w:pPr>
      <w:r>
        <w:rPr>
          <w:rFonts w:hint="eastAsia"/>
        </w:rPr>
        <w:t>交换失败、交换延迟、字段不匹配和数据冲突等问题应纳入交换异常管理。</w:t>
      </w:r>
    </w:p>
    <w:p w14:paraId="414509D7">
      <w:pPr>
        <w:pStyle w:val="164"/>
        <w:spacing w:line="360" w:lineRule="auto"/>
      </w:pPr>
      <w:r>
        <w:rPr>
          <w:rFonts w:hint="eastAsia"/>
        </w:rPr>
        <w:t>未经审批，不得通过临时表、离线文件或者非受控接口长期开展系统间数据交换。</w:t>
      </w:r>
    </w:p>
    <w:p w14:paraId="78771424">
      <w:pPr>
        <w:pStyle w:val="164"/>
        <w:numPr>
          <w:ilvl w:val="0"/>
          <w:numId w:val="0"/>
        </w:numPr>
        <w:spacing w:line="360" w:lineRule="auto"/>
      </w:pPr>
    </w:p>
    <w:p w14:paraId="7A9F48E0">
      <w:pPr>
        <w:pStyle w:val="164"/>
        <w:numPr>
          <w:ilvl w:val="0"/>
          <w:numId w:val="0"/>
        </w:numPr>
        <w:spacing w:line="360" w:lineRule="auto"/>
      </w:pPr>
    </w:p>
    <w:p w14:paraId="017AEC57">
      <w:pPr>
        <w:pStyle w:val="164"/>
        <w:numPr>
          <w:ilvl w:val="0"/>
          <w:numId w:val="0"/>
        </w:numPr>
        <w:spacing w:line="360" w:lineRule="auto"/>
        <w:rPr>
          <w:rFonts w:hint="eastAsia"/>
        </w:rPr>
      </w:pPr>
    </w:p>
    <w:p w14:paraId="27390507">
      <w:pPr>
        <w:pStyle w:val="105"/>
        <w:spacing w:before="120" w:after="120" w:line="360" w:lineRule="auto"/>
      </w:pPr>
      <w:r>
        <w:rPr>
          <w:rFonts w:hint="eastAsia"/>
        </w:rPr>
        <w:t>数据资源台账与变更管理</w:t>
      </w:r>
    </w:p>
    <w:p w14:paraId="1B031BAA">
      <w:pPr>
        <w:pStyle w:val="65"/>
        <w:spacing w:before="120" w:after="120" w:line="360" w:lineRule="auto"/>
      </w:pPr>
      <w:r>
        <w:rPr>
          <w:rFonts w:hint="eastAsia"/>
        </w:rPr>
        <w:t>台账管理</w:t>
      </w:r>
    </w:p>
    <w:p w14:paraId="48AAF3D7">
      <w:pPr>
        <w:pStyle w:val="164"/>
        <w:spacing w:line="360" w:lineRule="auto"/>
      </w:pPr>
      <w:r>
        <w:rPr>
          <w:rFonts w:hint="eastAsia"/>
        </w:rPr>
        <w:t>煤矿企业应建立数据资源台账。</w:t>
      </w:r>
    </w:p>
    <w:p w14:paraId="39B384BC">
      <w:pPr>
        <w:pStyle w:val="164"/>
        <w:spacing w:line="360" w:lineRule="auto"/>
      </w:pPr>
      <w:r>
        <w:rPr>
          <w:rFonts w:hint="eastAsia"/>
        </w:rPr>
        <w:t>数据资源台账应至少包括下列内容：</w:t>
      </w:r>
    </w:p>
    <w:p w14:paraId="2A207D0C">
      <w:pPr>
        <w:pStyle w:val="56"/>
        <w:spacing w:line="360" w:lineRule="auto"/>
        <w:ind w:firstLine="420"/>
      </w:pPr>
      <w:r>
        <w:rPr>
          <w:rFonts w:hint="eastAsia"/>
        </w:rPr>
        <w:t>a）数据名称；</w:t>
      </w:r>
    </w:p>
    <w:p w14:paraId="3B6A004A">
      <w:pPr>
        <w:pStyle w:val="56"/>
        <w:spacing w:line="360" w:lineRule="auto"/>
        <w:ind w:firstLine="420"/>
      </w:pPr>
      <w:r>
        <w:rPr>
          <w:rFonts w:hint="eastAsia"/>
        </w:rPr>
        <w:t>b）数据编码；</w:t>
      </w:r>
    </w:p>
    <w:p w14:paraId="6C99E2EF">
      <w:pPr>
        <w:pStyle w:val="56"/>
        <w:spacing w:line="360" w:lineRule="auto"/>
        <w:ind w:firstLine="420"/>
      </w:pPr>
      <w:r>
        <w:rPr>
          <w:rFonts w:hint="eastAsia"/>
        </w:rPr>
        <w:t>c）来源系统；</w:t>
      </w:r>
    </w:p>
    <w:p w14:paraId="66A3D2AC">
      <w:pPr>
        <w:pStyle w:val="56"/>
        <w:spacing w:line="360" w:lineRule="auto"/>
        <w:ind w:firstLine="420"/>
      </w:pPr>
      <w:r>
        <w:rPr>
          <w:rFonts w:hint="eastAsia"/>
        </w:rPr>
        <w:t>d）来源设备或者业务环节；</w:t>
      </w:r>
    </w:p>
    <w:p w14:paraId="35D60766">
      <w:pPr>
        <w:pStyle w:val="56"/>
        <w:spacing w:line="360" w:lineRule="auto"/>
        <w:ind w:firstLine="420"/>
      </w:pPr>
      <w:r>
        <w:rPr>
          <w:rFonts w:hint="eastAsia"/>
        </w:rPr>
        <w:t>e）数据责任主体；</w:t>
      </w:r>
    </w:p>
    <w:p w14:paraId="6EE691A5">
      <w:pPr>
        <w:pStyle w:val="56"/>
        <w:spacing w:line="360" w:lineRule="auto"/>
        <w:ind w:firstLine="420"/>
      </w:pPr>
      <w:r>
        <w:rPr>
          <w:rFonts w:hint="eastAsia"/>
        </w:rPr>
        <w:t>f）更新频率；</w:t>
      </w:r>
    </w:p>
    <w:p w14:paraId="1E6E4C9F">
      <w:pPr>
        <w:pStyle w:val="56"/>
        <w:spacing w:line="360" w:lineRule="auto"/>
        <w:ind w:firstLine="420"/>
      </w:pPr>
      <w:r>
        <w:rPr>
          <w:rFonts w:hint="eastAsia"/>
        </w:rPr>
        <w:t>g）存储位置；</w:t>
      </w:r>
    </w:p>
    <w:p w14:paraId="087E35F9">
      <w:pPr>
        <w:pStyle w:val="56"/>
        <w:spacing w:line="360" w:lineRule="auto"/>
        <w:ind w:firstLine="420"/>
      </w:pPr>
      <w:r>
        <w:rPr>
          <w:rFonts w:hint="eastAsia"/>
        </w:rPr>
        <w:t>h）共享状态；</w:t>
      </w:r>
    </w:p>
    <w:p w14:paraId="6CE94C80">
      <w:pPr>
        <w:pStyle w:val="56"/>
        <w:spacing w:line="360" w:lineRule="auto"/>
        <w:ind w:firstLine="420"/>
      </w:pPr>
      <w:r>
        <w:rPr>
          <w:rFonts w:hint="eastAsia"/>
        </w:rPr>
        <w:t>i）质量状态；</w:t>
      </w:r>
    </w:p>
    <w:p w14:paraId="6382F408">
      <w:pPr>
        <w:pStyle w:val="56"/>
        <w:spacing w:line="360" w:lineRule="auto"/>
        <w:ind w:firstLine="420"/>
      </w:pPr>
      <w:r>
        <w:rPr>
          <w:rFonts w:hint="eastAsia"/>
        </w:rPr>
        <w:t>j）资产状态。</w:t>
      </w:r>
    </w:p>
    <w:p w14:paraId="61603CCA">
      <w:pPr>
        <w:pStyle w:val="164"/>
        <w:spacing w:line="360" w:lineRule="auto"/>
      </w:pPr>
      <w:r>
        <w:rPr>
          <w:rFonts w:hint="eastAsia"/>
        </w:rPr>
        <w:t>数据资源台账应与数据目录保持一致，并动态更新。</w:t>
      </w:r>
    </w:p>
    <w:p w14:paraId="27C13E06">
      <w:pPr>
        <w:pStyle w:val="65"/>
        <w:spacing w:before="120" w:after="120" w:line="360" w:lineRule="auto"/>
      </w:pPr>
      <w:r>
        <w:rPr>
          <w:rFonts w:hint="eastAsia"/>
        </w:rPr>
        <w:t>变更管理</w:t>
      </w:r>
    </w:p>
    <w:p w14:paraId="1AC479BE">
      <w:pPr>
        <w:pStyle w:val="164"/>
        <w:spacing w:line="360" w:lineRule="auto"/>
      </w:pPr>
      <w:r>
        <w:rPr>
          <w:rFonts w:hint="eastAsia"/>
        </w:rPr>
        <w:t>数据资源新增、变更、合并、拆分、停用和退出，应纳入变更管理。</w:t>
      </w:r>
    </w:p>
    <w:p w14:paraId="72C6E889">
      <w:pPr>
        <w:pStyle w:val="164"/>
        <w:spacing w:line="360" w:lineRule="auto"/>
      </w:pPr>
      <w:r>
        <w:rPr>
          <w:rFonts w:hint="eastAsia"/>
        </w:rPr>
        <w:t>变更管理应明确变更原因、变更内容、影响范围、实施时间和责任主体。</w:t>
      </w:r>
    </w:p>
    <w:p w14:paraId="7BAB4591">
      <w:pPr>
        <w:pStyle w:val="164"/>
        <w:spacing w:line="360" w:lineRule="auto"/>
      </w:pPr>
      <w:r>
        <w:rPr>
          <w:rFonts w:hint="eastAsia"/>
        </w:rPr>
        <w:t>涉及主数据、关键接口、关键指标和重点资产目录的数据变更，应进行影响评估。</w:t>
      </w:r>
    </w:p>
    <w:p w14:paraId="26CF1185">
      <w:pPr>
        <w:pStyle w:val="164"/>
        <w:spacing w:line="360" w:lineRule="auto"/>
      </w:pPr>
      <w:r>
        <w:rPr>
          <w:rFonts w:hint="eastAsia"/>
        </w:rPr>
        <w:t>未经确认的数据变更，不得直接上线使用。</w:t>
      </w:r>
    </w:p>
    <w:p w14:paraId="5AAA52C1">
      <w:pPr>
        <w:pStyle w:val="105"/>
        <w:spacing w:before="120" w:after="120" w:line="360" w:lineRule="auto"/>
      </w:pPr>
      <w:r>
        <w:rPr>
          <w:rFonts w:hint="eastAsia"/>
        </w:rPr>
        <w:t>禁止性要求</w:t>
      </w:r>
    </w:p>
    <w:p w14:paraId="4A7E42B0">
      <w:pPr>
        <w:pStyle w:val="165"/>
        <w:spacing w:line="360" w:lineRule="auto"/>
      </w:pPr>
      <w:r>
        <w:rPr>
          <w:rFonts w:hint="eastAsia"/>
        </w:rPr>
        <w:t>不得重复建设同类采集接口而不建立统一管理关系。</w:t>
      </w:r>
    </w:p>
    <w:p w14:paraId="3FB8C891">
      <w:pPr>
        <w:pStyle w:val="165"/>
        <w:spacing w:line="360" w:lineRule="auto"/>
      </w:pPr>
      <w:r>
        <w:rPr>
          <w:rFonts w:hint="eastAsia"/>
        </w:rPr>
        <w:t>不得长期保留来源不明、责任不清和口径不明的数据进入核心平台。</w:t>
      </w:r>
    </w:p>
    <w:p w14:paraId="41070C6C">
      <w:pPr>
        <w:pStyle w:val="165"/>
        <w:spacing w:line="360" w:lineRule="auto"/>
      </w:pPr>
      <w:r>
        <w:rPr>
          <w:rFonts w:hint="eastAsia"/>
        </w:rPr>
        <w:t>不得在未建立映射关系的情况下直接整合不同系统的同名异义或者异名同义数据。</w:t>
      </w:r>
    </w:p>
    <w:p w14:paraId="7B928D58">
      <w:pPr>
        <w:pStyle w:val="165"/>
        <w:spacing w:line="360" w:lineRule="auto"/>
      </w:pPr>
      <w:r>
        <w:rPr>
          <w:rFonts w:hint="eastAsia"/>
        </w:rPr>
        <w:t>不得将未经质量校验的数据直接用于重点预警、自动控制和经营决策。</w:t>
      </w:r>
    </w:p>
    <w:p w14:paraId="42DD835A">
      <w:pPr>
        <w:pStyle w:val="165"/>
        <w:spacing w:line="360" w:lineRule="auto"/>
      </w:pPr>
      <w:r>
        <w:rPr>
          <w:rFonts w:hint="eastAsia"/>
        </w:rPr>
        <w:t>不得以数据资源集中存储替代数据责任落实和标准落实。</w:t>
      </w:r>
    </w:p>
    <w:p w14:paraId="2AC50AF0">
      <w:pPr>
        <w:pStyle w:val="104"/>
        <w:spacing w:before="240" w:after="240" w:line="360" w:lineRule="auto"/>
      </w:pPr>
      <w:bookmarkStart w:id="54" w:name="_Toc228568757"/>
      <w:r>
        <w:rPr>
          <w:rFonts w:hint="eastAsia"/>
        </w:rPr>
        <w:t>数据质量管理</w:t>
      </w:r>
      <w:bookmarkEnd w:id="54"/>
    </w:p>
    <w:p w14:paraId="2178A532">
      <w:pPr>
        <w:pStyle w:val="105"/>
        <w:spacing w:before="120" w:after="120" w:line="360" w:lineRule="auto"/>
      </w:pPr>
      <w:r>
        <w:rPr>
          <w:rFonts w:hint="eastAsia"/>
        </w:rPr>
        <w:t>一般规定</w:t>
      </w:r>
    </w:p>
    <w:p w14:paraId="688A79DF">
      <w:pPr>
        <w:pStyle w:val="165"/>
        <w:spacing w:line="360" w:lineRule="auto"/>
      </w:pPr>
      <w:r>
        <w:rPr>
          <w:rFonts w:hint="eastAsia"/>
        </w:rPr>
        <w:t>煤矿智能化系统应建立数据质量管理机制。</w:t>
      </w:r>
    </w:p>
    <w:p w14:paraId="758E9366">
      <w:pPr>
        <w:pStyle w:val="165"/>
        <w:spacing w:line="360" w:lineRule="auto"/>
      </w:pPr>
      <w:r>
        <w:rPr>
          <w:rFonts w:hint="eastAsia"/>
        </w:rPr>
        <w:t>数据质量管理应贯穿数据采集、传输、汇聚、加工、共享和应用全过程。</w:t>
      </w:r>
    </w:p>
    <w:p w14:paraId="6443FECB">
      <w:pPr>
        <w:pStyle w:val="165"/>
        <w:spacing w:line="360" w:lineRule="auto"/>
      </w:pPr>
      <w:r>
        <w:rPr>
          <w:rFonts w:hint="eastAsia"/>
        </w:rPr>
        <w:t>数据质量管理应遵循规则统一、分级控制、源头治理、持续监测和闭环整改的原则。</w:t>
      </w:r>
    </w:p>
    <w:p w14:paraId="55B6B781">
      <w:pPr>
        <w:pStyle w:val="165"/>
        <w:spacing w:line="360" w:lineRule="auto"/>
      </w:pPr>
      <w:r>
        <w:rPr>
          <w:rFonts w:hint="eastAsia"/>
        </w:rPr>
        <w:t>对用于安全生产、自动控制、灾害预警、设备保护和重要经营分析的数据，应实施重点质量管理。</w:t>
      </w:r>
    </w:p>
    <w:p w14:paraId="7B08C459">
      <w:pPr>
        <w:pStyle w:val="165"/>
        <w:spacing w:line="360" w:lineRule="auto"/>
      </w:pPr>
      <w:r>
        <w:rPr>
          <w:rFonts w:hint="eastAsia"/>
        </w:rPr>
        <w:t>数据质量不满足使用要求的，不得直接作为重要控制、预警或者决策依据。</w:t>
      </w:r>
    </w:p>
    <w:p w14:paraId="293510BA">
      <w:pPr>
        <w:pStyle w:val="105"/>
        <w:spacing w:before="120" w:after="120" w:line="360" w:lineRule="auto"/>
      </w:pPr>
      <w:r>
        <w:rPr>
          <w:rFonts w:hint="eastAsia"/>
        </w:rPr>
        <w:t>数据质量管理目标</w:t>
      </w:r>
    </w:p>
    <w:p w14:paraId="7A9E00E9">
      <w:pPr>
        <w:pStyle w:val="165"/>
        <w:spacing w:line="360" w:lineRule="auto"/>
      </w:pPr>
      <w:r>
        <w:rPr>
          <w:rFonts w:hint="eastAsia"/>
        </w:rPr>
        <w:t>数据质量管理应重点控制完整性、准确性、一致性、及时性、唯一性、规范性、可用性和可追溯性。</w:t>
      </w:r>
    </w:p>
    <w:p w14:paraId="02A4AC80">
      <w:pPr>
        <w:pStyle w:val="165"/>
        <w:spacing w:line="360" w:lineRule="auto"/>
      </w:pPr>
      <w:r>
        <w:rPr>
          <w:rFonts w:hint="eastAsia"/>
        </w:rPr>
        <w:t>不同类型数据应根据业务特点设定不同质量目标。</w:t>
      </w:r>
    </w:p>
    <w:p w14:paraId="29CD8482">
      <w:pPr>
        <w:pStyle w:val="165"/>
        <w:spacing w:line="360" w:lineRule="auto"/>
      </w:pPr>
      <w:r>
        <w:rPr>
          <w:rFonts w:hint="eastAsia"/>
        </w:rPr>
        <w:t>关键业务数据应明确质量阈值、校验频率和异常处置时限。</w:t>
      </w:r>
    </w:p>
    <w:p w14:paraId="73426F62">
      <w:pPr>
        <w:pStyle w:val="105"/>
        <w:spacing w:before="120" w:after="120" w:line="360" w:lineRule="auto"/>
      </w:pPr>
      <w:r>
        <w:rPr>
          <w:rFonts w:hint="eastAsia"/>
        </w:rPr>
        <w:t>数据质量规则</w:t>
      </w:r>
    </w:p>
    <w:p w14:paraId="47AA9DF8">
      <w:pPr>
        <w:pStyle w:val="65"/>
        <w:spacing w:before="120" w:after="120" w:line="360" w:lineRule="auto"/>
      </w:pPr>
      <w:r>
        <w:rPr>
          <w:rFonts w:hint="eastAsia"/>
        </w:rPr>
        <w:t>一般要求</w:t>
      </w:r>
    </w:p>
    <w:p w14:paraId="447E5796">
      <w:pPr>
        <w:pStyle w:val="164"/>
        <w:spacing w:line="360" w:lineRule="auto"/>
      </w:pPr>
      <w:r>
        <w:rPr>
          <w:rFonts w:hint="eastAsia"/>
        </w:rPr>
        <w:t>煤矿企业应为重点数据建立质量规则。</w:t>
      </w:r>
    </w:p>
    <w:p w14:paraId="2AD76CEF">
      <w:pPr>
        <w:pStyle w:val="164"/>
        <w:spacing w:line="360" w:lineRule="auto"/>
      </w:pPr>
      <w:r>
        <w:rPr>
          <w:rFonts w:hint="eastAsia"/>
        </w:rPr>
        <w:t>质量规则应与数据标准、业务逻辑和系统逻辑相一致。</w:t>
      </w:r>
    </w:p>
    <w:p w14:paraId="73B9BE6A">
      <w:pPr>
        <w:pStyle w:val="164"/>
        <w:spacing w:line="360" w:lineRule="auto"/>
      </w:pPr>
      <w:r>
        <w:rPr>
          <w:rFonts w:hint="eastAsia"/>
        </w:rPr>
        <w:t>质量规则应可执行、可校验、可追踪，不得仅作原则性规定。</w:t>
      </w:r>
    </w:p>
    <w:p w14:paraId="7CA4F300">
      <w:pPr>
        <w:pStyle w:val="65"/>
        <w:spacing w:before="120" w:after="120" w:line="360" w:lineRule="auto"/>
      </w:pPr>
      <w:r>
        <w:rPr>
          <w:rFonts w:hint="eastAsia"/>
        </w:rPr>
        <w:t>规则内容</w:t>
      </w:r>
    </w:p>
    <w:p w14:paraId="4F1C032F">
      <w:pPr>
        <w:pStyle w:val="164"/>
        <w:spacing w:line="360" w:lineRule="auto"/>
      </w:pPr>
      <w:r>
        <w:rPr>
          <w:rFonts w:hint="eastAsia"/>
        </w:rPr>
        <w:t>数据质量规则宜包括下列内容：</w:t>
      </w:r>
    </w:p>
    <w:p w14:paraId="6906E700">
      <w:pPr>
        <w:pStyle w:val="56"/>
        <w:spacing w:line="360" w:lineRule="auto"/>
        <w:ind w:firstLine="420"/>
      </w:pPr>
      <w:r>
        <w:rPr>
          <w:rFonts w:hint="eastAsia"/>
        </w:rPr>
        <w:t>a）字段完整性规则；</w:t>
      </w:r>
    </w:p>
    <w:p w14:paraId="48D8D420">
      <w:pPr>
        <w:pStyle w:val="56"/>
        <w:spacing w:line="360" w:lineRule="auto"/>
        <w:ind w:firstLine="420"/>
      </w:pPr>
      <w:r>
        <w:rPr>
          <w:rFonts w:hint="eastAsia"/>
        </w:rPr>
        <w:t>b）值域合理性规则；</w:t>
      </w:r>
    </w:p>
    <w:p w14:paraId="414EA365">
      <w:pPr>
        <w:pStyle w:val="56"/>
        <w:spacing w:line="360" w:lineRule="auto"/>
        <w:ind w:firstLine="420"/>
      </w:pPr>
      <w:r>
        <w:rPr>
          <w:rFonts w:hint="eastAsia"/>
        </w:rPr>
        <w:t>c）时间连续性规则；</w:t>
      </w:r>
    </w:p>
    <w:p w14:paraId="00DF3662">
      <w:pPr>
        <w:pStyle w:val="56"/>
        <w:spacing w:line="360" w:lineRule="auto"/>
        <w:ind w:firstLine="420"/>
      </w:pPr>
      <w:r>
        <w:rPr>
          <w:rFonts w:hint="eastAsia"/>
        </w:rPr>
        <w:t>d）编码规范性规则；</w:t>
      </w:r>
    </w:p>
    <w:p w14:paraId="0E35F52B">
      <w:pPr>
        <w:pStyle w:val="56"/>
        <w:spacing w:line="360" w:lineRule="auto"/>
        <w:ind w:firstLine="420"/>
      </w:pPr>
      <w:r>
        <w:rPr>
          <w:rFonts w:hint="eastAsia"/>
        </w:rPr>
        <w:t>e）跨系统一致性规则；</w:t>
      </w:r>
    </w:p>
    <w:p w14:paraId="470B2280">
      <w:pPr>
        <w:pStyle w:val="56"/>
        <w:spacing w:line="360" w:lineRule="auto"/>
        <w:ind w:firstLine="420"/>
      </w:pPr>
      <w:r>
        <w:rPr>
          <w:rFonts w:hint="eastAsia"/>
        </w:rPr>
        <w:t>f）重复性规则；</w:t>
      </w:r>
    </w:p>
    <w:p w14:paraId="11377077">
      <w:pPr>
        <w:pStyle w:val="56"/>
        <w:spacing w:line="360" w:lineRule="auto"/>
        <w:ind w:firstLine="420"/>
      </w:pPr>
      <w:r>
        <w:rPr>
          <w:rFonts w:hint="eastAsia"/>
        </w:rPr>
        <w:t>g）逻辑关系规则；</w:t>
      </w:r>
    </w:p>
    <w:p w14:paraId="16E24CDD">
      <w:pPr>
        <w:pStyle w:val="56"/>
        <w:spacing w:line="360" w:lineRule="auto"/>
        <w:ind w:firstLine="420"/>
      </w:pPr>
      <w:r>
        <w:rPr>
          <w:rFonts w:hint="eastAsia"/>
        </w:rPr>
        <w:t>h）更新及时性规则；</w:t>
      </w:r>
    </w:p>
    <w:p w14:paraId="02AB86A4">
      <w:pPr>
        <w:pStyle w:val="56"/>
        <w:spacing w:line="360" w:lineRule="auto"/>
        <w:ind w:firstLine="420"/>
      </w:pPr>
      <w:r>
        <w:rPr>
          <w:rFonts w:hint="eastAsia"/>
        </w:rPr>
        <w:t>i）异常波动规则；</w:t>
      </w:r>
    </w:p>
    <w:p w14:paraId="70DE0A7E">
      <w:pPr>
        <w:pStyle w:val="56"/>
        <w:spacing w:line="360" w:lineRule="auto"/>
        <w:ind w:firstLine="420"/>
      </w:pPr>
      <w:r>
        <w:rPr>
          <w:rFonts w:hint="eastAsia"/>
        </w:rPr>
        <w:t>j）引用关系完整性规则。</w:t>
      </w:r>
    </w:p>
    <w:p w14:paraId="2FABF026">
      <w:pPr>
        <w:pStyle w:val="56"/>
        <w:spacing w:line="360" w:lineRule="auto"/>
        <w:ind w:firstLine="420"/>
      </w:pPr>
      <w:r>
        <w:rPr>
          <w:rFonts w:hint="eastAsia"/>
        </w:rPr>
        <w:t>对报警数据、监测数据、状态数据和控制数据，应设置专项质量规则。</w:t>
      </w:r>
    </w:p>
    <w:p w14:paraId="6D7D16A6">
      <w:pPr>
        <w:pStyle w:val="105"/>
        <w:spacing w:before="120" w:after="120" w:line="360" w:lineRule="auto"/>
      </w:pPr>
      <w:r>
        <w:rPr>
          <w:rFonts w:hint="eastAsia"/>
        </w:rPr>
        <w:t>数据质量控制点</w:t>
      </w:r>
    </w:p>
    <w:p w14:paraId="1E7FE874">
      <w:pPr>
        <w:pStyle w:val="65"/>
        <w:spacing w:before="120" w:after="120" w:line="360" w:lineRule="auto"/>
      </w:pPr>
      <w:r>
        <w:rPr>
          <w:rFonts w:hint="eastAsia"/>
        </w:rPr>
        <w:t>采集环节</w:t>
      </w:r>
    </w:p>
    <w:p w14:paraId="67AE27FF">
      <w:pPr>
        <w:pStyle w:val="164"/>
        <w:spacing w:line="360" w:lineRule="auto"/>
      </w:pPr>
      <w:r>
        <w:rPr>
          <w:rFonts w:hint="eastAsia"/>
        </w:rPr>
        <w:t>采集环节应重点控制采集点有效性、时间同步性、采集值合理性和采集连续性。</w:t>
      </w:r>
    </w:p>
    <w:p w14:paraId="269331F9">
      <w:pPr>
        <w:pStyle w:val="164"/>
        <w:spacing w:line="360" w:lineRule="auto"/>
      </w:pPr>
      <w:r>
        <w:rPr>
          <w:rFonts w:hint="eastAsia"/>
        </w:rPr>
        <w:t>传感器失效、点位错误、量程设置错误或者采集频率异常导致的数据质量问题，应优先在源头整改。</w:t>
      </w:r>
    </w:p>
    <w:p w14:paraId="71887913">
      <w:pPr>
        <w:pStyle w:val="65"/>
        <w:spacing w:before="120" w:after="120" w:line="360" w:lineRule="auto"/>
      </w:pPr>
      <w:r>
        <w:rPr>
          <w:rFonts w:hint="eastAsia"/>
        </w:rPr>
        <w:t>传输环节</w:t>
      </w:r>
    </w:p>
    <w:p w14:paraId="7279E21C">
      <w:pPr>
        <w:pStyle w:val="164"/>
        <w:spacing w:line="360" w:lineRule="auto"/>
      </w:pPr>
      <w:r>
        <w:rPr>
          <w:rFonts w:hint="eastAsia"/>
        </w:rPr>
        <w:t>传输环节应重点控制丢包、延迟、重复发送、字段缺失和时间错位问题。</w:t>
      </w:r>
    </w:p>
    <w:p w14:paraId="7869FB2B">
      <w:pPr>
        <w:pStyle w:val="164"/>
        <w:spacing w:line="360" w:lineRule="auto"/>
      </w:pPr>
      <w:r>
        <w:rPr>
          <w:rFonts w:hint="eastAsia"/>
        </w:rPr>
        <w:t>对关键实时数据，应建立传输链路状态监测机制。</w:t>
      </w:r>
    </w:p>
    <w:p w14:paraId="62D52CFB">
      <w:pPr>
        <w:pStyle w:val="65"/>
        <w:spacing w:before="120" w:after="120" w:line="360" w:lineRule="auto"/>
      </w:pPr>
      <w:r>
        <w:rPr>
          <w:rFonts w:hint="eastAsia"/>
        </w:rPr>
        <w:t>汇聚环节</w:t>
      </w:r>
    </w:p>
    <w:p w14:paraId="4B8080FA">
      <w:pPr>
        <w:pStyle w:val="164"/>
        <w:spacing w:line="360" w:lineRule="auto"/>
      </w:pPr>
      <w:r>
        <w:rPr>
          <w:rFonts w:hint="eastAsia"/>
        </w:rPr>
        <w:t>汇聚环节应重点控制字段映射错误、编码冲突、主外键失联和主源辅源混乱问题。</w:t>
      </w:r>
    </w:p>
    <w:p w14:paraId="1BB1898F">
      <w:pPr>
        <w:pStyle w:val="164"/>
        <w:spacing w:line="360" w:lineRule="auto"/>
      </w:pPr>
      <w:r>
        <w:rPr>
          <w:rFonts w:hint="eastAsia"/>
        </w:rPr>
        <w:t>汇聚后的综合数据集应进行一致性校验和重复性校验。</w:t>
      </w:r>
    </w:p>
    <w:p w14:paraId="116838F3">
      <w:pPr>
        <w:pStyle w:val="65"/>
        <w:spacing w:before="120" w:after="120" w:line="360" w:lineRule="auto"/>
      </w:pPr>
      <w:r>
        <w:rPr>
          <w:rFonts w:hint="eastAsia"/>
        </w:rPr>
        <w:t>加工环节</w:t>
      </w:r>
    </w:p>
    <w:p w14:paraId="2D248023">
      <w:pPr>
        <w:pStyle w:val="164"/>
        <w:spacing w:line="360" w:lineRule="auto"/>
      </w:pPr>
      <w:r>
        <w:rPr>
          <w:rFonts w:hint="eastAsia"/>
        </w:rPr>
        <w:t>加工环节应重点控制口径偏差、计算错误、规则失效、逻辑冲突和版本混乱问题。</w:t>
      </w:r>
    </w:p>
    <w:p w14:paraId="01B8906E">
      <w:pPr>
        <w:pStyle w:val="164"/>
        <w:spacing w:line="360" w:lineRule="auto"/>
      </w:pPr>
      <w:r>
        <w:rPr>
          <w:rFonts w:hint="eastAsia"/>
        </w:rPr>
        <w:t>关键指标加工结果应可逆向追溯到原始数据和加工逻辑。</w:t>
      </w:r>
    </w:p>
    <w:p w14:paraId="55388561">
      <w:pPr>
        <w:pStyle w:val="65"/>
        <w:spacing w:before="120" w:after="120" w:line="360" w:lineRule="auto"/>
      </w:pPr>
      <w:r>
        <w:rPr>
          <w:rFonts w:hint="eastAsia"/>
        </w:rPr>
        <w:t>共享应用环节</w:t>
      </w:r>
    </w:p>
    <w:p w14:paraId="64B34483">
      <w:pPr>
        <w:pStyle w:val="164"/>
        <w:spacing w:line="360" w:lineRule="auto"/>
      </w:pPr>
      <w:r>
        <w:rPr>
          <w:rFonts w:hint="eastAsia"/>
        </w:rPr>
        <w:t>共享应用环节应重点控制调用数据版本不一致、共享时滞、口径误用和使用边界不清问题。</w:t>
      </w:r>
    </w:p>
    <w:p w14:paraId="7020099C">
      <w:pPr>
        <w:pStyle w:val="164"/>
        <w:spacing w:line="360" w:lineRule="auto"/>
      </w:pPr>
      <w:r>
        <w:rPr>
          <w:rFonts w:hint="eastAsia"/>
        </w:rPr>
        <w:t>重点共享数据应建立使用反馈机制。</w:t>
      </w:r>
    </w:p>
    <w:p w14:paraId="54F428F4">
      <w:pPr>
        <w:pStyle w:val="105"/>
        <w:spacing w:before="120" w:after="120" w:line="360" w:lineRule="auto"/>
      </w:pPr>
      <w:r>
        <w:rPr>
          <w:rFonts w:hint="eastAsia"/>
        </w:rPr>
        <w:t>数据质量监测</w:t>
      </w:r>
    </w:p>
    <w:p w14:paraId="43ADDCEB">
      <w:pPr>
        <w:pStyle w:val="65"/>
        <w:spacing w:before="120" w:after="120" w:line="360" w:lineRule="auto"/>
      </w:pPr>
      <w:r>
        <w:rPr>
          <w:rFonts w:hint="eastAsia"/>
        </w:rPr>
        <w:t>一般要求</w:t>
      </w:r>
    </w:p>
    <w:p w14:paraId="3DF99514">
      <w:pPr>
        <w:pStyle w:val="164"/>
        <w:spacing w:line="360" w:lineRule="auto"/>
      </w:pPr>
      <w:r>
        <w:rPr>
          <w:rFonts w:hint="eastAsia"/>
        </w:rPr>
        <w:t>煤矿企业应建立数据质量监测机制。</w:t>
      </w:r>
    </w:p>
    <w:p w14:paraId="605624E5">
      <w:pPr>
        <w:pStyle w:val="164"/>
        <w:spacing w:line="360" w:lineRule="auto"/>
      </w:pPr>
      <w:r>
        <w:rPr>
          <w:rFonts w:hint="eastAsia"/>
        </w:rPr>
        <w:t>数据质量监测可采用规则校验、抽样核查、趋势分析、人工复核和自动告警等方式实施。</w:t>
      </w:r>
    </w:p>
    <w:p w14:paraId="1815D60D">
      <w:pPr>
        <w:pStyle w:val="164"/>
        <w:spacing w:line="360" w:lineRule="auto"/>
      </w:pPr>
      <w:r>
        <w:rPr>
          <w:rFonts w:hint="eastAsia"/>
        </w:rPr>
        <w:t>对关键数据应建立常态化监测机制，不得仅在问题发生后被动检查。</w:t>
      </w:r>
    </w:p>
    <w:p w14:paraId="4D4AB46A">
      <w:pPr>
        <w:pStyle w:val="65"/>
        <w:spacing w:before="120" w:after="120" w:line="360" w:lineRule="auto"/>
      </w:pPr>
      <w:r>
        <w:rPr>
          <w:rFonts w:hint="eastAsia"/>
        </w:rPr>
        <w:t>监测内容</w:t>
      </w:r>
    </w:p>
    <w:p w14:paraId="5DB84894">
      <w:pPr>
        <w:pStyle w:val="164"/>
        <w:spacing w:line="360" w:lineRule="auto"/>
      </w:pPr>
      <w:r>
        <w:rPr>
          <w:rFonts w:hint="eastAsia"/>
        </w:rPr>
        <w:t>数据质量监测宜包括下列内容：</w:t>
      </w:r>
    </w:p>
    <w:p w14:paraId="0B6D7B81">
      <w:pPr>
        <w:pStyle w:val="56"/>
        <w:spacing w:line="360" w:lineRule="auto"/>
        <w:ind w:firstLine="420"/>
      </w:pPr>
      <w:r>
        <w:rPr>
          <w:rFonts w:hint="eastAsia"/>
        </w:rPr>
        <w:t>a）字段缺失率；</w:t>
      </w:r>
    </w:p>
    <w:p w14:paraId="0227C641">
      <w:pPr>
        <w:pStyle w:val="56"/>
        <w:spacing w:line="360" w:lineRule="auto"/>
        <w:ind w:firstLine="420"/>
      </w:pPr>
      <w:r>
        <w:rPr>
          <w:rFonts w:hint="eastAsia"/>
        </w:rPr>
        <w:t>b）异常值比例；</w:t>
      </w:r>
    </w:p>
    <w:p w14:paraId="4AED5C8B">
      <w:pPr>
        <w:pStyle w:val="56"/>
        <w:spacing w:line="360" w:lineRule="auto"/>
        <w:ind w:firstLine="420"/>
      </w:pPr>
      <w:r>
        <w:rPr>
          <w:rFonts w:hint="eastAsia"/>
        </w:rPr>
        <w:t>c）重复值比例；</w:t>
      </w:r>
    </w:p>
    <w:p w14:paraId="0F040B6E">
      <w:pPr>
        <w:pStyle w:val="56"/>
        <w:spacing w:line="360" w:lineRule="auto"/>
        <w:ind w:firstLine="420"/>
      </w:pPr>
      <w:r>
        <w:rPr>
          <w:rFonts w:hint="eastAsia"/>
        </w:rPr>
        <w:t>d）延迟数据比例；</w:t>
      </w:r>
    </w:p>
    <w:p w14:paraId="293737A8">
      <w:pPr>
        <w:pStyle w:val="56"/>
        <w:spacing w:line="360" w:lineRule="auto"/>
        <w:ind w:firstLine="420"/>
      </w:pPr>
      <w:r>
        <w:rPr>
          <w:rFonts w:hint="eastAsia"/>
        </w:rPr>
        <w:t>e）跨系统不一致数量；</w:t>
      </w:r>
    </w:p>
    <w:p w14:paraId="465EE074">
      <w:pPr>
        <w:pStyle w:val="56"/>
        <w:spacing w:line="360" w:lineRule="auto"/>
        <w:ind w:firstLine="420"/>
      </w:pPr>
      <w:r>
        <w:rPr>
          <w:rFonts w:hint="eastAsia"/>
        </w:rPr>
        <w:t>f）无效编码数量；</w:t>
      </w:r>
    </w:p>
    <w:p w14:paraId="40D5935D">
      <w:pPr>
        <w:pStyle w:val="56"/>
        <w:spacing w:line="360" w:lineRule="auto"/>
        <w:ind w:firstLine="420"/>
      </w:pPr>
      <w:r>
        <w:rPr>
          <w:rFonts w:hint="eastAsia"/>
        </w:rPr>
        <w:t>g）异常波动次数；</w:t>
      </w:r>
    </w:p>
    <w:p w14:paraId="5C832CBA">
      <w:pPr>
        <w:pStyle w:val="56"/>
        <w:spacing w:line="360" w:lineRule="auto"/>
        <w:ind w:firstLine="420"/>
      </w:pPr>
      <w:r>
        <w:rPr>
          <w:rFonts w:hint="eastAsia"/>
        </w:rPr>
        <w:t>h）规则命中次数；</w:t>
      </w:r>
    </w:p>
    <w:p w14:paraId="0416869D">
      <w:pPr>
        <w:pStyle w:val="56"/>
        <w:spacing w:line="360" w:lineRule="auto"/>
        <w:ind w:firstLine="420"/>
      </w:pPr>
      <w:r>
        <w:rPr>
          <w:rFonts w:hint="eastAsia"/>
        </w:rPr>
        <w:t>i）问题整改完成率。</w:t>
      </w:r>
    </w:p>
    <w:p w14:paraId="2A62DCA9">
      <w:pPr>
        <w:pStyle w:val="164"/>
        <w:spacing w:line="360" w:lineRule="auto"/>
      </w:pPr>
      <w:r>
        <w:rPr>
          <w:rFonts w:hint="eastAsia"/>
        </w:rPr>
        <w:t>对安全生产关键数据，应增加时效性和连续性监测要求。</w:t>
      </w:r>
    </w:p>
    <w:p w14:paraId="527FE1FE">
      <w:pPr>
        <w:pStyle w:val="105"/>
        <w:spacing w:before="120" w:after="120" w:line="360" w:lineRule="auto"/>
      </w:pPr>
      <w:r>
        <w:rPr>
          <w:rFonts w:hint="eastAsia"/>
        </w:rPr>
        <w:t>数据质量问题管理</w:t>
      </w:r>
    </w:p>
    <w:p w14:paraId="07544B03">
      <w:pPr>
        <w:pStyle w:val="65"/>
        <w:spacing w:before="120" w:after="120" w:line="360" w:lineRule="auto"/>
      </w:pPr>
      <w:r>
        <w:rPr>
          <w:rFonts w:hint="eastAsia"/>
        </w:rPr>
        <w:t>问题发现</w:t>
      </w:r>
    </w:p>
    <w:p w14:paraId="541B3D59">
      <w:pPr>
        <w:pStyle w:val="164"/>
        <w:spacing w:line="360" w:lineRule="auto"/>
      </w:pPr>
      <w:r>
        <w:rPr>
          <w:rFonts w:hint="eastAsia"/>
        </w:rPr>
        <w:t>数据质量问题可通过自动校验、人工巡检、业务反馈、应用异常和审计检查等方式发现。</w:t>
      </w:r>
    </w:p>
    <w:p w14:paraId="7F117F6E">
      <w:pPr>
        <w:pStyle w:val="164"/>
        <w:spacing w:line="360" w:lineRule="auto"/>
      </w:pPr>
      <w:r>
        <w:rPr>
          <w:rFonts w:hint="eastAsia"/>
        </w:rPr>
        <w:t>发现数据质量问题后，应及时记录问题类型、问题范围、影响系统和影响业务。</w:t>
      </w:r>
    </w:p>
    <w:p w14:paraId="43947851">
      <w:pPr>
        <w:pStyle w:val="65"/>
        <w:spacing w:before="120" w:after="120" w:line="360" w:lineRule="auto"/>
      </w:pPr>
      <w:r>
        <w:rPr>
          <w:rFonts w:hint="eastAsia"/>
        </w:rPr>
        <w:t>问题分级</w:t>
      </w:r>
    </w:p>
    <w:p w14:paraId="5EFCAB31">
      <w:pPr>
        <w:pStyle w:val="164"/>
        <w:spacing w:line="360" w:lineRule="auto"/>
      </w:pPr>
      <w:r>
        <w:rPr>
          <w:rFonts w:hint="eastAsia"/>
        </w:rPr>
        <w:t>数据质量问题宜分为一般问题、重要问题和严重问题。</w:t>
      </w:r>
    </w:p>
    <w:p w14:paraId="23CFDBD9">
      <w:pPr>
        <w:pStyle w:val="164"/>
        <w:spacing w:line="360" w:lineRule="auto"/>
      </w:pPr>
      <w:r>
        <w:rPr>
          <w:rFonts w:hint="eastAsia"/>
        </w:rPr>
        <w:t>严重问题包括但不限于下列情形：</w:t>
      </w:r>
    </w:p>
    <w:p w14:paraId="64395B03">
      <w:pPr>
        <w:pStyle w:val="56"/>
        <w:spacing w:line="360" w:lineRule="auto"/>
        <w:ind w:firstLine="420"/>
      </w:pPr>
      <w:r>
        <w:rPr>
          <w:rFonts w:hint="eastAsia"/>
        </w:rPr>
        <w:t>a）影响安全监测和灾害预警判断；</w:t>
      </w:r>
    </w:p>
    <w:p w14:paraId="0765618D">
      <w:pPr>
        <w:pStyle w:val="56"/>
        <w:spacing w:line="360" w:lineRule="auto"/>
        <w:ind w:firstLine="420"/>
      </w:pPr>
      <w:r>
        <w:rPr>
          <w:rFonts w:hint="eastAsia"/>
        </w:rPr>
        <w:t>b）影响自动控制和设备保护；</w:t>
      </w:r>
    </w:p>
    <w:p w14:paraId="575C216F">
      <w:pPr>
        <w:pStyle w:val="56"/>
        <w:spacing w:line="360" w:lineRule="auto"/>
        <w:ind w:firstLine="420"/>
      </w:pPr>
      <w:r>
        <w:rPr>
          <w:rFonts w:hint="eastAsia"/>
        </w:rPr>
        <w:t>c）影响调度指挥和应急处置；</w:t>
      </w:r>
    </w:p>
    <w:p w14:paraId="047B768B">
      <w:pPr>
        <w:pStyle w:val="56"/>
        <w:spacing w:line="360" w:lineRule="auto"/>
        <w:ind w:firstLine="420"/>
      </w:pPr>
      <w:r>
        <w:rPr>
          <w:rFonts w:hint="eastAsia"/>
        </w:rPr>
        <w:t>d）导致关键经营数据严重失真；</w:t>
      </w:r>
    </w:p>
    <w:p w14:paraId="2B66F477">
      <w:pPr>
        <w:pStyle w:val="56"/>
        <w:spacing w:line="360" w:lineRule="auto"/>
        <w:ind w:firstLine="420"/>
      </w:pPr>
      <w:r>
        <w:rPr>
          <w:rFonts w:hint="eastAsia"/>
        </w:rPr>
        <w:t>e）引发大范围共享异常或者分析失效。</w:t>
      </w:r>
    </w:p>
    <w:p w14:paraId="213A987A">
      <w:pPr>
        <w:pStyle w:val="164"/>
        <w:spacing w:line="360" w:lineRule="auto"/>
      </w:pPr>
      <w:r>
        <w:rPr>
          <w:rFonts w:hint="eastAsia"/>
        </w:rPr>
        <w:t>严重问题应立即上报并优先整改。</w:t>
      </w:r>
    </w:p>
    <w:p w14:paraId="534643FC">
      <w:pPr>
        <w:pStyle w:val="65"/>
        <w:spacing w:before="120" w:after="120" w:line="360" w:lineRule="auto"/>
      </w:pPr>
      <w:r>
        <w:rPr>
          <w:rFonts w:hint="eastAsia"/>
        </w:rPr>
        <w:t>问题处置</w:t>
      </w:r>
    </w:p>
    <w:p w14:paraId="3D0F9B6A">
      <w:pPr>
        <w:pStyle w:val="164"/>
        <w:spacing w:line="360" w:lineRule="auto"/>
      </w:pPr>
      <w:r>
        <w:rPr>
          <w:rFonts w:hint="eastAsia"/>
        </w:rPr>
        <w:t>数据质量问题应按“发现、登记、分析、整改、复核、销项”的程序闭环管理。</w:t>
      </w:r>
    </w:p>
    <w:p w14:paraId="54AC20CC">
      <w:pPr>
        <w:pStyle w:val="164"/>
        <w:spacing w:line="360" w:lineRule="auto"/>
      </w:pPr>
      <w:r>
        <w:rPr>
          <w:rFonts w:hint="eastAsia"/>
        </w:rPr>
        <w:t>问题处置应优先从源头查找原因，不得仅在结果层进行修饰性修正。</w:t>
      </w:r>
    </w:p>
    <w:p w14:paraId="59A70612">
      <w:pPr>
        <w:pStyle w:val="164"/>
        <w:spacing w:line="360" w:lineRule="auto"/>
      </w:pPr>
      <w:r>
        <w:rPr>
          <w:rFonts w:hint="eastAsia"/>
        </w:rPr>
        <w:t>需要修正历史数据的，应明确修正范围、修正规则、审批过程和追溯记录。</w:t>
      </w:r>
    </w:p>
    <w:p w14:paraId="6D685DE8">
      <w:pPr>
        <w:pStyle w:val="164"/>
        <w:spacing w:line="360" w:lineRule="auto"/>
      </w:pPr>
      <w:r>
        <w:rPr>
          <w:rFonts w:hint="eastAsia"/>
        </w:rPr>
        <w:t>未经确认，不得直接删除异常数据、覆盖原始数据或者人工补造关键数据。</w:t>
      </w:r>
    </w:p>
    <w:p w14:paraId="6679BED4">
      <w:pPr>
        <w:pStyle w:val="105"/>
        <w:spacing w:before="120" w:after="120" w:line="360" w:lineRule="auto"/>
      </w:pPr>
      <w:r>
        <w:rPr>
          <w:rFonts w:hint="eastAsia"/>
        </w:rPr>
        <w:t>数据质量责任管理</w:t>
      </w:r>
    </w:p>
    <w:p w14:paraId="382B1840">
      <w:pPr>
        <w:pStyle w:val="65"/>
        <w:spacing w:before="120" w:after="120" w:line="360" w:lineRule="auto"/>
      </w:pPr>
      <w:r>
        <w:rPr>
          <w:rFonts w:hint="eastAsia"/>
        </w:rPr>
        <w:t>数据质量问题应落实至责任部门和责任岗位。</w:t>
      </w:r>
    </w:p>
    <w:p w14:paraId="17AB1EA1">
      <w:pPr>
        <w:pStyle w:val="165"/>
        <w:spacing w:line="360" w:lineRule="auto"/>
      </w:pPr>
      <w:r>
        <w:rPr>
          <w:rFonts w:hint="eastAsia"/>
        </w:rPr>
        <w:t>采集错误、接口错误、映射错误、加工错误和使用错误应分别明确责任边界。</w:t>
      </w:r>
    </w:p>
    <w:p w14:paraId="3AFAAF30">
      <w:pPr>
        <w:pStyle w:val="165"/>
        <w:spacing w:line="360" w:lineRule="auto"/>
      </w:pPr>
      <w:r>
        <w:rPr>
          <w:rFonts w:hint="eastAsia"/>
        </w:rPr>
        <w:t>对重复发生的数据质量问题，应开展原因复盘和责任分析。</w:t>
      </w:r>
    </w:p>
    <w:p w14:paraId="5DD13DEC">
      <w:pPr>
        <w:pStyle w:val="165"/>
        <w:spacing w:line="360" w:lineRule="auto"/>
      </w:pPr>
      <w:r>
        <w:rPr>
          <w:rFonts w:hint="eastAsia"/>
        </w:rPr>
        <w:t>对涉及多个系统和多个部门的问题，应由归口管理部门统筹协调处置。</w:t>
      </w:r>
    </w:p>
    <w:p w14:paraId="42FC2BC6">
      <w:pPr>
        <w:pStyle w:val="105"/>
        <w:spacing w:before="120" w:after="120" w:line="360" w:lineRule="auto"/>
      </w:pPr>
      <w:r>
        <w:rPr>
          <w:rFonts w:hint="eastAsia"/>
        </w:rPr>
        <w:t>数据质量评价</w:t>
      </w:r>
    </w:p>
    <w:p w14:paraId="4A4DD722">
      <w:pPr>
        <w:pStyle w:val="65"/>
        <w:spacing w:before="120" w:after="120" w:line="360" w:lineRule="auto"/>
      </w:pPr>
      <w:r>
        <w:rPr>
          <w:rFonts w:hint="eastAsia"/>
        </w:rPr>
        <w:t>一般要求</w:t>
      </w:r>
    </w:p>
    <w:p w14:paraId="5488A983">
      <w:pPr>
        <w:pStyle w:val="164"/>
        <w:spacing w:line="360" w:lineRule="auto"/>
      </w:pPr>
      <w:r>
        <w:rPr>
          <w:rFonts w:hint="eastAsia"/>
        </w:rPr>
        <w:t>煤矿企业应定期开展数据质量评价。</w:t>
      </w:r>
    </w:p>
    <w:p w14:paraId="24B63CB1">
      <w:pPr>
        <w:pStyle w:val="164"/>
        <w:spacing w:line="360" w:lineRule="auto"/>
      </w:pPr>
      <w:r>
        <w:rPr>
          <w:rFonts w:hint="eastAsia"/>
        </w:rPr>
        <w:t>数据质量评价应结合数据类型、业务重要性和应用场景开展。</w:t>
      </w:r>
    </w:p>
    <w:p w14:paraId="7185984F">
      <w:pPr>
        <w:pStyle w:val="164"/>
        <w:spacing w:line="360" w:lineRule="auto"/>
      </w:pPr>
      <w:r>
        <w:rPr>
          <w:rFonts w:hint="eastAsia"/>
        </w:rPr>
        <w:t>数据质量评价结果应作为数据共享、数据资产登记、数据应用推广和绩效考核的依据之一。</w:t>
      </w:r>
    </w:p>
    <w:p w14:paraId="4BD69F88">
      <w:pPr>
        <w:pStyle w:val="65"/>
        <w:spacing w:before="120" w:after="120" w:line="360" w:lineRule="auto"/>
      </w:pPr>
      <w:r>
        <w:rPr>
          <w:rFonts w:hint="eastAsia"/>
        </w:rPr>
        <w:t>评价内容</w:t>
      </w:r>
    </w:p>
    <w:p w14:paraId="02D3BF74">
      <w:pPr>
        <w:pStyle w:val="164"/>
        <w:spacing w:line="360" w:lineRule="auto"/>
      </w:pPr>
      <w:r>
        <w:rPr>
          <w:rFonts w:hint="eastAsia"/>
        </w:rPr>
        <w:t>数据质量评价宜包括下列内容：</w:t>
      </w:r>
    </w:p>
    <w:p w14:paraId="5042F5D2">
      <w:pPr>
        <w:pStyle w:val="56"/>
        <w:spacing w:line="360" w:lineRule="auto"/>
        <w:ind w:firstLine="420"/>
      </w:pPr>
      <w:r>
        <w:rPr>
          <w:rFonts w:hint="eastAsia"/>
        </w:rPr>
        <w:t>a）数据标准符合率；</w:t>
      </w:r>
    </w:p>
    <w:p w14:paraId="33DD59C3">
      <w:pPr>
        <w:pStyle w:val="56"/>
        <w:spacing w:line="360" w:lineRule="auto"/>
        <w:ind w:firstLine="420"/>
      </w:pPr>
      <w:r>
        <w:rPr>
          <w:rFonts w:hint="eastAsia"/>
        </w:rPr>
        <w:t>b）数据完整率；</w:t>
      </w:r>
    </w:p>
    <w:p w14:paraId="4DC94F2D">
      <w:pPr>
        <w:pStyle w:val="56"/>
        <w:spacing w:line="360" w:lineRule="auto"/>
        <w:ind w:firstLine="420"/>
      </w:pPr>
      <w:r>
        <w:rPr>
          <w:rFonts w:hint="eastAsia"/>
        </w:rPr>
        <w:t>c）数据准确率；</w:t>
      </w:r>
    </w:p>
    <w:p w14:paraId="3EEF5A2C">
      <w:pPr>
        <w:pStyle w:val="56"/>
        <w:spacing w:line="360" w:lineRule="auto"/>
        <w:ind w:firstLine="420"/>
      </w:pPr>
      <w:r>
        <w:rPr>
          <w:rFonts w:hint="eastAsia"/>
        </w:rPr>
        <w:t>d）数据一致率；</w:t>
      </w:r>
    </w:p>
    <w:p w14:paraId="7F63283E">
      <w:pPr>
        <w:pStyle w:val="56"/>
        <w:spacing w:line="360" w:lineRule="auto"/>
        <w:ind w:firstLine="420"/>
      </w:pPr>
      <w:r>
        <w:rPr>
          <w:rFonts w:hint="eastAsia"/>
        </w:rPr>
        <w:t>e）数据及时率；</w:t>
      </w:r>
    </w:p>
    <w:p w14:paraId="1A0BBFB2">
      <w:pPr>
        <w:pStyle w:val="56"/>
        <w:spacing w:line="360" w:lineRule="auto"/>
        <w:ind w:firstLine="420"/>
      </w:pPr>
      <w:r>
        <w:rPr>
          <w:rFonts w:hint="eastAsia"/>
        </w:rPr>
        <w:t>f）异常整改完成率；</w:t>
      </w:r>
    </w:p>
    <w:p w14:paraId="4FC5DC2A">
      <w:pPr>
        <w:pStyle w:val="56"/>
        <w:spacing w:line="360" w:lineRule="auto"/>
        <w:ind w:firstLine="420"/>
      </w:pPr>
      <w:r>
        <w:rPr>
          <w:rFonts w:hint="eastAsia"/>
        </w:rPr>
        <w:t>g）数据可追溯率；</w:t>
      </w:r>
    </w:p>
    <w:p w14:paraId="7976F6F1">
      <w:pPr>
        <w:pStyle w:val="56"/>
        <w:spacing w:line="360" w:lineRule="auto"/>
        <w:ind w:firstLine="420"/>
      </w:pPr>
      <w:r>
        <w:rPr>
          <w:rFonts w:hint="eastAsia"/>
        </w:rPr>
        <w:t>h）数据可用率。</w:t>
      </w:r>
    </w:p>
    <w:p w14:paraId="7F57CF42">
      <w:pPr>
        <w:pStyle w:val="164"/>
        <w:spacing w:line="360" w:lineRule="auto"/>
      </w:pPr>
      <w:r>
        <w:rPr>
          <w:rFonts w:hint="eastAsia"/>
        </w:rPr>
        <w:t>数据质量评价结果宜分级表示，并形成评价报告。</w:t>
      </w:r>
    </w:p>
    <w:p w14:paraId="17888254">
      <w:pPr>
        <w:pStyle w:val="105"/>
        <w:spacing w:before="120" w:after="120" w:line="360" w:lineRule="auto"/>
      </w:pPr>
      <w:r>
        <w:rPr>
          <w:rFonts w:hint="eastAsia"/>
        </w:rPr>
        <w:t>数据质量管理要点</w:t>
      </w:r>
    </w:p>
    <w:p w14:paraId="74B994EF">
      <w:pPr>
        <w:pStyle w:val="56"/>
        <w:spacing w:line="360" w:lineRule="auto"/>
        <w:ind w:firstLine="420"/>
      </w:pPr>
      <w:r>
        <w:rPr>
          <w:rFonts w:hint="eastAsia"/>
        </w:rPr>
        <w:t>数据质量管理的主要控制内容见表2。表2给出了数据质量管理的主要控制内容和控制要点。</w:t>
      </w:r>
    </w:p>
    <w:p w14:paraId="2BD77E7E">
      <w:pPr>
        <w:pStyle w:val="112"/>
        <w:spacing w:before="120" w:after="120" w:line="360" w:lineRule="auto"/>
      </w:pPr>
      <w:r>
        <w:rPr>
          <w:rFonts w:hint="eastAsia"/>
        </w:rPr>
        <w:t>数据质量管理要点表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983"/>
        <w:gridCol w:w="3260"/>
        <w:gridCol w:w="5091"/>
      </w:tblGrid>
      <w:tr w14:paraId="167B0D4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983" w:type="dxa"/>
            <w:tcBorders>
              <w:top w:val="single" w:color="auto" w:sz="8" w:space="0"/>
              <w:bottom w:val="single" w:color="auto" w:sz="8" w:space="0"/>
            </w:tcBorders>
          </w:tcPr>
          <w:p w14:paraId="66D94350">
            <w:pPr>
              <w:pStyle w:val="178"/>
            </w:pPr>
            <w:r>
              <w:rPr>
                <w:rFonts w:hint="eastAsia"/>
              </w:rPr>
              <w:t>管理环节</w:t>
            </w:r>
          </w:p>
        </w:tc>
        <w:tc>
          <w:tcPr>
            <w:tcW w:w="3260" w:type="dxa"/>
            <w:tcBorders>
              <w:top w:val="single" w:color="auto" w:sz="8" w:space="0"/>
              <w:bottom w:val="single" w:color="auto" w:sz="8" w:space="0"/>
            </w:tcBorders>
          </w:tcPr>
          <w:p w14:paraId="37F8340C">
            <w:pPr>
              <w:pStyle w:val="178"/>
            </w:pPr>
            <w:r>
              <w:rPr>
                <w:rFonts w:hint="eastAsia"/>
              </w:rPr>
              <w:t>主要问题</w:t>
            </w:r>
          </w:p>
        </w:tc>
        <w:tc>
          <w:tcPr>
            <w:tcW w:w="5091" w:type="dxa"/>
            <w:tcBorders>
              <w:top w:val="single" w:color="auto" w:sz="8" w:space="0"/>
              <w:bottom w:val="single" w:color="auto" w:sz="8" w:space="0"/>
            </w:tcBorders>
          </w:tcPr>
          <w:p w14:paraId="47F17DFC">
            <w:pPr>
              <w:pStyle w:val="178"/>
            </w:pPr>
            <w:r>
              <w:rPr>
                <w:rFonts w:hint="eastAsia"/>
              </w:rPr>
              <w:t>控制要点</w:t>
            </w:r>
          </w:p>
        </w:tc>
      </w:tr>
      <w:tr w14:paraId="2203C07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Borders>
              <w:top w:val="single" w:color="auto" w:sz="8" w:space="0"/>
            </w:tcBorders>
          </w:tcPr>
          <w:p w14:paraId="09B949BE">
            <w:pPr>
              <w:pStyle w:val="178"/>
            </w:pPr>
            <w:r>
              <w:rPr>
                <w:rFonts w:hint="eastAsia"/>
              </w:rPr>
              <w:t>采集</w:t>
            </w:r>
          </w:p>
        </w:tc>
        <w:tc>
          <w:tcPr>
            <w:tcW w:w="3260" w:type="dxa"/>
            <w:tcBorders>
              <w:top w:val="single" w:color="auto" w:sz="8" w:space="0"/>
            </w:tcBorders>
          </w:tcPr>
          <w:p w14:paraId="244EB58C">
            <w:pPr>
              <w:pStyle w:val="178"/>
            </w:pPr>
            <w:r>
              <w:rPr>
                <w:rFonts w:hint="eastAsia"/>
              </w:rPr>
              <w:t>漏采、错采、采集延迟</w:t>
            </w:r>
          </w:p>
        </w:tc>
        <w:tc>
          <w:tcPr>
            <w:tcW w:w="5091" w:type="dxa"/>
            <w:tcBorders>
              <w:top w:val="single" w:color="auto" w:sz="8" w:space="0"/>
            </w:tcBorders>
          </w:tcPr>
          <w:p w14:paraId="7A97862F">
            <w:pPr>
              <w:pStyle w:val="178"/>
            </w:pPr>
            <w:r>
              <w:rPr>
                <w:rFonts w:hint="eastAsia"/>
              </w:rPr>
              <w:t>明确采集点、采集频率、采集规则，优先源头治理</w:t>
            </w:r>
          </w:p>
        </w:tc>
      </w:tr>
      <w:tr w14:paraId="58E736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Pr>
          <w:p w14:paraId="04FB9E21">
            <w:pPr>
              <w:pStyle w:val="178"/>
            </w:pPr>
            <w:r>
              <w:rPr>
                <w:rFonts w:hint="eastAsia"/>
              </w:rPr>
              <w:t>传输</w:t>
            </w:r>
          </w:p>
        </w:tc>
        <w:tc>
          <w:tcPr>
            <w:tcW w:w="3260" w:type="dxa"/>
          </w:tcPr>
          <w:p w14:paraId="43EE05FF">
            <w:pPr>
              <w:pStyle w:val="178"/>
            </w:pPr>
            <w:r>
              <w:rPr>
                <w:rFonts w:hint="eastAsia"/>
              </w:rPr>
              <w:t>丢包、重复、时间错位</w:t>
            </w:r>
          </w:p>
        </w:tc>
        <w:tc>
          <w:tcPr>
            <w:tcW w:w="5091" w:type="dxa"/>
          </w:tcPr>
          <w:p w14:paraId="1D68CF58">
            <w:pPr>
              <w:pStyle w:val="178"/>
            </w:pPr>
            <w:r>
              <w:rPr>
                <w:rFonts w:hint="eastAsia"/>
              </w:rPr>
              <w:t>建立链路监测、重传机制和时间同步机制</w:t>
            </w:r>
          </w:p>
        </w:tc>
      </w:tr>
      <w:tr w14:paraId="674B0B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Pr>
          <w:p w14:paraId="391A8E20">
            <w:pPr>
              <w:pStyle w:val="178"/>
            </w:pPr>
            <w:r>
              <w:rPr>
                <w:rFonts w:hint="eastAsia"/>
              </w:rPr>
              <w:t>汇聚</w:t>
            </w:r>
          </w:p>
        </w:tc>
        <w:tc>
          <w:tcPr>
            <w:tcW w:w="3260" w:type="dxa"/>
          </w:tcPr>
          <w:p w14:paraId="4ACB21EA">
            <w:pPr>
              <w:pStyle w:val="178"/>
            </w:pPr>
            <w:r>
              <w:rPr>
                <w:rFonts w:hint="eastAsia"/>
              </w:rPr>
              <w:t>映射错误、编码冲突、重复入库</w:t>
            </w:r>
          </w:p>
        </w:tc>
        <w:tc>
          <w:tcPr>
            <w:tcW w:w="5091" w:type="dxa"/>
          </w:tcPr>
          <w:p w14:paraId="6DE0E200">
            <w:pPr>
              <w:pStyle w:val="178"/>
            </w:pPr>
            <w:r>
              <w:rPr>
                <w:rFonts w:hint="eastAsia"/>
              </w:rPr>
              <w:t>执行统一映射规则和唯一性校验</w:t>
            </w:r>
          </w:p>
        </w:tc>
      </w:tr>
      <w:tr w14:paraId="602B92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Pr>
          <w:p w14:paraId="450887C8">
            <w:pPr>
              <w:pStyle w:val="178"/>
            </w:pPr>
            <w:r>
              <w:rPr>
                <w:rFonts w:hint="eastAsia"/>
              </w:rPr>
              <w:t>加工</w:t>
            </w:r>
          </w:p>
        </w:tc>
        <w:tc>
          <w:tcPr>
            <w:tcW w:w="3260" w:type="dxa"/>
          </w:tcPr>
          <w:p w14:paraId="734DDB05">
            <w:pPr>
              <w:pStyle w:val="178"/>
            </w:pPr>
            <w:r>
              <w:rPr>
                <w:rFonts w:hint="eastAsia"/>
              </w:rPr>
              <w:t>口径不一、计算错误、逻辑冲突</w:t>
            </w:r>
          </w:p>
        </w:tc>
        <w:tc>
          <w:tcPr>
            <w:tcW w:w="5091" w:type="dxa"/>
          </w:tcPr>
          <w:p w14:paraId="0CD84714">
            <w:pPr>
              <w:pStyle w:val="178"/>
            </w:pPr>
            <w:r>
              <w:rPr>
                <w:rFonts w:hint="eastAsia"/>
              </w:rPr>
              <w:t>统一指标口径、固化加工规则、保留血缘关系</w:t>
            </w:r>
          </w:p>
        </w:tc>
      </w:tr>
      <w:tr w14:paraId="225402E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Pr>
          <w:p w14:paraId="02975044">
            <w:pPr>
              <w:pStyle w:val="178"/>
            </w:pPr>
            <w:r>
              <w:rPr>
                <w:rFonts w:hint="eastAsia"/>
              </w:rPr>
              <w:t>共享</w:t>
            </w:r>
          </w:p>
        </w:tc>
        <w:tc>
          <w:tcPr>
            <w:tcW w:w="3260" w:type="dxa"/>
          </w:tcPr>
          <w:p w14:paraId="01EEE319">
            <w:pPr>
              <w:pStyle w:val="178"/>
            </w:pPr>
            <w:r>
              <w:rPr>
                <w:rFonts w:hint="eastAsia"/>
              </w:rPr>
              <w:t>版本不一致、调用误用</w:t>
            </w:r>
          </w:p>
        </w:tc>
        <w:tc>
          <w:tcPr>
            <w:tcW w:w="5091" w:type="dxa"/>
          </w:tcPr>
          <w:p w14:paraId="448AF7DF">
            <w:pPr>
              <w:pStyle w:val="178"/>
            </w:pPr>
            <w:r>
              <w:rPr>
                <w:rFonts w:hint="eastAsia"/>
              </w:rPr>
              <w:t>统一共享接口、明确授权边界、建立反馈机制</w:t>
            </w:r>
          </w:p>
        </w:tc>
      </w:tr>
      <w:tr w14:paraId="71D3074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Pr>
          <w:p w14:paraId="0C00CC90">
            <w:pPr>
              <w:pStyle w:val="178"/>
            </w:pPr>
            <w:r>
              <w:rPr>
                <w:rFonts w:hint="eastAsia"/>
              </w:rPr>
              <w:t>应用</w:t>
            </w:r>
          </w:p>
        </w:tc>
        <w:tc>
          <w:tcPr>
            <w:tcW w:w="3260" w:type="dxa"/>
          </w:tcPr>
          <w:p w14:paraId="15B465F7">
            <w:pPr>
              <w:pStyle w:val="178"/>
            </w:pPr>
            <w:r>
              <w:rPr>
                <w:rFonts w:hint="eastAsia"/>
              </w:rPr>
              <w:t>异常结果、分析偏差</w:t>
            </w:r>
          </w:p>
        </w:tc>
        <w:tc>
          <w:tcPr>
            <w:tcW w:w="5091" w:type="dxa"/>
          </w:tcPr>
          <w:p w14:paraId="44B86A4E">
            <w:pPr>
              <w:pStyle w:val="178"/>
            </w:pPr>
            <w:r>
              <w:rPr>
                <w:rFonts w:hint="eastAsia"/>
              </w:rPr>
              <w:t>核验数据来源、质量状态和适用场景</w:t>
            </w:r>
          </w:p>
        </w:tc>
      </w:tr>
      <w:tr w14:paraId="0B1715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983" w:type="dxa"/>
          </w:tcPr>
          <w:p w14:paraId="47CC146D">
            <w:pPr>
              <w:pStyle w:val="178"/>
            </w:pPr>
            <w:r>
              <w:rPr>
                <w:rFonts w:hint="eastAsia"/>
              </w:rPr>
              <w:t>整改</w:t>
            </w:r>
          </w:p>
        </w:tc>
        <w:tc>
          <w:tcPr>
            <w:tcW w:w="3260" w:type="dxa"/>
          </w:tcPr>
          <w:p w14:paraId="7B387262">
            <w:pPr>
              <w:pStyle w:val="178"/>
            </w:pPr>
            <w:r>
              <w:rPr>
                <w:rFonts w:hint="eastAsia"/>
              </w:rPr>
              <w:t>问题反复、销项不闭环</w:t>
            </w:r>
          </w:p>
        </w:tc>
        <w:tc>
          <w:tcPr>
            <w:tcW w:w="5091" w:type="dxa"/>
          </w:tcPr>
          <w:p w14:paraId="3F89232C">
            <w:pPr>
              <w:pStyle w:val="178"/>
            </w:pPr>
            <w:r>
              <w:rPr>
                <w:rFonts w:hint="eastAsia"/>
              </w:rPr>
              <w:t>明确责任、限时整改、复核销项</w:t>
            </w:r>
          </w:p>
        </w:tc>
      </w:tr>
    </w:tbl>
    <w:p w14:paraId="4CD4D5CB">
      <w:pPr>
        <w:pStyle w:val="105"/>
        <w:spacing w:before="120" w:after="120" w:line="360" w:lineRule="auto"/>
      </w:pPr>
      <w:r>
        <w:rPr>
          <w:rFonts w:hint="eastAsia"/>
        </w:rPr>
        <w:t>禁止性要求</w:t>
      </w:r>
    </w:p>
    <w:p w14:paraId="44A98359">
      <w:pPr>
        <w:pStyle w:val="165"/>
        <w:spacing w:line="360" w:lineRule="auto"/>
      </w:pPr>
      <w:r>
        <w:rPr>
          <w:rFonts w:hint="eastAsia"/>
        </w:rPr>
        <w:t>不得将未经质量校验的数据直接用于安全预警、设备保护和自动控制。</w:t>
      </w:r>
    </w:p>
    <w:p w14:paraId="204F6E23">
      <w:pPr>
        <w:pStyle w:val="165"/>
        <w:spacing w:line="360" w:lineRule="auto"/>
      </w:pPr>
      <w:r>
        <w:rPr>
          <w:rFonts w:hint="eastAsia"/>
        </w:rPr>
        <w:t>不得以人工修改结果数据替代源头问题整改。</w:t>
      </w:r>
    </w:p>
    <w:p w14:paraId="2FF5C784">
      <w:pPr>
        <w:pStyle w:val="165"/>
        <w:spacing w:line="360" w:lineRule="auto"/>
      </w:pPr>
      <w:r>
        <w:rPr>
          <w:rFonts w:hint="eastAsia"/>
        </w:rPr>
        <w:t>不得对质量异常数据仅做隐藏处理而不作原因分析和整改。</w:t>
      </w:r>
    </w:p>
    <w:p w14:paraId="612F2C2B">
      <w:pPr>
        <w:pStyle w:val="165"/>
        <w:spacing w:line="360" w:lineRule="auto"/>
      </w:pPr>
      <w:r>
        <w:rPr>
          <w:rFonts w:hint="eastAsia"/>
        </w:rPr>
        <w:t>不得长期容忍关键数据缺失、冲突、滞后和失真问题。</w:t>
      </w:r>
    </w:p>
    <w:p w14:paraId="47071D2B">
      <w:pPr>
        <w:pStyle w:val="165"/>
        <w:spacing w:line="360" w:lineRule="auto"/>
      </w:pPr>
      <w:r>
        <w:rPr>
          <w:rFonts w:hint="eastAsia"/>
        </w:rPr>
        <w:t>不得将未经确认的临时数据、测试数据和模拟数据混入正式生产数据范围。</w:t>
      </w:r>
    </w:p>
    <w:p w14:paraId="47762E3C">
      <w:pPr>
        <w:pStyle w:val="104"/>
        <w:spacing w:before="240" w:after="240" w:line="360" w:lineRule="auto"/>
      </w:pPr>
      <w:bookmarkStart w:id="55" w:name="_Toc228568758"/>
      <w:r>
        <w:rPr>
          <w:rFonts w:hint="eastAsia"/>
        </w:rPr>
        <w:t>数据共享交换与安全管理</w:t>
      </w:r>
      <w:bookmarkEnd w:id="55"/>
    </w:p>
    <w:p w14:paraId="749257EF">
      <w:pPr>
        <w:pStyle w:val="105"/>
        <w:spacing w:before="120" w:after="120" w:line="360" w:lineRule="auto"/>
      </w:pPr>
      <w:r>
        <w:rPr>
          <w:rFonts w:hint="eastAsia"/>
        </w:rPr>
        <w:t>一般规定</w:t>
      </w:r>
    </w:p>
    <w:p w14:paraId="35869391">
      <w:pPr>
        <w:pStyle w:val="165"/>
        <w:spacing w:line="360" w:lineRule="auto"/>
      </w:pPr>
      <w:r>
        <w:rPr>
          <w:rFonts w:hint="eastAsia"/>
        </w:rPr>
        <w:t>煤矿智能化系统数据共享交换应在统一标准、统一目录、统一规则、统一授权和统一监督机制下实施。</w:t>
      </w:r>
    </w:p>
    <w:p w14:paraId="2474842C">
      <w:pPr>
        <w:pStyle w:val="165"/>
        <w:spacing w:line="360" w:lineRule="auto"/>
      </w:pPr>
      <w:r>
        <w:rPr>
          <w:rFonts w:hint="eastAsia"/>
        </w:rPr>
        <w:t>数据共享交换应以满足安全生产协同、业务联动、综合分析、调度决策和经营管理需求为目标，不得无序共享、过度交换或者脱离业务场景盲目流转。</w:t>
      </w:r>
    </w:p>
    <w:p w14:paraId="743189FC">
      <w:pPr>
        <w:pStyle w:val="165"/>
        <w:spacing w:line="360" w:lineRule="auto"/>
      </w:pPr>
      <w:r>
        <w:rPr>
          <w:rFonts w:hint="eastAsia"/>
        </w:rPr>
        <w:t>数据共享交换应坚持“谁提供、谁负责，谁使用、谁合规，谁管理、谁监督”的原则。</w:t>
      </w:r>
    </w:p>
    <w:p w14:paraId="0AA7134A">
      <w:pPr>
        <w:pStyle w:val="165"/>
        <w:spacing w:line="360" w:lineRule="auto"/>
      </w:pPr>
      <w:r>
        <w:rPr>
          <w:rFonts w:hint="eastAsia"/>
        </w:rPr>
        <w:t>数据共享交换活动应与数据分类分级管理、数据质量管理和数据安全管理要求相衔接。</w:t>
      </w:r>
    </w:p>
    <w:p w14:paraId="5EC77E65">
      <w:pPr>
        <w:pStyle w:val="165"/>
        <w:spacing w:line="360" w:lineRule="auto"/>
      </w:pPr>
      <w:r>
        <w:rPr>
          <w:rFonts w:hint="eastAsia"/>
        </w:rPr>
        <w:t>涉及安全生产关键数据、重要业务数据、敏感数据和重点资产数据的共享交换，应实施重点管控。</w:t>
      </w:r>
    </w:p>
    <w:p w14:paraId="4FF7119B">
      <w:pPr>
        <w:pStyle w:val="165"/>
        <w:spacing w:line="360" w:lineRule="auto"/>
      </w:pPr>
      <w:r>
        <w:rPr>
          <w:rFonts w:hint="eastAsia"/>
        </w:rPr>
        <w:t>未经授权、未经校验或者未经安全评估的数据，不得进入正式共享交换流程。</w:t>
      </w:r>
    </w:p>
    <w:p w14:paraId="68CE9F98">
      <w:pPr>
        <w:pStyle w:val="105"/>
        <w:spacing w:before="120" w:after="120" w:line="360" w:lineRule="auto"/>
      </w:pPr>
      <w:r>
        <w:rPr>
          <w:rFonts w:hint="eastAsia"/>
        </w:rPr>
        <w:t>数据共享管理</w:t>
      </w:r>
    </w:p>
    <w:p w14:paraId="303C5129">
      <w:pPr>
        <w:pStyle w:val="65"/>
        <w:spacing w:before="120" w:after="120" w:line="360" w:lineRule="auto"/>
      </w:pPr>
      <w:r>
        <w:rPr>
          <w:rFonts w:hint="eastAsia"/>
        </w:rPr>
        <w:t>一般要求</w:t>
      </w:r>
    </w:p>
    <w:p w14:paraId="1808C730">
      <w:pPr>
        <w:pStyle w:val="164"/>
        <w:spacing w:line="360" w:lineRule="auto"/>
      </w:pPr>
      <w:r>
        <w:rPr>
          <w:rFonts w:hint="eastAsia"/>
        </w:rPr>
        <w:t>数据共享应按照业务需求、职责边界、权限范围和使用目的实施。</w:t>
      </w:r>
    </w:p>
    <w:p w14:paraId="3ACB7641">
      <w:pPr>
        <w:pStyle w:val="164"/>
        <w:spacing w:line="360" w:lineRule="auto"/>
      </w:pPr>
      <w:r>
        <w:rPr>
          <w:rFonts w:hint="eastAsia"/>
        </w:rPr>
        <w:t>数据共享应优先通过统一数据平台、统一服务接口或者统一共享通道实现。</w:t>
      </w:r>
    </w:p>
    <w:p w14:paraId="35F11C72">
      <w:pPr>
        <w:pStyle w:val="164"/>
        <w:spacing w:line="360" w:lineRule="auto"/>
      </w:pPr>
      <w:r>
        <w:rPr>
          <w:rFonts w:hint="eastAsia"/>
        </w:rPr>
        <w:t>同一数据资源对多个系统、多个部门共享时，应以统一发布版本为准，不得各自形成口径不一致的共享副本。</w:t>
      </w:r>
    </w:p>
    <w:p w14:paraId="228BAAE8">
      <w:pPr>
        <w:pStyle w:val="164"/>
        <w:spacing w:line="360" w:lineRule="auto"/>
      </w:pPr>
      <w:r>
        <w:rPr>
          <w:rFonts w:hint="eastAsia"/>
        </w:rPr>
        <w:t>数据共享前，应明确共享对象、共享内容、共享方式、共享频率、共享期限和责任主体。</w:t>
      </w:r>
    </w:p>
    <w:p w14:paraId="198755CA">
      <w:pPr>
        <w:pStyle w:val="65"/>
        <w:spacing w:before="120" w:after="120" w:line="360" w:lineRule="auto"/>
      </w:pPr>
      <w:r>
        <w:rPr>
          <w:rFonts w:hint="eastAsia"/>
        </w:rPr>
        <w:t>共享范围</w:t>
      </w:r>
    </w:p>
    <w:p w14:paraId="3BBC11A9">
      <w:pPr>
        <w:pStyle w:val="164"/>
        <w:spacing w:line="360" w:lineRule="auto"/>
      </w:pPr>
      <w:r>
        <w:rPr>
          <w:rFonts w:hint="eastAsia"/>
        </w:rPr>
        <w:t>下列数据宜纳入统一共享范围：</w:t>
      </w:r>
    </w:p>
    <w:p w14:paraId="280137C3">
      <w:pPr>
        <w:pStyle w:val="56"/>
        <w:spacing w:line="360" w:lineRule="auto"/>
        <w:ind w:firstLine="420"/>
      </w:pPr>
      <w:r>
        <w:rPr>
          <w:rFonts w:hint="eastAsia"/>
        </w:rPr>
        <w:t>a）主数据；</w:t>
      </w:r>
    </w:p>
    <w:p w14:paraId="51C4EFEE">
      <w:pPr>
        <w:pStyle w:val="56"/>
        <w:spacing w:line="360" w:lineRule="auto"/>
        <w:ind w:firstLine="420"/>
      </w:pPr>
      <w:r>
        <w:rPr>
          <w:rFonts w:hint="eastAsia"/>
        </w:rPr>
        <w:t>b）基础设备数据；</w:t>
      </w:r>
    </w:p>
    <w:p w14:paraId="0B35713B">
      <w:pPr>
        <w:pStyle w:val="56"/>
        <w:spacing w:line="360" w:lineRule="auto"/>
        <w:ind w:firstLine="420"/>
      </w:pPr>
      <w:r>
        <w:rPr>
          <w:rFonts w:hint="eastAsia"/>
        </w:rPr>
        <w:t>c）地点与空间位置数据；</w:t>
      </w:r>
    </w:p>
    <w:p w14:paraId="1C4589E6">
      <w:pPr>
        <w:pStyle w:val="56"/>
        <w:spacing w:line="360" w:lineRule="auto"/>
        <w:ind w:firstLine="420"/>
      </w:pPr>
      <w:r>
        <w:rPr>
          <w:rFonts w:hint="eastAsia"/>
        </w:rPr>
        <w:t>d）组织机构和岗位数据；</w:t>
      </w:r>
    </w:p>
    <w:p w14:paraId="32C80F80">
      <w:pPr>
        <w:pStyle w:val="56"/>
        <w:spacing w:line="360" w:lineRule="auto"/>
        <w:ind w:firstLine="420"/>
      </w:pPr>
      <w:r>
        <w:rPr>
          <w:rFonts w:hint="eastAsia"/>
        </w:rPr>
        <w:t>e）安全生产运行关键指标数据；</w:t>
      </w:r>
    </w:p>
    <w:p w14:paraId="40077E43">
      <w:pPr>
        <w:pStyle w:val="56"/>
        <w:spacing w:line="360" w:lineRule="auto"/>
        <w:ind w:firstLine="420"/>
      </w:pPr>
      <w:r>
        <w:rPr>
          <w:rFonts w:hint="eastAsia"/>
        </w:rPr>
        <w:t>f）调度协同所需数据；</w:t>
      </w:r>
    </w:p>
    <w:p w14:paraId="7A83A53B">
      <w:pPr>
        <w:pStyle w:val="56"/>
        <w:spacing w:line="360" w:lineRule="auto"/>
        <w:ind w:firstLine="420"/>
      </w:pPr>
      <w:r>
        <w:rPr>
          <w:rFonts w:hint="eastAsia"/>
        </w:rPr>
        <w:t>g）综合分析所需公共数据；</w:t>
      </w:r>
    </w:p>
    <w:p w14:paraId="124870EB">
      <w:pPr>
        <w:pStyle w:val="56"/>
        <w:spacing w:line="360" w:lineRule="auto"/>
        <w:ind w:firstLine="420"/>
      </w:pPr>
      <w:r>
        <w:rPr>
          <w:rFonts w:hint="eastAsia"/>
        </w:rPr>
        <w:t>h）经确认可共享的统计分析结果数据。</w:t>
      </w:r>
    </w:p>
    <w:p w14:paraId="7F3FF8B9">
      <w:pPr>
        <w:pStyle w:val="164"/>
        <w:spacing w:line="360" w:lineRule="auto"/>
      </w:pPr>
      <w:r>
        <w:rPr>
          <w:rFonts w:hint="eastAsia"/>
        </w:rPr>
        <w:t>下列数据应限制共享或者按规定审批共享：</w:t>
      </w:r>
    </w:p>
    <w:p w14:paraId="292109C4">
      <w:pPr>
        <w:pStyle w:val="56"/>
        <w:spacing w:line="360" w:lineRule="auto"/>
        <w:ind w:firstLine="420"/>
      </w:pPr>
      <w:r>
        <w:rPr>
          <w:rFonts w:hint="eastAsia"/>
        </w:rPr>
        <w:t>a）重要安全生产控制数据；</w:t>
      </w:r>
    </w:p>
    <w:p w14:paraId="73807C8A">
      <w:pPr>
        <w:pStyle w:val="56"/>
        <w:spacing w:line="360" w:lineRule="auto"/>
        <w:ind w:firstLine="420"/>
      </w:pPr>
      <w:r>
        <w:rPr>
          <w:rFonts w:hint="eastAsia"/>
        </w:rPr>
        <w:t>b）涉及重要设备保护逻辑的数据；</w:t>
      </w:r>
    </w:p>
    <w:p w14:paraId="2336C042">
      <w:pPr>
        <w:pStyle w:val="56"/>
        <w:spacing w:line="360" w:lineRule="auto"/>
        <w:ind w:firstLine="420"/>
      </w:pPr>
      <w:r>
        <w:rPr>
          <w:rFonts w:hint="eastAsia"/>
        </w:rPr>
        <w:t>c）敏感经营管理数据；</w:t>
      </w:r>
    </w:p>
    <w:p w14:paraId="067A5CDA">
      <w:pPr>
        <w:pStyle w:val="56"/>
        <w:spacing w:line="360" w:lineRule="auto"/>
        <w:ind w:firstLine="420"/>
      </w:pPr>
      <w:r>
        <w:rPr>
          <w:rFonts w:hint="eastAsia"/>
        </w:rPr>
        <w:t>d）涉及个人信息或者敏感身份属性的数据；</w:t>
      </w:r>
    </w:p>
    <w:p w14:paraId="2F03110A">
      <w:pPr>
        <w:pStyle w:val="56"/>
        <w:spacing w:line="360" w:lineRule="auto"/>
        <w:ind w:firstLine="420"/>
      </w:pPr>
      <w:r>
        <w:rPr>
          <w:rFonts w:hint="eastAsia"/>
        </w:rPr>
        <w:t>e）依法依规限制流转的数据。</w:t>
      </w:r>
    </w:p>
    <w:p w14:paraId="69926361">
      <w:pPr>
        <w:pStyle w:val="65"/>
        <w:spacing w:before="120" w:after="120" w:line="360" w:lineRule="auto"/>
      </w:pPr>
      <w:r>
        <w:rPr>
          <w:rFonts w:hint="eastAsia"/>
        </w:rPr>
        <w:t>共享方式</w:t>
      </w:r>
    </w:p>
    <w:p w14:paraId="5EA09F0A">
      <w:pPr>
        <w:pStyle w:val="164"/>
        <w:spacing w:line="360" w:lineRule="auto"/>
      </w:pPr>
      <w:r>
        <w:rPr>
          <w:rFonts w:hint="eastAsia"/>
        </w:rPr>
        <w:t>数据共享可采用接口服务、数据订阅、共享视图、数据服务调用、定时推送和授权查询等方式。</w:t>
      </w:r>
    </w:p>
    <w:p w14:paraId="16721872">
      <w:pPr>
        <w:pStyle w:val="164"/>
        <w:spacing w:line="360" w:lineRule="auto"/>
      </w:pPr>
      <w:r>
        <w:rPr>
          <w:rFonts w:hint="eastAsia"/>
        </w:rPr>
        <w:t>共享方式应与数据实时性、业务频率、调用规模和安全要求相适应。</w:t>
      </w:r>
    </w:p>
    <w:p w14:paraId="26843F67">
      <w:pPr>
        <w:pStyle w:val="164"/>
        <w:spacing w:line="360" w:lineRule="auto"/>
      </w:pPr>
      <w:r>
        <w:rPr>
          <w:rFonts w:hint="eastAsia"/>
        </w:rPr>
        <w:t>对关键实时数据，应优先采用可监测、可追踪和可告警的共享方式。</w:t>
      </w:r>
    </w:p>
    <w:p w14:paraId="07805DAE">
      <w:pPr>
        <w:pStyle w:val="164"/>
        <w:spacing w:line="360" w:lineRule="auto"/>
      </w:pPr>
      <w:r>
        <w:rPr>
          <w:rFonts w:hint="eastAsia"/>
        </w:rPr>
        <w:t>不得长期以人工导表、离线文件传递和临时脚本复制方式代替正式共享机制。</w:t>
      </w:r>
    </w:p>
    <w:p w14:paraId="0BC7E205">
      <w:pPr>
        <w:pStyle w:val="105"/>
        <w:spacing w:before="120" w:after="120" w:line="360" w:lineRule="auto"/>
      </w:pPr>
      <w:r>
        <w:rPr>
          <w:rFonts w:hint="eastAsia"/>
        </w:rPr>
        <w:t>数据交换管理</w:t>
      </w:r>
    </w:p>
    <w:p w14:paraId="44F38608">
      <w:pPr>
        <w:pStyle w:val="65"/>
        <w:spacing w:before="120" w:after="120" w:line="360" w:lineRule="auto"/>
      </w:pPr>
      <w:r>
        <w:rPr>
          <w:rFonts w:hint="eastAsia"/>
        </w:rPr>
        <w:t>一般要求</w:t>
      </w:r>
    </w:p>
    <w:p w14:paraId="6D2817CE">
      <w:pPr>
        <w:pStyle w:val="164"/>
        <w:spacing w:line="360" w:lineRule="auto"/>
      </w:pPr>
      <w:r>
        <w:rPr>
          <w:rFonts w:hint="eastAsia"/>
        </w:rPr>
        <w:t>数据交换应依托统一交换规则、统一接口规范和统一交换管理流程实施。</w:t>
      </w:r>
    </w:p>
    <w:p w14:paraId="717F5AF8">
      <w:pPr>
        <w:pStyle w:val="164"/>
        <w:spacing w:line="360" w:lineRule="auto"/>
      </w:pPr>
      <w:r>
        <w:rPr>
          <w:rFonts w:hint="eastAsia"/>
        </w:rPr>
        <w:t>数据交换应明确交换发起方、接收方、交换内容、交换频率、失败重试规则和异常处置规则。</w:t>
      </w:r>
    </w:p>
    <w:p w14:paraId="34F4D8D7">
      <w:pPr>
        <w:pStyle w:val="164"/>
        <w:spacing w:line="360" w:lineRule="auto"/>
      </w:pPr>
      <w:r>
        <w:rPr>
          <w:rFonts w:hint="eastAsia"/>
        </w:rPr>
        <w:t>数据交换过程应保持数据完整、顺序正确、字段对应准确和时间一致。</w:t>
      </w:r>
    </w:p>
    <w:p w14:paraId="299E082B">
      <w:pPr>
        <w:pStyle w:val="65"/>
        <w:spacing w:before="120" w:after="120" w:line="360" w:lineRule="auto"/>
      </w:pPr>
      <w:r>
        <w:rPr>
          <w:rFonts w:hint="eastAsia"/>
        </w:rPr>
        <w:t>交换规则</w:t>
      </w:r>
    </w:p>
    <w:p w14:paraId="1B09180A">
      <w:pPr>
        <w:pStyle w:val="164"/>
        <w:spacing w:line="360" w:lineRule="auto"/>
      </w:pPr>
      <w:r>
        <w:rPr>
          <w:rFonts w:hint="eastAsia"/>
        </w:rPr>
        <w:t>数据交换前，应完成字段映射、编码映射、单位换算、口径确认和质量校验。</w:t>
      </w:r>
    </w:p>
    <w:p w14:paraId="6536F0DE">
      <w:pPr>
        <w:pStyle w:val="164"/>
        <w:spacing w:line="360" w:lineRule="auto"/>
      </w:pPr>
      <w:r>
        <w:rPr>
          <w:rFonts w:hint="eastAsia"/>
        </w:rPr>
        <w:t>跨系统交换时，应优先解决主数据一致性和时间基准一致性问题。</w:t>
      </w:r>
    </w:p>
    <w:p w14:paraId="6AFA3F54">
      <w:pPr>
        <w:pStyle w:val="164"/>
        <w:spacing w:line="360" w:lineRule="auto"/>
      </w:pPr>
      <w:r>
        <w:rPr>
          <w:rFonts w:hint="eastAsia"/>
        </w:rPr>
        <w:t>交换规则变更时，应同步更新接口文档、目录信息和相关应用逻辑。</w:t>
      </w:r>
    </w:p>
    <w:p w14:paraId="7EFB8211">
      <w:pPr>
        <w:pStyle w:val="164"/>
        <w:spacing w:line="360" w:lineRule="auto"/>
      </w:pPr>
      <w:r>
        <w:rPr>
          <w:rFonts w:hint="eastAsia"/>
        </w:rPr>
        <w:t>未经评估，不得擅自增加、删除、重命名或者改变交换字段。</w:t>
      </w:r>
    </w:p>
    <w:p w14:paraId="20E7D2F3">
      <w:pPr>
        <w:pStyle w:val="65"/>
        <w:spacing w:before="120" w:after="120" w:line="360" w:lineRule="auto"/>
      </w:pPr>
      <w:r>
        <w:rPr>
          <w:rFonts w:hint="eastAsia"/>
        </w:rPr>
        <w:t>交换控制</w:t>
      </w:r>
    </w:p>
    <w:p w14:paraId="704349F2">
      <w:pPr>
        <w:pStyle w:val="164"/>
        <w:spacing w:line="360" w:lineRule="auto"/>
      </w:pPr>
      <w:r>
        <w:rPr>
          <w:rFonts w:hint="eastAsia"/>
        </w:rPr>
        <w:t>数据交换应设置状态监测和日志记录机制。</w:t>
      </w:r>
    </w:p>
    <w:p w14:paraId="1489187E">
      <w:pPr>
        <w:pStyle w:val="164"/>
        <w:spacing w:line="360" w:lineRule="auto"/>
      </w:pPr>
      <w:r>
        <w:rPr>
          <w:rFonts w:hint="eastAsia"/>
        </w:rPr>
        <w:t>交换失败、延迟、重复推送、数据截断、字段错位和内容冲突等异常，应及时发现并处置。</w:t>
      </w:r>
    </w:p>
    <w:p w14:paraId="671A1E9D">
      <w:pPr>
        <w:pStyle w:val="164"/>
        <w:spacing w:line="360" w:lineRule="auto"/>
      </w:pPr>
      <w:r>
        <w:rPr>
          <w:rFonts w:hint="eastAsia"/>
        </w:rPr>
        <w:t>对安全生产关键数据交换异常，应设置优先告警和快速恢复机制。</w:t>
      </w:r>
    </w:p>
    <w:p w14:paraId="7876BACA">
      <w:pPr>
        <w:pStyle w:val="105"/>
        <w:spacing w:before="120" w:after="120" w:line="360" w:lineRule="auto"/>
      </w:pPr>
      <w:r>
        <w:rPr>
          <w:rFonts w:hint="eastAsia"/>
        </w:rPr>
        <w:t>数据接口管理</w:t>
      </w:r>
    </w:p>
    <w:p w14:paraId="7F1B4534">
      <w:pPr>
        <w:pStyle w:val="65"/>
        <w:spacing w:before="120" w:after="120" w:line="360" w:lineRule="auto"/>
      </w:pPr>
      <w:r>
        <w:rPr>
          <w:rFonts w:hint="eastAsia"/>
        </w:rPr>
        <w:t>一般要求</w:t>
      </w:r>
    </w:p>
    <w:p w14:paraId="6EA7B2A8">
      <w:pPr>
        <w:pStyle w:val="164"/>
        <w:spacing w:line="360" w:lineRule="auto"/>
      </w:pPr>
      <w:r>
        <w:rPr>
          <w:rFonts w:hint="eastAsia"/>
        </w:rPr>
        <w:t>煤矿企业应对数据接口实施统一管理。</w:t>
      </w:r>
    </w:p>
    <w:p w14:paraId="1E5865C2">
      <w:pPr>
        <w:pStyle w:val="164"/>
        <w:spacing w:line="360" w:lineRule="auto"/>
      </w:pPr>
      <w:r>
        <w:rPr>
          <w:rFonts w:hint="eastAsia"/>
        </w:rPr>
        <w:t>数据接口应实行统一登记、统一命名、统一发布、统一变更和统一监控。</w:t>
      </w:r>
    </w:p>
    <w:p w14:paraId="215734FE">
      <w:pPr>
        <w:pStyle w:val="164"/>
        <w:spacing w:line="360" w:lineRule="auto"/>
      </w:pPr>
      <w:r>
        <w:rPr>
          <w:rFonts w:hint="eastAsia"/>
        </w:rPr>
        <w:t>未纳入统一接口管理的数据接口，不得接入核心平台和关键业务系统。</w:t>
      </w:r>
    </w:p>
    <w:p w14:paraId="606B224A">
      <w:pPr>
        <w:pStyle w:val="65"/>
        <w:spacing w:before="120" w:after="120" w:line="360" w:lineRule="auto"/>
      </w:pPr>
      <w:r>
        <w:rPr>
          <w:rFonts w:hint="eastAsia"/>
        </w:rPr>
        <w:t>接口要求</w:t>
      </w:r>
    </w:p>
    <w:p w14:paraId="2FC2D28E">
      <w:pPr>
        <w:pStyle w:val="164"/>
        <w:spacing w:line="360" w:lineRule="auto"/>
      </w:pPr>
      <w:r>
        <w:rPr>
          <w:rFonts w:hint="eastAsia"/>
        </w:rPr>
        <w:t>数据接口应至少明确下列内容：</w:t>
      </w:r>
    </w:p>
    <w:p w14:paraId="401501FA">
      <w:pPr>
        <w:pStyle w:val="56"/>
        <w:spacing w:line="360" w:lineRule="auto"/>
        <w:ind w:firstLine="420"/>
      </w:pPr>
      <w:r>
        <w:rPr>
          <w:rFonts w:hint="eastAsia"/>
        </w:rPr>
        <w:t>a）接口名称；</w:t>
      </w:r>
    </w:p>
    <w:p w14:paraId="00F9BAED">
      <w:pPr>
        <w:pStyle w:val="56"/>
        <w:spacing w:line="360" w:lineRule="auto"/>
        <w:ind w:firstLine="420"/>
      </w:pPr>
      <w:r>
        <w:rPr>
          <w:rFonts w:hint="eastAsia"/>
        </w:rPr>
        <w:t>b）接口编码；</w:t>
      </w:r>
    </w:p>
    <w:p w14:paraId="0784C72E">
      <w:pPr>
        <w:pStyle w:val="56"/>
        <w:spacing w:line="360" w:lineRule="auto"/>
        <w:ind w:firstLine="420"/>
      </w:pPr>
      <w:r>
        <w:rPr>
          <w:rFonts w:hint="eastAsia"/>
        </w:rPr>
        <w:t>c）提供方；</w:t>
      </w:r>
    </w:p>
    <w:p w14:paraId="0BD9E238">
      <w:pPr>
        <w:pStyle w:val="56"/>
        <w:spacing w:line="360" w:lineRule="auto"/>
        <w:ind w:firstLine="420"/>
      </w:pPr>
      <w:r>
        <w:rPr>
          <w:rFonts w:hint="eastAsia"/>
        </w:rPr>
        <w:t>d）使用方；</w:t>
      </w:r>
    </w:p>
    <w:p w14:paraId="40C8274B">
      <w:pPr>
        <w:pStyle w:val="56"/>
        <w:spacing w:line="360" w:lineRule="auto"/>
        <w:ind w:firstLine="420"/>
      </w:pPr>
      <w:r>
        <w:rPr>
          <w:rFonts w:hint="eastAsia"/>
        </w:rPr>
        <w:t>e）接口用途；</w:t>
      </w:r>
    </w:p>
    <w:p w14:paraId="59983921">
      <w:pPr>
        <w:pStyle w:val="56"/>
        <w:spacing w:line="360" w:lineRule="auto"/>
        <w:ind w:firstLine="420"/>
      </w:pPr>
      <w:r>
        <w:rPr>
          <w:rFonts w:hint="eastAsia"/>
        </w:rPr>
        <w:t>f）字段定义；</w:t>
      </w:r>
    </w:p>
    <w:p w14:paraId="3FD49715">
      <w:pPr>
        <w:pStyle w:val="56"/>
        <w:spacing w:line="360" w:lineRule="auto"/>
        <w:ind w:firstLine="420"/>
      </w:pPr>
      <w:r>
        <w:rPr>
          <w:rFonts w:hint="eastAsia"/>
        </w:rPr>
        <w:t>g）调用方式；</w:t>
      </w:r>
    </w:p>
    <w:p w14:paraId="59B4D047">
      <w:pPr>
        <w:pStyle w:val="56"/>
        <w:spacing w:line="360" w:lineRule="auto"/>
        <w:ind w:firstLine="420"/>
      </w:pPr>
      <w:r>
        <w:rPr>
          <w:rFonts w:hint="eastAsia"/>
        </w:rPr>
        <w:t>h）调用频率；</w:t>
      </w:r>
    </w:p>
    <w:p w14:paraId="08A710DC">
      <w:pPr>
        <w:pStyle w:val="56"/>
        <w:spacing w:line="360" w:lineRule="auto"/>
        <w:ind w:firstLine="420"/>
      </w:pPr>
      <w:r>
        <w:rPr>
          <w:rFonts w:hint="eastAsia"/>
        </w:rPr>
        <w:t>i）安全要求；</w:t>
      </w:r>
    </w:p>
    <w:p w14:paraId="07C684AA">
      <w:pPr>
        <w:pStyle w:val="56"/>
        <w:spacing w:line="360" w:lineRule="auto"/>
        <w:ind w:firstLine="420"/>
      </w:pPr>
      <w:r>
        <w:rPr>
          <w:rFonts w:hint="eastAsia"/>
        </w:rPr>
        <w:t>j）责任主体。</w:t>
      </w:r>
    </w:p>
    <w:p w14:paraId="4A49DD14">
      <w:pPr>
        <w:pStyle w:val="164"/>
        <w:spacing w:line="360" w:lineRule="auto"/>
      </w:pPr>
      <w:r>
        <w:rPr>
          <w:rFonts w:hint="eastAsia"/>
        </w:rPr>
        <w:t>接口文档应与实际运行状态保持一致。</w:t>
      </w:r>
    </w:p>
    <w:p w14:paraId="0A5E09E8">
      <w:pPr>
        <w:pStyle w:val="164"/>
        <w:spacing w:line="360" w:lineRule="auto"/>
      </w:pPr>
      <w:r>
        <w:rPr>
          <w:rFonts w:hint="eastAsia"/>
        </w:rPr>
        <w:t>接口停用、迁移、替换和升级时，应履行变更确认程序。</w:t>
      </w:r>
    </w:p>
    <w:p w14:paraId="4CDFE36B">
      <w:pPr>
        <w:pStyle w:val="65"/>
        <w:spacing w:before="120" w:after="120" w:line="360" w:lineRule="auto"/>
      </w:pPr>
      <w:r>
        <w:rPr>
          <w:rFonts w:hint="eastAsia"/>
        </w:rPr>
        <w:t>接口异常管理</w:t>
      </w:r>
    </w:p>
    <w:p w14:paraId="4189CD2D">
      <w:pPr>
        <w:pStyle w:val="164"/>
        <w:spacing w:line="360" w:lineRule="auto"/>
      </w:pPr>
      <w:r>
        <w:rPr>
          <w:rFonts w:hint="eastAsia"/>
        </w:rPr>
        <w:t>接口异常包括调用失败、调用超时、认证失败、字段错配、数据空值异常和数据格式异常等情形。</w:t>
      </w:r>
    </w:p>
    <w:p w14:paraId="00163B8D">
      <w:pPr>
        <w:pStyle w:val="164"/>
        <w:spacing w:line="360" w:lineRule="auto"/>
      </w:pPr>
      <w:r>
        <w:rPr>
          <w:rFonts w:hint="eastAsia"/>
        </w:rPr>
        <w:t>发现接口异常时，应及时记录、分析、处置和反馈。</w:t>
      </w:r>
    </w:p>
    <w:p w14:paraId="7B65E1C7">
      <w:pPr>
        <w:pStyle w:val="164"/>
        <w:spacing w:line="360" w:lineRule="auto"/>
      </w:pPr>
      <w:r>
        <w:rPr>
          <w:rFonts w:hint="eastAsia"/>
        </w:rPr>
        <w:t>对反复出现异常的接口，应开展专项治理，不得长期依赖人工补录或者临时补传。</w:t>
      </w:r>
    </w:p>
    <w:p w14:paraId="2D61A655">
      <w:pPr>
        <w:pStyle w:val="105"/>
        <w:spacing w:before="120" w:after="120" w:line="360" w:lineRule="auto"/>
      </w:pPr>
      <w:r>
        <w:rPr>
          <w:rFonts w:hint="eastAsia"/>
        </w:rPr>
        <w:t>数据服务管理</w:t>
      </w:r>
    </w:p>
    <w:p w14:paraId="4A79B4F9">
      <w:pPr>
        <w:pStyle w:val="65"/>
        <w:spacing w:before="120" w:after="120" w:line="360" w:lineRule="auto"/>
      </w:pPr>
      <w:r>
        <w:rPr>
          <w:rFonts w:hint="eastAsia"/>
        </w:rPr>
        <w:t>一般要求</w:t>
      </w:r>
    </w:p>
    <w:p w14:paraId="10B48C1E">
      <w:pPr>
        <w:pStyle w:val="164"/>
        <w:spacing w:line="360" w:lineRule="auto"/>
      </w:pPr>
      <w:r>
        <w:rPr>
          <w:rFonts w:hint="eastAsia"/>
        </w:rPr>
        <w:t>对纳入共享交换范围的数据，宜形成标准化数据服务。</w:t>
      </w:r>
    </w:p>
    <w:p w14:paraId="5B76E3F3">
      <w:pPr>
        <w:pStyle w:val="164"/>
        <w:spacing w:line="360" w:lineRule="auto"/>
      </w:pPr>
      <w:r>
        <w:rPr>
          <w:rFonts w:hint="eastAsia"/>
        </w:rPr>
        <w:t>数据服务应明确服务对象、服务内容、服务等级、调用规则和责任主体。</w:t>
      </w:r>
    </w:p>
    <w:p w14:paraId="41EF5DB0">
      <w:pPr>
        <w:pStyle w:val="164"/>
        <w:spacing w:line="360" w:lineRule="auto"/>
      </w:pPr>
      <w:r>
        <w:rPr>
          <w:rFonts w:hint="eastAsia"/>
        </w:rPr>
        <w:t>数据服务应以目录为入口，以标准为基础，以授权为前提。</w:t>
      </w:r>
    </w:p>
    <w:p w14:paraId="29936850">
      <w:pPr>
        <w:pStyle w:val="65"/>
        <w:spacing w:before="120" w:after="120" w:line="360" w:lineRule="auto"/>
      </w:pPr>
      <w:r>
        <w:rPr>
          <w:rFonts w:hint="eastAsia"/>
        </w:rPr>
        <w:t>服务要求</w:t>
      </w:r>
    </w:p>
    <w:p w14:paraId="3116B144">
      <w:pPr>
        <w:pStyle w:val="164"/>
        <w:spacing w:line="360" w:lineRule="auto"/>
      </w:pPr>
      <w:r>
        <w:rPr>
          <w:rFonts w:hint="eastAsia"/>
        </w:rPr>
        <w:t>数据服务宜支持查询、调用、订阅、统计和反馈等功能。</w:t>
      </w:r>
    </w:p>
    <w:p w14:paraId="3857C2B8">
      <w:pPr>
        <w:pStyle w:val="164"/>
        <w:spacing w:line="360" w:lineRule="auto"/>
      </w:pPr>
      <w:r>
        <w:rPr>
          <w:rFonts w:hint="eastAsia"/>
        </w:rPr>
        <w:t>对重点数据服务，应设置服务可用性、服务时效性和服务准确性监测机制。</w:t>
      </w:r>
    </w:p>
    <w:p w14:paraId="3F97C6E2">
      <w:pPr>
        <w:pStyle w:val="164"/>
        <w:spacing w:line="360" w:lineRule="auto"/>
      </w:pPr>
      <w:r>
        <w:rPr>
          <w:rFonts w:hint="eastAsia"/>
        </w:rPr>
        <w:t>服务输出结果应与源数据版本、更新时间和质量状态相对应。</w:t>
      </w:r>
    </w:p>
    <w:p w14:paraId="1E24F1D0">
      <w:pPr>
        <w:pStyle w:val="164"/>
        <w:spacing w:line="360" w:lineRule="auto"/>
      </w:pPr>
      <w:r>
        <w:rPr>
          <w:rFonts w:hint="eastAsia"/>
        </w:rPr>
        <w:t>数据服务不得脱离源数据治理单独运行，不得形成无法溯源的“黑箱服务”。</w:t>
      </w:r>
    </w:p>
    <w:p w14:paraId="5144F772">
      <w:pPr>
        <w:pStyle w:val="105"/>
        <w:spacing w:before="120" w:after="120" w:line="360" w:lineRule="auto"/>
      </w:pPr>
      <w:r>
        <w:rPr>
          <w:rFonts w:hint="eastAsia"/>
        </w:rPr>
        <w:t>数据使用授权管理</w:t>
      </w:r>
    </w:p>
    <w:p w14:paraId="407625BB">
      <w:pPr>
        <w:pStyle w:val="65"/>
        <w:spacing w:before="120" w:after="120" w:line="360" w:lineRule="auto"/>
      </w:pPr>
      <w:r>
        <w:rPr>
          <w:rFonts w:hint="eastAsia"/>
        </w:rPr>
        <w:t>一般要求</w:t>
      </w:r>
    </w:p>
    <w:p w14:paraId="7BDE05D7">
      <w:pPr>
        <w:pStyle w:val="164"/>
        <w:spacing w:line="360" w:lineRule="auto"/>
      </w:pPr>
      <w:r>
        <w:rPr>
          <w:rFonts w:hint="eastAsia"/>
        </w:rPr>
        <w:t>数据共享交换和应用调用应实行授权管理。</w:t>
      </w:r>
    </w:p>
    <w:p w14:paraId="14384BB6">
      <w:pPr>
        <w:pStyle w:val="164"/>
        <w:spacing w:line="360" w:lineRule="auto"/>
      </w:pPr>
      <w:r>
        <w:rPr>
          <w:rFonts w:hint="eastAsia"/>
        </w:rPr>
        <w:t>数据使用授权应遵循最小必要、分级授权、按需开放和动态调整原则。</w:t>
      </w:r>
    </w:p>
    <w:p w14:paraId="4DF43C96">
      <w:pPr>
        <w:pStyle w:val="164"/>
        <w:spacing w:line="360" w:lineRule="auto"/>
      </w:pPr>
      <w:r>
        <w:rPr>
          <w:rFonts w:hint="eastAsia"/>
        </w:rPr>
        <w:t>授权范围应与使用岗位、业务职责、数据类别和安全等级相适应。</w:t>
      </w:r>
    </w:p>
    <w:p w14:paraId="7F2B4666">
      <w:pPr>
        <w:pStyle w:val="65"/>
        <w:spacing w:before="120" w:after="120" w:line="360" w:lineRule="auto"/>
      </w:pPr>
      <w:r>
        <w:rPr>
          <w:rFonts w:hint="eastAsia"/>
        </w:rPr>
        <w:t>授权内容</w:t>
      </w:r>
    </w:p>
    <w:p w14:paraId="2E200209">
      <w:pPr>
        <w:pStyle w:val="164"/>
        <w:spacing w:line="360" w:lineRule="auto"/>
      </w:pPr>
      <w:r>
        <w:rPr>
          <w:rFonts w:hint="eastAsia"/>
        </w:rPr>
        <w:t>授权内容应至少包括下列要素：</w:t>
      </w:r>
    </w:p>
    <w:p w14:paraId="61F24BF4">
      <w:pPr>
        <w:pStyle w:val="56"/>
        <w:spacing w:line="360" w:lineRule="auto"/>
        <w:ind w:firstLine="420"/>
      </w:pPr>
      <w:r>
        <w:rPr>
          <w:rFonts w:hint="eastAsia"/>
        </w:rPr>
        <w:t>a）授权对象；</w:t>
      </w:r>
    </w:p>
    <w:p w14:paraId="2758AAE8">
      <w:pPr>
        <w:pStyle w:val="56"/>
        <w:spacing w:line="360" w:lineRule="auto"/>
        <w:ind w:firstLine="420"/>
      </w:pPr>
      <w:r>
        <w:rPr>
          <w:rFonts w:hint="eastAsia"/>
        </w:rPr>
        <w:t>b）授权数据范围；</w:t>
      </w:r>
    </w:p>
    <w:p w14:paraId="0FA142E7">
      <w:pPr>
        <w:pStyle w:val="56"/>
        <w:spacing w:line="360" w:lineRule="auto"/>
        <w:ind w:firstLine="420"/>
      </w:pPr>
      <w:r>
        <w:rPr>
          <w:rFonts w:hint="eastAsia"/>
        </w:rPr>
        <w:t>c）授权方式；</w:t>
      </w:r>
    </w:p>
    <w:p w14:paraId="3890495F">
      <w:pPr>
        <w:pStyle w:val="56"/>
        <w:spacing w:line="360" w:lineRule="auto"/>
        <w:ind w:firstLine="420"/>
      </w:pPr>
      <w:r>
        <w:rPr>
          <w:rFonts w:hint="eastAsia"/>
        </w:rPr>
        <w:t>d）授权期限；</w:t>
      </w:r>
    </w:p>
    <w:p w14:paraId="125B96DC">
      <w:pPr>
        <w:pStyle w:val="56"/>
        <w:spacing w:line="360" w:lineRule="auto"/>
        <w:ind w:firstLine="420"/>
      </w:pPr>
      <w:r>
        <w:rPr>
          <w:rFonts w:hint="eastAsia"/>
        </w:rPr>
        <w:t>e）允许操作类型；</w:t>
      </w:r>
    </w:p>
    <w:p w14:paraId="5EB72520">
      <w:pPr>
        <w:pStyle w:val="56"/>
        <w:spacing w:line="360" w:lineRule="auto"/>
        <w:ind w:firstLine="420"/>
      </w:pPr>
      <w:r>
        <w:rPr>
          <w:rFonts w:hint="eastAsia"/>
        </w:rPr>
        <w:t>f）使用限制条件；</w:t>
      </w:r>
    </w:p>
    <w:p w14:paraId="6089C6CD">
      <w:pPr>
        <w:pStyle w:val="56"/>
        <w:spacing w:line="360" w:lineRule="auto"/>
        <w:ind w:firstLine="420"/>
      </w:pPr>
      <w:r>
        <w:rPr>
          <w:rFonts w:hint="eastAsia"/>
        </w:rPr>
        <w:t>g）责任要求。</w:t>
      </w:r>
    </w:p>
    <w:p w14:paraId="30719D89">
      <w:pPr>
        <w:pStyle w:val="164"/>
        <w:spacing w:line="360" w:lineRule="auto"/>
      </w:pPr>
      <w:r>
        <w:rPr>
          <w:rFonts w:hint="eastAsia"/>
        </w:rPr>
        <w:t>授权到期、岗位变动、职责调整或者业务结束后，应及时调整或者取消授权。</w:t>
      </w:r>
    </w:p>
    <w:p w14:paraId="760FE821">
      <w:pPr>
        <w:pStyle w:val="164"/>
        <w:spacing w:line="360" w:lineRule="auto"/>
      </w:pPr>
      <w:r>
        <w:rPr>
          <w:rFonts w:hint="eastAsia"/>
        </w:rPr>
        <w:t>未经授权，不得调用、导出、复制、转发或者共享相关数据。</w:t>
      </w:r>
    </w:p>
    <w:p w14:paraId="53CC6016">
      <w:pPr>
        <w:pStyle w:val="105"/>
        <w:spacing w:before="120" w:after="120" w:line="360" w:lineRule="auto"/>
      </w:pPr>
      <w:r>
        <w:rPr>
          <w:rFonts w:hint="eastAsia"/>
        </w:rPr>
        <w:t>数据安全管理</w:t>
      </w:r>
    </w:p>
    <w:p w14:paraId="1FFA41A0">
      <w:pPr>
        <w:pStyle w:val="65"/>
        <w:spacing w:before="120" w:after="120" w:line="360" w:lineRule="auto"/>
      </w:pPr>
      <w:r>
        <w:rPr>
          <w:rFonts w:hint="eastAsia"/>
        </w:rPr>
        <w:t>一般要求</w:t>
      </w:r>
    </w:p>
    <w:p w14:paraId="49843ABE">
      <w:pPr>
        <w:pStyle w:val="164"/>
        <w:spacing w:line="360" w:lineRule="auto"/>
      </w:pPr>
      <w:r>
        <w:rPr>
          <w:rFonts w:hint="eastAsia"/>
        </w:rPr>
        <w:t>煤矿智能化系统数据治理与资产化管理应同步落实数据安全管理要求。</w:t>
      </w:r>
    </w:p>
    <w:p w14:paraId="3759B6F8">
      <w:pPr>
        <w:pStyle w:val="164"/>
        <w:spacing w:line="360" w:lineRule="auto"/>
      </w:pPr>
      <w:r>
        <w:rPr>
          <w:rFonts w:hint="eastAsia"/>
        </w:rPr>
        <w:t>数据安全管理应覆盖数据采集、传输、存储、处理、共享、应用、归档和退出全过程。</w:t>
      </w:r>
    </w:p>
    <w:p w14:paraId="6259ADFB">
      <w:pPr>
        <w:pStyle w:val="164"/>
        <w:spacing w:line="360" w:lineRule="auto"/>
      </w:pPr>
      <w:r>
        <w:rPr>
          <w:rFonts w:hint="eastAsia"/>
        </w:rPr>
        <w:t>数据安全管理应与数据分类分级结果、使用场景和风险等级相适应。</w:t>
      </w:r>
    </w:p>
    <w:p w14:paraId="7A4B868E">
      <w:pPr>
        <w:pStyle w:val="164"/>
        <w:spacing w:line="360" w:lineRule="auto"/>
      </w:pPr>
      <w:r>
        <w:rPr>
          <w:rFonts w:hint="eastAsia"/>
        </w:rPr>
        <w:t>数据安全管理不得影响安全生产关键业务连续性，但不得因强调业务连续性而放松必要安全控制。</w:t>
      </w:r>
    </w:p>
    <w:p w14:paraId="4DE49DD2">
      <w:pPr>
        <w:pStyle w:val="65"/>
        <w:spacing w:before="120" w:after="120" w:line="360" w:lineRule="auto"/>
      </w:pPr>
      <w:r>
        <w:rPr>
          <w:rFonts w:hint="eastAsia"/>
        </w:rPr>
        <w:t>分类分级安全控制</w:t>
      </w:r>
    </w:p>
    <w:p w14:paraId="21277984">
      <w:pPr>
        <w:pStyle w:val="164"/>
        <w:spacing w:line="360" w:lineRule="auto"/>
      </w:pPr>
      <w:r>
        <w:rPr>
          <w:rFonts w:hint="eastAsia"/>
        </w:rPr>
        <w:t>不同类别、不同等级数据应实施差异化安全控制措施。</w:t>
      </w:r>
    </w:p>
    <w:p w14:paraId="3F6A3080">
      <w:pPr>
        <w:pStyle w:val="164"/>
        <w:spacing w:line="360" w:lineRule="auto"/>
      </w:pPr>
      <w:r>
        <w:rPr>
          <w:rFonts w:hint="eastAsia"/>
        </w:rPr>
        <w:t>对重要数据、敏感数据和关键业务数据，应加强访问控制、日志审计、传输保护、备份恢复和异常监测。</w:t>
      </w:r>
    </w:p>
    <w:p w14:paraId="33D9CB85">
      <w:pPr>
        <w:pStyle w:val="164"/>
        <w:spacing w:line="360" w:lineRule="auto"/>
      </w:pPr>
      <w:r>
        <w:rPr>
          <w:rFonts w:hint="eastAsia"/>
        </w:rPr>
        <w:t>对可开放共享的数据，应明确开放边界、使用边界和责任边界。</w:t>
      </w:r>
    </w:p>
    <w:p w14:paraId="45DC059F">
      <w:pPr>
        <w:pStyle w:val="65"/>
        <w:spacing w:before="120" w:after="120" w:line="360" w:lineRule="auto"/>
      </w:pPr>
      <w:r>
        <w:rPr>
          <w:rFonts w:hint="eastAsia"/>
        </w:rPr>
        <w:t>访问控制</w:t>
      </w:r>
    </w:p>
    <w:p w14:paraId="6EDD5CDF">
      <w:pPr>
        <w:pStyle w:val="164"/>
        <w:spacing w:line="360" w:lineRule="auto"/>
      </w:pPr>
      <w:r>
        <w:rPr>
          <w:rFonts w:hint="eastAsia"/>
        </w:rPr>
        <w:t>数据访问应基于身份、岗位、职责和授权状态进行控制。</w:t>
      </w:r>
    </w:p>
    <w:p w14:paraId="7A11BBCC">
      <w:pPr>
        <w:pStyle w:val="164"/>
        <w:spacing w:line="360" w:lineRule="auto"/>
      </w:pPr>
      <w:r>
        <w:rPr>
          <w:rFonts w:hint="eastAsia"/>
        </w:rPr>
        <w:t>不同系统、不同角色和不同岗位的数据访问权限应进行区分配置。</w:t>
      </w:r>
    </w:p>
    <w:p w14:paraId="61D676F3">
      <w:pPr>
        <w:pStyle w:val="164"/>
        <w:spacing w:line="360" w:lineRule="auto"/>
      </w:pPr>
      <w:r>
        <w:rPr>
          <w:rFonts w:hint="eastAsia"/>
        </w:rPr>
        <w:t>共享平台、数据中台和分析平台应建立统一身份认证和访问控制机制。</w:t>
      </w:r>
    </w:p>
    <w:p w14:paraId="7D44C26B">
      <w:pPr>
        <w:pStyle w:val="164"/>
        <w:spacing w:line="360" w:lineRule="auto"/>
      </w:pPr>
      <w:r>
        <w:rPr>
          <w:rFonts w:hint="eastAsia"/>
        </w:rPr>
        <w:t>不得使用共用账号、通用口令和无责任边界的访问方式长期管理关键数据。</w:t>
      </w:r>
    </w:p>
    <w:p w14:paraId="216FF2E8">
      <w:pPr>
        <w:pStyle w:val="65"/>
        <w:spacing w:before="120" w:after="120" w:line="360" w:lineRule="auto"/>
      </w:pPr>
      <w:r>
        <w:rPr>
          <w:rFonts w:hint="eastAsia"/>
        </w:rPr>
        <w:t>日志审计</w:t>
      </w:r>
    </w:p>
    <w:p w14:paraId="00F0C3FB">
      <w:pPr>
        <w:pStyle w:val="164"/>
        <w:spacing w:line="360" w:lineRule="auto"/>
      </w:pPr>
      <w:r>
        <w:rPr>
          <w:rFonts w:hint="eastAsia"/>
        </w:rPr>
        <w:t>数据共享交换、调用、导出、删除、变更和授权调整等活动应留存日志。</w:t>
      </w:r>
    </w:p>
    <w:p w14:paraId="6F52E44C">
      <w:pPr>
        <w:pStyle w:val="164"/>
        <w:spacing w:line="360" w:lineRule="auto"/>
      </w:pPr>
      <w:r>
        <w:rPr>
          <w:rFonts w:hint="eastAsia"/>
        </w:rPr>
        <w:t>日志应至少包括操作主体、操作时间、操作对象、操作类型、结果状态和来源位置等信息。</w:t>
      </w:r>
    </w:p>
    <w:p w14:paraId="4555C88A">
      <w:pPr>
        <w:pStyle w:val="164"/>
        <w:spacing w:line="360" w:lineRule="auto"/>
      </w:pPr>
      <w:r>
        <w:rPr>
          <w:rFonts w:hint="eastAsia"/>
        </w:rPr>
        <w:t>日志应满足查询、审计和追溯要求。</w:t>
      </w:r>
    </w:p>
    <w:p w14:paraId="6CBCDD04">
      <w:pPr>
        <w:pStyle w:val="164"/>
        <w:spacing w:line="360" w:lineRule="auto"/>
      </w:pPr>
      <w:r>
        <w:rPr>
          <w:rFonts w:hint="eastAsia"/>
        </w:rPr>
        <w:t>未留痕的数据操作活动，不得视为合规操作。</w:t>
      </w:r>
    </w:p>
    <w:p w14:paraId="239B9719">
      <w:pPr>
        <w:pStyle w:val="65"/>
        <w:spacing w:before="120" w:after="120" w:line="360" w:lineRule="auto"/>
      </w:pPr>
      <w:r>
        <w:rPr>
          <w:rFonts w:hint="eastAsia"/>
        </w:rPr>
        <w:t>备份与恢复</w:t>
      </w:r>
    </w:p>
    <w:p w14:paraId="5F02493B">
      <w:pPr>
        <w:pStyle w:val="164"/>
        <w:spacing w:line="360" w:lineRule="auto"/>
      </w:pPr>
      <w:r>
        <w:rPr>
          <w:rFonts w:hint="eastAsia"/>
        </w:rPr>
        <w:t>重要数据和重点资产数据应按规定实施备份。</w:t>
      </w:r>
    </w:p>
    <w:p w14:paraId="6B1CBF85">
      <w:pPr>
        <w:pStyle w:val="164"/>
        <w:spacing w:line="360" w:lineRule="auto"/>
      </w:pPr>
      <w:r>
        <w:rPr>
          <w:rFonts w:hint="eastAsia"/>
        </w:rPr>
        <w:t>备份策略应与数据重要程度和业务恢复要求相适应。</w:t>
      </w:r>
    </w:p>
    <w:p w14:paraId="2B56C034">
      <w:pPr>
        <w:pStyle w:val="164"/>
        <w:spacing w:line="360" w:lineRule="auto"/>
      </w:pPr>
      <w:r>
        <w:rPr>
          <w:rFonts w:hint="eastAsia"/>
        </w:rPr>
        <w:t>应定期验证备份数据的可恢复性和完整性。</w:t>
      </w:r>
    </w:p>
    <w:p w14:paraId="5541C714">
      <w:pPr>
        <w:pStyle w:val="164"/>
        <w:spacing w:line="360" w:lineRule="auto"/>
      </w:pPr>
      <w:r>
        <w:rPr>
          <w:rFonts w:hint="eastAsia"/>
        </w:rPr>
        <w:t>备份数据的存放和调用应纳入安全管理范围。</w:t>
      </w:r>
    </w:p>
    <w:p w14:paraId="44E94259">
      <w:pPr>
        <w:pStyle w:val="65"/>
        <w:spacing w:before="120" w:after="120" w:line="360" w:lineRule="auto"/>
      </w:pPr>
      <w:r>
        <w:rPr>
          <w:rFonts w:hint="eastAsia"/>
        </w:rPr>
        <w:t>安全事件管理</w:t>
      </w:r>
    </w:p>
    <w:p w14:paraId="67FFAFD9">
      <w:pPr>
        <w:pStyle w:val="164"/>
        <w:spacing w:line="360" w:lineRule="auto"/>
      </w:pPr>
      <w:r>
        <w:rPr>
          <w:rFonts w:hint="eastAsia"/>
        </w:rPr>
        <w:t>数据安全事件包括未授权访问、非法导出、数据泄露、恶意篡改、关键数据丢失、接口被滥用和共享边界失控等情形。</w:t>
      </w:r>
    </w:p>
    <w:p w14:paraId="38AACA0E">
      <w:pPr>
        <w:pStyle w:val="164"/>
        <w:spacing w:line="360" w:lineRule="auto"/>
      </w:pPr>
      <w:r>
        <w:rPr>
          <w:rFonts w:hint="eastAsia"/>
        </w:rPr>
        <w:t>发生数据安全事件时，应立即启动响应处置程序。</w:t>
      </w:r>
    </w:p>
    <w:p w14:paraId="722C809F">
      <w:pPr>
        <w:pStyle w:val="164"/>
        <w:spacing w:line="360" w:lineRule="auto"/>
      </w:pPr>
      <w:r>
        <w:rPr>
          <w:rFonts w:hint="eastAsia"/>
        </w:rPr>
        <w:t>数据安全事件应做到及时发现、及时控制、及时上报、及时分析和及时整改。</w:t>
      </w:r>
    </w:p>
    <w:p w14:paraId="6C80717B">
      <w:pPr>
        <w:pStyle w:val="164"/>
        <w:spacing w:line="360" w:lineRule="auto"/>
      </w:pPr>
      <w:r>
        <w:rPr>
          <w:rFonts w:hint="eastAsia"/>
        </w:rPr>
        <w:t>数据安全事件处置结束后，应形成复盘报告并完善防范措施。</w:t>
      </w:r>
    </w:p>
    <w:p w14:paraId="7050C685">
      <w:pPr>
        <w:pStyle w:val="105"/>
        <w:spacing w:before="120" w:after="120" w:line="360" w:lineRule="auto"/>
      </w:pPr>
      <w:r>
        <w:rPr>
          <w:rFonts w:hint="eastAsia"/>
        </w:rPr>
        <w:t>数据共享交换与安全管理要点</w:t>
      </w:r>
    </w:p>
    <w:p w14:paraId="64C84EDA">
      <w:pPr>
        <w:pStyle w:val="56"/>
        <w:spacing w:line="360" w:lineRule="auto"/>
        <w:ind w:firstLine="420"/>
      </w:pPr>
      <w:r>
        <w:rPr>
          <w:rFonts w:hint="eastAsia"/>
        </w:rPr>
        <w:t>数据共享交换与安全管理的主要控制内容见表3。表3给出了数据共享交换与安全管理的主要控制内容和控制要点。</w:t>
      </w:r>
    </w:p>
    <w:p w14:paraId="398222BD">
      <w:pPr>
        <w:pStyle w:val="112"/>
        <w:spacing w:before="120" w:after="120" w:line="360" w:lineRule="auto"/>
      </w:pPr>
      <w:r>
        <w:rPr>
          <w:rFonts w:hint="eastAsia"/>
        </w:rPr>
        <w:t>数据共享交换与安全管理要点表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550"/>
        <w:gridCol w:w="3260"/>
        <w:gridCol w:w="4524"/>
      </w:tblGrid>
      <w:tr w14:paraId="719730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550" w:type="dxa"/>
            <w:tcBorders>
              <w:top w:val="single" w:color="auto" w:sz="8" w:space="0"/>
              <w:bottom w:val="single" w:color="auto" w:sz="8" w:space="0"/>
            </w:tcBorders>
          </w:tcPr>
          <w:p w14:paraId="701B2A4D">
            <w:pPr>
              <w:pStyle w:val="178"/>
            </w:pPr>
            <w:r>
              <w:rPr>
                <w:rFonts w:hint="eastAsia"/>
              </w:rPr>
              <w:t>管理环节</w:t>
            </w:r>
          </w:p>
        </w:tc>
        <w:tc>
          <w:tcPr>
            <w:tcW w:w="3260" w:type="dxa"/>
            <w:tcBorders>
              <w:top w:val="single" w:color="auto" w:sz="8" w:space="0"/>
              <w:bottom w:val="single" w:color="auto" w:sz="8" w:space="0"/>
            </w:tcBorders>
          </w:tcPr>
          <w:p w14:paraId="5D32BB2A">
            <w:pPr>
              <w:pStyle w:val="178"/>
            </w:pPr>
            <w:r>
              <w:rPr>
                <w:rFonts w:hint="eastAsia"/>
              </w:rPr>
              <w:t>主要风险</w:t>
            </w:r>
          </w:p>
        </w:tc>
        <w:tc>
          <w:tcPr>
            <w:tcW w:w="4524" w:type="dxa"/>
            <w:tcBorders>
              <w:top w:val="single" w:color="auto" w:sz="8" w:space="0"/>
              <w:bottom w:val="single" w:color="auto" w:sz="8" w:space="0"/>
            </w:tcBorders>
          </w:tcPr>
          <w:p w14:paraId="7E43295F">
            <w:pPr>
              <w:pStyle w:val="178"/>
            </w:pPr>
            <w:r>
              <w:rPr>
                <w:rFonts w:hint="eastAsia"/>
              </w:rPr>
              <w:t>控制要点</w:t>
            </w:r>
          </w:p>
        </w:tc>
      </w:tr>
      <w:tr w14:paraId="4C872FE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Borders>
              <w:top w:val="single" w:color="auto" w:sz="8" w:space="0"/>
            </w:tcBorders>
          </w:tcPr>
          <w:p w14:paraId="501A429A">
            <w:pPr>
              <w:pStyle w:val="178"/>
            </w:pPr>
            <w:r>
              <w:rPr>
                <w:rFonts w:hint="eastAsia"/>
              </w:rPr>
              <w:t>数据共享</w:t>
            </w:r>
          </w:p>
        </w:tc>
        <w:tc>
          <w:tcPr>
            <w:tcW w:w="3260" w:type="dxa"/>
            <w:tcBorders>
              <w:top w:val="single" w:color="auto" w:sz="8" w:space="0"/>
            </w:tcBorders>
          </w:tcPr>
          <w:p w14:paraId="1A79E17E">
            <w:pPr>
              <w:pStyle w:val="178"/>
            </w:pPr>
            <w:r>
              <w:rPr>
                <w:rFonts w:hint="eastAsia"/>
              </w:rPr>
              <w:t>越权共享、口径误用、重复共享</w:t>
            </w:r>
          </w:p>
        </w:tc>
        <w:tc>
          <w:tcPr>
            <w:tcW w:w="4524" w:type="dxa"/>
            <w:tcBorders>
              <w:top w:val="single" w:color="auto" w:sz="8" w:space="0"/>
            </w:tcBorders>
          </w:tcPr>
          <w:p w14:paraId="50CC668E">
            <w:pPr>
              <w:pStyle w:val="178"/>
            </w:pPr>
            <w:r>
              <w:rPr>
                <w:rFonts w:hint="eastAsia"/>
              </w:rPr>
              <w:t>统一目录、授权审批、统一版本</w:t>
            </w:r>
          </w:p>
        </w:tc>
      </w:tr>
      <w:tr w14:paraId="02AECD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7944797E">
            <w:pPr>
              <w:pStyle w:val="178"/>
            </w:pPr>
            <w:r>
              <w:rPr>
                <w:rFonts w:hint="eastAsia"/>
              </w:rPr>
              <w:t>数据交换</w:t>
            </w:r>
          </w:p>
        </w:tc>
        <w:tc>
          <w:tcPr>
            <w:tcW w:w="3260" w:type="dxa"/>
          </w:tcPr>
          <w:p w14:paraId="52F5BDCD">
            <w:pPr>
              <w:pStyle w:val="178"/>
            </w:pPr>
            <w:r>
              <w:rPr>
                <w:rFonts w:hint="eastAsia"/>
              </w:rPr>
              <w:t>接口混乱、字段错配、传输失败</w:t>
            </w:r>
          </w:p>
        </w:tc>
        <w:tc>
          <w:tcPr>
            <w:tcW w:w="4524" w:type="dxa"/>
          </w:tcPr>
          <w:p w14:paraId="387F3205">
            <w:pPr>
              <w:pStyle w:val="178"/>
            </w:pPr>
            <w:r>
              <w:rPr>
                <w:rFonts w:hint="eastAsia"/>
              </w:rPr>
              <w:t>统一接口、字段映射、异常监测</w:t>
            </w:r>
          </w:p>
        </w:tc>
      </w:tr>
      <w:tr w14:paraId="2CFE51F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718E43F">
            <w:pPr>
              <w:pStyle w:val="178"/>
            </w:pPr>
            <w:r>
              <w:rPr>
                <w:rFonts w:hint="eastAsia"/>
              </w:rPr>
              <w:t>数据服务</w:t>
            </w:r>
          </w:p>
        </w:tc>
        <w:tc>
          <w:tcPr>
            <w:tcW w:w="3260" w:type="dxa"/>
          </w:tcPr>
          <w:p w14:paraId="60F90B05">
            <w:pPr>
              <w:pStyle w:val="178"/>
            </w:pPr>
            <w:r>
              <w:rPr>
                <w:rFonts w:hint="eastAsia"/>
              </w:rPr>
              <w:t>服务不可用、结果不可追溯</w:t>
            </w:r>
          </w:p>
        </w:tc>
        <w:tc>
          <w:tcPr>
            <w:tcW w:w="4524" w:type="dxa"/>
          </w:tcPr>
          <w:p w14:paraId="4D28B03F">
            <w:pPr>
              <w:pStyle w:val="178"/>
            </w:pPr>
            <w:r>
              <w:rPr>
                <w:rFonts w:hint="eastAsia"/>
              </w:rPr>
              <w:t>明确服务责任、保留版本和日志</w:t>
            </w:r>
          </w:p>
        </w:tc>
      </w:tr>
      <w:tr w14:paraId="5087E2F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339ADB27">
            <w:pPr>
              <w:pStyle w:val="178"/>
            </w:pPr>
            <w:r>
              <w:rPr>
                <w:rFonts w:hint="eastAsia"/>
              </w:rPr>
              <w:t>接口管理</w:t>
            </w:r>
          </w:p>
        </w:tc>
        <w:tc>
          <w:tcPr>
            <w:tcW w:w="3260" w:type="dxa"/>
          </w:tcPr>
          <w:p w14:paraId="56D63504">
            <w:pPr>
              <w:pStyle w:val="178"/>
            </w:pPr>
            <w:r>
              <w:rPr>
                <w:rFonts w:hint="eastAsia"/>
              </w:rPr>
              <w:t>非受控接口长期存在</w:t>
            </w:r>
          </w:p>
        </w:tc>
        <w:tc>
          <w:tcPr>
            <w:tcW w:w="4524" w:type="dxa"/>
          </w:tcPr>
          <w:p w14:paraId="72BCD016">
            <w:pPr>
              <w:pStyle w:val="178"/>
            </w:pPr>
            <w:r>
              <w:rPr>
                <w:rFonts w:hint="eastAsia"/>
              </w:rPr>
              <w:t>统一登记、统一发布、变更受控</w:t>
            </w:r>
          </w:p>
        </w:tc>
      </w:tr>
      <w:tr w14:paraId="2FEF38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819F046">
            <w:pPr>
              <w:pStyle w:val="178"/>
            </w:pPr>
            <w:r>
              <w:rPr>
                <w:rFonts w:hint="eastAsia"/>
              </w:rPr>
              <w:t>授权管理</w:t>
            </w:r>
          </w:p>
        </w:tc>
        <w:tc>
          <w:tcPr>
            <w:tcW w:w="3260" w:type="dxa"/>
          </w:tcPr>
          <w:p w14:paraId="66237429">
            <w:pPr>
              <w:pStyle w:val="178"/>
            </w:pPr>
            <w:r>
              <w:rPr>
                <w:rFonts w:hint="eastAsia"/>
              </w:rPr>
              <w:t>权限过大、授权失效</w:t>
            </w:r>
          </w:p>
        </w:tc>
        <w:tc>
          <w:tcPr>
            <w:tcW w:w="4524" w:type="dxa"/>
          </w:tcPr>
          <w:p w14:paraId="792C34B7">
            <w:pPr>
              <w:pStyle w:val="178"/>
            </w:pPr>
            <w:r>
              <w:rPr>
                <w:rFonts w:hint="eastAsia"/>
              </w:rPr>
              <w:t>最小必要、动态调整、留痕审计</w:t>
            </w:r>
          </w:p>
        </w:tc>
      </w:tr>
      <w:tr w14:paraId="32F9870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0767E465">
            <w:pPr>
              <w:pStyle w:val="178"/>
            </w:pPr>
            <w:r>
              <w:rPr>
                <w:rFonts w:hint="eastAsia"/>
              </w:rPr>
              <w:t>安全控制</w:t>
            </w:r>
          </w:p>
        </w:tc>
        <w:tc>
          <w:tcPr>
            <w:tcW w:w="3260" w:type="dxa"/>
          </w:tcPr>
          <w:p w14:paraId="37B1B9AE">
            <w:pPr>
              <w:pStyle w:val="178"/>
            </w:pPr>
            <w:r>
              <w:rPr>
                <w:rFonts w:hint="eastAsia"/>
              </w:rPr>
              <w:t>泄露、篡改、丢失、滥用</w:t>
            </w:r>
          </w:p>
        </w:tc>
        <w:tc>
          <w:tcPr>
            <w:tcW w:w="4524" w:type="dxa"/>
          </w:tcPr>
          <w:p w14:paraId="382D0A86">
            <w:pPr>
              <w:pStyle w:val="178"/>
            </w:pPr>
            <w:r>
              <w:rPr>
                <w:rFonts w:hint="eastAsia"/>
              </w:rPr>
              <w:t>分类分级、访问控制、日志审计、备份恢复</w:t>
            </w:r>
          </w:p>
        </w:tc>
      </w:tr>
      <w:tr w14:paraId="288DF66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550" w:type="dxa"/>
          </w:tcPr>
          <w:p w14:paraId="29BD006A">
            <w:pPr>
              <w:pStyle w:val="178"/>
            </w:pPr>
            <w:r>
              <w:rPr>
                <w:rFonts w:hint="eastAsia"/>
              </w:rPr>
              <w:t>事件处置</w:t>
            </w:r>
          </w:p>
        </w:tc>
        <w:tc>
          <w:tcPr>
            <w:tcW w:w="3260" w:type="dxa"/>
          </w:tcPr>
          <w:p w14:paraId="52C5AE2F">
            <w:pPr>
              <w:pStyle w:val="178"/>
            </w:pPr>
            <w:r>
              <w:rPr>
                <w:rFonts w:hint="eastAsia"/>
              </w:rPr>
              <w:t>响应迟缓、责任不清</w:t>
            </w:r>
          </w:p>
        </w:tc>
        <w:tc>
          <w:tcPr>
            <w:tcW w:w="4524" w:type="dxa"/>
          </w:tcPr>
          <w:p w14:paraId="04B82C73">
            <w:pPr>
              <w:pStyle w:val="178"/>
            </w:pPr>
            <w:r>
              <w:rPr>
                <w:rFonts w:hint="eastAsia"/>
              </w:rPr>
              <w:t>快速响应、逐级上报、闭环整改</w:t>
            </w:r>
          </w:p>
        </w:tc>
      </w:tr>
    </w:tbl>
    <w:p w14:paraId="74AEB1B8">
      <w:pPr>
        <w:pStyle w:val="105"/>
        <w:spacing w:before="120" w:after="120" w:line="360" w:lineRule="auto"/>
      </w:pPr>
      <w:r>
        <w:rPr>
          <w:rFonts w:hint="eastAsia"/>
        </w:rPr>
        <w:t>禁止性要求</w:t>
      </w:r>
    </w:p>
    <w:p w14:paraId="210CD9C9">
      <w:pPr>
        <w:pStyle w:val="165"/>
        <w:spacing w:line="360" w:lineRule="auto"/>
      </w:pPr>
      <w:r>
        <w:rPr>
          <w:rFonts w:hint="eastAsia"/>
        </w:rPr>
        <w:t>不得未经授权共享、交换、导出或者转发煤矿智能化系统数据。</w:t>
      </w:r>
    </w:p>
    <w:p w14:paraId="2C113A35">
      <w:pPr>
        <w:pStyle w:val="165"/>
        <w:spacing w:line="360" w:lineRule="auto"/>
      </w:pPr>
      <w:r>
        <w:rPr>
          <w:rFonts w:hint="eastAsia"/>
        </w:rPr>
        <w:t>不得通过个人存储介质、个人通信工具或者非受控网络长期传输正式业务数据。</w:t>
      </w:r>
    </w:p>
    <w:p w14:paraId="1A6169B6">
      <w:pPr>
        <w:pStyle w:val="165"/>
        <w:spacing w:line="360" w:lineRule="auto"/>
      </w:pPr>
      <w:r>
        <w:rPr>
          <w:rFonts w:hint="eastAsia"/>
        </w:rPr>
        <w:t>不得以临时接口、测试接口和脚本直连方式替代正式接口管理。</w:t>
      </w:r>
    </w:p>
    <w:p w14:paraId="603AB7E8">
      <w:pPr>
        <w:pStyle w:val="165"/>
        <w:spacing w:line="360" w:lineRule="auto"/>
      </w:pPr>
      <w:r>
        <w:rPr>
          <w:rFonts w:hint="eastAsia"/>
        </w:rPr>
        <w:t>不得在未明确责任主体和使用边界的情况下向外部系统开放关键数据。</w:t>
      </w:r>
    </w:p>
    <w:p w14:paraId="7E1A7F84">
      <w:pPr>
        <w:pStyle w:val="165"/>
        <w:spacing w:line="360" w:lineRule="auto"/>
      </w:pPr>
      <w:r>
        <w:rPr>
          <w:rFonts w:hint="eastAsia"/>
        </w:rPr>
        <w:t>不得将未经安全控制的数据直接接入核心生产和安全管理平台。</w:t>
      </w:r>
    </w:p>
    <w:p w14:paraId="0B852F90">
      <w:pPr>
        <w:pStyle w:val="165"/>
        <w:numPr>
          <w:ilvl w:val="0"/>
          <w:numId w:val="0"/>
        </w:numPr>
        <w:spacing w:line="360" w:lineRule="auto"/>
        <w:rPr>
          <w:rFonts w:hint="eastAsia"/>
        </w:rPr>
      </w:pPr>
    </w:p>
    <w:p w14:paraId="60F4779E">
      <w:pPr>
        <w:pStyle w:val="104"/>
        <w:spacing w:before="240" w:after="240" w:line="360" w:lineRule="auto"/>
      </w:pPr>
      <w:bookmarkStart w:id="56" w:name="_Toc228568759"/>
      <w:r>
        <w:rPr>
          <w:rFonts w:hint="eastAsia"/>
        </w:rPr>
        <w:t>数据资产目录管理与价值评估</w:t>
      </w:r>
      <w:bookmarkEnd w:id="56"/>
    </w:p>
    <w:p w14:paraId="255F04C0">
      <w:pPr>
        <w:pStyle w:val="105"/>
        <w:spacing w:before="120" w:after="120" w:line="360" w:lineRule="auto"/>
      </w:pPr>
      <w:r>
        <w:rPr>
          <w:rFonts w:hint="eastAsia"/>
        </w:rPr>
        <w:t>一般规定</w:t>
      </w:r>
    </w:p>
    <w:p w14:paraId="1AAD7B9E">
      <w:pPr>
        <w:pStyle w:val="165"/>
        <w:spacing w:line="360" w:lineRule="auto"/>
      </w:pPr>
      <w:r>
        <w:rPr>
          <w:rFonts w:hint="eastAsia"/>
        </w:rPr>
        <w:t>煤矿智能化系统数据资产应实行目录化、台账化、分层分类和动态维护管理。</w:t>
      </w:r>
    </w:p>
    <w:p w14:paraId="27FA7DF0">
      <w:pPr>
        <w:pStyle w:val="165"/>
        <w:spacing w:line="360" w:lineRule="auto"/>
      </w:pPr>
      <w:r>
        <w:rPr>
          <w:rFonts w:hint="eastAsia"/>
        </w:rPr>
        <w:t>数据资产目录管理应以数据资源识别清晰、标准明确、质量可控和责任落实为基础。</w:t>
      </w:r>
    </w:p>
    <w:p w14:paraId="4D216E9B">
      <w:pPr>
        <w:pStyle w:val="165"/>
        <w:spacing w:line="360" w:lineRule="auto"/>
      </w:pPr>
      <w:r>
        <w:rPr>
          <w:rFonts w:hint="eastAsia"/>
        </w:rPr>
        <w:t>数据价值评估应以实际业务支撑能力、使用成效、共享程度、质量水平和运营潜力为依据。</w:t>
      </w:r>
    </w:p>
    <w:p w14:paraId="22F13617">
      <w:pPr>
        <w:pStyle w:val="165"/>
        <w:spacing w:line="360" w:lineRule="auto"/>
      </w:pPr>
      <w:r>
        <w:rPr>
          <w:rFonts w:hint="eastAsia"/>
        </w:rPr>
        <w:t>数据资产目录管理和价值评估不得脱离业务场景、脱离应用成效或者脱离质量状态单独开展。</w:t>
      </w:r>
    </w:p>
    <w:p w14:paraId="24F76679">
      <w:pPr>
        <w:pStyle w:val="165"/>
        <w:spacing w:line="360" w:lineRule="auto"/>
      </w:pPr>
      <w:r>
        <w:rPr>
          <w:rFonts w:hint="eastAsia"/>
        </w:rPr>
        <w:t>未经登记、未明确责任主体或者未通过基础质量核验的数据，不得纳入重点资产目录。</w:t>
      </w:r>
    </w:p>
    <w:p w14:paraId="77805E31">
      <w:pPr>
        <w:pStyle w:val="105"/>
        <w:spacing w:before="120" w:after="120" w:line="360" w:lineRule="auto"/>
      </w:pPr>
      <w:r>
        <w:rPr>
          <w:rFonts w:hint="eastAsia"/>
        </w:rPr>
        <w:t>数据资产识别</w:t>
      </w:r>
    </w:p>
    <w:p w14:paraId="538F5C0D">
      <w:pPr>
        <w:pStyle w:val="65"/>
        <w:spacing w:before="120" w:after="120" w:line="360" w:lineRule="auto"/>
      </w:pPr>
      <w:r>
        <w:rPr>
          <w:rFonts w:hint="eastAsia"/>
        </w:rPr>
        <w:t>一般要求</w:t>
      </w:r>
    </w:p>
    <w:p w14:paraId="383D1E60">
      <w:pPr>
        <w:pStyle w:val="164"/>
        <w:spacing w:line="360" w:lineRule="auto"/>
      </w:pPr>
      <w:r>
        <w:rPr>
          <w:rFonts w:hint="eastAsia"/>
        </w:rPr>
        <w:t>煤矿企业应在数据资源管理基础上开展数据资产识别。</w:t>
      </w:r>
    </w:p>
    <w:p w14:paraId="2420E5CE">
      <w:pPr>
        <w:pStyle w:val="164"/>
        <w:spacing w:line="360" w:lineRule="auto"/>
      </w:pPr>
      <w:r>
        <w:rPr>
          <w:rFonts w:hint="eastAsia"/>
        </w:rPr>
        <w:t>数据资产识别应遵循业务价值优先、关键场景优先、共享复用优先和治理成熟优先的原则。</w:t>
      </w:r>
    </w:p>
    <w:p w14:paraId="78B64998">
      <w:pPr>
        <w:pStyle w:val="164"/>
        <w:spacing w:line="360" w:lineRule="auto"/>
      </w:pPr>
      <w:r>
        <w:rPr>
          <w:rFonts w:hint="eastAsia"/>
        </w:rPr>
        <w:t>数据资产识别结果应形成资产清单，并纳入数据资产目录统一管理。</w:t>
      </w:r>
    </w:p>
    <w:p w14:paraId="18E13A9A">
      <w:pPr>
        <w:pStyle w:val="65"/>
        <w:spacing w:before="120" w:after="120" w:line="360" w:lineRule="auto"/>
      </w:pPr>
      <w:r>
        <w:rPr>
          <w:rFonts w:hint="eastAsia"/>
        </w:rPr>
        <w:t>识别对象</w:t>
      </w:r>
    </w:p>
    <w:p w14:paraId="5F17E158">
      <w:pPr>
        <w:pStyle w:val="164"/>
        <w:spacing w:line="360" w:lineRule="auto"/>
      </w:pPr>
      <w:r>
        <w:rPr>
          <w:rFonts w:hint="eastAsia"/>
        </w:rPr>
        <w:t>下列数据宜优先纳入资产识别范围：</w:t>
      </w:r>
    </w:p>
    <w:p w14:paraId="540572BD">
      <w:pPr>
        <w:pStyle w:val="56"/>
        <w:spacing w:line="360" w:lineRule="auto"/>
        <w:ind w:firstLine="420"/>
      </w:pPr>
      <w:r>
        <w:rPr>
          <w:rFonts w:hint="eastAsia"/>
        </w:rPr>
        <w:t>a）跨系统共享频繁的数据；</w:t>
      </w:r>
    </w:p>
    <w:p w14:paraId="700F8EC7">
      <w:pPr>
        <w:pStyle w:val="56"/>
        <w:spacing w:line="360" w:lineRule="auto"/>
        <w:ind w:firstLine="420"/>
      </w:pPr>
      <w:r>
        <w:rPr>
          <w:rFonts w:hint="eastAsia"/>
        </w:rPr>
        <w:t>b）支撑安全生产决策的重要数据；</w:t>
      </w:r>
    </w:p>
    <w:p w14:paraId="1FE56B7F">
      <w:pPr>
        <w:pStyle w:val="56"/>
        <w:spacing w:line="360" w:lineRule="auto"/>
        <w:ind w:firstLine="420"/>
      </w:pPr>
      <w:r>
        <w:rPr>
          <w:rFonts w:hint="eastAsia"/>
        </w:rPr>
        <w:t>c）支撑风险预警和趋势分析的重要数据；</w:t>
      </w:r>
    </w:p>
    <w:p w14:paraId="3F599CB6">
      <w:pPr>
        <w:pStyle w:val="56"/>
        <w:spacing w:line="360" w:lineRule="auto"/>
        <w:ind w:firstLine="420"/>
      </w:pPr>
      <w:r>
        <w:rPr>
          <w:rFonts w:hint="eastAsia"/>
        </w:rPr>
        <w:t>d）支撑设备管理和检修优化的重要数据；</w:t>
      </w:r>
    </w:p>
    <w:p w14:paraId="6BDDC715">
      <w:pPr>
        <w:pStyle w:val="56"/>
        <w:spacing w:line="360" w:lineRule="auto"/>
        <w:ind w:firstLine="420"/>
      </w:pPr>
      <w:r>
        <w:rPr>
          <w:rFonts w:hint="eastAsia"/>
        </w:rPr>
        <w:t>e）支撑经营分析和成本控制的重要数据；</w:t>
      </w:r>
    </w:p>
    <w:p w14:paraId="362B7015">
      <w:pPr>
        <w:pStyle w:val="56"/>
        <w:spacing w:line="360" w:lineRule="auto"/>
        <w:ind w:firstLine="420"/>
      </w:pPr>
      <w:r>
        <w:rPr>
          <w:rFonts w:hint="eastAsia"/>
        </w:rPr>
        <w:t>f）具有持续复用价值的主题数据集和指标数据集；</w:t>
      </w:r>
    </w:p>
    <w:p w14:paraId="7A4CAAF2">
      <w:pPr>
        <w:pStyle w:val="56"/>
        <w:spacing w:line="360" w:lineRule="auto"/>
        <w:ind w:firstLine="420"/>
      </w:pPr>
      <w:r>
        <w:rPr>
          <w:rFonts w:hint="eastAsia"/>
        </w:rPr>
        <w:t>g）经治理后可形成稳定服务能力的数据产品。</w:t>
      </w:r>
    </w:p>
    <w:p w14:paraId="41F91C43">
      <w:pPr>
        <w:pStyle w:val="164"/>
        <w:spacing w:line="360" w:lineRule="auto"/>
      </w:pPr>
      <w:r>
        <w:rPr>
          <w:rFonts w:hint="eastAsia"/>
        </w:rPr>
        <w:t>临时性、一次性、来源不稳定、质量长期失控或者业务价值不明确的数据，不宜优先纳入重点资产识别范围。</w:t>
      </w:r>
    </w:p>
    <w:p w14:paraId="744891D1">
      <w:pPr>
        <w:pStyle w:val="65"/>
        <w:spacing w:before="120" w:after="120" w:line="360" w:lineRule="auto"/>
      </w:pPr>
      <w:r>
        <w:rPr>
          <w:rFonts w:hint="eastAsia"/>
        </w:rPr>
        <w:t>识别要求</w:t>
      </w:r>
    </w:p>
    <w:p w14:paraId="1CD74CBE">
      <w:pPr>
        <w:pStyle w:val="164"/>
        <w:spacing w:line="360" w:lineRule="auto"/>
      </w:pPr>
      <w:r>
        <w:rPr>
          <w:rFonts w:hint="eastAsia"/>
        </w:rPr>
        <w:t>数据资产识别应至少考虑下列因素：</w:t>
      </w:r>
    </w:p>
    <w:p w14:paraId="4C6710A1">
      <w:pPr>
        <w:pStyle w:val="56"/>
        <w:spacing w:line="360" w:lineRule="auto"/>
        <w:ind w:firstLine="420"/>
      </w:pPr>
      <w:r>
        <w:rPr>
          <w:rFonts w:hint="eastAsia"/>
        </w:rPr>
        <w:t>a）业务必要性；</w:t>
      </w:r>
    </w:p>
    <w:p w14:paraId="28F5D3C5">
      <w:pPr>
        <w:pStyle w:val="56"/>
        <w:spacing w:line="360" w:lineRule="auto"/>
        <w:ind w:firstLine="420"/>
      </w:pPr>
      <w:r>
        <w:rPr>
          <w:rFonts w:hint="eastAsia"/>
        </w:rPr>
        <w:t>b）共享复用性；</w:t>
      </w:r>
    </w:p>
    <w:p w14:paraId="79C9F9E4">
      <w:pPr>
        <w:pStyle w:val="56"/>
        <w:spacing w:line="360" w:lineRule="auto"/>
        <w:ind w:firstLine="420"/>
      </w:pPr>
      <w:r>
        <w:rPr>
          <w:rFonts w:hint="eastAsia"/>
        </w:rPr>
        <w:t>c）质量成熟度；</w:t>
      </w:r>
    </w:p>
    <w:p w14:paraId="54848B0D">
      <w:pPr>
        <w:pStyle w:val="56"/>
        <w:spacing w:line="360" w:lineRule="auto"/>
        <w:ind w:firstLine="420"/>
      </w:pPr>
      <w:r>
        <w:rPr>
          <w:rFonts w:hint="eastAsia"/>
        </w:rPr>
        <w:t>d）更新稳定性；</w:t>
      </w:r>
    </w:p>
    <w:p w14:paraId="7BD748DC">
      <w:pPr>
        <w:pStyle w:val="56"/>
        <w:spacing w:line="360" w:lineRule="auto"/>
        <w:ind w:firstLine="420"/>
      </w:pPr>
      <w:r>
        <w:rPr>
          <w:rFonts w:hint="eastAsia"/>
        </w:rPr>
        <w:t>e）治理完备度；</w:t>
      </w:r>
    </w:p>
    <w:p w14:paraId="0D1329A5">
      <w:pPr>
        <w:pStyle w:val="56"/>
        <w:spacing w:line="360" w:lineRule="auto"/>
        <w:ind w:firstLine="420"/>
      </w:pPr>
      <w:r>
        <w:rPr>
          <w:rFonts w:hint="eastAsia"/>
        </w:rPr>
        <w:t>f）应用支撑度；</w:t>
      </w:r>
    </w:p>
    <w:p w14:paraId="33314D06">
      <w:pPr>
        <w:pStyle w:val="56"/>
        <w:spacing w:line="360" w:lineRule="auto"/>
        <w:ind w:firstLine="420"/>
      </w:pPr>
      <w:r>
        <w:rPr>
          <w:rFonts w:hint="eastAsia"/>
        </w:rPr>
        <w:t>g）安全可控性；</w:t>
      </w:r>
    </w:p>
    <w:p w14:paraId="61FA45B7">
      <w:pPr>
        <w:pStyle w:val="56"/>
        <w:spacing w:line="360" w:lineRule="auto"/>
        <w:ind w:firstLine="420"/>
      </w:pPr>
      <w:r>
        <w:rPr>
          <w:rFonts w:hint="eastAsia"/>
        </w:rPr>
        <w:t>h）价值实现潜力。</w:t>
      </w:r>
    </w:p>
    <w:p w14:paraId="204219F4">
      <w:pPr>
        <w:pStyle w:val="164"/>
        <w:spacing w:line="360" w:lineRule="auto"/>
      </w:pPr>
      <w:r>
        <w:rPr>
          <w:rFonts w:hint="eastAsia"/>
        </w:rPr>
        <w:t>数据资产识别应形成书面记录，并明确资产名称、资产类别、资产边界和责任主体。</w:t>
      </w:r>
    </w:p>
    <w:p w14:paraId="4D831BCD">
      <w:pPr>
        <w:pStyle w:val="105"/>
        <w:spacing w:before="120" w:after="120" w:line="360" w:lineRule="auto"/>
      </w:pPr>
      <w:r>
        <w:rPr>
          <w:rFonts w:hint="eastAsia"/>
        </w:rPr>
        <w:t>数据资产目录管理</w:t>
      </w:r>
    </w:p>
    <w:p w14:paraId="18858ABB">
      <w:pPr>
        <w:pStyle w:val="65"/>
        <w:spacing w:before="120" w:after="120" w:line="360" w:lineRule="auto"/>
      </w:pPr>
      <w:r>
        <w:rPr>
          <w:rFonts w:hint="eastAsia"/>
        </w:rPr>
        <w:t>一般要求</w:t>
      </w:r>
    </w:p>
    <w:p w14:paraId="52BCF572">
      <w:pPr>
        <w:pStyle w:val="164"/>
        <w:spacing w:line="360" w:lineRule="auto"/>
      </w:pPr>
      <w:r>
        <w:rPr>
          <w:rFonts w:hint="eastAsia"/>
        </w:rPr>
        <w:t>煤矿企业应建立数据资产目录。</w:t>
      </w:r>
    </w:p>
    <w:p w14:paraId="27E76836">
      <w:pPr>
        <w:pStyle w:val="164"/>
        <w:spacing w:line="360" w:lineRule="auto"/>
      </w:pPr>
      <w:r>
        <w:rPr>
          <w:rFonts w:hint="eastAsia"/>
        </w:rPr>
        <w:t>数据资产目录应与数据资源目录相衔接，但不得简单等同于全部数据资源目录。</w:t>
      </w:r>
    </w:p>
    <w:p w14:paraId="4E8616E1">
      <w:pPr>
        <w:pStyle w:val="164"/>
        <w:spacing w:line="360" w:lineRule="auto"/>
      </w:pPr>
      <w:r>
        <w:rPr>
          <w:rFonts w:hint="eastAsia"/>
        </w:rPr>
        <w:t>数据资产目录应实行统一编码、统一分类、统一发布和动态更新。</w:t>
      </w:r>
    </w:p>
    <w:p w14:paraId="73EAF481">
      <w:pPr>
        <w:pStyle w:val="65"/>
        <w:spacing w:before="120" w:after="120" w:line="360" w:lineRule="auto"/>
      </w:pPr>
      <w:r>
        <w:rPr>
          <w:rFonts w:hint="eastAsia"/>
        </w:rPr>
        <w:t>目录内容</w:t>
      </w:r>
    </w:p>
    <w:p w14:paraId="465AA652">
      <w:pPr>
        <w:pStyle w:val="164"/>
        <w:spacing w:line="360" w:lineRule="auto"/>
      </w:pPr>
      <w:r>
        <w:rPr>
          <w:rFonts w:hint="eastAsia"/>
        </w:rPr>
        <w:t>数据资产目录应至少包括下列内容：</w:t>
      </w:r>
    </w:p>
    <w:p w14:paraId="6E169F7A">
      <w:pPr>
        <w:pStyle w:val="56"/>
        <w:spacing w:line="360" w:lineRule="auto"/>
        <w:ind w:firstLine="420"/>
      </w:pPr>
      <w:r>
        <w:rPr>
          <w:rFonts w:hint="eastAsia"/>
        </w:rPr>
        <w:t>a）资产名称；</w:t>
      </w:r>
    </w:p>
    <w:p w14:paraId="74F100A8">
      <w:pPr>
        <w:pStyle w:val="56"/>
        <w:spacing w:line="360" w:lineRule="auto"/>
        <w:ind w:firstLine="420"/>
      </w:pPr>
      <w:r>
        <w:rPr>
          <w:rFonts w:hint="eastAsia"/>
        </w:rPr>
        <w:t>b）资产编码；</w:t>
      </w:r>
    </w:p>
    <w:p w14:paraId="5CB31841">
      <w:pPr>
        <w:pStyle w:val="56"/>
        <w:spacing w:line="360" w:lineRule="auto"/>
        <w:ind w:firstLine="420"/>
      </w:pPr>
      <w:r>
        <w:rPr>
          <w:rFonts w:hint="eastAsia"/>
        </w:rPr>
        <w:t>c）资产类别；</w:t>
      </w:r>
    </w:p>
    <w:p w14:paraId="5DB64CC1">
      <w:pPr>
        <w:pStyle w:val="56"/>
        <w:spacing w:line="360" w:lineRule="auto"/>
        <w:ind w:firstLine="420"/>
      </w:pPr>
      <w:r>
        <w:rPr>
          <w:rFonts w:hint="eastAsia"/>
        </w:rPr>
        <w:t>d）资产定义；</w:t>
      </w:r>
    </w:p>
    <w:p w14:paraId="35AB6B78">
      <w:pPr>
        <w:pStyle w:val="56"/>
        <w:spacing w:line="360" w:lineRule="auto"/>
        <w:ind w:firstLine="420"/>
      </w:pPr>
      <w:r>
        <w:rPr>
          <w:rFonts w:hint="eastAsia"/>
        </w:rPr>
        <w:t>e）来源系统；</w:t>
      </w:r>
    </w:p>
    <w:p w14:paraId="0C46AEE4">
      <w:pPr>
        <w:pStyle w:val="56"/>
        <w:spacing w:line="360" w:lineRule="auto"/>
        <w:ind w:firstLine="420"/>
      </w:pPr>
      <w:r>
        <w:rPr>
          <w:rFonts w:hint="eastAsia"/>
        </w:rPr>
        <w:t>f）责任部门；</w:t>
      </w:r>
    </w:p>
    <w:p w14:paraId="0EB02192">
      <w:pPr>
        <w:pStyle w:val="56"/>
        <w:spacing w:line="360" w:lineRule="auto"/>
        <w:ind w:firstLine="420"/>
      </w:pPr>
      <w:r>
        <w:rPr>
          <w:rFonts w:hint="eastAsia"/>
        </w:rPr>
        <w:t>g）责任岗位；</w:t>
      </w:r>
    </w:p>
    <w:p w14:paraId="16048F1F">
      <w:pPr>
        <w:pStyle w:val="56"/>
        <w:spacing w:line="360" w:lineRule="auto"/>
        <w:ind w:firstLine="420"/>
      </w:pPr>
      <w:r>
        <w:rPr>
          <w:rFonts w:hint="eastAsia"/>
        </w:rPr>
        <w:t>h）资产范围；</w:t>
      </w:r>
    </w:p>
    <w:p w14:paraId="47F34AC3">
      <w:pPr>
        <w:pStyle w:val="56"/>
        <w:spacing w:line="360" w:lineRule="auto"/>
        <w:ind w:firstLine="420"/>
      </w:pPr>
      <w:r>
        <w:rPr>
          <w:rFonts w:hint="eastAsia"/>
        </w:rPr>
        <w:t>i）质量状态；</w:t>
      </w:r>
    </w:p>
    <w:p w14:paraId="5B880503">
      <w:pPr>
        <w:pStyle w:val="56"/>
        <w:spacing w:line="360" w:lineRule="auto"/>
        <w:ind w:firstLine="420"/>
      </w:pPr>
      <w:r>
        <w:rPr>
          <w:rFonts w:hint="eastAsia"/>
        </w:rPr>
        <w:t>j）共享状态；</w:t>
      </w:r>
    </w:p>
    <w:p w14:paraId="0C352CB1">
      <w:pPr>
        <w:pStyle w:val="56"/>
        <w:spacing w:line="360" w:lineRule="auto"/>
        <w:ind w:firstLine="420"/>
      </w:pPr>
      <w:r>
        <w:rPr>
          <w:rFonts w:hint="eastAsia"/>
        </w:rPr>
        <w:t>k）应用场景；</w:t>
      </w:r>
    </w:p>
    <w:p w14:paraId="6F004BA7">
      <w:pPr>
        <w:pStyle w:val="56"/>
        <w:spacing w:line="360" w:lineRule="auto"/>
        <w:ind w:firstLine="420"/>
      </w:pPr>
      <w:r>
        <w:rPr>
          <w:rFonts w:hint="eastAsia"/>
        </w:rPr>
        <w:t>l）价值属性；</w:t>
      </w:r>
    </w:p>
    <w:p w14:paraId="79633F33">
      <w:pPr>
        <w:pStyle w:val="56"/>
        <w:spacing w:line="360" w:lineRule="auto"/>
        <w:ind w:firstLine="420"/>
      </w:pPr>
      <w:r>
        <w:rPr>
          <w:rFonts w:hint="eastAsia"/>
        </w:rPr>
        <w:t>m）安全等级；</w:t>
      </w:r>
    </w:p>
    <w:p w14:paraId="6F7C7957">
      <w:pPr>
        <w:pStyle w:val="56"/>
        <w:spacing w:line="360" w:lineRule="auto"/>
        <w:ind w:firstLine="420"/>
      </w:pPr>
      <w:r>
        <w:rPr>
          <w:rFonts w:hint="eastAsia"/>
        </w:rPr>
        <w:t>n）更新状态；</w:t>
      </w:r>
    </w:p>
    <w:p w14:paraId="33D3CC69">
      <w:pPr>
        <w:pStyle w:val="56"/>
        <w:spacing w:line="360" w:lineRule="auto"/>
        <w:ind w:firstLine="420"/>
      </w:pPr>
      <w:r>
        <w:rPr>
          <w:rFonts w:hint="eastAsia"/>
        </w:rPr>
        <w:t>o）生命周期状态。</w:t>
      </w:r>
    </w:p>
    <w:p w14:paraId="7238A925">
      <w:pPr>
        <w:pStyle w:val="164"/>
        <w:spacing w:line="360" w:lineRule="auto"/>
      </w:pPr>
      <w:r>
        <w:rPr>
          <w:rFonts w:hint="eastAsia"/>
        </w:rPr>
        <w:t>目录中涉及同类资产的，应建立层级关系和关联关系。</w:t>
      </w:r>
    </w:p>
    <w:p w14:paraId="47E0487D">
      <w:pPr>
        <w:pStyle w:val="65"/>
        <w:spacing w:before="120" w:after="120" w:line="360" w:lineRule="auto"/>
      </w:pPr>
      <w:r>
        <w:rPr>
          <w:rFonts w:hint="eastAsia"/>
        </w:rPr>
        <w:t>目录分类</w:t>
      </w:r>
    </w:p>
    <w:p w14:paraId="63723777">
      <w:pPr>
        <w:pStyle w:val="164"/>
        <w:spacing w:line="360" w:lineRule="auto"/>
      </w:pPr>
      <w:r>
        <w:rPr>
          <w:rFonts w:hint="eastAsia"/>
        </w:rPr>
        <w:t>数据资产目录可按业务领域、资产形态、应用场景和价值属性分类管理。</w:t>
      </w:r>
    </w:p>
    <w:p w14:paraId="74E74CA8">
      <w:pPr>
        <w:pStyle w:val="164"/>
        <w:spacing w:line="360" w:lineRule="auto"/>
      </w:pPr>
      <w:r>
        <w:rPr>
          <w:rFonts w:hint="eastAsia"/>
        </w:rPr>
        <w:t>按资产形态可分为主数据资产、主题数据资产、指标数据资产、模型数据资产、服务数据资产和分析成果资产等。</w:t>
      </w:r>
    </w:p>
    <w:p w14:paraId="635BB456">
      <w:pPr>
        <w:pStyle w:val="164"/>
        <w:spacing w:line="360" w:lineRule="auto"/>
      </w:pPr>
      <w:r>
        <w:rPr>
          <w:rFonts w:hint="eastAsia"/>
        </w:rPr>
        <w:t>按应用场景可分为安全监测类、生产调度类、设备运维类、经营管理类、综合分析类等。</w:t>
      </w:r>
    </w:p>
    <w:p w14:paraId="4D6C59F9">
      <w:pPr>
        <w:pStyle w:val="65"/>
        <w:spacing w:before="120" w:after="120" w:line="360" w:lineRule="auto"/>
      </w:pPr>
      <w:r>
        <w:rPr>
          <w:rFonts w:hint="eastAsia"/>
        </w:rPr>
        <w:t>动态维护</w:t>
      </w:r>
    </w:p>
    <w:p w14:paraId="20709476">
      <w:pPr>
        <w:pStyle w:val="164"/>
        <w:spacing w:line="360" w:lineRule="auto"/>
      </w:pPr>
      <w:r>
        <w:rPr>
          <w:rFonts w:hint="eastAsia"/>
        </w:rPr>
        <w:t>数据资产目录应动态更新。</w:t>
      </w:r>
    </w:p>
    <w:p w14:paraId="7AADE03F">
      <w:pPr>
        <w:pStyle w:val="164"/>
        <w:spacing w:line="360" w:lineRule="auto"/>
      </w:pPr>
      <w:r>
        <w:rPr>
          <w:rFonts w:hint="eastAsia"/>
        </w:rPr>
        <w:t>新增资产、调整资产、停用资产和退出资产，应履行目录更新程序。</w:t>
      </w:r>
    </w:p>
    <w:p w14:paraId="19100373">
      <w:pPr>
        <w:pStyle w:val="164"/>
        <w:spacing w:line="360" w:lineRule="auto"/>
      </w:pPr>
      <w:r>
        <w:rPr>
          <w:rFonts w:hint="eastAsia"/>
        </w:rPr>
        <w:t>资产目录更新应同步更新台账、授权关系、质量状态和应用状态。</w:t>
      </w:r>
    </w:p>
    <w:p w14:paraId="712E4FFD">
      <w:pPr>
        <w:pStyle w:val="105"/>
        <w:spacing w:before="120" w:after="120" w:line="360" w:lineRule="auto"/>
      </w:pPr>
      <w:r>
        <w:rPr>
          <w:rFonts w:hint="eastAsia"/>
        </w:rPr>
        <w:t>数据资产台账管理</w:t>
      </w:r>
    </w:p>
    <w:p w14:paraId="27500E36">
      <w:pPr>
        <w:pStyle w:val="65"/>
        <w:spacing w:before="120" w:after="120" w:line="360" w:lineRule="auto"/>
      </w:pPr>
      <w:r>
        <w:rPr>
          <w:rFonts w:hint="eastAsia"/>
        </w:rPr>
        <w:t>一般要求</w:t>
      </w:r>
    </w:p>
    <w:p w14:paraId="770A2CAC">
      <w:pPr>
        <w:pStyle w:val="164"/>
        <w:spacing w:line="360" w:lineRule="auto"/>
      </w:pPr>
      <w:r>
        <w:rPr>
          <w:rFonts w:hint="eastAsia"/>
        </w:rPr>
        <w:t>煤矿企业应建立数据资产台账。</w:t>
      </w:r>
    </w:p>
    <w:p w14:paraId="085B9D34">
      <w:pPr>
        <w:pStyle w:val="164"/>
        <w:spacing w:line="360" w:lineRule="auto"/>
      </w:pPr>
      <w:r>
        <w:rPr>
          <w:rFonts w:hint="eastAsia"/>
        </w:rPr>
        <w:t>数据资产台账应与资产目录、资源目录、质量管理记录和共享记录保持一致。</w:t>
      </w:r>
    </w:p>
    <w:p w14:paraId="52E409A3">
      <w:pPr>
        <w:pStyle w:val="65"/>
        <w:spacing w:before="120" w:after="120" w:line="360" w:lineRule="auto"/>
      </w:pPr>
      <w:r>
        <w:rPr>
          <w:rFonts w:hint="eastAsia"/>
        </w:rPr>
        <w:t>台账内容</w:t>
      </w:r>
    </w:p>
    <w:p w14:paraId="28E78ED6">
      <w:pPr>
        <w:pStyle w:val="164"/>
        <w:spacing w:line="360" w:lineRule="auto"/>
      </w:pPr>
      <w:r>
        <w:rPr>
          <w:rFonts w:hint="eastAsia"/>
        </w:rPr>
        <w:t>数据资产台账应至少包括下列内容：</w:t>
      </w:r>
    </w:p>
    <w:p w14:paraId="08560C3F">
      <w:pPr>
        <w:pStyle w:val="56"/>
        <w:spacing w:line="360" w:lineRule="auto"/>
        <w:ind w:firstLine="420"/>
      </w:pPr>
      <w:r>
        <w:rPr>
          <w:rFonts w:hint="eastAsia"/>
        </w:rPr>
        <w:t>a）资产编码和资产名称；</w:t>
      </w:r>
    </w:p>
    <w:p w14:paraId="68208109">
      <w:pPr>
        <w:pStyle w:val="56"/>
        <w:spacing w:line="360" w:lineRule="auto"/>
        <w:ind w:firstLine="420"/>
      </w:pPr>
      <w:r>
        <w:rPr>
          <w:rFonts w:hint="eastAsia"/>
        </w:rPr>
        <w:t>b）资产来源和资产范围；</w:t>
      </w:r>
    </w:p>
    <w:p w14:paraId="4203204B">
      <w:pPr>
        <w:pStyle w:val="56"/>
        <w:spacing w:line="360" w:lineRule="auto"/>
        <w:ind w:firstLine="420"/>
      </w:pPr>
      <w:r>
        <w:rPr>
          <w:rFonts w:hint="eastAsia"/>
        </w:rPr>
        <w:t>c）责任部门和责任岗位；</w:t>
      </w:r>
    </w:p>
    <w:p w14:paraId="0CFAB7EA">
      <w:pPr>
        <w:pStyle w:val="56"/>
        <w:spacing w:line="360" w:lineRule="auto"/>
        <w:ind w:firstLine="420"/>
      </w:pPr>
      <w:r>
        <w:rPr>
          <w:rFonts w:hint="eastAsia"/>
        </w:rPr>
        <w:t>d）形成时间和更新时间；</w:t>
      </w:r>
    </w:p>
    <w:p w14:paraId="096E373F">
      <w:pPr>
        <w:pStyle w:val="56"/>
        <w:spacing w:line="360" w:lineRule="auto"/>
        <w:ind w:firstLine="420"/>
      </w:pPr>
      <w:r>
        <w:rPr>
          <w:rFonts w:hint="eastAsia"/>
        </w:rPr>
        <w:t>e）质量评价结果；</w:t>
      </w:r>
    </w:p>
    <w:p w14:paraId="644A17F1">
      <w:pPr>
        <w:pStyle w:val="56"/>
        <w:spacing w:line="360" w:lineRule="auto"/>
        <w:ind w:firstLine="420"/>
      </w:pPr>
      <w:r>
        <w:rPr>
          <w:rFonts w:hint="eastAsia"/>
        </w:rPr>
        <w:t>f）共享使用情况；</w:t>
      </w:r>
    </w:p>
    <w:p w14:paraId="09857144">
      <w:pPr>
        <w:pStyle w:val="56"/>
        <w:spacing w:line="360" w:lineRule="auto"/>
        <w:ind w:firstLine="420"/>
      </w:pPr>
      <w:r>
        <w:rPr>
          <w:rFonts w:hint="eastAsia"/>
        </w:rPr>
        <w:t>g）应用运营情况；</w:t>
      </w:r>
    </w:p>
    <w:p w14:paraId="5F56E2B7">
      <w:pPr>
        <w:pStyle w:val="56"/>
        <w:spacing w:line="360" w:lineRule="auto"/>
        <w:ind w:firstLine="420"/>
      </w:pPr>
      <w:r>
        <w:rPr>
          <w:rFonts w:hint="eastAsia"/>
        </w:rPr>
        <w:t>h）安全管理状态；</w:t>
      </w:r>
    </w:p>
    <w:p w14:paraId="23447C58">
      <w:pPr>
        <w:pStyle w:val="56"/>
        <w:spacing w:line="360" w:lineRule="auto"/>
        <w:ind w:firstLine="420"/>
      </w:pPr>
      <w:r>
        <w:rPr>
          <w:rFonts w:hint="eastAsia"/>
        </w:rPr>
        <w:t>i）变更记录；</w:t>
      </w:r>
    </w:p>
    <w:p w14:paraId="23E4DD63">
      <w:pPr>
        <w:pStyle w:val="56"/>
        <w:spacing w:line="360" w:lineRule="auto"/>
        <w:ind w:firstLine="420"/>
      </w:pPr>
      <w:r>
        <w:rPr>
          <w:rFonts w:hint="eastAsia"/>
        </w:rPr>
        <w:t>j）退出记录。</w:t>
      </w:r>
    </w:p>
    <w:p w14:paraId="170C3FA9">
      <w:pPr>
        <w:pStyle w:val="164"/>
        <w:spacing w:line="360" w:lineRule="auto"/>
      </w:pPr>
      <w:r>
        <w:rPr>
          <w:rFonts w:hint="eastAsia"/>
        </w:rPr>
        <w:t>数据资产台账应作为资产管理、价值评估、绩效评价和监督审计的重要依据。</w:t>
      </w:r>
    </w:p>
    <w:p w14:paraId="49871801">
      <w:pPr>
        <w:pStyle w:val="105"/>
        <w:spacing w:before="120" w:after="120" w:line="360" w:lineRule="auto"/>
      </w:pPr>
      <w:r>
        <w:rPr>
          <w:rFonts w:hint="eastAsia"/>
        </w:rPr>
        <w:t>数据资产登记</w:t>
      </w:r>
    </w:p>
    <w:p w14:paraId="4241F354">
      <w:pPr>
        <w:pStyle w:val="65"/>
        <w:spacing w:before="120" w:after="120" w:line="360" w:lineRule="auto"/>
      </w:pPr>
      <w:r>
        <w:rPr>
          <w:rFonts w:hint="eastAsia"/>
        </w:rPr>
        <w:t>一般要求</w:t>
      </w:r>
    </w:p>
    <w:p w14:paraId="3D85CB77">
      <w:pPr>
        <w:pStyle w:val="164"/>
        <w:spacing w:line="360" w:lineRule="auto"/>
      </w:pPr>
      <w:r>
        <w:rPr>
          <w:rFonts w:hint="eastAsia"/>
        </w:rPr>
        <w:t>纳入资产化管理范围的数据，应办理资产登记。</w:t>
      </w:r>
    </w:p>
    <w:p w14:paraId="09EA1EF1">
      <w:pPr>
        <w:pStyle w:val="164"/>
        <w:spacing w:line="360" w:lineRule="auto"/>
      </w:pPr>
      <w:r>
        <w:rPr>
          <w:rFonts w:hint="eastAsia"/>
        </w:rPr>
        <w:t>数据资产登记应坚持“成熟一个、登记一个；变更一个、更新一个”的原则。</w:t>
      </w:r>
    </w:p>
    <w:p w14:paraId="40A1785E">
      <w:pPr>
        <w:pStyle w:val="164"/>
        <w:spacing w:line="360" w:lineRule="auto"/>
      </w:pPr>
      <w:r>
        <w:rPr>
          <w:rFonts w:hint="eastAsia"/>
        </w:rPr>
        <w:t>未经登记的数据资产，不得作为正式资产管理对象参与重点运营和评价。</w:t>
      </w:r>
    </w:p>
    <w:p w14:paraId="6E1FDA3D">
      <w:pPr>
        <w:pStyle w:val="65"/>
        <w:spacing w:before="120" w:after="120" w:line="360" w:lineRule="auto"/>
      </w:pPr>
      <w:r>
        <w:rPr>
          <w:rFonts w:hint="eastAsia"/>
        </w:rPr>
        <w:t>登记条件</w:t>
      </w:r>
    </w:p>
    <w:p w14:paraId="5883ECCB">
      <w:pPr>
        <w:pStyle w:val="164"/>
        <w:spacing w:line="360" w:lineRule="auto"/>
      </w:pPr>
      <w:r>
        <w:rPr>
          <w:rFonts w:hint="eastAsia"/>
        </w:rPr>
        <w:t>数据资产登记宜满足下列条件：</w:t>
      </w:r>
    </w:p>
    <w:p w14:paraId="73DF6D36">
      <w:pPr>
        <w:pStyle w:val="56"/>
        <w:spacing w:line="360" w:lineRule="auto"/>
        <w:ind w:firstLine="420"/>
      </w:pPr>
      <w:r>
        <w:rPr>
          <w:rFonts w:hint="eastAsia"/>
        </w:rPr>
        <w:t>a）来源清晰；</w:t>
      </w:r>
    </w:p>
    <w:p w14:paraId="5D6D9DDC">
      <w:pPr>
        <w:pStyle w:val="56"/>
        <w:spacing w:line="360" w:lineRule="auto"/>
        <w:ind w:firstLine="420"/>
      </w:pPr>
      <w:r>
        <w:rPr>
          <w:rFonts w:hint="eastAsia"/>
        </w:rPr>
        <w:t>b）责任明确；</w:t>
      </w:r>
    </w:p>
    <w:p w14:paraId="514DFAD4">
      <w:pPr>
        <w:pStyle w:val="56"/>
        <w:spacing w:line="360" w:lineRule="auto"/>
        <w:ind w:firstLine="420"/>
      </w:pPr>
      <w:r>
        <w:rPr>
          <w:rFonts w:hint="eastAsia"/>
        </w:rPr>
        <w:t>c）标准明确；</w:t>
      </w:r>
    </w:p>
    <w:p w14:paraId="379C8529">
      <w:pPr>
        <w:pStyle w:val="56"/>
        <w:spacing w:line="360" w:lineRule="auto"/>
        <w:ind w:firstLine="420"/>
      </w:pPr>
      <w:r>
        <w:rPr>
          <w:rFonts w:hint="eastAsia"/>
        </w:rPr>
        <w:t>d）质量基本受控；</w:t>
      </w:r>
    </w:p>
    <w:p w14:paraId="0AAD5030">
      <w:pPr>
        <w:pStyle w:val="56"/>
        <w:spacing w:line="360" w:lineRule="auto"/>
        <w:ind w:firstLine="420"/>
      </w:pPr>
      <w:r>
        <w:rPr>
          <w:rFonts w:hint="eastAsia"/>
        </w:rPr>
        <w:t>e）目录信息完整；</w:t>
      </w:r>
    </w:p>
    <w:p w14:paraId="35E9F032">
      <w:pPr>
        <w:pStyle w:val="56"/>
        <w:spacing w:line="360" w:lineRule="auto"/>
        <w:ind w:firstLine="420"/>
      </w:pPr>
      <w:r>
        <w:rPr>
          <w:rFonts w:hint="eastAsia"/>
        </w:rPr>
        <w:t>f）使用场景明确；</w:t>
      </w:r>
    </w:p>
    <w:p w14:paraId="6AB06ED3">
      <w:pPr>
        <w:pStyle w:val="56"/>
        <w:spacing w:line="360" w:lineRule="auto"/>
        <w:ind w:firstLine="420"/>
      </w:pPr>
      <w:r>
        <w:rPr>
          <w:rFonts w:hint="eastAsia"/>
        </w:rPr>
        <w:t>g）安全边界明确；</w:t>
      </w:r>
    </w:p>
    <w:p w14:paraId="63535656">
      <w:pPr>
        <w:pStyle w:val="56"/>
        <w:spacing w:line="360" w:lineRule="auto"/>
        <w:ind w:firstLine="420"/>
      </w:pPr>
      <w:r>
        <w:rPr>
          <w:rFonts w:hint="eastAsia"/>
        </w:rPr>
        <w:t>h）具备持续管理条件。</w:t>
      </w:r>
    </w:p>
    <w:p w14:paraId="76D39337">
      <w:pPr>
        <w:pStyle w:val="164"/>
        <w:spacing w:line="360" w:lineRule="auto"/>
      </w:pPr>
      <w:r>
        <w:rPr>
          <w:rFonts w:hint="eastAsia"/>
        </w:rPr>
        <w:t>条件不满足的，应先开展补充治理，不得直接登记。</w:t>
      </w:r>
    </w:p>
    <w:p w14:paraId="7220C95D">
      <w:pPr>
        <w:pStyle w:val="105"/>
        <w:spacing w:before="120" w:after="120" w:line="360" w:lineRule="auto"/>
      </w:pPr>
      <w:r>
        <w:rPr>
          <w:rFonts w:hint="eastAsia"/>
        </w:rPr>
        <w:t>数据资产价值评估</w:t>
      </w:r>
    </w:p>
    <w:p w14:paraId="43184B1A">
      <w:pPr>
        <w:pStyle w:val="65"/>
        <w:spacing w:before="120" w:after="120" w:line="360" w:lineRule="auto"/>
      </w:pPr>
      <w:r>
        <w:rPr>
          <w:rFonts w:hint="eastAsia"/>
        </w:rPr>
        <w:t>一般要求</w:t>
      </w:r>
    </w:p>
    <w:p w14:paraId="011E0F7F">
      <w:pPr>
        <w:pStyle w:val="164"/>
        <w:spacing w:line="360" w:lineRule="auto"/>
      </w:pPr>
      <w:r>
        <w:rPr>
          <w:rFonts w:hint="eastAsia"/>
        </w:rPr>
        <w:t>煤矿企业应建立数据资产价值评估机制。</w:t>
      </w:r>
    </w:p>
    <w:p w14:paraId="6B0F11C1">
      <w:pPr>
        <w:pStyle w:val="164"/>
        <w:spacing w:line="360" w:lineRule="auto"/>
      </w:pPr>
      <w:r>
        <w:rPr>
          <w:rFonts w:hint="eastAsia"/>
        </w:rPr>
        <w:t>数据资产价值评估应坚持客观、审慎、可解释和可复核原则。</w:t>
      </w:r>
    </w:p>
    <w:p w14:paraId="0C4D71C0">
      <w:pPr>
        <w:pStyle w:val="164"/>
        <w:spacing w:line="360" w:lineRule="auto"/>
      </w:pPr>
      <w:r>
        <w:rPr>
          <w:rFonts w:hint="eastAsia"/>
        </w:rPr>
        <w:t>数据资产价值评估应服务于应用推广、资源配置、运营管理和持续改进，不得片面追求形式化量化结果。</w:t>
      </w:r>
    </w:p>
    <w:p w14:paraId="45938E07">
      <w:pPr>
        <w:pStyle w:val="65"/>
        <w:spacing w:before="120" w:after="120" w:line="360" w:lineRule="auto"/>
      </w:pPr>
      <w:r>
        <w:rPr>
          <w:rFonts w:hint="eastAsia"/>
        </w:rPr>
        <w:t>评估维度</w:t>
      </w:r>
    </w:p>
    <w:p w14:paraId="0072BEFF">
      <w:pPr>
        <w:pStyle w:val="164"/>
        <w:spacing w:line="360" w:lineRule="auto"/>
      </w:pPr>
      <w:r>
        <w:rPr>
          <w:rFonts w:hint="eastAsia"/>
        </w:rPr>
        <w:t>数据资产价值评估宜从下列维度开展：</w:t>
      </w:r>
    </w:p>
    <w:p w14:paraId="16E48714">
      <w:pPr>
        <w:pStyle w:val="56"/>
        <w:spacing w:line="360" w:lineRule="auto"/>
        <w:ind w:firstLine="420"/>
      </w:pPr>
      <w:r>
        <w:rPr>
          <w:rFonts w:hint="eastAsia"/>
        </w:rPr>
        <w:t>a）业务支撑价值；</w:t>
      </w:r>
    </w:p>
    <w:p w14:paraId="581ED558">
      <w:pPr>
        <w:pStyle w:val="56"/>
        <w:spacing w:line="360" w:lineRule="auto"/>
        <w:ind w:firstLine="420"/>
      </w:pPr>
      <w:r>
        <w:rPr>
          <w:rFonts w:hint="eastAsia"/>
        </w:rPr>
        <w:t>b）安全保障价值；</w:t>
      </w:r>
    </w:p>
    <w:p w14:paraId="31EB6AF5">
      <w:pPr>
        <w:pStyle w:val="56"/>
        <w:spacing w:line="360" w:lineRule="auto"/>
        <w:ind w:firstLine="420"/>
      </w:pPr>
      <w:r>
        <w:rPr>
          <w:rFonts w:hint="eastAsia"/>
        </w:rPr>
        <w:t>c）共享复用价值；</w:t>
      </w:r>
    </w:p>
    <w:p w14:paraId="2F73189D">
      <w:pPr>
        <w:pStyle w:val="56"/>
        <w:spacing w:line="360" w:lineRule="auto"/>
        <w:ind w:firstLine="420"/>
      </w:pPr>
      <w:r>
        <w:rPr>
          <w:rFonts w:hint="eastAsia"/>
        </w:rPr>
        <w:t>d）决策支持价值；</w:t>
      </w:r>
    </w:p>
    <w:p w14:paraId="6D84102E">
      <w:pPr>
        <w:pStyle w:val="56"/>
        <w:spacing w:line="360" w:lineRule="auto"/>
        <w:ind w:firstLine="420"/>
      </w:pPr>
      <w:r>
        <w:rPr>
          <w:rFonts w:hint="eastAsia"/>
        </w:rPr>
        <w:t>e）运营服务价值；</w:t>
      </w:r>
    </w:p>
    <w:p w14:paraId="7E6DAA0C">
      <w:pPr>
        <w:pStyle w:val="56"/>
        <w:spacing w:line="360" w:lineRule="auto"/>
        <w:ind w:firstLine="420"/>
      </w:pPr>
      <w:r>
        <w:rPr>
          <w:rFonts w:hint="eastAsia"/>
        </w:rPr>
        <w:t>f）质量成熟度；</w:t>
      </w:r>
    </w:p>
    <w:p w14:paraId="50217995">
      <w:pPr>
        <w:pStyle w:val="56"/>
        <w:spacing w:line="360" w:lineRule="auto"/>
        <w:ind w:firstLine="420"/>
      </w:pPr>
      <w:r>
        <w:rPr>
          <w:rFonts w:hint="eastAsia"/>
        </w:rPr>
        <w:t>g）治理完备度；</w:t>
      </w:r>
    </w:p>
    <w:p w14:paraId="5BF74DBC">
      <w:pPr>
        <w:pStyle w:val="56"/>
        <w:spacing w:line="360" w:lineRule="auto"/>
        <w:ind w:firstLine="420"/>
      </w:pPr>
      <w:r>
        <w:rPr>
          <w:rFonts w:hint="eastAsia"/>
        </w:rPr>
        <w:t>h）安全可控性。</w:t>
      </w:r>
    </w:p>
    <w:p w14:paraId="4ECD11C3">
      <w:pPr>
        <w:pStyle w:val="164"/>
        <w:spacing w:line="360" w:lineRule="auto"/>
      </w:pPr>
      <w:r>
        <w:rPr>
          <w:rFonts w:hint="eastAsia"/>
        </w:rPr>
        <w:t>对不同类型数据资产，可根据应用特点设置差异化评估权重。</w:t>
      </w:r>
    </w:p>
    <w:p w14:paraId="2C010401">
      <w:pPr>
        <w:pStyle w:val="65"/>
        <w:spacing w:before="120" w:after="120" w:line="360" w:lineRule="auto"/>
      </w:pPr>
      <w:r>
        <w:rPr>
          <w:rFonts w:hint="eastAsia"/>
        </w:rPr>
        <w:t>评估内容</w:t>
      </w:r>
    </w:p>
    <w:p w14:paraId="2434D015">
      <w:pPr>
        <w:pStyle w:val="56"/>
        <w:spacing w:line="360" w:lineRule="auto"/>
        <w:ind w:firstLine="420"/>
      </w:pPr>
      <w:r>
        <w:rPr>
          <w:rFonts w:hint="eastAsia"/>
        </w:rPr>
        <w:t>数据资产价值评估宜包括下列内容：</w:t>
      </w:r>
    </w:p>
    <w:p w14:paraId="13D88575">
      <w:pPr>
        <w:pStyle w:val="56"/>
        <w:spacing w:line="360" w:lineRule="auto"/>
        <w:ind w:firstLine="420"/>
      </w:pPr>
      <w:r>
        <w:rPr>
          <w:rFonts w:hint="eastAsia"/>
        </w:rPr>
        <w:t>a）是否支撑核心业务流程；</w:t>
      </w:r>
    </w:p>
    <w:p w14:paraId="74849285">
      <w:pPr>
        <w:pStyle w:val="56"/>
        <w:spacing w:line="360" w:lineRule="auto"/>
        <w:ind w:firstLine="420"/>
      </w:pPr>
      <w:r>
        <w:rPr>
          <w:rFonts w:hint="eastAsia"/>
        </w:rPr>
        <w:t>b）是否支撑安全生产预警与处置；</w:t>
      </w:r>
    </w:p>
    <w:p w14:paraId="1CF6014A">
      <w:pPr>
        <w:pStyle w:val="56"/>
        <w:spacing w:line="360" w:lineRule="auto"/>
        <w:ind w:firstLine="420"/>
      </w:pPr>
      <w:r>
        <w:rPr>
          <w:rFonts w:hint="eastAsia"/>
        </w:rPr>
        <w:t>c）是否具有跨部门复用能力；</w:t>
      </w:r>
    </w:p>
    <w:p w14:paraId="249C28DC">
      <w:pPr>
        <w:pStyle w:val="56"/>
        <w:spacing w:line="360" w:lineRule="auto"/>
        <w:ind w:firstLine="420"/>
      </w:pPr>
      <w:r>
        <w:rPr>
          <w:rFonts w:hint="eastAsia"/>
        </w:rPr>
        <w:t>d）是否形成稳定服务能力；</w:t>
      </w:r>
    </w:p>
    <w:p w14:paraId="15D84383">
      <w:pPr>
        <w:pStyle w:val="56"/>
        <w:spacing w:line="360" w:lineRule="auto"/>
        <w:ind w:firstLine="420"/>
      </w:pPr>
      <w:r>
        <w:rPr>
          <w:rFonts w:hint="eastAsia"/>
        </w:rPr>
        <w:t>e）是否支撑经营分析和管理优化；</w:t>
      </w:r>
    </w:p>
    <w:p w14:paraId="24A2A5EC">
      <w:pPr>
        <w:pStyle w:val="56"/>
        <w:spacing w:line="360" w:lineRule="auto"/>
        <w:ind w:firstLine="420"/>
      </w:pPr>
      <w:r>
        <w:rPr>
          <w:rFonts w:hint="eastAsia"/>
        </w:rPr>
        <w:t>f）质量是否持续稳定；</w:t>
      </w:r>
    </w:p>
    <w:p w14:paraId="0EC42475">
      <w:pPr>
        <w:pStyle w:val="56"/>
        <w:spacing w:line="360" w:lineRule="auto"/>
        <w:ind w:firstLine="420"/>
      </w:pPr>
      <w:r>
        <w:rPr>
          <w:rFonts w:hint="eastAsia"/>
        </w:rPr>
        <w:t>g）更新维护是否规范；</w:t>
      </w:r>
    </w:p>
    <w:p w14:paraId="6A1D8848">
      <w:pPr>
        <w:pStyle w:val="56"/>
        <w:spacing w:line="360" w:lineRule="auto"/>
        <w:ind w:firstLine="420"/>
      </w:pPr>
      <w:r>
        <w:rPr>
          <w:rFonts w:hint="eastAsia"/>
        </w:rPr>
        <w:t>h）安全风险是否可控。</w:t>
      </w:r>
    </w:p>
    <w:p w14:paraId="0F4D5C60">
      <w:pPr>
        <w:pStyle w:val="65"/>
        <w:spacing w:before="120" w:after="120" w:line="360" w:lineRule="auto"/>
      </w:pPr>
      <w:r>
        <w:rPr>
          <w:rFonts w:hint="eastAsia"/>
        </w:rPr>
        <w:t>评估结果应用</w:t>
      </w:r>
    </w:p>
    <w:p w14:paraId="3FBBB2E6">
      <w:pPr>
        <w:pStyle w:val="164"/>
        <w:spacing w:line="360" w:lineRule="auto"/>
      </w:pPr>
      <w:r>
        <w:rPr>
          <w:rFonts w:hint="eastAsia"/>
        </w:rPr>
        <w:t>评估结果可用于资产分级管理、应用优先级排序、共享策略优化和治理资源配置。</w:t>
      </w:r>
    </w:p>
    <w:p w14:paraId="6D011904">
      <w:pPr>
        <w:pStyle w:val="164"/>
        <w:spacing w:line="360" w:lineRule="auto"/>
      </w:pPr>
      <w:r>
        <w:rPr>
          <w:rFonts w:hint="eastAsia"/>
        </w:rPr>
        <w:t>对价值高、质量稳定、复用广泛的数据资产，应优先纳入重点运营范围。</w:t>
      </w:r>
    </w:p>
    <w:p w14:paraId="7CA31CDE">
      <w:pPr>
        <w:pStyle w:val="164"/>
        <w:spacing w:line="360" w:lineRule="auto"/>
      </w:pPr>
      <w:r>
        <w:rPr>
          <w:rFonts w:hint="eastAsia"/>
        </w:rPr>
        <w:t>对价值不明、质量不稳、责任不清的数据资产，应限期整改或者调整管理状态。</w:t>
      </w:r>
    </w:p>
    <w:p w14:paraId="502BDFE2">
      <w:pPr>
        <w:pStyle w:val="105"/>
        <w:spacing w:before="120" w:after="120" w:line="360" w:lineRule="auto"/>
      </w:pPr>
      <w:r>
        <w:rPr>
          <w:rFonts w:hint="eastAsia"/>
        </w:rPr>
        <w:t>数据资产分级管理</w:t>
      </w:r>
    </w:p>
    <w:p w14:paraId="01C62FEB">
      <w:pPr>
        <w:pStyle w:val="65"/>
        <w:spacing w:before="120" w:after="120" w:line="360" w:lineRule="auto"/>
      </w:pPr>
      <w:r>
        <w:rPr>
          <w:rFonts w:hint="eastAsia"/>
        </w:rPr>
        <w:t>一般要求</w:t>
      </w:r>
    </w:p>
    <w:p w14:paraId="5F31D8E9">
      <w:pPr>
        <w:pStyle w:val="164"/>
        <w:spacing w:line="360" w:lineRule="auto"/>
      </w:pPr>
      <w:r>
        <w:rPr>
          <w:rFonts w:hint="eastAsia"/>
        </w:rPr>
        <w:t>数据资产应根据价值、重要程度、共享范围、质量状态和风险水平实施分级管理。</w:t>
      </w:r>
    </w:p>
    <w:p w14:paraId="45CD2B7A">
      <w:pPr>
        <w:pStyle w:val="164"/>
        <w:spacing w:line="360" w:lineRule="auto"/>
      </w:pPr>
      <w:r>
        <w:rPr>
          <w:rFonts w:hint="eastAsia"/>
        </w:rPr>
        <w:t>分级结果应作为运营管理、授权共享、维护优先级和考核评价的依据。</w:t>
      </w:r>
    </w:p>
    <w:p w14:paraId="701BD560">
      <w:pPr>
        <w:pStyle w:val="65"/>
        <w:spacing w:before="120" w:after="120" w:line="360" w:lineRule="auto"/>
      </w:pPr>
      <w:r>
        <w:rPr>
          <w:rFonts w:hint="eastAsia"/>
        </w:rPr>
        <w:t>分级要求</w:t>
      </w:r>
    </w:p>
    <w:p w14:paraId="7EE4A6A2">
      <w:pPr>
        <w:pStyle w:val="164"/>
        <w:spacing w:line="360" w:lineRule="auto"/>
      </w:pPr>
      <w:r>
        <w:rPr>
          <w:rFonts w:hint="eastAsia"/>
        </w:rPr>
        <w:t>价值高、共享广、质量稳定、业务依赖强的数据资产，应列入重点资产。</w:t>
      </w:r>
    </w:p>
    <w:p w14:paraId="4ACD851C">
      <w:pPr>
        <w:pStyle w:val="164"/>
        <w:spacing w:line="360" w:lineRule="auto"/>
      </w:pPr>
      <w:r>
        <w:rPr>
          <w:rFonts w:hint="eastAsia"/>
        </w:rPr>
        <w:t>对重点资产，应提高质量控制频次、共享审批等级和安全管控等级。</w:t>
      </w:r>
    </w:p>
    <w:p w14:paraId="2730C94F">
      <w:pPr>
        <w:pStyle w:val="164"/>
        <w:spacing w:line="360" w:lineRule="auto"/>
      </w:pPr>
      <w:r>
        <w:rPr>
          <w:rFonts w:hint="eastAsia"/>
        </w:rPr>
        <w:t>对一般资产，应实施常规管理；对低价值或者长期不使用资产，应评估调整、归档或者退出。</w:t>
      </w:r>
    </w:p>
    <w:p w14:paraId="32CB7876">
      <w:pPr>
        <w:pStyle w:val="105"/>
        <w:spacing w:before="120" w:after="120" w:line="360" w:lineRule="auto"/>
      </w:pPr>
      <w:r>
        <w:rPr>
          <w:rFonts w:hint="eastAsia"/>
        </w:rPr>
        <w:t>数据资产应用运营</w:t>
      </w:r>
    </w:p>
    <w:p w14:paraId="5D2BA978">
      <w:pPr>
        <w:pStyle w:val="65"/>
        <w:spacing w:before="120" w:after="120" w:line="360" w:lineRule="auto"/>
      </w:pPr>
      <w:r>
        <w:rPr>
          <w:rFonts w:hint="eastAsia"/>
        </w:rPr>
        <w:t>一般要求</w:t>
      </w:r>
    </w:p>
    <w:p w14:paraId="040C99B7">
      <w:pPr>
        <w:pStyle w:val="164"/>
        <w:spacing w:line="360" w:lineRule="auto"/>
      </w:pPr>
      <w:r>
        <w:rPr>
          <w:rFonts w:hint="eastAsia"/>
        </w:rPr>
        <w:t>数据资产应以场景应用为牵引开展运营管理。</w:t>
      </w:r>
    </w:p>
    <w:p w14:paraId="0DFBBAE8">
      <w:pPr>
        <w:pStyle w:val="164"/>
        <w:spacing w:line="360" w:lineRule="auto"/>
      </w:pPr>
      <w:r>
        <w:rPr>
          <w:rFonts w:hint="eastAsia"/>
        </w:rPr>
        <w:t>数据资产运营应重点面向安全生产、设备管理、调度协同、经营分析、能源管理和综合决策等领域。</w:t>
      </w:r>
    </w:p>
    <w:p w14:paraId="1EE9B615">
      <w:pPr>
        <w:pStyle w:val="164"/>
        <w:spacing w:line="360" w:lineRule="auto"/>
      </w:pPr>
      <w:r>
        <w:rPr>
          <w:rFonts w:hint="eastAsia"/>
        </w:rPr>
        <w:t>数据资产运营不得脱离安全合规要求，不得突破数据授权边界。</w:t>
      </w:r>
    </w:p>
    <w:p w14:paraId="6919A81C">
      <w:pPr>
        <w:pStyle w:val="65"/>
        <w:spacing w:before="120" w:after="120" w:line="360" w:lineRule="auto"/>
      </w:pPr>
      <w:r>
        <w:rPr>
          <w:rFonts w:hint="eastAsia"/>
        </w:rPr>
        <w:t>运营要求</w:t>
      </w:r>
    </w:p>
    <w:p w14:paraId="4ADF52F6">
      <w:pPr>
        <w:pStyle w:val="164"/>
        <w:spacing w:line="360" w:lineRule="auto"/>
      </w:pPr>
      <w:r>
        <w:rPr>
          <w:rFonts w:hint="eastAsia"/>
        </w:rPr>
        <w:t>数据资产运营宜包括目录发布、服务发布、调用管理、应用跟踪、成效评估和持续优化。</w:t>
      </w:r>
    </w:p>
    <w:p w14:paraId="35EA4C03">
      <w:pPr>
        <w:pStyle w:val="164"/>
        <w:spacing w:line="360" w:lineRule="auto"/>
      </w:pPr>
      <w:r>
        <w:rPr>
          <w:rFonts w:hint="eastAsia"/>
        </w:rPr>
        <w:t>对重点数据资产，应建立使用统计、反馈评价和成效复盘机制。</w:t>
      </w:r>
    </w:p>
    <w:p w14:paraId="682E68DC">
      <w:pPr>
        <w:pStyle w:val="164"/>
        <w:spacing w:line="360" w:lineRule="auto"/>
      </w:pPr>
      <w:r>
        <w:rPr>
          <w:rFonts w:hint="eastAsia"/>
        </w:rPr>
        <w:t>数据资产运营过程中形成的新指标、新模型和新服务，符合条件的可纳入新增资产管理范围。</w:t>
      </w:r>
    </w:p>
    <w:p w14:paraId="15C2BB4A">
      <w:pPr>
        <w:pStyle w:val="164"/>
        <w:numPr>
          <w:ilvl w:val="0"/>
          <w:numId w:val="0"/>
        </w:numPr>
        <w:spacing w:line="360" w:lineRule="auto"/>
      </w:pPr>
    </w:p>
    <w:p w14:paraId="10D54762">
      <w:pPr>
        <w:pStyle w:val="164"/>
        <w:numPr>
          <w:ilvl w:val="0"/>
          <w:numId w:val="0"/>
        </w:numPr>
        <w:spacing w:line="360" w:lineRule="auto"/>
        <w:rPr>
          <w:rFonts w:hint="eastAsia"/>
        </w:rPr>
      </w:pPr>
    </w:p>
    <w:p w14:paraId="26CFE63A">
      <w:pPr>
        <w:pStyle w:val="105"/>
        <w:spacing w:before="120" w:after="120" w:line="360" w:lineRule="auto"/>
      </w:pPr>
      <w:r>
        <w:rPr>
          <w:rFonts w:hint="eastAsia"/>
        </w:rPr>
        <w:t>数据资产退出管理</w:t>
      </w:r>
    </w:p>
    <w:p w14:paraId="71EC7E67">
      <w:pPr>
        <w:pStyle w:val="65"/>
        <w:spacing w:before="120" w:after="120" w:line="360" w:lineRule="auto"/>
      </w:pPr>
      <w:r>
        <w:rPr>
          <w:rFonts w:hint="eastAsia"/>
        </w:rPr>
        <w:t>一般要求</w:t>
      </w:r>
    </w:p>
    <w:p w14:paraId="37B6C865">
      <w:pPr>
        <w:pStyle w:val="164"/>
        <w:spacing w:line="360" w:lineRule="auto"/>
      </w:pPr>
      <w:r>
        <w:rPr>
          <w:rFonts w:hint="eastAsia"/>
        </w:rPr>
        <w:t>数据资产不再具备持续使用价值、业务已终止或者系统已停用时，应按规定实施退出管理。</w:t>
      </w:r>
    </w:p>
    <w:p w14:paraId="7FEDD478">
      <w:pPr>
        <w:pStyle w:val="164"/>
        <w:spacing w:line="360" w:lineRule="auto"/>
      </w:pPr>
      <w:r>
        <w:rPr>
          <w:rFonts w:hint="eastAsia"/>
        </w:rPr>
        <w:t>数据资产退出不应破坏历史数据完整性和追溯关系。</w:t>
      </w:r>
    </w:p>
    <w:p w14:paraId="402D9B08">
      <w:pPr>
        <w:pStyle w:val="65"/>
        <w:spacing w:before="120" w:after="120" w:line="360" w:lineRule="auto"/>
      </w:pPr>
      <w:r>
        <w:rPr>
          <w:rFonts w:hint="eastAsia"/>
        </w:rPr>
        <w:t>退出要求</w:t>
      </w:r>
    </w:p>
    <w:p w14:paraId="38DF24D8">
      <w:pPr>
        <w:pStyle w:val="164"/>
        <w:spacing w:line="360" w:lineRule="auto"/>
      </w:pPr>
      <w:r>
        <w:rPr>
          <w:rFonts w:hint="eastAsia"/>
        </w:rPr>
        <w:t>数据资产退出前，应进行影响评估。</w:t>
      </w:r>
    </w:p>
    <w:p w14:paraId="7166A6D3">
      <w:pPr>
        <w:pStyle w:val="164"/>
        <w:spacing w:line="360" w:lineRule="auto"/>
      </w:pPr>
      <w:r>
        <w:rPr>
          <w:rFonts w:hint="eastAsia"/>
        </w:rPr>
        <w:t>退出时，应明确退出原因、退出范围、归档要求、保留期限和责任主体。</w:t>
      </w:r>
    </w:p>
    <w:p w14:paraId="46287D71">
      <w:pPr>
        <w:pStyle w:val="164"/>
        <w:spacing w:line="360" w:lineRule="auto"/>
      </w:pPr>
      <w:r>
        <w:rPr>
          <w:rFonts w:hint="eastAsia"/>
        </w:rPr>
        <w:t>退出后的历史记录、目录状态和台账信息应保留可追溯关系。</w:t>
      </w:r>
    </w:p>
    <w:p w14:paraId="1C457AB4">
      <w:pPr>
        <w:pStyle w:val="105"/>
        <w:spacing w:before="120" w:after="120" w:line="360" w:lineRule="auto"/>
      </w:pPr>
      <w:r>
        <w:rPr>
          <w:rFonts w:hint="eastAsia"/>
        </w:rPr>
        <w:t>数据资产目录管理与价值评估要点</w:t>
      </w:r>
    </w:p>
    <w:p w14:paraId="6153AA15">
      <w:pPr>
        <w:pStyle w:val="56"/>
        <w:spacing w:line="360" w:lineRule="auto"/>
        <w:ind w:firstLine="420"/>
      </w:pPr>
      <w:r>
        <w:rPr>
          <w:rFonts w:hint="eastAsia"/>
        </w:rPr>
        <w:t>数据资产目录管理与价值评估的主要控制内容见表4。表4给出了数据资产目录管理与价值评估的主要控制内容和控制要点。</w:t>
      </w:r>
    </w:p>
    <w:p w14:paraId="10241F8B">
      <w:pPr>
        <w:pStyle w:val="112"/>
        <w:spacing w:before="120" w:after="120" w:line="360" w:lineRule="auto"/>
      </w:pPr>
      <w:r>
        <w:rPr>
          <w:rFonts w:hint="eastAsia"/>
        </w:rPr>
        <w:t>数据资产目录管理与价值评估要点表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3119"/>
        <w:gridCol w:w="4524"/>
      </w:tblGrid>
      <w:tr w14:paraId="0721A8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367E2EF3">
            <w:pPr>
              <w:pStyle w:val="178"/>
            </w:pPr>
            <w:r>
              <w:rPr>
                <w:rFonts w:hint="eastAsia"/>
              </w:rPr>
              <w:t>管理环节</w:t>
            </w:r>
          </w:p>
        </w:tc>
        <w:tc>
          <w:tcPr>
            <w:tcW w:w="3119" w:type="dxa"/>
            <w:tcBorders>
              <w:top w:val="single" w:color="auto" w:sz="8" w:space="0"/>
              <w:bottom w:val="single" w:color="auto" w:sz="8" w:space="0"/>
            </w:tcBorders>
          </w:tcPr>
          <w:p w14:paraId="21DBF76C">
            <w:pPr>
              <w:pStyle w:val="178"/>
            </w:pPr>
            <w:r>
              <w:rPr>
                <w:rFonts w:hint="eastAsia"/>
              </w:rPr>
              <w:t>主要问题</w:t>
            </w:r>
          </w:p>
        </w:tc>
        <w:tc>
          <w:tcPr>
            <w:tcW w:w="4524" w:type="dxa"/>
            <w:tcBorders>
              <w:top w:val="single" w:color="auto" w:sz="8" w:space="0"/>
              <w:bottom w:val="single" w:color="auto" w:sz="8" w:space="0"/>
            </w:tcBorders>
          </w:tcPr>
          <w:p w14:paraId="0EAFBE3B">
            <w:pPr>
              <w:pStyle w:val="178"/>
            </w:pPr>
            <w:r>
              <w:rPr>
                <w:rFonts w:hint="eastAsia"/>
              </w:rPr>
              <w:t>控制要点</w:t>
            </w:r>
          </w:p>
        </w:tc>
      </w:tr>
      <w:tr w14:paraId="12D40B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31504352">
            <w:pPr>
              <w:pStyle w:val="178"/>
            </w:pPr>
            <w:r>
              <w:rPr>
                <w:rFonts w:hint="eastAsia"/>
              </w:rPr>
              <w:t>资产识别</w:t>
            </w:r>
          </w:p>
        </w:tc>
        <w:tc>
          <w:tcPr>
            <w:tcW w:w="3119" w:type="dxa"/>
            <w:tcBorders>
              <w:top w:val="single" w:color="auto" w:sz="8" w:space="0"/>
            </w:tcBorders>
          </w:tcPr>
          <w:p w14:paraId="6F337827">
            <w:pPr>
              <w:pStyle w:val="178"/>
            </w:pPr>
            <w:r>
              <w:rPr>
                <w:rFonts w:hint="eastAsia"/>
              </w:rPr>
              <w:t>识别边界不清、与资源目录混同</w:t>
            </w:r>
          </w:p>
        </w:tc>
        <w:tc>
          <w:tcPr>
            <w:tcW w:w="4524" w:type="dxa"/>
            <w:tcBorders>
              <w:top w:val="single" w:color="auto" w:sz="8" w:space="0"/>
            </w:tcBorders>
          </w:tcPr>
          <w:p w14:paraId="2495686E">
            <w:pPr>
              <w:pStyle w:val="178"/>
            </w:pPr>
            <w:r>
              <w:rPr>
                <w:rFonts w:hint="eastAsia"/>
              </w:rPr>
              <w:t>明确资产范围、优先识别高价值数据</w:t>
            </w:r>
          </w:p>
        </w:tc>
      </w:tr>
      <w:tr w14:paraId="0618C4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6BDBF1EC">
            <w:pPr>
              <w:pStyle w:val="178"/>
            </w:pPr>
            <w:r>
              <w:rPr>
                <w:rFonts w:hint="eastAsia"/>
              </w:rPr>
              <w:t>目录管理</w:t>
            </w:r>
          </w:p>
        </w:tc>
        <w:tc>
          <w:tcPr>
            <w:tcW w:w="3119" w:type="dxa"/>
          </w:tcPr>
          <w:p w14:paraId="6FDCD9DA">
            <w:pPr>
              <w:pStyle w:val="178"/>
            </w:pPr>
            <w:r>
              <w:rPr>
                <w:rFonts w:hint="eastAsia"/>
              </w:rPr>
              <w:t>目录不全、更新滞后、层级混乱</w:t>
            </w:r>
          </w:p>
        </w:tc>
        <w:tc>
          <w:tcPr>
            <w:tcW w:w="4524" w:type="dxa"/>
          </w:tcPr>
          <w:p w14:paraId="069E686D">
            <w:pPr>
              <w:pStyle w:val="178"/>
            </w:pPr>
            <w:r>
              <w:rPr>
                <w:rFonts w:hint="eastAsia"/>
              </w:rPr>
              <w:t>统一编码、统一分类、动态维护</w:t>
            </w:r>
          </w:p>
        </w:tc>
      </w:tr>
      <w:tr w14:paraId="1687D0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F2B2DD1">
            <w:pPr>
              <w:pStyle w:val="178"/>
            </w:pPr>
            <w:r>
              <w:rPr>
                <w:rFonts w:hint="eastAsia"/>
              </w:rPr>
              <w:t>资产登记</w:t>
            </w:r>
          </w:p>
        </w:tc>
        <w:tc>
          <w:tcPr>
            <w:tcW w:w="3119" w:type="dxa"/>
          </w:tcPr>
          <w:p w14:paraId="36899699">
            <w:pPr>
              <w:pStyle w:val="178"/>
            </w:pPr>
            <w:r>
              <w:rPr>
                <w:rFonts w:hint="eastAsia"/>
              </w:rPr>
              <w:t>条件不成熟即登记</w:t>
            </w:r>
          </w:p>
        </w:tc>
        <w:tc>
          <w:tcPr>
            <w:tcW w:w="4524" w:type="dxa"/>
          </w:tcPr>
          <w:p w14:paraId="5763462B">
            <w:pPr>
              <w:pStyle w:val="178"/>
            </w:pPr>
            <w:r>
              <w:rPr>
                <w:rFonts w:hint="eastAsia"/>
              </w:rPr>
              <w:t>先治理后登记，明确来源、责任和质量状态</w:t>
            </w:r>
          </w:p>
        </w:tc>
      </w:tr>
      <w:tr w14:paraId="1AAAE6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35AED93">
            <w:pPr>
              <w:pStyle w:val="178"/>
            </w:pPr>
            <w:r>
              <w:rPr>
                <w:rFonts w:hint="eastAsia"/>
              </w:rPr>
              <w:t>价值评估</w:t>
            </w:r>
          </w:p>
        </w:tc>
        <w:tc>
          <w:tcPr>
            <w:tcW w:w="3119" w:type="dxa"/>
          </w:tcPr>
          <w:p w14:paraId="025918BE">
            <w:pPr>
              <w:pStyle w:val="178"/>
            </w:pPr>
            <w:r>
              <w:rPr>
                <w:rFonts w:hint="eastAsia"/>
              </w:rPr>
              <w:t>只看数量不看价值</w:t>
            </w:r>
          </w:p>
        </w:tc>
        <w:tc>
          <w:tcPr>
            <w:tcW w:w="4524" w:type="dxa"/>
          </w:tcPr>
          <w:p w14:paraId="2F16D9B6">
            <w:pPr>
              <w:pStyle w:val="178"/>
            </w:pPr>
            <w:r>
              <w:rPr>
                <w:rFonts w:hint="eastAsia"/>
              </w:rPr>
              <w:t>从业务、安全、共享、质量和运营多维评估</w:t>
            </w:r>
          </w:p>
        </w:tc>
      </w:tr>
      <w:tr w14:paraId="4F5A0B3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964FC1F">
            <w:pPr>
              <w:pStyle w:val="178"/>
            </w:pPr>
            <w:r>
              <w:rPr>
                <w:rFonts w:hint="eastAsia"/>
              </w:rPr>
              <w:t>分级管理</w:t>
            </w:r>
          </w:p>
        </w:tc>
        <w:tc>
          <w:tcPr>
            <w:tcW w:w="3119" w:type="dxa"/>
          </w:tcPr>
          <w:p w14:paraId="22290D33">
            <w:pPr>
              <w:pStyle w:val="178"/>
            </w:pPr>
            <w:r>
              <w:rPr>
                <w:rFonts w:hint="eastAsia"/>
              </w:rPr>
              <w:t>重点资产不突出</w:t>
            </w:r>
          </w:p>
        </w:tc>
        <w:tc>
          <w:tcPr>
            <w:tcW w:w="4524" w:type="dxa"/>
          </w:tcPr>
          <w:p w14:paraId="1BEC3280">
            <w:pPr>
              <w:pStyle w:val="178"/>
            </w:pPr>
            <w:r>
              <w:rPr>
                <w:rFonts w:hint="eastAsia"/>
              </w:rPr>
              <w:t>按价值和风险实施差异化管理</w:t>
            </w:r>
          </w:p>
        </w:tc>
      </w:tr>
      <w:tr w14:paraId="4DA1421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4C6D88C9">
            <w:pPr>
              <w:pStyle w:val="178"/>
            </w:pPr>
            <w:r>
              <w:rPr>
                <w:rFonts w:hint="eastAsia"/>
              </w:rPr>
              <w:t>运营应用</w:t>
            </w:r>
          </w:p>
        </w:tc>
        <w:tc>
          <w:tcPr>
            <w:tcW w:w="3119" w:type="dxa"/>
          </w:tcPr>
          <w:p w14:paraId="21256342">
            <w:pPr>
              <w:pStyle w:val="178"/>
            </w:pPr>
            <w:r>
              <w:rPr>
                <w:rFonts w:hint="eastAsia"/>
              </w:rPr>
              <w:t>有目录无应用</w:t>
            </w:r>
          </w:p>
        </w:tc>
        <w:tc>
          <w:tcPr>
            <w:tcW w:w="4524" w:type="dxa"/>
          </w:tcPr>
          <w:p w14:paraId="325DA575">
            <w:pPr>
              <w:pStyle w:val="178"/>
            </w:pPr>
            <w:r>
              <w:rPr>
                <w:rFonts w:hint="eastAsia"/>
              </w:rPr>
              <w:t>以场景牵引运营，跟踪使用成效</w:t>
            </w:r>
          </w:p>
        </w:tc>
      </w:tr>
      <w:tr w14:paraId="4C1042A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E720663">
            <w:pPr>
              <w:pStyle w:val="178"/>
            </w:pPr>
            <w:r>
              <w:rPr>
                <w:rFonts w:hint="eastAsia"/>
              </w:rPr>
              <w:t>退出管理</w:t>
            </w:r>
          </w:p>
        </w:tc>
        <w:tc>
          <w:tcPr>
            <w:tcW w:w="3119" w:type="dxa"/>
          </w:tcPr>
          <w:p w14:paraId="376BD21E">
            <w:pPr>
              <w:pStyle w:val="178"/>
            </w:pPr>
            <w:r>
              <w:rPr>
                <w:rFonts w:hint="eastAsia"/>
              </w:rPr>
              <w:t>退出后不可追溯</w:t>
            </w:r>
          </w:p>
        </w:tc>
        <w:tc>
          <w:tcPr>
            <w:tcW w:w="4524" w:type="dxa"/>
          </w:tcPr>
          <w:p w14:paraId="3E688DAF">
            <w:pPr>
              <w:pStyle w:val="178"/>
            </w:pPr>
            <w:r>
              <w:rPr>
                <w:rFonts w:hint="eastAsia"/>
              </w:rPr>
              <w:t>先评估后退出，保留历史关系</w:t>
            </w:r>
          </w:p>
        </w:tc>
      </w:tr>
    </w:tbl>
    <w:p w14:paraId="59D1D286">
      <w:pPr>
        <w:pStyle w:val="105"/>
        <w:spacing w:before="120" w:after="120" w:line="360" w:lineRule="auto"/>
      </w:pPr>
      <w:r>
        <w:rPr>
          <w:rFonts w:hint="eastAsia"/>
        </w:rPr>
        <w:t>禁止性要求</w:t>
      </w:r>
    </w:p>
    <w:p w14:paraId="7929CA55">
      <w:pPr>
        <w:pStyle w:val="165"/>
        <w:spacing w:line="360" w:lineRule="auto"/>
      </w:pPr>
      <w:r>
        <w:rPr>
          <w:rFonts w:hint="eastAsia"/>
        </w:rPr>
        <w:t>不得将全部数据资源不加区分地全部认定为数据资产。</w:t>
      </w:r>
    </w:p>
    <w:p w14:paraId="77CDD5EC">
      <w:pPr>
        <w:pStyle w:val="165"/>
        <w:spacing w:line="360" w:lineRule="auto"/>
      </w:pPr>
      <w:r>
        <w:rPr>
          <w:rFonts w:hint="eastAsia"/>
        </w:rPr>
        <w:t>不得在责任主体不明确、质量长期失控和安全边界不清的情况下开展资产登记。</w:t>
      </w:r>
    </w:p>
    <w:p w14:paraId="19150A0A">
      <w:pPr>
        <w:pStyle w:val="165"/>
        <w:spacing w:line="360" w:lineRule="auto"/>
      </w:pPr>
      <w:r>
        <w:rPr>
          <w:rFonts w:hint="eastAsia"/>
        </w:rPr>
        <w:t>不得以目录数量、资产数量和平台展示数量代替资产管理成效。</w:t>
      </w:r>
    </w:p>
    <w:p w14:paraId="3F4FCFB1">
      <w:pPr>
        <w:pStyle w:val="165"/>
        <w:spacing w:line="360" w:lineRule="auto"/>
      </w:pPr>
      <w:r>
        <w:rPr>
          <w:rFonts w:hint="eastAsia"/>
        </w:rPr>
        <w:t>不得对未形成实际业务支撑和应用成效的数据资产长期占用重点管理资源。</w:t>
      </w:r>
    </w:p>
    <w:p w14:paraId="622E087B">
      <w:pPr>
        <w:pStyle w:val="165"/>
        <w:spacing w:line="360" w:lineRule="auto"/>
      </w:pPr>
      <w:r>
        <w:rPr>
          <w:rFonts w:hint="eastAsia"/>
        </w:rPr>
        <w:t>不得擅自删除退出资产的历史登记信息和追溯关系。</w:t>
      </w:r>
    </w:p>
    <w:p w14:paraId="097F19AE">
      <w:pPr>
        <w:pStyle w:val="104"/>
        <w:spacing w:before="240" w:after="240" w:line="360" w:lineRule="auto"/>
      </w:pPr>
      <w:bookmarkStart w:id="57" w:name="_Toc228568760"/>
      <w:r>
        <w:rPr>
          <w:rFonts w:hint="eastAsia"/>
        </w:rPr>
        <w:t>保障机制、监督评价</w:t>
      </w:r>
      <w:bookmarkEnd w:id="57"/>
    </w:p>
    <w:p w14:paraId="29701A59">
      <w:pPr>
        <w:pStyle w:val="105"/>
        <w:spacing w:before="120" w:after="120" w:line="360" w:lineRule="auto"/>
      </w:pPr>
      <w:r>
        <w:rPr>
          <w:rFonts w:hint="eastAsia"/>
        </w:rPr>
        <w:t>一般规定</w:t>
      </w:r>
    </w:p>
    <w:p w14:paraId="04023C4E">
      <w:pPr>
        <w:pStyle w:val="165"/>
        <w:spacing w:line="360" w:lineRule="auto"/>
      </w:pPr>
      <w:r>
        <w:rPr>
          <w:rFonts w:hint="eastAsia"/>
        </w:rPr>
        <w:t>煤矿智能化系统数据治理与资产化管理应建立与企业发展战略、智能化建设规划和安全生产管理要求相适应的保障机制。</w:t>
      </w:r>
    </w:p>
    <w:p w14:paraId="22008DA6">
      <w:pPr>
        <w:pStyle w:val="165"/>
        <w:spacing w:line="360" w:lineRule="auto"/>
      </w:pPr>
      <w:r>
        <w:rPr>
          <w:rFonts w:hint="eastAsia"/>
        </w:rPr>
        <w:t>保障机制应覆盖组织保障、制度保障、技术保障、人才保障、资金保障、监督检查、评价考核和持续改进等内容。</w:t>
      </w:r>
    </w:p>
    <w:p w14:paraId="5DFEEEB7">
      <w:pPr>
        <w:pStyle w:val="165"/>
        <w:spacing w:line="360" w:lineRule="auto"/>
      </w:pPr>
      <w:r>
        <w:rPr>
          <w:rFonts w:hint="eastAsia"/>
        </w:rPr>
        <w:t>保障机制建设应坚持统筹推进、分步实施、重点突破和动态优化的原则。</w:t>
      </w:r>
    </w:p>
    <w:p w14:paraId="0C9232B3">
      <w:pPr>
        <w:pStyle w:val="165"/>
        <w:spacing w:line="360" w:lineRule="auto"/>
      </w:pPr>
      <w:r>
        <w:rPr>
          <w:rFonts w:hint="eastAsia"/>
        </w:rPr>
        <w:t>数据治理与资产化管理保障机制不得停留在文件层面，应落实到职责、流程、平台、资源和考核等具体环节。</w:t>
      </w:r>
    </w:p>
    <w:p w14:paraId="72FECBED">
      <w:pPr>
        <w:pStyle w:val="165"/>
        <w:spacing w:line="360" w:lineRule="auto"/>
      </w:pPr>
      <w:r>
        <w:rPr>
          <w:rFonts w:hint="eastAsia"/>
        </w:rPr>
        <w:t>对安全生产关键数据、重点资产数据和核心共享数据，应优先配置保障资源。</w:t>
      </w:r>
    </w:p>
    <w:p w14:paraId="7D7E2A40">
      <w:pPr>
        <w:pStyle w:val="105"/>
        <w:spacing w:before="120" w:after="120" w:line="360" w:lineRule="auto"/>
      </w:pPr>
      <w:r>
        <w:rPr>
          <w:rFonts w:hint="eastAsia"/>
        </w:rPr>
        <w:t>组织保障</w:t>
      </w:r>
    </w:p>
    <w:p w14:paraId="0B4526D3">
      <w:pPr>
        <w:pStyle w:val="65"/>
        <w:spacing w:before="120" w:after="120" w:line="360" w:lineRule="auto"/>
      </w:pPr>
      <w:r>
        <w:rPr>
          <w:rFonts w:hint="eastAsia"/>
        </w:rPr>
        <w:t>管理架构保障</w:t>
      </w:r>
    </w:p>
    <w:p w14:paraId="5056F0A6">
      <w:pPr>
        <w:pStyle w:val="164"/>
        <w:spacing w:line="360" w:lineRule="auto"/>
      </w:pPr>
      <w:r>
        <w:rPr>
          <w:rFonts w:hint="eastAsia"/>
        </w:rPr>
        <w:t>煤矿企业应建立与数据治理与资产化管理要求相适应的组织管理架构。</w:t>
      </w:r>
    </w:p>
    <w:p w14:paraId="65FA91EC">
      <w:pPr>
        <w:pStyle w:val="164"/>
        <w:spacing w:line="360" w:lineRule="auto"/>
      </w:pPr>
      <w:r>
        <w:rPr>
          <w:rFonts w:hint="eastAsia"/>
        </w:rPr>
        <w:t>企业应明确数据治理与资产化管理的决策机制、协调机制、执行机制和监督机制。</w:t>
      </w:r>
    </w:p>
    <w:p w14:paraId="61C7AB01">
      <w:pPr>
        <w:pStyle w:val="164"/>
        <w:spacing w:line="360" w:lineRule="auto"/>
      </w:pPr>
      <w:r>
        <w:rPr>
          <w:rFonts w:hint="eastAsia"/>
        </w:rPr>
        <w:t>对涉及多个部门、多个系统和多个层级的数据治理事项，应建立跨部门协同机制。</w:t>
      </w:r>
    </w:p>
    <w:p w14:paraId="225E8DB8">
      <w:pPr>
        <w:pStyle w:val="164"/>
        <w:spacing w:line="360" w:lineRule="auto"/>
      </w:pPr>
      <w:r>
        <w:rPr>
          <w:rFonts w:hint="eastAsia"/>
        </w:rPr>
        <w:t>对涉及重大数据标准、重大共享事项、重点资产认定、重大安全风险和重大变更事项，应建立集体研究和审定机制。</w:t>
      </w:r>
    </w:p>
    <w:p w14:paraId="7165B398">
      <w:pPr>
        <w:pStyle w:val="65"/>
        <w:spacing w:before="120" w:after="120" w:line="360" w:lineRule="auto"/>
      </w:pPr>
      <w:r>
        <w:rPr>
          <w:rFonts w:hint="eastAsia"/>
        </w:rPr>
        <w:t>责任落实保障</w:t>
      </w:r>
    </w:p>
    <w:p w14:paraId="7173194E">
      <w:pPr>
        <w:pStyle w:val="164"/>
        <w:spacing w:line="360" w:lineRule="auto"/>
      </w:pPr>
      <w:r>
        <w:rPr>
          <w:rFonts w:hint="eastAsia"/>
        </w:rPr>
        <w:t>企业应将数据治理与资产化管理责任分解到部门、岗位和系统。</w:t>
      </w:r>
    </w:p>
    <w:p w14:paraId="51A569F3">
      <w:pPr>
        <w:pStyle w:val="164"/>
        <w:spacing w:line="360" w:lineRule="auto"/>
      </w:pPr>
      <w:r>
        <w:rPr>
          <w:rFonts w:hint="eastAsia"/>
        </w:rPr>
        <w:t>各责任主体应按职责承担标准执行、数据维护、质量整改、资产登记、共享管理和安全管控等责任。</w:t>
      </w:r>
    </w:p>
    <w:p w14:paraId="5E25820A">
      <w:pPr>
        <w:pStyle w:val="164"/>
        <w:spacing w:line="360" w:lineRule="auto"/>
      </w:pPr>
      <w:r>
        <w:rPr>
          <w:rFonts w:hint="eastAsia"/>
        </w:rPr>
        <w:t>因责任主体不明确造成数据长期失管、质量持续异常或者资产目录失实的，应及时纠正并追溯责任。</w:t>
      </w:r>
    </w:p>
    <w:p w14:paraId="2F6207CE">
      <w:pPr>
        <w:pStyle w:val="164"/>
        <w:spacing w:line="360" w:lineRule="auto"/>
      </w:pPr>
      <w:r>
        <w:rPr>
          <w:rFonts w:hint="eastAsia"/>
        </w:rPr>
        <w:t>当组织机构、业务流程或者系统边界发生调整时，应同步调整数据管理职责。</w:t>
      </w:r>
    </w:p>
    <w:p w14:paraId="7464B020">
      <w:pPr>
        <w:pStyle w:val="105"/>
        <w:spacing w:before="120" w:after="120" w:line="360" w:lineRule="auto"/>
      </w:pPr>
      <w:r>
        <w:rPr>
          <w:rFonts w:hint="eastAsia"/>
        </w:rPr>
        <w:t>制度保障</w:t>
      </w:r>
    </w:p>
    <w:p w14:paraId="422AC4A7">
      <w:pPr>
        <w:pStyle w:val="65"/>
        <w:spacing w:before="120" w:after="120" w:line="360" w:lineRule="auto"/>
      </w:pPr>
      <w:r>
        <w:rPr>
          <w:rFonts w:hint="eastAsia"/>
        </w:rPr>
        <w:t>制度完善要求</w:t>
      </w:r>
    </w:p>
    <w:p w14:paraId="56DE0E41">
      <w:pPr>
        <w:pStyle w:val="164"/>
        <w:spacing w:line="360" w:lineRule="auto"/>
      </w:pPr>
      <w:r>
        <w:rPr>
          <w:rFonts w:hint="eastAsia"/>
        </w:rPr>
        <w:t>煤矿企业应持续完善数据治理与资产化管理制度体系。</w:t>
      </w:r>
    </w:p>
    <w:p w14:paraId="6593F3FB">
      <w:pPr>
        <w:pStyle w:val="164"/>
        <w:spacing w:line="360" w:lineRule="auto"/>
      </w:pPr>
      <w:r>
        <w:rPr>
          <w:rFonts w:hint="eastAsia"/>
        </w:rPr>
        <w:t>制度内容应与煤矿安全生产、经营管理、智能化建设和数据运营实际相适应。</w:t>
      </w:r>
    </w:p>
    <w:p w14:paraId="44B465CC">
      <w:pPr>
        <w:pStyle w:val="164"/>
        <w:spacing w:line="360" w:lineRule="auto"/>
      </w:pPr>
      <w:r>
        <w:rPr>
          <w:rFonts w:hint="eastAsia"/>
        </w:rPr>
        <w:t>制度内容不符合实际、长期不更新或者无法执行的，应及时修订。</w:t>
      </w:r>
    </w:p>
    <w:p w14:paraId="6718E76E">
      <w:pPr>
        <w:pStyle w:val="65"/>
        <w:spacing w:before="120" w:after="120" w:line="360" w:lineRule="auto"/>
      </w:pPr>
      <w:r>
        <w:rPr>
          <w:rFonts w:hint="eastAsia"/>
        </w:rPr>
        <w:t>执行保障要求</w:t>
      </w:r>
    </w:p>
    <w:p w14:paraId="00BFE529">
      <w:pPr>
        <w:pStyle w:val="164"/>
        <w:spacing w:line="360" w:lineRule="auto"/>
      </w:pPr>
      <w:r>
        <w:rPr>
          <w:rFonts w:hint="eastAsia"/>
        </w:rPr>
        <w:t>企业应建立制度宣贯、执行检查、问题反馈和修订优化机制。</w:t>
      </w:r>
    </w:p>
    <w:p w14:paraId="5C464198">
      <w:pPr>
        <w:pStyle w:val="164"/>
        <w:spacing w:line="360" w:lineRule="auto"/>
      </w:pPr>
      <w:r>
        <w:rPr>
          <w:rFonts w:hint="eastAsia"/>
        </w:rPr>
        <w:t>数据治理与资产化管理制度发布后，应组织相关部门和岗位学习培训。</w:t>
      </w:r>
    </w:p>
    <w:p w14:paraId="14F20A3F">
      <w:pPr>
        <w:pStyle w:val="164"/>
        <w:spacing w:line="360" w:lineRule="auto"/>
      </w:pPr>
      <w:r>
        <w:rPr>
          <w:rFonts w:hint="eastAsia"/>
        </w:rPr>
        <w:t>对制度执行偏差、执行缺失和执行不到位问题，应纳入监督整改范围。</w:t>
      </w:r>
    </w:p>
    <w:p w14:paraId="5902E040">
      <w:pPr>
        <w:pStyle w:val="164"/>
        <w:spacing w:line="360" w:lineRule="auto"/>
      </w:pPr>
      <w:r>
        <w:rPr>
          <w:rFonts w:hint="eastAsia"/>
        </w:rPr>
        <w:t>制度执行情况应纳入日常管理评价和专项检查内容。</w:t>
      </w:r>
    </w:p>
    <w:p w14:paraId="68078637">
      <w:pPr>
        <w:pStyle w:val="164"/>
        <w:numPr>
          <w:ilvl w:val="0"/>
          <w:numId w:val="0"/>
        </w:numPr>
        <w:spacing w:line="360" w:lineRule="auto"/>
      </w:pPr>
    </w:p>
    <w:p w14:paraId="3123EC7A">
      <w:pPr>
        <w:pStyle w:val="164"/>
        <w:numPr>
          <w:ilvl w:val="0"/>
          <w:numId w:val="0"/>
        </w:numPr>
        <w:spacing w:line="360" w:lineRule="auto"/>
        <w:rPr>
          <w:rFonts w:hint="eastAsia"/>
        </w:rPr>
      </w:pPr>
    </w:p>
    <w:p w14:paraId="498218EF">
      <w:pPr>
        <w:pStyle w:val="105"/>
        <w:spacing w:before="120" w:after="120" w:line="360" w:lineRule="auto"/>
      </w:pPr>
      <w:r>
        <w:rPr>
          <w:rFonts w:hint="eastAsia"/>
        </w:rPr>
        <w:t>技术保障</w:t>
      </w:r>
    </w:p>
    <w:p w14:paraId="6E1A1D6C">
      <w:pPr>
        <w:pStyle w:val="65"/>
        <w:spacing w:before="120" w:after="120" w:line="360" w:lineRule="auto"/>
      </w:pPr>
      <w:r>
        <w:rPr>
          <w:rFonts w:hint="eastAsia"/>
        </w:rPr>
        <w:t>平台与工具保障</w:t>
      </w:r>
    </w:p>
    <w:p w14:paraId="275649F4">
      <w:pPr>
        <w:pStyle w:val="164"/>
        <w:spacing w:line="360" w:lineRule="auto"/>
      </w:pPr>
      <w:r>
        <w:rPr>
          <w:rFonts w:hint="eastAsia"/>
        </w:rPr>
        <w:t>煤矿企业应根据治理和资产化管理需要，配置相应的平台、工具和技术支撑环境。</w:t>
      </w:r>
    </w:p>
    <w:p w14:paraId="5F7E92D6">
      <w:pPr>
        <w:pStyle w:val="164"/>
        <w:spacing w:line="360" w:lineRule="auto"/>
      </w:pPr>
      <w:r>
        <w:rPr>
          <w:rFonts w:hint="eastAsia"/>
        </w:rPr>
        <w:t>技术平台应满足数据接入、数据标准管理、目录管理、质量管理、共享交换、安全审计和资产登记等基本要求。</w:t>
      </w:r>
    </w:p>
    <w:p w14:paraId="02B741D1">
      <w:pPr>
        <w:pStyle w:val="164"/>
        <w:spacing w:line="360" w:lineRule="auto"/>
      </w:pPr>
      <w:r>
        <w:rPr>
          <w:rFonts w:hint="eastAsia"/>
        </w:rPr>
        <w:t>对重点矿井、重点系统和重点场景，应优先提升数据治理平台能力。</w:t>
      </w:r>
    </w:p>
    <w:p w14:paraId="703E0980">
      <w:pPr>
        <w:pStyle w:val="164"/>
        <w:spacing w:line="360" w:lineRule="auto"/>
      </w:pPr>
      <w:r>
        <w:rPr>
          <w:rFonts w:hint="eastAsia"/>
        </w:rPr>
        <w:t>平台功能不能满足管理要求时，应及时优化升级或者采取替代控制措施。</w:t>
      </w:r>
    </w:p>
    <w:p w14:paraId="60E6F37C">
      <w:pPr>
        <w:pStyle w:val="65"/>
        <w:spacing w:before="120" w:after="120" w:line="360" w:lineRule="auto"/>
      </w:pPr>
      <w:r>
        <w:rPr>
          <w:rFonts w:hint="eastAsia"/>
        </w:rPr>
        <w:t>运行维护保障</w:t>
      </w:r>
    </w:p>
    <w:p w14:paraId="04A3ABE4">
      <w:pPr>
        <w:pStyle w:val="164"/>
        <w:spacing w:line="360" w:lineRule="auto"/>
      </w:pPr>
      <w:r>
        <w:rPr>
          <w:rFonts w:hint="eastAsia"/>
        </w:rPr>
        <w:t>数据治理相关平台、接口、服务和支撑工具应纳入统一运行维护范围。</w:t>
      </w:r>
    </w:p>
    <w:p w14:paraId="7CC562AC">
      <w:pPr>
        <w:pStyle w:val="164"/>
        <w:spacing w:line="360" w:lineRule="auto"/>
      </w:pPr>
      <w:r>
        <w:rPr>
          <w:rFonts w:hint="eastAsia"/>
        </w:rPr>
        <w:t>对关键接口、关键服务和关键数据链路，应建立运行监测、故障告警和快速恢复机制。</w:t>
      </w:r>
    </w:p>
    <w:p w14:paraId="05ECC92C">
      <w:pPr>
        <w:pStyle w:val="164"/>
        <w:spacing w:line="360" w:lineRule="auto"/>
      </w:pPr>
      <w:r>
        <w:rPr>
          <w:rFonts w:hint="eastAsia"/>
        </w:rPr>
        <w:t>平台升级、接口变更、规则调整和模型变更时，应开展影响评估和验证，不得直接上线影响生产业务。</w:t>
      </w:r>
    </w:p>
    <w:p w14:paraId="3B63BE1E">
      <w:pPr>
        <w:pStyle w:val="164"/>
        <w:spacing w:line="360" w:lineRule="auto"/>
      </w:pPr>
      <w:r>
        <w:rPr>
          <w:rFonts w:hint="eastAsia"/>
        </w:rPr>
        <w:t>对影响安全生产和生产调度的数据平台故障，应优先恢复核心功能。</w:t>
      </w:r>
    </w:p>
    <w:p w14:paraId="3DBA145F">
      <w:pPr>
        <w:pStyle w:val="105"/>
        <w:spacing w:before="120" w:after="120" w:line="360" w:lineRule="auto"/>
      </w:pPr>
      <w:r>
        <w:rPr>
          <w:rFonts w:hint="eastAsia"/>
        </w:rPr>
        <w:t>人才保障</w:t>
      </w:r>
    </w:p>
    <w:p w14:paraId="0BA6189E">
      <w:pPr>
        <w:pStyle w:val="65"/>
        <w:spacing w:before="120" w:after="120" w:line="360" w:lineRule="auto"/>
      </w:pPr>
      <w:r>
        <w:rPr>
          <w:rFonts w:hint="eastAsia"/>
        </w:rPr>
        <w:t>人员配置要求</w:t>
      </w:r>
    </w:p>
    <w:p w14:paraId="0C5888F2">
      <w:pPr>
        <w:pStyle w:val="164"/>
        <w:spacing w:line="360" w:lineRule="auto"/>
      </w:pPr>
      <w:r>
        <w:rPr>
          <w:rFonts w:hint="eastAsia"/>
        </w:rPr>
        <w:t>煤矿企业应根据数据治理与资产化管理工作规模和复杂程度配置相应人员。</w:t>
      </w:r>
    </w:p>
    <w:p w14:paraId="4635541B">
      <w:pPr>
        <w:pStyle w:val="164"/>
        <w:spacing w:line="360" w:lineRule="auto"/>
      </w:pPr>
      <w:r>
        <w:rPr>
          <w:rFonts w:hint="eastAsia"/>
        </w:rPr>
        <w:t>人员配置应覆盖管理、业务、技术、安全、质量和运营等岗位类型。</w:t>
      </w:r>
    </w:p>
    <w:p w14:paraId="1AABB3B1">
      <w:pPr>
        <w:pStyle w:val="164"/>
        <w:spacing w:line="360" w:lineRule="auto"/>
      </w:pPr>
      <w:r>
        <w:rPr>
          <w:rFonts w:hint="eastAsia"/>
        </w:rPr>
        <w:t>对数据标准管理、质量治理、共享交换、安全控制和资产运营等关键岗位，不得长期缺岗或者由不具备能力人员兼任。</w:t>
      </w:r>
    </w:p>
    <w:p w14:paraId="0AE56ED5">
      <w:pPr>
        <w:pStyle w:val="65"/>
        <w:spacing w:before="120" w:after="120" w:line="360" w:lineRule="auto"/>
      </w:pPr>
      <w:r>
        <w:rPr>
          <w:rFonts w:hint="eastAsia"/>
        </w:rPr>
        <w:t>培训要求</w:t>
      </w:r>
    </w:p>
    <w:p w14:paraId="1C41A675">
      <w:pPr>
        <w:pStyle w:val="164"/>
        <w:spacing w:line="360" w:lineRule="auto"/>
      </w:pPr>
      <w:r>
        <w:rPr>
          <w:rFonts w:hint="eastAsia"/>
        </w:rPr>
        <w:t>企业应建立数据治理与资产化管理培训机制。</w:t>
      </w:r>
    </w:p>
    <w:p w14:paraId="75031D17">
      <w:pPr>
        <w:pStyle w:val="164"/>
        <w:spacing w:line="360" w:lineRule="auto"/>
      </w:pPr>
      <w:r>
        <w:rPr>
          <w:rFonts w:hint="eastAsia"/>
        </w:rPr>
        <w:t>培训内容宜包括数据标准、目录管理、质量规则、共享流程、安全要求、资产登记、价值评估和平台使用等内容。</w:t>
      </w:r>
    </w:p>
    <w:p w14:paraId="305B2944">
      <w:pPr>
        <w:pStyle w:val="164"/>
        <w:spacing w:line="360" w:lineRule="auto"/>
      </w:pPr>
      <w:r>
        <w:rPr>
          <w:rFonts w:hint="eastAsia"/>
        </w:rPr>
        <w:t>新系统上线、新规则发布、新目录调整和新资产纳入管理前，应开展针对性培训。</w:t>
      </w:r>
    </w:p>
    <w:p w14:paraId="37DD6FCD">
      <w:pPr>
        <w:pStyle w:val="164"/>
        <w:spacing w:line="360" w:lineRule="auto"/>
      </w:pPr>
      <w:r>
        <w:rPr>
          <w:rFonts w:hint="eastAsia"/>
        </w:rPr>
        <w:t>培训结果宜纳入岗位履职评价。</w:t>
      </w:r>
    </w:p>
    <w:p w14:paraId="23B0A27D">
      <w:pPr>
        <w:pStyle w:val="105"/>
        <w:spacing w:before="120" w:after="120" w:line="360" w:lineRule="auto"/>
      </w:pPr>
      <w:r>
        <w:rPr>
          <w:rFonts w:hint="eastAsia"/>
        </w:rPr>
        <w:t>资金与资源保障</w:t>
      </w:r>
    </w:p>
    <w:p w14:paraId="192EADD5">
      <w:pPr>
        <w:pStyle w:val="65"/>
        <w:spacing w:before="120" w:after="120" w:line="360" w:lineRule="auto"/>
      </w:pPr>
      <w:r>
        <w:rPr>
          <w:rFonts w:hint="eastAsia"/>
        </w:rPr>
        <w:t>资金保障要求</w:t>
      </w:r>
    </w:p>
    <w:p w14:paraId="6C38100F">
      <w:pPr>
        <w:pStyle w:val="164"/>
        <w:spacing w:line="360" w:lineRule="auto"/>
      </w:pPr>
      <w:r>
        <w:rPr>
          <w:rFonts w:hint="eastAsia"/>
        </w:rPr>
        <w:t>煤矿企业应根据数据治理与资产化管理实际需要，统筹安排必要资金。</w:t>
      </w:r>
    </w:p>
    <w:p w14:paraId="7CCA8369">
      <w:pPr>
        <w:pStyle w:val="164"/>
        <w:spacing w:line="360" w:lineRule="auto"/>
      </w:pPr>
      <w:r>
        <w:rPr>
          <w:rFonts w:hint="eastAsia"/>
        </w:rPr>
        <w:t>资金保障宜覆盖标准建设、平台建设、接口治理、质量整改、安全防护、资产管理、培训和运维等方面。</w:t>
      </w:r>
    </w:p>
    <w:p w14:paraId="7474E047">
      <w:pPr>
        <w:pStyle w:val="164"/>
        <w:spacing w:line="360" w:lineRule="auto"/>
      </w:pPr>
      <w:r>
        <w:rPr>
          <w:rFonts w:hint="eastAsia"/>
        </w:rPr>
        <w:t>对影响安全生产、跨系统协同和重点资产运营的治理任务，应优先保障资源投入。</w:t>
      </w:r>
    </w:p>
    <w:p w14:paraId="4E1C4DD3">
      <w:pPr>
        <w:pStyle w:val="65"/>
        <w:spacing w:before="120" w:after="120" w:line="360" w:lineRule="auto"/>
      </w:pPr>
      <w:r>
        <w:rPr>
          <w:rFonts w:hint="eastAsia"/>
        </w:rPr>
        <w:t>资源配置要求</w:t>
      </w:r>
    </w:p>
    <w:p w14:paraId="3FFDA263">
      <w:pPr>
        <w:pStyle w:val="164"/>
        <w:spacing w:line="360" w:lineRule="auto"/>
      </w:pPr>
      <w:r>
        <w:rPr>
          <w:rFonts w:hint="eastAsia"/>
        </w:rPr>
        <w:t>企业应合理配置服务器、存储、网络、数据库、中间件、备份系统和安全防护资源。</w:t>
      </w:r>
    </w:p>
    <w:p w14:paraId="6AA53004">
      <w:pPr>
        <w:pStyle w:val="164"/>
        <w:spacing w:line="360" w:lineRule="auto"/>
      </w:pPr>
      <w:r>
        <w:rPr>
          <w:rFonts w:hint="eastAsia"/>
        </w:rPr>
        <w:t>资源配置应与数据规模、调用频率、处理压力和恢复要求相匹配。</w:t>
      </w:r>
    </w:p>
    <w:p w14:paraId="73FDB171">
      <w:pPr>
        <w:pStyle w:val="164"/>
        <w:spacing w:line="360" w:lineRule="auto"/>
      </w:pPr>
      <w:r>
        <w:rPr>
          <w:rFonts w:hint="eastAsia"/>
        </w:rPr>
        <w:t>资源不足导致数据治理规则无法实施、共享服务频繁中断或者资产管理长期滞后的，应及时补充资源。</w:t>
      </w:r>
    </w:p>
    <w:p w14:paraId="6D0B9B80">
      <w:pPr>
        <w:pStyle w:val="105"/>
        <w:spacing w:before="120" w:after="120" w:line="360" w:lineRule="auto"/>
      </w:pPr>
      <w:r>
        <w:rPr>
          <w:rFonts w:hint="eastAsia"/>
        </w:rPr>
        <w:t>监督检查</w:t>
      </w:r>
    </w:p>
    <w:p w14:paraId="4F6DA80D">
      <w:pPr>
        <w:pStyle w:val="65"/>
        <w:spacing w:before="120" w:after="120" w:line="360" w:lineRule="auto"/>
      </w:pPr>
      <w:r>
        <w:rPr>
          <w:rFonts w:hint="eastAsia"/>
        </w:rPr>
        <w:t>一般要求</w:t>
      </w:r>
    </w:p>
    <w:p w14:paraId="4E49EEB2">
      <w:pPr>
        <w:pStyle w:val="164"/>
        <w:spacing w:line="360" w:lineRule="auto"/>
      </w:pPr>
      <w:r>
        <w:rPr>
          <w:rFonts w:hint="eastAsia"/>
        </w:rPr>
        <w:t>煤矿企业应建立数据治理与资产化管理监督检查机制。</w:t>
      </w:r>
    </w:p>
    <w:p w14:paraId="76FBFD31">
      <w:pPr>
        <w:pStyle w:val="164"/>
        <w:spacing w:line="360" w:lineRule="auto"/>
      </w:pPr>
      <w:r>
        <w:rPr>
          <w:rFonts w:hint="eastAsia"/>
        </w:rPr>
        <w:t>监督检查应覆盖组织、制度、标准、目录、质量、共享、安全、资产和运营等主要方面。</w:t>
      </w:r>
    </w:p>
    <w:p w14:paraId="30A7A3BA">
      <w:pPr>
        <w:pStyle w:val="164"/>
        <w:spacing w:line="360" w:lineRule="auto"/>
      </w:pPr>
      <w:r>
        <w:rPr>
          <w:rFonts w:hint="eastAsia"/>
        </w:rPr>
        <w:t>监督检查可采用日常检查、专项检查、内部审计、交叉检查和第三方评估等方式实施。</w:t>
      </w:r>
    </w:p>
    <w:p w14:paraId="177667C7">
      <w:pPr>
        <w:pStyle w:val="65"/>
        <w:spacing w:before="120" w:after="120" w:line="360" w:lineRule="auto"/>
      </w:pPr>
      <w:r>
        <w:rPr>
          <w:rFonts w:hint="eastAsia"/>
        </w:rPr>
        <w:t>检查内容</w:t>
      </w:r>
    </w:p>
    <w:p w14:paraId="79DAD609">
      <w:pPr>
        <w:pStyle w:val="164"/>
        <w:spacing w:line="360" w:lineRule="auto"/>
      </w:pPr>
      <w:r>
        <w:rPr>
          <w:rFonts w:hint="eastAsia"/>
        </w:rPr>
        <w:t>监督检查宜包括下列内容：</w:t>
      </w:r>
    </w:p>
    <w:p w14:paraId="327C8982">
      <w:pPr>
        <w:pStyle w:val="56"/>
        <w:spacing w:line="360" w:lineRule="auto"/>
        <w:ind w:firstLine="420"/>
      </w:pPr>
      <w:r>
        <w:rPr>
          <w:rFonts w:hint="eastAsia"/>
        </w:rPr>
        <w:t>a）数据治理组织体系是否健全；</w:t>
      </w:r>
    </w:p>
    <w:p w14:paraId="6EB41EEF">
      <w:pPr>
        <w:pStyle w:val="56"/>
        <w:spacing w:line="360" w:lineRule="auto"/>
        <w:ind w:firstLine="420"/>
      </w:pPr>
      <w:r>
        <w:rPr>
          <w:rFonts w:hint="eastAsia"/>
        </w:rPr>
        <w:t>b）制度体系是否完整并有效执行；</w:t>
      </w:r>
    </w:p>
    <w:p w14:paraId="0F13A772">
      <w:pPr>
        <w:pStyle w:val="56"/>
        <w:spacing w:line="360" w:lineRule="auto"/>
        <w:ind w:firstLine="420"/>
      </w:pPr>
      <w:r>
        <w:rPr>
          <w:rFonts w:hint="eastAsia"/>
        </w:rPr>
        <w:t>c）数据标准是否统一发布并执行；</w:t>
      </w:r>
    </w:p>
    <w:p w14:paraId="000B7432">
      <w:pPr>
        <w:pStyle w:val="56"/>
        <w:spacing w:line="360" w:lineRule="auto"/>
        <w:ind w:firstLine="420"/>
      </w:pPr>
      <w:r>
        <w:rPr>
          <w:rFonts w:hint="eastAsia"/>
        </w:rPr>
        <w:t>d）数据目录和资产目录是否动态更新；</w:t>
      </w:r>
    </w:p>
    <w:p w14:paraId="527542FB">
      <w:pPr>
        <w:pStyle w:val="56"/>
        <w:spacing w:line="360" w:lineRule="auto"/>
        <w:ind w:firstLine="420"/>
      </w:pPr>
      <w:r>
        <w:rPr>
          <w:rFonts w:hint="eastAsia"/>
        </w:rPr>
        <w:t>e）数据质量问题是否及时整改；</w:t>
      </w:r>
    </w:p>
    <w:p w14:paraId="77978673">
      <w:pPr>
        <w:pStyle w:val="56"/>
        <w:spacing w:line="360" w:lineRule="auto"/>
        <w:ind w:firstLine="420"/>
      </w:pPr>
      <w:r>
        <w:rPr>
          <w:rFonts w:hint="eastAsia"/>
        </w:rPr>
        <w:t>f）共享交换是否规范有序；</w:t>
      </w:r>
    </w:p>
    <w:p w14:paraId="0B0DED81">
      <w:pPr>
        <w:pStyle w:val="56"/>
        <w:spacing w:line="360" w:lineRule="auto"/>
        <w:ind w:firstLine="420"/>
      </w:pPr>
      <w:r>
        <w:rPr>
          <w:rFonts w:hint="eastAsia"/>
        </w:rPr>
        <w:t>g）安全管理是否符合要求；</w:t>
      </w:r>
    </w:p>
    <w:p w14:paraId="305D2DEE">
      <w:pPr>
        <w:pStyle w:val="56"/>
        <w:spacing w:line="360" w:lineRule="auto"/>
        <w:ind w:firstLine="420"/>
      </w:pPr>
      <w:r>
        <w:rPr>
          <w:rFonts w:hint="eastAsia"/>
        </w:rPr>
        <w:t>h）资产登记是否真实完整；</w:t>
      </w:r>
    </w:p>
    <w:p w14:paraId="01B7C28E">
      <w:pPr>
        <w:pStyle w:val="56"/>
        <w:spacing w:line="360" w:lineRule="auto"/>
        <w:ind w:firstLine="420"/>
      </w:pPr>
      <w:r>
        <w:rPr>
          <w:rFonts w:hint="eastAsia"/>
        </w:rPr>
        <w:t>i）价值评估是否客观有效；</w:t>
      </w:r>
    </w:p>
    <w:p w14:paraId="75A38290">
      <w:pPr>
        <w:pStyle w:val="56"/>
        <w:spacing w:line="360" w:lineRule="auto"/>
        <w:ind w:firstLine="420"/>
      </w:pPr>
      <w:r>
        <w:rPr>
          <w:rFonts w:hint="eastAsia"/>
        </w:rPr>
        <w:t>j）问题整改是否闭环。</w:t>
      </w:r>
    </w:p>
    <w:p w14:paraId="29CA1DDF">
      <w:pPr>
        <w:pStyle w:val="164"/>
        <w:spacing w:line="360" w:lineRule="auto"/>
      </w:pPr>
      <w:r>
        <w:rPr>
          <w:rFonts w:hint="eastAsia"/>
        </w:rPr>
        <w:t>对重点矿井、重点平台、重点接口和重点资产，应提高检查频次。</w:t>
      </w:r>
    </w:p>
    <w:p w14:paraId="038711DD">
      <w:pPr>
        <w:pStyle w:val="65"/>
        <w:spacing w:before="120" w:after="120" w:line="360" w:lineRule="auto"/>
      </w:pPr>
      <w:r>
        <w:rPr>
          <w:rFonts w:hint="eastAsia"/>
        </w:rPr>
        <w:t>问题整改</w:t>
      </w:r>
    </w:p>
    <w:p w14:paraId="71774724">
      <w:pPr>
        <w:pStyle w:val="164"/>
        <w:spacing w:line="360" w:lineRule="auto"/>
      </w:pPr>
      <w:r>
        <w:rPr>
          <w:rFonts w:hint="eastAsia"/>
        </w:rPr>
        <w:t>监督检查发现的问题应形成问题清单。</w:t>
      </w:r>
    </w:p>
    <w:p w14:paraId="499F99DF">
      <w:pPr>
        <w:pStyle w:val="164"/>
        <w:spacing w:line="360" w:lineRule="auto"/>
      </w:pPr>
      <w:r>
        <w:rPr>
          <w:rFonts w:hint="eastAsia"/>
        </w:rPr>
        <w:t>问题清单应明确问题描述、责任主体、整改措施、整改时限和复核要求。</w:t>
      </w:r>
    </w:p>
    <w:p w14:paraId="21080100">
      <w:pPr>
        <w:pStyle w:val="164"/>
        <w:spacing w:line="360" w:lineRule="auto"/>
      </w:pPr>
      <w:r>
        <w:rPr>
          <w:rFonts w:hint="eastAsia"/>
        </w:rPr>
        <w:t>重大问题应限期整改并复核销项。</w:t>
      </w:r>
    </w:p>
    <w:p w14:paraId="6B872522">
      <w:pPr>
        <w:pStyle w:val="164"/>
        <w:spacing w:line="360" w:lineRule="auto"/>
      </w:pPr>
      <w:r>
        <w:rPr>
          <w:rFonts w:hint="eastAsia"/>
        </w:rPr>
        <w:t>对反复出现、长期未改或者影响较大的问题，应开展专项整治。</w:t>
      </w:r>
    </w:p>
    <w:p w14:paraId="65F7277B">
      <w:pPr>
        <w:pStyle w:val="105"/>
        <w:spacing w:before="120" w:after="120" w:line="360" w:lineRule="auto"/>
      </w:pPr>
      <w:r>
        <w:rPr>
          <w:rFonts w:hint="eastAsia"/>
        </w:rPr>
        <w:t>评价考核</w:t>
      </w:r>
    </w:p>
    <w:p w14:paraId="6B1727EB">
      <w:pPr>
        <w:pStyle w:val="65"/>
        <w:spacing w:before="120" w:after="120" w:line="360" w:lineRule="auto"/>
      </w:pPr>
      <w:r>
        <w:rPr>
          <w:rFonts w:hint="eastAsia"/>
        </w:rPr>
        <w:t>一般要求</w:t>
      </w:r>
    </w:p>
    <w:p w14:paraId="68D51E37">
      <w:pPr>
        <w:pStyle w:val="164"/>
        <w:spacing w:line="360" w:lineRule="auto"/>
      </w:pPr>
      <w:r>
        <w:rPr>
          <w:rFonts w:hint="eastAsia"/>
        </w:rPr>
        <w:t>煤矿企业应建立数据治理与资产化管理评价考核机制。</w:t>
      </w:r>
    </w:p>
    <w:p w14:paraId="1E8312E4">
      <w:pPr>
        <w:pStyle w:val="164"/>
        <w:spacing w:line="360" w:lineRule="auto"/>
      </w:pPr>
      <w:r>
        <w:rPr>
          <w:rFonts w:hint="eastAsia"/>
        </w:rPr>
        <w:t>评价考核应坚持客观公正、结果导向、过程结合和奖惩结合的原则。</w:t>
      </w:r>
    </w:p>
    <w:p w14:paraId="1945F2FE">
      <w:pPr>
        <w:pStyle w:val="164"/>
        <w:spacing w:line="360" w:lineRule="auto"/>
      </w:pPr>
      <w:r>
        <w:rPr>
          <w:rFonts w:hint="eastAsia"/>
        </w:rPr>
        <w:t>评价考核对象宜包括部门、系统、项目、平台和责任岗位。</w:t>
      </w:r>
    </w:p>
    <w:p w14:paraId="0E5DF938">
      <w:pPr>
        <w:pStyle w:val="65"/>
        <w:spacing w:before="120" w:after="120" w:line="360" w:lineRule="auto"/>
      </w:pPr>
      <w:r>
        <w:rPr>
          <w:rFonts w:hint="eastAsia"/>
        </w:rPr>
        <w:t>评价内容</w:t>
      </w:r>
    </w:p>
    <w:p w14:paraId="048C5291">
      <w:pPr>
        <w:pStyle w:val="164"/>
        <w:spacing w:line="360" w:lineRule="auto"/>
      </w:pPr>
      <w:r>
        <w:rPr>
          <w:rFonts w:hint="eastAsia"/>
        </w:rPr>
        <w:t>评价考核宜包括下列内容：</w:t>
      </w:r>
    </w:p>
    <w:p w14:paraId="5FF999CB">
      <w:pPr>
        <w:pStyle w:val="56"/>
        <w:spacing w:line="360" w:lineRule="auto"/>
        <w:ind w:firstLine="420"/>
      </w:pPr>
      <w:r>
        <w:rPr>
          <w:rFonts w:hint="eastAsia"/>
        </w:rPr>
        <w:t>a）组织职责落实情况；</w:t>
      </w:r>
    </w:p>
    <w:p w14:paraId="058DDC16">
      <w:pPr>
        <w:pStyle w:val="56"/>
        <w:spacing w:line="360" w:lineRule="auto"/>
        <w:ind w:firstLine="420"/>
      </w:pPr>
      <w:r>
        <w:rPr>
          <w:rFonts w:hint="eastAsia"/>
        </w:rPr>
        <w:t>b）制度和标准执行情况；</w:t>
      </w:r>
    </w:p>
    <w:p w14:paraId="2E40FB94">
      <w:pPr>
        <w:pStyle w:val="56"/>
        <w:spacing w:line="360" w:lineRule="auto"/>
        <w:ind w:firstLine="420"/>
      </w:pPr>
      <w:r>
        <w:rPr>
          <w:rFonts w:hint="eastAsia"/>
        </w:rPr>
        <w:t>c）数据目录维护情况；</w:t>
      </w:r>
    </w:p>
    <w:p w14:paraId="0E003077">
      <w:pPr>
        <w:pStyle w:val="56"/>
        <w:spacing w:line="360" w:lineRule="auto"/>
        <w:ind w:firstLine="420"/>
      </w:pPr>
      <w:r>
        <w:rPr>
          <w:rFonts w:hint="eastAsia"/>
        </w:rPr>
        <w:t>d）数据质量水平；</w:t>
      </w:r>
    </w:p>
    <w:p w14:paraId="384FF496">
      <w:pPr>
        <w:pStyle w:val="56"/>
        <w:spacing w:line="360" w:lineRule="auto"/>
        <w:ind w:firstLine="420"/>
      </w:pPr>
      <w:r>
        <w:rPr>
          <w:rFonts w:hint="eastAsia"/>
        </w:rPr>
        <w:t>e）共享交换规范性；</w:t>
      </w:r>
    </w:p>
    <w:p w14:paraId="6E66F089">
      <w:pPr>
        <w:pStyle w:val="56"/>
        <w:spacing w:line="360" w:lineRule="auto"/>
        <w:ind w:firstLine="420"/>
      </w:pPr>
      <w:r>
        <w:rPr>
          <w:rFonts w:hint="eastAsia"/>
        </w:rPr>
        <w:t>f）数据安全控制情况；</w:t>
      </w:r>
    </w:p>
    <w:p w14:paraId="7E26B3FF">
      <w:pPr>
        <w:pStyle w:val="56"/>
        <w:spacing w:line="360" w:lineRule="auto"/>
        <w:ind w:firstLine="420"/>
      </w:pPr>
      <w:r>
        <w:rPr>
          <w:rFonts w:hint="eastAsia"/>
        </w:rPr>
        <w:t>g）资产登记和台账完整性；</w:t>
      </w:r>
    </w:p>
    <w:p w14:paraId="2DD44422">
      <w:pPr>
        <w:pStyle w:val="56"/>
        <w:spacing w:line="360" w:lineRule="auto"/>
        <w:ind w:firstLine="420"/>
      </w:pPr>
      <w:r>
        <w:rPr>
          <w:rFonts w:hint="eastAsia"/>
        </w:rPr>
        <w:t>h）价值评估和应用成效；</w:t>
      </w:r>
    </w:p>
    <w:p w14:paraId="4346A7FD">
      <w:pPr>
        <w:pStyle w:val="56"/>
        <w:spacing w:line="360" w:lineRule="auto"/>
        <w:ind w:firstLine="420"/>
      </w:pPr>
      <w:r>
        <w:rPr>
          <w:rFonts w:hint="eastAsia"/>
        </w:rPr>
        <w:t>i）问题整改闭环情况；</w:t>
      </w:r>
    </w:p>
    <w:p w14:paraId="6AE70A1D">
      <w:pPr>
        <w:pStyle w:val="56"/>
        <w:spacing w:line="360" w:lineRule="auto"/>
        <w:ind w:firstLine="420"/>
      </w:pPr>
      <w:r>
        <w:rPr>
          <w:rFonts w:hint="eastAsia"/>
        </w:rPr>
        <w:t>j）持续改进落实情况。</w:t>
      </w:r>
    </w:p>
    <w:p w14:paraId="7A85BF75">
      <w:pPr>
        <w:pStyle w:val="164"/>
        <w:spacing w:line="360" w:lineRule="auto"/>
      </w:pPr>
      <w:r>
        <w:rPr>
          <w:rFonts w:hint="eastAsia"/>
        </w:rPr>
        <w:t>对重点数据资产，宜增加共享复用次数、应用覆盖范围、业务支撑成效和运营效果等评价内容。</w:t>
      </w:r>
    </w:p>
    <w:p w14:paraId="6DAC44FC">
      <w:pPr>
        <w:pStyle w:val="65"/>
        <w:spacing w:before="120" w:after="120" w:line="360" w:lineRule="auto"/>
      </w:pPr>
      <w:r>
        <w:rPr>
          <w:rFonts w:hint="eastAsia"/>
        </w:rPr>
        <w:t>结果应用</w:t>
      </w:r>
    </w:p>
    <w:p w14:paraId="0C694DD8">
      <w:pPr>
        <w:pStyle w:val="164"/>
        <w:spacing w:line="360" w:lineRule="auto"/>
      </w:pPr>
      <w:r>
        <w:rPr>
          <w:rFonts w:hint="eastAsia"/>
        </w:rPr>
        <w:t>评价考核结果可用于绩效考核、资源配置、项目排序和责任追踪。</w:t>
      </w:r>
    </w:p>
    <w:p w14:paraId="1C5A438B">
      <w:pPr>
        <w:pStyle w:val="164"/>
        <w:spacing w:line="360" w:lineRule="auto"/>
      </w:pPr>
      <w:r>
        <w:rPr>
          <w:rFonts w:hint="eastAsia"/>
        </w:rPr>
        <w:t>对数据治理成效明显、资产运营效果突出的部门和岗位，宜给予激励。</w:t>
      </w:r>
    </w:p>
    <w:p w14:paraId="55B111C1">
      <w:pPr>
        <w:pStyle w:val="164"/>
        <w:spacing w:line="360" w:lineRule="auto"/>
      </w:pPr>
      <w:r>
        <w:rPr>
          <w:rFonts w:hint="eastAsia"/>
        </w:rPr>
        <w:t>对责任落实不到位、问题整改不及时、目录失实、质量失控或者发生严重安全问题的，应依法依规依制度追究责任。</w:t>
      </w:r>
    </w:p>
    <w:p w14:paraId="5E89C857">
      <w:pPr>
        <w:pStyle w:val="105"/>
        <w:spacing w:before="120" w:after="120" w:line="360" w:lineRule="auto"/>
      </w:pPr>
      <w:r>
        <w:rPr>
          <w:rFonts w:hint="eastAsia"/>
        </w:rPr>
        <w:t>持续改进</w:t>
      </w:r>
    </w:p>
    <w:p w14:paraId="5F82518A">
      <w:pPr>
        <w:pStyle w:val="65"/>
        <w:spacing w:before="120" w:after="120" w:line="360" w:lineRule="auto"/>
      </w:pPr>
      <w:r>
        <w:rPr>
          <w:rFonts w:hint="eastAsia"/>
        </w:rPr>
        <w:t>一般要求</w:t>
      </w:r>
    </w:p>
    <w:p w14:paraId="16DB7457">
      <w:pPr>
        <w:pStyle w:val="164"/>
        <w:spacing w:line="360" w:lineRule="auto"/>
      </w:pPr>
      <w:r>
        <w:rPr>
          <w:rFonts w:hint="eastAsia"/>
        </w:rPr>
        <w:t>煤矿企业应建立数据治理与资产化管理持续改进机制。</w:t>
      </w:r>
    </w:p>
    <w:p w14:paraId="4C0A2A87">
      <w:pPr>
        <w:pStyle w:val="164"/>
        <w:spacing w:line="360" w:lineRule="auto"/>
      </w:pPr>
      <w:r>
        <w:rPr>
          <w:rFonts w:hint="eastAsia"/>
        </w:rPr>
        <w:t>持续改进应基于监督检查、质量评价、应用反馈、事件复盘和运营成效分析结果实施。</w:t>
      </w:r>
    </w:p>
    <w:p w14:paraId="6BD71A5F">
      <w:pPr>
        <w:pStyle w:val="164"/>
        <w:spacing w:line="360" w:lineRule="auto"/>
      </w:pPr>
      <w:r>
        <w:rPr>
          <w:rFonts w:hint="eastAsia"/>
        </w:rPr>
        <w:t>持续改进应坚持问题导向、业务导向和价值导向相结合。</w:t>
      </w:r>
    </w:p>
    <w:p w14:paraId="5E527C81">
      <w:pPr>
        <w:pStyle w:val="65"/>
        <w:spacing w:before="120" w:after="120" w:line="360" w:lineRule="auto"/>
      </w:pPr>
      <w:r>
        <w:rPr>
          <w:rFonts w:hint="eastAsia"/>
        </w:rPr>
        <w:t>改进内容</w:t>
      </w:r>
    </w:p>
    <w:p w14:paraId="353DFA17">
      <w:pPr>
        <w:pStyle w:val="164"/>
        <w:spacing w:line="360" w:lineRule="auto"/>
      </w:pPr>
      <w:r>
        <w:rPr>
          <w:rFonts w:hint="eastAsia"/>
        </w:rPr>
        <w:t>持续改进宜包括下列内容：</w:t>
      </w:r>
    </w:p>
    <w:p w14:paraId="0BCA2EBB">
      <w:pPr>
        <w:pStyle w:val="56"/>
        <w:spacing w:line="360" w:lineRule="auto"/>
        <w:ind w:firstLine="420"/>
      </w:pPr>
      <w:r>
        <w:rPr>
          <w:rFonts w:hint="eastAsia"/>
        </w:rPr>
        <w:t>a）优化数据标准体系；</w:t>
      </w:r>
    </w:p>
    <w:p w14:paraId="666F84C3">
      <w:pPr>
        <w:pStyle w:val="56"/>
        <w:spacing w:line="360" w:lineRule="auto"/>
        <w:ind w:firstLine="420"/>
      </w:pPr>
      <w:r>
        <w:rPr>
          <w:rFonts w:hint="eastAsia"/>
        </w:rPr>
        <w:t>b）完善数据目录体系；</w:t>
      </w:r>
    </w:p>
    <w:p w14:paraId="5F451BF5">
      <w:pPr>
        <w:pStyle w:val="56"/>
        <w:spacing w:line="360" w:lineRule="auto"/>
        <w:ind w:firstLine="420"/>
      </w:pPr>
      <w:r>
        <w:rPr>
          <w:rFonts w:hint="eastAsia"/>
        </w:rPr>
        <w:t>c）提升数据质量规则；</w:t>
      </w:r>
    </w:p>
    <w:p w14:paraId="794E6E27">
      <w:pPr>
        <w:pStyle w:val="56"/>
        <w:spacing w:line="360" w:lineRule="auto"/>
        <w:ind w:firstLine="420"/>
      </w:pPr>
      <w:r>
        <w:rPr>
          <w:rFonts w:hint="eastAsia"/>
        </w:rPr>
        <w:t>d）优化共享交换流程；</w:t>
      </w:r>
    </w:p>
    <w:p w14:paraId="50E4BA70">
      <w:pPr>
        <w:pStyle w:val="56"/>
        <w:spacing w:line="360" w:lineRule="auto"/>
        <w:ind w:firstLine="420"/>
      </w:pPr>
      <w:r>
        <w:rPr>
          <w:rFonts w:hint="eastAsia"/>
        </w:rPr>
        <w:t>e）完善安全控制措施；</w:t>
      </w:r>
    </w:p>
    <w:p w14:paraId="71D146A8">
      <w:pPr>
        <w:pStyle w:val="56"/>
        <w:spacing w:line="360" w:lineRule="auto"/>
        <w:ind w:firstLine="420"/>
      </w:pPr>
      <w:r>
        <w:rPr>
          <w:rFonts w:hint="eastAsia"/>
        </w:rPr>
        <w:t>f）改进资产识别和评估方法；</w:t>
      </w:r>
    </w:p>
    <w:p w14:paraId="0490916C">
      <w:pPr>
        <w:pStyle w:val="56"/>
        <w:spacing w:line="360" w:lineRule="auto"/>
        <w:ind w:firstLine="420"/>
      </w:pPr>
      <w:r>
        <w:rPr>
          <w:rFonts w:hint="eastAsia"/>
        </w:rPr>
        <w:t>g）拓展应用运营场景；</w:t>
      </w:r>
    </w:p>
    <w:p w14:paraId="39278F69">
      <w:pPr>
        <w:pStyle w:val="56"/>
        <w:spacing w:line="360" w:lineRule="auto"/>
        <w:ind w:firstLine="420"/>
      </w:pPr>
      <w:r>
        <w:rPr>
          <w:rFonts w:hint="eastAsia"/>
        </w:rPr>
        <w:t>h）提升平台支撑能力；</w:t>
      </w:r>
    </w:p>
    <w:p w14:paraId="6DBD35C7">
      <w:pPr>
        <w:pStyle w:val="56"/>
        <w:spacing w:line="360" w:lineRule="auto"/>
        <w:ind w:firstLine="420"/>
      </w:pPr>
      <w:r>
        <w:rPr>
          <w:rFonts w:hint="eastAsia"/>
        </w:rPr>
        <w:t>i）完善考核评价机制。</w:t>
      </w:r>
    </w:p>
    <w:p w14:paraId="36C980A5">
      <w:pPr>
        <w:pStyle w:val="164"/>
        <w:spacing w:line="360" w:lineRule="auto"/>
      </w:pPr>
      <w:r>
        <w:rPr>
          <w:rFonts w:hint="eastAsia"/>
        </w:rPr>
        <w:t>对已识别但长期未形成价值转化的数据资产，应分析原因并优化管理方式。</w:t>
      </w:r>
    </w:p>
    <w:p w14:paraId="5172E72F">
      <w:pPr>
        <w:pStyle w:val="164"/>
        <w:spacing w:line="360" w:lineRule="auto"/>
      </w:pPr>
      <w:r>
        <w:rPr>
          <w:rFonts w:hint="eastAsia"/>
        </w:rPr>
        <w:t>对已投入运营但使用效果不佳的数据资产，应及时调整运营策略或者退出重点管理范围。</w:t>
      </w:r>
    </w:p>
    <w:p w14:paraId="06D8CC1D">
      <w:pPr>
        <w:pStyle w:val="105"/>
        <w:spacing w:before="120" w:after="120" w:line="360" w:lineRule="auto"/>
      </w:pPr>
      <w:r>
        <w:rPr>
          <w:rFonts w:hint="eastAsia"/>
        </w:rPr>
        <w:t>数据治理与资产化管理工作要点</w:t>
      </w:r>
    </w:p>
    <w:p w14:paraId="1B144A2E">
      <w:pPr>
        <w:pStyle w:val="56"/>
        <w:spacing w:line="360" w:lineRule="auto"/>
        <w:ind w:firstLine="420"/>
      </w:pPr>
      <w:r>
        <w:rPr>
          <w:rFonts w:hint="eastAsia"/>
        </w:rPr>
        <w:t>数据治理与资产化管理保障、监督和改进的主要内容见表5。表5给出了保障机制、监督评价和持续改进的主要控制内容及控制要点。</w:t>
      </w:r>
    </w:p>
    <w:p w14:paraId="1C5DD5CE">
      <w:pPr>
        <w:pStyle w:val="112"/>
        <w:spacing w:before="120" w:after="120" w:line="360" w:lineRule="auto"/>
      </w:pPr>
      <w:r>
        <w:rPr>
          <w:rFonts w:hint="eastAsia"/>
        </w:rPr>
        <w:t>保障机制、监督评价与持续改进要点表</w:t>
      </w:r>
    </w:p>
    <w:tbl>
      <w:tblPr>
        <w:tblStyle w:val="27"/>
        <w:tblW w:w="0" w:type="auto"/>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1691"/>
        <w:gridCol w:w="3828"/>
        <w:gridCol w:w="3815"/>
      </w:tblGrid>
      <w:tr w14:paraId="1077823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blHeader/>
          <w:jc w:val="center"/>
        </w:trPr>
        <w:tc>
          <w:tcPr>
            <w:tcW w:w="1691" w:type="dxa"/>
            <w:tcBorders>
              <w:top w:val="single" w:color="auto" w:sz="8" w:space="0"/>
              <w:bottom w:val="single" w:color="auto" w:sz="8" w:space="0"/>
            </w:tcBorders>
          </w:tcPr>
          <w:p w14:paraId="3B47A7D4">
            <w:pPr>
              <w:pStyle w:val="178"/>
            </w:pPr>
            <w:r>
              <w:rPr>
                <w:rFonts w:hint="eastAsia"/>
              </w:rPr>
              <w:t>工作类别</w:t>
            </w:r>
          </w:p>
        </w:tc>
        <w:tc>
          <w:tcPr>
            <w:tcW w:w="3828" w:type="dxa"/>
            <w:tcBorders>
              <w:top w:val="single" w:color="auto" w:sz="8" w:space="0"/>
              <w:bottom w:val="single" w:color="auto" w:sz="8" w:space="0"/>
            </w:tcBorders>
          </w:tcPr>
          <w:p w14:paraId="46FE345A">
            <w:pPr>
              <w:pStyle w:val="178"/>
            </w:pPr>
            <w:r>
              <w:rPr>
                <w:rFonts w:hint="eastAsia"/>
              </w:rPr>
              <w:t>主要内容</w:t>
            </w:r>
          </w:p>
        </w:tc>
        <w:tc>
          <w:tcPr>
            <w:tcW w:w="3815" w:type="dxa"/>
            <w:tcBorders>
              <w:top w:val="single" w:color="auto" w:sz="8" w:space="0"/>
              <w:bottom w:val="single" w:color="auto" w:sz="8" w:space="0"/>
            </w:tcBorders>
          </w:tcPr>
          <w:p w14:paraId="212B2D59">
            <w:pPr>
              <w:pStyle w:val="178"/>
            </w:pPr>
            <w:r>
              <w:rPr>
                <w:rFonts w:hint="eastAsia"/>
              </w:rPr>
              <w:t>控制要点</w:t>
            </w:r>
          </w:p>
        </w:tc>
      </w:tr>
      <w:tr w14:paraId="1D2DC2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Borders>
              <w:top w:val="single" w:color="auto" w:sz="8" w:space="0"/>
            </w:tcBorders>
          </w:tcPr>
          <w:p w14:paraId="53CADAAF">
            <w:pPr>
              <w:pStyle w:val="178"/>
            </w:pPr>
            <w:r>
              <w:rPr>
                <w:rFonts w:hint="eastAsia"/>
              </w:rPr>
              <w:t>组织保障</w:t>
            </w:r>
          </w:p>
        </w:tc>
        <w:tc>
          <w:tcPr>
            <w:tcW w:w="3828" w:type="dxa"/>
            <w:tcBorders>
              <w:top w:val="single" w:color="auto" w:sz="8" w:space="0"/>
            </w:tcBorders>
          </w:tcPr>
          <w:p w14:paraId="28344497">
            <w:pPr>
              <w:pStyle w:val="178"/>
            </w:pPr>
            <w:r>
              <w:rPr>
                <w:rFonts w:hint="eastAsia"/>
              </w:rPr>
              <w:t>架构设置、责任落实、协同机制</w:t>
            </w:r>
          </w:p>
        </w:tc>
        <w:tc>
          <w:tcPr>
            <w:tcW w:w="3815" w:type="dxa"/>
            <w:tcBorders>
              <w:top w:val="single" w:color="auto" w:sz="8" w:space="0"/>
            </w:tcBorders>
          </w:tcPr>
          <w:p w14:paraId="78382699">
            <w:pPr>
              <w:pStyle w:val="178"/>
            </w:pPr>
            <w:r>
              <w:rPr>
                <w:rFonts w:hint="eastAsia"/>
              </w:rPr>
              <w:t>职责明确、边界清晰、协调顺畅</w:t>
            </w:r>
          </w:p>
        </w:tc>
      </w:tr>
      <w:tr w14:paraId="56200E0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7F83F496">
            <w:pPr>
              <w:pStyle w:val="178"/>
            </w:pPr>
            <w:r>
              <w:rPr>
                <w:rFonts w:hint="eastAsia"/>
              </w:rPr>
              <w:t>制度保障</w:t>
            </w:r>
          </w:p>
        </w:tc>
        <w:tc>
          <w:tcPr>
            <w:tcW w:w="3828" w:type="dxa"/>
          </w:tcPr>
          <w:p w14:paraId="044B1EEC">
            <w:pPr>
              <w:pStyle w:val="178"/>
            </w:pPr>
            <w:r>
              <w:rPr>
                <w:rFonts w:hint="eastAsia"/>
              </w:rPr>
              <w:t>制度建设、制度修订、制度执行</w:t>
            </w:r>
          </w:p>
        </w:tc>
        <w:tc>
          <w:tcPr>
            <w:tcW w:w="3815" w:type="dxa"/>
          </w:tcPr>
          <w:p w14:paraId="50EE0419">
            <w:pPr>
              <w:pStyle w:val="178"/>
            </w:pPr>
            <w:r>
              <w:rPr>
                <w:rFonts w:hint="eastAsia"/>
              </w:rPr>
              <w:t>内容完整、持续更新、执行有效</w:t>
            </w:r>
          </w:p>
        </w:tc>
      </w:tr>
      <w:tr w14:paraId="6C9E6DE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26C7A978">
            <w:pPr>
              <w:pStyle w:val="178"/>
            </w:pPr>
            <w:r>
              <w:rPr>
                <w:rFonts w:hint="eastAsia"/>
              </w:rPr>
              <w:t>技术保障</w:t>
            </w:r>
          </w:p>
        </w:tc>
        <w:tc>
          <w:tcPr>
            <w:tcW w:w="3828" w:type="dxa"/>
          </w:tcPr>
          <w:p w14:paraId="54BD2288">
            <w:pPr>
              <w:pStyle w:val="178"/>
            </w:pPr>
            <w:r>
              <w:rPr>
                <w:rFonts w:hint="eastAsia"/>
              </w:rPr>
              <w:t>平台、接口、工具、运维</w:t>
            </w:r>
          </w:p>
        </w:tc>
        <w:tc>
          <w:tcPr>
            <w:tcW w:w="3815" w:type="dxa"/>
          </w:tcPr>
          <w:p w14:paraId="76E28F3F">
            <w:pPr>
              <w:pStyle w:val="178"/>
            </w:pPr>
            <w:r>
              <w:rPr>
                <w:rFonts w:hint="eastAsia"/>
              </w:rPr>
              <w:t>平台可用、规则可执行、故障可恢复</w:t>
            </w:r>
          </w:p>
        </w:tc>
      </w:tr>
      <w:tr w14:paraId="177686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14EB273D">
            <w:pPr>
              <w:pStyle w:val="178"/>
            </w:pPr>
            <w:r>
              <w:rPr>
                <w:rFonts w:hint="eastAsia"/>
              </w:rPr>
              <w:t>人才保障</w:t>
            </w:r>
          </w:p>
        </w:tc>
        <w:tc>
          <w:tcPr>
            <w:tcW w:w="3828" w:type="dxa"/>
          </w:tcPr>
          <w:p w14:paraId="1C4D0D6E">
            <w:pPr>
              <w:pStyle w:val="178"/>
            </w:pPr>
            <w:r>
              <w:rPr>
                <w:rFonts w:hint="eastAsia"/>
              </w:rPr>
              <w:t>人员配置、岗位培训、能力提升</w:t>
            </w:r>
          </w:p>
        </w:tc>
        <w:tc>
          <w:tcPr>
            <w:tcW w:w="3815" w:type="dxa"/>
          </w:tcPr>
          <w:p w14:paraId="5308E643">
            <w:pPr>
              <w:pStyle w:val="178"/>
            </w:pPr>
            <w:r>
              <w:rPr>
                <w:rFonts w:hint="eastAsia"/>
              </w:rPr>
              <w:t>关键岗位稳定、培训持续开展</w:t>
            </w:r>
          </w:p>
        </w:tc>
      </w:tr>
      <w:tr w14:paraId="7FD7D06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903BDFC">
            <w:pPr>
              <w:pStyle w:val="178"/>
            </w:pPr>
            <w:r>
              <w:rPr>
                <w:rFonts w:hint="eastAsia"/>
              </w:rPr>
              <w:t>资源保障</w:t>
            </w:r>
          </w:p>
        </w:tc>
        <w:tc>
          <w:tcPr>
            <w:tcW w:w="3828" w:type="dxa"/>
          </w:tcPr>
          <w:p w14:paraId="5F9C2FE8">
            <w:pPr>
              <w:pStyle w:val="178"/>
            </w:pPr>
            <w:r>
              <w:rPr>
                <w:rFonts w:hint="eastAsia"/>
              </w:rPr>
              <w:t>资金、设备、网络、存储</w:t>
            </w:r>
          </w:p>
        </w:tc>
        <w:tc>
          <w:tcPr>
            <w:tcW w:w="3815" w:type="dxa"/>
          </w:tcPr>
          <w:p w14:paraId="05E6BC70">
            <w:pPr>
              <w:pStyle w:val="178"/>
            </w:pPr>
            <w:r>
              <w:rPr>
                <w:rFonts w:hint="eastAsia"/>
              </w:rPr>
              <w:t>资源与治理需求相匹配</w:t>
            </w:r>
          </w:p>
        </w:tc>
      </w:tr>
      <w:tr w14:paraId="346429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1562F6B5">
            <w:pPr>
              <w:pStyle w:val="178"/>
            </w:pPr>
            <w:r>
              <w:rPr>
                <w:rFonts w:hint="eastAsia"/>
              </w:rPr>
              <w:t>监督检查</w:t>
            </w:r>
          </w:p>
        </w:tc>
        <w:tc>
          <w:tcPr>
            <w:tcW w:w="3828" w:type="dxa"/>
          </w:tcPr>
          <w:p w14:paraId="109F37D4">
            <w:pPr>
              <w:pStyle w:val="178"/>
            </w:pPr>
            <w:r>
              <w:rPr>
                <w:rFonts w:hint="eastAsia"/>
              </w:rPr>
              <w:t>日常检查、专项检查、整改闭环</w:t>
            </w:r>
          </w:p>
        </w:tc>
        <w:tc>
          <w:tcPr>
            <w:tcW w:w="3815" w:type="dxa"/>
          </w:tcPr>
          <w:p w14:paraId="472D6ABA">
            <w:pPr>
              <w:pStyle w:val="178"/>
            </w:pPr>
            <w:r>
              <w:rPr>
                <w:rFonts w:hint="eastAsia"/>
              </w:rPr>
              <w:t>问题清单化、整改责任化</w:t>
            </w:r>
          </w:p>
        </w:tc>
      </w:tr>
      <w:tr w14:paraId="0A27E01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019BDB9A">
            <w:pPr>
              <w:pStyle w:val="178"/>
            </w:pPr>
            <w:r>
              <w:rPr>
                <w:rFonts w:hint="eastAsia"/>
              </w:rPr>
              <w:t>评价考核</w:t>
            </w:r>
          </w:p>
        </w:tc>
        <w:tc>
          <w:tcPr>
            <w:tcW w:w="3828" w:type="dxa"/>
          </w:tcPr>
          <w:p w14:paraId="53444556">
            <w:pPr>
              <w:pStyle w:val="178"/>
            </w:pPr>
            <w:r>
              <w:rPr>
                <w:rFonts w:hint="eastAsia"/>
              </w:rPr>
              <w:t>质量、共享、安全、资产、应用</w:t>
            </w:r>
          </w:p>
        </w:tc>
        <w:tc>
          <w:tcPr>
            <w:tcW w:w="3815" w:type="dxa"/>
          </w:tcPr>
          <w:p w14:paraId="7D24DC64">
            <w:pPr>
              <w:pStyle w:val="178"/>
            </w:pPr>
            <w:r>
              <w:rPr>
                <w:rFonts w:hint="eastAsia"/>
              </w:rPr>
              <w:t>结果可量化、责任可落实</w:t>
            </w:r>
          </w:p>
        </w:tc>
      </w:tr>
      <w:tr w14:paraId="28116D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1691" w:type="dxa"/>
          </w:tcPr>
          <w:p w14:paraId="36CBA9D8">
            <w:pPr>
              <w:pStyle w:val="178"/>
            </w:pPr>
            <w:r>
              <w:rPr>
                <w:rFonts w:hint="eastAsia"/>
              </w:rPr>
              <w:t>持续改进</w:t>
            </w:r>
          </w:p>
        </w:tc>
        <w:tc>
          <w:tcPr>
            <w:tcW w:w="3828" w:type="dxa"/>
          </w:tcPr>
          <w:p w14:paraId="3E3F89C0">
            <w:pPr>
              <w:pStyle w:val="178"/>
            </w:pPr>
            <w:r>
              <w:rPr>
                <w:rFonts w:hint="eastAsia"/>
              </w:rPr>
              <w:t>复盘分析、规则优化、能力提升</w:t>
            </w:r>
          </w:p>
        </w:tc>
        <w:tc>
          <w:tcPr>
            <w:tcW w:w="3815" w:type="dxa"/>
          </w:tcPr>
          <w:p w14:paraId="26947321">
            <w:pPr>
              <w:pStyle w:val="178"/>
            </w:pPr>
            <w:r>
              <w:rPr>
                <w:rFonts w:hint="eastAsia"/>
              </w:rPr>
              <w:t>问题导向、价值导向、动态优化</w:t>
            </w:r>
          </w:p>
        </w:tc>
      </w:tr>
    </w:tbl>
    <w:p w14:paraId="4C669FB7">
      <w:pPr>
        <w:pStyle w:val="104"/>
        <w:spacing w:before="240" w:after="240" w:line="360" w:lineRule="auto"/>
      </w:pPr>
      <w:bookmarkStart w:id="58" w:name="_Toc228568761"/>
      <w:r>
        <w:rPr>
          <w:rFonts w:hint="eastAsia"/>
        </w:rPr>
        <w:t>附则</w:t>
      </w:r>
      <w:bookmarkEnd w:id="58"/>
    </w:p>
    <w:p w14:paraId="52E96DE9">
      <w:pPr>
        <w:pStyle w:val="162"/>
        <w:spacing w:line="360" w:lineRule="auto"/>
      </w:pPr>
      <w:r>
        <w:rPr>
          <w:rFonts w:hint="eastAsia"/>
        </w:rPr>
        <w:t>煤矿企业可根据矿井规模、系统复杂程度、管理层级和应用需求，在不低于本文件要求的前提下，制定实施细则。</w:t>
      </w:r>
    </w:p>
    <w:p w14:paraId="553CE51D">
      <w:pPr>
        <w:pStyle w:val="162"/>
        <w:spacing w:line="360" w:lineRule="auto"/>
      </w:pPr>
      <w:r>
        <w:rPr>
          <w:rFonts w:hint="eastAsia"/>
        </w:rPr>
        <w:t>集团化煤炭企业可在本文件基础上建立集团统一的数据治理与资产化管理制度、目录体系和评价规则。</w:t>
      </w:r>
    </w:p>
    <w:p w14:paraId="3BAF9FA6">
      <w:pPr>
        <w:pStyle w:val="162"/>
        <w:spacing w:line="360" w:lineRule="auto"/>
      </w:pPr>
      <w:r>
        <w:rPr>
          <w:rFonts w:hint="eastAsia"/>
        </w:rPr>
        <w:t>煤矿企业在执行本文件过程中形成的成熟经验，可纳入企业标准、管理制度或者后续修订依据。</w:t>
      </w:r>
    </w:p>
    <w:p w14:paraId="1E4B0DE1">
      <w:pPr>
        <w:pStyle w:val="162"/>
        <w:spacing w:line="360" w:lineRule="auto"/>
      </w:pPr>
      <w:r>
        <w:rPr>
          <w:rFonts w:hint="eastAsia"/>
        </w:rPr>
        <w:t>本文件未规定的事项，应符合国家有关法律法规和相关标准的要求。</w:t>
      </w:r>
    </w:p>
    <w:bookmarkEnd w:id="26"/>
    <w:p w14:paraId="4A64B4E3">
      <w:pPr>
        <w:pStyle w:val="56"/>
        <w:ind w:firstLine="0" w:firstLineChars="0"/>
        <w:jc w:val="center"/>
      </w:pPr>
      <w:bookmarkStart w:id="59" w:name="BookMark8"/>
      <w:r>
        <w:rPr>
          <w:rFonts w:hint="eastAsia"/>
        </w:rPr>
        <w:drawing>
          <wp:inline distT="0" distB="0" distL="0" distR="0">
            <wp:extent cx="1485900" cy="317500"/>
            <wp:effectExtent l="0" t="0" r="0" b="6350"/>
            <wp:docPr id="62714723" name="图片 3"/>
            <wp:cNvGraphicFramePr/>
            <a:graphic xmlns:a="http://schemas.openxmlformats.org/drawingml/2006/main">
              <a:graphicData uri="http://schemas.openxmlformats.org/drawingml/2006/picture">
                <pic:pic xmlns:pic="http://schemas.openxmlformats.org/drawingml/2006/picture">
                  <pic:nvPicPr>
                    <pic:cNvPr id="62714723" name="图片 3"/>
                    <pic:cNvPicPr/>
                  </pic:nvPicPr>
                  <pic:blipFill>
                    <a:blip r:embed="rId3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9"/>
    </w:p>
    <w:sectPr>
      <w:headerReference r:id="rId23" w:type="default"/>
      <w:footerReference r:id="rId25" w:type="default"/>
      <w:headerReference r:id="rId24" w:type="even"/>
      <w:footerReference r:id="rId26" w:type="even"/>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D931F0">
    <w:pPr>
      <w:pStyle w:val="17"/>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45FB89">
    <w:pPr>
      <w:pStyle w:val="52"/>
    </w:pPr>
    <w:r>
      <w:fldChar w:fldCharType="begin"/>
    </w:r>
    <w:r>
      <w:instrText xml:space="preserve">PAGE   \* MERGEFORMAT</w:instrText>
    </w:r>
    <w:r>
      <w:fldChar w:fldCharType="separate"/>
    </w:r>
    <w:r>
      <w:rPr>
        <w:lang w:val="zh-CN"/>
      </w:rPr>
      <w:t>1</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A94BBC">
    <w:pPr>
      <w:pStyle w:val="51"/>
    </w:pPr>
    <w:r>
      <w:fldChar w:fldCharType="begin"/>
    </w:r>
    <w:r>
      <w:instrText xml:space="preserve"> PAGE   \* MERGEFORMAT \* MERGEFORMAT </w:instrText>
    </w:r>
    <w:r>
      <w:fldChar w:fldCharType="separate"/>
    </w:r>
    <w:r>
      <w:t>36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82C22D">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49337">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65C18A">
    <w:pPr>
      <w:pStyle w:val="52"/>
    </w:pPr>
    <w:r>
      <w:fldChar w:fldCharType="begin"/>
    </w:r>
    <w:r>
      <w:instrText xml:space="preserve">PAGE   \* MERGEFORMAT</w:instrText>
    </w:r>
    <w:r>
      <w:fldChar w:fldCharType="separate"/>
    </w:r>
    <w:r>
      <w:rPr>
        <w:lang w:val="zh-CN"/>
      </w:rPr>
      <w:t>1</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846EC">
    <w:pPr>
      <w:pStyle w:val="51"/>
    </w:pPr>
    <w:r>
      <w:fldChar w:fldCharType="begin"/>
    </w:r>
    <w:r>
      <w:instrText xml:space="preserve"> PAGE   \* MERGEFORMAT \* MERGEFORMAT </w:instrText>
    </w:r>
    <w:r>
      <w:fldChar w:fldCharType="separate"/>
    </w:r>
    <w:r>
      <w:t>II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6A5EEF">
    <w:pPr>
      <w:pStyle w:val="52"/>
    </w:pPr>
    <w:r>
      <w:fldChar w:fldCharType="begin"/>
    </w:r>
    <w:r>
      <w:instrText xml:space="preserve">PAGE   \* MERGEFORMAT</w:instrText>
    </w:r>
    <w:r>
      <w:fldChar w:fldCharType="separate"/>
    </w:r>
    <w:r>
      <w:rPr>
        <w:lang w:val="zh-CN"/>
      </w:rPr>
      <w:t>1</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AA6EF6">
    <w:pPr>
      <w:pStyle w:val="51"/>
    </w:pPr>
    <w:r>
      <w:fldChar w:fldCharType="begin"/>
    </w:r>
    <w:r>
      <w:instrText xml:space="preserve"> PAGE   \* MERGEFORMAT \* MERGEFORMAT </w:instrText>
    </w:r>
    <w:r>
      <w:fldChar w:fldCharType="separate"/>
    </w:r>
    <w: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DDA474">
    <w:pPr>
      <w:pStyle w:val="52"/>
    </w:pPr>
    <w:r>
      <w:fldChar w:fldCharType="begin"/>
    </w:r>
    <w:r>
      <w:instrText xml:space="preserve">PAGE   \* MERGEFORMAT</w:instrText>
    </w:r>
    <w:r>
      <w:fldChar w:fldCharType="separate"/>
    </w:r>
    <w:r>
      <w:rPr>
        <w:lang w:val="zh-CN"/>
      </w:rPr>
      <w:t>1</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2F09C">
    <w:pPr>
      <w:pStyle w:val="51"/>
    </w:pPr>
    <w:r>
      <w:fldChar w:fldCharType="begin"/>
    </w:r>
    <w:r>
      <w:instrText xml:space="preserve"> PAGE   \* MERGEFORMAT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02859">
    <w:pPr>
      <w:pStyle w:val="18"/>
      <w:wordWrap w:val="0"/>
      <w:jc w:val="right"/>
      <w:rPr>
        <w:rFonts w:hint="eastAsia"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D7ED11">
    <w:pPr>
      <w:pStyle w:val="61"/>
      <w:rPr>
        <w:rFonts w:hint="eastAsia"/>
      </w:rPr>
    </w:pPr>
    <w:r>
      <w:fldChar w:fldCharType="begin"/>
    </w:r>
    <w:r>
      <w:instrText xml:space="preserve"> STYLEREF  标准文件_文件编号  \* MERGEFORMAT </w:instrText>
    </w:r>
    <w:r>
      <w:fldChar w:fldCharType="separate"/>
    </w:r>
    <w:r>
      <w:t>T/XZBX 0256—2026</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63A54">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0256—2026</w:t>
    </w:r>
    <w:r>
      <w:rPr>
        <w:rFonts w:hint="eastAsia"/>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ED4D16">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DBA31">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1C7098">
    <w:pPr>
      <w:pStyle w:val="61"/>
      <w:rPr>
        <w:rFonts w:hint="eastAsia"/>
      </w:rPr>
    </w:pPr>
    <w:r>
      <w:fldChar w:fldCharType="begin"/>
    </w:r>
    <w:r>
      <w:instrText xml:space="preserve"> STYLEREF  标准文件_文件编号  \* MERGEFORMAT </w:instrText>
    </w:r>
    <w:r>
      <w:fldChar w:fldCharType="separate"/>
    </w:r>
    <w:r>
      <w:t>T/XZBX 0256—2026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D007A2">
    <w:pPr>
      <w:pStyle w:val="62"/>
      <w:rPr>
        <w:rFonts w:hint="eastAsia"/>
      </w:rPr>
    </w:pPr>
    <w:r>
      <w:rPr>
        <w:rFonts w:hint="eastAsia"/>
      </w:rPr>
      <w:fldChar w:fldCharType="begin"/>
    </w:r>
    <w:r>
      <w:rPr>
        <w:rFonts w:hint="eastAsia"/>
      </w:rPr>
      <w:instrText xml:space="preserve"> </w:instrText>
    </w:r>
    <w:r>
      <w:instrText xml:space="preserve">STYLEREF  标准文件_文件编号 \* MERGEFORMAT</w:instrText>
    </w:r>
    <w:r>
      <w:rPr>
        <w:rFonts w:hint="eastAsia"/>
      </w:rPr>
      <w:instrText xml:space="preserve"> </w:instrText>
    </w:r>
    <w:r>
      <w:rPr>
        <w:rFonts w:hint="eastAsia"/>
      </w:rPr>
      <w:fldChar w:fldCharType="separate"/>
    </w:r>
    <w:r>
      <w:rPr>
        <w:rFonts w:hint="eastAsia"/>
      </w:rPr>
      <w:t>T/XZBX 0256—2026</w:t>
    </w:r>
    <w:r>
      <w:rPr>
        <w:rFonts w:hint="eastAsia"/>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850C84">
    <w:pPr>
      <w:pStyle w:val="61"/>
      <w:rPr>
        <w:rFonts w:hint="eastAsia"/>
      </w:rPr>
    </w:pPr>
    <w:r>
      <w:fldChar w:fldCharType="begin"/>
    </w:r>
    <w:r>
      <w:instrText xml:space="preserve"> STYLEREF  标准文件_文件编号  \* MERGEFORMAT </w:instrText>
    </w:r>
    <w:r>
      <w:fldChar w:fldCharType="separate"/>
    </w:r>
    <w:r>
      <w:t>T/XZBX 0256—2026</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419FE1">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0256—2026</w:t>
    </w:r>
    <w:r>
      <w:rPr>
        <w:rFonts w:hint="eastAsia"/>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7EAF36">
    <w:pPr>
      <w:pStyle w:val="61"/>
      <w:rPr>
        <w:rFonts w:hint="eastAsia"/>
      </w:rPr>
    </w:pPr>
    <w:r>
      <w:fldChar w:fldCharType="begin"/>
    </w:r>
    <w:r>
      <w:instrText xml:space="preserve"> STYLEREF  标准文件_文件编号  \* MERGEFORMAT </w:instrText>
    </w:r>
    <w:r>
      <w:fldChar w:fldCharType="separate"/>
    </w:r>
    <w:r>
      <w:t>T/XZBX 0256—2026</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A6B57">
    <w:pPr>
      <w:pStyle w:val="62"/>
      <w:rPr>
        <w:rFonts w:hint="eastAsia"/>
      </w:rPr>
    </w:pPr>
    <w:r>
      <w:rPr>
        <w:rFonts w:hint="eastAsia"/>
      </w:rPr>
      <w:fldChar w:fldCharType="begin"/>
    </w:r>
    <w:r>
      <w:rPr>
        <w:rFonts w:hint="eastAsia"/>
      </w:rPr>
      <w:instrText xml:space="preserve"> STYLEREF  标准文件_文件编号 \* MERGEFORMAT </w:instrText>
    </w:r>
    <w:r>
      <w:rPr>
        <w:rFonts w:hint="eastAsia"/>
      </w:rPr>
      <w:fldChar w:fldCharType="separate"/>
    </w:r>
    <w:r>
      <w:rPr>
        <w:rFonts w:hint="eastAsia"/>
      </w:rPr>
      <w:t>T/XZBX 0256—2026</w:t>
    </w:r>
    <w:r>
      <w:rPr>
        <w:rFonts w:hint="eastAsia"/>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9"/>
      <w:suff w:val="nothing"/>
      <w:lvlText w:val="%1%2.%3　"/>
      <w:lvlJc w:val="left"/>
      <w:pPr>
        <w:ind w:left="0" w:firstLine="0"/>
      </w:pPr>
    </w:lvl>
    <w:lvl w:ilvl="3" w:tentative="0">
      <w:start w:val="1"/>
      <w:numFmt w:val="decimal"/>
      <w:pStyle w:val="118"/>
      <w:suff w:val="nothing"/>
      <w:lvlText w:val="%1%2.%3.%4　"/>
      <w:lvlJc w:val="left"/>
      <w:pPr>
        <w:ind w:left="0" w:firstLine="0"/>
      </w:pPr>
    </w:lvl>
    <w:lvl w:ilvl="4" w:tentative="0">
      <w:start w:val="1"/>
      <w:numFmt w:val="decimal"/>
      <w:pStyle w:val="153"/>
      <w:suff w:val="nothing"/>
      <w:lvlText w:val="%1%2.%3.%4.%5　"/>
      <w:lvlJc w:val="left"/>
      <w:pPr>
        <w:ind w:left="0" w:firstLine="0"/>
      </w:pPr>
    </w:lvl>
    <w:lvl w:ilvl="5" w:tentative="0">
      <w:start w:val="1"/>
      <w:numFmt w:val="decimal"/>
      <w:pStyle w:val="155"/>
      <w:suff w:val="nothing"/>
      <w:lvlText w:val="%1%2.%3.%4.%5.%6　"/>
      <w:lvlJc w:val="left"/>
      <w:pPr>
        <w:ind w:left="0" w:firstLine="0"/>
      </w:pPr>
    </w:lvl>
    <w:lvl w:ilvl="6" w:tentative="0">
      <w:start w:val="1"/>
      <w:numFmt w:val="decimal"/>
      <w:pStyle w:val="158"/>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0"/>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89"/>
      <w:lvlText w:val="%1"/>
      <w:lvlJc w:val="left"/>
      <w:pPr>
        <w:ind w:left="425" w:hanging="425"/>
      </w:pPr>
      <w:rPr>
        <w:rFonts w:hint="eastAsia"/>
      </w:rPr>
    </w:lvl>
    <w:lvl w:ilvl="1" w:tentative="0">
      <w:start w:val="1"/>
      <w:numFmt w:val="decimal"/>
      <w:pStyle w:val="200"/>
      <w:suff w:val="nothing"/>
      <w:lvlText w:val="%10.%2 "/>
      <w:lvlJc w:val="left"/>
      <w:pPr>
        <w:ind w:left="0" w:firstLine="0"/>
      </w:pPr>
      <w:rPr>
        <w:rFonts w:hint="eastAsia" w:ascii="黑体" w:eastAsia="黑体" w:hAnsiTheme="minorHAnsi"/>
        <w:b w:val="0"/>
        <w:i w:val="0"/>
        <w:sz w:val="21"/>
      </w:rPr>
    </w:lvl>
    <w:lvl w:ilvl="2" w:tentative="0">
      <w:start w:val="1"/>
      <w:numFmt w:val="decimal"/>
      <w:pStyle w:val="201"/>
      <w:suff w:val="nothing"/>
      <w:lvlText w:val="%10.%2.%3 "/>
      <w:lvlJc w:val="left"/>
      <w:pPr>
        <w:ind w:left="0" w:firstLine="0"/>
      </w:pPr>
      <w:rPr>
        <w:rFonts w:hint="eastAsia" w:ascii="黑体" w:eastAsia="黑体" w:hAnsiTheme="minorHAnsi"/>
        <w:b w:val="0"/>
        <w:i w:val="0"/>
        <w:sz w:val="21"/>
      </w:rPr>
    </w:lvl>
    <w:lvl w:ilvl="3" w:tentative="0">
      <w:start w:val="1"/>
      <w:numFmt w:val="decimal"/>
      <w:pStyle w:val="202"/>
      <w:suff w:val="nothing"/>
      <w:lvlText w:val="%10.%2.%3.%4 "/>
      <w:lvlJc w:val="left"/>
      <w:pPr>
        <w:ind w:left="0" w:firstLine="0"/>
      </w:pPr>
      <w:rPr>
        <w:rFonts w:hint="eastAsia" w:ascii="黑体" w:eastAsia="黑体" w:hAnsiTheme="minorHAnsi"/>
        <w:b w:val="0"/>
        <w:i w:val="0"/>
        <w:sz w:val="21"/>
      </w:rPr>
    </w:lvl>
    <w:lvl w:ilvl="4" w:tentative="0">
      <w:start w:val="1"/>
      <w:numFmt w:val="decimal"/>
      <w:pStyle w:val="203"/>
      <w:suff w:val="nothing"/>
      <w:lvlText w:val="%10.%2.%3.%4.%5 "/>
      <w:lvlJc w:val="left"/>
      <w:pPr>
        <w:ind w:left="0" w:firstLine="0"/>
      </w:pPr>
      <w:rPr>
        <w:rFonts w:hint="eastAsia" w:ascii="黑体" w:eastAsia="黑体" w:hAnsiTheme="minorHAnsi"/>
        <w:b w:val="0"/>
        <w:i w:val="0"/>
        <w:sz w:val="21"/>
      </w:rPr>
    </w:lvl>
    <w:lvl w:ilvl="5" w:tentative="0">
      <w:start w:val="1"/>
      <w:numFmt w:val="decimal"/>
      <w:pStyle w:val="204"/>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1"/>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7"/>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69"/>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0"/>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5"/>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2"/>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2"/>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7"/>
      <w:lvlText w:val=""/>
      <w:lvlJc w:val="left"/>
      <w:pPr>
        <w:ind w:left="851" w:hanging="431"/>
      </w:pPr>
      <w:rPr>
        <w:rFonts w:hint="default" w:ascii="Symbol" w:hAnsi="Symbol"/>
        <w:sz w:val="21"/>
      </w:rPr>
    </w:lvl>
    <w:lvl w:ilvl="2" w:tentative="0">
      <w:start w:val="1"/>
      <w:numFmt w:val="bullet"/>
      <w:pStyle w:val="172"/>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1"/>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4"/>
      <w:lvlText w:val="%1)"/>
      <w:lvlJc w:val="left"/>
      <w:pPr>
        <w:tabs>
          <w:tab w:val="left" w:pos="851"/>
        </w:tabs>
        <w:ind w:left="851" w:hanging="426"/>
      </w:pPr>
      <w:rPr>
        <w:rFonts w:hint="eastAsia" w:ascii="宋体" w:hAnsi="Times New Roman" w:eastAsia="宋体"/>
        <w:sz w:val="21"/>
      </w:rPr>
    </w:lvl>
    <w:lvl w:ilvl="1" w:tentative="0">
      <w:start w:val="1"/>
      <w:numFmt w:val="decimal"/>
      <w:pStyle w:val="109"/>
      <w:lvlText w:val="%2)"/>
      <w:lvlJc w:val="left"/>
      <w:pPr>
        <w:tabs>
          <w:tab w:val="left" w:pos="1276"/>
        </w:tabs>
        <w:ind w:left="1276" w:hanging="425"/>
      </w:pPr>
      <w:rPr>
        <w:rFonts w:hint="eastAsia" w:ascii="宋体" w:hAnsi="Times New Roman" w:eastAsia="宋体"/>
        <w:sz w:val="21"/>
      </w:rPr>
    </w:lvl>
    <w:lvl w:ilvl="2" w:tentative="0">
      <w:start w:val="1"/>
      <w:numFmt w:val="decimal"/>
      <w:pStyle w:val="117"/>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198"/>
      <w:lvlText w:val="%1"/>
      <w:lvlJc w:val="left"/>
      <w:pPr>
        <w:ind w:left="420" w:hanging="420"/>
      </w:pPr>
      <w:rPr>
        <w:rFonts w:hint="eastAsia"/>
      </w:rPr>
    </w:lvl>
    <w:lvl w:ilvl="1" w:tentative="0">
      <w:start w:val="1"/>
      <w:numFmt w:val="decimal"/>
      <w:pStyle w:val="83"/>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3"/>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6"/>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3"/>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4"/>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99"/>
      <w:suff w:val="space"/>
      <w:lvlText w:val="%1"/>
      <w:lvlJc w:val="left"/>
      <w:pPr>
        <w:ind w:left="425" w:hanging="425"/>
      </w:pPr>
      <w:rPr>
        <w:rFonts w:hint="eastAsia"/>
      </w:rPr>
    </w:lvl>
    <w:lvl w:ilvl="1" w:tentative="0">
      <w:start w:val="1"/>
      <w:numFmt w:val="decimal"/>
      <w:pStyle w:val="7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1"/>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68"/>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2"/>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9"/>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6"/>
      <w:suff w:val="nothing"/>
      <w:lvlText w:val="附录%1"/>
      <w:lvlJc w:val="left"/>
      <w:pPr>
        <w:ind w:left="0" w:firstLine="0"/>
      </w:pPr>
      <w:rPr>
        <w:rFonts w:hint="eastAsia"/>
        <w:spacing w:val="100"/>
      </w:rPr>
    </w:lvl>
    <w:lvl w:ilvl="1" w:tentative="0">
      <w:start w:val="1"/>
      <w:numFmt w:val="decimal"/>
      <w:pStyle w:val="78"/>
      <w:suff w:val="nothing"/>
      <w:lvlText w:val="%1.%2　"/>
      <w:lvlJc w:val="left"/>
      <w:pPr>
        <w:ind w:left="0" w:firstLine="0"/>
      </w:pPr>
      <w:rPr>
        <w:rFonts w:hint="eastAsia" w:ascii="黑体" w:eastAsia="黑体"/>
        <w:b w:val="0"/>
        <w:i w:val="0"/>
        <w:sz w:val="21"/>
      </w:rPr>
    </w:lvl>
    <w:lvl w:ilvl="2" w:tentative="0">
      <w:start w:val="1"/>
      <w:numFmt w:val="decimal"/>
      <w:pStyle w:val="79"/>
      <w:suff w:val="nothing"/>
      <w:lvlText w:val="%1.%2.%3　"/>
      <w:lvlJc w:val="left"/>
      <w:pPr>
        <w:ind w:left="0" w:firstLine="0"/>
      </w:pPr>
      <w:rPr>
        <w:rFonts w:hint="eastAsia" w:ascii="黑体" w:eastAsia="黑体"/>
        <w:b w:val="0"/>
        <w:i w:val="0"/>
        <w:sz w:val="21"/>
      </w:rPr>
    </w:lvl>
    <w:lvl w:ilvl="3" w:tentative="0">
      <w:start w:val="1"/>
      <w:numFmt w:val="decimal"/>
      <w:pStyle w:val="81"/>
      <w:suff w:val="nothing"/>
      <w:lvlText w:val="%1.%2.%3.%4　"/>
      <w:lvlJc w:val="left"/>
      <w:pPr>
        <w:ind w:left="0" w:firstLine="0"/>
      </w:pPr>
      <w:rPr>
        <w:rFonts w:hint="eastAsia" w:ascii="黑体" w:eastAsia="黑体"/>
        <w:b w:val="0"/>
        <w:i w:val="0"/>
        <w:sz w:val="21"/>
      </w:rPr>
    </w:lvl>
    <w:lvl w:ilvl="4" w:tentative="0">
      <w:start w:val="1"/>
      <w:numFmt w:val="decimal"/>
      <w:pStyle w:val="82"/>
      <w:suff w:val="nothing"/>
      <w:lvlText w:val="%1.%2.%3.%4.%5　"/>
      <w:lvlJc w:val="left"/>
      <w:pPr>
        <w:ind w:left="0" w:firstLine="0"/>
      </w:pPr>
      <w:rPr>
        <w:rFonts w:hint="eastAsia" w:ascii="黑体" w:eastAsia="黑体"/>
        <w:b w:val="0"/>
        <w:i w:val="0"/>
        <w:sz w:val="21"/>
      </w:rPr>
    </w:lvl>
    <w:lvl w:ilvl="5" w:tentative="0">
      <w:start w:val="1"/>
      <w:numFmt w:val="decimal"/>
      <w:pStyle w:val="8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88"/>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7"/>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3"/>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2"/>
      <w:suff w:val="nothing"/>
      <w:lvlText w:val="%1"/>
      <w:lvlJc w:val="left"/>
      <w:pPr>
        <w:ind w:left="0" w:firstLine="0"/>
      </w:pPr>
      <w:rPr>
        <w:rFonts w:hint="eastAsia"/>
      </w:rPr>
    </w:lvl>
    <w:lvl w:ilvl="1" w:tentative="0">
      <w:start w:val="1"/>
      <w:numFmt w:val="decimal"/>
      <w:pStyle w:val="104"/>
      <w:suff w:val="nothing"/>
      <w:lvlText w:val="%1%2　"/>
      <w:lvlJc w:val="left"/>
      <w:pPr>
        <w:ind w:left="0" w:firstLine="0"/>
      </w:pPr>
      <w:rPr>
        <w:rFonts w:hint="eastAsia" w:ascii="黑体" w:eastAsia="黑体"/>
        <w:b w:val="0"/>
        <w:i w:val="0"/>
        <w:sz w:val="21"/>
      </w:rPr>
    </w:lvl>
    <w:lvl w:ilvl="2" w:tentative="0">
      <w:start w:val="1"/>
      <w:numFmt w:val="decimal"/>
      <w:pStyle w:val="105"/>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prst="orthographicFront">
          <w14:lightRig w14:rig="threePt" w14:dir="t">
            <w14:rot w14:lat="0" w14:lon="0" w14:rev="0"/>
          </w14:lightRig>
        </w14:scene3d>
        <w14:ligatures w14:val="none"/>
        <w14:numForm w14:val="default"/>
        <w14:numSpacing w14:val="default"/>
        <w14:cntxtalts w14:val="0"/>
      </w:rPr>
    </w:lvl>
    <w:lvl w:ilvl="3" w:tentative="0">
      <w:start w:val="1"/>
      <w:numFmt w:val="decimal"/>
      <w:pStyle w:val="65"/>
      <w:suff w:val="nothing"/>
      <w:lvlText w:val="%1%2.%3.%4　"/>
      <w:lvlJc w:val="left"/>
      <w:pPr>
        <w:ind w:left="0" w:firstLine="0"/>
      </w:pPr>
      <w:rPr>
        <w:rFonts w:hint="eastAsia" w:ascii="黑体" w:eastAsia="黑体"/>
        <w:b w:val="0"/>
        <w:i w:val="0"/>
        <w:sz w:val="21"/>
      </w:rPr>
    </w:lvl>
    <w:lvl w:ilvl="4" w:tentative="0">
      <w:start w:val="1"/>
      <w:numFmt w:val="decimal"/>
      <w:pStyle w:val="94"/>
      <w:suff w:val="nothing"/>
      <w:lvlText w:val="%1%2.%3.%4.%5　"/>
      <w:lvlJc w:val="left"/>
      <w:pPr>
        <w:ind w:left="0" w:firstLine="0"/>
      </w:pPr>
      <w:rPr>
        <w:rFonts w:hint="eastAsia" w:ascii="黑体" w:eastAsia="黑体"/>
        <w:b w:val="0"/>
        <w:i w:val="0"/>
        <w:sz w:val="21"/>
      </w:rPr>
    </w:lvl>
    <w:lvl w:ilvl="5" w:tentative="0">
      <w:start w:val="1"/>
      <w:numFmt w:val="decimal"/>
      <w:pStyle w:val="98"/>
      <w:suff w:val="nothing"/>
      <w:lvlText w:val="%1%2.%3.%4.%5.%6　"/>
      <w:lvlJc w:val="left"/>
      <w:pPr>
        <w:ind w:left="0" w:firstLine="0"/>
      </w:pPr>
      <w:rPr>
        <w:rFonts w:hint="eastAsia" w:ascii="黑体" w:eastAsia="黑体"/>
        <w:b w:val="0"/>
        <w:i w:val="0"/>
        <w:sz w:val="21"/>
      </w:rPr>
    </w:lvl>
    <w:lvl w:ilvl="6" w:tentative="0">
      <w:start w:val="1"/>
      <w:numFmt w:val="decimal"/>
      <w:pStyle w:val="103"/>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79"/>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5"/>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39"/>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attachedTemplate r:id="rId1"/>
  <w:documentProtection w:edit="forms" w:enforcement="0"/>
  <w:defaultTabStop w:val="42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tDSwNLYwMrIwtjS2NDNT0lEKTi0uzszPAykwrAUASC/mvywAAAA="/>
  </w:docVars>
  <w:rsids>
    <w:rsidRoot w:val="00EB4D3D"/>
    <w:rsid w:val="0000040A"/>
    <w:rsid w:val="00000A94"/>
    <w:rsid w:val="00000B3B"/>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37A4"/>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1A11"/>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C7700"/>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166B"/>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295A"/>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5347"/>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1562"/>
    <w:rsid w:val="002D42B5"/>
    <w:rsid w:val="002D4F1A"/>
    <w:rsid w:val="002D6EC6"/>
    <w:rsid w:val="002D79AC"/>
    <w:rsid w:val="002E039D"/>
    <w:rsid w:val="002E4D5A"/>
    <w:rsid w:val="002E6326"/>
    <w:rsid w:val="002E6AD9"/>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107C"/>
    <w:rsid w:val="003615D2"/>
    <w:rsid w:val="0036429C"/>
    <w:rsid w:val="003646F4"/>
    <w:rsid w:val="00364A53"/>
    <w:rsid w:val="003654CB"/>
    <w:rsid w:val="00365AA9"/>
    <w:rsid w:val="00365F86"/>
    <w:rsid w:val="00365F87"/>
    <w:rsid w:val="00366E89"/>
    <w:rsid w:val="003705F4"/>
    <w:rsid w:val="00370D58"/>
    <w:rsid w:val="00371316"/>
    <w:rsid w:val="00371455"/>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01D"/>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E754D"/>
    <w:rsid w:val="004F3690"/>
    <w:rsid w:val="004F391A"/>
    <w:rsid w:val="004F3CFB"/>
    <w:rsid w:val="004F6456"/>
    <w:rsid w:val="004F696E"/>
    <w:rsid w:val="004F6C71"/>
    <w:rsid w:val="00501139"/>
    <w:rsid w:val="0050363E"/>
    <w:rsid w:val="005039BC"/>
    <w:rsid w:val="005043BB"/>
    <w:rsid w:val="00504A3D"/>
    <w:rsid w:val="00505767"/>
    <w:rsid w:val="005073F0"/>
    <w:rsid w:val="00510A7B"/>
    <w:rsid w:val="00512C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554A5"/>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8DA"/>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0439"/>
    <w:rsid w:val="006015CE"/>
    <w:rsid w:val="00604784"/>
    <w:rsid w:val="00606419"/>
    <w:rsid w:val="00607D29"/>
    <w:rsid w:val="00612952"/>
    <w:rsid w:val="00614CC1"/>
    <w:rsid w:val="00615A9D"/>
    <w:rsid w:val="00617387"/>
    <w:rsid w:val="006205D6"/>
    <w:rsid w:val="0062320A"/>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93962"/>
    <w:rsid w:val="00697F9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5D7A"/>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E65B5"/>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6DAC"/>
    <w:rsid w:val="008373D3"/>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260"/>
    <w:rsid w:val="008938DC"/>
    <w:rsid w:val="00893FD1"/>
    <w:rsid w:val="00894836"/>
    <w:rsid w:val="00895172"/>
    <w:rsid w:val="00895680"/>
    <w:rsid w:val="00896DFF"/>
    <w:rsid w:val="0089762C"/>
    <w:rsid w:val="008A16D9"/>
    <w:rsid w:val="008A173B"/>
    <w:rsid w:val="008A1893"/>
    <w:rsid w:val="008A57E6"/>
    <w:rsid w:val="008A6F81"/>
    <w:rsid w:val="008A769A"/>
    <w:rsid w:val="008B0C9C"/>
    <w:rsid w:val="008B166D"/>
    <w:rsid w:val="008B17F4"/>
    <w:rsid w:val="008B3615"/>
    <w:rsid w:val="008B4AC4"/>
    <w:rsid w:val="008B50C8"/>
    <w:rsid w:val="008B5281"/>
    <w:rsid w:val="008B7E05"/>
    <w:rsid w:val="008C0337"/>
    <w:rsid w:val="008C1797"/>
    <w:rsid w:val="008C219C"/>
    <w:rsid w:val="008C475E"/>
    <w:rsid w:val="008C619A"/>
    <w:rsid w:val="008D0CE8"/>
    <w:rsid w:val="008D2D1D"/>
    <w:rsid w:val="008D2EBB"/>
    <w:rsid w:val="008D453D"/>
    <w:rsid w:val="008D53AD"/>
    <w:rsid w:val="008D562B"/>
    <w:rsid w:val="008D5733"/>
    <w:rsid w:val="008D622B"/>
    <w:rsid w:val="008D666C"/>
    <w:rsid w:val="008D7B54"/>
    <w:rsid w:val="008E0C9D"/>
    <w:rsid w:val="008E1648"/>
    <w:rsid w:val="008E1B3E"/>
    <w:rsid w:val="008E2319"/>
    <w:rsid w:val="008E4BB6"/>
    <w:rsid w:val="008E5518"/>
    <w:rsid w:val="008E677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496B"/>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3F69"/>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57BFB"/>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387E"/>
    <w:rsid w:val="00AA4286"/>
    <w:rsid w:val="00AA456B"/>
    <w:rsid w:val="00AA57F5"/>
    <w:rsid w:val="00AA672E"/>
    <w:rsid w:val="00AA6819"/>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0B"/>
    <w:rsid w:val="00AE101C"/>
    <w:rsid w:val="00AE2A69"/>
    <w:rsid w:val="00AE375A"/>
    <w:rsid w:val="00AE37E5"/>
    <w:rsid w:val="00AE5EB4"/>
    <w:rsid w:val="00AF0C18"/>
    <w:rsid w:val="00AF47B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974E7"/>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0464"/>
    <w:rsid w:val="00C521D6"/>
    <w:rsid w:val="00C55232"/>
    <w:rsid w:val="00C553A4"/>
    <w:rsid w:val="00C55A06"/>
    <w:rsid w:val="00C55D03"/>
    <w:rsid w:val="00C601BC"/>
    <w:rsid w:val="00C6329F"/>
    <w:rsid w:val="00C63340"/>
    <w:rsid w:val="00C643F9"/>
    <w:rsid w:val="00C64E95"/>
    <w:rsid w:val="00C71372"/>
    <w:rsid w:val="00C72410"/>
    <w:rsid w:val="00C7287F"/>
    <w:rsid w:val="00C747AC"/>
    <w:rsid w:val="00C80CB8"/>
    <w:rsid w:val="00C819F8"/>
    <w:rsid w:val="00C8248C"/>
    <w:rsid w:val="00C84E33"/>
    <w:rsid w:val="00C86D6F"/>
    <w:rsid w:val="00C905FC"/>
    <w:rsid w:val="00C90A55"/>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1B88"/>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53445"/>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4647"/>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07149"/>
    <w:rsid w:val="00E11A85"/>
    <w:rsid w:val="00E12495"/>
    <w:rsid w:val="00E15CCD"/>
    <w:rsid w:val="00E202EF"/>
    <w:rsid w:val="00E21088"/>
    <w:rsid w:val="00E210B5"/>
    <w:rsid w:val="00E2552F"/>
    <w:rsid w:val="00E27DF1"/>
    <w:rsid w:val="00E3137A"/>
    <w:rsid w:val="00E32CCF"/>
    <w:rsid w:val="00E34A98"/>
    <w:rsid w:val="00E35D1E"/>
    <w:rsid w:val="00E364F9"/>
    <w:rsid w:val="00E365FA"/>
    <w:rsid w:val="00E36789"/>
    <w:rsid w:val="00E36FA7"/>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4D3D"/>
    <w:rsid w:val="00EB5EDF"/>
    <w:rsid w:val="00EB60FE"/>
    <w:rsid w:val="00EB74DB"/>
    <w:rsid w:val="00EC5359"/>
    <w:rsid w:val="00EC562A"/>
    <w:rsid w:val="00ED0491"/>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178B"/>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4A43"/>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6E6277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6"/>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5"/>
    <w:semiHidden/>
    <w:unhideWhenUsed/>
    <w:uiPriority w:val="99"/>
    <w:rPr>
      <w:sz w:val="18"/>
      <w:szCs w:val="18"/>
    </w:rPr>
  </w:style>
  <w:style w:type="paragraph" w:styleId="17">
    <w:name w:val="footer"/>
    <w:basedOn w:val="1"/>
    <w:link w:val="44"/>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3"/>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99"/>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8"/>
      <w:vertAlign w:val="superscript"/>
    </w:rPr>
  </w:style>
  <w:style w:type="character" w:customStyle="1" w:styleId="34">
    <w:name w:val="标题 1 字符"/>
    <w:link w:val="2"/>
    <w:uiPriority w:val="0"/>
    <w:rPr>
      <w:b/>
      <w:bCs/>
      <w:kern w:val="44"/>
      <w:sz w:val="44"/>
      <w:szCs w:val="44"/>
    </w:rPr>
  </w:style>
  <w:style w:type="character" w:customStyle="1" w:styleId="35">
    <w:name w:val="标题 2 字符"/>
    <w:link w:val="3"/>
    <w:uiPriority w:val="0"/>
    <w:rPr>
      <w:rFonts w:ascii="Arial" w:hAnsi="Arial" w:eastAsia="黑体"/>
      <w:b/>
      <w:bCs/>
      <w:kern w:val="2"/>
      <w:sz w:val="32"/>
      <w:szCs w:val="32"/>
    </w:rPr>
  </w:style>
  <w:style w:type="character" w:customStyle="1" w:styleId="36">
    <w:name w:val="标题 3 字符"/>
    <w:link w:val="4"/>
    <w:qFormat/>
    <w:uiPriority w:val="0"/>
    <w:rPr>
      <w:b/>
      <w:bCs/>
      <w:kern w:val="2"/>
      <w:sz w:val="32"/>
      <w:szCs w:val="32"/>
    </w:rPr>
  </w:style>
  <w:style w:type="character" w:customStyle="1" w:styleId="37">
    <w:name w:val="标题 4 字符"/>
    <w:link w:val="5"/>
    <w:uiPriority w:val="0"/>
    <w:rPr>
      <w:rFonts w:ascii="Arial" w:hAnsi="Arial" w:eastAsia="黑体"/>
      <w:b/>
      <w:bCs/>
      <w:kern w:val="2"/>
      <w:sz w:val="28"/>
      <w:szCs w:val="28"/>
    </w:rPr>
  </w:style>
  <w:style w:type="character" w:customStyle="1" w:styleId="38">
    <w:name w:val="标题 5 字符"/>
    <w:link w:val="6"/>
    <w:qFormat/>
    <w:uiPriority w:val="0"/>
    <w:rPr>
      <w:b/>
      <w:bCs/>
      <w:kern w:val="2"/>
      <w:sz w:val="28"/>
      <w:szCs w:val="28"/>
    </w:rPr>
  </w:style>
  <w:style w:type="character" w:customStyle="1" w:styleId="39">
    <w:name w:val="标题 6 字符"/>
    <w:link w:val="7"/>
    <w:uiPriority w:val="0"/>
    <w:rPr>
      <w:rFonts w:ascii="Arial" w:hAnsi="Arial" w:eastAsia="黑体"/>
      <w:b/>
      <w:bCs/>
      <w:kern w:val="2"/>
      <w:sz w:val="24"/>
      <w:szCs w:val="24"/>
    </w:rPr>
  </w:style>
  <w:style w:type="character" w:customStyle="1" w:styleId="40">
    <w:name w:val="标题 7 字符"/>
    <w:link w:val="8"/>
    <w:uiPriority w:val="0"/>
    <w:rPr>
      <w:b/>
      <w:bCs/>
      <w:kern w:val="2"/>
      <w:sz w:val="24"/>
      <w:szCs w:val="24"/>
    </w:rPr>
  </w:style>
  <w:style w:type="character" w:customStyle="1" w:styleId="41">
    <w:name w:val="标题 8 字符"/>
    <w:link w:val="9"/>
    <w:uiPriority w:val="0"/>
    <w:rPr>
      <w:rFonts w:ascii="Arial" w:hAnsi="Arial" w:eastAsia="黑体"/>
      <w:kern w:val="2"/>
      <w:sz w:val="24"/>
      <w:szCs w:val="24"/>
    </w:rPr>
  </w:style>
  <w:style w:type="character" w:customStyle="1" w:styleId="42">
    <w:name w:val="标题 9 字符"/>
    <w:link w:val="10"/>
    <w:qFormat/>
    <w:uiPriority w:val="0"/>
    <w:rPr>
      <w:rFonts w:ascii="Arial" w:hAnsi="Arial" w:eastAsia="黑体"/>
      <w:kern w:val="2"/>
      <w:sz w:val="21"/>
      <w:szCs w:val="21"/>
    </w:rPr>
  </w:style>
  <w:style w:type="character" w:customStyle="1" w:styleId="43">
    <w:name w:val="页眉 字符"/>
    <w:link w:val="18"/>
    <w:uiPriority w:val="99"/>
    <w:rPr>
      <w:kern w:val="2"/>
      <w:sz w:val="18"/>
      <w:szCs w:val="18"/>
    </w:rPr>
  </w:style>
  <w:style w:type="character" w:customStyle="1" w:styleId="44">
    <w:name w:val="页脚 字符"/>
    <w:link w:val="17"/>
    <w:qFormat/>
    <w:uiPriority w:val="99"/>
    <w:rPr>
      <w:rFonts w:ascii="宋体"/>
      <w:kern w:val="2"/>
      <w:sz w:val="18"/>
      <w:szCs w:val="18"/>
    </w:rPr>
  </w:style>
  <w:style w:type="character" w:customStyle="1" w:styleId="45">
    <w:name w:val="批注框文本 字符"/>
    <w:link w:val="16"/>
    <w:semiHidden/>
    <w:qFormat/>
    <w:uiPriority w:val="99"/>
    <w:rPr>
      <w:kern w:val="2"/>
      <w:sz w:val="18"/>
      <w:szCs w:val="18"/>
    </w:rPr>
  </w:style>
  <w:style w:type="paragraph" w:styleId="46">
    <w:name w:val="Quote"/>
    <w:basedOn w:val="1"/>
    <w:next w:val="1"/>
    <w:link w:val="47"/>
    <w:qFormat/>
    <w:uiPriority w:val="29"/>
    <w:rPr>
      <w:i/>
      <w:iCs/>
      <w:color w:val="000000"/>
    </w:rPr>
  </w:style>
  <w:style w:type="character" w:customStyle="1" w:styleId="47">
    <w:name w:val="引用 字符"/>
    <w:link w:val="46"/>
    <w:uiPriority w:val="29"/>
    <w:rPr>
      <w:i/>
      <w:iCs/>
      <w:color w:val="000000"/>
      <w:kern w:val="2"/>
      <w:sz w:val="21"/>
      <w:szCs w:val="21"/>
    </w:rPr>
  </w:style>
  <w:style w:type="character" w:customStyle="1" w:styleId="48">
    <w:name w:val="标题 字符"/>
    <w:link w:val="25"/>
    <w:qFormat/>
    <w:uiPriority w:val="0"/>
    <w:rPr>
      <w:rFonts w:ascii="Arial" w:hAnsi="Arial" w:cs="Arial"/>
      <w:b/>
      <w:bCs/>
      <w:kern w:val="2"/>
      <w:sz w:val="32"/>
      <w:szCs w:val="32"/>
    </w:rPr>
  </w:style>
  <w:style w:type="paragraph" w:customStyle="1" w:styleId="49">
    <w:name w:val="标准标志"/>
    <w:next w:val="1"/>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1">
    <w:name w:val="标准文件_页脚偶数页"/>
    <w:uiPriority w:val="0"/>
    <w:pPr>
      <w:ind w:left="198"/>
    </w:pPr>
    <w:rPr>
      <w:rFonts w:ascii="宋体" w:hAnsi="Times New Roman" w:eastAsia="宋体" w:cs="Times New Roman"/>
      <w:sz w:val="18"/>
      <w:lang w:val="en-US" w:eastAsia="zh-CN" w:bidi="ar-SA"/>
    </w:rPr>
  </w:style>
  <w:style w:type="paragraph" w:customStyle="1" w:styleId="52">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3">
    <w:name w:val="标准书眉一"/>
    <w:qFormat/>
    <w:uiPriority w:val="0"/>
    <w:pPr>
      <w:jc w:val="both"/>
    </w:pPr>
    <w:rPr>
      <w:rFonts w:ascii="Times New Roman" w:hAnsi="Times New Roman" w:eastAsia="宋体" w:cs="Times New Roman"/>
      <w:lang w:val="en-US" w:eastAsia="zh-CN" w:bidi="ar-SA"/>
    </w:rPr>
  </w:style>
  <w:style w:type="paragraph" w:customStyle="1" w:styleId="54">
    <w:name w:val="标准文件_ICS"/>
    <w:basedOn w:val="1"/>
    <w:qFormat/>
    <w:uiPriority w:val="0"/>
    <w:pPr>
      <w:spacing w:line="0" w:lineRule="atLeast"/>
    </w:pPr>
    <w:rPr>
      <w:rFonts w:ascii="黑体" w:hAnsi="宋体" w:eastAsia="黑体"/>
    </w:rPr>
  </w:style>
  <w:style w:type="paragraph" w:customStyle="1" w:styleId="55">
    <w:name w:val="标准文件_标准正文"/>
    <w:basedOn w:val="1"/>
    <w:next w:val="56"/>
    <w:qFormat/>
    <w:uiPriority w:val="0"/>
    <w:pPr>
      <w:snapToGrid w:val="0"/>
      <w:ind w:firstLine="200" w:firstLineChars="200"/>
    </w:pPr>
    <w:rPr>
      <w:kern w:val="0"/>
    </w:rPr>
  </w:style>
  <w:style w:type="paragraph" w:customStyle="1" w:styleId="56">
    <w:name w:val="标准文件_段"/>
    <w:link w:val="184"/>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7">
    <w:name w:val="标准文件_版本"/>
    <w:basedOn w:val="55"/>
    <w:qFormat/>
    <w:uiPriority w:val="0"/>
    <w:pPr>
      <w:adjustRightInd/>
      <w:snapToGrid/>
      <w:ind w:firstLine="0" w:firstLineChars="0"/>
    </w:pPr>
    <w:rPr>
      <w:rFonts w:ascii="宋体" w:hAnsi="宋体"/>
      <w:kern w:val="2"/>
    </w:rPr>
  </w:style>
  <w:style w:type="paragraph" w:customStyle="1" w:styleId="58">
    <w:name w:val="标准文件_标准部门"/>
    <w:basedOn w:val="1"/>
    <w:uiPriority w:val="0"/>
    <w:pPr>
      <w:jc w:val="center"/>
    </w:pPr>
    <w:rPr>
      <w:rFonts w:ascii="黑体" w:eastAsia="黑体"/>
      <w:kern w:val="0"/>
      <w:sz w:val="44"/>
    </w:rPr>
  </w:style>
  <w:style w:type="paragraph" w:customStyle="1" w:styleId="59">
    <w:name w:val="标准文件_标准代替"/>
    <w:basedOn w:val="1"/>
    <w:next w:val="1"/>
    <w:qFormat/>
    <w:uiPriority w:val="0"/>
    <w:pPr>
      <w:spacing w:line="310" w:lineRule="exact"/>
      <w:jc w:val="right"/>
    </w:pPr>
    <w:rPr>
      <w:rFonts w:ascii="宋体" w:hAnsi="宋体"/>
      <w:kern w:val="0"/>
    </w:rPr>
  </w:style>
  <w:style w:type="paragraph" w:customStyle="1" w:styleId="60">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1">
    <w:name w:val="标准文件_页眉奇数页"/>
    <w:next w:val="1"/>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2">
    <w:name w:val="标准文件_页眉偶数页"/>
    <w:basedOn w:val="61"/>
    <w:next w:val="1"/>
    <w:uiPriority w:val="0"/>
    <w:pPr>
      <w:jc w:val="left"/>
    </w:pPr>
  </w:style>
  <w:style w:type="paragraph" w:customStyle="1" w:styleId="63">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4">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5">
    <w:name w:val="标准文件_二级条标题"/>
    <w:next w:val="56"/>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6">
    <w:name w:val="标准文件_发布"/>
    <w:qFormat/>
    <w:uiPriority w:val="0"/>
    <w:rPr>
      <w:rFonts w:ascii="黑体" w:eastAsia="黑体"/>
      <w:spacing w:val="0"/>
      <w:w w:val="100"/>
      <w:position w:val="3"/>
      <w:sz w:val="28"/>
    </w:rPr>
  </w:style>
  <w:style w:type="paragraph" w:customStyle="1" w:styleId="67">
    <w:name w:val="标准文件_方框数字列项"/>
    <w:basedOn w:val="56"/>
    <w:qFormat/>
    <w:uiPriority w:val="0"/>
    <w:pPr>
      <w:numPr>
        <w:ilvl w:val="0"/>
        <w:numId w:val="3"/>
      </w:numPr>
      <w:ind w:firstLine="0" w:firstLineChars="0"/>
    </w:pPr>
  </w:style>
  <w:style w:type="paragraph" w:customStyle="1" w:styleId="68">
    <w:name w:val="标准文件_封面标准编号"/>
    <w:basedOn w:val="1"/>
    <w:next w:val="59"/>
    <w:uiPriority w:val="0"/>
    <w:pPr>
      <w:spacing w:line="310" w:lineRule="exact"/>
      <w:jc w:val="right"/>
    </w:pPr>
    <w:rPr>
      <w:rFonts w:ascii="黑体" w:eastAsia="黑体"/>
      <w:kern w:val="0"/>
      <w:sz w:val="28"/>
    </w:rPr>
  </w:style>
  <w:style w:type="paragraph" w:customStyle="1" w:styleId="69">
    <w:name w:val="标准文件_封面标准分类号"/>
    <w:basedOn w:val="1"/>
    <w:qFormat/>
    <w:uiPriority w:val="0"/>
    <w:rPr>
      <w:rFonts w:ascii="黑体" w:eastAsia="黑体"/>
      <w:b/>
      <w:kern w:val="0"/>
      <w:sz w:val="28"/>
    </w:rPr>
  </w:style>
  <w:style w:type="paragraph" w:customStyle="1" w:styleId="70">
    <w:name w:val="标准文件_封面标准名称"/>
    <w:basedOn w:val="1"/>
    <w:qFormat/>
    <w:uiPriority w:val="0"/>
    <w:pPr>
      <w:spacing w:line="240" w:lineRule="auto"/>
      <w:jc w:val="center"/>
    </w:pPr>
    <w:rPr>
      <w:rFonts w:ascii="黑体" w:eastAsia="黑体"/>
      <w:kern w:val="0"/>
      <w:sz w:val="52"/>
    </w:rPr>
  </w:style>
  <w:style w:type="paragraph" w:customStyle="1" w:styleId="71">
    <w:name w:val="标准文件_封面标准英文名称"/>
    <w:basedOn w:val="1"/>
    <w:qFormat/>
    <w:uiPriority w:val="0"/>
    <w:pPr>
      <w:spacing w:line="240" w:lineRule="auto"/>
      <w:jc w:val="center"/>
    </w:pPr>
    <w:rPr>
      <w:rFonts w:ascii="黑体" w:eastAsia="黑体"/>
      <w:b/>
      <w:sz w:val="28"/>
    </w:rPr>
  </w:style>
  <w:style w:type="paragraph" w:customStyle="1" w:styleId="72">
    <w:name w:val="标准文件_封面发布日期"/>
    <w:basedOn w:val="1"/>
    <w:qFormat/>
    <w:uiPriority w:val="0"/>
    <w:pPr>
      <w:spacing w:line="310" w:lineRule="exact"/>
    </w:pPr>
    <w:rPr>
      <w:rFonts w:ascii="黑体" w:eastAsia="黑体"/>
      <w:kern w:val="0"/>
      <w:sz w:val="28"/>
    </w:rPr>
  </w:style>
  <w:style w:type="paragraph" w:customStyle="1" w:styleId="73">
    <w:name w:val="标准文件_封面密级"/>
    <w:basedOn w:val="1"/>
    <w:qFormat/>
    <w:uiPriority w:val="0"/>
    <w:rPr>
      <w:rFonts w:eastAsia="黑体"/>
      <w:sz w:val="32"/>
    </w:rPr>
  </w:style>
  <w:style w:type="paragraph" w:customStyle="1" w:styleId="74">
    <w:name w:val="标准文件_封面实施日期"/>
    <w:basedOn w:val="1"/>
    <w:qFormat/>
    <w:uiPriority w:val="0"/>
    <w:pPr>
      <w:spacing w:line="310" w:lineRule="exact"/>
      <w:jc w:val="right"/>
    </w:pPr>
    <w:rPr>
      <w:rFonts w:ascii="黑体" w:eastAsia="黑体"/>
      <w:sz w:val="28"/>
    </w:rPr>
  </w:style>
  <w:style w:type="paragraph" w:customStyle="1" w:styleId="75">
    <w:name w:val="标准文件_封面抬头"/>
    <w:basedOn w:val="56"/>
    <w:qFormat/>
    <w:uiPriority w:val="0"/>
    <w:pPr>
      <w:adjustRightInd w:val="0"/>
      <w:spacing w:line="800" w:lineRule="exact"/>
      <w:ind w:firstLine="0" w:firstLineChars="0"/>
      <w:jc w:val="distribute"/>
    </w:pPr>
    <w:rPr>
      <w:rFonts w:ascii="黑体" w:eastAsia="黑体"/>
      <w:b/>
      <w:sz w:val="64"/>
    </w:rPr>
  </w:style>
  <w:style w:type="paragraph" w:customStyle="1" w:styleId="76">
    <w:name w:val="标准文件_附录标识"/>
    <w:next w:val="56"/>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7">
    <w:name w:val="标准文件_附录表标题"/>
    <w:next w:val="56"/>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78">
    <w:name w:val="标准文件_附录一级条标题"/>
    <w:next w:val="56"/>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79">
    <w:name w:val="标准文件_附录二级条标题"/>
    <w:basedOn w:val="78"/>
    <w:next w:val="56"/>
    <w:uiPriority w:val="0"/>
    <w:pPr>
      <w:widowControl/>
      <w:numPr>
        <w:ilvl w:val="2"/>
      </w:numPr>
      <w:wordWrap w:val="0"/>
      <w:overflowPunct w:val="0"/>
      <w:autoSpaceDE w:val="0"/>
      <w:autoSpaceDN w:val="0"/>
      <w:textAlignment w:val="baseline"/>
      <w:outlineLvl w:val="3"/>
    </w:pPr>
  </w:style>
  <w:style w:type="paragraph" w:customStyle="1" w:styleId="80">
    <w:name w:val="标准文件_附录公式"/>
    <w:basedOn w:val="55"/>
    <w:next w:val="55"/>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1">
    <w:name w:val="标准文件_附录三级条标题"/>
    <w:next w:val="56"/>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2">
    <w:name w:val="标准文件_附录四级条标题"/>
    <w:next w:val="56"/>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3">
    <w:name w:val="标准文件_附录图标题"/>
    <w:next w:val="56"/>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4">
    <w:name w:val="标准文件_附录五级条标题"/>
    <w:next w:val="56"/>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5">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6">
    <w:name w:val="正文文本 字符"/>
    <w:link w:val="13"/>
    <w:qFormat/>
    <w:uiPriority w:val="0"/>
    <w:rPr>
      <w:kern w:val="2"/>
      <w:sz w:val="21"/>
      <w:szCs w:val="21"/>
    </w:rPr>
  </w:style>
  <w:style w:type="paragraph" w:customStyle="1" w:styleId="87">
    <w:name w:val="标准文件_附录章标题"/>
    <w:next w:val="56"/>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88">
    <w:name w:val="标准文件_公式后的破折号"/>
    <w:basedOn w:val="56"/>
    <w:next w:val="56"/>
    <w:qFormat/>
    <w:uiPriority w:val="0"/>
    <w:pPr>
      <w:ind w:left="488" w:leftChars="200" w:hanging="289" w:hangingChars="290"/>
    </w:pPr>
  </w:style>
  <w:style w:type="paragraph" w:customStyle="1" w:styleId="89">
    <w:name w:val="标准文件_前言、引言标题"/>
    <w:next w:val="1"/>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0">
    <w:name w:val="标准文件_目次、标准名称标题"/>
    <w:basedOn w:val="89"/>
    <w:next w:val="56"/>
    <w:qFormat/>
    <w:uiPriority w:val="0"/>
    <w:pPr>
      <w:spacing w:line="460" w:lineRule="exact"/>
      <w:ind w:left="0" w:firstLine="0"/>
    </w:pPr>
  </w:style>
  <w:style w:type="paragraph" w:customStyle="1" w:styleId="91">
    <w:name w:val="标准文件_目录标题"/>
    <w:basedOn w:val="1"/>
    <w:uiPriority w:val="0"/>
    <w:pPr>
      <w:spacing w:before="480" w:after="150" w:afterLines="150" w:line="240" w:lineRule="auto"/>
      <w:jc w:val="center"/>
    </w:pPr>
    <w:rPr>
      <w:rFonts w:ascii="黑体" w:eastAsia="黑体"/>
      <w:sz w:val="32"/>
    </w:rPr>
  </w:style>
  <w:style w:type="paragraph" w:customStyle="1" w:styleId="92">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3">
    <w:name w:val="标准文件_破折号列项（二级）"/>
    <w:basedOn w:val="92"/>
    <w:qFormat/>
    <w:uiPriority w:val="0"/>
    <w:pPr>
      <w:numPr>
        <w:numId w:val="10"/>
      </w:numPr>
    </w:pPr>
  </w:style>
  <w:style w:type="paragraph" w:customStyle="1" w:styleId="94">
    <w:name w:val="标准文件_三级条标题"/>
    <w:basedOn w:val="65"/>
    <w:next w:val="56"/>
    <w:qFormat/>
    <w:uiPriority w:val="0"/>
    <w:pPr>
      <w:widowControl/>
      <w:numPr>
        <w:ilvl w:val="4"/>
      </w:numPr>
      <w:outlineLvl w:val="3"/>
    </w:pPr>
  </w:style>
  <w:style w:type="character" w:customStyle="1" w:styleId="95">
    <w:name w:val="Subtle Reference"/>
    <w:qFormat/>
    <w:uiPriority w:val="31"/>
    <w:rPr>
      <w:smallCaps/>
      <w:color w:val="C0504D"/>
      <w:u w:val="single"/>
    </w:rPr>
  </w:style>
  <w:style w:type="paragraph" w:customStyle="1" w:styleId="96">
    <w:name w:val="标准文件_示例后续"/>
    <w:basedOn w:val="1"/>
    <w:qFormat/>
    <w:uiPriority w:val="0"/>
    <w:pPr>
      <w:adjustRightInd/>
      <w:spacing w:line="240" w:lineRule="auto"/>
      <w:ind w:firstLine="200" w:firstLineChars="200"/>
    </w:pPr>
    <w:rPr>
      <w:sz w:val="18"/>
      <w:szCs w:val="24"/>
    </w:rPr>
  </w:style>
  <w:style w:type="paragraph" w:customStyle="1" w:styleId="97">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98">
    <w:name w:val="标准文件_四级条标题"/>
    <w:next w:val="56"/>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99">
    <w:name w:val="脚注文本 字符"/>
    <w:link w:val="21"/>
    <w:semiHidden/>
    <w:qFormat/>
    <w:uiPriority w:val="0"/>
    <w:rPr>
      <w:rFonts w:ascii="宋体"/>
      <w:kern w:val="2"/>
      <w:sz w:val="18"/>
      <w:szCs w:val="18"/>
    </w:rPr>
  </w:style>
  <w:style w:type="paragraph" w:customStyle="1" w:styleId="100">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1">
    <w:name w:val="标准文件_图表脚注"/>
    <w:basedOn w:val="1"/>
    <w:next w:val="56"/>
    <w:qFormat/>
    <w:uiPriority w:val="0"/>
    <w:pPr>
      <w:numPr>
        <w:ilvl w:val="0"/>
        <w:numId w:val="12"/>
      </w:numPr>
      <w:spacing w:line="240" w:lineRule="auto"/>
      <w:jc w:val="left"/>
    </w:pPr>
    <w:rPr>
      <w:rFonts w:ascii="宋体" w:hAnsi="宋体"/>
      <w:sz w:val="18"/>
    </w:rPr>
  </w:style>
  <w:style w:type="character" w:customStyle="1" w:styleId="102">
    <w:name w:val="标准文件_图表脚注内容"/>
    <w:qFormat/>
    <w:uiPriority w:val="0"/>
    <w:rPr>
      <w:rFonts w:ascii="宋体" w:hAnsi="宋体" w:eastAsia="宋体" w:cs="Times New Roman"/>
      <w:spacing w:val="0"/>
      <w:sz w:val="18"/>
      <w:vertAlign w:val="superscript"/>
    </w:rPr>
  </w:style>
  <w:style w:type="paragraph" w:customStyle="1" w:styleId="103">
    <w:name w:val="标准文件_五级条标题"/>
    <w:next w:val="56"/>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4">
    <w:name w:val="标准文件_章标题"/>
    <w:next w:val="56"/>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5">
    <w:name w:val="标准文件_一级条标题"/>
    <w:basedOn w:val="104"/>
    <w:next w:val="56"/>
    <w:qFormat/>
    <w:uiPriority w:val="0"/>
    <w:pPr>
      <w:numPr>
        <w:ilvl w:val="2"/>
      </w:numPr>
      <w:spacing w:before="50" w:beforeLines="50" w:after="50" w:afterLines="50"/>
      <w:outlineLvl w:val="1"/>
    </w:pPr>
  </w:style>
  <w:style w:type="paragraph" w:customStyle="1" w:styleId="106">
    <w:name w:val="标准文件_一致程度"/>
    <w:basedOn w:val="1"/>
    <w:qFormat/>
    <w:uiPriority w:val="0"/>
    <w:pPr>
      <w:spacing w:line="440" w:lineRule="exact"/>
      <w:jc w:val="center"/>
    </w:pPr>
    <w:rPr>
      <w:sz w:val="28"/>
    </w:rPr>
  </w:style>
  <w:style w:type="paragraph" w:customStyle="1" w:styleId="107">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08">
    <w:name w:val="标准文件_英文图表脚注"/>
    <w:basedOn w:val="55"/>
    <w:qFormat/>
    <w:uiPriority w:val="0"/>
    <w:pPr>
      <w:widowControl/>
      <w:adjustRightInd/>
      <w:snapToGrid/>
      <w:spacing w:line="240" w:lineRule="auto"/>
      <w:ind w:left="79" w:hanging="79" w:hangingChars="80"/>
    </w:pPr>
    <w:rPr>
      <w:rFonts w:ascii="宋体" w:hAnsi="宋体"/>
    </w:rPr>
  </w:style>
  <w:style w:type="paragraph" w:customStyle="1" w:styleId="109">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0">
    <w:name w:val="标准文件_英文注："/>
    <w:basedOn w:val="1"/>
    <w:next w:val="56"/>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1">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2">
    <w:name w:val="标准文件_正文表标题"/>
    <w:next w:val="56"/>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3">
    <w:name w:val="标准文件_正文公式"/>
    <w:basedOn w:val="1"/>
    <w:next w:val="55"/>
    <w:uiPriority w:val="0"/>
    <w:pPr>
      <w:tabs>
        <w:tab w:val="center" w:pos="4678"/>
        <w:tab w:val="right" w:leader="middleDot" w:pos="9356"/>
      </w:tabs>
      <w:spacing w:line="240" w:lineRule="auto"/>
    </w:pPr>
    <w:rPr>
      <w:rFonts w:ascii="宋体" w:hAnsi="宋体"/>
    </w:rPr>
  </w:style>
  <w:style w:type="paragraph" w:customStyle="1" w:styleId="114">
    <w:name w:val="标准文件_正文图标题"/>
    <w:next w:val="56"/>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英文表标题"/>
    <w:next w:val="56"/>
    <w:uiPriority w:val="0"/>
    <w:pPr>
      <w:numPr>
        <w:ilvl w:val="0"/>
        <w:numId w:val="18"/>
      </w:numPr>
      <w:jc w:val="center"/>
    </w:pPr>
    <w:rPr>
      <w:rFonts w:ascii="黑体" w:hAnsi="Times New Roman" w:eastAsia="黑体" w:cs="Times New Roman"/>
      <w:sz w:val="21"/>
      <w:lang w:val="en-US" w:eastAsia="zh-CN" w:bidi="ar-SA"/>
    </w:rPr>
  </w:style>
  <w:style w:type="paragraph" w:customStyle="1" w:styleId="116">
    <w:name w:val="标准文件_正文英文图标题"/>
    <w:next w:val="56"/>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7">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18">
    <w:name w:val="二级无标题条"/>
    <w:basedOn w:val="1"/>
    <w:qFormat/>
    <w:uiPriority w:val="0"/>
    <w:pPr>
      <w:numPr>
        <w:ilvl w:val="3"/>
        <w:numId w:val="20"/>
      </w:numPr>
      <w:adjustRightInd/>
      <w:spacing w:line="240" w:lineRule="auto"/>
    </w:pPr>
    <w:rPr>
      <w:rFonts w:ascii="宋体" w:hAnsi="宋体"/>
      <w:szCs w:val="24"/>
    </w:rPr>
  </w:style>
  <w:style w:type="paragraph" w:customStyle="1" w:styleId="119">
    <w:name w:val="发布部门"/>
    <w:next w:val="56"/>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0">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1">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2">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3">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4">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5">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6">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7">
    <w:name w:val="封面正文"/>
    <w:qFormat/>
    <w:uiPriority w:val="0"/>
    <w:pPr>
      <w:jc w:val="both"/>
    </w:pPr>
    <w:rPr>
      <w:rFonts w:ascii="Times New Roman" w:hAnsi="Times New Roman" w:eastAsia="宋体" w:cs="Times New Roman"/>
      <w:lang w:val="en-US" w:eastAsia="zh-CN" w:bidi="ar-SA"/>
    </w:rPr>
  </w:style>
  <w:style w:type="paragraph" w:customStyle="1" w:styleId="128">
    <w:name w:val="附录二级无标题条"/>
    <w:basedOn w:val="1"/>
    <w:next w:val="56"/>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29">
    <w:name w:val="附录三级无标题条"/>
    <w:basedOn w:val="128"/>
    <w:next w:val="56"/>
    <w:qFormat/>
    <w:uiPriority w:val="0"/>
    <w:pPr>
      <w:outlineLvl w:val="4"/>
    </w:pPr>
  </w:style>
  <w:style w:type="paragraph" w:customStyle="1" w:styleId="130">
    <w:name w:val="附录四级无标题条"/>
    <w:basedOn w:val="129"/>
    <w:next w:val="56"/>
    <w:qFormat/>
    <w:uiPriority w:val="0"/>
    <w:pPr>
      <w:outlineLvl w:val="5"/>
    </w:pPr>
  </w:style>
  <w:style w:type="paragraph" w:customStyle="1" w:styleId="131">
    <w:name w:val="附录图"/>
    <w:next w:val="56"/>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2">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3">
    <w:name w:val="附录五级无标题条"/>
    <w:basedOn w:val="130"/>
    <w:next w:val="56"/>
    <w:qFormat/>
    <w:uiPriority w:val="0"/>
    <w:pPr>
      <w:outlineLvl w:val="6"/>
    </w:pPr>
  </w:style>
  <w:style w:type="paragraph" w:customStyle="1" w:styleId="134">
    <w:name w:val="附录性质"/>
    <w:basedOn w:val="1"/>
    <w:uiPriority w:val="0"/>
    <w:pPr>
      <w:widowControl/>
      <w:adjustRightInd/>
      <w:jc w:val="center"/>
    </w:pPr>
    <w:rPr>
      <w:rFonts w:ascii="黑体" w:eastAsia="黑体"/>
    </w:rPr>
  </w:style>
  <w:style w:type="paragraph" w:customStyle="1" w:styleId="135">
    <w:name w:val="附录一级无标题条"/>
    <w:basedOn w:val="87"/>
    <w:next w:val="56"/>
    <w:qFormat/>
    <w:uiPriority w:val="0"/>
    <w:pPr>
      <w:autoSpaceDN w:val="0"/>
      <w:outlineLvl w:val="2"/>
    </w:pPr>
    <w:rPr>
      <w:rFonts w:ascii="宋体" w:hAnsi="宋体" w:eastAsia="宋体"/>
    </w:rPr>
  </w:style>
  <w:style w:type="character" w:customStyle="1" w:styleId="136">
    <w:name w:val="个人答复风格"/>
    <w:qFormat/>
    <w:uiPriority w:val="0"/>
    <w:rPr>
      <w:rFonts w:ascii="Arial" w:hAnsi="Arial" w:eastAsia="宋体" w:cs="Arial"/>
      <w:color w:val="auto"/>
      <w:spacing w:val="0"/>
      <w:sz w:val="20"/>
    </w:rPr>
  </w:style>
  <w:style w:type="character" w:customStyle="1" w:styleId="137">
    <w:name w:val="个人撰写风格"/>
    <w:qFormat/>
    <w:uiPriority w:val="0"/>
    <w:rPr>
      <w:rFonts w:ascii="Arial" w:hAnsi="Arial" w:eastAsia="宋体" w:cs="Arial"/>
      <w:color w:val="auto"/>
      <w:spacing w:val="0"/>
      <w:sz w:val="20"/>
    </w:rPr>
  </w:style>
  <w:style w:type="paragraph" w:customStyle="1" w:styleId="138">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39">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0">
    <w:name w:val="列项·"/>
    <w:basedOn w:val="56"/>
    <w:qFormat/>
    <w:uiPriority w:val="0"/>
    <w:pPr>
      <w:tabs>
        <w:tab w:val="left" w:pos="840"/>
      </w:tabs>
    </w:p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目录 21"/>
    <w:basedOn w:val="1"/>
    <w:next w:val="1"/>
    <w:autoRedefine/>
    <w:semiHidden/>
    <w:qFormat/>
    <w:uiPriority w:val="0"/>
    <w:pPr>
      <w:adjustRightInd/>
      <w:spacing w:line="240" w:lineRule="auto"/>
      <w:jc w:val="left"/>
    </w:pPr>
    <w:rPr>
      <w:bCs/>
      <w:iCs/>
    </w:rPr>
  </w:style>
  <w:style w:type="paragraph" w:customStyle="1" w:styleId="143">
    <w:name w:val="目录 31"/>
    <w:basedOn w:val="1"/>
    <w:next w:val="1"/>
    <w:autoRedefine/>
    <w:semiHidden/>
    <w:qFormat/>
    <w:uiPriority w:val="0"/>
    <w:pPr>
      <w:spacing w:line="240" w:lineRule="auto"/>
    </w:pPr>
    <w:rPr>
      <w:rFonts w:ascii="宋体" w:hAnsi="宋体"/>
      <w:iCs/>
    </w:rPr>
  </w:style>
  <w:style w:type="paragraph" w:customStyle="1" w:styleId="144">
    <w:name w:val="目录 41"/>
    <w:basedOn w:val="1"/>
    <w:next w:val="1"/>
    <w:autoRedefine/>
    <w:semiHidden/>
    <w:qFormat/>
    <w:uiPriority w:val="0"/>
    <w:pPr>
      <w:adjustRightInd/>
      <w:spacing w:line="240" w:lineRule="auto"/>
      <w:jc w:val="left"/>
    </w:pPr>
  </w:style>
  <w:style w:type="paragraph" w:customStyle="1" w:styleId="145">
    <w:name w:val="目录 51"/>
    <w:basedOn w:val="1"/>
    <w:next w:val="1"/>
    <w:autoRedefine/>
    <w:semiHidden/>
    <w:qFormat/>
    <w:uiPriority w:val="0"/>
    <w:pPr>
      <w:spacing w:line="240" w:lineRule="auto"/>
    </w:pPr>
    <w:rPr>
      <w:rFonts w:ascii="宋体" w:hAnsi="宋体"/>
    </w:rPr>
  </w:style>
  <w:style w:type="paragraph" w:customStyle="1" w:styleId="146">
    <w:name w:val="目录 61"/>
    <w:basedOn w:val="1"/>
    <w:next w:val="1"/>
    <w:autoRedefine/>
    <w:semiHidden/>
    <w:qFormat/>
    <w:uiPriority w:val="0"/>
    <w:pPr>
      <w:adjustRightInd/>
      <w:spacing w:line="240" w:lineRule="auto"/>
      <w:jc w:val="left"/>
    </w:pPr>
  </w:style>
  <w:style w:type="paragraph" w:customStyle="1" w:styleId="147">
    <w:name w:val="目录 71"/>
    <w:basedOn w:val="146"/>
    <w:autoRedefine/>
    <w:semiHidden/>
    <w:qFormat/>
    <w:uiPriority w:val="0"/>
    <w:pPr>
      <w:ind w:left="1260"/>
    </w:pPr>
  </w:style>
  <w:style w:type="paragraph" w:customStyle="1" w:styleId="148">
    <w:name w:val="目录 81"/>
    <w:basedOn w:val="147"/>
    <w:autoRedefine/>
    <w:semiHidden/>
    <w:qFormat/>
    <w:uiPriority w:val="0"/>
    <w:pPr>
      <w:ind w:left="1470"/>
    </w:pPr>
  </w:style>
  <w:style w:type="paragraph" w:customStyle="1" w:styleId="149">
    <w:name w:val="目录 91"/>
    <w:basedOn w:val="148"/>
    <w:autoRedefine/>
    <w:semiHidden/>
    <w:qFormat/>
    <w:uiPriority w:val="0"/>
    <w:pPr>
      <w:ind w:left="1680"/>
    </w:pPr>
  </w:style>
  <w:style w:type="paragraph" w:customStyle="1" w:styleId="15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1">
    <w:name w:val="其他发布部门"/>
    <w:basedOn w:val="119"/>
    <w:qFormat/>
    <w:uiPriority w:val="0"/>
    <w:pPr>
      <w:framePr w:wrap="around"/>
      <w:spacing w:line="0" w:lineRule="atLeast"/>
    </w:pPr>
    <w:rPr>
      <w:rFonts w:ascii="黑体" w:eastAsia="黑体"/>
      <w:b w:val="0"/>
    </w:rPr>
  </w:style>
  <w:style w:type="paragraph" w:customStyle="1" w:styleId="152">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3">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4">
    <w:name w:val="实施日期"/>
    <w:basedOn w:val="120"/>
    <w:qFormat/>
    <w:uiPriority w:val="0"/>
    <w:pPr>
      <w:framePr w:hSpace="0" w:wrap="around" w:xAlign="right"/>
      <w:jc w:val="right"/>
    </w:pPr>
  </w:style>
  <w:style w:type="paragraph" w:customStyle="1" w:styleId="155">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6">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7">
    <w:name w:val="无标题条"/>
    <w:next w:val="56"/>
    <w:qFormat/>
    <w:uiPriority w:val="0"/>
    <w:pPr>
      <w:jc w:val="both"/>
    </w:pPr>
    <w:rPr>
      <w:rFonts w:ascii="宋体" w:hAnsi="宋体" w:eastAsia="宋体" w:cs="Times New Roman"/>
      <w:sz w:val="21"/>
      <w:lang w:val="en-US" w:eastAsia="zh-CN" w:bidi="ar-SA"/>
    </w:rPr>
  </w:style>
  <w:style w:type="paragraph" w:customStyle="1" w:styleId="158">
    <w:name w:val="五级无标题条"/>
    <w:basedOn w:val="1"/>
    <w:qFormat/>
    <w:uiPriority w:val="0"/>
    <w:pPr>
      <w:numPr>
        <w:ilvl w:val="6"/>
        <w:numId w:val="20"/>
      </w:numPr>
      <w:adjustRightInd/>
    </w:pPr>
    <w:rPr>
      <w:szCs w:val="24"/>
    </w:rPr>
  </w:style>
  <w:style w:type="paragraph" w:customStyle="1" w:styleId="159">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0">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1">
    <w:name w:val="注×:后续"/>
    <w:basedOn w:val="160"/>
    <w:qFormat/>
    <w:uiPriority w:val="0"/>
    <w:pPr>
      <w:ind w:left="1406" w:leftChars="0" w:hanging="499" w:firstLineChars="0"/>
    </w:pPr>
  </w:style>
  <w:style w:type="paragraph" w:customStyle="1" w:styleId="162">
    <w:name w:val="标准文件_一级无标题"/>
    <w:basedOn w:val="105"/>
    <w:qFormat/>
    <w:uiPriority w:val="0"/>
    <w:pPr>
      <w:spacing w:before="0" w:beforeLines="0" w:after="0" w:afterLines="0"/>
      <w:outlineLvl w:val="9"/>
    </w:pPr>
    <w:rPr>
      <w:rFonts w:ascii="宋体" w:eastAsia="宋体"/>
    </w:rPr>
  </w:style>
  <w:style w:type="paragraph" w:customStyle="1" w:styleId="163">
    <w:name w:val="标准文件_五级无标题"/>
    <w:basedOn w:val="103"/>
    <w:qFormat/>
    <w:uiPriority w:val="0"/>
    <w:pPr>
      <w:spacing w:before="0" w:beforeLines="0" w:after="0" w:afterLines="0"/>
      <w:outlineLvl w:val="9"/>
    </w:pPr>
    <w:rPr>
      <w:rFonts w:ascii="宋体" w:eastAsia="宋体"/>
    </w:rPr>
  </w:style>
  <w:style w:type="paragraph" w:customStyle="1" w:styleId="164">
    <w:name w:val="标准文件_三级无标题"/>
    <w:basedOn w:val="94"/>
    <w:qFormat/>
    <w:uiPriority w:val="0"/>
    <w:pPr>
      <w:spacing w:before="0" w:beforeLines="0" w:after="0" w:afterLines="0"/>
      <w:outlineLvl w:val="9"/>
    </w:pPr>
    <w:rPr>
      <w:rFonts w:ascii="宋体" w:eastAsia="宋体"/>
    </w:rPr>
  </w:style>
  <w:style w:type="paragraph" w:customStyle="1" w:styleId="165">
    <w:name w:val="标准文件_二级无标题"/>
    <w:basedOn w:val="65"/>
    <w:qFormat/>
    <w:uiPriority w:val="0"/>
    <w:pPr>
      <w:spacing w:before="0" w:beforeLines="0" w:after="0" w:afterLines="0"/>
      <w:outlineLvl w:val="9"/>
    </w:pPr>
    <w:rPr>
      <w:rFonts w:ascii="宋体" w:eastAsia="宋体"/>
    </w:rPr>
  </w:style>
  <w:style w:type="paragraph" w:customStyle="1" w:styleId="166">
    <w:name w:val="标准_四级无标题"/>
    <w:basedOn w:val="98"/>
    <w:next w:val="56"/>
    <w:qFormat/>
    <w:uiPriority w:val="0"/>
    <w:rPr>
      <w:rFonts w:eastAsia="宋体"/>
    </w:rPr>
  </w:style>
  <w:style w:type="paragraph" w:customStyle="1" w:styleId="167">
    <w:name w:val="标准文件_四级无标题"/>
    <w:basedOn w:val="98"/>
    <w:qFormat/>
    <w:uiPriority w:val="0"/>
    <w:pPr>
      <w:spacing w:before="0" w:beforeLines="0" w:after="0" w:afterLines="0"/>
      <w:outlineLvl w:val="9"/>
    </w:pPr>
    <w:rPr>
      <w:rFonts w:ascii="宋体" w:hAnsi="黑体" w:eastAsia="宋体"/>
      <w:szCs w:val="52"/>
    </w:rPr>
  </w:style>
  <w:style w:type="paragraph" w:customStyle="1" w:styleId="168">
    <w:name w:val="标准文件_大写罗马数字编号列项"/>
    <w:basedOn w:val="56"/>
    <w:qFormat/>
    <w:uiPriority w:val="0"/>
    <w:pPr>
      <w:numPr>
        <w:ilvl w:val="0"/>
        <w:numId w:val="23"/>
      </w:numPr>
      <w:ind w:firstLine="0" w:firstLineChars="0"/>
    </w:pPr>
    <w:rPr>
      <w:rFonts w:ascii="Times New Roman" w:cs="Arial"/>
      <w:szCs w:val="28"/>
    </w:rPr>
  </w:style>
  <w:style w:type="paragraph" w:customStyle="1" w:styleId="169">
    <w:name w:val="标准文件_小写罗马数字编号列项"/>
    <w:basedOn w:val="56"/>
    <w:qFormat/>
    <w:uiPriority w:val="0"/>
    <w:pPr>
      <w:numPr>
        <w:ilvl w:val="0"/>
        <w:numId w:val="24"/>
      </w:numPr>
      <w:ind w:firstLine="0" w:firstLineChars="0"/>
    </w:pPr>
    <w:rPr>
      <w:rFonts w:cs="Arial"/>
      <w:szCs w:val="28"/>
    </w:rPr>
  </w:style>
  <w:style w:type="paragraph" w:customStyle="1" w:styleId="170">
    <w:name w:val="标准文件_附录标题"/>
    <w:basedOn w:val="76"/>
    <w:qFormat/>
    <w:uiPriority w:val="0"/>
    <w:pPr>
      <w:numPr>
        <w:numId w:val="0"/>
      </w:numPr>
      <w:spacing w:after="280"/>
      <w:outlineLvl w:val="9"/>
    </w:pPr>
  </w:style>
  <w:style w:type="paragraph" w:customStyle="1" w:styleId="171">
    <w:name w:val="标准文件_二级项"/>
    <w:qFormat/>
    <w:uiPriority w:val="0"/>
    <w:rPr>
      <w:rFonts w:ascii="宋体" w:hAnsi="Times New Roman" w:eastAsia="宋体" w:cs="Times New Roman"/>
      <w:sz w:val="21"/>
      <w:lang w:val="en-US" w:eastAsia="zh-CN" w:bidi="ar-SA"/>
    </w:rPr>
  </w:style>
  <w:style w:type="paragraph" w:customStyle="1" w:styleId="172">
    <w:name w:val="标准文件_三级项"/>
    <w:basedOn w:val="1"/>
    <w:qFormat/>
    <w:uiPriority w:val="0"/>
    <w:pPr>
      <w:numPr>
        <w:ilvl w:val="2"/>
        <w:numId w:val="21"/>
      </w:numPr>
      <w:spacing w:line="536870612" w:lineRule="auto"/>
    </w:pPr>
    <w:rPr>
      <w:rFonts w:ascii="Times New Roman" w:hAnsi="Times New Roman"/>
    </w:rPr>
  </w:style>
  <w:style w:type="paragraph" w:customStyle="1" w:styleId="173">
    <w:name w:val="图表脚注说明"/>
    <w:basedOn w:val="1"/>
    <w:next w:val="56"/>
    <w:qFormat/>
    <w:uiPriority w:val="0"/>
    <w:pPr>
      <w:numPr>
        <w:ilvl w:val="0"/>
        <w:numId w:val="25"/>
      </w:numPr>
      <w:adjustRightInd/>
      <w:spacing w:line="240" w:lineRule="auto"/>
    </w:pPr>
    <w:rPr>
      <w:rFonts w:ascii="宋体" w:hAnsi="Times New Roman"/>
      <w:sz w:val="18"/>
      <w:szCs w:val="18"/>
    </w:rPr>
  </w:style>
  <w:style w:type="paragraph" w:customStyle="1" w:styleId="174">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5">
    <w:name w:val="标准文件_索引字母"/>
    <w:next w:val="56"/>
    <w:qFormat/>
    <w:uiPriority w:val="0"/>
    <w:pPr>
      <w:jc w:val="center"/>
    </w:pPr>
    <w:rPr>
      <w:rFonts w:ascii="宋体" w:hAnsi="宋体" w:eastAsia="Times New Roman" w:cs="Times New Roman"/>
      <w:b/>
      <w:kern w:val="2"/>
      <w:sz w:val="21"/>
      <w:lang w:val="en-US" w:eastAsia="zh-CN" w:bidi="ar-SA"/>
    </w:rPr>
  </w:style>
  <w:style w:type="paragraph" w:customStyle="1" w:styleId="176">
    <w:name w:val="标准文件_附录前"/>
    <w:next w:val="56"/>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7">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78">
    <w:name w:val="标准文件_表格"/>
    <w:basedOn w:val="56"/>
    <w:qFormat/>
    <w:uiPriority w:val="0"/>
    <w:pPr>
      <w:ind w:firstLine="0" w:firstLineChars="0"/>
      <w:jc w:val="center"/>
    </w:pPr>
    <w:rPr>
      <w:sz w:val="18"/>
    </w:rPr>
  </w:style>
  <w:style w:type="paragraph" w:customStyle="1" w:styleId="179">
    <w:name w:val="标准文件_注："/>
    <w:next w:val="56"/>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0">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1">
    <w:name w:val="标准文件_示例："/>
    <w:next w:val="182"/>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2">
    <w:name w:val="标准文件_示例内容"/>
    <w:basedOn w:val="56"/>
    <w:qFormat/>
    <w:uiPriority w:val="0"/>
    <w:pPr>
      <w:ind w:firstLine="420"/>
    </w:pPr>
    <w:rPr>
      <w:sz w:val="18"/>
    </w:rPr>
  </w:style>
  <w:style w:type="paragraph" w:customStyle="1" w:styleId="183">
    <w:name w:val="标准文件_示例×："/>
    <w:basedOn w:val="1"/>
    <w:next w:val="182"/>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4">
    <w:name w:val="标准文件_段 Char"/>
    <w:link w:val="56"/>
    <w:qFormat/>
    <w:uiPriority w:val="0"/>
    <w:rPr>
      <w:rFonts w:ascii="宋体" w:hAnsi="Times New Roman"/>
      <w:sz w:val="21"/>
    </w:rPr>
  </w:style>
  <w:style w:type="paragraph" w:customStyle="1" w:styleId="185">
    <w:name w:val="标准文件_表格续"/>
    <w:basedOn w:val="56"/>
    <w:next w:val="56"/>
    <w:qFormat/>
    <w:uiPriority w:val="0"/>
    <w:pPr>
      <w:jc w:val="center"/>
    </w:pPr>
    <w:rPr>
      <w:rFonts w:ascii="黑体" w:hAnsi="黑体" w:eastAsia="黑体"/>
    </w:rPr>
  </w:style>
  <w:style w:type="character" w:styleId="186">
    <w:name w:val="Placeholder Text"/>
    <w:basedOn w:val="28"/>
    <w:semiHidden/>
    <w:qFormat/>
    <w:uiPriority w:val="99"/>
    <w:rPr>
      <w:color w:val="808080"/>
    </w:rPr>
  </w:style>
  <w:style w:type="paragraph" w:customStyle="1" w:styleId="187">
    <w:name w:val="标准文件_二级项2"/>
    <w:basedOn w:val="56"/>
    <w:qFormat/>
    <w:uiPriority w:val="0"/>
    <w:pPr>
      <w:numPr>
        <w:ilvl w:val="1"/>
        <w:numId w:val="21"/>
      </w:numPr>
      <w:ind w:firstLine="0" w:firstLineChars="0"/>
    </w:pPr>
  </w:style>
  <w:style w:type="paragraph" w:customStyle="1" w:styleId="188">
    <w:name w:val="标准文件_三级项2"/>
    <w:basedOn w:val="56"/>
    <w:qFormat/>
    <w:uiPriority w:val="0"/>
    <w:pPr>
      <w:numPr>
        <w:ilvl w:val="0"/>
        <w:numId w:val="30"/>
      </w:numPr>
      <w:spacing w:line="300" w:lineRule="exact"/>
      <w:ind w:firstLineChars="0"/>
    </w:pPr>
    <w:rPr>
      <w:rFonts w:ascii="Times New Roman"/>
    </w:rPr>
  </w:style>
  <w:style w:type="paragraph" w:customStyle="1" w:styleId="189">
    <w:name w:val="标准文件_一级项2"/>
    <w:basedOn w:val="56"/>
    <w:qFormat/>
    <w:uiPriority w:val="0"/>
    <w:pPr>
      <w:numPr>
        <w:ilvl w:val="0"/>
        <w:numId w:val="31"/>
      </w:numPr>
      <w:spacing w:line="300" w:lineRule="exact"/>
      <w:ind w:firstLineChars="0"/>
    </w:pPr>
    <w:rPr>
      <w:rFonts w:ascii="Times New Roman"/>
    </w:rPr>
  </w:style>
  <w:style w:type="paragraph" w:customStyle="1" w:styleId="190">
    <w:name w:val="标准文件_提示"/>
    <w:basedOn w:val="56"/>
    <w:next w:val="56"/>
    <w:qFormat/>
    <w:uiPriority w:val="0"/>
    <w:pPr>
      <w:ind w:firstLine="420"/>
    </w:pPr>
    <w:rPr>
      <w:rFonts w:ascii="黑体" w:eastAsia="黑体"/>
    </w:rPr>
  </w:style>
  <w:style w:type="character" w:customStyle="1" w:styleId="191">
    <w:name w:val="标准文件_来源"/>
    <w:basedOn w:val="28"/>
    <w:qFormat/>
    <w:uiPriority w:val="1"/>
    <w:rPr>
      <w:rFonts w:eastAsia="宋体"/>
      <w:sz w:val="21"/>
    </w:rPr>
  </w:style>
  <w:style w:type="paragraph" w:customStyle="1" w:styleId="192">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3">
    <w:name w:val="其他发布日期"/>
    <w:basedOn w:val="120"/>
    <w:qFormat/>
    <w:uiPriority w:val="0"/>
    <w:pPr>
      <w:framePr w:w="3997" w:h="471" w:hRule="exact" w:hSpace="0" w:vSpace="181" w:wrap="around" w:vAnchor="page" w:hAnchor="page" w:x="1419" w:y="14097"/>
    </w:pPr>
  </w:style>
  <w:style w:type="paragraph" w:customStyle="1" w:styleId="194">
    <w:name w:val="其他实施日期"/>
    <w:basedOn w:val="154"/>
    <w:qFormat/>
    <w:uiPriority w:val="0"/>
    <w:pPr>
      <w:framePr w:w="3997" w:h="471" w:hRule="exact" w:vSpace="181" w:wrap="around" w:vAnchor="page" w:hAnchor="page" w:x="7089" w:y="14097"/>
    </w:pPr>
  </w:style>
  <w:style w:type="paragraph" w:customStyle="1" w:styleId="195">
    <w:name w:val="标准文件_文件编号"/>
    <w:basedOn w:val="56"/>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6">
    <w:name w:val="标准文件_替换文件编号"/>
    <w:basedOn w:val="195"/>
    <w:qFormat/>
    <w:uiPriority w:val="0"/>
    <w:pPr>
      <w:framePr/>
      <w:spacing w:before="57"/>
    </w:pPr>
    <w:rPr>
      <w:sz w:val="21"/>
    </w:rPr>
  </w:style>
  <w:style w:type="paragraph" w:customStyle="1" w:styleId="197">
    <w:name w:val="标准文件_文件名称"/>
    <w:basedOn w:val="56"/>
    <w:next w:val="56"/>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98">
    <w:name w:val="标准文件_附录图标号"/>
    <w:basedOn w:val="56"/>
    <w:next w:val="56"/>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199">
    <w:name w:val="标准文件_附录表标号"/>
    <w:basedOn w:val="56"/>
    <w:next w:val="56"/>
    <w:qFormat/>
    <w:uiPriority w:val="0"/>
    <w:pPr>
      <w:numPr>
        <w:ilvl w:val="0"/>
        <w:numId w:val="5"/>
      </w:numPr>
      <w:spacing w:line="14" w:lineRule="exact"/>
      <w:ind w:firstLine="0" w:firstLineChars="0"/>
      <w:jc w:val="center"/>
    </w:pPr>
    <w:rPr>
      <w:rFonts w:eastAsia="黑体"/>
      <w:vanish/>
      <w:sz w:val="2"/>
    </w:rPr>
  </w:style>
  <w:style w:type="paragraph" w:customStyle="1" w:styleId="200">
    <w:name w:val="标准文件_引言一级条标题"/>
    <w:basedOn w:val="56"/>
    <w:next w:val="56"/>
    <w:qFormat/>
    <w:uiPriority w:val="0"/>
    <w:pPr>
      <w:numPr>
        <w:ilvl w:val="1"/>
        <w:numId w:val="8"/>
      </w:numPr>
      <w:spacing w:before="50" w:beforeLines="50" w:after="50" w:afterLines="50"/>
      <w:ind w:firstLineChars="0"/>
    </w:pPr>
    <w:rPr>
      <w:rFonts w:ascii="黑体" w:eastAsia="黑体"/>
    </w:rPr>
  </w:style>
  <w:style w:type="paragraph" w:customStyle="1" w:styleId="201">
    <w:name w:val="标准文件_引言二级条标题"/>
    <w:basedOn w:val="56"/>
    <w:next w:val="56"/>
    <w:qFormat/>
    <w:uiPriority w:val="0"/>
    <w:pPr>
      <w:numPr>
        <w:ilvl w:val="2"/>
        <w:numId w:val="8"/>
      </w:numPr>
      <w:spacing w:before="50" w:beforeLines="50" w:after="50" w:afterLines="50"/>
      <w:ind w:firstLineChars="0"/>
    </w:pPr>
    <w:rPr>
      <w:rFonts w:ascii="黑体" w:eastAsia="黑体"/>
    </w:rPr>
  </w:style>
  <w:style w:type="paragraph" w:customStyle="1" w:styleId="202">
    <w:name w:val="标准文件_引言三级条标题"/>
    <w:basedOn w:val="56"/>
    <w:next w:val="56"/>
    <w:qFormat/>
    <w:uiPriority w:val="0"/>
    <w:pPr>
      <w:numPr>
        <w:ilvl w:val="3"/>
        <w:numId w:val="8"/>
      </w:numPr>
      <w:spacing w:before="50" w:beforeLines="50" w:after="50" w:afterLines="50"/>
      <w:ind w:firstLineChars="0"/>
    </w:pPr>
    <w:rPr>
      <w:rFonts w:ascii="黑体" w:eastAsia="黑体"/>
    </w:rPr>
  </w:style>
  <w:style w:type="paragraph" w:customStyle="1" w:styleId="203">
    <w:name w:val="标准文件_引言四级条标题"/>
    <w:basedOn w:val="56"/>
    <w:next w:val="56"/>
    <w:qFormat/>
    <w:uiPriority w:val="0"/>
    <w:pPr>
      <w:numPr>
        <w:ilvl w:val="4"/>
        <w:numId w:val="8"/>
      </w:numPr>
      <w:spacing w:before="50" w:beforeLines="50" w:after="50" w:afterLines="50"/>
      <w:ind w:firstLineChars="0"/>
    </w:pPr>
    <w:rPr>
      <w:rFonts w:ascii="黑体" w:eastAsia="黑体"/>
    </w:rPr>
  </w:style>
  <w:style w:type="paragraph" w:customStyle="1" w:styleId="204">
    <w:name w:val="标准文件_引言五级条标题"/>
    <w:basedOn w:val="56"/>
    <w:next w:val="56"/>
    <w:qFormat/>
    <w:uiPriority w:val="0"/>
    <w:pPr>
      <w:numPr>
        <w:ilvl w:val="5"/>
        <w:numId w:val="8"/>
      </w:numPr>
      <w:spacing w:before="50" w:beforeLines="50" w:after="50" w:afterLines="50"/>
      <w:ind w:firstLineChars="0"/>
    </w:pPr>
    <w:rPr>
      <w:rFonts w:ascii="黑体" w:eastAsia="黑体"/>
    </w:rPr>
  </w:style>
  <w:style w:type="paragraph" w:customStyle="1" w:styleId="205">
    <w:name w:val="标准文件_注后"/>
    <w:basedOn w:val="56"/>
    <w:qFormat/>
    <w:uiPriority w:val="0"/>
    <w:pPr>
      <w:ind w:left="811" w:firstLine="0" w:firstLineChars="0"/>
    </w:pPr>
    <w:rPr>
      <w:sz w:val="18"/>
    </w:rPr>
  </w:style>
  <w:style w:type="paragraph" w:customStyle="1" w:styleId="206">
    <w:name w:val="标准文件_注X后"/>
    <w:basedOn w:val="56"/>
    <w:qFormat/>
    <w:uiPriority w:val="0"/>
    <w:pPr>
      <w:ind w:left="811" w:firstLine="0" w:firstLineChars="0"/>
    </w:pPr>
    <w:rPr>
      <w:sz w:val="18"/>
    </w:rPr>
  </w:style>
  <w:style w:type="paragraph" w:customStyle="1" w:styleId="207">
    <w:name w:val="标准文件_示例后"/>
    <w:basedOn w:val="56"/>
    <w:qFormat/>
    <w:uiPriority w:val="0"/>
    <w:pPr>
      <w:ind w:left="964" w:firstLine="0" w:firstLineChars="0"/>
    </w:pPr>
    <w:rPr>
      <w:sz w:val="18"/>
    </w:rPr>
  </w:style>
  <w:style w:type="paragraph" w:customStyle="1" w:styleId="208">
    <w:name w:val="标准文件_示例X后"/>
    <w:basedOn w:val="56"/>
    <w:link w:val="209"/>
    <w:qFormat/>
    <w:uiPriority w:val="0"/>
    <w:pPr>
      <w:ind w:left="1049" w:firstLine="0" w:firstLineChars="0"/>
    </w:pPr>
    <w:rPr>
      <w:sz w:val="18"/>
    </w:rPr>
  </w:style>
  <w:style w:type="character" w:customStyle="1" w:styleId="209">
    <w:name w:val="标准文件_示例X后 字符"/>
    <w:basedOn w:val="184"/>
    <w:link w:val="208"/>
    <w:qFormat/>
    <w:uiPriority w:val="0"/>
    <w:rPr>
      <w:rFonts w:ascii="宋体" w:hAnsi="Times New Roman"/>
      <w:sz w:val="18"/>
    </w:rPr>
  </w:style>
  <w:style w:type="paragraph" w:customStyle="1" w:styleId="210">
    <w:name w:val="标准文件_索引项"/>
    <w:basedOn w:val="56"/>
    <w:next w:val="56"/>
    <w:qFormat/>
    <w:uiPriority w:val="0"/>
    <w:pPr>
      <w:tabs>
        <w:tab w:val="right" w:leader="dot" w:pos="9356"/>
      </w:tabs>
      <w:ind w:left="210" w:hanging="210" w:firstLineChars="0"/>
      <w:jc w:val="left"/>
    </w:pPr>
  </w:style>
  <w:style w:type="paragraph" w:customStyle="1" w:styleId="211">
    <w:name w:val="标准文件_附录一级无标题"/>
    <w:basedOn w:val="78"/>
    <w:qFormat/>
    <w:uiPriority w:val="0"/>
    <w:pPr>
      <w:spacing w:before="0" w:beforeLines="0" w:after="0" w:afterLines="0" w:line="276" w:lineRule="auto"/>
      <w:outlineLvl w:val="9"/>
    </w:pPr>
    <w:rPr>
      <w:rFonts w:ascii="宋体" w:eastAsia="宋体"/>
    </w:rPr>
  </w:style>
  <w:style w:type="paragraph" w:customStyle="1" w:styleId="212">
    <w:name w:val="标准文件_附录二级无标题"/>
    <w:basedOn w:val="79"/>
    <w:qFormat/>
    <w:uiPriority w:val="0"/>
    <w:pPr>
      <w:spacing w:before="0" w:beforeLines="0" w:after="0" w:afterLines="0" w:line="276" w:lineRule="auto"/>
      <w:outlineLvl w:val="9"/>
    </w:pPr>
    <w:rPr>
      <w:rFonts w:ascii="宋体" w:eastAsia="宋体"/>
    </w:rPr>
  </w:style>
  <w:style w:type="paragraph" w:customStyle="1" w:styleId="213">
    <w:name w:val="标准文件_附录三级无标题"/>
    <w:basedOn w:val="81"/>
    <w:qFormat/>
    <w:uiPriority w:val="0"/>
    <w:pPr>
      <w:spacing w:before="0" w:beforeLines="0" w:after="0" w:afterLines="0" w:line="276" w:lineRule="auto"/>
      <w:outlineLvl w:val="9"/>
    </w:pPr>
    <w:rPr>
      <w:rFonts w:ascii="宋体" w:eastAsia="宋体"/>
    </w:rPr>
  </w:style>
  <w:style w:type="paragraph" w:customStyle="1" w:styleId="214">
    <w:name w:val="标准文件_附录四级无标题"/>
    <w:basedOn w:val="82"/>
    <w:qFormat/>
    <w:uiPriority w:val="0"/>
    <w:pPr>
      <w:spacing w:before="0" w:beforeLines="0" w:after="0" w:afterLines="0" w:line="276" w:lineRule="auto"/>
      <w:outlineLvl w:val="9"/>
    </w:pPr>
    <w:rPr>
      <w:rFonts w:ascii="宋体" w:eastAsia="宋体"/>
    </w:rPr>
  </w:style>
  <w:style w:type="paragraph" w:customStyle="1" w:styleId="215">
    <w:name w:val="标准文件_附录五级无标题"/>
    <w:basedOn w:val="84"/>
    <w:qFormat/>
    <w:uiPriority w:val="0"/>
    <w:pPr>
      <w:spacing w:before="0" w:beforeLines="0" w:after="0" w:afterLines="0" w:line="276" w:lineRule="auto"/>
      <w:outlineLvl w:val="9"/>
    </w:pPr>
    <w:rPr>
      <w:rFonts w:ascii="宋体" w:eastAsia="宋体"/>
    </w:rPr>
  </w:style>
  <w:style w:type="paragraph" w:customStyle="1" w:styleId="216">
    <w:name w:val="标准文件_引言一级无标题"/>
    <w:basedOn w:val="200"/>
    <w:next w:val="56"/>
    <w:qFormat/>
    <w:uiPriority w:val="0"/>
    <w:pPr>
      <w:spacing w:before="0" w:beforeLines="0" w:after="0" w:afterLines="0" w:line="276" w:lineRule="auto"/>
    </w:pPr>
    <w:rPr>
      <w:rFonts w:ascii="宋体" w:eastAsia="宋体"/>
    </w:rPr>
  </w:style>
  <w:style w:type="paragraph" w:customStyle="1" w:styleId="217">
    <w:name w:val="标准文件_引言二级无标题"/>
    <w:basedOn w:val="201"/>
    <w:next w:val="56"/>
    <w:qFormat/>
    <w:uiPriority w:val="0"/>
    <w:pPr>
      <w:spacing w:before="0" w:beforeLines="0" w:after="0" w:afterLines="0" w:line="276" w:lineRule="auto"/>
    </w:pPr>
    <w:rPr>
      <w:rFonts w:ascii="宋体" w:eastAsia="宋体"/>
    </w:rPr>
  </w:style>
  <w:style w:type="paragraph" w:customStyle="1" w:styleId="218">
    <w:name w:val="标准文件_引言三级无标题"/>
    <w:basedOn w:val="202"/>
    <w:qFormat/>
    <w:uiPriority w:val="0"/>
    <w:pPr>
      <w:spacing w:before="0" w:beforeLines="0" w:after="0" w:afterLines="0" w:line="276" w:lineRule="auto"/>
    </w:pPr>
    <w:rPr>
      <w:rFonts w:ascii="宋体" w:eastAsia="宋体"/>
    </w:rPr>
  </w:style>
  <w:style w:type="paragraph" w:customStyle="1" w:styleId="219">
    <w:name w:val="标准文件_引言四级无标题"/>
    <w:basedOn w:val="203"/>
    <w:next w:val="56"/>
    <w:qFormat/>
    <w:uiPriority w:val="0"/>
    <w:pPr>
      <w:spacing w:before="0" w:beforeLines="0" w:after="0" w:afterLines="0" w:line="276" w:lineRule="auto"/>
    </w:pPr>
    <w:rPr>
      <w:rFonts w:ascii="宋体" w:eastAsia="宋体"/>
    </w:rPr>
  </w:style>
  <w:style w:type="paragraph" w:customStyle="1" w:styleId="220">
    <w:name w:val="标准文件_引言五级无标题"/>
    <w:basedOn w:val="204"/>
    <w:next w:val="56"/>
    <w:qFormat/>
    <w:uiPriority w:val="0"/>
    <w:pPr>
      <w:spacing w:before="0" w:beforeLines="0" w:after="0" w:afterLines="0" w:line="276" w:lineRule="auto"/>
    </w:pPr>
    <w:rPr>
      <w:rFonts w:ascii="宋体" w:eastAsia="宋体"/>
    </w:rPr>
  </w:style>
  <w:style w:type="paragraph" w:customStyle="1" w:styleId="221">
    <w:name w:val="标准文件_索引标题"/>
    <w:basedOn w:val="63"/>
    <w:next w:val="56"/>
    <w:qFormat/>
    <w:uiPriority w:val="0"/>
    <w:rPr>
      <w:rFonts w:hAnsi="黑体"/>
    </w:rPr>
  </w:style>
  <w:style w:type="paragraph" w:customStyle="1" w:styleId="222">
    <w:name w:val="标准文件_脚注内容"/>
    <w:basedOn w:val="56"/>
    <w:qFormat/>
    <w:uiPriority w:val="0"/>
    <w:pPr>
      <w:ind w:left="400" w:leftChars="200" w:hanging="200" w:hangingChars="200"/>
    </w:pPr>
    <w:rPr>
      <w:sz w:val="15"/>
    </w:rPr>
  </w:style>
  <w:style w:type="paragraph" w:customStyle="1" w:styleId="223">
    <w:name w:val="标准文件_术语条一"/>
    <w:basedOn w:val="162"/>
    <w:next w:val="56"/>
    <w:qFormat/>
    <w:uiPriority w:val="0"/>
  </w:style>
  <w:style w:type="paragraph" w:customStyle="1" w:styleId="224">
    <w:name w:val="标准文件_术语条二"/>
    <w:basedOn w:val="165"/>
    <w:next w:val="56"/>
    <w:qFormat/>
    <w:uiPriority w:val="0"/>
  </w:style>
  <w:style w:type="paragraph" w:customStyle="1" w:styleId="225">
    <w:name w:val="标准文件_术语条三"/>
    <w:basedOn w:val="164"/>
    <w:next w:val="56"/>
    <w:qFormat/>
    <w:uiPriority w:val="0"/>
  </w:style>
  <w:style w:type="paragraph" w:customStyle="1" w:styleId="226">
    <w:name w:val="标准文件_术语条四"/>
    <w:basedOn w:val="167"/>
    <w:next w:val="56"/>
    <w:qFormat/>
    <w:uiPriority w:val="0"/>
  </w:style>
  <w:style w:type="paragraph" w:customStyle="1" w:styleId="227">
    <w:name w:val="标准文件_术语条五"/>
    <w:basedOn w:val="163"/>
    <w:next w:val="56"/>
    <w:qFormat/>
    <w:uiPriority w:val="0"/>
  </w:style>
  <w:style w:type="paragraph" w:customStyle="1" w:styleId="228">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29">
    <w:name w:val="发布"/>
    <w:basedOn w:val="28"/>
    <w:qFormat/>
    <w:uiPriority w:val="0"/>
    <w:rPr>
      <w:rFonts w:ascii="黑体" w:eastAsia="黑体"/>
      <w:spacing w:val="85"/>
      <w:w w:val="100"/>
      <w:position w:val="3"/>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5" Type="http://schemas.openxmlformats.org/officeDocument/2006/relationships/glossaryDocument" Target="glossary/document.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3.jpeg"/><Relationship Id="rId3" Type="http://schemas.openxmlformats.org/officeDocument/2006/relationships/footnotes" Target="footnotes.xml"/><Relationship Id="rId29" Type="http://schemas.openxmlformats.org/officeDocument/2006/relationships/image" Target="media/image2.png"/><Relationship Id="rId28" Type="http://schemas.openxmlformats.org/officeDocument/2006/relationships/image" Target="media/image1.png"/><Relationship Id="rId27" Type="http://schemas.openxmlformats.org/officeDocument/2006/relationships/theme" Target="theme/theme1.xml"/><Relationship Id="rId26" Type="http://schemas.openxmlformats.org/officeDocument/2006/relationships/footer" Target="footer11.xml"/><Relationship Id="rId25" Type="http://schemas.openxmlformats.org/officeDocument/2006/relationships/footer" Target="footer10.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header" Target="header9.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2FB321F5A4443D9AFC61825E0F0C38"/>
        <w:style w:val=""/>
        <w:category>
          <w:name w:val="常规"/>
          <w:gallery w:val="placeholder"/>
        </w:category>
        <w:types>
          <w:type w:val="bbPlcHdr"/>
        </w:types>
        <w:behaviors>
          <w:behavior w:val="content"/>
        </w:behaviors>
        <w:description w:val=""/>
        <w:guid w:val="{6BC8AE12-FCBB-459F-AF45-E50AEA0241F1}"/>
      </w:docPartPr>
      <w:docPartBody>
        <w:p w14:paraId="744195F6">
          <w:pPr>
            <w:pStyle w:val="5"/>
            <w:rPr>
              <w:rFonts w:hint="eastAsia"/>
            </w:rPr>
          </w:pPr>
          <w:r>
            <w:rPr>
              <w:rStyle w:val="4"/>
              <w:rFonts w:hint="eastAsia"/>
            </w:rPr>
            <w:t>单击或点击此处输入文字。</w:t>
          </w:r>
        </w:p>
      </w:docPartBody>
    </w:docPart>
    <w:docPart>
      <w:docPartPr>
        <w:name w:val="06591A60496146309C06F8B2E11B4B09"/>
        <w:style w:val=""/>
        <w:category>
          <w:name w:val="常规"/>
          <w:gallery w:val="placeholder"/>
        </w:category>
        <w:types>
          <w:type w:val="bbPlcHdr"/>
        </w:types>
        <w:behaviors>
          <w:behavior w:val="content"/>
        </w:behaviors>
        <w:description w:val=""/>
        <w:guid w:val="{9CA1BFD8-86DC-49E7-8A17-8C8D6D52C131}"/>
      </w:docPartPr>
      <w:docPartBody>
        <w:p w14:paraId="09AE2056">
          <w:pPr>
            <w:pStyle w:val="6"/>
            <w:rPr>
              <w:rFonts w:hint="eastAsia"/>
            </w:rPr>
          </w:pPr>
          <w:r>
            <w:rPr>
              <w:rStyle w:val="4"/>
              <w:rFonts w:hint="eastAsia"/>
            </w:rPr>
            <w:t>选择一项。</w:t>
          </w:r>
        </w:p>
      </w:docPartBody>
    </w:docPart>
    <w:docPart>
      <w:docPartPr>
        <w:name w:val="301A11BD743F4400A8B304744630EFE7"/>
        <w:style w:val=""/>
        <w:category>
          <w:name w:val="常规"/>
          <w:gallery w:val="placeholder"/>
        </w:category>
        <w:types>
          <w:type w:val="bbPlcHdr"/>
        </w:types>
        <w:behaviors>
          <w:behavior w:val="content"/>
        </w:behaviors>
        <w:description w:val=""/>
        <w:guid w:val="{E52AB75A-1AE2-48D1-8CE3-EC37C4964B3D}"/>
      </w:docPartPr>
      <w:docPartBody>
        <w:p w14:paraId="548C7863">
          <w:pPr>
            <w:pStyle w:val="7"/>
            <w:rPr>
              <w:rFonts w:hint="eastAsia"/>
            </w:rPr>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DC6"/>
    <w:rsid w:val="00000B3B"/>
    <w:rsid w:val="0007358F"/>
    <w:rsid w:val="001B3C40"/>
    <w:rsid w:val="002E6AD9"/>
    <w:rsid w:val="003646F4"/>
    <w:rsid w:val="00371455"/>
    <w:rsid w:val="003F62CE"/>
    <w:rsid w:val="004A6324"/>
    <w:rsid w:val="005B18DA"/>
    <w:rsid w:val="005E4B5C"/>
    <w:rsid w:val="006141C6"/>
    <w:rsid w:val="00652769"/>
    <w:rsid w:val="006A0E77"/>
    <w:rsid w:val="00796662"/>
    <w:rsid w:val="008C0337"/>
    <w:rsid w:val="008E6778"/>
    <w:rsid w:val="009234EC"/>
    <w:rsid w:val="00A33F69"/>
    <w:rsid w:val="00AA2819"/>
    <w:rsid w:val="00AA387E"/>
    <w:rsid w:val="00AE100B"/>
    <w:rsid w:val="00AE1DC6"/>
    <w:rsid w:val="00B974E7"/>
    <w:rsid w:val="00CF3D41"/>
    <w:rsid w:val="00E107A3"/>
    <w:rsid w:val="00E76885"/>
    <w:rsid w:val="00FA178B"/>
    <w:rsid w:val="00FD4A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uiPriority w:val="99"/>
    <w:rPr>
      <w:color w:val="808080"/>
    </w:rPr>
  </w:style>
  <w:style w:type="paragraph" w:customStyle="1" w:styleId="5">
    <w:name w:val="012FB321F5A4443D9AFC61825E0F0C38"/>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06591A60496146309C06F8B2E11B4B09"/>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301A11BD743F4400A8B304744630EFE7"/>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3E0F809-F1B0-47A2-BF3F-77BC97C7211C}">
  <ds:schemaRefs/>
</ds:datastoreItem>
</file>

<file path=docProps/app.xml><?xml version="1.0" encoding="utf-8"?>
<Properties xmlns="http://schemas.openxmlformats.org/officeDocument/2006/extended-properties" xmlns:vt="http://schemas.openxmlformats.org/officeDocument/2006/docPropsVTypes">
  <Template>团体标准</Template>
  <Company>PCMI</Company>
  <Pages>46</Pages>
  <Words>7016</Words>
  <Characters>7315</Characters>
  <Lines>173</Lines>
  <Paragraphs>48</Paragraphs>
  <TotalTime>161</TotalTime>
  <ScaleCrop>false</ScaleCrop>
  <LinksUpToDate>false</LinksUpToDate>
  <CharactersWithSpaces>7423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2025-08-08T02:30:00Z</dcterms:created>
  <dc:creator>Jianyi Huang</dc:creator>
  <dc:description>&lt;config cover="true" show_menu="true" version="1.0.0" doctype="SDKXY"&gt;_x000d_
&lt;/config&gt;</dc:description>
  <cp:lastModifiedBy>殇璃</cp:lastModifiedBy>
  <cp:lastPrinted>2021-02-02T08:22:00Z</cp:lastPrinted>
  <dcterms:modified xsi:type="dcterms:W3CDTF">2026-05-19T06:04:37Z</dcterms:modified>
  <dc:title>团体标准</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TemplateDocerSaveRecord">
    <vt:lpwstr>eyJoZGlkIjoiZTA3OGNhMDk1YTk4YTUwNGQ2YTRlNGMxNGM3YzZmNTUiLCJ1c2VySWQiOiIxMTM5ODQ3NjAzIn0=</vt:lpwstr>
  </property>
  <property fmtid="{D5CDD505-2E9C-101B-9397-08002B2CF9AE}" pid="16" name="KSOProductBuildVer">
    <vt:lpwstr>2052-12.1.0.25865</vt:lpwstr>
  </property>
  <property fmtid="{D5CDD505-2E9C-101B-9397-08002B2CF9AE}" pid="17" name="ICV">
    <vt:lpwstr>577B65DCC8B5446593F18778A3D6C667_12</vt:lpwstr>
  </property>
</Properties>
</file>