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3.16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93.160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5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55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4"/>
            </w:textInput>
          </w:ffData>
        </w:fldChar>
      </w:r>
      <w:bookmarkStart w:id="6" w:name="NSTD_CODE_F"/>
      <w:r>
        <w:instrText xml:space="preserve"> FORMTEXT </w:instrText>
      </w:r>
      <w:r>
        <w:fldChar w:fldCharType="separate"/>
      </w:r>
      <w:r>
        <w:t>0254</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57CB3E8D">
      <w:pPr>
        <w:pStyle w:val="197"/>
        <w:framePr w:h="6974" w:hRule="exact" w:wrap="around" w:x="1419" w:anchorLock="1"/>
        <w:rPr>
          <w:rFonts w:hint="eastAsia"/>
        </w:rPr>
      </w:pPr>
      <w:r>
        <w:rPr>
          <w:rFonts w:hint="eastAsia"/>
        </w:rPr>
        <w:fldChar w:fldCharType="begin">
          <w:ffData>
            <w:name w:val="CSTD_NAME"/>
            <w:enabled/>
            <w:calcOnExit w:val="0"/>
            <w:textInput>
              <w:default w:val="水利工程基础截渗墙绿色建材应用质量控制实施要点"/>
            </w:textInput>
          </w:ffData>
        </w:fldChar>
      </w:r>
      <w:bookmarkStart w:id="9" w:name="CSTD_NAME"/>
      <w:r>
        <w:rPr>
          <w:rFonts w:hint="eastAsia"/>
        </w:rPr>
        <w:instrText xml:space="preserve"> FORMTEXT </w:instrText>
      </w:r>
      <w:r>
        <w:rPr>
          <w:rFonts w:hint="eastAsia"/>
        </w:rPr>
        <w:fldChar w:fldCharType="separate"/>
      </w:r>
      <w:r>
        <w:rPr>
          <w:rFonts w:hint="eastAsia"/>
        </w:rPr>
        <w:t>水利工程基础截渗墙绿色建材应用</w:t>
      </w:r>
    </w:p>
    <w:p w14:paraId="73594FE6">
      <w:pPr>
        <w:pStyle w:val="197"/>
        <w:framePr w:h="6974" w:hRule="exact" w:wrap="around" w:x="1419" w:anchorLock="1"/>
        <w:rPr>
          <w:rFonts w:hint="eastAsia"/>
        </w:rPr>
      </w:pPr>
      <w:r>
        <w:rPr>
          <w:rFonts w:hint="eastAsia"/>
        </w:rPr>
        <w:t>质量控制实施要点</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Guidelines for quality control of green building materials application in cutoff walls of water conservancy engineer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Guidelines for quality control of green building materials application in cutoff walls of water conservancy engineering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7C8FE757">
      <w:pPr>
        <w:pStyle w:val="91"/>
        <w:spacing w:after="360"/>
      </w:pPr>
      <w:bookmarkStart w:id="21" w:name="BookMark1"/>
      <w:r>
        <w:rPr>
          <w:rFonts w:hint="eastAsia"/>
          <w:spacing w:val="320"/>
        </w:rPr>
        <w:t>目</w:t>
      </w:r>
      <w:r>
        <w:rPr>
          <w:rFonts w:hint="eastAsia"/>
        </w:rPr>
        <w:t>次</w:t>
      </w:r>
    </w:p>
    <w:p w14:paraId="72A824C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"_Toc228533586"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_Toc228533586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37978A2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"_Toc228533587"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_Toc228533587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4B9D073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"_Toc228533588"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_Toc228533588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22A902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"_Toc228533589"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_Toc228533589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5E9642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"_Toc228533590"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_Toc228533590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5B46EF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"_Toc228533591" </w:instrText>
      </w:r>
      <w:r>
        <w:fldChar w:fldCharType="separate"/>
      </w:r>
      <w:r>
        <w:rPr>
          <w:rStyle w:val="32"/>
        </w:rPr>
        <w:t>4  总体要求</w:t>
      </w:r>
      <w:r>
        <w:rPr>
          <w:rFonts w:hint="eastAsia"/>
        </w:rPr>
        <w:tab/>
      </w:r>
      <w:r>
        <w:rPr>
          <w:rFonts w:hint="eastAsia"/>
        </w:rPr>
        <w:fldChar w:fldCharType="begin"/>
      </w:r>
      <w:r>
        <w:rPr>
          <w:rFonts w:hint="eastAsia"/>
        </w:rPr>
        <w:instrText xml:space="preserve"> </w:instrText>
      </w:r>
      <w:r>
        <w:instrText xml:space="preserve">PAGEREF _Toc228533591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612773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"_Toc228533592" </w:instrText>
      </w:r>
      <w:r>
        <w:fldChar w:fldCharType="separate"/>
      </w:r>
      <w:r>
        <w:rPr>
          <w:rStyle w:val="32"/>
        </w:rPr>
        <w:t>5  绿色建材选用、进场验收与试验验证</w:t>
      </w:r>
      <w:r>
        <w:rPr>
          <w:rFonts w:hint="eastAsia"/>
        </w:rPr>
        <w:tab/>
      </w:r>
      <w:r>
        <w:rPr>
          <w:rFonts w:hint="eastAsia"/>
        </w:rPr>
        <w:fldChar w:fldCharType="begin"/>
      </w:r>
      <w:r>
        <w:rPr>
          <w:rFonts w:hint="eastAsia"/>
        </w:rPr>
        <w:instrText xml:space="preserve"> </w:instrText>
      </w:r>
      <w:r>
        <w:instrText xml:space="preserve">PAGEREF _Toc228533592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D743F4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"_Toc228533593" </w:instrText>
      </w:r>
      <w:r>
        <w:fldChar w:fldCharType="separate"/>
      </w:r>
      <w:r>
        <w:rPr>
          <w:rStyle w:val="32"/>
        </w:rPr>
        <w:t>6  施工过程质量控制</w:t>
      </w:r>
      <w:r>
        <w:rPr>
          <w:rFonts w:hint="eastAsia"/>
        </w:rPr>
        <w:tab/>
      </w:r>
      <w:r>
        <w:rPr>
          <w:rFonts w:hint="eastAsia"/>
        </w:rPr>
        <w:fldChar w:fldCharType="begin"/>
      </w:r>
      <w:r>
        <w:rPr>
          <w:rFonts w:hint="eastAsia"/>
        </w:rPr>
        <w:instrText xml:space="preserve"> </w:instrText>
      </w:r>
      <w:r>
        <w:instrText xml:space="preserve">PAGEREF _Toc228533593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1FABD5B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"_Toc228533594" </w:instrText>
      </w:r>
      <w:r>
        <w:fldChar w:fldCharType="separate"/>
      </w:r>
      <w:r>
        <w:rPr>
          <w:rStyle w:val="32"/>
        </w:rPr>
        <w:t>7  质量检验与验收控制</w:t>
      </w:r>
      <w:r>
        <w:rPr>
          <w:rFonts w:hint="eastAsia"/>
        </w:rPr>
        <w:tab/>
      </w:r>
      <w:r>
        <w:rPr>
          <w:rFonts w:hint="eastAsia"/>
        </w:rPr>
        <w:fldChar w:fldCharType="begin"/>
      </w:r>
      <w:r>
        <w:rPr>
          <w:rFonts w:hint="eastAsia"/>
        </w:rPr>
        <w:instrText xml:space="preserve"> </w:instrText>
      </w:r>
      <w:r>
        <w:instrText xml:space="preserve">PAGEREF _Toc228533594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E32A85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"_Toc228533595" </w:instrText>
      </w:r>
      <w:r>
        <w:fldChar w:fldCharType="separate"/>
      </w:r>
      <w:r>
        <w:rPr>
          <w:rStyle w:val="32"/>
        </w:rPr>
        <w:t>8  资料管理与追溯</w:t>
      </w:r>
      <w:r>
        <w:rPr>
          <w:rFonts w:hint="eastAsia"/>
        </w:rPr>
        <w:tab/>
      </w:r>
      <w:r>
        <w:rPr>
          <w:rFonts w:hint="eastAsia"/>
        </w:rPr>
        <w:fldChar w:fldCharType="begin"/>
      </w:r>
      <w:r>
        <w:rPr>
          <w:rFonts w:hint="eastAsia"/>
        </w:rPr>
        <w:instrText xml:space="preserve"> </w:instrText>
      </w:r>
      <w:r>
        <w:instrText xml:space="preserve">PAGEREF _Toc228533595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187204A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"_Toc228533596" </w:instrText>
      </w:r>
      <w:r>
        <w:fldChar w:fldCharType="separate"/>
      </w:r>
      <w:r>
        <w:rPr>
          <w:rStyle w:val="32"/>
        </w:rPr>
        <w:t>9  安全与环境保护要求</w:t>
      </w:r>
      <w:r>
        <w:rPr>
          <w:rFonts w:hint="eastAsia"/>
        </w:rPr>
        <w:tab/>
      </w:r>
      <w:r>
        <w:rPr>
          <w:rFonts w:hint="eastAsia"/>
        </w:rPr>
        <w:fldChar w:fldCharType="begin"/>
      </w:r>
      <w:r>
        <w:rPr>
          <w:rFonts w:hint="eastAsia"/>
        </w:rPr>
        <w:instrText xml:space="preserve"> </w:instrText>
      </w:r>
      <w:r>
        <w:instrText xml:space="preserve">PAGEREF _Toc228533596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13023A96">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33586"/>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中国水利水电第十一工程局有限公司。</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麻文录</w:t>
      </w:r>
      <w:bookmarkStart w:id="58" w:name="_GoBack"/>
      <w:bookmarkEnd w:id="58"/>
      <w:r>
        <w:t>。</w:t>
      </w:r>
    </w:p>
    <w:bookmarkEnd w:id="23"/>
    <w:p w14:paraId="66D0A2F3">
      <w:pPr>
        <w:pStyle w:val="89"/>
        <w:spacing w:after="360"/>
      </w:pPr>
      <w:bookmarkStart w:id="24" w:name="_Toc228533587"/>
      <w:bookmarkStart w:id="25" w:name="BookMark3"/>
      <w:r>
        <w:rPr>
          <w:spacing w:val="320"/>
        </w:rPr>
        <w:t>引</w:t>
      </w:r>
      <w:r>
        <w:t>言</w:t>
      </w:r>
      <w:bookmarkEnd w:id="24"/>
    </w:p>
    <w:p w14:paraId="0C1F3414">
      <w:pPr>
        <w:pStyle w:val="56"/>
        <w:spacing w:line="360" w:lineRule="auto"/>
        <w:ind w:firstLine="420"/>
      </w:pPr>
      <w:r>
        <w:rPr>
          <w:rFonts w:hint="eastAsia"/>
        </w:rPr>
        <w:t>水利工程基础截渗墙是防渗体系的重要组成部分，广泛应用于水库大坝、堤防、水闸、泵站、渠系建筑物及其他水工建筑物基础防渗处理中。其主要功能是切断、延长或者削弱地下渗流通道，控制渗透坡降，降低渗流量，改善地基渗流状态，保障工程结构安全、运行安全和使用寿命。基础截渗墙施工质量直接关系工程防渗效果、地基稳定性及整体安全性能。随着水利工程绿色建造要求不断提高，绿色建材在基础截渗墙工程中的应用逐步增多，材料类型由传统水泥、黏土、膨润土等单一材料，延伸至低碳胶凝材料、工业固废基掺合料、再生资源材料、改性防渗材料及其他符合绿色发展要求的新型材料。绿色建材的合理应用，对于降低资源消耗、减少环境负荷、提升材料综合利用水平、促进工程建设方式转型具有重要意义。</w:t>
      </w:r>
    </w:p>
    <w:p w14:paraId="1D5DD202">
      <w:pPr>
        <w:pStyle w:val="56"/>
        <w:spacing w:line="360" w:lineRule="auto"/>
        <w:ind w:firstLine="420"/>
      </w:pPr>
      <w:r>
        <w:rPr>
          <w:rFonts w:hint="eastAsia"/>
        </w:rPr>
        <w:t>基础截渗墙工程具有隐蔽性强、成墙过程连续性高、地下作业条件复杂、施工扰动敏感和质量风险不易即时显现等特点。绿色建材用于基础截渗墙后，虽然在节能降碳、资源循环利用、环境友好性等方面具有优势，但在工程适配性、原材料稳定性、配合比控制、浆液性能、墙体连续性、施工工艺匹配性和长期耐久性等方面，也对质量控制提出了更高要求。若材料选用不当、进场控制不严、配合比验证不足、施工过程控制不到位或者检测验收衔接不完善，可能导致槽壁失稳、浆液离析、墙体缺陷、渗透系数超限、强度不足、接头处理不良、耐久性下降等问题，进而影响截渗效果和工程安全。</w:t>
      </w:r>
    </w:p>
    <w:p w14:paraId="61A90EB6">
      <w:pPr>
        <w:pStyle w:val="56"/>
        <w:spacing w:line="360" w:lineRule="auto"/>
        <w:ind w:firstLine="420"/>
      </w:pPr>
      <w:r>
        <w:rPr>
          <w:rFonts w:hint="eastAsia"/>
        </w:rPr>
        <w:t>当前，绿色建材在水利工程基础截渗墙中的应用实践不断增加，但不同地区、不同工程和不同参建单位在材料遴选、性能指标、进场验收、工艺适配、质量检验、过程控制和资料管理等方面做法不尽一致。部分工程存在绿色建材界定不清、适用条件分析不足、控制指标不统一、试验验证不充分、施工参数调整滞后、质量责任边界不明确以及全过程追溯链条不完整等情况。尤其是在采用掺工业副产物胶凝材料、低熟料胶凝体系、再生细料、复合改性浆液或者其他新型绿色材料时，若仍沿用传统材料控制思路，容易出现材料性能评价与工程应用脱节、施工控制参数失配和成墙质量波动等问题。因此，有必要结合水利工程基础截渗墙施工特点和绿色建材应用要求，对质量控制关键环节进行系统梳理，形成统一、明确、可操作的实施要求。</w:t>
      </w:r>
    </w:p>
    <w:p w14:paraId="41C59179">
      <w:pPr>
        <w:pStyle w:val="56"/>
        <w:spacing w:line="360" w:lineRule="auto"/>
        <w:ind w:firstLine="420"/>
      </w:pPr>
      <w:r>
        <w:rPr>
          <w:rFonts w:hint="eastAsia"/>
        </w:rPr>
        <w:t>本文件的制定和实施，有助于推动水利工程基础截渗墙领域绿色建材应用由分散探索向规范应用转变，由经验控制向标准控制转变，由单环节管理向全过程管理转变；有助于提升绿色建材应用的工程适配性、施工稳定性和质量可控性；有助于促进节能降碳、资源综合利用和工程质量安全协同发展，为水利工程绿色建造和高质量发展提供技术支撑。</w:t>
      </w: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1B282BE7">
          <w:pPr>
            <w:pStyle w:val="177"/>
            <w:spacing w:after="0"/>
            <w:rPr>
              <w:rFonts w:hint="eastAsia"/>
            </w:rPr>
          </w:pPr>
          <w:bookmarkStart w:id="27" w:name="NEW_STAND_NAME"/>
          <w:r>
            <w:rPr>
              <w:rFonts w:hint="eastAsia"/>
            </w:rPr>
            <w:t>水利工程基础截渗墙绿色建材应用</w:t>
          </w:r>
        </w:p>
        <w:p w14:paraId="7D4E3E1F">
          <w:pPr>
            <w:pStyle w:val="177"/>
            <w:spacing w:before="0" w:after="0"/>
            <w:rPr>
              <w:rFonts w:hint="eastAsia"/>
            </w:rPr>
          </w:pPr>
          <w:r>
            <w:rPr>
              <w:rFonts w:hint="eastAsia"/>
            </w:rPr>
            <w:t>质量控制实施要点</w:t>
          </w:r>
        </w:p>
      </w:sdtContent>
    </w:sdt>
    <w:bookmarkEnd w:id="27"/>
    <w:p w14:paraId="09A36770">
      <w:pPr>
        <w:pStyle w:val="104"/>
        <w:spacing w:before="240" w:after="240" w:line="360" w:lineRule="auto"/>
      </w:pPr>
      <w:bookmarkStart w:id="28" w:name="_Toc24884211"/>
      <w:bookmarkStart w:id="29" w:name="_Toc17233325"/>
      <w:bookmarkStart w:id="30" w:name="_Toc17233333"/>
      <w:bookmarkStart w:id="31" w:name="_Toc26718930"/>
      <w:bookmarkStart w:id="32" w:name="_Toc26986771"/>
      <w:bookmarkStart w:id="33" w:name="_Toc228533588"/>
      <w:bookmarkStart w:id="34" w:name="_Toc26648465"/>
      <w:bookmarkStart w:id="35" w:name="_Toc97192964"/>
      <w:bookmarkStart w:id="36" w:name="_Toc26986530"/>
      <w:bookmarkStart w:id="37" w:name="_Toc24884218"/>
      <w:r>
        <w:rPr>
          <w:rFonts w:hint="eastAsia"/>
        </w:rPr>
        <w:t>范围</w:t>
      </w:r>
      <w:bookmarkEnd w:id="28"/>
      <w:bookmarkEnd w:id="29"/>
      <w:bookmarkEnd w:id="30"/>
      <w:bookmarkEnd w:id="31"/>
      <w:bookmarkEnd w:id="32"/>
      <w:bookmarkEnd w:id="33"/>
      <w:bookmarkEnd w:id="34"/>
      <w:bookmarkEnd w:id="35"/>
      <w:bookmarkEnd w:id="36"/>
      <w:bookmarkEnd w:id="37"/>
    </w:p>
    <w:p w14:paraId="6576462C">
      <w:pPr>
        <w:pStyle w:val="56"/>
        <w:spacing w:line="360" w:lineRule="auto"/>
        <w:ind w:firstLine="420"/>
      </w:pPr>
      <w:bookmarkStart w:id="38" w:name="_Toc24884219"/>
      <w:bookmarkStart w:id="39" w:name="_Toc17233326"/>
      <w:bookmarkStart w:id="40" w:name="_Toc26648466"/>
      <w:bookmarkStart w:id="41" w:name="_Toc17233334"/>
      <w:bookmarkStart w:id="42" w:name="_Toc24884212"/>
      <w:r>
        <w:rPr>
          <w:rFonts w:hint="eastAsia"/>
        </w:rPr>
        <w:t>本文件规定了水利工程基础截渗墙绿色建材应用的绿色建材选用、进场验收与试验验证发，施工过程质量控制，质量检验与验收控制，资料管理与追溯以及安全与环境保护要求等内容。</w:t>
      </w:r>
    </w:p>
    <w:p w14:paraId="69517472">
      <w:pPr>
        <w:pStyle w:val="56"/>
        <w:spacing w:line="360" w:lineRule="auto"/>
        <w:ind w:firstLine="420"/>
      </w:pPr>
      <w:r>
        <w:rPr>
          <w:rFonts w:hint="eastAsia"/>
        </w:rPr>
        <w:t>本文件适用于水库、水闸、泵站、堤防、渠系建筑物及其他水利工程基础截渗墙中绿色建材应用的质量控制。</w:t>
      </w:r>
    </w:p>
    <w:p w14:paraId="3733B2AD">
      <w:pPr>
        <w:pStyle w:val="104"/>
        <w:spacing w:before="240" w:after="240" w:line="360" w:lineRule="auto"/>
      </w:pPr>
      <w:bookmarkStart w:id="43" w:name="_Toc228533589"/>
      <w:bookmarkStart w:id="44" w:name="_Toc97192965"/>
      <w:bookmarkStart w:id="45" w:name="_Toc26986531"/>
      <w:bookmarkStart w:id="46" w:name="_Toc26986772"/>
      <w:bookmarkStart w:id="47" w:name="_Toc267189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6F7C24">
      <w:pPr>
        <w:pStyle w:val="56"/>
        <w:spacing w:line="360" w:lineRule="auto"/>
        <w:ind w:firstLine="420"/>
      </w:pPr>
      <w:r>
        <w:rPr>
          <w:rFonts w:hint="eastAsia"/>
        </w:rPr>
        <w:t>GB/T 1.1—2020 标准化工作导则  第1部分：标准化文件的结构和起草规则</w:t>
      </w:r>
    </w:p>
    <w:p w14:paraId="5BE6326F">
      <w:pPr>
        <w:pStyle w:val="56"/>
        <w:spacing w:line="360" w:lineRule="auto"/>
        <w:ind w:firstLine="420"/>
      </w:pPr>
      <w:r>
        <w:rPr>
          <w:rFonts w:hint="eastAsia"/>
        </w:rPr>
        <w:t>GB/T 8170 数值修约规则与极限数值的表示和判定</w:t>
      </w:r>
    </w:p>
    <w:p w14:paraId="3D2E768C">
      <w:pPr>
        <w:pStyle w:val="56"/>
        <w:spacing w:line="360" w:lineRule="auto"/>
        <w:ind w:firstLine="420"/>
      </w:pPr>
      <w:r>
        <w:rPr>
          <w:rFonts w:hint="eastAsia"/>
        </w:rPr>
        <w:t>GB/T 19000 质量管理体系  基础和术语</w:t>
      </w:r>
    </w:p>
    <w:p w14:paraId="5E11DCB9">
      <w:pPr>
        <w:pStyle w:val="56"/>
        <w:spacing w:line="360" w:lineRule="auto"/>
        <w:ind w:firstLine="420"/>
      </w:pPr>
      <w:r>
        <w:rPr>
          <w:rFonts w:hint="eastAsia"/>
        </w:rPr>
        <w:t>SL 174—2014 水利水电工程混凝土防渗墙施工技术规范</w:t>
      </w:r>
    </w:p>
    <w:p w14:paraId="2E631D48">
      <w:pPr>
        <w:pStyle w:val="56"/>
        <w:spacing w:line="360" w:lineRule="auto"/>
        <w:ind w:firstLine="420"/>
      </w:pPr>
      <w:r>
        <w:rPr>
          <w:rFonts w:hint="eastAsia"/>
        </w:rPr>
        <w:t>SL 176 水利水电工程施工质量检验与评定规程</w:t>
      </w:r>
    </w:p>
    <w:p w14:paraId="07A7F860">
      <w:pPr>
        <w:pStyle w:val="56"/>
        <w:spacing w:line="360" w:lineRule="auto"/>
        <w:ind w:firstLine="420"/>
      </w:pPr>
      <w:r>
        <w:rPr>
          <w:rFonts w:hint="eastAsia"/>
        </w:rPr>
        <w:t>SL 223—2008 水利水电建设工程验收规程</w:t>
      </w:r>
    </w:p>
    <w:p w14:paraId="51F02A4E">
      <w:pPr>
        <w:pStyle w:val="104"/>
        <w:spacing w:before="240" w:after="240" w:line="360" w:lineRule="auto"/>
      </w:pPr>
      <w:bookmarkStart w:id="48" w:name="_Toc97192966"/>
      <w:bookmarkStart w:id="49" w:name="_Toc228533590"/>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1302414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基础截渗墙 foundation cut-off wall</w:t>
      </w:r>
    </w:p>
    <w:p w14:paraId="2F7E0C96">
      <w:pPr>
        <w:pStyle w:val="56"/>
        <w:spacing w:line="360" w:lineRule="auto"/>
        <w:ind w:firstLine="420"/>
      </w:pPr>
      <w:r>
        <w:rPr>
          <w:rFonts w:hint="eastAsia"/>
        </w:rPr>
        <w:t>沿水利工程基础、坝基、堤基或者建筑物底部设置，用于截断、延长或者削弱地下渗流通道，降低渗流量和渗透坡降的连续性地下防渗墙体。</w:t>
      </w:r>
    </w:p>
    <w:p w14:paraId="4A85910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绿色建材 green building material</w:t>
      </w:r>
    </w:p>
    <w:p w14:paraId="0171479C">
      <w:pPr>
        <w:pStyle w:val="56"/>
        <w:spacing w:line="360" w:lineRule="auto"/>
        <w:ind w:firstLine="420"/>
      </w:pPr>
      <w:r>
        <w:rPr>
          <w:rFonts w:hint="eastAsia"/>
        </w:rPr>
        <w:t>在全生命周期内资源消耗较低、环境影响较小、品质可控，并满足工程适用性、安全性、耐久性和相关环保要求的建筑材料。</w:t>
      </w:r>
    </w:p>
    <w:p w14:paraId="471FDF7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绿色建材应用 quality application of green building material</w:t>
      </w:r>
    </w:p>
    <w:p w14:paraId="0BAD2712">
      <w:pPr>
        <w:pStyle w:val="56"/>
        <w:spacing w:line="360" w:lineRule="auto"/>
        <w:ind w:firstLine="420"/>
      </w:pPr>
      <w:r>
        <w:rPr>
          <w:rFonts w:hint="eastAsia"/>
        </w:rPr>
        <w:t>将符合绿色属性和工程性能要求的材料用于基础截渗墙工程，并通过选材、验证、施工和检验等措施实现预期防渗功能和质量目标的活动。</w:t>
      </w:r>
    </w:p>
    <w:p w14:paraId="7CF635F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质量控制 quality control</w:t>
      </w:r>
    </w:p>
    <w:p w14:paraId="54990054">
      <w:pPr>
        <w:pStyle w:val="56"/>
        <w:spacing w:line="360" w:lineRule="auto"/>
        <w:ind w:firstLine="420"/>
      </w:pPr>
      <w:r>
        <w:rPr>
          <w:rFonts w:hint="eastAsia"/>
        </w:rPr>
        <w:t>为使绿色建材在基础截渗墙工程中的应用满足规定要求，对材料、设备、工艺、人员、环境、检测和资料等实施的计划、检查、验证、处置和改进活动。</w:t>
      </w:r>
    </w:p>
    <w:p w14:paraId="143057D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配合比 mix proportion</w:t>
      </w:r>
    </w:p>
    <w:p w14:paraId="34593C7E">
      <w:pPr>
        <w:pStyle w:val="56"/>
        <w:spacing w:line="360" w:lineRule="auto"/>
        <w:ind w:firstLine="420"/>
      </w:pPr>
      <w:r>
        <w:rPr>
          <w:rFonts w:hint="eastAsia"/>
        </w:rPr>
        <w:t>基础截渗墙墙体材料或者浆液材料中各组成材料用量之间的比例关系。</w:t>
      </w:r>
    </w:p>
    <w:p w14:paraId="38E9CC9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试验验证 experimental verification</w:t>
      </w:r>
    </w:p>
    <w:p w14:paraId="6BC09895">
      <w:pPr>
        <w:pStyle w:val="56"/>
        <w:spacing w:line="360" w:lineRule="auto"/>
        <w:ind w:firstLine="420"/>
      </w:pPr>
      <w:r>
        <w:rPr>
          <w:rFonts w:hint="eastAsia"/>
        </w:rPr>
        <w:t>为判定绿色建材及其配合比、工艺参数和成墙效果是否满足工程要求而开展的室内试验、现场试拌、工艺试验或者试验段施工验证活动。</w:t>
      </w:r>
    </w:p>
    <w:p w14:paraId="04B3ED7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试验段 trial section</w:t>
      </w:r>
    </w:p>
    <w:p w14:paraId="66667B2D">
      <w:pPr>
        <w:pStyle w:val="56"/>
        <w:spacing w:line="360" w:lineRule="auto"/>
        <w:ind w:firstLine="420"/>
      </w:pPr>
      <w:r>
        <w:rPr>
          <w:rFonts w:hint="eastAsia"/>
        </w:rPr>
        <w:t>在正式施工前，选取具有代表性的工程区段，按照拟采用的绿色建材体系、施工设备和工艺参数进行试验性施工的区域。</w:t>
      </w:r>
    </w:p>
    <w:p w14:paraId="7915C6F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成槽 trench forming</w:t>
      </w:r>
    </w:p>
    <w:p w14:paraId="3351B133">
      <w:pPr>
        <w:pStyle w:val="56"/>
        <w:spacing w:line="360" w:lineRule="auto"/>
        <w:ind w:firstLine="420"/>
      </w:pPr>
      <w:r>
        <w:rPr>
          <w:rFonts w:hint="eastAsia"/>
        </w:rPr>
        <w:t>采用抓斗、铣槽机、冲击钻、液压抓斗或者其他成槽设备，在设计位置形成满足宽度、深度、垂直度和稳定性要求槽孔的施工过程。</w:t>
      </w:r>
    </w:p>
    <w:p w14:paraId="74A64BB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槽壁稳定 trench wall stability</w:t>
      </w:r>
    </w:p>
    <w:p w14:paraId="2293AF0B">
      <w:pPr>
        <w:pStyle w:val="56"/>
        <w:spacing w:line="360" w:lineRule="auto"/>
        <w:ind w:firstLine="420"/>
      </w:pPr>
      <w:r>
        <w:rPr>
          <w:rFonts w:hint="eastAsia"/>
        </w:rPr>
        <w:t>成槽过程中槽壁在泥浆、导墙、地层和施工参数共同作用下保持不坍塌、不缩颈、不局部失稳的状态。</w:t>
      </w:r>
    </w:p>
    <w:p w14:paraId="059C8EA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墙体连续性 wall continuity</w:t>
      </w:r>
    </w:p>
    <w:p w14:paraId="51FA3560">
      <w:pPr>
        <w:pStyle w:val="56"/>
        <w:spacing w:line="360" w:lineRule="auto"/>
        <w:ind w:firstLine="420"/>
      </w:pPr>
      <w:r>
        <w:rPr>
          <w:rFonts w:hint="eastAsia"/>
        </w:rPr>
        <w:t>截渗墙在平面和深度方向上保持连续闭合或者连续延伸，且墙段之间连接可靠、无明显断墙、夹泥、漏接和贯通缺陷的特性。</w:t>
      </w:r>
    </w:p>
    <w:p w14:paraId="4A302624">
      <w:pPr>
        <w:pStyle w:val="56"/>
        <w:spacing w:line="360" w:lineRule="auto"/>
        <w:ind w:firstLine="420"/>
        <w:rPr>
          <w:rFonts w:hint="eastAsia"/>
        </w:rPr>
      </w:pPr>
    </w:p>
    <w:p w14:paraId="07B61D6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成墙质量 wall quality</w:t>
      </w:r>
    </w:p>
    <w:p w14:paraId="2194FB21">
      <w:pPr>
        <w:pStyle w:val="56"/>
        <w:spacing w:line="360" w:lineRule="auto"/>
        <w:ind w:firstLine="420"/>
      </w:pPr>
      <w:r>
        <w:rPr>
          <w:rFonts w:hint="eastAsia"/>
        </w:rPr>
        <w:t>截渗墙施工完成后在几何尺寸、墙体完整性、强度、均匀性、渗透性能、接头质量和耐久性等方面满足设计和标准要求的状态。</w:t>
      </w:r>
    </w:p>
    <w:p w14:paraId="36BC2EBF">
      <w:pPr>
        <w:pStyle w:val="104"/>
        <w:spacing w:before="240" w:after="240" w:line="360" w:lineRule="auto"/>
      </w:pPr>
      <w:bookmarkStart w:id="51" w:name="_Toc228533591"/>
      <w:r>
        <w:rPr>
          <w:rFonts w:hint="eastAsia"/>
        </w:rPr>
        <w:t>总体要求</w:t>
      </w:r>
      <w:bookmarkEnd w:id="51"/>
    </w:p>
    <w:p w14:paraId="2F4ACB08">
      <w:pPr>
        <w:pStyle w:val="105"/>
        <w:spacing w:before="120" w:after="120" w:line="360" w:lineRule="auto"/>
      </w:pPr>
      <w:r>
        <w:rPr>
          <w:rFonts w:hint="eastAsia"/>
        </w:rPr>
        <w:t>基本原则</w:t>
      </w:r>
    </w:p>
    <w:p w14:paraId="5433E997">
      <w:pPr>
        <w:pStyle w:val="165"/>
        <w:spacing w:line="360" w:lineRule="auto"/>
      </w:pPr>
      <w:r>
        <w:rPr>
          <w:rFonts w:hint="eastAsia"/>
        </w:rPr>
        <w:t>绿色建材在基础截渗墙工程中的应用，应坚持安全可靠、质量优先、适用可行、绿色低碳、全过程控制和可追溯管理的原则。</w:t>
      </w:r>
    </w:p>
    <w:p w14:paraId="057A1879">
      <w:pPr>
        <w:pStyle w:val="165"/>
        <w:spacing w:line="360" w:lineRule="auto"/>
      </w:pPr>
      <w:r>
        <w:rPr>
          <w:rFonts w:hint="eastAsia"/>
        </w:rPr>
        <w:t>绿色建材应用不得降低基础截渗墙的防渗性能、结构稳定性、施工可控性和耐久性要求。</w:t>
      </w:r>
    </w:p>
    <w:p w14:paraId="61C2EA26">
      <w:pPr>
        <w:pStyle w:val="165"/>
        <w:spacing w:line="360" w:lineRule="auto"/>
      </w:pPr>
      <w:r>
        <w:rPr>
          <w:rFonts w:hint="eastAsia"/>
        </w:rPr>
        <w:t>绿色建材应用应以满足工程功能和质量目标为前提，不得以节能降碳、资源综合利用或者材料绿色属性替代必要的工程性能验证。</w:t>
      </w:r>
    </w:p>
    <w:p w14:paraId="73E79B3A">
      <w:pPr>
        <w:pStyle w:val="165"/>
        <w:spacing w:line="360" w:lineRule="auto"/>
      </w:pPr>
      <w:r>
        <w:rPr>
          <w:rFonts w:hint="eastAsia"/>
        </w:rPr>
        <w:t>对涉及工程安全、运行安全和耐久性的关键部位、关键墙段和关键工序，绿色建材应用应实施重点控制。</w:t>
      </w:r>
    </w:p>
    <w:p w14:paraId="4B4D28C8">
      <w:pPr>
        <w:pStyle w:val="165"/>
        <w:spacing w:line="360" w:lineRule="auto"/>
      </w:pPr>
      <w:r>
        <w:rPr>
          <w:rFonts w:hint="eastAsia"/>
        </w:rPr>
        <w:t>绿色建材应用应与工程地质条件、水文地质条件、结构型式、施工工艺、施工设备和环境条件相匹配；不具备匹配条件的，不得盲目采用。</w:t>
      </w:r>
    </w:p>
    <w:p w14:paraId="457D4EB6">
      <w:pPr>
        <w:pStyle w:val="105"/>
        <w:spacing w:before="120" w:after="120" w:line="360" w:lineRule="auto"/>
      </w:pPr>
      <w:r>
        <w:rPr>
          <w:rFonts w:hint="eastAsia"/>
        </w:rPr>
        <w:t>应用条件</w:t>
      </w:r>
    </w:p>
    <w:p w14:paraId="304BB5B4">
      <w:pPr>
        <w:pStyle w:val="165"/>
        <w:spacing w:line="360" w:lineRule="auto"/>
      </w:pPr>
      <w:r>
        <w:rPr>
          <w:rFonts w:hint="eastAsia"/>
        </w:rPr>
        <w:t>绿色建材用于基础截渗墙工程前，应具备下列条件：</w:t>
      </w:r>
    </w:p>
    <w:p w14:paraId="2A007510">
      <w:pPr>
        <w:pStyle w:val="56"/>
        <w:spacing w:line="360" w:lineRule="auto"/>
        <w:ind w:firstLine="420"/>
      </w:pPr>
      <w:r>
        <w:rPr>
          <w:rFonts w:hint="eastAsia"/>
        </w:rPr>
        <w:t>a）材料来源明确，质量证明文件齐全；</w:t>
      </w:r>
    </w:p>
    <w:p w14:paraId="6E97B7BC">
      <w:pPr>
        <w:pStyle w:val="56"/>
        <w:spacing w:line="360" w:lineRule="auto"/>
        <w:ind w:firstLine="420"/>
      </w:pPr>
      <w:r>
        <w:rPr>
          <w:rFonts w:hint="eastAsia"/>
        </w:rPr>
        <w:t>b）材料性能满足设计要求和相关标准要求；</w:t>
      </w:r>
    </w:p>
    <w:p w14:paraId="4D7087BB">
      <w:pPr>
        <w:pStyle w:val="56"/>
        <w:spacing w:line="360" w:lineRule="auto"/>
        <w:ind w:firstLine="420"/>
      </w:pPr>
      <w:r>
        <w:rPr>
          <w:rFonts w:hint="eastAsia"/>
        </w:rPr>
        <w:t>c）材料适用性经试验验证或者工程验证确认；</w:t>
      </w:r>
    </w:p>
    <w:p w14:paraId="7113E214">
      <w:pPr>
        <w:pStyle w:val="56"/>
        <w:spacing w:line="360" w:lineRule="auto"/>
        <w:ind w:firstLine="420"/>
      </w:pPr>
      <w:r>
        <w:rPr>
          <w:rFonts w:hint="eastAsia"/>
        </w:rPr>
        <w:t>d）施工工艺、设备能力和质量检验手段满足应用要求；</w:t>
      </w:r>
    </w:p>
    <w:p w14:paraId="3CD4AE66">
      <w:pPr>
        <w:pStyle w:val="56"/>
        <w:spacing w:line="360" w:lineRule="auto"/>
        <w:ind w:firstLine="420"/>
      </w:pPr>
      <w:r>
        <w:rPr>
          <w:rFonts w:hint="eastAsia"/>
        </w:rPr>
        <w:t>e）工程参与各方职责明确，质量控制措施落实。</w:t>
      </w:r>
    </w:p>
    <w:p w14:paraId="3B4216BA">
      <w:pPr>
        <w:pStyle w:val="165"/>
        <w:spacing w:line="360" w:lineRule="auto"/>
      </w:pPr>
      <w:r>
        <w:rPr>
          <w:rFonts w:hint="eastAsia"/>
        </w:rPr>
        <w:t>对首次应用于本地区、本工程或者类似地层条件下的绿色建材，应进行专项技术论证。</w:t>
      </w:r>
    </w:p>
    <w:p w14:paraId="3CE9E690">
      <w:pPr>
        <w:pStyle w:val="165"/>
        <w:spacing w:line="360" w:lineRule="auto"/>
      </w:pPr>
      <w:r>
        <w:rPr>
          <w:rFonts w:hint="eastAsia"/>
        </w:rPr>
        <w:t>对采用工业固废基胶凝材料、再生利用材料、复合掺合料体系或者其他性能敏感材料的，应重点核查材料稳定性、批次一致性和环境适应性。</w:t>
      </w:r>
    </w:p>
    <w:p w14:paraId="2D9BCA04">
      <w:pPr>
        <w:pStyle w:val="165"/>
        <w:spacing w:line="360" w:lineRule="auto"/>
      </w:pPr>
      <w:r>
        <w:rPr>
          <w:rFonts w:hint="eastAsia"/>
        </w:rPr>
        <w:t>对存在下列情形之一的绿色建材，不得用于基础截渗墙工程：</w:t>
      </w:r>
    </w:p>
    <w:p w14:paraId="4FCBF9DF">
      <w:pPr>
        <w:pStyle w:val="56"/>
        <w:spacing w:line="360" w:lineRule="auto"/>
        <w:ind w:firstLine="420"/>
      </w:pPr>
      <w:r>
        <w:rPr>
          <w:rFonts w:hint="eastAsia"/>
        </w:rPr>
        <w:t>a）无质量证明文件、性能检测报告或者来源不明；</w:t>
      </w:r>
    </w:p>
    <w:p w14:paraId="5F3DB295">
      <w:pPr>
        <w:pStyle w:val="56"/>
        <w:spacing w:line="360" w:lineRule="auto"/>
        <w:ind w:firstLine="420"/>
      </w:pPr>
      <w:r>
        <w:rPr>
          <w:rFonts w:hint="eastAsia"/>
        </w:rPr>
        <w:t>b）主要性能指标不满足设计或者标准要求；</w:t>
      </w:r>
    </w:p>
    <w:p w14:paraId="5CF8DE69">
      <w:pPr>
        <w:pStyle w:val="56"/>
        <w:spacing w:line="360" w:lineRule="auto"/>
        <w:ind w:firstLine="420"/>
      </w:pPr>
      <w:r>
        <w:rPr>
          <w:rFonts w:hint="eastAsia"/>
        </w:rPr>
        <w:t>c）试验验证结果不能证明其工程适用性；</w:t>
      </w:r>
    </w:p>
    <w:p w14:paraId="52794BA5">
      <w:pPr>
        <w:pStyle w:val="56"/>
        <w:spacing w:line="360" w:lineRule="auto"/>
        <w:ind w:firstLine="420"/>
      </w:pPr>
      <w:r>
        <w:rPr>
          <w:rFonts w:hint="eastAsia"/>
        </w:rPr>
        <w:t>d）批次波动明显且无法采取稳定化控制措施；</w:t>
      </w:r>
    </w:p>
    <w:p w14:paraId="76108078">
      <w:pPr>
        <w:pStyle w:val="56"/>
        <w:spacing w:line="360" w:lineRule="auto"/>
        <w:ind w:firstLine="420"/>
      </w:pPr>
      <w:r>
        <w:rPr>
          <w:rFonts w:hint="eastAsia"/>
        </w:rPr>
        <w:t>e）存在对地下水、周边土体或者生态环境造成不良影响的风险且未经论证确认。</w:t>
      </w:r>
    </w:p>
    <w:p w14:paraId="6EA1E42F">
      <w:pPr>
        <w:pStyle w:val="105"/>
        <w:spacing w:before="120" w:after="120" w:line="360" w:lineRule="auto"/>
      </w:pPr>
      <w:r>
        <w:rPr>
          <w:rFonts w:hint="eastAsia"/>
        </w:rPr>
        <w:t>质量控制对象</w:t>
      </w:r>
    </w:p>
    <w:p w14:paraId="66F3553F">
      <w:pPr>
        <w:pStyle w:val="165"/>
        <w:spacing w:line="360" w:lineRule="auto"/>
      </w:pPr>
      <w:r>
        <w:rPr>
          <w:rFonts w:hint="eastAsia"/>
        </w:rPr>
        <w:t>绿色建材应用质量控制对象应包括原材料、浆液材料、墙体材料、施工设备、施工工艺、成墙过程、检测结果和工程资料。</w:t>
      </w:r>
    </w:p>
    <w:p w14:paraId="2CE5ECDD">
      <w:pPr>
        <w:pStyle w:val="165"/>
        <w:spacing w:line="360" w:lineRule="auto"/>
      </w:pPr>
      <w:r>
        <w:rPr>
          <w:rFonts w:hint="eastAsia"/>
        </w:rPr>
        <w:t>质量控制应覆盖下列阶段：</w:t>
      </w:r>
    </w:p>
    <w:p w14:paraId="62342E15">
      <w:pPr>
        <w:pStyle w:val="56"/>
        <w:spacing w:line="360" w:lineRule="auto"/>
        <w:ind w:firstLine="420"/>
      </w:pPr>
      <w:r>
        <w:rPr>
          <w:rFonts w:hint="eastAsia"/>
        </w:rPr>
        <w:t>a）材料选用；</w:t>
      </w:r>
    </w:p>
    <w:p w14:paraId="06D8C37C">
      <w:pPr>
        <w:pStyle w:val="56"/>
        <w:spacing w:line="360" w:lineRule="auto"/>
        <w:ind w:firstLine="420"/>
      </w:pPr>
      <w:r>
        <w:rPr>
          <w:rFonts w:hint="eastAsia"/>
        </w:rPr>
        <w:t>b）进场验收；</w:t>
      </w:r>
    </w:p>
    <w:p w14:paraId="44D01615">
      <w:pPr>
        <w:pStyle w:val="56"/>
        <w:spacing w:line="360" w:lineRule="auto"/>
        <w:ind w:firstLine="420"/>
      </w:pPr>
      <w:r>
        <w:rPr>
          <w:rFonts w:hint="eastAsia"/>
        </w:rPr>
        <w:t>c）试验验证；</w:t>
      </w:r>
    </w:p>
    <w:p w14:paraId="7DEBF9A5">
      <w:pPr>
        <w:pStyle w:val="56"/>
        <w:spacing w:line="360" w:lineRule="auto"/>
        <w:ind w:firstLine="420"/>
      </w:pPr>
      <w:r>
        <w:rPr>
          <w:rFonts w:hint="eastAsia"/>
        </w:rPr>
        <w:t>d）配合比确定；</w:t>
      </w:r>
    </w:p>
    <w:p w14:paraId="60D51CDC">
      <w:pPr>
        <w:pStyle w:val="56"/>
        <w:spacing w:line="360" w:lineRule="auto"/>
        <w:ind w:firstLine="420"/>
      </w:pPr>
      <w:r>
        <w:rPr>
          <w:rFonts w:hint="eastAsia"/>
        </w:rPr>
        <w:t>e）施工实施；</w:t>
      </w:r>
    </w:p>
    <w:p w14:paraId="6AC10FBE">
      <w:pPr>
        <w:pStyle w:val="56"/>
        <w:spacing w:line="360" w:lineRule="auto"/>
        <w:ind w:firstLine="420"/>
      </w:pPr>
      <w:r>
        <w:rPr>
          <w:rFonts w:hint="eastAsia"/>
        </w:rPr>
        <w:t>f）质量检验；</w:t>
      </w:r>
    </w:p>
    <w:p w14:paraId="0B85D47A">
      <w:pPr>
        <w:pStyle w:val="56"/>
        <w:spacing w:line="360" w:lineRule="auto"/>
        <w:ind w:firstLine="420"/>
      </w:pPr>
      <w:r>
        <w:rPr>
          <w:rFonts w:hint="eastAsia"/>
        </w:rPr>
        <w:t>g）验收评定；</w:t>
      </w:r>
    </w:p>
    <w:p w14:paraId="61769FDF">
      <w:pPr>
        <w:pStyle w:val="56"/>
        <w:spacing w:line="360" w:lineRule="auto"/>
        <w:ind w:firstLine="420"/>
      </w:pPr>
      <w:r>
        <w:rPr>
          <w:rFonts w:hint="eastAsia"/>
        </w:rPr>
        <w:t>h）资料归档与追溯管理。</w:t>
      </w:r>
    </w:p>
    <w:p w14:paraId="183D3275">
      <w:pPr>
        <w:pStyle w:val="165"/>
        <w:spacing w:line="360" w:lineRule="auto"/>
      </w:pPr>
      <w:r>
        <w:rPr>
          <w:rFonts w:hint="eastAsia"/>
        </w:rPr>
        <w:t>质量控制应覆盖下列关键要素：</w:t>
      </w:r>
    </w:p>
    <w:p w14:paraId="049D655D">
      <w:pPr>
        <w:pStyle w:val="56"/>
        <w:spacing w:line="360" w:lineRule="auto"/>
        <w:ind w:firstLine="420"/>
      </w:pPr>
      <w:r>
        <w:rPr>
          <w:rFonts w:hint="eastAsia"/>
        </w:rPr>
        <w:t>a）材料品种、规格、组成和批次；</w:t>
      </w:r>
    </w:p>
    <w:p w14:paraId="254648F3">
      <w:pPr>
        <w:pStyle w:val="56"/>
        <w:spacing w:line="360" w:lineRule="auto"/>
        <w:ind w:firstLine="420"/>
      </w:pPr>
      <w:r>
        <w:rPr>
          <w:rFonts w:hint="eastAsia"/>
        </w:rPr>
        <w:t>b）浆液性能、拌合质量和稳定性；</w:t>
      </w:r>
    </w:p>
    <w:p w14:paraId="1469538B">
      <w:pPr>
        <w:pStyle w:val="56"/>
        <w:spacing w:line="360" w:lineRule="auto"/>
        <w:ind w:firstLine="420"/>
      </w:pPr>
      <w:r>
        <w:rPr>
          <w:rFonts w:hint="eastAsia"/>
        </w:rPr>
        <w:t>c）成槽质量、清槽质量和槽壁稳定；</w:t>
      </w:r>
    </w:p>
    <w:p w14:paraId="27B6B6FE">
      <w:pPr>
        <w:pStyle w:val="56"/>
        <w:spacing w:line="360" w:lineRule="auto"/>
        <w:ind w:firstLine="420"/>
      </w:pPr>
      <w:r>
        <w:rPr>
          <w:rFonts w:hint="eastAsia"/>
        </w:rPr>
        <w:t>d）浇筑、置换、接头和墙段连续性；</w:t>
      </w:r>
    </w:p>
    <w:p w14:paraId="2796EA4B">
      <w:pPr>
        <w:pStyle w:val="56"/>
        <w:spacing w:line="360" w:lineRule="auto"/>
        <w:ind w:firstLine="420"/>
      </w:pPr>
      <w:r>
        <w:rPr>
          <w:rFonts w:hint="eastAsia"/>
        </w:rPr>
        <w:t>e）墙体强度、均匀性、完整性和渗透性能；</w:t>
      </w:r>
    </w:p>
    <w:p w14:paraId="797B1699">
      <w:pPr>
        <w:pStyle w:val="56"/>
        <w:spacing w:line="360" w:lineRule="auto"/>
        <w:ind w:firstLine="420"/>
      </w:pPr>
      <w:r>
        <w:rPr>
          <w:rFonts w:hint="eastAsia"/>
        </w:rPr>
        <w:t>f）施工记录、检测记录和验收资料的真实性、完整性和一致性。</w:t>
      </w:r>
    </w:p>
    <w:p w14:paraId="75B02221">
      <w:pPr>
        <w:pStyle w:val="105"/>
        <w:spacing w:before="120" w:after="120" w:line="360" w:lineRule="auto"/>
      </w:pPr>
      <w:r>
        <w:rPr>
          <w:rFonts w:hint="eastAsia"/>
        </w:rPr>
        <w:t>参建各方职责</w:t>
      </w:r>
    </w:p>
    <w:p w14:paraId="6599E2B3">
      <w:pPr>
        <w:pStyle w:val="165"/>
        <w:spacing w:line="360" w:lineRule="auto"/>
      </w:pPr>
      <w:r>
        <w:rPr>
          <w:rFonts w:hint="eastAsia"/>
        </w:rPr>
        <w:t>建设单位应组织明确绿色建材应用目标、质量要求和管理要求，并将其纳入工程质量管理体系。</w:t>
      </w:r>
    </w:p>
    <w:p w14:paraId="5F610687">
      <w:pPr>
        <w:pStyle w:val="165"/>
        <w:spacing w:line="360" w:lineRule="auto"/>
      </w:pPr>
      <w:r>
        <w:rPr>
          <w:rFonts w:hint="eastAsia"/>
        </w:rPr>
        <w:t>建设单位应督促设计、施工、监理、检测和材料供应等单位建立绿色建材应用质量控制责任链。</w:t>
      </w:r>
    </w:p>
    <w:p w14:paraId="60B7C7E3">
      <w:pPr>
        <w:pStyle w:val="165"/>
        <w:spacing w:line="360" w:lineRule="auto"/>
      </w:pPr>
      <w:r>
        <w:rPr>
          <w:rFonts w:hint="eastAsia"/>
        </w:rPr>
        <w:t>设计单位应根据工程功能要求、地层条件、渗流控制要求和施工条件，明确绿色建材应用范围、性能指标和技术要求。</w:t>
      </w:r>
    </w:p>
    <w:p w14:paraId="0C232F24">
      <w:pPr>
        <w:pStyle w:val="165"/>
        <w:spacing w:line="360" w:lineRule="auto"/>
      </w:pPr>
      <w:r>
        <w:rPr>
          <w:rFonts w:hint="eastAsia"/>
        </w:rPr>
        <w:t>设计单位不得仅以绿色属性作为选材依据；对关键材料和关键参数，应提出明确控制要求。</w:t>
      </w:r>
    </w:p>
    <w:p w14:paraId="35F051B8">
      <w:pPr>
        <w:pStyle w:val="165"/>
        <w:spacing w:line="360" w:lineRule="auto"/>
      </w:pPr>
      <w:r>
        <w:rPr>
          <w:rFonts w:hint="eastAsia"/>
        </w:rPr>
        <w:t>施工单位应根据设计要求和本文件规定，编制绿色建材应用专项施工与质量控制方案，并组织实施。</w:t>
      </w:r>
    </w:p>
    <w:p w14:paraId="2D3861CD">
      <w:pPr>
        <w:pStyle w:val="165"/>
        <w:spacing w:line="360" w:lineRule="auto"/>
      </w:pPr>
      <w:r>
        <w:rPr>
          <w:rFonts w:hint="eastAsia"/>
        </w:rPr>
        <w:t>施工单位应对原材料采购、进场验收、试验验证、施工控制、成品保护和资料管理负责。</w:t>
      </w:r>
    </w:p>
    <w:p w14:paraId="6D527195">
      <w:pPr>
        <w:pStyle w:val="165"/>
        <w:spacing w:line="360" w:lineRule="auto"/>
      </w:pPr>
      <w:r>
        <w:rPr>
          <w:rFonts w:hint="eastAsia"/>
        </w:rPr>
        <w:t>监理单位应对绿色建材应用过程中的材料验收、试验验证、关键工序和质量检验实施监督。</w:t>
      </w:r>
    </w:p>
    <w:p w14:paraId="3607DD37">
      <w:pPr>
        <w:pStyle w:val="165"/>
        <w:spacing w:line="360" w:lineRule="auto"/>
      </w:pPr>
      <w:r>
        <w:rPr>
          <w:rFonts w:hint="eastAsia"/>
        </w:rPr>
        <w:t>检测机构应按规定开展材料性能检测、过程检测和成墙质量检测，不得出具虚假或者失实检测结论。</w:t>
      </w:r>
    </w:p>
    <w:p w14:paraId="2F505893">
      <w:pPr>
        <w:pStyle w:val="165"/>
        <w:spacing w:line="360" w:lineRule="auto"/>
      </w:pPr>
      <w:r>
        <w:rPr>
          <w:rFonts w:hint="eastAsia"/>
        </w:rPr>
        <w:t>材料供应单位应保证供货材料与送检样品、质量证明文件和承诺指标一致，不得以次充好、以假充真或者擅自变更材料组成。</w:t>
      </w:r>
    </w:p>
    <w:p w14:paraId="43EFC8CA">
      <w:pPr>
        <w:pStyle w:val="105"/>
        <w:spacing w:before="120" w:after="120" w:line="360" w:lineRule="auto"/>
      </w:pPr>
      <w:r>
        <w:rPr>
          <w:rFonts w:hint="eastAsia"/>
        </w:rPr>
        <w:t>技术文件要求</w:t>
      </w:r>
    </w:p>
    <w:p w14:paraId="764E46FD">
      <w:pPr>
        <w:pStyle w:val="165"/>
        <w:spacing w:line="360" w:lineRule="auto"/>
      </w:pPr>
      <w:r>
        <w:rPr>
          <w:rFonts w:hint="eastAsia"/>
        </w:rPr>
        <w:t>绿色建材应用于基础截渗墙工程前，应形成下列技术文件：</w:t>
      </w:r>
    </w:p>
    <w:p w14:paraId="5E6D3918">
      <w:pPr>
        <w:pStyle w:val="56"/>
        <w:spacing w:line="360" w:lineRule="auto"/>
        <w:ind w:firstLine="420"/>
      </w:pPr>
      <w:r>
        <w:rPr>
          <w:rFonts w:hint="eastAsia"/>
        </w:rPr>
        <w:t>a）绿色建材应用技术说明；</w:t>
      </w:r>
    </w:p>
    <w:p w14:paraId="1F343BA4">
      <w:pPr>
        <w:pStyle w:val="56"/>
        <w:spacing w:line="360" w:lineRule="auto"/>
        <w:ind w:firstLine="420"/>
      </w:pPr>
      <w:r>
        <w:rPr>
          <w:rFonts w:hint="eastAsia"/>
        </w:rPr>
        <w:t>b）材料质量控制指标及检验要求；</w:t>
      </w:r>
    </w:p>
    <w:p w14:paraId="31E0C7F7">
      <w:pPr>
        <w:pStyle w:val="56"/>
        <w:spacing w:line="360" w:lineRule="auto"/>
        <w:ind w:firstLine="420"/>
      </w:pPr>
      <w:r>
        <w:rPr>
          <w:rFonts w:hint="eastAsia"/>
        </w:rPr>
        <w:t>c）专项施工与质量控制方案；</w:t>
      </w:r>
    </w:p>
    <w:p w14:paraId="176409DA">
      <w:pPr>
        <w:pStyle w:val="56"/>
        <w:spacing w:line="360" w:lineRule="auto"/>
        <w:ind w:firstLine="420"/>
      </w:pPr>
      <w:r>
        <w:rPr>
          <w:rFonts w:hint="eastAsia"/>
        </w:rPr>
        <w:t>d）试验验证方案及报告；</w:t>
      </w:r>
    </w:p>
    <w:p w14:paraId="70839852">
      <w:pPr>
        <w:pStyle w:val="56"/>
        <w:spacing w:line="360" w:lineRule="auto"/>
        <w:ind w:firstLine="420"/>
      </w:pPr>
      <w:r>
        <w:rPr>
          <w:rFonts w:hint="eastAsia"/>
        </w:rPr>
        <w:t>e）必要的风险分析与应急处置措施。</w:t>
      </w:r>
    </w:p>
    <w:p w14:paraId="171109A5">
      <w:pPr>
        <w:pStyle w:val="165"/>
        <w:spacing w:line="360" w:lineRule="auto"/>
      </w:pPr>
      <w:r>
        <w:rPr>
          <w:rFonts w:hint="eastAsia"/>
        </w:rPr>
        <w:t>技术文件应经规定程序审批后实施；未经审批，不得作为正式施工依据。</w:t>
      </w:r>
    </w:p>
    <w:p w14:paraId="70E4F6A1">
      <w:pPr>
        <w:pStyle w:val="165"/>
        <w:spacing w:line="360" w:lineRule="auto"/>
      </w:pPr>
      <w:r>
        <w:rPr>
          <w:rFonts w:hint="eastAsia"/>
        </w:rPr>
        <w:t>施工过程中确需调整材料体系、配合比或者施工参数的，应履行变更确认程序，并补充验证资料。</w:t>
      </w:r>
    </w:p>
    <w:p w14:paraId="30EF87AC">
      <w:pPr>
        <w:pStyle w:val="165"/>
        <w:spacing w:line="360" w:lineRule="auto"/>
      </w:pPr>
      <w:r>
        <w:rPr>
          <w:rFonts w:hint="eastAsia"/>
        </w:rPr>
        <w:t>任何单位不得以会议口头意见、临时通知或者经验性判断替代正式技术文件。</w:t>
      </w:r>
    </w:p>
    <w:p w14:paraId="2FDF7DDA">
      <w:pPr>
        <w:pStyle w:val="105"/>
        <w:spacing w:before="120" w:after="120" w:line="360" w:lineRule="auto"/>
      </w:pPr>
      <w:r>
        <w:rPr>
          <w:rFonts w:hint="eastAsia"/>
        </w:rPr>
        <w:t>风险控制要求</w:t>
      </w:r>
    </w:p>
    <w:p w14:paraId="125480C2">
      <w:pPr>
        <w:pStyle w:val="165"/>
        <w:spacing w:line="360" w:lineRule="auto"/>
      </w:pPr>
      <w:r>
        <w:rPr>
          <w:rFonts w:hint="eastAsia"/>
        </w:rPr>
        <w:t>绿色建材应用前，应识别材料风险、工艺风险、环境风险和质量风险。</w:t>
      </w:r>
    </w:p>
    <w:p w14:paraId="75D5D7E4">
      <w:pPr>
        <w:pStyle w:val="165"/>
        <w:spacing w:line="360" w:lineRule="auto"/>
      </w:pPr>
      <w:r>
        <w:rPr>
          <w:rFonts w:hint="eastAsia"/>
        </w:rPr>
        <w:t>对下列风险应重点控制：</w:t>
      </w:r>
    </w:p>
    <w:p w14:paraId="1D822855">
      <w:pPr>
        <w:pStyle w:val="56"/>
        <w:spacing w:line="360" w:lineRule="auto"/>
        <w:ind w:firstLine="420"/>
      </w:pPr>
      <w:r>
        <w:rPr>
          <w:rFonts w:hint="eastAsia"/>
        </w:rPr>
        <w:t>a）材料性能波动导致浆液不稳定；</w:t>
      </w:r>
    </w:p>
    <w:p w14:paraId="25520A0A">
      <w:pPr>
        <w:pStyle w:val="56"/>
        <w:spacing w:line="360" w:lineRule="auto"/>
        <w:ind w:firstLine="420"/>
      </w:pPr>
      <w:r>
        <w:rPr>
          <w:rFonts w:hint="eastAsia"/>
        </w:rPr>
        <w:t>b）材料与地层条件不适配导致槽壁失稳；</w:t>
      </w:r>
    </w:p>
    <w:p w14:paraId="5757EE35">
      <w:pPr>
        <w:pStyle w:val="56"/>
        <w:spacing w:line="360" w:lineRule="auto"/>
        <w:ind w:firstLine="420"/>
      </w:pPr>
      <w:r>
        <w:rPr>
          <w:rFonts w:hint="eastAsia"/>
        </w:rPr>
        <w:t>c）材料拌合不均导致墙体离析、夹泥或者强度不均；</w:t>
      </w:r>
    </w:p>
    <w:p w14:paraId="635A5985">
      <w:pPr>
        <w:pStyle w:val="56"/>
        <w:spacing w:line="360" w:lineRule="auto"/>
        <w:ind w:firstLine="420"/>
      </w:pPr>
      <w:r>
        <w:rPr>
          <w:rFonts w:hint="eastAsia"/>
        </w:rPr>
        <w:t>d）接头施工控制不当导致墙体不连续；</w:t>
      </w:r>
    </w:p>
    <w:p w14:paraId="1C291D3C">
      <w:pPr>
        <w:pStyle w:val="56"/>
        <w:spacing w:line="360" w:lineRule="auto"/>
        <w:ind w:firstLine="420"/>
      </w:pPr>
      <w:r>
        <w:rPr>
          <w:rFonts w:hint="eastAsia"/>
        </w:rPr>
        <w:t>e）材料收缩、泌水或者后期劣化导致防渗性能下降；</w:t>
      </w:r>
    </w:p>
    <w:p w14:paraId="4A6FA46D">
      <w:pPr>
        <w:pStyle w:val="56"/>
        <w:spacing w:line="360" w:lineRule="auto"/>
        <w:ind w:firstLine="420"/>
      </w:pPr>
      <w:r>
        <w:rPr>
          <w:rFonts w:hint="eastAsia"/>
        </w:rPr>
        <w:t>f）资料不完整导致质量不可追溯。</w:t>
      </w:r>
    </w:p>
    <w:p w14:paraId="0575B9F5">
      <w:pPr>
        <w:pStyle w:val="165"/>
        <w:spacing w:line="360" w:lineRule="auto"/>
      </w:pPr>
      <w:r>
        <w:rPr>
          <w:rFonts w:hint="eastAsia"/>
        </w:rPr>
        <w:t>对识别出的重大风险，应制定专项控制措施和应急处置措施。</w:t>
      </w:r>
    </w:p>
    <w:p w14:paraId="0934417E">
      <w:pPr>
        <w:pStyle w:val="165"/>
        <w:spacing w:line="360" w:lineRule="auto"/>
      </w:pPr>
      <w:r>
        <w:rPr>
          <w:rFonts w:hint="eastAsia"/>
        </w:rPr>
        <w:t>施工中发现绿色建材应用效果与试验验证结果明显不符时，应暂停相关施工，查明原因并采取措施后方可继续实施。</w:t>
      </w:r>
    </w:p>
    <w:p w14:paraId="72CB71C1">
      <w:pPr>
        <w:pStyle w:val="105"/>
        <w:spacing w:before="120" w:after="120" w:line="360" w:lineRule="auto"/>
      </w:pPr>
      <w:r>
        <w:rPr>
          <w:rFonts w:hint="eastAsia"/>
        </w:rPr>
        <w:t>追溯管理要求</w:t>
      </w:r>
    </w:p>
    <w:p w14:paraId="55A408D3">
      <w:pPr>
        <w:pStyle w:val="165"/>
        <w:spacing w:line="360" w:lineRule="auto"/>
      </w:pPr>
      <w:r>
        <w:rPr>
          <w:rFonts w:hint="eastAsia"/>
        </w:rPr>
        <w:t>绿色建材应用应实行全过程追溯管理。</w:t>
      </w:r>
    </w:p>
    <w:p w14:paraId="64C3BF32">
      <w:pPr>
        <w:pStyle w:val="165"/>
        <w:spacing w:line="360" w:lineRule="auto"/>
      </w:pPr>
      <w:r>
        <w:rPr>
          <w:rFonts w:hint="eastAsia"/>
        </w:rPr>
        <w:t>每批材料均应建立可追溯信息链，至少包括材料名称、规格型号、生产单位、批号、进场日期、检验状态、使用部位和检测结果。</w:t>
      </w:r>
    </w:p>
    <w:p w14:paraId="1B8ACC23">
      <w:pPr>
        <w:pStyle w:val="165"/>
        <w:spacing w:line="360" w:lineRule="auto"/>
      </w:pPr>
      <w:r>
        <w:rPr>
          <w:rFonts w:hint="eastAsia"/>
        </w:rPr>
        <w:t>每一墙段或者每一施工单元所使用的主要绿色建材，应能追溯至对应材料批次、配合比、施工记录和检验结果。</w:t>
      </w:r>
    </w:p>
    <w:p w14:paraId="6ACFD4CB">
      <w:pPr>
        <w:pStyle w:val="165"/>
        <w:spacing w:line="360" w:lineRule="auto"/>
      </w:pPr>
      <w:r>
        <w:rPr>
          <w:rFonts w:hint="eastAsia"/>
        </w:rPr>
        <w:t>材料标识、试验编号、施工编号、墙段编号和检测编号应相互对应；信息不一致时，不得进行下一步验收确认。</w:t>
      </w:r>
    </w:p>
    <w:p w14:paraId="335729CC">
      <w:pPr>
        <w:pStyle w:val="104"/>
        <w:spacing w:before="240" w:after="240" w:line="360" w:lineRule="auto"/>
      </w:pPr>
      <w:bookmarkStart w:id="52" w:name="_Toc228533592"/>
      <w:r>
        <w:rPr>
          <w:rFonts w:hint="eastAsia"/>
        </w:rPr>
        <w:t>绿色建材选用、进场验收与试验验证</w:t>
      </w:r>
      <w:bookmarkEnd w:id="52"/>
    </w:p>
    <w:p w14:paraId="61E42D8B">
      <w:pPr>
        <w:pStyle w:val="105"/>
        <w:spacing w:before="120" w:after="120" w:line="360" w:lineRule="auto"/>
      </w:pPr>
      <w:r>
        <w:rPr>
          <w:rFonts w:hint="eastAsia"/>
        </w:rPr>
        <w:t>一般规定</w:t>
      </w:r>
    </w:p>
    <w:p w14:paraId="5D89BD62">
      <w:pPr>
        <w:pStyle w:val="165"/>
        <w:spacing w:line="360" w:lineRule="auto"/>
      </w:pPr>
      <w:r>
        <w:rPr>
          <w:rFonts w:hint="eastAsia"/>
        </w:rPr>
        <w:t>绿色建材选用、进场验收和试验验证应作为基础截渗墙工程质量控制的前置环节。</w:t>
      </w:r>
    </w:p>
    <w:p w14:paraId="30E6366B">
      <w:pPr>
        <w:pStyle w:val="165"/>
        <w:spacing w:line="360" w:lineRule="auto"/>
      </w:pPr>
      <w:r>
        <w:rPr>
          <w:rFonts w:hint="eastAsia"/>
        </w:rPr>
        <w:t>未经选材论证、未经验收合格或者未经试验验证确认的绿色建材，不得用于正式工程施工。</w:t>
      </w:r>
    </w:p>
    <w:p w14:paraId="6385AFA4">
      <w:pPr>
        <w:pStyle w:val="165"/>
        <w:spacing w:line="360" w:lineRule="auto"/>
      </w:pPr>
      <w:r>
        <w:rPr>
          <w:rFonts w:hint="eastAsia"/>
        </w:rPr>
        <w:t>绿色建材选用应以工程功能要求和质量控制要求为依据，不得单纯以低成本、低碳标签或者资源化比例作为选用标准。</w:t>
      </w:r>
    </w:p>
    <w:p w14:paraId="6E51ABED">
      <w:pPr>
        <w:pStyle w:val="165"/>
        <w:spacing w:line="360" w:lineRule="auto"/>
      </w:pPr>
      <w:r>
        <w:rPr>
          <w:rFonts w:hint="eastAsia"/>
        </w:rPr>
        <w:t>绿色建材的主要控制环节及控制重点见表1。表1给出了绿色建材应用前期质量控制的主要环节和控制重点。</w:t>
      </w:r>
    </w:p>
    <w:p w14:paraId="2A62EE40">
      <w:pPr>
        <w:pStyle w:val="112"/>
        <w:spacing w:before="120" w:after="120" w:line="360" w:lineRule="auto"/>
      </w:pPr>
      <w:r>
        <w:rPr>
          <w:rFonts w:hint="eastAsia"/>
        </w:rPr>
        <w:t>绿色建材应用前期质量控制要点表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2551"/>
        <w:gridCol w:w="5375"/>
      </w:tblGrid>
      <w:tr w14:paraId="63080A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tcPr>
          <w:p w14:paraId="780C4B93">
            <w:pPr>
              <w:pStyle w:val="178"/>
            </w:pPr>
            <w:r>
              <w:rPr>
                <w:rFonts w:hint="eastAsia"/>
              </w:rPr>
              <w:t>控制环节</w:t>
            </w:r>
          </w:p>
        </w:tc>
        <w:tc>
          <w:tcPr>
            <w:tcW w:w="2551" w:type="dxa"/>
            <w:tcBorders>
              <w:top w:val="single" w:color="auto" w:sz="8" w:space="0"/>
              <w:bottom w:val="single" w:color="auto" w:sz="8" w:space="0"/>
            </w:tcBorders>
          </w:tcPr>
          <w:p w14:paraId="0ABC3C6B">
            <w:pPr>
              <w:pStyle w:val="178"/>
            </w:pPr>
            <w:r>
              <w:rPr>
                <w:rFonts w:hint="eastAsia"/>
              </w:rPr>
              <w:t>控制重点</w:t>
            </w:r>
          </w:p>
        </w:tc>
        <w:tc>
          <w:tcPr>
            <w:tcW w:w="5375" w:type="dxa"/>
            <w:tcBorders>
              <w:top w:val="single" w:color="auto" w:sz="8" w:space="0"/>
              <w:bottom w:val="single" w:color="auto" w:sz="8" w:space="0"/>
            </w:tcBorders>
          </w:tcPr>
          <w:p w14:paraId="72668BA4">
            <w:pPr>
              <w:pStyle w:val="178"/>
            </w:pPr>
            <w:r>
              <w:rPr>
                <w:rFonts w:hint="eastAsia"/>
              </w:rPr>
              <w:t>控制要求</w:t>
            </w:r>
          </w:p>
        </w:tc>
      </w:tr>
      <w:tr w14:paraId="5013AB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tcPr>
          <w:p w14:paraId="46808317">
            <w:pPr>
              <w:pStyle w:val="178"/>
            </w:pPr>
            <w:r>
              <w:rPr>
                <w:rFonts w:hint="eastAsia"/>
              </w:rPr>
              <w:t>材料选用</w:t>
            </w:r>
          </w:p>
        </w:tc>
        <w:tc>
          <w:tcPr>
            <w:tcW w:w="2551" w:type="dxa"/>
            <w:tcBorders>
              <w:top w:val="single" w:color="auto" w:sz="8" w:space="0"/>
            </w:tcBorders>
          </w:tcPr>
          <w:p w14:paraId="4B31F600">
            <w:pPr>
              <w:pStyle w:val="178"/>
            </w:pPr>
            <w:r>
              <w:rPr>
                <w:rFonts w:hint="eastAsia"/>
              </w:rPr>
              <w:t>工程适配性</w:t>
            </w:r>
          </w:p>
        </w:tc>
        <w:tc>
          <w:tcPr>
            <w:tcW w:w="5375" w:type="dxa"/>
            <w:tcBorders>
              <w:top w:val="single" w:color="auto" w:sz="8" w:space="0"/>
            </w:tcBorders>
          </w:tcPr>
          <w:p w14:paraId="56B74660">
            <w:pPr>
              <w:pStyle w:val="178"/>
            </w:pPr>
            <w:r>
              <w:rPr>
                <w:rFonts w:hint="eastAsia"/>
              </w:rPr>
              <w:t>应与地层条件、渗流条件、墙体型式和施工工艺相适应</w:t>
            </w:r>
          </w:p>
        </w:tc>
      </w:tr>
      <w:tr w14:paraId="1A9D3E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1DAE5E79">
            <w:pPr>
              <w:pStyle w:val="178"/>
            </w:pPr>
            <w:r>
              <w:rPr>
                <w:rFonts w:hint="eastAsia"/>
              </w:rPr>
              <w:t>材料选用</w:t>
            </w:r>
          </w:p>
        </w:tc>
        <w:tc>
          <w:tcPr>
            <w:tcW w:w="2551" w:type="dxa"/>
          </w:tcPr>
          <w:p w14:paraId="456B1223">
            <w:pPr>
              <w:pStyle w:val="178"/>
            </w:pPr>
            <w:r>
              <w:rPr>
                <w:rFonts w:hint="eastAsia"/>
              </w:rPr>
              <w:t>性能目标</w:t>
            </w:r>
          </w:p>
        </w:tc>
        <w:tc>
          <w:tcPr>
            <w:tcW w:w="5375" w:type="dxa"/>
          </w:tcPr>
          <w:p w14:paraId="37A39BD0">
            <w:pPr>
              <w:pStyle w:val="178"/>
            </w:pPr>
            <w:r>
              <w:rPr>
                <w:rFonts w:hint="eastAsia"/>
              </w:rPr>
              <w:t>应满足强度、渗透性、稳定性、和易性和耐久性要求</w:t>
            </w:r>
          </w:p>
        </w:tc>
      </w:tr>
      <w:tr w14:paraId="21CA34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1D82CA35">
            <w:pPr>
              <w:pStyle w:val="178"/>
            </w:pPr>
            <w:r>
              <w:rPr>
                <w:rFonts w:hint="eastAsia"/>
              </w:rPr>
              <w:t>进场验收</w:t>
            </w:r>
          </w:p>
        </w:tc>
        <w:tc>
          <w:tcPr>
            <w:tcW w:w="2551" w:type="dxa"/>
          </w:tcPr>
          <w:p w14:paraId="3D942620">
            <w:pPr>
              <w:pStyle w:val="178"/>
            </w:pPr>
            <w:r>
              <w:rPr>
                <w:rFonts w:hint="eastAsia"/>
              </w:rPr>
              <w:t>文件核查</w:t>
            </w:r>
          </w:p>
        </w:tc>
        <w:tc>
          <w:tcPr>
            <w:tcW w:w="5375" w:type="dxa"/>
          </w:tcPr>
          <w:p w14:paraId="77876F6A">
            <w:pPr>
              <w:pStyle w:val="178"/>
            </w:pPr>
            <w:r>
              <w:rPr>
                <w:rFonts w:hint="eastAsia"/>
              </w:rPr>
              <w:t>应核查质量证明文件、检测报告、批号和供货信息</w:t>
            </w:r>
          </w:p>
        </w:tc>
      </w:tr>
      <w:tr w14:paraId="6ADD21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655BBA36">
            <w:pPr>
              <w:pStyle w:val="178"/>
            </w:pPr>
            <w:r>
              <w:rPr>
                <w:rFonts w:hint="eastAsia"/>
              </w:rPr>
              <w:t>进场验收</w:t>
            </w:r>
          </w:p>
        </w:tc>
        <w:tc>
          <w:tcPr>
            <w:tcW w:w="2551" w:type="dxa"/>
          </w:tcPr>
          <w:p w14:paraId="0B0389FB">
            <w:pPr>
              <w:pStyle w:val="178"/>
            </w:pPr>
            <w:r>
              <w:rPr>
                <w:rFonts w:hint="eastAsia"/>
              </w:rPr>
              <w:t>实物检查</w:t>
            </w:r>
          </w:p>
        </w:tc>
        <w:tc>
          <w:tcPr>
            <w:tcW w:w="5375" w:type="dxa"/>
          </w:tcPr>
          <w:p w14:paraId="21D105ED">
            <w:pPr>
              <w:pStyle w:val="178"/>
            </w:pPr>
            <w:r>
              <w:rPr>
                <w:rFonts w:hint="eastAsia"/>
              </w:rPr>
              <w:t>应检查外观、包装、标识、数量和储存状态</w:t>
            </w:r>
          </w:p>
        </w:tc>
      </w:tr>
      <w:tr w14:paraId="6416A5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40507687">
            <w:pPr>
              <w:pStyle w:val="178"/>
            </w:pPr>
            <w:r>
              <w:rPr>
                <w:rFonts w:hint="eastAsia"/>
              </w:rPr>
              <w:t>进场验收</w:t>
            </w:r>
          </w:p>
        </w:tc>
        <w:tc>
          <w:tcPr>
            <w:tcW w:w="2551" w:type="dxa"/>
          </w:tcPr>
          <w:p w14:paraId="69DFE565">
            <w:pPr>
              <w:pStyle w:val="178"/>
            </w:pPr>
            <w:r>
              <w:rPr>
                <w:rFonts w:hint="eastAsia"/>
              </w:rPr>
              <w:t>抽样检测</w:t>
            </w:r>
          </w:p>
        </w:tc>
        <w:tc>
          <w:tcPr>
            <w:tcW w:w="5375" w:type="dxa"/>
          </w:tcPr>
          <w:p w14:paraId="4D70310D">
            <w:pPr>
              <w:pStyle w:val="178"/>
            </w:pPr>
            <w:r>
              <w:rPr>
                <w:rFonts w:hint="eastAsia"/>
              </w:rPr>
              <w:t>应按规定抽样复验关键性能指标</w:t>
            </w:r>
          </w:p>
        </w:tc>
      </w:tr>
      <w:tr w14:paraId="34DC4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53EB2584">
            <w:pPr>
              <w:pStyle w:val="178"/>
            </w:pPr>
            <w:r>
              <w:rPr>
                <w:rFonts w:hint="eastAsia"/>
              </w:rPr>
              <w:t>试验验证</w:t>
            </w:r>
          </w:p>
        </w:tc>
        <w:tc>
          <w:tcPr>
            <w:tcW w:w="2551" w:type="dxa"/>
          </w:tcPr>
          <w:p w14:paraId="7F0B18C8">
            <w:pPr>
              <w:pStyle w:val="178"/>
            </w:pPr>
            <w:r>
              <w:rPr>
                <w:rFonts w:hint="eastAsia"/>
              </w:rPr>
              <w:t>室内试验</w:t>
            </w:r>
          </w:p>
        </w:tc>
        <w:tc>
          <w:tcPr>
            <w:tcW w:w="5375" w:type="dxa"/>
          </w:tcPr>
          <w:p w14:paraId="67C2BD12">
            <w:pPr>
              <w:pStyle w:val="178"/>
            </w:pPr>
            <w:r>
              <w:rPr>
                <w:rFonts w:hint="eastAsia"/>
              </w:rPr>
              <w:t>应验证配合比、浆液性能、凝结特性和强度渗透性能</w:t>
            </w:r>
          </w:p>
        </w:tc>
      </w:tr>
      <w:tr w14:paraId="1E619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01430188">
            <w:pPr>
              <w:pStyle w:val="178"/>
            </w:pPr>
            <w:r>
              <w:rPr>
                <w:rFonts w:hint="eastAsia"/>
              </w:rPr>
              <w:t>试验验证</w:t>
            </w:r>
          </w:p>
        </w:tc>
        <w:tc>
          <w:tcPr>
            <w:tcW w:w="2551" w:type="dxa"/>
          </w:tcPr>
          <w:p w14:paraId="029E74BC">
            <w:pPr>
              <w:pStyle w:val="178"/>
            </w:pPr>
            <w:r>
              <w:rPr>
                <w:rFonts w:hint="eastAsia"/>
              </w:rPr>
              <w:t>现场试验</w:t>
            </w:r>
          </w:p>
        </w:tc>
        <w:tc>
          <w:tcPr>
            <w:tcW w:w="5375" w:type="dxa"/>
          </w:tcPr>
          <w:p w14:paraId="13F0F7DD">
            <w:pPr>
              <w:pStyle w:val="178"/>
            </w:pPr>
            <w:r>
              <w:rPr>
                <w:rFonts w:hint="eastAsia"/>
              </w:rPr>
              <w:t>应验证施工适应性、成槽匹配性和工艺可控性</w:t>
            </w:r>
          </w:p>
        </w:tc>
      </w:tr>
      <w:tr w14:paraId="363F42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Pr>
          <w:p w14:paraId="209111DE">
            <w:pPr>
              <w:pStyle w:val="178"/>
            </w:pPr>
            <w:r>
              <w:rPr>
                <w:rFonts w:hint="eastAsia"/>
              </w:rPr>
              <w:t>试验验证</w:t>
            </w:r>
          </w:p>
        </w:tc>
        <w:tc>
          <w:tcPr>
            <w:tcW w:w="2551" w:type="dxa"/>
          </w:tcPr>
          <w:p w14:paraId="78673425">
            <w:pPr>
              <w:pStyle w:val="178"/>
            </w:pPr>
            <w:r>
              <w:rPr>
                <w:rFonts w:hint="eastAsia"/>
              </w:rPr>
              <w:t>试验段</w:t>
            </w:r>
          </w:p>
        </w:tc>
        <w:tc>
          <w:tcPr>
            <w:tcW w:w="5375" w:type="dxa"/>
          </w:tcPr>
          <w:p w14:paraId="2A48645E">
            <w:pPr>
              <w:pStyle w:val="178"/>
            </w:pPr>
            <w:r>
              <w:rPr>
                <w:rFonts w:hint="eastAsia"/>
              </w:rPr>
              <w:t>应验证成墙连续性、均匀性和实际防渗效果</w:t>
            </w:r>
          </w:p>
        </w:tc>
      </w:tr>
    </w:tbl>
    <w:p w14:paraId="55E37335">
      <w:pPr>
        <w:pStyle w:val="105"/>
        <w:spacing w:before="120" w:after="120" w:line="360" w:lineRule="auto"/>
      </w:pPr>
      <w:r>
        <w:rPr>
          <w:rFonts w:hint="eastAsia"/>
        </w:rPr>
        <w:t>绿色建材选用</w:t>
      </w:r>
    </w:p>
    <w:p w14:paraId="2CD13CC1">
      <w:pPr>
        <w:pStyle w:val="65"/>
        <w:spacing w:before="120" w:after="120" w:line="360" w:lineRule="auto"/>
      </w:pPr>
      <w:r>
        <w:rPr>
          <w:rFonts w:hint="eastAsia"/>
        </w:rPr>
        <w:t>选用原则</w:t>
      </w:r>
    </w:p>
    <w:p w14:paraId="18054846">
      <w:pPr>
        <w:pStyle w:val="164"/>
        <w:spacing w:line="360" w:lineRule="auto"/>
      </w:pPr>
      <w:r>
        <w:rPr>
          <w:rFonts w:hint="eastAsia"/>
        </w:rPr>
        <w:t>绿色建材选用应满足工程设计、防渗控制、施工实施和耐久运行要求。</w:t>
      </w:r>
    </w:p>
    <w:p w14:paraId="62311E1A">
      <w:pPr>
        <w:pStyle w:val="164"/>
        <w:spacing w:line="360" w:lineRule="auto"/>
      </w:pPr>
      <w:r>
        <w:rPr>
          <w:rFonts w:hint="eastAsia"/>
        </w:rPr>
        <w:t>绿色建材选用应综合考虑下列因素：</w:t>
      </w:r>
    </w:p>
    <w:p w14:paraId="5AE2DEA8">
      <w:pPr>
        <w:pStyle w:val="56"/>
        <w:spacing w:line="360" w:lineRule="auto"/>
        <w:ind w:firstLine="420"/>
      </w:pPr>
      <w:r>
        <w:rPr>
          <w:rFonts w:hint="eastAsia"/>
        </w:rPr>
        <w:t>a）工程类别和基础截渗墙结构型式；</w:t>
      </w:r>
    </w:p>
    <w:p w14:paraId="4C84AC32">
      <w:pPr>
        <w:pStyle w:val="56"/>
        <w:spacing w:line="360" w:lineRule="auto"/>
        <w:ind w:firstLine="420"/>
      </w:pPr>
      <w:r>
        <w:rPr>
          <w:rFonts w:hint="eastAsia"/>
        </w:rPr>
        <w:t>b）地层类别、颗粒组成和透水性；</w:t>
      </w:r>
    </w:p>
    <w:p w14:paraId="18CED9DA">
      <w:pPr>
        <w:pStyle w:val="56"/>
        <w:spacing w:line="360" w:lineRule="auto"/>
        <w:ind w:firstLine="420"/>
      </w:pPr>
      <w:r>
        <w:rPr>
          <w:rFonts w:hint="eastAsia"/>
        </w:rPr>
        <w:t>c）地下水条件、渗透压力和水化学环境；</w:t>
      </w:r>
    </w:p>
    <w:p w14:paraId="528831F2">
      <w:pPr>
        <w:pStyle w:val="56"/>
        <w:spacing w:line="360" w:lineRule="auto"/>
        <w:ind w:firstLine="420"/>
      </w:pPr>
      <w:r>
        <w:rPr>
          <w:rFonts w:hint="eastAsia"/>
        </w:rPr>
        <w:t>d）成槽设备能力和施工工艺特点；</w:t>
      </w:r>
    </w:p>
    <w:p w14:paraId="4DF10221">
      <w:pPr>
        <w:pStyle w:val="56"/>
        <w:spacing w:line="360" w:lineRule="auto"/>
        <w:ind w:firstLine="420"/>
      </w:pPr>
      <w:r>
        <w:rPr>
          <w:rFonts w:hint="eastAsia"/>
        </w:rPr>
        <w:t>e）材料供应稳定性和批次一致性；</w:t>
      </w:r>
    </w:p>
    <w:p w14:paraId="31EB9770">
      <w:pPr>
        <w:pStyle w:val="56"/>
        <w:spacing w:line="360" w:lineRule="auto"/>
        <w:ind w:firstLine="420"/>
      </w:pPr>
      <w:r>
        <w:rPr>
          <w:rFonts w:hint="eastAsia"/>
        </w:rPr>
        <w:t>f）施工环境温度、湿度和季节条件；</w:t>
      </w:r>
    </w:p>
    <w:p w14:paraId="2BA22328">
      <w:pPr>
        <w:pStyle w:val="56"/>
        <w:spacing w:line="360" w:lineRule="auto"/>
        <w:ind w:firstLine="420"/>
      </w:pPr>
      <w:r>
        <w:rPr>
          <w:rFonts w:hint="eastAsia"/>
        </w:rPr>
        <w:t>g）后续检测、验收和运行维护要求。</w:t>
      </w:r>
    </w:p>
    <w:p w14:paraId="4E3F572B">
      <w:pPr>
        <w:pStyle w:val="164"/>
        <w:spacing w:line="360" w:lineRule="auto"/>
      </w:pPr>
      <w:r>
        <w:rPr>
          <w:rFonts w:hint="eastAsia"/>
        </w:rPr>
        <w:t>对塑性混凝土防渗墙、水泥土防渗墙和复合材料截渗墙，应分别确定与其相适应的绿色建材体系，不得混用不相容材料。</w:t>
      </w:r>
    </w:p>
    <w:p w14:paraId="31623A7B">
      <w:pPr>
        <w:pStyle w:val="164"/>
        <w:numPr>
          <w:ilvl w:val="0"/>
          <w:numId w:val="0"/>
        </w:numPr>
        <w:spacing w:line="360" w:lineRule="auto"/>
        <w:rPr>
          <w:rFonts w:hint="eastAsia"/>
        </w:rPr>
      </w:pPr>
    </w:p>
    <w:p w14:paraId="6BA8FDFC">
      <w:pPr>
        <w:pStyle w:val="65"/>
        <w:spacing w:before="120" w:after="120" w:line="360" w:lineRule="auto"/>
      </w:pPr>
      <w:r>
        <w:rPr>
          <w:rFonts w:hint="eastAsia"/>
        </w:rPr>
        <w:t>选用要求</w:t>
      </w:r>
    </w:p>
    <w:p w14:paraId="0EA8C5AE">
      <w:pPr>
        <w:pStyle w:val="164"/>
        <w:spacing w:line="360" w:lineRule="auto"/>
      </w:pPr>
      <w:r>
        <w:rPr>
          <w:rFonts w:hint="eastAsia"/>
        </w:rPr>
        <w:t>用于基础截渗墙的绿色胶凝材料，应具有稳定的凝结性能、拌合性能、浆液稳定性和硬化后工程性能。</w:t>
      </w:r>
    </w:p>
    <w:p w14:paraId="4FB77691">
      <w:pPr>
        <w:pStyle w:val="164"/>
        <w:spacing w:line="360" w:lineRule="auto"/>
      </w:pPr>
      <w:r>
        <w:rPr>
          <w:rFonts w:hint="eastAsia"/>
        </w:rPr>
        <w:t>工业固废基材料、矿物掺合料和再生利用材料用于墙体材料或者浆液材料时，应控制其活性、细度、含水率、有害物质含量和稳定性。</w:t>
      </w:r>
    </w:p>
    <w:p w14:paraId="2D53324C">
      <w:pPr>
        <w:pStyle w:val="164"/>
        <w:spacing w:line="360" w:lineRule="auto"/>
      </w:pPr>
      <w:r>
        <w:rPr>
          <w:rFonts w:hint="eastAsia"/>
        </w:rPr>
        <w:t>对使用再生细料、尾矿粉、粉煤灰、矿渣粉、脱硫石膏、钢渣粉等材料的，应重点评价其对浆液流动性、泌水率、稳定性、凝结时间、强度发展和抗渗性能的影响。</w:t>
      </w:r>
    </w:p>
    <w:p w14:paraId="59E09359">
      <w:pPr>
        <w:pStyle w:val="164"/>
        <w:spacing w:line="360" w:lineRule="auto"/>
      </w:pPr>
      <w:r>
        <w:rPr>
          <w:rFonts w:hint="eastAsia"/>
        </w:rPr>
        <w:t>对掺用外加剂、改性剂或者复合助剂的，应验证其与胶凝材料、膨润土、细骨料和地下水环境的相容性。</w:t>
      </w:r>
    </w:p>
    <w:p w14:paraId="637FAE69">
      <w:pPr>
        <w:pStyle w:val="164"/>
        <w:spacing w:line="360" w:lineRule="auto"/>
      </w:pPr>
      <w:r>
        <w:rPr>
          <w:rFonts w:hint="eastAsia"/>
        </w:rPr>
        <w:t>选用材料不得含有影响地下水环境、土体环境或者工程耐久性的有害成分；对可能释放有害物质的材料，应进行专项评价。</w:t>
      </w:r>
    </w:p>
    <w:p w14:paraId="6A597255">
      <w:pPr>
        <w:pStyle w:val="65"/>
        <w:spacing w:before="120" w:after="120" w:line="360" w:lineRule="auto"/>
      </w:pPr>
      <w:r>
        <w:rPr>
          <w:rFonts w:hint="eastAsia"/>
        </w:rPr>
        <w:t>禁止性要求</w:t>
      </w:r>
    </w:p>
    <w:p w14:paraId="5BF62CA5">
      <w:pPr>
        <w:pStyle w:val="164"/>
        <w:spacing w:line="360" w:lineRule="auto"/>
      </w:pPr>
      <w:r>
        <w:rPr>
          <w:rFonts w:hint="eastAsia"/>
        </w:rPr>
        <w:t>不得选用已经受潮、结块、变质、污染或者超过合理使用期限的绿色建材。</w:t>
      </w:r>
    </w:p>
    <w:p w14:paraId="55C056CA">
      <w:pPr>
        <w:pStyle w:val="164"/>
        <w:spacing w:line="360" w:lineRule="auto"/>
      </w:pPr>
      <w:r>
        <w:rPr>
          <w:rFonts w:hint="eastAsia"/>
        </w:rPr>
        <w:t>不得选用未经质量稳定性验证的临时拼配材料或者来源不稳定的混合材料。</w:t>
      </w:r>
    </w:p>
    <w:p w14:paraId="5DB8A6EE">
      <w:pPr>
        <w:pStyle w:val="164"/>
        <w:spacing w:line="360" w:lineRule="auto"/>
      </w:pPr>
      <w:r>
        <w:rPr>
          <w:rFonts w:hint="eastAsia"/>
        </w:rPr>
        <w:t>不得将未经处理且性能不可控的工业废弃物直接作为基础截渗墙主要材料使用。</w:t>
      </w:r>
    </w:p>
    <w:p w14:paraId="10D19140">
      <w:pPr>
        <w:pStyle w:val="105"/>
        <w:spacing w:before="120" w:after="120" w:line="360" w:lineRule="auto"/>
      </w:pPr>
      <w:r>
        <w:rPr>
          <w:rFonts w:hint="eastAsia"/>
        </w:rPr>
        <w:t>进场验收</w:t>
      </w:r>
    </w:p>
    <w:p w14:paraId="7370D347">
      <w:pPr>
        <w:pStyle w:val="65"/>
        <w:spacing w:before="120" w:after="120" w:line="360" w:lineRule="auto"/>
      </w:pPr>
      <w:r>
        <w:rPr>
          <w:rFonts w:hint="eastAsia"/>
        </w:rPr>
        <w:t>文件验收</w:t>
      </w:r>
    </w:p>
    <w:p w14:paraId="4FD0FBF9">
      <w:pPr>
        <w:pStyle w:val="164"/>
        <w:spacing w:line="360" w:lineRule="auto"/>
      </w:pPr>
      <w:r>
        <w:rPr>
          <w:rFonts w:hint="eastAsia"/>
        </w:rPr>
        <w:t>绿色建材进场时，应核查下列文件：</w:t>
      </w:r>
    </w:p>
    <w:p w14:paraId="3FA3FA1B">
      <w:pPr>
        <w:pStyle w:val="56"/>
        <w:spacing w:line="360" w:lineRule="auto"/>
        <w:ind w:firstLine="420"/>
      </w:pPr>
      <w:r>
        <w:rPr>
          <w:rFonts w:hint="eastAsia"/>
        </w:rPr>
        <w:t>a）产品合格证或者出厂质量证明文件；</w:t>
      </w:r>
    </w:p>
    <w:p w14:paraId="10BEBE3F">
      <w:pPr>
        <w:pStyle w:val="56"/>
        <w:spacing w:line="360" w:lineRule="auto"/>
        <w:ind w:firstLine="420"/>
      </w:pPr>
      <w:r>
        <w:rPr>
          <w:rFonts w:hint="eastAsia"/>
        </w:rPr>
        <w:t>b）生产批号、规格型号和生产日期信息；</w:t>
      </w:r>
    </w:p>
    <w:p w14:paraId="0095219A">
      <w:pPr>
        <w:pStyle w:val="56"/>
        <w:spacing w:line="360" w:lineRule="auto"/>
        <w:ind w:firstLine="420"/>
      </w:pPr>
      <w:r>
        <w:rPr>
          <w:rFonts w:hint="eastAsia"/>
        </w:rPr>
        <w:t>c）性能检测报告或者型式检验报告；</w:t>
      </w:r>
    </w:p>
    <w:p w14:paraId="7436B296">
      <w:pPr>
        <w:pStyle w:val="56"/>
        <w:spacing w:line="360" w:lineRule="auto"/>
        <w:ind w:firstLine="420"/>
      </w:pPr>
      <w:r>
        <w:rPr>
          <w:rFonts w:hint="eastAsia"/>
        </w:rPr>
        <w:t>d）绿色属性证明材料；</w:t>
      </w:r>
    </w:p>
    <w:p w14:paraId="716E13AF">
      <w:pPr>
        <w:pStyle w:val="56"/>
        <w:spacing w:line="360" w:lineRule="auto"/>
        <w:ind w:firstLine="420"/>
      </w:pPr>
      <w:r>
        <w:rPr>
          <w:rFonts w:hint="eastAsia"/>
        </w:rPr>
        <w:t>e）供货清单和运输单据；</w:t>
      </w:r>
    </w:p>
    <w:p w14:paraId="26ACB8E6">
      <w:pPr>
        <w:pStyle w:val="56"/>
        <w:spacing w:line="360" w:lineRule="auto"/>
        <w:ind w:firstLine="420"/>
      </w:pPr>
      <w:r>
        <w:rPr>
          <w:rFonts w:hint="eastAsia"/>
        </w:rPr>
        <w:t>f）必要时，环境安全性说明或者有害物质控制说明。</w:t>
      </w:r>
    </w:p>
    <w:p w14:paraId="25C1F32D">
      <w:pPr>
        <w:pStyle w:val="164"/>
        <w:spacing w:line="360" w:lineRule="auto"/>
      </w:pPr>
      <w:r>
        <w:rPr>
          <w:rFonts w:hint="eastAsia"/>
        </w:rPr>
        <w:t>文件不齐全、内容不一致或者与实物不符的，不得办理进场验收。</w:t>
      </w:r>
    </w:p>
    <w:p w14:paraId="76B9E7EF">
      <w:pPr>
        <w:pStyle w:val="164"/>
        <w:spacing w:line="360" w:lineRule="auto"/>
      </w:pPr>
      <w:r>
        <w:rPr>
          <w:rFonts w:hint="eastAsia"/>
        </w:rPr>
        <w:t>同一名称材料但来源不同、厂家不同、批号不同或者组成不同的，应分别验收、分别存放、分别标识。</w:t>
      </w:r>
    </w:p>
    <w:p w14:paraId="0965A055">
      <w:pPr>
        <w:pStyle w:val="65"/>
        <w:spacing w:before="120" w:after="120" w:line="360" w:lineRule="auto"/>
      </w:pPr>
      <w:r>
        <w:rPr>
          <w:rFonts w:hint="eastAsia"/>
        </w:rPr>
        <w:t>实物验收</w:t>
      </w:r>
    </w:p>
    <w:p w14:paraId="03F0CD11">
      <w:pPr>
        <w:pStyle w:val="164"/>
        <w:spacing w:line="360" w:lineRule="auto"/>
      </w:pPr>
      <w:r>
        <w:rPr>
          <w:rFonts w:hint="eastAsia"/>
        </w:rPr>
        <w:t>实物验收应包括外观质量、包装状态、标识信息、运输状态和储存条件检查。</w:t>
      </w:r>
    </w:p>
    <w:p w14:paraId="07597A7D">
      <w:pPr>
        <w:pStyle w:val="164"/>
        <w:spacing w:line="360" w:lineRule="auto"/>
      </w:pPr>
      <w:r>
        <w:rPr>
          <w:rFonts w:hint="eastAsia"/>
        </w:rPr>
        <w:t>袋装材料应检查包装完整性和受潮情况；散装材料应检查仓储状态、混仓风险和污染情况。</w:t>
      </w:r>
    </w:p>
    <w:p w14:paraId="794C4120">
      <w:pPr>
        <w:pStyle w:val="164"/>
        <w:spacing w:line="360" w:lineRule="auto"/>
      </w:pPr>
      <w:r>
        <w:rPr>
          <w:rFonts w:hint="eastAsia"/>
        </w:rPr>
        <w:t>液体材料、浆状材料或者外加剂类材料应检查容器密封状态、沉淀分层情况和有效期状态。</w:t>
      </w:r>
    </w:p>
    <w:p w14:paraId="1D50B6CD">
      <w:pPr>
        <w:pStyle w:val="164"/>
        <w:spacing w:line="360" w:lineRule="auto"/>
      </w:pPr>
      <w:r>
        <w:rPr>
          <w:rFonts w:hint="eastAsia"/>
        </w:rPr>
        <w:t>发现下列情形之一的，应判定为验收不合格：</w:t>
      </w:r>
    </w:p>
    <w:p w14:paraId="29E7F702">
      <w:pPr>
        <w:pStyle w:val="56"/>
        <w:spacing w:line="360" w:lineRule="auto"/>
        <w:ind w:firstLine="420"/>
      </w:pPr>
      <w:r>
        <w:rPr>
          <w:rFonts w:hint="eastAsia"/>
        </w:rPr>
        <w:t>a）标识缺失或者无法辨识；</w:t>
      </w:r>
    </w:p>
    <w:p w14:paraId="42FBDF51">
      <w:pPr>
        <w:pStyle w:val="56"/>
        <w:spacing w:line="360" w:lineRule="auto"/>
        <w:ind w:firstLine="420"/>
      </w:pPr>
      <w:r>
        <w:rPr>
          <w:rFonts w:hint="eastAsia"/>
        </w:rPr>
        <w:t>b）包装破损严重或者混入杂质；</w:t>
      </w:r>
    </w:p>
    <w:p w14:paraId="53B30D3A">
      <w:pPr>
        <w:pStyle w:val="56"/>
        <w:spacing w:line="360" w:lineRule="auto"/>
        <w:ind w:firstLine="420"/>
      </w:pPr>
      <w:r>
        <w:rPr>
          <w:rFonts w:hint="eastAsia"/>
        </w:rPr>
        <w:t>c）材料受潮结块、沉淀异常或者明显变质；</w:t>
      </w:r>
    </w:p>
    <w:p w14:paraId="170F4C01">
      <w:pPr>
        <w:pStyle w:val="56"/>
        <w:spacing w:line="360" w:lineRule="auto"/>
        <w:ind w:firstLine="420"/>
      </w:pPr>
      <w:r>
        <w:rPr>
          <w:rFonts w:hint="eastAsia"/>
        </w:rPr>
        <w:t>d）实际数量与供货信息差异明显且未经确认；</w:t>
      </w:r>
    </w:p>
    <w:p w14:paraId="5319E3FB">
      <w:pPr>
        <w:pStyle w:val="56"/>
        <w:spacing w:line="360" w:lineRule="auto"/>
        <w:ind w:firstLine="420"/>
      </w:pPr>
      <w:r>
        <w:rPr>
          <w:rFonts w:hint="eastAsia"/>
        </w:rPr>
        <w:t>e）储运过程造成性能可能失效。</w:t>
      </w:r>
    </w:p>
    <w:p w14:paraId="3289F2C4">
      <w:pPr>
        <w:pStyle w:val="65"/>
        <w:spacing w:before="120" w:after="120" w:line="360" w:lineRule="auto"/>
      </w:pPr>
      <w:r>
        <w:rPr>
          <w:rFonts w:hint="eastAsia"/>
        </w:rPr>
        <w:t>抽样复验</w:t>
      </w:r>
    </w:p>
    <w:p w14:paraId="523BAA03">
      <w:pPr>
        <w:pStyle w:val="164"/>
        <w:spacing w:line="360" w:lineRule="auto"/>
      </w:pPr>
      <w:r>
        <w:rPr>
          <w:rFonts w:hint="eastAsia"/>
        </w:rPr>
        <w:t>进场绿色建材应按规定进行抽样复验。</w:t>
      </w:r>
    </w:p>
    <w:p w14:paraId="5C5F89DB">
      <w:pPr>
        <w:pStyle w:val="164"/>
        <w:spacing w:line="360" w:lineRule="auto"/>
      </w:pPr>
      <w:r>
        <w:rPr>
          <w:rFonts w:hint="eastAsia"/>
        </w:rPr>
        <w:t>抽样应具有代表性；抽样方法、样品数量和送检要求应符合相应标准和工程要求。</w:t>
      </w:r>
    </w:p>
    <w:p w14:paraId="08E3833B">
      <w:pPr>
        <w:pStyle w:val="164"/>
        <w:spacing w:line="360" w:lineRule="auto"/>
      </w:pPr>
      <w:r>
        <w:rPr>
          <w:rFonts w:hint="eastAsia"/>
        </w:rPr>
        <w:t>进场复验项目应根据材料类型确定，宜包括下列内容：</w:t>
      </w:r>
    </w:p>
    <w:p w14:paraId="390E4D51">
      <w:pPr>
        <w:pStyle w:val="56"/>
        <w:spacing w:line="360" w:lineRule="auto"/>
        <w:ind w:firstLine="420"/>
      </w:pPr>
      <w:r>
        <w:rPr>
          <w:rFonts w:hint="eastAsia"/>
        </w:rPr>
        <w:t>a）胶凝材料：强度等级、细度、安定性、凝结时间等；</w:t>
      </w:r>
    </w:p>
    <w:p w14:paraId="74B8F7EA">
      <w:pPr>
        <w:pStyle w:val="56"/>
        <w:spacing w:line="360" w:lineRule="auto"/>
        <w:ind w:firstLine="420"/>
      </w:pPr>
      <w:r>
        <w:rPr>
          <w:rFonts w:hint="eastAsia"/>
        </w:rPr>
        <w:t>b）矿物掺合料：活性、细度、烧失量、含水率等；</w:t>
      </w:r>
    </w:p>
    <w:p w14:paraId="770BB488">
      <w:pPr>
        <w:pStyle w:val="56"/>
        <w:spacing w:line="360" w:lineRule="auto"/>
        <w:ind w:firstLine="420"/>
      </w:pPr>
      <w:r>
        <w:rPr>
          <w:rFonts w:hint="eastAsia"/>
        </w:rPr>
        <w:t>c）膨润土类材料：膨胀性、造浆率、失水量和黏度等；</w:t>
      </w:r>
    </w:p>
    <w:p w14:paraId="1719AE3C">
      <w:pPr>
        <w:pStyle w:val="56"/>
        <w:spacing w:line="360" w:lineRule="auto"/>
        <w:ind w:firstLine="420"/>
      </w:pPr>
      <w:r>
        <w:rPr>
          <w:rFonts w:hint="eastAsia"/>
        </w:rPr>
        <w:t>d）再生细料或者粉体材料：颗粒级配、细度模数、含泥量、含水率和杂质含量等；</w:t>
      </w:r>
    </w:p>
    <w:p w14:paraId="5273495A">
      <w:pPr>
        <w:pStyle w:val="56"/>
        <w:spacing w:line="360" w:lineRule="auto"/>
        <w:ind w:firstLine="420"/>
      </w:pPr>
      <w:r>
        <w:rPr>
          <w:rFonts w:hint="eastAsia"/>
        </w:rPr>
        <w:t>e）外加剂：减水性、稳定性、含固量、pH值或者其他关键性能。</w:t>
      </w:r>
    </w:p>
    <w:p w14:paraId="2EA61402">
      <w:pPr>
        <w:pStyle w:val="164"/>
        <w:spacing w:line="360" w:lineRule="auto"/>
      </w:pPr>
      <w:r>
        <w:rPr>
          <w:rFonts w:hint="eastAsia"/>
        </w:rPr>
        <w:t>抽样复验结果不合格的材料，不得投入使用；经复验仍不合格的，应清退出场。</w:t>
      </w:r>
    </w:p>
    <w:p w14:paraId="0BCE0D51">
      <w:pPr>
        <w:pStyle w:val="65"/>
        <w:spacing w:before="120" w:after="120" w:line="360" w:lineRule="auto"/>
      </w:pPr>
      <w:r>
        <w:rPr>
          <w:rFonts w:hint="eastAsia"/>
        </w:rPr>
        <w:t>储存与标识</w:t>
      </w:r>
    </w:p>
    <w:p w14:paraId="3B181A0E">
      <w:pPr>
        <w:pStyle w:val="164"/>
        <w:spacing w:line="360" w:lineRule="auto"/>
      </w:pPr>
      <w:r>
        <w:rPr>
          <w:rFonts w:hint="eastAsia"/>
        </w:rPr>
        <w:t>绿色建材经验收合格后，应分类堆放、分区储存并设置清晰标识。</w:t>
      </w:r>
    </w:p>
    <w:p w14:paraId="3E13307F">
      <w:pPr>
        <w:pStyle w:val="164"/>
        <w:spacing w:line="360" w:lineRule="auto"/>
      </w:pPr>
      <w:r>
        <w:rPr>
          <w:rFonts w:hint="eastAsia"/>
        </w:rPr>
        <w:t>不同品种、不同批次和不同状态材料不得混堆、混仓和混用。</w:t>
      </w:r>
    </w:p>
    <w:p w14:paraId="663B11AF">
      <w:pPr>
        <w:pStyle w:val="164"/>
        <w:spacing w:line="360" w:lineRule="auto"/>
      </w:pPr>
      <w:r>
        <w:rPr>
          <w:rFonts w:hint="eastAsia"/>
        </w:rPr>
        <w:t>对易受潮、易挥发、易沉淀、易污染或者对温度敏感的材料，应采取专门储存措施。</w:t>
      </w:r>
    </w:p>
    <w:p w14:paraId="5663E4BE">
      <w:pPr>
        <w:pStyle w:val="164"/>
        <w:spacing w:line="360" w:lineRule="auto"/>
      </w:pPr>
      <w:r>
        <w:rPr>
          <w:rFonts w:hint="eastAsia"/>
        </w:rPr>
        <w:t>现场材料标识应至少包括材料名称、规格型号、生产厂家、批号、进场日期、检验状态和用途。</w:t>
      </w:r>
    </w:p>
    <w:p w14:paraId="797D9CF4">
      <w:pPr>
        <w:pStyle w:val="105"/>
        <w:spacing w:before="120" w:after="120" w:line="360" w:lineRule="auto"/>
      </w:pPr>
      <w:r>
        <w:rPr>
          <w:rFonts w:hint="eastAsia"/>
        </w:rPr>
        <w:t>试验验证</w:t>
      </w:r>
    </w:p>
    <w:p w14:paraId="4D9FD81F">
      <w:pPr>
        <w:pStyle w:val="65"/>
        <w:spacing w:before="120" w:after="120" w:line="360" w:lineRule="auto"/>
      </w:pPr>
      <w:r>
        <w:rPr>
          <w:rFonts w:hint="eastAsia"/>
        </w:rPr>
        <w:t>一般要求</w:t>
      </w:r>
    </w:p>
    <w:p w14:paraId="25137F92">
      <w:pPr>
        <w:pStyle w:val="164"/>
        <w:spacing w:line="360" w:lineRule="auto"/>
      </w:pPr>
      <w:r>
        <w:rPr>
          <w:rFonts w:hint="eastAsia"/>
        </w:rPr>
        <w:t>绿色建材正式应用前，应开展试验验证。</w:t>
      </w:r>
    </w:p>
    <w:p w14:paraId="5BA5CA05">
      <w:pPr>
        <w:pStyle w:val="164"/>
        <w:spacing w:line="360" w:lineRule="auto"/>
      </w:pPr>
      <w:r>
        <w:rPr>
          <w:rFonts w:hint="eastAsia"/>
        </w:rPr>
        <w:t>试验验证应包括室内试验、现场试拌、工艺试验和必要的试验段施工。</w:t>
      </w:r>
    </w:p>
    <w:p w14:paraId="0622A1CF">
      <w:pPr>
        <w:pStyle w:val="164"/>
        <w:spacing w:line="360" w:lineRule="auto"/>
      </w:pPr>
      <w:r>
        <w:rPr>
          <w:rFonts w:hint="eastAsia"/>
        </w:rPr>
        <w:t>试验验证应围绕材料适用性、配合比合理性、施工可实施性和成墙质量可控性开展。</w:t>
      </w:r>
    </w:p>
    <w:p w14:paraId="79014F87">
      <w:pPr>
        <w:pStyle w:val="164"/>
        <w:spacing w:line="360" w:lineRule="auto"/>
      </w:pPr>
      <w:r>
        <w:rPr>
          <w:rFonts w:hint="eastAsia"/>
        </w:rPr>
        <w:t>未完成试验验证或者验证结论不能证明满足工程要求的，不得投入正式施工。</w:t>
      </w:r>
    </w:p>
    <w:p w14:paraId="4CB5561F">
      <w:pPr>
        <w:pStyle w:val="65"/>
        <w:spacing w:before="120" w:after="120" w:line="360" w:lineRule="auto"/>
      </w:pPr>
      <w:r>
        <w:rPr>
          <w:rFonts w:hint="eastAsia"/>
        </w:rPr>
        <w:t>室内试验验证</w:t>
      </w:r>
    </w:p>
    <w:p w14:paraId="4C33167D">
      <w:pPr>
        <w:pStyle w:val="164"/>
        <w:spacing w:line="360" w:lineRule="auto"/>
      </w:pPr>
      <w:r>
        <w:rPr>
          <w:rFonts w:hint="eastAsia"/>
        </w:rPr>
        <w:t>室内试验应根据墙体型式和材料体系确定验证指标。</w:t>
      </w:r>
    </w:p>
    <w:p w14:paraId="1E520A08">
      <w:pPr>
        <w:pStyle w:val="164"/>
        <w:spacing w:line="360" w:lineRule="auto"/>
      </w:pPr>
      <w:r>
        <w:rPr>
          <w:rFonts w:hint="eastAsia"/>
        </w:rPr>
        <w:t>室内试验宜包括下列内容：</w:t>
      </w:r>
    </w:p>
    <w:p w14:paraId="4C826F37">
      <w:pPr>
        <w:pStyle w:val="56"/>
        <w:spacing w:line="360" w:lineRule="auto"/>
        <w:ind w:firstLine="420"/>
      </w:pPr>
      <w:r>
        <w:rPr>
          <w:rFonts w:hint="eastAsia"/>
        </w:rPr>
        <w:t>a）浆液密度、黏度、流动度和泌水率；</w:t>
      </w:r>
    </w:p>
    <w:p w14:paraId="42F15FCE">
      <w:pPr>
        <w:pStyle w:val="56"/>
        <w:spacing w:line="360" w:lineRule="auto"/>
        <w:ind w:firstLine="420"/>
      </w:pPr>
      <w:r>
        <w:rPr>
          <w:rFonts w:hint="eastAsia"/>
        </w:rPr>
        <w:t>b）凝结时间和稳定性；</w:t>
      </w:r>
    </w:p>
    <w:p w14:paraId="40F53EF9">
      <w:pPr>
        <w:pStyle w:val="56"/>
        <w:spacing w:line="360" w:lineRule="auto"/>
        <w:ind w:firstLine="420"/>
      </w:pPr>
      <w:r>
        <w:rPr>
          <w:rFonts w:hint="eastAsia"/>
        </w:rPr>
        <w:t>c）试件抗压强度、抗折强度或者其他强度指标；</w:t>
      </w:r>
    </w:p>
    <w:p w14:paraId="1B7DA7D5">
      <w:pPr>
        <w:pStyle w:val="56"/>
        <w:spacing w:line="360" w:lineRule="auto"/>
        <w:ind w:firstLine="420"/>
      </w:pPr>
      <w:r>
        <w:rPr>
          <w:rFonts w:hint="eastAsia"/>
        </w:rPr>
        <w:t>d）渗透系数或者抗渗性能；</w:t>
      </w:r>
    </w:p>
    <w:p w14:paraId="3E9C53E5">
      <w:pPr>
        <w:pStyle w:val="56"/>
        <w:spacing w:line="360" w:lineRule="auto"/>
        <w:ind w:firstLine="420"/>
      </w:pPr>
      <w:r>
        <w:rPr>
          <w:rFonts w:hint="eastAsia"/>
        </w:rPr>
        <w:t>e）收缩性、耐水性和必要的耐久性能；</w:t>
      </w:r>
    </w:p>
    <w:p w14:paraId="580BE742">
      <w:pPr>
        <w:pStyle w:val="56"/>
        <w:spacing w:line="360" w:lineRule="auto"/>
        <w:ind w:firstLine="420"/>
      </w:pPr>
      <w:r>
        <w:rPr>
          <w:rFonts w:hint="eastAsia"/>
        </w:rPr>
        <w:t>f）材料相容性和批次稳定性。</w:t>
      </w:r>
    </w:p>
    <w:p w14:paraId="1A9BDAD8">
      <w:pPr>
        <w:pStyle w:val="164"/>
        <w:spacing w:line="360" w:lineRule="auto"/>
      </w:pPr>
      <w:r>
        <w:rPr>
          <w:rFonts w:hint="eastAsia"/>
        </w:rPr>
        <w:t>试验配合比应覆盖设计目标值及其合理调整区间，不得仅以单组数据作为正式应用依据。</w:t>
      </w:r>
    </w:p>
    <w:p w14:paraId="4837EC20">
      <w:pPr>
        <w:pStyle w:val="164"/>
        <w:spacing w:line="360" w:lineRule="auto"/>
      </w:pPr>
      <w:r>
        <w:rPr>
          <w:rFonts w:hint="eastAsia"/>
        </w:rPr>
        <w:t>对含多种工业副产物或者再生材料的复合体系，应增加波动性验证。</w:t>
      </w:r>
    </w:p>
    <w:p w14:paraId="204F4239">
      <w:pPr>
        <w:pStyle w:val="65"/>
        <w:spacing w:before="120" w:after="120" w:line="360" w:lineRule="auto"/>
      </w:pPr>
      <w:r>
        <w:rPr>
          <w:rFonts w:hint="eastAsia"/>
        </w:rPr>
        <w:t>现场试拌与工艺试验</w:t>
      </w:r>
    </w:p>
    <w:p w14:paraId="3C5B2D90">
      <w:pPr>
        <w:pStyle w:val="164"/>
        <w:spacing w:line="360" w:lineRule="auto"/>
      </w:pPr>
      <w:r>
        <w:rPr>
          <w:rFonts w:hint="eastAsia"/>
        </w:rPr>
        <w:t>室内验证合格后，应进行现场试拌或者工艺试验。</w:t>
      </w:r>
    </w:p>
    <w:p w14:paraId="567EF9F5">
      <w:pPr>
        <w:pStyle w:val="164"/>
        <w:spacing w:line="360" w:lineRule="auto"/>
      </w:pPr>
      <w:r>
        <w:rPr>
          <w:rFonts w:hint="eastAsia"/>
        </w:rPr>
        <w:t>现场试拌应重点验证下列内容：</w:t>
      </w:r>
    </w:p>
    <w:p w14:paraId="4800E559">
      <w:pPr>
        <w:pStyle w:val="56"/>
        <w:spacing w:line="360" w:lineRule="auto"/>
        <w:ind w:firstLine="420"/>
      </w:pPr>
      <w:r>
        <w:rPr>
          <w:rFonts w:hint="eastAsia"/>
        </w:rPr>
        <w:t>a）实际拌合设备适应性；</w:t>
      </w:r>
    </w:p>
    <w:p w14:paraId="656B6BF5">
      <w:pPr>
        <w:pStyle w:val="56"/>
        <w:spacing w:line="360" w:lineRule="auto"/>
        <w:ind w:firstLine="420"/>
      </w:pPr>
      <w:r>
        <w:rPr>
          <w:rFonts w:hint="eastAsia"/>
        </w:rPr>
        <w:t>b）材料投料顺序和投料误差控制；</w:t>
      </w:r>
    </w:p>
    <w:p w14:paraId="65199408">
      <w:pPr>
        <w:pStyle w:val="56"/>
        <w:spacing w:line="360" w:lineRule="auto"/>
        <w:ind w:firstLine="420"/>
      </w:pPr>
      <w:r>
        <w:rPr>
          <w:rFonts w:hint="eastAsia"/>
        </w:rPr>
        <w:t>c）拌合时间和均匀性；</w:t>
      </w:r>
    </w:p>
    <w:p w14:paraId="2150E4AE">
      <w:pPr>
        <w:pStyle w:val="56"/>
        <w:spacing w:line="360" w:lineRule="auto"/>
        <w:ind w:firstLine="420"/>
      </w:pPr>
      <w:r>
        <w:rPr>
          <w:rFonts w:hint="eastAsia"/>
        </w:rPr>
        <w:t>d）浆液流动性、稳定性和可泵性；</w:t>
      </w:r>
    </w:p>
    <w:p w14:paraId="4509AD2B">
      <w:pPr>
        <w:pStyle w:val="56"/>
        <w:spacing w:line="360" w:lineRule="auto"/>
        <w:ind w:firstLine="420"/>
      </w:pPr>
      <w:r>
        <w:rPr>
          <w:rFonts w:hint="eastAsia"/>
        </w:rPr>
        <w:t>e）施工时效性和连续作业适配性。</w:t>
      </w:r>
    </w:p>
    <w:p w14:paraId="3A74F5F6">
      <w:pPr>
        <w:pStyle w:val="164"/>
        <w:spacing w:line="360" w:lineRule="auto"/>
      </w:pPr>
      <w:r>
        <w:rPr>
          <w:rFonts w:hint="eastAsia"/>
        </w:rPr>
        <w:t>工艺试验应重点验证下列内容：</w:t>
      </w:r>
    </w:p>
    <w:p w14:paraId="298CFEF2">
      <w:pPr>
        <w:pStyle w:val="56"/>
        <w:spacing w:line="360" w:lineRule="auto"/>
        <w:ind w:firstLine="420"/>
      </w:pPr>
      <w:r>
        <w:rPr>
          <w:rFonts w:hint="eastAsia"/>
        </w:rPr>
        <w:t>a）成槽过程中泥浆与墙体材料体系的匹配性；</w:t>
      </w:r>
    </w:p>
    <w:p w14:paraId="211D43FC">
      <w:pPr>
        <w:pStyle w:val="56"/>
        <w:spacing w:line="360" w:lineRule="auto"/>
        <w:ind w:firstLine="420"/>
      </w:pPr>
      <w:r>
        <w:rPr>
          <w:rFonts w:hint="eastAsia"/>
        </w:rPr>
        <w:t>b）清槽效果；</w:t>
      </w:r>
    </w:p>
    <w:p w14:paraId="7AC5EB9E">
      <w:pPr>
        <w:pStyle w:val="56"/>
        <w:spacing w:line="360" w:lineRule="auto"/>
        <w:ind w:firstLine="420"/>
      </w:pPr>
      <w:r>
        <w:rPr>
          <w:rFonts w:hint="eastAsia"/>
        </w:rPr>
        <w:t>c）导管灌注、置换和连续浇筑可控性；</w:t>
      </w:r>
    </w:p>
    <w:p w14:paraId="15ECFAC5">
      <w:pPr>
        <w:pStyle w:val="56"/>
        <w:spacing w:line="360" w:lineRule="auto"/>
        <w:ind w:firstLine="420"/>
      </w:pPr>
      <w:r>
        <w:rPr>
          <w:rFonts w:hint="eastAsia"/>
        </w:rPr>
        <w:t>d）接头衔接质量；</w:t>
      </w:r>
    </w:p>
    <w:p w14:paraId="67FDAFAC">
      <w:pPr>
        <w:pStyle w:val="56"/>
        <w:spacing w:line="360" w:lineRule="auto"/>
        <w:ind w:firstLine="420"/>
      </w:pPr>
      <w:r>
        <w:rPr>
          <w:rFonts w:hint="eastAsia"/>
        </w:rPr>
        <w:t>e）施工参数对成墙质量的影响。</w:t>
      </w:r>
    </w:p>
    <w:p w14:paraId="38F47E47">
      <w:pPr>
        <w:pStyle w:val="65"/>
        <w:spacing w:before="120" w:after="120" w:line="360" w:lineRule="auto"/>
      </w:pPr>
      <w:r>
        <w:rPr>
          <w:rFonts w:hint="eastAsia"/>
        </w:rPr>
        <w:t>试验段施工验证</w:t>
      </w:r>
    </w:p>
    <w:p w14:paraId="283026EF">
      <w:pPr>
        <w:pStyle w:val="164"/>
        <w:spacing w:line="360" w:lineRule="auto"/>
      </w:pPr>
      <w:r>
        <w:rPr>
          <w:rFonts w:hint="eastAsia"/>
        </w:rPr>
        <w:t>对下列情形之一，应设置试验段：</w:t>
      </w:r>
    </w:p>
    <w:p w14:paraId="685A7296">
      <w:pPr>
        <w:pStyle w:val="56"/>
        <w:spacing w:line="360" w:lineRule="auto"/>
        <w:ind w:firstLine="420"/>
      </w:pPr>
      <w:r>
        <w:rPr>
          <w:rFonts w:hint="eastAsia"/>
        </w:rPr>
        <w:t>a）首次采用的新型绿色建材体系；</w:t>
      </w:r>
    </w:p>
    <w:p w14:paraId="70EAD1F6">
      <w:pPr>
        <w:pStyle w:val="56"/>
        <w:spacing w:line="360" w:lineRule="auto"/>
        <w:ind w:firstLine="420"/>
      </w:pPr>
      <w:r>
        <w:rPr>
          <w:rFonts w:hint="eastAsia"/>
        </w:rPr>
        <w:t>b）主要原材料组成变化较大的复合体系；</w:t>
      </w:r>
    </w:p>
    <w:p w14:paraId="7B85B2AA">
      <w:pPr>
        <w:pStyle w:val="56"/>
        <w:spacing w:line="360" w:lineRule="auto"/>
        <w:ind w:firstLine="420"/>
      </w:pPr>
      <w:r>
        <w:rPr>
          <w:rFonts w:hint="eastAsia"/>
        </w:rPr>
        <w:t>c）工程地层复杂或者施工风险较高；</w:t>
      </w:r>
    </w:p>
    <w:p w14:paraId="25A76911">
      <w:pPr>
        <w:pStyle w:val="56"/>
        <w:spacing w:line="360" w:lineRule="auto"/>
        <w:ind w:firstLine="420"/>
      </w:pPr>
      <w:r>
        <w:rPr>
          <w:rFonts w:hint="eastAsia"/>
        </w:rPr>
        <w:t>d）设计或者建设单位有明确要求。</w:t>
      </w:r>
    </w:p>
    <w:p w14:paraId="346D3BEB">
      <w:pPr>
        <w:pStyle w:val="164"/>
        <w:spacing w:line="360" w:lineRule="auto"/>
      </w:pPr>
      <w:r>
        <w:rPr>
          <w:rFonts w:hint="eastAsia"/>
        </w:rPr>
        <w:t>试验段应具有代表性，能够反映正式施工条件。</w:t>
      </w:r>
    </w:p>
    <w:p w14:paraId="6DA0749C">
      <w:pPr>
        <w:pStyle w:val="164"/>
        <w:spacing w:line="360" w:lineRule="auto"/>
      </w:pPr>
      <w:r>
        <w:rPr>
          <w:rFonts w:hint="eastAsia"/>
        </w:rPr>
        <w:t>试验段验证内容宜包括：</w:t>
      </w:r>
    </w:p>
    <w:p w14:paraId="1E910BB6">
      <w:pPr>
        <w:pStyle w:val="56"/>
        <w:spacing w:line="360" w:lineRule="auto"/>
        <w:ind w:firstLine="420"/>
      </w:pPr>
      <w:r>
        <w:rPr>
          <w:rFonts w:hint="eastAsia"/>
        </w:rPr>
        <w:t>a）槽壁稳定性；</w:t>
      </w:r>
    </w:p>
    <w:p w14:paraId="3D7B1118">
      <w:pPr>
        <w:pStyle w:val="56"/>
        <w:spacing w:line="360" w:lineRule="auto"/>
        <w:ind w:firstLine="420"/>
      </w:pPr>
      <w:r>
        <w:rPr>
          <w:rFonts w:hint="eastAsia"/>
        </w:rPr>
        <w:t>b）浆液制备与浇筑连续性；</w:t>
      </w:r>
    </w:p>
    <w:p w14:paraId="354BA69A">
      <w:pPr>
        <w:pStyle w:val="56"/>
        <w:spacing w:line="360" w:lineRule="auto"/>
        <w:ind w:firstLine="420"/>
      </w:pPr>
      <w:r>
        <w:rPr>
          <w:rFonts w:hint="eastAsia"/>
        </w:rPr>
        <w:t>c）墙体成型质量；</w:t>
      </w:r>
    </w:p>
    <w:p w14:paraId="32433677">
      <w:pPr>
        <w:pStyle w:val="56"/>
        <w:spacing w:line="360" w:lineRule="auto"/>
        <w:ind w:firstLine="420"/>
      </w:pPr>
      <w:r>
        <w:rPr>
          <w:rFonts w:hint="eastAsia"/>
        </w:rPr>
        <w:t>d）墙体强度和渗透性能；</w:t>
      </w:r>
    </w:p>
    <w:p w14:paraId="578D48DF">
      <w:pPr>
        <w:pStyle w:val="56"/>
        <w:spacing w:line="360" w:lineRule="auto"/>
        <w:ind w:firstLine="420"/>
      </w:pPr>
      <w:r>
        <w:rPr>
          <w:rFonts w:hint="eastAsia"/>
        </w:rPr>
        <w:t>e）接头质量和墙段连续性；</w:t>
      </w:r>
    </w:p>
    <w:p w14:paraId="721EF8E0">
      <w:pPr>
        <w:pStyle w:val="56"/>
        <w:spacing w:line="360" w:lineRule="auto"/>
        <w:ind w:firstLine="420"/>
      </w:pPr>
      <w:r>
        <w:rPr>
          <w:rFonts w:hint="eastAsia"/>
        </w:rPr>
        <w:t>f）施工记录和质量追溯链条完整性。</w:t>
      </w:r>
    </w:p>
    <w:p w14:paraId="62899545">
      <w:pPr>
        <w:pStyle w:val="164"/>
        <w:spacing w:line="360" w:lineRule="auto"/>
      </w:pPr>
      <w:r>
        <w:rPr>
          <w:rFonts w:hint="eastAsia"/>
        </w:rPr>
        <w:t>试验段合格后，方可进行正式施工；试验段不合格时，应分析原因，调整材料体系、配合比或者工艺参数，并重新验证。</w:t>
      </w:r>
    </w:p>
    <w:p w14:paraId="00F6951F">
      <w:pPr>
        <w:pStyle w:val="105"/>
        <w:spacing w:before="120" w:after="120" w:line="360" w:lineRule="auto"/>
      </w:pPr>
      <w:r>
        <w:rPr>
          <w:rFonts w:hint="eastAsia"/>
        </w:rPr>
        <w:t>配合比初步确定</w:t>
      </w:r>
    </w:p>
    <w:p w14:paraId="79399AD3">
      <w:pPr>
        <w:pStyle w:val="165"/>
        <w:spacing w:line="360" w:lineRule="auto"/>
      </w:pPr>
      <w:r>
        <w:rPr>
          <w:rFonts w:hint="eastAsia"/>
        </w:rPr>
        <w:t>绿色建材体系经试验验证后，应形成正式施工前的推荐配合比。</w:t>
      </w:r>
    </w:p>
    <w:p w14:paraId="35655BF6">
      <w:pPr>
        <w:pStyle w:val="165"/>
        <w:spacing w:line="360" w:lineRule="auto"/>
      </w:pPr>
      <w:r>
        <w:rPr>
          <w:rFonts w:hint="eastAsia"/>
        </w:rPr>
        <w:t>配合比确定应以满足下列要求为依据：</w:t>
      </w:r>
    </w:p>
    <w:p w14:paraId="40DA632F">
      <w:pPr>
        <w:pStyle w:val="56"/>
        <w:spacing w:line="360" w:lineRule="auto"/>
        <w:ind w:firstLine="420"/>
      </w:pPr>
      <w:r>
        <w:rPr>
          <w:rFonts w:hint="eastAsia"/>
        </w:rPr>
        <w:t>a）墙体设计强度要求；</w:t>
      </w:r>
    </w:p>
    <w:p w14:paraId="151BEBCD">
      <w:pPr>
        <w:pStyle w:val="56"/>
        <w:spacing w:line="360" w:lineRule="auto"/>
        <w:ind w:firstLine="420"/>
      </w:pPr>
      <w:r>
        <w:rPr>
          <w:rFonts w:hint="eastAsia"/>
        </w:rPr>
        <w:t>b）防渗性能要求；</w:t>
      </w:r>
    </w:p>
    <w:p w14:paraId="6B31D643">
      <w:pPr>
        <w:pStyle w:val="56"/>
        <w:spacing w:line="360" w:lineRule="auto"/>
        <w:ind w:firstLine="420"/>
      </w:pPr>
      <w:r>
        <w:rPr>
          <w:rFonts w:hint="eastAsia"/>
        </w:rPr>
        <w:t>c）施工和易性和连续浇筑要求；</w:t>
      </w:r>
    </w:p>
    <w:p w14:paraId="71F5AA6B">
      <w:pPr>
        <w:pStyle w:val="56"/>
        <w:spacing w:line="360" w:lineRule="auto"/>
        <w:ind w:firstLine="420"/>
      </w:pPr>
      <w:r>
        <w:rPr>
          <w:rFonts w:hint="eastAsia"/>
        </w:rPr>
        <w:t>d）地层适应性和槽壁稳定要求；</w:t>
      </w:r>
    </w:p>
    <w:p w14:paraId="03201048">
      <w:pPr>
        <w:pStyle w:val="56"/>
        <w:spacing w:line="360" w:lineRule="auto"/>
        <w:ind w:firstLine="420"/>
      </w:pPr>
      <w:r>
        <w:rPr>
          <w:rFonts w:hint="eastAsia"/>
        </w:rPr>
        <w:t>e）长期耐久性要求。</w:t>
      </w:r>
    </w:p>
    <w:p w14:paraId="01D013A8">
      <w:pPr>
        <w:pStyle w:val="165"/>
        <w:spacing w:line="360" w:lineRule="auto"/>
      </w:pPr>
      <w:r>
        <w:rPr>
          <w:rFonts w:hint="eastAsia"/>
        </w:rPr>
        <w:t>配合比确定后，不得擅自变更；确需调整的，应重新履行验证程序。</w:t>
      </w:r>
    </w:p>
    <w:p w14:paraId="5B9A58A8">
      <w:pPr>
        <w:pStyle w:val="104"/>
        <w:spacing w:before="240" w:after="240" w:line="360" w:lineRule="auto"/>
      </w:pPr>
      <w:bookmarkStart w:id="53" w:name="_Toc228533593"/>
      <w:r>
        <w:rPr>
          <w:rFonts w:hint="eastAsia"/>
        </w:rPr>
        <w:t>施工过程质量控制</w:t>
      </w:r>
      <w:bookmarkEnd w:id="53"/>
    </w:p>
    <w:p w14:paraId="4D3AF049">
      <w:pPr>
        <w:pStyle w:val="105"/>
        <w:spacing w:before="120" w:after="120" w:line="360" w:lineRule="auto"/>
      </w:pPr>
      <w:r>
        <w:rPr>
          <w:rFonts w:hint="eastAsia"/>
        </w:rPr>
        <w:t>一般规定</w:t>
      </w:r>
    </w:p>
    <w:p w14:paraId="33AB408A">
      <w:pPr>
        <w:pStyle w:val="165"/>
        <w:spacing w:line="360" w:lineRule="auto"/>
      </w:pPr>
      <w:r>
        <w:rPr>
          <w:rFonts w:hint="eastAsia"/>
        </w:rPr>
        <w:t>绿色建材用于基础截渗墙施工时，应对成槽、护壁、清槽、材料拌制、运输、灌注、接头处理、墙段衔接和成墙保护等全过程实施质量控制。</w:t>
      </w:r>
    </w:p>
    <w:p w14:paraId="3155DF2A">
      <w:pPr>
        <w:pStyle w:val="165"/>
        <w:spacing w:line="360" w:lineRule="auto"/>
      </w:pPr>
      <w:r>
        <w:rPr>
          <w:rFonts w:hint="eastAsia"/>
        </w:rPr>
        <w:t>施工过程质量控制应以设计要求、经批准的施工方案、试验验证结论和正式确定的施工参数为依据。</w:t>
      </w:r>
    </w:p>
    <w:p w14:paraId="480B815D">
      <w:pPr>
        <w:pStyle w:val="165"/>
        <w:spacing w:line="360" w:lineRule="auto"/>
      </w:pPr>
      <w:r>
        <w:rPr>
          <w:rFonts w:hint="eastAsia"/>
        </w:rPr>
        <w:t>施工过程中不得擅自改变绿色建材种类、主要材料来源、配合比、投料顺序、拌制时间、灌注工艺和关键设备配置。</w:t>
      </w:r>
    </w:p>
    <w:p w14:paraId="3A5D2C6C">
      <w:pPr>
        <w:pStyle w:val="165"/>
        <w:spacing w:line="360" w:lineRule="auto"/>
      </w:pPr>
      <w:r>
        <w:rPr>
          <w:rFonts w:hint="eastAsia"/>
        </w:rPr>
        <w:t>施工过程质量控制应实行岗位责任制。各工序均应明确操作责任人、现场管理责任人和质量复核责任人。</w:t>
      </w:r>
    </w:p>
    <w:p w14:paraId="317C1F45">
      <w:pPr>
        <w:pStyle w:val="165"/>
        <w:spacing w:line="360" w:lineRule="auto"/>
      </w:pPr>
      <w:r>
        <w:rPr>
          <w:rFonts w:hint="eastAsia"/>
        </w:rPr>
        <w:t>绿色建材应用于正式施工前，应完成施工技术交底和质量控制交底；未完成交底的，不得施工。</w:t>
      </w:r>
    </w:p>
    <w:p w14:paraId="7FFCB501">
      <w:pPr>
        <w:pStyle w:val="165"/>
        <w:spacing w:line="360" w:lineRule="auto"/>
      </w:pPr>
      <w:r>
        <w:rPr>
          <w:rFonts w:hint="eastAsia"/>
        </w:rPr>
        <w:t>对关键工序、关键时段和关键墙段，应实施旁站、复核或者加密检测。</w:t>
      </w:r>
    </w:p>
    <w:p w14:paraId="69ACAAEA">
      <w:pPr>
        <w:pStyle w:val="165"/>
        <w:numPr>
          <w:ilvl w:val="0"/>
          <w:numId w:val="0"/>
        </w:numPr>
        <w:spacing w:line="360" w:lineRule="auto"/>
      </w:pPr>
    </w:p>
    <w:p w14:paraId="511C2EEE">
      <w:pPr>
        <w:pStyle w:val="165"/>
        <w:numPr>
          <w:ilvl w:val="0"/>
          <w:numId w:val="0"/>
        </w:numPr>
        <w:spacing w:line="360" w:lineRule="auto"/>
      </w:pPr>
    </w:p>
    <w:p w14:paraId="450C544C">
      <w:pPr>
        <w:pStyle w:val="165"/>
        <w:numPr>
          <w:ilvl w:val="0"/>
          <w:numId w:val="0"/>
        </w:numPr>
        <w:spacing w:line="360" w:lineRule="auto"/>
        <w:rPr>
          <w:rFonts w:hint="eastAsia"/>
        </w:rPr>
      </w:pPr>
    </w:p>
    <w:p w14:paraId="1E9110F7">
      <w:pPr>
        <w:pStyle w:val="105"/>
        <w:spacing w:before="120" w:after="120" w:line="360" w:lineRule="auto"/>
      </w:pPr>
      <w:r>
        <w:rPr>
          <w:rFonts w:hint="eastAsia"/>
        </w:rPr>
        <w:t>施工准备控制</w:t>
      </w:r>
    </w:p>
    <w:p w14:paraId="7C6A906B">
      <w:pPr>
        <w:pStyle w:val="65"/>
        <w:spacing w:before="120" w:after="120" w:line="360" w:lineRule="auto"/>
      </w:pPr>
      <w:r>
        <w:rPr>
          <w:rFonts w:hint="eastAsia"/>
        </w:rPr>
        <w:t>设备准备</w:t>
      </w:r>
    </w:p>
    <w:p w14:paraId="0CE202A0">
      <w:pPr>
        <w:pStyle w:val="164"/>
        <w:spacing w:line="360" w:lineRule="auto"/>
      </w:pPr>
      <w:r>
        <w:rPr>
          <w:rFonts w:hint="eastAsia"/>
        </w:rPr>
        <w:t>成槽设备、起重设备、制浆设备、拌和设备、输送设备、灌注设备、测量设备和检测设备应满足施工能力和精度要求。</w:t>
      </w:r>
    </w:p>
    <w:p w14:paraId="60A4EA05">
      <w:pPr>
        <w:pStyle w:val="164"/>
        <w:spacing w:line="360" w:lineRule="auto"/>
      </w:pPr>
      <w:r>
        <w:rPr>
          <w:rFonts w:hint="eastAsia"/>
        </w:rPr>
        <w:t>施工设备进场后应进行状态检查和试运行；设备状态不稳定、运行参数异常或者计量装置失准的，不得投入正式施工。</w:t>
      </w:r>
    </w:p>
    <w:p w14:paraId="2EF88BF3">
      <w:pPr>
        <w:pStyle w:val="164"/>
        <w:spacing w:line="360" w:lineRule="auto"/>
      </w:pPr>
      <w:r>
        <w:rPr>
          <w:rFonts w:hint="eastAsia"/>
        </w:rPr>
        <w:t>与绿色建材拌制和输送有关的计量装置应校核准确；投料计量误差超出控制要求时，应停止使用并调整。</w:t>
      </w:r>
    </w:p>
    <w:p w14:paraId="608B4ACD">
      <w:pPr>
        <w:pStyle w:val="65"/>
        <w:spacing w:before="120" w:after="120" w:line="360" w:lineRule="auto"/>
      </w:pPr>
      <w:r>
        <w:rPr>
          <w:rFonts w:hint="eastAsia"/>
        </w:rPr>
        <w:t>场地准备</w:t>
      </w:r>
    </w:p>
    <w:p w14:paraId="4E77A61E">
      <w:pPr>
        <w:pStyle w:val="164"/>
        <w:spacing w:line="360" w:lineRule="auto"/>
      </w:pPr>
      <w:r>
        <w:rPr>
          <w:rFonts w:hint="eastAsia"/>
        </w:rPr>
        <w:t>施工场地应满足材料堆放、设备运行、泥浆循环、废浆处理、样品留置和施工记录要求。</w:t>
      </w:r>
    </w:p>
    <w:p w14:paraId="4E9B171E">
      <w:pPr>
        <w:pStyle w:val="164"/>
        <w:spacing w:line="360" w:lineRule="auto"/>
      </w:pPr>
      <w:r>
        <w:rPr>
          <w:rFonts w:hint="eastAsia"/>
        </w:rPr>
        <w:t>绿色建材存放区、拌制区和待用区应分区管理，并设置明显标识。</w:t>
      </w:r>
    </w:p>
    <w:p w14:paraId="640F8DCA">
      <w:pPr>
        <w:pStyle w:val="164"/>
        <w:spacing w:line="360" w:lineRule="auto"/>
      </w:pPr>
      <w:r>
        <w:rPr>
          <w:rFonts w:hint="eastAsia"/>
        </w:rPr>
        <w:t>受潮敏感型材料、粉体材料和外加剂类材料应按规定采取防潮、防雨、防晒和防污染措施。</w:t>
      </w:r>
    </w:p>
    <w:p w14:paraId="1ED37271">
      <w:pPr>
        <w:pStyle w:val="65"/>
        <w:spacing w:before="120" w:after="120" w:line="360" w:lineRule="auto"/>
      </w:pPr>
      <w:r>
        <w:rPr>
          <w:rFonts w:hint="eastAsia"/>
        </w:rPr>
        <w:t>技术准备</w:t>
      </w:r>
    </w:p>
    <w:p w14:paraId="3A4A2FC1">
      <w:pPr>
        <w:pStyle w:val="164"/>
        <w:spacing w:line="360" w:lineRule="auto"/>
      </w:pPr>
      <w:r>
        <w:rPr>
          <w:rFonts w:hint="eastAsia"/>
        </w:rPr>
        <w:t>正式施工前，应完成导墙、轴线、槽段划分、施工顺序和接头位置确认。</w:t>
      </w:r>
    </w:p>
    <w:p w14:paraId="4806695F">
      <w:pPr>
        <w:pStyle w:val="164"/>
        <w:spacing w:line="360" w:lineRule="auto"/>
      </w:pPr>
      <w:r>
        <w:rPr>
          <w:rFonts w:hint="eastAsia"/>
        </w:rPr>
        <w:t>施工前应核对正式施工参数，包括槽段长度、墙厚、墙深、泥浆指标、配合比、拌制时间、灌注速度和接头处理要求。</w:t>
      </w:r>
    </w:p>
    <w:p w14:paraId="184722EE">
      <w:pPr>
        <w:pStyle w:val="164"/>
        <w:spacing w:line="360" w:lineRule="auto"/>
      </w:pPr>
      <w:r>
        <w:rPr>
          <w:rFonts w:hint="eastAsia"/>
        </w:rPr>
        <w:t>首件施工前应对绿色建材应用的关键控制指标进行再次确认；确认结果不符合要求的，不得开工。</w:t>
      </w:r>
    </w:p>
    <w:p w14:paraId="459C7BAF">
      <w:pPr>
        <w:pStyle w:val="105"/>
        <w:spacing w:before="120" w:after="120" w:line="360" w:lineRule="auto"/>
      </w:pPr>
      <w:r>
        <w:rPr>
          <w:rFonts w:hint="eastAsia"/>
        </w:rPr>
        <w:t>原材料和浆液制备控制</w:t>
      </w:r>
    </w:p>
    <w:p w14:paraId="1F023BA4">
      <w:pPr>
        <w:pStyle w:val="65"/>
        <w:spacing w:before="120" w:after="120" w:line="360" w:lineRule="auto"/>
      </w:pPr>
      <w:r>
        <w:rPr>
          <w:rFonts w:hint="eastAsia"/>
        </w:rPr>
        <w:t>原材料使用控制</w:t>
      </w:r>
    </w:p>
    <w:p w14:paraId="06CBA239">
      <w:pPr>
        <w:pStyle w:val="164"/>
        <w:spacing w:line="360" w:lineRule="auto"/>
      </w:pPr>
      <w:r>
        <w:rPr>
          <w:rFonts w:hint="eastAsia"/>
        </w:rPr>
        <w:t>施工中使用的绿色建材应与经进场验收和试验验证合格的材料一致。</w:t>
      </w:r>
    </w:p>
    <w:p w14:paraId="2359164D">
      <w:pPr>
        <w:pStyle w:val="164"/>
        <w:spacing w:line="360" w:lineRule="auto"/>
      </w:pPr>
      <w:r>
        <w:rPr>
          <w:rFonts w:hint="eastAsia"/>
        </w:rPr>
        <w:t>同一墙段或者同一施工单元内，不得随意更换主要胶凝材料、掺合料、细料来源或者外加剂类型。</w:t>
      </w:r>
    </w:p>
    <w:p w14:paraId="7DC2AA15">
      <w:pPr>
        <w:pStyle w:val="164"/>
        <w:spacing w:line="360" w:lineRule="auto"/>
      </w:pPr>
      <w:r>
        <w:rPr>
          <w:rFonts w:hint="eastAsia"/>
        </w:rPr>
        <w:t>原材料使用前应核查材料名称、批号、检验状态和使用期限；未经确认的材料不得投用。</w:t>
      </w:r>
    </w:p>
    <w:p w14:paraId="1F5AB9B7">
      <w:pPr>
        <w:pStyle w:val="164"/>
        <w:spacing w:line="360" w:lineRule="auto"/>
      </w:pPr>
      <w:r>
        <w:rPr>
          <w:rFonts w:hint="eastAsia"/>
        </w:rPr>
        <w:t>不同批次材料连续使用时，应确认批次衔接对浆液性能和墙体性能无不利影响；必要时应增加过渡验证。</w:t>
      </w:r>
    </w:p>
    <w:p w14:paraId="11A9F914">
      <w:pPr>
        <w:pStyle w:val="65"/>
        <w:spacing w:before="120" w:after="120" w:line="360" w:lineRule="auto"/>
      </w:pPr>
      <w:r>
        <w:rPr>
          <w:rFonts w:hint="eastAsia"/>
        </w:rPr>
        <w:t>计量控制</w:t>
      </w:r>
    </w:p>
    <w:p w14:paraId="67502D28">
      <w:pPr>
        <w:pStyle w:val="164"/>
        <w:spacing w:line="360" w:lineRule="auto"/>
      </w:pPr>
      <w:r>
        <w:rPr>
          <w:rFonts w:hint="eastAsia"/>
        </w:rPr>
        <w:t>各组成材料应按配合比要求准确计量。</w:t>
      </w:r>
    </w:p>
    <w:p w14:paraId="245A1FB2">
      <w:pPr>
        <w:pStyle w:val="164"/>
        <w:spacing w:line="360" w:lineRule="auto"/>
      </w:pPr>
      <w:r>
        <w:rPr>
          <w:rFonts w:hint="eastAsia"/>
        </w:rPr>
        <w:t>粉体材料、液体材料、掺合料和外加剂的计量应分别控制；不得采用估算、目测或者经验投料代替计量投料。</w:t>
      </w:r>
    </w:p>
    <w:p w14:paraId="089287BB">
      <w:pPr>
        <w:pStyle w:val="164"/>
        <w:spacing w:line="360" w:lineRule="auto"/>
      </w:pPr>
      <w:r>
        <w:rPr>
          <w:rFonts w:hint="eastAsia"/>
        </w:rPr>
        <w:t>因含水率变化、气温变化或者材料状态变化需要修正投料量时，应经技术确认后实施，并形成记录。</w:t>
      </w:r>
    </w:p>
    <w:p w14:paraId="286AA6EB">
      <w:pPr>
        <w:pStyle w:val="65"/>
        <w:spacing w:before="120" w:after="120" w:line="360" w:lineRule="auto"/>
      </w:pPr>
      <w:r>
        <w:rPr>
          <w:rFonts w:hint="eastAsia"/>
        </w:rPr>
        <w:t>拌制控制</w:t>
      </w:r>
    </w:p>
    <w:p w14:paraId="6E560391">
      <w:pPr>
        <w:pStyle w:val="164"/>
        <w:spacing w:line="360" w:lineRule="auto"/>
      </w:pPr>
      <w:r>
        <w:rPr>
          <w:rFonts w:hint="eastAsia"/>
        </w:rPr>
        <w:t>浆液或者墙体材料拌制应按规定投料顺序进行。</w:t>
      </w:r>
    </w:p>
    <w:p w14:paraId="7944E33B">
      <w:pPr>
        <w:pStyle w:val="164"/>
        <w:spacing w:line="360" w:lineRule="auto"/>
      </w:pPr>
      <w:r>
        <w:rPr>
          <w:rFonts w:hint="eastAsia"/>
        </w:rPr>
        <w:t>绿色建材体系中含有多组分材料时，应控制投料先后顺序和分散均匀性，防止团聚、离析、沉淀和局部失稳。</w:t>
      </w:r>
    </w:p>
    <w:p w14:paraId="1BE000AD">
      <w:pPr>
        <w:pStyle w:val="164"/>
        <w:spacing w:line="360" w:lineRule="auto"/>
      </w:pPr>
      <w:r>
        <w:rPr>
          <w:rFonts w:hint="eastAsia"/>
        </w:rPr>
        <w:t>拌制时间应满足均匀性要求；拌制时间不足或者过长均不得使用。</w:t>
      </w:r>
    </w:p>
    <w:p w14:paraId="7981A223">
      <w:pPr>
        <w:pStyle w:val="164"/>
        <w:spacing w:line="360" w:lineRule="auto"/>
      </w:pPr>
      <w:r>
        <w:rPr>
          <w:rFonts w:hint="eastAsia"/>
        </w:rPr>
        <w:t>每盘或者每批次拌合物应检测或者抽查其关键施工性能，必要时应进行连续监测。</w:t>
      </w:r>
    </w:p>
    <w:p w14:paraId="1D83D6D9">
      <w:pPr>
        <w:pStyle w:val="65"/>
        <w:spacing w:before="120" w:after="120" w:line="360" w:lineRule="auto"/>
      </w:pPr>
      <w:r>
        <w:rPr>
          <w:rFonts w:hint="eastAsia"/>
        </w:rPr>
        <w:t>浆液性能控制</w:t>
      </w:r>
    </w:p>
    <w:p w14:paraId="5D98F7E3">
      <w:pPr>
        <w:pStyle w:val="164"/>
        <w:spacing w:line="360" w:lineRule="auto"/>
      </w:pPr>
      <w:r>
        <w:rPr>
          <w:rFonts w:hint="eastAsia"/>
        </w:rPr>
        <w:t>施工中应控制浆液密度、黏度、流动性、泌水率、稳定性和必要的凝结时间指标。</w:t>
      </w:r>
    </w:p>
    <w:p w14:paraId="2448D9DB">
      <w:pPr>
        <w:pStyle w:val="164"/>
        <w:spacing w:line="360" w:lineRule="auto"/>
      </w:pPr>
      <w:r>
        <w:rPr>
          <w:rFonts w:hint="eastAsia"/>
        </w:rPr>
        <w:t>浆液性能应与成槽方式、地层条件、导管灌注要求和墙体成型要求相适应。</w:t>
      </w:r>
    </w:p>
    <w:p w14:paraId="6AC245A9">
      <w:pPr>
        <w:pStyle w:val="164"/>
        <w:spacing w:line="360" w:lineRule="auto"/>
      </w:pPr>
      <w:r>
        <w:rPr>
          <w:rFonts w:hint="eastAsia"/>
        </w:rPr>
        <w:t>浆液性能出现明显波动时，应立即分析原因，不得继续用于关键工序。</w:t>
      </w:r>
    </w:p>
    <w:p w14:paraId="60DB6A46">
      <w:pPr>
        <w:pStyle w:val="164"/>
        <w:spacing w:line="360" w:lineRule="auto"/>
      </w:pPr>
      <w:r>
        <w:rPr>
          <w:rFonts w:hint="eastAsia"/>
        </w:rPr>
        <w:t>采用循环使用浆液时，应控制回收浆液处理质量；未经处理或者处理后指标不符合要求的，不得重复使用。</w:t>
      </w:r>
    </w:p>
    <w:p w14:paraId="6558664C">
      <w:pPr>
        <w:pStyle w:val="105"/>
        <w:spacing w:before="120" w:after="120" w:line="360" w:lineRule="auto"/>
      </w:pPr>
      <w:r>
        <w:rPr>
          <w:rFonts w:hint="eastAsia"/>
        </w:rPr>
        <w:t>成槽与槽壁稳定控制</w:t>
      </w:r>
    </w:p>
    <w:p w14:paraId="09A4F680">
      <w:pPr>
        <w:pStyle w:val="65"/>
        <w:spacing w:before="120" w:after="120" w:line="360" w:lineRule="auto"/>
      </w:pPr>
      <w:r>
        <w:rPr>
          <w:rFonts w:hint="eastAsia"/>
        </w:rPr>
        <w:t>成槽控制</w:t>
      </w:r>
    </w:p>
    <w:p w14:paraId="1727ED4E">
      <w:pPr>
        <w:pStyle w:val="164"/>
        <w:spacing w:line="360" w:lineRule="auto"/>
      </w:pPr>
      <w:r>
        <w:rPr>
          <w:rFonts w:hint="eastAsia"/>
        </w:rPr>
        <w:t>成槽施工应保证墙体轴线位置、墙厚、槽深、垂直度和槽段边界符合设计要求。</w:t>
      </w:r>
    </w:p>
    <w:p w14:paraId="0FE068A6">
      <w:pPr>
        <w:pStyle w:val="164"/>
        <w:spacing w:line="360" w:lineRule="auto"/>
      </w:pPr>
      <w:r>
        <w:rPr>
          <w:rFonts w:hint="eastAsia"/>
        </w:rPr>
        <w:t>成槽顺序应与墙段布置、接头形式和设备能力相协调，不得因顺序不当影响槽壁稳定和墙段衔接质量。</w:t>
      </w:r>
    </w:p>
    <w:p w14:paraId="4729DE80">
      <w:pPr>
        <w:pStyle w:val="164"/>
        <w:spacing w:line="360" w:lineRule="auto"/>
      </w:pPr>
      <w:r>
        <w:rPr>
          <w:rFonts w:hint="eastAsia"/>
        </w:rPr>
        <w:t>施工中应及时测量槽深、槽宽和槽位偏差；偏差超限时，应及时纠正。</w:t>
      </w:r>
    </w:p>
    <w:p w14:paraId="2355BE66">
      <w:pPr>
        <w:pStyle w:val="164"/>
        <w:spacing w:line="360" w:lineRule="auto"/>
      </w:pPr>
      <w:r>
        <w:rPr>
          <w:rFonts w:hint="eastAsia"/>
        </w:rPr>
        <w:t>对复杂地层、孤石层、漂石层、强透水层和软弱夹层，应采取针对性成槽控制措施。</w:t>
      </w:r>
    </w:p>
    <w:p w14:paraId="6B0C58E7">
      <w:pPr>
        <w:pStyle w:val="65"/>
        <w:spacing w:before="120" w:after="120" w:line="360" w:lineRule="auto"/>
      </w:pPr>
      <w:r>
        <w:rPr>
          <w:rFonts w:hint="eastAsia"/>
        </w:rPr>
        <w:t>槽壁稳定控制</w:t>
      </w:r>
    </w:p>
    <w:p w14:paraId="5A0E67F6">
      <w:pPr>
        <w:pStyle w:val="164"/>
        <w:spacing w:line="360" w:lineRule="auto"/>
      </w:pPr>
      <w:r>
        <w:rPr>
          <w:rFonts w:hint="eastAsia"/>
        </w:rPr>
        <w:t>成槽过程中应根据地层条件和施工深度控制泥浆液面、泥浆性能和槽壁稳定状态。</w:t>
      </w:r>
    </w:p>
    <w:p w14:paraId="107F5C36">
      <w:pPr>
        <w:pStyle w:val="164"/>
        <w:spacing w:line="360" w:lineRule="auto"/>
      </w:pPr>
      <w:r>
        <w:rPr>
          <w:rFonts w:hint="eastAsia"/>
        </w:rPr>
        <w:t>使用绿色泥浆体系或者含绿色组分护壁浆液时，应验证其护壁性能和循环稳定性。</w:t>
      </w:r>
    </w:p>
    <w:p w14:paraId="259771CF">
      <w:pPr>
        <w:pStyle w:val="164"/>
        <w:spacing w:line="360" w:lineRule="auto"/>
      </w:pPr>
      <w:r>
        <w:rPr>
          <w:rFonts w:hint="eastAsia"/>
        </w:rPr>
        <w:t>施工中发现塌槽、缩颈、掉块、槽壁局部失稳或者泥浆明显漏失时，应立即停止该槽段施工并采取处置措施。</w:t>
      </w:r>
    </w:p>
    <w:p w14:paraId="1A68071B">
      <w:pPr>
        <w:pStyle w:val="164"/>
        <w:spacing w:line="360" w:lineRule="auto"/>
      </w:pPr>
      <w:r>
        <w:rPr>
          <w:rFonts w:hint="eastAsia"/>
        </w:rPr>
        <w:t>处置完成前，不得继续下一道工序。</w:t>
      </w:r>
    </w:p>
    <w:p w14:paraId="331F8D7D">
      <w:pPr>
        <w:pStyle w:val="105"/>
        <w:spacing w:before="120" w:after="120" w:line="360" w:lineRule="auto"/>
      </w:pPr>
      <w:r>
        <w:rPr>
          <w:rFonts w:hint="eastAsia"/>
        </w:rPr>
        <w:t>清槽与槽底控制</w:t>
      </w:r>
    </w:p>
    <w:p w14:paraId="44F43CCC">
      <w:pPr>
        <w:pStyle w:val="165"/>
        <w:spacing w:line="360" w:lineRule="auto"/>
      </w:pPr>
      <w:r>
        <w:rPr>
          <w:rFonts w:hint="eastAsia"/>
        </w:rPr>
        <w:t>清槽应在成槽完成并确认槽壁基本稳定后实施。</w:t>
      </w:r>
    </w:p>
    <w:p w14:paraId="22C5E403">
      <w:pPr>
        <w:pStyle w:val="165"/>
        <w:spacing w:line="360" w:lineRule="auto"/>
      </w:pPr>
      <w:r>
        <w:rPr>
          <w:rFonts w:hint="eastAsia"/>
        </w:rPr>
        <w:t>清槽应控制槽底沉渣厚度、槽内泥浆性能和槽底平整状态，满足设计和施工要求。</w:t>
      </w:r>
    </w:p>
    <w:p w14:paraId="6A1286DD">
      <w:pPr>
        <w:pStyle w:val="165"/>
        <w:spacing w:line="360" w:lineRule="auto"/>
      </w:pPr>
      <w:r>
        <w:rPr>
          <w:rFonts w:hint="eastAsia"/>
        </w:rPr>
        <w:t>采用绿色建材体系时，不得因材料流动性较好而降低清槽要求。</w:t>
      </w:r>
    </w:p>
    <w:p w14:paraId="4240CF6B">
      <w:pPr>
        <w:pStyle w:val="165"/>
        <w:spacing w:line="360" w:lineRule="auto"/>
      </w:pPr>
      <w:r>
        <w:rPr>
          <w:rFonts w:hint="eastAsia"/>
        </w:rPr>
        <w:t>清槽完成后，应按规定检测槽深、沉渣厚度和泥浆指标；检测结果不合格的，不得进行灌注。</w:t>
      </w:r>
    </w:p>
    <w:p w14:paraId="0E5A881C">
      <w:pPr>
        <w:pStyle w:val="165"/>
        <w:spacing w:line="360" w:lineRule="auto"/>
      </w:pPr>
      <w:r>
        <w:rPr>
          <w:rFonts w:hint="eastAsia"/>
        </w:rPr>
        <w:t>清槽至灌注开始间隔时间过长时，应复查槽底状态和泥浆指标；复查不合格的，应重新清槽。</w:t>
      </w:r>
    </w:p>
    <w:p w14:paraId="2D987F3A">
      <w:pPr>
        <w:pStyle w:val="105"/>
        <w:spacing w:before="120" w:after="120" w:line="360" w:lineRule="auto"/>
      </w:pPr>
      <w:r>
        <w:rPr>
          <w:rFonts w:hint="eastAsia"/>
        </w:rPr>
        <w:t>灌注与成墙控制</w:t>
      </w:r>
    </w:p>
    <w:p w14:paraId="06844251">
      <w:pPr>
        <w:pStyle w:val="65"/>
        <w:spacing w:before="120" w:after="120" w:line="360" w:lineRule="auto"/>
      </w:pPr>
      <w:r>
        <w:rPr>
          <w:rFonts w:hint="eastAsia"/>
        </w:rPr>
        <w:t>一般要求</w:t>
      </w:r>
    </w:p>
    <w:p w14:paraId="22576D6E">
      <w:pPr>
        <w:pStyle w:val="164"/>
        <w:spacing w:line="360" w:lineRule="auto"/>
      </w:pPr>
      <w:r>
        <w:rPr>
          <w:rFonts w:hint="eastAsia"/>
        </w:rPr>
        <w:t>墙体材料灌注应连续进行。</w:t>
      </w:r>
    </w:p>
    <w:p w14:paraId="2195426B">
      <w:pPr>
        <w:pStyle w:val="164"/>
        <w:spacing w:line="360" w:lineRule="auto"/>
      </w:pPr>
      <w:r>
        <w:rPr>
          <w:rFonts w:hint="eastAsia"/>
        </w:rPr>
        <w:t>灌注前应检查导管、料斗、输送泵、储料设备和计量装置状态。</w:t>
      </w:r>
    </w:p>
    <w:p w14:paraId="08FB07E0">
      <w:pPr>
        <w:pStyle w:val="164"/>
        <w:spacing w:line="360" w:lineRule="auto"/>
      </w:pPr>
      <w:r>
        <w:rPr>
          <w:rFonts w:hint="eastAsia"/>
        </w:rPr>
        <w:t>墙体材料进入槽内前，应确认拌合物性能符合要求；不符合要求的，不得入槽。</w:t>
      </w:r>
    </w:p>
    <w:p w14:paraId="731E3273">
      <w:pPr>
        <w:pStyle w:val="65"/>
        <w:spacing w:before="120" w:after="120" w:line="360" w:lineRule="auto"/>
      </w:pPr>
      <w:r>
        <w:rPr>
          <w:rFonts w:hint="eastAsia"/>
        </w:rPr>
        <w:t>导管灌注控制</w:t>
      </w:r>
    </w:p>
    <w:p w14:paraId="6E5856E0">
      <w:pPr>
        <w:pStyle w:val="164"/>
        <w:spacing w:line="360" w:lineRule="auto"/>
      </w:pPr>
      <w:r>
        <w:rPr>
          <w:rFonts w:hint="eastAsia"/>
        </w:rPr>
        <w:t>导管埋置深度、导管提升速度和灌注连续性应满足工艺要求。</w:t>
      </w:r>
    </w:p>
    <w:p w14:paraId="676AA996">
      <w:pPr>
        <w:pStyle w:val="164"/>
        <w:spacing w:line="360" w:lineRule="auto"/>
      </w:pPr>
      <w:r>
        <w:rPr>
          <w:rFonts w:hint="eastAsia"/>
        </w:rPr>
        <w:t>灌注过程中不得发生导管拔空、断流、堵管或者严重离析。</w:t>
      </w:r>
    </w:p>
    <w:p w14:paraId="3F29D532">
      <w:pPr>
        <w:pStyle w:val="164"/>
        <w:spacing w:line="360" w:lineRule="auto"/>
      </w:pPr>
      <w:r>
        <w:rPr>
          <w:rFonts w:hint="eastAsia"/>
        </w:rPr>
        <w:t>导管拆卸和提升应平稳进行，不得扰动已浇墙体和槽内稳定状态。</w:t>
      </w:r>
    </w:p>
    <w:p w14:paraId="5BF91FC5">
      <w:pPr>
        <w:pStyle w:val="65"/>
        <w:spacing w:before="120" w:after="120" w:line="360" w:lineRule="auto"/>
      </w:pPr>
      <w:r>
        <w:rPr>
          <w:rFonts w:hint="eastAsia"/>
        </w:rPr>
        <w:t>墙体连续性控制</w:t>
      </w:r>
    </w:p>
    <w:p w14:paraId="0847F3C0">
      <w:pPr>
        <w:pStyle w:val="164"/>
        <w:spacing w:line="360" w:lineRule="auto"/>
      </w:pPr>
      <w:r>
        <w:rPr>
          <w:rFonts w:hint="eastAsia"/>
        </w:rPr>
        <w:t>灌注过程中应控制墙体上升速度、置换效果和材料均匀性，防止夹泥、断墙、蜂窝和局部薄弱带。</w:t>
      </w:r>
    </w:p>
    <w:p w14:paraId="0AB6DD21">
      <w:pPr>
        <w:pStyle w:val="164"/>
        <w:spacing w:line="360" w:lineRule="auto"/>
      </w:pPr>
      <w:r>
        <w:rPr>
          <w:rFonts w:hint="eastAsia"/>
        </w:rPr>
        <w:t>对塑性混凝土、水泥土或者其他低强度柔性墙体材料，应重点控制均匀性和连续性。</w:t>
      </w:r>
    </w:p>
    <w:p w14:paraId="5C32635E">
      <w:pPr>
        <w:pStyle w:val="164"/>
        <w:spacing w:line="360" w:lineRule="auto"/>
      </w:pPr>
      <w:r>
        <w:rPr>
          <w:rFonts w:hint="eastAsia"/>
        </w:rPr>
        <w:t>墙体材料性能波动明显、供料中断时间过长或者槽内异常明显时，应判定为连续性风险工况，并立即采取处置措施。</w:t>
      </w:r>
    </w:p>
    <w:p w14:paraId="692D31C9">
      <w:pPr>
        <w:pStyle w:val="105"/>
        <w:spacing w:before="120" w:after="120" w:line="360" w:lineRule="auto"/>
      </w:pPr>
      <w:r>
        <w:rPr>
          <w:rFonts w:hint="eastAsia"/>
        </w:rPr>
        <w:t>接头与墙段衔接控制</w:t>
      </w:r>
    </w:p>
    <w:p w14:paraId="5C8A0BD9">
      <w:pPr>
        <w:pStyle w:val="165"/>
        <w:spacing w:line="360" w:lineRule="auto"/>
      </w:pPr>
      <w:r>
        <w:rPr>
          <w:rFonts w:hint="eastAsia"/>
        </w:rPr>
        <w:t>墙段接头施工应与墙体型式和施工顺序相匹配。</w:t>
      </w:r>
    </w:p>
    <w:p w14:paraId="025BB004">
      <w:pPr>
        <w:pStyle w:val="165"/>
        <w:spacing w:line="360" w:lineRule="auto"/>
      </w:pPr>
      <w:r>
        <w:rPr>
          <w:rFonts w:hint="eastAsia"/>
        </w:rPr>
        <w:t>接头部位应清理干净，不得残留影响结合质量的泥皮、杂物、沉积物或者松散物质。</w:t>
      </w:r>
    </w:p>
    <w:p w14:paraId="44317D03">
      <w:pPr>
        <w:pStyle w:val="165"/>
        <w:spacing w:line="360" w:lineRule="auto"/>
      </w:pPr>
      <w:r>
        <w:rPr>
          <w:rFonts w:hint="eastAsia"/>
        </w:rPr>
        <w:t>采用接头管、接头板、套接或者搭接工艺时，应按工艺要求控制位置、时间和拆除时机。</w:t>
      </w:r>
    </w:p>
    <w:p w14:paraId="4173C5FC">
      <w:pPr>
        <w:pStyle w:val="165"/>
        <w:spacing w:line="360" w:lineRule="auto"/>
      </w:pPr>
      <w:r>
        <w:rPr>
          <w:rFonts w:hint="eastAsia"/>
        </w:rPr>
        <w:t>接头施工完成后，应核查接头完整性和衔接状态；存在明显缺陷的，应及时处理。</w:t>
      </w:r>
    </w:p>
    <w:p w14:paraId="367B9FAD">
      <w:pPr>
        <w:pStyle w:val="165"/>
        <w:spacing w:line="360" w:lineRule="auto"/>
      </w:pPr>
      <w:r>
        <w:rPr>
          <w:rFonts w:hint="eastAsia"/>
        </w:rPr>
        <w:t>后续墙段施工不得破坏已成墙段边界和接头质量。</w:t>
      </w:r>
    </w:p>
    <w:p w14:paraId="55C1CD8B">
      <w:pPr>
        <w:pStyle w:val="105"/>
        <w:spacing w:before="120" w:after="120" w:line="360" w:lineRule="auto"/>
      </w:pPr>
      <w:r>
        <w:rPr>
          <w:rFonts w:hint="eastAsia"/>
        </w:rPr>
        <w:t>特殊气候和特殊工况控制</w:t>
      </w:r>
    </w:p>
    <w:p w14:paraId="53D4F298">
      <w:pPr>
        <w:pStyle w:val="165"/>
        <w:spacing w:line="360" w:lineRule="auto"/>
      </w:pPr>
      <w:r>
        <w:rPr>
          <w:rFonts w:hint="eastAsia"/>
        </w:rPr>
        <w:t>高温条件下施工时，应采取防止浆液失水过快、凝结过快和材料性能突变的措施。</w:t>
      </w:r>
    </w:p>
    <w:p w14:paraId="5752752A">
      <w:pPr>
        <w:pStyle w:val="165"/>
        <w:spacing w:line="360" w:lineRule="auto"/>
      </w:pPr>
      <w:r>
        <w:rPr>
          <w:rFonts w:hint="eastAsia"/>
        </w:rPr>
        <w:t>低温条件下施工时，应采取防冻、防结块和防止强度发展异常的措施。</w:t>
      </w:r>
    </w:p>
    <w:p w14:paraId="04A772FD">
      <w:pPr>
        <w:pStyle w:val="165"/>
        <w:spacing w:line="360" w:lineRule="auto"/>
      </w:pPr>
      <w:r>
        <w:rPr>
          <w:rFonts w:hint="eastAsia"/>
        </w:rPr>
        <w:t>降雨、大风、洪水来临、场地积水或者供电不稳定等情况下，不得进行会显著影响成墙质量的关键工序施工。</w:t>
      </w:r>
    </w:p>
    <w:p w14:paraId="55A8848A">
      <w:pPr>
        <w:pStyle w:val="165"/>
        <w:spacing w:line="360" w:lineRule="auto"/>
      </w:pPr>
      <w:r>
        <w:rPr>
          <w:rFonts w:hint="eastAsia"/>
        </w:rPr>
        <w:t>在复杂地层、深厚覆盖层、高水头、强透水层或者临近既有建筑物条件下施工时，应提高监测频次并加强风险控制。</w:t>
      </w:r>
    </w:p>
    <w:p w14:paraId="18C8DEA3">
      <w:pPr>
        <w:pStyle w:val="105"/>
        <w:spacing w:before="120" w:after="120" w:line="360" w:lineRule="auto"/>
      </w:pPr>
      <w:r>
        <w:rPr>
          <w:rFonts w:hint="eastAsia"/>
        </w:rPr>
        <w:t>施工过程检测与记录</w:t>
      </w:r>
    </w:p>
    <w:p w14:paraId="619AFC75">
      <w:pPr>
        <w:pStyle w:val="165"/>
        <w:spacing w:line="360" w:lineRule="auto"/>
      </w:pPr>
      <w:r>
        <w:rPr>
          <w:rFonts w:hint="eastAsia"/>
        </w:rPr>
        <w:t>施工过程中应对原材料状态、浆液性能、成槽参数、清槽效果、灌注参数和接头质量进行记录。</w:t>
      </w:r>
    </w:p>
    <w:p w14:paraId="0D56D605">
      <w:pPr>
        <w:pStyle w:val="165"/>
        <w:spacing w:line="360" w:lineRule="auto"/>
      </w:pPr>
      <w:r>
        <w:rPr>
          <w:rFonts w:hint="eastAsia"/>
        </w:rPr>
        <w:t>施工记录应真实、连续、完整，不得后补、漏记或者篡改。</w:t>
      </w:r>
    </w:p>
    <w:p w14:paraId="2D8F180A">
      <w:pPr>
        <w:pStyle w:val="165"/>
        <w:spacing w:line="360" w:lineRule="auto"/>
      </w:pPr>
      <w:r>
        <w:rPr>
          <w:rFonts w:hint="eastAsia"/>
        </w:rPr>
        <w:t>每一槽段或者每一墙段应形成独立施工记录，至少包括下列内容：</w:t>
      </w:r>
    </w:p>
    <w:p w14:paraId="01987DC3">
      <w:pPr>
        <w:pStyle w:val="56"/>
        <w:spacing w:line="360" w:lineRule="auto"/>
        <w:ind w:firstLine="420"/>
      </w:pPr>
      <w:r>
        <w:rPr>
          <w:rFonts w:hint="eastAsia"/>
        </w:rPr>
        <w:t>a）墙段编号、施工时间和施工部位；</w:t>
      </w:r>
    </w:p>
    <w:p w14:paraId="521D5085">
      <w:pPr>
        <w:pStyle w:val="56"/>
        <w:spacing w:line="360" w:lineRule="auto"/>
        <w:ind w:firstLine="420"/>
      </w:pPr>
      <w:r>
        <w:rPr>
          <w:rFonts w:hint="eastAsia"/>
        </w:rPr>
        <w:t>b）主要材料名称、批次和用量；</w:t>
      </w:r>
    </w:p>
    <w:p w14:paraId="49A6DE60">
      <w:pPr>
        <w:pStyle w:val="56"/>
        <w:spacing w:line="360" w:lineRule="auto"/>
        <w:ind w:firstLine="420"/>
      </w:pPr>
      <w:r>
        <w:rPr>
          <w:rFonts w:hint="eastAsia"/>
        </w:rPr>
        <w:t>c）浆液或者墙体材料主要性能指标；</w:t>
      </w:r>
    </w:p>
    <w:p w14:paraId="21ADE8EF">
      <w:pPr>
        <w:pStyle w:val="56"/>
        <w:spacing w:line="360" w:lineRule="auto"/>
        <w:ind w:firstLine="420"/>
      </w:pPr>
      <w:r>
        <w:rPr>
          <w:rFonts w:hint="eastAsia"/>
        </w:rPr>
        <w:t>d）成槽深度、槽宽、垂直度和沉渣厚度；</w:t>
      </w:r>
    </w:p>
    <w:p w14:paraId="27CDED6C">
      <w:pPr>
        <w:pStyle w:val="56"/>
        <w:spacing w:line="360" w:lineRule="auto"/>
        <w:ind w:firstLine="420"/>
      </w:pPr>
      <w:r>
        <w:rPr>
          <w:rFonts w:hint="eastAsia"/>
        </w:rPr>
        <w:t>e）灌注起止时间、导管埋深和灌注量；</w:t>
      </w:r>
    </w:p>
    <w:p w14:paraId="2219FE7C">
      <w:pPr>
        <w:pStyle w:val="56"/>
        <w:spacing w:line="360" w:lineRule="auto"/>
        <w:ind w:firstLine="420"/>
      </w:pPr>
      <w:r>
        <w:rPr>
          <w:rFonts w:hint="eastAsia"/>
        </w:rPr>
        <w:t>f）接头处理情况；</w:t>
      </w:r>
    </w:p>
    <w:p w14:paraId="61443025">
      <w:pPr>
        <w:pStyle w:val="56"/>
        <w:spacing w:line="360" w:lineRule="auto"/>
        <w:ind w:firstLine="420"/>
      </w:pPr>
      <w:r>
        <w:rPr>
          <w:rFonts w:hint="eastAsia"/>
        </w:rPr>
        <w:t>g）异常情况及处置结果。</w:t>
      </w:r>
    </w:p>
    <w:p w14:paraId="36CB82A2">
      <w:pPr>
        <w:pStyle w:val="165"/>
        <w:spacing w:line="360" w:lineRule="auto"/>
      </w:pPr>
      <w:r>
        <w:rPr>
          <w:rFonts w:hint="eastAsia"/>
        </w:rPr>
        <w:t>对首件墙段、试验段、关键墙段和异常墙段，应增加影像记录。</w:t>
      </w:r>
    </w:p>
    <w:p w14:paraId="3B21A140">
      <w:pPr>
        <w:pStyle w:val="105"/>
        <w:spacing w:before="120" w:after="120" w:line="360" w:lineRule="auto"/>
      </w:pPr>
      <w:r>
        <w:rPr>
          <w:rFonts w:hint="eastAsia"/>
        </w:rPr>
        <w:t>异常情况处置</w:t>
      </w:r>
    </w:p>
    <w:p w14:paraId="291EE490">
      <w:pPr>
        <w:pStyle w:val="165"/>
        <w:spacing w:line="360" w:lineRule="auto"/>
      </w:pPr>
      <w:r>
        <w:rPr>
          <w:rFonts w:hint="eastAsia"/>
        </w:rPr>
        <w:t>施工中出现材料异常、设备异常、槽壁异常、清槽异常、灌注中断、接头异常或者检测异常时，应立即处置。</w:t>
      </w:r>
    </w:p>
    <w:p w14:paraId="41A3DBB5">
      <w:pPr>
        <w:pStyle w:val="165"/>
        <w:spacing w:line="360" w:lineRule="auto"/>
      </w:pPr>
      <w:r>
        <w:rPr>
          <w:rFonts w:hint="eastAsia"/>
        </w:rPr>
        <w:t>异常处置应遵循“先停工控制、后分析原因、再制定措施、经确认后恢复”的原则。</w:t>
      </w:r>
    </w:p>
    <w:p w14:paraId="5139A6C4">
      <w:pPr>
        <w:pStyle w:val="165"/>
        <w:spacing w:line="360" w:lineRule="auto"/>
      </w:pPr>
      <w:r>
        <w:rPr>
          <w:rFonts w:hint="eastAsia"/>
        </w:rPr>
        <w:t>对异常墙段，应单独标识、单独记录、单独复核。</w:t>
      </w:r>
    </w:p>
    <w:p w14:paraId="6F55EF86">
      <w:pPr>
        <w:pStyle w:val="165"/>
        <w:spacing w:line="360" w:lineRule="auto"/>
      </w:pPr>
      <w:r>
        <w:rPr>
          <w:rFonts w:hint="eastAsia"/>
        </w:rPr>
        <w:t>对可能影响墙体连续性、防渗性能或者耐久性的异常，不得以局部修补记录替代系统质量评价。</w:t>
      </w:r>
    </w:p>
    <w:p w14:paraId="0C9AD4E7">
      <w:pPr>
        <w:pStyle w:val="165"/>
        <w:spacing w:line="360" w:lineRule="auto"/>
      </w:pPr>
      <w:r>
        <w:rPr>
          <w:rFonts w:hint="eastAsia"/>
        </w:rPr>
        <w:t>异常处置完成后，应重新确认施工条件；未经确认，不得恢复正式施工。</w:t>
      </w:r>
    </w:p>
    <w:p w14:paraId="5F5803CF">
      <w:pPr>
        <w:pStyle w:val="104"/>
        <w:spacing w:before="240" w:after="240" w:line="360" w:lineRule="auto"/>
      </w:pPr>
      <w:bookmarkStart w:id="54" w:name="_Toc228533594"/>
      <w:r>
        <w:rPr>
          <w:rFonts w:hint="eastAsia"/>
        </w:rPr>
        <w:t>质量检验与验收控制</w:t>
      </w:r>
      <w:bookmarkEnd w:id="54"/>
    </w:p>
    <w:p w14:paraId="62B7263B">
      <w:pPr>
        <w:pStyle w:val="105"/>
        <w:spacing w:before="120" w:after="120" w:line="360" w:lineRule="auto"/>
      </w:pPr>
      <w:r>
        <w:rPr>
          <w:rFonts w:hint="eastAsia"/>
        </w:rPr>
        <w:t>一般规定</w:t>
      </w:r>
    </w:p>
    <w:p w14:paraId="3F83764C">
      <w:pPr>
        <w:pStyle w:val="165"/>
        <w:spacing w:line="360" w:lineRule="auto"/>
      </w:pPr>
      <w:r>
        <w:rPr>
          <w:rFonts w:hint="eastAsia"/>
        </w:rPr>
        <w:t>绿色建材应用于基础截渗墙工程后的质量检验与验收，应覆盖材料质量、过程质量和成墙质量。</w:t>
      </w:r>
    </w:p>
    <w:p w14:paraId="01B1C391">
      <w:pPr>
        <w:pStyle w:val="165"/>
        <w:spacing w:line="360" w:lineRule="auto"/>
      </w:pPr>
      <w:r>
        <w:rPr>
          <w:rFonts w:hint="eastAsia"/>
        </w:rPr>
        <w:t>质量检验应与施工过程同步开展，并与分部工程、单元工程和阶段验收相衔接。</w:t>
      </w:r>
    </w:p>
    <w:p w14:paraId="20D961B3">
      <w:pPr>
        <w:pStyle w:val="165"/>
        <w:spacing w:line="360" w:lineRule="auto"/>
      </w:pPr>
      <w:r>
        <w:rPr>
          <w:rFonts w:hint="eastAsia"/>
        </w:rPr>
        <w:t>检验项目、检验批划分、检验方法和判定标准，应符合设计要求、相关标准和本文件规定。</w:t>
      </w:r>
    </w:p>
    <w:p w14:paraId="7E47EAE9">
      <w:pPr>
        <w:pStyle w:val="165"/>
        <w:spacing w:line="360" w:lineRule="auto"/>
      </w:pPr>
      <w:r>
        <w:rPr>
          <w:rFonts w:hint="eastAsia"/>
        </w:rPr>
        <w:t>绿色建材应用的质量验收，不得仅以材料绿色属性证明文件代替工程质量检验结果。</w:t>
      </w:r>
    </w:p>
    <w:p w14:paraId="69C6F264">
      <w:pPr>
        <w:pStyle w:val="165"/>
        <w:spacing w:line="360" w:lineRule="auto"/>
      </w:pPr>
      <w:r>
        <w:rPr>
          <w:rFonts w:hint="eastAsia"/>
        </w:rPr>
        <w:t>未经验收合格的墙段，不得进入下一阶段覆盖、封闭或者后续结构施工。</w:t>
      </w:r>
    </w:p>
    <w:p w14:paraId="1CAC386E">
      <w:pPr>
        <w:pStyle w:val="56"/>
        <w:ind w:firstLine="420"/>
      </w:pPr>
    </w:p>
    <w:p w14:paraId="7D6686DF">
      <w:pPr>
        <w:pStyle w:val="56"/>
        <w:ind w:firstLine="420"/>
        <w:rPr>
          <w:rFonts w:hint="eastAsia"/>
        </w:rPr>
      </w:pPr>
    </w:p>
    <w:p w14:paraId="0CE73E32">
      <w:pPr>
        <w:pStyle w:val="56"/>
        <w:ind w:firstLine="420"/>
      </w:pPr>
    </w:p>
    <w:p w14:paraId="5AEB8564">
      <w:pPr>
        <w:pStyle w:val="56"/>
        <w:ind w:firstLine="420"/>
        <w:rPr>
          <w:rFonts w:hint="eastAsia"/>
        </w:rPr>
      </w:pPr>
    </w:p>
    <w:p w14:paraId="1DCB89C3">
      <w:pPr>
        <w:pStyle w:val="105"/>
        <w:spacing w:before="120" w:after="120" w:line="360" w:lineRule="auto"/>
      </w:pPr>
      <w:r>
        <w:rPr>
          <w:rFonts w:hint="eastAsia"/>
        </w:rPr>
        <w:t>材料质量检验</w:t>
      </w:r>
    </w:p>
    <w:p w14:paraId="153EBBDA">
      <w:pPr>
        <w:pStyle w:val="65"/>
        <w:spacing w:before="120" w:after="120" w:line="360" w:lineRule="auto"/>
      </w:pPr>
      <w:r>
        <w:rPr>
          <w:rFonts w:hint="eastAsia"/>
        </w:rPr>
        <w:t>检验要求</w:t>
      </w:r>
    </w:p>
    <w:p w14:paraId="3B302249">
      <w:pPr>
        <w:pStyle w:val="164"/>
        <w:spacing w:line="360" w:lineRule="auto"/>
      </w:pPr>
      <w:r>
        <w:rPr>
          <w:rFonts w:hint="eastAsia"/>
        </w:rPr>
        <w:t>绿色建材进场后应按规定进行见证取样或者抽样检验。</w:t>
      </w:r>
    </w:p>
    <w:p w14:paraId="58862747">
      <w:pPr>
        <w:pStyle w:val="164"/>
        <w:spacing w:line="360" w:lineRule="auto"/>
      </w:pPr>
      <w:r>
        <w:rPr>
          <w:rFonts w:hint="eastAsia"/>
        </w:rPr>
        <w:t>材料质量检验项目应与其在墙体材料体系中的作用相对应。</w:t>
      </w:r>
    </w:p>
    <w:p w14:paraId="14CB3B7C">
      <w:pPr>
        <w:pStyle w:val="164"/>
        <w:spacing w:line="360" w:lineRule="auto"/>
      </w:pPr>
      <w:r>
        <w:rPr>
          <w:rFonts w:hint="eastAsia"/>
        </w:rPr>
        <w:t>同一厂家、同一品种、同一规格、同一批次材料可划为一个检验批；批次条件不一致时，不得并批检验。</w:t>
      </w:r>
    </w:p>
    <w:p w14:paraId="7C264EAB">
      <w:pPr>
        <w:pStyle w:val="65"/>
        <w:spacing w:before="120" w:after="120" w:line="360" w:lineRule="auto"/>
      </w:pPr>
      <w:r>
        <w:rPr>
          <w:rFonts w:hint="eastAsia"/>
        </w:rPr>
        <w:t>检验项目</w:t>
      </w:r>
    </w:p>
    <w:p w14:paraId="27D83C7C">
      <w:pPr>
        <w:pStyle w:val="164"/>
        <w:spacing w:line="360" w:lineRule="auto"/>
      </w:pPr>
      <w:r>
        <w:rPr>
          <w:rFonts w:hint="eastAsia"/>
        </w:rPr>
        <w:t>绿色胶凝材料应重点检验强度、安定性、凝结时间和细度等指标。</w:t>
      </w:r>
    </w:p>
    <w:p w14:paraId="4DD92C7A">
      <w:pPr>
        <w:pStyle w:val="164"/>
        <w:spacing w:line="360" w:lineRule="auto"/>
      </w:pPr>
      <w:r>
        <w:rPr>
          <w:rFonts w:hint="eastAsia"/>
        </w:rPr>
        <w:t>掺合料和工业固废基材料应重点检验活性、细度、含水率、烧失量和有害成分限值等指标。</w:t>
      </w:r>
    </w:p>
    <w:p w14:paraId="5E6DB10E">
      <w:pPr>
        <w:pStyle w:val="164"/>
        <w:spacing w:line="360" w:lineRule="auto"/>
      </w:pPr>
      <w:r>
        <w:rPr>
          <w:rFonts w:hint="eastAsia"/>
        </w:rPr>
        <w:t>膨润土和护壁材料应重点检验造浆性能、失水量、膨胀性和稳定性等指标。</w:t>
      </w:r>
    </w:p>
    <w:p w14:paraId="58CCBC72">
      <w:pPr>
        <w:pStyle w:val="164"/>
        <w:spacing w:line="360" w:lineRule="auto"/>
      </w:pPr>
      <w:r>
        <w:rPr>
          <w:rFonts w:hint="eastAsia"/>
        </w:rPr>
        <w:t>外加剂和改性剂应重点检验与主材体系的相容性和稳定性。</w:t>
      </w:r>
    </w:p>
    <w:p w14:paraId="0CA53FA3">
      <w:pPr>
        <w:pStyle w:val="164"/>
        <w:spacing w:line="360" w:lineRule="auto"/>
      </w:pPr>
      <w:r>
        <w:rPr>
          <w:rFonts w:hint="eastAsia"/>
        </w:rPr>
        <w:t>再生利用材料应重点检验颗粒组成、杂质含量、含泥量和稳定性。</w:t>
      </w:r>
    </w:p>
    <w:p w14:paraId="6BB06BEC">
      <w:pPr>
        <w:pStyle w:val="65"/>
        <w:spacing w:before="120" w:after="120" w:line="360" w:lineRule="auto"/>
      </w:pPr>
      <w:r>
        <w:rPr>
          <w:rFonts w:hint="eastAsia"/>
        </w:rPr>
        <w:t>判定要求</w:t>
      </w:r>
    </w:p>
    <w:p w14:paraId="4A5E7D02">
      <w:pPr>
        <w:pStyle w:val="164"/>
        <w:spacing w:line="360" w:lineRule="auto"/>
      </w:pPr>
      <w:r>
        <w:rPr>
          <w:rFonts w:hint="eastAsia"/>
        </w:rPr>
        <w:t>材料检验结果应满足设计和相应标准要求。</w:t>
      </w:r>
    </w:p>
    <w:p w14:paraId="4A9F2F83">
      <w:pPr>
        <w:pStyle w:val="164"/>
        <w:spacing w:line="360" w:lineRule="auto"/>
      </w:pPr>
      <w:r>
        <w:rPr>
          <w:rFonts w:hint="eastAsia"/>
        </w:rPr>
        <w:t>检验结果不合格的材料不得用于工程实体。</w:t>
      </w:r>
    </w:p>
    <w:p w14:paraId="783F2815">
      <w:pPr>
        <w:pStyle w:val="164"/>
        <w:spacing w:line="360" w:lineRule="auto"/>
      </w:pPr>
      <w:r>
        <w:rPr>
          <w:rFonts w:hint="eastAsia"/>
        </w:rPr>
        <w:t>对复验仍不合格的材料，应清退出场，并查明原因。</w:t>
      </w:r>
    </w:p>
    <w:p w14:paraId="30636D2A">
      <w:pPr>
        <w:pStyle w:val="105"/>
        <w:spacing w:before="120" w:after="120" w:line="360" w:lineRule="auto"/>
      </w:pPr>
      <w:r>
        <w:rPr>
          <w:rFonts w:hint="eastAsia"/>
        </w:rPr>
        <w:t>过程质量检验</w:t>
      </w:r>
    </w:p>
    <w:p w14:paraId="3844AF17">
      <w:pPr>
        <w:pStyle w:val="65"/>
        <w:spacing w:before="120" w:after="120" w:line="360" w:lineRule="auto"/>
      </w:pPr>
      <w:r>
        <w:rPr>
          <w:rFonts w:hint="eastAsia"/>
        </w:rPr>
        <w:t>成槽质量检验</w:t>
      </w:r>
    </w:p>
    <w:p w14:paraId="4C3517B1">
      <w:pPr>
        <w:pStyle w:val="164"/>
        <w:spacing w:line="360" w:lineRule="auto"/>
      </w:pPr>
      <w:r>
        <w:rPr>
          <w:rFonts w:hint="eastAsia"/>
        </w:rPr>
        <w:t>成槽质量检验应包括槽位、槽宽、槽深、垂直度和槽壁稳定性检查。</w:t>
      </w:r>
    </w:p>
    <w:p w14:paraId="04C25DCB">
      <w:pPr>
        <w:pStyle w:val="164"/>
        <w:spacing w:line="360" w:lineRule="auto"/>
      </w:pPr>
      <w:r>
        <w:rPr>
          <w:rFonts w:hint="eastAsia"/>
        </w:rPr>
        <w:t>检验频次应满足施工控制要求；关键墙段和首件墙段应加密检验。</w:t>
      </w:r>
    </w:p>
    <w:p w14:paraId="7D6FD1F4">
      <w:pPr>
        <w:pStyle w:val="164"/>
        <w:spacing w:line="360" w:lineRule="auto"/>
      </w:pPr>
      <w:r>
        <w:rPr>
          <w:rFonts w:hint="eastAsia"/>
        </w:rPr>
        <w:t>成槽参数超出允许偏差时，应进行纠偏或者返工处理。</w:t>
      </w:r>
    </w:p>
    <w:p w14:paraId="5230676C">
      <w:pPr>
        <w:pStyle w:val="65"/>
        <w:spacing w:before="120" w:after="120" w:line="360" w:lineRule="auto"/>
      </w:pPr>
      <w:r>
        <w:rPr>
          <w:rFonts w:hint="eastAsia"/>
        </w:rPr>
        <w:t>清槽质量检验</w:t>
      </w:r>
    </w:p>
    <w:p w14:paraId="628D5C99">
      <w:pPr>
        <w:pStyle w:val="164"/>
        <w:spacing w:line="360" w:lineRule="auto"/>
      </w:pPr>
      <w:r>
        <w:rPr>
          <w:rFonts w:hint="eastAsia"/>
        </w:rPr>
        <w:t>清槽质量检验应包括槽底沉渣厚度、槽深复核和泥浆指标检查。</w:t>
      </w:r>
    </w:p>
    <w:p w14:paraId="28E2E428">
      <w:pPr>
        <w:pStyle w:val="164"/>
        <w:spacing w:line="360" w:lineRule="auto"/>
      </w:pPr>
      <w:r>
        <w:rPr>
          <w:rFonts w:hint="eastAsia"/>
        </w:rPr>
        <w:t>清槽质量不合格时，不得进行灌注。</w:t>
      </w:r>
    </w:p>
    <w:p w14:paraId="74C1B296">
      <w:pPr>
        <w:pStyle w:val="164"/>
        <w:spacing w:line="360" w:lineRule="auto"/>
      </w:pPr>
      <w:r>
        <w:rPr>
          <w:rFonts w:hint="eastAsia"/>
        </w:rPr>
        <w:t>浆液和拌合物质量检验</w:t>
      </w:r>
    </w:p>
    <w:p w14:paraId="357A7447">
      <w:pPr>
        <w:pStyle w:val="164"/>
        <w:spacing w:line="360" w:lineRule="auto"/>
      </w:pPr>
      <w:r>
        <w:rPr>
          <w:rFonts w:hint="eastAsia"/>
        </w:rPr>
        <w:t>施工过程中应对浆液或者拌合物的密度、流动性、黏度、泌水率、稳定性和必要的凝结性能进行检验。</w:t>
      </w:r>
    </w:p>
    <w:p w14:paraId="5DB75009">
      <w:pPr>
        <w:pStyle w:val="164"/>
        <w:spacing w:line="360" w:lineRule="auto"/>
      </w:pPr>
      <w:r>
        <w:rPr>
          <w:rFonts w:hint="eastAsia"/>
        </w:rPr>
        <w:t>检验频次应根据材料稳定性、施工连续性和工程重要性确定；首批、换批、换仓、换配合比和异常工况时应增加检验。</w:t>
      </w:r>
    </w:p>
    <w:p w14:paraId="25D7BA33">
      <w:pPr>
        <w:pStyle w:val="164"/>
        <w:spacing w:line="360" w:lineRule="auto"/>
      </w:pPr>
      <w:r>
        <w:rPr>
          <w:rFonts w:hint="eastAsia"/>
        </w:rPr>
        <w:t>施工性能指标不符合要求时，该批浆液或者拌合物不得入槽。</w:t>
      </w:r>
    </w:p>
    <w:p w14:paraId="39CBFC29">
      <w:pPr>
        <w:pStyle w:val="65"/>
        <w:spacing w:before="120" w:after="120" w:line="360" w:lineRule="auto"/>
      </w:pPr>
      <w:r>
        <w:rPr>
          <w:rFonts w:hint="eastAsia"/>
        </w:rPr>
        <w:t>接头质量检验</w:t>
      </w:r>
    </w:p>
    <w:p w14:paraId="41F7F475">
      <w:pPr>
        <w:pStyle w:val="164"/>
        <w:spacing w:line="360" w:lineRule="auto"/>
      </w:pPr>
      <w:r>
        <w:rPr>
          <w:rFonts w:hint="eastAsia"/>
        </w:rPr>
        <w:t>接头质量检验应包括接头位置、接头清理状态、衔接完整性和必要的检测验证。</w:t>
      </w:r>
    </w:p>
    <w:p w14:paraId="60F7B351">
      <w:pPr>
        <w:pStyle w:val="164"/>
        <w:spacing w:line="360" w:lineRule="auto"/>
      </w:pPr>
      <w:r>
        <w:rPr>
          <w:rFonts w:hint="eastAsia"/>
        </w:rPr>
        <w:t>接头质量存在明显缺陷时，应采取补强、复做或者其他经论证的处理措施。</w:t>
      </w:r>
    </w:p>
    <w:p w14:paraId="4F14195C">
      <w:pPr>
        <w:pStyle w:val="105"/>
        <w:spacing w:before="120" w:after="120" w:line="360" w:lineRule="auto"/>
      </w:pPr>
      <w:r>
        <w:rPr>
          <w:rFonts w:hint="eastAsia"/>
        </w:rPr>
        <w:t>成墙质量检验</w:t>
      </w:r>
    </w:p>
    <w:p w14:paraId="3A04B7BA">
      <w:pPr>
        <w:pStyle w:val="65"/>
        <w:spacing w:before="120" w:after="120" w:line="360" w:lineRule="auto"/>
      </w:pPr>
      <w:r>
        <w:rPr>
          <w:rFonts w:hint="eastAsia"/>
        </w:rPr>
        <w:t>一般要求</w:t>
      </w:r>
    </w:p>
    <w:p w14:paraId="1377B0FD">
      <w:pPr>
        <w:pStyle w:val="164"/>
        <w:spacing w:line="360" w:lineRule="auto"/>
      </w:pPr>
      <w:r>
        <w:rPr>
          <w:rFonts w:hint="eastAsia"/>
        </w:rPr>
        <w:t>成墙质量检验应根据墙体型式和工程要求，采用外观检查、资料核查、实体检测和必要的取芯或者专项检测方法进行。</w:t>
      </w:r>
    </w:p>
    <w:p w14:paraId="7500C8C8">
      <w:pPr>
        <w:pStyle w:val="164"/>
        <w:spacing w:line="360" w:lineRule="auto"/>
      </w:pPr>
      <w:r>
        <w:rPr>
          <w:rFonts w:hint="eastAsia"/>
        </w:rPr>
        <w:t>成墙质量检验应重点关注墙体连续性、完整性、均匀性、强度和渗透性能。</w:t>
      </w:r>
    </w:p>
    <w:p w14:paraId="027A79B6">
      <w:pPr>
        <w:pStyle w:val="65"/>
        <w:spacing w:before="120" w:after="120" w:line="360" w:lineRule="auto"/>
      </w:pPr>
      <w:r>
        <w:rPr>
          <w:rFonts w:hint="eastAsia"/>
        </w:rPr>
        <w:t>检验项目</w:t>
      </w:r>
    </w:p>
    <w:p w14:paraId="092ED0A7">
      <w:pPr>
        <w:pStyle w:val="164"/>
        <w:spacing w:line="360" w:lineRule="auto"/>
      </w:pPr>
      <w:r>
        <w:rPr>
          <w:rFonts w:hint="eastAsia"/>
        </w:rPr>
        <w:t>成墙质量检验项目宜包括下列内容：</w:t>
      </w:r>
    </w:p>
    <w:p w14:paraId="061EC1DE">
      <w:pPr>
        <w:pStyle w:val="56"/>
        <w:spacing w:line="360" w:lineRule="auto"/>
        <w:ind w:firstLine="420"/>
      </w:pPr>
      <w:r>
        <w:rPr>
          <w:rFonts w:hint="eastAsia"/>
        </w:rPr>
        <w:t>a）墙体轴线和几何尺寸；</w:t>
      </w:r>
    </w:p>
    <w:p w14:paraId="65000FA7">
      <w:pPr>
        <w:pStyle w:val="56"/>
        <w:spacing w:line="360" w:lineRule="auto"/>
        <w:ind w:firstLine="420"/>
      </w:pPr>
      <w:r>
        <w:rPr>
          <w:rFonts w:hint="eastAsia"/>
        </w:rPr>
        <w:t>b）墙体连续性和完整性；</w:t>
      </w:r>
    </w:p>
    <w:p w14:paraId="4E6567BD">
      <w:pPr>
        <w:pStyle w:val="56"/>
        <w:spacing w:line="360" w:lineRule="auto"/>
        <w:ind w:firstLine="420"/>
      </w:pPr>
      <w:r>
        <w:rPr>
          <w:rFonts w:hint="eastAsia"/>
        </w:rPr>
        <w:t>c）墙体强度或者等效强度指标；</w:t>
      </w:r>
    </w:p>
    <w:p w14:paraId="234990FC">
      <w:pPr>
        <w:pStyle w:val="56"/>
        <w:spacing w:line="360" w:lineRule="auto"/>
        <w:ind w:firstLine="420"/>
      </w:pPr>
      <w:r>
        <w:rPr>
          <w:rFonts w:hint="eastAsia"/>
        </w:rPr>
        <w:t>d）墙体渗透系数或者抗渗性能；</w:t>
      </w:r>
    </w:p>
    <w:p w14:paraId="584BC66C">
      <w:pPr>
        <w:pStyle w:val="56"/>
        <w:spacing w:line="360" w:lineRule="auto"/>
        <w:ind w:firstLine="420"/>
      </w:pPr>
      <w:r>
        <w:rPr>
          <w:rFonts w:hint="eastAsia"/>
        </w:rPr>
        <w:t>e）接头质量；</w:t>
      </w:r>
    </w:p>
    <w:p w14:paraId="048C57F3">
      <w:pPr>
        <w:pStyle w:val="56"/>
        <w:spacing w:line="360" w:lineRule="auto"/>
        <w:ind w:firstLine="420"/>
      </w:pPr>
      <w:r>
        <w:rPr>
          <w:rFonts w:hint="eastAsia"/>
        </w:rPr>
        <w:t>f）必要的均匀性和耐久性指标。</w:t>
      </w:r>
    </w:p>
    <w:p w14:paraId="5B816F64">
      <w:pPr>
        <w:pStyle w:val="164"/>
        <w:spacing w:line="360" w:lineRule="auto"/>
      </w:pPr>
      <w:r>
        <w:rPr>
          <w:rFonts w:hint="eastAsia"/>
        </w:rPr>
        <w:t>对采用新型绿色建材体系的墙体，宜增加取芯、波速检测、钻孔检查或者其他专项检验。</w:t>
      </w:r>
    </w:p>
    <w:p w14:paraId="50029739">
      <w:pPr>
        <w:pStyle w:val="65"/>
        <w:spacing w:before="120" w:after="120" w:line="360" w:lineRule="auto"/>
      </w:pPr>
      <w:r>
        <w:rPr>
          <w:rFonts w:hint="eastAsia"/>
        </w:rPr>
        <w:t>检验频次</w:t>
      </w:r>
    </w:p>
    <w:p w14:paraId="0228FC36">
      <w:pPr>
        <w:pStyle w:val="164"/>
        <w:spacing w:line="360" w:lineRule="auto"/>
      </w:pPr>
      <w:r>
        <w:rPr>
          <w:rFonts w:hint="eastAsia"/>
        </w:rPr>
        <w:t>成墙质量检验频次应根据工程等级、墙体长度、墙段数量、地层复杂程度和绿色建材应用风险确定。</w:t>
      </w:r>
    </w:p>
    <w:p w14:paraId="7D312576">
      <w:pPr>
        <w:pStyle w:val="164"/>
        <w:spacing w:line="360" w:lineRule="auto"/>
      </w:pPr>
      <w:r>
        <w:rPr>
          <w:rFonts w:hint="eastAsia"/>
        </w:rPr>
        <w:t>首件墙段、试验段、异常处置墙段和重要部位墙段应单独检验。</w:t>
      </w:r>
    </w:p>
    <w:p w14:paraId="33695507">
      <w:pPr>
        <w:pStyle w:val="164"/>
        <w:spacing w:line="360" w:lineRule="auto"/>
      </w:pPr>
      <w:r>
        <w:rPr>
          <w:rFonts w:hint="eastAsia"/>
        </w:rPr>
        <w:t>当检验结果离散性较大或者存在异常趋势时，应扩大检验范围。</w:t>
      </w:r>
    </w:p>
    <w:p w14:paraId="08D84DC6">
      <w:pPr>
        <w:pStyle w:val="105"/>
        <w:spacing w:before="120" w:after="120" w:line="360" w:lineRule="auto"/>
      </w:pPr>
      <w:r>
        <w:rPr>
          <w:rFonts w:hint="eastAsia"/>
        </w:rPr>
        <w:t>检验结果判定</w:t>
      </w:r>
    </w:p>
    <w:p w14:paraId="58346BDE">
      <w:pPr>
        <w:pStyle w:val="165"/>
        <w:spacing w:line="360" w:lineRule="auto"/>
      </w:pPr>
      <w:r>
        <w:rPr>
          <w:rFonts w:hint="eastAsia"/>
        </w:rPr>
        <w:t>材料质量、过程质量和成墙质量均应符合设计要求和相应标准要求，方可判定为合格。</w:t>
      </w:r>
    </w:p>
    <w:p w14:paraId="1E3BE1E9">
      <w:pPr>
        <w:pStyle w:val="165"/>
        <w:spacing w:line="360" w:lineRule="auto"/>
      </w:pPr>
      <w:r>
        <w:rPr>
          <w:rFonts w:hint="eastAsia"/>
        </w:rPr>
        <w:t>任一关键控制指标不符合要求时，应判定该检验批或者相应墙段为不合格。</w:t>
      </w:r>
    </w:p>
    <w:p w14:paraId="5F4B766A">
      <w:pPr>
        <w:pStyle w:val="165"/>
        <w:spacing w:line="360" w:lineRule="auto"/>
      </w:pPr>
      <w:r>
        <w:rPr>
          <w:rFonts w:hint="eastAsia"/>
        </w:rPr>
        <w:t>检验结果接近控制边界值时，应进行复核或者补充检测。</w:t>
      </w:r>
    </w:p>
    <w:p w14:paraId="4B659347">
      <w:pPr>
        <w:pStyle w:val="165"/>
        <w:spacing w:line="360" w:lineRule="auto"/>
      </w:pPr>
      <w:r>
        <w:rPr>
          <w:rFonts w:hint="eastAsia"/>
        </w:rPr>
        <w:t>对采用绿色建材的基础截渗墙，不得以单项材料检验合格替代整体成墙质量合格判定。</w:t>
      </w:r>
    </w:p>
    <w:p w14:paraId="6B88057D">
      <w:pPr>
        <w:pStyle w:val="165"/>
        <w:numPr>
          <w:ilvl w:val="0"/>
          <w:numId w:val="0"/>
        </w:numPr>
        <w:spacing w:line="360" w:lineRule="auto"/>
      </w:pPr>
    </w:p>
    <w:p w14:paraId="3AE5C527">
      <w:pPr>
        <w:pStyle w:val="165"/>
        <w:numPr>
          <w:ilvl w:val="0"/>
          <w:numId w:val="0"/>
        </w:numPr>
        <w:spacing w:line="360" w:lineRule="auto"/>
      </w:pPr>
    </w:p>
    <w:p w14:paraId="253BB052">
      <w:pPr>
        <w:pStyle w:val="165"/>
        <w:numPr>
          <w:ilvl w:val="0"/>
          <w:numId w:val="0"/>
        </w:numPr>
        <w:spacing w:line="360" w:lineRule="auto"/>
        <w:rPr>
          <w:rFonts w:hint="eastAsia"/>
        </w:rPr>
      </w:pPr>
    </w:p>
    <w:p w14:paraId="751E7049">
      <w:pPr>
        <w:pStyle w:val="105"/>
        <w:spacing w:before="120" w:after="120" w:line="360" w:lineRule="auto"/>
      </w:pPr>
      <w:r>
        <w:rPr>
          <w:rFonts w:hint="eastAsia"/>
        </w:rPr>
        <w:t>验收控制</w:t>
      </w:r>
    </w:p>
    <w:p w14:paraId="4ED8D19F">
      <w:pPr>
        <w:pStyle w:val="65"/>
        <w:spacing w:before="120" w:after="120" w:line="360" w:lineRule="auto"/>
      </w:pPr>
      <w:r>
        <w:rPr>
          <w:rFonts w:hint="eastAsia"/>
        </w:rPr>
        <w:t>验收条件</w:t>
      </w:r>
    </w:p>
    <w:p w14:paraId="56626CF0">
      <w:pPr>
        <w:pStyle w:val="56"/>
        <w:spacing w:line="360" w:lineRule="auto"/>
        <w:ind w:firstLine="420"/>
      </w:pPr>
      <w:r>
        <w:rPr>
          <w:rFonts w:hint="eastAsia"/>
        </w:rPr>
        <w:t>基础截渗墙工程进行质量验收前，应具备下列条件：</w:t>
      </w:r>
    </w:p>
    <w:p w14:paraId="1BAAD822">
      <w:pPr>
        <w:pStyle w:val="56"/>
        <w:spacing w:line="360" w:lineRule="auto"/>
        <w:ind w:firstLine="420"/>
      </w:pPr>
      <w:r>
        <w:rPr>
          <w:rFonts w:hint="eastAsia"/>
        </w:rPr>
        <w:t>a）材料检验资料齐全且结论明确；</w:t>
      </w:r>
    </w:p>
    <w:p w14:paraId="0432616E">
      <w:pPr>
        <w:pStyle w:val="56"/>
        <w:spacing w:line="360" w:lineRule="auto"/>
        <w:ind w:firstLine="420"/>
      </w:pPr>
      <w:r>
        <w:rPr>
          <w:rFonts w:hint="eastAsia"/>
        </w:rPr>
        <w:t>b）试验验证资料完整；</w:t>
      </w:r>
    </w:p>
    <w:p w14:paraId="1BD05A9B">
      <w:pPr>
        <w:pStyle w:val="56"/>
        <w:spacing w:line="360" w:lineRule="auto"/>
        <w:ind w:firstLine="420"/>
      </w:pPr>
      <w:r>
        <w:rPr>
          <w:rFonts w:hint="eastAsia"/>
        </w:rPr>
        <w:t>c）施工过程记录完整；</w:t>
      </w:r>
    </w:p>
    <w:p w14:paraId="2330B524">
      <w:pPr>
        <w:pStyle w:val="56"/>
        <w:spacing w:line="360" w:lineRule="auto"/>
        <w:ind w:firstLine="420"/>
      </w:pPr>
      <w:r>
        <w:rPr>
          <w:rFonts w:hint="eastAsia"/>
        </w:rPr>
        <w:t>d）成墙质量检测结果齐全；</w:t>
      </w:r>
    </w:p>
    <w:p w14:paraId="1EA1EED6">
      <w:pPr>
        <w:pStyle w:val="56"/>
        <w:spacing w:line="360" w:lineRule="auto"/>
        <w:ind w:firstLine="420"/>
      </w:pPr>
      <w:r>
        <w:rPr>
          <w:rFonts w:hint="eastAsia"/>
        </w:rPr>
        <w:t>e）异常情况处置记录完整；</w:t>
      </w:r>
    </w:p>
    <w:p w14:paraId="4EEBF385">
      <w:pPr>
        <w:pStyle w:val="56"/>
        <w:spacing w:line="360" w:lineRule="auto"/>
        <w:ind w:firstLine="420"/>
      </w:pPr>
      <w:r>
        <w:rPr>
          <w:rFonts w:hint="eastAsia"/>
        </w:rPr>
        <w:t>f）验收资料经整理并可追溯。</w:t>
      </w:r>
    </w:p>
    <w:p w14:paraId="4C486CB3">
      <w:pPr>
        <w:pStyle w:val="164"/>
        <w:spacing w:line="360" w:lineRule="auto"/>
      </w:pPr>
      <w:r>
        <w:rPr>
          <w:rFonts w:hint="eastAsia"/>
        </w:rPr>
        <w:t>上述条件不具备时，不得组织正式验收。</w:t>
      </w:r>
    </w:p>
    <w:p w14:paraId="4E6D4AAA">
      <w:pPr>
        <w:pStyle w:val="65"/>
        <w:spacing w:before="120" w:after="120" w:line="360" w:lineRule="auto"/>
      </w:pPr>
      <w:r>
        <w:rPr>
          <w:rFonts w:hint="eastAsia"/>
        </w:rPr>
        <w:t>验收资料</w:t>
      </w:r>
    </w:p>
    <w:p w14:paraId="1FDED6C2">
      <w:pPr>
        <w:pStyle w:val="164"/>
        <w:spacing w:line="360" w:lineRule="auto"/>
      </w:pPr>
      <w:r>
        <w:rPr>
          <w:rFonts w:hint="eastAsia"/>
        </w:rPr>
        <w:t>验收资料应至少包括下列内容：</w:t>
      </w:r>
    </w:p>
    <w:p w14:paraId="1A46E448">
      <w:pPr>
        <w:pStyle w:val="56"/>
        <w:spacing w:line="360" w:lineRule="auto"/>
        <w:ind w:firstLine="420"/>
      </w:pPr>
      <w:r>
        <w:rPr>
          <w:rFonts w:hint="eastAsia"/>
        </w:rPr>
        <w:t>a）设计文件和设计变更文件；</w:t>
      </w:r>
    </w:p>
    <w:p w14:paraId="2CB0541B">
      <w:pPr>
        <w:pStyle w:val="56"/>
        <w:spacing w:line="360" w:lineRule="auto"/>
        <w:ind w:firstLine="420"/>
      </w:pPr>
      <w:r>
        <w:rPr>
          <w:rFonts w:hint="eastAsia"/>
        </w:rPr>
        <w:t>b）材料质量证明文件和进场检验资料；</w:t>
      </w:r>
    </w:p>
    <w:p w14:paraId="03976142">
      <w:pPr>
        <w:pStyle w:val="56"/>
        <w:spacing w:line="360" w:lineRule="auto"/>
        <w:ind w:firstLine="420"/>
      </w:pPr>
      <w:r>
        <w:rPr>
          <w:rFonts w:hint="eastAsia"/>
        </w:rPr>
        <w:t>c）试验验证报告和试验段总结；</w:t>
      </w:r>
    </w:p>
    <w:p w14:paraId="617AE576">
      <w:pPr>
        <w:pStyle w:val="56"/>
        <w:spacing w:line="360" w:lineRule="auto"/>
        <w:ind w:firstLine="420"/>
      </w:pPr>
      <w:r>
        <w:rPr>
          <w:rFonts w:hint="eastAsia"/>
        </w:rPr>
        <w:t>d）正式施工配合比和变更记录；</w:t>
      </w:r>
    </w:p>
    <w:p w14:paraId="42C1BA75">
      <w:pPr>
        <w:pStyle w:val="56"/>
        <w:spacing w:line="360" w:lineRule="auto"/>
        <w:ind w:firstLine="420"/>
      </w:pPr>
      <w:r>
        <w:rPr>
          <w:rFonts w:hint="eastAsia"/>
        </w:rPr>
        <w:t>e）施工原始记录和质量检查记录；</w:t>
      </w:r>
    </w:p>
    <w:p w14:paraId="1D1AE523">
      <w:pPr>
        <w:pStyle w:val="56"/>
        <w:spacing w:line="360" w:lineRule="auto"/>
        <w:ind w:firstLine="420"/>
      </w:pPr>
      <w:r>
        <w:rPr>
          <w:rFonts w:hint="eastAsia"/>
        </w:rPr>
        <w:t>f）成墙检测报告；</w:t>
      </w:r>
    </w:p>
    <w:p w14:paraId="2BD51FE5">
      <w:pPr>
        <w:pStyle w:val="56"/>
        <w:spacing w:line="360" w:lineRule="auto"/>
        <w:ind w:firstLine="420"/>
      </w:pPr>
      <w:r>
        <w:rPr>
          <w:rFonts w:hint="eastAsia"/>
        </w:rPr>
        <w:t>g）异常情况处置资料；</w:t>
      </w:r>
    </w:p>
    <w:p w14:paraId="64784C4E">
      <w:pPr>
        <w:pStyle w:val="56"/>
        <w:spacing w:line="360" w:lineRule="auto"/>
        <w:ind w:firstLine="420"/>
      </w:pPr>
      <w:r>
        <w:rPr>
          <w:rFonts w:hint="eastAsia"/>
        </w:rPr>
        <w:t>h）质量评定资料。</w:t>
      </w:r>
    </w:p>
    <w:p w14:paraId="018475EF">
      <w:pPr>
        <w:pStyle w:val="164"/>
        <w:spacing w:line="360" w:lineRule="auto"/>
      </w:pPr>
      <w:r>
        <w:rPr>
          <w:rFonts w:hint="eastAsia"/>
        </w:rPr>
        <w:t>验收资料内容应真实、完整、一致，不得缺项、漏项或者互相矛盾。</w:t>
      </w:r>
    </w:p>
    <w:p w14:paraId="73E54156">
      <w:pPr>
        <w:pStyle w:val="65"/>
        <w:spacing w:before="120" w:after="120" w:line="360" w:lineRule="auto"/>
      </w:pPr>
      <w:r>
        <w:rPr>
          <w:rFonts w:hint="eastAsia"/>
        </w:rPr>
        <w:t>验收结论</w:t>
      </w:r>
    </w:p>
    <w:p w14:paraId="072F2A07">
      <w:pPr>
        <w:pStyle w:val="164"/>
        <w:spacing w:line="360" w:lineRule="auto"/>
      </w:pPr>
      <w:r>
        <w:rPr>
          <w:rFonts w:hint="eastAsia"/>
        </w:rPr>
        <w:t>基础截渗墙绿色建材应用质量验收应形成明确结论。</w:t>
      </w:r>
    </w:p>
    <w:p w14:paraId="47035B10">
      <w:pPr>
        <w:pStyle w:val="164"/>
        <w:spacing w:line="360" w:lineRule="auto"/>
      </w:pPr>
      <w:r>
        <w:rPr>
          <w:rFonts w:hint="eastAsia"/>
        </w:rPr>
        <w:t>验收结论宜分为合格、不合格和需复验三类。</w:t>
      </w:r>
    </w:p>
    <w:p w14:paraId="55D7F773">
      <w:pPr>
        <w:pStyle w:val="164"/>
        <w:spacing w:line="360" w:lineRule="auto"/>
      </w:pPr>
      <w:r>
        <w:rPr>
          <w:rFonts w:hint="eastAsia"/>
        </w:rPr>
        <w:t>对需复验的工程部位，应明确复验范围、复验方法和完成时限；复验未完成前，不得作最终合格确认。</w:t>
      </w:r>
    </w:p>
    <w:p w14:paraId="0CF6B0C1">
      <w:pPr>
        <w:pStyle w:val="105"/>
        <w:spacing w:before="120" w:after="120" w:line="360" w:lineRule="auto"/>
      </w:pPr>
      <w:r>
        <w:rPr>
          <w:rFonts w:hint="eastAsia"/>
        </w:rPr>
        <w:t>不合格处理</w:t>
      </w:r>
    </w:p>
    <w:p w14:paraId="46B2AC0D">
      <w:pPr>
        <w:pStyle w:val="165"/>
        <w:spacing w:line="360" w:lineRule="auto"/>
      </w:pPr>
      <w:r>
        <w:rPr>
          <w:rFonts w:hint="eastAsia"/>
        </w:rPr>
        <w:t>对检验不合格的材料、工序或者墙段，应及时进行标识和隔离。</w:t>
      </w:r>
    </w:p>
    <w:p w14:paraId="6012995D">
      <w:pPr>
        <w:pStyle w:val="165"/>
        <w:spacing w:line="360" w:lineRule="auto"/>
      </w:pPr>
      <w:r>
        <w:rPr>
          <w:rFonts w:hint="eastAsia"/>
        </w:rPr>
        <w:t>不合格处理应根据问题性质、影响范围和工程风险确定，可采取返工、补强、复灌、补检、专项评估或者降级使用等措施。</w:t>
      </w:r>
    </w:p>
    <w:p w14:paraId="40CE9492">
      <w:pPr>
        <w:pStyle w:val="165"/>
        <w:spacing w:line="360" w:lineRule="auto"/>
      </w:pPr>
      <w:r>
        <w:rPr>
          <w:rFonts w:hint="eastAsia"/>
        </w:rPr>
        <w:t>不合格处理方案应经技术确认后实施。</w:t>
      </w:r>
    </w:p>
    <w:p w14:paraId="6E34E28C">
      <w:pPr>
        <w:pStyle w:val="165"/>
        <w:spacing w:line="360" w:lineRule="auto"/>
      </w:pPr>
      <w:r>
        <w:rPr>
          <w:rFonts w:hint="eastAsia"/>
        </w:rPr>
        <w:t>经处理后的部位应重新检验；重新检验合格后方可进入后续验收程序。</w:t>
      </w:r>
    </w:p>
    <w:p w14:paraId="31622010">
      <w:pPr>
        <w:pStyle w:val="165"/>
        <w:spacing w:line="360" w:lineRule="auto"/>
      </w:pPr>
      <w:r>
        <w:rPr>
          <w:rFonts w:hint="eastAsia"/>
        </w:rPr>
        <w:t>对重复发生或者系统性发生的不合格问题，应分析根本原因并采取纠正措施。</w:t>
      </w:r>
    </w:p>
    <w:p w14:paraId="474542EA">
      <w:pPr>
        <w:pStyle w:val="105"/>
        <w:spacing w:before="120" w:after="120" w:line="360" w:lineRule="auto"/>
      </w:pPr>
      <w:r>
        <w:rPr>
          <w:rFonts w:hint="eastAsia"/>
        </w:rPr>
        <w:t>质量评估与持续改进</w:t>
      </w:r>
    </w:p>
    <w:p w14:paraId="6C9D33D0">
      <w:pPr>
        <w:pStyle w:val="165"/>
        <w:spacing w:line="360" w:lineRule="auto"/>
      </w:pPr>
      <w:r>
        <w:rPr>
          <w:rFonts w:hint="eastAsia"/>
        </w:rPr>
        <w:t>工程实施过程中，应定期对绿色建材应用质量控制效果进行评估。</w:t>
      </w:r>
    </w:p>
    <w:p w14:paraId="6A13AD50">
      <w:pPr>
        <w:pStyle w:val="165"/>
        <w:spacing w:line="360" w:lineRule="auto"/>
      </w:pPr>
      <w:r>
        <w:rPr>
          <w:rFonts w:hint="eastAsia"/>
        </w:rPr>
        <w:t>评估内容宜包括材料稳定性、施工适应性、检验合格率、异常发生率和资料完整性。</w:t>
      </w:r>
    </w:p>
    <w:p w14:paraId="0894C688">
      <w:pPr>
        <w:pStyle w:val="165"/>
        <w:spacing w:line="360" w:lineRule="auto"/>
      </w:pPr>
      <w:r>
        <w:rPr>
          <w:rFonts w:hint="eastAsia"/>
        </w:rPr>
        <w:t>对评估中发现的问题，应及时修订控制措施、优化配合比、调整施工参数或者完善管理要求。</w:t>
      </w:r>
    </w:p>
    <w:p w14:paraId="2A4E1F1D">
      <w:pPr>
        <w:pStyle w:val="165"/>
        <w:spacing w:line="360" w:lineRule="auto"/>
      </w:pPr>
      <w:r>
        <w:rPr>
          <w:rFonts w:hint="eastAsia"/>
        </w:rPr>
        <w:t>工程完工后，宜形成绿色建材应用质量控制总结，为后续类似工程提供依据。</w:t>
      </w:r>
    </w:p>
    <w:p w14:paraId="11D7EBE5">
      <w:pPr>
        <w:pStyle w:val="104"/>
        <w:spacing w:before="240" w:after="240" w:line="360" w:lineRule="auto"/>
      </w:pPr>
      <w:bookmarkStart w:id="55" w:name="_Toc228533595"/>
      <w:r>
        <w:rPr>
          <w:rFonts w:hint="eastAsia"/>
        </w:rPr>
        <w:t>资料管理与追溯</w:t>
      </w:r>
      <w:bookmarkEnd w:id="55"/>
    </w:p>
    <w:p w14:paraId="01592890">
      <w:pPr>
        <w:pStyle w:val="105"/>
        <w:spacing w:before="120" w:after="120" w:line="360" w:lineRule="auto"/>
      </w:pPr>
      <w:r>
        <w:rPr>
          <w:rFonts w:hint="eastAsia"/>
        </w:rPr>
        <w:t>一般规定</w:t>
      </w:r>
    </w:p>
    <w:p w14:paraId="456C78AB">
      <w:pPr>
        <w:pStyle w:val="165"/>
        <w:spacing w:line="360" w:lineRule="auto"/>
      </w:pPr>
      <w:r>
        <w:rPr>
          <w:rFonts w:hint="eastAsia"/>
        </w:rPr>
        <w:t>基础截渗墙绿色建材应用资料管理应贯穿材料选用、进场验收、试验验证、配合比控制、施工实施、质量检验、验收评定和后续追溯全过程。</w:t>
      </w:r>
    </w:p>
    <w:p w14:paraId="4F567FD8">
      <w:pPr>
        <w:pStyle w:val="165"/>
        <w:spacing w:line="360" w:lineRule="auto"/>
      </w:pPr>
      <w:r>
        <w:rPr>
          <w:rFonts w:hint="eastAsia"/>
        </w:rPr>
        <w:t>资料管理应遵循真实、完整、准确、及时、一致和可追溯的原则。</w:t>
      </w:r>
    </w:p>
    <w:p w14:paraId="1BCA119C">
      <w:pPr>
        <w:pStyle w:val="165"/>
        <w:spacing w:line="360" w:lineRule="auto"/>
      </w:pPr>
      <w:r>
        <w:rPr>
          <w:rFonts w:hint="eastAsia"/>
        </w:rPr>
        <w:t>资料形成、整理、审核、移交、归档和调用应实行责任管理，明确资料形成责任人、审核责任人、归档责任人和保管责任人。</w:t>
      </w:r>
    </w:p>
    <w:p w14:paraId="04EC375B">
      <w:pPr>
        <w:pStyle w:val="165"/>
        <w:spacing w:line="360" w:lineRule="auto"/>
      </w:pPr>
      <w:r>
        <w:rPr>
          <w:rFonts w:hint="eastAsia"/>
        </w:rPr>
        <w:t>资料管理不得脱离工程实体、材料批次、施工墙段和检测结果单独进行。任何资料均应与实际工程对象一一对应。</w:t>
      </w:r>
    </w:p>
    <w:p w14:paraId="268BD1D3">
      <w:pPr>
        <w:pStyle w:val="165"/>
        <w:spacing w:line="360" w:lineRule="auto"/>
      </w:pPr>
      <w:r>
        <w:rPr>
          <w:rFonts w:hint="eastAsia"/>
        </w:rPr>
        <w:t>基础截渗墙绿色建材应用的资料不得伪造、篡改、抽换、隐匿或者擅自销毁。</w:t>
      </w:r>
    </w:p>
    <w:p w14:paraId="7CFB092C">
      <w:pPr>
        <w:pStyle w:val="165"/>
        <w:spacing w:line="360" w:lineRule="auto"/>
      </w:pPr>
      <w:r>
        <w:rPr>
          <w:rFonts w:hint="eastAsia"/>
        </w:rPr>
        <w:t>采用电子资料管理方式的，应保证电子资料与纸质资料、原始记录与汇总资料、现场记录与归档资料之间内容一致。</w:t>
      </w:r>
    </w:p>
    <w:p w14:paraId="049BAD8E">
      <w:pPr>
        <w:pStyle w:val="105"/>
        <w:spacing w:before="120" w:after="120" w:line="360" w:lineRule="auto"/>
      </w:pPr>
      <w:r>
        <w:rPr>
          <w:rFonts w:hint="eastAsia"/>
        </w:rPr>
        <w:t>资料类别</w:t>
      </w:r>
    </w:p>
    <w:p w14:paraId="20F3A31E">
      <w:pPr>
        <w:pStyle w:val="165"/>
        <w:spacing w:line="360" w:lineRule="auto"/>
      </w:pPr>
      <w:r>
        <w:rPr>
          <w:rFonts w:hint="eastAsia"/>
        </w:rPr>
        <w:t>绿色建材应用资料宜分为下列类别：</w:t>
      </w:r>
    </w:p>
    <w:p w14:paraId="147E9814">
      <w:pPr>
        <w:pStyle w:val="56"/>
        <w:spacing w:line="360" w:lineRule="auto"/>
        <w:ind w:firstLine="420"/>
      </w:pPr>
      <w:r>
        <w:rPr>
          <w:rFonts w:hint="eastAsia"/>
        </w:rPr>
        <w:t>a）前期资料；</w:t>
      </w:r>
    </w:p>
    <w:p w14:paraId="579CEDBD">
      <w:pPr>
        <w:pStyle w:val="56"/>
        <w:spacing w:line="360" w:lineRule="auto"/>
        <w:ind w:firstLine="420"/>
      </w:pPr>
      <w:r>
        <w:rPr>
          <w:rFonts w:hint="eastAsia"/>
        </w:rPr>
        <w:t>b）材料资料；</w:t>
      </w:r>
    </w:p>
    <w:p w14:paraId="3A594786">
      <w:pPr>
        <w:pStyle w:val="56"/>
        <w:spacing w:line="360" w:lineRule="auto"/>
        <w:ind w:firstLine="420"/>
      </w:pPr>
      <w:r>
        <w:rPr>
          <w:rFonts w:hint="eastAsia"/>
        </w:rPr>
        <w:t>c）试验验证资料；</w:t>
      </w:r>
    </w:p>
    <w:p w14:paraId="0E19ADAF">
      <w:pPr>
        <w:pStyle w:val="56"/>
        <w:spacing w:line="360" w:lineRule="auto"/>
        <w:ind w:firstLine="420"/>
      </w:pPr>
      <w:r>
        <w:rPr>
          <w:rFonts w:hint="eastAsia"/>
        </w:rPr>
        <w:t>d）施工过程资料；</w:t>
      </w:r>
    </w:p>
    <w:p w14:paraId="0A28C96D">
      <w:pPr>
        <w:pStyle w:val="56"/>
        <w:spacing w:line="360" w:lineRule="auto"/>
        <w:ind w:firstLine="420"/>
      </w:pPr>
      <w:r>
        <w:rPr>
          <w:rFonts w:hint="eastAsia"/>
        </w:rPr>
        <w:t>e）质量检验资料；</w:t>
      </w:r>
    </w:p>
    <w:p w14:paraId="59C40C93">
      <w:pPr>
        <w:pStyle w:val="56"/>
        <w:spacing w:line="360" w:lineRule="auto"/>
        <w:ind w:firstLine="420"/>
      </w:pPr>
      <w:r>
        <w:rPr>
          <w:rFonts w:hint="eastAsia"/>
        </w:rPr>
        <w:t>f）验收评定资料；</w:t>
      </w:r>
    </w:p>
    <w:p w14:paraId="51234329">
      <w:pPr>
        <w:pStyle w:val="56"/>
        <w:spacing w:line="360" w:lineRule="auto"/>
        <w:ind w:firstLine="420"/>
      </w:pPr>
      <w:r>
        <w:rPr>
          <w:rFonts w:hint="eastAsia"/>
        </w:rPr>
        <w:t>g）异常情况处置资料；</w:t>
      </w:r>
    </w:p>
    <w:p w14:paraId="5B4863F3">
      <w:pPr>
        <w:pStyle w:val="56"/>
        <w:spacing w:line="360" w:lineRule="auto"/>
        <w:ind w:firstLine="420"/>
      </w:pPr>
      <w:r>
        <w:rPr>
          <w:rFonts w:hint="eastAsia"/>
        </w:rPr>
        <w:t>h）追溯管理资料。</w:t>
      </w:r>
    </w:p>
    <w:p w14:paraId="46439C56">
      <w:pPr>
        <w:pStyle w:val="165"/>
        <w:spacing w:line="360" w:lineRule="auto"/>
      </w:pPr>
      <w:r>
        <w:rPr>
          <w:rFonts w:hint="eastAsia"/>
        </w:rPr>
        <w:t>前期资料应包括下列内容：</w:t>
      </w:r>
    </w:p>
    <w:p w14:paraId="11AAB4E3">
      <w:pPr>
        <w:pStyle w:val="56"/>
        <w:spacing w:line="360" w:lineRule="auto"/>
        <w:ind w:firstLine="420"/>
      </w:pPr>
      <w:r>
        <w:rPr>
          <w:rFonts w:hint="eastAsia"/>
        </w:rPr>
        <w:t>a）设计文件和设计变更文件；</w:t>
      </w:r>
    </w:p>
    <w:p w14:paraId="5CEA1964">
      <w:pPr>
        <w:pStyle w:val="56"/>
        <w:spacing w:line="360" w:lineRule="auto"/>
        <w:ind w:firstLine="420"/>
      </w:pPr>
      <w:r>
        <w:rPr>
          <w:rFonts w:hint="eastAsia"/>
        </w:rPr>
        <w:t>b）绿色建材应用技术要求；</w:t>
      </w:r>
    </w:p>
    <w:p w14:paraId="1BDD029F">
      <w:pPr>
        <w:pStyle w:val="56"/>
        <w:spacing w:line="360" w:lineRule="auto"/>
        <w:ind w:firstLine="420"/>
      </w:pPr>
      <w:r>
        <w:rPr>
          <w:rFonts w:hint="eastAsia"/>
        </w:rPr>
        <w:t>c）专项施工与质量控制方案；</w:t>
      </w:r>
    </w:p>
    <w:p w14:paraId="08BA59D1">
      <w:pPr>
        <w:pStyle w:val="56"/>
        <w:spacing w:line="360" w:lineRule="auto"/>
        <w:ind w:firstLine="420"/>
      </w:pPr>
      <w:r>
        <w:rPr>
          <w:rFonts w:hint="eastAsia"/>
        </w:rPr>
        <w:t>d）技术交底记录；</w:t>
      </w:r>
    </w:p>
    <w:p w14:paraId="4076BF42">
      <w:pPr>
        <w:pStyle w:val="56"/>
        <w:spacing w:line="360" w:lineRule="auto"/>
        <w:ind w:firstLine="420"/>
      </w:pPr>
      <w:r>
        <w:rPr>
          <w:rFonts w:hint="eastAsia"/>
        </w:rPr>
        <w:t>e）风险分析和控制措施文件。</w:t>
      </w:r>
    </w:p>
    <w:p w14:paraId="1C513CE0">
      <w:pPr>
        <w:pStyle w:val="165"/>
        <w:spacing w:line="360" w:lineRule="auto"/>
      </w:pPr>
      <w:r>
        <w:rPr>
          <w:rFonts w:hint="eastAsia"/>
        </w:rPr>
        <w:t>材料资料应包括下列内容：</w:t>
      </w:r>
    </w:p>
    <w:p w14:paraId="3F7549AE">
      <w:pPr>
        <w:pStyle w:val="56"/>
        <w:spacing w:line="360" w:lineRule="auto"/>
        <w:ind w:firstLine="420"/>
      </w:pPr>
      <w:r>
        <w:rPr>
          <w:rFonts w:hint="eastAsia"/>
        </w:rPr>
        <w:t>a）材料供应单位信息；</w:t>
      </w:r>
    </w:p>
    <w:p w14:paraId="11987A12">
      <w:pPr>
        <w:pStyle w:val="56"/>
        <w:spacing w:line="360" w:lineRule="auto"/>
        <w:ind w:firstLine="420"/>
      </w:pPr>
      <w:r>
        <w:rPr>
          <w:rFonts w:hint="eastAsia"/>
        </w:rPr>
        <w:t>b）产品合格证、出厂质量证明文件和性能检测报告；</w:t>
      </w:r>
    </w:p>
    <w:p w14:paraId="218FC08F">
      <w:pPr>
        <w:pStyle w:val="56"/>
        <w:spacing w:line="360" w:lineRule="auto"/>
        <w:ind w:firstLine="420"/>
      </w:pPr>
      <w:r>
        <w:rPr>
          <w:rFonts w:hint="eastAsia"/>
        </w:rPr>
        <w:t>c）进场验收记录；</w:t>
      </w:r>
    </w:p>
    <w:p w14:paraId="22DAF462">
      <w:pPr>
        <w:pStyle w:val="56"/>
        <w:spacing w:line="360" w:lineRule="auto"/>
        <w:ind w:firstLine="420"/>
      </w:pPr>
      <w:r>
        <w:rPr>
          <w:rFonts w:hint="eastAsia"/>
        </w:rPr>
        <w:t>d）抽样送检记录和复验报告；</w:t>
      </w:r>
    </w:p>
    <w:p w14:paraId="5478723A">
      <w:pPr>
        <w:pStyle w:val="56"/>
        <w:spacing w:line="360" w:lineRule="auto"/>
        <w:ind w:firstLine="420"/>
      </w:pPr>
      <w:r>
        <w:rPr>
          <w:rFonts w:hint="eastAsia"/>
        </w:rPr>
        <w:t>e）材料批号、数量、使用去向和库存记录。</w:t>
      </w:r>
    </w:p>
    <w:p w14:paraId="706B69A0">
      <w:pPr>
        <w:pStyle w:val="165"/>
        <w:spacing w:line="360" w:lineRule="auto"/>
      </w:pPr>
      <w:r>
        <w:rPr>
          <w:rFonts w:hint="eastAsia"/>
        </w:rPr>
        <w:t>试验验证资料应包括下列内容：</w:t>
      </w:r>
    </w:p>
    <w:p w14:paraId="51B0D23E">
      <w:pPr>
        <w:pStyle w:val="56"/>
        <w:spacing w:line="360" w:lineRule="auto"/>
        <w:ind w:firstLine="420"/>
      </w:pPr>
      <w:r>
        <w:rPr>
          <w:rFonts w:hint="eastAsia"/>
        </w:rPr>
        <w:t>a）室内试验方案和试验报告；</w:t>
      </w:r>
    </w:p>
    <w:p w14:paraId="077E82F9">
      <w:pPr>
        <w:pStyle w:val="56"/>
        <w:spacing w:line="360" w:lineRule="auto"/>
        <w:ind w:firstLine="420"/>
      </w:pPr>
      <w:r>
        <w:rPr>
          <w:rFonts w:hint="eastAsia"/>
        </w:rPr>
        <w:t>b）现场试拌记录；</w:t>
      </w:r>
    </w:p>
    <w:p w14:paraId="1B7333E5">
      <w:pPr>
        <w:pStyle w:val="56"/>
        <w:spacing w:line="360" w:lineRule="auto"/>
        <w:ind w:firstLine="420"/>
      </w:pPr>
      <w:r>
        <w:rPr>
          <w:rFonts w:hint="eastAsia"/>
        </w:rPr>
        <w:t>c）工艺试验记录；</w:t>
      </w:r>
    </w:p>
    <w:p w14:paraId="2D9A9CD4">
      <w:pPr>
        <w:pStyle w:val="56"/>
        <w:spacing w:line="360" w:lineRule="auto"/>
        <w:ind w:firstLine="420"/>
      </w:pPr>
      <w:r>
        <w:rPr>
          <w:rFonts w:hint="eastAsia"/>
        </w:rPr>
        <w:t>d）试验段施工记录、检测记录和总结报告；</w:t>
      </w:r>
    </w:p>
    <w:p w14:paraId="5AE67DA0">
      <w:pPr>
        <w:pStyle w:val="56"/>
        <w:spacing w:line="360" w:lineRule="auto"/>
        <w:ind w:firstLine="420"/>
      </w:pPr>
      <w:r>
        <w:rPr>
          <w:rFonts w:hint="eastAsia"/>
        </w:rPr>
        <w:t>e）配合比比选、确定和调整记录。</w:t>
      </w:r>
    </w:p>
    <w:p w14:paraId="3D956557">
      <w:pPr>
        <w:pStyle w:val="165"/>
        <w:spacing w:line="360" w:lineRule="auto"/>
      </w:pPr>
      <w:r>
        <w:rPr>
          <w:rFonts w:hint="eastAsia"/>
        </w:rPr>
        <w:t>施工过程资料应包括下列内容：</w:t>
      </w:r>
    </w:p>
    <w:p w14:paraId="30B78FC3">
      <w:pPr>
        <w:pStyle w:val="56"/>
        <w:spacing w:line="360" w:lineRule="auto"/>
        <w:ind w:firstLine="420"/>
      </w:pPr>
      <w:r>
        <w:rPr>
          <w:rFonts w:hint="eastAsia"/>
        </w:rPr>
        <w:t>a）槽段划分图和墙段编号图；</w:t>
      </w:r>
    </w:p>
    <w:p w14:paraId="0D12E936">
      <w:pPr>
        <w:pStyle w:val="56"/>
        <w:spacing w:line="360" w:lineRule="auto"/>
        <w:ind w:firstLine="420"/>
      </w:pPr>
      <w:r>
        <w:rPr>
          <w:rFonts w:hint="eastAsia"/>
        </w:rPr>
        <w:t>b）成槽记录；</w:t>
      </w:r>
    </w:p>
    <w:p w14:paraId="29896707">
      <w:pPr>
        <w:pStyle w:val="56"/>
        <w:spacing w:line="360" w:lineRule="auto"/>
        <w:ind w:firstLine="420"/>
      </w:pPr>
      <w:r>
        <w:rPr>
          <w:rFonts w:hint="eastAsia"/>
        </w:rPr>
        <w:t>c）清槽记录；</w:t>
      </w:r>
    </w:p>
    <w:p w14:paraId="17424A0B">
      <w:pPr>
        <w:pStyle w:val="56"/>
        <w:spacing w:line="360" w:lineRule="auto"/>
        <w:ind w:firstLine="420"/>
      </w:pPr>
      <w:r>
        <w:rPr>
          <w:rFonts w:hint="eastAsia"/>
        </w:rPr>
        <w:t>d）浆液或者墙体材料拌制记录；</w:t>
      </w:r>
    </w:p>
    <w:p w14:paraId="651F3AF2">
      <w:pPr>
        <w:pStyle w:val="56"/>
        <w:spacing w:line="360" w:lineRule="auto"/>
        <w:ind w:firstLine="420"/>
      </w:pPr>
      <w:r>
        <w:rPr>
          <w:rFonts w:hint="eastAsia"/>
        </w:rPr>
        <w:t>e）灌注记录；</w:t>
      </w:r>
    </w:p>
    <w:p w14:paraId="7A254388">
      <w:pPr>
        <w:pStyle w:val="56"/>
        <w:spacing w:line="360" w:lineRule="auto"/>
        <w:ind w:firstLine="420"/>
      </w:pPr>
      <w:r>
        <w:rPr>
          <w:rFonts w:hint="eastAsia"/>
        </w:rPr>
        <w:t>f）接头施工记录；</w:t>
      </w:r>
    </w:p>
    <w:p w14:paraId="029CAEA6">
      <w:pPr>
        <w:pStyle w:val="56"/>
        <w:spacing w:line="360" w:lineRule="auto"/>
        <w:ind w:firstLine="420"/>
      </w:pPr>
      <w:r>
        <w:rPr>
          <w:rFonts w:hint="eastAsia"/>
        </w:rPr>
        <w:t>g）施工过程检测记录；</w:t>
      </w:r>
    </w:p>
    <w:p w14:paraId="4A3A606D">
      <w:pPr>
        <w:pStyle w:val="56"/>
        <w:spacing w:line="360" w:lineRule="auto"/>
        <w:ind w:firstLine="420"/>
      </w:pPr>
      <w:r>
        <w:rPr>
          <w:rFonts w:hint="eastAsia"/>
        </w:rPr>
        <w:t>h）施工日志和旁站记录。</w:t>
      </w:r>
    </w:p>
    <w:p w14:paraId="48C0805F">
      <w:pPr>
        <w:pStyle w:val="165"/>
        <w:spacing w:line="360" w:lineRule="auto"/>
      </w:pPr>
      <w:r>
        <w:rPr>
          <w:rFonts w:hint="eastAsia"/>
        </w:rPr>
        <w:t>质量检验资料应包括下列内容：</w:t>
      </w:r>
    </w:p>
    <w:p w14:paraId="249F561E">
      <w:pPr>
        <w:pStyle w:val="56"/>
        <w:spacing w:line="360" w:lineRule="auto"/>
        <w:ind w:firstLine="420"/>
      </w:pPr>
      <w:r>
        <w:rPr>
          <w:rFonts w:hint="eastAsia"/>
        </w:rPr>
        <w:t>a）材料检验报告；</w:t>
      </w:r>
    </w:p>
    <w:p w14:paraId="0FB78EE0">
      <w:pPr>
        <w:pStyle w:val="56"/>
        <w:spacing w:line="360" w:lineRule="auto"/>
        <w:ind w:firstLine="420"/>
      </w:pPr>
      <w:r>
        <w:rPr>
          <w:rFonts w:hint="eastAsia"/>
        </w:rPr>
        <w:t>b）过程质量检验记录；</w:t>
      </w:r>
    </w:p>
    <w:p w14:paraId="0FF0CFEA">
      <w:pPr>
        <w:pStyle w:val="56"/>
        <w:spacing w:line="360" w:lineRule="auto"/>
        <w:ind w:firstLine="420"/>
      </w:pPr>
      <w:r>
        <w:rPr>
          <w:rFonts w:hint="eastAsia"/>
        </w:rPr>
        <w:t>c）成墙质量检测报告；</w:t>
      </w:r>
    </w:p>
    <w:p w14:paraId="246501C0">
      <w:pPr>
        <w:pStyle w:val="56"/>
        <w:spacing w:line="360" w:lineRule="auto"/>
        <w:ind w:firstLine="420"/>
      </w:pPr>
      <w:r>
        <w:rPr>
          <w:rFonts w:hint="eastAsia"/>
        </w:rPr>
        <w:t>d）复检、补检和专项检测资料；</w:t>
      </w:r>
    </w:p>
    <w:p w14:paraId="3594FAFB">
      <w:pPr>
        <w:pStyle w:val="56"/>
        <w:spacing w:line="360" w:lineRule="auto"/>
        <w:ind w:firstLine="420"/>
      </w:pPr>
      <w:r>
        <w:rPr>
          <w:rFonts w:hint="eastAsia"/>
        </w:rPr>
        <w:t>e）检验批、单元工程和分部工程质量评定资料。</w:t>
      </w:r>
    </w:p>
    <w:p w14:paraId="0F521473">
      <w:pPr>
        <w:pStyle w:val="165"/>
        <w:spacing w:line="360" w:lineRule="auto"/>
      </w:pPr>
      <w:r>
        <w:rPr>
          <w:rFonts w:hint="eastAsia"/>
        </w:rPr>
        <w:t>验收评定资料应包括下列内容：</w:t>
      </w:r>
    </w:p>
    <w:p w14:paraId="2595F0FC">
      <w:pPr>
        <w:pStyle w:val="56"/>
        <w:spacing w:line="360" w:lineRule="auto"/>
        <w:ind w:firstLine="420"/>
      </w:pPr>
      <w:r>
        <w:rPr>
          <w:rFonts w:hint="eastAsia"/>
        </w:rPr>
        <w:t>a）阶段验收资料；</w:t>
      </w:r>
    </w:p>
    <w:p w14:paraId="044AC885">
      <w:pPr>
        <w:pStyle w:val="56"/>
        <w:spacing w:line="360" w:lineRule="auto"/>
        <w:ind w:firstLine="420"/>
      </w:pPr>
      <w:r>
        <w:rPr>
          <w:rFonts w:hint="eastAsia"/>
        </w:rPr>
        <w:t>b）分项、分部或者单元工程验收资料；</w:t>
      </w:r>
    </w:p>
    <w:p w14:paraId="43FB490B">
      <w:pPr>
        <w:pStyle w:val="56"/>
        <w:spacing w:line="360" w:lineRule="auto"/>
        <w:ind w:firstLine="420"/>
      </w:pPr>
      <w:r>
        <w:rPr>
          <w:rFonts w:hint="eastAsia"/>
        </w:rPr>
        <w:t>c）质量评定结论；</w:t>
      </w:r>
    </w:p>
    <w:p w14:paraId="72AEB5E5">
      <w:pPr>
        <w:pStyle w:val="56"/>
        <w:spacing w:line="360" w:lineRule="auto"/>
        <w:ind w:firstLine="420"/>
      </w:pPr>
      <w:r>
        <w:rPr>
          <w:rFonts w:hint="eastAsia"/>
        </w:rPr>
        <w:t>d）验收会议纪要和签认文件。</w:t>
      </w:r>
    </w:p>
    <w:p w14:paraId="1133F47B">
      <w:pPr>
        <w:pStyle w:val="165"/>
        <w:spacing w:line="360" w:lineRule="auto"/>
      </w:pPr>
      <w:r>
        <w:rPr>
          <w:rFonts w:hint="eastAsia"/>
        </w:rPr>
        <w:t>异常情况处置资料应包括下列内容：</w:t>
      </w:r>
    </w:p>
    <w:p w14:paraId="36317C9E">
      <w:pPr>
        <w:pStyle w:val="56"/>
        <w:spacing w:line="360" w:lineRule="auto"/>
        <w:ind w:firstLine="420"/>
      </w:pPr>
      <w:r>
        <w:rPr>
          <w:rFonts w:hint="eastAsia"/>
        </w:rPr>
        <w:t>a）异常发现记录；</w:t>
      </w:r>
    </w:p>
    <w:p w14:paraId="23867F4F">
      <w:pPr>
        <w:pStyle w:val="56"/>
        <w:spacing w:line="360" w:lineRule="auto"/>
        <w:ind w:firstLine="420"/>
      </w:pPr>
      <w:r>
        <w:rPr>
          <w:rFonts w:hint="eastAsia"/>
        </w:rPr>
        <w:t>b）原因分析资料；</w:t>
      </w:r>
    </w:p>
    <w:p w14:paraId="79CEBF3B">
      <w:pPr>
        <w:pStyle w:val="56"/>
        <w:spacing w:line="360" w:lineRule="auto"/>
        <w:ind w:firstLine="420"/>
      </w:pPr>
      <w:r>
        <w:rPr>
          <w:rFonts w:hint="eastAsia"/>
        </w:rPr>
        <w:t>c）处置方案和审批资料；</w:t>
      </w:r>
    </w:p>
    <w:p w14:paraId="0B8B29DB">
      <w:pPr>
        <w:pStyle w:val="56"/>
        <w:spacing w:line="360" w:lineRule="auto"/>
        <w:ind w:firstLine="420"/>
      </w:pPr>
      <w:r>
        <w:rPr>
          <w:rFonts w:hint="eastAsia"/>
        </w:rPr>
        <w:t>d）处置实施记录；</w:t>
      </w:r>
    </w:p>
    <w:p w14:paraId="7F6AECE5">
      <w:pPr>
        <w:pStyle w:val="56"/>
        <w:spacing w:line="360" w:lineRule="auto"/>
        <w:ind w:firstLine="420"/>
      </w:pPr>
      <w:r>
        <w:rPr>
          <w:rFonts w:hint="eastAsia"/>
        </w:rPr>
        <w:t>e）复核、复检和最终确认资料。</w:t>
      </w:r>
    </w:p>
    <w:p w14:paraId="12677783">
      <w:pPr>
        <w:pStyle w:val="105"/>
        <w:spacing w:before="120" w:after="120" w:line="360" w:lineRule="auto"/>
      </w:pPr>
      <w:r>
        <w:rPr>
          <w:rFonts w:hint="eastAsia"/>
        </w:rPr>
        <w:t>资料形成要求</w:t>
      </w:r>
    </w:p>
    <w:p w14:paraId="608F58D7">
      <w:pPr>
        <w:pStyle w:val="165"/>
        <w:spacing w:line="360" w:lineRule="auto"/>
      </w:pPr>
      <w:r>
        <w:rPr>
          <w:rFonts w:hint="eastAsia"/>
        </w:rPr>
        <w:t>资料应随工程进展同步形成。不得在工序完成较长时间后集中补做。</w:t>
      </w:r>
    </w:p>
    <w:p w14:paraId="7849B2B2">
      <w:pPr>
        <w:pStyle w:val="165"/>
        <w:spacing w:line="360" w:lineRule="auto"/>
      </w:pPr>
      <w:r>
        <w:rPr>
          <w:rFonts w:hint="eastAsia"/>
        </w:rPr>
        <w:t>原始资料应由实施该项工作的责任人员在现场或者工作完成时及时填写、签认。</w:t>
      </w:r>
    </w:p>
    <w:p w14:paraId="012A79A5">
      <w:pPr>
        <w:pStyle w:val="165"/>
        <w:spacing w:line="360" w:lineRule="auto"/>
      </w:pPr>
      <w:r>
        <w:rPr>
          <w:rFonts w:hint="eastAsia"/>
        </w:rPr>
        <w:t>原始记录应采用统一格式，内容应清晰、完整、连续。</w:t>
      </w:r>
    </w:p>
    <w:p w14:paraId="132F8D6F">
      <w:pPr>
        <w:pStyle w:val="165"/>
        <w:spacing w:line="360" w:lineRule="auto"/>
      </w:pPr>
      <w:r>
        <w:rPr>
          <w:rFonts w:hint="eastAsia"/>
        </w:rPr>
        <w:t>记录中涉及时间、数量、批次、检测值、结论和责任人等关键信息时，不得空缺。</w:t>
      </w:r>
    </w:p>
    <w:p w14:paraId="300DC70E">
      <w:pPr>
        <w:pStyle w:val="165"/>
        <w:spacing w:line="360" w:lineRule="auto"/>
      </w:pPr>
      <w:r>
        <w:rPr>
          <w:rFonts w:hint="eastAsia"/>
        </w:rPr>
        <w:t>资料中的工程名称、单位名称、墙段编号、材料批号、检测编号和日期应统一书写规则，不得同一工程中前后不一致。</w:t>
      </w:r>
    </w:p>
    <w:p w14:paraId="0820F4F2">
      <w:pPr>
        <w:pStyle w:val="165"/>
        <w:spacing w:line="360" w:lineRule="auto"/>
      </w:pPr>
      <w:r>
        <w:rPr>
          <w:rFonts w:hint="eastAsia"/>
        </w:rPr>
        <w:t>对需多单位共同确认的资料，应按规定完成签字、盖章或者电子确认；未完成确认的资料不得作为最终验收依据。</w:t>
      </w:r>
    </w:p>
    <w:p w14:paraId="019068A5">
      <w:pPr>
        <w:pStyle w:val="165"/>
        <w:spacing w:line="360" w:lineRule="auto"/>
      </w:pPr>
      <w:r>
        <w:rPr>
          <w:rFonts w:hint="eastAsia"/>
        </w:rPr>
        <w:t>对关键工序、隐蔽工序、试验段、首件施工和异常处置过程，宜同步形成影像资料。</w:t>
      </w:r>
    </w:p>
    <w:p w14:paraId="7313324D">
      <w:pPr>
        <w:pStyle w:val="105"/>
        <w:spacing w:before="120" w:after="120" w:line="360" w:lineRule="auto"/>
      </w:pPr>
      <w:r>
        <w:rPr>
          <w:rFonts w:hint="eastAsia"/>
        </w:rPr>
        <w:t>编号与标识管理</w:t>
      </w:r>
    </w:p>
    <w:p w14:paraId="6C93F743">
      <w:pPr>
        <w:pStyle w:val="165"/>
        <w:spacing w:line="360" w:lineRule="auto"/>
      </w:pPr>
      <w:r>
        <w:rPr>
          <w:rFonts w:hint="eastAsia"/>
        </w:rPr>
        <w:t>绿色建材应用全过程应建立统一编号体系。</w:t>
      </w:r>
    </w:p>
    <w:p w14:paraId="220EB37E">
      <w:pPr>
        <w:pStyle w:val="165"/>
        <w:spacing w:line="360" w:lineRule="auto"/>
      </w:pPr>
      <w:r>
        <w:rPr>
          <w:rFonts w:hint="eastAsia"/>
        </w:rPr>
        <w:t>编号体系宜包括下列内容：</w:t>
      </w:r>
    </w:p>
    <w:p w14:paraId="5255C956">
      <w:pPr>
        <w:pStyle w:val="56"/>
        <w:spacing w:line="360" w:lineRule="auto"/>
        <w:ind w:firstLine="420"/>
      </w:pPr>
      <w:r>
        <w:rPr>
          <w:rFonts w:hint="eastAsia"/>
        </w:rPr>
        <w:t>a）材料批号；</w:t>
      </w:r>
    </w:p>
    <w:p w14:paraId="4019B9EA">
      <w:pPr>
        <w:pStyle w:val="56"/>
        <w:spacing w:line="360" w:lineRule="auto"/>
        <w:ind w:firstLine="420"/>
      </w:pPr>
      <w:r>
        <w:rPr>
          <w:rFonts w:hint="eastAsia"/>
        </w:rPr>
        <w:t>b）进场验收编号；</w:t>
      </w:r>
    </w:p>
    <w:p w14:paraId="35FE1F66">
      <w:pPr>
        <w:pStyle w:val="56"/>
        <w:spacing w:line="360" w:lineRule="auto"/>
        <w:ind w:firstLine="420"/>
      </w:pPr>
      <w:r>
        <w:rPr>
          <w:rFonts w:hint="eastAsia"/>
        </w:rPr>
        <w:t>c）抽样送检编号；</w:t>
      </w:r>
    </w:p>
    <w:p w14:paraId="71075A47">
      <w:pPr>
        <w:pStyle w:val="56"/>
        <w:spacing w:line="360" w:lineRule="auto"/>
        <w:ind w:firstLine="420"/>
      </w:pPr>
      <w:r>
        <w:rPr>
          <w:rFonts w:hint="eastAsia"/>
        </w:rPr>
        <w:t>d）试验验证编号；</w:t>
      </w:r>
    </w:p>
    <w:p w14:paraId="421F47E9">
      <w:pPr>
        <w:pStyle w:val="56"/>
        <w:spacing w:line="360" w:lineRule="auto"/>
        <w:ind w:firstLine="420"/>
      </w:pPr>
      <w:r>
        <w:rPr>
          <w:rFonts w:hint="eastAsia"/>
        </w:rPr>
        <w:t>e）配合比编号；</w:t>
      </w:r>
    </w:p>
    <w:p w14:paraId="451681B2">
      <w:pPr>
        <w:pStyle w:val="56"/>
        <w:spacing w:line="360" w:lineRule="auto"/>
        <w:ind w:firstLine="420"/>
      </w:pPr>
      <w:r>
        <w:rPr>
          <w:rFonts w:hint="eastAsia"/>
        </w:rPr>
        <w:t>f）槽段或者墙段编号；</w:t>
      </w:r>
    </w:p>
    <w:p w14:paraId="0B7A7185">
      <w:pPr>
        <w:pStyle w:val="56"/>
        <w:spacing w:line="360" w:lineRule="auto"/>
        <w:ind w:firstLine="420"/>
      </w:pPr>
      <w:r>
        <w:rPr>
          <w:rFonts w:hint="eastAsia"/>
        </w:rPr>
        <w:t>g）施工记录编号；</w:t>
      </w:r>
    </w:p>
    <w:p w14:paraId="7361A559">
      <w:pPr>
        <w:pStyle w:val="56"/>
        <w:spacing w:line="360" w:lineRule="auto"/>
        <w:ind w:firstLine="420"/>
      </w:pPr>
      <w:r>
        <w:rPr>
          <w:rFonts w:hint="eastAsia"/>
        </w:rPr>
        <w:t>h）检测报告编号；</w:t>
      </w:r>
    </w:p>
    <w:p w14:paraId="4D5312E9">
      <w:pPr>
        <w:pStyle w:val="56"/>
        <w:spacing w:line="360" w:lineRule="auto"/>
        <w:ind w:firstLine="420"/>
      </w:pPr>
      <w:r>
        <w:rPr>
          <w:rFonts w:hint="eastAsia"/>
        </w:rPr>
        <w:t>i）异常处置编号。</w:t>
      </w:r>
    </w:p>
    <w:p w14:paraId="0990AE2E">
      <w:pPr>
        <w:pStyle w:val="165"/>
        <w:spacing w:line="360" w:lineRule="auto"/>
      </w:pPr>
      <w:r>
        <w:rPr>
          <w:rFonts w:hint="eastAsia"/>
        </w:rPr>
        <w:t>各类编号之间应建立对应关系，确保材料、施工和检验信息可相互追查。</w:t>
      </w:r>
    </w:p>
    <w:p w14:paraId="01A258A7">
      <w:pPr>
        <w:pStyle w:val="165"/>
        <w:spacing w:line="360" w:lineRule="auto"/>
      </w:pPr>
      <w:r>
        <w:rPr>
          <w:rFonts w:hint="eastAsia"/>
        </w:rPr>
        <w:t>材料标识应在进场验收后立即设置；未标识或者标识不清的材料不得投入使用。</w:t>
      </w:r>
    </w:p>
    <w:p w14:paraId="5CF7656F">
      <w:pPr>
        <w:pStyle w:val="165"/>
        <w:spacing w:line="360" w:lineRule="auto"/>
      </w:pPr>
      <w:r>
        <w:rPr>
          <w:rFonts w:hint="eastAsia"/>
        </w:rPr>
        <w:t>同一墙段使用多批次材料时，应在记录中分别标注各批次材料的投入时间、投入量和对应部位。</w:t>
      </w:r>
    </w:p>
    <w:p w14:paraId="535F7D2C">
      <w:pPr>
        <w:pStyle w:val="165"/>
        <w:spacing w:line="360" w:lineRule="auto"/>
      </w:pPr>
      <w:r>
        <w:rPr>
          <w:rFonts w:hint="eastAsia"/>
        </w:rPr>
        <w:t>墙段编号应唯一，不得重复使用或者临时更改；确需更改的，应履行变更手续并保留原编号对应关系。</w:t>
      </w:r>
    </w:p>
    <w:p w14:paraId="0C4A6212">
      <w:pPr>
        <w:pStyle w:val="105"/>
        <w:spacing w:before="120" w:after="120" w:line="360" w:lineRule="auto"/>
      </w:pPr>
      <w:r>
        <w:rPr>
          <w:rFonts w:hint="eastAsia"/>
        </w:rPr>
        <w:t>原始记录管理</w:t>
      </w:r>
    </w:p>
    <w:p w14:paraId="663CFA20">
      <w:pPr>
        <w:pStyle w:val="165"/>
        <w:spacing w:line="360" w:lineRule="auto"/>
      </w:pPr>
      <w:r>
        <w:rPr>
          <w:rFonts w:hint="eastAsia"/>
        </w:rPr>
        <w:t>原始记录应作为质量控制和质量验收的直接依据。</w:t>
      </w:r>
    </w:p>
    <w:p w14:paraId="620D0428">
      <w:pPr>
        <w:pStyle w:val="165"/>
        <w:spacing w:line="360" w:lineRule="auto"/>
      </w:pPr>
      <w:r>
        <w:rPr>
          <w:rFonts w:hint="eastAsia"/>
        </w:rPr>
        <w:t>原始记录应至少包括下列基本信息：</w:t>
      </w:r>
    </w:p>
    <w:p w14:paraId="78111F33">
      <w:pPr>
        <w:pStyle w:val="56"/>
        <w:spacing w:line="360" w:lineRule="auto"/>
        <w:ind w:firstLine="420"/>
      </w:pPr>
      <w:r>
        <w:rPr>
          <w:rFonts w:hint="eastAsia"/>
        </w:rPr>
        <w:t>a）工程名称、标段名称和施工单位；</w:t>
      </w:r>
    </w:p>
    <w:p w14:paraId="43E6D3E0">
      <w:pPr>
        <w:pStyle w:val="56"/>
        <w:spacing w:line="360" w:lineRule="auto"/>
        <w:ind w:firstLine="420"/>
      </w:pPr>
      <w:r>
        <w:rPr>
          <w:rFonts w:hint="eastAsia"/>
        </w:rPr>
        <w:t>b）记录类别、记录编号和记录日期；</w:t>
      </w:r>
    </w:p>
    <w:p w14:paraId="095B0508">
      <w:pPr>
        <w:pStyle w:val="56"/>
        <w:spacing w:line="360" w:lineRule="auto"/>
        <w:ind w:firstLine="420"/>
      </w:pPr>
      <w:r>
        <w:rPr>
          <w:rFonts w:hint="eastAsia"/>
        </w:rPr>
        <w:t>c）施工部位、槽段或者墙段编号；</w:t>
      </w:r>
    </w:p>
    <w:p w14:paraId="03DCB06B">
      <w:pPr>
        <w:pStyle w:val="56"/>
        <w:spacing w:line="360" w:lineRule="auto"/>
        <w:ind w:firstLine="420"/>
      </w:pPr>
      <w:r>
        <w:rPr>
          <w:rFonts w:hint="eastAsia"/>
        </w:rPr>
        <w:t>d）材料名称、规格、批号和数量；</w:t>
      </w:r>
    </w:p>
    <w:p w14:paraId="4468A84D">
      <w:pPr>
        <w:pStyle w:val="56"/>
        <w:spacing w:line="360" w:lineRule="auto"/>
        <w:ind w:firstLine="420"/>
      </w:pPr>
      <w:r>
        <w:rPr>
          <w:rFonts w:hint="eastAsia"/>
        </w:rPr>
        <w:t>e）主要施工参数、检测参数和实测结果；</w:t>
      </w:r>
    </w:p>
    <w:p w14:paraId="7E0D6AFC">
      <w:pPr>
        <w:pStyle w:val="56"/>
        <w:spacing w:line="360" w:lineRule="auto"/>
        <w:ind w:firstLine="420"/>
      </w:pPr>
      <w:r>
        <w:rPr>
          <w:rFonts w:hint="eastAsia"/>
        </w:rPr>
        <w:t>f）环境条件和异常情况；</w:t>
      </w:r>
    </w:p>
    <w:p w14:paraId="52CD978F">
      <w:pPr>
        <w:pStyle w:val="56"/>
        <w:spacing w:line="360" w:lineRule="auto"/>
        <w:ind w:firstLine="420"/>
      </w:pPr>
      <w:r>
        <w:rPr>
          <w:rFonts w:hint="eastAsia"/>
        </w:rPr>
        <w:t>g）记录人、复核人和有关责任人签名。</w:t>
      </w:r>
    </w:p>
    <w:p w14:paraId="050C0EA8">
      <w:pPr>
        <w:pStyle w:val="165"/>
        <w:spacing w:line="360" w:lineRule="auto"/>
      </w:pPr>
      <w:r>
        <w:rPr>
          <w:rFonts w:hint="eastAsia"/>
        </w:rPr>
        <w:t>原始记录填写应字迹清楚、内容明确、数据准确，不得使用模糊表述代替实测信息。</w:t>
      </w:r>
    </w:p>
    <w:p w14:paraId="68510F7B">
      <w:pPr>
        <w:pStyle w:val="165"/>
        <w:spacing w:line="360" w:lineRule="auto"/>
      </w:pPr>
      <w:r>
        <w:rPr>
          <w:rFonts w:hint="eastAsia"/>
        </w:rPr>
        <w:t>原始记录中出现错误时，应按规定更正。更正时应保留原记录内容可辨识，不得涂抹、覆盖或者销毁原痕迹。</w:t>
      </w:r>
    </w:p>
    <w:p w14:paraId="0C220721">
      <w:pPr>
        <w:pStyle w:val="165"/>
        <w:spacing w:line="360" w:lineRule="auto"/>
      </w:pPr>
      <w:r>
        <w:rPr>
          <w:rFonts w:hint="eastAsia"/>
        </w:rPr>
        <w:t>电子原始记录应具备修改留痕、时间标记、身份识别和备份功能。</w:t>
      </w:r>
    </w:p>
    <w:p w14:paraId="6EE50B85">
      <w:pPr>
        <w:pStyle w:val="165"/>
        <w:spacing w:line="360" w:lineRule="auto"/>
      </w:pPr>
      <w:r>
        <w:rPr>
          <w:rFonts w:hint="eastAsia"/>
        </w:rPr>
        <w:t>对自动采集形成的数据，应保存原始数据文件，不得仅保留打印结果或者汇总数据。</w:t>
      </w:r>
    </w:p>
    <w:p w14:paraId="36B3B7D8">
      <w:pPr>
        <w:pStyle w:val="105"/>
        <w:spacing w:before="120" w:after="120" w:line="360" w:lineRule="auto"/>
      </w:pPr>
      <w:r>
        <w:rPr>
          <w:rFonts w:hint="eastAsia"/>
        </w:rPr>
        <w:t>资料审核与汇总</w:t>
      </w:r>
    </w:p>
    <w:p w14:paraId="5987A0D4">
      <w:pPr>
        <w:pStyle w:val="165"/>
        <w:spacing w:line="360" w:lineRule="auto"/>
      </w:pPr>
      <w:r>
        <w:rPr>
          <w:rFonts w:hint="eastAsia"/>
        </w:rPr>
        <w:t>资料形成后应按类别进行审核。</w:t>
      </w:r>
    </w:p>
    <w:p w14:paraId="694528C4">
      <w:pPr>
        <w:pStyle w:val="165"/>
        <w:spacing w:line="360" w:lineRule="auto"/>
      </w:pPr>
      <w:r>
        <w:rPr>
          <w:rFonts w:hint="eastAsia"/>
        </w:rPr>
        <w:t>审核应包括下列内容：</w:t>
      </w:r>
    </w:p>
    <w:p w14:paraId="0366514B">
      <w:pPr>
        <w:pStyle w:val="56"/>
        <w:spacing w:line="360" w:lineRule="auto"/>
        <w:ind w:firstLine="420"/>
      </w:pPr>
      <w:r>
        <w:rPr>
          <w:rFonts w:hint="eastAsia"/>
        </w:rPr>
        <w:t>a）资料是否齐全；</w:t>
      </w:r>
    </w:p>
    <w:p w14:paraId="07494C1E">
      <w:pPr>
        <w:pStyle w:val="56"/>
        <w:spacing w:line="360" w:lineRule="auto"/>
        <w:ind w:firstLine="420"/>
      </w:pPr>
      <w:r>
        <w:rPr>
          <w:rFonts w:hint="eastAsia"/>
        </w:rPr>
        <w:t>b）填写是否规范；</w:t>
      </w:r>
    </w:p>
    <w:p w14:paraId="21F9D246">
      <w:pPr>
        <w:pStyle w:val="56"/>
        <w:spacing w:line="360" w:lineRule="auto"/>
        <w:ind w:firstLine="420"/>
      </w:pPr>
      <w:r>
        <w:rPr>
          <w:rFonts w:hint="eastAsia"/>
        </w:rPr>
        <w:t>c）签认手续是否完整；</w:t>
      </w:r>
    </w:p>
    <w:p w14:paraId="080483D3">
      <w:pPr>
        <w:pStyle w:val="56"/>
        <w:spacing w:line="360" w:lineRule="auto"/>
        <w:ind w:firstLine="420"/>
      </w:pPr>
      <w:r>
        <w:rPr>
          <w:rFonts w:hint="eastAsia"/>
        </w:rPr>
        <w:t>d）数据是否前后一致；</w:t>
      </w:r>
    </w:p>
    <w:p w14:paraId="3041F891">
      <w:pPr>
        <w:pStyle w:val="56"/>
        <w:spacing w:line="360" w:lineRule="auto"/>
        <w:ind w:firstLine="420"/>
      </w:pPr>
      <w:r>
        <w:rPr>
          <w:rFonts w:hint="eastAsia"/>
        </w:rPr>
        <w:t>e）编号对应关系是否正确；</w:t>
      </w:r>
    </w:p>
    <w:p w14:paraId="6DE98E04">
      <w:pPr>
        <w:pStyle w:val="56"/>
        <w:spacing w:line="360" w:lineRule="auto"/>
        <w:ind w:firstLine="420"/>
      </w:pPr>
      <w:r>
        <w:rPr>
          <w:rFonts w:hint="eastAsia"/>
        </w:rPr>
        <w:t>f）结论是否明确；</w:t>
      </w:r>
    </w:p>
    <w:p w14:paraId="5194B0C5">
      <w:pPr>
        <w:pStyle w:val="56"/>
        <w:spacing w:line="360" w:lineRule="auto"/>
        <w:ind w:firstLine="420"/>
      </w:pPr>
      <w:r>
        <w:rPr>
          <w:rFonts w:hint="eastAsia"/>
        </w:rPr>
        <w:t>g）资料与实体、材料、检测结果是否一致。</w:t>
      </w:r>
    </w:p>
    <w:p w14:paraId="6AB01344">
      <w:pPr>
        <w:pStyle w:val="165"/>
        <w:spacing w:line="360" w:lineRule="auto"/>
      </w:pPr>
      <w:r>
        <w:rPr>
          <w:rFonts w:hint="eastAsia"/>
        </w:rPr>
        <w:t>对发现的缺项、漏项、错项、逻辑矛盾和信息不一致问题，应及时整改；整改完成前，不得进入下一阶段资料确认程序。</w:t>
      </w:r>
    </w:p>
    <w:p w14:paraId="4FC8F612">
      <w:pPr>
        <w:pStyle w:val="165"/>
        <w:spacing w:line="360" w:lineRule="auto"/>
      </w:pPr>
      <w:r>
        <w:rPr>
          <w:rFonts w:hint="eastAsia"/>
        </w:rPr>
        <w:t>汇总资料应以原始资料为依据。不得以汇总表替代原始记录。</w:t>
      </w:r>
    </w:p>
    <w:p w14:paraId="49E7E8CF">
      <w:pPr>
        <w:pStyle w:val="165"/>
        <w:spacing w:line="360" w:lineRule="auto"/>
      </w:pPr>
      <w:r>
        <w:rPr>
          <w:rFonts w:hint="eastAsia"/>
        </w:rPr>
        <w:t>资料汇总过程中，不得人为删除不利数据、隐去异常情况或者修改原始结论。</w:t>
      </w:r>
    </w:p>
    <w:p w14:paraId="51BD8495">
      <w:pPr>
        <w:pStyle w:val="105"/>
        <w:spacing w:before="120" w:after="120" w:line="360" w:lineRule="auto"/>
      </w:pPr>
      <w:r>
        <w:rPr>
          <w:rFonts w:hint="eastAsia"/>
        </w:rPr>
        <w:t>归档管理</w:t>
      </w:r>
    </w:p>
    <w:p w14:paraId="431EC1D2">
      <w:pPr>
        <w:pStyle w:val="165"/>
        <w:spacing w:line="360" w:lineRule="auto"/>
      </w:pPr>
      <w:r>
        <w:rPr>
          <w:rFonts w:hint="eastAsia"/>
        </w:rPr>
        <w:t>基础截渗墙绿色建材应用资料应按工程档案管理要求及时整理归档。</w:t>
      </w:r>
    </w:p>
    <w:p w14:paraId="7225B73F">
      <w:pPr>
        <w:pStyle w:val="165"/>
        <w:spacing w:line="360" w:lineRule="auto"/>
      </w:pPr>
      <w:r>
        <w:rPr>
          <w:rFonts w:hint="eastAsia"/>
        </w:rPr>
        <w:t>归档资料应按时间顺序、墙段顺序、专业类别或者管理类别分类整理。</w:t>
      </w:r>
    </w:p>
    <w:p w14:paraId="480B3C39">
      <w:pPr>
        <w:pStyle w:val="165"/>
        <w:spacing w:line="360" w:lineRule="auto"/>
      </w:pPr>
      <w:r>
        <w:rPr>
          <w:rFonts w:hint="eastAsia"/>
        </w:rPr>
        <w:t>归档资料应目录清楚、页码连续、装订规范、检索方便。</w:t>
      </w:r>
    </w:p>
    <w:p w14:paraId="3E8FA006">
      <w:pPr>
        <w:pStyle w:val="165"/>
        <w:spacing w:line="360" w:lineRule="auto"/>
      </w:pPr>
      <w:r>
        <w:rPr>
          <w:rFonts w:hint="eastAsia"/>
        </w:rPr>
        <w:t>纸质档案和电子档案应同步建立；重要资料宜实行双重备份。</w:t>
      </w:r>
    </w:p>
    <w:p w14:paraId="00CFF8BC">
      <w:pPr>
        <w:pStyle w:val="165"/>
        <w:spacing w:line="360" w:lineRule="auto"/>
      </w:pPr>
      <w:r>
        <w:rPr>
          <w:rFonts w:hint="eastAsia"/>
        </w:rPr>
        <w:t>归档资料宜包括目录、正文、附件、图表、影像资料说明和电子数据说明。</w:t>
      </w:r>
    </w:p>
    <w:p w14:paraId="3F84F858">
      <w:pPr>
        <w:pStyle w:val="165"/>
        <w:spacing w:line="360" w:lineRule="auto"/>
      </w:pPr>
      <w:r>
        <w:rPr>
          <w:rFonts w:hint="eastAsia"/>
        </w:rPr>
        <w:t>未经归档确认的资料，不得作为工程结束后的唯一依据。</w:t>
      </w:r>
    </w:p>
    <w:p w14:paraId="63E02F16">
      <w:pPr>
        <w:pStyle w:val="105"/>
        <w:spacing w:before="120" w:after="120" w:line="360" w:lineRule="auto"/>
      </w:pPr>
      <w:r>
        <w:rPr>
          <w:rFonts w:hint="eastAsia"/>
        </w:rPr>
        <w:t>追溯管理</w:t>
      </w:r>
    </w:p>
    <w:p w14:paraId="54571404">
      <w:pPr>
        <w:pStyle w:val="165"/>
        <w:spacing w:line="360" w:lineRule="auto"/>
      </w:pPr>
      <w:r>
        <w:rPr>
          <w:rFonts w:hint="eastAsia"/>
        </w:rPr>
        <w:t>应建立基础截渗墙绿色建材应用质量追溯链。</w:t>
      </w:r>
    </w:p>
    <w:p w14:paraId="5CED4162">
      <w:pPr>
        <w:pStyle w:val="165"/>
        <w:spacing w:line="360" w:lineRule="auto"/>
      </w:pPr>
      <w:r>
        <w:rPr>
          <w:rFonts w:hint="eastAsia"/>
        </w:rPr>
        <w:t>质量追溯链应至少实现下列对应关系：</w:t>
      </w:r>
    </w:p>
    <w:p w14:paraId="79965992">
      <w:pPr>
        <w:pStyle w:val="56"/>
        <w:spacing w:line="360" w:lineRule="auto"/>
        <w:ind w:firstLine="420"/>
      </w:pPr>
      <w:r>
        <w:rPr>
          <w:rFonts w:hint="eastAsia"/>
        </w:rPr>
        <w:t>a）材料批次与进场验收记录对应；</w:t>
      </w:r>
    </w:p>
    <w:p w14:paraId="17F724C9">
      <w:pPr>
        <w:pStyle w:val="56"/>
        <w:spacing w:line="360" w:lineRule="auto"/>
        <w:ind w:firstLine="420"/>
      </w:pPr>
      <w:r>
        <w:rPr>
          <w:rFonts w:hint="eastAsia"/>
        </w:rPr>
        <w:t>b）材料批次与抽样检验结果对应；</w:t>
      </w:r>
    </w:p>
    <w:p w14:paraId="7F4AF879">
      <w:pPr>
        <w:pStyle w:val="56"/>
        <w:spacing w:line="360" w:lineRule="auto"/>
        <w:ind w:firstLine="420"/>
      </w:pPr>
      <w:r>
        <w:rPr>
          <w:rFonts w:hint="eastAsia"/>
        </w:rPr>
        <w:t>c）材料批次与配合比编号对应；</w:t>
      </w:r>
    </w:p>
    <w:p w14:paraId="7A2B48C4">
      <w:pPr>
        <w:pStyle w:val="56"/>
        <w:spacing w:line="360" w:lineRule="auto"/>
        <w:ind w:firstLine="420"/>
      </w:pPr>
      <w:r>
        <w:rPr>
          <w:rFonts w:hint="eastAsia"/>
        </w:rPr>
        <w:t>d）配合比编号与墙段施工记录对应；</w:t>
      </w:r>
    </w:p>
    <w:p w14:paraId="69938F7F">
      <w:pPr>
        <w:pStyle w:val="56"/>
        <w:spacing w:line="360" w:lineRule="auto"/>
        <w:ind w:firstLine="420"/>
      </w:pPr>
      <w:r>
        <w:rPr>
          <w:rFonts w:hint="eastAsia"/>
        </w:rPr>
        <w:t>e）墙段施工记录与过程检验结果对应；</w:t>
      </w:r>
    </w:p>
    <w:p w14:paraId="5CF4E48F">
      <w:pPr>
        <w:pStyle w:val="56"/>
        <w:spacing w:line="360" w:lineRule="auto"/>
        <w:ind w:firstLine="420"/>
      </w:pPr>
      <w:r>
        <w:rPr>
          <w:rFonts w:hint="eastAsia"/>
        </w:rPr>
        <w:t>f）墙段施工记录与成墙质量检测结果对应；</w:t>
      </w:r>
    </w:p>
    <w:p w14:paraId="28241573">
      <w:pPr>
        <w:pStyle w:val="56"/>
        <w:spacing w:line="360" w:lineRule="auto"/>
        <w:ind w:firstLine="420"/>
      </w:pPr>
      <w:r>
        <w:rPr>
          <w:rFonts w:hint="eastAsia"/>
        </w:rPr>
        <w:t>g）异常处置记录与相关墙段、材料和检验结果对应。</w:t>
      </w:r>
    </w:p>
    <w:p w14:paraId="3C92F944">
      <w:pPr>
        <w:pStyle w:val="165"/>
        <w:spacing w:line="360" w:lineRule="auto"/>
      </w:pPr>
      <w:r>
        <w:rPr>
          <w:rFonts w:hint="eastAsia"/>
        </w:rPr>
        <w:t>发生质量争议、运行异常或者后续缺陷调查时，应能依据资料追溯至下列信息：</w:t>
      </w:r>
    </w:p>
    <w:p w14:paraId="476F14FD">
      <w:pPr>
        <w:pStyle w:val="56"/>
        <w:spacing w:line="360" w:lineRule="auto"/>
        <w:ind w:firstLine="420"/>
      </w:pPr>
      <w:r>
        <w:rPr>
          <w:rFonts w:hint="eastAsia"/>
        </w:rPr>
        <w:t>a）所用绿色建材来源；</w:t>
      </w:r>
    </w:p>
    <w:p w14:paraId="0B8514F1">
      <w:pPr>
        <w:pStyle w:val="56"/>
        <w:spacing w:line="360" w:lineRule="auto"/>
        <w:ind w:firstLine="420"/>
      </w:pPr>
      <w:r>
        <w:rPr>
          <w:rFonts w:hint="eastAsia"/>
        </w:rPr>
        <w:t>b）使用批次和使用部位；</w:t>
      </w:r>
    </w:p>
    <w:p w14:paraId="0B810BAA">
      <w:pPr>
        <w:pStyle w:val="56"/>
        <w:spacing w:line="360" w:lineRule="auto"/>
        <w:ind w:firstLine="420"/>
      </w:pPr>
      <w:r>
        <w:rPr>
          <w:rFonts w:hint="eastAsia"/>
        </w:rPr>
        <w:t>c）施工时间和施工参数；</w:t>
      </w:r>
    </w:p>
    <w:p w14:paraId="70A92F61">
      <w:pPr>
        <w:pStyle w:val="56"/>
        <w:spacing w:line="360" w:lineRule="auto"/>
        <w:ind w:firstLine="420"/>
      </w:pPr>
      <w:r>
        <w:rPr>
          <w:rFonts w:hint="eastAsia"/>
        </w:rPr>
        <w:t>d）现场责任人员；</w:t>
      </w:r>
    </w:p>
    <w:p w14:paraId="258B860A">
      <w:pPr>
        <w:pStyle w:val="56"/>
        <w:spacing w:line="360" w:lineRule="auto"/>
        <w:ind w:firstLine="420"/>
      </w:pPr>
      <w:r>
        <w:rPr>
          <w:rFonts w:hint="eastAsia"/>
        </w:rPr>
        <w:t>e）检验检测结果；</w:t>
      </w:r>
    </w:p>
    <w:p w14:paraId="32CCF07C">
      <w:pPr>
        <w:pStyle w:val="56"/>
        <w:spacing w:line="360" w:lineRule="auto"/>
        <w:ind w:firstLine="420"/>
      </w:pPr>
      <w:r>
        <w:rPr>
          <w:rFonts w:hint="eastAsia"/>
        </w:rPr>
        <w:t>f）异常处置过程和结论。</w:t>
      </w:r>
    </w:p>
    <w:p w14:paraId="5E00D36A">
      <w:pPr>
        <w:pStyle w:val="165"/>
        <w:spacing w:line="360" w:lineRule="auto"/>
      </w:pPr>
      <w:r>
        <w:rPr>
          <w:rFonts w:hint="eastAsia"/>
        </w:rPr>
        <w:t>追溯信息缺失时，应按资料缺陷处理，不得直接判定相关墙段质量完全可靠。</w:t>
      </w:r>
    </w:p>
    <w:p w14:paraId="11C20948">
      <w:pPr>
        <w:pStyle w:val="105"/>
        <w:spacing w:before="120" w:after="120" w:line="360" w:lineRule="auto"/>
      </w:pPr>
      <w:r>
        <w:rPr>
          <w:rFonts w:hint="eastAsia"/>
        </w:rPr>
        <w:t>信息化管理</w:t>
      </w:r>
    </w:p>
    <w:p w14:paraId="57E35667">
      <w:pPr>
        <w:pStyle w:val="165"/>
        <w:spacing w:line="360" w:lineRule="auto"/>
      </w:pPr>
      <w:r>
        <w:rPr>
          <w:rFonts w:hint="eastAsia"/>
        </w:rPr>
        <w:t>有条件的工程宜采用信息化手段开展绿色建材应用资料管理。</w:t>
      </w:r>
    </w:p>
    <w:p w14:paraId="2A6632AF">
      <w:pPr>
        <w:pStyle w:val="165"/>
        <w:spacing w:line="360" w:lineRule="auto"/>
      </w:pPr>
      <w:r>
        <w:rPr>
          <w:rFonts w:hint="eastAsia"/>
        </w:rPr>
        <w:t>信息化管理宜包括材料进场登记、二维码标识、施工数据采集、检测结果上传、影像关联、异常预警和档案归集等功能。</w:t>
      </w:r>
    </w:p>
    <w:p w14:paraId="4CC145CA">
      <w:pPr>
        <w:pStyle w:val="165"/>
        <w:spacing w:line="360" w:lineRule="auto"/>
      </w:pPr>
      <w:r>
        <w:rPr>
          <w:rFonts w:hint="eastAsia"/>
        </w:rPr>
        <w:t>信息化平台中的数据录入应及时、准确，与纸质资料保持一致。</w:t>
      </w:r>
    </w:p>
    <w:p w14:paraId="4D6BDF00">
      <w:pPr>
        <w:pStyle w:val="165"/>
        <w:spacing w:line="360" w:lineRule="auto"/>
      </w:pPr>
      <w:r>
        <w:rPr>
          <w:rFonts w:hint="eastAsia"/>
        </w:rPr>
        <w:t>电子数据应设置访问权限、修改权限和备份机制，防止数据丢失、篡改和误删。</w:t>
      </w:r>
    </w:p>
    <w:p w14:paraId="28039784">
      <w:pPr>
        <w:pStyle w:val="165"/>
        <w:spacing w:line="360" w:lineRule="auto"/>
      </w:pPr>
      <w:r>
        <w:rPr>
          <w:rFonts w:hint="eastAsia"/>
        </w:rPr>
        <w:t>采用信息化管理的，不得免除原始记录、签认审核和归档管理责任。</w:t>
      </w:r>
    </w:p>
    <w:p w14:paraId="74A0B764">
      <w:pPr>
        <w:pStyle w:val="104"/>
        <w:spacing w:before="240" w:after="240" w:line="360" w:lineRule="auto"/>
      </w:pPr>
      <w:bookmarkStart w:id="56" w:name="_Toc228533596"/>
      <w:r>
        <w:rPr>
          <w:rFonts w:hint="eastAsia"/>
        </w:rPr>
        <w:t>安全与环境保护要求</w:t>
      </w:r>
      <w:bookmarkEnd w:id="56"/>
    </w:p>
    <w:p w14:paraId="075DD340">
      <w:pPr>
        <w:pStyle w:val="105"/>
        <w:spacing w:before="120" w:after="120" w:line="360" w:lineRule="auto"/>
      </w:pPr>
      <w:r>
        <w:rPr>
          <w:rFonts w:hint="eastAsia"/>
        </w:rPr>
        <w:t>一般规定</w:t>
      </w:r>
    </w:p>
    <w:p w14:paraId="3C8F7428">
      <w:pPr>
        <w:pStyle w:val="165"/>
        <w:spacing w:line="360" w:lineRule="auto"/>
      </w:pPr>
      <w:r>
        <w:rPr>
          <w:rFonts w:hint="eastAsia"/>
        </w:rPr>
        <w:t>基础截渗墙绿色建材应用施工应符合安全生产、职业健康、环境保护和文明施工要求。</w:t>
      </w:r>
    </w:p>
    <w:p w14:paraId="3C0AB40D">
      <w:pPr>
        <w:pStyle w:val="165"/>
        <w:spacing w:line="360" w:lineRule="auto"/>
      </w:pPr>
      <w:r>
        <w:rPr>
          <w:rFonts w:hint="eastAsia"/>
        </w:rPr>
        <w:t>安全与环境保护措施应与绿色建材种类、施工工艺、设备布置、场地条件和周边环境相适应。</w:t>
      </w:r>
    </w:p>
    <w:p w14:paraId="760DB8E6">
      <w:pPr>
        <w:pStyle w:val="165"/>
        <w:spacing w:line="360" w:lineRule="auto"/>
      </w:pPr>
      <w:r>
        <w:rPr>
          <w:rFonts w:hint="eastAsia"/>
        </w:rPr>
        <w:t>施工单位应建立安全与环境保护责任制，明确管理责任人和现场执行责任人。</w:t>
      </w:r>
    </w:p>
    <w:p w14:paraId="20A42348">
      <w:pPr>
        <w:pStyle w:val="165"/>
        <w:spacing w:line="360" w:lineRule="auto"/>
      </w:pPr>
      <w:r>
        <w:rPr>
          <w:rFonts w:hint="eastAsia"/>
        </w:rPr>
        <w:t>绿色建材应用不得以追求工艺创新、施工效率或者环境效益为由削弱安全措施和环保措施。</w:t>
      </w:r>
    </w:p>
    <w:p w14:paraId="5E3C36A1">
      <w:pPr>
        <w:pStyle w:val="165"/>
        <w:spacing w:line="360" w:lineRule="auto"/>
      </w:pPr>
      <w:r>
        <w:rPr>
          <w:rFonts w:hint="eastAsia"/>
        </w:rPr>
        <w:t>不具备安全作业条件或者环保控制条件的，不得实施相关施工活动。</w:t>
      </w:r>
    </w:p>
    <w:p w14:paraId="32BC9E2D">
      <w:pPr>
        <w:pStyle w:val="105"/>
        <w:spacing w:before="120" w:after="120" w:line="360" w:lineRule="auto"/>
      </w:pPr>
      <w:r>
        <w:rPr>
          <w:rFonts w:hint="eastAsia"/>
        </w:rPr>
        <w:t>施工安全管理</w:t>
      </w:r>
    </w:p>
    <w:p w14:paraId="50FC3A91">
      <w:pPr>
        <w:pStyle w:val="165"/>
        <w:spacing w:line="360" w:lineRule="auto"/>
      </w:pPr>
      <w:r>
        <w:rPr>
          <w:rFonts w:hint="eastAsia"/>
        </w:rPr>
        <w:t>施工前应开展危险源辨识和风险评估。</w:t>
      </w:r>
    </w:p>
    <w:p w14:paraId="2E55672A">
      <w:pPr>
        <w:pStyle w:val="165"/>
        <w:spacing w:line="360" w:lineRule="auto"/>
      </w:pPr>
      <w:r>
        <w:rPr>
          <w:rFonts w:hint="eastAsia"/>
        </w:rPr>
        <w:t>对下列风险应重点控制：</w:t>
      </w:r>
    </w:p>
    <w:p w14:paraId="3C32DA9A">
      <w:pPr>
        <w:pStyle w:val="56"/>
        <w:spacing w:line="360" w:lineRule="auto"/>
        <w:ind w:firstLine="420"/>
      </w:pPr>
      <w:r>
        <w:rPr>
          <w:rFonts w:hint="eastAsia"/>
        </w:rPr>
        <w:t>a）成槽设备作业风险；</w:t>
      </w:r>
    </w:p>
    <w:p w14:paraId="05F91D3E">
      <w:pPr>
        <w:pStyle w:val="56"/>
        <w:spacing w:line="360" w:lineRule="auto"/>
        <w:ind w:firstLine="420"/>
      </w:pPr>
      <w:r>
        <w:rPr>
          <w:rFonts w:hint="eastAsia"/>
        </w:rPr>
        <w:t>b）起重吊装风险；</w:t>
      </w:r>
    </w:p>
    <w:p w14:paraId="40E37817">
      <w:pPr>
        <w:pStyle w:val="56"/>
        <w:spacing w:line="360" w:lineRule="auto"/>
        <w:ind w:firstLine="420"/>
      </w:pPr>
      <w:r>
        <w:rPr>
          <w:rFonts w:hint="eastAsia"/>
        </w:rPr>
        <w:t>c）高处坠落和临边作业风险；</w:t>
      </w:r>
    </w:p>
    <w:p w14:paraId="7182D668">
      <w:pPr>
        <w:pStyle w:val="56"/>
        <w:spacing w:line="360" w:lineRule="auto"/>
        <w:ind w:firstLine="420"/>
      </w:pPr>
      <w:r>
        <w:rPr>
          <w:rFonts w:hint="eastAsia"/>
        </w:rPr>
        <w:t>d）触电风险；</w:t>
      </w:r>
    </w:p>
    <w:p w14:paraId="43683BA2">
      <w:pPr>
        <w:pStyle w:val="56"/>
        <w:spacing w:line="360" w:lineRule="auto"/>
        <w:ind w:firstLine="420"/>
      </w:pPr>
      <w:r>
        <w:rPr>
          <w:rFonts w:hint="eastAsia"/>
        </w:rPr>
        <w:t>e）机械伤害风险；</w:t>
      </w:r>
    </w:p>
    <w:p w14:paraId="10C48667">
      <w:pPr>
        <w:pStyle w:val="56"/>
        <w:spacing w:line="360" w:lineRule="auto"/>
        <w:ind w:firstLine="420"/>
      </w:pPr>
      <w:r>
        <w:rPr>
          <w:rFonts w:hint="eastAsia"/>
        </w:rPr>
        <w:t>f）坍塌和陷落风险；</w:t>
      </w:r>
    </w:p>
    <w:p w14:paraId="5E64DB02">
      <w:pPr>
        <w:pStyle w:val="56"/>
        <w:spacing w:line="360" w:lineRule="auto"/>
        <w:ind w:firstLine="420"/>
      </w:pPr>
      <w:r>
        <w:rPr>
          <w:rFonts w:hint="eastAsia"/>
        </w:rPr>
        <w:t>g）泥浆池、废浆池和深槽区域落水风险；</w:t>
      </w:r>
    </w:p>
    <w:p w14:paraId="0FC41EF2">
      <w:pPr>
        <w:pStyle w:val="56"/>
        <w:spacing w:line="360" w:lineRule="auto"/>
        <w:ind w:firstLine="420"/>
      </w:pPr>
      <w:r>
        <w:rPr>
          <w:rFonts w:hint="eastAsia"/>
        </w:rPr>
        <w:t>h）夜间施工风险。</w:t>
      </w:r>
    </w:p>
    <w:p w14:paraId="5079F6ED">
      <w:pPr>
        <w:pStyle w:val="165"/>
        <w:spacing w:line="360" w:lineRule="auto"/>
      </w:pPr>
      <w:r>
        <w:rPr>
          <w:rFonts w:hint="eastAsia"/>
        </w:rPr>
        <w:t>施工现场应设置明显的安全警示标志、围挡、防护栏和作业禁入区域。</w:t>
      </w:r>
    </w:p>
    <w:p w14:paraId="6FF62094">
      <w:pPr>
        <w:pStyle w:val="165"/>
        <w:spacing w:line="360" w:lineRule="auto"/>
      </w:pPr>
      <w:r>
        <w:rPr>
          <w:rFonts w:hint="eastAsia"/>
        </w:rPr>
        <w:t>成槽区域、泥浆池、废浆池、导墙边缘和临边洞口应设置防护设施；防护设施不齐全的，不得施工。</w:t>
      </w:r>
    </w:p>
    <w:p w14:paraId="2B8C8B9A">
      <w:pPr>
        <w:pStyle w:val="165"/>
        <w:spacing w:line="360" w:lineRule="auto"/>
      </w:pPr>
      <w:r>
        <w:rPr>
          <w:rFonts w:hint="eastAsia"/>
        </w:rPr>
        <w:t>施工设备操作人员应持证上岗；未经培训或者无证人员不得独立操作专用设备。</w:t>
      </w:r>
    </w:p>
    <w:p w14:paraId="75CE47A5">
      <w:pPr>
        <w:pStyle w:val="165"/>
        <w:spacing w:line="360" w:lineRule="auto"/>
      </w:pPr>
      <w:r>
        <w:rPr>
          <w:rFonts w:hint="eastAsia"/>
        </w:rPr>
        <w:t>设备运行中不得在危险半径内进行无关作业。</w:t>
      </w:r>
    </w:p>
    <w:p w14:paraId="529B9B6F">
      <w:pPr>
        <w:pStyle w:val="165"/>
        <w:spacing w:line="360" w:lineRule="auto"/>
      </w:pPr>
      <w:r>
        <w:rPr>
          <w:rFonts w:hint="eastAsia"/>
        </w:rPr>
        <w:t>夜间施工应保证照明满足操作和巡查要求；照明不足时，应停止相关作业。</w:t>
      </w:r>
    </w:p>
    <w:p w14:paraId="381A7870">
      <w:pPr>
        <w:pStyle w:val="105"/>
        <w:spacing w:before="120" w:after="120" w:line="360" w:lineRule="auto"/>
      </w:pPr>
      <w:r>
        <w:rPr>
          <w:rFonts w:hint="eastAsia"/>
        </w:rPr>
        <w:t>材料存放与使用安全</w:t>
      </w:r>
    </w:p>
    <w:p w14:paraId="7AD278E4">
      <w:pPr>
        <w:pStyle w:val="165"/>
        <w:spacing w:line="360" w:lineRule="auto"/>
      </w:pPr>
      <w:r>
        <w:rPr>
          <w:rFonts w:hint="eastAsia"/>
        </w:rPr>
        <w:t>绿色建材应按品种、性质和使用要求分类储存。</w:t>
      </w:r>
    </w:p>
    <w:p w14:paraId="564DF183">
      <w:pPr>
        <w:pStyle w:val="165"/>
        <w:spacing w:line="360" w:lineRule="auto"/>
      </w:pPr>
      <w:r>
        <w:rPr>
          <w:rFonts w:hint="eastAsia"/>
        </w:rPr>
        <w:t>粉状材料堆放区应采取防尘、防潮措施。</w:t>
      </w:r>
    </w:p>
    <w:p w14:paraId="6487BE6D">
      <w:pPr>
        <w:pStyle w:val="165"/>
        <w:spacing w:line="360" w:lineRule="auto"/>
      </w:pPr>
      <w:r>
        <w:rPr>
          <w:rFonts w:hint="eastAsia"/>
        </w:rPr>
        <w:t>液体材料、外加剂和改性剂应防止泄漏、误混和误用。</w:t>
      </w:r>
    </w:p>
    <w:p w14:paraId="333B07F6">
      <w:pPr>
        <w:pStyle w:val="165"/>
        <w:spacing w:line="360" w:lineRule="auto"/>
      </w:pPr>
      <w:r>
        <w:rPr>
          <w:rFonts w:hint="eastAsia"/>
        </w:rPr>
        <w:t>对存在腐蚀性、刺激性、挥发性或者其他危险特性的材料，应按照相应安全要求储存和使用。</w:t>
      </w:r>
    </w:p>
    <w:p w14:paraId="6319C533">
      <w:pPr>
        <w:pStyle w:val="165"/>
        <w:spacing w:line="360" w:lineRule="auto"/>
      </w:pPr>
      <w:r>
        <w:rPr>
          <w:rFonts w:hint="eastAsia"/>
        </w:rPr>
        <w:t>材料搬运、拆包、投料和转运过程中，应防止扬尘、飞散、洒漏和人员伤害。</w:t>
      </w:r>
    </w:p>
    <w:p w14:paraId="51E9A166">
      <w:pPr>
        <w:pStyle w:val="165"/>
        <w:spacing w:line="360" w:lineRule="auto"/>
      </w:pPr>
      <w:r>
        <w:rPr>
          <w:rFonts w:hint="eastAsia"/>
        </w:rPr>
        <w:t>严禁在材料储存区吸烟、动火或者进行其他可能引发事故的作业。</w:t>
      </w:r>
    </w:p>
    <w:p w14:paraId="0E74D236">
      <w:pPr>
        <w:pStyle w:val="105"/>
        <w:spacing w:before="120" w:after="120" w:line="360" w:lineRule="auto"/>
      </w:pPr>
      <w:r>
        <w:rPr>
          <w:rFonts w:hint="eastAsia"/>
        </w:rPr>
        <w:t>施工设备与用电安全</w:t>
      </w:r>
    </w:p>
    <w:p w14:paraId="4C8EE1E5">
      <w:pPr>
        <w:pStyle w:val="165"/>
        <w:spacing w:line="360" w:lineRule="auto"/>
      </w:pPr>
      <w:r>
        <w:rPr>
          <w:rFonts w:hint="eastAsia"/>
        </w:rPr>
        <w:t>成槽设备、起重设备、拌和设备、输送设备和供电系统应定期检查和维护。</w:t>
      </w:r>
    </w:p>
    <w:p w14:paraId="7106E1C9">
      <w:pPr>
        <w:pStyle w:val="165"/>
        <w:spacing w:line="360" w:lineRule="auto"/>
      </w:pPr>
      <w:r>
        <w:rPr>
          <w:rFonts w:hint="eastAsia"/>
        </w:rPr>
        <w:t>设备检修、清理和故障排除时，应执行停机、断电、挂牌和专人监护措施。</w:t>
      </w:r>
    </w:p>
    <w:p w14:paraId="0F98A295">
      <w:pPr>
        <w:pStyle w:val="165"/>
        <w:spacing w:line="360" w:lineRule="auto"/>
      </w:pPr>
      <w:r>
        <w:rPr>
          <w:rFonts w:hint="eastAsia"/>
        </w:rPr>
        <w:t>临时用电应符合施工现场用电安全要求；不得私拉乱接，不得超负荷用电。</w:t>
      </w:r>
    </w:p>
    <w:p w14:paraId="759831A4">
      <w:pPr>
        <w:pStyle w:val="165"/>
        <w:spacing w:line="360" w:lineRule="auto"/>
      </w:pPr>
      <w:r>
        <w:rPr>
          <w:rFonts w:hint="eastAsia"/>
        </w:rPr>
        <w:t>电缆敷设应避免浸水、碾压、拉扯和机械损伤。</w:t>
      </w:r>
    </w:p>
    <w:p w14:paraId="4C629DFD">
      <w:pPr>
        <w:pStyle w:val="165"/>
        <w:spacing w:line="360" w:lineRule="auto"/>
      </w:pPr>
      <w:r>
        <w:rPr>
          <w:rFonts w:hint="eastAsia"/>
        </w:rPr>
        <w:t>在潮湿区域、泥浆区域或者金属设备集中区域作业时，应加强漏电保护。</w:t>
      </w:r>
    </w:p>
    <w:p w14:paraId="6F10DCDC">
      <w:pPr>
        <w:pStyle w:val="105"/>
        <w:spacing w:before="120" w:after="120" w:line="360" w:lineRule="auto"/>
      </w:pPr>
      <w:r>
        <w:rPr>
          <w:rFonts w:hint="eastAsia"/>
        </w:rPr>
        <w:t>职业健康防护</w:t>
      </w:r>
    </w:p>
    <w:p w14:paraId="17463C7F">
      <w:pPr>
        <w:pStyle w:val="165"/>
        <w:spacing w:line="360" w:lineRule="auto"/>
      </w:pPr>
      <w:r>
        <w:rPr>
          <w:rFonts w:hint="eastAsia"/>
        </w:rPr>
        <w:t>施工人员应根据作业内容配备必要的个体防护用品。</w:t>
      </w:r>
    </w:p>
    <w:p w14:paraId="123A088D">
      <w:pPr>
        <w:pStyle w:val="165"/>
        <w:spacing w:line="360" w:lineRule="auto"/>
      </w:pPr>
      <w:r>
        <w:rPr>
          <w:rFonts w:hint="eastAsia"/>
        </w:rPr>
        <w:t>进行粉料投加、外加剂添加、废浆处理和清槽作业时，应根据需要佩戴防尘口罩、防护手套、防护眼镜、防护鞋和其他防护用品。</w:t>
      </w:r>
    </w:p>
    <w:p w14:paraId="1DDA5440">
      <w:pPr>
        <w:pStyle w:val="165"/>
        <w:spacing w:line="360" w:lineRule="auto"/>
      </w:pPr>
      <w:r>
        <w:rPr>
          <w:rFonts w:hint="eastAsia"/>
        </w:rPr>
        <w:t>接触有刺激性或者腐蚀性材料时，应采取皮肤防护和眼部防护措施。</w:t>
      </w:r>
    </w:p>
    <w:p w14:paraId="0FB8AFB5">
      <w:pPr>
        <w:pStyle w:val="165"/>
        <w:spacing w:line="360" w:lineRule="auto"/>
      </w:pPr>
      <w:r>
        <w:rPr>
          <w:rFonts w:hint="eastAsia"/>
        </w:rPr>
        <w:t>夏季高温和冬季低温施工时，应采取防暑降温和防寒防滑措施。</w:t>
      </w:r>
    </w:p>
    <w:p w14:paraId="26979A23">
      <w:pPr>
        <w:pStyle w:val="165"/>
        <w:spacing w:line="360" w:lineRule="auto"/>
      </w:pPr>
      <w:r>
        <w:rPr>
          <w:rFonts w:hint="eastAsia"/>
        </w:rPr>
        <w:t>长时间在噪声较大区域作业时，应采取听力防护措施。</w:t>
      </w:r>
    </w:p>
    <w:p w14:paraId="3F91802C">
      <w:pPr>
        <w:pStyle w:val="165"/>
        <w:spacing w:line="360" w:lineRule="auto"/>
      </w:pPr>
      <w:r>
        <w:rPr>
          <w:rFonts w:hint="eastAsia"/>
        </w:rPr>
        <w:t>现场应配备必要的急救用品和冲洗装置；材料接触伤害发生时，应及时处置并报告。</w:t>
      </w:r>
    </w:p>
    <w:p w14:paraId="292778AC">
      <w:pPr>
        <w:pStyle w:val="105"/>
        <w:spacing w:before="120" w:after="120" w:line="360" w:lineRule="auto"/>
      </w:pPr>
      <w:r>
        <w:rPr>
          <w:rFonts w:hint="eastAsia"/>
        </w:rPr>
        <w:t>环境保护控制</w:t>
      </w:r>
    </w:p>
    <w:p w14:paraId="2A691406">
      <w:pPr>
        <w:pStyle w:val="165"/>
        <w:spacing w:line="360" w:lineRule="auto"/>
      </w:pPr>
      <w:r>
        <w:rPr>
          <w:rFonts w:hint="eastAsia"/>
        </w:rPr>
        <w:t>基础截渗墙绿色建材应用施工应减少对周边环境、地下水环境、土体环境和生态环境的不利影响。</w:t>
      </w:r>
    </w:p>
    <w:p w14:paraId="41F431FA">
      <w:pPr>
        <w:pStyle w:val="165"/>
        <w:spacing w:line="360" w:lineRule="auto"/>
      </w:pPr>
      <w:r>
        <w:rPr>
          <w:rFonts w:hint="eastAsia"/>
        </w:rPr>
        <w:t>施工现场应控制粉尘、泥浆、废浆、废水、噪声、振动和固体废弃物排放。</w:t>
      </w:r>
    </w:p>
    <w:p w14:paraId="13DE71F3">
      <w:pPr>
        <w:pStyle w:val="165"/>
        <w:spacing w:line="360" w:lineRule="auto"/>
      </w:pPr>
      <w:r>
        <w:rPr>
          <w:rFonts w:hint="eastAsia"/>
        </w:rPr>
        <w:t>粉状材料装卸、转运和投料时，应采取防尘措施；大风天气不得进行易扬尘材料的露天无防护作业。</w:t>
      </w:r>
    </w:p>
    <w:p w14:paraId="699971D1">
      <w:pPr>
        <w:pStyle w:val="165"/>
        <w:spacing w:line="360" w:lineRule="auto"/>
      </w:pPr>
      <w:r>
        <w:rPr>
          <w:rFonts w:hint="eastAsia"/>
        </w:rPr>
        <w:t>泥浆和废浆应集中收集、分类处理，不得随意排放至河道、沟渠、农田、地下或者市政雨水系统。</w:t>
      </w:r>
    </w:p>
    <w:p w14:paraId="0BB7AF46">
      <w:pPr>
        <w:pStyle w:val="165"/>
        <w:spacing w:line="360" w:lineRule="auto"/>
      </w:pPr>
      <w:r>
        <w:rPr>
          <w:rFonts w:hint="eastAsia"/>
        </w:rPr>
        <w:t>设备冲洗废水、材料残液和场地清洗废水应经处理后排放；未经处理不得直接外排。</w:t>
      </w:r>
    </w:p>
    <w:p w14:paraId="42897F94">
      <w:pPr>
        <w:pStyle w:val="165"/>
        <w:spacing w:line="360" w:lineRule="auto"/>
      </w:pPr>
      <w:r>
        <w:rPr>
          <w:rFonts w:hint="eastAsia"/>
        </w:rPr>
        <w:t>固体废弃物应分类堆放、及时清运；可回收利用的应优先回收利用。</w:t>
      </w:r>
    </w:p>
    <w:p w14:paraId="288031EF">
      <w:pPr>
        <w:pStyle w:val="165"/>
        <w:spacing w:line="360" w:lineRule="auto"/>
      </w:pPr>
      <w:r>
        <w:rPr>
          <w:rFonts w:hint="eastAsia"/>
        </w:rPr>
        <w:t>施工噪声和振动控制应符合周边环境敏感目标保护要求；对邻近居民区、学校、医院或者运行工程的施工，应合理安排作业时段。</w:t>
      </w:r>
    </w:p>
    <w:p w14:paraId="4CF119C0">
      <w:pPr>
        <w:pStyle w:val="165"/>
        <w:numPr>
          <w:ilvl w:val="0"/>
          <w:numId w:val="0"/>
        </w:numPr>
        <w:spacing w:line="360" w:lineRule="auto"/>
        <w:rPr>
          <w:rFonts w:hint="eastAsia"/>
        </w:rPr>
      </w:pPr>
    </w:p>
    <w:p w14:paraId="34091042">
      <w:pPr>
        <w:pStyle w:val="105"/>
        <w:spacing w:before="120" w:after="120" w:line="360" w:lineRule="auto"/>
      </w:pPr>
      <w:r>
        <w:rPr>
          <w:rFonts w:hint="eastAsia"/>
        </w:rPr>
        <w:t>绿色施工要求</w:t>
      </w:r>
    </w:p>
    <w:p w14:paraId="4F4A9282">
      <w:pPr>
        <w:pStyle w:val="165"/>
        <w:spacing w:line="360" w:lineRule="auto"/>
      </w:pPr>
      <w:r>
        <w:rPr>
          <w:rFonts w:hint="eastAsia"/>
        </w:rPr>
        <w:t>绿色建材应用施工宜优化材料用量、减少损耗和提高资源利用效率。</w:t>
      </w:r>
    </w:p>
    <w:p w14:paraId="0343B881">
      <w:pPr>
        <w:pStyle w:val="165"/>
        <w:spacing w:line="360" w:lineRule="auto"/>
      </w:pPr>
      <w:r>
        <w:rPr>
          <w:rFonts w:hint="eastAsia"/>
        </w:rPr>
        <w:t>施工中宜优先采用节能设备、高效搅拌设备和低泄漏输送系统。</w:t>
      </w:r>
    </w:p>
    <w:p w14:paraId="0AEDDDF1">
      <w:pPr>
        <w:pStyle w:val="165"/>
        <w:spacing w:line="360" w:lineRule="auto"/>
      </w:pPr>
      <w:r>
        <w:rPr>
          <w:rFonts w:hint="eastAsia"/>
        </w:rPr>
        <w:t>施工中宜对剩余浆液、废浆和可回收材料进行规范回收和资源化利用；但回收利用不得影响工程质量和环境安全。</w:t>
      </w:r>
    </w:p>
    <w:p w14:paraId="50E61741">
      <w:pPr>
        <w:pStyle w:val="165"/>
        <w:spacing w:line="360" w:lineRule="auto"/>
      </w:pPr>
      <w:r>
        <w:rPr>
          <w:rFonts w:hint="eastAsia"/>
        </w:rPr>
        <w:t>绿色施工措施不得与质量控制要求相冲突；发生冲突时，应以工程质量安全和环境安全为先。</w:t>
      </w:r>
    </w:p>
    <w:p w14:paraId="5AD8ACDF">
      <w:pPr>
        <w:pStyle w:val="105"/>
        <w:spacing w:before="120" w:after="120" w:line="360" w:lineRule="auto"/>
      </w:pPr>
      <w:r>
        <w:rPr>
          <w:rFonts w:hint="eastAsia"/>
        </w:rPr>
        <w:t>应急处置</w:t>
      </w:r>
    </w:p>
    <w:p w14:paraId="77B3A26D">
      <w:pPr>
        <w:pStyle w:val="165"/>
        <w:spacing w:line="360" w:lineRule="auto"/>
      </w:pPr>
      <w:r>
        <w:rPr>
          <w:rFonts w:hint="eastAsia"/>
        </w:rPr>
        <w:t>施工单位应制定基础截渗墙绿色建材应用施工应急预案。</w:t>
      </w:r>
    </w:p>
    <w:p w14:paraId="45D3D74A">
      <w:pPr>
        <w:pStyle w:val="165"/>
        <w:spacing w:line="360" w:lineRule="auto"/>
      </w:pPr>
      <w:r>
        <w:rPr>
          <w:rFonts w:hint="eastAsia"/>
        </w:rPr>
        <w:t>应急预案宜包括下列内容：</w:t>
      </w:r>
    </w:p>
    <w:p w14:paraId="48B866D6">
      <w:pPr>
        <w:pStyle w:val="56"/>
        <w:spacing w:line="360" w:lineRule="auto"/>
        <w:ind w:firstLine="420"/>
      </w:pPr>
      <w:r>
        <w:rPr>
          <w:rFonts w:hint="eastAsia"/>
        </w:rPr>
        <w:t>a）塌槽、漏浆、断流和灌注中断处置；</w:t>
      </w:r>
    </w:p>
    <w:p w14:paraId="654DF070">
      <w:pPr>
        <w:pStyle w:val="56"/>
        <w:spacing w:line="360" w:lineRule="auto"/>
        <w:ind w:firstLine="420"/>
      </w:pPr>
      <w:r>
        <w:rPr>
          <w:rFonts w:hint="eastAsia"/>
        </w:rPr>
        <w:t>b）设备倾覆、机械伤害和触电事故处置；</w:t>
      </w:r>
    </w:p>
    <w:p w14:paraId="7A0DEA93">
      <w:pPr>
        <w:pStyle w:val="56"/>
        <w:spacing w:line="360" w:lineRule="auto"/>
        <w:ind w:firstLine="420"/>
      </w:pPr>
      <w:r>
        <w:rPr>
          <w:rFonts w:hint="eastAsia"/>
        </w:rPr>
        <w:t>c）危险材料泄漏处置；</w:t>
      </w:r>
    </w:p>
    <w:p w14:paraId="02ED0D35">
      <w:pPr>
        <w:pStyle w:val="56"/>
        <w:spacing w:line="360" w:lineRule="auto"/>
        <w:ind w:firstLine="420"/>
      </w:pPr>
      <w:r>
        <w:rPr>
          <w:rFonts w:hint="eastAsia"/>
        </w:rPr>
        <w:t>d）暴雨、大风、高温和其他极端天气处置；</w:t>
      </w:r>
    </w:p>
    <w:p w14:paraId="5B204AD9">
      <w:pPr>
        <w:pStyle w:val="56"/>
        <w:spacing w:line="360" w:lineRule="auto"/>
        <w:ind w:firstLine="420"/>
      </w:pPr>
      <w:r>
        <w:rPr>
          <w:rFonts w:hint="eastAsia"/>
        </w:rPr>
        <w:t>e）环境污染事件处置；</w:t>
      </w:r>
    </w:p>
    <w:p w14:paraId="22362DA2">
      <w:pPr>
        <w:pStyle w:val="56"/>
        <w:spacing w:line="360" w:lineRule="auto"/>
        <w:ind w:firstLine="420"/>
      </w:pPr>
      <w:r>
        <w:rPr>
          <w:rFonts w:hint="eastAsia"/>
        </w:rPr>
        <w:t>f）人员伤害救援处置。</w:t>
      </w:r>
    </w:p>
    <w:p w14:paraId="6401C834">
      <w:pPr>
        <w:pStyle w:val="165"/>
        <w:spacing w:line="360" w:lineRule="auto"/>
      </w:pPr>
      <w:r>
        <w:rPr>
          <w:rFonts w:hint="eastAsia"/>
        </w:rPr>
        <w:t>发生突发事件时，应立即启动应急响应，采取先控制现场、后组织处置的措施。</w:t>
      </w:r>
    </w:p>
    <w:p w14:paraId="11226731">
      <w:pPr>
        <w:pStyle w:val="165"/>
        <w:spacing w:line="360" w:lineRule="auto"/>
      </w:pPr>
      <w:r>
        <w:rPr>
          <w:rFonts w:hint="eastAsia"/>
        </w:rPr>
        <w:t>应急处置过程中，应同步做好现场保护、信息报告和处置记录。</w:t>
      </w:r>
    </w:p>
    <w:p w14:paraId="21F1E6B8">
      <w:pPr>
        <w:pStyle w:val="165"/>
        <w:spacing w:line="360" w:lineRule="auto"/>
      </w:pPr>
      <w:r>
        <w:rPr>
          <w:rFonts w:hint="eastAsia"/>
        </w:rPr>
        <w:t>应急处置结束后，应分析原因，评估对工程质量、环境和后续施工的影响，并采取纠正措施。</w:t>
      </w:r>
    </w:p>
    <w:p w14:paraId="4F916925">
      <w:pPr>
        <w:pStyle w:val="105"/>
        <w:spacing w:before="120" w:after="120" w:line="360" w:lineRule="auto"/>
      </w:pPr>
      <w:r>
        <w:rPr>
          <w:rFonts w:hint="eastAsia"/>
        </w:rPr>
        <w:t>文明施工要求</w:t>
      </w:r>
    </w:p>
    <w:p w14:paraId="55B7065D">
      <w:pPr>
        <w:pStyle w:val="165"/>
        <w:spacing w:line="360" w:lineRule="auto"/>
      </w:pPr>
      <w:r>
        <w:rPr>
          <w:rFonts w:hint="eastAsia"/>
        </w:rPr>
        <w:t>施工现场应布置有序，道路畅通，材料堆放整齐，标识清楚。</w:t>
      </w:r>
    </w:p>
    <w:p w14:paraId="544A819F">
      <w:pPr>
        <w:pStyle w:val="165"/>
        <w:spacing w:line="360" w:lineRule="auto"/>
      </w:pPr>
      <w:r>
        <w:rPr>
          <w:rFonts w:hint="eastAsia"/>
        </w:rPr>
        <w:t>现场应保持整洁，不得出现浆液外溢、道路污染、废料乱堆和污水横流。</w:t>
      </w:r>
    </w:p>
    <w:p w14:paraId="5BDA99D6">
      <w:pPr>
        <w:pStyle w:val="165"/>
        <w:spacing w:line="360" w:lineRule="auto"/>
      </w:pPr>
      <w:r>
        <w:rPr>
          <w:rFonts w:hint="eastAsia"/>
        </w:rPr>
        <w:t>施工结束后，应及时清理设备、场地、废浆池边缘和材料堆场。</w:t>
      </w:r>
    </w:p>
    <w:p w14:paraId="4DB42863">
      <w:pPr>
        <w:pStyle w:val="165"/>
        <w:spacing w:line="360" w:lineRule="auto"/>
      </w:pPr>
      <w:r>
        <w:rPr>
          <w:rFonts w:hint="eastAsia"/>
        </w:rPr>
        <w:t>施工单位应对周边既有建筑物、道路、管线和生态环境采取必要保护措施。</w:t>
      </w:r>
    </w:p>
    <w:bookmarkEnd w:id="26"/>
    <w:p w14:paraId="285226B2">
      <w:pPr>
        <w:pStyle w:val="56"/>
        <w:ind w:firstLine="0" w:firstLineChars="0"/>
        <w:jc w:val="center"/>
      </w:pPr>
      <w:bookmarkStart w:id="57" w:name="BookMark8"/>
      <w:r>
        <w:drawing>
          <wp:inline distT="0" distB="0" distL="0" distR="0">
            <wp:extent cx="1485900" cy="317500"/>
            <wp:effectExtent l="0" t="0" r="0" b="6350"/>
            <wp:docPr id="498950170" name="图片 3"/>
            <wp:cNvGraphicFramePr/>
            <a:graphic xmlns:a="http://schemas.openxmlformats.org/drawingml/2006/main">
              <a:graphicData uri="http://schemas.openxmlformats.org/drawingml/2006/picture">
                <pic:pic xmlns:pic="http://schemas.openxmlformats.org/drawingml/2006/picture">
                  <pic:nvPicPr>
                    <pic:cNvPr id="498950170"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0DF2F">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95A9B">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B3A66">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0254—2026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0254—2026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708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0254—2026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0254—2026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9A9E2">
    <w:pPr>
      <w:pStyle w:val="61"/>
      <w:rPr>
        <w:rFonts w:hint="eastAsia"/>
      </w:rPr>
    </w:pPr>
    <w:r>
      <w:fldChar w:fldCharType="begin"/>
    </w:r>
    <w:r>
      <w:instrText xml:space="preserve"> STYLEREF  标准文件_文件编号  \* MERGEFORMAT </w:instrText>
    </w:r>
    <w:r>
      <w:fldChar w:fldCharType="separate"/>
    </w:r>
    <w:r>
      <w:t>T/XZBX 0254—2026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F8FB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0254—2026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0254—2026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0254—2026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88D"/>
    <w:rsid w:val="000E4C9E"/>
    <w:rsid w:val="000E6FD7"/>
    <w:rsid w:val="000E7144"/>
    <w:rsid w:val="000F06E1"/>
    <w:rsid w:val="000F0E3C"/>
    <w:rsid w:val="000F19D5"/>
    <w:rsid w:val="000F4050"/>
    <w:rsid w:val="000F4AEA"/>
    <w:rsid w:val="000F67E9"/>
    <w:rsid w:val="00104926"/>
    <w:rsid w:val="00105D69"/>
    <w:rsid w:val="00113B1E"/>
    <w:rsid w:val="0011711C"/>
    <w:rsid w:val="00124E4F"/>
    <w:rsid w:val="00125814"/>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4D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31C8"/>
    <w:rsid w:val="002133C0"/>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17E5"/>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A2F"/>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125"/>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1D9"/>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232"/>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3FF4"/>
    <w:rsid w:val="00AB6309"/>
    <w:rsid w:val="00AB6C5F"/>
    <w:rsid w:val="00AB7129"/>
    <w:rsid w:val="00AC27A6"/>
    <w:rsid w:val="00AC30F7"/>
    <w:rsid w:val="00AC3A5A"/>
    <w:rsid w:val="00AC4556"/>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E11"/>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6CA"/>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9695D"/>
    <w:rsid w:val="00CA2D1B"/>
    <w:rsid w:val="00CA375D"/>
    <w:rsid w:val="00CA4A26"/>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9F6"/>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6AB2"/>
    <w:rsid w:val="00E01138"/>
    <w:rsid w:val="00E02DFB"/>
    <w:rsid w:val="00E030F9"/>
    <w:rsid w:val="00E0311A"/>
    <w:rsid w:val="00E03138"/>
    <w:rsid w:val="00E06404"/>
    <w:rsid w:val="00E07149"/>
    <w:rsid w:val="00E108E3"/>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0B9"/>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015D"/>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FEF"/>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E670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0C38EBA3">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39F4A07C">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5C46A5F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47460"/>
    <w:rsid w:val="0007358F"/>
    <w:rsid w:val="002E6AD9"/>
    <w:rsid w:val="003646F4"/>
    <w:rsid w:val="003F62CE"/>
    <w:rsid w:val="0048034E"/>
    <w:rsid w:val="004A6324"/>
    <w:rsid w:val="005B18DA"/>
    <w:rsid w:val="005E4B5C"/>
    <w:rsid w:val="006141C6"/>
    <w:rsid w:val="006215AB"/>
    <w:rsid w:val="0063498F"/>
    <w:rsid w:val="00652769"/>
    <w:rsid w:val="00771A2F"/>
    <w:rsid w:val="00796662"/>
    <w:rsid w:val="00816125"/>
    <w:rsid w:val="008C0337"/>
    <w:rsid w:val="008E6778"/>
    <w:rsid w:val="00AA2819"/>
    <w:rsid w:val="00AC4556"/>
    <w:rsid w:val="00AE100B"/>
    <w:rsid w:val="00AE1DC6"/>
    <w:rsid w:val="00C206CA"/>
    <w:rsid w:val="00C634B8"/>
    <w:rsid w:val="00CC0177"/>
    <w:rsid w:val="00DF6AB2"/>
    <w:rsid w:val="00E76885"/>
    <w:rsid w:val="00FC3FEF"/>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33</Pages>
  <Words>7044</Words>
  <Characters>7400</Characters>
  <Lines>520</Lines>
  <Paragraphs>821</Paragraphs>
  <TotalTime>153</TotalTime>
  <ScaleCrop>false</ScaleCrop>
  <LinksUpToDate>false</LinksUpToDate>
  <CharactersWithSpaces>7510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2026-05-19T05:59:28Z</dcterms:modified>
  <dc:title>团体标准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9C46C1A467F241188C8E6BC966E8AC50_12</vt:lpwstr>
  </property>
</Properties>
</file>