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1.080.4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91.080.40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2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25</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53"/>
            </w:textInput>
          </w:ffData>
        </w:fldChar>
      </w:r>
      <w:bookmarkStart w:id="6" w:name="NSTD_CODE_F"/>
      <w:r>
        <w:instrText xml:space="preserve"> FORMTEXT </w:instrText>
      </w:r>
      <w:r>
        <w:fldChar w:fldCharType="separate"/>
      </w:r>
      <w:r>
        <w:t>0253</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水下混凝土施工全链条质量溯源技术规范"/>
            </w:textInput>
          </w:ffData>
        </w:fldChar>
      </w:r>
      <w:bookmarkStart w:id="9" w:name="CSTD_NAME"/>
      <w:r>
        <w:rPr>
          <w:rFonts w:hint="eastAsia"/>
        </w:rPr>
        <w:instrText xml:space="preserve"> FORMTEXT </w:instrText>
      </w:r>
      <w:r>
        <w:rPr>
          <w:rFonts w:hint="eastAsia"/>
        </w:rPr>
        <w:fldChar w:fldCharType="separate"/>
      </w:r>
      <w:r>
        <w:rPr>
          <w:rFonts w:hint="eastAsia"/>
        </w:rPr>
        <w:t>水下混凝土施工全链条质量溯源技术规范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full-chain quality traceability of underwater concrete construction"/>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full-chain quality traceability of underwater concrete construction</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7A2FACC4">
      <w:pPr>
        <w:pStyle w:val="91"/>
        <w:spacing w:after="360"/>
      </w:pPr>
      <w:bookmarkStart w:id="21" w:name="BookMark1"/>
      <w:r>
        <w:rPr>
          <w:rFonts w:hint="eastAsia"/>
          <w:spacing w:val="320"/>
        </w:rPr>
        <w:t>目</w:t>
      </w:r>
      <w:r>
        <w:rPr>
          <w:rFonts w:hint="eastAsia"/>
        </w:rPr>
        <w:t>次</w:t>
      </w:r>
    </w:p>
    <w:p w14:paraId="63C13F3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"_Toc228532467"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_Toc228532467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07A2457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"_Toc228532468"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_Toc228532468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7750D4E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"_Toc228532469"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_Toc228532469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305865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"_Toc228532470"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_Toc228532470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600071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"_Toc228532471"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_Toc228532471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A1C891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"_Toc228532472"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_Toc228532472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3C5319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"_Toc228532473" </w:instrText>
      </w:r>
      <w:r>
        <w:fldChar w:fldCharType="separate"/>
      </w:r>
      <w:r>
        <w:rPr>
          <w:rStyle w:val="32"/>
        </w:rPr>
        <w:t>5  原材料、配合比与生产拌和质量溯源要求</w:t>
      </w:r>
      <w:r>
        <w:rPr>
          <w:rFonts w:hint="eastAsia"/>
        </w:rPr>
        <w:tab/>
      </w:r>
      <w:r>
        <w:rPr>
          <w:rFonts w:hint="eastAsia"/>
        </w:rPr>
        <w:fldChar w:fldCharType="begin"/>
      </w:r>
      <w:r>
        <w:rPr>
          <w:rFonts w:hint="eastAsia"/>
        </w:rPr>
        <w:instrText xml:space="preserve"> </w:instrText>
      </w:r>
      <w:r>
        <w:instrText xml:space="preserve">PAGEREF _Toc228532473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F0C6B0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"_Toc228532474" </w:instrText>
      </w:r>
      <w:r>
        <w:fldChar w:fldCharType="separate"/>
      </w:r>
      <w:r>
        <w:rPr>
          <w:rStyle w:val="32"/>
        </w:rPr>
        <w:t>6  运输供应、浇筑设备与施工准备质量溯源要求</w:t>
      </w:r>
      <w:r>
        <w:rPr>
          <w:rFonts w:hint="eastAsia"/>
        </w:rPr>
        <w:tab/>
      </w:r>
      <w:r>
        <w:rPr>
          <w:rFonts w:hint="eastAsia"/>
        </w:rPr>
        <w:fldChar w:fldCharType="begin"/>
      </w:r>
      <w:r>
        <w:rPr>
          <w:rFonts w:hint="eastAsia"/>
        </w:rPr>
        <w:instrText xml:space="preserve"> </w:instrText>
      </w:r>
      <w:r>
        <w:instrText xml:space="preserve">PAGEREF _Toc228532474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4A740C5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"_Toc228532475" </w:instrText>
      </w:r>
      <w:r>
        <w:fldChar w:fldCharType="separate"/>
      </w:r>
      <w:r>
        <w:rPr>
          <w:rStyle w:val="32"/>
        </w:rPr>
        <w:t>7  水下混凝土浇筑过程质量溯源要求</w:t>
      </w:r>
      <w:r>
        <w:rPr>
          <w:rFonts w:hint="eastAsia"/>
        </w:rPr>
        <w:tab/>
      </w:r>
      <w:r>
        <w:rPr>
          <w:rFonts w:hint="eastAsia"/>
        </w:rPr>
        <w:fldChar w:fldCharType="begin"/>
      </w:r>
      <w:r>
        <w:rPr>
          <w:rFonts w:hint="eastAsia"/>
        </w:rPr>
        <w:instrText xml:space="preserve"> </w:instrText>
      </w:r>
      <w:r>
        <w:instrText xml:space="preserve">PAGEREF _Toc228532475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610B5DF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"_Toc228532476" </w:instrText>
      </w:r>
      <w:r>
        <w:fldChar w:fldCharType="separate"/>
      </w:r>
      <w:r>
        <w:rPr>
          <w:rStyle w:val="32"/>
        </w:rPr>
        <w:t>8  试件留置、检测验证与实体验证要求</w:t>
      </w:r>
      <w:r>
        <w:rPr>
          <w:rFonts w:hint="eastAsia"/>
        </w:rPr>
        <w:tab/>
      </w:r>
      <w:r>
        <w:rPr>
          <w:rFonts w:hint="eastAsia"/>
        </w:rPr>
        <w:fldChar w:fldCharType="begin"/>
      </w:r>
      <w:r>
        <w:rPr>
          <w:rFonts w:hint="eastAsia"/>
        </w:rPr>
        <w:instrText xml:space="preserve"> </w:instrText>
      </w:r>
      <w:r>
        <w:instrText xml:space="preserve">PAGEREF _Toc228532476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0C20DB8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"_Toc228532477" </w:instrText>
      </w:r>
      <w:r>
        <w:fldChar w:fldCharType="separate"/>
      </w:r>
      <w:r>
        <w:rPr>
          <w:rStyle w:val="32"/>
        </w:rPr>
        <w:t>9  质量异常追溯、缺陷识别与处置要求</w:t>
      </w:r>
      <w:r>
        <w:rPr>
          <w:rFonts w:hint="eastAsia"/>
        </w:rPr>
        <w:tab/>
      </w:r>
      <w:r>
        <w:rPr>
          <w:rFonts w:hint="eastAsia"/>
        </w:rPr>
        <w:fldChar w:fldCharType="begin"/>
      </w:r>
      <w:r>
        <w:rPr>
          <w:rFonts w:hint="eastAsia"/>
        </w:rPr>
        <w:instrText xml:space="preserve"> </w:instrText>
      </w:r>
      <w:r>
        <w:instrText xml:space="preserve">PAGEREF _Toc228532477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6393454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"_Toc228532478" </w:instrText>
      </w:r>
      <w:r>
        <w:fldChar w:fldCharType="separate"/>
      </w:r>
      <w:r>
        <w:rPr>
          <w:rStyle w:val="32"/>
        </w:rPr>
        <w:t>10  质量验收与评价要求</w:t>
      </w:r>
      <w:r>
        <w:rPr>
          <w:rFonts w:hint="eastAsia"/>
        </w:rPr>
        <w:tab/>
      </w:r>
      <w:r>
        <w:rPr>
          <w:rFonts w:hint="eastAsia"/>
        </w:rPr>
        <w:fldChar w:fldCharType="begin"/>
      </w:r>
      <w:r>
        <w:rPr>
          <w:rFonts w:hint="eastAsia"/>
        </w:rPr>
        <w:instrText xml:space="preserve"> </w:instrText>
      </w:r>
      <w:r>
        <w:instrText xml:space="preserve">PAGEREF _Toc228532478 \h</w:instrText>
      </w:r>
      <w:r>
        <w:rPr>
          <w:rFonts w:hint="eastAsia"/>
        </w:rPr>
        <w:instrText xml:space="preserve"> </w:instrText>
      </w:r>
      <w:r>
        <w:rPr>
          <w:rFonts w:hint="eastAsia"/>
        </w:rPr>
        <w:fldChar w:fldCharType="separate"/>
      </w:r>
      <w:r>
        <w:t>28</w:t>
      </w:r>
      <w:r>
        <w:rPr>
          <w:rFonts w:hint="eastAsia"/>
        </w:rPr>
        <w:fldChar w:fldCharType="end"/>
      </w:r>
      <w:r>
        <w:rPr>
          <w:rFonts w:hint="eastAsia"/>
        </w:rPr>
        <w:fldChar w:fldCharType="end"/>
      </w:r>
    </w:p>
    <w:p w14:paraId="23D5903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"_Toc228532479" </w:instrText>
      </w:r>
      <w:r>
        <w:fldChar w:fldCharType="separate"/>
      </w:r>
      <w:r>
        <w:rPr>
          <w:rStyle w:val="32"/>
        </w:rPr>
        <w:t>11  信息化、资料与档案管理要求</w:t>
      </w:r>
      <w:r>
        <w:rPr>
          <w:rFonts w:hint="eastAsia"/>
        </w:rPr>
        <w:tab/>
      </w:r>
      <w:r>
        <w:rPr>
          <w:rFonts w:hint="eastAsia"/>
        </w:rPr>
        <w:fldChar w:fldCharType="begin"/>
      </w:r>
      <w:r>
        <w:rPr>
          <w:rFonts w:hint="eastAsia"/>
        </w:rPr>
        <w:instrText xml:space="preserve"> </w:instrText>
      </w:r>
      <w:r>
        <w:instrText xml:space="preserve">PAGEREF _Toc228532479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530A0BC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"_Toc228532480" </w:instrText>
      </w:r>
      <w:r>
        <w:fldChar w:fldCharType="separate"/>
      </w:r>
      <w:r>
        <w:rPr>
          <w:rStyle w:val="32"/>
        </w:rPr>
        <w:t>12  附则</w:t>
      </w:r>
      <w:r>
        <w:rPr>
          <w:rFonts w:hint="eastAsia"/>
        </w:rPr>
        <w:tab/>
      </w:r>
      <w:r>
        <w:rPr>
          <w:rFonts w:hint="eastAsia"/>
        </w:rPr>
        <w:fldChar w:fldCharType="begin"/>
      </w:r>
      <w:r>
        <w:rPr>
          <w:rFonts w:hint="eastAsia"/>
        </w:rPr>
        <w:instrText xml:space="preserve"> </w:instrText>
      </w:r>
      <w:r>
        <w:instrText xml:space="preserve">PAGEREF _Toc228532480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54850259">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532467"/>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衡水市水利工程质量安全技术中心。</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曾奕。</w:t>
      </w:r>
      <w:bookmarkStart w:id="61" w:name="_GoBack"/>
      <w:bookmarkEnd w:id="61"/>
    </w:p>
    <w:bookmarkEnd w:id="23"/>
    <w:p w14:paraId="66D0A2F3">
      <w:pPr>
        <w:pStyle w:val="89"/>
        <w:spacing w:after="360"/>
      </w:pPr>
      <w:bookmarkStart w:id="24" w:name="_Toc228532468"/>
      <w:bookmarkStart w:id="25" w:name="BookMark3"/>
      <w:r>
        <w:rPr>
          <w:spacing w:val="320"/>
        </w:rPr>
        <w:t>引</w:t>
      </w:r>
      <w:r>
        <w:t>言</w:t>
      </w:r>
      <w:bookmarkEnd w:id="24"/>
    </w:p>
    <w:p w14:paraId="48E9FC39">
      <w:pPr>
        <w:pStyle w:val="56"/>
        <w:spacing w:line="360" w:lineRule="auto"/>
        <w:ind w:firstLine="420"/>
      </w:pPr>
      <w:r>
        <w:rPr>
          <w:rFonts w:hint="eastAsia"/>
        </w:rPr>
        <w:t>水下混凝土施工广泛应用于水利、水运、市政、桥梁、港口、海洋工程和地下工程等领域，是基础设施建设中重要的隐蔽性施工作业之一。水下混凝土具有施工环境复杂、工序连续性要求高、成型状态不可直接观察、质量缺陷后期修复难度大和工程风险传导链条长等特点。导管法、泵送法、袋装法和其他适用于水下环境的混凝土施工技术，在桩基、沉井、围堰、水下封底、基础加固、挡水建筑物、水下衬砌和其他结构施工中得到广泛应用。水下混凝土施工质量直接关系到工程承载性能、整体稳定性、抗渗性能、耐久性能和运行安全，是影响工程实体质量和全寿命周期安全的重要环节。</w:t>
      </w:r>
    </w:p>
    <w:p w14:paraId="2153FE9A">
      <w:pPr>
        <w:pStyle w:val="56"/>
        <w:spacing w:line="360" w:lineRule="auto"/>
        <w:ind w:firstLine="420"/>
      </w:pPr>
      <w:r>
        <w:rPr>
          <w:rFonts w:hint="eastAsia"/>
        </w:rPr>
        <w:t>当前，随着大型基础工程、水下深基础工程和复杂环境条件下施工项目不断增多，水下混凝土施工已由单一工艺控制逐步向原材料管理、拌和运输、坍落扩展度控制、浇筑连续性控制、导管埋深控制、首盘封底控制、浇筑过程监测、试件检测、缺陷排查和后期验证等全链条协同控制转变。与此同时，不同工程、不同参建单位在原材料进场验收、配合比调整、浇筑设备管理、施工参数记录、隐蔽工序控制、异常情况处置和质量追溯机制等方面做法不一，部分工程仍存在质量责任边界不清、关键工序记录不完整、导管埋深控制不严、施工中断应对不规范、试验检测与实体对应关系不明和缺陷责任追溯困难等问题，影响了水下混凝土施工质量控制的系统性、及时性和可追溯性。</w:t>
      </w:r>
    </w:p>
    <w:p w14:paraId="7A2F4B16">
      <w:pPr>
        <w:pStyle w:val="56"/>
        <w:spacing w:line="360" w:lineRule="auto"/>
        <w:ind w:firstLine="420"/>
      </w:pPr>
      <w:r>
        <w:rPr>
          <w:rFonts w:hint="eastAsia"/>
        </w:rPr>
        <w:t>为规范水下混凝土施工全链条质量溯源活动，统一原材料、拌和、运输、浇筑、检测、监测、验收和资料管理等环节的技术要求，建立全过程、全要素、全责任链的质量控制与追溯体系，有必要制定本文件。本文件立足水下混凝土施工实际，围绕“原材料—配合比—生产拌和—运输供应—浇筑设备—施工过程—质量检测—缺陷识别—验收评价—资料归档”全过程，提出质量溯源技术要求和管理要求，以解决“质量问题来源如何识别、施工过程如何留痕、关键参数如何控制、责任链条如何明确、异常情况如何倒查、工程质量如何验证”等关键问题。</w:t>
      </w:r>
    </w:p>
    <w:p w14:paraId="6D5AD8BE">
      <w:pPr>
        <w:pStyle w:val="56"/>
        <w:spacing w:line="360" w:lineRule="auto"/>
        <w:ind w:firstLine="420"/>
      </w:pPr>
      <w:r>
        <w:rPr>
          <w:rFonts w:hint="eastAsia"/>
        </w:rPr>
        <w:t>本文件的制定，有助于提升水下混凝土施工质量管理的标准化、信息化和精细化水平，增强施工过程的透明性、可核查性和可追责性；有助于推动建设、设计、施工、监理、检测和运维等单位围绕水下混凝土质量形成统一技术接口和协同管理机制；有助于提高工程实体质量和隐蔽工程质量控制水平，降低质量缺陷和安全风险；有助于推动水下混凝土施工由经验管理向全过程数据支撑和全链条质量溯源管理转变。</w:t>
      </w:r>
    </w:p>
    <w:p w14:paraId="7F4A69FE">
      <w:pPr>
        <w:pStyle w:val="56"/>
        <w:spacing w:line="360" w:lineRule="auto"/>
        <w:ind w:firstLine="420"/>
      </w:pPr>
      <w:r>
        <w:rPr>
          <w:rFonts w:hint="eastAsia"/>
        </w:rPr>
        <w:t>本文件不替代混凝土材料、配合比设计、试验检测、结构验收、施工安全和水下作业安全管理等方面的法定要求，也不替代针对特定工程类型、特定水工建筑物或者特定施工工法制定的专门技术标准。凡涉及上述内容时，应在执行本文件的同时，符合国家现行有关法律法规及相关标准的规定。</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水下混凝土施工全链条质量溯源技术规范</w:t>
          </w:r>
        </w:p>
      </w:sdtContent>
    </w:sdt>
    <w:bookmarkEnd w:id="27"/>
    <w:p w14:paraId="2DA02706">
      <w:pPr>
        <w:pStyle w:val="104"/>
        <w:spacing w:before="240" w:after="240" w:line="360" w:lineRule="auto"/>
      </w:pPr>
      <w:bookmarkStart w:id="28" w:name="_Toc17233325"/>
      <w:bookmarkStart w:id="29" w:name="_Toc17233333"/>
      <w:bookmarkStart w:id="30" w:name="_Toc26648465"/>
      <w:bookmarkStart w:id="31" w:name="_Toc24884211"/>
      <w:bookmarkStart w:id="32" w:name="_Toc26718930"/>
      <w:bookmarkStart w:id="33" w:name="_Toc24884218"/>
      <w:bookmarkStart w:id="34" w:name="_Toc26986771"/>
      <w:bookmarkStart w:id="35" w:name="_Toc97192964"/>
      <w:bookmarkStart w:id="36" w:name="_Toc26986530"/>
      <w:bookmarkStart w:id="37" w:name="_Toc228532469"/>
      <w:r>
        <w:rPr>
          <w:rFonts w:hint="eastAsia"/>
        </w:rPr>
        <w:t>范围</w:t>
      </w:r>
      <w:bookmarkEnd w:id="28"/>
      <w:bookmarkEnd w:id="29"/>
      <w:bookmarkEnd w:id="30"/>
      <w:bookmarkEnd w:id="31"/>
      <w:bookmarkEnd w:id="32"/>
      <w:bookmarkEnd w:id="33"/>
      <w:bookmarkEnd w:id="34"/>
      <w:bookmarkEnd w:id="35"/>
      <w:bookmarkEnd w:id="36"/>
      <w:bookmarkEnd w:id="37"/>
    </w:p>
    <w:p w14:paraId="1DFCBFB2">
      <w:pPr>
        <w:pStyle w:val="56"/>
        <w:spacing w:line="360" w:lineRule="auto"/>
        <w:ind w:firstLine="420"/>
      </w:pPr>
      <w:bookmarkStart w:id="38" w:name="_Toc17233334"/>
      <w:bookmarkStart w:id="39" w:name="_Toc26648466"/>
      <w:bookmarkStart w:id="40" w:name="_Toc17233326"/>
      <w:bookmarkStart w:id="41" w:name="_Toc24884212"/>
      <w:bookmarkStart w:id="42" w:name="_Toc24884219"/>
      <w:r>
        <w:rPr>
          <w:rFonts w:hint="eastAsia"/>
        </w:rPr>
        <w:t>本文件规定了水下混凝土施工全链条质量溯源的基本规定，原材料、配合比与生产拌和质量溯源要求，运输供应、浇筑设备与施工准备质量溯源要求，水下混凝土浇筑过程质量溯源要求，试件留置、检测验证与实体验证要求，质量异常追溯、缺陷识别与处置要求，质量验收与评价要求以及信息化、资料与档案管理要求等内容。</w:t>
      </w:r>
    </w:p>
    <w:p w14:paraId="1C200EB9">
      <w:pPr>
        <w:pStyle w:val="56"/>
        <w:spacing w:line="360" w:lineRule="auto"/>
        <w:ind w:firstLine="420"/>
      </w:pPr>
      <w:r>
        <w:rPr>
          <w:rFonts w:hint="eastAsia"/>
        </w:rPr>
        <w:t>本文件适用于水利工程、市政工程、港口工程、桥梁工程、地下工程和其他采用导管法、泵送法或者其他适宜工艺进行水下混凝土施工的质量溯源活动。</w:t>
      </w:r>
    </w:p>
    <w:p w14:paraId="3733B2AD">
      <w:pPr>
        <w:pStyle w:val="104"/>
        <w:spacing w:before="240" w:after="240" w:line="360" w:lineRule="auto"/>
      </w:pPr>
      <w:bookmarkStart w:id="43" w:name="_Toc26718931"/>
      <w:bookmarkStart w:id="44" w:name="_Toc97192965"/>
      <w:bookmarkStart w:id="45" w:name="_Toc26986772"/>
      <w:bookmarkStart w:id="46" w:name="_Toc26986531"/>
      <w:bookmarkStart w:id="47" w:name="_Toc228532470"/>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3A73C28">
      <w:pPr>
        <w:pStyle w:val="56"/>
        <w:spacing w:line="360" w:lineRule="auto"/>
        <w:ind w:firstLine="420"/>
      </w:pPr>
      <w:r>
        <w:t>GB 175</w:t>
      </w:r>
      <w:r>
        <w:rPr>
          <w:rFonts w:hint="eastAsia"/>
        </w:rPr>
        <w:t>—2023</w:t>
      </w:r>
      <w:r>
        <w:t xml:space="preserve"> 通用硅酸盐水泥</w:t>
      </w:r>
    </w:p>
    <w:p w14:paraId="6061BC89">
      <w:pPr>
        <w:pStyle w:val="56"/>
        <w:spacing w:line="360" w:lineRule="auto"/>
        <w:ind w:firstLine="420"/>
      </w:pPr>
      <w:r>
        <w:rPr>
          <w:rFonts w:hint="eastAsia"/>
        </w:rPr>
        <w:t>GB/T 1.1—2020 标准化工作导则  第1部分：标准化文件的结构和起草规则</w:t>
      </w:r>
    </w:p>
    <w:p w14:paraId="7C8FA355">
      <w:pPr>
        <w:pStyle w:val="56"/>
        <w:spacing w:line="360" w:lineRule="auto"/>
        <w:ind w:firstLine="420"/>
      </w:pPr>
      <w:r>
        <w:rPr>
          <w:rFonts w:hint="eastAsia"/>
        </w:rPr>
        <w:t>GB/T 1499.1 钢筋混凝土用钢  第1部分：热轧光圆钢筋</w:t>
      </w:r>
    </w:p>
    <w:p w14:paraId="37933E09">
      <w:pPr>
        <w:pStyle w:val="56"/>
        <w:spacing w:line="360" w:lineRule="auto"/>
        <w:ind w:firstLine="420"/>
      </w:pPr>
      <w:r>
        <w:rPr>
          <w:rFonts w:hint="eastAsia"/>
        </w:rPr>
        <w:t>GB/T 1499.2 钢筋混凝土用钢  第2部分：热轧带肋钢筋</w:t>
      </w:r>
    </w:p>
    <w:p w14:paraId="23F0DB90">
      <w:pPr>
        <w:pStyle w:val="56"/>
        <w:spacing w:line="360" w:lineRule="auto"/>
        <w:ind w:firstLine="420"/>
      </w:pPr>
      <w:r>
        <w:rPr>
          <w:rFonts w:hint="eastAsia"/>
        </w:rPr>
        <w:t>GB/T 50080 普通混凝土拌合物性能试验方法标准</w:t>
      </w:r>
    </w:p>
    <w:p w14:paraId="7D5B24E3">
      <w:pPr>
        <w:pStyle w:val="56"/>
        <w:spacing w:line="360" w:lineRule="auto"/>
        <w:ind w:firstLine="420"/>
      </w:pPr>
      <w:r>
        <w:rPr>
          <w:rFonts w:hint="eastAsia"/>
        </w:rPr>
        <w:t>GB/T 50081 混凝土物理力学性能试验方法标准</w:t>
      </w:r>
    </w:p>
    <w:p w14:paraId="07A7F860">
      <w:pPr>
        <w:pStyle w:val="56"/>
        <w:spacing w:line="360" w:lineRule="auto"/>
        <w:ind w:firstLine="420"/>
      </w:pPr>
      <w:r>
        <w:rPr>
          <w:rFonts w:hint="eastAsia"/>
        </w:rPr>
        <w:t>GB/T 50107 混凝土强度检验评定标准</w:t>
      </w:r>
    </w:p>
    <w:p w14:paraId="51F02A4E">
      <w:pPr>
        <w:pStyle w:val="104"/>
        <w:spacing w:before="240" w:after="240" w:line="360" w:lineRule="auto"/>
      </w:pPr>
      <w:bookmarkStart w:id="48" w:name="_Toc228532471"/>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6F670C">
          <w:pPr>
            <w:pStyle w:val="56"/>
            <w:spacing w:line="360" w:lineRule="auto"/>
            <w:ind w:firstLine="420"/>
          </w:pPr>
          <w:bookmarkStart w:id="50" w:name="_Toc26986532"/>
          <w:bookmarkEnd w:id="50"/>
          <w:r>
            <w:t>下列术语和定义适用于本文件。</w:t>
          </w:r>
        </w:p>
      </w:sdtContent>
    </w:sdt>
    <w:p w14:paraId="780D91D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水下混凝土 underwater concrete</w:t>
      </w:r>
    </w:p>
    <w:p w14:paraId="700DA519">
      <w:pPr>
        <w:pStyle w:val="56"/>
        <w:spacing w:line="360" w:lineRule="auto"/>
        <w:ind w:firstLine="420"/>
      </w:pPr>
      <w:r>
        <w:rPr>
          <w:rFonts w:hint="eastAsia"/>
        </w:rPr>
        <w:t>在水下环境中采用导管法、泵送法、袋装法或者其他适宜工艺进行浇筑，并在水中完成充填、扩展、成型和硬化过程的混凝土。</w:t>
      </w:r>
    </w:p>
    <w:p w14:paraId="466AB9DD">
      <w:pPr>
        <w:pStyle w:val="56"/>
        <w:spacing w:line="360" w:lineRule="auto"/>
        <w:ind w:firstLine="420"/>
      </w:pPr>
    </w:p>
    <w:p w14:paraId="72DAC447">
      <w:pPr>
        <w:pStyle w:val="56"/>
        <w:spacing w:line="360" w:lineRule="auto"/>
        <w:ind w:firstLine="420"/>
      </w:pPr>
    </w:p>
    <w:p w14:paraId="2A0A504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全链条质量溯源 full-chain quality traceability</w:t>
      </w:r>
    </w:p>
    <w:p w14:paraId="1112401B">
      <w:pPr>
        <w:pStyle w:val="56"/>
        <w:spacing w:line="360" w:lineRule="auto"/>
        <w:ind w:firstLine="420"/>
      </w:pPr>
      <w:r>
        <w:rPr>
          <w:rFonts w:hint="eastAsia"/>
        </w:rPr>
        <w:t>对水下混凝土从原材料进场、配合比确定、拌和生产、运输供应、浇筑施工、试验检测到验收评价全过程相关质量信息进行采集、记录、关联、核验、追查和责任识别的活动。</w:t>
      </w:r>
    </w:p>
    <w:p w14:paraId="4C2136E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导管法 tremie method</w:t>
      </w:r>
    </w:p>
    <w:p w14:paraId="1F8AFCCD">
      <w:pPr>
        <w:pStyle w:val="56"/>
        <w:spacing w:line="360" w:lineRule="auto"/>
        <w:ind w:firstLine="420"/>
      </w:pPr>
      <w:r>
        <w:rPr>
          <w:rFonts w:hint="eastAsia"/>
        </w:rPr>
        <w:t>利用密闭导管将混凝土从水面以上连续输送至水下浇筑点，并通过导管埋入已浇混凝土中实现水下浇筑的施工方法。</w:t>
      </w:r>
    </w:p>
    <w:p w14:paraId="7162A97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首盘混凝土 first batch concrete</w:t>
      </w:r>
    </w:p>
    <w:p w14:paraId="54E75EB1">
      <w:pPr>
        <w:pStyle w:val="56"/>
        <w:spacing w:line="360" w:lineRule="auto"/>
        <w:ind w:firstLine="420"/>
      </w:pPr>
      <w:r>
        <w:rPr>
          <w:rFonts w:hint="eastAsia"/>
        </w:rPr>
        <w:t>水下混凝土开始浇筑时，首先进入导管并用于形成初始封底和隔水作用的首批混凝土。</w:t>
      </w:r>
    </w:p>
    <w:p w14:paraId="1CB9970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导管埋深 tremie embedment depth</w:t>
      </w:r>
    </w:p>
    <w:p w14:paraId="6E2D338C">
      <w:pPr>
        <w:pStyle w:val="56"/>
        <w:spacing w:line="360" w:lineRule="auto"/>
        <w:ind w:firstLine="420"/>
      </w:pPr>
      <w:r>
        <w:rPr>
          <w:rFonts w:hint="eastAsia"/>
        </w:rPr>
        <w:t>导管出料口埋入已浇筑水下混凝土内部的深度。</w:t>
      </w:r>
    </w:p>
    <w:p w14:paraId="4F7D9CD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水下不分散混凝土 anti-washout underwater concrete</w:t>
      </w:r>
    </w:p>
    <w:p w14:paraId="6D15A56B">
      <w:pPr>
        <w:pStyle w:val="56"/>
        <w:spacing w:line="360" w:lineRule="auto"/>
        <w:ind w:firstLine="420"/>
      </w:pPr>
      <w:r>
        <w:rPr>
          <w:rFonts w:hint="eastAsia"/>
        </w:rPr>
        <w:t>在水下浇筑过程中具有较强抗冲刷、抗离析和抗水体扰动能力，并能保持拌合物整体均匀性的专用混凝土。</w:t>
      </w:r>
    </w:p>
    <w:p w14:paraId="1AC7146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施工中断 construction interruption</w:t>
      </w:r>
    </w:p>
    <w:p w14:paraId="7E882AD1">
      <w:pPr>
        <w:pStyle w:val="56"/>
        <w:spacing w:line="360" w:lineRule="auto"/>
        <w:ind w:firstLine="420"/>
      </w:pPr>
      <w:r>
        <w:rPr>
          <w:rFonts w:hint="eastAsia"/>
        </w:rPr>
        <w:t>水下混凝土浇筑过程中，因设备故障、供料中断、导管异常、环境突变或者其他原因导致浇筑连续性被破坏的状态。</w:t>
      </w:r>
    </w:p>
    <w:p w14:paraId="2A7D4F6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断桩风险 risk of pile discontinuity</w:t>
      </w:r>
    </w:p>
    <w:p w14:paraId="449E8399">
      <w:pPr>
        <w:pStyle w:val="56"/>
        <w:spacing w:line="360" w:lineRule="auto"/>
        <w:ind w:firstLine="420"/>
      </w:pPr>
      <w:r>
        <w:rPr>
          <w:rFonts w:hint="eastAsia"/>
        </w:rPr>
        <w:t>灌注桩水下混凝土施工中，由于离析、夹泥、缩颈、断料、导管提空或者浇筑中断等原因导致桩身连续性和完整性受到破坏的风险。</w:t>
      </w:r>
    </w:p>
    <w:p w14:paraId="3C336331">
      <w:pPr>
        <w:pStyle w:val="104"/>
        <w:spacing w:before="240" w:after="240" w:line="360" w:lineRule="auto"/>
      </w:pPr>
      <w:bookmarkStart w:id="51" w:name="_Toc228532472"/>
      <w:r>
        <w:rPr>
          <w:rFonts w:hint="eastAsia"/>
        </w:rPr>
        <w:t>基本规定</w:t>
      </w:r>
      <w:bookmarkEnd w:id="51"/>
    </w:p>
    <w:p w14:paraId="6948589F">
      <w:pPr>
        <w:pStyle w:val="105"/>
        <w:spacing w:before="120" w:after="120" w:line="360" w:lineRule="auto"/>
      </w:pPr>
      <w:r>
        <w:rPr>
          <w:rFonts w:hint="eastAsia"/>
        </w:rPr>
        <w:t>一般要求</w:t>
      </w:r>
    </w:p>
    <w:p w14:paraId="27F787EF">
      <w:pPr>
        <w:pStyle w:val="165"/>
        <w:spacing w:line="360" w:lineRule="auto"/>
      </w:pPr>
      <w:r>
        <w:rPr>
          <w:rFonts w:hint="eastAsia"/>
        </w:rPr>
        <w:t>水下混凝土施工全链条质量溯源应贯穿原材料进场、配合比确定、生产拌和、运输供应、浇筑施工、试验检测、实体验证、缺陷处置和验收交付全过程实施。</w:t>
      </w:r>
    </w:p>
    <w:p w14:paraId="0987E0CF">
      <w:pPr>
        <w:pStyle w:val="165"/>
        <w:spacing w:line="360" w:lineRule="auto"/>
      </w:pPr>
      <w:r>
        <w:rPr>
          <w:rFonts w:hint="eastAsia"/>
        </w:rPr>
        <w:t>水下混凝土施工全链条质量溯源应遵循源头控制、过程留痕、数据真实、信息关联、责任明确、问题可查和结果可验证的原则。</w:t>
      </w:r>
    </w:p>
    <w:p w14:paraId="663EB5CC">
      <w:pPr>
        <w:pStyle w:val="165"/>
        <w:spacing w:line="360" w:lineRule="auto"/>
      </w:pPr>
      <w:r>
        <w:rPr>
          <w:rFonts w:hint="eastAsia"/>
        </w:rPr>
        <w:t>水下混凝土施工质量溯源应以施工批次为基础，以施工部位为对象，以关键质量参数为核心，以检测结果和实体质量为验证依据，建立全过程信息链和责任链。</w:t>
      </w:r>
    </w:p>
    <w:p w14:paraId="0E5F2248">
      <w:pPr>
        <w:pStyle w:val="165"/>
        <w:spacing w:line="360" w:lineRule="auto"/>
      </w:pPr>
      <w:r>
        <w:rPr>
          <w:rFonts w:hint="eastAsia"/>
        </w:rPr>
        <w:t>水下混凝土施工质量控制不得仅依赖最终强度检测结果进行判定，应同步控制原材料质量、拌合物性能、设备状态、浇筑连续性、导管埋深、施工记录和实体成型条件。</w:t>
      </w:r>
    </w:p>
    <w:p w14:paraId="545FF87E">
      <w:pPr>
        <w:pStyle w:val="165"/>
        <w:spacing w:line="360" w:lineRule="auto"/>
      </w:pPr>
      <w:r>
        <w:rPr>
          <w:rFonts w:hint="eastAsia"/>
        </w:rPr>
        <w:t>水下混凝土施工质量溯源不得以事后补录、事后编造、选择性留存或者替代性证明方式代替全过程真实记录。</w:t>
      </w:r>
    </w:p>
    <w:p w14:paraId="4FF85C03">
      <w:pPr>
        <w:pStyle w:val="165"/>
        <w:spacing w:line="360" w:lineRule="auto"/>
      </w:pPr>
      <w:r>
        <w:rPr>
          <w:rFonts w:hint="eastAsia"/>
        </w:rPr>
        <w:t>对大直径灌注桩、水下封底、大体积水下浇筑、复杂流态水域施工、深水施工和质量风险高的施工部位，应实施重点溯源管理，不得按一般部位简化管理要求。</w:t>
      </w:r>
    </w:p>
    <w:p w14:paraId="342D8918">
      <w:pPr>
        <w:pStyle w:val="165"/>
        <w:spacing w:line="360" w:lineRule="auto"/>
      </w:pPr>
      <w:r>
        <w:rPr>
          <w:rFonts w:hint="eastAsia"/>
        </w:rPr>
        <w:t>水下混凝土施工过程中涉及原材料变更、配合比调整、设备更换、施工方法调整、浇筑中断和异常处置等关键事项时，应同步更新溯源信息并形成闭环记录。</w:t>
      </w:r>
    </w:p>
    <w:p w14:paraId="2E6E94CE">
      <w:pPr>
        <w:pStyle w:val="105"/>
        <w:spacing w:before="120" w:after="120" w:line="360" w:lineRule="auto"/>
      </w:pPr>
      <w:r>
        <w:rPr>
          <w:rFonts w:hint="eastAsia"/>
        </w:rPr>
        <w:t>质量溯源目标要求</w:t>
      </w:r>
    </w:p>
    <w:p w14:paraId="76922284">
      <w:pPr>
        <w:pStyle w:val="165"/>
        <w:spacing w:line="360" w:lineRule="auto"/>
      </w:pPr>
      <w:r>
        <w:rPr>
          <w:rFonts w:hint="eastAsia"/>
        </w:rPr>
        <w:t>水下混凝土施工全链条质量溯源应实现下列目标：</w:t>
      </w:r>
    </w:p>
    <w:p w14:paraId="7064DCC5">
      <w:pPr>
        <w:pStyle w:val="56"/>
        <w:spacing w:line="360" w:lineRule="auto"/>
        <w:ind w:firstLine="420"/>
      </w:pPr>
      <w:r>
        <w:rPr>
          <w:rFonts w:hint="eastAsia"/>
        </w:rPr>
        <w:t>a）原材料来源可查；</w:t>
      </w:r>
    </w:p>
    <w:p w14:paraId="68765AFD">
      <w:pPr>
        <w:pStyle w:val="56"/>
        <w:spacing w:line="360" w:lineRule="auto"/>
        <w:ind w:firstLine="420"/>
      </w:pPr>
      <w:r>
        <w:rPr>
          <w:rFonts w:hint="eastAsia"/>
        </w:rPr>
        <w:t>b）配合比使用可核；</w:t>
      </w:r>
    </w:p>
    <w:p w14:paraId="1F8D8BA1">
      <w:pPr>
        <w:pStyle w:val="56"/>
        <w:spacing w:line="360" w:lineRule="auto"/>
        <w:ind w:firstLine="420"/>
      </w:pPr>
      <w:r>
        <w:rPr>
          <w:rFonts w:hint="eastAsia"/>
        </w:rPr>
        <w:t>c）生产拌和过程可控；</w:t>
      </w:r>
    </w:p>
    <w:p w14:paraId="143272A9">
      <w:pPr>
        <w:pStyle w:val="56"/>
        <w:spacing w:line="360" w:lineRule="auto"/>
        <w:ind w:firstLine="420"/>
      </w:pPr>
      <w:r>
        <w:rPr>
          <w:rFonts w:hint="eastAsia"/>
        </w:rPr>
        <w:t>d）运输过程可追；</w:t>
      </w:r>
    </w:p>
    <w:p w14:paraId="6E6588B2">
      <w:pPr>
        <w:pStyle w:val="56"/>
        <w:spacing w:line="360" w:lineRule="auto"/>
        <w:ind w:firstLine="420"/>
      </w:pPr>
      <w:r>
        <w:rPr>
          <w:rFonts w:hint="eastAsia"/>
        </w:rPr>
        <w:t>e）浇筑过程可记录；</w:t>
      </w:r>
    </w:p>
    <w:p w14:paraId="483A038F">
      <w:pPr>
        <w:pStyle w:val="56"/>
        <w:spacing w:line="360" w:lineRule="auto"/>
        <w:ind w:firstLine="420"/>
      </w:pPr>
      <w:r>
        <w:rPr>
          <w:rFonts w:hint="eastAsia"/>
        </w:rPr>
        <w:t>f）检测结果可对应；</w:t>
      </w:r>
    </w:p>
    <w:p w14:paraId="74A75831">
      <w:pPr>
        <w:pStyle w:val="56"/>
        <w:spacing w:line="360" w:lineRule="auto"/>
        <w:ind w:firstLine="420"/>
      </w:pPr>
      <w:r>
        <w:rPr>
          <w:rFonts w:hint="eastAsia"/>
        </w:rPr>
        <w:t>g）实体质量可验证；</w:t>
      </w:r>
    </w:p>
    <w:p w14:paraId="52EF486F">
      <w:pPr>
        <w:pStyle w:val="56"/>
        <w:spacing w:line="360" w:lineRule="auto"/>
        <w:ind w:firstLine="420"/>
      </w:pPr>
      <w:r>
        <w:rPr>
          <w:rFonts w:hint="eastAsia"/>
        </w:rPr>
        <w:t>h）缺陷原因可分析；</w:t>
      </w:r>
    </w:p>
    <w:p w14:paraId="40BAB53F">
      <w:pPr>
        <w:pStyle w:val="56"/>
        <w:spacing w:line="360" w:lineRule="auto"/>
        <w:ind w:firstLine="420"/>
      </w:pPr>
      <w:r>
        <w:rPr>
          <w:rFonts w:hint="eastAsia"/>
        </w:rPr>
        <w:t>i）责任主体可识别；</w:t>
      </w:r>
    </w:p>
    <w:p w14:paraId="2AA52B2F">
      <w:pPr>
        <w:pStyle w:val="56"/>
        <w:spacing w:line="360" w:lineRule="auto"/>
        <w:ind w:firstLine="420"/>
      </w:pPr>
      <w:r>
        <w:rPr>
          <w:rFonts w:hint="eastAsia"/>
        </w:rPr>
        <w:t>j）整改过程可闭环。</w:t>
      </w:r>
    </w:p>
    <w:p w14:paraId="632042AD">
      <w:pPr>
        <w:pStyle w:val="165"/>
        <w:spacing w:line="360" w:lineRule="auto"/>
      </w:pPr>
      <w:r>
        <w:rPr>
          <w:rFonts w:hint="eastAsia"/>
        </w:rPr>
        <w:t>质量溯源目标应与工程质量目标、隐蔽工程管理要求、信息化管理要求和责任管理要求相衔接。</w:t>
      </w:r>
    </w:p>
    <w:p w14:paraId="1CEB4EE5">
      <w:pPr>
        <w:pStyle w:val="165"/>
        <w:spacing w:line="360" w:lineRule="auto"/>
      </w:pPr>
      <w:r>
        <w:rPr>
          <w:rFonts w:hint="eastAsia"/>
        </w:rPr>
        <w:t>水下混凝土施工质量溯源应覆盖“人、机、料、法、环、测”六个要素，不得遗漏影响质量形成的关键因素。</w:t>
      </w:r>
    </w:p>
    <w:p w14:paraId="195F134C">
      <w:pPr>
        <w:pStyle w:val="105"/>
        <w:spacing w:before="120" w:after="120" w:line="360" w:lineRule="auto"/>
      </w:pPr>
      <w:r>
        <w:rPr>
          <w:rFonts w:hint="eastAsia"/>
        </w:rPr>
        <w:t>责任分工要求</w:t>
      </w:r>
    </w:p>
    <w:p w14:paraId="53F514FA">
      <w:pPr>
        <w:pStyle w:val="165"/>
        <w:spacing w:line="360" w:lineRule="auto"/>
      </w:pPr>
      <w:r>
        <w:rPr>
          <w:rFonts w:hint="eastAsia"/>
        </w:rPr>
        <w:t>建设单位应组织建立水下混凝土施工质量溯源管理机制，明确溯源范围、管理要求、信息传递要求和责任划分要求。</w:t>
      </w:r>
    </w:p>
    <w:p w14:paraId="3CB45B1A">
      <w:pPr>
        <w:pStyle w:val="165"/>
        <w:spacing w:line="360" w:lineRule="auto"/>
      </w:pPr>
      <w:r>
        <w:rPr>
          <w:rFonts w:hint="eastAsia"/>
        </w:rPr>
        <w:t>设计单位应对水下混凝土施工部位、性能要求、质量控制重点和检测验证要求提出明确技术要求。</w:t>
      </w:r>
    </w:p>
    <w:p w14:paraId="1ED0C08B">
      <w:pPr>
        <w:pStyle w:val="165"/>
        <w:spacing w:line="360" w:lineRule="auto"/>
      </w:pPr>
      <w:r>
        <w:rPr>
          <w:rFonts w:hint="eastAsia"/>
        </w:rPr>
        <w:t>施工单位应对水下混凝土施工全链条质量溯源实施负责，并应建立从原材料进场到实体交付的全过程记录体系。</w:t>
      </w:r>
    </w:p>
    <w:p w14:paraId="02FC4B82">
      <w:pPr>
        <w:pStyle w:val="165"/>
        <w:spacing w:line="360" w:lineRule="auto"/>
      </w:pPr>
      <w:r>
        <w:rPr>
          <w:rFonts w:hint="eastAsia"/>
        </w:rPr>
        <w:t>监理单位应对质量溯源资料形成、关键工序记录、关键参数控制和异常情况处置实施监督。</w:t>
      </w:r>
    </w:p>
    <w:p w14:paraId="4D78A02F">
      <w:pPr>
        <w:pStyle w:val="165"/>
        <w:spacing w:line="360" w:lineRule="auto"/>
      </w:pPr>
      <w:r>
        <w:rPr>
          <w:rFonts w:hint="eastAsia"/>
        </w:rPr>
        <w:t>拌和站或者供料单位应对原材料状态、配合比执行、拌和记录、出机性能记录和出站信息真实性负责。</w:t>
      </w:r>
    </w:p>
    <w:p w14:paraId="2930DE7F">
      <w:pPr>
        <w:pStyle w:val="165"/>
        <w:spacing w:line="360" w:lineRule="auto"/>
      </w:pPr>
      <w:r>
        <w:rPr>
          <w:rFonts w:hint="eastAsia"/>
        </w:rPr>
        <w:t>运输单位应对运输设备状态、运输时间、运输连续性和交接记录真实性负责。</w:t>
      </w:r>
    </w:p>
    <w:p w14:paraId="3DDEBA17">
      <w:pPr>
        <w:pStyle w:val="165"/>
        <w:spacing w:line="360" w:lineRule="auto"/>
      </w:pPr>
      <w:r>
        <w:rPr>
          <w:rFonts w:hint="eastAsia"/>
        </w:rPr>
        <w:t>检测单位应对试验检测方法、检测数据、检测结论和样品对应关系真实性负责。</w:t>
      </w:r>
    </w:p>
    <w:p w14:paraId="21693925">
      <w:pPr>
        <w:pStyle w:val="165"/>
        <w:spacing w:line="360" w:lineRule="auto"/>
      </w:pPr>
      <w:r>
        <w:rPr>
          <w:rFonts w:hint="eastAsia"/>
        </w:rPr>
        <w:t>施工现场应明确下列岗位责任：</w:t>
      </w:r>
    </w:p>
    <w:p w14:paraId="28502FFA">
      <w:pPr>
        <w:pStyle w:val="56"/>
        <w:spacing w:line="360" w:lineRule="auto"/>
        <w:ind w:firstLine="420"/>
      </w:pPr>
      <w:r>
        <w:rPr>
          <w:rFonts w:hint="eastAsia"/>
        </w:rPr>
        <w:t>a）原材料验收责任；</w:t>
      </w:r>
    </w:p>
    <w:p w14:paraId="274D5726">
      <w:pPr>
        <w:pStyle w:val="56"/>
        <w:spacing w:line="360" w:lineRule="auto"/>
        <w:ind w:firstLine="420"/>
      </w:pPr>
      <w:r>
        <w:rPr>
          <w:rFonts w:hint="eastAsia"/>
        </w:rPr>
        <w:t>b）配合比执行责任；</w:t>
      </w:r>
    </w:p>
    <w:p w14:paraId="5D1511AA">
      <w:pPr>
        <w:pStyle w:val="56"/>
        <w:spacing w:line="360" w:lineRule="auto"/>
        <w:ind w:firstLine="420"/>
      </w:pPr>
      <w:r>
        <w:rPr>
          <w:rFonts w:hint="eastAsia"/>
        </w:rPr>
        <w:t>c）拌和站数据记录责任；</w:t>
      </w:r>
    </w:p>
    <w:p w14:paraId="0C537DD4">
      <w:pPr>
        <w:pStyle w:val="56"/>
        <w:spacing w:line="360" w:lineRule="auto"/>
        <w:ind w:firstLine="420"/>
      </w:pPr>
      <w:r>
        <w:rPr>
          <w:rFonts w:hint="eastAsia"/>
        </w:rPr>
        <w:t>d）运输交接责任；</w:t>
      </w:r>
    </w:p>
    <w:p w14:paraId="7A0EE409">
      <w:pPr>
        <w:pStyle w:val="56"/>
        <w:spacing w:line="360" w:lineRule="auto"/>
        <w:ind w:firstLine="420"/>
      </w:pPr>
      <w:r>
        <w:rPr>
          <w:rFonts w:hint="eastAsia"/>
        </w:rPr>
        <w:t>e）浇筑过程记录责任；</w:t>
      </w:r>
    </w:p>
    <w:p w14:paraId="284F2C0D">
      <w:pPr>
        <w:pStyle w:val="56"/>
        <w:spacing w:line="360" w:lineRule="auto"/>
        <w:ind w:firstLine="420"/>
      </w:pPr>
      <w:r>
        <w:rPr>
          <w:rFonts w:hint="eastAsia"/>
        </w:rPr>
        <w:t>f）导管和设备检查责任；</w:t>
      </w:r>
    </w:p>
    <w:p w14:paraId="0059AF17">
      <w:pPr>
        <w:pStyle w:val="56"/>
        <w:spacing w:line="360" w:lineRule="auto"/>
        <w:ind w:firstLine="420"/>
      </w:pPr>
      <w:r>
        <w:rPr>
          <w:rFonts w:hint="eastAsia"/>
        </w:rPr>
        <w:t>g）试件留置责任；</w:t>
      </w:r>
    </w:p>
    <w:p w14:paraId="0B9EB9F5">
      <w:pPr>
        <w:pStyle w:val="56"/>
        <w:spacing w:line="360" w:lineRule="auto"/>
        <w:ind w:firstLine="420"/>
      </w:pPr>
      <w:r>
        <w:rPr>
          <w:rFonts w:hint="eastAsia"/>
        </w:rPr>
        <w:t>h）检测送样责任；</w:t>
      </w:r>
    </w:p>
    <w:p w14:paraId="6350B31C">
      <w:pPr>
        <w:pStyle w:val="56"/>
        <w:spacing w:line="360" w:lineRule="auto"/>
        <w:ind w:firstLine="420"/>
      </w:pPr>
      <w:r>
        <w:rPr>
          <w:rFonts w:hint="eastAsia"/>
        </w:rPr>
        <w:t>i）资料汇总责任；</w:t>
      </w:r>
    </w:p>
    <w:p w14:paraId="19861B39">
      <w:pPr>
        <w:pStyle w:val="56"/>
        <w:spacing w:line="360" w:lineRule="auto"/>
        <w:ind w:firstLine="420"/>
      </w:pPr>
      <w:r>
        <w:rPr>
          <w:rFonts w:hint="eastAsia"/>
        </w:rPr>
        <w:t>j）异常情况上报和处置责任。</w:t>
      </w:r>
    </w:p>
    <w:p w14:paraId="4E3607D6">
      <w:pPr>
        <w:pStyle w:val="165"/>
        <w:spacing w:line="360" w:lineRule="auto"/>
      </w:pPr>
      <w:r>
        <w:rPr>
          <w:rFonts w:hint="eastAsia"/>
        </w:rPr>
        <w:t>各责任主体不得相互替代、相互推诿或者以口头确认替代书面责任记录。</w:t>
      </w:r>
    </w:p>
    <w:p w14:paraId="29156D80">
      <w:pPr>
        <w:pStyle w:val="105"/>
        <w:spacing w:before="120" w:after="120" w:line="360" w:lineRule="auto"/>
      </w:pPr>
      <w:r>
        <w:rPr>
          <w:rFonts w:hint="eastAsia"/>
        </w:rPr>
        <w:t>质量追溯单元划分要求</w:t>
      </w:r>
    </w:p>
    <w:p w14:paraId="1D7A754E">
      <w:pPr>
        <w:pStyle w:val="165"/>
        <w:spacing w:line="360" w:lineRule="auto"/>
      </w:pPr>
      <w:r>
        <w:rPr>
          <w:rFonts w:hint="eastAsia"/>
        </w:rPr>
        <w:t>水下混凝土施工质量追溯应划分追溯单元。</w:t>
      </w:r>
    </w:p>
    <w:p w14:paraId="6D3A8EF6">
      <w:pPr>
        <w:pStyle w:val="165"/>
        <w:spacing w:line="360" w:lineRule="auto"/>
      </w:pPr>
      <w:r>
        <w:rPr>
          <w:rFonts w:hint="eastAsia"/>
        </w:rPr>
        <w:t>追溯单元划分应结合工程部位、施工批次、浇筑时段、浇筑设备、配合比类型和检测批次综合确定。</w:t>
      </w:r>
    </w:p>
    <w:p w14:paraId="50201957">
      <w:pPr>
        <w:pStyle w:val="165"/>
        <w:spacing w:line="360" w:lineRule="auto"/>
      </w:pPr>
      <w:r>
        <w:rPr>
          <w:rFonts w:hint="eastAsia"/>
        </w:rPr>
        <w:t>同一追溯单元内的混凝土应具有明确的施工边界、明确的时间区间、明确的材料来源和明确的责任主体。</w:t>
      </w:r>
    </w:p>
    <w:p w14:paraId="101365BE">
      <w:pPr>
        <w:pStyle w:val="165"/>
        <w:spacing w:line="360" w:lineRule="auto"/>
      </w:pPr>
      <w:r>
        <w:rPr>
          <w:rFonts w:hint="eastAsia"/>
        </w:rPr>
        <w:t>不同施工部位、不同配合比、不同拌和批次或者不同异常处置状态的混凝土，不得合并为同一追溯单元。</w:t>
      </w:r>
    </w:p>
    <w:p w14:paraId="610C4D4F">
      <w:pPr>
        <w:pStyle w:val="165"/>
        <w:spacing w:line="360" w:lineRule="auto"/>
      </w:pPr>
      <w:r>
        <w:rPr>
          <w:rFonts w:hint="eastAsia"/>
        </w:rPr>
        <w:t>对灌注桩工程，宜按单桩、单桩分段或者单连续浇筑段划分追溯单元。</w:t>
      </w:r>
    </w:p>
    <w:p w14:paraId="5A2D889C">
      <w:pPr>
        <w:pStyle w:val="165"/>
        <w:spacing w:line="360" w:lineRule="auto"/>
      </w:pPr>
      <w:r>
        <w:rPr>
          <w:rFonts w:hint="eastAsia"/>
        </w:rPr>
        <w:t>对水下封底工程，宜按仓面分区、浇筑分块或者连续浇筑分段划分追溯单元。</w:t>
      </w:r>
    </w:p>
    <w:p w14:paraId="3E54A780">
      <w:pPr>
        <w:pStyle w:val="165"/>
        <w:spacing w:line="360" w:lineRule="auto"/>
      </w:pPr>
      <w:r>
        <w:rPr>
          <w:rFonts w:hint="eastAsia"/>
        </w:rPr>
        <w:t>对施工时间长、浇筑方量大和质量风险高的工程，追溯单元应适当细化，不得因管理方便无限放大单元范围。</w:t>
      </w:r>
    </w:p>
    <w:p w14:paraId="3D813B5E">
      <w:pPr>
        <w:pStyle w:val="105"/>
        <w:spacing w:before="120" w:after="120" w:line="360" w:lineRule="auto"/>
      </w:pPr>
      <w:r>
        <w:rPr>
          <w:rFonts w:hint="eastAsia"/>
        </w:rPr>
        <w:t>溯源编码要求</w:t>
      </w:r>
    </w:p>
    <w:p w14:paraId="2A7EECF7">
      <w:pPr>
        <w:pStyle w:val="165"/>
        <w:spacing w:line="360" w:lineRule="auto"/>
      </w:pPr>
      <w:r>
        <w:rPr>
          <w:rFonts w:hint="eastAsia"/>
        </w:rPr>
        <w:t>水下混凝土施工全链条质量溯源应建立统一编码规则。</w:t>
      </w:r>
    </w:p>
    <w:p w14:paraId="05BB2CB4">
      <w:pPr>
        <w:pStyle w:val="165"/>
        <w:spacing w:line="360" w:lineRule="auto"/>
      </w:pPr>
      <w:r>
        <w:rPr>
          <w:rFonts w:hint="eastAsia"/>
        </w:rPr>
        <w:t>溯源编码应至少覆盖下列对象：</w:t>
      </w:r>
    </w:p>
    <w:p w14:paraId="6E111269">
      <w:pPr>
        <w:pStyle w:val="165"/>
        <w:spacing w:line="360" w:lineRule="auto"/>
      </w:pPr>
      <w:r>
        <w:rPr>
          <w:rFonts w:hint="eastAsia"/>
        </w:rPr>
        <w:t>a）原材料批次；</w:t>
      </w:r>
    </w:p>
    <w:p w14:paraId="1FFC40CE">
      <w:pPr>
        <w:pStyle w:val="56"/>
        <w:spacing w:line="360" w:lineRule="auto"/>
        <w:ind w:firstLine="420"/>
      </w:pPr>
      <w:r>
        <w:rPr>
          <w:rFonts w:hint="eastAsia"/>
        </w:rPr>
        <w:t>b）配合比编号；</w:t>
      </w:r>
    </w:p>
    <w:p w14:paraId="2B4EDFA7">
      <w:pPr>
        <w:pStyle w:val="56"/>
        <w:spacing w:line="360" w:lineRule="auto"/>
        <w:ind w:firstLine="420"/>
      </w:pPr>
      <w:r>
        <w:rPr>
          <w:rFonts w:hint="eastAsia"/>
        </w:rPr>
        <w:t>c）拌和批次；</w:t>
      </w:r>
    </w:p>
    <w:p w14:paraId="0BE6C1B8">
      <w:pPr>
        <w:pStyle w:val="56"/>
        <w:spacing w:line="360" w:lineRule="auto"/>
        <w:ind w:firstLine="420"/>
      </w:pPr>
      <w:r>
        <w:rPr>
          <w:rFonts w:hint="eastAsia"/>
        </w:rPr>
        <w:t>d）运输车次或者运输容器编号；</w:t>
      </w:r>
    </w:p>
    <w:p w14:paraId="2EA25E3A">
      <w:pPr>
        <w:pStyle w:val="56"/>
        <w:spacing w:line="360" w:lineRule="auto"/>
        <w:ind w:firstLine="420"/>
      </w:pPr>
      <w:r>
        <w:rPr>
          <w:rFonts w:hint="eastAsia"/>
        </w:rPr>
        <w:t>e）施工批次；</w:t>
      </w:r>
    </w:p>
    <w:p w14:paraId="26059B42">
      <w:pPr>
        <w:pStyle w:val="56"/>
        <w:spacing w:line="360" w:lineRule="auto"/>
        <w:ind w:firstLine="420"/>
      </w:pPr>
      <w:r>
        <w:rPr>
          <w:rFonts w:hint="eastAsia"/>
        </w:rPr>
        <w:t>f）施工部位；</w:t>
      </w:r>
    </w:p>
    <w:p w14:paraId="4021F1B1">
      <w:pPr>
        <w:pStyle w:val="56"/>
        <w:spacing w:line="360" w:lineRule="auto"/>
        <w:ind w:firstLine="420"/>
      </w:pPr>
      <w:r>
        <w:rPr>
          <w:rFonts w:hint="eastAsia"/>
        </w:rPr>
        <w:t>g）试件编号；</w:t>
      </w:r>
    </w:p>
    <w:p w14:paraId="7141EE69">
      <w:pPr>
        <w:pStyle w:val="56"/>
        <w:spacing w:line="360" w:lineRule="auto"/>
        <w:ind w:firstLine="420"/>
      </w:pPr>
      <w:r>
        <w:rPr>
          <w:rFonts w:hint="eastAsia"/>
        </w:rPr>
        <w:t>h）检测报告编号；</w:t>
      </w:r>
    </w:p>
    <w:p w14:paraId="09642D8E">
      <w:pPr>
        <w:pStyle w:val="56"/>
        <w:spacing w:line="360" w:lineRule="auto"/>
        <w:ind w:firstLine="420"/>
      </w:pPr>
      <w:r>
        <w:rPr>
          <w:rFonts w:hint="eastAsia"/>
        </w:rPr>
        <w:t>i）异常事件编号；</w:t>
      </w:r>
    </w:p>
    <w:p w14:paraId="5DE7B176">
      <w:pPr>
        <w:pStyle w:val="56"/>
        <w:spacing w:line="360" w:lineRule="auto"/>
        <w:ind w:firstLine="420"/>
      </w:pPr>
      <w:r>
        <w:rPr>
          <w:rFonts w:hint="eastAsia"/>
        </w:rPr>
        <w:t>j）整改闭环编号。</w:t>
      </w:r>
    </w:p>
    <w:p w14:paraId="546559AB">
      <w:pPr>
        <w:pStyle w:val="165"/>
        <w:spacing w:line="360" w:lineRule="auto"/>
      </w:pPr>
      <w:r>
        <w:rPr>
          <w:rFonts w:hint="eastAsia"/>
        </w:rPr>
        <w:t>溯源编码应唯一、清晰、连续和可关联，不得重码、漏码和随意改码。</w:t>
      </w:r>
    </w:p>
    <w:p w14:paraId="2B6F44C8">
      <w:pPr>
        <w:pStyle w:val="165"/>
        <w:spacing w:line="360" w:lineRule="auto"/>
      </w:pPr>
      <w:r>
        <w:rPr>
          <w:rFonts w:hint="eastAsia"/>
        </w:rPr>
        <w:t>溯源编码应与施工记录、交接记录、试验记录、检测记录和验收记录保持一致。</w:t>
      </w:r>
    </w:p>
    <w:p w14:paraId="4F1D16CF">
      <w:pPr>
        <w:pStyle w:val="165"/>
        <w:spacing w:line="360" w:lineRule="auto"/>
      </w:pPr>
      <w:r>
        <w:rPr>
          <w:rFonts w:hint="eastAsia"/>
        </w:rPr>
        <w:t>编码规则一经确定，不得在同一工程内频繁调整；确需调整时，应建立新旧编码对应关系。</w:t>
      </w:r>
    </w:p>
    <w:p w14:paraId="00C1BC90">
      <w:pPr>
        <w:pStyle w:val="105"/>
        <w:spacing w:before="120" w:after="120" w:line="360" w:lineRule="auto"/>
      </w:pPr>
      <w:r>
        <w:rPr>
          <w:rFonts w:hint="eastAsia"/>
        </w:rPr>
        <w:t>原材料溯源要求</w:t>
      </w:r>
    </w:p>
    <w:p w14:paraId="72AF6B6E">
      <w:pPr>
        <w:pStyle w:val="165"/>
        <w:spacing w:line="360" w:lineRule="auto"/>
      </w:pPr>
      <w:r>
        <w:rPr>
          <w:rFonts w:hint="eastAsia"/>
        </w:rPr>
        <w:t>水泥、掺合料、外加剂、砂、石、水和其他用于水下混凝土的原材料应纳入质量溯源范围。</w:t>
      </w:r>
    </w:p>
    <w:p w14:paraId="36E14801">
      <w:pPr>
        <w:pStyle w:val="165"/>
        <w:spacing w:line="360" w:lineRule="auto"/>
      </w:pPr>
      <w:r>
        <w:rPr>
          <w:rFonts w:hint="eastAsia"/>
        </w:rPr>
        <w:t>原材料溯源信息应至少包括下列内容：</w:t>
      </w:r>
    </w:p>
    <w:p w14:paraId="735F39E6">
      <w:pPr>
        <w:pStyle w:val="56"/>
        <w:spacing w:line="360" w:lineRule="auto"/>
        <w:ind w:firstLine="420"/>
      </w:pPr>
      <w:r>
        <w:rPr>
          <w:rFonts w:hint="eastAsia"/>
        </w:rPr>
        <w:t>a）材料名称；</w:t>
      </w:r>
    </w:p>
    <w:p w14:paraId="273D1E4C">
      <w:pPr>
        <w:pStyle w:val="56"/>
        <w:spacing w:line="360" w:lineRule="auto"/>
        <w:ind w:firstLine="420"/>
      </w:pPr>
      <w:r>
        <w:rPr>
          <w:rFonts w:hint="eastAsia"/>
        </w:rPr>
        <w:t>b）规格型号；</w:t>
      </w:r>
    </w:p>
    <w:p w14:paraId="6EC01941">
      <w:pPr>
        <w:pStyle w:val="56"/>
        <w:spacing w:line="360" w:lineRule="auto"/>
        <w:ind w:firstLine="420"/>
      </w:pPr>
      <w:r>
        <w:rPr>
          <w:rFonts w:hint="eastAsia"/>
        </w:rPr>
        <w:t>c）生产厂家；</w:t>
      </w:r>
    </w:p>
    <w:p w14:paraId="5A95D609">
      <w:pPr>
        <w:pStyle w:val="56"/>
        <w:spacing w:line="360" w:lineRule="auto"/>
        <w:ind w:firstLine="420"/>
      </w:pPr>
      <w:r>
        <w:rPr>
          <w:rFonts w:hint="eastAsia"/>
        </w:rPr>
        <w:t>d）出厂编号或者批号；</w:t>
      </w:r>
    </w:p>
    <w:p w14:paraId="41410830">
      <w:pPr>
        <w:pStyle w:val="56"/>
        <w:spacing w:line="360" w:lineRule="auto"/>
        <w:ind w:firstLine="420"/>
      </w:pPr>
      <w:r>
        <w:rPr>
          <w:rFonts w:hint="eastAsia"/>
        </w:rPr>
        <w:t>e）进场时间；</w:t>
      </w:r>
    </w:p>
    <w:p w14:paraId="76E3E902">
      <w:pPr>
        <w:pStyle w:val="56"/>
        <w:spacing w:line="360" w:lineRule="auto"/>
        <w:ind w:firstLine="420"/>
      </w:pPr>
      <w:r>
        <w:rPr>
          <w:rFonts w:hint="eastAsia"/>
        </w:rPr>
        <w:t>f）进场数量；</w:t>
      </w:r>
    </w:p>
    <w:p w14:paraId="206EEE2F">
      <w:pPr>
        <w:pStyle w:val="56"/>
        <w:spacing w:line="360" w:lineRule="auto"/>
        <w:ind w:firstLine="420"/>
      </w:pPr>
      <w:r>
        <w:rPr>
          <w:rFonts w:hint="eastAsia"/>
        </w:rPr>
        <w:t>g）检验状态；</w:t>
      </w:r>
    </w:p>
    <w:p w14:paraId="5AB44FAC">
      <w:pPr>
        <w:pStyle w:val="56"/>
        <w:spacing w:line="360" w:lineRule="auto"/>
        <w:ind w:firstLine="420"/>
      </w:pPr>
      <w:r>
        <w:rPr>
          <w:rFonts w:hint="eastAsia"/>
        </w:rPr>
        <w:t>h）使用部位；</w:t>
      </w:r>
    </w:p>
    <w:p w14:paraId="7EF9777F">
      <w:pPr>
        <w:pStyle w:val="56"/>
        <w:spacing w:line="360" w:lineRule="auto"/>
        <w:ind w:firstLine="420"/>
      </w:pPr>
      <w:r>
        <w:rPr>
          <w:rFonts w:hint="eastAsia"/>
        </w:rPr>
        <w:t>i）对应施工批次。</w:t>
      </w:r>
    </w:p>
    <w:p w14:paraId="5F75290A">
      <w:pPr>
        <w:pStyle w:val="165"/>
        <w:spacing w:line="360" w:lineRule="auto"/>
      </w:pPr>
      <w:r>
        <w:rPr>
          <w:rFonts w:hint="eastAsia"/>
        </w:rPr>
        <w:t>未经验收或者验收不合格的原材料，不得进入正式拌和生产环节。</w:t>
      </w:r>
    </w:p>
    <w:p w14:paraId="1C4E7CCB">
      <w:pPr>
        <w:pStyle w:val="165"/>
        <w:spacing w:line="360" w:lineRule="auto"/>
      </w:pPr>
      <w:r>
        <w:rPr>
          <w:rFonts w:hint="eastAsia"/>
        </w:rPr>
        <w:t>原材料进场后发生批次更换、供应单位变更或者材料性能波动明显时，应重新核验并同步更新溯源信息。</w:t>
      </w:r>
    </w:p>
    <w:p w14:paraId="0FB5D92F">
      <w:pPr>
        <w:pStyle w:val="165"/>
        <w:spacing w:line="360" w:lineRule="auto"/>
      </w:pPr>
      <w:r>
        <w:rPr>
          <w:rFonts w:hint="eastAsia"/>
        </w:rPr>
        <w:t>原材料溯源信息不完整、批次不清或者检验状态不明的，不得用于正式施工。</w:t>
      </w:r>
    </w:p>
    <w:p w14:paraId="5E6CEF29">
      <w:pPr>
        <w:pStyle w:val="105"/>
        <w:spacing w:before="120" w:after="120" w:line="360" w:lineRule="auto"/>
      </w:pPr>
      <w:r>
        <w:rPr>
          <w:rFonts w:hint="eastAsia"/>
        </w:rPr>
        <w:t>配合比与生产溯源要求</w:t>
      </w:r>
    </w:p>
    <w:p w14:paraId="24284630">
      <w:pPr>
        <w:pStyle w:val="165"/>
        <w:spacing w:line="360" w:lineRule="auto"/>
      </w:pPr>
      <w:r>
        <w:rPr>
          <w:rFonts w:hint="eastAsia"/>
        </w:rPr>
        <w:t>水下混凝土应使用经确认的配合比，不得使用未经批准的临时配合比或者口头调整配合比。</w:t>
      </w:r>
    </w:p>
    <w:p w14:paraId="3EA2CBC6">
      <w:pPr>
        <w:pStyle w:val="165"/>
        <w:spacing w:line="360" w:lineRule="auto"/>
      </w:pPr>
      <w:r>
        <w:rPr>
          <w:rFonts w:hint="eastAsia"/>
        </w:rPr>
        <w:t>配合比溯源信息应至少包括下列内容：</w:t>
      </w:r>
    </w:p>
    <w:p w14:paraId="036308C7">
      <w:pPr>
        <w:pStyle w:val="56"/>
        <w:spacing w:line="360" w:lineRule="auto"/>
        <w:ind w:firstLine="420"/>
      </w:pPr>
      <w:r>
        <w:rPr>
          <w:rFonts w:hint="eastAsia"/>
        </w:rPr>
        <w:t>a）配合比编号；</w:t>
      </w:r>
    </w:p>
    <w:p w14:paraId="095472B8">
      <w:pPr>
        <w:pStyle w:val="56"/>
        <w:spacing w:line="360" w:lineRule="auto"/>
        <w:ind w:firstLine="420"/>
      </w:pPr>
      <w:r>
        <w:rPr>
          <w:rFonts w:hint="eastAsia"/>
        </w:rPr>
        <w:t>b）设计强度等级或者性能等级；</w:t>
      </w:r>
    </w:p>
    <w:p w14:paraId="07C1A7B5">
      <w:pPr>
        <w:pStyle w:val="56"/>
        <w:spacing w:line="360" w:lineRule="auto"/>
        <w:ind w:firstLine="420"/>
      </w:pPr>
      <w:r>
        <w:rPr>
          <w:rFonts w:hint="eastAsia"/>
        </w:rPr>
        <w:t>c）原材料组成；</w:t>
      </w:r>
    </w:p>
    <w:p w14:paraId="2B4B7A56">
      <w:pPr>
        <w:pStyle w:val="56"/>
        <w:spacing w:line="360" w:lineRule="auto"/>
        <w:ind w:firstLine="420"/>
      </w:pPr>
      <w:r>
        <w:rPr>
          <w:rFonts w:hint="eastAsia"/>
        </w:rPr>
        <w:t>d）水胶比；</w:t>
      </w:r>
    </w:p>
    <w:p w14:paraId="09A0F5D6">
      <w:pPr>
        <w:pStyle w:val="56"/>
        <w:spacing w:line="360" w:lineRule="auto"/>
        <w:ind w:firstLine="420"/>
      </w:pPr>
      <w:r>
        <w:rPr>
          <w:rFonts w:hint="eastAsia"/>
        </w:rPr>
        <w:t>e）砂率；</w:t>
      </w:r>
    </w:p>
    <w:p w14:paraId="7F03B5E1">
      <w:pPr>
        <w:pStyle w:val="56"/>
        <w:spacing w:line="360" w:lineRule="auto"/>
        <w:ind w:firstLine="420"/>
      </w:pPr>
      <w:r>
        <w:rPr>
          <w:rFonts w:hint="eastAsia"/>
        </w:rPr>
        <w:t>f）外加剂种类和掺量；</w:t>
      </w:r>
    </w:p>
    <w:p w14:paraId="4C658035">
      <w:pPr>
        <w:pStyle w:val="56"/>
        <w:spacing w:line="360" w:lineRule="auto"/>
        <w:ind w:firstLine="420"/>
      </w:pPr>
      <w:r>
        <w:rPr>
          <w:rFonts w:hint="eastAsia"/>
        </w:rPr>
        <w:t>g）适用施工部位；</w:t>
      </w:r>
    </w:p>
    <w:p w14:paraId="6CF45AAD">
      <w:pPr>
        <w:pStyle w:val="56"/>
        <w:spacing w:line="360" w:lineRule="auto"/>
        <w:ind w:firstLine="420"/>
      </w:pPr>
      <w:r>
        <w:rPr>
          <w:rFonts w:hint="eastAsia"/>
        </w:rPr>
        <w:t>h）批准时间和批准人；</w:t>
      </w:r>
    </w:p>
    <w:p w14:paraId="1D66DB98">
      <w:pPr>
        <w:pStyle w:val="56"/>
        <w:spacing w:line="360" w:lineRule="auto"/>
        <w:ind w:firstLine="420"/>
      </w:pPr>
      <w:r>
        <w:rPr>
          <w:rFonts w:hint="eastAsia"/>
        </w:rPr>
        <w:t>i）试配和复核信息。</w:t>
      </w:r>
    </w:p>
    <w:p w14:paraId="258963FC">
      <w:pPr>
        <w:pStyle w:val="165"/>
        <w:spacing w:line="360" w:lineRule="auto"/>
      </w:pPr>
      <w:r>
        <w:rPr>
          <w:rFonts w:hint="eastAsia"/>
        </w:rPr>
        <w:t>生产拌和记录应至少包括下列内容：</w:t>
      </w:r>
    </w:p>
    <w:p w14:paraId="0CF08110">
      <w:pPr>
        <w:pStyle w:val="56"/>
        <w:spacing w:line="360" w:lineRule="auto"/>
        <w:ind w:firstLine="420"/>
      </w:pPr>
      <w:r>
        <w:rPr>
          <w:rFonts w:hint="eastAsia"/>
        </w:rPr>
        <w:t>a）拌和时间；</w:t>
      </w:r>
    </w:p>
    <w:p w14:paraId="0193FCA9">
      <w:pPr>
        <w:pStyle w:val="56"/>
        <w:spacing w:line="360" w:lineRule="auto"/>
        <w:ind w:firstLine="420"/>
      </w:pPr>
      <w:r>
        <w:rPr>
          <w:rFonts w:hint="eastAsia"/>
        </w:rPr>
        <w:t>b）出机时间；</w:t>
      </w:r>
    </w:p>
    <w:p w14:paraId="25509B90">
      <w:pPr>
        <w:pStyle w:val="56"/>
        <w:spacing w:line="360" w:lineRule="auto"/>
        <w:ind w:firstLine="420"/>
      </w:pPr>
      <w:r>
        <w:rPr>
          <w:rFonts w:hint="eastAsia"/>
        </w:rPr>
        <w:t>c）拌和批次编号；</w:t>
      </w:r>
    </w:p>
    <w:p w14:paraId="206CB7AF">
      <w:pPr>
        <w:pStyle w:val="56"/>
        <w:spacing w:line="360" w:lineRule="auto"/>
        <w:ind w:firstLine="420"/>
      </w:pPr>
      <w:r>
        <w:rPr>
          <w:rFonts w:hint="eastAsia"/>
        </w:rPr>
        <w:t>d）每盘或者每车材料用量；</w:t>
      </w:r>
    </w:p>
    <w:p w14:paraId="05CF87C9">
      <w:pPr>
        <w:pStyle w:val="56"/>
        <w:spacing w:line="360" w:lineRule="auto"/>
        <w:ind w:firstLine="420"/>
      </w:pPr>
      <w:r>
        <w:rPr>
          <w:rFonts w:hint="eastAsia"/>
        </w:rPr>
        <w:t>e）拌合物性能检测结果；</w:t>
      </w:r>
    </w:p>
    <w:p w14:paraId="0598E5A1">
      <w:pPr>
        <w:pStyle w:val="56"/>
        <w:spacing w:line="360" w:lineRule="auto"/>
        <w:ind w:firstLine="420"/>
      </w:pPr>
      <w:r>
        <w:rPr>
          <w:rFonts w:hint="eastAsia"/>
        </w:rPr>
        <w:t>f）设备运行状态；</w:t>
      </w:r>
    </w:p>
    <w:p w14:paraId="4107EB10">
      <w:pPr>
        <w:pStyle w:val="56"/>
        <w:spacing w:line="360" w:lineRule="auto"/>
        <w:ind w:firstLine="420"/>
      </w:pPr>
      <w:r>
        <w:rPr>
          <w:rFonts w:hint="eastAsia"/>
        </w:rPr>
        <w:t>g）操作人员信息。</w:t>
      </w:r>
    </w:p>
    <w:p w14:paraId="70475842">
      <w:pPr>
        <w:pStyle w:val="165"/>
        <w:spacing w:line="360" w:lineRule="auto"/>
      </w:pPr>
      <w:r>
        <w:rPr>
          <w:rFonts w:hint="eastAsia"/>
        </w:rPr>
        <w:t>配合比调整、用水量微调、外加剂调整和坍落扩展度调整应按规定执行并形成记录，不得擅自调整。</w:t>
      </w:r>
    </w:p>
    <w:p w14:paraId="53DF8664">
      <w:pPr>
        <w:pStyle w:val="165"/>
        <w:spacing w:line="360" w:lineRule="auto"/>
      </w:pPr>
      <w:r>
        <w:rPr>
          <w:rFonts w:hint="eastAsia"/>
        </w:rPr>
        <w:t>配合比编号、拌和批次和出站信息应与运输交接信息和现场浇筑信息对应一致。</w:t>
      </w:r>
    </w:p>
    <w:p w14:paraId="7239A215">
      <w:pPr>
        <w:pStyle w:val="105"/>
        <w:spacing w:before="120" w:after="120" w:line="360" w:lineRule="auto"/>
      </w:pPr>
      <w:r>
        <w:rPr>
          <w:rFonts w:hint="eastAsia"/>
        </w:rPr>
        <w:t>运输与供应溯源要求</w:t>
      </w:r>
    </w:p>
    <w:p w14:paraId="6BC4C9C4">
      <w:pPr>
        <w:pStyle w:val="165"/>
        <w:spacing w:line="360" w:lineRule="auto"/>
      </w:pPr>
      <w:r>
        <w:rPr>
          <w:rFonts w:hint="eastAsia"/>
        </w:rPr>
        <w:t>水下混凝土运输和供应过程应纳入质量溯源管理。</w:t>
      </w:r>
    </w:p>
    <w:p w14:paraId="1F202B5D">
      <w:pPr>
        <w:pStyle w:val="165"/>
        <w:spacing w:line="360" w:lineRule="auto"/>
      </w:pPr>
      <w:r>
        <w:rPr>
          <w:rFonts w:hint="eastAsia"/>
        </w:rPr>
        <w:t>运输溯源信息应至少包括下列内容：</w:t>
      </w:r>
    </w:p>
    <w:p w14:paraId="490C2923">
      <w:pPr>
        <w:pStyle w:val="56"/>
        <w:spacing w:line="360" w:lineRule="auto"/>
        <w:ind w:firstLine="420"/>
      </w:pPr>
      <w:r>
        <w:rPr>
          <w:rFonts w:hint="eastAsia"/>
        </w:rPr>
        <w:t>a）运输车号或者容器编号；</w:t>
      </w:r>
    </w:p>
    <w:p w14:paraId="7292EEDD">
      <w:pPr>
        <w:pStyle w:val="56"/>
        <w:spacing w:line="360" w:lineRule="auto"/>
        <w:ind w:firstLine="420"/>
      </w:pPr>
      <w:r>
        <w:rPr>
          <w:rFonts w:hint="eastAsia"/>
        </w:rPr>
        <w:t>b）装料时间；</w:t>
      </w:r>
    </w:p>
    <w:p w14:paraId="09E29B9C">
      <w:pPr>
        <w:pStyle w:val="56"/>
        <w:spacing w:line="360" w:lineRule="auto"/>
        <w:ind w:firstLine="420"/>
      </w:pPr>
      <w:r>
        <w:rPr>
          <w:rFonts w:hint="eastAsia"/>
        </w:rPr>
        <w:t>c）到场时间；</w:t>
      </w:r>
    </w:p>
    <w:p w14:paraId="557864F2">
      <w:pPr>
        <w:pStyle w:val="56"/>
        <w:spacing w:line="360" w:lineRule="auto"/>
        <w:ind w:firstLine="420"/>
      </w:pPr>
      <w:r>
        <w:rPr>
          <w:rFonts w:hint="eastAsia"/>
        </w:rPr>
        <w:t>d）卸料时间；</w:t>
      </w:r>
    </w:p>
    <w:p w14:paraId="06C57760">
      <w:pPr>
        <w:pStyle w:val="56"/>
        <w:spacing w:line="360" w:lineRule="auto"/>
        <w:ind w:firstLine="420"/>
      </w:pPr>
      <w:r>
        <w:rPr>
          <w:rFonts w:hint="eastAsia"/>
        </w:rPr>
        <w:t>e）运输时长；</w:t>
      </w:r>
    </w:p>
    <w:p w14:paraId="60816116">
      <w:pPr>
        <w:pStyle w:val="56"/>
        <w:spacing w:line="360" w:lineRule="auto"/>
        <w:ind w:firstLine="420"/>
      </w:pPr>
      <w:r>
        <w:rPr>
          <w:rFonts w:hint="eastAsia"/>
        </w:rPr>
        <w:t>f）对应拌和批次；</w:t>
      </w:r>
    </w:p>
    <w:p w14:paraId="5E766035">
      <w:pPr>
        <w:pStyle w:val="56"/>
        <w:spacing w:line="360" w:lineRule="auto"/>
        <w:ind w:firstLine="420"/>
      </w:pPr>
      <w:r>
        <w:rPr>
          <w:rFonts w:hint="eastAsia"/>
        </w:rPr>
        <w:t>g）运输途中异常情况；</w:t>
      </w:r>
    </w:p>
    <w:p w14:paraId="2E21C890">
      <w:pPr>
        <w:pStyle w:val="56"/>
        <w:spacing w:line="360" w:lineRule="auto"/>
        <w:ind w:firstLine="420"/>
      </w:pPr>
      <w:r>
        <w:rPr>
          <w:rFonts w:hint="eastAsia"/>
        </w:rPr>
        <w:t>h）交接确认信息。</w:t>
      </w:r>
    </w:p>
    <w:p w14:paraId="730873FE">
      <w:pPr>
        <w:pStyle w:val="165"/>
        <w:spacing w:line="360" w:lineRule="auto"/>
      </w:pPr>
      <w:r>
        <w:rPr>
          <w:rFonts w:hint="eastAsia"/>
        </w:rPr>
        <w:t>运输设备状态异常、运输时间超限、发生离析泌水、坍落扩展度明显损失或者车次信息不明的，不得直接投入浇筑。</w:t>
      </w:r>
    </w:p>
    <w:p w14:paraId="6D13AF60">
      <w:pPr>
        <w:pStyle w:val="165"/>
        <w:spacing w:line="360" w:lineRule="auto"/>
      </w:pPr>
      <w:r>
        <w:rPr>
          <w:rFonts w:hint="eastAsia"/>
        </w:rPr>
        <w:t>运输过程中发生中断、等待过久、二次加水、设备故障或者其他可能影响质量的情况时，应如实记录并纳入质量判定依据。</w:t>
      </w:r>
    </w:p>
    <w:p w14:paraId="305AD961">
      <w:pPr>
        <w:pStyle w:val="165"/>
        <w:spacing w:line="360" w:lineRule="auto"/>
      </w:pPr>
      <w:r>
        <w:rPr>
          <w:rFonts w:hint="eastAsia"/>
        </w:rPr>
        <w:t>供料连续性应满足水下混凝土连续浇筑要求，不得因供料中断造成质量风险而无记录、无报告和无处置措施。</w:t>
      </w:r>
    </w:p>
    <w:p w14:paraId="3F28F3F2">
      <w:pPr>
        <w:pStyle w:val="105"/>
        <w:spacing w:before="120" w:after="120" w:line="360" w:lineRule="auto"/>
      </w:pPr>
      <w:r>
        <w:rPr>
          <w:rFonts w:hint="eastAsia"/>
        </w:rPr>
        <w:t>施工过程留痕要求</w:t>
      </w:r>
    </w:p>
    <w:p w14:paraId="65AC33FB">
      <w:pPr>
        <w:pStyle w:val="165"/>
        <w:spacing w:line="360" w:lineRule="auto"/>
      </w:pPr>
      <w:r>
        <w:rPr>
          <w:rFonts w:hint="eastAsia"/>
        </w:rPr>
        <w:t>水下混凝土施工全过程应实行关键工序留痕管理。</w:t>
      </w:r>
    </w:p>
    <w:p w14:paraId="0196A7ED">
      <w:pPr>
        <w:pStyle w:val="165"/>
        <w:spacing w:line="360" w:lineRule="auto"/>
      </w:pPr>
      <w:r>
        <w:rPr>
          <w:rFonts w:hint="eastAsia"/>
        </w:rPr>
        <w:t>施工过程留痕内容应至少包括下列内容：</w:t>
      </w:r>
    </w:p>
    <w:p w14:paraId="1CBE8ADF">
      <w:pPr>
        <w:pStyle w:val="56"/>
        <w:spacing w:line="360" w:lineRule="auto"/>
        <w:ind w:firstLine="420"/>
      </w:pPr>
      <w:r>
        <w:rPr>
          <w:rFonts w:hint="eastAsia"/>
        </w:rPr>
        <w:t>a）浇筑开始时间和结束时间；</w:t>
      </w:r>
    </w:p>
    <w:p w14:paraId="54E2577D">
      <w:pPr>
        <w:pStyle w:val="56"/>
        <w:spacing w:line="360" w:lineRule="auto"/>
        <w:ind w:firstLine="420"/>
      </w:pPr>
      <w:r>
        <w:rPr>
          <w:rFonts w:hint="eastAsia"/>
        </w:rPr>
        <w:t>b）施工部位和施工段；</w:t>
      </w:r>
    </w:p>
    <w:p w14:paraId="0A434562">
      <w:pPr>
        <w:pStyle w:val="56"/>
        <w:spacing w:line="360" w:lineRule="auto"/>
        <w:ind w:firstLine="420"/>
      </w:pPr>
      <w:r>
        <w:rPr>
          <w:rFonts w:hint="eastAsia"/>
        </w:rPr>
        <w:t>c）首盘混凝土状态；</w:t>
      </w:r>
    </w:p>
    <w:p w14:paraId="51C97474">
      <w:pPr>
        <w:pStyle w:val="56"/>
        <w:spacing w:line="360" w:lineRule="auto"/>
        <w:ind w:firstLine="420"/>
      </w:pPr>
      <w:r>
        <w:rPr>
          <w:rFonts w:hint="eastAsia"/>
        </w:rPr>
        <w:t>d）导管安装状态；</w:t>
      </w:r>
    </w:p>
    <w:p w14:paraId="3885544B">
      <w:pPr>
        <w:pStyle w:val="56"/>
        <w:spacing w:line="360" w:lineRule="auto"/>
        <w:ind w:firstLine="420"/>
      </w:pPr>
      <w:r>
        <w:rPr>
          <w:rFonts w:hint="eastAsia"/>
        </w:rPr>
        <w:t>e）导管初始埋深和过程埋深；</w:t>
      </w:r>
    </w:p>
    <w:p w14:paraId="6DFF8607">
      <w:pPr>
        <w:pStyle w:val="56"/>
        <w:spacing w:line="360" w:lineRule="auto"/>
        <w:ind w:firstLine="420"/>
      </w:pPr>
      <w:r>
        <w:rPr>
          <w:rFonts w:hint="eastAsia"/>
        </w:rPr>
        <w:t>f）混凝土面上升高度；</w:t>
      </w:r>
    </w:p>
    <w:p w14:paraId="7EC5B100">
      <w:pPr>
        <w:pStyle w:val="56"/>
        <w:spacing w:line="360" w:lineRule="auto"/>
        <w:ind w:firstLine="420"/>
      </w:pPr>
      <w:r>
        <w:rPr>
          <w:rFonts w:hint="eastAsia"/>
        </w:rPr>
        <w:t>g）浇筑连续性状态；</w:t>
      </w:r>
    </w:p>
    <w:p w14:paraId="012453F3">
      <w:pPr>
        <w:pStyle w:val="56"/>
        <w:spacing w:line="360" w:lineRule="auto"/>
        <w:ind w:firstLine="420"/>
      </w:pPr>
      <w:r>
        <w:rPr>
          <w:rFonts w:hint="eastAsia"/>
        </w:rPr>
        <w:t>h）换管、提管和拆管过程；</w:t>
      </w:r>
    </w:p>
    <w:p w14:paraId="69B549FF">
      <w:pPr>
        <w:pStyle w:val="56"/>
        <w:spacing w:line="360" w:lineRule="auto"/>
        <w:ind w:firstLine="420"/>
      </w:pPr>
      <w:r>
        <w:rPr>
          <w:rFonts w:hint="eastAsia"/>
        </w:rPr>
        <w:t>i）施工中断和恢复情况；</w:t>
      </w:r>
    </w:p>
    <w:p w14:paraId="36818646">
      <w:pPr>
        <w:pStyle w:val="56"/>
        <w:spacing w:line="360" w:lineRule="auto"/>
        <w:ind w:firstLine="420"/>
      </w:pPr>
      <w:r>
        <w:rPr>
          <w:rFonts w:hint="eastAsia"/>
        </w:rPr>
        <w:t>j）异常事件和处置情况。</w:t>
      </w:r>
    </w:p>
    <w:p w14:paraId="4D1DC0A8">
      <w:pPr>
        <w:pStyle w:val="165"/>
        <w:spacing w:line="360" w:lineRule="auto"/>
      </w:pPr>
      <w:r>
        <w:rPr>
          <w:rFonts w:hint="eastAsia"/>
        </w:rPr>
        <w:t>对首盘下料、导管首次埋入、导管提升、导管拆卸、换仓、封仓和浇筑中断恢复等关键节点，应形成专项记录。</w:t>
      </w:r>
    </w:p>
    <w:p w14:paraId="5FCA6D03">
      <w:pPr>
        <w:pStyle w:val="165"/>
        <w:spacing w:line="360" w:lineRule="auto"/>
      </w:pPr>
      <w:r>
        <w:rPr>
          <w:rFonts w:hint="eastAsia"/>
        </w:rPr>
        <w:t>施工过程留痕应采用书面记录、电子记录、影像记录或者多种方式组合实现，不得仅依靠事后回忆补录。</w:t>
      </w:r>
    </w:p>
    <w:p w14:paraId="6342B24E">
      <w:pPr>
        <w:pStyle w:val="165"/>
        <w:spacing w:line="360" w:lineRule="auto"/>
      </w:pPr>
      <w:r>
        <w:rPr>
          <w:rFonts w:hint="eastAsia"/>
        </w:rPr>
        <w:t>关键工序留痕缺失的施工批次，不得视为完整合格批次。</w:t>
      </w:r>
    </w:p>
    <w:p w14:paraId="13EAE0E2">
      <w:pPr>
        <w:pStyle w:val="105"/>
        <w:spacing w:before="120" w:after="120" w:line="360" w:lineRule="auto"/>
      </w:pPr>
      <w:r>
        <w:rPr>
          <w:rFonts w:hint="eastAsia"/>
        </w:rPr>
        <w:t>关键质量参数控制要求</w:t>
      </w:r>
    </w:p>
    <w:p w14:paraId="0FE1C67E">
      <w:pPr>
        <w:pStyle w:val="165"/>
        <w:spacing w:line="360" w:lineRule="auto"/>
      </w:pPr>
      <w:r>
        <w:rPr>
          <w:rFonts w:hint="eastAsia"/>
        </w:rPr>
        <w:t>水下混凝土施工应控制下列关键质量参数：</w:t>
      </w:r>
    </w:p>
    <w:p w14:paraId="2410BACE">
      <w:pPr>
        <w:pStyle w:val="56"/>
        <w:spacing w:line="360" w:lineRule="auto"/>
        <w:ind w:firstLine="420"/>
      </w:pPr>
      <w:r>
        <w:rPr>
          <w:rFonts w:hint="eastAsia"/>
        </w:rPr>
        <w:t>a）拌合物坍落扩展度或者流动性；</w:t>
      </w:r>
    </w:p>
    <w:p w14:paraId="30DB45CE">
      <w:pPr>
        <w:pStyle w:val="56"/>
        <w:spacing w:line="360" w:lineRule="auto"/>
        <w:ind w:firstLine="420"/>
      </w:pPr>
      <w:r>
        <w:rPr>
          <w:rFonts w:hint="eastAsia"/>
        </w:rPr>
        <w:t>b）初凝时间；</w:t>
      </w:r>
    </w:p>
    <w:p w14:paraId="6711C8EC">
      <w:pPr>
        <w:pStyle w:val="56"/>
        <w:spacing w:line="360" w:lineRule="auto"/>
        <w:ind w:firstLine="420"/>
      </w:pPr>
      <w:r>
        <w:rPr>
          <w:rFonts w:hint="eastAsia"/>
        </w:rPr>
        <w:t>c）出机时间和入仓时间；</w:t>
      </w:r>
    </w:p>
    <w:p w14:paraId="305604D0">
      <w:pPr>
        <w:pStyle w:val="56"/>
        <w:spacing w:line="360" w:lineRule="auto"/>
        <w:ind w:firstLine="420"/>
      </w:pPr>
      <w:r>
        <w:rPr>
          <w:rFonts w:hint="eastAsia"/>
        </w:rPr>
        <w:t>d）首盘混凝土数量；</w:t>
      </w:r>
    </w:p>
    <w:p w14:paraId="6F037BCC">
      <w:pPr>
        <w:pStyle w:val="56"/>
        <w:spacing w:line="360" w:lineRule="auto"/>
        <w:ind w:firstLine="420"/>
      </w:pPr>
      <w:r>
        <w:rPr>
          <w:rFonts w:hint="eastAsia"/>
        </w:rPr>
        <w:t>e）导管埋深；</w:t>
      </w:r>
    </w:p>
    <w:p w14:paraId="73B131F3">
      <w:pPr>
        <w:pStyle w:val="56"/>
        <w:spacing w:line="360" w:lineRule="auto"/>
        <w:ind w:firstLine="420"/>
      </w:pPr>
      <w:r>
        <w:rPr>
          <w:rFonts w:hint="eastAsia"/>
        </w:rPr>
        <w:t>f）导管底口离孔底或者基底距离；</w:t>
      </w:r>
    </w:p>
    <w:p w14:paraId="6FD62665">
      <w:pPr>
        <w:pStyle w:val="56"/>
        <w:spacing w:line="360" w:lineRule="auto"/>
        <w:ind w:firstLine="420"/>
      </w:pPr>
      <w:r>
        <w:rPr>
          <w:rFonts w:hint="eastAsia"/>
        </w:rPr>
        <w:t>g）浇筑连续时间；</w:t>
      </w:r>
    </w:p>
    <w:p w14:paraId="058BD8EC">
      <w:pPr>
        <w:pStyle w:val="56"/>
        <w:spacing w:line="360" w:lineRule="auto"/>
        <w:ind w:firstLine="420"/>
      </w:pPr>
      <w:r>
        <w:rPr>
          <w:rFonts w:hint="eastAsia"/>
        </w:rPr>
        <w:t>h）混凝土面标高；</w:t>
      </w:r>
    </w:p>
    <w:p w14:paraId="610D7C52">
      <w:pPr>
        <w:pStyle w:val="56"/>
        <w:spacing w:line="360" w:lineRule="auto"/>
        <w:ind w:firstLine="420"/>
      </w:pPr>
      <w:r>
        <w:rPr>
          <w:rFonts w:hint="eastAsia"/>
        </w:rPr>
        <w:t>i）单次提管高度；</w:t>
      </w:r>
    </w:p>
    <w:p w14:paraId="0764FCD2">
      <w:pPr>
        <w:pStyle w:val="56"/>
        <w:spacing w:line="360" w:lineRule="auto"/>
        <w:ind w:firstLine="420"/>
      </w:pPr>
      <w:r>
        <w:rPr>
          <w:rFonts w:hint="eastAsia"/>
        </w:rPr>
        <w:t>j）中断时长。</w:t>
      </w:r>
    </w:p>
    <w:p w14:paraId="6B4950B7">
      <w:pPr>
        <w:pStyle w:val="165"/>
        <w:spacing w:line="360" w:lineRule="auto"/>
      </w:pPr>
      <w:r>
        <w:rPr>
          <w:rFonts w:hint="eastAsia"/>
        </w:rPr>
        <w:t>关键质量参数应按施工方案和工艺要求控制，不得凭经验随意调整。</w:t>
      </w:r>
    </w:p>
    <w:p w14:paraId="0236BD17">
      <w:pPr>
        <w:pStyle w:val="165"/>
        <w:spacing w:line="360" w:lineRule="auto"/>
      </w:pPr>
      <w:r>
        <w:rPr>
          <w:rFonts w:hint="eastAsia"/>
        </w:rPr>
        <w:t>关键质量参数出现异常波动时，应及时分析原因并采取纠正措施。</w:t>
      </w:r>
    </w:p>
    <w:p w14:paraId="7C653192">
      <w:pPr>
        <w:pStyle w:val="165"/>
        <w:spacing w:line="360" w:lineRule="auto"/>
      </w:pPr>
      <w:r>
        <w:rPr>
          <w:rFonts w:hint="eastAsia"/>
        </w:rPr>
        <w:t>关键质量参数超出控制范围但未采取措施继续施工的，不得视为受控施工过程。</w:t>
      </w:r>
    </w:p>
    <w:p w14:paraId="136EDA58">
      <w:pPr>
        <w:pStyle w:val="105"/>
        <w:spacing w:before="120" w:after="120" w:line="360" w:lineRule="auto"/>
      </w:pPr>
      <w:r>
        <w:rPr>
          <w:rFonts w:hint="eastAsia"/>
        </w:rPr>
        <w:t>检测与实体对应要求</w:t>
      </w:r>
    </w:p>
    <w:p w14:paraId="0DCD3E93">
      <w:pPr>
        <w:pStyle w:val="165"/>
        <w:spacing w:line="360" w:lineRule="auto"/>
      </w:pPr>
      <w:r>
        <w:rPr>
          <w:rFonts w:hint="eastAsia"/>
        </w:rPr>
        <w:t>试件制作、留置、养护、送检和检测结果应与施工批次、施工部位和施工时段建立明确对应关系。</w:t>
      </w:r>
    </w:p>
    <w:p w14:paraId="403C47EA">
      <w:pPr>
        <w:pStyle w:val="165"/>
        <w:spacing w:line="360" w:lineRule="auto"/>
      </w:pPr>
      <w:r>
        <w:rPr>
          <w:rFonts w:hint="eastAsia"/>
        </w:rPr>
        <w:t>检测试件不得脱离实际施工批次独立编号和独立管理。</w:t>
      </w:r>
    </w:p>
    <w:p w14:paraId="02046C84">
      <w:pPr>
        <w:pStyle w:val="165"/>
        <w:spacing w:line="360" w:lineRule="auto"/>
      </w:pPr>
      <w:r>
        <w:rPr>
          <w:rFonts w:hint="eastAsia"/>
        </w:rPr>
        <w:t>同一追溯单元对应的试件、检测结果和实体部位应一致，不得错位对应或者笼统对应。</w:t>
      </w:r>
    </w:p>
    <w:p w14:paraId="348EF214">
      <w:pPr>
        <w:pStyle w:val="165"/>
        <w:spacing w:line="360" w:lineRule="auto"/>
      </w:pPr>
      <w:r>
        <w:rPr>
          <w:rFonts w:hint="eastAsia"/>
        </w:rPr>
        <w:t>对实体质量验证所采用的钻芯、声测、完整性检测和其他检测结果，应能够反向对应到相应施工批次和过程参数。</w:t>
      </w:r>
    </w:p>
    <w:p w14:paraId="21A75A3F">
      <w:pPr>
        <w:pStyle w:val="165"/>
        <w:spacing w:line="360" w:lineRule="auto"/>
      </w:pPr>
      <w:r>
        <w:rPr>
          <w:rFonts w:hint="eastAsia"/>
        </w:rPr>
        <w:t>试件信息不全、送检信息不清或者检测结果无法对应实体部位的，不得作为完整溯源依据。</w:t>
      </w:r>
    </w:p>
    <w:p w14:paraId="5D6667A9">
      <w:pPr>
        <w:pStyle w:val="105"/>
        <w:spacing w:before="120" w:after="120" w:line="360" w:lineRule="auto"/>
      </w:pPr>
      <w:r>
        <w:rPr>
          <w:rFonts w:hint="eastAsia"/>
        </w:rPr>
        <w:t>信息化与数据管理要求</w:t>
      </w:r>
    </w:p>
    <w:p w14:paraId="6C5BB8B9">
      <w:pPr>
        <w:pStyle w:val="165"/>
        <w:spacing w:line="360" w:lineRule="auto"/>
      </w:pPr>
      <w:r>
        <w:rPr>
          <w:rFonts w:hint="eastAsia"/>
        </w:rPr>
        <w:t>水下混凝土施工全链条质量溯源宜采用信息化手段进行管理。</w:t>
      </w:r>
    </w:p>
    <w:p w14:paraId="15BDCBF7">
      <w:pPr>
        <w:pStyle w:val="165"/>
        <w:spacing w:line="360" w:lineRule="auto"/>
      </w:pPr>
      <w:r>
        <w:rPr>
          <w:rFonts w:hint="eastAsia"/>
        </w:rPr>
        <w:t>信息化管理应满足数据采集、数据关联、数据查询、异常预警和责任追查要求。</w:t>
      </w:r>
    </w:p>
    <w:p w14:paraId="053429C8">
      <w:pPr>
        <w:pStyle w:val="165"/>
        <w:spacing w:line="360" w:lineRule="auto"/>
      </w:pPr>
      <w:r>
        <w:rPr>
          <w:rFonts w:hint="eastAsia"/>
        </w:rPr>
        <w:t>数据录入应及时、准确和完整，不得延迟录入关键参数，不得事后集中补录关键工序数据。</w:t>
      </w:r>
    </w:p>
    <w:p w14:paraId="7CF206ED">
      <w:pPr>
        <w:pStyle w:val="165"/>
        <w:spacing w:line="360" w:lineRule="auto"/>
      </w:pPr>
      <w:r>
        <w:rPr>
          <w:rFonts w:hint="eastAsia"/>
        </w:rPr>
        <w:t>电子数据、纸质记录和影像资料之间应保持一致；存在差异时，应以经核实的原始记录为准并查明原因。</w:t>
      </w:r>
    </w:p>
    <w:p w14:paraId="72ED1879">
      <w:pPr>
        <w:pStyle w:val="165"/>
        <w:spacing w:line="360" w:lineRule="auto"/>
      </w:pPr>
      <w:r>
        <w:rPr>
          <w:rFonts w:hint="eastAsia"/>
        </w:rPr>
        <w:t>溯源数据应按权限管理，不得擅自删除、篡改、覆盖或者屏蔽关键质量信息。</w:t>
      </w:r>
    </w:p>
    <w:p w14:paraId="3F37D7B7">
      <w:pPr>
        <w:pStyle w:val="105"/>
        <w:spacing w:before="120" w:after="120" w:line="360" w:lineRule="auto"/>
      </w:pPr>
      <w:r>
        <w:rPr>
          <w:rFonts w:hint="eastAsia"/>
        </w:rPr>
        <w:t>质量异常与逆向追溯要求</w:t>
      </w:r>
    </w:p>
    <w:p w14:paraId="3A40E67C">
      <w:pPr>
        <w:pStyle w:val="165"/>
        <w:spacing w:line="360" w:lineRule="auto"/>
      </w:pPr>
      <w:r>
        <w:rPr>
          <w:rFonts w:hint="eastAsia"/>
        </w:rPr>
        <w:t>发生下列情形之一时，应启动质量异常追溯程序：</w:t>
      </w:r>
    </w:p>
    <w:p w14:paraId="50D0A0D8">
      <w:pPr>
        <w:pStyle w:val="56"/>
        <w:spacing w:line="360" w:lineRule="auto"/>
        <w:ind w:firstLine="420"/>
      </w:pPr>
      <w:r>
        <w:rPr>
          <w:rFonts w:hint="eastAsia"/>
        </w:rPr>
        <w:t>a）试件强度异常；</w:t>
      </w:r>
    </w:p>
    <w:p w14:paraId="6EB76C03">
      <w:pPr>
        <w:pStyle w:val="56"/>
        <w:spacing w:line="360" w:lineRule="auto"/>
        <w:ind w:firstLine="420"/>
      </w:pPr>
      <w:r>
        <w:rPr>
          <w:rFonts w:hint="eastAsia"/>
        </w:rPr>
        <w:t>b）声测或者完整性检测异常；</w:t>
      </w:r>
    </w:p>
    <w:p w14:paraId="0DB79E5D">
      <w:pPr>
        <w:pStyle w:val="56"/>
        <w:spacing w:line="360" w:lineRule="auto"/>
        <w:ind w:firstLine="420"/>
      </w:pPr>
      <w:r>
        <w:rPr>
          <w:rFonts w:hint="eastAsia"/>
        </w:rPr>
        <w:t>c）钻芯结果异常；</w:t>
      </w:r>
    </w:p>
    <w:p w14:paraId="5842FF38">
      <w:pPr>
        <w:pStyle w:val="56"/>
        <w:spacing w:line="360" w:lineRule="auto"/>
        <w:ind w:firstLine="420"/>
      </w:pPr>
      <w:r>
        <w:rPr>
          <w:rFonts w:hint="eastAsia"/>
        </w:rPr>
        <w:t>d）断桩风险；</w:t>
      </w:r>
    </w:p>
    <w:p w14:paraId="1D45F258">
      <w:pPr>
        <w:pStyle w:val="56"/>
        <w:spacing w:line="360" w:lineRule="auto"/>
        <w:ind w:firstLine="420"/>
      </w:pPr>
      <w:r>
        <w:rPr>
          <w:rFonts w:hint="eastAsia"/>
        </w:rPr>
        <w:t>e）夹泥夹层风险；</w:t>
      </w:r>
    </w:p>
    <w:p w14:paraId="1F6EDC22">
      <w:pPr>
        <w:pStyle w:val="56"/>
        <w:spacing w:line="360" w:lineRule="auto"/>
        <w:ind w:firstLine="420"/>
      </w:pPr>
      <w:r>
        <w:rPr>
          <w:rFonts w:hint="eastAsia"/>
        </w:rPr>
        <w:t>f）浇筑中断超限；</w:t>
      </w:r>
    </w:p>
    <w:p w14:paraId="7AFFC6BC">
      <w:pPr>
        <w:pStyle w:val="56"/>
        <w:spacing w:line="360" w:lineRule="auto"/>
        <w:ind w:firstLine="420"/>
      </w:pPr>
      <w:r>
        <w:rPr>
          <w:rFonts w:hint="eastAsia"/>
        </w:rPr>
        <w:t>g）导管埋深异常；</w:t>
      </w:r>
    </w:p>
    <w:p w14:paraId="417817F4">
      <w:pPr>
        <w:pStyle w:val="56"/>
        <w:spacing w:line="360" w:lineRule="auto"/>
        <w:ind w:firstLine="420"/>
      </w:pPr>
      <w:r>
        <w:rPr>
          <w:rFonts w:hint="eastAsia"/>
        </w:rPr>
        <w:t>h）实体缺陷暴露；</w:t>
      </w:r>
    </w:p>
    <w:p w14:paraId="6103BE62">
      <w:pPr>
        <w:pStyle w:val="56"/>
        <w:spacing w:line="360" w:lineRule="auto"/>
        <w:ind w:firstLine="420"/>
      </w:pPr>
      <w:r>
        <w:rPr>
          <w:rFonts w:hint="eastAsia"/>
        </w:rPr>
        <w:t>i）验收不合格。</w:t>
      </w:r>
    </w:p>
    <w:p w14:paraId="40AF99EA">
      <w:pPr>
        <w:pStyle w:val="165"/>
        <w:spacing w:line="360" w:lineRule="auto"/>
      </w:pPr>
      <w:r>
        <w:rPr>
          <w:rFonts w:hint="eastAsia"/>
        </w:rPr>
        <w:t>逆向追溯应至少追查下列内容：</w:t>
      </w:r>
    </w:p>
    <w:p w14:paraId="190E720F">
      <w:pPr>
        <w:pStyle w:val="56"/>
        <w:spacing w:line="360" w:lineRule="auto"/>
        <w:ind w:firstLine="420"/>
      </w:pPr>
      <w:r>
        <w:rPr>
          <w:rFonts w:hint="eastAsia"/>
        </w:rPr>
        <w:t>a）对应施工批次；</w:t>
      </w:r>
    </w:p>
    <w:p w14:paraId="5A3A5C66">
      <w:pPr>
        <w:pStyle w:val="56"/>
        <w:spacing w:line="360" w:lineRule="auto"/>
        <w:ind w:firstLine="420"/>
      </w:pPr>
      <w:r>
        <w:rPr>
          <w:rFonts w:hint="eastAsia"/>
        </w:rPr>
        <w:t>b）对应原材料批次；</w:t>
      </w:r>
    </w:p>
    <w:p w14:paraId="0BF7A2AE">
      <w:pPr>
        <w:pStyle w:val="56"/>
        <w:spacing w:line="360" w:lineRule="auto"/>
        <w:ind w:firstLine="420"/>
      </w:pPr>
      <w:r>
        <w:rPr>
          <w:rFonts w:hint="eastAsia"/>
        </w:rPr>
        <w:t>c）对应配合比；</w:t>
      </w:r>
    </w:p>
    <w:p w14:paraId="362896B9">
      <w:pPr>
        <w:pStyle w:val="56"/>
        <w:spacing w:line="360" w:lineRule="auto"/>
        <w:ind w:firstLine="420"/>
      </w:pPr>
      <w:r>
        <w:rPr>
          <w:rFonts w:hint="eastAsia"/>
        </w:rPr>
        <w:t>d）对应拌和和运输记录；</w:t>
      </w:r>
    </w:p>
    <w:p w14:paraId="4E2B02CF">
      <w:pPr>
        <w:pStyle w:val="56"/>
        <w:spacing w:line="360" w:lineRule="auto"/>
        <w:ind w:firstLine="420"/>
      </w:pPr>
      <w:r>
        <w:rPr>
          <w:rFonts w:hint="eastAsia"/>
        </w:rPr>
        <w:t>e）对应浇筑过程参数；</w:t>
      </w:r>
    </w:p>
    <w:p w14:paraId="6317A39A">
      <w:pPr>
        <w:pStyle w:val="56"/>
        <w:spacing w:line="360" w:lineRule="auto"/>
        <w:ind w:firstLine="420"/>
      </w:pPr>
      <w:r>
        <w:rPr>
          <w:rFonts w:hint="eastAsia"/>
        </w:rPr>
        <w:t>f）对应设备状态；</w:t>
      </w:r>
    </w:p>
    <w:p w14:paraId="1CEC3412">
      <w:pPr>
        <w:pStyle w:val="56"/>
        <w:spacing w:line="360" w:lineRule="auto"/>
        <w:ind w:firstLine="420"/>
      </w:pPr>
      <w:r>
        <w:rPr>
          <w:rFonts w:hint="eastAsia"/>
        </w:rPr>
        <w:t>g）对应岗位责任人；</w:t>
      </w:r>
    </w:p>
    <w:p w14:paraId="2CFA5B72">
      <w:pPr>
        <w:pStyle w:val="56"/>
        <w:spacing w:line="360" w:lineRule="auto"/>
        <w:ind w:firstLine="420"/>
      </w:pPr>
      <w:r>
        <w:rPr>
          <w:rFonts w:hint="eastAsia"/>
        </w:rPr>
        <w:t>h）对应异常处置记录。</w:t>
      </w:r>
    </w:p>
    <w:p w14:paraId="6EE38FCB">
      <w:pPr>
        <w:pStyle w:val="165"/>
        <w:spacing w:line="360" w:lineRule="auto"/>
      </w:pPr>
      <w:r>
        <w:rPr>
          <w:rFonts w:hint="eastAsia"/>
        </w:rPr>
        <w:t>质量异常未完成逆向追溯分析前，不得简单判定原因和责任。</w:t>
      </w:r>
    </w:p>
    <w:p w14:paraId="2E25C14E">
      <w:pPr>
        <w:pStyle w:val="165"/>
        <w:spacing w:line="360" w:lineRule="auto"/>
      </w:pPr>
      <w:r>
        <w:rPr>
          <w:rFonts w:hint="eastAsia"/>
        </w:rPr>
        <w:t>逆向追溯结果应作为缺陷处置、责任认定和工艺优化的重要依据。</w:t>
      </w:r>
    </w:p>
    <w:p w14:paraId="2E737F5D">
      <w:pPr>
        <w:pStyle w:val="105"/>
        <w:spacing w:before="120" w:after="120" w:line="360" w:lineRule="auto"/>
      </w:pPr>
      <w:r>
        <w:rPr>
          <w:rFonts w:hint="eastAsia"/>
        </w:rPr>
        <w:t>质量责任识别要求</w:t>
      </w:r>
    </w:p>
    <w:p w14:paraId="676A7E5F">
      <w:pPr>
        <w:pStyle w:val="165"/>
        <w:spacing w:line="360" w:lineRule="auto"/>
      </w:pPr>
      <w:r>
        <w:rPr>
          <w:rFonts w:hint="eastAsia"/>
        </w:rPr>
        <w:t>水下混凝土施工质量责任识别应以全过程真实记录为依据。</w:t>
      </w:r>
    </w:p>
    <w:p w14:paraId="4EAFA528">
      <w:pPr>
        <w:pStyle w:val="165"/>
        <w:spacing w:line="360" w:lineRule="auto"/>
      </w:pPr>
      <w:r>
        <w:rPr>
          <w:rFonts w:hint="eastAsia"/>
        </w:rPr>
        <w:t>责任识别应根据质量问题形成环节、控制失效环节、记录缺失环节和整改执行情况综合确定，不得仅以最终施工单位承担全部责任代替责任链识别。</w:t>
      </w:r>
    </w:p>
    <w:p w14:paraId="4EE4FA5A">
      <w:pPr>
        <w:pStyle w:val="165"/>
        <w:spacing w:line="360" w:lineRule="auto"/>
      </w:pPr>
      <w:r>
        <w:rPr>
          <w:rFonts w:hint="eastAsia"/>
        </w:rPr>
        <w:t>责任识别宜覆盖下列环节：</w:t>
      </w:r>
    </w:p>
    <w:p w14:paraId="7E65D43D">
      <w:pPr>
        <w:pStyle w:val="56"/>
        <w:spacing w:line="360" w:lineRule="auto"/>
        <w:ind w:firstLine="420"/>
      </w:pPr>
      <w:r>
        <w:rPr>
          <w:rFonts w:hint="eastAsia"/>
        </w:rPr>
        <w:t>a）原材料验收；</w:t>
      </w:r>
    </w:p>
    <w:p w14:paraId="238C16AE">
      <w:pPr>
        <w:pStyle w:val="56"/>
        <w:spacing w:line="360" w:lineRule="auto"/>
        <w:ind w:firstLine="420"/>
      </w:pPr>
      <w:r>
        <w:rPr>
          <w:rFonts w:hint="eastAsia"/>
        </w:rPr>
        <w:t>b）配合比执行；</w:t>
      </w:r>
    </w:p>
    <w:p w14:paraId="504EE80D">
      <w:pPr>
        <w:pStyle w:val="56"/>
        <w:spacing w:line="360" w:lineRule="auto"/>
        <w:ind w:firstLine="420"/>
      </w:pPr>
      <w:r>
        <w:rPr>
          <w:rFonts w:hint="eastAsia"/>
        </w:rPr>
        <w:t>c）拌和控制；</w:t>
      </w:r>
    </w:p>
    <w:p w14:paraId="7E292890">
      <w:pPr>
        <w:pStyle w:val="56"/>
        <w:spacing w:line="360" w:lineRule="auto"/>
        <w:ind w:firstLine="420"/>
      </w:pPr>
      <w:r>
        <w:rPr>
          <w:rFonts w:hint="eastAsia"/>
        </w:rPr>
        <w:t>d）运输组织；</w:t>
      </w:r>
    </w:p>
    <w:p w14:paraId="0C062775">
      <w:pPr>
        <w:pStyle w:val="56"/>
        <w:spacing w:line="360" w:lineRule="auto"/>
        <w:ind w:firstLine="420"/>
      </w:pPr>
      <w:r>
        <w:rPr>
          <w:rFonts w:hint="eastAsia"/>
        </w:rPr>
        <w:t>e）设备维护；</w:t>
      </w:r>
    </w:p>
    <w:p w14:paraId="632472D1">
      <w:pPr>
        <w:pStyle w:val="56"/>
        <w:spacing w:line="360" w:lineRule="auto"/>
        <w:ind w:firstLine="420"/>
      </w:pPr>
      <w:r>
        <w:rPr>
          <w:rFonts w:hint="eastAsia"/>
        </w:rPr>
        <w:t>f）现场浇筑；</w:t>
      </w:r>
    </w:p>
    <w:p w14:paraId="0855A86D">
      <w:pPr>
        <w:pStyle w:val="56"/>
        <w:spacing w:line="360" w:lineRule="auto"/>
        <w:ind w:firstLine="420"/>
      </w:pPr>
      <w:r>
        <w:rPr>
          <w:rFonts w:hint="eastAsia"/>
        </w:rPr>
        <w:t>g）监理旁站；</w:t>
      </w:r>
    </w:p>
    <w:p w14:paraId="592B11AC">
      <w:pPr>
        <w:pStyle w:val="56"/>
        <w:spacing w:line="360" w:lineRule="auto"/>
        <w:ind w:firstLine="420"/>
      </w:pPr>
      <w:r>
        <w:rPr>
          <w:rFonts w:hint="eastAsia"/>
        </w:rPr>
        <w:t>h）检测验证；</w:t>
      </w:r>
    </w:p>
    <w:p w14:paraId="6451D68A">
      <w:pPr>
        <w:pStyle w:val="56"/>
        <w:spacing w:line="360" w:lineRule="auto"/>
        <w:ind w:firstLine="420"/>
      </w:pPr>
      <w:r>
        <w:rPr>
          <w:rFonts w:hint="eastAsia"/>
        </w:rPr>
        <w:t>i）资料管理；</w:t>
      </w:r>
    </w:p>
    <w:p w14:paraId="62E78963">
      <w:pPr>
        <w:pStyle w:val="56"/>
        <w:spacing w:line="360" w:lineRule="auto"/>
        <w:ind w:firstLine="420"/>
      </w:pPr>
      <w:r>
        <w:rPr>
          <w:rFonts w:hint="eastAsia"/>
        </w:rPr>
        <w:t>j）异常处置。</w:t>
      </w:r>
    </w:p>
    <w:p w14:paraId="5F2F53FD">
      <w:pPr>
        <w:pStyle w:val="165"/>
        <w:spacing w:line="360" w:lineRule="auto"/>
      </w:pPr>
      <w:r>
        <w:rPr>
          <w:rFonts w:hint="eastAsia"/>
        </w:rPr>
        <w:t>责任识别结果应形成书面资料，并纳入工程质量管理档案。</w:t>
      </w:r>
    </w:p>
    <w:p w14:paraId="2231B470">
      <w:pPr>
        <w:pStyle w:val="105"/>
        <w:spacing w:before="120" w:after="120" w:line="360" w:lineRule="auto"/>
      </w:pPr>
      <w:r>
        <w:rPr>
          <w:rFonts w:hint="eastAsia"/>
        </w:rPr>
        <w:t>资料与档案管理要求</w:t>
      </w:r>
    </w:p>
    <w:p w14:paraId="2DA26B58">
      <w:pPr>
        <w:pStyle w:val="165"/>
        <w:spacing w:line="360" w:lineRule="auto"/>
      </w:pPr>
      <w:r>
        <w:rPr>
          <w:rFonts w:hint="eastAsia"/>
        </w:rPr>
        <w:t>水下混凝土施工全链条质量溯源应建立完整资料档案。</w:t>
      </w:r>
    </w:p>
    <w:p w14:paraId="5FEA07FF">
      <w:pPr>
        <w:pStyle w:val="165"/>
        <w:spacing w:line="360" w:lineRule="auto"/>
      </w:pPr>
      <w:r>
        <w:rPr>
          <w:rFonts w:hint="eastAsia"/>
        </w:rPr>
        <w:t>资料档案宜至少包括下列内容：</w:t>
      </w:r>
    </w:p>
    <w:p w14:paraId="68E04B5E">
      <w:pPr>
        <w:pStyle w:val="56"/>
        <w:spacing w:line="360" w:lineRule="auto"/>
        <w:ind w:firstLine="420"/>
      </w:pPr>
      <w:r>
        <w:rPr>
          <w:rFonts w:hint="eastAsia"/>
        </w:rPr>
        <w:t>a）原材料资料；</w:t>
      </w:r>
    </w:p>
    <w:p w14:paraId="7FB85246">
      <w:pPr>
        <w:pStyle w:val="56"/>
        <w:spacing w:line="360" w:lineRule="auto"/>
        <w:ind w:firstLine="420"/>
      </w:pPr>
      <w:r>
        <w:rPr>
          <w:rFonts w:hint="eastAsia"/>
        </w:rPr>
        <w:t>b）配合比资料；</w:t>
      </w:r>
    </w:p>
    <w:p w14:paraId="5D3954AB">
      <w:pPr>
        <w:pStyle w:val="56"/>
        <w:spacing w:line="360" w:lineRule="auto"/>
        <w:ind w:firstLine="420"/>
      </w:pPr>
      <w:r>
        <w:rPr>
          <w:rFonts w:hint="eastAsia"/>
        </w:rPr>
        <w:t>c）拌和生产资料；</w:t>
      </w:r>
    </w:p>
    <w:p w14:paraId="7B720D18">
      <w:pPr>
        <w:pStyle w:val="56"/>
        <w:spacing w:line="360" w:lineRule="auto"/>
        <w:ind w:firstLine="420"/>
      </w:pPr>
      <w:r>
        <w:rPr>
          <w:rFonts w:hint="eastAsia"/>
        </w:rPr>
        <w:t>d）运输交接资料；</w:t>
      </w:r>
    </w:p>
    <w:p w14:paraId="616D3DEA">
      <w:pPr>
        <w:pStyle w:val="56"/>
        <w:spacing w:line="360" w:lineRule="auto"/>
        <w:ind w:firstLine="420"/>
      </w:pPr>
      <w:r>
        <w:rPr>
          <w:rFonts w:hint="eastAsia"/>
        </w:rPr>
        <w:t>e）施工过程记录；</w:t>
      </w:r>
    </w:p>
    <w:p w14:paraId="36ED1EF0">
      <w:pPr>
        <w:pStyle w:val="56"/>
        <w:spacing w:line="360" w:lineRule="auto"/>
        <w:ind w:firstLine="420"/>
      </w:pPr>
      <w:r>
        <w:rPr>
          <w:rFonts w:hint="eastAsia"/>
        </w:rPr>
        <w:t>f）影像留痕资料；</w:t>
      </w:r>
    </w:p>
    <w:p w14:paraId="41C8AA5D">
      <w:pPr>
        <w:pStyle w:val="56"/>
        <w:spacing w:line="360" w:lineRule="auto"/>
        <w:ind w:firstLine="420"/>
      </w:pPr>
      <w:r>
        <w:rPr>
          <w:rFonts w:hint="eastAsia"/>
        </w:rPr>
        <w:t>g）试件和检测资料；</w:t>
      </w:r>
    </w:p>
    <w:p w14:paraId="4A3C8F12">
      <w:pPr>
        <w:pStyle w:val="56"/>
        <w:spacing w:line="360" w:lineRule="auto"/>
        <w:ind w:firstLine="420"/>
      </w:pPr>
      <w:r>
        <w:rPr>
          <w:rFonts w:hint="eastAsia"/>
        </w:rPr>
        <w:t>h）实体验证资料；</w:t>
      </w:r>
    </w:p>
    <w:p w14:paraId="104984DA">
      <w:pPr>
        <w:pStyle w:val="56"/>
        <w:spacing w:line="360" w:lineRule="auto"/>
        <w:ind w:firstLine="420"/>
      </w:pPr>
      <w:r>
        <w:rPr>
          <w:rFonts w:hint="eastAsia"/>
        </w:rPr>
        <w:t>i）异常追溯资料；</w:t>
      </w:r>
    </w:p>
    <w:p w14:paraId="60D0DF29">
      <w:pPr>
        <w:pStyle w:val="56"/>
        <w:spacing w:line="360" w:lineRule="auto"/>
        <w:ind w:firstLine="420"/>
      </w:pPr>
      <w:r>
        <w:rPr>
          <w:rFonts w:hint="eastAsia"/>
        </w:rPr>
        <w:t>j）验收评价资料。</w:t>
      </w:r>
    </w:p>
    <w:p w14:paraId="61226464">
      <w:pPr>
        <w:pStyle w:val="165"/>
        <w:spacing w:line="360" w:lineRule="auto"/>
      </w:pPr>
      <w:r>
        <w:rPr>
          <w:rFonts w:hint="eastAsia"/>
        </w:rPr>
        <w:t>资料档案应按工程部位、施工批次、施工日期和追溯编码分类归档。</w:t>
      </w:r>
    </w:p>
    <w:p w14:paraId="5D8E59D7">
      <w:pPr>
        <w:pStyle w:val="165"/>
        <w:spacing w:line="360" w:lineRule="auto"/>
      </w:pPr>
      <w:r>
        <w:rPr>
          <w:rFonts w:hint="eastAsia"/>
        </w:rPr>
        <w:t>资料档案应长期保存并满足工程验收、运行维护、质量复核和责任追溯需要。</w:t>
      </w:r>
    </w:p>
    <w:p w14:paraId="4B0058EF">
      <w:pPr>
        <w:pStyle w:val="104"/>
        <w:spacing w:before="240" w:after="240" w:line="360" w:lineRule="auto"/>
      </w:pPr>
      <w:bookmarkStart w:id="52" w:name="_Toc228532473"/>
      <w:r>
        <w:rPr>
          <w:rFonts w:hint="eastAsia"/>
        </w:rPr>
        <w:t>原材料、配合比与生产拌和质量溯源要求</w:t>
      </w:r>
      <w:bookmarkEnd w:id="52"/>
    </w:p>
    <w:p w14:paraId="1DF9AA50">
      <w:pPr>
        <w:pStyle w:val="105"/>
        <w:spacing w:before="120" w:after="120" w:line="360" w:lineRule="auto"/>
      </w:pPr>
      <w:r>
        <w:rPr>
          <w:rFonts w:hint="eastAsia"/>
        </w:rPr>
        <w:t>一般规定</w:t>
      </w:r>
    </w:p>
    <w:p w14:paraId="520F03C8">
      <w:pPr>
        <w:pStyle w:val="165"/>
        <w:spacing w:line="360" w:lineRule="auto"/>
      </w:pPr>
      <w:r>
        <w:rPr>
          <w:rFonts w:hint="eastAsia"/>
        </w:rPr>
        <w:t>水下混凝土原材料、配合比与生产拌和应作为全链条质量溯源的源头控制环节统一管理。</w:t>
      </w:r>
    </w:p>
    <w:p w14:paraId="173063E9">
      <w:pPr>
        <w:pStyle w:val="165"/>
        <w:spacing w:line="360" w:lineRule="auto"/>
      </w:pPr>
      <w:r>
        <w:rPr>
          <w:rFonts w:hint="eastAsia"/>
        </w:rPr>
        <w:t>原材料、配合比与生产拌和质量溯源应实现“来源可查、状态可知、批次可分、参数可核、异常可追、责任可辨”。</w:t>
      </w:r>
    </w:p>
    <w:p w14:paraId="5B9B2D41">
      <w:pPr>
        <w:pStyle w:val="165"/>
        <w:spacing w:line="360" w:lineRule="auto"/>
      </w:pPr>
      <w:r>
        <w:rPr>
          <w:rFonts w:hint="eastAsia"/>
        </w:rPr>
        <w:t>原材料供应、检验、储存、计量、投料、拌和、出机检验和出站交接各环节均应形成连续记录，不得遗漏关键节点信息。</w:t>
      </w:r>
    </w:p>
    <w:p w14:paraId="5FE5C01E">
      <w:pPr>
        <w:pStyle w:val="165"/>
        <w:spacing w:line="360" w:lineRule="auto"/>
      </w:pPr>
      <w:r>
        <w:rPr>
          <w:rFonts w:hint="eastAsia"/>
        </w:rPr>
        <w:t>水下混凝土配合比、拌合物性能和生产组织应满足水下施工工艺要求，不得以普通陆上混凝土生产控制方式替代水下混凝土专项控制要求。</w:t>
      </w:r>
    </w:p>
    <w:p w14:paraId="2FA3C592">
      <w:pPr>
        <w:pStyle w:val="165"/>
        <w:spacing w:line="360" w:lineRule="auto"/>
      </w:pPr>
      <w:r>
        <w:rPr>
          <w:rFonts w:hint="eastAsia"/>
        </w:rPr>
        <w:t>对水下不分散混凝土、大体积水下浇筑混凝土、深水施工混凝土和长时间连续浇筑混凝土，应实施更严格的原材料、配合比和生产拌和控制要求。</w:t>
      </w:r>
    </w:p>
    <w:p w14:paraId="69E782FA">
      <w:pPr>
        <w:pStyle w:val="165"/>
        <w:spacing w:line="360" w:lineRule="auto"/>
      </w:pPr>
      <w:r>
        <w:rPr>
          <w:rFonts w:hint="eastAsia"/>
        </w:rPr>
        <w:t>未纳入溯源管理的原材料、未经确认的配合比和未形成完整生产记录的拌和批次，不得用于正式施工。</w:t>
      </w:r>
    </w:p>
    <w:p w14:paraId="06C9A784">
      <w:pPr>
        <w:pStyle w:val="105"/>
        <w:spacing w:before="120" w:after="120" w:line="360" w:lineRule="auto"/>
      </w:pPr>
      <w:r>
        <w:rPr>
          <w:rFonts w:hint="eastAsia"/>
        </w:rPr>
        <w:t>原材料质量溯源基本要求</w:t>
      </w:r>
    </w:p>
    <w:p w14:paraId="14892A1F">
      <w:pPr>
        <w:pStyle w:val="165"/>
        <w:spacing w:line="360" w:lineRule="auto"/>
      </w:pPr>
      <w:r>
        <w:rPr>
          <w:rFonts w:hint="eastAsia"/>
        </w:rPr>
        <w:t>水泥、矿物掺合料、粗骨料、细骨料、外加剂、拌和用水和其他组成材料均应纳入质量溯源范围。</w:t>
      </w:r>
    </w:p>
    <w:p w14:paraId="3D56E08A">
      <w:pPr>
        <w:pStyle w:val="165"/>
        <w:spacing w:line="360" w:lineRule="auto"/>
      </w:pPr>
      <w:r>
        <w:rPr>
          <w:rFonts w:hint="eastAsia"/>
        </w:rPr>
        <w:t>原材料质量溯源应覆盖下列内容：</w:t>
      </w:r>
    </w:p>
    <w:p w14:paraId="0B5386B3">
      <w:pPr>
        <w:pStyle w:val="56"/>
        <w:spacing w:line="360" w:lineRule="auto"/>
        <w:ind w:firstLine="420"/>
      </w:pPr>
      <w:r>
        <w:rPr>
          <w:rFonts w:hint="eastAsia"/>
        </w:rPr>
        <w:t>a）供应单位信息；</w:t>
      </w:r>
    </w:p>
    <w:p w14:paraId="1E633F39">
      <w:pPr>
        <w:pStyle w:val="56"/>
        <w:spacing w:line="360" w:lineRule="auto"/>
        <w:ind w:firstLine="420"/>
      </w:pPr>
      <w:r>
        <w:rPr>
          <w:rFonts w:hint="eastAsia"/>
        </w:rPr>
        <w:t>b）材料名称和规格型号；</w:t>
      </w:r>
    </w:p>
    <w:p w14:paraId="607D238B">
      <w:pPr>
        <w:pStyle w:val="56"/>
        <w:spacing w:line="360" w:lineRule="auto"/>
        <w:ind w:firstLine="420"/>
      </w:pPr>
      <w:r>
        <w:rPr>
          <w:rFonts w:hint="eastAsia"/>
        </w:rPr>
        <w:t>c）生产批号或者出厂编号；</w:t>
      </w:r>
    </w:p>
    <w:p w14:paraId="3BC965AC">
      <w:pPr>
        <w:pStyle w:val="56"/>
        <w:spacing w:line="360" w:lineRule="auto"/>
        <w:ind w:firstLine="420"/>
      </w:pPr>
      <w:r>
        <w:rPr>
          <w:rFonts w:hint="eastAsia"/>
        </w:rPr>
        <w:t>d）进场时间和进场数量；</w:t>
      </w:r>
    </w:p>
    <w:p w14:paraId="384E554C">
      <w:pPr>
        <w:pStyle w:val="56"/>
        <w:spacing w:line="360" w:lineRule="auto"/>
        <w:ind w:firstLine="420"/>
      </w:pPr>
      <w:r>
        <w:rPr>
          <w:rFonts w:hint="eastAsia"/>
        </w:rPr>
        <w:t>e）进场检验状态；</w:t>
      </w:r>
    </w:p>
    <w:p w14:paraId="302B07F9">
      <w:pPr>
        <w:pStyle w:val="56"/>
        <w:spacing w:line="360" w:lineRule="auto"/>
        <w:ind w:firstLine="420"/>
      </w:pPr>
      <w:r>
        <w:rPr>
          <w:rFonts w:hint="eastAsia"/>
        </w:rPr>
        <w:t>f）储存位置和库存状态；</w:t>
      </w:r>
    </w:p>
    <w:p w14:paraId="7DDD9A3E">
      <w:pPr>
        <w:pStyle w:val="56"/>
        <w:spacing w:line="360" w:lineRule="auto"/>
        <w:ind w:firstLine="420"/>
      </w:pPr>
      <w:r>
        <w:rPr>
          <w:rFonts w:hint="eastAsia"/>
        </w:rPr>
        <w:t>g）使用批次和使用时间；</w:t>
      </w:r>
    </w:p>
    <w:p w14:paraId="5EB4F978">
      <w:pPr>
        <w:pStyle w:val="56"/>
        <w:spacing w:line="360" w:lineRule="auto"/>
        <w:ind w:firstLine="420"/>
      </w:pPr>
      <w:r>
        <w:rPr>
          <w:rFonts w:hint="eastAsia"/>
        </w:rPr>
        <w:t>h）对应配合比和对应施工批次。</w:t>
      </w:r>
    </w:p>
    <w:p w14:paraId="4BA6EA49">
      <w:pPr>
        <w:pStyle w:val="165"/>
        <w:spacing w:line="360" w:lineRule="auto"/>
      </w:pPr>
      <w:r>
        <w:rPr>
          <w:rFonts w:hint="eastAsia"/>
        </w:rPr>
        <w:t>原材料进场后应按类别、批次和使用状态分别标识，不得混批、混仓和混用。</w:t>
      </w:r>
    </w:p>
    <w:p w14:paraId="2FB34C4E">
      <w:pPr>
        <w:pStyle w:val="165"/>
        <w:spacing w:line="360" w:lineRule="auto"/>
      </w:pPr>
      <w:r>
        <w:rPr>
          <w:rFonts w:hint="eastAsia"/>
        </w:rPr>
        <w:t>对同一名称但不同厂家、不同批号或者不同性能等级的原材料，应分别建立溯源信息，不得合并记录。</w:t>
      </w:r>
    </w:p>
    <w:p w14:paraId="1C17B825">
      <w:pPr>
        <w:pStyle w:val="165"/>
        <w:spacing w:line="360" w:lineRule="auto"/>
      </w:pPr>
      <w:r>
        <w:rPr>
          <w:rFonts w:hint="eastAsia"/>
        </w:rPr>
        <w:t>原材料发生替换、加急调入、临时补料、批次切换或者性能波动明显时，应及时更新溯源信息并重新核验。</w:t>
      </w:r>
    </w:p>
    <w:p w14:paraId="036FD986">
      <w:pPr>
        <w:pStyle w:val="165"/>
        <w:spacing w:line="360" w:lineRule="auto"/>
      </w:pPr>
      <w:r>
        <w:rPr>
          <w:rFonts w:hint="eastAsia"/>
        </w:rPr>
        <w:t>原材料溯源信息不完整、状态不明确或者检验结果未确认的，不得投入生产。</w:t>
      </w:r>
    </w:p>
    <w:p w14:paraId="01B48D91">
      <w:pPr>
        <w:pStyle w:val="105"/>
        <w:spacing w:before="120" w:after="120" w:line="360" w:lineRule="auto"/>
      </w:pPr>
      <w:r>
        <w:rPr>
          <w:rFonts w:hint="eastAsia"/>
        </w:rPr>
        <w:t>原材料进场验收要求</w:t>
      </w:r>
    </w:p>
    <w:p w14:paraId="6A9BBFA1">
      <w:pPr>
        <w:pStyle w:val="165"/>
        <w:spacing w:line="360" w:lineRule="auto"/>
      </w:pPr>
      <w:r>
        <w:rPr>
          <w:rFonts w:hint="eastAsia"/>
        </w:rPr>
        <w:t>原材料进场后应进行验收，验收合格后方可入库或者入仓。</w:t>
      </w:r>
    </w:p>
    <w:p w14:paraId="2B8474E7">
      <w:pPr>
        <w:pStyle w:val="165"/>
        <w:spacing w:line="360" w:lineRule="auto"/>
      </w:pPr>
      <w:r>
        <w:rPr>
          <w:rFonts w:hint="eastAsia"/>
        </w:rPr>
        <w:t>原材料进场验收应至少包括下列内容：</w:t>
      </w:r>
    </w:p>
    <w:p w14:paraId="29CD74C2">
      <w:pPr>
        <w:pStyle w:val="56"/>
        <w:spacing w:line="360" w:lineRule="auto"/>
        <w:ind w:firstLine="420"/>
      </w:pPr>
      <w:r>
        <w:rPr>
          <w:rFonts w:hint="eastAsia"/>
        </w:rPr>
        <w:t>a）供货单位；</w:t>
      </w:r>
    </w:p>
    <w:p w14:paraId="4A04F916">
      <w:pPr>
        <w:pStyle w:val="56"/>
        <w:spacing w:line="360" w:lineRule="auto"/>
        <w:ind w:firstLine="420"/>
      </w:pPr>
      <w:r>
        <w:rPr>
          <w:rFonts w:hint="eastAsia"/>
        </w:rPr>
        <w:t>b）出厂证明文件；</w:t>
      </w:r>
    </w:p>
    <w:p w14:paraId="3BD4AD30">
      <w:pPr>
        <w:pStyle w:val="56"/>
        <w:spacing w:line="360" w:lineRule="auto"/>
        <w:ind w:firstLine="420"/>
      </w:pPr>
      <w:r>
        <w:rPr>
          <w:rFonts w:hint="eastAsia"/>
        </w:rPr>
        <w:t>c）质量证明文件；</w:t>
      </w:r>
    </w:p>
    <w:p w14:paraId="6904EF5D">
      <w:pPr>
        <w:pStyle w:val="56"/>
        <w:spacing w:line="360" w:lineRule="auto"/>
        <w:ind w:firstLine="420"/>
      </w:pPr>
      <w:r>
        <w:rPr>
          <w:rFonts w:hint="eastAsia"/>
        </w:rPr>
        <w:t>d）材料名称、规格和数量；</w:t>
      </w:r>
    </w:p>
    <w:p w14:paraId="7D5FB652">
      <w:pPr>
        <w:pStyle w:val="56"/>
        <w:spacing w:line="360" w:lineRule="auto"/>
        <w:ind w:firstLine="420"/>
      </w:pPr>
      <w:r>
        <w:rPr>
          <w:rFonts w:hint="eastAsia"/>
        </w:rPr>
        <w:t>e）包装状态或者散装状态；</w:t>
      </w:r>
    </w:p>
    <w:p w14:paraId="5BE26B70">
      <w:pPr>
        <w:pStyle w:val="56"/>
        <w:spacing w:line="360" w:lineRule="auto"/>
        <w:ind w:firstLine="420"/>
      </w:pPr>
      <w:r>
        <w:rPr>
          <w:rFonts w:hint="eastAsia"/>
        </w:rPr>
        <w:t>f）外观检查结果；</w:t>
      </w:r>
    </w:p>
    <w:p w14:paraId="18408713">
      <w:pPr>
        <w:pStyle w:val="56"/>
        <w:spacing w:line="360" w:lineRule="auto"/>
        <w:ind w:firstLine="420"/>
      </w:pPr>
      <w:r>
        <w:rPr>
          <w:rFonts w:hint="eastAsia"/>
        </w:rPr>
        <w:t>g）抽样检验要求；</w:t>
      </w:r>
    </w:p>
    <w:p w14:paraId="051A5128">
      <w:pPr>
        <w:pStyle w:val="56"/>
        <w:spacing w:line="360" w:lineRule="auto"/>
        <w:ind w:firstLine="420"/>
      </w:pPr>
      <w:r>
        <w:rPr>
          <w:rFonts w:hint="eastAsia"/>
        </w:rPr>
        <w:t>h）暂存或者入仓位置。</w:t>
      </w:r>
    </w:p>
    <w:p w14:paraId="1536275A">
      <w:pPr>
        <w:pStyle w:val="165"/>
        <w:spacing w:line="360" w:lineRule="auto"/>
      </w:pPr>
      <w:r>
        <w:rPr>
          <w:rFonts w:hint="eastAsia"/>
        </w:rPr>
        <w:t>水泥、掺合料和外加剂进场时，应重点核查品种、强度等级、掺量适用性、生产日期和批号信息。</w:t>
      </w:r>
    </w:p>
    <w:p w14:paraId="119EFD51">
      <w:pPr>
        <w:pStyle w:val="165"/>
        <w:spacing w:line="360" w:lineRule="auto"/>
      </w:pPr>
      <w:r>
        <w:rPr>
          <w:rFonts w:hint="eastAsia"/>
        </w:rPr>
        <w:t>砂、石材料进场时，应重点核查粒径级配、含泥量、含水状态、杂质情况和颗粒均匀性。</w:t>
      </w:r>
    </w:p>
    <w:p w14:paraId="1BC21C2A">
      <w:pPr>
        <w:pStyle w:val="165"/>
        <w:spacing w:line="360" w:lineRule="auto"/>
      </w:pPr>
      <w:r>
        <w:rPr>
          <w:rFonts w:hint="eastAsia"/>
        </w:rPr>
        <w:t>拌和用水和其他功能性材料进场时，应核查其是否满足水下混凝土配制要求。</w:t>
      </w:r>
    </w:p>
    <w:p w14:paraId="407B441C">
      <w:pPr>
        <w:pStyle w:val="165"/>
        <w:spacing w:line="360" w:lineRule="auto"/>
      </w:pPr>
      <w:r>
        <w:rPr>
          <w:rFonts w:hint="eastAsia"/>
        </w:rPr>
        <w:t>对外加剂和抗分散材料，应核查其与既定水泥、掺合料和施工工艺的适配性，不得未经适配验证直接使用。</w:t>
      </w:r>
    </w:p>
    <w:p w14:paraId="52B5F63F">
      <w:pPr>
        <w:pStyle w:val="165"/>
        <w:spacing w:line="360" w:lineRule="auto"/>
      </w:pPr>
      <w:r>
        <w:rPr>
          <w:rFonts w:hint="eastAsia"/>
        </w:rPr>
        <w:t>原材料进场验收记录应与进场批次、检测批次和库存台账一一对应。</w:t>
      </w:r>
    </w:p>
    <w:p w14:paraId="14CD8152">
      <w:pPr>
        <w:pStyle w:val="105"/>
        <w:spacing w:before="120" w:after="120" w:line="360" w:lineRule="auto"/>
      </w:pPr>
      <w:r>
        <w:rPr>
          <w:rFonts w:hint="eastAsia"/>
        </w:rPr>
        <w:t>原材料检验与状态管理要求</w:t>
      </w:r>
    </w:p>
    <w:p w14:paraId="75F9CCBE">
      <w:pPr>
        <w:pStyle w:val="165"/>
        <w:spacing w:line="360" w:lineRule="auto"/>
      </w:pPr>
      <w:r>
        <w:rPr>
          <w:rFonts w:hint="eastAsia"/>
        </w:rPr>
        <w:t>原材料应按有关标准和施工方案要求进行检验。</w:t>
      </w:r>
    </w:p>
    <w:p w14:paraId="5FD71AE4">
      <w:pPr>
        <w:pStyle w:val="165"/>
        <w:spacing w:line="360" w:lineRule="auto"/>
      </w:pPr>
      <w:r>
        <w:rPr>
          <w:rFonts w:hint="eastAsia"/>
        </w:rPr>
        <w:t>原材料检验应包括常规检验项目和必要的专项检验项目。</w:t>
      </w:r>
    </w:p>
    <w:p w14:paraId="6B27616F">
      <w:pPr>
        <w:pStyle w:val="165"/>
        <w:spacing w:line="360" w:lineRule="auto"/>
      </w:pPr>
      <w:r>
        <w:rPr>
          <w:rFonts w:hint="eastAsia"/>
        </w:rPr>
        <w:t>对用于水下混凝土的原材料，除应满足常规混凝土要求外，还应重点关注下列性能：</w:t>
      </w:r>
    </w:p>
    <w:p w14:paraId="7B2EE342">
      <w:pPr>
        <w:pStyle w:val="56"/>
        <w:spacing w:line="360" w:lineRule="auto"/>
        <w:ind w:firstLine="420"/>
      </w:pPr>
      <w:r>
        <w:rPr>
          <w:rFonts w:hint="eastAsia"/>
        </w:rPr>
        <w:t>a）水泥与外加剂适应性；</w:t>
      </w:r>
    </w:p>
    <w:p w14:paraId="50D14AEB">
      <w:pPr>
        <w:pStyle w:val="56"/>
        <w:spacing w:line="360" w:lineRule="auto"/>
        <w:ind w:firstLine="420"/>
      </w:pPr>
      <w:r>
        <w:rPr>
          <w:rFonts w:hint="eastAsia"/>
        </w:rPr>
        <w:t>b）骨料级配稳定性；</w:t>
      </w:r>
    </w:p>
    <w:p w14:paraId="0834019A">
      <w:pPr>
        <w:pStyle w:val="56"/>
        <w:spacing w:line="360" w:lineRule="auto"/>
        <w:ind w:firstLine="420"/>
      </w:pPr>
      <w:r>
        <w:rPr>
          <w:rFonts w:hint="eastAsia"/>
        </w:rPr>
        <w:t>c）骨料含泥量和含粉量；</w:t>
      </w:r>
    </w:p>
    <w:p w14:paraId="4E2E1775">
      <w:pPr>
        <w:pStyle w:val="56"/>
        <w:spacing w:line="360" w:lineRule="auto"/>
        <w:ind w:firstLine="420"/>
      </w:pPr>
      <w:r>
        <w:rPr>
          <w:rFonts w:hint="eastAsia"/>
        </w:rPr>
        <w:t>d）外加剂减水效果与保塑性能；</w:t>
      </w:r>
    </w:p>
    <w:p w14:paraId="5946CB47">
      <w:pPr>
        <w:pStyle w:val="56"/>
        <w:spacing w:line="360" w:lineRule="auto"/>
        <w:ind w:firstLine="420"/>
      </w:pPr>
      <w:r>
        <w:rPr>
          <w:rFonts w:hint="eastAsia"/>
        </w:rPr>
        <w:t>e）抗分散材料稳定性；</w:t>
      </w:r>
    </w:p>
    <w:p w14:paraId="6ED7EB72">
      <w:pPr>
        <w:pStyle w:val="56"/>
        <w:spacing w:line="360" w:lineRule="auto"/>
        <w:ind w:firstLine="420"/>
      </w:pPr>
      <w:r>
        <w:rPr>
          <w:rFonts w:hint="eastAsia"/>
        </w:rPr>
        <w:t>f）材料对坍落扩展度和流动保持性能的影响。</w:t>
      </w:r>
    </w:p>
    <w:p w14:paraId="2E036814">
      <w:pPr>
        <w:pStyle w:val="165"/>
        <w:spacing w:line="360" w:lineRule="auto"/>
      </w:pPr>
      <w:r>
        <w:rPr>
          <w:rFonts w:hint="eastAsia"/>
        </w:rPr>
        <w:t>原材料检验状态宜分为“待检”“合格”“限制使用”“不合格”四类，并应进行明确标识。</w:t>
      </w:r>
    </w:p>
    <w:p w14:paraId="064F5C8E">
      <w:pPr>
        <w:pStyle w:val="165"/>
        <w:spacing w:line="360" w:lineRule="auto"/>
      </w:pPr>
      <w:r>
        <w:rPr>
          <w:rFonts w:hint="eastAsia"/>
        </w:rPr>
        <w:t>不合格原材料不得投料使用；限制使用材料应明确限制条件和使用范围，并经技术确认后方可使用。</w:t>
      </w:r>
    </w:p>
    <w:p w14:paraId="2F3575E2">
      <w:pPr>
        <w:pStyle w:val="165"/>
        <w:spacing w:line="360" w:lineRule="auto"/>
      </w:pPr>
      <w:r>
        <w:rPr>
          <w:rFonts w:hint="eastAsia"/>
        </w:rPr>
        <w:t>原材料检验状态发生变化时，应同步更新台账、仓储标识和生产控制信息。</w:t>
      </w:r>
    </w:p>
    <w:p w14:paraId="3E42C080">
      <w:pPr>
        <w:pStyle w:val="105"/>
        <w:spacing w:before="120" w:after="120" w:line="360" w:lineRule="auto"/>
      </w:pPr>
      <w:r>
        <w:rPr>
          <w:rFonts w:hint="eastAsia"/>
        </w:rPr>
        <w:t>原材料储存与仓储溯源要求</w:t>
      </w:r>
    </w:p>
    <w:p w14:paraId="1DA5EADA">
      <w:pPr>
        <w:pStyle w:val="165"/>
        <w:spacing w:line="360" w:lineRule="auto"/>
      </w:pPr>
      <w:r>
        <w:rPr>
          <w:rFonts w:hint="eastAsia"/>
        </w:rPr>
        <w:t>原材料储存应满足防潮、防混杂、防污染、防流失和便于批次管理要求。</w:t>
      </w:r>
    </w:p>
    <w:p w14:paraId="168D3F41">
      <w:pPr>
        <w:pStyle w:val="165"/>
        <w:spacing w:line="360" w:lineRule="auto"/>
      </w:pPr>
      <w:r>
        <w:rPr>
          <w:rFonts w:hint="eastAsia"/>
        </w:rPr>
        <w:t>散装水泥、掺合料和液体外加剂应按仓位或者罐位独立管理，并应标明材料名称、供应单位、批号和当前状态。</w:t>
      </w:r>
    </w:p>
    <w:p w14:paraId="488E63AE">
      <w:pPr>
        <w:pStyle w:val="165"/>
        <w:spacing w:line="360" w:lineRule="auto"/>
      </w:pPr>
      <w:r>
        <w:rPr>
          <w:rFonts w:hint="eastAsia"/>
        </w:rPr>
        <w:t>砂、石材料应分区堆放，并应控制混料、离析、污染和雨淋影响。</w:t>
      </w:r>
    </w:p>
    <w:p w14:paraId="3118D15B">
      <w:pPr>
        <w:pStyle w:val="165"/>
        <w:spacing w:line="360" w:lineRule="auto"/>
      </w:pPr>
      <w:r>
        <w:rPr>
          <w:rFonts w:hint="eastAsia"/>
        </w:rPr>
        <w:t>骨料堆场应结合不同粒径和不同来源分仓或者分区设置，不得混堆造成级配失控。</w:t>
      </w:r>
    </w:p>
    <w:p w14:paraId="2E6460B9">
      <w:pPr>
        <w:pStyle w:val="165"/>
        <w:spacing w:line="360" w:lineRule="auto"/>
      </w:pPr>
      <w:r>
        <w:rPr>
          <w:rFonts w:hint="eastAsia"/>
        </w:rPr>
        <w:t>外加剂储罐、输送管路和计量设备应保持清洁、标识清晰和对应关系准确，不得错接、混接或者误投。</w:t>
      </w:r>
    </w:p>
    <w:p w14:paraId="22903019">
      <w:pPr>
        <w:pStyle w:val="165"/>
        <w:spacing w:line="360" w:lineRule="auto"/>
      </w:pPr>
      <w:r>
        <w:rPr>
          <w:rFonts w:hint="eastAsia"/>
        </w:rPr>
        <w:t>仓储管理应能够追溯每一仓、每一罐、每一堆料的进场时间、当前库存、使用顺序和对应生产批次。</w:t>
      </w:r>
    </w:p>
    <w:p w14:paraId="4C0B8750">
      <w:pPr>
        <w:pStyle w:val="165"/>
        <w:spacing w:line="360" w:lineRule="auto"/>
      </w:pPr>
      <w:r>
        <w:rPr>
          <w:rFonts w:hint="eastAsia"/>
        </w:rPr>
        <w:t>原材料仓储状态异常、受潮、结块、污染、离析或者性能明显变化时，不得继续按原状态使用。</w:t>
      </w:r>
    </w:p>
    <w:p w14:paraId="14D93F46">
      <w:pPr>
        <w:pStyle w:val="105"/>
        <w:spacing w:before="120" w:after="120" w:line="360" w:lineRule="auto"/>
      </w:pPr>
      <w:r>
        <w:rPr>
          <w:rFonts w:hint="eastAsia"/>
        </w:rPr>
        <w:t>配合比设计与编号管理要求</w:t>
      </w:r>
    </w:p>
    <w:p w14:paraId="266441DF">
      <w:pPr>
        <w:pStyle w:val="165"/>
        <w:spacing w:line="360" w:lineRule="auto"/>
      </w:pPr>
      <w:r>
        <w:rPr>
          <w:rFonts w:hint="eastAsia"/>
        </w:rPr>
        <w:t>水下混凝土应采用经试配、复核和批准的配合比。</w:t>
      </w:r>
    </w:p>
    <w:p w14:paraId="7B6FF76C">
      <w:pPr>
        <w:pStyle w:val="165"/>
        <w:spacing w:line="360" w:lineRule="auto"/>
      </w:pPr>
      <w:r>
        <w:rPr>
          <w:rFonts w:hint="eastAsia"/>
        </w:rPr>
        <w:t>配合比设计应满足下列要求：</w:t>
      </w:r>
    </w:p>
    <w:p w14:paraId="7AAB2473">
      <w:pPr>
        <w:pStyle w:val="56"/>
        <w:spacing w:line="360" w:lineRule="auto"/>
        <w:ind w:firstLine="420"/>
      </w:pPr>
      <w:r>
        <w:rPr>
          <w:rFonts w:hint="eastAsia"/>
        </w:rPr>
        <w:t>a）满足设计强度和耐久性要求；</w:t>
      </w:r>
    </w:p>
    <w:p w14:paraId="12A25168">
      <w:pPr>
        <w:pStyle w:val="56"/>
        <w:spacing w:line="360" w:lineRule="auto"/>
        <w:ind w:firstLine="420"/>
      </w:pPr>
      <w:r>
        <w:rPr>
          <w:rFonts w:hint="eastAsia"/>
        </w:rPr>
        <w:t>b）满足水下浇筑流动性要求；</w:t>
      </w:r>
    </w:p>
    <w:p w14:paraId="7819BF8C">
      <w:pPr>
        <w:pStyle w:val="56"/>
        <w:spacing w:line="360" w:lineRule="auto"/>
        <w:ind w:firstLine="420"/>
      </w:pPr>
      <w:r>
        <w:rPr>
          <w:rFonts w:hint="eastAsia"/>
        </w:rPr>
        <w:t>c）满足抗离析和抗冲刷要求；</w:t>
      </w:r>
    </w:p>
    <w:p w14:paraId="0ED6439E">
      <w:pPr>
        <w:pStyle w:val="56"/>
        <w:spacing w:line="360" w:lineRule="auto"/>
        <w:ind w:firstLine="420"/>
      </w:pPr>
      <w:r>
        <w:rPr>
          <w:rFonts w:hint="eastAsia"/>
        </w:rPr>
        <w:t>d）满足导管法或者泵送法施工连续性要求；</w:t>
      </w:r>
    </w:p>
    <w:p w14:paraId="4CECAB49">
      <w:pPr>
        <w:pStyle w:val="56"/>
        <w:spacing w:line="360" w:lineRule="auto"/>
        <w:ind w:firstLine="420"/>
      </w:pPr>
      <w:r>
        <w:rPr>
          <w:rFonts w:hint="eastAsia"/>
        </w:rPr>
        <w:t>e）满足初凝时间和可施工时间要求；</w:t>
      </w:r>
    </w:p>
    <w:p w14:paraId="27AD9429">
      <w:pPr>
        <w:pStyle w:val="56"/>
        <w:spacing w:line="360" w:lineRule="auto"/>
        <w:ind w:firstLine="420"/>
      </w:pPr>
      <w:r>
        <w:rPr>
          <w:rFonts w:hint="eastAsia"/>
        </w:rPr>
        <w:t>f）满足施工环境条件适应性要求。</w:t>
      </w:r>
    </w:p>
    <w:p w14:paraId="7842C6A7">
      <w:pPr>
        <w:pStyle w:val="165"/>
        <w:spacing w:line="360" w:lineRule="auto"/>
      </w:pPr>
      <w:r>
        <w:rPr>
          <w:rFonts w:hint="eastAsia"/>
        </w:rPr>
        <w:t>配合比应实行编号管理。不同强度等级、不同施工工艺、不同浇筑部位或者不同材料组合的配合比不得共用同一编号。</w:t>
      </w:r>
    </w:p>
    <w:p w14:paraId="0E27D014">
      <w:pPr>
        <w:pStyle w:val="165"/>
        <w:spacing w:line="360" w:lineRule="auto"/>
      </w:pPr>
      <w:r>
        <w:rPr>
          <w:rFonts w:hint="eastAsia"/>
        </w:rPr>
        <w:t>配合比编号应与原材料批次、试配报告、审批记录、生产批次和施工部位保持一致关系。</w:t>
      </w:r>
    </w:p>
    <w:p w14:paraId="74CAF3D3">
      <w:pPr>
        <w:pStyle w:val="165"/>
        <w:spacing w:line="360" w:lineRule="auto"/>
      </w:pPr>
      <w:r>
        <w:rPr>
          <w:rFonts w:hint="eastAsia"/>
        </w:rPr>
        <w:t>试配记录、复核记录和批准文件应作为配合比溯源资料长期保存。</w:t>
      </w:r>
    </w:p>
    <w:p w14:paraId="6D0A5196">
      <w:pPr>
        <w:pStyle w:val="105"/>
        <w:spacing w:before="120" w:after="120" w:line="360" w:lineRule="auto"/>
      </w:pPr>
      <w:r>
        <w:rPr>
          <w:rFonts w:hint="eastAsia"/>
        </w:rPr>
        <w:t>配合比试配与确认要求</w:t>
      </w:r>
    </w:p>
    <w:p w14:paraId="6172B2FF">
      <w:pPr>
        <w:pStyle w:val="165"/>
        <w:spacing w:line="360" w:lineRule="auto"/>
      </w:pPr>
      <w:r>
        <w:rPr>
          <w:rFonts w:hint="eastAsia"/>
        </w:rPr>
        <w:t>水下混凝土正式生产前应进行试配。</w:t>
      </w:r>
    </w:p>
    <w:p w14:paraId="144F14C6">
      <w:pPr>
        <w:pStyle w:val="165"/>
        <w:spacing w:line="360" w:lineRule="auto"/>
      </w:pPr>
      <w:r>
        <w:rPr>
          <w:rFonts w:hint="eastAsia"/>
        </w:rPr>
        <w:t>试配内容应至少包括下列方面：</w:t>
      </w:r>
    </w:p>
    <w:p w14:paraId="6FC7857A">
      <w:pPr>
        <w:pStyle w:val="56"/>
        <w:spacing w:line="360" w:lineRule="auto"/>
        <w:ind w:firstLine="420"/>
      </w:pPr>
      <w:r>
        <w:rPr>
          <w:rFonts w:hint="eastAsia"/>
        </w:rPr>
        <w:t>a）工作性；</w:t>
      </w:r>
    </w:p>
    <w:p w14:paraId="54587D20">
      <w:pPr>
        <w:pStyle w:val="56"/>
        <w:spacing w:line="360" w:lineRule="auto"/>
        <w:ind w:firstLine="420"/>
      </w:pPr>
      <w:r>
        <w:rPr>
          <w:rFonts w:hint="eastAsia"/>
        </w:rPr>
        <w:t>b）坍落扩展度或者流动度；</w:t>
      </w:r>
    </w:p>
    <w:p w14:paraId="61C50C5D">
      <w:pPr>
        <w:pStyle w:val="56"/>
        <w:spacing w:line="360" w:lineRule="auto"/>
        <w:ind w:firstLine="420"/>
      </w:pPr>
      <w:r>
        <w:rPr>
          <w:rFonts w:hint="eastAsia"/>
        </w:rPr>
        <w:t>c）保塑性能；</w:t>
      </w:r>
    </w:p>
    <w:p w14:paraId="5F784086">
      <w:pPr>
        <w:pStyle w:val="56"/>
        <w:spacing w:line="360" w:lineRule="auto"/>
        <w:ind w:firstLine="420"/>
      </w:pPr>
      <w:r>
        <w:rPr>
          <w:rFonts w:hint="eastAsia"/>
        </w:rPr>
        <w:t>d）泌水和离析状态；</w:t>
      </w:r>
    </w:p>
    <w:p w14:paraId="23502E5F">
      <w:pPr>
        <w:pStyle w:val="56"/>
        <w:spacing w:line="360" w:lineRule="auto"/>
        <w:ind w:firstLine="420"/>
      </w:pPr>
      <w:r>
        <w:rPr>
          <w:rFonts w:hint="eastAsia"/>
        </w:rPr>
        <w:t>e）抗分散性能；</w:t>
      </w:r>
    </w:p>
    <w:p w14:paraId="560FB63F">
      <w:pPr>
        <w:pStyle w:val="56"/>
        <w:spacing w:line="360" w:lineRule="auto"/>
        <w:ind w:firstLine="420"/>
      </w:pPr>
      <w:r>
        <w:rPr>
          <w:rFonts w:hint="eastAsia"/>
        </w:rPr>
        <w:t>f）初凝时间和终凝时间；</w:t>
      </w:r>
    </w:p>
    <w:p w14:paraId="33CF7085">
      <w:pPr>
        <w:pStyle w:val="56"/>
        <w:spacing w:line="360" w:lineRule="auto"/>
        <w:ind w:firstLine="420"/>
      </w:pPr>
      <w:r>
        <w:rPr>
          <w:rFonts w:hint="eastAsia"/>
        </w:rPr>
        <w:t>g）抗压强度；</w:t>
      </w:r>
    </w:p>
    <w:p w14:paraId="0424F691">
      <w:pPr>
        <w:pStyle w:val="56"/>
        <w:spacing w:line="360" w:lineRule="auto"/>
        <w:ind w:firstLine="420"/>
      </w:pPr>
      <w:r>
        <w:rPr>
          <w:rFonts w:hint="eastAsia"/>
        </w:rPr>
        <w:t>h）必要的耐久性指标。</w:t>
      </w:r>
    </w:p>
    <w:p w14:paraId="2A0CC900">
      <w:pPr>
        <w:pStyle w:val="165"/>
        <w:spacing w:line="360" w:lineRule="auto"/>
      </w:pPr>
      <w:r>
        <w:rPr>
          <w:rFonts w:hint="eastAsia"/>
        </w:rPr>
        <w:t>对导管法施工混凝土，试配时应重点验证首盘混凝土封底适应性、导管内流动连续性和水下扩展稳定性。</w:t>
      </w:r>
    </w:p>
    <w:p w14:paraId="42AD8D94">
      <w:pPr>
        <w:pStyle w:val="165"/>
        <w:spacing w:line="360" w:lineRule="auto"/>
      </w:pPr>
      <w:r>
        <w:rPr>
          <w:rFonts w:hint="eastAsia"/>
        </w:rPr>
        <w:t>对泵送施工混凝土，试配时应重点验证可泵性、输送稳定性和出料连续性。</w:t>
      </w:r>
    </w:p>
    <w:p w14:paraId="5932E13F">
      <w:pPr>
        <w:pStyle w:val="165"/>
        <w:spacing w:line="360" w:lineRule="auto"/>
      </w:pPr>
      <w:r>
        <w:rPr>
          <w:rFonts w:hint="eastAsia"/>
        </w:rPr>
        <w:t>对水下不分散混凝土，应重点验证抗水体冲刷能力和水下成型均匀性。</w:t>
      </w:r>
    </w:p>
    <w:p w14:paraId="39B79775">
      <w:pPr>
        <w:pStyle w:val="165"/>
        <w:spacing w:line="360" w:lineRule="auto"/>
      </w:pPr>
      <w:r>
        <w:rPr>
          <w:rFonts w:hint="eastAsia"/>
        </w:rPr>
        <w:t>配合比试配结果不满足施工要求或者质量要求的，不得进入正式审批和正式生产。</w:t>
      </w:r>
    </w:p>
    <w:p w14:paraId="7C6449BB">
      <w:pPr>
        <w:pStyle w:val="105"/>
        <w:spacing w:before="120" w:after="120" w:line="360" w:lineRule="auto"/>
      </w:pPr>
      <w:r>
        <w:rPr>
          <w:rFonts w:hint="eastAsia"/>
        </w:rPr>
        <w:t>配合比审批与变更要求</w:t>
      </w:r>
    </w:p>
    <w:p w14:paraId="3CDB5FBD">
      <w:pPr>
        <w:pStyle w:val="165"/>
        <w:spacing w:line="360" w:lineRule="auto"/>
      </w:pPr>
      <w:r>
        <w:rPr>
          <w:rFonts w:hint="eastAsia"/>
        </w:rPr>
        <w:t>经试配合格的配合比应按程序审批确认后方可使用。</w:t>
      </w:r>
    </w:p>
    <w:p w14:paraId="33EF33D2">
      <w:pPr>
        <w:pStyle w:val="165"/>
        <w:spacing w:line="360" w:lineRule="auto"/>
      </w:pPr>
      <w:r>
        <w:rPr>
          <w:rFonts w:hint="eastAsia"/>
        </w:rPr>
        <w:t>配合比审批文件应至少包括下列内容：</w:t>
      </w:r>
    </w:p>
    <w:p w14:paraId="16D33CD9">
      <w:pPr>
        <w:pStyle w:val="56"/>
        <w:spacing w:line="360" w:lineRule="auto"/>
        <w:ind w:firstLine="420"/>
      </w:pPr>
      <w:r>
        <w:rPr>
          <w:rFonts w:hint="eastAsia"/>
        </w:rPr>
        <w:t>a）配合比编号；</w:t>
      </w:r>
    </w:p>
    <w:p w14:paraId="40D212FE">
      <w:pPr>
        <w:pStyle w:val="56"/>
        <w:spacing w:line="360" w:lineRule="auto"/>
        <w:ind w:firstLine="420"/>
      </w:pPr>
      <w:r>
        <w:rPr>
          <w:rFonts w:hint="eastAsia"/>
        </w:rPr>
        <w:t>b）适用工程部位；</w:t>
      </w:r>
    </w:p>
    <w:p w14:paraId="562F8306">
      <w:pPr>
        <w:pStyle w:val="56"/>
        <w:spacing w:line="360" w:lineRule="auto"/>
        <w:ind w:firstLine="420"/>
      </w:pPr>
      <w:r>
        <w:rPr>
          <w:rFonts w:hint="eastAsia"/>
        </w:rPr>
        <w:t>c）适用施工工艺；</w:t>
      </w:r>
    </w:p>
    <w:p w14:paraId="77C25478">
      <w:pPr>
        <w:pStyle w:val="56"/>
        <w:spacing w:line="360" w:lineRule="auto"/>
        <w:ind w:firstLine="420"/>
      </w:pPr>
      <w:r>
        <w:rPr>
          <w:rFonts w:hint="eastAsia"/>
        </w:rPr>
        <w:t>d）原材料组成和用量；</w:t>
      </w:r>
    </w:p>
    <w:p w14:paraId="752F70E2">
      <w:pPr>
        <w:pStyle w:val="56"/>
        <w:spacing w:line="360" w:lineRule="auto"/>
        <w:ind w:firstLine="420"/>
      </w:pPr>
      <w:r>
        <w:rPr>
          <w:rFonts w:hint="eastAsia"/>
        </w:rPr>
        <w:t>e）目标工作性指标；</w:t>
      </w:r>
    </w:p>
    <w:p w14:paraId="380A8085">
      <w:pPr>
        <w:pStyle w:val="56"/>
        <w:spacing w:line="360" w:lineRule="auto"/>
        <w:ind w:firstLine="420"/>
      </w:pPr>
      <w:r>
        <w:rPr>
          <w:rFonts w:hint="eastAsia"/>
        </w:rPr>
        <w:t>f）主要试验结果；</w:t>
      </w:r>
    </w:p>
    <w:p w14:paraId="05F12FE2">
      <w:pPr>
        <w:pStyle w:val="56"/>
        <w:spacing w:line="360" w:lineRule="auto"/>
        <w:ind w:firstLine="420"/>
      </w:pPr>
      <w:r>
        <w:rPr>
          <w:rFonts w:hint="eastAsia"/>
        </w:rPr>
        <w:t>g）批准时间；</w:t>
      </w:r>
    </w:p>
    <w:p w14:paraId="78131815">
      <w:pPr>
        <w:pStyle w:val="56"/>
        <w:spacing w:line="360" w:lineRule="auto"/>
        <w:ind w:firstLine="420"/>
      </w:pPr>
      <w:r>
        <w:rPr>
          <w:rFonts w:hint="eastAsia"/>
        </w:rPr>
        <w:t>h）批准人。</w:t>
      </w:r>
    </w:p>
    <w:p w14:paraId="1DC7FFEC">
      <w:pPr>
        <w:pStyle w:val="165"/>
        <w:spacing w:line="360" w:lineRule="auto"/>
      </w:pPr>
      <w:r>
        <w:rPr>
          <w:rFonts w:hint="eastAsia"/>
        </w:rPr>
        <w:t>配合比使用过程中出现下列情形之一时，应重新评估并必要时重新试配或者重新审批：</w:t>
      </w:r>
    </w:p>
    <w:p w14:paraId="207C745A">
      <w:pPr>
        <w:pStyle w:val="56"/>
        <w:spacing w:line="360" w:lineRule="auto"/>
        <w:ind w:firstLine="420"/>
      </w:pPr>
      <w:r>
        <w:rPr>
          <w:rFonts w:hint="eastAsia"/>
        </w:rPr>
        <w:t>a）原材料厂家变更；</w:t>
      </w:r>
    </w:p>
    <w:p w14:paraId="6188621B">
      <w:pPr>
        <w:pStyle w:val="56"/>
        <w:spacing w:line="360" w:lineRule="auto"/>
        <w:ind w:firstLine="420"/>
      </w:pPr>
      <w:r>
        <w:rPr>
          <w:rFonts w:hint="eastAsia"/>
        </w:rPr>
        <w:t>b）原材料批次性能明显变化；</w:t>
      </w:r>
    </w:p>
    <w:p w14:paraId="4828959A">
      <w:pPr>
        <w:pStyle w:val="56"/>
        <w:spacing w:line="360" w:lineRule="auto"/>
        <w:ind w:firstLine="420"/>
      </w:pPr>
      <w:r>
        <w:rPr>
          <w:rFonts w:hint="eastAsia"/>
        </w:rPr>
        <w:t>c）施工环境条件明显变化；</w:t>
      </w:r>
    </w:p>
    <w:p w14:paraId="58000F15">
      <w:pPr>
        <w:pStyle w:val="56"/>
        <w:spacing w:line="360" w:lineRule="auto"/>
        <w:ind w:firstLine="420"/>
      </w:pPr>
      <w:r>
        <w:rPr>
          <w:rFonts w:hint="eastAsia"/>
        </w:rPr>
        <w:t>d）浇筑工艺发生变化；</w:t>
      </w:r>
    </w:p>
    <w:p w14:paraId="154F862D">
      <w:pPr>
        <w:pStyle w:val="56"/>
        <w:spacing w:line="360" w:lineRule="auto"/>
        <w:ind w:firstLine="420"/>
      </w:pPr>
      <w:r>
        <w:rPr>
          <w:rFonts w:hint="eastAsia"/>
        </w:rPr>
        <w:t>e）工作性控制困难；</w:t>
      </w:r>
    </w:p>
    <w:p w14:paraId="686F6C62">
      <w:pPr>
        <w:pStyle w:val="56"/>
        <w:spacing w:line="360" w:lineRule="auto"/>
        <w:ind w:firstLine="420"/>
      </w:pPr>
      <w:r>
        <w:rPr>
          <w:rFonts w:hint="eastAsia"/>
        </w:rPr>
        <w:t>f）试件强度或者实体检测结果异常。</w:t>
      </w:r>
    </w:p>
    <w:p w14:paraId="62082213">
      <w:pPr>
        <w:pStyle w:val="165"/>
        <w:spacing w:line="360" w:lineRule="auto"/>
      </w:pPr>
      <w:r>
        <w:rPr>
          <w:rFonts w:hint="eastAsia"/>
        </w:rPr>
        <w:t>配合比变更应形成完整记录，并应建立新旧配合比对应关系。</w:t>
      </w:r>
    </w:p>
    <w:p w14:paraId="1BB74758">
      <w:pPr>
        <w:pStyle w:val="165"/>
        <w:spacing w:line="360" w:lineRule="auto"/>
      </w:pPr>
      <w:r>
        <w:rPr>
          <w:rFonts w:hint="eastAsia"/>
        </w:rPr>
        <w:t>未经批准擅自变更配合比、擅自加水或者擅自改变外加剂掺量的，不得视为受控生产行为。</w:t>
      </w:r>
    </w:p>
    <w:p w14:paraId="59913A2B">
      <w:pPr>
        <w:pStyle w:val="105"/>
        <w:spacing w:before="120" w:after="120" w:line="360" w:lineRule="auto"/>
      </w:pPr>
      <w:r>
        <w:rPr>
          <w:rFonts w:hint="eastAsia"/>
        </w:rPr>
        <w:t>生产计量要求</w:t>
      </w:r>
    </w:p>
    <w:p w14:paraId="1F044A93">
      <w:pPr>
        <w:pStyle w:val="165"/>
        <w:spacing w:line="360" w:lineRule="auto"/>
      </w:pPr>
      <w:r>
        <w:rPr>
          <w:rFonts w:hint="eastAsia"/>
        </w:rPr>
        <w:t>水下混凝土生产应实行计量控制。</w:t>
      </w:r>
    </w:p>
    <w:p w14:paraId="5E47BD48">
      <w:pPr>
        <w:pStyle w:val="165"/>
        <w:spacing w:line="360" w:lineRule="auto"/>
      </w:pPr>
      <w:r>
        <w:rPr>
          <w:rFonts w:hint="eastAsia"/>
        </w:rPr>
        <w:t>水泥、掺合料、骨料、水和外加剂应按配合比规定进行称量或者计量，不得采用估算、目测或者经验投料方式生产。</w:t>
      </w:r>
    </w:p>
    <w:p w14:paraId="76F422FF">
      <w:pPr>
        <w:pStyle w:val="165"/>
        <w:spacing w:line="360" w:lineRule="auto"/>
      </w:pPr>
      <w:r>
        <w:rPr>
          <w:rFonts w:hint="eastAsia"/>
        </w:rPr>
        <w:t>计量设备应满足精度要求并处于有效状态；超过检定或者校准有效期的，不得用于正式生产。</w:t>
      </w:r>
    </w:p>
    <w:p w14:paraId="1507E2AD">
      <w:pPr>
        <w:pStyle w:val="165"/>
        <w:spacing w:line="360" w:lineRule="auto"/>
      </w:pPr>
      <w:r>
        <w:rPr>
          <w:rFonts w:hint="eastAsia"/>
        </w:rPr>
        <w:t>每盘或者每车混凝土材料计量数据应形成记录，并应与配合比编号和生产批次对应。</w:t>
      </w:r>
    </w:p>
    <w:p w14:paraId="28E89CEF">
      <w:pPr>
        <w:pStyle w:val="165"/>
        <w:spacing w:line="360" w:lineRule="auto"/>
      </w:pPr>
      <w:r>
        <w:rPr>
          <w:rFonts w:hint="eastAsia"/>
        </w:rPr>
        <w:t>生产过程中发生称量异常、计量失准、料仓串料或者计量系统故障时，应立即停止生产并处置。</w:t>
      </w:r>
    </w:p>
    <w:p w14:paraId="72B92B1C">
      <w:pPr>
        <w:pStyle w:val="105"/>
        <w:spacing w:before="120" w:after="120" w:line="360" w:lineRule="auto"/>
      </w:pPr>
      <w:r>
        <w:rPr>
          <w:rFonts w:hint="eastAsia"/>
        </w:rPr>
        <w:t>拌和生产要求</w:t>
      </w:r>
    </w:p>
    <w:p w14:paraId="57618A3B">
      <w:pPr>
        <w:pStyle w:val="165"/>
        <w:spacing w:line="360" w:lineRule="auto"/>
      </w:pPr>
      <w:r>
        <w:rPr>
          <w:rFonts w:hint="eastAsia"/>
        </w:rPr>
        <w:t>水下混凝土生产应按照批准配合比和既定拌和工艺实施。</w:t>
      </w:r>
    </w:p>
    <w:p w14:paraId="3E235CB3">
      <w:pPr>
        <w:pStyle w:val="165"/>
        <w:spacing w:line="360" w:lineRule="auto"/>
      </w:pPr>
      <w:r>
        <w:rPr>
          <w:rFonts w:hint="eastAsia"/>
        </w:rPr>
        <w:t>拌和生产应控制投料顺序、拌和时间、搅拌均匀性和出机状态，不得缩短拌和时间、减少搅拌工序或者带病运行设备。</w:t>
      </w:r>
    </w:p>
    <w:p w14:paraId="61BE11A0">
      <w:pPr>
        <w:pStyle w:val="165"/>
        <w:spacing w:line="360" w:lineRule="auto"/>
      </w:pPr>
      <w:r>
        <w:rPr>
          <w:rFonts w:hint="eastAsia"/>
        </w:rPr>
        <w:t>对含抗分散材料、水下专用外加剂或者多掺合料体系的混凝土，应按试配确认的投料顺序和搅拌时间组织生产。</w:t>
      </w:r>
    </w:p>
    <w:p w14:paraId="307E8074">
      <w:pPr>
        <w:pStyle w:val="165"/>
        <w:spacing w:line="360" w:lineRule="auto"/>
      </w:pPr>
      <w:r>
        <w:rPr>
          <w:rFonts w:hint="eastAsia"/>
        </w:rPr>
        <w:t>拌和设备应保持运行稳定；出现停机、卡料、搅拌不均、卸料不畅或者自动控制异常时，应立即处理。</w:t>
      </w:r>
    </w:p>
    <w:p w14:paraId="6760F945">
      <w:pPr>
        <w:pStyle w:val="165"/>
        <w:spacing w:line="360" w:lineRule="auto"/>
      </w:pPr>
      <w:r>
        <w:rPr>
          <w:rFonts w:hint="eastAsia"/>
        </w:rPr>
        <w:t>不同配合比切换生产时，应采取防混料措施，并应形成切换记录。</w:t>
      </w:r>
    </w:p>
    <w:p w14:paraId="7215A226">
      <w:pPr>
        <w:pStyle w:val="165"/>
        <w:spacing w:line="360" w:lineRule="auto"/>
      </w:pPr>
      <w:r>
        <w:rPr>
          <w:rFonts w:hint="eastAsia"/>
        </w:rPr>
        <w:t>首盘混凝土、配合比切换后首批混凝土和停机恢复后首批混凝土，应加强出机状态检查。</w:t>
      </w:r>
    </w:p>
    <w:p w14:paraId="21BA3063">
      <w:pPr>
        <w:pStyle w:val="105"/>
        <w:spacing w:before="120" w:after="120" w:line="360" w:lineRule="auto"/>
      </w:pPr>
      <w:r>
        <w:rPr>
          <w:rFonts w:hint="eastAsia"/>
        </w:rPr>
        <w:t>出机性能检查要求</w:t>
      </w:r>
    </w:p>
    <w:p w14:paraId="4FA06158">
      <w:pPr>
        <w:pStyle w:val="165"/>
        <w:spacing w:line="360" w:lineRule="auto"/>
      </w:pPr>
      <w:r>
        <w:rPr>
          <w:rFonts w:hint="eastAsia"/>
        </w:rPr>
        <w:t>水下混凝土出机后应进行工作性检查。</w:t>
      </w:r>
    </w:p>
    <w:p w14:paraId="1F4924CD">
      <w:pPr>
        <w:pStyle w:val="165"/>
        <w:spacing w:line="360" w:lineRule="auto"/>
      </w:pPr>
      <w:r>
        <w:rPr>
          <w:rFonts w:hint="eastAsia"/>
        </w:rPr>
        <w:t>检查项目宜包括下列一种或者多种：</w:t>
      </w:r>
    </w:p>
    <w:p w14:paraId="55F45EBB">
      <w:pPr>
        <w:pStyle w:val="56"/>
        <w:spacing w:line="360" w:lineRule="auto"/>
        <w:ind w:firstLine="420"/>
      </w:pPr>
      <w:r>
        <w:rPr>
          <w:rFonts w:hint="eastAsia"/>
        </w:rPr>
        <w:t>a）坍落度；</w:t>
      </w:r>
    </w:p>
    <w:p w14:paraId="1AE31C1B">
      <w:pPr>
        <w:pStyle w:val="56"/>
        <w:spacing w:line="360" w:lineRule="auto"/>
        <w:ind w:firstLine="420"/>
      </w:pPr>
      <w:r>
        <w:rPr>
          <w:rFonts w:hint="eastAsia"/>
        </w:rPr>
        <w:t>b）坍落扩展度；</w:t>
      </w:r>
    </w:p>
    <w:p w14:paraId="15B9E811">
      <w:pPr>
        <w:pStyle w:val="56"/>
        <w:spacing w:line="360" w:lineRule="auto"/>
        <w:ind w:firstLine="420"/>
      </w:pPr>
      <w:r>
        <w:rPr>
          <w:rFonts w:hint="eastAsia"/>
        </w:rPr>
        <w:t>c）和易性；</w:t>
      </w:r>
    </w:p>
    <w:p w14:paraId="180886C1">
      <w:pPr>
        <w:pStyle w:val="56"/>
        <w:spacing w:line="360" w:lineRule="auto"/>
        <w:ind w:firstLine="420"/>
      </w:pPr>
      <w:r>
        <w:rPr>
          <w:rFonts w:hint="eastAsia"/>
        </w:rPr>
        <w:t>d）粘聚性；</w:t>
      </w:r>
    </w:p>
    <w:p w14:paraId="1A2664E5">
      <w:pPr>
        <w:pStyle w:val="56"/>
        <w:spacing w:line="360" w:lineRule="auto"/>
        <w:ind w:firstLine="420"/>
      </w:pPr>
      <w:r>
        <w:rPr>
          <w:rFonts w:hint="eastAsia"/>
        </w:rPr>
        <w:t>e）泌水情况；</w:t>
      </w:r>
    </w:p>
    <w:p w14:paraId="4DF9634E">
      <w:pPr>
        <w:pStyle w:val="56"/>
        <w:spacing w:line="360" w:lineRule="auto"/>
        <w:ind w:firstLine="420"/>
      </w:pPr>
      <w:r>
        <w:rPr>
          <w:rFonts w:hint="eastAsia"/>
        </w:rPr>
        <w:t>f）离析情况；</w:t>
      </w:r>
    </w:p>
    <w:p w14:paraId="7363976D">
      <w:pPr>
        <w:pStyle w:val="56"/>
        <w:spacing w:line="360" w:lineRule="auto"/>
        <w:ind w:firstLine="420"/>
      </w:pPr>
      <w:r>
        <w:rPr>
          <w:rFonts w:hint="eastAsia"/>
        </w:rPr>
        <w:t>g）温度；</w:t>
      </w:r>
    </w:p>
    <w:p w14:paraId="59DA07EE">
      <w:pPr>
        <w:pStyle w:val="56"/>
        <w:spacing w:line="360" w:lineRule="auto"/>
        <w:ind w:firstLine="420"/>
      </w:pPr>
      <w:r>
        <w:rPr>
          <w:rFonts w:hint="eastAsia"/>
        </w:rPr>
        <w:t>h）必要的初凝时间控制状态。</w:t>
      </w:r>
    </w:p>
    <w:p w14:paraId="6AE75770">
      <w:pPr>
        <w:pStyle w:val="165"/>
        <w:spacing w:line="360" w:lineRule="auto"/>
      </w:pPr>
      <w:r>
        <w:rPr>
          <w:rFonts w:hint="eastAsia"/>
        </w:rPr>
        <w:t>对水下不分散混凝土和抗离析要求高的混凝土，应重点检查其均匀性和抗冲刷适应性。</w:t>
      </w:r>
    </w:p>
    <w:p w14:paraId="007E6265">
      <w:pPr>
        <w:pStyle w:val="165"/>
        <w:spacing w:line="360" w:lineRule="auto"/>
      </w:pPr>
      <w:r>
        <w:rPr>
          <w:rFonts w:hint="eastAsia"/>
        </w:rPr>
        <w:t>出机性能不满足要求的混凝土，不得出站投入水下浇筑。</w:t>
      </w:r>
    </w:p>
    <w:p w14:paraId="65DC4F8B">
      <w:pPr>
        <w:pStyle w:val="165"/>
        <w:spacing w:line="360" w:lineRule="auto"/>
      </w:pPr>
      <w:r>
        <w:rPr>
          <w:rFonts w:hint="eastAsia"/>
        </w:rPr>
        <w:t>出机性能检查结果应与生产批次、运输车次和施工部位建立对应关系。</w:t>
      </w:r>
    </w:p>
    <w:p w14:paraId="0875566F">
      <w:pPr>
        <w:pStyle w:val="105"/>
        <w:spacing w:before="120" w:after="120" w:line="360" w:lineRule="auto"/>
      </w:pPr>
      <w:r>
        <w:rPr>
          <w:rFonts w:hint="eastAsia"/>
        </w:rPr>
        <w:t>生产批次与出站管理要求</w:t>
      </w:r>
    </w:p>
    <w:p w14:paraId="404ED748">
      <w:pPr>
        <w:pStyle w:val="165"/>
        <w:spacing w:line="360" w:lineRule="auto"/>
      </w:pPr>
      <w:r>
        <w:rPr>
          <w:rFonts w:hint="eastAsia"/>
        </w:rPr>
        <w:t>水下混凝土生产应按批次管理。</w:t>
      </w:r>
    </w:p>
    <w:p w14:paraId="0DC2EF29">
      <w:pPr>
        <w:pStyle w:val="165"/>
        <w:spacing w:line="360" w:lineRule="auto"/>
      </w:pPr>
      <w:r>
        <w:rPr>
          <w:rFonts w:hint="eastAsia"/>
        </w:rPr>
        <w:t>生产批次划分应考虑配合比类型、生产时间、施工部位、施工连续性和材料状态。</w:t>
      </w:r>
    </w:p>
    <w:p w14:paraId="48169B14">
      <w:pPr>
        <w:pStyle w:val="165"/>
        <w:spacing w:line="360" w:lineRule="auto"/>
      </w:pPr>
      <w:r>
        <w:rPr>
          <w:rFonts w:hint="eastAsia"/>
        </w:rPr>
        <w:t>每一生产批次应形成出站信息，出站信息宜至少包括：</w:t>
      </w:r>
    </w:p>
    <w:p w14:paraId="67DEB472">
      <w:pPr>
        <w:pStyle w:val="56"/>
        <w:spacing w:line="360" w:lineRule="auto"/>
        <w:ind w:firstLine="420"/>
      </w:pPr>
      <w:r>
        <w:rPr>
          <w:rFonts w:hint="eastAsia"/>
        </w:rPr>
        <w:t>a）生产批次编号；</w:t>
      </w:r>
    </w:p>
    <w:p w14:paraId="65BD6143">
      <w:pPr>
        <w:pStyle w:val="56"/>
        <w:spacing w:line="360" w:lineRule="auto"/>
        <w:ind w:firstLine="420"/>
      </w:pPr>
      <w:r>
        <w:rPr>
          <w:rFonts w:hint="eastAsia"/>
        </w:rPr>
        <w:t>b）配合比编号；</w:t>
      </w:r>
    </w:p>
    <w:p w14:paraId="2D493E1A">
      <w:pPr>
        <w:pStyle w:val="56"/>
        <w:spacing w:line="360" w:lineRule="auto"/>
        <w:ind w:firstLine="420"/>
      </w:pPr>
      <w:r>
        <w:rPr>
          <w:rFonts w:hint="eastAsia"/>
        </w:rPr>
        <w:t>c）出机时间；</w:t>
      </w:r>
    </w:p>
    <w:p w14:paraId="6DE04176">
      <w:pPr>
        <w:pStyle w:val="56"/>
        <w:spacing w:line="360" w:lineRule="auto"/>
        <w:ind w:firstLine="420"/>
      </w:pPr>
      <w:r>
        <w:rPr>
          <w:rFonts w:hint="eastAsia"/>
        </w:rPr>
        <w:t>d）方量；</w:t>
      </w:r>
    </w:p>
    <w:p w14:paraId="4F3C39C9">
      <w:pPr>
        <w:pStyle w:val="56"/>
        <w:spacing w:line="360" w:lineRule="auto"/>
        <w:ind w:firstLine="420"/>
      </w:pPr>
      <w:r>
        <w:rPr>
          <w:rFonts w:hint="eastAsia"/>
        </w:rPr>
        <w:t>e）运输车号；</w:t>
      </w:r>
    </w:p>
    <w:p w14:paraId="5481BFD7">
      <w:pPr>
        <w:pStyle w:val="56"/>
        <w:spacing w:line="360" w:lineRule="auto"/>
        <w:ind w:firstLine="420"/>
      </w:pPr>
      <w:r>
        <w:rPr>
          <w:rFonts w:hint="eastAsia"/>
        </w:rPr>
        <w:t>f）出机性能检测结果；</w:t>
      </w:r>
    </w:p>
    <w:p w14:paraId="10A9838F">
      <w:pPr>
        <w:pStyle w:val="56"/>
        <w:spacing w:line="360" w:lineRule="auto"/>
        <w:ind w:firstLine="420"/>
      </w:pPr>
      <w:r>
        <w:rPr>
          <w:rFonts w:hint="eastAsia"/>
        </w:rPr>
        <w:t>g）对应施工部位；</w:t>
      </w:r>
    </w:p>
    <w:p w14:paraId="38ECA8D8">
      <w:pPr>
        <w:pStyle w:val="56"/>
        <w:spacing w:line="360" w:lineRule="auto"/>
        <w:ind w:firstLine="420"/>
      </w:pPr>
      <w:r>
        <w:rPr>
          <w:rFonts w:hint="eastAsia"/>
        </w:rPr>
        <w:t>h）操作人员。</w:t>
      </w:r>
    </w:p>
    <w:p w14:paraId="716BF6DA">
      <w:pPr>
        <w:pStyle w:val="165"/>
        <w:spacing w:line="360" w:lineRule="auto"/>
      </w:pPr>
      <w:r>
        <w:rPr>
          <w:rFonts w:hint="eastAsia"/>
        </w:rPr>
        <w:t>出站信息不完整、批次标识不清或者车次对应关系不明的，不得交付现场浇筑使用。</w:t>
      </w:r>
    </w:p>
    <w:p w14:paraId="0E941E83">
      <w:pPr>
        <w:pStyle w:val="165"/>
        <w:spacing w:line="360" w:lineRule="auto"/>
      </w:pPr>
      <w:r>
        <w:rPr>
          <w:rFonts w:hint="eastAsia"/>
        </w:rPr>
        <w:t>生产批次中出现异常盘、废弃盘、返工盘或者中断盘时，应单独标识和记录，不得与正常批次混同管理。</w:t>
      </w:r>
    </w:p>
    <w:p w14:paraId="716AA682">
      <w:pPr>
        <w:pStyle w:val="105"/>
        <w:spacing w:before="120" w:after="120" w:line="360" w:lineRule="auto"/>
      </w:pPr>
      <w:r>
        <w:rPr>
          <w:rFonts w:hint="eastAsia"/>
        </w:rPr>
        <w:t>原材料、配合比与拌和溯源信息要求</w:t>
      </w:r>
    </w:p>
    <w:p w14:paraId="69E10504">
      <w:pPr>
        <w:pStyle w:val="165"/>
        <w:spacing w:line="360" w:lineRule="auto"/>
      </w:pPr>
      <w:r>
        <w:rPr>
          <w:rFonts w:hint="eastAsia"/>
        </w:rPr>
        <w:t>原材料、配合比与生产拌和主要溯源信息宜按表1执行。</w:t>
      </w:r>
    </w:p>
    <w:p w14:paraId="6E47C1F0">
      <w:pPr>
        <w:pStyle w:val="165"/>
        <w:spacing w:line="360" w:lineRule="auto"/>
      </w:pPr>
      <w:r>
        <w:rPr>
          <w:rFonts w:hint="eastAsia"/>
        </w:rPr>
        <w:t>表1给出了水下混凝土原材料、配合比与生产拌和溯源信息要求。</w:t>
      </w:r>
    </w:p>
    <w:p w14:paraId="0DCCA581">
      <w:pPr>
        <w:pStyle w:val="112"/>
        <w:spacing w:before="120" w:after="120" w:line="360" w:lineRule="auto"/>
      </w:pPr>
      <w:r>
        <w:rPr>
          <w:rFonts w:hint="eastAsia"/>
        </w:rPr>
        <w:t>原材料、配合比与生产拌和溯源信息表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1418"/>
        <w:gridCol w:w="4819"/>
        <w:gridCol w:w="2540"/>
      </w:tblGrid>
      <w:tr w14:paraId="448CB2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7" w:type="dxa"/>
            <w:tcBorders>
              <w:top w:val="single" w:color="auto" w:sz="8" w:space="0"/>
              <w:bottom w:val="single" w:color="auto" w:sz="8" w:space="0"/>
            </w:tcBorders>
          </w:tcPr>
          <w:p w14:paraId="612662C2">
            <w:pPr>
              <w:pStyle w:val="178"/>
            </w:pPr>
            <w:r>
              <w:rPr>
                <w:rFonts w:hint="eastAsia"/>
              </w:rPr>
              <w:t>序号</w:t>
            </w:r>
          </w:p>
        </w:tc>
        <w:tc>
          <w:tcPr>
            <w:tcW w:w="1418" w:type="dxa"/>
            <w:tcBorders>
              <w:top w:val="single" w:color="auto" w:sz="8" w:space="0"/>
              <w:bottom w:val="single" w:color="auto" w:sz="8" w:space="0"/>
            </w:tcBorders>
          </w:tcPr>
          <w:p w14:paraId="18A7A99C">
            <w:pPr>
              <w:pStyle w:val="178"/>
            </w:pPr>
            <w:r>
              <w:rPr>
                <w:rFonts w:hint="eastAsia"/>
              </w:rPr>
              <w:t>溯源环节</w:t>
            </w:r>
          </w:p>
        </w:tc>
        <w:tc>
          <w:tcPr>
            <w:tcW w:w="4819" w:type="dxa"/>
            <w:tcBorders>
              <w:top w:val="single" w:color="auto" w:sz="8" w:space="0"/>
              <w:bottom w:val="single" w:color="auto" w:sz="8" w:space="0"/>
            </w:tcBorders>
          </w:tcPr>
          <w:p w14:paraId="7322862F">
            <w:pPr>
              <w:pStyle w:val="178"/>
            </w:pPr>
            <w:r>
              <w:rPr>
                <w:rFonts w:hint="eastAsia"/>
              </w:rPr>
              <w:t>主要溯源信息</w:t>
            </w:r>
          </w:p>
        </w:tc>
        <w:tc>
          <w:tcPr>
            <w:tcW w:w="2540" w:type="dxa"/>
            <w:tcBorders>
              <w:top w:val="single" w:color="auto" w:sz="8" w:space="0"/>
              <w:bottom w:val="single" w:color="auto" w:sz="8" w:space="0"/>
            </w:tcBorders>
          </w:tcPr>
          <w:p w14:paraId="0E82A1FA">
            <w:pPr>
              <w:pStyle w:val="178"/>
            </w:pPr>
            <w:r>
              <w:rPr>
                <w:rFonts w:hint="eastAsia"/>
              </w:rPr>
              <w:t>管理要求</w:t>
            </w:r>
          </w:p>
        </w:tc>
      </w:tr>
      <w:tr w14:paraId="1CCE60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Borders>
              <w:top w:val="single" w:color="auto" w:sz="8" w:space="0"/>
            </w:tcBorders>
          </w:tcPr>
          <w:p w14:paraId="64AFCC9F">
            <w:pPr>
              <w:pStyle w:val="178"/>
            </w:pPr>
            <w:r>
              <w:rPr>
                <w:rFonts w:hint="eastAsia"/>
              </w:rPr>
              <w:t>1</w:t>
            </w:r>
          </w:p>
        </w:tc>
        <w:tc>
          <w:tcPr>
            <w:tcW w:w="1418" w:type="dxa"/>
            <w:tcBorders>
              <w:top w:val="single" w:color="auto" w:sz="8" w:space="0"/>
            </w:tcBorders>
          </w:tcPr>
          <w:p w14:paraId="4749E2ED">
            <w:pPr>
              <w:pStyle w:val="178"/>
            </w:pPr>
            <w:r>
              <w:rPr>
                <w:rFonts w:hint="eastAsia"/>
              </w:rPr>
              <w:t>原材料进场</w:t>
            </w:r>
          </w:p>
        </w:tc>
        <w:tc>
          <w:tcPr>
            <w:tcW w:w="4819" w:type="dxa"/>
            <w:tcBorders>
              <w:top w:val="single" w:color="auto" w:sz="8" w:space="0"/>
            </w:tcBorders>
          </w:tcPr>
          <w:p w14:paraId="78937EE7">
            <w:pPr>
              <w:pStyle w:val="178"/>
            </w:pPr>
            <w:r>
              <w:rPr>
                <w:rFonts w:hint="eastAsia"/>
              </w:rPr>
              <w:t>材料名称、厂家、批号、数量、进场时间、检验状态</w:t>
            </w:r>
          </w:p>
        </w:tc>
        <w:tc>
          <w:tcPr>
            <w:tcW w:w="2540" w:type="dxa"/>
            <w:tcBorders>
              <w:top w:val="single" w:color="auto" w:sz="8" w:space="0"/>
            </w:tcBorders>
          </w:tcPr>
          <w:p w14:paraId="4D7857D5">
            <w:pPr>
              <w:pStyle w:val="178"/>
            </w:pPr>
            <w:r>
              <w:rPr>
                <w:rFonts w:hint="eastAsia"/>
              </w:rPr>
              <w:t>应做到批次清晰、状态明确</w:t>
            </w:r>
          </w:p>
        </w:tc>
      </w:tr>
      <w:tr w14:paraId="352428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344E1604">
            <w:pPr>
              <w:pStyle w:val="178"/>
            </w:pPr>
            <w:r>
              <w:rPr>
                <w:rFonts w:hint="eastAsia"/>
              </w:rPr>
              <w:t>2</w:t>
            </w:r>
          </w:p>
        </w:tc>
        <w:tc>
          <w:tcPr>
            <w:tcW w:w="1418" w:type="dxa"/>
          </w:tcPr>
          <w:p w14:paraId="32AF70D8">
            <w:pPr>
              <w:pStyle w:val="178"/>
            </w:pPr>
            <w:r>
              <w:rPr>
                <w:rFonts w:hint="eastAsia"/>
              </w:rPr>
              <w:t>原材料储存</w:t>
            </w:r>
          </w:p>
        </w:tc>
        <w:tc>
          <w:tcPr>
            <w:tcW w:w="4819" w:type="dxa"/>
          </w:tcPr>
          <w:p w14:paraId="0F88DCB2">
            <w:pPr>
              <w:pStyle w:val="178"/>
            </w:pPr>
            <w:r>
              <w:rPr>
                <w:rFonts w:hint="eastAsia"/>
              </w:rPr>
              <w:t>仓位、罐位、堆场位置、库存状态、使用顺序</w:t>
            </w:r>
          </w:p>
        </w:tc>
        <w:tc>
          <w:tcPr>
            <w:tcW w:w="2540" w:type="dxa"/>
          </w:tcPr>
          <w:p w14:paraId="1087646B">
            <w:pPr>
              <w:pStyle w:val="178"/>
            </w:pPr>
            <w:r>
              <w:rPr>
                <w:rFonts w:hint="eastAsia"/>
              </w:rPr>
              <w:t>应做到分仓分区、可查可核</w:t>
            </w:r>
          </w:p>
        </w:tc>
      </w:tr>
      <w:tr w14:paraId="3BE0C9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473FEDB7">
            <w:pPr>
              <w:pStyle w:val="178"/>
            </w:pPr>
            <w:r>
              <w:rPr>
                <w:rFonts w:hint="eastAsia"/>
              </w:rPr>
              <w:t>3</w:t>
            </w:r>
          </w:p>
        </w:tc>
        <w:tc>
          <w:tcPr>
            <w:tcW w:w="1418" w:type="dxa"/>
          </w:tcPr>
          <w:p w14:paraId="7A8F59FF">
            <w:pPr>
              <w:pStyle w:val="178"/>
            </w:pPr>
            <w:r>
              <w:rPr>
                <w:rFonts w:hint="eastAsia"/>
              </w:rPr>
              <w:t>配合比</w:t>
            </w:r>
          </w:p>
        </w:tc>
        <w:tc>
          <w:tcPr>
            <w:tcW w:w="4819" w:type="dxa"/>
          </w:tcPr>
          <w:p w14:paraId="687C87A4">
            <w:pPr>
              <w:pStyle w:val="178"/>
            </w:pPr>
            <w:r>
              <w:rPr>
                <w:rFonts w:hint="eastAsia"/>
              </w:rPr>
              <w:t>配合比编号、组成材料、目标性能、批准信息</w:t>
            </w:r>
          </w:p>
        </w:tc>
        <w:tc>
          <w:tcPr>
            <w:tcW w:w="2540" w:type="dxa"/>
          </w:tcPr>
          <w:p w14:paraId="0C6C9019">
            <w:pPr>
              <w:pStyle w:val="178"/>
            </w:pPr>
            <w:r>
              <w:rPr>
                <w:rFonts w:hint="eastAsia"/>
              </w:rPr>
              <w:t>应做到一比一号、变更可追</w:t>
            </w:r>
          </w:p>
        </w:tc>
      </w:tr>
      <w:tr w14:paraId="4575EB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39A5CD56">
            <w:pPr>
              <w:pStyle w:val="178"/>
            </w:pPr>
            <w:r>
              <w:rPr>
                <w:rFonts w:hint="eastAsia"/>
              </w:rPr>
              <w:t>4</w:t>
            </w:r>
          </w:p>
        </w:tc>
        <w:tc>
          <w:tcPr>
            <w:tcW w:w="1418" w:type="dxa"/>
          </w:tcPr>
          <w:p w14:paraId="28C32DC4">
            <w:pPr>
              <w:pStyle w:val="178"/>
            </w:pPr>
            <w:r>
              <w:rPr>
                <w:rFonts w:hint="eastAsia"/>
              </w:rPr>
              <w:t>生产计量</w:t>
            </w:r>
          </w:p>
        </w:tc>
        <w:tc>
          <w:tcPr>
            <w:tcW w:w="4819" w:type="dxa"/>
          </w:tcPr>
          <w:p w14:paraId="62BF83A7">
            <w:pPr>
              <w:pStyle w:val="178"/>
            </w:pPr>
            <w:r>
              <w:rPr>
                <w:rFonts w:hint="eastAsia"/>
              </w:rPr>
              <w:t>每盘用量、计量时间、设备状态</w:t>
            </w:r>
          </w:p>
        </w:tc>
        <w:tc>
          <w:tcPr>
            <w:tcW w:w="2540" w:type="dxa"/>
          </w:tcPr>
          <w:p w14:paraId="682A9A7F">
            <w:pPr>
              <w:pStyle w:val="178"/>
            </w:pPr>
            <w:r>
              <w:rPr>
                <w:rFonts w:hint="eastAsia"/>
              </w:rPr>
              <w:t>应做到计量准确、记录完整</w:t>
            </w:r>
          </w:p>
        </w:tc>
      </w:tr>
      <w:tr w14:paraId="0E76DC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57D886E2">
            <w:pPr>
              <w:pStyle w:val="178"/>
            </w:pPr>
            <w:r>
              <w:rPr>
                <w:rFonts w:hint="eastAsia"/>
              </w:rPr>
              <w:t>5</w:t>
            </w:r>
          </w:p>
        </w:tc>
        <w:tc>
          <w:tcPr>
            <w:tcW w:w="1418" w:type="dxa"/>
          </w:tcPr>
          <w:p w14:paraId="28BB6FD5">
            <w:pPr>
              <w:pStyle w:val="178"/>
            </w:pPr>
            <w:r>
              <w:rPr>
                <w:rFonts w:hint="eastAsia"/>
              </w:rPr>
              <w:t>拌和生产</w:t>
            </w:r>
          </w:p>
        </w:tc>
        <w:tc>
          <w:tcPr>
            <w:tcW w:w="4819" w:type="dxa"/>
          </w:tcPr>
          <w:p w14:paraId="39BE0F27">
            <w:pPr>
              <w:pStyle w:val="178"/>
            </w:pPr>
            <w:r>
              <w:rPr>
                <w:rFonts w:hint="eastAsia"/>
              </w:rPr>
              <w:t>拌和时间、出机时间、操作人员、批次编号</w:t>
            </w:r>
          </w:p>
        </w:tc>
        <w:tc>
          <w:tcPr>
            <w:tcW w:w="2540" w:type="dxa"/>
          </w:tcPr>
          <w:p w14:paraId="4B581DAA">
            <w:pPr>
              <w:pStyle w:val="178"/>
            </w:pPr>
            <w:r>
              <w:rPr>
                <w:rFonts w:hint="eastAsia"/>
              </w:rPr>
              <w:t>应做到批次连续、信息可联</w:t>
            </w:r>
          </w:p>
        </w:tc>
      </w:tr>
      <w:tr w14:paraId="5B51DB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00E58C2A">
            <w:pPr>
              <w:pStyle w:val="178"/>
            </w:pPr>
            <w:r>
              <w:rPr>
                <w:rFonts w:hint="eastAsia"/>
              </w:rPr>
              <w:t>6</w:t>
            </w:r>
          </w:p>
        </w:tc>
        <w:tc>
          <w:tcPr>
            <w:tcW w:w="1418" w:type="dxa"/>
          </w:tcPr>
          <w:p w14:paraId="013ED0C6">
            <w:pPr>
              <w:pStyle w:val="178"/>
            </w:pPr>
            <w:r>
              <w:rPr>
                <w:rFonts w:hint="eastAsia"/>
              </w:rPr>
              <w:t>出机检查</w:t>
            </w:r>
          </w:p>
        </w:tc>
        <w:tc>
          <w:tcPr>
            <w:tcW w:w="4819" w:type="dxa"/>
          </w:tcPr>
          <w:p w14:paraId="61DBE12B">
            <w:pPr>
              <w:pStyle w:val="178"/>
            </w:pPr>
            <w:r>
              <w:rPr>
                <w:rFonts w:hint="eastAsia"/>
              </w:rPr>
              <w:t>坍落扩展度、温度、离析泌水状态</w:t>
            </w:r>
          </w:p>
        </w:tc>
        <w:tc>
          <w:tcPr>
            <w:tcW w:w="2540" w:type="dxa"/>
          </w:tcPr>
          <w:p w14:paraId="4B5A1E86">
            <w:pPr>
              <w:pStyle w:val="178"/>
            </w:pPr>
            <w:r>
              <w:rPr>
                <w:rFonts w:hint="eastAsia"/>
              </w:rPr>
              <w:t>应做到盘盘受控、异常可识别</w:t>
            </w:r>
          </w:p>
        </w:tc>
      </w:tr>
      <w:tr w14:paraId="614882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6E5E17F5">
            <w:pPr>
              <w:pStyle w:val="178"/>
            </w:pPr>
            <w:r>
              <w:rPr>
                <w:rFonts w:hint="eastAsia"/>
              </w:rPr>
              <w:t>7</w:t>
            </w:r>
          </w:p>
        </w:tc>
        <w:tc>
          <w:tcPr>
            <w:tcW w:w="1418" w:type="dxa"/>
          </w:tcPr>
          <w:p w14:paraId="2ACA1222">
            <w:pPr>
              <w:pStyle w:val="178"/>
            </w:pPr>
            <w:r>
              <w:rPr>
                <w:rFonts w:hint="eastAsia"/>
              </w:rPr>
              <w:t>出站交付</w:t>
            </w:r>
          </w:p>
        </w:tc>
        <w:tc>
          <w:tcPr>
            <w:tcW w:w="4819" w:type="dxa"/>
          </w:tcPr>
          <w:p w14:paraId="25266D35">
            <w:pPr>
              <w:pStyle w:val="178"/>
            </w:pPr>
            <w:r>
              <w:rPr>
                <w:rFonts w:hint="eastAsia"/>
              </w:rPr>
              <w:t>运输车号、方量、出站时间、对应部位</w:t>
            </w:r>
          </w:p>
        </w:tc>
        <w:tc>
          <w:tcPr>
            <w:tcW w:w="2540" w:type="dxa"/>
          </w:tcPr>
          <w:p w14:paraId="4E384F56">
            <w:pPr>
              <w:pStyle w:val="178"/>
            </w:pPr>
            <w:r>
              <w:rPr>
                <w:rFonts w:hint="eastAsia"/>
              </w:rPr>
              <w:t>应做到车批对应、去向明确</w:t>
            </w:r>
          </w:p>
        </w:tc>
      </w:tr>
    </w:tbl>
    <w:p w14:paraId="04EDA1AE">
      <w:pPr>
        <w:pStyle w:val="105"/>
        <w:spacing w:before="120" w:after="120" w:line="360" w:lineRule="auto"/>
      </w:pPr>
      <w:r>
        <w:rPr>
          <w:rFonts w:hint="eastAsia"/>
        </w:rPr>
        <w:t>异常情况控制要求</w:t>
      </w:r>
    </w:p>
    <w:p w14:paraId="247F463A">
      <w:pPr>
        <w:pStyle w:val="165"/>
        <w:spacing w:line="360" w:lineRule="auto"/>
      </w:pPr>
      <w:r>
        <w:rPr>
          <w:rFonts w:hint="eastAsia"/>
        </w:rPr>
        <w:t>原材料、配合比和生产拌和过程中出现下列情形之一时，应判定为异常并及时处置：</w:t>
      </w:r>
    </w:p>
    <w:p w14:paraId="0EA4AE11">
      <w:pPr>
        <w:pStyle w:val="56"/>
        <w:spacing w:line="360" w:lineRule="auto"/>
        <w:ind w:firstLine="420"/>
      </w:pPr>
      <w:r>
        <w:rPr>
          <w:rFonts w:hint="eastAsia"/>
        </w:rPr>
        <w:t>a）原材料检验不合格；</w:t>
      </w:r>
    </w:p>
    <w:p w14:paraId="5EB68755">
      <w:pPr>
        <w:pStyle w:val="56"/>
        <w:spacing w:line="360" w:lineRule="auto"/>
        <w:ind w:firstLine="420"/>
      </w:pPr>
      <w:r>
        <w:rPr>
          <w:rFonts w:hint="eastAsia"/>
        </w:rPr>
        <w:t>b）原材料仓储混批；</w:t>
      </w:r>
    </w:p>
    <w:p w14:paraId="1B72BAD2">
      <w:pPr>
        <w:pStyle w:val="56"/>
        <w:spacing w:line="360" w:lineRule="auto"/>
        <w:ind w:firstLine="420"/>
      </w:pPr>
      <w:r>
        <w:rPr>
          <w:rFonts w:hint="eastAsia"/>
        </w:rPr>
        <w:t>c）配合比未经批准擅自使用；</w:t>
      </w:r>
    </w:p>
    <w:p w14:paraId="1B75D632">
      <w:pPr>
        <w:pStyle w:val="56"/>
        <w:spacing w:line="360" w:lineRule="auto"/>
        <w:ind w:firstLine="420"/>
      </w:pPr>
      <w:r>
        <w:rPr>
          <w:rFonts w:hint="eastAsia"/>
        </w:rPr>
        <w:t>d）计量系统失准；</w:t>
      </w:r>
    </w:p>
    <w:p w14:paraId="12A6EFB8">
      <w:pPr>
        <w:pStyle w:val="56"/>
        <w:spacing w:line="360" w:lineRule="auto"/>
        <w:ind w:firstLine="420"/>
      </w:pPr>
      <w:r>
        <w:rPr>
          <w:rFonts w:hint="eastAsia"/>
        </w:rPr>
        <w:t>e）投料顺序错误；</w:t>
      </w:r>
    </w:p>
    <w:p w14:paraId="2947181F">
      <w:pPr>
        <w:pStyle w:val="56"/>
        <w:spacing w:line="360" w:lineRule="auto"/>
        <w:ind w:firstLine="420"/>
      </w:pPr>
      <w:r>
        <w:rPr>
          <w:rFonts w:hint="eastAsia"/>
        </w:rPr>
        <w:t>f）拌和时间不足；</w:t>
      </w:r>
    </w:p>
    <w:p w14:paraId="27753288">
      <w:pPr>
        <w:pStyle w:val="56"/>
        <w:spacing w:line="360" w:lineRule="auto"/>
        <w:ind w:firstLine="420"/>
      </w:pPr>
      <w:r>
        <w:rPr>
          <w:rFonts w:hint="eastAsia"/>
        </w:rPr>
        <w:t>g）出机工作性异常；</w:t>
      </w:r>
    </w:p>
    <w:p w14:paraId="56205A01">
      <w:pPr>
        <w:pStyle w:val="56"/>
        <w:spacing w:line="360" w:lineRule="auto"/>
        <w:ind w:firstLine="420"/>
      </w:pPr>
      <w:r>
        <w:rPr>
          <w:rFonts w:hint="eastAsia"/>
        </w:rPr>
        <w:t>h）生产设备故障；</w:t>
      </w:r>
    </w:p>
    <w:p w14:paraId="3229C6F5">
      <w:pPr>
        <w:pStyle w:val="56"/>
        <w:spacing w:line="360" w:lineRule="auto"/>
        <w:ind w:firstLine="420"/>
      </w:pPr>
      <w:r>
        <w:rPr>
          <w:rFonts w:hint="eastAsia"/>
        </w:rPr>
        <w:t>i）批次记录不完整；</w:t>
      </w:r>
    </w:p>
    <w:p w14:paraId="7ABC4F9A">
      <w:pPr>
        <w:pStyle w:val="56"/>
        <w:spacing w:line="360" w:lineRule="auto"/>
        <w:ind w:firstLine="420"/>
      </w:pPr>
      <w:r>
        <w:rPr>
          <w:rFonts w:hint="eastAsia"/>
        </w:rPr>
        <w:t>j）车次信息缺失。</w:t>
      </w:r>
    </w:p>
    <w:p w14:paraId="25560585">
      <w:pPr>
        <w:pStyle w:val="165"/>
        <w:spacing w:line="360" w:lineRule="auto"/>
      </w:pPr>
      <w:r>
        <w:rPr>
          <w:rFonts w:hint="eastAsia"/>
        </w:rPr>
        <w:t>异常处置应按照“立即隔离—查明原因—采取措施—形成记录—复核确认”的程序执行。</w:t>
      </w:r>
    </w:p>
    <w:p w14:paraId="5D402F3C">
      <w:pPr>
        <w:pStyle w:val="165"/>
        <w:spacing w:line="360" w:lineRule="auto"/>
      </w:pPr>
      <w:r>
        <w:rPr>
          <w:rFonts w:hint="eastAsia"/>
        </w:rPr>
        <w:t>异常未处理完成前，对应原材料批次、配合比或者生产批次不得投入正式施工。</w:t>
      </w:r>
    </w:p>
    <w:p w14:paraId="5A86875A">
      <w:pPr>
        <w:pStyle w:val="105"/>
        <w:spacing w:before="120" w:after="120" w:line="360" w:lineRule="auto"/>
      </w:pPr>
      <w:r>
        <w:rPr>
          <w:rFonts w:hint="eastAsia"/>
        </w:rPr>
        <w:t>资料与记录要求</w:t>
      </w:r>
    </w:p>
    <w:p w14:paraId="7CD295A5">
      <w:pPr>
        <w:pStyle w:val="165"/>
        <w:spacing w:line="360" w:lineRule="auto"/>
      </w:pPr>
      <w:r>
        <w:rPr>
          <w:rFonts w:hint="eastAsia"/>
        </w:rPr>
        <w:t>原材料、配合比与生产拌和全过程应形成完整资料。</w:t>
      </w:r>
    </w:p>
    <w:p w14:paraId="35A9ACF7">
      <w:pPr>
        <w:pStyle w:val="165"/>
        <w:spacing w:line="360" w:lineRule="auto"/>
      </w:pPr>
      <w:r>
        <w:rPr>
          <w:rFonts w:hint="eastAsia"/>
        </w:rPr>
        <w:t>资料内容应至少包括：</w:t>
      </w:r>
    </w:p>
    <w:p w14:paraId="4B11B09B">
      <w:pPr>
        <w:pStyle w:val="56"/>
        <w:spacing w:line="360" w:lineRule="auto"/>
        <w:ind w:firstLine="420"/>
      </w:pPr>
      <w:r>
        <w:rPr>
          <w:rFonts w:hint="eastAsia"/>
        </w:rPr>
        <w:t>a）原材料进场资料；</w:t>
      </w:r>
    </w:p>
    <w:p w14:paraId="00B10593">
      <w:pPr>
        <w:pStyle w:val="56"/>
        <w:spacing w:line="360" w:lineRule="auto"/>
        <w:ind w:firstLine="420"/>
      </w:pPr>
      <w:r>
        <w:rPr>
          <w:rFonts w:hint="eastAsia"/>
        </w:rPr>
        <w:t>b）原材料检验资料；</w:t>
      </w:r>
    </w:p>
    <w:p w14:paraId="222F9505">
      <w:pPr>
        <w:pStyle w:val="56"/>
        <w:spacing w:line="360" w:lineRule="auto"/>
        <w:ind w:firstLine="420"/>
      </w:pPr>
      <w:r>
        <w:rPr>
          <w:rFonts w:hint="eastAsia"/>
        </w:rPr>
        <w:t>c）仓储状态资料；</w:t>
      </w:r>
    </w:p>
    <w:p w14:paraId="1674B8A3">
      <w:pPr>
        <w:pStyle w:val="56"/>
        <w:spacing w:line="360" w:lineRule="auto"/>
        <w:ind w:firstLine="420"/>
      </w:pPr>
      <w:r>
        <w:rPr>
          <w:rFonts w:hint="eastAsia"/>
        </w:rPr>
        <w:t>d）配合比试配资料；</w:t>
      </w:r>
    </w:p>
    <w:p w14:paraId="16DBFFB3">
      <w:pPr>
        <w:pStyle w:val="56"/>
        <w:spacing w:line="360" w:lineRule="auto"/>
        <w:ind w:firstLine="420"/>
      </w:pPr>
      <w:r>
        <w:rPr>
          <w:rFonts w:hint="eastAsia"/>
        </w:rPr>
        <w:t>e）配合比审批和变更资料；</w:t>
      </w:r>
    </w:p>
    <w:p w14:paraId="10ED33E2">
      <w:pPr>
        <w:pStyle w:val="56"/>
        <w:spacing w:line="360" w:lineRule="auto"/>
        <w:ind w:firstLine="420"/>
      </w:pPr>
      <w:r>
        <w:rPr>
          <w:rFonts w:hint="eastAsia"/>
        </w:rPr>
        <w:t>f）计量记录；</w:t>
      </w:r>
    </w:p>
    <w:p w14:paraId="76EC299F">
      <w:pPr>
        <w:pStyle w:val="56"/>
        <w:spacing w:line="360" w:lineRule="auto"/>
        <w:ind w:firstLine="420"/>
      </w:pPr>
      <w:r>
        <w:rPr>
          <w:rFonts w:hint="eastAsia"/>
        </w:rPr>
        <w:t>g）拌和记录；</w:t>
      </w:r>
    </w:p>
    <w:p w14:paraId="5D05AA04">
      <w:pPr>
        <w:pStyle w:val="56"/>
        <w:spacing w:line="360" w:lineRule="auto"/>
        <w:ind w:firstLine="420"/>
      </w:pPr>
      <w:r>
        <w:rPr>
          <w:rFonts w:hint="eastAsia"/>
        </w:rPr>
        <w:t>h）出机性能检查记录；</w:t>
      </w:r>
    </w:p>
    <w:p w14:paraId="3D58373E">
      <w:pPr>
        <w:pStyle w:val="56"/>
        <w:spacing w:line="360" w:lineRule="auto"/>
        <w:ind w:firstLine="420"/>
      </w:pPr>
      <w:r>
        <w:rPr>
          <w:rFonts w:hint="eastAsia"/>
        </w:rPr>
        <w:t>i）出站交接记录；</w:t>
      </w:r>
    </w:p>
    <w:p w14:paraId="1C30F400">
      <w:pPr>
        <w:pStyle w:val="56"/>
        <w:spacing w:line="360" w:lineRule="auto"/>
        <w:ind w:firstLine="420"/>
      </w:pPr>
      <w:r>
        <w:rPr>
          <w:rFonts w:hint="eastAsia"/>
        </w:rPr>
        <w:t>j）异常情况处理记录。</w:t>
      </w:r>
    </w:p>
    <w:p w14:paraId="24FE4831">
      <w:pPr>
        <w:pStyle w:val="165"/>
        <w:spacing w:line="360" w:lineRule="auto"/>
      </w:pPr>
      <w:r>
        <w:rPr>
          <w:rFonts w:hint="eastAsia"/>
        </w:rPr>
        <w:t>上述资料应与溯源编码、生产批次、运输车次和施工部位保持一致。</w:t>
      </w:r>
    </w:p>
    <w:p w14:paraId="784254DA">
      <w:pPr>
        <w:pStyle w:val="165"/>
        <w:spacing w:line="360" w:lineRule="auto"/>
      </w:pPr>
      <w:r>
        <w:rPr>
          <w:rFonts w:hint="eastAsia"/>
        </w:rPr>
        <w:t>资料不完整、逻辑不一致或者无法对应施工部位的，不得作为有效溯源资料。</w:t>
      </w:r>
    </w:p>
    <w:p w14:paraId="0D9733A4">
      <w:pPr>
        <w:pStyle w:val="165"/>
        <w:numPr>
          <w:ilvl w:val="0"/>
          <w:numId w:val="0"/>
        </w:numPr>
        <w:spacing w:line="360" w:lineRule="auto"/>
      </w:pPr>
    </w:p>
    <w:p w14:paraId="50FA9915">
      <w:pPr>
        <w:pStyle w:val="56"/>
        <w:ind w:firstLine="420"/>
      </w:pPr>
    </w:p>
    <w:p w14:paraId="3583204B">
      <w:pPr>
        <w:pStyle w:val="56"/>
        <w:ind w:firstLine="420"/>
      </w:pPr>
    </w:p>
    <w:p w14:paraId="4ADEB365">
      <w:pPr>
        <w:pStyle w:val="104"/>
        <w:spacing w:before="240" w:after="240" w:line="360" w:lineRule="auto"/>
      </w:pPr>
      <w:bookmarkStart w:id="53" w:name="_Toc228532474"/>
      <w:r>
        <w:rPr>
          <w:rFonts w:hint="eastAsia"/>
        </w:rPr>
        <w:t>运输供应、浇筑设备与施工准备质量溯源要求</w:t>
      </w:r>
      <w:bookmarkEnd w:id="53"/>
    </w:p>
    <w:p w14:paraId="7D6B68D6">
      <w:pPr>
        <w:pStyle w:val="105"/>
        <w:spacing w:before="120" w:after="120" w:line="360" w:lineRule="auto"/>
      </w:pPr>
      <w:r>
        <w:rPr>
          <w:rFonts w:hint="eastAsia"/>
        </w:rPr>
        <w:t>一般规定</w:t>
      </w:r>
    </w:p>
    <w:p w14:paraId="04A3B3BC">
      <w:pPr>
        <w:pStyle w:val="165"/>
        <w:spacing w:line="360" w:lineRule="auto"/>
      </w:pPr>
      <w:r>
        <w:rPr>
          <w:rFonts w:hint="eastAsia"/>
        </w:rPr>
        <w:t>水下混凝土运输供应、浇筑设备管理和施工准备应纳入全链条质量溯源管理，并应与原材料、配合比、生产拌和和施工部位建立对应关系。</w:t>
      </w:r>
    </w:p>
    <w:p w14:paraId="191F10D5">
      <w:pPr>
        <w:pStyle w:val="165"/>
        <w:spacing w:line="360" w:lineRule="auto"/>
      </w:pPr>
      <w:r>
        <w:rPr>
          <w:rFonts w:hint="eastAsia"/>
        </w:rPr>
        <w:t>运输供应、浇筑设备和施工准备应满足连续浇筑、设备可靠、参数可控、记录完整和异常可追要求。</w:t>
      </w:r>
    </w:p>
    <w:p w14:paraId="365D4771">
      <w:pPr>
        <w:pStyle w:val="165"/>
        <w:spacing w:line="360" w:lineRule="auto"/>
      </w:pPr>
      <w:r>
        <w:rPr>
          <w:rFonts w:hint="eastAsia"/>
        </w:rPr>
        <w:t>水下混凝土浇筑前，应完成运输路线组织、供料节奏安排、浇筑设备检查、施工平台准备、测量基准复核和应急措施确认；未完成确认的，不得进入正式浇筑。</w:t>
      </w:r>
    </w:p>
    <w:p w14:paraId="64391BF1">
      <w:pPr>
        <w:pStyle w:val="165"/>
        <w:spacing w:line="360" w:lineRule="auto"/>
      </w:pPr>
      <w:r>
        <w:rPr>
          <w:rFonts w:hint="eastAsia"/>
        </w:rPr>
        <w:t>对灌注桩、水下封底、大体积连续浇筑、长距离泵送和复杂水流环境施工，应提高运输供应连续性和浇筑设备状态控制要求。</w:t>
      </w:r>
    </w:p>
    <w:p w14:paraId="410108BB">
      <w:pPr>
        <w:pStyle w:val="105"/>
        <w:spacing w:before="120" w:after="120" w:line="360" w:lineRule="auto"/>
      </w:pPr>
      <w:r>
        <w:rPr>
          <w:rFonts w:hint="eastAsia"/>
        </w:rPr>
        <w:t>运输供应组织要求</w:t>
      </w:r>
    </w:p>
    <w:p w14:paraId="4EBDC9A3">
      <w:pPr>
        <w:pStyle w:val="165"/>
        <w:spacing w:line="360" w:lineRule="auto"/>
      </w:pPr>
      <w:r>
        <w:rPr>
          <w:rFonts w:hint="eastAsia"/>
        </w:rPr>
        <w:t>水下混凝土运输供应应根据施工方量、浇筑速度、运输距离、道路条件、设备能力和环境条件进行组织。</w:t>
      </w:r>
    </w:p>
    <w:p w14:paraId="66AB50D8">
      <w:pPr>
        <w:pStyle w:val="165"/>
        <w:spacing w:line="360" w:lineRule="auto"/>
      </w:pPr>
      <w:r>
        <w:rPr>
          <w:rFonts w:hint="eastAsia"/>
        </w:rPr>
        <w:t>运输供应组织应确保连续浇筑要求，不得因车次安排不足、运输衔接失控或者调度混乱造成施工中断。</w:t>
      </w:r>
    </w:p>
    <w:p w14:paraId="7984380E">
      <w:pPr>
        <w:pStyle w:val="165"/>
        <w:spacing w:line="360" w:lineRule="auto"/>
      </w:pPr>
      <w:r>
        <w:rPr>
          <w:rFonts w:hint="eastAsia"/>
        </w:rPr>
        <w:t>运输组织方案应至少包括下列内容：</w:t>
      </w:r>
    </w:p>
    <w:p w14:paraId="1EA459C2">
      <w:pPr>
        <w:pStyle w:val="56"/>
        <w:spacing w:line="360" w:lineRule="auto"/>
        <w:ind w:firstLine="420"/>
      </w:pPr>
      <w:r>
        <w:rPr>
          <w:rFonts w:hint="eastAsia"/>
        </w:rPr>
        <w:t>a）运输车数量和备用车数量；</w:t>
      </w:r>
    </w:p>
    <w:p w14:paraId="22143092">
      <w:pPr>
        <w:pStyle w:val="56"/>
        <w:spacing w:line="360" w:lineRule="auto"/>
        <w:ind w:firstLine="420"/>
      </w:pPr>
      <w:r>
        <w:rPr>
          <w:rFonts w:hint="eastAsia"/>
        </w:rPr>
        <w:t>b）运输路线和通行控制要求；</w:t>
      </w:r>
    </w:p>
    <w:p w14:paraId="7B981F00">
      <w:pPr>
        <w:pStyle w:val="56"/>
        <w:spacing w:line="360" w:lineRule="auto"/>
        <w:ind w:firstLine="420"/>
      </w:pPr>
      <w:r>
        <w:rPr>
          <w:rFonts w:hint="eastAsia"/>
        </w:rPr>
        <w:t>c）单车运输时间和允许到场时间；</w:t>
      </w:r>
    </w:p>
    <w:p w14:paraId="15EA2FE9">
      <w:pPr>
        <w:pStyle w:val="56"/>
        <w:spacing w:line="360" w:lineRule="auto"/>
        <w:ind w:firstLine="420"/>
      </w:pPr>
      <w:r>
        <w:rPr>
          <w:rFonts w:hint="eastAsia"/>
        </w:rPr>
        <w:t>d）供料节奏和浇筑匹配关系；</w:t>
      </w:r>
    </w:p>
    <w:p w14:paraId="543CC4E7">
      <w:pPr>
        <w:pStyle w:val="56"/>
        <w:spacing w:line="360" w:lineRule="auto"/>
        <w:ind w:firstLine="420"/>
      </w:pPr>
      <w:r>
        <w:rPr>
          <w:rFonts w:hint="eastAsia"/>
        </w:rPr>
        <w:t>e）异常交通情况应对措施；</w:t>
      </w:r>
    </w:p>
    <w:p w14:paraId="3A5AA1CB">
      <w:pPr>
        <w:pStyle w:val="56"/>
        <w:spacing w:line="360" w:lineRule="auto"/>
        <w:ind w:firstLine="420"/>
      </w:pPr>
      <w:r>
        <w:rPr>
          <w:rFonts w:hint="eastAsia"/>
        </w:rPr>
        <w:t>f）夜间施工照明和交通组织措施；</w:t>
      </w:r>
    </w:p>
    <w:p w14:paraId="7A414356">
      <w:pPr>
        <w:pStyle w:val="56"/>
        <w:spacing w:line="360" w:lineRule="auto"/>
        <w:ind w:firstLine="420"/>
      </w:pPr>
      <w:r>
        <w:rPr>
          <w:rFonts w:hint="eastAsia"/>
        </w:rPr>
        <w:t>g）运输中断应急预案。</w:t>
      </w:r>
    </w:p>
    <w:p w14:paraId="715F7671">
      <w:pPr>
        <w:pStyle w:val="165"/>
        <w:spacing w:line="360" w:lineRule="auto"/>
      </w:pPr>
      <w:r>
        <w:rPr>
          <w:rFonts w:hint="eastAsia"/>
        </w:rPr>
        <w:t>对同一施工部位连续供应的混凝土，应明确运输顺序和车次顺序，不得出现无编号、无交接和无时序记录的供料行为。</w:t>
      </w:r>
    </w:p>
    <w:p w14:paraId="6AE751F2">
      <w:pPr>
        <w:pStyle w:val="105"/>
        <w:spacing w:before="120" w:after="120" w:line="360" w:lineRule="auto"/>
      </w:pPr>
      <w:r>
        <w:rPr>
          <w:rFonts w:hint="eastAsia"/>
        </w:rPr>
        <w:t>运输设备状态控制要求</w:t>
      </w:r>
    </w:p>
    <w:p w14:paraId="70892882">
      <w:pPr>
        <w:pStyle w:val="165"/>
        <w:spacing w:line="360" w:lineRule="auto"/>
      </w:pPr>
      <w:r>
        <w:rPr>
          <w:rFonts w:hint="eastAsia"/>
        </w:rPr>
        <w:t>运输车辆、运输罐、搅拌运输车、料斗、输送泵和输送管线等设备应保持完好、清洁和功能正常。</w:t>
      </w:r>
    </w:p>
    <w:p w14:paraId="39C13A32">
      <w:pPr>
        <w:pStyle w:val="165"/>
        <w:spacing w:line="360" w:lineRule="auto"/>
      </w:pPr>
      <w:r>
        <w:rPr>
          <w:rFonts w:hint="eastAsia"/>
        </w:rPr>
        <w:t>运输设备状态溯源信息应至少包括设备编号、设备状态、清洗状态、启用时间和对应施工批次。</w:t>
      </w:r>
    </w:p>
    <w:p w14:paraId="3B68ACCA">
      <w:pPr>
        <w:pStyle w:val="165"/>
        <w:spacing w:line="360" w:lineRule="auto"/>
      </w:pPr>
      <w:r>
        <w:rPr>
          <w:rFonts w:hint="eastAsia"/>
        </w:rPr>
        <w:t>运输设备使用前应检查下列内容：</w:t>
      </w:r>
    </w:p>
    <w:p w14:paraId="42C00E6D">
      <w:pPr>
        <w:pStyle w:val="56"/>
        <w:spacing w:line="360" w:lineRule="auto"/>
        <w:ind w:firstLine="420"/>
      </w:pPr>
      <w:r>
        <w:rPr>
          <w:rFonts w:hint="eastAsia"/>
        </w:rPr>
        <w:t>a）罐体或者料斗内是否有残留硬化混凝土；</w:t>
      </w:r>
    </w:p>
    <w:p w14:paraId="5CF64A28">
      <w:pPr>
        <w:pStyle w:val="56"/>
        <w:spacing w:line="360" w:lineRule="auto"/>
        <w:ind w:firstLine="420"/>
      </w:pPr>
      <w:r>
        <w:rPr>
          <w:rFonts w:hint="eastAsia"/>
        </w:rPr>
        <w:t>b）转动和卸料机构是否正常；</w:t>
      </w:r>
    </w:p>
    <w:p w14:paraId="6F87C336">
      <w:pPr>
        <w:pStyle w:val="56"/>
        <w:spacing w:line="360" w:lineRule="auto"/>
        <w:ind w:firstLine="420"/>
      </w:pPr>
      <w:r>
        <w:rPr>
          <w:rFonts w:hint="eastAsia"/>
        </w:rPr>
        <w:t>c）密封状态是否良好；</w:t>
      </w:r>
    </w:p>
    <w:p w14:paraId="4658D0EC">
      <w:pPr>
        <w:pStyle w:val="56"/>
        <w:spacing w:line="360" w:lineRule="auto"/>
        <w:ind w:firstLine="420"/>
      </w:pPr>
      <w:r>
        <w:rPr>
          <w:rFonts w:hint="eastAsia"/>
        </w:rPr>
        <w:t>d）标识和编号是否清晰；</w:t>
      </w:r>
    </w:p>
    <w:p w14:paraId="1E03A839">
      <w:pPr>
        <w:pStyle w:val="56"/>
        <w:spacing w:line="360" w:lineRule="auto"/>
        <w:ind w:firstLine="420"/>
      </w:pPr>
      <w:r>
        <w:rPr>
          <w:rFonts w:hint="eastAsia"/>
        </w:rPr>
        <w:t>e）计时和通信装置是否可用。</w:t>
      </w:r>
    </w:p>
    <w:p w14:paraId="3492EE7F">
      <w:pPr>
        <w:pStyle w:val="165"/>
        <w:spacing w:line="360" w:lineRule="auto"/>
      </w:pPr>
      <w:r>
        <w:rPr>
          <w:rFonts w:hint="eastAsia"/>
        </w:rPr>
        <w:t>运输设备存在残留混凝土结块、卸料不畅、转动失灵或者编号不明等情况时，不得用于正式运输。</w:t>
      </w:r>
    </w:p>
    <w:p w14:paraId="04D83CA4">
      <w:pPr>
        <w:pStyle w:val="165"/>
        <w:spacing w:line="360" w:lineRule="auto"/>
      </w:pPr>
      <w:r>
        <w:rPr>
          <w:rFonts w:hint="eastAsia"/>
        </w:rPr>
        <w:t>不同配合比或者不同性能等级混凝土切换运输时，应采取清洗和隔离措施，不得混装混运。</w:t>
      </w:r>
    </w:p>
    <w:p w14:paraId="37E8DE3B">
      <w:pPr>
        <w:pStyle w:val="105"/>
        <w:spacing w:before="120" w:after="120" w:line="360" w:lineRule="auto"/>
      </w:pPr>
      <w:r>
        <w:rPr>
          <w:rFonts w:hint="eastAsia"/>
        </w:rPr>
        <w:t>运输过程质量溯源要求</w:t>
      </w:r>
    </w:p>
    <w:p w14:paraId="1CA7B95D">
      <w:pPr>
        <w:pStyle w:val="165"/>
        <w:spacing w:line="360" w:lineRule="auto"/>
      </w:pPr>
      <w:r>
        <w:rPr>
          <w:rFonts w:hint="eastAsia"/>
        </w:rPr>
        <w:t>水下混凝土运输过程应记录装料时间、出站时间、到场时间、卸料时间、运输时长和异常情况。</w:t>
      </w:r>
    </w:p>
    <w:p w14:paraId="460CA80A">
      <w:pPr>
        <w:pStyle w:val="165"/>
        <w:spacing w:line="360" w:lineRule="auto"/>
      </w:pPr>
      <w:r>
        <w:rPr>
          <w:rFonts w:hint="eastAsia"/>
        </w:rPr>
        <w:t>运输过程宜采用信息化方式记录车次轨迹、时间节点和交接状态。</w:t>
      </w:r>
    </w:p>
    <w:p w14:paraId="432F51D9">
      <w:pPr>
        <w:pStyle w:val="165"/>
        <w:spacing w:line="360" w:lineRule="auto"/>
      </w:pPr>
      <w:r>
        <w:rPr>
          <w:rFonts w:hint="eastAsia"/>
        </w:rPr>
        <w:t>运输过程中不得擅自加水、擅自加外加剂或者采用其他未经批准方式调整混凝土状态。</w:t>
      </w:r>
    </w:p>
    <w:p w14:paraId="56F63B39">
      <w:pPr>
        <w:pStyle w:val="165"/>
        <w:spacing w:line="360" w:lineRule="auto"/>
      </w:pPr>
      <w:r>
        <w:rPr>
          <w:rFonts w:hint="eastAsia"/>
        </w:rPr>
        <w:t>运输时间超过规定控制要求、到场后工作性明显异常或者发生停滞等待过长情形时，应重新判定是否可用于浇筑，不得直接继续使用。</w:t>
      </w:r>
    </w:p>
    <w:p w14:paraId="336641C2">
      <w:pPr>
        <w:pStyle w:val="165"/>
        <w:spacing w:line="360" w:lineRule="auto"/>
      </w:pPr>
      <w:r>
        <w:rPr>
          <w:rFonts w:hint="eastAsia"/>
        </w:rPr>
        <w:t>运输过程中发生堵车、机械故障、卸料故障、交通中断或者其他影响供料连续性的情况时，应立即上报并启动调度调整。</w:t>
      </w:r>
    </w:p>
    <w:p w14:paraId="09824709">
      <w:pPr>
        <w:pStyle w:val="105"/>
        <w:spacing w:before="120" w:after="120" w:line="360" w:lineRule="auto"/>
      </w:pPr>
      <w:r>
        <w:rPr>
          <w:rFonts w:hint="eastAsia"/>
        </w:rPr>
        <w:t>现场交接要求</w:t>
      </w:r>
    </w:p>
    <w:p w14:paraId="22399DA6">
      <w:pPr>
        <w:pStyle w:val="165"/>
        <w:spacing w:line="360" w:lineRule="auto"/>
      </w:pPr>
      <w:r>
        <w:rPr>
          <w:rFonts w:hint="eastAsia"/>
        </w:rPr>
        <w:t>混凝土到达施工现场后，应办理交接确认。</w:t>
      </w:r>
    </w:p>
    <w:p w14:paraId="1A380EC2">
      <w:pPr>
        <w:pStyle w:val="165"/>
        <w:spacing w:line="360" w:lineRule="auto"/>
      </w:pPr>
      <w:r>
        <w:rPr>
          <w:rFonts w:hint="eastAsia"/>
        </w:rPr>
        <w:t>现场交接应至少核对下列内容：</w:t>
      </w:r>
    </w:p>
    <w:p w14:paraId="4B82F53D">
      <w:pPr>
        <w:pStyle w:val="56"/>
        <w:spacing w:line="360" w:lineRule="auto"/>
        <w:ind w:firstLine="420"/>
      </w:pPr>
      <w:r>
        <w:rPr>
          <w:rFonts w:hint="eastAsia"/>
        </w:rPr>
        <w:t>a）运输车号或者容器编号；</w:t>
      </w:r>
    </w:p>
    <w:p w14:paraId="7A06F541">
      <w:pPr>
        <w:pStyle w:val="56"/>
        <w:spacing w:line="360" w:lineRule="auto"/>
        <w:ind w:firstLine="420"/>
      </w:pPr>
      <w:r>
        <w:rPr>
          <w:rFonts w:hint="eastAsia"/>
        </w:rPr>
        <w:t>b）对应生产批次；</w:t>
      </w:r>
    </w:p>
    <w:p w14:paraId="77FBC57B">
      <w:pPr>
        <w:pStyle w:val="56"/>
        <w:spacing w:line="360" w:lineRule="auto"/>
        <w:ind w:firstLine="420"/>
      </w:pPr>
      <w:r>
        <w:rPr>
          <w:rFonts w:hint="eastAsia"/>
        </w:rPr>
        <w:t>c）出站时间；</w:t>
      </w:r>
    </w:p>
    <w:p w14:paraId="10D3FE17">
      <w:pPr>
        <w:pStyle w:val="56"/>
        <w:spacing w:line="360" w:lineRule="auto"/>
        <w:ind w:firstLine="420"/>
      </w:pPr>
      <w:r>
        <w:rPr>
          <w:rFonts w:hint="eastAsia"/>
        </w:rPr>
        <w:t>d）到场时间；</w:t>
      </w:r>
    </w:p>
    <w:p w14:paraId="2FC77C51">
      <w:pPr>
        <w:pStyle w:val="56"/>
        <w:spacing w:line="360" w:lineRule="auto"/>
        <w:ind w:firstLine="420"/>
      </w:pPr>
      <w:r>
        <w:rPr>
          <w:rFonts w:hint="eastAsia"/>
        </w:rPr>
        <w:t>e）施工部位；</w:t>
      </w:r>
    </w:p>
    <w:p w14:paraId="12F8FF9A">
      <w:pPr>
        <w:pStyle w:val="56"/>
        <w:spacing w:line="360" w:lineRule="auto"/>
        <w:ind w:firstLine="420"/>
      </w:pPr>
      <w:r>
        <w:rPr>
          <w:rFonts w:hint="eastAsia"/>
        </w:rPr>
        <w:t>f）方量；</w:t>
      </w:r>
    </w:p>
    <w:p w14:paraId="7572780E">
      <w:pPr>
        <w:pStyle w:val="56"/>
        <w:spacing w:line="360" w:lineRule="auto"/>
        <w:ind w:firstLine="420"/>
      </w:pPr>
      <w:r>
        <w:rPr>
          <w:rFonts w:hint="eastAsia"/>
        </w:rPr>
        <w:t>g）拌合物状态；</w:t>
      </w:r>
    </w:p>
    <w:p w14:paraId="17A1698E">
      <w:pPr>
        <w:pStyle w:val="56"/>
        <w:spacing w:line="360" w:lineRule="auto"/>
        <w:ind w:firstLine="420"/>
      </w:pPr>
      <w:r>
        <w:rPr>
          <w:rFonts w:hint="eastAsia"/>
        </w:rPr>
        <w:t>h）交接人员信息。</w:t>
      </w:r>
    </w:p>
    <w:p w14:paraId="140EB347">
      <w:pPr>
        <w:pStyle w:val="165"/>
        <w:spacing w:line="360" w:lineRule="auto"/>
      </w:pPr>
      <w:r>
        <w:rPr>
          <w:rFonts w:hint="eastAsia"/>
        </w:rPr>
        <w:t>现场交接后应按规定进行必要的工作性复核。</w:t>
      </w:r>
    </w:p>
    <w:p w14:paraId="0FA914B1">
      <w:pPr>
        <w:pStyle w:val="165"/>
        <w:spacing w:line="360" w:lineRule="auto"/>
      </w:pPr>
      <w:r>
        <w:rPr>
          <w:rFonts w:hint="eastAsia"/>
        </w:rPr>
        <w:t>车次信息不清、施工部位不明、到场时间超限或者状态异常的混凝土，不得直接下料入仓。</w:t>
      </w:r>
    </w:p>
    <w:p w14:paraId="55FD919F">
      <w:pPr>
        <w:pStyle w:val="165"/>
        <w:spacing w:line="360" w:lineRule="auto"/>
      </w:pPr>
      <w:r>
        <w:rPr>
          <w:rFonts w:hint="eastAsia"/>
        </w:rPr>
        <w:t>交接记录应与运输记录、生产记录和现场浇筑记录相互对应。</w:t>
      </w:r>
    </w:p>
    <w:p w14:paraId="4F73E130">
      <w:pPr>
        <w:pStyle w:val="105"/>
        <w:spacing w:before="120" w:after="120" w:line="360" w:lineRule="auto"/>
      </w:pPr>
      <w:r>
        <w:rPr>
          <w:rFonts w:hint="eastAsia"/>
        </w:rPr>
        <w:t>浇筑设备配置要求</w:t>
      </w:r>
    </w:p>
    <w:p w14:paraId="38BE219B">
      <w:pPr>
        <w:pStyle w:val="165"/>
        <w:spacing w:line="360" w:lineRule="auto"/>
      </w:pPr>
      <w:r>
        <w:rPr>
          <w:rFonts w:hint="eastAsia"/>
        </w:rPr>
        <w:t>水下混凝土施工应根据工艺类型和施工部位配置相应浇筑设备。</w:t>
      </w:r>
    </w:p>
    <w:p w14:paraId="597D967F">
      <w:pPr>
        <w:pStyle w:val="165"/>
        <w:spacing w:line="360" w:lineRule="auto"/>
      </w:pPr>
      <w:r>
        <w:rPr>
          <w:rFonts w:hint="eastAsia"/>
        </w:rPr>
        <w:t>常用浇筑设备宜包括导管、漏斗、料斗、储料斗、泵送系统、管道系统、测绳、测锤、测深装置、吊装装置和辅助测量装置。</w:t>
      </w:r>
    </w:p>
    <w:p w14:paraId="19CD25BB">
      <w:pPr>
        <w:pStyle w:val="165"/>
        <w:spacing w:line="360" w:lineRule="auto"/>
      </w:pPr>
      <w:r>
        <w:rPr>
          <w:rFonts w:hint="eastAsia"/>
        </w:rPr>
        <w:t>浇筑设备应满足结构强度、尺寸精度、连接可靠性、密封性能和施工能力要求。</w:t>
      </w:r>
    </w:p>
    <w:p w14:paraId="5952E6B1">
      <w:pPr>
        <w:pStyle w:val="165"/>
        <w:spacing w:line="360" w:lineRule="auto"/>
      </w:pPr>
      <w:r>
        <w:rPr>
          <w:rFonts w:hint="eastAsia"/>
        </w:rPr>
        <w:t>对大直径桩、水下封底和大方量连续浇筑工程，应根据浇筑能力配置备用导管、备用泵送设备和备用关键连接件。</w:t>
      </w:r>
    </w:p>
    <w:p w14:paraId="3F87B822">
      <w:pPr>
        <w:pStyle w:val="165"/>
        <w:spacing w:line="360" w:lineRule="auto"/>
      </w:pPr>
      <w:r>
        <w:rPr>
          <w:rFonts w:hint="eastAsia"/>
        </w:rPr>
        <w:t>设备配置不足以保证连续浇筑或者不足以满足异常工况应急需要的，不得组织正式浇筑。</w:t>
      </w:r>
    </w:p>
    <w:p w14:paraId="73B67075">
      <w:pPr>
        <w:pStyle w:val="105"/>
        <w:spacing w:before="120" w:after="120" w:line="360" w:lineRule="auto"/>
      </w:pPr>
      <w:r>
        <w:rPr>
          <w:rFonts w:hint="eastAsia"/>
        </w:rPr>
        <w:t>导管系统质量溯源要求</w:t>
      </w:r>
    </w:p>
    <w:p w14:paraId="16B3DCA5">
      <w:pPr>
        <w:pStyle w:val="165"/>
        <w:spacing w:line="360" w:lineRule="auto"/>
      </w:pPr>
      <w:r>
        <w:rPr>
          <w:rFonts w:hint="eastAsia"/>
        </w:rPr>
        <w:t>导管应纳入专门质量溯源管理。</w:t>
      </w:r>
    </w:p>
    <w:p w14:paraId="46EBCB04">
      <w:pPr>
        <w:pStyle w:val="165"/>
        <w:spacing w:line="360" w:lineRule="auto"/>
      </w:pPr>
      <w:r>
        <w:rPr>
          <w:rFonts w:hint="eastAsia"/>
        </w:rPr>
        <w:t>导管溯源信息宜至少包括导管编号、节段编号、规格尺寸、使用次数、上次使用状态、检查结果和本次对应施工部位。</w:t>
      </w:r>
    </w:p>
    <w:p w14:paraId="285E89CA">
      <w:pPr>
        <w:pStyle w:val="165"/>
        <w:spacing w:line="360" w:lineRule="auto"/>
      </w:pPr>
      <w:r>
        <w:rPr>
          <w:rFonts w:hint="eastAsia"/>
        </w:rPr>
        <w:t>导管使用前应检查下列内容：</w:t>
      </w:r>
    </w:p>
    <w:p w14:paraId="4BC256A1">
      <w:pPr>
        <w:pStyle w:val="56"/>
        <w:spacing w:line="360" w:lineRule="auto"/>
        <w:ind w:firstLine="420"/>
      </w:pPr>
      <w:r>
        <w:rPr>
          <w:rFonts w:hint="eastAsia"/>
        </w:rPr>
        <w:t>a）内壁光洁状态；</w:t>
      </w:r>
    </w:p>
    <w:p w14:paraId="79822D3C">
      <w:pPr>
        <w:pStyle w:val="56"/>
        <w:spacing w:line="360" w:lineRule="auto"/>
        <w:ind w:firstLine="420"/>
      </w:pPr>
      <w:r>
        <w:rPr>
          <w:rFonts w:hint="eastAsia"/>
        </w:rPr>
        <w:t>b）接头密封状态；</w:t>
      </w:r>
    </w:p>
    <w:p w14:paraId="120E5355">
      <w:pPr>
        <w:pStyle w:val="56"/>
        <w:spacing w:line="360" w:lineRule="auto"/>
        <w:ind w:firstLine="420"/>
      </w:pPr>
      <w:r>
        <w:rPr>
          <w:rFonts w:hint="eastAsia"/>
        </w:rPr>
        <w:t>c）法兰和连接件状态；</w:t>
      </w:r>
    </w:p>
    <w:p w14:paraId="4A9F9329">
      <w:pPr>
        <w:pStyle w:val="56"/>
        <w:spacing w:line="360" w:lineRule="auto"/>
        <w:ind w:firstLine="420"/>
      </w:pPr>
      <w:r>
        <w:rPr>
          <w:rFonts w:hint="eastAsia"/>
        </w:rPr>
        <w:t>d）导管圆整度；</w:t>
      </w:r>
    </w:p>
    <w:p w14:paraId="66DD56F8">
      <w:pPr>
        <w:pStyle w:val="56"/>
        <w:spacing w:line="360" w:lineRule="auto"/>
        <w:ind w:firstLine="420"/>
      </w:pPr>
      <w:r>
        <w:rPr>
          <w:rFonts w:hint="eastAsia"/>
        </w:rPr>
        <w:t>e）导管长度组合；</w:t>
      </w:r>
    </w:p>
    <w:p w14:paraId="116276CB">
      <w:pPr>
        <w:pStyle w:val="56"/>
        <w:spacing w:line="360" w:lineRule="auto"/>
        <w:ind w:firstLine="420"/>
      </w:pPr>
      <w:r>
        <w:rPr>
          <w:rFonts w:hint="eastAsia"/>
        </w:rPr>
        <w:t>f）提升装置连接状态。</w:t>
      </w:r>
    </w:p>
    <w:p w14:paraId="41282C7E">
      <w:pPr>
        <w:pStyle w:val="165"/>
        <w:spacing w:line="360" w:lineRule="auto"/>
      </w:pPr>
      <w:r>
        <w:rPr>
          <w:rFonts w:hint="eastAsia"/>
        </w:rPr>
        <w:t>导管存在变形、局部缩径、接头松动、密封失效、内壁残留硬块或者编号缺失时，不得投入使用。</w:t>
      </w:r>
    </w:p>
    <w:p w14:paraId="4FDB7A90">
      <w:pPr>
        <w:pStyle w:val="165"/>
        <w:spacing w:line="360" w:lineRule="auto"/>
      </w:pPr>
      <w:r>
        <w:rPr>
          <w:rFonts w:hint="eastAsia"/>
        </w:rPr>
        <w:t>导管节段组合应与孔深、浇筑深度和导管埋深控制要求相匹配，不得临时拼接无编号、无检查状态的导管节段。</w:t>
      </w:r>
    </w:p>
    <w:p w14:paraId="5378DEEB">
      <w:pPr>
        <w:pStyle w:val="105"/>
        <w:spacing w:before="120" w:after="120" w:line="360" w:lineRule="auto"/>
      </w:pPr>
      <w:r>
        <w:rPr>
          <w:rFonts w:hint="eastAsia"/>
        </w:rPr>
        <w:t>泵送设备与管路要求</w:t>
      </w:r>
    </w:p>
    <w:p w14:paraId="08BA6351">
      <w:pPr>
        <w:pStyle w:val="165"/>
        <w:spacing w:line="360" w:lineRule="auto"/>
      </w:pPr>
      <w:r>
        <w:rPr>
          <w:rFonts w:hint="eastAsia"/>
        </w:rPr>
        <w:t>采用泵送法施工时，泵机、管路、弯头、接头和阀件应处于良好状态。</w:t>
      </w:r>
    </w:p>
    <w:p w14:paraId="7314E35C">
      <w:pPr>
        <w:pStyle w:val="165"/>
        <w:spacing w:line="360" w:lineRule="auto"/>
      </w:pPr>
      <w:r>
        <w:rPr>
          <w:rFonts w:hint="eastAsia"/>
        </w:rPr>
        <w:t>泵送设备应记录设备编号、启用时间、检查状态、清洗状态和施工对应关系。</w:t>
      </w:r>
    </w:p>
    <w:p w14:paraId="0D40BF17">
      <w:pPr>
        <w:pStyle w:val="165"/>
        <w:spacing w:line="360" w:lineRule="auto"/>
      </w:pPr>
      <w:r>
        <w:rPr>
          <w:rFonts w:hint="eastAsia"/>
        </w:rPr>
        <w:t>泵送前应检查下列内容：</w:t>
      </w:r>
    </w:p>
    <w:p w14:paraId="5AF5E4A9">
      <w:pPr>
        <w:pStyle w:val="56"/>
        <w:spacing w:line="360" w:lineRule="auto"/>
        <w:ind w:firstLine="420"/>
      </w:pPr>
      <w:r>
        <w:rPr>
          <w:rFonts w:hint="eastAsia"/>
        </w:rPr>
        <w:t>a）泵送能力与浇筑需求匹配情况；</w:t>
      </w:r>
    </w:p>
    <w:p w14:paraId="26520BF3">
      <w:pPr>
        <w:pStyle w:val="56"/>
        <w:spacing w:line="360" w:lineRule="auto"/>
        <w:ind w:firstLine="420"/>
      </w:pPr>
      <w:r>
        <w:rPr>
          <w:rFonts w:hint="eastAsia"/>
        </w:rPr>
        <w:t>b）泵机运行状态；</w:t>
      </w:r>
    </w:p>
    <w:p w14:paraId="34A139FA">
      <w:pPr>
        <w:pStyle w:val="56"/>
        <w:spacing w:line="360" w:lineRule="auto"/>
        <w:ind w:firstLine="420"/>
      </w:pPr>
      <w:r>
        <w:rPr>
          <w:rFonts w:hint="eastAsia"/>
        </w:rPr>
        <w:t>c）管路连接牢固性；</w:t>
      </w:r>
    </w:p>
    <w:p w14:paraId="2839F75A">
      <w:pPr>
        <w:pStyle w:val="56"/>
        <w:spacing w:line="360" w:lineRule="auto"/>
        <w:ind w:firstLine="420"/>
      </w:pPr>
      <w:r>
        <w:rPr>
          <w:rFonts w:hint="eastAsia"/>
        </w:rPr>
        <w:t>d）管道密封状态；</w:t>
      </w:r>
    </w:p>
    <w:p w14:paraId="52D2EEC4">
      <w:pPr>
        <w:pStyle w:val="56"/>
        <w:spacing w:line="360" w:lineRule="auto"/>
        <w:ind w:firstLine="420"/>
      </w:pPr>
      <w:r>
        <w:rPr>
          <w:rFonts w:hint="eastAsia"/>
        </w:rPr>
        <w:t>e）弯头磨损情况；</w:t>
      </w:r>
    </w:p>
    <w:p w14:paraId="09B4D853">
      <w:pPr>
        <w:pStyle w:val="56"/>
        <w:spacing w:line="360" w:lineRule="auto"/>
        <w:ind w:firstLine="420"/>
      </w:pPr>
      <w:r>
        <w:rPr>
          <w:rFonts w:hint="eastAsia"/>
        </w:rPr>
        <w:t>f）备用管件配置情况。</w:t>
      </w:r>
    </w:p>
    <w:p w14:paraId="78E5A18C">
      <w:pPr>
        <w:pStyle w:val="165"/>
        <w:spacing w:line="360" w:lineRule="auto"/>
      </w:pPr>
      <w:r>
        <w:rPr>
          <w:rFonts w:hint="eastAsia"/>
        </w:rPr>
        <w:t>泵送系统存在明显渗漏、堵塞风险、压力异常或者连接不牢时，不得用于正式浇筑。</w:t>
      </w:r>
    </w:p>
    <w:p w14:paraId="10DDFD16">
      <w:pPr>
        <w:pStyle w:val="165"/>
        <w:spacing w:line="360" w:lineRule="auto"/>
      </w:pPr>
      <w:r>
        <w:rPr>
          <w:rFonts w:hint="eastAsia"/>
        </w:rPr>
        <w:t>泵送设备和管路切换、拆卸和恢复过程应形成记录。</w:t>
      </w:r>
    </w:p>
    <w:p w14:paraId="34C3366E">
      <w:pPr>
        <w:pStyle w:val="105"/>
        <w:spacing w:before="120" w:after="120" w:line="360" w:lineRule="auto"/>
      </w:pPr>
      <w:r>
        <w:rPr>
          <w:rFonts w:hint="eastAsia"/>
        </w:rPr>
        <w:t>施工平台与作业条件准备要求</w:t>
      </w:r>
    </w:p>
    <w:p w14:paraId="2552B41F">
      <w:pPr>
        <w:pStyle w:val="165"/>
        <w:spacing w:line="360" w:lineRule="auto"/>
      </w:pPr>
      <w:r>
        <w:rPr>
          <w:rFonts w:hint="eastAsia"/>
        </w:rPr>
        <w:t>水下混凝土浇筑前应完成施工平台、操作平台、吊装系统、照明设施和通信设施准备。</w:t>
      </w:r>
    </w:p>
    <w:p w14:paraId="2EFCF1F1">
      <w:pPr>
        <w:pStyle w:val="165"/>
        <w:spacing w:line="360" w:lineRule="auto"/>
      </w:pPr>
      <w:r>
        <w:rPr>
          <w:rFonts w:hint="eastAsia"/>
        </w:rPr>
        <w:t>施工平台应满足承载、稳定、防滑、防坠落和连续作业要求。</w:t>
      </w:r>
    </w:p>
    <w:p w14:paraId="30A012D0">
      <w:pPr>
        <w:pStyle w:val="165"/>
        <w:spacing w:line="360" w:lineRule="auto"/>
      </w:pPr>
      <w:r>
        <w:rPr>
          <w:rFonts w:hint="eastAsia"/>
        </w:rPr>
        <w:t>浇筑前应复核孔口、仓面、模板、钢筋笼、预埋件、测量基准点和水位状态。</w:t>
      </w:r>
    </w:p>
    <w:p w14:paraId="4B8B3731">
      <w:pPr>
        <w:pStyle w:val="165"/>
        <w:spacing w:line="360" w:lineRule="auto"/>
      </w:pPr>
      <w:r>
        <w:rPr>
          <w:rFonts w:hint="eastAsia"/>
        </w:rPr>
        <w:t>对灌注桩施工，应检查孔径、孔深、孔底沉渣、泥浆指标和钢筋笼定位状态。</w:t>
      </w:r>
    </w:p>
    <w:p w14:paraId="14EBFBC0">
      <w:pPr>
        <w:pStyle w:val="165"/>
        <w:spacing w:line="360" w:lineRule="auto"/>
      </w:pPr>
      <w:r>
        <w:rPr>
          <w:rFonts w:hint="eastAsia"/>
        </w:rPr>
        <w:t>对水下封底施工，应检查仓面范围、围堰状态、模板边界、测点布设和基底清理状态。</w:t>
      </w:r>
    </w:p>
    <w:p w14:paraId="0AC2159C">
      <w:pPr>
        <w:pStyle w:val="165"/>
        <w:spacing w:line="360" w:lineRule="auto"/>
      </w:pPr>
      <w:r>
        <w:rPr>
          <w:rFonts w:hint="eastAsia"/>
        </w:rPr>
        <w:t>作业条件不满足连续浇筑、参数测量和异常处置要求时，不得开始浇筑。</w:t>
      </w:r>
    </w:p>
    <w:p w14:paraId="391A83B4">
      <w:pPr>
        <w:pStyle w:val="105"/>
        <w:spacing w:before="120" w:after="120" w:line="360" w:lineRule="auto"/>
      </w:pPr>
      <w:r>
        <w:rPr>
          <w:rFonts w:hint="eastAsia"/>
        </w:rPr>
        <w:t>首盘准备与施工准备确认要求</w:t>
      </w:r>
    </w:p>
    <w:p w14:paraId="03A15690">
      <w:pPr>
        <w:pStyle w:val="165"/>
        <w:spacing w:line="360" w:lineRule="auto"/>
      </w:pPr>
      <w:r>
        <w:rPr>
          <w:rFonts w:hint="eastAsia"/>
        </w:rPr>
        <w:t>首盘混凝土下料前应进行施工准备确认。</w:t>
      </w:r>
    </w:p>
    <w:p w14:paraId="2DCC22A0">
      <w:pPr>
        <w:pStyle w:val="165"/>
        <w:spacing w:line="360" w:lineRule="auto"/>
      </w:pPr>
      <w:r>
        <w:rPr>
          <w:rFonts w:hint="eastAsia"/>
        </w:rPr>
        <w:t>确认内容应至少包括：</w:t>
      </w:r>
    </w:p>
    <w:p w14:paraId="016CB92F">
      <w:pPr>
        <w:pStyle w:val="56"/>
        <w:spacing w:line="360" w:lineRule="auto"/>
        <w:ind w:firstLine="420"/>
      </w:pPr>
      <w:r>
        <w:rPr>
          <w:rFonts w:hint="eastAsia"/>
        </w:rPr>
        <w:t>a）原材料、配合比和生产批次信息无误；</w:t>
      </w:r>
    </w:p>
    <w:p w14:paraId="4308FE7D">
      <w:pPr>
        <w:pStyle w:val="56"/>
        <w:spacing w:line="360" w:lineRule="auto"/>
        <w:ind w:firstLine="420"/>
      </w:pPr>
      <w:r>
        <w:rPr>
          <w:rFonts w:hint="eastAsia"/>
        </w:rPr>
        <w:t>b）运输供应连续性已落实；</w:t>
      </w:r>
    </w:p>
    <w:p w14:paraId="4B17E704">
      <w:pPr>
        <w:pStyle w:val="56"/>
        <w:spacing w:line="360" w:lineRule="auto"/>
        <w:ind w:firstLine="420"/>
      </w:pPr>
      <w:r>
        <w:rPr>
          <w:rFonts w:hint="eastAsia"/>
        </w:rPr>
        <w:t>c）导管和泵送设备状态正常；</w:t>
      </w:r>
    </w:p>
    <w:p w14:paraId="6F064F14">
      <w:pPr>
        <w:pStyle w:val="56"/>
        <w:spacing w:line="360" w:lineRule="auto"/>
        <w:ind w:firstLine="420"/>
      </w:pPr>
      <w:r>
        <w:rPr>
          <w:rFonts w:hint="eastAsia"/>
        </w:rPr>
        <w:t>d）首盘方量满足封底要求；</w:t>
      </w:r>
    </w:p>
    <w:p w14:paraId="6014AF2B">
      <w:pPr>
        <w:pStyle w:val="56"/>
        <w:spacing w:line="360" w:lineRule="auto"/>
        <w:ind w:firstLine="420"/>
      </w:pPr>
      <w:r>
        <w:rPr>
          <w:rFonts w:hint="eastAsia"/>
        </w:rPr>
        <w:t>e）测量人员和记录人员到位；</w:t>
      </w:r>
    </w:p>
    <w:p w14:paraId="1490FD09">
      <w:pPr>
        <w:pStyle w:val="56"/>
        <w:spacing w:line="360" w:lineRule="auto"/>
        <w:ind w:firstLine="420"/>
      </w:pPr>
      <w:r>
        <w:rPr>
          <w:rFonts w:hint="eastAsia"/>
        </w:rPr>
        <w:t>f）试件留置准备到位；</w:t>
      </w:r>
    </w:p>
    <w:p w14:paraId="7442D10F">
      <w:pPr>
        <w:pStyle w:val="56"/>
        <w:spacing w:line="360" w:lineRule="auto"/>
        <w:ind w:firstLine="420"/>
      </w:pPr>
      <w:r>
        <w:rPr>
          <w:rFonts w:hint="eastAsia"/>
        </w:rPr>
        <w:t>g）应急设备和应急材料到位。</w:t>
      </w:r>
    </w:p>
    <w:p w14:paraId="3D852329">
      <w:pPr>
        <w:pStyle w:val="165"/>
        <w:spacing w:line="360" w:lineRule="auto"/>
      </w:pPr>
      <w:r>
        <w:rPr>
          <w:rFonts w:hint="eastAsia"/>
        </w:rPr>
        <w:t>首盘准备未完成确认的，不得首盘下料。</w:t>
      </w:r>
    </w:p>
    <w:p w14:paraId="74C745A2">
      <w:pPr>
        <w:pStyle w:val="165"/>
        <w:spacing w:line="360" w:lineRule="auto"/>
      </w:pPr>
      <w:r>
        <w:rPr>
          <w:rFonts w:hint="eastAsia"/>
        </w:rPr>
        <w:t>首盘施工准备确认结果应形成专项记录。</w:t>
      </w:r>
    </w:p>
    <w:p w14:paraId="4A27FBCB">
      <w:pPr>
        <w:pStyle w:val="105"/>
        <w:spacing w:before="120" w:after="120" w:line="360" w:lineRule="auto"/>
      </w:pPr>
      <w:r>
        <w:rPr>
          <w:rFonts w:hint="eastAsia"/>
        </w:rPr>
        <w:t>施工准备异常处置要求</w:t>
      </w:r>
    </w:p>
    <w:p w14:paraId="6B58F2CE">
      <w:pPr>
        <w:pStyle w:val="165"/>
        <w:spacing w:line="360" w:lineRule="auto"/>
      </w:pPr>
      <w:r>
        <w:rPr>
          <w:rFonts w:hint="eastAsia"/>
        </w:rPr>
        <w:t>施工准备阶段出现下列情形之一时，应暂停进入正式浇筑：</w:t>
      </w:r>
    </w:p>
    <w:p w14:paraId="5FEB31FF">
      <w:pPr>
        <w:pStyle w:val="56"/>
        <w:spacing w:line="360" w:lineRule="auto"/>
        <w:ind w:firstLine="420"/>
      </w:pPr>
      <w:r>
        <w:rPr>
          <w:rFonts w:hint="eastAsia"/>
        </w:rPr>
        <w:t>a）导管检查不合格；</w:t>
      </w:r>
    </w:p>
    <w:p w14:paraId="5CE9FD52">
      <w:pPr>
        <w:pStyle w:val="56"/>
        <w:spacing w:line="360" w:lineRule="auto"/>
        <w:ind w:firstLine="420"/>
      </w:pPr>
      <w:r>
        <w:rPr>
          <w:rFonts w:hint="eastAsia"/>
        </w:rPr>
        <w:t>b）泵送设备状态异常；</w:t>
      </w:r>
    </w:p>
    <w:p w14:paraId="17A80C08">
      <w:pPr>
        <w:pStyle w:val="56"/>
        <w:spacing w:line="360" w:lineRule="auto"/>
        <w:ind w:firstLine="420"/>
      </w:pPr>
      <w:r>
        <w:rPr>
          <w:rFonts w:hint="eastAsia"/>
        </w:rPr>
        <w:t>c）运输供应能力不足；</w:t>
      </w:r>
    </w:p>
    <w:p w14:paraId="24E24F32">
      <w:pPr>
        <w:pStyle w:val="56"/>
        <w:spacing w:line="360" w:lineRule="auto"/>
        <w:ind w:firstLine="420"/>
      </w:pPr>
      <w:r>
        <w:rPr>
          <w:rFonts w:hint="eastAsia"/>
        </w:rPr>
        <w:t>d）施工平台稳定性不足；</w:t>
      </w:r>
    </w:p>
    <w:p w14:paraId="19050529">
      <w:pPr>
        <w:pStyle w:val="56"/>
        <w:spacing w:line="360" w:lineRule="auto"/>
        <w:ind w:firstLine="420"/>
      </w:pPr>
      <w:r>
        <w:rPr>
          <w:rFonts w:hint="eastAsia"/>
        </w:rPr>
        <w:t>e）钢筋笼或者模板状态异常；</w:t>
      </w:r>
    </w:p>
    <w:p w14:paraId="70A3C11F">
      <w:pPr>
        <w:pStyle w:val="56"/>
        <w:spacing w:line="360" w:lineRule="auto"/>
        <w:ind w:firstLine="420"/>
      </w:pPr>
      <w:r>
        <w:rPr>
          <w:rFonts w:hint="eastAsia"/>
        </w:rPr>
        <w:t>f）孔底沉渣或者仓面状态不满足要求；</w:t>
      </w:r>
    </w:p>
    <w:p w14:paraId="5534AA30">
      <w:pPr>
        <w:pStyle w:val="56"/>
        <w:spacing w:line="360" w:lineRule="auto"/>
        <w:ind w:firstLine="420"/>
      </w:pPr>
      <w:r>
        <w:rPr>
          <w:rFonts w:hint="eastAsia"/>
        </w:rPr>
        <w:t>g）试件留置和记录准备不到位；</w:t>
      </w:r>
    </w:p>
    <w:p w14:paraId="7C53B080">
      <w:pPr>
        <w:pStyle w:val="56"/>
        <w:spacing w:line="360" w:lineRule="auto"/>
        <w:ind w:firstLine="420"/>
      </w:pPr>
      <w:r>
        <w:rPr>
          <w:rFonts w:hint="eastAsia"/>
        </w:rPr>
        <w:t>h）应急措施未落实。</w:t>
      </w:r>
    </w:p>
    <w:p w14:paraId="729119B9">
      <w:pPr>
        <w:pStyle w:val="165"/>
        <w:spacing w:line="360" w:lineRule="auto"/>
      </w:pPr>
      <w:r>
        <w:rPr>
          <w:rFonts w:hint="eastAsia"/>
        </w:rPr>
        <w:t>异常处置应形成记录，并在整改完成后重新确认。</w:t>
      </w:r>
    </w:p>
    <w:p w14:paraId="3FD077AE">
      <w:pPr>
        <w:pStyle w:val="105"/>
        <w:spacing w:before="120" w:after="120" w:line="360" w:lineRule="auto"/>
      </w:pPr>
      <w:r>
        <w:rPr>
          <w:rFonts w:hint="eastAsia"/>
        </w:rPr>
        <w:t>资料与记录要求</w:t>
      </w:r>
    </w:p>
    <w:p w14:paraId="0BC0E2B3">
      <w:pPr>
        <w:pStyle w:val="165"/>
        <w:spacing w:line="360" w:lineRule="auto"/>
      </w:pPr>
      <w:r>
        <w:rPr>
          <w:rFonts w:hint="eastAsia"/>
        </w:rPr>
        <w:t>运输供应、浇筑设备和施工准备全过程应形成资料。</w:t>
      </w:r>
    </w:p>
    <w:p w14:paraId="1546AB11">
      <w:pPr>
        <w:pStyle w:val="165"/>
        <w:spacing w:line="360" w:lineRule="auto"/>
      </w:pPr>
      <w:r>
        <w:rPr>
          <w:rFonts w:hint="eastAsia"/>
        </w:rPr>
        <w:t>资料内容宜至少包括：</w:t>
      </w:r>
    </w:p>
    <w:p w14:paraId="2DE7D8C2">
      <w:pPr>
        <w:pStyle w:val="56"/>
        <w:spacing w:line="360" w:lineRule="auto"/>
        <w:ind w:firstLine="420"/>
      </w:pPr>
      <w:r>
        <w:rPr>
          <w:rFonts w:hint="eastAsia"/>
        </w:rPr>
        <w:t>a）运输组织方案；</w:t>
      </w:r>
    </w:p>
    <w:p w14:paraId="327345E5">
      <w:pPr>
        <w:pStyle w:val="56"/>
        <w:spacing w:line="360" w:lineRule="auto"/>
        <w:ind w:firstLine="420"/>
      </w:pPr>
      <w:r>
        <w:rPr>
          <w:rFonts w:hint="eastAsia"/>
        </w:rPr>
        <w:t>b）运输记录和交接记录；</w:t>
      </w:r>
    </w:p>
    <w:p w14:paraId="0B4D3D9C">
      <w:pPr>
        <w:pStyle w:val="56"/>
        <w:spacing w:line="360" w:lineRule="auto"/>
        <w:ind w:firstLine="420"/>
      </w:pPr>
      <w:r>
        <w:rPr>
          <w:rFonts w:hint="eastAsia"/>
        </w:rPr>
        <w:t>c）导管和泵送设备检查记录；</w:t>
      </w:r>
    </w:p>
    <w:p w14:paraId="2D412DDD">
      <w:pPr>
        <w:pStyle w:val="56"/>
        <w:spacing w:line="360" w:lineRule="auto"/>
        <w:ind w:firstLine="420"/>
      </w:pPr>
      <w:r>
        <w:rPr>
          <w:rFonts w:hint="eastAsia"/>
        </w:rPr>
        <w:t>d）施工准备确认记录；</w:t>
      </w:r>
    </w:p>
    <w:p w14:paraId="388946DC">
      <w:pPr>
        <w:pStyle w:val="56"/>
        <w:spacing w:line="360" w:lineRule="auto"/>
        <w:ind w:firstLine="420"/>
      </w:pPr>
      <w:r>
        <w:rPr>
          <w:rFonts w:hint="eastAsia"/>
        </w:rPr>
        <w:t>e）施工平台和作业条件检查记录；</w:t>
      </w:r>
    </w:p>
    <w:p w14:paraId="05703C05">
      <w:pPr>
        <w:pStyle w:val="56"/>
        <w:spacing w:line="360" w:lineRule="auto"/>
        <w:ind w:firstLine="420"/>
      </w:pPr>
      <w:r>
        <w:rPr>
          <w:rFonts w:hint="eastAsia"/>
        </w:rPr>
        <w:t>f）首盘准备记录；</w:t>
      </w:r>
    </w:p>
    <w:p w14:paraId="27524607">
      <w:pPr>
        <w:pStyle w:val="56"/>
        <w:spacing w:line="360" w:lineRule="auto"/>
        <w:ind w:firstLine="420"/>
      </w:pPr>
      <w:r>
        <w:rPr>
          <w:rFonts w:hint="eastAsia"/>
        </w:rPr>
        <w:t>g）异常情况及处理记录。</w:t>
      </w:r>
    </w:p>
    <w:p w14:paraId="54541F23">
      <w:pPr>
        <w:pStyle w:val="165"/>
        <w:spacing w:line="360" w:lineRule="auto"/>
      </w:pPr>
      <w:r>
        <w:rPr>
          <w:rFonts w:hint="eastAsia"/>
        </w:rPr>
        <w:t>上述资料应与施工批次、施工部位和溯源编码保持一致。</w:t>
      </w:r>
    </w:p>
    <w:p w14:paraId="0AAB1F37">
      <w:pPr>
        <w:pStyle w:val="104"/>
        <w:spacing w:before="240" w:after="240" w:line="360" w:lineRule="auto"/>
      </w:pPr>
      <w:bookmarkStart w:id="54" w:name="_Toc228532475"/>
      <w:r>
        <w:rPr>
          <w:rFonts w:hint="eastAsia"/>
        </w:rPr>
        <w:t>水下混凝土浇筑过程质量溯源要求</w:t>
      </w:r>
      <w:bookmarkEnd w:id="54"/>
    </w:p>
    <w:p w14:paraId="14EBC8F7">
      <w:pPr>
        <w:pStyle w:val="105"/>
        <w:spacing w:before="120" w:after="120" w:line="360" w:lineRule="auto"/>
      </w:pPr>
      <w:r>
        <w:rPr>
          <w:rFonts w:hint="eastAsia"/>
        </w:rPr>
        <w:t>一般规定</w:t>
      </w:r>
    </w:p>
    <w:p w14:paraId="150AC672">
      <w:pPr>
        <w:pStyle w:val="165"/>
        <w:spacing w:line="360" w:lineRule="auto"/>
      </w:pPr>
      <w:r>
        <w:rPr>
          <w:rFonts w:hint="eastAsia"/>
        </w:rPr>
        <w:t>水下混凝土浇筑过程应作为质量溯源核心环节实施全过程记录和全过程控制。</w:t>
      </w:r>
    </w:p>
    <w:p w14:paraId="16BB3ED4">
      <w:pPr>
        <w:pStyle w:val="165"/>
        <w:spacing w:line="360" w:lineRule="auto"/>
      </w:pPr>
      <w:r>
        <w:rPr>
          <w:rFonts w:hint="eastAsia"/>
        </w:rPr>
        <w:t>浇筑过程质量溯源应重点控制首盘封底、浇筑连续性、导管埋深、混凝土面上升、提管拆管、浇筑中断和异常处置等关键环节。</w:t>
      </w:r>
    </w:p>
    <w:p w14:paraId="6BE0F971">
      <w:pPr>
        <w:pStyle w:val="165"/>
        <w:spacing w:line="360" w:lineRule="auto"/>
      </w:pPr>
      <w:r>
        <w:rPr>
          <w:rFonts w:hint="eastAsia"/>
        </w:rPr>
        <w:t>浇筑过程不得脱离施工记录、测量记录和现场确认单独开展，不得以最终检测结果替代过程控制要求。</w:t>
      </w:r>
    </w:p>
    <w:p w14:paraId="78D7A422">
      <w:pPr>
        <w:pStyle w:val="165"/>
        <w:spacing w:line="360" w:lineRule="auto"/>
      </w:pPr>
      <w:r>
        <w:rPr>
          <w:rFonts w:hint="eastAsia"/>
        </w:rPr>
        <w:t>对同一追溯单元内的浇筑，应保证时间连续、工艺连续和记录连续。</w:t>
      </w:r>
    </w:p>
    <w:p w14:paraId="1097818C">
      <w:pPr>
        <w:pStyle w:val="105"/>
        <w:spacing w:before="120" w:after="120" w:line="360" w:lineRule="auto"/>
      </w:pPr>
      <w:r>
        <w:rPr>
          <w:rFonts w:hint="eastAsia"/>
        </w:rPr>
        <w:t>首盘混凝土控制要求</w:t>
      </w:r>
    </w:p>
    <w:p w14:paraId="1777C71D">
      <w:pPr>
        <w:pStyle w:val="165"/>
        <w:spacing w:line="360" w:lineRule="auto"/>
      </w:pPr>
      <w:r>
        <w:rPr>
          <w:rFonts w:hint="eastAsia"/>
        </w:rPr>
        <w:t>首盘混凝土应满足封底、隔水和形成初始稳定浇筑界面的要求。</w:t>
      </w:r>
    </w:p>
    <w:p w14:paraId="4E05285A">
      <w:pPr>
        <w:pStyle w:val="165"/>
        <w:spacing w:line="360" w:lineRule="auto"/>
      </w:pPr>
      <w:r>
        <w:rPr>
          <w:rFonts w:hint="eastAsia"/>
        </w:rPr>
        <w:t>首盘混凝土方量应按施工工艺和导管条件确定，并应满足导管首次埋入要求。</w:t>
      </w:r>
    </w:p>
    <w:p w14:paraId="482CFB5C">
      <w:pPr>
        <w:pStyle w:val="165"/>
        <w:spacing w:line="360" w:lineRule="auto"/>
      </w:pPr>
      <w:r>
        <w:rPr>
          <w:rFonts w:hint="eastAsia"/>
        </w:rPr>
        <w:t>首盘混凝土下料前应确认导管底口位置、孔底或者基底状态和导管内封底条件。</w:t>
      </w:r>
    </w:p>
    <w:p w14:paraId="0DB004DA">
      <w:pPr>
        <w:pStyle w:val="165"/>
        <w:spacing w:line="360" w:lineRule="auto"/>
      </w:pPr>
      <w:r>
        <w:rPr>
          <w:rFonts w:hint="eastAsia"/>
        </w:rPr>
        <w:t>首盘下料后应及时检查导管埋入状态和混凝土面变化情况。</w:t>
      </w:r>
    </w:p>
    <w:p w14:paraId="64DC8C3C">
      <w:pPr>
        <w:pStyle w:val="165"/>
        <w:spacing w:line="360" w:lineRule="auto"/>
      </w:pPr>
      <w:r>
        <w:rPr>
          <w:rFonts w:hint="eastAsia"/>
        </w:rPr>
        <w:t>首盘混凝土未形成有效封底、导管未有效埋入或者首盘状态异常时，不得继续按正常浇筑程序施工。</w:t>
      </w:r>
    </w:p>
    <w:p w14:paraId="2999A95F">
      <w:pPr>
        <w:pStyle w:val="165"/>
        <w:spacing w:line="360" w:lineRule="auto"/>
      </w:pPr>
      <w:r>
        <w:rPr>
          <w:rFonts w:hint="eastAsia"/>
        </w:rPr>
        <w:t>首盘施工情况应形成专项记录和必要影像资料。</w:t>
      </w:r>
    </w:p>
    <w:p w14:paraId="28EE1C68">
      <w:pPr>
        <w:pStyle w:val="105"/>
        <w:spacing w:before="120" w:after="120" w:line="360" w:lineRule="auto"/>
      </w:pPr>
      <w:r>
        <w:rPr>
          <w:rFonts w:hint="eastAsia"/>
        </w:rPr>
        <w:t>浇筑连续性控制要求</w:t>
      </w:r>
    </w:p>
    <w:p w14:paraId="7D3FC3B1">
      <w:pPr>
        <w:pStyle w:val="165"/>
        <w:spacing w:line="360" w:lineRule="auto"/>
      </w:pPr>
      <w:r>
        <w:rPr>
          <w:rFonts w:hint="eastAsia"/>
        </w:rPr>
        <w:t>水下混凝土浇筑应保持连续进行，不得无控制中断。</w:t>
      </w:r>
    </w:p>
    <w:p w14:paraId="3B7885DB">
      <w:pPr>
        <w:pStyle w:val="165"/>
        <w:spacing w:line="360" w:lineRule="auto"/>
      </w:pPr>
      <w:r>
        <w:rPr>
          <w:rFonts w:hint="eastAsia"/>
        </w:rPr>
        <w:t>供料间隔、下料节奏和提升节奏应与导管内混凝土流动状态和施工速度相匹配。</w:t>
      </w:r>
    </w:p>
    <w:p w14:paraId="26DE5E23">
      <w:pPr>
        <w:pStyle w:val="165"/>
        <w:spacing w:line="360" w:lineRule="auto"/>
      </w:pPr>
      <w:r>
        <w:rPr>
          <w:rFonts w:hint="eastAsia"/>
        </w:rPr>
        <w:t>对连续浇筑要求高的施工部位，应设置现场供料调度人员和过程协调机制。</w:t>
      </w:r>
    </w:p>
    <w:p w14:paraId="6EFE24E4">
      <w:pPr>
        <w:pStyle w:val="165"/>
        <w:spacing w:line="360" w:lineRule="auto"/>
      </w:pPr>
      <w:r>
        <w:rPr>
          <w:rFonts w:hint="eastAsia"/>
        </w:rPr>
        <w:t>浇筑过程中不得因等待试验结果、临时调度、设备切换或者人员不到位造成长时间停浇。</w:t>
      </w:r>
    </w:p>
    <w:p w14:paraId="195E3985">
      <w:pPr>
        <w:pStyle w:val="165"/>
        <w:spacing w:line="360" w:lineRule="auto"/>
      </w:pPr>
      <w:r>
        <w:rPr>
          <w:rFonts w:hint="eastAsia"/>
        </w:rPr>
        <w:t>连续性控制记录应包括每车到场时间、下料时间、间隔时长和中断时长。</w:t>
      </w:r>
    </w:p>
    <w:p w14:paraId="540EEC79">
      <w:pPr>
        <w:pStyle w:val="105"/>
        <w:spacing w:before="120" w:after="120" w:line="360" w:lineRule="auto"/>
      </w:pPr>
      <w:r>
        <w:rPr>
          <w:rFonts w:hint="eastAsia"/>
        </w:rPr>
        <w:t>导管埋深控制要求</w:t>
      </w:r>
    </w:p>
    <w:p w14:paraId="26993F2C">
      <w:pPr>
        <w:pStyle w:val="165"/>
        <w:spacing w:line="360" w:lineRule="auto"/>
      </w:pPr>
      <w:r>
        <w:rPr>
          <w:rFonts w:hint="eastAsia"/>
        </w:rPr>
        <w:t>浇筑过程中应持续控制导管埋深。</w:t>
      </w:r>
    </w:p>
    <w:p w14:paraId="42E141FA">
      <w:pPr>
        <w:pStyle w:val="165"/>
        <w:spacing w:line="360" w:lineRule="auto"/>
      </w:pPr>
      <w:r>
        <w:rPr>
          <w:rFonts w:hint="eastAsia"/>
        </w:rPr>
        <w:t>导管埋深应根据施工工艺、导管直径、混凝土流动性和浇筑部位条件控制在规定范围内。</w:t>
      </w:r>
    </w:p>
    <w:p w14:paraId="429F2425">
      <w:pPr>
        <w:pStyle w:val="165"/>
        <w:spacing w:line="360" w:lineRule="auto"/>
      </w:pPr>
      <w:r>
        <w:rPr>
          <w:rFonts w:hint="eastAsia"/>
        </w:rPr>
        <w:t>导管埋深测量应真实、及时和连续，不得凭经验估算替代正式测量。</w:t>
      </w:r>
    </w:p>
    <w:p w14:paraId="54822E5F">
      <w:pPr>
        <w:pStyle w:val="165"/>
        <w:spacing w:line="360" w:lineRule="auto"/>
      </w:pPr>
      <w:r>
        <w:rPr>
          <w:rFonts w:hint="eastAsia"/>
        </w:rPr>
        <w:t>提管、拆管和换管前应确认当前导管埋深和混凝土面标高。</w:t>
      </w:r>
    </w:p>
    <w:p w14:paraId="4116ADBB">
      <w:pPr>
        <w:pStyle w:val="165"/>
        <w:spacing w:line="360" w:lineRule="auto"/>
      </w:pPr>
      <w:r>
        <w:rPr>
          <w:rFonts w:hint="eastAsia"/>
        </w:rPr>
        <w:t>导管埋深不足、埋深过深或者变化异常时，应立即调整并形成记录。</w:t>
      </w:r>
    </w:p>
    <w:p w14:paraId="74626415">
      <w:pPr>
        <w:pStyle w:val="165"/>
        <w:spacing w:line="360" w:lineRule="auto"/>
      </w:pPr>
      <w:r>
        <w:rPr>
          <w:rFonts w:hint="eastAsia"/>
        </w:rPr>
        <w:t>导管埋深异常未处置完成前，不得继续按正常速度浇筑。</w:t>
      </w:r>
    </w:p>
    <w:p w14:paraId="76B970D4">
      <w:pPr>
        <w:pStyle w:val="105"/>
        <w:spacing w:before="120" w:after="120" w:line="360" w:lineRule="auto"/>
      </w:pPr>
      <w:r>
        <w:rPr>
          <w:rFonts w:hint="eastAsia"/>
        </w:rPr>
        <w:t>混凝土面控制要求</w:t>
      </w:r>
    </w:p>
    <w:p w14:paraId="4F6F70A0">
      <w:pPr>
        <w:pStyle w:val="165"/>
        <w:spacing w:line="360" w:lineRule="auto"/>
      </w:pPr>
      <w:r>
        <w:rPr>
          <w:rFonts w:hint="eastAsia"/>
        </w:rPr>
        <w:t>浇筑过程中应实时或者分阶段测量混凝土面上升高度和标高变化。</w:t>
      </w:r>
    </w:p>
    <w:p w14:paraId="21EB59BA">
      <w:pPr>
        <w:pStyle w:val="165"/>
        <w:spacing w:line="360" w:lineRule="auto"/>
      </w:pPr>
      <w:r>
        <w:rPr>
          <w:rFonts w:hint="eastAsia"/>
        </w:rPr>
        <w:t>混凝土面上升速度应与供料速度和浇筑计划相协调。</w:t>
      </w:r>
    </w:p>
    <w:p w14:paraId="48698E0A">
      <w:pPr>
        <w:pStyle w:val="165"/>
        <w:spacing w:line="360" w:lineRule="auto"/>
      </w:pPr>
      <w:r>
        <w:rPr>
          <w:rFonts w:hint="eastAsia"/>
        </w:rPr>
        <w:t>对灌注桩施工，应根据孔内混凝土面上升情况判断导管埋深、浇筑连续性和可能存在的异常。</w:t>
      </w:r>
    </w:p>
    <w:p w14:paraId="4DF68776">
      <w:pPr>
        <w:pStyle w:val="165"/>
        <w:spacing w:line="360" w:lineRule="auto"/>
      </w:pPr>
      <w:r>
        <w:rPr>
          <w:rFonts w:hint="eastAsia"/>
        </w:rPr>
        <w:t>对水下封底施工，应控制分区上升均匀性和边界部位充填完整性。</w:t>
      </w:r>
    </w:p>
    <w:p w14:paraId="6F3CF1D4">
      <w:pPr>
        <w:pStyle w:val="165"/>
        <w:spacing w:line="360" w:lineRule="auto"/>
      </w:pPr>
      <w:r>
        <w:rPr>
          <w:rFonts w:hint="eastAsia"/>
        </w:rPr>
        <w:t>混凝土面上升异常迟缓、局部停滞或者局部突升时，应立即分析原因并核查孔内或者仓内状态。</w:t>
      </w:r>
    </w:p>
    <w:p w14:paraId="408B807A">
      <w:pPr>
        <w:pStyle w:val="105"/>
        <w:spacing w:before="120" w:after="120" w:line="360" w:lineRule="auto"/>
      </w:pPr>
      <w:r>
        <w:rPr>
          <w:rFonts w:hint="eastAsia"/>
        </w:rPr>
        <w:t>提管、拆管与换管控制要求</w:t>
      </w:r>
    </w:p>
    <w:p w14:paraId="3F2DF3CD">
      <w:pPr>
        <w:pStyle w:val="165"/>
        <w:spacing w:line="360" w:lineRule="auto"/>
      </w:pPr>
      <w:r>
        <w:rPr>
          <w:rFonts w:hint="eastAsia"/>
        </w:rPr>
        <w:t>导管提升应与混凝土面上升和导管埋深变化相协调。</w:t>
      </w:r>
    </w:p>
    <w:p w14:paraId="44339955">
      <w:pPr>
        <w:pStyle w:val="165"/>
        <w:spacing w:line="360" w:lineRule="auto"/>
      </w:pPr>
      <w:r>
        <w:rPr>
          <w:rFonts w:hint="eastAsia"/>
        </w:rPr>
        <w:t>提管高度应受控，不得大幅度快速提管。</w:t>
      </w:r>
    </w:p>
    <w:p w14:paraId="0AC5A84E">
      <w:pPr>
        <w:pStyle w:val="165"/>
        <w:spacing w:line="360" w:lineRule="auto"/>
      </w:pPr>
      <w:r>
        <w:rPr>
          <w:rFonts w:hint="eastAsia"/>
        </w:rPr>
        <w:t>导管拆管应在确认剩余埋深满足要求后实施。</w:t>
      </w:r>
    </w:p>
    <w:p w14:paraId="4BBC3EB1">
      <w:pPr>
        <w:pStyle w:val="165"/>
        <w:spacing w:line="360" w:lineRule="auto"/>
      </w:pPr>
      <w:r>
        <w:rPr>
          <w:rFonts w:hint="eastAsia"/>
        </w:rPr>
        <w:t>拆管和换管过程应防止导管提空、进水、漏浆和接头失稳。</w:t>
      </w:r>
    </w:p>
    <w:p w14:paraId="035DE2D0">
      <w:pPr>
        <w:pStyle w:val="165"/>
        <w:spacing w:line="360" w:lineRule="auto"/>
      </w:pPr>
      <w:r>
        <w:rPr>
          <w:rFonts w:hint="eastAsia"/>
        </w:rPr>
        <w:t>提管、拆管和换管每次操作均应记录时间、操作前后埋深和操作责任人。</w:t>
      </w:r>
    </w:p>
    <w:p w14:paraId="11D38D59">
      <w:pPr>
        <w:pStyle w:val="165"/>
        <w:spacing w:line="360" w:lineRule="auto"/>
      </w:pPr>
      <w:r>
        <w:rPr>
          <w:rFonts w:hint="eastAsia"/>
        </w:rPr>
        <w:t>发生导管提空、进水、堵管或者拆管失误时，应立即启动异常处置程序。</w:t>
      </w:r>
    </w:p>
    <w:p w14:paraId="33A25FEE">
      <w:pPr>
        <w:pStyle w:val="105"/>
        <w:spacing w:before="120" w:after="120" w:line="360" w:lineRule="auto"/>
      </w:pPr>
      <w:r>
        <w:rPr>
          <w:rFonts w:hint="eastAsia"/>
        </w:rPr>
        <w:t>浇筑结束控制要求</w:t>
      </w:r>
    </w:p>
    <w:p w14:paraId="7A772C13">
      <w:pPr>
        <w:pStyle w:val="165"/>
        <w:spacing w:line="360" w:lineRule="auto"/>
      </w:pPr>
      <w:r>
        <w:rPr>
          <w:rFonts w:hint="eastAsia"/>
        </w:rPr>
        <w:t>水下混凝土浇筑结束前应确认终浇标高、终浇方量和最终充填状态。</w:t>
      </w:r>
    </w:p>
    <w:p w14:paraId="3E365FAA">
      <w:pPr>
        <w:pStyle w:val="165"/>
        <w:spacing w:line="360" w:lineRule="auto"/>
      </w:pPr>
      <w:r>
        <w:rPr>
          <w:rFonts w:hint="eastAsia"/>
        </w:rPr>
        <w:t>浇筑结束后应复核混凝土顶面标高、超灌高度或者封顶高度。</w:t>
      </w:r>
    </w:p>
    <w:p w14:paraId="044FB31D">
      <w:pPr>
        <w:pStyle w:val="165"/>
        <w:spacing w:line="360" w:lineRule="auto"/>
      </w:pPr>
      <w:r>
        <w:rPr>
          <w:rFonts w:hint="eastAsia"/>
        </w:rPr>
        <w:t>浇筑结束记录应至少包括结束时间、累计方量、最终标高、最后车次和结束状态。</w:t>
      </w:r>
    </w:p>
    <w:p w14:paraId="3F930252">
      <w:pPr>
        <w:pStyle w:val="165"/>
        <w:spacing w:line="360" w:lineRule="auto"/>
      </w:pPr>
      <w:r>
        <w:rPr>
          <w:rFonts w:hint="eastAsia"/>
        </w:rPr>
        <w:t>浇筑结束后不得遗漏末端试件、末端测量和末端质量记录。</w:t>
      </w:r>
    </w:p>
    <w:p w14:paraId="2036DCED">
      <w:pPr>
        <w:pStyle w:val="105"/>
        <w:spacing w:before="120" w:after="120" w:line="360" w:lineRule="auto"/>
      </w:pPr>
      <w:r>
        <w:rPr>
          <w:rFonts w:hint="eastAsia"/>
        </w:rPr>
        <w:t>浇筑过程关键质量参数要求</w:t>
      </w:r>
    </w:p>
    <w:p w14:paraId="1777203A">
      <w:pPr>
        <w:pStyle w:val="165"/>
        <w:spacing w:line="360" w:lineRule="auto"/>
      </w:pPr>
      <w:r>
        <w:rPr>
          <w:rFonts w:hint="eastAsia"/>
        </w:rPr>
        <w:t>水下混凝土浇筑过程关键质量参数宜按表2执行。表2给出了水下混凝土浇筑过程关键质量参数控制要点。</w:t>
      </w:r>
    </w:p>
    <w:p w14:paraId="0060F633">
      <w:pPr>
        <w:pStyle w:val="112"/>
        <w:spacing w:before="120" w:after="120" w:line="360" w:lineRule="auto"/>
      </w:pPr>
      <w:r>
        <w:rPr>
          <w:rFonts w:hint="eastAsia"/>
        </w:rPr>
        <w:t>水下混凝土浇筑过程关键质量参数表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843"/>
        <w:gridCol w:w="4458"/>
        <w:gridCol w:w="2334"/>
      </w:tblGrid>
      <w:tr w14:paraId="7912F4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tcBorders>
              <w:top w:val="single" w:color="auto" w:sz="8" w:space="0"/>
              <w:bottom w:val="single" w:color="auto" w:sz="8" w:space="0"/>
            </w:tcBorders>
          </w:tcPr>
          <w:p w14:paraId="1103FAB0">
            <w:pPr>
              <w:pStyle w:val="178"/>
            </w:pPr>
            <w:r>
              <w:rPr>
                <w:rFonts w:hint="eastAsia"/>
              </w:rPr>
              <w:t>序号</w:t>
            </w:r>
          </w:p>
        </w:tc>
        <w:tc>
          <w:tcPr>
            <w:tcW w:w="1843" w:type="dxa"/>
            <w:tcBorders>
              <w:top w:val="single" w:color="auto" w:sz="8" w:space="0"/>
              <w:bottom w:val="single" w:color="auto" w:sz="8" w:space="0"/>
            </w:tcBorders>
          </w:tcPr>
          <w:p w14:paraId="60B4DED1">
            <w:pPr>
              <w:pStyle w:val="178"/>
            </w:pPr>
            <w:r>
              <w:rPr>
                <w:rFonts w:hint="eastAsia"/>
              </w:rPr>
              <w:t>关键参数</w:t>
            </w:r>
          </w:p>
        </w:tc>
        <w:tc>
          <w:tcPr>
            <w:tcW w:w="4458" w:type="dxa"/>
            <w:tcBorders>
              <w:top w:val="single" w:color="auto" w:sz="8" w:space="0"/>
              <w:bottom w:val="single" w:color="auto" w:sz="8" w:space="0"/>
            </w:tcBorders>
          </w:tcPr>
          <w:p w14:paraId="15D4F090">
            <w:pPr>
              <w:pStyle w:val="178"/>
            </w:pPr>
            <w:r>
              <w:rPr>
                <w:rFonts w:hint="eastAsia"/>
              </w:rPr>
              <w:t>主要控制内容</w:t>
            </w:r>
          </w:p>
        </w:tc>
        <w:tc>
          <w:tcPr>
            <w:tcW w:w="2334" w:type="dxa"/>
            <w:tcBorders>
              <w:top w:val="single" w:color="auto" w:sz="8" w:space="0"/>
              <w:bottom w:val="single" w:color="auto" w:sz="8" w:space="0"/>
            </w:tcBorders>
          </w:tcPr>
          <w:p w14:paraId="251D88B9">
            <w:pPr>
              <w:pStyle w:val="178"/>
            </w:pPr>
            <w:r>
              <w:rPr>
                <w:rFonts w:hint="eastAsia"/>
              </w:rPr>
              <w:t>质量溯源要求</w:t>
            </w:r>
          </w:p>
        </w:tc>
      </w:tr>
      <w:tr w14:paraId="1C97CE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Borders>
              <w:top w:val="single" w:color="auto" w:sz="8" w:space="0"/>
            </w:tcBorders>
          </w:tcPr>
          <w:p w14:paraId="674737C3">
            <w:pPr>
              <w:pStyle w:val="178"/>
            </w:pPr>
            <w:r>
              <w:rPr>
                <w:rFonts w:hint="eastAsia"/>
              </w:rPr>
              <w:t>1</w:t>
            </w:r>
          </w:p>
        </w:tc>
        <w:tc>
          <w:tcPr>
            <w:tcW w:w="1843" w:type="dxa"/>
            <w:tcBorders>
              <w:top w:val="single" w:color="auto" w:sz="8" w:space="0"/>
            </w:tcBorders>
          </w:tcPr>
          <w:p w14:paraId="32333072">
            <w:pPr>
              <w:pStyle w:val="178"/>
            </w:pPr>
            <w:r>
              <w:rPr>
                <w:rFonts w:hint="eastAsia"/>
              </w:rPr>
              <w:t>首盘方量</w:t>
            </w:r>
          </w:p>
        </w:tc>
        <w:tc>
          <w:tcPr>
            <w:tcW w:w="4458" w:type="dxa"/>
            <w:tcBorders>
              <w:top w:val="single" w:color="auto" w:sz="8" w:space="0"/>
            </w:tcBorders>
          </w:tcPr>
          <w:p w14:paraId="70D661DF">
            <w:pPr>
              <w:pStyle w:val="178"/>
            </w:pPr>
            <w:r>
              <w:rPr>
                <w:rFonts w:hint="eastAsia"/>
              </w:rPr>
              <w:t>是否满足封底和导管初始埋入要求</w:t>
            </w:r>
          </w:p>
        </w:tc>
        <w:tc>
          <w:tcPr>
            <w:tcW w:w="2334" w:type="dxa"/>
            <w:tcBorders>
              <w:top w:val="single" w:color="auto" w:sz="8" w:space="0"/>
            </w:tcBorders>
          </w:tcPr>
          <w:p w14:paraId="6B75ADC2">
            <w:pPr>
              <w:pStyle w:val="178"/>
            </w:pPr>
            <w:r>
              <w:rPr>
                <w:rFonts w:hint="eastAsia"/>
              </w:rPr>
              <w:t>应单独记录并可追查</w:t>
            </w:r>
          </w:p>
        </w:tc>
      </w:tr>
      <w:tr w14:paraId="5E99AB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Pr>
          <w:p w14:paraId="06CCB6EA">
            <w:pPr>
              <w:pStyle w:val="178"/>
            </w:pPr>
            <w:r>
              <w:rPr>
                <w:rFonts w:hint="eastAsia"/>
              </w:rPr>
              <w:t>2</w:t>
            </w:r>
          </w:p>
        </w:tc>
        <w:tc>
          <w:tcPr>
            <w:tcW w:w="1843" w:type="dxa"/>
          </w:tcPr>
          <w:p w14:paraId="7691F570">
            <w:pPr>
              <w:pStyle w:val="178"/>
            </w:pPr>
            <w:r>
              <w:rPr>
                <w:rFonts w:hint="eastAsia"/>
              </w:rPr>
              <w:t>导管埋深</w:t>
            </w:r>
          </w:p>
        </w:tc>
        <w:tc>
          <w:tcPr>
            <w:tcW w:w="4458" w:type="dxa"/>
          </w:tcPr>
          <w:p w14:paraId="5881C000">
            <w:pPr>
              <w:pStyle w:val="178"/>
            </w:pPr>
            <w:r>
              <w:rPr>
                <w:rFonts w:hint="eastAsia"/>
              </w:rPr>
              <w:t>初始埋深、过程埋深、拆管前埋深</w:t>
            </w:r>
          </w:p>
        </w:tc>
        <w:tc>
          <w:tcPr>
            <w:tcW w:w="2334" w:type="dxa"/>
          </w:tcPr>
          <w:p w14:paraId="04AF92A6">
            <w:pPr>
              <w:pStyle w:val="178"/>
            </w:pPr>
            <w:r>
              <w:rPr>
                <w:rFonts w:hint="eastAsia"/>
              </w:rPr>
              <w:t>应全过程测量和留痕</w:t>
            </w:r>
          </w:p>
        </w:tc>
      </w:tr>
      <w:tr w14:paraId="66E2AF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Pr>
          <w:p w14:paraId="48495C2E">
            <w:pPr>
              <w:pStyle w:val="178"/>
            </w:pPr>
            <w:r>
              <w:rPr>
                <w:rFonts w:hint="eastAsia"/>
              </w:rPr>
              <w:t>3</w:t>
            </w:r>
          </w:p>
        </w:tc>
        <w:tc>
          <w:tcPr>
            <w:tcW w:w="1843" w:type="dxa"/>
          </w:tcPr>
          <w:p w14:paraId="41622156">
            <w:pPr>
              <w:pStyle w:val="178"/>
            </w:pPr>
            <w:r>
              <w:rPr>
                <w:rFonts w:hint="eastAsia"/>
              </w:rPr>
              <w:t>运输间隔</w:t>
            </w:r>
          </w:p>
        </w:tc>
        <w:tc>
          <w:tcPr>
            <w:tcW w:w="4458" w:type="dxa"/>
          </w:tcPr>
          <w:p w14:paraId="6CA5A4CD">
            <w:pPr>
              <w:pStyle w:val="178"/>
            </w:pPr>
            <w:r>
              <w:rPr>
                <w:rFonts w:hint="eastAsia"/>
              </w:rPr>
              <w:t>相邻车次到场和卸料间隔</w:t>
            </w:r>
          </w:p>
        </w:tc>
        <w:tc>
          <w:tcPr>
            <w:tcW w:w="2334" w:type="dxa"/>
          </w:tcPr>
          <w:p w14:paraId="29B02E08">
            <w:pPr>
              <w:pStyle w:val="178"/>
            </w:pPr>
            <w:r>
              <w:rPr>
                <w:rFonts w:hint="eastAsia"/>
              </w:rPr>
              <w:t>应与连续浇筑状态对应</w:t>
            </w:r>
          </w:p>
        </w:tc>
      </w:tr>
      <w:tr w14:paraId="1ADD9B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Pr>
          <w:p w14:paraId="21760C2B">
            <w:pPr>
              <w:pStyle w:val="178"/>
            </w:pPr>
            <w:r>
              <w:rPr>
                <w:rFonts w:hint="eastAsia"/>
              </w:rPr>
              <w:t>4</w:t>
            </w:r>
          </w:p>
        </w:tc>
        <w:tc>
          <w:tcPr>
            <w:tcW w:w="1843" w:type="dxa"/>
          </w:tcPr>
          <w:p w14:paraId="48BD93D4">
            <w:pPr>
              <w:pStyle w:val="178"/>
            </w:pPr>
            <w:r>
              <w:rPr>
                <w:rFonts w:hint="eastAsia"/>
              </w:rPr>
              <w:t>浇筑标高</w:t>
            </w:r>
          </w:p>
        </w:tc>
        <w:tc>
          <w:tcPr>
            <w:tcW w:w="4458" w:type="dxa"/>
          </w:tcPr>
          <w:p w14:paraId="2BDD0D6D">
            <w:pPr>
              <w:pStyle w:val="178"/>
            </w:pPr>
            <w:r>
              <w:rPr>
                <w:rFonts w:hint="eastAsia"/>
              </w:rPr>
              <w:t>混凝土面上升高度和终浇标高</w:t>
            </w:r>
          </w:p>
        </w:tc>
        <w:tc>
          <w:tcPr>
            <w:tcW w:w="2334" w:type="dxa"/>
          </w:tcPr>
          <w:p w14:paraId="5A58C72B">
            <w:pPr>
              <w:pStyle w:val="178"/>
            </w:pPr>
            <w:r>
              <w:rPr>
                <w:rFonts w:hint="eastAsia"/>
              </w:rPr>
              <w:t>应分阶段测量并记录</w:t>
            </w:r>
          </w:p>
        </w:tc>
      </w:tr>
      <w:tr w14:paraId="458F76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Pr>
          <w:p w14:paraId="42AE155B">
            <w:pPr>
              <w:pStyle w:val="178"/>
            </w:pPr>
            <w:r>
              <w:rPr>
                <w:rFonts w:hint="eastAsia"/>
              </w:rPr>
              <w:t>5</w:t>
            </w:r>
          </w:p>
        </w:tc>
        <w:tc>
          <w:tcPr>
            <w:tcW w:w="1843" w:type="dxa"/>
          </w:tcPr>
          <w:p w14:paraId="2B762BC3">
            <w:pPr>
              <w:pStyle w:val="178"/>
            </w:pPr>
            <w:r>
              <w:rPr>
                <w:rFonts w:hint="eastAsia"/>
              </w:rPr>
              <w:t>提管高度</w:t>
            </w:r>
          </w:p>
        </w:tc>
        <w:tc>
          <w:tcPr>
            <w:tcW w:w="4458" w:type="dxa"/>
          </w:tcPr>
          <w:p w14:paraId="6F799A4C">
            <w:pPr>
              <w:pStyle w:val="178"/>
            </w:pPr>
            <w:r>
              <w:rPr>
                <w:rFonts w:hint="eastAsia"/>
              </w:rPr>
              <w:t>单次提管量和提管时机</w:t>
            </w:r>
          </w:p>
        </w:tc>
        <w:tc>
          <w:tcPr>
            <w:tcW w:w="2334" w:type="dxa"/>
          </w:tcPr>
          <w:p w14:paraId="27215A3C">
            <w:pPr>
              <w:pStyle w:val="178"/>
            </w:pPr>
            <w:r>
              <w:rPr>
                <w:rFonts w:hint="eastAsia"/>
              </w:rPr>
              <w:t>应有操作记录</w:t>
            </w:r>
          </w:p>
        </w:tc>
      </w:tr>
      <w:tr w14:paraId="577238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Pr>
          <w:p w14:paraId="2BCBA47A">
            <w:pPr>
              <w:pStyle w:val="178"/>
            </w:pPr>
            <w:r>
              <w:rPr>
                <w:rFonts w:hint="eastAsia"/>
              </w:rPr>
              <w:t>6</w:t>
            </w:r>
          </w:p>
        </w:tc>
        <w:tc>
          <w:tcPr>
            <w:tcW w:w="1843" w:type="dxa"/>
          </w:tcPr>
          <w:p w14:paraId="3E71B868">
            <w:pPr>
              <w:pStyle w:val="178"/>
            </w:pPr>
            <w:r>
              <w:rPr>
                <w:rFonts w:hint="eastAsia"/>
              </w:rPr>
              <w:t>中断时长</w:t>
            </w:r>
          </w:p>
        </w:tc>
        <w:tc>
          <w:tcPr>
            <w:tcW w:w="4458" w:type="dxa"/>
          </w:tcPr>
          <w:p w14:paraId="2BBC50B0">
            <w:pPr>
              <w:pStyle w:val="178"/>
            </w:pPr>
            <w:r>
              <w:rPr>
                <w:rFonts w:hint="eastAsia"/>
              </w:rPr>
              <w:t>停浇持续时间和恢复时间</w:t>
            </w:r>
          </w:p>
        </w:tc>
        <w:tc>
          <w:tcPr>
            <w:tcW w:w="2334" w:type="dxa"/>
          </w:tcPr>
          <w:p w14:paraId="727040C8">
            <w:pPr>
              <w:pStyle w:val="178"/>
            </w:pPr>
            <w:r>
              <w:rPr>
                <w:rFonts w:hint="eastAsia"/>
              </w:rPr>
              <w:t>应单独记录并判定影响</w:t>
            </w:r>
          </w:p>
        </w:tc>
      </w:tr>
      <w:tr w14:paraId="58A688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Pr>
          <w:p w14:paraId="53EDC264">
            <w:pPr>
              <w:pStyle w:val="178"/>
            </w:pPr>
            <w:r>
              <w:rPr>
                <w:rFonts w:hint="eastAsia"/>
              </w:rPr>
              <w:t>7</w:t>
            </w:r>
          </w:p>
        </w:tc>
        <w:tc>
          <w:tcPr>
            <w:tcW w:w="1843" w:type="dxa"/>
          </w:tcPr>
          <w:p w14:paraId="63474BE5">
            <w:pPr>
              <w:pStyle w:val="178"/>
            </w:pPr>
            <w:r>
              <w:rPr>
                <w:rFonts w:hint="eastAsia"/>
              </w:rPr>
              <w:t>拌合物状态</w:t>
            </w:r>
          </w:p>
        </w:tc>
        <w:tc>
          <w:tcPr>
            <w:tcW w:w="4458" w:type="dxa"/>
          </w:tcPr>
          <w:p w14:paraId="41377AAA">
            <w:pPr>
              <w:pStyle w:val="178"/>
            </w:pPr>
            <w:r>
              <w:rPr>
                <w:rFonts w:hint="eastAsia"/>
              </w:rPr>
              <w:t>到场工作性和下料状态</w:t>
            </w:r>
          </w:p>
        </w:tc>
        <w:tc>
          <w:tcPr>
            <w:tcW w:w="2334" w:type="dxa"/>
          </w:tcPr>
          <w:p w14:paraId="0869A9DF">
            <w:pPr>
              <w:pStyle w:val="178"/>
            </w:pPr>
            <w:r>
              <w:rPr>
                <w:rFonts w:hint="eastAsia"/>
              </w:rPr>
              <w:t>应与车次和批次对应</w:t>
            </w:r>
          </w:p>
        </w:tc>
      </w:tr>
      <w:tr w14:paraId="30CC4C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Pr>
          <w:p w14:paraId="07DE1AC6">
            <w:pPr>
              <w:pStyle w:val="178"/>
            </w:pPr>
            <w:r>
              <w:rPr>
                <w:rFonts w:hint="eastAsia"/>
              </w:rPr>
              <w:t>8</w:t>
            </w:r>
          </w:p>
        </w:tc>
        <w:tc>
          <w:tcPr>
            <w:tcW w:w="1843" w:type="dxa"/>
          </w:tcPr>
          <w:p w14:paraId="6EB5DB25">
            <w:pPr>
              <w:pStyle w:val="178"/>
            </w:pPr>
            <w:r>
              <w:rPr>
                <w:rFonts w:hint="eastAsia"/>
              </w:rPr>
              <w:t>异常事件</w:t>
            </w:r>
          </w:p>
        </w:tc>
        <w:tc>
          <w:tcPr>
            <w:tcW w:w="4458" w:type="dxa"/>
          </w:tcPr>
          <w:p w14:paraId="51A503A4">
            <w:pPr>
              <w:pStyle w:val="178"/>
            </w:pPr>
            <w:r>
              <w:rPr>
                <w:rFonts w:hint="eastAsia"/>
              </w:rPr>
              <w:t>堵管、进水、离析、夹泥风险等</w:t>
            </w:r>
          </w:p>
        </w:tc>
        <w:tc>
          <w:tcPr>
            <w:tcW w:w="2334" w:type="dxa"/>
          </w:tcPr>
          <w:p w14:paraId="42898551">
            <w:pPr>
              <w:pStyle w:val="178"/>
            </w:pPr>
            <w:r>
              <w:rPr>
                <w:rFonts w:hint="eastAsia"/>
              </w:rPr>
              <w:t>应单独编码和闭环处置</w:t>
            </w:r>
          </w:p>
        </w:tc>
      </w:tr>
    </w:tbl>
    <w:p w14:paraId="32A18B7B">
      <w:pPr>
        <w:pStyle w:val="105"/>
        <w:spacing w:before="120" w:after="120" w:line="360" w:lineRule="auto"/>
      </w:pPr>
      <w:r>
        <w:rPr>
          <w:rFonts w:hint="eastAsia"/>
        </w:rPr>
        <w:t>现场试件留置联动要求</w:t>
      </w:r>
    </w:p>
    <w:p w14:paraId="4F536303">
      <w:pPr>
        <w:pStyle w:val="165"/>
        <w:spacing w:line="360" w:lineRule="auto"/>
      </w:pPr>
      <w:r>
        <w:rPr>
          <w:rFonts w:hint="eastAsia"/>
        </w:rPr>
        <w:t>浇筑过程中的试件留置应与施工批次、施工部位和关键时段对应。</w:t>
      </w:r>
    </w:p>
    <w:p w14:paraId="1F414319">
      <w:pPr>
        <w:pStyle w:val="165"/>
        <w:spacing w:line="360" w:lineRule="auto"/>
      </w:pPr>
      <w:r>
        <w:rPr>
          <w:rFonts w:hint="eastAsia"/>
        </w:rPr>
        <w:t>首盘、中段、末段和异常时段宜分别留置相应试件或者检测样品。</w:t>
      </w:r>
    </w:p>
    <w:p w14:paraId="1A935865">
      <w:pPr>
        <w:pStyle w:val="165"/>
        <w:spacing w:line="360" w:lineRule="auto"/>
      </w:pPr>
      <w:r>
        <w:rPr>
          <w:rFonts w:hint="eastAsia"/>
        </w:rPr>
        <w:t>试件编号应与施工记录、车次记录和批次记录建立一一对应关系。</w:t>
      </w:r>
    </w:p>
    <w:p w14:paraId="650C08BD">
      <w:pPr>
        <w:pStyle w:val="165"/>
        <w:spacing w:line="360" w:lineRule="auto"/>
      </w:pPr>
      <w:r>
        <w:rPr>
          <w:rFonts w:hint="eastAsia"/>
        </w:rPr>
        <w:t>试件留置时间、留置部位和留置责任人应形成记录。</w:t>
      </w:r>
    </w:p>
    <w:p w14:paraId="4755F465">
      <w:pPr>
        <w:pStyle w:val="105"/>
        <w:spacing w:before="120" w:after="120" w:line="360" w:lineRule="auto"/>
      </w:pPr>
      <w:r>
        <w:rPr>
          <w:rFonts w:hint="eastAsia"/>
        </w:rPr>
        <w:t>浇筑过程影像与电子记录要求</w:t>
      </w:r>
    </w:p>
    <w:p w14:paraId="1EA7DAD7">
      <w:pPr>
        <w:pStyle w:val="165"/>
        <w:spacing w:line="360" w:lineRule="auto"/>
      </w:pPr>
      <w:r>
        <w:rPr>
          <w:rFonts w:hint="eastAsia"/>
        </w:rPr>
        <w:t>重点水下混凝土施工部位宜采用影像记录、电子记录或者自动采集手段留痕。</w:t>
      </w:r>
    </w:p>
    <w:p w14:paraId="4B90D217">
      <w:pPr>
        <w:pStyle w:val="165"/>
        <w:spacing w:line="360" w:lineRule="auto"/>
      </w:pPr>
      <w:r>
        <w:rPr>
          <w:rFonts w:hint="eastAsia"/>
        </w:rPr>
        <w:t>首盘封底、导管拆装、关键提管操作、异常情况和恢复施工等关键节点宜形成影像资料。</w:t>
      </w:r>
    </w:p>
    <w:p w14:paraId="49D5C486">
      <w:pPr>
        <w:pStyle w:val="165"/>
        <w:spacing w:line="360" w:lineRule="auto"/>
      </w:pPr>
      <w:r>
        <w:rPr>
          <w:rFonts w:hint="eastAsia"/>
        </w:rPr>
        <w:t>电子记录时间应与现场实际操作时间一致，不得事后统一补填关键节点时间。</w:t>
      </w:r>
    </w:p>
    <w:p w14:paraId="616BC92D">
      <w:pPr>
        <w:pStyle w:val="105"/>
        <w:spacing w:before="120" w:after="120" w:line="360" w:lineRule="auto"/>
      </w:pPr>
      <w:r>
        <w:rPr>
          <w:rFonts w:hint="eastAsia"/>
        </w:rPr>
        <w:t>浇筑异常情况控制要求</w:t>
      </w:r>
    </w:p>
    <w:p w14:paraId="61EA8A8E">
      <w:pPr>
        <w:pStyle w:val="165"/>
        <w:spacing w:line="360" w:lineRule="auto"/>
      </w:pPr>
      <w:r>
        <w:rPr>
          <w:rFonts w:hint="eastAsia"/>
        </w:rPr>
        <w:t>浇筑过程中出现下列情形之一时，应判定为异常并及时处置：</w:t>
      </w:r>
    </w:p>
    <w:p w14:paraId="0BF329E6">
      <w:pPr>
        <w:pStyle w:val="56"/>
        <w:spacing w:line="360" w:lineRule="auto"/>
        <w:ind w:firstLine="420"/>
      </w:pPr>
      <w:r>
        <w:rPr>
          <w:rFonts w:hint="eastAsia"/>
        </w:rPr>
        <w:t>a）首盘封底异常；</w:t>
      </w:r>
    </w:p>
    <w:p w14:paraId="0A9B0B17">
      <w:pPr>
        <w:pStyle w:val="56"/>
        <w:spacing w:line="360" w:lineRule="auto"/>
        <w:ind w:firstLine="420"/>
      </w:pPr>
      <w:r>
        <w:rPr>
          <w:rFonts w:hint="eastAsia"/>
        </w:rPr>
        <w:t>b）导管埋深异常；</w:t>
      </w:r>
    </w:p>
    <w:p w14:paraId="79051D1C">
      <w:pPr>
        <w:pStyle w:val="56"/>
        <w:spacing w:line="360" w:lineRule="auto"/>
        <w:ind w:firstLine="420"/>
      </w:pPr>
      <w:r>
        <w:rPr>
          <w:rFonts w:hint="eastAsia"/>
        </w:rPr>
        <w:t>c）导管提空或者进水；</w:t>
      </w:r>
    </w:p>
    <w:p w14:paraId="543ABE5F">
      <w:pPr>
        <w:pStyle w:val="56"/>
        <w:spacing w:line="360" w:lineRule="auto"/>
        <w:ind w:firstLine="420"/>
      </w:pPr>
      <w:r>
        <w:rPr>
          <w:rFonts w:hint="eastAsia"/>
        </w:rPr>
        <w:t>d）堵管；</w:t>
      </w:r>
    </w:p>
    <w:p w14:paraId="6CA61E72">
      <w:pPr>
        <w:pStyle w:val="56"/>
        <w:spacing w:line="360" w:lineRule="auto"/>
        <w:ind w:firstLine="420"/>
      </w:pPr>
      <w:r>
        <w:rPr>
          <w:rFonts w:hint="eastAsia"/>
        </w:rPr>
        <w:t>e）混凝土面异常不上升；</w:t>
      </w:r>
    </w:p>
    <w:p w14:paraId="3BEAF6BF">
      <w:pPr>
        <w:pStyle w:val="56"/>
        <w:spacing w:line="360" w:lineRule="auto"/>
        <w:ind w:firstLine="420"/>
      </w:pPr>
      <w:r>
        <w:rPr>
          <w:rFonts w:hint="eastAsia"/>
        </w:rPr>
        <w:t>f）浇筑中断超限；</w:t>
      </w:r>
    </w:p>
    <w:p w14:paraId="4008D6A0">
      <w:pPr>
        <w:pStyle w:val="56"/>
        <w:spacing w:line="360" w:lineRule="auto"/>
        <w:ind w:firstLine="420"/>
      </w:pPr>
      <w:r>
        <w:rPr>
          <w:rFonts w:hint="eastAsia"/>
        </w:rPr>
        <w:t>g）离析、夹泥或者缩颈风险；</w:t>
      </w:r>
    </w:p>
    <w:p w14:paraId="2E1E9EC7">
      <w:pPr>
        <w:pStyle w:val="56"/>
        <w:spacing w:line="360" w:lineRule="auto"/>
        <w:ind w:firstLine="420"/>
      </w:pPr>
      <w:r>
        <w:rPr>
          <w:rFonts w:hint="eastAsia"/>
        </w:rPr>
        <w:t>h）供料严重不连续；</w:t>
      </w:r>
    </w:p>
    <w:p w14:paraId="67BE0C49">
      <w:pPr>
        <w:pStyle w:val="56"/>
        <w:spacing w:line="360" w:lineRule="auto"/>
        <w:ind w:firstLine="420"/>
      </w:pPr>
      <w:r>
        <w:rPr>
          <w:rFonts w:hint="eastAsia"/>
        </w:rPr>
        <w:t>i）设备故障影响浇筑；</w:t>
      </w:r>
    </w:p>
    <w:p w14:paraId="0A7C4FB7">
      <w:pPr>
        <w:pStyle w:val="56"/>
        <w:spacing w:line="360" w:lineRule="auto"/>
        <w:ind w:firstLine="420"/>
      </w:pPr>
      <w:r>
        <w:rPr>
          <w:rFonts w:hint="eastAsia"/>
        </w:rPr>
        <w:t>j）终浇标高异常。</w:t>
      </w:r>
    </w:p>
    <w:p w14:paraId="62233D77">
      <w:pPr>
        <w:pStyle w:val="165"/>
        <w:spacing w:line="360" w:lineRule="auto"/>
      </w:pPr>
      <w:r>
        <w:rPr>
          <w:rFonts w:hint="eastAsia"/>
        </w:rPr>
        <w:t>异常处置应做到“立即识别、立即报告、立即记录、立即处置”。</w:t>
      </w:r>
    </w:p>
    <w:p w14:paraId="1A0523A4">
      <w:pPr>
        <w:pStyle w:val="165"/>
        <w:spacing w:line="360" w:lineRule="auto"/>
      </w:pPr>
      <w:r>
        <w:rPr>
          <w:rFonts w:hint="eastAsia"/>
        </w:rPr>
        <w:t>异常处置过程应形成专项记录，并纳入后续逆向追溯范围。</w:t>
      </w:r>
    </w:p>
    <w:p w14:paraId="59560A7A">
      <w:pPr>
        <w:pStyle w:val="105"/>
        <w:spacing w:before="120" w:after="120" w:line="360" w:lineRule="auto"/>
      </w:pPr>
      <w:r>
        <w:rPr>
          <w:rFonts w:hint="eastAsia"/>
        </w:rPr>
        <w:t>浇筑过程资料要求</w:t>
      </w:r>
    </w:p>
    <w:p w14:paraId="3577DDE5">
      <w:pPr>
        <w:pStyle w:val="165"/>
        <w:spacing w:line="360" w:lineRule="auto"/>
      </w:pPr>
      <w:r>
        <w:rPr>
          <w:rFonts w:hint="eastAsia"/>
        </w:rPr>
        <w:t>水下混凝土浇筑过程应形成完整资料。</w:t>
      </w:r>
    </w:p>
    <w:p w14:paraId="54BECC45">
      <w:pPr>
        <w:pStyle w:val="165"/>
        <w:spacing w:line="360" w:lineRule="auto"/>
      </w:pPr>
      <w:r>
        <w:rPr>
          <w:rFonts w:hint="eastAsia"/>
        </w:rPr>
        <w:t>资料宜至少包括：</w:t>
      </w:r>
    </w:p>
    <w:p w14:paraId="05FD3C4F">
      <w:pPr>
        <w:pStyle w:val="56"/>
        <w:spacing w:line="360" w:lineRule="auto"/>
        <w:ind w:firstLine="420"/>
      </w:pPr>
      <w:r>
        <w:rPr>
          <w:rFonts w:hint="eastAsia"/>
        </w:rPr>
        <w:t>a）浇筑起止时间记录；</w:t>
      </w:r>
    </w:p>
    <w:p w14:paraId="5EFF5AAB">
      <w:pPr>
        <w:pStyle w:val="56"/>
        <w:spacing w:line="360" w:lineRule="auto"/>
        <w:ind w:firstLine="420"/>
      </w:pPr>
      <w:r>
        <w:rPr>
          <w:rFonts w:hint="eastAsia"/>
        </w:rPr>
        <w:t>b）导管埋深记录；</w:t>
      </w:r>
    </w:p>
    <w:p w14:paraId="05464644">
      <w:pPr>
        <w:pStyle w:val="56"/>
        <w:spacing w:line="360" w:lineRule="auto"/>
        <w:ind w:firstLine="420"/>
      </w:pPr>
      <w:r>
        <w:rPr>
          <w:rFonts w:hint="eastAsia"/>
        </w:rPr>
        <w:t>c）混凝土面测量记录；</w:t>
      </w:r>
    </w:p>
    <w:p w14:paraId="740240A5">
      <w:pPr>
        <w:pStyle w:val="56"/>
        <w:spacing w:line="360" w:lineRule="auto"/>
        <w:ind w:firstLine="420"/>
      </w:pPr>
      <w:r>
        <w:rPr>
          <w:rFonts w:hint="eastAsia"/>
        </w:rPr>
        <w:t>d）提管拆管记录；</w:t>
      </w:r>
    </w:p>
    <w:p w14:paraId="1576DEA6">
      <w:pPr>
        <w:pStyle w:val="56"/>
        <w:spacing w:line="360" w:lineRule="auto"/>
        <w:ind w:firstLine="420"/>
      </w:pPr>
      <w:r>
        <w:rPr>
          <w:rFonts w:hint="eastAsia"/>
        </w:rPr>
        <w:t>e）运输车次和下料顺序记录；</w:t>
      </w:r>
    </w:p>
    <w:p w14:paraId="0C483E94">
      <w:pPr>
        <w:pStyle w:val="56"/>
        <w:spacing w:line="360" w:lineRule="auto"/>
        <w:ind w:firstLine="420"/>
      </w:pPr>
      <w:r>
        <w:rPr>
          <w:rFonts w:hint="eastAsia"/>
        </w:rPr>
        <w:t>f）首盘专项记录；</w:t>
      </w:r>
    </w:p>
    <w:p w14:paraId="4A95770D">
      <w:pPr>
        <w:pStyle w:val="56"/>
        <w:spacing w:line="360" w:lineRule="auto"/>
        <w:ind w:firstLine="420"/>
      </w:pPr>
      <w:r>
        <w:rPr>
          <w:rFonts w:hint="eastAsia"/>
        </w:rPr>
        <w:t>g）试件留置记录；</w:t>
      </w:r>
    </w:p>
    <w:p w14:paraId="63050BE8">
      <w:pPr>
        <w:pStyle w:val="56"/>
        <w:spacing w:line="360" w:lineRule="auto"/>
        <w:ind w:firstLine="420"/>
      </w:pPr>
      <w:r>
        <w:rPr>
          <w:rFonts w:hint="eastAsia"/>
        </w:rPr>
        <w:t>h）异常情况和处置记录；</w:t>
      </w:r>
    </w:p>
    <w:p w14:paraId="01CF47CC">
      <w:pPr>
        <w:pStyle w:val="56"/>
        <w:spacing w:line="360" w:lineRule="auto"/>
        <w:ind w:firstLine="420"/>
      </w:pPr>
      <w:r>
        <w:rPr>
          <w:rFonts w:hint="eastAsia"/>
        </w:rPr>
        <w:t>i）影像资料。</w:t>
      </w:r>
    </w:p>
    <w:p w14:paraId="52151E3C">
      <w:pPr>
        <w:pStyle w:val="165"/>
        <w:spacing w:line="360" w:lineRule="auto"/>
      </w:pPr>
      <w:r>
        <w:rPr>
          <w:rFonts w:hint="eastAsia"/>
        </w:rPr>
        <w:t>浇筑过程资料应与溯源编码、施工部位和检测资料相互对应。</w:t>
      </w:r>
    </w:p>
    <w:p w14:paraId="559CDDF7">
      <w:pPr>
        <w:pStyle w:val="104"/>
        <w:spacing w:before="240" w:after="240" w:line="360" w:lineRule="auto"/>
      </w:pPr>
      <w:bookmarkStart w:id="55" w:name="_Toc228532476"/>
      <w:r>
        <w:rPr>
          <w:rFonts w:hint="eastAsia"/>
        </w:rPr>
        <w:t>试件留置、检测验证与实体验证要求</w:t>
      </w:r>
      <w:bookmarkEnd w:id="55"/>
    </w:p>
    <w:p w14:paraId="1D7BD793">
      <w:pPr>
        <w:pStyle w:val="105"/>
        <w:spacing w:before="120" w:after="120" w:line="360" w:lineRule="auto"/>
      </w:pPr>
      <w:r>
        <w:rPr>
          <w:rFonts w:hint="eastAsia"/>
        </w:rPr>
        <w:t>一般规定</w:t>
      </w:r>
    </w:p>
    <w:p w14:paraId="1BC385E3">
      <w:pPr>
        <w:pStyle w:val="165"/>
        <w:spacing w:line="360" w:lineRule="auto"/>
      </w:pPr>
      <w:r>
        <w:rPr>
          <w:rFonts w:hint="eastAsia"/>
        </w:rPr>
        <w:t>水下混凝土施工应建立试件留置、检测验证和实体验证相结合的质量验证体系。</w:t>
      </w:r>
    </w:p>
    <w:p w14:paraId="4C582817">
      <w:pPr>
        <w:pStyle w:val="165"/>
        <w:spacing w:line="360" w:lineRule="auto"/>
      </w:pPr>
      <w:r>
        <w:rPr>
          <w:rFonts w:hint="eastAsia"/>
        </w:rPr>
        <w:t>质量验证应满足批次可对应、结果可复核、实体可验证和缺陷可识别要求。</w:t>
      </w:r>
    </w:p>
    <w:p w14:paraId="3C715808">
      <w:pPr>
        <w:pStyle w:val="165"/>
        <w:spacing w:line="360" w:lineRule="auto"/>
      </w:pPr>
      <w:r>
        <w:rPr>
          <w:rFonts w:hint="eastAsia"/>
        </w:rPr>
        <w:t>试件、检测和实体验证信息应作为全链条质量溯源的重要组成部分，不得单独管理且脱离施工批次。</w:t>
      </w:r>
    </w:p>
    <w:p w14:paraId="4F66AC0B">
      <w:pPr>
        <w:pStyle w:val="105"/>
        <w:spacing w:before="120" w:after="120" w:line="360" w:lineRule="auto"/>
      </w:pPr>
      <w:r>
        <w:rPr>
          <w:rFonts w:hint="eastAsia"/>
        </w:rPr>
        <w:t>试件留置要求</w:t>
      </w:r>
    </w:p>
    <w:p w14:paraId="0DADA062">
      <w:pPr>
        <w:pStyle w:val="165"/>
        <w:spacing w:line="360" w:lineRule="auto"/>
      </w:pPr>
      <w:r>
        <w:rPr>
          <w:rFonts w:hint="eastAsia"/>
        </w:rPr>
        <w:t>试件留置应根据工程类型、施工批次、施工方量和风险程度确定。</w:t>
      </w:r>
    </w:p>
    <w:p w14:paraId="548B80E1">
      <w:pPr>
        <w:pStyle w:val="165"/>
        <w:spacing w:line="360" w:lineRule="auto"/>
      </w:pPr>
      <w:r>
        <w:rPr>
          <w:rFonts w:hint="eastAsia"/>
        </w:rPr>
        <w:t>试件留置应覆盖正常批次、首盘关键批次、末盘关键批次和异常批次。</w:t>
      </w:r>
    </w:p>
    <w:p w14:paraId="46C0083A">
      <w:pPr>
        <w:pStyle w:val="165"/>
        <w:spacing w:line="360" w:lineRule="auto"/>
      </w:pPr>
      <w:r>
        <w:rPr>
          <w:rFonts w:hint="eastAsia"/>
        </w:rPr>
        <w:t>试件留置应记录下列内容：</w:t>
      </w:r>
    </w:p>
    <w:p w14:paraId="4B8F8184">
      <w:pPr>
        <w:pStyle w:val="56"/>
        <w:spacing w:line="360" w:lineRule="auto"/>
        <w:ind w:firstLine="420"/>
      </w:pPr>
      <w:r>
        <w:rPr>
          <w:rFonts w:hint="eastAsia"/>
        </w:rPr>
        <w:t>a）试件编号；</w:t>
      </w:r>
    </w:p>
    <w:p w14:paraId="5B687A4C">
      <w:pPr>
        <w:pStyle w:val="56"/>
        <w:spacing w:line="360" w:lineRule="auto"/>
        <w:ind w:firstLine="420"/>
      </w:pPr>
      <w:r>
        <w:rPr>
          <w:rFonts w:hint="eastAsia"/>
        </w:rPr>
        <w:t>b）对应施工批次；</w:t>
      </w:r>
    </w:p>
    <w:p w14:paraId="52288B2D">
      <w:pPr>
        <w:pStyle w:val="56"/>
        <w:spacing w:line="360" w:lineRule="auto"/>
        <w:ind w:firstLine="420"/>
      </w:pPr>
      <w:r>
        <w:rPr>
          <w:rFonts w:hint="eastAsia"/>
        </w:rPr>
        <w:t>c）对应车次或者盘次；</w:t>
      </w:r>
    </w:p>
    <w:p w14:paraId="787027D1">
      <w:pPr>
        <w:pStyle w:val="56"/>
        <w:spacing w:line="360" w:lineRule="auto"/>
        <w:ind w:firstLine="420"/>
      </w:pPr>
      <w:r>
        <w:rPr>
          <w:rFonts w:hint="eastAsia"/>
        </w:rPr>
        <w:t>d）留置时间；</w:t>
      </w:r>
    </w:p>
    <w:p w14:paraId="01B48167">
      <w:pPr>
        <w:pStyle w:val="56"/>
        <w:spacing w:line="360" w:lineRule="auto"/>
        <w:ind w:firstLine="420"/>
      </w:pPr>
      <w:r>
        <w:rPr>
          <w:rFonts w:hint="eastAsia"/>
        </w:rPr>
        <w:t>e）留置部位；</w:t>
      </w:r>
    </w:p>
    <w:p w14:paraId="04D5054B">
      <w:pPr>
        <w:pStyle w:val="56"/>
        <w:spacing w:line="360" w:lineRule="auto"/>
        <w:ind w:firstLine="420"/>
      </w:pPr>
      <w:r>
        <w:rPr>
          <w:rFonts w:hint="eastAsia"/>
        </w:rPr>
        <w:t>f）留置人；</w:t>
      </w:r>
    </w:p>
    <w:p w14:paraId="6EA8EC43">
      <w:pPr>
        <w:pStyle w:val="56"/>
        <w:spacing w:line="360" w:lineRule="auto"/>
        <w:ind w:firstLine="420"/>
      </w:pPr>
      <w:r>
        <w:rPr>
          <w:rFonts w:hint="eastAsia"/>
        </w:rPr>
        <w:t>g）养护方式。</w:t>
      </w:r>
    </w:p>
    <w:p w14:paraId="0A7218E7">
      <w:pPr>
        <w:pStyle w:val="165"/>
        <w:spacing w:line="360" w:lineRule="auto"/>
      </w:pPr>
      <w:r>
        <w:rPr>
          <w:rFonts w:hint="eastAsia"/>
        </w:rPr>
        <w:t>试件不得脱离实际浇筑状态随意取样，不得以其他批次试件替代对应批次试件。</w:t>
      </w:r>
    </w:p>
    <w:p w14:paraId="58D5D6E8">
      <w:pPr>
        <w:pStyle w:val="105"/>
        <w:spacing w:before="120" w:after="120" w:line="360" w:lineRule="auto"/>
      </w:pPr>
      <w:r>
        <w:rPr>
          <w:rFonts w:hint="eastAsia"/>
        </w:rPr>
        <w:t>试件养护与送检要求</w:t>
      </w:r>
    </w:p>
    <w:p w14:paraId="5567466D">
      <w:pPr>
        <w:pStyle w:val="165"/>
        <w:spacing w:line="360" w:lineRule="auto"/>
      </w:pPr>
      <w:r>
        <w:rPr>
          <w:rFonts w:hint="eastAsia"/>
        </w:rPr>
        <w:t>试件养护应符合相应标准和试验要求。</w:t>
      </w:r>
    </w:p>
    <w:p w14:paraId="4FD1CABB">
      <w:pPr>
        <w:pStyle w:val="165"/>
        <w:spacing w:line="360" w:lineRule="auto"/>
      </w:pPr>
      <w:r>
        <w:rPr>
          <w:rFonts w:hint="eastAsia"/>
        </w:rPr>
        <w:t>试件转运、养护、送检过程应保持编号连续和状态可追。</w:t>
      </w:r>
    </w:p>
    <w:p w14:paraId="4E9DD31A">
      <w:pPr>
        <w:pStyle w:val="165"/>
        <w:spacing w:line="360" w:lineRule="auto"/>
      </w:pPr>
      <w:r>
        <w:rPr>
          <w:rFonts w:hint="eastAsia"/>
        </w:rPr>
        <w:t>送检单应注明施工部位、施工批次、取样时间和对应溯源编码。</w:t>
      </w:r>
    </w:p>
    <w:p w14:paraId="16D4603B">
      <w:pPr>
        <w:pStyle w:val="165"/>
        <w:spacing w:line="360" w:lineRule="auto"/>
      </w:pPr>
      <w:r>
        <w:rPr>
          <w:rFonts w:hint="eastAsia"/>
        </w:rPr>
        <w:t>试件丢失、编号混乱、养护异常或者送检信息不全时，不得作为有效检测样品。</w:t>
      </w:r>
    </w:p>
    <w:p w14:paraId="7DE469E1">
      <w:pPr>
        <w:pStyle w:val="105"/>
        <w:spacing w:before="120" w:after="120" w:line="360" w:lineRule="auto"/>
      </w:pPr>
      <w:r>
        <w:rPr>
          <w:rFonts w:hint="eastAsia"/>
        </w:rPr>
        <w:t>检测验证要求</w:t>
      </w:r>
    </w:p>
    <w:p w14:paraId="3B45DA43">
      <w:pPr>
        <w:pStyle w:val="165"/>
        <w:spacing w:line="360" w:lineRule="auto"/>
      </w:pPr>
      <w:r>
        <w:rPr>
          <w:rFonts w:hint="eastAsia"/>
        </w:rPr>
        <w:t>检测验证应包括拌合物性能检测、强度检测和必要的专项性能检测。</w:t>
      </w:r>
    </w:p>
    <w:p w14:paraId="1BCFBFD3">
      <w:pPr>
        <w:pStyle w:val="165"/>
        <w:spacing w:line="360" w:lineRule="auto"/>
      </w:pPr>
      <w:r>
        <w:rPr>
          <w:rFonts w:hint="eastAsia"/>
        </w:rPr>
        <w:t>对水下不分散混凝土、抗渗要求高或者抗冲刷要求高的工程，应按要求增加相应检测项目。</w:t>
      </w:r>
    </w:p>
    <w:p w14:paraId="44F081BE">
      <w:pPr>
        <w:pStyle w:val="165"/>
        <w:spacing w:line="360" w:lineRule="auto"/>
      </w:pPr>
      <w:r>
        <w:rPr>
          <w:rFonts w:hint="eastAsia"/>
        </w:rPr>
        <w:t>检测结果应与施工批次和施工部位建立明确对应关系。</w:t>
      </w:r>
    </w:p>
    <w:p w14:paraId="0949D027">
      <w:pPr>
        <w:pStyle w:val="165"/>
        <w:spacing w:line="360" w:lineRule="auto"/>
      </w:pPr>
      <w:r>
        <w:rPr>
          <w:rFonts w:hint="eastAsia"/>
        </w:rPr>
        <w:t>检测结果异常时，应及时启动复核和逆向追溯。</w:t>
      </w:r>
    </w:p>
    <w:p w14:paraId="2AB7DE3C">
      <w:pPr>
        <w:pStyle w:val="105"/>
        <w:spacing w:before="120" w:after="120" w:line="360" w:lineRule="auto"/>
      </w:pPr>
      <w:r>
        <w:rPr>
          <w:rFonts w:hint="eastAsia"/>
        </w:rPr>
        <w:t>实体验证要求</w:t>
      </w:r>
    </w:p>
    <w:p w14:paraId="1B41A7E4">
      <w:pPr>
        <w:pStyle w:val="165"/>
        <w:spacing w:line="360" w:lineRule="auto"/>
      </w:pPr>
      <w:r>
        <w:rPr>
          <w:rFonts w:hint="eastAsia"/>
        </w:rPr>
        <w:t>对隐蔽性强、风险高和质量后果严重的水下混凝土工程，应实施实体验证。</w:t>
      </w:r>
    </w:p>
    <w:p w14:paraId="67DEC786">
      <w:pPr>
        <w:pStyle w:val="165"/>
        <w:spacing w:line="360" w:lineRule="auto"/>
      </w:pPr>
      <w:r>
        <w:rPr>
          <w:rFonts w:hint="eastAsia"/>
        </w:rPr>
        <w:t>实体验证方式可包括钻芯、超声检测、完整性检测、声测、取样检查和其他适宜方法。</w:t>
      </w:r>
    </w:p>
    <w:p w14:paraId="5BA79950">
      <w:pPr>
        <w:pStyle w:val="165"/>
        <w:spacing w:line="360" w:lineRule="auto"/>
      </w:pPr>
      <w:r>
        <w:rPr>
          <w:rFonts w:hint="eastAsia"/>
        </w:rPr>
        <w:t>实体验证应结合施工批次、施工时段、异常记录和检测结果布置，不得脱离溯源信息盲目抽查。</w:t>
      </w:r>
    </w:p>
    <w:p w14:paraId="7C854E96">
      <w:pPr>
        <w:pStyle w:val="165"/>
        <w:spacing w:line="360" w:lineRule="auto"/>
      </w:pPr>
      <w:r>
        <w:rPr>
          <w:rFonts w:hint="eastAsia"/>
        </w:rPr>
        <w:t>实体验证结果应与相应施工批次、检测批次和异常处置记录对应。</w:t>
      </w:r>
    </w:p>
    <w:p w14:paraId="1C55CF30">
      <w:pPr>
        <w:pStyle w:val="105"/>
        <w:spacing w:before="120" w:after="120" w:line="360" w:lineRule="auto"/>
      </w:pPr>
      <w:r>
        <w:rPr>
          <w:rFonts w:hint="eastAsia"/>
        </w:rPr>
        <w:t>检测与实体验证异常处置要求</w:t>
      </w:r>
    </w:p>
    <w:p w14:paraId="7422E7BF">
      <w:pPr>
        <w:pStyle w:val="165"/>
        <w:spacing w:line="360" w:lineRule="auto"/>
      </w:pPr>
      <w:r>
        <w:rPr>
          <w:rFonts w:hint="eastAsia"/>
        </w:rPr>
        <w:t>检测或者实体验证出现下列情形之一时，应启动专项处置：</w:t>
      </w:r>
    </w:p>
    <w:p w14:paraId="43CF18B3">
      <w:pPr>
        <w:pStyle w:val="56"/>
        <w:spacing w:line="360" w:lineRule="auto"/>
        <w:ind w:firstLine="420"/>
      </w:pPr>
      <w:r>
        <w:rPr>
          <w:rFonts w:hint="eastAsia"/>
        </w:rPr>
        <w:t>a）强度明显异常；</w:t>
      </w:r>
    </w:p>
    <w:p w14:paraId="7AF372CD">
      <w:pPr>
        <w:pStyle w:val="56"/>
        <w:spacing w:line="360" w:lineRule="auto"/>
        <w:ind w:firstLine="420"/>
      </w:pPr>
      <w:r>
        <w:rPr>
          <w:rFonts w:hint="eastAsia"/>
        </w:rPr>
        <w:t>b）完整性异常；</w:t>
      </w:r>
    </w:p>
    <w:p w14:paraId="68881243">
      <w:pPr>
        <w:pStyle w:val="56"/>
        <w:spacing w:line="360" w:lineRule="auto"/>
        <w:ind w:firstLine="420"/>
      </w:pPr>
      <w:r>
        <w:rPr>
          <w:rFonts w:hint="eastAsia"/>
        </w:rPr>
        <w:t>c）夹泥夹层征兆；</w:t>
      </w:r>
    </w:p>
    <w:p w14:paraId="473194D7">
      <w:pPr>
        <w:pStyle w:val="56"/>
        <w:spacing w:line="360" w:lineRule="auto"/>
        <w:ind w:firstLine="420"/>
      </w:pPr>
      <w:r>
        <w:rPr>
          <w:rFonts w:hint="eastAsia"/>
        </w:rPr>
        <w:t>d）断桩风险征兆；</w:t>
      </w:r>
    </w:p>
    <w:p w14:paraId="5427E9A6">
      <w:pPr>
        <w:pStyle w:val="56"/>
        <w:spacing w:line="360" w:lineRule="auto"/>
        <w:ind w:firstLine="420"/>
      </w:pPr>
      <w:r>
        <w:rPr>
          <w:rFonts w:hint="eastAsia"/>
        </w:rPr>
        <w:t>e）钻芯取样异常；</w:t>
      </w:r>
    </w:p>
    <w:p w14:paraId="74EB27DF">
      <w:pPr>
        <w:pStyle w:val="56"/>
        <w:spacing w:line="360" w:lineRule="auto"/>
        <w:ind w:firstLine="420"/>
      </w:pPr>
      <w:r>
        <w:rPr>
          <w:rFonts w:hint="eastAsia"/>
        </w:rPr>
        <w:t>f）同一部位结果不一致且无法解释。</w:t>
      </w:r>
    </w:p>
    <w:p w14:paraId="5EA2A059">
      <w:pPr>
        <w:pStyle w:val="165"/>
        <w:spacing w:line="360" w:lineRule="auto"/>
      </w:pPr>
      <w:r>
        <w:rPr>
          <w:rFonts w:hint="eastAsia"/>
        </w:rPr>
        <w:t>异常处置应包括复测、复核、逆向追溯、责任分析和必要的补充检测。</w:t>
      </w:r>
    </w:p>
    <w:p w14:paraId="18354F3D">
      <w:pPr>
        <w:pStyle w:val="105"/>
        <w:spacing w:before="120" w:after="120" w:line="360" w:lineRule="auto"/>
      </w:pPr>
      <w:r>
        <w:rPr>
          <w:rFonts w:hint="eastAsia"/>
        </w:rPr>
        <w:t>检测资料管理要求</w:t>
      </w:r>
    </w:p>
    <w:p w14:paraId="0281EEF9">
      <w:pPr>
        <w:pStyle w:val="165"/>
        <w:spacing w:line="360" w:lineRule="auto"/>
      </w:pPr>
      <w:r>
        <w:rPr>
          <w:rFonts w:hint="eastAsia"/>
        </w:rPr>
        <w:t>检测资料应至少包括试件信息、检测报告、实体检测报告、异常分析资料和复核记录。</w:t>
      </w:r>
    </w:p>
    <w:p w14:paraId="5CCA370D">
      <w:pPr>
        <w:pStyle w:val="165"/>
        <w:spacing w:line="360" w:lineRule="auto"/>
      </w:pPr>
      <w:r>
        <w:rPr>
          <w:rFonts w:hint="eastAsia"/>
        </w:rPr>
        <w:t>检测资料应与施工记录、生产记录和运输记录统一归档。</w:t>
      </w:r>
    </w:p>
    <w:p w14:paraId="419977CC">
      <w:pPr>
        <w:pStyle w:val="165"/>
        <w:numPr>
          <w:ilvl w:val="0"/>
          <w:numId w:val="0"/>
        </w:numPr>
        <w:spacing w:line="360" w:lineRule="auto"/>
      </w:pPr>
    </w:p>
    <w:p w14:paraId="4B372F70">
      <w:pPr>
        <w:pStyle w:val="165"/>
        <w:numPr>
          <w:ilvl w:val="0"/>
          <w:numId w:val="0"/>
        </w:numPr>
        <w:spacing w:line="360" w:lineRule="auto"/>
      </w:pPr>
    </w:p>
    <w:p w14:paraId="6800E247">
      <w:pPr>
        <w:pStyle w:val="165"/>
        <w:numPr>
          <w:ilvl w:val="0"/>
          <w:numId w:val="0"/>
        </w:numPr>
        <w:spacing w:line="360" w:lineRule="auto"/>
      </w:pPr>
    </w:p>
    <w:p w14:paraId="01B28CB2">
      <w:pPr>
        <w:pStyle w:val="104"/>
        <w:spacing w:before="240" w:after="240" w:line="360" w:lineRule="auto"/>
      </w:pPr>
      <w:bookmarkStart w:id="56" w:name="_Toc228532477"/>
      <w:r>
        <w:rPr>
          <w:rFonts w:hint="eastAsia"/>
        </w:rPr>
        <w:t>质量异常追溯、缺陷识别与处置要求</w:t>
      </w:r>
      <w:bookmarkEnd w:id="56"/>
    </w:p>
    <w:p w14:paraId="54C25C17">
      <w:pPr>
        <w:pStyle w:val="105"/>
        <w:spacing w:before="120" w:after="120" w:line="360" w:lineRule="auto"/>
      </w:pPr>
      <w:r>
        <w:rPr>
          <w:rFonts w:hint="eastAsia"/>
        </w:rPr>
        <w:t>一般规定</w:t>
      </w:r>
    </w:p>
    <w:p w14:paraId="0A1BC459">
      <w:pPr>
        <w:pStyle w:val="165"/>
        <w:spacing w:line="360" w:lineRule="auto"/>
      </w:pPr>
      <w:r>
        <w:rPr>
          <w:rFonts w:hint="eastAsia"/>
        </w:rPr>
        <w:t>水下混凝土施工出现质量异常或者实体缺陷时，应及时开展质量追溯、缺陷识别和处置。</w:t>
      </w:r>
    </w:p>
    <w:p w14:paraId="7CF95A0C">
      <w:pPr>
        <w:pStyle w:val="165"/>
        <w:spacing w:line="360" w:lineRule="auto"/>
      </w:pPr>
      <w:r>
        <w:rPr>
          <w:rFonts w:hint="eastAsia"/>
        </w:rPr>
        <w:t>质量异常追溯应以全过程记录为依据，做到问题来源可查、形成环节可辨和责任链条可识别。</w:t>
      </w:r>
    </w:p>
    <w:p w14:paraId="7FE741EA">
      <w:pPr>
        <w:pStyle w:val="165"/>
        <w:spacing w:line="360" w:lineRule="auto"/>
      </w:pPr>
      <w:r>
        <w:rPr>
          <w:rFonts w:hint="eastAsia"/>
        </w:rPr>
        <w:t>质量异常处置不得仅停留在表面修补或者局部处理层面，应同步分析原因并纠正溯源链中存在的控制失效环节。</w:t>
      </w:r>
    </w:p>
    <w:p w14:paraId="43D9C85D">
      <w:pPr>
        <w:pStyle w:val="105"/>
        <w:spacing w:before="120" w:after="120" w:line="360" w:lineRule="auto"/>
      </w:pPr>
      <w:r>
        <w:rPr>
          <w:rFonts w:hint="eastAsia"/>
        </w:rPr>
        <w:t>质量异常识别要求</w:t>
      </w:r>
    </w:p>
    <w:p w14:paraId="33000872">
      <w:pPr>
        <w:pStyle w:val="165"/>
        <w:spacing w:line="360" w:lineRule="auto"/>
      </w:pPr>
      <w:r>
        <w:rPr>
          <w:rFonts w:hint="eastAsia"/>
        </w:rPr>
        <w:t>下列情形宜判定为质量异常：</w:t>
      </w:r>
    </w:p>
    <w:p w14:paraId="31E94259">
      <w:pPr>
        <w:pStyle w:val="56"/>
        <w:spacing w:line="360" w:lineRule="auto"/>
        <w:ind w:firstLine="420"/>
      </w:pPr>
      <w:r>
        <w:rPr>
          <w:rFonts w:hint="eastAsia"/>
        </w:rPr>
        <w:t>a）拌合物性能异常；</w:t>
      </w:r>
    </w:p>
    <w:p w14:paraId="5CA31963">
      <w:pPr>
        <w:pStyle w:val="56"/>
        <w:spacing w:line="360" w:lineRule="auto"/>
        <w:ind w:firstLine="420"/>
      </w:pPr>
      <w:r>
        <w:rPr>
          <w:rFonts w:hint="eastAsia"/>
        </w:rPr>
        <w:t>b）施工中断超限；</w:t>
      </w:r>
    </w:p>
    <w:p w14:paraId="7811C89F">
      <w:pPr>
        <w:pStyle w:val="56"/>
        <w:spacing w:line="360" w:lineRule="auto"/>
        <w:ind w:firstLine="420"/>
      </w:pPr>
      <w:r>
        <w:rPr>
          <w:rFonts w:hint="eastAsia"/>
        </w:rPr>
        <w:t>c）导管埋深异常；</w:t>
      </w:r>
    </w:p>
    <w:p w14:paraId="5D4A7DE9">
      <w:pPr>
        <w:pStyle w:val="56"/>
        <w:spacing w:line="360" w:lineRule="auto"/>
        <w:ind w:firstLine="420"/>
      </w:pPr>
      <w:r>
        <w:rPr>
          <w:rFonts w:hint="eastAsia"/>
        </w:rPr>
        <w:t>d）堵管或者提空；</w:t>
      </w:r>
    </w:p>
    <w:p w14:paraId="0DCD411E">
      <w:pPr>
        <w:pStyle w:val="56"/>
        <w:spacing w:line="360" w:lineRule="auto"/>
        <w:ind w:firstLine="420"/>
      </w:pPr>
      <w:r>
        <w:rPr>
          <w:rFonts w:hint="eastAsia"/>
        </w:rPr>
        <w:t>e）首盘封底失败；</w:t>
      </w:r>
    </w:p>
    <w:p w14:paraId="1647DDD7">
      <w:pPr>
        <w:pStyle w:val="56"/>
        <w:spacing w:line="360" w:lineRule="auto"/>
        <w:ind w:firstLine="420"/>
      </w:pPr>
      <w:r>
        <w:rPr>
          <w:rFonts w:hint="eastAsia"/>
        </w:rPr>
        <w:t>f）试件强度异常；</w:t>
      </w:r>
    </w:p>
    <w:p w14:paraId="5E162E96">
      <w:pPr>
        <w:pStyle w:val="56"/>
        <w:spacing w:line="360" w:lineRule="auto"/>
        <w:ind w:firstLine="420"/>
      </w:pPr>
      <w:r>
        <w:rPr>
          <w:rFonts w:hint="eastAsia"/>
        </w:rPr>
        <w:t>g）实体验证异常；</w:t>
      </w:r>
    </w:p>
    <w:p w14:paraId="14061426">
      <w:pPr>
        <w:pStyle w:val="56"/>
        <w:spacing w:line="360" w:lineRule="auto"/>
        <w:ind w:firstLine="420"/>
      </w:pPr>
      <w:r>
        <w:rPr>
          <w:rFonts w:hint="eastAsia"/>
        </w:rPr>
        <w:t>h）夹泥、离析、缩颈和断桩风险；</w:t>
      </w:r>
    </w:p>
    <w:p w14:paraId="483FBF9C">
      <w:pPr>
        <w:pStyle w:val="56"/>
        <w:spacing w:line="360" w:lineRule="auto"/>
        <w:ind w:firstLine="420"/>
      </w:pPr>
      <w:r>
        <w:rPr>
          <w:rFonts w:hint="eastAsia"/>
        </w:rPr>
        <w:t>i）终浇标高异常；</w:t>
      </w:r>
    </w:p>
    <w:p w14:paraId="6F4A8B30">
      <w:pPr>
        <w:pStyle w:val="56"/>
        <w:spacing w:line="360" w:lineRule="auto"/>
        <w:ind w:firstLine="420"/>
      </w:pPr>
      <w:r>
        <w:rPr>
          <w:rFonts w:hint="eastAsia"/>
        </w:rPr>
        <w:t>j）验收不合格。</w:t>
      </w:r>
    </w:p>
    <w:p w14:paraId="0E69069A">
      <w:pPr>
        <w:pStyle w:val="165"/>
        <w:spacing w:line="360" w:lineRule="auto"/>
      </w:pPr>
      <w:r>
        <w:rPr>
          <w:rFonts w:hint="eastAsia"/>
        </w:rPr>
        <w:t>质量异常应及时登记，并赋予异常编号。</w:t>
      </w:r>
    </w:p>
    <w:p w14:paraId="1E35F79E">
      <w:pPr>
        <w:pStyle w:val="105"/>
        <w:spacing w:before="120" w:after="120" w:line="360" w:lineRule="auto"/>
      </w:pPr>
      <w:r>
        <w:rPr>
          <w:rFonts w:hint="eastAsia"/>
        </w:rPr>
        <w:t>逆向追溯要求</w:t>
      </w:r>
    </w:p>
    <w:p w14:paraId="3B55B8E3">
      <w:pPr>
        <w:pStyle w:val="165"/>
        <w:spacing w:line="360" w:lineRule="auto"/>
      </w:pPr>
      <w:r>
        <w:rPr>
          <w:rFonts w:hint="eastAsia"/>
        </w:rPr>
        <w:t>对质量异常应开展逆向追溯。</w:t>
      </w:r>
    </w:p>
    <w:p w14:paraId="1464409A">
      <w:pPr>
        <w:pStyle w:val="165"/>
        <w:spacing w:line="360" w:lineRule="auto"/>
      </w:pPr>
      <w:r>
        <w:rPr>
          <w:rFonts w:hint="eastAsia"/>
        </w:rPr>
        <w:t>逆向追溯应至少包括以下内容：</w:t>
      </w:r>
    </w:p>
    <w:p w14:paraId="1BEBCC33">
      <w:pPr>
        <w:pStyle w:val="56"/>
        <w:spacing w:line="360" w:lineRule="auto"/>
        <w:ind w:firstLine="420"/>
      </w:pPr>
      <w:r>
        <w:rPr>
          <w:rFonts w:hint="eastAsia"/>
        </w:rPr>
        <w:t>a）异常对应施工部位；</w:t>
      </w:r>
    </w:p>
    <w:p w14:paraId="40058024">
      <w:pPr>
        <w:pStyle w:val="56"/>
        <w:spacing w:line="360" w:lineRule="auto"/>
        <w:ind w:firstLine="420"/>
      </w:pPr>
      <w:r>
        <w:rPr>
          <w:rFonts w:hint="eastAsia"/>
        </w:rPr>
        <w:t>b）异常对应施工批次；</w:t>
      </w:r>
    </w:p>
    <w:p w14:paraId="2E11C716">
      <w:pPr>
        <w:pStyle w:val="56"/>
        <w:spacing w:line="360" w:lineRule="auto"/>
        <w:ind w:firstLine="420"/>
      </w:pPr>
      <w:r>
        <w:rPr>
          <w:rFonts w:hint="eastAsia"/>
        </w:rPr>
        <w:t>c）异常对应运输车次；</w:t>
      </w:r>
    </w:p>
    <w:p w14:paraId="7B0F60F1">
      <w:pPr>
        <w:pStyle w:val="56"/>
        <w:spacing w:line="360" w:lineRule="auto"/>
        <w:ind w:firstLine="420"/>
      </w:pPr>
      <w:r>
        <w:rPr>
          <w:rFonts w:hint="eastAsia"/>
        </w:rPr>
        <w:t>d）异常对应拌和批次；</w:t>
      </w:r>
    </w:p>
    <w:p w14:paraId="18070878">
      <w:pPr>
        <w:pStyle w:val="56"/>
        <w:spacing w:line="360" w:lineRule="auto"/>
        <w:ind w:firstLine="420"/>
      </w:pPr>
      <w:r>
        <w:rPr>
          <w:rFonts w:hint="eastAsia"/>
        </w:rPr>
        <w:t>e）异常对应原材料批次；</w:t>
      </w:r>
    </w:p>
    <w:p w14:paraId="60DCB471">
      <w:pPr>
        <w:pStyle w:val="56"/>
        <w:spacing w:line="360" w:lineRule="auto"/>
        <w:ind w:firstLine="420"/>
      </w:pPr>
      <w:r>
        <w:rPr>
          <w:rFonts w:hint="eastAsia"/>
        </w:rPr>
        <w:t>f）异常对应设备状态；</w:t>
      </w:r>
    </w:p>
    <w:p w14:paraId="0E032C85">
      <w:pPr>
        <w:pStyle w:val="56"/>
        <w:spacing w:line="360" w:lineRule="auto"/>
        <w:ind w:firstLine="420"/>
      </w:pPr>
      <w:r>
        <w:rPr>
          <w:rFonts w:hint="eastAsia"/>
        </w:rPr>
        <w:t>g）异常对应记录人员和责任岗位；</w:t>
      </w:r>
    </w:p>
    <w:p w14:paraId="0CF2C808">
      <w:pPr>
        <w:pStyle w:val="56"/>
        <w:spacing w:line="360" w:lineRule="auto"/>
        <w:ind w:firstLine="420"/>
      </w:pPr>
      <w:r>
        <w:rPr>
          <w:rFonts w:hint="eastAsia"/>
        </w:rPr>
        <w:t>h）异常发生时的现场工况。</w:t>
      </w:r>
    </w:p>
    <w:p w14:paraId="1E3A26CB">
      <w:pPr>
        <w:pStyle w:val="165"/>
        <w:spacing w:line="360" w:lineRule="auto"/>
      </w:pPr>
      <w:r>
        <w:rPr>
          <w:rFonts w:hint="eastAsia"/>
        </w:rPr>
        <w:t>逆向追溯不得遗漏中断记录、导管记录、试件记录和异常处置记录。</w:t>
      </w:r>
    </w:p>
    <w:p w14:paraId="691CFB2E">
      <w:pPr>
        <w:pStyle w:val="105"/>
        <w:spacing w:before="120" w:after="120" w:line="360" w:lineRule="auto"/>
      </w:pPr>
      <w:r>
        <w:rPr>
          <w:rFonts w:hint="eastAsia"/>
        </w:rPr>
        <w:t>缺陷识别要求</w:t>
      </w:r>
    </w:p>
    <w:p w14:paraId="154C60F6">
      <w:pPr>
        <w:pStyle w:val="165"/>
        <w:spacing w:line="360" w:lineRule="auto"/>
      </w:pPr>
      <w:r>
        <w:rPr>
          <w:rFonts w:hint="eastAsia"/>
        </w:rPr>
        <w:t>逆向追溯基础上应进行缺陷识别。</w:t>
      </w:r>
    </w:p>
    <w:p w14:paraId="15430AAD">
      <w:pPr>
        <w:pStyle w:val="165"/>
        <w:spacing w:line="360" w:lineRule="auto"/>
      </w:pPr>
      <w:r>
        <w:rPr>
          <w:rFonts w:hint="eastAsia"/>
        </w:rPr>
        <w:t>缺陷识别应区分下列类型：</w:t>
      </w:r>
    </w:p>
    <w:p w14:paraId="07013C89">
      <w:pPr>
        <w:pStyle w:val="56"/>
        <w:spacing w:line="360" w:lineRule="auto"/>
        <w:ind w:firstLine="420"/>
      </w:pPr>
      <w:r>
        <w:rPr>
          <w:rFonts w:hint="eastAsia"/>
        </w:rPr>
        <w:t>a）材料类缺陷；</w:t>
      </w:r>
    </w:p>
    <w:p w14:paraId="557C0718">
      <w:pPr>
        <w:pStyle w:val="56"/>
        <w:spacing w:line="360" w:lineRule="auto"/>
        <w:ind w:firstLine="420"/>
      </w:pPr>
      <w:r>
        <w:rPr>
          <w:rFonts w:hint="eastAsia"/>
        </w:rPr>
        <w:t>b）配合比类缺陷；</w:t>
      </w:r>
    </w:p>
    <w:p w14:paraId="12290DD2">
      <w:pPr>
        <w:pStyle w:val="56"/>
        <w:spacing w:line="360" w:lineRule="auto"/>
        <w:ind w:firstLine="420"/>
      </w:pPr>
      <w:r>
        <w:rPr>
          <w:rFonts w:hint="eastAsia"/>
        </w:rPr>
        <w:t>c）拌和类缺陷；</w:t>
      </w:r>
    </w:p>
    <w:p w14:paraId="4C03EC8F">
      <w:pPr>
        <w:pStyle w:val="56"/>
        <w:spacing w:line="360" w:lineRule="auto"/>
        <w:ind w:firstLine="420"/>
      </w:pPr>
      <w:r>
        <w:rPr>
          <w:rFonts w:hint="eastAsia"/>
        </w:rPr>
        <w:t>d）运输类缺陷；</w:t>
      </w:r>
    </w:p>
    <w:p w14:paraId="4D96F76D">
      <w:pPr>
        <w:pStyle w:val="56"/>
        <w:spacing w:line="360" w:lineRule="auto"/>
        <w:ind w:firstLine="420"/>
      </w:pPr>
      <w:r>
        <w:rPr>
          <w:rFonts w:hint="eastAsia"/>
        </w:rPr>
        <w:t>e）设备类缺陷；</w:t>
      </w:r>
    </w:p>
    <w:p w14:paraId="339EE365">
      <w:pPr>
        <w:pStyle w:val="56"/>
        <w:spacing w:line="360" w:lineRule="auto"/>
        <w:ind w:firstLine="420"/>
      </w:pPr>
      <w:r>
        <w:rPr>
          <w:rFonts w:hint="eastAsia"/>
        </w:rPr>
        <w:t>f）施工工艺类缺陷；</w:t>
      </w:r>
    </w:p>
    <w:p w14:paraId="71866883">
      <w:pPr>
        <w:pStyle w:val="56"/>
        <w:spacing w:line="360" w:lineRule="auto"/>
        <w:ind w:firstLine="420"/>
      </w:pPr>
      <w:r>
        <w:rPr>
          <w:rFonts w:hint="eastAsia"/>
        </w:rPr>
        <w:t>g）检测与记录类缺陷；</w:t>
      </w:r>
    </w:p>
    <w:p w14:paraId="5ACC317A">
      <w:pPr>
        <w:pStyle w:val="56"/>
        <w:spacing w:line="360" w:lineRule="auto"/>
        <w:ind w:firstLine="420"/>
      </w:pPr>
      <w:r>
        <w:rPr>
          <w:rFonts w:hint="eastAsia"/>
        </w:rPr>
        <w:t>h）管理类缺陷。</w:t>
      </w:r>
    </w:p>
    <w:p w14:paraId="30326F72">
      <w:pPr>
        <w:pStyle w:val="165"/>
        <w:spacing w:line="360" w:lineRule="auto"/>
      </w:pPr>
      <w:r>
        <w:rPr>
          <w:rFonts w:hint="eastAsia"/>
        </w:rPr>
        <w:t>缺陷识别应明确缺陷位置、缺陷性质、影响范围、形成阶段和潜在后果。</w:t>
      </w:r>
    </w:p>
    <w:p w14:paraId="46E6385C">
      <w:pPr>
        <w:pStyle w:val="105"/>
        <w:spacing w:before="120" w:after="120" w:line="360" w:lineRule="auto"/>
      </w:pPr>
      <w:r>
        <w:rPr>
          <w:rFonts w:hint="eastAsia"/>
        </w:rPr>
        <w:t>责任识别要求</w:t>
      </w:r>
    </w:p>
    <w:p w14:paraId="52944510">
      <w:pPr>
        <w:pStyle w:val="165"/>
        <w:spacing w:line="360" w:lineRule="auto"/>
      </w:pPr>
      <w:r>
        <w:rPr>
          <w:rFonts w:hint="eastAsia"/>
        </w:rPr>
        <w:t>对确认存在质量缺陷的，应开展责任识别。</w:t>
      </w:r>
    </w:p>
    <w:p w14:paraId="7BA9E53C">
      <w:pPr>
        <w:pStyle w:val="165"/>
        <w:spacing w:line="360" w:lineRule="auto"/>
      </w:pPr>
      <w:r>
        <w:rPr>
          <w:rFonts w:hint="eastAsia"/>
        </w:rPr>
        <w:t>责任识别应依据事实和记录进行，不得仅按施工结果简单归责。</w:t>
      </w:r>
    </w:p>
    <w:p w14:paraId="13CFCBCE">
      <w:pPr>
        <w:pStyle w:val="165"/>
        <w:spacing w:line="360" w:lineRule="auto"/>
      </w:pPr>
      <w:r>
        <w:rPr>
          <w:rFonts w:hint="eastAsia"/>
        </w:rPr>
        <w:t>责任识别结果应明确责任环节、责任岗位、责任单位和管理原因。</w:t>
      </w:r>
    </w:p>
    <w:p w14:paraId="6121F341">
      <w:pPr>
        <w:pStyle w:val="105"/>
        <w:spacing w:before="120" w:after="120" w:line="360" w:lineRule="auto"/>
      </w:pPr>
      <w:r>
        <w:rPr>
          <w:rFonts w:hint="eastAsia"/>
        </w:rPr>
        <w:t>缺陷处置要求</w:t>
      </w:r>
    </w:p>
    <w:p w14:paraId="6FE561A0">
      <w:pPr>
        <w:pStyle w:val="165"/>
        <w:spacing w:line="360" w:lineRule="auto"/>
      </w:pPr>
      <w:r>
        <w:rPr>
          <w:rFonts w:hint="eastAsia"/>
        </w:rPr>
        <w:t>缺陷处置应根据缺陷类型、影响范围和工程后果确定。</w:t>
      </w:r>
    </w:p>
    <w:p w14:paraId="06CAA9BC">
      <w:pPr>
        <w:pStyle w:val="165"/>
        <w:spacing w:line="360" w:lineRule="auto"/>
      </w:pPr>
      <w:r>
        <w:rPr>
          <w:rFonts w:hint="eastAsia"/>
        </w:rPr>
        <w:t>缺陷处置方式可包括：</w:t>
      </w:r>
    </w:p>
    <w:p w14:paraId="23E5E717">
      <w:pPr>
        <w:pStyle w:val="56"/>
        <w:spacing w:line="360" w:lineRule="auto"/>
        <w:ind w:firstLine="420"/>
      </w:pPr>
      <w:r>
        <w:rPr>
          <w:rFonts w:hint="eastAsia"/>
        </w:rPr>
        <w:t>a）补充检测；</w:t>
      </w:r>
    </w:p>
    <w:p w14:paraId="45DF35D9">
      <w:pPr>
        <w:pStyle w:val="56"/>
        <w:spacing w:line="360" w:lineRule="auto"/>
        <w:ind w:firstLine="420"/>
      </w:pPr>
      <w:r>
        <w:rPr>
          <w:rFonts w:hint="eastAsia"/>
        </w:rPr>
        <w:t>b）局部修复；</w:t>
      </w:r>
    </w:p>
    <w:p w14:paraId="1F218D2B">
      <w:pPr>
        <w:pStyle w:val="56"/>
        <w:spacing w:line="360" w:lineRule="auto"/>
        <w:ind w:firstLine="420"/>
      </w:pPr>
      <w:r>
        <w:rPr>
          <w:rFonts w:hint="eastAsia"/>
        </w:rPr>
        <w:t>c）补强加固；</w:t>
      </w:r>
    </w:p>
    <w:p w14:paraId="65315B19">
      <w:pPr>
        <w:pStyle w:val="56"/>
        <w:spacing w:line="360" w:lineRule="auto"/>
        <w:ind w:firstLine="420"/>
      </w:pPr>
      <w:r>
        <w:rPr>
          <w:rFonts w:hint="eastAsia"/>
        </w:rPr>
        <w:t>d）返工重做；</w:t>
      </w:r>
    </w:p>
    <w:p w14:paraId="3180BBEE">
      <w:pPr>
        <w:pStyle w:val="56"/>
        <w:spacing w:line="360" w:lineRule="auto"/>
        <w:ind w:firstLine="420"/>
      </w:pPr>
      <w:r>
        <w:rPr>
          <w:rFonts w:hint="eastAsia"/>
        </w:rPr>
        <w:t>e）功能性限制；</w:t>
      </w:r>
    </w:p>
    <w:p w14:paraId="32B657E1">
      <w:pPr>
        <w:pStyle w:val="56"/>
        <w:spacing w:line="360" w:lineRule="auto"/>
        <w:ind w:firstLine="420"/>
      </w:pPr>
      <w:r>
        <w:rPr>
          <w:rFonts w:hint="eastAsia"/>
        </w:rPr>
        <w:t>f）专项验算与评估；</w:t>
      </w:r>
    </w:p>
    <w:p w14:paraId="125DAFFF">
      <w:pPr>
        <w:pStyle w:val="56"/>
        <w:spacing w:line="360" w:lineRule="auto"/>
        <w:ind w:firstLine="420"/>
      </w:pPr>
      <w:r>
        <w:rPr>
          <w:rFonts w:hint="eastAsia"/>
        </w:rPr>
        <w:t>g）其他经论证的处置方式。</w:t>
      </w:r>
    </w:p>
    <w:p w14:paraId="3363A3D1">
      <w:pPr>
        <w:pStyle w:val="165"/>
        <w:spacing w:line="360" w:lineRule="auto"/>
      </w:pPr>
      <w:r>
        <w:rPr>
          <w:rFonts w:hint="eastAsia"/>
        </w:rPr>
        <w:t>缺陷处置前应制定专项处置方案。</w:t>
      </w:r>
    </w:p>
    <w:p w14:paraId="0F579D4D">
      <w:pPr>
        <w:pStyle w:val="165"/>
        <w:spacing w:line="360" w:lineRule="auto"/>
      </w:pPr>
      <w:r>
        <w:rPr>
          <w:rFonts w:hint="eastAsia"/>
        </w:rPr>
        <w:t>缺陷处置后应进行效果验证，验证不满足要求的，应继续处置。</w:t>
      </w:r>
    </w:p>
    <w:p w14:paraId="68012EB7">
      <w:pPr>
        <w:pStyle w:val="105"/>
        <w:spacing w:before="120" w:after="120" w:line="360" w:lineRule="auto"/>
      </w:pPr>
      <w:r>
        <w:rPr>
          <w:rFonts w:hint="eastAsia"/>
        </w:rPr>
        <w:t>闭环管理要求</w:t>
      </w:r>
    </w:p>
    <w:p w14:paraId="52B8C5A2">
      <w:pPr>
        <w:pStyle w:val="165"/>
        <w:spacing w:line="360" w:lineRule="auto"/>
      </w:pPr>
      <w:r>
        <w:rPr>
          <w:rFonts w:hint="eastAsia"/>
        </w:rPr>
        <w:t>质量异常和缺陷处置应实施闭环管理。</w:t>
      </w:r>
    </w:p>
    <w:p w14:paraId="53B0B069">
      <w:pPr>
        <w:pStyle w:val="165"/>
        <w:spacing w:line="360" w:lineRule="auto"/>
      </w:pPr>
      <w:r>
        <w:rPr>
          <w:rFonts w:hint="eastAsia"/>
        </w:rPr>
        <w:t>闭环管理内容应至少包括异常登记、追溯分析、责任识别、处置实施、验证确认和资料归档。</w:t>
      </w:r>
    </w:p>
    <w:p w14:paraId="29D5CC4C">
      <w:pPr>
        <w:pStyle w:val="165"/>
        <w:spacing w:line="360" w:lineRule="auto"/>
      </w:pPr>
      <w:r>
        <w:rPr>
          <w:rFonts w:hint="eastAsia"/>
        </w:rPr>
        <w:t>未完成闭环管理的异常批次，不得作为正常合格批次结案。</w:t>
      </w:r>
    </w:p>
    <w:p w14:paraId="59D9F970">
      <w:pPr>
        <w:pStyle w:val="104"/>
        <w:spacing w:before="240" w:after="240" w:line="360" w:lineRule="auto"/>
      </w:pPr>
      <w:bookmarkStart w:id="57" w:name="_Toc228532478"/>
      <w:r>
        <w:rPr>
          <w:rFonts w:hint="eastAsia"/>
        </w:rPr>
        <w:t>质量验收与评价要求</w:t>
      </w:r>
      <w:bookmarkEnd w:id="57"/>
    </w:p>
    <w:p w14:paraId="70A9FFFD">
      <w:pPr>
        <w:pStyle w:val="105"/>
        <w:spacing w:before="120" w:after="120" w:line="360" w:lineRule="auto"/>
      </w:pPr>
      <w:r>
        <w:rPr>
          <w:rFonts w:hint="eastAsia"/>
        </w:rPr>
        <w:t>一般规定</w:t>
      </w:r>
    </w:p>
    <w:p w14:paraId="42BAC6B3">
      <w:pPr>
        <w:pStyle w:val="165"/>
        <w:spacing w:line="360" w:lineRule="auto"/>
      </w:pPr>
      <w:r>
        <w:rPr>
          <w:rFonts w:hint="eastAsia"/>
        </w:rPr>
        <w:t>水下混凝土施工全链条质量溯源应纳入工程质量验收与质量评价内容。</w:t>
      </w:r>
    </w:p>
    <w:p w14:paraId="5E4F2FB1">
      <w:pPr>
        <w:pStyle w:val="165"/>
        <w:spacing w:line="360" w:lineRule="auto"/>
      </w:pPr>
      <w:r>
        <w:rPr>
          <w:rFonts w:hint="eastAsia"/>
        </w:rPr>
        <w:t>验收与评价应结合施工记录、试件检测、实体验证、异常处置和资料完整性综合进行。</w:t>
      </w:r>
    </w:p>
    <w:p w14:paraId="6422D660">
      <w:pPr>
        <w:pStyle w:val="165"/>
        <w:spacing w:line="360" w:lineRule="auto"/>
      </w:pPr>
      <w:r>
        <w:rPr>
          <w:rFonts w:hint="eastAsia"/>
        </w:rPr>
        <w:t>缺少关键溯源资料、关键记录缺失或者关键异常未闭环处置的，不得作为完整验收依据。</w:t>
      </w:r>
    </w:p>
    <w:p w14:paraId="054676DD">
      <w:pPr>
        <w:pStyle w:val="105"/>
        <w:spacing w:before="120" w:after="120" w:line="360" w:lineRule="auto"/>
      </w:pPr>
      <w:r>
        <w:rPr>
          <w:rFonts w:hint="eastAsia"/>
        </w:rPr>
        <w:t>过程验收要求</w:t>
      </w:r>
    </w:p>
    <w:p w14:paraId="7D92E2FF">
      <w:pPr>
        <w:pStyle w:val="165"/>
        <w:spacing w:line="360" w:lineRule="auto"/>
      </w:pPr>
      <w:r>
        <w:rPr>
          <w:rFonts w:hint="eastAsia"/>
        </w:rPr>
        <w:t>原材料进场、配合比启用、首盘施工、连续浇筑关键段、试件留置和异常处置等关键节点应实施过程验收。</w:t>
      </w:r>
    </w:p>
    <w:p w14:paraId="3DCB1BEC">
      <w:pPr>
        <w:pStyle w:val="165"/>
        <w:spacing w:line="360" w:lineRule="auto"/>
      </w:pPr>
      <w:r>
        <w:rPr>
          <w:rFonts w:hint="eastAsia"/>
        </w:rPr>
        <w:t>过程验收宜重点核查下列内容：</w:t>
      </w:r>
    </w:p>
    <w:p w14:paraId="02D1F64A">
      <w:pPr>
        <w:pStyle w:val="56"/>
        <w:spacing w:line="360" w:lineRule="auto"/>
        <w:ind w:firstLine="420"/>
      </w:pPr>
      <w:r>
        <w:rPr>
          <w:rFonts w:hint="eastAsia"/>
        </w:rPr>
        <w:t>a）记录完整性；</w:t>
      </w:r>
    </w:p>
    <w:p w14:paraId="4BE22044">
      <w:pPr>
        <w:pStyle w:val="56"/>
        <w:spacing w:line="360" w:lineRule="auto"/>
        <w:ind w:firstLine="420"/>
      </w:pPr>
      <w:r>
        <w:rPr>
          <w:rFonts w:hint="eastAsia"/>
        </w:rPr>
        <w:t>b）参数真实性；</w:t>
      </w:r>
    </w:p>
    <w:p w14:paraId="3CFCB110">
      <w:pPr>
        <w:pStyle w:val="56"/>
        <w:spacing w:line="360" w:lineRule="auto"/>
        <w:ind w:firstLine="420"/>
      </w:pPr>
      <w:r>
        <w:rPr>
          <w:rFonts w:hint="eastAsia"/>
        </w:rPr>
        <w:t>c）施工连续性；</w:t>
      </w:r>
    </w:p>
    <w:p w14:paraId="452193EB">
      <w:pPr>
        <w:pStyle w:val="56"/>
        <w:spacing w:line="360" w:lineRule="auto"/>
        <w:ind w:firstLine="420"/>
      </w:pPr>
      <w:r>
        <w:rPr>
          <w:rFonts w:hint="eastAsia"/>
        </w:rPr>
        <w:t>d）批次对应性；</w:t>
      </w:r>
    </w:p>
    <w:p w14:paraId="343487CC">
      <w:pPr>
        <w:pStyle w:val="56"/>
        <w:spacing w:line="360" w:lineRule="auto"/>
        <w:ind w:firstLine="420"/>
      </w:pPr>
      <w:r>
        <w:rPr>
          <w:rFonts w:hint="eastAsia"/>
        </w:rPr>
        <w:t>e）试件对应性；</w:t>
      </w:r>
    </w:p>
    <w:p w14:paraId="3F942E72">
      <w:pPr>
        <w:pStyle w:val="56"/>
        <w:spacing w:line="360" w:lineRule="auto"/>
        <w:ind w:firstLine="420"/>
      </w:pPr>
      <w:r>
        <w:rPr>
          <w:rFonts w:hint="eastAsia"/>
        </w:rPr>
        <w:t>f）异常处置及时性。</w:t>
      </w:r>
    </w:p>
    <w:p w14:paraId="0A6258EB">
      <w:pPr>
        <w:pStyle w:val="56"/>
        <w:spacing w:line="360" w:lineRule="auto"/>
        <w:ind w:firstLine="420"/>
      </w:pPr>
      <w:r>
        <w:rPr>
          <w:rFonts w:hint="eastAsia"/>
        </w:rPr>
        <w:t>分部或者单元验收要求</w:t>
      </w:r>
    </w:p>
    <w:p w14:paraId="01BA196E">
      <w:pPr>
        <w:pStyle w:val="165"/>
        <w:spacing w:line="360" w:lineRule="auto"/>
      </w:pPr>
      <w:r>
        <w:rPr>
          <w:rFonts w:hint="eastAsia"/>
        </w:rPr>
        <w:t>灌注桩、水下封底和其他重要施工单元完成后，应开展分部或者单元质量验收。</w:t>
      </w:r>
    </w:p>
    <w:p w14:paraId="329473B9">
      <w:pPr>
        <w:pStyle w:val="165"/>
        <w:spacing w:line="360" w:lineRule="auto"/>
      </w:pPr>
      <w:r>
        <w:rPr>
          <w:rFonts w:hint="eastAsia"/>
        </w:rPr>
        <w:t>验收内容应至少包括：</w:t>
      </w:r>
    </w:p>
    <w:p w14:paraId="4364443A">
      <w:pPr>
        <w:pStyle w:val="56"/>
        <w:spacing w:line="360" w:lineRule="auto"/>
        <w:ind w:firstLine="420"/>
      </w:pPr>
      <w:r>
        <w:rPr>
          <w:rFonts w:hint="eastAsia"/>
        </w:rPr>
        <w:t>a）施工批次资料；</w:t>
      </w:r>
    </w:p>
    <w:p w14:paraId="789A2B33">
      <w:pPr>
        <w:pStyle w:val="56"/>
        <w:spacing w:line="360" w:lineRule="auto"/>
        <w:ind w:firstLine="420"/>
      </w:pPr>
      <w:r>
        <w:rPr>
          <w:rFonts w:hint="eastAsia"/>
        </w:rPr>
        <w:t>b）检测和试件资料；</w:t>
      </w:r>
    </w:p>
    <w:p w14:paraId="4D784454">
      <w:pPr>
        <w:pStyle w:val="56"/>
        <w:spacing w:line="360" w:lineRule="auto"/>
        <w:ind w:firstLine="420"/>
      </w:pPr>
      <w:r>
        <w:rPr>
          <w:rFonts w:hint="eastAsia"/>
        </w:rPr>
        <w:t>c）实体验证资料；</w:t>
      </w:r>
    </w:p>
    <w:p w14:paraId="19E22DA6">
      <w:pPr>
        <w:pStyle w:val="56"/>
        <w:spacing w:line="360" w:lineRule="auto"/>
        <w:ind w:firstLine="420"/>
      </w:pPr>
      <w:r>
        <w:rPr>
          <w:rFonts w:hint="eastAsia"/>
        </w:rPr>
        <w:t>d）质量缺陷与处置资料；</w:t>
      </w:r>
    </w:p>
    <w:p w14:paraId="17F713DB">
      <w:pPr>
        <w:pStyle w:val="56"/>
        <w:spacing w:line="360" w:lineRule="auto"/>
        <w:ind w:firstLine="420"/>
      </w:pPr>
      <w:r>
        <w:rPr>
          <w:rFonts w:hint="eastAsia"/>
        </w:rPr>
        <w:t>e）溯源链完整性评价。</w:t>
      </w:r>
    </w:p>
    <w:p w14:paraId="27A195AC">
      <w:pPr>
        <w:pStyle w:val="105"/>
        <w:spacing w:before="120" w:after="120" w:line="360" w:lineRule="auto"/>
      </w:pPr>
      <w:r>
        <w:rPr>
          <w:rFonts w:hint="eastAsia"/>
        </w:rPr>
        <w:t>质量评价要求</w:t>
      </w:r>
    </w:p>
    <w:p w14:paraId="425C9CE7">
      <w:pPr>
        <w:pStyle w:val="165"/>
        <w:spacing w:line="360" w:lineRule="auto"/>
      </w:pPr>
      <w:r>
        <w:rPr>
          <w:rFonts w:hint="eastAsia"/>
        </w:rPr>
        <w:t>水下混凝土施工质量评价应包括实体质量评价和溯源管理评价。</w:t>
      </w:r>
    </w:p>
    <w:p w14:paraId="626538A2">
      <w:pPr>
        <w:pStyle w:val="165"/>
        <w:spacing w:line="360" w:lineRule="auto"/>
      </w:pPr>
      <w:r>
        <w:rPr>
          <w:rFonts w:hint="eastAsia"/>
        </w:rPr>
        <w:t>溯源管理评价宜包括：</w:t>
      </w:r>
    </w:p>
    <w:p w14:paraId="0CC02810">
      <w:pPr>
        <w:pStyle w:val="56"/>
        <w:spacing w:line="360" w:lineRule="auto"/>
        <w:ind w:firstLine="420"/>
      </w:pPr>
      <w:r>
        <w:rPr>
          <w:rFonts w:hint="eastAsia"/>
        </w:rPr>
        <w:t>a）编码体系完整性；</w:t>
      </w:r>
    </w:p>
    <w:p w14:paraId="42CDB213">
      <w:pPr>
        <w:pStyle w:val="56"/>
        <w:spacing w:line="360" w:lineRule="auto"/>
        <w:ind w:firstLine="420"/>
      </w:pPr>
      <w:r>
        <w:rPr>
          <w:rFonts w:hint="eastAsia"/>
        </w:rPr>
        <w:t>b）记录连续性；</w:t>
      </w:r>
    </w:p>
    <w:p w14:paraId="68354895">
      <w:pPr>
        <w:pStyle w:val="56"/>
        <w:spacing w:line="360" w:lineRule="auto"/>
        <w:ind w:firstLine="420"/>
      </w:pPr>
      <w:r>
        <w:rPr>
          <w:rFonts w:hint="eastAsia"/>
        </w:rPr>
        <w:t>c）批次对应准确性；</w:t>
      </w:r>
    </w:p>
    <w:p w14:paraId="5F2E797B">
      <w:pPr>
        <w:pStyle w:val="56"/>
        <w:spacing w:line="360" w:lineRule="auto"/>
        <w:ind w:firstLine="420"/>
      </w:pPr>
      <w:r>
        <w:rPr>
          <w:rFonts w:hint="eastAsia"/>
        </w:rPr>
        <w:t>d）异常追溯有效性；</w:t>
      </w:r>
    </w:p>
    <w:p w14:paraId="14F75F78">
      <w:pPr>
        <w:pStyle w:val="56"/>
        <w:spacing w:line="360" w:lineRule="auto"/>
        <w:ind w:firstLine="420"/>
      </w:pPr>
      <w:r>
        <w:rPr>
          <w:rFonts w:hint="eastAsia"/>
        </w:rPr>
        <w:t>e）责任链明确性；</w:t>
      </w:r>
    </w:p>
    <w:p w14:paraId="40FDCFE6">
      <w:pPr>
        <w:pStyle w:val="56"/>
        <w:spacing w:line="360" w:lineRule="auto"/>
        <w:ind w:firstLine="420"/>
      </w:pPr>
      <w:r>
        <w:rPr>
          <w:rFonts w:hint="eastAsia"/>
        </w:rPr>
        <w:t>f）资料归档完整性。</w:t>
      </w:r>
    </w:p>
    <w:p w14:paraId="5D6C9157">
      <w:pPr>
        <w:pStyle w:val="165"/>
        <w:spacing w:line="360" w:lineRule="auto"/>
      </w:pPr>
      <w:r>
        <w:rPr>
          <w:rFonts w:hint="eastAsia"/>
        </w:rPr>
        <w:t>对高风险工程和重点隐蔽工程，应增加专项质量评价。</w:t>
      </w:r>
    </w:p>
    <w:p w14:paraId="007E7DAB">
      <w:pPr>
        <w:pStyle w:val="105"/>
        <w:spacing w:before="120" w:after="120" w:line="360" w:lineRule="auto"/>
      </w:pPr>
      <w:r>
        <w:rPr>
          <w:rFonts w:hint="eastAsia"/>
        </w:rPr>
        <w:t>不合格处理要求</w:t>
      </w:r>
    </w:p>
    <w:p w14:paraId="32AA37DB">
      <w:pPr>
        <w:pStyle w:val="165"/>
        <w:spacing w:line="360" w:lineRule="auto"/>
      </w:pPr>
      <w:r>
        <w:rPr>
          <w:rFonts w:hint="eastAsia"/>
        </w:rPr>
        <w:t>验收或者评价不合格的，应分析原因并制定整改措施。</w:t>
      </w:r>
    </w:p>
    <w:p w14:paraId="3E56AD27">
      <w:pPr>
        <w:pStyle w:val="165"/>
        <w:spacing w:line="360" w:lineRule="auto"/>
      </w:pPr>
      <w:r>
        <w:rPr>
          <w:rFonts w:hint="eastAsia"/>
        </w:rPr>
        <w:t>整改后应重新复验和重新评价。</w:t>
      </w:r>
    </w:p>
    <w:p w14:paraId="394FC5CE">
      <w:pPr>
        <w:pStyle w:val="165"/>
        <w:spacing w:line="360" w:lineRule="auto"/>
      </w:pPr>
      <w:r>
        <w:rPr>
          <w:rFonts w:hint="eastAsia"/>
        </w:rPr>
        <w:t>不合格问题未闭环前，不得办理最终验收。</w:t>
      </w:r>
    </w:p>
    <w:p w14:paraId="7A2A827F">
      <w:pPr>
        <w:pStyle w:val="104"/>
        <w:spacing w:before="240" w:after="240" w:line="360" w:lineRule="auto"/>
      </w:pPr>
      <w:bookmarkStart w:id="58" w:name="_Toc228532479"/>
      <w:r>
        <w:rPr>
          <w:rFonts w:hint="eastAsia"/>
        </w:rPr>
        <w:t>信息化、资料与档案管理要求</w:t>
      </w:r>
      <w:bookmarkEnd w:id="58"/>
    </w:p>
    <w:p w14:paraId="56402575">
      <w:pPr>
        <w:pStyle w:val="105"/>
        <w:spacing w:before="120" w:after="120" w:line="360" w:lineRule="auto"/>
      </w:pPr>
      <w:r>
        <w:rPr>
          <w:rFonts w:hint="eastAsia"/>
        </w:rPr>
        <w:t>一般规定</w:t>
      </w:r>
    </w:p>
    <w:p w14:paraId="29D020F0">
      <w:pPr>
        <w:pStyle w:val="165"/>
        <w:spacing w:line="360" w:lineRule="auto"/>
      </w:pPr>
      <w:r>
        <w:rPr>
          <w:rFonts w:hint="eastAsia"/>
        </w:rPr>
        <w:t>水下混凝土施工全链条质量溯源应建立统一的信息管理和资料管理机制。</w:t>
      </w:r>
    </w:p>
    <w:p w14:paraId="16EA2A71">
      <w:pPr>
        <w:pStyle w:val="165"/>
        <w:spacing w:line="360" w:lineRule="auto"/>
      </w:pPr>
      <w:r>
        <w:rPr>
          <w:rFonts w:hint="eastAsia"/>
        </w:rPr>
        <w:t>信息化管理应满足全过程数据采集、数据关联、数据查询、异常预警和责任追溯要求。</w:t>
      </w:r>
    </w:p>
    <w:p w14:paraId="11C7C9F5">
      <w:pPr>
        <w:pStyle w:val="165"/>
        <w:spacing w:line="360" w:lineRule="auto"/>
      </w:pPr>
      <w:r>
        <w:rPr>
          <w:rFonts w:hint="eastAsia"/>
        </w:rPr>
        <w:t>资料管理应满足真实性、完整性、时效性和可追溯性要求。</w:t>
      </w:r>
    </w:p>
    <w:p w14:paraId="3E894DED">
      <w:pPr>
        <w:pStyle w:val="56"/>
        <w:spacing w:line="360" w:lineRule="auto"/>
        <w:ind w:firstLine="420"/>
      </w:pPr>
      <w:r>
        <w:rPr>
          <w:rFonts w:hint="eastAsia"/>
        </w:rPr>
        <w:t>信息化管理要求</w:t>
      </w:r>
    </w:p>
    <w:p w14:paraId="1134A986">
      <w:pPr>
        <w:pStyle w:val="165"/>
        <w:spacing w:line="360" w:lineRule="auto"/>
      </w:pPr>
      <w:r>
        <w:rPr>
          <w:rFonts w:hint="eastAsia"/>
        </w:rPr>
        <w:t>信息化系统宜覆盖原材料、配合比、拌和、运输、浇筑、试件、检测、异常和验收全过程。</w:t>
      </w:r>
    </w:p>
    <w:p w14:paraId="4C8177F2">
      <w:pPr>
        <w:pStyle w:val="165"/>
        <w:spacing w:line="360" w:lineRule="auto"/>
      </w:pPr>
      <w:r>
        <w:rPr>
          <w:rFonts w:hint="eastAsia"/>
        </w:rPr>
        <w:t>信息化系统应支持按施工部位、施工批次、车次、试件编号和异常编号进行双向查询。</w:t>
      </w:r>
    </w:p>
    <w:p w14:paraId="3729A644">
      <w:pPr>
        <w:pStyle w:val="165"/>
        <w:spacing w:line="360" w:lineRule="auto"/>
      </w:pPr>
      <w:r>
        <w:rPr>
          <w:rFonts w:hint="eastAsia"/>
        </w:rPr>
        <w:t>电子数据录入应及时，关键节点数据不得集中补录。</w:t>
      </w:r>
    </w:p>
    <w:p w14:paraId="47CD57B4">
      <w:pPr>
        <w:pStyle w:val="165"/>
        <w:spacing w:line="360" w:lineRule="auto"/>
      </w:pPr>
      <w:r>
        <w:rPr>
          <w:rFonts w:hint="eastAsia"/>
        </w:rPr>
        <w:t>信息化系统数据与纸质记录、影像记录不一致时，应及时核查并纠正。</w:t>
      </w:r>
    </w:p>
    <w:p w14:paraId="42203874">
      <w:pPr>
        <w:pStyle w:val="105"/>
        <w:spacing w:before="120" w:after="120" w:line="360" w:lineRule="auto"/>
      </w:pPr>
      <w:r>
        <w:rPr>
          <w:rFonts w:hint="eastAsia"/>
        </w:rPr>
        <w:t>资料归档要求</w:t>
      </w:r>
    </w:p>
    <w:p w14:paraId="6ED31302">
      <w:pPr>
        <w:pStyle w:val="165"/>
        <w:spacing w:line="360" w:lineRule="auto"/>
      </w:pPr>
      <w:r>
        <w:rPr>
          <w:rFonts w:hint="eastAsia"/>
        </w:rPr>
        <w:t>资料归档应按工程项目、施工部位、施工批次和资料类别分类管理。</w:t>
      </w:r>
    </w:p>
    <w:p w14:paraId="6BE61C09">
      <w:pPr>
        <w:pStyle w:val="165"/>
        <w:spacing w:line="360" w:lineRule="auto"/>
      </w:pPr>
      <w:r>
        <w:rPr>
          <w:rFonts w:hint="eastAsia"/>
        </w:rPr>
        <w:t>归档资料宜包括：</w:t>
      </w:r>
    </w:p>
    <w:p w14:paraId="5B67916D">
      <w:pPr>
        <w:pStyle w:val="56"/>
        <w:spacing w:line="360" w:lineRule="auto"/>
        <w:ind w:firstLine="420"/>
      </w:pPr>
      <w:r>
        <w:rPr>
          <w:rFonts w:hint="eastAsia"/>
        </w:rPr>
        <w:t>a）原材料资料；</w:t>
      </w:r>
    </w:p>
    <w:p w14:paraId="2F42E73A">
      <w:pPr>
        <w:pStyle w:val="56"/>
        <w:spacing w:line="360" w:lineRule="auto"/>
        <w:ind w:firstLine="420"/>
      </w:pPr>
      <w:r>
        <w:rPr>
          <w:rFonts w:hint="eastAsia"/>
        </w:rPr>
        <w:t>b）配合比资料；</w:t>
      </w:r>
    </w:p>
    <w:p w14:paraId="34AD73BD">
      <w:pPr>
        <w:pStyle w:val="56"/>
        <w:spacing w:line="360" w:lineRule="auto"/>
        <w:ind w:firstLine="420"/>
      </w:pPr>
      <w:r>
        <w:rPr>
          <w:rFonts w:hint="eastAsia"/>
        </w:rPr>
        <w:t>c）拌和和出站资料；</w:t>
      </w:r>
    </w:p>
    <w:p w14:paraId="7D3DE110">
      <w:pPr>
        <w:pStyle w:val="56"/>
        <w:spacing w:line="360" w:lineRule="auto"/>
        <w:ind w:firstLine="420"/>
      </w:pPr>
      <w:r>
        <w:rPr>
          <w:rFonts w:hint="eastAsia"/>
        </w:rPr>
        <w:t>d）运输交接资料；</w:t>
      </w:r>
    </w:p>
    <w:p w14:paraId="49F026FC">
      <w:pPr>
        <w:pStyle w:val="56"/>
        <w:spacing w:line="360" w:lineRule="auto"/>
        <w:ind w:firstLine="420"/>
      </w:pPr>
      <w:r>
        <w:rPr>
          <w:rFonts w:hint="eastAsia"/>
        </w:rPr>
        <w:t>e）浇筑过程资料；</w:t>
      </w:r>
    </w:p>
    <w:p w14:paraId="1D147B46">
      <w:pPr>
        <w:pStyle w:val="56"/>
        <w:spacing w:line="360" w:lineRule="auto"/>
        <w:ind w:firstLine="420"/>
      </w:pPr>
      <w:r>
        <w:rPr>
          <w:rFonts w:hint="eastAsia"/>
        </w:rPr>
        <w:t>f）试件和检测资料；</w:t>
      </w:r>
    </w:p>
    <w:p w14:paraId="35C9EB38">
      <w:pPr>
        <w:pStyle w:val="56"/>
        <w:spacing w:line="360" w:lineRule="auto"/>
        <w:ind w:firstLine="420"/>
      </w:pPr>
      <w:r>
        <w:rPr>
          <w:rFonts w:hint="eastAsia"/>
        </w:rPr>
        <w:t>g）实体验证资料；</w:t>
      </w:r>
    </w:p>
    <w:p w14:paraId="1E51A56D">
      <w:pPr>
        <w:pStyle w:val="56"/>
        <w:spacing w:line="360" w:lineRule="auto"/>
        <w:ind w:firstLine="420"/>
      </w:pPr>
      <w:r>
        <w:rPr>
          <w:rFonts w:hint="eastAsia"/>
        </w:rPr>
        <w:t>h）异常与缺陷处置资料；</w:t>
      </w:r>
    </w:p>
    <w:p w14:paraId="3D441785">
      <w:pPr>
        <w:pStyle w:val="56"/>
        <w:spacing w:line="360" w:lineRule="auto"/>
        <w:ind w:firstLine="420"/>
      </w:pPr>
      <w:r>
        <w:rPr>
          <w:rFonts w:hint="eastAsia"/>
        </w:rPr>
        <w:t>i）验收评价资料；</w:t>
      </w:r>
    </w:p>
    <w:p w14:paraId="0DB5725D">
      <w:pPr>
        <w:pStyle w:val="56"/>
        <w:spacing w:line="360" w:lineRule="auto"/>
        <w:ind w:firstLine="420"/>
      </w:pPr>
      <w:r>
        <w:rPr>
          <w:rFonts w:hint="eastAsia"/>
        </w:rPr>
        <w:t>j）影像资料。</w:t>
      </w:r>
    </w:p>
    <w:p w14:paraId="2C7A2D54">
      <w:pPr>
        <w:pStyle w:val="165"/>
        <w:spacing w:line="360" w:lineRule="auto"/>
      </w:pPr>
      <w:r>
        <w:rPr>
          <w:rFonts w:hint="eastAsia"/>
        </w:rPr>
        <w:t>电子资料和纸质资料应建立对应目录和索引关系。</w:t>
      </w:r>
    </w:p>
    <w:p w14:paraId="676CEFC9">
      <w:pPr>
        <w:pStyle w:val="105"/>
        <w:spacing w:before="120" w:after="120" w:line="360" w:lineRule="auto"/>
      </w:pPr>
      <w:r>
        <w:rPr>
          <w:rFonts w:hint="eastAsia"/>
        </w:rPr>
        <w:t>保存与调阅要求</w:t>
      </w:r>
    </w:p>
    <w:p w14:paraId="51B34D9F">
      <w:pPr>
        <w:pStyle w:val="165"/>
        <w:spacing w:line="360" w:lineRule="auto"/>
      </w:pPr>
      <w:r>
        <w:rPr>
          <w:rFonts w:hint="eastAsia"/>
        </w:rPr>
        <w:t>资料应长期保存，并满足工程验收、缺陷追责、运行维护和后期复核需要。</w:t>
      </w:r>
    </w:p>
    <w:p w14:paraId="61CAF35B">
      <w:pPr>
        <w:pStyle w:val="165"/>
        <w:spacing w:line="360" w:lineRule="auto"/>
      </w:pPr>
      <w:r>
        <w:rPr>
          <w:rFonts w:hint="eastAsia"/>
        </w:rPr>
        <w:t>资料调阅应实行权限管理，不得擅自删除、篡改、替换或者隐匿关键资料。</w:t>
      </w:r>
    </w:p>
    <w:p w14:paraId="51686D03">
      <w:pPr>
        <w:pStyle w:val="165"/>
        <w:spacing w:line="360" w:lineRule="auto"/>
      </w:pPr>
      <w:r>
        <w:rPr>
          <w:rFonts w:hint="eastAsia"/>
        </w:rPr>
        <w:t>对关键工程、重大质量异常工程和争议工程资料，应专项保存。</w:t>
      </w:r>
    </w:p>
    <w:p w14:paraId="4158CF63">
      <w:pPr>
        <w:pStyle w:val="104"/>
        <w:spacing w:before="240" w:after="240" w:line="360" w:lineRule="auto"/>
      </w:pPr>
      <w:bookmarkStart w:id="59" w:name="_Toc228532480"/>
      <w:r>
        <w:rPr>
          <w:rFonts w:hint="eastAsia"/>
        </w:rPr>
        <w:t>附则</w:t>
      </w:r>
      <w:bookmarkEnd w:id="59"/>
    </w:p>
    <w:p w14:paraId="625FB7E2">
      <w:pPr>
        <w:pStyle w:val="162"/>
        <w:spacing w:line="360" w:lineRule="auto"/>
      </w:pPr>
      <w:r>
        <w:rPr>
          <w:rFonts w:hint="eastAsia"/>
        </w:rPr>
        <w:t>本文件用于指导水下混凝土施工全链条质量溯源技术活动。</w:t>
      </w:r>
    </w:p>
    <w:p w14:paraId="5D91B6D2">
      <w:pPr>
        <w:pStyle w:val="162"/>
        <w:spacing w:line="360" w:lineRule="auto"/>
      </w:pPr>
      <w:r>
        <w:rPr>
          <w:rFonts w:hint="eastAsia"/>
        </w:rPr>
        <w:t>各单位可根据工程规模、施工工艺、管理方式和信息化水平，在不低于本文件要求的前提下，细化形成实施细则、岗位记录表、编码规则和信息化管理清单。</w:t>
      </w:r>
    </w:p>
    <w:p w14:paraId="657ED83E">
      <w:pPr>
        <w:pStyle w:val="162"/>
        <w:spacing w:line="360" w:lineRule="auto"/>
      </w:pPr>
      <w:r>
        <w:rPr>
          <w:rFonts w:hint="eastAsia"/>
        </w:rPr>
        <w:t>本文件未规定的事项，应符合国家现行有关法律法规及相关标准的规定。</w:t>
      </w:r>
    </w:p>
    <w:bookmarkEnd w:id="26"/>
    <w:p w14:paraId="61FE2B24">
      <w:pPr>
        <w:pStyle w:val="56"/>
        <w:spacing w:line="360" w:lineRule="auto"/>
        <w:ind w:firstLine="0" w:firstLineChars="0"/>
        <w:jc w:val="center"/>
      </w:pPr>
      <w:bookmarkStart w:id="60" w:name="BookMark8"/>
      <w:r>
        <w:rPr>
          <w:rFonts w:hint="eastAsia"/>
        </w:rPr>
        <w:drawing>
          <wp:inline distT="0" distB="0" distL="0" distR="0">
            <wp:extent cx="1485900" cy="317500"/>
            <wp:effectExtent l="0" t="0" r="0" b="6350"/>
            <wp:docPr id="2033148395" name="图片 3"/>
            <wp:cNvGraphicFramePr/>
            <a:graphic xmlns:a="http://schemas.openxmlformats.org/drawingml/2006/main">
              <a:graphicData uri="http://schemas.openxmlformats.org/drawingml/2006/picture">
                <pic:pic xmlns:pic="http://schemas.openxmlformats.org/drawingml/2006/picture">
                  <pic:nvPicPr>
                    <pic:cNvPr id="2033148395"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B4D6E">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34222">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B09A7">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0253—2026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0253—2026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395E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0253—2026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0253—2026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CEC90">
    <w:pPr>
      <w:pStyle w:val="61"/>
      <w:rPr>
        <w:rFonts w:hint="eastAsia"/>
      </w:rPr>
    </w:pPr>
    <w:r>
      <w:fldChar w:fldCharType="begin"/>
    </w:r>
    <w:r>
      <w:instrText xml:space="preserve"> STYLEREF  标准文件_文件编号  \* MERGEFORMAT </w:instrText>
    </w:r>
    <w:r>
      <w:fldChar w:fldCharType="separate"/>
    </w:r>
    <w:r>
      <w:t>T/XZBX 0253—2026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6572E">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0253—2026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0253—2026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0253—2026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863"/>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3D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37F"/>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6CE4"/>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392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1B4"/>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945"/>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45A10"/>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0F3"/>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125"/>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EFC"/>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0F77"/>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D87"/>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B1E"/>
    <w:rsid w:val="00AE070A"/>
    <w:rsid w:val="00AE100B"/>
    <w:rsid w:val="00AE101C"/>
    <w:rsid w:val="00AE2A69"/>
    <w:rsid w:val="00AE37E5"/>
    <w:rsid w:val="00AE3FAE"/>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4D"/>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450CE"/>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10D"/>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9405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635F8CE5">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1E235A2D">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66AC69B4">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373D4"/>
    <w:rsid w:val="0018637F"/>
    <w:rsid w:val="002E6AD9"/>
    <w:rsid w:val="00305607"/>
    <w:rsid w:val="003646F4"/>
    <w:rsid w:val="003F62CE"/>
    <w:rsid w:val="004A6324"/>
    <w:rsid w:val="004B5407"/>
    <w:rsid w:val="005B18DA"/>
    <w:rsid w:val="005E4B5C"/>
    <w:rsid w:val="006141C6"/>
    <w:rsid w:val="00652769"/>
    <w:rsid w:val="00796662"/>
    <w:rsid w:val="00810CA0"/>
    <w:rsid w:val="00816125"/>
    <w:rsid w:val="00886EFC"/>
    <w:rsid w:val="008C0337"/>
    <w:rsid w:val="008E0F77"/>
    <w:rsid w:val="008E6778"/>
    <w:rsid w:val="00AA2819"/>
    <w:rsid w:val="00AE100B"/>
    <w:rsid w:val="00AE1DC6"/>
    <w:rsid w:val="00D9491E"/>
    <w:rsid w:val="00E76885"/>
    <w:rsid w:val="00EF1723"/>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38</Pages>
  <Words>9935</Words>
  <Characters>10273</Characters>
  <Lines>571</Lines>
  <Paragraphs>901</Paragraphs>
  <TotalTime>146</TotalTime>
  <ScaleCrop>false</ScaleCrop>
  <LinksUpToDate>false</LinksUpToDate>
  <CharactersWithSpaces>10381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2026-05-19T05:58:53Z</dcterms:modified>
  <dc:title>团体标准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1E6AAD4850CD4F0190B2A7E61598BC48_12</vt:lpwstr>
  </property>
</Properties>
</file>